
<file path=[Content_Types].xml><?xml version="1.0" encoding="utf-8"?>
<Types xmlns="http://schemas.openxmlformats.org/package/2006/content-types">
  <Default Extension="png" ContentType="image/png"/>
  <Default Extension="emf" ContentType="image/x-emf"/>
  <Default Extension="wmf" ContentType="image/x-w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11232" w:rsidRPr="00A05EF2" w:rsidRDefault="00D11232" w:rsidP="00A05EF2">
      <w:pPr>
        <w:ind w:firstLine="0"/>
        <w:rPr>
          <w:rFonts w:ascii="Traditional Arabic" w:hAnsi="Traditional Arabic"/>
          <w:color w:val="0D0D0D" w:themeColor="text1" w:themeTint="F2"/>
          <w:sz w:val="32"/>
          <w:szCs w:val="32"/>
          <w:rtl/>
        </w:rPr>
      </w:pPr>
      <w:r w:rsidRPr="00A05EF2">
        <w:rPr>
          <w:noProof/>
          <w:sz w:val="32"/>
          <w:szCs w:val="32"/>
          <w:lang w:eastAsia="en-US"/>
        </w:rPr>
        <w:drawing>
          <wp:anchor distT="0" distB="0" distL="114300" distR="114300" simplePos="0" relativeHeight="251670528" behindDoc="1" locked="0" layoutInCell="1" allowOverlap="1" wp14:anchorId="3C8B525A" wp14:editId="47E32362">
            <wp:simplePos x="0" y="0"/>
            <wp:positionH relativeFrom="column">
              <wp:posOffset>-424180</wp:posOffset>
            </wp:positionH>
            <wp:positionV relativeFrom="paragraph">
              <wp:posOffset>45721</wp:posOffset>
            </wp:positionV>
            <wp:extent cx="1970271" cy="1962150"/>
            <wp:effectExtent l="0" t="0" r="0" b="0"/>
            <wp:wrapNone/>
            <wp:docPr id="19" name="صورة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972780" cy="196464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05EF2">
        <w:rPr>
          <w:rFonts w:ascii="Traditional Arabic" w:hAnsi="Traditional Arabic"/>
          <w:color w:val="0D0D0D" w:themeColor="text1" w:themeTint="F2"/>
          <w:sz w:val="32"/>
          <w:szCs w:val="32"/>
        </w:rPr>
        <w:t xml:space="preserve">      </w:t>
      </w:r>
      <w:r w:rsidR="00A05EF2" w:rsidRPr="00A05EF2">
        <w:rPr>
          <w:rFonts w:ascii="Traditional Arabic" w:hAnsi="Traditional Arabic" w:hint="cs"/>
          <w:color w:val="0D0D0D" w:themeColor="text1" w:themeTint="F2"/>
          <w:sz w:val="32"/>
          <w:szCs w:val="32"/>
          <w:rtl/>
        </w:rPr>
        <w:t>المملكة العربية السعودية</w:t>
      </w:r>
    </w:p>
    <w:p w:rsidR="00A05EF2" w:rsidRPr="00A05EF2" w:rsidRDefault="00A05EF2" w:rsidP="005E136B">
      <w:pPr>
        <w:ind w:firstLine="0"/>
        <w:rPr>
          <w:rFonts w:ascii="Traditional Arabic" w:hAnsi="Traditional Arabic"/>
          <w:color w:val="0D0D0D" w:themeColor="text1" w:themeTint="F2"/>
          <w:sz w:val="32"/>
          <w:szCs w:val="32"/>
          <w:rtl/>
        </w:rPr>
      </w:pPr>
      <w:r>
        <w:rPr>
          <w:rFonts w:ascii="Traditional Arabic" w:hAnsi="Traditional Arabic" w:hint="cs"/>
          <w:color w:val="0D0D0D" w:themeColor="text1" w:themeTint="F2"/>
          <w:sz w:val="32"/>
          <w:szCs w:val="32"/>
          <w:rtl/>
        </w:rPr>
        <w:t xml:space="preserve">      </w:t>
      </w:r>
      <w:r w:rsidR="005E136B">
        <w:rPr>
          <w:rFonts w:ascii="Traditional Arabic" w:hAnsi="Traditional Arabic" w:hint="cs"/>
          <w:color w:val="0D0D0D" w:themeColor="text1" w:themeTint="F2"/>
          <w:sz w:val="32"/>
          <w:szCs w:val="32"/>
          <w:rtl/>
        </w:rPr>
        <w:t xml:space="preserve">     </w:t>
      </w:r>
      <w:r>
        <w:rPr>
          <w:rFonts w:ascii="Traditional Arabic" w:hAnsi="Traditional Arabic" w:hint="cs"/>
          <w:color w:val="0D0D0D" w:themeColor="text1" w:themeTint="F2"/>
          <w:sz w:val="32"/>
          <w:szCs w:val="32"/>
          <w:rtl/>
        </w:rPr>
        <w:t xml:space="preserve"> </w:t>
      </w:r>
      <w:r w:rsidR="005E136B">
        <w:rPr>
          <w:rFonts w:ascii="Traditional Arabic" w:hAnsi="Traditional Arabic" w:hint="cs"/>
          <w:color w:val="0D0D0D" w:themeColor="text1" w:themeTint="F2"/>
          <w:sz w:val="32"/>
          <w:szCs w:val="32"/>
          <w:rtl/>
        </w:rPr>
        <w:t>وزارة التع</w:t>
      </w:r>
      <w:r w:rsidRPr="00A05EF2">
        <w:rPr>
          <w:rFonts w:ascii="Traditional Arabic" w:hAnsi="Traditional Arabic" w:hint="cs"/>
          <w:color w:val="0D0D0D" w:themeColor="text1" w:themeTint="F2"/>
          <w:sz w:val="32"/>
          <w:szCs w:val="32"/>
          <w:rtl/>
        </w:rPr>
        <w:t>ليم</w:t>
      </w:r>
    </w:p>
    <w:p w:rsidR="00A05EF2" w:rsidRPr="00A05EF2" w:rsidRDefault="00A05EF2" w:rsidP="00A05EF2">
      <w:pPr>
        <w:ind w:firstLine="0"/>
        <w:rPr>
          <w:rFonts w:ascii="Traditional Arabic" w:hAnsi="Traditional Arabic"/>
          <w:color w:val="0D0D0D" w:themeColor="text1" w:themeTint="F2"/>
          <w:sz w:val="32"/>
          <w:szCs w:val="32"/>
          <w:rtl/>
        </w:rPr>
      </w:pPr>
      <w:r w:rsidRPr="00A05EF2">
        <w:rPr>
          <w:rFonts w:ascii="Traditional Arabic" w:hAnsi="Traditional Arabic" w:hint="cs"/>
          <w:color w:val="0D0D0D" w:themeColor="text1" w:themeTint="F2"/>
          <w:sz w:val="32"/>
          <w:szCs w:val="32"/>
          <w:rtl/>
        </w:rPr>
        <w:t xml:space="preserve">  الجامعة الإسلامية بالمدينة المنورة</w:t>
      </w:r>
    </w:p>
    <w:p w:rsidR="00D11232" w:rsidRPr="00A05EF2" w:rsidRDefault="00D11232" w:rsidP="00A05EF2">
      <w:pPr>
        <w:tabs>
          <w:tab w:val="left" w:pos="1318"/>
        </w:tabs>
        <w:rPr>
          <w:rFonts w:ascii="Traditional Arabic" w:hAnsi="Traditional Arabic"/>
          <w:color w:val="0D0D0D" w:themeColor="text1" w:themeTint="F2"/>
          <w:sz w:val="32"/>
          <w:szCs w:val="32"/>
          <w:rtl/>
        </w:rPr>
      </w:pPr>
      <w:r w:rsidRPr="00A05EF2">
        <w:rPr>
          <w:rFonts w:ascii="Traditional Arabic" w:hAnsi="Traditional Arabic" w:hint="cs"/>
          <w:color w:val="0D0D0D" w:themeColor="text1" w:themeTint="F2"/>
          <w:sz w:val="32"/>
          <w:szCs w:val="32"/>
          <w:rtl/>
        </w:rPr>
        <w:tab/>
      </w:r>
      <w:r w:rsidRPr="00A05EF2">
        <w:rPr>
          <w:rFonts w:ascii="Traditional Arabic" w:hAnsi="Traditional Arabic"/>
          <w:color w:val="0D0D0D" w:themeColor="text1" w:themeTint="F2"/>
          <w:sz w:val="32"/>
          <w:szCs w:val="32"/>
          <w:rtl/>
        </w:rPr>
        <w:t>(032)</w:t>
      </w:r>
    </w:p>
    <w:p w:rsidR="00D11232" w:rsidRPr="00A05EF2" w:rsidRDefault="00D11232" w:rsidP="00A05EF2">
      <w:pPr>
        <w:tabs>
          <w:tab w:val="left" w:pos="1318"/>
        </w:tabs>
        <w:ind w:firstLine="0"/>
        <w:rPr>
          <w:rFonts w:ascii="Traditional Arabic" w:hAnsi="Traditional Arabic"/>
          <w:color w:val="0D0D0D" w:themeColor="text1" w:themeTint="F2"/>
          <w:sz w:val="32"/>
          <w:szCs w:val="32"/>
          <w:rtl/>
        </w:rPr>
      </w:pPr>
      <w:r w:rsidRPr="00A05EF2">
        <w:rPr>
          <w:rFonts w:ascii="Traditional Arabic" w:hAnsi="Traditional Arabic"/>
          <w:color w:val="0D0D0D" w:themeColor="text1" w:themeTint="F2"/>
          <w:sz w:val="32"/>
          <w:szCs w:val="32"/>
          <w:rtl/>
        </w:rPr>
        <w:t>كلية القرآن الكريم والدراسات الإسلامية</w:t>
      </w:r>
    </w:p>
    <w:p w:rsidR="00D11232" w:rsidRPr="00A05EF2" w:rsidRDefault="00D11232" w:rsidP="00A05EF2">
      <w:pPr>
        <w:tabs>
          <w:tab w:val="left" w:pos="1318"/>
        </w:tabs>
        <w:rPr>
          <w:rFonts w:ascii="Traditional Arabic" w:hAnsi="Traditional Arabic"/>
          <w:color w:val="0D0D0D" w:themeColor="text1" w:themeTint="F2"/>
          <w:sz w:val="32"/>
          <w:szCs w:val="32"/>
          <w:rtl/>
        </w:rPr>
      </w:pPr>
      <w:r w:rsidRPr="00A05EF2">
        <w:rPr>
          <w:rFonts w:ascii="Traditional Arabic" w:hAnsi="Traditional Arabic"/>
          <w:color w:val="0D0D0D" w:themeColor="text1" w:themeTint="F2"/>
          <w:sz w:val="32"/>
          <w:szCs w:val="32"/>
          <w:rtl/>
        </w:rPr>
        <w:t>قسم التفسير وعلوم القرآن</w:t>
      </w:r>
    </w:p>
    <w:p w:rsidR="00D11232" w:rsidRPr="00A05EF2" w:rsidRDefault="00D07E23" w:rsidP="004C4F88">
      <w:pPr>
        <w:tabs>
          <w:tab w:val="left" w:pos="1318"/>
        </w:tabs>
        <w:rPr>
          <w:rFonts w:ascii="Traditional Arabic" w:hAnsi="Traditional Arabic"/>
          <w:color w:val="0D0D0D" w:themeColor="text1" w:themeTint="F2"/>
          <w:sz w:val="32"/>
          <w:szCs w:val="32"/>
          <w:rtl/>
        </w:rPr>
      </w:pPr>
      <w:r w:rsidRPr="00A05EF2">
        <w:rPr>
          <w:rFonts w:ascii="Traditional Arabic" w:hAnsi="Traditional Arabic" w:hint="cs"/>
          <w:color w:val="0D0D0D" w:themeColor="text1" w:themeTint="F2"/>
          <w:sz w:val="32"/>
          <w:szCs w:val="32"/>
          <w:rtl/>
        </w:rPr>
        <w:t xml:space="preserve">    </w:t>
      </w:r>
    </w:p>
    <w:p w:rsidR="00D11232" w:rsidRPr="00C17B7B" w:rsidRDefault="00D11232" w:rsidP="00D11232">
      <w:pPr>
        <w:spacing w:after="120" w:line="14" w:lineRule="auto"/>
        <w:rPr>
          <w:rFonts w:ascii="Librarian" w:hAnsi="Librarian" w:cs="mylotus"/>
          <w:color w:val="0D0D0D" w:themeColor="text1" w:themeTint="F2"/>
          <w:szCs w:val="27"/>
          <w:rtl/>
        </w:rPr>
      </w:pPr>
    </w:p>
    <w:p w:rsidR="00A05EF2" w:rsidRDefault="00A05EF2" w:rsidP="00A05EF2">
      <w:pPr>
        <w:tabs>
          <w:tab w:val="left" w:pos="1663"/>
          <w:tab w:val="center" w:pos="4478"/>
        </w:tabs>
        <w:jc w:val="left"/>
        <w:rPr>
          <w:rFonts w:ascii="Traditional Arabic" w:hAnsi="Traditional Arabic"/>
          <w:b/>
          <w:bCs/>
          <w:sz w:val="72"/>
          <w:szCs w:val="72"/>
          <w:rtl/>
        </w:rPr>
      </w:pPr>
      <w:r>
        <w:rPr>
          <w:rFonts w:ascii="Traditional Arabic" w:hAnsi="Traditional Arabic"/>
          <w:b/>
          <w:bCs/>
          <w:sz w:val="72"/>
          <w:szCs w:val="72"/>
          <w:rtl/>
        </w:rPr>
        <w:tab/>
      </w:r>
    </w:p>
    <w:p w:rsidR="003D3C3A" w:rsidRPr="003D3C3A" w:rsidRDefault="003D3C3A" w:rsidP="003D3C3A">
      <w:pPr>
        <w:tabs>
          <w:tab w:val="left" w:pos="1663"/>
          <w:tab w:val="center" w:pos="4478"/>
        </w:tabs>
        <w:jc w:val="center"/>
        <w:rPr>
          <w:rFonts w:ascii="Traditional Arabic" w:hAnsi="Traditional Arabic" w:cs="PT Bold Heading"/>
          <w:b/>
          <w:bCs/>
          <w:sz w:val="40"/>
          <w:szCs w:val="40"/>
          <w:rtl/>
        </w:rPr>
      </w:pPr>
      <w:r w:rsidRPr="003D3C3A">
        <w:rPr>
          <w:rFonts w:ascii="Traditional Arabic" w:hAnsi="Traditional Arabic" w:cs="PT Bold Heading"/>
          <w:b/>
          <w:bCs/>
          <w:sz w:val="40"/>
          <w:szCs w:val="40"/>
          <w:rtl/>
        </w:rPr>
        <w:t>زاد المسير في علم التفسير</w:t>
      </w:r>
    </w:p>
    <w:p w:rsidR="003D3C3A" w:rsidRPr="003D3C3A" w:rsidRDefault="003D3C3A" w:rsidP="003D3C3A">
      <w:pPr>
        <w:ind w:firstLine="0"/>
        <w:contextualSpacing/>
        <w:jc w:val="center"/>
        <w:rPr>
          <w:rFonts w:ascii="Traditional Arabic" w:eastAsia="Calibri" w:hAnsi="Traditional Arabic" w:cs="PT Bold Heading"/>
          <w:b/>
          <w:bCs/>
          <w:color w:val="auto"/>
          <w:sz w:val="40"/>
          <w:szCs w:val="40"/>
          <w:rtl/>
        </w:rPr>
      </w:pPr>
      <w:r w:rsidRPr="003D3C3A">
        <w:rPr>
          <w:rFonts w:ascii="Traditional Arabic" w:hAnsi="Traditional Arabic" w:cs="PT Bold Heading"/>
          <w:b/>
          <w:bCs/>
          <w:sz w:val="40"/>
          <w:szCs w:val="40"/>
          <w:rtl/>
        </w:rPr>
        <w:t xml:space="preserve">للإمام </w:t>
      </w:r>
      <w:r w:rsidRPr="003D3C3A">
        <w:rPr>
          <w:rFonts w:ascii="Traditional Arabic" w:eastAsia="Calibri" w:hAnsi="Traditional Arabic" w:cs="PT Bold Heading"/>
          <w:b/>
          <w:bCs/>
          <w:color w:val="auto"/>
          <w:sz w:val="40"/>
          <w:szCs w:val="40"/>
          <w:rtl/>
        </w:rPr>
        <w:t>أبي الفرج</w:t>
      </w:r>
      <w:r w:rsidRPr="003D3C3A">
        <w:rPr>
          <w:rFonts w:ascii="Traditional Arabic" w:eastAsia="Calibri" w:hAnsi="Traditional Arabic" w:cs="PT Bold Heading" w:hint="cs"/>
          <w:b/>
          <w:bCs/>
          <w:color w:val="auto"/>
          <w:sz w:val="40"/>
          <w:szCs w:val="40"/>
          <w:rtl/>
        </w:rPr>
        <w:t xml:space="preserve"> جمال الدين</w:t>
      </w:r>
      <w:r w:rsidRPr="003D3C3A">
        <w:rPr>
          <w:rFonts w:ascii="Traditional Arabic" w:eastAsia="Calibri" w:hAnsi="Traditional Arabic" w:cs="PT Bold Heading"/>
          <w:b/>
          <w:bCs/>
          <w:color w:val="auto"/>
          <w:sz w:val="40"/>
          <w:szCs w:val="40"/>
          <w:rtl/>
        </w:rPr>
        <w:t xml:space="preserve"> عبد الرحمن بن علي بن محمد بن الجوزي (ت 597 هـ)</w:t>
      </w:r>
    </w:p>
    <w:p w:rsidR="003D3C3A" w:rsidRPr="003D3C3A" w:rsidRDefault="003D3C3A" w:rsidP="003D3C3A">
      <w:pPr>
        <w:ind w:firstLine="0"/>
        <w:contextualSpacing/>
        <w:jc w:val="center"/>
        <w:rPr>
          <w:rFonts w:ascii="Traditional Arabic" w:eastAsia="Calibri" w:hAnsi="Traditional Arabic"/>
          <w:b/>
          <w:bCs/>
          <w:color w:val="auto"/>
          <w:rtl/>
        </w:rPr>
      </w:pPr>
      <w:r w:rsidRPr="003D3C3A">
        <w:rPr>
          <w:rFonts w:ascii="Traditional Arabic" w:eastAsia="Calibri" w:hAnsi="Traditional Arabic"/>
          <w:b/>
          <w:bCs/>
          <w:color w:val="auto"/>
          <w:rtl/>
        </w:rPr>
        <w:t xml:space="preserve">من </w:t>
      </w:r>
      <w:r w:rsidRPr="003D3C3A">
        <w:rPr>
          <w:rFonts w:ascii="Traditional Arabic" w:eastAsia="Calibri" w:hAnsi="Traditional Arabic" w:hint="cs"/>
          <w:b/>
          <w:bCs/>
          <w:color w:val="auto"/>
          <w:rtl/>
        </w:rPr>
        <w:t>ال</w:t>
      </w:r>
      <w:r w:rsidRPr="003D3C3A">
        <w:rPr>
          <w:rFonts w:ascii="Traditional Arabic" w:eastAsia="Calibri" w:hAnsi="Traditional Arabic"/>
          <w:b/>
          <w:bCs/>
          <w:color w:val="auto"/>
          <w:rtl/>
        </w:rPr>
        <w:t>آية رقم (59) من سورة ال</w:t>
      </w:r>
      <w:r w:rsidRPr="003D3C3A">
        <w:rPr>
          <w:rFonts w:ascii="Traditional Arabic" w:eastAsia="Calibri" w:hAnsi="Traditional Arabic" w:hint="cs"/>
          <w:b/>
          <w:bCs/>
          <w:color w:val="auto"/>
          <w:rtl/>
        </w:rPr>
        <w:t>إ</w:t>
      </w:r>
      <w:r w:rsidRPr="003D3C3A">
        <w:rPr>
          <w:rFonts w:ascii="Traditional Arabic" w:eastAsia="Calibri" w:hAnsi="Traditional Arabic"/>
          <w:b/>
          <w:bCs/>
          <w:color w:val="auto"/>
          <w:rtl/>
        </w:rPr>
        <w:t xml:space="preserve">سراء إلى نهاية </w:t>
      </w:r>
      <w:r w:rsidRPr="003D3C3A">
        <w:rPr>
          <w:rFonts w:ascii="Traditional Arabic" w:eastAsia="Calibri" w:hAnsi="Traditional Arabic" w:hint="cs"/>
          <w:b/>
          <w:bCs/>
          <w:color w:val="auto"/>
          <w:rtl/>
        </w:rPr>
        <w:t>ال</w:t>
      </w:r>
      <w:r w:rsidRPr="003D3C3A">
        <w:rPr>
          <w:rFonts w:ascii="Traditional Arabic" w:eastAsia="Calibri" w:hAnsi="Traditional Arabic"/>
          <w:b/>
          <w:bCs/>
          <w:color w:val="auto"/>
          <w:rtl/>
        </w:rPr>
        <w:t>آية رقم (40) من سورة مريم</w:t>
      </w:r>
      <w:r w:rsidRPr="003D3C3A">
        <w:rPr>
          <w:rFonts w:ascii="Traditional Arabic" w:eastAsia="Calibri" w:hAnsi="Traditional Arabic" w:hint="cs"/>
          <w:b/>
          <w:bCs/>
          <w:color w:val="auto"/>
          <w:rtl/>
        </w:rPr>
        <w:t xml:space="preserve"> </w:t>
      </w:r>
    </w:p>
    <w:p w:rsidR="003D3C3A" w:rsidRPr="003D3C3A" w:rsidRDefault="003D3C3A" w:rsidP="003D3C3A">
      <w:pPr>
        <w:ind w:firstLine="0"/>
        <w:contextualSpacing/>
        <w:jc w:val="center"/>
        <w:rPr>
          <w:rFonts w:ascii="Traditional Arabic" w:eastAsia="Calibri" w:hAnsi="Traditional Arabic"/>
          <w:b/>
          <w:bCs/>
          <w:color w:val="auto"/>
          <w:rtl/>
        </w:rPr>
      </w:pPr>
      <w:r w:rsidRPr="003D3C3A">
        <w:rPr>
          <w:rFonts w:ascii="Traditional Arabic" w:eastAsia="Calibri" w:hAnsi="Traditional Arabic" w:hint="cs"/>
          <w:b/>
          <w:bCs/>
          <w:color w:val="auto"/>
          <w:rtl/>
        </w:rPr>
        <w:t>(</w:t>
      </w:r>
      <w:r w:rsidRPr="003D3C3A">
        <w:rPr>
          <w:rFonts w:ascii="Traditional Arabic" w:eastAsia="Calibri" w:hAnsi="Traditional Arabic"/>
          <w:b/>
          <w:bCs/>
          <w:color w:val="auto"/>
          <w:rtl/>
        </w:rPr>
        <w:t>دراسة</w:t>
      </w:r>
      <w:r w:rsidRPr="003D3C3A">
        <w:rPr>
          <w:rFonts w:ascii="Traditional Arabic" w:eastAsia="Calibri" w:hAnsi="Traditional Arabic" w:hint="cs"/>
          <w:b/>
          <w:bCs/>
          <w:color w:val="auto"/>
          <w:rtl/>
        </w:rPr>
        <w:t>ً</w:t>
      </w:r>
      <w:r w:rsidRPr="003D3C3A">
        <w:rPr>
          <w:rFonts w:ascii="Traditional Arabic" w:eastAsia="Calibri" w:hAnsi="Traditional Arabic"/>
          <w:b/>
          <w:bCs/>
          <w:color w:val="auto"/>
          <w:rtl/>
        </w:rPr>
        <w:t xml:space="preserve"> وتحقيقا</w:t>
      </w:r>
      <w:r w:rsidRPr="003D3C3A">
        <w:rPr>
          <w:rFonts w:ascii="Traditional Arabic" w:eastAsia="Calibri" w:hAnsi="Traditional Arabic" w:hint="cs"/>
          <w:b/>
          <w:bCs/>
          <w:color w:val="auto"/>
          <w:rtl/>
        </w:rPr>
        <w:t>ً)</w:t>
      </w:r>
    </w:p>
    <w:p w:rsidR="00D11232" w:rsidRPr="00C17B7B" w:rsidRDefault="00D11232" w:rsidP="002F19D8">
      <w:pPr>
        <w:contextualSpacing/>
        <w:jc w:val="center"/>
        <w:rPr>
          <w:rFonts w:ascii="Traditional Arabic" w:eastAsia="Calibri" w:hAnsi="Traditional Arabic"/>
          <w:b/>
          <w:bCs/>
          <w:color w:val="auto"/>
          <w:rtl/>
        </w:rPr>
      </w:pPr>
      <w:r w:rsidRPr="00C17B7B">
        <w:rPr>
          <w:rFonts w:ascii="Traditional Arabic" w:eastAsia="Calibri" w:hAnsi="Traditional Arabic" w:hint="cs"/>
          <w:b/>
          <w:bCs/>
          <w:color w:val="auto"/>
          <w:rtl/>
        </w:rPr>
        <w:t>رسالة علمية مقدمة لنيل درجة العالمية (</w:t>
      </w:r>
      <w:r w:rsidR="002F19D8">
        <w:rPr>
          <w:rFonts w:ascii="Traditional Arabic" w:eastAsia="Calibri" w:hAnsi="Traditional Arabic" w:hint="cs"/>
          <w:b/>
          <w:bCs/>
          <w:color w:val="auto"/>
          <w:rtl/>
        </w:rPr>
        <w:t>الماجستير</w:t>
      </w:r>
      <w:r w:rsidRPr="00C17B7B">
        <w:rPr>
          <w:rFonts w:ascii="Traditional Arabic" w:eastAsia="Calibri" w:hAnsi="Traditional Arabic" w:hint="cs"/>
          <w:b/>
          <w:bCs/>
          <w:color w:val="auto"/>
          <w:rtl/>
        </w:rPr>
        <w:t>)</w:t>
      </w:r>
    </w:p>
    <w:p w:rsidR="000E0098" w:rsidRDefault="000E0098" w:rsidP="00D11232">
      <w:pPr>
        <w:contextualSpacing/>
        <w:jc w:val="center"/>
        <w:rPr>
          <w:rFonts w:ascii="Traditional Arabic" w:eastAsia="Calibri" w:hAnsi="Traditional Arabic"/>
          <w:b/>
          <w:bCs/>
          <w:color w:val="auto"/>
          <w:rtl/>
        </w:rPr>
      </w:pPr>
    </w:p>
    <w:p w:rsidR="00D11232" w:rsidRPr="00C17B7B" w:rsidRDefault="00D11232" w:rsidP="00D11232">
      <w:pPr>
        <w:contextualSpacing/>
        <w:jc w:val="center"/>
        <w:rPr>
          <w:rFonts w:ascii="Traditional Arabic" w:eastAsia="Calibri" w:hAnsi="Traditional Arabic"/>
          <w:b/>
          <w:bCs/>
          <w:color w:val="auto"/>
          <w:rtl/>
        </w:rPr>
      </w:pPr>
      <w:r w:rsidRPr="00C17B7B">
        <w:rPr>
          <w:rFonts w:ascii="Traditional Arabic" w:eastAsia="Calibri" w:hAnsi="Traditional Arabic" w:hint="cs"/>
          <w:b/>
          <w:bCs/>
          <w:color w:val="auto"/>
          <w:rtl/>
        </w:rPr>
        <w:t>إعداد الطالب</w:t>
      </w:r>
      <w:r w:rsidR="00D07E23">
        <w:rPr>
          <w:rFonts w:ascii="Traditional Arabic" w:eastAsia="Calibri" w:hAnsi="Traditional Arabic" w:hint="cs"/>
          <w:b/>
          <w:bCs/>
          <w:color w:val="auto"/>
          <w:rtl/>
        </w:rPr>
        <w:t>:</w:t>
      </w:r>
    </w:p>
    <w:p w:rsidR="00D11232" w:rsidRDefault="00D11232" w:rsidP="00D11232">
      <w:pPr>
        <w:contextualSpacing/>
        <w:jc w:val="center"/>
        <w:rPr>
          <w:rFonts w:ascii="Traditional Arabic" w:eastAsia="Calibri" w:hAnsi="Traditional Arabic"/>
          <w:b/>
          <w:bCs/>
          <w:color w:val="auto"/>
          <w:rtl/>
        </w:rPr>
      </w:pPr>
      <w:r w:rsidRPr="00C17B7B">
        <w:rPr>
          <w:rFonts w:ascii="Traditional Arabic" w:eastAsia="Calibri" w:hAnsi="Traditional Arabic" w:hint="cs"/>
          <w:b/>
          <w:bCs/>
          <w:noProof/>
          <w:color w:val="auto"/>
          <w:rtl/>
        </w:rPr>
        <w:t xml:space="preserve">مسعود </w:t>
      </w:r>
      <w:r w:rsidR="001662C4">
        <w:rPr>
          <w:rFonts w:ascii="Traditional Arabic" w:eastAsia="Calibri" w:hAnsi="Traditional Arabic" w:hint="cs"/>
          <w:b/>
          <w:bCs/>
          <w:noProof/>
          <w:color w:val="auto"/>
          <w:rtl/>
        </w:rPr>
        <w:t xml:space="preserve">بن </w:t>
      </w:r>
      <w:r w:rsidRPr="00C17B7B">
        <w:rPr>
          <w:rFonts w:ascii="Traditional Arabic" w:eastAsia="Calibri" w:hAnsi="Traditional Arabic" w:hint="cs"/>
          <w:b/>
          <w:bCs/>
          <w:noProof/>
          <w:color w:val="auto"/>
          <w:rtl/>
        </w:rPr>
        <w:t xml:space="preserve">راشد </w:t>
      </w:r>
      <w:r w:rsidR="001662C4">
        <w:rPr>
          <w:rFonts w:ascii="Traditional Arabic" w:eastAsia="Calibri" w:hAnsi="Traditional Arabic" w:hint="cs"/>
          <w:b/>
          <w:bCs/>
          <w:noProof/>
          <w:color w:val="auto"/>
          <w:rtl/>
        </w:rPr>
        <w:t xml:space="preserve">بن </w:t>
      </w:r>
      <w:r w:rsidRPr="00C17B7B">
        <w:rPr>
          <w:rFonts w:ascii="Traditional Arabic" w:eastAsia="Calibri" w:hAnsi="Traditional Arabic" w:hint="cs"/>
          <w:b/>
          <w:bCs/>
          <w:noProof/>
          <w:color w:val="auto"/>
          <w:rtl/>
        </w:rPr>
        <w:t>حمد الهاشمي</w:t>
      </w:r>
    </w:p>
    <w:p w:rsidR="000E0098" w:rsidRPr="00C17B7B" w:rsidRDefault="000E0098" w:rsidP="00D11232">
      <w:pPr>
        <w:contextualSpacing/>
        <w:jc w:val="center"/>
        <w:rPr>
          <w:rFonts w:ascii="Traditional Arabic" w:eastAsia="Calibri" w:hAnsi="Traditional Arabic"/>
          <w:b/>
          <w:bCs/>
          <w:color w:val="auto"/>
          <w:rtl/>
        </w:rPr>
      </w:pPr>
    </w:p>
    <w:p w:rsidR="00D11232" w:rsidRPr="00C17B7B" w:rsidRDefault="00D11232" w:rsidP="00D11232">
      <w:pPr>
        <w:contextualSpacing/>
        <w:jc w:val="center"/>
        <w:rPr>
          <w:rFonts w:ascii="Traditional Arabic" w:eastAsia="Calibri" w:hAnsi="Traditional Arabic"/>
          <w:b/>
          <w:bCs/>
          <w:color w:val="auto"/>
          <w:rtl/>
        </w:rPr>
      </w:pPr>
      <w:r w:rsidRPr="00C17B7B">
        <w:rPr>
          <w:rFonts w:ascii="Traditional Arabic" w:eastAsia="Calibri" w:hAnsi="Traditional Arabic" w:hint="cs"/>
          <w:b/>
          <w:bCs/>
          <w:color w:val="auto"/>
          <w:rtl/>
        </w:rPr>
        <w:t>إشراف</w:t>
      </w:r>
      <w:r w:rsidR="000E0098">
        <w:rPr>
          <w:rFonts w:ascii="Traditional Arabic" w:eastAsia="Calibri" w:hAnsi="Traditional Arabic" w:hint="cs"/>
          <w:b/>
          <w:bCs/>
          <w:color w:val="auto"/>
          <w:rtl/>
        </w:rPr>
        <w:t xml:space="preserve"> فضيلة الشيخ:</w:t>
      </w:r>
    </w:p>
    <w:p w:rsidR="00D11232" w:rsidRPr="00C17B7B" w:rsidRDefault="00D11232" w:rsidP="00D11232">
      <w:pPr>
        <w:contextualSpacing/>
        <w:jc w:val="center"/>
        <w:rPr>
          <w:rFonts w:ascii="Traditional Arabic" w:eastAsia="Calibri" w:hAnsi="Traditional Arabic"/>
          <w:b/>
          <w:bCs/>
          <w:color w:val="auto"/>
          <w:rtl/>
        </w:rPr>
      </w:pPr>
      <w:r w:rsidRPr="00C17B7B">
        <w:rPr>
          <w:rFonts w:ascii="Traditional Arabic" w:eastAsia="Calibri" w:hAnsi="Traditional Arabic" w:hint="cs"/>
          <w:b/>
          <w:bCs/>
          <w:color w:val="auto"/>
          <w:rtl/>
        </w:rPr>
        <w:t xml:space="preserve">د. أمجد </w:t>
      </w:r>
      <w:r w:rsidR="001662C4">
        <w:rPr>
          <w:rFonts w:ascii="Traditional Arabic" w:eastAsia="Calibri" w:hAnsi="Traditional Arabic" w:hint="cs"/>
          <w:b/>
          <w:bCs/>
          <w:color w:val="auto"/>
          <w:rtl/>
        </w:rPr>
        <w:t xml:space="preserve">بن </w:t>
      </w:r>
      <w:r w:rsidRPr="00C17B7B">
        <w:rPr>
          <w:rFonts w:ascii="Traditional Arabic" w:eastAsia="Calibri" w:hAnsi="Traditional Arabic" w:hint="cs"/>
          <w:b/>
          <w:bCs/>
          <w:color w:val="auto"/>
          <w:rtl/>
        </w:rPr>
        <w:t>محمد</w:t>
      </w:r>
      <w:r w:rsidR="001662C4">
        <w:rPr>
          <w:rFonts w:ascii="Traditional Arabic" w:eastAsia="Calibri" w:hAnsi="Traditional Arabic" w:hint="cs"/>
          <w:b/>
          <w:bCs/>
          <w:color w:val="auto"/>
          <w:rtl/>
        </w:rPr>
        <w:t xml:space="preserve"> بن محمد</w:t>
      </w:r>
      <w:r w:rsidRPr="00C17B7B">
        <w:rPr>
          <w:rFonts w:ascii="Traditional Arabic" w:eastAsia="Calibri" w:hAnsi="Traditional Arabic" w:hint="cs"/>
          <w:b/>
          <w:bCs/>
          <w:color w:val="auto"/>
          <w:rtl/>
        </w:rPr>
        <w:t xml:space="preserve"> زيدان</w:t>
      </w:r>
    </w:p>
    <w:p w:rsidR="00D11232" w:rsidRPr="00C17B7B" w:rsidRDefault="00D11232" w:rsidP="00D11232">
      <w:pPr>
        <w:contextualSpacing/>
        <w:jc w:val="center"/>
        <w:rPr>
          <w:rFonts w:ascii="Traditional Arabic" w:eastAsia="Calibri" w:hAnsi="Traditional Arabic"/>
          <w:b/>
          <w:bCs/>
          <w:color w:val="auto"/>
          <w:rtl/>
        </w:rPr>
      </w:pPr>
    </w:p>
    <w:p w:rsidR="001132D9" w:rsidRDefault="001132D9" w:rsidP="001132D9">
      <w:pPr>
        <w:tabs>
          <w:tab w:val="left" w:pos="2323"/>
        </w:tabs>
        <w:jc w:val="center"/>
        <w:rPr>
          <w:rFonts w:ascii="Traditional Arabic" w:eastAsia="Calibri" w:hAnsi="Traditional Arabic"/>
          <w:b/>
          <w:bCs/>
          <w:color w:val="auto"/>
          <w:rtl/>
        </w:rPr>
      </w:pPr>
      <w:r>
        <w:rPr>
          <w:rFonts w:ascii="Traditional Arabic" w:eastAsia="Calibri" w:hAnsi="Traditional Arabic" w:hint="cs"/>
          <w:b/>
          <w:bCs/>
          <w:color w:val="auto"/>
          <w:rtl/>
        </w:rPr>
        <w:t>العام الجامعي</w:t>
      </w:r>
      <w:r w:rsidR="00D11232" w:rsidRPr="00C17B7B">
        <w:rPr>
          <w:rFonts w:ascii="Traditional Arabic" w:eastAsia="Calibri" w:hAnsi="Traditional Arabic" w:hint="cs"/>
          <w:b/>
          <w:bCs/>
          <w:color w:val="auto"/>
          <w:rtl/>
        </w:rPr>
        <w:t>:</w:t>
      </w:r>
    </w:p>
    <w:p w:rsidR="00D11232" w:rsidRPr="00C17B7B" w:rsidRDefault="001132D9" w:rsidP="001132D9">
      <w:pPr>
        <w:tabs>
          <w:tab w:val="left" w:pos="2323"/>
        </w:tabs>
        <w:jc w:val="center"/>
        <w:rPr>
          <w:rFonts w:ascii="Librarian" w:hAnsi="Librarian" w:cs="mylotus"/>
          <w:szCs w:val="27"/>
          <w:rtl/>
        </w:rPr>
      </w:pPr>
      <w:r>
        <w:rPr>
          <w:rFonts w:ascii="Traditional Arabic" w:eastAsia="Calibri" w:hAnsi="Traditional Arabic" w:hint="cs"/>
          <w:b/>
          <w:bCs/>
          <w:color w:val="auto"/>
          <w:rtl/>
        </w:rPr>
        <w:t>(</w:t>
      </w:r>
      <w:r w:rsidR="00D11232" w:rsidRPr="00C17B7B">
        <w:rPr>
          <w:rFonts w:ascii="Traditional Arabic" w:eastAsia="Calibri" w:hAnsi="Traditional Arabic" w:hint="cs"/>
          <w:b/>
          <w:bCs/>
          <w:color w:val="auto"/>
          <w:rtl/>
        </w:rPr>
        <w:t>143</w:t>
      </w:r>
      <w:r w:rsidR="008B64F4">
        <w:rPr>
          <w:rFonts w:ascii="Traditional Arabic" w:eastAsia="Calibri" w:hAnsi="Traditional Arabic" w:hint="cs"/>
          <w:b/>
          <w:bCs/>
          <w:color w:val="auto"/>
          <w:rtl/>
        </w:rPr>
        <w:t>6</w:t>
      </w:r>
      <w:r w:rsidR="00D11232" w:rsidRPr="00C17B7B">
        <w:rPr>
          <w:rFonts w:ascii="Traditional Arabic" w:eastAsia="Calibri" w:hAnsi="Traditional Arabic" w:hint="cs"/>
          <w:b/>
          <w:bCs/>
          <w:color w:val="auto"/>
          <w:rtl/>
        </w:rPr>
        <w:t xml:space="preserve"> - 143</w:t>
      </w:r>
      <w:r w:rsidR="008B64F4">
        <w:rPr>
          <w:rFonts w:ascii="Traditional Arabic" w:eastAsia="Calibri" w:hAnsi="Traditional Arabic" w:hint="cs"/>
          <w:b/>
          <w:bCs/>
          <w:color w:val="auto"/>
          <w:rtl/>
        </w:rPr>
        <w:t>7</w:t>
      </w:r>
      <w:r w:rsidR="00D11232" w:rsidRPr="00C17B7B">
        <w:rPr>
          <w:rFonts w:ascii="Traditional Arabic" w:eastAsia="Calibri" w:hAnsi="Traditional Arabic" w:hint="cs"/>
          <w:b/>
          <w:bCs/>
          <w:color w:val="auto"/>
          <w:rtl/>
        </w:rPr>
        <w:t>هـ</w:t>
      </w:r>
      <w:r>
        <w:rPr>
          <w:rFonts w:ascii="Traditional Arabic" w:eastAsia="Calibri" w:hAnsi="Traditional Arabic" w:hint="cs"/>
          <w:b/>
          <w:bCs/>
          <w:color w:val="auto"/>
          <w:rtl/>
        </w:rPr>
        <w:t>)</w:t>
      </w:r>
    </w:p>
    <w:p w:rsidR="00D11232" w:rsidRPr="00C17B7B" w:rsidRDefault="00D11232" w:rsidP="00D11232">
      <w:pPr>
        <w:rPr>
          <w:rFonts w:ascii="Librarian" w:hAnsi="Librarian" w:cs="mylotus"/>
          <w:szCs w:val="27"/>
          <w:rtl/>
        </w:rPr>
        <w:sectPr w:rsidR="00D11232" w:rsidRPr="00C17B7B" w:rsidSect="00D11232">
          <w:headerReference w:type="default" r:id="rId10"/>
          <w:footerReference w:type="default" r:id="rId11"/>
          <w:headerReference w:type="first" r:id="rId12"/>
          <w:footerReference w:type="first" r:id="rId13"/>
          <w:footnotePr>
            <w:numRestart w:val="eachPage"/>
          </w:footnotePr>
          <w:pgSz w:w="11906" w:h="16838"/>
          <w:pgMar w:top="1758" w:right="1985" w:bottom="1588" w:left="1418" w:header="720" w:footer="720" w:gutter="0"/>
          <w:cols w:space="720"/>
          <w:bidi/>
          <w:rtlGutter/>
        </w:sectPr>
      </w:pPr>
    </w:p>
    <w:p w:rsidR="00D11232" w:rsidRPr="00C17B7B" w:rsidRDefault="00D11232" w:rsidP="00D11232">
      <w:pPr>
        <w:spacing w:after="120" w:line="14" w:lineRule="auto"/>
        <w:rPr>
          <w:rFonts w:ascii="Librarian" w:hAnsi="Librarian" w:cs="mylotus"/>
          <w:color w:val="0D0D0D" w:themeColor="text1" w:themeTint="F2"/>
          <w:szCs w:val="27"/>
          <w:rtl/>
        </w:rPr>
      </w:pPr>
    </w:p>
    <w:p w:rsidR="00D11232" w:rsidRPr="00C17B7B" w:rsidRDefault="00D11232" w:rsidP="00D11232">
      <w:pPr>
        <w:spacing w:after="120" w:line="14" w:lineRule="auto"/>
        <w:rPr>
          <w:rFonts w:ascii="mylotus" w:hAnsi="mylotus" w:cs="mylotus"/>
          <w:color w:val="0D0D0D" w:themeColor="text1" w:themeTint="F2"/>
          <w:sz w:val="24"/>
          <w:szCs w:val="24"/>
          <w:rtl/>
        </w:rPr>
      </w:pPr>
      <w:bookmarkStart w:id="0" w:name="_Toc169075277"/>
      <w:bookmarkStart w:id="1" w:name="_Toc212968089"/>
    </w:p>
    <w:p w:rsidR="00D11232" w:rsidRPr="00C17B7B" w:rsidRDefault="00D11232" w:rsidP="00D11232">
      <w:pPr>
        <w:spacing w:after="120"/>
        <w:rPr>
          <w:rFonts w:cs="Lotus Linotype"/>
          <w:color w:val="0D0D0D" w:themeColor="text1" w:themeTint="F2"/>
          <w:szCs w:val="34"/>
        </w:rPr>
      </w:pPr>
      <w:r w:rsidRPr="00C17B7B">
        <w:rPr>
          <w:noProof/>
          <w:color w:val="0D0D0D" w:themeColor="text1" w:themeTint="F2"/>
          <w:rtl/>
          <w:lang w:eastAsia="en-US"/>
        </w:rPr>
        <w:drawing>
          <wp:anchor distT="0" distB="0" distL="114300" distR="114300" simplePos="0" relativeHeight="251660288" behindDoc="0" locked="0" layoutInCell="1" allowOverlap="1" wp14:anchorId="4BCE9B1A" wp14:editId="5021019F">
            <wp:simplePos x="0" y="0"/>
            <wp:positionH relativeFrom="column">
              <wp:posOffset>1425575</wp:posOffset>
            </wp:positionH>
            <wp:positionV relativeFrom="paragraph">
              <wp:posOffset>1409065</wp:posOffset>
            </wp:positionV>
            <wp:extent cx="2371090" cy="3840480"/>
            <wp:effectExtent l="0" t="0" r="0" b="0"/>
            <wp:wrapTopAndBottom/>
            <wp:docPr id="1" name="صورة 1" descr="ABES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569" descr="ABES2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371090" cy="3840480"/>
                    </a:xfrm>
                    <a:prstGeom prst="rect">
                      <a:avLst/>
                    </a:prstGeom>
                    <a:noFill/>
                    <a:ln>
                      <a:noFill/>
                    </a:ln>
                  </pic:spPr>
                </pic:pic>
              </a:graphicData>
            </a:graphic>
          </wp:anchor>
        </w:drawing>
      </w:r>
      <w:r w:rsidRPr="00C17B7B">
        <w:rPr>
          <w:rFonts w:cs="Lotus Linotype"/>
          <w:color w:val="0D0D0D" w:themeColor="text1" w:themeTint="F2"/>
          <w:szCs w:val="34"/>
          <w:rtl/>
        </w:rPr>
        <w:br w:type="page"/>
      </w:r>
    </w:p>
    <w:p w:rsidR="00D11232" w:rsidRPr="00C17B7B" w:rsidRDefault="00D11232" w:rsidP="00D11232">
      <w:pPr>
        <w:spacing w:after="120"/>
        <w:rPr>
          <w:rFonts w:cs="Lotus Linotype"/>
          <w:color w:val="0D0D0D" w:themeColor="text1" w:themeTint="F2"/>
          <w:szCs w:val="34"/>
        </w:rPr>
      </w:pPr>
    </w:p>
    <w:p w:rsidR="00D11232" w:rsidRPr="00C17B7B" w:rsidRDefault="00D11232" w:rsidP="00D11232">
      <w:pPr>
        <w:spacing w:after="120" w:line="540" w:lineRule="exact"/>
        <w:ind w:firstLine="573"/>
        <w:rPr>
          <w:rFonts w:cs="Lotus Linotype"/>
          <w:color w:val="0D0D0D" w:themeColor="text1" w:themeTint="F2"/>
          <w:szCs w:val="34"/>
          <w:rtl/>
        </w:rPr>
      </w:pPr>
      <w:r w:rsidRPr="00C17B7B">
        <w:rPr>
          <w:rFonts w:cs="Lotus Linotype"/>
          <w:noProof/>
          <w:color w:val="0D0D0D" w:themeColor="text1" w:themeTint="F2"/>
          <w:szCs w:val="34"/>
          <w:rtl/>
          <w:lang w:eastAsia="en-US"/>
        </w:rPr>
        <mc:AlternateContent>
          <mc:Choice Requires="wps">
            <w:drawing>
              <wp:anchor distT="0" distB="0" distL="114300" distR="114300" simplePos="0" relativeHeight="251659264" behindDoc="1" locked="0" layoutInCell="1" allowOverlap="1" wp14:anchorId="1D480E0D" wp14:editId="704FC1AA">
                <wp:simplePos x="0" y="0"/>
                <wp:positionH relativeFrom="margin">
                  <wp:align>center</wp:align>
                </wp:positionH>
                <wp:positionV relativeFrom="page">
                  <wp:align>center</wp:align>
                </wp:positionV>
                <wp:extent cx="4867275" cy="7799705"/>
                <wp:effectExtent l="0" t="0" r="1905" b="3810"/>
                <wp:wrapNone/>
                <wp:docPr id="2" name="Text Box 8" descr="الوصف: زخرفة"/>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67275" cy="7799705"/>
                        </a:xfrm>
                        <a:prstGeom prst="rect">
                          <a:avLst/>
                        </a:prstGeom>
                        <a:blipFill dpi="0" rotWithShape="1">
                          <a:blip r:embed="rId15"/>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F128F" w:rsidRDefault="003F128F" w:rsidP="00D11232">
                            <w:pPr>
                              <w:pStyle w:val="aff3"/>
                              <w:spacing w:before="240" w:line="240" w:lineRule="auto"/>
                              <w:jc w:val="center"/>
                              <w:rPr>
                                <w:rFonts w:ascii="Lotus Linotype" w:hAnsi="Lotus Linotype" w:cs="Lotus Linotype"/>
                                <w:b/>
                                <w:szCs w:val="34"/>
                                <w:rtl/>
                              </w:rPr>
                            </w:pPr>
                          </w:p>
                          <w:p w:rsidR="003F128F" w:rsidRDefault="003F128F" w:rsidP="00D11232">
                            <w:pPr>
                              <w:pStyle w:val="aff3"/>
                              <w:spacing w:before="240" w:line="240" w:lineRule="auto"/>
                              <w:jc w:val="center"/>
                              <w:rPr>
                                <w:rFonts w:ascii="Lotus Linotype" w:hAnsi="Lotus Linotype" w:cs="Lotus Linotype"/>
                                <w:b/>
                                <w:szCs w:val="34"/>
                                <w:rtl/>
                              </w:rPr>
                            </w:pPr>
                          </w:p>
                          <w:p w:rsidR="003F128F" w:rsidRDefault="003F128F" w:rsidP="00D11232">
                            <w:pPr>
                              <w:pStyle w:val="aff3"/>
                              <w:spacing w:before="240" w:line="240" w:lineRule="auto"/>
                              <w:jc w:val="center"/>
                              <w:rPr>
                                <w:rFonts w:ascii="Lotus Linotype" w:hAnsi="Lotus Linotype" w:cs="Lotus Linotype"/>
                                <w:b/>
                                <w:szCs w:val="34"/>
                                <w:rtl/>
                              </w:rPr>
                            </w:pPr>
                          </w:p>
                          <w:p w:rsidR="003F128F" w:rsidRPr="00D508F6" w:rsidRDefault="003F128F" w:rsidP="00D11232">
                            <w:pPr>
                              <w:pStyle w:val="aff3"/>
                              <w:spacing w:before="240" w:line="240" w:lineRule="auto"/>
                              <w:jc w:val="center"/>
                              <w:rPr>
                                <w:rFonts w:ascii="Lotus Linotype" w:hAnsi="Lotus Linotype" w:cs="Lotus Linotype"/>
                                <w:b/>
                                <w:sz w:val="12"/>
                                <w:szCs w:val="10"/>
                                <w:rtl/>
                              </w:rPr>
                            </w:pPr>
                          </w:p>
                          <w:p w:rsidR="003F128F" w:rsidRPr="007C4037" w:rsidRDefault="003F128F" w:rsidP="00D11232">
                            <w:pPr>
                              <w:pStyle w:val="aff3"/>
                              <w:spacing w:before="240" w:line="240" w:lineRule="auto"/>
                              <w:jc w:val="center"/>
                              <w:rPr>
                                <w:rFonts w:ascii="Lotus Linotype" w:hAnsi="Lotus Linotype" w:cs="Lotus Linotype"/>
                                <w:b/>
                                <w:szCs w:val="34"/>
                                <w:rtl/>
                              </w:rPr>
                            </w:pPr>
                          </w:p>
                          <w:p w:rsidR="003F128F" w:rsidRPr="007C4037" w:rsidRDefault="003F128F" w:rsidP="00D11232">
                            <w:pPr>
                              <w:pStyle w:val="aff3"/>
                              <w:spacing w:before="240" w:line="240" w:lineRule="auto"/>
                              <w:jc w:val="left"/>
                              <w:rPr>
                                <w:rFonts w:ascii="Lotus Linotype" w:hAnsi="Lotus Linotype" w:cs="Lotus Linotype"/>
                                <w:b/>
                                <w:szCs w:val="34"/>
                                <w:rt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 o:spid="_x0000_s1026" type="#_x0000_t202" alt="الوصف: زخرفة" style="position:absolute;left:0;text-align:left;margin-left:0;margin-top:0;width:383.25pt;height:614.15pt;z-index:-251657216;visibility:visible;mso-wrap-style:square;mso-width-percent:0;mso-height-percent:0;mso-wrap-distance-left:9pt;mso-wrap-distance-top:0;mso-wrap-distance-right:9pt;mso-wrap-distance-bottom:0;mso-position-horizontal:center;mso-position-horizontal-relative:margin;mso-position-vertical:center;mso-position-vertical-relative:page;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" stroked="f">
                <v:fill r:id="rId16" o:title=" زخرفة" recolor="t" rotate="t" type="frame"/>
                <v:textbox>
                  <w:txbxContent>
                    <w:p w:rsidR="003F128F" w:rsidRDefault="003F128F" w:rsidP="00D11232">
                      <w:pPr>
                        <w:pStyle w:val="aff3"/>
                        <w:spacing w:before="240" w:line="240" w:lineRule="auto"/>
                        <w:jc w:val="center"/>
                        <w:rPr>
                          <w:rFonts w:ascii="Lotus Linotype" w:hAnsi="Lotus Linotype" w:cs="Lotus Linotype"/>
                          <w:b/>
                          <w:szCs w:val="34"/>
                          <w:rtl/>
                        </w:rPr>
                      </w:pPr>
                    </w:p>
                    <w:p w:rsidR="003F128F" w:rsidRDefault="003F128F" w:rsidP="00D11232">
                      <w:pPr>
                        <w:pStyle w:val="aff3"/>
                        <w:spacing w:before="240" w:line="240" w:lineRule="auto"/>
                        <w:jc w:val="center"/>
                        <w:rPr>
                          <w:rFonts w:ascii="Lotus Linotype" w:hAnsi="Lotus Linotype" w:cs="Lotus Linotype"/>
                          <w:b/>
                          <w:szCs w:val="34"/>
                          <w:rtl/>
                        </w:rPr>
                      </w:pPr>
                    </w:p>
                    <w:p w:rsidR="003F128F" w:rsidRDefault="003F128F" w:rsidP="00D11232">
                      <w:pPr>
                        <w:pStyle w:val="aff3"/>
                        <w:spacing w:before="240" w:line="240" w:lineRule="auto"/>
                        <w:jc w:val="center"/>
                        <w:rPr>
                          <w:rFonts w:ascii="Lotus Linotype" w:hAnsi="Lotus Linotype" w:cs="Lotus Linotype"/>
                          <w:b/>
                          <w:szCs w:val="34"/>
                          <w:rtl/>
                        </w:rPr>
                      </w:pPr>
                    </w:p>
                    <w:p w:rsidR="003F128F" w:rsidRPr="00D508F6" w:rsidRDefault="003F128F" w:rsidP="00D11232">
                      <w:pPr>
                        <w:pStyle w:val="aff3"/>
                        <w:spacing w:before="240" w:line="240" w:lineRule="auto"/>
                        <w:jc w:val="center"/>
                        <w:rPr>
                          <w:rFonts w:ascii="Lotus Linotype" w:hAnsi="Lotus Linotype" w:cs="Lotus Linotype"/>
                          <w:b/>
                          <w:sz w:val="12"/>
                          <w:szCs w:val="10"/>
                          <w:rtl/>
                        </w:rPr>
                      </w:pPr>
                    </w:p>
                    <w:p w:rsidR="003F128F" w:rsidRPr="007C4037" w:rsidRDefault="003F128F" w:rsidP="00D11232">
                      <w:pPr>
                        <w:pStyle w:val="aff3"/>
                        <w:spacing w:before="240" w:line="240" w:lineRule="auto"/>
                        <w:jc w:val="center"/>
                        <w:rPr>
                          <w:rFonts w:ascii="Lotus Linotype" w:hAnsi="Lotus Linotype" w:cs="Lotus Linotype"/>
                          <w:b/>
                          <w:szCs w:val="34"/>
                          <w:rtl/>
                        </w:rPr>
                      </w:pPr>
                    </w:p>
                    <w:p w:rsidR="003F128F" w:rsidRPr="007C4037" w:rsidRDefault="003F128F" w:rsidP="00D11232">
                      <w:pPr>
                        <w:pStyle w:val="aff3"/>
                        <w:spacing w:before="240" w:line="240" w:lineRule="auto"/>
                        <w:jc w:val="left"/>
                        <w:rPr>
                          <w:rFonts w:ascii="Lotus Linotype" w:hAnsi="Lotus Linotype" w:cs="Lotus Linotype"/>
                          <w:b/>
                          <w:szCs w:val="34"/>
                          <w:rtl/>
                        </w:rPr>
                      </w:pPr>
                    </w:p>
                  </w:txbxContent>
                </v:textbox>
                <w10:wrap anchorx="margin" anchory="page"/>
              </v:shape>
            </w:pict>
          </mc:Fallback>
        </mc:AlternateContent>
      </w:r>
    </w:p>
    <w:p w:rsidR="00D11232" w:rsidRPr="00C17B7B" w:rsidRDefault="00D11232" w:rsidP="00D11232">
      <w:pPr>
        <w:spacing w:after="120" w:line="540" w:lineRule="exact"/>
        <w:ind w:firstLine="573"/>
        <w:rPr>
          <w:rFonts w:cs="Lotus Linotype"/>
          <w:color w:val="0D0D0D" w:themeColor="text1" w:themeTint="F2"/>
          <w:szCs w:val="34"/>
          <w:rtl/>
        </w:rPr>
      </w:pPr>
    </w:p>
    <w:p w:rsidR="00D11232" w:rsidRPr="00C17B7B" w:rsidRDefault="00D11232" w:rsidP="00D11232">
      <w:pPr>
        <w:spacing w:after="120" w:line="540" w:lineRule="exact"/>
        <w:ind w:firstLine="573"/>
        <w:rPr>
          <w:rFonts w:cs="Lotus Linotype"/>
          <w:color w:val="0D0D0D" w:themeColor="text1" w:themeTint="F2"/>
          <w:szCs w:val="34"/>
          <w:rtl/>
        </w:rPr>
      </w:pPr>
    </w:p>
    <w:p w:rsidR="00D11232" w:rsidRPr="00C17B7B" w:rsidRDefault="00D11232" w:rsidP="00D11232">
      <w:pPr>
        <w:spacing w:after="120" w:line="540" w:lineRule="exact"/>
        <w:ind w:firstLine="573"/>
        <w:rPr>
          <w:rFonts w:cs="Lotus Linotype"/>
          <w:color w:val="0D0D0D" w:themeColor="text1" w:themeTint="F2"/>
          <w:szCs w:val="34"/>
          <w:rtl/>
        </w:rPr>
      </w:pPr>
    </w:p>
    <w:p w:rsidR="00D11232" w:rsidRPr="00C17B7B" w:rsidRDefault="00D11232" w:rsidP="00D11232">
      <w:pPr>
        <w:spacing w:after="120" w:line="540" w:lineRule="exact"/>
        <w:ind w:firstLine="573"/>
        <w:rPr>
          <w:rFonts w:cs="Lotus Linotype"/>
          <w:color w:val="0D0D0D" w:themeColor="text1" w:themeTint="F2"/>
          <w:szCs w:val="34"/>
          <w:rtl/>
        </w:rPr>
      </w:pPr>
    </w:p>
    <w:p w:rsidR="00D11232" w:rsidRPr="00C17B7B" w:rsidRDefault="00D11232" w:rsidP="00D11232">
      <w:pPr>
        <w:spacing w:after="120"/>
        <w:ind w:left="1134" w:right="1134"/>
        <w:jc w:val="center"/>
        <w:rPr>
          <w:rFonts w:cs="MCS Taybah S_U normal."/>
          <w:b/>
          <w:bCs/>
          <w:color w:val="0D0D0D" w:themeColor="text1" w:themeTint="F2"/>
          <w:kern w:val="28"/>
          <w:sz w:val="64"/>
          <w:szCs w:val="88"/>
          <w:rtl/>
        </w:rPr>
      </w:pPr>
      <w:r w:rsidRPr="00C17B7B">
        <w:rPr>
          <w:rFonts w:cs="MCS Taybah S_U normal." w:hint="cs"/>
          <w:b/>
          <w:bCs/>
          <w:color w:val="0D0D0D" w:themeColor="text1" w:themeTint="F2"/>
          <w:kern w:val="28"/>
          <w:sz w:val="64"/>
          <w:szCs w:val="88"/>
          <w:rtl/>
        </w:rPr>
        <w:t>المقدمـــــة</w:t>
      </w:r>
      <w:r w:rsidRPr="00C17B7B">
        <w:rPr>
          <w:rFonts w:cs="MCS Taybah S_U normal."/>
          <w:b/>
          <w:bCs/>
          <w:color w:val="0D0D0D" w:themeColor="text1" w:themeTint="F2"/>
          <w:kern w:val="28"/>
          <w:sz w:val="64"/>
          <w:szCs w:val="88"/>
          <w:rtl/>
        </w:rPr>
        <w:fldChar w:fldCharType="begin"/>
      </w:r>
      <w:r w:rsidRPr="00C17B7B">
        <w:rPr>
          <w:rFonts w:ascii="Librarian" w:hAnsi="Librarian" w:cs="MCS ALMAALIM HIGH"/>
          <w:b/>
          <w:bCs/>
          <w:color w:val="0D0D0D" w:themeColor="text1" w:themeTint="F2"/>
          <w:kern w:val="28"/>
          <w:sz w:val="26"/>
          <w:szCs w:val="50"/>
        </w:rPr>
        <w:instrText xml:space="preserve"> XE "</w:instrText>
      </w:r>
      <w:r w:rsidRPr="00C17B7B">
        <w:rPr>
          <w:rFonts w:ascii="Librarian" w:hAnsi="Librarian" w:cs="MCS ALMAALIM HIGH" w:hint="eastAsia"/>
          <w:b/>
          <w:bCs/>
          <w:color w:val="0D0D0D" w:themeColor="text1" w:themeTint="F2"/>
          <w:kern w:val="28"/>
          <w:sz w:val="26"/>
          <w:szCs w:val="50"/>
          <w:rtl/>
        </w:rPr>
        <w:instrText>م</w:instrText>
      </w:r>
      <w:r w:rsidRPr="00C17B7B">
        <w:rPr>
          <w:rFonts w:ascii="Librarian" w:hAnsi="Librarian" w:cs="MCS ALMAALIM HIGH"/>
          <w:b/>
          <w:bCs/>
          <w:color w:val="0D0D0D" w:themeColor="text1" w:themeTint="F2"/>
          <w:kern w:val="28"/>
          <w:sz w:val="26"/>
          <w:szCs w:val="50"/>
          <w:rtl/>
        </w:rPr>
        <w:instrText>:</w:instrText>
      </w:r>
      <w:r w:rsidRPr="00C17B7B">
        <w:rPr>
          <w:rFonts w:ascii="Librarian" w:hAnsi="Librarian" w:cs="MCS ALMAALIM HIGH" w:hint="eastAsia"/>
          <w:b/>
          <w:bCs/>
          <w:color w:val="0D0D0D" w:themeColor="text1" w:themeTint="F2"/>
          <w:kern w:val="28"/>
          <w:sz w:val="26"/>
          <w:szCs w:val="50"/>
          <w:rtl/>
        </w:rPr>
        <w:instrText>المقدمـــــة</w:instrText>
      </w:r>
      <w:r w:rsidRPr="00C17B7B">
        <w:rPr>
          <w:rFonts w:ascii="Librarian" w:hAnsi="Librarian" w:cs="MCS ALMAALIM HIGH"/>
          <w:b/>
          <w:bCs/>
          <w:color w:val="0D0D0D" w:themeColor="text1" w:themeTint="F2"/>
          <w:kern w:val="28"/>
          <w:sz w:val="26"/>
          <w:szCs w:val="50"/>
        </w:rPr>
        <w:instrText xml:space="preserve">" </w:instrText>
      </w:r>
      <w:r w:rsidRPr="00C17B7B">
        <w:rPr>
          <w:rFonts w:cs="MCS Taybah S_U normal."/>
          <w:b/>
          <w:bCs/>
          <w:color w:val="0D0D0D" w:themeColor="text1" w:themeTint="F2"/>
          <w:kern w:val="28"/>
          <w:sz w:val="64"/>
          <w:szCs w:val="88"/>
          <w:rtl/>
        </w:rPr>
        <w:fldChar w:fldCharType="end"/>
      </w:r>
    </w:p>
    <w:p w:rsidR="00D11232" w:rsidRPr="00C17B7B" w:rsidRDefault="00D11232" w:rsidP="00D11232">
      <w:pPr>
        <w:spacing w:after="120"/>
        <w:rPr>
          <w:rFonts w:ascii="Lotus Linotype" w:hAnsi="Lotus Linotype" w:cs="AF_Diwani"/>
          <w:color w:val="0D0D0D" w:themeColor="text1" w:themeTint="F2"/>
          <w:rtl/>
        </w:rPr>
      </w:pPr>
    </w:p>
    <w:p w:rsidR="00D11232" w:rsidRPr="00C17B7B" w:rsidRDefault="00D11232" w:rsidP="00D11232">
      <w:pPr>
        <w:spacing w:after="120"/>
        <w:rPr>
          <w:rFonts w:ascii="Lotus Linotype" w:hAnsi="Lotus Linotype" w:cs="AF_Diwani"/>
          <w:color w:val="0D0D0D" w:themeColor="text1" w:themeTint="F2"/>
          <w:sz w:val="44"/>
          <w:szCs w:val="44"/>
          <w:rtl/>
        </w:rPr>
      </w:pPr>
      <w:r w:rsidRPr="00C17B7B">
        <w:rPr>
          <w:rFonts w:ascii="Lotus Linotype" w:hAnsi="Lotus Linotype" w:cs="AF_Diwani"/>
          <w:color w:val="0D0D0D" w:themeColor="text1" w:themeTint="F2"/>
          <w:sz w:val="44"/>
          <w:szCs w:val="44"/>
          <w:rtl/>
        </w:rPr>
        <w:t>وتشتمل على:</w:t>
      </w:r>
    </w:p>
    <w:p w:rsidR="00D11232" w:rsidRPr="00C17B7B" w:rsidRDefault="00D11232" w:rsidP="00D11232">
      <w:pPr>
        <w:spacing w:after="120"/>
        <w:rPr>
          <w:rFonts w:ascii="Lotus Linotype" w:hAnsi="Lotus Linotype" w:cs="AF_Diwani"/>
          <w:color w:val="0D0D0D" w:themeColor="text1" w:themeTint="F2"/>
          <w:rtl/>
        </w:rPr>
      </w:pPr>
    </w:p>
    <w:p w:rsidR="00D11232" w:rsidRPr="00C17B7B" w:rsidRDefault="00D11232" w:rsidP="00D11232">
      <w:pPr>
        <w:spacing w:after="120"/>
        <w:ind w:firstLine="1320"/>
        <w:rPr>
          <w:rFonts w:ascii="Lotus Linotype" w:hAnsi="Lotus Linotype"/>
          <w:b/>
          <w:bCs/>
          <w:color w:val="0D0D0D" w:themeColor="text1" w:themeTint="F2"/>
          <w:sz w:val="44"/>
          <w:szCs w:val="44"/>
          <w:rtl/>
        </w:rPr>
      </w:pPr>
      <w:r w:rsidRPr="00C17B7B">
        <w:rPr>
          <w:rFonts w:ascii="Lotus Linotype" w:hAnsi="Lotus Linotype"/>
          <w:b/>
          <w:bCs/>
          <w:color w:val="0D0D0D" w:themeColor="text1" w:themeTint="F2"/>
          <w:sz w:val="44"/>
          <w:szCs w:val="44"/>
          <w:rtl/>
        </w:rPr>
        <w:t xml:space="preserve">1) </w:t>
      </w:r>
      <w:r w:rsidRPr="00C17B7B">
        <w:rPr>
          <w:rFonts w:ascii="Lotus Linotype" w:hAnsi="Lotus Linotype" w:hint="cs"/>
          <w:b/>
          <w:bCs/>
          <w:color w:val="0D0D0D" w:themeColor="text1" w:themeTint="F2"/>
          <w:sz w:val="44"/>
          <w:szCs w:val="44"/>
          <w:rtl/>
        </w:rPr>
        <w:t>أهمية الموضوع, وأسباب اختياره.</w:t>
      </w:r>
    </w:p>
    <w:p w:rsidR="00D11232" w:rsidRPr="00C17B7B" w:rsidRDefault="00D11232" w:rsidP="00D11232">
      <w:pPr>
        <w:spacing w:after="120"/>
        <w:ind w:firstLine="1320"/>
        <w:rPr>
          <w:rFonts w:ascii="Lotus Linotype" w:hAnsi="Lotus Linotype"/>
          <w:b/>
          <w:bCs/>
          <w:color w:val="0D0D0D" w:themeColor="text1" w:themeTint="F2"/>
          <w:sz w:val="44"/>
          <w:szCs w:val="44"/>
          <w:rtl/>
        </w:rPr>
      </w:pPr>
      <w:r w:rsidRPr="00C17B7B">
        <w:rPr>
          <w:rFonts w:ascii="Lotus Linotype" w:hAnsi="Lotus Linotype" w:hint="cs"/>
          <w:b/>
          <w:bCs/>
          <w:color w:val="0D0D0D" w:themeColor="text1" w:themeTint="F2"/>
          <w:sz w:val="44"/>
          <w:szCs w:val="44"/>
          <w:rtl/>
        </w:rPr>
        <w:t>2)</w:t>
      </w:r>
      <w:r w:rsidR="00DC21B6">
        <w:rPr>
          <w:rFonts w:ascii="Lotus Linotype" w:hAnsi="Lotus Linotype" w:hint="cs"/>
          <w:b/>
          <w:bCs/>
          <w:color w:val="0D0D0D" w:themeColor="text1" w:themeTint="F2"/>
          <w:sz w:val="44"/>
          <w:szCs w:val="44"/>
          <w:rtl/>
        </w:rPr>
        <w:t xml:space="preserve"> </w:t>
      </w:r>
      <w:r w:rsidRPr="00C17B7B">
        <w:rPr>
          <w:rFonts w:ascii="Lotus Linotype" w:hAnsi="Lotus Linotype" w:hint="cs"/>
          <w:b/>
          <w:bCs/>
          <w:color w:val="0D0D0D" w:themeColor="text1" w:themeTint="F2"/>
          <w:sz w:val="44"/>
          <w:szCs w:val="44"/>
          <w:rtl/>
        </w:rPr>
        <w:t>الدراسات السابقة.</w:t>
      </w:r>
    </w:p>
    <w:p w:rsidR="00D11232" w:rsidRPr="00C17B7B" w:rsidRDefault="00D11232" w:rsidP="00D11232">
      <w:pPr>
        <w:spacing w:after="120"/>
        <w:ind w:firstLine="1320"/>
        <w:rPr>
          <w:rFonts w:ascii="Lotus Linotype" w:hAnsi="Lotus Linotype"/>
          <w:b/>
          <w:bCs/>
          <w:color w:val="0D0D0D" w:themeColor="text1" w:themeTint="F2"/>
          <w:sz w:val="44"/>
          <w:szCs w:val="44"/>
          <w:rtl/>
        </w:rPr>
      </w:pPr>
      <w:r w:rsidRPr="00C17B7B">
        <w:rPr>
          <w:rFonts w:ascii="Lotus Linotype" w:hAnsi="Lotus Linotype" w:hint="cs"/>
          <w:b/>
          <w:bCs/>
          <w:color w:val="0D0D0D" w:themeColor="text1" w:themeTint="F2"/>
          <w:sz w:val="44"/>
          <w:szCs w:val="44"/>
          <w:rtl/>
        </w:rPr>
        <w:t>3</w:t>
      </w:r>
      <w:r w:rsidRPr="00C17B7B">
        <w:rPr>
          <w:rFonts w:ascii="Lotus Linotype" w:hAnsi="Lotus Linotype"/>
          <w:b/>
          <w:bCs/>
          <w:color w:val="0D0D0D" w:themeColor="text1" w:themeTint="F2"/>
          <w:sz w:val="44"/>
          <w:szCs w:val="44"/>
          <w:rtl/>
        </w:rPr>
        <w:t xml:space="preserve">) خطة البحث. </w:t>
      </w:r>
    </w:p>
    <w:p w:rsidR="00D11232" w:rsidRPr="00C17B7B" w:rsidRDefault="00D11232" w:rsidP="00D11232">
      <w:pPr>
        <w:spacing w:after="120"/>
        <w:ind w:firstLine="1320"/>
        <w:rPr>
          <w:rFonts w:cs="MCS Taybah S_U normal."/>
          <w:b/>
          <w:bCs/>
          <w:color w:val="0D0D0D" w:themeColor="text1" w:themeTint="F2"/>
          <w:sz w:val="96"/>
          <w:szCs w:val="144"/>
          <w:rtl/>
        </w:rPr>
      </w:pPr>
      <w:r w:rsidRPr="00C17B7B">
        <w:rPr>
          <w:rFonts w:ascii="Lotus Linotype" w:hAnsi="Lotus Linotype" w:hint="cs"/>
          <w:b/>
          <w:bCs/>
          <w:color w:val="0D0D0D" w:themeColor="text1" w:themeTint="F2"/>
          <w:sz w:val="44"/>
          <w:szCs w:val="44"/>
          <w:rtl/>
        </w:rPr>
        <w:t>4</w:t>
      </w:r>
      <w:r w:rsidRPr="00C17B7B">
        <w:rPr>
          <w:rFonts w:ascii="Lotus Linotype" w:hAnsi="Lotus Linotype"/>
          <w:b/>
          <w:bCs/>
          <w:color w:val="0D0D0D" w:themeColor="text1" w:themeTint="F2"/>
          <w:sz w:val="44"/>
          <w:szCs w:val="44"/>
          <w:rtl/>
        </w:rPr>
        <w:t>) منهج البحث</w:t>
      </w:r>
      <w:r w:rsidR="001132D9">
        <w:rPr>
          <w:rFonts w:ascii="Lotus Linotype" w:hAnsi="Lotus Linotype" w:hint="cs"/>
          <w:b/>
          <w:bCs/>
          <w:color w:val="0D0D0D" w:themeColor="text1" w:themeTint="F2"/>
          <w:sz w:val="44"/>
          <w:szCs w:val="44"/>
          <w:rtl/>
        </w:rPr>
        <w:t>.</w:t>
      </w:r>
    </w:p>
    <w:p w:rsidR="00D11232" w:rsidRPr="00C17B7B" w:rsidRDefault="00D11232" w:rsidP="00D11232">
      <w:pPr>
        <w:spacing w:after="120" w:line="14" w:lineRule="auto"/>
        <w:rPr>
          <w:rFonts w:ascii="Librarian" w:hAnsi="Librarian" w:cs="Lotus Linotype"/>
          <w:color w:val="0D0D0D" w:themeColor="text1" w:themeTint="F2"/>
          <w:szCs w:val="34"/>
          <w:rtl/>
        </w:rPr>
      </w:pPr>
      <w:r w:rsidRPr="00C17B7B">
        <w:rPr>
          <w:rFonts w:ascii="Librarian" w:hAnsi="Librarian" w:cs="Lotus Linotype"/>
          <w:color w:val="0D0D0D" w:themeColor="text1" w:themeTint="F2"/>
          <w:szCs w:val="34"/>
          <w:rtl/>
        </w:rPr>
        <w:br w:type="page"/>
      </w:r>
    </w:p>
    <w:bookmarkEnd w:id="0"/>
    <w:bookmarkEnd w:id="1"/>
    <w:p w:rsidR="00D11232" w:rsidRPr="00C17B7B" w:rsidRDefault="00D11232" w:rsidP="00D11232">
      <w:pPr>
        <w:spacing w:after="120"/>
        <w:rPr>
          <w:b/>
          <w:bCs/>
          <w:smallCaps/>
          <w:color w:val="0D0D0D" w:themeColor="text1" w:themeTint="F2"/>
          <w:rtl/>
        </w:rPr>
        <w:sectPr w:rsidR="00D11232" w:rsidRPr="00C17B7B" w:rsidSect="005D2A57">
          <w:headerReference w:type="default" r:id="rId17"/>
          <w:footerReference w:type="default" r:id="rId18"/>
          <w:footnotePr>
            <w:numRestart w:val="eachPage"/>
          </w:footnotePr>
          <w:pgSz w:w="11906" w:h="16838" w:code="9"/>
          <w:pgMar w:top="1701" w:right="2268" w:bottom="1389" w:left="1797" w:header="720" w:footer="720" w:gutter="567"/>
          <w:pgNumType w:start="2"/>
          <w:cols w:space="708"/>
          <w:bidi/>
          <w:rtlGutter/>
          <w:docGrid w:linePitch="435"/>
        </w:sectPr>
      </w:pPr>
    </w:p>
    <w:p w:rsidR="00D11232" w:rsidRPr="00C17B7B" w:rsidRDefault="00D11232" w:rsidP="00D11232">
      <w:pPr>
        <w:spacing w:line="276" w:lineRule="auto"/>
        <w:contextualSpacing/>
        <w:jc w:val="center"/>
        <w:rPr>
          <w:rFonts w:ascii="Traditional Arabic" w:eastAsia="Calibri" w:hAnsi="Traditional Arabic"/>
          <w:color w:val="auto"/>
          <w:sz w:val="40"/>
          <w:rtl/>
        </w:rPr>
      </w:pPr>
      <w:r w:rsidRPr="00C17B7B">
        <w:rPr>
          <w:rFonts w:ascii="Traditional Arabic" w:eastAsia="Calibri" w:hAnsi="Traditional Arabic"/>
          <w:color w:val="auto"/>
          <w:sz w:val="40"/>
          <w:rtl/>
        </w:rPr>
        <w:lastRenderedPageBreak/>
        <w:t>بسم الله الرحمن الرحيم</w:t>
      </w:r>
    </w:p>
    <w:p w:rsidR="00D11232" w:rsidRPr="00C17B7B" w:rsidRDefault="00D11232" w:rsidP="00195F95">
      <w:pPr>
        <w:spacing w:line="276" w:lineRule="auto"/>
        <w:ind w:firstLine="0"/>
        <w:contextualSpacing/>
        <w:jc w:val="lowKashida"/>
        <w:rPr>
          <w:rFonts w:ascii="Arial" w:eastAsia="Calibri" w:hAnsi="Arial"/>
          <w:color w:val="auto"/>
          <w:sz w:val="40"/>
          <w:rtl/>
        </w:rPr>
      </w:pPr>
      <w:r w:rsidRPr="00C17B7B">
        <w:rPr>
          <w:rFonts w:ascii="Arial" w:eastAsia="Calibri" w:hAnsi="Arial"/>
          <w:color w:val="auto"/>
          <w:sz w:val="40"/>
          <w:rtl/>
        </w:rPr>
        <w:t>إن الحمد لله نحمده ونستعينه، ونستغفره، ونعوذ بالله من شرور أنفسنا ومن سيئات أعمالنا، من يهده الله فلا مضلَّ له، ومن يضلل فلا هادي له، وأشهد أن لا إله إلا الله وحده لا شريك له، وأشهد أن محمداً عبده ورسوله</w:t>
      </w:r>
      <w:r w:rsidR="006C24EE">
        <w:rPr>
          <w:rFonts w:ascii="Arial" w:eastAsia="Calibri" w:hAnsi="Arial" w:hint="cs"/>
          <w:color w:val="auto"/>
          <w:sz w:val="40"/>
          <w:rtl/>
        </w:rPr>
        <w:t xml:space="preserve"> </w:t>
      </w:r>
      <w:r w:rsidR="006C24EE">
        <w:rPr>
          <w:rFonts w:ascii="Arial" w:eastAsia="Calibri" w:hAnsi="Arial" w:hint="cs"/>
          <w:color w:val="auto"/>
          <w:sz w:val="40"/>
        </w:rPr>
        <w:sym w:font="AGA Arabesque" w:char="F072"/>
      </w:r>
      <w:r w:rsidRPr="00C17B7B">
        <w:rPr>
          <w:rFonts w:ascii="Arial" w:eastAsia="Calibri" w:hAnsi="Arial"/>
          <w:color w:val="auto"/>
          <w:sz w:val="40"/>
          <w:rtl/>
        </w:rPr>
        <w:t>.</w:t>
      </w:r>
      <w:r w:rsidR="006C24EE">
        <w:rPr>
          <w:rFonts w:ascii="Arial" w:eastAsia="Calibri" w:hAnsi="Arial"/>
          <w:color w:val="auto"/>
          <w:sz w:val="40"/>
          <w:rtl/>
        </w:rPr>
        <w:t xml:space="preserve"> </w:t>
      </w:r>
    </w:p>
    <w:p w:rsidR="00D11232" w:rsidRPr="00C17B7B" w:rsidRDefault="00D07E23" w:rsidP="00277A1A">
      <w:pPr>
        <w:spacing w:line="276" w:lineRule="auto"/>
        <w:ind w:firstLine="0"/>
        <w:contextualSpacing/>
        <w:rPr>
          <w:rFonts w:ascii="Arial" w:eastAsia="Calibri" w:hAnsi="Arial"/>
          <w:color w:val="auto"/>
          <w:szCs w:val="32"/>
          <w:rtl/>
        </w:rPr>
      </w:pPr>
      <w:r w:rsidRPr="00C17B7B">
        <w:rPr>
          <w:rFonts w:ascii="QCF_BSML" w:hAnsi="QCF_BSML" w:cs="QCF_BSML"/>
          <w:szCs w:val="32"/>
          <w:rtl/>
        </w:rPr>
        <w:t>ﭽ</w:t>
      </w:r>
      <w:r>
        <w:rPr>
          <w:rFonts w:ascii="QCF_BSML" w:hAnsi="QCF_BSML" w:cs="QCF_BSML" w:hint="cs"/>
          <w:szCs w:val="32"/>
          <w:rtl/>
        </w:rPr>
        <w:t xml:space="preserve"> </w:t>
      </w:r>
      <w:r w:rsidR="00D11232" w:rsidRPr="00C17B7B">
        <w:rPr>
          <w:rFonts w:ascii="QCF_P063" w:eastAsia="Calibri" w:hAnsi="QCF_P063" w:cs="QCF_P063"/>
          <w:color w:val="auto"/>
          <w:szCs w:val="32"/>
          <w:rtl/>
        </w:rPr>
        <w:t xml:space="preserve">ﭤ ﭥ ﭦ ﭧ ﭨ ﭩ ﭪ ﭫ ﭬ ﭭ ﭮ  ﭯ </w:t>
      </w:r>
      <w:r>
        <w:rPr>
          <w:rFonts w:ascii="QCF_BSML" w:hAnsi="QCF_BSML" w:cs="QCF_BSML" w:hint="cs"/>
          <w:szCs w:val="32"/>
          <w:rtl/>
        </w:rPr>
        <w:t xml:space="preserve"> </w:t>
      </w:r>
      <w:r w:rsidRPr="00C17B7B">
        <w:rPr>
          <w:rFonts w:ascii="QCF_BSML" w:hAnsi="QCF_BSML" w:cs="QCF_BSML"/>
          <w:szCs w:val="32"/>
          <w:rtl/>
        </w:rPr>
        <w:t>ﭼ</w:t>
      </w:r>
      <w:r w:rsidR="00D11232" w:rsidRPr="00C17B7B">
        <w:rPr>
          <w:rFonts w:ascii="Traditional Arabic" w:eastAsia="Calibri" w:hAnsi="Traditional Arabic"/>
          <w:color w:val="auto"/>
          <w:sz w:val="22"/>
          <w:szCs w:val="22"/>
          <w:rtl/>
        </w:rPr>
        <w:t xml:space="preserve"> </w:t>
      </w:r>
      <w:r w:rsidR="00D11232" w:rsidRPr="00DC21B6">
        <w:rPr>
          <w:rFonts w:ascii="Traditional Arabic" w:eastAsia="Calibri" w:hAnsi="Traditional Arabic"/>
          <w:color w:val="auto"/>
          <w:sz w:val="32"/>
          <w:szCs w:val="32"/>
          <w:rtl/>
        </w:rPr>
        <w:fldChar w:fldCharType="begin"/>
      </w:r>
      <w:r w:rsidR="00D11232" w:rsidRPr="00DC21B6">
        <w:rPr>
          <w:rFonts w:ascii="Traditional Arabic" w:eastAsia="Calibri" w:hAnsi="Traditional Arabic"/>
          <w:color w:val="auto"/>
          <w:sz w:val="32"/>
          <w:szCs w:val="32"/>
        </w:rPr>
        <w:instrText xml:space="preserve"> XE "</w:instrText>
      </w:r>
      <w:r w:rsidR="00D11232" w:rsidRPr="00DC21B6">
        <w:rPr>
          <w:rFonts w:ascii="Tahoma" w:eastAsia="Calibri" w:hAnsi="Tahoma" w:cs="Tahoma" w:hint="cs"/>
          <w:color w:val="00FF00"/>
          <w:sz w:val="32"/>
          <w:szCs w:val="32"/>
          <w:rtl/>
        </w:rPr>
        <w:instrText>[]-</w:instrText>
      </w:r>
      <w:r w:rsidR="00D11232" w:rsidRPr="00DC21B6">
        <w:rPr>
          <w:rFonts w:ascii="Tahoma" w:eastAsia="Calibri" w:hAnsi="Tahoma" w:cs="Tahoma"/>
          <w:color w:val="FF6600"/>
          <w:sz w:val="32"/>
          <w:szCs w:val="32"/>
          <w:rtl/>
        </w:rPr>
        <w:instrText>[</w:instrText>
      </w:r>
      <w:r w:rsidR="00D11232" w:rsidRPr="00DC21B6">
        <w:rPr>
          <w:rFonts w:ascii="Tahoma" w:eastAsia="Calibri" w:hAnsi="Tahoma" w:cs="Tahoma" w:hint="cs"/>
          <w:color w:val="FF6600"/>
          <w:sz w:val="32"/>
          <w:szCs w:val="32"/>
          <w:rtl/>
        </w:rPr>
        <w:instrText>001</w:instrText>
      </w:r>
      <w:r w:rsidR="00D11232" w:rsidRPr="00DC21B6">
        <w:rPr>
          <w:rFonts w:ascii="Tahoma" w:eastAsia="Calibri" w:hAnsi="Tahoma" w:cs="Tahoma"/>
          <w:color w:val="FF6600"/>
          <w:sz w:val="32"/>
          <w:szCs w:val="32"/>
        </w:rPr>
        <w:instrText>\</w:instrText>
      </w:r>
      <w:r w:rsidR="00D11232" w:rsidRPr="00DC21B6">
        <w:rPr>
          <w:rFonts w:ascii="Tahoma" w:eastAsia="Calibri" w:hAnsi="Tahoma" w:cs="Tahoma" w:hint="cs"/>
          <w:color w:val="FF6600"/>
          <w:sz w:val="32"/>
          <w:szCs w:val="32"/>
          <w:rtl/>
        </w:rPr>
        <w:instrText>:</w:instrText>
      </w:r>
      <w:r w:rsidR="00D11232" w:rsidRPr="00DC21B6">
        <w:rPr>
          <w:rFonts w:ascii="Tahoma" w:eastAsia="Calibri" w:hAnsi="Tahoma" w:cs="Tahoma"/>
          <w:color w:val="FF6600"/>
          <w:sz w:val="32"/>
          <w:szCs w:val="32"/>
          <w:rtl/>
        </w:rPr>
        <w:instrText>]</w:instrText>
      </w:r>
      <w:r w:rsidR="00D11232" w:rsidRPr="00DC21B6">
        <w:rPr>
          <w:rFonts w:ascii="Traditional Arabic" w:eastAsia="Calibri" w:hAnsi="Traditional Arabic" w:hint="cs"/>
          <w:color w:val="FF00FF"/>
          <w:sz w:val="32"/>
          <w:szCs w:val="32"/>
          <w:rtl/>
        </w:rPr>
        <w:instrText>001-</w:instrText>
      </w:r>
      <w:r w:rsidR="00D11232" w:rsidRPr="00DC21B6">
        <w:rPr>
          <w:rFonts w:ascii="Traditional Arabic" w:eastAsia="Calibri" w:hAnsi="Traditional Arabic"/>
          <w:color w:val="auto"/>
          <w:sz w:val="32"/>
          <w:szCs w:val="32"/>
        </w:rPr>
        <w:instrText xml:space="preserve">" </w:instrText>
      </w:r>
      <w:r w:rsidR="00D11232" w:rsidRPr="00DC21B6">
        <w:rPr>
          <w:rFonts w:ascii="Traditional Arabic" w:eastAsia="Calibri" w:hAnsi="Traditional Arabic"/>
          <w:color w:val="auto"/>
          <w:sz w:val="32"/>
          <w:szCs w:val="32"/>
          <w:rtl/>
        </w:rPr>
        <w:fldChar w:fldCharType="end"/>
      </w:r>
      <w:r w:rsidR="00D11232" w:rsidRPr="00DC21B6">
        <w:rPr>
          <w:rFonts w:ascii="Traditional Arabic" w:hAnsi="Traditional Arabic" w:hint="cs"/>
          <w:sz w:val="32"/>
          <w:szCs w:val="32"/>
          <w:rtl/>
        </w:rPr>
        <w:t>[</w:t>
      </w:r>
      <w:r w:rsidR="00D11232" w:rsidRPr="00DC21B6">
        <w:rPr>
          <w:rFonts w:ascii="Traditional Arabic" w:hAnsi="Traditional Arabic"/>
          <w:sz w:val="32"/>
          <w:szCs w:val="32"/>
          <w:rtl/>
        </w:rPr>
        <w:t>عمران: ١٠٢]</w:t>
      </w:r>
      <w:r w:rsidR="00D11232" w:rsidRPr="00C17B7B">
        <w:rPr>
          <w:rFonts w:ascii="Traditional Arabic" w:eastAsia="Calibri" w:hAnsi="Traditional Arabic" w:hint="cs"/>
          <w:color w:val="auto"/>
          <w:szCs w:val="32"/>
          <w:rtl/>
        </w:rPr>
        <w:t xml:space="preserve"> </w:t>
      </w:r>
      <w:r w:rsidRPr="00C17B7B">
        <w:rPr>
          <w:rFonts w:ascii="QCF_BSML" w:hAnsi="QCF_BSML" w:cs="QCF_BSML"/>
          <w:szCs w:val="32"/>
          <w:rtl/>
        </w:rPr>
        <w:t>ﭽ</w:t>
      </w:r>
      <w:r w:rsidR="00D11232" w:rsidRPr="00C17B7B">
        <w:rPr>
          <w:rFonts w:ascii="QCF_P077" w:eastAsia="Calibri" w:hAnsi="QCF_P077" w:cs="QCF_P077"/>
          <w:color w:val="auto"/>
          <w:szCs w:val="32"/>
          <w:rtl/>
        </w:rPr>
        <w:t>ﭑ ﭒ ﭓ ﭔ ﭕ ﭖ ﭗ ﭘ ﭙ ﭚ ﭛ  ﭜ ﭝ ﭞ ﭟ ﭠ ﭡﭢ ﭣ ﭤ</w:t>
      </w:r>
      <w:r>
        <w:rPr>
          <w:rFonts w:ascii="QCF_P077" w:eastAsia="Calibri" w:hAnsi="QCF_P077" w:cs="QCF_P077" w:hint="cs"/>
          <w:color w:val="auto"/>
          <w:szCs w:val="32"/>
          <w:rtl/>
        </w:rPr>
        <w:t xml:space="preserve"> </w:t>
      </w:r>
      <w:r w:rsidR="00D11232" w:rsidRPr="00C17B7B">
        <w:rPr>
          <w:rFonts w:ascii="QCF_P077" w:eastAsia="Calibri" w:hAnsi="QCF_P077" w:cs="QCF_P077"/>
          <w:color w:val="auto"/>
          <w:szCs w:val="32"/>
          <w:rtl/>
        </w:rPr>
        <w:t xml:space="preserve">ﭥ ﭦ  ﭧ ﭨﭩ ﭪ ﭫ ﭬ ﭭ ﭮ </w:t>
      </w:r>
      <w:r w:rsidRPr="00C17B7B">
        <w:rPr>
          <w:rFonts w:ascii="QCF_BSML" w:hAnsi="QCF_BSML" w:cs="QCF_BSML"/>
          <w:szCs w:val="32"/>
          <w:rtl/>
        </w:rPr>
        <w:t>ﭼ</w:t>
      </w:r>
      <w:r w:rsidR="00D11232" w:rsidRPr="00C17B7B">
        <w:rPr>
          <w:rFonts w:ascii="Traditional Arabic" w:eastAsia="Calibri" w:hAnsi="Traditional Arabic"/>
          <w:color w:val="auto"/>
          <w:sz w:val="22"/>
          <w:szCs w:val="22"/>
          <w:rtl/>
        </w:rPr>
        <w:fldChar w:fldCharType="begin"/>
      </w:r>
      <w:r w:rsidR="00D11232" w:rsidRPr="00C17B7B">
        <w:rPr>
          <w:rFonts w:ascii="Traditional Arabic" w:eastAsia="Calibri" w:hAnsi="Traditional Arabic"/>
          <w:color w:val="auto"/>
          <w:sz w:val="22"/>
          <w:szCs w:val="22"/>
        </w:rPr>
        <w:instrText xml:space="preserve"> XE "</w:instrText>
      </w:r>
      <w:r w:rsidR="00D11232" w:rsidRPr="00C17B7B">
        <w:rPr>
          <w:rFonts w:ascii="Tahoma" w:eastAsia="Calibri" w:hAnsi="Tahoma" w:cs="Tahoma" w:hint="cs"/>
          <w:color w:val="00FF00"/>
          <w:sz w:val="22"/>
          <w:szCs w:val="22"/>
          <w:rtl/>
        </w:rPr>
        <w:instrText>[]-</w:instrText>
      </w:r>
      <w:r w:rsidR="00D11232" w:rsidRPr="00C17B7B">
        <w:rPr>
          <w:rFonts w:ascii="Tahoma" w:eastAsia="Calibri" w:hAnsi="Tahoma" w:cs="Tahoma"/>
          <w:color w:val="FF6600"/>
          <w:sz w:val="22"/>
          <w:szCs w:val="22"/>
          <w:rtl/>
        </w:rPr>
        <w:instrText>[</w:instrText>
      </w:r>
      <w:r w:rsidR="00D11232" w:rsidRPr="00C17B7B">
        <w:rPr>
          <w:rFonts w:ascii="Tahoma" w:eastAsia="Calibri" w:hAnsi="Tahoma" w:cs="Tahoma" w:hint="cs"/>
          <w:color w:val="FF6600"/>
          <w:sz w:val="22"/>
          <w:szCs w:val="22"/>
          <w:rtl/>
        </w:rPr>
        <w:instrText>001</w:instrText>
      </w:r>
      <w:r w:rsidR="00D11232" w:rsidRPr="00C17B7B">
        <w:rPr>
          <w:rFonts w:ascii="Tahoma" w:eastAsia="Calibri" w:hAnsi="Tahoma" w:cs="Tahoma"/>
          <w:color w:val="FF6600"/>
          <w:sz w:val="22"/>
          <w:szCs w:val="22"/>
        </w:rPr>
        <w:instrText>\</w:instrText>
      </w:r>
      <w:r w:rsidR="00D11232" w:rsidRPr="00C17B7B">
        <w:rPr>
          <w:rFonts w:ascii="Tahoma" w:eastAsia="Calibri" w:hAnsi="Tahoma" w:cs="Tahoma" w:hint="cs"/>
          <w:color w:val="FF6600"/>
          <w:sz w:val="22"/>
          <w:szCs w:val="22"/>
          <w:rtl/>
        </w:rPr>
        <w:instrText>:</w:instrText>
      </w:r>
      <w:r w:rsidR="00D11232" w:rsidRPr="00C17B7B">
        <w:rPr>
          <w:rFonts w:ascii="Tahoma" w:eastAsia="Calibri" w:hAnsi="Tahoma" w:cs="Tahoma"/>
          <w:color w:val="FF6600"/>
          <w:sz w:val="22"/>
          <w:szCs w:val="22"/>
          <w:rtl/>
        </w:rPr>
        <w:instrText>]</w:instrText>
      </w:r>
      <w:r w:rsidR="00D11232" w:rsidRPr="00C17B7B">
        <w:rPr>
          <w:rFonts w:ascii="Traditional Arabic" w:eastAsia="Calibri" w:hAnsi="Traditional Arabic" w:hint="cs"/>
          <w:color w:val="FF00FF"/>
          <w:sz w:val="28"/>
          <w:szCs w:val="28"/>
          <w:rtl/>
        </w:rPr>
        <w:instrText>001-</w:instrText>
      </w:r>
      <w:r w:rsidR="00D11232" w:rsidRPr="00C17B7B">
        <w:rPr>
          <w:rFonts w:ascii="Traditional Arabic" w:eastAsia="Calibri" w:hAnsi="Traditional Arabic"/>
          <w:color w:val="auto"/>
          <w:sz w:val="22"/>
          <w:szCs w:val="22"/>
        </w:rPr>
        <w:instrText xml:space="preserve">" </w:instrText>
      </w:r>
      <w:r w:rsidR="00D11232" w:rsidRPr="00C17B7B">
        <w:rPr>
          <w:rFonts w:ascii="Traditional Arabic" w:eastAsia="Calibri" w:hAnsi="Traditional Arabic"/>
          <w:color w:val="auto"/>
          <w:sz w:val="22"/>
          <w:szCs w:val="22"/>
          <w:rtl/>
        </w:rPr>
        <w:fldChar w:fldCharType="end"/>
      </w:r>
      <w:r w:rsidR="00D11232" w:rsidRPr="00C17B7B">
        <w:rPr>
          <w:rFonts w:ascii="Traditional Arabic" w:eastAsia="Calibri" w:hAnsi="Traditional Arabic" w:hint="cs"/>
          <w:color w:val="auto"/>
          <w:szCs w:val="32"/>
          <w:rtl/>
        </w:rPr>
        <w:t xml:space="preserve"> </w:t>
      </w:r>
      <w:r w:rsidR="00D11232" w:rsidRPr="00C17B7B">
        <w:rPr>
          <w:rFonts w:ascii="Traditional Arabic" w:hAnsi="Traditional Arabic" w:hint="cs"/>
          <w:szCs w:val="32"/>
          <w:rtl/>
        </w:rPr>
        <w:t>[</w:t>
      </w:r>
      <w:r w:rsidR="00D11232" w:rsidRPr="00C17B7B">
        <w:rPr>
          <w:rFonts w:ascii="Traditional Arabic" w:hAnsi="Traditional Arabic"/>
          <w:szCs w:val="32"/>
          <w:rtl/>
        </w:rPr>
        <w:t>النساء:</w:t>
      </w:r>
      <w:r w:rsidR="00277A1A">
        <w:rPr>
          <w:rFonts w:ascii="Traditional Arabic" w:hAnsi="Traditional Arabic" w:hint="cs"/>
          <w:szCs w:val="32"/>
          <w:rtl/>
        </w:rPr>
        <w:t xml:space="preserve"> </w:t>
      </w:r>
      <w:r w:rsidR="00D11232" w:rsidRPr="00C17B7B">
        <w:rPr>
          <w:rFonts w:ascii="Traditional Arabic" w:hAnsi="Traditional Arabic"/>
          <w:szCs w:val="32"/>
          <w:rtl/>
        </w:rPr>
        <w:t>١</w:t>
      </w:r>
      <w:r w:rsidR="00D11232" w:rsidRPr="00C17B7B">
        <w:rPr>
          <w:rFonts w:ascii="Traditional Arabic" w:hAnsi="Traditional Arabic" w:hint="cs"/>
          <w:szCs w:val="32"/>
          <w:rtl/>
        </w:rPr>
        <w:t xml:space="preserve">] </w:t>
      </w:r>
      <w:r w:rsidRPr="00C17B7B">
        <w:rPr>
          <w:rFonts w:ascii="QCF_BSML" w:hAnsi="QCF_BSML" w:cs="QCF_BSML"/>
          <w:szCs w:val="32"/>
          <w:rtl/>
        </w:rPr>
        <w:t>ﭽ</w:t>
      </w:r>
      <w:r>
        <w:rPr>
          <w:rFonts w:ascii="QCF_BSML" w:hAnsi="QCF_BSML" w:cs="QCF_BSML" w:hint="cs"/>
          <w:szCs w:val="32"/>
          <w:rtl/>
        </w:rPr>
        <w:t xml:space="preserve"> </w:t>
      </w:r>
      <w:r w:rsidR="00D11232" w:rsidRPr="00C17B7B">
        <w:rPr>
          <w:rFonts w:ascii="QCF_P427" w:eastAsia="Calibri" w:hAnsi="QCF_P427" w:cs="QCF_P427"/>
          <w:color w:val="auto"/>
          <w:szCs w:val="32"/>
          <w:rtl/>
        </w:rPr>
        <w:t>ﮥ ﮦ ﮧ ﮨ ﮩ ﮪ ﮫ ﮬ ﮭ</w:t>
      </w:r>
      <w:r w:rsidR="00D11232" w:rsidRPr="00C17B7B">
        <w:rPr>
          <w:rFonts w:ascii="Traditional Arabic" w:eastAsia="Calibri" w:hAnsi="Traditional Arabic"/>
          <w:color w:val="auto"/>
          <w:sz w:val="22"/>
          <w:szCs w:val="22"/>
          <w:rtl/>
        </w:rPr>
        <w:fldChar w:fldCharType="begin"/>
      </w:r>
      <w:r w:rsidR="00D11232" w:rsidRPr="00C17B7B">
        <w:rPr>
          <w:rFonts w:ascii="Traditional Arabic" w:eastAsia="Calibri" w:hAnsi="Traditional Arabic"/>
          <w:color w:val="auto"/>
          <w:sz w:val="22"/>
          <w:szCs w:val="22"/>
        </w:rPr>
        <w:instrText xml:space="preserve"> XE "</w:instrText>
      </w:r>
      <w:r w:rsidR="00D11232" w:rsidRPr="00C17B7B">
        <w:rPr>
          <w:rFonts w:ascii="Tahoma" w:eastAsia="Calibri" w:hAnsi="Tahoma" w:cs="Tahoma" w:hint="cs"/>
          <w:color w:val="00FF00"/>
          <w:sz w:val="22"/>
          <w:szCs w:val="22"/>
          <w:rtl/>
        </w:rPr>
        <w:instrText>[]-</w:instrText>
      </w:r>
      <w:r w:rsidR="00D11232" w:rsidRPr="00C17B7B">
        <w:rPr>
          <w:rFonts w:ascii="Tahoma" w:eastAsia="Calibri" w:hAnsi="Tahoma" w:cs="Tahoma"/>
          <w:color w:val="FF6600"/>
          <w:sz w:val="22"/>
          <w:szCs w:val="22"/>
          <w:rtl/>
        </w:rPr>
        <w:instrText>[</w:instrText>
      </w:r>
      <w:r w:rsidR="00D11232" w:rsidRPr="00C17B7B">
        <w:rPr>
          <w:rFonts w:ascii="Tahoma" w:eastAsia="Calibri" w:hAnsi="Tahoma" w:cs="Tahoma" w:hint="cs"/>
          <w:color w:val="FF6600"/>
          <w:sz w:val="22"/>
          <w:szCs w:val="22"/>
          <w:rtl/>
        </w:rPr>
        <w:instrText>001</w:instrText>
      </w:r>
      <w:r w:rsidR="00D11232" w:rsidRPr="00C17B7B">
        <w:rPr>
          <w:rFonts w:ascii="Tahoma" w:eastAsia="Calibri" w:hAnsi="Tahoma" w:cs="Tahoma"/>
          <w:color w:val="FF6600"/>
          <w:sz w:val="22"/>
          <w:szCs w:val="22"/>
        </w:rPr>
        <w:instrText>\</w:instrText>
      </w:r>
      <w:r w:rsidR="00D11232" w:rsidRPr="00C17B7B">
        <w:rPr>
          <w:rFonts w:ascii="Tahoma" w:eastAsia="Calibri" w:hAnsi="Tahoma" w:cs="Tahoma" w:hint="cs"/>
          <w:color w:val="FF6600"/>
          <w:sz w:val="22"/>
          <w:szCs w:val="22"/>
          <w:rtl/>
        </w:rPr>
        <w:instrText>:</w:instrText>
      </w:r>
      <w:r w:rsidR="00D11232" w:rsidRPr="00C17B7B">
        <w:rPr>
          <w:rFonts w:ascii="Tahoma" w:eastAsia="Calibri" w:hAnsi="Tahoma" w:cs="Tahoma"/>
          <w:color w:val="FF6600"/>
          <w:sz w:val="22"/>
          <w:szCs w:val="22"/>
          <w:rtl/>
        </w:rPr>
        <w:instrText>]</w:instrText>
      </w:r>
      <w:r w:rsidR="00D11232" w:rsidRPr="00C17B7B">
        <w:rPr>
          <w:rFonts w:ascii="Traditional Arabic" w:eastAsia="Calibri" w:hAnsi="Traditional Arabic" w:hint="cs"/>
          <w:color w:val="FF00FF"/>
          <w:sz w:val="28"/>
          <w:szCs w:val="28"/>
          <w:rtl/>
        </w:rPr>
        <w:instrText>001-</w:instrText>
      </w:r>
      <w:r w:rsidR="00D11232" w:rsidRPr="00C17B7B">
        <w:rPr>
          <w:rFonts w:ascii="Traditional Arabic" w:eastAsia="Calibri" w:hAnsi="Traditional Arabic"/>
          <w:color w:val="auto"/>
          <w:sz w:val="22"/>
          <w:szCs w:val="22"/>
        </w:rPr>
        <w:instrText xml:space="preserve">" </w:instrText>
      </w:r>
      <w:r w:rsidR="00D11232" w:rsidRPr="00C17B7B">
        <w:rPr>
          <w:rFonts w:ascii="Traditional Arabic" w:eastAsia="Calibri" w:hAnsi="Traditional Arabic"/>
          <w:color w:val="auto"/>
          <w:sz w:val="22"/>
          <w:szCs w:val="22"/>
          <w:rtl/>
        </w:rPr>
        <w:fldChar w:fldCharType="end"/>
      </w:r>
      <w:r w:rsidR="00D11232" w:rsidRPr="00C17B7B">
        <w:rPr>
          <w:rFonts w:ascii="QCF_P427" w:eastAsia="Calibri" w:hAnsi="QCF_P427" w:cs="QCF_P427"/>
          <w:color w:val="auto"/>
          <w:szCs w:val="32"/>
          <w:rtl/>
        </w:rPr>
        <w:t xml:space="preserve"> ﮮ  ﮯ ﮰ ﮱ ﯓ  ﯔﯕ ﯖ ﯗ ﯘ ﯙ  ﯚ ﯛ  ﯜ ﯝ</w:t>
      </w:r>
      <w:r>
        <w:rPr>
          <w:rFonts w:ascii="QCF_P427" w:eastAsia="Calibri" w:hAnsi="QCF_P427" w:cs="QCF_P427" w:hint="cs"/>
          <w:color w:val="auto"/>
          <w:szCs w:val="32"/>
          <w:rtl/>
        </w:rPr>
        <w:t xml:space="preserve"> </w:t>
      </w:r>
      <w:r w:rsidRPr="00C17B7B">
        <w:rPr>
          <w:rFonts w:ascii="QCF_BSML" w:hAnsi="QCF_BSML" w:cs="QCF_BSML"/>
          <w:szCs w:val="32"/>
          <w:rtl/>
        </w:rPr>
        <w:t>ﭼ</w:t>
      </w:r>
      <w:r w:rsidRPr="00C17B7B">
        <w:rPr>
          <w:rFonts w:ascii="Traditional Arabic" w:hAnsi="Traditional Arabic" w:hint="cs"/>
          <w:szCs w:val="32"/>
          <w:rtl/>
        </w:rPr>
        <w:t xml:space="preserve"> </w:t>
      </w:r>
      <w:r w:rsidR="00D11232" w:rsidRPr="00C17B7B">
        <w:rPr>
          <w:rFonts w:ascii="Traditional Arabic" w:hAnsi="Traditional Arabic" w:hint="cs"/>
          <w:szCs w:val="32"/>
          <w:rtl/>
        </w:rPr>
        <w:t>[</w:t>
      </w:r>
      <w:r w:rsidR="00D11232" w:rsidRPr="00C17B7B">
        <w:rPr>
          <w:rFonts w:ascii="Traditional Arabic" w:hAnsi="Traditional Arabic"/>
          <w:szCs w:val="32"/>
          <w:rtl/>
        </w:rPr>
        <w:t>الأحزاب:</w:t>
      </w:r>
      <w:r w:rsidR="00277A1A">
        <w:rPr>
          <w:rFonts w:ascii="Traditional Arabic" w:hAnsi="Traditional Arabic" w:hint="cs"/>
          <w:szCs w:val="32"/>
          <w:rtl/>
        </w:rPr>
        <w:t xml:space="preserve"> </w:t>
      </w:r>
      <w:r w:rsidR="00D11232" w:rsidRPr="00C17B7B">
        <w:rPr>
          <w:rFonts w:ascii="Traditional Arabic" w:hAnsi="Traditional Arabic"/>
          <w:szCs w:val="32"/>
          <w:rtl/>
        </w:rPr>
        <w:t>٧٠ – ٧١]</w:t>
      </w:r>
      <w:r w:rsidR="00D11232" w:rsidRPr="00856E14">
        <w:rPr>
          <w:rStyle w:val="ae"/>
          <w:rFonts w:eastAsia="Calibri"/>
          <w:rtl/>
        </w:rPr>
        <w:fldChar w:fldCharType="begin"/>
      </w:r>
      <w:r w:rsidR="00D11232" w:rsidRPr="00856E14">
        <w:rPr>
          <w:rStyle w:val="ae"/>
          <w:rFonts w:eastAsia="Calibri"/>
        </w:rPr>
        <w:instrText xml:space="preserve"> XE "</w:instrText>
      </w:r>
      <w:r w:rsidR="00D11232" w:rsidRPr="00856E14">
        <w:rPr>
          <w:rStyle w:val="ae"/>
          <w:rFonts w:eastAsia="Calibri" w:hint="cs"/>
          <w:rtl/>
        </w:rPr>
        <w:instrText>[]-</w:instrText>
      </w:r>
      <w:r w:rsidR="00D11232" w:rsidRPr="00856E14">
        <w:rPr>
          <w:rStyle w:val="ae"/>
          <w:rFonts w:eastAsia="Calibri"/>
          <w:rtl/>
        </w:rPr>
        <w:instrText>[</w:instrText>
      </w:r>
      <w:r w:rsidR="00D11232" w:rsidRPr="00856E14">
        <w:rPr>
          <w:rStyle w:val="ae"/>
          <w:rFonts w:eastAsia="Calibri" w:hint="cs"/>
          <w:rtl/>
        </w:rPr>
        <w:instrText>001</w:instrText>
      </w:r>
      <w:r w:rsidR="00D11232" w:rsidRPr="00856E14">
        <w:rPr>
          <w:rStyle w:val="ae"/>
          <w:rFonts w:eastAsia="Calibri"/>
        </w:rPr>
        <w:instrText>\</w:instrText>
      </w:r>
      <w:r w:rsidR="00D11232" w:rsidRPr="00856E14">
        <w:rPr>
          <w:rStyle w:val="ae"/>
          <w:rFonts w:eastAsia="Calibri" w:hint="cs"/>
          <w:rtl/>
        </w:rPr>
        <w:instrText>:</w:instrText>
      </w:r>
      <w:r w:rsidR="00D11232" w:rsidRPr="00856E14">
        <w:rPr>
          <w:rStyle w:val="ae"/>
          <w:rFonts w:eastAsia="Calibri"/>
          <w:rtl/>
        </w:rPr>
        <w:instrText>]</w:instrText>
      </w:r>
      <w:r w:rsidR="00D11232" w:rsidRPr="00856E14">
        <w:rPr>
          <w:rStyle w:val="ae"/>
          <w:rFonts w:eastAsia="Calibri" w:hint="cs"/>
          <w:rtl/>
        </w:rPr>
        <w:instrText>001-</w:instrText>
      </w:r>
      <w:r w:rsidR="00D11232" w:rsidRPr="00856E14">
        <w:rPr>
          <w:rStyle w:val="ae"/>
          <w:rFonts w:eastAsia="Calibri"/>
        </w:rPr>
        <w:instrText xml:space="preserve">" </w:instrText>
      </w:r>
      <w:r w:rsidR="00D11232" w:rsidRPr="00856E14">
        <w:rPr>
          <w:rStyle w:val="ae"/>
          <w:rFonts w:eastAsia="Calibri"/>
          <w:rtl/>
        </w:rPr>
        <w:fldChar w:fldCharType="end"/>
      </w:r>
      <w:r w:rsidR="00856E14" w:rsidRPr="00856E14">
        <w:rPr>
          <w:rStyle w:val="ae"/>
          <w:rFonts w:eastAsia="Calibri"/>
          <w:rtl/>
        </w:rPr>
        <w:t>(</w:t>
      </w:r>
      <w:r w:rsidR="00856E14">
        <w:rPr>
          <w:rStyle w:val="ae"/>
          <w:rFonts w:eastAsia="Calibri"/>
          <w:rtl/>
        </w:rPr>
        <w:footnoteReference w:id="1"/>
      </w:r>
      <w:r w:rsidR="00856E14" w:rsidRPr="00856E14">
        <w:rPr>
          <w:rStyle w:val="ae"/>
          <w:rFonts w:eastAsia="Calibri"/>
          <w:rtl/>
        </w:rPr>
        <w:t>)</w:t>
      </w:r>
      <w:r w:rsidR="00D11232" w:rsidRPr="00C17B7B">
        <w:rPr>
          <w:rFonts w:ascii="Arial" w:eastAsia="Calibri" w:hAnsi="Arial" w:hint="cs"/>
          <w:color w:val="auto"/>
          <w:szCs w:val="32"/>
          <w:rtl/>
        </w:rPr>
        <w:t>، وبعد...</w:t>
      </w:r>
    </w:p>
    <w:p w:rsidR="00D11232" w:rsidRPr="00C17B7B" w:rsidRDefault="00D11232" w:rsidP="00856E14">
      <w:pPr>
        <w:spacing w:after="120"/>
        <w:ind w:firstLine="0"/>
        <w:rPr>
          <w:rtl/>
        </w:rPr>
      </w:pPr>
      <w:r w:rsidRPr="00C17B7B">
        <w:rPr>
          <w:rFonts w:hint="cs"/>
          <w:rtl/>
        </w:rPr>
        <w:t xml:space="preserve">"فلقد </w:t>
      </w:r>
      <w:r w:rsidRPr="00C17B7B">
        <w:rPr>
          <w:rtl/>
        </w:rPr>
        <w:t>أنزل</w:t>
      </w:r>
      <w:r w:rsidRPr="00C17B7B">
        <w:rPr>
          <w:rFonts w:hint="cs"/>
          <w:rtl/>
        </w:rPr>
        <w:t xml:space="preserve"> </w:t>
      </w:r>
      <w:r w:rsidRPr="00C17B7B">
        <w:rPr>
          <w:rFonts w:ascii="mylotus" w:hAnsi="mylotus" w:hint="cs"/>
          <w:smallCaps/>
          <w:rtl/>
        </w:rPr>
        <w:t>الله</w:t>
      </w:r>
      <w:r w:rsidRPr="00C17B7B">
        <w:rPr>
          <w:rtl/>
        </w:rPr>
        <w:t xml:space="preserve"> على عبده الفرقان الفارق بين الحلال والحرام، والسعداء والأشقياء، والحق والباطل</w:t>
      </w:r>
      <w:r w:rsidRPr="00C17B7B">
        <w:rPr>
          <w:rFonts w:hint="cs"/>
          <w:rtl/>
        </w:rPr>
        <w:t xml:space="preserve">، </w:t>
      </w:r>
      <w:r w:rsidRPr="00C17B7B">
        <w:rPr>
          <w:rtl/>
        </w:rPr>
        <w:t>وجعله برحمته هدى للناس عموما، وللمتقين خصوصا من ضلال الكفر والمعاصي والجهل إلى نور الإيمان والتقوى والعلم، وأنزله شفاء</w:t>
      </w:r>
      <w:r w:rsidRPr="00C17B7B">
        <w:rPr>
          <w:rFonts w:hint="cs"/>
          <w:rtl/>
        </w:rPr>
        <w:t>ً</w:t>
      </w:r>
      <w:r w:rsidRPr="00C17B7B">
        <w:rPr>
          <w:rtl/>
        </w:rPr>
        <w:t xml:space="preserve"> للصدور من أمراض الشبهات والشهوات، ويحصل به اليقين والعلم في المطالب العاليات، وشفاء</w:t>
      </w:r>
      <w:r w:rsidRPr="00C17B7B">
        <w:rPr>
          <w:rFonts w:hint="cs"/>
          <w:rtl/>
        </w:rPr>
        <w:t>ً</w:t>
      </w:r>
      <w:r w:rsidRPr="00C17B7B">
        <w:rPr>
          <w:rtl/>
        </w:rPr>
        <w:t xml:space="preserve"> للأبدان من أمراضها وعللها وآلامها وسقمها</w:t>
      </w:r>
      <w:r w:rsidRPr="00C17B7B">
        <w:rPr>
          <w:rFonts w:hint="cs"/>
          <w:rtl/>
        </w:rPr>
        <w:t>،</w:t>
      </w:r>
      <w:r w:rsidRPr="00C17B7B">
        <w:rPr>
          <w:rtl/>
        </w:rPr>
        <w:t xml:space="preserve"> وأخبر أنه لا ريب فيه ولا شك بوجه من الوجوه</w:t>
      </w:r>
      <w:r w:rsidRPr="00C17B7B">
        <w:rPr>
          <w:rFonts w:hint="cs"/>
          <w:rtl/>
        </w:rPr>
        <w:t>؛</w:t>
      </w:r>
      <w:r w:rsidRPr="00C17B7B">
        <w:rPr>
          <w:rtl/>
        </w:rPr>
        <w:t xml:space="preserve"> وذلك لاشتماله على الحق العظيم في أخباره، وأوامره، ونواهيه، وأنزله مباركا</w:t>
      </w:r>
      <w:r w:rsidRPr="00C17B7B">
        <w:rPr>
          <w:rFonts w:hint="cs"/>
          <w:rtl/>
        </w:rPr>
        <w:t>ً</w:t>
      </w:r>
      <w:r w:rsidRPr="00C17B7B">
        <w:rPr>
          <w:rtl/>
        </w:rPr>
        <w:t xml:space="preserve">، فيه الخير الكثير، والعلم الغزير، والأسرار البديعة، والمطالب الرفيعة، فكل بركة وسعادة تنال في </w:t>
      </w:r>
      <w:r w:rsidRPr="00C17B7B">
        <w:rPr>
          <w:rtl/>
        </w:rPr>
        <w:lastRenderedPageBreak/>
        <w:t>الدنيا والآخرة</w:t>
      </w:r>
      <w:r w:rsidRPr="00C17B7B">
        <w:rPr>
          <w:rFonts w:hint="cs"/>
          <w:rtl/>
        </w:rPr>
        <w:t>؛</w:t>
      </w:r>
      <w:r w:rsidRPr="00C17B7B">
        <w:rPr>
          <w:rtl/>
        </w:rPr>
        <w:t xml:space="preserve"> فسببها الاهتداء به واتباعه، وأخبر أنه مصدق ومهيمن على الكتب السابقة، فما يشهد له فهو الحق، وما رده فهو المردود</w:t>
      </w:r>
      <w:r w:rsidRPr="00C17B7B">
        <w:rPr>
          <w:rFonts w:hint="cs"/>
          <w:rtl/>
        </w:rPr>
        <w:t>؛</w:t>
      </w:r>
      <w:r w:rsidRPr="00C17B7B">
        <w:rPr>
          <w:rtl/>
        </w:rPr>
        <w:t xml:space="preserve"> لأنه تضمنها وزاد عليها، وقال تعالى فيه: </w:t>
      </w:r>
      <w:r w:rsidRPr="00C17B7B">
        <w:rPr>
          <w:rFonts w:ascii="QCF_BSML" w:hAnsi="QCF_BSML" w:cs="QCF_BSML"/>
          <w:szCs w:val="32"/>
          <w:rtl/>
        </w:rPr>
        <w:t>ﭽ</w:t>
      </w:r>
      <w:r w:rsidRPr="00C17B7B">
        <w:rPr>
          <w:rFonts w:ascii="QCF_P110" w:hAnsi="QCF_P110" w:cs="QCF_P110"/>
          <w:szCs w:val="32"/>
          <w:rtl/>
        </w:rPr>
        <w:t>ﮅﮆﮇﮈﮉﮊﮋﮌ</w:t>
      </w:r>
      <w:r w:rsidRPr="00C17B7B">
        <w:rPr>
          <w:rFonts w:ascii="QCF_BSML" w:hAnsi="QCF_BSML" w:cs="QCF_BSML"/>
          <w:szCs w:val="32"/>
          <w:rtl/>
        </w:rPr>
        <w:t>ﭼ</w:t>
      </w:r>
      <w:r w:rsidR="00856E14">
        <w:rPr>
          <w:rFonts w:ascii="QCF_BSML" w:hAnsi="QCF_BSML" w:cs="QCF_BSML" w:hint="cs"/>
          <w:szCs w:val="32"/>
          <w:rtl/>
        </w:rPr>
        <w:t xml:space="preserve"> </w:t>
      </w:r>
      <w:r w:rsidRPr="00277A1A">
        <w:rPr>
          <w:rFonts w:ascii="Traditional Arabic" w:hAnsi="Traditional Arabic"/>
          <w:sz w:val="32"/>
          <w:szCs w:val="32"/>
          <w:rtl/>
        </w:rPr>
        <w:t>[المائدة: ١٦]</w:t>
      </w:r>
      <w:r w:rsidRPr="00C17B7B">
        <w:rPr>
          <w:rtl/>
        </w:rPr>
        <w:t xml:space="preserve"> فهو هاد لدار السلام، مبين لطريق الوصول إليها، وحاث</w:t>
      </w:r>
      <w:r w:rsidRPr="00C17B7B">
        <w:rPr>
          <w:rFonts w:hint="cs"/>
          <w:rtl/>
        </w:rPr>
        <w:t>ٌ</w:t>
      </w:r>
      <w:r w:rsidRPr="00C17B7B">
        <w:rPr>
          <w:rtl/>
        </w:rPr>
        <w:t xml:space="preserve"> عليها، كاشف</w:t>
      </w:r>
      <w:r w:rsidRPr="00C17B7B">
        <w:rPr>
          <w:rFonts w:hint="cs"/>
          <w:rtl/>
        </w:rPr>
        <w:t>ٌ</w:t>
      </w:r>
      <w:r w:rsidRPr="00C17B7B">
        <w:rPr>
          <w:rtl/>
        </w:rPr>
        <w:t xml:space="preserve"> عن الطريق الموصلة إلى</w:t>
      </w:r>
      <w:r w:rsidR="00856E14">
        <w:rPr>
          <w:rFonts w:hint="cs"/>
          <w:rtl/>
        </w:rPr>
        <w:t xml:space="preserve"> </w:t>
      </w:r>
      <w:r w:rsidRPr="00C17B7B">
        <w:rPr>
          <w:rtl/>
        </w:rPr>
        <w:t xml:space="preserve">دار الآلام ومحذر منها، وقال تعالى مخبرا عنه: </w:t>
      </w:r>
      <w:r w:rsidRPr="00C17B7B">
        <w:rPr>
          <w:rFonts w:ascii="QCF_BSML" w:hAnsi="QCF_BSML" w:cs="QCF_BSML"/>
          <w:szCs w:val="32"/>
          <w:rtl/>
        </w:rPr>
        <w:t>ﭽ</w:t>
      </w:r>
      <w:r w:rsidR="00856E14">
        <w:rPr>
          <w:rFonts w:ascii="QCF_BSML" w:hAnsi="QCF_BSML" w:cs="QCF_BSML" w:hint="cs"/>
          <w:szCs w:val="32"/>
          <w:rtl/>
        </w:rPr>
        <w:t xml:space="preserve"> </w:t>
      </w:r>
      <w:r w:rsidRPr="00C17B7B">
        <w:rPr>
          <w:rFonts w:ascii="QCF_P221" w:hAnsi="QCF_P221" w:cs="QCF_P221"/>
          <w:szCs w:val="32"/>
          <w:rtl/>
        </w:rPr>
        <w:t>ﮔ</w:t>
      </w:r>
      <w:r w:rsidR="00856E14">
        <w:rPr>
          <w:rFonts w:ascii="QCF_P221" w:hAnsi="QCF_P221" w:cs="QCF_P221" w:hint="cs"/>
          <w:szCs w:val="32"/>
          <w:rtl/>
        </w:rPr>
        <w:t xml:space="preserve"> </w:t>
      </w:r>
      <w:r w:rsidRPr="00C17B7B">
        <w:rPr>
          <w:rFonts w:ascii="QCF_P221" w:hAnsi="QCF_P221" w:cs="QCF_P221"/>
          <w:szCs w:val="32"/>
          <w:rtl/>
        </w:rPr>
        <w:t>ﮕﮖ</w:t>
      </w:r>
      <w:r w:rsidR="00856E14">
        <w:rPr>
          <w:rFonts w:ascii="QCF_P221" w:hAnsi="QCF_P221" w:cs="QCF_P221" w:hint="cs"/>
          <w:szCs w:val="32"/>
          <w:rtl/>
        </w:rPr>
        <w:t xml:space="preserve"> </w:t>
      </w:r>
      <w:r w:rsidRPr="00C17B7B">
        <w:rPr>
          <w:rFonts w:ascii="QCF_P221" w:hAnsi="QCF_P221" w:cs="QCF_P221"/>
          <w:szCs w:val="32"/>
          <w:rtl/>
        </w:rPr>
        <w:t>ﮗ</w:t>
      </w:r>
      <w:r w:rsidR="00856E14">
        <w:rPr>
          <w:rFonts w:ascii="QCF_P221" w:hAnsi="QCF_P221" w:cs="QCF_P221" w:hint="cs"/>
          <w:szCs w:val="32"/>
          <w:rtl/>
        </w:rPr>
        <w:t xml:space="preserve"> </w:t>
      </w:r>
      <w:r w:rsidRPr="00C17B7B">
        <w:rPr>
          <w:rFonts w:ascii="QCF_P221" w:hAnsi="QCF_P221" w:cs="QCF_P221"/>
          <w:szCs w:val="32"/>
          <w:rtl/>
        </w:rPr>
        <w:t>ﮘ</w:t>
      </w:r>
      <w:r w:rsidR="00856E14">
        <w:rPr>
          <w:rFonts w:ascii="QCF_P221" w:hAnsi="QCF_P221" w:cs="QCF_P221" w:hint="cs"/>
          <w:szCs w:val="32"/>
          <w:rtl/>
        </w:rPr>
        <w:t xml:space="preserve"> </w:t>
      </w:r>
      <w:r w:rsidRPr="00C17B7B">
        <w:rPr>
          <w:rFonts w:ascii="QCF_P221" w:hAnsi="QCF_P221" w:cs="QCF_P221"/>
          <w:szCs w:val="32"/>
          <w:rtl/>
        </w:rPr>
        <w:t>ﮙ</w:t>
      </w:r>
      <w:r w:rsidR="00856E14">
        <w:rPr>
          <w:rFonts w:ascii="QCF_P221" w:hAnsi="QCF_P221" w:cs="QCF_P221" w:hint="cs"/>
          <w:szCs w:val="32"/>
          <w:rtl/>
        </w:rPr>
        <w:t xml:space="preserve"> </w:t>
      </w:r>
      <w:r w:rsidRPr="00C17B7B">
        <w:rPr>
          <w:rFonts w:ascii="QCF_P221" w:hAnsi="QCF_P221" w:cs="QCF_P221"/>
          <w:szCs w:val="32"/>
          <w:rtl/>
        </w:rPr>
        <w:t>ﮚﮛﮜ</w:t>
      </w:r>
      <w:r w:rsidR="00856E14">
        <w:rPr>
          <w:rFonts w:ascii="QCF_P221" w:hAnsi="QCF_P221" w:cs="QCF_P221" w:hint="cs"/>
          <w:szCs w:val="32"/>
          <w:rtl/>
        </w:rPr>
        <w:t xml:space="preserve"> </w:t>
      </w:r>
      <w:r w:rsidRPr="00C17B7B">
        <w:rPr>
          <w:rFonts w:ascii="QCF_P221" w:hAnsi="QCF_P221" w:cs="QCF_P221"/>
          <w:szCs w:val="32"/>
          <w:rtl/>
        </w:rPr>
        <w:t>ﮝﮞ</w:t>
      </w:r>
      <w:r w:rsidRPr="00C17B7B">
        <w:rPr>
          <w:rFonts w:ascii="QCF_BSML" w:hAnsi="QCF_BSML" w:cs="QCF_BSML"/>
          <w:szCs w:val="32"/>
          <w:rtl/>
        </w:rPr>
        <w:t>ﭼ</w:t>
      </w:r>
      <w:r w:rsidR="00277A1A">
        <w:rPr>
          <w:rFonts w:ascii="QCF_BSML" w:hAnsi="QCF_BSML" w:cs="QCF_BSML" w:hint="cs"/>
          <w:szCs w:val="32"/>
          <w:rtl/>
        </w:rPr>
        <w:t xml:space="preserve"> </w:t>
      </w:r>
      <w:r w:rsidRPr="00DC21B6">
        <w:rPr>
          <w:rFonts w:ascii="Traditional Arabic" w:hAnsi="Traditional Arabic"/>
          <w:sz w:val="32"/>
          <w:szCs w:val="32"/>
          <w:rtl/>
        </w:rPr>
        <w:t>[هود: ١]</w:t>
      </w:r>
      <w:r w:rsidRPr="00C17B7B">
        <w:rPr>
          <w:rtl/>
        </w:rPr>
        <w:t xml:space="preserve"> فبين آياته أكمل تبيين، وأتقنها أي إتقان، وفصلها بتبيين الحق من الباطل والرشد من الضلال، تفصيلا كاشفا للبس</w:t>
      </w:r>
      <w:r w:rsidRPr="00C17B7B">
        <w:rPr>
          <w:rFonts w:hint="cs"/>
          <w:rtl/>
        </w:rPr>
        <w:t>؛</w:t>
      </w:r>
      <w:r w:rsidRPr="00C17B7B">
        <w:rPr>
          <w:rtl/>
        </w:rPr>
        <w:t xml:space="preserve"> لكونه صادرا من حكيم خبير، فلا يخبر إلا بالصدق والحق واليقين، ولا يأمر إلا بالعدل والإحسان والبر، ولا ينهى إلا عن المضار الدينية والدنيوية</w:t>
      </w:r>
      <w:r w:rsidRPr="00C17B7B">
        <w:rPr>
          <w:rFonts w:hint="cs"/>
          <w:rtl/>
        </w:rPr>
        <w:t>"</w:t>
      </w:r>
      <w:r w:rsidR="00856E14" w:rsidRPr="00231805">
        <w:rPr>
          <w:rStyle w:val="ae"/>
          <w:color w:val="auto"/>
        </w:rPr>
        <w:t>(</w:t>
      </w:r>
      <w:r w:rsidR="00856E14" w:rsidRPr="00231805">
        <w:rPr>
          <w:rStyle w:val="ae"/>
          <w:color w:val="auto"/>
        </w:rPr>
        <w:footnoteReference w:id="2"/>
      </w:r>
      <w:r w:rsidR="00856E14" w:rsidRPr="00231805">
        <w:rPr>
          <w:rStyle w:val="ae"/>
          <w:color w:val="auto"/>
        </w:rPr>
        <w:t>)</w:t>
      </w:r>
      <w:r w:rsidRPr="00C17B7B">
        <w:rPr>
          <w:rtl/>
        </w:rPr>
        <w:t>.</w:t>
      </w:r>
    </w:p>
    <w:p w:rsidR="00D11232" w:rsidRPr="00C17B7B" w:rsidRDefault="00D11232" w:rsidP="00195F95">
      <w:pPr>
        <w:spacing w:after="120"/>
        <w:ind w:firstLine="0"/>
        <w:rPr>
          <w:rFonts w:ascii="mylotus" w:hAnsi="mylotus"/>
          <w:b/>
          <w:bCs/>
          <w:smallCaps/>
          <w:rtl/>
        </w:rPr>
      </w:pPr>
      <w:r w:rsidRPr="00C17B7B">
        <w:rPr>
          <w:rFonts w:ascii="mylotus" w:hAnsi="mylotus" w:hint="cs"/>
          <w:smallCaps/>
          <w:rtl/>
        </w:rPr>
        <w:t>وتفسير</w:t>
      </w:r>
      <w:r w:rsidRPr="00C17B7B">
        <w:rPr>
          <w:rFonts w:ascii="mylotus" w:hAnsi="mylotus"/>
          <w:smallCaps/>
          <w:rtl/>
        </w:rPr>
        <w:t xml:space="preserve"> كتاب الله </w:t>
      </w:r>
      <w:r w:rsidRPr="00C17B7B">
        <w:rPr>
          <w:rFonts w:ascii="mylotus" w:hAnsi="mylotus" w:hint="cs"/>
          <w:smallCaps/>
          <w:rtl/>
        </w:rPr>
        <w:t>له أثر في تدبره وفهمه،</w:t>
      </w:r>
      <w:r w:rsidRPr="00C17B7B">
        <w:rPr>
          <w:rFonts w:ascii="mylotus" w:hAnsi="mylotus"/>
          <w:smallCaps/>
          <w:rtl/>
        </w:rPr>
        <w:t xml:space="preserve"> وقد نذر جهابذة</w:t>
      </w:r>
      <w:r w:rsidRPr="00C17B7B">
        <w:rPr>
          <w:rFonts w:ascii="mylotus" w:hAnsi="mylotus" w:hint="cs"/>
          <w:smallCaps/>
          <w:rtl/>
        </w:rPr>
        <w:t>ٌ</w:t>
      </w:r>
      <w:r w:rsidRPr="00C17B7B">
        <w:rPr>
          <w:rFonts w:ascii="mylotus" w:hAnsi="mylotus"/>
          <w:smallCaps/>
          <w:rtl/>
        </w:rPr>
        <w:t xml:space="preserve"> أفذاذ</w:t>
      </w:r>
      <w:r w:rsidRPr="00C17B7B">
        <w:rPr>
          <w:rFonts w:ascii="mylotus" w:hAnsi="mylotus" w:hint="cs"/>
          <w:smallCaps/>
          <w:rtl/>
        </w:rPr>
        <w:t>ٌ</w:t>
      </w:r>
      <w:r w:rsidRPr="00C17B7B">
        <w:rPr>
          <w:rFonts w:ascii="mylotus" w:hAnsi="mylotus"/>
          <w:smallCaps/>
          <w:rtl/>
        </w:rPr>
        <w:t xml:space="preserve"> أنفسهم منذ صدر الإسلام الأول لتفسير كتاب الله وإيضاح معانيه</w:t>
      </w:r>
      <w:r w:rsidRPr="00C17B7B">
        <w:rPr>
          <w:rFonts w:ascii="mylotus" w:hAnsi="mylotus" w:hint="cs"/>
          <w:smallCaps/>
          <w:rtl/>
        </w:rPr>
        <w:t>،</w:t>
      </w:r>
      <w:r w:rsidRPr="00C17B7B">
        <w:rPr>
          <w:rFonts w:ascii="mylotus" w:hAnsi="mylotus"/>
          <w:smallCaps/>
          <w:rtl/>
        </w:rPr>
        <w:t xml:space="preserve"> وذلك ليقينهم بأن هذا القرآن هو حبل الله المتين ونوره المبين والذكر الحكيم والصراط المستقيم</w:t>
      </w:r>
      <w:r w:rsidRPr="00C17B7B">
        <w:rPr>
          <w:rFonts w:ascii="mylotus" w:hAnsi="mylotus" w:hint="cs"/>
          <w:smallCaps/>
          <w:rtl/>
        </w:rPr>
        <w:t>،</w:t>
      </w:r>
      <w:r w:rsidR="00195F95">
        <w:rPr>
          <w:rFonts w:ascii="mylotus" w:hAnsi="mylotus" w:hint="cs"/>
          <w:smallCaps/>
          <w:rtl/>
        </w:rPr>
        <w:t xml:space="preserve"> </w:t>
      </w:r>
      <w:r w:rsidRPr="00C17B7B">
        <w:rPr>
          <w:rFonts w:ascii="mylotus" w:hAnsi="mylotus" w:hint="cs"/>
          <w:smallCaps/>
          <w:rtl/>
        </w:rPr>
        <w:t>و</w:t>
      </w:r>
      <w:r w:rsidRPr="00C17B7B">
        <w:rPr>
          <w:rFonts w:ascii="mylotus" w:hAnsi="mylotus"/>
          <w:smallCaps/>
          <w:rtl/>
        </w:rPr>
        <w:t>هو الذي لا تزيغ به الأهواء</w:t>
      </w:r>
      <w:r w:rsidRPr="00C17B7B">
        <w:rPr>
          <w:rFonts w:ascii="mylotus" w:hAnsi="mylotus" w:hint="cs"/>
          <w:smallCaps/>
          <w:rtl/>
        </w:rPr>
        <w:t>,</w:t>
      </w:r>
      <w:r w:rsidRPr="00C17B7B">
        <w:rPr>
          <w:rFonts w:ascii="mylotus" w:hAnsi="mylotus"/>
          <w:smallCaps/>
          <w:rtl/>
        </w:rPr>
        <w:t xml:space="preserve"> ولا تتشعب معه الآراء</w:t>
      </w:r>
      <w:r w:rsidRPr="00C17B7B">
        <w:rPr>
          <w:rFonts w:ascii="mylotus" w:hAnsi="mylotus" w:hint="cs"/>
          <w:smallCaps/>
          <w:rtl/>
        </w:rPr>
        <w:t xml:space="preserve">، </w:t>
      </w:r>
      <w:r w:rsidRPr="00C17B7B">
        <w:rPr>
          <w:rFonts w:ascii="mylotus" w:hAnsi="mylotus"/>
          <w:smallCaps/>
          <w:rtl/>
        </w:rPr>
        <w:t>ولا يشبع منه العلماء</w:t>
      </w:r>
      <w:r w:rsidRPr="00C17B7B">
        <w:rPr>
          <w:rFonts w:ascii="mylotus" w:hAnsi="mylotus" w:hint="cs"/>
          <w:smallCaps/>
          <w:rtl/>
        </w:rPr>
        <w:t>،</w:t>
      </w:r>
      <w:r w:rsidRPr="00C17B7B">
        <w:rPr>
          <w:rFonts w:ascii="mylotus" w:hAnsi="mylotus"/>
          <w:smallCaps/>
          <w:rtl/>
        </w:rPr>
        <w:t xml:space="preserve"> ولا يمل</w:t>
      </w:r>
      <w:r w:rsidRPr="00C17B7B">
        <w:rPr>
          <w:rFonts w:ascii="mylotus" w:hAnsi="mylotus" w:hint="cs"/>
          <w:smallCaps/>
          <w:rtl/>
        </w:rPr>
        <w:t>ُّ</w:t>
      </w:r>
      <w:r w:rsidRPr="00C17B7B">
        <w:rPr>
          <w:rFonts w:ascii="mylotus" w:hAnsi="mylotus"/>
          <w:smallCaps/>
          <w:rtl/>
        </w:rPr>
        <w:t>ه الأتقياء</w:t>
      </w:r>
      <w:r w:rsidRPr="00C17B7B">
        <w:rPr>
          <w:rFonts w:ascii="mylotus" w:hAnsi="mylotus" w:hint="cs"/>
          <w:smallCaps/>
          <w:rtl/>
        </w:rPr>
        <w:t>،</w:t>
      </w:r>
      <w:r w:rsidRPr="00C17B7B">
        <w:rPr>
          <w:rFonts w:ascii="mylotus" w:hAnsi="mylotus"/>
          <w:smallCaps/>
          <w:rtl/>
        </w:rPr>
        <w:t xml:space="preserve"> من علم ع</w:t>
      </w:r>
      <w:r w:rsidRPr="00C17B7B">
        <w:rPr>
          <w:rFonts w:ascii="mylotus" w:hAnsi="mylotus" w:hint="cs"/>
          <w:smallCaps/>
          <w:rtl/>
        </w:rPr>
        <w:t>ِ</w:t>
      </w:r>
      <w:r w:rsidRPr="00C17B7B">
        <w:rPr>
          <w:rFonts w:ascii="mylotus" w:hAnsi="mylotus"/>
          <w:smallCaps/>
          <w:rtl/>
        </w:rPr>
        <w:t>ل</w:t>
      </w:r>
      <w:r w:rsidRPr="00C17B7B">
        <w:rPr>
          <w:rFonts w:ascii="mylotus" w:hAnsi="mylotus" w:hint="cs"/>
          <w:smallCaps/>
          <w:rtl/>
        </w:rPr>
        <w:t>ْ</w:t>
      </w:r>
      <w:r w:rsidRPr="00C17B7B">
        <w:rPr>
          <w:rFonts w:ascii="mylotus" w:hAnsi="mylotus"/>
          <w:smallCaps/>
          <w:rtl/>
        </w:rPr>
        <w:t>م</w:t>
      </w:r>
      <w:r w:rsidRPr="00C17B7B">
        <w:rPr>
          <w:rFonts w:ascii="mylotus" w:hAnsi="mylotus" w:hint="cs"/>
          <w:smallCaps/>
          <w:rtl/>
        </w:rPr>
        <w:t>َ</w:t>
      </w:r>
      <w:r w:rsidRPr="00C17B7B">
        <w:rPr>
          <w:rFonts w:ascii="mylotus" w:hAnsi="mylotus"/>
          <w:smallCaps/>
          <w:rtl/>
        </w:rPr>
        <w:t>ه سبق</w:t>
      </w:r>
      <w:r w:rsidRPr="00C17B7B">
        <w:rPr>
          <w:rFonts w:ascii="mylotus" w:hAnsi="mylotus" w:hint="cs"/>
          <w:smallCaps/>
          <w:rtl/>
        </w:rPr>
        <w:t xml:space="preserve">، </w:t>
      </w:r>
      <w:r w:rsidRPr="00C17B7B">
        <w:rPr>
          <w:rFonts w:ascii="mylotus" w:hAnsi="mylotus"/>
          <w:smallCaps/>
          <w:rtl/>
        </w:rPr>
        <w:t>ومن عمل به أُجرَ</w:t>
      </w:r>
      <w:r w:rsidRPr="00C17B7B">
        <w:rPr>
          <w:rFonts w:ascii="mylotus" w:hAnsi="mylotus" w:hint="cs"/>
          <w:smallCaps/>
          <w:rtl/>
        </w:rPr>
        <w:t>،</w:t>
      </w:r>
      <w:r w:rsidRPr="00C17B7B">
        <w:rPr>
          <w:rFonts w:ascii="mylotus" w:hAnsi="mylotus"/>
          <w:smallCaps/>
          <w:rtl/>
        </w:rPr>
        <w:t xml:space="preserve"> ومن حكم به عدل</w:t>
      </w:r>
      <w:r w:rsidRPr="00C17B7B">
        <w:rPr>
          <w:rFonts w:ascii="mylotus" w:hAnsi="mylotus" w:hint="cs"/>
          <w:smallCaps/>
          <w:rtl/>
        </w:rPr>
        <w:t>،</w:t>
      </w:r>
      <w:r w:rsidRPr="00C17B7B">
        <w:rPr>
          <w:rFonts w:ascii="mylotus" w:hAnsi="mylotus"/>
          <w:smallCaps/>
          <w:rtl/>
        </w:rPr>
        <w:t xml:space="preserve"> ومن اعتصم به فقد هُدِي إلى صراط مستقيم .  </w:t>
      </w:r>
    </w:p>
    <w:p w:rsidR="00D11232" w:rsidRDefault="00D11232" w:rsidP="00856E14">
      <w:pPr>
        <w:pStyle w:val="1"/>
        <w:bidi/>
        <w:spacing w:after="120"/>
        <w:jc w:val="both"/>
        <w:rPr>
          <w:rFonts w:cs="Traditional Arabic"/>
          <w:color w:val="auto"/>
          <w:sz w:val="36"/>
          <w:rtl/>
        </w:rPr>
      </w:pPr>
      <w:r w:rsidRPr="00C17B7B">
        <w:rPr>
          <w:rFonts w:ascii="mylotus" w:hAnsi="mylotus" w:cs="Traditional Arabic"/>
          <w:b w:val="0"/>
          <w:bCs w:val="0"/>
          <w:smallCaps/>
          <w:noProof w:val="0"/>
          <w:color w:val="auto"/>
          <w:kern w:val="0"/>
          <w:sz w:val="36"/>
          <w:rtl/>
        </w:rPr>
        <w:t xml:space="preserve">وكان ممن اجتهد في تدبر كتاب الله وتفسيره </w:t>
      </w:r>
      <w:r w:rsidRPr="00C17B7B">
        <w:rPr>
          <w:rFonts w:ascii="mylotus" w:hAnsi="mylotus" w:cs="Traditional Arabic" w:hint="cs"/>
          <w:b w:val="0"/>
          <w:bCs w:val="0"/>
          <w:smallCaps/>
          <w:noProof w:val="0"/>
          <w:color w:val="auto"/>
          <w:kern w:val="0"/>
          <w:sz w:val="36"/>
          <w:rtl/>
        </w:rPr>
        <w:t xml:space="preserve">، </w:t>
      </w:r>
      <w:r w:rsidRPr="00C17B7B">
        <w:rPr>
          <w:rFonts w:ascii="mylotus" w:hAnsi="mylotus" w:cs="Traditional Arabic"/>
          <w:b w:val="0"/>
          <w:bCs w:val="0"/>
          <w:smallCaps/>
          <w:noProof w:val="0"/>
          <w:color w:val="auto"/>
          <w:kern w:val="0"/>
          <w:sz w:val="36"/>
          <w:rtl/>
        </w:rPr>
        <w:t xml:space="preserve">الإمام العالم  عبدالرحمن بن علي بن محمد المعروف بابن الجوزي حيث فسر القرآن الكريم كاملاً في </w:t>
      </w:r>
      <w:r w:rsidRPr="00C17B7B">
        <w:rPr>
          <w:rFonts w:ascii="mylotus" w:hAnsi="mylotus" w:cs="Traditional Arabic" w:hint="cs"/>
          <w:b w:val="0"/>
          <w:bCs w:val="0"/>
          <w:smallCaps/>
          <w:noProof w:val="0"/>
          <w:color w:val="auto"/>
          <w:kern w:val="0"/>
          <w:sz w:val="36"/>
          <w:rtl/>
        </w:rPr>
        <w:t>تفسيره</w:t>
      </w:r>
      <w:r w:rsidRPr="00C17B7B">
        <w:rPr>
          <w:rFonts w:ascii="mylotus" w:hAnsi="mylotus" w:cs="Traditional Arabic"/>
          <w:b w:val="0"/>
          <w:bCs w:val="0"/>
          <w:smallCaps/>
          <w:noProof w:val="0"/>
          <w:color w:val="auto"/>
          <w:kern w:val="0"/>
          <w:sz w:val="36"/>
          <w:rtl/>
        </w:rPr>
        <w:t xml:space="preserve"> الموسوم بـ</w:t>
      </w:r>
      <w:r w:rsidRPr="00C17B7B">
        <w:rPr>
          <w:rFonts w:cs="Traditional Arabic"/>
          <w:color w:val="auto"/>
          <w:sz w:val="36"/>
          <w:rtl/>
        </w:rPr>
        <w:t>(</w:t>
      </w:r>
      <w:r w:rsidRPr="00C17B7B">
        <w:rPr>
          <w:rFonts w:cs="Traditional Arabic" w:hint="cs"/>
          <w:color w:val="auto"/>
          <w:sz w:val="36"/>
          <w:rtl/>
          <w:lang w:eastAsia="en-US"/>
        </w:rPr>
        <w:t>زاد المسير في علم التفسير</w:t>
      </w:r>
      <w:r w:rsidRPr="00C17B7B">
        <w:rPr>
          <w:rFonts w:cs="Traditional Arabic"/>
          <w:color w:val="auto"/>
          <w:sz w:val="36"/>
          <w:rtl/>
        </w:rPr>
        <w:t>)</w:t>
      </w:r>
      <w:r w:rsidRPr="00C17B7B">
        <w:rPr>
          <w:rFonts w:cs="Traditional Arabic" w:hint="cs"/>
          <w:color w:val="auto"/>
          <w:sz w:val="36"/>
          <w:rtl/>
        </w:rPr>
        <w:t>.</w:t>
      </w:r>
    </w:p>
    <w:p w:rsidR="00807B67" w:rsidRDefault="00807B67" w:rsidP="00807B67">
      <w:pPr>
        <w:rPr>
          <w:rtl/>
        </w:rPr>
      </w:pPr>
    </w:p>
    <w:p w:rsidR="00807B67" w:rsidRDefault="00807B67" w:rsidP="00807B67">
      <w:pPr>
        <w:rPr>
          <w:rtl/>
        </w:rPr>
      </w:pPr>
    </w:p>
    <w:p w:rsidR="005D6809" w:rsidRDefault="005D6809" w:rsidP="005D6809">
      <w:pPr>
        <w:pStyle w:val="1"/>
        <w:spacing w:after="120"/>
        <w:rPr>
          <w:rFonts w:ascii="mylotus" w:hAnsi="mylotus" w:cs="Traditional Arabic"/>
          <w:b w:val="0"/>
          <w:bCs w:val="0"/>
          <w:smallCaps/>
          <w:color w:val="auto"/>
          <w:sz w:val="36"/>
        </w:rPr>
      </w:pPr>
    </w:p>
    <w:p w:rsidR="005D6809" w:rsidRPr="005D6809" w:rsidRDefault="005D6809" w:rsidP="005D6809">
      <w:pPr>
        <w:rPr>
          <w:rtl/>
        </w:rPr>
      </w:pPr>
    </w:p>
    <w:p w:rsidR="00D11232" w:rsidRPr="00067E45" w:rsidRDefault="00D11232" w:rsidP="00D11232">
      <w:pPr>
        <w:pStyle w:val="1"/>
        <w:spacing w:after="120"/>
        <w:ind w:firstLine="454"/>
        <w:jc w:val="right"/>
        <w:rPr>
          <w:color w:val="auto"/>
          <w:sz w:val="36"/>
        </w:rPr>
      </w:pPr>
      <w:r w:rsidRPr="00C17B7B">
        <w:rPr>
          <w:rFonts w:ascii="mylotus" w:hAnsi="mylotus" w:cs="Traditional Arabic"/>
          <w:b w:val="0"/>
          <w:bCs w:val="0"/>
          <w:smallCaps/>
          <w:color w:val="auto"/>
          <w:sz w:val="36"/>
          <w:rtl/>
        </w:rPr>
        <w:lastRenderedPageBreak/>
        <w:t>ورغبة مني في المشاركة في</w:t>
      </w:r>
      <w:r w:rsidRPr="00C17B7B">
        <w:rPr>
          <w:rFonts w:ascii="mylotus" w:hAnsi="mylotus" w:cs="Traditional Arabic" w:hint="cs"/>
          <w:b w:val="0"/>
          <w:bCs w:val="0"/>
          <w:smallCaps/>
          <w:color w:val="auto"/>
          <w:sz w:val="36"/>
          <w:rtl/>
        </w:rPr>
        <w:t xml:space="preserve"> تحقيق</w:t>
      </w:r>
      <w:r>
        <w:rPr>
          <w:rFonts w:ascii="mylotus" w:hAnsi="mylotus" w:cs="Traditional Arabic" w:hint="cs"/>
          <w:b w:val="0"/>
          <w:bCs w:val="0"/>
          <w:smallCaps/>
          <w:color w:val="auto"/>
          <w:sz w:val="36"/>
          <w:rtl/>
        </w:rPr>
        <w:t xml:space="preserve"> </w:t>
      </w:r>
      <w:r w:rsidRPr="00C17B7B">
        <w:rPr>
          <w:rFonts w:ascii="mylotus" w:hAnsi="mylotus" w:cs="Traditional Arabic" w:hint="cs"/>
          <w:b w:val="0"/>
          <w:bCs w:val="0"/>
          <w:smallCaps/>
          <w:color w:val="auto"/>
          <w:sz w:val="36"/>
          <w:rtl/>
        </w:rPr>
        <w:t>و</w:t>
      </w:r>
      <w:r w:rsidRPr="00C17B7B">
        <w:rPr>
          <w:rFonts w:ascii="mylotus" w:hAnsi="mylotus" w:cs="Traditional Arabic"/>
          <w:b w:val="0"/>
          <w:bCs w:val="0"/>
          <w:smallCaps/>
          <w:color w:val="auto"/>
          <w:sz w:val="36"/>
          <w:rtl/>
        </w:rPr>
        <w:t>إخراج هذا الكتاب لما امتاز به من تفسير القرآن الكريم، ووفاء</w:t>
      </w:r>
      <w:r w:rsidRPr="00C17B7B">
        <w:rPr>
          <w:rFonts w:ascii="mylotus" w:hAnsi="mylotus" w:cs="Traditional Arabic" w:hint="cs"/>
          <w:b w:val="0"/>
          <w:bCs w:val="0"/>
          <w:smallCaps/>
          <w:color w:val="auto"/>
          <w:sz w:val="36"/>
          <w:rtl/>
        </w:rPr>
        <w:t>ً</w:t>
      </w:r>
      <w:r w:rsidRPr="00C17B7B">
        <w:rPr>
          <w:rFonts w:ascii="mylotus" w:hAnsi="mylotus" w:cs="Traditional Arabic"/>
          <w:b w:val="0"/>
          <w:bCs w:val="0"/>
          <w:smallCaps/>
          <w:color w:val="auto"/>
          <w:sz w:val="36"/>
          <w:rtl/>
        </w:rPr>
        <w:t xml:space="preserve"> بحق مؤلِفه</w:t>
      </w:r>
      <w:r>
        <w:rPr>
          <w:rFonts w:ascii="mylotus" w:hAnsi="mylotus" w:cs="Traditional Arabic"/>
          <w:b w:val="0"/>
          <w:bCs w:val="0"/>
          <w:smallCaps/>
          <w:color w:val="auto"/>
          <w:sz w:val="36"/>
          <w:rtl/>
        </w:rPr>
        <w:t xml:space="preserve"> في إبراز شخصيته، وإخراج مؤلَفه</w:t>
      </w:r>
      <w:r w:rsidRPr="00C17B7B">
        <w:rPr>
          <w:rFonts w:ascii="mylotus" w:hAnsi="mylotus" w:cs="Traditional Arabic" w:hint="cs"/>
          <w:b w:val="0"/>
          <w:bCs w:val="0"/>
          <w:smallCaps/>
          <w:color w:val="auto"/>
          <w:sz w:val="36"/>
          <w:rtl/>
        </w:rPr>
        <w:t xml:space="preserve">, </w:t>
      </w:r>
      <w:r w:rsidRPr="00C17B7B">
        <w:rPr>
          <w:rFonts w:ascii="mylotus" w:hAnsi="mylotus" w:cs="Traditional Arabic"/>
          <w:b w:val="0"/>
          <w:bCs w:val="0"/>
          <w:smallCaps/>
          <w:color w:val="auto"/>
          <w:sz w:val="36"/>
          <w:rtl/>
        </w:rPr>
        <w:t>والاستفادة منه؛ رأيت أن يكون موضوع رسالتي</w:t>
      </w:r>
      <w:r w:rsidRPr="00C17B7B">
        <w:rPr>
          <w:rFonts w:ascii="mylotus" w:hAnsi="mylotus" w:cs="Traditional Arabic" w:hint="cs"/>
          <w:b w:val="0"/>
          <w:bCs w:val="0"/>
          <w:smallCaps/>
          <w:color w:val="auto"/>
          <w:sz w:val="36"/>
          <w:rtl/>
        </w:rPr>
        <w:t xml:space="preserve"> لنيل درجة العالمية (الماجستير)</w:t>
      </w:r>
      <w:r w:rsidRPr="00C17B7B">
        <w:rPr>
          <w:rFonts w:ascii="mylotus" w:hAnsi="mylotus" w:cs="Traditional Arabic"/>
          <w:b w:val="0"/>
          <w:bCs w:val="0"/>
          <w:smallCaps/>
          <w:color w:val="auto"/>
          <w:sz w:val="36"/>
          <w:rtl/>
        </w:rPr>
        <w:t xml:space="preserve"> هو</w:t>
      </w:r>
      <w:r w:rsidRPr="00C17B7B">
        <w:rPr>
          <w:rFonts w:ascii="mylotus" w:hAnsi="mylotus" w:cs="Traditional Arabic" w:hint="cs"/>
          <w:b w:val="0"/>
          <w:bCs w:val="0"/>
          <w:smallCaps/>
          <w:color w:val="auto"/>
          <w:sz w:val="36"/>
          <w:rtl/>
        </w:rPr>
        <w:t xml:space="preserve"> دراسة و</w:t>
      </w:r>
      <w:r w:rsidRPr="00C17B7B">
        <w:rPr>
          <w:rFonts w:ascii="mylotus" w:hAnsi="mylotus" w:cs="Traditional Arabic"/>
          <w:b w:val="0"/>
          <w:bCs w:val="0"/>
          <w:smallCaps/>
          <w:color w:val="auto"/>
          <w:sz w:val="36"/>
          <w:rtl/>
        </w:rPr>
        <w:t xml:space="preserve">تحقيق </w:t>
      </w:r>
      <w:r w:rsidRPr="00C17B7B">
        <w:rPr>
          <w:rFonts w:ascii="mylotus" w:hAnsi="mylotus" w:cs="Traditional Arabic" w:hint="cs"/>
          <w:b w:val="0"/>
          <w:bCs w:val="0"/>
          <w:smallCaps/>
          <w:color w:val="auto"/>
          <w:sz w:val="36"/>
          <w:rtl/>
        </w:rPr>
        <w:t>جزء من هذا</w:t>
      </w:r>
      <w:r w:rsidRPr="00C17B7B">
        <w:rPr>
          <w:rFonts w:ascii="mylotus" w:hAnsi="mylotus" w:cs="Traditional Arabic"/>
          <w:b w:val="0"/>
          <w:bCs w:val="0"/>
          <w:smallCaps/>
          <w:color w:val="auto"/>
          <w:sz w:val="36"/>
          <w:rtl/>
        </w:rPr>
        <w:t xml:space="preserve"> التفس</w:t>
      </w:r>
      <w:r w:rsidRPr="00067E45">
        <w:rPr>
          <w:rFonts w:ascii="Traditional Arabic" w:hAnsi="Traditional Arabic" w:cs="Traditional Arabic"/>
          <w:b w:val="0"/>
          <w:bCs w:val="0"/>
          <w:smallCaps/>
          <w:color w:val="auto"/>
          <w:sz w:val="36"/>
          <w:rtl/>
        </w:rPr>
        <w:t>ير,</w:t>
      </w:r>
      <w:r>
        <w:rPr>
          <w:rFonts w:ascii="Traditional Arabic" w:hAnsi="Traditional Arabic" w:cs="Traditional Arabic"/>
          <w:b w:val="0"/>
          <w:bCs w:val="0"/>
          <w:smallCaps/>
          <w:color w:val="auto"/>
          <w:sz w:val="36"/>
          <w:rtl/>
        </w:rPr>
        <w:t xml:space="preserve"> وذل</w:t>
      </w:r>
      <w:r>
        <w:rPr>
          <w:rFonts w:ascii="Traditional Arabic" w:hAnsi="Traditional Arabic" w:cs="Traditional Arabic" w:hint="cs"/>
          <w:b w:val="0"/>
          <w:bCs w:val="0"/>
          <w:smallCaps/>
          <w:color w:val="auto"/>
          <w:sz w:val="36"/>
          <w:rtl/>
        </w:rPr>
        <w:t>ك</w:t>
      </w:r>
      <w:r w:rsidRPr="00067E45">
        <w:rPr>
          <w:rFonts w:ascii="Traditional Arabic" w:hAnsi="Traditional Arabic" w:cs="Traditional Arabic"/>
          <w:b w:val="0"/>
          <w:bCs w:val="0"/>
          <w:color w:val="auto"/>
          <w:sz w:val="36"/>
          <w:rtl/>
          <w:lang w:eastAsia="en-US"/>
        </w:rPr>
        <w:t xml:space="preserve"> </w:t>
      </w:r>
      <w:r w:rsidRPr="00067E45">
        <w:rPr>
          <w:rFonts w:ascii="Traditional Arabic" w:hAnsi="Traditional Arabic" w:cs="Traditional Arabic"/>
          <w:b w:val="0"/>
          <w:bCs w:val="0"/>
          <w:color w:val="auto"/>
          <w:sz w:val="36"/>
          <w:rtl/>
        </w:rPr>
        <w:t>من بداية تفسير آية رقم (59) من سورة الاسراء إلى نهاية آية رقم (40) من سورة مريم</w:t>
      </w:r>
      <w:r>
        <w:rPr>
          <w:rFonts w:ascii="Traditional Arabic" w:hAnsi="Traditional Arabic" w:cs="Traditional Arabic" w:hint="cs"/>
          <w:b w:val="0"/>
          <w:bCs w:val="0"/>
          <w:color w:val="auto"/>
          <w:sz w:val="36"/>
          <w:rtl/>
        </w:rPr>
        <w:t>.</w:t>
      </w:r>
    </w:p>
    <w:p w:rsidR="00D11232" w:rsidRPr="00C17B7B" w:rsidRDefault="00D11232" w:rsidP="00D11232">
      <w:pPr>
        <w:spacing w:after="120"/>
        <w:rPr>
          <w:rFonts w:ascii="mylotus" w:hAnsi="mylotus"/>
          <w:smallCaps/>
          <w:rtl/>
        </w:rPr>
      </w:pPr>
      <w:r w:rsidRPr="00C17B7B">
        <w:rPr>
          <w:rFonts w:ascii="mylotus" w:hAnsi="mylotus"/>
          <w:smallCaps/>
          <w:rtl/>
        </w:rPr>
        <w:t>وأسأل الله العون والتيسير، وما توفيقي إلا بالله عليه توكلت وإليه أنيب.</w:t>
      </w:r>
    </w:p>
    <w:p w:rsidR="00807B67" w:rsidRDefault="00D11232" w:rsidP="00807B67">
      <w:pPr>
        <w:spacing w:line="276" w:lineRule="auto"/>
        <w:contextualSpacing/>
        <w:jc w:val="center"/>
        <w:rPr>
          <w:rFonts w:ascii="Traditional Arabic" w:eastAsia="Calibri" w:hAnsi="Traditional Arabic"/>
          <w:b/>
          <w:bCs/>
          <w:color w:val="auto"/>
          <w:szCs w:val="32"/>
          <w:rtl/>
        </w:rPr>
      </w:pPr>
      <w:r w:rsidRPr="00C17B7B">
        <w:rPr>
          <w:rFonts w:ascii="Traditional Arabic" w:eastAsia="Calibri" w:hAnsi="Traditional Arabic" w:cs="DecoType Naskh" w:hint="cs"/>
          <w:color w:val="auto"/>
          <w:szCs w:val="32"/>
          <w:rtl/>
        </w:rPr>
        <w:t>***</w:t>
      </w:r>
      <w:r w:rsidRPr="00C17B7B">
        <w:rPr>
          <w:rFonts w:ascii="Traditional Arabic" w:eastAsia="Calibri" w:hAnsi="Traditional Arabic" w:cs="DecoType Naskh" w:hint="cs"/>
          <w:color w:val="auto"/>
          <w:szCs w:val="32"/>
          <w:rtl/>
        </w:rPr>
        <w:tab/>
      </w:r>
      <w:r w:rsidRPr="00C17B7B">
        <w:rPr>
          <w:rFonts w:ascii="Traditional Arabic" w:eastAsia="Calibri" w:hAnsi="Traditional Arabic" w:cs="DecoType Naskh" w:hint="cs"/>
          <w:color w:val="auto"/>
          <w:szCs w:val="32"/>
          <w:rtl/>
        </w:rPr>
        <w:tab/>
        <w:t>***</w:t>
      </w:r>
      <w:r w:rsidRPr="00C17B7B">
        <w:rPr>
          <w:rFonts w:ascii="Traditional Arabic" w:eastAsia="Calibri" w:hAnsi="Traditional Arabic" w:cs="DecoType Naskh" w:hint="cs"/>
          <w:color w:val="auto"/>
          <w:szCs w:val="32"/>
          <w:rtl/>
        </w:rPr>
        <w:tab/>
      </w:r>
      <w:r w:rsidRPr="00C17B7B">
        <w:rPr>
          <w:rFonts w:ascii="Traditional Arabic" w:eastAsia="Calibri" w:hAnsi="Traditional Arabic" w:cs="DecoType Naskh" w:hint="cs"/>
          <w:color w:val="auto"/>
          <w:szCs w:val="32"/>
          <w:rtl/>
        </w:rPr>
        <w:tab/>
        <w:t>***</w:t>
      </w:r>
    </w:p>
    <w:p w:rsidR="005D6809" w:rsidRDefault="005D6809" w:rsidP="006C24EE">
      <w:pPr>
        <w:spacing w:line="276" w:lineRule="auto"/>
        <w:contextualSpacing/>
        <w:jc w:val="left"/>
        <w:rPr>
          <w:rFonts w:ascii="Traditional Arabic" w:eastAsia="Calibri" w:hAnsi="Traditional Arabic"/>
          <w:b/>
          <w:bCs/>
          <w:color w:val="auto"/>
          <w:szCs w:val="32"/>
          <w:rtl/>
        </w:rPr>
      </w:pPr>
    </w:p>
    <w:p w:rsidR="00807B67" w:rsidRDefault="00807B67" w:rsidP="006C24EE">
      <w:pPr>
        <w:spacing w:line="276" w:lineRule="auto"/>
        <w:contextualSpacing/>
        <w:jc w:val="left"/>
        <w:rPr>
          <w:rFonts w:ascii="Traditional Arabic" w:eastAsia="Calibri" w:hAnsi="Traditional Arabic"/>
          <w:b/>
          <w:bCs/>
          <w:color w:val="auto"/>
          <w:szCs w:val="32"/>
          <w:rtl/>
        </w:rPr>
      </w:pPr>
      <w:r w:rsidRPr="00807B67">
        <w:rPr>
          <w:rFonts w:ascii="Traditional Arabic" w:eastAsia="Calibri" w:hAnsi="Traditional Arabic" w:hint="cs"/>
          <w:b/>
          <w:bCs/>
          <w:color w:val="auto"/>
          <w:szCs w:val="32"/>
          <w:rtl/>
        </w:rPr>
        <w:t>أهمية الموضوع وأسباب اختياره:</w:t>
      </w:r>
      <w:r w:rsidR="006C24EE">
        <w:rPr>
          <w:rFonts w:ascii="Traditional Arabic" w:eastAsia="Calibri" w:hAnsi="Traditional Arabic" w:hint="cs"/>
          <w:b/>
          <w:bCs/>
          <w:color w:val="auto"/>
          <w:szCs w:val="32"/>
          <w:rtl/>
        </w:rPr>
        <w:t xml:space="preserve"> </w:t>
      </w:r>
    </w:p>
    <w:p w:rsidR="00807B67" w:rsidRPr="00807B67" w:rsidRDefault="00807B67" w:rsidP="006C24EE">
      <w:pPr>
        <w:pStyle w:val="afd"/>
        <w:numPr>
          <w:ilvl w:val="0"/>
          <w:numId w:val="29"/>
        </w:numPr>
        <w:spacing w:line="276" w:lineRule="auto"/>
        <w:jc w:val="both"/>
        <w:rPr>
          <w:rFonts w:ascii="Traditional Arabic" w:eastAsia="Calibri" w:hAnsi="Traditional Arabic" w:cs="Traditional Arabic"/>
          <w:sz w:val="36"/>
          <w:szCs w:val="36"/>
          <w:rtl/>
        </w:rPr>
      </w:pPr>
      <w:r w:rsidRPr="00807B67">
        <w:rPr>
          <w:rFonts w:ascii="Traditional Arabic" w:hAnsi="Traditional Arabic" w:cs="Traditional Arabic"/>
          <w:spacing w:val="-4"/>
          <w:sz w:val="36"/>
          <w:szCs w:val="36"/>
          <w:rtl/>
        </w:rPr>
        <w:t>الرغبة الشديدة في خدمة كتاب الله – عز وجل – من خلال تحقيق تفسير زاد المسير في علم التفسير</w:t>
      </w:r>
      <w:r w:rsidRPr="00807B67">
        <w:rPr>
          <w:rFonts w:ascii="Traditional Arabic" w:eastAsia="Calibri" w:hAnsi="Traditional Arabic" w:cs="Traditional Arabic"/>
          <w:sz w:val="36"/>
          <w:szCs w:val="36"/>
          <w:rtl/>
        </w:rPr>
        <w:t>.</w:t>
      </w:r>
    </w:p>
    <w:p w:rsidR="00807B67" w:rsidRPr="00807B67" w:rsidRDefault="00807B67" w:rsidP="006C24EE">
      <w:pPr>
        <w:pStyle w:val="afd"/>
        <w:numPr>
          <w:ilvl w:val="0"/>
          <w:numId w:val="29"/>
        </w:numPr>
        <w:jc w:val="both"/>
        <w:rPr>
          <w:rFonts w:ascii="Traditional Arabic" w:eastAsia="Calibri" w:hAnsi="Traditional Arabic" w:cs="Traditional Arabic"/>
          <w:sz w:val="36"/>
          <w:szCs w:val="36"/>
          <w:rtl/>
        </w:rPr>
      </w:pPr>
      <w:r w:rsidRPr="00807B67">
        <w:rPr>
          <w:rFonts w:ascii="Traditional Arabic" w:eastAsia="Calibri" w:hAnsi="Traditional Arabic" w:cs="Traditional Arabic"/>
          <w:sz w:val="36"/>
          <w:szCs w:val="36"/>
          <w:rtl/>
        </w:rPr>
        <w:t>أهمية البحث في تفسير القرآن الكريم، لأن شرف العلم بشرف معلومه وهذا الكتاب في تفسير كلام الله .</w:t>
      </w:r>
    </w:p>
    <w:p w:rsidR="00807B67" w:rsidRPr="00807B67" w:rsidRDefault="00807B67" w:rsidP="00804AFD">
      <w:pPr>
        <w:pStyle w:val="afd"/>
        <w:numPr>
          <w:ilvl w:val="0"/>
          <w:numId w:val="29"/>
        </w:numPr>
        <w:jc w:val="both"/>
        <w:rPr>
          <w:rFonts w:ascii="Traditional Arabic" w:eastAsia="Calibri" w:hAnsi="Traditional Arabic" w:cs="Traditional Arabic"/>
          <w:sz w:val="36"/>
          <w:szCs w:val="36"/>
          <w:rtl/>
        </w:rPr>
      </w:pPr>
      <w:r w:rsidRPr="00807B67">
        <w:rPr>
          <w:rFonts w:ascii="Traditional Arabic" w:eastAsia="Calibri" w:hAnsi="Traditional Arabic" w:cs="Traditional Arabic"/>
          <w:sz w:val="36"/>
          <w:szCs w:val="36"/>
          <w:rtl/>
        </w:rPr>
        <w:t xml:space="preserve">المشاركة في إخراج تراث أئمتنا وعلمائنا المتقدمين </w:t>
      </w:r>
      <w:r w:rsidR="00804AFD">
        <w:rPr>
          <w:rFonts w:ascii="Traditional Arabic" w:eastAsia="Calibri" w:hAnsi="Traditional Arabic" w:cs="Traditional Arabic"/>
          <w:sz w:val="36"/>
          <w:szCs w:val="36"/>
          <w:rtl/>
        </w:rPr>
        <w:t>إخراج</w:t>
      </w:r>
      <w:r w:rsidR="00804AFD">
        <w:rPr>
          <w:rFonts w:ascii="Traditional Arabic" w:eastAsia="Calibri" w:hAnsi="Traditional Arabic" w:cs="Traditional Arabic" w:hint="cs"/>
          <w:sz w:val="36"/>
          <w:szCs w:val="36"/>
          <w:rtl/>
        </w:rPr>
        <w:t>اً</w:t>
      </w:r>
      <w:r w:rsidR="00804AFD">
        <w:rPr>
          <w:rFonts w:ascii="Traditional Arabic" w:eastAsia="Calibri" w:hAnsi="Traditional Arabic" w:cs="Traditional Arabic"/>
          <w:sz w:val="36"/>
          <w:szCs w:val="36"/>
          <w:rtl/>
        </w:rPr>
        <w:t xml:space="preserve"> علميّ</w:t>
      </w:r>
      <w:r w:rsidR="00804AFD">
        <w:rPr>
          <w:rFonts w:ascii="Traditional Arabic" w:eastAsia="Calibri" w:hAnsi="Traditional Arabic" w:cs="Traditional Arabic" w:hint="cs"/>
          <w:sz w:val="36"/>
          <w:szCs w:val="36"/>
          <w:rtl/>
        </w:rPr>
        <w:t>اً</w:t>
      </w:r>
      <w:r w:rsidR="00804AFD">
        <w:rPr>
          <w:rFonts w:ascii="Traditional Arabic" w:eastAsia="Calibri" w:hAnsi="Traditional Arabic" w:cs="Traditional Arabic"/>
          <w:sz w:val="36"/>
          <w:szCs w:val="36"/>
          <w:rtl/>
        </w:rPr>
        <w:t xml:space="preserve"> وفق</w:t>
      </w:r>
      <w:r w:rsidR="00804AFD">
        <w:rPr>
          <w:rFonts w:ascii="Traditional Arabic" w:eastAsia="Calibri" w:hAnsi="Traditional Arabic" w:cs="Traditional Arabic" w:hint="cs"/>
          <w:sz w:val="36"/>
          <w:szCs w:val="36"/>
          <w:rtl/>
        </w:rPr>
        <w:t>اً</w:t>
      </w:r>
      <w:r w:rsidR="00804AFD" w:rsidRPr="00807B67">
        <w:rPr>
          <w:rFonts w:ascii="Traditional Arabic" w:eastAsia="Calibri" w:hAnsi="Traditional Arabic" w:cs="Traditional Arabic"/>
          <w:sz w:val="36"/>
          <w:szCs w:val="36"/>
          <w:rtl/>
        </w:rPr>
        <w:t xml:space="preserve"> لأصول منهج البحث العلمي المتبع في الجامعات والأقسام العلمية، ليكون في متناول طلاب العلم .</w:t>
      </w:r>
    </w:p>
    <w:p w:rsidR="00807B67" w:rsidRPr="00807B67" w:rsidRDefault="00807B67" w:rsidP="006C24EE">
      <w:pPr>
        <w:pStyle w:val="afd"/>
        <w:numPr>
          <w:ilvl w:val="0"/>
          <w:numId w:val="29"/>
        </w:numPr>
        <w:jc w:val="both"/>
        <w:rPr>
          <w:rFonts w:ascii="Traditional Arabic" w:eastAsia="Calibri" w:hAnsi="Traditional Arabic" w:cs="Traditional Arabic"/>
          <w:sz w:val="36"/>
          <w:szCs w:val="36"/>
          <w:rtl/>
        </w:rPr>
      </w:pPr>
      <w:r w:rsidRPr="00807B67">
        <w:rPr>
          <w:rFonts w:ascii="Traditional Arabic" w:eastAsia="Calibri" w:hAnsi="Traditional Arabic" w:cs="Traditional Arabic"/>
          <w:sz w:val="36"/>
          <w:szCs w:val="36"/>
          <w:rtl/>
        </w:rPr>
        <w:t>المشاركة في إثراء مكتبة التفسير عموما، ومكتبة الحنابلة خصوصا بخدمة هذا السفر المبارك.</w:t>
      </w:r>
    </w:p>
    <w:p w:rsidR="00807B67" w:rsidRPr="00807B67" w:rsidRDefault="00807B67" w:rsidP="006C24EE">
      <w:pPr>
        <w:pStyle w:val="afd"/>
        <w:numPr>
          <w:ilvl w:val="0"/>
          <w:numId w:val="29"/>
        </w:numPr>
        <w:jc w:val="both"/>
        <w:rPr>
          <w:rFonts w:ascii="Traditional Arabic" w:eastAsia="Calibri" w:hAnsi="Traditional Arabic" w:cs="Traditional Arabic"/>
          <w:sz w:val="36"/>
          <w:szCs w:val="36"/>
          <w:rtl/>
        </w:rPr>
      </w:pPr>
      <w:r w:rsidRPr="00807B67">
        <w:rPr>
          <w:rFonts w:ascii="Traditional Arabic" w:eastAsia="Calibri" w:hAnsi="Traditional Arabic" w:cs="Traditional Arabic"/>
          <w:sz w:val="36"/>
          <w:szCs w:val="36"/>
          <w:rtl/>
        </w:rPr>
        <w:t>مكانة المؤلف العلمية، وقدمه الراسخة في علوم الشريعة وخاصة التفسير.</w:t>
      </w:r>
    </w:p>
    <w:p w:rsidR="00807B67" w:rsidRPr="00807B67" w:rsidRDefault="00807B67" w:rsidP="006C24EE">
      <w:pPr>
        <w:pStyle w:val="afd"/>
        <w:numPr>
          <w:ilvl w:val="0"/>
          <w:numId w:val="29"/>
        </w:numPr>
        <w:jc w:val="both"/>
        <w:rPr>
          <w:rFonts w:ascii="Traditional Arabic" w:eastAsia="Calibri" w:hAnsi="Traditional Arabic" w:cs="Traditional Arabic"/>
          <w:sz w:val="36"/>
          <w:szCs w:val="36"/>
          <w:rtl/>
        </w:rPr>
      </w:pPr>
      <w:r w:rsidRPr="00807B67">
        <w:rPr>
          <w:rFonts w:ascii="Traditional Arabic" w:eastAsia="Calibri" w:hAnsi="Traditional Arabic" w:cs="Traditional Arabic"/>
          <w:sz w:val="36"/>
          <w:szCs w:val="36"/>
          <w:rtl/>
        </w:rPr>
        <w:t>أهمية ومكانة تفسير زاد المسير في علم التفسير والقيمة العلمية له حيث يعتبر مرجعا</w:t>
      </w:r>
      <w:r w:rsidR="006C24EE">
        <w:rPr>
          <w:rFonts w:ascii="Traditional Arabic" w:eastAsia="Calibri" w:hAnsi="Traditional Arabic" w:cs="Traditional Arabic" w:hint="cs"/>
          <w:sz w:val="36"/>
          <w:szCs w:val="36"/>
          <w:rtl/>
        </w:rPr>
        <w:t>ً</w:t>
      </w:r>
      <w:r w:rsidRPr="00807B67">
        <w:rPr>
          <w:rFonts w:ascii="Traditional Arabic" w:eastAsia="Calibri" w:hAnsi="Traditional Arabic" w:cs="Traditional Arabic"/>
          <w:sz w:val="36"/>
          <w:szCs w:val="36"/>
          <w:rtl/>
        </w:rPr>
        <w:t xml:space="preserve"> مهما</w:t>
      </w:r>
      <w:r w:rsidR="006C24EE">
        <w:rPr>
          <w:rFonts w:ascii="Traditional Arabic" w:eastAsia="Calibri" w:hAnsi="Traditional Arabic" w:cs="Traditional Arabic" w:hint="cs"/>
          <w:sz w:val="36"/>
          <w:szCs w:val="36"/>
          <w:rtl/>
        </w:rPr>
        <w:t>ً</w:t>
      </w:r>
      <w:r w:rsidRPr="00807B67">
        <w:rPr>
          <w:rFonts w:ascii="Traditional Arabic" w:eastAsia="Calibri" w:hAnsi="Traditional Arabic" w:cs="Traditional Arabic"/>
          <w:sz w:val="36"/>
          <w:szCs w:val="36"/>
          <w:rtl/>
        </w:rPr>
        <w:t xml:space="preserve"> في التفسير خا</w:t>
      </w:r>
      <w:r w:rsidR="006C24EE">
        <w:rPr>
          <w:rFonts w:ascii="Traditional Arabic" w:eastAsia="Calibri" w:hAnsi="Traditional Arabic" w:cs="Traditional Arabic"/>
          <w:sz w:val="36"/>
          <w:szCs w:val="36"/>
          <w:rtl/>
        </w:rPr>
        <w:t>صة ما يتعلق بذكر أقوال المفسرين</w:t>
      </w:r>
      <w:r w:rsidRPr="00807B67">
        <w:rPr>
          <w:rFonts w:ascii="Traditional Arabic" w:eastAsia="Calibri" w:hAnsi="Traditional Arabic" w:cs="Traditional Arabic"/>
          <w:sz w:val="36"/>
          <w:szCs w:val="36"/>
          <w:rtl/>
        </w:rPr>
        <w:t>، وسيأتي إن شاء الله ذلك مفصلاً في بيان أهمية الكتاب.</w:t>
      </w:r>
    </w:p>
    <w:p w:rsidR="00807B67" w:rsidRDefault="00807B67" w:rsidP="006A3A2C">
      <w:pPr>
        <w:pStyle w:val="afd"/>
        <w:numPr>
          <w:ilvl w:val="0"/>
          <w:numId w:val="29"/>
        </w:numPr>
        <w:jc w:val="both"/>
        <w:rPr>
          <w:rFonts w:ascii="Traditional Arabic" w:eastAsia="Calibri" w:hAnsi="Traditional Arabic" w:cs="Traditional Arabic"/>
          <w:sz w:val="36"/>
          <w:szCs w:val="36"/>
        </w:rPr>
      </w:pPr>
      <w:r w:rsidRPr="00807B67">
        <w:rPr>
          <w:rFonts w:ascii="Traditional Arabic" w:eastAsia="Calibri" w:hAnsi="Traditional Arabic" w:cs="Traditional Arabic"/>
          <w:sz w:val="36"/>
          <w:szCs w:val="36"/>
          <w:rtl/>
        </w:rPr>
        <w:lastRenderedPageBreak/>
        <w:t>ضعف التحقيقات السابقة للكتاب  بحيث تكاد تنحصر في توثيق الآيات القرآنية، وترجمة بعض الأعلام، دون استيفاء لعناصر البحث العلمي الأخرى.</w:t>
      </w:r>
    </w:p>
    <w:p w:rsidR="00807B67" w:rsidRPr="00804AFD" w:rsidRDefault="00807B67" w:rsidP="00807B67">
      <w:pPr>
        <w:ind w:left="454" w:firstLine="0"/>
        <w:rPr>
          <w:rFonts w:ascii="Traditional Arabic" w:eastAsia="Calibri" w:hAnsi="Traditional Arabic"/>
        </w:rPr>
      </w:pPr>
    </w:p>
    <w:p w:rsidR="00807B67" w:rsidRPr="00807B67" w:rsidRDefault="00807B67" w:rsidP="00807B67">
      <w:pPr>
        <w:ind w:left="454" w:firstLine="0"/>
        <w:rPr>
          <w:rFonts w:ascii="Traditional Arabic" w:eastAsia="Calibri" w:hAnsi="Traditional Arabic"/>
          <w:b/>
          <w:bCs/>
          <w:rtl/>
        </w:rPr>
      </w:pPr>
      <w:r w:rsidRPr="00807B67">
        <w:rPr>
          <w:rFonts w:ascii="Traditional Arabic" w:eastAsia="Calibri" w:hAnsi="Traditional Arabic"/>
          <w:b/>
          <w:bCs/>
          <w:rtl/>
        </w:rPr>
        <w:t>أهداف البحث:</w:t>
      </w:r>
    </w:p>
    <w:p w:rsidR="00D11232" w:rsidRPr="00C17B7B" w:rsidRDefault="00D11232" w:rsidP="006A3A2C">
      <w:pPr>
        <w:numPr>
          <w:ilvl w:val="0"/>
          <w:numId w:val="27"/>
        </w:numPr>
        <w:spacing w:after="200" w:line="276" w:lineRule="auto"/>
        <w:ind w:left="890" w:hanging="533"/>
        <w:contextualSpacing/>
        <w:rPr>
          <w:color w:val="auto"/>
          <w:rtl/>
        </w:rPr>
      </w:pPr>
      <w:r w:rsidRPr="00C17B7B">
        <w:rPr>
          <w:color w:val="auto"/>
          <w:rtl/>
        </w:rPr>
        <w:t xml:space="preserve">يهدف البحث إلى تيسير إفادة المختصين في القرآن وعلومه بخاصة، وطلاب العلم </w:t>
      </w:r>
      <w:r w:rsidR="00523762">
        <w:rPr>
          <w:color w:val="auto"/>
          <w:rtl/>
        </w:rPr>
        <w:t>بعامة، وذلك بالإسهام في تحقيق "</w:t>
      </w:r>
      <w:r w:rsidRPr="00C17B7B">
        <w:rPr>
          <w:rFonts w:hint="cs"/>
          <w:color w:val="auto"/>
          <w:rtl/>
        </w:rPr>
        <w:t>زاد المسير في علوم التفسير</w:t>
      </w:r>
      <w:r w:rsidRPr="00C17B7B">
        <w:rPr>
          <w:color w:val="auto"/>
          <w:rtl/>
        </w:rPr>
        <w:t>".</w:t>
      </w:r>
    </w:p>
    <w:p w:rsidR="00D11232" w:rsidRPr="00C17B7B" w:rsidRDefault="00D11232" w:rsidP="006A3A2C">
      <w:pPr>
        <w:numPr>
          <w:ilvl w:val="0"/>
          <w:numId w:val="27"/>
        </w:numPr>
        <w:spacing w:after="200" w:line="276" w:lineRule="auto"/>
        <w:ind w:left="890" w:hanging="533"/>
        <w:contextualSpacing/>
        <w:rPr>
          <w:color w:val="auto"/>
          <w:rtl/>
        </w:rPr>
      </w:pPr>
      <w:r w:rsidRPr="00C17B7B">
        <w:rPr>
          <w:color w:val="auto"/>
          <w:rtl/>
        </w:rPr>
        <w:t>إخراج الكتاب على هيئته التي أرادها المؤلف رحمه الله تعالى.</w:t>
      </w:r>
    </w:p>
    <w:p w:rsidR="00D11232" w:rsidRPr="00C17B7B" w:rsidRDefault="00D11232" w:rsidP="006A3A2C">
      <w:pPr>
        <w:numPr>
          <w:ilvl w:val="0"/>
          <w:numId w:val="27"/>
        </w:numPr>
        <w:spacing w:after="200" w:line="276" w:lineRule="auto"/>
        <w:ind w:left="890" w:hanging="533"/>
        <w:contextualSpacing/>
        <w:rPr>
          <w:color w:val="auto"/>
          <w:rtl/>
        </w:rPr>
      </w:pPr>
      <w:r w:rsidRPr="00C17B7B">
        <w:rPr>
          <w:color w:val="auto"/>
          <w:rtl/>
        </w:rPr>
        <w:t>بيان منهج المؤلف بصفة مختصرة من خلال القسم المحقق.</w:t>
      </w:r>
    </w:p>
    <w:p w:rsidR="00D11232" w:rsidRPr="00C17B7B" w:rsidRDefault="00D11232" w:rsidP="006A3A2C">
      <w:pPr>
        <w:numPr>
          <w:ilvl w:val="0"/>
          <w:numId w:val="27"/>
        </w:numPr>
        <w:spacing w:after="200" w:line="276" w:lineRule="auto"/>
        <w:ind w:left="890" w:hanging="533"/>
        <w:contextualSpacing/>
        <w:rPr>
          <w:color w:val="auto"/>
          <w:rtl/>
        </w:rPr>
      </w:pPr>
      <w:r w:rsidRPr="00C17B7B">
        <w:rPr>
          <w:color w:val="auto"/>
          <w:rtl/>
        </w:rPr>
        <w:t>بيان المصادر التي اعتمد عليها المؤلف رحمه الله تعالى.</w:t>
      </w:r>
    </w:p>
    <w:p w:rsidR="00D11232" w:rsidRPr="00C17B7B" w:rsidRDefault="00D11232" w:rsidP="006A3A2C">
      <w:pPr>
        <w:numPr>
          <w:ilvl w:val="0"/>
          <w:numId w:val="27"/>
        </w:numPr>
        <w:spacing w:after="200" w:line="276" w:lineRule="auto"/>
        <w:ind w:left="890" w:hanging="533"/>
        <w:contextualSpacing/>
        <w:rPr>
          <w:color w:val="auto"/>
          <w:rtl/>
        </w:rPr>
      </w:pPr>
      <w:r w:rsidRPr="00C17B7B">
        <w:rPr>
          <w:color w:val="auto"/>
          <w:rtl/>
        </w:rPr>
        <w:t xml:space="preserve">إبراز القيمة العلمية للكتاب وبيان مزاياه </w:t>
      </w:r>
      <w:r w:rsidRPr="00C17B7B">
        <w:rPr>
          <w:rFonts w:hint="cs"/>
          <w:color w:val="auto"/>
          <w:rtl/>
        </w:rPr>
        <w:t>وأهميته بين كتب التفسير.</w:t>
      </w:r>
    </w:p>
    <w:p w:rsidR="00D11232" w:rsidRPr="00C17B7B" w:rsidRDefault="00D11232" w:rsidP="00D11232">
      <w:pPr>
        <w:spacing w:line="276" w:lineRule="auto"/>
        <w:contextualSpacing/>
        <w:jc w:val="center"/>
        <w:rPr>
          <w:rFonts w:ascii="Traditional Arabic" w:eastAsia="Calibri" w:hAnsi="Traditional Arabic"/>
          <w:b/>
          <w:bCs/>
          <w:color w:val="auto"/>
          <w:szCs w:val="32"/>
          <w:rtl/>
        </w:rPr>
      </w:pPr>
      <w:r w:rsidRPr="00C17B7B">
        <w:rPr>
          <w:rFonts w:ascii="Traditional Arabic" w:eastAsia="Calibri" w:hAnsi="Traditional Arabic" w:cs="DecoType Naskh" w:hint="cs"/>
          <w:color w:val="auto"/>
          <w:szCs w:val="32"/>
          <w:rtl/>
        </w:rPr>
        <w:t>***</w:t>
      </w:r>
      <w:r w:rsidRPr="00C17B7B">
        <w:rPr>
          <w:rFonts w:ascii="Traditional Arabic" w:eastAsia="Calibri" w:hAnsi="Traditional Arabic" w:cs="DecoType Naskh" w:hint="cs"/>
          <w:color w:val="auto"/>
          <w:szCs w:val="32"/>
          <w:rtl/>
        </w:rPr>
        <w:tab/>
      </w:r>
      <w:r w:rsidRPr="00C17B7B">
        <w:rPr>
          <w:rFonts w:ascii="Traditional Arabic" w:eastAsia="Calibri" w:hAnsi="Traditional Arabic" w:cs="DecoType Naskh" w:hint="cs"/>
          <w:color w:val="auto"/>
          <w:szCs w:val="32"/>
          <w:rtl/>
        </w:rPr>
        <w:tab/>
        <w:t>***</w:t>
      </w:r>
      <w:r w:rsidRPr="00C17B7B">
        <w:rPr>
          <w:rFonts w:ascii="Traditional Arabic" w:eastAsia="Calibri" w:hAnsi="Traditional Arabic" w:cs="DecoType Naskh" w:hint="cs"/>
          <w:color w:val="auto"/>
          <w:szCs w:val="32"/>
          <w:rtl/>
        </w:rPr>
        <w:tab/>
      </w:r>
      <w:r w:rsidRPr="00C17B7B">
        <w:rPr>
          <w:rFonts w:ascii="Traditional Arabic" w:eastAsia="Calibri" w:hAnsi="Traditional Arabic" w:cs="DecoType Naskh" w:hint="cs"/>
          <w:color w:val="auto"/>
          <w:szCs w:val="32"/>
          <w:rtl/>
        </w:rPr>
        <w:tab/>
        <w:t>***</w:t>
      </w:r>
    </w:p>
    <w:p w:rsidR="00D11232" w:rsidRPr="00C17B7B" w:rsidRDefault="00D11232" w:rsidP="00D11232">
      <w:pPr>
        <w:bidi w:val="0"/>
        <w:rPr>
          <w:rFonts w:ascii="AAAGoldenLotus Stg1_Ver1" w:eastAsia="Calibri" w:hAnsi="AAAGoldenLotus Stg1_Ver1" w:cs="AL-Mateen"/>
          <w:sz w:val="40"/>
          <w:szCs w:val="40"/>
        </w:rPr>
      </w:pPr>
      <w:r w:rsidRPr="00C17B7B">
        <w:rPr>
          <w:rFonts w:ascii="AAAGoldenLotus Stg1_Ver1" w:eastAsia="Calibri" w:hAnsi="AAAGoldenLotus Stg1_Ver1" w:cs="AL-Mateen"/>
          <w:sz w:val="40"/>
          <w:szCs w:val="40"/>
          <w:rtl/>
        </w:rPr>
        <w:br w:type="page"/>
      </w:r>
    </w:p>
    <w:p w:rsidR="00D11232" w:rsidRPr="006A3A2C" w:rsidRDefault="00D11232" w:rsidP="00807B67">
      <w:pPr>
        <w:spacing w:after="200" w:line="276" w:lineRule="auto"/>
        <w:ind w:firstLine="0"/>
        <w:rPr>
          <w:rFonts w:ascii="Traditional Arabic" w:eastAsia="Calibri" w:hAnsi="Traditional Arabic"/>
          <w:b/>
          <w:bCs/>
          <w:sz w:val="40"/>
          <w:szCs w:val="40"/>
          <w:rtl/>
        </w:rPr>
      </w:pPr>
      <w:r w:rsidRPr="006A3A2C">
        <w:rPr>
          <w:rFonts w:ascii="Traditional Arabic" w:eastAsia="Calibri" w:hAnsi="Traditional Arabic"/>
          <w:b/>
          <w:bCs/>
          <w:sz w:val="40"/>
          <w:szCs w:val="40"/>
          <w:rtl/>
        </w:rPr>
        <w:lastRenderedPageBreak/>
        <w:t>الدراسات السابقة حول هذا الكتاب:</w:t>
      </w:r>
    </w:p>
    <w:p w:rsidR="00D11232" w:rsidRDefault="00D11232" w:rsidP="00807B67">
      <w:pPr>
        <w:spacing w:after="200" w:line="276" w:lineRule="auto"/>
        <w:ind w:firstLine="0"/>
        <w:rPr>
          <w:rFonts w:eastAsia="Calibri"/>
          <w:rtl/>
        </w:rPr>
      </w:pPr>
      <w:r w:rsidRPr="00C17B7B">
        <w:rPr>
          <w:rFonts w:eastAsia="Calibri" w:hint="cs"/>
          <w:rtl/>
        </w:rPr>
        <w:t>هناك عدد من الدراسات العلمية التي خدمت كتاب زاد المسير في علم التفسير ومنها:</w:t>
      </w:r>
    </w:p>
    <w:p w:rsidR="00807B67" w:rsidRPr="00807B67" w:rsidRDefault="00AC2CA3" w:rsidP="00423FF3">
      <w:pPr>
        <w:pStyle w:val="afd"/>
        <w:numPr>
          <w:ilvl w:val="0"/>
          <w:numId w:val="30"/>
        </w:numPr>
        <w:jc w:val="both"/>
        <w:rPr>
          <w:rFonts w:ascii="Traditional Arabic" w:eastAsia="Calibri" w:hAnsi="Traditional Arabic" w:cs="Traditional Arabic"/>
          <w:sz w:val="36"/>
          <w:szCs w:val="36"/>
          <w:rtl/>
        </w:rPr>
      </w:pPr>
      <w:r>
        <w:rPr>
          <w:rFonts w:ascii="Traditional Arabic" w:eastAsia="Calibri" w:hAnsi="Traditional Arabic" w:cs="Traditional Arabic" w:hint="cs"/>
          <w:sz w:val="36"/>
          <w:szCs w:val="36"/>
          <w:rtl/>
        </w:rPr>
        <w:t xml:space="preserve"> </w:t>
      </w:r>
      <w:r w:rsidR="00807B67" w:rsidRPr="00807B67">
        <w:rPr>
          <w:rFonts w:ascii="Traditional Arabic" w:eastAsia="Calibri" w:hAnsi="Traditional Arabic" w:cs="Traditional Arabic"/>
          <w:sz w:val="36"/>
          <w:szCs w:val="36"/>
          <w:rtl/>
        </w:rPr>
        <w:t>منهج ابن الجوزي في تفسيره زاد المسير، تأليف عبد الرحيم بن أحمد طحان، رسالة دكتوراه مقدمة لجامعة الأزهر</w:t>
      </w:r>
      <w:r>
        <w:rPr>
          <w:rFonts w:ascii="Traditional Arabic" w:eastAsia="Calibri" w:hAnsi="Traditional Arabic" w:cs="Traditional Arabic" w:hint="cs"/>
          <w:sz w:val="36"/>
          <w:szCs w:val="36"/>
          <w:rtl/>
        </w:rPr>
        <w:t>,</w:t>
      </w:r>
      <w:r w:rsidR="00807B67" w:rsidRPr="00807B67">
        <w:rPr>
          <w:rFonts w:ascii="Traditional Arabic" w:eastAsia="Calibri" w:hAnsi="Traditional Arabic" w:cs="Traditional Arabic"/>
          <w:sz w:val="36"/>
          <w:szCs w:val="36"/>
          <w:rtl/>
        </w:rPr>
        <w:t xml:space="preserve"> نوقشت عام </w:t>
      </w:r>
      <w:r w:rsidR="00423FF3">
        <w:rPr>
          <w:rFonts w:ascii="Traditional Arabic" w:eastAsia="Calibri" w:hAnsi="Traditional Arabic" w:cs="Traditional Arabic" w:hint="cs"/>
          <w:sz w:val="36"/>
          <w:szCs w:val="36"/>
          <w:rtl/>
        </w:rPr>
        <w:t>(</w:t>
      </w:r>
      <w:r w:rsidR="00807B67" w:rsidRPr="00807B67">
        <w:rPr>
          <w:rFonts w:ascii="Traditional Arabic" w:eastAsia="Calibri" w:hAnsi="Traditional Arabic" w:cs="Traditional Arabic"/>
          <w:sz w:val="36"/>
          <w:szCs w:val="36"/>
          <w:rtl/>
        </w:rPr>
        <w:t>1401ه</w:t>
      </w:r>
      <w:r w:rsidR="00423FF3">
        <w:rPr>
          <w:rFonts w:ascii="Traditional Arabic" w:eastAsia="Calibri" w:hAnsi="Traditional Arabic" w:cs="Traditional Arabic" w:hint="cs"/>
          <w:sz w:val="36"/>
          <w:szCs w:val="36"/>
          <w:rtl/>
        </w:rPr>
        <w:t>)</w:t>
      </w:r>
      <w:r w:rsidR="00807B67" w:rsidRPr="00807B67">
        <w:rPr>
          <w:rFonts w:ascii="Traditional Arabic" w:eastAsia="Calibri" w:hAnsi="Traditional Arabic" w:cs="Traditional Arabic"/>
          <w:sz w:val="36"/>
          <w:szCs w:val="36"/>
          <w:rtl/>
        </w:rPr>
        <w:t>.</w:t>
      </w:r>
    </w:p>
    <w:p w:rsidR="00807B67" w:rsidRPr="00807B67" w:rsidRDefault="00AC2CA3" w:rsidP="00423FF3">
      <w:pPr>
        <w:pStyle w:val="afd"/>
        <w:numPr>
          <w:ilvl w:val="0"/>
          <w:numId w:val="30"/>
        </w:numPr>
        <w:jc w:val="both"/>
        <w:rPr>
          <w:rFonts w:ascii="Traditional Arabic" w:eastAsia="Calibri" w:hAnsi="Traditional Arabic" w:cs="Traditional Arabic"/>
          <w:sz w:val="36"/>
          <w:szCs w:val="36"/>
          <w:rtl/>
        </w:rPr>
      </w:pPr>
      <w:r>
        <w:rPr>
          <w:rFonts w:ascii="Traditional Arabic" w:eastAsia="Calibri" w:hAnsi="Traditional Arabic" w:cs="Traditional Arabic" w:hint="cs"/>
          <w:sz w:val="36"/>
          <w:szCs w:val="36"/>
          <w:rtl/>
        </w:rPr>
        <w:t xml:space="preserve"> </w:t>
      </w:r>
      <w:r w:rsidR="00807B67" w:rsidRPr="00807B67">
        <w:rPr>
          <w:rFonts w:ascii="Traditional Arabic" w:eastAsia="Calibri" w:hAnsi="Traditional Arabic" w:cs="Traditional Arabic"/>
          <w:sz w:val="36"/>
          <w:szCs w:val="36"/>
          <w:rtl/>
        </w:rPr>
        <w:t>ابن الجوزي ومنهجه في التفسير، تأليف عبدالعزيز ثابت، رسالة ماجستير، جامعة الأمير عبدالقادر للعلوم الإسلامية.</w:t>
      </w:r>
    </w:p>
    <w:p w:rsidR="00807B67" w:rsidRPr="00807B67" w:rsidRDefault="00AC2CA3" w:rsidP="00423FF3">
      <w:pPr>
        <w:pStyle w:val="afd"/>
        <w:numPr>
          <w:ilvl w:val="0"/>
          <w:numId w:val="30"/>
        </w:numPr>
        <w:jc w:val="both"/>
        <w:rPr>
          <w:rFonts w:ascii="Traditional Arabic" w:eastAsia="Calibri" w:hAnsi="Traditional Arabic" w:cs="Traditional Arabic"/>
          <w:sz w:val="36"/>
          <w:szCs w:val="36"/>
          <w:rtl/>
        </w:rPr>
      </w:pPr>
      <w:r>
        <w:rPr>
          <w:rFonts w:ascii="Traditional Arabic" w:eastAsia="Calibri" w:hAnsi="Traditional Arabic" w:cs="Traditional Arabic" w:hint="cs"/>
          <w:sz w:val="36"/>
          <w:szCs w:val="36"/>
          <w:rtl/>
        </w:rPr>
        <w:t xml:space="preserve"> </w:t>
      </w:r>
      <w:r w:rsidR="00807B67" w:rsidRPr="00807B67">
        <w:rPr>
          <w:rFonts w:ascii="Traditional Arabic" w:eastAsia="Calibri" w:hAnsi="Traditional Arabic" w:cs="Traditional Arabic"/>
          <w:sz w:val="36"/>
          <w:szCs w:val="36"/>
          <w:rtl/>
        </w:rPr>
        <w:t>منهج ابن الجوزي في التفسير، تأليف عامر عمران علوان، رسالة ماجستير، جامعة بغداد</w:t>
      </w:r>
      <w:r w:rsidR="00423FF3">
        <w:rPr>
          <w:rFonts w:ascii="Traditional Arabic" w:eastAsia="Calibri" w:hAnsi="Traditional Arabic" w:cs="Traditional Arabic" w:hint="cs"/>
          <w:sz w:val="36"/>
          <w:szCs w:val="36"/>
          <w:rtl/>
        </w:rPr>
        <w:t xml:space="preserve"> عام</w:t>
      </w:r>
      <w:r w:rsidR="00807B67" w:rsidRPr="00807B67">
        <w:rPr>
          <w:rFonts w:ascii="Traditional Arabic" w:eastAsia="Calibri" w:hAnsi="Traditional Arabic" w:cs="Traditional Arabic"/>
          <w:sz w:val="36"/>
          <w:szCs w:val="36"/>
          <w:rtl/>
        </w:rPr>
        <w:t xml:space="preserve"> </w:t>
      </w:r>
      <w:r w:rsidR="00423FF3">
        <w:rPr>
          <w:rFonts w:ascii="Traditional Arabic" w:eastAsia="Calibri" w:hAnsi="Traditional Arabic" w:cs="Traditional Arabic" w:hint="cs"/>
          <w:sz w:val="36"/>
          <w:szCs w:val="36"/>
          <w:rtl/>
        </w:rPr>
        <w:t>(</w:t>
      </w:r>
      <w:r w:rsidR="00807B67" w:rsidRPr="00807B67">
        <w:rPr>
          <w:rFonts w:ascii="Traditional Arabic" w:eastAsia="Calibri" w:hAnsi="Traditional Arabic" w:cs="Traditional Arabic"/>
          <w:sz w:val="36"/>
          <w:szCs w:val="36"/>
          <w:rtl/>
        </w:rPr>
        <w:t>1993م</w:t>
      </w:r>
      <w:r w:rsidR="00423FF3">
        <w:rPr>
          <w:rFonts w:ascii="Traditional Arabic" w:eastAsia="Calibri" w:hAnsi="Traditional Arabic" w:cs="Traditional Arabic" w:hint="cs"/>
          <w:sz w:val="36"/>
          <w:szCs w:val="36"/>
          <w:rtl/>
        </w:rPr>
        <w:t>)</w:t>
      </w:r>
      <w:r w:rsidR="00807B67" w:rsidRPr="00807B67">
        <w:rPr>
          <w:rFonts w:ascii="Traditional Arabic" w:eastAsia="Calibri" w:hAnsi="Traditional Arabic" w:cs="Traditional Arabic"/>
          <w:sz w:val="36"/>
          <w:szCs w:val="36"/>
          <w:rtl/>
        </w:rPr>
        <w:t>.</w:t>
      </w:r>
    </w:p>
    <w:p w:rsidR="00807B67" w:rsidRPr="00807B67" w:rsidRDefault="00AC2CA3" w:rsidP="00423FF3">
      <w:pPr>
        <w:pStyle w:val="afd"/>
        <w:numPr>
          <w:ilvl w:val="0"/>
          <w:numId w:val="30"/>
        </w:numPr>
        <w:jc w:val="both"/>
        <w:rPr>
          <w:rFonts w:ascii="Traditional Arabic" w:eastAsia="Calibri" w:hAnsi="Traditional Arabic" w:cs="Traditional Arabic"/>
          <w:sz w:val="36"/>
          <w:szCs w:val="36"/>
          <w:rtl/>
        </w:rPr>
      </w:pPr>
      <w:r>
        <w:rPr>
          <w:rFonts w:ascii="Traditional Arabic" w:eastAsia="Calibri" w:hAnsi="Traditional Arabic" w:cs="Traditional Arabic" w:hint="cs"/>
          <w:sz w:val="36"/>
          <w:szCs w:val="36"/>
          <w:rtl/>
        </w:rPr>
        <w:t xml:space="preserve"> </w:t>
      </w:r>
      <w:r w:rsidR="00807B67" w:rsidRPr="00807B67">
        <w:rPr>
          <w:rFonts w:ascii="Traditional Arabic" w:eastAsia="Calibri" w:hAnsi="Traditional Arabic" w:cs="Traditional Arabic"/>
          <w:sz w:val="36"/>
          <w:szCs w:val="36"/>
          <w:rtl/>
        </w:rPr>
        <w:t>موازنة بين تفسير المحرر الوجيز وزاد المسير، ت</w:t>
      </w:r>
      <w:r w:rsidR="00523762">
        <w:rPr>
          <w:rFonts w:ascii="Traditional Arabic" w:eastAsia="Calibri" w:hAnsi="Traditional Arabic" w:cs="Traditional Arabic"/>
          <w:sz w:val="36"/>
          <w:szCs w:val="36"/>
          <w:rtl/>
        </w:rPr>
        <w:t>أليف منصور كافي، رسالة دكتوراه،</w:t>
      </w:r>
      <w:r w:rsidR="00523762">
        <w:rPr>
          <w:rFonts w:ascii="Traditional Arabic" w:eastAsia="Calibri" w:hAnsi="Traditional Arabic" w:cs="Traditional Arabic" w:hint="cs"/>
          <w:sz w:val="36"/>
          <w:szCs w:val="36"/>
          <w:rtl/>
        </w:rPr>
        <w:t xml:space="preserve"> </w:t>
      </w:r>
      <w:r w:rsidR="00807B67" w:rsidRPr="00807B67">
        <w:rPr>
          <w:rFonts w:ascii="Traditional Arabic" w:eastAsia="Calibri" w:hAnsi="Traditional Arabic" w:cs="Traditional Arabic"/>
          <w:sz w:val="36"/>
          <w:szCs w:val="36"/>
          <w:rtl/>
        </w:rPr>
        <w:t>جامعة الأمير عبدالقادر للعلوم الإسلامية.</w:t>
      </w:r>
    </w:p>
    <w:p w:rsidR="00807B67" w:rsidRPr="00807B67" w:rsidRDefault="00AC2CA3" w:rsidP="00423FF3">
      <w:pPr>
        <w:pStyle w:val="afd"/>
        <w:numPr>
          <w:ilvl w:val="0"/>
          <w:numId w:val="30"/>
        </w:numPr>
        <w:jc w:val="both"/>
        <w:rPr>
          <w:rFonts w:ascii="Traditional Arabic" w:eastAsia="Calibri" w:hAnsi="Traditional Arabic" w:cs="Traditional Arabic"/>
          <w:sz w:val="36"/>
          <w:szCs w:val="36"/>
          <w:rtl/>
        </w:rPr>
      </w:pPr>
      <w:r>
        <w:rPr>
          <w:rFonts w:ascii="Traditional Arabic" w:eastAsia="Calibri" w:hAnsi="Traditional Arabic" w:cs="Traditional Arabic" w:hint="cs"/>
          <w:sz w:val="36"/>
          <w:szCs w:val="36"/>
          <w:rtl/>
        </w:rPr>
        <w:t xml:space="preserve"> </w:t>
      </w:r>
      <w:r w:rsidR="00807B67" w:rsidRPr="00807B67">
        <w:rPr>
          <w:rFonts w:ascii="Traditional Arabic" w:eastAsia="Calibri" w:hAnsi="Traditional Arabic" w:cs="Traditional Arabic"/>
          <w:sz w:val="36"/>
          <w:szCs w:val="36"/>
          <w:rtl/>
        </w:rPr>
        <w:t>المباحث اللغو</w:t>
      </w:r>
      <w:r>
        <w:rPr>
          <w:rFonts w:ascii="Traditional Arabic" w:eastAsia="Calibri" w:hAnsi="Traditional Arabic" w:cs="Traditional Arabic"/>
          <w:sz w:val="36"/>
          <w:szCs w:val="36"/>
          <w:rtl/>
        </w:rPr>
        <w:t>ية والنحوية في تفسير ابن الجوزي</w:t>
      </w:r>
      <w:r>
        <w:rPr>
          <w:rFonts w:ascii="Traditional Arabic" w:eastAsia="Calibri" w:hAnsi="Traditional Arabic" w:cs="Traditional Arabic" w:hint="cs"/>
          <w:sz w:val="36"/>
          <w:szCs w:val="36"/>
          <w:rtl/>
        </w:rPr>
        <w:t>,</w:t>
      </w:r>
      <w:r w:rsidR="00807B67" w:rsidRPr="00807B67">
        <w:rPr>
          <w:rFonts w:ascii="Traditional Arabic" w:eastAsia="Calibri" w:hAnsi="Traditional Arabic" w:cs="Traditional Arabic"/>
          <w:sz w:val="36"/>
          <w:szCs w:val="36"/>
          <w:rtl/>
        </w:rPr>
        <w:t xml:space="preserve"> تأليف صلاح الدين سليم محمد رسالة  ماجستير.</w:t>
      </w:r>
    </w:p>
    <w:p w:rsidR="00807B67" w:rsidRPr="00807B67" w:rsidRDefault="00AC2CA3" w:rsidP="00423FF3">
      <w:pPr>
        <w:pStyle w:val="afd"/>
        <w:numPr>
          <w:ilvl w:val="0"/>
          <w:numId w:val="30"/>
        </w:numPr>
        <w:jc w:val="both"/>
        <w:rPr>
          <w:rFonts w:ascii="Traditional Arabic" w:eastAsia="Calibri" w:hAnsi="Traditional Arabic" w:cs="Traditional Arabic"/>
          <w:sz w:val="36"/>
          <w:szCs w:val="36"/>
          <w:rtl/>
        </w:rPr>
      </w:pPr>
      <w:r>
        <w:rPr>
          <w:rFonts w:ascii="Traditional Arabic" w:eastAsia="Calibri" w:hAnsi="Traditional Arabic" w:cs="Traditional Arabic" w:hint="cs"/>
          <w:sz w:val="36"/>
          <w:szCs w:val="36"/>
          <w:rtl/>
        </w:rPr>
        <w:t xml:space="preserve"> </w:t>
      </w:r>
      <w:r w:rsidR="00807B67" w:rsidRPr="00807B67">
        <w:rPr>
          <w:rFonts w:ascii="Traditional Arabic" w:eastAsia="Calibri" w:hAnsi="Traditional Arabic" w:cs="Traditional Arabic"/>
          <w:sz w:val="36"/>
          <w:szCs w:val="36"/>
          <w:rtl/>
        </w:rPr>
        <w:t>منهج ابن الجوزي في تفسير القرآن الكريم من خلال مؤلفه زاد المسير</w:t>
      </w:r>
      <w:r w:rsidR="00423FF3">
        <w:rPr>
          <w:rFonts w:ascii="Traditional Arabic" w:eastAsia="Calibri" w:hAnsi="Traditional Arabic" w:cs="Traditional Arabic" w:hint="cs"/>
          <w:sz w:val="36"/>
          <w:szCs w:val="36"/>
          <w:rtl/>
        </w:rPr>
        <w:t>,</w:t>
      </w:r>
      <w:r w:rsidR="00807B67" w:rsidRPr="00807B67">
        <w:rPr>
          <w:rFonts w:ascii="Traditional Arabic" w:eastAsia="Calibri" w:hAnsi="Traditional Arabic" w:cs="Traditional Arabic"/>
          <w:sz w:val="36"/>
          <w:szCs w:val="36"/>
          <w:rtl/>
        </w:rPr>
        <w:t xml:space="preserve"> تأليف أحمد العبادي أطروحة علمية</w:t>
      </w:r>
      <w:r w:rsidR="00423FF3">
        <w:rPr>
          <w:rFonts w:ascii="Traditional Arabic" w:eastAsia="Calibri" w:hAnsi="Traditional Arabic" w:cs="Traditional Arabic" w:hint="cs"/>
          <w:sz w:val="36"/>
          <w:szCs w:val="36"/>
          <w:rtl/>
        </w:rPr>
        <w:t xml:space="preserve"> عام</w:t>
      </w:r>
      <w:r w:rsidR="00807B67" w:rsidRPr="00807B67">
        <w:rPr>
          <w:rFonts w:ascii="Traditional Arabic" w:eastAsia="Calibri" w:hAnsi="Traditional Arabic" w:cs="Traditional Arabic"/>
          <w:sz w:val="36"/>
          <w:szCs w:val="36"/>
          <w:rtl/>
        </w:rPr>
        <w:t xml:space="preserve"> </w:t>
      </w:r>
      <w:r w:rsidR="00423FF3">
        <w:rPr>
          <w:rFonts w:ascii="Traditional Arabic" w:eastAsia="Calibri" w:hAnsi="Traditional Arabic" w:cs="Traditional Arabic" w:hint="cs"/>
          <w:sz w:val="36"/>
          <w:szCs w:val="36"/>
          <w:rtl/>
        </w:rPr>
        <w:t>(</w:t>
      </w:r>
      <w:r w:rsidR="00807B67" w:rsidRPr="00807B67">
        <w:rPr>
          <w:rFonts w:ascii="Traditional Arabic" w:eastAsia="Calibri" w:hAnsi="Traditional Arabic" w:cs="Traditional Arabic"/>
          <w:sz w:val="36"/>
          <w:szCs w:val="36"/>
          <w:rtl/>
        </w:rPr>
        <w:t>1411ه</w:t>
      </w:r>
      <w:r>
        <w:rPr>
          <w:rFonts w:ascii="Traditional Arabic" w:eastAsia="Calibri" w:hAnsi="Traditional Arabic" w:cs="Traditional Arabic" w:hint="cs"/>
          <w:sz w:val="36"/>
          <w:szCs w:val="36"/>
          <w:rtl/>
        </w:rPr>
        <w:t xml:space="preserve"> </w:t>
      </w:r>
      <w:r w:rsidR="00807B67" w:rsidRPr="00807B67">
        <w:rPr>
          <w:rFonts w:ascii="Traditional Arabic" w:eastAsia="Calibri" w:hAnsi="Traditional Arabic" w:cs="Traditional Arabic"/>
          <w:sz w:val="36"/>
          <w:szCs w:val="36"/>
          <w:rtl/>
        </w:rPr>
        <w:t>- 1991م</w:t>
      </w:r>
      <w:r w:rsidR="00423FF3">
        <w:rPr>
          <w:rFonts w:ascii="Traditional Arabic" w:eastAsia="Calibri" w:hAnsi="Traditional Arabic" w:cs="Traditional Arabic" w:hint="cs"/>
          <w:sz w:val="36"/>
          <w:szCs w:val="36"/>
          <w:rtl/>
        </w:rPr>
        <w:t xml:space="preserve">), </w:t>
      </w:r>
      <w:r w:rsidR="00807B67" w:rsidRPr="00807B67">
        <w:rPr>
          <w:rFonts w:ascii="Traditional Arabic" w:eastAsia="Calibri" w:hAnsi="Traditional Arabic" w:cs="Traditional Arabic"/>
          <w:sz w:val="36"/>
          <w:szCs w:val="36"/>
          <w:rtl/>
        </w:rPr>
        <w:t>جامعة القاضي عياض بالمغرب.</w:t>
      </w:r>
    </w:p>
    <w:p w:rsidR="00807B67" w:rsidRPr="00807B67" w:rsidRDefault="00AC2CA3" w:rsidP="00423FF3">
      <w:pPr>
        <w:pStyle w:val="afd"/>
        <w:numPr>
          <w:ilvl w:val="0"/>
          <w:numId w:val="30"/>
        </w:numPr>
        <w:jc w:val="both"/>
        <w:rPr>
          <w:rFonts w:ascii="Traditional Arabic" w:eastAsia="Calibri" w:hAnsi="Traditional Arabic" w:cs="Traditional Arabic"/>
          <w:sz w:val="36"/>
          <w:szCs w:val="36"/>
          <w:rtl/>
        </w:rPr>
      </w:pPr>
      <w:r>
        <w:rPr>
          <w:rFonts w:ascii="Traditional Arabic" w:eastAsia="Calibri" w:hAnsi="Traditional Arabic" w:cs="Traditional Arabic" w:hint="cs"/>
          <w:sz w:val="36"/>
          <w:szCs w:val="36"/>
          <w:rtl/>
        </w:rPr>
        <w:t xml:space="preserve"> </w:t>
      </w:r>
      <w:r>
        <w:rPr>
          <w:rFonts w:ascii="Traditional Arabic" w:eastAsia="Calibri" w:hAnsi="Traditional Arabic" w:cs="Traditional Arabic"/>
          <w:sz w:val="36"/>
          <w:szCs w:val="36"/>
          <w:rtl/>
        </w:rPr>
        <w:t>ابن الجوزي مفسراً، الطالب</w:t>
      </w:r>
      <w:r>
        <w:rPr>
          <w:rFonts w:ascii="Traditional Arabic" w:eastAsia="Calibri" w:hAnsi="Traditional Arabic" w:cs="Traditional Arabic" w:hint="cs"/>
          <w:sz w:val="36"/>
          <w:szCs w:val="36"/>
          <w:rtl/>
        </w:rPr>
        <w:t>:</w:t>
      </w:r>
      <w:r w:rsidR="00807B67" w:rsidRPr="00807B67">
        <w:rPr>
          <w:rFonts w:ascii="Traditional Arabic" w:eastAsia="Calibri" w:hAnsi="Traditional Arabic" w:cs="Traditional Arabic"/>
          <w:sz w:val="36"/>
          <w:szCs w:val="36"/>
          <w:rtl/>
        </w:rPr>
        <w:t xml:space="preserve"> إدريس علي أحمد الترابي، </w:t>
      </w:r>
      <w:r>
        <w:rPr>
          <w:rFonts w:ascii="Traditional Arabic" w:eastAsia="Calibri" w:hAnsi="Traditional Arabic" w:cs="Traditional Arabic" w:hint="cs"/>
          <w:sz w:val="36"/>
          <w:szCs w:val="36"/>
          <w:rtl/>
        </w:rPr>
        <w:t xml:space="preserve">رسالة </w:t>
      </w:r>
      <w:r w:rsidR="00807B67" w:rsidRPr="00807B67">
        <w:rPr>
          <w:rFonts w:ascii="Traditional Arabic" w:eastAsia="Calibri" w:hAnsi="Traditional Arabic" w:cs="Traditional Arabic"/>
          <w:sz w:val="36"/>
          <w:szCs w:val="36"/>
          <w:rtl/>
        </w:rPr>
        <w:t>ماجستير</w:t>
      </w:r>
      <w:r>
        <w:rPr>
          <w:rFonts w:ascii="Traditional Arabic" w:eastAsia="Calibri" w:hAnsi="Traditional Arabic" w:cs="Traditional Arabic" w:hint="cs"/>
          <w:sz w:val="36"/>
          <w:szCs w:val="36"/>
          <w:rtl/>
        </w:rPr>
        <w:t>,</w:t>
      </w:r>
      <w:r w:rsidR="00807B67" w:rsidRPr="00807B67">
        <w:rPr>
          <w:rFonts w:ascii="Traditional Arabic" w:eastAsia="Calibri" w:hAnsi="Traditional Arabic" w:cs="Traditional Arabic"/>
          <w:sz w:val="36"/>
          <w:szCs w:val="36"/>
          <w:rtl/>
        </w:rPr>
        <w:t xml:space="preserve"> جامعة أم درمان السودان</w:t>
      </w:r>
      <w:r w:rsidR="00423FF3">
        <w:rPr>
          <w:rFonts w:ascii="Traditional Arabic" w:eastAsia="Calibri" w:hAnsi="Traditional Arabic" w:cs="Traditional Arabic" w:hint="cs"/>
          <w:sz w:val="36"/>
          <w:szCs w:val="36"/>
          <w:rtl/>
        </w:rPr>
        <w:t xml:space="preserve"> عام (</w:t>
      </w:r>
      <w:r w:rsidR="00807B67" w:rsidRPr="00807B67">
        <w:rPr>
          <w:rFonts w:ascii="Traditional Arabic" w:eastAsia="Calibri" w:hAnsi="Traditional Arabic" w:cs="Traditional Arabic"/>
          <w:sz w:val="36"/>
          <w:szCs w:val="36"/>
          <w:rtl/>
        </w:rPr>
        <w:t>2</w:t>
      </w:r>
      <w:r w:rsidR="00423FF3">
        <w:rPr>
          <w:rFonts w:ascii="Traditional Arabic" w:eastAsia="Calibri" w:hAnsi="Traditional Arabic" w:cs="Traditional Arabic"/>
          <w:sz w:val="36"/>
          <w:szCs w:val="36"/>
          <w:rtl/>
        </w:rPr>
        <w:t>002م</w:t>
      </w:r>
      <w:r w:rsidR="00423FF3">
        <w:rPr>
          <w:rFonts w:ascii="Traditional Arabic" w:eastAsia="Calibri" w:hAnsi="Traditional Arabic" w:cs="Traditional Arabic" w:hint="cs"/>
          <w:sz w:val="36"/>
          <w:szCs w:val="36"/>
          <w:rtl/>
        </w:rPr>
        <w:t>)</w:t>
      </w:r>
      <w:r w:rsidR="00807B67" w:rsidRPr="00807B67">
        <w:rPr>
          <w:rFonts w:ascii="Traditional Arabic" w:eastAsia="Calibri" w:hAnsi="Traditional Arabic" w:cs="Traditional Arabic"/>
          <w:sz w:val="36"/>
          <w:szCs w:val="36"/>
          <w:rtl/>
        </w:rPr>
        <w:t>.</w:t>
      </w:r>
    </w:p>
    <w:p w:rsidR="00807B67" w:rsidRPr="00807B67" w:rsidRDefault="00AC2CA3" w:rsidP="00423FF3">
      <w:pPr>
        <w:pStyle w:val="afd"/>
        <w:numPr>
          <w:ilvl w:val="0"/>
          <w:numId w:val="30"/>
        </w:numPr>
        <w:jc w:val="both"/>
        <w:rPr>
          <w:rFonts w:ascii="Traditional Arabic" w:eastAsia="Calibri" w:hAnsi="Traditional Arabic" w:cs="Traditional Arabic"/>
          <w:sz w:val="36"/>
          <w:szCs w:val="36"/>
          <w:rtl/>
        </w:rPr>
      </w:pPr>
      <w:r>
        <w:rPr>
          <w:rFonts w:ascii="Traditional Arabic" w:eastAsia="Calibri" w:hAnsi="Traditional Arabic" w:cs="Traditional Arabic" w:hint="cs"/>
          <w:sz w:val="36"/>
          <w:szCs w:val="36"/>
          <w:rtl/>
        </w:rPr>
        <w:t xml:space="preserve"> </w:t>
      </w:r>
      <w:r w:rsidR="00807B67" w:rsidRPr="00807B67">
        <w:rPr>
          <w:rFonts w:ascii="Traditional Arabic" w:eastAsia="Calibri" w:hAnsi="Traditional Arabic" w:cs="Traditional Arabic"/>
          <w:sz w:val="36"/>
          <w:szCs w:val="36"/>
          <w:rtl/>
        </w:rPr>
        <w:t>البحث الصرفي في تفسير زاد المسير</w:t>
      </w:r>
      <w:r w:rsidR="00423FF3">
        <w:rPr>
          <w:rFonts w:ascii="Traditional Arabic" w:eastAsia="Calibri" w:hAnsi="Traditional Arabic" w:cs="Traditional Arabic" w:hint="cs"/>
          <w:sz w:val="36"/>
          <w:szCs w:val="36"/>
          <w:rtl/>
        </w:rPr>
        <w:t>,</w:t>
      </w:r>
      <w:r w:rsidR="00807B67" w:rsidRPr="00807B67">
        <w:rPr>
          <w:rFonts w:ascii="Traditional Arabic" w:eastAsia="Calibri" w:hAnsi="Traditional Arabic" w:cs="Traditional Arabic"/>
          <w:sz w:val="36"/>
          <w:szCs w:val="36"/>
          <w:rtl/>
        </w:rPr>
        <w:t xml:space="preserve"> تأليف سهير علي جواد رسالة ماجستير من الجامعة المستنصرية العراقية عام </w:t>
      </w:r>
      <w:r w:rsidR="00423FF3">
        <w:rPr>
          <w:rFonts w:ascii="Traditional Arabic" w:eastAsia="Calibri" w:hAnsi="Traditional Arabic" w:cs="Traditional Arabic" w:hint="cs"/>
          <w:sz w:val="36"/>
          <w:szCs w:val="36"/>
          <w:rtl/>
        </w:rPr>
        <w:t>(</w:t>
      </w:r>
      <w:r w:rsidR="00807B67" w:rsidRPr="00807B67">
        <w:rPr>
          <w:rFonts w:ascii="Traditional Arabic" w:eastAsia="Calibri" w:hAnsi="Traditional Arabic" w:cs="Traditional Arabic"/>
          <w:sz w:val="36"/>
          <w:szCs w:val="36"/>
          <w:rtl/>
        </w:rPr>
        <w:t>2000م</w:t>
      </w:r>
      <w:r w:rsidR="00423FF3">
        <w:rPr>
          <w:rFonts w:ascii="Traditional Arabic" w:eastAsia="Calibri" w:hAnsi="Traditional Arabic" w:cs="Traditional Arabic" w:hint="cs"/>
          <w:sz w:val="36"/>
          <w:szCs w:val="36"/>
          <w:rtl/>
        </w:rPr>
        <w:t>).</w:t>
      </w:r>
    </w:p>
    <w:p w:rsidR="00807B67" w:rsidRDefault="00AC2CA3" w:rsidP="00423FF3">
      <w:pPr>
        <w:pStyle w:val="afd"/>
        <w:numPr>
          <w:ilvl w:val="0"/>
          <w:numId w:val="30"/>
        </w:numPr>
        <w:jc w:val="both"/>
        <w:rPr>
          <w:rFonts w:ascii="Traditional Arabic" w:eastAsia="Calibri" w:hAnsi="Traditional Arabic" w:cs="Traditional Arabic"/>
          <w:sz w:val="36"/>
          <w:szCs w:val="36"/>
        </w:rPr>
      </w:pPr>
      <w:r>
        <w:rPr>
          <w:rFonts w:ascii="Traditional Arabic" w:eastAsia="Calibri" w:hAnsi="Traditional Arabic" w:cs="Traditional Arabic" w:hint="cs"/>
          <w:sz w:val="36"/>
          <w:szCs w:val="36"/>
          <w:rtl/>
        </w:rPr>
        <w:t xml:space="preserve"> </w:t>
      </w:r>
      <w:r w:rsidR="00807B67" w:rsidRPr="00807B67">
        <w:rPr>
          <w:rFonts w:ascii="Traditional Arabic" w:eastAsia="Calibri" w:hAnsi="Traditional Arabic" w:cs="Traditional Arabic"/>
          <w:sz w:val="36"/>
          <w:szCs w:val="36"/>
          <w:rtl/>
        </w:rPr>
        <w:t>التوجيه النحوي للقراءات في تفسير زاد المسي</w:t>
      </w:r>
      <w:r w:rsidR="00423FF3">
        <w:rPr>
          <w:rFonts w:ascii="Traditional Arabic" w:eastAsia="Calibri" w:hAnsi="Traditional Arabic" w:cs="Traditional Arabic"/>
          <w:sz w:val="36"/>
          <w:szCs w:val="36"/>
          <w:rtl/>
        </w:rPr>
        <w:t>ر لأبي الفرج ابن الجوزي (ت597هـ</w:t>
      </w:r>
      <w:r w:rsidR="00807B67" w:rsidRPr="00807B67">
        <w:rPr>
          <w:rFonts w:ascii="Traditional Arabic" w:eastAsia="Calibri" w:hAnsi="Traditional Arabic" w:cs="Traditional Arabic"/>
          <w:sz w:val="36"/>
          <w:szCs w:val="36"/>
          <w:rtl/>
        </w:rPr>
        <w:t>)</w:t>
      </w:r>
      <w:r w:rsidR="00423FF3">
        <w:rPr>
          <w:rFonts w:ascii="Traditional Arabic" w:eastAsia="Calibri" w:hAnsi="Traditional Arabic" w:cs="Traditional Arabic" w:hint="cs"/>
          <w:sz w:val="36"/>
          <w:szCs w:val="36"/>
          <w:rtl/>
        </w:rPr>
        <w:t>,</w:t>
      </w:r>
      <w:r w:rsidR="00807B67" w:rsidRPr="00807B67">
        <w:rPr>
          <w:rFonts w:ascii="Traditional Arabic" w:eastAsia="Calibri" w:hAnsi="Traditional Arabic" w:cs="Traditional Arabic"/>
          <w:sz w:val="36"/>
          <w:szCs w:val="36"/>
          <w:rtl/>
        </w:rPr>
        <w:t xml:space="preserve"> تأليف فارس علي صالح خلف الجبوري.</w:t>
      </w:r>
    </w:p>
    <w:p w:rsidR="00807B67" w:rsidRPr="00807B67" w:rsidRDefault="00807B67" w:rsidP="00423FF3">
      <w:pPr>
        <w:pStyle w:val="afd"/>
        <w:numPr>
          <w:ilvl w:val="0"/>
          <w:numId w:val="30"/>
        </w:numPr>
        <w:jc w:val="both"/>
        <w:rPr>
          <w:rFonts w:ascii="Traditional Arabic" w:eastAsia="Calibri" w:hAnsi="Traditional Arabic" w:cs="Traditional Arabic"/>
          <w:sz w:val="36"/>
          <w:szCs w:val="36"/>
          <w:rtl/>
        </w:rPr>
      </w:pPr>
      <w:r w:rsidRPr="00807B67">
        <w:rPr>
          <w:rFonts w:ascii="Traditional Arabic" w:eastAsia="Calibri" w:hAnsi="Traditional Arabic" w:cs="Traditional Arabic"/>
          <w:sz w:val="36"/>
          <w:szCs w:val="36"/>
          <w:rtl/>
        </w:rPr>
        <w:t>الجهود البلاغية لابن الجوزي في تفسيره زاد المسير في علم التفسير, تأليف مثنى نعيم حمادي المشهداني</w:t>
      </w:r>
      <w:r w:rsidR="00523762">
        <w:rPr>
          <w:rFonts w:ascii="Traditional Arabic" w:eastAsia="Calibri" w:hAnsi="Traditional Arabic" w:cs="Traditional Arabic" w:hint="cs"/>
          <w:sz w:val="36"/>
          <w:szCs w:val="36"/>
          <w:rtl/>
        </w:rPr>
        <w:t>.</w:t>
      </w:r>
    </w:p>
    <w:p w:rsidR="00807B67" w:rsidRPr="00807B67" w:rsidRDefault="00807B67" w:rsidP="00423FF3">
      <w:pPr>
        <w:pStyle w:val="afd"/>
        <w:numPr>
          <w:ilvl w:val="0"/>
          <w:numId w:val="30"/>
        </w:numPr>
        <w:jc w:val="both"/>
        <w:rPr>
          <w:rFonts w:ascii="Traditional Arabic" w:eastAsia="Calibri" w:hAnsi="Traditional Arabic" w:cs="Traditional Arabic"/>
          <w:sz w:val="36"/>
          <w:szCs w:val="36"/>
          <w:rtl/>
        </w:rPr>
      </w:pPr>
      <w:r w:rsidRPr="00807B67">
        <w:rPr>
          <w:rFonts w:ascii="Traditional Arabic" w:eastAsia="Calibri" w:hAnsi="Traditional Arabic" w:cs="Traditional Arabic"/>
          <w:sz w:val="36"/>
          <w:szCs w:val="36"/>
          <w:rtl/>
        </w:rPr>
        <w:lastRenderedPageBreak/>
        <w:t>الدخيل في تفسير زاد المسير في علم التفسير لأبي الفرج ابن الجوزي من أول سورة الشورى إلى آخر سورة الحديد, تأليف منصور حسن أحمد حسن.</w:t>
      </w:r>
    </w:p>
    <w:p w:rsidR="00807B67" w:rsidRPr="00807B67" w:rsidRDefault="00807B67" w:rsidP="00423FF3">
      <w:pPr>
        <w:pStyle w:val="afd"/>
        <w:numPr>
          <w:ilvl w:val="0"/>
          <w:numId w:val="30"/>
        </w:numPr>
        <w:jc w:val="both"/>
        <w:rPr>
          <w:rFonts w:ascii="Traditional Arabic" w:eastAsia="Calibri" w:hAnsi="Traditional Arabic" w:cs="Traditional Arabic"/>
          <w:sz w:val="36"/>
          <w:szCs w:val="36"/>
          <w:rtl/>
        </w:rPr>
      </w:pPr>
      <w:r w:rsidRPr="00807B67">
        <w:rPr>
          <w:rFonts w:ascii="Traditional Arabic" w:eastAsia="Calibri" w:hAnsi="Traditional Arabic" w:cs="Traditional Arabic"/>
          <w:sz w:val="36"/>
          <w:szCs w:val="36"/>
          <w:rtl/>
        </w:rPr>
        <w:t>الدخيل في تفسير زاد المسير للإمام ابن الجوزي</w:t>
      </w:r>
      <w:r w:rsidR="00423FF3">
        <w:rPr>
          <w:rFonts w:ascii="Traditional Arabic" w:eastAsia="Calibri" w:hAnsi="Traditional Arabic" w:cs="Traditional Arabic" w:hint="cs"/>
          <w:sz w:val="36"/>
          <w:szCs w:val="36"/>
          <w:rtl/>
        </w:rPr>
        <w:t xml:space="preserve"> (ت</w:t>
      </w:r>
      <w:r w:rsidR="00423FF3">
        <w:rPr>
          <w:rFonts w:ascii="Traditional Arabic" w:eastAsia="Calibri" w:hAnsi="Traditional Arabic" w:cs="Traditional Arabic"/>
          <w:sz w:val="36"/>
          <w:szCs w:val="36"/>
          <w:rtl/>
        </w:rPr>
        <w:t xml:space="preserve"> 597</w:t>
      </w:r>
      <w:r w:rsidR="00423FF3" w:rsidRPr="00807B67">
        <w:rPr>
          <w:rFonts w:ascii="Traditional Arabic" w:eastAsia="Calibri" w:hAnsi="Traditional Arabic" w:cs="Traditional Arabic"/>
          <w:sz w:val="36"/>
          <w:szCs w:val="36"/>
          <w:rtl/>
        </w:rPr>
        <w:t>ه</w:t>
      </w:r>
      <w:r w:rsidR="00423FF3">
        <w:rPr>
          <w:rFonts w:ascii="Traditional Arabic" w:eastAsia="Calibri" w:hAnsi="Traditional Arabic" w:cs="Traditional Arabic" w:hint="cs"/>
          <w:sz w:val="36"/>
          <w:szCs w:val="36"/>
          <w:rtl/>
        </w:rPr>
        <w:t>)</w:t>
      </w:r>
      <w:r w:rsidRPr="00807B67">
        <w:rPr>
          <w:rFonts w:ascii="Traditional Arabic" w:eastAsia="Calibri" w:hAnsi="Traditional Arabic" w:cs="Traditional Arabic"/>
          <w:sz w:val="36"/>
          <w:szCs w:val="36"/>
          <w:rtl/>
        </w:rPr>
        <w:t xml:space="preserve"> من أول سورة لقمان إلى آخر سورة فصلت, تأليف حسن عبد المعتمد بيومي حسين.</w:t>
      </w:r>
    </w:p>
    <w:p w:rsidR="00807B67" w:rsidRPr="00807B67" w:rsidRDefault="00807B67" w:rsidP="00423FF3">
      <w:pPr>
        <w:pStyle w:val="afd"/>
        <w:numPr>
          <w:ilvl w:val="0"/>
          <w:numId w:val="30"/>
        </w:numPr>
        <w:jc w:val="both"/>
        <w:rPr>
          <w:rFonts w:ascii="Traditional Arabic" w:eastAsia="Calibri" w:hAnsi="Traditional Arabic" w:cs="Traditional Arabic"/>
          <w:sz w:val="36"/>
          <w:szCs w:val="36"/>
          <w:rtl/>
        </w:rPr>
      </w:pPr>
      <w:r w:rsidRPr="00807B67">
        <w:rPr>
          <w:rFonts w:ascii="Traditional Arabic" w:eastAsia="Calibri" w:hAnsi="Traditional Arabic" w:cs="Traditional Arabic"/>
          <w:sz w:val="36"/>
          <w:szCs w:val="36"/>
          <w:rtl/>
        </w:rPr>
        <w:t xml:space="preserve">الدخيل في تفسير زاد المسير في علم التفسير لأبي الفرج ابن الجوزي </w:t>
      </w:r>
      <w:r w:rsidR="00423FF3">
        <w:rPr>
          <w:rFonts w:ascii="Traditional Arabic" w:eastAsia="Calibri" w:hAnsi="Traditional Arabic" w:cs="Traditional Arabic" w:hint="cs"/>
          <w:sz w:val="36"/>
          <w:szCs w:val="36"/>
          <w:rtl/>
        </w:rPr>
        <w:t>(ت</w:t>
      </w:r>
      <w:r w:rsidRPr="00807B67">
        <w:rPr>
          <w:rFonts w:ascii="Traditional Arabic" w:eastAsia="Calibri" w:hAnsi="Traditional Arabic" w:cs="Traditional Arabic"/>
          <w:sz w:val="36"/>
          <w:szCs w:val="36"/>
          <w:rtl/>
        </w:rPr>
        <w:t>597ه</w:t>
      </w:r>
      <w:r w:rsidR="00423FF3">
        <w:rPr>
          <w:rFonts w:ascii="Traditional Arabic" w:eastAsia="Calibri" w:hAnsi="Traditional Arabic" w:cs="Traditional Arabic" w:hint="cs"/>
          <w:sz w:val="36"/>
          <w:szCs w:val="36"/>
          <w:rtl/>
        </w:rPr>
        <w:t>)</w:t>
      </w:r>
      <w:r w:rsidRPr="00807B67">
        <w:rPr>
          <w:rFonts w:ascii="Traditional Arabic" w:eastAsia="Calibri" w:hAnsi="Traditional Arabic" w:cs="Traditional Arabic"/>
          <w:sz w:val="36"/>
          <w:szCs w:val="36"/>
          <w:rtl/>
        </w:rPr>
        <w:t>ـ من أول سورة الكهف إلى آخر سورة</w:t>
      </w:r>
      <w:r w:rsidR="00523762">
        <w:rPr>
          <w:rFonts w:ascii="Traditional Arabic" w:eastAsia="Calibri" w:hAnsi="Traditional Arabic" w:cs="Traditional Arabic"/>
          <w:sz w:val="36"/>
          <w:szCs w:val="36"/>
          <w:rtl/>
        </w:rPr>
        <w:t xml:space="preserve"> الروم,  تأليف محمد أحمد زي</w:t>
      </w:r>
      <w:r w:rsidR="00523762">
        <w:rPr>
          <w:rFonts w:ascii="Traditional Arabic" w:eastAsia="Calibri" w:hAnsi="Traditional Arabic" w:cs="Traditional Arabic" w:hint="cs"/>
          <w:sz w:val="36"/>
          <w:szCs w:val="36"/>
          <w:rtl/>
        </w:rPr>
        <w:t xml:space="preserve"> </w:t>
      </w:r>
      <w:r w:rsidRPr="00807B67">
        <w:rPr>
          <w:rFonts w:ascii="Traditional Arabic" w:eastAsia="Calibri" w:hAnsi="Traditional Arabic" w:cs="Traditional Arabic"/>
          <w:sz w:val="36"/>
          <w:szCs w:val="36"/>
          <w:rtl/>
        </w:rPr>
        <w:t>خليفة.</w:t>
      </w:r>
    </w:p>
    <w:p w:rsidR="00807B67" w:rsidRPr="00807B67" w:rsidRDefault="00807B67" w:rsidP="00423FF3">
      <w:pPr>
        <w:pStyle w:val="afd"/>
        <w:numPr>
          <w:ilvl w:val="0"/>
          <w:numId w:val="30"/>
        </w:numPr>
        <w:jc w:val="both"/>
        <w:rPr>
          <w:rFonts w:ascii="Traditional Arabic" w:eastAsia="Calibri" w:hAnsi="Traditional Arabic" w:cs="Traditional Arabic"/>
          <w:sz w:val="36"/>
          <w:szCs w:val="36"/>
          <w:rtl/>
        </w:rPr>
      </w:pPr>
      <w:r w:rsidRPr="00807B67">
        <w:rPr>
          <w:rFonts w:ascii="Traditional Arabic" w:eastAsia="Calibri" w:hAnsi="Traditional Arabic" w:cs="Traditional Arabic"/>
          <w:sz w:val="36"/>
          <w:szCs w:val="36"/>
          <w:rtl/>
        </w:rPr>
        <w:t xml:space="preserve">الدخيل في تفسير زاد المسير في علم التفسير لابن الجوزي </w:t>
      </w:r>
      <w:r w:rsidR="00423FF3">
        <w:rPr>
          <w:rFonts w:ascii="Traditional Arabic" w:eastAsia="Calibri" w:hAnsi="Traditional Arabic" w:cs="Traditional Arabic" w:hint="cs"/>
          <w:sz w:val="36"/>
          <w:szCs w:val="36"/>
          <w:rtl/>
        </w:rPr>
        <w:t>(ت</w:t>
      </w:r>
      <w:r w:rsidR="00423FF3">
        <w:rPr>
          <w:rFonts w:ascii="Traditional Arabic" w:eastAsia="Calibri" w:hAnsi="Traditional Arabic" w:cs="Traditional Arabic"/>
          <w:sz w:val="36"/>
          <w:szCs w:val="36"/>
          <w:rtl/>
        </w:rPr>
        <w:t xml:space="preserve"> 597</w:t>
      </w:r>
      <w:r w:rsidR="00423FF3" w:rsidRPr="00807B67">
        <w:rPr>
          <w:rFonts w:ascii="Traditional Arabic" w:eastAsia="Calibri" w:hAnsi="Traditional Arabic" w:cs="Traditional Arabic"/>
          <w:sz w:val="36"/>
          <w:szCs w:val="36"/>
          <w:rtl/>
        </w:rPr>
        <w:t>ه</w:t>
      </w:r>
      <w:r w:rsidR="00423FF3">
        <w:rPr>
          <w:rFonts w:ascii="Traditional Arabic" w:eastAsia="Calibri" w:hAnsi="Traditional Arabic" w:cs="Traditional Arabic" w:hint="cs"/>
          <w:sz w:val="36"/>
          <w:szCs w:val="36"/>
          <w:rtl/>
        </w:rPr>
        <w:t>)</w:t>
      </w:r>
      <w:r w:rsidR="00423FF3" w:rsidRPr="00807B67">
        <w:rPr>
          <w:rFonts w:ascii="Traditional Arabic" w:eastAsia="Calibri" w:hAnsi="Traditional Arabic" w:cs="Traditional Arabic"/>
          <w:sz w:val="36"/>
          <w:szCs w:val="36"/>
          <w:rtl/>
        </w:rPr>
        <w:t xml:space="preserve"> </w:t>
      </w:r>
      <w:r w:rsidRPr="00807B67">
        <w:rPr>
          <w:rFonts w:ascii="Traditional Arabic" w:eastAsia="Calibri" w:hAnsi="Traditional Arabic" w:cs="Traditional Arabic"/>
          <w:sz w:val="36"/>
          <w:szCs w:val="36"/>
          <w:rtl/>
        </w:rPr>
        <w:t>من أول سورة المجادلة إلى آخر سورة الناس, تأليف محمد صابر شلبي علي.</w:t>
      </w:r>
    </w:p>
    <w:p w:rsidR="003B50AF" w:rsidRDefault="003B50AF" w:rsidP="00423FF3">
      <w:pPr>
        <w:pStyle w:val="afd"/>
        <w:numPr>
          <w:ilvl w:val="0"/>
          <w:numId w:val="30"/>
        </w:numPr>
        <w:jc w:val="both"/>
        <w:rPr>
          <w:rFonts w:ascii="Traditional Arabic" w:eastAsia="Calibri" w:hAnsi="Traditional Arabic" w:cs="Traditional Arabic"/>
          <w:sz w:val="36"/>
          <w:szCs w:val="36"/>
        </w:rPr>
      </w:pPr>
      <w:r>
        <w:rPr>
          <w:rFonts w:ascii="Traditional Arabic" w:eastAsia="Calibri" w:hAnsi="Traditional Arabic" w:cs="Traditional Arabic"/>
          <w:sz w:val="36"/>
          <w:szCs w:val="36"/>
          <w:rtl/>
        </w:rPr>
        <w:t>ال</w:t>
      </w:r>
      <w:r>
        <w:rPr>
          <w:rFonts w:ascii="Traditional Arabic" w:eastAsia="Calibri" w:hAnsi="Traditional Arabic" w:cs="Traditional Arabic" w:hint="cs"/>
          <w:sz w:val="36"/>
          <w:szCs w:val="36"/>
          <w:rtl/>
        </w:rPr>
        <w:t>دراسات</w:t>
      </w:r>
      <w:r w:rsidRPr="00807B67">
        <w:rPr>
          <w:rFonts w:ascii="Traditional Arabic" w:eastAsia="Calibri" w:hAnsi="Traditional Arabic" w:cs="Traditional Arabic"/>
          <w:sz w:val="36"/>
          <w:szCs w:val="36"/>
          <w:rtl/>
        </w:rPr>
        <w:t xml:space="preserve"> اللغو</w:t>
      </w:r>
      <w:r>
        <w:rPr>
          <w:rFonts w:ascii="Traditional Arabic" w:eastAsia="Calibri" w:hAnsi="Traditional Arabic" w:cs="Traditional Arabic"/>
          <w:sz w:val="36"/>
          <w:szCs w:val="36"/>
          <w:rtl/>
        </w:rPr>
        <w:t xml:space="preserve">ية والنحوية في </w:t>
      </w:r>
      <w:r>
        <w:rPr>
          <w:rFonts w:ascii="Traditional Arabic" w:eastAsia="Calibri" w:hAnsi="Traditional Arabic" w:cs="Traditional Arabic" w:hint="cs"/>
          <w:sz w:val="36"/>
          <w:szCs w:val="36"/>
          <w:rtl/>
        </w:rPr>
        <w:t>زاد المسير</w:t>
      </w:r>
      <w:r>
        <w:rPr>
          <w:rFonts w:ascii="Traditional Arabic" w:eastAsia="Calibri" w:hAnsi="Traditional Arabic" w:cs="Traditional Arabic"/>
          <w:sz w:val="36"/>
          <w:szCs w:val="36"/>
          <w:rtl/>
        </w:rPr>
        <w:t xml:space="preserve"> </w:t>
      </w:r>
      <w:r>
        <w:rPr>
          <w:rFonts w:ascii="Traditional Arabic" w:eastAsia="Calibri" w:hAnsi="Traditional Arabic" w:cs="Traditional Arabic" w:hint="cs"/>
          <w:sz w:val="36"/>
          <w:szCs w:val="36"/>
          <w:rtl/>
        </w:rPr>
        <w:t>ل</w:t>
      </w:r>
      <w:r>
        <w:rPr>
          <w:rFonts w:ascii="Traditional Arabic" w:eastAsia="Calibri" w:hAnsi="Traditional Arabic" w:cs="Traditional Arabic"/>
          <w:sz w:val="36"/>
          <w:szCs w:val="36"/>
          <w:rtl/>
        </w:rPr>
        <w:t>ابن الجوزي</w:t>
      </w:r>
      <w:r>
        <w:rPr>
          <w:rFonts w:ascii="Traditional Arabic" w:eastAsia="Calibri" w:hAnsi="Traditional Arabic" w:cs="Traditional Arabic" w:hint="cs"/>
          <w:sz w:val="36"/>
          <w:szCs w:val="36"/>
          <w:rtl/>
        </w:rPr>
        <w:t>,</w:t>
      </w:r>
      <w:r w:rsidRPr="00807B67">
        <w:rPr>
          <w:rFonts w:ascii="Traditional Arabic" w:eastAsia="Calibri" w:hAnsi="Traditional Arabic" w:cs="Traditional Arabic"/>
          <w:sz w:val="36"/>
          <w:szCs w:val="36"/>
          <w:rtl/>
        </w:rPr>
        <w:t xml:space="preserve"> تأليف </w:t>
      </w:r>
      <w:r>
        <w:rPr>
          <w:rFonts w:ascii="Traditional Arabic" w:eastAsia="Calibri" w:hAnsi="Traditional Arabic" w:cs="Traditional Arabic" w:hint="cs"/>
          <w:sz w:val="36"/>
          <w:szCs w:val="36"/>
          <w:rtl/>
        </w:rPr>
        <w:t>صباح عطيوي عبود الزبيدي,</w:t>
      </w:r>
      <w:r w:rsidRPr="00807B67">
        <w:rPr>
          <w:rFonts w:ascii="Traditional Arabic" w:eastAsia="Calibri" w:hAnsi="Traditional Arabic" w:cs="Traditional Arabic"/>
          <w:sz w:val="36"/>
          <w:szCs w:val="36"/>
          <w:rtl/>
        </w:rPr>
        <w:t xml:space="preserve"> رسالة  ماجستير</w:t>
      </w:r>
      <w:r>
        <w:rPr>
          <w:rFonts w:ascii="Traditional Arabic" w:eastAsia="Calibri" w:hAnsi="Traditional Arabic" w:cs="Traditional Arabic" w:hint="cs"/>
          <w:sz w:val="36"/>
          <w:szCs w:val="36"/>
          <w:rtl/>
        </w:rPr>
        <w:t>, جامعة بغداد</w:t>
      </w:r>
      <w:r w:rsidR="00423FF3">
        <w:rPr>
          <w:rFonts w:ascii="Traditional Arabic" w:eastAsia="Calibri" w:hAnsi="Traditional Arabic" w:cs="Traditional Arabic" w:hint="cs"/>
          <w:sz w:val="36"/>
          <w:szCs w:val="36"/>
          <w:rtl/>
        </w:rPr>
        <w:t xml:space="preserve"> عام</w:t>
      </w:r>
      <w:r>
        <w:rPr>
          <w:rFonts w:ascii="Traditional Arabic" w:eastAsia="Calibri" w:hAnsi="Traditional Arabic" w:cs="Traditional Arabic" w:hint="cs"/>
          <w:sz w:val="36"/>
          <w:szCs w:val="36"/>
          <w:rtl/>
        </w:rPr>
        <w:t xml:space="preserve"> </w:t>
      </w:r>
      <w:r w:rsidR="00423FF3">
        <w:rPr>
          <w:rFonts w:ascii="Traditional Arabic" w:eastAsia="Calibri" w:hAnsi="Traditional Arabic" w:cs="Traditional Arabic" w:hint="cs"/>
          <w:sz w:val="36"/>
          <w:szCs w:val="36"/>
          <w:rtl/>
        </w:rPr>
        <w:t>(</w:t>
      </w:r>
      <w:r>
        <w:rPr>
          <w:rFonts w:ascii="Traditional Arabic" w:eastAsia="Calibri" w:hAnsi="Traditional Arabic" w:cs="Traditional Arabic" w:hint="cs"/>
          <w:sz w:val="36"/>
          <w:szCs w:val="36"/>
          <w:rtl/>
        </w:rPr>
        <w:t>1991م</w:t>
      </w:r>
      <w:r w:rsidR="00423FF3">
        <w:rPr>
          <w:rFonts w:ascii="Traditional Arabic" w:eastAsia="Calibri" w:hAnsi="Traditional Arabic" w:cs="Traditional Arabic" w:hint="cs"/>
          <w:sz w:val="36"/>
          <w:szCs w:val="36"/>
          <w:rtl/>
        </w:rPr>
        <w:t>)</w:t>
      </w:r>
      <w:r w:rsidRPr="00807B67">
        <w:rPr>
          <w:rFonts w:ascii="Traditional Arabic" w:eastAsia="Calibri" w:hAnsi="Traditional Arabic" w:cs="Traditional Arabic"/>
          <w:sz w:val="36"/>
          <w:szCs w:val="36"/>
          <w:rtl/>
        </w:rPr>
        <w:t>.</w:t>
      </w:r>
    </w:p>
    <w:p w:rsidR="00807B67" w:rsidRPr="00807B67" w:rsidRDefault="00807B67" w:rsidP="00423FF3">
      <w:pPr>
        <w:pStyle w:val="afd"/>
        <w:numPr>
          <w:ilvl w:val="0"/>
          <w:numId w:val="30"/>
        </w:numPr>
        <w:jc w:val="both"/>
        <w:rPr>
          <w:rFonts w:ascii="Traditional Arabic" w:eastAsia="Calibri" w:hAnsi="Traditional Arabic" w:cs="Traditional Arabic"/>
          <w:sz w:val="36"/>
          <w:szCs w:val="36"/>
          <w:rtl/>
        </w:rPr>
      </w:pPr>
      <w:r w:rsidRPr="00807B67">
        <w:rPr>
          <w:rFonts w:ascii="Traditional Arabic" w:eastAsia="Calibri" w:hAnsi="Traditional Arabic" w:cs="Traditional Arabic"/>
          <w:sz w:val="36"/>
          <w:szCs w:val="36"/>
          <w:rtl/>
        </w:rPr>
        <w:t>القراءات واللهجات في تفسير زاد المسير في علم التفسير لأبي الجوزي, تأليف عبد رب النبي عبدالله.</w:t>
      </w:r>
    </w:p>
    <w:p w:rsidR="00807B67" w:rsidRPr="00807B67" w:rsidRDefault="00807B67" w:rsidP="00423FF3">
      <w:pPr>
        <w:pStyle w:val="afd"/>
        <w:numPr>
          <w:ilvl w:val="0"/>
          <w:numId w:val="30"/>
        </w:numPr>
        <w:jc w:val="both"/>
        <w:rPr>
          <w:rFonts w:ascii="Traditional Arabic" w:eastAsia="Calibri" w:hAnsi="Traditional Arabic" w:cs="Traditional Arabic"/>
          <w:sz w:val="36"/>
          <w:szCs w:val="36"/>
          <w:rtl/>
        </w:rPr>
      </w:pPr>
      <w:r w:rsidRPr="00807B67">
        <w:rPr>
          <w:rFonts w:ascii="Traditional Arabic" w:eastAsia="Calibri" w:hAnsi="Traditional Arabic" w:cs="Traditional Arabic"/>
          <w:sz w:val="36"/>
          <w:szCs w:val="36"/>
          <w:rtl/>
        </w:rPr>
        <w:t>بحث عن دراسة القضايا والمسائل النحوية والصرفية في كتاب زاد المسير في علم التفسير للإمام ابن الجوزي من الجزء الخامس حتى نهاية الجزء التاسع, تأليف رجب محمد محمد حجازي  في جامعة الأزهر.</w:t>
      </w:r>
    </w:p>
    <w:p w:rsidR="00807B67" w:rsidRPr="00807B67" w:rsidRDefault="00807B67" w:rsidP="00423FF3">
      <w:pPr>
        <w:pStyle w:val="afd"/>
        <w:numPr>
          <w:ilvl w:val="0"/>
          <w:numId w:val="30"/>
        </w:numPr>
        <w:jc w:val="both"/>
        <w:rPr>
          <w:rFonts w:ascii="Traditional Arabic" w:eastAsia="Calibri" w:hAnsi="Traditional Arabic" w:cs="Traditional Arabic"/>
          <w:sz w:val="36"/>
          <w:szCs w:val="36"/>
          <w:rtl/>
        </w:rPr>
      </w:pPr>
      <w:r w:rsidRPr="00807B67">
        <w:rPr>
          <w:rFonts w:ascii="Traditional Arabic" w:eastAsia="Calibri" w:hAnsi="Traditional Arabic" w:cs="Traditional Arabic"/>
          <w:sz w:val="36"/>
          <w:szCs w:val="36"/>
          <w:rtl/>
        </w:rPr>
        <w:t>دراسة اللغة في كتاب زاد المسير في علم التفسير لابن الجوزي, تأليف إبتسام محمد نور الغباشي, رسالة دكتوراه من جامعة أم القرى</w:t>
      </w:r>
      <w:r w:rsidR="00B66C86">
        <w:rPr>
          <w:rFonts w:ascii="Traditional Arabic" w:eastAsia="Calibri" w:hAnsi="Traditional Arabic" w:cs="Traditional Arabic" w:hint="cs"/>
          <w:sz w:val="36"/>
          <w:szCs w:val="36"/>
          <w:rtl/>
        </w:rPr>
        <w:t xml:space="preserve"> </w:t>
      </w:r>
      <w:r w:rsidR="00B66C86">
        <w:rPr>
          <w:rFonts w:ascii="Traditional Arabic" w:eastAsia="Calibri" w:hAnsi="Traditional Arabic" w:cs="Traditional Arabic"/>
          <w:sz w:val="36"/>
          <w:szCs w:val="36"/>
          <w:rtl/>
        </w:rPr>
        <w:t>–</w:t>
      </w:r>
      <w:r w:rsidR="00B66C86">
        <w:rPr>
          <w:rFonts w:ascii="Traditional Arabic" w:eastAsia="Calibri" w:hAnsi="Traditional Arabic" w:cs="Traditional Arabic" w:hint="cs"/>
          <w:sz w:val="36"/>
          <w:szCs w:val="36"/>
          <w:rtl/>
        </w:rPr>
        <w:t xml:space="preserve"> المملكة العربية السعودية</w:t>
      </w:r>
      <w:r w:rsidRPr="00807B67">
        <w:rPr>
          <w:rFonts w:ascii="Traditional Arabic" w:eastAsia="Calibri" w:hAnsi="Traditional Arabic" w:cs="Traditional Arabic"/>
          <w:sz w:val="36"/>
          <w:szCs w:val="36"/>
          <w:rtl/>
        </w:rPr>
        <w:t xml:space="preserve"> عام </w:t>
      </w:r>
      <w:r w:rsidR="00B64AF8">
        <w:rPr>
          <w:rFonts w:ascii="Traditional Arabic" w:eastAsia="Calibri" w:hAnsi="Traditional Arabic" w:cs="Traditional Arabic" w:hint="cs"/>
          <w:sz w:val="36"/>
          <w:szCs w:val="36"/>
          <w:rtl/>
        </w:rPr>
        <w:t>(</w:t>
      </w:r>
      <w:r w:rsidRPr="00807B67">
        <w:rPr>
          <w:rFonts w:ascii="Traditional Arabic" w:eastAsia="Calibri" w:hAnsi="Traditional Arabic" w:cs="Traditional Arabic"/>
          <w:sz w:val="36"/>
          <w:szCs w:val="36"/>
          <w:rtl/>
        </w:rPr>
        <w:t>1411</w:t>
      </w:r>
      <w:r w:rsidR="00B64AF8">
        <w:rPr>
          <w:rFonts w:ascii="Traditional Arabic" w:eastAsia="Calibri" w:hAnsi="Traditional Arabic" w:cs="Traditional Arabic" w:hint="cs"/>
          <w:sz w:val="36"/>
          <w:szCs w:val="36"/>
          <w:rtl/>
        </w:rPr>
        <w:t>ه)</w:t>
      </w:r>
      <w:r w:rsidRPr="00807B67">
        <w:rPr>
          <w:rFonts w:ascii="Traditional Arabic" w:eastAsia="Calibri" w:hAnsi="Traditional Arabic" w:cs="Traditional Arabic"/>
          <w:sz w:val="36"/>
          <w:szCs w:val="36"/>
          <w:rtl/>
        </w:rPr>
        <w:t>.</w:t>
      </w:r>
    </w:p>
    <w:p w:rsidR="00807B67" w:rsidRPr="00807B67" w:rsidRDefault="00807B67" w:rsidP="00423FF3">
      <w:pPr>
        <w:pStyle w:val="afd"/>
        <w:numPr>
          <w:ilvl w:val="0"/>
          <w:numId w:val="30"/>
        </w:numPr>
        <w:jc w:val="both"/>
        <w:rPr>
          <w:rFonts w:ascii="Traditional Arabic" w:eastAsia="Calibri" w:hAnsi="Traditional Arabic" w:cs="Traditional Arabic"/>
          <w:sz w:val="36"/>
          <w:szCs w:val="36"/>
          <w:rtl/>
        </w:rPr>
      </w:pPr>
      <w:r w:rsidRPr="00807B67">
        <w:rPr>
          <w:rFonts w:ascii="Traditional Arabic" w:eastAsia="Calibri" w:hAnsi="Traditional Arabic" w:cs="Traditional Arabic"/>
          <w:sz w:val="36"/>
          <w:szCs w:val="36"/>
          <w:rtl/>
        </w:rPr>
        <w:t>اختيارات</w:t>
      </w:r>
      <w:r w:rsidR="00D82769">
        <w:rPr>
          <w:rFonts w:ascii="Traditional Arabic" w:eastAsia="Calibri" w:hAnsi="Traditional Arabic" w:cs="Traditional Arabic" w:hint="cs"/>
          <w:sz w:val="36"/>
          <w:szCs w:val="36"/>
          <w:rtl/>
        </w:rPr>
        <w:t xml:space="preserve"> الإمام</w:t>
      </w:r>
      <w:r w:rsidRPr="00807B67">
        <w:rPr>
          <w:rFonts w:ascii="Traditional Arabic" w:eastAsia="Calibri" w:hAnsi="Traditional Arabic" w:cs="Traditional Arabic"/>
          <w:sz w:val="36"/>
          <w:szCs w:val="36"/>
          <w:rtl/>
        </w:rPr>
        <w:t xml:space="preserve"> ابن الجوزي في</w:t>
      </w:r>
      <w:r w:rsidR="00D82769">
        <w:rPr>
          <w:rFonts w:ascii="Traditional Arabic" w:eastAsia="Calibri" w:hAnsi="Traditional Arabic" w:cs="Traditional Arabic" w:hint="cs"/>
          <w:sz w:val="36"/>
          <w:szCs w:val="36"/>
          <w:rtl/>
        </w:rPr>
        <w:t xml:space="preserve"> التفسير من خلال</w:t>
      </w:r>
      <w:r w:rsidRPr="00807B67">
        <w:rPr>
          <w:rFonts w:ascii="Traditional Arabic" w:eastAsia="Calibri" w:hAnsi="Traditional Arabic" w:cs="Traditional Arabic"/>
          <w:sz w:val="36"/>
          <w:szCs w:val="36"/>
          <w:rtl/>
        </w:rPr>
        <w:t xml:space="preserve"> كتابه زاد المسير,</w:t>
      </w:r>
      <w:r w:rsidR="00D82769">
        <w:rPr>
          <w:rFonts w:ascii="Traditional Arabic" w:eastAsia="Calibri" w:hAnsi="Traditional Arabic" w:cs="Traditional Arabic" w:hint="cs"/>
          <w:sz w:val="36"/>
          <w:szCs w:val="36"/>
          <w:rtl/>
        </w:rPr>
        <w:t xml:space="preserve"> جمع وتوثيق ودراسة الأجزاء الأولى من القرآن, عثمان سر الختم الأمين الدسوقي</w:t>
      </w:r>
      <w:r w:rsidR="00B64AF8">
        <w:rPr>
          <w:rFonts w:ascii="Traditional Arabic" w:eastAsia="Calibri" w:hAnsi="Traditional Arabic" w:cs="Traditional Arabic" w:hint="cs"/>
          <w:sz w:val="36"/>
          <w:szCs w:val="36"/>
          <w:rtl/>
        </w:rPr>
        <w:t xml:space="preserve">, </w:t>
      </w:r>
      <w:r w:rsidR="00B64AF8">
        <w:rPr>
          <w:rFonts w:ascii="Traditional Arabic" w:eastAsia="Calibri" w:hAnsi="Traditional Arabic" w:cs="Traditional Arabic"/>
          <w:sz w:val="36"/>
          <w:szCs w:val="36"/>
          <w:rtl/>
        </w:rPr>
        <w:t xml:space="preserve">رسالة </w:t>
      </w:r>
      <w:r w:rsidR="00B64AF8">
        <w:rPr>
          <w:rFonts w:ascii="Traditional Arabic" w:eastAsia="Calibri" w:hAnsi="Traditional Arabic" w:cs="Traditional Arabic" w:hint="cs"/>
          <w:sz w:val="36"/>
          <w:szCs w:val="36"/>
          <w:rtl/>
        </w:rPr>
        <w:t>دكتوراه</w:t>
      </w:r>
      <w:r w:rsidR="00B64AF8">
        <w:rPr>
          <w:rFonts w:ascii="Traditional Arabic" w:eastAsia="Calibri" w:hAnsi="Traditional Arabic" w:cs="Traditional Arabic"/>
          <w:sz w:val="36"/>
          <w:szCs w:val="36"/>
          <w:rtl/>
        </w:rPr>
        <w:t xml:space="preserve"> بجامعة </w:t>
      </w:r>
      <w:r w:rsidR="00B64AF8">
        <w:rPr>
          <w:rFonts w:ascii="Traditional Arabic" w:eastAsia="Calibri" w:hAnsi="Traditional Arabic" w:cs="Traditional Arabic" w:hint="cs"/>
          <w:sz w:val="36"/>
          <w:szCs w:val="36"/>
          <w:rtl/>
        </w:rPr>
        <w:t>السودان للعلوم والتكنلوجيا معهد العلوم والبحوث الإسلامية عام (2013م)</w:t>
      </w:r>
      <w:r w:rsidRPr="00807B67">
        <w:rPr>
          <w:rFonts w:ascii="Traditional Arabic" w:eastAsia="Calibri" w:hAnsi="Traditional Arabic" w:cs="Traditional Arabic"/>
          <w:sz w:val="36"/>
          <w:szCs w:val="36"/>
          <w:rtl/>
        </w:rPr>
        <w:t>.</w:t>
      </w:r>
    </w:p>
    <w:p w:rsidR="00807B67" w:rsidRPr="00807B67" w:rsidRDefault="00807B67" w:rsidP="00423FF3">
      <w:pPr>
        <w:pStyle w:val="afd"/>
        <w:numPr>
          <w:ilvl w:val="0"/>
          <w:numId w:val="30"/>
        </w:numPr>
        <w:spacing w:after="200" w:line="276" w:lineRule="auto"/>
        <w:jc w:val="both"/>
        <w:rPr>
          <w:rFonts w:ascii="Traditional Arabic" w:eastAsia="Calibri" w:hAnsi="Traditional Arabic" w:cs="Traditional Arabic"/>
          <w:sz w:val="36"/>
          <w:szCs w:val="36"/>
          <w:rtl/>
        </w:rPr>
      </w:pPr>
      <w:r>
        <w:rPr>
          <w:rFonts w:ascii="Traditional Arabic" w:eastAsia="Calibri" w:hAnsi="Traditional Arabic" w:cs="Traditional Arabic" w:hint="cs"/>
          <w:sz w:val="36"/>
          <w:szCs w:val="36"/>
          <w:rtl/>
        </w:rPr>
        <w:lastRenderedPageBreak/>
        <w:t>النسخ عند ابن الجو</w:t>
      </w:r>
      <w:r w:rsidR="00423FF3">
        <w:rPr>
          <w:rFonts w:ascii="Traditional Arabic" w:eastAsia="Calibri" w:hAnsi="Traditional Arabic" w:cs="Traditional Arabic" w:hint="cs"/>
          <w:sz w:val="36"/>
          <w:szCs w:val="36"/>
          <w:rtl/>
        </w:rPr>
        <w:t>زي في زاد المسير في علم التفسير</w:t>
      </w:r>
      <w:r w:rsidR="00D82769">
        <w:rPr>
          <w:rFonts w:ascii="Traditional Arabic" w:eastAsia="Calibri" w:hAnsi="Traditional Arabic" w:cs="Traditional Arabic" w:hint="cs"/>
          <w:sz w:val="36"/>
          <w:szCs w:val="36"/>
          <w:rtl/>
        </w:rPr>
        <w:t>, ياسر رشوان عمر إبراهيم,</w:t>
      </w:r>
      <w:r>
        <w:rPr>
          <w:rFonts w:ascii="Traditional Arabic" w:eastAsia="Calibri" w:hAnsi="Traditional Arabic" w:cs="Traditional Arabic" w:hint="cs"/>
          <w:sz w:val="36"/>
          <w:szCs w:val="36"/>
          <w:rtl/>
        </w:rPr>
        <w:t xml:space="preserve"> رسالة دكتوراه في جامعة عين شمس</w:t>
      </w:r>
      <w:r w:rsidR="00B66C86">
        <w:rPr>
          <w:rFonts w:ascii="Traditional Arabic" w:eastAsia="Calibri" w:hAnsi="Traditional Arabic" w:cs="Traditional Arabic" w:hint="cs"/>
          <w:sz w:val="36"/>
          <w:szCs w:val="36"/>
          <w:rtl/>
        </w:rPr>
        <w:t>, كلية التربية - مصر</w:t>
      </w:r>
      <w:r w:rsidR="00D82769">
        <w:rPr>
          <w:rFonts w:ascii="Traditional Arabic" w:eastAsia="Calibri" w:hAnsi="Traditional Arabic" w:cs="Traditional Arabic" w:hint="cs"/>
          <w:sz w:val="36"/>
          <w:szCs w:val="36"/>
          <w:rtl/>
        </w:rPr>
        <w:t xml:space="preserve"> (1432ه-2011م)</w:t>
      </w:r>
      <w:r>
        <w:rPr>
          <w:rFonts w:ascii="Traditional Arabic" w:eastAsia="Calibri" w:hAnsi="Traditional Arabic" w:cs="Traditional Arabic" w:hint="cs"/>
          <w:sz w:val="36"/>
          <w:szCs w:val="36"/>
          <w:rtl/>
        </w:rPr>
        <w:t>.</w:t>
      </w:r>
    </w:p>
    <w:p w:rsidR="00D11232" w:rsidRPr="00C17B7B" w:rsidRDefault="00D11232" w:rsidP="00807B67">
      <w:pPr>
        <w:ind w:firstLine="0"/>
        <w:rPr>
          <w:rFonts w:ascii="Traditional Arabic" w:eastAsia="Calibri" w:hAnsi="Traditional Arabic"/>
          <w:b/>
          <w:bCs/>
          <w:u w:val="single"/>
          <w:rtl/>
        </w:rPr>
      </w:pPr>
      <w:r w:rsidRPr="00807B67">
        <w:rPr>
          <w:rFonts w:ascii="Traditional Arabic" w:eastAsia="Calibri" w:hAnsi="Traditional Arabic"/>
          <w:u w:val="single"/>
          <w:rtl/>
        </w:rPr>
        <w:br w:type="page"/>
      </w:r>
      <w:r w:rsidRPr="00C17B7B">
        <w:rPr>
          <w:rFonts w:ascii="Traditional Arabic" w:eastAsia="Calibri" w:hAnsi="Traditional Arabic"/>
          <w:b/>
          <w:bCs/>
          <w:u w:val="single"/>
          <w:rtl/>
        </w:rPr>
        <w:lastRenderedPageBreak/>
        <w:t>خطة البحث</w:t>
      </w:r>
      <w:r w:rsidRPr="00C17B7B">
        <w:rPr>
          <w:rFonts w:ascii="Traditional Arabic" w:eastAsia="Calibri" w:hAnsi="Traditional Arabic" w:hint="cs"/>
          <w:b/>
          <w:bCs/>
          <w:u w:val="single"/>
          <w:rtl/>
        </w:rPr>
        <w:t xml:space="preserve"> :</w:t>
      </w:r>
    </w:p>
    <w:p w:rsidR="00D11232" w:rsidRDefault="00D11232" w:rsidP="00807B67">
      <w:pPr>
        <w:spacing w:after="200" w:line="276" w:lineRule="auto"/>
        <w:ind w:firstLine="0"/>
        <w:rPr>
          <w:rFonts w:ascii="Traditional Arabic" w:eastAsia="Calibri" w:hAnsi="Traditional Arabic"/>
          <w:rtl/>
        </w:rPr>
      </w:pPr>
      <w:r w:rsidRPr="00C17B7B">
        <w:rPr>
          <w:rFonts w:ascii="Traditional Arabic" w:eastAsia="Calibri" w:hAnsi="Traditional Arabic"/>
          <w:rtl/>
        </w:rPr>
        <w:t>تتكون خطة البحث من: مقدمة، وقسمين، وفهارس:</w:t>
      </w:r>
    </w:p>
    <w:p w:rsidR="00807B67" w:rsidRPr="00807B67" w:rsidRDefault="00807B67" w:rsidP="00C443D8">
      <w:pPr>
        <w:widowControl/>
        <w:numPr>
          <w:ilvl w:val="0"/>
          <w:numId w:val="5"/>
        </w:numPr>
        <w:spacing w:after="200" w:line="276" w:lineRule="auto"/>
        <w:ind w:left="0" w:firstLine="0"/>
        <w:rPr>
          <w:rFonts w:ascii="Traditional Arabic" w:eastAsia="Calibri" w:hAnsi="Traditional Arabic"/>
          <w:u w:val="single"/>
          <w:rtl/>
        </w:rPr>
      </w:pPr>
      <w:r w:rsidRPr="00C17B7B">
        <w:rPr>
          <w:rFonts w:ascii="Traditional Arabic" w:eastAsia="Calibri" w:hAnsi="Traditional Arabic"/>
          <w:u w:val="single"/>
          <w:rtl/>
        </w:rPr>
        <w:t>المقدمة وتشتمل على:</w:t>
      </w:r>
    </w:p>
    <w:p w:rsidR="00807B67" w:rsidRPr="00807B67" w:rsidRDefault="008B2740" w:rsidP="00C443D8">
      <w:pPr>
        <w:widowControl/>
        <w:numPr>
          <w:ilvl w:val="0"/>
          <w:numId w:val="6"/>
        </w:numPr>
        <w:spacing w:after="200" w:line="276" w:lineRule="auto"/>
        <w:ind w:left="0" w:firstLine="0"/>
        <w:rPr>
          <w:rFonts w:ascii="Traditional Arabic" w:eastAsia="Calibri" w:hAnsi="Traditional Arabic"/>
        </w:rPr>
      </w:pPr>
      <w:r>
        <w:rPr>
          <w:rFonts w:ascii="Traditional Arabic" w:eastAsia="Calibri" w:hAnsi="Traditional Arabic"/>
          <w:rtl/>
        </w:rPr>
        <w:t>أهمي</w:t>
      </w:r>
      <w:r>
        <w:rPr>
          <w:rFonts w:ascii="Traditional Arabic" w:eastAsia="Calibri" w:hAnsi="Traditional Arabic" w:hint="cs"/>
          <w:rtl/>
        </w:rPr>
        <w:t>ة</w:t>
      </w:r>
      <w:r w:rsidR="00D11232" w:rsidRPr="00C17B7B">
        <w:rPr>
          <w:rFonts w:ascii="Traditional Arabic" w:eastAsia="Calibri" w:hAnsi="Traditional Arabic" w:hint="cs"/>
          <w:rtl/>
        </w:rPr>
        <w:t xml:space="preserve"> </w:t>
      </w:r>
      <w:r w:rsidR="00D11232" w:rsidRPr="00C17B7B">
        <w:rPr>
          <w:rFonts w:ascii="Traditional Arabic" w:eastAsia="Calibri" w:hAnsi="Traditional Arabic"/>
          <w:rtl/>
        </w:rPr>
        <w:t>الموضوع</w:t>
      </w:r>
      <w:r w:rsidR="00D11232" w:rsidRPr="00C17B7B">
        <w:rPr>
          <w:rFonts w:ascii="Traditional Arabic" w:eastAsia="Calibri" w:hAnsi="Traditional Arabic" w:hint="cs"/>
          <w:rtl/>
        </w:rPr>
        <w:t xml:space="preserve"> و</w:t>
      </w:r>
      <w:r w:rsidR="00D11232" w:rsidRPr="00C17B7B">
        <w:rPr>
          <w:rFonts w:ascii="Traditional Arabic" w:eastAsia="Calibri" w:hAnsi="Traditional Arabic"/>
          <w:rtl/>
        </w:rPr>
        <w:t>أسباب اختيار</w:t>
      </w:r>
      <w:r>
        <w:rPr>
          <w:rFonts w:ascii="Traditional Arabic" w:eastAsia="Calibri" w:hAnsi="Traditional Arabic" w:hint="cs"/>
          <w:rtl/>
        </w:rPr>
        <w:t>ه</w:t>
      </w:r>
      <w:r w:rsidR="00D11232" w:rsidRPr="00C17B7B">
        <w:rPr>
          <w:rFonts w:ascii="Traditional Arabic" w:eastAsia="Calibri" w:hAnsi="Traditional Arabic"/>
          <w:rtl/>
        </w:rPr>
        <w:t>.</w:t>
      </w:r>
    </w:p>
    <w:p w:rsidR="00D11232" w:rsidRPr="00C17B7B" w:rsidRDefault="00D11232" w:rsidP="00C443D8">
      <w:pPr>
        <w:widowControl/>
        <w:numPr>
          <w:ilvl w:val="0"/>
          <w:numId w:val="6"/>
        </w:numPr>
        <w:spacing w:after="200" w:line="276" w:lineRule="auto"/>
        <w:ind w:left="0" w:firstLine="0"/>
        <w:rPr>
          <w:rFonts w:ascii="Traditional Arabic" w:eastAsia="Calibri" w:hAnsi="Traditional Arabic"/>
        </w:rPr>
      </w:pPr>
      <w:r w:rsidRPr="00C17B7B">
        <w:rPr>
          <w:rFonts w:ascii="Traditional Arabic" w:eastAsia="Calibri" w:hAnsi="Traditional Arabic"/>
          <w:rtl/>
        </w:rPr>
        <w:t>الدراسات السابقة.</w:t>
      </w:r>
    </w:p>
    <w:p w:rsidR="00D11232" w:rsidRPr="00C17B7B" w:rsidRDefault="00D11232" w:rsidP="00C443D8">
      <w:pPr>
        <w:widowControl/>
        <w:numPr>
          <w:ilvl w:val="0"/>
          <w:numId w:val="6"/>
        </w:numPr>
        <w:spacing w:after="200" w:line="276" w:lineRule="auto"/>
        <w:ind w:left="0" w:firstLine="0"/>
        <w:rPr>
          <w:rFonts w:ascii="Traditional Arabic" w:eastAsia="Calibri" w:hAnsi="Traditional Arabic"/>
        </w:rPr>
      </w:pPr>
      <w:r w:rsidRPr="00C17B7B">
        <w:rPr>
          <w:rFonts w:ascii="Traditional Arabic" w:eastAsia="Calibri" w:hAnsi="Traditional Arabic"/>
          <w:rtl/>
        </w:rPr>
        <w:t>خطة البحث.</w:t>
      </w:r>
    </w:p>
    <w:p w:rsidR="00D11232" w:rsidRPr="00C17B7B" w:rsidRDefault="00D11232" w:rsidP="00C443D8">
      <w:pPr>
        <w:widowControl/>
        <w:numPr>
          <w:ilvl w:val="0"/>
          <w:numId w:val="6"/>
        </w:numPr>
        <w:spacing w:after="200" w:line="276" w:lineRule="auto"/>
        <w:ind w:left="0" w:firstLine="0"/>
        <w:rPr>
          <w:rFonts w:ascii="Traditional Arabic" w:eastAsia="Calibri" w:hAnsi="Traditional Arabic"/>
          <w:rtl/>
        </w:rPr>
      </w:pPr>
      <w:r w:rsidRPr="00C17B7B">
        <w:rPr>
          <w:rFonts w:ascii="Traditional Arabic" w:eastAsia="Calibri" w:hAnsi="Traditional Arabic"/>
          <w:rtl/>
        </w:rPr>
        <w:t>منهج البحث.</w:t>
      </w:r>
    </w:p>
    <w:p w:rsidR="00D11232" w:rsidRPr="00C17B7B" w:rsidRDefault="00D11232" w:rsidP="00C443D8">
      <w:pPr>
        <w:widowControl/>
        <w:numPr>
          <w:ilvl w:val="0"/>
          <w:numId w:val="5"/>
        </w:numPr>
        <w:spacing w:after="200" w:line="276" w:lineRule="auto"/>
        <w:ind w:left="0" w:firstLine="0"/>
        <w:rPr>
          <w:rFonts w:ascii="Traditional Arabic" w:eastAsia="Calibri" w:hAnsi="Traditional Arabic"/>
          <w:b/>
          <w:bCs/>
          <w:u w:val="single"/>
          <w:rtl/>
        </w:rPr>
      </w:pPr>
      <w:r w:rsidRPr="00C17B7B">
        <w:rPr>
          <w:rFonts w:ascii="Traditional Arabic" w:eastAsia="Calibri" w:hAnsi="Traditional Arabic"/>
          <w:b/>
          <w:bCs/>
          <w:u w:val="single"/>
          <w:rtl/>
        </w:rPr>
        <w:t>القسم  الأول: الدراسة: وفيه فصلان:</w:t>
      </w:r>
    </w:p>
    <w:p w:rsidR="00D11232" w:rsidRPr="00C17B7B" w:rsidRDefault="008B2740" w:rsidP="008B2740">
      <w:pPr>
        <w:spacing w:after="200" w:line="276" w:lineRule="auto"/>
        <w:ind w:firstLine="0"/>
        <w:rPr>
          <w:rFonts w:ascii="Traditional Arabic" w:eastAsia="Calibri" w:hAnsi="Traditional Arabic"/>
          <w:b/>
          <w:bCs/>
          <w:rtl/>
        </w:rPr>
      </w:pPr>
      <w:r>
        <w:rPr>
          <w:rFonts w:ascii="Traditional Arabic" w:eastAsia="Calibri" w:hAnsi="Traditional Arabic"/>
          <w:b/>
          <w:bCs/>
          <w:rtl/>
        </w:rPr>
        <w:t>الفصل الأول: التعريف بالمؤلف</w:t>
      </w:r>
      <w:r>
        <w:rPr>
          <w:rFonts w:ascii="Traditional Arabic" w:eastAsia="Calibri" w:hAnsi="Traditional Arabic" w:hint="cs"/>
          <w:b/>
          <w:bCs/>
          <w:rtl/>
        </w:rPr>
        <w:t>,</w:t>
      </w:r>
      <w:r w:rsidR="00D11232" w:rsidRPr="00C17B7B">
        <w:rPr>
          <w:rFonts w:ascii="Traditional Arabic" w:eastAsia="Calibri" w:hAnsi="Traditional Arabic"/>
          <w:b/>
          <w:bCs/>
          <w:rtl/>
        </w:rPr>
        <w:t xml:space="preserve"> وفيه </w:t>
      </w:r>
      <w:r w:rsidR="00D11232" w:rsidRPr="00C17B7B">
        <w:rPr>
          <w:rFonts w:ascii="Traditional Arabic" w:eastAsia="Calibri" w:hAnsi="Traditional Arabic" w:hint="cs"/>
          <w:b/>
          <w:bCs/>
          <w:rtl/>
        </w:rPr>
        <w:t>سبعة</w:t>
      </w:r>
      <w:r w:rsidR="00D11232" w:rsidRPr="00C17B7B">
        <w:rPr>
          <w:rFonts w:ascii="Traditional Arabic" w:eastAsia="Calibri" w:hAnsi="Traditional Arabic"/>
          <w:b/>
          <w:bCs/>
          <w:rtl/>
        </w:rPr>
        <w:t xml:space="preserve"> مباحث:</w:t>
      </w:r>
    </w:p>
    <w:p w:rsidR="00D11232" w:rsidRPr="00C17B7B" w:rsidRDefault="00D11232" w:rsidP="00807B67">
      <w:pPr>
        <w:spacing w:after="200" w:line="276" w:lineRule="auto"/>
        <w:ind w:firstLine="0"/>
        <w:rPr>
          <w:rFonts w:ascii="Traditional Arabic" w:eastAsia="Calibri" w:hAnsi="Traditional Arabic"/>
          <w:rtl/>
        </w:rPr>
      </w:pPr>
      <w:r w:rsidRPr="00C17B7B">
        <w:rPr>
          <w:rFonts w:ascii="Traditional Arabic" w:eastAsia="Calibri" w:hAnsi="Traditional Arabic"/>
          <w:rtl/>
        </w:rPr>
        <w:t>المبحث الأول: اسـمه،</w:t>
      </w:r>
      <w:r w:rsidR="00856E14">
        <w:rPr>
          <w:rFonts w:ascii="Traditional Arabic" w:eastAsia="Calibri" w:hAnsi="Traditional Arabic" w:hint="cs"/>
          <w:rtl/>
        </w:rPr>
        <w:t xml:space="preserve"> </w:t>
      </w:r>
      <w:r w:rsidRPr="00C17B7B">
        <w:rPr>
          <w:rFonts w:ascii="Traditional Arabic" w:eastAsia="Calibri" w:hAnsi="Traditional Arabic" w:hint="cs"/>
          <w:rtl/>
        </w:rPr>
        <w:t>ولقبه، وكنيته، و</w:t>
      </w:r>
      <w:r w:rsidRPr="00C17B7B">
        <w:rPr>
          <w:rFonts w:ascii="Traditional Arabic" w:eastAsia="Calibri" w:hAnsi="Traditional Arabic"/>
          <w:rtl/>
        </w:rPr>
        <w:t>نسـبه.</w:t>
      </w:r>
    </w:p>
    <w:p w:rsidR="00D11232" w:rsidRPr="00C17B7B" w:rsidRDefault="00D11232" w:rsidP="00807B67">
      <w:pPr>
        <w:spacing w:after="200" w:line="276" w:lineRule="auto"/>
        <w:ind w:firstLine="0"/>
        <w:rPr>
          <w:rFonts w:ascii="Traditional Arabic" w:eastAsia="Calibri" w:hAnsi="Traditional Arabic"/>
          <w:rtl/>
        </w:rPr>
      </w:pPr>
      <w:r w:rsidRPr="00C17B7B">
        <w:rPr>
          <w:rFonts w:ascii="Traditional Arabic" w:eastAsia="Calibri" w:hAnsi="Traditional Arabic"/>
          <w:rtl/>
        </w:rPr>
        <w:t>المبحث الثاني: مولده</w:t>
      </w:r>
      <w:r w:rsidRPr="00C17B7B">
        <w:rPr>
          <w:rFonts w:ascii="Traditional Arabic" w:eastAsia="Calibri" w:hAnsi="Traditional Arabic" w:hint="cs"/>
          <w:rtl/>
        </w:rPr>
        <w:t>، ونشأته</w:t>
      </w:r>
      <w:r w:rsidRPr="00C17B7B">
        <w:rPr>
          <w:rFonts w:ascii="Traditional Arabic" w:eastAsia="Calibri" w:hAnsi="Traditional Arabic"/>
          <w:rtl/>
        </w:rPr>
        <w:t xml:space="preserve"> ووفاته.</w:t>
      </w:r>
    </w:p>
    <w:p w:rsidR="00D11232" w:rsidRPr="00C17B7B" w:rsidRDefault="00D11232" w:rsidP="00807B67">
      <w:pPr>
        <w:spacing w:after="200" w:line="276" w:lineRule="auto"/>
        <w:ind w:firstLine="0"/>
        <w:rPr>
          <w:rFonts w:ascii="Traditional Arabic" w:eastAsia="Calibri" w:hAnsi="Traditional Arabic"/>
          <w:rtl/>
        </w:rPr>
      </w:pPr>
      <w:r w:rsidRPr="00C17B7B">
        <w:rPr>
          <w:rFonts w:ascii="Traditional Arabic" w:eastAsia="Calibri" w:hAnsi="Traditional Arabic"/>
          <w:rtl/>
        </w:rPr>
        <w:t>المبحث الثالث: شيوخه، و تلاميـذه.</w:t>
      </w:r>
    </w:p>
    <w:p w:rsidR="00D11232" w:rsidRPr="00C17B7B" w:rsidRDefault="00D11232" w:rsidP="00807B67">
      <w:pPr>
        <w:spacing w:after="200" w:line="276" w:lineRule="auto"/>
        <w:ind w:firstLine="0"/>
        <w:rPr>
          <w:rFonts w:ascii="Traditional Arabic" w:eastAsia="Calibri" w:hAnsi="Traditional Arabic"/>
          <w:rtl/>
        </w:rPr>
      </w:pPr>
      <w:r w:rsidRPr="00C17B7B">
        <w:rPr>
          <w:rFonts w:ascii="Traditional Arabic" w:eastAsia="Calibri" w:hAnsi="Traditional Arabic"/>
          <w:rtl/>
        </w:rPr>
        <w:t xml:space="preserve">المبحث الرابع: </w:t>
      </w:r>
      <w:r w:rsidRPr="00C17B7B">
        <w:rPr>
          <w:rFonts w:ascii="Traditional Arabic" w:eastAsia="Calibri" w:hAnsi="Traditional Arabic" w:hint="cs"/>
          <w:rtl/>
        </w:rPr>
        <w:t xml:space="preserve">عقيدته. </w:t>
      </w:r>
    </w:p>
    <w:p w:rsidR="00D11232" w:rsidRPr="00C17B7B" w:rsidRDefault="00D11232" w:rsidP="00807B67">
      <w:pPr>
        <w:spacing w:after="200" w:line="276" w:lineRule="auto"/>
        <w:ind w:firstLine="0"/>
        <w:rPr>
          <w:rFonts w:ascii="Traditional Arabic" w:eastAsia="Calibri" w:hAnsi="Traditional Arabic"/>
          <w:rtl/>
        </w:rPr>
      </w:pPr>
      <w:r w:rsidRPr="00C17B7B">
        <w:rPr>
          <w:rFonts w:ascii="Traditional Arabic" w:eastAsia="Calibri" w:hAnsi="Traditional Arabic"/>
          <w:rtl/>
        </w:rPr>
        <w:t xml:space="preserve">المبحث الخامس: </w:t>
      </w:r>
      <w:r w:rsidRPr="00C17B7B">
        <w:rPr>
          <w:rFonts w:ascii="Traditional Arabic" w:eastAsia="Calibri" w:hAnsi="Traditional Arabic" w:hint="cs"/>
          <w:rtl/>
        </w:rPr>
        <w:t xml:space="preserve">مذهبه الفقهي. </w:t>
      </w:r>
    </w:p>
    <w:p w:rsidR="00D11232" w:rsidRPr="00C17B7B" w:rsidRDefault="00D11232" w:rsidP="00807B67">
      <w:pPr>
        <w:spacing w:after="200" w:line="276" w:lineRule="auto"/>
        <w:ind w:firstLine="0"/>
        <w:rPr>
          <w:rFonts w:ascii="Traditional Arabic" w:eastAsia="Calibri" w:hAnsi="Traditional Arabic"/>
          <w:rtl/>
        </w:rPr>
      </w:pPr>
      <w:r w:rsidRPr="00C17B7B">
        <w:rPr>
          <w:rFonts w:ascii="Traditional Arabic" w:eastAsia="Calibri" w:hAnsi="Traditional Arabic" w:hint="cs"/>
          <w:rtl/>
        </w:rPr>
        <w:t xml:space="preserve">المبحث السادس: </w:t>
      </w:r>
      <w:r w:rsidRPr="00C17B7B">
        <w:rPr>
          <w:rFonts w:ascii="Traditional Arabic" w:eastAsia="Calibri" w:hAnsi="Traditional Arabic"/>
          <w:rtl/>
        </w:rPr>
        <w:t>مكانته العلمية</w:t>
      </w:r>
      <w:r w:rsidRPr="00C17B7B">
        <w:rPr>
          <w:rFonts w:ascii="Traditional Arabic" w:eastAsia="Calibri" w:hAnsi="Traditional Arabic" w:hint="cs"/>
          <w:rtl/>
        </w:rPr>
        <w:t>، وثناء العلماء عليه.</w:t>
      </w:r>
    </w:p>
    <w:p w:rsidR="00856E14" w:rsidRDefault="00D11232" w:rsidP="00807B67">
      <w:pPr>
        <w:spacing w:after="200" w:line="276" w:lineRule="auto"/>
        <w:ind w:firstLine="0"/>
        <w:rPr>
          <w:rFonts w:ascii="Traditional Arabic" w:eastAsia="Calibri" w:hAnsi="Traditional Arabic"/>
          <w:rtl/>
        </w:rPr>
      </w:pPr>
      <w:r w:rsidRPr="00C17B7B">
        <w:rPr>
          <w:rFonts w:ascii="Traditional Arabic" w:eastAsia="Calibri" w:hAnsi="Traditional Arabic" w:hint="cs"/>
          <w:rtl/>
        </w:rPr>
        <w:t>المبحث السابع:</w:t>
      </w:r>
      <w:r w:rsidR="00807B67">
        <w:rPr>
          <w:rFonts w:ascii="Traditional Arabic" w:eastAsia="Calibri" w:hAnsi="Traditional Arabic"/>
          <w:rtl/>
        </w:rPr>
        <w:t xml:space="preserve"> مؤلفاته</w:t>
      </w:r>
      <w:r w:rsidR="00807B67">
        <w:rPr>
          <w:rFonts w:ascii="Traditional Arabic" w:eastAsia="Calibri" w:hAnsi="Traditional Arabic" w:hint="cs"/>
          <w:rtl/>
        </w:rPr>
        <w:t>.</w:t>
      </w:r>
    </w:p>
    <w:p w:rsidR="00807B67" w:rsidRDefault="00807B67" w:rsidP="00807B67">
      <w:pPr>
        <w:spacing w:after="200" w:line="276" w:lineRule="auto"/>
        <w:ind w:firstLine="0"/>
        <w:rPr>
          <w:rFonts w:ascii="Traditional Arabic" w:eastAsia="Calibri" w:hAnsi="Traditional Arabic"/>
          <w:b/>
          <w:bCs/>
          <w:rtl/>
        </w:rPr>
      </w:pPr>
    </w:p>
    <w:p w:rsidR="00D11232" w:rsidRPr="00C17B7B" w:rsidRDefault="00D11232" w:rsidP="00807B67">
      <w:pPr>
        <w:spacing w:after="200" w:line="276" w:lineRule="auto"/>
        <w:ind w:firstLine="0"/>
        <w:rPr>
          <w:rFonts w:ascii="Traditional Arabic" w:eastAsia="Calibri" w:hAnsi="Traditional Arabic"/>
          <w:b/>
          <w:bCs/>
          <w:rtl/>
        </w:rPr>
      </w:pPr>
      <w:r w:rsidRPr="00C17B7B">
        <w:rPr>
          <w:rFonts w:ascii="Traditional Arabic" w:eastAsia="Calibri" w:hAnsi="Traditional Arabic"/>
          <w:b/>
          <w:bCs/>
          <w:rtl/>
        </w:rPr>
        <w:lastRenderedPageBreak/>
        <w:t xml:space="preserve">الفصل الثاني: التعريف بالكتاب، وفيه </w:t>
      </w:r>
      <w:r w:rsidRPr="00C17B7B">
        <w:rPr>
          <w:rFonts w:ascii="Traditional Arabic" w:eastAsia="Calibri" w:hAnsi="Traditional Arabic" w:hint="cs"/>
          <w:b/>
          <w:bCs/>
          <w:rtl/>
        </w:rPr>
        <w:t>خمسة</w:t>
      </w:r>
      <w:r w:rsidRPr="00C17B7B">
        <w:rPr>
          <w:rFonts w:ascii="Traditional Arabic" w:eastAsia="Calibri" w:hAnsi="Traditional Arabic"/>
          <w:b/>
          <w:bCs/>
          <w:rtl/>
        </w:rPr>
        <w:t xml:space="preserve"> مباحث:</w:t>
      </w:r>
    </w:p>
    <w:p w:rsidR="00D11232" w:rsidRPr="00C17B7B" w:rsidRDefault="00D11232" w:rsidP="00807B67">
      <w:pPr>
        <w:spacing w:after="200" w:line="276" w:lineRule="auto"/>
        <w:ind w:firstLine="0"/>
        <w:rPr>
          <w:rFonts w:ascii="Traditional Arabic" w:eastAsia="Calibri" w:hAnsi="Traditional Arabic"/>
          <w:rtl/>
        </w:rPr>
      </w:pPr>
      <w:r w:rsidRPr="00C17B7B">
        <w:rPr>
          <w:rFonts w:ascii="Traditional Arabic" w:eastAsia="Calibri" w:hAnsi="Traditional Arabic"/>
          <w:rtl/>
        </w:rPr>
        <w:t>المبحث الأول: تحقيق اسم الكتاب و</w:t>
      </w:r>
      <w:r w:rsidRPr="00C17B7B">
        <w:rPr>
          <w:rFonts w:ascii="Traditional Arabic" w:eastAsia="Calibri" w:hAnsi="Traditional Arabic" w:hint="cs"/>
          <w:rtl/>
        </w:rPr>
        <w:t xml:space="preserve">إثبات </w:t>
      </w:r>
      <w:r w:rsidRPr="00C17B7B">
        <w:rPr>
          <w:rFonts w:ascii="Traditional Arabic" w:eastAsia="Calibri" w:hAnsi="Traditional Arabic"/>
          <w:rtl/>
        </w:rPr>
        <w:t>نسبته إلى المؤلف.</w:t>
      </w:r>
    </w:p>
    <w:p w:rsidR="00D11232" w:rsidRPr="00C17B7B" w:rsidRDefault="00D11232" w:rsidP="00807B67">
      <w:pPr>
        <w:spacing w:after="200" w:line="276" w:lineRule="auto"/>
        <w:ind w:firstLine="0"/>
        <w:rPr>
          <w:rFonts w:ascii="Traditional Arabic" w:eastAsia="Calibri" w:hAnsi="Traditional Arabic"/>
          <w:rtl/>
        </w:rPr>
      </w:pPr>
      <w:r w:rsidRPr="00C17B7B">
        <w:rPr>
          <w:rFonts w:ascii="Traditional Arabic" w:eastAsia="Calibri" w:hAnsi="Traditional Arabic"/>
          <w:rtl/>
        </w:rPr>
        <w:t>المبحث الثاني: منهج المؤلف</w:t>
      </w:r>
      <w:r w:rsidR="008B2740">
        <w:rPr>
          <w:rFonts w:ascii="Traditional Arabic" w:eastAsia="Calibri" w:hAnsi="Traditional Arabic" w:hint="cs"/>
          <w:rtl/>
        </w:rPr>
        <w:t xml:space="preserve"> في الكتاب -</w:t>
      </w:r>
      <w:r w:rsidRPr="00C17B7B">
        <w:rPr>
          <w:rFonts w:ascii="Traditional Arabic" w:eastAsia="Calibri" w:hAnsi="Traditional Arabic"/>
          <w:rtl/>
        </w:rPr>
        <w:t xml:space="preserve"> في </w:t>
      </w:r>
      <w:r w:rsidRPr="00C17B7B">
        <w:rPr>
          <w:rFonts w:ascii="Traditional Arabic" w:eastAsia="Calibri" w:hAnsi="Traditional Arabic" w:hint="cs"/>
          <w:rtl/>
        </w:rPr>
        <w:t>القسم المحقق</w:t>
      </w:r>
      <w:r w:rsidRPr="00C17B7B">
        <w:rPr>
          <w:rFonts w:ascii="Traditional Arabic" w:eastAsia="Calibri" w:hAnsi="Traditional Arabic"/>
          <w:rtl/>
        </w:rPr>
        <w:t>.</w:t>
      </w:r>
    </w:p>
    <w:p w:rsidR="00D11232" w:rsidRPr="00C17B7B" w:rsidRDefault="00D11232" w:rsidP="00807B67">
      <w:pPr>
        <w:spacing w:after="200" w:line="276" w:lineRule="auto"/>
        <w:ind w:firstLine="0"/>
        <w:rPr>
          <w:rFonts w:ascii="Traditional Arabic" w:eastAsia="Calibri" w:hAnsi="Traditional Arabic"/>
          <w:rtl/>
        </w:rPr>
      </w:pPr>
      <w:r w:rsidRPr="00C17B7B">
        <w:rPr>
          <w:rFonts w:ascii="Traditional Arabic" w:eastAsia="Calibri" w:hAnsi="Traditional Arabic"/>
          <w:rtl/>
        </w:rPr>
        <w:t>المبحث الثالث: مصادر الكتاب</w:t>
      </w:r>
      <w:r w:rsidRPr="00C17B7B">
        <w:rPr>
          <w:rFonts w:ascii="Traditional Arabic" w:eastAsia="Calibri" w:hAnsi="Traditional Arabic" w:hint="cs"/>
          <w:rtl/>
        </w:rPr>
        <w:t xml:space="preserve"> في القسم المحقق</w:t>
      </w:r>
      <w:r w:rsidRPr="00C17B7B">
        <w:rPr>
          <w:rFonts w:ascii="Traditional Arabic" w:eastAsia="Calibri" w:hAnsi="Traditional Arabic"/>
          <w:rtl/>
        </w:rPr>
        <w:t>.</w:t>
      </w:r>
    </w:p>
    <w:p w:rsidR="00D11232" w:rsidRPr="00C17B7B" w:rsidRDefault="00D11232" w:rsidP="00807B67">
      <w:pPr>
        <w:spacing w:after="200" w:line="276" w:lineRule="auto"/>
        <w:ind w:firstLine="0"/>
        <w:rPr>
          <w:rFonts w:ascii="Traditional Arabic" w:eastAsia="Calibri" w:hAnsi="Traditional Arabic"/>
          <w:rtl/>
        </w:rPr>
      </w:pPr>
      <w:r w:rsidRPr="00C17B7B">
        <w:rPr>
          <w:rFonts w:ascii="Traditional Arabic" w:eastAsia="Calibri" w:hAnsi="Traditional Arabic"/>
          <w:rtl/>
        </w:rPr>
        <w:t>المبحث الرابع: القيمة العلمية للكتاب.</w:t>
      </w:r>
    </w:p>
    <w:p w:rsidR="00D11232" w:rsidRPr="00C17B7B" w:rsidRDefault="00D11232" w:rsidP="00807B67">
      <w:pPr>
        <w:spacing w:after="200" w:line="276" w:lineRule="auto"/>
        <w:ind w:firstLine="0"/>
        <w:rPr>
          <w:rFonts w:ascii="Traditional Arabic" w:eastAsia="Calibri" w:hAnsi="Traditional Arabic"/>
          <w:rtl/>
        </w:rPr>
      </w:pPr>
      <w:r w:rsidRPr="00C17B7B">
        <w:rPr>
          <w:rFonts w:ascii="Traditional Arabic" w:eastAsia="Calibri" w:hAnsi="Traditional Arabic"/>
          <w:rtl/>
        </w:rPr>
        <w:t>المبحث الخامس: وصف النسخ الخطية المعتمدة للكتاب</w:t>
      </w:r>
      <w:r w:rsidR="008B2740">
        <w:rPr>
          <w:rFonts w:ascii="Traditional Arabic" w:eastAsia="Calibri" w:hAnsi="Traditional Arabic" w:hint="cs"/>
          <w:rtl/>
        </w:rPr>
        <w:t>,</w:t>
      </w:r>
      <w:r w:rsidRPr="00C17B7B">
        <w:rPr>
          <w:rFonts w:ascii="Traditional Arabic" w:eastAsia="Calibri" w:hAnsi="Traditional Arabic"/>
          <w:rtl/>
        </w:rPr>
        <w:t xml:space="preserve"> ونماذج منها.</w:t>
      </w:r>
    </w:p>
    <w:p w:rsidR="00D11232" w:rsidRPr="00C17B7B" w:rsidRDefault="00D11232" w:rsidP="00C443D8">
      <w:pPr>
        <w:widowControl/>
        <w:numPr>
          <w:ilvl w:val="0"/>
          <w:numId w:val="5"/>
        </w:numPr>
        <w:spacing w:after="200" w:line="276" w:lineRule="auto"/>
        <w:ind w:left="0" w:firstLine="0"/>
        <w:rPr>
          <w:rFonts w:ascii="Traditional Arabic" w:eastAsia="Calibri" w:hAnsi="Traditional Arabic"/>
          <w:b/>
          <w:bCs/>
          <w:u w:val="single"/>
        </w:rPr>
      </w:pPr>
      <w:r w:rsidRPr="00C17B7B">
        <w:rPr>
          <w:rFonts w:ascii="Traditional Arabic" w:eastAsia="Calibri" w:hAnsi="Traditional Arabic" w:hint="cs"/>
          <w:b/>
          <w:bCs/>
          <w:u w:val="single"/>
          <w:rtl/>
        </w:rPr>
        <w:t>القسم الثاني: النص المحقق:</w:t>
      </w:r>
    </w:p>
    <w:p w:rsidR="00D11232" w:rsidRDefault="00D11232" w:rsidP="001D052E">
      <w:pPr>
        <w:ind w:firstLine="0"/>
        <w:rPr>
          <w:rFonts w:ascii="Traditional Arabic" w:eastAsia="Calibri" w:hAnsi="Traditional Arabic"/>
          <w:rtl/>
        </w:rPr>
      </w:pPr>
      <w:r w:rsidRPr="00C17B7B">
        <w:rPr>
          <w:rFonts w:ascii="Traditional Arabic" w:eastAsia="Calibri" w:hAnsi="Traditional Arabic"/>
          <w:rtl/>
        </w:rPr>
        <w:t xml:space="preserve">من بداية </w:t>
      </w:r>
      <w:r w:rsidRPr="00C17B7B">
        <w:rPr>
          <w:rFonts w:ascii="Traditional Arabic" w:eastAsia="Calibri" w:hAnsi="Traditional Arabic" w:hint="cs"/>
          <w:rtl/>
        </w:rPr>
        <w:t>الآية رقم (</w:t>
      </w:r>
      <w:r w:rsidR="00807B67">
        <w:rPr>
          <w:rFonts w:ascii="Traditional Arabic" w:eastAsia="Calibri" w:hAnsi="Traditional Arabic" w:hint="cs"/>
          <w:rtl/>
        </w:rPr>
        <w:t>59</w:t>
      </w:r>
      <w:r w:rsidRPr="00C17B7B">
        <w:rPr>
          <w:rFonts w:ascii="Traditional Arabic" w:eastAsia="Calibri" w:hAnsi="Traditional Arabic" w:hint="cs"/>
          <w:rtl/>
        </w:rPr>
        <w:t xml:space="preserve">) </w:t>
      </w:r>
      <w:r w:rsidR="00807B67">
        <w:rPr>
          <w:rFonts w:ascii="Traditional Arabic" w:eastAsia="Calibri" w:hAnsi="Traditional Arabic" w:hint="cs"/>
          <w:rtl/>
        </w:rPr>
        <w:t xml:space="preserve">من سورة الإسراء </w:t>
      </w:r>
      <w:r w:rsidRPr="00C17B7B">
        <w:rPr>
          <w:rFonts w:ascii="Traditional Arabic" w:eastAsia="Calibri" w:hAnsi="Traditional Arabic" w:hint="cs"/>
          <w:rtl/>
        </w:rPr>
        <w:t>إلى نهاية الآية رقم (</w:t>
      </w:r>
      <w:r w:rsidR="00807B67">
        <w:rPr>
          <w:rFonts w:ascii="Traditional Arabic" w:eastAsia="Calibri" w:hAnsi="Traditional Arabic" w:hint="cs"/>
          <w:rtl/>
        </w:rPr>
        <w:t>40</w:t>
      </w:r>
      <w:r w:rsidRPr="00C17B7B">
        <w:rPr>
          <w:rFonts w:ascii="Traditional Arabic" w:eastAsia="Calibri" w:hAnsi="Traditional Arabic" w:hint="cs"/>
          <w:rtl/>
        </w:rPr>
        <w:t xml:space="preserve">) من سورة </w:t>
      </w:r>
      <w:r w:rsidR="00807B67">
        <w:rPr>
          <w:rFonts w:ascii="Traditional Arabic" w:eastAsia="Calibri" w:hAnsi="Traditional Arabic" w:hint="cs"/>
          <w:rtl/>
        </w:rPr>
        <w:t>مريم</w:t>
      </w:r>
      <w:r w:rsidRPr="00C17B7B">
        <w:rPr>
          <w:rFonts w:ascii="Traditional Arabic" w:eastAsia="Calibri" w:hAnsi="Traditional Arabic"/>
          <w:rtl/>
        </w:rPr>
        <w:t xml:space="preserve">، وهو </w:t>
      </w:r>
      <w:r w:rsidR="001D052E" w:rsidRPr="00C17B7B">
        <w:rPr>
          <w:rFonts w:ascii="Traditional Arabic" w:eastAsia="Calibri" w:hAnsi="Traditional Arabic" w:hint="cs"/>
          <w:color w:val="auto"/>
          <w:rtl/>
        </w:rPr>
        <w:t>من بداية لوحة رقم (</w:t>
      </w:r>
      <w:r w:rsidR="001D052E">
        <w:rPr>
          <w:rFonts w:ascii="Traditional Arabic" w:eastAsia="Calibri" w:hAnsi="Traditional Arabic" w:hint="cs"/>
          <w:color w:val="auto"/>
          <w:rtl/>
        </w:rPr>
        <w:t>71</w:t>
      </w:r>
      <w:r w:rsidR="001D052E" w:rsidRPr="00C17B7B">
        <w:rPr>
          <w:rFonts w:ascii="Traditional Arabic" w:eastAsia="Calibri" w:hAnsi="Traditional Arabic" w:hint="cs"/>
          <w:color w:val="auto"/>
          <w:rtl/>
        </w:rPr>
        <w:t>أ) إلى اللوحة رقم (</w:t>
      </w:r>
      <w:r w:rsidR="001D052E">
        <w:rPr>
          <w:rFonts w:ascii="Traditional Arabic" w:eastAsia="Calibri" w:hAnsi="Traditional Arabic" w:hint="cs"/>
          <w:color w:val="auto"/>
          <w:rtl/>
        </w:rPr>
        <w:t>174</w:t>
      </w:r>
      <w:r w:rsidR="001D052E" w:rsidRPr="00C17B7B">
        <w:rPr>
          <w:rFonts w:ascii="Traditional Arabic" w:eastAsia="Calibri" w:hAnsi="Traditional Arabic" w:hint="cs"/>
          <w:color w:val="auto"/>
          <w:rtl/>
        </w:rPr>
        <w:t>أ)</w:t>
      </w:r>
      <w:r w:rsidR="001D052E">
        <w:rPr>
          <w:rFonts w:ascii="Traditional Arabic" w:eastAsia="Calibri" w:hAnsi="Traditional Arabic" w:hint="cs"/>
          <w:color w:val="auto"/>
          <w:rtl/>
        </w:rPr>
        <w:t xml:space="preserve"> من </w:t>
      </w:r>
      <w:r w:rsidR="001D052E" w:rsidRPr="00C17B7B">
        <w:rPr>
          <w:rFonts w:ascii="Traditional Arabic" w:eastAsia="Calibri" w:hAnsi="Traditional Arabic" w:hint="cs"/>
          <w:color w:val="auto"/>
          <w:rtl/>
        </w:rPr>
        <w:t>نسخة الخزانة العام</w:t>
      </w:r>
      <w:r w:rsidR="001D052E">
        <w:rPr>
          <w:rFonts w:ascii="Traditional Arabic" w:eastAsia="Calibri" w:hAnsi="Traditional Arabic" w:hint="cs"/>
          <w:color w:val="auto"/>
          <w:rtl/>
        </w:rPr>
        <w:t>ة بالرباط.</w:t>
      </w:r>
    </w:p>
    <w:p w:rsidR="000C36DB" w:rsidRPr="00C17B7B" w:rsidRDefault="000C36DB" w:rsidP="000C36DB">
      <w:pPr>
        <w:ind w:firstLine="0"/>
        <w:rPr>
          <w:rFonts w:ascii="Traditional Arabic" w:eastAsia="Calibri" w:hAnsi="Traditional Arabic"/>
          <w:rtl/>
        </w:rPr>
      </w:pPr>
    </w:p>
    <w:p w:rsidR="000C36DB" w:rsidRDefault="00D11232" w:rsidP="00C443D8">
      <w:pPr>
        <w:widowControl/>
        <w:numPr>
          <w:ilvl w:val="0"/>
          <w:numId w:val="7"/>
        </w:numPr>
        <w:spacing w:after="200" w:line="276" w:lineRule="auto"/>
        <w:ind w:left="850" w:hanging="850"/>
        <w:rPr>
          <w:rFonts w:ascii="Traditional Arabic" w:eastAsia="Calibri" w:hAnsi="Traditional Arabic"/>
        </w:rPr>
      </w:pPr>
      <w:r w:rsidRPr="00C17B7B">
        <w:rPr>
          <w:rFonts w:ascii="Traditional Arabic" w:eastAsia="Calibri" w:hAnsi="Traditional Arabic" w:hint="cs"/>
          <w:b/>
          <w:bCs/>
          <w:u w:val="single"/>
          <w:rtl/>
        </w:rPr>
        <w:t>الفهارس :</w:t>
      </w:r>
    </w:p>
    <w:p w:rsidR="000C36DB" w:rsidRPr="000C36DB" w:rsidRDefault="000C36DB" w:rsidP="00C443D8">
      <w:pPr>
        <w:pStyle w:val="afd"/>
        <w:numPr>
          <w:ilvl w:val="1"/>
          <w:numId w:val="6"/>
        </w:numPr>
        <w:spacing w:after="200" w:line="276" w:lineRule="auto"/>
        <w:rPr>
          <w:rFonts w:ascii="Traditional Arabic" w:eastAsia="Calibri" w:hAnsi="Traditional Arabic" w:cs="Traditional Arabic"/>
          <w:sz w:val="36"/>
          <w:szCs w:val="36"/>
          <w:rtl/>
        </w:rPr>
      </w:pPr>
      <w:r w:rsidRPr="000C36DB">
        <w:rPr>
          <w:rFonts w:ascii="Traditional Arabic" w:eastAsia="Calibri" w:hAnsi="Traditional Arabic" w:cs="Traditional Arabic"/>
          <w:sz w:val="36"/>
          <w:szCs w:val="36"/>
          <w:rtl/>
        </w:rPr>
        <w:t>فهرس الآيات القرآنية المستشهد بها.</w:t>
      </w:r>
    </w:p>
    <w:p w:rsidR="000C36DB" w:rsidRPr="000C36DB" w:rsidRDefault="000C36DB" w:rsidP="00C443D8">
      <w:pPr>
        <w:pStyle w:val="afd"/>
        <w:numPr>
          <w:ilvl w:val="1"/>
          <w:numId w:val="6"/>
        </w:numPr>
        <w:spacing w:after="200" w:line="276" w:lineRule="auto"/>
        <w:rPr>
          <w:rFonts w:ascii="Traditional Arabic" w:eastAsia="Calibri" w:hAnsi="Traditional Arabic" w:cs="Traditional Arabic"/>
          <w:sz w:val="36"/>
          <w:szCs w:val="36"/>
        </w:rPr>
      </w:pPr>
      <w:r w:rsidRPr="000C36DB">
        <w:rPr>
          <w:rFonts w:ascii="Traditional Arabic" w:eastAsia="Calibri" w:hAnsi="Traditional Arabic" w:cs="Traditional Arabic"/>
          <w:sz w:val="36"/>
          <w:szCs w:val="36"/>
          <w:rtl/>
        </w:rPr>
        <w:t>فهرس الأحاديث النبوية</w:t>
      </w:r>
      <w:r w:rsidR="008B2740">
        <w:rPr>
          <w:rFonts w:ascii="Traditional Arabic" w:eastAsia="Calibri" w:hAnsi="Traditional Arabic" w:cs="Traditional Arabic" w:hint="cs"/>
          <w:sz w:val="36"/>
          <w:szCs w:val="36"/>
          <w:rtl/>
        </w:rPr>
        <w:t>.</w:t>
      </w:r>
    </w:p>
    <w:p w:rsidR="000C36DB" w:rsidRPr="000C36DB" w:rsidRDefault="000C36DB" w:rsidP="00C443D8">
      <w:pPr>
        <w:pStyle w:val="afd"/>
        <w:numPr>
          <w:ilvl w:val="1"/>
          <w:numId w:val="6"/>
        </w:numPr>
        <w:rPr>
          <w:rFonts w:ascii="Traditional Arabic" w:eastAsia="Calibri" w:hAnsi="Traditional Arabic" w:cs="Traditional Arabic"/>
          <w:sz w:val="36"/>
          <w:szCs w:val="36"/>
          <w:rtl/>
        </w:rPr>
      </w:pPr>
      <w:r w:rsidRPr="000C36DB">
        <w:rPr>
          <w:rFonts w:ascii="Traditional Arabic" w:eastAsia="Calibri" w:hAnsi="Traditional Arabic" w:cs="Traditional Arabic"/>
          <w:sz w:val="36"/>
          <w:szCs w:val="36"/>
          <w:rtl/>
        </w:rPr>
        <w:t>فهرس الآثار.</w:t>
      </w:r>
    </w:p>
    <w:p w:rsidR="000C36DB" w:rsidRPr="000C36DB" w:rsidRDefault="008B2740" w:rsidP="00C443D8">
      <w:pPr>
        <w:pStyle w:val="afd"/>
        <w:numPr>
          <w:ilvl w:val="1"/>
          <w:numId w:val="6"/>
        </w:numPr>
        <w:rPr>
          <w:rFonts w:ascii="Traditional Arabic" w:eastAsia="Calibri" w:hAnsi="Traditional Arabic" w:cs="Traditional Arabic"/>
          <w:sz w:val="36"/>
          <w:szCs w:val="36"/>
          <w:rtl/>
        </w:rPr>
      </w:pPr>
      <w:r>
        <w:rPr>
          <w:rFonts w:ascii="Traditional Arabic" w:eastAsia="Calibri" w:hAnsi="Traditional Arabic" w:cs="Traditional Arabic"/>
          <w:sz w:val="36"/>
          <w:szCs w:val="36"/>
          <w:rtl/>
        </w:rPr>
        <w:t>فهرس الأشعار</w:t>
      </w:r>
      <w:r w:rsidR="000C36DB" w:rsidRPr="000C36DB">
        <w:rPr>
          <w:rFonts w:ascii="Traditional Arabic" w:eastAsia="Calibri" w:hAnsi="Traditional Arabic" w:cs="Traditional Arabic"/>
          <w:sz w:val="36"/>
          <w:szCs w:val="36"/>
          <w:rtl/>
        </w:rPr>
        <w:t>.</w:t>
      </w:r>
    </w:p>
    <w:p w:rsidR="000C36DB" w:rsidRPr="000C36DB" w:rsidRDefault="000C36DB" w:rsidP="00C443D8">
      <w:pPr>
        <w:pStyle w:val="afd"/>
        <w:numPr>
          <w:ilvl w:val="1"/>
          <w:numId w:val="6"/>
        </w:numPr>
        <w:rPr>
          <w:rFonts w:ascii="Traditional Arabic" w:eastAsia="Calibri" w:hAnsi="Traditional Arabic" w:cs="Traditional Arabic"/>
          <w:sz w:val="36"/>
          <w:szCs w:val="36"/>
          <w:rtl/>
        </w:rPr>
      </w:pPr>
      <w:r w:rsidRPr="000C36DB">
        <w:rPr>
          <w:rFonts w:ascii="Traditional Arabic" w:eastAsia="Calibri" w:hAnsi="Traditional Arabic" w:cs="Traditional Arabic"/>
          <w:sz w:val="36"/>
          <w:szCs w:val="36"/>
          <w:rtl/>
        </w:rPr>
        <w:t>فهرس الأعلام المترجم لهم.</w:t>
      </w:r>
    </w:p>
    <w:p w:rsidR="000C36DB" w:rsidRPr="000C36DB" w:rsidRDefault="000C36DB" w:rsidP="00C443D8">
      <w:pPr>
        <w:pStyle w:val="afd"/>
        <w:numPr>
          <w:ilvl w:val="1"/>
          <w:numId w:val="6"/>
        </w:numPr>
        <w:rPr>
          <w:rFonts w:ascii="Traditional Arabic" w:eastAsia="Calibri" w:hAnsi="Traditional Arabic" w:cs="Traditional Arabic"/>
          <w:sz w:val="36"/>
          <w:szCs w:val="36"/>
          <w:rtl/>
        </w:rPr>
      </w:pPr>
      <w:r w:rsidRPr="000C36DB">
        <w:rPr>
          <w:rFonts w:ascii="Traditional Arabic" w:eastAsia="Calibri" w:hAnsi="Traditional Arabic" w:cs="Traditional Arabic"/>
          <w:sz w:val="36"/>
          <w:szCs w:val="36"/>
          <w:rtl/>
        </w:rPr>
        <w:t>فهرس الأماكن والبلدان.</w:t>
      </w:r>
    </w:p>
    <w:p w:rsidR="000C36DB" w:rsidRPr="000C36DB" w:rsidRDefault="000C36DB" w:rsidP="00C443D8">
      <w:pPr>
        <w:pStyle w:val="afd"/>
        <w:numPr>
          <w:ilvl w:val="1"/>
          <w:numId w:val="6"/>
        </w:numPr>
        <w:rPr>
          <w:rFonts w:ascii="Traditional Arabic" w:eastAsia="Calibri" w:hAnsi="Traditional Arabic" w:cs="Traditional Arabic"/>
          <w:sz w:val="36"/>
          <w:szCs w:val="36"/>
          <w:rtl/>
        </w:rPr>
      </w:pPr>
      <w:r w:rsidRPr="000C36DB">
        <w:rPr>
          <w:rFonts w:ascii="Traditional Arabic" w:eastAsia="Calibri" w:hAnsi="Traditional Arabic" w:cs="Traditional Arabic"/>
          <w:sz w:val="36"/>
          <w:szCs w:val="36"/>
          <w:rtl/>
        </w:rPr>
        <w:t>فهرس المصادر والمراجع.</w:t>
      </w:r>
    </w:p>
    <w:p w:rsidR="000C36DB" w:rsidRPr="005D6809" w:rsidRDefault="000C36DB" w:rsidP="005D6809">
      <w:pPr>
        <w:pStyle w:val="afd"/>
        <w:numPr>
          <w:ilvl w:val="1"/>
          <w:numId w:val="6"/>
        </w:numPr>
        <w:rPr>
          <w:rFonts w:ascii="Traditional Arabic" w:eastAsia="Calibri" w:hAnsi="Traditional Arabic" w:cs="Traditional Arabic"/>
          <w:sz w:val="36"/>
          <w:szCs w:val="36"/>
          <w:rtl/>
        </w:rPr>
      </w:pPr>
      <w:r w:rsidRPr="000C36DB">
        <w:rPr>
          <w:rFonts w:ascii="Traditional Arabic" w:eastAsia="Calibri" w:hAnsi="Traditional Arabic" w:cs="Traditional Arabic"/>
          <w:sz w:val="36"/>
          <w:szCs w:val="36"/>
          <w:rtl/>
        </w:rPr>
        <w:t>فهرس الموضوعات.</w:t>
      </w:r>
    </w:p>
    <w:p w:rsidR="00D11232" w:rsidRPr="00C17B7B" w:rsidRDefault="00D11232" w:rsidP="000C36DB">
      <w:pPr>
        <w:spacing w:after="200" w:line="276" w:lineRule="auto"/>
        <w:ind w:firstLine="0"/>
        <w:rPr>
          <w:rFonts w:ascii="Traditional Arabic" w:eastAsia="Calibri" w:hAnsi="Traditional Arabic"/>
          <w:b/>
          <w:bCs/>
          <w:u w:val="single"/>
          <w:rtl/>
        </w:rPr>
      </w:pPr>
      <w:r w:rsidRPr="00C17B7B">
        <w:rPr>
          <w:rFonts w:ascii="Traditional Arabic" w:eastAsia="Calibri" w:hAnsi="Traditional Arabic"/>
          <w:b/>
          <w:bCs/>
          <w:u w:val="single"/>
          <w:rtl/>
        </w:rPr>
        <w:lastRenderedPageBreak/>
        <w:t>منهج التحقيق</w:t>
      </w:r>
      <w:r w:rsidRPr="00C17B7B">
        <w:rPr>
          <w:rFonts w:ascii="Traditional Arabic" w:eastAsia="Calibri" w:hAnsi="Traditional Arabic" w:hint="cs"/>
          <w:b/>
          <w:bCs/>
          <w:u w:val="single"/>
          <w:rtl/>
        </w:rPr>
        <w:t>:</w:t>
      </w:r>
    </w:p>
    <w:p w:rsidR="000C36DB" w:rsidRDefault="00D11232" w:rsidP="00995EC9">
      <w:pPr>
        <w:spacing w:after="200" w:line="276" w:lineRule="auto"/>
        <w:ind w:firstLine="0"/>
        <w:rPr>
          <w:rFonts w:ascii="Traditional Arabic" w:eastAsia="Calibri" w:hAnsi="Traditional Arabic"/>
          <w:rtl/>
        </w:rPr>
      </w:pPr>
      <w:r w:rsidRPr="00C17B7B">
        <w:rPr>
          <w:rFonts w:ascii="Traditional Arabic" w:eastAsia="Calibri" w:hAnsi="Traditional Arabic"/>
          <w:rtl/>
        </w:rPr>
        <w:t xml:space="preserve">يتلخص المنهج الذي </w:t>
      </w:r>
      <w:r w:rsidR="00995EC9">
        <w:rPr>
          <w:rFonts w:ascii="Traditional Arabic" w:eastAsia="Calibri" w:hAnsi="Traditional Arabic" w:hint="cs"/>
          <w:rtl/>
        </w:rPr>
        <w:t>اتبعته</w:t>
      </w:r>
      <w:r w:rsidR="000C36DB">
        <w:rPr>
          <w:rFonts w:ascii="Traditional Arabic" w:eastAsia="Calibri" w:hAnsi="Traditional Arabic" w:hint="cs"/>
          <w:rtl/>
        </w:rPr>
        <w:t xml:space="preserve"> </w:t>
      </w:r>
      <w:r w:rsidRPr="00C17B7B">
        <w:rPr>
          <w:rFonts w:ascii="Traditional Arabic" w:eastAsia="Calibri" w:hAnsi="Traditional Arabic"/>
          <w:rtl/>
        </w:rPr>
        <w:t>في النقاط التالية:</w:t>
      </w:r>
    </w:p>
    <w:p w:rsidR="000C36DB" w:rsidRPr="000C36DB" w:rsidRDefault="000C36DB" w:rsidP="00C443D8">
      <w:pPr>
        <w:numPr>
          <w:ilvl w:val="0"/>
          <w:numId w:val="7"/>
        </w:numPr>
        <w:spacing w:after="200" w:line="276" w:lineRule="auto"/>
        <w:rPr>
          <w:rFonts w:ascii="Traditional Arabic" w:eastAsia="Calibri" w:hAnsi="Traditional Arabic"/>
        </w:rPr>
      </w:pPr>
      <w:r w:rsidRPr="000C36DB">
        <w:rPr>
          <w:rFonts w:ascii="Traditional Arabic" w:eastAsia="Calibri" w:hAnsi="Traditional Arabic"/>
          <w:rtl/>
        </w:rPr>
        <w:t>اختيار النسخة الأم</w:t>
      </w:r>
      <w:r w:rsidRPr="000C36DB">
        <w:rPr>
          <w:rFonts w:ascii="Traditional Arabic" w:eastAsia="Calibri" w:hAnsi="Traditional Arabic" w:hint="cs"/>
          <w:rtl/>
        </w:rPr>
        <w:t xml:space="preserve"> </w:t>
      </w:r>
      <w:r w:rsidRPr="000C36DB">
        <w:rPr>
          <w:rFonts w:ascii="Traditional Arabic" w:eastAsia="Calibri" w:hAnsi="Traditional Arabic"/>
          <w:rtl/>
        </w:rPr>
        <w:t>من بين النسخ</w:t>
      </w:r>
      <w:r w:rsidRPr="000C36DB">
        <w:rPr>
          <w:rFonts w:ascii="Traditional Arabic" w:eastAsia="Calibri" w:hAnsi="Traditional Arabic" w:hint="cs"/>
          <w:rtl/>
        </w:rPr>
        <w:t xml:space="preserve"> </w:t>
      </w:r>
      <w:r w:rsidRPr="000C36DB">
        <w:rPr>
          <w:rFonts w:ascii="Traditional Arabic" w:eastAsia="Calibri" w:hAnsi="Traditional Arabic"/>
          <w:rtl/>
        </w:rPr>
        <w:t>المتوفرة و</w:t>
      </w:r>
      <w:r w:rsidRPr="000C36DB">
        <w:rPr>
          <w:rFonts w:ascii="Traditional Arabic" w:eastAsia="Calibri" w:hAnsi="Traditional Arabic" w:hint="cs"/>
          <w:rtl/>
        </w:rPr>
        <w:t>ا</w:t>
      </w:r>
      <w:r w:rsidRPr="000C36DB">
        <w:rPr>
          <w:rFonts w:ascii="Traditional Arabic" w:eastAsia="Calibri" w:hAnsi="Traditional Arabic"/>
          <w:rtl/>
        </w:rPr>
        <w:t>عتم</w:t>
      </w:r>
      <w:r w:rsidRPr="000C36DB">
        <w:rPr>
          <w:rFonts w:ascii="Traditional Arabic" w:eastAsia="Calibri" w:hAnsi="Traditional Arabic" w:hint="cs"/>
          <w:rtl/>
        </w:rPr>
        <w:t>اد</w:t>
      </w:r>
      <w:r w:rsidRPr="000C36DB">
        <w:rPr>
          <w:rFonts w:ascii="Traditional Arabic" w:eastAsia="Calibri" w:hAnsi="Traditional Arabic"/>
          <w:rtl/>
        </w:rPr>
        <w:t>ها</w:t>
      </w:r>
      <w:r w:rsidRPr="000C36DB">
        <w:rPr>
          <w:rFonts w:ascii="Traditional Arabic" w:eastAsia="Calibri" w:hAnsi="Traditional Arabic" w:hint="cs"/>
          <w:rtl/>
        </w:rPr>
        <w:t xml:space="preserve"> أصلا</w:t>
      </w:r>
      <w:r w:rsidRPr="000C36DB">
        <w:rPr>
          <w:rFonts w:ascii="Traditional Arabic" w:eastAsia="Calibri" w:hAnsi="Traditional Arabic"/>
          <w:rtl/>
        </w:rPr>
        <w:t xml:space="preserve"> لبقية النسخ.</w:t>
      </w:r>
    </w:p>
    <w:p w:rsidR="00D11232" w:rsidRPr="00C17B7B" w:rsidRDefault="00D11232" w:rsidP="00C443D8">
      <w:pPr>
        <w:widowControl/>
        <w:numPr>
          <w:ilvl w:val="0"/>
          <w:numId w:val="7"/>
        </w:numPr>
        <w:spacing w:after="200" w:line="276" w:lineRule="auto"/>
        <w:rPr>
          <w:rFonts w:ascii="Traditional Arabic" w:eastAsia="Calibri" w:hAnsi="Traditional Arabic"/>
        </w:rPr>
      </w:pPr>
      <w:r w:rsidRPr="00C17B7B">
        <w:rPr>
          <w:rFonts w:ascii="Traditional Arabic" w:eastAsia="Calibri" w:hAnsi="Traditional Arabic"/>
          <w:rtl/>
        </w:rPr>
        <w:t xml:space="preserve">نسخ </w:t>
      </w:r>
      <w:r w:rsidRPr="00C17B7B">
        <w:rPr>
          <w:rFonts w:ascii="Traditional Arabic" w:eastAsia="Calibri" w:hAnsi="Traditional Arabic" w:hint="cs"/>
          <w:rtl/>
        </w:rPr>
        <w:t>القسم المراد تحقيقه</w:t>
      </w:r>
      <w:r w:rsidRPr="00C17B7B">
        <w:rPr>
          <w:rFonts w:ascii="Traditional Arabic" w:eastAsia="Calibri" w:hAnsi="Traditional Arabic"/>
          <w:rtl/>
        </w:rPr>
        <w:t xml:space="preserve"> حسب القواعد الإملائية </w:t>
      </w:r>
      <w:r w:rsidRPr="00C17B7B">
        <w:rPr>
          <w:rFonts w:ascii="Traditional Arabic" w:eastAsia="Calibri" w:hAnsi="Traditional Arabic" w:hint="cs"/>
          <w:rtl/>
        </w:rPr>
        <w:t>الحديثة.</w:t>
      </w:r>
    </w:p>
    <w:p w:rsidR="00D11232" w:rsidRPr="00C17B7B" w:rsidRDefault="00D11232" w:rsidP="00C443D8">
      <w:pPr>
        <w:widowControl/>
        <w:numPr>
          <w:ilvl w:val="0"/>
          <w:numId w:val="7"/>
        </w:numPr>
        <w:spacing w:after="200" w:line="276" w:lineRule="auto"/>
        <w:rPr>
          <w:rFonts w:ascii="Traditional Arabic" w:eastAsia="Calibri" w:hAnsi="Traditional Arabic"/>
        </w:rPr>
      </w:pPr>
      <w:r w:rsidRPr="00C17B7B">
        <w:rPr>
          <w:rFonts w:ascii="Traditional Arabic" w:eastAsia="Calibri" w:hAnsi="Traditional Arabic"/>
          <w:rtl/>
        </w:rPr>
        <w:t>إثبات الفروق ب</w:t>
      </w:r>
      <w:r w:rsidR="00995EC9">
        <w:rPr>
          <w:rFonts w:ascii="Traditional Arabic" w:eastAsia="Calibri" w:hAnsi="Traditional Arabic"/>
          <w:rtl/>
        </w:rPr>
        <w:t>ين الأصل والنسخ الأخرى في ال</w:t>
      </w:r>
      <w:r w:rsidR="00995EC9">
        <w:rPr>
          <w:rFonts w:ascii="Traditional Arabic" w:eastAsia="Calibri" w:hAnsi="Traditional Arabic" w:hint="cs"/>
          <w:rtl/>
        </w:rPr>
        <w:t>حاشية</w:t>
      </w:r>
      <w:r w:rsidRPr="00C17B7B">
        <w:rPr>
          <w:rFonts w:ascii="Traditional Arabic" w:eastAsia="Calibri" w:hAnsi="Traditional Arabic"/>
          <w:rtl/>
        </w:rPr>
        <w:t xml:space="preserve">، ولا أتصرف في الأصل، إلا إذا كان فيه خطأ ظاهر فإني أثبت ما أراه صواباً </w:t>
      </w:r>
      <w:r w:rsidRPr="00C17B7B">
        <w:rPr>
          <w:rFonts w:ascii="Traditional Arabic" w:eastAsia="Calibri" w:hAnsi="Traditional Arabic" w:hint="cs"/>
          <w:rtl/>
        </w:rPr>
        <w:t xml:space="preserve">بين معقوفتين </w:t>
      </w:r>
      <w:r w:rsidRPr="00C17B7B">
        <w:rPr>
          <w:rFonts w:ascii="Traditional Arabic" w:eastAsia="Calibri" w:hAnsi="Traditional Arabic"/>
          <w:rtl/>
        </w:rPr>
        <w:t>مما في النسخ الأخرى أ</w:t>
      </w:r>
      <w:r w:rsidR="00995EC9">
        <w:rPr>
          <w:rFonts w:ascii="Traditional Arabic" w:eastAsia="Calibri" w:hAnsi="Traditional Arabic"/>
          <w:rtl/>
        </w:rPr>
        <w:t>و بعضها، وأشير إلى ذلك في ال</w:t>
      </w:r>
      <w:r w:rsidR="00995EC9">
        <w:rPr>
          <w:rFonts w:ascii="Traditional Arabic" w:eastAsia="Calibri" w:hAnsi="Traditional Arabic" w:hint="cs"/>
          <w:rtl/>
        </w:rPr>
        <w:t>حاشية</w:t>
      </w:r>
      <w:r w:rsidRPr="00C17B7B">
        <w:rPr>
          <w:rFonts w:ascii="Traditional Arabic" w:eastAsia="Calibri" w:hAnsi="Traditional Arabic"/>
          <w:rtl/>
        </w:rPr>
        <w:t>.</w:t>
      </w:r>
    </w:p>
    <w:p w:rsidR="00D11232" w:rsidRPr="00C17B7B" w:rsidRDefault="00D11232" w:rsidP="00C443D8">
      <w:pPr>
        <w:widowControl/>
        <w:numPr>
          <w:ilvl w:val="0"/>
          <w:numId w:val="7"/>
        </w:numPr>
        <w:spacing w:after="200" w:line="276" w:lineRule="auto"/>
        <w:rPr>
          <w:rFonts w:ascii="Traditional Arabic" w:eastAsia="Calibri" w:hAnsi="Traditional Arabic"/>
        </w:rPr>
      </w:pPr>
      <w:r w:rsidRPr="00C17B7B">
        <w:rPr>
          <w:rFonts w:ascii="Traditional Arabic" w:eastAsia="Calibri" w:hAnsi="Traditional Arabic"/>
          <w:rtl/>
        </w:rPr>
        <w:t>كتابة الآيات القرآنية بالرسم العثماني،</w:t>
      </w:r>
      <w:r w:rsidR="00856E14">
        <w:rPr>
          <w:rFonts w:ascii="Traditional Arabic" w:eastAsia="Calibri" w:hAnsi="Traditional Arabic" w:hint="cs"/>
          <w:rtl/>
        </w:rPr>
        <w:t xml:space="preserve"> </w:t>
      </w:r>
      <w:r w:rsidRPr="00C17B7B">
        <w:rPr>
          <w:rFonts w:ascii="Traditional Arabic" w:eastAsia="Calibri" w:hAnsi="Traditional Arabic"/>
          <w:rtl/>
        </w:rPr>
        <w:t xml:space="preserve">وعزوها بذكر اسم السورة ورقم الآية </w:t>
      </w:r>
      <w:r w:rsidRPr="00C17B7B">
        <w:rPr>
          <w:rFonts w:ascii="Traditional Arabic" w:eastAsia="Calibri" w:hAnsi="Traditional Arabic" w:hint="cs"/>
          <w:rtl/>
        </w:rPr>
        <w:t>داخل النص.</w:t>
      </w:r>
    </w:p>
    <w:p w:rsidR="00D11232" w:rsidRPr="00C17B7B" w:rsidRDefault="00D11232" w:rsidP="00C443D8">
      <w:pPr>
        <w:widowControl/>
        <w:numPr>
          <w:ilvl w:val="0"/>
          <w:numId w:val="7"/>
        </w:numPr>
        <w:spacing w:after="200" w:line="276" w:lineRule="auto"/>
        <w:rPr>
          <w:rFonts w:ascii="Traditional Arabic" w:eastAsia="Calibri" w:hAnsi="Traditional Arabic"/>
        </w:rPr>
      </w:pPr>
      <w:r w:rsidRPr="00C17B7B">
        <w:rPr>
          <w:rFonts w:ascii="Traditional Arabic" w:eastAsia="Calibri" w:hAnsi="Traditional Arabic" w:hint="cs"/>
          <w:rtl/>
        </w:rPr>
        <w:t>عزو القراءات المتوا</w:t>
      </w:r>
      <w:r w:rsidR="00995EC9">
        <w:rPr>
          <w:rFonts w:ascii="Traditional Arabic" w:eastAsia="Calibri" w:hAnsi="Traditional Arabic" w:hint="cs"/>
          <w:rtl/>
        </w:rPr>
        <w:t>ترة والشاذة إلى مصادرها الأصيل</w:t>
      </w:r>
      <w:r>
        <w:rPr>
          <w:rFonts w:ascii="Traditional Arabic" w:eastAsia="Calibri" w:hAnsi="Traditional Arabic" w:hint="cs"/>
          <w:rtl/>
        </w:rPr>
        <w:t>ة</w:t>
      </w:r>
      <w:r w:rsidRPr="00C17B7B">
        <w:rPr>
          <w:rFonts w:ascii="Traditional Arabic" w:eastAsia="Calibri" w:hAnsi="Traditional Arabic" w:hint="cs"/>
          <w:rtl/>
        </w:rPr>
        <w:t>.</w:t>
      </w:r>
    </w:p>
    <w:p w:rsidR="00D11232" w:rsidRPr="00C17B7B" w:rsidRDefault="00D11232" w:rsidP="00C443D8">
      <w:pPr>
        <w:widowControl/>
        <w:numPr>
          <w:ilvl w:val="0"/>
          <w:numId w:val="7"/>
        </w:numPr>
        <w:spacing w:after="200" w:line="276" w:lineRule="auto"/>
        <w:rPr>
          <w:rFonts w:ascii="Traditional Arabic" w:eastAsia="Calibri" w:hAnsi="Traditional Arabic"/>
        </w:rPr>
      </w:pPr>
      <w:r w:rsidRPr="00C17B7B">
        <w:rPr>
          <w:rFonts w:ascii="Traditional Arabic" w:eastAsia="Calibri" w:hAnsi="Traditional Arabic" w:hint="cs"/>
          <w:rtl/>
        </w:rPr>
        <w:t>عزو</w:t>
      </w:r>
      <w:r w:rsidRPr="00C17B7B">
        <w:rPr>
          <w:rFonts w:ascii="Traditional Arabic" w:eastAsia="Calibri" w:hAnsi="Traditional Arabic"/>
          <w:rtl/>
        </w:rPr>
        <w:t xml:space="preserve"> ال</w:t>
      </w:r>
      <w:r w:rsidRPr="00C17B7B">
        <w:rPr>
          <w:rFonts w:ascii="Traditional Arabic" w:eastAsia="Calibri" w:hAnsi="Traditional Arabic" w:hint="cs"/>
          <w:rtl/>
        </w:rPr>
        <w:t>أ</w:t>
      </w:r>
      <w:r w:rsidRPr="00C17B7B">
        <w:rPr>
          <w:rFonts w:ascii="Traditional Arabic" w:eastAsia="Calibri" w:hAnsi="Traditional Arabic"/>
          <w:rtl/>
        </w:rPr>
        <w:t xml:space="preserve">حاديث </w:t>
      </w:r>
      <w:r w:rsidRPr="00C17B7B">
        <w:rPr>
          <w:rFonts w:ascii="Traditional Arabic" w:eastAsia="Calibri" w:hAnsi="Traditional Arabic" w:hint="cs"/>
          <w:rtl/>
        </w:rPr>
        <w:t>إلى مصادرها، فما</w:t>
      </w:r>
      <w:r w:rsidRPr="00C17B7B">
        <w:rPr>
          <w:rFonts w:ascii="Traditional Arabic" w:eastAsia="Calibri" w:hAnsi="Traditional Arabic"/>
          <w:rtl/>
        </w:rPr>
        <w:t xml:space="preserve"> كان </w:t>
      </w:r>
      <w:r w:rsidRPr="00C17B7B">
        <w:rPr>
          <w:rFonts w:ascii="Traditional Arabic" w:eastAsia="Calibri" w:hAnsi="Traditional Arabic" w:hint="cs"/>
          <w:rtl/>
        </w:rPr>
        <w:t xml:space="preserve">منها </w:t>
      </w:r>
      <w:r w:rsidRPr="00C17B7B">
        <w:rPr>
          <w:rFonts w:ascii="Traditional Arabic" w:eastAsia="Calibri" w:hAnsi="Traditional Arabic"/>
          <w:rtl/>
        </w:rPr>
        <w:t xml:space="preserve">في الصحيحين أو أحدهما </w:t>
      </w:r>
      <w:r w:rsidRPr="00C17B7B">
        <w:rPr>
          <w:rFonts w:ascii="Traditional Arabic" w:eastAsia="Calibri" w:hAnsi="Traditional Arabic" w:hint="cs"/>
          <w:rtl/>
        </w:rPr>
        <w:t>أ</w:t>
      </w:r>
      <w:r w:rsidRPr="00C17B7B">
        <w:rPr>
          <w:rFonts w:ascii="Traditional Arabic" w:eastAsia="Calibri" w:hAnsi="Traditional Arabic"/>
          <w:rtl/>
        </w:rPr>
        <w:t xml:space="preserve">كتفي </w:t>
      </w:r>
      <w:r w:rsidRPr="00C17B7B">
        <w:rPr>
          <w:rFonts w:ascii="Traditional Arabic" w:eastAsia="Calibri" w:hAnsi="Traditional Arabic" w:hint="cs"/>
          <w:rtl/>
        </w:rPr>
        <w:t>بعزوه إليهما</w:t>
      </w:r>
      <w:r w:rsidRPr="00C17B7B">
        <w:rPr>
          <w:rFonts w:ascii="Traditional Arabic" w:eastAsia="Calibri" w:hAnsi="Traditional Arabic"/>
          <w:rtl/>
        </w:rPr>
        <w:t xml:space="preserve">، </w:t>
      </w:r>
      <w:r w:rsidRPr="00C17B7B">
        <w:rPr>
          <w:rFonts w:ascii="Traditional Arabic" w:eastAsia="Calibri" w:hAnsi="Traditional Arabic" w:hint="cs"/>
          <w:rtl/>
        </w:rPr>
        <w:t>وإلا عزوته إلى كتب الحديث كالسنن والمسانيد والمعاجم، مع ذكر كلام أهل العلم في بيان درجة الحديث.</w:t>
      </w:r>
    </w:p>
    <w:p w:rsidR="00D11232" w:rsidRPr="00C17B7B" w:rsidRDefault="00D11232" w:rsidP="00C443D8">
      <w:pPr>
        <w:widowControl/>
        <w:numPr>
          <w:ilvl w:val="0"/>
          <w:numId w:val="7"/>
        </w:numPr>
        <w:spacing w:after="200" w:line="276" w:lineRule="auto"/>
        <w:rPr>
          <w:rFonts w:ascii="Traditional Arabic" w:eastAsia="Calibri" w:hAnsi="Traditional Arabic"/>
        </w:rPr>
      </w:pPr>
      <w:r w:rsidRPr="00C17B7B">
        <w:rPr>
          <w:rFonts w:ascii="Traditional Arabic" w:eastAsia="Calibri" w:hAnsi="Traditional Arabic" w:hint="cs"/>
          <w:rtl/>
        </w:rPr>
        <w:t>عزو الآثار إل</w:t>
      </w:r>
      <w:r>
        <w:rPr>
          <w:rFonts w:ascii="Traditional Arabic" w:eastAsia="Calibri" w:hAnsi="Traditional Arabic" w:hint="cs"/>
          <w:rtl/>
        </w:rPr>
        <w:t>ى مصادرها</w:t>
      </w:r>
      <w:r w:rsidRPr="00C17B7B">
        <w:rPr>
          <w:rFonts w:ascii="Traditional Arabic" w:eastAsia="Calibri" w:hAnsi="Traditional Arabic" w:hint="cs"/>
          <w:rtl/>
        </w:rPr>
        <w:t>.</w:t>
      </w:r>
    </w:p>
    <w:p w:rsidR="00D11232" w:rsidRPr="00C17B7B" w:rsidRDefault="00D11232" w:rsidP="00C443D8">
      <w:pPr>
        <w:widowControl/>
        <w:numPr>
          <w:ilvl w:val="0"/>
          <w:numId w:val="7"/>
        </w:numPr>
        <w:spacing w:after="200" w:line="276" w:lineRule="auto"/>
        <w:rPr>
          <w:rFonts w:ascii="Traditional Arabic" w:eastAsia="Calibri" w:hAnsi="Traditional Arabic"/>
        </w:rPr>
      </w:pPr>
      <w:r w:rsidRPr="00C17B7B">
        <w:rPr>
          <w:rFonts w:ascii="Traditional Arabic" w:eastAsia="Calibri" w:hAnsi="Traditional Arabic"/>
          <w:rtl/>
        </w:rPr>
        <w:t>توثيق ما ينقله عن أهل العلم من كتبهم المطبوعة، فإن لم يكن للمنقول عنه كتاب فمن الكتب المعتمدة في ذلك الفن.</w:t>
      </w:r>
    </w:p>
    <w:p w:rsidR="00D11232" w:rsidRPr="00C17B7B" w:rsidRDefault="00D11232" w:rsidP="00C443D8">
      <w:pPr>
        <w:widowControl/>
        <w:numPr>
          <w:ilvl w:val="0"/>
          <w:numId w:val="7"/>
        </w:numPr>
        <w:spacing w:after="200" w:line="276" w:lineRule="auto"/>
        <w:rPr>
          <w:rFonts w:ascii="Traditional Arabic" w:eastAsia="Calibri" w:hAnsi="Traditional Arabic"/>
        </w:rPr>
      </w:pPr>
      <w:r w:rsidRPr="00C17B7B">
        <w:rPr>
          <w:rFonts w:ascii="Traditional Arabic" w:eastAsia="Calibri" w:hAnsi="Traditional Arabic"/>
          <w:rtl/>
        </w:rPr>
        <w:t>توثيق الشواهد الشعرية من مصادرها، ونسبتها إلى قائليها.</w:t>
      </w:r>
    </w:p>
    <w:p w:rsidR="00D11232" w:rsidRPr="00C17B7B" w:rsidRDefault="00D11232" w:rsidP="00B66C86">
      <w:pPr>
        <w:widowControl/>
        <w:numPr>
          <w:ilvl w:val="0"/>
          <w:numId w:val="7"/>
        </w:numPr>
        <w:spacing w:after="200" w:line="276" w:lineRule="auto"/>
        <w:rPr>
          <w:rFonts w:ascii="Traditional Arabic" w:eastAsia="Calibri" w:hAnsi="Traditional Arabic"/>
        </w:rPr>
      </w:pPr>
      <w:r w:rsidRPr="00C17B7B">
        <w:rPr>
          <w:rFonts w:ascii="Traditional Arabic" w:eastAsia="Calibri" w:hAnsi="Traditional Arabic"/>
          <w:rtl/>
        </w:rPr>
        <w:t>الترجمة</w:t>
      </w:r>
      <w:r w:rsidRPr="00C17B7B">
        <w:rPr>
          <w:rFonts w:ascii="Traditional Arabic" w:eastAsia="Calibri" w:hAnsi="Traditional Arabic" w:hint="cs"/>
          <w:rtl/>
        </w:rPr>
        <w:t xml:space="preserve"> الموجزة</w:t>
      </w:r>
      <w:r w:rsidRPr="00C17B7B">
        <w:rPr>
          <w:rFonts w:ascii="Traditional Arabic" w:eastAsia="Calibri" w:hAnsi="Traditional Arabic"/>
          <w:rtl/>
        </w:rPr>
        <w:t xml:space="preserve"> للأعلام.</w:t>
      </w:r>
    </w:p>
    <w:p w:rsidR="00D11232" w:rsidRPr="00C17B7B" w:rsidRDefault="00D11232" w:rsidP="00C443D8">
      <w:pPr>
        <w:widowControl/>
        <w:numPr>
          <w:ilvl w:val="0"/>
          <w:numId w:val="7"/>
        </w:numPr>
        <w:spacing w:after="200" w:line="276" w:lineRule="auto"/>
        <w:rPr>
          <w:rFonts w:ascii="Traditional Arabic" w:eastAsia="Calibri" w:hAnsi="Traditional Arabic"/>
        </w:rPr>
      </w:pPr>
      <w:r w:rsidRPr="00C17B7B">
        <w:rPr>
          <w:rFonts w:ascii="Traditional Arabic" w:eastAsia="Calibri" w:hAnsi="Traditional Arabic"/>
          <w:rtl/>
        </w:rPr>
        <w:lastRenderedPageBreak/>
        <w:t>بيان الغريب من الكتب المعتمدة في ذلك.</w:t>
      </w:r>
    </w:p>
    <w:p w:rsidR="00D11232" w:rsidRPr="00C17B7B" w:rsidRDefault="00D11232" w:rsidP="00C443D8">
      <w:pPr>
        <w:widowControl/>
        <w:numPr>
          <w:ilvl w:val="0"/>
          <w:numId w:val="7"/>
        </w:numPr>
        <w:spacing w:after="200" w:line="276" w:lineRule="auto"/>
        <w:rPr>
          <w:rFonts w:ascii="Traditional Arabic" w:eastAsia="Calibri" w:hAnsi="Traditional Arabic"/>
        </w:rPr>
      </w:pPr>
      <w:r w:rsidRPr="00C17B7B">
        <w:rPr>
          <w:rFonts w:ascii="Traditional Arabic" w:eastAsia="Calibri" w:hAnsi="Traditional Arabic"/>
          <w:rtl/>
        </w:rPr>
        <w:t>التعريف</w:t>
      </w:r>
      <w:r w:rsidRPr="00C17B7B">
        <w:rPr>
          <w:rFonts w:ascii="Traditional Arabic" w:eastAsia="Calibri" w:hAnsi="Traditional Arabic" w:hint="cs"/>
          <w:rtl/>
        </w:rPr>
        <w:t xml:space="preserve"> الموجز</w:t>
      </w:r>
      <w:r w:rsidRPr="00C17B7B">
        <w:rPr>
          <w:rFonts w:ascii="Traditional Arabic" w:eastAsia="Calibri" w:hAnsi="Traditional Arabic"/>
          <w:rtl/>
        </w:rPr>
        <w:t xml:space="preserve"> بالأماكن والبقاع والبلدان غير المشهورة.</w:t>
      </w:r>
    </w:p>
    <w:p w:rsidR="00D11232" w:rsidRPr="00C17B7B" w:rsidRDefault="00D11232" w:rsidP="00C443D8">
      <w:pPr>
        <w:widowControl/>
        <w:numPr>
          <w:ilvl w:val="0"/>
          <w:numId w:val="7"/>
        </w:numPr>
        <w:spacing w:after="200" w:line="276" w:lineRule="auto"/>
        <w:rPr>
          <w:rFonts w:ascii="Traditional Arabic" w:eastAsia="Calibri" w:hAnsi="Traditional Arabic"/>
        </w:rPr>
      </w:pPr>
      <w:r w:rsidRPr="00C17B7B">
        <w:rPr>
          <w:rFonts w:ascii="Traditional Arabic" w:eastAsia="Calibri" w:hAnsi="Traditional Arabic" w:hint="cs"/>
          <w:rtl/>
        </w:rPr>
        <w:t>التعليق العلمي على ما يحتاج إلى تعليق</w:t>
      </w:r>
      <w:r w:rsidRPr="00C17B7B">
        <w:rPr>
          <w:rFonts w:ascii="Traditional Arabic" w:eastAsia="Calibri" w:hAnsi="Traditional Arabic"/>
          <w:rtl/>
        </w:rPr>
        <w:t>.</w:t>
      </w:r>
    </w:p>
    <w:p w:rsidR="00D11232" w:rsidRPr="00C17B7B" w:rsidRDefault="00D11232" w:rsidP="00C443D8">
      <w:pPr>
        <w:widowControl/>
        <w:numPr>
          <w:ilvl w:val="0"/>
          <w:numId w:val="7"/>
        </w:numPr>
        <w:spacing w:after="200" w:line="276" w:lineRule="auto"/>
        <w:rPr>
          <w:rFonts w:ascii="Traditional Arabic" w:eastAsia="Calibri" w:hAnsi="Traditional Arabic"/>
        </w:rPr>
      </w:pPr>
      <w:r w:rsidRPr="00C17B7B">
        <w:rPr>
          <w:rFonts w:ascii="Traditional Arabic" w:eastAsia="Calibri" w:hAnsi="Traditional Arabic" w:hint="cs"/>
          <w:rtl/>
        </w:rPr>
        <w:t>الالتزام بعلامات الترقيم، وضبط الكلمات التي تحتاج إلى ضبط.</w:t>
      </w:r>
    </w:p>
    <w:p w:rsidR="000C36DB" w:rsidRDefault="00D11232" w:rsidP="00C443D8">
      <w:pPr>
        <w:widowControl/>
        <w:numPr>
          <w:ilvl w:val="0"/>
          <w:numId w:val="7"/>
        </w:numPr>
        <w:spacing w:after="200" w:line="276" w:lineRule="auto"/>
        <w:rPr>
          <w:rFonts w:ascii="Traditional Arabic" w:eastAsia="Calibri" w:hAnsi="Traditional Arabic"/>
        </w:rPr>
      </w:pPr>
      <w:r w:rsidRPr="00C17B7B">
        <w:rPr>
          <w:rFonts w:ascii="Traditional Arabic" w:eastAsia="Calibri" w:hAnsi="Traditional Arabic"/>
          <w:rtl/>
        </w:rPr>
        <w:t xml:space="preserve">تذييل البحث بالفهارس العلمية على النحو </w:t>
      </w:r>
      <w:r w:rsidR="000371EA">
        <w:rPr>
          <w:rFonts w:ascii="Traditional Arabic" w:eastAsia="Calibri" w:hAnsi="Traditional Arabic" w:hint="cs"/>
          <w:rtl/>
        </w:rPr>
        <w:t>المبين في الخطة</w:t>
      </w:r>
      <w:r w:rsidRPr="00C17B7B">
        <w:rPr>
          <w:rFonts w:ascii="Traditional Arabic" w:eastAsia="Calibri" w:hAnsi="Traditional Arabic" w:hint="cs"/>
          <w:rtl/>
        </w:rPr>
        <w:t>.</w:t>
      </w:r>
    </w:p>
    <w:p w:rsidR="00D11232" w:rsidRDefault="00D11232" w:rsidP="000C36DB">
      <w:pPr>
        <w:widowControl/>
        <w:spacing w:after="200" w:line="276" w:lineRule="auto"/>
        <w:ind w:firstLine="0"/>
        <w:rPr>
          <w:rFonts w:ascii="Traditional Arabic" w:eastAsia="Calibri" w:hAnsi="Traditional Arabic"/>
          <w:rtl/>
        </w:rPr>
      </w:pPr>
      <w:r w:rsidRPr="000C36DB">
        <w:rPr>
          <w:rFonts w:ascii="Traditional Arabic" w:eastAsia="Calibri" w:hAnsi="Traditional Arabic"/>
          <w:rtl/>
        </w:rPr>
        <w:t xml:space="preserve">وما توفيقي إلا بالله، </w:t>
      </w:r>
      <w:r w:rsidRPr="00C17B7B">
        <w:rPr>
          <w:rFonts w:ascii="Traditional Arabic" w:eastAsia="Calibri" w:hAnsi="Traditional Arabic"/>
          <w:rtl/>
        </w:rPr>
        <w:t>هو حسبي ونعم الوكيل، وصلى الله وسلم على نبينا محمد وعلى آله وصحب</w:t>
      </w:r>
      <w:r w:rsidR="00856E14">
        <w:rPr>
          <w:rFonts w:ascii="Traditional Arabic" w:eastAsia="Calibri" w:hAnsi="Traditional Arabic" w:hint="cs"/>
          <w:rtl/>
        </w:rPr>
        <w:t>ه</w:t>
      </w:r>
      <w:r w:rsidRPr="00C17B7B">
        <w:rPr>
          <w:rFonts w:ascii="Traditional Arabic" w:eastAsia="Calibri" w:hAnsi="Traditional Arabic"/>
          <w:rtl/>
        </w:rPr>
        <w:t>.</w:t>
      </w:r>
    </w:p>
    <w:p w:rsidR="00D11232" w:rsidRPr="000C36DB" w:rsidRDefault="00D11232" w:rsidP="000C36DB">
      <w:pPr>
        <w:spacing w:after="200" w:line="276" w:lineRule="auto"/>
        <w:contextualSpacing/>
        <w:jc w:val="lowKashida"/>
        <w:rPr>
          <w:rFonts w:ascii="Traditional Arabic" w:eastAsia="Calibri" w:hAnsi="Traditional Arabic"/>
          <w:color w:val="auto"/>
          <w:rtl/>
        </w:rPr>
      </w:pPr>
    </w:p>
    <w:p w:rsidR="00D11232" w:rsidRPr="00C17B7B" w:rsidRDefault="00D11232" w:rsidP="00D11232">
      <w:pPr>
        <w:spacing w:line="276" w:lineRule="auto"/>
        <w:contextualSpacing/>
        <w:jc w:val="lowKashida"/>
        <w:rPr>
          <w:rFonts w:ascii="Traditional Arabic" w:eastAsia="Calibri" w:hAnsi="Traditional Arabic" w:cs="AL-Mateen"/>
          <w:color w:val="auto"/>
        </w:rPr>
      </w:pPr>
      <w:r w:rsidRPr="00C17B7B">
        <w:rPr>
          <w:rFonts w:ascii="Traditional Arabic" w:eastAsia="Calibri" w:hAnsi="Traditional Arabic" w:cs="AL-Mateen"/>
          <w:color w:val="auto"/>
          <w:rtl/>
        </w:rPr>
        <w:br w:type="page"/>
      </w:r>
    </w:p>
    <w:p w:rsidR="00D11232" w:rsidRPr="00C17B7B" w:rsidRDefault="00D11232" w:rsidP="00D11232">
      <w:pPr>
        <w:keepNext/>
        <w:contextualSpacing/>
        <w:outlineLvl w:val="1"/>
        <w:rPr>
          <w:rFonts w:ascii="Arial" w:hAnsi="Arial"/>
          <w:b/>
          <w:bCs/>
          <w:i/>
          <w:noProof/>
          <w:sz w:val="28"/>
          <w:rtl/>
        </w:rPr>
      </w:pPr>
      <w:r w:rsidRPr="00C17B7B">
        <w:rPr>
          <w:rFonts w:ascii="Arial" w:hAnsi="Arial" w:hint="cs"/>
          <w:b/>
          <w:bCs/>
          <w:i/>
          <w:noProof/>
          <w:color w:val="FFFFFF" w:themeColor="background1"/>
          <w:sz w:val="28"/>
          <w:rtl/>
          <w:lang w:eastAsia="en-US"/>
        </w:rPr>
        <w:lastRenderedPageBreak/>
        <w:drawing>
          <wp:anchor distT="0" distB="0" distL="114300" distR="114300" simplePos="0" relativeHeight="251662336" behindDoc="0" locked="0" layoutInCell="1" allowOverlap="1" wp14:anchorId="3EC598C2" wp14:editId="3D822A03">
            <wp:simplePos x="0" y="0"/>
            <wp:positionH relativeFrom="margin">
              <wp:align>center</wp:align>
            </wp:positionH>
            <wp:positionV relativeFrom="paragraph">
              <wp:posOffset>-93345</wp:posOffset>
            </wp:positionV>
            <wp:extent cx="1085850" cy="807795"/>
            <wp:effectExtent l="0" t="0" r="0" b="0"/>
            <wp:wrapNone/>
            <wp:docPr id="9" name="صورة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edd659a1cad6f8dd311bbcabb63875.jpg"/>
                    <pic:cNvPicPr/>
                  </pic:nvPicPr>
                  <pic:blipFill rotWithShape="1">
                    <a:blip r:embed="rId19" cstate="print">
                      <a:clrChange>
                        <a:clrFrom>
                          <a:srgbClr val="FFFFFF"/>
                        </a:clrFrom>
                        <a:clrTo>
                          <a:srgbClr val="FFFFFF">
                            <a:alpha val="0"/>
                          </a:srgbClr>
                        </a:clrTo>
                      </a:clrChange>
                      <a:extLst>
                        <a:ext uri="{BEBA8EAE-BF5A-486C-A8C5-ECC9F3942E4B}">
                          <a14:imgProps xmlns:a14="http://schemas.microsoft.com/office/drawing/2010/main">
                            <a14:imgLayer r:embed="rId20">
                              <a14:imgEffect>
                                <a14:sharpenSoften amount="50000"/>
                              </a14:imgEffect>
                            </a14:imgLayer>
                          </a14:imgProps>
                        </a:ext>
                        <a:ext uri="{28A0092B-C50C-407E-A947-70E740481C1C}">
                          <a14:useLocalDpi xmlns:a14="http://schemas.microsoft.com/office/drawing/2010/main" val="0"/>
                        </a:ext>
                      </a:extLst>
                    </a:blip>
                    <a:srcRect l="11111" t="12644" r="15708" b="16662"/>
                    <a:stretch/>
                  </pic:blipFill>
                  <pic:spPr bwMode="auto">
                    <a:xfrm>
                      <a:off x="0" y="0"/>
                      <a:ext cx="1085850" cy="807795"/>
                    </a:xfrm>
                    <a:prstGeom prst="rect">
                      <a:avLst/>
                    </a:prstGeom>
                    <a:ln>
                      <a:noFill/>
                    </a:ln>
                    <a:extLst>
                      <a:ext uri="{53640926-AAD7-44D8-BBD7-CCE9431645EC}">
                        <a14:shadowObscured xmlns:a14="http://schemas.microsoft.com/office/drawing/2010/main"/>
                      </a:ext>
                    </a:extLst>
                  </pic:spPr>
                </pic:pic>
              </a:graphicData>
            </a:graphic>
          </wp:anchor>
        </w:drawing>
      </w:r>
      <w:r w:rsidRPr="00C17B7B">
        <w:rPr>
          <w:rFonts w:ascii="Arial" w:hAnsi="Arial" w:hint="cs"/>
          <w:b/>
          <w:bCs/>
          <w:i/>
          <w:noProof/>
          <w:color w:val="FFFFFF" w:themeColor="background1"/>
          <w:sz w:val="28"/>
          <w:rtl/>
        </w:rPr>
        <w:t>شكر وتقدير</w:t>
      </w:r>
    </w:p>
    <w:p w:rsidR="00D11232" w:rsidRPr="00C17B7B" w:rsidRDefault="00D11232" w:rsidP="00D11232">
      <w:pPr>
        <w:spacing w:line="276" w:lineRule="auto"/>
        <w:contextualSpacing/>
        <w:rPr>
          <w:rFonts w:ascii="Traditional Arabic" w:eastAsia="Calibri" w:hAnsi="Traditional Arabic"/>
          <w:color w:val="auto"/>
          <w:szCs w:val="32"/>
          <w:rtl/>
        </w:rPr>
      </w:pPr>
    </w:p>
    <w:p w:rsidR="00D11232" w:rsidRPr="00C17B7B" w:rsidRDefault="00D11232" w:rsidP="00277A1A">
      <w:pPr>
        <w:ind w:firstLine="0"/>
        <w:rPr>
          <w:rFonts w:ascii="Traditional Arabic" w:hAnsi="Traditional Arabic"/>
          <w:rtl/>
        </w:rPr>
      </w:pPr>
      <w:r w:rsidRPr="00C17B7B">
        <w:rPr>
          <w:rFonts w:ascii="Traditional Arabic" w:hAnsi="Traditional Arabic" w:hint="cs"/>
          <w:rtl/>
        </w:rPr>
        <w:t>الحمد لله ك</w:t>
      </w:r>
      <w:r w:rsidRPr="00C17B7B">
        <w:rPr>
          <w:rFonts w:ascii="Traditional Arabic" w:hAnsi="Traditional Arabic"/>
          <w:rtl/>
        </w:rPr>
        <w:t>ما ينبغي لعظيم جوده وفضله كما أمر، وأشكره وقد تأذن بالزيادة لمن شكر، فقال سبحانه:</w:t>
      </w:r>
      <w:r w:rsidRPr="00477730">
        <w:rPr>
          <w:sz w:val="32"/>
          <w:szCs w:val="32"/>
          <w:rtl/>
        </w:rPr>
        <w:fldChar w:fldCharType="begin"/>
      </w:r>
      <w:r w:rsidRPr="00477730">
        <w:rPr>
          <w:sz w:val="32"/>
          <w:szCs w:val="32"/>
        </w:rPr>
        <w:instrText xml:space="preserve"> XE "</w:instrText>
      </w:r>
      <w:r w:rsidRPr="00477730">
        <w:rPr>
          <w:rFonts w:ascii="Tahoma" w:hAnsi="Tahoma" w:cs="Tahoma" w:hint="cs"/>
          <w:sz w:val="32"/>
          <w:szCs w:val="32"/>
          <w:rtl/>
        </w:rPr>
        <w:instrText>[</w:instrText>
      </w:r>
      <w:r w:rsidRPr="00477730">
        <w:rPr>
          <w:rFonts w:ascii="QCF_BSML" w:hAnsi="QCF_BSML" w:cs="QCF_BSML"/>
          <w:sz w:val="32"/>
          <w:szCs w:val="32"/>
          <w:rtl/>
        </w:rPr>
        <w:instrText xml:space="preserve"> ﭿ</w:instrText>
      </w:r>
      <w:r w:rsidRPr="00477730">
        <w:rPr>
          <w:rFonts w:ascii="QCF_P256" w:hAnsi="QCF_P256" w:cs="QCF_P256"/>
          <w:sz w:val="32"/>
          <w:szCs w:val="32"/>
          <w:rtl/>
        </w:rPr>
        <w:instrText>ﭭ  ﭮ   ﭯ  ﭰ  ﭱ  ﭲﭳ  ﭴ  ﭵ  ﭶ   ﭷ  ﭸ</w:instrText>
      </w:r>
      <w:r w:rsidRPr="00477730">
        <w:rPr>
          <w:rFonts w:ascii="QCF_BSML" w:hAnsi="QCF_BSML" w:cs="QCF_BSML"/>
          <w:sz w:val="32"/>
          <w:szCs w:val="32"/>
          <w:rtl/>
        </w:rPr>
        <w:instrText>ﭾ</w:instrText>
      </w:r>
      <w:r w:rsidRPr="00477730">
        <w:rPr>
          <w:rFonts w:ascii="Tahoma" w:hAnsi="Tahoma" w:cs="Tahoma" w:hint="cs"/>
          <w:sz w:val="32"/>
          <w:szCs w:val="32"/>
          <w:rtl/>
        </w:rPr>
        <w:instrText>]-</w:instrText>
      </w:r>
      <w:r w:rsidRPr="00477730">
        <w:rPr>
          <w:rFonts w:ascii="Tahoma" w:hAnsi="Tahoma" w:cs="Tahoma"/>
          <w:sz w:val="32"/>
          <w:szCs w:val="32"/>
          <w:rtl/>
        </w:rPr>
        <w:instrText>[</w:instrText>
      </w:r>
      <w:r w:rsidRPr="00477730">
        <w:rPr>
          <w:rFonts w:ascii="Tahoma" w:hAnsi="Tahoma" w:cs="Tahoma" w:hint="cs"/>
          <w:sz w:val="32"/>
          <w:szCs w:val="32"/>
          <w:rtl/>
        </w:rPr>
        <w:instrText>14</w:instrText>
      </w:r>
      <w:r w:rsidRPr="00477730">
        <w:rPr>
          <w:rFonts w:ascii="Tahoma" w:hAnsi="Tahoma" w:cs="Tahoma"/>
          <w:sz w:val="32"/>
          <w:szCs w:val="32"/>
          <w:rtl/>
        </w:rPr>
        <w:instrText>]</w:instrText>
      </w:r>
      <w:r w:rsidRPr="00477730">
        <w:rPr>
          <w:rFonts w:hint="cs"/>
          <w:sz w:val="32"/>
          <w:szCs w:val="32"/>
          <w:rtl/>
        </w:rPr>
        <w:instrText>- 007-</w:instrText>
      </w:r>
      <w:r w:rsidRPr="00477730">
        <w:rPr>
          <w:sz w:val="32"/>
          <w:szCs w:val="32"/>
        </w:rPr>
        <w:instrText xml:space="preserve">" </w:instrText>
      </w:r>
      <w:r w:rsidRPr="00477730">
        <w:rPr>
          <w:sz w:val="32"/>
          <w:szCs w:val="32"/>
          <w:rtl/>
        </w:rPr>
        <w:fldChar w:fldCharType="end"/>
      </w:r>
      <w:r w:rsidR="00277A1A" w:rsidRPr="00277A1A">
        <w:rPr>
          <w:rFonts w:ascii="QCF_BSML" w:hAnsi="QCF_BSML" w:cs="QCF_BSML"/>
          <w:szCs w:val="32"/>
          <w:rtl/>
        </w:rPr>
        <w:t xml:space="preserve"> </w:t>
      </w:r>
      <w:r w:rsidR="00277A1A" w:rsidRPr="00C17B7B">
        <w:rPr>
          <w:rFonts w:ascii="QCF_BSML" w:hAnsi="QCF_BSML" w:cs="QCF_BSML"/>
          <w:szCs w:val="32"/>
          <w:rtl/>
        </w:rPr>
        <w:t>ﭽ</w:t>
      </w:r>
      <w:r w:rsidRPr="00477730">
        <w:rPr>
          <w:rFonts w:ascii="QCF_P256" w:hAnsi="QCF_P256" w:cs="QCF_P256"/>
          <w:sz w:val="32"/>
          <w:szCs w:val="32"/>
          <w:rtl/>
        </w:rPr>
        <w:t>ﭭ  ﭮ   ﭯ  ﭰ  ﭱ  ﭲﭳ  ﭴ  ﭵ  ﭶ   ﭷ  ﭸ</w:t>
      </w:r>
      <w:r w:rsidR="00277A1A" w:rsidRPr="00C17B7B">
        <w:rPr>
          <w:rFonts w:ascii="QCF_BSML" w:hAnsi="QCF_BSML" w:cs="QCF_BSML"/>
          <w:szCs w:val="32"/>
          <w:rtl/>
        </w:rPr>
        <w:t>ﭼ</w:t>
      </w:r>
      <w:r w:rsidR="00277A1A">
        <w:rPr>
          <w:rFonts w:ascii="QCF_BSML" w:hAnsi="QCF_BSML" w:cs="QCF_BSML" w:hint="cs"/>
          <w:szCs w:val="32"/>
          <w:rtl/>
        </w:rPr>
        <w:t xml:space="preserve">  </w:t>
      </w:r>
      <w:r w:rsidR="00277A1A" w:rsidRPr="00277A1A">
        <w:rPr>
          <w:rFonts w:ascii="QCF_BSML" w:hAnsi="QCF_BSML" w:cs="QCF_BSML"/>
          <w:szCs w:val="32"/>
          <w:rtl/>
        </w:rPr>
        <w:t xml:space="preserve"> </w:t>
      </w:r>
      <w:r w:rsidRPr="00477730">
        <w:rPr>
          <w:rFonts w:ascii="Traditional Arabic" w:hAnsi="Traditional Arabic"/>
          <w:sz w:val="32"/>
          <w:szCs w:val="32"/>
          <w:rtl/>
        </w:rPr>
        <w:t>[</w:t>
      </w:r>
      <w:r w:rsidRPr="00C17B7B">
        <w:rPr>
          <w:rFonts w:ascii="Traditional Arabic" w:hAnsi="Traditional Arabic"/>
          <w:sz w:val="28"/>
          <w:szCs w:val="28"/>
          <w:rtl/>
        </w:rPr>
        <w:t>إبراهيم: ٧]</w:t>
      </w:r>
      <w:r w:rsidRPr="00C17B7B">
        <w:rPr>
          <w:rFonts w:ascii="Traditional Arabic" w:hAnsi="Traditional Arabic"/>
          <w:rtl/>
        </w:rPr>
        <w:t>، فله سبحانه من الحمد أعلاه، ومن الشكر أتمه وأولاه، على ما من به من نعمة الإسلام والسنة، وسلوك سبيل طلب العلم، وعلى ما يسره من إتمام هذا البحث، وأسأله سبحانه وتعالى المزيد من التوفيق.</w:t>
      </w:r>
    </w:p>
    <w:p w:rsidR="00D11232" w:rsidRPr="00C17B7B" w:rsidRDefault="00D11232" w:rsidP="001662C4">
      <w:pPr>
        <w:ind w:firstLine="0"/>
        <w:rPr>
          <w:rFonts w:ascii="Traditional Arabic" w:hAnsi="Traditional Arabic"/>
          <w:rtl/>
        </w:rPr>
      </w:pPr>
      <w:r w:rsidRPr="00C17B7B">
        <w:rPr>
          <w:rFonts w:ascii="Traditional Arabic" w:hAnsi="Traditional Arabic" w:hint="cs"/>
          <w:rtl/>
        </w:rPr>
        <w:t>ثم أتقدم بالشكر الجزيل والثناء الجميل لأهل الفضل والإحسان وفي مقدمتهم الوالدان الكريمان, الذان لهما الفضل بعد الله سبحانه وتعالى, فيما توصلت إليه.</w:t>
      </w:r>
    </w:p>
    <w:p w:rsidR="00D11232" w:rsidRPr="00C17B7B" w:rsidRDefault="00D11232" w:rsidP="00995EC9">
      <w:pPr>
        <w:ind w:firstLine="0"/>
        <w:rPr>
          <w:rFonts w:ascii="Traditional Arabic" w:hAnsi="Traditional Arabic"/>
          <w:rtl/>
        </w:rPr>
      </w:pPr>
      <w:r w:rsidRPr="00C17B7B">
        <w:rPr>
          <w:rFonts w:ascii="Traditional Arabic" w:hAnsi="Traditional Arabic"/>
          <w:rtl/>
        </w:rPr>
        <w:t xml:space="preserve">كما أتقدم بالشكر لجامعتنا المباركة والقائمين عليها وأخص بالشكر أيضًا كلية </w:t>
      </w:r>
      <w:r w:rsidRPr="00C17B7B">
        <w:rPr>
          <w:rFonts w:ascii="Traditional Arabic" w:hAnsi="Traditional Arabic" w:hint="cs"/>
          <w:rtl/>
        </w:rPr>
        <w:t>القرآن الكريم</w:t>
      </w:r>
      <w:r w:rsidRPr="00C17B7B">
        <w:rPr>
          <w:rFonts w:ascii="Traditional Arabic" w:hAnsi="Traditional Arabic"/>
          <w:rtl/>
        </w:rPr>
        <w:t xml:space="preserve"> ممثلة في عميدها ووكيلها، والقائمين على قسم ال</w:t>
      </w:r>
      <w:r w:rsidRPr="00C17B7B">
        <w:rPr>
          <w:rFonts w:ascii="Traditional Arabic" w:hAnsi="Traditional Arabic" w:hint="cs"/>
          <w:rtl/>
        </w:rPr>
        <w:t>تفسير</w:t>
      </w:r>
      <w:r w:rsidRPr="00C17B7B">
        <w:rPr>
          <w:rFonts w:ascii="Traditional Arabic" w:hAnsi="Traditional Arabic"/>
          <w:rtl/>
        </w:rPr>
        <w:t>، وعلى رأسهم رئيس القسم د</w:t>
      </w:r>
      <w:r w:rsidR="00995EC9">
        <w:rPr>
          <w:rFonts w:ascii="Traditional Arabic" w:hAnsi="Traditional Arabic" w:hint="cs"/>
          <w:rtl/>
        </w:rPr>
        <w:t>.</w:t>
      </w:r>
      <w:r w:rsidRPr="00C17B7B">
        <w:rPr>
          <w:rFonts w:ascii="Traditional Arabic" w:hAnsi="Traditional Arabic"/>
          <w:rtl/>
        </w:rPr>
        <w:t xml:space="preserve"> </w:t>
      </w:r>
      <w:r w:rsidRPr="00C17B7B">
        <w:rPr>
          <w:rFonts w:ascii="Traditional Arabic" w:hAnsi="Traditional Arabic" w:hint="cs"/>
          <w:rtl/>
        </w:rPr>
        <w:t>صالح كاتب-</w:t>
      </w:r>
      <w:r w:rsidRPr="00C17B7B">
        <w:rPr>
          <w:rFonts w:ascii="Traditional Arabic" w:hAnsi="Traditional Arabic"/>
          <w:rtl/>
        </w:rPr>
        <w:t>حفظه الله</w:t>
      </w:r>
      <w:r w:rsidRPr="00C17B7B">
        <w:rPr>
          <w:rFonts w:ascii="Traditional Arabic" w:hAnsi="Traditional Arabic" w:hint="cs"/>
          <w:rtl/>
        </w:rPr>
        <w:t>-</w:t>
      </w:r>
      <w:r w:rsidRPr="00C17B7B">
        <w:rPr>
          <w:rFonts w:ascii="Traditional Arabic" w:hAnsi="Traditional Arabic"/>
          <w:rtl/>
        </w:rPr>
        <w:t>.</w:t>
      </w:r>
    </w:p>
    <w:p w:rsidR="00D11232" w:rsidRPr="00C17B7B" w:rsidRDefault="00D11232" w:rsidP="001662C4">
      <w:pPr>
        <w:ind w:firstLine="0"/>
        <w:rPr>
          <w:rFonts w:ascii="Traditional Arabic" w:hAnsi="Traditional Arabic"/>
          <w:rtl/>
        </w:rPr>
      </w:pPr>
      <w:r w:rsidRPr="00C17B7B">
        <w:rPr>
          <w:rFonts w:ascii="Traditional Arabic" w:hAnsi="Traditional Arabic"/>
          <w:rtl/>
        </w:rPr>
        <w:t xml:space="preserve">كما أشكر شيخي الناصح </w:t>
      </w:r>
      <w:r w:rsidRPr="00C17B7B">
        <w:rPr>
          <w:rFonts w:ascii="Traditional Arabic" w:hAnsi="Traditional Arabic" w:hint="cs"/>
          <w:rtl/>
        </w:rPr>
        <w:t xml:space="preserve">د. </w:t>
      </w:r>
      <w:r>
        <w:rPr>
          <w:rFonts w:ascii="Traditional Arabic" w:hAnsi="Traditional Arabic" w:hint="cs"/>
          <w:rtl/>
        </w:rPr>
        <w:t>أمجد</w:t>
      </w:r>
      <w:r w:rsidR="001662C4">
        <w:rPr>
          <w:rFonts w:ascii="Traditional Arabic" w:hAnsi="Traditional Arabic" w:hint="cs"/>
          <w:rtl/>
        </w:rPr>
        <w:t xml:space="preserve"> بن</w:t>
      </w:r>
      <w:r>
        <w:rPr>
          <w:rFonts w:ascii="Traditional Arabic" w:hAnsi="Traditional Arabic" w:hint="cs"/>
          <w:rtl/>
        </w:rPr>
        <w:t xml:space="preserve"> محمد</w:t>
      </w:r>
      <w:r w:rsidR="001662C4">
        <w:rPr>
          <w:rFonts w:ascii="Traditional Arabic" w:hAnsi="Traditional Arabic" w:hint="cs"/>
          <w:rtl/>
        </w:rPr>
        <w:t xml:space="preserve"> بن</w:t>
      </w:r>
      <w:r w:rsidR="006C406D">
        <w:rPr>
          <w:rFonts w:ascii="Traditional Arabic" w:hAnsi="Traditional Arabic" w:hint="cs"/>
          <w:rtl/>
        </w:rPr>
        <w:t xml:space="preserve"> محمد</w:t>
      </w:r>
      <w:r>
        <w:rPr>
          <w:rFonts w:ascii="Traditional Arabic" w:hAnsi="Traditional Arabic" w:hint="cs"/>
          <w:rtl/>
        </w:rPr>
        <w:t xml:space="preserve"> زيدان</w:t>
      </w:r>
      <w:r w:rsidRPr="00C17B7B">
        <w:rPr>
          <w:rFonts w:ascii="Traditional Arabic" w:hAnsi="Traditional Arabic" w:hint="cs"/>
          <w:rtl/>
        </w:rPr>
        <w:t xml:space="preserve"> -</w:t>
      </w:r>
      <w:r w:rsidRPr="00C17B7B">
        <w:rPr>
          <w:rFonts w:ascii="Traditional Arabic" w:hAnsi="Traditional Arabic"/>
          <w:rtl/>
        </w:rPr>
        <w:t>حفظه الله</w:t>
      </w:r>
      <w:r w:rsidRPr="00C17B7B">
        <w:rPr>
          <w:rFonts w:ascii="Traditional Arabic" w:hAnsi="Traditional Arabic" w:hint="cs"/>
          <w:rtl/>
        </w:rPr>
        <w:t>-</w:t>
      </w:r>
      <w:r w:rsidRPr="00C17B7B">
        <w:rPr>
          <w:rFonts w:ascii="Traditional Arabic" w:hAnsi="Traditional Arabic"/>
          <w:rtl/>
        </w:rPr>
        <w:t xml:space="preserve"> وزاده من علمه وتقواه، على ما أولاني به من نصح وتوجيه، وملاحظات واستدراكات، مع رحابة صدر وتواضع وصبر، مما كان سببًا في إنجاز هذه الرسالة على هذا الوجه، فليس له مني إلا الدعاء الصادق بأن يجزيه الله تعالى عني خير الجزاء، وأن يجعل ما قام به في ميزان حسناته.</w:t>
      </w:r>
    </w:p>
    <w:p w:rsidR="00D11232" w:rsidRPr="00C17B7B" w:rsidRDefault="000E3516" w:rsidP="001662C4">
      <w:pPr>
        <w:ind w:firstLine="0"/>
        <w:rPr>
          <w:rFonts w:ascii="Traditional Arabic" w:hAnsi="Traditional Arabic"/>
          <w:rtl/>
        </w:rPr>
      </w:pPr>
      <w:r>
        <w:rPr>
          <w:rFonts w:ascii="Traditional Arabic" w:hAnsi="Traditional Arabic" w:hint="cs"/>
          <w:rtl/>
        </w:rPr>
        <w:t>كما أشكر</w:t>
      </w:r>
      <w:r w:rsidR="00D11232" w:rsidRPr="00C17B7B">
        <w:rPr>
          <w:rFonts w:ascii="Traditional Arabic" w:hAnsi="Traditional Arabic" w:hint="cs"/>
          <w:rtl/>
        </w:rPr>
        <w:t xml:space="preserve"> المشايخ والأساتذة الذين تتلمذت على أيديهم خلال فترة دراستي في هذه الجامعة, فأسأل الله جل وعلا أن يجمعني وإياهم في جنات النعيم.</w:t>
      </w:r>
    </w:p>
    <w:p w:rsidR="00D11232" w:rsidRPr="00DC0644" w:rsidRDefault="00D11232" w:rsidP="00DC0644">
      <w:pPr>
        <w:spacing w:before="240"/>
        <w:rPr>
          <w:rFonts w:ascii="Traditional Arabic" w:hAnsi="Traditional Arabic"/>
          <w:b/>
          <w:bCs/>
          <w:rtl/>
        </w:rPr>
      </w:pPr>
      <w:r w:rsidRPr="00DC0644">
        <w:rPr>
          <w:rFonts w:ascii="Traditional Arabic" w:hAnsi="Traditional Arabic"/>
          <w:b/>
          <w:bCs/>
          <w:rtl/>
        </w:rPr>
        <w:t>وصلى الله وسلم وبارك على نبينا محمد وعلى آله وصحبه أجمعين.</w:t>
      </w:r>
    </w:p>
    <w:p w:rsidR="00D11232" w:rsidRPr="00C17B7B" w:rsidRDefault="00D11232" w:rsidP="00D11232">
      <w:pPr>
        <w:spacing w:line="276" w:lineRule="auto"/>
        <w:ind w:left="720" w:firstLine="720"/>
        <w:contextualSpacing/>
        <w:jc w:val="lowKashida"/>
        <w:rPr>
          <w:rFonts w:ascii="Traditional Arabic" w:eastAsia="Calibri" w:hAnsi="Traditional Arabic"/>
          <w:color w:val="auto"/>
          <w:szCs w:val="32"/>
        </w:rPr>
      </w:pPr>
      <w:r w:rsidRPr="00C17B7B">
        <w:rPr>
          <w:rFonts w:ascii="Traditional Arabic" w:eastAsia="Calibri" w:hAnsi="Traditional Arabic" w:cs="DecoType Naskh" w:hint="cs"/>
          <w:color w:val="auto"/>
          <w:szCs w:val="32"/>
          <w:rtl/>
        </w:rPr>
        <w:t>***</w:t>
      </w:r>
      <w:r w:rsidRPr="00C17B7B">
        <w:rPr>
          <w:rFonts w:ascii="Traditional Arabic" w:eastAsia="Calibri" w:hAnsi="Traditional Arabic" w:cs="DecoType Naskh" w:hint="cs"/>
          <w:color w:val="auto"/>
          <w:szCs w:val="32"/>
          <w:rtl/>
        </w:rPr>
        <w:tab/>
      </w:r>
      <w:r w:rsidRPr="00C17B7B">
        <w:rPr>
          <w:rFonts w:ascii="Traditional Arabic" w:eastAsia="Calibri" w:hAnsi="Traditional Arabic" w:cs="DecoType Naskh" w:hint="cs"/>
          <w:color w:val="auto"/>
          <w:szCs w:val="32"/>
          <w:rtl/>
        </w:rPr>
        <w:tab/>
        <w:t>***</w:t>
      </w:r>
      <w:r w:rsidRPr="00C17B7B">
        <w:rPr>
          <w:rFonts w:ascii="Traditional Arabic" w:eastAsia="Calibri" w:hAnsi="Traditional Arabic" w:cs="DecoType Naskh" w:hint="cs"/>
          <w:color w:val="auto"/>
          <w:szCs w:val="32"/>
          <w:rtl/>
        </w:rPr>
        <w:tab/>
      </w:r>
      <w:r w:rsidRPr="00C17B7B">
        <w:rPr>
          <w:rFonts w:ascii="Traditional Arabic" w:eastAsia="Calibri" w:hAnsi="Traditional Arabic" w:cs="DecoType Naskh" w:hint="cs"/>
          <w:color w:val="auto"/>
          <w:szCs w:val="32"/>
          <w:rtl/>
        </w:rPr>
        <w:tab/>
        <w:t>***</w:t>
      </w:r>
    </w:p>
    <w:p w:rsidR="00D11232" w:rsidRPr="00C17B7B" w:rsidRDefault="00D11232" w:rsidP="00D11232">
      <w:pPr>
        <w:spacing w:line="276" w:lineRule="auto"/>
        <w:contextualSpacing/>
        <w:rPr>
          <w:rFonts w:ascii="Traditional Arabic" w:eastAsia="Calibri" w:hAnsi="Traditional Arabic"/>
          <w:b/>
          <w:bCs/>
          <w:smallCaps/>
          <w:color w:val="auto"/>
          <w:sz w:val="34"/>
          <w:szCs w:val="34"/>
        </w:rPr>
        <w:sectPr w:rsidR="00D11232" w:rsidRPr="00C17B7B" w:rsidSect="005D2A57">
          <w:footnotePr>
            <w:numRestart w:val="eachPage"/>
          </w:footnotePr>
          <w:pgSz w:w="11906" w:h="16838" w:code="9"/>
          <w:pgMar w:top="1389" w:right="2268" w:bottom="1389" w:left="1797" w:header="510" w:footer="720" w:gutter="0"/>
          <w:cols w:space="708"/>
          <w:bidi/>
          <w:rtlGutter/>
          <w:docGrid w:linePitch="435"/>
        </w:sectPr>
      </w:pPr>
    </w:p>
    <w:p w:rsidR="00D11232" w:rsidRPr="00C17B7B" w:rsidRDefault="001662C4" w:rsidP="00D11232">
      <w:pPr>
        <w:keepNext/>
        <w:contextualSpacing/>
        <w:outlineLvl w:val="0"/>
        <w:rPr>
          <w:b/>
          <w:bCs/>
          <w:smallCaps/>
          <w:noProof/>
          <w:color w:val="FFFFFF" w:themeColor="background1"/>
          <w:kern w:val="32"/>
          <w:szCs w:val="40"/>
          <w:rtl/>
        </w:rPr>
      </w:pPr>
      <w:r w:rsidRPr="00C17B7B">
        <w:rPr>
          <w:b/>
          <w:bCs/>
          <w:smallCaps/>
          <w:noProof/>
          <w:color w:val="FFFFFF" w:themeColor="background1"/>
          <w:kern w:val="32"/>
          <w:szCs w:val="32"/>
          <w:rtl/>
          <w:lang w:eastAsia="en-US"/>
        </w:rPr>
        <w:lastRenderedPageBreak/>
        <w:drawing>
          <wp:anchor distT="0" distB="0" distL="114300" distR="114300" simplePos="0" relativeHeight="251665408" behindDoc="1" locked="0" layoutInCell="1" allowOverlap="1" wp14:anchorId="45927F45" wp14:editId="20294D2A">
            <wp:simplePos x="0" y="0"/>
            <wp:positionH relativeFrom="margin">
              <wp:align>center</wp:align>
            </wp:positionH>
            <wp:positionV relativeFrom="margin">
              <wp:posOffset>962660</wp:posOffset>
            </wp:positionV>
            <wp:extent cx="4863465" cy="7667625"/>
            <wp:effectExtent l="0" t="0" r="0" b="0"/>
            <wp:wrapNone/>
            <wp:docPr id="10" name="صورة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بدون عنوان-6 نسخ.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863465" cy="7667625"/>
                    </a:xfrm>
                    <a:prstGeom prst="rect">
                      <a:avLst/>
                    </a:prstGeom>
                  </pic:spPr>
                </pic:pic>
              </a:graphicData>
            </a:graphic>
            <wp14:sizeRelV relativeFrom="margin">
              <wp14:pctHeight>0</wp14:pctHeight>
            </wp14:sizeRelV>
          </wp:anchor>
        </w:drawing>
      </w:r>
      <w:r w:rsidR="00D11232" w:rsidRPr="00C17B7B">
        <w:rPr>
          <w:b/>
          <w:bCs/>
          <w:smallCaps/>
          <w:noProof/>
          <w:color w:val="FFFFFF" w:themeColor="background1"/>
          <w:kern w:val="32"/>
          <w:szCs w:val="40"/>
          <w:rtl/>
          <w:lang w:eastAsia="en-US"/>
        </w:rPr>
        <mc:AlternateContent>
          <mc:Choice Requires="wps">
            <w:drawing>
              <wp:anchor distT="0" distB="0" distL="114300" distR="114300" simplePos="0" relativeHeight="251666432" behindDoc="0" locked="0" layoutInCell="1" allowOverlap="1" wp14:anchorId="6B820897" wp14:editId="76907BDE">
                <wp:simplePos x="0" y="0"/>
                <wp:positionH relativeFrom="margin">
                  <wp:align>center</wp:align>
                </wp:positionH>
                <wp:positionV relativeFrom="paragraph">
                  <wp:posOffset>2882265</wp:posOffset>
                </wp:positionV>
                <wp:extent cx="3914775" cy="3978275"/>
                <wp:effectExtent l="0" t="0" r="0" b="3175"/>
                <wp:wrapNone/>
                <wp:docPr id="89"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3914775" cy="3978275"/>
                        </a:xfrm>
                        <a:prstGeom prst="rect">
                          <a:avLst/>
                        </a:prstGeom>
                        <a:noFill/>
                        <a:ln w="9525">
                          <a:noFill/>
                          <a:miter lim="800000"/>
                          <a:headEnd/>
                          <a:tailEnd/>
                        </a:ln>
                      </wps:spPr>
                      <wps:txbx>
                        <w:txbxContent>
                          <w:p w:rsidR="003F128F" w:rsidRPr="001C7409" w:rsidRDefault="003F128F" w:rsidP="00D11232">
                            <w:pPr>
                              <w:spacing w:line="360" w:lineRule="auto"/>
                              <w:jc w:val="center"/>
                              <w:rPr>
                                <w:rFonts w:ascii="Lotus Linotype" w:hAnsi="Lotus Linotype" w:cs="Sultan bold"/>
                                <w:sz w:val="54"/>
                                <w:szCs w:val="96"/>
                                <w:rtl/>
                              </w:rPr>
                            </w:pPr>
                            <w:r w:rsidRPr="001C7409">
                              <w:rPr>
                                <w:rFonts w:ascii="Lotus Linotype" w:hAnsi="Lotus Linotype" w:cs="Sultan bold" w:hint="cs"/>
                                <w:sz w:val="54"/>
                                <w:szCs w:val="96"/>
                                <w:rtl/>
                              </w:rPr>
                              <w:t>ا</w:t>
                            </w:r>
                            <w:r>
                              <w:rPr>
                                <w:rFonts w:ascii="Lotus Linotype" w:hAnsi="Lotus Linotype" w:cs="Sultan bold" w:hint="cs"/>
                                <w:sz w:val="54"/>
                                <w:szCs w:val="96"/>
                                <w:rtl/>
                              </w:rPr>
                              <w:t>لدراسة</w:t>
                            </w:r>
                          </w:p>
                          <w:p w:rsidR="003F128F" w:rsidRPr="00172691" w:rsidRDefault="003F128F" w:rsidP="00D11232">
                            <w:pPr>
                              <w:spacing w:line="360" w:lineRule="auto"/>
                              <w:jc w:val="center"/>
                              <w:rPr>
                                <w:rFonts w:ascii="Lotus Linotype" w:hAnsi="Lotus Linotype" w:cs="Sultan bold"/>
                                <w:sz w:val="50"/>
                                <w:szCs w:val="56"/>
                              </w:rPr>
                            </w:pPr>
                            <w:r w:rsidRPr="00172691">
                              <w:rPr>
                                <w:rFonts w:ascii="Lotus Linotype" w:hAnsi="Lotus Linotype" w:cs="Sultan bold"/>
                                <w:sz w:val="50"/>
                                <w:szCs w:val="56"/>
                                <w:rtl/>
                              </w:rPr>
                              <w:t>وفيه فصلان:</w:t>
                            </w:r>
                          </w:p>
                          <w:p w:rsidR="003F128F" w:rsidRPr="00372BA2" w:rsidRDefault="003F128F" w:rsidP="009C19AC">
                            <w:pPr>
                              <w:spacing w:line="360" w:lineRule="auto"/>
                              <w:ind w:left="183"/>
                              <w:rPr>
                                <w:rFonts w:ascii="Lotus Linotype" w:hAnsi="Lotus Linotype" w:cs="Sultan bold"/>
                                <w:sz w:val="44"/>
                                <w:szCs w:val="44"/>
                              </w:rPr>
                            </w:pPr>
                            <w:r w:rsidRPr="00372BA2">
                              <w:rPr>
                                <w:rFonts w:ascii="Lotus Linotype" w:hAnsi="Lotus Linotype" w:cs="Sultan bold"/>
                                <w:sz w:val="44"/>
                                <w:szCs w:val="44"/>
                                <w:rtl/>
                              </w:rPr>
                              <w:t xml:space="preserve">الفصل الأول: </w:t>
                            </w:r>
                            <w:r>
                              <w:rPr>
                                <w:rFonts w:ascii="Lotus Linotype" w:hAnsi="Lotus Linotype" w:cs="Sultan bold" w:hint="cs"/>
                                <w:sz w:val="44"/>
                                <w:szCs w:val="44"/>
                                <w:rtl/>
                              </w:rPr>
                              <w:t>ال</w:t>
                            </w:r>
                            <w:r>
                              <w:rPr>
                                <w:rFonts w:ascii="Lotus Linotype" w:hAnsi="Lotus Linotype" w:cs="Sultan bold"/>
                                <w:sz w:val="44"/>
                                <w:szCs w:val="44"/>
                                <w:rtl/>
                              </w:rPr>
                              <w:t>تعريف</w:t>
                            </w:r>
                            <w:r w:rsidRPr="00372BA2">
                              <w:rPr>
                                <w:rFonts w:ascii="Lotus Linotype" w:hAnsi="Lotus Linotype" w:cs="Sultan bold"/>
                                <w:sz w:val="44"/>
                                <w:szCs w:val="44"/>
                                <w:rtl/>
                              </w:rPr>
                              <w:t xml:space="preserve"> بالمؤلف</w:t>
                            </w:r>
                            <w:r>
                              <w:rPr>
                                <w:rFonts w:ascii="Lotus Linotype" w:hAnsi="Lotus Linotype" w:cs="Sultan bold" w:hint="cs"/>
                                <w:sz w:val="44"/>
                                <w:szCs w:val="44"/>
                                <w:rtl/>
                              </w:rPr>
                              <w:t xml:space="preserve">                   </w:t>
                            </w:r>
                          </w:p>
                          <w:p w:rsidR="003F128F" w:rsidRPr="00372BA2" w:rsidRDefault="003F128F" w:rsidP="00D11232">
                            <w:pPr>
                              <w:spacing w:line="360" w:lineRule="auto"/>
                              <w:ind w:left="183"/>
                              <w:rPr>
                                <w:rFonts w:cs="Sultan bold"/>
                                <w:b/>
                                <w:bCs/>
                                <w:sz w:val="44"/>
                                <w:szCs w:val="44"/>
                              </w:rPr>
                            </w:pPr>
                            <w:r w:rsidRPr="00372BA2">
                              <w:rPr>
                                <w:rFonts w:ascii="Lotus Linotype" w:hAnsi="Lotus Linotype" w:cs="Sultan bold"/>
                                <w:sz w:val="44"/>
                                <w:szCs w:val="44"/>
                                <w:rtl/>
                              </w:rPr>
                              <w:t>الفصل الثاني: التعريف بالكتاب</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مربع نص 2" o:spid="_x0000_s1027" type="#_x0000_t202" style="position:absolute;left:0;text-align:left;margin-left:0;margin-top:226.95pt;width:308.25pt;height:313.25pt;flip:x;z-index:2516664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" filled="f" stroked="f">
                <v:textbox>
                  <w:txbxContent>
                    <w:p w:rsidR="003F128F" w:rsidRPr="001C7409" w:rsidRDefault="003F128F" w:rsidP="00D11232">
                      <w:pPr>
                        <w:spacing w:line="360" w:lineRule="auto"/>
                        <w:jc w:val="center"/>
                        <w:rPr>
                          <w:rFonts w:ascii="Lotus Linotype" w:hAnsi="Lotus Linotype" w:cs="Sultan bold"/>
                          <w:sz w:val="54"/>
                          <w:szCs w:val="96"/>
                          <w:rtl/>
                        </w:rPr>
                      </w:pPr>
                      <w:r w:rsidRPr="001C7409">
                        <w:rPr>
                          <w:rFonts w:ascii="Lotus Linotype" w:hAnsi="Lotus Linotype" w:cs="Sultan bold" w:hint="cs"/>
                          <w:sz w:val="54"/>
                          <w:szCs w:val="96"/>
                          <w:rtl/>
                        </w:rPr>
                        <w:t>ا</w:t>
                      </w:r>
                      <w:r>
                        <w:rPr>
                          <w:rFonts w:ascii="Lotus Linotype" w:hAnsi="Lotus Linotype" w:cs="Sultan bold" w:hint="cs"/>
                          <w:sz w:val="54"/>
                          <w:szCs w:val="96"/>
                          <w:rtl/>
                        </w:rPr>
                        <w:t>لدراسة</w:t>
                      </w:r>
                    </w:p>
                    <w:p w:rsidR="003F128F" w:rsidRPr="00172691" w:rsidRDefault="003F128F" w:rsidP="00D11232">
                      <w:pPr>
                        <w:spacing w:line="360" w:lineRule="auto"/>
                        <w:jc w:val="center"/>
                        <w:rPr>
                          <w:rFonts w:ascii="Lotus Linotype" w:hAnsi="Lotus Linotype" w:cs="Sultan bold"/>
                          <w:sz w:val="50"/>
                          <w:szCs w:val="56"/>
                        </w:rPr>
                      </w:pPr>
                      <w:r w:rsidRPr="00172691">
                        <w:rPr>
                          <w:rFonts w:ascii="Lotus Linotype" w:hAnsi="Lotus Linotype" w:cs="Sultan bold"/>
                          <w:sz w:val="50"/>
                          <w:szCs w:val="56"/>
                          <w:rtl/>
                        </w:rPr>
                        <w:t>وفيه فصلان:</w:t>
                      </w:r>
                    </w:p>
                    <w:p w:rsidR="003F128F" w:rsidRPr="00372BA2" w:rsidRDefault="003F128F" w:rsidP="009C19AC">
                      <w:pPr>
                        <w:spacing w:line="360" w:lineRule="auto"/>
                        <w:ind w:left="183"/>
                        <w:rPr>
                          <w:rFonts w:ascii="Lotus Linotype" w:hAnsi="Lotus Linotype" w:cs="Sultan bold"/>
                          <w:sz w:val="44"/>
                          <w:szCs w:val="44"/>
                        </w:rPr>
                      </w:pPr>
                      <w:r w:rsidRPr="00372BA2">
                        <w:rPr>
                          <w:rFonts w:ascii="Lotus Linotype" w:hAnsi="Lotus Linotype" w:cs="Sultan bold"/>
                          <w:sz w:val="44"/>
                          <w:szCs w:val="44"/>
                          <w:rtl/>
                        </w:rPr>
                        <w:t xml:space="preserve">الفصل الأول: </w:t>
                      </w:r>
                      <w:r>
                        <w:rPr>
                          <w:rFonts w:ascii="Lotus Linotype" w:hAnsi="Lotus Linotype" w:cs="Sultan bold" w:hint="cs"/>
                          <w:sz w:val="44"/>
                          <w:szCs w:val="44"/>
                          <w:rtl/>
                        </w:rPr>
                        <w:t>ال</w:t>
                      </w:r>
                      <w:r>
                        <w:rPr>
                          <w:rFonts w:ascii="Lotus Linotype" w:hAnsi="Lotus Linotype" w:cs="Sultan bold"/>
                          <w:sz w:val="44"/>
                          <w:szCs w:val="44"/>
                          <w:rtl/>
                        </w:rPr>
                        <w:t>تعريف</w:t>
                      </w:r>
                      <w:r w:rsidRPr="00372BA2">
                        <w:rPr>
                          <w:rFonts w:ascii="Lotus Linotype" w:hAnsi="Lotus Linotype" w:cs="Sultan bold"/>
                          <w:sz w:val="44"/>
                          <w:szCs w:val="44"/>
                          <w:rtl/>
                        </w:rPr>
                        <w:t xml:space="preserve"> بالمؤلف</w:t>
                      </w:r>
                      <w:r>
                        <w:rPr>
                          <w:rFonts w:ascii="Lotus Linotype" w:hAnsi="Lotus Linotype" w:cs="Sultan bold" w:hint="cs"/>
                          <w:sz w:val="44"/>
                          <w:szCs w:val="44"/>
                          <w:rtl/>
                        </w:rPr>
                        <w:t xml:space="preserve">                   </w:t>
                      </w:r>
                    </w:p>
                    <w:p w:rsidR="003F128F" w:rsidRPr="00372BA2" w:rsidRDefault="003F128F" w:rsidP="00D11232">
                      <w:pPr>
                        <w:spacing w:line="360" w:lineRule="auto"/>
                        <w:ind w:left="183"/>
                        <w:rPr>
                          <w:rFonts w:cs="Sultan bold"/>
                          <w:b/>
                          <w:bCs/>
                          <w:sz w:val="44"/>
                          <w:szCs w:val="44"/>
                        </w:rPr>
                      </w:pPr>
                      <w:r w:rsidRPr="00372BA2">
                        <w:rPr>
                          <w:rFonts w:ascii="Lotus Linotype" w:hAnsi="Lotus Linotype" w:cs="Sultan bold"/>
                          <w:sz w:val="44"/>
                          <w:szCs w:val="44"/>
                          <w:rtl/>
                        </w:rPr>
                        <w:t>الفصل الثاني: التعريف بالكتاب</w:t>
                      </w:r>
                    </w:p>
                  </w:txbxContent>
                </v:textbox>
                <w10:wrap anchorx="margin"/>
              </v:shape>
            </w:pict>
          </mc:Fallback>
        </mc:AlternateContent>
      </w:r>
      <w:r w:rsidR="00D11232" w:rsidRPr="00C17B7B">
        <w:rPr>
          <w:b/>
          <w:bCs/>
          <w:smallCaps/>
          <w:noProof/>
          <w:color w:val="FFFFFF" w:themeColor="background1"/>
          <w:kern w:val="32"/>
          <w:szCs w:val="40"/>
          <w:rtl/>
          <w:lang w:eastAsia="en-US"/>
        </w:rPr>
        <mc:AlternateContent>
          <mc:Choice Requires="wps">
            <w:drawing>
              <wp:anchor distT="0" distB="0" distL="114300" distR="114300" simplePos="0" relativeHeight="251663360" behindDoc="0" locked="0" layoutInCell="1" allowOverlap="1" wp14:anchorId="1FECECF6" wp14:editId="5F4B4FD7">
                <wp:simplePos x="0" y="0"/>
                <wp:positionH relativeFrom="margin">
                  <wp:align>center</wp:align>
                </wp:positionH>
                <wp:positionV relativeFrom="paragraph">
                  <wp:posOffset>1558290</wp:posOffset>
                </wp:positionV>
                <wp:extent cx="2543810" cy="500380"/>
                <wp:effectExtent l="0" t="0" r="0" b="5080"/>
                <wp:wrapNone/>
                <wp:docPr id="88"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2543810" cy="500380"/>
                        </a:xfrm>
                        <a:prstGeom prst="rect">
                          <a:avLst/>
                        </a:prstGeom>
                        <a:noFill/>
                        <a:ln w="9525">
                          <a:noFill/>
                          <a:miter lim="800000"/>
                          <a:headEnd/>
                          <a:tailEnd/>
                        </a:ln>
                      </wps:spPr>
                      <wps:txbx>
                        <w:txbxContent>
                          <w:p w:rsidR="003F128F" w:rsidRPr="00172691" w:rsidRDefault="003F128F" w:rsidP="00D11232">
                            <w:pPr>
                              <w:jc w:val="center"/>
                              <w:rPr>
                                <w:rFonts w:cs="Sultan bold"/>
                                <w:sz w:val="56"/>
                                <w:szCs w:val="56"/>
                              </w:rPr>
                            </w:pPr>
                            <w:r w:rsidRPr="00172691">
                              <w:rPr>
                                <w:rFonts w:cs="Sultan bold"/>
                                <w:sz w:val="56"/>
                                <w:szCs w:val="56"/>
                                <w:rtl/>
                              </w:rPr>
                              <w:t>القسم الأول</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28" type="#_x0000_t202" style="position:absolute;left:0;text-align:left;margin-left:0;margin-top:122.7pt;width:200.3pt;height:39.4pt;flip:x;z-index:251663360;visibility:visible;mso-wrap-style:square;mso-width-percent:0;mso-height-percent:200;mso-wrap-distance-left:9pt;mso-wrap-distance-top:0;mso-wrap-distance-right:9pt;mso-wrap-distance-bottom:0;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" filled="f" stroked="f">
                <v:textbox style="mso-fit-shape-to-text:t">
                  <w:txbxContent>
                    <w:p w:rsidR="003F128F" w:rsidRPr="00172691" w:rsidRDefault="003F128F" w:rsidP="00D11232">
                      <w:pPr>
                        <w:jc w:val="center"/>
                        <w:rPr>
                          <w:rFonts w:cs="Sultan bold"/>
                          <w:sz w:val="56"/>
                          <w:szCs w:val="56"/>
                        </w:rPr>
                      </w:pPr>
                      <w:r w:rsidRPr="00172691">
                        <w:rPr>
                          <w:rFonts w:cs="Sultan bold"/>
                          <w:sz w:val="56"/>
                          <w:szCs w:val="56"/>
                          <w:rtl/>
                        </w:rPr>
                        <w:t>القسم الأول</w:t>
                      </w:r>
                    </w:p>
                  </w:txbxContent>
                </v:textbox>
                <w10:wrap anchorx="margin"/>
              </v:shape>
            </w:pict>
          </mc:Fallback>
        </mc:AlternateContent>
      </w:r>
      <w:r w:rsidR="00D11232" w:rsidRPr="00C17B7B">
        <w:rPr>
          <w:b/>
          <w:bCs/>
          <w:noProof/>
          <w:color w:val="FFFFFF" w:themeColor="background1"/>
          <w:kern w:val="32"/>
          <w:szCs w:val="40"/>
          <w:rtl/>
        </w:rPr>
        <w:t>القسم الأول</w:t>
      </w:r>
      <w:r w:rsidR="00D11232" w:rsidRPr="00C17B7B">
        <w:rPr>
          <w:b/>
          <w:bCs/>
          <w:noProof/>
          <w:color w:val="FFFFFF" w:themeColor="background1"/>
          <w:kern w:val="32"/>
          <w:szCs w:val="40"/>
        </w:rPr>
        <w:t>:</w:t>
      </w:r>
      <w:r w:rsidR="00D11232" w:rsidRPr="00C17B7B">
        <w:rPr>
          <w:b/>
          <w:bCs/>
          <w:noProof/>
          <w:color w:val="FFFFFF" w:themeColor="background1"/>
          <w:kern w:val="32"/>
          <w:szCs w:val="40"/>
          <w:rtl/>
        </w:rPr>
        <w:t>الدراسة</w:t>
      </w:r>
      <w:r w:rsidR="00D11232" w:rsidRPr="00C17B7B">
        <w:rPr>
          <w:b/>
          <w:bCs/>
          <w:smallCaps/>
          <w:noProof/>
          <w:color w:val="FFFFFF" w:themeColor="background1"/>
          <w:kern w:val="32"/>
          <w:szCs w:val="40"/>
          <w:rtl/>
        </w:rPr>
        <w:br w:type="page"/>
      </w:r>
    </w:p>
    <w:p w:rsidR="00D11232" w:rsidRPr="00C17B7B" w:rsidRDefault="00D11232" w:rsidP="00D11232">
      <w:pPr>
        <w:spacing w:line="276" w:lineRule="auto"/>
        <w:contextualSpacing/>
        <w:rPr>
          <w:rFonts w:ascii="Traditional Arabic" w:eastAsia="Calibri" w:hAnsi="Traditional Arabic"/>
          <w:color w:val="auto"/>
          <w:szCs w:val="32"/>
          <w:rtl/>
        </w:rPr>
        <w:sectPr w:rsidR="00D11232" w:rsidRPr="00C17B7B" w:rsidSect="005D2A57">
          <w:headerReference w:type="first" r:id="rId22"/>
          <w:footerReference w:type="first" r:id="rId23"/>
          <w:footnotePr>
            <w:numRestart w:val="eachPage"/>
          </w:footnotePr>
          <w:pgSz w:w="11906" w:h="16838" w:code="9"/>
          <w:pgMar w:top="1389" w:right="2268" w:bottom="1389" w:left="1797" w:header="720" w:footer="720" w:gutter="0"/>
          <w:cols w:space="708"/>
          <w:titlePg/>
          <w:bidi/>
          <w:rtlGutter/>
          <w:docGrid w:linePitch="435"/>
        </w:sectPr>
      </w:pPr>
    </w:p>
    <w:p w:rsidR="00D11232" w:rsidRPr="00C17B7B" w:rsidRDefault="00D11232" w:rsidP="00D11232">
      <w:pPr>
        <w:keepNext/>
        <w:contextualSpacing/>
        <w:outlineLvl w:val="1"/>
        <w:rPr>
          <w:rFonts w:ascii="Arial" w:hAnsi="Arial"/>
          <w:b/>
          <w:bCs/>
          <w:i/>
          <w:noProof/>
          <w:color w:val="FFFFFF" w:themeColor="background1"/>
          <w:sz w:val="28"/>
          <w:rtl/>
        </w:rPr>
      </w:pPr>
      <w:r w:rsidRPr="00C17B7B">
        <w:rPr>
          <w:rFonts w:ascii="Arial" w:hAnsi="Arial"/>
          <w:b/>
          <w:bCs/>
          <w:i/>
          <w:noProof/>
          <w:color w:val="FFFFFF" w:themeColor="background1"/>
          <w:sz w:val="28"/>
          <w:rtl/>
        </w:rPr>
        <w:lastRenderedPageBreak/>
        <w:t>الفصل الأول</w:t>
      </w:r>
      <w:r w:rsidRPr="00C17B7B">
        <w:rPr>
          <w:rFonts w:ascii="Arial" w:hAnsi="Arial" w:hint="cs"/>
          <w:b/>
          <w:bCs/>
          <w:i/>
          <w:noProof/>
          <w:color w:val="FFFFFF" w:themeColor="background1"/>
          <w:sz w:val="28"/>
          <w:rtl/>
        </w:rPr>
        <w:t>:</w:t>
      </w:r>
      <w:r w:rsidRPr="00C17B7B">
        <w:rPr>
          <w:rFonts w:ascii="Arial" w:hAnsi="Arial"/>
          <w:b/>
          <w:bCs/>
          <w:i/>
          <w:noProof/>
          <w:color w:val="FFFFFF" w:themeColor="background1"/>
          <w:sz w:val="28"/>
          <w:rtl/>
        </w:rPr>
        <w:t xml:space="preserve"> تعريف موجز بالمؤلف–</w:t>
      </w:r>
      <w:r w:rsidRPr="00C17B7B">
        <w:rPr>
          <w:rFonts w:ascii="Arial" w:hAnsi="Arial" w:hint="cs"/>
          <w:b/>
          <w:bCs/>
          <w:i/>
          <w:noProof/>
          <w:color w:val="FFFFFF" w:themeColor="background1"/>
          <w:sz w:val="28"/>
          <w:rtl/>
        </w:rPr>
        <w:t xml:space="preserve"> رحمه الله</w:t>
      </w:r>
    </w:p>
    <w:p w:rsidR="00D11232" w:rsidRPr="00C17B7B" w:rsidRDefault="00D11232" w:rsidP="00D11232">
      <w:pPr>
        <w:contextualSpacing/>
        <w:rPr>
          <w:rFonts w:ascii="Lotus Linotype" w:eastAsia="Calibri" w:hAnsi="Lotus Linotype"/>
          <w:color w:val="auto"/>
          <w:sz w:val="40"/>
          <w:szCs w:val="40"/>
          <w:rtl/>
        </w:rPr>
      </w:pPr>
      <w:r w:rsidRPr="00C17B7B">
        <w:rPr>
          <w:rFonts w:ascii="Lotus Linotype" w:eastAsia="Calibri" w:hAnsi="Lotus Linotype"/>
          <w:b/>
          <w:bCs/>
          <w:noProof/>
          <w:color w:val="auto"/>
          <w:sz w:val="40"/>
          <w:szCs w:val="40"/>
          <w:u w:val="single"/>
          <w:rtl/>
          <w:lang w:eastAsia="en-US"/>
        </w:rPr>
        <mc:AlternateContent>
          <mc:Choice Requires="wps">
            <w:drawing>
              <wp:anchor distT="0" distB="0" distL="114300" distR="114300" simplePos="0" relativeHeight="251661312" behindDoc="0" locked="0" layoutInCell="1" allowOverlap="1" wp14:anchorId="6742C6F7" wp14:editId="07D7E619">
                <wp:simplePos x="0" y="0"/>
                <wp:positionH relativeFrom="margin">
                  <wp:align>center</wp:align>
                </wp:positionH>
                <wp:positionV relativeFrom="margin">
                  <wp:posOffset>2078355</wp:posOffset>
                </wp:positionV>
                <wp:extent cx="4638675" cy="6048375"/>
                <wp:effectExtent l="0" t="0" r="0" b="0"/>
                <wp:wrapSquare wrapText="bothSides"/>
                <wp:docPr id="75" name="AutoShap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38675" cy="6048375"/>
                        </a:xfrm>
                        <a:prstGeom prst="flowChartAlternateProcess">
                          <a:avLst/>
                        </a:prstGeom>
                        <a:noFill/>
                        <a:ln w="9525">
                          <a:noFill/>
                          <a:miter lim="800000"/>
                          <a:headEnd/>
                          <a:tailEnd/>
                        </a:ln>
                        <a:effectLst/>
                      </wps:spPr>
                      <wps:txbx>
                        <w:txbxContent>
                          <w:p w:rsidR="003F128F" w:rsidRPr="00372BA2" w:rsidRDefault="003F128F" w:rsidP="00D11232">
                            <w:pPr>
                              <w:jc w:val="center"/>
                              <w:rPr>
                                <w:rFonts w:ascii="Lotus Linotype" w:hAnsi="Lotus Linotype" w:cs="Sultan bold"/>
                                <w:sz w:val="48"/>
                                <w:szCs w:val="48"/>
                                <w:rtl/>
                              </w:rPr>
                            </w:pPr>
                            <w:r w:rsidRPr="00372BA2">
                              <w:rPr>
                                <w:rFonts w:ascii="Lotus Linotype" w:hAnsi="Lotus Linotype" w:cs="Sultan bold"/>
                                <w:sz w:val="48"/>
                                <w:szCs w:val="48"/>
                                <w:rtl/>
                              </w:rPr>
                              <w:t>الفصل الأول</w:t>
                            </w:r>
                            <w:r w:rsidRPr="00372BA2">
                              <w:rPr>
                                <w:rFonts w:ascii="Lotus Linotype" w:hAnsi="Lotus Linotype" w:cs="Sultan bold" w:hint="cs"/>
                                <w:sz w:val="48"/>
                                <w:szCs w:val="48"/>
                                <w:rtl/>
                              </w:rPr>
                              <w:t>:</w:t>
                            </w:r>
                          </w:p>
                          <w:p w:rsidR="003F128F" w:rsidRPr="00372BA2" w:rsidRDefault="003F128F" w:rsidP="00D67D74">
                            <w:pPr>
                              <w:ind w:firstLine="0"/>
                              <w:rPr>
                                <w:rFonts w:ascii="Lotus Linotype" w:hAnsi="Lotus Linotype" w:cs="Sultan bold"/>
                                <w:sz w:val="48"/>
                                <w:szCs w:val="48"/>
                                <w:u w:val="single"/>
                                <w:rtl/>
                              </w:rPr>
                            </w:pPr>
                            <w:r>
                              <w:rPr>
                                <w:rFonts w:ascii="Lotus Linotype" w:hAnsi="Lotus Linotype" w:cs="Sultan bold" w:hint="cs"/>
                                <w:sz w:val="48"/>
                                <w:szCs w:val="48"/>
                                <w:rtl/>
                              </w:rPr>
                              <w:t xml:space="preserve">   ال</w:t>
                            </w:r>
                            <w:r>
                              <w:rPr>
                                <w:rFonts w:ascii="Lotus Linotype" w:hAnsi="Lotus Linotype" w:cs="Sultan bold"/>
                                <w:sz w:val="48"/>
                                <w:szCs w:val="48"/>
                                <w:rtl/>
                              </w:rPr>
                              <w:t>تعريف بالمؤلف</w:t>
                            </w:r>
                          </w:p>
                          <w:p w:rsidR="003F128F" w:rsidRPr="00372BA2" w:rsidRDefault="003F128F" w:rsidP="00D11232">
                            <w:pPr>
                              <w:rPr>
                                <w:rFonts w:ascii="Lotus Linotype" w:hAnsi="Lotus Linotype" w:cs="AF_Diwani"/>
                                <w:sz w:val="44"/>
                                <w:szCs w:val="44"/>
                                <w:rtl/>
                              </w:rPr>
                            </w:pPr>
                            <w:r w:rsidRPr="00372BA2">
                              <w:rPr>
                                <w:rFonts w:ascii="Lotus Linotype" w:hAnsi="Lotus Linotype" w:cs="AF_Diwani"/>
                                <w:sz w:val="44"/>
                                <w:szCs w:val="44"/>
                                <w:rtl/>
                              </w:rPr>
                              <w:t xml:space="preserve">وفيه </w:t>
                            </w:r>
                            <w:r w:rsidRPr="00372BA2">
                              <w:rPr>
                                <w:rFonts w:ascii="Lotus Linotype" w:hAnsi="Lotus Linotype" w:cs="AF_Diwani" w:hint="cs"/>
                                <w:sz w:val="44"/>
                                <w:szCs w:val="44"/>
                                <w:rtl/>
                              </w:rPr>
                              <w:t>سبعة</w:t>
                            </w:r>
                            <w:r w:rsidRPr="00372BA2">
                              <w:rPr>
                                <w:rFonts w:ascii="Lotus Linotype" w:hAnsi="Lotus Linotype" w:cs="AF_Diwani"/>
                                <w:sz w:val="44"/>
                                <w:szCs w:val="44"/>
                                <w:rtl/>
                              </w:rPr>
                              <w:t xml:space="preserve"> مباحث:</w:t>
                            </w:r>
                          </w:p>
                          <w:p w:rsidR="003F128F" w:rsidRPr="00366AC2" w:rsidRDefault="003F128F" w:rsidP="00D11232">
                            <w:pPr>
                              <w:rPr>
                                <w:rFonts w:ascii="Lotus Linotype" w:hAnsi="Lotus Linotype"/>
                                <w:sz w:val="40"/>
                                <w:szCs w:val="40"/>
                                <w:rtl/>
                              </w:rPr>
                            </w:pPr>
                            <w:r w:rsidRPr="00366AC2">
                              <w:rPr>
                                <w:rFonts w:ascii="Lotus Linotype" w:hAnsi="Lotus Linotype"/>
                                <w:b/>
                                <w:bCs/>
                                <w:sz w:val="40"/>
                                <w:szCs w:val="40"/>
                                <w:rtl/>
                              </w:rPr>
                              <w:t>المبحث الأول</w:t>
                            </w:r>
                            <w:r w:rsidRPr="00366AC2">
                              <w:rPr>
                                <w:rFonts w:ascii="Lotus Linotype" w:hAnsi="Lotus Linotype"/>
                                <w:sz w:val="40"/>
                                <w:szCs w:val="40"/>
                                <w:rtl/>
                              </w:rPr>
                              <w:t xml:space="preserve">: </w:t>
                            </w:r>
                            <w:r>
                              <w:rPr>
                                <w:rFonts w:ascii="Lotus Linotype" w:hAnsi="Lotus Linotype" w:hint="cs"/>
                                <w:sz w:val="40"/>
                                <w:szCs w:val="40"/>
                                <w:rtl/>
                              </w:rPr>
                              <w:t>اسمه, و</w:t>
                            </w:r>
                            <w:r>
                              <w:rPr>
                                <w:rFonts w:ascii="Lotus Linotype" w:hAnsi="Lotus Linotype"/>
                                <w:sz w:val="40"/>
                                <w:szCs w:val="40"/>
                                <w:rtl/>
                              </w:rPr>
                              <w:t>لقبه،</w:t>
                            </w:r>
                            <w:r w:rsidRPr="00366AC2">
                              <w:rPr>
                                <w:rFonts w:ascii="Lotus Linotype" w:hAnsi="Lotus Linotype"/>
                                <w:sz w:val="40"/>
                                <w:szCs w:val="40"/>
                                <w:rtl/>
                              </w:rPr>
                              <w:t xml:space="preserve"> وكنيته، ونسبه.</w:t>
                            </w:r>
                          </w:p>
                          <w:p w:rsidR="003F128F" w:rsidRPr="00366AC2" w:rsidRDefault="003F128F" w:rsidP="00D11232">
                            <w:pPr>
                              <w:rPr>
                                <w:rFonts w:ascii="Lotus Linotype" w:hAnsi="Lotus Linotype"/>
                                <w:sz w:val="40"/>
                                <w:szCs w:val="40"/>
                                <w:rtl/>
                              </w:rPr>
                            </w:pPr>
                            <w:r w:rsidRPr="00366AC2">
                              <w:rPr>
                                <w:rFonts w:ascii="Lotus Linotype" w:hAnsi="Lotus Linotype"/>
                                <w:b/>
                                <w:bCs/>
                                <w:sz w:val="40"/>
                                <w:szCs w:val="40"/>
                                <w:rtl/>
                              </w:rPr>
                              <w:t>المبحث الثاني</w:t>
                            </w:r>
                            <w:r w:rsidRPr="00366AC2">
                              <w:rPr>
                                <w:rFonts w:ascii="Lotus Linotype" w:hAnsi="Lotus Linotype"/>
                                <w:sz w:val="40"/>
                                <w:szCs w:val="40"/>
                                <w:rtl/>
                              </w:rPr>
                              <w:t>: مولده</w:t>
                            </w:r>
                            <w:r w:rsidRPr="00366AC2">
                              <w:rPr>
                                <w:rFonts w:ascii="Lotus Linotype" w:hAnsi="Lotus Linotype" w:hint="cs"/>
                                <w:sz w:val="40"/>
                                <w:szCs w:val="40"/>
                                <w:rtl/>
                              </w:rPr>
                              <w:t>،</w:t>
                            </w:r>
                            <w:r w:rsidRPr="00366AC2">
                              <w:rPr>
                                <w:rFonts w:ascii="Lotus Linotype" w:hAnsi="Lotus Linotype"/>
                                <w:sz w:val="40"/>
                                <w:szCs w:val="40"/>
                                <w:rtl/>
                              </w:rPr>
                              <w:t xml:space="preserve"> ونشأته</w:t>
                            </w:r>
                            <w:r w:rsidRPr="00366AC2">
                              <w:rPr>
                                <w:rFonts w:ascii="Lotus Linotype" w:hAnsi="Lotus Linotype" w:hint="cs"/>
                                <w:sz w:val="40"/>
                                <w:szCs w:val="40"/>
                                <w:rtl/>
                              </w:rPr>
                              <w:t>،</w:t>
                            </w:r>
                            <w:r w:rsidRPr="00366AC2">
                              <w:rPr>
                                <w:rFonts w:ascii="Lotus Linotype" w:hAnsi="Lotus Linotype"/>
                                <w:sz w:val="40"/>
                                <w:szCs w:val="40"/>
                                <w:rtl/>
                              </w:rPr>
                              <w:t xml:space="preserve"> ووفاته.</w:t>
                            </w:r>
                          </w:p>
                          <w:p w:rsidR="003F128F" w:rsidRPr="00366AC2" w:rsidRDefault="003F128F" w:rsidP="00D11232">
                            <w:pPr>
                              <w:rPr>
                                <w:rFonts w:ascii="Lotus Linotype" w:hAnsi="Lotus Linotype"/>
                                <w:sz w:val="40"/>
                                <w:szCs w:val="40"/>
                                <w:rtl/>
                              </w:rPr>
                            </w:pPr>
                            <w:r w:rsidRPr="00366AC2">
                              <w:rPr>
                                <w:rFonts w:ascii="Lotus Linotype" w:hAnsi="Lotus Linotype"/>
                                <w:b/>
                                <w:bCs/>
                                <w:sz w:val="40"/>
                                <w:szCs w:val="40"/>
                                <w:rtl/>
                              </w:rPr>
                              <w:t>المبحث الثالث</w:t>
                            </w:r>
                            <w:r>
                              <w:rPr>
                                <w:rFonts w:ascii="Lotus Linotype" w:hAnsi="Lotus Linotype"/>
                                <w:sz w:val="40"/>
                                <w:szCs w:val="40"/>
                                <w:rtl/>
                              </w:rPr>
                              <w:t xml:space="preserve">: </w:t>
                            </w:r>
                            <w:r>
                              <w:rPr>
                                <w:rFonts w:ascii="Lotus Linotype" w:hAnsi="Lotus Linotype" w:hint="cs"/>
                                <w:sz w:val="40"/>
                                <w:szCs w:val="40"/>
                                <w:rtl/>
                              </w:rPr>
                              <w:t>شيوخه, وتلاميذه.</w:t>
                            </w:r>
                          </w:p>
                          <w:p w:rsidR="003F128F" w:rsidRPr="00366AC2" w:rsidRDefault="003F128F" w:rsidP="00D67D74">
                            <w:pPr>
                              <w:rPr>
                                <w:rFonts w:ascii="Lotus Linotype" w:hAnsi="Lotus Linotype"/>
                                <w:sz w:val="40"/>
                                <w:szCs w:val="40"/>
                                <w:rtl/>
                              </w:rPr>
                            </w:pPr>
                            <w:r w:rsidRPr="00366AC2">
                              <w:rPr>
                                <w:rFonts w:ascii="Lotus Linotype" w:hAnsi="Lotus Linotype"/>
                                <w:b/>
                                <w:bCs/>
                                <w:sz w:val="40"/>
                                <w:szCs w:val="40"/>
                                <w:rtl/>
                              </w:rPr>
                              <w:t>المبحث الرابع</w:t>
                            </w:r>
                            <w:r w:rsidRPr="00366AC2">
                              <w:rPr>
                                <w:rFonts w:ascii="Lotus Linotype" w:hAnsi="Lotus Linotype"/>
                                <w:sz w:val="40"/>
                                <w:szCs w:val="40"/>
                                <w:rtl/>
                              </w:rPr>
                              <w:t xml:space="preserve">: </w:t>
                            </w:r>
                            <w:r>
                              <w:rPr>
                                <w:rFonts w:ascii="Lotus Linotype" w:hAnsi="Lotus Linotype" w:hint="cs"/>
                                <w:sz w:val="40"/>
                                <w:szCs w:val="40"/>
                                <w:rtl/>
                              </w:rPr>
                              <w:t>عقيدته.</w:t>
                            </w:r>
                          </w:p>
                          <w:p w:rsidR="003F128F" w:rsidRPr="00366AC2" w:rsidRDefault="003F128F" w:rsidP="00D67D74">
                            <w:pPr>
                              <w:rPr>
                                <w:rFonts w:ascii="Lotus Linotype" w:hAnsi="Lotus Linotype"/>
                                <w:sz w:val="40"/>
                                <w:szCs w:val="40"/>
                                <w:rtl/>
                              </w:rPr>
                            </w:pPr>
                            <w:r w:rsidRPr="00366AC2">
                              <w:rPr>
                                <w:rFonts w:ascii="Lotus Linotype" w:hAnsi="Lotus Linotype"/>
                                <w:b/>
                                <w:bCs/>
                                <w:sz w:val="40"/>
                                <w:szCs w:val="40"/>
                                <w:rtl/>
                              </w:rPr>
                              <w:t>المبحث الخامس</w:t>
                            </w:r>
                            <w:r w:rsidRPr="00366AC2">
                              <w:rPr>
                                <w:rFonts w:ascii="Lotus Linotype" w:hAnsi="Lotus Linotype"/>
                                <w:sz w:val="40"/>
                                <w:szCs w:val="40"/>
                                <w:rtl/>
                              </w:rPr>
                              <w:t xml:space="preserve">: </w:t>
                            </w:r>
                            <w:r w:rsidRPr="00366AC2">
                              <w:rPr>
                                <w:rFonts w:ascii="Lotus Linotype" w:hAnsi="Lotus Linotype" w:hint="cs"/>
                                <w:sz w:val="40"/>
                                <w:szCs w:val="40"/>
                                <w:rtl/>
                              </w:rPr>
                              <w:t>مذهبه الفقهي</w:t>
                            </w:r>
                            <w:r w:rsidRPr="00366AC2">
                              <w:rPr>
                                <w:rFonts w:ascii="Lotus Linotype" w:hAnsi="Lotus Linotype"/>
                                <w:sz w:val="40"/>
                                <w:szCs w:val="40"/>
                                <w:rtl/>
                              </w:rPr>
                              <w:t>.</w:t>
                            </w:r>
                          </w:p>
                          <w:p w:rsidR="003F128F" w:rsidRPr="00366AC2" w:rsidRDefault="003F128F" w:rsidP="00D67D74">
                            <w:pPr>
                              <w:rPr>
                                <w:rFonts w:ascii="Lotus Linotype" w:hAnsi="Lotus Linotype"/>
                                <w:sz w:val="40"/>
                                <w:szCs w:val="40"/>
                                <w:rtl/>
                              </w:rPr>
                            </w:pPr>
                            <w:r w:rsidRPr="00366AC2">
                              <w:rPr>
                                <w:rFonts w:ascii="Lotus Linotype" w:hAnsi="Lotus Linotype"/>
                                <w:b/>
                                <w:bCs/>
                                <w:sz w:val="40"/>
                                <w:szCs w:val="40"/>
                                <w:rtl/>
                              </w:rPr>
                              <w:t>المبحث السادس</w:t>
                            </w:r>
                            <w:r>
                              <w:rPr>
                                <w:rFonts w:ascii="Lotus Linotype" w:hAnsi="Lotus Linotype"/>
                                <w:sz w:val="40"/>
                                <w:szCs w:val="40"/>
                                <w:rtl/>
                              </w:rPr>
                              <w:t>:</w:t>
                            </w:r>
                            <w:r>
                              <w:rPr>
                                <w:rFonts w:ascii="Lotus Linotype" w:hAnsi="Lotus Linotype" w:hint="cs"/>
                                <w:sz w:val="40"/>
                                <w:szCs w:val="40"/>
                                <w:rtl/>
                              </w:rPr>
                              <w:t xml:space="preserve"> </w:t>
                            </w:r>
                            <w:r w:rsidRPr="00366AC2">
                              <w:rPr>
                                <w:rFonts w:ascii="Lotus Linotype" w:hAnsi="Lotus Linotype"/>
                                <w:sz w:val="40"/>
                                <w:szCs w:val="40"/>
                                <w:rtl/>
                              </w:rPr>
                              <w:t>مكانته العلمية، وثناء العلماء عليه</w:t>
                            </w:r>
                            <w:r>
                              <w:rPr>
                                <w:rFonts w:ascii="Lotus Linotype" w:hAnsi="Lotus Linotype" w:hint="cs"/>
                                <w:sz w:val="40"/>
                                <w:szCs w:val="40"/>
                                <w:rtl/>
                              </w:rPr>
                              <w:t>.</w:t>
                            </w:r>
                          </w:p>
                          <w:p w:rsidR="003F128F" w:rsidRPr="00366AC2" w:rsidRDefault="003F128F" w:rsidP="00D11232">
                            <w:pPr>
                              <w:rPr>
                                <w:rFonts w:cs="AL-Mateen"/>
                                <w:szCs w:val="40"/>
                              </w:rPr>
                            </w:pPr>
                            <w:r w:rsidRPr="00366AC2">
                              <w:rPr>
                                <w:rFonts w:ascii="Lotus Linotype" w:hAnsi="Lotus Linotype"/>
                                <w:b/>
                                <w:bCs/>
                                <w:sz w:val="40"/>
                                <w:szCs w:val="40"/>
                                <w:rtl/>
                              </w:rPr>
                              <w:t xml:space="preserve">المبحث </w:t>
                            </w:r>
                            <w:r w:rsidRPr="00366AC2">
                              <w:rPr>
                                <w:rFonts w:ascii="Lotus Linotype" w:hAnsi="Lotus Linotype" w:hint="cs"/>
                                <w:b/>
                                <w:bCs/>
                                <w:sz w:val="40"/>
                                <w:szCs w:val="40"/>
                                <w:rtl/>
                              </w:rPr>
                              <w:t>السابع</w:t>
                            </w:r>
                            <w:r w:rsidRPr="00366AC2">
                              <w:rPr>
                                <w:rFonts w:ascii="Lotus Linotype" w:hAnsi="Lotus Linotype"/>
                                <w:sz w:val="40"/>
                                <w:szCs w:val="40"/>
                                <w:rtl/>
                              </w:rPr>
                              <w:t>: مؤلفاته.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AutoShape 11" o:spid="_x0000_s1029" type="#_x0000_t176" style="position:absolute;left:0;text-align:left;margin-left:0;margin-top:163.65pt;width:365.25pt;height:476.25pt;z-index:251661312;visibility:visible;mso-wrap-style:square;mso-width-percent:0;mso-height-percent:0;mso-wrap-distance-left:9pt;mso-wrap-distance-top:0;mso-wrap-distance-right:9pt;mso-wrap-distance-bottom:0;mso-position-horizontal:center;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" filled="f" stroked="f">
                <v:textbox>
                  <w:txbxContent>
                    <w:p w:rsidR="003F128F" w:rsidRPr="00372BA2" w:rsidRDefault="003F128F" w:rsidP="00D11232">
                      <w:pPr>
                        <w:jc w:val="center"/>
                        <w:rPr>
                          <w:rFonts w:ascii="Lotus Linotype" w:hAnsi="Lotus Linotype" w:cs="Sultan bold"/>
                          <w:sz w:val="48"/>
                          <w:szCs w:val="48"/>
                          <w:rtl/>
                        </w:rPr>
                      </w:pPr>
                      <w:r w:rsidRPr="00372BA2">
                        <w:rPr>
                          <w:rFonts w:ascii="Lotus Linotype" w:hAnsi="Lotus Linotype" w:cs="Sultan bold"/>
                          <w:sz w:val="48"/>
                          <w:szCs w:val="48"/>
                          <w:rtl/>
                        </w:rPr>
                        <w:t>الفصل الأول</w:t>
                      </w:r>
                      <w:r w:rsidRPr="00372BA2">
                        <w:rPr>
                          <w:rFonts w:ascii="Lotus Linotype" w:hAnsi="Lotus Linotype" w:cs="Sultan bold" w:hint="cs"/>
                          <w:sz w:val="48"/>
                          <w:szCs w:val="48"/>
                          <w:rtl/>
                        </w:rPr>
                        <w:t>:</w:t>
                      </w:r>
                    </w:p>
                    <w:p w:rsidR="003F128F" w:rsidRPr="00372BA2" w:rsidRDefault="003F128F" w:rsidP="00D67D74">
                      <w:pPr>
                        <w:ind w:firstLine="0"/>
                        <w:rPr>
                          <w:rFonts w:ascii="Lotus Linotype" w:hAnsi="Lotus Linotype" w:cs="Sultan bold"/>
                          <w:sz w:val="48"/>
                          <w:szCs w:val="48"/>
                          <w:u w:val="single"/>
                          <w:rtl/>
                        </w:rPr>
                      </w:pPr>
                      <w:r>
                        <w:rPr>
                          <w:rFonts w:ascii="Lotus Linotype" w:hAnsi="Lotus Linotype" w:cs="Sultan bold" w:hint="cs"/>
                          <w:sz w:val="48"/>
                          <w:szCs w:val="48"/>
                          <w:rtl/>
                        </w:rPr>
                        <w:t xml:space="preserve">   ال</w:t>
                      </w:r>
                      <w:r>
                        <w:rPr>
                          <w:rFonts w:ascii="Lotus Linotype" w:hAnsi="Lotus Linotype" w:cs="Sultan bold"/>
                          <w:sz w:val="48"/>
                          <w:szCs w:val="48"/>
                          <w:rtl/>
                        </w:rPr>
                        <w:t>تعريف بالمؤلف</w:t>
                      </w:r>
                    </w:p>
                    <w:p w:rsidR="003F128F" w:rsidRPr="00372BA2" w:rsidRDefault="003F128F" w:rsidP="00D11232">
                      <w:pPr>
                        <w:rPr>
                          <w:rFonts w:ascii="Lotus Linotype" w:hAnsi="Lotus Linotype" w:cs="AF_Diwani"/>
                          <w:sz w:val="44"/>
                          <w:szCs w:val="44"/>
                          <w:rtl/>
                        </w:rPr>
                      </w:pPr>
                      <w:r w:rsidRPr="00372BA2">
                        <w:rPr>
                          <w:rFonts w:ascii="Lotus Linotype" w:hAnsi="Lotus Linotype" w:cs="AF_Diwani"/>
                          <w:sz w:val="44"/>
                          <w:szCs w:val="44"/>
                          <w:rtl/>
                        </w:rPr>
                        <w:t xml:space="preserve">وفيه </w:t>
                      </w:r>
                      <w:r w:rsidRPr="00372BA2">
                        <w:rPr>
                          <w:rFonts w:ascii="Lotus Linotype" w:hAnsi="Lotus Linotype" w:cs="AF_Diwani" w:hint="cs"/>
                          <w:sz w:val="44"/>
                          <w:szCs w:val="44"/>
                          <w:rtl/>
                        </w:rPr>
                        <w:t>سبعة</w:t>
                      </w:r>
                      <w:r w:rsidRPr="00372BA2">
                        <w:rPr>
                          <w:rFonts w:ascii="Lotus Linotype" w:hAnsi="Lotus Linotype" w:cs="AF_Diwani"/>
                          <w:sz w:val="44"/>
                          <w:szCs w:val="44"/>
                          <w:rtl/>
                        </w:rPr>
                        <w:t xml:space="preserve"> مباحث:</w:t>
                      </w:r>
                    </w:p>
                    <w:p w:rsidR="003F128F" w:rsidRPr="00366AC2" w:rsidRDefault="003F128F" w:rsidP="00D11232">
                      <w:pPr>
                        <w:rPr>
                          <w:rFonts w:ascii="Lotus Linotype" w:hAnsi="Lotus Linotype"/>
                          <w:sz w:val="40"/>
                          <w:szCs w:val="40"/>
                          <w:rtl/>
                        </w:rPr>
                      </w:pPr>
                      <w:r w:rsidRPr="00366AC2">
                        <w:rPr>
                          <w:rFonts w:ascii="Lotus Linotype" w:hAnsi="Lotus Linotype"/>
                          <w:b/>
                          <w:bCs/>
                          <w:sz w:val="40"/>
                          <w:szCs w:val="40"/>
                          <w:rtl/>
                        </w:rPr>
                        <w:t>المبحث الأول</w:t>
                      </w:r>
                      <w:r w:rsidRPr="00366AC2">
                        <w:rPr>
                          <w:rFonts w:ascii="Lotus Linotype" w:hAnsi="Lotus Linotype"/>
                          <w:sz w:val="40"/>
                          <w:szCs w:val="40"/>
                          <w:rtl/>
                        </w:rPr>
                        <w:t xml:space="preserve">: </w:t>
                      </w:r>
                      <w:r>
                        <w:rPr>
                          <w:rFonts w:ascii="Lotus Linotype" w:hAnsi="Lotus Linotype" w:hint="cs"/>
                          <w:sz w:val="40"/>
                          <w:szCs w:val="40"/>
                          <w:rtl/>
                        </w:rPr>
                        <w:t>اسمه, و</w:t>
                      </w:r>
                      <w:r>
                        <w:rPr>
                          <w:rFonts w:ascii="Lotus Linotype" w:hAnsi="Lotus Linotype"/>
                          <w:sz w:val="40"/>
                          <w:szCs w:val="40"/>
                          <w:rtl/>
                        </w:rPr>
                        <w:t>لقبه،</w:t>
                      </w:r>
                      <w:r w:rsidRPr="00366AC2">
                        <w:rPr>
                          <w:rFonts w:ascii="Lotus Linotype" w:hAnsi="Lotus Linotype"/>
                          <w:sz w:val="40"/>
                          <w:szCs w:val="40"/>
                          <w:rtl/>
                        </w:rPr>
                        <w:t xml:space="preserve"> وكنيته، ونسبه.</w:t>
                      </w:r>
                    </w:p>
                    <w:p w:rsidR="003F128F" w:rsidRPr="00366AC2" w:rsidRDefault="003F128F" w:rsidP="00D11232">
                      <w:pPr>
                        <w:rPr>
                          <w:rFonts w:ascii="Lotus Linotype" w:hAnsi="Lotus Linotype"/>
                          <w:sz w:val="40"/>
                          <w:szCs w:val="40"/>
                          <w:rtl/>
                        </w:rPr>
                      </w:pPr>
                      <w:r w:rsidRPr="00366AC2">
                        <w:rPr>
                          <w:rFonts w:ascii="Lotus Linotype" w:hAnsi="Lotus Linotype"/>
                          <w:b/>
                          <w:bCs/>
                          <w:sz w:val="40"/>
                          <w:szCs w:val="40"/>
                          <w:rtl/>
                        </w:rPr>
                        <w:t>المبحث الثاني</w:t>
                      </w:r>
                      <w:r w:rsidRPr="00366AC2">
                        <w:rPr>
                          <w:rFonts w:ascii="Lotus Linotype" w:hAnsi="Lotus Linotype"/>
                          <w:sz w:val="40"/>
                          <w:szCs w:val="40"/>
                          <w:rtl/>
                        </w:rPr>
                        <w:t>: مولده</w:t>
                      </w:r>
                      <w:r w:rsidRPr="00366AC2">
                        <w:rPr>
                          <w:rFonts w:ascii="Lotus Linotype" w:hAnsi="Lotus Linotype" w:hint="cs"/>
                          <w:sz w:val="40"/>
                          <w:szCs w:val="40"/>
                          <w:rtl/>
                        </w:rPr>
                        <w:t>،</w:t>
                      </w:r>
                      <w:r w:rsidRPr="00366AC2">
                        <w:rPr>
                          <w:rFonts w:ascii="Lotus Linotype" w:hAnsi="Lotus Linotype"/>
                          <w:sz w:val="40"/>
                          <w:szCs w:val="40"/>
                          <w:rtl/>
                        </w:rPr>
                        <w:t xml:space="preserve"> ونشأته</w:t>
                      </w:r>
                      <w:r w:rsidRPr="00366AC2">
                        <w:rPr>
                          <w:rFonts w:ascii="Lotus Linotype" w:hAnsi="Lotus Linotype" w:hint="cs"/>
                          <w:sz w:val="40"/>
                          <w:szCs w:val="40"/>
                          <w:rtl/>
                        </w:rPr>
                        <w:t>،</w:t>
                      </w:r>
                      <w:r w:rsidRPr="00366AC2">
                        <w:rPr>
                          <w:rFonts w:ascii="Lotus Linotype" w:hAnsi="Lotus Linotype"/>
                          <w:sz w:val="40"/>
                          <w:szCs w:val="40"/>
                          <w:rtl/>
                        </w:rPr>
                        <w:t xml:space="preserve"> ووفاته.</w:t>
                      </w:r>
                    </w:p>
                    <w:p w:rsidR="003F128F" w:rsidRPr="00366AC2" w:rsidRDefault="003F128F" w:rsidP="00D11232">
                      <w:pPr>
                        <w:rPr>
                          <w:rFonts w:ascii="Lotus Linotype" w:hAnsi="Lotus Linotype"/>
                          <w:sz w:val="40"/>
                          <w:szCs w:val="40"/>
                          <w:rtl/>
                        </w:rPr>
                      </w:pPr>
                      <w:r w:rsidRPr="00366AC2">
                        <w:rPr>
                          <w:rFonts w:ascii="Lotus Linotype" w:hAnsi="Lotus Linotype"/>
                          <w:b/>
                          <w:bCs/>
                          <w:sz w:val="40"/>
                          <w:szCs w:val="40"/>
                          <w:rtl/>
                        </w:rPr>
                        <w:t>المبحث الثالث</w:t>
                      </w:r>
                      <w:r>
                        <w:rPr>
                          <w:rFonts w:ascii="Lotus Linotype" w:hAnsi="Lotus Linotype"/>
                          <w:sz w:val="40"/>
                          <w:szCs w:val="40"/>
                          <w:rtl/>
                        </w:rPr>
                        <w:t xml:space="preserve">: </w:t>
                      </w:r>
                      <w:r>
                        <w:rPr>
                          <w:rFonts w:ascii="Lotus Linotype" w:hAnsi="Lotus Linotype" w:hint="cs"/>
                          <w:sz w:val="40"/>
                          <w:szCs w:val="40"/>
                          <w:rtl/>
                        </w:rPr>
                        <w:t>شيوخه, وتلاميذه.</w:t>
                      </w:r>
                    </w:p>
                    <w:p w:rsidR="003F128F" w:rsidRPr="00366AC2" w:rsidRDefault="003F128F" w:rsidP="00D67D74">
                      <w:pPr>
                        <w:rPr>
                          <w:rFonts w:ascii="Lotus Linotype" w:hAnsi="Lotus Linotype"/>
                          <w:sz w:val="40"/>
                          <w:szCs w:val="40"/>
                          <w:rtl/>
                        </w:rPr>
                      </w:pPr>
                      <w:r w:rsidRPr="00366AC2">
                        <w:rPr>
                          <w:rFonts w:ascii="Lotus Linotype" w:hAnsi="Lotus Linotype"/>
                          <w:b/>
                          <w:bCs/>
                          <w:sz w:val="40"/>
                          <w:szCs w:val="40"/>
                          <w:rtl/>
                        </w:rPr>
                        <w:t>المبحث الرابع</w:t>
                      </w:r>
                      <w:r w:rsidRPr="00366AC2">
                        <w:rPr>
                          <w:rFonts w:ascii="Lotus Linotype" w:hAnsi="Lotus Linotype"/>
                          <w:sz w:val="40"/>
                          <w:szCs w:val="40"/>
                          <w:rtl/>
                        </w:rPr>
                        <w:t xml:space="preserve">: </w:t>
                      </w:r>
                      <w:r>
                        <w:rPr>
                          <w:rFonts w:ascii="Lotus Linotype" w:hAnsi="Lotus Linotype" w:hint="cs"/>
                          <w:sz w:val="40"/>
                          <w:szCs w:val="40"/>
                          <w:rtl/>
                        </w:rPr>
                        <w:t>عقيدته.</w:t>
                      </w:r>
                    </w:p>
                    <w:p w:rsidR="003F128F" w:rsidRPr="00366AC2" w:rsidRDefault="003F128F" w:rsidP="00D67D74">
                      <w:pPr>
                        <w:rPr>
                          <w:rFonts w:ascii="Lotus Linotype" w:hAnsi="Lotus Linotype"/>
                          <w:sz w:val="40"/>
                          <w:szCs w:val="40"/>
                          <w:rtl/>
                        </w:rPr>
                      </w:pPr>
                      <w:r w:rsidRPr="00366AC2">
                        <w:rPr>
                          <w:rFonts w:ascii="Lotus Linotype" w:hAnsi="Lotus Linotype"/>
                          <w:b/>
                          <w:bCs/>
                          <w:sz w:val="40"/>
                          <w:szCs w:val="40"/>
                          <w:rtl/>
                        </w:rPr>
                        <w:t>المبحث الخامس</w:t>
                      </w:r>
                      <w:r w:rsidRPr="00366AC2">
                        <w:rPr>
                          <w:rFonts w:ascii="Lotus Linotype" w:hAnsi="Lotus Linotype"/>
                          <w:sz w:val="40"/>
                          <w:szCs w:val="40"/>
                          <w:rtl/>
                        </w:rPr>
                        <w:t xml:space="preserve">: </w:t>
                      </w:r>
                      <w:r w:rsidRPr="00366AC2">
                        <w:rPr>
                          <w:rFonts w:ascii="Lotus Linotype" w:hAnsi="Lotus Linotype" w:hint="cs"/>
                          <w:sz w:val="40"/>
                          <w:szCs w:val="40"/>
                          <w:rtl/>
                        </w:rPr>
                        <w:t>مذهبه الفقهي</w:t>
                      </w:r>
                      <w:r w:rsidRPr="00366AC2">
                        <w:rPr>
                          <w:rFonts w:ascii="Lotus Linotype" w:hAnsi="Lotus Linotype"/>
                          <w:sz w:val="40"/>
                          <w:szCs w:val="40"/>
                          <w:rtl/>
                        </w:rPr>
                        <w:t>.</w:t>
                      </w:r>
                    </w:p>
                    <w:p w:rsidR="003F128F" w:rsidRPr="00366AC2" w:rsidRDefault="003F128F" w:rsidP="00D67D74">
                      <w:pPr>
                        <w:rPr>
                          <w:rFonts w:ascii="Lotus Linotype" w:hAnsi="Lotus Linotype"/>
                          <w:sz w:val="40"/>
                          <w:szCs w:val="40"/>
                          <w:rtl/>
                        </w:rPr>
                      </w:pPr>
                      <w:r w:rsidRPr="00366AC2">
                        <w:rPr>
                          <w:rFonts w:ascii="Lotus Linotype" w:hAnsi="Lotus Linotype"/>
                          <w:b/>
                          <w:bCs/>
                          <w:sz w:val="40"/>
                          <w:szCs w:val="40"/>
                          <w:rtl/>
                        </w:rPr>
                        <w:t>المبحث السادس</w:t>
                      </w:r>
                      <w:r>
                        <w:rPr>
                          <w:rFonts w:ascii="Lotus Linotype" w:hAnsi="Lotus Linotype"/>
                          <w:sz w:val="40"/>
                          <w:szCs w:val="40"/>
                          <w:rtl/>
                        </w:rPr>
                        <w:t>:</w:t>
                      </w:r>
                      <w:r>
                        <w:rPr>
                          <w:rFonts w:ascii="Lotus Linotype" w:hAnsi="Lotus Linotype" w:hint="cs"/>
                          <w:sz w:val="40"/>
                          <w:szCs w:val="40"/>
                          <w:rtl/>
                        </w:rPr>
                        <w:t xml:space="preserve"> </w:t>
                      </w:r>
                      <w:r w:rsidRPr="00366AC2">
                        <w:rPr>
                          <w:rFonts w:ascii="Lotus Linotype" w:hAnsi="Lotus Linotype"/>
                          <w:sz w:val="40"/>
                          <w:szCs w:val="40"/>
                          <w:rtl/>
                        </w:rPr>
                        <w:t>مكانته العلمية، وثناء العلماء عليه</w:t>
                      </w:r>
                      <w:r>
                        <w:rPr>
                          <w:rFonts w:ascii="Lotus Linotype" w:hAnsi="Lotus Linotype" w:hint="cs"/>
                          <w:sz w:val="40"/>
                          <w:szCs w:val="40"/>
                          <w:rtl/>
                        </w:rPr>
                        <w:t>.</w:t>
                      </w:r>
                    </w:p>
                    <w:p w:rsidR="003F128F" w:rsidRPr="00366AC2" w:rsidRDefault="003F128F" w:rsidP="00D11232">
                      <w:pPr>
                        <w:rPr>
                          <w:rFonts w:cs="AL-Mateen"/>
                          <w:szCs w:val="40"/>
                        </w:rPr>
                      </w:pPr>
                      <w:r w:rsidRPr="00366AC2">
                        <w:rPr>
                          <w:rFonts w:ascii="Lotus Linotype" w:hAnsi="Lotus Linotype"/>
                          <w:b/>
                          <w:bCs/>
                          <w:sz w:val="40"/>
                          <w:szCs w:val="40"/>
                          <w:rtl/>
                        </w:rPr>
                        <w:t xml:space="preserve">المبحث </w:t>
                      </w:r>
                      <w:r w:rsidRPr="00366AC2">
                        <w:rPr>
                          <w:rFonts w:ascii="Lotus Linotype" w:hAnsi="Lotus Linotype" w:hint="cs"/>
                          <w:b/>
                          <w:bCs/>
                          <w:sz w:val="40"/>
                          <w:szCs w:val="40"/>
                          <w:rtl/>
                        </w:rPr>
                        <w:t>السابع</w:t>
                      </w:r>
                      <w:r w:rsidRPr="00366AC2">
                        <w:rPr>
                          <w:rFonts w:ascii="Lotus Linotype" w:hAnsi="Lotus Linotype"/>
                          <w:sz w:val="40"/>
                          <w:szCs w:val="40"/>
                          <w:rtl/>
                        </w:rPr>
                        <w:t>: مؤلفاته.</w:t>
                      </w:r>
                    </w:p>
                  </w:txbxContent>
                </v:textbox>
                <w10:wrap type="square" anchorx="margin" anchory="margin"/>
              </v:shape>
            </w:pict>
          </mc:Fallback>
        </mc:AlternateContent>
      </w:r>
      <w:r w:rsidRPr="00C17B7B">
        <w:rPr>
          <w:rFonts w:ascii="Traditional Arabic" w:eastAsia="Calibri" w:hAnsi="Traditional Arabic"/>
          <w:noProof/>
          <w:color w:val="FF0000"/>
          <w:szCs w:val="32"/>
          <w:rtl/>
          <w:lang w:eastAsia="en-US"/>
        </w:rPr>
        <w:drawing>
          <wp:anchor distT="0" distB="0" distL="114300" distR="114300" simplePos="0" relativeHeight="251664384" behindDoc="1" locked="0" layoutInCell="1" allowOverlap="1" wp14:anchorId="00A303EF" wp14:editId="08DA99CE">
            <wp:simplePos x="0" y="0"/>
            <wp:positionH relativeFrom="margin">
              <wp:align>center</wp:align>
            </wp:positionH>
            <wp:positionV relativeFrom="paragraph">
              <wp:posOffset>1256665</wp:posOffset>
            </wp:positionV>
            <wp:extent cx="4854575" cy="4104005"/>
            <wp:effectExtent l="0" t="0" r="0" b="0"/>
            <wp:wrapNone/>
            <wp:docPr id="11" name="صورة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بدون عنوان-6 نسخ.PNG"/>
                    <pic:cNvPicPr/>
                  </pic:nvPicPr>
                  <pic:blipFill rotWithShape="1">
                    <a:blip r:embed="rId24" cstate="print">
                      <a:extLst>
                        <a:ext uri="{28A0092B-C50C-407E-A947-70E740481C1C}">
                          <a14:useLocalDpi xmlns:a14="http://schemas.microsoft.com/office/drawing/2010/main" val="0"/>
                        </a:ext>
                      </a:extLst>
                    </a:blip>
                    <a:srcRect t="19083" b="24639"/>
                    <a:stretch/>
                  </pic:blipFill>
                  <pic:spPr bwMode="auto">
                    <a:xfrm>
                      <a:off x="0" y="0"/>
                      <a:ext cx="4854575" cy="4104005"/>
                    </a:xfrm>
                    <a:prstGeom prst="rect">
                      <a:avLst/>
                    </a:prstGeom>
                    <a:ln>
                      <a:noFill/>
                    </a:ln>
                    <a:extLst>
                      <a:ext uri="{53640926-AAD7-44D8-BBD7-CCE9431645EC}">
                        <a14:shadowObscured xmlns:a14="http://schemas.microsoft.com/office/drawing/2010/main"/>
                      </a:ext>
                    </a:extLst>
                  </pic:spPr>
                </pic:pic>
              </a:graphicData>
            </a:graphic>
          </wp:anchor>
        </w:drawing>
      </w:r>
      <w:r w:rsidRPr="00C17B7B">
        <w:rPr>
          <w:rFonts w:ascii="Lotus Linotype" w:eastAsia="Calibri" w:hAnsi="Lotus Linotype"/>
          <w:color w:val="auto"/>
          <w:sz w:val="40"/>
          <w:szCs w:val="40"/>
          <w:rtl/>
        </w:rPr>
        <w:br w:type="page"/>
      </w:r>
    </w:p>
    <w:p w:rsidR="00D11232" w:rsidRPr="00C17B7B" w:rsidRDefault="00D11232" w:rsidP="00372BA2">
      <w:pPr>
        <w:keepNext/>
        <w:ind w:firstLine="0"/>
        <w:contextualSpacing/>
        <w:outlineLvl w:val="2"/>
        <w:rPr>
          <w:rFonts w:ascii="Arial" w:hAnsi="Arial"/>
          <w:b/>
          <w:bCs/>
          <w:noProof/>
          <w:sz w:val="26"/>
          <w:szCs w:val="40"/>
          <w:rtl/>
        </w:rPr>
      </w:pPr>
      <w:r w:rsidRPr="00C17B7B">
        <w:rPr>
          <w:rFonts w:ascii="Arial" w:hAnsi="Arial" w:hint="cs"/>
          <w:b/>
          <w:bCs/>
          <w:noProof/>
          <w:sz w:val="26"/>
          <w:szCs w:val="40"/>
          <w:rtl/>
        </w:rPr>
        <w:lastRenderedPageBreak/>
        <w:t xml:space="preserve">المبحث الأول: </w:t>
      </w:r>
      <w:r w:rsidRPr="00C17B7B">
        <w:rPr>
          <w:rFonts w:ascii="Arial" w:hAnsi="Arial"/>
          <w:b/>
          <w:bCs/>
          <w:noProof/>
          <w:sz w:val="26"/>
          <w:szCs w:val="40"/>
          <w:rtl/>
        </w:rPr>
        <w:t>اسمه</w:t>
      </w:r>
      <w:r w:rsidR="00D67D74">
        <w:rPr>
          <w:rFonts w:ascii="Arial" w:hAnsi="Arial" w:hint="cs"/>
          <w:b/>
          <w:bCs/>
          <w:noProof/>
          <w:sz w:val="26"/>
          <w:szCs w:val="40"/>
          <w:rtl/>
        </w:rPr>
        <w:t xml:space="preserve"> ولقبه</w:t>
      </w:r>
      <w:r w:rsidR="00D67D74">
        <w:rPr>
          <w:rFonts w:ascii="Arial" w:hAnsi="Arial"/>
          <w:b/>
          <w:bCs/>
          <w:noProof/>
          <w:sz w:val="26"/>
          <w:szCs w:val="40"/>
          <w:rtl/>
        </w:rPr>
        <w:t xml:space="preserve"> وكنيته و</w:t>
      </w:r>
      <w:r w:rsidR="00D67D74">
        <w:rPr>
          <w:rFonts w:ascii="Arial" w:hAnsi="Arial" w:hint="cs"/>
          <w:b/>
          <w:bCs/>
          <w:noProof/>
          <w:sz w:val="26"/>
          <w:szCs w:val="40"/>
          <w:rtl/>
        </w:rPr>
        <w:t>نسبه</w:t>
      </w:r>
      <w:r w:rsidRPr="00C17B7B">
        <w:rPr>
          <w:rFonts w:ascii="Arial" w:hAnsi="Arial" w:hint="cs"/>
          <w:b/>
          <w:bCs/>
          <w:noProof/>
          <w:sz w:val="26"/>
          <w:szCs w:val="40"/>
          <w:rtl/>
        </w:rPr>
        <w:t>:</w:t>
      </w:r>
    </w:p>
    <w:p w:rsidR="00D11232" w:rsidRPr="00C17B7B" w:rsidRDefault="00D11232" w:rsidP="00244F4B">
      <w:pPr>
        <w:spacing w:line="276" w:lineRule="auto"/>
        <w:ind w:firstLine="0"/>
        <w:contextualSpacing/>
        <w:jc w:val="lowKashida"/>
        <w:rPr>
          <w:rFonts w:ascii="Traditional Arabic" w:eastAsia="Calibri" w:hAnsi="Traditional Arabic"/>
          <w:color w:val="auto"/>
          <w:rtl/>
        </w:rPr>
      </w:pPr>
      <w:r w:rsidRPr="00C17B7B">
        <w:rPr>
          <w:rFonts w:ascii="Traditional Arabic" w:eastAsia="Calibri" w:hAnsi="Traditional Arabic"/>
          <w:color w:val="auto"/>
          <w:rtl/>
        </w:rPr>
        <w:t xml:space="preserve">هو عبدالرحمن بن علي بن محمد بن علي بن عبيد الله بن عبدالله بن حمادي بن أحمد بن محمد بن جعفر بن عبدالله بن القاسم بن النضـر بن القاسم بن محمد بن عبدالله القاسم بن محمد بن أبي بكر الصديق </w:t>
      </w:r>
      <w:r w:rsidRPr="00C17B7B">
        <w:rPr>
          <w:rFonts w:ascii="Traditional Arabic" w:eastAsia="Calibri" w:hAnsi="Traditional Arabic"/>
          <w:color w:val="auto"/>
        </w:rPr>
        <w:sym w:font="AGA Arabesque" w:char="F074"/>
      </w:r>
      <w:r w:rsidRPr="00C17B7B">
        <w:rPr>
          <w:rFonts w:ascii="Traditional Arabic" w:eastAsia="Calibri" w:hAnsi="Traditional Arabic"/>
          <w:color w:val="auto"/>
          <w:rtl/>
        </w:rPr>
        <w:t xml:space="preserve"> القرشـي التيمي البكري البغدادي, وكنيته أبوالفرج, ولقبه جمال الدين, المعروف بابن الجوزي, واختلف في هذه النسبة فقيل: إن جده جعفر نسب </w:t>
      </w:r>
      <w:r w:rsidRPr="00C17B7B">
        <w:rPr>
          <w:rFonts w:ascii="Traditional Arabic" w:eastAsia="Calibri" w:hAnsi="Traditional Arabic" w:hint="cs"/>
          <w:color w:val="auto"/>
          <w:rtl/>
        </w:rPr>
        <w:t xml:space="preserve">إلى </w:t>
      </w:r>
      <w:r w:rsidR="00244F4B" w:rsidRPr="00244F4B">
        <w:rPr>
          <w:rFonts w:ascii="Traditional Arabic" w:eastAsia="Calibri" w:hAnsi="Traditional Arabic"/>
          <w:color w:val="auto"/>
          <w:rtl/>
        </w:rPr>
        <w:t>فُرْضَة</w:t>
      </w:r>
      <w:r w:rsidR="00244F4B">
        <w:rPr>
          <w:rFonts w:ascii="Traditional Arabic" w:eastAsia="Calibri" w:hAnsi="Traditional Arabic" w:hint="cs"/>
          <w:color w:val="auto"/>
          <w:rtl/>
        </w:rPr>
        <w:t>ٍ</w:t>
      </w:r>
      <w:r w:rsidR="00244F4B" w:rsidRPr="00244F4B">
        <w:rPr>
          <w:rFonts w:ascii="Traditional Arabic" w:eastAsia="Calibri" w:hAnsi="Traditional Arabic"/>
          <w:color w:val="auto"/>
          <w:vertAlign w:val="superscript"/>
          <w:rtl/>
        </w:rPr>
        <w:t xml:space="preserve"> </w:t>
      </w:r>
      <w:r w:rsidRPr="00372BA2">
        <w:rPr>
          <w:rStyle w:val="ae"/>
          <w:rFonts w:eastAsia="Calibri"/>
          <w:rtl/>
        </w:rPr>
        <w:fldChar w:fldCharType="begin"/>
      </w:r>
      <w:r w:rsidRPr="00372BA2">
        <w:rPr>
          <w:rStyle w:val="ae"/>
          <w:rFonts w:eastAsia="Calibri"/>
        </w:rPr>
        <w:instrText xml:space="preserve"> XE "</w:instrText>
      </w:r>
      <w:r w:rsidRPr="00372BA2">
        <w:rPr>
          <w:rStyle w:val="ae"/>
          <w:rFonts w:eastAsia="Calibri" w:hint="eastAsia"/>
          <w:rtl/>
        </w:rPr>
        <w:instrText>فهرسالأماكن</w:instrText>
      </w:r>
      <w:r w:rsidRPr="00372BA2">
        <w:rPr>
          <w:rStyle w:val="ae"/>
          <w:rFonts w:eastAsia="Calibri"/>
          <w:rtl/>
        </w:rPr>
        <w:instrText>:</w:instrText>
      </w:r>
      <w:r w:rsidRPr="00372BA2">
        <w:rPr>
          <w:rStyle w:val="ae"/>
          <w:rFonts w:eastAsia="Calibri" w:hint="eastAsia"/>
          <w:rtl/>
        </w:rPr>
        <w:instrText>فرضة</w:instrText>
      </w:r>
      <w:r w:rsidRPr="00372BA2">
        <w:rPr>
          <w:rStyle w:val="ae"/>
          <w:rFonts w:eastAsia="Calibri"/>
        </w:rPr>
        <w:instrText xml:space="preserve">" </w:instrText>
      </w:r>
      <w:r w:rsidRPr="00372BA2">
        <w:rPr>
          <w:rStyle w:val="ae"/>
          <w:rFonts w:eastAsia="Calibri"/>
          <w:rtl/>
        </w:rPr>
        <w:fldChar w:fldCharType="end"/>
      </w:r>
      <w:r w:rsidR="00372BA2" w:rsidRPr="00372BA2">
        <w:rPr>
          <w:rStyle w:val="ae"/>
          <w:rFonts w:eastAsia="Calibri"/>
          <w:rtl/>
        </w:rPr>
        <w:t>(</w:t>
      </w:r>
      <w:r w:rsidR="00372BA2">
        <w:rPr>
          <w:rStyle w:val="ae"/>
          <w:rFonts w:eastAsia="Calibri"/>
          <w:rtl/>
        </w:rPr>
        <w:footnoteReference w:id="3"/>
      </w:r>
      <w:r w:rsidR="00372BA2" w:rsidRPr="00372BA2">
        <w:rPr>
          <w:rStyle w:val="ae"/>
          <w:rFonts w:eastAsia="Calibri"/>
          <w:rtl/>
        </w:rPr>
        <w:t>)</w:t>
      </w:r>
      <w:r w:rsidRPr="00C17B7B">
        <w:rPr>
          <w:rFonts w:ascii="Traditional Arabic" w:eastAsia="Calibri" w:hAnsi="Traditional Arabic"/>
          <w:color w:val="auto"/>
          <w:rtl/>
        </w:rPr>
        <w:t xml:space="preserve">من فرض البصـرة يقال لها: جوزة, وقيل: هو نسبة إلى موضع يقال له: </w:t>
      </w:r>
      <w:r w:rsidRPr="00C17B7B">
        <w:rPr>
          <w:rFonts w:ascii="Traditional Arabic" w:eastAsia="Calibri" w:hAnsi="Traditional Arabic" w:hint="cs"/>
          <w:color w:val="auto"/>
          <w:rtl/>
        </w:rPr>
        <w:t>فرضة</w:t>
      </w:r>
      <w:r w:rsidRPr="00C17B7B">
        <w:rPr>
          <w:rFonts w:ascii="Traditional Arabic" w:eastAsia="Calibri" w:hAnsi="Traditional Arabic"/>
          <w:color w:val="auto"/>
          <w:rtl/>
        </w:rPr>
        <w:fldChar w:fldCharType="begin"/>
      </w:r>
      <w:r w:rsidRPr="00C17B7B">
        <w:rPr>
          <w:rFonts w:ascii="Traditional Arabic" w:eastAsia="Calibri" w:hAnsi="Traditional Arabic"/>
          <w:color w:val="auto"/>
        </w:rPr>
        <w:instrText xml:space="preserve"> XE "</w:instrText>
      </w:r>
      <w:r w:rsidRPr="00C17B7B">
        <w:rPr>
          <w:rFonts w:ascii="Traditional Arabic" w:eastAsia="Calibri" w:hAnsi="Traditional Arabic" w:hint="eastAsia"/>
          <w:color w:val="auto"/>
          <w:rtl/>
        </w:rPr>
        <w:instrText>فهرسالأماكن</w:instrText>
      </w:r>
      <w:r w:rsidRPr="00C17B7B">
        <w:rPr>
          <w:rFonts w:ascii="Traditional Arabic" w:eastAsia="Calibri" w:hAnsi="Traditional Arabic"/>
          <w:color w:val="auto"/>
          <w:rtl/>
        </w:rPr>
        <w:instrText>:</w:instrText>
      </w:r>
      <w:r w:rsidRPr="00C17B7B">
        <w:rPr>
          <w:rFonts w:ascii="Traditional Arabic" w:eastAsia="Calibri" w:hAnsi="Traditional Arabic" w:hint="eastAsia"/>
          <w:color w:val="auto"/>
          <w:rtl/>
        </w:rPr>
        <w:instrText>فرضة</w:instrText>
      </w:r>
      <w:r w:rsidRPr="00C17B7B">
        <w:rPr>
          <w:rFonts w:ascii="Traditional Arabic" w:eastAsia="Calibri" w:hAnsi="Traditional Arabic"/>
          <w:color w:val="auto"/>
        </w:rPr>
        <w:instrText xml:space="preserve">" </w:instrText>
      </w:r>
      <w:r w:rsidRPr="00C17B7B">
        <w:rPr>
          <w:rFonts w:ascii="Traditional Arabic" w:eastAsia="Calibri" w:hAnsi="Traditional Arabic"/>
          <w:color w:val="auto"/>
          <w:rtl/>
        </w:rPr>
        <w:fldChar w:fldCharType="end"/>
      </w:r>
      <w:r w:rsidRPr="00C17B7B">
        <w:rPr>
          <w:rFonts w:ascii="Traditional Arabic" w:eastAsia="Calibri" w:hAnsi="Traditional Arabic"/>
          <w:color w:val="auto"/>
          <w:rtl/>
        </w:rPr>
        <w:t xml:space="preserve"> الجوز, وقيل: هو نسبة إلى محلة بالبصـرة تسمى محلة الجوز, وقيل: كان في داره بواسط جوزة لم يكن بها جوزة سواها</w:t>
      </w:r>
      <w:r w:rsidR="00372BA2" w:rsidRPr="00372BA2">
        <w:rPr>
          <w:rStyle w:val="ae"/>
          <w:rFonts w:eastAsia="Calibri"/>
          <w:rtl/>
        </w:rPr>
        <w:t>(</w:t>
      </w:r>
      <w:r w:rsidR="00372BA2">
        <w:rPr>
          <w:rStyle w:val="ae"/>
          <w:rFonts w:eastAsia="Calibri"/>
          <w:rtl/>
        </w:rPr>
        <w:footnoteReference w:id="4"/>
      </w:r>
      <w:r w:rsidR="00372BA2" w:rsidRPr="00372BA2">
        <w:rPr>
          <w:rStyle w:val="ae"/>
          <w:rFonts w:eastAsia="Calibri"/>
          <w:rtl/>
        </w:rPr>
        <w:t>)</w:t>
      </w:r>
      <w:r w:rsidRPr="00C17B7B">
        <w:rPr>
          <w:rFonts w:ascii="Traditional Arabic" w:eastAsia="Calibri" w:hAnsi="Traditional Arabic"/>
          <w:color w:val="auto"/>
          <w:rtl/>
        </w:rPr>
        <w:t>.</w:t>
      </w:r>
    </w:p>
    <w:p w:rsidR="00D11232" w:rsidRPr="00C17B7B" w:rsidRDefault="00D11232" w:rsidP="00D11232">
      <w:pPr>
        <w:spacing w:line="276" w:lineRule="auto"/>
        <w:contextualSpacing/>
        <w:jc w:val="center"/>
        <w:rPr>
          <w:rFonts w:ascii="Traditional Arabic" w:eastAsia="Calibri" w:hAnsi="Traditional Arabic"/>
          <w:color w:val="auto"/>
          <w:szCs w:val="32"/>
        </w:rPr>
      </w:pPr>
      <w:r w:rsidRPr="00C17B7B">
        <w:rPr>
          <w:rFonts w:ascii="Traditional Arabic" w:eastAsia="Calibri" w:hAnsi="Traditional Arabic" w:cs="DecoType Naskh" w:hint="cs"/>
          <w:color w:val="auto"/>
          <w:szCs w:val="32"/>
          <w:rtl/>
        </w:rPr>
        <w:t>***</w:t>
      </w:r>
      <w:r w:rsidRPr="00C17B7B">
        <w:rPr>
          <w:rFonts w:ascii="Traditional Arabic" w:eastAsia="Calibri" w:hAnsi="Traditional Arabic" w:cs="DecoType Naskh" w:hint="cs"/>
          <w:color w:val="auto"/>
          <w:szCs w:val="32"/>
          <w:rtl/>
        </w:rPr>
        <w:tab/>
      </w:r>
      <w:r w:rsidRPr="00C17B7B">
        <w:rPr>
          <w:rFonts w:ascii="Traditional Arabic" w:eastAsia="Calibri" w:hAnsi="Traditional Arabic" w:cs="DecoType Naskh" w:hint="cs"/>
          <w:color w:val="auto"/>
          <w:szCs w:val="32"/>
          <w:rtl/>
        </w:rPr>
        <w:tab/>
        <w:t>***</w:t>
      </w:r>
      <w:r w:rsidRPr="00C17B7B">
        <w:rPr>
          <w:rFonts w:ascii="Traditional Arabic" w:eastAsia="Calibri" w:hAnsi="Traditional Arabic" w:cs="DecoType Naskh" w:hint="cs"/>
          <w:color w:val="auto"/>
          <w:szCs w:val="32"/>
          <w:rtl/>
        </w:rPr>
        <w:tab/>
      </w:r>
      <w:r w:rsidRPr="00C17B7B">
        <w:rPr>
          <w:rFonts w:ascii="Traditional Arabic" w:eastAsia="Calibri" w:hAnsi="Traditional Arabic" w:cs="DecoType Naskh" w:hint="cs"/>
          <w:color w:val="auto"/>
          <w:szCs w:val="32"/>
          <w:rtl/>
        </w:rPr>
        <w:tab/>
        <w:t>***</w:t>
      </w:r>
    </w:p>
    <w:p w:rsidR="00D11232" w:rsidRPr="00C17B7B" w:rsidRDefault="00D11232" w:rsidP="00D11232">
      <w:pPr>
        <w:spacing w:line="276" w:lineRule="auto"/>
        <w:contextualSpacing/>
        <w:jc w:val="lowKashida"/>
        <w:rPr>
          <w:rFonts w:ascii="Traditional Arabic" w:eastAsia="Calibri" w:hAnsi="Traditional Arabic"/>
          <w:color w:val="auto"/>
          <w:rtl/>
        </w:rPr>
      </w:pPr>
    </w:p>
    <w:p w:rsidR="00D11232" w:rsidRPr="00C17B7B" w:rsidRDefault="00D11232" w:rsidP="00D11232">
      <w:pPr>
        <w:bidi w:val="0"/>
        <w:contextualSpacing/>
        <w:rPr>
          <w:rFonts w:ascii="Arial" w:hAnsi="Arial"/>
          <w:b/>
          <w:bCs/>
          <w:noProof/>
          <w:sz w:val="26"/>
        </w:rPr>
      </w:pPr>
      <w:r w:rsidRPr="00C17B7B">
        <w:rPr>
          <w:rFonts w:ascii="Traditional Arabic" w:eastAsia="Calibri" w:hAnsi="Traditional Arabic"/>
          <w:color w:val="auto"/>
          <w:szCs w:val="32"/>
          <w:rtl/>
        </w:rPr>
        <w:br w:type="page"/>
      </w:r>
    </w:p>
    <w:p w:rsidR="00D11232" w:rsidRPr="00C17B7B" w:rsidRDefault="00D11232" w:rsidP="00372BA2">
      <w:pPr>
        <w:keepNext/>
        <w:ind w:firstLine="0"/>
        <w:contextualSpacing/>
        <w:outlineLvl w:val="2"/>
        <w:rPr>
          <w:rFonts w:ascii="Arial" w:hAnsi="Arial"/>
          <w:b/>
          <w:bCs/>
          <w:noProof/>
          <w:sz w:val="26"/>
          <w:szCs w:val="40"/>
          <w:rtl/>
        </w:rPr>
      </w:pPr>
      <w:r w:rsidRPr="00C17B7B">
        <w:rPr>
          <w:rFonts w:ascii="Arial" w:hAnsi="Arial"/>
          <w:b/>
          <w:bCs/>
          <w:noProof/>
          <w:sz w:val="26"/>
          <w:szCs w:val="40"/>
          <w:rtl/>
        </w:rPr>
        <w:lastRenderedPageBreak/>
        <w:t>المبحث الثاني</w:t>
      </w:r>
      <w:r w:rsidRPr="00C17B7B">
        <w:rPr>
          <w:rFonts w:ascii="Arial" w:hAnsi="Arial" w:hint="cs"/>
          <w:b/>
          <w:bCs/>
          <w:noProof/>
          <w:sz w:val="26"/>
          <w:szCs w:val="40"/>
          <w:rtl/>
        </w:rPr>
        <w:t>:</w:t>
      </w:r>
      <w:r w:rsidRPr="00C17B7B">
        <w:rPr>
          <w:rFonts w:ascii="Arial" w:hAnsi="Arial"/>
          <w:b/>
          <w:bCs/>
          <w:noProof/>
          <w:sz w:val="26"/>
          <w:szCs w:val="40"/>
          <w:rtl/>
        </w:rPr>
        <w:t xml:space="preserve"> مولده,</w:t>
      </w:r>
      <w:r w:rsidR="004E0C79">
        <w:rPr>
          <w:rFonts w:ascii="Arial" w:hAnsi="Arial" w:hint="cs"/>
          <w:b/>
          <w:bCs/>
          <w:noProof/>
          <w:sz w:val="26"/>
          <w:szCs w:val="40"/>
          <w:rtl/>
        </w:rPr>
        <w:t xml:space="preserve"> ونشأته,</w:t>
      </w:r>
      <w:r w:rsidRPr="00C17B7B">
        <w:rPr>
          <w:rFonts w:ascii="Arial" w:hAnsi="Arial"/>
          <w:b/>
          <w:bCs/>
          <w:noProof/>
          <w:sz w:val="26"/>
          <w:szCs w:val="40"/>
          <w:rtl/>
        </w:rPr>
        <w:t xml:space="preserve"> ووفاته</w:t>
      </w:r>
      <w:r w:rsidRPr="00C17B7B">
        <w:rPr>
          <w:rFonts w:ascii="Arial" w:hAnsi="Arial" w:hint="cs"/>
          <w:b/>
          <w:bCs/>
          <w:noProof/>
          <w:sz w:val="26"/>
          <w:szCs w:val="40"/>
          <w:rtl/>
        </w:rPr>
        <w:t>:</w:t>
      </w:r>
    </w:p>
    <w:p w:rsidR="00D11232" w:rsidRPr="00C17B7B" w:rsidRDefault="00D11232" w:rsidP="000E3516">
      <w:pPr>
        <w:spacing w:line="276" w:lineRule="auto"/>
        <w:ind w:firstLine="0"/>
        <w:contextualSpacing/>
        <w:jc w:val="lowKashida"/>
        <w:rPr>
          <w:rFonts w:ascii="Traditional Arabic" w:eastAsia="Calibri" w:hAnsi="Traditional Arabic"/>
          <w:color w:val="auto"/>
          <w:spacing w:val="-6"/>
          <w:sz w:val="40"/>
          <w:rtl/>
        </w:rPr>
      </w:pPr>
      <w:r w:rsidRPr="00C17B7B">
        <w:rPr>
          <w:rFonts w:ascii="Traditional Arabic" w:eastAsia="Calibri" w:hAnsi="Traditional Arabic" w:hint="cs"/>
          <w:color w:val="auto"/>
          <w:spacing w:val="-6"/>
          <w:sz w:val="40"/>
          <w:rtl/>
        </w:rPr>
        <w:t xml:space="preserve">أولا: مولده: اختلف في ميلاد ابن الجوزي </w:t>
      </w:r>
      <w:r w:rsidR="00372BA2">
        <w:rPr>
          <w:rFonts w:ascii="Traditional Arabic" w:eastAsia="Calibri" w:hAnsi="Traditional Arabic" w:hint="cs"/>
          <w:color w:val="auto"/>
          <w:spacing w:val="-6"/>
          <w:sz w:val="40"/>
          <w:rtl/>
        </w:rPr>
        <w:t>-</w:t>
      </w:r>
      <w:r w:rsidRPr="00C17B7B">
        <w:rPr>
          <w:rFonts w:ascii="Traditional Arabic" w:eastAsia="Calibri" w:hAnsi="Traditional Arabic" w:hint="cs"/>
          <w:color w:val="auto"/>
          <w:spacing w:val="-6"/>
          <w:sz w:val="40"/>
          <w:rtl/>
        </w:rPr>
        <w:t>رحمه الله- على عدة أقوال: ف</w:t>
      </w:r>
      <w:r w:rsidRPr="00C17B7B">
        <w:rPr>
          <w:rFonts w:ascii="Traditional Arabic" w:eastAsia="Calibri" w:hAnsi="Traditional Arabic"/>
          <w:color w:val="auto"/>
          <w:spacing w:val="-6"/>
          <w:sz w:val="40"/>
          <w:rtl/>
        </w:rPr>
        <w:t xml:space="preserve">قيل ولد: سنة </w:t>
      </w:r>
      <w:r w:rsidRPr="00C17B7B">
        <w:rPr>
          <w:rFonts w:ascii="Traditional Arabic" w:eastAsia="Calibri" w:hAnsi="Traditional Arabic" w:hint="cs"/>
          <w:color w:val="auto"/>
          <w:spacing w:val="-6"/>
          <w:sz w:val="40"/>
          <w:rtl/>
        </w:rPr>
        <w:t>(</w:t>
      </w:r>
      <w:r w:rsidRPr="00C17B7B">
        <w:rPr>
          <w:rFonts w:ascii="Traditional Arabic" w:eastAsia="Calibri" w:hAnsi="Traditional Arabic"/>
          <w:color w:val="auto"/>
          <w:spacing w:val="-6"/>
          <w:sz w:val="40"/>
          <w:rtl/>
        </w:rPr>
        <w:t>508</w:t>
      </w:r>
      <w:r w:rsidRPr="00C17B7B">
        <w:rPr>
          <w:rFonts w:ascii="Traditional Arabic" w:eastAsia="Calibri" w:hAnsi="Traditional Arabic" w:hint="cs"/>
          <w:color w:val="auto"/>
          <w:spacing w:val="-6"/>
          <w:sz w:val="40"/>
          <w:rtl/>
        </w:rPr>
        <w:t>)</w:t>
      </w:r>
      <w:r w:rsidRPr="00C17B7B">
        <w:rPr>
          <w:rFonts w:ascii="Traditional Arabic" w:eastAsia="Calibri" w:hAnsi="Traditional Arabic"/>
          <w:color w:val="auto"/>
          <w:spacing w:val="-6"/>
          <w:sz w:val="40"/>
          <w:rtl/>
        </w:rPr>
        <w:t xml:space="preserve">، وقيل سنة </w:t>
      </w:r>
      <w:r w:rsidRPr="00C17B7B">
        <w:rPr>
          <w:rFonts w:ascii="Traditional Arabic" w:eastAsia="Calibri" w:hAnsi="Traditional Arabic" w:hint="cs"/>
          <w:color w:val="auto"/>
          <w:spacing w:val="-6"/>
          <w:sz w:val="40"/>
          <w:rtl/>
        </w:rPr>
        <w:t>(</w:t>
      </w:r>
      <w:r w:rsidRPr="00C17B7B">
        <w:rPr>
          <w:rFonts w:ascii="Traditional Arabic" w:eastAsia="Calibri" w:hAnsi="Traditional Arabic"/>
          <w:color w:val="auto"/>
          <w:spacing w:val="-6"/>
          <w:sz w:val="40"/>
          <w:rtl/>
        </w:rPr>
        <w:t>509</w:t>
      </w:r>
      <w:r w:rsidRPr="00C17B7B">
        <w:rPr>
          <w:rFonts w:ascii="Traditional Arabic" w:eastAsia="Calibri" w:hAnsi="Traditional Arabic" w:hint="cs"/>
          <w:color w:val="auto"/>
          <w:spacing w:val="-6"/>
          <w:sz w:val="40"/>
          <w:rtl/>
        </w:rPr>
        <w:t>)</w:t>
      </w:r>
      <w:r w:rsidRPr="00C17B7B">
        <w:rPr>
          <w:rFonts w:ascii="Traditional Arabic" w:eastAsia="Calibri" w:hAnsi="Traditional Arabic"/>
          <w:color w:val="auto"/>
          <w:spacing w:val="-6"/>
          <w:sz w:val="40"/>
          <w:rtl/>
        </w:rPr>
        <w:t xml:space="preserve">، وقيل سنة </w:t>
      </w:r>
      <w:r w:rsidRPr="00C17B7B">
        <w:rPr>
          <w:rFonts w:ascii="Traditional Arabic" w:eastAsia="Calibri" w:hAnsi="Traditional Arabic" w:hint="cs"/>
          <w:color w:val="auto"/>
          <w:spacing w:val="-6"/>
          <w:sz w:val="40"/>
          <w:rtl/>
        </w:rPr>
        <w:t>(</w:t>
      </w:r>
      <w:r w:rsidRPr="00C17B7B">
        <w:rPr>
          <w:rFonts w:ascii="Traditional Arabic" w:eastAsia="Calibri" w:hAnsi="Traditional Arabic"/>
          <w:color w:val="auto"/>
          <w:spacing w:val="-6"/>
          <w:sz w:val="40"/>
          <w:rtl/>
        </w:rPr>
        <w:t>510</w:t>
      </w:r>
      <w:r w:rsidRPr="00C17B7B">
        <w:rPr>
          <w:rFonts w:ascii="Traditional Arabic" w:eastAsia="Calibri" w:hAnsi="Traditional Arabic" w:hint="cs"/>
          <w:color w:val="auto"/>
          <w:spacing w:val="-6"/>
          <w:sz w:val="40"/>
          <w:rtl/>
        </w:rPr>
        <w:t>)</w:t>
      </w:r>
      <w:r w:rsidRPr="00C17B7B">
        <w:rPr>
          <w:rFonts w:ascii="Traditional Arabic" w:eastAsia="Calibri" w:hAnsi="Traditional Arabic"/>
          <w:color w:val="auto"/>
          <w:spacing w:val="-6"/>
          <w:sz w:val="40"/>
          <w:rtl/>
        </w:rPr>
        <w:t xml:space="preserve"> هجرية، ويظهر مما نقل عنه أنه ولد بعد العشـرة</w:t>
      </w:r>
      <w:r w:rsidRPr="00C17B7B">
        <w:rPr>
          <w:rFonts w:ascii="Traditional Arabic" w:eastAsia="Calibri" w:hAnsi="Traditional Arabic" w:hint="cs"/>
          <w:color w:val="auto"/>
          <w:spacing w:val="-6"/>
          <w:sz w:val="40"/>
          <w:rtl/>
        </w:rPr>
        <w:t xml:space="preserve"> بدرب حبيب</w:t>
      </w:r>
      <w:r w:rsidRPr="00372BA2">
        <w:rPr>
          <w:rStyle w:val="ae"/>
          <w:rFonts w:eastAsia="Calibri"/>
          <w:rtl/>
        </w:rPr>
        <w:fldChar w:fldCharType="begin"/>
      </w:r>
      <w:r w:rsidRPr="00372BA2">
        <w:rPr>
          <w:rStyle w:val="ae"/>
          <w:rFonts w:eastAsia="Calibri"/>
        </w:rPr>
        <w:instrText xml:space="preserve"> XE "</w:instrText>
      </w:r>
      <w:r w:rsidRPr="00372BA2">
        <w:rPr>
          <w:rStyle w:val="ae"/>
          <w:rFonts w:eastAsia="Calibri" w:hint="eastAsia"/>
          <w:rtl/>
        </w:rPr>
        <w:instrText>فهرسالأماكن</w:instrText>
      </w:r>
      <w:r w:rsidRPr="00372BA2">
        <w:rPr>
          <w:rStyle w:val="ae"/>
          <w:rFonts w:eastAsia="Calibri"/>
          <w:rtl/>
        </w:rPr>
        <w:instrText>:</w:instrText>
      </w:r>
      <w:r w:rsidRPr="00372BA2">
        <w:rPr>
          <w:rStyle w:val="ae"/>
          <w:rFonts w:eastAsia="Calibri" w:hint="eastAsia"/>
          <w:rtl/>
        </w:rPr>
        <w:instrText>بــــدربحبـــيب</w:instrText>
      </w:r>
      <w:r w:rsidRPr="00372BA2">
        <w:rPr>
          <w:rStyle w:val="ae"/>
          <w:rFonts w:eastAsia="Calibri"/>
        </w:rPr>
        <w:instrText xml:space="preserve">" </w:instrText>
      </w:r>
      <w:r w:rsidRPr="00372BA2">
        <w:rPr>
          <w:rStyle w:val="ae"/>
          <w:rFonts w:eastAsia="Calibri"/>
          <w:rtl/>
        </w:rPr>
        <w:fldChar w:fldCharType="end"/>
      </w:r>
      <w:r w:rsidR="00372BA2" w:rsidRPr="00372BA2">
        <w:rPr>
          <w:rStyle w:val="ae"/>
          <w:rFonts w:eastAsia="Calibri"/>
          <w:rtl/>
        </w:rPr>
        <w:t>(</w:t>
      </w:r>
      <w:r w:rsidR="00372BA2">
        <w:rPr>
          <w:rStyle w:val="ae"/>
          <w:rFonts w:eastAsia="Calibri"/>
          <w:rtl/>
        </w:rPr>
        <w:footnoteReference w:id="5"/>
      </w:r>
      <w:r w:rsidR="00372BA2" w:rsidRPr="00372BA2">
        <w:rPr>
          <w:rStyle w:val="ae"/>
          <w:rFonts w:eastAsia="Calibri"/>
          <w:rtl/>
        </w:rPr>
        <w:t>)</w:t>
      </w:r>
      <w:r w:rsidRPr="00C17B7B">
        <w:rPr>
          <w:rFonts w:ascii="Traditional Arabic" w:eastAsia="Calibri" w:hAnsi="Traditional Arabic"/>
          <w:color w:val="auto"/>
          <w:spacing w:val="-6"/>
          <w:sz w:val="40"/>
          <w:rtl/>
        </w:rPr>
        <w:t xml:space="preserve"> كما يظهر ذلك في بعض مؤلفاته في الوعظ، حيث يقول: (إنه بدأ التصنيف سنة 528هـ، وله من العمر 17 سنة)</w:t>
      </w:r>
      <w:r w:rsidR="00372BA2" w:rsidRPr="00372BA2">
        <w:rPr>
          <w:rStyle w:val="ae"/>
          <w:rFonts w:eastAsia="Calibri"/>
          <w:rtl/>
        </w:rPr>
        <w:t>(</w:t>
      </w:r>
      <w:r w:rsidR="00372BA2">
        <w:rPr>
          <w:rStyle w:val="ae"/>
          <w:rFonts w:eastAsia="Calibri"/>
          <w:rtl/>
        </w:rPr>
        <w:footnoteReference w:id="6"/>
      </w:r>
      <w:r w:rsidR="00372BA2" w:rsidRPr="00372BA2">
        <w:rPr>
          <w:rStyle w:val="ae"/>
          <w:rFonts w:eastAsia="Calibri"/>
          <w:rtl/>
        </w:rPr>
        <w:t>)</w:t>
      </w:r>
      <w:r w:rsidRPr="00C17B7B">
        <w:rPr>
          <w:rFonts w:ascii="Traditional Arabic" w:eastAsia="Calibri" w:hAnsi="Traditional Arabic"/>
          <w:color w:val="auto"/>
          <w:spacing w:val="-6"/>
          <w:sz w:val="40"/>
          <w:rtl/>
        </w:rPr>
        <w:t>, ولما نقل عنه أيضاً أنه كان يقول: (لا أتحقق مولدي غير أنه مات والدي في سنة 514هـ، وقالت الوالدة: كان لك من العمر ثلاث سنين)</w:t>
      </w:r>
      <w:r w:rsidR="00372BA2" w:rsidRPr="00372BA2">
        <w:rPr>
          <w:rStyle w:val="ae"/>
          <w:rFonts w:eastAsia="Calibri"/>
          <w:rtl/>
        </w:rPr>
        <w:t>(</w:t>
      </w:r>
      <w:r w:rsidR="00372BA2">
        <w:rPr>
          <w:rStyle w:val="ae"/>
          <w:rFonts w:eastAsia="Calibri"/>
          <w:rtl/>
        </w:rPr>
        <w:footnoteReference w:id="7"/>
      </w:r>
      <w:r w:rsidR="00372BA2" w:rsidRPr="00372BA2">
        <w:rPr>
          <w:rStyle w:val="ae"/>
          <w:rFonts w:eastAsia="Calibri"/>
          <w:rtl/>
        </w:rPr>
        <w:t>)</w:t>
      </w:r>
      <w:r w:rsidRPr="00C17B7B">
        <w:rPr>
          <w:rFonts w:ascii="Traditional Arabic" w:eastAsia="Calibri" w:hAnsi="Traditional Arabic"/>
          <w:color w:val="auto"/>
          <w:spacing w:val="-6"/>
          <w:sz w:val="40"/>
          <w:rtl/>
        </w:rPr>
        <w:t xml:space="preserve">,وعلى هذا تكون ولادته سنة </w:t>
      </w:r>
      <w:r w:rsidR="000E3516">
        <w:rPr>
          <w:rFonts w:ascii="Traditional Arabic" w:eastAsia="Calibri" w:hAnsi="Traditional Arabic" w:hint="cs"/>
          <w:color w:val="auto"/>
          <w:spacing w:val="-6"/>
          <w:sz w:val="40"/>
          <w:rtl/>
        </w:rPr>
        <w:t>(</w:t>
      </w:r>
      <w:r w:rsidRPr="00C17B7B">
        <w:rPr>
          <w:rFonts w:ascii="Traditional Arabic" w:eastAsia="Calibri" w:hAnsi="Traditional Arabic"/>
          <w:color w:val="auto"/>
          <w:spacing w:val="-6"/>
          <w:sz w:val="40"/>
          <w:rtl/>
        </w:rPr>
        <w:t>511ه</w:t>
      </w:r>
      <w:r w:rsidR="000E3516">
        <w:rPr>
          <w:rFonts w:ascii="Traditional Arabic" w:eastAsia="Calibri" w:hAnsi="Traditional Arabic" w:hint="cs"/>
          <w:color w:val="auto"/>
          <w:spacing w:val="-6"/>
          <w:sz w:val="40"/>
          <w:rtl/>
        </w:rPr>
        <w:t>)</w:t>
      </w:r>
      <w:r w:rsidR="00372BA2" w:rsidRPr="00372BA2">
        <w:rPr>
          <w:rStyle w:val="ae"/>
          <w:rFonts w:eastAsia="Calibri"/>
          <w:rtl/>
        </w:rPr>
        <w:t>(</w:t>
      </w:r>
      <w:r w:rsidR="00372BA2">
        <w:rPr>
          <w:rStyle w:val="ae"/>
          <w:rFonts w:eastAsia="Calibri"/>
          <w:rtl/>
        </w:rPr>
        <w:footnoteReference w:id="8"/>
      </w:r>
      <w:r w:rsidR="00372BA2" w:rsidRPr="00372BA2">
        <w:rPr>
          <w:rStyle w:val="ae"/>
          <w:rFonts w:eastAsia="Calibri"/>
          <w:rtl/>
        </w:rPr>
        <w:t>)</w:t>
      </w:r>
      <w:r w:rsidRPr="00C17B7B">
        <w:rPr>
          <w:rFonts w:ascii="Traditional Arabic" w:eastAsia="Calibri" w:hAnsi="Traditional Arabic"/>
          <w:color w:val="auto"/>
          <w:spacing w:val="-6"/>
          <w:sz w:val="40"/>
          <w:rtl/>
        </w:rPr>
        <w:t>.</w:t>
      </w:r>
    </w:p>
    <w:p w:rsidR="00D11232" w:rsidRPr="00C17B7B" w:rsidRDefault="00D11232" w:rsidP="00D11232">
      <w:pPr>
        <w:spacing w:line="276" w:lineRule="auto"/>
        <w:contextualSpacing/>
        <w:jc w:val="lowKashida"/>
        <w:rPr>
          <w:rFonts w:ascii="Traditional Arabic" w:eastAsia="Calibri" w:hAnsi="Traditional Arabic"/>
          <w:color w:val="auto"/>
          <w:spacing w:val="-8"/>
          <w:sz w:val="40"/>
          <w:rtl/>
        </w:rPr>
      </w:pPr>
    </w:p>
    <w:p w:rsidR="00D11232" w:rsidRPr="00C17B7B" w:rsidRDefault="00D11232" w:rsidP="00D11232">
      <w:pPr>
        <w:bidi w:val="0"/>
        <w:contextualSpacing/>
        <w:rPr>
          <w:rFonts w:ascii="Arial" w:hAnsi="Arial"/>
          <w:b/>
          <w:bCs/>
          <w:noProof/>
          <w:sz w:val="26"/>
          <w:szCs w:val="40"/>
        </w:rPr>
      </w:pPr>
      <w:r w:rsidRPr="00C17B7B">
        <w:rPr>
          <w:rFonts w:ascii="Traditional Arabic" w:eastAsia="Calibri" w:hAnsi="Traditional Arabic"/>
          <w:color w:val="auto"/>
          <w:szCs w:val="32"/>
          <w:rtl/>
        </w:rPr>
        <w:br w:type="page"/>
      </w:r>
    </w:p>
    <w:p w:rsidR="00D05E7B" w:rsidRDefault="00584A5E" w:rsidP="00477730">
      <w:pPr>
        <w:spacing w:line="276" w:lineRule="auto"/>
        <w:ind w:firstLine="0"/>
        <w:contextualSpacing/>
        <w:jc w:val="lowKashida"/>
        <w:rPr>
          <w:rFonts w:ascii="Traditional Arabic" w:eastAsia="Calibri" w:hAnsi="Traditional Arabic"/>
          <w:color w:val="auto"/>
          <w:spacing w:val="4"/>
          <w:sz w:val="40"/>
          <w:rtl/>
        </w:rPr>
      </w:pPr>
      <w:r>
        <w:rPr>
          <w:rFonts w:ascii="Traditional Arabic" w:eastAsia="Calibri" w:hAnsi="Traditional Arabic" w:hint="cs"/>
          <w:color w:val="auto"/>
          <w:spacing w:val="4"/>
          <w:sz w:val="40"/>
          <w:rtl/>
        </w:rPr>
        <w:lastRenderedPageBreak/>
        <w:t xml:space="preserve">ثانيا: نشأته: </w:t>
      </w:r>
      <w:r w:rsidR="00D11232" w:rsidRPr="00C17B7B">
        <w:rPr>
          <w:rFonts w:ascii="Traditional Arabic" w:eastAsia="Calibri" w:hAnsi="Traditional Arabic"/>
          <w:color w:val="auto"/>
          <w:spacing w:val="4"/>
          <w:sz w:val="40"/>
          <w:rtl/>
        </w:rPr>
        <w:t>توفي والد ابن الجوزي وله من العمر ثلاث سنين، فاعتنت به عمته</w:t>
      </w:r>
      <w:r w:rsidR="00D05E7B">
        <w:rPr>
          <w:rFonts w:eastAsia="Calibri" w:hint="cs"/>
          <w:rtl/>
        </w:rPr>
        <w:t xml:space="preserve"> </w:t>
      </w:r>
      <w:r w:rsidR="00D11232" w:rsidRPr="00C17B7B">
        <w:rPr>
          <w:rFonts w:ascii="Traditional Arabic" w:eastAsia="Calibri" w:hAnsi="Traditional Arabic" w:hint="cs"/>
          <w:color w:val="auto"/>
          <w:spacing w:val="4"/>
          <w:sz w:val="40"/>
          <w:rtl/>
        </w:rPr>
        <w:t xml:space="preserve">وكانت </w:t>
      </w:r>
      <w:r w:rsidR="00D05E7B">
        <w:rPr>
          <w:rFonts w:ascii="Traditional Arabic" w:eastAsia="Calibri" w:hAnsi="Traditional Arabic" w:hint="cs"/>
          <w:color w:val="auto"/>
          <w:spacing w:val="4"/>
          <w:sz w:val="40"/>
          <w:rtl/>
        </w:rPr>
        <w:t>ا</w:t>
      </w:r>
      <w:r w:rsidR="00D05E7B" w:rsidRPr="00C17B7B">
        <w:rPr>
          <w:rFonts w:ascii="Traditional Arabic" w:eastAsia="Calibri" w:hAnsi="Traditional Arabic" w:hint="cs"/>
          <w:color w:val="auto"/>
          <w:spacing w:val="4"/>
          <w:sz w:val="40"/>
          <w:rtl/>
        </w:rPr>
        <w:t>مرأة</w:t>
      </w:r>
      <w:r w:rsidR="00D11232" w:rsidRPr="00C17B7B">
        <w:rPr>
          <w:rFonts w:ascii="Traditional Arabic" w:eastAsia="Calibri" w:hAnsi="Traditional Arabic" w:hint="cs"/>
          <w:color w:val="auto"/>
          <w:spacing w:val="4"/>
          <w:sz w:val="40"/>
          <w:rtl/>
        </w:rPr>
        <w:t xml:space="preserve"> </w:t>
      </w:r>
      <w:r w:rsidR="00D11232" w:rsidRPr="00C17B7B">
        <w:rPr>
          <w:rFonts w:ascii="Traditional Arabic" w:eastAsia="Calibri" w:hAnsi="Traditional Arabic"/>
          <w:color w:val="auto"/>
          <w:spacing w:val="4"/>
          <w:sz w:val="40"/>
          <w:rtl/>
        </w:rPr>
        <w:t>صالحة</w:t>
      </w:r>
      <w:r w:rsidR="00D11232" w:rsidRPr="00C17B7B">
        <w:rPr>
          <w:rFonts w:ascii="Traditional Arabic" w:eastAsia="Calibri" w:hAnsi="Traditional Arabic" w:hint="cs"/>
          <w:color w:val="auto"/>
          <w:spacing w:val="4"/>
          <w:sz w:val="40"/>
          <w:rtl/>
        </w:rPr>
        <w:t xml:space="preserve"> تقية، </w:t>
      </w:r>
      <w:r w:rsidR="00D11232" w:rsidRPr="00C17B7B">
        <w:rPr>
          <w:rFonts w:ascii="Traditional Arabic" w:eastAsia="Calibri" w:hAnsi="Traditional Arabic"/>
          <w:color w:val="auto"/>
          <w:spacing w:val="4"/>
          <w:sz w:val="40"/>
          <w:rtl/>
        </w:rPr>
        <w:t>وقامت على تربيته ثم حملته إلى الحافظ المحدث أبي الفضل محمد بن ناصـر السلامي</w:t>
      </w:r>
      <w:r w:rsidR="00511D24" w:rsidRPr="00511D24">
        <w:rPr>
          <w:rStyle w:val="ae"/>
          <w:rFonts w:eastAsia="Calibri"/>
          <w:rtl/>
        </w:rPr>
        <w:t>(</w:t>
      </w:r>
      <w:r w:rsidR="00511D24">
        <w:rPr>
          <w:rStyle w:val="ae"/>
          <w:rFonts w:eastAsia="Calibri"/>
          <w:rtl/>
        </w:rPr>
        <w:footnoteReference w:id="9"/>
      </w:r>
      <w:r w:rsidR="00511D24" w:rsidRPr="00511D24">
        <w:rPr>
          <w:rStyle w:val="ae"/>
          <w:rFonts w:eastAsia="Calibri"/>
          <w:rtl/>
        </w:rPr>
        <w:t>)</w:t>
      </w:r>
      <w:r w:rsidR="00D11232" w:rsidRPr="00C17B7B">
        <w:rPr>
          <w:rFonts w:ascii="Traditional Arabic" w:eastAsia="Calibri" w:hAnsi="Traditional Arabic"/>
          <w:color w:val="auto"/>
          <w:spacing w:val="4"/>
          <w:sz w:val="40"/>
          <w:rtl/>
        </w:rPr>
        <w:t>,</w:t>
      </w:r>
      <w:r w:rsidR="00D11232" w:rsidRPr="00C17B7B">
        <w:rPr>
          <w:rFonts w:ascii="Traditional Arabic" w:eastAsia="Calibri" w:hAnsi="Traditional Arabic" w:hint="cs"/>
          <w:color w:val="auto"/>
          <w:spacing w:val="4"/>
          <w:sz w:val="40"/>
          <w:rtl/>
        </w:rPr>
        <w:t xml:space="preserve"> </w:t>
      </w:r>
      <w:r w:rsidR="00D11232" w:rsidRPr="00C17B7B">
        <w:rPr>
          <w:rFonts w:ascii="Traditional Arabic" w:eastAsia="Calibri" w:hAnsi="Traditional Arabic"/>
          <w:color w:val="auto"/>
          <w:spacing w:val="4"/>
          <w:sz w:val="40"/>
          <w:rtl/>
        </w:rPr>
        <w:t>وهو خاله,</w:t>
      </w:r>
      <w:r w:rsidR="00372BA2">
        <w:rPr>
          <w:rFonts w:ascii="Traditional Arabic" w:eastAsia="Calibri" w:hAnsi="Traditional Arabic" w:hint="cs"/>
          <w:color w:val="auto"/>
          <w:spacing w:val="4"/>
          <w:sz w:val="40"/>
          <w:rtl/>
        </w:rPr>
        <w:t xml:space="preserve"> </w:t>
      </w:r>
      <w:r w:rsidR="00D11232" w:rsidRPr="00C17B7B">
        <w:rPr>
          <w:rFonts w:ascii="Traditional Arabic" w:eastAsia="Calibri" w:hAnsi="Traditional Arabic"/>
          <w:color w:val="auto"/>
          <w:spacing w:val="4"/>
          <w:sz w:val="40"/>
          <w:rtl/>
        </w:rPr>
        <w:t>فاعتنى به وأسمعه الحديث, ليتلقى عنه أوائل سماعه في سنة 516هـ، ثم أسمعه من أبي الحسن علي بن عبدالواحد الدينوري</w:t>
      </w:r>
      <w:r w:rsidR="00511D24" w:rsidRPr="00511D24">
        <w:rPr>
          <w:rStyle w:val="ae"/>
          <w:rFonts w:eastAsia="Calibri"/>
          <w:rtl/>
        </w:rPr>
        <w:t>(</w:t>
      </w:r>
      <w:r w:rsidR="00511D24">
        <w:rPr>
          <w:rStyle w:val="ae"/>
          <w:rFonts w:eastAsia="Calibri"/>
          <w:rtl/>
        </w:rPr>
        <w:footnoteReference w:id="10"/>
      </w:r>
      <w:r w:rsidR="00511D24" w:rsidRPr="00511D24">
        <w:rPr>
          <w:rStyle w:val="ae"/>
          <w:rFonts w:eastAsia="Calibri"/>
          <w:rtl/>
        </w:rPr>
        <w:t>)</w:t>
      </w:r>
      <w:r w:rsidR="00D11232" w:rsidRPr="00C17B7B">
        <w:rPr>
          <w:rFonts w:ascii="Traditional Arabic" w:eastAsia="Calibri" w:hAnsi="Traditional Arabic"/>
          <w:color w:val="auto"/>
          <w:spacing w:val="4"/>
          <w:sz w:val="40"/>
          <w:rtl/>
        </w:rPr>
        <w:t>, وهبة الله بن الحصـين</w:t>
      </w:r>
      <w:r w:rsidR="00511D24" w:rsidRPr="00511D24">
        <w:rPr>
          <w:rStyle w:val="ae"/>
          <w:rFonts w:eastAsia="Calibri"/>
          <w:rtl/>
        </w:rPr>
        <w:t>(</w:t>
      </w:r>
      <w:r w:rsidR="00511D24">
        <w:rPr>
          <w:rStyle w:val="ae"/>
          <w:rFonts w:eastAsia="Calibri"/>
          <w:rtl/>
        </w:rPr>
        <w:footnoteReference w:id="11"/>
      </w:r>
      <w:r w:rsidR="00511D24" w:rsidRPr="00511D24">
        <w:rPr>
          <w:rStyle w:val="ae"/>
          <w:rFonts w:eastAsia="Calibri"/>
          <w:rtl/>
        </w:rPr>
        <w:t>)</w:t>
      </w:r>
      <w:r w:rsidR="00D11232" w:rsidRPr="00C17B7B">
        <w:rPr>
          <w:rFonts w:ascii="Traditional Arabic" w:eastAsia="Calibri" w:hAnsi="Traditional Arabic"/>
          <w:color w:val="auto"/>
          <w:spacing w:val="4"/>
          <w:sz w:val="40"/>
          <w:rtl/>
        </w:rPr>
        <w:t>, وجماعة آخرين، ولازم ابن ناصـر</w:t>
      </w:r>
      <w:r w:rsidR="00511D24" w:rsidRPr="00511D24">
        <w:rPr>
          <w:rStyle w:val="ae"/>
          <w:rFonts w:eastAsia="Calibri"/>
          <w:rtl/>
        </w:rPr>
        <w:t>(</w:t>
      </w:r>
      <w:r w:rsidR="00511D24">
        <w:rPr>
          <w:rStyle w:val="ae"/>
          <w:rFonts w:eastAsia="Calibri"/>
          <w:rtl/>
        </w:rPr>
        <w:footnoteReference w:id="12"/>
      </w:r>
      <w:r w:rsidR="00511D24" w:rsidRPr="00511D24">
        <w:rPr>
          <w:rStyle w:val="ae"/>
          <w:rFonts w:eastAsia="Calibri"/>
          <w:rtl/>
        </w:rPr>
        <w:t>)</w:t>
      </w:r>
      <w:r w:rsidR="00D11232" w:rsidRPr="00C17B7B">
        <w:rPr>
          <w:rFonts w:ascii="Traditional Arabic" w:eastAsia="Calibri" w:hAnsi="Traditional Arabic"/>
          <w:color w:val="auto"/>
          <w:spacing w:val="4"/>
          <w:sz w:val="40"/>
          <w:rtl/>
        </w:rPr>
        <w:t>وانقطع إليه، وتخرج به، وقرأ الفقه والخلاف والجدل على ابن الزاغوني</w:t>
      </w:r>
      <w:r w:rsidR="003D1D79" w:rsidRPr="003D1D79">
        <w:rPr>
          <w:rStyle w:val="ae"/>
          <w:rFonts w:eastAsia="Calibri"/>
          <w:rtl/>
        </w:rPr>
        <w:t>(</w:t>
      </w:r>
      <w:r w:rsidR="003D1D79">
        <w:rPr>
          <w:rStyle w:val="ae"/>
          <w:rFonts w:eastAsia="Calibri"/>
          <w:rtl/>
        </w:rPr>
        <w:footnoteReference w:id="13"/>
      </w:r>
      <w:r w:rsidR="003D1D79" w:rsidRPr="003D1D79">
        <w:rPr>
          <w:rStyle w:val="ae"/>
          <w:rFonts w:eastAsia="Calibri"/>
          <w:rtl/>
        </w:rPr>
        <w:t>)</w:t>
      </w:r>
      <w:r w:rsidR="00D11232" w:rsidRPr="00C17B7B">
        <w:rPr>
          <w:rFonts w:ascii="Traditional Arabic" w:eastAsia="Calibri" w:hAnsi="Traditional Arabic"/>
          <w:color w:val="auto"/>
          <w:spacing w:val="4"/>
          <w:sz w:val="40"/>
          <w:rtl/>
        </w:rPr>
        <w:t>، وقرأ الأدب على ابن الجـــــــواليقي</w:t>
      </w:r>
      <w:r w:rsidR="00D11232" w:rsidRPr="00511D24">
        <w:rPr>
          <w:rStyle w:val="ae"/>
          <w:rFonts w:eastAsia="Calibri"/>
          <w:rtl/>
        </w:rPr>
        <w:fldChar w:fldCharType="begin"/>
      </w:r>
      <w:r w:rsidR="00D11232" w:rsidRPr="00511D24">
        <w:rPr>
          <w:rStyle w:val="ae"/>
          <w:rFonts w:eastAsia="Calibri"/>
        </w:rPr>
        <w:instrText xml:space="preserve"> XE "</w:instrText>
      </w:r>
      <w:r w:rsidR="00D11232" w:rsidRPr="00511D24">
        <w:rPr>
          <w:rStyle w:val="ae"/>
          <w:rFonts w:eastAsia="Calibri" w:hint="eastAsia"/>
          <w:rtl/>
        </w:rPr>
        <w:instrText>فهرسالأعلام</w:instrText>
      </w:r>
      <w:r w:rsidR="00D11232" w:rsidRPr="00511D24">
        <w:rPr>
          <w:rStyle w:val="ae"/>
          <w:rFonts w:eastAsia="Calibri"/>
          <w:rtl/>
        </w:rPr>
        <w:instrText>:</w:instrText>
      </w:r>
      <w:r w:rsidR="00D11232" w:rsidRPr="00511D24">
        <w:rPr>
          <w:rStyle w:val="ae"/>
          <w:rFonts w:eastAsia="Calibri" w:hint="cs"/>
          <w:rtl/>
        </w:rPr>
        <w:instrText>أبو منصور موهوب بن أحمد, ا</w:instrText>
      </w:r>
      <w:r w:rsidR="00D11232" w:rsidRPr="00511D24">
        <w:rPr>
          <w:rStyle w:val="ae"/>
          <w:rFonts w:eastAsia="Calibri" w:hint="eastAsia"/>
          <w:rtl/>
        </w:rPr>
        <w:instrText>بنالجـــــــواليقي</w:instrText>
      </w:r>
      <w:r w:rsidR="00D11232" w:rsidRPr="00511D24">
        <w:rPr>
          <w:rStyle w:val="ae"/>
          <w:rFonts w:eastAsia="Calibri"/>
        </w:rPr>
        <w:instrText xml:space="preserve">" </w:instrText>
      </w:r>
      <w:r w:rsidR="00D11232" w:rsidRPr="00511D24">
        <w:rPr>
          <w:rStyle w:val="ae"/>
          <w:rFonts w:eastAsia="Calibri"/>
          <w:rtl/>
        </w:rPr>
        <w:fldChar w:fldCharType="end"/>
      </w:r>
      <w:r w:rsidR="00511D24" w:rsidRPr="00511D24">
        <w:rPr>
          <w:rStyle w:val="ae"/>
          <w:rFonts w:eastAsia="Calibri"/>
          <w:rtl/>
        </w:rPr>
        <w:t>(</w:t>
      </w:r>
      <w:r w:rsidR="00511D24">
        <w:rPr>
          <w:rStyle w:val="ae"/>
          <w:rFonts w:eastAsia="Calibri"/>
          <w:rtl/>
        </w:rPr>
        <w:footnoteReference w:id="14"/>
      </w:r>
      <w:r w:rsidR="00511D24" w:rsidRPr="00511D24">
        <w:rPr>
          <w:rStyle w:val="ae"/>
          <w:rFonts w:eastAsia="Calibri"/>
          <w:rtl/>
        </w:rPr>
        <w:t>)</w:t>
      </w:r>
      <w:r w:rsidR="00D11232" w:rsidRPr="00C17B7B">
        <w:rPr>
          <w:rFonts w:ascii="Traditional Arabic" w:eastAsia="Calibri" w:hAnsi="Traditional Arabic"/>
          <w:color w:val="auto"/>
          <w:spacing w:val="4"/>
          <w:sz w:val="40"/>
          <w:rtl/>
        </w:rPr>
        <w:t>, واشتغل بعلم الوعظ حتى صار أفضل أهل زمانه فيه, ولم يرحل ابن الجوزي في طلب العلم, وله العذر في ذلك, فقد كانت بغداد إذ ذاك ح</w:t>
      </w:r>
      <w:r w:rsidR="003D1D79">
        <w:rPr>
          <w:rFonts w:ascii="Traditional Arabic" w:eastAsia="Calibri" w:hAnsi="Traditional Arabic"/>
          <w:color w:val="auto"/>
          <w:spacing w:val="4"/>
          <w:sz w:val="40"/>
          <w:rtl/>
        </w:rPr>
        <w:t>اضـرة العالم الإسلامي, مقر الخل</w:t>
      </w:r>
      <w:r w:rsidR="003D1D79">
        <w:rPr>
          <w:rFonts w:ascii="Traditional Arabic" w:eastAsia="Calibri" w:hAnsi="Traditional Arabic" w:hint="cs"/>
          <w:color w:val="auto"/>
          <w:spacing w:val="4"/>
          <w:sz w:val="40"/>
          <w:rtl/>
        </w:rPr>
        <w:t>ا</w:t>
      </w:r>
      <w:r w:rsidR="00D11232" w:rsidRPr="00C17B7B">
        <w:rPr>
          <w:rFonts w:ascii="Traditional Arabic" w:eastAsia="Calibri" w:hAnsi="Traditional Arabic"/>
          <w:color w:val="auto"/>
          <w:spacing w:val="4"/>
          <w:sz w:val="40"/>
          <w:rtl/>
        </w:rPr>
        <w:t>فة العباسـي</w:t>
      </w:r>
      <w:r w:rsidR="00D11232" w:rsidRPr="00C17B7B">
        <w:rPr>
          <w:rFonts w:ascii="Traditional Arabic" w:eastAsia="Calibri" w:hAnsi="Traditional Arabic" w:hint="cs"/>
          <w:color w:val="auto"/>
          <w:spacing w:val="4"/>
          <w:sz w:val="40"/>
          <w:rtl/>
        </w:rPr>
        <w:t>ة</w:t>
      </w:r>
      <w:r w:rsidR="00D11232" w:rsidRPr="00C17B7B">
        <w:rPr>
          <w:rFonts w:ascii="Traditional Arabic" w:eastAsia="Calibri" w:hAnsi="Traditional Arabic"/>
          <w:color w:val="auto"/>
          <w:spacing w:val="4"/>
          <w:sz w:val="40"/>
          <w:rtl/>
        </w:rPr>
        <w:t>, وقبلة أنظار أهل العلم في المشـرق والمغرب وكانت الرحلة إليها من سائر الأمصار</w:t>
      </w:r>
      <w:r w:rsidR="003D1D79" w:rsidRPr="003D1D79">
        <w:rPr>
          <w:rStyle w:val="ae"/>
          <w:rFonts w:eastAsia="Calibri"/>
          <w:rtl/>
        </w:rPr>
        <w:t>(</w:t>
      </w:r>
      <w:r w:rsidR="003D1D79">
        <w:rPr>
          <w:rStyle w:val="ae"/>
          <w:rFonts w:eastAsia="Calibri"/>
          <w:rtl/>
        </w:rPr>
        <w:footnoteReference w:id="15"/>
      </w:r>
      <w:r w:rsidR="003D1D79" w:rsidRPr="003D1D79">
        <w:rPr>
          <w:rStyle w:val="ae"/>
          <w:rFonts w:eastAsia="Calibri"/>
          <w:rtl/>
        </w:rPr>
        <w:t>)</w:t>
      </w:r>
      <w:r w:rsidR="00D11232" w:rsidRPr="00C17B7B">
        <w:rPr>
          <w:rFonts w:ascii="Traditional Arabic" w:eastAsia="Calibri" w:hAnsi="Traditional Arabic" w:hint="cs"/>
          <w:color w:val="auto"/>
          <w:spacing w:val="4"/>
          <w:sz w:val="40"/>
          <w:rtl/>
        </w:rPr>
        <w:t xml:space="preserve">، </w:t>
      </w:r>
      <w:r w:rsidR="00D11232" w:rsidRPr="00C17B7B">
        <w:rPr>
          <w:rFonts w:ascii="Traditional Arabic" w:eastAsia="Calibri" w:hAnsi="Traditional Arabic"/>
          <w:color w:val="auto"/>
          <w:spacing w:val="4"/>
          <w:sz w:val="40"/>
          <w:rtl/>
        </w:rPr>
        <w:t>وعلى الرغم من فراق والده في طفولته فقد وجهته عمته إلى طلب العلم</w:t>
      </w:r>
      <w:r w:rsidR="00D11232" w:rsidRPr="00C17B7B">
        <w:rPr>
          <w:rFonts w:ascii="Traditional Arabic" w:eastAsia="Calibri" w:hAnsi="Traditional Arabic" w:hint="cs"/>
          <w:color w:val="auto"/>
          <w:spacing w:val="4"/>
          <w:sz w:val="40"/>
          <w:rtl/>
        </w:rPr>
        <w:t xml:space="preserve">، </w:t>
      </w:r>
      <w:r w:rsidR="00D11232" w:rsidRPr="00C17B7B">
        <w:rPr>
          <w:rFonts w:ascii="Traditional Arabic" w:eastAsia="Calibri" w:hAnsi="Traditional Arabic"/>
          <w:color w:val="auto"/>
          <w:spacing w:val="4"/>
          <w:sz w:val="40"/>
          <w:rtl/>
        </w:rPr>
        <w:t>وساعدها على ذلك ثروة أبيه الموسـر، فقد ترك له من الأموال الشـيء الكثير، ولهذا نراه</w:t>
      </w:r>
      <w:r w:rsidR="00D11232" w:rsidRPr="00C17B7B">
        <w:rPr>
          <w:rFonts w:ascii="Traditional Arabic" w:eastAsia="Calibri" w:hAnsi="Traditional Arabic" w:hint="cs"/>
          <w:color w:val="auto"/>
          <w:spacing w:val="4"/>
          <w:sz w:val="40"/>
          <w:rtl/>
        </w:rPr>
        <w:t xml:space="preserve"> </w:t>
      </w:r>
      <w:r w:rsidR="00D11232" w:rsidRPr="00C17B7B">
        <w:rPr>
          <w:rFonts w:ascii="Traditional Arabic" w:eastAsia="Calibri" w:hAnsi="Traditional Arabic"/>
          <w:color w:val="auto"/>
          <w:spacing w:val="4"/>
          <w:sz w:val="40"/>
          <w:rtl/>
        </w:rPr>
        <w:t xml:space="preserve">يكثر الكلام عن نفسه في أكثر من كتاب، فيبين أنه نشأ في النعيم، ويقول في صـيد الخاطر: (فمن ألف الترف فينبغي أن يتلطف بنفسه إذا أمكنه، وقد عرفت هذا من نفسـي، فإني ربيت في ترف، فلما </w:t>
      </w:r>
      <w:r w:rsidR="003D1D79">
        <w:rPr>
          <w:rFonts w:ascii="Traditional Arabic" w:eastAsia="Calibri" w:hAnsi="Traditional Arabic"/>
          <w:color w:val="auto"/>
          <w:spacing w:val="4"/>
          <w:sz w:val="40"/>
          <w:rtl/>
        </w:rPr>
        <w:t>ابتدأت في التقلل وهجر المشتهى أ</w:t>
      </w:r>
      <w:r w:rsidR="003D1D79">
        <w:rPr>
          <w:rFonts w:ascii="Traditional Arabic" w:eastAsia="Calibri" w:hAnsi="Traditional Arabic" w:hint="cs"/>
          <w:color w:val="auto"/>
          <w:spacing w:val="4"/>
          <w:sz w:val="40"/>
          <w:rtl/>
        </w:rPr>
        <w:t>ث</w:t>
      </w:r>
      <w:r w:rsidR="00E025BC">
        <w:rPr>
          <w:rFonts w:ascii="Traditional Arabic" w:eastAsia="Calibri" w:hAnsi="Traditional Arabic" w:hint="cs"/>
          <w:color w:val="auto"/>
          <w:spacing w:val="4"/>
          <w:sz w:val="40"/>
          <w:rtl/>
        </w:rPr>
        <w:t>َّ</w:t>
      </w:r>
      <w:r w:rsidR="00D11232" w:rsidRPr="00C17B7B">
        <w:rPr>
          <w:rFonts w:ascii="Traditional Arabic" w:eastAsia="Calibri" w:hAnsi="Traditional Arabic"/>
          <w:color w:val="auto"/>
          <w:spacing w:val="4"/>
          <w:sz w:val="40"/>
          <w:rtl/>
        </w:rPr>
        <w:t>ر</w:t>
      </w:r>
      <w:r w:rsidR="003D1D79">
        <w:rPr>
          <w:rFonts w:ascii="Traditional Arabic" w:eastAsia="Calibri" w:hAnsi="Traditional Arabic" w:hint="cs"/>
          <w:color w:val="auto"/>
          <w:spacing w:val="4"/>
          <w:sz w:val="40"/>
          <w:rtl/>
        </w:rPr>
        <w:t xml:space="preserve"> معي</w:t>
      </w:r>
      <w:r w:rsidR="003D1D79" w:rsidRPr="003D1D79">
        <w:rPr>
          <w:rFonts w:ascii="Traditional Arabic" w:eastAsia="Calibri" w:hAnsi="Traditional Arabic"/>
          <w:color w:val="auto"/>
          <w:spacing w:val="4"/>
          <w:sz w:val="40"/>
          <w:rtl/>
        </w:rPr>
        <w:t xml:space="preserve"> </w:t>
      </w:r>
      <w:r w:rsidR="003D1D79">
        <w:rPr>
          <w:rFonts w:ascii="Traditional Arabic" w:eastAsia="Calibri" w:hAnsi="Traditional Arabic"/>
          <w:color w:val="auto"/>
          <w:spacing w:val="4"/>
          <w:sz w:val="40"/>
          <w:rtl/>
        </w:rPr>
        <w:lastRenderedPageBreak/>
        <w:t>مرض</w:t>
      </w:r>
      <w:r w:rsidR="003D1D79">
        <w:rPr>
          <w:rFonts w:ascii="Traditional Arabic" w:eastAsia="Calibri" w:hAnsi="Traditional Arabic" w:hint="cs"/>
          <w:color w:val="auto"/>
          <w:spacing w:val="4"/>
          <w:sz w:val="40"/>
          <w:rtl/>
        </w:rPr>
        <w:t>اً</w:t>
      </w:r>
      <w:r w:rsidR="00D11232" w:rsidRPr="00C17B7B">
        <w:rPr>
          <w:rFonts w:ascii="Traditional Arabic" w:eastAsia="Calibri" w:hAnsi="Traditional Arabic"/>
          <w:color w:val="auto"/>
          <w:spacing w:val="4"/>
          <w:sz w:val="40"/>
          <w:rtl/>
        </w:rPr>
        <w:t xml:space="preserve"> قطعني عن كثير من التعبد، حتى </w:t>
      </w:r>
      <w:r w:rsidR="00D11232" w:rsidRPr="00C17B7B">
        <w:rPr>
          <w:rFonts w:ascii="Traditional Arabic" w:eastAsia="Calibri" w:hAnsi="Traditional Arabic" w:hint="cs"/>
          <w:color w:val="auto"/>
          <w:spacing w:val="4"/>
          <w:sz w:val="40"/>
          <w:rtl/>
        </w:rPr>
        <w:t>إ</w:t>
      </w:r>
      <w:r w:rsidR="00D11232" w:rsidRPr="00C17B7B">
        <w:rPr>
          <w:rFonts w:ascii="Traditional Arabic" w:eastAsia="Calibri" w:hAnsi="Traditional Arabic"/>
          <w:color w:val="auto"/>
          <w:spacing w:val="4"/>
          <w:sz w:val="40"/>
          <w:rtl/>
        </w:rPr>
        <w:t>ني قرأت في أيام كل يوم خمسة أجزاء من القرآن، فتناولت يوما ما لا يصلح فلم أقدر في ذلك اليوم على قراءتها، فقلت: إن لقمة تؤثر قراءة خمسة أجزاء بكل حرف عشـر حسنات، إن تناوله لطاعة عظيمة، وإن مطعما</w:t>
      </w:r>
      <w:r w:rsidR="00E025BC">
        <w:rPr>
          <w:rFonts w:ascii="Traditional Arabic" w:eastAsia="Calibri" w:hAnsi="Traditional Arabic" w:hint="cs"/>
          <w:color w:val="auto"/>
          <w:spacing w:val="4"/>
          <w:sz w:val="40"/>
          <w:rtl/>
        </w:rPr>
        <w:t>ً</w:t>
      </w:r>
      <w:r w:rsidR="00D11232" w:rsidRPr="00C17B7B">
        <w:rPr>
          <w:rFonts w:ascii="Traditional Arabic" w:eastAsia="Calibri" w:hAnsi="Traditional Arabic"/>
          <w:color w:val="auto"/>
          <w:spacing w:val="4"/>
          <w:sz w:val="40"/>
          <w:rtl/>
        </w:rPr>
        <w:t xml:space="preserve"> يؤذي البدن فيفوته فعل خير ينبغي أن يهجر، فالعاقل يعطي بدنه من الغذاء ما يوافقه</w:t>
      </w:r>
      <w:r w:rsidR="00192140" w:rsidRPr="00192140">
        <w:rPr>
          <w:rStyle w:val="ae"/>
          <w:rFonts w:eastAsia="Calibri"/>
          <w:rtl/>
        </w:rPr>
        <w:t>(</w:t>
      </w:r>
      <w:r w:rsidR="00192140">
        <w:rPr>
          <w:rStyle w:val="ae"/>
          <w:rFonts w:eastAsia="Calibri"/>
          <w:rtl/>
        </w:rPr>
        <w:footnoteReference w:id="16"/>
      </w:r>
      <w:r w:rsidR="00192140" w:rsidRPr="00192140">
        <w:rPr>
          <w:rStyle w:val="ae"/>
          <w:rFonts w:eastAsia="Calibri"/>
          <w:rtl/>
        </w:rPr>
        <w:t>)</w:t>
      </w:r>
      <w:r w:rsidR="00D11232" w:rsidRPr="00C17B7B">
        <w:rPr>
          <w:rFonts w:ascii="Traditional Arabic" w:eastAsia="Calibri" w:hAnsi="Traditional Arabic"/>
          <w:color w:val="auto"/>
          <w:spacing w:val="4"/>
          <w:sz w:val="40"/>
          <w:rtl/>
        </w:rPr>
        <w:t>).</w:t>
      </w:r>
      <w:r w:rsidR="00192140">
        <w:rPr>
          <w:rFonts w:ascii="Traditional Arabic" w:eastAsia="Calibri" w:hAnsi="Traditional Arabic" w:hint="cs"/>
          <w:color w:val="auto"/>
          <w:spacing w:val="4"/>
          <w:sz w:val="40"/>
          <w:rtl/>
        </w:rPr>
        <w:t xml:space="preserve"> </w:t>
      </w:r>
      <w:r w:rsidR="00D11232" w:rsidRPr="00C17B7B">
        <w:rPr>
          <w:rFonts w:ascii="Traditional Arabic" w:eastAsia="Calibri" w:hAnsi="Traditional Arabic"/>
          <w:color w:val="auto"/>
          <w:spacing w:val="4"/>
          <w:sz w:val="40"/>
          <w:rtl/>
        </w:rPr>
        <w:t>وقد عاش ابن الجوزي منذ طفولته ورعاً تقياً، لا يحب مخالطة الناس خوفاً من ضـياع الوقت، ووقوع الهفوات، فصان بذلك نفسه وروحه, وأنفق زمن صباه وشبابه في طلب العلم, وحبب إليه العلم بمختلف فنونه, فأقبل عليه ينهل من أصنافه المختلفة بهمة عالية, وعزيمة لا تفتر, وروح تواقة للمعالي رافقته منذ نعومة أظفاره, يقول الإمام ابن كثير عند ترجمته له: (وكان وهو صبي ديناً منجمعاً على نفسه, لا يخالط أحداً, ولا يأكل ما فيه شبهة، ولا يخرج من بيته إلا للجمعة، وكان لا يلعب مع الصبيان)</w:t>
      </w:r>
      <w:r w:rsidR="00477730" w:rsidRPr="00477730">
        <w:rPr>
          <w:rStyle w:val="ae"/>
          <w:rFonts w:eastAsia="Calibri"/>
        </w:rPr>
        <w:t>(</w:t>
      </w:r>
      <w:r w:rsidR="00477730">
        <w:rPr>
          <w:rStyle w:val="ae"/>
          <w:rFonts w:eastAsia="Calibri"/>
        </w:rPr>
        <w:footnoteReference w:id="17"/>
      </w:r>
      <w:r w:rsidR="00477730" w:rsidRPr="00477730">
        <w:rPr>
          <w:rStyle w:val="ae"/>
          <w:rFonts w:eastAsia="Calibri"/>
        </w:rPr>
        <w:t>)</w:t>
      </w:r>
      <w:r w:rsidR="00D11232" w:rsidRPr="00C17B7B">
        <w:rPr>
          <w:rFonts w:ascii="Traditional Arabic" w:eastAsia="Calibri" w:hAnsi="Traditional Arabic"/>
          <w:color w:val="auto"/>
          <w:spacing w:val="4"/>
          <w:sz w:val="40"/>
          <w:rtl/>
        </w:rPr>
        <w:t>.</w:t>
      </w:r>
      <w:r w:rsidR="00192140">
        <w:rPr>
          <w:rFonts w:ascii="Traditional Arabic" w:eastAsia="Calibri" w:hAnsi="Traditional Arabic" w:hint="cs"/>
          <w:color w:val="auto"/>
          <w:spacing w:val="4"/>
          <w:sz w:val="40"/>
          <w:rtl/>
        </w:rPr>
        <w:t xml:space="preserve"> </w:t>
      </w:r>
      <w:r w:rsidR="00D11232" w:rsidRPr="00C17B7B">
        <w:rPr>
          <w:rFonts w:ascii="Traditional Arabic" w:eastAsia="Calibri" w:hAnsi="Traditional Arabic"/>
          <w:color w:val="auto"/>
          <w:spacing w:val="4"/>
          <w:sz w:val="40"/>
          <w:rtl/>
        </w:rPr>
        <w:t>فلما بلغ ابن الجوزي رشده استبدل الترف بطلب العلم، فقنع باليسـير واستسهل الصعاب متحملاً كل الشدائد والمحن, فهمته في طلب العلم أنسته كل الترف فانكب على طلب العلم مستلذاً بتعبه في تحصـيله له, يقول عن نفسه: (ولقد كنت في مرحلة طلبي العلم ألقى من الشدائد ما هو عندي أحلى من العسل، لأجل ما أطلب وأرجو, وكنت في</w:t>
      </w:r>
      <w:r w:rsidR="00D05E7B">
        <w:rPr>
          <w:rFonts w:ascii="Traditional Arabic" w:eastAsia="Calibri" w:hAnsi="Traditional Arabic"/>
          <w:color w:val="auto"/>
          <w:spacing w:val="4"/>
          <w:sz w:val="40"/>
          <w:rtl/>
        </w:rPr>
        <w:t xml:space="preserve"> زمان الصبا آخذ معي أرغفة يابسة</w:t>
      </w:r>
      <w:r w:rsidR="00D05E7B">
        <w:rPr>
          <w:rFonts w:ascii="Traditional Arabic" w:eastAsia="Calibri" w:hAnsi="Traditional Arabic" w:hint="cs"/>
          <w:color w:val="auto"/>
          <w:spacing w:val="4"/>
          <w:sz w:val="40"/>
          <w:rtl/>
        </w:rPr>
        <w:t xml:space="preserve"> </w:t>
      </w:r>
    </w:p>
    <w:p w:rsidR="00D05E7B" w:rsidRDefault="00D05E7B" w:rsidP="00D05E7B">
      <w:pPr>
        <w:spacing w:line="276" w:lineRule="auto"/>
        <w:ind w:firstLine="0"/>
        <w:contextualSpacing/>
        <w:jc w:val="lowKashida"/>
        <w:rPr>
          <w:rFonts w:ascii="Traditional Arabic" w:eastAsia="Calibri" w:hAnsi="Traditional Arabic"/>
          <w:color w:val="auto"/>
          <w:spacing w:val="4"/>
          <w:sz w:val="40"/>
          <w:rtl/>
        </w:rPr>
      </w:pPr>
    </w:p>
    <w:p w:rsidR="00D05E7B" w:rsidRDefault="00D05E7B" w:rsidP="00D05E7B">
      <w:pPr>
        <w:spacing w:line="276" w:lineRule="auto"/>
        <w:ind w:firstLine="0"/>
        <w:contextualSpacing/>
        <w:jc w:val="lowKashida"/>
        <w:rPr>
          <w:rFonts w:ascii="Traditional Arabic" w:eastAsia="Calibri" w:hAnsi="Traditional Arabic"/>
          <w:color w:val="auto"/>
          <w:spacing w:val="4"/>
          <w:sz w:val="40"/>
          <w:rtl/>
        </w:rPr>
      </w:pPr>
    </w:p>
    <w:p w:rsidR="00D05E7B" w:rsidRDefault="00D05E7B" w:rsidP="00D05E7B">
      <w:pPr>
        <w:spacing w:line="276" w:lineRule="auto"/>
        <w:ind w:firstLine="0"/>
        <w:contextualSpacing/>
        <w:jc w:val="lowKashida"/>
        <w:rPr>
          <w:rFonts w:ascii="Traditional Arabic" w:eastAsia="Calibri" w:hAnsi="Traditional Arabic"/>
          <w:color w:val="auto"/>
          <w:spacing w:val="4"/>
          <w:sz w:val="40"/>
          <w:rtl/>
        </w:rPr>
      </w:pPr>
    </w:p>
    <w:p w:rsidR="00D11232" w:rsidRDefault="00D11232" w:rsidP="00D05E7B">
      <w:pPr>
        <w:spacing w:line="276" w:lineRule="auto"/>
        <w:ind w:firstLine="0"/>
        <w:contextualSpacing/>
        <w:jc w:val="lowKashida"/>
        <w:rPr>
          <w:rFonts w:ascii="Traditional Arabic" w:eastAsia="Calibri" w:hAnsi="Traditional Arabic"/>
          <w:color w:val="auto"/>
          <w:spacing w:val="4"/>
          <w:sz w:val="40"/>
          <w:rtl/>
        </w:rPr>
      </w:pPr>
      <w:r w:rsidRPr="00C17B7B">
        <w:rPr>
          <w:rFonts w:ascii="Traditional Arabic" w:eastAsia="Calibri" w:hAnsi="Traditional Arabic"/>
          <w:color w:val="auto"/>
          <w:spacing w:val="4"/>
          <w:sz w:val="40"/>
          <w:rtl/>
        </w:rPr>
        <w:lastRenderedPageBreak/>
        <w:t xml:space="preserve">فأخرج في طلب الحديث، وأقعد على </w:t>
      </w:r>
      <w:r w:rsidRPr="00C17B7B">
        <w:rPr>
          <w:rFonts w:ascii="Traditional Arabic" w:eastAsia="Calibri" w:hAnsi="Traditional Arabic"/>
          <w:color w:val="0D0D0D" w:themeColor="text1" w:themeTint="F2"/>
          <w:spacing w:val="4"/>
          <w:sz w:val="40"/>
          <w:rtl/>
        </w:rPr>
        <w:t>نهر عيسى</w:t>
      </w:r>
      <w:r w:rsidRPr="00192140">
        <w:rPr>
          <w:rStyle w:val="ae"/>
          <w:rFonts w:eastAsia="Calibri"/>
          <w:rtl/>
        </w:rPr>
        <w:fldChar w:fldCharType="begin"/>
      </w:r>
      <w:r w:rsidRPr="00192140">
        <w:rPr>
          <w:rStyle w:val="ae"/>
          <w:rFonts w:eastAsia="Calibri"/>
        </w:rPr>
        <w:instrText xml:space="preserve"> XE "</w:instrText>
      </w:r>
      <w:r w:rsidRPr="00192140">
        <w:rPr>
          <w:rStyle w:val="ae"/>
          <w:rFonts w:eastAsia="Calibri" w:hint="eastAsia"/>
          <w:rtl/>
        </w:rPr>
        <w:instrText>فهرسالأماكن</w:instrText>
      </w:r>
      <w:r w:rsidRPr="00192140">
        <w:rPr>
          <w:rStyle w:val="ae"/>
          <w:rFonts w:eastAsia="Calibri"/>
          <w:rtl/>
        </w:rPr>
        <w:instrText>:</w:instrText>
      </w:r>
      <w:r w:rsidRPr="00192140">
        <w:rPr>
          <w:rStyle w:val="ae"/>
          <w:rFonts w:eastAsia="Calibri" w:hint="eastAsia"/>
          <w:rtl/>
        </w:rPr>
        <w:instrText>نهرعيسى</w:instrText>
      </w:r>
      <w:r w:rsidRPr="00192140">
        <w:rPr>
          <w:rStyle w:val="ae"/>
          <w:rFonts w:eastAsia="Calibri"/>
        </w:rPr>
        <w:instrText xml:space="preserve">" </w:instrText>
      </w:r>
      <w:r w:rsidRPr="00192140">
        <w:rPr>
          <w:rStyle w:val="ae"/>
          <w:rFonts w:eastAsia="Calibri"/>
          <w:rtl/>
        </w:rPr>
        <w:fldChar w:fldCharType="end"/>
      </w:r>
      <w:r w:rsidR="00192140" w:rsidRPr="00192140">
        <w:rPr>
          <w:rStyle w:val="ae"/>
          <w:rFonts w:eastAsia="Calibri"/>
          <w:rtl/>
        </w:rPr>
        <w:t>(</w:t>
      </w:r>
      <w:r w:rsidR="00192140">
        <w:rPr>
          <w:rStyle w:val="ae"/>
          <w:rFonts w:eastAsia="Calibri"/>
          <w:rtl/>
        </w:rPr>
        <w:footnoteReference w:id="18"/>
      </w:r>
      <w:r w:rsidR="00192140" w:rsidRPr="00192140">
        <w:rPr>
          <w:rStyle w:val="ae"/>
          <w:rFonts w:eastAsia="Calibri"/>
          <w:rtl/>
        </w:rPr>
        <w:t>)</w:t>
      </w:r>
      <w:r w:rsidRPr="00C17B7B">
        <w:rPr>
          <w:rFonts w:ascii="Traditional Arabic" w:eastAsia="Calibri" w:hAnsi="Traditional Arabic"/>
          <w:color w:val="auto"/>
          <w:spacing w:val="4"/>
          <w:sz w:val="40"/>
          <w:rtl/>
        </w:rPr>
        <w:t>، فلا أقدر على أكلها إلا عند المساء، فكلما أكلت لقمة شـربت عليها شـربة، وعين همتي لا ترى إلا لذة تحصـيل العلم</w:t>
      </w:r>
      <w:r w:rsidR="00192140" w:rsidRPr="00192140">
        <w:rPr>
          <w:rStyle w:val="ae"/>
          <w:rFonts w:eastAsia="Calibri"/>
          <w:rtl/>
        </w:rPr>
        <w:t>(</w:t>
      </w:r>
      <w:r w:rsidR="00192140">
        <w:rPr>
          <w:rStyle w:val="ae"/>
          <w:rFonts w:eastAsia="Calibri"/>
          <w:rtl/>
        </w:rPr>
        <w:footnoteReference w:id="19"/>
      </w:r>
      <w:r w:rsidR="00192140" w:rsidRPr="00192140">
        <w:rPr>
          <w:rStyle w:val="ae"/>
          <w:rFonts w:eastAsia="Calibri"/>
          <w:rtl/>
        </w:rPr>
        <w:t>)</w:t>
      </w:r>
      <w:r w:rsidRPr="00C17B7B">
        <w:rPr>
          <w:rFonts w:ascii="Traditional Arabic" w:eastAsia="Calibri" w:hAnsi="Traditional Arabic"/>
          <w:color w:val="auto"/>
          <w:spacing w:val="4"/>
          <w:sz w:val="40"/>
          <w:rtl/>
        </w:rPr>
        <w:t>).</w:t>
      </w:r>
      <w:r w:rsidR="00192140">
        <w:rPr>
          <w:rFonts w:ascii="Traditional Arabic" w:eastAsia="Calibri" w:hAnsi="Traditional Arabic" w:hint="cs"/>
          <w:color w:val="auto"/>
          <w:spacing w:val="4"/>
          <w:sz w:val="40"/>
          <w:rtl/>
        </w:rPr>
        <w:t xml:space="preserve"> </w:t>
      </w:r>
      <w:r w:rsidRPr="00C17B7B">
        <w:rPr>
          <w:rFonts w:ascii="Traditional Arabic" w:eastAsia="Calibri" w:hAnsi="Traditional Arabic"/>
          <w:color w:val="auto"/>
          <w:spacing w:val="4"/>
          <w:sz w:val="40"/>
          <w:rtl/>
        </w:rPr>
        <w:t>وكان يحب العزلة تقديراً لقيمة الوقت وابتعاداً عن الوقوع في اللهو، يقول في صـيد الخاطر: (فليس في الدنيا أطيب عيشا من منفرد عن العالم بالعلم، فهو أنيسه وجليسه، قد قنع بما سلم به دينه من المباحات الحاصلة، لا عن تكلف ولا تضـييع دين، وارتدى بالعز عن الذل للدنيا وأهلها، والتحف بالقناعة باليسـير، إذا لم يقدر على الكثير, بهذا الاستعفاف يسلم دينه ودنياه، واشتغاله بالعلم يدله على الفضائل ويفرجه على البساتين، فهو يسلم من الشـيطان والسلطان والعوام بالعزلة، ولكن لا يصلح هذا إلا للعالم، فإنه إذا اعتزل الجاهل فاته العلم فت</w:t>
      </w:r>
      <w:r w:rsidRPr="00C17B7B">
        <w:rPr>
          <w:rFonts w:ascii="Traditional Arabic" w:eastAsia="Calibri" w:hAnsi="Traditional Arabic" w:hint="cs"/>
          <w:color w:val="auto"/>
          <w:spacing w:val="4"/>
          <w:sz w:val="40"/>
          <w:rtl/>
        </w:rPr>
        <w:t>خ</w:t>
      </w:r>
      <w:r w:rsidRPr="00C17B7B">
        <w:rPr>
          <w:rFonts w:ascii="Traditional Arabic" w:eastAsia="Calibri" w:hAnsi="Traditional Arabic"/>
          <w:color w:val="auto"/>
          <w:spacing w:val="4"/>
          <w:sz w:val="40"/>
          <w:rtl/>
        </w:rPr>
        <w:t>بط)</w:t>
      </w:r>
      <w:r w:rsidR="00192140" w:rsidRPr="00192140">
        <w:rPr>
          <w:rStyle w:val="ae"/>
          <w:rFonts w:eastAsia="Calibri"/>
          <w:rtl/>
        </w:rPr>
        <w:t>(</w:t>
      </w:r>
      <w:r w:rsidR="00192140">
        <w:rPr>
          <w:rStyle w:val="ae"/>
          <w:rFonts w:eastAsia="Calibri"/>
          <w:rtl/>
        </w:rPr>
        <w:footnoteReference w:id="20"/>
      </w:r>
      <w:r w:rsidR="00192140" w:rsidRPr="00192140">
        <w:rPr>
          <w:rStyle w:val="ae"/>
          <w:rFonts w:eastAsia="Calibri"/>
          <w:rtl/>
        </w:rPr>
        <w:t>)</w:t>
      </w:r>
      <w:r w:rsidRPr="00C17B7B">
        <w:rPr>
          <w:rFonts w:ascii="Traditional Arabic" w:eastAsia="Calibri" w:hAnsi="Traditional Arabic"/>
          <w:color w:val="auto"/>
          <w:spacing w:val="4"/>
          <w:sz w:val="40"/>
          <w:rtl/>
        </w:rPr>
        <w:t>.</w:t>
      </w:r>
      <w:r w:rsidR="00192140">
        <w:rPr>
          <w:rFonts w:ascii="Traditional Arabic" w:eastAsia="Calibri" w:hAnsi="Traditional Arabic" w:hint="cs"/>
          <w:color w:val="auto"/>
          <w:spacing w:val="4"/>
          <w:sz w:val="40"/>
          <w:rtl/>
        </w:rPr>
        <w:t xml:space="preserve"> </w:t>
      </w:r>
      <w:r w:rsidRPr="00C17B7B">
        <w:rPr>
          <w:rFonts w:ascii="Traditional Arabic" w:eastAsia="Calibri" w:hAnsi="Traditional Arabic" w:hint="cs"/>
          <w:color w:val="auto"/>
          <w:spacing w:val="4"/>
          <w:sz w:val="40"/>
          <w:rtl/>
        </w:rPr>
        <w:t>ف</w:t>
      </w:r>
      <w:r w:rsidRPr="00C17B7B">
        <w:rPr>
          <w:rFonts w:ascii="Traditional Arabic" w:eastAsia="Calibri" w:hAnsi="Traditional Arabic"/>
          <w:color w:val="auto"/>
          <w:spacing w:val="4"/>
          <w:sz w:val="40"/>
          <w:rtl/>
        </w:rPr>
        <w:t>لا</w:t>
      </w:r>
      <w:r w:rsidR="00192140">
        <w:rPr>
          <w:rFonts w:ascii="Traditional Arabic" w:eastAsia="Calibri" w:hAnsi="Traditional Arabic" w:hint="cs"/>
          <w:color w:val="auto"/>
          <w:spacing w:val="4"/>
          <w:sz w:val="40"/>
          <w:rtl/>
        </w:rPr>
        <w:t xml:space="preserve"> </w:t>
      </w:r>
      <w:r w:rsidRPr="00C17B7B">
        <w:rPr>
          <w:rFonts w:ascii="Traditional Arabic" w:eastAsia="Calibri" w:hAnsi="Traditional Arabic"/>
          <w:color w:val="auto"/>
          <w:spacing w:val="4"/>
          <w:sz w:val="40"/>
          <w:rtl/>
        </w:rPr>
        <w:t>غر</w:t>
      </w:r>
      <w:r w:rsidRPr="00C17B7B">
        <w:rPr>
          <w:rFonts w:ascii="Traditional Arabic" w:eastAsia="Calibri" w:hAnsi="Traditional Arabic" w:hint="cs"/>
          <w:color w:val="auto"/>
          <w:spacing w:val="4"/>
          <w:sz w:val="40"/>
          <w:rtl/>
        </w:rPr>
        <w:t xml:space="preserve">ابة </w:t>
      </w:r>
      <w:r w:rsidRPr="00C17B7B">
        <w:rPr>
          <w:rFonts w:ascii="Traditional Arabic" w:eastAsia="Calibri" w:hAnsi="Traditional Arabic"/>
          <w:color w:val="auto"/>
          <w:spacing w:val="4"/>
          <w:sz w:val="40"/>
          <w:rtl/>
        </w:rPr>
        <w:t xml:space="preserve">بعد هذا أن تجد لهذا الإمام مشاركة فاعلة في مختلف علوم الشـريعة, من القراءات والتفسـير والوجوه والنظائر وعلوم الحديث ورجاله وعلله وصحيحه وسقيمه وموضوعه وناسخه ومنسوخه والفقه والتاريخ والسـير والتراجم والمواضع والرقائق والأخلاق واللغة والغريب والنحو والشعر والطب والفلك...وغير ذلك مما شهد له به أهل العلم على اختلاف </w:t>
      </w:r>
      <w:r w:rsidR="00192140" w:rsidRPr="00C17B7B">
        <w:rPr>
          <w:rFonts w:ascii="Traditional Arabic" w:eastAsia="Calibri" w:hAnsi="Traditional Arabic" w:hint="cs"/>
          <w:color w:val="auto"/>
          <w:spacing w:val="4"/>
          <w:sz w:val="40"/>
          <w:rtl/>
        </w:rPr>
        <w:t>آرائهم</w:t>
      </w:r>
      <w:r w:rsidRPr="00C17B7B">
        <w:rPr>
          <w:rFonts w:ascii="Traditional Arabic" w:eastAsia="Calibri" w:hAnsi="Traditional Arabic"/>
          <w:color w:val="auto"/>
          <w:spacing w:val="4"/>
          <w:sz w:val="40"/>
          <w:rtl/>
        </w:rPr>
        <w:t xml:space="preserve"> ومذاهبهم.</w:t>
      </w:r>
      <w:r w:rsidR="00192140">
        <w:rPr>
          <w:rFonts w:ascii="Traditional Arabic" w:eastAsia="Calibri" w:hAnsi="Traditional Arabic" w:hint="cs"/>
          <w:color w:val="auto"/>
          <w:spacing w:val="4"/>
          <w:sz w:val="40"/>
          <w:rtl/>
        </w:rPr>
        <w:t xml:space="preserve"> </w:t>
      </w:r>
      <w:r w:rsidRPr="00C17B7B">
        <w:rPr>
          <w:rFonts w:ascii="Traditional Arabic" w:eastAsia="Calibri" w:hAnsi="Traditional Arabic"/>
          <w:color w:val="auto"/>
          <w:spacing w:val="4"/>
          <w:sz w:val="40"/>
          <w:rtl/>
        </w:rPr>
        <w:t>فاشتهر أمره في ذلك الوقت, وأخذ في التصنيف والجمع, ونظر في جميع الفنون وألف فيها, وصنف مصنفات كثيرة لا تحصـى في سائر الفنون</w:t>
      </w:r>
      <w:r w:rsidR="00192140" w:rsidRPr="00192140">
        <w:rPr>
          <w:rStyle w:val="ae"/>
          <w:rFonts w:eastAsia="Calibri"/>
          <w:rtl/>
        </w:rPr>
        <w:t>(</w:t>
      </w:r>
      <w:r w:rsidR="00192140">
        <w:rPr>
          <w:rStyle w:val="ae"/>
          <w:rFonts w:eastAsia="Calibri"/>
          <w:rtl/>
        </w:rPr>
        <w:footnoteReference w:id="21"/>
      </w:r>
      <w:r w:rsidR="00192140" w:rsidRPr="00192140">
        <w:rPr>
          <w:rStyle w:val="ae"/>
          <w:rFonts w:eastAsia="Calibri"/>
          <w:rtl/>
        </w:rPr>
        <w:t>)</w:t>
      </w:r>
      <w:r w:rsidRPr="00C17B7B">
        <w:rPr>
          <w:rFonts w:ascii="Traditional Arabic" w:eastAsia="Calibri" w:hAnsi="Traditional Arabic"/>
          <w:color w:val="auto"/>
          <w:spacing w:val="4"/>
          <w:sz w:val="40"/>
          <w:rtl/>
        </w:rPr>
        <w:t>.</w:t>
      </w:r>
    </w:p>
    <w:p w:rsidR="00584A5E" w:rsidRPr="00C17B7B" w:rsidRDefault="00584A5E" w:rsidP="00584A5E">
      <w:pPr>
        <w:spacing w:line="276" w:lineRule="auto"/>
        <w:ind w:firstLine="0"/>
        <w:contextualSpacing/>
        <w:jc w:val="lowKashida"/>
        <w:rPr>
          <w:rFonts w:ascii="Traditional Arabic" w:eastAsia="Calibri" w:hAnsi="Traditional Arabic"/>
          <w:color w:val="auto"/>
          <w:sz w:val="40"/>
          <w:rtl/>
        </w:rPr>
      </w:pPr>
      <w:r>
        <w:rPr>
          <w:rFonts w:ascii="Traditional Arabic" w:eastAsia="Calibri" w:hAnsi="Traditional Arabic" w:hint="cs"/>
          <w:color w:val="auto"/>
          <w:sz w:val="40"/>
          <w:rtl/>
        </w:rPr>
        <w:lastRenderedPageBreak/>
        <w:t>ثالث</w:t>
      </w:r>
      <w:r w:rsidRPr="00C17B7B">
        <w:rPr>
          <w:rFonts w:ascii="Traditional Arabic" w:eastAsia="Calibri" w:hAnsi="Traditional Arabic" w:hint="cs"/>
          <w:color w:val="auto"/>
          <w:sz w:val="40"/>
          <w:rtl/>
        </w:rPr>
        <w:t xml:space="preserve">ا: </w:t>
      </w:r>
      <w:r>
        <w:rPr>
          <w:rFonts w:ascii="Traditional Arabic" w:eastAsia="Calibri" w:hAnsi="Traditional Arabic"/>
          <w:color w:val="auto"/>
          <w:sz w:val="40"/>
          <w:rtl/>
        </w:rPr>
        <w:t>كانت وفا</w:t>
      </w:r>
      <w:r>
        <w:rPr>
          <w:rFonts w:ascii="Traditional Arabic" w:eastAsia="Calibri" w:hAnsi="Traditional Arabic" w:hint="cs"/>
          <w:color w:val="auto"/>
          <w:sz w:val="40"/>
          <w:rtl/>
        </w:rPr>
        <w:t>ة الإمام</w:t>
      </w:r>
      <w:r w:rsidRPr="00C17B7B">
        <w:rPr>
          <w:rFonts w:ascii="Traditional Arabic" w:eastAsia="Calibri" w:hAnsi="Traditional Arabic" w:hint="cs"/>
          <w:color w:val="auto"/>
          <w:sz w:val="40"/>
          <w:rtl/>
        </w:rPr>
        <w:t xml:space="preserve"> ابن الجوزي </w:t>
      </w:r>
      <w:r>
        <w:rPr>
          <w:rFonts w:ascii="Traditional Arabic" w:eastAsia="Calibri" w:hAnsi="Traditional Arabic" w:hint="cs"/>
          <w:color w:val="auto"/>
          <w:sz w:val="40"/>
          <w:rtl/>
        </w:rPr>
        <w:t>-</w:t>
      </w:r>
      <w:r w:rsidRPr="00C17B7B">
        <w:rPr>
          <w:rFonts w:ascii="Traditional Arabic" w:eastAsia="Calibri" w:hAnsi="Traditional Arabic" w:hint="cs"/>
          <w:color w:val="auto"/>
          <w:sz w:val="40"/>
          <w:rtl/>
        </w:rPr>
        <w:t>رحمه الله-</w:t>
      </w:r>
      <w:r w:rsidRPr="00C17B7B">
        <w:rPr>
          <w:rFonts w:ascii="Traditional Arabic" w:eastAsia="Calibri" w:hAnsi="Traditional Arabic"/>
          <w:color w:val="auto"/>
          <w:sz w:val="40"/>
          <w:rtl/>
        </w:rPr>
        <w:t xml:space="preserve"> ليلة الجمعة </w:t>
      </w:r>
      <w:r w:rsidRPr="00C17B7B">
        <w:rPr>
          <w:rFonts w:ascii="Traditional Arabic" w:eastAsia="Calibri" w:hAnsi="Traditional Arabic" w:hint="cs"/>
          <w:color w:val="auto"/>
          <w:sz w:val="40"/>
          <w:rtl/>
        </w:rPr>
        <w:t>في اليوم الثالث عشر من شهر رمضان المبارك عام (</w:t>
      </w:r>
      <w:r w:rsidRPr="00C17B7B">
        <w:rPr>
          <w:rFonts w:ascii="Traditional Arabic" w:eastAsia="Calibri" w:hAnsi="Traditional Arabic"/>
          <w:color w:val="auto"/>
          <w:sz w:val="40"/>
          <w:rtl/>
        </w:rPr>
        <w:t xml:space="preserve">597هـ) بين </w:t>
      </w:r>
      <w:r w:rsidRPr="00C17B7B">
        <w:rPr>
          <w:rFonts w:ascii="Traditional Arabic" w:eastAsia="Calibri" w:hAnsi="Traditional Arabic" w:hint="cs"/>
          <w:color w:val="auto"/>
          <w:sz w:val="40"/>
          <w:rtl/>
        </w:rPr>
        <w:t>العشاءين</w:t>
      </w:r>
      <w:r w:rsidRPr="00C17B7B">
        <w:rPr>
          <w:rFonts w:ascii="Traditional Arabic" w:eastAsia="Calibri" w:hAnsi="Traditional Arabic"/>
          <w:color w:val="auto"/>
          <w:sz w:val="40"/>
          <w:rtl/>
        </w:rPr>
        <w:t>، فغسل وقت السحر، واجتمع أهل بغداد وحملت جنازته على رؤوس الناس، وكان الجمع كثيراً جداً، وكثر أسف الناس عليه, ودفن بباب حرب، بالقرب من مدف</w:t>
      </w:r>
      <w:r>
        <w:rPr>
          <w:rFonts w:ascii="Traditional Arabic" w:eastAsia="Calibri" w:hAnsi="Traditional Arabic"/>
          <w:color w:val="auto"/>
          <w:sz w:val="40"/>
          <w:rtl/>
        </w:rPr>
        <w:t xml:space="preserve">ن الإمام أحمد </w:t>
      </w:r>
      <w:r w:rsidRPr="00244F4B">
        <w:rPr>
          <w:rFonts w:ascii="Traditional Arabic" w:eastAsia="Calibri" w:hAnsi="Traditional Arabic"/>
          <w:color w:val="auto"/>
          <w:sz w:val="40"/>
          <w:rtl/>
        </w:rPr>
        <w:t xml:space="preserve">بن حنبل, وَأمر أَن يكْتب </w:t>
      </w:r>
      <w:r w:rsidRPr="00C17B7B">
        <w:rPr>
          <w:rFonts w:ascii="Traditional Arabic" w:eastAsia="Calibri" w:hAnsi="Traditional Arabic"/>
          <w:color w:val="auto"/>
          <w:sz w:val="40"/>
          <w:rtl/>
        </w:rPr>
        <w:t xml:space="preserve">على قبره: </w:t>
      </w:r>
    </w:p>
    <w:p w:rsidR="00E72503" w:rsidRDefault="00E72503" w:rsidP="00584A5E">
      <w:pPr>
        <w:spacing w:line="276" w:lineRule="auto"/>
        <w:ind w:firstLine="0"/>
        <w:contextualSpacing/>
        <w:jc w:val="lowKashida"/>
        <w:rPr>
          <w:rFonts w:ascii="Traditional Arabic" w:eastAsia="Calibri" w:hAnsi="Traditional Arabic"/>
          <w:color w:val="auto"/>
          <w:spacing w:val="-8"/>
          <w:sz w:val="40"/>
          <w:rtl/>
        </w:rPr>
      </w:pPr>
      <w:r>
        <w:rPr>
          <w:rFonts w:ascii="Traditional Arabic" w:eastAsia="Calibri" w:hAnsi="Traditional Arabic" w:hint="cs"/>
          <w:color w:val="auto"/>
          <w:spacing w:val="-8"/>
          <w:sz w:val="40"/>
          <w:rtl/>
        </w:rPr>
        <w:t xml:space="preserve">         </w:t>
      </w:r>
      <w:r w:rsidR="004E0C79">
        <w:rPr>
          <w:rFonts w:ascii="Traditional Arabic" w:eastAsia="Calibri" w:hAnsi="Traditional Arabic" w:hint="cs"/>
          <w:color w:val="auto"/>
          <w:spacing w:val="-8"/>
          <w:sz w:val="40"/>
          <w:rtl/>
        </w:rPr>
        <w:t xml:space="preserve">             </w:t>
      </w:r>
      <w:r>
        <w:rPr>
          <w:rFonts w:ascii="Traditional Arabic" w:eastAsia="Calibri" w:hAnsi="Traditional Arabic" w:hint="cs"/>
          <w:color w:val="auto"/>
          <w:spacing w:val="-8"/>
          <w:sz w:val="40"/>
          <w:rtl/>
        </w:rPr>
        <w:t xml:space="preserve"> يا كثير العفو عمن     ***   كثر الذنب لديه</w:t>
      </w:r>
    </w:p>
    <w:p w:rsidR="00E72503" w:rsidRDefault="00E72503" w:rsidP="00584A5E">
      <w:pPr>
        <w:spacing w:line="276" w:lineRule="auto"/>
        <w:ind w:firstLine="0"/>
        <w:contextualSpacing/>
        <w:jc w:val="lowKashida"/>
        <w:rPr>
          <w:rFonts w:ascii="Traditional Arabic" w:eastAsia="Calibri" w:hAnsi="Traditional Arabic"/>
          <w:color w:val="auto"/>
          <w:spacing w:val="-8"/>
          <w:sz w:val="40"/>
          <w:rtl/>
        </w:rPr>
      </w:pPr>
      <w:r>
        <w:rPr>
          <w:rFonts w:ascii="Traditional Arabic" w:eastAsia="Calibri" w:hAnsi="Traditional Arabic" w:hint="cs"/>
          <w:color w:val="auto"/>
          <w:spacing w:val="-8"/>
          <w:sz w:val="40"/>
          <w:rtl/>
        </w:rPr>
        <w:t xml:space="preserve">         </w:t>
      </w:r>
      <w:r w:rsidR="004E0C79">
        <w:rPr>
          <w:rFonts w:ascii="Traditional Arabic" w:eastAsia="Calibri" w:hAnsi="Traditional Arabic" w:hint="cs"/>
          <w:color w:val="auto"/>
          <w:spacing w:val="-8"/>
          <w:sz w:val="40"/>
          <w:rtl/>
        </w:rPr>
        <w:t xml:space="preserve">             </w:t>
      </w:r>
      <w:r>
        <w:rPr>
          <w:rFonts w:ascii="Traditional Arabic" w:eastAsia="Calibri" w:hAnsi="Traditional Arabic" w:hint="cs"/>
          <w:color w:val="auto"/>
          <w:spacing w:val="-8"/>
          <w:sz w:val="40"/>
          <w:rtl/>
        </w:rPr>
        <w:t>جاءك المذنب يرجو    ***  الصفح عن حرم يديه</w:t>
      </w:r>
    </w:p>
    <w:p w:rsidR="00E72503" w:rsidRDefault="00E72503" w:rsidP="00584A5E">
      <w:pPr>
        <w:spacing w:line="276" w:lineRule="auto"/>
        <w:ind w:firstLine="0"/>
        <w:contextualSpacing/>
        <w:jc w:val="lowKashida"/>
        <w:rPr>
          <w:rFonts w:ascii="Traditional Arabic" w:eastAsia="Calibri" w:hAnsi="Traditional Arabic"/>
          <w:color w:val="auto"/>
          <w:spacing w:val="-8"/>
          <w:sz w:val="40"/>
          <w:rtl/>
        </w:rPr>
      </w:pPr>
      <w:r>
        <w:rPr>
          <w:rFonts w:ascii="Traditional Arabic" w:eastAsia="Calibri" w:hAnsi="Traditional Arabic" w:hint="cs"/>
          <w:color w:val="auto"/>
          <w:spacing w:val="-8"/>
          <w:sz w:val="40"/>
          <w:rtl/>
        </w:rPr>
        <w:t xml:space="preserve">       </w:t>
      </w:r>
      <w:r w:rsidR="004E0C79">
        <w:rPr>
          <w:rFonts w:ascii="Traditional Arabic" w:eastAsia="Calibri" w:hAnsi="Traditional Arabic" w:hint="cs"/>
          <w:color w:val="auto"/>
          <w:spacing w:val="-8"/>
          <w:sz w:val="40"/>
          <w:rtl/>
        </w:rPr>
        <w:t xml:space="preserve">              </w:t>
      </w:r>
      <w:r>
        <w:rPr>
          <w:rFonts w:ascii="Traditional Arabic" w:eastAsia="Calibri" w:hAnsi="Traditional Arabic" w:hint="cs"/>
          <w:color w:val="auto"/>
          <w:spacing w:val="-8"/>
          <w:sz w:val="40"/>
          <w:rtl/>
        </w:rPr>
        <w:t xml:space="preserve">  أنا ضيف وجزاء      ***  الضيف إحسان إليه</w:t>
      </w:r>
      <w:r w:rsidRPr="00E72503">
        <w:rPr>
          <w:rStyle w:val="ae"/>
          <w:rFonts w:eastAsia="Calibri"/>
          <w:rtl/>
        </w:rPr>
        <w:t>(</w:t>
      </w:r>
      <w:r>
        <w:rPr>
          <w:rStyle w:val="ae"/>
          <w:rFonts w:eastAsia="Calibri"/>
          <w:rtl/>
        </w:rPr>
        <w:footnoteReference w:id="22"/>
      </w:r>
      <w:r w:rsidRPr="00E72503">
        <w:rPr>
          <w:rStyle w:val="ae"/>
          <w:rFonts w:eastAsia="Calibri"/>
          <w:rtl/>
        </w:rPr>
        <w:t>)</w:t>
      </w:r>
    </w:p>
    <w:p w:rsidR="004E0C79" w:rsidRDefault="00584A5E" w:rsidP="004E0C79">
      <w:pPr>
        <w:spacing w:line="276" w:lineRule="auto"/>
        <w:ind w:firstLine="0"/>
        <w:contextualSpacing/>
        <w:jc w:val="lowKashida"/>
        <w:rPr>
          <w:rFonts w:ascii="Traditional Arabic" w:eastAsia="Calibri" w:hAnsi="Traditional Arabic" w:cs="DecoType Naskh"/>
          <w:color w:val="auto"/>
          <w:szCs w:val="32"/>
          <w:rtl/>
        </w:rPr>
      </w:pPr>
      <w:r w:rsidRPr="00C17B7B">
        <w:rPr>
          <w:rFonts w:ascii="Traditional Arabic" w:eastAsia="Calibri" w:hAnsi="Traditional Arabic"/>
          <w:color w:val="auto"/>
          <w:spacing w:val="-8"/>
          <w:sz w:val="40"/>
          <w:rtl/>
        </w:rPr>
        <w:t>فرحمه الله رحمة واسعة, وأسكنه فسـيح جناته, ونفعنا بعلومه آمين</w:t>
      </w:r>
      <w:r w:rsidRPr="00372BA2">
        <w:rPr>
          <w:rStyle w:val="ae"/>
          <w:rFonts w:eastAsia="Calibri"/>
          <w:rtl/>
        </w:rPr>
        <w:t>(</w:t>
      </w:r>
      <w:r>
        <w:rPr>
          <w:rStyle w:val="ae"/>
          <w:rFonts w:eastAsia="Calibri"/>
          <w:rtl/>
        </w:rPr>
        <w:footnoteReference w:id="23"/>
      </w:r>
      <w:r w:rsidRPr="00372BA2">
        <w:rPr>
          <w:rStyle w:val="ae"/>
          <w:rFonts w:eastAsia="Calibri"/>
          <w:rtl/>
        </w:rPr>
        <w:t>)</w:t>
      </w:r>
      <w:r w:rsidRPr="00C17B7B">
        <w:rPr>
          <w:rFonts w:ascii="Traditional Arabic" w:eastAsia="Calibri" w:hAnsi="Traditional Arabic"/>
          <w:color w:val="auto"/>
          <w:spacing w:val="-8"/>
          <w:sz w:val="40"/>
          <w:rtl/>
        </w:rPr>
        <w:t>.</w:t>
      </w:r>
    </w:p>
    <w:p w:rsidR="00D11232" w:rsidRPr="00C17B7B" w:rsidRDefault="00D11232" w:rsidP="00E72503">
      <w:pPr>
        <w:keepNext/>
        <w:ind w:firstLine="0"/>
        <w:contextualSpacing/>
        <w:outlineLvl w:val="2"/>
        <w:rPr>
          <w:rFonts w:ascii="Arial" w:hAnsi="Arial"/>
          <w:b/>
          <w:bCs/>
          <w:noProof/>
          <w:sz w:val="26"/>
          <w:szCs w:val="40"/>
          <w:rtl/>
        </w:rPr>
      </w:pPr>
      <w:r w:rsidRPr="00C17B7B">
        <w:rPr>
          <w:rFonts w:ascii="Arial" w:hAnsi="Arial"/>
          <w:b/>
          <w:bCs/>
          <w:noProof/>
          <w:sz w:val="26"/>
          <w:szCs w:val="40"/>
          <w:rtl/>
        </w:rPr>
        <w:lastRenderedPageBreak/>
        <w:t xml:space="preserve">المبحث </w:t>
      </w:r>
      <w:r w:rsidR="00E72503">
        <w:rPr>
          <w:rFonts w:ascii="Arial" w:hAnsi="Arial" w:hint="cs"/>
          <w:b/>
          <w:bCs/>
          <w:noProof/>
          <w:sz w:val="26"/>
          <w:szCs w:val="40"/>
          <w:rtl/>
        </w:rPr>
        <w:t>الثالث</w:t>
      </w:r>
      <w:r w:rsidRPr="00C17B7B">
        <w:rPr>
          <w:rFonts w:ascii="Arial" w:hAnsi="Arial" w:hint="cs"/>
          <w:b/>
          <w:bCs/>
          <w:noProof/>
          <w:sz w:val="26"/>
          <w:szCs w:val="40"/>
          <w:rtl/>
        </w:rPr>
        <w:t xml:space="preserve">: </w:t>
      </w:r>
      <w:r w:rsidRPr="00C17B7B">
        <w:rPr>
          <w:rFonts w:ascii="Arial" w:hAnsi="Arial"/>
          <w:b/>
          <w:bCs/>
          <w:noProof/>
          <w:sz w:val="26"/>
          <w:szCs w:val="40"/>
          <w:rtl/>
        </w:rPr>
        <w:t>شـيـوخــــه</w:t>
      </w:r>
      <w:r w:rsidRPr="00C17B7B">
        <w:rPr>
          <w:rFonts w:ascii="Arial" w:hAnsi="Arial" w:hint="cs"/>
          <w:b/>
          <w:bCs/>
          <w:noProof/>
          <w:sz w:val="26"/>
          <w:szCs w:val="40"/>
          <w:rtl/>
        </w:rPr>
        <w:t>، وتلاميذه:</w:t>
      </w:r>
    </w:p>
    <w:p w:rsidR="00D11232" w:rsidRPr="00C17B7B" w:rsidRDefault="00D11232" w:rsidP="00192140">
      <w:pPr>
        <w:spacing w:line="276" w:lineRule="auto"/>
        <w:ind w:firstLine="0"/>
        <w:contextualSpacing/>
        <w:jc w:val="lowKashida"/>
        <w:rPr>
          <w:rFonts w:ascii="Traditional Arabic" w:eastAsia="Calibri" w:hAnsi="Traditional Arabic"/>
          <w:color w:val="auto"/>
          <w:rtl/>
        </w:rPr>
      </w:pPr>
      <w:r w:rsidRPr="00C17B7B">
        <w:rPr>
          <w:rFonts w:ascii="Traditional Arabic" w:eastAsia="Calibri" w:hAnsi="Traditional Arabic"/>
          <w:color w:val="auto"/>
          <w:rtl/>
        </w:rPr>
        <w:t>تلقى ابن الجوزي العلم عن جمع كثير من العلماء والمشايخ من فنون العلم المختلفة فكان من مشايخه الفقهاء, والمحدثون, والأدباء والوعاظ والقراء والمفسـرون واللغويون.</w:t>
      </w:r>
    </w:p>
    <w:p w:rsidR="00D05E7B" w:rsidRPr="004E0C79" w:rsidRDefault="00D11232" w:rsidP="004E0C79">
      <w:pPr>
        <w:spacing w:line="276" w:lineRule="auto"/>
        <w:ind w:firstLine="0"/>
        <w:contextualSpacing/>
        <w:jc w:val="lowKashida"/>
        <w:rPr>
          <w:rFonts w:ascii="Traditional Arabic" w:eastAsia="Calibri" w:hAnsi="Traditional Arabic"/>
          <w:color w:val="auto"/>
        </w:rPr>
      </w:pPr>
      <w:r w:rsidRPr="00C17B7B">
        <w:rPr>
          <w:rFonts w:ascii="Traditional Arabic" w:eastAsia="Calibri" w:hAnsi="Traditional Arabic"/>
          <w:color w:val="auto"/>
          <w:rtl/>
        </w:rPr>
        <w:t>وقد اهتم ابن الجوزي بشـيوخه الذين تتلمذ عليهم, وأفردهم بكتاب خاص أسماه (المشـيخة) ذكر فيه تسعة وثمانين شـيخاً منهم ثلاث نسوة وسمع أيضا من مشايخ آخرين لم يذكرهم في كتابه فقد قال في آخر ترجمة الشـيخ السادس والثمانين</w:t>
      </w:r>
      <w:r w:rsidR="00192140" w:rsidRPr="00192140">
        <w:rPr>
          <w:rStyle w:val="ae"/>
          <w:rFonts w:eastAsia="Calibri"/>
          <w:rtl/>
        </w:rPr>
        <w:t>(</w:t>
      </w:r>
      <w:r w:rsidR="00192140">
        <w:rPr>
          <w:rStyle w:val="ae"/>
          <w:rFonts w:eastAsia="Calibri"/>
          <w:rtl/>
        </w:rPr>
        <w:footnoteReference w:id="24"/>
      </w:r>
      <w:r w:rsidR="00192140" w:rsidRPr="00192140">
        <w:rPr>
          <w:rStyle w:val="ae"/>
          <w:rFonts w:eastAsia="Calibri"/>
          <w:rtl/>
        </w:rPr>
        <w:t>)</w:t>
      </w:r>
      <w:r w:rsidRPr="00C17B7B">
        <w:rPr>
          <w:rFonts w:ascii="Traditional Arabic" w:eastAsia="Calibri" w:hAnsi="Traditional Arabic"/>
          <w:color w:val="auto"/>
          <w:rtl/>
        </w:rPr>
        <w:t>: (هذا آخر المشايخ الأكابر, وقد سمعت من جماعة غيرهم, ولي إجازات من خلق يطول ذكرهم).</w:t>
      </w:r>
      <w:r w:rsidR="00192140">
        <w:rPr>
          <w:rFonts w:ascii="Traditional Arabic" w:eastAsia="Calibri" w:hAnsi="Traditional Arabic" w:hint="cs"/>
          <w:color w:val="auto"/>
          <w:rtl/>
        </w:rPr>
        <w:t xml:space="preserve"> </w:t>
      </w:r>
      <w:r w:rsidRPr="00C17B7B">
        <w:rPr>
          <w:rFonts w:ascii="Traditional Arabic" w:eastAsia="Calibri" w:hAnsi="Traditional Arabic" w:hint="cs"/>
          <w:color w:val="auto"/>
          <w:rtl/>
        </w:rPr>
        <w:t xml:space="preserve"> </w:t>
      </w:r>
      <w:r w:rsidRPr="00C17B7B">
        <w:rPr>
          <w:rFonts w:ascii="Traditional Arabic" w:eastAsia="Calibri" w:hAnsi="Traditional Arabic"/>
          <w:color w:val="auto"/>
          <w:rtl/>
        </w:rPr>
        <w:t xml:space="preserve">فقد جمع الله له من الشـيوخ ما لم يجتمع لغيره من أقرانه, وسأذكر من شـيوخه أبرز من تأثر بهم كما يلي: </w:t>
      </w:r>
    </w:p>
    <w:p w:rsidR="00D11232" w:rsidRPr="00C17B7B" w:rsidRDefault="00D11232" w:rsidP="00C443D8">
      <w:pPr>
        <w:numPr>
          <w:ilvl w:val="0"/>
          <w:numId w:val="25"/>
        </w:numPr>
        <w:spacing w:after="200" w:line="276" w:lineRule="auto"/>
        <w:ind w:left="0" w:firstLine="0"/>
        <w:contextualSpacing/>
        <w:jc w:val="lowKashida"/>
        <w:rPr>
          <w:rFonts w:ascii="Traditional Arabic" w:hAnsi="Traditional Arabic"/>
        </w:rPr>
      </w:pPr>
      <w:r w:rsidRPr="00C17B7B">
        <w:rPr>
          <w:rFonts w:ascii="Traditional Arabic" w:hAnsi="Traditional Arabic"/>
          <w:rtl/>
        </w:rPr>
        <w:t>أبو الحسن الدينوري: علي بن عبدالواحد بن أحمد الدينوري</w:t>
      </w:r>
      <w:r w:rsidRPr="00C17B7B">
        <w:rPr>
          <w:rFonts w:ascii="Traditional Arabic" w:hAnsi="Traditional Arabic"/>
          <w:rtl/>
        </w:rPr>
        <w:fldChar w:fldCharType="begin"/>
      </w:r>
      <w:r w:rsidRPr="00C17B7B">
        <w:instrText xml:space="preserve"> XE "</w:instrText>
      </w:r>
      <w:r w:rsidRPr="00C17B7B">
        <w:rPr>
          <w:rFonts w:hint="eastAsia"/>
          <w:rtl/>
        </w:rPr>
        <w:instrText>فهرسالأعلام</w:instrText>
      </w:r>
      <w:r w:rsidRPr="00C17B7B">
        <w:rPr>
          <w:rtl/>
        </w:rPr>
        <w:instrText>:</w:instrText>
      </w:r>
      <w:r w:rsidRPr="00C17B7B">
        <w:rPr>
          <w:rFonts w:hint="eastAsia"/>
          <w:rtl/>
        </w:rPr>
        <w:instrText>عليبنعبدالواحدبنأحمدالدينوري</w:instrText>
      </w:r>
      <w:r w:rsidRPr="00C17B7B">
        <w:instrText xml:space="preserve">" </w:instrText>
      </w:r>
      <w:r w:rsidRPr="00C17B7B">
        <w:rPr>
          <w:rFonts w:ascii="Traditional Arabic" w:hAnsi="Traditional Arabic"/>
          <w:rtl/>
        </w:rPr>
        <w:fldChar w:fldCharType="end"/>
      </w:r>
      <w:r w:rsidRPr="00C17B7B">
        <w:rPr>
          <w:rFonts w:ascii="Traditional Arabic" w:hAnsi="Traditional Arabic"/>
          <w:rtl/>
        </w:rPr>
        <w:t>، ثم البغدادي,</w:t>
      </w:r>
      <w:r w:rsidR="00D05E7B">
        <w:rPr>
          <w:rFonts w:ascii="Traditional Arabic" w:hAnsi="Traditional Arabic" w:hint="cs"/>
          <w:rtl/>
        </w:rPr>
        <w:t xml:space="preserve"> </w:t>
      </w:r>
      <w:r w:rsidRPr="00C17B7B">
        <w:rPr>
          <w:rFonts w:ascii="Traditional Arabic" w:hAnsi="Traditional Arabic"/>
          <w:rtl/>
        </w:rPr>
        <w:t>سمع: أبا الحسن القزويني، وأبا طالب بن غيلان، والحافظ أبا محمد الخلال،</w:t>
      </w:r>
      <w:r w:rsidR="00D05E7B">
        <w:rPr>
          <w:rFonts w:ascii="Traditional Arabic" w:hAnsi="Traditional Arabic" w:hint="cs"/>
          <w:rtl/>
        </w:rPr>
        <w:t xml:space="preserve"> </w:t>
      </w:r>
      <w:r w:rsidRPr="00C17B7B">
        <w:rPr>
          <w:rFonts w:ascii="Traditional Arabic" w:hAnsi="Traditional Arabic"/>
          <w:rtl/>
        </w:rPr>
        <w:t>وغيرهم.</w:t>
      </w:r>
      <w:r w:rsidR="00D05E7B">
        <w:rPr>
          <w:rFonts w:ascii="Traditional Arabic" w:hAnsi="Traditional Arabic" w:hint="cs"/>
          <w:rtl/>
        </w:rPr>
        <w:t xml:space="preserve"> </w:t>
      </w:r>
      <w:r w:rsidRPr="00C17B7B">
        <w:rPr>
          <w:rFonts w:ascii="Traditional Arabic" w:hAnsi="Traditional Arabic"/>
          <w:rtl/>
        </w:rPr>
        <w:t>حدث عنه: أبو المعمر الأنصاري، والحافظ ابن عساكر</w:t>
      </w:r>
      <w:r w:rsidRPr="00C17B7B">
        <w:rPr>
          <w:rFonts w:ascii="Traditional Arabic" w:hAnsi="Traditional Arabic" w:hint="cs"/>
          <w:rtl/>
        </w:rPr>
        <w:t xml:space="preserve"> </w:t>
      </w:r>
      <w:r w:rsidRPr="00C17B7B">
        <w:rPr>
          <w:rFonts w:ascii="Traditional Arabic" w:hAnsi="Traditional Arabic"/>
          <w:rtl/>
        </w:rPr>
        <w:t>وآخرون.</w:t>
      </w:r>
      <w:r w:rsidRPr="00C17B7B">
        <w:rPr>
          <w:rFonts w:ascii="Traditional Arabic" w:hAnsi="Traditional Arabic" w:hint="cs"/>
          <w:rtl/>
        </w:rPr>
        <w:t xml:space="preserve"> </w:t>
      </w:r>
      <w:r w:rsidRPr="00C17B7B">
        <w:rPr>
          <w:rFonts w:ascii="Traditional Arabic" w:hAnsi="Traditional Arabic"/>
          <w:rtl/>
        </w:rPr>
        <w:t>قال أبو سعد السمعاني: كان صاحب الخبر</w:t>
      </w:r>
      <w:r w:rsidRPr="00C17B7B">
        <w:rPr>
          <w:rFonts w:ascii="Traditional Arabic" w:hAnsi="Traditional Arabic" w:hint="cs"/>
          <w:rtl/>
        </w:rPr>
        <w:t>.</w:t>
      </w:r>
      <w:r w:rsidRPr="00C17B7B">
        <w:rPr>
          <w:rFonts w:ascii="Traditional Arabic" w:hAnsi="Traditional Arabic"/>
          <w:rtl/>
        </w:rPr>
        <w:t xml:space="preserve"> سمع منه ابن الجوزي الحديث</w:t>
      </w:r>
      <w:r w:rsidRPr="00C17B7B">
        <w:rPr>
          <w:rFonts w:ascii="Traditional Arabic" w:hAnsi="Traditional Arabic" w:hint="cs"/>
          <w:rtl/>
        </w:rPr>
        <w:t xml:space="preserve"> والفقه والخلاف والأصول</w:t>
      </w:r>
      <w:r w:rsidRPr="00C17B7B">
        <w:rPr>
          <w:rFonts w:ascii="Traditional Arabic" w:hAnsi="Traditional Arabic"/>
          <w:rtl/>
        </w:rPr>
        <w:t>, توفي سنة 521هـ</w:t>
      </w:r>
      <w:r w:rsidR="007F5114" w:rsidRPr="007F5114">
        <w:rPr>
          <w:rStyle w:val="ae"/>
          <w:rtl/>
        </w:rPr>
        <w:t>(</w:t>
      </w:r>
      <w:r w:rsidR="007F5114">
        <w:rPr>
          <w:rStyle w:val="ae"/>
          <w:rtl/>
        </w:rPr>
        <w:footnoteReference w:id="25"/>
      </w:r>
      <w:r w:rsidR="007F5114" w:rsidRPr="007F5114">
        <w:rPr>
          <w:rStyle w:val="ae"/>
          <w:rtl/>
        </w:rPr>
        <w:t>)</w:t>
      </w:r>
      <w:r w:rsidRPr="00C17B7B">
        <w:rPr>
          <w:rFonts w:ascii="Traditional Arabic" w:hAnsi="Traditional Arabic"/>
          <w:rtl/>
        </w:rPr>
        <w:t>.</w:t>
      </w:r>
    </w:p>
    <w:p w:rsidR="00D11232" w:rsidRPr="00C17B7B" w:rsidRDefault="00D11232" w:rsidP="00D11232">
      <w:pPr>
        <w:spacing w:line="276" w:lineRule="auto"/>
        <w:contextualSpacing/>
        <w:jc w:val="lowKashida"/>
        <w:rPr>
          <w:rFonts w:ascii="Traditional Arabic" w:eastAsia="Calibri" w:hAnsi="Traditional Arabic"/>
          <w:color w:val="auto"/>
          <w:rtl/>
        </w:rPr>
      </w:pPr>
    </w:p>
    <w:p w:rsidR="00D11232" w:rsidRPr="00C17B7B" w:rsidRDefault="00D11232" w:rsidP="00C443D8">
      <w:pPr>
        <w:numPr>
          <w:ilvl w:val="0"/>
          <w:numId w:val="25"/>
        </w:numPr>
        <w:spacing w:after="200" w:line="276" w:lineRule="auto"/>
        <w:ind w:left="0" w:firstLine="0"/>
        <w:contextualSpacing/>
        <w:jc w:val="lowKashida"/>
        <w:rPr>
          <w:rFonts w:ascii="Traditional Arabic" w:hAnsi="Traditional Arabic"/>
        </w:rPr>
      </w:pPr>
      <w:r w:rsidRPr="00C17B7B">
        <w:rPr>
          <w:rFonts w:ascii="Traditional Arabic" w:hAnsi="Traditional Arabic"/>
          <w:spacing w:val="-6"/>
          <w:rtl/>
        </w:rPr>
        <w:t>أبــــــو القاسم بن الحـــــــصـين</w:t>
      </w:r>
      <w:r w:rsidRPr="00C17B7B">
        <w:rPr>
          <w:rFonts w:ascii="Traditional Arabic" w:hAnsi="Traditional Arabic"/>
          <w:spacing w:val="-6"/>
          <w:rtl/>
        </w:rPr>
        <w:fldChar w:fldCharType="begin"/>
      </w:r>
      <w:r w:rsidRPr="00C17B7B">
        <w:rPr>
          <w:spacing w:val="-6"/>
        </w:rPr>
        <w:instrText xml:space="preserve"> XE "</w:instrText>
      </w:r>
      <w:r w:rsidRPr="00C17B7B">
        <w:rPr>
          <w:rFonts w:hint="eastAsia"/>
          <w:spacing w:val="-6"/>
          <w:rtl/>
        </w:rPr>
        <w:instrText>فهرسالأعلام</w:instrText>
      </w:r>
      <w:r w:rsidRPr="00C17B7B">
        <w:rPr>
          <w:spacing w:val="-6"/>
          <w:rtl/>
        </w:rPr>
        <w:instrText>:</w:instrText>
      </w:r>
      <w:r w:rsidRPr="00C17B7B">
        <w:rPr>
          <w:rFonts w:hint="eastAsia"/>
          <w:spacing w:val="-6"/>
          <w:rtl/>
        </w:rPr>
        <w:instrText>أبــــــوالقاسمبنالحـــــــصـين</w:instrText>
      </w:r>
      <w:r w:rsidRPr="00C17B7B">
        <w:rPr>
          <w:spacing w:val="-6"/>
        </w:rPr>
        <w:instrText xml:space="preserve">" </w:instrText>
      </w:r>
      <w:r w:rsidRPr="00C17B7B">
        <w:rPr>
          <w:rFonts w:ascii="Traditional Arabic" w:hAnsi="Traditional Arabic"/>
          <w:spacing w:val="-6"/>
          <w:rtl/>
        </w:rPr>
        <w:fldChar w:fldCharType="end"/>
      </w:r>
      <w:r w:rsidRPr="00C17B7B">
        <w:rPr>
          <w:rFonts w:ascii="Traditional Arabic" w:hAnsi="Traditional Arabic"/>
          <w:spacing w:val="-6"/>
          <w:rtl/>
        </w:rPr>
        <w:t>: هبة الله بن محمد بن عبدالواحد بن الحصـين الشـيباني الهمذاني البغدادي, سمع من أبي طالب بن غيلان، وأبي علي بن المذهب، وأبي محمد بن المقتدر</w:t>
      </w:r>
      <w:r w:rsidRPr="00C17B7B">
        <w:rPr>
          <w:rFonts w:ascii="Traditional Arabic" w:hAnsi="Traditional Arabic" w:hint="cs"/>
          <w:spacing w:val="-6"/>
          <w:rtl/>
        </w:rPr>
        <w:t xml:space="preserve"> </w:t>
      </w:r>
      <w:r w:rsidRPr="00C17B7B">
        <w:rPr>
          <w:rFonts w:ascii="Traditional Arabic" w:hAnsi="Traditional Arabic"/>
          <w:spacing w:val="-6"/>
          <w:rtl/>
        </w:rPr>
        <w:t>وطائفة</w:t>
      </w:r>
      <w:r w:rsidRPr="00C17B7B">
        <w:rPr>
          <w:rFonts w:ascii="Traditional Arabic" w:hAnsi="Traditional Arabic" w:hint="cs"/>
          <w:spacing w:val="-6"/>
          <w:rtl/>
        </w:rPr>
        <w:t xml:space="preserve">، </w:t>
      </w:r>
      <w:r w:rsidRPr="00C17B7B">
        <w:rPr>
          <w:rFonts w:ascii="Traditional Arabic" w:hAnsi="Traditional Arabic"/>
          <w:spacing w:val="-6"/>
          <w:rtl/>
        </w:rPr>
        <w:t xml:space="preserve">وتفرد برواية "مسند أحمد"، وفوائد أبي بكر الشافعي المشهورة بـ "الغيلانيات"، </w:t>
      </w:r>
      <w:r w:rsidRPr="00C17B7B">
        <w:rPr>
          <w:rFonts w:ascii="Traditional Arabic" w:hAnsi="Traditional Arabic"/>
          <w:spacing w:val="-6"/>
          <w:rtl/>
        </w:rPr>
        <w:lastRenderedPageBreak/>
        <w:t>وبـ "اليشكريات" وأملى عدة مجالس، وتكاثر عليه الطلبة.</w:t>
      </w:r>
      <w:r w:rsidR="00D05E7B">
        <w:rPr>
          <w:rFonts w:ascii="Traditional Arabic" w:hAnsi="Traditional Arabic" w:hint="cs"/>
          <w:spacing w:val="-6"/>
          <w:rtl/>
        </w:rPr>
        <w:t xml:space="preserve"> </w:t>
      </w:r>
      <w:r w:rsidRPr="00C17B7B">
        <w:rPr>
          <w:rFonts w:ascii="Traditional Arabic" w:hAnsi="Traditional Arabic"/>
          <w:spacing w:val="-6"/>
          <w:rtl/>
        </w:rPr>
        <w:t>حدث عنه: ابن ناصر، والسلفي، وأبو العلاء العطار، وأبو موسى المديني</w:t>
      </w:r>
      <w:r w:rsidRPr="00C17B7B">
        <w:rPr>
          <w:rFonts w:ascii="Traditional Arabic" w:hAnsi="Traditional Arabic" w:hint="cs"/>
          <w:spacing w:val="-6"/>
          <w:rtl/>
        </w:rPr>
        <w:t xml:space="preserve">، </w:t>
      </w:r>
      <w:r w:rsidRPr="00C17B7B">
        <w:rPr>
          <w:rFonts w:ascii="Traditional Arabic" w:hAnsi="Traditional Arabic"/>
          <w:spacing w:val="-6"/>
          <w:rtl/>
        </w:rPr>
        <w:t>قال السمعاني: شيخ، ثقة، دين، صحيح السماع، واسع الرواية، تفرد وازدحموا عليه، وحدثني عنه معمر بن الفاخر، وأبو القاسم ابن عساكر، وعدة، وكانوا يصفونه بالسداد والأمانة والخيرية. قال عنه ابن الجوزي: (عمر حتى صار أسند أهل عصـره, فرحل إليه الطلبة وازدحموا عليه, وكان صحيح السماع وسمعت منه جميع مسند الإمام أحمد, والغيلانيات جميعها)</w:t>
      </w:r>
      <w:r w:rsidR="00367E86" w:rsidRPr="00367E86">
        <w:rPr>
          <w:rStyle w:val="ae"/>
          <w:rtl/>
        </w:rPr>
        <w:t>(</w:t>
      </w:r>
      <w:r w:rsidR="00367E86">
        <w:rPr>
          <w:rStyle w:val="ae"/>
          <w:rtl/>
        </w:rPr>
        <w:footnoteReference w:id="26"/>
      </w:r>
      <w:r w:rsidR="00367E86" w:rsidRPr="00367E86">
        <w:rPr>
          <w:rStyle w:val="ae"/>
          <w:rtl/>
        </w:rPr>
        <w:t>)</w:t>
      </w:r>
      <w:r w:rsidRPr="00C17B7B">
        <w:rPr>
          <w:rFonts w:ascii="Traditional Arabic" w:hAnsi="Traditional Arabic"/>
          <w:spacing w:val="-6"/>
          <w:rtl/>
        </w:rPr>
        <w:t>, توفي سنة 525ه</w:t>
      </w:r>
      <w:r w:rsidR="00367E86" w:rsidRPr="00367E86">
        <w:rPr>
          <w:rStyle w:val="ae"/>
          <w:rtl/>
        </w:rPr>
        <w:t>(</w:t>
      </w:r>
      <w:r w:rsidR="00367E86">
        <w:rPr>
          <w:rStyle w:val="ae"/>
          <w:rtl/>
        </w:rPr>
        <w:footnoteReference w:id="27"/>
      </w:r>
      <w:r w:rsidR="00367E86" w:rsidRPr="00367E86">
        <w:rPr>
          <w:rStyle w:val="ae"/>
          <w:rtl/>
        </w:rPr>
        <w:t>)</w:t>
      </w:r>
      <w:r w:rsidRPr="00C17B7B">
        <w:rPr>
          <w:rFonts w:ascii="Traditional Arabic" w:hAnsi="Traditional Arabic"/>
          <w:spacing w:val="-6"/>
          <w:rtl/>
        </w:rPr>
        <w:t>.</w:t>
      </w:r>
    </w:p>
    <w:p w:rsidR="00D11232" w:rsidRPr="00C17B7B" w:rsidRDefault="00D11232" w:rsidP="00C443D8">
      <w:pPr>
        <w:numPr>
          <w:ilvl w:val="0"/>
          <w:numId w:val="25"/>
        </w:numPr>
        <w:spacing w:after="200" w:line="276" w:lineRule="auto"/>
        <w:ind w:left="0" w:firstLine="0"/>
        <w:contextualSpacing/>
        <w:jc w:val="lowKashida"/>
        <w:rPr>
          <w:rFonts w:ascii="Traditional Arabic" w:hAnsi="Traditional Arabic"/>
        </w:rPr>
      </w:pPr>
      <w:r w:rsidRPr="00C17B7B">
        <w:rPr>
          <w:rFonts w:ascii="Traditional Arabic" w:hAnsi="Traditional Arabic"/>
          <w:rtl/>
        </w:rPr>
        <w:t>أبو منصـــــــــور القــــزاز</w:t>
      </w:r>
      <w:r w:rsidRPr="00C17B7B">
        <w:rPr>
          <w:rFonts w:ascii="Traditional Arabic" w:hAnsi="Traditional Arabic"/>
          <w:rtl/>
        </w:rPr>
        <w:fldChar w:fldCharType="begin"/>
      </w:r>
      <w:r w:rsidRPr="00C17B7B">
        <w:instrText xml:space="preserve"> XE "</w:instrText>
      </w:r>
      <w:r w:rsidRPr="00C17B7B">
        <w:rPr>
          <w:rFonts w:hint="eastAsia"/>
          <w:rtl/>
        </w:rPr>
        <w:instrText>فهرسالأعلام</w:instrText>
      </w:r>
      <w:r w:rsidRPr="00C17B7B">
        <w:rPr>
          <w:rtl/>
        </w:rPr>
        <w:instrText>:</w:instrText>
      </w:r>
      <w:r w:rsidRPr="00C17B7B">
        <w:rPr>
          <w:rFonts w:hint="eastAsia"/>
          <w:rtl/>
        </w:rPr>
        <w:instrText>أبومنصـــــــــورالقــــزاز</w:instrText>
      </w:r>
      <w:r w:rsidRPr="00C17B7B">
        <w:instrText xml:space="preserve">" </w:instrText>
      </w:r>
      <w:r w:rsidRPr="00C17B7B">
        <w:rPr>
          <w:rFonts w:ascii="Traditional Arabic" w:hAnsi="Traditional Arabic"/>
          <w:rtl/>
        </w:rPr>
        <w:fldChar w:fldCharType="end"/>
      </w:r>
      <w:r w:rsidRPr="00C17B7B">
        <w:rPr>
          <w:rFonts w:ascii="Traditional Arabic" w:hAnsi="Traditional Arabic"/>
          <w:rtl/>
        </w:rPr>
        <w:t>: عبدالرحمن بن محمد بن عبدالواحد القزاز,</w:t>
      </w:r>
      <w:r w:rsidR="00D05E7B">
        <w:rPr>
          <w:rFonts w:ascii="Traditional Arabic" w:hAnsi="Traditional Arabic" w:hint="cs"/>
          <w:rtl/>
        </w:rPr>
        <w:t xml:space="preserve"> </w:t>
      </w:r>
      <w:r w:rsidRPr="00C17B7B">
        <w:rPr>
          <w:rFonts w:ascii="Traditional Arabic" w:hAnsi="Traditional Arabic"/>
          <w:rtl/>
        </w:rPr>
        <w:t>سمع: أبا جعفر بن المسلمة، وأبا علي بن وشاح، وعبد الصمد بن المأمون وطائفة. حدث عنه: ابن عساكر، والسمعاني، وأبو موسى المديني</w:t>
      </w:r>
      <w:r w:rsidRPr="00C17B7B">
        <w:rPr>
          <w:rFonts w:ascii="Traditional Arabic" w:hAnsi="Traditional Arabic" w:hint="cs"/>
          <w:rtl/>
        </w:rPr>
        <w:t>،</w:t>
      </w:r>
      <w:r w:rsidRPr="00C17B7B">
        <w:rPr>
          <w:rFonts w:ascii="Traditional Arabic" w:hAnsi="Traditional Arabic"/>
          <w:rtl/>
        </w:rPr>
        <w:t xml:space="preserve"> كان شيخا صالحا متوددا، سليم القلب، حسن الأخلاق، صبورا، مشتغلا بما يعنيه. قال عنه ابن الجوزي</w:t>
      </w:r>
      <w:r w:rsidR="00367E86">
        <w:rPr>
          <w:rFonts w:ascii="Traditional Arabic" w:hAnsi="Traditional Arabic" w:hint="cs"/>
          <w:rtl/>
        </w:rPr>
        <w:t xml:space="preserve">: </w:t>
      </w:r>
      <w:r w:rsidRPr="00C17B7B">
        <w:rPr>
          <w:rFonts w:ascii="Traditional Arabic" w:hAnsi="Traditional Arabic"/>
          <w:rtl/>
        </w:rPr>
        <w:t>(سمعنا منه تاريخ بغداد عن الخطيب وكان ثقة خيراً)</w:t>
      </w:r>
      <w:r w:rsidR="00367E86" w:rsidRPr="00367E86">
        <w:rPr>
          <w:rStyle w:val="ae"/>
          <w:rtl/>
        </w:rPr>
        <w:t>(</w:t>
      </w:r>
      <w:r w:rsidR="00367E86">
        <w:rPr>
          <w:rStyle w:val="ae"/>
          <w:rtl/>
        </w:rPr>
        <w:footnoteReference w:id="28"/>
      </w:r>
      <w:r w:rsidR="00367E86" w:rsidRPr="00367E86">
        <w:rPr>
          <w:rStyle w:val="ae"/>
          <w:rtl/>
        </w:rPr>
        <w:t>)</w:t>
      </w:r>
      <w:r w:rsidRPr="00C17B7B">
        <w:rPr>
          <w:rFonts w:ascii="Traditional Arabic" w:hAnsi="Traditional Arabic"/>
          <w:rtl/>
        </w:rPr>
        <w:t>, توفي سنة 535ه</w:t>
      </w:r>
      <w:r w:rsidR="00367E86" w:rsidRPr="00367E86">
        <w:rPr>
          <w:rStyle w:val="ae"/>
          <w:rtl/>
        </w:rPr>
        <w:t>(</w:t>
      </w:r>
      <w:r w:rsidR="00367E86">
        <w:rPr>
          <w:rStyle w:val="ae"/>
          <w:rtl/>
        </w:rPr>
        <w:footnoteReference w:id="29"/>
      </w:r>
      <w:r w:rsidR="00367E86" w:rsidRPr="00367E86">
        <w:rPr>
          <w:rStyle w:val="ae"/>
          <w:rtl/>
        </w:rPr>
        <w:t>)</w:t>
      </w:r>
      <w:r w:rsidR="00367E86">
        <w:rPr>
          <w:rFonts w:ascii="Traditional Arabic" w:hAnsi="Traditional Arabic" w:hint="cs"/>
          <w:rtl/>
        </w:rPr>
        <w:t>.</w:t>
      </w:r>
    </w:p>
    <w:p w:rsidR="00D11232" w:rsidRPr="00C17B7B" w:rsidRDefault="00D11232" w:rsidP="00C443D8">
      <w:pPr>
        <w:numPr>
          <w:ilvl w:val="0"/>
          <w:numId w:val="25"/>
        </w:numPr>
        <w:spacing w:after="200" w:line="276" w:lineRule="auto"/>
        <w:ind w:left="0" w:firstLine="0"/>
        <w:contextualSpacing/>
        <w:jc w:val="lowKashida"/>
        <w:rPr>
          <w:rFonts w:ascii="Traditional Arabic" w:hAnsi="Traditional Arabic"/>
        </w:rPr>
      </w:pPr>
      <w:r w:rsidRPr="00C17B7B">
        <w:rPr>
          <w:rFonts w:ascii="Traditional Arabic" w:hAnsi="Traditional Arabic"/>
          <w:rtl/>
        </w:rPr>
        <w:t>أبو بكــــــــــر بن أبي طاهر البزاز</w:t>
      </w:r>
      <w:r w:rsidRPr="00C17B7B">
        <w:rPr>
          <w:rFonts w:ascii="Traditional Arabic" w:hAnsi="Traditional Arabic"/>
          <w:rtl/>
        </w:rPr>
        <w:fldChar w:fldCharType="begin"/>
      </w:r>
      <w:r w:rsidRPr="00C17B7B">
        <w:instrText xml:space="preserve"> XE "</w:instrText>
      </w:r>
      <w:r w:rsidRPr="00C17B7B">
        <w:rPr>
          <w:rFonts w:hint="eastAsia"/>
          <w:rtl/>
        </w:rPr>
        <w:instrText>فهرسالأعلام</w:instrText>
      </w:r>
      <w:r w:rsidRPr="00C17B7B">
        <w:rPr>
          <w:rtl/>
        </w:rPr>
        <w:instrText>:</w:instrText>
      </w:r>
      <w:r w:rsidRPr="00C17B7B">
        <w:rPr>
          <w:rFonts w:hint="eastAsia"/>
          <w:rtl/>
        </w:rPr>
        <w:instrText>أبوبكــــــــــربنأبيطاهرالبزاز</w:instrText>
      </w:r>
      <w:r w:rsidRPr="00C17B7B">
        <w:instrText xml:space="preserve">" </w:instrText>
      </w:r>
      <w:r w:rsidRPr="00C17B7B">
        <w:rPr>
          <w:rFonts w:ascii="Traditional Arabic" w:hAnsi="Traditional Arabic"/>
          <w:rtl/>
        </w:rPr>
        <w:fldChar w:fldCharType="end"/>
      </w:r>
      <w:r w:rsidRPr="00C17B7B">
        <w:rPr>
          <w:rFonts w:ascii="Traditional Arabic" w:hAnsi="Traditional Arabic"/>
          <w:rtl/>
        </w:rPr>
        <w:t>: محمد بن عبدالباقي بن محمد بن عبدالله البغدادي القاضـي, المعروف: بقاضي المرستان</w:t>
      </w:r>
      <w:r w:rsidRPr="00C17B7B">
        <w:rPr>
          <w:rFonts w:ascii="Traditional Arabic" w:hAnsi="Traditional Arabic" w:hint="cs"/>
          <w:rtl/>
        </w:rPr>
        <w:t>،</w:t>
      </w:r>
      <w:r w:rsidRPr="00C17B7B">
        <w:rPr>
          <w:rFonts w:ascii="Traditional Arabic" w:hAnsi="Traditional Arabic"/>
          <w:rtl/>
        </w:rPr>
        <w:t xml:space="preserve"> سمع من علي بن عيسى الباقلاني، وأبي محمد الجوهري، والقاضي أبي الطيب الطبري</w:t>
      </w:r>
      <w:r w:rsidRPr="00C17B7B">
        <w:rPr>
          <w:rFonts w:ascii="Traditional Arabic" w:hAnsi="Traditional Arabic" w:hint="cs"/>
          <w:rtl/>
        </w:rPr>
        <w:t>،</w:t>
      </w:r>
      <w:r w:rsidRPr="00C17B7B">
        <w:rPr>
          <w:rFonts w:ascii="Traditional Arabic" w:hAnsi="Traditional Arabic"/>
          <w:rtl/>
        </w:rPr>
        <w:t xml:space="preserve"> ومن عدد كثير. وله مشيخة في ثلاثة أجزاء</w:t>
      </w:r>
      <w:r w:rsidRPr="00C17B7B">
        <w:rPr>
          <w:rFonts w:ascii="Traditional Arabic" w:hAnsi="Traditional Arabic" w:hint="cs"/>
          <w:rtl/>
        </w:rPr>
        <w:t>,</w:t>
      </w:r>
      <w:r w:rsidR="00D05E7B">
        <w:rPr>
          <w:rFonts w:ascii="Traditional Arabic" w:hAnsi="Traditional Arabic" w:hint="cs"/>
          <w:rtl/>
        </w:rPr>
        <w:t xml:space="preserve"> </w:t>
      </w:r>
      <w:r w:rsidRPr="00C17B7B">
        <w:rPr>
          <w:rFonts w:ascii="Traditional Arabic" w:hAnsi="Traditional Arabic"/>
          <w:rtl/>
        </w:rPr>
        <w:t>حدث عنه خلق منهم</w:t>
      </w:r>
      <w:r w:rsidRPr="00C17B7B">
        <w:rPr>
          <w:rFonts w:ascii="Traditional Arabic" w:hAnsi="Traditional Arabic" w:hint="cs"/>
          <w:rtl/>
        </w:rPr>
        <w:t>:</w:t>
      </w:r>
      <w:r w:rsidRPr="00C17B7B">
        <w:rPr>
          <w:rFonts w:ascii="Traditional Arabic" w:hAnsi="Traditional Arabic"/>
          <w:rtl/>
        </w:rPr>
        <w:t xml:space="preserve"> السلفي، والسمعاني، وابن ناصر، وابن عساكر</w:t>
      </w:r>
      <w:r w:rsidRPr="00C17B7B">
        <w:rPr>
          <w:rFonts w:ascii="Traditional Arabic" w:hAnsi="Traditional Arabic" w:hint="cs"/>
          <w:rtl/>
        </w:rPr>
        <w:t xml:space="preserve"> وآخرون،</w:t>
      </w:r>
      <w:r w:rsidR="00D05E7B">
        <w:rPr>
          <w:rFonts w:ascii="Traditional Arabic" w:hAnsi="Traditional Arabic" w:hint="cs"/>
          <w:spacing w:val="-4"/>
          <w:rtl/>
        </w:rPr>
        <w:t xml:space="preserve"> </w:t>
      </w:r>
      <w:r w:rsidRPr="00C17B7B">
        <w:rPr>
          <w:rFonts w:ascii="Traditional Arabic" w:hAnsi="Traditional Arabic"/>
          <w:spacing w:val="-4"/>
          <w:rtl/>
        </w:rPr>
        <w:t>قال أبو موسى المديني: كان إماما في فنون</w:t>
      </w:r>
      <w:r w:rsidRPr="00C17B7B">
        <w:rPr>
          <w:rFonts w:ascii="Traditional Arabic" w:hAnsi="Traditional Arabic" w:hint="cs"/>
          <w:spacing w:val="-4"/>
          <w:rtl/>
        </w:rPr>
        <w:t>،</w:t>
      </w:r>
      <w:r w:rsidRPr="00C17B7B">
        <w:rPr>
          <w:rFonts w:ascii="Traditional Arabic" w:hAnsi="Traditional Arabic"/>
          <w:spacing w:val="-4"/>
          <w:rtl/>
        </w:rPr>
        <w:t xml:space="preserve"> وقال السمعاني: ما رأيت أجمع للفنون منه، نظر في كل علم، فبرع في الحساب والفرائض</w:t>
      </w:r>
      <w:r w:rsidRPr="00C17B7B">
        <w:rPr>
          <w:rFonts w:ascii="Traditional Arabic" w:hAnsi="Traditional Arabic" w:hint="cs"/>
          <w:spacing w:val="-4"/>
          <w:rtl/>
        </w:rPr>
        <w:t>.</w:t>
      </w:r>
      <w:r w:rsidRPr="00C17B7B">
        <w:rPr>
          <w:rFonts w:ascii="Traditional Arabic" w:hAnsi="Traditional Arabic"/>
          <w:spacing w:val="-4"/>
          <w:rtl/>
        </w:rPr>
        <w:t xml:space="preserve"> قال عنه ابن الجوزي: (كان </w:t>
      </w:r>
      <w:r w:rsidRPr="00C17B7B">
        <w:rPr>
          <w:rFonts w:ascii="Traditional Arabic" w:hAnsi="Traditional Arabic"/>
          <w:spacing w:val="-4"/>
          <w:rtl/>
        </w:rPr>
        <w:lastRenderedPageBreak/>
        <w:t>حسن الصورة، حلو المنطق، مليح المعاشرة، كان يصلي في جامع المنصور، فيجيء في بعض الأيام، فيقف وراء مجلسي وأنا أعظ، فيسلم علي. استملى عليه شيخنا ابن ناصر، وقرأت عليه الكثير، وكان ثقة فهما، ثبتا حجة، متفننا، منفردا في الفرائض)</w:t>
      </w:r>
      <w:r w:rsidR="00367E86" w:rsidRPr="00367E86">
        <w:rPr>
          <w:rStyle w:val="ae"/>
          <w:rtl/>
        </w:rPr>
        <w:t>(</w:t>
      </w:r>
      <w:r w:rsidR="00367E86">
        <w:rPr>
          <w:rStyle w:val="ae"/>
          <w:rtl/>
        </w:rPr>
        <w:footnoteReference w:id="30"/>
      </w:r>
      <w:r w:rsidR="00367E86" w:rsidRPr="00367E86">
        <w:rPr>
          <w:rStyle w:val="ae"/>
          <w:rtl/>
        </w:rPr>
        <w:t>)</w:t>
      </w:r>
      <w:r w:rsidRPr="00C17B7B">
        <w:rPr>
          <w:rFonts w:ascii="Traditional Arabic" w:hAnsi="Traditional Arabic"/>
          <w:spacing w:val="-4"/>
          <w:rtl/>
        </w:rPr>
        <w:t>, توفي سنة 535ه</w:t>
      </w:r>
      <w:r w:rsidR="00D148F0" w:rsidRPr="00D148F0">
        <w:rPr>
          <w:rStyle w:val="ae"/>
          <w:rtl/>
        </w:rPr>
        <w:t>(</w:t>
      </w:r>
      <w:r w:rsidR="00D148F0">
        <w:rPr>
          <w:rStyle w:val="ae"/>
          <w:rtl/>
        </w:rPr>
        <w:footnoteReference w:id="31"/>
      </w:r>
      <w:r w:rsidR="00D148F0" w:rsidRPr="00D148F0">
        <w:rPr>
          <w:rStyle w:val="ae"/>
          <w:rtl/>
        </w:rPr>
        <w:t>)</w:t>
      </w:r>
      <w:r w:rsidRPr="00C17B7B">
        <w:rPr>
          <w:rFonts w:ascii="Traditional Arabic" w:hAnsi="Traditional Arabic"/>
          <w:spacing w:val="-4"/>
          <w:rtl/>
        </w:rPr>
        <w:t>ـ</w:t>
      </w:r>
      <w:r w:rsidR="00D148F0">
        <w:rPr>
          <w:rFonts w:ascii="Traditional Arabic" w:hAnsi="Traditional Arabic" w:hint="cs"/>
          <w:rtl/>
        </w:rPr>
        <w:t>.</w:t>
      </w:r>
    </w:p>
    <w:p w:rsidR="00D11232" w:rsidRPr="00C17B7B" w:rsidRDefault="00D11232" w:rsidP="00C443D8">
      <w:pPr>
        <w:numPr>
          <w:ilvl w:val="0"/>
          <w:numId w:val="25"/>
        </w:numPr>
        <w:spacing w:after="200" w:line="276" w:lineRule="auto"/>
        <w:ind w:left="0" w:firstLine="0"/>
        <w:contextualSpacing/>
        <w:jc w:val="lowKashida"/>
        <w:rPr>
          <w:rFonts w:ascii="Traditional Arabic" w:hAnsi="Traditional Arabic"/>
        </w:rPr>
      </w:pPr>
      <w:r w:rsidRPr="00C17B7B">
        <w:rPr>
          <w:rFonts w:ascii="Traditional Arabic" w:hAnsi="Traditional Arabic"/>
          <w:rtl/>
        </w:rPr>
        <w:t>أبو محمـــــــــد بن الــــطراح</w:t>
      </w:r>
      <w:r w:rsidRPr="00C17B7B">
        <w:rPr>
          <w:rFonts w:ascii="Traditional Arabic" w:hAnsi="Traditional Arabic"/>
          <w:rtl/>
        </w:rPr>
        <w:fldChar w:fldCharType="begin"/>
      </w:r>
      <w:r w:rsidRPr="00C17B7B">
        <w:instrText xml:space="preserve"> XE "</w:instrText>
      </w:r>
      <w:r w:rsidRPr="00C17B7B">
        <w:rPr>
          <w:rFonts w:hint="eastAsia"/>
          <w:rtl/>
        </w:rPr>
        <w:instrText>فهرسالأعلام</w:instrText>
      </w:r>
      <w:r w:rsidRPr="00C17B7B">
        <w:rPr>
          <w:rtl/>
        </w:rPr>
        <w:instrText>:</w:instrText>
      </w:r>
      <w:r w:rsidRPr="00C17B7B">
        <w:rPr>
          <w:rFonts w:hint="eastAsia"/>
          <w:rtl/>
        </w:rPr>
        <w:instrText>أبومحمـــــــــدبنالــــطراح</w:instrText>
      </w:r>
      <w:r w:rsidRPr="00C17B7B">
        <w:instrText xml:space="preserve">" </w:instrText>
      </w:r>
      <w:r w:rsidRPr="00C17B7B">
        <w:rPr>
          <w:rFonts w:ascii="Traditional Arabic" w:hAnsi="Traditional Arabic"/>
          <w:rtl/>
        </w:rPr>
        <w:fldChar w:fldCharType="end"/>
      </w:r>
      <w:r w:rsidRPr="00C17B7B">
        <w:rPr>
          <w:rFonts w:ascii="Traditional Arabic" w:hAnsi="Traditional Arabic"/>
          <w:rtl/>
        </w:rPr>
        <w:t>:</w:t>
      </w:r>
      <w:r w:rsidR="00D148F0">
        <w:rPr>
          <w:rFonts w:ascii="Traditional Arabic" w:hAnsi="Traditional Arabic"/>
          <w:rtl/>
        </w:rPr>
        <w:t xml:space="preserve"> يحيى بن علي بن الطراح البغدادي</w:t>
      </w:r>
      <w:r w:rsidRPr="00C17B7B">
        <w:rPr>
          <w:rFonts w:ascii="Traditional Arabic" w:hAnsi="Traditional Arabic" w:hint="cs"/>
          <w:rtl/>
        </w:rPr>
        <w:t>،</w:t>
      </w:r>
      <w:r w:rsidR="00D148F0">
        <w:rPr>
          <w:rFonts w:ascii="Traditional Arabic" w:hAnsi="Traditional Arabic" w:hint="cs"/>
          <w:rtl/>
        </w:rPr>
        <w:t xml:space="preserve"> </w:t>
      </w:r>
      <w:r w:rsidRPr="00C17B7B">
        <w:rPr>
          <w:rFonts w:ascii="Traditional Arabic" w:hAnsi="Traditional Arabic"/>
          <w:rtl/>
        </w:rPr>
        <w:t>سمع</w:t>
      </w:r>
      <w:r w:rsidRPr="00C17B7B">
        <w:rPr>
          <w:rFonts w:ascii="Traditional Arabic" w:hAnsi="Traditional Arabic" w:hint="cs"/>
          <w:rtl/>
        </w:rPr>
        <w:t xml:space="preserve"> من</w:t>
      </w:r>
      <w:r w:rsidRPr="00C17B7B">
        <w:rPr>
          <w:rFonts w:ascii="Traditional Arabic" w:hAnsi="Traditional Arabic"/>
          <w:rtl/>
        </w:rPr>
        <w:t>: عبدالصمد بن المأمون، وأبا الحسين بن المهتدي بالله، وأبا بكر الخطيب وجماعة.</w:t>
      </w:r>
      <w:r w:rsidR="00D148F0">
        <w:rPr>
          <w:rFonts w:ascii="Traditional Arabic" w:hAnsi="Traditional Arabic" w:hint="cs"/>
          <w:rtl/>
        </w:rPr>
        <w:t xml:space="preserve"> </w:t>
      </w:r>
      <w:r w:rsidRPr="00C17B7B">
        <w:rPr>
          <w:rFonts w:ascii="Traditional Arabic" w:hAnsi="Traditional Arabic"/>
          <w:rtl/>
        </w:rPr>
        <w:t>وعنه: ابن عساكر، وابن السمعاني</w:t>
      </w:r>
      <w:r w:rsidRPr="00C17B7B">
        <w:rPr>
          <w:rFonts w:ascii="Traditional Arabic" w:hAnsi="Traditional Arabic" w:hint="cs"/>
          <w:rtl/>
        </w:rPr>
        <w:t>،</w:t>
      </w:r>
      <w:r w:rsidR="00D148F0">
        <w:rPr>
          <w:rFonts w:ascii="Traditional Arabic" w:hAnsi="Traditional Arabic" w:hint="cs"/>
          <w:rtl/>
        </w:rPr>
        <w:t xml:space="preserve"> </w:t>
      </w:r>
      <w:r w:rsidRPr="00C17B7B">
        <w:rPr>
          <w:rFonts w:ascii="Traditional Arabic" w:hAnsi="Traditional Arabic"/>
          <w:rtl/>
        </w:rPr>
        <w:t>ويحيى بن ياقوت</w:t>
      </w:r>
      <w:r w:rsidRPr="00C17B7B">
        <w:rPr>
          <w:rFonts w:ascii="Traditional Arabic" w:hAnsi="Traditional Arabic" w:hint="cs"/>
          <w:rtl/>
        </w:rPr>
        <w:t>،</w:t>
      </w:r>
      <w:r w:rsidR="00D148F0">
        <w:rPr>
          <w:rFonts w:ascii="Traditional Arabic" w:hAnsi="Traditional Arabic" w:hint="cs"/>
          <w:rtl/>
        </w:rPr>
        <w:t xml:space="preserve"> </w:t>
      </w:r>
      <w:r w:rsidRPr="00C17B7B">
        <w:rPr>
          <w:rFonts w:ascii="Traditional Arabic" w:hAnsi="Traditional Arabic"/>
          <w:rtl/>
        </w:rPr>
        <w:t>وآخرون</w:t>
      </w:r>
      <w:r w:rsidRPr="00C17B7B">
        <w:rPr>
          <w:rFonts w:ascii="Traditional Arabic" w:hAnsi="Traditional Arabic" w:hint="cs"/>
          <w:rtl/>
        </w:rPr>
        <w:t>.</w:t>
      </w:r>
      <w:r w:rsidR="00D148F0">
        <w:rPr>
          <w:rFonts w:ascii="Traditional Arabic" w:hAnsi="Traditional Arabic" w:hint="cs"/>
          <w:rtl/>
        </w:rPr>
        <w:t xml:space="preserve"> </w:t>
      </w:r>
      <w:r w:rsidRPr="00C17B7B">
        <w:rPr>
          <w:rFonts w:ascii="Traditional Arabic" w:hAnsi="Traditional Arabic"/>
          <w:rtl/>
        </w:rPr>
        <w:t>قال السمعاني: كتبت عنه الكثير، وكان صالحا ساكنا، مشتغلا بما يعنيه، كثير الرغبة في الخير وفي زيارة القبور،</w:t>
      </w:r>
      <w:r w:rsidRPr="00C17B7B">
        <w:rPr>
          <w:rFonts w:ascii="Traditional Arabic" w:hAnsi="Traditional Arabic" w:hint="cs"/>
          <w:rtl/>
        </w:rPr>
        <w:t xml:space="preserve"> وبنحوه قال عنه ابن الجوزي.</w:t>
      </w:r>
      <w:r w:rsidRPr="00C17B7B">
        <w:rPr>
          <w:rFonts w:ascii="Traditional Arabic" w:hAnsi="Traditional Arabic"/>
          <w:rtl/>
        </w:rPr>
        <w:t xml:space="preserve"> توفي سنة 536ه</w:t>
      </w:r>
      <w:r w:rsidR="00D148F0" w:rsidRPr="00D148F0">
        <w:rPr>
          <w:rStyle w:val="ae"/>
          <w:rtl/>
        </w:rPr>
        <w:t>(</w:t>
      </w:r>
      <w:r w:rsidR="00D148F0">
        <w:rPr>
          <w:rStyle w:val="ae"/>
          <w:rtl/>
        </w:rPr>
        <w:footnoteReference w:id="32"/>
      </w:r>
      <w:r w:rsidR="00D148F0" w:rsidRPr="00D148F0">
        <w:rPr>
          <w:rStyle w:val="ae"/>
          <w:rtl/>
        </w:rPr>
        <w:t>)</w:t>
      </w:r>
      <w:r w:rsidR="00D148F0">
        <w:rPr>
          <w:rFonts w:ascii="Traditional Arabic" w:hAnsi="Traditional Arabic" w:hint="cs"/>
          <w:rtl/>
        </w:rPr>
        <w:t>.</w:t>
      </w:r>
    </w:p>
    <w:p w:rsidR="00D11232" w:rsidRPr="00C17B7B" w:rsidRDefault="00D11232" w:rsidP="00C443D8">
      <w:pPr>
        <w:numPr>
          <w:ilvl w:val="0"/>
          <w:numId w:val="25"/>
        </w:numPr>
        <w:spacing w:after="200" w:line="276" w:lineRule="auto"/>
        <w:ind w:left="0" w:firstLine="0"/>
        <w:contextualSpacing/>
        <w:jc w:val="lowKashida"/>
        <w:rPr>
          <w:rFonts w:ascii="Traditional Arabic" w:hAnsi="Traditional Arabic"/>
        </w:rPr>
      </w:pPr>
      <w:r w:rsidRPr="00C17B7B">
        <w:rPr>
          <w:rFonts w:ascii="Traditional Arabic" w:hAnsi="Traditional Arabic"/>
          <w:rtl/>
        </w:rPr>
        <w:t>عبــــدالوهاب الأنماطي</w:t>
      </w:r>
      <w:r w:rsidRPr="00C17B7B">
        <w:rPr>
          <w:rFonts w:ascii="Traditional Arabic" w:hAnsi="Traditional Arabic"/>
          <w:rtl/>
        </w:rPr>
        <w:fldChar w:fldCharType="begin"/>
      </w:r>
      <w:r w:rsidRPr="00C17B7B">
        <w:instrText xml:space="preserve"> XE "</w:instrText>
      </w:r>
      <w:r w:rsidRPr="00C17B7B">
        <w:rPr>
          <w:rFonts w:hint="eastAsia"/>
          <w:rtl/>
        </w:rPr>
        <w:instrText>فهرسالأعلام</w:instrText>
      </w:r>
      <w:r w:rsidRPr="00C17B7B">
        <w:rPr>
          <w:rtl/>
        </w:rPr>
        <w:instrText>:</w:instrText>
      </w:r>
      <w:r w:rsidRPr="00C17B7B">
        <w:rPr>
          <w:rFonts w:hint="eastAsia"/>
          <w:rtl/>
        </w:rPr>
        <w:instrText>عبــــدالوهابالأنماطي</w:instrText>
      </w:r>
      <w:r w:rsidRPr="00C17B7B">
        <w:instrText xml:space="preserve">" </w:instrText>
      </w:r>
      <w:r w:rsidRPr="00C17B7B">
        <w:rPr>
          <w:rFonts w:ascii="Traditional Arabic" w:hAnsi="Traditional Arabic"/>
          <w:rtl/>
        </w:rPr>
        <w:fldChar w:fldCharType="end"/>
      </w:r>
      <w:r w:rsidRPr="00C17B7B">
        <w:rPr>
          <w:rFonts w:ascii="Traditional Arabic" w:hAnsi="Traditional Arabic"/>
          <w:rtl/>
        </w:rPr>
        <w:t>: عبدالوهاب بن المبارك بن أحمد بن الحسن بن بندار أبو البركات البغدادي الأنماطي, الحافظ المسند, كان ثقة حافظاً,</w:t>
      </w:r>
      <w:r w:rsidR="00D148F0">
        <w:rPr>
          <w:rFonts w:ascii="Traditional Arabic" w:hAnsi="Traditional Arabic" w:hint="cs"/>
          <w:rtl/>
        </w:rPr>
        <w:t xml:space="preserve"> </w:t>
      </w:r>
      <w:r w:rsidRPr="00C17B7B">
        <w:rPr>
          <w:rFonts w:ascii="Traditional Arabic" w:hAnsi="Traditional Arabic"/>
          <w:rtl/>
        </w:rPr>
        <w:t>سمع من ابن النقور، وابن البسري، وأبي نصر الزينبي، وخلق كثير</w:t>
      </w:r>
      <w:r w:rsidRPr="00C17B7B">
        <w:rPr>
          <w:rFonts w:ascii="Traditional Arabic" w:hAnsi="Traditional Arabic" w:hint="cs"/>
          <w:rtl/>
        </w:rPr>
        <w:t>.</w:t>
      </w:r>
      <w:r w:rsidR="00D148F0">
        <w:rPr>
          <w:rFonts w:ascii="Traditional Arabic" w:hAnsi="Traditional Arabic" w:hint="cs"/>
          <w:rtl/>
        </w:rPr>
        <w:t xml:space="preserve"> </w:t>
      </w:r>
      <w:r w:rsidRPr="00C17B7B">
        <w:rPr>
          <w:rFonts w:ascii="Traditional Arabic" w:hAnsi="Traditional Arabic"/>
          <w:rtl/>
        </w:rPr>
        <w:t>حدث عنه: ابن ناصر، وابن عساكر، والسمعاني، وأبو موسى المديني</w:t>
      </w:r>
      <w:r w:rsidRPr="00C17B7B">
        <w:rPr>
          <w:rFonts w:ascii="Traditional Arabic" w:hAnsi="Traditional Arabic" w:hint="cs"/>
          <w:rtl/>
        </w:rPr>
        <w:t>، وآخرون.</w:t>
      </w:r>
      <w:r w:rsidR="00D148F0">
        <w:rPr>
          <w:rFonts w:ascii="Traditional Arabic" w:hAnsi="Traditional Arabic" w:hint="cs"/>
          <w:rtl/>
        </w:rPr>
        <w:t xml:space="preserve"> </w:t>
      </w:r>
      <w:r w:rsidRPr="00C17B7B">
        <w:rPr>
          <w:rFonts w:ascii="Traditional Arabic" w:hAnsi="Traditional Arabic"/>
          <w:rtl/>
        </w:rPr>
        <w:t xml:space="preserve">قال السمعاني: هو حافظ ثقة متقن، واسع الرواية، دائم البشر، سريع الدمعة، حسن المعاشرة، خرج التخاريج، وجمع من المرويات ما لا يوصف، وكان متصديا لنشر الحديث، قرأت عليه شيئا </w:t>
      </w:r>
      <w:r w:rsidR="00D148F0">
        <w:rPr>
          <w:rFonts w:ascii="Traditional Arabic" w:hAnsi="Traditional Arabic" w:hint="cs"/>
          <w:rtl/>
        </w:rPr>
        <w:t>ً</w:t>
      </w:r>
      <w:r w:rsidRPr="00C17B7B">
        <w:rPr>
          <w:rFonts w:ascii="Traditional Arabic" w:hAnsi="Traditional Arabic"/>
          <w:rtl/>
        </w:rPr>
        <w:t>كثيرا،</w:t>
      </w:r>
      <w:r w:rsidR="00D148F0">
        <w:rPr>
          <w:rFonts w:ascii="Traditional Arabic" w:hAnsi="Traditional Arabic" w:hint="cs"/>
          <w:rtl/>
        </w:rPr>
        <w:t xml:space="preserve"> </w:t>
      </w:r>
      <w:r w:rsidRPr="00C17B7B">
        <w:rPr>
          <w:rFonts w:ascii="Traditional Arabic" w:hAnsi="Traditional Arabic"/>
          <w:rtl/>
        </w:rPr>
        <w:t>وقال السلفي: كان رفيقنا عبد الوهاب حافظا ثقة، لديه معرفة جيدة.</w:t>
      </w:r>
      <w:r w:rsidR="00D148F0">
        <w:rPr>
          <w:rFonts w:ascii="Traditional Arabic" w:hAnsi="Traditional Arabic" w:hint="cs"/>
          <w:rtl/>
        </w:rPr>
        <w:t xml:space="preserve"> </w:t>
      </w:r>
      <w:r w:rsidRPr="00C17B7B">
        <w:rPr>
          <w:rFonts w:ascii="Traditional Arabic" w:hAnsi="Traditional Arabic"/>
          <w:rtl/>
        </w:rPr>
        <w:t xml:space="preserve">وقال ابن ناصر: كان بقية الشيوخ، سمع الكثير، وكان يفهم، مضى مستورا، وكان ثقة، لم يتزوج قط. </w:t>
      </w:r>
      <w:r w:rsidRPr="00C17B7B">
        <w:rPr>
          <w:rFonts w:ascii="Traditional Arabic" w:hAnsi="Traditional Arabic" w:hint="cs"/>
          <w:rtl/>
        </w:rPr>
        <w:t xml:space="preserve">وقال ابن الجوزي: </w:t>
      </w:r>
      <w:r w:rsidRPr="00C17B7B">
        <w:rPr>
          <w:rFonts w:ascii="Traditional Arabic" w:hAnsi="Traditional Arabic"/>
          <w:rtl/>
        </w:rPr>
        <w:lastRenderedPageBreak/>
        <w:t>كان صحيح السماع، ثقة ثبتا، ذا دين وورع.</w:t>
      </w:r>
      <w:r w:rsidR="00D148F0">
        <w:rPr>
          <w:rFonts w:ascii="Traditional Arabic" w:hAnsi="Traditional Arabic" w:hint="cs"/>
          <w:rtl/>
        </w:rPr>
        <w:t xml:space="preserve"> </w:t>
      </w:r>
      <w:r w:rsidRPr="00C17B7B">
        <w:rPr>
          <w:rFonts w:ascii="Traditional Arabic" w:hAnsi="Traditional Arabic"/>
          <w:rtl/>
        </w:rPr>
        <w:t>وقد نصب نفسه لتسميع الحديث طول النهار، وكنت أقرأ الحديث عليه وهو يبكي، فاستفدت ببكائه أكثر من استفادتي بروايته. توفي 538هـ</w:t>
      </w:r>
      <w:r w:rsidR="00D148F0" w:rsidRPr="00D148F0">
        <w:rPr>
          <w:rStyle w:val="ae"/>
          <w:rtl/>
        </w:rPr>
        <w:t>(</w:t>
      </w:r>
      <w:r w:rsidR="00D148F0">
        <w:rPr>
          <w:rStyle w:val="ae"/>
          <w:rtl/>
        </w:rPr>
        <w:footnoteReference w:id="33"/>
      </w:r>
      <w:r w:rsidR="00D148F0" w:rsidRPr="00D148F0">
        <w:rPr>
          <w:rStyle w:val="ae"/>
          <w:rtl/>
        </w:rPr>
        <w:t>)</w:t>
      </w:r>
      <w:r w:rsidRPr="00C17B7B">
        <w:rPr>
          <w:rFonts w:ascii="Traditional Arabic" w:hAnsi="Traditional Arabic"/>
          <w:rtl/>
        </w:rPr>
        <w:t>.</w:t>
      </w:r>
    </w:p>
    <w:p w:rsidR="00D11232" w:rsidRPr="00C17B7B" w:rsidRDefault="00D11232" w:rsidP="00C443D8">
      <w:pPr>
        <w:numPr>
          <w:ilvl w:val="0"/>
          <w:numId w:val="25"/>
        </w:numPr>
        <w:spacing w:after="200" w:line="276" w:lineRule="auto"/>
        <w:ind w:left="0" w:firstLine="0"/>
        <w:contextualSpacing/>
        <w:jc w:val="lowKashida"/>
        <w:rPr>
          <w:rFonts w:ascii="Traditional Arabic" w:hAnsi="Traditional Arabic"/>
        </w:rPr>
      </w:pPr>
      <w:r w:rsidRPr="00C17B7B">
        <w:rPr>
          <w:rFonts w:ascii="Traditional Arabic" w:hAnsi="Traditional Arabic"/>
          <w:rtl/>
        </w:rPr>
        <w:t>أبو منصور الجواليقي: موهوب بن أحمد بن محمد بن الخضـر الجواليقي, الأديب اللغوي النحوي, سمع: أبا القاسم بن البسري، وأبا طاهر بن أبي الصقر، والنقيب طراد بن محمد الزيني، وعدة</w:t>
      </w:r>
      <w:r w:rsidRPr="00C17B7B">
        <w:rPr>
          <w:rFonts w:ascii="Traditional Arabic" w:hAnsi="Traditional Arabic" w:hint="cs"/>
          <w:rtl/>
        </w:rPr>
        <w:t>.</w:t>
      </w:r>
      <w:r w:rsidRPr="00C17B7B">
        <w:rPr>
          <w:rFonts w:ascii="Traditional Arabic" w:hAnsi="Traditional Arabic"/>
          <w:rtl/>
        </w:rPr>
        <w:t xml:space="preserve"> حدث عنه: بنته؛ خديجة، والسمعاني والتاج الكندي</w:t>
      </w:r>
      <w:r w:rsidRPr="00C17B7B">
        <w:rPr>
          <w:rFonts w:ascii="Traditional Arabic" w:hAnsi="Traditional Arabic" w:hint="cs"/>
          <w:rtl/>
        </w:rPr>
        <w:t>،</w:t>
      </w:r>
      <w:r w:rsidRPr="00C17B7B">
        <w:rPr>
          <w:rFonts w:ascii="Traditional Arabic" w:hAnsi="Traditional Arabic"/>
          <w:rtl/>
        </w:rPr>
        <w:t xml:space="preserve"> وآخرون</w:t>
      </w:r>
      <w:r w:rsidRPr="00C17B7B">
        <w:rPr>
          <w:rFonts w:ascii="Traditional Arabic" w:hAnsi="Traditional Arabic" w:hint="cs"/>
          <w:rtl/>
        </w:rPr>
        <w:t>.</w:t>
      </w:r>
      <w:r w:rsidRPr="00C17B7B">
        <w:rPr>
          <w:rFonts w:ascii="Traditional Arabic" w:hAnsi="Traditional Arabic"/>
          <w:rtl/>
        </w:rPr>
        <w:t xml:space="preserve"> قال السمعاني: إمام في النحو واللغة، من مفاخر بغداد</w:t>
      </w:r>
      <w:r w:rsidRPr="00C17B7B">
        <w:rPr>
          <w:rFonts w:ascii="Traditional Arabic" w:hAnsi="Traditional Arabic" w:hint="cs"/>
          <w:rtl/>
        </w:rPr>
        <w:t>،</w:t>
      </w:r>
      <w:r w:rsidRPr="00C17B7B">
        <w:rPr>
          <w:rFonts w:ascii="Traditional Arabic" w:hAnsi="Traditional Arabic"/>
          <w:rtl/>
        </w:rPr>
        <w:t xml:space="preserve"> وهو ثقة ورع، غزير الفضل، وافر العقل، مليح الخط، كثير الضبط، صنف التصانيف، وشاع ذكره. وقال ابن النجار: هو إمام أهل عصره في اللغة، كتب الكثير بخطه المليح المتقن، مع متانة الدين، وصلاح الطريقة، وكان ثقة، حجة، نبيلا. قرأ عليه ابن الجوزي الأدب, توفي سنة 540هـ</w:t>
      </w:r>
      <w:r w:rsidR="00D148F0" w:rsidRPr="00D148F0">
        <w:rPr>
          <w:rStyle w:val="ae"/>
          <w:rtl/>
        </w:rPr>
        <w:t>(</w:t>
      </w:r>
      <w:r w:rsidR="00D148F0">
        <w:rPr>
          <w:rStyle w:val="ae"/>
          <w:rtl/>
        </w:rPr>
        <w:footnoteReference w:id="34"/>
      </w:r>
      <w:r w:rsidR="00D148F0" w:rsidRPr="00D148F0">
        <w:rPr>
          <w:rStyle w:val="ae"/>
          <w:rtl/>
        </w:rPr>
        <w:t>)</w:t>
      </w:r>
      <w:r w:rsidRPr="00C17B7B">
        <w:rPr>
          <w:rFonts w:ascii="Traditional Arabic" w:hAnsi="Traditional Arabic"/>
          <w:rtl/>
        </w:rPr>
        <w:t>.</w:t>
      </w:r>
    </w:p>
    <w:p w:rsidR="00D11232" w:rsidRPr="00C17B7B" w:rsidRDefault="00D11232" w:rsidP="00C443D8">
      <w:pPr>
        <w:numPr>
          <w:ilvl w:val="0"/>
          <w:numId w:val="25"/>
        </w:numPr>
        <w:spacing w:after="200" w:line="276" w:lineRule="auto"/>
        <w:ind w:left="0" w:firstLine="0"/>
        <w:contextualSpacing/>
        <w:jc w:val="lowKashida"/>
        <w:rPr>
          <w:rFonts w:ascii="Traditional Arabic" w:hAnsi="Traditional Arabic"/>
        </w:rPr>
      </w:pPr>
      <w:r w:rsidRPr="00C17B7B">
        <w:rPr>
          <w:rFonts w:ascii="Traditional Arabic" w:hAnsi="Traditional Arabic"/>
          <w:rtl/>
        </w:rPr>
        <w:t>أبو</w:t>
      </w:r>
      <w:r w:rsidR="00D148F0">
        <w:rPr>
          <w:rFonts w:ascii="Traditional Arabic" w:hAnsi="Traditional Arabic" w:hint="cs"/>
          <w:rtl/>
        </w:rPr>
        <w:t xml:space="preserve"> </w:t>
      </w:r>
      <w:r w:rsidRPr="00C17B7B">
        <w:rPr>
          <w:rFonts w:ascii="Traditional Arabic" w:hAnsi="Traditional Arabic"/>
          <w:rtl/>
        </w:rPr>
        <w:t>الفتــــح الكــــروخي</w:t>
      </w:r>
      <w:r w:rsidRPr="00C17B7B">
        <w:rPr>
          <w:rFonts w:ascii="Traditional Arabic" w:hAnsi="Traditional Arabic"/>
          <w:rtl/>
        </w:rPr>
        <w:fldChar w:fldCharType="begin"/>
      </w:r>
      <w:r w:rsidRPr="00C17B7B">
        <w:instrText xml:space="preserve"> XE "</w:instrText>
      </w:r>
      <w:r w:rsidRPr="00C17B7B">
        <w:rPr>
          <w:rFonts w:hint="eastAsia"/>
          <w:rtl/>
        </w:rPr>
        <w:instrText>فهرسالأعلام</w:instrText>
      </w:r>
      <w:r w:rsidRPr="00C17B7B">
        <w:rPr>
          <w:rtl/>
        </w:rPr>
        <w:instrText>:</w:instrText>
      </w:r>
      <w:r w:rsidRPr="00C17B7B">
        <w:rPr>
          <w:rFonts w:hint="eastAsia"/>
          <w:rtl/>
        </w:rPr>
        <w:instrText>أبوالفتــــحالكــــروخي</w:instrText>
      </w:r>
      <w:r w:rsidRPr="00C17B7B">
        <w:instrText xml:space="preserve">" </w:instrText>
      </w:r>
      <w:r w:rsidRPr="00C17B7B">
        <w:rPr>
          <w:rFonts w:ascii="Traditional Arabic" w:hAnsi="Traditional Arabic"/>
          <w:rtl/>
        </w:rPr>
        <w:fldChar w:fldCharType="end"/>
      </w:r>
      <w:r w:rsidRPr="00C17B7B">
        <w:rPr>
          <w:rFonts w:ascii="Traditional Arabic" w:hAnsi="Traditional Arabic"/>
          <w:rtl/>
        </w:rPr>
        <w:t>: عبد الملك بن أبي القاسم عبد الله بن أبي سهل بن القاسم بن أبي منصور بن ماح الكروخي الهروي</w:t>
      </w:r>
      <w:r w:rsidRPr="00C17B7B">
        <w:rPr>
          <w:rFonts w:ascii="Traditional Arabic" w:hAnsi="Traditional Arabic" w:hint="cs"/>
          <w:rtl/>
        </w:rPr>
        <w:t>،</w:t>
      </w:r>
      <w:r w:rsidRPr="00C17B7B">
        <w:rPr>
          <w:rFonts w:ascii="Traditional Arabic" w:hAnsi="Traditional Arabic"/>
          <w:rtl/>
        </w:rPr>
        <w:t xml:space="preserve"> سمع من أبي إسماعيل الأنصاري، ومحمد بن علي العميري، وحكيم ابن أحمد الإسفراييني، وأبي عطاء المليحي وعدة. حدث عنه خلق كثير منهم: السمعاني، وابن عساكر</w:t>
      </w:r>
      <w:r w:rsidRPr="00C17B7B">
        <w:rPr>
          <w:rFonts w:ascii="Traditional Arabic" w:hAnsi="Traditional Arabic" w:hint="cs"/>
          <w:rtl/>
        </w:rPr>
        <w:t>،</w:t>
      </w:r>
      <w:r w:rsidRPr="00C17B7B">
        <w:rPr>
          <w:rFonts w:ascii="Traditional Arabic" w:hAnsi="Traditional Arabic"/>
          <w:rtl/>
        </w:rPr>
        <w:t xml:space="preserve"> وخطيب دمشق عبد الملك بن ياسين الدولعي</w:t>
      </w:r>
      <w:r w:rsidRPr="00C17B7B">
        <w:rPr>
          <w:rFonts w:ascii="Traditional Arabic" w:hAnsi="Traditional Arabic" w:hint="cs"/>
          <w:rtl/>
        </w:rPr>
        <w:t>، وغيرهم.</w:t>
      </w:r>
      <w:r w:rsidR="00D148F0">
        <w:rPr>
          <w:rFonts w:ascii="Traditional Arabic" w:hAnsi="Traditional Arabic" w:hint="cs"/>
          <w:rtl/>
        </w:rPr>
        <w:t xml:space="preserve"> </w:t>
      </w:r>
      <w:r w:rsidRPr="00C17B7B">
        <w:rPr>
          <w:rFonts w:ascii="Traditional Arabic" w:hAnsi="Traditional Arabic"/>
          <w:rtl/>
        </w:rPr>
        <w:t>قال السمعاني: هو شيخ صالح دين خير، حسن السيرة، صدوق ثقة</w:t>
      </w:r>
      <w:r w:rsidRPr="00C17B7B">
        <w:rPr>
          <w:rFonts w:ascii="Traditional Arabic" w:hAnsi="Traditional Arabic" w:hint="cs"/>
          <w:rtl/>
        </w:rPr>
        <w:t>.</w:t>
      </w:r>
      <w:r w:rsidRPr="00C17B7B">
        <w:rPr>
          <w:rFonts w:ascii="Traditional Arabic" w:hAnsi="Traditional Arabic"/>
          <w:rtl/>
        </w:rPr>
        <w:t xml:space="preserve"> توفي سنة 548هـ</w:t>
      </w:r>
      <w:r w:rsidR="00D148F0" w:rsidRPr="00D148F0">
        <w:rPr>
          <w:rStyle w:val="ae"/>
          <w:rtl/>
        </w:rPr>
        <w:t>(</w:t>
      </w:r>
      <w:r w:rsidR="00D148F0">
        <w:rPr>
          <w:rStyle w:val="ae"/>
          <w:rtl/>
        </w:rPr>
        <w:footnoteReference w:id="35"/>
      </w:r>
      <w:r w:rsidR="00D148F0" w:rsidRPr="00D148F0">
        <w:rPr>
          <w:rStyle w:val="ae"/>
          <w:rtl/>
        </w:rPr>
        <w:t>)</w:t>
      </w:r>
      <w:r w:rsidRPr="00C17B7B">
        <w:rPr>
          <w:rFonts w:ascii="Traditional Arabic" w:hAnsi="Traditional Arabic"/>
          <w:rtl/>
        </w:rPr>
        <w:t>.</w:t>
      </w:r>
    </w:p>
    <w:p w:rsidR="00D11232" w:rsidRPr="00C17B7B" w:rsidRDefault="00D11232" w:rsidP="00C443D8">
      <w:pPr>
        <w:numPr>
          <w:ilvl w:val="0"/>
          <w:numId w:val="25"/>
        </w:numPr>
        <w:spacing w:after="200" w:line="276" w:lineRule="auto"/>
        <w:ind w:left="0" w:firstLine="0"/>
        <w:contextualSpacing/>
        <w:jc w:val="lowKashida"/>
        <w:rPr>
          <w:rFonts w:ascii="Traditional Arabic" w:hAnsi="Traditional Arabic"/>
        </w:rPr>
      </w:pPr>
      <w:r w:rsidRPr="00C17B7B">
        <w:rPr>
          <w:rFonts w:ascii="Traditional Arabic" w:hAnsi="Traditional Arabic"/>
          <w:rtl/>
        </w:rPr>
        <w:t>أبـــو الفضــــل ابن ناصـر</w:t>
      </w:r>
      <w:r w:rsidRPr="00C17B7B">
        <w:rPr>
          <w:rFonts w:ascii="Traditional Arabic" w:hAnsi="Traditional Arabic"/>
          <w:rtl/>
        </w:rPr>
        <w:fldChar w:fldCharType="begin"/>
      </w:r>
      <w:r w:rsidRPr="00C17B7B">
        <w:instrText xml:space="preserve"> XE "</w:instrText>
      </w:r>
      <w:r w:rsidRPr="00C17B7B">
        <w:rPr>
          <w:rFonts w:hint="eastAsia"/>
          <w:rtl/>
        </w:rPr>
        <w:instrText>فهرسالأعلام</w:instrText>
      </w:r>
      <w:r w:rsidRPr="00C17B7B">
        <w:rPr>
          <w:rtl/>
        </w:rPr>
        <w:instrText>:</w:instrText>
      </w:r>
      <w:r w:rsidRPr="00C17B7B">
        <w:rPr>
          <w:rFonts w:hint="eastAsia"/>
          <w:rtl/>
        </w:rPr>
        <w:instrText>أبـــوالفضــــلابنناصـر</w:instrText>
      </w:r>
      <w:r w:rsidRPr="00C17B7B">
        <w:instrText xml:space="preserve">" </w:instrText>
      </w:r>
      <w:r w:rsidRPr="00C17B7B">
        <w:rPr>
          <w:rFonts w:ascii="Traditional Arabic" w:hAnsi="Traditional Arabic"/>
          <w:rtl/>
        </w:rPr>
        <w:fldChar w:fldCharType="end"/>
      </w:r>
      <w:r w:rsidRPr="00C17B7B">
        <w:rPr>
          <w:rFonts w:ascii="Traditional Arabic" w:hAnsi="Traditional Arabic"/>
          <w:rtl/>
        </w:rPr>
        <w:t>: محمد بن ناصـر بن محمد بن علي السلامي, البغدادي, الفارسـي الأصل</w:t>
      </w:r>
      <w:r w:rsidRPr="00C17B7B">
        <w:rPr>
          <w:rFonts w:ascii="Traditional Arabic" w:hAnsi="Traditional Arabic" w:hint="cs"/>
          <w:rtl/>
        </w:rPr>
        <w:t>.</w:t>
      </w:r>
      <w:r w:rsidR="00D148F0">
        <w:rPr>
          <w:rFonts w:ascii="Traditional Arabic" w:hAnsi="Traditional Arabic" w:hint="cs"/>
          <w:rtl/>
        </w:rPr>
        <w:t xml:space="preserve"> </w:t>
      </w:r>
      <w:r w:rsidRPr="00C17B7B">
        <w:rPr>
          <w:rFonts w:ascii="Traditional Arabic" w:hAnsi="Traditional Arabic"/>
          <w:rtl/>
        </w:rPr>
        <w:t xml:space="preserve">سمع من: عاصم بن الحسن، ومالك بن أحمد البانياسي، وأبي الغنائم </w:t>
      </w:r>
      <w:r w:rsidRPr="00C17B7B">
        <w:rPr>
          <w:rFonts w:ascii="Traditional Arabic" w:hAnsi="Traditional Arabic"/>
          <w:rtl/>
        </w:rPr>
        <w:lastRenderedPageBreak/>
        <w:t>بن أبي عثمان</w:t>
      </w:r>
      <w:r w:rsidR="00D148F0">
        <w:rPr>
          <w:rFonts w:ascii="Traditional Arabic" w:hAnsi="Traditional Arabic" w:hint="cs"/>
          <w:rtl/>
        </w:rPr>
        <w:t xml:space="preserve"> </w:t>
      </w:r>
      <w:r w:rsidRPr="00C17B7B">
        <w:rPr>
          <w:rFonts w:ascii="Traditional Arabic" w:hAnsi="Traditional Arabic"/>
          <w:rtl/>
        </w:rPr>
        <w:t>وخلق كثير</w:t>
      </w:r>
      <w:r w:rsidRPr="00C17B7B">
        <w:rPr>
          <w:rFonts w:ascii="Traditional Arabic" w:hAnsi="Traditional Arabic" w:hint="cs"/>
          <w:rtl/>
        </w:rPr>
        <w:t>.</w:t>
      </w:r>
      <w:r w:rsidR="00D148F0">
        <w:rPr>
          <w:rFonts w:ascii="Traditional Arabic" w:hAnsi="Traditional Arabic" w:hint="cs"/>
          <w:rtl/>
        </w:rPr>
        <w:t xml:space="preserve"> </w:t>
      </w:r>
      <w:r w:rsidRPr="00C17B7B">
        <w:rPr>
          <w:rFonts w:ascii="Traditional Arabic" w:hAnsi="Traditional Arabic"/>
          <w:rtl/>
        </w:rPr>
        <w:t>روى عنه: ابن طاهر، وأبو عامر العبدري، وأبو طاهر السلفي، وأبو موسى المديني</w:t>
      </w:r>
      <w:r w:rsidRPr="00C17B7B">
        <w:rPr>
          <w:rFonts w:ascii="Traditional Arabic" w:hAnsi="Traditional Arabic" w:hint="cs"/>
          <w:rtl/>
        </w:rPr>
        <w:t>،</w:t>
      </w:r>
      <w:r w:rsidR="00D148F0">
        <w:rPr>
          <w:rFonts w:ascii="Traditional Arabic" w:hAnsi="Traditional Arabic" w:hint="cs"/>
          <w:rtl/>
        </w:rPr>
        <w:t xml:space="preserve"> </w:t>
      </w:r>
      <w:r w:rsidRPr="00C17B7B">
        <w:rPr>
          <w:rFonts w:ascii="Traditional Arabic" w:hAnsi="Traditional Arabic"/>
          <w:rtl/>
        </w:rPr>
        <w:t>وآخرون</w:t>
      </w:r>
      <w:r w:rsidRPr="00C17B7B">
        <w:rPr>
          <w:rFonts w:ascii="Traditional Arabic" w:hAnsi="Traditional Arabic" w:hint="cs"/>
          <w:rtl/>
        </w:rPr>
        <w:t>.</w:t>
      </w:r>
      <w:r w:rsidR="00D148F0">
        <w:rPr>
          <w:rFonts w:ascii="Traditional Arabic" w:hAnsi="Traditional Arabic" w:hint="cs"/>
          <w:rtl/>
        </w:rPr>
        <w:t xml:space="preserve"> </w:t>
      </w:r>
      <w:r w:rsidRPr="00C17B7B">
        <w:rPr>
          <w:rFonts w:ascii="Traditional Arabic" w:hAnsi="Traditional Arabic"/>
          <w:rtl/>
        </w:rPr>
        <w:t xml:space="preserve">قال </w:t>
      </w:r>
      <w:r w:rsidRPr="00C17B7B">
        <w:rPr>
          <w:rFonts w:ascii="Traditional Arabic" w:hAnsi="Traditional Arabic" w:hint="cs"/>
          <w:rtl/>
        </w:rPr>
        <w:t xml:space="preserve">عنه </w:t>
      </w:r>
      <w:r w:rsidRPr="00C17B7B">
        <w:rPr>
          <w:rFonts w:ascii="Traditional Arabic" w:hAnsi="Traditional Arabic"/>
          <w:rtl/>
        </w:rPr>
        <w:t xml:space="preserve">ابن الجوزي </w:t>
      </w:r>
      <w:r w:rsidRPr="00C17B7B">
        <w:rPr>
          <w:rFonts w:ascii="Traditional Arabic" w:hAnsi="Traditional Arabic" w:hint="cs"/>
          <w:rtl/>
        </w:rPr>
        <w:t xml:space="preserve">وقد </w:t>
      </w:r>
      <w:r w:rsidRPr="00C17B7B">
        <w:rPr>
          <w:rFonts w:ascii="Traditional Arabic" w:hAnsi="Traditional Arabic"/>
          <w:rtl/>
        </w:rPr>
        <w:t>لازمه ابن الجوزي ثلاثين سنة: كان شيخنا ثقة حافظا ضابطا من أهل السنة، لا مغمز فيه، تولى تسميعي، سمعت بقراءته مسند أحمد والكتب الكبار، وعنه أخذت علم الحديث، وكان كثير الذكر، سريع الدمعة</w:t>
      </w:r>
      <w:r w:rsidRPr="00C17B7B">
        <w:rPr>
          <w:rFonts w:ascii="Traditional Arabic" w:hAnsi="Traditional Arabic" w:hint="cs"/>
          <w:rtl/>
        </w:rPr>
        <w:t xml:space="preserve">، </w:t>
      </w:r>
      <w:r w:rsidRPr="00C17B7B">
        <w:rPr>
          <w:rFonts w:ascii="Traditional Arabic" w:hAnsi="Traditional Arabic"/>
          <w:rtl/>
        </w:rPr>
        <w:t>وقال</w:t>
      </w:r>
      <w:r w:rsidRPr="00C17B7B">
        <w:rPr>
          <w:rFonts w:ascii="Traditional Arabic" w:hAnsi="Traditional Arabic" w:hint="cs"/>
          <w:rtl/>
        </w:rPr>
        <w:t xml:space="preserve"> عنه</w:t>
      </w:r>
      <w:r w:rsidRPr="00C17B7B">
        <w:rPr>
          <w:rFonts w:ascii="Traditional Arabic" w:hAnsi="Traditional Arabic"/>
          <w:rtl/>
        </w:rPr>
        <w:t xml:space="preserve"> ابن النجار في "تاريخه": كان ثقة ثبتا، حسن الطريقة، متدينا، فقيرا متعففا، نظيفا نز</w:t>
      </w:r>
      <w:r w:rsidR="005E136B">
        <w:rPr>
          <w:rFonts w:ascii="Traditional Arabic" w:hAnsi="Traditional Arabic" w:hint="cs"/>
          <w:rtl/>
        </w:rPr>
        <w:t>ي</w:t>
      </w:r>
      <w:r w:rsidR="005E136B">
        <w:rPr>
          <w:rFonts w:ascii="Traditional Arabic" w:hAnsi="Traditional Arabic"/>
          <w:rtl/>
        </w:rPr>
        <w:t>ها، وقف كتبه، وخلف ثيابا خليع</w:t>
      </w:r>
      <w:r w:rsidR="005E136B">
        <w:rPr>
          <w:rFonts w:ascii="Traditional Arabic" w:hAnsi="Traditional Arabic" w:hint="cs"/>
          <w:rtl/>
        </w:rPr>
        <w:t>ة</w:t>
      </w:r>
      <w:r w:rsidRPr="00C17B7B">
        <w:rPr>
          <w:rFonts w:ascii="Traditional Arabic" w:hAnsi="Traditional Arabic"/>
          <w:rtl/>
        </w:rPr>
        <w:t xml:space="preserve"> وثلاثة دنانير، ولم يعقب، سمعت ابن سكينة وابن الأخضر وغيرهما يكثرون الثناء عليه، ويصفونه بالحفظ والإتقان والديانة والمحافظة على السنن والنوافل</w:t>
      </w:r>
      <w:r w:rsidRPr="00C17B7B">
        <w:rPr>
          <w:rFonts w:ascii="Traditional Arabic" w:hAnsi="Traditional Arabic" w:hint="cs"/>
          <w:rtl/>
        </w:rPr>
        <w:t>.</w:t>
      </w:r>
      <w:r w:rsidRPr="00C17B7B">
        <w:rPr>
          <w:rFonts w:ascii="Traditional Arabic" w:hAnsi="Traditional Arabic"/>
          <w:rtl/>
        </w:rPr>
        <w:t xml:space="preserve"> توفي سنة 550هـ</w:t>
      </w:r>
      <w:r w:rsidR="00D148F0" w:rsidRPr="00D148F0">
        <w:rPr>
          <w:rStyle w:val="ae"/>
          <w:rtl/>
        </w:rPr>
        <w:t>(</w:t>
      </w:r>
      <w:r w:rsidR="00D148F0">
        <w:rPr>
          <w:rStyle w:val="ae"/>
          <w:rtl/>
        </w:rPr>
        <w:footnoteReference w:id="36"/>
      </w:r>
      <w:r w:rsidR="00D148F0" w:rsidRPr="00D148F0">
        <w:rPr>
          <w:rStyle w:val="ae"/>
          <w:rtl/>
        </w:rPr>
        <w:t>)</w:t>
      </w:r>
      <w:r w:rsidRPr="00C17B7B">
        <w:rPr>
          <w:rFonts w:ascii="Traditional Arabic" w:hAnsi="Traditional Arabic"/>
          <w:rtl/>
        </w:rPr>
        <w:t>.</w:t>
      </w:r>
    </w:p>
    <w:p w:rsidR="00D11232" w:rsidRPr="00C17B7B" w:rsidRDefault="00D11232" w:rsidP="00C443D8">
      <w:pPr>
        <w:numPr>
          <w:ilvl w:val="0"/>
          <w:numId w:val="25"/>
        </w:numPr>
        <w:spacing w:after="200" w:line="276" w:lineRule="auto"/>
        <w:ind w:left="0" w:firstLine="0"/>
        <w:contextualSpacing/>
        <w:jc w:val="lowKashida"/>
        <w:rPr>
          <w:rFonts w:ascii="Traditional Arabic" w:hAnsi="Traditional Arabic"/>
        </w:rPr>
      </w:pPr>
      <w:r w:rsidRPr="00C17B7B">
        <w:rPr>
          <w:rFonts w:ascii="Traditional Arabic" w:hAnsi="Traditional Arabic"/>
          <w:rtl/>
        </w:rPr>
        <w:t>ابن الـــــــــزاغوني</w:t>
      </w:r>
      <w:r w:rsidRPr="00C17B7B">
        <w:rPr>
          <w:rFonts w:ascii="Traditional Arabic" w:hAnsi="Traditional Arabic"/>
          <w:rtl/>
        </w:rPr>
        <w:fldChar w:fldCharType="begin"/>
      </w:r>
      <w:r w:rsidRPr="00C17B7B">
        <w:instrText xml:space="preserve"> XE "</w:instrText>
      </w:r>
      <w:r w:rsidRPr="00C17B7B">
        <w:rPr>
          <w:rFonts w:hint="eastAsia"/>
          <w:rtl/>
        </w:rPr>
        <w:instrText>فهرسالأعلام</w:instrText>
      </w:r>
      <w:r w:rsidRPr="00C17B7B">
        <w:rPr>
          <w:rtl/>
        </w:rPr>
        <w:instrText>:</w:instrText>
      </w:r>
      <w:r w:rsidRPr="00C17B7B">
        <w:rPr>
          <w:rFonts w:hint="cs"/>
          <w:rtl/>
        </w:rPr>
        <w:instrText xml:space="preserve"> أبو بكر محمد بن عبد الله , </w:instrText>
      </w:r>
      <w:r w:rsidRPr="00C17B7B">
        <w:rPr>
          <w:rFonts w:hint="eastAsia"/>
          <w:rtl/>
        </w:rPr>
        <w:instrText>ابنالـــــــــزاغوني</w:instrText>
      </w:r>
      <w:r w:rsidRPr="00C17B7B">
        <w:instrText xml:space="preserve">" </w:instrText>
      </w:r>
      <w:r w:rsidRPr="00C17B7B">
        <w:rPr>
          <w:rFonts w:ascii="Traditional Arabic" w:hAnsi="Traditional Arabic"/>
          <w:rtl/>
        </w:rPr>
        <w:fldChar w:fldCharType="end"/>
      </w:r>
      <w:r w:rsidRPr="00C17B7B">
        <w:rPr>
          <w:rFonts w:ascii="Traditional Arabic" w:hAnsi="Traditional Arabic"/>
          <w:rtl/>
        </w:rPr>
        <w:t>: أبو بكر محمد بن عبيدالله بن نصـر السـري البغدادي</w:t>
      </w:r>
      <w:r w:rsidRPr="00C17B7B">
        <w:rPr>
          <w:rFonts w:ascii="Traditional Arabic" w:hAnsi="Traditional Arabic" w:hint="cs"/>
          <w:rtl/>
        </w:rPr>
        <w:t>،</w:t>
      </w:r>
      <w:r w:rsidR="00D148F0">
        <w:rPr>
          <w:rFonts w:ascii="Traditional Arabic" w:hAnsi="Traditional Arabic" w:hint="cs"/>
          <w:rtl/>
        </w:rPr>
        <w:t xml:space="preserve"> </w:t>
      </w:r>
      <w:r w:rsidRPr="00C17B7B">
        <w:rPr>
          <w:rFonts w:ascii="Traditional Arabic" w:hAnsi="Traditional Arabic"/>
          <w:rtl/>
        </w:rPr>
        <w:t>سمعه أخوه الإمام أبو الحسن من أبي القاسم علي بن البسري، وأبي نصر الزينبي، وعاصم بن الحسن</w:t>
      </w:r>
      <w:r w:rsidR="00D148F0">
        <w:rPr>
          <w:rFonts w:ascii="Traditional Arabic" w:hAnsi="Traditional Arabic" w:hint="cs"/>
          <w:rtl/>
        </w:rPr>
        <w:t xml:space="preserve"> </w:t>
      </w:r>
      <w:r w:rsidRPr="00C17B7B">
        <w:rPr>
          <w:rFonts w:ascii="Traditional Arabic" w:hAnsi="Traditional Arabic"/>
          <w:rtl/>
        </w:rPr>
        <w:t>وعدة</w:t>
      </w:r>
      <w:r w:rsidRPr="00C17B7B">
        <w:rPr>
          <w:rFonts w:ascii="Traditional Arabic" w:hAnsi="Traditional Arabic" w:hint="cs"/>
          <w:rtl/>
        </w:rPr>
        <w:t>،</w:t>
      </w:r>
      <w:r w:rsidR="00D148F0">
        <w:rPr>
          <w:rFonts w:ascii="Traditional Arabic" w:hAnsi="Traditional Arabic" w:hint="cs"/>
          <w:rtl/>
        </w:rPr>
        <w:t xml:space="preserve"> </w:t>
      </w:r>
      <w:r w:rsidRPr="00C17B7B">
        <w:rPr>
          <w:rFonts w:ascii="Traditional Arabic" w:hAnsi="Traditional Arabic"/>
          <w:rtl/>
        </w:rPr>
        <w:t>حدث عنه: ابن عساكر، والسمعاني</w:t>
      </w:r>
      <w:r w:rsidRPr="00C17B7B">
        <w:rPr>
          <w:rFonts w:ascii="Traditional Arabic" w:hAnsi="Traditional Arabic" w:hint="cs"/>
          <w:rtl/>
        </w:rPr>
        <w:t>،</w:t>
      </w:r>
      <w:r w:rsidR="00D148F0">
        <w:rPr>
          <w:rFonts w:ascii="Traditional Arabic" w:hAnsi="Traditional Arabic" w:hint="cs"/>
          <w:rtl/>
        </w:rPr>
        <w:t xml:space="preserve"> </w:t>
      </w:r>
      <w:r w:rsidRPr="00C17B7B">
        <w:rPr>
          <w:rFonts w:ascii="Traditional Arabic" w:hAnsi="Traditional Arabic"/>
          <w:rtl/>
        </w:rPr>
        <w:t>وابن طبرزد، والكندي</w:t>
      </w:r>
      <w:r w:rsidRPr="00C17B7B">
        <w:rPr>
          <w:rFonts w:ascii="Traditional Arabic" w:hAnsi="Traditional Arabic" w:hint="cs"/>
          <w:rtl/>
        </w:rPr>
        <w:t>،</w:t>
      </w:r>
      <w:r w:rsidR="00D148F0">
        <w:rPr>
          <w:rFonts w:ascii="Traditional Arabic" w:hAnsi="Traditional Arabic" w:hint="cs"/>
          <w:rtl/>
        </w:rPr>
        <w:t xml:space="preserve"> </w:t>
      </w:r>
      <w:r w:rsidRPr="00C17B7B">
        <w:rPr>
          <w:rFonts w:ascii="Traditional Arabic" w:hAnsi="Traditional Arabic"/>
          <w:rtl/>
        </w:rPr>
        <w:t>وآخرون</w:t>
      </w:r>
      <w:r w:rsidRPr="00C17B7B">
        <w:rPr>
          <w:rFonts w:ascii="Traditional Arabic" w:hAnsi="Traditional Arabic" w:hint="cs"/>
          <w:rtl/>
        </w:rPr>
        <w:t>.</w:t>
      </w:r>
      <w:r w:rsidR="00D148F0">
        <w:rPr>
          <w:rFonts w:ascii="Traditional Arabic" w:hAnsi="Traditional Arabic" w:hint="cs"/>
          <w:rtl/>
        </w:rPr>
        <w:t xml:space="preserve"> </w:t>
      </w:r>
      <w:r w:rsidRPr="00C17B7B">
        <w:rPr>
          <w:rFonts w:ascii="Traditional Arabic" w:hAnsi="Traditional Arabic"/>
          <w:rtl/>
        </w:rPr>
        <w:t>قال السمعاني: شيخ صالح متدين، مرضي الطريقة، قرأت عليه أجزاء، وكان له دكان يجلد فيها. قال عنه ابن الجوزي: (قرأت عليه كثيراً من مسموعاته)</w:t>
      </w:r>
      <w:r w:rsidR="00D148F0" w:rsidRPr="00D148F0">
        <w:rPr>
          <w:rStyle w:val="ae"/>
          <w:rtl/>
        </w:rPr>
        <w:t>(</w:t>
      </w:r>
      <w:r w:rsidR="00D148F0">
        <w:rPr>
          <w:rStyle w:val="ae"/>
          <w:rtl/>
        </w:rPr>
        <w:footnoteReference w:id="37"/>
      </w:r>
      <w:r w:rsidR="00D148F0" w:rsidRPr="00D148F0">
        <w:rPr>
          <w:rStyle w:val="ae"/>
          <w:rtl/>
        </w:rPr>
        <w:t>)</w:t>
      </w:r>
      <w:r w:rsidR="00D148F0">
        <w:rPr>
          <w:rFonts w:ascii="Traditional Arabic" w:hAnsi="Traditional Arabic" w:hint="cs"/>
          <w:rtl/>
        </w:rPr>
        <w:t>,</w:t>
      </w:r>
      <w:r w:rsidRPr="00C17B7B">
        <w:rPr>
          <w:rFonts w:ascii="Traditional Arabic" w:hAnsi="Traditional Arabic" w:hint="cs"/>
          <w:rtl/>
        </w:rPr>
        <w:t xml:space="preserve"> وقد صحبه ابن الجوزي مدة من الزمن وعلق عنه الفقه والوعظ</w:t>
      </w:r>
      <w:r w:rsidRPr="00C17B7B">
        <w:rPr>
          <w:rFonts w:ascii="Traditional Arabic" w:hAnsi="Traditional Arabic"/>
          <w:rtl/>
        </w:rPr>
        <w:t>, توفي سنة 552ه</w:t>
      </w:r>
      <w:r w:rsidR="00D148F0" w:rsidRPr="00D148F0">
        <w:rPr>
          <w:rStyle w:val="ae"/>
          <w:rtl/>
        </w:rPr>
        <w:t>(</w:t>
      </w:r>
      <w:r w:rsidR="00D148F0">
        <w:rPr>
          <w:rStyle w:val="ae"/>
          <w:rtl/>
        </w:rPr>
        <w:footnoteReference w:id="38"/>
      </w:r>
      <w:r w:rsidR="00D148F0" w:rsidRPr="00D148F0">
        <w:rPr>
          <w:rStyle w:val="ae"/>
          <w:rtl/>
        </w:rPr>
        <w:t>)</w:t>
      </w:r>
      <w:r w:rsidRPr="00C17B7B">
        <w:rPr>
          <w:rFonts w:ascii="Traditional Arabic" w:hAnsi="Traditional Arabic"/>
          <w:rtl/>
        </w:rPr>
        <w:t>.</w:t>
      </w:r>
    </w:p>
    <w:p w:rsidR="00D11232" w:rsidRPr="00C17B7B" w:rsidRDefault="00D11232" w:rsidP="00C443D8">
      <w:pPr>
        <w:numPr>
          <w:ilvl w:val="0"/>
          <w:numId w:val="25"/>
        </w:numPr>
        <w:spacing w:after="200" w:line="276" w:lineRule="auto"/>
        <w:ind w:left="0" w:firstLine="0"/>
        <w:contextualSpacing/>
        <w:jc w:val="lowKashida"/>
        <w:rPr>
          <w:rFonts w:ascii="Traditional Arabic" w:hAnsi="Traditional Arabic"/>
        </w:rPr>
      </w:pPr>
      <w:r w:rsidRPr="00C17B7B">
        <w:rPr>
          <w:rFonts w:ascii="Traditional Arabic" w:hAnsi="Traditional Arabic"/>
          <w:rtl/>
        </w:rPr>
        <w:t>أبو</w:t>
      </w:r>
      <w:r w:rsidR="002F19D8">
        <w:rPr>
          <w:rFonts w:ascii="Traditional Arabic" w:hAnsi="Traditional Arabic" w:hint="cs"/>
          <w:rtl/>
        </w:rPr>
        <w:t xml:space="preserve"> </w:t>
      </w:r>
      <w:r w:rsidRPr="00C17B7B">
        <w:rPr>
          <w:rFonts w:ascii="Traditional Arabic" w:hAnsi="Traditional Arabic"/>
          <w:rtl/>
        </w:rPr>
        <w:t>ح</w:t>
      </w:r>
      <w:r w:rsidRPr="00C17B7B">
        <w:rPr>
          <w:rFonts w:ascii="Traditional Arabic" w:hAnsi="Traditional Arabic" w:hint="cs"/>
          <w:rtl/>
        </w:rPr>
        <w:t>ــــــ</w:t>
      </w:r>
      <w:r w:rsidRPr="00C17B7B">
        <w:rPr>
          <w:rFonts w:ascii="Traditional Arabic" w:hAnsi="Traditional Arabic"/>
          <w:rtl/>
        </w:rPr>
        <w:t>كيم النهرواني: إبراهيم بن دينار النهرواني</w:t>
      </w:r>
      <w:r w:rsidRPr="00C17B7B">
        <w:rPr>
          <w:rFonts w:ascii="Traditional Arabic" w:hAnsi="Traditional Arabic"/>
          <w:rtl/>
        </w:rPr>
        <w:fldChar w:fldCharType="begin"/>
      </w:r>
      <w:r w:rsidRPr="00C17B7B">
        <w:instrText xml:space="preserve"> XE "</w:instrText>
      </w:r>
      <w:r w:rsidRPr="00C17B7B">
        <w:rPr>
          <w:rFonts w:hint="eastAsia"/>
          <w:rtl/>
        </w:rPr>
        <w:instrText>فهرسالأعلام</w:instrText>
      </w:r>
      <w:r w:rsidRPr="00C17B7B">
        <w:rPr>
          <w:rtl/>
        </w:rPr>
        <w:instrText>:</w:instrText>
      </w:r>
      <w:r w:rsidRPr="00C17B7B">
        <w:rPr>
          <w:rFonts w:hint="eastAsia"/>
          <w:rtl/>
        </w:rPr>
        <w:instrText>إبراهيمبندينارالنهرواني</w:instrText>
      </w:r>
      <w:r w:rsidRPr="00C17B7B">
        <w:instrText xml:space="preserve">" </w:instrText>
      </w:r>
      <w:r w:rsidRPr="00C17B7B">
        <w:rPr>
          <w:rFonts w:ascii="Traditional Arabic" w:hAnsi="Traditional Arabic"/>
          <w:rtl/>
        </w:rPr>
        <w:fldChar w:fldCharType="end"/>
      </w:r>
      <w:r w:rsidRPr="00C17B7B">
        <w:rPr>
          <w:rFonts w:ascii="Traditional Arabic" w:hAnsi="Traditional Arabic"/>
          <w:rtl/>
        </w:rPr>
        <w:t>, الفقيه الحنبلي, أحد أعلام بغداد, سمع</w:t>
      </w:r>
      <w:r w:rsidRPr="00C17B7B">
        <w:rPr>
          <w:rFonts w:ascii="Traditional Arabic" w:hAnsi="Traditional Arabic" w:hint="cs"/>
          <w:rtl/>
        </w:rPr>
        <w:t xml:space="preserve">: </w:t>
      </w:r>
      <w:r w:rsidRPr="00C17B7B">
        <w:rPr>
          <w:rFonts w:ascii="Traditional Arabic" w:hAnsi="Traditional Arabic"/>
          <w:rtl/>
        </w:rPr>
        <w:t>أبا الحسن بن العلاف، وأبا القاسم بن بيان. وعنه: ابن الأخضر، وأبو نصر عمر بن محمد. قال عنه ابن الجوزي: (قرأ القرآن وسمع الحديث وتفقه وناظر وأفتى</w:t>
      </w:r>
      <w:r w:rsidRPr="00C17B7B">
        <w:rPr>
          <w:rFonts w:ascii="Traditional Arabic" w:hAnsi="Traditional Arabic" w:hint="cs"/>
          <w:rtl/>
        </w:rPr>
        <w:t>،</w:t>
      </w:r>
      <w:r w:rsidRPr="00C17B7B">
        <w:rPr>
          <w:rFonts w:ascii="Traditional Arabic" w:hAnsi="Traditional Arabic"/>
          <w:rtl/>
        </w:rPr>
        <w:t xml:space="preserve"> </w:t>
      </w:r>
      <w:r w:rsidRPr="00C17B7B">
        <w:rPr>
          <w:rFonts w:ascii="Traditional Arabic" w:hAnsi="Traditional Arabic"/>
          <w:rtl/>
        </w:rPr>
        <w:lastRenderedPageBreak/>
        <w:t>وكان عالماً بالمذهب والحدود والفرائض</w:t>
      </w:r>
      <w:r w:rsidRPr="00C17B7B">
        <w:rPr>
          <w:rFonts w:ascii="Traditional Arabic" w:hAnsi="Traditional Arabic" w:hint="cs"/>
          <w:rtl/>
        </w:rPr>
        <w:t>،</w:t>
      </w:r>
      <w:r w:rsidRPr="00C17B7B">
        <w:rPr>
          <w:rFonts w:ascii="Traditional Arabic" w:hAnsi="Traditional Arabic"/>
          <w:rtl/>
        </w:rPr>
        <w:t xml:space="preserve"> وكان مما يضـرب به المثل في الحلم والتواضع)</w:t>
      </w:r>
      <w:r w:rsidRPr="00C17B7B">
        <w:rPr>
          <w:rFonts w:ascii="Traditional Arabic" w:hAnsi="Traditional Arabic" w:hint="cs"/>
          <w:rtl/>
        </w:rPr>
        <w:t>، وقال عنه الذهبي: (</w:t>
      </w:r>
      <w:r w:rsidRPr="00C17B7B">
        <w:rPr>
          <w:rFonts w:ascii="Traditional Arabic" w:hAnsi="Traditional Arabic"/>
          <w:rtl/>
        </w:rPr>
        <w:t>إمام</w:t>
      </w:r>
      <w:r w:rsidR="005E136B">
        <w:rPr>
          <w:rFonts w:ascii="Traditional Arabic" w:hAnsi="Traditional Arabic" w:hint="cs"/>
          <w:rtl/>
        </w:rPr>
        <w:t>ٌ</w:t>
      </w:r>
      <w:r w:rsidRPr="00C17B7B">
        <w:rPr>
          <w:rFonts w:ascii="Traditional Arabic" w:hAnsi="Traditional Arabic"/>
          <w:rtl/>
        </w:rPr>
        <w:t xml:space="preserve"> زاهد</w:t>
      </w:r>
      <w:r w:rsidR="005E136B">
        <w:rPr>
          <w:rFonts w:ascii="Traditional Arabic" w:hAnsi="Traditional Arabic" w:hint="cs"/>
          <w:rtl/>
        </w:rPr>
        <w:t>ٌ</w:t>
      </w:r>
      <w:r w:rsidRPr="00C17B7B">
        <w:rPr>
          <w:rFonts w:ascii="Traditional Arabic" w:hAnsi="Traditional Arabic"/>
          <w:rtl/>
        </w:rPr>
        <w:t xml:space="preserve"> ورع</w:t>
      </w:r>
      <w:r w:rsidR="005E136B">
        <w:rPr>
          <w:rFonts w:ascii="Traditional Arabic" w:hAnsi="Traditional Arabic" w:hint="cs"/>
          <w:rtl/>
        </w:rPr>
        <w:t>ٌ</w:t>
      </w:r>
      <w:r w:rsidRPr="00C17B7B">
        <w:rPr>
          <w:rFonts w:ascii="Traditional Arabic" w:hAnsi="Traditional Arabic"/>
          <w:rtl/>
        </w:rPr>
        <w:t xml:space="preserve"> خير</w:t>
      </w:r>
      <w:r w:rsidR="005E136B">
        <w:rPr>
          <w:rFonts w:ascii="Traditional Arabic" w:hAnsi="Traditional Arabic" w:hint="cs"/>
          <w:rtl/>
        </w:rPr>
        <w:t>ٌ</w:t>
      </w:r>
      <w:r w:rsidRPr="00C17B7B">
        <w:rPr>
          <w:rFonts w:ascii="Traditional Arabic" w:hAnsi="Traditional Arabic"/>
          <w:rtl/>
        </w:rPr>
        <w:t xml:space="preserve"> حليم، إليه المنتهى في علم الفرائض</w:t>
      </w:r>
      <w:r w:rsidRPr="00C17B7B">
        <w:rPr>
          <w:rFonts w:ascii="Traditional Arabic" w:hAnsi="Traditional Arabic" w:hint="cs"/>
          <w:rtl/>
        </w:rPr>
        <w:t>) وقد أخذ عنه ابن الجوزي الفقه والخلاف والجدل والأصول</w:t>
      </w:r>
      <w:r w:rsidRPr="00C17B7B">
        <w:rPr>
          <w:rFonts w:ascii="Traditional Arabic" w:hAnsi="Traditional Arabic"/>
          <w:rtl/>
        </w:rPr>
        <w:t>. توفي سنة 556هـ</w:t>
      </w:r>
      <w:r w:rsidR="00D148F0" w:rsidRPr="00D148F0">
        <w:rPr>
          <w:rStyle w:val="ae"/>
          <w:rtl/>
        </w:rPr>
        <w:t>(</w:t>
      </w:r>
      <w:r w:rsidR="00D148F0">
        <w:rPr>
          <w:rStyle w:val="ae"/>
          <w:rtl/>
        </w:rPr>
        <w:footnoteReference w:id="39"/>
      </w:r>
      <w:r w:rsidR="00D148F0" w:rsidRPr="00D148F0">
        <w:rPr>
          <w:rStyle w:val="ae"/>
          <w:rtl/>
        </w:rPr>
        <w:t>)</w:t>
      </w:r>
      <w:r w:rsidRPr="00C17B7B">
        <w:rPr>
          <w:rFonts w:ascii="Traditional Arabic" w:hAnsi="Traditional Arabic"/>
          <w:rtl/>
        </w:rPr>
        <w:t>.</w:t>
      </w:r>
    </w:p>
    <w:p w:rsidR="00D11232" w:rsidRPr="00C17B7B" w:rsidRDefault="00D11232" w:rsidP="00D11232">
      <w:pPr>
        <w:spacing w:line="276" w:lineRule="auto"/>
        <w:contextualSpacing/>
        <w:jc w:val="lowKashida"/>
        <w:rPr>
          <w:rFonts w:ascii="Traditional Arabic" w:eastAsia="Calibri" w:hAnsi="Traditional Arabic"/>
          <w:color w:val="auto"/>
          <w:szCs w:val="32"/>
        </w:rPr>
      </w:pPr>
    </w:p>
    <w:p w:rsidR="00D11232" w:rsidRPr="00C17B7B" w:rsidRDefault="00D11232" w:rsidP="00D11232">
      <w:pPr>
        <w:bidi w:val="0"/>
        <w:contextualSpacing/>
        <w:rPr>
          <w:rFonts w:ascii="Traditional Arabic" w:eastAsia="Calibri" w:hAnsi="Traditional Arabic"/>
          <w:b/>
          <w:bCs/>
          <w:color w:val="auto"/>
          <w:szCs w:val="32"/>
        </w:rPr>
      </w:pPr>
      <w:r w:rsidRPr="00C17B7B">
        <w:rPr>
          <w:rFonts w:ascii="Traditional Arabic" w:eastAsia="Calibri" w:hAnsi="Traditional Arabic"/>
          <w:b/>
          <w:bCs/>
          <w:color w:val="auto"/>
          <w:szCs w:val="32"/>
          <w:rtl/>
        </w:rPr>
        <w:br w:type="page"/>
      </w:r>
    </w:p>
    <w:p w:rsidR="00D11232" w:rsidRPr="00C17B7B" w:rsidRDefault="00D11232" w:rsidP="00D148F0">
      <w:pPr>
        <w:spacing w:line="276" w:lineRule="auto"/>
        <w:ind w:firstLine="0"/>
        <w:contextualSpacing/>
        <w:jc w:val="lowKashida"/>
        <w:rPr>
          <w:rFonts w:ascii="Traditional Arabic" w:eastAsia="Calibri" w:hAnsi="Traditional Arabic"/>
          <w:color w:val="auto"/>
          <w:szCs w:val="32"/>
          <w:rtl/>
        </w:rPr>
      </w:pPr>
      <w:r w:rsidRPr="00C17B7B">
        <w:rPr>
          <w:rFonts w:ascii="Traditional Arabic" w:eastAsia="Calibri" w:hAnsi="Traditional Arabic" w:hint="cs"/>
          <w:b/>
          <w:bCs/>
          <w:color w:val="auto"/>
          <w:sz w:val="40"/>
          <w:rtl/>
        </w:rPr>
        <w:lastRenderedPageBreak/>
        <w:t xml:space="preserve">أما تلاميذه: </w:t>
      </w:r>
      <w:r w:rsidRPr="00C17B7B">
        <w:rPr>
          <w:rFonts w:ascii="Traditional Arabic" w:eastAsia="Calibri" w:hAnsi="Traditional Arabic" w:hint="cs"/>
          <w:color w:val="auto"/>
          <w:rtl/>
        </w:rPr>
        <w:t xml:space="preserve">فقد </w:t>
      </w:r>
      <w:r w:rsidRPr="00C17B7B">
        <w:rPr>
          <w:rFonts w:ascii="Traditional Arabic" w:eastAsia="Calibri" w:hAnsi="Traditional Arabic"/>
          <w:color w:val="auto"/>
          <w:rtl/>
        </w:rPr>
        <w:t>اشتهر قدر الإمام ابن الجوزي, وذاع صـيته في الآفاق, فـأصبح محط أنظار طلبة العلم, إذ كتب الله له القبول عند العامة والخاصة,</w:t>
      </w:r>
      <w:r w:rsidRPr="00C17B7B">
        <w:rPr>
          <w:rFonts w:ascii="Traditional Arabic" w:eastAsia="Calibri" w:hAnsi="Traditional Arabic" w:hint="cs"/>
          <w:color w:val="auto"/>
          <w:rtl/>
        </w:rPr>
        <w:t xml:space="preserve"> </w:t>
      </w:r>
      <w:r w:rsidRPr="00C17B7B">
        <w:rPr>
          <w:rFonts w:ascii="Traditional Arabic" w:eastAsia="Calibri" w:hAnsi="Traditional Arabic"/>
          <w:color w:val="auto"/>
          <w:rtl/>
        </w:rPr>
        <w:t>فأقبل إليه الطلاب للتلقي والأخذ عنه, فكان من أشهرهم:</w:t>
      </w:r>
    </w:p>
    <w:p w:rsidR="009561AE" w:rsidRDefault="00D11232" w:rsidP="00C443D8">
      <w:pPr>
        <w:numPr>
          <w:ilvl w:val="0"/>
          <w:numId w:val="1"/>
        </w:numPr>
        <w:spacing w:after="200" w:line="276" w:lineRule="auto"/>
        <w:ind w:left="0" w:firstLine="0"/>
        <w:contextualSpacing/>
        <w:jc w:val="lowKashida"/>
        <w:rPr>
          <w:rFonts w:ascii="Traditional Arabic" w:hAnsi="Traditional Arabic"/>
        </w:rPr>
      </w:pPr>
      <w:r w:rsidRPr="00C17B7B">
        <w:rPr>
          <w:rFonts w:ascii="Traditional Arabic" w:hAnsi="Traditional Arabic"/>
          <w:rtl/>
        </w:rPr>
        <w:t>أبو البقــــــاء العكبري</w:t>
      </w:r>
      <w:r w:rsidRPr="00C17B7B">
        <w:rPr>
          <w:rFonts w:ascii="Traditional Arabic" w:hAnsi="Traditional Arabic"/>
          <w:rtl/>
        </w:rPr>
        <w:fldChar w:fldCharType="begin"/>
      </w:r>
      <w:r w:rsidRPr="00C17B7B">
        <w:instrText xml:space="preserve"> XE "</w:instrText>
      </w:r>
      <w:r w:rsidRPr="00C17B7B">
        <w:rPr>
          <w:rFonts w:hint="eastAsia"/>
          <w:rtl/>
        </w:rPr>
        <w:instrText>فهرسالأعلام</w:instrText>
      </w:r>
      <w:r w:rsidRPr="00C17B7B">
        <w:rPr>
          <w:rtl/>
        </w:rPr>
        <w:instrText>:</w:instrText>
      </w:r>
      <w:r w:rsidRPr="00C17B7B">
        <w:rPr>
          <w:rFonts w:hint="eastAsia"/>
          <w:rtl/>
        </w:rPr>
        <w:instrText>أبوالبقــــــاءالعكبري</w:instrText>
      </w:r>
      <w:r w:rsidRPr="00C17B7B">
        <w:instrText xml:space="preserve">" </w:instrText>
      </w:r>
      <w:r w:rsidRPr="00C17B7B">
        <w:rPr>
          <w:rFonts w:ascii="Traditional Arabic" w:hAnsi="Traditional Arabic"/>
          <w:rtl/>
        </w:rPr>
        <w:fldChar w:fldCharType="end"/>
      </w:r>
      <w:r w:rsidRPr="00C17B7B">
        <w:rPr>
          <w:rFonts w:ascii="Traditional Arabic" w:hAnsi="Traditional Arabic"/>
          <w:rtl/>
        </w:rPr>
        <w:t>: عبدالله بن الحسـين بن أبي البقاء عبدالله بن الحسـين العكبري, البغدادي الأزجي العلامة النحوي الضـرير</w:t>
      </w:r>
      <w:r w:rsidRPr="00C17B7B">
        <w:rPr>
          <w:rFonts w:ascii="Traditional Arabic" w:hAnsi="Traditional Arabic" w:hint="cs"/>
          <w:rtl/>
        </w:rPr>
        <w:t>.</w:t>
      </w:r>
      <w:r w:rsidR="00D148F0">
        <w:rPr>
          <w:rFonts w:ascii="Traditional Arabic" w:hAnsi="Traditional Arabic" w:hint="cs"/>
          <w:rtl/>
        </w:rPr>
        <w:t xml:space="preserve"> </w:t>
      </w:r>
    </w:p>
    <w:p w:rsidR="009561AE" w:rsidRDefault="00D11232" w:rsidP="009561AE">
      <w:pPr>
        <w:spacing w:after="200" w:line="276" w:lineRule="auto"/>
        <w:ind w:firstLine="0"/>
        <w:contextualSpacing/>
        <w:jc w:val="lowKashida"/>
        <w:rPr>
          <w:rFonts w:ascii="Traditional Arabic" w:hAnsi="Traditional Arabic"/>
        </w:rPr>
      </w:pPr>
      <w:r w:rsidRPr="00C17B7B">
        <w:rPr>
          <w:rFonts w:ascii="Traditional Arabic" w:hAnsi="Traditional Arabic"/>
          <w:rtl/>
        </w:rPr>
        <w:t>قرأ بالروايات على: علي بن عساكر البطائحي، والعربية على: ابن الخشاب، وأبي البركات بن نجاح.</w:t>
      </w:r>
      <w:r w:rsidR="00D148F0">
        <w:rPr>
          <w:rFonts w:ascii="Traditional Arabic" w:hAnsi="Traditional Arabic" w:hint="cs"/>
          <w:rtl/>
        </w:rPr>
        <w:t xml:space="preserve"> </w:t>
      </w:r>
      <w:r w:rsidRPr="00C17B7B">
        <w:rPr>
          <w:rFonts w:ascii="Traditional Arabic" w:hAnsi="Traditional Arabic"/>
          <w:rtl/>
        </w:rPr>
        <w:t>وتفقه على: القاضي أبي يعلى الصغير محمد بن أبي خازم، وأبي حكيم النهرواني</w:t>
      </w:r>
      <w:r w:rsidRPr="00C17B7B">
        <w:rPr>
          <w:rFonts w:ascii="Traditional Arabic" w:hAnsi="Traditional Arabic" w:hint="cs"/>
          <w:rtl/>
        </w:rPr>
        <w:t xml:space="preserve">، </w:t>
      </w:r>
      <w:r w:rsidRPr="00C17B7B">
        <w:rPr>
          <w:rFonts w:ascii="Traditional Arabic" w:hAnsi="Traditional Arabic"/>
          <w:rtl/>
        </w:rPr>
        <w:t>وسمع من: أبي الفتح ابن البطي، وأبي زرعة المقدسي، وجماعة، وتخرج به أئمة</w:t>
      </w:r>
      <w:r w:rsidRPr="00C17B7B">
        <w:rPr>
          <w:rFonts w:ascii="Traditional Arabic" w:hAnsi="Traditional Arabic" w:hint="cs"/>
          <w:rtl/>
        </w:rPr>
        <w:t>.</w:t>
      </w:r>
    </w:p>
    <w:p w:rsidR="009561AE" w:rsidRDefault="00D11232" w:rsidP="009561AE">
      <w:pPr>
        <w:spacing w:after="200" w:line="276" w:lineRule="auto"/>
        <w:ind w:firstLine="0"/>
        <w:contextualSpacing/>
        <w:jc w:val="lowKashida"/>
        <w:rPr>
          <w:rFonts w:ascii="Traditional Arabic" w:hAnsi="Traditional Arabic"/>
          <w:rtl/>
        </w:rPr>
      </w:pPr>
      <w:r w:rsidRPr="00C17B7B">
        <w:rPr>
          <w:rFonts w:ascii="Traditional Arabic" w:hAnsi="Traditional Arabic"/>
          <w:rtl/>
        </w:rPr>
        <w:t>قال ابن النجار: قرأت عليه كثيرا من مصنفاته، وصحبته مدة طويلة، وكان ثقة، متدينا،</w:t>
      </w:r>
      <w:r w:rsidR="00D148F0">
        <w:rPr>
          <w:rFonts w:ascii="Traditional Arabic" w:hAnsi="Traditional Arabic"/>
          <w:rtl/>
        </w:rPr>
        <w:t xml:space="preserve"> حسن الأخلاق، متواضعا. </w:t>
      </w:r>
    </w:p>
    <w:p w:rsidR="00D11232" w:rsidRPr="00C17B7B" w:rsidRDefault="00D148F0" w:rsidP="009561AE">
      <w:pPr>
        <w:spacing w:after="200" w:line="276" w:lineRule="auto"/>
        <w:ind w:firstLine="0"/>
        <w:contextualSpacing/>
        <w:jc w:val="lowKashida"/>
        <w:rPr>
          <w:rFonts w:ascii="Traditional Arabic" w:hAnsi="Traditional Arabic"/>
        </w:rPr>
      </w:pPr>
      <w:r>
        <w:rPr>
          <w:rFonts w:ascii="Traditional Arabic" w:hAnsi="Traditional Arabic"/>
          <w:rtl/>
        </w:rPr>
        <w:t>صاحب الت</w:t>
      </w:r>
      <w:r w:rsidR="00D11232" w:rsidRPr="00C17B7B">
        <w:rPr>
          <w:rFonts w:ascii="Traditional Arabic" w:hAnsi="Traditional Arabic"/>
          <w:rtl/>
        </w:rPr>
        <w:t>صانيف الكثيرة من أشهرها: تفسـير القرآن وإعرابه, وإعراب الحديث, شـرح الهداية لأبي الخطاب, شـرح الحماسة, توفي سنة 616هـ</w:t>
      </w:r>
      <w:r w:rsidRPr="00D148F0">
        <w:rPr>
          <w:rStyle w:val="ae"/>
          <w:rtl/>
        </w:rPr>
        <w:t>(</w:t>
      </w:r>
      <w:r>
        <w:rPr>
          <w:rStyle w:val="ae"/>
          <w:rtl/>
        </w:rPr>
        <w:footnoteReference w:id="40"/>
      </w:r>
      <w:r w:rsidRPr="00D148F0">
        <w:rPr>
          <w:rStyle w:val="ae"/>
          <w:rtl/>
        </w:rPr>
        <w:t>)</w:t>
      </w:r>
      <w:r w:rsidR="00D11232" w:rsidRPr="00C17B7B">
        <w:rPr>
          <w:rFonts w:ascii="Traditional Arabic" w:hAnsi="Traditional Arabic"/>
          <w:rtl/>
        </w:rPr>
        <w:t>.</w:t>
      </w:r>
    </w:p>
    <w:p w:rsidR="009561AE" w:rsidRDefault="00D11232" w:rsidP="00C443D8">
      <w:pPr>
        <w:numPr>
          <w:ilvl w:val="0"/>
          <w:numId w:val="1"/>
        </w:numPr>
        <w:spacing w:after="200" w:line="276" w:lineRule="auto"/>
        <w:ind w:left="0" w:firstLine="0"/>
        <w:contextualSpacing/>
        <w:jc w:val="lowKashida"/>
        <w:rPr>
          <w:rFonts w:ascii="Traditional Arabic" w:hAnsi="Traditional Arabic"/>
        </w:rPr>
      </w:pPr>
      <w:r w:rsidRPr="00C17B7B">
        <w:rPr>
          <w:rFonts w:ascii="Traditional Arabic" w:hAnsi="Traditional Arabic"/>
          <w:rtl/>
        </w:rPr>
        <w:t>ابن القطيعي: أبو الحـــــسن محمـــد بن أحمد</w:t>
      </w:r>
      <w:r w:rsidRPr="00C17B7B">
        <w:rPr>
          <w:rFonts w:ascii="Traditional Arabic" w:hAnsi="Traditional Arabic"/>
          <w:rtl/>
        </w:rPr>
        <w:fldChar w:fldCharType="begin"/>
      </w:r>
      <w:r w:rsidRPr="00C17B7B">
        <w:instrText xml:space="preserve"> XE "</w:instrText>
      </w:r>
      <w:r w:rsidRPr="00C17B7B">
        <w:rPr>
          <w:rFonts w:hint="eastAsia"/>
          <w:rtl/>
        </w:rPr>
        <w:instrText>فهرسالأعلام</w:instrText>
      </w:r>
      <w:r w:rsidRPr="00C17B7B">
        <w:rPr>
          <w:rtl/>
        </w:rPr>
        <w:instrText>:</w:instrText>
      </w:r>
      <w:r w:rsidRPr="00C17B7B">
        <w:rPr>
          <w:rFonts w:hint="eastAsia"/>
          <w:rtl/>
        </w:rPr>
        <w:instrText>أبوالحـــــسنمحمـــدبنأحمد</w:instrText>
      </w:r>
      <w:r w:rsidRPr="00C17B7B">
        <w:rPr>
          <w:rFonts w:hint="cs"/>
          <w:rtl/>
        </w:rPr>
        <w:instrText xml:space="preserve"> ابن القطيعي</w:instrText>
      </w:r>
      <w:r w:rsidRPr="00C17B7B">
        <w:instrText xml:space="preserve">" </w:instrText>
      </w:r>
      <w:r w:rsidRPr="00C17B7B">
        <w:rPr>
          <w:rFonts w:ascii="Traditional Arabic" w:hAnsi="Traditional Arabic"/>
          <w:rtl/>
        </w:rPr>
        <w:fldChar w:fldCharType="end"/>
      </w:r>
      <w:r w:rsidRPr="00C17B7B">
        <w:rPr>
          <w:rFonts w:ascii="Traditional Arabic" w:hAnsi="Traditional Arabic"/>
          <w:rtl/>
        </w:rPr>
        <w:t xml:space="preserve"> بن عمر بن حسـين بن خلف البغدادي المحدث المؤرخ, مسند العراق, سمع من يحيى بن سعدون القرطبي، </w:t>
      </w:r>
      <w:r w:rsidRPr="00C17B7B">
        <w:rPr>
          <w:rFonts w:ascii="Traditional Arabic" w:hAnsi="Traditional Arabic" w:hint="cs"/>
          <w:rtl/>
        </w:rPr>
        <w:t>و</w:t>
      </w:r>
      <w:r w:rsidRPr="00C17B7B">
        <w:rPr>
          <w:rFonts w:ascii="Traditional Arabic" w:hAnsi="Traditional Arabic"/>
          <w:rtl/>
        </w:rPr>
        <w:t>أبي الفضل الطوسي، وعبد الله بن عبد الواحد الكناني</w:t>
      </w:r>
      <w:r w:rsidRPr="00C17B7B">
        <w:rPr>
          <w:rFonts w:ascii="Traditional Arabic" w:hAnsi="Traditional Arabic" w:hint="cs"/>
          <w:rtl/>
        </w:rPr>
        <w:t xml:space="preserve">. </w:t>
      </w:r>
    </w:p>
    <w:p w:rsidR="00D11232" w:rsidRPr="00C17B7B" w:rsidRDefault="00D11232" w:rsidP="009561AE">
      <w:pPr>
        <w:spacing w:after="200" w:line="276" w:lineRule="auto"/>
        <w:ind w:firstLine="0"/>
        <w:contextualSpacing/>
        <w:jc w:val="lowKashida"/>
        <w:rPr>
          <w:rFonts w:ascii="Traditional Arabic" w:hAnsi="Traditional Arabic"/>
        </w:rPr>
      </w:pPr>
      <w:r w:rsidRPr="00C17B7B">
        <w:rPr>
          <w:rFonts w:ascii="Traditional Arabic" w:hAnsi="Traditional Arabic"/>
          <w:rtl/>
        </w:rPr>
        <w:t>وقد لزم الشيخ أبا الفرج ابن الجوزي، وقرأ عليه كثيرا من مصنفاته ، وأخذ عنه الوعظ,</w:t>
      </w:r>
      <w:r w:rsidR="00D148F0">
        <w:rPr>
          <w:rFonts w:ascii="Traditional Arabic" w:hAnsi="Traditional Arabic" w:hint="cs"/>
          <w:rtl/>
        </w:rPr>
        <w:t xml:space="preserve"> </w:t>
      </w:r>
      <w:r w:rsidRPr="00C17B7B">
        <w:rPr>
          <w:rFonts w:ascii="Traditional Arabic" w:hAnsi="Traditional Arabic"/>
          <w:rtl/>
        </w:rPr>
        <w:t>حدث عنه: ابن الدبيثي، وابن النجار، والسيف ابن المجد</w:t>
      </w:r>
      <w:r w:rsidRPr="00C17B7B">
        <w:rPr>
          <w:rFonts w:ascii="Traditional Arabic" w:hAnsi="Traditional Arabic" w:hint="cs"/>
          <w:rtl/>
        </w:rPr>
        <w:t>.</w:t>
      </w:r>
      <w:r w:rsidRPr="00C17B7B">
        <w:rPr>
          <w:rFonts w:ascii="Traditional Arabic" w:hAnsi="Traditional Arabic"/>
          <w:rtl/>
        </w:rPr>
        <w:t xml:space="preserve"> توفي سنة 634ه</w:t>
      </w:r>
      <w:r w:rsidR="00D148F0" w:rsidRPr="00D148F0">
        <w:rPr>
          <w:rStyle w:val="ae"/>
          <w:rtl/>
        </w:rPr>
        <w:t>(</w:t>
      </w:r>
      <w:r w:rsidR="00D148F0">
        <w:rPr>
          <w:rStyle w:val="ae"/>
          <w:rtl/>
        </w:rPr>
        <w:footnoteReference w:id="41"/>
      </w:r>
      <w:r w:rsidR="00D148F0" w:rsidRPr="00D148F0">
        <w:rPr>
          <w:rStyle w:val="ae"/>
          <w:rtl/>
        </w:rPr>
        <w:t>)</w:t>
      </w:r>
      <w:r w:rsidR="00D148F0">
        <w:rPr>
          <w:rFonts w:ascii="Traditional Arabic" w:hAnsi="Traditional Arabic" w:hint="cs"/>
          <w:rtl/>
        </w:rPr>
        <w:t>.</w:t>
      </w:r>
    </w:p>
    <w:p w:rsidR="009561AE" w:rsidRDefault="00D11232" w:rsidP="00C443D8">
      <w:pPr>
        <w:numPr>
          <w:ilvl w:val="0"/>
          <w:numId w:val="1"/>
        </w:numPr>
        <w:spacing w:after="200" w:line="276" w:lineRule="auto"/>
        <w:ind w:left="0" w:firstLine="0"/>
        <w:contextualSpacing/>
        <w:jc w:val="lowKashida"/>
        <w:rPr>
          <w:rFonts w:ascii="Traditional Arabic" w:hAnsi="Traditional Arabic"/>
        </w:rPr>
      </w:pPr>
      <w:r w:rsidRPr="00C17B7B">
        <w:rPr>
          <w:rFonts w:ascii="Traditional Arabic" w:hAnsi="Traditional Arabic"/>
          <w:rtl/>
        </w:rPr>
        <w:t>ابن الدبيثي: محمــــد بن سعيـــد بن يحيى</w:t>
      </w:r>
      <w:r w:rsidRPr="00C17B7B">
        <w:rPr>
          <w:rFonts w:ascii="Traditional Arabic" w:hAnsi="Traditional Arabic"/>
          <w:rtl/>
        </w:rPr>
        <w:fldChar w:fldCharType="begin"/>
      </w:r>
      <w:r w:rsidRPr="00C17B7B">
        <w:instrText xml:space="preserve"> XE "</w:instrText>
      </w:r>
      <w:r w:rsidRPr="00C17B7B">
        <w:rPr>
          <w:rFonts w:hint="eastAsia"/>
          <w:rtl/>
        </w:rPr>
        <w:instrText>فهرسالأعلام</w:instrText>
      </w:r>
      <w:r w:rsidRPr="00C17B7B">
        <w:rPr>
          <w:rtl/>
        </w:rPr>
        <w:instrText>:</w:instrText>
      </w:r>
      <w:r w:rsidRPr="00C17B7B">
        <w:rPr>
          <w:rFonts w:hint="eastAsia"/>
          <w:rtl/>
        </w:rPr>
        <w:instrText>محمــــدبنسعيـــدبنيحيى</w:instrText>
      </w:r>
      <w:r w:rsidRPr="00C17B7B">
        <w:rPr>
          <w:rFonts w:hint="cs"/>
          <w:rtl/>
        </w:rPr>
        <w:instrText xml:space="preserve"> الدبيثي</w:instrText>
      </w:r>
      <w:r w:rsidRPr="00C17B7B">
        <w:instrText xml:space="preserve">" </w:instrText>
      </w:r>
      <w:r w:rsidRPr="00C17B7B">
        <w:rPr>
          <w:rFonts w:ascii="Traditional Arabic" w:hAnsi="Traditional Arabic"/>
          <w:rtl/>
        </w:rPr>
        <w:fldChar w:fldCharType="end"/>
      </w:r>
      <w:r w:rsidRPr="00C17B7B">
        <w:rPr>
          <w:rFonts w:ascii="Traditional Arabic" w:hAnsi="Traditional Arabic"/>
          <w:rtl/>
        </w:rPr>
        <w:t xml:space="preserve"> بن علي الدبيثي الواسطي الشافعي, </w:t>
      </w:r>
      <w:r w:rsidRPr="00C17B7B">
        <w:rPr>
          <w:rFonts w:ascii="Traditional Arabic" w:hAnsi="Traditional Arabic"/>
          <w:rtl/>
        </w:rPr>
        <w:lastRenderedPageBreak/>
        <w:t>مؤرخ بغداد, كان عالماً بالقراءة والحديث والأدب والتاريخ, سمع من: أبي طالب الكتاني، وهبة الله بن قسام</w:t>
      </w:r>
      <w:r w:rsidRPr="00C17B7B">
        <w:rPr>
          <w:rFonts w:ascii="Traditional Arabic" w:hAnsi="Traditional Arabic" w:hint="cs"/>
          <w:rtl/>
        </w:rPr>
        <w:t xml:space="preserve"> وعدة، و</w:t>
      </w:r>
      <w:r w:rsidRPr="00C17B7B">
        <w:rPr>
          <w:rFonts w:ascii="Traditional Arabic" w:hAnsi="Traditional Arabic"/>
          <w:rtl/>
        </w:rPr>
        <w:t>تفقه على ابن الجوزي</w:t>
      </w:r>
      <w:r w:rsidRPr="00C17B7B">
        <w:rPr>
          <w:rFonts w:ascii="Traditional Arabic" w:hAnsi="Traditional Arabic" w:hint="cs"/>
          <w:rtl/>
        </w:rPr>
        <w:t>.</w:t>
      </w:r>
      <w:r w:rsidRPr="00C17B7B">
        <w:rPr>
          <w:rFonts w:ascii="Traditional Arabic" w:hAnsi="Traditional Arabic"/>
          <w:rtl/>
        </w:rPr>
        <w:t xml:space="preserve"> </w:t>
      </w:r>
    </w:p>
    <w:p w:rsidR="009561AE" w:rsidRDefault="00D11232" w:rsidP="009561AE">
      <w:pPr>
        <w:spacing w:after="200" w:line="276" w:lineRule="auto"/>
        <w:ind w:firstLine="0"/>
        <w:contextualSpacing/>
        <w:jc w:val="lowKashida"/>
        <w:rPr>
          <w:rFonts w:ascii="Traditional Arabic" w:hAnsi="Traditional Arabic"/>
          <w:rtl/>
        </w:rPr>
      </w:pPr>
      <w:r w:rsidRPr="00C17B7B">
        <w:rPr>
          <w:rFonts w:ascii="Traditional Arabic" w:hAnsi="Traditional Arabic"/>
          <w:rtl/>
        </w:rPr>
        <w:t xml:space="preserve">حدث عنه: ابن النجار، وأبو بكر بن نقطة، وأبو عبد الله البرزالي وآخرون. </w:t>
      </w:r>
    </w:p>
    <w:p w:rsidR="00D11232" w:rsidRPr="00C17B7B" w:rsidRDefault="00D11232" w:rsidP="009561AE">
      <w:pPr>
        <w:spacing w:after="200" w:line="276" w:lineRule="auto"/>
        <w:ind w:firstLine="0"/>
        <w:contextualSpacing/>
        <w:jc w:val="lowKashida"/>
        <w:rPr>
          <w:rFonts w:ascii="Traditional Arabic" w:hAnsi="Traditional Arabic"/>
        </w:rPr>
      </w:pPr>
      <w:r w:rsidRPr="00C17B7B">
        <w:rPr>
          <w:rFonts w:ascii="Traditional Arabic" w:hAnsi="Traditional Arabic"/>
          <w:rtl/>
        </w:rPr>
        <w:t>قال الحافظ محب الدين ابن النجار</w:t>
      </w:r>
      <w:r w:rsidRPr="00C17B7B">
        <w:rPr>
          <w:rFonts w:ascii="Traditional Arabic" w:hAnsi="Traditional Arabic" w:hint="cs"/>
          <w:rtl/>
        </w:rPr>
        <w:t>:</w:t>
      </w:r>
      <w:r w:rsidRPr="00C17B7B">
        <w:rPr>
          <w:rFonts w:ascii="Traditional Arabic" w:hAnsi="Traditional Arabic"/>
          <w:rtl/>
        </w:rPr>
        <w:t xml:space="preserve"> صحبته عدة سنين</w:t>
      </w:r>
      <w:r w:rsidRPr="00C17B7B">
        <w:rPr>
          <w:rFonts w:ascii="Traditional Arabic" w:hAnsi="Traditional Arabic" w:hint="cs"/>
          <w:rtl/>
        </w:rPr>
        <w:t>،</w:t>
      </w:r>
      <w:r w:rsidR="0000591D">
        <w:rPr>
          <w:rFonts w:ascii="Traditional Arabic" w:hAnsi="Traditional Arabic" w:hint="cs"/>
          <w:rtl/>
        </w:rPr>
        <w:t xml:space="preserve"> </w:t>
      </w:r>
      <w:r w:rsidRPr="00C17B7B">
        <w:rPr>
          <w:rFonts w:ascii="Traditional Arabic" w:hAnsi="Traditional Arabic" w:hint="cs"/>
          <w:rtl/>
        </w:rPr>
        <w:t>ف</w:t>
      </w:r>
      <w:r w:rsidRPr="00C17B7B">
        <w:rPr>
          <w:rFonts w:ascii="Traditional Arabic" w:hAnsi="Traditional Arabic"/>
          <w:rtl/>
        </w:rPr>
        <w:t>ما رأت عيناي مثله في حفظ السير والتواريخ وأيام الناس -رحمه الله-. توفي سنة 637هـ</w:t>
      </w:r>
      <w:r w:rsidR="002F19D8" w:rsidRPr="002F19D8">
        <w:rPr>
          <w:rStyle w:val="ae"/>
          <w:rtl/>
        </w:rPr>
        <w:t>(</w:t>
      </w:r>
      <w:r w:rsidR="002F19D8">
        <w:rPr>
          <w:rStyle w:val="ae"/>
          <w:rtl/>
        </w:rPr>
        <w:footnoteReference w:id="42"/>
      </w:r>
      <w:r w:rsidR="002F19D8" w:rsidRPr="002F19D8">
        <w:rPr>
          <w:rStyle w:val="ae"/>
          <w:rtl/>
        </w:rPr>
        <w:t>)</w:t>
      </w:r>
      <w:r w:rsidRPr="00C17B7B">
        <w:rPr>
          <w:rFonts w:ascii="Traditional Arabic" w:hAnsi="Traditional Arabic"/>
          <w:rtl/>
        </w:rPr>
        <w:t>.</w:t>
      </w:r>
    </w:p>
    <w:p w:rsidR="009561AE" w:rsidRDefault="00D11232" w:rsidP="00E025BC">
      <w:pPr>
        <w:numPr>
          <w:ilvl w:val="0"/>
          <w:numId w:val="1"/>
        </w:numPr>
        <w:spacing w:after="200" w:line="276" w:lineRule="auto"/>
        <w:ind w:left="0" w:firstLine="0"/>
        <w:contextualSpacing/>
        <w:jc w:val="lowKashida"/>
        <w:rPr>
          <w:rFonts w:ascii="Traditional Arabic" w:hAnsi="Traditional Arabic"/>
        </w:rPr>
      </w:pPr>
      <w:r w:rsidRPr="00C17B7B">
        <w:rPr>
          <w:rFonts w:ascii="Traditional Arabic" w:hAnsi="Traditional Arabic"/>
          <w:rtl/>
        </w:rPr>
        <w:t>ابن النجار: عبــــــدالله محمــــد بن محمود</w:t>
      </w:r>
      <w:r w:rsidRPr="00C17B7B">
        <w:rPr>
          <w:rFonts w:ascii="Traditional Arabic" w:hAnsi="Traditional Arabic"/>
          <w:rtl/>
        </w:rPr>
        <w:fldChar w:fldCharType="begin"/>
      </w:r>
      <w:r w:rsidRPr="00C17B7B">
        <w:instrText xml:space="preserve"> XE "</w:instrText>
      </w:r>
      <w:r w:rsidRPr="00C17B7B">
        <w:rPr>
          <w:rFonts w:hint="eastAsia"/>
          <w:rtl/>
        </w:rPr>
        <w:instrText>فهرسالأعلام</w:instrText>
      </w:r>
      <w:r w:rsidRPr="00C17B7B">
        <w:rPr>
          <w:rtl/>
        </w:rPr>
        <w:instrText>:</w:instrText>
      </w:r>
      <w:r w:rsidRPr="00C17B7B">
        <w:rPr>
          <w:rFonts w:hint="eastAsia"/>
          <w:rtl/>
        </w:rPr>
        <w:instrText>عبــــــداللهمحمــــدبنمحمود</w:instrText>
      </w:r>
      <w:r w:rsidRPr="00C17B7B">
        <w:rPr>
          <w:rFonts w:hint="cs"/>
          <w:rtl/>
        </w:rPr>
        <w:instrText xml:space="preserve"> المعروف بابن النجار</w:instrText>
      </w:r>
      <w:r w:rsidRPr="00C17B7B">
        <w:instrText xml:space="preserve">" </w:instrText>
      </w:r>
      <w:r w:rsidRPr="00C17B7B">
        <w:rPr>
          <w:rFonts w:ascii="Traditional Arabic" w:hAnsi="Traditional Arabic"/>
          <w:rtl/>
        </w:rPr>
        <w:fldChar w:fldCharType="end"/>
      </w:r>
      <w:r w:rsidRPr="00C17B7B">
        <w:rPr>
          <w:rFonts w:ascii="Traditional Arabic" w:hAnsi="Traditional Arabic"/>
          <w:rtl/>
        </w:rPr>
        <w:t xml:space="preserve"> بن الحسن بن هبة الله بن محاسن, محب الدين, المعروف بابن النجار البغدادي, المحدث المؤرخ الأديب, رحل إلى الشام ومصـر وأصفهان وخراسان والحجاز ومرو ونيسابور واليمن وغيرها, ودامت رحلته سبعا وعشـرين عاما</w:t>
      </w:r>
      <w:r w:rsidRPr="00C17B7B">
        <w:rPr>
          <w:rFonts w:ascii="Traditional Arabic" w:hAnsi="Traditional Arabic" w:hint="cs"/>
          <w:rtl/>
        </w:rPr>
        <w:t>.</w:t>
      </w:r>
      <w:r w:rsidR="0000591D">
        <w:rPr>
          <w:rFonts w:ascii="Traditional Arabic" w:hAnsi="Traditional Arabic" w:hint="cs"/>
          <w:rtl/>
        </w:rPr>
        <w:t xml:space="preserve"> </w:t>
      </w:r>
    </w:p>
    <w:p w:rsidR="009561AE" w:rsidRDefault="00D11232" w:rsidP="009561AE">
      <w:pPr>
        <w:spacing w:after="200" w:line="276" w:lineRule="auto"/>
        <w:ind w:firstLine="0"/>
        <w:contextualSpacing/>
        <w:jc w:val="lowKashida"/>
        <w:rPr>
          <w:rFonts w:ascii="Traditional Arabic" w:hAnsi="Traditional Arabic"/>
          <w:rtl/>
        </w:rPr>
      </w:pPr>
      <w:r w:rsidRPr="00C17B7B">
        <w:rPr>
          <w:rFonts w:ascii="Traditional Arabic" w:hAnsi="Traditional Arabic"/>
          <w:rtl/>
        </w:rPr>
        <w:t>سمع من: أبي الفرج عبد المنعم بن كليب، ويحيى بن بوشوذاكر بن كامل، والمبارك بن المعطوش</w:t>
      </w:r>
      <w:r w:rsidRPr="00C17B7B">
        <w:rPr>
          <w:rFonts w:ascii="Traditional Arabic" w:hAnsi="Traditional Arabic" w:hint="cs"/>
          <w:rtl/>
        </w:rPr>
        <w:t xml:space="preserve"> وغيرهم.</w:t>
      </w:r>
      <w:r w:rsidR="0000591D">
        <w:rPr>
          <w:rFonts w:ascii="Traditional Arabic" w:hAnsi="Traditional Arabic" w:hint="cs"/>
          <w:rtl/>
        </w:rPr>
        <w:t xml:space="preserve"> </w:t>
      </w:r>
      <w:r w:rsidRPr="00C17B7B">
        <w:rPr>
          <w:rFonts w:ascii="Traditional Arabic" w:hAnsi="Traditional Arabic"/>
          <w:rtl/>
        </w:rPr>
        <w:t>حدث عنه: أبو حامد ابن الصابوني، وأبو العباس الفاروثي، وأبو بكر الشريشي</w:t>
      </w:r>
      <w:r w:rsidR="0000591D">
        <w:rPr>
          <w:rFonts w:ascii="Traditional Arabic" w:hAnsi="Traditional Arabic" w:hint="cs"/>
          <w:rtl/>
        </w:rPr>
        <w:t xml:space="preserve"> </w:t>
      </w:r>
      <w:r w:rsidRPr="00C17B7B">
        <w:rPr>
          <w:rFonts w:ascii="Traditional Arabic" w:hAnsi="Traditional Arabic"/>
          <w:rtl/>
        </w:rPr>
        <w:t xml:space="preserve">وآخرون. </w:t>
      </w:r>
    </w:p>
    <w:p w:rsidR="00D11232" w:rsidRPr="00C17B7B" w:rsidRDefault="00D11232" w:rsidP="009561AE">
      <w:pPr>
        <w:spacing w:after="200" w:line="276" w:lineRule="auto"/>
        <w:ind w:firstLine="0"/>
        <w:contextualSpacing/>
        <w:jc w:val="lowKashida"/>
        <w:rPr>
          <w:rFonts w:ascii="Traditional Arabic" w:hAnsi="Traditional Arabic"/>
        </w:rPr>
      </w:pPr>
      <w:r w:rsidRPr="00C17B7B">
        <w:rPr>
          <w:rFonts w:ascii="Traditional Arabic" w:hAnsi="Traditional Arabic"/>
          <w:rtl/>
        </w:rPr>
        <w:t>خلّف مصنفات كثيرة في مختلف الفنون والمعارف منها: ذيل تاريخ بغداد, أنساب المحدثين إلى الأدباء والبلدان, مناقب الشافعي, إخبار المشتاق إلى أخبار العشاق, توفي سنة 643ه</w:t>
      </w:r>
      <w:r w:rsidR="002F19D8" w:rsidRPr="002F19D8">
        <w:rPr>
          <w:rStyle w:val="ae"/>
          <w:rtl/>
        </w:rPr>
        <w:t>(</w:t>
      </w:r>
      <w:r w:rsidR="002F19D8">
        <w:rPr>
          <w:rStyle w:val="ae"/>
          <w:rtl/>
        </w:rPr>
        <w:footnoteReference w:id="43"/>
      </w:r>
      <w:r w:rsidR="002F19D8" w:rsidRPr="002F19D8">
        <w:rPr>
          <w:rStyle w:val="ae"/>
          <w:rtl/>
        </w:rPr>
        <w:t>)</w:t>
      </w:r>
      <w:r w:rsidR="002F19D8">
        <w:rPr>
          <w:rFonts w:ascii="Traditional Arabic" w:hAnsi="Traditional Arabic" w:hint="cs"/>
          <w:rtl/>
        </w:rPr>
        <w:t>.</w:t>
      </w:r>
    </w:p>
    <w:p w:rsidR="00D11232" w:rsidRPr="00C17B7B" w:rsidRDefault="00D11232" w:rsidP="00C443D8">
      <w:pPr>
        <w:numPr>
          <w:ilvl w:val="0"/>
          <w:numId w:val="1"/>
        </w:numPr>
        <w:spacing w:after="200" w:line="276" w:lineRule="auto"/>
        <w:ind w:left="0" w:firstLine="0"/>
        <w:contextualSpacing/>
        <w:jc w:val="lowKashida"/>
        <w:rPr>
          <w:rFonts w:ascii="Traditional Arabic" w:hAnsi="Traditional Arabic"/>
          <w:spacing w:val="-6"/>
        </w:rPr>
      </w:pPr>
      <w:r w:rsidRPr="00C17B7B">
        <w:rPr>
          <w:rFonts w:ascii="Traditional Arabic" w:hAnsi="Traditional Arabic"/>
          <w:spacing w:val="-6"/>
          <w:rtl/>
        </w:rPr>
        <w:t>ابنه محـــــي الدين يوسف</w:t>
      </w:r>
      <w:r w:rsidRPr="00C17B7B">
        <w:rPr>
          <w:rFonts w:ascii="Traditional Arabic" w:hAnsi="Traditional Arabic"/>
          <w:spacing w:val="-6"/>
          <w:rtl/>
        </w:rPr>
        <w:fldChar w:fldCharType="begin"/>
      </w:r>
      <w:r w:rsidRPr="00C17B7B">
        <w:instrText xml:space="preserve"> XE "</w:instrText>
      </w:r>
      <w:r w:rsidRPr="00C17B7B">
        <w:rPr>
          <w:rFonts w:hint="eastAsia"/>
          <w:rtl/>
        </w:rPr>
        <w:instrText>فهرسالأعلام</w:instrText>
      </w:r>
      <w:r w:rsidRPr="00C17B7B">
        <w:rPr>
          <w:rtl/>
        </w:rPr>
        <w:instrText>:</w:instrText>
      </w:r>
      <w:r w:rsidRPr="00C17B7B">
        <w:rPr>
          <w:rFonts w:hint="eastAsia"/>
          <w:rtl/>
        </w:rPr>
        <w:instrText>محـــــيالدينيوسف</w:instrText>
      </w:r>
      <w:r w:rsidRPr="00C17B7B">
        <w:instrText xml:space="preserve">" </w:instrText>
      </w:r>
      <w:r w:rsidRPr="00C17B7B">
        <w:rPr>
          <w:rFonts w:ascii="Traditional Arabic" w:hAnsi="Traditional Arabic"/>
          <w:spacing w:val="-6"/>
          <w:rtl/>
        </w:rPr>
        <w:fldChar w:fldCharType="end"/>
      </w:r>
      <w:r w:rsidRPr="00C17B7B">
        <w:rPr>
          <w:rFonts w:ascii="Traditional Arabic" w:hAnsi="Traditional Arabic"/>
          <w:spacing w:val="-6"/>
          <w:rtl/>
        </w:rPr>
        <w:t xml:space="preserve">: أصغر أولاده وأنجبهم سمع من أبيه ومن غيره وعمل بالوعظ وهو صبي, تصدر للفقه والوعظ ووصل إلى منصب سفير الخليفة إلى ملوك الأطراف, أسس المدرسة الجوزية في </w:t>
      </w:r>
      <w:r w:rsidR="004E0C79">
        <w:rPr>
          <w:rFonts w:ascii="Traditional Arabic" w:hAnsi="Traditional Arabic"/>
          <w:spacing w:val="-6"/>
          <w:rtl/>
        </w:rPr>
        <w:t xml:space="preserve">دمشق وإليها ينتسب العلامة ابن </w:t>
      </w:r>
      <w:r w:rsidRPr="00C17B7B">
        <w:rPr>
          <w:rFonts w:ascii="Traditional Arabic" w:hAnsi="Traditional Arabic"/>
          <w:spacing w:val="-6"/>
          <w:rtl/>
        </w:rPr>
        <w:t xml:space="preserve">قيم الجوزية, له تصانيف عدة منها: المذهب الأحمد في مذهب أحمد, معادن الإبريز في تفسـير الكتاب العزيز, الإيضاح في </w:t>
      </w:r>
      <w:r w:rsidRPr="00C17B7B">
        <w:rPr>
          <w:rFonts w:ascii="Traditional Arabic" w:hAnsi="Traditional Arabic"/>
          <w:spacing w:val="-6"/>
          <w:rtl/>
        </w:rPr>
        <w:lastRenderedPageBreak/>
        <w:t>الجدل, قتل وأولاده الثلاثة صبراً مع الخليفة المعتصم على يد التتار سنة 656ه</w:t>
      </w:r>
      <w:r w:rsidR="002F19D8" w:rsidRPr="002F19D8">
        <w:rPr>
          <w:rStyle w:val="ae"/>
          <w:rtl/>
        </w:rPr>
        <w:t>(</w:t>
      </w:r>
      <w:r w:rsidR="002F19D8">
        <w:rPr>
          <w:rStyle w:val="ae"/>
          <w:rtl/>
        </w:rPr>
        <w:footnoteReference w:id="44"/>
      </w:r>
      <w:r w:rsidR="002F19D8" w:rsidRPr="002F19D8">
        <w:rPr>
          <w:rStyle w:val="ae"/>
          <w:rtl/>
        </w:rPr>
        <w:t>)</w:t>
      </w:r>
      <w:r w:rsidR="002F19D8">
        <w:rPr>
          <w:rFonts w:ascii="Traditional Arabic" w:hAnsi="Traditional Arabic" w:hint="cs"/>
          <w:spacing w:val="-6"/>
          <w:rtl/>
        </w:rPr>
        <w:t>.</w:t>
      </w:r>
    </w:p>
    <w:p w:rsidR="009561AE" w:rsidRPr="009561AE" w:rsidRDefault="00D11232" w:rsidP="009561AE">
      <w:pPr>
        <w:spacing w:line="276" w:lineRule="auto"/>
        <w:contextualSpacing/>
        <w:jc w:val="center"/>
        <w:rPr>
          <w:rFonts w:ascii="Traditional Arabic" w:eastAsia="Calibri" w:hAnsi="Traditional Arabic"/>
          <w:color w:val="auto"/>
          <w:szCs w:val="32"/>
          <w:rtl/>
        </w:rPr>
      </w:pPr>
      <w:r w:rsidRPr="00C17B7B">
        <w:rPr>
          <w:rFonts w:ascii="Traditional Arabic" w:eastAsia="Calibri" w:hAnsi="Traditional Arabic" w:cs="DecoType Naskh" w:hint="cs"/>
          <w:color w:val="auto"/>
          <w:szCs w:val="32"/>
          <w:rtl/>
        </w:rPr>
        <w:t>***</w:t>
      </w:r>
      <w:r w:rsidRPr="00C17B7B">
        <w:rPr>
          <w:rFonts w:ascii="Traditional Arabic" w:eastAsia="Calibri" w:hAnsi="Traditional Arabic" w:cs="DecoType Naskh" w:hint="cs"/>
          <w:color w:val="auto"/>
          <w:szCs w:val="32"/>
          <w:rtl/>
        </w:rPr>
        <w:tab/>
      </w:r>
      <w:r w:rsidRPr="00C17B7B">
        <w:rPr>
          <w:rFonts w:ascii="Traditional Arabic" w:eastAsia="Calibri" w:hAnsi="Traditional Arabic" w:cs="DecoType Naskh" w:hint="cs"/>
          <w:color w:val="auto"/>
          <w:szCs w:val="32"/>
          <w:rtl/>
        </w:rPr>
        <w:tab/>
        <w:t>***</w:t>
      </w:r>
      <w:r w:rsidRPr="00C17B7B">
        <w:rPr>
          <w:rFonts w:ascii="Traditional Arabic" w:eastAsia="Calibri" w:hAnsi="Traditional Arabic" w:cs="DecoType Naskh" w:hint="cs"/>
          <w:color w:val="auto"/>
          <w:szCs w:val="32"/>
          <w:rtl/>
        </w:rPr>
        <w:tab/>
      </w:r>
      <w:r w:rsidRPr="00C17B7B">
        <w:rPr>
          <w:rFonts w:ascii="Traditional Arabic" w:eastAsia="Calibri" w:hAnsi="Traditional Arabic" w:cs="DecoType Naskh" w:hint="cs"/>
          <w:color w:val="auto"/>
          <w:szCs w:val="32"/>
          <w:rtl/>
        </w:rPr>
        <w:tab/>
        <w:t>***</w:t>
      </w:r>
    </w:p>
    <w:p w:rsidR="009561AE" w:rsidRDefault="009561AE" w:rsidP="002F19D8">
      <w:pPr>
        <w:keepNext/>
        <w:ind w:firstLine="0"/>
        <w:contextualSpacing/>
        <w:outlineLvl w:val="2"/>
        <w:rPr>
          <w:rFonts w:ascii="Arial" w:hAnsi="Arial"/>
          <w:b/>
          <w:bCs/>
          <w:noProof/>
          <w:sz w:val="26"/>
          <w:szCs w:val="40"/>
          <w:rtl/>
        </w:rPr>
      </w:pPr>
    </w:p>
    <w:p w:rsidR="009561AE" w:rsidRDefault="009561AE" w:rsidP="002F19D8">
      <w:pPr>
        <w:keepNext/>
        <w:ind w:firstLine="0"/>
        <w:contextualSpacing/>
        <w:outlineLvl w:val="2"/>
        <w:rPr>
          <w:rFonts w:ascii="Arial" w:hAnsi="Arial"/>
          <w:b/>
          <w:bCs/>
          <w:noProof/>
          <w:sz w:val="26"/>
          <w:szCs w:val="40"/>
          <w:rtl/>
        </w:rPr>
      </w:pPr>
    </w:p>
    <w:p w:rsidR="009561AE" w:rsidRDefault="009561AE" w:rsidP="002F19D8">
      <w:pPr>
        <w:keepNext/>
        <w:ind w:firstLine="0"/>
        <w:contextualSpacing/>
        <w:outlineLvl w:val="2"/>
        <w:rPr>
          <w:rFonts w:ascii="Arial" w:hAnsi="Arial"/>
          <w:b/>
          <w:bCs/>
          <w:noProof/>
          <w:sz w:val="26"/>
          <w:szCs w:val="40"/>
          <w:rtl/>
        </w:rPr>
      </w:pPr>
    </w:p>
    <w:p w:rsidR="009561AE" w:rsidRDefault="009561AE" w:rsidP="002F19D8">
      <w:pPr>
        <w:keepNext/>
        <w:ind w:firstLine="0"/>
        <w:contextualSpacing/>
        <w:outlineLvl w:val="2"/>
        <w:rPr>
          <w:rFonts w:ascii="Arial" w:hAnsi="Arial"/>
          <w:b/>
          <w:bCs/>
          <w:noProof/>
          <w:sz w:val="26"/>
          <w:szCs w:val="40"/>
          <w:rtl/>
        </w:rPr>
      </w:pPr>
    </w:p>
    <w:p w:rsidR="009561AE" w:rsidRDefault="009561AE" w:rsidP="009561AE">
      <w:pPr>
        <w:keepNext/>
        <w:ind w:firstLine="0"/>
        <w:contextualSpacing/>
        <w:outlineLvl w:val="2"/>
        <w:rPr>
          <w:rFonts w:ascii="Arial" w:hAnsi="Arial"/>
          <w:b/>
          <w:bCs/>
          <w:noProof/>
          <w:sz w:val="26"/>
          <w:szCs w:val="40"/>
          <w:rtl/>
        </w:rPr>
      </w:pPr>
    </w:p>
    <w:p w:rsidR="009561AE" w:rsidRDefault="009561AE" w:rsidP="002F19D8">
      <w:pPr>
        <w:keepNext/>
        <w:ind w:firstLine="0"/>
        <w:contextualSpacing/>
        <w:outlineLvl w:val="2"/>
        <w:rPr>
          <w:rFonts w:ascii="Arial" w:hAnsi="Arial"/>
          <w:b/>
          <w:bCs/>
          <w:noProof/>
          <w:sz w:val="26"/>
          <w:szCs w:val="40"/>
          <w:rtl/>
        </w:rPr>
      </w:pPr>
    </w:p>
    <w:p w:rsidR="009561AE" w:rsidRDefault="009561AE" w:rsidP="002F19D8">
      <w:pPr>
        <w:keepNext/>
        <w:ind w:firstLine="0"/>
        <w:contextualSpacing/>
        <w:outlineLvl w:val="2"/>
        <w:rPr>
          <w:rFonts w:ascii="Arial" w:hAnsi="Arial"/>
          <w:b/>
          <w:bCs/>
          <w:noProof/>
          <w:sz w:val="26"/>
          <w:szCs w:val="40"/>
          <w:rtl/>
        </w:rPr>
      </w:pPr>
    </w:p>
    <w:p w:rsidR="009561AE" w:rsidRDefault="009561AE" w:rsidP="002F19D8">
      <w:pPr>
        <w:keepNext/>
        <w:ind w:firstLine="0"/>
        <w:contextualSpacing/>
        <w:outlineLvl w:val="2"/>
        <w:rPr>
          <w:rFonts w:ascii="Arial" w:hAnsi="Arial"/>
          <w:b/>
          <w:bCs/>
          <w:noProof/>
          <w:sz w:val="26"/>
          <w:szCs w:val="40"/>
          <w:rtl/>
        </w:rPr>
      </w:pPr>
    </w:p>
    <w:p w:rsidR="009561AE" w:rsidRDefault="009561AE" w:rsidP="002F19D8">
      <w:pPr>
        <w:keepNext/>
        <w:ind w:firstLine="0"/>
        <w:contextualSpacing/>
        <w:outlineLvl w:val="2"/>
        <w:rPr>
          <w:rFonts w:ascii="Arial" w:hAnsi="Arial"/>
          <w:b/>
          <w:bCs/>
          <w:noProof/>
          <w:sz w:val="26"/>
          <w:szCs w:val="40"/>
          <w:rtl/>
        </w:rPr>
      </w:pPr>
    </w:p>
    <w:p w:rsidR="009561AE" w:rsidRDefault="009561AE" w:rsidP="002F19D8">
      <w:pPr>
        <w:keepNext/>
        <w:ind w:firstLine="0"/>
        <w:contextualSpacing/>
        <w:outlineLvl w:val="2"/>
        <w:rPr>
          <w:rFonts w:ascii="Arial" w:hAnsi="Arial"/>
          <w:b/>
          <w:bCs/>
          <w:noProof/>
          <w:sz w:val="26"/>
          <w:szCs w:val="40"/>
          <w:rtl/>
        </w:rPr>
      </w:pPr>
    </w:p>
    <w:p w:rsidR="009561AE" w:rsidRDefault="009561AE" w:rsidP="002F19D8">
      <w:pPr>
        <w:keepNext/>
        <w:ind w:firstLine="0"/>
        <w:contextualSpacing/>
        <w:outlineLvl w:val="2"/>
        <w:rPr>
          <w:rFonts w:ascii="Arial" w:hAnsi="Arial"/>
          <w:b/>
          <w:bCs/>
          <w:noProof/>
          <w:sz w:val="26"/>
          <w:szCs w:val="40"/>
          <w:rtl/>
        </w:rPr>
      </w:pPr>
    </w:p>
    <w:p w:rsidR="009561AE" w:rsidRDefault="009561AE" w:rsidP="002F19D8">
      <w:pPr>
        <w:keepNext/>
        <w:ind w:firstLine="0"/>
        <w:contextualSpacing/>
        <w:outlineLvl w:val="2"/>
        <w:rPr>
          <w:rFonts w:ascii="Arial" w:hAnsi="Arial"/>
          <w:b/>
          <w:bCs/>
          <w:noProof/>
          <w:sz w:val="26"/>
          <w:szCs w:val="40"/>
          <w:rtl/>
        </w:rPr>
      </w:pPr>
    </w:p>
    <w:p w:rsidR="009561AE" w:rsidRDefault="009561AE" w:rsidP="002F19D8">
      <w:pPr>
        <w:keepNext/>
        <w:ind w:firstLine="0"/>
        <w:contextualSpacing/>
        <w:outlineLvl w:val="2"/>
        <w:rPr>
          <w:rFonts w:ascii="Arial" w:hAnsi="Arial"/>
          <w:b/>
          <w:bCs/>
          <w:noProof/>
          <w:sz w:val="26"/>
          <w:szCs w:val="40"/>
          <w:rtl/>
        </w:rPr>
      </w:pPr>
    </w:p>
    <w:p w:rsidR="009561AE" w:rsidRDefault="009561AE" w:rsidP="002F19D8">
      <w:pPr>
        <w:keepNext/>
        <w:ind w:firstLine="0"/>
        <w:contextualSpacing/>
        <w:outlineLvl w:val="2"/>
        <w:rPr>
          <w:rFonts w:ascii="Arial" w:hAnsi="Arial"/>
          <w:b/>
          <w:bCs/>
          <w:noProof/>
          <w:sz w:val="26"/>
          <w:szCs w:val="40"/>
          <w:rtl/>
        </w:rPr>
      </w:pPr>
    </w:p>
    <w:p w:rsidR="009561AE" w:rsidRDefault="009561AE" w:rsidP="002F19D8">
      <w:pPr>
        <w:keepNext/>
        <w:ind w:firstLine="0"/>
        <w:contextualSpacing/>
        <w:outlineLvl w:val="2"/>
        <w:rPr>
          <w:rFonts w:ascii="Arial" w:hAnsi="Arial"/>
          <w:b/>
          <w:bCs/>
          <w:noProof/>
          <w:sz w:val="26"/>
          <w:szCs w:val="40"/>
          <w:rtl/>
        </w:rPr>
      </w:pPr>
    </w:p>
    <w:p w:rsidR="009561AE" w:rsidRDefault="009561AE" w:rsidP="002F19D8">
      <w:pPr>
        <w:keepNext/>
        <w:ind w:firstLine="0"/>
        <w:contextualSpacing/>
        <w:outlineLvl w:val="2"/>
        <w:rPr>
          <w:rFonts w:ascii="Arial" w:hAnsi="Arial"/>
          <w:b/>
          <w:bCs/>
          <w:noProof/>
          <w:sz w:val="26"/>
          <w:szCs w:val="40"/>
          <w:rtl/>
        </w:rPr>
      </w:pPr>
    </w:p>
    <w:p w:rsidR="009561AE" w:rsidRDefault="009561AE" w:rsidP="002F19D8">
      <w:pPr>
        <w:keepNext/>
        <w:ind w:firstLine="0"/>
        <w:contextualSpacing/>
        <w:outlineLvl w:val="2"/>
        <w:rPr>
          <w:rFonts w:ascii="Arial" w:hAnsi="Arial"/>
          <w:b/>
          <w:bCs/>
          <w:noProof/>
          <w:sz w:val="26"/>
          <w:szCs w:val="40"/>
          <w:rtl/>
        </w:rPr>
      </w:pPr>
    </w:p>
    <w:p w:rsidR="009561AE" w:rsidRDefault="009561AE" w:rsidP="009561AE">
      <w:pPr>
        <w:spacing w:line="276" w:lineRule="auto"/>
        <w:ind w:firstLine="0"/>
        <w:contextualSpacing/>
        <w:jc w:val="lowKashida"/>
        <w:rPr>
          <w:rFonts w:ascii="Arial" w:hAnsi="Arial"/>
          <w:b/>
          <w:bCs/>
          <w:noProof/>
          <w:sz w:val="26"/>
          <w:szCs w:val="40"/>
          <w:rtl/>
        </w:rPr>
      </w:pPr>
    </w:p>
    <w:p w:rsidR="009561AE" w:rsidRPr="009561AE" w:rsidRDefault="009561AE" w:rsidP="009561AE">
      <w:pPr>
        <w:spacing w:line="276" w:lineRule="auto"/>
        <w:ind w:firstLine="0"/>
        <w:contextualSpacing/>
        <w:jc w:val="lowKashida"/>
        <w:rPr>
          <w:rFonts w:ascii="Traditional Arabic" w:eastAsia="Calibri" w:hAnsi="Traditional Arabic"/>
          <w:b/>
          <w:bCs/>
          <w:color w:val="auto"/>
          <w:rtl/>
        </w:rPr>
      </w:pPr>
      <w:r w:rsidRPr="009561AE">
        <w:rPr>
          <w:rFonts w:ascii="Traditional Arabic" w:eastAsia="Calibri" w:hAnsi="Traditional Arabic" w:hint="cs"/>
          <w:b/>
          <w:bCs/>
          <w:color w:val="auto"/>
          <w:rtl/>
        </w:rPr>
        <w:lastRenderedPageBreak/>
        <w:t>المبحث الرابع: عقيدته:</w:t>
      </w:r>
    </w:p>
    <w:p w:rsidR="009561AE" w:rsidRPr="00C17B7B" w:rsidRDefault="009561AE" w:rsidP="009561AE">
      <w:pPr>
        <w:spacing w:line="276" w:lineRule="auto"/>
        <w:ind w:firstLine="0"/>
        <w:contextualSpacing/>
        <w:jc w:val="lowKashida"/>
        <w:rPr>
          <w:rFonts w:ascii="Traditional Arabic" w:eastAsia="Calibri" w:hAnsi="Traditional Arabic"/>
          <w:color w:val="auto"/>
          <w:rtl/>
        </w:rPr>
      </w:pPr>
      <w:r w:rsidRPr="00C17B7B">
        <w:rPr>
          <w:rFonts w:ascii="Traditional Arabic" w:eastAsia="Calibri" w:hAnsi="Traditional Arabic"/>
          <w:color w:val="auto"/>
          <w:rtl/>
        </w:rPr>
        <w:t xml:space="preserve">من يطالع في تراث ابن الجوزي وما نقل عنه في الكتب يتبين له ميله إلى التأويل في بعض كلامه فنقم عليه الأئمة والأصحاب، واشتد نكيرهم عليه في ذلك, ولا ريب أن كلامه في ذلك مضطرب مختلف، وهو وإن كان مطلعاً على الأحاديث والآثار في هذا الباب، فلم يكن خبيراً بحل شبه المتكلمين، وبيان فسادها, وكان معظماً لأبي الوفاء بن عقيل يتابعه في أكثر ما يجد من كلامه, وإن كان قد رد عليه في بعض المسائل, وكان ابن عقيل بارعاً في الكلام، ولم يكن تام الخبرة بالحديث والآثار, فلهذا يضطرب في هذا الباب، </w:t>
      </w:r>
      <w:r w:rsidRPr="00C17B7B">
        <w:rPr>
          <w:rFonts w:ascii="Traditional Arabic" w:eastAsia="Calibri" w:hAnsi="Traditional Arabic" w:hint="cs"/>
          <w:color w:val="auto"/>
          <w:rtl/>
        </w:rPr>
        <w:t xml:space="preserve">فتبعه أبو الفرج </w:t>
      </w:r>
      <w:r w:rsidRPr="00C17B7B">
        <w:rPr>
          <w:rFonts w:ascii="Traditional Arabic" w:eastAsia="Calibri" w:hAnsi="Traditional Arabic"/>
          <w:color w:val="auto"/>
          <w:rtl/>
        </w:rPr>
        <w:t>–</w:t>
      </w:r>
      <w:r w:rsidRPr="00C17B7B">
        <w:rPr>
          <w:rFonts w:ascii="Traditional Arabic" w:eastAsia="Calibri" w:hAnsi="Traditional Arabic" w:hint="cs"/>
          <w:color w:val="auto"/>
          <w:rtl/>
        </w:rPr>
        <w:t>رحمه الله- في ذلك</w:t>
      </w:r>
      <w:r w:rsidRPr="003B54D0">
        <w:rPr>
          <w:rStyle w:val="ae"/>
          <w:rFonts w:eastAsia="Calibri"/>
          <w:rtl/>
        </w:rPr>
        <w:t>(</w:t>
      </w:r>
      <w:r>
        <w:rPr>
          <w:rStyle w:val="ae"/>
          <w:rFonts w:eastAsia="Calibri"/>
          <w:rtl/>
        </w:rPr>
        <w:footnoteReference w:id="45"/>
      </w:r>
      <w:r w:rsidRPr="003B54D0">
        <w:rPr>
          <w:rStyle w:val="ae"/>
          <w:rFonts w:eastAsia="Calibri"/>
          <w:rtl/>
        </w:rPr>
        <w:t>)</w:t>
      </w:r>
      <w:r w:rsidRPr="00C17B7B">
        <w:rPr>
          <w:rFonts w:ascii="Traditional Arabic" w:eastAsia="Calibri" w:hAnsi="Traditional Arabic"/>
          <w:color w:val="auto"/>
          <w:rtl/>
        </w:rPr>
        <w:t>.</w:t>
      </w:r>
    </w:p>
    <w:p w:rsidR="009561AE" w:rsidRPr="00C17B7B" w:rsidRDefault="009561AE" w:rsidP="009561AE">
      <w:pPr>
        <w:spacing w:line="276" w:lineRule="auto"/>
        <w:ind w:firstLine="0"/>
        <w:contextualSpacing/>
        <w:jc w:val="lowKashida"/>
        <w:rPr>
          <w:rFonts w:ascii="Traditional Arabic" w:eastAsia="Calibri" w:hAnsi="Traditional Arabic"/>
          <w:color w:val="auto"/>
          <w:spacing w:val="-6"/>
          <w:rtl/>
        </w:rPr>
      </w:pPr>
      <w:r w:rsidRPr="00C17B7B">
        <w:rPr>
          <w:rFonts w:ascii="Traditional Arabic" w:eastAsia="Calibri" w:hAnsi="Traditional Arabic"/>
          <w:color w:val="auto"/>
          <w:spacing w:val="-6"/>
          <w:rtl/>
        </w:rPr>
        <w:t>قال الشـيخ موفق الدين المقدسـي: (كان ابن الجوزي إمام أهل عصـره في الوعظ، وصنف في فنون العلم تصانيف حسنة, وكان صاحب قبول, وكان يدرس الفقه ويصنف فيه, وكان حافظًا للحديث, وصنف فيه، إلا أننا لم نرض تصانيفه في السنة، ولا طريقته فيها)</w:t>
      </w:r>
      <w:r w:rsidRPr="003B54D0">
        <w:rPr>
          <w:rStyle w:val="ae"/>
          <w:rFonts w:eastAsia="Calibri"/>
          <w:rtl/>
        </w:rPr>
        <w:t>(</w:t>
      </w:r>
      <w:r>
        <w:rPr>
          <w:rStyle w:val="ae"/>
          <w:rFonts w:eastAsia="Calibri"/>
          <w:rtl/>
        </w:rPr>
        <w:footnoteReference w:id="46"/>
      </w:r>
      <w:r w:rsidRPr="003B54D0">
        <w:rPr>
          <w:rStyle w:val="ae"/>
          <w:rFonts w:eastAsia="Calibri"/>
          <w:rtl/>
        </w:rPr>
        <w:t>)</w:t>
      </w:r>
      <w:r w:rsidRPr="00C17B7B">
        <w:rPr>
          <w:rFonts w:ascii="Traditional Arabic" w:eastAsia="Calibri" w:hAnsi="Traditional Arabic"/>
          <w:color w:val="auto"/>
          <w:spacing w:val="-6"/>
          <w:rtl/>
        </w:rPr>
        <w:t>.</w:t>
      </w:r>
    </w:p>
    <w:p w:rsidR="009561AE" w:rsidRPr="00C17B7B" w:rsidRDefault="009561AE" w:rsidP="009561AE">
      <w:pPr>
        <w:spacing w:line="276" w:lineRule="auto"/>
        <w:ind w:firstLine="0"/>
        <w:contextualSpacing/>
        <w:jc w:val="lowKashida"/>
        <w:rPr>
          <w:rFonts w:ascii="Traditional Arabic" w:eastAsia="Calibri" w:hAnsi="Traditional Arabic"/>
          <w:color w:val="auto"/>
          <w:rtl/>
        </w:rPr>
      </w:pPr>
      <w:r w:rsidRPr="00C17B7B">
        <w:rPr>
          <w:rFonts w:ascii="Traditional Arabic" w:eastAsia="Calibri" w:hAnsi="Traditional Arabic"/>
          <w:color w:val="auto"/>
          <w:rtl/>
        </w:rPr>
        <w:t>وقد وجد ما يثبت ميوله إلى التأويل من ثنايا كتبه حيث ألف كتاباً مستقلاً ناقش فيه هذا الموضوع باسم "دفع شبه التشبيه" وهو مطبوع</w:t>
      </w:r>
      <w:r w:rsidRPr="003B54D0">
        <w:rPr>
          <w:rStyle w:val="ae"/>
          <w:rFonts w:eastAsia="Calibri"/>
          <w:rtl/>
        </w:rPr>
        <w:t>(</w:t>
      </w:r>
      <w:r>
        <w:rPr>
          <w:rStyle w:val="ae"/>
          <w:rFonts w:eastAsia="Calibri"/>
          <w:rtl/>
        </w:rPr>
        <w:footnoteReference w:id="47"/>
      </w:r>
      <w:r w:rsidRPr="003B54D0">
        <w:rPr>
          <w:rStyle w:val="ae"/>
          <w:rFonts w:eastAsia="Calibri"/>
          <w:rtl/>
        </w:rPr>
        <w:t>)</w:t>
      </w:r>
      <w:r w:rsidRPr="00C17B7B">
        <w:rPr>
          <w:rFonts w:ascii="Traditional Arabic" w:eastAsia="Calibri" w:hAnsi="Traditional Arabic"/>
          <w:color w:val="auto"/>
          <w:rtl/>
        </w:rPr>
        <w:t>, أورد فيه بعض الآيات القرآنية، وستين حديثا ورد فيها الكلام عن ذات الله وصفاته سبحانه وتعالى، كالوجه، واليد، والنفس، والساق، والاستواء، فيؤولها بخلاف ما ذهب إليه السلف من إمرارها كما وردت بدون تأويل ولا ت</w:t>
      </w:r>
      <w:r w:rsidRPr="00C17B7B">
        <w:rPr>
          <w:rFonts w:ascii="Traditional Arabic" w:eastAsia="Calibri" w:hAnsi="Traditional Arabic" w:hint="cs"/>
          <w:color w:val="auto"/>
          <w:rtl/>
        </w:rPr>
        <w:t>مثيل</w:t>
      </w:r>
      <w:r w:rsidRPr="00C17B7B">
        <w:rPr>
          <w:rFonts w:ascii="Traditional Arabic" w:eastAsia="Calibri" w:hAnsi="Traditional Arabic"/>
          <w:color w:val="auto"/>
          <w:rtl/>
        </w:rPr>
        <w:t>، ولا تعطيل</w:t>
      </w:r>
      <w:r w:rsidRPr="003B54D0">
        <w:rPr>
          <w:rStyle w:val="ae"/>
          <w:rFonts w:eastAsia="Calibri"/>
          <w:rtl/>
        </w:rPr>
        <w:t>(</w:t>
      </w:r>
      <w:r>
        <w:rPr>
          <w:rStyle w:val="ae"/>
          <w:rFonts w:eastAsia="Calibri"/>
          <w:rtl/>
        </w:rPr>
        <w:footnoteReference w:id="48"/>
      </w:r>
      <w:r w:rsidRPr="003B54D0">
        <w:rPr>
          <w:rStyle w:val="ae"/>
          <w:rFonts w:eastAsia="Calibri"/>
          <w:rtl/>
        </w:rPr>
        <w:t>)</w:t>
      </w:r>
      <w:r w:rsidRPr="00C17B7B">
        <w:rPr>
          <w:rFonts w:ascii="Traditional Arabic" w:eastAsia="Calibri" w:hAnsi="Traditional Arabic"/>
          <w:color w:val="auto"/>
          <w:rtl/>
        </w:rPr>
        <w:t>.</w:t>
      </w:r>
      <w:r>
        <w:rPr>
          <w:rFonts w:ascii="Traditional Arabic" w:eastAsia="Calibri" w:hAnsi="Traditional Arabic" w:hint="cs"/>
          <w:color w:val="auto"/>
          <w:rtl/>
        </w:rPr>
        <w:t xml:space="preserve"> </w:t>
      </w:r>
      <w:r w:rsidRPr="00C17B7B">
        <w:rPr>
          <w:rFonts w:ascii="Traditional Arabic" w:eastAsia="Calibri" w:hAnsi="Traditional Arabic"/>
          <w:color w:val="auto"/>
          <w:rtl/>
        </w:rPr>
        <w:t xml:space="preserve">ونجده أيضا في صـيد الخاطر، ينتقد نهج السلف، فيقول: (... ولكن أقواماً قصـرت علومهم فرأت أن حمل الكلام على غير </w:t>
      </w:r>
      <w:r w:rsidRPr="00C17B7B">
        <w:rPr>
          <w:rFonts w:ascii="Traditional Arabic" w:eastAsia="Calibri" w:hAnsi="Traditional Arabic"/>
          <w:color w:val="auto"/>
          <w:rtl/>
        </w:rPr>
        <w:lastRenderedPageBreak/>
        <w:t>ظاهره نوع تعليل، ولو فهموا سعة اللغة لم يظنوا هذا)</w:t>
      </w:r>
      <w:r w:rsidRPr="003B54D0">
        <w:rPr>
          <w:rStyle w:val="ae"/>
          <w:rFonts w:eastAsia="Calibri"/>
          <w:rtl/>
        </w:rPr>
        <w:t>(</w:t>
      </w:r>
      <w:r>
        <w:rPr>
          <w:rStyle w:val="ae"/>
          <w:rFonts w:eastAsia="Calibri"/>
          <w:rtl/>
        </w:rPr>
        <w:footnoteReference w:id="49"/>
      </w:r>
      <w:r w:rsidRPr="003B54D0">
        <w:rPr>
          <w:rStyle w:val="ae"/>
          <w:rFonts w:eastAsia="Calibri"/>
          <w:rtl/>
        </w:rPr>
        <w:t>)</w:t>
      </w:r>
      <w:r w:rsidRPr="00C17B7B">
        <w:rPr>
          <w:rFonts w:ascii="Traditional Arabic" w:eastAsia="Calibri" w:hAnsi="Traditional Arabic"/>
          <w:color w:val="auto"/>
          <w:rtl/>
        </w:rPr>
        <w:t>.</w:t>
      </w:r>
      <w:r>
        <w:rPr>
          <w:rFonts w:ascii="Traditional Arabic" w:eastAsia="Calibri" w:hAnsi="Traditional Arabic" w:hint="cs"/>
          <w:color w:val="auto"/>
          <w:rtl/>
        </w:rPr>
        <w:t xml:space="preserve"> </w:t>
      </w:r>
      <w:r w:rsidRPr="00C17B7B">
        <w:rPr>
          <w:rFonts w:ascii="Traditional Arabic" w:eastAsia="Calibri" w:hAnsi="Traditional Arabic"/>
          <w:color w:val="auto"/>
          <w:rtl/>
        </w:rPr>
        <w:t>وقد قام بالرد على ما كتبه ابن الجوزي عالم معاصـر له، وهو الشـيخ إســــحاق بن أحمــــــد بن غانم العلثي</w:t>
      </w:r>
      <w:r w:rsidRPr="003B54D0">
        <w:rPr>
          <w:rStyle w:val="ae"/>
          <w:rFonts w:eastAsia="Calibri"/>
          <w:rtl/>
        </w:rPr>
        <w:fldChar w:fldCharType="begin"/>
      </w:r>
      <w:r w:rsidRPr="003B54D0">
        <w:rPr>
          <w:rStyle w:val="ae"/>
          <w:rFonts w:eastAsia="Calibri"/>
        </w:rPr>
        <w:instrText xml:space="preserve"> XE "</w:instrText>
      </w:r>
      <w:r w:rsidRPr="003B54D0">
        <w:rPr>
          <w:rStyle w:val="ae"/>
          <w:rFonts w:eastAsia="Calibri" w:hint="eastAsia"/>
          <w:rtl/>
        </w:rPr>
        <w:instrText>فهرسالأعلام</w:instrText>
      </w:r>
      <w:r w:rsidRPr="003B54D0">
        <w:rPr>
          <w:rStyle w:val="ae"/>
          <w:rFonts w:eastAsia="Calibri"/>
          <w:rtl/>
        </w:rPr>
        <w:instrText>:</w:instrText>
      </w:r>
      <w:r w:rsidRPr="003B54D0">
        <w:rPr>
          <w:rStyle w:val="ae"/>
          <w:rFonts w:eastAsia="Calibri" w:hint="eastAsia"/>
          <w:rtl/>
        </w:rPr>
        <w:instrText>إســــحاقبنأحمــــــدبنغانمالعلثي</w:instrText>
      </w:r>
      <w:r w:rsidRPr="003B54D0">
        <w:rPr>
          <w:rStyle w:val="ae"/>
          <w:rFonts w:eastAsia="Calibri"/>
        </w:rPr>
        <w:instrText xml:space="preserve">" </w:instrText>
      </w:r>
      <w:r w:rsidRPr="003B54D0">
        <w:rPr>
          <w:rStyle w:val="ae"/>
          <w:rFonts w:eastAsia="Calibri"/>
          <w:rtl/>
        </w:rPr>
        <w:fldChar w:fldCharType="end"/>
      </w:r>
      <w:r w:rsidRPr="003B54D0">
        <w:rPr>
          <w:rStyle w:val="ae"/>
          <w:rFonts w:eastAsia="Calibri"/>
          <w:rtl/>
        </w:rPr>
        <w:t>(</w:t>
      </w:r>
      <w:r>
        <w:rPr>
          <w:rStyle w:val="ae"/>
          <w:rFonts w:eastAsia="Calibri"/>
          <w:rtl/>
        </w:rPr>
        <w:footnoteReference w:id="50"/>
      </w:r>
      <w:r w:rsidRPr="003B54D0">
        <w:rPr>
          <w:rStyle w:val="ae"/>
          <w:rFonts w:eastAsia="Calibri"/>
          <w:rtl/>
        </w:rPr>
        <w:t>)</w:t>
      </w:r>
      <w:r w:rsidRPr="00C17B7B">
        <w:rPr>
          <w:rFonts w:ascii="Traditional Arabic" w:eastAsia="Calibri" w:hAnsi="Traditional Arabic"/>
          <w:color w:val="auto"/>
          <w:rtl/>
        </w:rPr>
        <w:t>حيث كتب رسالة يرد فيها على ابن الجوزي رداً عنيفاً طالباً منه فيها العودة إلى الحق, وإلى عقيدة السلف, وإلى ما كان عليه إمامه أحمد بن حنبل، حيث يقول فيها: (وإذا تأولت الصفات على اللغة, وسوغته لنفسك, وأبيت النصـيحة، فليس هو مذهب الإمام الكبير أحمد بن حنبل قدس الله روحه، فلا يمكنك الانتساب بهذا، فاختر لنفسك مذهباً) حتى قال: (فلقد استراح من خاف مقام ربه وأحجم عن الخوض فيما لا يعلم، لئلا يندم, فانتبه قبل الممات، وحسن القول والعمل، فقد قرب الأجل لله الأمر من قبل ومن بعد ولا حول ولا قوة إلا بالله العلي العظيم)</w:t>
      </w:r>
      <w:r w:rsidRPr="00F93164">
        <w:rPr>
          <w:rStyle w:val="ae"/>
          <w:rFonts w:eastAsia="Calibri"/>
          <w:rtl/>
        </w:rPr>
        <w:t>(</w:t>
      </w:r>
      <w:r>
        <w:rPr>
          <w:rStyle w:val="ae"/>
          <w:rFonts w:eastAsia="Calibri"/>
          <w:rtl/>
        </w:rPr>
        <w:footnoteReference w:id="51"/>
      </w:r>
      <w:r w:rsidRPr="00F93164">
        <w:rPr>
          <w:rStyle w:val="ae"/>
          <w:rFonts w:eastAsia="Calibri"/>
          <w:rtl/>
        </w:rPr>
        <w:t>)</w:t>
      </w:r>
      <w:r w:rsidRPr="00C17B7B">
        <w:rPr>
          <w:rFonts w:ascii="Traditional Arabic" w:eastAsia="Calibri" w:hAnsi="Traditional Arabic"/>
          <w:color w:val="auto"/>
          <w:rtl/>
        </w:rPr>
        <w:t>.</w:t>
      </w:r>
      <w:r>
        <w:rPr>
          <w:rFonts w:ascii="Traditional Arabic" w:eastAsia="Calibri" w:hAnsi="Traditional Arabic" w:hint="cs"/>
          <w:color w:val="auto"/>
          <w:rtl/>
        </w:rPr>
        <w:t xml:space="preserve"> </w:t>
      </w:r>
      <w:r w:rsidRPr="00C17B7B">
        <w:rPr>
          <w:rFonts w:ascii="Traditional Arabic" w:eastAsia="Calibri" w:hAnsi="Traditional Arabic"/>
          <w:color w:val="auto"/>
          <w:rtl/>
        </w:rPr>
        <w:t xml:space="preserve">وقال شـيخ الإسلام ابن تيمية: (أبو الفرج نفسه متناقض في هذا الباب, لم يثبت على قدم النفي ولا على قدم الإثبات؛ بل له من الكلام في الإثبات نظماً ونثراً ما أثبت به كثيراً من الصفات التي أنكرها في هذا المصنف, فهو في هذا الباب مثل كثير من الخائضـين في هذا الباب من أنواع الناس يثبتون تارة وينفون أخرى في مواضع كثيرة من الصفات كما هو حال أبي الوفاء بن </w:t>
      </w:r>
      <w:r w:rsidRPr="00C17B7B">
        <w:rPr>
          <w:rFonts w:ascii="Traditional Arabic" w:eastAsia="Calibri" w:hAnsi="Traditional Arabic"/>
          <w:color w:val="auto"/>
          <w:rtl/>
        </w:rPr>
        <w:lastRenderedPageBreak/>
        <w:t>عقيل وأبي حامد الغزالي</w:t>
      </w:r>
      <w:r w:rsidRPr="00ED5AEC">
        <w:rPr>
          <w:rStyle w:val="ae"/>
          <w:rFonts w:eastAsia="Calibri"/>
          <w:rtl/>
        </w:rPr>
        <w:t>(</w:t>
      </w:r>
      <w:r>
        <w:rPr>
          <w:rStyle w:val="ae"/>
          <w:rFonts w:eastAsia="Calibri"/>
          <w:rtl/>
        </w:rPr>
        <w:footnoteReference w:id="52"/>
      </w:r>
      <w:r w:rsidRPr="00ED5AEC">
        <w:rPr>
          <w:rStyle w:val="ae"/>
          <w:rFonts w:eastAsia="Calibri"/>
          <w:rtl/>
        </w:rPr>
        <w:t>)</w:t>
      </w:r>
      <w:r w:rsidRPr="00C17B7B">
        <w:rPr>
          <w:rFonts w:ascii="Traditional Arabic" w:eastAsia="Calibri" w:hAnsi="Traditional Arabic"/>
          <w:color w:val="auto"/>
          <w:rtl/>
        </w:rPr>
        <w:t>)</w:t>
      </w:r>
      <w:r w:rsidRPr="00F93164">
        <w:rPr>
          <w:rStyle w:val="ae"/>
          <w:rFonts w:eastAsia="Calibri"/>
          <w:rtl/>
        </w:rPr>
        <w:t>(</w:t>
      </w:r>
      <w:r>
        <w:rPr>
          <w:rStyle w:val="ae"/>
          <w:rFonts w:eastAsia="Calibri"/>
          <w:rtl/>
        </w:rPr>
        <w:footnoteReference w:id="53"/>
      </w:r>
      <w:r w:rsidRPr="00F93164">
        <w:rPr>
          <w:rStyle w:val="ae"/>
          <w:rFonts w:eastAsia="Calibri"/>
          <w:rtl/>
        </w:rPr>
        <w:t>)</w:t>
      </w:r>
      <w:r w:rsidRPr="00C17B7B">
        <w:rPr>
          <w:rFonts w:ascii="Traditional Arabic" w:eastAsia="Calibri" w:hAnsi="Traditional Arabic"/>
          <w:color w:val="auto"/>
          <w:rtl/>
        </w:rPr>
        <w:t>.</w:t>
      </w:r>
    </w:p>
    <w:p w:rsidR="009561AE" w:rsidRPr="00C17B7B" w:rsidRDefault="009561AE" w:rsidP="009561AE">
      <w:pPr>
        <w:spacing w:line="312" w:lineRule="auto"/>
        <w:ind w:firstLine="0"/>
        <w:contextualSpacing/>
        <w:jc w:val="lowKashida"/>
        <w:rPr>
          <w:rFonts w:ascii="Traditional Arabic" w:eastAsia="Calibri" w:hAnsi="Traditional Arabic"/>
          <w:color w:val="auto"/>
          <w:rtl/>
        </w:rPr>
      </w:pPr>
      <w:r w:rsidRPr="00C17B7B">
        <w:rPr>
          <w:rFonts w:ascii="Traditional Arabic" w:eastAsia="Calibri" w:hAnsi="Traditional Arabic"/>
          <w:color w:val="auto"/>
          <w:rtl/>
        </w:rPr>
        <w:t xml:space="preserve">وقد تأثر ابن الجوزي في مذهبه العقدي بأبي الوفاء بن عقيل كما صـرح بذلك في كتابه صـيد الخاطر حيث قال: (وقد كان ابن عقيل يقول: الأصلح لاعتقاد العوام ظواهر الآي والسنن؛ لأنهم يأنسون بالإثبات فمتى محونا ذلك من قلوبهم زالت السـياسات والحشمة, وتهافت العوام في التشبيه أحب إلي من إغراقهم في التنزيه. لأن التشبيه يغمسهم في الإثبات, فيطمعوا ويخافوا شـيئاً قد أنسوا إلى ما يخاف مثله ويرجى, فالتنزيه يرمي بهم إلى النفي, ولا طمع ولا مخالفة من النفي, ومن تدبر الشـريعة رآها عامة للمكلفين في التشبيه بالألفاظ التي لا يعطي ظاهرها سواه كقول الأعرابي: </w:t>
      </w:r>
      <w:r>
        <w:rPr>
          <w:rFonts w:ascii="Traditional Arabic" w:eastAsia="Calibri" w:hAnsi="Traditional Arabic" w:hint="cs"/>
          <w:color w:val="auto"/>
          <w:rtl/>
        </w:rPr>
        <w:t>"</w:t>
      </w:r>
      <w:r w:rsidRPr="00C17B7B">
        <w:rPr>
          <w:rFonts w:ascii="Traditional Arabic" w:eastAsia="Calibri" w:hAnsi="Traditional Arabic"/>
          <w:color w:val="auto"/>
          <w:rtl/>
        </w:rPr>
        <w:t>أو يضحك الرب</w:t>
      </w:r>
      <w:r w:rsidRPr="00C17B7B">
        <w:rPr>
          <w:rFonts w:ascii="Traditional Arabic" w:eastAsia="Calibri" w:hAnsi="Traditional Arabic"/>
          <w:color w:val="auto"/>
          <w:rtl/>
        </w:rPr>
        <w:fldChar w:fldCharType="begin"/>
      </w:r>
      <w:r w:rsidRPr="00C17B7B">
        <w:rPr>
          <w:rFonts w:ascii="Traditional Arabic" w:eastAsia="Calibri" w:hAnsi="Traditional Arabic"/>
          <w:color w:val="auto"/>
        </w:rPr>
        <w:instrText xml:space="preserve"> XE "</w:instrText>
      </w:r>
      <w:r w:rsidRPr="00C17B7B">
        <w:rPr>
          <w:rFonts w:ascii="Traditional Arabic" w:eastAsia="Calibri" w:hAnsi="Traditional Arabic" w:hint="eastAsia"/>
          <w:color w:val="auto"/>
          <w:rtl/>
        </w:rPr>
        <w:instrText>فهرسالحديث</w:instrText>
      </w:r>
      <w:r w:rsidRPr="00C17B7B">
        <w:rPr>
          <w:rFonts w:ascii="Traditional Arabic" w:eastAsia="Calibri" w:hAnsi="Traditional Arabic"/>
          <w:color w:val="auto"/>
          <w:rtl/>
        </w:rPr>
        <w:instrText>:</w:instrText>
      </w:r>
      <w:r w:rsidRPr="00C17B7B">
        <w:rPr>
          <w:rFonts w:ascii="Traditional Arabic" w:eastAsia="Calibri" w:hAnsi="Traditional Arabic" w:hint="eastAsia"/>
          <w:color w:val="auto"/>
          <w:rtl/>
        </w:rPr>
        <w:instrText>أويضحكالرب</w:instrText>
      </w:r>
      <w:r w:rsidRPr="00C17B7B">
        <w:rPr>
          <w:rFonts w:ascii="Traditional Arabic" w:eastAsia="Calibri" w:hAnsi="Traditional Arabic"/>
          <w:color w:val="auto"/>
        </w:rPr>
        <w:instrText xml:space="preserve">" </w:instrText>
      </w:r>
      <w:r w:rsidRPr="00C17B7B">
        <w:rPr>
          <w:rFonts w:ascii="Traditional Arabic" w:eastAsia="Calibri" w:hAnsi="Traditional Arabic"/>
          <w:color w:val="auto"/>
          <w:rtl/>
        </w:rPr>
        <w:fldChar w:fldCharType="end"/>
      </w:r>
      <w:r w:rsidRPr="00C17B7B">
        <w:rPr>
          <w:rFonts w:ascii="Traditional Arabic" w:eastAsia="Calibri" w:hAnsi="Traditional Arabic"/>
          <w:color w:val="auto"/>
          <w:rtl/>
        </w:rPr>
        <w:t xml:space="preserve"> ؟ قال: نعم</w:t>
      </w:r>
      <w:r>
        <w:rPr>
          <w:rFonts w:ascii="Traditional Arabic" w:eastAsia="Calibri" w:hAnsi="Traditional Arabic" w:hint="cs"/>
          <w:color w:val="auto"/>
          <w:rtl/>
        </w:rPr>
        <w:t>"</w:t>
      </w:r>
      <w:r w:rsidRPr="00A86244">
        <w:rPr>
          <w:rStyle w:val="ae"/>
          <w:rFonts w:eastAsia="Calibri"/>
          <w:rtl/>
        </w:rPr>
        <w:t>(</w:t>
      </w:r>
      <w:r>
        <w:rPr>
          <w:rStyle w:val="ae"/>
          <w:rFonts w:eastAsia="Calibri"/>
          <w:rtl/>
        </w:rPr>
        <w:footnoteReference w:id="54"/>
      </w:r>
      <w:r w:rsidRPr="00A86244">
        <w:rPr>
          <w:rStyle w:val="ae"/>
          <w:rFonts w:eastAsia="Calibri"/>
          <w:rtl/>
        </w:rPr>
        <w:t>)</w:t>
      </w:r>
      <w:r>
        <w:rPr>
          <w:rFonts w:ascii="Traditional Arabic" w:eastAsia="Calibri" w:hAnsi="Traditional Arabic"/>
          <w:color w:val="auto"/>
          <w:rtl/>
        </w:rPr>
        <w:t xml:space="preserve"> فلم يكف</w:t>
      </w:r>
      <w:r>
        <w:rPr>
          <w:rFonts w:ascii="Traditional Arabic" w:eastAsia="Calibri" w:hAnsi="Traditional Arabic" w:hint="cs"/>
          <w:color w:val="auto"/>
          <w:rtl/>
        </w:rPr>
        <w:t>ه</w:t>
      </w:r>
      <w:r w:rsidRPr="00C17B7B">
        <w:rPr>
          <w:rFonts w:ascii="Traditional Arabic" w:eastAsia="Calibri" w:hAnsi="Traditional Arabic"/>
          <w:color w:val="auto"/>
          <w:rtl/>
        </w:rPr>
        <w:t>ر من هذا القول)</w:t>
      </w:r>
      <w:r w:rsidRPr="00A86244">
        <w:rPr>
          <w:rStyle w:val="ae"/>
          <w:rFonts w:eastAsia="Calibri"/>
          <w:rtl/>
        </w:rPr>
        <w:t>(</w:t>
      </w:r>
      <w:r>
        <w:rPr>
          <w:rStyle w:val="ae"/>
          <w:rFonts w:eastAsia="Calibri"/>
          <w:rtl/>
        </w:rPr>
        <w:footnoteReference w:id="55"/>
      </w:r>
      <w:r w:rsidRPr="00A86244">
        <w:rPr>
          <w:rStyle w:val="ae"/>
          <w:rFonts w:eastAsia="Calibri"/>
          <w:rtl/>
        </w:rPr>
        <w:t>)</w:t>
      </w:r>
      <w:r w:rsidRPr="00C17B7B">
        <w:rPr>
          <w:rFonts w:ascii="Traditional Arabic" w:eastAsia="Calibri" w:hAnsi="Traditional Arabic"/>
          <w:color w:val="auto"/>
          <w:rtl/>
        </w:rPr>
        <w:t>.</w:t>
      </w:r>
    </w:p>
    <w:p w:rsidR="009561AE" w:rsidRPr="00C17B7B" w:rsidRDefault="009561AE" w:rsidP="009561AE">
      <w:pPr>
        <w:spacing w:line="276" w:lineRule="auto"/>
        <w:ind w:firstLine="0"/>
        <w:contextualSpacing/>
        <w:jc w:val="lowKashida"/>
        <w:rPr>
          <w:rFonts w:ascii="Traditional Arabic" w:eastAsia="Calibri" w:hAnsi="Traditional Arabic"/>
          <w:color w:val="auto"/>
          <w:spacing w:val="-6"/>
          <w:rtl/>
        </w:rPr>
      </w:pPr>
      <w:r w:rsidRPr="00C17B7B">
        <w:rPr>
          <w:rFonts w:ascii="Traditional Arabic" w:eastAsia="Calibri" w:hAnsi="Traditional Arabic"/>
          <w:color w:val="auto"/>
          <w:spacing w:val="-6"/>
          <w:rtl/>
        </w:rPr>
        <w:t xml:space="preserve">وعلق الذهبي على قوله هذا فقال: (قد صار الظاهر اليوم ظاهرين: أحدهما حق، والثاني باطل، فالحق أن يقول: إنه سميع بصـير، مريد متكلم، حي عليم، كل شـيء هالك إلا وجهه، خلق آدم بيده، وكلم موسى تكليما، واتخذ إبراهيم خليلا، وأمثال ذلك، فنمره على ما جاء، </w:t>
      </w:r>
      <w:r w:rsidRPr="00C17B7B">
        <w:rPr>
          <w:rFonts w:ascii="Traditional Arabic" w:eastAsia="Calibri" w:hAnsi="Traditional Arabic"/>
          <w:color w:val="auto"/>
          <w:spacing w:val="-6"/>
          <w:rtl/>
        </w:rPr>
        <w:lastRenderedPageBreak/>
        <w:t>ونفهم منه دلالة الخطاب كما يليق به تعالى، ولا نقول: له تأويل يخالف ذلك.</w:t>
      </w:r>
    </w:p>
    <w:p w:rsidR="009561AE" w:rsidRPr="007E0D52" w:rsidRDefault="009561AE" w:rsidP="009561AE">
      <w:pPr>
        <w:spacing w:line="276" w:lineRule="auto"/>
        <w:ind w:firstLine="0"/>
        <w:contextualSpacing/>
        <w:jc w:val="lowKashida"/>
        <w:rPr>
          <w:rFonts w:ascii="Traditional Arabic" w:eastAsia="Calibri" w:hAnsi="Traditional Arabic"/>
          <w:color w:val="auto"/>
          <w:rtl/>
        </w:rPr>
      </w:pPr>
      <w:r w:rsidRPr="00C17B7B">
        <w:rPr>
          <w:rFonts w:ascii="Traditional Arabic" w:eastAsia="Calibri" w:hAnsi="Traditional Arabic"/>
          <w:color w:val="auto"/>
          <w:rtl/>
        </w:rPr>
        <w:t>والظاهر الآخر وهو الباطل، والضلال: أن تعتقد قياس الغائب على الشاهد، وتمثل البارئ بخلقه، تعالى الله عن ذلك، بل صفاته كذاته، فلا عدل له، ولا ضد له، ولا نظير له، ولا مثل له، ولا شبيه له، وليس كمثله شـيء، لا في ذاته، ولا في صفاته، وهذا أمر يستوي فيه الفقيه والعامي، والله أعلم)</w:t>
      </w:r>
      <w:r w:rsidRPr="007E6506">
        <w:rPr>
          <w:rStyle w:val="ae"/>
          <w:rFonts w:eastAsia="Calibri"/>
          <w:rtl/>
        </w:rPr>
        <w:t>(</w:t>
      </w:r>
      <w:r>
        <w:rPr>
          <w:rStyle w:val="ae"/>
          <w:rFonts w:eastAsia="Calibri"/>
          <w:rtl/>
        </w:rPr>
        <w:footnoteReference w:id="56"/>
      </w:r>
      <w:r w:rsidRPr="007E6506">
        <w:rPr>
          <w:rStyle w:val="ae"/>
          <w:rFonts w:eastAsia="Calibri"/>
          <w:rtl/>
        </w:rPr>
        <w:t>)</w:t>
      </w:r>
      <w:r w:rsidRPr="00C17B7B">
        <w:rPr>
          <w:rFonts w:ascii="Traditional Arabic" w:eastAsia="Calibri" w:hAnsi="Traditional Arabic"/>
          <w:color w:val="auto"/>
          <w:rtl/>
        </w:rPr>
        <w:t>.</w:t>
      </w:r>
    </w:p>
    <w:p w:rsidR="009561AE" w:rsidRPr="00C17B7B" w:rsidRDefault="009561AE" w:rsidP="009561AE">
      <w:pPr>
        <w:spacing w:line="276" w:lineRule="auto"/>
        <w:contextualSpacing/>
        <w:jc w:val="center"/>
        <w:rPr>
          <w:rFonts w:ascii="Traditional Arabic" w:eastAsia="Calibri" w:hAnsi="Traditional Arabic"/>
          <w:color w:val="auto"/>
        </w:rPr>
      </w:pPr>
      <w:r w:rsidRPr="00C17B7B">
        <w:rPr>
          <w:rFonts w:ascii="Traditional Arabic" w:eastAsia="Calibri" w:hAnsi="Traditional Arabic" w:cs="DecoType Naskh" w:hint="cs"/>
          <w:color w:val="auto"/>
          <w:rtl/>
        </w:rPr>
        <w:t>***</w:t>
      </w:r>
      <w:r w:rsidRPr="00C17B7B">
        <w:rPr>
          <w:rFonts w:ascii="Traditional Arabic" w:eastAsia="Calibri" w:hAnsi="Traditional Arabic" w:cs="DecoType Naskh" w:hint="cs"/>
          <w:color w:val="auto"/>
          <w:rtl/>
        </w:rPr>
        <w:tab/>
      </w:r>
      <w:r w:rsidRPr="00C17B7B">
        <w:rPr>
          <w:rFonts w:ascii="Traditional Arabic" w:eastAsia="Calibri" w:hAnsi="Traditional Arabic" w:cs="DecoType Naskh" w:hint="cs"/>
          <w:color w:val="auto"/>
          <w:rtl/>
        </w:rPr>
        <w:tab/>
        <w:t>***</w:t>
      </w:r>
      <w:r w:rsidRPr="00C17B7B">
        <w:rPr>
          <w:rFonts w:ascii="Traditional Arabic" w:eastAsia="Calibri" w:hAnsi="Traditional Arabic" w:cs="DecoType Naskh" w:hint="cs"/>
          <w:color w:val="auto"/>
          <w:rtl/>
        </w:rPr>
        <w:tab/>
      </w:r>
      <w:r w:rsidRPr="00C17B7B">
        <w:rPr>
          <w:rFonts w:ascii="Traditional Arabic" w:eastAsia="Calibri" w:hAnsi="Traditional Arabic" w:cs="DecoType Naskh" w:hint="cs"/>
          <w:color w:val="auto"/>
          <w:rtl/>
        </w:rPr>
        <w:tab/>
        <w:t>***</w:t>
      </w:r>
    </w:p>
    <w:p w:rsidR="009561AE" w:rsidRPr="00C17B7B" w:rsidRDefault="009561AE" w:rsidP="009561AE">
      <w:pPr>
        <w:spacing w:line="276" w:lineRule="auto"/>
        <w:contextualSpacing/>
        <w:jc w:val="lowKashida"/>
        <w:rPr>
          <w:rFonts w:ascii="Traditional Arabic" w:eastAsia="Calibri" w:hAnsi="Traditional Arabic"/>
          <w:color w:val="auto"/>
          <w:rtl/>
        </w:rPr>
      </w:pPr>
    </w:p>
    <w:p w:rsidR="009561AE" w:rsidRDefault="009561AE" w:rsidP="006D0169">
      <w:pPr>
        <w:bidi w:val="0"/>
        <w:contextualSpacing/>
        <w:rPr>
          <w:rFonts w:ascii="Arial" w:hAnsi="Arial"/>
          <w:b/>
          <w:bCs/>
          <w:noProof/>
          <w:sz w:val="26"/>
          <w:szCs w:val="40"/>
          <w:rtl/>
        </w:rPr>
      </w:pPr>
      <w:r w:rsidRPr="00C17B7B">
        <w:rPr>
          <w:rFonts w:ascii="Traditional Arabic" w:eastAsia="Calibri" w:hAnsi="Traditional Arabic"/>
          <w:color w:val="auto"/>
          <w:szCs w:val="32"/>
          <w:rtl/>
        </w:rPr>
        <w:br w:type="page"/>
      </w:r>
    </w:p>
    <w:p w:rsidR="00D11232" w:rsidRPr="00C17B7B" w:rsidRDefault="009561AE" w:rsidP="007E6506">
      <w:pPr>
        <w:keepNext/>
        <w:ind w:firstLine="0"/>
        <w:contextualSpacing/>
        <w:outlineLvl w:val="2"/>
        <w:rPr>
          <w:rFonts w:ascii="Arial" w:hAnsi="Arial"/>
          <w:b/>
          <w:bCs/>
          <w:noProof/>
          <w:sz w:val="26"/>
          <w:szCs w:val="40"/>
          <w:rtl/>
        </w:rPr>
      </w:pPr>
      <w:r>
        <w:rPr>
          <w:rFonts w:ascii="Arial" w:hAnsi="Arial" w:hint="cs"/>
          <w:b/>
          <w:bCs/>
          <w:noProof/>
          <w:sz w:val="26"/>
          <w:szCs w:val="40"/>
          <w:rtl/>
        </w:rPr>
        <w:lastRenderedPageBreak/>
        <w:t>المبحث الخامس</w:t>
      </w:r>
      <w:r w:rsidR="00D11232" w:rsidRPr="00C17B7B">
        <w:rPr>
          <w:rFonts w:ascii="Arial" w:hAnsi="Arial" w:hint="cs"/>
          <w:b/>
          <w:bCs/>
          <w:noProof/>
          <w:sz w:val="26"/>
          <w:szCs w:val="40"/>
          <w:rtl/>
        </w:rPr>
        <w:t>:مذهبه الفقهي:</w:t>
      </w:r>
    </w:p>
    <w:p w:rsidR="00D11232" w:rsidRPr="00C17B7B" w:rsidRDefault="00D11232" w:rsidP="007E6506">
      <w:pPr>
        <w:spacing w:line="276" w:lineRule="auto"/>
        <w:ind w:firstLine="0"/>
        <w:contextualSpacing/>
        <w:rPr>
          <w:rFonts w:ascii="Traditional Arabic" w:eastAsia="Calibri" w:hAnsi="Traditional Arabic"/>
          <w:color w:val="auto"/>
          <w:rtl/>
        </w:rPr>
      </w:pPr>
      <w:r w:rsidRPr="00C17B7B">
        <w:rPr>
          <w:rFonts w:ascii="Traditional Arabic" w:eastAsia="Calibri" w:hAnsi="Traditional Arabic" w:hint="cs"/>
          <w:color w:val="auto"/>
          <w:rtl/>
        </w:rPr>
        <w:t>كان ابن الجوزي -رحمه الله- حنبليا</w:t>
      </w:r>
      <w:r w:rsidR="007E6506">
        <w:rPr>
          <w:rFonts w:ascii="Traditional Arabic" w:eastAsia="Calibri" w:hAnsi="Traditional Arabic" w:hint="cs"/>
          <w:color w:val="auto"/>
          <w:rtl/>
        </w:rPr>
        <w:t>ً</w:t>
      </w:r>
      <w:r w:rsidRPr="00C17B7B">
        <w:rPr>
          <w:rFonts w:ascii="Traditional Arabic" w:eastAsia="Calibri" w:hAnsi="Traditional Arabic" w:hint="cs"/>
          <w:color w:val="auto"/>
          <w:rtl/>
        </w:rPr>
        <w:t xml:space="preserve"> شديد التمسك بمذهبه، يدل على ذلك تأليفه لكتاب أسماه: الباز الأشهب المنقض على مخالفي المذهب، وقد تألق هذا المذهب كثيرا في زمانه، من خلال الدور الكبير الذي قام به ابن الجوزي لإبرازه ببغداد سواء كان بتشجيعه أم بمساعدة غيره، وخصوصا ما حظي به عند الخليفة المستضيء بأمر الله</w:t>
      </w:r>
      <w:r w:rsidRPr="007E6506">
        <w:rPr>
          <w:rStyle w:val="ae"/>
          <w:rFonts w:eastAsia="Calibri"/>
          <w:rtl/>
        </w:rPr>
        <w:fldChar w:fldCharType="begin"/>
      </w:r>
      <w:r w:rsidRPr="007E6506">
        <w:rPr>
          <w:rStyle w:val="ae"/>
          <w:rFonts w:eastAsia="Calibri"/>
        </w:rPr>
        <w:instrText xml:space="preserve"> XE "</w:instrText>
      </w:r>
      <w:r w:rsidRPr="007E6506">
        <w:rPr>
          <w:rStyle w:val="ae"/>
          <w:rFonts w:eastAsia="Calibri" w:hint="eastAsia"/>
          <w:rtl/>
        </w:rPr>
        <w:instrText>فهرسالأعلام</w:instrText>
      </w:r>
      <w:r w:rsidRPr="007E6506">
        <w:rPr>
          <w:rStyle w:val="ae"/>
          <w:rFonts w:eastAsia="Calibri"/>
          <w:rtl/>
        </w:rPr>
        <w:instrText>:</w:instrText>
      </w:r>
      <w:r w:rsidRPr="007E6506">
        <w:rPr>
          <w:rStyle w:val="ae"/>
          <w:rFonts w:eastAsia="Calibri" w:hint="eastAsia"/>
          <w:rtl/>
        </w:rPr>
        <w:instrText>الخليفةالمستضيءبأمرالله</w:instrText>
      </w:r>
      <w:r w:rsidRPr="007E6506">
        <w:rPr>
          <w:rStyle w:val="ae"/>
          <w:rFonts w:eastAsia="Calibri"/>
        </w:rPr>
        <w:instrText xml:space="preserve">" </w:instrText>
      </w:r>
      <w:r w:rsidRPr="007E6506">
        <w:rPr>
          <w:rStyle w:val="ae"/>
          <w:rFonts w:eastAsia="Calibri"/>
          <w:rtl/>
        </w:rPr>
        <w:fldChar w:fldCharType="end"/>
      </w:r>
      <w:r w:rsidR="007E6506" w:rsidRPr="007E6506">
        <w:rPr>
          <w:rStyle w:val="ae"/>
          <w:rFonts w:eastAsia="Calibri"/>
          <w:rtl/>
        </w:rPr>
        <w:t>(</w:t>
      </w:r>
      <w:r w:rsidR="007E6506">
        <w:rPr>
          <w:rStyle w:val="ae"/>
          <w:rFonts w:eastAsia="Calibri"/>
          <w:rtl/>
        </w:rPr>
        <w:footnoteReference w:id="57"/>
      </w:r>
      <w:r w:rsidR="007E6506" w:rsidRPr="007E6506">
        <w:rPr>
          <w:rStyle w:val="ae"/>
          <w:rFonts w:eastAsia="Calibri"/>
          <w:rtl/>
        </w:rPr>
        <w:t>)</w:t>
      </w:r>
      <w:r w:rsidR="007E6506">
        <w:rPr>
          <w:rFonts w:eastAsia="Calibri" w:hint="cs"/>
          <w:rtl/>
        </w:rPr>
        <w:t xml:space="preserve"> </w:t>
      </w:r>
      <w:r w:rsidRPr="00C17B7B">
        <w:rPr>
          <w:rFonts w:ascii="Traditional Arabic" w:eastAsia="Calibri" w:hAnsi="Traditional Arabic" w:hint="cs"/>
          <w:color w:val="auto"/>
          <w:rtl/>
        </w:rPr>
        <w:t xml:space="preserve">الذي عرف بمحبته للحنابلة، وميله لهم، وبين ابن الجوزي أنه السبب في محبة الخليفة المستضيء للحنابلة فيقول ابن الجوزي </w:t>
      </w:r>
      <w:r w:rsidR="007B1F5F">
        <w:rPr>
          <w:rFonts w:ascii="Traditional Arabic" w:eastAsia="Calibri" w:hAnsi="Traditional Arabic" w:hint="cs"/>
          <w:color w:val="auto"/>
          <w:rtl/>
        </w:rPr>
        <w:t xml:space="preserve">-فيما </w:t>
      </w:r>
      <w:r w:rsidRPr="00C17B7B">
        <w:rPr>
          <w:rFonts w:ascii="Traditional Arabic" w:eastAsia="Calibri" w:hAnsi="Traditional Arabic" w:hint="cs"/>
          <w:color w:val="auto"/>
          <w:rtl/>
        </w:rPr>
        <w:t>نقله عنه ابن رجب-: (فتأثر أهل المذهب من ذلك، و</w:t>
      </w:r>
      <w:r w:rsidR="007B1F5F">
        <w:rPr>
          <w:rFonts w:ascii="Traditional Arabic" w:eastAsia="Calibri" w:hAnsi="Traditional Arabic" w:hint="cs"/>
          <w:color w:val="auto"/>
          <w:rtl/>
        </w:rPr>
        <w:t>جعل الناس يقولون لي هذا بسببك فإ</w:t>
      </w:r>
      <w:r w:rsidRPr="00C17B7B">
        <w:rPr>
          <w:rFonts w:ascii="Traditional Arabic" w:eastAsia="Calibri" w:hAnsi="Traditional Arabic" w:hint="cs"/>
          <w:color w:val="auto"/>
          <w:rtl/>
        </w:rPr>
        <w:t>نه ما ارتفع هذا المذهب عند السلطان حتى مال إلى الحنابلة إلا بسماع كلامك، فشكرت الله تعالى على ذلك)</w:t>
      </w:r>
      <w:r w:rsidR="007E6506" w:rsidRPr="007E6506">
        <w:rPr>
          <w:rStyle w:val="ae"/>
          <w:rFonts w:eastAsia="Calibri"/>
          <w:rtl/>
        </w:rPr>
        <w:t>(</w:t>
      </w:r>
      <w:r w:rsidR="007E6506">
        <w:rPr>
          <w:rStyle w:val="ae"/>
          <w:rFonts w:eastAsia="Calibri"/>
          <w:rtl/>
        </w:rPr>
        <w:footnoteReference w:id="58"/>
      </w:r>
      <w:r w:rsidR="007E6506" w:rsidRPr="007E6506">
        <w:rPr>
          <w:rStyle w:val="ae"/>
          <w:rFonts w:eastAsia="Calibri"/>
          <w:rtl/>
        </w:rPr>
        <w:t>)</w:t>
      </w:r>
      <w:r w:rsidRPr="00C17B7B">
        <w:rPr>
          <w:rFonts w:ascii="Traditional Arabic" w:eastAsia="Calibri" w:hAnsi="Traditional Arabic" w:hint="cs"/>
          <w:color w:val="auto"/>
          <w:rtl/>
        </w:rPr>
        <w:t>.</w:t>
      </w:r>
    </w:p>
    <w:p w:rsidR="00D11232" w:rsidRPr="00C17B7B" w:rsidRDefault="00D11232" w:rsidP="007E6506">
      <w:pPr>
        <w:spacing w:line="276" w:lineRule="auto"/>
        <w:ind w:firstLine="0"/>
        <w:contextualSpacing/>
        <w:rPr>
          <w:rFonts w:ascii="Traditional Arabic" w:eastAsia="Calibri" w:hAnsi="Traditional Arabic"/>
          <w:color w:val="auto"/>
          <w:rtl/>
        </w:rPr>
      </w:pPr>
      <w:r w:rsidRPr="00C17B7B">
        <w:rPr>
          <w:rFonts w:ascii="Traditional Arabic" w:eastAsia="Calibri" w:hAnsi="Traditional Arabic" w:hint="cs"/>
          <w:color w:val="auto"/>
          <w:rtl/>
        </w:rPr>
        <w:t>وكان رحمه الله يظهر في مجالسه مدح السنة والإمام أحمد بن حنبل، وأصحابه، ويذم من يخالفه، ويصرح بمذهبهم في مسائل الأصول، ولا سيما في مسألة القرآن، وكان رحمه الله على ما يبدو فريد عصره، في تمثيل الحنابلة أنفسهم في ذلك الوقت</w:t>
      </w:r>
      <w:r w:rsidR="007E6506" w:rsidRPr="007E6506">
        <w:rPr>
          <w:rStyle w:val="ae"/>
          <w:rFonts w:eastAsia="Calibri"/>
          <w:rtl/>
        </w:rPr>
        <w:t>(</w:t>
      </w:r>
      <w:r w:rsidR="007E6506">
        <w:rPr>
          <w:rStyle w:val="ae"/>
          <w:rFonts w:eastAsia="Calibri"/>
          <w:rtl/>
        </w:rPr>
        <w:footnoteReference w:id="59"/>
      </w:r>
      <w:r w:rsidR="007E6506" w:rsidRPr="007E6506">
        <w:rPr>
          <w:rStyle w:val="ae"/>
          <w:rFonts w:eastAsia="Calibri"/>
          <w:rtl/>
        </w:rPr>
        <w:t>)</w:t>
      </w:r>
      <w:r w:rsidRPr="00C17B7B">
        <w:rPr>
          <w:rFonts w:ascii="Traditional Arabic" w:eastAsia="Calibri" w:hAnsi="Traditional Arabic" w:hint="cs"/>
          <w:color w:val="auto"/>
          <w:rtl/>
        </w:rPr>
        <w:t>.</w:t>
      </w:r>
    </w:p>
    <w:p w:rsidR="00D11232" w:rsidRPr="00C17B7B" w:rsidRDefault="00D11232" w:rsidP="00D71B72">
      <w:pPr>
        <w:spacing w:line="276" w:lineRule="auto"/>
        <w:ind w:firstLine="0"/>
        <w:contextualSpacing/>
        <w:rPr>
          <w:rFonts w:ascii="Traditional Arabic" w:eastAsia="Calibri" w:hAnsi="Traditional Arabic"/>
          <w:color w:val="auto"/>
          <w:rtl/>
        </w:rPr>
      </w:pPr>
      <w:r w:rsidRPr="00C17B7B">
        <w:rPr>
          <w:rFonts w:ascii="Traditional Arabic" w:eastAsia="Calibri" w:hAnsi="Traditional Arabic" w:hint="cs"/>
          <w:color w:val="auto"/>
          <w:rtl/>
        </w:rPr>
        <w:t xml:space="preserve">وقد كان لابن الجوزي دور كبير في نشر المذهب الحنبلي، وارتفاع شأنه، ولا سيما أن مجالسه الوعظية كان لها صداها الكبير في نفوس الناس على اختلافهم، وقد أعانه على ذلك اطلاعه الواسع في شتى العلوم حتى إنه في زمن الخليفة المستضيء استفتي في عدد من القضايا وكان يوضح رأيه في جوازها أو عدم جوازها، ولذا ارتفعت مكانته بين </w:t>
      </w:r>
      <w:r w:rsidRPr="00C17B7B">
        <w:rPr>
          <w:rFonts w:ascii="Traditional Arabic" w:eastAsia="Calibri" w:hAnsi="Traditional Arabic" w:hint="cs"/>
          <w:color w:val="auto"/>
          <w:rtl/>
        </w:rPr>
        <w:lastRenderedPageBreak/>
        <w:t>الخاصة والعامة باعتباره واعظا</w:t>
      </w:r>
      <w:r w:rsidR="00D71B72">
        <w:rPr>
          <w:rFonts w:ascii="Traditional Arabic" w:eastAsia="Calibri" w:hAnsi="Traditional Arabic" w:hint="cs"/>
          <w:color w:val="auto"/>
          <w:rtl/>
        </w:rPr>
        <w:t>ً</w:t>
      </w:r>
      <w:r w:rsidRPr="00C17B7B">
        <w:rPr>
          <w:rFonts w:ascii="Traditional Arabic" w:eastAsia="Calibri" w:hAnsi="Traditional Arabic" w:hint="cs"/>
          <w:color w:val="auto"/>
          <w:rtl/>
        </w:rPr>
        <w:t xml:space="preserve"> </w:t>
      </w:r>
      <w:r w:rsidR="00D71B72" w:rsidRPr="00C17B7B">
        <w:rPr>
          <w:rFonts w:ascii="Traditional Arabic" w:eastAsia="Calibri" w:hAnsi="Traditional Arabic" w:hint="cs"/>
          <w:color w:val="auto"/>
          <w:rtl/>
        </w:rPr>
        <w:t>حنبليا</w:t>
      </w:r>
      <w:r w:rsidR="00D71B72">
        <w:rPr>
          <w:rFonts w:ascii="Traditional Arabic" w:eastAsia="Calibri" w:hAnsi="Traditional Arabic" w:hint="cs"/>
          <w:color w:val="auto"/>
          <w:rtl/>
        </w:rPr>
        <w:t>ً</w:t>
      </w:r>
      <w:r w:rsidRPr="00C17B7B">
        <w:rPr>
          <w:rFonts w:ascii="Traditional Arabic" w:eastAsia="Calibri" w:hAnsi="Traditional Arabic" w:hint="cs"/>
          <w:color w:val="auto"/>
          <w:rtl/>
        </w:rPr>
        <w:t xml:space="preserve">، وأصبحت المدارس الموقوفة </w:t>
      </w:r>
      <w:r w:rsidR="007B1F5F">
        <w:rPr>
          <w:rFonts w:ascii="Traditional Arabic" w:eastAsia="Calibri" w:hAnsi="Traditional Arabic" w:hint="cs"/>
          <w:color w:val="auto"/>
          <w:rtl/>
        </w:rPr>
        <w:t xml:space="preserve">على أصحاب الإمام أحمد بن حنبل، قد </w:t>
      </w:r>
      <w:r w:rsidRPr="00C17B7B">
        <w:rPr>
          <w:rFonts w:ascii="Traditional Arabic" w:eastAsia="Calibri" w:hAnsi="Traditional Arabic" w:hint="cs"/>
          <w:color w:val="auto"/>
          <w:rtl/>
        </w:rPr>
        <w:t>ف</w:t>
      </w:r>
      <w:r w:rsidR="007B1F5F">
        <w:rPr>
          <w:rFonts w:ascii="Traditional Arabic" w:eastAsia="Calibri" w:hAnsi="Traditional Arabic" w:hint="cs"/>
          <w:color w:val="auto"/>
          <w:rtl/>
        </w:rPr>
        <w:t>ُ</w:t>
      </w:r>
      <w:r w:rsidRPr="00C17B7B">
        <w:rPr>
          <w:rFonts w:ascii="Traditional Arabic" w:eastAsia="Calibri" w:hAnsi="Traditional Arabic" w:hint="cs"/>
          <w:color w:val="auto"/>
          <w:rtl/>
        </w:rPr>
        <w:t xml:space="preserve">وض أمر تسليمها إلى ابن الجوزي </w:t>
      </w:r>
      <w:r w:rsidRPr="00C17B7B">
        <w:rPr>
          <w:rFonts w:ascii="Traditional Arabic" w:eastAsia="Calibri" w:hAnsi="Traditional Arabic"/>
          <w:color w:val="auto"/>
          <w:rtl/>
        </w:rPr>
        <w:t>–</w:t>
      </w:r>
      <w:r w:rsidRPr="00C17B7B">
        <w:rPr>
          <w:rFonts w:ascii="Traditional Arabic" w:eastAsia="Calibri" w:hAnsi="Traditional Arabic" w:hint="cs"/>
          <w:color w:val="auto"/>
          <w:rtl/>
        </w:rPr>
        <w:t>رحمه الله- ليلقي الدروس فيها من غير طلب منه، وصار عدد مدارسه خمسا</w:t>
      </w:r>
      <w:r w:rsidR="00D71B72">
        <w:rPr>
          <w:rFonts w:ascii="Traditional Arabic" w:eastAsia="Calibri" w:hAnsi="Traditional Arabic" w:hint="cs"/>
          <w:color w:val="auto"/>
          <w:rtl/>
        </w:rPr>
        <w:t>ً</w:t>
      </w:r>
      <w:r w:rsidRPr="00C17B7B">
        <w:rPr>
          <w:rFonts w:ascii="Traditional Arabic" w:eastAsia="Calibri" w:hAnsi="Traditional Arabic" w:hint="cs"/>
          <w:color w:val="auto"/>
          <w:rtl/>
        </w:rPr>
        <w:t xml:space="preserve"> في سنة (574)، ومثل هذا الأمر لم يره الحنابلة إلا في زمن ابن الجوزي، وكان من نتيجة تمسك ابن الجوزي لمذهبه الحنبلي، ومناصرته له، والثناء عل</w:t>
      </w:r>
      <w:r w:rsidR="009561AE">
        <w:rPr>
          <w:rFonts w:ascii="Traditional Arabic" w:eastAsia="Calibri" w:hAnsi="Traditional Arabic" w:hint="cs"/>
          <w:color w:val="auto"/>
          <w:rtl/>
        </w:rPr>
        <w:t>يه، أن تعرض إلى معاداة</w:t>
      </w:r>
      <w:r w:rsidRPr="00C17B7B">
        <w:rPr>
          <w:rFonts w:ascii="Traditional Arabic" w:eastAsia="Calibri" w:hAnsi="Traditional Arabic" w:hint="cs"/>
          <w:color w:val="auto"/>
          <w:rtl/>
        </w:rPr>
        <w:t xml:space="preserve"> الكثيرين له، وبخاصة عندما ارتفعت منزلته في المجتمع البغدادي آنذاك</w:t>
      </w:r>
      <w:r w:rsidR="009561AE" w:rsidRPr="009561AE">
        <w:rPr>
          <w:rStyle w:val="ae"/>
          <w:rFonts w:eastAsia="Calibri"/>
          <w:rtl/>
        </w:rPr>
        <w:t>(</w:t>
      </w:r>
      <w:r w:rsidR="009561AE">
        <w:rPr>
          <w:rStyle w:val="ae"/>
          <w:rFonts w:eastAsia="Calibri"/>
          <w:rtl/>
        </w:rPr>
        <w:footnoteReference w:id="60"/>
      </w:r>
      <w:r w:rsidR="009561AE" w:rsidRPr="009561AE">
        <w:rPr>
          <w:rStyle w:val="ae"/>
          <w:rFonts w:eastAsia="Calibri"/>
          <w:rtl/>
        </w:rPr>
        <w:t>)</w:t>
      </w:r>
      <w:r w:rsidRPr="00C17B7B">
        <w:rPr>
          <w:rFonts w:ascii="Traditional Arabic" w:eastAsia="Calibri" w:hAnsi="Traditional Arabic" w:hint="cs"/>
          <w:color w:val="auto"/>
          <w:rtl/>
        </w:rPr>
        <w:t xml:space="preserve">.  </w:t>
      </w:r>
    </w:p>
    <w:p w:rsidR="00D11232" w:rsidRPr="00C17B7B" w:rsidRDefault="00D11232" w:rsidP="00D11232">
      <w:pPr>
        <w:spacing w:line="276" w:lineRule="auto"/>
        <w:contextualSpacing/>
        <w:jc w:val="center"/>
        <w:rPr>
          <w:rFonts w:ascii="Traditional Arabic" w:eastAsia="Calibri" w:hAnsi="Traditional Arabic"/>
          <w:color w:val="auto"/>
          <w:szCs w:val="32"/>
        </w:rPr>
      </w:pPr>
      <w:r w:rsidRPr="00C17B7B">
        <w:rPr>
          <w:rFonts w:ascii="Traditional Arabic" w:eastAsia="Calibri" w:hAnsi="Traditional Arabic" w:cs="DecoType Naskh" w:hint="cs"/>
          <w:color w:val="auto"/>
          <w:szCs w:val="32"/>
          <w:rtl/>
        </w:rPr>
        <w:t>***</w:t>
      </w:r>
      <w:r w:rsidRPr="00C17B7B">
        <w:rPr>
          <w:rFonts w:ascii="Traditional Arabic" w:eastAsia="Calibri" w:hAnsi="Traditional Arabic" w:cs="DecoType Naskh" w:hint="cs"/>
          <w:color w:val="auto"/>
          <w:szCs w:val="32"/>
          <w:rtl/>
        </w:rPr>
        <w:tab/>
      </w:r>
      <w:r w:rsidRPr="00C17B7B">
        <w:rPr>
          <w:rFonts w:ascii="Traditional Arabic" w:eastAsia="Calibri" w:hAnsi="Traditional Arabic" w:cs="DecoType Naskh" w:hint="cs"/>
          <w:color w:val="auto"/>
          <w:szCs w:val="32"/>
          <w:rtl/>
        </w:rPr>
        <w:tab/>
        <w:t>***</w:t>
      </w:r>
      <w:r w:rsidRPr="00C17B7B">
        <w:rPr>
          <w:rFonts w:ascii="Traditional Arabic" w:eastAsia="Calibri" w:hAnsi="Traditional Arabic" w:cs="DecoType Naskh" w:hint="cs"/>
          <w:color w:val="auto"/>
          <w:szCs w:val="32"/>
          <w:rtl/>
        </w:rPr>
        <w:tab/>
      </w:r>
      <w:r w:rsidRPr="00C17B7B">
        <w:rPr>
          <w:rFonts w:ascii="Traditional Arabic" w:eastAsia="Calibri" w:hAnsi="Traditional Arabic" w:cs="DecoType Naskh" w:hint="cs"/>
          <w:color w:val="auto"/>
          <w:szCs w:val="32"/>
          <w:rtl/>
        </w:rPr>
        <w:tab/>
        <w:t>***</w:t>
      </w:r>
    </w:p>
    <w:p w:rsidR="00D11232" w:rsidRPr="00C17B7B" w:rsidRDefault="00D11232" w:rsidP="00D11232">
      <w:pPr>
        <w:bidi w:val="0"/>
        <w:contextualSpacing/>
        <w:rPr>
          <w:rFonts w:ascii="Traditional Arabic" w:eastAsia="Calibri" w:hAnsi="Traditional Arabic"/>
          <w:color w:val="auto"/>
        </w:rPr>
      </w:pPr>
      <w:r w:rsidRPr="00C17B7B">
        <w:rPr>
          <w:rFonts w:ascii="Traditional Arabic" w:eastAsia="Calibri" w:hAnsi="Traditional Arabic"/>
          <w:color w:val="auto"/>
          <w:rtl/>
        </w:rPr>
        <w:br w:type="page"/>
      </w:r>
    </w:p>
    <w:p w:rsidR="00D11232" w:rsidRPr="00C17B7B" w:rsidRDefault="009561AE" w:rsidP="007E6506">
      <w:pPr>
        <w:keepNext/>
        <w:ind w:firstLine="0"/>
        <w:contextualSpacing/>
        <w:outlineLvl w:val="2"/>
        <w:rPr>
          <w:rFonts w:ascii="Arial" w:hAnsi="Arial"/>
          <w:b/>
          <w:bCs/>
          <w:noProof/>
          <w:sz w:val="26"/>
          <w:szCs w:val="40"/>
          <w:rtl/>
        </w:rPr>
      </w:pPr>
      <w:r>
        <w:rPr>
          <w:rFonts w:ascii="Arial" w:hAnsi="Arial" w:hint="cs"/>
          <w:b/>
          <w:bCs/>
          <w:noProof/>
          <w:sz w:val="26"/>
          <w:szCs w:val="40"/>
          <w:rtl/>
        </w:rPr>
        <w:lastRenderedPageBreak/>
        <w:t>المبحث السادس</w:t>
      </w:r>
      <w:r w:rsidR="00D11232" w:rsidRPr="00C17B7B">
        <w:rPr>
          <w:rFonts w:ascii="Arial" w:hAnsi="Arial" w:hint="cs"/>
          <w:b/>
          <w:bCs/>
          <w:noProof/>
          <w:sz w:val="26"/>
          <w:szCs w:val="40"/>
          <w:rtl/>
        </w:rPr>
        <w:t>: مكانته العلمية، وثناء العلماء عليه:</w:t>
      </w:r>
    </w:p>
    <w:p w:rsidR="00D11232" w:rsidRPr="00C17B7B" w:rsidRDefault="00D11232" w:rsidP="007E6506">
      <w:pPr>
        <w:spacing w:line="276" w:lineRule="auto"/>
        <w:ind w:firstLine="0"/>
        <w:contextualSpacing/>
        <w:jc w:val="lowKashida"/>
        <w:rPr>
          <w:rFonts w:ascii="Traditional Arabic" w:eastAsia="Calibri" w:hAnsi="Traditional Arabic"/>
          <w:color w:val="auto"/>
          <w:rtl/>
        </w:rPr>
      </w:pPr>
      <w:r w:rsidRPr="00C17B7B">
        <w:rPr>
          <w:rFonts w:ascii="Traditional Arabic" w:eastAsia="Calibri" w:hAnsi="Traditional Arabic"/>
          <w:color w:val="auto"/>
          <w:rtl/>
        </w:rPr>
        <w:t xml:space="preserve">بعد أن ذاع صـيت ابن الجوزي في البلدان, وسارت بتصانيفه الركبان, وأصبح إمام وقته في التفسـير والحديث والفقه والتاريخ والوعظ وغيرها, فاضت ألسنة العلماء بالثناء عليه فمن ذلك: </w:t>
      </w:r>
      <w:r w:rsidR="007E6506">
        <w:rPr>
          <w:rFonts w:ascii="Traditional Arabic" w:eastAsia="Calibri" w:hAnsi="Traditional Arabic" w:hint="cs"/>
          <w:color w:val="auto"/>
          <w:rtl/>
        </w:rPr>
        <w:t xml:space="preserve"> </w:t>
      </w:r>
      <w:r w:rsidRPr="00C17B7B">
        <w:rPr>
          <w:rFonts w:ascii="Traditional Arabic" w:eastAsia="Calibri" w:hAnsi="Traditional Arabic"/>
          <w:color w:val="auto"/>
          <w:rtl/>
        </w:rPr>
        <w:t>قول ابن خلكان عنه: (كان علامة عصـره وإمام وقته في الحديث وصناعة الوعظ, صنف في فنون عديدة)</w:t>
      </w:r>
      <w:r w:rsidR="007E6506" w:rsidRPr="007E6506">
        <w:rPr>
          <w:rStyle w:val="ae"/>
          <w:rFonts w:eastAsia="Calibri"/>
          <w:rtl/>
        </w:rPr>
        <w:t>(</w:t>
      </w:r>
      <w:r w:rsidR="007E6506">
        <w:rPr>
          <w:rStyle w:val="ae"/>
          <w:rFonts w:eastAsia="Calibri"/>
          <w:rtl/>
        </w:rPr>
        <w:footnoteReference w:id="61"/>
      </w:r>
      <w:r w:rsidR="007E6506" w:rsidRPr="007E6506">
        <w:rPr>
          <w:rStyle w:val="ae"/>
          <w:rFonts w:eastAsia="Calibri"/>
          <w:rtl/>
        </w:rPr>
        <w:t>)</w:t>
      </w:r>
      <w:r w:rsidRPr="00C17B7B">
        <w:rPr>
          <w:rFonts w:ascii="Traditional Arabic" w:eastAsia="Calibri" w:hAnsi="Traditional Arabic" w:hint="cs"/>
          <w:color w:val="auto"/>
          <w:rtl/>
        </w:rPr>
        <w:t xml:space="preserve">، </w:t>
      </w:r>
      <w:r w:rsidRPr="00C17B7B">
        <w:rPr>
          <w:rFonts w:ascii="Traditional Arabic" w:eastAsia="Calibri" w:hAnsi="Traditional Arabic"/>
          <w:color w:val="auto"/>
          <w:rtl/>
        </w:rPr>
        <w:t>وقال عنه الذهبي: (الواعظ المتفنن صاحب التصانيف الكثيرة الشهيرة في أنواع العلم من التفسـير والحديث والفقه والزهد والوعظ والأخبار والتاريخ والطب وغير ذلك...وعظ في صغره, وفاق فيه الأقران, ونظم الشعر المليح, وكتب بخطه</w:t>
      </w:r>
      <w:r w:rsidRPr="00C17B7B">
        <w:rPr>
          <w:rFonts w:ascii="Traditional Arabic" w:eastAsia="Calibri" w:hAnsi="Traditional Arabic" w:hint="cs"/>
          <w:color w:val="auto"/>
          <w:rtl/>
        </w:rPr>
        <w:t xml:space="preserve"> </w:t>
      </w:r>
      <w:r w:rsidRPr="00C17B7B">
        <w:rPr>
          <w:rFonts w:ascii="Traditional Arabic" w:eastAsia="Calibri" w:hAnsi="Traditional Arabic"/>
          <w:color w:val="auto"/>
          <w:rtl/>
        </w:rPr>
        <w:t>ما</w:t>
      </w:r>
      <w:r w:rsidR="007B1F5F">
        <w:rPr>
          <w:rFonts w:ascii="Traditional Arabic" w:eastAsia="Calibri" w:hAnsi="Traditional Arabic" w:hint="cs"/>
          <w:color w:val="auto"/>
          <w:rtl/>
        </w:rPr>
        <w:t xml:space="preserve"> </w:t>
      </w:r>
      <w:r w:rsidRPr="00C17B7B">
        <w:rPr>
          <w:rFonts w:ascii="Traditional Arabic" w:eastAsia="Calibri" w:hAnsi="Traditional Arabic"/>
          <w:color w:val="auto"/>
          <w:rtl/>
        </w:rPr>
        <w:t>لا يوصف, ورأى من القبول والاحترام ما لا مزيد عليه, وحكى غير مرة أن مجلسه حزر بمائة ألف, وحضـر مجلسه الخليفة المستضـيء مرات من وراء الستر)</w:t>
      </w:r>
      <w:r w:rsidR="007E6506" w:rsidRPr="007E6506">
        <w:rPr>
          <w:rStyle w:val="ae"/>
          <w:rFonts w:eastAsia="Calibri"/>
          <w:rtl/>
        </w:rPr>
        <w:t>(</w:t>
      </w:r>
      <w:r w:rsidR="007E6506">
        <w:rPr>
          <w:rStyle w:val="ae"/>
          <w:rFonts w:eastAsia="Calibri"/>
          <w:rtl/>
        </w:rPr>
        <w:footnoteReference w:id="62"/>
      </w:r>
      <w:r w:rsidR="007E6506" w:rsidRPr="007E6506">
        <w:rPr>
          <w:rStyle w:val="ae"/>
          <w:rFonts w:eastAsia="Calibri"/>
          <w:rtl/>
        </w:rPr>
        <w:t>)</w:t>
      </w:r>
      <w:r w:rsidRPr="00C17B7B">
        <w:rPr>
          <w:rFonts w:ascii="Traditional Arabic" w:eastAsia="Calibri" w:hAnsi="Traditional Arabic"/>
          <w:color w:val="auto"/>
          <w:rtl/>
        </w:rPr>
        <w:t>.</w:t>
      </w:r>
    </w:p>
    <w:p w:rsidR="00D11232" w:rsidRPr="00C17B7B" w:rsidRDefault="00D11232" w:rsidP="00DA455D">
      <w:pPr>
        <w:spacing w:line="276" w:lineRule="auto"/>
        <w:ind w:firstLine="0"/>
        <w:contextualSpacing/>
        <w:jc w:val="lowKashida"/>
        <w:rPr>
          <w:rFonts w:ascii="Traditional Arabic" w:eastAsia="Calibri" w:hAnsi="Traditional Arabic"/>
          <w:color w:val="auto"/>
          <w:rtl/>
        </w:rPr>
      </w:pPr>
      <w:r w:rsidRPr="00C17B7B">
        <w:rPr>
          <w:rFonts w:ascii="Traditional Arabic" w:eastAsia="Calibri" w:hAnsi="Traditional Arabic"/>
          <w:color w:val="auto"/>
          <w:rtl/>
        </w:rPr>
        <w:t>وقال عنه ابن كثير: (أحد أفراد العلماء، برز في علوم كثيرة، وانفرد بها عن غيره، وجمع المصنفات الكبار والصغار نحواً من ثلاثمائة مصنف</w:t>
      </w:r>
      <w:r w:rsidR="007B1F5F">
        <w:rPr>
          <w:rFonts w:ascii="Traditional Arabic" w:eastAsia="Calibri" w:hAnsi="Traditional Arabic"/>
          <w:color w:val="auto"/>
          <w:rtl/>
        </w:rPr>
        <w:t>، وكتب بيده نحواً من مائتي مجلد</w:t>
      </w:r>
      <w:r w:rsidRPr="00C17B7B">
        <w:rPr>
          <w:rFonts w:ascii="Traditional Arabic" w:eastAsia="Calibri" w:hAnsi="Traditional Arabic"/>
          <w:color w:val="auto"/>
          <w:rtl/>
        </w:rPr>
        <w:t xml:space="preserve">، وتفرد بفن الوعظ الذي لم يسبق إليه ولا يلحق شأوه فيه وفي طريقته وشكله، وفي فصاحته وبلاغته وعذوبته وحلاوة ترصـيعه ونفوذ وعظه وغوصه على المعاني البديعة، وتقريبه الأشياء الغريبة فيما يشاهد من الأمور الحسـية، بعبارة وجيزة سـريعة الفهم والإدراك... هذا وله في العلوم كلها اليد الطولى، والمشاركات في سائر أنواعها من التفسـير والحديث والتاريخ والحساب والنظر في النجوم والطب والفقه وغير ذلك من اللغة والنحو، وله من المصنفات في ذلك ما يضـيق هذا المكان عن تعدادها، وحصـر </w:t>
      </w:r>
      <w:r w:rsidRPr="00C17B7B">
        <w:rPr>
          <w:rFonts w:ascii="Traditional Arabic" w:eastAsia="Calibri" w:hAnsi="Traditional Arabic"/>
          <w:color w:val="auto"/>
          <w:rtl/>
        </w:rPr>
        <w:lastRenderedPageBreak/>
        <w:t>أفرادها)</w:t>
      </w:r>
      <w:r w:rsidR="00DA455D" w:rsidRPr="00DA455D">
        <w:rPr>
          <w:rStyle w:val="ae"/>
          <w:rFonts w:eastAsia="Calibri"/>
          <w:rtl/>
        </w:rPr>
        <w:t>(</w:t>
      </w:r>
      <w:r w:rsidR="00DA455D">
        <w:rPr>
          <w:rStyle w:val="ae"/>
          <w:rFonts w:eastAsia="Calibri"/>
          <w:rtl/>
        </w:rPr>
        <w:footnoteReference w:id="63"/>
      </w:r>
      <w:r w:rsidR="00DA455D" w:rsidRPr="00DA455D">
        <w:rPr>
          <w:rStyle w:val="ae"/>
          <w:rFonts w:eastAsia="Calibri"/>
          <w:rtl/>
        </w:rPr>
        <w:t>)</w:t>
      </w:r>
      <w:r w:rsidRPr="00C17B7B">
        <w:rPr>
          <w:rFonts w:ascii="Traditional Arabic" w:eastAsia="Calibri" w:hAnsi="Traditional Arabic"/>
          <w:color w:val="auto"/>
          <w:rtl/>
        </w:rPr>
        <w:t>.</w:t>
      </w:r>
      <w:r w:rsidR="00DA455D">
        <w:rPr>
          <w:rFonts w:ascii="Traditional Arabic" w:eastAsia="Calibri" w:hAnsi="Traditional Arabic" w:hint="cs"/>
          <w:color w:val="auto"/>
          <w:rtl/>
        </w:rPr>
        <w:t xml:space="preserve"> </w:t>
      </w:r>
      <w:r w:rsidRPr="00C17B7B">
        <w:rPr>
          <w:rFonts w:ascii="Traditional Arabic" w:eastAsia="Calibri" w:hAnsi="Traditional Arabic"/>
          <w:color w:val="auto"/>
          <w:rtl/>
        </w:rPr>
        <w:t>وقال عنه ابن رجب الحنبلي: (الحافظ المفسـر، الفقيه الواعظ، الأديب جمال الدين أبو الفرج، المعروف بابن الجوزي، شـيخ وقته، وإمام عصـره)</w:t>
      </w:r>
      <w:r w:rsidR="00DA455D" w:rsidRPr="00DA455D">
        <w:rPr>
          <w:rStyle w:val="ae"/>
          <w:rFonts w:eastAsia="Calibri"/>
          <w:rtl/>
        </w:rPr>
        <w:t>(</w:t>
      </w:r>
      <w:r w:rsidR="00DA455D">
        <w:rPr>
          <w:rStyle w:val="ae"/>
          <w:rFonts w:eastAsia="Calibri"/>
          <w:rtl/>
        </w:rPr>
        <w:footnoteReference w:id="64"/>
      </w:r>
      <w:r w:rsidR="00DA455D" w:rsidRPr="00DA455D">
        <w:rPr>
          <w:rStyle w:val="ae"/>
          <w:rFonts w:eastAsia="Calibri"/>
          <w:rtl/>
        </w:rPr>
        <w:t>)</w:t>
      </w:r>
      <w:r w:rsidRPr="00C17B7B">
        <w:rPr>
          <w:rFonts w:ascii="Traditional Arabic" w:eastAsia="Calibri" w:hAnsi="Traditional Arabic"/>
          <w:color w:val="auto"/>
          <w:rtl/>
        </w:rPr>
        <w:t>.</w:t>
      </w:r>
    </w:p>
    <w:p w:rsidR="00D11232" w:rsidRPr="00C17B7B" w:rsidRDefault="00D11232" w:rsidP="00DA455D">
      <w:pPr>
        <w:spacing w:line="276" w:lineRule="auto"/>
        <w:ind w:firstLine="0"/>
        <w:contextualSpacing/>
        <w:jc w:val="lowKashida"/>
        <w:rPr>
          <w:rFonts w:ascii="Traditional Arabic" w:eastAsia="Calibri" w:hAnsi="Traditional Arabic"/>
          <w:color w:val="auto"/>
          <w:rtl/>
        </w:rPr>
      </w:pPr>
      <w:r w:rsidRPr="00C17B7B">
        <w:rPr>
          <w:rFonts w:ascii="Traditional Arabic" w:eastAsia="Calibri" w:hAnsi="Traditional Arabic"/>
          <w:color w:val="auto"/>
          <w:rtl/>
        </w:rPr>
        <w:t>قال الإمام الذهبي: (كان بحراً في التفسـير، علامة في السـير والتاريخ، موصوفاً بحسن الحديث، ومعرفة فنونه، فقيهاً، عليماً بالإجماع والاختلاف، جيد المشاركة في الطب ذا تفنن, وفهم, وذكاء, وحفظ واستحضار، وإكباب على الجمع والتصنيف)</w:t>
      </w:r>
      <w:r w:rsidR="00DA455D" w:rsidRPr="00DA455D">
        <w:rPr>
          <w:rStyle w:val="ae"/>
          <w:rFonts w:eastAsia="Calibri"/>
          <w:rtl/>
        </w:rPr>
        <w:t>(</w:t>
      </w:r>
      <w:r w:rsidR="00DA455D">
        <w:rPr>
          <w:rStyle w:val="ae"/>
          <w:rFonts w:eastAsia="Calibri"/>
          <w:rtl/>
        </w:rPr>
        <w:footnoteReference w:id="65"/>
      </w:r>
      <w:r w:rsidR="00DA455D" w:rsidRPr="00DA455D">
        <w:rPr>
          <w:rStyle w:val="ae"/>
          <w:rFonts w:eastAsia="Calibri"/>
          <w:rtl/>
        </w:rPr>
        <w:t>)</w:t>
      </w:r>
      <w:r w:rsidRPr="00C17B7B">
        <w:rPr>
          <w:rFonts w:ascii="Traditional Arabic" w:eastAsia="Calibri" w:hAnsi="Traditional Arabic"/>
          <w:color w:val="auto"/>
          <w:rtl/>
        </w:rPr>
        <w:t>.</w:t>
      </w:r>
    </w:p>
    <w:p w:rsidR="00D11232" w:rsidRPr="00C17B7B" w:rsidRDefault="00D11232" w:rsidP="00D11232">
      <w:pPr>
        <w:spacing w:line="276" w:lineRule="auto"/>
        <w:contextualSpacing/>
        <w:jc w:val="center"/>
        <w:rPr>
          <w:rFonts w:ascii="Traditional Arabic" w:eastAsia="Calibri" w:hAnsi="Traditional Arabic"/>
          <w:color w:val="auto"/>
          <w:szCs w:val="32"/>
        </w:rPr>
      </w:pPr>
      <w:r w:rsidRPr="00C17B7B">
        <w:rPr>
          <w:rFonts w:ascii="Traditional Arabic" w:eastAsia="Calibri" w:hAnsi="Traditional Arabic" w:cs="DecoType Naskh" w:hint="cs"/>
          <w:color w:val="auto"/>
          <w:szCs w:val="32"/>
          <w:rtl/>
        </w:rPr>
        <w:t>***</w:t>
      </w:r>
      <w:r w:rsidRPr="00C17B7B">
        <w:rPr>
          <w:rFonts w:ascii="Traditional Arabic" w:eastAsia="Calibri" w:hAnsi="Traditional Arabic" w:cs="DecoType Naskh" w:hint="cs"/>
          <w:color w:val="auto"/>
          <w:szCs w:val="32"/>
          <w:rtl/>
        </w:rPr>
        <w:tab/>
      </w:r>
      <w:r w:rsidRPr="00C17B7B">
        <w:rPr>
          <w:rFonts w:ascii="Traditional Arabic" w:eastAsia="Calibri" w:hAnsi="Traditional Arabic" w:cs="DecoType Naskh" w:hint="cs"/>
          <w:color w:val="auto"/>
          <w:szCs w:val="32"/>
          <w:rtl/>
        </w:rPr>
        <w:tab/>
        <w:t>***</w:t>
      </w:r>
      <w:r w:rsidRPr="00C17B7B">
        <w:rPr>
          <w:rFonts w:ascii="Traditional Arabic" w:eastAsia="Calibri" w:hAnsi="Traditional Arabic" w:cs="DecoType Naskh" w:hint="cs"/>
          <w:color w:val="auto"/>
          <w:szCs w:val="32"/>
          <w:rtl/>
        </w:rPr>
        <w:tab/>
      </w:r>
      <w:r w:rsidRPr="00C17B7B">
        <w:rPr>
          <w:rFonts w:ascii="Traditional Arabic" w:eastAsia="Calibri" w:hAnsi="Traditional Arabic" w:cs="DecoType Naskh" w:hint="cs"/>
          <w:color w:val="auto"/>
          <w:szCs w:val="32"/>
          <w:rtl/>
        </w:rPr>
        <w:tab/>
        <w:t>***</w:t>
      </w:r>
    </w:p>
    <w:p w:rsidR="00D11232" w:rsidRPr="00C17B7B" w:rsidRDefault="00D11232" w:rsidP="00D11232">
      <w:pPr>
        <w:spacing w:line="276" w:lineRule="auto"/>
        <w:contextualSpacing/>
        <w:jc w:val="lowKashida"/>
        <w:rPr>
          <w:rFonts w:ascii="Traditional Arabic" w:eastAsia="Calibri" w:hAnsi="Traditional Arabic"/>
          <w:color w:val="auto"/>
          <w:rtl/>
        </w:rPr>
      </w:pPr>
    </w:p>
    <w:p w:rsidR="00D11232" w:rsidRPr="00C17B7B" w:rsidRDefault="00D11232" w:rsidP="00D11232">
      <w:pPr>
        <w:bidi w:val="0"/>
        <w:contextualSpacing/>
        <w:rPr>
          <w:rFonts w:ascii="Traditional Arabic" w:eastAsia="Calibri" w:hAnsi="Traditional Arabic"/>
          <w:b/>
          <w:bCs/>
          <w:color w:val="auto"/>
          <w:szCs w:val="32"/>
        </w:rPr>
      </w:pPr>
      <w:r w:rsidRPr="00C17B7B">
        <w:rPr>
          <w:rFonts w:ascii="Traditional Arabic" w:eastAsia="Calibri" w:hAnsi="Traditional Arabic"/>
          <w:b/>
          <w:bCs/>
          <w:color w:val="auto"/>
          <w:szCs w:val="32"/>
          <w:rtl/>
        </w:rPr>
        <w:br w:type="page"/>
      </w:r>
    </w:p>
    <w:p w:rsidR="00D11232" w:rsidRPr="00C17B7B" w:rsidRDefault="00D11232" w:rsidP="009561AE">
      <w:pPr>
        <w:keepNext/>
        <w:ind w:firstLine="0"/>
        <w:contextualSpacing/>
        <w:outlineLvl w:val="2"/>
        <w:rPr>
          <w:rFonts w:ascii="Arial" w:hAnsi="Arial"/>
          <w:b/>
          <w:bCs/>
          <w:noProof/>
          <w:sz w:val="26"/>
          <w:szCs w:val="40"/>
          <w:rtl/>
        </w:rPr>
      </w:pPr>
      <w:r w:rsidRPr="00C17B7B">
        <w:rPr>
          <w:rFonts w:ascii="Arial" w:hAnsi="Arial"/>
          <w:b/>
          <w:bCs/>
          <w:noProof/>
          <w:sz w:val="26"/>
          <w:szCs w:val="40"/>
          <w:rtl/>
        </w:rPr>
        <w:lastRenderedPageBreak/>
        <w:t xml:space="preserve">الـمبحــث </w:t>
      </w:r>
      <w:r w:rsidRPr="00C17B7B">
        <w:rPr>
          <w:rFonts w:ascii="Arial" w:hAnsi="Arial" w:hint="cs"/>
          <w:b/>
          <w:bCs/>
          <w:noProof/>
          <w:sz w:val="26"/>
          <w:szCs w:val="40"/>
          <w:rtl/>
        </w:rPr>
        <w:t>ال</w:t>
      </w:r>
      <w:r w:rsidR="009561AE">
        <w:rPr>
          <w:rFonts w:ascii="Arial" w:hAnsi="Arial" w:hint="cs"/>
          <w:b/>
          <w:bCs/>
          <w:noProof/>
          <w:sz w:val="26"/>
          <w:szCs w:val="40"/>
          <w:rtl/>
        </w:rPr>
        <w:t>سابع</w:t>
      </w:r>
      <w:r w:rsidRPr="00C17B7B">
        <w:rPr>
          <w:rFonts w:ascii="Arial" w:hAnsi="Arial" w:hint="cs"/>
          <w:b/>
          <w:bCs/>
          <w:noProof/>
          <w:sz w:val="26"/>
          <w:szCs w:val="40"/>
          <w:rtl/>
        </w:rPr>
        <w:t>: مؤلفاته</w:t>
      </w:r>
      <w:r w:rsidR="00DA455D" w:rsidRPr="00DA455D">
        <w:rPr>
          <w:rStyle w:val="ae"/>
          <w:rtl/>
        </w:rPr>
        <w:t>(</w:t>
      </w:r>
      <w:r w:rsidR="00DA455D">
        <w:rPr>
          <w:rStyle w:val="ae"/>
          <w:rtl/>
        </w:rPr>
        <w:footnoteReference w:id="66"/>
      </w:r>
      <w:r w:rsidR="00DA455D" w:rsidRPr="00DA455D">
        <w:rPr>
          <w:rStyle w:val="ae"/>
          <w:rtl/>
        </w:rPr>
        <w:t>)</w:t>
      </w:r>
      <w:r w:rsidRPr="00C17B7B">
        <w:rPr>
          <w:rFonts w:ascii="Arial" w:hAnsi="Arial" w:hint="cs"/>
          <w:b/>
          <w:bCs/>
          <w:noProof/>
          <w:sz w:val="26"/>
          <w:szCs w:val="40"/>
          <w:rtl/>
        </w:rPr>
        <w:t>:</w:t>
      </w:r>
    </w:p>
    <w:p w:rsidR="00D11232" w:rsidRPr="00C17B7B" w:rsidRDefault="00D11232" w:rsidP="00DA455D">
      <w:pPr>
        <w:spacing w:line="276" w:lineRule="auto"/>
        <w:ind w:firstLine="0"/>
        <w:contextualSpacing/>
        <w:jc w:val="lowKashida"/>
        <w:rPr>
          <w:rFonts w:ascii="Traditional Arabic" w:eastAsia="Calibri" w:hAnsi="Traditional Arabic"/>
          <w:color w:val="auto"/>
          <w:rtl/>
        </w:rPr>
      </w:pPr>
      <w:r w:rsidRPr="00C17B7B">
        <w:rPr>
          <w:rFonts w:ascii="Traditional Arabic" w:eastAsia="Calibri" w:hAnsi="Traditional Arabic"/>
          <w:color w:val="auto"/>
          <w:spacing w:val="-6"/>
          <w:rtl/>
        </w:rPr>
        <w:t>لم يقتصـر ابن الجوزي على التدريس والإملاء والإفتاء والوعظ, بل تعدى ذلك إلى التأليف الذي دل على همة هذا الإمام العالية, ومكانته العلمية, وقد بدأ ابن الجوزي التأليف في سن مبكر, ووجد بخطه تصنيف له في الوعظ ذكر أنه صنفه سنة ثمان وعشـرين وخمسمائة, وقال: ولي من العمر سبع عشـرة</w:t>
      </w:r>
      <w:r w:rsidRPr="00C17B7B">
        <w:rPr>
          <w:rFonts w:ascii="Traditional Arabic" w:eastAsia="Calibri" w:hAnsi="Traditional Arabic"/>
          <w:color w:val="auto"/>
          <w:rtl/>
        </w:rPr>
        <w:t xml:space="preserve"> سنة</w:t>
      </w:r>
      <w:r w:rsidR="00DA455D" w:rsidRPr="00DA455D">
        <w:rPr>
          <w:rStyle w:val="ae"/>
          <w:rFonts w:eastAsia="Calibri"/>
          <w:rtl/>
        </w:rPr>
        <w:t>(</w:t>
      </w:r>
      <w:r w:rsidR="00DA455D">
        <w:rPr>
          <w:rStyle w:val="ae"/>
          <w:rFonts w:eastAsia="Calibri"/>
          <w:rtl/>
        </w:rPr>
        <w:footnoteReference w:id="67"/>
      </w:r>
      <w:r w:rsidR="00DA455D" w:rsidRPr="00DA455D">
        <w:rPr>
          <w:rStyle w:val="ae"/>
          <w:rFonts w:eastAsia="Calibri"/>
          <w:rtl/>
        </w:rPr>
        <w:t>)</w:t>
      </w:r>
      <w:r w:rsidRPr="00C17B7B">
        <w:rPr>
          <w:rFonts w:ascii="Traditional Arabic" w:eastAsia="Calibri" w:hAnsi="Traditional Arabic"/>
          <w:color w:val="auto"/>
          <w:rtl/>
        </w:rPr>
        <w:t>.</w:t>
      </w:r>
    </w:p>
    <w:p w:rsidR="00D11232" w:rsidRPr="00C17B7B" w:rsidRDefault="00D11232" w:rsidP="00D11232">
      <w:pPr>
        <w:spacing w:line="276" w:lineRule="auto"/>
        <w:contextualSpacing/>
        <w:jc w:val="lowKashida"/>
        <w:rPr>
          <w:rFonts w:ascii="Traditional Arabic" w:eastAsia="Calibri" w:hAnsi="Traditional Arabic"/>
          <w:color w:val="auto"/>
          <w:rtl/>
        </w:rPr>
      </w:pPr>
      <w:r w:rsidRPr="00C17B7B">
        <w:rPr>
          <w:rFonts w:ascii="Traditional Arabic" w:eastAsia="Calibri" w:hAnsi="Traditional Arabic"/>
          <w:color w:val="auto"/>
          <w:rtl/>
        </w:rPr>
        <w:t>وقد كان</w:t>
      </w:r>
      <w:r w:rsidRPr="00C17B7B">
        <w:rPr>
          <w:rFonts w:ascii="Traditional Arabic" w:eastAsia="Calibri" w:hAnsi="Traditional Arabic" w:hint="cs"/>
          <w:color w:val="auto"/>
          <w:rtl/>
        </w:rPr>
        <w:t>ت</w:t>
      </w:r>
      <w:r w:rsidRPr="00C17B7B">
        <w:rPr>
          <w:rFonts w:ascii="Traditional Arabic" w:eastAsia="Calibri" w:hAnsi="Traditional Arabic"/>
          <w:color w:val="auto"/>
          <w:rtl/>
        </w:rPr>
        <w:t xml:space="preserve"> كثرة مؤلفات ابن الجوزي –رحمه الله- </w:t>
      </w:r>
      <w:r w:rsidRPr="00C17B7B">
        <w:rPr>
          <w:rFonts w:ascii="Traditional Arabic" w:eastAsia="Calibri" w:hAnsi="Traditional Arabic" w:hint="cs"/>
          <w:color w:val="auto"/>
          <w:rtl/>
        </w:rPr>
        <w:t xml:space="preserve">سببا في </w:t>
      </w:r>
      <w:r w:rsidRPr="00C17B7B">
        <w:rPr>
          <w:rFonts w:ascii="Traditional Arabic" w:eastAsia="Calibri" w:hAnsi="Traditional Arabic"/>
          <w:color w:val="auto"/>
          <w:rtl/>
        </w:rPr>
        <w:t xml:space="preserve">اختلاف العلماء في </w:t>
      </w:r>
      <w:r w:rsidRPr="00C17B7B">
        <w:rPr>
          <w:rFonts w:ascii="Traditional Arabic" w:eastAsia="Calibri" w:hAnsi="Traditional Arabic" w:hint="cs"/>
          <w:color w:val="auto"/>
          <w:rtl/>
        </w:rPr>
        <w:t>عددها</w:t>
      </w:r>
      <w:r w:rsidRPr="00C17B7B">
        <w:rPr>
          <w:rFonts w:ascii="Traditional Arabic" w:eastAsia="Calibri" w:hAnsi="Traditional Arabic"/>
          <w:color w:val="auto"/>
          <w:rtl/>
        </w:rPr>
        <w:t xml:space="preserve"> وسأعرض أقوالهم مختصرة في ذلك:</w:t>
      </w:r>
    </w:p>
    <w:p w:rsidR="00D11232" w:rsidRPr="00C17B7B" w:rsidRDefault="00D11232" w:rsidP="00C443D8">
      <w:pPr>
        <w:numPr>
          <w:ilvl w:val="0"/>
          <w:numId w:val="8"/>
        </w:numPr>
        <w:spacing w:after="200" w:line="276" w:lineRule="auto"/>
        <w:ind w:left="0" w:firstLine="0"/>
        <w:contextualSpacing/>
        <w:jc w:val="lowKashida"/>
        <w:rPr>
          <w:rFonts w:ascii="Traditional Arabic" w:hAnsi="Traditional Arabic"/>
        </w:rPr>
      </w:pPr>
      <w:r w:rsidRPr="00C17B7B">
        <w:rPr>
          <w:rFonts w:ascii="Traditional Arabic" w:hAnsi="Traditional Arabic" w:hint="cs"/>
          <w:rtl/>
        </w:rPr>
        <w:t>ذكر ابن تيمية أنها أكثر من ألف مصنف فقال متحدثا عن ابن الجوزي: وله مصنفات في أمور كثيرة حتى عددتها فرأيتها أكثر من ألف مصنف</w:t>
      </w:r>
      <w:r w:rsidR="00DA455D" w:rsidRPr="00DA455D">
        <w:rPr>
          <w:rStyle w:val="ae"/>
          <w:rtl/>
        </w:rPr>
        <w:t>(</w:t>
      </w:r>
      <w:r w:rsidR="00DA455D">
        <w:rPr>
          <w:rStyle w:val="ae"/>
          <w:rtl/>
        </w:rPr>
        <w:footnoteReference w:id="68"/>
      </w:r>
      <w:r w:rsidR="00DA455D" w:rsidRPr="00DA455D">
        <w:rPr>
          <w:rStyle w:val="ae"/>
          <w:rtl/>
        </w:rPr>
        <w:t>)</w:t>
      </w:r>
      <w:r w:rsidRPr="00C17B7B">
        <w:rPr>
          <w:rFonts w:ascii="Traditional Arabic" w:hAnsi="Traditional Arabic" w:hint="cs"/>
          <w:rtl/>
        </w:rPr>
        <w:t>.</w:t>
      </w:r>
    </w:p>
    <w:p w:rsidR="00D11232" w:rsidRPr="00C17B7B" w:rsidRDefault="00D11232" w:rsidP="00C443D8">
      <w:pPr>
        <w:numPr>
          <w:ilvl w:val="0"/>
          <w:numId w:val="8"/>
        </w:numPr>
        <w:spacing w:after="200" w:line="276" w:lineRule="auto"/>
        <w:ind w:left="0" w:firstLine="0"/>
        <w:contextualSpacing/>
        <w:jc w:val="lowKashida"/>
        <w:rPr>
          <w:rFonts w:ascii="Traditional Arabic" w:hAnsi="Traditional Arabic"/>
        </w:rPr>
      </w:pPr>
      <w:r w:rsidRPr="00C17B7B">
        <w:rPr>
          <w:rFonts w:ascii="Traditional Arabic" w:hAnsi="Traditional Arabic" w:hint="cs"/>
          <w:rtl/>
        </w:rPr>
        <w:t>ذكر ابن رجب في كتابه الذيل مئة وخمسة وتسعين مؤلفا</w:t>
      </w:r>
      <w:r w:rsidR="00DA455D" w:rsidRPr="00DA455D">
        <w:rPr>
          <w:rStyle w:val="ae"/>
          <w:rtl/>
        </w:rPr>
        <w:t>(</w:t>
      </w:r>
      <w:r w:rsidR="00DA455D">
        <w:rPr>
          <w:rStyle w:val="ae"/>
          <w:rtl/>
        </w:rPr>
        <w:footnoteReference w:id="69"/>
      </w:r>
      <w:r w:rsidR="00DA455D" w:rsidRPr="00DA455D">
        <w:rPr>
          <w:rStyle w:val="ae"/>
          <w:rtl/>
        </w:rPr>
        <w:t>)</w:t>
      </w:r>
      <w:r w:rsidRPr="00C17B7B">
        <w:rPr>
          <w:rFonts w:ascii="Traditional Arabic" w:hAnsi="Traditional Arabic" w:hint="cs"/>
          <w:rtl/>
        </w:rPr>
        <w:t>.</w:t>
      </w:r>
    </w:p>
    <w:p w:rsidR="00D11232" w:rsidRPr="00C17B7B" w:rsidRDefault="00D11232" w:rsidP="00C443D8">
      <w:pPr>
        <w:numPr>
          <w:ilvl w:val="0"/>
          <w:numId w:val="8"/>
        </w:numPr>
        <w:spacing w:after="200" w:line="276" w:lineRule="auto"/>
        <w:ind w:left="0" w:firstLine="0"/>
        <w:contextualSpacing/>
        <w:jc w:val="lowKashida"/>
        <w:rPr>
          <w:rFonts w:ascii="Traditional Arabic" w:hAnsi="Traditional Arabic"/>
        </w:rPr>
      </w:pPr>
      <w:r w:rsidRPr="00C17B7B">
        <w:rPr>
          <w:rFonts w:ascii="Traditional Arabic" w:hAnsi="Traditional Arabic" w:hint="cs"/>
          <w:rtl/>
        </w:rPr>
        <w:t>ذكر الذهبي في كتابه التذكرة أربعة وثلاثين مؤلفا</w:t>
      </w:r>
      <w:r w:rsidR="00DA455D" w:rsidRPr="00DA455D">
        <w:rPr>
          <w:rStyle w:val="ae"/>
          <w:rtl/>
        </w:rPr>
        <w:t>(</w:t>
      </w:r>
      <w:r w:rsidR="00DA455D">
        <w:rPr>
          <w:rStyle w:val="ae"/>
          <w:rtl/>
        </w:rPr>
        <w:footnoteReference w:id="70"/>
      </w:r>
      <w:r w:rsidR="00DA455D" w:rsidRPr="00DA455D">
        <w:rPr>
          <w:rStyle w:val="ae"/>
          <w:rtl/>
        </w:rPr>
        <w:t>)</w:t>
      </w:r>
      <w:r w:rsidRPr="00C17B7B">
        <w:rPr>
          <w:rFonts w:ascii="Traditional Arabic" w:hAnsi="Traditional Arabic" w:hint="cs"/>
          <w:rtl/>
        </w:rPr>
        <w:t>.</w:t>
      </w:r>
    </w:p>
    <w:p w:rsidR="00D11232" w:rsidRPr="00C17B7B" w:rsidRDefault="00D11232" w:rsidP="00DA455D">
      <w:pPr>
        <w:spacing w:line="276" w:lineRule="auto"/>
        <w:ind w:firstLine="0"/>
        <w:contextualSpacing/>
        <w:jc w:val="lowKashida"/>
        <w:rPr>
          <w:rFonts w:ascii="Traditional Arabic" w:eastAsia="Calibri" w:hAnsi="Traditional Arabic"/>
          <w:color w:val="auto"/>
          <w:rtl/>
        </w:rPr>
      </w:pPr>
      <w:r w:rsidRPr="00C17B7B">
        <w:rPr>
          <w:rFonts w:ascii="Traditional Arabic" w:eastAsia="Calibri" w:hAnsi="Traditional Arabic" w:hint="cs"/>
          <w:color w:val="auto"/>
          <w:rtl/>
        </w:rPr>
        <w:t>وقد قام الأستاذ عبدالحميد العلوجي بإحصائها وتدوينها في كتابه: مؤلفات ابن الجوزي، فذكر فيه ثلاث مائة وسبعة وسبعين كتابا، فمنها ما هو مطبوع ومنها ما هو مخطوط أو مفقود.</w:t>
      </w:r>
    </w:p>
    <w:p w:rsidR="00D11232" w:rsidRPr="00C17B7B" w:rsidRDefault="00D11232" w:rsidP="00DA455D">
      <w:pPr>
        <w:spacing w:line="276" w:lineRule="auto"/>
        <w:ind w:firstLine="0"/>
        <w:contextualSpacing/>
        <w:jc w:val="lowKashida"/>
        <w:rPr>
          <w:rFonts w:ascii="Traditional Arabic" w:eastAsia="Calibri" w:hAnsi="Traditional Arabic"/>
          <w:color w:val="auto"/>
          <w:rtl/>
        </w:rPr>
      </w:pPr>
      <w:r w:rsidRPr="00C17B7B">
        <w:rPr>
          <w:rFonts w:ascii="Traditional Arabic" w:eastAsia="Calibri" w:hAnsi="Traditional Arabic"/>
          <w:color w:val="auto"/>
          <w:rtl/>
        </w:rPr>
        <w:t>ونظراً لتنوع معارف ابن الجوزي وكثرتها, فقد تعددت مصنفاته, وتنوعت موضوعاتها في شتى أنواع الفنون, كالتفسـير</w:t>
      </w:r>
      <w:r w:rsidR="0000591D">
        <w:rPr>
          <w:rFonts w:ascii="Traditional Arabic" w:eastAsia="Calibri" w:hAnsi="Traditional Arabic" w:hint="cs"/>
          <w:color w:val="auto"/>
          <w:rtl/>
        </w:rPr>
        <w:t xml:space="preserve"> </w:t>
      </w:r>
      <w:r w:rsidRPr="00C17B7B">
        <w:rPr>
          <w:rFonts w:ascii="Traditional Arabic" w:eastAsia="Calibri" w:hAnsi="Traditional Arabic"/>
          <w:color w:val="auto"/>
          <w:rtl/>
        </w:rPr>
        <w:t>والحديث</w:t>
      </w:r>
      <w:r w:rsidRPr="00C17B7B">
        <w:rPr>
          <w:rFonts w:ascii="Traditional Arabic" w:eastAsia="Calibri" w:hAnsi="Traditional Arabic" w:hint="cs"/>
          <w:color w:val="auto"/>
          <w:rtl/>
        </w:rPr>
        <w:t xml:space="preserve"> وال</w:t>
      </w:r>
      <w:r w:rsidRPr="00C17B7B">
        <w:rPr>
          <w:rFonts w:ascii="Traditional Arabic" w:eastAsia="Calibri" w:hAnsi="Traditional Arabic"/>
          <w:color w:val="auto"/>
          <w:rtl/>
        </w:rPr>
        <w:t>فقه والوعظ والتراجم والتاريخ والزهد وغيرها, من كتاب صغير وكبير ومختصـر ومستدرك, وغير ذلك. فكان من أكثر العلماء تأليفاً.</w:t>
      </w:r>
    </w:p>
    <w:p w:rsidR="00D11232" w:rsidRPr="00C17B7B" w:rsidRDefault="00D11232" w:rsidP="00DA455D">
      <w:pPr>
        <w:spacing w:line="276" w:lineRule="auto"/>
        <w:ind w:firstLine="0"/>
        <w:contextualSpacing/>
        <w:jc w:val="lowKashida"/>
        <w:rPr>
          <w:rFonts w:ascii="Traditional Arabic" w:eastAsia="Calibri" w:hAnsi="Traditional Arabic"/>
          <w:color w:val="auto"/>
          <w:spacing w:val="-6"/>
          <w:rtl/>
        </w:rPr>
      </w:pPr>
      <w:r w:rsidRPr="00C17B7B">
        <w:rPr>
          <w:rFonts w:ascii="Traditional Arabic" w:eastAsia="Calibri" w:hAnsi="Traditional Arabic"/>
          <w:color w:val="auto"/>
          <w:rtl/>
        </w:rPr>
        <w:lastRenderedPageBreak/>
        <w:t>قال الإمام الذهبي عنه: (وما علمت أحداً من العلماء صنف ما صنف هذا الرجل)</w:t>
      </w:r>
      <w:r w:rsidRPr="00C17B7B">
        <w:rPr>
          <w:rFonts w:ascii="Traditional Arabic" w:eastAsia="Calibri" w:hAnsi="Traditional Arabic" w:hint="cs"/>
          <w:color w:val="auto"/>
          <w:rtl/>
        </w:rPr>
        <w:t xml:space="preserve">، </w:t>
      </w:r>
      <w:r w:rsidRPr="00C17B7B">
        <w:rPr>
          <w:rFonts w:ascii="Traditional Arabic" w:eastAsia="Calibri" w:hAnsi="Traditional Arabic"/>
          <w:color w:val="auto"/>
          <w:rtl/>
        </w:rPr>
        <w:t>وقال سبطه أبو المظفر: (سمعت جدي يقول على المنبر: كتبت بإصبعي ألفي مجلد)</w:t>
      </w:r>
      <w:r w:rsidR="00DA455D" w:rsidRPr="00DA455D">
        <w:rPr>
          <w:rStyle w:val="ae"/>
          <w:rFonts w:eastAsia="Calibri"/>
          <w:rtl/>
        </w:rPr>
        <w:t>(</w:t>
      </w:r>
      <w:r w:rsidR="00DA455D">
        <w:rPr>
          <w:rStyle w:val="ae"/>
          <w:rFonts w:eastAsia="Calibri"/>
          <w:rtl/>
        </w:rPr>
        <w:footnoteReference w:id="71"/>
      </w:r>
      <w:r w:rsidR="00DA455D" w:rsidRPr="00DA455D">
        <w:rPr>
          <w:rStyle w:val="ae"/>
          <w:rFonts w:eastAsia="Calibri"/>
          <w:rtl/>
        </w:rPr>
        <w:t>)</w:t>
      </w:r>
      <w:r w:rsidRPr="00C17B7B">
        <w:rPr>
          <w:rFonts w:ascii="Traditional Arabic" w:eastAsia="Calibri" w:hAnsi="Traditional Arabic" w:hint="cs"/>
          <w:color w:val="auto"/>
          <w:rtl/>
        </w:rPr>
        <w:t>،</w:t>
      </w:r>
      <w:r w:rsidR="00DA455D">
        <w:rPr>
          <w:rFonts w:ascii="Traditional Arabic" w:eastAsia="Calibri" w:hAnsi="Traditional Arabic" w:hint="cs"/>
          <w:color w:val="auto"/>
          <w:spacing w:val="-6"/>
          <w:rtl/>
        </w:rPr>
        <w:t xml:space="preserve"> </w:t>
      </w:r>
      <w:r w:rsidRPr="00C17B7B">
        <w:rPr>
          <w:rFonts w:ascii="Traditional Arabic" w:eastAsia="Calibri" w:hAnsi="Traditional Arabic"/>
          <w:color w:val="auto"/>
          <w:spacing w:val="-6"/>
          <w:rtl/>
        </w:rPr>
        <w:t>وقد أُحصـيت كتب ابن الجوزي في مؤلفات خاصة, ولعل أفضل من كتب في ذلك الأستاذ: عبدالحميد العلوجي في كتابه (مؤلفات ابن الجوزي)</w:t>
      </w:r>
      <w:r w:rsidR="00DA455D" w:rsidRPr="00DA455D">
        <w:rPr>
          <w:rStyle w:val="ae"/>
          <w:rFonts w:eastAsia="Calibri"/>
          <w:rtl/>
        </w:rPr>
        <w:t>(</w:t>
      </w:r>
      <w:r w:rsidR="00DA455D">
        <w:rPr>
          <w:rStyle w:val="ae"/>
          <w:rFonts w:eastAsia="Calibri"/>
          <w:rtl/>
        </w:rPr>
        <w:footnoteReference w:id="72"/>
      </w:r>
      <w:r w:rsidR="00DA455D" w:rsidRPr="00DA455D">
        <w:rPr>
          <w:rStyle w:val="ae"/>
          <w:rFonts w:eastAsia="Calibri"/>
          <w:rtl/>
        </w:rPr>
        <w:t>)</w:t>
      </w:r>
      <w:r w:rsidRPr="00C17B7B">
        <w:rPr>
          <w:rFonts w:ascii="Traditional Arabic" w:eastAsia="Calibri" w:hAnsi="Traditional Arabic"/>
          <w:color w:val="auto"/>
          <w:spacing w:val="-6"/>
          <w:rtl/>
        </w:rPr>
        <w:t xml:space="preserve">, </w:t>
      </w:r>
      <w:r w:rsidRPr="00C17B7B">
        <w:rPr>
          <w:rFonts w:ascii="Traditional Arabic" w:eastAsia="Calibri" w:hAnsi="Traditional Arabic"/>
          <w:color w:val="auto"/>
          <w:rtl/>
        </w:rPr>
        <w:t xml:space="preserve">وسأذكر مؤلفاته في </w:t>
      </w:r>
      <w:r w:rsidRPr="00C17B7B">
        <w:rPr>
          <w:rFonts w:ascii="Traditional Arabic" w:eastAsia="Calibri" w:hAnsi="Traditional Arabic" w:hint="cs"/>
          <w:color w:val="auto"/>
          <w:rtl/>
        </w:rPr>
        <w:t>التفسير</w:t>
      </w:r>
      <w:r w:rsidRPr="00C17B7B">
        <w:rPr>
          <w:rFonts w:ascii="Traditional Arabic" w:eastAsia="Calibri" w:hAnsi="Traditional Arabic"/>
          <w:color w:val="auto"/>
          <w:rtl/>
        </w:rPr>
        <w:t xml:space="preserve">, ثم أذكر أهم مؤلفاته المطبوعة في العلوم الأخرى: </w:t>
      </w:r>
    </w:p>
    <w:p w:rsidR="00D11232" w:rsidRPr="00C17B7B" w:rsidRDefault="00D11232" w:rsidP="00DA455D">
      <w:pPr>
        <w:spacing w:line="276" w:lineRule="auto"/>
        <w:contextualSpacing/>
        <w:jc w:val="lowKashida"/>
        <w:rPr>
          <w:rFonts w:ascii="Traditional Arabic" w:eastAsia="Calibri" w:hAnsi="Traditional Arabic"/>
          <w:b/>
          <w:bCs/>
          <w:color w:val="auto"/>
          <w:rtl/>
        </w:rPr>
      </w:pPr>
      <w:r w:rsidRPr="00C17B7B">
        <w:rPr>
          <w:rFonts w:ascii="Traditional Arabic" w:eastAsia="Calibri" w:hAnsi="Traditional Arabic"/>
          <w:b/>
          <w:bCs/>
          <w:color w:val="auto"/>
          <w:rtl/>
        </w:rPr>
        <w:t xml:space="preserve">أولاً: مؤلفاته فـي </w:t>
      </w:r>
      <w:r w:rsidR="00DA455D">
        <w:rPr>
          <w:rFonts w:ascii="Traditional Arabic" w:eastAsia="Calibri" w:hAnsi="Traditional Arabic" w:hint="cs"/>
          <w:b/>
          <w:bCs/>
          <w:color w:val="auto"/>
          <w:rtl/>
        </w:rPr>
        <w:t>علوم القرآن</w:t>
      </w:r>
      <w:r w:rsidRPr="00C17B7B">
        <w:rPr>
          <w:rFonts w:ascii="Traditional Arabic" w:eastAsia="Calibri" w:hAnsi="Traditional Arabic"/>
          <w:b/>
          <w:bCs/>
          <w:color w:val="auto"/>
          <w:rtl/>
        </w:rPr>
        <w:t>:</w:t>
      </w:r>
    </w:p>
    <w:p w:rsidR="00D11232" w:rsidRPr="00C17B7B" w:rsidRDefault="00D11232" w:rsidP="006D0169">
      <w:pPr>
        <w:numPr>
          <w:ilvl w:val="0"/>
          <w:numId w:val="2"/>
        </w:numPr>
        <w:spacing w:after="200" w:line="276" w:lineRule="auto"/>
        <w:ind w:left="0" w:firstLine="0"/>
        <w:contextualSpacing/>
        <w:jc w:val="lowKashida"/>
        <w:rPr>
          <w:rFonts w:ascii="Traditional Arabic" w:hAnsi="Traditional Arabic"/>
        </w:rPr>
      </w:pPr>
      <w:r w:rsidRPr="00C17B7B">
        <w:rPr>
          <w:rFonts w:ascii="Traditional Arabic" w:hAnsi="Traditional Arabic" w:hint="cs"/>
          <w:rtl/>
        </w:rPr>
        <w:t>أسباب النزول</w:t>
      </w:r>
      <w:r w:rsidR="00D753E7" w:rsidRPr="00D753E7">
        <w:rPr>
          <w:rStyle w:val="ae"/>
          <w:rtl/>
        </w:rPr>
        <w:t>(</w:t>
      </w:r>
      <w:r w:rsidR="00D753E7">
        <w:rPr>
          <w:rStyle w:val="ae"/>
          <w:rtl/>
        </w:rPr>
        <w:footnoteReference w:id="73"/>
      </w:r>
      <w:r w:rsidR="00D753E7" w:rsidRPr="00D753E7">
        <w:rPr>
          <w:rStyle w:val="ae"/>
          <w:rtl/>
        </w:rPr>
        <w:t>)</w:t>
      </w:r>
      <w:r w:rsidR="006D0169">
        <w:rPr>
          <w:rFonts w:ascii="Traditional Arabic" w:hAnsi="Traditional Arabic" w:hint="cs"/>
          <w:rtl/>
        </w:rPr>
        <w:t>.</w:t>
      </w:r>
    </w:p>
    <w:p w:rsidR="00D11232" w:rsidRPr="00C17B7B" w:rsidRDefault="006D0169" w:rsidP="00C443D8">
      <w:pPr>
        <w:numPr>
          <w:ilvl w:val="0"/>
          <w:numId w:val="2"/>
        </w:numPr>
        <w:spacing w:after="200" w:line="276" w:lineRule="auto"/>
        <w:ind w:left="720"/>
        <w:contextualSpacing/>
        <w:jc w:val="lowKashida"/>
        <w:rPr>
          <w:rFonts w:ascii="Traditional Arabic" w:hAnsi="Traditional Arabic"/>
        </w:rPr>
      </w:pPr>
      <w:r>
        <w:rPr>
          <w:rFonts w:ascii="Traditional Arabic" w:hAnsi="Traditional Arabic" w:hint="cs"/>
          <w:rtl/>
        </w:rPr>
        <w:t xml:space="preserve">الإشارة إلى القراءة المختارة, وهو </w:t>
      </w:r>
      <w:r w:rsidR="00D11232" w:rsidRPr="00C17B7B">
        <w:rPr>
          <w:rFonts w:ascii="Traditional Arabic" w:hAnsi="Traditional Arabic"/>
          <w:rtl/>
        </w:rPr>
        <w:t>أربعة أجزاء</w:t>
      </w:r>
      <w:r w:rsidR="00DA455D" w:rsidRPr="00DA455D">
        <w:rPr>
          <w:rStyle w:val="ae"/>
          <w:rtl/>
        </w:rPr>
        <w:t>(</w:t>
      </w:r>
      <w:r w:rsidR="00DA455D">
        <w:rPr>
          <w:rStyle w:val="ae"/>
          <w:rtl/>
        </w:rPr>
        <w:footnoteReference w:id="74"/>
      </w:r>
      <w:r w:rsidR="00DA455D" w:rsidRPr="00DA455D">
        <w:rPr>
          <w:rStyle w:val="ae"/>
          <w:rtl/>
        </w:rPr>
        <w:t>)</w:t>
      </w:r>
      <w:r w:rsidR="00D11232" w:rsidRPr="00C17B7B">
        <w:rPr>
          <w:rFonts w:ascii="Traditional Arabic" w:hAnsi="Traditional Arabic" w:hint="cs"/>
          <w:rtl/>
        </w:rPr>
        <w:t xml:space="preserve">. </w:t>
      </w:r>
    </w:p>
    <w:p w:rsidR="00D11232" w:rsidRPr="00C17B7B" w:rsidRDefault="00D11232" w:rsidP="00C443D8">
      <w:pPr>
        <w:numPr>
          <w:ilvl w:val="0"/>
          <w:numId w:val="2"/>
        </w:numPr>
        <w:spacing w:after="200" w:line="276" w:lineRule="auto"/>
        <w:ind w:left="0" w:firstLine="0"/>
        <w:contextualSpacing/>
        <w:jc w:val="lowKashida"/>
        <w:rPr>
          <w:rFonts w:ascii="Traditional Arabic" w:hAnsi="Traditional Arabic"/>
        </w:rPr>
      </w:pPr>
      <w:r w:rsidRPr="00C17B7B">
        <w:rPr>
          <w:rFonts w:ascii="Traditional Arabic" w:hAnsi="Traditional Arabic" w:hint="cs"/>
          <w:rtl/>
        </w:rPr>
        <w:t>تذكرة الأريب في تفسير الغريب</w:t>
      </w:r>
      <w:r w:rsidR="00D753E7" w:rsidRPr="00D753E7">
        <w:rPr>
          <w:rStyle w:val="ae"/>
          <w:rtl/>
        </w:rPr>
        <w:t>(</w:t>
      </w:r>
      <w:r w:rsidR="00D753E7">
        <w:rPr>
          <w:rStyle w:val="ae"/>
          <w:rtl/>
        </w:rPr>
        <w:footnoteReference w:id="75"/>
      </w:r>
      <w:r w:rsidR="00D753E7" w:rsidRPr="00D753E7">
        <w:rPr>
          <w:rStyle w:val="ae"/>
          <w:rtl/>
        </w:rPr>
        <w:t>)</w:t>
      </w:r>
      <w:r w:rsidRPr="00C17B7B">
        <w:rPr>
          <w:rFonts w:ascii="Traditional Arabic" w:hAnsi="Traditional Arabic" w:hint="cs"/>
          <w:rtl/>
        </w:rPr>
        <w:t xml:space="preserve">. </w:t>
      </w:r>
    </w:p>
    <w:p w:rsidR="00D11232" w:rsidRPr="00C17B7B" w:rsidRDefault="00D11232" w:rsidP="00C443D8">
      <w:pPr>
        <w:numPr>
          <w:ilvl w:val="0"/>
          <w:numId w:val="2"/>
        </w:numPr>
        <w:spacing w:after="200" w:line="276" w:lineRule="auto"/>
        <w:ind w:left="0" w:firstLine="0"/>
        <w:contextualSpacing/>
        <w:jc w:val="lowKashida"/>
        <w:rPr>
          <w:rFonts w:ascii="Traditional Arabic" w:hAnsi="Traditional Arabic"/>
        </w:rPr>
      </w:pPr>
      <w:r w:rsidRPr="00C17B7B">
        <w:rPr>
          <w:rFonts w:ascii="Traditional Arabic" w:hAnsi="Traditional Arabic" w:hint="cs"/>
          <w:rtl/>
        </w:rPr>
        <w:t>تذكرة المنتبه في عيون المشتبه. ذكره ابن رجب</w:t>
      </w:r>
      <w:r w:rsidR="00F85B95" w:rsidRPr="00F85B95">
        <w:rPr>
          <w:rStyle w:val="ae"/>
          <w:rtl/>
        </w:rPr>
        <w:t>(</w:t>
      </w:r>
      <w:r w:rsidR="00F85B95">
        <w:rPr>
          <w:rStyle w:val="ae"/>
          <w:rtl/>
        </w:rPr>
        <w:footnoteReference w:id="76"/>
      </w:r>
      <w:r w:rsidR="00F85B95" w:rsidRPr="00F85B95">
        <w:rPr>
          <w:rStyle w:val="ae"/>
          <w:rtl/>
        </w:rPr>
        <w:t>)</w:t>
      </w:r>
      <w:r w:rsidRPr="00C17B7B">
        <w:rPr>
          <w:rFonts w:ascii="Traditional Arabic" w:hAnsi="Traditional Arabic" w:hint="cs"/>
          <w:rtl/>
        </w:rPr>
        <w:t>، وحاجي خليفة، وقال: إنه في القراءات، وأورد فيه المؤلف متشابه القرآن</w:t>
      </w:r>
      <w:r w:rsidR="00F85B95" w:rsidRPr="00F85B95">
        <w:rPr>
          <w:rStyle w:val="ae"/>
          <w:rtl/>
        </w:rPr>
        <w:t>(</w:t>
      </w:r>
      <w:r w:rsidR="00F85B95">
        <w:rPr>
          <w:rStyle w:val="ae"/>
          <w:rtl/>
        </w:rPr>
        <w:footnoteReference w:id="77"/>
      </w:r>
      <w:r w:rsidR="00F85B95" w:rsidRPr="00F85B95">
        <w:rPr>
          <w:rStyle w:val="ae"/>
          <w:rtl/>
        </w:rPr>
        <w:t>)</w:t>
      </w:r>
      <w:r w:rsidRPr="00C17B7B">
        <w:rPr>
          <w:rFonts w:ascii="Traditional Arabic" w:hAnsi="Traditional Arabic" w:hint="cs"/>
          <w:rtl/>
        </w:rPr>
        <w:t>.</w:t>
      </w:r>
    </w:p>
    <w:p w:rsidR="00D11232" w:rsidRPr="00C17B7B" w:rsidRDefault="00D11232" w:rsidP="00C443D8">
      <w:pPr>
        <w:numPr>
          <w:ilvl w:val="0"/>
          <w:numId w:val="2"/>
        </w:numPr>
        <w:spacing w:after="200" w:line="276" w:lineRule="auto"/>
        <w:ind w:left="0" w:firstLine="0"/>
        <w:contextualSpacing/>
        <w:jc w:val="lowKashida"/>
        <w:rPr>
          <w:rFonts w:ascii="Traditional Arabic" w:hAnsi="Traditional Arabic"/>
        </w:rPr>
      </w:pPr>
      <w:r w:rsidRPr="00C17B7B">
        <w:rPr>
          <w:rFonts w:ascii="Traditional Arabic" w:hAnsi="Traditional Arabic" w:hint="cs"/>
          <w:rtl/>
        </w:rPr>
        <w:t>تفسير الفاتحة: قال العلوجي: ذكر برو كلمان أنه يوجد منه نسخة في مكتبة زادة، قاضي عسكر محمد مراد باستانبول تحت رقم (63)</w:t>
      </w:r>
      <w:r w:rsidR="00F85B95" w:rsidRPr="00F85B95">
        <w:rPr>
          <w:rStyle w:val="ae"/>
          <w:rtl/>
        </w:rPr>
        <w:t>(</w:t>
      </w:r>
      <w:r w:rsidR="00F85B95">
        <w:rPr>
          <w:rStyle w:val="ae"/>
          <w:rtl/>
        </w:rPr>
        <w:footnoteReference w:id="78"/>
      </w:r>
      <w:r w:rsidR="00F85B95" w:rsidRPr="00F85B95">
        <w:rPr>
          <w:rStyle w:val="ae"/>
          <w:rtl/>
        </w:rPr>
        <w:t>)</w:t>
      </w:r>
      <w:r w:rsidRPr="00C17B7B">
        <w:rPr>
          <w:rFonts w:ascii="Traditional Arabic" w:hAnsi="Traditional Arabic" w:hint="cs"/>
          <w:rtl/>
        </w:rPr>
        <w:t>.</w:t>
      </w:r>
    </w:p>
    <w:p w:rsidR="00D11232" w:rsidRPr="00C17B7B" w:rsidRDefault="00D11232" w:rsidP="006D0169">
      <w:pPr>
        <w:numPr>
          <w:ilvl w:val="0"/>
          <w:numId w:val="2"/>
        </w:numPr>
        <w:spacing w:after="200" w:line="276" w:lineRule="auto"/>
        <w:ind w:left="0" w:firstLine="0"/>
        <w:contextualSpacing/>
        <w:jc w:val="lowKashida"/>
        <w:rPr>
          <w:rFonts w:ascii="Traditional Arabic" w:hAnsi="Traditional Arabic"/>
        </w:rPr>
      </w:pPr>
      <w:r w:rsidRPr="00C17B7B">
        <w:rPr>
          <w:rFonts w:ascii="Traditional Arabic" w:hAnsi="Traditional Arabic" w:hint="cs"/>
          <w:rtl/>
        </w:rPr>
        <w:t>التلخيص: قال العلوجي: ذكره سبط ابن ال</w:t>
      </w:r>
      <w:r w:rsidR="006D0169">
        <w:rPr>
          <w:rFonts w:ascii="Traditional Arabic" w:hAnsi="Traditional Arabic" w:hint="cs"/>
          <w:rtl/>
        </w:rPr>
        <w:t>جوزي في مرآة الزمان مرتين، وهو</w:t>
      </w:r>
      <w:r w:rsidRPr="00C17B7B">
        <w:rPr>
          <w:rFonts w:ascii="Traditional Arabic" w:hAnsi="Traditional Arabic" w:hint="cs"/>
          <w:rtl/>
        </w:rPr>
        <w:t xml:space="preserve"> </w:t>
      </w:r>
      <w:r w:rsidR="006D0169">
        <w:rPr>
          <w:rFonts w:ascii="Traditional Arabic" w:hAnsi="Traditional Arabic" w:hint="cs"/>
          <w:rtl/>
        </w:rPr>
        <w:lastRenderedPageBreak/>
        <w:t>مجلد واحد</w:t>
      </w:r>
      <w:r w:rsidRPr="00C17B7B">
        <w:rPr>
          <w:rFonts w:ascii="Traditional Arabic" w:hAnsi="Traditional Arabic" w:hint="cs"/>
          <w:rtl/>
        </w:rPr>
        <w:t xml:space="preserve"> </w:t>
      </w:r>
      <w:r w:rsidR="006D0169">
        <w:rPr>
          <w:rFonts w:ascii="Traditional Arabic" w:hAnsi="Traditional Arabic" w:hint="cs"/>
          <w:rtl/>
        </w:rPr>
        <w:t xml:space="preserve">في </w:t>
      </w:r>
      <w:r w:rsidRPr="00C17B7B">
        <w:rPr>
          <w:rFonts w:ascii="Traditional Arabic" w:hAnsi="Traditional Arabic" w:hint="cs"/>
          <w:rtl/>
        </w:rPr>
        <w:t>علم التفسير</w:t>
      </w:r>
      <w:r w:rsidR="00477730" w:rsidRPr="00477730">
        <w:rPr>
          <w:rStyle w:val="ae"/>
          <w:rtl/>
        </w:rPr>
        <w:t>(</w:t>
      </w:r>
      <w:r w:rsidR="00477730">
        <w:rPr>
          <w:rStyle w:val="ae"/>
          <w:rtl/>
        </w:rPr>
        <w:footnoteReference w:id="79"/>
      </w:r>
      <w:r w:rsidR="00477730" w:rsidRPr="00477730">
        <w:rPr>
          <w:rStyle w:val="ae"/>
          <w:rtl/>
        </w:rPr>
        <w:t>)</w:t>
      </w:r>
      <w:r w:rsidRPr="00C17B7B">
        <w:rPr>
          <w:rFonts w:ascii="Traditional Arabic" w:hAnsi="Traditional Arabic" w:hint="cs"/>
          <w:rtl/>
        </w:rPr>
        <w:t>.</w:t>
      </w:r>
    </w:p>
    <w:p w:rsidR="00D11232" w:rsidRPr="00C17B7B" w:rsidRDefault="00D11232" w:rsidP="00C443D8">
      <w:pPr>
        <w:numPr>
          <w:ilvl w:val="0"/>
          <w:numId w:val="2"/>
        </w:numPr>
        <w:spacing w:after="200" w:line="276" w:lineRule="auto"/>
        <w:ind w:left="0" w:firstLine="0"/>
        <w:contextualSpacing/>
        <w:jc w:val="lowKashida"/>
        <w:rPr>
          <w:rFonts w:ascii="Traditional Arabic" w:hAnsi="Traditional Arabic"/>
        </w:rPr>
      </w:pPr>
      <w:r w:rsidRPr="00C17B7B">
        <w:rPr>
          <w:rFonts w:ascii="Traditional Arabic" w:hAnsi="Traditional Arabic" w:hint="cs"/>
          <w:rtl/>
        </w:rPr>
        <w:t>تيسير البيان في تفسير القرآن، ذكره بهذا الاسم ابن أبيك في الوافي بالوفيات، وابن رجب في ذيل الطبقات</w:t>
      </w:r>
      <w:r w:rsidR="00477730" w:rsidRPr="00477730">
        <w:rPr>
          <w:rStyle w:val="ae"/>
          <w:rtl/>
        </w:rPr>
        <w:t>(</w:t>
      </w:r>
      <w:r w:rsidR="00477730">
        <w:rPr>
          <w:rStyle w:val="ae"/>
          <w:rtl/>
        </w:rPr>
        <w:footnoteReference w:id="80"/>
      </w:r>
      <w:r w:rsidR="00477730" w:rsidRPr="00477730">
        <w:rPr>
          <w:rStyle w:val="ae"/>
          <w:rtl/>
        </w:rPr>
        <w:t>)</w:t>
      </w:r>
      <w:r w:rsidRPr="00C17B7B">
        <w:rPr>
          <w:rFonts w:ascii="Traditional Arabic" w:hAnsi="Traditional Arabic" w:hint="cs"/>
          <w:rtl/>
        </w:rPr>
        <w:t>، وذكره ابن الجوزي في مقدمة كتابه نواسخ القرآن</w:t>
      </w:r>
      <w:r w:rsidR="00477730" w:rsidRPr="00477730">
        <w:rPr>
          <w:rStyle w:val="ae"/>
          <w:rtl/>
        </w:rPr>
        <w:t>(</w:t>
      </w:r>
      <w:r w:rsidR="00477730">
        <w:rPr>
          <w:rStyle w:val="ae"/>
          <w:rtl/>
        </w:rPr>
        <w:footnoteReference w:id="81"/>
      </w:r>
      <w:r w:rsidR="00477730" w:rsidRPr="00477730">
        <w:rPr>
          <w:rStyle w:val="ae"/>
          <w:rtl/>
        </w:rPr>
        <w:t>)</w:t>
      </w:r>
      <w:r w:rsidRPr="00C17B7B">
        <w:rPr>
          <w:rFonts w:ascii="Traditional Arabic" w:hAnsi="Traditional Arabic" w:hint="cs"/>
          <w:rtl/>
        </w:rPr>
        <w:t xml:space="preserve"> باسم تيسير التبيان في علم القرآن.</w:t>
      </w:r>
    </w:p>
    <w:p w:rsidR="00D11232" w:rsidRPr="00C17B7B" w:rsidRDefault="00D11232" w:rsidP="00C443D8">
      <w:pPr>
        <w:numPr>
          <w:ilvl w:val="0"/>
          <w:numId w:val="2"/>
        </w:numPr>
        <w:spacing w:after="200" w:line="276" w:lineRule="auto"/>
        <w:ind w:left="611"/>
        <w:contextualSpacing/>
        <w:jc w:val="lowKashida"/>
        <w:rPr>
          <w:rFonts w:ascii="Traditional Arabic" w:hAnsi="Traditional Arabic"/>
        </w:rPr>
      </w:pPr>
      <w:r w:rsidRPr="00C17B7B">
        <w:rPr>
          <w:rFonts w:ascii="Traditional Arabic" w:hAnsi="Traditional Arabic" w:hint="cs"/>
          <w:rtl/>
        </w:rPr>
        <w:t>الرسوخ في علم الناسخ والمنسوخ</w:t>
      </w:r>
      <w:r w:rsidR="0000591D">
        <w:rPr>
          <w:rFonts w:ascii="Traditional Arabic" w:hAnsi="Traditional Arabic" w:hint="cs"/>
          <w:rtl/>
        </w:rPr>
        <w:t xml:space="preserve"> </w:t>
      </w:r>
      <w:r w:rsidRPr="00C17B7B">
        <w:rPr>
          <w:rFonts w:ascii="Traditional Arabic" w:hAnsi="Traditional Arabic"/>
          <w:rtl/>
        </w:rPr>
        <w:t>قال العلوجي: "يوجد قطعة منه ضمن مجموعة في الأمبروزيانا تحت رقم: (304د)</w:t>
      </w:r>
      <w:r w:rsidRPr="00C17B7B">
        <w:rPr>
          <w:rFonts w:ascii="Traditional Arabic" w:hAnsi="Traditional Arabic" w:hint="cs"/>
          <w:rtl/>
        </w:rPr>
        <w:t>"</w:t>
      </w:r>
      <w:r w:rsidR="00477730" w:rsidRPr="00477730">
        <w:rPr>
          <w:rStyle w:val="ae"/>
          <w:rtl/>
        </w:rPr>
        <w:t>(</w:t>
      </w:r>
      <w:r w:rsidR="00477730">
        <w:rPr>
          <w:rStyle w:val="ae"/>
          <w:rtl/>
        </w:rPr>
        <w:footnoteReference w:id="82"/>
      </w:r>
      <w:r w:rsidR="00477730" w:rsidRPr="00477730">
        <w:rPr>
          <w:rStyle w:val="ae"/>
          <w:rtl/>
        </w:rPr>
        <w:t>)</w:t>
      </w:r>
      <w:r w:rsidRPr="00C17B7B">
        <w:rPr>
          <w:rFonts w:ascii="Traditional Arabic" w:hAnsi="Traditional Arabic" w:hint="cs"/>
          <w:rtl/>
        </w:rPr>
        <w:t>.</w:t>
      </w:r>
    </w:p>
    <w:p w:rsidR="00D11232" w:rsidRPr="00C17B7B" w:rsidRDefault="00D11232" w:rsidP="00C443D8">
      <w:pPr>
        <w:numPr>
          <w:ilvl w:val="0"/>
          <w:numId w:val="2"/>
        </w:numPr>
        <w:spacing w:after="200" w:line="276" w:lineRule="auto"/>
        <w:ind w:left="0" w:firstLine="0"/>
        <w:contextualSpacing/>
        <w:jc w:val="lowKashida"/>
        <w:rPr>
          <w:rFonts w:ascii="Traditional Arabic" w:hAnsi="Traditional Arabic"/>
        </w:rPr>
      </w:pPr>
      <w:r w:rsidRPr="00C17B7B">
        <w:rPr>
          <w:rFonts w:ascii="Traditional Arabic" w:hAnsi="Traditional Arabic"/>
          <w:rtl/>
        </w:rPr>
        <w:t>زاد المسير في علوم التفسير:</w:t>
      </w:r>
      <w:r w:rsidRPr="00C17B7B">
        <w:rPr>
          <w:rFonts w:ascii="Traditional Arabic" w:hAnsi="Traditional Arabic" w:hint="cs"/>
          <w:rtl/>
        </w:rPr>
        <w:t xml:space="preserve"> وهذا الذي نحن بصدد تحقيقه الآن، وسيأتي الكلام عنه إن شاء الله مفصلا.</w:t>
      </w:r>
    </w:p>
    <w:p w:rsidR="00D11232" w:rsidRPr="00C17B7B" w:rsidRDefault="00D11232" w:rsidP="00C443D8">
      <w:pPr>
        <w:numPr>
          <w:ilvl w:val="0"/>
          <w:numId w:val="2"/>
        </w:numPr>
        <w:spacing w:after="200" w:line="276" w:lineRule="auto"/>
        <w:ind w:left="0" w:firstLine="0"/>
        <w:contextualSpacing/>
        <w:jc w:val="lowKashida"/>
        <w:rPr>
          <w:rFonts w:ascii="Traditional Arabic" w:hAnsi="Traditional Arabic"/>
        </w:rPr>
      </w:pPr>
      <w:r w:rsidRPr="00C17B7B">
        <w:rPr>
          <w:rFonts w:ascii="Traditional Arabic" w:hAnsi="Traditional Arabic" w:hint="cs"/>
          <w:rtl/>
        </w:rPr>
        <w:t>غريب الغريب: ذكره ابن رجب</w:t>
      </w:r>
      <w:r w:rsidR="00477730" w:rsidRPr="00477730">
        <w:rPr>
          <w:rStyle w:val="ae"/>
          <w:rtl/>
        </w:rPr>
        <w:t>(</w:t>
      </w:r>
      <w:r w:rsidR="00477730">
        <w:rPr>
          <w:rStyle w:val="ae"/>
          <w:rtl/>
        </w:rPr>
        <w:footnoteReference w:id="83"/>
      </w:r>
      <w:r w:rsidR="00477730" w:rsidRPr="00477730">
        <w:rPr>
          <w:rStyle w:val="ae"/>
          <w:rtl/>
        </w:rPr>
        <w:t>)</w:t>
      </w:r>
      <w:r w:rsidRPr="00C17B7B">
        <w:rPr>
          <w:rFonts w:ascii="Traditional Arabic" w:hAnsi="Traditional Arabic" w:hint="cs"/>
          <w:rtl/>
        </w:rPr>
        <w:t xml:space="preserve">، وفي هدية العارفين </w:t>
      </w:r>
      <w:r w:rsidR="00477730">
        <w:rPr>
          <w:rFonts w:ascii="Traditional Arabic" w:hAnsi="Traditional Arabic" w:hint="cs"/>
          <w:rtl/>
        </w:rPr>
        <w:t>"</w:t>
      </w:r>
      <w:r w:rsidRPr="00C17B7B">
        <w:rPr>
          <w:rFonts w:ascii="Traditional Arabic" w:hAnsi="Traditional Arabic" w:hint="cs"/>
          <w:rtl/>
        </w:rPr>
        <w:t>غريب العزيز</w:t>
      </w:r>
      <w:r w:rsidR="00477730">
        <w:rPr>
          <w:rFonts w:hint="cs"/>
          <w:rtl/>
        </w:rPr>
        <w:t>"</w:t>
      </w:r>
      <w:r w:rsidR="00477730" w:rsidRPr="00477730">
        <w:rPr>
          <w:rStyle w:val="ae"/>
          <w:rtl/>
        </w:rPr>
        <w:t>(</w:t>
      </w:r>
      <w:r w:rsidR="00477730">
        <w:rPr>
          <w:rStyle w:val="ae"/>
          <w:rtl/>
        </w:rPr>
        <w:footnoteReference w:id="84"/>
      </w:r>
      <w:r w:rsidR="00477730" w:rsidRPr="00477730">
        <w:rPr>
          <w:rStyle w:val="ae"/>
          <w:rtl/>
        </w:rPr>
        <w:t>)</w:t>
      </w:r>
      <w:r w:rsidRPr="00C17B7B">
        <w:rPr>
          <w:rFonts w:ascii="Traditional Arabic" w:hAnsi="Traditional Arabic" w:hint="cs"/>
          <w:rtl/>
        </w:rPr>
        <w:t>.</w:t>
      </w:r>
    </w:p>
    <w:p w:rsidR="00D11232" w:rsidRPr="00C17B7B" w:rsidRDefault="00D11232" w:rsidP="00C443D8">
      <w:pPr>
        <w:numPr>
          <w:ilvl w:val="0"/>
          <w:numId w:val="2"/>
        </w:numPr>
        <w:spacing w:after="200" w:line="276" w:lineRule="auto"/>
        <w:ind w:left="0" w:firstLine="0"/>
        <w:contextualSpacing/>
        <w:jc w:val="lowKashida"/>
        <w:rPr>
          <w:rFonts w:ascii="Traditional Arabic" w:hAnsi="Traditional Arabic"/>
        </w:rPr>
      </w:pPr>
      <w:r w:rsidRPr="00C17B7B">
        <w:rPr>
          <w:rFonts w:ascii="Traditional Arabic" w:hAnsi="Traditional Arabic" w:hint="cs"/>
          <w:rtl/>
        </w:rPr>
        <w:t>فنون الأفنان في علوم القرآن: ذكره ابن رجب بعنوان: فنون الأفنان في عيون علوم القرآن</w:t>
      </w:r>
      <w:r w:rsidR="00477730" w:rsidRPr="00477730">
        <w:rPr>
          <w:rStyle w:val="ae"/>
          <w:rtl/>
        </w:rPr>
        <w:t>(</w:t>
      </w:r>
      <w:r w:rsidR="00477730">
        <w:rPr>
          <w:rStyle w:val="ae"/>
          <w:rtl/>
        </w:rPr>
        <w:footnoteReference w:id="85"/>
      </w:r>
      <w:r w:rsidR="00477730" w:rsidRPr="00477730">
        <w:rPr>
          <w:rStyle w:val="ae"/>
          <w:rtl/>
        </w:rPr>
        <w:t>)</w:t>
      </w:r>
      <w:r w:rsidRPr="00C17B7B">
        <w:rPr>
          <w:rFonts w:ascii="Traditional Arabic" w:hAnsi="Traditional Arabic" w:hint="cs"/>
          <w:rtl/>
        </w:rPr>
        <w:t>.</w:t>
      </w:r>
    </w:p>
    <w:p w:rsidR="00D11232" w:rsidRPr="00C17B7B" w:rsidRDefault="00D11232" w:rsidP="00C443D8">
      <w:pPr>
        <w:numPr>
          <w:ilvl w:val="0"/>
          <w:numId w:val="2"/>
        </w:numPr>
        <w:spacing w:after="200" w:line="276" w:lineRule="auto"/>
        <w:ind w:left="0" w:firstLine="0"/>
        <w:contextualSpacing/>
        <w:jc w:val="lowKashida"/>
        <w:rPr>
          <w:rFonts w:ascii="Traditional Arabic" w:hAnsi="Traditional Arabic"/>
        </w:rPr>
      </w:pPr>
      <w:r w:rsidRPr="00C17B7B">
        <w:rPr>
          <w:rFonts w:ascii="Traditional Arabic" w:hAnsi="Traditional Arabic" w:hint="cs"/>
          <w:rtl/>
        </w:rPr>
        <w:t>كتاب السبعة في قراءات السبع</w:t>
      </w:r>
      <w:r w:rsidR="00477730" w:rsidRPr="00477730">
        <w:rPr>
          <w:rStyle w:val="ae"/>
          <w:rtl/>
        </w:rPr>
        <w:t>(</w:t>
      </w:r>
      <w:r w:rsidR="00477730">
        <w:rPr>
          <w:rStyle w:val="ae"/>
          <w:rtl/>
        </w:rPr>
        <w:footnoteReference w:id="86"/>
      </w:r>
      <w:r w:rsidR="00477730" w:rsidRPr="00477730">
        <w:rPr>
          <w:rStyle w:val="ae"/>
          <w:rtl/>
        </w:rPr>
        <w:t>)</w:t>
      </w:r>
      <w:r w:rsidRPr="00C17B7B">
        <w:rPr>
          <w:rFonts w:ascii="Traditional Arabic" w:hAnsi="Traditional Arabic" w:hint="cs"/>
          <w:rtl/>
        </w:rPr>
        <w:t>.</w:t>
      </w:r>
    </w:p>
    <w:p w:rsidR="00D11232" w:rsidRPr="00C17B7B" w:rsidRDefault="00D11232" w:rsidP="00C443D8">
      <w:pPr>
        <w:numPr>
          <w:ilvl w:val="0"/>
          <w:numId w:val="2"/>
        </w:numPr>
        <w:spacing w:after="200" w:line="276" w:lineRule="auto"/>
        <w:ind w:left="0" w:firstLine="0"/>
        <w:contextualSpacing/>
        <w:jc w:val="lowKashida"/>
        <w:rPr>
          <w:rFonts w:ascii="Traditional Arabic" w:hAnsi="Traditional Arabic"/>
        </w:rPr>
      </w:pPr>
      <w:r w:rsidRPr="00C17B7B">
        <w:rPr>
          <w:rFonts w:ascii="Traditional Arabic" w:hAnsi="Traditional Arabic" w:hint="cs"/>
          <w:rtl/>
        </w:rPr>
        <w:t>كتاب في عجائب علوم القرآن</w:t>
      </w:r>
      <w:r w:rsidR="00477730" w:rsidRPr="00477730">
        <w:rPr>
          <w:rStyle w:val="ae"/>
          <w:rtl/>
        </w:rPr>
        <w:t>(</w:t>
      </w:r>
      <w:r w:rsidR="00477730">
        <w:rPr>
          <w:rStyle w:val="ae"/>
          <w:rtl/>
        </w:rPr>
        <w:footnoteReference w:id="87"/>
      </w:r>
      <w:r w:rsidR="00477730" w:rsidRPr="00477730">
        <w:rPr>
          <w:rStyle w:val="ae"/>
          <w:rtl/>
        </w:rPr>
        <w:t>)</w:t>
      </w:r>
      <w:r w:rsidRPr="00C17B7B">
        <w:rPr>
          <w:rFonts w:ascii="Traditional Arabic" w:hAnsi="Traditional Arabic" w:hint="cs"/>
          <w:rtl/>
        </w:rPr>
        <w:t>.</w:t>
      </w:r>
    </w:p>
    <w:p w:rsidR="00D11232" w:rsidRPr="00C17B7B" w:rsidRDefault="00D11232" w:rsidP="006D0169">
      <w:pPr>
        <w:numPr>
          <w:ilvl w:val="0"/>
          <w:numId w:val="2"/>
        </w:numPr>
        <w:spacing w:after="200" w:line="276" w:lineRule="auto"/>
        <w:ind w:left="0" w:firstLine="0"/>
        <w:contextualSpacing/>
        <w:jc w:val="lowKashida"/>
        <w:rPr>
          <w:rFonts w:ascii="Traditional Arabic" w:hAnsi="Traditional Arabic"/>
        </w:rPr>
      </w:pPr>
      <w:r w:rsidRPr="00C17B7B">
        <w:rPr>
          <w:rFonts w:ascii="Traditional Arabic" w:hAnsi="Traditional Arabic" w:hint="cs"/>
          <w:rtl/>
        </w:rPr>
        <w:lastRenderedPageBreak/>
        <w:t>المجتبى من المجتبي: يوجد منه نسخة مخطوطة في دار الكتب المصرية مصورة من استانبول تحت رقم (5/325)، و(6/188)</w:t>
      </w:r>
      <w:r w:rsidR="008135E0" w:rsidRPr="008135E0">
        <w:rPr>
          <w:rStyle w:val="ae"/>
          <w:rtl/>
        </w:rPr>
        <w:t>(</w:t>
      </w:r>
      <w:r w:rsidR="008135E0">
        <w:rPr>
          <w:rStyle w:val="ae"/>
          <w:rtl/>
        </w:rPr>
        <w:footnoteReference w:id="88"/>
      </w:r>
      <w:r w:rsidR="008135E0" w:rsidRPr="008135E0">
        <w:rPr>
          <w:rStyle w:val="ae"/>
          <w:rtl/>
        </w:rPr>
        <w:t>)</w:t>
      </w:r>
      <w:r w:rsidRPr="00C17B7B">
        <w:rPr>
          <w:rFonts w:ascii="Traditional Arabic" w:hAnsi="Traditional Arabic" w:hint="cs"/>
          <w:rtl/>
        </w:rPr>
        <w:t>.</w:t>
      </w:r>
    </w:p>
    <w:p w:rsidR="00D11232" w:rsidRPr="00C17B7B" w:rsidRDefault="00D11232" w:rsidP="00C443D8">
      <w:pPr>
        <w:numPr>
          <w:ilvl w:val="0"/>
          <w:numId w:val="2"/>
        </w:numPr>
        <w:spacing w:after="200" w:line="276" w:lineRule="auto"/>
        <w:ind w:left="0" w:firstLine="0"/>
        <w:contextualSpacing/>
        <w:jc w:val="lowKashida"/>
        <w:rPr>
          <w:rFonts w:ascii="Traditional Arabic" w:hAnsi="Traditional Arabic"/>
        </w:rPr>
      </w:pPr>
      <w:r w:rsidRPr="00C17B7B">
        <w:rPr>
          <w:rFonts w:ascii="Traditional Arabic" w:hAnsi="Traditional Arabic" w:hint="cs"/>
          <w:rtl/>
        </w:rPr>
        <w:t>المجتبي في علوم القرآن: قال برو كلمان: يوجد منه نسخة مخطوطة في دار الكتب ال</w:t>
      </w:r>
      <w:r w:rsidR="006D0169">
        <w:rPr>
          <w:rFonts w:ascii="Traditional Arabic" w:hAnsi="Traditional Arabic" w:hint="cs"/>
          <w:rtl/>
        </w:rPr>
        <w:t>خ</w:t>
      </w:r>
      <w:r w:rsidRPr="00C17B7B">
        <w:rPr>
          <w:rFonts w:ascii="Traditional Arabic" w:hAnsi="Traditional Arabic" w:hint="cs"/>
          <w:rtl/>
        </w:rPr>
        <w:t>ديوية تحت رقم: (7/530)، ودار الكتب المصرية تحت رقم: (5/325)</w:t>
      </w:r>
      <w:r w:rsidR="008135E0" w:rsidRPr="008135E0">
        <w:rPr>
          <w:rStyle w:val="ae"/>
          <w:rtl/>
        </w:rPr>
        <w:t>(</w:t>
      </w:r>
      <w:r w:rsidR="008135E0">
        <w:rPr>
          <w:rStyle w:val="ae"/>
          <w:rtl/>
        </w:rPr>
        <w:footnoteReference w:id="89"/>
      </w:r>
      <w:r w:rsidR="008135E0" w:rsidRPr="008135E0">
        <w:rPr>
          <w:rStyle w:val="ae"/>
          <w:rtl/>
        </w:rPr>
        <w:t>)</w:t>
      </w:r>
      <w:r w:rsidRPr="00C17B7B">
        <w:rPr>
          <w:rFonts w:ascii="Traditional Arabic" w:hAnsi="Traditional Arabic" w:hint="cs"/>
          <w:rtl/>
        </w:rPr>
        <w:t>.</w:t>
      </w:r>
    </w:p>
    <w:p w:rsidR="00D11232" w:rsidRPr="00C17B7B" w:rsidRDefault="00D11232" w:rsidP="00C443D8">
      <w:pPr>
        <w:numPr>
          <w:ilvl w:val="0"/>
          <w:numId w:val="2"/>
        </w:numPr>
        <w:spacing w:after="200" w:line="276" w:lineRule="auto"/>
        <w:ind w:left="0" w:firstLine="0"/>
        <w:contextualSpacing/>
        <w:jc w:val="lowKashida"/>
        <w:rPr>
          <w:rFonts w:ascii="Traditional Arabic" w:hAnsi="Traditional Arabic"/>
        </w:rPr>
      </w:pPr>
      <w:r w:rsidRPr="00C17B7B">
        <w:rPr>
          <w:rFonts w:ascii="Traditional Arabic" w:hAnsi="Traditional Arabic" w:hint="cs"/>
          <w:rtl/>
        </w:rPr>
        <w:t>مختصر فنون الأفنان في علوم القرآن: ذكر برو كلمان أن له نسخة في دار الكتب الديوية تحت رقم: (7/530)، ودار الكتب المصرية تحت رقم (1/61)، ونسخة أخرى في مكتبة (الغازي خروبك بسراجيفوا) في يوغوسلافيا ضمن مجموعة تحت رقم (300)</w:t>
      </w:r>
      <w:r w:rsidR="008135E0" w:rsidRPr="008135E0">
        <w:rPr>
          <w:rStyle w:val="ae"/>
          <w:rtl/>
        </w:rPr>
        <w:t>(</w:t>
      </w:r>
      <w:r w:rsidR="008135E0">
        <w:rPr>
          <w:rStyle w:val="ae"/>
          <w:rtl/>
        </w:rPr>
        <w:footnoteReference w:id="90"/>
      </w:r>
      <w:r w:rsidR="008135E0" w:rsidRPr="008135E0">
        <w:rPr>
          <w:rStyle w:val="ae"/>
          <w:rtl/>
        </w:rPr>
        <w:t>)</w:t>
      </w:r>
      <w:r w:rsidRPr="00C17B7B">
        <w:rPr>
          <w:rFonts w:ascii="Traditional Arabic" w:hAnsi="Traditional Arabic" w:hint="cs"/>
          <w:rtl/>
        </w:rPr>
        <w:t>.</w:t>
      </w:r>
    </w:p>
    <w:p w:rsidR="00D11232" w:rsidRPr="00C17B7B" w:rsidRDefault="00D11232" w:rsidP="00C443D8">
      <w:pPr>
        <w:numPr>
          <w:ilvl w:val="0"/>
          <w:numId w:val="2"/>
        </w:numPr>
        <w:spacing w:after="200" w:line="276" w:lineRule="auto"/>
        <w:ind w:left="0" w:firstLine="0"/>
        <w:contextualSpacing/>
        <w:jc w:val="lowKashida"/>
        <w:rPr>
          <w:rFonts w:ascii="Traditional Arabic" w:hAnsi="Traditional Arabic"/>
        </w:rPr>
      </w:pPr>
      <w:r w:rsidRPr="00C17B7B">
        <w:rPr>
          <w:rFonts w:ascii="Traditional Arabic" w:hAnsi="Traditional Arabic" w:hint="cs"/>
          <w:rtl/>
        </w:rPr>
        <w:t>مختصر قرة العيون النواظر في الوجوه والنظائر: يوجد له نسخة في دار الكتب المصرية تحت رقم (2/36)، في مجموعة الأحمدي بطنطا، ونسخة أخرى في مجموعة طلعة تحت رقم (471)</w:t>
      </w:r>
      <w:r w:rsidR="00936A7E" w:rsidRPr="00936A7E">
        <w:rPr>
          <w:rStyle w:val="ae"/>
          <w:rtl/>
        </w:rPr>
        <w:t>(</w:t>
      </w:r>
      <w:r w:rsidR="00936A7E">
        <w:rPr>
          <w:rStyle w:val="ae"/>
          <w:rtl/>
        </w:rPr>
        <w:footnoteReference w:id="91"/>
      </w:r>
      <w:r w:rsidR="00936A7E" w:rsidRPr="00936A7E">
        <w:rPr>
          <w:rStyle w:val="ae"/>
          <w:rtl/>
        </w:rPr>
        <w:t>)</w:t>
      </w:r>
      <w:r w:rsidRPr="00C17B7B">
        <w:rPr>
          <w:rFonts w:ascii="Traditional Arabic" w:hAnsi="Traditional Arabic" w:hint="cs"/>
          <w:rtl/>
        </w:rPr>
        <w:t>.</w:t>
      </w:r>
    </w:p>
    <w:p w:rsidR="00D11232" w:rsidRPr="00C17B7B" w:rsidRDefault="00D11232" w:rsidP="00C443D8">
      <w:pPr>
        <w:numPr>
          <w:ilvl w:val="0"/>
          <w:numId w:val="2"/>
        </w:numPr>
        <w:spacing w:after="200" w:line="276" w:lineRule="auto"/>
        <w:ind w:left="0" w:firstLine="0"/>
        <w:contextualSpacing/>
        <w:jc w:val="lowKashida"/>
        <w:rPr>
          <w:rFonts w:ascii="Traditional Arabic" w:hAnsi="Traditional Arabic"/>
        </w:rPr>
      </w:pPr>
      <w:r w:rsidRPr="00C17B7B">
        <w:rPr>
          <w:rFonts w:ascii="Traditional Arabic" w:hAnsi="Traditional Arabic" w:hint="cs"/>
          <w:rtl/>
        </w:rPr>
        <w:t>المصفَّى بأكف أهل الرسوخ من علم الناسخ والمنسوخ</w:t>
      </w:r>
      <w:r w:rsidR="00BA6224">
        <w:rPr>
          <w:rFonts w:ascii="Traditional Arabic" w:hAnsi="Traditional Arabic" w:hint="cs"/>
          <w:rtl/>
        </w:rPr>
        <w:t>, مطبوع</w:t>
      </w:r>
      <w:r w:rsidR="00936A7E" w:rsidRPr="00936A7E">
        <w:rPr>
          <w:rStyle w:val="ae"/>
          <w:rtl/>
        </w:rPr>
        <w:t>(</w:t>
      </w:r>
      <w:r w:rsidR="00936A7E">
        <w:rPr>
          <w:rStyle w:val="ae"/>
          <w:rtl/>
        </w:rPr>
        <w:footnoteReference w:id="92"/>
      </w:r>
      <w:r w:rsidR="00936A7E" w:rsidRPr="00936A7E">
        <w:rPr>
          <w:rStyle w:val="ae"/>
          <w:rtl/>
        </w:rPr>
        <w:t>)</w:t>
      </w:r>
      <w:r w:rsidRPr="00C17B7B">
        <w:rPr>
          <w:rFonts w:ascii="Traditional Arabic" w:hAnsi="Traditional Arabic" w:hint="cs"/>
          <w:rtl/>
        </w:rPr>
        <w:t xml:space="preserve">. </w:t>
      </w:r>
    </w:p>
    <w:p w:rsidR="00D11232" w:rsidRPr="00C17B7B" w:rsidRDefault="00D11232" w:rsidP="00C443D8">
      <w:pPr>
        <w:numPr>
          <w:ilvl w:val="0"/>
          <w:numId w:val="2"/>
        </w:numPr>
        <w:spacing w:after="200" w:line="276" w:lineRule="auto"/>
        <w:ind w:left="0" w:firstLine="0"/>
        <w:contextualSpacing/>
        <w:jc w:val="lowKashida"/>
        <w:rPr>
          <w:rFonts w:ascii="Traditional Arabic" w:hAnsi="Traditional Arabic"/>
        </w:rPr>
      </w:pPr>
      <w:r w:rsidRPr="00C17B7B">
        <w:rPr>
          <w:rFonts w:ascii="Traditional Arabic" w:hAnsi="Traditional Arabic" w:hint="cs"/>
          <w:rtl/>
        </w:rPr>
        <w:t>المغني في تفسير القرآن</w:t>
      </w:r>
      <w:r w:rsidR="00936A7E" w:rsidRPr="00936A7E">
        <w:rPr>
          <w:rStyle w:val="ae"/>
          <w:rtl/>
        </w:rPr>
        <w:t>(</w:t>
      </w:r>
      <w:r w:rsidR="00936A7E">
        <w:rPr>
          <w:rStyle w:val="ae"/>
          <w:rtl/>
        </w:rPr>
        <w:footnoteReference w:id="93"/>
      </w:r>
      <w:r w:rsidR="00936A7E" w:rsidRPr="00936A7E">
        <w:rPr>
          <w:rStyle w:val="ae"/>
          <w:rtl/>
        </w:rPr>
        <w:t>)</w:t>
      </w:r>
      <w:r w:rsidRPr="00C17B7B">
        <w:rPr>
          <w:rFonts w:ascii="Traditional Arabic" w:hAnsi="Traditional Arabic" w:hint="cs"/>
          <w:rtl/>
        </w:rPr>
        <w:t>.</w:t>
      </w:r>
    </w:p>
    <w:p w:rsidR="00D11232" w:rsidRDefault="00D11232" w:rsidP="00C443D8">
      <w:pPr>
        <w:numPr>
          <w:ilvl w:val="0"/>
          <w:numId w:val="2"/>
        </w:numPr>
        <w:spacing w:after="200" w:line="276" w:lineRule="auto"/>
        <w:ind w:left="0" w:firstLine="0"/>
        <w:contextualSpacing/>
        <w:jc w:val="lowKashida"/>
        <w:rPr>
          <w:rFonts w:ascii="Traditional Arabic" w:hAnsi="Traditional Arabic"/>
        </w:rPr>
      </w:pPr>
      <w:r w:rsidRPr="00C17B7B">
        <w:rPr>
          <w:rFonts w:ascii="Traditional Arabic" w:hAnsi="Traditional Arabic" w:hint="cs"/>
          <w:rtl/>
        </w:rPr>
        <w:t>المنعش: ذكره حاجي خليفة، وإسماعيل البغدادي</w:t>
      </w:r>
      <w:r w:rsidR="00936A7E" w:rsidRPr="00936A7E">
        <w:rPr>
          <w:rStyle w:val="ae"/>
          <w:rtl/>
        </w:rPr>
        <w:t>(</w:t>
      </w:r>
      <w:r w:rsidR="00936A7E">
        <w:rPr>
          <w:rStyle w:val="ae"/>
          <w:rtl/>
        </w:rPr>
        <w:footnoteReference w:id="94"/>
      </w:r>
      <w:r w:rsidR="00936A7E" w:rsidRPr="00936A7E">
        <w:rPr>
          <w:rStyle w:val="ae"/>
          <w:rtl/>
        </w:rPr>
        <w:t>)</w:t>
      </w:r>
      <w:r w:rsidRPr="00C17B7B">
        <w:rPr>
          <w:rFonts w:ascii="Traditional Arabic" w:hAnsi="Traditional Arabic" w:hint="cs"/>
          <w:rtl/>
        </w:rPr>
        <w:t>.</w:t>
      </w:r>
    </w:p>
    <w:p w:rsidR="00936A7E" w:rsidRPr="00C17B7B" w:rsidRDefault="00936A7E" w:rsidP="00936A7E">
      <w:pPr>
        <w:spacing w:after="200" w:line="276" w:lineRule="auto"/>
        <w:contextualSpacing/>
        <w:jc w:val="lowKashida"/>
        <w:rPr>
          <w:rFonts w:ascii="Traditional Arabic" w:hAnsi="Traditional Arabic"/>
        </w:rPr>
      </w:pPr>
    </w:p>
    <w:p w:rsidR="00D11232" w:rsidRDefault="00D11232" w:rsidP="00C443D8">
      <w:pPr>
        <w:numPr>
          <w:ilvl w:val="0"/>
          <w:numId w:val="2"/>
        </w:numPr>
        <w:spacing w:after="200" w:line="276" w:lineRule="auto"/>
        <w:ind w:left="0" w:firstLine="0"/>
        <w:contextualSpacing/>
        <w:jc w:val="lowKashida"/>
        <w:rPr>
          <w:rFonts w:ascii="Traditional Arabic" w:hAnsi="Traditional Arabic"/>
        </w:rPr>
      </w:pPr>
      <w:r w:rsidRPr="00C17B7B">
        <w:rPr>
          <w:rFonts w:ascii="Traditional Arabic" w:hAnsi="Traditional Arabic" w:hint="cs"/>
          <w:rtl/>
        </w:rPr>
        <w:lastRenderedPageBreak/>
        <w:t>المنقبة في عيون المنبه. ذكره سبط ابن الجوزي في مرآة الزمان وقال: إنه أجزاء</w:t>
      </w:r>
      <w:r w:rsidR="00936A7E" w:rsidRPr="00936A7E">
        <w:rPr>
          <w:rStyle w:val="ae"/>
          <w:rtl/>
        </w:rPr>
        <w:t>(</w:t>
      </w:r>
      <w:r w:rsidR="00936A7E">
        <w:rPr>
          <w:rStyle w:val="ae"/>
          <w:rtl/>
        </w:rPr>
        <w:footnoteReference w:id="95"/>
      </w:r>
      <w:r w:rsidR="00936A7E" w:rsidRPr="00936A7E">
        <w:rPr>
          <w:rStyle w:val="ae"/>
          <w:rtl/>
        </w:rPr>
        <w:t>)</w:t>
      </w:r>
      <w:r w:rsidRPr="00C17B7B">
        <w:rPr>
          <w:rFonts w:ascii="Traditional Arabic" w:hAnsi="Traditional Arabic" w:hint="cs"/>
          <w:rtl/>
        </w:rPr>
        <w:t>.</w:t>
      </w:r>
    </w:p>
    <w:p w:rsidR="00D11232" w:rsidRPr="0000591D" w:rsidRDefault="00323B0D" w:rsidP="00C443D8">
      <w:pPr>
        <w:numPr>
          <w:ilvl w:val="0"/>
          <w:numId w:val="2"/>
        </w:numPr>
        <w:spacing w:after="200" w:line="276" w:lineRule="auto"/>
        <w:ind w:left="0" w:firstLine="0"/>
        <w:contextualSpacing/>
        <w:jc w:val="lowKashida"/>
        <w:rPr>
          <w:rFonts w:ascii="Traditional Arabic" w:hAnsi="Traditional Arabic"/>
        </w:rPr>
      </w:pPr>
      <w:r>
        <w:rPr>
          <w:rFonts w:ascii="Traditional Arabic" w:hAnsi="Traditional Arabic" w:hint="cs"/>
          <w:rtl/>
        </w:rPr>
        <w:t>نزهة الأعين</w:t>
      </w:r>
      <w:r w:rsidR="00D11232" w:rsidRPr="00C17B7B">
        <w:rPr>
          <w:rFonts w:ascii="Traditional Arabic" w:hAnsi="Traditional Arabic" w:hint="cs"/>
          <w:rtl/>
        </w:rPr>
        <w:t xml:space="preserve"> النواظر في الوجوه والنظائر</w:t>
      </w:r>
      <w:r w:rsidR="00BA6224">
        <w:rPr>
          <w:rFonts w:hint="cs"/>
          <w:rtl/>
        </w:rPr>
        <w:t xml:space="preserve">, </w:t>
      </w:r>
      <w:r w:rsidR="00D673AB">
        <w:rPr>
          <w:rFonts w:hint="cs"/>
          <w:rtl/>
        </w:rPr>
        <w:t>مطبوع</w:t>
      </w:r>
      <w:r w:rsidR="00936A7E" w:rsidRPr="00936A7E">
        <w:rPr>
          <w:rStyle w:val="ae"/>
          <w:rtl/>
        </w:rPr>
        <w:t>(</w:t>
      </w:r>
      <w:r w:rsidR="00936A7E">
        <w:rPr>
          <w:rStyle w:val="ae"/>
          <w:rtl/>
        </w:rPr>
        <w:footnoteReference w:id="96"/>
      </w:r>
      <w:r w:rsidR="00936A7E" w:rsidRPr="00936A7E">
        <w:rPr>
          <w:rStyle w:val="ae"/>
          <w:rtl/>
        </w:rPr>
        <w:t>)</w:t>
      </w:r>
      <w:r w:rsidR="00D11232" w:rsidRPr="00C17B7B">
        <w:rPr>
          <w:rFonts w:ascii="Traditional Arabic" w:hAnsi="Traditional Arabic" w:hint="cs"/>
          <w:rtl/>
        </w:rPr>
        <w:t>.</w:t>
      </w:r>
      <w:r w:rsidR="00D11232" w:rsidRPr="0000591D">
        <w:rPr>
          <w:rFonts w:ascii="Traditional Arabic" w:hAnsi="Traditional Arabic" w:hint="cs"/>
          <w:rtl/>
        </w:rPr>
        <w:t xml:space="preserve"> </w:t>
      </w:r>
    </w:p>
    <w:p w:rsidR="00D11232" w:rsidRPr="00C17B7B" w:rsidRDefault="00D11232" w:rsidP="00C443D8">
      <w:pPr>
        <w:numPr>
          <w:ilvl w:val="0"/>
          <w:numId w:val="2"/>
        </w:numPr>
        <w:spacing w:after="200" w:line="276" w:lineRule="auto"/>
        <w:ind w:left="0" w:firstLine="0"/>
        <w:contextualSpacing/>
        <w:jc w:val="lowKashida"/>
        <w:rPr>
          <w:rFonts w:ascii="Traditional Arabic" w:hAnsi="Traditional Arabic"/>
        </w:rPr>
      </w:pPr>
      <w:r w:rsidRPr="00C17B7B">
        <w:rPr>
          <w:rFonts w:ascii="Traditional Arabic" w:hAnsi="Traditional Arabic" w:hint="cs"/>
          <w:rtl/>
        </w:rPr>
        <w:t>نواسخ القرآن، أو الناسخ والمنسوخ بالقرآن</w:t>
      </w:r>
      <w:r w:rsidR="00BA6224">
        <w:rPr>
          <w:rFonts w:ascii="Traditional Arabic" w:hAnsi="Traditional Arabic" w:hint="cs"/>
          <w:rtl/>
        </w:rPr>
        <w:t>, مطبوع</w:t>
      </w:r>
      <w:r w:rsidR="00936A7E" w:rsidRPr="00936A7E">
        <w:rPr>
          <w:rStyle w:val="ae"/>
          <w:rtl/>
        </w:rPr>
        <w:t>(</w:t>
      </w:r>
      <w:r w:rsidR="00936A7E">
        <w:rPr>
          <w:rStyle w:val="ae"/>
          <w:rtl/>
        </w:rPr>
        <w:footnoteReference w:id="97"/>
      </w:r>
      <w:r w:rsidR="00936A7E" w:rsidRPr="00936A7E">
        <w:rPr>
          <w:rStyle w:val="ae"/>
          <w:rtl/>
        </w:rPr>
        <w:t>)</w:t>
      </w:r>
      <w:r w:rsidRPr="00C17B7B">
        <w:rPr>
          <w:rFonts w:ascii="Traditional Arabic" w:hAnsi="Traditional Arabic" w:hint="cs"/>
          <w:rtl/>
        </w:rPr>
        <w:t xml:space="preserve">. </w:t>
      </w:r>
    </w:p>
    <w:p w:rsidR="00D11232" w:rsidRPr="00C17B7B" w:rsidRDefault="00D11232" w:rsidP="00C443D8">
      <w:pPr>
        <w:numPr>
          <w:ilvl w:val="0"/>
          <w:numId w:val="2"/>
        </w:numPr>
        <w:spacing w:after="200" w:line="276" w:lineRule="auto"/>
        <w:ind w:left="0" w:firstLine="0"/>
        <w:contextualSpacing/>
        <w:jc w:val="lowKashida"/>
        <w:rPr>
          <w:rFonts w:ascii="Traditional Arabic" w:hAnsi="Traditional Arabic"/>
          <w:rtl/>
        </w:rPr>
      </w:pPr>
      <w:r w:rsidRPr="00C17B7B">
        <w:rPr>
          <w:rFonts w:ascii="Traditional Arabic" w:hAnsi="Traditional Arabic" w:hint="cs"/>
          <w:rtl/>
        </w:rPr>
        <w:t>ورد الأغصان في فنون الأفنان: وهو جزء</w:t>
      </w:r>
      <w:r w:rsidR="00323B0D" w:rsidRPr="00323B0D">
        <w:rPr>
          <w:rStyle w:val="ae"/>
          <w:rtl/>
        </w:rPr>
        <w:t>(</w:t>
      </w:r>
      <w:r w:rsidR="00323B0D">
        <w:rPr>
          <w:rStyle w:val="ae"/>
          <w:rtl/>
        </w:rPr>
        <w:footnoteReference w:id="98"/>
      </w:r>
      <w:r w:rsidR="00323B0D" w:rsidRPr="00323B0D">
        <w:rPr>
          <w:rStyle w:val="ae"/>
          <w:rtl/>
        </w:rPr>
        <w:t>)</w:t>
      </w:r>
      <w:r w:rsidRPr="00C17B7B">
        <w:rPr>
          <w:rFonts w:ascii="Traditional Arabic" w:hAnsi="Traditional Arabic" w:hint="cs"/>
          <w:rtl/>
        </w:rPr>
        <w:t>.</w:t>
      </w:r>
    </w:p>
    <w:p w:rsidR="00D11232" w:rsidRPr="00C17B7B" w:rsidRDefault="00D11232" w:rsidP="00323B0D">
      <w:pPr>
        <w:spacing w:line="276" w:lineRule="auto"/>
        <w:ind w:firstLine="0"/>
        <w:contextualSpacing/>
        <w:jc w:val="lowKashida"/>
        <w:rPr>
          <w:rFonts w:ascii="Traditional Arabic" w:eastAsia="Calibri" w:hAnsi="Traditional Arabic"/>
          <w:b/>
          <w:bCs/>
          <w:color w:val="auto"/>
        </w:rPr>
      </w:pPr>
      <w:r w:rsidRPr="00C17B7B">
        <w:rPr>
          <w:rFonts w:ascii="Traditional Arabic" w:eastAsia="Calibri" w:hAnsi="Traditional Arabic"/>
          <w:b/>
          <w:bCs/>
          <w:color w:val="auto"/>
          <w:rtl/>
        </w:rPr>
        <w:t xml:space="preserve">ثانياً: مؤلفاته في العلوم الأخرى: </w:t>
      </w:r>
    </w:p>
    <w:p w:rsidR="00D11232" w:rsidRPr="00C17B7B" w:rsidRDefault="00D11232" w:rsidP="00323B0D">
      <w:pPr>
        <w:spacing w:line="276" w:lineRule="auto"/>
        <w:ind w:firstLine="0"/>
        <w:contextualSpacing/>
        <w:jc w:val="lowKashida"/>
        <w:rPr>
          <w:rFonts w:ascii="Traditional Arabic" w:hAnsi="Traditional Arabic"/>
        </w:rPr>
      </w:pPr>
      <w:r w:rsidRPr="00C17B7B">
        <w:rPr>
          <w:rFonts w:ascii="Traditional Arabic" w:hAnsi="Traditional Arabic"/>
          <w:rtl/>
        </w:rPr>
        <w:t>هذه قائمة بأهم كتب ابن الجوزي المطبوعة في شتى العلوم والفنون</w:t>
      </w:r>
      <w:r w:rsidRPr="00C17B7B">
        <w:rPr>
          <w:rFonts w:hint="cs"/>
          <w:rtl/>
        </w:rPr>
        <w:t>:</w:t>
      </w:r>
    </w:p>
    <w:p w:rsidR="00D11232" w:rsidRPr="00C17B7B" w:rsidRDefault="00D11232" w:rsidP="00C443D8">
      <w:pPr>
        <w:numPr>
          <w:ilvl w:val="0"/>
          <w:numId w:val="3"/>
        </w:numPr>
        <w:spacing w:after="200" w:line="276" w:lineRule="auto"/>
        <w:ind w:left="0" w:firstLine="0"/>
        <w:contextualSpacing/>
        <w:jc w:val="lowKashida"/>
        <w:rPr>
          <w:rFonts w:ascii="Traditional Arabic" w:hAnsi="Traditional Arabic"/>
          <w:rtl/>
        </w:rPr>
      </w:pPr>
      <w:r w:rsidRPr="00C17B7B">
        <w:rPr>
          <w:rFonts w:ascii="Traditional Arabic" w:hAnsi="Traditional Arabic"/>
          <w:rtl/>
        </w:rPr>
        <w:t>أحكام النساء.</w:t>
      </w:r>
    </w:p>
    <w:p w:rsidR="00D11232" w:rsidRPr="00C17B7B" w:rsidRDefault="00D11232" w:rsidP="00C443D8">
      <w:pPr>
        <w:numPr>
          <w:ilvl w:val="0"/>
          <w:numId w:val="3"/>
        </w:numPr>
        <w:spacing w:after="200" w:line="276" w:lineRule="auto"/>
        <w:ind w:left="0" w:firstLine="0"/>
        <w:contextualSpacing/>
        <w:jc w:val="lowKashida"/>
        <w:rPr>
          <w:rFonts w:ascii="Traditional Arabic" w:hAnsi="Traditional Arabic"/>
        </w:rPr>
      </w:pPr>
      <w:r w:rsidRPr="00C17B7B">
        <w:rPr>
          <w:rFonts w:ascii="Traditional Arabic" w:hAnsi="Traditional Arabic"/>
          <w:rtl/>
        </w:rPr>
        <w:t>أخبار الظراف والمتماجنين.</w:t>
      </w:r>
    </w:p>
    <w:p w:rsidR="00D11232" w:rsidRPr="00C17B7B" w:rsidRDefault="00D11232" w:rsidP="00C443D8">
      <w:pPr>
        <w:numPr>
          <w:ilvl w:val="0"/>
          <w:numId w:val="3"/>
        </w:numPr>
        <w:spacing w:after="200" w:line="276" w:lineRule="auto"/>
        <w:ind w:left="0" w:firstLine="0"/>
        <w:contextualSpacing/>
        <w:jc w:val="lowKashida"/>
        <w:rPr>
          <w:rFonts w:ascii="Traditional Arabic" w:hAnsi="Traditional Arabic"/>
        </w:rPr>
      </w:pPr>
      <w:r w:rsidRPr="00C17B7B">
        <w:rPr>
          <w:rFonts w:ascii="Traditional Arabic" w:hAnsi="Traditional Arabic"/>
          <w:rtl/>
        </w:rPr>
        <w:t>الأذكياء.</w:t>
      </w:r>
    </w:p>
    <w:p w:rsidR="00D11232" w:rsidRPr="00C17B7B" w:rsidRDefault="00D11232" w:rsidP="006D0169">
      <w:pPr>
        <w:numPr>
          <w:ilvl w:val="0"/>
          <w:numId w:val="3"/>
        </w:numPr>
        <w:spacing w:after="200" w:line="276" w:lineRule="auto"/>
        <w:ind w:left="0" w:firstLine="0"/>
        <w:contextualSpacing/>
        <w:jc w:val="lowKashida"/>
        <w:rPr>
          <w:rFonts w:ascii="Traditional Arabic" w:hAnsi="Traditional Arabic"/>
        </w:rPr>
      </w:pPr>
      <w:r w:rsidRPr="00C17B7B">
        <w:rPr>
          <w:rFonts w:ascii="Traditional Arabic" w:hAnsi="Traditional Arabic"/>
          <w:rtl/>
        </w:rPr>
        <w:t>أسباب الهداية لأرباب البداية.</w:t>
      </w:r>
    </w:p>
    <w:p w:rsidR="00D11232" w:rsidRPr="00C17B7B" w:rsidRDefault="00D11232" w:rsidP="00C443D8">
      <w:pPr>
        <w:numPr>
          <w:ilvl w:val="0"/>
          <w:numId w:val="3"/>
        </w:numPr>
        <w:spacing w:after="200" w:line="276" w:lineRule="auto"/>
        <w:ind w:left="0" w:firstLine="0"/>
        <w:contextualSpacing/>
        <w:jc w:val="lowKashida"/>
        <w:rPr>
          <w:rFonts w:ascii="Traditional Arabic" w:hAnsi="Traditional Arabic"/>
        </w:rPr>
      </w:pPr>
      <w:r w:rsidRPr="00C17B7B">
        <w:rPr>
          <w:rFonts w:ascii="Traditional Arabic" w:hAnsi="Traditional Arabic"/>
          <w:rtl/>
        </w:rPr>
        <w:t>أعمار الأعيان.</w:t>
      </w:r>
    </w:p>
    <w:p w:rsidR="00D11232" w:rsidRPr="00C17B7B" w:rsidRDefault="00D11232" w:rsidP="006D0169">
      <w:pPr>
        <w:numPr>
          <w:ilvl w:val="0"/>
          <w:numId w:val="3"/>
        </w:numPr>
        <w:spacing w:after="200" w:line="276" w:lineRule="auto"/>
        <w:ind w:left="0" w:firstLine="0"/>
        <w:contextualSpacing/>
        <w:jc w:val="lowKashida"/>
        <w:rPr>
          <w:rFonts w:ascii="Traditional Arabic" w:hAnsi="Traditional Arabic"/>
          <w:rtl/>
        </w:rPr>
      </w:pPr>
      <w:r w:rsidRPr="00C17B7B">
        <w:rPr>
          <w:rFonts w:ascii="Traditional Arabic" w:hAnsi="Traditional Arabic"/>
          <w:rtl/>
        </w:rPr>
        <w:t>الإنصاف في مسائل الخلاف.</w:t>
      </w:r>
    </w:p>
    <w:p w:rsidR="00D11232" w:rsidRPr="00C17B7B" w:rsidRDefault="00D11232" w:rsidP="00C443D8">
      <w:pPr>
        <w:numPr>
          <w:ilvl w:val="0"/>
          <w:numId w:val="3"/>
        </w:numPr>
        <w:spacing w:after="200" w:line="276" w:lineRule="auto"/>
        <w:ind w:left="0" w:firstLine="0"/>
        <w:contextualSpacing/>
        <w:jc w:val="lowKashida"/>
        <w:rPr>
          <w:rFonts w:ascii="Traditional Arabic" w:hAnsi="Traditional Arabic"/>
        </w:rPr>
      </w:pPr>
      <w:r w:rsidRPr="00C17B7B">
        <w:rPr>
          <w:rFonts w:ascii="Traditional Arabic" w:hAnsi="Traditional Arabic"/>
          <w:rtl/>
        </w:rPr>
        <w:t>بحر الدموع.</w:t>
      </w:r>
    </w:p>
    <w:p w:rsidR="00D11232" w:rsidRPr="00C17B7B" w:rsidRDefault="00D11232" w:rsidP="00C443D8">
      <w:pPr>
        <w:numPr>
          <w:ilvl w:val="0"/>
          <w:numId w:val="3"/>
        </w:numPr>
        <w:spacing w:after="200" w:line="276" w:lineRule="auto"/>
        <w:ind w:left="0" w:firstLine="0"/>
        <w:contextualSpacing/>
        <w:jc w:val="lowKashida"/>
        <w:rPr>
          <w:rFonts w:ascii="Traditional Arabic" w:hAnsi="Traditional Arabic"/>
        </w:rPr>
      </w:pPr>
      <w:r w:rsidRPr="00C17B7B">
        <w:rPr>
          <w:rFonts w:ascii="Traditional Arabic" w:hAnsi="Traditional Arabic"/>
          <w:rtl/>
        </w:rPr>
        <w:t>البر والصلة.</w:t>
      </w:r>
    </w:p>
    <w:p w:rsidR="00D11232" w:rsidRPr="00C17B7B" w:rsidRDefault="00D11232" w:rsidP="00C443D8">
      <w:pPr>
        <w:numPr>
          <w:ilvl w:val="0"/>
          <w:numId w:val="3"/>
        </w:numPr>
        <w:spacing w:after="200" w:line="276" w:lineRule="auto"/>
        <w:ind w:left="0" w:firstLine="0"/>
        <w:contextualSpacing/>
        <w:jc w:val="lowKashida"/>
        <w:rPr>
          <w:rFonts w:ascii="Traditional Arabic" w:hAnsi="Traditional Arabic"/>
        </w:rPr>
      </w:pPr>
      <w:r w:rsidRPr="00C17B7B">
        <w:rPr>
          <w:rFonts w:ascii="Traditional Arabic" w:hAnsi="Traditional Arabic"/>
          <w:rtl/>
        </w:rPr>
        <w:t>بستان الواعظين ورياض السامعين</w:t>
      </w:r>
      <w:r w:rsidR="006D0169" w:rsidRPr="006D0169">
        <w:rPr>
          <w:rStyle w:val="ae"/>
          <w:rtl/>
        </w:rPr>
        <w:t>(</w:t>
      </w:r>
      <w:r w:rsidR="006D0169">
        <w:rPr>
          <w:rStyle w:val="ae"/>
          <w:rtl/>
        </w:rPr>
        <w:footnoteReference w:id="99"/>
      </w:r>
      <w:r w:rsidR="006D0169" w:rsidRPr="006D0169">
        <w:rPr>
          <w:rStyle w:val="ae"/>
          <w:rtl/>
        </w:rPr>
        <w:t>)</w:t>
      </w:r>
      <w:r w:rsidRPr="00C17B7B">
        <w:rPr>
          <w:rFonts w:ascii="Traditional Arabic" w:hAnsi="Traditional Arabic"/>
          <w:rtl/>
        </w:rPr>
        <w:t>.</w:t>
      </w:r>
    </w:p>
    <w:p w:rsidR="00D11232" w:rsidRPr="00C17B7B" w:rsidRDefault="00D11232" w:rsidP="00C443D8">
      <w:pPr>
        <w:numPr>
          <w:ilvl w:val="0"/>
          <w:numId w:val="3"/>
        </w:numPr>
        <w:spacing w:after="200" w:line="276" w:lineRule="auto"/>
        <w:ind w:left="0" w:firstLine="0"/>
        <w:contextualSpacing/>
        <w:jc w:val="lowKashida"/>
        <w:rPr>
          <w:rFonts w:ascii="Traditional Arabic" w:hAnsi="Traditional Arabic"/>
        </w:rPr>
      </w:pPr>
      <w:r w:rsidRPr="00C17B7B">
        <w:rPr>
          <w:rFonts w:ascii="Traditional Arabic" w:hAnsi="Traditional Arabic"/>
          <w:rtl/>
        </w:rPr>
        <w:lastRenderedPageBreak/>
        <w:t>تاريخ بيت المقدس.</w:t>
      </w:r>
    </w:p>
    <w:p w:rsidR="00D11232" w:rsidRPr="00C17B7B" w:rsidRDefault="00D11232" w:rsidP="00C443D8">
      <w:pPr>
        <w:numPr>
          <w:ilvl w:val="0"/>
          <w:numId w:val="3"/>
        </w:numPr>
        <w:spacing w:after="200" w:line="276" w:lineRule="auto"/>
        <w:ind w:left="0" w:firstLine="0"/>
        <w:contextualSpacing/>
        <w:jc w:val="lowKashida"/>
        <w:rPr>
          <w:rFonts w:ascii="Traditional Arabic" w:hAnsi="Traditional Arabic"/>
        </w:rPr>
      </w:pPr>
      <w:r w:rsidRPr="00C17B7B">
        <w:rPr>
          <w:rFonts w:ascii="Traditional Arabic" w:hAnsi="Traditional Arabic"/>
          <w:rtl/>
        </w:rPr>
        <w:t>تبصـرة المبتدئ وتذكرة المنتهي.</w:t>
      </w:r>
    </w:p>
    <w:p w:rsidR="00D11232" w:rsidRPr="00C17B7B" w:rsidRDefault="00D11232" w:rsidP="00C443D8">
      <w:pPr>
        <w:numPr>
          <w:ilvl w:val="0"/>
          <w:numId w:val="3"/>
        </w:numPr>
        <w:spacing w:after="200" w:line="276" w:lineRule="auto"/>
        <w:ind w:left="0" w:firstLine="0"/>
        <w:contextualSpacing/>
        <w:jc w:val="lowKashida"/>
        <w:rPr>
          <w:rFonts w:ascii="Traditional Arabic" w:hAnsi="Traditional Arabic"/>
        </w:rPr>
      </w:pPr>
      <w:r w:rsidRPr="00C17B7B">
        <w:rPr>
          <w:rFonts w:ascii="Traditional Arabic" w:hAnsi="Traditional Arabic"/>
          <w:rtl/>
        </w:rPr>
        <w:t>التحقيق في أحاديث الخلاف.</w:t>
      </w:r>
    </w:p>
    <w:p w:rsidR="00D11232" w:rsidRPr="00C17B7B" w:rsidRDefault="00D11232" w:rsidP="00C443D8">
      <w:pPr>
        <w:numPr>
          <w:ilvl w:val="0"/>
          <w:numId w:val="3"/>
        </w:numPr>
        <w:spacing w:after="200" w:line="276" w:lineRule="auto"/>
        <w:ind w:left="0" w:firstLine="0"/>
        <w:contextualSpacing/>
        <w:jc w:val="lowKashida"/>
        <w:rPr>
          <w:rFonts w:ascii="Traditional Arabic" w:hAnsi="Traditional Arabic"/>
        </w:rPr>
      </w:pPr>
      <w:r w:rsidRPr="00C17B7B">
        <w:rPr>
          <w:rFonts w:ascii="Traditional Arabic" w:hAnsi="Traditional Arabic"/>
          <w:rtl/>
        </w:rPr>
        <w:t>تلبيس إبليس</w:t>
      </w:r>
      <w:r w:rsidR="00323B0D">
        <w:rPr>
          <w:rFonts w:hint="cs"/>
          <w:rtl/>
        </w:rPr>
        <w:t>,</w:t>
      </w:r>
      <w:r w:rsidR="00BA6224">
        <w:rPr>
          <w:rFonts w:hint="cs"/>
          <w:rtl/>
        </w:rPr>
        <w:t xml:space="preserve"> </w:t>
      </w:r>
      <w:r w:rsidR="00323B0D">
        <w:rPr>
          <w:rFonts w:hint="cs"/>
          <w:rtl/>
        </w:rPr>
        <w:t>مطبوع</w:t>
      </w:r>
      <w:r w:rsidRPr="00C17B7B">
        <w:rPr>
          <w:rFonts w:ascii="Traditional Arabic" w:hAnsi="Traditional Arabic"/>
          <w:rtl/>
        </w:rPr>
        <w:t>.</w:t>
      </w:r>
    </w:p>
    <w:p w:rsidR="00D11232" w:rsidRPr="00C17B7B" w:rsidRDefault="00D11232" w:rsidP="00C443D8">
      <w:pPr>
        <w:numPr>
          <w:ilvl w:val="0"/>
          <w:numId w:val="3"/>
        </w:numPr>
        <w:spacing w:after="200" w:line="276" w:lineRule="auto"/>
        <w:ind w:left="0" w:firstLine="0"/>
        <w:contextualSpacing/>
        <w:jc w:val="lowKashida"/>
        <w:rPr>
          <w:rFonts w:ascii="Traditional Arabic" w:hAnsi="Traditional Arabic"/>
        </w:rPr>
      </w:pPr>
      <w:r w:rsidRPr="00C17B7B">
        <w:rPr>
          <w:rFonts w:ascii="Traditional Arabic" w:hAnsi="Traditional Arabic"/>
          <w:rtl/>
        </w:rPr>
        <w:t>تلقيح فهوم أهل الأثر.</w:t>
      </w:r>
    </w:p>
    <w:p w:rsidR="00D11232" w:rsidRPr="00C17B7B" w:rsidRDefault="00D11232" w:rsidP="00C443D8">
      <w:pPr>
        <w:numPr>
          <w:ilvl w:val="0"/>
          <w:numId w:val="3"/>
        </w:numPr>
        <w:spacing w:after="200" w:line="276" w:lineRule="auto"/>
        <w:ind w:left="0" w:firstLine="0"/>
        <w:contextualSpacing/>
        <w:jc w:val="lowKashida"/>
        <w:rPr>
          <w:rFonts w:ascii="Traditional Arabic" w:hAnsi="Traditional Arabic"/>
        </w:rPr>
      </w:pPr>
      <w:r w:rsidRPr="00C17B7B">
        <w:rPr>
          <w:rFonts w:ascii="Traditional Arabic" w:hAnsi="Traditional Arabic"/>
          <w:rtl/>
        </w:rPr>
        <w:t>تنوير الغبش في فضل السود والحبش</w:t>
      </w:r>
      <w:r w:rsidR="00BA6224">
        <w:rPr>
          <w:rFonts w:ascii="Traditional Arabic" w:hAnsi="Traditional Arabic" w:hint="cs"/>
          <w:rtl/>
        </w:rPr>
        <w:t>,</w:t>
      </w:r>
      <w:r w:rsidR="00D673AB">
        <w:rPr>
          <w:rFonts w:ascii="Traditional Arabic" w:hAnsi="Traditional Arabic" w:hint="cs"/>
          <w:rtl/>
        </w:rPr>
        <w:t xml:space="preserve"> </w:t>
      </w:r>
      <w:r w:rsidR="00CA30C8">
        <w:rPr>
          <w:rFonts w:ascii="Traditional Arabic" w:hAnsi="Traditional Arabic" w:hint="cs"/>
          <w:rtl/>
        </w:rPr>
        <w:t>مطبوع</w:t>
      </w:r>
      <w:r w:rsidRPr="00C17B7B">
        <w:rPr>
          <w:rFonts w:ascii="Traditional Arabic" w:hAnsi="Traditional Arabic"/>
          <w:rtl/>
        </w:rPr>
        <w:t>.</w:t>
      </w:r>
    </w:p>
    <w:p w:rsidR="00D11232" w:rsidRPr="00C17B7B" w:rsidRDefault="00D11232" w:rsidP="00C443D8">
      <w:pPr>
        <w:numPr>
          <w:ilvl w:val="0"/>
          <w:numId w:val="3"/>
        </w:numPr>
        <w:spacing w:after="200" w:line="276" w:lineRule="auto"/>
        <w:ind w:left="0" w:firstLine="0"/>
        <w:contextualSpacing/>
        <w:jc w:val="lowKashida"/>
        <w:rPr>
          <w:rFonts w:ascii="Traditional Arabic" w:hAnsi="Traditional Arabic"/>
        </w:rPr>
      </w:pPr>
      <w:r w:rsidRPr="00C17B7B">
        <w:rPr>
          <w:rFonts w:ascii="Traditional Arabic" w:hAnsi="Traditional Arabic"/>
          <w:rtl/>
        </w:rPr>
        <w:t>الثبات عند الممات.</w:t>
      </w:r>
    </w:p>
    <w:p w:rsidR="00D11232" w:rsidRPr="00C17B7B" w:rsidRDefault="00D11232" w:rsidP="00C443D8">
      <w:pPr>
        <w:numPr>
          <w:ilvl w:val="0"/>
          <w:numId w:val="3"/>
        </w:numPr>
        <w:spacing w:after="200" w:line="276" w:lineRule="auto"/>
        <w:ind w:left="0" w:firstLine="0"/>
        <w:contextualSpacing/>
        <w:jc w:val="lowKashida"/>
        <w:rPr>
          <w:rFonts w:ascii="Traditional Arabic" w:hAnsi="Traditional Arabic"/>
        </w:rPr>
      </w:pPr>
      <w:r w:rsidRPr="00C17B7B">
        <w:rPr>
          <w:rFonts w:ascii="Traditional Arabic" w:hAnsi="Traditional Arabic"/>
          <w:rtl/>
        </w:rPr>
        <w:t>جنة النظر وجنة المنتظر</w:t>
      </w:r>
      <w:r w:rsidR="00CA30C8" w:rsidRPr="00CA30C8">
        <w:rPr>
          <w:rStyle w:val="ae"/>
          <w:rtl/>
        </w:rPr>
        <w:t>(</w:t>
      </w:r>
      <w:r w:rsidR="00CA30C8">
        <w:rPr>
          <w:rStyle w:val="ae"/>
          <w:rtl/>
        </w:rPr>
        <w:footnoteReference w:id="100"/>
      </w:r>
      <w:r w:rsidR="00CA30C8" w:rsidRPr="00CA30C8">
        <w:rPr>
          <w:rStyle w:val="ae"/>
          <w:rtl/>
        </w:rPr>
        <w:t>)</w:t>
      </w:r>
      <w:r w:rsidRPr="00C17B7B">
        <w:rPr>
          <w:rFonts w:ascii="Traditional Arabic" w:hAnsi="Traditional Arabic"/>
          <w:rtl/>
        </w:rPr>
        <w:t>.</w:t>
      </w:r>
    </w:p>
    <w:p w:rsidR="00D11232" w:rsidRPr="00C17B7B" w:rsidRDefault="00D11232" w:rsidP="00C443D8">
      <w:pPr>
        <w:numPr>
          <w:ilvl w:val="0"/>
          <w:numId w:val="3"/>
        </w:numPr>
        <w:spacing w:after="200" w:line="276" w:lineRule="auto"/>
        <w:ind w:left="0" w:firstLine="0"/>
        <w:contextualSpacing/>
        <w:jc w:val="lowKashida"/>
        <w:rPr>
          <w:rFonts w:ascii="Traditional Arabic" w:hAnsi="Traditional Arabic"/>
        </w:rPr>
      </w:pPr>
      <w:r w:rsidRPr="00C17B7B">
        <w:rPr>
          <w:rFonts w:ascii="Traditional Arabic" w:hAnsi="Traditional Arabic"/>
          <w:rtl/>
        </w:rPr>
        <w:t>الحث على حفظ العلم.</w:t>
      </w:r>
    </w:p>
    <w:p w:rsidR="00D11232" w:rsidRPr="00C17B7B" w:rsidRDefault="00D11232" w:rsidP="00C443D8">
      <w:pPr>
        <w:numPr>
          <w:ilvl w:val="0"/>
          <w:numId w:val="3"/>
        </w:numPr>
        <w:spacing w:after="200" w:line="276" w:lineRule="auto"/>
        <w:ind w:left="0" w:firstLine="0"/>
        <w:contextualSpacing/>
        <w:jc w:val="lowKashida"/>
        <w:rPr>
          <w:rFonts w:ascii="Traditional Arabic" w:hAnsi="Traditional Arabic"/>
        </w:rPr>
      </w:pPr>
      <w:r w:rsidRPr="00C17B7B">
        <w:rPr>
          <w:rFonts w:ascii="Traditional Arabic" w:hAnsi="Traditional Arabic"/>
          <w:rtl/>
        </w:rPr>
        <w:t>الحدائق في علم الحديث والزهديات</w:t>
      </w:r>
      <w:r w:rsidR="00BA6224">
        <w:rPr>
          <w:rFonts w:hint="cs"/>
          <w:rtl/>
        </w:rPr>
        <w:t>,</w:t>
      </w:r>
      <w:r w:rsidR="00CA30C8">
        <w:rPr>
          <w:rFonts w:hint="cs"/>
          <w:rtl/>
        </w:rPr>
        <w:t xml:space="preserve"> مطبوع</w:t>
      </w:r>
      <w:r w:rsidRPr="00C17B7B">
        <w:rPr>
          <w:rFonts w:ascii="Traditional Arabic" w:hAnsi="Traditional Arabic"/>
          <w:rtl/>
        </w:rPr>
        <w:t>.</w:t>
      </w:r>
    </w:p>
    <w:p w:rsidR="00D11232" w:rsidRPr="00C17B7B" w:rsidRDefault="00D11232" w:rsidP="00C443D8">
      <w:pPr>
        <w:numPr>
          <w:ilvl w:val="0"/>
          <w:numId w:val="3"/>
        </w:numPr>
        <w:spacing w:after="200" w:line="276" w:lineRule="auto"/>
        <w:ind w:left="0" w:firstLine="0"/>
        <w:contextualSpacing/>
        <w:jc w:val="lowKashida"/>
        <w:rPr>
          <w:rFonts w:ascii="Traditional Arabic" w:hAnsi="Traditional Arabic"/>
        </w:rPr>
      </w:pPr>
      <w:r w:rsidRPr="00C17B7B">
        <w:rPr>
          <w:rFonts w:ascii="Traditional Arabic" w:hAnsi="Traditional Arabic"/>
          <w:rtl/>
        </w:rPr>
        <w:t>الحمقى والمغفلين.</w:t>
      </w:r>
    </w:p>
    <w:p w:rsidR="00D673AB" w:rsidRPr="00BA6224" w:rsidRDefault="00D11232" w:rsidP="00C443D8">
      <w:pPr>
        <w:numPr>
          <w:ilvl w:val="0"/>
          <w:numId w:val="3"/>
        </w:numPr>
        <w:spacing w:after="200" w:line="276" w:lineRule="auto"/>
        <w:ind w:left="0" w:firstLine="0"/>
        <w:contextualSpacing/>
        <w:jc w:val="lowKashida"/>
        <w:rPr>
          <w:rFonts w:ascii="Traditional Arabic" w:hAnsi="Traditional Arabic"/>
        </w:rPr>
      </w:pPr>
      <w:r w:rsidRPr="00C17B7B">
        <w:rPr>
          <w:rFonts w:ascii="Traditional Arabic" w:hAnsi="Traditional Arabic"/>
          <w:rtl/>
        </w:rPr>
        <w:t>درء اللوم والضـيم في صوم يوم الغيم,</w:t>
      </w:r>
      <w:r w:rsidR="00BA6224">
        <w:rPr>
          <w:rFonts w:ascii="Traditional Arabic" w:hAnsi="Traditional Arabic" w:hint="cs"/>
          <w:rtl/>
        </w:rPr>
        <w:t xml:space="preserve"> </w:t>
      </w:r>
      <w:r w:rsidRPr="00C17B7B">
        <w:rPr>
          <w:rFonts w:ascii="Traditional Arabic" w:hAnsi="Traditional Arabic"/>
          <w:rtl/>
        </w:rPr>
        <w:t>مطبوع.</w:t>
      </w:r>
    </w:p>
    <w:p w:rsidR="00D11232" w:rsidRPr="00C17B7B" w:rsidRDefault="00D11232" w:rsidP="00C443D8">
      <w:pPr>
        <w:numPr>
          <w:ilvl w:val="0"/>
          <w:numId w:val="3"/>
        </w:numPr>
        <w:spacing w:after="200" w:line="276" w:lineRule="auto"/>
        <w:ind w:left="0" w:firstLine="0"/>
        <w:contextualSpacing/>
        <w:jc w:val="lowKashida"/>
        <w:rPr>
          <w:rFonts w:ascii="Traditional Arabic" w:hAnsi="Traditional Arabic"/>
        </w:rPr>
      </w:pPr>
      <w:r w:rsidRPr="00C17B7B">
        <w:rPr>
          <w:rFonts w:ascii="Traditional Arabic" w:hAnsi="Traditional Arabic"/>
          <w:rtl/>
        </w:rPr>
        <w:t>ذم الهوى</w:t>
      </w:r>
      <w:r w:rsidR="00BA6224">
        <w:rPr>
          <w:rFonts w:ascii="Traditional Arabic" w:hAnsi="Traditional Arabic" w:hint="cs"/>
          <w:rtl/>
        </w:rPr>
        <w:t>, مطبوع</w:t>
      </w:r>
      <w:r w:rsidR="00D673AB">
        <w:rPr>
          <w:rFonts w:ascii="Traditional Arabic" w:hAnsi="Traditional Arabic" w:hint="cs"/>
          <w:rtl/>
        </w:rPr>
        <w:t>.</w:t>
      </w:r>
    </w:p>
    <w:p w:rsidR="00D11232" w:rsidRPr="00C17B7B" w:rsidRDefault="00D11232" w:rsidP="00C443D8">
      <w:pPr>
        <w:numPr>
          <w:ilvl w:val="0"/>
          <w:numId w:val="3"/>
        </w:numPr>
        <w:spacing w:after="200" w:line="276" w:lineRule="auto"/>
        <w:ind w:left="0" w:firstLine="0"/>
        <w:contextualSpacing/>
        <w:jc w:val="lowKashida"/>
        <w:rPr>
          <w:rFonts w:ascii="Traditional Arabic" w:hAnsi="Traditional Arabic"/>
        </w:rPr>
      </w:pPr>
      <w:r w:rsidRPr="00C17B7B">
        <w:rPr>
          <w:rFonts w:ascii="Traditional Arabic" w:hAnsi="Traditional Arabic"/>
          <w:rtl/>
        </w:rPr>
        <w:t>روح الأرواح.</w:t>
      </w:r>
    </w:p>
    <w:p w:rsidR="00D11232" w:rsidRPr="00C17B7B" w:rsidRDefault="00D11232" w:rsidP="00C443D8">
      <w:pPr>
        <w:numPr>
          <w:ilvl w:val="0"/>
          <w:numId w:val="3"/>
        </w:numPr>
        <w:spacing w:after="200" w:line="276" w:lineRule="auto"/>
        <w:ind w:left="0" w:firstLine="0"/>
        <w:contextualSpacing/>
        <w:jc w:val="lowKashida"/>
        <w:rPr>
          <w:rFonts w:ascii="Traditional Arabic" w:hAnsi="Traditional Arabic"/>
        </w:rPr>
      </w:pPr>
      <w:r w:rsidRPr="00C17B7B">
        <w:rPr>
          <w:rFonts w:ascii="Traditional Arabic" w:hAnsi="Traditional Arabic"/>
          <w:rtl/>
        </w:rPr>
        <w:t>صبا نجد.</w:t>
      </w:r>
    </w:p>
    <w:p w:rsidR="00D11232" w:rsidRPr="00C17B7B" w:rsidRDefault="00D11232" w:rsidP="00C443D8">
      <w:pPr>
        <w:numPr>
          <w:ilvl w:val="0"/>
          <w:numId w:val="3"/>
        </w:numPr>
        <w:spacing w:after="200" w:line="276" w:lineRule="auto"/>
        <w:ind w:left="0" w:firstLine="0"/>
        <w:contextualSpacing/>
        <w:jc w:val="lowKashida"/>
        <w:rPr>
          <w:rFonts w:ascii="Traditional Arabic" w:hAnsi="Traditional Arabic"/>
        </w:rPr>
      </w:pPr>
      <w:r w:rsidRPr="00C17B7B">
        <w:rPr>
          <w:rFonts w:ascii="Traditional Arabic" w:hAnsi="Traditional Arabic"/>
          <w:rtl/>
        </w:rPr>
        <w:t>صفة الصفوة</w:t>
      </w:r>
      <w:r w:rsidR="00D673AB">
        <w:rPr>
          <w:rFonts w:hint="cs"/>
          <w:rtl/>
        </w:rPr>
        <w:t>,</w:t>
      </w:r>
      <w:r w:rsidR="00BA6224">
        <w:rPr>
          <w:rFonts w:hint="cs"/>
          <w:rtl/>
        </w:rPr>
        <w:t xml:space="preserve"> </w:t>
      </w:r>
      <w:r w:rsidR="00D673AB">
        <w:rPr>
          <w:rFonts w:hint="cs"/>
          <w:rtl/>
        </w:rPr>
        <w:t>مطبوع</w:t>
      </w:r>
      <w:r w:rsidRPr="00C17B7B">
        <w:rPr>
          <w:rFonts w:ascii="Traditional Arabic" w:hAnsi="Traditional Arabic"/>
          <w:rtl/>
        </w:rPr>
        <w:t>.</w:t>
      </w:r>
    </w:p>
    <w:p w:rsidR="00D11232" w:rsidRPr="00C17B7B" w:rsidRDefault="00D11232" w:rsidP="00C443D8">
      <w:pPr>
        <w:numPr>
          <w:ilvl w:val="0"/>
          <w:numId w:val="3"/>
        </w:numPr>
        <w:spacing w:after="200" w:line="276" w:lineRule="auto"/>
        <w:ind w:left="0" w:firstLine="0"/>
        <w:contextualSpacing/>
        <w:jc w:val="lowKashida"/>
        <w:rPr>
          <w:rFonts w:ascii="Traditional Arabic" w:hAnsi="Traditional Arabic"/>
        </w:rPr>
      </w:pPr>
      <w:r w:rsidRPr="00C17B7B">
        <w:rPr>
          <w:rFonts w:ascii="Traditional Arabic" w:hAnsi="Traditional Arabic"/>
          <w:rtl/>
        </w:rPr>
        <w:t>صـيد الخاطر</w:t>
      </w:r>
      <w:r w:rsidR="009805C0">
        <w:rPr>
          <w:rFonts w:ascii="Traditional Arabic" w:hAnsi="Traditional Arabic" w:hint="cs"/>
          <w:rtl/>
        </w:rPr>
        <w:t>, مطبوع</w:t>
      </w:r>
      <w:r w:rsidRPr="00C17B7B">
        <w:rPr>
          <w:rFonts w:ascii="Traditional Arabic" w:hAnsi="Traditional Arabic"/>
          <w:rtl/>
        </w:rPr>
        <w:t>.</w:t>
      </w:r>
    </w:p>
    <w:p w:rsidR="00D11232" w:rsidRDefault="009805C0" w:rsidP="00C443D8">
      <w:pPr>
        <w:numPr>
          <w:ilvl w:val="0"/>
          <w:numId w:val="3"/>
        </w:numPr>
        <w:spacing w:after="200" w:line="276" w:lineRule="auto"/>
        <w:ind w:left="0" w:firstLine="0"/>
        <w:contextualSpacing/>
        <w:jc w:val="lowKashida"/>
        <w:rPr>
          <w:rFonts w:ascii="Traditional Arabic" w:hAnsi="Traditional Arabic"/>
        </w:rPr>
      </w:pPr>
      <w:r>
        <w:rPr>
          <w:rFonts w:hint="cs"/>
          <w:rtl/>
        </w:rPr>
        <w:t>الضعفاء والمتروكين,</w:t>
      </w:r>
      <w:r w:rsidR="00BA6224">
        <w:rPr>
          <w:rFonts w:hint="cs"/>
          <w:rtl/>
        </w:rPr>
        <w:t xml:space="preserve"> </w:t>
      </w:r>
      <w:r>
        <w:rPr>
          <w:rFonts w:hint="cs"/>
          <w:rtl/>
        </w:rPr>
        <w:t>مطبوع</w:t>
      </w:r>
      <w:r w:rsidR="00D11232" w:rsidRPr="00C17B7B">
        <w:rPr>
          <w:rFonts w:ascii="Traditional Arabic" w:hAnsi="Traditional Arabic"/>
          <w:rtl/>
        </w:rPr>
        <w:t>.</w:t>
      </w:r>
    </w:p>
    <w:p w:rsidR="00BA6224" w:rsidRDefault="00BA6224" w:rsidP="00BA6224">
      <w:pPr>
        <w:spacing w:after="200" w:line="276" w:lineRule="auto"/>
        <w:contextualSpacing/>
        <w:jc w:val="lowKashida"/>
        <w:rPr>
          <w:rFonts w:ascii="Traditional Arabic" w:hAnsi="Traditional Arabic"/>
          <w:rtl/>
        </w:rPr>
      </w:pPr>
    </w:p>
    <w:p w:rsidR="003037B4" w:rsidRPr="00C17B7B" w:rsidRDefault="003037B4" w:rsidP="00BA6224">
      <w:pPr>
        <w:spacing w:after="200" w:line="276" w:lineRule="auto"/>
        <w:contextualSpacing/>
        <w:jc w:val="lowKashida"/>
        <w:rPr>
          <w:rFonts w:ascii="Traditional Arabic" w:hAnsi="Traditional Arabic"/>
        </w:rPr>
      </w:pPr>
    </w:p>
    <w:p w:rsidR="00D11232" w:rsidRPr="00C17B7B" w:rsidRDefault="00D11232" w:rsidP="00C443D8">
      <w:pPr>
        <w:numPr>
          <w:ilvl w:val="0"/>
          <w:numId w:val="3"/>
        </w:numPr>
        <w:spacing w:after="200" w:line="276" w:lineRule="auto"/>
        <w:ind w:left="0" w:firstLine="0"/>
        <w:contextualSpacing/>
        <w:jc w:val="lowKashida"/>
        <w:rPr>
          <w:rFonts w:ascii="Traditional Arabic" w:hAnsi="Traditional Arabic"/>
        </w:rPr>
      </w:pPr>
      <w:r w:rsidRPr="00C17B7B">
        <w:rPr>
          <w:rFonts w:ascii="Traditional Arabic" w:hAnsi="Traditional Arabic"/>
          <w:rtl/>
        </w:rPr>
        <w:lastRenderedPageBreak/>
        <w:t>العبادات الخمس</w:t>
      </w:r>
      <w:r w:rsidR="00B659F5" w:rsidRPr="00B659F5">
        <w:rPr>
          <w:rStyle w:val="ae"/>
          <w:rtl/>
        </w:rPr>
        <w:t>(</w:t>
      </w:r>
      <w:r w:rsidR="00B659F5">
        <w:rPr>
          <w:rStyle w:val="ae"/>
          <w:rtl/>
        </w:rPr>
        <w:footnoteReference w:id="101"/>
      </w:r>
      <w:r w:rsidR="00B659F5" w:rsidRPr="00B659F5">
        <w:rPr>
          <w:rStyle w:val="ae"/>
          <w:rtl/>
        </w:rPr>
        <w:t>)</w:t>
      </w:r>
      <w:r w:rsidRPr="00C17B7B">
        <w:rPr>
          <w:rFonts w:ascii="Traditional Arabic" w:hAnsi="Traditional Arabic"/>
          <w:rtl/>
        </w:rPr>
        <w:t>.</w:t>
      </w:r>
    </w:p>
    <w:p w:rsidR="0000591D" w:rsidRPr="00B659F5" w:rsidRDefault="00D11232" w:rsidP="00C443D8">
      <w:pPr>
        <w:numPr>
          <w:ilvl w:val="0"/>
          <w:numId w:val="3"/>
        </w:numPr>
        <w:spacing w:after="200" w:line="276" w:lineRule="auto"/>
        <w:ind w:left="0" w:firstLine="0"/>
        <w:contextualSpacing/>
        <w:jc w:val="lowKashida"/>
        <w:rPr>
          <w:rFonts w:ascii="Traditional Arabic" w:hAnsi="Traditional Arabic"/>
        </w:rPr>
      </w:pPr>
      <w:r w:rsidRPr="00C17B7B">
        <w:rPr>
          <w:rFonts w:ascii="Traditional Arabic" w:hAnsi="Traditional Arabic"/>
          <w:rtl/>
        </w:rPr>
        <w:t>العلل المتناهية في الأحاديث الواهية.</w:t>
      </w:r>
    </w:p>
    <w:p w:rsidR="00D11232" w:rsidRPr="00C17B7B" w:rsidRDefault="00D11232" w:rsidP="00C443D8">
      <w:pPr>
        <w:numPr>
          <w:ilvl w:val="0"/>
          <w:numId w:val="3"/>
        </w:numPr>
        <w:spacing w:after="200" w:line="276" w:lineRule="auto"/>
        <w:ind w:left="0" w:firstLine="0"/>
        <w:contextualSpacing/>
        <w:jc w:val="lowKashida"/>
        <w:rPr>
          <w:rFonts w:ascii="Traditional Arabic" w:hAnsi="Traditional Arabic"/>
        </w:rPr>
      </w:pPr>
      <w:r w:rsidRPr="00C17B7B">
        <w:rPr>
          <w:rFonts w:ascii="Traditional Arabic" w:hAnsi="Traditional Arabic"/>
          <w:rtl/>
        </w:rPr>
        <w:t xml:space="preserve"> عمد الدلائل، في مشتهر المسائل</w:t>
      </w:r>
      <w:r w:rsidR="00B659F5" w:rsidRPr="00B659F5">
        <w:rPr>
          <w:rStyle w:val="ae"/>
          <w:rtl/>
        </w:rPr>
        <w:t>(</w:t>
      </w:r>
      <w:r w:rsidR="00B659F5">
        <w:rPr>
          <w:rStyle w:val="ae"/>
          <w:rtl/>
        </w:rPr>
        <w:footnoteReference w:id="102"/>
      </w:r>
      <w:r w:rsidR="00B659F5" w:rsidRPr="00B659F5">
        <w:rPr>
          <w:rStyle w:val="ae"/>
          <w:rtl/>
        </w:rPr>
        <w:t>)</w:t>
      </w:r>
      <w:r w:rsidRPr="00C17B7B">
        <w:rPr>
          <w:rFonts w:ascii="Traditional Arabic" w:hAnsi="Traditional Arabic"/>
          <w:rtl/>
        </w:rPr>
        <w:t>.</w:t>
      </w:r>
    </w:p>
    <w:p w:rsidR="00D11232" w:rsidRPr="00C17B7B" w:rsidRDefault="00D11232" w:rsidP="00C443D8">
      <w:pPr>
        <w:numPr>
          <w:ilvl w:val="0"/>
          <w:numId w:val="3"/>
        </w:numPr>
        <w:spacing w:after="200" w:line="276" w:lineRule="auto"/>
        <w:ind w:left="0" w:firstLine="0"/>
        <w:contextualSpacing/>
        <w:jc w:val="lowKashida"/>
        <w:rPr>
          <w:rFonts w:ascii="Traditional Arabic" w:hAnsi="Traditional Arabic"/>
        </w:rPr>
      </w:pPr>
      <w:r w:rsidRPr="00C17B7B">
        <w:rPr>
          <w:rFonts w:ascii="Traditional Arabic" w:hAnsi="Traditional Arabic"/>
          <w:rtl/>
        </w:rPr>
        <w:t>غريب الحديث</w:t>
      </w:r>
      <w:r w:rsidR="00B659F5">
        <w:rPr>
          <w:rFonts w:ascii="Traditional Arabic" w:hAnsi="Traditional Arabic" w:hint="cs"/>
          <w:rtl/>
        </w:rPr>
        <w:t>, مطبوع</w:t>
      </w:r>
      <w:r w:rsidRPr="00C17B7B">
        <w:rPr>
          <w:rFonts w:ascii="Traditional Arabic" w:hAnsi="Traditional Arabic"/>
          <w:rtl/>
        </w:rPr>
        <w:t>.</w:t>
      </w:r>
    </w:p>
    <w:p w:rsidR="00D11232" w:rsidRPr="00C17B7B" w:rsidRDefault="00D11232" w:rsidP="00C443D8">
      <w:pPr>
        <w:numPr>
          <w:ilvl w:val="0"/>
          <w:numId w:val="3"/>
        </w:numPr>
        <w:spacing w:after="200" w:line="276" w:lineRule="auto"/>
        <w:ind w:left="0" w:firstLine="0"/>
        <w:contextualSpacing/>
        <w:jc w:val="lowKashida"/>
        <w:rPr>
          <w:rFonts w:ascii="Traditional Arabic" w:hAnsi="Traditional Arabic"/>
        </w:rPr>
      </w:pPr>
      <w:r w:rsidRPr="00C17B7B">
        <w:rPr>
          <w:rFonts w:ascii="Traditional Arabic" w:hAnsi="Traditional Arabic"/>
          <w:rtl/>
        </w:rPr>
        <w:t>القرامطة.</w:t>
      </w:r>
    </w:p>
    <w:p w:rsidR="00D11232" w:rsidRPr="00C17B7B" w:rsidRDefault="00D11232" w:rsidP="00C443D8">
      <w:pPr>
        <w:numPr>
          <w:ilvl w:val="0"/>
          <w:numId w:val="3"/>
        </w:numPr>
        <w:spacing w:after="200" w:line="276" w:lineRule="auto"/>
        <w:ind w:left="0" w:firstLine="0"/>
        <w:contextualSpacing/>
        <w:jc w:val="lowKashida"/>
        <w:rPr>
          <w:rFonts w:ascii="Traditional Arabic" w:hAnsi="Traditional Arabic"/>
        </w:rPr>
      </w:pPr>
      <w:r w:rsidRPr="00C17B7B">
        <w:rPr>
          <w:rFonts w:ascii="Traditional Arabic" w:hAnsi="Traditional Arabic"/>
          <w:rtl/>
        </w:rPr>
        <w:t>القصاص والمذكرين.</w:t>
      </w:r>
    </w:p>
    <w:p w:rsidR="00D11232" w:rsidRPr="00C17B7B" w:rsidRDefault="00D11232" w:rsidP="00C443D8">
      <w:pPr>
        <w:numPr>
          <w:ilvl w:val="0"/>
          <w:numId w:val="3"/>
        </w:numPr>
        <w:spacing w:after="200" w:line="276" w:lineRule="auto"/>
        <w:ind w:left="0" w:firstLine="0"/>
        <w:contextualSpacing/>
        <w:jc w:val="lowKashida"/>
        <w:rPr>
          <w:rFonts w:ascii="Traditional Arabic" w:hAnsi="Traditional Arabic"/>
        </w:rPr>
      </w:pPr>
      <w:r w:rsidRPr="00C17B7B">
        <w:rPr>
          <w:rFonts w:ascii="Traditional Arabic" w:hAnsi="Traditional Arabic"/>
          <w:rtl/>
        </w:rPr>
        <w:t>الكشف لمشكل الصحيحين.</w:t>
      </w:r>
    </w:p>
    <w:p w:rsidR="00D11232" w:rsidRPr="00C17B7B" w:rsidRDefault="00D11232" w:rsidP="00C443D8">
      <w:pPr>
        <w:numPr>
          <w:ilvl w:val="0"/>
          <w:numId w:val="3"/>
        </w:numPr>
        <w:spacing w:after="200" w:line="276" w:lineRule="auto"/>
        <w:ind w:left="0" w:firstLine="0"/>
        <w:contextualSpacing/>
        <w:jc w:val="lowKashida"/>
        <w:rPr>
          <w:rFonts w:ascii="Traditional Arabic" w:hAnsi="Traditional Arabic"/>
        </w:rPr>
      </w:pPr>
      <w:r w:rsidRPr="00C17B7B">
        <w:rPr>
          <w:rFonts w:ascii="Traditional Arabic" w:hAnsi="Traditional Arabic"/>
          <w:rtl/>
        </w:rPr>
        <w:t>اللطائف.</w:t>
      </w:r>
    </w:p>
    <w:p w:rsidR="00D11232" w:rsidRPr="00C17B7B" w:rsidRDefault="00D11232" w:rsidP="00C443D8">
      <w:pPr>
        <w:numPr>
          <w:ilvl w:val="0"/>
          <w:numId w:val="3"/>
        </w:numPr>
        <w:spacing w:after="200" w:line="276" w:lineRule="auto"/>
        <w:ind w:left="0" w:firstLine="0"/>
        <w:contextualSpacing/>
        <w:jc w:val="lowKashida"/>
        <w:rPr>
          <w:rFonts w:ascii="Traditional Arabic" w:hAnsi="Traditional Arabic"/>
        </w:rPr>
      </w:pPr>
      <w:r w:rsidRPr="00C17B7B">
        <w:rPr>
          <w:rFonts w:ascii="Traditional Arabic" w:hAnsi="Traditional Arabic"/>
          <w:rtl/>
        </w:rPr>
        <w:t>لفتة الكبد في نصـيحة الولد.</w:t>
      </w:r>
    </w:p>
    <w:p w:rsidR="00D11232" w:rsidRPr="00C17B7B" w:rsidRDefault="00D11232" w:rsidP="00C443D8">
      <w:pPr>
        <w:numPr>
          <w:ilvl w:val="0"/>
          <w:numId w:val="3"/>
        </w:numPr>
        <w:spacing w:after="200" w:line="276" w:lineRule="auto"/>
        <w:ind w:left="0" w:firstLine="0"/>
        <w:contextualSpacing/>
        <w:jc w:val="lowKashida"/>
        <w:rPr>
          <w:rFonts w:ascii="Traditional Arabic" w:hAnsi="Traditional Arabic"/>
        </w:rPr>
      </w:pPr>
      <w:r w:rsidRPr="00C17B7B">
        <w:rPr>
          <w:rFonts w:ascii="Traditional Arabic" w:hAnsi="Traditional Arabic"/>
          <w:rtl/>
        </w:rPr>
        <w:t>لقط المنافع في الطب.</w:t>
      </w:r>
    </w:p>
    <w:p w:rsidR="00D11232" w:rsidRPr="00C17B7B" w:rsidRDefault="00D11232" w:rsidP="00C443D8">
      <w:pPr>
        <w:numPr>
          <w:ilvl w:val="0"/>
          <w:numId w:val="3"/>
        </w:numPr>
        <w:spacing w:after="200" w:line="276" w:lineRule="auto"/>
        <w:ind w:left="0" w:firstLine="0"/>
        <w:contextualSpacing/>
        <w:jc w:val="lowKashida"/>
        <w:rPr>
          <w:rFonts w:ascii="Traditional Arabic" w:hAnsi="Traditional Arabic"/>
        </w:rPr>
      </w:pPr>
      <w:r w:rsidRPr="00C17B7B">
        <w:rPr>
          <w:rFonts w:ascii="Traditional Arabic" w:hAnsi="Traditional Arabic"/>
          <w:rtl/>
        </w:rPr>
        <w:t>مثير العزم الساكن إلى أشـرف الأماكن.</w:t>
      </w:r>
    </w:p>
    <w:p w:rsidR="00D11232" w:rsidRPr="00C17B7B" w:rsidRDefault="00D11232" w:rsidP="00C443D8">
      <w:pPr>
        <w:numPr>
          <w:ilvl w:val="0"/>
          <w:numId w:val="3"/>
        </w:numPr>
        <w:spacing w:after="200" w:line="276" w:lineRule="auto"/>
        <w:ind w:left="0" w:firstLine="0"/>
        <w:contextualSpacing/>
        <w:jc w:val="lowKashida"/>
        <w:rPr>
          <w:rFonts w:ascii="Traditional Arabic" w:hAnsi="Traditional Arabic"/>
        </w:rPr>
      </w:pPr>
      <w:r w:rsidRPr="00C17B7B">
        <w:rPr>
          <w:rFonts w:ascii="Traditional Arabic" w:hAnsi="Traditional Arabic"/>
          <w:rtl/>
        </w:rPr>
        <w:t>المجالس في الوعظ.</w:t>
      </w:r>
    </w:p>
    <w:p w:rsidR="00D11232" w:rsidRPr="00C17B7B" w:rsidRDefault="00D11232" w:rsidP="00C443D8">
      <w:pPr>
        <w:numPr>
          <w:ilvl w:val="0"/>
          <w:numId w:val="3"/>
        </w:numPr>
        <w:spacing w:after="200" w:line="276" w:lineRule="auto"/>
        <w:ind w:left="0" w:firstLine="0"/>
        <w:contextualSpacing/>
        <w:jc w:val="lowKashida"/>
        <w:rPr>
          <w:rFonts w:ascii="Traditional Arabic" w:hAnsi="Traditional Arabic"/>
        </w:rPr>
      </w:pPr>
      <w:r w:rsidRPr="00C17B7B">
        <w:rPr>
          <w:rFonts w:ascii="Traditional Arabic" w:hAnsi="Traditional Arabic"/>
          <w:rtl/>
        </w:rPr>
        <w:t>المدهش</w:t>
      </w:r>
      <w:r w:rsidR="00CA30C8">
        <w:rPr>
          <w:rFonts w:ascii="Traditional Arabic" w:hAnsi="Traditional Arabic" w:hint="cs"/>
          <w:rtl/>
        </w:rPr>
        <w:t>, مطبوع</w:t>
      </w:r>
      <w:r w:rsidRPr="00C17B7B">
        <w:rPr>
          <w:rFonts w:ascii="Traditional Arabic" w:hAnsi="Traditional Arabic"/>
          <w:rtl/>
        </w:rPr>
        <w:t>.</w:t>
      </w:r>
    </w:p>
    <w:p w:rsidR="00D11232" w:rsidRPr="00C17B7B" w:rsidRDefault="00633EE3" w:rsidP="00C443D8">
      <w:pPr>
        <w:numPr>
          <w:ilvl w:val="0"/>
          <w:numId w:val="3"/>
        </w:numPr>
        <w:spacing w:after="200" w:line="276" w:lineRule="auto"/>
        <w:ind w:left="0" w:firstLine="0"/>
        <w:contextualSpacing/>
        <w:jc w:val="lowKashida"/>
        <w:rPr>
          <w:rFonts w:ascii="Traditional Arabic" w:hAnsi="Traditional Arabic"/>
        </w:rPr>
      </w:pPr>
      <w:r>
        <w:rPr>
          <w:rFonts w:ascii="Traditional Arabic" w:hAnsi="Traditional Arabic"/>
          <w:rtl/>
        </w:rPr>
        <w:t>المذه</w:t>
      </w:r>
      <w:r>
        <w:rPr>
          <w:rFonts w:ascii="Traditional Arabic" w:hAnsi="Traditional Arabic" w:hint="cs"/>
          <w:rtl/>
        </w:rPr>
        <w:t>َ</w:t>
      </w:r>
      <w:r>
        <w:rPr>
          <w:rFonts w:ascii="Traditional Arabic" w:hAnsi="Traditional Arabic"/>
          <w:rtl/>
        </w:rPr>
        <w:t>ب</w:t>
      </w:r>
      <w:r>
        <w:rPr>
          <w:rFonts w:ascii="Traditional Arabic" w:hAnsi="Traditional Arabic" w:hint="cs"/>
          <w:rtl/>
        </w:rPr>
        <w:t>ُ الأحمد</w:t>
      </w:r>
      <w:r>
        <w:rPr>
          <w:rFonts w:ascii="Traditional Arabic" w:hAnsi="Traditional Arabic"/>
          <w:rtl/>
        </w:rPr>
        <w:t xml:space="preserve"> في </w:t>
      </w:r>
      <w:r>
        <w:rPr>
          <w:rFonts w:ascii="Traditional Arabic" w:hAnsi="Traditional Arabic" w:hint="cs"/>
          <w:rtl/>
        </w:rPr>
        <w:t>مذه</w:t>
      </w:r>
      <w:r w:rsidR="00D11232" w:rsidRPr="00C17B7B">
        <w:rPr>
          <w:rFonts w:ascii="Traditional Arabic" w:hAnsi="Traditional Arabic"/>
          <w:rtl/>
        </w:rPr>
        <w:t>ب</w:t>
      </w:r>
      <w:r>
        <w:rPr>
          <w:rFonts w:ascii="Traditional Arabic" w:hAnsi="Traditional Arabic" w:hint="cs"/>
          <w:rtl/>
        </w:rPr>
        <w:t>ِ</w:t>
      </w:r>
      <w:r w:rsidR="00BA6224">
        <w:rPr>
          <w:rFonts w:ascii="Traditional Arabic" w:hAnsi="Traditional Arabic" w:hint="cs"/>
          <w:rtl/>
        </w:rPr>
        <w:t xml:space="preserve"> الإمام أحمد,</w:t>
      </w:r>
      <w:r w:rsidR="00D673AB">
        <w:rPr>
          <w:rFonts w:ascii="Traditional Arabic" w:hAnsi="Traditional Arabic" w:hint="cs"/>
          <w:rtl/>
        </w:rPr>
        <w:t xml:space="preserve"> </w:t>
      </w:r>
      <w:r>
        <w:rPr>
          <w:rFonts w:ascii="Traditional Arabic" w:hAnsi="Traditional Arabic" w:hint="cs"/>
          <w:rtl/>
        </w:rPr>
        <w:t>مطبوع</w:t>
      </w:r>
      <w:r w:rsidR="00D11232" w:rsidRPr="00C17B7B">
        <w:rPr>
          <w:rFonts w:ascii="Traditional Arabic" w:hAnsi="Traditional Arabic"/>
          <w:rtl/>
        </w:rPr>
        <w:t>.</w:t>
      </w:r>
    </w:p>
    <w:p w:rsidR="00D11232" w:rsidRPr="00C17B7B" w:rsidRDefault="00D11232" w:rsidP="00C443D8">
      <w:pPr>
        <w:numPr>
          <w:ilvl w:val="0"/>
          <w:numId w:val="3"/>
        </w:numPr>
        <w:spacing w:after="200" w:line="276" w:lineRule="auto"/>
        <w:ind w:left="0" w:firstLine="0"/>
        <w:contextualSpacing/>
        <w:jc w:val="lowKashida"/>
        <w:rPr>
          <w:rFonts w:ascii="Traditional Arabic" w:hAnsi="Traditional Arabic"/>
        </w:rPr>
      </w:pPr>
      <w:r w:rsidRPr="00C17B7B">
        <w:rPr>
          <w:rFonts w:ascii="Traditional Arabic" w:hAnsi="Traditional Arabic"/>
          <w:rtl/>
        </w:rPr>
        <w:t>مسبوك الذهب</w:t>
      </w:r>
      <w:r w:rsidR="00633EE3" w:rsidRPr="00633EE3">
        <w:rPr>
          <w:rStyle w:val="ae"/>
          <w:rtl/>
        </w:rPr>
        <w:t>(</w:t>
      </w:r>
      <w:r w:rsidR="00633EE3">
        <w:rPr>
          <w:rStyle w:val="ae"/>
          <w:rtl/>
        </w:rPr>
        <w:footnoteReference w:id="103"/>
      </w:r>
      <w:r w:rsidR="00633EE3" w:rsidRPr="00633EE3">
        <w:rPr>
          <w:rStyle w:val="ae"/>
          <w:rtl/>
        </w:rPr>
        <w:t>)</w:t>
      </w:r>
      <w:r w:rsidRPr="00C17B7B">
        <w:rPr>
          <w:rFonts w:ascii="Traditional Arabic" w:hAnsi="Traditional Arabic"/>
          <w:rtl/>
        </w:rPr>
        <w:t>.</w:t>
      </w:r>
    </w:p>
    <w:p w:rsidR="00D11232" w:rsidRPr="00C17B7B" w:rsidRDefault="00D11232" w:rsidP="00C443D8">
      <w:pPr>
        <w:numPr>
          <w:ilvl w:val="0"/>
          <w:numId w:val="3"/>
        </w:numPr>
        <w:spacing w:after="200" w:line="276" w:lineRule="auto"/>
        <w:ind w:left="0" w:firstLine="0"/>
        <w:contextualSpacing/>
        <w:jc w:val="lowKashida"/>
        <w:rPr>
          <w:rFonts w:ascii="Traditional Arabic" w:hAnsi="Traditional Arabic"/>
        </w:rPr>
      </w:pPr>
      <w:r w:rsidRPr="00C17B7B">
        <w:rPr>
          <w:rFonts w:ascii="Traditional Arabic" w:hAnsi="Traditional Arabic"/>
          <w:rtl/>
        </w:rPr>
        <w:t>المشـيخة</w:t>
      </w:r>
      <w:r w:rsidR="00BA6224">
        <w:rPr>
          <w:rFonts w:ascii="Traditional Arabic" w:hAnsi="Traditional Arabic" w:hint="cs"/>
          <w:rtl/>
        </w:rPr>
        <w:t>,</w:t>
      </w:r>
      <w:r w:rsidR="00D673AB">
        <w:rPr>
          <w:rFonts w:ascii="Traditional Arabic" w:hAnsi="Traditional Arabic" w:hint="cs"/>
          <w:rtl/>
        </w:rPr>
        <w:t xml:space="preserve"> </w:t>
      </w:r>
      <w:r w:rsidR="00633EE3">
        <w:rPr>
          <w:rFonts w:ascii="Traditional Arabic" w:hAnsi="Traditional Arabic" w:hint="cs"/>
          <w:rtl/>
        </w:rPr>
        <w:t>مطبوع</w:t>
      </w:r>
      <w:r w:rsidRPr="00C17B7B">
        <w:rPr>
          <w:rFonts w:ascii="Traditional Arabic" w:hAnsi="Traditional Arabic"/>
          <w:rtl/>
        </w:rPr>
        <w:t>.</w:t>
      </w:r>
    </w:p>
    <w:p w:rsidR="00D11232" w:rsidRDefault="00D11232" w:rsidP="00C443D8">
      <w:pPr>
        <w:numPr>
          <w:ilvl w:val="0"/>
          <w:numId w:val="3"/>
        </w:numPr>
        <w:spacing w:after="200" w:line="276" w:lineRule="auto"/>
        <w:ind w:left="0" w:firstLine="0"/>
        <w:contextualSpacing/>
        <w:jc w:val="lowKashida"/>
        <w:rPr>
          <w:rFonts w:ascii="Traditional Arabic" w:hAnsi="Traditional Arabic"/>
        </w:rPr>
      </w:pPr>
      <w:r w:rsidRPr="00C17B7B">
        <w:rPr>
          <w:rFonts w:ascii="Traditional Arabic" w:hAnsi="Traditional Arabic"/>
          <w:rtl/>
        </w:rPr>
        <w:t>المصباح المضـيء في خلافة المستضـيء.</w:t>
      </w:r>
    </w:p>
    <w:p w:rsidR="003037B4" w:rsidRDefault="003037B4" w:rsidP="003037B4">
      <w:pPr>
        <w:spacing w:after="200" w:line="276" w:lineRule="auto"/>
        <w:ind w:firstLine="0"/>
        <w:contextualSpacing/>
        <w:jc w:val="lowKashida"/>
        <w:rPr>
          <w:rFonts w:ascii="Traditional Arabic" w:hAnsi="Traditional Arabic"/>
        </w:rPr>
      </w:pPr>
    </w:p>
    <w:p w:rsidR="00BA6224" w:rsidRPr="00C17B7B" w:rsidRDefault="00BA6224" w:rsidP="00BA6224">
      <w:pPr>
        <w:spacing w:after="200" w:line="276" w:lineRule="auto"/>
        <w:contextualSpacing/>
        <w:jc w:val="lowKashida"/>
        <w:rPr>
          <w:rFonts w:ascii="Traditional Arabic" w:hAnsi="Traditional Arabic"/>
        </w:rPr>
      </w:pPr>
    </w:p>
    <w:p w:rsidR="00D11232" w:rsidRPr="00C17B7B" w:rsidRDefault="00D11232" w:rsidP="00C443D8">
      <w:pPr>
        <w:numPr>
          <w:ilvl w:val="0"/>
          <w:numId w:val="3"/>
        </w:numPr>
        <w:spacing w:after="200" w:line="276" w:lineRule="auto"/>
        <w:ind w:left="0" w:firstLine="0"/>
        <w:contextualSpacing/>
        <w:jc w:val="lowKashida"/>
        <w:rPr>
          <w:rFonts w:ascii="Traditional Arabic" w:hAnsi="Traditional Arabic"/>
        </w:rPr>
      </w:pPr>
      <w:r w:rsidRPr="00C17B7B">
        <w:rPr>
          <w:rFonts w:ascii="Traditional Arabic" w:hAnsi="Traditional Arabic"/>
          <w:rtl/>
        </w:rPr>
        <w:t>معتصـر المختصـر في مسائل النظر, وهو دون كتاب جنة النظر</w:t>
      </w:r>
      <w:r w:rsidR="00F61898" w:rsidRPr="00F61898">
        <w:rPr>
          <w:rStyle w:val="ae"/>
          <w:rtl/>
        </w:rPr>
        <w:t>(</w:t>
      </w:r>
      <w:r w:rsidR="00F61898">
        <w:rPr>
          <w:rStyle w:val="ae"/>
          <w:rtl/>
        </w:rPr>
        <w:footnoteReference w:id="104"/>
      </w:r>
      <w:r w:rsidR="00F61898" w:rsidRPr="00F61898">
        <w:rPr>
          <w:rStyle w:val="ae"/>
          <w:rtl/>
        </w:rPr>
        <w:t>)</w:t>
      </w:r>
      <w:r w:rsidRPr="00C17B7B">
        <w:rPr>
          <w:rFonts w:ascii="Traditional Arabic" w:hAnsi="Traditional Arabic"/>
          <w:rtl/>
        </w:rPr>
        <w:t>.</w:t>
      </w:r>
    </w:p>
    <w:p w:rsidR="00D11232" w:rsidRPr="00C17B7B" w:rsidRDefault="00D11232" w:rsidP="00C443D8">
      <w:pPr>
        <w:numPr>
          <w:ilvl w:val="0"/>
          <w:numId w:val="3"/>
        </w:numPr>
        <w:spacing w:after="200" w:line="276" w:lineRule="auto"/>
        <w:ind w:left="0" w:firstLine="0"/>
        <w:contextualSpacing/>
        <w:jc w:val="lowKashida"/>
        <w:rPr>
          <w:rFonts w:ascii="Traditional Arabic" w:hAnsi="Traditional Arabic"/>
        </w:rPr>
      </w:pPr>
      <w:r w:rsidRPr="00C17B7B">
        <w:rPr>
          <w:rFonts w:ascii="Traditional Arabic" w:hAnsi="Traditional Arabic"/>
          <w:rtl/>
        </w:rPr>
        <w:t>مناقب الإمام أحمد</w:t>
      </w:r>
      <w:r w:rsidR="009805C0">
        <w:rPr>
          <w:rFonts w:ascii="Traditional Arabic" w:hAnsi="Traditional Arabic" w:hint="cs"/>
          <w:rtl/>
        </w:rPr>
        <w:t>, مطبوع</w:t>
      </w:r>
      <w:r w:rsidR="009805C0" w:rsidRPr="009805C0">
        <w:rPr>
          <w:rStyle w:val="ae"/>
          <w:rtl/>
        </w:rPr>
        <w:t>(</w:t>
      </w:r>
      <w:r w:rsidR="009805C0">
        <w:rPr>
          <w:rStyle w:val="ae"/>
          <w:rtl/>
        </w:rPr>
        <w:footnoteReference w:id="105"/>
      </w:r>
      <w:r w:rsidR="009805C0" w:rsidRPr="009805C0">
        <w:rPr>
          <w:rStyle w:val="ae"/>
          <w:rtl/>
        </w:rPr>
        <w:t>)</w:t>
      </w:r>
      <w:r w:rsidRPr="00C17B7B">
        <w:rPr>
          <w:rFonts w:ascii="Traditional Arabic" w:hAnsi="Traditional Arabic"/>
          <w:rtl/>
        </w:rPr>
        <w:t>.</w:t>
      </w:r>
    </w:p>
    <w:p w:rsidR="00D11232" w:rsidRPr="00C17B7B" w:rsidRDefault="00D11232" w:rsidP="00C443D8">
      <w:pPr>
        <w:numPr>
          <w:ilvl w:val="0"/>
          <w:numId w:val="3"/>
        </w:numPr>
        <w:spacing w:after="200" w:line="276" w:lineRule="auto"/>
        <w:ind w:left="0" w:firstLine="0"/>
        <w:contextualSpacing/>
        <w:jc w:val="lowKashida"/>
        <w:rPr>
          <w:rFonts w:ascii="Traditional Arabic" w:hAnsi="Traditional Arabic"/>
        </w:rPr>
      </w:pPr>
      <w:r w:rsidRPr="00C17B7B">
        <w:rPr>
          <w:rFonts w:ascii="Traditional Arabic" w:hAnsi="Traditional Arabic"/>
          <w:rtl/>
        </w:rPr>
        <w:t>مناقب بغداد.</w:t>
      </w:r>
    </w:p>
    <w:p w:rsidR="00D11232" w:rsidRPr="00C17B7B" w:rsidRDefault="00D11232" w:rsidP="00C443D8">
      <w:pPr>
        <w:numPr>
          <w:ilvl w:val="0"/>
          <w:numId w:val="3"/>
        </w:numPr>
        <w:spacing w:after="200" w:line="276" w:lineRule="auto"/>
        <w:ind w:left="0" w:firstLine="0"/>
        <w:contextualSpacing/>
        <w:jc w:val="lowKashida"/>
        <w:rPr>
          <w:rFonts w:ascii="Traditional Arabic" w:hAnsi="Traditional Arabic"/>
        </w:rPr>
      </w:pPr>
      <w:r w:rsidRPr="00C17B7B">
        <w:rPr>
          <w:rFonts w:ascii="Traditional Arabic" w:hAnsi="Traditional Arabic"/>
          <w:rtl/>
        </w:rPr>
        <w:t>مناقب عمر بن الخطاب.</w:t>
      </w:r>
    </w:p>
    <w:p w:rsidR="00D11232" w:rsidRPr="00C17B7B" w:rsidRDefault="00D11232" w:rsidP="00C443D8">
      <w:pPr>
        <w:numPr>
          <w:ilvl w:val="0"/>
          <w:numId w:val="3"/>
        </w:numPr>
        <w:spacing w:after="200" w:line="276" w:lineRule="auto"/>
        <w:ind w:left="0" w:firstLine="0"/>
        <w:contextualSpacing/>
        <w:jc w:val="lowKashida"/>
        <w:rPr>
          <w:rFonts w:ascii="Traditional Arabic" w:hAnsi="Traditional Arabic"/>
        </w:rPr>
      </w:pPr>
      <w:r w:rsidRPr="00C17B7B">
        <w:rPr>
          <w:rFonts w:ascii="Traditional Arabic" w:hAnsi="Traditional Arabic"/>
          <w:rtl/>
        </w:rPr>
        <w:t>مناقب عمر بن عبدالعزيز.</w:t>
      </w:r>
    </w:p>
    <w:p w:rsidR="00D11232" w:rsidRPr="00C17B7B" w:rsidRDefault="00D11232" w:rsidP="00C443D8">
      <w:pPr>
        <w:numPr>
          <w:ilvl w:val="0"/>
          <w:numId w:val="3"/>
        </w:numPr>
        <w:spacing w:after="200" w:line="276" w:lineRule="auto"/>
        <w:ind w:left="0" w:firstLine="0"/>
        <w:contextualSpacing/>
        <w:jc w:val="lowKashida"/>
        <w:rPr>
          <w:rFonts w:ascii="Traditional Arabic" w:hAnsi="Traditional Arabic"/>
        </w:rPr>
      </w:pPr>
      <w:r w:rsidRPr="00C17B7B">
        <w:rPr>
          <w:rFonts w:ascii="Traditional Arabic" w:hAnsi="Traditional Arabic"/>
          <w:rtl/>
        </w:rPr>
        <w:t>مناقب معروف الكرخي.</w:t>
      </w:r>
    </w:p>
    <w:p w:rsidR="00D11232" w:rsidRPr="00C17B7B" w:rsidRDefault="00D11232" w:rsidP="00C443D8">
      <w:pPr>
        <w:numPr>
          <w:ilvl w:val="0"/>
          <w:numId w:val="3"/>
        </w:numPr>
        <w:spacing w:after="200" w:line="276" w:lineRule="auto"/>
        <w:ind w:left="0" w:firstLine="0"/>
        <w:contextualSpacing/>
        <w:jc w:val="lowKashida"/>
        <w:rPr>
          <w:rFonts w:ascii="Traditional Arabic" w:hAnsi="Traditional Arabic"/>
        </w:rPr>
      </w:pPr>
      <w:r w:rsidRPr="00C17B7B">
        <w:rPr>
          <w:rFonts w:ascii="Traditional Arabic" w:hAnsi="Traditional Arabic"/>
          <w:rtl/>
        </w:rPr>
        <w:t>المنتظم في تاريخ الأمم والملوك</w:t>
      </w:r>
      <w:r w:rsidR="00F61898">
        <w:rPr>
          <w:rFonts w:ascii="Traditional Arabic" w:hAnsi="Traditional Arabic" w:hint="cs"/>
          <w:rtl/>
        </w:rPr>
        <w:t>, مطبوع</w:t>
      </w:r>
      <w:r w:rsidRPr="00C17B7B">
        <w:rPr>
          <w:rFonts w:ascii="Traditional Arabic" w:hAnsi="Traditional Arabic"/>
          <w:rtl/>
        </w:rPr>
        <w:t>.</w:t>
      </w:r>
    </w:p>
    <w:p w:rsidR="00D11232" w:rsidRPr="00C17B7B" w:rsidRDefault="00D11232" w:rsidP="00C443D8">
      <w:pPr>
        <w:numPr>
          <w:ilvl w:val="0"/>
          <w:numId w:val="3"/>
        </w:numPr>
        <w:spacing w:after="200" w:line="276" w:lineRule="auto"/>
        <w:ind w:left="0" w:firstLine="0"/>
        <w:contextualSpacing/>
        <w:jc w:val="lowKashida"/>
        <w:rPr>
          <w:rFonts w:ascii="Traditional Arabic" w:hAnsi="Traditional Arabic"/>
        </w:rPr>
      </w:pPr>
      <w:r w:rsidRPr="00C17B7B">
        <w:rPr>
          <w:rFonts w:ascii="Traditional Arabic" w:hAnsi="Traditional Arabic"/>
          <w:rtl/>
        </w:rPr>
        <w:t>الموضوعات من الأحاديث المرفوعات</w:t>
      </w:r>
      <w:r w:rsidR="00F61898">
        <w:rPr>
          <w:rFonts w:ascii="Traditional Arabic" w:hAnsi="Traditional Arabic" w:hint="cs"/>
          <w:rtl/>
        </w:rPr>
        <w:t>,</w:t>
      </w:r>
      <w:r w:rsidR="00D673AB">
        <w:rPr>
          <w:rFonts w:ascii="Traditional Arabic" w:hAnsi="Traditional Arabic" w:hint="cs"/>
          <w:rtl/>
        </w:rPr>
        <w:t xml:space="preserve"> </w:t>
      </w:r>
      <w:r w:rsidR="00F61898">
        <w:rPr>
          <w:rFonts w:ascii="Traditional Arabic" w:hAnsi="Traditional Arabic" w:hint="cs"/>
          <w:rtl/>
        </w:rPr>
        <w:t>مطبوع</w:t>
      </w:r>
      <w:r w:rsidRPr="00C17B7B">
        <w:rPr>
          <w:rFonts w:ascii="Traditional Arabic" w:hAnsi="Traditional Arabic"/>
          <w:rtl/>
        </w:rPr>
        <w:t>.</w:t>
      </w:r>
    </w:p>
    <w:p w:rsidR="00D11232" w:rsidRPr="00C17B7B" w:rsidRDefault="00D11232" w:rsidP="00C443D8">
      <w:pPr>
        <w:numPr>
          <w:ilvl w:val="0"/>
          <w:numId w:val="3"/>
        </w:numPr>
        <w:spacing w:after="200" w:line="276" w:lineRule="auto"/>
        <w:ind w:left="0" w:firstLine="0"/>
        <w:contextualSpacing/>
        <w:jc w:val="lowKashida"/>
        <w:rPr>
          <w:rFonts w:ascii="Traditional Arabic" w:hAnsi="Traditional Arabic"/>
        </w:rPr>
      </w:pPr>
      <w:r w:rsidRPr="00C17B7B">
        <w:rPr>
          <w:rFonts w:ascii="Traditional Arabic" w:hAnsi="Traditional Arabic"/>
          <w:rtl/>
        </w:rPr>
        <w:t>نزهة الأديب</w:t>
      </w:r>
      <w:r w:rsidR="00D673AB" w:rsidRPr="00D673AB">
        <w:rPr>
          <w:rStyle w:val="ae"/>
          <w:rtl/>
        </w:rPr>
        <w:t>(</w:t>
      </w:r>
      <w:r w:rsidR="00D673AB">
        <w:rPr>
          <w:rStyle w:val="ae"/>
          <w:rtl/>
        </w:rPr>
        <w:footnoteReference w:id="106"/>
      </w:r>
      <w:r w:rsidR="00D673AB" w:rsidRPr="00D673AB">
        <w:rPr>
          <w:rStyle w:val="ae"/>
          <w:rtl/>
        </w:rPr>
        <w:t>)</w:t>
      </w:r>
      <w:r w:rsidRPr="00C17B7B">
        <w:rPr>
          <w:rFonts w:ascii="Traditional Arabic" w:hAnsi="Traditional Arabic"/>
          <w:rtl/>
        </w:rPr>
        <w:t>.</w:t>
      </w:r>
    </w:p>
    <w:p w:rsidR="00D11232" w:rsidRPr="00C17B7B" w:rsidRDefault="00D11232" w:rsidP="00D11232">
      <w:pPr>
        <w:spacing w:line="276" w:lineRule="auto"/>
        <w:contextualSpacing/>
        <w:jc w:val="lowKashida"/>
        <w:rPr>
          <w:rFonts w:ascii="Traditional Arabic" w:eastAsia="Calibri" w:hAnsi="Traditional Arabic"/>
          <w:color w:val="auto"/>
          <w:szCs w:val="32"/>
        </w:rPr>
        <w:sectPr w:rsidR="00D11232" w:rsidRPr="00C17B7B" w:rsidSect="005D2A57">
          <w:footnotePr>
            <w:numRestart w:val="eachPage"/>
          </w:footnotePr>
          <w:pgSz w:w="11906" w:h="16838" w:code="9"/>
          <w:pgMar w:top="1389" w:right="2268" w:bottom="1389" w:left="1797" w:header="720" w:footer="720" w:gutter="0"/>
          <w:cols w:space="708"/>
          <w:titlePg/>
          <w:bidi/>
          <w:rtlGutter/>
          <w:docGrid w:linePitch="435"/>
        </w:sectPr>
      </w:pPr>
    </w:p>
    <w:p w:rsidR="00D11232" w:rsidRPr="00C17B7B" w:rsidRDefault="00D11232" w:rsidP="00D11232">
      <w:pPr>
        <w:keepNext/>
        <w:contextualSpacing/>
        <w:outlineLvl w:val="1"/>
        <w:rPr>
          <w:rFonts w:ascii="Traditional Arabic" w:hAnsi="Traditional Arabic"/>
          <w:b/>
          <w:bCs/>
          <w:i/>
          <w:noProof/>
          <w:color w:val="FFFFFF" w:themeColor="background1"/>
          <w:sz w:val="28"/>
        </w:rPr>
      </w:pPr>
      <w:r w:rsidRPr="00C17B7B">
        <w:rPr>
          <w:rFonts w:ascii="Arial" w:hAnsi="Arial"/>
          <w:b/>
          <w:bCs/>
          <w:i/>
          <w:noProof/>
          <w:color w:val="FFFFFF" w:themeColor="background1"/>
          <w:sz w:val="28"/>
          <w:szCs w:val="28"/>
          <w:rtl/>
          <w:lang w:eastAsia="en-US"/>
        </w:rPr>
        <w:lastRenderedPageBreak/>
        <w:drawing>
          <wp:anchor distT="0" distB="0" distL="114300" distR="114300" simplePos="0" relativeHeight="251667456" behindDoc="0" locked="0" layoutInCell="1" allowOverlap="1" wp14:anchorId="454B2D3B" wp14:editId="70131B04">
            <wp:simplePos x="0" y="0"/>
            <wp:positionH relativeFrom="margin">
              <wp:align>center</wp:align>
            </wp:positionH>
            <wp:positionV relativeFrom="paragraph">
              <wp:posOffset>1821815</wp:posOffset>
            </wp:positionV>
            <wp:extent cx="4854853" cy="4104168"/>
            <wp:effectExtent l="0" t="0" r="0" b="0"/>
            <wp:wrapNone/>
            <wp:docPr id="13" name="صورة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بدون عنوان-6 نسخ.PNG"/>
                    <pic:cNvPicPr/>
                  </pic:nvPicPr>
                  <pic:blipFill rotWithShape="1">
                    <a:blip r:embed="rId24" cstate="print">
                      <a:extLst>
                        <a:ext uri="{28A0092B-C50C-407E-A947-70E740481C1C}">
                          <a14:useLocalDpi xmlns:a14="http://schemas.microsoft.com/office/drawing/2010/main" val="0"/>
                        </a:ext>
                      </a:extLst>
                    </a:blip>
                    <a:srcRect t="19083" b="24639"/>
                    <a:stretch/>
                  </pic:blipFill>
                  <pic:spPr bwMode="auto">
                    <a:xfrm>
                      <a:off x="0" y="0"/>
                      <a:ext cx="4854853" cy="4104168"/>
                    </a:xfrm>
                    <a:prstGeom prst="rect">
                      <a:avLst/>
                    </a:prstGeom>
                    <a:ln>
                      <a:noFill/>
                    </a:ln>
                    <a:extLst>
                      <a:ext uri="{53640926-AAD7-44D8-BBD7-CCE9431645EC}">
                        <a14:shadowObscured xmlns:a14="http://schemas.microsoft.com/office/drawing/2010/main"/>
                      </a:ext>
                    </a:extLst>
                  </pic:spPr>
                </pic:pic>
              </a:graphicData>
            </a:graphic>
          </wp:anchor>
        </w:drawing>
      </w:r>
      <w:r w:rsidRPr="00C17B7B">
        <w:rPr>
          <w:rFonts w:ascii="Arial" w:hAnsi="Arial" w:hint="cs"/>
          <w:b/>
          <w:bCs/>
          <w:i/>
          <w:noProof/>
          <w:color w:val="FFFFFF" w:themeColor="background1"/>
          <w:sz w:val="28"/>
          <w:rtl/>
        </w:rPr>
        <w:t xml:space="preserve">الفصل الثاني : التعريف بالكتاب </w:t>
      </w:r>
    </w:p>
    <w:p w:rsidR="00D11232" w:rsidRPr="00C17B7B" w:rsidRDefault="00D11232" w:rsidP="00D11232">
      <w:pPr>
        <w:spacing w:line="276" w:lineRule="auto"/>
        <w:contextualSpacing/>
        <w:rPr>
          <w:rFonts w:ascii="Lotus Linotype" w:eastAsia="Calibri" w:hAnsi="Lotus Linotype"/>
          <w:b/>
          <w:bCs/>
          <w:color w:val="auto"/>
          <w:szCs w:val="32"/>
          <w:u w:val="single"/>
        </w:rPr>
      </w:pPr>
    </w:p>
    <w:p w:rsidR="00D11232" w:rsidRPr="00C17B7B" w:rsidRDefault="00D11232" w:rsidP="00D11232">
      <w:pPr>
        <w:spacing w:line="276" w:lineRule="auto"/>
        <w:contextualSpacing/>
        <w:rPr>
          <w:rFonts w:ascii="Lotus Linotype" w:eastAsia="Calibri" w:hAnsi="Lotus Linotype"/>
          <w:b/>
          <w:bCs/>
          <w:color w:val="auto"/>
          <w:szCs w:val="32"/>
          <w:u w:val="single"/>
        </w:rPr>
      </w:pPr>
      <w:r w:rsidRPr="00C17B7B">
        <w:rPr>
          <w:rFonts w:ascii="Traditional Arabic" w:eastAsia="Calibri" w:hAnsi="Traditional Arabic"/>
          <w:noProof/>
          <w:color w:val="FFFFFF" w:themeColor="background1"/>
          <w:szCs w:val="32"/>
          <w:lang w:eastAsia="en-US"/>
        </w:rPr>
        <mc:AlternateContent>
          <mc:Choice Requires="wps">
            <w:drawing>
              <wp:anchor distT="0" distB="0" distL="114300" distR="114300" simplePos="0" relativeHeight="251668480" behindDoc="0" locked="0" layoutInCell="1" allowOverlap="1" wp14:anchorId="2800643D" wp14:editId="32122E56">
                <wp:simplePos x="0" y="0"/>
                <wp:positionH relativeFrom="margin">
                  <wp:align>center</wp:align>
                </wp:positionH>
                <wp:positionV relativeFrom="margin">
                  <wp:posOffset>2228850</wp:posOffset>
                </wp:positionV>
                <wp:extent cx="4820920" cy="6048375"/>
                <wp:effectExtent l="0" t="0" r="0" b="0"/>
                <wp:wrapSquare wrapText="bothSides"/>
                <wp:docPr id="6" name="AutoShap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20920" cy="6048375"/>
                        </a:xfrm>
                        <a:prstGeom prst="flowChartAlternateProcess">
                          <a:avLst/>
                        </a:prstGeom>
                        <a:noFill/>
                        <a:ln w="9525">
                          <a:noFill/>
                          <a:miter lim="800000"/>
                          <a:headEnd/>
                          <a:tailEnd/>
                        </a:ln>
                        <a:effectLst/>
                      </wps:spPr>
                      <wps:txbx>
                        <w:txbxContent>
                          <w:p w:rsidR="003F128F" w:rsidRDefault="003F128F" w:rsidP="00D11232">
                            <w:pPr>
                              <w:jc w:val="center"/>
                              <w:rPr>
                                <w:rFonts w:ascii="Lotus Linotype" w:hAnsi="Lotus Linotype" w:cs="Sultan bold"/>
                                <w:sz w:val="76"/>
                                <w:szCs w:val="56"/>
                                <w:rtl/>
                              </w:rPr>
                            </w:pPr>
                            <w:r w:rsidRPr="009A5CA8">
                              <w:rPr>
                                <w:rFonts w:ascii="Lotus Linotype" w:hAnsi="Lotus Linotype" w:cs="Sultan bold"/>
                                <w:sz w:val="76"/>
                                <w:szCs w:val="56"/>
                                <w:rtl/>
                              </w:rPr>
                              <w:t xml:space="preserve">الفصل </w:t>
                            </w:r>
                            <w:r>
                              <w:rPr>
                                <w:rFonts w:ascii="Lotus Linotype" w:hAnsi="Lotus Linotype" w:cs="Sultan bold" w:hint="cs"/>
                                <w:sz w:val="76"/>
                                <w:szCs w:val="56"/>
                                <w:rtl/>
                              </w:rPr>
                              <w:t>الثاني</w:t>
                            </w:r>
                            <w:r w:rsidRPr="009A5CA8">
                              <w:rPr>
                                <w:rFonts w:ascii="Lotus Linotype" w:hAnsi="Lotus Linotype" w:cs="Sultan bold" w:hint="cs"/>
                                <w:sz w:val="76"/>
                                <w:szCs w:val="56"/>
                                <w:rtl/>
                              </w:rPr>
                              <w:t>:</w:t>
                            </w:r>
                          </w:p>
                          <w:p w:rsidR="003F128F" w:rsidRPr="009A5CA8" w:rsidRDefault="003F128F" w:rsidP="00D11232">
                            <w:pPr>
                              <w:jc w:val="center"/>
                              <w:rPr>
                                <w:rFonts w:ascii="Lotus Linotype" w:hAnsi="Lotus Linotype" w:cs="Sultan bold"/>
                                <w:sz w:val="76"/>
                                <w:szCs w:val="56"/>
                                <w:u w:val="single"/>
                                <w:rtl/>
                              </w:rPr>
                            </w:pPr>
                            <w:r>
                              <w:rPr>
                                <w:rFonts w:ascii="Lotus Linotype" w:hAnsi="Lotus Linotype" w:cs="Sultan bold" w:hint="cs"/>
                                <w:sz w:val="76"/>
                                <w:szCs w:val="56"/>
                                <w:rtl/>
                              </w:rPr>
                              <w:t>التعريف بالكتاب</w:t>
                            </w:r>
                          </w:p>
                          <w:p w:rsidR="003F128F" w:rsidRPr="00172691" w:rsidRDefault="003F128F" w:rsidP="00D11232">
                            <w:pPr>
                              <w:rPr>
                                <w:rFonts w:ascii="Lotus Linotype" w:hAnsi="Lotus Linotype" w:cs="AF_Diwani"/>
                                <w:sz w:val="46"/>
                                <w:szCs w:val="52"/>
                                <w:rtl/>
                              </w:rPr>
                            </w:pPr>
                            <w:r w:rsidRPr="00172691">
                              <w:rPr>
                                <w:rFonts w:ascii="Lotus Linotype" w:hAnsi="Lotus Linotype" w:cs="AF_Diwani"/>
                                <w:sz w:val="46"/>
                                <w:szCs w:val="52"/>
                                <w:rtl/>
                              </w:rPr>
                              <w:t>وفيه خمسة مباحث</w:t>
                            </w:r>
                            <w:r w:rsidRPr="00172691">
                              <w:rPr>
                                <w:rFonts w:ascii="Lotus Linotype" w:hAnsi="Lotus Linotype" w:cs="AF_Diwani"/>
                                <w:sz w:val="46"/>
                                <w:szCs w:val="52"/>
                              </w:rPr>
                              <w:t>:</w:t>
                            </w:r>
                          </w:p>
                          <w:p w:rsidR="003F128F" w:rsidRPr="00BA6224" w:rsidRDefault="003F128F" w:rsidP="003037B4">
                            <w:pPr>
                              <w:rPr>
                                <w:rtl/>
                              </w:rPr>
                            </w:pPr>
                            <w:r w:rsidRPr="00BA6224">
                              <w:rPr>
                                <w:b/>
                                <w:bCs/>
                                <w:rtl/>
                              </w:rPr>
                              <w:t>المبحث الأول</w:t>
                            </w:r>
                            <w:r w:rsidRPr="00BA6224">
                              <w:rPr>
                                <w:rtl/>
                              </w:rPr>
                              <w:t>: تحقيق اسم الكتاب، و</w:t>
                            </w:r>
                            <w:r>
                              <w:rPr>
                                <w:rFonts w:hint="cs"/>
                                <w:rtl/>
                              </w:rPr>
                              <w:t>إثبات</w:t>
                            </w:r>
                            <w:r w:rsidRPr="00BA6224">
                              <w:rPr>
                                <w:rtl/>
                              </w:rPr>
                              <w:t xml:space="preserve"> نسبته</w:t>
                            </w:r>
                            <w:r>
                              <w:rPr>
                                <w:rFonts w:hint="cs"/>
                                <w:rtl/>
                              </w:rPr>
                              <w:t xml:space="preserve"> إلى</w:t>
                            </w:r>
                            <w:r w:rsidRPr="00BA6224">
                              <w:rPr>
                                <w:rtl/>
                              </w:rPr>
                              <w:t xml:space="preserve"> للمؤلف</w:t>
                            </w:r>
                            <w:r w:rsidRPr="00BA6224">
                              <w:t>.</w:t>
                            </w:r>
                          </w:p>
                          <w:p w:rsidR="003F128F" w:rsidRDefault="003F128F" w:rsidP="00BD5ED5">
                            <w:pPr>
                              <w:rPr>
                                <w:b/>
                                <w:bCs/>
                              </w:rPr>
                            </w:pPr>
                            <w:r w:rsidRPr="00BA6224">
                              <w:rPr>
                                <w:b/>
                                <w:bCs/>
                                <w:rtl/>
                              </w:rPr>
                              <w:t>المبحث الثاني</w:t>
                            </w:r>
                            <w:r w:rsidRPr="00BA6224">
                              <w:rPr>
                                <w:rtl/>
                              </w:rPr>
                              <w:t>: منهج المؤلف في الكتاب</w:t>
                            </w:r>
                            <w:r>
                              <w:rPr>
                                <w:rFonts w:hint="cs"/>
                                <w:rtl/>
                              </w:rPr>
                              <w:t xml:space="preserve"> -</w:t>
                            </w:r>
                            <w:r>
                              <w:t xml:space="preserve"> </w:t>
                            </w:r>
                            <w:r>
                              <w:rPr>
                                <w:rFonts w:hint="cs"/>
                                <w:rtl/>
                              </w:rPr>
                              <w:t>في القسم المحقق.</w:t>
                            </w:r>
                            <w:r>
                              <w:t xml:space="preserve"> </w:t>
                            </w:r>
                          </w:p>
                          <w:p w:rsidR="003F128F" w:rsidRPr="00BA6224" w:rsidRDefault="003F128F" w:rsidP="003037B4">
                            <w:pPr>
                              <w:rPr>
                                <w:rtl/>
                              </w:rPr>
                            </w:pPr>
                            <w:r w:rsidRPr="00BA6224">
                              <w:rPr>
                                <w:b/>
                                <w:bCs/>
                                <w:rtl/>
                              </w:rPr>
                              <w:t>لمبحث الثالث</w:t>
                            </w:r>
                            <w:r w:rsidRPr="00BA6224">
                              <w:rPr>
                                <w:rtl/>
                              </w:rPr>
                              <w:t>: مصادر الكتاب</w:t>
                            </w:r>
                            <w:r>
                              <w:rPr>
                                <w:rFonts w:hint="cs"/>
                                <w:rtl/>
                              </w:rPr>
                              <w:t xml:space="preserve"> -</w:t>
                            </w:r>
                            <w:r w:rsidRPr="00BA6224">
                              <w:rPr>
                                <w:rtl/>
                              </w:rPr>
                              <w:t xml:space="preserve"> في القسم المحقق</w:t>
                            </w:r>
                            <w:r w:rsidRPr="00BA6224">
                              <w:t>.</w:t>
                            </w:r>
                          </w:p>
                          <w:p w:rsidR="003F128F" w:rsidRPr="00BA6224" w:rsidRDefault="003F128F" w:rsidP="00BD5ED5">
                            <w:pPr>
                              <w:rPr>
                                <w:rtl/>
                              </w:rPr>
                            </w:pPr>
                            <w:r w:rsidRPr="00BA6224">
                              <w:rPr>
                                <w:b/>
                                <w:bCs/>
                                <w:rtl/>
                              </w:rPr>
                              <w:t>المبحث الرابع</w:t>
                            </w:r>
                            <w:r w:rsidRPr="00BA6224">
                              <w:rPr>
                                <w:rtl/>
                              </w:rPr>
                              <w:t xml:space="preserve">: </w:t>
                            </w:r>
                            <w:r>
                              <w:rPr>
                                <w:rFonts w:hint="cs"/>
                                <w:rtl/>
                              </w:rPr>
                              <w:t>القيمة العلمية للكتاب.</w:t>
                            </w:r>
                          </w:p>
                          <w:p w:rsidR="003F128F" w:rsidRPr="00BA6224" w:rsidRDefault="003F128F" w:rsidP="00D11232">
                            <w:pPr>
                              <w:ind w:left="449" w:firstLine="5"/>
                            </w:pPr>
                            <w:r w:rsidRPr="00BA6224">
                              <w:rPr>
                                <w:b/>
                                <w:bCs/>
                                <w:rtl/>
                              </w:rPr>
                              <w:t>المبحث الخامس</w:t>
                            </w:r>
                            <w:r w:rsidRPr="00BA6224">
                              <w:rPr>
                                <w:rtl/>
                              </w:rPr>
                              <w:t>: وصف النسخ الخطية المعتمدة للكتاب، ونماذج منها.</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0" type="#_x0000_t176" style="position:absolute;left:0;text-align:left;margin-left:0;margin-top:175.5pt;width:379.6pt;height:476.25pt;z-index:251668480;visibility:visible;mso-wrap-style:square;mso-width-percent:0;mso-height-percent:0;mso-wrap-distance-left:9pt;mso-wrap-distance-top:0;mso-wrap-distance-right:9pt;mso-wrap-distance-bottom:0;mso-position-horizontal:center;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" filled="f" stroked="f">
                <v:textbox>
                  <w:txbxContent>
                    <w:p w:rsidR="003F128F" w:rsidRDefault="003F128F" w:rsidP="00D11232">
                      <w:pPr>
                        <w:jc w:val="center"/>
                        <w:rPr>
                          <w:rFonts w:ascii="Lotus Linotype" w:hAnsi="Lotus Linotype" w:cs="Sultan bold"/>
                          <w:sz w:val="76"/>
                          <w:szCs w:val="56"/>
                          <w:rtl/>
                        </w:rPr>
                      </w:pPr>
                      <w:r w:rsidRPr="009A5CA8">
                        <w:rPr>
                          <w:rFonts w:ascii="Lotus Linotype" w:hAnsi="Lotus Linotype" w:cs="Sultan bold"/>
                          <w:sz w:val="76"/>
                          <w:szCs w:val="56"/>
                          <w:rtl/>
                        </w:rPr>
                        <w:t xml:space="preserve">الفصل </w:t>
                      </w:r>
                      <w:r>
                        <w:rPr>
                          <w:rFonts w:ascii="Lotus Linotype" w:hAnsi="Lotus Linotype" w:cs="Sultan bold" w:hint="cs"/>
                          <w:sz w:val="76"/>
                          <w:szCs w:val="56"/>
                          <w:rtl/>
                        </w:rPr>
                        <w:t>الثاني</w:t>
                      </w:r>
                      <w:r w:rsidRPr="009A5CA8">
                        <w:rPr>
                          <w:rFonts w:ascii="Lotus Linotype" w:hAnsi="Lotus Linotype" w:cs="Sultan bold" w:hint="cs"/>
                          <w:sz w:val="76"/>
                          <w:szCs w:val="56"/>
                          <w:rtl/>
                        </w:rPr>
                        <w:t>:</w:t>
                      </w:r>
                    </w:p>
                    <w:p w:rsidR="003F128F" w:rsidRPr="009A5CA8" w:rsidRDefault="003F128F" w:rsidP="00D11232">
                      <w:pPr>
                        <w:jc w:val="center"/>
                        <w:rPr>
                          <w:rFonts w:ascii="Lotus Linotype" w:hAnsi="Lotus Linotype" w:cs="Sultan bold"/>
                          <w:sz w:val="76"/>
                          <w:szCs w:val="56"/>
                          <w:u w:val="single"/>
                          <w:rtl/>
                        </w:rPr>
                      </w:pPr>
                      <w:r>
                        <w:rPr>
                          <w:rFonts w:ascii="Lotus Linotype" w:hAnsi="Lotus Linotype" w:cs="Sultan bold" w:hint="cs"/>
                          <w:sz w:val="76"/>
                          <w:szCs w:val="56"/>
                          <w:rtl/>
                        </w:rPr>
                        <w:t>التعريف بالكتاب</w:t>
                      </w:r>
                    </w:p>
                    <w:p w:rsidR="003F128F" w:rsidRPr="00172691" w:rsidRDefault="003F128F" w:rsidP="00D11232">
                      <w:pPr>
                        <w:rPr>
                          <w:rFonts w:ascii="Lotus Linotype" w:hAnsi="Lotus Linotype" w:cs="AF_Diwani"/>
                          <w:sz w:val="46"/>
                          <w:szCs w:val="52"/>
                          <w:rtl/>
                        </w:rPr>
                      </w:pPr>
                      <w:r w:rsidRPr="00172691">
                        <w:rPr>
                          <w:rFonts w:ascii="Lotus Linotype" w:hAnsi="Lotus Linotype" w:cs="AF_Diwani"/>
                          <w:sz w:val="46"/>
                          <w:szCs w:val="52"/>
                          <w:rtl/>
                        </w:rPr>
                        <w:t>وفيه خمسة مباحث</w:t>
                      </w:r>
                      <w:r w:rsidRPr="00172691">
                        <w:rPr>
                          <w:rFonts w:ascii="Lotus Linotype" w:hAnsi="Lotus Linotype" w:cs="AF_Diwani"/>
                          <w:sz w:val="46"/>
                          <w:szCs w:val="52"/>
                        </w:rPr>
                        <w:t>:</w:t>
                      </w:r>
                    </w:p>
                    <w:p w:rsidR="003F128F" w:rsidRPr="00BA6224" w:rsidRDefault="003F128F" w:rsidP="003037B4">
                      <w:pPr>
                        <w:rPr>
                          <w:rtl/>
                        </w:rPr>
                      </w:pPr>
                      <w:r w:rsidRPr="00BA6224">
                        <w:rPr>
                          <w:b/>
                          <w:bCs/>
                          <w:rtl/>
                        </w:rPr>
                        <w:t>المبحث الأول</w:t>
                      </w:r>
                      <w:r w:rsidRPr="00BA6224">
                        <w:rPr>
                          <w:rtl/>
                        </w:rPr>
                        <w:t>: تحقيق اسم الكتاب، و</w:t>
                      </w:r>
                      <w:r>
                        <w:rPr>
                          <w:rFonts w:hint="cs"/>
                          <w:rtl/>
                        </w:rPr>
                        <w:t>إثبات</w:t>
                      </w:r>
                      <w:r w:rsidRPr="00BA6224">
                        <w:rPr>
                          <w:rtl/>
                        </w:rPr>
                        <w:t xml:space="preserve"> نسبته</w:t>
                      </w:r>
                      <w:r>
                        <w:rPr>
                          <w:rFonts w:hint="cs"/>
                          <w:rtl/>
                        </w:rPr>
                        <w:t xml:space="preserve"> إلى</w:t>
                      </w:r>
                      <w:r w:rsidRPr="00BA6224">
                        <w:rPr>
                          <w:rtl/>
                        </w:rPr>
                        <w:t xml:space="preserve"> للمؤلف</w:t>
                      </w:r>
                      <w:r w:rsidRPr="00BA6224">
                        <w:t>.</w:t>
                      </w:r>
                    </w:p>
                    <w:p w:rsidR="003F128F" w:rsidRDefault="003F128F" w:rsidP="00BD5ED5">
                      <w:pPr>
                        <w:rPr>
                          <w:b/>
                          <w:bCs/>
                        </w:rPr>
                      </w:pPr>
                      <w:r w:rsidRPr="00BA6224">
                        <w:rPr>
                          <w:b/>
                          <w:bCs/>
                          <w:rtl/>
                        </w:rPr>
                        <w:t>المبحث الثاني</w:t>
                      </w:r>
                      <w:r w:rsidRPr="00BA6224">
                        <w:rPr>
                          <w:rtl/>
                        </w:rPr>
                        <w:t>: منهج المؤلف في الكتاب</w:t>
                      </w:r>
                      <w:r>
                        <w:rPr>
                          <w:rFonts w:hint="cs"/>
                          <w:rtl/>
                        </w:rPr>
                        <w:t xml:space="preserve"> -</w:t>
                      </w:r>
                      <w:r>
                        <w:t xml:space="preserve"> </w:t>
                      </w:r>
                      <w:r>
                        <w:rPr>
                          <w:rFonts w:hint="cs"/>
                          <w:rtl/>
                        </w:rPr>
                        <w:t>في القسم المحقق.</w:t>
                      </w:r>
                      <w:r>
                        <w:t xml:space="preserve"> </w:t>
                      </w:r>
                    </w:p>
                    <w:p w:rsidR="003F128F" w:rsidRPr="00BA6224" w:rsidRDefault="003F128F" w:rsidP="003037B4">
                      <w:pPr>
                        <w:rPr>
                          <w:rtl/>
                        </w:rPr>
                      </w:pPr>
                      <w:r w:rsidRPr="00BA6224">
                        <w:rPr>
                          <w:b/>
                          <w:bCs/>
                          <w:rtl/>
                        </w:rPr>
                        <w:t>لمبحث الثالث</w:t>
                      </w:r>
                      <w:r w:rsidRPr="00BA6224">
                        <w:rPr>
                          <w:rtl/>
                        </w:rPr>
                        <w:t>: مصادر الكتاب</w:t>
                      </w:r>
                      <w:r>
                        <w:rPr>
                          <w:rFonts w:hint="cs"/>
                          <w:rtl/>
                        </w:rPr>
                        <w:t xml:space="preserve"> -</w:t>
                      </w:r>
                      <w:r w:rsidRPr="00BA6224">
                        <w:rPr>
                          <w:rtl/>
                        </w:rPr>
                        <w:t xml:space="preserve"> في القسم المحقق</w:t>
                      </w:r>
                      <w:r w:rsidRPr="00BA6224">
                        <w:t>.</w:t>
                      </w:r>
                    </w:p>
                    <w:p w:rsidR="003F128F" w:rsidRPr="00BA6224" w:rsidRDefault="003F128F" w:rsidP="00BD5ED5">
                      <w:pPr>
                        <w:rPr>
                          <w:rtl/>
                        </w:rPr>
                      </w:pPr>
                      <w:r w:rsidRPr="00BA6224">
                        <w:rPr>
                          <w:b/>
                          <w:bCs/>
                          <w:rtl/>
                        </w:rPr>
                        <w:t>المبحث الرابع</w:t>
                      </w:r>
                      <w:r w:rsidRPr="00BA6224">
                        <w:rPr>
                          <w:rtl/>
                        </w:rPr>
                        <w:t xml:space="preserve">: </w:t>
                      </w:r>
                      <w:r>
                        <w:rPr>
                          <w:rFonts w:hint="cs"/>
                          <w:rtl/>
                        </w:rPr>
                        <w:t>القيمة العلمية للكتاب.</w:t>
                      </w:r>
                    </w:p>
                    <w:p w:rsidR="003F128F" w:rsidRPr="00BA6224" w:rsidRDefault="003F128F" w:rsidP="00D11232">
                      <w:pPr>
                        <w:ind w:left="449" w:firstLine="5"/>
                      </w:pPr>
                      <w:r w:rsidRPr="00BA6224">
                        <w:rPr>
                          <w:b/>
                          <w:bCs/>
                          <w:rtl/>
                        </w:rPr>
                        <w:t>المبحث الخامس</w:t>
                      </w:r>
                      <w:r w:rsidRPr="00BA6224">
                        <w:rPr>
                          <w:rtl/>
                        </w:rPr>
                        <w:t>: وصف النسخ الخطية المعتمدة للكتاب، ونماذج منها.</w:t>
                      </w:r>
                    </w:p>
                  </w:txbxContent>
                </v:textbox>
                <w10:wrap type="square" anchorx="margin" anchory="margin"/>
              </v:shape>
            </w:pict>
          </mc:Fallback>
        </mc:AlternateContent>
      </w:r>
      <w:r w:rsidRPr="00C17B7B">
        <w:rPr>
          <w:rFonts w:ascii="Lotus Linotype" w:eastAsia="Calibri" w:hAnsi="Lotus Linotype"/>
          <w:b/>
          <w:bCs/>
          <w:color w:val="auto"/>
          <w:szCs w:val="32"/>
          <w:u w:val="single"/>
          <w:rtl/>
        </w:rPr>
        <w:br w:type="page"/>
      </w:r>
    </w:p>
    <w:p w:rsidR="00D11232" w:rsidRPr="00C17B7B" w:rsidRDefault="00D11232" w:rsidP="00BA6224">
      <w:pPr>
        <w:keepNext/>
        <w:ind w:firstLine="0"/>
        <w:contextualSpacing/>
        <w:outlineLvl w:val="2"/>
        <w:rPr>
          <w:rFonts w:ascii="Arial" w:hAnsi="Arial"/>
          <w:b/>
          <w:bCs/>
          <w:noProof/>
          <w:sz w:val="26"/>
          <w:szCs w:val="40"/>
          <w:rtl/>
        </w:rPr>
      </w:pPr>
      <w:r w:rsidRPr="00C17B7B">
        <w:rPr>
          <w:rFonts w:ascii="Arial" w:hAnsi="Arial" w:hint="cs"/>
          <w:b/>
          <w:bCs/>
          <w:noProof/>
          <w:sz w:val="26"/>
          <w:szCs w:val="40"/>
          <w:rtl/>
        </w:rPr>
        <w:lastRenderedPageBreak/>
        <w:t>المبحث الأول: تحقيق اسم الكتاب، وإثبات نسبته إلى المؤلف.</w:t>
      </w:r>
    </w:p>
    <w:p w:rsidR="00BA6224" w:rsidRPr="00C17B7B" w:rsidRDefault="0000591D" w:rsidP="00BA6224">
      <w:pPr>
        <w:spacing w:line="276" w:lineRule="auto"/>
        <w:ind w:firstLine="0"/>
        <w:contextualSpacing/>
        <w:jc w:val="lowKashida"/>
        <w:rPr>
          <w:rFonts w:ascii="Traditional Arabic" w:eastAsia="Calibri" w:hAnsi="Traditional Arabic"/>
          <w:color w:val="auto"/>
          <w:sz w:val="40"/>
          <w:rtl/>
        </w:rPr>
      </w:pPr>
      <w:r>
        <w:rPr>
          <w:rFonts w:ascii="Traditional Arabic" w:eastAsia="Calibri" w:hAnsi="Traditional Arabic" w:hint="cs"/>
          <w:color w:val="auto"/>
          <w:sz w:val="40"/>
          <w:rtl/>
        </w:rPr>
        <w:t xml:space="preserve">لا </w:t>
      </w:r>
      <w:r w:rsidR="00D11232" w:rsidRPr="00C17B7B">
        <w:rPr>
          <w:rFonts w:ascii="Traditional Arabic" w:eastAsia="Calibri" w:hAnsi="Traditional Arabic" w:hint="cs"/>
          <w:color w:val="auto"/>
          <w:sz w:val="40"/>
          <w:rtl/>
        </w:rPr>
        <w:t xml:space="preserve">ريب أن تسمية هذا التفسير بزاد المسير هو من مصنفه -رحمه الله تعالى- فقد أشار إلى ذلك في بداية كتابه لما بين سبب تأليفه له ثم قال: </w:t>
      </w:r>
      <w:r w:rsidR="00D11232" w:rsidRPr="00C17B7B">
        <w:rPr>
          <w:rFonts w:ascii="Traditional Arabic" w:eastAsia="Calibri" w:hAnsi="Traditional Arabic"/>
          <w:color w:val="0D0D0D" w:themeColor="text1" w:themeTint="F2"/>
          <w:sz w:val="40"/>
          <w:rtl/>
        </w:rPr>
        <w:t>فأتيتك بهذا المختصر اليسير، منطويا على العلم الغزير، ووسمته ب</w:t>
      </w:r>
      <w:r w:rsidR="00D11232" w:rsidRPr="00C17B7B">
        <w:rPr>
          <w:rFonts w:ascii="Traditional Arabic" w:eastAsia="Calibri" w:hAnsi="Traditional Arabic" w:hint="cs"/>
          <w:color w:val="0D0D0D" w:themeColor="text1" w:themeTint="F2"/>
          <w:sz w:val="40"/>
          <w:rtl/>
        </w:rPr>
        <w:t>ـ</w:t>
      </w:r>
      <w:r w:rsidR="00D11232" w:rsidRPr="00C17B7B">
        <w:rPr>
          <w:rFonts w:ascii="Traditional Arabic" w:eastAsia="Calibri" w:hAnsi="Traditional Arabic"/>
          <w:color w:val="0D0D0D" w:themeColor="text1" w:themeTint="F2"/>
          <w:sz w:val="40"/>
          <w:rtl/>
        </w:rPr>
        <w:t>«زاد المسير في علم التفسير»</w:t>
      </w:r>
      <w:r w:rsidR="00BA6224" w:rsidRPr="00BA6224">
        <w:rPr>
          <w:rStyle w:val="ae"/>
          <w:rFonts w:eastAsia="Calibri"/>
          <w:rtl/>
        </w:rPr>
        <w:t>(</w:t>
      </w:r>
      <w:r w:rsidR="00BA6224">
        <w:rPr>
          <w:rStyle w:val="ae"/>
          <w:rFonts w:eastAsia="Calibri"/>
          <w:rtl/>
        </w:rPr>
        <w:footnoteReference w:id="107"/>
      </w:r>
      <w:r w:rsidR="00BA6224" w:rsidRPr="00BA6224">
        <w:rPr>
          <w:rStyle w:val="ae"/>
          <w:rFonts w:eastAsia="Calibri"/>
          <w:rtl/>
        </w:rPr>
        <w:t>)</w:t>
      </w:r>
      <w:r w:rsidR="003E62BC">
        <w:rPr>
          <w:rFonts w:ascii="Traditional Arabic" w:eastAsia="Calibri" w:hAnsi="Traditional Arabic" w:hint="cs"/>
          <w:color w:val="0D0D0D" w:themeColor="text1" w:themeTint="F2"/>
          <w:sz w:val="40"/>
          <w:rtl/>
        </w:rPr>
        <w:t xml:space="preserve"> </w:t>
      </w:r>
      <w:r w:rsidR="00D11232" w:rsidRPr="00C17B7B">
        <w:rPr>
          <w:rFonts w:ascii="Traditional Arabic" w:eastAsia="Calibri" w:hAnsi="Traditional Arabic" w:hint="cs"/>
          <w:color w:val="0D0D0D" w:themeColor="text1" w:themeTint="F2"/>
          <w:sz w:val="40"/>
          <w:rtl/>
        </w:rPr>
        <w:t>ثم نص عل</w:t>
      </w:r>
      <w:r w:rsidR="003E62BC">
        <w:rPr>
          <w:rFonts w:ascii="Traditional Arabic" w:eastAsia="Calibri" w:hAnsi="Traditional Arabic" w:hint="cs"/>
          <w:color w:val="0D0D0D" w:themeColor="text1" w:themeTint="F2"/>
          <w:sz w:val="40"/>
          <w:rtl/>
        </w:rPr>
        <w:t>ى</w:t>
      </w:r>
      <w:r w:rsidR="00D11232" w:rsidRPr="00C17B7B">
        <w:rPr>
          <w:rFonts w:ascii="Traditional Arabic" w:eastAsia="Calibri" w:hAnsi="Traditional Arabic" w:hint="cs"/>
          <w:color w:val="0D0D0D" w:themeColor="text1" w:themeTint="F2"/>
          <w:sz w:val="40"/>
          <w:rtl/>
        </w:rPr>
        <w:t xml:space="preserve"> ذلك أيضا في </w:t>
      </w:r>
      <w:r w:rsidR="00D11232" w:rsidRPr="00C17B7B">
        <w:rPr>
          <w:rFonts w:ascii="Traditional Arabic" w:eastAsia="Calibri" w:hAnsi="Traditional Arabic" w:hint="cs"/>
          <w:color w:val="auto"/>
          <w:sz w:val="40"/>
          <w:rtl/>
        </w:rPr>
        <w:t xml:space="preserve">آخره فقال: "فهذا </w:t>
      </w:r>
      <w:r w:rsidR="00D11232" w:rsidRPr="00C17B7B">
        <w:rPr>
          <w:rFonts w:ascii="Traditional Arabic" w:eastAsia="Calibri" w:hAnsi="Traditional Arabic"/>
          <w:color w:val="auto"/>
          <w:sz w:val="40"/>
          <w:rtl/>
        </w:rPr>
        <w:t>آخر زاد المسير</w:t>
      </w:r>
      <w:r w:rsidR="00D11232" w:rsidRPr="00C17B7B">
        <w:rPr>
          <w:rFonts w:ascii="Traditional Arabic" w:eastAsia="Calibri" w:hAnsi="Traditional Arabic" w:hint="cs"/>
          <w:color w:val="auto"/>
          <w:sz w:val="40"/>
          <w:rtl/>
        </w:rPr>
        <w:t>"</w:t>
      </w:r>
      <w:r w:rsidR="00BA6224" w:rsidRPr="00BA6224">
        <w:rPr>
          <w:rStyle w:val="ae"/>
          <w:rFonts w:eastAsia="Calibri"/>
          <w:rtl/>
        </w:rPr>
        <w:t>(</w:t>
      </w:r>
      <w:r w:rsidR="00BA6224">
        <w:rPr>
          <w:rStyle w:val="ae"/>
          <w:rFonts w:eastAsia="Calibri"/>
          <w:rtl/>
        </w:rPr>
        <w:footnoteReference w:id="108"/>
      </w:r>
      <w:r w:rsidR="00BA6224" w:rsidRPr="00BA6224">
        <w:rPr>
          <w:rStyle w:val="ae"/>
          <w:rFonts w:eastAsia="Calibri"/>
          <w:rtl/>
        </w:rPr>
        <w:t>)</w:t>
      </w:r>
      <w:r w:rsidR="00D11232" w:rsidRPr="00C17B7B">
        <w:rPr>
          <w:rFonts w:ascii="Traditional Arabic" w:eastAsia="Calibri" w:hAnsi="Traditional Arabic" w:hint="cs"/>
          <w:color w:val="auto"/>
          <w:sz w:val="40"/>
          <w:rtl/>
        </w:rPr>
        <w:t>، وقد ذكره بهذا الاسم عدد من العلماء منهم ابن خلكان في وفيات الأعيان</w:t>
      </w:r>
      <w:r w:rsidR="00BA6224" w:rsidRPr="00BA6224">
        <w:rPr>
          <w:rStyle w:val="ae"/>
          <w:rFonts w:eastAsia="Calibri"/>
          <w:rtl/>
        </w:rPr>
        <w:t>(</w:t>
      </w:r>
      <w:r w:rsidR="00BA6224">
        <w:rPr>
          <w:rStyle w:val="ae"/>
          <w:rFonts w:eastAsia="Calibri"/>
          <w:rtl/>
        </w:rPr>
        <w:footnoteReference w:id="109"/>
      </w:r>
      <w:r w:rsidR="00BA6224" w:rsidRPr="00BA6224">
        <w:rPr>
          <w:rStyle w:val="ae"/>
          <w:rFonts w:eastAsia="Calibri"/>
          <w:rtl/>
        </w:rPr>
        <w:t>)</w:t>
      </w:r>
      <w:r w:rsidR="00D11232" w:rsidRPr="00C17B7B">
        <w:rPr>
          <w:rFonts w:ascii="Traditional Arabic" w:eastAsia="Calibri" w:hAnsi="Traditional Arabic" w:hint="cs"/>
          <w:color w:val="auto"/>
          <w:sz w:val="40"/>
          <w:rtl/>
        </w:rPr>
        <w:t>، والذهبي في تذكرة الحافظ</w:t>
      </w:r>
      <w:r w:rsidR="00BA6224" w:rsidRPr="00BA6224">
        <w:rPr>
          <w:rStyle w:val="ae"/>
          <w:rFonts w:eastAsia="Calibri"/>
          <w:rtl/>
        </w:rPr>
        <w:t>(</w:t>
      </w:r>
      <w:r w:rsidR="00BA6224">
        <w:rPr>
          <w:rStyle w:val="ae"/>
          <w:rFonts w:eastAsia="Calibri"/>
          <w:rtl/>
        </w:rPr>
        <w:footnoteReference w:id="110"/>
      </w:r>
      <w:r w:rsidR="00BA6224" w:rsidRPr="00BA6224">
        <w:rPr>
          <w:rStyle w:val="ae"/>
          <w:rFonts w:eastAsia="Calibri"/>
          <w:rtl/>
        </w:rPr>
        <w:t>)</w:t>
      </w:r>
      <w:r w:rsidR="00D11232" w:rsidRPr="00C17B7B">
        <w:rPr>
          <w:rFonts w:ascii="Traditional Arabic" w:eastAsia="Calibri" w:hAnsi="Traditional Arabic" w:hint="cs"/>
          <w:color w:val="auto"/>
          <w:sz w:val="40"/>
          <w:rtl/>
        </w:rPr>
        <w:t>، وابن أيبك في الوافي بالوفيات</w:t>
      </w:r>
      <w:r w:rsidR="00BA6224" w:rsidRPr="00BA6224">
        <w:rPr>
          <w:rStyle w:val="ae"/>
          <w:rFonts w:eastAsia="Calibri"/>
          <w:rtl/>
        </w:rPr>
        <w:t>(</w:t>
      </w:r>
      <w:r w:rsidR="00BA6224">
        <w:rPr>
          <w:rStyle w:val="ae"/>
          <w:rFonts w:eastAsia="Calibri"/>
          <w:rtl/>
        </w:rPr>
        <w:footnoteReference w:id="111"/>
      </w:r>
      <w:r w:rsidR="00BA6224" w:rsidRPr="00BA6224">
        <w:rPr>
          <w:rStyle w:val="ae"/>
          <w:rFonts w:eastAsia="Calibri"/>
          <w:rtl/>
        </w:rPr>
        <w:t>)</w:t>
      </w:r>
      <w:r w:rsidR="00D11232" w:rsidRPr="00C17B7B">
        <w:rPr>
          <w:rFonts w:ascii="Traditional Arabic" w:eastAsia="Calibri" w:hAnsi="Traditional Arabic" w:hint="cs"/>
          <w:color w:val="auto"/>
          <w:sz w:val="40"/>
          <w:rtl/>
        </w:rPr>
        <w:t>، وابن رجب في ذيل طبقات الحنابلة</w:t>
      </w:r>
      <w:r w:rsidR="00BA6224" w:rsidRPr="00BA6224">
        <w:rPr>
          <w:rStyle w:val="ae"/>
          <w:rFonts w:eastAsia="Calibri"/>
          <w:rtl/>
        </w:rPr>
        <w:t>(</w:t>
      </w:r>
      <w:r w:rsidR="00BA6224">
        <w:rPr>
          <w:rStyle w:val="ae"/>
          <w:rFonts w:eastAsia="Calibri"/>
          <w:rtl/>
        </w:rPr>
        <w:footnoteReference w:id="112"/>
      </w:r>
      <w:r w:rsidR="00BA6224" w:rsidRPr="00BA6224">
        <w:rPr>
          <w:rStyle w:val="ae"/>
          <w:rFonts w:eastAsia="Calibri"/>
          <w:rtl/>
        </w:rPr>
        <w:t>)</w:t>
      </w:r>
      <w:r w:rsidR="00D11232" w:rsidRPr="00C17B7B">
        <w:rPr>
          <w:rFonts w:ascii="Traditional Arabic" w:eastAsia="Calibri" w:hAnsi="Traditional Arabic" w:hint="cs"/>
          <w:color w:val="auto"/>
          <w:sz w:val="40"/>
          <w:rtl/>
        </w:rPr>
        <w:t>وغيرهم.</w:t>
      </w:r>
    </w:p>
    <w:p w:rsidR="00D11232" w:rsidRPr="00C17B7B" w:rsidRDefault="00D11232" w:rsidP="00BA6224">
      <w:pPr>
        <w:spacing w:line="276" w:lineRule="auto"/>
        <w:ind w:firstLine="0"/>
        <w:contextualSpacing/>
        <w:rPr>
          <w:rFonts w:ascii="Traditional Arabic" w:eastAsia="Calibri" w:hAnsi="Traditional Arabic"/>
          <w:color w:val="auto"/>
          <w:sz w:val="44"/>
          <w:szCs w:val="40"/>
          <w:rtl/>
        </w:rPr>
      </w:pPr>
      <w:r w:rsidRPr="00C17B7B">
        <w:rPr>
          <w:rFonts w:ascii="Traditional Arabic" w:eastAsia="Calibri" w:hAnsi="Traditional Arabic" w:hint="cs"/>
          <w:b/>
          <w:bCs/>
          <w:color w:val="auto"/>
          <w:sz w:val="44"/>
          <w:szCs w:val="40"/>
          <w:rtl/>
        </w:rPr>
        <w:t>ثانياً: توثيق نسبته للمؤلف</w:t>
      </w:r>
      <w:r w:rsidRPr="00C17B7B">
        <w:rPr>
          <w:rFonts w:ascii="Traditional Arabic" w:eastAsia="Calibri" w:hAnsi="Traditional Arabic"/>
          <w:color w:val="auto"/>
          <w:sz w:val="44"/>
          <w:szCs w:val="40"/>
          <w:rtl/>
        </w:rPr>
        <w:fldChar w:fldCharType="begin"/>
      </w:r>
      <w:r w:rsidRPr="00C17B7B">
        <w:rPr>
          <w:rFonts w:ascii="Traditional Arabic" w:eastAsia="Calibri" w:hAnsi="Traditional Arabic"/>
          <w:color w:val="auto"/>
          <w:sz w:val="40"/>
          <w:szCs w:val="40"/>
        </w:rPr>
        <w:instrText xml:space="preserve"> XE "</w:instrText>
      </w:r>
      <w:r w:rsidRPr="00C17B7B">
        <w:rPr>
          <w:rFonts w:ascii="Traditional Arabic" w:eastAsia="Calibri" w:hAnsi="Traditional Arabic" w:hint="eastAsia"/>
          <w:color w:val="auto"/>
          <w:sz w:val="40"/>
          <w:szCs w:val="40"/>
          <w:rtl/>
        </w:rPr>
        <w:instrText>م</w:instrText>
      </w:r>
      <w:r w:rsidRPr="00C17B7B">
        <w:rPr>
          <w:rFonts w:ascii="Traditional Arabic" w:eastAsia="Calibri" w:hAnsi="Traditional Arabic"/>
          <w:color w:val="auto"/>
          <w:sz w:val="40"/>
          <w:szCs w:val="40"/>
          <w:rtl/>
        </w:rPr>
        <w:instrText>:</w:instrText>
      </w:r>
      <w:r w:rsidRPr="00C17B7B">
        <w:rPr>
          <w:rFonts w:ascii="Traditional Arabic" w:eastAsia="Calibri" w:hAnsi="Traditional Arabic" w:hint="eastAsia"/>
          <w:color w:val="auto"/>
          <w:sz w:val="40"/>
          <w:szCs w:val="40"/>
          <w:rtl/>
        </w:rPr>
        <w:instrText>ثانيا</w:instrText>
      </w:r>
      <w:r w:rsidRPr="00C17B7B">
        <w:rPr>
          <w:rFonts w:ascii="Traditional Arabic" w:eastAsia="Calibri" w:hAnsi="Traditional Arabic"/>
          <w:color w:val="auto"/>
          <w:sz w:val="40"/>
          <w:szCs w:val="40"/>
          <w:rtl/>
        </w:rPr>
        <w:instrText xml:space="preserve">: </w:instrText>
      </w:r>
      <w:r w:rsidRPr="00C17B7B">
        <w:rPr>
          <w:rFonts w:ascii="Traditional Arabic" w:eastAsia="Calibri" w:hAnsi="Traditional Arabic" w:hint="eastAsia"/>
          <w:color w:val="auto"/>
          <w:sz w:val="40"/>
          <w:szCs w:val="40"/>
          <w:rtl/>
        </w:rPr>
        <w:instrText>توثيقنسبتهللمؤلف</w:instrText>
      </w:r>
      <w:r w:rsidRPr="00C17B7B">
        <w:rPr>
          <w:rFonts w:ascii="Traditional Arabic" w:eastAsia="Calibri" w:hAnsi="Traditional Arabic"/>
          <w:color w:val="auto"/>
          <w:sz w:val="40"/>
          <w:szCs w:val="40"/>
        </w:rPr>
        <w:instrText xml:space="preserve">" </w:instrText>
      </w:r>
      <w:r w:rsidRPr="00C17B7B">
        <w:rPr>
          <w:rFonts w:ascii="Traditional Arabic" w:eastAsia="Calibri" w:hAnsi="Traditional Arabic"/>
          <w:color w:val="auto"/>
          <w:sz w:val="44"/>
          <w:szCs w:val="40"/>
          <w:rtl/>
        </w:rPr>
        <w:fldChar w:fldCharType="end"/>
      </w:r>
      <w:r w:rsidRPr="00C17B7B">
        <w:rPr>
          <w:rFonts w:ascii="Traditional Arabic" w:eastAsia="Calibri" w:hAnsi="Traditional Arabic" w:hint="cs"/>
          <w:color w:val="auto"/>
          <w:sz w:val="44"/>
          <w:szCs w:val="40"/>
          <w:rtl/>
        </w:rPr>
        <w:t>.</w:t>
      </w:r>
    </w:p>
    <w:p w:rsidR="00D11232" w:rsidRPr="00C17B7B" w:rsidRDefault="00D11232" w:rsidP="00BD5ED5">
      <w:pPr>
        <w:spacing w:line="284" w:lineRule="auto"/>
        <w:ind w:firstLine="0"/>
        <w:contextualSpacing/>
        <w:rPr>
          <w:rFonts w:ascii="Lotus Linotype" w:eastAsia="Calibri" w:hAnsi="Lotus Linotype"/>
          <w:color w:val="auto"/>
          <w:sz w:val="38"/>
          <w:rtl/>
        </w:rPr>
      </w:pPr>
      <w:r w:rsidRPr="00C17B7B">
        <w:rPr>
          <w:rFonts w:ascii="Traditional Arabic" w:eastAsia="Calibri" w:hAnsi="Traditional Arabic" w:hint="cs"/>
          <w:color w:val="auto"/>
          <w:sz w:val="40"/>
          <w:rtl/>
        </w:rPr>
        <w:t>ولا شك أيضا أن هذا الكتاب الذي بأيدينا هو للمؤلف فهذا هو المعتمد في النسخ الخطية المطبوعة والمخطوطة التي بأيدينا، والمثبت عليها اسمه ونسبته إليه، وذكره منسوبا إليه غير واحد من العلماء منهم ما ذكرنا في تحقيق اسم الكتاب، وكذا في طبقات المفسرين للداوودي</w:t>
      </w:r>
      <w:r w:rsidR="00BA6224" w:rsidRPr="00BA6224">
        <w:rPr>
          <w:rStyle w:val="ae"/>
          <w:rFonts w:eastAsia="Calibri"/>
          <w:rtl/>
        </w:rPr>
        <w:t>(</w:t>
      </w:r>
      <w:r w:rsidR="00BA6224">
        <w:rPr>
          <w:rStyle w:val="ae"/>
          <w:rFonts w:eastAsia="Calibri"/>
          <w:rtl/>
        </w:rPr>
        <w:footnoteReference w:id="113"/>
      </w:r>
      <w:r w:rsidR="00BA6224" w:rsidRPr="00BA6224">
        <w:rPr>
          <w:rStyle w:val="ae"/>
          <w:rFonts w:eastAsia="Calibri"/>
          <w:rtl/>
        </w:rPr>
        <w:t>)</w:t>
      </w:r>
      <w:r w:rsidRPr="00C17B7B">
        <w:rPr>
          <w:rFonts w:ascii="Traditional Arabic" w:eastAsia="Calibri" w:hAnsi="Traditional Arabic" w:hint="cs"/>
          <w:color w:val="auto"/>
          <w:sz w:val="40"/>
          <w:rtl/>
        </w:rPr>
        <w:t xml:space="preserve">، وكذلك </w:t>
      </w:r>
      <w:r w:rsidR="00BD5ED5">
        <w:rPr>
          <w:rFonts w:ascii="Traditional Arabic" w:eastAsia="Calibri" w:hAnsi="Traditional Arabic" w:hint="cs"/>
          <w:color w:val="auto"/>
          <w:sz w:val="40"/>
          <w:rtl/>
        </w:rPr>
        <w:t>الأدرني</w:t>
      </w:r>
      <w:r w:rsidRPr="00C17B7B">
        <w:rPr>
          <w:rFonts w:ascii="Traditional Arabic" w:eastAsia="Calibri" w:hAnsi="Traditional Arabic" w:hint="cs"/>
          <w:color w:val="auto"/>
          <w:sz w:val="40"/>
          <w:rtl/>
        </w:rPr>
        <w:t xml:space="preserve"> في طبقاته</w:t>
      </w:r>
      <w:r w:rsidR="00BA6224" w:rsidRPr="00BA6224">
        <w:rPr>
          <w:rStyle w:val="ae"/>
          <w:rFonts w:eastAsia="Calibri"/>
          <w:rtl/>
        </w:rPr>
        <w:t>(</w:t>
      </w:r>
      <w:r w:rsidR="00BA6224">
        <w:rPr>
          <w:rStyle w:val="ae"/>
          <w:rFonts w:eastAsia="Calibri"/>
          <w:rtl/>
        </w:rPr>
        <w:footnoteReference w:id="114"/>
      </w:r>
      <w:r w:rsidR="00BA6224" w:rsidRPr="00BA6224">
        <w:rPr>
          <w:rStyle w:val="ae"/>
          <w:rFonts w:eastAsia="Calibri"/>
          <w:rtl/>
        </w:rPr>
        <w:t>)</w:t>
      </w:r>
      <w:r w:rsidRPr="00C17B7B">
        <w:rPr>
          <w:rFonts w:ascii="Traditional Arabic" w:eastAsia="Calibri" w:hAnsi="Traditional Arabic" w:hint="cs"/>
          <w:color w:val="auto"/>
          <w:sz w:val="40"/>
          <w:rtl/>
        </w:rPr>
        <w:t>، وقد اشتهر به المؤلف اشتهارا عظيما، وكثرت النقولات عنه من هذا التفسير المبارك، فممن نقل عنه القرطبي في جامع الأحكام</w:t>
      </w:r>
      <w:r w:rsidR="00BA6224" w:rsidRPr="00BA6224">
        <w:rPr>
          <w:rStyle w:val="ae"/>
          <w:rFonts w:eastAsia="Calibri"/>
          <w:rtl/>
        </w:rPr>
        <w:t>(</w:t>
      </w:r>
      <w:r w:rsidR="00BA6224">
        <w:rPr>
          <w:rStyle w:val="ae"/>
          <w:rFonts w:eastAsia="Calibri"/>
          <w:rtl/>
        </w:rPr>
        <w:footnoteReference w:id="115"/>
      </w:r>
      <w:r w:rsidR="00BA6224" w:rsidRPr="00BA6224">
        <w:rPr>
          <w:rStyle w:val="ae"/>
          <w:rFonts w:eastAsia="Calibri"/>
          <w:rtl/>
        </w:rPr>
        <w:t>)</w:t>
      </w:r>
      <w:r w:rsidRPr="00C17B7B">
        <w:rPr>
          <w:rFonts w:ascii="Traditional Arabic" w:eastAsia="Calibri" w:hAnsi="Traditional Arabic" w:hint="cs"/>
          <w:color w:val="auto"/>
          <w:sz w:val="40"/>
          <w:rtl/>
        </w:rPr>
        <w:t>، والخازن في تفسيره</w:t>
      </w:r>
      <w:r w:rsidR="00BA6224" w:rsidRPr="00BA6224">
        <w:rPr>
          <w:rStyle w:val="ae"/>
          <w:rFonts w:eastAsia="Calibri"/>
          <w:rtl/>
        </w:rPr>
        <w:t>(</w:t>
      </w:r>
      <w:r w:rsidR="00BA6224">
        <w:rPr>
          <w:rStyle w:val="ae"/>
          <w:rFonts w:eastAsia="Calibri"/>
          <w:rtl/>
        </w:rPr>
        <w:footnoteReference w:id="116"/>
      </w:r>
      <w:r w:rsidR="00BA6224" w:rsidRPr="00BA6224">
        <w:rPr>
          <w:rStyle w:val="ae"/>
          <w:rFonts w:eastAsia="Calibri"/>
          <w:rtl/>
        </w:rPr>
        <w:t>)</w:t>
      </w:r>
      <w:r w:rsidRPr="00C17B7B">
        <w:rPr>
          <w:rFonts w:ascii="Traditional Arabic" w:eastAsia="Calibri" w:hAnsi="Traditional Arabic" w:hint="cs"/>
          <w:color w:val="auto"/>
          <w:sz w:val="40"/>
          <w:rtl/>
        </w:rPr>
        <w:t xml:space="preserve">، وأبو </w:t>
      </w:r>
      <w:r w:rsidRPr="00C17B7B">
        <w:rPr>
          <w:rFonts w:ascii="Traditional Arabic" w:eastAsia="Calibri" w:hAnsi="Traditional Arabic" w:hint="cs"/>
          <w:color w:val="auto"/>
          <w:sz w:val="40"/>
          <w:rtl/>
        </w:rPr>
        <w:lastRenderedPageBreak/>
        <w:t>حيان في البحر المحيط</w:t>
      </w:r>
      <w:r w:rsidR="00BA6224" w:rsidRPr="00BA6224">
        <w:rPr>
          <w:rStyle w:val="ae"/>
          <w:rFonts w:eastAsia="Calibri"/>
          <w:rtl/>
        </w:rPr>
        <w:t>(</w:t>
      </w:r>
      <w:r w:rsidR="00BA6224">
        <w:rPr>
          <w:rStyle w:val="ae"/>
          <w:rFonts w:eastAsia="Calibri"/>
          <w:rtl/>
        </w:rPr>
        <w:footnoteReference w:id="117"/>
      </w:r>
      <w:r w:rsidR="00BA6224" w:rsidRPr="00BA6224">
        <w:rPr>
          <w:rStyle w:val="ae"/>
          <w:rFonts w:eastAsia="Calibri"/>
          <w:rtl/>
        </w:rPr>
        <w:t>)</w:t>
      </w:r>
      <w:r w:rsidR="007A478E">
        <w:rPr>
          <w:rFonts w:ascii="Traditional Arabic" w:eastAsia="Calibri" w:hAnsi="Traditional Arabic" w:hint="cs"/>
          <w:color w:val="auto"/>
          <w:sz w:val="40"/>
          <w:rtl/>
        </w:rPr>
        <w:t>, و</w:t>
      </w:r>
      <w:r w:rsidR="00BA6224">
        <w:rPr>
          <w:rFonts w:ascii="Traditional Arabic" w:eastAsia="Calibri" w:hAnsi="Traditional Arabic" w:hint="cs"/>
          <w:color w:val="auto"/>
          <w:sz w:val="40"/>
          <w:rtl/>
        </w:rPr>
        <w:t>شيخ الإسلام ابن تيمية رحمه الله في تفسير آيات أشكلت</w:t>
      </w:r>
      <w:r w:rsidR="007A478E">
        <w:rPr>
          <w:rFonts w:ascii="Traditional Arabic" w:eastAsia="Calibri" w:hAnsi="Traditional Arabic" w:hint="cs"/>
          <w:color w:val="auto"/>
          <w:sz w:val="40"/>
          <w:rtl/>
        </w:rPr>
        <w:t xml:space="preserve"> على كثير من العلماء</w:t>
      </w:r>
      <w:r w:rsidR="004B7211" w:rsidRPr="004B7211">
        <w:rPr>
          <w:rStyle w:val="ae"/>
          <w:rFonts w:eastAsia="Calibri"/>
          <w:rtl/>
        </w:rPr>
        <w:t>(</w:t>
      </w:r>
      <w:r w:rsidR="004B7211">
        <w:rPr>
          <w:rStyle w:val="ae"/>
          <w:rFonts w:eastAsia="Calibri"/>
          <w:rtl/>
        </w:rPr>
        <w:footnoteReference w:id="118"/>
      </w:r>
      <w:r w:rsidR="004B7211" w:rsidRPr="004B7211">
        <w:rPr>
          <w:rStyle w:val="ae"/>
          <w:rFonts w:eastAsia="Calibri"/>
          <w:rtl/>
        </w:rPr>
        <w:t>)</w:t>
      </w:r>
      <w:r w:rsidR="007A478E">
        <w:rPr>
          <w:rFonts w:ascii="Traditional Arabic" w:eastAsia="Calibri" w:hAnsi="Traditional Arabic" w:hint="cs"/>
          <w:color w:val="auto"/>
          <w:sz w:val="40"/>
          <w:rtl/>
        </w:rPr>
        <w:t>,</w:t>
      </w:r>
      <w:r w:rsidR="00BA6224">
        <w:rPr>
          <w:rFonts w:ascii="Traditional Arabic" w:eastAsia="Calibri" w:hAnsi="Traditional Arabic" w:hint="cs"/>
          <w:color w:val="auto"/>
          <w:sz w:val="40"/>
          <w:rtl/>
        </w:rPr>
        <w:t xml:space="preserve"> </w:t>
      </w:r>
      <w:r w:rsidRPr="00C17B7B">
        <w:rPr>
          <w:rFonts w:ascii="Traditional Arabic" w:eastAsia="Calibri" w:hAnsi="Traditional Arabic" w:hint="cs"/>
          <w:color w:val="auto"/>
          <w:sz w:val="40"/>
          <w:rtl/>
        </w:rPr>
        <w:t xml:space="preserve">وقد اشتهرت نسبة </w:t>
      </w:r>
      <w:r w:rsidRPr="00C17B7B">
        <w:rPr>
          <w:rFonts w:ascii="Traditional Arabic" w:eastAsia="Calibri" w:hAnsi="Traditional Arabic" w:hint="cs"/>
          <w:color w:val="auto"/>
          <w:rtl/>
        </w:rPr>
        <w:t>((زاد المسير في علم التفسير</w:t>
      </w:r>
      <w:r w:rsidRPr="00C17B7B">
        <w:rPr>
          <w:rFonts w:ascii="Lotus Linotype" w:eastAsia="Calibri" w:hAnsi="Lotus Linotype" w:hint="cs"/>
          <w:color w:val="auto"/>
          <w:sz w:val="38"/>
          <w:rtl/>
        </w:rPr>
        <w:t>)) للعلامة أب</w:t>
      </w:r>
      <w:r w:rsidR="00BD5ED5">
        <w:rPr>
          <w:rFonts w:ascii="Lotus Linotype" w:eastAsia="Calibri" w:hAnsi="Lotus Linotype" w:hint="cs"/>
          <w:color w:val="auto"/>
          <w:sz w:val="38"/>
          <w:rtl/>
        </w:rPr>
        <w:t>ي</w:t>
      </w:r>
      <w:r w:rsidRPr="00C17B7B">
        <w:rPr>
          <w:rFonts w:ascii="Lotus Linotype" w:eastAsia="Calibri" w:hAnsi="Lotus Linotype" w:hint="cs"/>
          <w:color w:val="auto"/>
          <w:sz w:val="38"/>
          <w:rtl/>
        </w:rPr>
        <w:t xml:space="preserve"> الفرج ابن الجوزي </w:t>
      </w:r>
      <w:r w:rsidRPr="00C17B7B">
        <w:rPr>
          <w:rFonts w:ascii="Lotus Linotype" w:eastAsia="Calibri" w:hAnsi="Lotus Linotype"/>
          <w:color w:val="auto"/>
          <w:sz w:val="38"/>
          <w:rtl/>
        </w:rPr>
        <w:t>–</w:t>
      </w:r>
      <w:r w:rsidRPr="00C17B7B">
        <w:rPr>
          <w:rFonts w:ascii="Lotus Linotype" w:eastAsia="Calibri" w:hAnsi="Lotus Linotype" w:hint="cs"/>
          <w:color w:val="auto"/>
          <w:sz w:val="38"/>
          <w:rtl/>
        </w:rPr>
        <w:t>رحمه الله-؛ فلا يكاد يذكر هذا الإمام إلا ويتبادر إلى الذهن كتابه زاد المسير.</w:t>
      </w:r>
    </w:p>
    <w:p w:rsidR="00D11232" w:rsidRPr="00C17B7B" w:rsidRDefault="00D11232" w:rsidP="00D11232">
      <w:pPr>
        <w:spacing w:line="276" w:lineRule="auto"/>
        <w:contextualSpacing/>
        <w:jc w:val="center"/>
        <w:rPr>
          <w:rFonts w:ascii="Traditional Arabic" w:eastAsia="Calibri" w:hAnsi="Traditional Arabic"/>
          <w:color w:val="auto"/>
          <w:szCs w:val="32"/>
        </w:rPr>
      </w:pPr>
      <w:r w:rsidRPr="00C17B7B">
        <w:rPr>
          <w:rFonts w:ascii="Traditional Arabic" w:eastAsia="Calibri" w:hAnsi="Traditional Arabic" w:cs="DecoType Naskh" w:hint="cs"/>
          <w:color w:val="auto"/>
          <w:szCs w:val="32"/>
          <w:rtl/>
        </w:rPr>
        <w:t>***</w:t>
      </w:r>
      <w:r w:rsidRPr="00C17B7B">
        <w:rPr>
          <w:rFonts w:ascii="Traditional Arabic" w:eastAsia="Calibri" w:hAnsi="Traditional Arabic" w:cs="DecoType Naskh" w:hint="cs"/>
          <w:color w:val="auto"/>
          <w:szCs w:val="32"/>
          <w:rtl/>
        </w:rPr>
        <w:tab/>
      </w:r>
      <w:r w:rsidRPr="00C17B7B">
        <w:rPr>
          <w:rFonts w:ascii="Traditional Arabic" w:eastAsia="Calibri" w:hAnsi="Traditional Arabic" w:cs="DecoType Naskh" w:hint="cs"/>
          <w:color w:val="auto"/>
          <w:szCs w:val="32"/>
          <w:rtl/>
        </w:rPr>
        <w:tab/>
        <w:t>***</w:t>
      </w:r>
      <w:r w:rsidRPr="00C17B7B">
        <w:rPr>
          <w:rFonts w:ascii="Traditional Arabic" w:eastAsia="Calibri" w:hAnsi="Traditional Arabic" w:cs="DecoType Naskh" w:hint="cs"/>
          <w:color w:val="auto"/>
          <w:szCs w:val="32"/>
          <w:rtl/>
        </w:rPr>
        <w:tab/>
      </w:r>
      <w:r w:rsidRPr="00C17B7B">
        <w:rPr>
          <w:rFonts w:ascii="Traditional Arabic" w:eastAsia="Calibri" w:hAnsi="Traditional Arabic" w:cs="DecoType Naskh" w:hint="cs"/>
          <w:color w:val="auto"/>
          <w:szCs w:val="32"/>
          <w:rtl/>
        </w:rPr>
        <w:tab/>
        <w:t>***</w:t>
      </w:r>
    </w:p>
    <w:p w:rsidR="00D11232" w:rsidRPr="00C17B7B" w:rsidRDefault="00D11232" w:rsidP="00D11232">
      <w:pPr>
        <w:spacing w:line="276" w:lineRule="auto"/>
        <w:contextualSpacing/>
        <w:rPr>
          <w:rFonts w:ascii="Lotus Linotype" w:eastAsia="Calibri" w:hAnsi="Lotus Linotype"/>
          <w:color w:val="auto"/>
          <w:sz w:val="38"/>
          <w:rtl/>
        </w:rPr>
      </w:pPr>
    </w:p>
    <w:p w:rsidR="00D11232" w:rsidRPr="00C17B7B" w:rsidRDefault="00D11232" w:rsidP="00D11232">
      <w:pPr>
        <w:spacing w:line="276" w:lineRule="auto"/>
        <w:contextualSpacing/>
        <w:rPr>
          <w:rFonts w:ascii="Traditional Arabic" w:eastAsia="Calibri" w:hAnsi="Traditional Arabic"/>
          <w:b/>
          <w:bCs/>
          <w:color w:val="auto"/>
          <w:szCs w:val="32"/>
        </w:rPr>
      </w:pPr>
      <w:r w:rsidRPr="00C17B7B">
        <w:rPr>
          <w:rFonts w:ascii="Traditional Arabic" w:eastAsia="Calibri" w:hAnsi="Traditional Arabic"/>
          <w:b/>
          <w:bCs/>
          <w:color w:val="auto"/>
          <w:szCs w:val="32"/>
          <w:rtl/>
        </w:rPr>
        <w:br w:type="page"/>
      </w:r>
    </w:p>
    <w:p w:rsidR="00D11232" w:rsidRPr="00C17B7B" w:rsidRDefault="00D11232" w:rsidP="004B7211">
      <w:pPr>
        <w:keepNext/>
        <w:ind w:firstLine="0"/>
        <w:contextualSpacing/>
        <w:outlineLvl w:val="2"/>
        <w:rPr>
          <w:rFonts w:ascii="Arial" w:hAnsi="Arial"/>
          <w:b/>
          <w:bCs/>
          <w:noProof/>
          <w:sz w:val="26"/>
          <w:szCs w:val="40"/>
          <w:rtl/>
        </w:rPr>
      </w:pPr>
      <w:r w:rsidRPr="00C17B7B">
        <w:rPr>
          <w:rFonts w:ascii="Arial" w:hAnsi="Arial" w:hint="cs"/>
          <w:b/>
          <w:bCs/>
          <w:noProof/>
          <w:sz w:val="26"/>
          <w:szCs w:val="40"/>
          <w:rtl/>
        </w:rPr>
        <w:lastRenderedPageBreak/>
        <w:t>المبحث الثاني: منهج المؤلف في الكتاب في القسم المحقق.</w:t>
      </w:r>
    </w:p>
    <w:p w:rsidR="00D11232" w:rsidRPr="00C17B7B" w:rsidRDefault="00D11232" w:rsidP="004B7211">
      <w:pPr>
        <w:spacing w:line="276" w:lineRule="auto"/>
        <w:ind w:firstLine="0"/>
        <w:contextualSpacing/>
        <w:jc w:val="lowKashida"/>
        <w:rPr>
          <w:rFonts w:ascii="Traditional Arabic" w:eastAsia="Calibri" w:hAnsi="Traditional Arabic"/>
          <w:color w:val="auto"/>
          <w:rtl/>
        </w:rPr>
      </w:pPr>
      <w:r w:rsidRPr="00C17B7B">
        <w:rPr>
          <w:rFonts w:ascii="Traditional Arabic" w:eastAsia="Calibri" w:hAnsi="Traditional Arabic" w:hint="cs"/>
          <w:color w:val="auto"/>
          <w:rtl/>
        </w:rPr>
        <w:t xml:space="preserve">لابد أن يعلم قبل أن يشرع في ذكر منهجه الذي سار عليه ابن الجوزي </w:t>
      </w:r>
      <w:r w:rsidRPr="00C17B7B">
        <w:rPr>
          <w:rFonts w:ascii="Traditional Arabic" w:eastAsia="Calibri" w:hAnsi="Traditional Arabic"/>
          <w:color w:val="auto"/>
          <w:rtl/>
        </w:rPr>
        <w:t>–</w:t>
      </w:r>
      <w:r w:rsidRPr="00C17B7B">
        <w:rPr>
          <w:rFonts w:ascii="Traditional Arabic" w:eastAsia="Calibri" w:hAnsi="Traditional Arabic" w:hint="cs"/>
          <w:color w:val="auto"/>
          <w:rtl/>
        </w:rPr>
        <w:t xml:space="preserve">رحمه الله- في تأليفه لكتاب زاد المسير أن الهدف من تأليف هذا الكتاب هو إيجاد مختصر في التفسير، ينطوي على علم غزير، يجمع فنون التفسير، فهذا له التأثير البالغ في المنهج الذي يسير عليه المؤلف، </w:t>
      </w:r>
      <w:r w:rsidRPr="00C17B7B">
        <w:rPr>
          <w:rFonts w:ascii="Traditional Arabic" w:eastAsia="Calibri" w:hAnsi="Traditional Arabic"/>
          <w:color w:val="auto"/>
          <w:rtl/>
        </w:rPr>
        <w:t>ولا أحد أعلم بالكتاب من صاحبه</w:t>
      </w:r>
      <w:r w:rsidRPr="00C17B7B">
        <w:rPr>
          <w:rFonts w:ascii="Traditional Arabic" w:eastAsia="Calibri" w:hAnsi="Traditional Arabic" w:hint="cs"/>
          <w:color w:val="auto"/>
          <w:rtl/>
        </w:rPr>
        <w:t>، ف</w:t>
      </w:r>
      <w:r w:rsidRPr="00C17B7B">
        <w:rPr>
          <w:rFonts w:ascii="Traditional Arabic" w:eastAsia="Calibri" w:hAnsi="Traditional Arabic"/>
          <w:color w:val="auto"/>
          <w:rtl/>
        </w:rPr>
        <w:t>يقول ابن الجوزي - رحمه الله تعالى - مبينا منهجه: " لما رأيت جمهور كتب المفسرين لا يكاد الكتاب منها يفي بالمقصود كشفه حتى ينظر للآية الواحدة في كتب؛ فرب تفسير أُخِلَّ فيه بعلم الناسخ والمنسوخ أو ببعضه، فإن وجد فيه لم يوجد أسباب النزول أو أكثرها، فإن وجد لم يوجد بيان المكي من المدني، وإن وجد ذلك لم توجد الإشارة إلى حكم الآية، فإن وجد لم يوجد جواب إشكال يقع في الآية، إلى غير ذلك من الفنون المطلوبة.</w:t>
      </w:r>
    </w:p>
    <w:p w:rsidR="00D11232" w:rsidRPr="00C17B7B" w:rsidRDefault="00D11232" w:rsidP="004B7211">
      <w:pPr>
        <w:spacing w:line="276" w:lineRule="auto"/>
        <w:ind w:firstLine="0"/>
        <w:contextualSpacing/>
        <w:jc w:val="lowKashida"/>
        <w:rPr>
          <w:rFonts w:ascii="Traditional Arabic" w:eastAsia="Calibri" w:hAnsi="Traditional Arabic"/>
          <w:color w:val="auto"/>
          <w:rtl/>
        </w:rPr>
      </w:pPr>
      <w:r w:rsidRPr="00C17B7B">
        <w:rPr>
          <w:rFonts w:ascii="Traditional Arabic" w:eastAsia="Calibri" w:hAnsi="Traditional Arabic"/>
          <w:color w:val="auto"/>
          <w:rtl/>
        </w:rPr>
        <w:t>وقد أدرجت في هذا الكتاب - من هذه الفنون المذكورة مع ما لم أذكره - مم</w:t>
      </w:r>
      <w:r w:rsidR="003E62BC">
        <w:rPr>
          <w:rFonts w:ascii="Traditional Arabic" w:eastAsia="Calibri" w:hAnsi="Traditional Arabic"/>
          <w:color w:val="auto"/>
          <w:rtl/>
        </w:rPr>
        <w:t>ا لا يستغني التفسير عنه ما أرجو</w:t>
      </w:r>
      <w:r w:rsidRPr="00C17B7B">
        <w:rPr>
          <w:rFonts w:ascii="Traditional Arabic" w:eastAsia="Calibri" w:hAnsi="Traditional Arabic"/>
          <w:color w:val="auto"/>
          <w:rtl/>
        </w:rPr>
        <w:t xml:space="preserve"> به وقوع الغناء بهذا الكتاب عن أكثر ما يجانسه.</w:t>
      </w:r>
    </w:p>
    <w:p w:rsidR="00D11232" w:rsidRPr="00C17B7B" w:rsidRDefault="00D11232" w:rsidP="004B7211">
      <w:pPr>
        <w:spacing w:line="276" w:lineRule="auto"/>
        <w:ind w:firstLine="0"/>
        <w:contextualSpacing/>
        <w:jc w:val="lowKashida"/>
        <w:rPr>
          <w:rFonts w:ascii="Traditional Arabic" w:eastAsia="Calibri" w:hAnsi="Traditional Arabic"/>
          <w:color w:val="auto"/>
          <w:rtl/>
        </w:rPr>
      </w:pPr>
      <w:r w:rsidRPr="00C17B7B">
        <w:rPr>
          <w:rFonts w:ascii="Traditional Arabic" w:eastAsia="Calibri" w:hAnsi="Traditional Arabic"/>
          <w:color w:val="auto"/>
          <w:rtl/>
        </w:rPr>
        <w:t>وقد حذرت من إعادة تفسير كلمة متقدمة إلا على وجه الإشارة، ولم أغادر من الأقوال التي أحطت بها إلا ما تبعد صحته مع الاختصار البالغ، فإذا رأيتَ في فرش الآيات ما لم يذكر تفسيره فهو لا يخلو من أمرين: إما أن يكون قد سبق، و إما أن يكون ظاهراً لا يحتاج إلى تفسير.</w:t>
      </w:r>
    </w:p>
    <w:p w:rsidR="00D11232" w:rsidRPr="00C17B7B" w:rsidRDefault="00D11232" w:rsidP="004B7211">
      <w:pPr>
        <w:spacing w:line="276" w:lineRule="auto"/>
        <w:ind w:firstLine="0"/>
        <w:contextualSpacing/>
        <w:jc w:val="lowKashida"/>
        <w:rPr>
          <w:rFonts w:ascii="Traditional Arabic" w:eastAsia="Calibri" w:hAnsi="Traditional Arabic"/>
          <w:color w:val="auto"/>
          <w:rtl/>
        </w:rPr>
      </w:pPr>
      <w:r w:rsidRPr="00C17B7B">
        <w:rPr>
          <w:rFonts w:ascii="Traditional Arabic" w:eastAsia="Calibri" w:hAnsi="Traditional Arabic"/>
          <w:color w:val="auto"/>
          <w:rtl/>
        </w:rPr>
        <w:t>وقد انتقى كتابنا هذا أنقى التفاسير، فأخذ منها الأصح والأحسن والأصون، فنظمه في عبارة الاختصار، وهذا حين شروعنا فيما ابتدأنا له، والله الموفق"</w:t>
      </w:r>
      <w:r w:rsidR="004B7211" w:rsidRPr="004B7211">
        <w:rPr>
          <w:rStyle w:val="ae"/>
          <w:rFonts w:eastAsia="Calibri"/>
          <w:rtl/>
        </w:rPr>
        <w:t>(</w:t>
      </w:r>
      <w:r w:rsidR="004B7211">
        <w:rPr>
          <w:rStyle w:val="ae"/>
          <w:rFonts w:eastAsia="Calibri"/>
          <w:rtl/>
        </w:rPr>
        <w:footnoteReference w:id="119"/>
      </w:r>
      <w:r w:rsidR="004B7211" w:rsidRPr="004B7211">
        <w:rPr>
          <w:rStyle w:val="ae"/>
          <w:rFonts w:eastAsia="Calibri"/>
          <w:rtl/>
        </w:rPr>
        <w:t>)</w:t>
      </w:r>
      <w:r w:rsidR="004B7211">
        <w:rPr>
          <w:rFonts w:ascii="Traditional Arabic" w:eastAsia="Calibri" w:hAnsi="Traditional Arabic" w:hint="cs"/>
          <w:color w:val="auto"/>
          <w:rtl/>
        </w:rPr>
        <w:t>.</w:t>
      </w:r>
    </w:p>
    <w:p w:rsidR="00D11232" w:rsidRPr="00C17B7B" w:rsidRDefault="00D11232" w:rsidP="004B7211">
      <w:pPr>
        <w:spacing w:line="276" w:lineRule="auto"/>
        <w:ind w:firstLine="0"/>
        <w:contextualSpacing/>
        <w:jc w:val="lowKashida"/>
        <w:rPr>
          <w:rFonts w:ascii="Traditional Arabic" w:eastAsia="Calibri" w:hAnsi="Traditional Arabic"/>
          <w:color w:val="auto"/>
          <w:rtl/>
        </w:rPr>
      </w:pPr>
      <w:r w:rsidRPr="00C17B7B">
        <w:rPr>
          <w:rFonts w:ascii="Traditional Arabic" w:eastAsia="Calibri" w:hAnsi="Traditional Arabic"/>
          <w:color w:val="auto"/>
          <w:rtl/>
        </w:rPr>
        <w:t>ومن خلال الاطلاع على</w:t>
      </w:r>
      <w:r w:rsidRPr="00C17B7B">
        <w:rPr>
          <w:rFonts w:ascii="Traditional Arabic" w:eastAsia="Calibri" w:hAnsi="Traditional Arabic" w:hint="cs"/>
          <w:color w:val="auto"/>
          <w:rtl/>
        </w:rPr>
        <w:t xml:space="preserve"> هذا التفسير المبارك سأذكر منهجه إجمالا ثم أفصل فيه في عدة نقاط بإذن الله تعالى.</w:t>
      </w:r>
    </w:p>
    <w:p w:rsidR="00D11232" w:rsidRPr="00C17B7B" w:rsidRDefault="00D11232" w:rsidP="004B7211">
      <w:pPr>
        <w:spacing w:line="276" w:lineRule="auto"/>
        <w:ind w:firstLine="0"/>
        <w:contextualSpacing/>
        <w:jc w:val="lowKashida"/>
        <w:rPr>
          <w:rFonts w:ascii="Traditional Arabic" w:eastAsia="Calibri" w:hAnsi="Traditional Arabic"/>
          <w:color w:val="auto"/>
          <w:rtl/>
        </w:rPr>
      </w:pPr>
      <w:r w:rsidRPr="00C17B7B">
        <w:rPr>
          <w:rFonts w:ascii="Traditional Arabic" w:eastAsia="Calibri" w:hAnsi="Traditional Arabic" w:hint="cs"/>
          <w:color w:val="auto"/>
          <w:rtl/>
        </w:rPr>
        <w:lastRenderedPageBreak/>
        <w:t xml:space="preserve">قد </w:t>
      </w:r>
      <w:r w:rsidRPr="00C17B7B">
        <w:rPr>
          <w:rFonts w:ascii="Traditional Arabic" w:eastAsia="Calibri" w:hAnsi="Traditional Arabic"/>
          <w:color w:val="auto"/>
          <w:rtl/>
        </w:rPr>
        <w:t xml:space="preserve">تبين </w:t>
      </w:r>
      <w:r w:rsidRPr="00C17B7B">
        <w:rPr>
          <w:rFonts w:ascii="Traditional Arabic" w:eastAsia="Calibri" w:hAnsi="Traditional Arabic" w:hint="cs"/>
          <w:color w:val="auto"/>
          <w:rtl/>
        </w:rPr>
        <w:t xml:space="preserve">من خلال الاطلاع على زاد المسير </w:t>
      </w:r>
      <w:r w:rsidRPr="00C17B7B">
        <w:rPr>
          <w:rFonts w:ascii="Traditional Arabic" w:eastAsia="Calibri" w:hAnsi="Traditional Arabic"/>
          <w:color w:val="auto"/>
          <w:rtl/>
        </w:rPr>
        <w:t>أن</w:t>
      </w:r>
      <w:r w:rsidRPr="00C17B7B">
        <w:rPr>
          <w:rFonts w:ascii="Traditional Arabic" w:eastAsia="Calibri" w:hAnsi="Traditional Arabic" w:hint="cs"/>
          <w:color w:val="auto"/>
          <w:rtl/>
        </w:rPr>
        <w:t xml:space="preserve"> ابن الجوزي بدأ هذا التفسير بمقدمة جيدة بين فيها فضل التفسير، ومعناه، وكذلك فضل البسملة، وشرحها، وبين حكمها، ثم بدأ بالشروع في تفسير الآيات، ومنهجه في ذلك: أنه</w:t>
      </w:r>
      <w:r w:rsidR="00BD5ED5">
        <w:rPr>
          <w:rFonts w:ascii="Traditional Arabic" w:eastAsia="Calibri" w:hAnsi="Traditional Arabic"/>
          <w:color w:val="auto"/>
          <w:rtl/>
        </w:rPr>
        <w:t xml:space="preserve"> </w:t>
      </w:r>
      <w:r w:rsidR="00BD5ED5">
        <w:rPr>
          <w:rFonts w:ascii="Traditional Arabic" w:eastAsia="Calibri" w:hAnsi="Traditional Arabic" w:hint="cs"/>
          <w:color w:val="auto"/>
          <w:rtl/>
        </w:rPr>
        <w:t xml:space="preserve">أحيانا </w:t>
      </w:r>
      <w:r w:rsidR="00BD5ED5">
        <w:rPr>
          <w:rFonts w:ascii="Traditional Arabic" w:eastAsia="Calibri" w:hAnsi="Traditional Arabic"/>
          <w:color w:val="auto"/>
          <w:rtl/>
        </w:rPr>
        <w:t>يتناول</w:t>
      </w:r>
      <w:r w:rsidRPr="00C17B7B">
        <w:rPr>
          <w:rFonts w:ascii="Traditional Arabic" w:eastAsia="Calibri" w:hAnsi="Traditional Arabic"/>
          <w:color w:val="auto"/>
          <w:rtl/>
        </w:rPr>
        <w:t xml:space="preserve"> جملة من</w:t>
      </w:r>
      <w:r w:rsidRPr="00C17B7B">
        <w:rPr>
          <w:rFonts w:ascii="Traditional Arabic" w:eastAsia="Calibri" w:hAnsi="Traditional Arabic" w:hint="cs"/>
          <w:color w:val="auto"/>
          <w:rtl/>
        </w:rPr>
        <w:t xml:space="preserve"> السورة التي شرع في تفسيرها</w:t>
      </w:r>
      <w:r w:rsidRPr="00C17B7B">
        <w:rPr>
          <w:rFonts w:ascii="Traditional Arabic" w:eastAsia="Calibri" w:hAnsi="Traditional Arabic"/>
          <w:color w:val="auto"/>
          <w:rtl/>
        </w:rPr>
        <w:t xml:space="preserve"> ببيان معناها الإجمالي، وما يحتاج من مفرداته إلى بيان بين معناه المراد</w:t>
      </w:r>
      <w:r w:rsidRPr="00C17B7B">
        <w:rPr>
          <w:rFonts w:ascii="Traditional Arabic" w:eastAsia="Calibri" w:hAnsi="Traditional Arabic" w:hint="cs"/>
          <w:color w:val="auto"/>
          <w:rtl/>
        </w:rPr>
        <w:t>،</w:t>
      </w:r>
      <w:r w:rsidR="004B7211">
        <w:rPr>
          <w:rFonts w:ascii="Traditional Arabic" w:eastAsia="Calibri" w:hAnsi="Traditional Arabic" w:hint="cs"/>
          <w:color w:val="auto"/>
          <w:rtl/>
        </w:rPr>
        <w:t xml:space="preserve"> </w:t>
      </w:r>
      <w:r w:rsidRPr="00C17B7B">
        <w:rPr>
          <w:rFonts w:ascii="Traditional Arabic" w:eastAsia="Calibri" w:hAnsi="Traditional Arabic" w:hint="cs"/>
          <w:color w:val="auto"/>
          <w:rtl/>
        </w:rPr>
        <w:t>وقد يذكر معناها اللغوي، إلا أن الغالب أنه لا يذكر ذلك</w:t>
      </w:r>
      <w:r w:rsidRPr="00C17B7B">
        <w:rPr>
          <w:rFonts w:ascii="Traditional Arabic" w:eastAsia="Calibri" w:hAnsi="Traditional Arabic"/>
          <w:color w:val="auto"/>
          <w:rtl/>
        </w:rPr>
        <w:t xml:space="preserve">، </w:t>
      </w:r>
      <w:r w:rsidRPr="00C17B7B">
        <w:rPr>
          <w:rFonts w:ascii="Traditional Arabic" w:eastAsia="Calibri" w:hAnsi="Traditional Arabic" w:hint="cs"/>
          <w:color w:val="auto"/>
          <w:rtl/>
        </w:rPr>
        <w:t>ثم ي</w:t>
      </w:r>
      <w:r w:rsidRPr="00C17B7B">
        <w:rPr>
          <w:rFonts w:ascii="Traditional Arabic" w:eastAsia="Calibri" w:hAnsi="Traditional Arabic"/>
          <w:color w:val="auto"/>
          <w:rtl/>
        </w:rPr>
        <w:t>ذكر بعض ما يتعلق بذلك من أقوال السلف أحياناً، ومع بيان القراءات الواردة فيها</w:t>
      </w:r>
      <w:r w:rsidRPr="00C17B7B">
        <w:rPr>
          <w:rFonts w:ascii="Traditional Arabic" w:eastAsia="Calibri" w:hAnsi="Traditional Arabic" w:hint="cs"/>
          <w:color w:val="auto"/>
          <w:rtl/>
        </w:rPr>
        <w:t xml:space="preserve"> المتواترة غالبا، وربما ذكر بعض القراءات الشاذة، </w:t>
      </w:r>
      <w:r w:rsidRPr="00C17B7B">
        <w:rPr>
          <w:rFonts w:ascii="Traditional Arabic" w:eastAsia="Calibri" w:hAnsi="Traditional Arabic"/>
          <w:color w:val="auto"/>
          <w:rtl/>
        </w:rPr>
        <w:t>وما ورد فيه أقوال بين عددها أولاً</w:t>
      </w:r>
      <w:r w:rsidRPr="00C17B7B">
        <w:rPr>
          <w:rFonts w:ascii="Traditional Arabic" w:eastAsia="Calibri" w:hAnsi="Traditional Arabic" w:hint="cs"/>
          <w:color w:val="auto"/>
          <w:rtl/>
        </w:rPr>
        <w:t>،</w:t>
      </w:r>
      <w:r w:rsidRPr="00C17B7B">
        <w:rPr>
          <w:rFonts w:ascii="Traditional Arabic" w:eastAsia="Calibri" w:hAnsi="Traditional Arabic"/>
          <w:color w:val="auto"/>
          <w:rtl/>
        </w:rPr>
        <w:t xml:space="preserve"> ثم أتبع ذلك ببيانها مع عزو كل قول لقائله، دون ترجيح أو تعليق</w:t>
      </w:r>
      <w:r w:rsidRPr="00C17B7B">
        <w:rPr>
          <w:rFonts w:ascii="Traditional Arabic" w:eastAsia="Calibri" w:hAnsi="Traditional Arabic" w:hint="cs"/>
          <w:color w:val="auto"/>
          <w:rtl/>
        </w:rPr>
        <w:t>،</w:t>
      </w:r>
      <w:r w:rsidRPr="00C17B7B">
        <w:rPr>
          <w:rFonts w:ascii="Traditional Arabic" w:eastAsia="Calibri" w:hAnsi="Traditional Arabic"/>
          <w:color w:val="auto"/>
          <w:rtl/>
        </w:rPr>
        <w:t xml:space="preserve"> وما سبق أن فسره أشار إلى أنه فسره، دون تكراره، ويشير إلى موضع تفسيره غالباً.</w:t>
      </w:r>
    </w:p>
    <w:p w:rsidR="00D11232" w:rsidRPr="00C17B7B" w:rsidRDefault="00D11232" w:rsidP="004B7211">
      <w:pPr>
        <w:spacing w:line="276" w:lineRule="auto"/>
        <w:ind w:firstLine="0"/>
        <w:contextualSpacing/>
        <w:rPr>
          <w:rFonts w:ascii="Traditional Arabic" w:eastAsia="Calibri" w:hAnsi="Traditional Arabic"/>
          <w:color w:val="auto"/>
          <w:rtl/>
        </w:rPr>
      </w:pPr>
      <w:r w:rsidRPr="00C17B7B">
        <w:rPr>
          <w:rFonts w:ascii="Traditional Arabic" w:eastAsia="Calibri" w:hAnsi="Traditional Arabic" w:hint="cs"/>
          <w:color w:val="auto"/>
          <w:rtl/>
        </w:rPr>
        <w:t>فهذا هو المنهج الذي سلكه العلامة ابن الجوزي -رحمه الله- في تفسيره زاد المسير، ويمكن تقسيمه في الفقرات التالية مع تفصيل بسيط:</w:t>
      </w:r>
    </w:p>
    <w:p w:rsidR="00D11232" w:rsidRPr="00C17B7B" w:rsidRDefault="00D11232" w:rsidP="00C443D8">
      <w:pPr>
        <w:numPr>
          <w:ilvl w:val="0"/>
          <w:numId w:val="9"/>
        </w:numPr>
        <w:spacing w:after="200" w:line="276" w:lineRule="auto"/>
        <w:ind w:left="328" w:hanging="328"/>
        <w:contextualSpacing/>
        <w:rPr>
          <w:rFonts w:ascii="Traditional Arabic" w:hAnsi="Traditional Arabic"/>
        </w:rPr>
      </w:pPr>
      <w:r w:rsidRPr="00C17B7B">
        <w:rPr>
          <w:rFonts w:ascii="Traditional Arabic" w:hAnsi="Traditional Arabic"/>
          <w:rtl/>
        </w:rPr>
        <w:t>يذكر ابن الجوزي عند بدء السورة كونها مكية أو مدنية.</w:t>
      </w:r>
    </w:p>
    <w:p w:rsidR="00D11232" w:rsidRPr="00C17B7B" w:rsidRDefault="00D11232" w:rsidP="00C443D8">
      <w:pPr>
        <w:numPr>
          <w:ilvl w:val="0"/>
          <w:numId w:val="9"/>
        </w:numPr>
        <w:spacing w:after="200" w:line="276" w:lineRule="auto"/>
        <w:ind w:left="328" w:hanging="328"/>
        <w:contextualSpacing/>
        <w:rPr>
          <w:rFonts w:ascii="Traditional Arabic" w:hAnsi="Traditional Arabic"/>
        </w:rPr>
      </w:pPr>
      <w:r w:rsidRPr="00C17B7B">
        <w:rPr>
          <w:rFonts w:ascii="Traditional Arabic" w:hAnsi="Traditional Arabic"/>
          <w:rtl/>
        </w:rPr>
        <w:t>يورد شيئاً مما يتعلق بالآية من أثر دون إيراد أسانيدها، وقد يورد بعض ما يفسرها من آيات. أي: تفسير القرآن بالقرآن.</w:t>
      </w:r>
    </w:p>
    <w:p w:rsidR="00D11232" w:rsidRPr="00C17B7B" w:rsidRDefault="00D11232" w:rsidP="00C443D8">
      <w:pPr>
        <w:numPr>
          <w:ilvl w:val="0"/>
          <w:numId w:val="9"/>
        </w:numPr>
        <w:spacing w:after="200" w:line="276" w:lineRule="auto"/>
        <w:ind w:left="328" w:hanging="328"/>
        <w:contextualSpacing/>
        <w:rPr>
          <w:rFonts w:ascii="Traditional Arabic" w:hAnsi="Traditional Arabic"/>
        </w:rPr>
      </w:pPr>
      <w:r w:rsidRPr="00C17B7B">
        <w:rPr>
          <w:rFonts w:ascii="Traditional Arabic" w:hAnsi="Traditional Arabic"/>
          <w:rtl/>
        </w:rPr>
        <w:t>يذكر القراءات العشر باختصار، مع ذكر الشاذ منها أحيانا.</w:t>
      </w:r>
    </w:p>
    <w:p w:rsidR="00D11232" w:rsidRPr="00C17B7B" w:rsidRDefault="00D11232" w:rsidP="00C443D8">
      <w:pPr>
        <w:numPr>
          <w:ilvl w:val="0"/>
          <w:numId w:val="9"/>
        </w:numPr>
        <w:spacing w:after="200" w:line="276" w:lineRule="auto"/>
        <w:ind w:left="328" w:hanging="328"/>
        <w:contextualSpacing/>
        <w:rPr>
          <w:rFonts w:ascii="Traditional Arabic" w:hAnsi="Traditional Arabic"/>
        </w:rPr>
      </w:pPr>
      <w:r w:rsidRPr="00C17B7B">
        <w:rPr>
          <w:rFonts w:ascii="Traditional Arabic" w:hAnsi="Traditional Arabic"/>
          <w:rtl/>
        </w:rPr>
        <w:t>يورد المعنى الإجمالي للجمل القرآنية، مع بيانه للاشتقاقات اللغوية للمفردات في الغالب.</w:t>
      </w:r>
    </w:p>
    <w:p w:rsidR="00D11232" w:rsidRPr="00C17B7B" w:rsidRDefault="00D11232" w:rsidP="00C443D8">
      <w:pPr>
        <w:numPr>
          <w:ilvl w:val="0"/>
          <w:numId w:val="9"/>
        </w:numPr>
        <w:spacing w:after="200" w:line="276" w:lineRule="auto"/>
        <w:ind w:left="328" w:hanging="328"/>
        <w:contextualSpacing/>
        <w:rPr>
          <w:rFonts w:ascii="Traditional Arabic" w:hAnsi="Traditional Arabic"/>
        </w:rPr>
      </w:pPr>
      <w:r w:rsidRPr="00C17B7B">
        <w:rPr>
          <w:rFonts w:ascii="Traditional Arabic" w:hAnsi="Traditional Arabic"/>
          <w:rtl/>
        </w:rPr>
        <w:t>يستشهد بالشعر أحياناً.</w:t>
      </w:r>
    </w:p>
    <w:p w:rsidR="00D11232" w:rsidRPr="00C17B7B" w:rsidRDefault="00D11232" w:rsidP="00C443D8">
      <w:pPr>
        <w:numPr>
          <w:ilvl w:val="0"/>
          <w:numId w:val="9"/>
        </w:numPr>
        <w:spacing w:after="200" w:line="276" w:lineRule="auto"/>
        <w:ind w:left="328" w:hanging="328"/>
        <w:contextualSpacing/>
        <w:rPr>
          <w:rFonts w:ascii="Traditional Arabic" w:hAnsi="Traditional Arabic"/>
        </w:rPr>
      </w:pPr>
      <w:r w:rsidRPr="00C17B7B">
        <w:rPr>
          <w:rFonts w:ascii="Traditional Arabic" w:hAnsi="Traditional Arabic"/>
          <w:rtl/>
        </w:rPr>
        <w:t>يذكر الأقوال إجمالاً مع نسبتها إلى أصحابها، ولا يذكر أدلتها ولا يناقشها</w:t>
      </w:r>
      <w:r w:rsidR="004B7211">
        <w:rPr>
          <w:rFonts w:ascii="Traditional Arabic" w:hAnsi="Traditional Arabic" w:hint="cs"/>
          <w:rtl/>
        </w:rPr>
        <w:t xml:space="preserve"> </w:t>
      </w:r>
      <w:r w:rsidRPr="00C17B7B">
        <w:rPr>
          <w:rFonts w:ascii="Traditional Arabic" w:hAnsi="Traditional Arabic" w:hint="cs"/>
          <w:rtl/>
        </w:rPr>
        <w:t>غالبا</w:t>
      </w:r>
      <w:r w:rsidRPr="00C17B7B">
        <w:rPr>
          <w:rFonts w:ascii="Traditional Arabic" w:hAnsi="Traditional Arabic"/>
          <w:rtl/>
        </w:rPr>
        <w:t>، ويرجح منها أحياناً، خصوصاً إذا لم يمكن الجمع بينها.</w:t>
      </w:r>
    </w:p>
    <w:p w:rsidR="00D11232" w:rsidRPr="00C17B7B" w:rsidRDefault="00D11232" w:rsidP="00C443D8">
      <w:pPr>
        <w:numPr>
          <w:ilvl w:val="0"/>
          <w:numId w:val="9"/>
        </w:numPr>
        <w:spacing w:after="200" w:line="276" w:lineRule="auto"/>
        <w:ind w:left="328" w:hanging="328"/>
        <w:contextualSpacing/>
        <w:rPr>
          <w:rFonts w:ascii="Traditional Arabic" w:hAnsi="Traditional Arabic"/>
        </w:rPr>
      </w:pPr>
      <w:r w:rsidRPr="00C17B7B">
        <w:rPr>
          <w:rFonts w:ascii="Traditional Arabic" w:hAnsi="Traditional Arabic"/>
          <w:rtl/>
        </w:rPr>
        <w:t>يعتني بالجانب الوعظي في الآيات.</w:t>
      </w:r>
    </w:p>
    <w:p w:rsidR="00D11232" w:rsidRPr="00C17B7B" w:rsidRDefault="00D11232" w:rsidP="00C443D8">
      <w:pPr>
        <w:numPr>
          <w:ilvl w:val="0"/>
          <w:numId w:val="9"/>
        </w:numPr>
        <w:spacing w:after="200" w:line="276" w:lineRule="auto"/>
        <w:ind w:left="328" w:hanging="328"/>
        <w:contextualSpacing/>
        <w:rPr>
          <w:rFonts w:ascii="Traditional Arabic" w:hAnsi="Traditional Arabic"/>
        </w:rPr>
      </w:pPr>
      <w:r w:rsidRPr="00C17B7B">
        <w:rPr>
          <w:rFonts w:ascii="Traditional Arabic" w:hAnsi="Traditional Arabic"/>
          <w:rtl/>
        </w:rPr>
        <w:t>يورد بعض الفوائد النفيسة.</w:t>
      </w:r>
    </w:p>
    <w:p w:rsidR="00D11232" w:rsidRPr="00C17B7B" w:rsidRDefault="00D11232" w:rsidP="00C443D8">
      <w:pPr>
        <w:numPr>
          <w:ilvl w:val="0"/>
          <w:numId w:val="9"/>
        </w:numPr>
        <w:spacing w:after="200" w:line="276" w:lineRule="auto"/>
        <w:ind w:left="328" w:hanging="328"/>
        <w:contextualSpacing/>
        <w:rPr>
          <w:rFonts w:ascii="Traditional Arabic" w:hAnsi="Traditional Arabic"/>
        </w:rPr>
      </w:pPr>
      <w:r w:rsidRPr="00C17B7B">
        <w:rPr>
          <w:rFonts w:ascii="Traditional Arabic" w:hAnsi="Traditional Arabic"/>
          <w:rtl/>
        </w:rPr>
        <w:t xml:space="preserve">يذكر </w:t>
      </w:r>
      <w:r w:rsidRPr="00C17B7B">
        <w:rPr>
          <w:rFonts w:ascii="Traditional Arabic" w:hAnsi="Traditional Arabic" w:hint="cs"/>
          <w:rtl/>
        </w:rPr>
        <w:t xml:space="preserve">بعض </w:t>
      </w:r>
      <w:r w:rsidRPr="00C17B7B">
        <w:rPr>
          <w:rFonts w:ascii="Traditional Arabic" w:hAnsi="Traditional Arabic"/>
          <w:rtl/>
        </w:rPr>
        <w:t>الإسرائيليات، دون تعقيب عليها.</w:t>
      </w:r>
    </w:p>
    <w:p w:rsidR="00D11232" w:rsidRPr="00C17B7B" w:rsidRDefault="00BD5ED5" w:rsidP="00BD5ED5">
      <w:pPr>
        <w:numPr>
          <w:ilvl w:val="0"/>
          <w:numId w:val="9"/>
        </w:numPr>
        <w:spacing w:after="200" w:line="276" w:lineRule="auto"/>
        <w:ind w:left="328" w:hanging="328"/>
        <w:contextualSpacing/>
        <w:rPr>
          <w:rFonts w:ascii="Traditional Arabic" w:hAnsi="Traditional Arabic"/>
        </w:rPr>
      </w:pPr>
      <w:r>
        <w:rPr>
          <w:rFonts w:ascii="Traditional Arabic" w:hAnsi="Traditional Arabic" w:hint="cs"/>
          <w:rtl/>
        </w:rPr>
        <w:t>يعتني ب</w:t>
      </w:r>
      <w:r w:rsidR="00D11232" w:rsidRPr="00C17B7B">
        <w:rPr>
          <w:rFonts w:ascii="Traditional Arabic" w:hAnsi="Traditional Arabic"/>
          <w:rtl/>
        </w:rPr>
        <w:t>ذكر أسباب النزول.</w:t>
      </w:r>
    </w:p>
    <w:p w:rsidR="00D11232" w:rsidRPr="00C17B7B" w:rsidRDefault="00D11232" w:rsidP="00C443D8">
      <w:pPr>
        <w:numPr>
          <w:ilvl w:val="0"/>
          <w:numId w:val="9"/>
        </w:numPr>
        <w:spacing w:after="200" w:line="276" w:lineRule="auto"/>
        <w:ind w:left="328" w:hanging="328"/>
        <w:contextualSpacing/>
        <w:rPr>
          <w:rFonts w:ascii="Traditional Arabic" w:hAnsi="Traditional Arabic"/>
        </w:rPr>
      </w:pPr>
      <w:r w:rsidRPr="00C17B7B">
        <w:rPr>
          <w:rFonts w:ascii="Traditional Arabic" w:hAnsi="Traditional Arabic"/>
          <w:rtl/>
        </w:rPr>
        <w:lastRenderedPageBreak/>
        <w:t>يذكر مذاهب العلماء الفقهية في معنى الآية دون إسهاب، و لا يرجح إلا نادراً، خصوصا في بعض آيات الأحكام.</w:t>
      </w:r>
    </w:p>
    <w:p w:rsidR="00D83538" w:rsidRPr="00272AC1" w:rsidRDefault="00D11232" w:rsidP="00272AC1">
      <w:pPr>
        <w:numPr>
          <w:ilvl w:val="0"/>
          <w:numId w:val="9"/>
        </w:numPr>
        <w:spacing w:after="200" w:line="276" w:lineRule="auto"/>
        <w:ind w:left="328" w:hanging="328"/>
        <w:contextualSpacing/>
        <w:rPr>
          <w:rFonts w:ascii="Traditional Arabic" w:hAnsi="Traditional Arabic"/>
          <w:rtl/>
        </w:rPr>
      </w:pPr>
      <w:r w:rsidRPr="00C17B7B">
        <w:rPr>
          <w:rFonts w:ascii="Traditional Arabic" w:hAnsi="Traditional Arabic"/>
          <w:rtl/>
        </w:rPr>
        <w:t>يتسم تفسيره عموما بالاختصار.</w:t>
      </w:r>
    </w:p>
    <w:p w:rsidR="00D11232" w:rsidRPr="00C17B7B" w:rsidRDefault="00D11232" w:rsidP="004B7211">
      <w:pPr>
        <w:spacing w:line="276" w:lineRule="auto"/>
        <w:ind w:firstLine="0"/>
        <w:contextualSpacing/>
        <w:rPr>
          <w:rFonts w:ascii="Tahoma" w:eastAsia="Calibri" w:hAnsi="Tahoma"/>
          <w:color w:val="auto"/>
          <w:rtl/>
        </w:rPr>
      </w:pPr>
      <w:r w:rsidRPr="00C17B7B">
        <w:rPr>
          <w:rFonts w:ascii="Traditional Arabic" w:eastAsia="Calibri" w:hAnsi="Traditional Arabic" w:hint="cs"/>
          <w:color w:val="auto"/>
          <w:rtl/>
        </w:rPr>
        <w:t>ولعلِّي أضيف هنا بعض ما تبين لي من منهجه من خلال الجزء المحقق:</w:t>
      </w:r>
    </w:p>
    <w:p w:rsidR="001F3EEE" w:rsidRPr="007A478E" w:rsidRDefault="00D11232" w:rsidP="007A478E">
      <w:pPr>
        <w:numPr>
          <w:ilvl w:val="0"/>
          <w:numId w:val="10"/>
        </w:numPr>
        <w:spacing w:after="200" w:line="276" w:lineRule="auto"/>
        <w:ind w:left="0" w:firstLine="0"/>
        <w:contextualSpacing/>
        <w:rPr>
          <w:rFonts w:ascii="Traditional Arabic" w:hAnsi="Traditional Arabic"/>
          <w:b/>
          <w:bCs/>
        </w:rPr>
      </w:pPr>
      <w:r w:rsidRPr="00C17B7B">
        <w:rPr>
          <w:rFonts w:ascii="Traditional Arabic" w:hAnsi="Traditional Arabic" w:hint="cs"/>
          <w:b/>
          <w:bCs/>
          <w:rtl/>
        </w:rPr>
        <w:t>أولا:</w:t>
      </w:r>
      <w:r w:rsidRPr="00C17B7B">
        <w:rPr>
          <w:rFonts w:ascii="Traditional Arabic" w:hAnsi="Traditional Arabic"/>
          <w:b/>
          <w:bCs/>
          <w:rtl/>
        </w:rPr>
        <w:t xml:space="preserve"> منهج ابن الجوزي في التفسير بالمأثور:</w:t>
      </w:r>
    </w:p>
    <w:p w:rsidR="00391E89" w:rsidRDefault="00D11232" w:rsidP="001F3EEE">
      <w:pPr>
        <w:numPr>
          <w:ilvl w:val="0"/>
          <w:numId w:val="11"/>
        </w:numPr>
        <w:spacing w:after="200" w:line="276" w:lineRule="auto"/>
        <w:ind w:left="0" w:firstLine="0"/>
        <w:contextualSpacing/>
        <w:jc w:val="lowKashida"/>
        <w:rPr>
          <w:rFonts w:ascii="Traditional Arabic" w:eastAsia="Calibri" w:hAnsi="Traditional Arabic"/>
          <w:color w:val="auto"/>
        </w:rPr>
      </w:pPr>
      <w:r w:rsidRPr="00C17B7B">
        <w:rPr>
          <w:rFonts w:ascii="Traditional Arabic" w:eastAsia="Calibri" w:hAnsi="Traditional Arabic"/>
          <w:color w:val="auto"/>
          <w:rtl/>
        </w:rPr>
        <w:t>تفسير القرآن بالقرآن:</w:t>
      </w:r>
      <w:r w:rsidR="00391E89">
        <w:rPr>
          <w:rFonts w:ascii="Traditional Arabic" w:eastAsia="Calibri" w:hAnsi="Traditional Arabic" w:hint="cs"/>
          <w:color w:val="auto"/>
          <w:rtl/>
        </w:rPr>
        <w:t xml:space="preserve"> مثاله:</w:t>
      </w:r>
      <w:r w:rsidR="007A478E">
        <w:rPr>
          <w:rFonts w:ascii="Traditional Arabic" w:eastAsia="Calibri" w:hAnsi="Traditional Arabic" w:hint="cs"/>
          <w:color w:val="auto"/>
          <w:rtl/>
        </w:rPr>
        <w:t xml:space="preserve"> أن يذكر</w:t>
      </w:r>
      <w:r w:rsidR="00231805">
        <w:rPr>
          <w:rFonts w:ascii="Traditional Arabic" w:eastAsia="Calibri" w:hAnsi="Traditional Arabic" w:hint="cs"/>
          <w:color w:val="auto"/>
          <w:rtl/>
        </w:rPr>
        <w:t xml:space="preserve"> ما يتحقق فيه معنى البيان عن شيء في الآية</w:t>
      </w:r>
      <w:r w:rsidR="001F3EEE">
        <w:rPr>
          <w:rFonts w:ascii="Traditional Arabic" w:eastAsia="Calibri" w:hAnsi="Traditional Arabic" w:hint="cs"/>
          <w:color w:val="auto"/>
          <w:rtl/>
        </w:rPr>
        <w:t>,</w:t>
      </w:r>
      <w:r w:rsidR="00231805">
        <w:rPr>
          <w:rFonts w:ascii="Traditional Arabic" w:eastAsia="Calibri" w:hAnsi="Traditional Arabic" w:hint="cs"/>
          <w:color w:val="auto"/>
          <w:rtl/>
        </w:rPr>
        <w:t xml:space="preserve"> ومن ذلك:</w:t>
      </w:r>
      <w:r w:rsidRPr="00C17B7B">
        <w:rPr>
          <w:rFonts w:ascii="Traditional Arabic" w:eastAsia="Calibri" w:hAnsi="Traditional Arabic"/>
          <w:color w:val="auto"/>
          <w:rtl/>
        </w:rPr>
        <w:t xml:space="preserve"> </w:t>
      </w:r>
    </w:p>
    <w:p w:rsidR="00627088" w:rsidRPr="00627088" w:rsidRDefault="00627088" w:rsidP="00627088">
      <w:pPr>
        <w:spacing w:after="200" w:line="276" w:lineRule="auto"/>
        <w:ind w:firstLine="0"/>
        <w:contextualSpacing/>
        <w:jc w:val="lowKashida"/>
        <w:rPr>
          <w:rFonts w:ascii="Traditional Arabic" w:eastAsia="Calibri" w:hAnsi="Traditional Arabic"/>
          <w:color w:val="auto"/>
          <w:rtl/>
        </w:rPr>
      </w:pPr>
      <w:r>
        <w:rPr>
          <w:rFonts w:ascii="Traditional Arabic" w:eastAsia="Calibri" w:hAnsi="Traditional Arabic" w:hint="cs"/>
          <w:color w:val="auto"/>
          <w:rtl/>
        </w:rPr>
        <w:t xml:space="preserve">1- </w:t>
      </w:r>
      <w:r>
        <w:rPr>
          <w:rFonts w:ascii="Traditional Arabic" w:hAnsi="Traditional Arabic" w:hint="cs"/>
          <w:color w:val="0D0D0D" w:themeColor="text1" w:themeTint="F2"/>
          <w:rtl/>
          <w:lang w:eastAsia="en-US"/>
        </w:rPr>
        <w:t xml:space="preserve"> </w:t>
      </w:r>
      <w:r w:rsidR="00391E89" w:rsidRPr="00627088">
        <w:rPr>
          <w:rFonts w:ascii="Traditional Arabic" w:hAnsi="Traditional Arabic" w:hint="cs"/>
          <w:color w:val="0D0D0D" w:themeColor="text1" w:themeTint="F2"/>
          <w:rtl/>
          <w:lang w:eastAsia="en-US"/>
        </w:rPr>
        <w:t>قال ابن الجوزي رحمه الله</w:t>
      </w:r>
      <w:r w:rsidR="00EC3343" w:rsidRPr="00627088">
        <w:rPr>
          <w:rFonts w:ascii="Traditional Arabic" w:hAnsi="Traditional Arabic" w:hint="cs"/>
          <w:rtl/>
        </w:rPr>
        <w:t xml:space="preserve"> عند </w:t>
      </w:r>
      <w:r w:rsidR="00EC3343" w:rsidRPr="00627088">
        <w:rPr>
          <w:rFonts w:ascii="Traditional Arabic" w:hAnsi="Traditional Arabic"/>
          <w:rtl/>
        </w:rPr>
        <w:t>قوله تعالى</w:t>
      </w:r>
      <w:r w:rsidR="00391E89" w:rsidRPr="00627088">
        <w:rPr>
          <w:rFonts w:ascii="Traditional Arabic" w:hAnsi="Traditional Arabic" w:hint="cs"/>
          <w:color w:val="0D0D0D" w:themeColor="text1" w:themeTint="F2"/>
          <w:rtl/>
          <w:lang w:eastAsia="en-US"/>
        </w:rPr>
        <w:t xml:space="preserve">: </w:t>
      </w:r>
      <w:r w:rsidR="00EC3343" w:rsidRPr="00627088">
        <w:rPr>
          <w:rFonts w:ascii="QCF_BSML" w:hAnsi="QCF_BSML" w:cs="QCF_BSML"/>
          <w:color w:val="0D0D0D" w:themeColor="text1" w:themeTint="F2"/>
          <w:sz w:val="32"/>
          <w:szCs w:val="32"/>
          <w:rtl/>
          <w:lang w:eastAsia="en-US"/>
        </w:rPr>
        <w:t>ﭽ</w:t>
      </w:r>
      <w:r w:rsidR="00EC3343" w:rsidRPr="00627088">
        <w:rPr>
          <w:rFonts w:ascii="QCF_P288" w:hAnsi="QCF_P288" w:cs="QCF_P288"/>
          <w:color w:val="0D0D0D" w:themeColor="text1" w:themeTint="F2"/>
          <w:sz w:val="32"/>
          <w:szCs w:val="32"/>
          <w:rtl/>
          <w:lang w:eastAsia="en-US"/>
        </w:rPr>
        <w:t>ﭹ ﭺ ﭻ ﭼ</w:t>
      </w:r>
      <w:r w:rsidR="00EC3343" w:rsidRPr="00627088">
        <w:rPr>
          <w:rFonts w:ascii="QCF_BSML" w:hAnsi="QCF_BSML" w:cs="QCF_BSML"/>
          <w:color w:val="0D0D0D" w:themeColor="text1" w:themeTint="F2"/>
          <w:sz w:val="32"/>
          <w:szCs w:val="32"/>
          <w:rtl/>
          <w:lang w:eastAsia="en-US"/>
        </w:rPr>
        <w:t>ﭼ</w:t>
      </w:r>
      <w:r w:rsidR="00376DD3">
        <w:rPr>
          <w:rFonts w:ascii="Traditional Arabic" w:hAnsi="Traditional Arabic" w:hint="cs"/>
          <w:color w:val="0D0D0D" w:themeColor="text1" w:themeTint="F2"/>
          <w:sz w:val="32"/>
          <w:szCs w:val="32"/>
          <w:rtl/>
          <w:lang w:eastAsia="en-US"/>
        </w:rPr>
        <w:t xml:space="preserve"> [الإسراء:61]</w:t>
      </w:r>
      <w:r w:rsidR="00EC3343" w:rsidRPr="00627088">
        <w:rPr>
          <w:rFonts w:ascii="QCF_BSML" w:hAnsi="QCF_BSML" w:cs="QCF_BSML"/>
          <w:color w:val="0D0D0D" w:themeColor="text1" w:themeTint="F2"/>
          <w:sz w:val="47"/>
          <w:szCs w:val="47"/>
          <w:rtl/>
          <w:lang w:eastAsia="en-US"/>
        </w:rPr>
        <w:t xml:space="preserve"> </w:t>
      </w:r>
      <w:r w:rsidR="00EC3343" w:rsidRPr="00627088">
        <w:rPr>
          <w:rFonts w:ascii="Traditional Arabic" w:hAnsi="Traditional Arabic" w:hint="cs"/>
          <w:color w:val="0D0D0D" w:themeColor="text1" w:themeTint="F2"/>
          <w:rtl/>
          <w:lang w:eastAsia="en-US"/>
        </w:rPr>
        <w:t xml:space="preserve"> </w:t>
      </w:r>
      <w:r w:rsidR="00391E89" w:rsidRPr="00627088">
        <w:rPr>
          <w:rFonts w:ascii="Traditional Arabic" w:hAnsi="Traditional Arabic"/>
          <w:color w:val="0D0D0D" w:themeColor="text1" w:themeTint="F2"/>
          <w:rtl/>
          <w:lang w:eastAsia="en-US"/>
        </w:rPr>
        <w:t xml:space="preserve">فأمّا قوله تعالى: </w:t>
      </w:r>
      <w:r w:rsidR="00391E89" w:rsidRPr="00627088">
        <w:rPr>
          <w:rFonts w:ascii="QCF_BSML" w:hAnsi="QCF_BSML" w:cs="QCF_BSML"/>
          <w:color w:val="0D0D0D" w:themeColor="text1" w:themeTint="F2"/>
          <w:sz w:val="32"/>
          <w:szCs w:val="32"/>
          <w:rtl/>
          <w:lang w:eastAsia="en-US"/>
        </w:rPr>
        <w:t>ﭽ</w:t>
      </w:r>
      <w:r w:rsidR="00391E89" w:rsidRPr="00627088">
        <w:rPr>
          <w:rFonts w:ascii="QCF_P288" w:hAnsi="QCF_P288" w:cs="QCF_P288"/>
          <w:color w:val="0D0D0D" w:themeColor="text1" w:themeTint="F2"/>
          <w:sz w:val="32"/>
          <w:szCs w:val="32"/>
          <w:rtl/>
          <w:lang w:eastAsia="en-US"/>
        </w:rPr>
        <w:t>ﭻ ﭼ</w:t>
      </w:r>
      <w:r w:rsidR="00391E89" w:rsidRPr="00627088">
        <w:rPr>
          <w:rFonts w:ascii="QCF_P288" w:hAnsi="QCF_P288" w:cs="QCF_P288" w:hint="cs"/>
          <w:color w:val="0D0D0D" w:themeColor="text1" w:themeTint="F2"/>
          <w:sz w:val="32"/>
          <w:szCs w:val="32"/>
          <w:rtl/>
          <w:lang w:eastAsia="en-US"/>
        </w:rPr>
        <w:t xml:space="preserve"> </w:t>
      </w:r>
      <w:r w:rsidR="00391E89" w:rsidRPr="00627088">
        <w:rPr>
          <w:rFonts w:ascii="QCF_BSML" w:hAnsi="QCF_BSML" w:cs="QCF_BSML"/>
          <w:color w:val="0D0D0D" w:themeColor="text1" w:themeTint="F2"/>
          <w:sz w:val="32"/>
          <w:szCs w:val="32"/>
          <w:rtl/>
          <w:lang w:eastAsia="en-US"/>
        </w:rPr>
        <w:t>ﭼ</w:t>
      </w:r>
      <w:r w:rsidR="00391E89" w:rsidRPr="00627088">
        <w:rPr>
          <w:rFonts w:ascii="QCF_BSML" w:hAnsi="QCF_BSML" w:cs="QCF_BSML" w:hint="cs"/>
          <w:color w:val="0D0D0D" w:themeColor="text1" w:themeTint="F2"/>
          <w:sz w:val="32"/>
          <w:szCs w:val="32"/>
          <w:rtl/>
          <w:lang w:eastAsia="en-US"/>
        </w:rPr>
        <w:t xml:space="preserve">    </w:t>
      </w:r>
      <w:r w:rsidR="00391E89" w:rsidRPr="00627088">
        <w:rPr>
          <w:rFonts w:ascii="QCF_BSML" w:hAnsi="QCF_BSML" w:cs="QCF_BSML"/>
          <w:color w:val="0D0D0D" w:themeColor="text1" w:themeTint="F2"/>
          <w:sz w:val="32"/>
          <w:szCs w:val="32"/>
          <w:rtl/>
          <w:lang w:eastAsia="en-US"/>
        </w:rPr>
        <w:t xml:space="preserve"> </w:t>
      </w:r>
      <w:r w:rsidR="00391E89" w:rsidRPr="00627088">
        <w:rPr>
          <w:rFonts w:ascii="Traditional Arabic" w:hAnsi="Traditional Arabic"/>
          <w:color w:val="0D0D0D" w:themeColor="text1" w:themeTint="F2"/>
          <w:rtl/>
          <w:lang w:eastAsia="en-US"/>
        </w:rPr>
        <w:t>فالمعنى: التي ذكرت في القرآن، وهي</w:t>
      </w:r>
      <w:r w:rsidR="00391E89" w:rsidRPr="00627088">
        <w:rPr>
          <w:rFonts w:ascii="Traditional Arabic" w:hAnsi="Traditional Arabic" w:hint="cs"/>
          <w:color w:val="0D0D0D" w:themeColor="text1" w:themeTint="F2"/>
          <w:rtl/>
          <w:lang w:eastAsia="en-US"/>
        </w:rPr>
        <w:t xml:space="preserve"> </w:t>
      </w:r>
      <w:r w:rsidR="00391E89" w:rsidRPr="00627088">
        <w:rPr>
          <w:rFonts w:ascii="Traditional Arabic" w:hAnsi="Traditional Arabic"/>
          <w:color w:val="0D0D0D" w:themeColor="text1" w:themeTint="F2"/>
          <w:rtl/>
          <w:lang w:eastAsia="en-US"/>
        </w:rPr>
        <w:t>مذكورة في قوله:</w:t>
      </w:r>
      <w:r w:rsidR="00391E89" w:rsidRPr="00627088">
        <w:rPr>
          <w:rFonts w:ascii="QCF_BSML" w:hAnsi="QCF_BSML" w:cs="QCF_BSML"/>
          <w:color w:val="0D0D0D" w:themeColor="text1" w:themeTint="F2"/>
          <w:sz w:val="32"/>
          <w:szCs w:val="32"/>
          <w:rtl/>
          <w:lang w:eastAsia="en-US"/>
        </w:rPr>
        <w:t xml:space="preserve"> ﭽ</w:t>
      </w:r>
      <w:r w:rsidR="00391E89" w:rsidRPr="00627088">
        <w:rPr>
          <w:rFonts w:ascii="QCF_P498" w:hAnsi="QCF_P498" w:cs="QCF_P498"/>
          <w:color w:val="0D0D0D" w:themeColor="text1" w:themeTint="F2"/>
          <w:sz w:val="32"/>
          <w:szCs w:val="32"/>
          <w:rtl/>
          <w:lang w:eastAsia="en-US"/>
        </w:rPr>
        <w:t>ﭬ ﭭ ﭮ  ﭯ ﭰ ﭱﭲ</w:t>
      </w:r>
      <w:r w:rsidR="00391E89" w:rsidRPr="00627088">
        <w:rPr>
          <w:rFonts w:ascii="QCF_BSML" w:hAnsi="QCF_BSML" w:cs="QCF_BSML"/>
          <w:color w:val="0D0D0D" w:themeColor="text1" w:themeTint="F2"/>
          <w:sz w:val="32"/>
          <w:szCs w:val="32"/>
          <w:rtl/>
          <w:lang w:eastAsia="en-US"/>
        </w:rPr>
        <w:t>ﭼ</w:t>
      </w:r>
      <w:r w:rsidR="00391E89" w:rsidRPr="00627088">
        <w:rPr>
          <w:rFonts w:ascii="Traditional Arabic" w:hAnsi="Traditional Arabic"/>
          <w:color w:val="0D0D0D" w:themeColor="text1" w:themeTint="F2"/>
          <w:sz w:val="32"/>
          <w:szCs w:val="32"/>
          <w:rtl/>
          <w:lang w:eastAsia="en-US"/>
        </w:rPr>
        <w:t>[ الدخان: ٤٣ – ٤٤]</w:t>
      </w:r>
      <w:r w:rsidR="00231805" w:rsidRPr="00231805">
        <w:rPr>
          <w:rStyle w:val="ae"/>
          <w:rtl/>
        </w:rPr>
        <w:t>(</w:t>
      </w:r>
      <w:r w:rsidR="00231805">
        <w:rPr>
          <w:rStyle w:val="ae"/>
          <w:rtl/>
        </w:rPr>
        <w:footnoteReference w:id="120"/>
      </w:r>
      <w:r w:rsidR="00231805" w:rsidRPr="00231805">
        <w:rPr>
          <w:rStyle w:val="ae"/>
          <w:rtl/>
        </w:rPr>
        <w:t>)</w:t>
      </w:r>
      <w:r w:rsidR="00EC3343" w:rsidRPr="00627088">
        <w:rPr>
          <w:rFonts w:ascii="Traditional Arabic" w:hAnsi="Traditional Arabic" w:hint="cs"/>
          <w:color w:val="0D0D0D" w:themeColor="text1" w:themeTint="F2"/>
          <w:sz w:val="32"/>
          <w:szCs w:val="32"/>
          <w:rtl/>
          <w:lang w:eastAsia="en-US"/>
        </w:rPr>
        <w:t>.</w:t>
      </w:r>
    </w:p>
    <w:p w:rsidR="001D1CA3" w:rsidRPr="00B05DDF" w:rsidRDefault="00D83538" w:rsidP="00376DD3">
      <w:pPr>
        <w:spacing w:after="200" w:line="276" w:lineRule="auto"/>
        <w:ind w:firstLine="0"/>
        <w:contextualSpacing/>
        <w:jc w:val="lowKashida"/>
        <w:rPr>
          <w:rFonts w:ascii="Traditional Arabic" w:hAnsi="Traditional Arabic"/>
          <w:color w:val="0D0D0D" w:themeColor="text1" w:themeTint="F2"/>
          <w:rtl/>
          <w:lang w:eastAsia="en-US"/>
        </w:rPr>
      </w:pPr>
      <w:r>
        <w:rPr>
          <w:rFonts w:ascii="Traditional Arabic" w:hAnsi="Traditional Arabic" w:hint="cs"/>
          <w:rtl/>
        </w:rPr>
        <w:t>2</w:t>
      </w:r>
      <w:r w:rsidR="00627088">
        <w:rPr>
          <w:rFonts w:ascii="Traditional Arabic" w:hAnsi="Traditional Arabic" w:hint="cs"/>
          <w:rtl/>
        </w:rPr>
        <w:t xml:space="preserve">- </w:t>
      </w:r>
      <w:r w:rsidR="001D1CA3">
        <w:rPr>
          <w:rFonts w:ascii="Traditional Arabic" w:hAnsi="Traditional Arabic" w:hint="cs"/>
          <w:rtl/>
        </w:rPr>
        <w:t xml:space="preserve">قال رحمه الله عند </w:t>
      </w:r>
      <w:r w:rsidR="001D1CA3" w:rsidRPr="001D1CA3">
        <w:rPr>
          <w:rFonts w:ascii="Traditional Arabic" w:hAnsi="Traditional Arabic"/>
          <w:rtl/>
        </w:rPr>
        <w:t xml:space="preserve">قوله تعالى: </w:t>
      </w:r>
      <w:r w:rsidR="00EC3343">
        <w:rPr>
          <w:rFonts w:ascii="Traditional Arabic" w:hAnsi="Traditional Arabic" w:hint="cs"/>
          <w:color w:val="auto"/>
          <w:rtl/>
          <w:lang w:eastAsia="en-US"/>
        </w:rPr>
        <w:t>"</w:t>
      </w:r>
      <w:r w:rsidR="001D1CA3" w:rsidRPr="001D1CA3">
        <w:rPr>
          <w:rFonts w:ascii="QCF_BSML" w:hAnsi="QCF_BSML" w:cs="QCF_BSML"/>
          <w:color w:val="auto"/>
          <w:sz w:val="32"/>
          <w:szCs w:val="32"/>
          <w:rtl/>
          <w:lang w:eastAsia="en-US"/>
        </w:rPr>
        <w:t>ﭽ</w:t>
      </w:r>
      <w:r w:rsidR="001D1CA3" w:rsidRPr="001D1CA3">
        <w:rPr>
          <w:rFonts w:ascii="QCF_P300" w:hAnsi="QCF_P300" w:cs="QCF_P300"/>
          <w:color w:val="auto"/>
          <w:sz w:val="32"/>
          <w:szCs w:val="32"/>
          <w:rtl/>
          <w:lang w:eastAsia="en-US"/>
        </w:rPr>
        <w:t xml:space="preserve"> ﭼ  ﭽ  ﭾ  ﭿ </w:t>
      </w:r>
      <w:r w:rsidR="001D1CA3" w:rsidRPr="001D1CA3">
        <w:rPr>
          <w:rFonts w:ascii="QCF_BSML" w:hAnsi="QCF_BSML" w:cs="QCF_BSML"/>
          <w:color w:val="auto"/>
          <w:sz w:val="32"/>
          <w:szCs w:val="32"/>
          <w:rtl/>
          <w:lang w:eastAsia="en-US"/>
        </w:rPr>
        <w:t>ﭼ</w:t>
      </w:r>
      <w:r w:rsidR="001D1CA3" w:rsidRPr="001D1CA3">
        <w:rPr>
          <w:rFonts w:ascii="Traditional Arabic" w:hAnsi="Traditional Arabic"/>
          <w:rtl/>
        </w:rPr>
        <w:t xml:space="preserve"> </w:t>
      </w:r>
      <w:r w:rsidR="00376DD3">
        <w:rPr>
          <w:rFonts w:ascii="Traditional Arabic" w:hAnsi="Traditional Arabic" w:hint="cs"/>
          <w:color w:val="0D0D0D" w:themeColor="text1" w:themeTint="F2"/>
          <w:sz w:val="32"/>
          <w:szCs w:val="32"/>
          <w:rtl/>
          <w:lang w:eastAsia="en-US"/>
        </w:rPr>
        <w:t>[الكهف:57]</w:t>
      </w:r>
      <w:r w:rsidR="00376DD3" w:rsidRPr="00627088">
        <w:rPr>
          <w:rFonts w:ascii="QCF_BSML" w:hAnsi="QCF_BSML" w:cs="QCF_BSML"/>
          <w:color w:val="0D0D0D" w:themeColor="text1" w:themeTint="F2"/>
          <w:sz w:val="47"/>
          <w:szCs w:val="47"/>
          <w:rtl/>
          <w:lang w:eastAsia="en-US"/>
        </w:rPr>
        <w:t xml:space="preserve"> </w:t>
      </w:r>
      <w:r w:rsidR="001D1CA3" w:rsidRPr="001D1CA3">
        <w:rPr>
          <w:rFonts w:ascii="Traditional Arabic" w:hAnsi="Traditional Arabic"/>
          <w:rtl/>
        </w:rPr>
        <w:t>قال ابن عباس: يريد: المستهزئين والمقتسمين وأتباعهم.</w:t>
      </w:r>
      <w:r w:rsidR="00EC3343">
        <w:rPr>
          <w:rFonts w:ascii="Traditional Arabic" w:hAnsi="Traditional Arabic" w:hint="cs"/>
          <w:rtl/>
        </w:rPr>
        <w:t>...." إلى أن قال: "</w:t>
      </w:r>
      <w:r w:rsidR="001D1CA3" w:rsidRPr="001D1CA3">
        <w:rPr>
          <w:rFonts w:ascii="Traditional Arabic" w:hAnsi="Traditional Arabic"/>
          <w:rtl/>
        </w:rPr>
        <w:t xml:space="preserve">وقيل: جدالُهم: قولُهم: </w:t>
      </w:r>
      <w:r w:rsidR="001D1CA3" w:rsidRPr="001D1CA3">
        <w:rPr>
          <w:rFonts w:ascii="QCF_BSML" w:hAnsi="QCF_BSML" w:cs="QCF_BSML"/>
          <w:sz w:val="32"/>
          <w:szCs w:val="32"/>
          <w:rtl/>
          <w:lang w:eastAsia="en-US"/>
        </w:rPr>
        <w:t>ﭽ</w:t>
      </w:r>
      <w:r w:rsidR="001D1CA3" w:rsidRPr="001D1CA3">
        <w:rPr>
          <w:rFonts w:ascii="QCF_P286" w:hAnsi="QCF_P286" w:cs="QCF_P286"/>
          <w:sz w:val="32"/>
          <w:szCs w:val="32"/>
          <w:rtl/>
          <w:lang w:eastAsia="en-US"/>
        </w:rPr>
        <w:t>ﰌ  ﰍ ﰎ  ﰏ</w:t>
      </w:r>
      <w:r w:rsidR="001D1CA3" w:rsidRPr="001D1CA3">
        <w:rPr>
          <w:rFonts w:ascii="QCF_BSML" w:hAnsi="QCF_BSML" w:cs="QCF_BSML"/>
          <w:sz w:val="32"/>
          <w:szCs w:val="32"/>
          <w:rtl/>
          <w:lang w:eastAsia="en-US"/>
        </w:rPr>
        <w:t>ﭼ</w:t>
      </w:r>
      <w:r w:rsidR="001D1CA3" w:rsidRPr="001D1CA3">
        <w:rPr>
          <w:rFonts w:ascii="Arial" w:hAnsi="Arial" w:cs="Arial"/>
          <w:sz w:val="18"/>
          <w:szCs w:val="18"/>
          <w:rtl/>
          <w:lang w:eastAsia="en-US"/>
        </w:rPr>
        <w:t xml:space="preserve"> </w:t>
      </w:r>
      <w:r w:rsidR="001D1CA3" w:rsidRPr="00376DD3">
        <w:rPr>
          <w:rFonts w:ascii="Traditional Arabic" w:hAnsi="Traditional Arabic" w:hint="cs"/>
          <w:sz w:val="32"/>
          <w:szCs w:val="32"/>
          <w:rtl/>
        </w:rPr>
        <w:t>[</w:t>
      </w:r>
      <w:r w:rsidR="001D1CA3" w:rsidRPr="00376DD3">
        <w:rPr>
          <w:rFonts w:ascii="Traditional Arabic" w:hAnsi="Traditional Arabic"/>
          <w:sz w:val="32"/>
          <w:szCs w:val="32"/>
          <w:rtl/>
        </w:rPr>
        <w:t>سورة الإسراء:49</w:t>
      </w:r>
      <w:r w:rsidR="001D1CA3" w:rsidRPr="00376DD3">
        <w:rPr>
          <w:rFonts w:ascii="Traditional Arabic" w:hAnsi="Traditional Arabic" w:hint="cs"/>
          <w:sz w:val="32"/>
          <w:szCs w:val="32"/>
          <w:rtl/>
        </w:rPr>
        <w:t>]</w:t>
      </w:r>
      <w:r w:rsidR="001D1CA3" w:rsidRPr="00376DD3">
        <w:rPr>
          <w:rFonts w:ascii="Traditional Arabic" w:hAnsi="Traditional Arabic"/>
          <w:sz w:val="32"/>
          <w:szCs w:val="32"/>
          <w:rtl/>
        </w:rPr>
        <w:t>.</w:t>
      </w:r>
      <w:r w:rsidR="001D1CA3" w:rsidRPr="001D1CA3">
        <w:rPr>
          <w:vertAlign w:val="superscript"/>
          <w:rtl/>
        </w:rPr>
        <w:t xml:space="preserve"> </w:t>
      </w:r>
      <w:r w:rsidR="001D1CA3" w:rsidRPr="001D1CA3">
        <w:rPr>
          <w:rFonts w:ascii="QCF_BSML" w:hAnsi="QCF_BSML" w:cs="QCF_BSML"/>
          <w:sz w:val="32"/>
          <w:szCs w:val="32"/>
          <w:rtl/>
          <w:lang w:eastAsia="en-US"/>
        </w:rPr>
        <w:t xml:space="preserve">ﭽ </w:t>
      </w:r>
      <w:r w:rsidR="001D1CA3" w:rsidRPr="001D1CA3">
        <w:rPr>
          <w:rFonts w:ascii="QCF_P415" w:hAnsi="QCF_P415" w:cs="QCF_P415"/>
          <w:sz w:val="32"/>
          <w:szCs w:val="32"/>
          <w:rtl/>
          <w:lang w:eastAsia="en-US"/>
        </w:rPr>
        <w:t xml:space="preserve">ﯬ  ﯭ  ﯮ  ﯯ     </w:t>
      </w:r>
      <w:r w:rsidR="001D1CA3" w:rsidRPr="001D1CA3">
        <w:rPr>
          <w:rFonts w:ascii="QCF_BSML" w:hAnsi="QCF_BSML" w:cs="QCF_BSML"/>
          <w:sz w:val="32"/>
          <w:szCs w:val="32"/>
          <w:rtl/>
          <w:lang w:eastAsia="en-US"/>
        </w:rPr>
        <w:t>ﭼ</w:t>
      </w:r>
      <w:r w:rsidR="001D1CA3" w:rsidRPr="001D1CA3">
        <w:rPr>
          <w:rFonts w:ascii="Arial" w:hAnsi="Arial" w:cs="Arial"/>
          <w:sz w:val="18"/>
          <w:szCs w:val="18"/>
          <w:rtl/>
          <w:lang w:eastAsia="en-US"/>
        </w:rPr>
        <w:t xml:space="preserve"> </w:t>
      </w:r>
      <w:r w:rsidR="001D1CA3" w:rsidRPr="00376DD3">
        <w:rPr>
          <w:rFonts w:ascii="Traditional Arabic" w:hAnsi="Traditional Arabic" w:hint="cs"/>
          <w:sz w:val="32"/>
          <w:szCs w:val="32"/>
          <w:rtl/>
        </w:rPr>
        <w:t>[</w:t>
      </w:r>
      <w:r w:rsidR="001D1CA3" w:rsidRPr="00376DD3">
        <w:rPr>
          <w:rFonts w:ascii="Traditional Arabic" w:hAnsi="Traditional Arabic"/>
          <w:sz w:val="32"/>
          <w:szCs w:val="32"/>
          <w:rtl/>
        </w:rPr>
        <w:t>السجدة:10</w:t>
      </w:r>
      <w:r w:rsidR="001D1CA3" w:rsidRPr="00376DD3">
        <w:rPr>
          <w:rFonts w:ascii="Traditional Arabic" w:hAnsi="Traditional Arabic" w:hint="cs"/>
          <w:sz w:val="32"/>
          <w:szCs w:val="32"/>
          <w:rtl/>
        </w:rPr>
        <w:t>]</w:t>
      </w:r>
      <w:r w:rsidR="001D1CA3" w:rsidRPr="001D1CA3">
        <w:rPr>
          <w:rFonts w:ascii="Traditional Arabic" w:hAnsi="Traditional Arabic"/>
          <w:rtl/>
        </w:rPr>
        <w:t xml:space="preserve"> ونحو ذلك ليبطلوا به ما جاء في </w:t>
      </w:r>
      <w:r w:rsidR="001D1CA3" w:rsidRPr="00B05DDF">
        <w:rPr>
          <w:rFonts w:ascii="Traditional Arabic" w:hAnsi="Traditional Arabic"/>
          <w:rtl/>
        </w:rPr>
        <w:t>القرآن من ذِكْر البعث والجزاء</w:t>
      </w:r>
      <w:r w:rsidR="00EC3343" w:rsidRPr="00B05DDF">
        <w:rPr>
          <w:rFonts w:ascii="Traditional Arabic" w:hAnsi="Traditional Arabic"/>
          <w:rtl/>
        </w:rPr>
        <w:t>"</w:t>
      </w:r>
      <w:r w:rsidR="00376DD3" w:rsidRPr="00376DD3">
        <w:rPr>
          <w:rStyle w:val="ae"/>
          <w:rtl/>
        </w:rPr>
        <w:t>(</w:t>
      </w:r>
      <w:r w:rsidR="00376DD3">
        <w:rPr>
          <w:rStyle w:val="ae"/>
          <w:rtl/>
        </w:rPr>
        <w:footnoteReference w:id="121"/>
      </w:r>
      <w:r w:rsidR="00376DD3" w:rsidRPr="00376DD3">
        <w:rPr>
          <w:rStyle w:val="ae"/>
          <w:rtl/>
        </w:rPr>
        <w:t>)</w:t>
      </w:r>
      <w:r w:rsidR="00627088" w:rsidRPr="00B05DDF">
        <w:rPr>
          <w:rFonts w:ascii="Traditional Arabic" w:hAnsi="Traditional Arabic"/>
          <w:rtl/>
        </w:rPr>
        <w:t>.</w:t>
      </w:r>
    </w:p>
    <w:p w:rsidR="007B7CA9" w:rsidRDefault="007B7CA9" w:rsidP="00EC3343">
      <w:pPr>
        <w:spacing w:after="200" w:line="276" w:lineRule="auto"/>
        <w:ind w:firstLine="0"/>
        <w:contextualSpacing/>
        <w:jc w:val="lowKashida"/>
        <w:rPr>
          <w:rFonts w:ascii="Traditional Arabic" w:hAnsi="Traditional Arabic"/>
          <w:color w:val="0D0D0D" w:themeColor="text1" w:themeTint="F2"/>
          <w:sz w:val="32"/>
          <w:szCs w:val="32"/>
          <w:rtl/>
          <w:lang w:eastAsia="en-US"/>
        </w:rPr>
      </w:pPr>
    </w:p>
    <w:p w:rsidR="007B7CA9" w:rsidRDefault="00D11232" w:rsidP="00C443D8">
      <w:pPr>
        <w:numPr>
          <w:ilvl w:val="0"/>
          <w:numId w:val="11"/>
        </w:numPr>
        <w:spacing w:after="200" w:line="276" w:lineRule="auto"/>
        <w:ind w:left="0" w:firstLine="0"/>
        <w:contextualSpacing/>
        <w:jc w:val="lowKashida"/>
        <w:rPr>
          <w:rFonts w:ascii="Traditional Arabic" w:eastAsia="Calibri" w:hAnsi="Traditional Arabic"/>
          <w:color w:val="auto"/>
        </w:rPr>
      </w:pPr>
      <w:r w:rsidRPr="00C17B7B">
        <w:rPr>
          <w:rFonts w:ascii="Traditional Arabic" w:eastAsia="Calibri" w:hAnsi="Traditional Arabic"/>
          <w:color w:val="auto"/>
          <w:rtl/>
        </w:rPr>
        <w:t>تفسير القرآن بالسنة النبوية:</w:t>
      </w:r>
    </w:p>
    <w:p w:rsidR="00627088" w:rsidRDefault="00B17C96" w:rsidP="007B7CA9">
      <w:pPr>
        <w:spacing w:after="200" w:line="276" w:lineRule="auto"/>
        <w:ind w:firstLine="0"/>
        <w:contextualSpacing/>
        <w:jc w:val="lowKashida"/>
        <w:rPr>
          <w:rFonts w:ascii="Traditional Arabic" w:eastAsia="Calibri" w:hAnsi="Traditional Arabic"/>
          <w:color w:val="auto"/>
        </w:rPr>
      </w:pPr>
      <w:r>
        <w:rPr>
          <w:rFonts w:ascii="Traditional Arabic" w:eastAsia="Calibri" w:hAnsi="Traditional Arabic" w:hint="cs"/>
          <w:color w:val="auto"/>
          <w:rtl/>
        </w:rPr>
        <w:t xml:space="preserve"> ومن ذ</w:t>
      </w:r>
      <w:r w:rsidR="007A478E">
        <w:rPr>
          <w:rFonts w:ascii="Traditional Arabic" w:eastAsia="Calibri" w:hAnsi="Traditional Arabic" w:hint="cs"/>
          <w:color w:val="auto"/>
          <w:rtl/>
        </w:rPr>
        <w:t>ل</w:t>
      </w:r>
      <w:r w:rsidR="00BD5ED5">
        <w:rPr>
          <w:rFonts w:ascii="Traditional Arabic" w:eastAsia="Calibri" w:hAnsi="Traditional Arabic" w:hint="cs"/>
          <w:color w:val="auto"/>
          <w:rtl/>
        </w:rPr>
        <w:t>ك أن يذكر من السنة ما يوضح معنى</w:t>
      </w:r>
      <w:r>
        <w:rPr>
          <w:rFonts w:ascii="Traditional Arabic" w:eastAsia="Calibri" w:hAnsi="Traditional Arabic" w:hint="cs"/>
          <w:color w:val="auto"/>
          <w:rtl/>
        </w:rPr>
        <w:t xml:space="preserve"> في الآية</w:t>
      </w:r>
      <w:r w:rsidR="007B7CA9">
        <w:rPr>
          <w:rFonts w:ascii="Traditional Arabic" w:eastAsia="Calibri" w:hAnsi="Traditional Arabic" w:hint="cs"/>
          <w:color w:val="auto"/>
          <w:rtl/>
        </w:rPr>
        <w:t>,</w:t>
      </w:r>
      <w:r w:rsidR="007B7CA9" w:rsidRPr="007B7CA9">
        <w:rPr>
          <w:rFonts w:ascii="Traditional Arabic" w:hAnsi="Traditional Arabic" w:hint="cs"/>
          <w:rtl/>
        </w:rPr>
        <w:t xml:space="preserve"> </w:t>
      </w:r>
      <w:r w:rsidR="007B7CA9">
        <w:rPr>
          <w:rFonts w:ascii="Traditional Arabic" w:eastAsia="Calibri" w:hAnsi="Traditional Arabic" w:hint="cs"/>
          <w:color w:val="auto"/>
          <w:rtl/>
        </w:rPr>
        <w:t>مثاله</w:t>
      </w:r>
      <w:r w:rsidR="007B7CA9" w:rsidRPr="007B7CA9">
        <w:rPr>
          <w:rFonts w:ascii="Traditional Arabic" w:eastAsia="Calibri" w:hAnsi="Traditional Arabic" w:hint="cs"/>
          <w:color w:val="auto"/>
          <w:rtl/>
        </w:rPr>
        <w:t>:</w:t>
      </w:r>
    </w:p>
    <w:p w:rsidR="00627088" w:rsidRDefault="00627088" w:rsidP="00EF0AA7">
      <w:pPr>
        <w:spacing w:after="200" w:line="276" w:lineRule="auto"/>
        <w:ind w:firstLine="0"/>
        <w:contextualSpacing/>
        <w:jc w:val="lowKashida"/>
        <w:rPr>
          <w:rFonts w:ascii="Traditional Arabic" w:eastAsia="Calibri" w:hAnsi="Traditional Arabic"/>
          <w:color w:val="auto"/>
        </w:rPr>
      </w:pPr>
      <w:r>
        <w:rPr>
          <w:rFonts w:ascii="Traditional Arabic" w:hAnsi="Traditional Arabic" w:hint="cs"/>
          <w:rtl/>
        </w:rPr>
        <w:t xml:space="preserve">1-  قال رحمه الله عند </w:t>
      </w:r>
      <w:r w:rsidRPr="00014FE5">
        <w:rPr>
          <w:rFonts w:ascii="Traditional Arabic" w:hAnsi="Traditional Arabic"/>
          <w:rtl/>
        </w:rPr>
        <w:t xml:space="preserve">قوله تعالى: </w:t>
      </w:r>
      <w:r w:rsidRPr="00014FE5">
        <w:rPr>
          <w:rFonts w:ascii="QCF_BSML" w:hAnsi="QCF_BSML" w:cs="QCF_BSML"/>
          <w:color w:val="auto"/>
          <w:sz w:val="32"/>
          <w:szCs w:val="32"/>
          <w:rtl/>
          <w:lang w:eastAsia="en-US"/>
        </w:rPr>
        <w:t>ﭽ</w:t>
      </w:r>
      <w:r w:rsidRPr="00014FE5">
        <w:rPr>
          <w:rFonts w:ascii="QCF_P299" w:hAnsi="QCF_P299" w:cs="QCF_P299"/>
          <w:color w:val="auto"/>
          <w:sz w:val="32"/>
          <w:szCs w:val="32"/>
          <w:rtl/>
          <w:lang w:eastAsia="en-US"/>
        </w:rPr>
        <w:t xml:space="preserve"> ﭗ  ﭘ</w:t>
      </w:r>
      <w:r w:rsidRPr="00014FE5">
        <w:rPr>
          <w:rFonts w:ascii="QCF_BSML" w:hAnsi="QCF_BSML" w:cs="QCF_BSML"/>
          <w:color w:val="auto"/>
          <w:sz w:val="32"/>
          <w:szCs w:val="32"/>
          <w:rtl/>
          <w:lang w:eastAsia="en-US"/>
        </w:rPr>
        <w:t xml:space="preserve"> ﭼ</w:t>
      </w:r>
      <w:r w:rsidR="00EF0AA7">
        <w:rPr>
          <w:rFonts w:ascii="Traditional Arabic" w:hAnsi="Traditional Arabic" w:hint="cs"/>
          <w:color w:val="0D0D0D" w:themeColor="text1" w:themeTint="F2"/>
          <w:sz w:val="32"/>
          <w:szCs w:val="32"/>
          <w:rtl/>
          <w:lang w:eastAsia="en-US"/>
        </w:rPr>
        <w:t>[الكهف:46]</w:t>
      </w:r>
      <w:r w:rsidR="00EF0AA7" w:rsidRPr="00627088">
        <w:rPr>
          <w:rFonts w:ascii="QCF_BSML" w:hAnsi="QCF_BSML" w:cs="QCF_BSML"/>
          <w:color w:val="0D0D0D" w:themeColor="text1" w:themeTint="F2"/>
          <w:sz w:val="47"/>
          <w:szCs w:val="47"/>
          <w:rtl/>
          <w:lang w:eastAsia="en-US"/>
        </w:rPr>
        <w:t xml:space="preserve"> </w:t>
      </w:r>
      <w:r w:rsidRPr="00014FE5">
        <w:rPr>
          <w:rFonts w:ascii="QCF_P299" w:hAnsi="QCF_P299" w:cs="QCF_P299"/>
          <w:color w:val="auto"/>
          <w:sz w:val="32"/>
          <w:szCs w:val="32"/>
          <w:rtl/>
          <w:lang w:eastAsia="en-US"/>
        </w:rPr>
        <w:t xml:space="preserve">  </w:t>
      </w:r>
      <w:r>
        <w:rPr>
          <w:rFonts w:ascii="Traditional Arabic" w:hAnsi="Traditional Arabic" w:hint="cs"/>
          <w:rtl/>
        </w:rPr>
        <w:t xml:space="preserve"> </w:t>
      </w:r>
      <w:r w:rsidRPr="00014FE5">
        <w:rPr>
          <w:rFonts w:ascii="Traditional Arabic" w:hAnsi="Traditional Arabic"/>
          <w:rtl/>
        </w:rPr>
        <w:t>فيها خمسة أقوال: أحدها: أنها «سبحان الله، والحمد لله، ولا إِله إِلا</w:t>
      </w:r>
      <w:r w:rsidRPr="00014FE5">
        <w:rPr>
          <w:rFonts w:ascii="Traditional Arabic" w:hAnsi="Traditional Arabic" w:hint="cs"/>
          <w:rtl/>
        </w:rPr>
        <w:t xml:space="preserve"> </w:t>
      </w:r>
      <w:r w:rsidRPr="00014FE5">
        <w:rPr>
          <w:rFonts w:ascii="Traditional Arabic" w:hAnsi="Traditional Arabic"/>
          <w:rtl/>
        </w:rPr>
        <w:t>الله، والله أكبر»</w:t>
      </w:r>
      <w:r w:rsidRPr="00014FE5">
        <w:rPr>
          <w:rFonts w:ascii="Traditional Arabic" w:hAnsi="Traditional Arabic" w:hint="cs"/>
          <w:rtl/>
        </w:rPr>
        <w:t xml:space="preserve">. </w:t>
      </w:r>
      <w:r w:rsidRPr="00014FE5">
        <w:rPr>
          <w:rFonts w:ascii="Traditional Arabic" w:hAnsi="Traditional Arabic"/>
          <w:rtl/>
        </w:rPr>
        <w:t xml:space="preserve">روى أبو هريرة عن رسول </w:t>
      </w:r>
      <w:r w:rsidRPr="00014FE5">
        <w:rPr>
          <w:rFonts w:ascii="Traditional Arabic" w:hAnsi="Traditional Arabic"/>
          <w:rtl/>
        </w:rPr>
        <w:lastRenderedPageBreak/>
        <w:t xml:space="preserve">الله </w:t>
      </w:r>
      <w:r w:rsidRPr="00014FE5">
        <w:rPr>
          <w:rFonts w:ascii="Traditional Arabic" w:hAnsi="Traditional Arabic"/>
        </w:rPr>
        <w:t xml:space="preserve"> </w:t>
      </w:r>
      <w:r w:rsidRPr="00014FE5">
        <w:rPr>
          <w:rFonts w:ascii="Traditional Arabic" w:hAnsi="Traditional Arabic"/>
        </w:rPr>
        <w:sym w:font="AGA Arabesque" w:char="F072"/>
      </w:r>
      <w:r w:rsidR="00BD5ED5">
        <w:rPr>
          <w:rFonts w:ascii="Traditional Arabic" w:hAnsi="Traditional Arabic"/>
          <w:rtl/>
        </w:rPr>
        <w:t>أنه قال: «إِن عجزتم عن الليل</w:t>
      </w:r>
      <w:r w:rsidRPr="00014FE5">
        <w:rPr>
          <w:rFonts w:ascii="Traditional Arabic" w:hAnsi="Traditional Arabic"/>
          <w:rtl/>
        </w:rPr>
        <w:t xml:space="preserve"> أن  تكابدوه، وعن العدوِّ أن تجاهدوه، فلا تعجِزوا عن قول: «سبحان الله، والحمد لله، ولا إِله إِلا الله، والله أكبر، فقولوها، فإنَّهن الباقيات الصالحات»</w:t>
      </w:r>
      <w:r w:rsidR="00EF0AA7" w:rsidRPr="00EF0AA7">
        <w:rPr>
          <w:rStyle w:val="ae"/>
          <w:rtl/>
        </w:rPr>
        <w:t>(</w:t>
      </w:r>
      <w:r w:rsidR="00EF0AA7">
        <w:rPr>
          <w:rStyle w:val="ae"/>
          <w:rtl/>
        </w:rPr>
        <w:footnoteReference w:id="122"/>
      </w:r>
      <w:r w:rsidR="00EF0AA7" w:rsidRPr="00EF0AA7">
        <w:rPr>
          <w:rStyle w:val="ae"/>
          <w:rtl/>
        </w:rPr>
        <w:t>)</w:t>
      </w:r>
      <w:r w:rsidRPr="00014FE5">
        <w:rPr>
          <w:rFonts w:ascii="Traditional Arabic" w:hAnsi="Traditional Arabic" w:hint="cs"/>
          <w:rtl/>
        </w:rPr>
        <w:t>.</w:t>
      </w:r>
    </w:p>
    <w:p w:rsidR="00627088" w:rsidRDefault="00627088" w:rsidP="00EF0AA7">
      <w:pPr>
        <w:spacing w:after="200" w:line="276" w:lineRule="auto"/>
        <w:ind w:firstLine="0"/>
        <w:jc w:val="lowKashida"/>
        <w:rPr>
          <w:rFonts w:ascii="Traditional Arabic" w:hAnsi="Traditional Arabic"/>
          <w:rtl/>
        </w:rPr>
      </w:pPr>
      <w:r>
        <w:rPr>
          <w:rFonts w:ascii="Traditional Arabic" w:eastAsia="Calibri" w:hAnsi="Traditional Arabic" w:hint="cs"/>
          <w:rtl/>
        </w:rPr>
        <w:t xml:space="preserve">2- </w:t>
      </w:r>
      <w:r w:rsidR="008032BA">
        <w:rPr>
          <w:rFonts w:ascii="Traditional Arabic" w:hAnsi="Traditional Arabic" w:hint="cs"/>
          <w:rtl/>
        </w:rPr>
        <w:t xml:space="preserve"> قال رحمه الله عند </w:t>
      </w:r>
      <w:r w:rsidR="008032BA" w:rsidRPr="008032BA">
        <w:rPr>
          <w:rFonts w:ascii="Traditional Arabic" w:hAnsi="Traditional Arabic"/>
          <w:rtl/>
        </w:rPr>
        <w:t xml:space="preserve">قوله تعالى: </w:t>
      </w:r>
      <w:r w:rsidR="008032BA" w:rsidRPr="008032BA">
        <w:rPr>
          <w:rFonts w:ascii="QCF_BSML" w:hAnsi="QCF_BSML" w:cs="QCF_BSML"/>
          <w:color w:val="auto"/>
          <w:sz w:val="32"/>
          <w:szCs w:val="32"/>
          <w:rtl/>
          <w:lang w:eastAsia="en-US"/>
        </w:rPr>
        <w:t>ﭽ</w:t>
      </w:r>
      <w:r w:rsidR="00EF0AA7">
        <w:rPr>
          <w:rFonts w:ascii="QCF_P302" w:hAnsi="QCF_P302" w:cs="QCF_P302" w:hint="cs"/>
          <w:color w:val="auto"/>
          <w:sz w:val="32"/>
          <w:szCs w:val="32"/>
          <w:rtl/>
          <w:lang w:eastAsia="en-US"/>
        </w:rPr>
        <w:t xml:space="preserve"> </w:t>
      </w:r>
      <w:r w:rsidR="008032BA" w:rsidRPr="008032BA">
        <w:rPr>
          <w:rFonts w:ascii="QCF_P302" w:hAnsi="QCF_P302" w:cs="QCF_P302"/>
          <w:color w:val="auto"/>
          <w:sz w:val="32"/>
          <w:szCs w:val="32"/>
          <w:rtl/>
          <w:lang w:eastAsia="en-US"/>
        </w:rPr>
        <w:t>ﯢ    ﯣ  ﯤ     ﯥ</w:t>
      </w:r>
      <w:r w:rsidR="00EF0AA7">
        <w:rPr>
          <w:rFonts w:ascii="QCF_BSML" w:hAnsi="QCF_BSML" w:cs="QCF_BSML" w:hint="cs"/>
          <w:sz w:val="32"/>
          <w:szCs w:val="32"/>
          <w:rtl/>
          <w:lang w:eastAsia="en-US"/>
        </w:rPr>
        <w:t xml:space="preserve"> </w:t>
      </w:r>
      <w:r w:rsidR="008032BA" w:rsidRPr="008032BA">
        <w:rPr>
          <w:rFonts w:ascii="QCF_BSML" w:hAnsi="QCF_BSML" w:cs="QCF_BSML"/>
          <w:sz w:val="32"/>
          <w:szCs w:val="32"/>
          <w:rtl/>
          <w:lang w:eastAsia="en-US"/>
        </w:rPr>
        <w:t>ﭼ</w:t>
      </w:r>
      <w:r w:rsidR="00EF0AA7">
        <w:rPr>
          <w:rFonts w:ascii="Traditional Arabic" w:hAnsi="Traditional Arabic" w:hint="cs"/>
          <w:color w:val="0D0D0D" w:themeColor="text1" w:themeTint="F2"/>
          <w:sz w:val="32"/>
          <w:szCs w:val="32"/>
          <w:rtl/>
          <w:lang w:eastAsia="en-US"/>
        </w:rPr>
        <w:t xml:space="preserve"> [الكهف:82]</w:t>
      </w:r>
      <w:r w:rsidR="00EF0AA7" w:rsidRPr="00627088">
        <w:rPr>
          <w:rFonts w:ascii="QCF_BSML" w:hAnsi="QCF_BSML" w:cs="QCF_BSML"/>
          <w:color w:val="0D0D0D" w:themeColor="text1" w:themeTint="F2"/>
          <w:sz w:val="47"/>
          <w:szCs w:val="47"/>
          <w:rtl/>
          <w:lang w:eastAsia="en-US"/>
        </w:rPr>
        <w:t xml:space="preserve"> </w:t>
      </w:r>
      <w:r w:rsidR="00EF0AA7" w:rsidRPr="00014FE5">
        <w:rPr>
          <w:rFonts w:ascii="QCF_P299" w:hAnsi="QCF_P299" w:cs="QCF_P299"/>
          <w:color w:val="auto"/>
          <w:sz w:val="32"/>
          <w:szCs w:val="32"/>
          <w:rtl/>
          <w:lang w:eastAsia="en-US"/>
        </w:rPr>
        <w:t xml:space="preserve">  </w:t>
      </w:r>
      <w:r w:rsidR="008032BA" w:rsidRPr="008032BA">
        <w:rPr>
          <w:rFonts w:ascii="QCF_P302" w:hAnsi="QCF_P302" w:cs="QCF_P302"/>
          <w:color w:val="auto"/>
          <w:sz w:val="32"/>
          <w:szCs w:val="32"/>
          <w:rtl/>
          <w:lang w:eastAsia="en-US"/>
        </w:rPr>
        <w:t xml:space="preserve">   </w:t>
      </w:r>
      <w:r w:rsidR="008032BA" w:rsidRPr="008032BA">
        <w:rPr>
          <w:rFonts w:ascii="Traditional Arabic" w:hAnsi="Traditional Arabic"/>
          <w:rtl/>
        </w:rPr>
        <w:t xml:space="preserve">فيه ثلاثة أقوال: أحدها: أنه كان ذهباً وفضة، رواه أبو الدّرداء عن رسول الله </w:t>
      </w:r>
      <w:r w:rsidR="008032BA" w:rsidRPr="008032BA">
        <w:rPr>
          <w:rFonts w:ascii="Traditional Arabic" w:hAnsi="Traditional Arabic"/>
        </w:rPr>
        <w:sym w:font="AGA Arabesque" w:char="F072"/>
      </w:r>
      <w:r w:rsidR="00EF0AA7" w:rsidRPr="00EF0AA7">
        <w:rPr>
          <w:rStyle w:val="ae"/>
          <w:rtl/>
        </w:rPr>
        <w:t>(</w:t>
      </w:r>
      <w:r w:rsidR="00EF0AA7">
        <w:rPr>
          <w:rStyle w:val="ae"/>
          <w:rtl/>
        </w:rPr>
        <w:footnoteReference w:id="123"/>
      </w:r>
      <w:r w:rsidR="00EF0AA7" w:rsidRPr="00EF0AA7">
        <w:rPr>
          <w:rStyle w:val="ae"/>
          <w:rtl/>
        </w:rPr>
        <w:t>)</w:t>
      </w:r>
      <w:r w:rsidR="008032BA">
        <w:rPr>
          <w:rFonts w:ascii="Traditional Arabic" w:hAnsi="Traditional Arabic" w:hint="cs"/>
          <w:rtl/>
        </w:rPr>
        <w:t>.</w:t>
      </w:r>
    </w:p>
    <w:p w:rsidR="008032BA" w:rsidRDefault="008032BA" w:rsidP="005C2833">
      <w:pPr>
        <w:spacing w:after="200" w:line="276" w:lineRule="auto"/>
        <w:ind w:firstLine="0"/>
        <w:jc w:val="lowKashida"/>
        <w:rPr>
          <w:rFonts w:ascii="Traditional Arabic" w:hAnsi="Traditional Arabic"/>
          <w:rtl/>
        </w:rPr>
      </w:pPr>
      <w:r>
        <w:rPr>
          <w:rFonts w:ascii="Traditional Arabic" w:hAnsi="Traditional Arabic" w:hint="cs"/>
          <w:rtl/>
        </w:rPr>
        <w:t>3-</w:t>
      </w:r>
      <w:r w:rsidRPr="008032BA">
        <w:rPr>
          <w:rFonts w:ascii="QCF_BSML" w:hAnsi="QCF_BSML" w:cs="QCF_BSML"/>
          <w:sz w:val="32"/>
          <w:szCs w:val="32"/>
          <w:rtl/>
          <w:lang w:eastAsia="en-US"/>
        </w:rPr>
        <w:t xml:space="preserve"> </w:t>
      </w:r>
      <w:r>
        <w:rPr>
          <w:rFonts w:ascii="QCF_BSML" w:hAnsi="QCF_BSML" w:cs="QCF_BSML" w:hint="cs"/>
          <w:sz w:val="32"/>
          <w:szCs w:val="32"/>
          <w:rtl/>
          <w:lang w:eastAsia="en-US"/>
        </w:rPr>
        <w:t xml:space="preserve"> </w:t>
      </w:r>
      <w:r>
        <w:rPr>
          <w:rFonts w:ascii="Traditional Arabic" w:hAnsi="Traditional Arabic" w:hint="cs"/>
          <w:rtl/>
        </w:rPr>
        <w:t xml:space="preserve"> قال رحمه الله عند ذكر قصة يأجوج ومأجوج: </w:t>
      </w:r>
      <w:r w:rsidRPr="008032BA">
        <w:rPr>
          <w:rFonts w:ascii="Traditional Arabic" w:hAnsi="Traditional Arabic"/>
          <w:rtl/>
        </w:rPr>
        <w:t xml:space="preserve">قوله تعالى: </w:t>
      </w:r>
      <w:r w:rsidRPr="008032BA">
        <w:rPr>
          <w:rFonts w:ascii="QCF_BSML" w:hAnsi="QCF_BSML" w:cs="QCF_BSML"/>
          <w:sz w:val="32"/>
          <w:szCs w:val="32"/>
          <w:rtl/>
          <w:lang w:eastAsia="en-US"/>
        </w:rPr>
        <w:t>ﭽ</w:t>
      </w:r>
      <w:r w:rsidRPr="008032BA">
        <w:rPr>
          <w:rFonts w:ascii="QCF_P303" w:hAnsi="QCF_P303" w:cs="QCF_P303"/>
          <w:color w:val="auto"/>
          <w:sz w:val="32"/>
          <w:szCs w:val="32"/>
          <w:rtl/>
          <w:lang w:eastAsia="en-US"/>
        </w:rPr>
        <w:t xml:space="preserve"> ﰟ  ﰠ  ﰡ  ﰢ  </w:t>
      </w:r>
      <w:r w:rsidRPr="008032BA">
        <w:rPr>
          <w:rFonts w:ascii="QCF_BSML" w:hAnsi="QCF_BSML" w:cs="QCF_BSML"/>
          <w:color w:val="auto"/>
          <w:sz w:val="32"/>
          <w:szCs w:val="32"/>
          <w:rtl/>
          <w:lang w:eastAsia="en-US"/>
        </w:rPr>
        <w:t>ﭼ</w:t>
      </w:r>
      <w:r w:rsidR="005C2833">
        <w:rPr>
          <w:rFonts w:ascii="QCF_BSML" w:hAnsi="QCF_BSML" w:cs="QCF_BSML" w:hint="cs"/>
          <w:color w:val="auto"/>
          <w:sz w:val="32"/>
          <w:szCs w:val="32"/>
          <w:rtl/>
          <w:lang w:eastAsia="en-US"/>
        </w:rPr>
        <w:t xml:space="preserve"> </w:t>
      </w:r>
      <w:r w:rsidR="005C2833">
        <w:rPr>
          <w:rFonts w:ascii="Traditional Arabic" w:hAnsi="Traditional Arabic" w:hint="cs"/>
          <w:color w:val="0D0D0D" w:themeColor="text1" w:themeTint="F2"/>
          <w:sz w:val="32"/>
          <w:szCs w:val="32"/>
          <w:rtl/>
          <w:lang w:eastAsia="en-US"/>
        </w:rPr>
        <w:t>[الكهف:97]</w:t>
      </w:r>
      <w:r w:rsidR="005C2833" w:rsidRPr="00627088">
        <w:rPr>
          <w:rFonts w:ascii="QCF_BSML" w:hAnsi="QCF_BSML" w:cs="QCF_BSML"/>
          <w:color w:val="0D0D0D" w:themeColor="text1" w:themeTint="F2"/>
          <w:sz w:val="47"/>
          <w:szCs w:val="47"/>
          <w:rtl/>
          <w:lang w:eastAsia="en-US"/>
        </w:rPr>
        <w:t xml:space="preserve"> </w:t>
      </w:r>
      <w:r w:rsidR="005C2833" w:rsidRPr="00014FE5">
        <w:rPr>
          <w:rFonts w:ascii="QCF_P299" w:hAnsi="QCF_P299" w:cs="QCF_P299"/>
          <w:color w:val="auto"/>
          <w:sz w:val="32"/>
          <w:szCs w:val="32"/>
          <w:rtl/>
          <w:lang w:eastAsia="en-US"/>
        </w:rPr>
        <w:t xml:space="preserve">  </w:t>
      </w:r>
      <w:r w:rsidR="005C2833">
        <w:rPr>
          <w:rFonts w:ascii="Traditional Arabic" w:hAnsi="Traditional Arabic" w:hint="cs"/>
          <w:rtl/>
          <w:lang w:eastAsia="en-US"/>
        </w:rPr>
        <w:t xml:space="preserve"> </w:t>
      </w:r>
      <w:r w:rsidRPr="008032BA">
        <w:rPr>
          <w:rFonts w:ascii="Traditional Arabic" w:hAnsi="Traditional Arabic"/>
          <w:rtl/>
          <w:lang w:eastAsia="en-US"/>
        </w:rPr>
        <w:t>من أسفله، لشدته وصلابته.</w:t>
      </w:r>
      <w:r w:rsidRPr="008032BA">
        <w:rPr>
          <w:rFonts w:ascii="Traditional Arabic" w:hAnsi="Traditional Arabic" w:hint="cs"/>
          <w:rtl/>
          <w:lang w:eastAsia="en-US"/>
        </w:rPr>
        <w:t xml:space="preserve"> </w:t>
      </w:r>
      <w:r w:rsidRPr="008032BA">
        <w:rPr>
          <w:rFonts w:ascii="Traditional Arabic" w:hAnsi="Traditional Arabic"/>
          <w:rtl/>
          <w:lang w:eastAsia="en-US"/>
        </w:rPr>
        <w:t>وروى أبو هريرة عن رسول الله</w:t>
      </w:r>
      <w:r w:rsidRPr="008032BA">
        <w:rPr>
          <w:rFonts w:ascii="Traditional Arabic" w:hAnsi="Traditional Arabic" w:hint="cs"/>
          <w:rtl/>
          <w:lang w:eastAsia="en-US"/>
        </w:rPr>
        <w:t xml:space="preserve"> </w:t>
      </w:r>
      <w:r w:rsidRPr="008032BA">
        <w:rPr>
          <w:rFonts w:ascii="Traditional Arabic" w:hAnsi="Traditional Arabic" w:hint="cs"/>
          <w:lang w:eastAsia="en-US"/>
        </w:rPr>
        <w:sym w:font="AGA Arabesque" w:char="F072"/>
      </w:r>
      <w:r w:rsidRPr="008032BA">
        <w:rPr>
          <w:rFonts w:ascii="Traditional Arabic" w:hAnsi="Traditional Arabic"/>
          <w:rtl/>
          <w:lang w:eastAsia="en-US"/>
        </w:rPr>
        <w:t xml:space="preserve"> قال: «إِن يأجوج ومأجوج ليَحفرون السدَّ كل يوم،</w:t>
      </w:r>
      <w:r w:rsidRPr="008032BA">
        <w:rPr>
          <w:rFonts w:ascii="Traditional Arabic" w:hAnsi="Traditional Arabic" w:hint="cs"/>
          <w:rtl/>
          <w:lang w:eastAsia="en-US"/>
        </w:rPr>
        <w:t xml:space="preserve"> </w:t>
      </w:r>
      <w:r w:rsidRPr="008032BA">
        <w:rPr>
          <w:rFonts w:ascii="Traditional Arabic" w:hAnsi="Traditional Arabic"/>
          <w:rtl/>
        </w:rPr>
        <w:t>حتى إِذا كادوا يرون شعاع الشمس، قال الذي عليهم: ارجعوا، فستحفرونه غداً، فيعودون إِليه، فيرونه كأشد ما كان، حتى إِذا بلغت مدّتهم، وأراد الله عزّ وجلّ أن يبعثهم على الناس، حفروا، حتى إِذا كادوا يرون شعاع الشمس، قال الذين عليهم: ارجعوا، فستحفرونه غداً إِن شاء الله، ويستثني، فيعودون إِليه وهو كهيئته</w:t>
      </w:r>
      <w:r>
        <w:rPr>
          <w:rFonts w:hint="cs"/>
          <w:vertAlign w:val="superscript"/>
          <w:rtl/>
        </w:rPr>
        <w:t xml:space="preserve"> </w:t>
      </w:r>
      <w:r w:rsidRPr="008032BA">
        <w:rPr>
          <w:rFonts w:ascii="Traditional Arabic" w:hAnsi="Traditional Arabic"/>
          <w:rtl/>
        </w:rPr>
        <w:t>حين تركوه، فيحفرونه ويخرجون على الناس»</w:t>
      </w:r>
      <w:r w:rsidR="005C2833" w:rsidRPr="005C2833">
        <w:rPr>
          <w:rStyle w:val="ae"/>
          <w:rtl/>
        </w:rPr>
        <w:t>(</w:t>
      </w:r>
      <w:r w:rsidR="005C2833">
        <w:rPr>
          <w:rStyle w:val="ae"/>
          <w:rtl/>
        </w:rPr>
        <w:footnoteReference w:id="124"/>
      </w:r>
      <w:r w:rsidR="005C2833" w:rsidRPr="005C2833">
        <w:rPr>
          <w:rStyle w:val="ae"/>
          <w:rtl/>
        </w:rPr>
        <w:t>)</w:t>
      </w:r>
      <w:r>
        <w:rPr>
          <w:rFonts w:ascii="Traditional Arabic" w:hAnsi="Traditional Arabic" w:hint="cs"/>
          <w:rtl/>
        </w:rPr>
        <w:t>.</w:t>
      </w:r>
    </w:p>
    <w:p w:rsidR="008032BA" w:rsidRPr="008032BA" w:rsidRDefault="008032BA" w:rsidP="005C2833">
      <w:pPr>
        <w:spacing w:after="200" w:line="276" w:lineRule="auto"/>
        <w:ind w:firstLine="0"/>
        <w:jc w:val="lowKashida"/>
        <w:rPr>
          <w:rFonts w:ascii="Traditional Arabic" w:hAnsi="Traditional Arabic"/>
        </w:rPr>
      </w:pPr>
      <w:r>
        <w:rPr>
          <w:rFonts w:ascii="Traditional Arabic" w:hAnsi="Traditional Arabic" w:hint="cs"/>
          <w:rtl/>
        </w:rPr>
        <w:t>4- قال رحمه الله عند</w:t>
      </w:r>
      <w:r w:rsidRPr="008032BA">
        <w:rPr>
          <w:rFonts w:ascii="Traditional Arabic" w:hAnsi="Traditional Arabic"/>
          <w:rtl/>
        </w:rPr>
        <w:t xml:space="preserve"> قوله تعالى:</w:t>
      </w:r>
      <w:r w:rsidRPr="008032BA">
        <w:rPr>
          <w:rFonts w:ascii="QCF_BSML" w:hAnsi="QCF_BSML" w:cs="QCF_BSML"/>
          <w:sz w:val="32"/>
          <w:szCs w:val="32"/>
          <w:rtl/>
          <w:lang w:eastAsia="en-US"/>
        </w:rPr>
        <w:t xml:space="preserve"> </w:t>
      </w:r>
      <w:r>
        <w:rPr>
          <w:rFonts w:ascii="Traditional Arabic" w:hAnsi="Traditional Arabic" w:hint="cs"/>
          <w:rtl/>
          <w:lang w:eastAsia="en-US"/>
        </w:rPr>
        <w:t>"</w:t>
      </w:r>
      <w:r w:rsidRPr="008032BA">
        <w:rPr>
          <w:rFonts w:ascii="QCF_BSML" w:hAnsi="QCF_BSML" w:cs="QCF_BSML"/>
          <w:sz w:val="32"/>
          <w:szCs w:val="32"/>
          <w:rtl/>
          <w:lang w:eastAsia="en-US"/>
        </w:rPr>
        <w:t>ﭽ</w:t>
      </w:r>
      <w:r w:rsidRPr="008032BA">
        <w:rPr>
          <w:rFonts w:ascii="QCF_P304" w:hAnsi="QCF_P304" w:cs="QCF_P304"/>
          <w:sz w:val="32"/>
          <w:szCs w:val="32"/>
          <w:rtl/>
          <w:lang w:eastAsia="en-US"/>
        </w:rPr>
        <w:t xml:space="preserve"> ﮭ  ﮮ  ﮯ  ﮰ  ﮱ   ﯓ</w:t>
      </w:r>
      <w:r w:rsidRPr="008032BA">
        <w:rPr>
          <w:rFonts w:ascii="QCF_BSML" w:hAnsi="QCF_BSML" w:cs="QCF_BSML"/>
          <w:color w:val="auto"/>
          <w:sz w:val="32"/>
          <w:szCs w:val="32"/>
          <w:rtl/>
          <w:lang w:eastAsia="en-US"/>
        </w:rPr>
        <w:t xml:space="preserve"> ﭼ</w:t>
      </w:r>
      <w:r w:rsidR="005C2833">
        <w:rPr>
          <w:rFonts w:ascii="Traditional Arabic" w:hAnsi="Traditional Arabic" w:hint="cs"/>
          <w:color w:val="0D0D0D" w:themeColor="text1" w:themeTint="F2"/>
          <w:sz w:val="32"/>
          <w:szCs w:val="32"/>
          <w:rtl/>
          <w:lang w:eastAsia="en-US"/>
        </w:rPr>
        <w:t>[الكهف:105]</w:t>
      </w:r>
      <w:r w:rsidR="005C2833" w:rsidRPr="00627088">
        <w:rPr>
          <w:rFonts w:ascii="QCF_BSML" w:hAnsi="QCF_BSML" w:cs="QCF_BSML"/>
          <w:color w:val="0D0D0D" w:themeColor="text1" w:themeTint="F2"/>
          <w:sz w:val="47"/>
          <w:szCs w:val="47"/>
          <w:rtl/>
          <w:lang w:eastAsia="en-US"/>
        </w:rPr>
        <w:t xml:space="preserve"> </w:t>
      </w:r>
      <w:r w:rsidR="005C2833" w:rsidRPr="00014FE5">
        <w:rPr>
          <w:rFonts w:ascii="QCF_P299" w:hAnsi="QCF_P299" w:cs="QCF_P299"/>
          <w:color w:val="auto"/>
          <w:sz w:val="32"/>
          <w:szCs w:val="32"/>
          <w:rtl/>
          <w:lang w:eastAsia="en-US"/>
        </w:rPr>
        <w:t xml:space="preserve"> </w:t>
      </w:r>
      <w:r w:rsidRPr="008032BA">
        <w:rPr>
          <w:rFonts w:ascii="Traditional Arabic" w:hAnsi="Traditional Arabic"/>
          <w:rtl/>
        </w:rPr>
        <w:t xml:space="preserve"> وقرأ ابن مسعود، والجحدري: «فلا يُقيم» بالياء</w:t>
      </w:r>
      <w:r>
        <w:rPr>
          <w:rFonts w:ascii="Traditional Arabic" w:hAnsi="Traditional Arabic" w:hint="cs"/>
          <w:rtl/>
        </w:rPr>
        <w:t>".... إلى أن قال: "</w:t>
      </w:r>
      <w:r w:rsidRPr="008032BA">
        <w:rPr>
          <w:rFonts w:ascii="Traditional Arabic" w:hAnsi="Traditional Arabic"/>
          <w:rtl/>
        </w:rPr>
        <w:t xml:space="preserve">روى أبو هريرة عن النبيّ </w:t>
      </w:r>
      <w:r w:rsidRPr="008032BA">
        <w:rPr>
          <w:rFonts w:ascii="Traditional Arabic" w:hAnsi="Traditional Arabic"/>
        </w:rPr>
        <w:sym w:font="AGA Arabesque" w:char="F072"/>
      </w:r>
      <w:r w:rsidRPr="008032BA">
        <w:rPr>
          <w:rFonts w:ascii="Traditional Arabic" w:hAnsi="Traditional Arabic" w:hint="cs"/>
          <w:rtl/>
        </w:rPr>
        <w:t xml:space="preserve"> </w:t>
      </w:r>
      <w:r w:rsidRPr="008032BA">
        <w:rPr>
          <w:rFonts w:ascii="Traditional Arabic" w:hAnsi="Traditional Arabic"/>
          <w:rtl/>
        </w:rPr>
        <w:t>أنه قال: «يؤتى بالرجل الطويل الأكول الشروب</w:t>
      </w:r>
      <w:r w:rsidRPr="008032BA">
        <w:rPr>
          <w:rFonts w:hint="cs"/>
          <w:vertAlign w:val="superscript"/>
          <w:rtl/>
        </w:rPr>
        <w:t xml:space="preserve"> </w:t>
      </w:r>
      <w:r w:rsidRPr="008032BA">
        <w:rPr>
          <w:rFonts w:ascii="Traditional Arabic" w:hAnsi="Traditional Arabic"/>
          <w:rtl/>
        </w:rPr>
        <w:t xml:space="preserve">فلا يزن جناح بعوضة، اقرءوا إِن شئتم: </w:t>
      </w:r>
      <w:r w:rsidRPr="008032BA">
        <w:rPr>
          <w:rFonts w:ascii="QCF_BSML" w:hAnsi="QCF_BSML" w:cs="QCF_BSML"/>
          <w:sz w:val="32"/>
          <w:szCs w:val="32"/>
          <w:rtl/>
          <w:lang w:eastAsia="en-US"/>
        </w:rPr>
        <w:t>ﭽ</w:t>
      </w:r>
      <w:r w:rsidRPr="008032BA">
        <w:rPr>
          <w:rFonts w:ascii="QCF_P304" w:hAnsi="QCF_P304" w:cs="QCF_P304"/>
          <w:sz w:val="32"/>
          <w:szCs w:val="32"/>
          <w:rtl/>
          <w:lang w:eastAsia="en-US"/>
        </w:rPr>
        <w:t xml:space="preserve"> ﮭ  ﮮ  ﮯ  ﮰ  ﮱ   ﯓ</w:t>
      </w:r>
      <w:r w:rsidRPr="008032BA">
        <w:rPr>
          <w:rFonts w:ascii="QCF_BSML" w:hAnsi="QCF_BSML" w:cs="QCF_BSML"/>
          <w:color w:val="auto"/>
          <w:sz w:val="32"/>
          <w:szCs w:val="32"/>
          <w:rtl/>
          <w:lang w:eastAsia="en-US"/>
        </w:rPr>
        <w:t>ﭼ</w:t>
      </w:r>
      <w:r w:rsidR="005C2833">
        <w:rPr>
          <w:rFonts w:ascii="Traditional Arabic" w:hAnsi="Traditional Arabic" w:hint="cs"/>
          <w:color w:val="0D0D0D" w:themeColor="text1" w:themeTint="F2"/>
          <w:sz w:val="32"/>
          <w:szCs w:val="32"/>
          <w:rtl/>
          <w:lang w:eastAsia="en-US"/>
        </w:rPr>
        <w:t>[الكهف:105]</w:t>
      </w:r>
      <w:r w:rsidRPr="008032BA">
        <w:rPr>
          <w:rFonts w:ascii="Traditional Arabic" w:hAnsi="Traditional Arabic"/>
          <w:rtl/>
        </w:rPr>
        <w:t>»</w:t>
      </w:r>
      <w:r w:rsidR="005C2833">
        <w:rPr>
          <w:rFonts w:ascii="Traditional Arabic" w:hAnsi="Traditional Arabic" w:hint="cs"/>
          <w:rtl/>
        </w:rPr>
        <w:t>"</w:t>
      </w:r>
      <w:r w:rsidR="005C2833" w:rsidRPr="005C2833">
        <w:rPr>
          <w:rStyle w:val="ae"/>
          <w:rtl/>
        </w:rPr>
        <w:t>(</w:t>
      </w:r>
      <w:r w:rsidR="005C2833">
        <w:rPr>
          <w:rStyle w:val="ae"/>
          <w:rtl/>
        </w:rPr>
        <w:footnoteReference w:id="125"/>
      </w:r>
      <w:r w:rsidR="005C2833" w:rsidRPr="005C2833">
        <w:rPr>
          <w:rStyle w:val="ae"/>
          <w:rtl/>
        </w:rPr>
        <w:t>)</w:t>
      </w:r>
      <w:r w:rsidR="005C2833">
        <w:rPr>
          <w:rFonts w:ascii="Traditional Arabic" w:hAnsi="Traditional Arabic" w:hint="cs"/>
          <w:rtl/>
        </w:rPr>
        <w:t>.</w:t>
      </w:r>
    </w:p>
    <w:p w:rsidR="00D11232" w:rsidRPr="00C17B7B" w:rsidRDefault="00B17C96" w:rsidP="00C443D8">
      <w:pPr>
        <w:numPr>
          <w:ilvl w:val="0"/>
          <w:numId w:val="13"/>
        </w:numPr>
        <w:spacing w:after="200" w:line="276" w:lineRule="auto"/>
        <w:ind w:left="0" w:firstLine="0"/>
        <w:contextualSpacing/>
        <w:jc w:val="lowKashida"/>
        <w:rPr>
          <w:rFonts w:ascii="Traditional Arabic" w:eastAsia="Calibri" w:hAnsi="Traditional Arabic"/>
          <w:color w:val="auto"/>
        </w:rPr>
      </w:pPr>
      <w:r>
        <w:rPr>
          <w:rFonts w:ascii="Traditional Arabic" w:eastAsia="Calibri" w:hAnsi="Traditional Arabic"/>
          <w:color w:val="auto"/>
          <w:rtl/>
        </w:rPr>
        <w:lastRenderedPageBreak/>
        <w:t>لا يذكر الأحاديث بإسناده</w:t>
      </w:r>
      <w:r>
        <w:rPr>
          <w:rFonts w:ascii="Traditional Arabic" w:eastAsia="Calibri" w:hAnsi="Traditional Arabic" w:hint="cs"/>
          <w:color w:val="auto"/>
          <w:rtl/>
        </w:rPr>
        <w:t>,</w:t>
      </w:r>
      <w:r w:rsidR="00D11232" w:rsidRPr="00C17B7B">
        <w:rPr>
          <w:rFonts w:ascii="Traditional Arabic" w:eastAsia="Calibri" w:hAnsi="Traditional Arabic"/>
          <w:color w:val="auto"/>
          <w:rtl/>
        </w:rPr>
        <w:t xml:space="preserve"> وهذا في جميع الأحاديث التي وردت في الجزء المحقق.</w:t>
      </w:r>
    </w:p>
    <w:p w:rsidR="00702CED" w:rsidRDefault="00D11232" w:rsidP="00C443D8">
      <w:pPr>
        <w:numPr>
          <w:ilvl w:val="0"/>
          <w:numId w:val="13"/>
        </w:numPr>
        <w:spacing w:after="200" w:line="276" w:lineRule="auto"/>
        <w:ind w:left="0" w:firstLine="0"/>
        <w:contextualSpacing/>
        <w:rPr>
          <w:rFonts w:ascii="Traditional Arabic" w:eastAsia="Calibri" w:hAnsi="Traditional Arabic"/>
          <w:color w:val="auto"/>
        </w:rPr>
      </w:pPr>
      <w:r w:rsidRPr="00C17B7B">
        <w:rPr>
          <w:rFonts w:ascii="Traditional Arabic" w:eastAsia="Calibri" w:hAnsi="Traditional Arabic"/>
          <w:color w:val="auto"/>
          <w:rtl/>
        </w:rPr>
        <w:t>غالبا ما يذكر الراوي، وأح</w:t>
      </w:r>
      <w:r w:rsidR="00627088">
        <w:rPr>
          <w:rFonts w:ascii="Traditional Arabic" w:eastAsia="Calibri" w:hAnsi="Traditional Arabic"/>
          <w:color w:val="auto"/>
          <w:rtl/>
        </w:rPr>
        <w:t>يانا يذكر الحديث دون ذكر الراوي</w:t>
      </w:r>
      <w:r w:rsidR="00223B6C">
        <w:rPr>
          <w:rFonts w:ascii="Traditional Arabic" w:eastAsia="Calibri" w:hAnsi="Traditional Arabic" w:hint="cs"/>
          <w:color w:val="auto"/>
          <w:rtl/>
        </w:rPr>
        <w:t>.</w:t>
      </w:r>
      <w:r w:rsidRPr="00C17B7B">
        <w:rPr>
          <w:rFonts w:ascii="Traditional Arabic" w:eastAsia="Calibri" w:hAnsi="Traditional Arabic"/>
          <w:color w:val="auto"/>
          <w:rtl/>
        </w:rPr>
        <w:t xml:space="preserve"> </w:t>
      </w:r>
    </w:p>
    <w:p w:rsidR="00BD5ED5" w:rsidRDefault="00D11232" w:rsidP="000A7F19">
      <w:pPr>
        <w:spacing w:after="200" w:line="276" w:lineRule="auto"/>
        <w:ind w:firstLine="0"/>
        <w:contextualSpacing/>
        <w:rPr>
          <w:rFonts w:ascii="Traditional Arabic" w:eastAsia="Calibri" w:hAnsi="Traditional Arabic"/>
          <w:color w:val="auto"/>
          <w:rtl/>
        </w:rPr>
      </w:pPr>
      <w:r w:rsidRPr="00C17B7B">
        <w:rPr>
          <w:rFonts w:ascii="Traditional Arabic" w:eastAsia="Calibri" w:hAnsi="Traditional Arabic"/>
          <w:color w:val="auto"/>
          <w:rtl/>
        </w:rPr>
        <w:t>مثال ذكر فيه اسم رواي الحديث</w:t>
      </w:r>
      <w:r w:rsidR="00702CED">
        <w:rPr>
          <w:rFonts w:ascii="Traditional Arabic" w:eastAsia="Calibri" w:hAnsi="Traditional Arabic" w:hint="cs"/>
          <w:color w:val="auto"/>
          <w:rtl/>
        </w:rPr>
        <w:t>:</w:t>
      </w:r>
      <w:r w:rsidR="00702CED" w:rsidRPr="00702CED">
        <w:rPr>
          <w:rFonts w:ascii="Traditional Arabic" w:hAnsi="Traditional Arabic"/>
          <w:rtl/>
        </w:rPr>
        <w:t xml:space="preserve"> </w:t>
      </w:r>
      <w:r w:rsidR="00702CED">
        <w:rPr>
          <w:rFonts w:ascii="Traditional Arabic" w:hAnsi="Traditional Arabic" w:hint="cs"/>
          <w:rtl/>
        </w:rPr>
        <w:t>قال رحمه الله عند</w:t>
      </w:r>
      <w:r w:rsidR="00702CED" w:rsidRPr="008032BA">
        <w:rPr>
          <w:rFonts w:ascii="Traditional Arabic" w:hAnsi="Traditional Arabic"/>
          <w:rtl/>
        </w:rPr>
        <w:t xml:space="preserve"> </w:t>
      </w:r>
      <w:r w:rsidR="00702CED" w:rsidRPr="00702CED">
        <w:rPr>
          <w:rFonts w:ascii="Traditional Arabic" w:hAnsi="Traditional Arabic"/>
          <w:rtl/>
        </w:rPr>
        <w:t xml:space="preserve">قوله تعالى: </w:t>
      </w:r>
      <w:r w:rsidR="00702CED" w:rsidRPr="00702CED">
        <w:rPr>
          <w:rFonts w:ascii="QCF_BSML" w:hAnsi="QCF_BSML" w:cs="QCF_BSML"/>
          <w:sz w:val="32"/>
          <w:szCs w:val="32"/>
          <w:rtl/>
          <w:lang w:eastAsia="en-US"/>
        </w:rPr>
        <w:t>ﭽ</w:t>
      </w:r>
      <w:r w:rsidR="00702CED" w:rsidRPr="00702CED">
        <w:rPr>
          <w:rFonts w:ascii="Traditional Arabic" w:hAnsi="Traditional Arabic"/>
          <w:rtl/>
        </w:rPr>
        <w:t xml:space="preserve"> </w:t>
      </w:r>
      <w:r w:rsidR="00702CED" w:rsidRPr="00702CED">
        <w:rPr>
          <w:rFonts w:ascii="QCF_P304" w:hAnsi="QCF_P304" w:cs="QCF_P304"/>
          <w:sz w:val="32"/>
          <w:szCs w:val="32"/>
          <w:rtl/>
          <w:lang w:eastAsia="en-US"/>
        </w:rPr>
        <w:t xml:space="preserve">ﯤ </w:t>
      </w:r>
      <w:r w:rsidR="00702CED" w:rsidRPr="00702CED">
        <w:rPr>
          <w:rFonts w:ascii="QCF_P304" w:hAnsi="QCF_P304" w:cs="QCF_P304" w:hint="cs"/>
          <w:sz w:val="32"/>
          <w:szCs w:val="32"/>
          <w:rtl/>
          <w:lang w:eastAsia="en-US"/>
        </w:rPr>
        <w:t xml:space="preserve"> </w:t>
      </w:r>
      <w:r w:rsidR="00702CED" w:rsidRPr="00702CED">
        <w:rPr>
          <w:rFonts w:ascii="QCF_P304" w:hAnsi="QCF_P304" w:cs="QCF_P304"/>
          <w:sz w:val="32"/>
          <w:szCs w:val="32"/>
          <w:rtl/>
          <w:lang w:eastAsia="en-US"/>
        </w:rPr>
        <w:t>ﯥ  ﯦ  ﯧ</w:t>
      </w:r>
      <w:r w:rsidR="00702CED" w:rsidRPr="00702CED">
        <w:rPr>
          <w:rFonts w:ascii="QCF_BSML" w:hAnsi="QCF_BSML" w:cs="QCF_BSML"/>
          <w:color w:val="auto"/>
          <w:sz w:val="32"/>
          <w:szCs w:val="32"/>
          <w:rtl/>
          <w:lang w:eastAsia="en-US"/>
        </w:rPr>
        <w:t>ﭼ</w:t>
      </w:r>
      <w:r w:rsidR="005C2833">
        <w:rPr>
          <w:rFonts w:ascii="Traditional Arabic" w:hAnsi="Traditional Arabic" w:hint="cs"/>
          <w:color w:val="0D0D0D" w:themeColor="text1" w:themeTint="F2"/>
          <w:sz w:val="32"/>
          <w:szCs w:val="32"/>
          <w:rtl/>
          <w:lang w:eastAsia="en-US"/>
        </w:rPr>
        <w:t>[الكهف:107]</w:t>
      </w:r>
      <w:r w:rsidR="00702CED" w:rsidRPr="00702CED">
        <w:rPr>
          <w:rFonts w:ascii="QCF_P304" w:hAnsi="QCF_P304" w:cs="QCF_P304"/>
          <w:sz w:val="32"/>
          <w:szCs w:val="32"/>
          <w:rtl/>
          <w:lang w:eastAsia="en-US"/>
        </w:rPr>
        <w:t xml:space="preserve"> </w:t>
      </w:r>
      <w:r w:rsidR="00702CED" w:rsidRPr="00702CED">
        <w:rPr>
          <w:rFonts w:ascii="Traditional Arabic" w:hAnsi="Traditional Arabic"/>
          <w:rtl/>
        </w:rPr>
        <w:t>قال ابن الأنباري: كانت لهم في علم الله قبل أن يُخلَقوا.</w:t>
      </w:r>
      <w:r w:rsidR="00702CED" w:rsidRPr="00702CED">
        <w:rPr>
          <w:rFonts w:ascii="Traditional Arabic" w:hAnsi="Traditional Arabic" w:hint="cs"/>
          <w:rtl/>
        </w:rPr>
        <w:t xml:space="preserve"> </w:t>
      </w:r>
      <w:r w:rsidR="00702CED" w:rsidRPr="00702CED">
        <w:rPr>
          <w:rFonts w:ascii="Traditional Arabic" w:hAnsi="Traditional Arabic"/>
          <w:rtl/>
        </w:rPr>
        <w:t>وروى البخاري ومسلم في (الصحيحين) من حديث أبي موسى</w:t>
      </w:r>
      <w:r w:rsidR="00702CED">
        <w:rPr>
          <w:rFonts w:hint="cs"/>
          <w:vertAlign w:val="superscript"/>
          <w:rtl/>
        </w:rPr>
        <w:t xml:space="preserve"> </w:t>
      </w:r>
      <w:r w:rsidR="00702CED" w:rsidRPr="00702CED">
        <w:rPr>
          <w:rFonts w:ascii="Traditional Arabic" w:hAnsi="Traditional Arabic"/>
          <w:rtl/>
        </w:rPr>
        <w:t xml:space="preserve">عن النبي </w:t>
      </w:r>
      <w:r w:rsidR="00702CED" w:rsidRPr="00702CED">
        <w:rPr>
          <w:rFonts w:ascii="Traditional Arabic" w:hAnsi="Traditional Arabic"/>
        </w:rPr>
        <w:sym w:font="AGA Arabesque" w:char="F072"/>
      </w:r>
      <w:r w:rsidR="00702CED" w:rsidRPr="00702CED">
        <w:rPr>
          <w:rFonts w:ascii="Traditional Arabic" w:hAnsi="Traditional Arabic" w:hint="cs"/>
          <w:rtl/>
        </w:rPr>
        <w:t xml:space="preserve"> </w:t>
      </w:r>
      <w:r w:rsidR="00702CED" w:rsidRPr="00702CED">
        <w:rPr>
          <w:rFonts w:ascii="Traditional Arabic" w:hAnsi="Traditional Arabic"/>
          <w:rtl/>
        </w:rPr>
        <w:t>أنه قال:</w:t>
      </w:r>
      <w:r w:rsidR="00702CED" w:rsidRPr="00702CED">
        <w:rPr>
          <w:rFonts w:ascii="Traditional Arabic" w:hAnsi="Traditional Arabic" w:hint="cs"/>
          <w:rtl/>
        </w:rPr>
        <w:t xml:space="preserve"> </w:t>
      </w:r>
      <w:r w:rsidR="00702CED" w:rsidRPr="00702CED">
        <w:rPr>
          <w:rFonts w:ascii="Traditional Arabic" w:hAnsi="Traditional Arabic"/>
          <w:rtl/>
        </w:rPr>
        <w:t>«جِنانُ الفردوس أربع، ثنتان من ذهب حليتهما وآنيتهما وما فيهما، وثنتان من فضة حليتهما وآنيتهما وما فيها، وليس بين القوم وبين أن ينظروا إِلى ربهم إِلا رداء الكبرياء على وجهه في جنة عدن»</w:t>
      </w:r>
      <w:r w:rsidR="005C2833" w:rsidRPr="005C2833">
        <w:rPr>
          <w:rStyle w:val="ae"/>
          <w:rtl/>
        </w:rPr>
        <w:t>(</w:t>
      </w:r>
      <w:r w:rsidR="005C2833">
        <w:rPr>
          <w:rStyle w:val="ae"/>
          <w:rtl/>
        </w:rPr>
        <w:footnoteReference w:id="126"/>
      </w:r>
      <w:r w:rsidR="005C2833" w:rsidRPr="005C2833">
        <w:rPr>
          <w:rStyle w:val="ae"/>
          <w:rtl/>
        </w:rPr>
        <w:t>)</w:t>
      </w:r>
      <w:r w:rsidR="00702CED" w:rsidRPr="00702CED">
        <w:rPr>
          <w:rFonts w:ascii="Traditional Arabic" w:hAnsi="Traditional Arabic"/>
          <w:rtl/>
        </w:rPr>
        <w:t>.</w:t>
      </w:r>
      <w:r w:rsidR="005C2833">
        <w:rPr>
          <w:rFonts w:ascii="Traditional Arabic" w:eastAsia="Calibri" w:hAnsi="Traditional Arabic" w:hint="cs"/>
          <w:color w:val="auto"/>
          <w:rtl/>
        </w:rPr>
        <w:t xml:space="preserve"> </w:t>
      </w:r>
    </w:p>
    <w:p w:rsidR="00702CED" w:rsidRPr="005C2833" w:rsidRDefault="00702CED" w:rsidP="000A7F19">
      <w:pPr>
        <w:spacing w:after="200" w:line="276" w:lineRule="auto"/>
        <w:ind w:firstLine="0"/>
        <w:contextualSpacing/>
        <w:rPr>
          <w:rFonts w:ascii="Traditional Arabic" w:eastAsia="Calibri" w:hAnsi="Traditional Arabic"/>
          <w:color w:val="auto"/>
          <w:rtl/>
        </w:rPr>
      </w:pPr>
      <w:r>
        <w:rPr>
          <w:rFonts w:ascii="Traditional Arabic" w:eastAsia="Calibri" w:hAnsi="Traditional Arabic" w:hint="cs"/>
          <w:color w:val="auto"/>
          <w:rtl/>
        </w:rPr>
        <w:t>وأما مثال الحديث الذي لم يذكر فيه الراوي, :</w:t>
      </w:r>
      <w:r w:rsidRPr="00702CED">
        <w:rPr>
          <w:rFonts w:ascii="Traditional Arabic" w:hAnsi="Traditional Arabic"/>
          <w:rtl/>
        </w:rPr>
        <w:t xml:space="preserve"> </w:t>
      </w:r>
      <w:r>
        <w:rPr>
          <w:rFonts w:ascii="Traditional Arabic" w:hAnsi="Traditional Arabic" w:hint="cs"/>
          <w:rtl/>
        </w:rPr>
        <w:t>قال رحمه الله عند</w:t>
      </w:r>
      <w:r w:rsidRPr="008032BA">
        <w:rPr>
          <w:rFonts w:ascii="Traditional Arabic" w:hAnsi="Traditional Arabic"/>
          <w:rtl/>
        </w:rPr>
        <w:t xml:space="preserve"> </w:t>
      </w:r>
      <w:r w:rsidRPr="00702CED">
        <w:rPr>
          <w:rFonts w:ascii="Traditional Arabic" w:hAnsi="Traditional Arabic"/>
          <w:rtl/>
        </w:rPr>
        <w:t>قوله تعالى:</w:t>
      </w:r>
      <w:r w:rsidR="00223B6C" w:rsidRPr="00223B6C">
        <w:rPr>
          <w:rFonts w:ascii="Traditional Arabic" w:hAnsi="Traditional Arabic"/>
          <w:rtl/>
        </w:rPr>
        <w:t xml:space="preserve"> </w:t>
      </w:r>
      <w:r w:rsidR="00223B6C" w:rsidRPr="00223B6C">
        <w:rPr>
          <w:rFonts w:ascii="QCF_BSML" w:hAnsi="QCF_BSML" w:cs="QCF_BSML"/>
          <w:color w:val="auto"/>
          <w:sz w:val="32"/>
          <w:szCs w:val="32"/>
          <w:rtl/>
          <w:lang w:eastAsia="en-US"/>
        </w:rPr>
        <w:t>ﭽ</w:t>
      </w:r>
      <w:r w:rsidR="00223B6C" w:rsidRPr="00223B6C">
        <w:rPr>
          <w:rFonts w:ascii="QCF_P305" w:hAnsi="QCF_P305" w:cs="QCF_P305"/>
          <w:color w:val="auto"/>
          <w:sz w:val="32"/>
          <w:szCs w:val="32"/>
          <w:rtl/>
          <w:lang w:eastAsia="en-US"/>
        </w:rPr>
        <w:t>ﭼ  ﭽ   ﭾ  ﭿ  ﮀ</w:t>
      </w:r>
      <w:r w:rsidR="00223B6C" w:rsidRPr="00223B6C">
        <w:rPr>
          <w:rFonts w:ascii="QCF_BSML" w:hAnsi="QCF_BSML" w:cs="QCF_BSML"/>
          <w:sz w:val="32"/>
          <w:szCs w:val="32"/>
          <w:rtl/>
          <w:lang w:eastAsia="en-US"/>
        </w:rPr>
        <w:t xml:space="preserve"> </w:t>
      </w:r>
      <w:r w:rsidR="00223B6C" w:rsidRPr="00223B6C">
        <w:rPr>
          <w:rFonts w:ascii="QCF_P305" w:hAnsi="QCF_P305" w:cs="QCF_P305"/>
          <w:color w:val="auto"/>
          <w:sz w:val="32"/>
          <w:szCs w:val="32"/>
          <w:rtl/>
          <w:lang w:eastAsia="en-US"/>
        </w:rPr>
        <w:t>ﮁ</w:t>
      </w:r>
      <w:r w:rsidR="00223B6C" w:rsidRPr="00223B6C">
        <w:rPr>
          <w:rFonts w:ascii="QCF_BSML" w:hAnsi="QCF_BSML" w:cs="QCF_BSML"/>
          <w:sz w:val="32"/>
          <w:szCs w:val="32"/>
          <w:rtl/>
          <w:lang w:eastAsia="en-US"/>
        </w:rPr>
        <w:t xml:space="preserve"> ﭼ</w:t>
      </w:r>
      <w:r w:rsidR="005C2833">
        <w:rPr>
          <w:rFonts w:ascii="Traditional Arabic" w:hAnsi="Traditional Arabic" w:hint="cs"/>
          <w:color w:val="0D0D0D" w:themeColor="text1" w:themeTint="F2"/>
          <w:sz w:val="32"/>
          <w:szCs w:val="32"/>
          <w:rtl/>
          <w:lang w:eastAsia="en-US"/>
        </w:rPr>
        <w:t>[مريم:6]</w:t>
      </w:r>
      <w:r w:rsidR="005C2833" w:rsidRPr="00702CED">
        <w:rPr>
          <w:rFonts w:ascii="QCF_P304" w:hAnsi="QCF_P304" w:cs="QCF_P304"/>
          <w:sz w:val="32"/>
          <w:szCs w:val="32"/>
          <w:rtl/>
          <w:lang w:eastAsia="en-US"/>
        </w:rPr>
        <w:t xml:space="preserve"> </w:t>
      </w:r>
      <w:r w:rsidR="005C2833">
        <w:rPr>
          <w:rFonts w:ascii="Traditional Arabic" w:hAnsi="Traditional Arabic" w:hint="cs"/>
          <w:rtl/>
        </w:rPr>
        <w:t xml:space="preserve"> </w:t>
      </w:r>
      <w:r w:rsidR="00223B6C" w:rsidRPr="00223B6C">
        <w:rPr>
          <w:rFonts w:ascii="Traditional Arabic" w:hAnsi="Traditional Arabic"/>
          <w:rtl/>
        </w:rPr>
        <w:t>قرأ ابن كثير، ونافع، وعاصم، وابن عامر، وحمزة:</w:t>
      </w:r>
      <w:r w:rsidR="00223B6C" w:rsidRPr="00223B6C">
        <w:rPr>
          <w:rFonts w:ascii="Traditional Arabic" w:hAnsi="Traditional Arabic" w:hint="cs"/>
          <w:rtl/>
        </w:rPr>
        <w:t xml:space="preserve"> </w:t>
      </w:r>
      <w:r w:rsidR="00223B6C" w:rsidRPr="00223B6C">
        <w:rPr>
          <w:rFonts w:ascii="Traditional Arabic" w:hAnsi="Traditional Arabic"/>
          <w:rtl/>
        </w:rPr>
        <w:t>«يَرِثُني ويَرِثُ» برفعهما</w:t>
      </w:r>
      <w:r w:rsidR="00223B6C">
        <w:rPr>
          <w:rFonts w:ascii="Traditional Arabic" w:hAnsi="Traditional Arabic" w:hint="cs"/>
          <w:rtl/>
        </w:rPr>
        <w:t>"...</w:t>
      </w:r>
      <w:r w:rsidR="00223B6C" w:rsidRPr="00223B6C">
        <w:rPr>
          <w:rFonts w:ascii="Traditional Arabic" w:hAnsi="Traditional Arabic"/>
          <w:rtl/>
        </w:rPr>
        <w:t>.</w:t>
      </w:r>
      <w:r w:rsidR="00223B6C">
        <w:rPr>
          <w:rFonts w:ascii="Traditional Arabic" w:hAnsi="Traditional Arabic" w:hint="cs"/>
          <w:rtl/>
        </w:rPr>
        <w:t xml:space="preserve"> إلى أن قال:</w:t>
      </w:r>
      <w:r w:rsidR="00223B6C" w:rsidRPr="00223B6C">
        <w:rPr>
          <w:rFonts w:ascii="Traditional Arabic" w:hAnsi="Traditional Arabic"/>
          <w:rtl/>
        </w:rPr>
        <w:t xml:space="preserve"> </w:t>
      </w:r>
      <w:r w:rsidR="00223B6C">
        <w:rPr>
          <w:rFonts w:ascii="Traditional Arabic" w:hAnsi="Traditional Arabic" w:hint="cs"/>
          <w:rtl/>
        </w:rPr>
        <w:t>"</w:t>
      </w:r>
      <w:r w:rsidR="00223B6C" w:rsidRPr="00223B6C">
        <w:rPr>
          <w:rFonts w:ascii="Traditional Arabic" w:hAnsi="Traditional Arabic"/>
          <w:rtl/>
        </w:rPr>
        <w:t>والصحيح:</w:t>
      </w:r>
      <w:r w:rsidR="000A7F19" w:rsidRPr="000A7F19">
        <w:rPr>
          <w:rFonts w:ascii="Traditional Arabic" w:hAnsi="Traditional Arabic"/>
          <w:rtl/>
        </w:rPr>
        <w:t xml:space="preserve"> أنه لم يُرِد ميراثَ المال لوجوه: أحدها: </w:t>
      </w:r>
      <w:r w:rsidR="00223B6C" w:rsidRPr="00223B6C">
        <w:rPr>
          <w:rFonts w:ascii="Traditional Arabic" w:hAnsi="Traditional Arabic"/>
          <w:rtl/>
        </w:rPr>
        <w:t xml:space="preserve"> أنه قد صحّ عن رسول </w:t>
      </w:r>
      <w:r w:rsidR="00223B6C" w:rsidRPr="00223B6C">
        <w:rPr>
          <w:rFonts w:ascii="Traditional Arabic" w:hAnsi="Traditional Arabic" w:hint="cs"/>
          <w:rtl/>
        </w:rPr>
        <w:t xml:space="preserve">الله </w:t>
      </w:r>
      <w:r w:rsidR="00223B6C" w:rsidRPr="00223B6C">
        <w:rPr>
          <w:rFonts w:ascii="Traditional Arabic" w:hAnsi="Traditional Arabic"/>
        </w:rPr>
        <w:t xml:space="preserve">  </w:t>
      </w:r>
      <w:r w:rsidR="00223B6C" w:rsidRPr="00223B6C">
        <w:rPr>
          <w:rFonts w:ascii="Traditional Arabic" w:hAnsi="Traditional Arabic" w:hint="cs"/>
        </w:rPr>
        <w:sym w:font="AGA Arabesque" w:char="F072"/>
      </w:r>
      <w:r w:rsidR="00223B6C" w:rsidRPr="00223B6C">
        <w:rPr>
          <w:rFonts w:ascii="Traditional Arabic" w:hAnsi="Traditional Arabic"/>
          <w:rtl/>
        </w:rPr>
        <w:t>أنه قال:</w:t>
      </w:r>
      <w:r w:rsidR="00223B6C" w:rsidRPr="00223B6C">
        <w:rPr>
          <w:rFonts w:ascii="Traditional Arabic" w:hAnsi="Traditional Arabic" w:hint="cs"/>
          <w:rtl/>
        </w:rPr>
        <w:t xml:space="preserve"> </w:t>
      </w:r>
      <w:r w:rsidR="00223B6C" w:rsidRPr="00223B6C">
        <w:rPr>
          <w:rFonts w:ascii="Traditional Arabic" w:hAnsi="Traditional Arabic"/>
          <w:rtl/>
        </w:rPr>
        <w:t>«نحن معاشر الأنبياء لا نورَث، ما تركناه صدقة»</w:t>
      </w:r>
      <w:r w:rsidR="00223B6C">
        <w:rPr>
          <w:rFonts w:ascii="Traditional Arabic" w:hAnsi="Traditional Arabic" w:hint="cs"/>
          <w:rtl/>
        </w:rPr>
        <w:t>"</w:t>
      </w:r>
      <w:r w:rsidR="005C2833" w:rsidRPr="005C2833">
        <w:rPr>
          <w:rStyle w:val="ae"/>
          <w:rtl/>
        </w:rPr>
        <w:t>(</w:t>
      </w:r>
      <w:r w:rsidR="005C2833">
        <w:rPr>
          <w:rStyle w:val="ae"/>
          <w:rtl/>
        </w:rPr>
        <w:footnoteReference w:id="127"/>
      </w:r>
      <w:r w:rsidR="005C2833" w:rsidRPr="005C2833">
        <w:rPr>
          <w:rStyle w:val="ae"/>
          <w:rtl/>
        </w:rPr>
        <w:t>)</w:t>
      </w:r>
      <w:r w:rsidR="00223B6C">
        <w:rPr>
          <w:rFonts w:ascii="Traditional Arabic" w:hAnsi="Traditional Arabic" w:hint="cs"/>
          <w:rtl/>
        </w:rPr>
        <w:t>.</w:t>
      </w:r>
    </w:p>
    <w:p w:rsidR="00B46390" w:rsidRDefault="00D11232" w:rsidP="00F725A8">
      <w:pPr>
        <w:numPr>
          <w:ilvl w:val="0"/>
          <w:numId w:val="12"/>
        </w:numPr>
        <w:spacing w:after="200" w:line="276" w:lineRule="auto"/>
        <w:ind w:left="0" w:firstLine="0"/>
        <w:contextualSpacing/>
        <w:jc w:val="lowKashida"/>
        <w:rPr>
          <w:rFonts w:ascii="Traditional Arabic" w:hAnsi="Traditional Arabic"/>
          <w:color w:val="auto"/>
        </w:rPr>
      </w:pPr>
      <w:r w:rsidRPr="00B34BA7">
        <w:rPr>
          <w:rFonts w:ascii="Traditional Arabic" w:eastAsia="Calibri" w:hAnsi="Traditional Arabic"/>
          <w:color w:val="auto"/>
          <w:rtl/>
        </w:rPr>
        <w:t>لا يحكم على الأحاديث صحة أو ضعفا</w:t>
      </w:r>
      <w:r w:rsidR="00223B6C" w:rsidRPr="00B34BA7">
        <w:rPr>
          <w:rFonts w:ascii="Traditional Arabic" w:eastAsia="Calibri" w:hAnsi="Traditional Arabic" w:hint="cs"/>
          <w:color w:val="auto"/>
          <w:rtl/>
        </w:rPr>
        <w:t>ً</w:t>
      </w:r>
      <w:r w:rsidRPr="00B34BA7">
        <w:rPr>
          <w:rFonts w:ascii="Traditional Arabic" w:eastAsia="Calibri" w:hAnsi="Traditional Arabic"/>
          <w:color w:val="auto"/>
          <w:rtl/>
        </w:rPr>
        <w:t xml:space="preserve"> إلا نادرا</w:t>
      </w:r>
      <w:r w:rsidR="00B05DDF">
        <w:rPr>
          <w:rFonts w:ascii="Traditional Arabic" w:eastAsia="Calibri" w:hAnsi="Traditional Arabic" w:hint="cs"/>
          <w:color w:val="auto"/>
          <w:rtl/>
        </w:rPr>
        <w:t>ً</w:t>
      </w:r>
      <w:r w:rsidRPr="00B34BA7">
        <w:rPr>
          <w:rFonts w:ascii="Traditional Arabic" w:eastAsia="Calibri" w:hAnsi="Traditional Arabic"/>
          <w:color w:val="auto"/>
          <w:rtl/>
        </w:rPr>
        <w:t xml:space="preserve">: مثاله </w:t>
      </w:r>
      <w:r w:rsidR="00B34BA7" w:rsidRPr="00B34BA7">
        <w:rPr>
          <w:rFonts w:ascii="Traditional Arabic" w:hAnsi="Traditional Arabic" w:hint="cs"/>
          <w:rtl/>
        </w:rPr>
        <w:t>قال رحمه الله عند</w:t>
      </w:r>
      <w:r w:rsidR="00B34BA7">
        <w:rPr>
          <w:rFonts w:ascii="Traditional Arabic" w:eastAsia="Calibri" w:hAnsi="Traditional Arabic" w:hint="cs"/>
          <w:color w:val="auto"/>
          <w:rtl/>
        </w:rPr>
        <w:t xml:space="preserve"> </w:t>
      </w:r>
      <w:r w:rsidRPr="00B34BA7">
        <w:rPr>
          <w:rFonts w:ascii="Traditional Arabic" w:eastAsia="Calibri" w:hAnsi="Traditional Arabic"/>
          <w:color w:val="auto"/>
          <w:rtl/>
        </w:rPr>
        <w:t xml:space="preserve"> </w:t>
      </w:r>
      <w:r w:rsidR="00B34BA7" w:rsidRPr="00B34BA7">
        <w:rPr>
          <w:rFonts w:ascii="Traditional Arabic" w:hAnsi="Traditional Arabic"/>
          <w:color w:val="auto"/>
          <w:rtl/>
        </w:rPr>
        <w:t xml:space="preserve">قوله تعالى: </w:t>
      </w:r>
      <w:r w:rsidR="00B34BA7" w:rsidRPr="00B34BA7">
        <w:rPr>
          <w:rFonts w:ascii="QCF_BSML" w:hAnsi="QCF_BSML" w:cs="QCF_BSML"/>
          <w:color w:val="auto"/>
          <w:sz w:val="32"/>
          <w:szCs w:val="32"/>
          <w:rtl/>
          <w:lang w:eastAsia="en-US"/>
        </w:rPr>
        <w:t>ﭽ</w:t>
      </w:r>
      <w:r w:rsidR="000A7F19">
        <w:rPr>
          <w:rFonts w:ascii="QCF_P300" w:hAnsi="QCF_P300" w:cs="QCF_P300" w:hint="cs"/>
          <w:color w:val="auto"/>
          <w:sz w:val="32"/>
          <w:szCs w:val="32"/>
          <w:rtl/>
          <w:lang w:eastAsia="en-US"/>
        </w:rPr>
        <w:t xml:space="preserve"> </w:t>
      </w:r>
      <w:r w:rsidR="00B34BA7" w:rsidRPr="00B34BA7">
        <w:rPr>
          <w:rFonts w:ascii="QCF_P300" w:hAnsi="QCF_P300" w:cs="QCF_P300"/>
          <w:color w:val="auto"/>
          <w:sz w:val="32"/>
          <w:szCs w:val="32"/>
          <w:rtl/>
          <w:lang w:eastAsia="en-US"/>
        </w:rPr>
        <w:t>ﯫ  ﯬ  ﯭ  ﯮ</w:t>
      </w:r>
      <w:r w:rsidR="000A7F19">
        <w:rPr>
          <w:rFonts w:ascii="QCF_P300" w:hAnsi="QCF_P300" w:cs="QCF_P300" w:hint="cs"/>
          <w:color w:val="auto"/>
          <w:sz w:val="32"/>
          <w:szCs w:val="32"/>
          <w:rtl/>
          <w:lang w:eastAsia="en-US"/>
        </w:rPr>
        <w:t xml:space="preserve"> </w:t>
      </w:r>
      <w:r w:rsidR="00B34BA7" w:rsidRPr="00B34BA7">
        <w:rPr>
          <w:rFonts w:ascii="QCF_BSML" w:hAnsi="QCF_BSML" w:cs="QCF_BSML"/>
          <w:color w:val="auto"/>
          <w:sz w:val="32"/>
          <w:szCs w:val="32"/>
          <w:rtl/>
          <w:lang w:eastAsia="en-US"/>
        </w:rPr>
        <w:t>ﭼ</w:t>
      </w:r>
      <w:r w:rsidR="000A7F19">
        <w:rPr>
          <w:rFonts w:ascii="QCF_BSML" w:hAnsi="QCF_BSML" w:cs="QCF_BSML" w:hint="cs"/>
          <w:color w:val="auto"/>
          <w:sz w:val="32"/>
          <w:szCs w:val="32"/>
          <w:rtl/>
          <w:lang w:eastAsia="en-US"/>
        </w:rPr>
        <w:t xml:space="preserve"> </w:t>
      </w:r>
      <w:r w:rsidR="000A7F19">
        <w:rPr>
          <w:rFonts w:ascii="Traditional Arabic" w:hAnsi="Traditional Arabic" w:hint="cs"/>
          <w:color w:val="0D0D0D" w:themeColor="text1" w:themeTint="F2"/>
          <w:sz w:val="32"/>
          <w:szCs w:val="32"/>
          <w:rtl/>
          <w:lang w:eastAsia="en-US"/>
        </w:rPr>
        <w:t>[الكهف:60]</w:t>
      </w:r>
      <w:r w:rsidR="00B34BA7" w:rsidRPr="00B34BA7">
        <w:rPr>
          <w:rFonts w:ascii="Traditional Arabic" w:hAnsi="Traditional Arabic"/>
          <w:color w:val="auto"/>
          <w:rtl/>
        </w:rPr>
        <w:t>... الآية.</w:t>
      </w:r>
      <w:r w:rsidR="00B34BA7">
        <w:rPr>
          <w:rFonts w:ascii="Traditional Arabic" w:hAnsi="Traditional Arabic" w:hint="cs"/>
          <w:color w:val="auto"/>
          <w:rtl/>
        </w:rPr>
        <w:t xml:space="preserve"> </w:t>
      </w:r>
      <w:r w:rsidR="00B34BA7" w:rsidRPr="00B34BA7">
        <w:rPr>
          <w:rFonts w:ascii="Traditional Arabic" w:hAnsi="Traditional Arabic"/>
          <w:color w:val="auto"/>
          <w:rtl/>
        </w:rPr>
        <w:t xml:space="preserve">سبب خروج موسى عليه السلام في هذا </w:t>
      </w:r>
      <w:r w:rsidR="00B34BA7" w:rsidRPr="00B34BA7">
        <w:rPr>
          <w:rFonts w:ascii="Traditional Arabic" w:hAnsi="Traditional Arabic"/>
          <w:rtl/>
        </w:rPr>
        <w:t>السفر، ما روى ابن عباس عن أُبيّ بن كعب عن رسول الله</w:t>
      </w:r>
      <w:r w:rsidR="00B34BA7" w:rsidRPr="00B34BA7">
        <w:rPr>
          <w:rFonts w:ascii="Traditional Arabic" w:hAnsi="Traditional Arabic" w:hint="cs"/>
          <w:rtl/>
        </w:rPr>
        <w:t xml:space="preserve"> </w:t>
      </w:r>
      <w:r w:rsidR="00B34BA7" w:rsidRPr="00B34BA7">
        <w:rPr>
          <w:rFonts w:ascii="Traditional Arabic" w:hAnsi="Traditional Arabic"/>
        </w:rPr>
        <w:t xml:space="preserve"> </w:t>
      </w:r>
      <w:r w:rsidR="00B34BA7" w:rsidRPr="00B34BA7">
        <w:rPr>
          <w:rFonts w:ascii="Traditional Arabic" w:hAnsi="Traditional Arabic"/>
        </w:rPr>
        <w:sym w:font="AGA Arabesque" w:char="F072"/>
      </w:r>
      <w:r w:rsidR="00B34BA7" w:rsidRPr="00B34BA7">
        <w:rPr>
          <w:rFonts w:ascii="Traditional Arabic" w:hAnsi="Traditional Arabic"/>
          <w:rtl/>
        </w:rPr>
        <w:t>قال: «إِن موسى قام خطيباً في بني إِسرائيل، فس</w:t>
      </w:r>
      <w:r w:rsidR="00B34BA7" w:rsidRPr="00B34BA7">
        <w:rPr>
          <w:rFonts w:ascii="Traditional Arabic" w:hAnsi="Traditional Arabic" w:hint="cs"/>
          <w:rtl/>
        </w:rPr>
        <w:t>ُ</w:t>
      </w:r>
      <w:r w:rsidR="00B34BA7" w:rsidRPr="00B34BA7">
        <w:rPr>
          <w:rFonts w:ascii="Traditional Arabic" w:hAnsi="Traditional Arabic"/>
          <w:rtl/>
        </w:rPr>
        <w:t>ئ</w:t>
      </w:r>
      <w:r w:rsidR="00B34BA7" w:rsidRPr="00B34BA7">
        <w:rPr>
          <w:rFonts w:ascii="Traditional Arabic" w:hAnsi="Traditional Arabic" w:hint="cs"/>
          <w:rtl/>
        </w:rPr>
        <w:t>ِ</w:t>
      </w:r>
      <w:r w:rsidR="00B34BA7" w:rsidRPr="00B34BA7">
        <w:rPr>
          <w:rFonts w:ascii="Traditional Arabic" w:hAnsi="Traditional Arabic"/>
          <w:rtl/>
        </w:rPr>
        <w:t>ل</w:t>
      </w:r>
      <w:r w:rsidR="00B34BA7" w:rsidRPr="00B34BA7">
        <w:rPr>
          <w:rFonts w:ascii="Traditional Arabic" w:hAnsi="Traditional Arabic" w:hint="cs"/>
          <w:rtl/>
        </w:rPr>
        <w:t>َ</w:t>
      </w:r>
      <w:r w:rsidR="00B34BA7" w:rsidRPr="00B34BA7">
        <w:rPr>
          <w:rFonts w:ascii="Traditional Arabic" w:hAnsi="Traditional Arabic"/>
          <w:rtl/>
        </w:rPr>
        <w:t>: أي الناس أعلم؟ فقال: أنا، فعتب الله تعالى عليه إِذ لم يَرُدَّ العِلْم إِليه، فأوحى الله إِليه أن لي عبداً بمجمع البحرين هو أعلم منك قال موسى: يا رب فكيف لي به؟ قال: تأخذ معك حوتاً فتجعله في مِكتل، فحيثما فقَدتَ الحوت فهو ثَمَّ</w:t>
      </w:r>
      <w:r w:rsidR="00B34BA7" w:rsidRPr="00B34BA7">
        <w:rPr>
          <w:rFonts w:ascii="Traditional Arabic" w:hAnsi="Traditional Arabic" w:hint="cs"/>
          <w:rtl/>
        </w:rPr>
        <w:t xml:space="preserve">؛ </w:t>
      </w:r>
      <w:r w:rsidR="00B34BA7" w:rsidRPr="00B34BA7">
        <w:rPr>
          <w:rFonts w:ascii="Traditional Arabic" w:hAnsi="Traditional Arabic"/>
          <w:rtl/>
        </w:rPr>
        <w:t xml:space="preserve">فانطلق معه فتاه يوشع بن نون، حتى إذا أتيا الصّخرة، وضعا رؤوسهما فناما، واضطرب أي </w:t>
      </w:r>
      <w:r w:rsidR="00B34BA7" w:rsidRPr="00B34BA7">
        <w:rPr>
          <w:rFonts w:ascii="Traditional Arabic" w:hAnsi="Traditional Arabic"/>
          <w:rtl/>
        </w:rPr>
        <w:lastRenderedPageBreak/>
        <w:t>الحوت في المِكْتَل فخرج منه فسقط في البحر، فاتخذ سبيله في البحر سَرَباً، وأمسك الله عن الحوت جِرْيَةَ الماء، فصار عليه مثل الطاق</w:t>
      </w:r>
      <w:r w:rsidR="00B34BA7" w:rsidRPr="00B34BA7">
        <w:rPr>
          <w:rFonts w:ascii="Traditional Arabic" w:hAnsi="Traditional Arabic" w:hint="cs"/>
          <w:rtl/>
        </w:rPr>
        <w:t>.</w:t>
      </w:r>
      <w:r w:rsidR="00B34BA7" w:rsidRPr="00B34BA7">
        <w:rPr>
          <w:rFonts w:ascii="Traditional Arabic" w:hAnsi="Traditional Arabic"/>
          <w:rtl/>
        </w:rPr>
        <w:t xml:space="preserve"> فلما استيقظ نسي صاحبُه أن يخبره بالحوت، فانطلقا بقية يومهما وليلتهما، حتى إِذا كان من الغد قال موسى </w:t>
      </w:r>
      <w:r w:rsidR="00B34BA7" w:rsidRPr="00B34BA7">
        <w:rPr>
          <w:rFonts w:ascii="QCF_BSML" w:hAnsi="QCF_BSML" w:cs="QCF_BSML"/>
          <w:color w:val="auto"/>
          <w:sz w:val="32"/>
          <w:szCs w:val="32"/>
          <w:rtl/>
          <w:lang w:eastAsia="en-US"/>
        </w:rPr>
        <w:t>ﭽ</w:t>
      </w:r>
      <w:r w:rsidR="00B34BA7" w:rsidRPr="00B34BA7">
        <w:rPr>
          <w:rFonts w:ascii="QCF_P301" w:hAnsi="QCF_P301" w:cs="QCF_P301"/>
          <w:color w:val="auto"/>
          <w:sz w:val="32"/>
          <w:szCs w:val="32"/>
          <w:rtl/>
          <w:lang w:eastAsia="en-US"/>
        </w:rPr>
        <w:t>ﭔ  ﭕ  ﭖ  ﭗ  ﭘ  ﭙ  ﭚ   ﭛ  ﭜ</w:t>
      </w:r>
      <w:r w:rsidR="00B34BA7" w:rsidRPr="00B34BA7">
        <w:rPr>
          <w:rFonts w:ascii="QCF_BSML" w:hAnsi="QCF_BSML" w:cs="QCF_BSML"/>
          <w:color w:val="auto"/>
          <w:sz w:val="32"/>
          <w:szCs w:val="32"/>
          <w:rtl/>
          <w:lang w:eastAsia="en-US"/>
        </w:rPr>
        <w:t>ﭼ</w:t>
      </w:r>
      <w:r w:rsidR="000A7F19">
        <w:rPr>
          <w:rFonts w:ascii="Traditional Arabic" w:hAnsi="Traditional Arabic" w:hint="cs"/>
          <w:color w:val="0D0D0D" w:themeColor="text1" w:themeTint="F2"/>
          <w:sz w:val="32"/>
          <w:szCs w:val="32"/>
          <w:rtl/>
          <w:lang w:eastAsia="en-US"/>
        </w:rPr>
        <w:t>[الكهف:61]</w:t>
      </w:r>
      <w:r w:rsidR="00B34BA7" w:rsidRPr="00B34BA7">
        <w:rPr>
          <w:rFonts w:ascii="QCF_P301" w:hAnsi="QCF_P301" w:cs="QCF_P301"/>
          <w:color w:val="auto"/>
          <w:sz w:val="32"/>
          <w:szCs w:val="32"/>
          <w:rtl/>
          <w:lang w:eastAsia="en-US"/>
        </w:rPr>
        <w:t xml:space="preserve">  </w:t>
      </w:r>
      <w:r w:rsidR="00B34BA7" w:rsidRPr="00B34BA7">
        <w:rPr>
          <w:rFonts w:ascii="Traditional Arabic" w:hAnsi="Traditional Arabic"/>
          <w:rtl/>
        </w:rPr>
        <w:t xml:space="preserve"> قال: ولم يجد موسى النَّصَب حتى جاوز المكان الذي أمره الله به، فقال فتاه: </w:t>
      </w:r>
      <w:r w:rsidR="00B34BA7" w:rsidRPr="00B34BA7">
        <w:rPr>
          <w:rFonts w:ascii="QCF_BSML" w:hAnsi="QCF_BSML" w:cs="QCF_BSML"/>
          <w:color w:val="auto"/>
          <w:sz w:val="32"/>
          <w:szCs w:val="32"/>
          <w:rtl/>
          <w:lang w:eastAsia="en-US"/>
        </w:rPr>
        <w:t>ﭽ</w:t>
      </w:r>
      <w:r w:rsidR="00B34BA7" w:rsidRPr="00B34BA7">
        <w:rPr>
          <w:rFonts w:ascii="QCF_P301" w:hAnsi="QCF_P301" w:cs="QCF_P301"/>
          <w:sz w:val="32"/>
          <w:szCs w:val="32"/>
          <w:rtl/>
          <w:lang w:eastAsia="en-US"/>
        </w:rPr>
        <w:t xml:space="preserve"> ﭟ  ﭠ  ﭡ  </w:t>
      </w:r>
      <w:r w:rsidR="00B34BA7" w:rsidRPr="00B34BA7">
        <w:rPr>
          <w:rFonts w:ascii="QCF_BSML" w:hAnsi="QCF_BSML" w:cs="QCF_BSML"/>
          <w:color w:val="auto"/>
          <w:sz w:val="32"/>
          <w:szCs w:val="32"/>
          <w:rtl/>
          <w:lang w:eastAsia="en-US"/>
        </w:rPr>
        <w:t>ﭼ</w:t>
      </w:r>
      <w:r w:rsidR="00B34BA7" w:rsidRPr="00B34BA7">
        <w:rPr>
          <w:rFonts w:ascii="Traditional Arabic" w:hAnsi="Traditional Arabic"/>
          <w:rtl/>
        </w:rPr>
        <w:t xml:space="preserve"> إِلى قوله: </w:t>
      </w:r>
      <w:r w:rsidR="00B34BA7" w:rsidRPr="00B34BA7">
        <w:rPr>
          <w:rFonts w:ascii="QCF_BSML" w:hAnsi="QCF_BSML" w:cs="QCF_BSML"/>
          <w:color w:val="auto"/>
          <w:sz w:val="32"/>
          <w:szCs w:val="32"/>
          <w:rtl/>
          <w:lang w:eastAsia="en-US"/>
        </w:rPr>
        <w:t>ﭽ</w:t>
      </w:r>
      <w:r w:rsidR="00B34BA7" w:rsidRPr="00B34BA7">
        <w:rPr>
          <w:rFonts w:ascii="QCF_P301" w:hAnsi="QCF_P301" w:cs="QCF_P301"/>
          <w:sz w:val="32"/>
          <w:szCs w:val="32"/>
          <w:rtl/>
          <w:lang w:eastAsia="en-US"/>
        </w:rPr>
        <w:t xml:space="preserve"> ﭲ</w:t>
      </w:r>
      <w:r w:rsidR="00B34BA7" w:rsidRPr="00B34BA7">
        <w:rPr>
          <w:rFonts w:ascii="QCF_BSML" w:hAnsi="QCF_BSML" w:cs="QCF_BSML"/>
          <w:color w:val="auto"/>
          <w:sz w:val="32"/>
          <w:szCs w:val="32"/>
          <w:rtl/>
          <w:lang w:eastAsia="en-US"/>
        </w:rPr>
        <w:t xml:space="preserve"> ﭼ</w:t>
      </w:r>
      <w:r w:rsidR="000A7F19">
        <w:rPr>
          <w:rFonts w:ascii="Traditional Arabic" w:hAnsi="Traditional Arabic" w:hint="cs"/>
          <w:color w:val="0D0D0D" w:themeColor="text1" w:themeTint="F2"/>
          <w:sz w:val="32"/>
          <w:szCs w:val="32"/>
          <w:rtl/>
          <w:lang w:eastAsia="en-US"/>
        </w:rPr>
        <w:t>[الكهف:63]</w:t>
      </w:r>
      <w:r w:rsidR="00B34BA7" w:rsidRPr="00B34BA7">
        <w:rPr>
          <w:rFonts w:ascii="Traditional Arabic" w:hAnsi="Traditional Arabic"/>
          <w:rtl/>
        </w:rPr>
        <w:t xml:space="preserve"> قال:</w:t>
      </w:r>
      <w:r w:rsidR="00B34BA7" w:rsidRPr="00B34BA7">
        <w:rPr>
          <w:rFonts w:ascii="Traditional Arabic" w:hAnsi="Traditional Arabic" w:hint="cs"/>
          <w:rtl/>
        </w:rPr>
        <w:t xml:space="preserve"> </w:t>
      </w:r>
      <w:r w:rsidR="00B34BA7" w:rsidRPr="00B34BA7">
        <w:rPr>
          <w:rFonts w:ascii="Traditional Arabic" w:hAnsi="Traditional Arabic"/>
          <w:rtl/>
        </w:rPr>
        <w:t xml:space="preserve">فكان للحوت سَرَباً، ولموسى ولفتاه عجباً، فقال موسى: </w:t>
      </w:r>
      <w:r w:rsidR="00B34BA7" w:rsidRPr="00B34BA7">
        <w:rPr>
          <w:rFonts w:ascii="QCF_BSML" w:hAnsi="QCF_BSML" w:cs="QCF_BSML"/>
          <w:color w:val="auto"/>
          <w:sz w:val="32"/>
          <w:szCs w:val="32"/>
          <w:rtl/>
          <w:lang w:eastAsia="en-US"/>
        </w:rPr>
        <w:t>ﭽ</w:t>
      </w:r>
      <w:r w:rsidR="00B34BA7" w:rsidRPr="00B34BA7">
        <w:rPr>
          <w:rFonts w:ascii="QCF_P301" w:hAnsi="QCF_P301" w:cs="QCF_P301"/>
          <w:color w:val="auto"/>
          <w:sz w:val="32"/>
          <w:szCs w:val="32"/>
          <w:rtl/>
          <w:lang w:eastAsia="en-US"/>
        </w:rPr>
        <w:t>ﭵ  ﭶ  ﭷ     ﭸﭹ  ﭺ  ﭻ  ﭼ   ﭽ</w:t>
      </w:r>
      <w:r w:rsidR="00B34BA7" w:rsidRPr="00B34BA7">
        <w:rPr>
          <w:rFonts w:ascii="QCF_BSML" w:hAnsi="QCF_BSML" w:cs="QCF_BSML"/>
          <w:color w:val="auto"/>
          <w:sz w:val="32"/>
          <w:szCs w:val="32"/>
          <w:rtl/>
          <w:lang w:eastAsia="en-US"/>
        </w:rPr>
        <w:t>ﭼ</w:t>
      </w:r>
      <w:r w:rsidR="000A7F19">
        <w:rPr>
          <w:rFonts w:ascii="Traditional Arabic" w:hAnsi="Traditional Arabic" w:hint="cs"/>
          <w:color w:val="0D0D0D" w:themeColor="text1" w:themeTint="F2"/>
          <w:sz w:val="32"/>
          <w:szCs w:val="32"/>
          <w:rtl/>
          <w:lang w:eastAsia="en-US"/>
        </w:rPr>
        <w:t>[الكهف:64]</w:t>
      </w:r>
      <w:r w:rsidR="00B34BA7" w:rsidRPr="00B34BA7">
        <w:rPr>
          <w:rFonts w:ascii="Traditional Arabic" w:hAnsi="Traditional Arabic"/>
          <w:rtl/>
        </w:rPr>
        <w:t xml:space="preserve"> قال: رجعا يقصّان آثارهما حتى انتهيا إِلى الصخرة، فاذا هو مسجَّىً بثوب، فسلَّم عليه موسى، فقال الخضر: وأنّى بأرضك السلام! مَنْ أنت؟ قال: أنا موسى، قال: موسى بني إِسرائيل؟ قال: نعم أتيتك لتعلِّمني </w:t>
      </w:r>
      <w:r w:rsidR="00B34BA7" w:rsidRPr="00B34BA7">
        <w:rPr>
          <w:rFonts w:ascii="QCF_BSML" w:hAnsi="QCF_BSML" w:cs="QCF_BSML"/>
          <w:color w:val="auto"/>
          <w:sz w:val="32"/>
          <w:szCs w:val="32"/>
          <w:rtl/>
          <w:lang w:eastAsia="en-US"/>
        </w:rPr>
        <w:t>ﭽ</w:t>
      </w:r>
      <w:r w:rsidR="00B34BA7" w:rsidRPr="00B34BA7">
        <w:rPr>
          <w:rFonts w:ascii="QCF_P301" w:hAnsi="QCF_P301" w:cs="QCF_P301"/>
          <w:sz w:val="32"/>
          <w:szCs w:val="32"/>
          <w:rtl/>
          <w:lang w:eastAsia="en-US"/>
        </w:rPr>
        <w:t xml:space="preserve"> ﮔ  ﮕ  ﮖ  ﮗ  ﮘ  ﮙ    ﮚ  ﮛ   ﮜ  ﮝ  </w:t>
      </w:r>
      <w:r w:rsidR="00B34BA7" w:rsidRPr="00B34BA7">
        <w:rPr>
          <w:rFonts w:ascii="QCF_BSML" w:hAnsi="QCF_BSML" w:cs="QCF_BSML"/>
          <w:color w:val="auto"/>
          <w:sz w:val="32"/>
          <w:szCs w:val="32"/>
          <w:rtl/>
          <w:lang w:eastAsia="en-US"/>
        </w:rPr>
        <w:t>ﭼ</w:t>
      </w:r>
      <w:r w:rsidR="000A7F19">
        <w:rPr>
          <w:rFonts w:ascii="Traditional Arabic" w:hAnsi="Traditional Arabic" w:hint="cs"/>
          <w:color w:val="0D0D0D" w:themeColor="text1" w:themeTint="F2"/>
          <w:sz w:val="32"/>
          <w:szCs w:val="32"/>
          <w:rtl/>
          <w:lang w:eastAsia="en-US"/>
        </w:rPr>
        <w:t>[الكهف:66-67]</w:t>
      </w:r>
      <w:r w:rsidR="00B34BA7" w:rsidRPr="00B34BA7">
        <w:rPr>
          <w:rFonts w:ascii="Traditional Arabic" w:hAnsi="Traditional Arabic"/>
          <w:rtl/>
        </w:rPr>
        <w:t xml:space="preserve"> يا موسى، إِني على عِلْم مِنْ عِلْم الله لا تعلمُه علَّمَنِيه، وأنت على عِلْم من عِلْم الله علَّمَكهُ لا أعلمه فقال موسى: </w:t>
      </w:r>
      <w:r w:rsidR="00B34BA7" w:rsidRPr="00B34BA7">
        <w:rPr>
          <w:rFonts w:ascii="QCF_BSML" w:hAnsi="QCF_BSML" w:cs="QCF_BSML"/>
          <w:color w:val="auto"/>
          <w:sz w:val="32"/>
          <w:szCs w:val="32"/>
          <w:rtl/>
          <w:lang w:eastAsia="en-US"/>
        </w:rPr>
        <w:t>ﭽ</w:t>
      </w:r>
      <w:r w:rsidR="00B34BA7" w:rsidRPr="00B34BA7">
        <w:rPr>
          <w:rFonts w:ascii="QCF_P301" w:hAnsi="QCF_P301" w:cs="QCF_P301"/>
          <w:sz w:val="32"/>
          <w:szCs w:val="32"/>
          <w:rtl/>
          <w:lang w:eastAsia="en-US"/>
        </w:rPr>
        <w:t xml:space="preserve"> ﮩ  ﮪ     ﮫ  ﮬ  ﮭ </w:t>
      </w:r>
      <w:r w:rsidR="00B34BA7" w:rsidRPr="00B34BA7">
        <w:rPr>
          <w:rFonts w:ascii="QCF_P301" w:hAnsi="QCF_P301" w:cs="QCF_P301" w:hint="cs"/>
          <w:sz w:val="32"/>
          <w:szCs w:val="32"/>
          <w:rtl/>
          <w:lang w:eastAsia="en-US"/>
        </w:rPr>
        <w:t xml:space="preserve"> </w:t>
      </w:r>
      <w:r w:rsidR="00B34BA7" w:rsidRPr="00B34BA7">
        <w:rPr>
          <w:rFonts w:ascii="QCF_P301" w:hAnsi="QCF_P301" w:cs="QCF_P301"/>
          <w:sz w:val="32"/>
          <w:szCs w:val="32"/>
          <w:rtl/>
          <w:lang w:eastAsia="en-US"/>
        </w:rPr>
        <w:t xml:space="preserve"> ﮮ  ﮯ  ﮰ  ﮱ</w:t>
      </w:r>
      <w:r w:rsidR="00B34BA7" w:rsidRPr="00B34BA7">
        <w:rPr>
          <w:rFonts w:ascii="QCF_BSML" w:hAnsi="QCF_BSML" w:cs="QCF_BSML"/>
          <w:color w:val="auto"/>
          <w:sz w:val="32"/>
          <w:szCs w:val="32"/>
          <w:rtl/>
          <w:lang w:eastAsia="en-US"/>
        </w:rPr>
        <w:t>ﭼ</w:t>
      </w:r>
      <w:r w:rsidR="000A7F19">
        <w:rPr>
          <w:rFonts w:ascii="Traditional Arabic" w:hAnsi="Traditional Arabic" w:hint="cs"/>
          <w:color w:val="0D0D0D" w:themeColor="text1" w:themeTint="F2"/>
          <w:sz w:val="32"/>
          <w:szCs w:val="32"/>
          <w:rtl/>
          <w:lang w:eastAsia="en-US"/>
        </w:rPr>
        <w:t>[الكهف:69]</w:t>
      </w:r>
      <w:r w:rsidR="00B34BA7" w:rsidRPr="00B34BA7">
        <w:rPr>
          <w:rFonts w:ascii="QCF_P301" w:hAnsi="QCF_P301" w:cs="QCF_P301" w:hint="cs"/>
          <w:sz w:val="32"/>
          <w:szCs w:val="32"/>
          <w:rtl/>
          <w:lang w:eastAsia="en-US"/>
        </w:rPr>
        <w:t xml:space="preserve">   </w:t>
      </w:r>
      <w:r w:rsidR="00B34BA7" w:rsidRPr="00B34BA7">
        <w:rPr>
          <w:rFonts w:ascii="QCF_P301" w:hAnsi="QCF_P301" w:cs="QCF_P301"/>
          <w:sz w:val="32"/>
          <w:szCs w:val="32"/>
          <w:rtl/>
          <w:lang w:eastAsia="en-US"/>
        </w:rPr>
        <w:t xml:space="preserve"> </w:t>
      </w:r>
      <w:r w:rsidR="00B34BA7" w:rsidRPr="00B34BA7">
        <w:rPr>
          <w:rFonts w:ascii="Traditional Arabic" w:hAnsi="Traditional Arabic"/>
          <w:rtl/>
        </w:rPr>
        <w:t xml:space="preserve">فقال له الخضر: </w:t>
      </w:r>
      <w:r w:rsidR="00B34BA7" w:rsidRPr="00B34BA7">
        <w:rPr>
          <w:rFonts w:ascii="QCF_BSML" w:hAnsi="QCF_BSML" w:cs="QCF_BSML"/>
          <w:color w:val="auto"/>
          <w:sz w:val="32"/>
          <w:szCs w:val="32"/>
          <w:rtl/>
          <w:lang w:eastAsia="en-US"/>
        </w:rPr>
        <w:t>ﭽ</w:t>
      </w:r>
      <w:r w:rsidR="00B34BA7" w:rsidRPr="00B34BA7">
        <w:rPr>
          <w:rFonts w:ascii="QCF_P301" w:hAnsi="QCF_P301" w:cs="QCF_P301"/>
          <w:sz w:val="32"/>
          <w:szCs w:val="32"/>
          <w:rtl/>
          <w:lang w:eastAsia="en-US"/>
        </w:rPr>
        <w:t xml:space="preserve">ﯕ  ﯖ  ﯗ  ﯘ  ﯙ  ﯚ  ﯛ  ﯜ  ﯝ  ﯞ  ﯟ   ﯠ  </w:t>
      </w:r>
      <w:r w:rsidR="00B34BA7" w:rsidRPr="00B34BA7">
        <w:rPr>
          <w:rFonts w:ascii="QCF_BSML" w:hAnsi="QCF_BSML" w:cs="QCF_BSML"/>
          <w:sz w:val="32"/>
          <w:szCs w:val="32"/>
          <w:rtl/>
          <w:lang w:eastAsia="en-US"/>
        </w:rPr>
        <w:t xml:space="preserve"> </w:t>
      </w:r>
      <w:r w:rsidR="00B34BA7" w:rsidRPr="00B34BA7">
        <w:rPr>
          <w:rFonts w:ascii="QCF_P301" w:hAnsi="QCF_P301" w:cs="QCF_P301"/>
          <w:sz w:val="32"/>
          <w:szCs w:val="32"/>
          <w:rtl/>
          <w:lang w:eastAsia="en-US"/>
        </w:rPr>
        <w:t xml:space="preserve">ﯡ  </w:t>
      </w:r>
      <w:r w:rsidR="00B34BA7" w:rsidRPr="00B34BA7">
        <w:rPr>
          <w:rFonts w:ascii="QCF_BSML" w:hAnsi="QCF_BSML" w:cs="QCF_BSML"/>
          <w:color w:val="auto"/>
          <w:sz w:val="32"/>
          <w:szCs w:val="32"/>
          <w:rtl/>
          <w:lang w:eastAsia="en-US"/>
        </w:rPr>
        <w:t>ﭼ</w:t>
      </w:r>
      <w:r w:rsidR="000A7F19">
        <w:rPr>
          <w:rFonts w:ascii="Traditional Arabic" w:hAnsi="Traditional Arabic" w:hint="cs"/>
          <w:color w:val="0D0D0D" w:themeColor="text1" w:themeTint="F2"/>
          <w:sz w:val="32"/>
          <w:szCs w:val="32"/>
          <w:rtl/>
          <w:lang w:eastAsia="en-US"/>
        </w:rPr>
        <w:t>[الكهف:70-71]</w:t>
      </w:r>
      <w:r w:rsidR="00B34BA7" w:rsidRPr="00B34BA7">
        <w:rPr>
          <w:rFonts w:ascii="Traditional Arabic" w:hAnsi="Traditional Arabic"/>
          <w:rtl/>
        </w:rPr>
        <w:t xml:space="preserve"> يمشيان على الساحل، فمرَّت سفينة فكلَّموهم أن يحملوهم، فعرفوا الخضر فحملوه بغير نَوْلٍ</w:t>
      </w:r>
      <w:r w:rsidR="00B34BA7" w:rsidRPr="00B34BA7">
        <w:rPr>
          <w:rFonts w:hint="cs"/>
          <w:vertAlign w:val="superscript"/>
          <w:rtl/>
        </w:rPr>
        <w:t xml:space="preserve"> </w:t>
      </w:r>
      <w:r w:rsidR="00B34BA7" w:rsidRPr="00B34BA7">
        <w:rPr>
          <w:rFonts w:ascii="Traditional Arabic" w:hAnsi="Traditional Arabic"/>
          <w:rtl/>
        </w:rPr>
        <w:t xml:space="preserve">فلما ركبا في السفينة لم يفجأ إِلا والخضر قد قلع لوحاً من ألواح السفينة بالقَدوم، فقال له موسى: قوم قد حملونا بغير نَوْل عمدتَ إِلى سفينتهم فخرقتها </w:t>
      </w:r>
      <w:r w:rsidR="00B34BA7" w:rsidRPr="00B34BA7">
        <w:rPr>
          <w:rFonts w:ascii="QCF_BSML" w:hAnsi="QCF_BSML" w:cs="QCF_BSML"/>
          <w:color w:val="auto"/>
          <w:sz w:val="32"/>
          <w:szCs w:val="32"/>
          <w:rtl/>
          <w:lang w:eastAsia="en-US"/>
        </w:rPr>
        <w:t>ﭽ</w:t>
      </w:r>
      <w:r w:rsidR="00B34BA7" w:rsidRPr="00B34BA7">
        <w:rPr>
          <w:rFonts w:ascii="QCF_P301" w:hAnsi="QCF_P301" w:cs="QCF_P301"/>
          <w:color w:val="auto"/>
          <w:sz w:val="32"/>
          <w:szCs w:val="32"/>
          <w:rtl/>
          <w:lang w:eastAsia="en-US"/>
        </w:rPr>
        <w:t xml:space="preserve">ﯫ  ﯬ  </w:t>
      </w:r>
      <w:r w:rsidR="00B34BA7" w:rsidRPr="00B34BA7">
        <w:rPr>
          <w:rFonts w:ascii="QCF_BSML" w:hAnsi="QCF_BSML" w:cs="QCF_BSML"/>
          <w:color w:val="auto"/>
          <w:sz w:val="32"/>
          <w:szCs w:val="32"/>
          <w:rtl/>
          <w:lang w:eastAsia="en-US"/>
        </w:rPr>
        <w:t>ﭼ</w:t>
      </w:r>
      <w:r w:rsidR="000A7F19">
        <w:rPr>
          <w:rFonts w:ascii="Traditional Arabic" w:hAnsi="Traditional Arabic" w:hint="cs"/>
          <w:color w:val="0D0D0D" w:themeColor="text1" w:themeTint="F2"/>
          <w:sz w:val="32"/>
          <w:szCs w:val="32"/>
          <w:rtl/>
          <w:lang w:eastAsia="en-US"/>
        </w:rPr>
        <w:t>[الكهف:71]</w:t>
      </w:r>
      <w:r w:rsidR="00B34BA7" w:rsidRPr="00B34BA7">
        <w:rPr>
          <w:rFonts w:ascii="Traditional Arabic" w:hAnsi="Traditional Arabic"/>
          <w:rtl/>
        </w:rPr>
        <w:t xml:space="preserve"> ... إِلى قوله: </w:t>
      </w:r>
      <w:r w:rsidR="00B34BA7" w:rsidRPr="00B34BA7">
        <w:rPr>
          <w:rFonts w:ascii="QCF_BSML" w:hAnsi="QCF_BSML" w:cs="QCF_BSML"/>
          <w:color w:val="auto"/>
          <w:sz w:val="32"/>
          <w:szCs w:val="32"/>
          <w:rtl/>
          <w:lang w:eastAsia="en-US"/>
        </w:rPr>
        <w:t>ﭽ</w:t>
      </w:r>
      <w:r w:rsidR="00B34BA7" w:rsidRPr="00B34BA7">
        <w:rPr>
          <w:rFonts w:ascii="QCF_P301" w:hAnsi="QCF_P301" w:cs="QCF_P301"/>
          <w:color w:val="auto"/>
          <w:sz w:val="32"/>
          <w:szCs w:val="32"/>
          <w:rtl/>
          <w:lang w:eastAsia="en-US"/>
        </w:rPr>
        <w:t xml:space="preserve"> ﰄ </w:t>
      </w:r>
      <w:r w:rsidR="00B34BA7" w:rsidRPr="00B34BA7">
        <w:rPr>
          <w:rFonts w:ascii="QCF_BSML" w:hAnsi="QCF_BSML" w:cs="QCF_BSML"/>
          <w:color w:val="auto"/>
          <w:sz w:val="32"/>
          <w:szCs w:val="32"/>
          <w:rtl/>
          <w:lang w:eastAsia="en-US"/>
        </w:rPr>
        <w:t>ﭼ</w:t>
      </w:r>
      <w:r w:rsidR="000A7F19">
        <w:rPr>
          <w:rFonts w:ascii="Traditional Arabic" w:hAnsi="Traditional Arabic" w:hint="cs"/>
          <w:color w:val="0D0D0D" w:themeColor="text1" w:themeTint="F2"/>
          <w:sz w:val="32"/>
          <w:szCs w:val="32"/>
          <w:rtl/>
          <w:lang w:eastAsia="en-US"/>
        </w:rPr>
        <w:t>[الكهف:73]</w:t>
      </w:r>
      <w:r w:rsidR="00B34BA7" w:rsidRPr="00B34BA7">
        <w:rPr>
          <w:rFonts w:ascii="Traditional Arabic" w:hAnsi="Traditional Arabic"/>
          <w:rtl/>
        </w:rPr>
        <w:t xml:space="preserve"> ؟! قال: وقال رسول الله</w:t>
      </w:r>
      <w:r w:rsidR="00B34BA7" w:rsidRPr="00B34BA7">
        <w:rPr>
          <w:rFonts w:ascii="Traditional Arabic" w:hAnsi="Traditional Arabic"/>
        </w:rPr>
        <w:t xml:space="preserve"> :</w:t>
      </w:r>
      <w:r w:rsidR="00B34BA7" w:rsidRPr="00B34BA7">
        <w:rPr>
          <w:rFonts w:ascii="Traditional Arabic" w:hAnsi="Traditional Arabic"/>
        </w:rPr>
        <w:sym w:font="AGA Arabesque" w:char="F072"/>
      </w:r>
      <w:r w:rsidR="00B34BA7" w:rsidRPr="00B34BA7">
        <w:rPr>
          <w:rFonts w:ascii="Traditional Arabic" w:hAnsi="Traditional Arabic"/>
          <w:rtl/>
        </w:rPr>
        <w:t>«كانت الأولى من موسى نسيانا» قال: وجاء عصفور فوقع على حرف</w:t>
      </w:r>
      <w:r w:rsidR="00B34BA7" w:rsidRPr="00B34BA7">
        <w:rPr>
          <w:rFonts w:hint="cs"/>
          <w:vertAlign w:val="superscript"/>
          <w:rtl/>
        </w:rPr>
        <w:t xml:space="preserve"> </w:t>
      </w:r>
      <w:r w:rsidR="00B34BA7" w:rsidRPr="00B34BA7">
        <w:rPr>
          <w:rFonts w:ascii="Traditional Arabic" w:hAnsi="Traditional Arabic"/>
          <w:rtl/>
        </w:rPr>
        <w:t>السفينة، فنقر في البحر نقرة، فقال له الخضر: ما علمي وعلمك من علم الله عزّ وجلّ إِلا مثل ما نقص هذا العصفور من هذا البحر، ثم خرجا من السفينة، فبينما هما يمشيان على الساحل، إِذ أبصر الخضر غلاماً يلعب مع الغلمان، فأخذ الخضر رأسه بيده</w:t>
      </w:r>
      <w:r w:rsidR="00B34BA7" w:rsidRPr="00B34BA7">
        <w:rPr>
          <w:rFonts w:ascii="Traditional Arabic" w:hAnsi="Traditional Arabic" w:hint="cs"/>
          <w:rtl/>
        </w:rPr>
        <w:t xml:space="preserve"> </w:t>
      </w:r>
      <w:r w:rsidR="00B34BA7" w:rsidRPr="00B34BA7">
        <w:rPr>
          <w:rFonts w:ascii="Traditional Arabic" w:hAnsi="Traditional Arabic"/>
          <w:rtl/>
        </w:rPr>
        <w:t xml:space="preserve">فاقتلعه فقتله، فقال له موسى: </w:t>
      </w:r>
      <w:r w:rsidR="00B34BA7" w:rsidRPr="00B34BA7">
        <w:rPr>
          <w:rFonts w:ascii="QCF_BSML" w:hAnsi="QCF_BSML" w:cs="QCF_BSML"/>
          <w:color w:val="auto"/>
          <w:sz w:val="32"/>
          <w:szCs w:val="32"/>
          <w:rtl/>
          <w:lang w:eastAsia="en-US"/>
        </w:rPr>
        <w:lastRenderedPageBreak/>
        <w:t>ﭽ</w:t>
      </w:r>
      <w:r w:rsidR="00B34BA7" w:rsidRPr="00B34BA7">
        <w:rPr>
          <w:rFonts w:ascii="QCF_P301" w:hAnsi="QCF_P301" w:cs="QCF_P301"/>
          <w:color w:val="auto"/>
          <w:sz w:val="32"/>
          <w:szCs w:val="32"/>
          <w:rtl/>
          <w:lang w:eastAsia="en-US"/>
        </w:rPr>
        <w:t>ﰍ  ﰎ  ﰏ</w:t>
      </w:r>
      <w:r w:rsidR="00B34BA7" w:rsidRPr="00B34BA7">
        <w:rPr>
          <w:rFonts w:ascii="QCF_BSML" w:hAnsi="QCF_BSML" w:cs="QCF_BSML"/>
          <w:color w:val="auto"/>
          <w:sz w:val="32"/>
          <w:szCs w:val="32"/>
          <w:rtl/>
          <w:lang w:eastAsia="en-US"/>
        </w:rPr>
        <w:t>ﭼ</w:t>
      </w:r>
      <w:r w:rsidR="000A7F19">
        <w:rPr>
          <w:rFonts w:ascii="Traditional Arabic" w:hAnsi="Traditional Arabic" w:hint="cs"/>
          <w:color w:val="0D0D0D" w:themeColor="text1" w:themeTint="F2"/>
          <w:sz w:val="32"/>
          <w:szCs w:val="32"/>
          <w:rtl/>
          <w:lang w:eastAsia="en-US"/>
        </w:rPr>
        <w:t xml:space="preserve"> [الكهف:74]</w:t>
      </w:r>
      <w:r w:rsidR="00B34BA7" w:rsidRPr="00B34BA7">
        <w:rPr>
          <w:rFonts w:ascii="Traditional Arabic" w:hAnsi="Traditional Arabic" w:hint="cs"/>
          <w:rtl/>
        </w:rPr>
        <w:t xml:space="preserve"> </w:t>
      </w:r>
      <w:r w:rsidR="00B34BA7" w:rsidRPr="00B34BA7">
        <w:rPr>
          <w:rFonts w:ascii="Traditional Arabic" w:hAnsi="Traditional Arabic"/>
          <w:rtl/>
        </w:rPr>
        <w:t xml:space="preserve">إِلى قوله: </w:t>
      </w:r>
      <w:r w:rsidR="00B34BA7" w:rsidRPr="00B34BA7">
        <w:rPr>
          <w:rFonts w:ascii="QCF_BSML" w:hAnsi="QCF_BSML" w:cs="QCF_BSML"/>
          <w:color w:val="auto"/>
          <w:sz w:val="32"/>
          <w:szCs w:val="32"/>
          <w:rtl/>
          <w:lang w:eastAsia="en-US"/>
        </w:rPr>
        <w:t>ﭽ</w:t>
      </w:r>
      <w:r w:rsidR="00B34BA7" w:rsidRPr="00B34BA7">
        <w:rPr>
          <w:rFonts w:ascii="QCF_P302" w:hAnsi="QCF_P302" w:cs="QCF_P302"/>
          <w:color w:val="auto"/>
          <w:sz w:val="32"/>
          <w:szCs w:val="32"/>
          <w:rtl/>
          <w:lang w:eastAsia="en-US"/>
        </w:rPr>
        <w:t xml:space="preserve"> ﭹ  ﭺ  ﭻ</w:t>
      </w:r>
      <w:r w:rsidR="000A7F19">
        <w:rPr>
          <w:rFonts w:ascii="QCF_BSML" w:hAnsi="QCF_BSML" w:cs="QCF_BSML" w:hint="cs"/>
          <w:color w:val="auto"/>
          <w:sz w:val="32"/>
          <w:szCs w:val="32"/>
          <w:rtl/>
          <w:lang w:eastAsia="en-US"/>
        </w:rPr>
        <w:t xml:space="preserve"> </w:t>
      </w:r>
      <w:r w:rsidR="00B34BA7" w:rsidRPr="00B34BA7">
        <w:rPr>
          <w:rFonts w:ascii="QCF_BSML" w:hAnsi="QCF_BSML" w:cs="QCF_BSML"/>
          <w:color w:val="auto"/>
          <w:sz w:val="32"/>
          <w:szCs w:val="32"/>
          <w:rtl/>
          <w:lang w:eastAsia="en-US"/>
        </w:rPr>
        <w:t>ﭼ</w:t>
      </w:r>
      <w:r w:rsidR="000A7F19">
        <w:rPr>
          <w:rFonts w:ascii="Traditional Arabic" w:hAnsi="Traditional Arabic" w:hint="cs"/>
          <w:color w:val="0D0D0D" w:themeColor="text1" w:themeTint="F2"/>
          <w:sz w:val="32"/>
          <w:szCs w:val="32"/>
          <w:rtl/>
          <w:lang w:eastAsia="en-US"/>
        </w:rPr>
        <w:t>[الكهف:77]</w:t>
      </w:r>
      <w:r w:rsidR="00B34BA7" w:rsidRPr="00B34BA7">
        <w:rPr>
          <w:rFonts w:ascii="Traditional Arabic" w:hAnsi="Traditional Arabic"/>
          <w:rtl/>
        </w:rPr>
        <w:t xml:space="preserve"> فقال الخضر بيده هكذا، </w:t>
      </w:r>
      <w:r w:rsidR="00B34BA7" w:rsidRPr="00B34BA7">
        <w:rPr>
          <w:rFonts w:ascii="QCF_BSML" w:hAnsi="QCF_BSML" w:cs="QCF_BSML"/>
          <w:color w:val="auto"/>
          <w:sz w:val="32"/>
          <w:szCs w:val="32"/>
          <w:rtl/>
          <w:lang w:eastAsia="en-US"/>
        </w:rPr>
        <w:t>ﭽ</w:t>
      </w:r>
      <w:r w:rsidR="000A7F19">
        <w:rPr>
          <w:rFonts w:ascii="QCF_BSML" w:hAnsi="QCF_BSML" w:cs="QCF_BSML" w:hint="cs"/>
          <w:color w:val="auto"/>
          <w:sz w:val="32"/>
          <w:szCs w:val="32"/>
          <w:rtl/>
          <w:lang w:eastAsia="en-US"/>
        </w:rPr>
        <w:t xml:space="preserve"> </w:t>
      </w:r>
      <w:r w:rsidR="00B34BA7" w:rsidRPr="00B34BA7">
        <w:rPr>
          <w:rFonts w:ascii="QCF_P302" w:hAnsi="QCF_P302" w:cs="QCF_P302"/>
          <w:color w:val="auto"/>
          <w:sz w:val="32"/>
          <w:szCs w:val="32"/>
          <w:rtl/>
          <w:lang w:eastAsia="en-US"/>
        </w:rPr>
        <w:t>ﭼ</w:t>
      </w:r>
      <w:r w:rsidR="000A7F19">
        <w:rPr>
          <w:rFonts w:ascii="QCF_BSML" w:hAnsi="QCF_BSML" w:cs="QCF_BSML" w:hint="cs"/>
          <w:color w:val="auto"/>
          <w:sz w:val="32"/>
          <w:szCs w:val="32"/>
          <w:rtl/>
          <w:lang w:eastAsia="en-US"/>
        </w:rPr>
        <w:t xml:space="preserve"> </w:t>
      </w:r>
      <w:r w:rsidR="00B34BA7" w:rsidRPr="00B34BA7">
        <w:rPr>
          <w:rFonts w:ascii="QCF_BSML" w:hAnsi="QCF_BSML" w:cs="QCF_BSML"/>
          <w:color w:val="auto"/>
          <w:sz w:val="32"/>
          <w:szCs w:val="32"/>
          <w:rtl/>
          <w:lang w:eastAsia="en-US"/>
        </w:rPr>
        <w:t>ﭼ</w:t>
      </w:r>
      <w:r w:rsidR="000A7F19">
        <w:rPr>
          <w:rFonts w:ascii="QCF_BSML" w:hAnsi="QCF_BSML" w:cs="QCF_BSML" w:hint="cs"/>
          <w:color w:val="auto"/>
          <w:sz w:val="32"/>
          <w:szCs w:val="32"/>
          <w:rtl/>
          <w:lang w:eastAsia="en-US"/>
        </w:rPr>
        <w:t xml:space="preserve"> </w:t>
      </w:r>
      <w:r w:rsidR="000A7F19">
        <w:rPr>
          <w:rFonts w:ascii="Traditional Arabic" w:hAnsi="Traditional Arabic" w:hint="cs"/>
          <w:color w:val="0D0D0D" w:themeColor="text1" w:themeTint="F2"/>
          <w:sz w:val="32"/>
          <w:szCs w:val="32"/>
          <w:rtl/>
          <w:lang w:eastAsia="en-US"/>
        </w:rPr>
        <w:t xml:space="preserve"> [الكهف:77]</w:t>
      </w:r>
      <w:r w:rsidR="00B34BA7" w:rsidRPr="00B34BA7">
        <w:rPr>
          <w:rFonts w:ascii="Traditional Arabic" w:hAnsi="Traditional Arabic"/>
          <w:rtl/>
        </w:rPr>
        <w:t xml:space="preserve"> فقال موسى: قوم أتيناهم فلم يطعمونا، ولم يضيِّفونا </w:t>
      </w:r>
      <w:r w:rsidR="00B34BA7" w:rsidRPr="00B34BA7">
        <w:rPr>
          <w:rFonts w:ascii="QCF_BSML" w:hAnsi="QCF_BSML" w:cs="QCF_BSML"/>
          <w:color w:val="auto"/>
          <w:sz w:val="32"/>
          <w:szCs w:val="32"/>
          <w:rtl/>
          <w:lang w:eastAsia="en-US"/>
        </w:rPr>
        <w:t>ﭽ</w:t>
      </w:r>
      <w:r w:rsidR="00B34BA7" w:rsidRPr="00B34BA7">
        <w:rPr>
          <w:rFonts w:ascii="QCF_P302" w:hAnsi="QCF_P302" w:cs="QCF_P302"/>
          <w:color w:val="auto"/>
          <w:sz w:val="32"/>
          <w:szCs w:val="32"/>
          <w:rtl/>
          <w:lang w:eastAsia="en-US"/>
        </w:rPr>
        <w:t xml:space="preserve">  ﭿ    ﮀ  ﮁ  ﮂ  ﮃ  ﮄ  ﮅ  ﮆ  ﮇ  ﮈ    ﮉ</w:t>
      </w:r>
      <w:r w:rsidR="00B34BA7" w:rsidRPr="00B34BA7">
        <w:rPr>
          <w:rFonts w:ascii="QCF_BSML" w:hAnsi="QCF_BSML" w:cs="QCF_BSML"/>
          <w:color w:val="auto"/>
          <w:sz w:val="32"/>
          <w:szCs w:val="32"/>
          <w:rtl/>
          <w:lang w:eastAsia="en-US"/>
        </w:rPr>
        <w:t>ﭼ</w:t>
      </w:r>
      <w:r w:rsidR="000A7F19">
        <w:rPr>
          <w:rFonts w:ascii="Traditional Arabic" w:hAnsi="Traditional Arabic" w:hint="cs"/>
          <w:color w:val="0D0D0D" w:themeColor="text1" w:themeTint="F2"/>
          <w:sz w:val="32"/>
          <w:szCs w:val="32"/>
          <w:rtl/>
          <w:lang w:eastAsia="en-US"/>
        </w:rPr>
        <w:t>[الكهف:77-78]</w:t>
      </w:r>
      <w:r w:rsidR="00B34BA7" w:rsidRPr="00B34BA7">
        <w:rPr>
          <w:rFonts w:ascii="Traditional Arabic" w:hAnsi="Traditional Arabic"/>
          <w:rtl/>
        </w:rPr>
        <w:t xml:space="preserve"> الآية». هذا حديث صحيح أخرجه البخاري ومسلم في «الصحيحين»</w:t>
      </w:r>
      <w:r w:rsidR="000A7F19" w:rsidRPr="000A7F19">
        <w:rPr>
          <w:rStyle w:val="ae"/>
          <w:rtl/>
        </w:rPr>
        <w:t>(</w:t>
      </w:r>
      <w:r w:rsidR="000A7F19">
        <w:rPr>
          <w:rStyle w:val="ae"/>
          <w:rtl/>
        </w:rPr>
        <w:footnoteReference w:id="128"/>
      </w:r>
      <w:r w:rsidR="000A7F19" w:rsidRPr="000A7F19">
        <w:rPr>
          <w:rStyle w:val="ae"/>
          <w:rtl/>
        </w:rPr>
        <w:t>)</w:t>
      </w:r>
      <w:r w:rsidR="00C21C02">
        <w:rPr>
          <w:rFonts w:ascii="Traditional Arabic" w:hAnsi="Traditional Arabic" w:hint="cs"/>
          <w:rtl/>
        </w:rPr>
        <w:t>.</w:t>
      </w:r>
    </w:p>
    <w:p w:rsidR="00C21C02" w:rsidRDefault="00C21C02" w:rsidP="00C21C02">
      <w:pPr>
        <w:spacing w:after="200" w:line="276" w:lineRule="auto"/>
        <w:ind w:firstLine="0"/>
        <w:contextualSpacing/>
        <w:jc w:val="lowKashida"/>
        <w:rPr>
          <w:rFonts w:ascii="Traditional Arabic" w:hAnsi="Traditional Arabic"/>
          <w:color w:val="auto"/>
          <w:rtl/>
        </w:rPr>
      </w:pPr>
    </w:p>
    <w:p w:rsidR="00156E9B" w:rsidRDefault="00156E9B" w:rsidP="00C21C02">
      <w:pPr>
        <w:spacing w:after="200" w:line="276" w:lineRule="auto"/>
        <w:ind w:firstLine="0"/>
        <w:contextualSpacing/>
        <w:jc w:val="lowKashida"/>
        <w:rPr>
          <w:rFonts w:ascii="Traditional Arabic" w:hAnsi="Traditional Arabic"/>
          <w:color w:val="auto"/>
        </w:rPr>
      </w:pPr>
    </w:p>
    <w:p w:rsidR="00156E9B" w:rsidRDefault="00D11232" w:rsidP="00C443D8">
      <w:pPr>
        <w:numPr>
          <w:ilvl w:val="0"/>
          <w:numId w:val="11"/>
        </w:numPr>
        <w:spacing w:after="200" w:line="276" w:lineRule="auto"/>
        <w:ind w:left="0" w:firstLine="0"/>
        <w:contextualSpacing/>
        <w:jc w:val="lowKashida"/>
        <w:rPr>
          <w:rFonts w:ascii="Traditional Arabic" w:eastAsia="Calibri" w:hAnsi="Traditional Arabic"/>
          <w:color w:val="auto"/>
        </w:rPr>
      </w:pPr>
      <w:r w:rsidRPr="00C17B7B">
        <w:rPr>
          <w:rFonts w:ascii="Traditional Arabic" w:eastAsia="Calibri" w:hAnsi="Traditional Arabic"/>
          <w:color w:val="auto"/>
          <w:rtl/>
        </w:rPr>
        <w:t>تفسير القرآن بأقوال الصحابة والتابعين:</w:t>
      </w:r>
    </w:p>
    <w:p w:rsidR="00156E9B" w:rsidRDefault="00156E9B" w:rsidP="00BD5ED5">
      <w:pPr>
        <w:spacing w:after="200" w:line="276" w:lineRule="auto"/>
        <w:ind w:firstLine="0"/>
        <w:contextualSpacing/>
        <w:jc w:val="lowKashida"/>
        <w:rPr>
          <w:rFonts w:ascii="Traditional Arabic" w:eastAsia="Calibri" w:hAnsi="Traditional Arabic"/>
          <w:color w:val="auto"/>
          <w:rtl/>
        </w:rPr>
      </w:pPr>
      <w:r>
        <w:rPr>
          <w:rFonts w:ascii="Traditional Arabic" w:eastAsia="Calibri" w:hAnsi="Traditional Arabic"/>
          <w:color w:val="auto"/>
          <w:rtl/>
        </w:rPr>
        <w:t xml:space="preserve">ومن ذلك أن يذكر </w:t>
      </w:r>
      <w:r>
        <w:rPr>
          <w:rFonts w:ascii="Traditional Arabic" w:eastAsia="Calibri" w:hAnsi="Traditional Arabic" w:hint="cs"/>
          <w:color w:val="auto"/>
          <w:rtl/>
        </w:rPr>
        <w:t>عن الصحابة أو التابعين</w:t>
      </w:r>
      <w:r w:rsidR="00B05DDF">
        <w:rPr>
          <w:rFonts w:ascii="Traditional Arabic" w:eastAsia="Calibri" w:hAnsi="Traditional Arabic" w:hint="cs"/>
          <w:color w:val="auto"/>
          <w:rtl/>
        </w:rPr>
        <w:t xml:space="preserve"> تفسيراً </w:t>
      </w:r>
      <w:r w:rsidR="00BD5ED5">
        <w:rPr>
          <w:rFonts w:ascii="Traditional Arabic" w:eastAsia="Calibri" w:hAnsi="Traditional Arabic" w:hint="cs"/>
          <w:color w:val="auto"/>
          <w:rtl/>
        </w:rPr>
        <w:t>يوضح معنى</w:t>
      </w:r>
      <w:r w:rsidR="00BC7A47">
        <w:rPr>
          <w:rFonts w:ascii="Traditional Arabic" w:eastAsia="Calibri" w:hAnsi="Traditional Arabic" w:hint="cs"/>
          <w:color w:val="auto"/>
          <w:rtl/>
        </w:rPr>
        <w:t xml:space="preserve"> في الآية</w:t>
      </w:r>
      <w:r w:rsidRPr="00156E9B">
        <w:rPr>
          <w:rFonts w:ascii="Traditional Arabic" w:eastAsia="Calibri" w:hAnsi="Traditional Arabic"/>
          <w:color w:val="auto"/>
          <w:rtl/>
        </w:rPr>
        <w:t>, مثاله:</w:t>
      </w:r>
    </w:p>
    <w:p w:rsidR="00156E9B" w:rsidRDefault="00156E9B" w:rsidP="003333BC">
      <w:pPr>
        <w:spacing w:after="200" w:line="276" w:lineRule="auto"/>
        <w:ind w:firstLine="0"/>
        <w:contextualSpacing/>
        <w:jc w:val="lowKashida"/>
        <w:rPr>
          <w:rFonts w:ascii="Traditional Arabic" w:eastAsia="Calibri" w:hAnsi="Traditional Arabic"/>
          <w:color w:val="auto"/>
          <w:rtl/>
        </w:rPr>
      </w:pPr>
      <w:r>
        <w:rPr>
          <w:rFonts w:ascii="Traditional Arabic" w:eastAsia="Calibri" w:hAnsi="Traditional Arabic" w:hint="cs"/>
          <w:color w:val="auto"/>
          <w:rtl/>
        </w:rPr>
        <w:t xml:space="preserve">1-  </w:t>
      </w:r>
      <w:r>
        <w:rPr>
          <w:rFonts w:ascii="Traditional Arabic" w:hAnsi="Traditional Arabic" w:hint="cs"/>
          <w:rtl/>
        </w:rPr>
        <w:t>قال رحمه الله عند</w:t>
      </w:r>
      <w:r w:rsidRPr="008032BA">
        <w:rPr>
          <w:rFonts w:ascii="Traditional Arabic" w:hAnsi="Traditional Arabic"/>
          <w:rtl/>
        </w:rPr>
        <w:t xml:space="preserve"> </w:t>
      </w:r>
      <w:r w:rsidRPr="00B07E03">
        <w:rPr>
          <w:rFonts w:ascii="Traditional Arabic" w:hAnsi="Traditional Arabic"/>
          <w:color w:val="0D0D0D" w:themeColor="text1" w:themeTint="F2"/>
          <w:rtl/>
          <w:lang w:eastAsia="en-US"/>
        </w:rPr>
        <w:t>قوله تعالى:</w:t>
      </w:r>
      <w:r>
        <w:rPr>
          <w:rFonts w:ascii="Traditional Arabic" w:hAnsi="Traditional Arabic" w:hint="cs"/>
          <w:color w:val="0D0D0D" w:themeColor="text1" w:themeTint="F2"/>
          <w:rtl/>
          <w:lang w:eastAsia="en-US"/>
        </w:rPr>
        <w:t xml:space="preserve"> </w:t>
      </w:r>
      <w:r w:rsidRPr="00F509AE">
        <w:rPr>
          <w:rFonts w:ascii="QCF_BSML" w:hAnsi="QCF_BSML" w:cs="QCF_BSML"/>
          <w:color w:val="0D0D0D" w:themeColor="text1" w:themeTint="F2"/>
          <w:sz w:val="32"/>
          <w:szCs w:val="32"/>
          <w:rtl/>
          <w:lang w:eastAsia="en-US"/>
        </w:rPr>
        <w:t>ﭽ</w:t>
      </w:r>
      <w:r w:rsidRPr="00F509AE">
        <w:rPr>
          <w:rFonts w:ascii="QCF_P288" w:hAnsi="QCF_P288" w:cs="QCF_P288"/>
          <w:color w:val="0D0D0D" w:themeColor="text1" w:themeTint="F2"/>
          <w:sz w:val="32"/>
          <w:szCs w:val="32"/>
          <w:rtl/>
          <w:lang w:eastAsia="en-US"/>
        </w:rPr>
        <w:t>ﭠ ﭡ</w:t>
      </w:r>
      <w:r w:rsidRPr="00F509AE">
        <w:rPr>
          <w:rFonts w:ascii="QCF_BSML" w:hAnsi="QCF_BSML" w:cs="QCF_BSML"/>
          <w:color w:val="0D0D0D" w:themeColor="text1" w:themeTint="F2"/>
          <w:sz w:val="32"/>
          <w:szCs w:val="32"/>
          <w:rtl/>
          <w:lang w:eastAsia="en-US"/>
        </w:rPr>
        <w:t>ﭼ</w:t>
      </w:r>
      <w:r w:rsidR="003333BC">
        <w:rPr>
          <w:rFonts w:ascii="Traditional Arabic" w:hAnsi="Traditional Arabic" w:hint="cs"/>
          <w:color w:val="0D0D0D" w:themeColor="text1" w:themeTint="F2"/>
          <w:sz w:val="32"/>
          <w:szCs w:val="32"/>
          <w:rtl/>
          <w:lang w:eastAsia="en-US"/>
        </w:rPr>
        <w:t xml:space="preserve"> [الإسراء:59]</w:t>
      </w:r>
      <w:r>
        <w:rPr>
          <w:rFonts w:ascii="QCF_BSML" w:hAnsi="QCF_BSML" w:cs="QCF_BSML" w:hint="cs"/>
          <w:color w:val="0D0D0D" w:themeColor="text1" w:themeTint="F2"/>
          <w:sz w:val="47"/>
          <w:szCs w:val="47"/>
          <w:rtl/>
          <w:lang w:eastAsia="en-US"/>
        </w:rPr>
        <w:t xml:space="preserve">  </w:t>
      </w:r>
      <w:r w:rsidRPr="00B07E03">
        <w:rPr>
          <w:rFonts w:ascii="QCF_BSML" w:hAnsi="QCF_BSML" w:cs="QCF_BSML"/>
          <w:color w:val="0D0D0D" w:themeColor="text1" w:themeTint="F2"/>
          <w:sz w:val="47"/>
          <w:szCs w:val="47"/>
          <w:rtl/>
          <w:lang w:eastAsia="en-US"/>
        </w:rPr>
        <w:t xml:space="preserve"> </w:t>
      </w:r>
      <w:r w:rsidRPr="00B07E03">
        <w:rPr>
          <w:rFonts w:ascii="Traditional Arabic" w:hAnsi="Traditional Arabic"/>
          <w:color w:val="0D0D0D" w:themeColor="text1" w:themeTint="F2"/>
          <w:rtl/>
          <w:lang w:eastAsia="en-US"/>
        </w:rPr>
        <w:t>قال ابن عباس: فجحدوا بها</w:t>
      </w:r>
      <w:r w:rsidRPr="00156E9B">
        <w:rPr>
          <w:rStyle w:val="ae"/>
          <w:rFonts w:eastAsia="Calibri"/>
          <w:rtl/>
        </w:rPr>
        <w:t>(</w:t>
      </w:r>
      <w:r>
        <w:rPr>
          <w:rStyle w:val="ae"/>
          <w:rFonts w:eastAsia="Calibri"/>
          <w:rtl/>
        </w:rPr>
        <w:footnoteReference w:id="129"/>
      </w:r>
      <w:r w:rsidRPr="00156E9B">
        <w:rPr>
          <w:rStyle w:val="ae"/>
          <w:rFonts w:eastAsia="Calibri"/>
          <w:rtl/>
        </w:rPr>
        <w:t>)</w:t>
      </w:r>
      <w:r>
        <w:rPr>
          <w:rFonts w:ascii="Traditional Arabic" w:eastAsia="Calibri" w:hAnsi="Traditional Arabic" w:hint="cs"/>
          <w:color w:val="auto"/>
          <w:rtl/>
        </w:rPr>
        <w:t>.</w:t>
      </w:r>
    </w:p>
    <w:p w:rsidR="00156E9B" w:rsidRDefault="00156E9B" w:rsidP="00156E9B">
      <w:pPr>
        <w:spacing w:after="200" w:line="276" w:lineRule="auto"/>
        <w:ind w:firstLine="0"/>
        <w:contextualSpacing/>
        <w:jc w:val="lowKashida"/>
        <w:rPr>
          <w:rFonts w:ascii="Traditional Arabic" w:eastAsia="Calibri" w:hAnsi="Traditional Arabic"/>
          <w:color w:val="auto"/>
          <w:rtl/>
        </w:rPr>
      </w:pPr>
      <w:r>
        <w:rPr>
          <w:rFonts w:ascii="Traditional Arabic" w:eastAsia="Calibri" w:hAnsi="Traditional Arabic" w:hint="cs"/>
          <w:color w:val="auto"/>
          <w:rtl/>
        </w:rPr>
        <w:t>2-</w:t>
      </w:r>
      <w:r w:rsidR="00997011">
        <w:rPr>
          <w:rFonts w:ascii="Traditional Arabic" w:eastAsia="Calibri" w:hAnsi="Traditional Arabic" w:hint="cs"/>
          <w:color w:val="auto"/>
          <w:rtl/>
        </w:rPr>
        <w:t xml:space="preserve"> </w:t>
      </w:r>
      <w:r>
        <w:rPr>
          <w:rFonts w:ascii="Traditional Arabic" w:eastAsia="Calibri" w:hAnsi="Traditional Arabic" w:hint="cs"/>
          <w:color w:val="auto"/>
          <w:rtl/>
        </w:rPr>
        <w:t xml:space="preserve"> </w:t>
      </w:r>
      <w:r w:rsidR="00997011">
        <w:rPr>
          <w:rFonts w:ascii="Traditional Arabic" w:hAnsi="Traditional Arabic" w:hint="cs"/>
          <w:rtl/>
        </w:rPr>
        <w:t>قال رحمه الله عند</w:t>
      </w:r>
      <w:r w:rsidR="00997011" w:rsidRPr="008032BA">
        <w:rPr>
          <w:rFonts w:ascii="Traditional Arabic" w:hAnsi="Traditional Arabic"/>
          <w:rtl/>
        </w:rPr>
        <w:t xml:space="preserve"> </w:t>
      </w:r>
      <w:r w:rsidR="00997011" w:rsidRPr="00B07E03">
        <w:rPr>
          <w:rFonts w:ascii="Traditional Arabic" w:hAnsi="Traditional Arabic"/>
          <w:color w:val="0D0D0D" w:themeColor="text1" w:themeTint="F2"/>
          <w:rtl/>
          <w:lang w:eastAsia="en-US"/>
        </w:rPr>
        <w:t>قوله تعالى:</w:t>
      </w:r>
      <w:r w:rsidR="00997011" w:rsidRPr="00997011">
        <w:rPr>
          <w:rFonts w:ascii="QCF_BSML" w:hAnsi="QCF_BSML" w:cs="QCF_BSML"/>
          <w:color w:val="0D0D0D" w:themeColor="text1" w:themeTint="F2"/>
          <w:sz w:val="32"/>
          <w:szCs w:val="32"/>
          <w:rtl/>
          <w:lang w:eastAsia="en-US"/>
        </w:rPr>
        <w:t xml:space="preserve"> </w:t>
      </w:r>
      <w:r w:rsidR="00997011" w:rsidRPr="00F509AE">
        <w:rPr>
          <w:rFonts w:ascii="QCF_BSML" w:hAnsi="QCF_BSML" w:cs="QCF_BSML"/>
          <w:color w:val="0D0D0D" w:themeColor="text1" w:themeTint="F2"/>
          <w:sz w:val="32"/>
          <w:szCs w:val="32"/>
          <w:rtl/>
          <w:lang w:eastAsia="en-US"/>
        </w:rPr>
        <w:t>ﭽ</w:t>
      </w:r>
      <w:r w:rsidR="00997011" w:rsidRPr="00997011">
        <w:rPr>
          <w:rFonts w:ascii="QCF_P288" w:hAnsi="QCF_P288" w:cs="QCF_P288"/>
          <w:color w:val="0D0D0D" w:themeColor="text1" w:themeTint="F2"/>
          <w:sz w:val="32"/>
          <w:szCs w:val="32"/>
          <w:rtl/>
          <w:lang w:eastAsia="en-US"/>
        </w:rPr>
        <w:t xml:space="preserve"> </w:t>
      </w:r>
      <w:r w:rsidR="00997011" w:rsidRPr="00B07E03">
        <w:rPr>
          <w:rFonts w:ascii="QCF_P288" w:hAnsi="QCF_P288" w:cs="QCF_P288"/>
          <w:color w:val="0D0D0D" w:themeColor="text1" w:themeTint="F2"/>
          <w:sz w:val="32"/>
          <w:szCs w:val="32"/>
          <w:rtl/>
          <w:lang w:eastAsia="en-US"/>
        </w:rPr>
        <w:t>ﭹ ﭺ</w:t>
      </w:r>
      <w:r w:rsidR="003333BC">
        <w:rPr>
          <w:rFonts w:ascii="QCF_BSML" w:hAnsi="QCF_BSML" w:cs="QCF_BSML" w:hint="cs"/>
          <w:color w:val="0D0D0D" w:themeColor="text1" w:themeTint="F2"/>
          <w:sz w:val="32"/>
          <w:szCs w:val="32"/>
          <w:rtl/>
          <w:lang w:eastAsia="en-US"/>
        </w:rPr>
        <w:t xml:space="preserve"> </w:t>
      </w:r>
      <w:r w:rsidR="00997011" w:rsidRPr="00F509AE">
        <w:rPr>
          <w:rFonts w:ascii="QCF_BSML" w:hAnsi="QCF_BSML" w:cs="QCF_BSML"/>
          <w:color w:val="0D0D0D" w:themeColor="text1" w:themeTint="F2"/>
          <w:sz w:val="32"/>
          <w:szCs w:val="32"/>
          <w:rtl/>
          <w:lang w:eastAsia="en-US"/>
        </w:rPr>
        <w:t>ﭼ</w:t>
      </w:r>
      <w:r w:rsidR="003333BC">
        <w:rPr>
          <w:rFonts w:ascii="QCF_BSML" w:hAnsi="QCF_BSML" w:cs="QCF_BSML" w:hint="cs"/>
          <w:color w:val="0D0D0D" w:themeColor="text1" w:themeTint="F2"/>
          <w:sz w:val="32"/>
          <w:szCs w:val="32"/>
          <w:rtl/>
          <w:lang w:eastAsia="en-US"/>
        </w:rPr>
        <w:t xml:space="preserve">  </w:t>
      </w:r>
      <w:r w:rsidR="003333BC">
        <w:rPr>
          <w:rFonts w:ascii="Traditional Arabic" w:hAnsi="Traditional Arabic" w:hint="cs"/>
          <w:color w:val="0D0D0D" w:themeColor="text1" w:themeTint="F2"/>
          <w:sz w:val="32"/>
          <w:szCs w:val="32"/>
          <w:rtl/>
          <w:lang w:eastAsia="en-US"/>
        </w:rPr>
        <w:t>[الإسراء:59]</w:t>
      </w:r>
      <w:r w:rsidR="003333BC">
        <w:rPr>
          <w:rFonts w:ascii="QCF_BSML" w:hAnsi="QCF_BSML" w:cs="QCF_BSML" w:hint="cs"/>
          <w:color w:val="0D0D0D" w:themeColor="text1" w:themeTint="F2"/>
          <w:sz w:val="47"/>
          <w:szCs w:val="47"/>
          <w:rtl/>
          <w:lang w:eastAsia="en-US"/>
        </w:rPr>
        <w:t xml:space="preserve">  </w:t>
      </w:r>
      <w:r w:rsidR="003333BC" w:rsidRPr="00B07E03">
        <w:rPr>
          <w:rFonts w:ascii="QCF_BSML" w:hAnsi="QCF_BSML" w:cs="QCF_BSML"/>
          <w:color w:val="0D0D0D" w:themeColor="text1" w:themeTint="F2"/>
          <w:sz w:val="47"/>
          <w:szCs w:val="47"/>
          <w:rtl/>
          <w:lang w:eastAsia="en-US"/>
        </w:rPr>
        <w:t xml:space="preserve"> </w:t>
      </w:r>
      <w:r w:rsidR="00997011">
        <w:rPr>
          <w:rFonts w:ascii="Traditional Arabic" w:hAnsi="Traditional Arabic" w:hint="cs"/>
          <w:color w:val="0D0D0D" w:themeColor="text1" w:themeTint="F2"/>
          <w:rtl/>
          <w:lang w:eastAsia="en-US"/>
        </w:rPr>
        <w:t xml:space="preserve"> </w:t>
      </w:r>
      <w:r w:rsidR="00997011" w:rsidRPr="00B07E03">
        <w:rPr>
          <w:rFonts w:ascii="Traditional Arabic" w:hAnsi="Traditional Arabic"/>
          <w:color w:val="0D0D0D" w:themeColor="text1" w:themeTint="F2"/>
          <w:rtl/>
          <w:lang w:eastAsia="en-US"/>
        </w:rPr>
        <w:t>وللعلماء في معنى</w:t>
      </w:r>
      <w:r w:rsidR="00997011" w:rsidRPr="00F93733">
        <w:rPr>
          <w:rFonts w:ascii="Traditional Arabic" w:hAnsi="Traditional Arabic"/>
          <w:color w:val="0D0D0D" w:themeColor="text1" w:themeTint="F2"/>
          <w:sz w:val="32"/>
          <w:szCs w:val="32"/>
          <w:rtl/>
          <w:lang w:eastAsia="en-US"/>
        </w:rPr>
        <w:t xml:space="preserve"> </w:t>
      </w:r>
      <w:r w:rsidR="00997011" w:rsidRPr="00F93733">
        <w:rPr>
          <w:rFonts w:ascii="QCF_BSML" w:hAnsi="QCF_BSML" w:cs="QCF_BSML"/>
          <w:color w:val="0D0D0D" w:themeColor="text1" w:themeTint="F2"/>
          <w:sz w:val="32"/>
          <w:szCs w:val="32"/>
          <w:rtl/>
          <w:lang w:eastAsia="en-US"/>
        </w:rPr>
        <w:t>ﭽ</w:t>
      </w:r>
      <w:r w:rsidR="00997011" w:rsidRPr="00F93733">
        <w:rPr>
          <w:rFonts w:ascii="QCF_P288" w:hAnsi="QCF_P288" w:cs="QCF_P288"/>
          <w:color w:val="0D0D0D" w:themeColor="text1" w:themeTint="F2"/>
          <w:sz w:val="32"/>
          <w:szCs w:val="32"/>
          <w:rtl/>
          <w:lang w:eastAsia="en-US"/>
        </w:rPr>
        <w:t>ﭺ</w:t>
      </w:r>
      <w:r w:rsidR="00997011" w:rsidRPr="00F93733">
        <w:rPr>
          <w:rFonts w:ascii="QCF_BSML" w:hAnsi="QCF_BSML" w:cs="QCF_BSML"/>
          <w:color w:val="0D0D0D" w:themeColor="text1" w:themeTint="F2"/>
          <w:sz w:val="32"/>
          <w:szCs w:val="32"/>
          <w:rtl/>
          <w:lang w:eastAsia="en-US"/>
        </w:rPr>
        <w:t>ﭼ</w:t>
      </w:r>
      <w:r w:rsidR="00997011" w:rsidRPr="00B07E03">
        <w:rPr>
          <w:rFonts w:ascii="Traditional Arabic" w:hAnsi="Traditional Arabic"/>
          <w:color w:val="0D0D0D" w:themeColor="text1" w:themeTint="F2"/>
          <w:rtl/>
          <w:lang w:eastAsia="en-US"/>
        </w:rPr>
        <w:t xml:space="preserve"> </w:t>
      </w:r>
      <w:r w:rsidR="00997011">
        <w:rPr>
          <w:rFonts w:ascii="Traditional Arabic" w:hAnsi="Traditional Arabic"/>
          <w:color w:val="0D0D0D" w:themeColor="text1" w:themeTint="F2"/>
          <w:rtl/>
          <w:lang w:eastAsia="en-US"/>
        </w:rPr>
        <w:t>ثلاثة اقوال</w:t>
      </w:r>
      <w:r w:rsidR="00997011">
        <w:rPr>
          <w:rFonts w:ascii="Traditional Arabic" w:hAnsi="Traditional Arabic" w:hint="cs"/>
          <w:color w:val="0D0D0D" w:themeColor="text1" w:themeTint="F2"/>
          <w:rtl/>
          <w:lang w:eastAsia="en-US"/>
        </w:rPr>
        <w:t xml:space="preserve">: </w:t>
      </w:r>
      <w:r w:rsidR="00997011" w:rsidRPr="00B07E03">
        <w:rPr>
          <w:rFonts w:ascii="Traditional Arabic" w:hAnsi="Traditional Arabic"/>
          <w:color w:val="0D0D0D" w:themeColor="text1" w:themeTint="F2"/>
          <w:rtl/>
          <w:lang w:eastAsia="en-US"/>
        </w:rPr>
        <w:t>أحدها: المذمومة، قاله ابن عباس</w:t>
      </w:r>
      <w:r w:rsidR="003333BC" w:rsidRPr="003333BC">
        <w:rPr>
          <w:rStyle w:val="ae"/>
          <w:rFonts w:eastAsia="Calibri"/>
          <w:rtl/>
        </w:rPr>
        <w:t>(</w:t>
      </w:r>
      <w:r w:rsidR="003333BC">
        <w:rPr>
          <w:rStyle w:val="ae"/>
          <w:rFonts w:eastAsia="Calibri"/>
          <w:rtl/>
        </w:rPr>
        <w:footnoteReference w:id="130"/>
      </w:r>
      <w:r w:rsidR="003333BC" w:rsidRPr="003333BC">
        <w:rPr>
          <w:rStyle w:val="ae"/>
          <w:rFonts w:eastAsia="Calibri"/>
          <w:rtl/>
        </w:rPr>
        <w:t>)</w:t>
      </w:r>
      <w:r w:rsidR="00997011">
        <w:rPr>
          <w:rFonts w:ascii="Traditional Arabic" w:eastAsia="Calibri" w:hAnsi="Traditional Arabic" w:hint="cs"/>
          <w:color w:val="auto"/>
          <w:rtl/>
        </w:rPr>
        <w:t>.</w:t>
      </w:r>
    </w:p>
    <w:p w:rsidR="00997011" w:rsidRDefault="00997011" w:rsidP="003333BC">
      <w:pPr>
        <w:ind w:firstLine="0"/>
        <w:rPr>
          <w:rtl/>
        </w:rPr>
      </w:pPr>
      <w:r>
        <w:rPr>
          <w:rFonts w:ascii="Traditional Arabic" w:eastAsia="Calibri" w:hAnsi="Traditional Arabic" w:hint="cs"/>
          <w:color w:val="auto"/>
          <w:rtl/>
        </w:rPr>
        <w:t>3-</w:t>
      </w:r>
      <w:r w:rsidRPr="00997011">
        <w:rPr>
          <w:rFonts w:ascii="QCF_BSML" w:hAnsi="QCF_BSML" w:cs="QCF_BSML"/>
          <w:sz w:val="32"/>
          <w:szCs w:val="32"/>
          <w:rtl/>
          <w:lang w:eastAsia="en-US"/>
        </w:rPr>
        <w:t xml:space="preserve"> </w:t>
      </w:r>
      <w:r>
        <w:rPr>
          <w:rFonts w:ascii="QCF_BSML" w:hAnsi="QCF_BSML" w:cs="QCF_BSML" w:hint="cs"/>
          <w:sz w:val="32"/>
          <w:szCs w:val="32"/>
          <w:rtl/>
          <w:lang w:eastAsia="en-US"/>
        </w:rPr>
        <w:t xml:space="preserve"> </w:t>
      </w:r>
      <w:r>
        <w:rPr>
          <w:rFonts w:ascii="Traditional Arabic" w:hAnsi="Traditional Arabic" w:hint="cs"/>
          <w:rtl/>
        </w:rPr>
        <w:t>قال رحمه الله عند</w:t>
      </w:r>
      <w:r w:rsidRPr="008032BA">
        <w:rPr>
          <w:rFonts w:ascii="Traditional Arabic" w:hAnsi="Traditional Arabic"/>
          <w:rtl/>
        </w:rPr>
        <w:t xml:space="preserve"> </w:t>
      </w:r>
      <w:r w:rsidRPr="00B07E03">
        <w:rPr>
          <w:rFonts w:ascii="Traditional Arabic" w:hAnsi="Traditional Arabic"/>
          <w:color w:val="0D0D0D" w:themeColor="text1" w:themeTint="F2"/>
          <w:rtl/>
          <w:lang w:eastAsia="en-US"/>
        </w:rPr>
        <w:t>قوله تعالى:</w:t>
      </w:r>
      <w:r w:rsidRPr="00997011">
        <w:rPr>
          <w:rFonts w:ascii="QCF_BSML" w:hAnsi="QCF_BSML" w:cs="QCF_BSML"/>
          <w:color w:val="0D0D0D" w:themeColor="text1" w:themeTint="F2"/>
          <w:sz w:val="32"/>
          <w:szCs w:val="32"/>
          <w:rtl/>
          <w:lang w:eastAsia="en-US"/>
        </w:rPr>
        <w:t xml:space="preserve"> </w:t>
      </w:r>
      <w:r>
        <w:rPr>
          <w:rFonts w:ascii="QCF_BSML" w:hAnsi="QCF_BSML" w:cs="QCF_BSML" w:hint="cs"/>
          <w:sz w:val="32"/>
          <w:szCs w:val="32"/>
          <w:rtl/>
          <w:lang w:eastAsia="en-US"/>
        </w:rPr>
        <w:t xml:space="preserve"> </w:t>
      </w:r>
      <w:r w:rsidRPr="00127861">
        <w:rPr>
          <w:rFonts w:ascii="QCF_BSML" w:hAnsi="QCF_BSML" w:cs="QCF_BSML"/>
          <w:sz w:val="32"/>
          <w:szCs w:val="32"/>
          <w:rtl/>
          <w:lang w:eastAsia="en-US"/>
        </w:rPr>
        <w:t>ﭽ</w:t>
      </w:r>
      <w:r w:rsidR="003333BC">
        <w:rPr>
          <w:rFonts w:ascii="QCF_BSML" w:hAnsi="QCF_BSML" w:cs="QCF_BSML" w:hint="cs"/>
          <w:sz w:val="32"/>
          <w:szCs w:val="32"/>
          <w:rtl/>
          <w:lang w:eastAsia="en-US"/>
        </w:rPr>
        <w:t xml:space="preserve"> </w:t>
      </w:r>
      <w:r w:rsidRPr="000C2898">
        <w:rPr>
          <w:rFonts w:ascii="QCF_P290" w:hAnsi="QCF_P290" w:cs="QCF_P290"/>
          <w:sz w:val="32"/>
          <w:szCs w:val="32"/>
          <w:rtl/>
          <w:lang w:eastAsia="en-US"/>
        </w:rPr>
        <w:t>ﮇ ﮈ</w:t>
      </w:r>
      <w:r w:rsidR="003333BC">
        <w:rPr>
          <w:rFonts w:ascii="QCF_BSML" w:hAnsi="QCF_BSML" w:cs="QCF_BSML" w:hint="cs"/>
          <w:sz w:val="32"/>
          <w:szCs w:val="32"/>
          <w:rtl/>
          <w:lang w:eastAsia="en-US"/>
        </w:rPr>
        <w:t xml:space="preserve"> </w:t>
      </w:r>
      <w:r w:rsidRPr="00127861">
        <w:rPr>
          <w:rFonts w:ascii="QCF_BSML" w:hAnsi="QCF_BSML" w:cs="QCF_BSML"/>
          <w:sz w:val="32"/>
          <w:szCs w:val="32"/>
          <w:rtl/>
          <w:lang w:eastAsia="en-US"/>
        </w:rPr>
        <w:t>ﭼ</w:t>
      </w:r>
      <w:r w:rsidR="003333BC">
        <w:rPr>
          <w:rFonts w:ascii="Traditional Arabic" w:hAnsi="Traditional Arabic" w:hint="cs"/>
          <w:color w:val="0D0D0D" w:themeColor="text1" w:themeTint="F2"/>
          <w:sz w:val="32"/>
          <w:szCs w:val="32"/>
          <w:rtl/>
          <w:lang w:eastAsia="en-US"/>
        </w:rPr>
        <w:t xml:space="preserve"> [الإسراء:79]</w:t>
      </w:r>
      <w:r w:rsidR="003333BC">
        <w:rPr>
          <w:rFonts w:ascii="QCF_BSML" w:hAnsi="QCF_BSML" w:cs="QCF_BSML" w:hint="cs"/>
          <w:color w:val="0D0D0D" w:themeColor="text1" w:themeTint="F2"/>
          <w:sz w:val="47"/>
          <w:szCs w:val="47"/>
          <w:rtl/>
          <w:lang w:eastAsia="en-US"/>
        </w:rPr>
        <w:t xml:space="preserve">  </w:t>
      </w:r>
      <w:r w:rsidRPr="004C1963">
        <w:rPr>
          <w:rtl/>
        </w:rPr>
        <w:t xml:space="preserve"> وهو الذي يحمَده لأجله جميع أهل الموقف. وفيه قولان:</w:t>
      </w:r>
      <w:r>
        <w:rPr>
          <w:rFonts w:hint="cs"/>
          <w:rtl/>
        </w:rPr>
        <w:t xml:space="preserve"> </w:t>
      </w:r>
      <w:r w:rsidRPr="004C1963">
        <w:rPr>
          <w:rtl/>
        </w:rPr>
        <w:t>أحدهما: أنه الشفاعة للناس يوم القيامة، قاله ابن مسعود، وحذيفة بن اليمان، وابن عمر، وسلمان الفارسي، وجابر بن عبد الله، والحسن، وهي</w:t>
      </w:r>
      <w:r>
        <w:rPr>
          <w:rFonts w:hint="cs"/>
          <w:rtl/>
        </w:rPr>
        <w:t xml:space="preserve"> </w:t>
      </w:r>
      <w:r w:rsidRPr="004C1963">
        <w:rPr>
          <w:rtl/>
        </w:rPr>
        <w:t>رواية ابن أبي نجيح</w:t>
      </w:r>
      <w:r>
        <w:rPr>
          <w:rStyle w:val="ae"/>
          <w:rFonts w:hint="cs"/>
          <w:rtl/>
        </w:rPr>
        <w:t xml:space="preserve"> </w:t>
      </w:r>
      <w:r w:rsidRPr="004C1963">
        <w:rPr>
          <w:rtl/>
        </w:rPr>
        <w:t>عن مجاهد.</w:t>
      </w:r>
      <w:r>
        <w:rPr>
          <w:rFonts w:hint="cs"/>
          <w:rtl/>
        </w:rPr>
        <w:t xml:space="preserve"> </w:t>
      </w:r>
      <w:r w:rsidRPr="004C1963">
        <w:rPr>
          <w:rtl/>
        </w:rPr>
        <w:t>والثاني: يجلسه على العرش يوم القيامة. روى أبو وائل</w:t>
      </w:r>
      <w:r>
        <w:rPr>
          <w:rFonts w:hint="cs"/>
          <w:rtl/>
        </w:rPr>
        <w:t xml:space="preserve"> </w:t>
      </w:r>
      <w:r w:rsidRPr="004C1963">
        <w:rPr>
          <w:rtl/>
        </w:rPr>
        <w:t>عن عبد الله أنه قرأ هذه الآية، وقال:</w:t>
      </w:r>
      <w:r>
        <w:rPr>
          <w:rFonts w:hint="cs"/>
          <w:rtl/>
        </w:rPr>
        <w:t xml:space="preserve"> </w:t>
      </w:r>
      <w:r w:rsidRPr="004C1963">
        <w:rPr>
          <w:rtl/>
        </w:rPr>
        <w:t>يُقعده على العرش</w:t>
      </w:r>
      <w:r>
        <w:rPr>
          <w:rFonts w:hint="cs"/>
          <w:rtl/>
        </w:rPr>
        <w:t xml:space="preserve">. </w:t>
      </w:r>
      <w:r w:rsidRPr="004C1963">
        <w:rPr>
          <w:rtl/>
        </w:rPr>
        <w:t>وكذلك روى الضحاك عن ابن عباس، وليث عن مجاهد</w:t>
      </w:r>
      <w:r w:rsidR="003333BC" w:rsidRPr="003333BC">
        <w:rPr>
          <w:rStyle w:val="ae"/>
          <w:rtl/>
        </w:rPr>
        <w:t>(</w:t>
      </w:r>
      <w:r w:rsidR="003333BC">
        <w:rPr>
          <w:rStyle w:val="ae"/>
          <w:rtl/>
        </w:rPr>
        <w:footnoteReference w:id="131"/>
      </w:r>
      <w:r w:rsidR="003333BC" w:rsidRPr="003333BC">
        <w:rPr>
          <w:rStyle w:val="ae"/>
          <w:rtl/>
        </w:rPr>
        <w:t>)</w:t>
      </w:r>
      <w:r w:rsidRPr="004C1963">
        <w:rPr>
          <w:rtl/>
        </w:rPr>
        <w:t>.</w:t>
      </w:r>
    </w:p>
    <w:p w:rsidR="005E1D31" w:rsidRPr="005E1D31" w:rsidRDefault="005E1D31" w:rsidP="005E1D31">
      <w:pPr>
        <w:spacing w:after="200" w:line="276" w:lineRule="auto"/>
        <w:ind w:firstLine="0"/>
        <w:contextualSpacing/>
        <w:jc w:val="lowKashida"/>
        <w:rPr>
          <w:rFonts w:ascii="Traditional Arabic" w:eastAsia="Calibri" w:hAnsi="Traditional Arabic"/>
          <w:color w:val="auto"/>
        </w:rPr>
      </w:pPr>
    </w:p>
    <w:p w:rsidR="006B1CB3" w:rsidRDefault="006B1CB3" w:rsidP="005E1D31">
      <w:pPr>
        <w:numPr>
          <w:ilvl w:val="0"/>
          <w:numId w:val="15"/>
        </w:numPr>
        <w:spacing w:after="200" w:line="276" w:lineRule="auto"/>
        <w:ind w:left="0" w:firstLine="0"/>
        <w:contextualSpacing/>
        <w:jc w:val="lowKashida"/>
        <w:rPr>
          <w:rFonts w:ascii="Traditional Arabic" w:eastAsia="Calibri" w:hAnsi="Traditional Arabic"/>
          <w:color w:val="auto"/>
          <w:shd w:val="clear" w:color="auto" w:fill="FFFFFF"/>
        </w:rPr>
      </w:pPr>
      <w:r>
        <w:rPr>
          <w:rFonts w:ascii="Traditional Arabic" w:eastAsia="Calibri" w:hAnsi="Traditional Arabic" w:hint="cs"/>
          <w:color w:val="auto"/>
          <w:shd w:val="clear" w:color="auto" w:fill="FFFFFF"/>
          <w:rtl/>
        </w:rPr>
        <w:t xml:space="preserve">الجمع بين الأقوال: لم أقف على تعقب لابن الجوزي رحمه الله في </w:t>
      </w:r>
      <w:r>
        <w:rPr>
          <w:rFonts w:ascii="Traditional Arabic" w:eastAsia="Calibri" w:hAnsi="Traditional Arabic"/>
          <w:color w:val="auto"/>
          <w:shd w:val="clear" w:color="auto" w:fill="FFFFFF"/>
          <w:rtl/>
        </w:rPr>
        <w:t>–</w:t>
      </w:r>
      <w:r>
        <w:rPr>
          <w:rFonts w:ascii="Traditional Arabic" w:eastAsia="Calibri" w:hAnsi="Traditional Arabic" w:hint="cs"/>
          <w:color w:val="auto"/>
          <w:shd w:val="clear" w:color="auto" w:fill="FFFFFF"/>
          <w:rtl/>
        </w:rPr>
        <w:t>القسم المحقق- للجمع بين الأقوال.</w:t>
      </w:r>
    </w:p>
    <w:p w:rsidR="005E1D31" w:rsidRDefault="006B1CB3" w:rsidP="005E1D31">
      <w:pPr>
        <w:numPr>
          <w:ilvl w:val="0"/>
          <w:numId w:val="15"/>
        </w:numPr>
        <w:spacing w:after="200" w:line="276" w:lineRule="auto"/>
        <w:ind w:left="0" w:firstLine="0"/>
        <w:contextualSpacing/>
        <w:jc w:val="lowKashida"/>
        <w:rPr>
          <w:rFonts w:ascii="Traditional Arabic" w:eastAsia="Calibri" w:hAnsi="Traditional Arabic"/>
          <w:color w:val="auto"/>
          <w:shd w:val="clear" w:color="auto" w:fill="FFFFFF"/>
        </w:rPr>
      </w:pPr>
      <w:r>
        <w:rPr>
          <w:rFonts w:ascii="Traditional Arabic" w:eastAsia="Calibri" w:hAnsi="Traditional Arabic"/>
          <w:color w:val="auto"/>
          <w:shd w:val="clear" w:color="auto" w:fill="FFFFFF"/>
          <w:rtl/>
        </w:rPr>
        <w:t xml:space="preserve"> </w:t>
      </w:r>
      <w:r>
        <w:rPr>
          <w:rFonts w:ascii="Traditional Arabic" w:eastAsia="Calibri" w:hAnsi="Traditional Arabic" w:hint="cs"/>
          <w:color w:val="auto"/>
          <w:shd w:val="clear" w:color="auto" w:fill="FFFFFF"/>
          <w:rtl/>
        </w:rPr>
        <w:t>يوجه ابن الجوزي</w:t>
      </w:r>
      <w:r w:rsidR="00D11232" w:rsidRPr="00776D04">
        <w:rPr>
          <w:rFonts w:ascii="Traditional Arabic" w:eastAsia="Calibri" w:hAnsi="Traditional Arabic"/>
          <w:color w:val="auto"/>
          <w:shd w:val="clear" w:color="auto" w:fill="FFFFFF"/>
          <w:rtl/>
        </w:rPr>
        <w:t xml:space="preserve"> أحيانا أقوال المفسرين التي ذكرها: مثاله:</w:t>
      </w:r>
      <w:r w:rsidR="00776D04" w:rsidRPr="00776D04">
        <w:rPr>
          <w:rFonts w:ascii="Traditional Arabic" w:hAnsi="Traditional Arabic" w:hint="cs"/>
          <w:rtl/>
        </w:rPr>
        <w:t xml:space="preserve"> </w:t>
      </w:r>
      <w:r w:rsidR="00776D04">
        <w:rPr>
          <w:rFonts w:ascii="Traditional Arabic" w:hAnsi="Traditional Arabic" w:hint="cs"/>
          <w:rtl/>
        </w:rPr>
        <w:t>قال رحمه الله عند</w:t>
      </w:r>
      <w:r w:rsidR="00D11232" w:rsidRPr="00776D04">
        <w:rPr>
          <w:rFonts w:ascii="Traditional Arabic" w:eastAsia="Calibri" w:hAnsi="Traditional Arabic"/>
          <w:color w:val="auto"/>
          <w:shd w:val="clear" w:color="auto" w:fill="FFFFFF"/>
          <w:rtl/>
        </w:rPr>
        <w:t xml:space="preserve"> </w:t>
      </w:r>
      <w:r w:rsidR="00776D04" w:rsidRPr="00B07E03">
        <w:rPr>
          <w:rFonts w:ascii="Traditional Arabic" w:hAnsi="Traditional Arabic"/>
          <w:color w:val="0D0D0D" w:themeColor="text1" w:themeTint="F2"/>
          <w:rtl/>
          <w:lang w:eastAsia="en-US"/>
        </w:rPr>
        <w:t>قوله تعالى</w:t>
      </w:r>
      <w:r w:rsidR="00776D04" w:rsidRPr="005D5287">
        <w:rPr>
          <w:rFonts w:ascii="Traditional Arabic" w:hAnsi="Traditional Arabic"/>
          <w:color w:val="0D0D0D" w:themeColor="text1" w:themeTint="F2"/>
          <w:sz w:val="28"/>
          <w:szCs w:val="28"/>
          <w:rtl/>
          <w:lang w:eastAsia="en-US"/>
        </w:rPr>
        <w:t>:</w:t>
      </w:r>
      <w:r w:rsidR="00776D04" w:rsidRPr="005D5287">
        <w:rPr>
          <w:rFonts w:ascii="QCF_BSML" w:hAnsi="QCF_BSML" w:cs="QCF_BSML"/>
          <w:color w:val="0D0D0D" w:themeColor="text1" w:themeTint="F2"/>
          <w:sz w:val="28"/>
          <w:szCs w:val="28"/>
          <w:rtl/>
          <w:lang w:eastAsia="en-US"/>
        </w:rPr>
        <w:t xml:space="preserve"> </w:t>
      </w:r>
      <w:r w:rsidR="00B615E6">
        <w:rPr>
          <w:rFonts w:ascii="Traditional Arabic" w:hAnsi="Traditional Arabic" w:hint="cs"/>
          <w:color w:val="0D0D0D" w:themeColor="text1" w:themeTint="F2"/>
          <w:rtl/>
          <w:lang w:eastAsia="en-US"/>
        </w:rPr>
        <w:t xml:space="preserve"> </w:t>
      </w:r>
      <w:r w:rsidR="00B615E6" w:rsidRPr="00B615E6">
        <w:rPr>
          <w:rFonts w:ascii="QCF_BSML" w:hAnsi="QCF_BSML" w:cs="QCF_BSML"/>
          <w:color w:val="0D0D0D" w:themeColor="text1" w:themeTint="F2"/>
          <w:sz w:val="32"/>
          <w:szCs w:val="32"/>
          <w:rtl/>
          <w:lang w:eastAsia="en-US"/>
        </w:rPr>
        <w:t>ﭽ</w:t>
      </w:r>
      <w:r w:rsidR="003333BC">
        <w:rPr>
          <w:rFonts w:ascii="QCF_BSML" w:hAnsi="QCF_BSML" w:cs="QCF_BSML" w:hint="cs"/>
          <w:color w:val="0D0D0D" w:themeColor="text1" w:themeTint="F2"/>
          <w:sz w:val="32"/>
          <w:szCs w:val="32"/>
          <w:rtl/>
          <w:lang w:eastAsia="en-US"/>
        </w:rPr>
        <w:t xml:space="preserve"> </w:t>
      </w:r>
      <w:r w:rsidR="00B615E6" w:rsidRPr="00B615E6">
        <w:rPr>
          <w:rFonts w:ascii="QCF_P289" w:hAnsi="QCF_P289" w:cs="QCF_P289"/>
          <w:color w:val="0D0D0D" w:themeColor="text1" w:themeTint="F2"/>
          <w:sz w:val="32"/>
          <w:szCs w:val="32"/>
          <w:rtl/>
          <w:lang w:eastAsia="en-US"/>
        </w:rPr>
        <w:t>ﮏ  ﮐ ﮑ  ﮒ</w:t>
      </w:r>
      <w:r w:rsidR="003333BC">
        <w:rPr>
          <w:rFonts w:ascii="QCF_P289" w:hAnsi="QCF_P289" w:cs="QCF_P289" w:hint="cs"/>
          <w:color w:val="0D0D0D" w:themeColor="text1" w:themeTint="F2"/>
          <w:sz w:val="32"/>
          <w:szCs w:val="32"/>
          <w:rtl/>
          <w:lang w:eastAsia="en-US"/>
        </w:rPr>
        <w:t xml:space="preserve"> </w:t>
      </w:r>
      <w:r w:rsidR="00B615E6" w:rsidRPr="00B615E6">
        <w:rPr>
          <w:rFonts w:ascii="QCF_BSML" w:hAnsi="QCF_BSML" w:cs="QCF_BSML"/>
          <w:color w:val="0D0D0D" w:themeColor="text1" w:themeTint="F2"/>
          <w:sz w:val="32"/>
          <w:szCs w:val="32"/>
          <w:rtl/>
          <w:lang w:eastAsia="en-US"/>
        </w:rPr>
        <w:t>ﭼ</w:t>
      </w:r>
      <w:r w:rsidR="003333BC">
        <w:rPr>
          <w:rFonts w:ascii="QCF_BSML" w:hAnsi="QCF_BSML" w:cs="QCF_BSML" w:hint="cs"/>
          <w:color w:val="0D0D0D" w:themeColor="text1" w:themeTint="F2"/>
          <w:sz w:val="32"/>
          <w:szCs w:val="32"/>
          <w:rtl/>
          <w:lang w:eastAsia="en-US"/>
        </w:rPr>
        <w:t xml:space="preserve">  </w:t>
      </w:r>
      <w:r w:rsidR="003333BC">
        <w:rPr>
          <w:rFonts w:ascii="Traditional Arabic" w:hAnsi="Traditional Arabic" w:hint="cs"/>
          <w:color w:val="0D0D0D" w:themeColor="text1" w:themeTint="F2"/>
          <w:sz w:val="32"/>
          <w:szCs w:val="32"/>
          <w:rtl/>
          <w:lang w:eastAsia="en-US"/>
        </w:rPr>
        <w:t>[الإسراء:70]</w:t>
      </w:r>
      <w:r w:rsidR="00B615E6" w:rsidRPr="00B07E03">
        <w:rPr>
          <w:rFonts w:ascii="Traditional Arabic" w:hAnsi="Traditional Arabic"/>
          <w:color w:val="0D0D0D" w:themeColor="text1" w:themeTint="F2"/>
          <w:rtl/>
          <w:lang w:eastAsia="en-US"/>
        </w:rPr>
        <w:t xml:space="preserve"> أي: فضَّلناهم. قال أبو عبيدة: و</w:t>
      </w:r>
      <w:r w:rsidR="00B615E6" w:rsidRPr="00B615E6">
        <w:rPr>
          <w:rFonts w:ascii="QCF_BSML" w:hAnsi="QCF_BSML" w:cs="QCF_BSML"/>
          <w:color w:val="0D0D0D" w:themeColor="text1" w:themeTint="F2"/>
          <w:sz w:val="32"/>
          <w:szCs w:val="32"/>
          <w:rtl/>
          <w:lang w:eastAsia="en-US"/>
        </w:rPr>
        <w:t>ﭽ</w:t>
      </w:r>
      <w:r w:rsidR="00B615E6" w:rsidRPr="00B615E6">
        <w:rPr>
          <w:rFonts w:ascii="QCF_P289" w:hAnsi="QCF_P289" w:cs="QCF_P289"/>
          <w:color w:val="0D0D0D" w:themeColor="text1" w:themeTint="F2"/>
          <w:sz w:val="32"/>
          <w:szCs w:val="32"/>
          <w:rtl/>
          <w:lang w:eastAsia="en-US"/>
        </w:rPr>
        <w:t xml:space="preserve"> ﮐ</w:t>
      </w:r>
      <w:r w:rsidR="00B615E6" w:rsidRPr="00B615E6">
        <w:rPr>
          <w:rFonts w:ascii="QCF_BSML" w:hAnsi="QCF_BSML" w:cs="QCF_BSML"/>
          <w:color w:val="0D0D0D" w:themeColor="text1" w:themeTint="F2"/>
          <w:sz w:val="32"/>
          <w:szCs w:val="32"/>
          <w:rtl/>
          <w:lang w:eastAsia="en-US"/>
        </w:rPr>
        <w:t>ﭼ</w:t>
      </w:r>
      <w:r w:rsidR="00B615E6" w:rsidRPr="00B615E6">
        <w:rPr>
          <w:rFonts w:ascii="Traditional Arabic" w:hAnsi="Traditional Arabic"/>
          <w:color w:val="0D0D0D" w:themeColor="text1" w:themeTint="F2"/>
          <w:sz w:val="32"/>
          <w:szCs w:val="32"/>
          <w:rtl/>
          <w:lang w:eastAsia="en-US"/>
        </w:rPr>
        <w:t xml:space="preserve"> </w:t>
      </w:r>
      <w:r w:rsidR="00B615E6" w:rsidRPr="00B07E03">
        <w:rPr>
          <w:rFonts w:ascii="Traditional Arabic" w:hAnsi="Traditional Arabic"/>
          <w:color w:val="0D0D0D" w:themeColor="text1" w:themeTint="F2"/>
          <w:rtl/>
          <w:lang w:eastAsia="en-US"/>
        </w:rPr>
        <w:t>أشد</w:t>
      </w:r>
      <w:r w:rsidR="00B615E6">
        <w:rPr>
          <w:rFonts w:ascii="Traditional Arabic" w:hAnsi="Traditional Arabic" w:hint="cs"/>
          <w:color w:val="0D0D0D" w:themeColor="text1" w:themeTint="F2"/>
          <w:rtl/>
          <w:lang w:eastAsia="en-US"/>
        </w:rPr>
        <w:t xml:space="preserve"> </w:t>
      </w:r>
      <w:r w:rsidR="00B615E6" w:rsidRPr="00B07E03">
        <w:rPr>
          <w:rFonts w:ascii="Traditional Arabic" w:hAnsi="Traditional Arabic"/>
          <w:color w:val="0D0D0D" w:themeColor="text1" w:themeTint="F2"/>
          <w:rtl/>
          <w:lang w:eastAsia="en-US"/>
        </w:rPr>
        <w:t>مبالغة من «أكرمنا».</w:t>
      </w:r>
      <w:r w:rsidR="00B615E6" w:rsidRPr="00B07E03">
        <w:rPr>
          <w:rFonts w:ascii="Traditional Arabic" w:hAnsi="Traditional Arabic" w:hint="cs"/>
          <w:color w:val="0D0D0D" w:themeColor="text1" w:themeTint="F2"/>
          <w:rtl/>
          <w:lang w:eastAsia="en-US"/>
        </w:rPr>
        <w:t xml:space="preserve"> </w:t>
      </w:r>
      <w:r w:rsidR="00B615E6" w:rsidRPr="00B07E03">
        <w:rPr>
          <w:rFonts w:ascii="Traditional Arabic" w:hAnsi="Traditional Arabic"/>
          <w:color w:val="0D0D0D" w:themeColor="text1" w:themeTint="F2"/>
          <w:rtl/>
          <w:lang w:eastAsia="en-US"/>
        </w:rPr>
        <w:t>وللمفسرين فيما فُضِّلوا به أحد عشر قولاً: أحدها: أنهم فضِّلوا على سائر الخلق</w:t>
      </w:r>
      <w:r w:rsidR="00B615E6">
        <w:rPr>
          <w:rFonts w:hint="cs"/>
          <w:rtl/>
        </w:rPr>
        <w:t xml:space="preserve"> </w:t>
      </w:r>
      <w:r w:rsidR="00B615E6" w:rsidRPr="00B07E03">
        <w:rPr>
          <w:rFonts w:ascii="Traditional Arabic" w:hAnsi="Traditional Arabic"/>
          <w:color w:val="0D0D0D" w:themeColor="text1" w:themeTint="F2"/>
          <w:rtl/>
          <w:lang w:eastAsia="en-US"/>
        </w:rPr>
        <w:t>غير طائفة من الملائكة: جبريل، وميكائيل، وإِسرافيل، ومَلَك الموت، وأشباههم</w:t>
      </w:r>
      <w:r w:rsidR="00B615E6" w:rsidRPr="00B07E03">
        <w:rPr>
          <w:rFonts w:ascii="Traditional Arabic" w:hAnsi="Traditional Arabic" w:hint="cs"/>
          <w:color w:val="0D0D0D" w:themeColor="text1" w:themeTint="F2"/>
          <w:rtl/>
          <w:lang w:eastAsia="en-US"/>
        </w:rPr>
        <w:t xml:space="preserve"> </w:t>
      </w:r>
      <w:r w:rsidR="00B615E6" w:rsidRPr="00B07E03">
        <w:rPr>
          <w:rFonts w:ascii="Traditional Arabic" w:hAnsi="Traditional Arabic"/>
          <w:color w:val="0D0D0D" w:themeColor="text1" w:themeTint="F2"/>
          <w:rtl/>
          <w:lang w:eastAsia="en-US"/>
        </w:rPr>
        <w:t>، قاله أبو صالح عن ابن عباس. فعلى هذا يكون المراد</w:t>
      </w:r>
      <w:r w:rsidR="00B615E6" w:rsidRPr="00B07E03">
        <w:rPr>
          <w:rFonts w:ascii="Traditional Arabic" w:hAnsi="Traditional Arabic" w:hint="cs"/>
          <w:color w:val="0D0D0D" w:themeColor="text1" w:themeTint="F2"/>
          <w:rtl/>
          <w:lang w:eastAsia="en-US"/>
        </w:rPr>
        <w:t xml:space="preserve"> </w:t>
      </w:r>
      <w:r w:rsidR="00B615E6" w:rsidRPr="00B07E03">
        <w:rPr>
          <w:rFonts w:ascii="Traditional Arabic" w:hAnsi="Traditional Arabic"/>
          <w:color w:val="0D0D0D" w:themeColor="text1" w:themeTint="F2"/>
          <w:rtl/>
          <w:lang w:eastAsia="en-US"/>
        </w:rPr>
        <w:t>: المؤمنين منهم</w:t>
      </w:r>
      <w:r w:rsidR="00B615E6" w:rsidRPr="00B07E03">
        <w:rPr>
          <w:rFonts w:ascii="Traditional Arabic" w:hAnsi="Traditional Arabic" w:hint="cs"/>
          <w:color w:val="0D0D0D" w:themeColor="text1" w:themeTint="F2"/>
          <w:rtl/>
          <w:lang w:eastAsia="en-US"/>
        </w:rPr>
        <w:t xml:space="preserve"> </w:t>
      </w:r>
      <w:r w:rsidR="00B615E6" w:rsidRPr="00B07E03">
        <w:rPr>
          <w:rFonts w:ascii="Traditional Arabic" w:hAnsi="Traditional Arabic"/>
          <w:color w:val="0D0D0D" w:themeColor="text1" w:themeTint="F2"/>
          <w:rtl/>
          <w:lang w:eastAsia="en-US"/>
        </w:rPr>
        <w:t>، ويكون تفضيلهم بالإِيمان</w:t>
      </w:r>
      <w:r w:rsidR="003333BC" w:rsidRPr="003333BC">
        <w:rPr>
          <w:rStyle w:val="ae"/>
          <w:rtl/>
        </w:rPr>
        <w:t>(</w:t>
      </w:r>
      <w:r w:rsidR="003333BC">
        <w:rPr>
          <w:rStyle w:val="ae"/>
          <w:rtl/>
        </w:rPr>
        <w:footnoteReference w:id="132"/>
      </w:r>
      <w:r w:rsidR="003333BC" w:rsidRPr="003333BC">
        <w:rPr>
          <w:rStyle w:val="ae"/>
          <w:rtl/>
        </w:rPr>
        <w:t>)</w:t>
      </w:r>
      <w:r w:rsidR="00B615E6" w:rsidRPr="00B07E03">
        <w:rPr>
          <w:rFonts w:ascii="Traditional Arabic" w:hAnsi="Traditional Arabic"/>
          <w:color w:val="0D0D0D" w:themeColor="text1" w:themeTint="F2"/>
          <w:rtl/>
          <w:lang w:eastAsia="en-US"/>
        </w:rPr>
        <w:t>.</w:t>
      </w:r>
    </w:p>
    <w:p w:rsidR="00D11232" w:rsidRPr="00776D04" w:rsidRDefault="00D11232" w:rsidP="00BD5ED5">
      <w:pPr>
        <w:numPr>
          <w:ilvl w:val="0"/>
          <w:numId w:val="15"/>
        </w:numPr>
        <w:spacing w:after="200" w:line="276" w:lineRule="auto"/>
        <w:ind w:left="0" w:firstLine="0"/>
        <w:contextualSpacing/>
        <w:jc w:val="lowKashida"/>
        <w:rPr>
          <w:rFonts w:ascii="Traditional Arabic" w:eastAsia="Calibri" w:hAnsi="Traditional Arabic"/>
          <w:color w:val="auto"/>
          <w:shd w:val="clear" w:color="auto" w:fill="FFFFFF"/>
        </w:rPr>
      </w:pPr>
      <w:r w:rsidRPr="00776D04">
        <w:rPr>
          <w:rFonts w:ascii="Traditional Arabic" w:eastAsia="Calibri" w:hAnsi="Traditional Arabic"/>
          <w:color w:val="auto"/>
          <w:shd w:val="clear" w:color="auto" w:fill="FFFFFF"/>
          <w:rtl/>
        </w:rPr>
        <w:t xml:space="preserve">يذكر بعض الأقوال الشاذة في معنى الآية </w:t>
      </w:r>
      <w:r w:rsidR="00991B74">
        <w:rPr>
          <w:rFonts w:ascii="Traditional Arabic" w:eastAsia="Calibri" w:hAnsi="Traditional Arabic" w:hint="cs"/>
          <w:color w:val="auto"/>
          <w:shd w:val="clear" w:color="auto" w:fill="FFFFFF"/>
          <w:rtl/>
        </w:rPr>
        <w:t>ثم يبين أنها لا تصح</w:t>
      </w:r>
      <w:r w:rsidRPr="00776D04">
        <w:rPr>
          <w:rFonts w:ascii="Traditional Arabic" w:eastAsia="Calibri" w:hAnsi="Traditional Arabic"/>
          <w:color w:val="auto"/>
          <w:shd w:val="clear" w:color="auto" w:fill="FFFFFF"/>
          <w:rtl/>
        </w:rPr>
        <w:t>.</w:t>
      </w:r>
      <w:r w:rsidR="00B615E6">
        <w:rPr>
          <w:rFonts w:ascii="Traditional Arabic" w:eastAsia="Calibri" w:hAnsi="Traditional Arabic" w:hint="cs"/>
          <w:color w:val="auto"/>
          <w:shd w:val="clear" w:color="auto" w:fill="FFFFFF"/>
          <w:rtl/>
        </w:rPr>
        <w:t xml:space="preserve"> مثاله:</w:t>
      </w:r>
      <w:r w:rsidRPr="00776D04">
        <w:rPr>
          <w:rFonts w:ascii="Traditional Arabic" w:eastAsia="Calibri" w:hAnsi="Traditional Arabic"/>
          <w:color w:val="auto"/>
          <w:shd w:val="clear" w:color="auto" w:fill="FFFFFF"/>
          <w:vertAlign w:val="superscript"/>
          <w:rtl/>
        </w:rPr>
        <w:t>.</w:t>
      </w:r>
      <w:r w:rsidR="00723750" w:rsidRPr="00776D04">
        <w:rPr>
          <w:rFonts w:ascii="Traditional Arabic" w:hAnsi="Traditional Arabic"/>
          <w:color w:val="0D0D0D" w:themeColor="text1" w:themeTint="F2"/>
          <w:rtl/>
          <w:lang w:eastAsia="en-US"/>
        </w:rPr>
        <w:t xml:space="preserve"> </w:t>
      </w:r>
      <w:r w:rsidR="00776D04">
        <w:rPr>
          <w:rFonts w:ascii="Traditional Arabic" w:hAnsi="Traditional Arabic" w:hint="cs"/>
          <w:rtl/>
        </w:rPr>
        <w:t>قال رحمه الله عند</w:t>
      </w:r>
      <w:r w:rsidR="00776D04" w:rsidRPr="00776D04">
        <w:rPr>
          <w:rFonts w:ascii="Traditional Arabic" w:eastAsia="Calibri" w:hAnsi="Traditional Arabic"/>
          <w:color w:val="auto"/>
          <w:shd w:val="clear" w:color="auto" w:fill="FFFFFF"/>
          <w:rtl/>
        </w:rPr>
        <w:t xml:space="preserve"> </w:t>
      </w:r>
      <w:r w:rsidR="00723750" w:rsidRPr="00776D04">
        <w:rPr>
          <w:rFonts w:ascii="Traditional Arabic" w:hAnsi="Traditional Arabic"/>
          <w:color w:val="0D0D0D" w:themeColor="text1" w:themeTint="F2"/>
          <w:rtl/>
          <w:lang w:eastAsia="en-US"/>
        </w:rPr>
        <w:t>قوله تعالى</w:t>
      </w:r>
      <w:r w:rsidR="00723750" w:rsidRPr="00776D04">
        <w:rPr>
          <w:rFonts w:ascii="Traditional Arabic" w:hAnsi="Traditional Arabic"/>
          <w:color w:val="0D0D0D" w:themeColor="text1" w:themeTint="F2"/>
          <w:sz w:val="28"/>
          <w:szCs w:val="28"/>
          <w:rtl/>
          <w:lang w:eastAsia="en-US"/>
        </w:rPr>
        <w:t>:</w:t>
      </w:r>
      <w:r w:rsidR="00776D04">
        <w:rPr>
          <w:rFonts w:ascii="QCF_BSML" w:hAnsi="QCF_BSML" w:cs="QCF_BSML" w:hint="cs"/>
          <w:color w:val="0D0D0D" w:themeColor="text1" w:themeTint="F2"/>
          <w:sz w:val="28"/>
          <w:szCs w:val="28"/>
          <w:rtl/>
          <w:lang w:eastAsia="en-US"/>
        </w:rPr>
        <w:t xml:space="preserve"> </w:t>
      </w:r>
      <w:r w:rsidR="00723750" w:rsidRPr="00776D04">
        <w:rPr>
          <w:rFonts w:ascii="QCF_BSML" w:hAnsi="QCF_BSML" w:cs="QCF_BSML"/>
          <w:color w:val="0D0D0D" w:themeColor="text1" w:themeTint="F2"/>
          <w:sz w:val="28"/>
          <w:szCs w:val="28"/>
          <w:rtl/>
          <w:lang w:eastAsia="en-US"/>
        </w:rPr>
        <w:t xml:space="preserve"> </w:t>
      </w:r>
      <w:r w:rsidR="00723750" w:rsidRPr="00776D04">
        <w:rPr>
          <w:rFonts w:ascii="QCF_BSML" w:hAnsi="QCF_BSML" w:cs="QCF_BSML"/>
          <w:color w:val="0D0D0D" w:themeColor="text1" w:themeTint="F2"/>
          <w:sz w:val="32"/>
          <w:szCs w:val="32"/>
          <w:rtl/>
          <w:lang w:eastAsia="en-US"/>
        </w:rPr>
        <w:t>ﭽ</w:t>
      </w:r>
      <w:r w:rsidR="00723750" w:rsidRPr="00776D04">
        <w:rPr>
          <w:rFonts w:ascii="QCF_P288" w:hAnsi="QCF_P288" w:cs="QCF_P288"/>
          <w:color w:val="0D0D0D" w:themeColor="text1" w:themeTint="F2"/>
          <w:sz w:val="32"/>
          <w:szCs w:val="32"/>
          <w:rtl/>
          <w:lang w:eastAsia="en-US"/>
        </w:rPr>
        <w:t xml:space="preserve">ﭱ ﭲ ﭳ ﭴ ﭵ ﭶ ﭷ ﭸ </w:t>
      </w:r>
      <w:r w:rsidR="00723750" w:rsidRPr="00776D04">
        <w:rPr>
          <w:rFonts w:ascii="QCF_BSML" w:hAnsi="QCF_BSML" w:cs="QCF_BSML"/>
          <w:color w:val="0D0D0D" w:themeColor="text1" w:themeTint="F2"/>
          <w:sz w:val="32"/>
          <w:szCs w:val="32"/>
          <w:rtl/>
          <w:lang w:eastAsia="en-US"/>
        </w:rPr>
        <w:t>ﭼ</w:t>
      </w:r>
      <w:r w:rsidR="003333BC">
        <w:rPr>
          <w:rFonts w:ascii="QCF_BSML" w:hAnsi="QCF_BSML" w:cs="QCF_BSML" w:hint="cs"/>
          <w:color w:val="0D0D0D" w:themeColor="text1" w:themeTint="F2"/>
          <w:sz w:val="32"/>
          <w:szCs w:val="32"/>
          <w:rtl/>
          <w:lang w:eastAsia="en-US"/>
        </w:rPr>
        <w:t xml:space="preserve">    </w:t>
      </w:r>
      <w:r w:rsidR="003333BC">
        <w:rPr>
          <w:rFonts w:ascii="Traditional Arabic" w:hAnsi="Traditional Arabic" w:hint="cs"/>
          <w:color w:val="0D0D0D" w:themeColor="text1" w:themeTint="F2"/>
          <w:sz w:val="32"/>
          <w:szCs w:val="32"/>
          <w:rtl/>
          <w:lang w:eastAsia="en-US"/>
        </w:rPr>
        <w:t>[الإسراء:60]</w:t>
      </w:r>
      <w:r w:rsidR="003333BC" w:rsidRPr="00B07E03">
        <w:rPr>
          <w:rFonts w:ascii="Traditional Arabic" w:hAnsi="Traditional Arabic"/>
          <w:color w:val="0D0D0D" w:themeColor="text1" w:themeTint="F2"/>
          <w:rtl/>
          <w:lang w:eastAsia="en-US"/>
        </w:rPr>
        <w:t xml:space="preserve"> </w:t>
      </w:r>
      <w:r w:rsidR="00723750" w:rsidRPr="00776D04">
        <w:rPr>
          <w:rFonts w:ascii="Arial" w:hAnsi="Arial" w:cs="Arial"/>
          <w:color w:val="0D0D0D" w:themeColor="text1" w:themeTint="F2"/>
          <w:sz w:val="18"/>
          <w:szCs w:val="18"/>
          <w:rtl/>
          <w:lang w:eastAsia="en-US"/>
        </w:rPr>
        <w:t xml:space="preserve"> </w:t>
      </w:r>
      <w:r w:rsidR="00723750" w:rsidRPr="00776D04">
        <w:rPr>
          <w:rFonts w:ascii="Traditional Arabic" w:hAnsi="Traditional Arabic"/>
          <w:color w:val="0D0D0D" w:themeColor="text1" w:themeTint="F2"/>
          <w:rtl/>
          <w:lang w:eastAsia="en-US"/>
        </w:rPr>
        <w:t>في هذه الرؤيا قولان:</w:t>
      </w:r>
      <w:r w:rsidR="00723750" w:rsidRPr="00776D04">
        <w:rPr>
          <w:rFonts w:ascii="Traditional Arabic" w:hAnsi="Traditional Arabic" w:hint="cs"/>
          <w:color w:val="0D0D0D" w:themeColor="text1" w:themeTint="F2"/>
          <w:rtl/>
          <w:lang w:eastAsia="en-US"/>
        </w:rPr>
        <w:t xml:space="preserve"> </w:t>
      </w:r>
      <w:r w:rsidR="00723750" w:rsidRPr="00776D04">
        <w:rPr>
          <w:rFonts w:ascii="Traditional Arabic" w:hAnsi="Traditional Arabic"/>
          <w:color w:val="0D0D0D" w:themeColor="text1" w:themeTint="F2"/>
          <w:rtl/>
          <w:lang w:eastAsia="en-US"/>
        </w:rPr>
        <w:t xml:space="preserve">أحدهما: أنها رؤيا عين، وهي ما </w:t>
      </w:r>
      <w:r w:rsidR="00723750" w:rsidRPr="00776D04">
        <w:rPr>
          <w:rFonts w:ascii="Traditional Arabic" w:hAnsi="Traditional Arabic" w:hint="cs"/>
          <w:color w:val="0D0D0D" w:themeColor="text1" w:themeTint="F2"/>
          <w:rtl/>
          <w:lang w:eastAsia="en-US"/>
        </w:rPr>
        <w:t>رأى</w:t>
      </w:r>
      <w:r w:rsidR="00723750" w:rsidRPr="00776D04">
        <w:rPr>
          <w:rFonts w:ascii="Traditional Arabic" w:hAnsi="Traditional Arabic"/>
          <w:color w:val="0D0D0D" w:themeColor="text1" w:themeTint="F2"/>
          <w:rtl/>
          <w:lang w:eastAsia="en-US"/>
        </w:rPr>
        <w:t xml:space="preserve"> ليلة أُسري به من العجائب والآيات</w:t>
      </w:r>
      <w:r w:rsidR="006B1CB3">
        <w:rPr>
          <w:rFonts w:ascii="Traditional Arabic" w:hAnsi="Traditional Arabic" w:hint="cs"/>
          <w:color w:val="0D0D0D" w:themeColor="text1" w:themeTint="F2"/>
          <w:rtl/>
          <w:lang w:eastAsia="en-US"/>
        </w:rPr>
        <w:t>.</w:t>
      </w:r>
      <w:r w:rsidR="006B1CB3" w:rsidRPr="006B1CB3">
        <w:rPr>
          <w:rFonts w:ascii="Traditional Arabic" w:hAnsi="Traditional Arabic"/>
          <w:color w:val="0D0D0D" w:themeColor="text1" w:themeTint="F2"/>
          <w:rtl/>
          <w:lang w:eastAsia="en-US"/>
        </w:rPr>
        <w:t xml:space="preserve"> </w:t>
      </w:r>
      <w:r w:rsidR="006B1CB3" w:rsidRPr="00B07E03">
        <w:rPr>
          <w:rFonts w:ascii="Traditional Arabic" w:hAnsi="Traditional Arabic"/>
          <w:color w:val="0D0D0D" w:themeColor="text1" w:themeTint="F2"/>
          <w:rtl/>
          <w:lang w:eastAsia="en-US"/>
        </w:rPr>
        <w:t>روى عكرمة</w:t>
      </w:r>
      <w:r w:rsidR="006B1CB3">
        <w:rPr>
          <w:rStyle w:val="ae"/>
          <w:rFonts w:hint="cs"/>
          <w:color w:val="0D0D0D" w:themeColor="text1" w:themeTint="F2"/>
          <w:rtl/>
        </w:rPr>
        <w:t xml:space="preserve"> </w:t>
      </w:r>
      <w:r w:rsidR="006B1CB3" w:rsidRPr="00B07E03">
        <w:rPr>
          <w:rFonts w:ascii="Traditional Arabic" w:hAnsi="Traditional Arabic"/>
          <w:color w:val="0D0D0D" w:themeColor="text1" w:themeTint="F2"/>
          <w:rtl/>
          <w:lang w:eastAsia="en-US"/>
        </w:rPr>
        <w:t>عن ابن عباس قال: هي رؤيا عين رآها ليلة أُسري به، وإِلى هذا المعنى ذهب الحسن، وسعيد بن جبير، ومجاهد، وعكرمة، ومسروق، والنخعي، وقتادة، وأبو مالك، وأبو صالح،</w:t>
      </w:r>
      <w:r w:rsidR="006B1CB3" w:rsidRPr="00B07E03">
        <w:rPr>
          <w:rFonts w:ascii="Traditional Arabic" w:hAnsi="Traditional Arabic" w:hint="cs"/>
          <w:color w:val="0D0D0D" w:themeColor="text1" w:themeTint="F2"/>
          <w:rtl/>
          <w:lang w:eastAsia="en-US"/>
        </w:rPr>
        <w:t xml:space="preserve"> </w:t>
      </w:r>
      <w:r w:rsidR="006B1CB3" w:rsidRPr="00B07E03">
        <w:rPr>
          <w:rFonts w:ascii="Traditional Arabic" w:hAnsi="Traditional Arabic"/>
          <w:color w:val="0D0D0D" w:themeColor="text1" w:themeTint="F2"/>
          <w:rtl/>
          <w:lang w:eastAsia="en-US"/>
        </w:rPr>
        <w:t>وابن جريج</w:t>
      </w:r>
      <w:r w:rsidR="006B1CB3">
        <w:rPr>
          <w:rFonts w:ascii="Traditional Arabic" w:hAnsi="Traditional Arabic"/>
          <w:color w:val="0D0D0D" w:themeColor="text1" w:themeTint="F2"/>
          <w:rtl/>
          <w:lang w:eastAsia="en-US"/>
        </w:rPr>
        <w:t>،</w:t>
      </w:r>
      <w:r w:rsidR="006B1CB3">
        <w:rPr>
          <w:rFonts w:ascii="Traditional Arabic" w:hAnsi="Traditional Arabic" w:hint="cs"/>
          <w:color w:val="0D0D0D" w:themeColor="text1" w:themeTint="F2"/>
          <w:rtl/>
          <w:lang w:eastAsia="en-US"/>
        </w:rPr>
        <w:t xml:space="preserve"> </w:t>
      </w:r>
      <w:r w:rsidR="006B1CB3" w:rsidRPr="00BB792F">
        <w:rPr>
          <w:rFonts w:ascii="Traditional Arabic" w:hAnsi="Traditional Arabic"/>
          <w:color w:val="0D0D0D" w:themeColor="text1" w:themeTint="F2"/>
          <w:rtl/>
          <w:lang w:eastAsia="en-US"/>
        </w:rPr>
        <w:t>وابن زيد</w:t>
      </w:r>
      <w:r w:rsidR="006B1CB3">
        <w:rPr>
          <w:rFonts w:ascii="Traditional Arabic" w:hAnsi="Traditional Arabic" w:hint="cs"/>
          <w:color w:val="0D0D0D" w:themeColor="text1" w:themeTint="F2"/>
          <w:rtl/>
          <w:lang w:eastAsia="en-US"/>
        </w:rPr>
        <w:t xml:space="preserve"> </w:t>
      </w:r>
      <w:r w:rsidR="006B1CB3" w:rsidRPr="00BB792F">
        <w:rPr>
          <w:rFonts w:ascii="Traditional Arabic" w:hAnsi="Traditional Arabic"/>
          <w:color w:val="0D0D0D" w:themeColor="text1" w:themeTint="F2"/>
          <w:rtl/>
          <w:lang w:eastAsia="en-US"/>
        </w:rPr>
        <w:t>في</w:t>
      </w:r>
      <w:r w:rsidR="006B1CB3" w:rsidRPr="00B07E03">
        <w:rPr>
          <w:rFonts w:ascii="Traditional Arabic" w:hAnsi="Traditional Arabic"/>
          <w:color w:val="0D0D0D" w:themeColor="text1" w:themeTint="F2"/>
          <w:rtl/>
          <w:lang w:eastAsia="en-US"/>
        </w:rPr>
        <w:t xml:space="preserve"> آخرين</w:t>
      </w:r>
      <w:r w:rsidR="006B1CB3" w:rsidRPr="00B07E03">
        <w:rPr>
          <w:rFonts w:ascii="Traditional Arabic" w:hAnsi="Traditional Arabic" w:hint="cs"/>
          <w:color w:val="0D0D0D" w:themeColor="text1" w:themeTint="F2"/>
          <w:rtl/>
          <w:lang w:eastAsia="en-US"/>
        </w:rPr>
        <w:t xml:space="preserve">؛ </w:t>
      </w:r>
      <w:r w:rsidR="006B1CB3" w:rsidRPr="00B07E03">
        <w:rPr>
          <w:rFonts w:ascii="Traditional Arabic" w:hAnsi="Traditional Arabic"/>
          <w:color w:val="0D0D0D" w:themeColor="text1" w:themeTint="F2"/>
          <w:rtl/>
          <w:lang w:eastAsia="en-US"/>
        </w:rPr>
        <w:t>فعلى هذا يكون معنى الفتنة: الاختبار، فإن قوماً آمنوا بما قال، وقوماً كفروا. قال ابن الأنباري: المختار في هذه الرؤية أن تكون يقظة، ولا فرق</w:t>
      </w:r>
      <w:r w:rsidR="006B1CB3" w:rsidRPr="00B07E03">
        <w:rPr>
          <w:rFonts w:ascii="Traditional Arabic" w:hAnsi="Traditional Arabic" w:hint="cs"/>
          <w:color w:val="0D0D0D" w:themeColor="text1" w:themeTint="F2"/>
          <w:rtl/>
          <w:lang w:eastAsia="en-US"/>
        </w:rPr>
        <w:t xml:space="preserve"> </w:t>
      </w:r>
      <w:r w:rsidR="006B1CB3" w:rsidRPr="00B07E03">
        <w:rPr>
          <w:rFonts w:ascii="Traditional Arabic" w:hAnsi="Traditional Arabic"/>
          <w:color w:val="0D0D0D" w:themeColor="text1" w:themeTint="F2"/>
          <w:rtl/>
          <w:lang w:eastAsia="en-US"/>
        </w:rPr>
        <w:t>بين أن يقول القائل: رأيت فلاناً رؤية، ورأيته رؤيا، إِلا أن الرؤية يقلُّ استعمالها في المنام، والرؤيا يكثر استعمالها في المنام، ويجوز كل واحد منهما في المعنيين</w:t>
      </w:r>
      <w:r w:rsidR="006B1CB3">
        <w:rPr>
          <w:rFonts w:ascii="Traditional Arabic" w:hAnsi="Traditional Arabic" w:hint="cs"/>
          <w:color w:val="0D0D0D" w:themeColor="text1" w:themeTint="F2"/>
          <w:rtl/>
          <w:lang w:eastAsia="en-US"/>
        </w:rPr>
        <w:t xml:space="preserve">. </w:t>
      </w:r>
      <w:r w:rsidR="00723750" w:rsidRPr="00776D04">
        <w:rPr>
          <w:rFonts w:ascii="Traditional Arabic" w:hAnsi="Traditional Arabic"/>
          <w:color w:val="0D0D0D" w:themeColor="text1" w:themeTint="F2"/>
          <w:rtl/>
          <w:lang w:eastAsia="en-US"/>
        </w:rPr>
        <w:t>والثاني: أنها رؤيا منام</w:t>
      </w:r>
      <w:r w:rsidR="00723750" w:rsidRPr="00776D04">
        <w:rPr>
          <w:rFonts w:ascii="Traditional Arabic" w:hAnsi="Traditional Arabic" w:hint="cs"/>
          <w:color w:val="0D0D0D" w:themeColor="text1" w:themeTint="F2"/>
          <w:rtl/>
          <w:lang w:eastAsia="en-US"/>
        </w:rPr>
        <w:t>.</w:t>
      </w:r>
      <w:r w:rsidR="00723750" w:rsidRPr="00776D04">
        <w:rPr>
          <w:rFonts w:ascii="Traditional Arabic" w:hAnsi="Traditional Arabic"/>
          <w:color w:val="0D0D0D" w:themeColor="text1" w:themeTint="F2"/>
          <w:rtl/>
          <w:lang w:eastAsia="en-US"/>
        </w:rPr>
        <w:t xml:space="preserve"> ثم فيها قولان:</w:t>
      </w:r>
      <w:r w:rsidR="00723750" w:rsidRPr="00776D04">
        <w:rPr>
          <w:rFonts w:ascii="Traditional Arabic" w:hAnsi="Traditional Arabic" w:hint="cs"/>
          <w:color w:val="0D0D0D" w:themeColor="text1" w:themeTint="F2"/>
          <w:rtl/>
          <w:lang w:eastAsia="en-US"/>
        </w:rPr>
        <w:t xml:space="preserve"> </w:t>
      </w:r>
      <w:r w:rsidR="00723750" w:rsidRPr="00776D04">
        <w:rPr>
          <w:rFonts w:ascii="Traditional Arabic" w:hAnsi="Traditional Arabic"/>
          <w:color w:val="0D0D0D" w:themeColor="text1" w:themeTint="F2"/>
          <w:rtl/>
          <w:lang w:eastAsia="en-US"/>
        </w:rPr>
        <w:t>أحدهما: أن رسول الله</w:t>
      </w:r>
      <w:r w:rsidR="00723750" w:rsidRPr="00D66DE5">
        <w:rPr>
          <w:rFonts w:ascii="Traditional Arabic" w:hAnsi="Traditional Arabic"/>
        </w:rPr>
        <w:sym w:font="AGA Arabesque" w:char="F072"/>
      </w:r>
      <w:r w:rsidR="00723750" w:rsidRPr="00776D04">
        <w:rPr>
          <w:rFonts w:ascii="Traditional Arabic" w:hAnsi="Traditional Arabic"/>
        </w:rPr>
        <w:t xml:space="preserve"> </w:t>
      </w:r>
      <w:r w:rsidR="005F17B8">
        <w:rPr>
          <w:rFonts w:ascii="Traditional Arabic" w:hAnsi="Traditional Arabic" w:hint="cs"/>
          <w:color w:val="0D0D0D" w:themeColor="text1" w:themeTint="F2"/>
          <w:rtl/>
          <w:lang w:eastAsia="en-US"/>
        </w:rPr>
        <w:t xml:space="preserve"> </w:t>
      </w:r>
      <w:r w:rsidR="00723750" w:rsidRPr="00776D04">
        <w:rPr>
          <w:rFonts w:ascii="Traditional Arabic" w:hAnsi="Traditional Arabic"/>
          <w:color w:val="0D0D0D" w:themeColor="text1" w:themeTint="F2"/>
          <w:rtl/>
          <w:lang w:eastAsia="en-US"/>
        </w:rPr>
        <w:t xml:space="preserve">كان قد أُرِيَ أنه يدخل مكة، هو وأصحابه، وهو يومئذ بالمدينة، فعَجل قبل الأجل، فردَّه المشركون، فقال أناس: قد رُدَّ، وكان حدَّثَنَا أنه سيدخلها، فكان رجوعهم فتنتهم، </w:t>
      </w:r>
      <w:r w:rsidR="00723750" w:rsidRPr="00776D04">
        <w:rPr>
          <w:rFonts w:ascii="Traditional Arabic" w:hAnsi="Traditional Arabic"/>
          <w:color w:val="0D0D0D" w:themeColor="text1" w:themeTint="F2"/>
          <w:rtl/>
          <w:lang w:eastAsia="en-US"/>
        </w:rPr>
        <w:lastRenderedPageBreak/>
        <w:t>رواه العوفي</w:t>
      </w:r>
      <w:r w:rsidR="00723750" w:rsidRPr="00776D04">
        <w:rPr>
          <w:rFonts w:hint="cs"/>
          <w:color w:val="0D0D0D" w:themeColor="text1" w:themeTint="F2"/>
          <w:rtl/>
        </w:rPr>
        <w:t xml:space="preserve"> </w:t>
      </w:r>
      <w:r w:rsidR="00723750" w:rsidRPr="00776D04">
        <w:rPr>
          <w:rFonts w:ascii="Traditional Arabic" w:hAnsi="Traditional Arabic"/>
          <w:color w:val="0D0D0D" w:themeColor="text1" w:themeTint="F2"/>
          <w:rtl/>
          <w:lang w:eastAsia="en-US"/>
        </w:rPr>
        <w:t>عن ابن عباس. وهذا لا ينافي حديث المعراج، لأن هذا كان بالمدينة، والمعراج كان بمكة: قال أبو سليمان الدمشقي: وإِنما ذكره ابن عباس على وجه الزيادة في الإِخبار لنا أن المشركين بمكة افتتنوا برؤيا عينه، والمنافقين بالمدينة افتتنوا برؤيا نومه.</w:t>
      </w:r>
      <w:r w:rsidR="00723750" w:rsidRPr="00776D04">
        <w:rPr>
          <w:rFonts w:ascii="Traditional Arabic" w:hAnsi="Traditional Arabic" w:hint="cs"/>
          <w:color w:val="0D0D0D" w:themeColor="text1" w:themeTint="F2"/>
          <w:rtl/>
          <w:lang w:eastAsia="en-US"/>
        </w:rPr>
        <w:t xml:space="preserve"> </w:t>
      </w:r>
      <w:r w:rsidR="00723750" w:rsidRPr="00776D04">
        <w:rPr>
          <w:rFonts w:ascii="Traditional Arabic" w:hAnsi="Traditional Arabic"/>
          <w:color w:val="0D0D0D" w:themeColor="text1" w:themeTint="F2"/>
          <w:rtl/>
          <w:lang w:eastAsia="en-US"/>
        </w:rPr>
        <w:t>والثاني: أنه أُري بني</w:t>
      </w:r>
      <w:r w:rsidR="00723750" w:rsidRPr="00776D04">
        <w:rPr>
          <w:rFonts w:ascii="Traditional Arabic" w:hAnsi="Traditional Arabic" w:hint="cs"/>
          <w:color w:val="0D0D0D" w:themeColor="text1" w:themeTint="F2"/>
          <w:rtl/>
          <w:lang w:eastAsia="en-US"/>
        </w:rPr>
        <w:t xml:space="preserve"> </w:t>
      </w:r>
      <w:r w:rsidR="00723750" w:rsidRPr="00776D04">
        <w:rPr>
          <w:rFonts w:ascii="Traditional Arabic" w:hAnsi="Traditional Arabic"/>
          <w:color w:val="0D0D0D" w:themeColor="text1" w:themeTint="F2"/>
          <w:rtl/>
          <w:lang w:eastAsia="en-US"/>
        </w:rPr>
        <w:t>أمية</w:t>
      </w:r>
      <w:r w:rsidR="00723750">
        <w:rPr>
          <w:rFonts w:hint="cs"/>
          <w:rtl/>
        </w:rPr>
        <w:t xml:space="preserve"> </w:t>
      </w:r>
      <w:r w:rsidR="00723750" w:rsidRPr="00776D04">
        <w:rPr>
          <w:rFonts w:ascii="Traditional Arabic" w:hAnsi="Traditional Arabic"/>
          <w:color w:val="0D0D0D" w:themeColor="text1" w:themeTint="F2"/>
          <w:rtl/>
          <w:lang w:eastAsia="en-US"/>
        </w:rPr>
        <w:t xml:space="preserve">على المنابر، </w:t>
      </w:r>
      <w:r w:rsidR="00723750" w:rsidRPr="00776D04">
        <w:rPr>
          <w:rFonts w:ascii="Traditional Arabic" w:hAnsi="Traditional Arabic" w:hint="cs"/>
          <w:color w:val="0D0D0D" w:themeColor="text1" w:themeTint="F2"/>
          <w:rtl/>
          <w:lang w:eastAsia="en-US"/>
        </w:rPr>
        <w:t>ف</w:t>
      </w:r>
      <w:r w:rsidR="00723750" w:rsidRPr="00776D04">
        <w:rPr>
          <w:rFonts w:ascii="Traditional Arabic" w:hAnsi="Traditional Arabic"/>
          <w:color w:val="0D0D0D" w:themeColor="text1" w:themeTint="F2"/>
          <w:rtl/>
          <w:lang w:eastAsia="en-US"/>
        </w:rPr>
        <w:t>ساءه ذلك، فقيل له: إنها الدنيا</w:t>
      </w:r>
      <w:r w:rsidR="00723750" w:rsidRPr="00776D04">
        <w:rPr>
          <w:rFonts w:ascii="Traditional Arabic" w:hAnsi="Traditional Arabic" w:hint="cs"/>
          <w:color w:val="0D0D0D" w:themeColor="text1" w:themeTint="F2"/>
          <w:rtl/>
          <w:lang w:eastAsia="en-US"/>
        </w:rPr>
        <w:t xml:space="preserve"> </w:t>
      </w:r>
      <w:r w:rsidR="00723750" w:rsidRPr="00776D04">
        <w:rPr>
          <w:rFonts w:ascii="Traditional Arabic" w:hAnsi="Traditional Arabic"/>
          <w:color w:val="0D0D0D" w:themeColor="text1" w:themeTint="F2"/>
          <w:rtl/>
          <w:lang w:eastAsia="en-US"/>
        </w:rPr>
        <w:t>يُعْطَوْنَها، فسرّي عنه</w:t>
      </w:r>
      <w:r w:rsidR="00723750" w:rsidRPr="00776D04">
        <w:rPr>
          <w:rFonts w:ascii="Traditional Arabic" w:hAnsi="Traditional Arabic" w:hint="cs"/>
          <w:color w:val="0D0D0D" w:themeColor="text1" w:themeTint="F2"/>
          <w:rtl/>
          <w:lang w:eastAsia="en-US"/>
        </w:rPr>
        <w:t xml:space="preserve">؛ </w:t>
      </w:r>
      <w:r w:rsidR="00723750" w:rsidRPr="00776D04">
        <w:rPr>
          <w:rFonts w:ascii="Traditional Arabic" w:hAnsi="Traditional Arabic"/>
          <w:color w:val="0D0D0D" w:themeColor="text1" w:themeTint="F2"/>
          <w:rtl/>
          <w:lang w:eastAsia="en-US"/>
        </w:rPr>
        <w:t>فالفتنة ها هنا: البلاء، رواه علي بن زيد بن جدعان</w:t>
      </w:r>
      <w:r w:rsidR="00723750" w:rsidRPr="00776D04">
        <w:rPr>
          <w:rFonts w:hint="cs"/>
          <w:color w:val="0D0D0D" w:themeColor="text1" w:themeTint="F2"/>
          <w:rtl/>
        </w:rPr>
        <w:t xml:space="preserve"> </w:t>
      </w:r>
      <w:r w:rsidR="00723750" w:rsidRPr="00776D04">
        <w:rPr>
          <w:rFonts w:ascii="Traditional Arabic" w:hAnsi="Traditional Arabic"/>
          <w:color w:val="0D0D0D" w:themeColor="text1" w:themeTint="F2"/>
          <w:rtl/>
          <w:lang w:eastAsia="en-US"/>
        </w:rPr>
        <w:t>عن سعيد</w:t>
      </w:r>
      <w:r w:rsidR="00723750" w:rsidRPr="00776D04">
        <w:rPr>
          <w:rFonts w:ascii="Traditional Arabic" w:hAnsi="Traditional Arabic" w:hint="cs"/>
          <w:color w:val="0D0D0D" w:themeColor="text1" w:themeTint="F2"/>
          <w:rtl/>
          <w:lang w:eastAsia="en-US"/>
        </w:rPr>
        <w:t xml:space="preserve"> </w:t>
      </w:r>
      <w:r w:rsidR="00723750" w:rsidRPr="00776D04">
        <w:rPr>
          <w:rFonts w:ascii="Traditional Arabic" w:hAnsi="Traditional Arabic"/>
          <w:color w:val="0D0D0D" w:themeColor="text1" w:themeTint="F2"/>
          <w:rtl/>
          <w:lang w:eastAsia="en-US"/>
        </w:rPr>
        <w:t>بن المسيب، وإِن كان مثل هذا لا يصح، ولكن قد ذكره عامة المفسرين</w:t>
      </w:r>
      <w:r w:rsidR="003333BC" w:rsidRPr="003333BC">
        <w:rPr>
          <w:rStyle w:val="ae"/>
          <w:rFonts w:eastAsia="Calibri"/>
          <w:rtl/>
        </w:rPr>
        <w:t>(</w:t>
      </w:r>
      <w:r w:rsidR="003333BC">
        <w:rPr>
          <w:rStyle w:val="ae"/>
          <w:rFonts w:eastAsia="Calibri"/>
          <w:rtl/>
        </w:rPr>
        <w:footnoteReference w:id="133"/>
      </w:r>
      <w:r w:rsidR="003333BC" w:rsidRPr="003333BC">
        <w:rPr>
          <w:rStyle w:val="ae"/>
          <w:rFonts w:eastAsia="Calibri"/>
          <w:rtl/>
        </w:rPr>
        <w:t>)</w:t>
      </w:r>
      <w:r w:rsidR="00723750" w:rsidRPr="00776D04">
        <w:rPr>
          <w:rFonts w:ascii="Traditional Arabic" w:eastAsia="Calibri" w:hAnsi="Traditional Arabic" w:hint="cs"/>
          <w:color w:val="auto"/>
          <w:shd w:val="clear" w:color="auto" w:fill="FFFFFF"/>
          <w:rtl/>
        </w:rPr>
        <w:t>.</w:t>
      </w:r>
    </w:p>
    <w:p w:rsidR="005E315F" w:rsidRPr="001F3EEE" w:rsidRDefault="00D11232" w:rsidP="006B4698">
      <w:pPr>
        <w:numPr>
          <w:ilvl w:val="0"/>
          <w:numId w:val="15"/>
        </w:numPr>
        <w:spacing w:after="200" w:line="276" w:lineRule="auto"/>
        <w:ind w:left="0" w:firstLine="0"/>
        <w:contextualSpacing/>
        <w:jc w:val="lowKashida"/>
        <w:rPr>
          <w:rFonts w:ascii="Traditional Arabic" w:eastAsia="Calibri" w:hAnsi="Traditional Arabic"/>
          <w:color w:val="auto"/>
          <w:shd w:val="clear" w:color="auto" w:fill="FFFFFF"/>
        </w:rPr>
      </w:pPr>
      <w:r w:rsidRPr="00723750">
        <w:rPr>
          <w:rFonts w:ascii="Traditional Arabic" w:eastAsia="Calibri" w:hAnsi="Traditional Arabic"/>
          <w:color w:val="auto"/>
          <w:shd w:val="clear" w:color="auto" w:fill="FFFFFF"/>
          <w:rtl/>
        </w:rPr>
        <w:t>يذكر بعض</w:t>
      </w:r>
      <w:r w:rsidR="00BD5ED5">
        <w:rPr>
          <w:rFonts w:ascii="Traditional Arabic" w:eastAsia="Calibri" w:hAnsi="Traditional Arabic"/>
          <w:color w:val="auto"/>
          <w:shd w:val="clear" w:color="auto" w:fill="FFFFFF"/>
          <w:rtl/>
        </w:rPr>
        <w:t xml:space="preserve"> الأقوال في معنى الآية ثم يذكر </w:t>
      </w:r>
      <w:r w:rsidR="00BD5ED5">
        <w:rPr>
          <w:rFonts w:ascii="Traditional Arabic" w:eastAsia="Calibri" w:hAnsi="Traditional Arabic" w:hint="cs"/>
          <w:color w:val="auto"/>
          <w:shd w:val="clear" w:color="auto" w:fill="FFFFFF"/>
          <w:rtl/>
        </w:rPr>
        <w:t>إ</w:t>
      </w:r>
      <w:r w:rsidRPr="00723750">
        <w:rPr>
          <w:rFonts w:ascii="Traditional Arabic" w:eastAsia="Calibri" w:hAnsi="Traditional Arabic"/>
          <w:color w:val="auto"/>
          <w:shd w:val="clear" w:color="auto" w:fill="FFFFFF"/>
          <w:rtl/>
        </w:rPr>
        <w:t>شكالا عليه</w:t>
      </w:r>
      <w:r w:rsidR="00BD5ED5">
        <w:rPr>
          <w:rFonts w:ascii="Traditional Arabic" w:eastAsia="Calibri" w:hAnsi="Traditional Arabic" w:hint="cs"/>
          <w:color w:val="auto"/>
          <w:shd w:val="clear" w:color="auto" w:fill="FFFFFF"/>
          <w:rtl/>
        </w:rPr>
        <w:t>,</w:t>
      </w:r>
      <w:r w:rsidRPr="00723750">
        <w:rPr>
          <w:rFonts w:ascii="Traditional Arabic" w:eastAsia="Calibri" w:hAnsi="Traditional Arabic"/>
          <w:color w:val="auto"/>
          <w:shd w:val="clear" w:color="auto" w:fill="FFFFFF"/>
          <w:rtl/>
        </w:rPr>
        <w:t xml:space="preserve"> ثم يرد هو على الإشكال: مثاله:</w:t>
      </w:r>
      <w:r w:rsidRPr="00723750">
        <w:rPr>
          <w:rFonts w:ascii="Traditional Arabic" w:eastAsia="Calibri" w:hAnsi="Traditional Arabic"/>
          <w:rtl/>
        </w:rPr>
        <w:t xml:space="preserve"> </w:t>
      </w:r>
      <w:r w:rsidR="00723750" w:rsidRPr="00723750">
        <w:rPr>
          <w:rFonts w:ascii="Traditional Arabic" w:hAnsi="Traditional Arabic"/>
          <w:rtl/>
        </w:rPr>
        <w:t xml:space="preserve">قوله تعالى: </w:t>
      </w:r>
      <w:r w:rsidR="00723750" w:rsidRPr="00723750">
        <w:rPr>
          <w:rFonts w:ascii="QCF_BSML" w:hAnsi="QCF_BSML" w:cs="QCF_BSML"/>
          <w:sz w:val="28"/>
          <w:szCs w:val="28"/>
          <w:rtl/>
          <w:lang w:eastAsia="en-US"/>
        </w:rPr>
        <w:t>ﭽ</w:t>
      </w:r>
      <w:r w:rsidR="00723750" w:rsidRPr="00723750">
        <w:rPr>
          <w:rFonts w:ascii="Traditional Arabic" w:hAnsi="Traditional Arabic"/>
          <w:rtl/>
        </w:rPr>
        <w:t xml:space="preserve"> </w:t>
      </w:r>
      <w:r w:rsidR="00723750" w:rsidRPr="00723750">
        <w:rPr>
          <w:rFonts w:ascii="QCF_P290" w:hAnsi="QCF_P290" w:cs="QCF_P290"/>
          <w:color w:val="auto"/>
          <w:sz w:val="32"/>
          <w:szCs w:val="32"/>
          <w:rtl/>
          <w:lang w:eastAsia="en-US"/>
        </w:rPr>
        <w:t>ﯷ  ﯸ  ﯹ  ﯺ  ﯻ  ﯼ</w:t>
      </w:r>
      <w:r w:rsidR="006B4698">
        <w:rPr>
          <w:rFonts w:ascii="QCF_P290" w:hAnsi="QCF_P290" w:cs="QCF_P290" w:hint="cs"/>
          <w:color w:val="auto"/>
          <w:sz w:val="32"/>
          <w:szCs w:val="32"/>
          <w:rtl/>
          <w:lang w:eastAsia="en-US"/>
        </w:rPr>
        <w:t xml:space="preserve"> </w:t>
      </w:r>
      <w:r w:rsidR="00723750" w:rsidRPr="00723750">
        <w:rPr>
          <w:rFonts w:ascii="QCF_BSML" w:hAnsi="QCF_BSML" w:cs="QCF_BSML"/>
          <w:color w:val="auto"/>
          <w:sz w:val="32"/>
          <w:szCs w:val="32"/>
          <w:rtl/>
          <w:lang w:eastAsia="en-US"/>
        </w:rPr>
        <w:t>ﭼ</w:t>
      </w:r>
      <w:r w:rsidR="006B4698">
        <w:rPr>
          <w:rFonts w:ascii="QCF_BSML" w:hAnsi="QCF_BSML" w:cs="QCF_BSML" w:hint="cs"/>
          <w:color w:val="auto"/>
          <w:sz w:val="32"/>
          <w:szCs w:val="32"/>
          <w:rtl/>
          <w:lang w:eastAsia="en-US"/>
        </w:rPr>
        <w:t xml:space="preserve">  </w:t>
      </w:r>
      <w:r w:rsidR="006B4698">
        <w:rPr>
          <w:rFonts w:ascii="QCF_BSML" w:hAnsi="QCF_BSML" w:cs="QCF_BSML" w:hint="cs"/>
          <w:color w:val="0D0D0D" w:themeColor="text1" w:themeTint="F2"/>
          <w:sz w:val="32"/>
          <w:szCs w:val="32"/>
          <w:rtl/>
          <w:lang w:eastAsia="en-US"/>
        </w:rPr>
        <w:t xml:space="preserve"> </w:t>
      </w:r>
      <w:r w:rsidR="006B4698">
        <w:rPr>
          <w:rFonts w:ascii="Traditional Arabic" w:hAnsi="Traditional Arabic" w:hint="cs"/>
          <w:color w:val="0D0D0D" w:themeColor="text1" w:themeTint="F2"/>
          <w:sz w:val="32"/>
          <w:szCs w:val="32"/>
          <w:rtl/>
          <w:lang w:eastAsia="en-US"/>
        </w:rPr>
        <w:t>[الإسراء:85]</w:t>
      </w:r>
      <w:r w:rsidR="006B4698" w:rsidRPr="00B07E03">
        <w:rPr>
          <w:rFonts w:ascii="Traditional Arabic" w:hAnsi="Traditional Arabic"/>
          <w:color w:val="0D0D0D" w:themeColor="text1" w:themeTint="F2"/>
          <w:rtl/>
          <w:lang w:eastAsia="en-US"/>
        </w:rPr>
        <w:t xml:space="preserve"> </w:t>
      </w:r>
      <w:r w:rsidR="00723750" w:rsidRPr="00723750">
        <w:rPr>
          <w:rFonts w:ascii="Traditional Arabic" w:hAnsi="Traditional Arabic"/>
          <w:rtl/>
        </w:rPr>
        <w:t>في المخاطبين بهذا قولان: أحدهما: أنهم اليهود، قاله الأكثرون. والثاني: أنهم جميع الخلق، عِلمهم قليل بالإِضافة إلى علم الله عزّ وجلّ، ذكره الماوردي.</w:t>
      </w:r>
      <w:r w:rsidR="00723750" w:rsidRPr="00723750">
        <w:rPr>
          <w:rFonts w:ascii="Traditional Arabic" w:hAnsi="Traditional Arabic" w:hint="cs"/>
          <w:rtl/>
        </w:rPr>
        <w:t xml:space="preserve"> </w:t>
      </w:r>
      <w:r w:rsidR="00723750" w:rsidRPr="00723750">
        <w:rPr>
          <w:rFonts w:ascii="Traditional Arabic" w:hAnsi="Traditional Arabic"/>
          <w:rtl/>
        </w:rPr>
        <w:t>فإن قيل: كيف الجمع بين هذه الآية، وبين قوله تعالى:</w:t>
      </w:r>
      <w:r w:rsidR="00723750" w:rsidRPr="00723750">
        <w:rPr>
          <w:rFonts w:ascii="QCF_BSML" w:hAnsi="QCF_BSML" w:cs="QCF_BSML"/>
          <w:sz w:val="28"/>
          <w:szCs w:val="28"/>
          <w:rtl/>
          <w:lang w:eastAsia="en-US"/>
        </w:rPr>
        <w:t xml:space="preserve"> </w:t>
      </w:r>
      <w:r w:rsidR="00723750" w:rsidRPr="00723750">
        <w:rPr>
          <w:rFonts w:ascii="QCF_BSML" w:hAnsi="QCF_BSML" w:cs="QCF_BSML"/>
          <w:sz w:val="32"/>
          <w:szCs w:val="32"/>
          <w:rtl/>
          <w:lang w:eastAsia="en-US"/>
        </w:rPr>
        <w:t>ﭽ</w:t>
      </w:r>
      <w:r w:rsidR="00723750" w:rsidRPr="00723750">
        <w:rPr>
          <w:rFonts w:ascii="QCF_P045" w:hAnsi="QCF_P045" w:cs="QCF_P045"/>
          <w:sz w:val="32"/>
          <w:szCs w:val="32"/>
          <w:rtl/>
          <w:lang w:eastAsia="en-US"/>
        </w:rPr>
        <w:t>ﯩ  ﯪ  ﯫ  ﯬ   ﯭ    ﯮ  ﯯ</w:t>
      </w:r>
      <w:r w:rsidR="00723750" w:rsidRPr="00723750">
        <w:rPr>
          <w:rFonts w:ascii="QCF_BSML" w:hAnsi="QCF_BSML" w:cs="QCF_BSML"/>
          <w:sz w:val="32"/>
          <w:szCs w:val="32"/>
          <w:rtl/>
          <w:lang w:eastAsia="en-US"/>
        </w:rPr>
        <w:t xml:space="preserve">ﭼ </w:t>
      </w:r>
      <w:r w:rsidR="00723750" w:rsidRPr="00723750">
        <w:rPr>
          <w:rFonts w:ascii="Traditional Arabic" w:hAnsi="Traditional Arabic" w:hint="cs"/>
          <w:color w:val="auto"/>
          <w:sz w:val="32"/>
          <w:szCs w:val="32"/>
          <w:rtl/>
          <w:lang w:eastAsia="en-US"/>
        </w:rPr>
        <w:t>[ البقرة: 269]</w:t>
      </w:r>
      <w:r w:rsidR="00723750" w:rsidRPr="00723750">
        <w:rPr>
          <w:rFonts w:ascii="Traditional Arabic" w:hAnsi="Traditional Arabic"/>
          <w:sz w:val="32"/>
          <w:szCs w:val="32"/>
          <w:rtl/>
        </w:rPr>
        <w:t>؟</w:t>
      </w:r>
      <w:r w:rsidR="00723750" w:rsidRPr="00723750">
        <w:rPr>
          <w:rFonts w:ascii="Traditional Arabic" w:hAnsi="Traditional Arabic" w:hint="cs"/>
          <w:sz w:val="32"/>
          <w:szCs w:val="32"/>
          <w:rtl/>
        </w:rPr>
        <w:t xml:space="preserve"> </w:t>
      </w:r>
      <w:r w:rsidR="00723750" w:rsidRPr="00723750">
        <w:rPr>
          <w:rFonts w:ascii="Traditional Arabic" w:hAnsi="Traditional Arabic"/>
          <w:rtl/>
        </w:rPr>
        <w:t>فالجواب: أن ما أوتيه الناس من العلم، وإِن كان كثيراً، فهو بالإِضافة إِلى عِلم الله قليل</w:t>
      </w:r>
      <w:r w:rsidR="006B4698" w:rsidRPr="006B4698">
        <w:rPr>
          <w:rStyle w:val="ae"/>
          <w:rtl/>
        </w:rPr>
        <w:t>(</w:t>
      </w:r>
      <w:r w:rsidR="006B4698">
        <w:rPr>
          <w:rStyle w:val="ae"/>
          <w:rtl/>
        </w:rPr>
        <w:footnoteReference w:id="134"/>
      </w:r>
      <w:r w:rsidR="006B4698" w:rsidRPr="006B4698">
        <w:rPr>
          <w:rStyle w:val="ae"/>
          <w:rtl/>
        </w:rPr>
        <w:t>)</w:t>
      </w:r>
      <w:r w:rsidR="00723750" w:rsidRPr="00723750">
        <w:rPr>
          <w:rFonts w:ascii="Traditional Arabic" w:hAnsi="Traditional Arabic"/>
          <w:rtl/>
        </w:rPr>
        <w:t>.</w:t>
      </w:r>
    </w:p>
    <w:p w:rsidR="00272AC1" w:rsidRPr="001F3EEE" w:rsidRDefault="00272AC1" w:rsidP="001F3EEE">
      <w:pPr>
        <w:numPr>
          <w:ilvl w:val="0"/>
          <w:numId w:val="15"/>
        </w:numPr>
        <w:spacing w:after="200" w:line="276" w:lineRule="auto"/>
        <w:ind w:left="0" w:firstLine="0"/>
        <w:contextualSpacing/>
        <w:jc w:val="lowKashida"/>
        <w:rPr>
          <w:rFonts w:ascii="Traditional Arabic" w:eastAsia="Calibri" w:hAnsi="Traditional Arabic"/>
          <w:color w:val="auto"/>
          <w:shd w:val="clear" w:color="auto" w:fill="FFFFFF"/>
        </w:rPr>
      </w:pPr>
      <w:r w:rsidRPr="001F3EEE">
        <w:rPr>
          <w:rFonts w:ascii="Traditional Arabic" w:hAnsi="Traditional Arabic"/>
          <w:color w:val="0D0D0D" w:themeColor="text1" w:themeTint="F2"/>
          <w:rtl/>
        </w:rPr>
        <w:t xml:space="preserve">كذلك من منهجه الإحالة إلى ما قد سبق  ذكره من الأقوال مثال ذلك: </w:t>
      </w:r>
      <w:r w:rsidRPr="001F3EEE">
        <w:rPr>
          <w:rFonts w:ascii="Traditional Arabic" w:hAnsi="Traditional Arabic"/>
          <w:rtl/>
        </w:rPr>
        <w:t>قال رحمه الله عند قوله تعالى:</w:t>
      </w:r>
      <w:r w:rsidRPr="001F3EEE">
        <w:rPr>
          <w:rFonts w:ascii="Traditional Arabic" w:hAnsi="Traditional Arabic"/>
          <w:color w:val="0D0D0D" w:themeColor="text1" w:themeTint="F2"/>
          <w:rtl/>
        </w:rPr>
        <w:t xml:space="preserve"> قوله تعالى:</w:t>
      </w:r>
      <w:r w:rsidRPr="001F3EEE">
        <w:rPr>
          <w:color w:val="0D0D0D" w:themeColor="text1" w:themeTint="F2"/>
          <w:sz w:val="44"/>
          <w:rtl/>
        </w:rPr>
        <w:t xml:space="preserve"> </w:t>
      </w:r>
      <w:r w:rsidRPr="001F3EEE">
        <w:rPr>
          <w:rFonts w:ascii="QCF_BSML" w:hAnsi="QCF_BSML" w:cs="QCF_BSML"/>
          <w:color w:val="0D0D0D" w:themeColor="text1" w:themeTint="F2"/>
          <w:sz w:val="32"/>
          <w:szCs w:val="32"/>
          <w:rtl/>
        </w:rPr>
        <w:t xml:space="preserve">ﭽ </w:t>
      </w:r>
      <w:r w:rsidRPr="001F3EEE">
        <w:rPr>
          <w:rFonts w:ascii="QCF_P288" w:hAnsi="QCF_P288" w:cs="QCF_P288"/>
          <w:color w:val="0D0D0D" w:themeColor="text1" w:themeTint="F2"/>
          <w:sz w:val="32"/>
          <w:szCs w:val="32"/>
          <w:rtl/>
        </w:rPr>
        <w:t>ﭑ ﭒ ﭓ ﭔ ﭕ</w:t>
      </w:r>
      <w:r w:rsidRPr="001F3EEE">
        <w:rPr>
          <w:rFonts w:ascii="QCF_P288" w:hAnsi="QCF_P288" w:cs="QCF_P288" w:hint="cs"/>
          <w:color w:val="0D0D0D" w:themeColor="text1" w:themeTint="F2"/>
          <w:sz w:val="32"/>
          <w:szCs w:val="32"/>
          <w:rtl/>
        </w:rPr>
        <w:t xml:space="preserve"> </w:t>
      </w:r>
      <w:r w:rsidRPr="001F3EEE">
        <w:rPr>
          <w:rFonts w:ascii="QCF_BSML" w:hAnsi="QCF_BSML" w:cs="QCF_BSML"/>
          <w:color w:val="0D0D0D" w:themeColor="text1" w:themeTint="F2"/>
          <w:sz w:val="32"/>
          <w:szCs w:val="32"/>
          <w:rtl/>
        </w:rPr>
        <w:t>ﭼ</w:t>
      </w:r>
      <w:r w:rsidRPr="001F3EEE">
        <w:rPr>
          <w:rFonts w:ascii="Traditional Arabic" w:hAnsi="Traditional Arabic"/>
          <w:color w:val="0D0D0D" w:themeColor="text1" w:themeTint="F2"/>
          <w:sz w:val="32"/>
          <w:szCs w:val="32"/>
          <w:rtl/>
        </w:rPr>
        <w:t>[الإسراء:</w:t>
      </w:r>
      <w:r w:rsidRPr="001F3EEE">
        <w:rPr>
          <w:rFonts w:ascii="Traditional Arabic" w:hAnsi="Traditional Arabic" w:hint="cs"/>
          <w:color w:val="0D0D0D" w:themeColor="text1" w:themeTint="F2"/>
          <w:sz w:val="32"/>
          <w:szCs w:val="32"/>
          <w:rtl/>
        </w:rPr>
        <w:t>59</w:t>
      </w:r>
      <w:r w:rsidRPr="001F3EEE">
        <w:rPr>
          <w:rFonts w:ascii="Traditional Arabic" w:hAnsi="Traditional Arabic"/>
          <w:color w:val="0D0D0D" w:themeColor="text1" w:themeTint="F2"/>
          <w:sz w:val="32"/>
          <w:szCs w:val="32"/>
          <w:rtl/>
        </w:rPr>
        <w:t>]</w:t>
      </w:r>
      <w:r w:rsidRPr="001F3EEE">
        <w:rPr>
          <w:color w:val="0D0D0D" w:themeColor="text1" w:themeTint="F2"/>
          <w:sz w:val="44"/>
          <w:rtl/>
        </w:rPr>
        <w:t xml:space="preserve"> </w:t>
      </w:r>
      <w:r w:rsidRPr="001F3EEE">
        <w:rPr>
          <w:rFonts w:ascii="Traditional Arabic" w:hAnsi="Traditional Arabic"/>
          <w:color w:val="0D0D0D" w:themeColor="text1" w:themeTint="F2"/>
          <w:rtl/>
        </w:rPr>
        <w:t>سبب نزولها فيه</w:t>
      </w:r>
      <w:r w:rsidRPr="001F3EEE">
        <w:rPr>
          <w:rStyle w:val="ae"/>
          <w:rFonts w:ascii="Traditional Arabic" w:hAnsi="Traditional Arabic"/>
          <w:rtl/>
        </w:rPr>
        <w:t xml:space="preserve"> </w:t>
      </w:r>
      <w:r w:rsidRPr="001F3EEE">
        <w:rPr>
          <w:rFonts w:ascii="Traditional Arabic" w:hAnsi="Traditional Arabic"/>
          <w:color w:val="0D0D0D" w:themeColor="text1" w:themeTint="F2"/>
          <w:rtl/>
        </w:rPr>
        <w:t>قولان: أحدهما: أن أهل مكة</w:t>
      </w:r>
      <w:r w:rsidRPr="001F3EEE">
        <w:rPr>
          <w:rStyle w:val="ae"/>
          <w:rFonts w:ascii="Traditional Arabic" w:hAnsi="Traditional Arabic"/>
          <w:rtl/>
        </w:rPr>
        <w:t xml:space="preserve"> </w:t>
      </w:r>
      <w:r w:rsidRPr="001F3EEE">
        <w:rPr>
          <w:rFonts w:ascii="Traditional Arabic" w:hAnsi="Traditional Arabic"/>
          <w:color w:val="0D0D0D" w:themeColor="text1" w:themeTint="F2"/>
          <w:rtl/>
        </w:rPr>
        <w:t>سألوا رسول الله</w:t>
      </w:r>
      <w:r w:rsidRPr="00376DD3">
        <w:sym w:font="AGA Arabesque" w:char="F072"/>
      </w:r>
      <w:r w:rsidRPr="001F3EEE">
        <w:rPr>
          <w:rFonts w:ascii="Traditional Arabic" w:hAnsi="Traditional Arabic"/>
        </w:rPr>
        <w:t xml:space="preserve"> </w:t>
      </w:r>
      <w:r w:rsidRPr="001F3EEE">
        <w:rPr>
          <w:rFonts w:ascii="Traditional Arabic" w:hAnsi="Traditional Arabic"/>
          <w:color w:val="0D0D0D" w:themeColor="text1" w:themeTint="F2"/>
          <w:rtl/>
        </w:rPr>
        <w:t xml:space="preserve"> أن يجعل لهم الصفا</w:t>
      </w:r>
      <w:r w:rsidRPr="001F3EEE">
        <w:rPr>
          <w:rFonts w:ascii="Traditional Arabic" w:hAnsi="Traditional Arabic"/>
          <w:rtl/>
        </w:rPr>
        <w:t xml:space="preserve"> </w:t>
      </w:r>
      <w:r w:rsidRPr="001F3EEE">
        <w:rPr>
          <w:rFonts w:ascii="Traditional Arabic" w:hAnsi="Traditional Arabic"/>
          <w:color w:val="0D0D0D" w:themeColor="text1" w:themeTint="F2"/>
          <w:rtl/>
        </w:rPr>
        <w:t>ذهباً، وأن  ينحِّي  عنهم الجبال فيزرعوا فقيل له: إِن شئتَ أن تستأني بهم لعلَّنا نجتبي</w:t>
      </w:r>
      <w:r w:rsidRPr="001F3EEE">
        <w:rPr>
          <w:rFonts w:ascii="Traditional Arabic" w:hAnsi="Traditional Arabic"/>
        </w:rPr>
        <w:t xml:space="preserve"> </w:t>
      </w:r>
      <w:r w:rsidRPr="001F3EEE">
        <w:rPr>
          <w:rFonts w:ascii="Traditional Arabic" w:hAnsi="Traditional Arabic"/>
          <w:color w:val="0D0D0D" w:themeColor="text1" w:themeTint="F2"/>
          <w:rtl/>
        </w:rPr>
        <w:t>منهم، وإِن شئتَ  نؤتيهم الذي سألوا فان كفروا أُهلكوا كما أهلك من كان قبلهم قال: «لا، بل أستأني بهم» فنزلت هذه الآية، رواه سعيد بن جبير</w:t>
      </w:r>
      <w:r w:rsidRPr="001F3EEE">
        <w:rPr>
          <w:rFonts w:ascii="Traditional Arabic" w:hAnsi="Traditional Arabic"/>
          <w:rtl/>
        </w:rPr>
        <w:t xml:space="preserve"> </w:t>
      </w:r>
      <w:r w:rsidRPr="001F3EEE">
        <w:rPr>
          <w:rFonts w:ascii="Traditional Arabic" w:hAnsi="Traditional Arabic"/>
          <w:color w:val="0D0D0D" w:themeColor="text1" w:themeTint="F2"/>
          <w:rtl/>
        </w:rPr>
        <w:t xml:space="preserve">عن ابن عباس. والثاني: قد ذكرناه عن الزّبير في قوله تعالى: </w:t>
      </w:r>
      <w:r w:rsidRPr="001F3EEE">
        <w:rPr>
          <w:rFonts w:ascii="QCF_BSML" w:hAnsi="QCF_BSML" w:cs="QCF_BSML"/>
          <w:color w:val="0D0D0D" w:themeColor="text1" w:themeTint="F2"/>
          <w:sz w:val="32"/>
          <w:szCs w:val="32"/>
          <w:rtl/>
        </w:rPr>
        <w:t>ﭽ</w:t>
      </w:r>
      <w:r w:rsidRPr="001F3EEE">
        <w:rPr>
          <w:rFonts w:ascii="QCF_P253" w:hAnsi="QCF_P253" w:cs="QCF_P253"/>
          <w:color w:val="0D0D0D" w:themeColor="text1" w:themeTint="F2"/>
          <w:sz w:val="32"/>
          <w:szCs w:val="32"/>
          <w:rtl/>
        </w:rPr>
        <w:t xml:space="preserve">ﭸ ﭹ </w:t>
      </w:r>
      <w:r w:rsidRPr="001F3EEE">
        <w:rPr>
          <w:rFonts w:ascii="QCF_P253" w:hAnsi="QCF_P253" w:cs="QCF_P253"/>
          <w:color w:val="0D0D0D" w:themeColor="text1" w:themeTint="F2"/>
          <w:sz w:val="32"/>
          <w:szCs w:val="32"/>
          <w:rtl/>
        </w:rPr>
        <w:lastRenderedPageBreak/>
        <w:t xml:space="preserve">ﭺ ﭻ ﭼ ﭽ </w:t>
      </w:r>
      <w:r w:rsidRPr="001F3EEE">
        <w:rPr>
          <w:rFonts w:ascii="QCF_BSML" w:hAnsi="QCF_BSML" w:cs="QCF_BSML"/>
          <w:color w:val="0D0D0D" w:themeColor="text1" w:themeTint="F2"/>
          <w:sz w:val="32"/>
          <w:szCs w:val="32"/>
          <w:rtl/>
        </w:rPr>
        <w:t>ﭼ</w:t>
      </w:r>
      <w:r w:rsidRPr="001F3EEE">
        <w:rPr>
          <w:rFonts w:ascii="Traditional Arabic" w:hAnsi="Traditional Arabic"/>
          <w:color w:val="0D0D0D" w:themeColor="text1" w:themeTint="F2"/>
          <w:sz w:val="32"/>
          <w:szCs w:val="32"/>
          <w:rtl/>
        </w:rPr>
        <w:t xml:space="preserve"> [الرعد:31]</w:t>
      </w:r>
      <w:r w:rsidRPr="00D83538">
        <w:rPr>
          <w:rStyle w:val="ae"/>
          <w:rtl/>
        </w:rPr>
        <w:t>(</w:t>
      </w:r>
      <w:r w:rsidRPr="00EF0AA7">
        <w:rPr>
          <w:rStyle w:val="ae"/>
          <w:rtl/>
        </w:rPr>
        <w:footnoteReference w:id="135"/>
      </w:r>
      <w:r w:rsidRPr="00D83538">
        <w:rPr>
          <w:rStyle w:val="ae"/>
          <w:rtl/>
        </w:rPr>
        <w:t>)</w:t>
      </w:r>
      <w:r w:rsidRPr="001F3EEE">
        <w:rPr>
          <w:rFonts w:ascii="Traditional Arabic" w:hAnsi="Traditional Arabic"/>
          <w:color w:val="0D0D0D" w:themeColor="text1" w:themeTint="F2"/>
          <w:sz w:val="32"/>
          <w:szCs w:val="32"/>
          <w:rtl/>
        </w:rPr>
        <w:t>.</w:t>
      </w:r>
    </w:p>
    <w:p w:rsidR="005E315F" w:rsidRPr="005E315F" w:rsidRDefault="005E315F" w:rsidP="00C443D8">
      <w:pPr>
        <w:pStyle w:val="afd"/>
        <w:numPr>
          <w:ilvl w:val="0"/>
          <w:numId w:val="33"/>
        </w:numPr>
        <w:spacing w:after="200" w:line="276" w:lineRule="auto"/>
        <w:jc w:val="lowKashida"/>
        <w:rPr>
          <w:rFonts w:ascii="Traditional Arabic" w:eastAsia="Calibri" w:hAnsi="Traditional Arabic" w:cs="Traditional Arabic"/>
          <w:sz w:val="36"/>
          <w:szCs w:val="36"/>
          <w:shd w:val="clear" w:color="auto" w:fill="FFFFFF"/>
        </w:rPr>
      </w:pPr>
      <w:r w:rsidRPr="005E315F">
        <w:rPr>
          <w:rFonts w:ascii="Traditional Arabic" w:eastAsia="Calibri" w:hAnsi="Traditional Arabic" w:cs="Traditional Arabic"/>
          <w:sz w:val="36"/>
          <w:szCs w:val="36"/>
          <w:shd w:val="clear" w:color="auto" w:fill="FFFFFF"/>
          <w:rtl/>
        </w:rPr>
        <w:t>ثانيا: منهجه في التفسير اللغوي:</w:t>
      </w:r>
    </w:p>
    <w:p w:rsidR="005E315F" w:rsidRPr="005E315F" w:rsidRDefault="00D11232" w:rsidP="00BD5ED5">
      <w:pPr>
        <w:numPr>
          <w:ilvl w:val="0"/>
          <w:numId w:val="15"/>
        </w:numPr>
        <w:spacing w:after="200" w:line="276" w:lineRule="auto"/>
        <w:ind w:left="0" w:firstLine="0"/>
        <w:contextualSpacing/>
        <w:jc w:val="lowKashida"/>
        <w:rPr>
          <w:rFonts w:ascii="Traditional Arabic" w:eastAsia="Calibri" w:hAnsi="Traditional Arabic"/>
          <w:color w:val="auto"/>
          <w:shd w:val="clear" w:color="auto" w:fill="FFFFFF"/>
        </w:rPr>
      </w:pPr>
      <w:r w:rsidRPr="005E315F">
        <w:rPr>
          <w:rFonts w:ascii="Traditional Arabic" w:eastAsia="Calibri" w:hAnsi="Traditional Arabic"/>
          <w:shd w:val="clear" w:color="auto" w:fill="FFFFFF"/>
          <w:rtl/>
        </w:rPr>
        <w:t>يه</w:t>
      </w:r>
      <w:r w:rsidR="00272AC1">
        <w:rPr>
          <w:rFonts w:ascii="Traditional Arabic" w:eastAsia="Calibri" w:hAnsi="Traditional Arabic"/>
          <w:shd w:val="clear" w:color="auto" w:fill="FFFFFF"/>
          <w:rtl/>
        </w:rPr>
        <w:t>تم ابن الجوزي بذكر أقوال اللغوي</w:t>
      </w:r>
      <w:r w:rsidR="00272AC1">
        <w:rPr>
          <w:rFonts w:ascii="Traditional Arabic" w:eastAsia="Calibri" w:hAnsi="Traditional Arabic" w:hint="cs"/>
          <w:shd w:val="clear" w:color="auto" w:fill="FFFFFF"/>
          <w:rtl/>
        </w:rPr>
        <w:t>ي</w:t>
      </w:r>
      <w:r w:rsidRPr="005E315F">
        <w:rPr>
          <w:rFonts w:ascii="Traditional Arabic" w:eastAsia="Calibri" w:hAnsi="Traditional Arabic"/>
          <w:shd w:val="clear" w:color="auto" w:fill="FFFFFF"/>
          <w:rtl/>
        </w:rPr>
        <w:t>ن</w:t>
      </w:r>
      <w:r w:rsidR="005E315F" w:rsidRPr="005E315F">
        <w:rPr>
          <w:rFonts w:ascii="Traditional Arabic" w:eastAsia="Calibri" w:hAnsi="Traditional Arabic"/>
          <w:shd w:val="clear" w:color="auto" w:fill="FFFFFF"/>
          <w:rtl/>
        </w:rPr>
        <w:t xml:space="preserve"> في تفسيره في المراد </w:t>
      </w:r>
      <w:r w:rsidR="00BD5ED5">
        <w:rPr>
          <w:rFonts w:ascii="Traditional Arabic" w:eastAsia="Calibri" w:hAnsi="Traditional Arabic" w:hint="cs"/>
          <w:shd w:val="clear" w:color="auto" w:fill="FFFFFF"/>
          <w:rtl/>
        </w:rPr>
        <w:t>بمعاني المفردات</w:t>
      </w:r>
      <w:r w:rsidR="005E315F" w:rsidRPr="005E315F">
        <w:rPr>
          <w:rFonts w:ascii="Traditional Arabic" w:eastAsia="Calibri" w:hAnsi="Traditional Arabic"/>
          <w:shd w:val="clear" w:color="auto" w:fill="FFFFFF"/>
          <w:rtl/>
        </w:rPr>
        <w:t xml:space="preserve">. </w:t>
      </w:r>
      <w:r w:rsidR="00B615E6" w:rsidRPr="005E315F">
        <w:rPr>
          <w:rFonts w:ascii="Traditional Arabic" w:eastAsia="Calibri" w:hAnsi="Traditional Arabic"/>
          <w:shd w:val="clear" w:color="auto" w:fill="FFFFFF"/>
          <w:rtl/>
        </w:rPr>
        <w:t>مثاله:</w:t>
      </w:r>
      <w:r w:rsidR="00B615E6" w:rsidRPr="005E315F">
        <w:rPr>
          <w:rFonts w:ascii="Traditional Arabic" w:eastAsia="Calibri" w:hAnsi="Traditional Arabic"/>
          <w:shd w:val="clear" w:color="auto" w:fill="FFFFFF"/>
          <w:vertAlign w:val="superscript"/>
          <w:rtl/>
        </w:rPr>
        <w:t>.</w:t>
      </w:r>
      <w:r w:rsidR="00B615E6" w:rsidRPr="005E315F">
        <w:rPr>
          <w:rFonts w:ascii="Traditional Arabic" w:hAnsi="Traditional Arabic"/>
          <w:color w:val="0D0D0D" w:themeColor="text1" w:themeTint="F2"/>
          <w:rtl/>
        </w:rPr>
        <w:t xml:space="preserve"> </w:t>
      </w:r>
      <w:r w:rsidR="005E315F" w:rsidRPr="005E315F">
        <w:rPr>
          <w:rFonts w:ascii="Traditional Arabic" w:hAnsi="Traditional Arabic"/>
          <w:rtl/>
        </w:rPr>
        <w:t>قال رحمه الله</w:t>
      </w:r>
      <w:r w:rsidR="005E315F" w:rsidRPr="005E315F">
        <w:rPr>
          <w:rFonts w:ascii="Traditional Arabic" w:hAnsi="Traditional Arabic" w:hint="cs"/>
          <w:rtl/>
        </w:rPr>
        <w:t xml:space="preserve"> </w:t>
      </w:r>
      <w:r w:rsidR="00B615E6" w:rsidRPr="005E315F">
        <w:rPr>
          <w:rFonts w:ascii="Traditional Arabic" w:hAnsi="Traditional Arabic"/>
          <w:rtl/>
        </w:rPr>
        <w:t>عند</w:t>
      </w:r>
      <w:r w:rsidR="00B615E6" w:rsidRPr="005E315F">
        <w:rPr>
          <w:rFonts w:ascii="Traditional Arabic" w:eastAsia="Calibri" w:hAnsi="Traditional Arabic"/>
          <w:shd w:val="clear" w:color="auto" w:fill="FFFFFF"/>
          <w:rtl/>
        </w:rPr>
        <w:t xml:space="preserve"> </w:t>
      </w:r>
      <w:r w:rsidR="00B615E6" w:rsidRPr="005E315F">
        <w:rPr>
          <w:rFonts w:ascii="Traditional Arabic" w:hAnsi="Traditional Arabic"/>
          <w:color w:val="0D0D0D" w:themeColor="text1" w:themeTint="F2"/>
          <w:rtl/>
        </w:rPr>
        <w:t>قوله تعالى:</w:t>
      </w:r>
      <w:r w:rsidR="00B615E6" w:rsidRPr="005E315F">
        <w:rPr>
          <w:rFonts w:ascii="Traditional Arabic" w:hAnsi="Traditional Arabic"/>
          <w:rtl/>
        </w:rPr>
        <w:t xml:space="preserve"> </w:t>
      </w:r>
      <w:r w:rsidR="00B615E6" w:rsidRPr="005E315F">
        <w:rPr>
          <w:rFonts w:ascii="QCF_BSML" w:hAnsi="QCF_BSML" w:cs="QCF_BSML"/>
          <w:sz w:val="32"/>
          <w:szCs w:val="32"/>
          <w:rtl/>
        </w:rPr>
        <w:t>ﭽ</w:t>
      </w:r>
      <w:r w:rsidR="00B615E6" w:rsidRPr="005E315F">
        <w:rPr>
          <w:rFonts w:ascii="QCF_P290" w:hAnsi="QCF_P290" w:cs="QCF_P290"/>
          <w:sz w:val="32"/>
          <w:szCs w:val="32"/>
          <w:rtl/>
        </w:rPr>
        <w:t>ﭽ  ﭾ  ﭿ  ﮀ</w:t>
      </w:r>
      <w:r w:rsidR="00B615E6" w:rsidRPr="005E315F">
        <w:rPr>
          <w:rFonts w:ascii="QCF_BSML" w:hAnsi="QCF_BSML" w:cs="QCF_BSML"/>
          <w:sz w:val="32"/>
          <w:szCs w:val="32"/>
          <w:rtl/>
        </w:rPr>
        <w:t>ﭼ</w:t>
      </w:r>
      <w:r w:rsidR="005E315F" w:rsidRPr="005E315F">
        <w:rPr>
          <w:rFonts w:ascii="Traditional Arabic" w:hAnsi="Traditional Arabic"/>
          <w:rtl/>
        </w:rPr>
        <w:t xml:space="preserve"> </w:t>
      </w:r>
      <w:r w:rsidR="001F3EEE" w:rsidRPr="001F3EEE">
        <w:rPr>
          <w:rFonts w:ascii="Traditional Arabic" w:hAnsi="Traditional Arabic"/>
          <w:color w:val="0D0D0D" w:themeColor="text1" w:themeTint="F2"/>
          <w:sz w:val="32"/>
          <w:szCs w:val="32"/>
          <w:rtl/>
        </w:rPr>
        <w:t>[الإسراء:</w:t>
      </w:r>
      <w:r w:rsidR="001F3EEE">
        <w:rPr>
          <w:rFonts w:ascii="Traditional Arabic" w:hAnsi="Traditional Arabic" w:hint="cs"/>
          <w:color w:val="0D0D0D" w:themeColor="text1" w:themeTint="F2"/>
          <w:sz w:val="32"/>
          <w:szCs w:val="32"/>
          <w:rtl/>
        </w:rPr>
        <w:t>79</w:t>
      </w:r>
      <w:r w:rsidR="001F3EEE" w:rsidRPr="001F3EEE">
        <w:rPr>
          <w:rFonts w:ascii="Traditional Arabic" w:hAnsi="Traditional Arabic"/>
          <w:color w:val="0D0D0D" w:themeColor="text1" w:themeTint="F2"/>
          <w:sz w:val="32"/>
          <w:szCs w:val="32"/>
          <w:rtl/>
        </w:rPr>
        <w:t>]</w:t>
      </w:r>
      <w:r w:rsidR="001F3EEE" w:rsidRPr="001F3EEE">
        <w:rPr>
          <w:color w:val="0D0D0D" w:themeColor="text1" w:themeTint="F2"/>
          <w:sz w:val="44"/>
          <w:rtl/>
        </w:rPr>
        <w:t xml:space="preserve"> </w:t>
      </w:r>
      <w:r w:rsidR="00B615E6" w:rsidRPr="005E315F">
        <w:rPr>
          <w:rFonts w:ascii="Traditional Arabic" w:hAnsi="Traditional Arabic"/>
          <w:rtl/>
        </w:rPr>
        <w:t>قال ابن عباس: فَصَلِّ بالقرآن. قال</w:t>
      </w:r>
      <w:r w:rsidR="005E315F" w:rsidRPr="005E315F">
        <w:rPr>
          <w:rFonts w:ascii="Traditional Arabic" w:hAnsi="Traditional Arabic"/>
          <w:rtl/>
        </w:rPr>
        <w:t xml:space="preserve"> </w:t>
      </w:r>
      <w:r w:rsidR="00B615E6" w:rsidRPr="005E315F">
        <w:rPr>
          <w:rFonts w:ascii="Traditional Arabic" w:hAnsi="Traditional Arabic"/>
          <w:rtl/>
        </w:rPr>
        <w:t>مجاهد، وعلقمة</w:t>
      </w:r>
      <w:r w:rsidR="005E315F" w:rsidRPr="005E315F">
        <w:rPr>
          <w:rFonts w:ascii="Traditional Arabic" w:hAnsi="Traditional Arabic"/>
          <w:rtl/>
        </w:rPr>
        <w:t>،</w:t>
      </w:r>
      <w:r w:rsidR="005E315F" w:rsidRPr="005E315F">
        <w:rPr>
          <w:rFonts w:ascii="Traditional Arabic" w:hAnsi="Traditional Arabic" w:hint="cs"/>
          <w:rtl/>
        </w:rPr>
        <w:t xml:space="preserve"> </w:t>
      </w:r>
      <w:r w:rsidR="00B615E6" w:rsidRPr="005E315F">
        <w:rPr>
          <w:rFonts w:ascii="Traditional Arabic" w:hAnsi="Traditional Arabic"/>
          <w:rtl/>
        </w:rPr>
        <w:t xml:space="preserve">والأسود: التهجُّد بعد النوم. قال ابن قتيبة: تهجَّدت: سهرتُ، وهجدتُ: نمتُ. وقال ابن الأنباري: التّهجّد ها هنا بمعنى: التيقُّظ والسَّهَر، واللغويون يقولون: هو من حروف </w:t>
      </w:r>
      <w:r w:rsidR="005E315F" w:rsidRPr="005E315F">
        <w:rPr>
          <w:rFonts w:ascii="Traditional Arabic" w:hAnsi="Traditional Arabic"/>
          <w:rtl/>
        </w:rPr>
        <w:t>الأضداد يقال للنائم: هاجِد ومتهجِّد، وكذلك للساهر، قال النابغة:</w:t>
      </w:r>
    </w:p>
    <w:p w:rsidR="005E315F" w:rsidRPr="005E315F" w:rsidRDefault="005E315F" w:rsidP="005E315F">
      <w:pPr>
        <w:autoSpaceDE w:val="0"/>
        <w:autoSpaceDN w:val="0"/>
        <w:adjustRightInd w:val="0"/>
        <w:ind w:firstLine="0"/>
        <w:rPr>
          <w:rFonts w:ascii="Traditional Arabic" w:hAnsi="Traditional Arabic"/>
          <w:sz w:val="32"/>
          <w:szCs w:val="32"/>
          <w:rtl/>
        </w:rPr>
      </w:pPr>
      <w:r>
        <w:rPr>
          <w:rFonts w:hint="cs"/>
          <w:rtl/>
        </w:rPr>
        <w:t>ولو أنها عرضت لأمشط راهب ... عبد الإله صَرورة متهجد</w:t>
      </w:r>
    </w:p>
    <w:p w:rsidR="005E315F" w:rsidRPr="002E6E7F" w:rsidRDefault="005E315F" w:rsidP="005E315F">
      <w:pPr>
        <w:ind w:firstLine="0"/>
        <w:rPr>
          <w:rtl/>
        </w:rPr>
      </w:pPr>
      <w:r w:rsidRPr="002E6E7F">
        <w:rPr>
          <w:rtl/>
        </w:rPr>
        <w:t>لَرَنَا لِبَهْجَتِهَا وَحُسْنِ حَدِيْثِهَا ... وَلَخَالَهُ رَشَداً وَإِنْ لَمْ يَرْشُدِ</w:t>
      </w:r>
    </w:p>
    <w:p w:rsidR="005E315F" w:rsidRPr="002E6E7F" w:rsidRDefault="005E315F" w:rsidP="005E315F">
      <w:pPr>
        <w:ind w:firstLine="0"/>
        <w:rPr>
          <w:rtl/>
        </w:rPr>
      </w:pPr>
      <w:r w:rsidRPr="002E6E7F">
        <w:rPr>
          <w:rtl/>
        </w:rPr>
        <w:t>يعني بالمتهجد: الساهر، وقال لبيد:</w:t>
      </w:r>
    </w:p>
    <w:p w:rsidR="005E315F" w:rsidRDefault="005E315F" w:rsidP="005E315F">
      <w:pPr>
        <w:ind w:firstLine="0"/>
        <w:rPr>
          <w:rtl/>
        </w:rPr>
      </w:pPr>
      <w:r>
        <w:rPr>
          <w:rtl/>
        </w:rPr>
        <w:t>قَال هَجِدْنَا فقد طال السّ</w:t>
      </w:r>
      <w:r>
        <w:rPr>
          <w:rFonts w:hint="cs"/>
          <w:rtl/>
        </w:rPr>
        <w:t>ُ</w:t>
      </w:r>
      <w:r>
        <w:rPr>
          <w:rtl/>
        </w:rPr>
        <w:t>ر</w:t>
      </w:r>
      <w:r>
        <w:rPr>
          <w:rFonts w:hint="cs"/>
          <w:rtl/>
        </w:rPr>
        <w:t>َ</w:t>
      </w:r>
      <w:r>
        <w:rPr>
          <w:rtl/>
        </w:rPr>
        <w:t>ى</w:t>
      </w:r>
    </w:p>
    <w:p w:rsidR="005E315F" w:rsidRDefault="005E315F" w:rsidP="005E315F">
      <w:pPr>
        <w:spacing w:after="200" w:line="276" w:lineRule="auto"/>
        <w:ind w:firstLine="0"/>
        <w:contextualSpacing/>
        <w:jc w:val="lowKashida"/>
      </w:pPr>
      <w:r w:rsidRPr="002E6E7F">
        <w:rPr>
          <w:rtl/>
        </w:rPr>
        <w:t>أي: نَوِّمْنا. وقال الأزهري: المتهجِّد: القائم إِلى الصلاة من النَّوم: وقيل له: متهجد، لإِلقائه الهُجُود عن نفسه، كما يقال: تَحَرَّج وتأثَّم</w:t>
      </w:r>
      <w:r w:rsidR="001F3EEE" w:rsidRPr="001F3EEE">
        <w:rPr>
          <w:rStyle w:val="ae"/>
          <w:rtl/>
        </w:rPr>
        <w:t>(</w:t>
      </w:r>
      <w:r w:rsidR="001F3EEE">
        <w:rPr>
          <w:rStyle w:val="ae"/>
          <w:rtl/>
        </w:rPr>
        <w:footnoteReference w:id="136"/>
      </w:r>
      <w:r w:rsidR="001F3EEE" w:rsidRPr="001F3EEE">
        <w:rPr>
          <w:rStyle w:val="ae"/>
          <w:rtl/>
        </w:rPr>
        <w:t>)</w:t>
      </w:r>
      <w:r w:rsidRPr="002E6E7F">
        <w:rPr>
          <w:rtl/>
        </w:rPr>
        <w:t>.</w:t>
      </w:r>
      <w:r>
        <w:rPr>
          <w:rFonts w:ascii="QCF_BSML" w:hAnsi="QCF_BSML" w:cs="QCF_BSML" w:hint="cs"/>
          <w:color w:val="0D0D0D" w:themeColor="text1" w:themeTint="F2"/>
          <w:sz w:val="28"/>
          <w:szCs w:val="28"/>
          <w:rtl/>
          <w:lang w:eastAsia="en-US"/>
        </w:rPr>
        <w:t xml:space="preserve"> </w:t>
      </w:r>
      <w:r w:rsidRPr="00776D04">
        <w:rPr>
          <w:rFonts w:ascii="QCF_BSML" w:hAnsi="QCF_BSML" w:cs="QCF_BSML"/>
          <w:color w:val="0D0D0D" w:themeColor="text1" w:themeTint="F2"/>
          <w:sz w:val="28"/>
          <w:szCs w:val="28"/>
          <w:rtl/>
          <w:lang w:eastAsia="en-US"/>
        </w:rPr>
        <w:t xml:space="preserve"> </w:t>
      </w:r>
    </w:p>
    <w:p w:rsidR="000C682B" w:rsidRDefault="00D11232" w:rsidP="00E47B5B">
      <w:pPr>
        <w:numPr>
          <w:ilvl w:val="0"/>
          <w:numId w:val="15"/>
        </w:numPr>
        <w:spacing w:after="200" w:line="276" w:lineRule="auto"/>
        <w:ind w:left="0" w:firstLine="0"/>
        <w:contextualSpacing/>
        <w:jc w:val="lowKashida"/>
      </w:pPr>
      <w:r w:rsidRPr="005E315F">
        <w:rPr>
          <w:rFonts w:ascii="Traditional Arabic" w:eastAsia="Calibri" w:hAnsi="Traditional Arabic"/>
          <w:color w:val="auto"/>
          <w:shd w:val="clear" w:color="auto" w:fill="FFFFFF"/>
          <w:rtl/>
        </w:rPr>
        <w:t>يه</w:t>
      </w:r>
      <w:r w:rsidR="000C682B">
        <w:rPr>
          <w:rFonts w:ascii="Traditional Arabic" w:eastAsia="Calibri" w:hAnsi="Traditional Arabic"/>
          <w:color w:val="auto"/>
          <w:shd w:val="clear" w:color="auto" w:fill="FFFFFF"/>
          <w:rtl/>
        </w:rPr>
        <w:t>تم ابن الجوزي بذكر أقوال اللغوي</w:t>
      </w:r>
      <w:r w:rsidR="000C682B">
        <w:rPr>
          <w:rFonts w:ascii="Traditional Arabic" w:eastAsia="Calibri" w:hAnsi="Traditional Arabic" w:hint="cs"/>
          <w:color w:val="auto"/>
          <w:shd w:val="clear" w:color="auto" w:fill="FFFFFF"/>
          <w:rtl/>
        </w:rPr>
        <w:t>ي</w:t>
      </w:r>
      <w:r w:rsidRPr="005E315F">
        <w:rPr>
          <w:rFonts w:ascii="Traditional Arabic" w:eastAsia="Calibri" w:hAnsi="Traditional Arabic"/>
          <w:color w:val="auto"/>
          <w:shd w:val="clear" w:color="auto" w:fill="FFFFFF"/>
          <w:rtl/>
        </w:rPr>
        <w:t>ن في الجوانب اللغوية من الآية</w:t>
      </w:r>
      <w:r w:rsidR="00B615E6" w:rsidRPr="005E315F">
        <w:rPr>
          <w:rFonts w:ascii="Traditional Arabic" w:eastAsia="Calibri" w:hAnsi="Traditional Arabic" w:hint="cs"/>
          <w:color w:val="auto"/>
          <w:shd w:val="clear" w:color="auto" w:fill="FFFFFF"/>
          <w:rtl/>
        </w:rPr>
        <w:t>.</w:t>
      </w:r>
      <w:r w:rsidR="005E315F">
        <w:rPr>
          <w:rFonts w:ascii="Traditional Arabic" w:hAnsi="Traditional Arabic" w:hint="cs"/>
          <w:rtl/>
        </w:rPr>
        <w:t xml:space="preserve"> مثاله:</w:t>
      </w:r>
      <w:r w:rsidR="005E315F" w:rsidRPr="005E315F">
        <w:rPr>
          <w:rFonts w:ascii="Traditional Arabic" w:hAnsi="Traditional Arabic" w:hint="cs"/>
          <w:rtl/>
        </w:rPr>
        <w:t xml:space="preserve"> قال رحمه الله عند</w:t>
      </w:r>
      <w:r w:rsidR="005E315F" w:rsidRPr="005E315F">
        <w:rPr>
          <w:rFonts w:ascii="Traditional Arabic" w:eastAsia="Calibri" w:hAnsi="Traditional Arabic"/>
          <w:color w:val="auto"/>
          <w:shd w:val="clear" w:color="auto" w:fill="FFFFFF"/>
          <w:rtl/>
        </w:rPr>
        <w:t xml:space="preserve"> </w:t>
      </w:r>
      <w:r w:rsidR="005E315F" w:rsidRPr="005E315F">
        <w:rPr>
          <w:rFonts w:ascii="Traditional Arabic" w:hAnsi="Traditional Arabic"/>
          <w:color w:val="0D0D0D" w:themeColor="text1" w:themeTint="F2"/>
          <w:rtl/>
          <w:lang w:eastAsia="en-US"/>
        </w:rPr>
        <w:t>قوله تعالى</w:t>
      </w:r>
      <w:r w:rsidR="005E315F" w:rsidRPr="005E315F">
        <w:rPr>
          <w:rFonts w:ascii="Traditional Arabic" w:hAnsi="Traditional Arabic"/>
          <w:color w:val="0D0D0D" w:themeColor="text1" w:themeTint="F2"/>
          <w:sz w:val="28"/>
          <w:szCs w:val="28"/>
          <w:rtl/>
          <w:lang w:eastAsia="en-US"/>
        </w:rPr>
        <w:t>:</w:t>
      </w:r>
      <w:r w:rsidR="005E315F">
        <w:rPr>
          <w:rFonts w:ascii="Traditional Arabic" w:hAnsi="Traditional Arabic" w:hint="cs"/>
          <w:color w:val="0D0D0D" w:themeColor="text1" w:themeTint="F2"/>
          <w:sz w:val="28"/>
          <w:szCs w:val="28"/>
          <w:rtl/>
          <w:lang w:eastAsia="en-US"/>
        </w:rPr>
        <w:t xml:space="preserve"> </w:t>
      </w:r>
      <w:r w:rsidR="005E315F" w:rsidRPr="005E315F">
        <w:rPr>
          <w:rFonts w:ascii="QCF_BSML" w:hAnsi="QCF_BSML" w:cs="QCF_BSML"/>
          <w:color w:val="auto"/>
          <w:sz w:val="32"/>
          <w:szCs w:val="32"/>
          <w:rtl/>
          <w:lang w:eastAsia="en-US"/>
        </w:rPr>
        <w:t xml:space="preserve"> </w:t>
      </w:r>
      <w:r w:rsidR="005E315F" w:rsidRPr="005E315F">
        <w:rPr>
          <w:rFonts w:ascii="QCF_BSML" w:hAnsi="QCF_BSML" w:cs="QCF_BSML"/>
          <w:sz w:val="32"/>
          <w:szCs w:val="32"/>
          <w:rtl/>
          <w:lang w:eastAsia="en-US"/>
        </w:rPr>
        <w:t>ﭽ</w:t>
      </w:r>
      <w:r w:rsidR="005E315F" w:rsidRPr="005E315F">
        <w:rPr>
          <w:rFonts w:ascii="QCF_P293" w:hAnsi="QCF_P293" w:cs="QCF_P293"/>
          <w:color w:val="auto"/>
          <w:sz w:val="32"/>
          <w:szCs w:val="32"/>
          <w:rtl/>
          <w:lang w:eastAsia="en-US"/>
        </w:rPr>
        <w:t xml:space="preserve">ﭶ      ﭷ  </w:t>
      </w:r>
      <w:r w:rsidR="005E315F" w:rsidRPr="005E315F">
        <w:rPr>
          <w:rFonts w:ascii="QCF_BSML" w:hAnsi="QCF_BSML" w:cs="QCF_BSML"/>
          <w:sz w:val="32"/>
          <w:szCs w:val="32"/>
          <w:rtl/>
          <w:lang w:eastAsia="en-US"/>
        </w:rPr>
        <w:t>ﭼ</w:t>
      </w:r>
      <w:r w:rsidR="00E47B5B">
        <w:rPr>
          <w:rFonts w:ascii="QCF_BSML" w:hAnsi="QCF_BSML" w:cs="QCF_BSML" w:hint="cs"/>
          <w:sz w:val="32"/>
          <w:szCs w:val="32"/>
          <w:rtl/>
          <w:lang w:eastAsia="en-US"/>
        </w:rPr>
        <w:t xml:space="preserve"> </w:t>
      </w:r>
      <w:r w:rsidR="005E315F" w:rsidRPr="005E315F">
        <w:rPr>
          <w:rFonts w:ascii="QCF_P293" w:hAnsi="QCF_P293" w:cs="QCF_P293"/>
          <w:color w:val="auto"/>
          <w:sz w:val="32"/>
          <w:szCs w:val="32"/>
          <w:rtl/>
          <w:lang w:eastAsia="en-US"/>
        </w:rPr>
        <w:t xml:space="preserve"> </w:t>
      </w:r>
      <w:r w:rsidR="00E47B5B" w:rsidRPr="001F3EEE">
        <w:rPr>
          <w:rFonts w:ascii="Traditional Arabic" w:hAnsi="Traditional Arabic"/>
          <w:color w:val="0D0D0D" w:themeColor="text1" w:themeTint="F2"/>
          <w:sz w:val="32"/>
          <w:szCs w:val="32"/>
          <w:rtl/>
        </w:rPr>
        <w:t>[الإسراء:</w:t>
      </w:r>
      <w:r w:rsidR="00E47B5B">
        <w:rPr>
          <w:rFonts w:ascii="Traditional Arabic" w:hAnsi="Traditional Arabic" w:hint="cs"/>
          <w:color w:val="0D0D0D" w:themeColor="text1" w:themeTint="F2"/>
          <w:sz w:val="32"/>
          <w:szCs w:val="32"/>
          <w:rtl/>
        </w:rPr>
        <w:t>107</w:t>
      </w:r>
      <w:r w:rsidR="00E47B5B" w:rsidRPr="001F3EEE">
        <w:rPr>
          <w:rFonts w:ascii="Traditional Arabic" w:hAnsi="Traditional Arabic"/>
          <w:color w:val="0D0D0D" w:themeColor="text1" w:themeTint="F2"/>
          <w:sz w:val="32"/>
          <w:szCs w:val="32"/>
          <w:rtl/>
        </w:rPr>
        <w:t>]</w:t>
      </w:r>
      <w:r w:rsidR="005E315F" w:rsidRPr="005E315F">
        <w:rPr>
          <w:rFonts w:ascii="QCF_P293" w:hAnsi="QCF_P293" w:cs="QCF_P293"/>
          <w:color w:val="auto"/>
          <w:sz w:val="32"/>
          <w:szCs w:val="32"/>
          <w:rtl/>
          <w:lang w:eastAsia="en-US"/>
        </w:rPr>
        <w:t xml:space="preserve">   </w:t>
      </w:r>
      <w:r w:rsidR="005E315F" w:rsidRPr="00911ED4">
        <w:rPr>
          <w:rtl/>
        </w:rPr>
        <w:t xml:space="preserve">اللام ها هنا بمعنى «على» . قال ابن عباس: قوله </w:t>
      </w:r>
      <w:r w:rsidR="005E315F" w:rsidRPr="005E315F">
        <w:rPr>
          <w:rFonts w:ascii="QCF_BSML" w:hAnsi="QCF_BSML" w:cs="QCF_BSML"/>
          <w:sz w:val="32"/>
          <w:szCs w:val="32"/>
          <w:rtl/>
          <w:lang w:eastAsia="en-US"/>
        </w:rPr>
        <w:t>ﭽ</w:t>
      </w:r>
      <w:r w:rsidR="005E315F" w:rsidRPr="005E315F">
        <w:rPr>
          <w:rFonts w:ascii="QCF_P293" w:hAnsi="QCF_P293" w:cs="QCF_P293"/>
          <w:color w:val="auto"/>
          <w:sz w:val="32"/>
          <w:szCs w:val="32"/>
          <w:rtl/>
          <w:lang w:eastAsia="en-US"/>
        </w:rPr>
        <w:t xml:space="preserve">ﭷ  </w:t>
      </w:r>
      <w:r w:rsidR="005E315F" w:rsidRPr="005E315F">
        <w:rPr>
          <w:rFonts w:ascii="QCF_BSML" w:hAnsi="QCF_BSML" w:cs="QCF_BSML"/>
          <w:sz w:val="32"/>
          <w:szCs w:val="32"/>
          <w:rtl/>
          <w:lang w:eastAsia="en-US"/>
        </w:rPr>
        <w:t>ﭼ</w:t>
      </w:r>
      <w:r w:rsidR="005E315F" w:rsidRPr="005E315F">
        <w:rPr>
          <w:rFonts w:ascii="QCF_P293" w:hAnsi="QCF_P293" w:cs="QCF_P293"/>
          <w:color w:val="auto"/>
          <w:sz w:val="32"/>
          <w:szCs w:val="32"/>
          <w:rtl/>
          <w:lang w:eastAsia="en-US"/>
        </w:rPr>
        <w:t xml:space="preserve">    </w:t>
      </w:r>
      <w:r w:rsidR="005E315F" w:rsidRPr="00911ED4">
        <w:rPr>
          <w:rtl/>
        </w:rPr>
        <w:t>أي:</w:t>
      </w:r>
      <w:r w:rsidR="005E315F" w:rsidRPr="00911ED4">
        <w:rPr>
          <w:rFonts w:hint="cs"/>
          <w:rtl/>
        </w:rPr>
        <w:t xml:space="preserve"> </w:t>
      </w:r>
      <w:r w:rsidR="005E315F" w:rsidRPr="00911ED4">
        <w:rPr>
          <w:rtl/>
        </w:rPr>
        <w:t>للوجوه. قال الزجاج: الذي يَخِرُّ وهو قائم، إِنما يَخِرُّ لوجهه، والذَّقْن: مُجْتَمع الَّلحيَين</w:t>
      </w:r>
      <w:r w:rsidR="005E315F" w:rsidRPr="00911ED4">
        <w:rPr>
          <w:rFonts w:hint="cs"/>
          <w:rtl/>
        </w:rPr>
        <w:t>,</w:t>
      </w:r>
      <w:r w:rsidR="005E315F" w:rsidRPr="00911ED4">
        <w:rPr>
          <w:rtl/>
        </w:rPr>
        <w:t xml:space="preserve"> وهو عضو من أعضاء الوجه، فإذا ابتدأ يَخِرُّ، فأقرب الأشياء من وجهه إِلى الأرض الذقن. وقال ابن الأنباري: أول ما يلقى الأرض من الذي يَخِرُّ قبل أن يصوِّب جبهته ذقنُه، فلذلك قال: </w:t>
      </w:r>
      <w:r w:rsidR="005E315F" w:rsidRPr="005E315F">
        <w:rPr>
          <w:rFonts w:ascii="QCF_BSML" w:hAnsi="QCF_BSML" w:cs="QCF_BSML"/>
          <w:sz w:val="32"/>
          <w:szCs w:val="32"/>
          <w:rtl/>
          <w:lang w:eastAsia="en-US"/>
        </w:rPr>
        <w:t>ﭽ</w:t>
      </w:r>
      <w:r w:rsidR="00991B74">
        <w:rPr>
          <w:rFonts w:ascii="QCF_BSML" w:hAnsi="QCF_BSML" w:cs="QCF_BSML" w:hint="cs"/>
          <w:sz w:val="32"/>
          <w:szCs w:val="32"/>
          <w:rtl/>
          <w:lang w:eastAsia="en-US"/>
        </w:rPr>
        <w:t xml:space="preserve"> </w:t>
      </w:r>
      <w:r w:rsidR="005E315F" w:rsidRPr="005E315F">
        <w:rPr>
          <w:rFonts w:ascii="QCF_P293" w:hAnsi="QCF_P293" w:cs="QCF_P293"/>
          <w:color w:val="auto"/>
          <w:sz w:val="32"/>
          <w:szCs w:val="32"/>
          <w:rtl/>
          <w:lang w:eastAsia="en-US"/>
        </w:rPr>
        <w:t>ﮄ</w:t>
      </w:r>
      <w:r w:rsidR="005E315F" w:rsidRPr="005E315F">
        <w:rPr>
          <w:rFonts w:ascii="QCF_BSML" w:hAnsi="QCF_BSML" w:cs="QCF_BSML"/>
          <w:sz w:val="32"/>
          <w:szCs w:val="32"/>
          <w:rtl/>
          <w:lang w:eastAsia="en-US"/>
        </w:rPr>
        <w:t xml:space="preserve"> ﭼ</w:t>
      </w:r>
      <w:r w:rsidR="005E315F" w:rsidRPr="005E315F">
        <w:rPr>
          <w:rFonts w:ascii="QCF_P293" w:hAnsi="QCF_P293" w:cs="QCF_P293"/>
          <w:color w:val="auto"/>
          <w:sz w:val="32"/>
          <w:szCs w:val="32"/>
          <w:rtl/>
          <w:lang w:eastAsia="en-US"/>
        </w:rPr>
        <w:t xml:space="preserve">  </w:t>
      </w:r>
      <w:r w:rsidR="005E315F" w:rsidRPr="00911ED4">
        <w:rPr>
          <w:rtl/>
        </w:rPr>
        <w:t xml:space="preserve">ويجوز أن يكون المعنى: يَخِرُّون للوجوه، فاكتفى بالذقن من </w:t>
      </w:r>
      <w:r w:rsidR="005E315F" w:rsidRPr="00911ED4">
        <w:rPr>
          <w:rtl/>
        </w:rPr>
        <w:lastRenderedPageBreak/>
        <w:t>الوجه كما يُكتف</w:t>
      </w:r>
      <w:r w:rsidR="005E315F">
        <w:rPr>
          <w:rtl/>
        </w:rPr>
        <w:t>ى بالبعض من الكُلِّ، وبالنوع من</w:t>
      </w:r>
      <w:r w:rsidR="005E315F">
        <w:rPr>
          <w:rFonts w:hint="cs"/>
          <w:rtl/>
        </w:rPr>
        <w:t xml:space="preserve"> </w:t>
      </w:r>
      <w:r w:rsidR="005E315F" w:rsidRPr="00911ED4">
        <w:rPr>
          <w:rtl/>
        </w:rPr>
        <w:t>الجنس</w:t>
      </w:r>
      <w:r w:rsidR="00E47B5B" w:rsidRPr="00E47B5B">
        <w:rPr>
          <w:rStyle w:val="ae"/>
          <w:rtl/>
        </w:rPr>
        <w:t>(</w:t>
      </w:r>
      <w:r w:rsidR="00E47B5B">
        <w:rPr>
          <w:rStyle w:val="ae"/>
          <w:rtl/>
        </w:rPr>
        <w:footnoteReference w:id="137"/>
      </w:r>
      <w:r w:rsidR="00E47B5B" w:rsidRPr="00E47B5B">
        <w:rPr>
          <w:rStyle w:val="ae"/>
          <w:rtl/>
        </w:rPr>
        <w:t>)</w:t>
      </w:r>
      <w:r w:rsidR="005E315F">
        <w:rPr>
          <w:rFonts w:hint="cs"/>
          <w:rtl/>
        </w:rPr>
        <w:t>.</w:t>
      </w:r>
    </w:p>
    <w:p w:rsidR="000C682B" w:rsidRPr="000C682B" w:rsidRDefault="000C682B" w:rsidP="00E47B5B">
      <w:pPr>
        <w:numPr>
          <w:ilvl w:val="0"/>
          <w:numId w:val="15"/>
        </w:numPr>
        <w:spacing w:after="200" w:line="276" w:lineRule="auto"/>
        <w:ind w:left="0" w:firstLine="0"/>
        <w:contextualSpacing/>
        <w:jc w:val="lowKashida"/>
        <w:rPr>
          <w:rtl/>
        </w:rPr>
      </w:pPr>
      <w:r>
        <w:rPr>
          <w:rFonts w:ascii="Traditional Arabic" w:eastAsia="Calibri" w:hAnsi="Traditional Arabic" w:hint="cs"/>
          <w:color w:val="auto"/>
          <w:shd w:val="clear" w:color="auto" w:fill="FFFFFF"/>
          <w:rtl/>
        </w:rPr>
        <w:t>ي</w:t>
      </w:r>
      <w:r w:rsidRPr="000C682B">
        <w:rPr>
          <w:rFonts w:ascii="Traditional Arabic" w:eastAsia="Calibri" w:hAnsi="Traditional Arabic"/>
          <w:color w:val="auto"/>
          <w:shd w:val="clear" w:color="auto" w:fill="FFFFFF"/>
          <w:rtl/>
        </w:rPr>
        <w:t>هتم ابن الجوزي بتوجيه القراءات لغويا</w:t>
      </w:r>
      <w:r w:rsidR="00991B74">
        <w:rPr>
          <w:rFonts w:ascii="Traditional Arabic" w:eastAsia="Calibri" w:hAnsi="Traditional Arabic" w:hint="cs"/>
          <w:color w:val="auto"/>
          <w:shd w:val="clear" w:color="auto" w:fill="FFFFFF"/>
          <w:rtl/>
        </w:rPr>
        <w:t>ً</w:t>
      </w:r>
      <w:r w:rsidRPr="000C682B">
        <w:rPr>
          <w:rFonts w:ascii="Traditional Arabic" w:eastAsia="Calibri" w:hAnsi="Traditional Arabic"/>
          <w:color w:val="auto"/>
          <w:shd w:val="clear" w:color="auto" w:fill="FFFFFF"/>
          <w:rtl/>
        </w:rPr>
        <w:t>.</w:t>
      </w:r>
      <w:r w:rsidRPr="000C682B">
        <w:rPr>
          <w:rFonts w:ascii="Traditional Arabic" w:hAnsi="Traditional Arabic" w:hint="cs"/>
          <w:rtl/>
        </w:rPr>
        <w:t xml:space="preserve"> مثاله: قال رحمه الله عند</w:t>
      </w:r>
      <w:r w:rsidRPr="000C682B">
        <w:rPr>
          <w:rFonts w:ascii="Traditional Arabic" w:eastAsia="Calibri" w:hAnsi="Traditional Arabic"/>
          <w:color w:val="auto"/>
          <w:shd w:val="clear" w:color="auto" w:fill="FFFFFF"/>
          <w:rtl/>
        </w:rPr>
        <w:t xml:space="preserve"> </w:t>
      </w:r>
      <w:r w:rsidRPr="000C682B">
        <w:rPr>
          <w:rFonts w:ascii="Traditional Arabic" w:hAnsi="Traditional Arabic"/>
          <w:color w:val="0D0D0D" w:themeColor="text1" w:themeTint="F2"/>
          <w:rtl/>
          <w:lang w:eastAsia="en-US"/>
        </w:rPr>
        <w:t>قوله تعالى</w:t>
      </w:r>
      <w:r w:rsidRPr="000C682B">
        <w:rPr>
          <w:rFonts w:ascii="Traditional Arabic" w:hAnsi="Traditional Arabic"/>
          <w:color w:val="0D0D0D" w:themeColor="text1" w:themeTint="F2"/>
          <w:sz w:val="28"/>
          <w:szCs w:val="28"/>
          <w:rtl/>
          <w:lang w:eastAsia="en-US"/>
        </w:rPr>
        <w:t>:</w:t>
      </w:r>
      <w:r w:rsidRPr="000C682B">
        <w:rPr>
          <w:rtl/>
        </w:rPr>
        <w:t xml:space="preserve"> </w:t>
      </w:r>
      <w:r w:rsidRPr="000C682B">
        <w:rPr>
          <w:rFonts w:ascii="QCF_BSML" w:hAnsi="QCF_BSML" w:cs="QCF_BSML"/>
          <w:color w:val="auto"/>
          <w:sz w:val="32"/>
          <w:szCs w:val="32"/>
          <w:rtl/>
          <w:lang w:eastAsia="en-US"/>
        </w:rPr>
        <w:t xml:space="preserve">ﭽ </w:t>
      </w:r>
      <w:r w:rsidRPr="000C682B">
        <w:rPr>
          <w:rFonts w:ascii="QCF_P296" w:hAnsi="QCF_P296" w:cs="QCF_P296"/>
          <w:color w:val="auto"/>
          <w:sz w:val="32"/>
          <w:szCs w:val="32"/>
          <w:rtl/>
          <w:lang w:eastAsia="en-US"/>
        </w:rPr>
        <w:t xml:space="preserve">ﯖ  ﯗ  ﯘ </w:t>
      </w:r>
      <w:r w:rsidRPr="000C682B">
        <w:rPr>
          <w:rFonts w:ascii="QCF_P296" w:hAnsi="QCF_P296" w:cs="QCF_P296" w:hint="cs"/>
          <w:color w:val="auto"/>
          <w:sz w:val="32"/>
          <w:szCs w:val="32"/>
          <w:rtl/>
          <w:lang w:eastAsia="en-US"/>
        </w:rPr>
        <w:t xml:space="preserve"> </w:t>
      </w:r>
      <w:r w:rsidRPr="000C682B">
        <w:rPr>
          <w:rFonts w:ascii="QCF_P296" w:hAnsi="QCF_P296" w:cs="QCF_P296"/>
          <w:color w:val="auto"/>
          <w:sz w:val="32"/>
          <w:szCs w:val="32"/>
          <w:rtl/>
          <w:lang w:eastAsia="en-US"/>
        </w:rPr>
        <w:t>ﯙ  ﯚ    ﯛ</w:t>
      </w:r>
      <w:r w:rsidR="00991B74">
        <w:rPr>
          <w:rFonts w:ascii="QCF_BSML" w:hAnsi="QCF_BSML" w:cs="QCF_BSML" w:hint="cs"/>
          <w:color w:val="auto"/>
          <w:sz w:val="32"/>
          <w:szCs w:val="32"/>
          <w:rtl/>
          <w:lang w:eastAsia="en-US"/>
        </w:rPr>
        <w:t xml:space="preserve"> </w:t>
      </w:r>
      <w:r w:rsidRPr="000C682B">
        <w:rPr>
          <w:rFonts w:ascii="QCF_BSML" w:hAnsi="QCF_BSML" w:cs="QCF_BSML"/>
          <w:color w:val="auto"/>
          <w:sz w:val="32"/>
          <w:szCs w:val="32"/>
          <w:rtl/>
          <w:lang w:eastAsia="en-US"/>
        </w:rPr>
        <w:t>ﭼ</w:t>
      </w:r>
      <w:r w:rsidRPr="000C682B">
        <w:rPr>
          <w:rFonts w:ascii="QCF_P296" w:hAnsi="QCF_P296" w:cs="QCF_P296"/>
          <w:color w:val="auto"/>
          <w:sz w:val="32"/>
          <w:szCs w:val="32"/>
          <w:rtl/>
          <w:lang w:eastAsia="en-US"/>
        </w:rPr>
        <w:t xml:space="preserve">  </w:t>
      </w:r>
      <w:r w:rsidR="00E47B5B">
        <w:rPr>
          <w:rFonts w:ascii="Traditional Arabic" w:hAnsi="Traditional Arabic" w:hint="cs"/>
          <w:color w:val="0D0D0D" w:themeColor="text1" w:themeTint="F2"/>
          <w:sz w:val="32"/>
          <w:szCs w:val="32"/>
          <w:rtl/>
          <w:lang w:eastAsia="en-US"/>
        </w:rPr>
        <w:t>[الكهف:25]</w:t>
      </w:r>
      <w:r w:rsidRPr="005C21CD">
        <w:rPr>
          <w:rFonts w:hint="cs"/>
          <w:rtl/>
        </w:rPr>
        <w:t xml:space="preserve"> </w:t>
      </w:r>
      <w:r w:rsidRPr="005C21CD">
        <w:rPr>
          <w:rtl/>
        </w:rPr>
        <w:t>قرأ ابن كثير، ونافع، وأبو عمرو، وعاصم وابن عامر: «ثلاثمائةٍ سنين» منوَّناً</w:t>
      </w:r>
      <w:r w:rsidRPr="005C21CD">
        <w:rPr>
          <w:rFonts w:hint="cs"/>
          <w:rtl/>
        </w:rPr>
        <w:t>,</w:t>
      </w:r>
      <w:r w:rsidRPr="005C21CD">
        <w:rPr>
          <w:rtl/>
        </w:rPr>
        <w:t xml:space="preserve"> وقرأ حمزة والكسائي: «ثلاثمائةِ سنين» مضافاً غير منوَّن. قال أبو</w:t>
      </w:r>
      <w:r w:rsidRPr="005C21CD">
        <w:rPr>
          <w:rFonts w:hint="cs"/>
          <w:rtl/>
        </w:rPr>
        <w:t xml:space="preserve"> </w:t>
      </w:r>
      <w:r w:rsidRPr="005C21CD">
        <w:rPr>
          <w:rtl/>
        </w:rPr>
        <w:t>علي: العدد المضاف إِلى الآحاد قد جاء مضافاً إِلى الجميع، قال الشاعر:</w:t>
      </w:r>
    </w:p>
    <w:p w:rsidR="00036B9B" w:rsidRDefault="000C682B" w:rsidP="00036B9B">
      <w:pPr>
        <w:ind w:firstLine="0"/>
        <w:rPr>
          <w:rtl/>
        </w:rPr>
      </w:pPr>
      <w:r w:rsidRPr="005C21CD">
        <w:rPr>
          <w:rtl/>
        </w:rPr>
        <w:t>ومَا زَوَّدُوني غير سحق</w:t>
      </w:r>
      <w:r>
        <w:rPr>
          <w:rFonts w:hint="cs"/>
          <w:vertAlign w:val="superscript"/>
          <w:rtl/>
        </w:rPr>
        <w:t xml:space="preserve"> </w:t>
      </w:r>
      <w:r w:rsidRPr="005C21CD">
        <w:rPr>
          <w:rtl/>
        </w:rPr>
        <w:t>عمامة ... وخمسمئ منها قَسِيٌّ</w:t>
      </w:r>
      <w:r>
        <w:rPr>
          <w:rFonts w:hint="cs"/>
          <w:vertAlign w:val="superscript"/>
          <w:rtl/>
        </w:rPr>
        <w:t xml:space="preserve"> </w:t>
      </w:r>
      <w:r w:rsidRPr="005C21CD">
        <w:rPr>
          <w:rtl/>
        </w:rPr>
        <w:t>وزائفُ</w:t>
      </w:r>
      <w:r w:rsidR="00E47B5B" w:rsidRPr="00E47B5B">
        <w:rPr>
          <w:rStyle w:val="ae"/>
          <w:rtl/>
        </w:rPr>
        <w:t>(</w:t>
      </w:r>
      <w:r w:rsidR="00E47B5B">
        <w:rPr>
          <w:rStyle w:val="ae"/>
          <w:rtl/>
        </w:rPr>
        <w:footnoteReference w:id="138"/>
      </w:r>
      <w:r w:rsidR="00E47B5B" w:rsidRPr="00E47B5B">
        <w:rPr>
          <w:rStyle w:val="ae"/>
          <w:rtl/>
        </w:rPr>
        <w:t>)</w:t>
      </w:r>
    </w:p>
    <w:p w:rsidR="000C682B" w:rsidRDefault="000C682B" w:rsidP="00C443D8">
      <w:pPr>
        <w:numPr>
          <w:ilvl w:val="0"/>
          <w:numId w:val="15"/>
        </w:numPr>
        <w:spacing w:after="200" w:line="276" w:lineRule="auto"/>
        <w:ind w:left="0" w:firstLine="0"/>
        <w:contextualSpacing/>
        <w:jc w:val="lowKashida"/>
      </w:pPr>
      <w:r w:rsidRPr="000C682B">
        <w:rPr>
          <w:rFonts w:hint="cs"/>
          <w:rtl/>
        </w:rPr>
        <w:t xml:space="preserve"> </w:t>
      </w:r>
      <w:r w:rsidRPr="000C682B">
        <w:rPr>
          <w:rtl/>
        </w:rPr>
        <w:t>يهتم ابن الجوزي بذكر الشواهد الشعرية.</w:t>
      </w:r>
    </w:p>
    <w:p w:rsidR="00991B74" w:rsidRPr="00991B74" w:rsidRDefault="00036B9B" w:rsidP="00E47B5B">
      <w:pPr>
        <w:numPr>
          <w:ilvl w:val="0"/>
          <w:numId w:val="15"/>
        </w:numPr>
        <w:spacing w:after="200" w:line="276" w:lineRule="auto"/>
        <w:ind w:left="0" w:firstLine="0"/>
        <w:contextualSpacing/>
        <w:jc w:val="lowKashida"/>
      </w:pPr>
      <w:r w:rsidRPr="00991B74">
        <w:rPr>
          <w:rFonts w:ascii="Traditional Arabic" w:eastAsia="Calibri" w:hAnsi="Traditional Arabic"/>
          <w:shd w:val="clear" w:color="auto" w:fill="FFFFFF"/>
          <w:rtl/>
        </w:rPr>
        <w:t>يستشهد بالأبيات الشعرية</w:t>
      </w:r>
      <w:r w:rsidRPr="00991B74">
        <w:rPr>
          <w:rFonts w:ascii="Traditional Arabic" w:hAnsi="Traditional Arabic"/>
          <w:rtl/>
        </w:rPr>
        <w:t xml:space="preserve"> ل</w:t>
      </w:r>
      <w:r w:rsidR="00BD5ED5">
        <w:rPr>
          <w:rFonts w:ascii="Traditional Arabic" w:hAnsi="Traditional Arabic"/>
          <w:rtl/>
        </w:rPr>
        <w:t>تعضيد معن</w:t>
      </w:r>
      <w:r w:rsidR="00BD5ED5">
        <w:rPr>
          <w:rFonts w:ascii="Traditional Arabic" w:hAnsi="Traditional Arabic" w:hint="cs"/>
          <w:rtl/>
        </w:rPr>
        <w:t>ى</w:t>
      </w:r>
      <w:r w:rsidRPr="00991B74">
        <w:rPr>
          <w:rFonts w:ascii="Traditional Arabic" w:hAnsi="Traditional Arabic"/>
          <w:rtl/>
        </w:rPr>
        <w:t xml:space="preserve"> معين. مثاله: قال رحمه الله عند</w:t>
      </w:r>
      <w:r w:rsidRPr="00991B74">
        <w:rPr>
          <w:rFonts w:ascii="Traditional Arabic" w:eastAsia="Calibri" w:hAnsi="Traditional Arabic"/>
          <w:color w:val="auto"/>
          <w:shd w:val="clear" w:color="auto" w:fill="FFFFFF"/>
          <w:rtl/>
        </w:rPr>
        <w:t xml:space="preserve"> </w:t>
      </w:r>
      <w:r w:rsidRPr="00991B74">
        <w:rPr>
          <w:rFonts w:ascii="Traditional Arabic" w:hAnsi="Traditional Arabic"/>
          <w:color w:val="0D0D0D" w:themeColor="text1" w:themeTint="F2"/>
          <w:rtl/>
          <w:lang w:eastAsia="en-US"/>
        </w:rPr>
        <w:t>قوله تعالى:</w:t>
      </w:r>
      <w:r w:rsidRPr="00991B74">
        <w:rPr>
          <w:rFonts w:ascii="QCF_BSML" w:hAnsi="QCF_BSML" w:cs="QCF_BSML"/>
          <w:sz w:val="32"/>
          <w:szCs w:val="32"/>
          <w:rtl/>
          <w:lang w:eastAsia="en-US"/>
        </w:rPr>
        <w:t xml:space="preserve"> ﭽ</w:t>
      </w:r>
      <w:r w:rsidRPr="00991B74">
        <w:rPr>
          <w:rFonts w:ascii="QCF_P291" w:hAnsi="QCF_P291" w:cs="QCF_P291"/>
          <w:sz w:val="32"/>
          <w:szCs w:val="32"/>
          <w:rtl/>
          <w:lang w:eastAsia="en-US"/>
        </w:rPr>
        <w:t>ﮝ  ﮞ  ﮟ  ﮠ  ﮡ</w:t>
      </w:r>
      <w:r w:rsidRPr="00991B74">
        <w:rPr>
          <w:rFonts w:ascii="QCF_BSML" w:hAnsi="QCF_BSML" w:cs="QCF_BSML" w:hint="cs"/>
          <w:sz w:val="32"/>
          <w:szCs w:val="32"/>
          <w:rtl/>
          <w:lang w:eastAsia="en-US"/>
        </w:rPr>
        <w:t xml:space="preserve"> </w:t>
      </w:r>
      <w:r w:rsidRPr="00991B74">
        <w:rPr>
          <w:rFonts w:ascii="QCF_BSML" w:hAnsi="QCF_BSML" w:cs="QCF_BSML"/>
          <w:sz w:val="32"/>
          <w:szCs w:val="32"/>
          <w:rtl/>
          <w:lang w:eastAsia="en-US"/>
        </w:rPr>
        <w:t>ﭼ</w:t>
      </w:r>
      <w:r w:rsidRPr="00991B74">
        <w:rPr>
          <w:rFonts w:ascii="Traditional Arabic" w:hAnsi="Traditional Arabic"/>
          <w:rtl/>
        </w:rPr>
        <w:t xml:space="preserve"> </w:t>
      </w:r>
      <w:r w:rsidR="00E47B5B" w:rsidRPr="005E315F">
        <w:rPr>
          <w:rFonts w:ascii="QCF_P293" w:hAnsi="QCF_P293" w:cs="QCF_P293"/>
          <w:color w:val="auto"/>
          <w:sz w:val="32"/>
          <w:szCs w:val="32"/>
          <w:rtl/>
          <w:lang w:eastAsia="en-US"/>
        </w:rPr>
        <w:t xml:space="preserve"> </w:t>
      </w:r>
      <w:r w:rsidR="00E47B5B" w:rsidRPr="001F3EEE">
        <w:rPr>
          <w:rFonts w:ascii="Traditional Arabic" w:hAnsi="Traditional Arabic"/>
          <w:color w:val="0D0D0D" w:themeColor="text1" w:themeTint="F2"/>
          <w:sz w:val="32"/>
          <w:szCs w:val="32"/>
          <w:rtl/>
        </w:rPr>
        <w:t>[الإسراء:</w:t>
      </w:r>
      <w:r w:rsidR="00E47B5B">
        <w:rPr>
          <w:rFonts w:ascii="Traditional Arabic" w:hAnsi="Traditional Arabic" w:hint="cs"/>
          <w:color w:val="0D0D0D" w:themeColor="text1" w:themeTint="F2"/>
          <w:sz w:val="32"/>
          <w:szCs w:val="32"/>
          <w:rtl/>
        </w:rPr>
        <w:t>92</w:t>
      </w:r>
      <w:r w:rsidR="00E47B5B" w:rsidRPr="001F3EEE">
        <w:rPr>
          <w:rFonts w:ascii="Traditional Arabic" w:hAnsi="Traditional Arabic"/>
          <w:color w:val="0D0D0D" w:themeColor="text1" w:themeTint="F2"/>
          <w:sz w:val="32"/>
          <w:szCs w:val="32"/>
          <w:rtl/>
        </w:rPr>
        <w:t>]</w:t>
      </w:r>
      <w:r w:rsidR="00E47B5B">
        <w:rPr>
          <w:rFonts w:ascii="Traditional Arabic" w:hAnsi="Traditional Arabic" w:hint="cs"/>
          <w:color w:val="0D0D0D" w:themeColor="text1" w:themeTint="F2"/>
          <w:sz w:val="32"/>
          <w:szCs w:val="32"/>
          <w:rtl/>
        </w:rPr>
        <w:t xml:space="preserve"> </w:t>
      </w:r>
      <w:r w:rsidR="00E47B5B" w:rsidRPr="005E315F">
        <w:rPr>
          <w:rFonts w:ascii="QCF_P293" w:hAnsi="QCF_P293" w:cs="QCF_P293"/>
          <w:color w:val="auto"/>
          <w:sz w:val="32"/>
          <w:szCs w:val="32"/>
          <w:rtl/>
          <w:lang w:eastAsia="en-US"/>
        </w:rPr>
        <w:t xml:space="preserve"> </w:t>
      </w:r>
      <w:r w:rsidRPr="00991B74">
        <w:rPr>
          <w:rFonts w:ascii="Traditional Arabic" w:hAnsi="Traditional Arabic"/>
          <w:rtl/>
        </w:rPr>
        <w:t>فيه ثلاثة أقوال: أحدها: عياناً، رواه الضحاك عن ابن عباس، وبه قال قتادة، وابن جريج، ومقاتل. وقال أبو عبيدة: معناه: مقابلة،</w:t>
      </w:r>
      <w:r w:rsidR="00CE7626" w:rsidRPr="00991B74">
        <w:rPr>
          <w:rFonts w:ascii="Traditional Arabic" w:hAnsi="Traditional Arabic"/>
          <w:rtl/>
        </w:rPr>
        <w:t xml:space="preserve"> أي: معاينة، وأنشد الأعشى: </w:t>
      </w:r>
    </w:p>
    <w:p w:rsidR="00991B74" w:rsidRDefault="00CE7626" w:rsidP="00991B74">
      <w:pPr>
        <w:spacing w:after="200" w:line="276" w:lineRule="auto"/>
        <w:ind w:firstLine="0"/>
        <w:contextualSpacing/>
        <w:jc w:val="lowKashida"/>
        <w:rPr>
          <w:rFonts w:ascii="Traditional Arabic" w:hAnsi="Traditional Arabic"/>
          <w:rtl/>
        </w:rPr>
      </w:pPr>
      <w:r w:rsidRPr="00991B74">
        <w:rPr>
          <w:rFonts w:ascii="Traditional Arabic" w:hAnsi="Traditional Arabic"/>
          <w:rtl/>
        </w:rPr>
        <w:t>نصالحكم حتّى تبوءوا بِمِثْلِهَا ... كَصَرْخَةِ حُبْلَى يَسَّرَتْهَا قَبِيلُهَا</w:t>
      </w:r>
    </w:p>
    <w:p w:rsidR="00CE7626" w:rsidRDefault="00CE7626" w:rsidP="00991B74">
      <w:pPr>
        <w:spacing w:after="200" w:line="276" w:lineRule="auto"/>
        <w:ind w:firstLine="0"/>
        <w:contextualSpacing/>
        <w:jc w:val="lowKashida"/>
      </w:pPr>
      <w:r w:rsidRPr="00991B74">
        <w:rPr>
          <w:rFonts w:ascii="Traditional Arabic" w:hAnsi="Traditional Arabic"/>
          <w:rtl/>
        </w:rPr>
        <w:t>أي: قابِلَتُها. ويروى: وجَّهتْها، يعني: بدل يسرتها</w:t>
      </w:r>
      <w:r w:rsidR="00E47B5B" w:rsidRPr="00E47B5B">
        <w:rPr>
          <w:rStyle w:val="ae"/>
          <w:rtl/>
        </w:rPr>
        <w:t>(</w:t>
      </w:r>
      <w:r w:rsidR="00E47B5B">
        <w:rPr>
          <w:rStyle w:val="ae"/>
          <w:rtl/>
        </w:rPr>
        <w:footnoteReference w:id="139"/>
      </w:r>
      <w:r w:rsidR="00E47B5B" w:rsidRPr="00E47B5B">
        <w:rPr>
          <w:rStyle w:val="ae"/>
          <w:rtl/>
        </w:rPr>
        <w:t>)</w:t>
      </w:r>
      <w:r w:rsidRPr="00991B74">
        <w:rPr>
          <w:rFonts w:ascii="Traditional Arabic" w:hAnsi="Traditional Arabic"/>
          <w:rtl/>
        </w:rPr>
        <w:t>.</w:t>
      </w:r>
    </w:p>
    <w:p w:rsidR="00991B74" w:rsidRPr="00991B74" w:rsidRDefault="00CE7626" w:rsidP="00E47B5B">
      <w:pPr>
        <w:numPr>
          <w:ilvl w:val="0"/>
          <w:numId w:val="15"/>
        </w:numPr>
        <w:spacing w:after="200" w:line="276" w:lineRule="auto"/>
        <w:ind w:left="0" w:firstLine="0"/>
        <w:contextualSpacing/>
        <w:jc w:val="lowKashida"/>
      </w:pPr>
      <w:r w:rsidRPr="00991B74">
        <w:rPr>
          <w:rFonts w:ascii="Traditional Arabic" w:eastAsia="Calibri" w:hAnsi="Traditional Arabic"/>
          <w:shd w:val="clear" w:color="auto" w:fill="FFFFFF"/>
          <w:rtl/>
        </w:rPr>
        <w:t xml:space="preserve">يستشهد بالأبيات الشعرية لبيان معنى الآية. </w:t>
      </w:r>
      <w:r w:rsidRPr="00991B74">
        <w:rPr>
          <w:rFonts w:ascii="Traditional Arabic" w:hAnsi="Traditional Arabic"/>
          <w:rtl/>
        </w:rPr>
        <w:t>مثاله: قال رحمه الله عند</w:t>
      </w:r>
      <w:r w:rsidRPr="00991B74">
        <w:rPr>
          <w:rFonts w:ascii="Traditional Arabic" w:eastAsia="Calibri" w:hAnsi="Traditional Arabic"/>
          <w:color w:val="auto"/>
          <w:shd w:val="clear" w:color="auto" w:fill="FFFFFF"/>
          <w:rtl/>
        </w:rPr>
        <w:t xml:space="preserve"> </w:t>
      </w:r>
      <w:r w:rsidRPr="00991B74">
        <w:rPr>
          <w:rFonts w:ascii="Traditional Arabic" w:hAnsi="Traditional Arabic"/>
          <w:color w:val="0D0D0D" w:themeColor="text1" w:themeTint="F2"/>
          <w:rtl/>
          <w:lang w:eastAsia="en-US"/>
        </w:rPr>
        <w:t>قوله تعالى:</w:t>
      </w:r>
      <w:r w:rsidRPr="00991B74">
        <w:rPr>
          <w:rFonts w:ascii="QCF_BSML" w:hAnsi="QCF_BSML" w:cs="QCF_BSML"/>
          <w:color w:val="auto"/>
          <w:sz w:val="32"/>
          <w:szCs w:val="32"/>
          <w:rtl/>
          <w:lang w:eastAsia="en-US"/>
        </w:rPr>
        <w:t xml:space="preserve"> ﭽ</w:t>
      </w:r>
      <w:r w:rsidRPr="00991B74">
        <w:rPr>
          <w:rFonts w:ascii="QCF_P297" w:hAnsi="QCF_P297" w:cs="QCF_P297"/>
          <w:color w:val="auto"/>
          <w:sz w:val="32"/>
          <w:szCs w:val="32"/>
          <w:rtl/>
          <w:lang w:eastAsia="en-US"/>
        </w:rPr>
        <w:t>ﮎ     ﮏ  ﮐ  ﮑ</w:t>
      </w:r>
      <w:r w:rsidR="00991B74" w:rsidRPr="00991B74">
        <w:rPr>
          <w:rFonts w:ascii="QCF_P297" w:hAnsi="QCF_P297" w:cs="QCF_P297" w:hint="cs"/>
          <w:color w:val="auto"/>
          <w:sz w:val="32"/>
          <w:szCs w:val="32"/>
          <w:rtl/>
          <w:lang w:eastAsia="en-US"/>
        </w:rPr>
        <w:t xml:space="preserve"> </w:t>
      </w:r>
      <w:r w:rsidRPr="00991B74">
        <w:rPr>
          <w:rFonts w:ascii="QCF_BSML" w:hAnsi="QCF_BSML" w:cs="QCF_BSML"/>
          <w:color w:val="auto"/>
          <w:sz w:val="32"/>
          <w:szCs w:val="32"/>
          <w:rtl/>
          <w:lang w:eastAsia="en-US"/>
        </w:rPr>
        <w:t>ﭼ</w:t>
      </w:r>
      <w:r w:rsidR="00E47B5B" w:rsidRPr="000C682B">
        <w:rPr>
          <w:rFonts w:ascii="QCF_P296" w:hAnsi="QCF_P296" w:cs="QCF_P296"/>
          <w:color w:val="auto"/>
          <w:sz w:val="32"/>
          <w:szCs w:val="32"/>
          <w:rtl/>
          <w:lang w:eastAsia="en-US"/>
        </w:rPr>
        <w:t xml:space="preserve">  </w:t>
      </w:r>
      <w:r w:rsidR="00E47B5B">
        <w:rPr>
          <w:rFonts w:ascii="Traditional Arabic" w:hAnsi="Traditional Arabic" w:hint="cs"/>
          <w:color w:val="0D0D0D" w:themeColor="text1" w:themeTint="F2"/>
          <w:sz w:val="32"/>
          <w:szCs w:val="32"/>
          <w:rtl/>
          <w:lang w:eastAsia="en-US"/>
        </w:rPr>
        <w:t>[الكهف:29]</w:t>
      </w:r>
      <w:r w:rsidR="00E47B5B">
        <w:rPr>
          <w:rFonts w:ascii="Traditional Arabic" w:hAnsi="Traditional Arabic" w:hint="cs"/>
          <w:rtl/>
        </w:rPr>
        <w:t xml:space="preserve"> </w:t>
      </w:r>
      <w:r w:rsidRPr="00991B74">
        <w:rPr>
          <w:rFonts w:ascii="Traditional Arabic" w:hAnsi="Traditional Arabic"/>
          <w:rtl/>
        </w:rPr>
        <w:t>وفيه خمسة أقوال: أحدها: منزلاً، قاله ابن عباس</w:t>
      </w:r>
      <w:r w:rsidRPr="00991B74">
        <w:rPr>
          <w:rFonts w:ascii="Traditional Arabic" w:hAnsi="Traditional Arabic" w:hint="cs"/>
          <w:rtl/>
        </w:rPr>
        <w:t xml:space="preserve">. </w:t>
      </w:r>
      <w:r w:rsidRPr="00991B74">
        <w:rPr>
          <w:rFonts w:hint="cs"/>
          <w:vertAlign w:val="superscript"/>
          <w:rtl/>
        </w:rPr>
        <w:t>.</w:t>
      </w:r>
      <w:r w:rsidRPr="00991B74">
        <w:rPr>
          <w:rFonts w:ascii="Traditional Arabic" w:hAnsi="Traditional Arabic"/>
          <w:rtl/>
        </w:rPr>
        <w:t>والثاني:</w:t>
      </w:r>
      <w:r w:rsidRPr="00991B74">
        <w:rPr>
          <w:rFonts w:ascii="Traditional Arabic" w:hAnsi="Traditional Arabic" w:hint="cs"/>
          <w:rtl/>
        </w:rPr>
        <w:t xml:space="preserve"> </w:t>
      </w:r>
      <w:r w:rsidRPr="00991B74">
        <w:rPr>
          <w:rFonts w:ascii="Traditional Arabic" w:hAnsi="Traditional Arabic"/>
          <w:rtl/>
        </w:rPr>
        <w:t>مجتمعاً، قاله مجاهد. والثالث: متَّكأً، قاله أبو عبيدة، وأنشد لأبي ذؤيب:</w:t>
      </w:r>
    </w:p>
    <w:p w:rsidR="00991B74" w:rsidRPr="00991B74" w:rsidRDefault="00CE7626" w:rsidP="00991B74">
      <w:pPr>
        <w:spacing w:after="200" w:line="276" w:lineRule="auto"/>
        <w:ind w:firstLine="0"/>
        <w:contextualSpacing/>
        <w:jc w:val="lowKashida"/>
      </w:pPr>
      <w:r w:rsidRPr="00991B74">
        <w:rPr>
          <w:rFonts w:ascii="Traditional Arabic" w:hAnsi="Traditional Arabic"/>
          <w:rtl/>
        </w:rPr>
        <w:t xml:space="preserve"> إِني أرِقْت فبِتُّ اللَّيْلَ مُرْتَفِقاً ... كأنَّ عَيْنِيَ فِيها الصَّابُ مَذْبُوحُ</w:t>
      </w:r>
      <w:r w:rsidR="00E47B5B" w:rsidRPr="00E47B5B">
        <w:rPr>
          <w:rStyle w:val="ae"/>
          <w:rtl/>
        </w:rPr>
        <w:t>(</w:t>
      </w:r>
      <w:r w:rsidR="00E47B5B">
        <w:rPr>
          <w:rStyle w:val="ae"/>
          <w:rtl/>
        </w:rPr>
        <w:footnoteReference w:id="140"/>
      </w:r>
      <w:r w:rsidR="00E47B5B" w:rsidRPr="00E47B5B">
        <w:rPr>
          <w:rStyle w:val="ae"/>
          <w:rtl/>
        </w:rPr>
        <w:t>)</w:t>
      </w:r>
      <w:r w:rsidRPr="00991B74">
        <w:rPr>
          <w:rFonts w:ascii="QCF_BSML" w:hAnsi="QCF_BSML" w:cs="QCF_BSML"/>
          <w:sz w:val="32"/>
          <w:szCs w:val="32"/>
          <w:rtl/>
          <w:lang w:eastAsia="en-US"/>
        </w:rPr>
        <w:t xml:space="preserve"> </w:t>
      </w:r>
      <w:r w:rsidR="00991B74" w:rsidRPr="00991B74">
        <w:rPr>
          <w:rFonts w:ascii="Traditional Arabic" w:eastAsia="Calibri" w:hAnsi="Traditional Arabic" w:hint="cs"/>
          <w:color w:val="auto"/>
          <w:shd w:val="clear" w:color="auto" w:fill="FFFFFF"/>
          <w:rtl/>
        </w:rPr>
        <w:t xml:space="preserve"> </w:t>
      </w:r>
    </w:p>
    <w:p w:rsidR="00CE7626" w:rsidRPr="00991B74" w:rsidRDefault="00CE7626" w:rsidP="00C443D8">
      <w:pPr>
        <w:numPr>
          <w:ilvl w:val="0"/>
          <w:numId w:val="15"/>
        </w:numPr>
        <w:spacing w:after="200" w:line="276" w:lineRule="auto"/>
        <w:ind w:left="0" w:firstLine="0"/>
        <w:contextualSpacing/>
        <w:jc w:val="lowKashida"/>
        <w:rPr>
          <w:rtl/>
        </w:rPr>
      </w:pPr>
      <w:r w:rsidRPr="00991B74">
        <w:rPr>
          <w:rFonts w:ascii="Traditional Arabic" w:eastAsia="Calibri" w:hAnsi="Traditional Arabic"/>
          <w:color w:val="auto"/>
          <w:shd w:val="clear" w:color="auto" w:fill="FFFFFF"/>
          <w:rtl/>
        </w:rPr>
        <w:t>يذكر ابن الجوزي في تفسيره بعض النواحي البلاغية:</w:t>
      </w:r>
    </w:p>
    <w:p w:rsidR="00D11232" w:rsidRDefault="00D11232" w:rsidP="00255369">
      <w:pPr>
        <w:numPr>
          <w:ilvl w:val="0"/>
          <w:numId w:val="18"/>
        </w:numPr>
        <w:spacing w:after="200" w:line="276" w:lineRule="auto"/>
        <w:ind w:left="0" w:firstLine="0"/>
        <w:contextualSpacing/>
        <w:jc w:val="lowKashida"/>
        <w:rPr>
          <w:rFonts w:ascii="Traditional Arabic" w:eastAsia="Calibri" w:hAnsi="Traditional Arabic"/>
          <w:color w:val="auto"/>
          <w:shd w:val="clear" w:color="auto" w:fill="FFFFFF"/>
        </w:rPr>
      </w:pPr>
      <w:r w:rsidRPr="00C17B7B">
        <w:rPr>
          <w:rFonts w:ascii="Traditional Arabic" w:eastAsia="Calibri" w:hAnsi="Traditional Arabic"/>
          <w:color w:val="auto"/>
          <w:shd w:val="clear" w:color="auto" w:fill="FFFFFF"/>
          <w:rtl/>
        </w:rPr>
        <w:lastRenderedPageBreak/>
        <w:t>التعجب</w:t>
      </w:r>
      <w:r w:rsidR="001B6BD6">
        <w:rPr>
          <w:rFonts w:ascii="Traditional Arabic" w:eastAsia="Calibri" w:hAnsi="Traditional Arabic" w:hint="cs"/>
          <w:color w:val="auto"/>
          <w:shd w:val="clear" w:color="auto" w:fill="FFFFFF"/>
          <w:rtl/>
        </w:rPr>
        <w:t xml:space="preserve"> والإنكار,</w:t>
      </w:r>
      <w:r w:rsidRPr="00C17B7B">
        <w:rPr>
          <w:rFonts w:ascii="Traditional Arabic" w:eastAsia="Calibri" w:hAnsi="Traditional Arabic"/>
          <w:color w:val="auto"/>
          <w:shd w:val="clear" w:color="auto" w:fill="FFFFFF"/>
          <w:rtl/>
        </w:rPr>
        <w:t xml:space="preserve"> </w:t>
      </w:r>
      <w:r w:rsidR="00991B74" w:rsidRPr="00991B74">
        <w:rPr>
          <w:rFonts w:ascii="Traditional Arabic" w:hAnsi="Traditional Arabic"/>
          <w:rtl/>
        </w:rPr>
        <w:t>مثاله: قال رحمه الله عند</w:t>
      </w:r>
      <w:r w:rsidR="00991B74" w:rsidRPr="00991B74">
        <w:rPr>
          <w:rFonts w:ascii="Traditional Arabic" w:eastAsia="Calibri" w:hAnsi="Traditional Arabic"/>
          <w:color w:val="auto"/>
          <w:shd w:val="clear" w:color="auto" w:fill="FFFFFF"/>
          <w:rtl/>
        </w:rPr>
        <w:t xml:space="preserve"> </w:t>
      </w:r>
      <w:r w:rsidR="00991B74" w:rsidRPr="005C21CD">
        <w:rPr>
          <w:rtl/>
        </w:rPr>
        <w:t>قوله تعالى:</w:t>
      </w:r>
      <w:r w:rsidR="00991B74" w:rsidRPr="005C21CD">
        <w:rPr>
          <w:rFonts w:ascii="QCF_BSML" w:hAnsi="QCF_BSML" w:cs="QCF_BSML"/>
          <w:color w:val="auto"/>
          <w:sz w:val="32"/>
          <w:szCs w:val="32"/>
          <w:rtl/>
          <w:lang w:eastAsia="en-US"/>
        </w:rPr>
        <w:t xml:space="preserve"> ﭽ</w:t>
      </w:r>
      <w:r w:rsidR="00991B74" w:rsidRPr="005C21CD">
        <w:rPr>
          <w:rFonts w:ascii="QCF_P296" w:hAnsi="QCF_P296" w:cs="QCF_P296"/>
          <w:color w:val="auto"/>
          <w:sz w:val="32"/>
          <w:szCs w:val="32"/>
          <w:rtl/>
          <w:lang w:eastAsia="en-US"/>
        </w:rPr>
        <w:t xml:space="preserve"> ﯪ    ﯫ  ﯬﯭ</w:t>
      </w:r>
      <w:r w:rsidR="00991B74" w:rsidRPr="005C21CD">
        <w:rPr>
          <w:rFonts w:ascii="QCF_BSML" w:hAnsi="QCF_BSML" w:cs="QCF_BSML"/>
          <w:color w:val="auto"/>
          <w:sz w:val="32"/>
          <w:szCs w:val="32"/>
          <w:rtl/>
          <w:lang w:eastAsia="en-US"/>
        </w:rPr>
        <w:t>ﭼ</w:t>
      </w:r>
      <w:r w:rsidR="0083209F">
        <w:rPr>
          <w:rFonts w:ascii="Traditional Arabic" w:hAnsi="Traditional Arabic" w:hint="cs"/>
          <w:color w:val="0D0D0D" w:themeColor="text1" w:themeTint="F2"/>
          <w:sz w:val="32"/>
          <w:szCs w:val="32"/>
          <w:rtl/>
          <w:lang w:eastAsia="en-US"/>
        </w:rPr>
        <w:t>[الكهف:2</w:t>
      </w:r>
      <w:r w:rsidR="00255369">
        <w:rPr>
          <w:rFonts w:ascii="Traditional Arabic" w:hAnsi="Traditional Arabic" w:hint="cs"/>
          <w:color w:val="0D0D0D" w:themeColor="text1" w:themeTint="F2"/>
          <w:sz w:val="32"/>
          <w:szCs w:val="32"/>
          <w:rtl/>
          <w:lang w:eastAsia="en-US"/>
        </w:rPr>
        <w:t>6</w:t>
      </w:r>
      <w:r w:rsidR="0083209F">
        <w:rPr>
          <w:rFonts w:ascii="Traditional Arabic" w:hAnsi="Traditional Arabic" w:hint="cs"/>
          <w:color w:val="0D0D0D" w:themeColor="text1" w:themeTint="F2"/>
          <w:sz w:val="32"/>
          <w:szCs w:val="32"/>
          <w:rtl/>
          <w:lang w:eastAsia="en-US"/>
        </w:rPr>
        <w:t xml:space="preserve">]  </w:t>
      </w:r>
      <w:r w:rsidR="00991B74" w:rsidRPr="005C21CD">
        <w:rPr>
          <w:rtl/>
        </w:rPr>
        <w:t>فيه قولان: أحدهما: أنه على مذهب التعجب، فالمعنى: ما أسمع الله وأبصره، أي: هو عالم بقصة أصحاب الكهف وغيرهم، هذا قول الزجاج، وذكر أنه إِجماع العلماء</w:t>
      </w:r>
      <w:r w:rsidR="0083209F" w:rsidRPr="0083209F">
        <w:rPr>
          <w:rStyle w:val="ae"/>
          <w:rtl/>
        </w:rPr>
        <w:t>(</w:t>
      </w:r>
      <w:r w:rsidR="0083209F">
        <w:rPr>
          <w:rStyle w:val="ae"/>
          <w:rtl/>
        </w:rPr>
        <w:footnoteReference w:id="141"/>
      </w:r>
      <w:r w:rsidR="0083209F" w:rsidRPr="0083209F">
        <w:rPr>
          <w:rStyle w:val="ae"/>
          <w:rtl/>
        </w:rPr>
        <w:t>)</w:t>
      </w:r>
      <w:r w:rsidR="00991B74">
        <w:rPr>
          <w:rFonts w:hint="cs"/>
          <w:rtl/>
        </w:rPr>
        <w:t>.</w:t>
      </w:r>
    </w:p>
    <w:p w:rsidR="001B6BD6" w:rsidRDefault="001B6BD6" w:rsidP="0083209F">
      <w:pPr>
        <w:spacing w:after="200" w:line="276" w:lineRule="auto"/>
        <w:ind w:firstLine="0"/>
        <w:contextualSpacing/>
        <w:jc w:val="lowKashida"/>
        <w:rPr>
          <w:rFonts w:ascii="Traditional Arabic" w:eastAsia="Calibri" w:hAnsi="Traditional Arabic"/>
          <w:color w:val="auto"/>
          <w:shd w:val="clear" w:color="auto" w:fill="FFFFFF"/>
        </w:rPr>
      </w:pPr>
      <w:r>
        <w:rPr>
          <w:rFonts w:ascii="Traditional Arabic" w:hAnsi="Traditional Arabic" w:hint="cs"/>
          <w:rtl/>
        </w:rPr>
        <w:t>و</w:t>
      </w:r>
      <w:r w:rsidRPr="00991B74">
        <w:rPr>
          <w:rFonts w:ascii="Traditional Arabic" w:hAnsi="Traditional Arabic"/>
          <w:rtl/>
        </w:rPr>
        <w:t>قال رحمه الله عند</w:t>
      </w:r>
      <w:r>
        <w:rPr>
          <w:rFonts w:ascii="Traditional Arabic" w:hAnsi="Traditional Arabic" w:hint="cs"/>
          <w:rtl/>
        </w:rPr>
        <w:t xml:space="preserve"> </w:t>
      </w:r>
      <w:r w:rsidRPr="00911ED4">
        <w:rPr>
          <w:rFonts w:ascii="Traditional Arabic" w:hAnsi="Traditional Arabic"/>
          <w:rtl/>
        </w:rPr>
        <w:t xml:space="preserve">قوله تعالى: </w:t>
      </w:r>
      <w:r w:rsidRPr="00911ED4">
        <w:rPr>
          <w:rFonts w:ascii="QCF_BSML" w:hAnsi="QCF_BSML" w:cs="QCF_BSML"/>
          <w:sz w:val="32"/>
          <w:szCs w:val="32"/>
          <w:rtl/>
          <w:lang w:eastAsia="en-US"/>
        </w:rPr>
        <w:t>ﭽ</w:t>
      </w:r>
      <w:r w:rsidRPr="00911ED4">
        <w:rPr>
          <w:rFonts w:ascii="QCF_P291" w:hAnsi="QCF_P291" w:cs="QCF_P291"/>
          <w:sz w:val="32"/>
          <w:szCs w:val="32"/>
          <w:rtl/>
          <w:lang w:eastAsia="en-US"/>
        </w:rPr>
        <w:t>ﯠ  ﯡ  ﯢ  ﯣ  ﯤ</w:t>
      </w:r>
      <w:r w:rsidRPr="00911ED4">
        <w:rPr>
          <w:rFonts w:ascii="QCF_BSML" w:hAnsi="QCF_BSML" w:cs="QCF_BSML"/>
          <w:sz w:val="32"/>
          <w:szCs w:val="32"/>
          <w:rtl/>
          <w:lang w:eastAsia="en-US"/>
        </w:rPr>
        <w:t xml:space="preserve"> ﭼ</w:t>
      </w:r>
      <w:r w:rsidR="0083209F" w:rsidRPr="001F3EEE">
        <w:rPr>
          <w:rFonts w:ascii="Traditional Arabic" w:hAnsi="Traditional Arabic"/>
          <w:color w:val="0D0D0D" w:themeColor="text1" w:themeTint="F2"/>
          <w:sz w:val="32"/>
          <w:szCs w:val="32"/>
          <w:rtl/>
        </w:rPr>
        <w:t>[الإسراء:</w:t>
      </w:r>
      <w:r w:rsidR="0083209F">
        <w:rPr>
          <w:rFonts w:ascii="Traditional Arabic" w:hAnsi="Traditional Arabic" w:hint="cs"/>
          <w:color w:val="0D0D0D" w:themeColor="text1" w:themeTint="F2"/>
          <w:sz w:val="32"/>
          <w:szCs w:val="32"/>
          <w:rtl/>
        </w:rPr>
        <w:t>94</w:t>
      </w:r>
      <w:r w:rsidR="0083209F" w:rsidRPr="001F3EEE">
        <w:rPr>
          <w:rFonts w:ascii="Traditional Arabic" w:hAnsi="Traditional Arabic"/>
          <w:color w:val="0D0D0D" w:themeColor="text1" w:themeTint="F2"/>
          <w:sz w:val="32"/>
          <w:szCs w:val="32"/>
          <w:rtl/>
        </w:rPr>
        <w:t>]</w:t>
      </w:r>
      <w:r w:rsidRPr="00911ED4">
        <w:rPr>
          <w:rFonts w:ascii="QCF_P291" w:hAnsi="QCF_P291" w:cs="QCF_P291"/>
          <w:sz w:val="32"/>
          <w:szCs w:val="32"/>
          <w:rtl/>
          <w:lang w:eastAsia="en-US"/>
        </w:rPr>
        <w:t xml:space="preserve">  </w:t>
      </w:r>
      <w:r w:rsidRPr="00911ED4">
        <w:rPr>
          <w:rFonts w:ascii="Traditional Arabic" w:hAnsi="Traditional Arabic"/>
          <w:rtl/>
        </w:rPr>
        <w:t xml:space="preserve">قال ابن عباس: يريد أهل مكة. قال المفسرون: ومعنى الآية: وما منعهم من الإِيمان </w:t>
      </w:r>
      <w:r w:rsidRPr="00911ED4">
        <w:rPr>
          <w:rFonts w:ascii="QCF_BSML" w:hAnsi="QCF_BSML" w:cs="QCF_BSML"/>
          <w:sz w:val="32"/>
          <w:szCs w:val="32"/>
          <w:rtl/>
          <w:lang w:eastAsia="en-US"/>
        </w:rPr>
        <w:t>ﭽ</w:t>
      </w:r>
      <w:r w:rsidRPr="00911ED4">
        <w:rPr>
          <w:rFonts w:ascii="QCF_P291" w:hAnsi="QCF_P291" w:cs="QCF_P291"/>
          <w:sz w:val="32"/>
          <w:szCs w:val="32"/>
          <w:rtl/>
          <w:lang w:eastAsia="en-US"/>
        </w:rPr>
        <w:t xml:space="preserve">  ﯥ  ﯦ   ﯧ</w:t>
      </w:r>
      <w:r w:rsidRPr="00911ED4">
        <w:rPr>
          <w:rFonts w:ascii="QCF_BSML" w:hAnsi="QCF_BSML" w:cs="QCF_BSML"/>
          <w:sz w:val="32"/>
          <w:szCs w:val="32"/>
          <w:rtl/>
          <w:lang w:eastAsia="en-US"/>
        </w:rPr>
        <w:t xml:space="preserve"> ﭼ</w:t>
      </w:r>
      <w:r w:rsidRPr="00911ED4">
        <w:rPr>
          <w:rFonts w:ascii="QCF_P291" w:hAnsi="QCF_P291" w:cs="QCF_P291"/>
          <w:sz w:val="32"/>
          <w:szCs w:val="32"/>
          <w:rtl/>
          <w:lang w:eastAsia="en-US"/>
        </w:rPr>
        <w:t xml:space="preserve">  </w:t>
      </w:r>
      <w:r w:rsidRPr="00911ED4">
        <w:rPr>
          <w:rFonts w:ascii="Traditional Arabic" w:hAnsi="Traditional Arabic"/>
          <w:rtl/>
        </w:rPr>
        <w:t xml:space="preserve">وهو البيان والإِرشاد في القرآن </w:t>
      </w:r>
      <w:r>
        <w:rPr>
          <w:rFonts w:ascii="Traditional Arabic" w:hAnsi="Traditional Arabic" w:hint="cs"/>
          <w:rtl/>
        </w:rPr>
        <w:t xml:space="preserve">إلا </w:t>
      </w:r>
      <w:r w:rsidRPr="00911ED4">
        <w:rPr>
          <w:rFonts w:ascii="Traditional Arabic" w:hAnsi="Traditional Arabic"/>
          <w:rtl/>
        </w:rPr>
        <w:t xml:space="preserve">قولهم في التعجب والإِنكار: </w:t>
      </w:r>
      <w:r w:rsidRPr="00911ED4">
        <w:rPr>
          <w:rFonts w:ascii="QCF_BSML" w:hAnsi="QCF_BSML" w:cs="QCF_BSML"/>
          <w:sz w:val="32"/>
          <w:szCs w:val="32"/>
          <w:rtl/>
          <w:lang w:eastAsia="en-US"/>
        </w:rPr>
        <w:t>ﭽ</w:t>
      </w:r>
      <w:r w:rsidRPr="00911ED4">
        <w:rPr>
          <w:rFonts w:ascii="QCF_P291" w:hAnsi="QCF_P291" w:cs="QCF_P291"/>
          <w:sz w:val="32"/>
          <w:szCs w:val="32"/>
          <w:rtl/>
          <w:lang w:eastAsia="en-US"/>
        </w:rPr>
        <w:t xml:space="preserve">  ﯫ  ﯬ  ﯭ  ﯮ</w:t>
      </w:r>
      <w:r w:rsidRPr="00911ED4">
        <w:rPr>
          <w:rFonts w:ascii="QCF_BSML" w:hAnsi="QCF_BSML" w:cs="QCF_BSML"/>
          <w:sz w:val="32"/>
          <w:szCs w:val="32"/>
          <w:rtl/>
          <w:lang w:eastAsia="en-US"/>
        </w:rPr>
        <w:t xml:space="preserve"> ﭼ</w:t>
      </w:r>
      <w:r w:rsidR="0083209F" w:rsidRPr="0083209F">
        <w:rPr>
          <w:rStyle w:val="ae"/>
          <w:rtl/>
        </w:rPr>
        <w:t>(</w:t>
      </w:r>
      <w:r w:rsidR="0083209F">
        <w:rPr>
          <w:rStyle w:val="ae"/>
          <w:rtl/>
        </w:rPr>
        <w:footnoteReference w:id="142"/>
      </w:r>
      <w:r w:rsidR="0083209F" w:rsidRPr="0083209F">
        <w:rPr>
          <w:rStyle w:val="ae"/>
          <w:rtl/>
        </w:rPr>
        <w:t>)</w:t>
      </w:r>
      <w:r>
        <w:rPr>
          <w:rFonts w:ascii="Traditional Arabic" w:hAnsi="Traditional Arabic" w:hint="cs"/>
          <w:sz w:val="32"/>
          <w:szCs w:val="32"/>
          <w:rtl/>
          <w:lang w:eastAsia="en-US"/>
        </w:rPr>
        <w:t>.</w:t>
      </w:r>
      <w:r w:rsidRPr="00911ED4">
        <w:rPr>
          <w:rFonts w:ascii="QCF_P291" w:hAnsi="QCF_P291" w:cs="QCF_P291"/>
          <w:sz w:val="32"/>
          <w:szCs w:val="32"/>
          <w:rtl/>
          <w:lang w:eastAsia="en-US"/>
        </w:rPr>
        <w:t xml:space="preserve">  </w:t>
      </w:r>
    </w:p>
    <w:p w:rsidR="00D34A1D" w:rsidRPr="00D34A1D" w:rsidRDefault="00D11232" w:rsidP="006B1CB3">
      <w:pPr>
        <w:numPr>
          <w:ilvl w:val="0"/>
          <w:numId w:val="18"/>
        </w:numPr>
        <w:spacing w:after="200" w:line="276" w:lineRule="auto"/>
        <w:ind w:left="0" w:firstLine="0"/>
        <w:contextualSpacing/>
        <w:jc w:val="lowKashida"/>
        <w:rPr>
          <w:rFonts w:ascii="Traditional Arabic" w:eastAsia="Calibri" w:hAnsi="Traditional Arabic"/>
          <w:color w:val="auto"/>
          <w:shd w:val="clear" w:color="auto" w:fill="FFFFFF"/>
          <w:rtl/>
        </w:rPr>
      </w:pPr>
      <w:r w:rsidRPr="00D34A1D">
        <w:rPr>
          <w:rFonts w:ascii="Traditional Arabic" w:eastAsia="Calibri" w:hAnsi="Traditional Arabic"/>
          <w:color w:val="auto"/>
          <w:shd w:val="clear" w:color="auto" w:fill="FFFFFF"/>
          <w:rtl/>
        </w:rPr>
        <w:t>التوكيد</w:t>
      </w:r>
      <w:r w:rsidR="001B6BD6">
        <w:rPr>
          <w:rFonts w:ascii="Traditional Arabic" w:eastAsia="Calibri" w:hAnsi="Traditional Arabic" w:hint="cs"/>
          <w:color w:val="auto"/>
          <w:shd w:val="clear" w:color="auto" w:fill="FFFFFF"/>
          <w:rtl/>
        </w:rPr>
        <w:t>,</w:t>
      </w:r>
      <w:r w:rsidR="001B6BD6" w:rsidRPr="001B6BD6">
        <w:rPr>
          <w:rFonts w:ascii="Traditional Arabic" w:hAnsi="Traditional Arabic"/>
          <w:rtl/>
        </w:rPr>
        <w:t xml:space="preserve"> </w:t>
      </w:r>
      <w:r w:rsidR="001B6BD6" w:rsidRPr="00991B74">
        <w:rPr>
          <w:rFonts w:ascii="Traditional Arabic" w:hAnsi="Traditional Arabic"/>
          <w:rtl/>
        </w:rPr>
        <w:t xml:space="preserve">مثاله: </w:t>
      </w:r>
      <w:r w:rsidRPr="00D34A1D">
        <w:rPr>
          <w:rFonts w:ascii="Traditional Arabic" w:eastAsia="Calibri" w:hAnsi="Traditional Arabic"/>
          <w:color w:val="auto"/>
          <w:shd w:val="clear" w:color="auto" w:fill="FFFFFF"/>
          <w:rtl/>
        </w:rPr>
        <w:t xml:space="preserve"> </w:t>
      </w:r>
      <w:r w:rsidR="001B6BD6" w:rsidRPr="00991B74">
        <w:rPr>
          <w:rFonts w:ascii="Traditional Arabic" w:hAnsi="Traditional Arabic"/>
          <w:rtl/>
        </w:rPr>
        <w:t>قال رحمه الله عند</w:t>
      </w:r>
      <w:r w:rsidR="001B6BD6">
        <w:rPr>
          <w:rFonts w:ascii="Traditional Arabic" w:hAnsi="Traditional Arabic" w:hint="cs"/>
          <w:rtl/>
        </w:rPr>
        <w:t xml:space="preserve"> </w:t>
      </w:r>
      <w:r w:rsidR="001B6BD6" w:rsidRPr="00911ED4">
        <w:rPr>
          <w:rFonts w:ascii="Traditional Arabic" w:hAnsi="Traditional Arabic"/>
          <w:rtl/>
        </w:rPr>
        <w:t xml:space="preserve">قوله تعالى: </w:t>
      </w:r>
      <w:r w:rsidR="00D34A1D" w:rsidRPr="00D34A1D">
        <w:rPr>
          <w:rFonts w:ascii="QCF_BSML" w:hAnsi="QCF_BSML" w:cs="QCF_BSML"/>
          <w:color w:val="auto"/>
          <w:sz w:val="32"/>
          <w:szCs w:val="32"/>
          <w:rtl/>
          <w:lang w:eastAsia="en-US"/>
        </w:rPr>
        <w:t>ﭽ</w:t>
      </w:r>
      <w:r w:rsidR="00D34A1D" w:rsidRPr="00D34A1D">
        <w:rPr>
          <w:rFonts w:ascii="QCF_P302" w:hAnsi="QCF_P302" w:cs="QCF_P302" w:hint="cs"/>
          <w:color w:val="auto"/>
          <w:sz w:val="32"/>
          <w:szCs w:val="32"/>
          <w:rtl/>
          <w:lang w:eastAsia="en-US"/>
        </w:rPr>
        <w:t xml:space="preserve"> </w:t>
      </w:r>
      <w:r w:rsidR="00D34A1D" w:rsidRPr="00D34A1D">
        <w:rPr>
          <w:rFonts w:ascii="QCF_P302" w:hAnsi="QCF_P302" w:cs="QCF_P302"/>
          <w:color w:val="auto"/>
          <w:sz w:val="32"/>
          <w:szCs w:val="32"/>
          <w:rtl/>
          <w:lang w:eastAsia="en-US"/>
        </w:rPr>
        <w:t>ﭒ  ﭓ  ﭔ  ﭕ</w:t>
      </w:r>
      <w:r w:rsidR="00D34A1D" w:rsidRPr="00D34A1D">
        <w:rPr>
          <w:rFonts w:ascii="QCF_P302" w:hAnsi="QCF_P302" w:cs="QCF_P302" w:hint="cs"/>
          <w:color w:val="auto"/>
          <w:sz w:val="32"/>
          <w:szCs w:val="32"/>
          <w:rtl/>
          <w:lang w:eastAsia="en-US"/>
        </w:rPr>
        <w:t xml:space="preserve"> </w:t>
      </w:r>
      <w:r w:rsidR="00D34A1D" w:rsidRPr="00D34A1D">
        <w:rPr>
          <w:rFonts w:ascii="QCF_BSML" w:hAnsi="QCF_BSML" w:cs="QCF_BSML"/>
          <w:sz w:val="32"/>
          <w:szCs w:val="32"/>
          <w:rtl/>
          <w:lang w:eastAsia="en-US"/>
        </w:rPr>
        <w:t>ﭼ</w:t>
      </w:r>
      <w:r w:rsidR="0083209F">
        <w:rPr>
          <w:rFonts w:ascii="QCF_BSML" w:hAnsi="QCF_BSML" w:cs="QCF_BSML" w:hint="cs"/>
          <w:sz w:val="32"/>
          <w:szCs w:val="32"/>
          <w:rtl/>
          <w:lang w:eastAsia="en-US"/>
        </w:rPr>
        <w:t xml:space="preserve">  </w:t>
      </w:r>
      <w:r w:rsidR="0083209F">
        <w:rPr>
          <w:rFonts w:ascii="Traditional Arabic" w:hAnsi="Traditional Arabic" w:hint="cs"/>
          <w:color w:val="0D0D0D" w:themeColor="text1" w:themeTint="F2"/>
          <w:sz w:val="32"/>
          <w:szCs w:val="32"/>
          <w:rtl/>
          <w:lang w:eastAsia="en-US"/>
        </w:rPr>
        <w:t>[الكهف:75]</w:t>
      </w:r>
      <w:r w:rsidR="00D34A1D" w:rsidRPr="00D34A1D">
        <w:rPr>
          <w:rFonts w:ascii="QCF_P302" w:hAnsi="QCF_P302" w:cs="QCF_P302"/>
          <w:color w:val="auto"/>
          <w:sz w:val="32"/>
          <w:szCs w:val="32"/>
          <w:rtl/>
          <w:lang w:eastAsia="en-US"/>
        </w:rPr>
        <w:t xml:space="preserve">  </w:t>
      </w:r>
      <w:r w:rsidR="00D34A1D" w:rsidRPr="00D34A1D">
        <w:rPr>
          <w:rFonts w:ascii="Traditional Arabic" w:hAnsi="Traditional Arabic"/>
          <w:rtl/>
        </w:rPr>
        <w:t xml:space="preserve"> إِن قيل: لم ذكر لَكَ ها هنا، واختزله من الموضع الذي قبله؟</w:t>
      </w:r>
      <w:r w:rsidR="00D34A1D">
        <w:rPr>
          <w:rFonts w:ascii="Traditional Arabic" w:hAnsi="Traditional Arabic" w:hint="cs"/>
          <w:rtl/>
        </w:rPr>
        <w:t xml:space="preserve"> </w:t>
      </w:r>
      <w:r w:rsidR="00D34A1D" w:rsidRPr="00D34A1D">
        <w:rPr>
          <w:rFonts w:ascii="Traditional Arabic" w:hAnsi="Traditional Arabic"/>
          <w:rtl/>
        </w:rPr>
        <w:t>فالجواب: أن إثباته للتّوكيد، واختزاله له لوضوح المعنى، وكلاهما معروف عند الفصحاء. تقول العرب: قد قلت لك: اتق الله. وقد قلت لك: يا فلان اتق الله، وأنشد ثعلب:</w:t>
      </w:r>
    </w:p>
    <w:p w:rsidR="00D34A1D" w:rsidRPr="00D34A1D" w:rsidRDefault="00D34A1D" w:rsidP="00D34A1D">
      <w:pPr>
        <w:ind w:firstLine="0"/>
        <w:rPr>
          <w:rFonts w:ascii="Traditional Arabic" w:hAnsi="Traditional Arabic"/>
          <w:rtl/>
        </w:rPr>
      </w:pPr>
      <w:r w:rsidRPr="00D34A1D">
        <w:rPr>
          <w:rFonts w:ascii="Traditional Arabic" w:hAnsi="Traditional Arabic"/>
          <w:rtl/>
        </w:rPr>
        <w:t>قد كنتُ حَذَّرْتُكَ آلَ المصْطَلِقْ ... وقلتُ: يا هَذا أَطِعْنِي وَانْطَلِقْ</w:t>
      </w:r>
    </w:p>
    <w:p w:rsidR="00D11232" w:rsidRPr="00C17B7B" w:rsidRDefault="00D34A1D" w:rsidP="00D34A1D">
      <w:pPr>
        <w:spacing w:after="200" w:line="276" w:lineRule="auto"/>
        <w:ind w:firstLine="0"/>
        <w:contextualSpacing/>
        <w:jc w:val="lowKashida"/>
        <w:rPr>
          <w:rFonts w:ascii="Traditional Arabic" w:eastAsia="Calibri" w:hAnsi="Traditional Arabic"/>
          <w:color w:val="auto"/>
          <w:shd w:val="clear" w:color="auto" w:fill="FFFFFF"/>
        </w:rPr>
      </w:pPr>
      <w:r w:rsidRPr="00D34A1D">
        <w:rPr>
          <w:rFonts w:ascii="Traditional Arabic" w:hAnsi="Traditional Arabic"/>
          <w:rtl/>
        </w:rPr>
        <w:t>فقوله: يا هذا، توكيد لا يختل الكلام بسقوطه</w:t>
      </w:r>
      <w:r w:rsidR="0083209F" w:rsidRPr="0083209F">
        <w:rPr>
          <w:rStyle w:val="ae"/>
          <w:rtl/>
        </w:rPr>
        <w:t>(</w:t>
      </w:r>
      <w:r w:rsidR="0083209F">
        <w:rPr>
          <w:rStyle w:val="ae"/>
          <w:rtl/>
        </w:rPr>
        <w:footnoteReference w:id="143"/>
      </w:r>
      <w:r w:rsidR="0083209F" w:rsidRPr="0083209F">
        <w:rPr>
          <w:rStyle w:val="ae"/>
          <w:rtl/>
        </w:rPr>
        <w:t>)</w:t>
      </w:r>
      <w:r w:rsidRPr="00D34A1D">
        <w:rPr>
          <w:rFonts w:ascii="Traditional Arabic" w:hAnsi="Traditional Arabic"/>
          <w:rtl/>
        </w:rPr>
        <w:t>.</w:t>
      </w:r>
    </w:p>
    <w:p w:rsidR="00D11232" w:rsidRDefault="00D11232" w:rsidP="0083209F">
      <w:pPr>
        <w:numPr>
          <w:ilvl w:val="0"/>
          <w:numId w:val="18"/>
        </w:numPr>
        <w:spacing w:after="200" w:line="276" w:lineRule="auto"/>
        <w:ind w:left="0" w:firstLine="0"/>
        <w:contextualSpacing/>
        <w:jc w:val="lowKashida"/>
        <w:rPr>
          <w:rFonts w:ascii="Traditional Arabic" w:eastAsia="Calibri" w:hAnsi="Traditional Arabic"/>
          <w:color w:val="auto"/>
          <w:shd w:val="clear" w:color="auto" w:fill="FFFFFF"/>
        </w:rPr>
      </w:pPr>
      <w:r w:rsidRPr="00C17B7B">
        <w:rPr>
          <w:rFonts w:ascii="Traditional Arabic" w:eastAsia="Calibri" w:hAnsi="Traditional Arabic"/>
          <w:color w:val="auto"/>
          <w:shd w:val="clear" w:color="auto" w:fill="FFFFFF"/>
          <w:rtl/>
        </w:rPr>
        <w:t>الاختصار</w:t>
      </w:r>
      <w:r w:rsidR="001B6BD6">
        <w:rPr>
          <w:rFonts w:ascii="Traditional Arabic" w:eastAsia="Calibri" w:hAnsi="Traditional Arabic" w:hint="cs"/>
          <w:color w:val="auto"/>
          <w:shd w:val="clear" w:color="auto" w:fill="FFFFFF"/>
          <w:rtl/>
        </w:rPr>
        <w:t xml:space="preserve">, </w:t>
      </w:r>
      <w:r w:rsidR="001B6BD6" w:rsidRPr="00991B74">
        <w:rPr>
          <w:rFonts w:ascii="Traditional Arabic" w:hAnsi="Traditional Arabic"/>
          <w:rtl/>
        </w:rPr>
        <w:t>مثاله:</w:t>
      </w:r>
      <w:r w:rsidR="001B6BD6">
        <w:rPr>
          <w:rFonts w:ascii="Traditional Arabic" w:eastAsia="Calibri" w:hAnsi="Traditional Arabic" w:hint="cs"/>
          <w:color w:val="auto"/>
          <w:shd w:val="clear" w:color="auto" w:fill="FFFFFF"/>
          <w:rtl/>
        </w:rPr>
        <w:t xml:space="preserve"> </w:t>
      </w:r>
      <w:r w:rsidR="001B6BD6" w:rsidRPr="00991B74">
        <w:rPr>
          <w:rFonts w:ascii="Traditional Arabic" w:hAnsi="Traditional Arabic"/>
          <w:rtl/>
        </w:rPr>
        <w:t>قال رحمه الله عند</w:t>
      </w:r>
      <w:r w:rsidR="001B6BD6">
        <w:rPr>
          <w:rFonts w:ascii="Traditional Arabic" w:hAnsi="Traditional Arabic" w:hint="cs"/>
          <w:rtl/>
        </w:rPr>
        <w:t xml:space="preserve"> </w:t>
      </w:r>
      <w:r w:rsidR="001B6BD6" w:rsidRPr="00911ED4">
        <w:rPr>
          <w:rFonts w:ascii="Traditional Arabic" w:hAnsi="Traditional Arabic"/>
          <w:rtl/>
        </w:rPr>
        <w:t xml:space="preserve">قوله تعالى: </w:t>
      </w:r>
      <w:r w:rsidR="001B6BD6" w:rsidRPr="00911ED4">
        <w:rPr>
          <w:rFonts w:ascii="QCF_BSML" w:hAnsi="QCF_BSML" w:cs="QCF_BSML"/>
          <w:sz w:val="32"/>
          <w:szCs w:val="32"/>
          <w:rtl/>
          <w:lang w:eastAsia="en-US"/>
        </w:rPr>
        <w:t>ﭽ</w:t>
      </w:r>
      <w:r w:rsidR="001B6BD6" w:rsidRPr="00911ED4">
        <w:rPr>
          <w:rFonts w:ascii="QCF_P291" w:hAnsi="QCF_P291" w:cs="QCF_P291"/>
          <w:sz w:val="32"/>
          <w:szCs w:val="32"/>
          <w:rtl/>
          <w:lang w:eastAsia="en-US"/>
        </w:rPr>
        <w:t xml:space="preserve">  ﯫ  ﯬ  ﯭ  ﯮ</w:t>
      </w:r>
      <w:r w:rsidR="001B6BD6" w:rsidRPr="00911ED4">
        <w:rPr>
          <w:rFonts w:ascii="QCF_BSML" w:hAnsi="QCF_BSML" w:cs="QCF_BSML"/>
          <w:sz w:val="32"/>
          <w:szCs w:val="32"/>
          <w:rtl/>
          <w:lang w:eastAsia="en-US"/>
        </w:rPr>
        <w:t>ﭼ</w:t>
      </w:r>
      <w:r w:rsidR="0083209F" w:rsidRPr="001F3EEE">
        <w:rPr>
          <w:rFonts w:ascii="Traditional Arabic" w:hAnsi="Traditional Arabic"/>
          <w:color w:val="0D0D0D" w:themeColor="text1" w:themeTint="F2"/>
          <w:sz w:val="32"/>
          <w:szCs w:val="32"/>
          <w:rtl/>
        </w:rPr>
        <w:t>[الإسراء:</w:t>
      </w:r>
      <w:r w:rsidR="0083209F">
        <w:rPr>
          <w:rFonts w:ascii="Traditional Arabic" w:hAnsi="Traditional Arabic" w:hint="cs"/>
          <w:color w:val="0D0D0D" w:themeColor="text1" w:themeTint="F2"/>
          <w:sz w:val="32"/>
          <w:szCs w:val="32"/>
          <w:rtl/>
        </w:rPr>
        <w:t>94</w:t>
      </w:r>
      <w:r w:rsidR="0083209F" w:rsidRPr="001F3EEE">
        <w:rPr>
          <w:rFonts w:ascii="Traditional Arabic" w:hAnsi="Traditional Arabic"/>
          <w:color w:val="0D0D0D" w:themeColor="text1" w:themeTint="F2"/>
          <w:sz w:val="32"/>
          <w:szCs w:val="32"/>
          <w:rtl/>
        </w:rPr>
        <w:t>]</w:t>
      </w:r>
      <w:r w:rsidR="0083209F">
        <w:rPr>
          <w:rFonts w:ascii="Traditional Arabic" w:hAnsi="Traditional Arabic" w:hint="cs"/>
          <w:rtl/>
        </w:rPr>
        <w:t xml:space="preserve"> </w:t>
      </w:r>
      <w:r w:rsidR="001B6BD6" w:rsidRPr="00911ED4">
        <w:rPr>
          <w:rFonts w:ascii="Traditional Arabic" w:hAnsi="Traditional Arabic"/>
          <w:rtl/>
        </w:rPr>
        <w:t>وفي الآية اختصار، تقديره: هلا بعث الله مَلَكاً رسولاً</w:t>
      </w:r>
      <w:r w:rsidR="0083209F" w:rsidRPr="0083209F">
        <w:rPr>
          <w:rStyle w:val="ae"/>
          <w:rtl/>
        </w:rPr>
        <w:t>(</w:t>
      </w:r>
      <w:r w:rsidR="0083209F">
        <w:rPr>
          <w:rStyle w:val="ae"/>
          <w:rtl/>
        </w:rPr>
        <w:footnoteReference w:id="144"/>
      </w:r>
      <w:r w:rsidR="0083209F" w:rsidRPr="0083209F">
        <w:rPr>
          <w:rStyle w:val="ae"/>
          <w:rtl/>
        </w:rPr>
        <w:t>)</w:t>
      </w:r>
      <w:r w:rsidR="001B6BD6">
        <w:rPr>
          <w:rFonts w:ascii="Traditional Arabic" w:hAnsi="Traditional Arabic" w:hint="cs"/>
          <w:rtl/>
        </w:rPr>
        <w:t>.</w:t>
      </w:r>
    </w:p>
    <w:p w:rsidR="00D11232" w:rsidRPr="001B6BD6" w:rsidRDefault="00D11232" w:rsidP="00255369">
      <w:pPr>
        <w:numPr>
          <w:ilvl w:val="0"/>
          <w:numId w:val="18"/>
        </w:numPr>
        <w:spacing w:after="200" w:line="276" w:lineRule="auto"/>
        <w:ind w:left="0" w:firstLine="0"/>
        <w:contextualSpacing/>
        <w:rPr>
          <w:rFonts w:ascii="Traditional Arabic" w:eastAsia="Calibri" w:hAnsi="Traditional Arabic"/>
          <w:color w:val="auto"/>
          <w:shd w:val="clear" w:color="auto" w:fill="FFFFFF"/>
        </w:rPr>
      </w:pPr>
      <w:r w:rsidRPr="001B6BD6">
        <w:rPr>
          <w:rFonts w:ascii="Traditional Arabic" w:eastAsia="Calibri" w:hAnsi="Traditional Arabic"/>
          <w:color w:val="auto"/>
          <w:shd w:val="clear" w:color="auto" w:fill="FFFFFF"/>
          <w:rtl/>
        </w:rPr>
        <w:t>الكناية</w:t>
      </w:r>
      <w:r w:rsidR="00332BB2">
        <w:rPr>
          <w:rFonts w:ascii="Traditional Arabic" w:eastAsia="Calibri" w:hAnsi="Traditional Arabic" w:hint="cs"/>
          <w:color w:val="auto"/>
          <w:shd w:val="clear" w:color="auto" w:fill="FFFFFF"/>
          <w:rtl/>
        </w:rPr>
        <w:t>,</w:t>
      </w:r>
      <w:r w:rsidR="001B6BD6">
        <w:rPr>
          <w:rFonts w:ascii="Traditional Arabic" w:eastAsia="Calibri" w:hAnsi="Traditional Arabic" w:hint="cs"/>
          <w:color w:val="auto"/>
          <w:shd w:val="clear" w:color="auto" w:fill="FFFFFF"/>
          <w:rtl/>
        </w:rPr>
        <w:t xml:space="preserve"> </w:t>
      </w:r>
      <w:r w:rsidR="001B6BD6" w:rsidRPr="00991B74">
        <w:rPr>
          <w:rFonts w:ascii="Traditional Arabic" w:hAnsi="Traditional Arabic"/>
          <w:rtl/>
        </w:rPr>
        <w:t>مثاله:</w:t>
      </w:r>
      <w:r w:rsidR="001B6BD6">
        <w:rPr>
          <w:rFonts w:ascii="Traditional Arabic" w:eastAsia="Calibri" w:hAnsi="Traditional Arabic" w:hint="cs"/>
          <w:color w:val="auto"/>
          <w:shd w:val="clear" w:color="auto" w:fill="FFFFFF"/>
          <w:rtl/>
        </w:rPr>
        <w:t xml:space="preserve"> </w:t>
      </w:r>
      <w:r w:rsidR="001B6BD6" w:rsidRPr="00991B74">
        <w:rPr>
          <w:rFonts w:ascii="Traditional Arabic" w:hAnsi="Traditional Arabic"/>
          <w:rtl/>
        </w:rPr>
        <w:t>قال رحمه الله عند</w:t>
      </w:r>
      <w:r w:rsidR="001B6BD6">
        <w:rPr>
          <w:rFonts w:ascii="Traditional Arabic" w:hAnsi="Traditional Arabic" w:hint="cs"/>
          <w:rtl/>
        </w:rPr>
        <w:t xml:space="preserve"> </w:t>
      </w:r>
      <w:r w:rsidR="001B6BD6" w:rsidRPr="00911ED4">
        <w:rPr>
          <w:rFonts w:ascii="Traditional Arabic" w:hAnsi="Traditional Arabic"/>
          <w:rtl/>
        </w:rPr>
        <w:t xml:space="preserve">قوله تعالى: </w:t>
      </w:r>
      <w:r w:rsidR="001B6BD6" w:rsidRPr="001B6BD6">
        <w:rPr>
          <w:rFonts w:ascii="QCF_BSML" w:hAnsi="QCF_BSML" w:cs="QCF_BSML"/>
          <w:color w:val="0D0D0D" w:themeColor="text1" w:themeTint="F2"/>
          <w:sz w:val="32"/>
          <w:szCs w:val="32"/>
          <w:rtl/>
          <w:lang w:eastAsia="en-US"/>
        </w:rPr>
        <w:t>ﭽ</w:t>
      </w:r>
      <w:r w:rsidR="001B6BD6" w:rsidRPr="001B6BD6">
        <w:rPr>
          <w:rFonts w:ascii="QCF_P288" w:hAnsi="QCF_P288" w:cs="QCF_P288"/>
          <w:color w:val="0D0D0D" w:themeColor="text1" w:themeTint="F2"/>
          <w:sz w:val="32"/>
          <w:szCs w:val="32"/>
          <w:rtl/>
          <w:lang w:eastAsia="en-US"/>
        </w:rPr>
        <w:t>ﭺ</w:t>
      </w:r>
      <w:r w:rsidR="001B6BD6" w:rsidRPr="001B6BD6">
        <w:rPr>
          <w:rFonts w:ascii="QCF_BSML" w:hAnsi="QCF_BSML" w:cs="QCF_BSML"/>
          <w:color w:val="0D0D0D" w:themeColor="text1" w:themeTint="F2"/>
          <w:sz w:val="32"/>
          <w:szCs w:val="32"/>
          <w:rtl/>
          <w:lang w:eastAsia="en-US"/>
        </w:rPr>
        <w:t>ﭼ</w:t>
      </w:r>
      <w:r w:rsidR="0083209F">
        <w:rPr>
          <w:rFonts w:ascii="Traditional Arabic" w:hAnsi="Traditional Arabic" w:hint="cs"/>
          <w:color w:val="0D0D0D" w:themeColor="text1" w:themeTint="F2"/>
          <w:sz w:val="32"/>
          <w:szCs w:val="32"/>
          <w:rtl/>
        </w:rPr>
        <w:t xml:space="preserve"> </w:t>
      </w:r>
      <w:r w:rsidR="00832F88" w:rsidRPr="001F3EEE">
        <w:rPr>
          <w:rFonts w:ascii="Traditional Arabic" w:hAnsi="Traditional Arabic"/>
          <w:color w:val="0D0D0D" w:themeColor="text1" w:themeTint="F2"/>
          <w:sz w:val="32"/>
          <w:szCs w:val="32"/>
          <w:rtl/>
        </w:rPr>
        <w:t>[الإسراء:</w:t>
      </w:r>
      <w:r w:rsidR="00255369">
        <w:rPr>
          <w:rFonts w:ascii="Traditional Arabic" w:hAnsi="Traditional Arabic" w:hint="cs"/>
          <w:color w:val="0D0D0D" w:themeColor="text1" w:themeTint="F2"/>
          <w:sz w:val="32"/>
          <w:szCs w:val="32"/>
          <w:rtl/>
        </w:rPr>
        <w:t>60</w:t>
      </w:r>
      <w:r w:rsidR="00832F88" w:rsidRPr="001F3EEE">
        <w:rPr>
          <w:rFonts w:ascii="Traditional Arabic" w:hAnsi="Traditional Arabic"/>
          <w:color w:val="0D0D0D" w:themeColor="text1" w:themeTint="F2"/>
          <w:sz w:val="32"/>
          <w:szCs w:val="32"/>
          <w:rtl/>
        </w:rPr>
        <w:t>]</w:t>
      </w:r>
      <w:r w:rsidR="00832F88" w:rsidRPr="00911ED4">
        <w:rPr>
          <w:rFonts w:ascii="QCF_P291" w:hAnsi="QCF_P291" w:cs="QCF_P291"/>
          <w:sz w:val="32"/>
          <w:szCs w:val="32"/>
          <w:rtl/>
          <w:lang w:eastAsia="en-US"/>
        </w:rPr>
        <w:t xml:space="preserve"> </w:t>
      </w:r>
      <w:r w:rsidR="0083209F" w:rsidRPr="00911ED4">
        <w:rPr>
          <w:rFonts w:ascii="QCF_P291" w:hAnsi="QCF_P291" w:cs="QCF_P291"/>
          <w:sz w:val="32"/>
          <w:szCs w:val="32"/>
          <w:rtl/>
          <w:lang w:eastAsia="en-US"/>
        </w:rPr>
        <w:t xml:space="preserve"> </w:t>
      </w:r>
      <w:r w:rsidR="001B6BD6" w:rsidRPr="001B6BD6">
        <w:rPr>
          <w:rFonts w:ascii="Traditional Arabic" w:hAnsi="Traditional Arabic"/>
          <w:color w:val="0D0D0D" w:themeColor="text1" w:themeTint="F2"/>
          <w:rtl/>
          <w:lang w:eastAsia="en-US"/>
        </w:rPr>
        <w:t xml:space="preserve"> ثلاثة اقوال</w:t>
      </w:r>
      <w:r w:rsidR="001B6BD6" w:rsidRPr="001B6BD6">
        <w:rPr>
          <w:rFonts w:ascii="Traditional Arabic" w:hAnsi="Traditional Arabic" w:hint="cs"/>
          <w:color w:val="0D0D0D" w:themeColor="text1" w:themeTint="F2"/>
          <w:rtl/>
          <w:lang w:eastAsia="en-US"/>
        </w:rPr>
        <w:t xml:space="preserve">: </w:t>
      </w:r>
      <w:r w:rsidR="001B6BD6" w:rsidRPr="001B6BD6">
        <w:rPr>
          <w:rFonts w:ascii="Traditional Arabic" w:hAnsi="Traditional Arabic"/>
          <w:color w:val="0D0D0D" w:themeColor="text1" w:themeTint="F2"/>
          <w:rtl/>
          <w:lang w:eastAsia="en-US"/>
        </w:rPr>
        <w:t xml:space="preserve">أحدها: المذمومة، قاله ابن عباس. والثاني: الملعون آكلُها، ذكره الزجاج، وقال: إِن لم يكن في </w:t>
      </w:r>
      <w:r w:rsidR="001B6BD6" w:rsidRPr="001B6BD6">
        <w:rPr>
          <w:rFonts w:ascii="Traditional Arabic" w:hAnsi="Traditional Arabic"/>
          <w:color w:val="0D0D0D" w:themeColor="text1" w:themeTint="F2"/>
          <w:rtl/>
          <w:lang w:eastAsia="en-US"/>
        </w:rPr>
        <w:lastRenderedPageBreak/>
        <w:t>القرآن ذِكْر لعنها، ففيه لعن آكليها</w:t>
      </w:r>
      <w:r w:rsidR="001B6BD6">
        <w:rPr>
          <w:rFonts w:hint="cs"/>
          <w:rtl/>
        </w:rPr>
        <w:t>,</w:t>
      </w:r>
      <w:r w:rsidR="001B6BD6" w:rsidRPr="001B6BD6">
        <w:rPr>
          <w:rFonts w:ascii="Traditional Arabic" w:hAnsi="Traditional Arabic"/>
          <w:color w:val="0D0D0D" w:themeColor="text1" w:themeTint="F2"/>
          <w:rtl/>
          <w:lang w:eastAsia="en-US"/>
        </w:rPr>
        <w:t xml:space="preserve"> قال: والعرب تقول لكل طعام مكروه وضارٍّ: ملعون</w:t>
      </w:r>
      <w:r w:rsidR="001B6BD6" w:rsidRPr="001B6BD6">
        <w:rPr>
          <w:rFonts w:hint="cs"/>
          <w:color w:val="0D0D0D" w:themeColor="text1" w:themeTint="F2"/>
          <w:rtl/>
        </w:rPr>
        <w:t>؛</w:t>
      </w:r>
      <w:r w:rsidR="001B6BD6" w:rsidRPr="001B6BD6">
        <w:rPr>
          <w:rFonts w:ascii="Traditional Arabic" w:hAnsi="Traditional Arabic"/>
          <w:color w:val="0D0D0D" w:themeColor="text1" w:themeTint="F2"/>
          <w:rtl/>
          <w:lang w:eastAsia="en-US"/>
        </w:rPr>
        <w:t xml:space="preserve"> فأمّا قوله تعالى: </w:t>
      </w:r>
      <w:r w:rsidR="001B6BD6" w:rsidRPr="001B6BD6">
        <w:rPr>
          <w:rFonts w:ascii="QCF_BSML" w:hAnsi="QCF_BSML" w:cs="QCF_BSML"/>
          <w:color w:val="0D0D0D" w:themeColor="text1" w:themeTint="F2"/>
          <w:sz w:val="32"/>
          <w:szCs w:val="32"/>
          <w:rtl/>
          <w:lang w:eastAsia="en-US"/>
        </w:rPr>
        <w:t>ﭽ</w:t>
      </w:r>
      <w:r w:rsidR="001B6BD6" w:rsidRPr="001B6BD6">
        <w:rPr>
          <w:rFonts w:ascii="QCF_P288" w:hAnsi="QCF_P288" w:cs="QCF_P288"/>
          <w:color w:val="0D0D0D" w:themeColor="text1" w:themeTint="F2"/>
          <w:sz w:val="32"/>
          <w:szCs w:val="32"/>
          <w:rtl/>
          <w:lang w:eastAsia="en-US"/>
        </w:rPr>
        <w:t xml:space="preserve"> ﭻ ﭼ</w:t>
      </w:r>
      <w:r w:rsidR="001B6BD6" w:rsidRPr="001B6BD6">
        <w:rPr>
          <w:rFonts w:ascii="QCF_BSML" w:hAnsi="QCF_BSML" w:cs="QCF_BSML"/>
          <w:color w:val="0D0D0D" w:themeColor="text1" w:themeTint="F2"/>
          <w:sz w:val="32"/>
          <w:szCs w:val="32"/>
          <w:rtl/>
          <w:lang w:eastAsia="en-US"/>
        </w:rPr>
        <w:t>ﭼ</w:t>
      </w:r>
      <w:r w:rsidR="001B6BD6" w:rsidRPr="001B6BD6">
        <w:rPr>
          <w:rFonts w:ascii="Traditional Arabic" w:hAnsi="Traditional Arabic" w:hint="cs"/>
          <w:color w:val="0D0D0D" w:themeColor="text1" w:themeTint="F2"/>
          <w:rtl/>
          <w:lang w:eastAsia="en-US"/>
        </w:rPr>
        <w:t xml:space="preserve"> </w:t>
      </w:r>
      <w:r w:rsidR="001B6BD6" w:rsidRPr="001B6BD6">
        <w:rPr>
          <w:rFonts w:ascii="Traditional Arabic" w:hAnsi="Traditional Arabic"/>
          <w:color w:val="0D0D0D" w:themeColor="text1" w:themeTint="F2"/>
          <w:rtl/>
          <w:lang w:eastAsia="en-US"/>
        </w:rPr>
        <w:t>فالمعنى: التي ذكرت في القرآن، وهي</w:t>
      </w:r>
      <w:r w:rsidR="001B6BD6" w:rsidRPr="001B6BD6">
        <w:rPr>
          <w:rFonts w:ascii="Traditional Arabic" w:hAnsi="Traditional Arabic" w:hint="cs"/>
          <w:color w:val="0D0D0D" w:themeColor="text1" w:themeTint="F2"/>
          <w:rtl/>
          <w:lang w:eastAsia="en-US"/>
        </w:rPr>
        <w:t xml:space="preserve"> </w:t>
      </w:r>
      <w:r w:rsidR="001B6BD6" w:rsidRPr="001B6BD6">
        <w:rPr>
          <w:rFonts w:ascii="Traditional Arabic" w:hAnsi="Traditional Arabic"/>
          <w:color w:val="0D0D0D" w:themeColor="text1" w:themeTint="F2"/>
          <w:rtl/>
          <w:lang w:eastAsia="en-US"/>
        </w:rPr>
        <w:t>مذكورة في قوله:</w:t>
      </w:r>
      <w:r w:rsidR="001B6BD6" w:rsidRPr="001B6BD6">
        <w:rPr>
          <w:rFonts w:ascii="QCF_BSML" w:hAnsi="QCF_BSML" w:cs="QCF_BSML"/>
          <w:color w:val="0D0D0D" w:themeColor="text1" w:themeTint="F2"/>
          <w:sz w:val="32"/>
          <w:szCs w:val="32"/>
          <w:rtl/>
          <w:lang w:eastAsia="en-US"/>
        </w:rPr>
        <w:t xml:space="preserve"> ﭽ</w:t>
      </w:r>
      <w:r w:rsidR="00832F88">
        <w:rPr>
          <w:rFonts w:ascii="QCF_P498" w:hAnsi="QCF_P498" w:cs="QCF_P498" w:hint="cs"/>
          <w:color w:val="0D0D0D" w:themeColor="text1" w:themeTint="F2"/>
          <w:sz w:val="32"/>
          <w:szCs w:val="32"/>
          <w:rtl/>
          <w:lang w:eastAsia="en-US"/>
        </w:rPr>
        <w:t xml:space="preserve"> </w:t>
      </w:r>
      <w:r w:rsidR="001B6BD6" w:rsidRPr="001B6BD6">
        <w:rPr>
          <w:rFonts w:ascii="QCF_P498" w:hAnsi="QCF_P498" w:cs="QCF_P498"/>
          <w:color w:val="0D0D0D" w:themeColor="text1" w:themeTint="F2"/>
          <w:sz w:val="32"/>
          <w:szCs w:val="32"/>
          <w:rtl/>
          <w:lang w:eastAsia="en-US"/>
        </w:rPr>
        <w:t>ﭬ ﭭ ﭮ  ﭯ ﭰ ﭱ</w:t>
      </w:r>
      <w:r w:rsidR="00832F88">
        <w:rPr>
          <w:rFonts w:ascii="QCF_BSML" w:hAnsi="QCF_BSML" w:cs="QCF_BSML" w:hint="cs"/>
          <w:color w:val="0D0D0D" w:themeColor="text1" w:themeTint="F2"/>
          <w:sz w:val="32"/>
          <w:szCs w:val="32"/>
          <w:rtl/>
          <w:lang w:eastAsia="en-US"/>
        </w:rPr>
        <w:t xml:space="preserve"> </w:t>
      </w:r>
      <w:r w:rsidR="001B6BD6" w:rsidRPr="001B6BD6">
        <w:rPr>
          <w:rFonts w:ascii="QCF_BSML" w:hAnsi="QCF_BSML" w:cs="QCF_BSML"/>
          <w:color w:val="0D0D0D" w:themeColor="text1" w:themeTint="F2"/>
          <w:sz w:val="32"/>
          <w:szCs w:val="32"/>
          <w:rtl/>
          <w:lang w:eastAsia="en-US"/>
        </w:rPr>
        <w:t>ﭼ</w:t>
      </w:r>
      <w:r w:rsidR="00832F88">
        <w:rPr>
          <w:rFonts w:ascii="QCF_BSML" w:hAnsi="QCF_BSML" w:cs="QCF_BSML" w:hint="cs"/>
          <w:color w:val="0D0D0D" w:themeColor="text1" w:themeTint="F2"/>
          <w:sz w:val="32"/>
          <w:szCs w:val="32"/>
          <w:rtl/>
          <w:lang w:eastAsia="en-US"/>
        </w:rPr>
        <w:t xml:space="preserve"> </w:t>
      </w:r>
      <w:r w:rsidR="001B6BD6" w:rsidRPr="001B6BD6">
        <w:rPr>
          <w:rFonts w:ascii="Traditional Arabic" w:hAnsi="Traditional Arabic"/>
          <w:color w:val="0D0D0D" w:themeColor="text1" w:themeTint="F2"/>
          <w:sz w:val="32"/>
          <w:szCs w:val="32"/>
          <w:rtl/>
          <w:lang w:eastAsia="en-US"/>
        </w:rPr>
        <w:t>[ الدخان: ٤٣ – ٤٤]</w:t>
      </w:r>
      <w:r w:rsidR="001B6BD6" w:rsidRPr="001B6BD6">
        <w:rPr>
          <w:rFonts w:ascii="Traditional Arabic" w:hAnsi="Traditional Arabic" w:hint="cs"/>
          <w:color w:val="0D0D0D" w:themeColor="text1" w:themeTint="F2"/>
          <w:rtl/>
          <w:lang w:eastAsia="en-US"/>
        </w:rPr>
        <w:t xml:space="preserve">، </w:t>
      </w:r>
      <w:r w:rsidR="001B6BD6" w:rsidRPr="001B6BD6">
        <w:rPr>
          <w:rFonts w:ascii="Traditional Arabic" w:hAnsi="Traditional Arabic"/>
          <w:color w:val="0D0D0D" w:themeColor="text1" w:themeTint="F2"/>
          <w:rtl/>
          <w:lang w:eastAsia="en-US"/>
        </w:rPr>
        <w:t xml:space="preserve">والثالث: أن معنى </w:t>
      </w:r>
      <w:r w:rsidR="001B6BD6" w:rsidRPr="001B6BD6">
        <w:rPr>
          <w:rFonts w:ascii="QCF_BSML" w:hAnsi="QCF_BSML" w:cs="QCF_BSML"/>
          <w:color w:val="0D0D0D" w:themeColor="text1" w:themeTint="F2"/>
          <w:sz w:val="32"/>
          <w:szCs w:val="32"/>
          <w:rtl/>
          <w:lang w:eastAsia="en-US"/>
        </w:rPr>
        <w:t>ﭽ</w:t>
      </w:r>
      <w:r w:rsidR="001B6BD6" w:rsidRPr="001B6BD6">
        <w:rPr>
          <w:rFonts w:ascii="QCF_P288" w:hAnsi="QCF_P288" w:cs="QCF_P288"/>
          <w:color w:val="0D0D0D" w:themeColor="text1" w:themeTint="F2"/>
          <w:sz w:val="32"/>
          <w:szCs w:val="32"/>
          <w:rtl/>
          <w:lang w:eastAsia="en-US"/>
        </w:rPr>
        <w:t>ﭺ</w:t>
      </w:r>
      <w:r w:rsidR="00832F88">
        <w:rPr>
          <w:rFonts w:ascii="QCF_BSML" w:hAnsi="QCF_BSML" w:cs="QCF_BSML" w:hint="cs"/>
          <w:color w:val="0D0D0D" w:themeColor="text1" w:themeTint="F2"/>
          <w:sz w:val="32"/>
          <w:szCs w:val="32"/>
          <w:rtl/>
          <w:lang w:eastAsia="en-US"/>
        </w:rPr>
        <w:t xml:space="preserve"> </w:t>
      </w:r>
      <w:r w:rsidR="001B6BD6" w:rsidRPr="001B6BD6">
        <w:rPr>
          <w:rFonts w:ascii="QCF_BSML" w:hAnsi="QCF_BSML" w:cs="QCF_BSML"/>
          <w:color w:val="0D0D0D" w:themeColor="text1" w:themeTint="F2"/>
          <w:sz w:val="32"/>
          <w:szCs w:val="32"/>
          <w:rtl/>
          <w:lang w:eastAsia="en-US"/>
        </w:rPr>
        <w:t>ﭼ</w:t>
      </w:r>
      <w:r w:rsidR="00832F88">
        <w:rPr>
          <w:rFonts w:ascii="QCF_BSML" w:hAnsi="QCF_BSML" w:cs="QCF_BSML" w:hint="cs"/>
          <w:color w:val="0D0D0D" w:themeColor="text1" w:themeTint="F2"/>
          <w:sz w:val="32"/>
          <w:szCs w:val="32"/>
          <w:rtl/>
          <w:lang w:eastAsia="en-US"/>
        </w:rPr>
        <w:t xml:space="preserve"> </w:t>
      </w:r>
      <w:r w:rsidR="001B6BD6" w:rsidRPr="001B6BD6">
        <w:rPr>
          <w:rFonts w:ascii="Traditional Arabic" w:hAnsi="Traditional Arabic"/>
          <w:color w:val="0D0D0D" w:themeColor="text1" w:themeTint="F2"/>
          <w:rtl/>
          <w:lang w:eastAsia="en-US"/>
        </w:rPr>
        <w:t>:</w:t>
      </w:r>
      <w:r w:rsidR="001B6BD6" w:rsidRPr="001B6BD6">
        <w:rPr>
          <w:rFonts w:ascii="Traditional Arabic" w:hAnsi="Traditional Arabic" w:hint="cs"/>
          <w:color w:val="0D0D0D" w:themeColor="text1" w:themeTint="F2"/>
          <w:rtl/>
          <w:lang w:eastAsia="en-US"/>
        </w:rPr>
        <w:t xml:space="preserve"> </w:t>
      </w:r>
      <w:r w:rsidR="001B6BD6" w:rsidRPr="001B6BD6">
        <w:rPr>
          <w:rFonts w:ascii="Traditional Arabic" w:hAnsi="Traditional Arabic"/>
          <w:color w:val="0D0D0D" w:themeColor="text1" w:themeTint="F2"/>
          <w:rtl/>
          <w:lang w:eastAsia="en-US"/>
        </w:rPr>
        <w:t>المب</w:t>
      </w:r>
      <w:r w:rsidR="001B6BD6" w:rsidRPr="001B6BD6">
        <w:rPr>
          <w:rFonts w:ascii="Traditional Arabic" w:hAnsi="Traditional Arabic" w:hint="cs"/>
          <w:color w:val="0D0D0D" w:themeColor="text1" w:themeTint="F2"/>
          <w:rtl/>
          <w:lang w:eastAsia="en-US"/>
        </w:rPr>
        <w:t>ْ</w:t>
      </w:r>
      <w:r w:rsidR="001B6BD6" w:rsidRPr="001B6BD6">
        <w:rPr>
          <w:rFonts w:ascii="Traditional Arabic" w:hAnsi="Traditional Arabic"/>
          <w:color w:val="0D0D0D" w:themeColor="text1" w:themeTint="F2"/>
          <w:rtl/>
          <w:lang w:eastAsia="en-US"/>
        </w:rPr>
        <w:t>ع</w:t>
      </w:r>
      <w:r w:rsidR="001B6BD6" w:rsidRPr="001B6BD6">
        <w:rPr>
          <w:rFonts w:ascii="Traditional Arabic" w:hAnsi="Traditional Arabic" w:hint="cs"/>
          <w:color w:val="0D0D0D" w:themeColor="text1" w:themeTint="F2"/>
          <w:rtl/>
          <w:lang w:eastAsia="en-US"/>
        </w:rPr>
        <w:t>َ</w:t>
      </w:r>
      <w:r w:rsidR="001B6BD6" w:rsidRPr="001B6BD6">
        <w:rPr>
          <w:rFonts w:ascii="Traditional Arabic" w:hAnsi="Traditional Arabic"/>
          <w:color w:val="0D0D0D" w:themeColor="text1" w:themeTint="F2"/>
          <w:rtl/>
          <w:lang w:eastAsia="en-US"/>
        </w:rPr>
        <w:t>دة عن منازل أهل الفضل، ذكره ابن الانباري.</w:t>
      </w:r>
      <w:r w:rsidR="001B6BD6" w:rsidRPr="001B6BD6">
        <w:rPr>
          <w:rFonts w:ascii="Traditional Arabic" w:hAnsi="Traditional Arabic" w:hint="cs"/>
          <w:color w:val="0D0D0D" w:themeColor="text1" w:themeTint="F2"/>
          <w:rtl/>
          <w:lang w:eastAsia="en-US"/>
        </w:rPr>
        <w:t xml:space="preserve"> </w:t>
      </w:r>
      <w:r w:rsidR="001B6BD6" w:rsidRPr="001B6BD6">
        <w:rPr>
          <w:rFonts w:ascii="Traditional Arabic" w:hAnsi="Traditional Arabic"/>
          <w:color w:val="0D0D0D" w:themeColor="text1" w:themeTint="F2"/>
          <w:rtl/>
          <w:lang w:eastAsia="en-US"/>
        </w:rPr>
        <w:t>والقول الثاني: أن الشجرة الملعونة هي التي تلتوي على الشجر، يعني: الكَشُوثى، وهذا مروي عن ابن عباس أيضا</w:t>
      </w:r>
      <w:r w:rsidR="001B6BD6">
        <w:rPr>
          <w:rFonts w:hint="cs"/>
          <w:color w:val="0D0D0D" w:themeColor="text1" w:themeTint="F2"/>
          <w:rtl/>
        </w:rPr>
        <w:t>.</w:t>
      </w:r>
      <w:r w:rsidR="001B6BD6" w:rsidRPr="001B6BD6">
        <w:rPr>
          <w:rFonts w:ascii="Traditional Arabic" w:hAnsi="Traditional Arabic" w:hint="cs"/>
          <w:color w:val="0D0D0D" w:themeColor="text1" w:themeTint="F2"/>
          <w:rtl/>
          <w:lang w:eastAsia="en-US"/>
        </w:rPr>
        <w:t xml:space="preserve"> </w:t>
      </w:r>
      <w:r w:rsidR="001B6BD6" w:rsidRPr="001B6BD6">
        <w:rPr>
          <w:rFonts w:ascii="Traditional Arabic" w:hAnsi="Traditional Arabic"/>
          <w:color w:val="0D0D0D" w:themeColor="text1" w:themeTint="F2"/>
          <w:rtl/>
          <w:lang w:eastAsia="en-US"/>
        </w:rPr>
        <w:t>والثالث: أن الشجرة كناية عن الرجال على ما ذكرنا عن سعيد بن المسيّب</w:t>
      </w:r>
      <w:r w:rsidR="0083209F" w:rsidRPr="0083209F">
        <w:rPr>
          <w:rStyle w:val="ae"/>
          <w:rtl/>
        </w:rPr>
        <w:t>(</w:t>
      </w:r>
      <w:r w:rsidR="0083209F">
        <w:rPr>
          <w:rStyle w:val="ae"/>
          <w:rtl/>
        </w:rPr>
        <w:footnoteReference w:id="145"/>
      </w:r>
      <w:r w:rsidR="0083209F" w:rsidRPr="0083209F">
        <w:rPr>
          <w:rStyle w:val="ae"/>
          <w:rtl/>
        </w:rPr>
        <w:t>)</w:t>
      </w:r>
      <w:r w:rsidR="001B6BD6" w:rsidRPr="001B6BD6">
        <w:rPr>
          <w:rFonts w:ascii="Traditional Arabic" w:hAnsi="Traditional Arabic"/>
          <w:color w:val="0D0D0D" w:themeColor="text1" w:themeTint="F2"/>
          <w:rtl/>
          <w:lang w:eastAsia="en-US"/>
        </w:rPr>
        <w:t>.</w:t>
      </w:r>
    </w:p>
    <w:p w:rsidR="00521B68" w:rsidRDefault="00332BB2" w:rsidP="00832F88">
      <w:pPr>
        <w:numPr>
          <w:ilvl w:val="0"/>
          <w:numId w:val="18"/>
        </w:numPr>
        <w:spacing w:after="200" w:line="276" w:lineRule="auto"/>
        <w:ind w:left="0" w:firstLine="0"/>
        <w:contextualSpacing/>
        <w:rPr>
          <w:rFonts w:ascii="Traditional Arabic" w:eastAsia="Calibri" w:hAnsi="Traditional Arabic"/>
          <w:color w:val="auto"/>
          <w:shd w:val="clear" w:color="auto" w:fill="FFFFFF"/>
        </w:rPr>
      </w:pPr>
      <w:r>
        <w:rPr>
          <w:rFonts w:ascii="Traditional Arabic" w:eastAsia="Calibri" w:hAnsi="Traditional Arabic"/>
          <w:color w:val="auto"/>
          <w:shd w:val="clear" w:color="auto" w:fill="FFFFFF"/>
          <w:rtl/>
        </w:rPr>
        <w:t>الت</w:t>
      </w:r>
      <w:r>
        <w:rPr>
          <w:rFonts w:ascii="Traditional Arabic" w:eastAsia="Calibri" w:hAnsi="Traditional Arabic" w:hint="cs"/>
          <w:color w:val="auto"/>
          <w:shd w:val="clear" w:color="auto" w:fill="FFFFFF"/>
          <w:rtl/>
        </w:rPr>
        <w:t>ك</w:t>
      </w:r>
      <w:r w:rsidR="00D11232" w:rsidRPr="00C17B7B">
        <w:rPr>
          <w:rFonts w:ascii="Traditional Arabic" w:eastAsia="Calibri" w:hAnsi="Traditional Arabic"/>
          <w:color w:val="auto"/>
          <w:shd w:val="clear" w:color="auto" w:fill="FFFFFF"/>
          <w:rtl/>
        </w:rPr>
        <w:t>رار ودلالته</w:t>
      </w:r>
      <w:r>
        <w:rPr>
          <w:rFonts w:ascii="Traditional Arabic" w:eastAsia="Calibri" w:hAnsi="Traditional Arabic" w:hint="cs"/>
          <w:color w:val="auto"/>
          <w:shd w:val="clear" w:color="auto" w:fill="FFFFFF"/>
          <w:rtl/>
        </w:rPr>
        <w:t xml:space="preserve">, </w:t>
      </w:r>
      <w:r w:rsidRPr="00991B74">
        <w:rPr>
          <w:rFonts w:ascii="Traditional Arabic" w:hAnsi="Traditional Arabic"/>
          <w:rtl/>
        </w:rPr>
        <w:t>مثاله:</w:t>
      </w:r>
      <w:r w:rsidR="00642FD9">
        <w:rPr>
          <w:rFonts w:ascii="Traditional Arabic" w:eastAsia="Calibri" w:hAnsi="Traditional Arabic" w:hint="cs"/>
          <w:color w:val="auto"/>
          <w:shd w:val="clear" w:color="auto" w:fill="FFFFFF"/>
          <w:rtl/>
        </w:rPr>
        <w:t xml:space="preserve"> قوله تعال:</w:t>
      </w:r>
      <w:r>
        <w:rPr>
          <w:rFonts w:ascii="Traditional Arabic" w:eastAsia="Calibri" w:hAnsi="Traditional Arabic" w:hint="cs"/>
          <w:color w:val="auto"/>
          <w:shd w:val="clear" w:color="auto" w:fill="FFFFFF"/>
          <w:rtl/>
        </w:rPr>
        <w:t xml:space="preserve"> </w:t>
      </w:r>
      <w:r w:rsidR="00642FD9" w:rsidRPr="001B6BD6">
        <w:rPr>
          <w:rFonts w:ascii="QCF_BSML" w:hAnsi="QCF_BSML" w:cs="QCF_BSML"/>
          <w:color w:val="0D0D0D" w:themeColor="text1" w:themeTint="F2"/>
          <w:sz w:val="32"/>
          <w:szCs w:val="32"/>
          <w:rtl/>
          <w:lang w:eastAsia="en-US"/>
        </w:rPr>
        <w:t>ﭽ</w:t>
      </w:r>
      <w:r w:rsidRPr="00911ED4">
        <w:rPr>
          <w:rFonts w:ascii="QCF_P293" w:hAnsi="QCF_P293" w:cs="QCF_P293"/>
          <w:color w:val="auto"/>
          <w:sz w:val="32"/>
          <w:szCs w:val="32"/>
          <w:rtl/>
          <w:lang w:eastAsia="en-US"/>
        </w:rPr>
        <w:t xml:space="preserve">  ﭭ  ﭮ  ﭯ  ﭰ  ﭱ  ﭲ  ﭳ  ﭴ   ﭵ  ﭶ      ﭷ      ﭸ    ﭹ  ﭺ  ﭻ  ﭼ  ﭽ  ﭾ      ﭿ  ﮀ  ﮁ  ﮂ  ﮃ  ﮄ  ﮅ  ﮆ   ﮇ </w:t>
      </w:r>
      <w:r w:rsidR="00642FD9" w:rsidRPr="00911ED4">
        <w:rPr>
          <w:rFonts w:ascii="QCF_BSML" w:hAnsi="QCF_BSML" w:cs="QCF_BSML"/>
          <w:sz w:val="32"/>
          <w:szCs w:val="32"/>
          <w:rtl/>
          <w:lang w:eastAsia="en-US"/>
        </w:rPr>
        <w:t>ﭼ</w:t>
      </w:r>
      <w:r w:rsidR="00832F88" w:rsidRPr="001F3EEE">
        <w:rPr>
          <w:rFonts w:ascii="Traditional Arabic" w:hAnsi="Traditional Arabic"/>
          <w:color w:val="0D0D0D" w:themeColor="text1" w:themeTint="F2"/>
          <w:sz w:val="32"/>
          <w:szCs w:val="32"/>
          <w:rtl/>
        </w:rPr>
        <w:t>[الإسراء:</w:t>
      </w:r>
      <w:r w:rsidR="00832F88">
        <w:rPr>
          <w:rFonts w:ascii="Traditional Arabic" w:hAnsi="Traditional Arabic" w:hint="cs"/>
          <w:color w:val="0D0D0D" w:themeColor="text1" w:themeTint="F2"/>
          <w:sz w:val="32"/>
          <w:szCs w:val="32"/>
          <w:rtl/>
        </w:rPr>
        <w:t>107-109</w:t>
      </w:r>
      <w:r w:rsidR="00832F88" w:rsidRPr="001F3EEE">
        <w:rPr>
          <w:rFonts w:ascii="Traditional Arabic" w:hAnsi="Traditional Arabic"/>
          <w:color w:val="0D0D0D" w:themeColor="text1" w:themeTint="F2"/>
          <w:sz w:val="32"/>
          <w:szCs w:val="32"/>
          <w:rtl/>
        </w:rPr>
        <w:t>]</w:t>
      </w:r>
      <w:r w:rsidR="00832F88" w:rsidRPr="00911ED4">
        <w:rPr>
          <w:rFonts w:ascii="QCF_P291" w:hAnsi="QCF_P291" w:cs="QCF_P291"/>
          <w:sz w:val="32"/>
          <w:szCs w:val="32"/>
          <w:rtl/>
          <w:lang w:eastAsia="en-US"/>
        </w:rPr>
        <w:t xml:space="preserve"> </w:t>
      </w:r>
      <w:r w:rsidR="00642FD9" w:rsidRPr="00642FD9">
        <w:rPr>
          <w:rFonts w:ascii="Traditional Arabic" w:hAnsi="Traditional Arabic"/>
          <w:rtl/>
        </w:rPr>
        <w:t xml:space="preserve"> </w:t>
      </w:r>
      <w:r w:rsidR="00642FD9" w:rsidRPr="00991B74">
        <w:rPr>
          <w:rFonts w:ascii="Traditional Arabic" w:hAnsi="Traditional Arabic"/>
          <w:rtl/>
        </w:rPr>
        <w:t>قال رحمه الله عند</w:t>
      </w:r>
      <w:r w:rsidR="00642FD9">
        <w:rPr>
          <w:rFonts w:ascii="Traditional Arabic" w:hAnsi="Traditional Arabic" w:hint="cs"/>
          <w:rtl/>
        </w:rPr>
        <w:t xml:space="preserve"> </w:t>
      </w:r>
      <w:r w:rsidR="00642FD9" w:rsidRPr="00911ED4">
        <w:rPr>
          <w:rFonts w:ascii="Traditional Arabic" w:hAnsi="Traditional Arabic"/>
          <w:rtl/>
        </w:rPr>
        <w:t>قوله تعالى:</w:t>
      </w:r>
      <w:r w:rsidR="00642FD9" w:rsidRPr="00642FD9">
        <w:rPr>
          <w:rFonts w:ascii="QCF_BSML" w:hAnsi="QCF_BSML" w:cs="QCF_BSML"/>
          <w:color w:val="0D0D0D" w:themeColor="text1" w:themeTint="F2"/>
          <w:sz w:val="32"/>
          <w:szCs w:val="32"/>
          <w:rtl/>
          <w:lang w:eastAsia="en-US"/>
        </w:rPr>
        <w:t xml:space="preserve"> </w:t>
      </w:r>
      <w:r w:rsidR="00642FD9">
        <w:rPr>
          <w:rFonts w:ascii="QCF_P293" w:hAnsi="QCF_P293" w:cs="QCF_P293" w:hint="cs"/>
          <w:color w:val="auto"/>
          <w:sz w:val="32"/>
          <w:szCs w:val="32"/>
          <w:rtl/>
          <w:lang w:eastAsia="en-US"/>
        </w:rPr>
        <w:t xml:space="preserve"> </w:t>
      </w:r>
      <w:r w:rsidRPr="00911ED4">
        <w:rPr>
          <w:rFonts w:ascii="QCF_P293" w:hAnsi="QCF_P293" w:cs="QCF_P293"/>
          <w:color w:val="auto"/>
          <w:sz w:val="32"/>
          <w:szCs w:val="32"/>
          <w:rtl/>
          <w:lang w:eastAsia="en-US"/>
        </w:rPr>
        <w:t xml:space="preserve"> </w:t>
      </w:r>
      <w:r w:rsidRPr="00911ED4">
        <w:rPr>
          <w:rFonts w:ascii="QCF_BSML" w:hAnsi="QCF_BSML" w:cs="QCF_BSML"/>
          <w:sz w:val="32"/>
          <w:szCs w:val="32"/>
          <w:rtl/>
          <w:lang w:eastAsia="en-US"/>
        </w:rPr>
        <w:t>ﭽ</w:t>
      </w:r>
      <w:r w:rsidRPr="00911ED4">
        <w:rPr>
          <w:rFonts w:ascii="QCF_P293" w:hAnsi="QCF_P293" w:cs="QCF_P293"/>
          <w:color w:val="auto"/>
          <w:sz w:val="32"/>
          <w:szCs w:val="32"/>
          <w:rtl/>
          <w:lang w:eastAsia="en-US"/>
        </w:rPr>
        <w:t>ﮃ  ﮄ</w:t>
      </w:r>
      <w:r w:rsidRPr="00911ED4">
        <w:rPr>
          <w:rFonts w:ascii="QCF_BSML" w:hAnsi="QCF_BSML" w:cs="QCF_BSML"/>
          <w:sz w:val="32"/>
          <w:szCs w:val="32"/>
          <w:rtl/>
          <w:lang w:eastAsia="en-US"/>
        </w:rPr>
        <w:t>ﭼ</w:t>
      </w:r>
      <w:r w:rsidRPr="00911ED4">
        <w:rPr>
          <w:rFonts w:ascii="QCF_P293" w:hAnsi="QCF_P293" w:cs="QCF_P293"/>
          <w:color w:val="auto"/>
          <w:sz w:val="32"/>
          <w:szCs w:val="32"/>
          <w:rtl/>
          <w:lang w:eastAsia="en-US"/>
        </w:rPr>
        <w:t xml:space="preserve">  </w:t>
      </w:r>
      <w:r w:rsidRPr="00911ED4">
        <w:rPr>
          <w:rtl/>
        </w:rPr>
        <w:t>كرَّر القول ليدل على تكرار الفعل منهم</w:t>
      </w:r>
      <w:r w:rsidR="00832F88" w:rsidRPr="00832F88">
        <w:rPr>
          <w:rStyle w:val="ae"/>
          <w:rtl/>
        </w:rPr>
        <w:t>(</w:t>
      </w:r>
      <w:r w:rsidR="00832F88">
        <w:rPr>
          <w:rStyle w:val="ae"/>
          <w:rtl/>
        </w:rPr>
        <w:footnoteReference w:id="146"/>
      </w:r>
      <w:r w:rsidR="00832F88" w:rsidRPr="00832F88">
        <w:rPr>
          <w:rStyle w:val="ae"/>
          <w:rtl/>
        </w:rPr>
        <w:t>)</w:t>
      </w:r>
      <w:r w:rsidRPr="00911ED4">
        <w:rPr>
          <w:rtl/>
        </w:rPr>
        <w:t>.</w:t>
      </w:r>
    </w:p>
    <w:p w:rsidR="00C97231" w:rsidRPr="00521B68" w:rsidRDefault="00C97231" w:rsidP="00832F88">
      <w:pPr>
        <w:numPr>
          <w:ilvl w:val="0"/>
          <w:numId w:val="18"/>
        </w:numPr>
        <w:spacing w:after="200" w:line="276" w:lineRule="auto"/>
        <w:ind w:left="0" w:firstLine="0"/>
        <w:contextualSpacing/>
        <w:rPr>
          <w:rFonts w:ascii="Traditional Arabic" w:eastAsia="Calibri" w:hAnsi="Traditional Arabic"/>
          <w:color w:val="auto"/>
          <w:shd w:val="clear" w:color="auto" w:fill="FFFFFF"/>
        </w:rPr>
      </w:pPr>
      <w:r w:rsidRPr="00521B68">
        <w:rPr>
          <w:rFonts w:ascii="Traditional Arabic" w:eastAsia="Calibri" w:hAnsi="Traditional Arabic"/>
          <w:color w:val="auto"/>
          <w:shd w:val="clear" w:color="auto" w:fill="FFFFFF"/>
          <w:rtl/>
        </w:rPr>
        <w:t>يتطرق ابن الجوزي –رحمه الله- للمعر</w:t>
      </w:r>
      <w:r w:rsidR="00BD5ED5">
        <w:rPr>
          <w:rFonts w:ascii="Traditional Arabic" w:eastAsia="Calibri" w:hAnsi="Traditional Arabic" w:hint="cs"/>
          <w:color w:val="auto"/>
          <w:shd w:val="clear" w:color="auto" w:fill="FFFFFF"/>
          <w:rtl/>
        </w:rPr>
        <w:t>َّ</w:t>
      </w:r>
      <w:r w:rsidRPr="00521B68">
        <w:rPr>
          <w:rFonts w:ascii="Traditional Arabic" w:eastAsia="Calibri" w:hAnsi="Traditional Arabic"/>
          <w:color w:val="auto"/>
          <w:shd w:val="clear" w:color="auto" w:fill="FFFFFF"/>
          <w:rtl/>
        </w:rPr>
        <w:t>ب والأصيل. مثاله: في قوله تعالى:</w:t>
      </w:r>
      <w:r w:rsidR="00521B68" w:rsidRPr="00521B68">
        <w:rPr>
          <w:rFonts w:ascii="QCF_BSML" w:hAnsi="QCF_BSML" w:cs="QCF_BSML"/>
          <w:sz w:val="32"/>
          <w:szCs w:val="32"/>
          <w:rtl/>
          <w:lang w:eastAsia="en-US"/>
        </w:rPr>
        <w:t xml:space="preserve"> </w:t>
      </w:r>
      <w:r w:rsidR="00521B68" w:rsidRPr="00911ED4">
        <w:rPr>
          <w:rFonts w:ascii="QCF_BSML" w:hAnsi="QCF_BSML" w:cs="QCF_BSML"/>
          <w:sz w:val="32"/>
          <w:szCs w:val="32"/>
          <w:rtl/>
          <w:lang w:eastAsia="en-US"/>
        </w:rPr>
        <w:t>ﭽ</w:t>
      </w:r>
      <w:r w:rsidR="00521B68" w:rsidRPr="00521B68">
        <w:rPr>
          <w:rFonts w:ascii="QCF_P297" w:hAnsi="QCF_P297" w:cs="QCF_P297"/>
          <w:color w:val="auto"/>
          <w:sz w:val="32"/>
          <w:szCs w:val="32"/>
          <w:rtl/>
          <w:lang w:eastAsia="en-US"/>
        </w:rPr>
        <w:t xml:space="preserve"> </w:t>
      </w:r>
      <w:r w:rsidR="00521B68" w:rsidRPr="005C21CD">
        <w:rPr>
          <w:rFonts w:ascii="QCF_P297" w:hAnsi="QCF_P297" w:cs="QCF_P297"/>
          <w:color w:val="auto"/>
          <w:sz w:val="32"/>
          <w:szCs w:val="32"/>
          <w:rtl/>
          <w:lang w:eastAsia="en-US"/>
        </w:rPr>
        <w:t xml:space="preserve">ﮂ  ﮃ  ﮄﮅ </w:t>
      </w:r>
      <w:r w:rsidR="00521B68" w:rsidRPr="00911ED4">
        <w:rPr>
          <w:rFonts w:ascii="QCF_BSML" w:hAnsi="QCF_BSML" w:cs="QCF_BSML"/>
          <w:sz w:val="32"/>
          <w:szCs w:val="32"/>
          <w:rtl/>
          <w:lang w:eastAsia="en-US"/>
        </w:rPr>
        <w:t>ﭼ</w:t>
      </w:r>
      <w:r w:rsidR="00832F88">
        <w:rPr>
          <w:rFonts w:ascii="Traditional Arabic" w:hAnsi="Traditional Arabic" w:hint="cs"/>
          <w:color w:val="0D0D0D" w:themeColor="text1" w:themeTint="F2"/>
          <w:sz w:val="32"/>
          <w:szCs w:val="32"/>
          <w:rtl/>
          <w:lang w:eastAsia="en-US"/>
        </w:rPr>
        <w:t xml:space="preserve"> [الكهف:29]</w:t>
      </w:r>
      <w:r w:rsidR="00832F88" w:rsidRPr="00D34A1D">
        <w:rPr>
          <w:rFonts w:ascii="QCF_P302" w:hAnsi="QCF_P302" w:cs="QCF_P302"/>
          <w:color w:val="auto"/>
          <w:sz w:val="32"/>
          <w:szCs w:val="32"/>
          <w:rtl/>
          <w:lang w:eastAsia="en-US"/>
        </w:rPr>
        <w:t xml:space="preserve">  </w:t>
      </w:r>
      <w:r w:rsidR="00832F88" w:rsidRPr="00D34A1D">
        <w:rPr>
          <w:rFonts w:ascii="Traditional Arabic" w:hAnsi="Traditional Arabic"/>
          <w:rtl/>
        </w:rPr>
        <w:t xml:space="preserve"> </w:t>
      </w:r>
      <w:r w:rsidR="00711488">
        <w:rPr>
          <w:rFonts w:ascii="QCF_BSML" w:hAnsi="QCF_BSML" w:cs="QCF_BSML" w:hint="cs"/>
          <w:sz w:val="32"/>
          <w:szCs w:val="32"/>
          <w:rtl/>
          <w:lang w:eastAsia="en-US"/>
        </w:rPr>
        <w:t xml:space="preserve"> </w:t>
      </w:r>
      <w:r w:rsidR="00521B68" w:rsidRPr="005C21CD">
        <w:rPr>
          <w:rFonts w:ascii="QCF_P297" w:hAnsi="QCF_P297" w:cs="QCF_P297"/>
          <w:color w:val="auto"/>
          <w:sz w:val="32"/>
          <w:szCs w:val="32"/>
          <w:rtl/>
          <w:lang w:eastAsia="en-US"/>
        </w:rPr>
        <w:t xml:space="preserve"> </w:t>
      </w:r>
      <w:r w:rsidR="00711488" w:rsidRPr="00991B74">
        <w:rPr>
          <w:rFonts w:ascii="Traditional Arabic" w:hAnsi="Traditional Arabic"/>
          <w:rtl/>
        </w:rPr>
        <w:t>قال رحمه الله</w:t>
      </w:r>
      <w:r w:rsidR="00711488">
        <w:rPr>
          <w:rFonts w:ascii="Traditional Arabic" w:eastAsia="Calibri" w:hAnsi="Traditional Arabic" w:hint="cs"/>
          <w:color w:val="auto"/>
          <w:shd w:val="clear" w:color="auto" w:fill="FFFFFF"/>
          <w:rtl/>
        </w:rPr>
        <w:t xml:space="preserve">: </w:t>
      </w:r>
      <w:r w:rsidRPr="00521B68">
        <w:rPr>
          <w:rFonts w:ascii="Traditional Arabic" w:eastAsia="Calibri" w:hAnsi="Traditional Arabic"/>
          <w:color w:val="auto"/>
          <w:shd w:val="clear" w:color="auto" w:fill="FFFFFF"/>
          <w:rtl/>
        </w:rPr>
        <w:t>وقر</w:t>
      </w:r>
      <w:r w:rsidR="00521B68">
        <w:rPr>
          <w:rFonts w:ascii="Traditional Arabic" w:eastAsia="Calibri" w:hAnsi="Traditional Arabic"/>
          <w:color w:val="auto"/>
          <w:shd w:val="clear" w:color="auto" w:fill="FFFFFF"/>
          <w:rtl/>
        </w:rPr>
        <w:t>أت على شيخنا أبي منصور اللغوي</w:t>
      </w:r>
      <w:r w:rsidRPr="00521B68">
        <w:rPr>
          <w:rFonts w:ascii="Traditional Arabic" w:eastAsia="Calibri" w:hAnsi="Traditional Arabic"/>
          <w:color w:val="auto"/>
          <w:shd w:val="clear" w:color="auto" w:fill="FFFFFF"/>
          <w:rtl/>
        </w:rPr>
        <w:t xml:space="preserve"> قال: السُّرادق فارسي معرَّب، وأصله بالفارسية سَرَادَارْ، وهو الدِّهليز، قال الفرزدق:</w:t>
      </w:r>
    </w:p>
    <w:p w:rsidR="00521B68" w:rsidRDefault="00642FD9" w:rsidP="00521B68">
      <w:pPr>
        <w:spacing w:after="200" w:line="276" w:lineRule="auto"/>
        <w:ind w:firstLine="0"/>
        <w:contextualSpacing/>
        <w:jc w:val="lowKashida"/>
        <w:rPr>
          <w:vertAlign w:val="superscript"/>
          <w:rtl/>
        </w:rPr>
      </w:pPr>
      <w:r w:rsidRPr="005C21CD">
        <w:rPr>
          <w:rtl/>
        </w:rPr>
        <w:t>تَمَنَّيْتَهُمْ حتى إِذا ما لَقِيتَهم ... تَركتَ لهم</w:t>
      </w:r>
      <w:r w:rsidR="00521B68" w:rsidRPr="005C21CD">
        <w:rPr>
          <w:rtl/>
        </w:rPr>
        <w:t xml:space="preserve"> </w:t>
      </w:r>
      <w:r w:rsidRPr="005C21CD">
        <w:rPr>
          <w:rtl/>
        </w:rPr>
        <w:t>قبلَ الضِّراب</w:t>
      </w:r>
      <w:r w:rsidRPr="005C21CD">
        <w:rPr>
          <w:rFonts w:hint="cs"/>
          <w:rtl/>
        </w:rPr>
        <w:t xml:space="preserve"> </w:t>
      </w:r>
      <w:r w:rsidRPr="005C21CD">
        <w:rPr>
          <w:rtl/>
        </w:rPr>
        <w:t>السُّرَادِقا</w:t>
      </w:r>
      <w:r w:rsidR="00832F88" w:rsidRPr="00832F88">
        <w:rPr>
          <w:rStyle w:val="ae"/>
          <w:rtl/>
        </w:rPr>
        <w:t>(</w:t>
      </w:r>
      <w:r w:rsidR="00832F88">
        <w:rPr>
          <w:rStyle w:val="ae"/>
          <w:rtl/>
        </w:rPr>
        <w:footnoteReference w:id="147"/>
      </w:r>
      <w:r w:rsidR="00832F88" w:rsidRPr="00832F88">
        <w:rPr>
          <w:rStyle w:val="ae"/>
          <w:rtl/>
        </w:rPr>
        <w:t>)</w:t>
      </w:r>
    </w:p>
    <w:p w:rsidR="00711488" w:rsidRPr="00711488" w:rsidRDefault="00D11232" w:rsidP="00711488">
      <w:pPr>
        <w:pStyle w:val="afd"/>
        <w:numPr>
          <w:ilvl w:val="0"/>
          <w:numId w:val="33"/>
        </w:numPr>
        <w:spacing w:after="200" w:line="276" w:lineRule="auto"/>
        <w:jc w:val="lowKashida"/>
        <w:rPr>
          <w:rFonts w:ascii="Traditional Arabic" w:eastAsia="Calibri" w:hAnsi="Traditional Arabic" w:cs="Traditional Arabic"/>
          <w:sz w:val="36"/>
          <w:szCs w:val="36"/>
          <w:shd w:val="clear" w:color="auto" w:fill="FFFFFF"/>
        </w:rPr>
      </w:pPr>
      <w:r w:rsidRPr="00521B68">
        <w:rPr>
          <w:rFonts w:ascii="Traditional Arabic" w:eastAsia="Calibri" w:hAnsi="Traditional Arabic" w:cs="Traditional Arabic"/>
          <w:sz w:val="36"/>
          <w:szCs w:val="36"/>
          <w:shd w:val="clear" w:color="auto" w:fill="FFFFFF"/>
          <w:rtl/>
        </w:rPr>
        <w:t>ثالثا: منهجه في المسائل الفقهية:</w:t>
      </w:r>
    </w:p>
    <w:p w:rsidR="00711488" w:rsidRPr="00606A6E" w:rsidRDefault="00711488" w:rsidP="00E26268">
      <w:pPr>
        <w:numPr>
          <w:ilvl w:val="0"/>
          <w:numId w:val="19"/>
        </w:numPr>
        <w:spacing w:after="200" w:line="276" w:lineRule="auto"/>
        <w:ind w:left="0" w:firstLine="0"/>
        <w:contextualSpacing/>
        <w:jc w:val="lowKashida"/>
        <w:rPr>
          <w:rFonts w:ascii="Traditional Arabic" w:eastAsia="Calibri" w:hAnsi="Traditional Arabic"/>
          <w:color w:val="auto"/>
          <w:shd w:val="clear" w:color="auto" w:fill="FFFFFF"/>
        </w:rPr>
      </w:pPr>
      <w:r w:rsidRPr="00711488">
        <w:rPr>
          <w:rFonts w:ascii="Traditional Arabic" w:eastAsia="Calibri" w:hAnsi="Traditional Arabic"/>
          <w:color w:val="auto"/>
          <w:shd w:val="clear" w:color="auto" w:fill="FFFFFF"/>
          <w:rtl/>
        </w:rPr>
        <w:t>النص على أقوال الفقهاء في المسألة ومذاهبهم فيها.</w:t>
      </w:r>
      <w:r w:rsidRPr="00711488">
        <w:rPr>
          <w:rFonts w:ascii="Traditional Arabic" w:eastAsia="Calibri" w:hAnsi="Traditional Arabic"/>
          <w:rtl/>
        </w:rPr>
        <w:t xml:space="preserve"> مثاله في قوله تعالى:</w:t>
      </w:r>
      <w:r w:rsidR="00E26268">
        <w:rPr>
          <w:rFonts w:ascii="Traditional Arabic" w:eastAsia="Calibri" w:hAnsi="Traditional Arabic" w:hint="cs"/>
          <w:rtl/>
        </w:rPr>
        <w:t xml:space="preserve"> </w:t>
      </w:r>
      <w:r w:rsidRPr="00711488">
        <w:rPr>
          <w:rFonts w:ascii="QCF_BSML" w:hAnsi="QCF_BSML" w:cs="QCF_BSML"/>
          <w:sz w:val="32"/>
          <w:szCs w:val="32"/>
          <w:rtl/>
          <w:lang w:eastAsia="en-US"/>
        </w:rPr>
        <w:t xml:space="preserve"> </w:t>
      </w:r>
      <w:r w:rsidR="00E26268" w:rsidRPr="005C21CD">
        <w:rPr>
          <w:rFonts w:ascii="QCF_BSML" w:hAnsi="QCF_BSML" w:cs="QCF_BSML"/>
          <w:color w:val="auto"/>
          <w:sz w:val="32"/>
          <w:szCs w:val="32"/>
          <w:rtl/>
          <w:lang w:eastAsia="en-US"/>
        </w:rPr>
        <w:t>ﭽ</w:t>
      </w:r>
      <w:r w:rsidR="00E26268" w:rsidRPr="005C21CD">
        <w:rPr>
          <w:rFonts w:ascii="QCF_P296" w:hAnsi="QCF_P296" w:cs="QCF_P296"/>
          <w:color w:val="auto"/>
          <w:sz w:val="32"/>
          <w:szCs w:val="32"/>
          <w:rtl/>
          <w:lang w:eastAsia="en-US"/>
        </w:rPr>
        <w:t xml:space="preserve"> ﮚ  ﮛ  ﮜ   ﮝ   ﮞ  ﮟ  ﮠ  ﮡ  ﮢ  ﮣ  ﮤ  ﮥﮦ  </w:t>
      </w:r>
      <w:r w:rsidR="00E26268" w:rsidRPr="005C21CD">
        <w:rPr>
          <w:rFonts w:ascii="QCF_BSML" w:hAnsi="QCF_BSML" w:cs="QCF_BSML"/>
          <w:color w:val="auto"/>
          <w:sz w:val="32"/>
          <w:szCs w:val="32"/>
          <w:rtl/>
          <w:lang w:eastAsia="en-US"/>
        </w:rPr>
        <w:t>ﭼ</w:t>
      </w:r>
      <w:r w:rsidR="00832F88">
        <w:rPr>
          <w:rFonts w:ascii="QCF_BSML" w:hAnsi="QCF_BSML" w:cs="QCF_BSML" w:hint="cs"/>
          <w:sz w:val="32"/>
          <w:szCs w:val="32"/>
          <w:rtl/>
          <w:lang w:eastAsia="en-US"/>
        </w:rPr>
        <w:t xml:space="preserve"> </w:t>
      </w:r>
      <w:r w:rsidR="00832F88">
        <w:rPr>
          <w:rFonts w:ascii="Traditional Arabic" w:hAnsi="Traditional Arabic" w:hint="cs"/>
          <w:color w:val="0D0D0D" w:themeColor="text1" w:themeTint="F2"/>
          <w:sz w:val="32"/>
          <w:szCs w:val="32"/>
          <w:rtl/>
          <w:lang w:eastAsia="en-US"/>
        </w:rPr>
        <w:t>[الكهف:</w:t>
      </w:r>
      <w:r w:rsidR="00E26268">
        <w:rPr>
          <w:rFonts w:ascii="Traditional Arabic" w:hAnsi="Traditional Arabic" w:hint="cs"/>
          <w:color w:val="0D0D0D" w:themeColor="text1" w:themeTint="F2"/>
          <w:sz w:val="32"/>
          <w:szCs w:val="32"/>
          <w:rtl/>
          <w:lang w:eastAsia="en-US"/>
        </w:rPr>
        <w:t>23-24</w:t>
      </w:r>
      <w:r w:rsidR="00832F88">
        <w:rPr>
          <w:rFonts w:ascii="Traditional Arabic" w:hAnsi="Traditional Arabic" w:hint="cs"/>
          <w:color w:val="0D0D0D" w:themeColor="text1" w:themeTint="F2"/>
          <w:sz w:val="32"/>
          <w:szCs w:val="32"/>
          <w:rtl/>
          <w:lang w:eastAsia="en-US"/>
        </w:rPr>
        <w:t>]</w:t>
      </w:r>
      <w:r w:rsidR="00832F88" w:rsidRPr="00D34A1D">
        <w:rPr>
          <w:rFonts w:ascii="QCF_P302" w:hAnsi="QCF_P302" w:cs="QCF_P302"/>
          <w:color w:val="auto"/>
          <w:sz w:val="32"/>
          <w:szCs w:val="32"/>
          <w:rtl/>
          <w:lang w:eastAsia="en-US"/>
        </w:rPr>
        <w:t xml:space="preserve">  </w:t>
      </w:r>
      <w:r w:rsidR="00832F88" w:rsidRPr="00D34A1D">
        <w:rPr>
          <w:rFonts w:ascii="Traditional Arabic" w:hAnsi="Traditional Arabic"/>
          <w:rtl/>
        </w:rPr>
        <w:t xml:space="preserve"> </w:t>
      </w:r>
      <w:r w:rsidRPr="00991B74">
        <w:rPr>
          <w:rFonts w:ascii="Traditional Arabic" w:hAnsi="Traditional Arabic"/>
          <w:rtl/>
        </w:rPr>
        <w:t>قال رحمه الله</w:t>
      </w:r>
      <w:r>
        <w:rPr>
          <w:rFonts w:ascii="Traditional Arabic" w:hAnsi="Traditional Arabic" w:hint="cs"/>
          <w:rtl/>
        </w:rPr>
        <w:t xml:space="preserve">: </w:t>
      </w:r>
      <w:r w:rsidRPr="005C21CD">
        <w:rPr>
          <w:rtl/>
        </w:rPr>
        <w:t xml:space="preserve">وفائدة </w:t>
      </w:r>
      <w:r w:rsidRPr="005C21CD">
        <w:rPr>
          <w:rFonts w:hint="cs"/>
          <w:rtl/>
        </w:rPr>
        <w:lastRenderedPageBreak/>
        <w:t>الاستثناء</w:t>
      </w:r>
      <w:r w:rsidRPr="005C21CD">
        <w:rPr>
          <w:rtl/>
        </w:rPr>
        <w:t xml:space="preserve"> أن يخرج الحالف من الكذب إِذا لم يفعل ما حلف عليه، كقوله تعالى في قصة موسى: </w:t>
      </w:r>
      <w:r w:rsidRPr="00711488">
        <w:rPr>
          <w:rFonts w:ascii="QCF_BSML" w:hAnsi="QCF_BSML" w:cs="QCF_BSML"/>
          <w:sz w:val="32"/>
          <w:szCs w:val="32"/>
          <w:rtl/>
          <w:lang w:eastAsia="en-US"/>
        </w:rPr>
        <w:t xml:space="preserve">ﭽ </w:t>
      </w:r>
      <w:r w:rsidRPr="00711488">
        <w:rPr>
          <w:rFonts w:ascii="QCF_P301" w:hAnsi="QCF_P301" w:cs="QCF_P301"/>
          <w:sz w:val="32"/>
          <w:szCs w:val="32"/>
          <w:rtl/>
          <w:lang w:eastAsia="en-US"/>
        </w:rPr>
        <w:t xml:space="preserve">ﮩ  ﮪ     ﮫ  ﮬ  ﮭ  </w:t>
      </w:r>
      <w:r w:rsidRPr="00711488">
        <w:rPr>
          <w:rFonts w:ascii="QCF_BSML" w:hAnsi="QCF_BSML" w:cs="QCF_BSML"/>
          <w:sz w:val="32"/>
          <w:szCs w:val="32"/>
          <w:rtl/>
          <w:lang w:eastAsia="en-US"/>
        </w:rPr>
        <w:t>ﭼ</w:t>
      </w:r>
      <w:r w:rsidR="00E26268">
        <w:rPr>
          <w:rFonts w:ascii="Traditional Arabic" w:hAnsi="Traditional Arabic" w:hint="cs"/>
          <w:color w:val="0D0D0D" w:themeColor="text1" w:themeTint="F2"/>
          <w:sz w:val="32"/>
          <w:szCs w:val="32"/>
          <w:rtl/>
          <w:lang w:eastAsia="en-US"/>
        </w:rPr>
        <w:t>[الكهف:69]</w:t>
      </w:r>
      <w:r w:rsidR="00E26268" w:rsidRPr="00D34A1D">
        <w:rPr>
          <w:rFonts w:ascii="QCF_P302" w:hAnsi="QCF_P302" w:cs="QCF_P302"/>
          <w:color w:val="auto"/>
          <w:sz w:val="32"/>
          <w:szCs w:val="32"/>
          <w:rtl/>
          <w:lang w:eastAsia="en-US"/>
        </w:rPr>
        <w:t xml:space="preserve"> </w:t>
      </w:r>
      <w:r w:rsidRPr="00711488">
        <w:rPr>
          <w:rFonts w:ascii="Traditional Arabic" w:hAnsi="Traditional Arabic"/>
          <w:color w:val="auto"/>
          <w:rtl/>
          <w:lang w:eastAsia="en-US"/>
        </w:rPr>
        <w:t>,</w:t>
      </w:r>
      <w:r>
        <w:rPr>
          <w:rFonts w:ascii="Arial" w:hAnsi="Arial" w:cs="Arial" w:hint="cs"/>
          <w:color w:val="9DAB0C"/>
          <w:sz w:val="27"/>
          <w:szCs w:val="27"/>
          <w:rtl/>
          <w:lang w:eastAsia="en-US"/>
        </w:rPr>
        <w:t xml:space="preserve"> </w:t>
      </w:r>
      <w:r w:rsidRPr="005C21CD">
        <w:rPr>
          <w:rtl/>
        </w:rPr>
        <w:t>ولم يصبر، فسَلِم من الكذب لوجود الاستثناء في حقه. ولا تختلف الرواية عن أحمد أنه لا يصح الاستثناء في الطلاق والع</w:t>
      </w:r>
      <w:r w:rsidRPr="005C21CD">
        <w:rPr>
          <w:rFonts w:hint="cs"/>
          <w:rtl/>
        </w:rPr>
        <w:t>ِ</w:t>
      </w:r>
      <w:r w:rsidRPr="005C21CD">
        <w:rPr>
          <w:rtl/>
        </w:rPr>
        <w:t>ت</w:t>
      </w:r>
      <w:r w:rsidRPr="005C21CD">
        <w:rPr>
          <w:rFonts w:hint="cs"/>
          <w:rtl/>
        </w:rPr>
        <w:t>َ</w:t>
      </w:r>
      <w:r w:rsidRPr="005C21CD">
        <w:rPr>
          <w:rtl/>
        </w:rPr>
        <w:t>اق</w:t>
      </w:r>
      <w:r>
        <w:rPr>
          <w:rtl/>
        </w:rPr>
        <w:t>، وأنه</w:t>
      </w:r>
      <w:r>
        <w:rPr>
          <w:rFonts w:hint="cs"/>
          <w:rtl/>
        </w:rPr>
        <w:t xml:space="preserve"> </w:t>
      </w:r>
      <w:r w:rsidRPr="005C21CD">
        <w:rPr>
          <w:rtl/>
        </w:rPr>
        <w:t>إِذا قال: أنتِ طالق إِن شاء الله، وأنتَ حُرٌّ إِن شاء الله، أن ذلك يقع، وهو قول مالك</w:t>
      </w:r>
      <w:r w:rsidRPr="005C21CD">
        <w:rPr>
          <w:rFonts w:hint="cs"/>
          <w:rtl/>
        </w:rPr>
        <w:t>.</w:t>
      </w:r>
      <w:r w:rsidRPr="005C21CD">
        <w:rPr>
          <w:rtl/>
        </w:rPr>
        <w:t xml:space="preserve"> وقال أبو حنيفة والشافعي: لا يقع شيء من ذلك</w:t>
      </w:r>
      <w:r>
        <w:rPr>
          <w:rFonts w:hint="cs"/>
          <w:rtl/>
        </w:rPr>
        <w:t>.</w:t>
      </w:r>
      <w:r w:rsidRPr="005C21CD">
        <w:rPr>
          <w:rtl/>
        </w:rPr>
        <w:t xml:space="preserve"> وأما اليمين بالله تعالى، فإن الاستثناء فيها يصح، بخلاف الطلاق، وكذلك الاستثناء في كل ما يكفِّر، كالظهار، والنذر، لأن الطلاق والعتاق لفظه لفظ إِيقاع، وإِذا علَّق به المشيئة، علمنا وجودها، لوجود لفظ الإِيقاع من جهته، بخلاف سائر الأيمان، لأنها ليست بموجبات للحكم، وإِنما تتعلق بأفعال مستقبلة. وقد اختُلف في الوقت الذي يصح فيه الاستثناء</w:t>
      </w:r>
      <w:r>
        <w:rPr>
          <w:rtl/>
        </w:rPr>
        <w:t xml:space="preserve"> على ثلاثة أقوال: أحدها: أنه لا</w:t>
      </w:r>
      <w:r>
        <w:rPr>
          <w:rFonts w:hint="cs"/>
          <w:rtl/>
        </w:rPr>
        <w:t xml:space="preserve"> </w:t>
      </w:r>
      <w:r w:rsidRPr="005C21CD">
        <w:rPr>
          <w:rtl/>
        </w:rPr>
        <w:t>يصح الاستثناء إِلا موصولاً بالكلام، وقد روي عن أحمد نحو هذا، وبه قال أكثر الفقهاء. والثاني: أنه يصح ما دام في المجلس قاله الحسن</w:t>
      </w:r>
      <w:r w:rsidRPr="005C21CD">
        <w:rPr>
          <w:rFonts w:hint="cs"/>
          <w:rtl/>
        </w:rPr>
        <w:t xml:space="preserve">, </w:t>
      </w:r>
      <w:r w:rsidRPr="005C21CD">
        <w:rPr>
          <w:rtl/>
        </w:rPr>
        <w:t>وطاوس، وعن أحمد نحوه. والثالث: أنه لو استثنى بعد سنة، جاز، قاله ابن عباس، ومجاهد، وسعيد بن جبير، وأبو العالية، وقال ابن جرير الطبري: الصواب للإنسان أن يستثني ولو بعد حنثه في يمينه، فيقول: إِن شاء الله، ليخرج بذلك مما ألزمه اللهُ في هذه الآية، فيسقط عنه الحرج، فأما الكفَّارة فلا تسقط عنه بحال، إِلا أن يكون الاستثناء موصولاً بيمينه، ومن قال: له ثُنْياه ولو بعد سنة، أراد سقوطَ الحرج الذي يلزمه بترك الاستثناء دون الكفَّارة</w:t>
      </w:r>
      <w:r w:rsidR="00832F88" w:rsidRPr="00832F88">
        <w:rPr>
          <w:rStyle w:val="ae"/>
          <w:rtl/>
        </w:rPr>
        <w:t>(</w:t>
      </w:r>
      <w:r w:rsidR="00832F88">
        <w:rPr>
          <w:rStyle w:val="ae"/>
          <w:rtl/>
        </w:rPr>
        <w:footnoteReference w:id="148"/>
      </w:r>
      <w:r w:rsidR="00832F88" w:rsidRPr="00832F88">
        <w:rPr>
          <w:rStyle w:val="ae"/>
          <w:rtl/>
        </w:rPr>
        <w:t>)</w:t>
      </w:r>
      <w:r w:rsidRPr="005C21CD">
        <w:rPr>
          <w:rtl/>
        </w:rPr>
        <w:t>.</w:t>
      </w:r>
    </w:p>
    <w:p w:rsidR="00711488" w:rsidRDefault="00D11232" w:rsidP="00832F88">
      <w:pPr>
        <w:numPr>
          <w:ilvl w:val="0"/>
          <w:numId w:val="19"/>
        </w:numPr>
        <w:spacing w:after="200" w:line="276" w:lineRule="auto"/>
        <w:ind w:left="0" w:firstLine="0"/>
        <w:contextualSpacing/>
        <w:jc w:val="lowKashida"/>
        <w:rPr>
          <w:rFonts w:ascii="Traditional Arabic" w:eastAsia="Calibri" w:hAnsi="Traditional Arabic"/>
          <w:color w:val="auto"/>
          <w:shd w:val="clear" w:color="auto" w:fill="FFFFFF"/>
        </w:rPr>
      </w:pPr>
      <w:r w:rsidRPr="00606A6E">
        <w:rPr>
          <w:rFonts w:ascii="Traditional Arabic" w:eastAsia="Calibri" w:hAnsi="Traditional Arabic"/>
          <w:color w:val="auto"/>
          <w:shd w:val="clear" w:color="auto" w:fill="FFFFFF"/>
          <w:rtl/>
        </w:rPr>
        <w:t>استنباط بعض المسائل ا</w:t>
      </w:r>
      <w:r w:rsidR="00716578">
        <w:rPr>
          <w:rFonts w:ascii="Traditional Arabic" w:eastAsia="Calibri" w:hAnsi="Traditional Arabic"/>
          <w:color w:val="auto"/>
          <w:shd w:val="clear" w:color="auto" w:fill="FFFFFF"/>
          <w:rtl/>
        </w:rPr>
        <w:t>لفقهية من الآية</w:t>
      </w:r>
      <w:r w:rsidR="00716578">
        <w:rPr>
          <w:rFonts w:ascii="Traditional Arabic" w:eastAsia="Calibri" w:hAnsi="Traditional Arabic" w:hint="cs"/>
          <w:color w:val="auto"/>
          <w:shd w:val="clear" w:color="auto" w:fill="FFFFFF"/>
          <w:rtl/>
        </w:rPr>
        <w:t>,</w:t>
      </w:r>
      <w:r w:rsidRPr="00606A6E">
        <w:rPr>
          <w:rFonts w:ascii="Traditional Arabic" w:eastAsia="Calibri" w:hAnsi="Traditional Arabic"/>
          <w:color w:val="auto"/>
          <w:shd w:val="clear" w:color="auto" w:fill="FFFFFF"/>
          <w:rtl/>
        </w:rPr>
        <w:t xml:space="preserve"> مثاله</w:t>
      </w:r>
      <w:r w:rsidR="00FB0870" w:rsidRPr="00606A6E">
        <w:rPr>
          <w:rFonts w:ascii="Traditional Arabic" w:eastAsia="Calibri" w:hAnsi="Traditional Arabic" w:hint="cs"/>
          <w:color w:val="auto"/>
          <w:shd w:val="clear" w:color="auto" w:fill="FFFFFF"/>
          <w:rtl/>
        </w:rPr>
        <w:t>:</w:t>
      </w:r>
      <w:r w:rsidR="00A62EA1" w:rsidRPr="00606A6E">
        <w:rPr>
          <w:rFonts w:ascii="Traditional Arabic" w:eastAsia="Calibri" w:hAnsi="Traditional Arabic"/>
          <w:color w:val="auto"/>
          <w:shd w:val="clear" w:color="auto" w:fill="FFFFFF"/>
          <w:rtl/>
        </w:rPr>
        <w:t xml:space="preserve"> </w:t>
      </w:r>
      <w:r w:rsidR="00A62EA1" w:rsidRPr="00606A6E">
        <w:rPr>
          <w:rFonts w:ascii="Traditional Arabic" w:hAnsi="Traditional Arabic"/>
          <w:rtl/>
        </w:rPr>
        <w:t>قال رحمه الله عند</w:t>
      </w:r>
      <w:r w:rsidR="00A62EA1" w:rsidRPr="00606A6E">
        <w:rPr>
          <w:rFonts w:ascii="Traditional Arabic" w:hAnsi="Traditional Arabic" w:hint="cs"/>
          <w:rtl/>
        </w:rPr>
        <w:t xml:space="preserve"> </w:t>
      </w:r>
      <w:r w:rsidR="00A62EA1" w:rsidRPr="00606A6E">
        <w:rPr>
          <w:rFonts w:ascii="Traditional Arabic" w:hAnsi="Traditional Arabic"/>
          <w:rtl/>
        </w:rPr>
        <w:t>قوله تعالى:</w:t>
      </w:r>
      <w:r w:rsidR="00A62EA1" w:rsidRPr="00606A6E">
        <w:rPr>
          <w:rFonts w:ascii="Traditional Arabic" w:hAnsi="Traditional Arabic"/>
          <w:rtl/>
          <w:lang w:eastAsia="en-US"/>
        </w:rPr>
        <w:t xml:space="preserve"> </w:t>
      </w:r>
      <w:r w:rsidR="00A62EA1" w:rsidRPr="00606A6E">
        <w:rPr>
          <w:rFonts w:ascii="QCF_BSML" w:hAnsi="QCF_BSML" w:cs="QCF_BSML"/>
          <w:sz w:val="32"/>
          <w:szCs w:val="32"/>
          <w:rtl/>
          <w:lang w:eastAsia="en-US"/>
        </w:rPr>
        <w:t>ﭽ</w:t>
      </w:r>
      <w:r w:rsidR="00A62EA1" w:rsidRPr="00606A6E">
        <w:rPr>
          <w:rFonts w:ascii="QCF_P290" w:hAnsi="QCF_P290" w:cs="QCF_P290"/>
          <w:sz w:val="32"/>
          <w:szCs w:val="32"/>
          <w:rtl/>
          <w:lang w:eastAsia="en-US"/>
        </w:rPr>
        <w:t xml:space="preserve">ﭴ  </w:t>
      </w:r>
      <w:r w:rsidR="00A62EA1" w:rsidRPr="00606A6E">
        <w:rPr>
          <w:rFonts w:ascii="QCF_P290" w:hAnsi="QCF_P290" w:cs="QCF_P290"/>
          <w:color w:val="auto"/>
          <w:sz w:val="32"/>
          <w:szCs w:val="32"/>
          <w:rtl/>
          <w:lang w:eastAsia="en-US"/>
        </w:rPr>
        <w:t>ﭵﭶ</w:t>
      </w:r>
      <w:r w:rsidR="00A62EA1" w:rsidRPr="00606A6E">
        <w:rPr>
          <w:rFonts w:ascii="QCF_BSML" w:hAnsi="QCF_BSML" w:cs="QCF_BSML"/>
          <w:color w:val="auto"/>
          <w:sz w:val="32"/>
          <w:szCs w:val="32"/>
          <w:rtl/>
          <w:lang w:eastAsia="en-US"/>
        </w:rPr>
        <w:t>ﭼ</w:t>
      </w:r>
      <w:r w:rsidR="00832F88" w:rsidRPr="001F3EEE">
        <w:rPr>
          <w:rFonts w:ascii="Traditional Arabic" w:hAnsi="Traditional Arabic"/>
          <w:color w:val="0D0D0D" w:themeColor="text1" w:themeTint="F2"/>
          <w:sz w:val="32"/>
          <w:szCs w:val="32"/>
          <w:rtl/>
        </w:rPr>
        <w:t>[الإسراء:</w:t>
      </w:r>
      <w:r w:rsidR="00832F88">
        <w:rPr>
          <w:rFonts w:ascii="Traditional Arabic" w:hAnsi="Traditional Arabic" w:hint="cs"/>
          <w:color w:val="0D0D0D" w:themeColor="text1" w:themeTint="F2"/>
          <w:sz w:val="32"/>
          <w:szCs w:val="32"/>
          <w:rtl/>
        </w:rPr>
        <w:t>78</w:t>
      </w:r>
      <w:r w:rsidR="00832F88" w:rsidRPr="001F3EEE">
        <w:rPr>
          <w:rFonts w:ascii="Traditional Arabic" w:hAnsi="Traditional Arabic"/>
          <w:color w:val="0D0D0D" w:themeColor="text1" w:themeTint="F2"/>
          <w:sz w:val="32"/>
          <w:szCs w:val="32"/>
          <w:rtl/>
        </w:rPr>
        <w:t>]</w:t>
      </w:r>
      <w:r w:rsidR="00832F88" w:rsidRPr="00911ED4">
        <w:rPr>
          <w:rFonts w:ascii="QCF_P291" w:hAnsi="QCF_P291" w:cs="QCF_P291"/>
          <w:sz w:val="32"/>
          <w:szCs w:val="32"/>
          <w:rtl/>
          <w:lang w:eastAsia="en-US"/>
        </w:rPr>
        <w:t xml:space="preserve"> </w:t>
      </w:r>
      <w:r w:rsidR="00832F88" w:rsidRPr="00642FD9">
        <w:rPr>
          <w:rFonts w:ascii="Traditional Arabic" w:hAnsi="Traditional Arabic"/>
          <w:rtl/>
        </w:rPr>
        <w:t xml:space="preserve"> </w:t>
      </w:r>
      <w:r w:rsidR="00A62EA1" w:rsidRPr="00606A6E">
        <w:rPr>
          <w:rFonts w:ascii="QCF_P290" w:hAnsi="QCF_P290" w:cs="QCF_P290"/>
          <w:sz w:val="32"/>
          <w:szCs w:val="32"/>
          <w:rtl/>
          <w:lang w:eastAsia="en-US"/>
        </w:rPr>
        <w:t xml:space="preserve">  </w:t>
      </w:r>
      <w:r w:rsidR="00A62EA1" w:rsidRPr="00606A6E">
        <w:rPr>
          <w:rFonts w:ascii="Traditional Arabic" w:hAnsi="Traditional Arabic" w:hint="cs"/>
          <w:rtl/>
          <w:lang w:eastAsia="en-US"/>
        </w:rPr>
        <w:t xml:space="preserve"> </w:t>
      </w:r>
      <w:r w:rsidR="00A62EA1" w:rsidRPr="00606A6E">
        <w:rPr>
          <w:rFonts w:ascii="Traditional Arabic" w:hAnsi="Traditional Arabic"/>
          <w:rtl/>
          <w:lang w:eastAsia="en-US"/>
        </w:rPr>
        <w:t>المعنى: وأقم قراءة الفجر. قال المفسرون: المراد به: صلاة الفجر</w:t>
      </w:r>
      <w:r w:rsidR="00A62EA1" w:rsidRPr="00606A6E">
        <w:rPr>
          <w:rFonts w:ascii="Traditional Arabic" w:hAnsi="Traditional Arabic" w:hint="cs"/>
          <w:rtl/>
          <w:lang w:eastAsia="en-US"/>
        </w:rPr>
        <w:t xml:space="preserve">. </w:t>
      </w:r>
      <w:r w:rsidR="00A62EA1" w:rsidRPr="00606A6E">
        <w:rPr>
          <w:rFonts w:ascii="Traditional Arabic" w:hAnsi="Traditional Arabic"/>
          <w:rtl/>
          <w:lang w:eastAsia="en-US"/>
        </w:rPr>
        <w:t>قال الزجاج: وفي هذا فائدة عظيمة تدل على أن الصلاة لا تكون إِلا بقراءة، حين</w:t>
      </w:r>
      <w:r w:rsidR="00A62EA1" w:rsidRPr="00606A6E">
        <w:rPr>
          <w:rFonts w:ascii="Traditional Arabic" w:hAnsi="Traditional Arabic" w:hint="cs"/>
          <w:rtl/>
          <w:lang w:eastAsia="en-US"/>
        </w:rPr>
        <w:t xml:space="preserve"> </w:t>
      </w:r>
      <w:r w:rsidR="00A62EA1" w:rsidRPr="00606A6E">
        <w:rPr>
          <w:rFonts w:ascii="Traditional Arabic" w:hAnsi="Traditional Arabic"/>
          <w:rtl/>
          <w:lang w:eastAsia="en-US"/>
        </w:rPr>
        <w:t>سمِّيت الصلاة قرآناً</w:t>
      </w:r>
      <w:r w:rsidR="00E26268" w:rsidRPr="00E26268">
        <w:rPr>
          <w:rStyle w:val="ae"/>
          <w:rtl/>
        </w:rPr>
        <w:t>(</w:t>
      </w:r>
      <w:r w:rsidR="00E26268">
        <w:rPr>
          <w:rStyle w:val="ae"/>
          <w:rtl/>
        </w:rPr>
        <w:footnoteReference w:id="149"/>
      </w:r>
      <w:r w:rsidR="00E26268" w:rsidRPr="00E26268">
        <w:rPr>
          <w:rStyle w:val="ae"/>
          <w:rtl/>
        </w:rPr>
        <w:t>)</w:t>
      </w:r>
      <w:r w:rsidR="00A62EA1" w:rsidRPr="00606A6E">
        <w:rPr>
          <w:rFonts w:ascii="Traditional Arabic" w:hAnsi="Traditional Arabic"/>
          <w:rtl/>
          <w:lang w:eastAsia="en-US"/>
        </w:rPr>
        <w:t>.</w:t>
      </w:r>
      <w:r w:rsidR="00A62EA1">
        <w:rPr>
          <w:rStyle w:val="ae"/>
          <w:rFonts w:hint="cs"/>
          <w:rtl/>
        </w:rPr>
        <w:t xml:space="preserve"> </w:t>
      </w:r>
      <w:r w:rsidR="00A62EA1" w:rsidRPr="00606A6E">
        <w:rPr>
          <w:rFonts w:ascii="Traditional Arabic" w:eastAsia="Calibri" w:hAnsi="Traditional Arabic" w:hint="cs"/>
          <w:color w:val="auto"/>
          <w:shd w:val="clear" w:color="auto" w:fill="FFFFFF"/>
          <w:rtl/>
        </w:rPr>
        <w:t>مثال آخر قال رحمه الله تعالى عند قوله تعالى:</w:t>
      </w:r>
      <w:r w:rsidR="00D74633" w:rsidRPr="00606A6E">
        <w:rPr>
          <w:rFonts w:ascii="QCF_BSML" w:hAnsi="QCF_BSML" w:cs="QCF_BSML"/>
          <w:color w:val="auto"/>
          <w:sz w:val="32"/>
          <w:szCs w:val="32"/>
          <w:rtl/>
          <w:lang w:eastAsia="en-US"/>
        </w:rPr>
        <w:t xml:space="preserve"> ﭽ</w:t>
      </w:r>
      <w:r w:rsidR="00D74633" w:rsidRPr="00606A6E">
        <w:rPr>
          <w:rFonts w:ascii="QCF_P296" w:hAnsi="QCF_P296" w:cs="QCF_P296"/>
          <w:color w:val="auto"/>
          <w:sz w:val="32"/>
          <w:szCs w:val="32"/>
          <w:rtl/>
          <w:lang w:eastAsia="en-US"/>
        </w:rPr>
        <w:t xml:space="preserve"> ﮚ  ﮛ  ﮜ   ﮝ   </w:t>
      </w:r>
      <w:r w:rsidR="00D74633" w:rsidRPr="00606A6E">
        <w:rPr>
          <w:rFonts w:ascii="QCF_P296" w:hAnsi="QCF_P296" w:cs="QCF_P296"/>
          <w:color w:val="auto"/>
          <w:sz w:val="32"/>
          <w:szCs w:val="32"/>
          <w:rtl/>
          <w:lang w:eastAsia="en-US"/>
        </w:rPr>
        <w:lastRenderedPageBreak/>
        <w:t xml:space="preserve">ﮞ  ﮟ  ﮠ  ﮡ  ﮢ  ﮣ  ﮤ  ﮥﮦ  </w:t>
      </w:r>
      <w:r w:rsidR="00D74633" w:rsidRPr="00606A6E">
        <w:rPr>
          <w:rFonts w:ascii="QCF_BSML" w:hAnsi="QCF_BSML" w:cs="QCF_BSML"/>
          <w:color w:val="auto"/>
          <w:sz w:val="32"/>
          <w:szCs w:val="32"/>
          <w:rtl/>
          <w:lang w:eastAsia="en-US"/>
        </w:rPr>
        <w:t>ﭼ</w:t>
      </w:r>
      <w:r w:rsidR="00832F88">
        <w:rPr>
          <w:rFonts w:ascii="Traditional Arabic" w:hAnsi="Traditional Arabic" w:hint="cs"/>
          <w:color w:val="0D0D0D" w:themeColor="text1" w:themeTint="F2"/>
          <w:sz w:val="32"/>
          <w:szCs w:val="32"/>
          <w:rtl/>
          <w:lang w:eastAsia="en-US"/>
        </w:rPr>
        <w:t>[الكهف:23-24]</w:t>
      </w:r>
      <w:r w:rsidR="00832F88" w:rsidRPr="00D34A1D">
        <w:rPr>
          <w:rFonts w:ascii="QCF_P302" w:hAnsi="QCF_P302" w:cs="QCF_P302"/>
          <w:color w:val="auto"/>
          <w:sz w:val="32"/>
          <w:szCs w:val="32"/>
          <w:rtl/>
          <w:lang w:eastAsia="en-US"/>
        </w:rPr>
        <w:t xml:space="preserve"> </w:t>
      </w:r>
      <w:r w:rsidR="00A62EA1" w:rsidRPr="00606A6E">
        <w:rPr>
          <w:rFonts w:ascii="Traditional Arabic" w:eastAsia="Calibri" w:hAnsi="Traditional Arabic" w:hint="cs"/>
          <w:color w:val="auto"/>
          <w:shd w:val="clear" w:color="auto" w:fill="FFFFFF"/>
          <w:rtl/>
        </w:rPr>
        <w:t xml:space="preserve"> </w:t>
      </w:r>
      <w:r w:rsidR="00A62EA1" w:rsidRPr="005C21CD">
        <w:rPr>
          <w:rtl/>
        </w:rPr>
        <w:t xml:space="preserve">وفائدة </w:t>
      </w:r>
      <w:r w:rsidR="00A62EA1" w:rsidRPr="005C21CD">
        <w:rPr>
          <w:rFonts w:hint="cs"/>
          <w:rtl/>
        </w:rPr>
        <w:t>الاستثناء</w:t>
      </w:r>
      <w:r w:rsidR="00A62EA1" w:rsidRPr="005C21CD">
        <w:rPr>
          <w:rtl/>
        </w:rPr>
        <w:t xml:space="preserve"> أن يخرج الحالف من الكذب إِذا لم يفعل ما حلف عليه، كقوله تعالى في قصة موسى: </w:t>
      </w:r>
      <w:r w:rsidR="00A62EA1" w:rsidRPr="00606A6E">
        <w:rPr>
          <w:rFonts w:ascii="QCF_BSML" w:hAnsi="QCF_BSML" w:cs="QCF_BSML"/>
          <w:sz w:val="32"/>
          <w:szCs w:val="32"/>
          <w:rtl/>
          <w:lang w:eastAsia="en-US"/>
        </w:rPr>
        <w:t xml:space="preserve">ﭽ </w:t>
      </w:r>
      <w:r w:rsidR="00A62EA1" w:rsidRPr="00606A6E">
        <w:rPr>
          <w:rFonts w:ascii="QCF_P301" w:hAnsi="QCF_P301" w:cs="QCF_P301"/>
          <w:sz w:val="32"/>
          <w:szCs w:val="32"/>
          <w:rtl/>
          <w:lang w:eastAsia="en-US"/>
        </w:rPr>
        <w:t xml:space="preserve">ﮩ  ﮪ     ﮫ  ﮬ  ﮭ  </w:t>
      </w:r>
      <w:r w:rsidR="00A62EA1" w:rsidRPr="00606A6E">
        <w:rPr>
          <w:rFonts w:ascii="QCF_BSML" w:hAnsi="QCF_BSML" w:cs="QCF_BSML"/>
          <w:sz w:val="32"/>
          <w:szCs w:val="32"/>
          <w:rtl/>
          <w:lang w:eastAsia="en-US"/>
        </w:rPr>
        <w:t>ﭼ</w:t>
      </w:r>
      <w:r w:rsidR="00832F88">
        <w:rPr>
          <w:rFonts w:ascii="Traditional Arabic" w:hAnsi="Traditional Arabic" w:hint="cs"/>
          <w:color w:val="0D0D0D" w:themeColor="text1" w:themeTint="F2"/>
          <w:sz w:val="32"/>
          <w:szCs w:val="32"/>
          <w:rtl/>
          <w:lang w:eastAsia="en-US"/>
        </w:rPr>
        <w:t>[الكهف:69]</w:t>
      </w:r>
      <w:r w:rsidR="00D74633" w:rsidRPr="00606A6E">
        <w:rPr>
          <w:rFonts w:ascii="Traditional Arabic" w:hAnsi="Traditional Arabic" w:hint="cs"/>
          <w:color w:val="auto"/>
          <w:sz w:val="32"/>
          <w:szCs w:val="32"/>
          <w:rtl/>
          <w:lang w:eastAsia="en-US"/>
        </w:rPr>
        <w:t xml:space="preserve">, </w:t>
      </w:r>
      <w:r w:rsidR="00D74633" w:rsidRPr="005C21CD">
        <w:rPr>
          <w:rtl/>
        </w:rPr>
        <w:t>ولم يصبر، فسَلِم من الكذب لوجود الاستثناء في حقه</w:t>
      </w:r>
      <w:r w:rsidR="00832F88" w:rsidRPr="00832F88">
        <w:rPr>
          <w:rStyle w:val="ae"/>
          <w:rtl/>
        </w:rPr>
        <w:t>(</w:t>
      </w:r>
      <w:r w:rsidR="00832F88">
        <w:rPr>
          <w:rStyle w:val="ae"/>
          <w:rtl/>
        </w:rPr>
        <w:footnoteReference w:id="150"/>
      </w:r>
      <w:r w:rsidR="00832F88" w:rsidRPr="00832F88">
        <w:rPr>
          <w:rStyle w:val="ae"/>
          <w:rtl/>
        </w:rPr>
        <w:t>)</w:t>
      </w:r>
      <w:r w:rsidR="00D74633" w:rsidRPr="005C21CD">
        <w:rPr>
          <w:rtl/>
        </w:rPr>
        <w:t>.</w:t>
      </w:r>
    </w:p>
    <w:p w:rsidR="00E26268" w:rsidRDefault="00D11232" w:rsidP="00E26268">
      <w:pPr>
        <w:numPr>
          <w:ilvl w:val="0"/>
          <w:numId w:val="19"/>
        </w:numPr>
        <w:spacing w:after="200" w:line="276" w:lineRule="auto"/>
        <w:ind w:left="0" w:firstLine="0"/>
        <w:contextualSpacing/>
        <w:jc w:val="lowKashida"/>
        <w:rPr>
          <w:rFonts w:ascii="Traditional Arabic" w:eastAsia="Calibri" w:hAnsi="Traditional Arabic"/>
          <w:color w:val="auto"/>
          <w:shd w:val="clear" w:color="auto" w:fill="FFFFFF"/>
        </w:rPr>
      </w:pPr>
      <w:r w:rsidRPr="00606A6E">
        <w:rPr>
          <w:rFonts w:ascii="Traditional Arabic" w:eastAsia="Calibri" w:hAnsi="Traditional Arabic"/>
          <w:color w:val="auto"/>
          <w:shd w:val="clear" w:color="auto" w:fill="FFFFFF"/>
          <w:rtl/>
        </w:rPr>
        <w:t>يذكر الحكم ال</w:t>
      </w:r>
      <w:r w:rsidR="00716578">
        <w:rPr>
          <w:rFonts w:ascii="Traditional Arabic" w:eastAsia="Calibri" w:hAnsi="Traditional Arabic"/>
          <w:color w:val="auto"/>
          <w:shd w:val="clear" w:color="auto" w:fill="FFFFFF"/>
          <w:rtl/>
        </w:rPr>
        <w:t>فقهي ثم يتعرض للحكمة منه أحيانا</w:t>
      </w:r>
      <w:r w:rsidR="00716578">
        <w:rPr>
          <w:rFonts w:ascii="Traditional Arabic" w:eastAsia="Calibri" w:hAnsi="Traditional Arabic" w:hint="cs"/>
          <w:color w:val="auto"/>
          <w:shd w:val="clear" w:color="auto" w:fill="FFFFFF"/>
          <w:rtl/>
        </w:rPr>
        <w:t>,</w:t>
      </w:r>
      <w:r w:rsidRPr="00606A6E">
        <w:rPr>
          <w:rFonts w:ascii="Traditional Arabic" w:eastAsia="Calibri" w:hAnsi="Traditional Arabic"/>
          <w:color w:val="auto"/>
          <w:shd w:val="clear" w:color="auto" w:fill="FFFFFF"/>
          <w:rtl/>
        </w:rPr>
        <w:t xml:space="preserve"> مثاله</w:t>
      </w:r>
      <w:r w:rsidR="00716578">
        <w:rPr>
          <w:rFonts w:ascii="Traditional Arabic" w:eastAsia="Calibri" w:hAnsi="Traditional Arabic" w:hint="cs"/>
          <w:color w:val="auto"/>
          <w:shd w:val="clear" w:color="auto" w:fill="FFFFFF"/>
          <w:rtl/>
        </w:rPr>
        <w:t>:</w:t>
      </w:r>
      <w:r w:rsidR="00716578" w:rsidRPr="00716578">
        <w:rPr>
          <w:rFonts w:ascii="Traditional Arabic" w:hAnsi="Traditional Arabic"/>
          <w:rtl/>
        </w:rPr>
        <w:t xml:space="preserve"> </w:t>
      </w:r>
      <w:r w:rsidR="00716578" w:rsidRPr="00606A6E">
        <w:rPr>
          <w:rFonts w:ascii="Traditional Arabic" w:hAnsi="Traditional Arabic"/>
          <w:rtl/>
        </w:rPr>
        <w:t>قال رحمه الله عند</w:t>
      </w:r>
      <w:r w:rsidR="00606A6E">
        <w:rPr>
          <w:rFonts w:ascii="Traditional Arabic" w:eastAsia="Calibri" w:hAnsi="Traditional Arabic" w:hint="cs"/>
          <w:color w:val="auto"/>
          <w:shd w:val="clear" w:color="auto" w:fill="FFFFFF"/>
          <w:rtl/>
        </w:rPr>
        <w:t xml:space="preserve"> </w:t>
      </w:r>
      <w:r w:rsidR="00606A6E" w:rsidRPr="002E6E7F">
        <w:rPr>
          <w:rtl/>
        </w:rPr>
        <w:t xml:space="preserve">قوله تعالى: </w:t>
      </w:r>
      <w:r w:rsidR="00606A6E" w:rsidRPr="00606A6E">
        <w:rPr>
          <w:rFonts w:ascii="QCF_BSML" w:hAnsi="QCF_BSML" w:cs="QCF_BSML"/>
          <w:sz w:val="32"/>
          <w:szCs w:val="32"/>
          <w:rtl/>
          <w:lang w:eastAsia="en-US"/>
        </w:rPr>
        <w:t>ﭽ</w:t>
      </w:r>
      <w:r w:rsidR="00606A6E" w:rsidRPr="00606A6E">
        <w:rPr>
          <w:rFonts w:ascii="QCF_P290" w:hAnsi="QCF_P290" w:cs="QCF_P290"/>
          <w:sz w:val="32"/>
          <w:szCs w:val="32"/>
          <w:rtl/>
          <w:lang w:eastAsia="en-US"/>
        </w:rPr>
        <w:t>ﮁ  ﮂ</w:t>
      </w:r>
      <w:r w:rsidR="00606A6E" w:rsidRPr="00606A6E">
        <w:rPr>
          <w:rFonts w:ascii="QCF_BSML" w:hAnsi="QCF_BSML" w:cs="QCF_BSML"/>
          <w:sz w:val="32"/>
          <w:szCs w:val="32"/>
          <w:rtl/>
          <w:lang w:eastAsia="en-US"/>
        </w:rPr>
        <w:t xml:space="preserve"> ﭼ</w:t>
      </w:r>
      <w:r w:rsidR="00606A6E" w:rsidRPr="00127861">
        <w:rPr>
          <w:rtl/>
        </w:rPr>
        <w:t xml:space="preserve"> </w:t>
      </w:r>
      <w:r w:rsidR="00832F88" w:rsidRPr="001F3EEE">
        <w:rPr>
          <w:rFonts w:ascii="Traditional Arabic" w:hAnsi="Traditional Arabic"/>
          <w:color w:val="0D0D0D" w:themeColor="text1" w:themeTint="F2"/>
          <w:sz w:val="32"/>
          <w:szCs w:val="32"/>
          <w:rtl/>
        </w:rPr>
        <w:t>[الإسراء:</w:t>
      </w:r>
      <w:r w:rsidR="00832F88">
        <w:rPr>
          <w:rFonts w:ascii="Traditional Arabic" w:hAnsi="Traditional Arabic" w:hint="cs"/>
          <w:color w:val="0D0D0D" w:themeColor="text1" w:themeTint="F2"/>
          <w:sz w:val="32"/>
          <w:szCs w:val="32"/>
          <w:rtl/>
        </w:rPr>
        <w:t>79</w:t>
      </w:r>
      <w:r w:rsidR="00832F88" w:rsidRPr="001F3EEE">
        <w:rPr>
          <w:rFonts w:ascii="Traditional Arabic" w:hAnsi="Traditional Arabic"/>
          <w:color w:val="0D0D0D" w:themeColor="text1" w:themeTint="F2"/>
          <w:sz w:val="32"/>
          <w:szCs w:val="32"/>
          <w:rtl/>
        </w:rPr>
        <w:t>]</w:t>
      </w:r>
      <w:r w:rsidR="00832F88" w:rsidRPr="00911ED4">
        <w:rPr>
          <w:rFonts w:ascii="QCF_P291" w:hAnsi="QCF_P291" w:cs="QCF_P291"/>
          <w:sz w:val="32"/>
          <w:szCs w:val="32"/>
          <w:rtl/>
          <w:lang w:eastAsia="en-US"/>
        </w:rPr>
        <w:t xml:space="preserve"> </w:t>
      </w:r>
      <w:r w:rsidR="00832F88" w:rsidRPr="00606A6E">
        <w:rPr>
          <w:rFonts w:ascii="Traditional Arabic" w:hAnsi="Traditional Arabic" w:hint="cs"/>
          <w:rtl/>
          <w:lang w:eastAsia="en-US"/>
        </w:rPr>
        <w:t xml:space="preserve"> </w:t>
      </w:r>
      <w:r w:rsidR="00606A6E" w:rsidRPr="002E6E7F">
        <w:rPr>
          <w:rtl/>
        </w:rPr>
        <w:t>النافلة في اللغة: ما كان زائداً على الأصل. وفي معنى هذه الزيادة في حقه قولان: أحدهما: أنها زائدة فيما فُرِض عليه، فيكون المعنى:</w:t>
      </w:r>
      <w:r w:rsidR="00606A6E">
        <w:rPr>
          <w:rFonts w:hint="cs"/>
          <w:rtl/>
        </w:rPr>
        <w:t xml:space="preserve"> </w:t>
      </w:r>
      <w:r w:rsidR="00606A6E" w:rsidRPr="002E6E7F">
        <w:rPr>
          <w:rtl/>
        </w:rPr>
        <w:t>فريضة عليك، وكان قد فرض عليه قيام الليل، هذا قول ابن عباس، وسعيد بن جبير. والثاني: أنها زائدة على الفرض، وليست فرضاً فالمعنى: تطوعاً وفضيلة. قال أبو أُمامة، والحسن، ومجاهد: إنما النّافلة للنبيّ صلى الله عليه وسلّم خاصة</w:t>
      </w:r>
      <w:r w:rsidR="00606A6E">
        <w:rPr>
          <w:rFonts w:hint="cs"/>
          <w:rtl/>
        </w:rPr>
        <w:t>.</w:t>
      </w:r>
      <w:r w:rsidR="00606A6E" w:rsidRPr="002E6E7F">
        <w:rPr>
          <w:rtl/>
        </w:rPr>
        <w:t xml:space="preserve"> قال مجاهد: وذلك أنه قد غُفِرَ له ما تقدم من ذنبه وما تأخر، فما زاد على فرضه فهو نافلة له وفضيلة، وهو لغيره كفارة</w:t>
      </w:r>
      <w:r w:rsidR="00832F88" w:rsidRPr="00832F88">
        <w:rPr>
          <w:rStyle w:val="ae"/>
          <w:rFonts w:eastAsia="Calibri"/>
          <w:rtl/>
        </w:rPr>
        <w:t>(</w:t>
      </w:r>
      <w:r w:rsidR="00832F88">
        <w:rPr>
          <w:rStyle w:val="ae"/>
          <w:rFonts w:eastAsia="Calibri"/>
          <w:rtl/>
        </w:rPr>
        <w:footnoteReference w:id="151"/>
      </w:r>
      <w:r w:rsidR="00832F88" w:rsidRPr="00832F88">
        <w:rPr>
          <w:rStyle w:val="ae"/>
          <w:rFonts w:eastAsia="Calibri"/>
          <w:rtl/>
        </w:rPr>
        <w:t>)</w:t>
      </w:r>
      <w:r w:rsidR="00606A6E">
        <w:rPr>
          <w:rFonts w:ascii="Traditional Arabic" w:eastAsia="Calibri" w:hAnsi="Traditional Arabic" w:hint="cs"/>
          <w:color w:val="auto"/>
          <w:shd w:val="clear" w:color="auto" w:fill="FFFFFF"/>
          <w:rtl/>
        </w:rPr>
        <w:t xml:space="preserve">. </w:t>
      </w:r>
    </w:p>
    <w:p w:rsidR="00E26268" w:rsidRPr="000534B5" w:rsidRDefault="00E26268" w:rsidP="000534B5">
      <w:pPr>
        <w:pStyle w:val="afd"/>
        <w:numPr>
          <w:ilvl w:val="0"/>
          <w:numId w:val="33"/>
        </w:numPr>
        <w:spacing w:after="200" w:line="276" w:lineRule="auto"/>
        <w:jc w:val="lowKashida"/>
        <w:rPr>
          <w:rFonts w:ascii="Traditional Arabic" w:eastAsia="Calibri" w:hAnsi="Traditional Arabic" w:cs="Traditional Arabic"/>
          <w:sz w:val="36"/>
          <w:szCs w:val="36"/>
          <w:shd w:val="clear" w:color="auto" w:fill="FFFFFF"/>
        </w:rPr>
      </w:pPr>
      <w:r w:rsidRPr="00606A6E">
        <w:rPr>
          <w:rFonts w:ascii="Traditional Arabic" w:eastAsia="Calibri" w:hAnsi="Traditional Arabic" w:cs="Traditional Arabic"/>
          <w:sz w:val="36"/>
          <w:szCs w:val="36"/>
          <w:shd w:val="clear" w:color="auto" w:fill="FFFFFF"/>
          <w:rtl/>
        </w:rPr>
        <w:t xml:space="preserve">رابعا: </w:t>
      </w:r>
      <w:r w:rsidRPr="00272AC1">
        <w:rPr>
          <w:rFonts w:ascii="Traditional Arabic" w:eastAsia="Calibri" w:hAnsi="Traditional Arabic" w:cs="Traditional Arabic"/>
          <w:sz w:val="36"/>
          <w:szCs w:val="36"/>
          <w:shd w:val="clear" w:color="auto" w:fill="FFFFFF"/>
          <w:rtl/>
        </w:rPr>
        <w:t>منهجه في ذكر بعض أنواع علوم القرآن:</w:t>
      </w:r>
    </w:p>
    <w:p w:rsidR="00716578" w:rsidRPr="00E26268" w:rsidRDefault="00D11232" w:rsidP="000534B5">
      <w:pPr>
        <w:numPr>
          <w:ilvl w:val="0"/>
          <w:numId w:val="19"/>
        </w:numPr>
        <w:spacing w:after="200" w:line="276" w:lineRule="auto"/>
        <w:ind w:left="0" w:firstLine="0"/>
        <w:contextualSpacing/>
        <w:jc w:val="lowKashida"/>
        <w:rPr>
          <w:rFonts w:ascii="Traditional Arabic" w:eastAsia="Calibri" w:hAnsi="Traditional Arabic"/>
          <w:color w:val="auto"/>
          <w:shd w:val="clear" w:color="auto" w:fill="FFFFFF"/>
          <w:rtl/>
        </w:rPr>
      </w:pPr>
      <w:r w:rsidRPr="00E26268">
        <w:rPr>
          <w:rFonts w:ascii="Traditional Arabic" w:eastAsia="Calibri" w:hAnsi="Traditional Arabic"/>
          <w:shd w:val="clear" w:color="auto" w:fill="FFFFFF"/>
          <w:rtl/>
        </w:rPr>
        <w:t>ذكره للقراءات الق</w:t>
      </w:r>
      <w:r w:rsidR="00606A6E" w:rsidRPr="00E26268">
        <w:rPr>
          <w:rFonts w:ascii="Traditional Arabic" w:eastAsia="Calibri" w:hAnsi="Traditional Arabic"/>
          <w:shd w:val="clear" w:color="auto" w:fill="FFFFFF"/>
          <w:rtl/>
        </w:rPr>
        <w:t>رآنية: امتلأ تفسير ابن الجوزي (</w:t>
      </w:r>
      <w:r w:rsidRPr="00E26268">
        <w:rPr>
          <w:rFonts w:ascii="Traditional Arabic" w:eastAsia="Calibri" w:hAnsi="Traditional Arabic"/>
          <w:shd w:val="clear" w:color="auto" w:fill="FFFFFF"/>
          <w:rtl/>
        </w:rPr>
        <w:t>زاد المسير) بذكر القراءات بنوعيها المتواترة و الشاذة فقد تجاوز القراء المعروفين السبعة أو العشرة أو الأربعة عشر إلى قراء الصحابة والتابعين في اتجاه العلو، وإلى من أخذ عن تلامذة القراء المعروفين في اتجاه النزول وأما منهجه في ذكر هذه القراءات فهو على ضربين: الأول: إذا كانت القراءة سبعية أو ممزوجة بها قدمها على تفسير معنى الآية. مثاله:</w:t>
      </w:r>
      <w:r w:rsidR="00716578" w:rsidRPr="00E26268">
        <w:rPr>
          <w:rFonts w:ascii="Traditional Arabic" w:hAnsi="Traditional Arabic"/>
          <w:rtl/>
        </w:rPr>
        <w:t xml:space="preserve"> قال رحمه الله عند قوله تعالى: </w:t>
      </w:r>
      <w:r w:rsidR="00716578" w:rsidRPr="00E26268">
        <w:rPr>
          <w:rFonts w:ascii="QCF_BSML" w:hAnsi="QCF_BSML" w:cs="QCF_BSML"/>
          <w:sz w:val="32"/>
          <w:szCs w:val="32"/>
          <w:rtl/>
          <w:lang w:eastAsia="en-US"/>
        </w:rPr>
        <w:t>ﭽ</w:t>
      </w:r>
      <w:r w:rsidR="000534B5">
        <w:rPr>
          <w:rFonts w:ascii="QCF_BSML" w:hAnsi="QCF_BSML" w:cs="QCF_BSML" w:hint="cs"/>
          <w:sz w:val="32"/>
          <w:szCs w:val="32"/>
          <w:rtl/>
          <w:lang w:eastAsia="en-US"/>
        </w:rPr>
        <w:t xml:space="preserve"> </w:t>
      </w:r>
      <w:r w:rsidR="00716578" w:rsidRPr="00E26268">
        <w:rPr>
          <w:rFonts w:ascii="QCF_P291" w:hAnsi="QCF_P291" w:cs="QCF_P291"/>
          <w:sz w:val="32"/>
          <w:szCs w:val="32"/>
          <w:rtl/>
          <w:lang w:eastAsia="en-US"/>
        </w:rPr>
        <w:t>ﮜ</w:t>
      </w:r>
      <w:r w:rsidR="000534B5">
        <w:rPr>
          <w:rFonts w:ascii="QCF_BSML" w:hAnsi="QCF_BSML" w:cs="QCF_BSML" w:hint="cs"/>
          <w:sz w:val="32"/>
          <w:szCs w:val="32"/>
          <w:rtl/>
          <w:lang w:eastAsia="en-US"/>
        </w:rPr>
        <w:t xml:space="preserve"> </w:t>
      </w:r>
      <w:r w:rsidR="00716578" w:rsidRPr="00E26268">
        <w:rPr>
          <w:rFonts w:ascii="QCF_BSML" w:hAnsi="QCF_BSML" w:cs="QCF_BSML"/>
          <w:sz w:val="32"/>
          <w:szCs w:val="32"/>
          <w:rtl/>
          <w:lang w:eastAsia="en-US"/>
        </w:rPr>
        <w:t>ﭼ</w:t>
      </w:r>
      <w:r w:rsidR="000534B5">
        <w:rPr>
          <w:rFonts w:ascii="QCF_BSML" w:hAnsi="QCF_BSML" w:cs="QCF_BSML" w:hint="cs"/>
          <w:sz w:val="32"/>
          <w:szCs w:val="32"/>
          <w:rtl/>
          <w:lang w:eastAsia="en-US"/>
        </w:rPr>
        <w:t xml:space="preserve"> </w:t>
      </w:r>
      <w:r w:rsidR="00832F88" w:rsidRPr="00E26268">
        <w:rPr>
          <w:rFonts w:ascii="Traditional Arabic" w:hAnsi="Traditional Arabic"/>
          <w:color w:val="0D0D0D" w:themeColor="text1" w:themeTint="F2"/>
          <w:sz w:val="32"/>
          <w:szCs w:val="32"/>
          <w:rtl/>
        </w:rPr>
        <w:t>[الإسراء:</w:t>
      </w:r>
      <w:r w:rsidR="000534B5">
        <w:rPr>
          <w:rFonts w:ascii="Traditional Arabic" w:hAnsi="Traditional Arabic" w:hint="cs"/>
          <w:color w:val="0D0D0D" w:themeColor="text1" w:themeTint="F2"/>
          <w:sz w:val="32"/>
          <w:szCs w:val="32"/>
          <w:rtl/>
        </w:rPr>
        <w:t>92</w:t>
      </w:r>
      <w:r w:rsidR="00832F88" w:rsidRPr="00E26268">
        <w:rPr>
          <w:rFonts w:ascii="Traditional Arabic" w:hAnsi="Traditional Arabic"/>
          <w:color w:val="0D0D0D" w:themeColor="text1" w:themeTint="F2"/>
          <w:sz w:val="32"/>
          <w:szCs w:val="32"/>
          <w:rtl/>
        </w:rPr>
        <w:t>]</w:t>
      </w:r>
      <w:r w:rsidR="00832F88" w:rsidRPr="00E26268">
        <w:rPr>
          <w:rFonts w:ascii="Traditional Arabic" w:hAnsi="Traditional Arabic"/>
          <w:sz w:val="32"/>
          <w:szCs w:val="32"/>
          <w:rtl/>
          <w:lang w:eastAsia="en-US"/>
        </w:rPr>
        <w:t xml:space="preserve"> </w:t>
      </w:r>
      <w:r w:rsidR="00716578" w:rsidRPr="00E26268">
        <w:rPr>
          <w:rFonts w:ascii="Traditional Arabic" w:hAnsi="Traditional Arabic"/>
          <w:rtl/>
        </w:rPr>
        <w:t xml:space="preserve">قرأ ابن كثير، وأبو عمرو، وحمزة، والكسائي: «كِسْفاً» بتسكين السين في جميع القرآن إِلا في الروم؛ فإنهم حرَّكوا السين. وقرأ نافع، وأبو بكر عن عاصم بتحريك السين في الموضعين، وفي باقي </w:t>
      </w:r>
      <w:r w:rsidR="00716578" w:rsidRPr="00E26268">
        <w:rPr>
          <w:rFonts w:ascii="Traditional Arabic" w:hAnsi="Traditional Arabic"/>
          <w:rtl/>
        </w:rPr>
        <w:lastRenderedPageBreak/>
        <w:t>القرآن بالتّسكين. وقرأ ابن عامر ها هنا بفتح السين، وفي باقي القرآن بتسكينها</w:t>
      </w:r>
      <w:r w:rsidR="00716578" w:rsidRPr="00E26268">
        <w:rPr>
          <w:rStyle w:val="ae"/>
          <w:rFonts w:ascii="Traditional Arabic" w:hAnsi="Traditional Arabic"/>
          <w:rtl/>
        </w:rPr>
        <w:t>(</w:t>
      </w:r>
      <w:r w:rsidR="00716578" w:rsidRPr="00272AC1">
        <w:rPr>
          <w:rStyle w:val="ae"/>
          <w:rFonts w:ascii="Traditional Arabic" w:hAnsi="Traditional Arabic"/>
          <w:rtl/>
        </w:rPr>
        <w:footnoteReference w:id="152"/>
      </w:r>
      <w:r w:rsidR="00716578" w:rsidRPr="00E26268">
        <w:rPr>
          <w:rStyle w:val="ae"/>
          <w:rFonts w:ascii="Traditional Arabic" w:hAnsi="Traditional Arabic"/>
          <w:rtl/>
        </w:rPr>
        <w:t>)</w:t>
      </w:r>
      <w:r w:rsidR="00716578" w:rsidRPr="00E26268">
        <w:rPr>
          <w:rFonts w:ascii="Traditional Arabic" w:hAnsi="Traditional Arabic"/>
          <w:rtl/>
        </w:rPr>
        <w:t xml:space="preserve">. </w:t>
      </w:r>
      <w:r w:rsidRPr="00E26268">
        <w:rPr>
          <w:rFonts w:ascii="Traditional Arabic" w:eastAsia="Calibri" w:hAnsi="Traditional Arabic"/>
          <w:shd w:val="clear" w:color="auto" w:fill="FFFFFF"/>
          <w:rtl/>
        </w:rPr>
        <w:t>أما الضرب الثاني: إن كانت القراءة خارجة عن السبعة فهو يؤخرها في الغالب إلى فراغه من تفسير الآية المعينة، وحينئذ يوردها. مثاله:</w:t>
      </w:r>
      <w:r w:rsidR="00716578" w:rsidRPr="00E26268">
        <w:rPr>
          <w:rFonts w:ascii="Traditional Arabic" w:hAnsi="Traditional Arabic"/>
          <w:rtl/>
        </w:rPr>
        <w:t xml:space="preserve"> قال رحمه الله عند</w:t>
      </w:r>
      <w:r w:rsidRPr="00E26268">
        <w:rPr>
          <w:rFonts w:ascii="Traditional Arabic" w:eastAsia="Calibri" w:hAnsi="Traditional Arabic"/>
          <w:shd w:val="clear" w:color="auto" w:fill="FFFFFF"/>
          <w:rtl/>
        </w:rPr>
        <w:t xml:space="preserve"> قوله</w:t>
      </w:r>
      <w:r w:rsidR="00716578" w:rsidRPr="00E26268">
        <w:rPr>
          <w:rFonts w:ascii="Traditional Arabic" w:hAnsi="Traditional Arabic"/>
          <w:rtl/>
        </w:rPr>
        <w:t xml:space="preserve"> تعالى:</w:t>
      </w:r>
      <w:r w:rsidR="00716578" w:rsidRPr="00E26268">
        <w:rPr>
          <w:rFonts w:ascii="Traditional Arabic" w:hAnsi="Traditional Arabic"/>
          <w:color w:val="0D0D0D" w:themeColor="text1" w:themeTint="F2"/>
          <w:rtl/>
          <w:lang w:eastAsia="en-US"/>
        </w:rPr>
        <w:t xml:space="preserve"> </w:t>
      </w:r>
      <w:r w:rsidR="00716578" w:rsidRPr="00E26268">
        <w:rPr>
          <w:rFonts w:ascii="QCF_BSML" w:hAnsi="QCF_BSML" w:cs="QCF_BSML"/>
          <w:color w:val="0D0D0D" w:themeColor="text1" w:themeTint="F2"/>
          <w:sz w:val="32"/>
          <w:szCs w:val="32"/>
          <w:rtl/>
          <w:lang w:eastAsia="en-US"/>
        </w:rPr>
        <w:t>ﭽ</w:t>
      </w:r>
      <w:r w:rsidR="00BF2E12" w:rsidRPr="00E26268">
        <w:rPr>
          <w:rFonts w:ascii="QCF_P288" w:hAnsi="QCF_P288" w:cs="QCF_P288" w:hint="cs"/>
          <w:color w:val="0D0D0D" w:themeColor="text1" w:themeTint="F2"/>
          <w:sz w:val="32"/>
          <w:szCs w:val="32"/>
          <w:rtl/>
        </w:rPr>
        <w:t xml:space="preserve"> </w:t>
      </w:r>
      <w:r w:rsidR="00716578" w:rsidRPr="00E26268">
        <w:rPr>
          <w:rFonts w:ascii="QCF_P288" w:hAnsi="QCF_P288" w:cs="QCF_P288"/>
          <w:color w:val="0D0D0D" w:themeColor="text1" w:themeTint="F2"/>
          <w:sz w:val="32"/>
          <w:szCs w:val="32"/>
          <w:rtl/>
          <w:lang w:eastAsia="en-US"/>
        </w:rPr>
        <w:t>ﯖ  ﯗ</w:t>
      </w:r>
      <w:r w:rsidR="00716578" w:rsidRPr="00E26268">
        <w:rPr>
          <w:rFonts w:ascii="QCF_BSML" w:hAnsi="QCF_BSML" w:cs="QCF_BSML"/>
          <w:color w:val="0D0D0D" w:themeColor="text1" w:themeTint="F2"/>
          <w:sz w:val="32"/>
          <w:szCs w:val="32"/>
          <w:rtl/>
          <w:lang w:eastAsia="en-US"/>
        </w:rPr>
        <w:t>ﭼ</w:t>
      </w:r>
      <w:r w:rsidR="00BF2E12" w:rsidRPr="00E26268">
        <w:rPr>
          <w:rFonts w:ascii="Traditional Arabic" w:hAnsi="Traditional Arabic"/>
          <w:color w:val="0D0D0D" w:themeColor="text1" w:themeTint="F2"/>
          <w:sz w:val="32"/>
          <w:szCs w:val="32"/>
          <w:rtl/>
        </w:rPr>
        <w:t>[الإسراء:</w:t>
      </w:r>
      <w:r w:rsidR="00BF2E12" w:rsidRPr="00E26268">
        <w:rPr>
          <w:rFonts w:ascii="Traditional Arabic" w:hAnsi="Traditional Arabic" w:hint="cs"/>
          <w:color w:val="0D0D0D" w:themeColor="text1" w:themeTint="F2"/>
          <w:sz w:val="32"/>
          <w:szCs w:val="32"/>
          <w:rtl/>
        </w:rPr>
        <w:t>64</w:t>
      </w:r>
      <w:r w:rsidR="00BF2E12" w:rsidRPr="00E26268">
        <w:rPr>
          <w:rFonts w:ascii="Traditional Arabic" w:hAnsi="Traditional Arabic"/>
          <w:color w:val="0D0D0D" w:themeColor="text1" w:themeTint="F2"/>
          <w:sz w:val="32"/>
          <w:szCs w:val="32"/>
          <w:rtl/>
        </w:rPr>
        <w:t>]</w:t>
      </w:r>
      <w:r w:rsidR="000534B5">
        <w:rPr>
          <w:rFonts w:ascii="Traditional Arabic" w:hAnsi="Traditional Arabic" w:hint="cs"/>
          <w:color w:val="0D0D0D" w:themeColor="text1" w:themeTint="F2"/>
          <w:rtl/>
          <w:lang w:eastAsia="en-US"/>
        </w:rPr>
        <w:t xml:space="preserve"> </w:t>
      </w:r>
      <w:r w:rsidR="00716578" w:rsidRPr="00E26268">
        <w:rPr>
          <w:rFonts w:ascii="Traditional Arabic" w:hAnsi="Traditional Arabic"/>
          <w:color w:val="0D0D0D" w:themeColor="text1" w:themeTint="F2"/>
          <w:rtl/>
          <w:lang w:eastAsia="en-US"/>
        </w:rPr>
        <w:t>وقرأ ابن السميفع، والجحدري: "بخيلك ورُجَّالك" برفع الراء وتشديد الجيم مفتوحةً وبألفٍ بعدها. وقرأ أبو المتوكل، وأبو الجوزاء، وعكرمة: "ورِجَالك" بكسر الراء وتخفيف الجيم مع ألف</w:t>
      </w:r>
      <w:r w:rsidR="00716578" w:rsidRPr="00E26268">
        <w:rPr>
          <w:rStyle w:val="ae"/>
          <w:rFonts w:ascii="Traditional Arabic" w:hAnsi="Traditional Arabic"/>
          <w:rtl/>
        </w:rPr>
        <w:t>(</w:t>
      </w:r>
      <w:r w:rsidR="00716578" w:rsidRPr="00272AC1">
        <w:rPr>
          <w:rStyle w:val="ae"/>
          <w:rFonts w:ascii="Traditional Arabic" w:hAnsi="Traditional Arabic"/>
          <w:rtl/>
        </w:rPr>
        <w:footnoteReference w:id="153"/>
      </w:r>
      <w:r w:rsidR="00716578" w:rsidRPr="00E26268">
        <w:rPr>
          <w:rStyle w:val="ae"/>
          <w:rFonts w:ascii="Traditional Arabic" w:hAnsi="Traditional Arabic"/>
          <w:rtl/>
        </w:rPr>
        <w:t>)</w:t>
      </w:r>
      <w:r w:rsidR="00716578" w:rsidRPr="00E26268">
        <w:rPr>
          <w:rFonts w:ascii="Traditional Arabic" w:hAnsi="Traditional Arabic"/>
          <w:color w:val="0D0D0D" w:themeColor="text1" w:themeTint="F2"/>
          <w:rtl/>
          <w:lang w:eastAsia="en-US"/>
        </w:rPr>
        <w:t xml:space="preserve">. </w:t>
      </w:r>
    </w:p>
    <w:p w:rsidR="00D11232" w:rsidRPr="00716578" w:rsidRDefault="00D11232" w:rsidP="00716578">
      <w:pPr>
        <w:numPr>
          <w:ilvl w:val="0"/>
          <w:numId w:val="21"/>
        </w:numPr>
        <w:spacing w:after="200" w:line="276" w:lineRule="auto"/>
        <w:ind w:left="0" w:firstLine="0"/>
        <w:contextualSpacing/>
        <w:jc w:val="lowKashida"/>
        <w:rPr>
          <w:rFonts w:ascii="Traditional Arabic" w:eastAsia="Calibri" w:hAnsi="Traditional Arabic"/>
          <w:color w:val="auto"/>
          <w:shd w:val="clear" w:color="auto" w:fill="FFFFFF"/>
          <w:rtl/>
        </w:rPr>
      </w:pPr>
      <w:r w:rsidRPr="00C17B7B">
        <w:rPr>
          <w:rFonts w:ascii="Traditional Arabic" w:eastAsia="Calibri" w:hAnsi="Traditional Arabic"/>
          <w:color w:val="auto"/>
          <w:shd w:val="clear" w:color="auto" w:fill="FFFFFF"/>
          <w:rtl/>
        </w:rPr>
        <w:t xml:space="preserve"> </w:t>
      </w:r>
      <w:r w:rsidRPr="00716578">
        <w:rPr>
          <w:rFonts w:ascii="Traditional Arabic" w:eastAsia="Calibri" w:hAnsi="Traditional Arabic"/>
          <w:color w:val="auto"/>
          <w:shd w:val="clear" w:color="auto" w:fill="FFFFFF"/>
          <w:rtl/>
        </w:rPr>
        <w:t>يهتم ابن الجوزي رحمه الله بتوجيه القراءات التي يذكرها. وقد ذكرنا ذلك في منهجه في التفسير اللغوي</w:t>
      </w:r>
      <w:r w:rsidR="000348B5" w:rsidRPr="000348B5">
        <w:rPr>
          <w:rStyle w:val="ae"/>
          <w:rFonts w:eastAsia="Calibri"/>
          <w:rtl/>
        </w:rPr>
        <w:t>(</w:t>
      </w:r>
      <w:r w:rsidR="000348B5">
        <w:rPr>
          <w:rStyle w:val="ae"/>
          <w:rFonts w:eastAsia="Calibri"/>
          <w:rtl/>
        </w:rPr>
        <w:footnoteReference w:id="154"/>
      </w:r>
      <w:r w:rsidR="000348B5" w:rsidRPr="000348B5">
        <w:rPr>
          <w:rStyle w:val="ae"/>
          <w:rFonts w:eastAsia="Calibri"/>
          <w:rtl/>
        </w:rPr>
        <w:t>)</w:t>
      </w:r>
      <w:r w:rsidRPr="00716578">
        <w:rPr>
          <w:rFonts w:ascii="Traditional Arabic" w:eastAsia="Calibri" w:hAnsi="Traditional Arabic"/>
          <w:color w:val="auto"/>
          <w:shd w:val="clear" w:color="auto" w:fill="FFFFFF"/>
          <w:rtl/>
        </w:rPr>
        <w:t>.</w:t>
      </w:r>
    </w:p>
    <w:p w:rsidR="00D11232" w:rsidRPr="00C17B7B" w:rsidRDefault="00BD5ED5" w:rsidP="00BD5ED5">
      <w:pPr>
        <w:numPr>
          <w:ilvl w:val="0"/>
          <w:numId w:val="21"/>
        </w:numPr>
        <w:spacing w:after="200" w:line="276" w:lineRule="auto"/>
        <w:ind w:left="0" w:firstLine="0"/>
        <w:contextualSpacing/>
        <w:jc w:val="lowKashida"/>
        <w:rPr>
          <w:rFonts w:ascii="Traditional Arabic" w:eastAsia="Calibri" w:hAnsi="Traditional Arabic"/>
          <w:color w:val="auto"/>
          <w:shd w:val="clear" w:color="auto" w:fill="FFFFFF"/>
        </w:rPr>
      </w:pPr>
      <w:r>
        <w:rPr>
          <w:rFonts w:ascii="Traditional Arabic" w:eastAsia="Calibri" w:hAnsi="Traditional Arabic"/>
          <w:color w:val="auto"/>
          <w:shd w:val="clear" w:color="auto" w:fill="FFFFFF"/>
          <w:rtl/>
        </w:rPr>
        <w:t>يرجح أحيانا بين القراءات</w:t>
      </w:r>
      <w:r w:rsidR="00D11232" w:rsidRPr="00C17B7B">
        <w:rPr>
          <w:rFonts w:ascii="Traditional Arabic" w:eastAsia="Calibri" w:hAnsi="Traditional Arabic"/>
          <w:color w:val="auto"/>
          <w:rtl/>
        </w:rPr>
        <w:t>.</w:t>
      </w:r>
      <w:r w:rsidR="00D11232" w:rsidRPr="00C17B7B">
        <w:rPr>
          <w:rFonts w:ascii="Traditional Arabic" w:eastAsia="Calibri" w:hAnsi="Traditional Arabic"/>
          <w:rtl/>
        </w:rPr>
        <w:t xml:space="preserve"> مثاله</w:t>
      </w:r>
      <w:r w:rsidR="004153CA">
        <w:rPr>
          <w:rFonts w:ascii="Traditional Arabic" w:eastAsia="Calibri" w:hAnsi="Traditional Arabic" w:hint="cs"/>
          <w:rtl/>
        </w:rPr>
        <w:t>:</w:t>
      </w:r>
      <w:r w:rsidR="004153CA" w:rsidRPr="004153CA">
        <w:rPr>
          <w:rFonts w:ascii="Traditional Arabic" w:hAnsi="Traditional Arabic"/>
          <w:rtl/>
        </w:rPr>
        <w:t xml:space="preserve"> </w:t>
      </w:r>
      <w:r w:rsidR="004153CA" w:rsidRPr="00606A6E">
        <w:rPr>
          <w:rFonts w:ascii="Traditional Arabic" w:hAnsi="Traditional Arabic"/>
          <w:rtl/>
        </w:rPr>
        <w:t>قال رحمه الله عند</w:t>
      </w:r>
      <w:r w:rsidR="004153CA">
        <w:rPr>
          <w:rFonts w:ascii="Traditional Arabic" w:eastAsia="Calibri" w:hAnsi="Traditional Arabic" w:hint="cs"/>
          <w:color w:val="auto"/>
          <w:shd w:val="clear" w:color="auto" w:fill="FFFFFF"/>
          <w:rtl/>
        </w:rPr>
        <w:t xml:space="preserve"> </w:t>
      </w:r>
      <w:r w:rsidR="004153CA" w:rsidRPr="002E6E7F">
        <w:rPr>
          <w:rtl/>
        </w:rPr>
        <w:t xml:space="preserve">قوله تعالى: </w:t>
      </w:r>
      <w:r w:rsidR="004153CA" w:rsidRPr="00911ED4">
        <w:rPr>
          <w:rFonts w:ascii="QCF_BSML" w:hAnsi="QCF_BSML" w:cs="QCF_BSML"/>
          <w:sz w:val="32"/>
          <w:szCs w:val="32"/>
          <w:rtl/>
          <w:lang w:eastAsia="en-US"/>
        </w:rPr>
        <w:t>ﭽ</w:t>
      </w:r>
      <w:r w:rsidR="00BF2E12">
        <w:rPr>
          <w:rFonts w:ascii="QCF_BSML" w:hAnsi="QCF_BSML" w:cs="QCF_BSML" w:hint="cs"/>
          <w:sz w:val="32"/>
          <w:szCs w:val="32"/>
          <w:rtl/>
          <w:lang w:eastAsia="en-US"/>
        </w:rPr>
        <w:t xml:space="preserve"> </w:t>
      </w:r>
      <w:r w:rsidR="004153CA" w:rsidRPr="00911ED4">
        <w:rPr>
          <w:rFonts w:ascii="QCF_P292" w:hAnsi="QCF_P292" w:cs="QCF_P292"/>
          <w:sz w:val="32"/>
          <w:szCs w:val="32"/>
          <w:rtl/>
          <w:lang w:eastAsia="en-US"/>
        </w:rPr>
        <w:t>ﯟ</w:t>
      </w:r>
      <w:r w:rsidR="004153CA" w:rsidRPr="00911ED4">
        <w:rPr>
          <w:rFonts w:ascii="QCF_P292" w:hAnsi="QCF_P292" w:cs="QCF_P292" w:hint="cs"/>
          <w:sz w:val="32"/>
          <w:szCs w:val="32"/>
          <w:rtl/>
          <w:lang w:eastAsia="en-US"/>
        </w:rPr>
        <w:t xml:space="preserve"> </w:t>
      </w:r>
      <w:r w:rsidR="004153CA" w:rsidRPr="00911ED4">
        <w:rPr>
          <w:rFonts w:ascii="QCF_P292" w:hAnsi="QCF_P292" w:cs="QCF_P292"/>
          <w:sz w:val="32"/>
          <w:szCs w:val="32"/>
          <w:rtl/>
          <w:lang w:eastAsia="en-US"/>
        </w:rPr>
        <w:t>ﯠ</w:t>
      </w:r>
      <w:r w:rsidR="004153CA" w:rsidRPr="00911ED4">
        <w:rPr>
          <w:rFonts w:ascii="QCF_BSML" w:hAnsi="QCF_BSML" w:cs="QCF_BSML"/>
          <w:sz w:val="32"/>
          <w:szCs w:val="32"/>
          <w:rtl/>
          <w:lang w:eastAsia="en-US"/>
        </w:rPr>
        <w:t>ﭼ</w:t>
      </w:r>
      <w:r w:rsidR="00BF2E12" w:rsidRPr="00832F88">
        <w:rPr>
          <w:rFonts w:ascii="Traditional Arabic" w:hAnsi="Traditional Arabic"/>
          <w:color w:val="0D0D0D" w:themeColor="text1" w:themeTint="F2"/>
          <w:sz w:val="32"/>
          <w:szCs w:val="32"/>
          <w:rtl/>
        </w:rPr>
        <w:t>[الإسراء:</w:t>
      </w:r>
      <w:r w:rsidR="00BF2E12">
        <w:rPr>
          <w:rFonts w:ascii="Traditional Arabic" w:hAnsi="Traditional Arabic" w:hint="cs"/>
          <w:color w:val="0D0D0D" w:themeColor="text1" w:themeTint="F2"/>
          <w:sz w:val="32"/>
          <w:szCs w:val="32"/>
          <w:rtl/>
        </w:rPr>
        <w:t>102</w:t>
      </w:r>
      <w:r w:rsidR="00BF2E12" w:rsidRPr="00832F88">
        <w:rPr>
          <w:rFonts w:ascii="Traditional Arabic" w:hAnsi="Traditional Arabic"/>
          <w:color w:val="0D0D0D" w:themeColor="text1" w:themeTint="F2"/>
          <w:sz w:val="32"/>
          <w:szCs w:val="32"/>
          <w:rtl/>
        </w:rPr>
        <w:t>]</w:t>
      </w:r>
      <w:r w:rsidR="004153CA" w:rsidRPr="00911ED4">
        <w:rPr>
          <w:rFonts w:ascii="QCF_P292" w:hAnsi="QCF_P292" w:cs="QCF_P292"/>
          <w:sz w:val="32"/>
          <w:szCs w:val="32"/>
          <w:rtl/>
          <w:lang w:eastAsia="en-US"/>
        </w:rPr>
        <w:t xml:space="preserve">  </w:t>
      </w:r>
      <w:r w:rsidR="004153CA">
        <w:rPr>
          <w:rFonts w:hint="cs"/>
          <w:rtl/>
        </w:rPr>
        <w:t xml:space="preserve"> </w:t>
      </w:r>
      <w:r w:rsidR="004153CA" w:rsidRPr="00911ED4">
        <w:rPr>
          <w:rtl/>
        </w:rPr>
        <w:t>قرأ الجمهور بفتح التاء. وقرأ علي عليه السلام بضمها، وقال: والله ما علم عدوّ الله، ولكنّ موسى هو الذي عَلِم، فبلغ ذلك ابنَ عباس، فاحتج</w:t>
      </w:r>
      <w:r w:rsidR="004153CA" w:rsidRPr="00911ED4">
        <w:rPr>
          <w:rFonts w:hint="cs"/>
          <w:rtl/>
        </w:rPr>
        <w:t xml:space="preserve"> </w:t>
      </w:r>
      <w:r w:rsidR="004153CA" w:rsidRPr="00911ED4">
        <w:rPr>
          <w:rtl/>
        </w:rPr>
        <w:t>بقوله</w:t>
      </w:r>
      <w:r w:rsidR="004153CA" w:rsidRPr="00911ED4">
        <w:rPr>
          <w:rFonts w:hint="cs"/>
          <w:rtl/>
        </w:rPr>
        <w:t xml:space="preserve"> </w:t>
      </w:r>
      <w:r w:rsidR="004153CA" w:rsidRPr="00911ED4">
        <w:rPr>
          <w:rtl/>
        </w:rPr>
        <w:t xml:space="preserve">تعالى: </w:t>
      </w:r>
      <w:r w:rsidR="004153CA" w:rsidRPr="00911ED4">
        <w:rPr>
          <w:rFonts w:ascii="QCF_BSML" w:hAnsi="QCF_BSML" w:cs="QCF_BSML"/>
          <w:sz w:val="32"/>
          <w:szCs w:val="32"/>
          <w:rtl/>
          <w:lang w:eastAsia="en-US"/>
        </w:rPr>
        <w:t>ﭽ</w:t>
      </w:r>
      <w:r w:rsidR="004153CA" w:rsidRPr="00911ED4">
        <w:rPr>
          <w:rFonts w:ascii="QCF_P378" w:hAnsi="QCF_P378" w:cs="QCF_P378"/>
          <w:sz w:val="32"/>
          <w:szCs w:val="32"/>
          <w:rtl/>
          <w:lang w:eastAsia="en-US"/>
        </w:rPr>
        <w:t>ﭑ</w:t>
      </w:r>
      <w:r w:rsidR="004153CA" w:rsidRPr="00911ED4">
        <w:rPr>
          <w:rFonts w:ascii="QCF_P378" w:hAnsi="QCF_P378" w:cs="QCF_P378" w:hint="cs"/>
          <w:sz w:val="32"/>
          <w:szCs w:val="32"/>
          <w:rtl/>
          <w:lang w:eastAsia="en-US"/>
        </w:rPr>
        <w:t xml:space="preserve">  </w:t>
      </w:r>
      <w:r w:rsidR="004153CA" w:rsidRPr="00911ED4">
        <w:rPr>
          <w:rFonts w:ascii="QCF_P378" w:hAnsi="QCF_P378" w:cs="QCF_P378"/>
          <w:sz w:val="32"/>
          <w:szCs w:val="32"/>
          <w:rtl/>
          <w:lang w:eastAsia="en-US"/>
        </w:rPr>
        <w:t>ﭒ</w:t>
      </w:r>
      <w:r w:rsidR="004153CA" w:rsidRPr="00911ED4">
        <w:rPr>
          <w:rFonts w:ascii="QCF_P378" w:hAnsi="QCF_P378" w:cs="QCF_P378" w:hint="cs"/>
          <w:sz w:val="32"/>
          <w:szCs w:val="32"/>
          <w:rtl/>
          <w:lang w:eastAsia="en-US"/>
        </w:rPr>
        <w:t xml:space="preserve"> </w:t>
      </w:r>
      <w:r w:rsidR="004153CA" w:rsidRPr="00911ED4">
        <w:rPr>
          <w:rFonts w:ascii="QCF_P378" w:hAnsi="QCF_P378" w:cs="QCF_P378"/>
          <w:sz w:val="32"/>
          <w:szCs w:val="32"/>
          <w:rtl/>
          <w:lang w:eastAsia="en-US"/>
        </w:rPr>
        <w:t>ﭓ</w:t>
      </w:r>
      <w:r w:rsidR="004153CA" w:rsidRPr="00911ED4">
        <w:rPr>
          <w:rFonts w:ascii="QCF_P378" w:hAnsi="QCF_P378" w:cs="QCF_P378" w:hint="cs"/>
          <w:sz w:val="32"/>
          <w:szCs w:val="32"/>
          <w:rtl/>
          <w:lang w:eastAsia="en-US"/>
        </w:rPr>
        <w:t xml:space="preserve">  </w:t>
      </w:r>
      <w:r w:rsidR="004153CA" w:rsidRPr="00911ED4">
        <w:rPr>
          <w:rFonts w:ascii="QCF_P378" w:hAnsi="QCF_P378" w:cs="QCF_P378"/>
          <w:sz w:val="32"/>
          <w:szCs w:val="32"/>
          <w:rtl/>
          <w:lang w:eastAsia="en-US"/>
        </w:rPr>
        <w:t>ﭔ</w:t>
      </w:r>
      <w:r w:rsidR="00BF2E12">
        <w:rPr>
          <w:rFonts w:ascii="QCF_BSML" w:hAnsi="QCF_BSML" w:cs="QCF_BSML" w:hint="cs"/>
          <w:sz w:val="32"/>
          <w:szCs w:val="32"/>
          <w:rtl/>
          <w:lang w:eastAsia="en-US"/>
        </w:rPr>
        <w:t xml:space="preserve"> </w:t>
      </w:r>
      <w:r w:rsidR="004153CA" w:rsidRPr="00911ED4">
        <w:rPr>
          <w:rFonts w:ascii="QCF_BSML" w:hAnsi="QCF_BSML" w:cs="QCF_BSML"/>
          <w:sz w:val="32"/>
          <w:szCs w:val="32"/>
          <w:rtl/>
          <w:lang w:eastAsia="en-US"/>
        </w:rPr>
        <w:t>ﭼ</w:t>
      </w:r>
      <w:r w:rsidR="004153CA" w:rsidRPr="00911ED4">
        <w:rPr>
          <w:rFonts w:ascii="QCF_BSML" w:hAnsi="QCF_BSML" w:cs="QCF_BSML" w:hint="cs"/>
          <w:sz w:val="32"/>
          <w:szCs w:val="32"/>
          <w:rtl/>
          <w:lang w:eastAsia="en-US"/>
        </w:rPr>
        <w:t xml:space="preserve"> </w:t>
      </w:r>
      <w:r w:rsidR="004153CA" w:rsidRPr="00911ED4">
        <w:rPr>
          <w:rFonts w:ascii="Traditional Arabic" w:hAnsi="Traditional Arabic" w:hint="cs"/>
          <w:color w:val="auto"/>
          <w:sz w:val="32"/>
          <w:szCs w:val="32"/>
          <w:rtl/>
          <w:lang w:eastAsia="en-US"/>
        </w:rPr>
        <w:t>[</w:t>
      </w:r>
      <w:r w:rsidR="004153CA" w:rsidRPr="00911ED4">
        <w:rPr>
          <w:rFonts w:ascii="Traditional Arabic" w:hAnsi="Traditional Arabic"/>
          <w:color w:val="auto"/>
          <w:sz w:val="32"/>
          <w:szCs w:val="32"/>
          <w:rtl/>
          <w:lang w:eastAsia="en-US"/>
        </w:rPr>
        <w:t>النمل:١٤</w:t>
      </w:r>
      <w:r w:rsidR="004153CA" w:rsidRPr="00911ED4">
        <w:rPr>
          <w:rFonts w:ascii="Traditional Arabic" w:hAnsi="Traditional Arabic" w:hint="cs"/>
          <w:color w:val="auto"/>
          <w:sz w:val="32"/>
          <w:szCs w:val="32"/>
          <w:rtl/>
          <w:lang w:eastAsia="en-US"/>
        </w:rPr>
        <w:t>]</w:t>
      </w:r>
      <w:r w:rsidR="004153CA" w:rsidRPr="00911ED4">
        <w:rPr>
          <w:rtl/>
        </w:rPr>
        <w:t>. واختار الكسائي</w:t>
      </w:r>
      <w:r w:rsidR="004153CA">
        <w:rPr>
          <w:rFonts w:hint="cs"/>
          <w:vertAlign w:val="superscript"/>
          <w:rtl/>
        </w:rPr>
        <w:t xml:space="preserve"> </w:t>
      </w:r>
      <w:r w:rsidR="004153CA" w:rsidRPr="00911ED4">
        <w:rPr>
          <w:rtl/>
        </w:rPr>
        <w:t>وثعلب</w:t>
      </w:r>
      <w:r w:rsidR="004153CA">
        <w:rPr>
          <w:rFonts w:hint="cs"/>
          <w:rtl/>
        </w:rPr>
        <w:t xml:space="preserve"> </w:t>
      </w:r>
      <w:r w:rsidR="004153CA" w:rsidRPr="00911ED4">
        <w:rPr>
          <w:rtl/>
        </w:rPr>
        <w:t>قراءة علي عليه السلام، وقد رُويت عن ابن عباس، وأبي رزين، وسعيد بن جبير، وابن يعمر. واحتج من نصرها بأنه لما نَسَبَ موسى إِلى أنه مسحور، أعلمه بصحّة عقله بقوله تعالى: «لقد علمتُ» ، والقراءة الأولى أصح، لاختيار الجمهور، ولأنه قد أبان موسى من المعجزات ما أوجب علم فرعون بصدقه، فلم يردّ عليه إِلا بالتعلل والمدافعة، فكأنه قال: لقد علمتَ بالدليل والحجة</w:t>
      </w:r>
      <w:r w:rsidR="004153CA" w:rsidRPr="00911ED4">
        <w:rPr>
          <w:rFonts w:hint="cs"/>
          <w:rtl/>
        </w:rPr>
        <w:t xml:space="preserve"> </w:t>
      </w:r>
      <w:r w:rsidR="004153CA" w:rsidRPr="00911ED4">
        <w:rPr>
          <w:rFonts w:ascii="QCF_BSML" w:hAnsi="QCF_BSML" w:cs="QCF_BSML"/>
          <w:sz w:val="32"/>
          <w:szCs w:val="32"/>
          <w:rtl/>
          <w:lang w:eastAsia="en-US"/>
        </w:rPr>
        <w:t>ﭽ</w:t>
      </w:r>
      <w:r w:rsidR="004153CA" w:rsidRPr="00911ED4">
        <w:rPr>
          <w:rFonts w:ascii="QCF_P292" w:hAnsi="QCF_P292" w:cs="QCF_P292"/>
          <w:sz w:val="32"/>
          <w:szCs w:val="32"/>
          <w:rtl/>
          <w:lang w:eastAsia="en-US"/>
        </w:rPr>
        <w:t>ﯡ  ﯢ   ﯣ</w:t>
      </w:r>
      <w:r w:rsidR="00BF2E12">
        <w:rPr>
          <w:rFonts w:ascii="QCF_P292" w:hAnsi="QCF_P292" w:cs="QCF_P292" w:hint="cs"/>
          <w:sz w:val="32"/>
          <w:szCs w:val="32"/>
          <w:rtl/>
          <w:lang w:eastAsia="en-US"/>
        </w:rPr>
        <w:t xml:space="preserve"> </w:t>
      </w:r>
      <w:r w:rsidR="004153CA" w:rsidRPr="00911ED4">
        <w:rPr>
          <w:rFonts w:ascii="QCF_BSML" w:hAnsi="QCF_BSML" w:cs="QCF_BSML"/>
          <w:sz w:val="32"/>
          <w:szCs w:val="32"/>
          <w:rtl/>
          <w:lang w:eastAsia="en-US"/>
        </w:rPr>
        <w:t>ﭼ</w:t>
      </w:r>
      <w:r w:rsidR="00BF2E12">
        <w:rPr>
          <w:rFonts w:ascii="QCF_BSML" w:hAnsi="QCF_BSML" w:cs="QCF_BSML" w:hint="cs"/>
          <w:sz w:val="32"/>
          <w:szCs w:val="32"/>
          <w:rtl/>
          <w:lang w:eastAsia="en-US"/>
        </w:rPr>
        <w:t xml:space="preserve">  </w:t>
      </w:r>
      <w:r w:rsidR="00BF2E12" w:rsidRPr="00832F88">
        <w:rPr>
          <w:rFonts w:ascii="Traditional Arabic" w:hAnsi="Traditional Arabic"/>
          <w:color w:val="0D0D0D" w:themeColor="text1" w:themeTint="F2"/>
          <w:sz w:val="32"/>
          <w:szCs w:val="32"/>
          <w:rtl/>
        </w:rPr>
        <w:t>[الإسراء:</w:t>
      </w:r>
      <w:r w:rsidR="00BF2E12">
        <w:rPr>
          <w:rFonts w:ascii="Traditional Arabic" w:hAnsi="Traditional Arabic" w:hint="cs"/>
          <w:color w:val="0D0D0D" w:themeColor="text1" w:themeTint="F2"/>
          <w:sz w:val="32"/>
          <w:szCs w:val="32"/>
          <w:rtl/>
        </w:rPr>
        <w:t>102</w:t>
      </w:r>
      <w:r w:rsidR="00BF2E12" w:rsidRPr="00832F88">
        <w:rPr>
          <w:rFonts w:ascii="Traditional Arabic" w:hAnsi="Traditional Arabic"/>
          <w:color w:val="0D0D0D" w:themeColor="text1" w:themeTint="F2"/>
          <w:sz w:val="32"/>
          <w:szCs w:val="32"/>
          <w:rtl/>
        </w:rPr>
        <w:t>]</w:t>
      </w:r>
      <w:r w:rsidR="004153CA" w:rsidRPr="00911ED4">
        <w:rPr>
          <w:rFonts w:ascii="QCF_P292" w:hAnsi="QCF_P292" w:cs="QCF_P292"/>
          <w:sz w:val="32"/>
          <w:szCs w:val="32"/>
          <w:rtl/>
          <w:lang w:eastAsia="en-US"/>
        </w:rPr>
        <w:t xml:space="preserve"> </w:t>
      </w:r>
      <w:r w:rsidR="004153CA" w:rsidRPr="00911ED4">
        <w:rPr>
          <w:rFonts w:ascii="QCF_P292" w:hAnsi="QCF_P292" w:cs="QCF_P292" w:hint="cs"/>
          <w:sz w:val="32"/>
          <w:szCs w:val="32"/>
          <w:rtl/>
          <w:lang w:eastAsia="en-US"/>
        </w:rPr>
        <w:t xml:space="preserve"> </w:t>
      </w:r>
      <w:r w:rsidR="004153CA" w:rsidRPr="00911ED4">
        <w:rPr>
          <w:rFonts w:ascii="QCF_P292" w:hAnsi="QCF_P292" w:cs="QCF_P292"/>
          <w:sz w:val="32"/>
          <w:szCs w:val="32"/>
          <w:rtl/>
          <w:lang w:eastAsia="en-US"/>
        </w:rPr>
        <w:t xml:space="preserve"> </w:t>
      </w:r>
      <w:r w:rsidR="004153CA" w:rsidRPr="00911ED4">
        <w:rPr>
          <w:rtl/>
        </w:rPr>
        <w:t>يعني الآيات</w:t>
      </w:r>
      <w:r w:rsidR="004153CA" w:rsidRPr="004153CA">
        <w:rPr>
          <w:rStyle w:val="ae"/>
          <w:rFonts w:eastAsia="Calibri"/>
          <w:rtl/>
        </w:rPr>
        <w:t>(</w:t>
      </w:r>
      <w:r w:rsidR="004153CA">
        <w:rPr>
          <w:rStyle w:val="ae"/>
          <w:rFonts w:eastAsia="Calibri"/>
          <w:rtl/>
        </w:rPr>
        <w:footnoteReference w:id="155"/>
      </w:r>
      <w:r w:rsidR="004153CA" w:rsidRPr="004153CA">
        <w:rPr>
          <w:rStyle w:val="ae"/>
          <w:rFonts w:eastAsia="Calibri"/>
          <w:rtl/>
        </w:rPr>
        <w:t>)</w:t>
      </w:r>
      <w:r w:rsidR="004153CA">
        <w:rPr>
          <w:rFonts w:ascii="Traditional Arabic" w:eastAsia="Calibri" w:hAnsi="Traditional Arabic" w:hint="cs"/>
          <w:color w:val="auto"/>
          <w:shd w:val="clear" w:color="auto" w:fill="FFFFFF"/>
          <w:rtl/>
        </w:rPr>
        <w:t>.</w:t>
      </w:r>
    </w:p>
    <w:p w:rsidR="00D11232" w:rsidRPr="006B2BAF" w:rsidRDefault="00D11232" w:rsidP="004153CA">
      <w:pPr>
        <w:numPr>
          <w:ilvl w:val="0"/>
          <w:numId w:val="21"/>
        </w:numPr>
        <w:spacing w:after="200" w:line="276" w:lineRule="auto"/>
        <w:ind w:left="0" w:firstLine="0"/>
        <w:contextualSpacing/>
        <w:jc w:val="lowKashida"/>
        <w:rPr>
          <w:rFonts w:ascii="Traditional Arabic" w:eastAsia="Calibri" w:hAnsi="Traditional Arabic"/>
          <w:color w:val="auto"/>
        </w:rPr>
      </w:pPr>
      <w:r w:rsidRPr="004153CA">
        <w:rPr>
          <w:rFonts w:ascii="Traditional Arabic" w:eastAsia="Calibri" w:hAnsi="Traditional Arabic"/>
          <w:color w:val="auto"/>
          <w:rtl/>
        </w:rPr>
        <w:lastRenderedPageBreak/>
        <w:t>يذكر ابن الجوزي أحيانا بعض فضائل السور.</w:t>
      </w:r>
      <w:r w:rsidR="004153CA" w:rsidRPr="004153CA">
        <w:rPr>
          <w:rFonts w:ascii="Traditional Arabic" w:eastAsia="Calibri" w:hAnsi="Traditional Arabic"/>
          <w:color w:val="auto"/>
          <w:rtl/>
        </w:rPr>
        <w:t xml:space="preserve"> مثاله: قال </w:t>
      </w:r>
      <w:r w:rsidR="004153CA" w:rsidRPr="004153CA">
        <w:rPr>
          <w:rFonts w:ascii="Traditional Arabic" w:hAnsi="Traditional Arabic"/>
          <w:color w:val="auto"/>
          <w:rtl/>
        </w:rPr>
        <w:t>رحمه الله  في أول سورة الكهف: وروى أبو الدّرداء</w:t>
      </w:r>
      <w:r w:rsidR="004153CA" w:rsidRPr="004153CA">
        <w:rPr>
          <w:rFonts w:ascii="Traditional Arabic" w:hAnsi="Traditional Arabic"/>
          <w:color w:val="auto"/>
          <w:vertAlign w:val="superscript"/>
          <w:rtl/>
        </w:rPr>
        <w:t xml:space="preserve"> </w:t>
      </w:r>
      <w:r w:rsidR="004153CA" w:rsidRPr="004153CA">
        <w:rPr>
          <w:rFonts w:ascii="Traditional Arabic" w:hAnsi="Traditional Arabic"/>
          <w:color w:val="auto"/>
          <w:rtl/>
        </w:rPr>
        <w:t xml:space="preserve">عن رسول الله </w:t>
      </w:r>
      <w:r w:rsidR="004153CA" w:rsidRPr="004153CA">
        <w:rPr>
          <w:rFonts w:ascii="Traditional Arabic" w:hAnsi="Traditional Arabic"/>
          <w:color w:val="auto"/>
        </w:rPr>
        <w:sym w:font="AGA Arabesque" w:char="F072"/>
      </w:r>
      <w:r w:rsidR="004153CA" w:rsidRPr="004153CA">
        <w:rPr>
          <w:rFonts w:ascii="Traditional Arabic" w:hAnsi="Traditional Arabic"/>
          <w:color w:val="auto"/>
          <w:rtl/>
        </w:rPr>
        <w:t xml:space="preserve"> أنه قال: «من حفظ عشر آيات من أوّل سورة الكهف ثم أدرك الدّجّال لم يضرّه، ومن حفظ خواتيم سورة الكهف كانت له نورا يوم القيامة»</w:t>
      </w:r>
      <w:r w:rsidR="00BF2E12" w:rsidRPr="00BF2E12">
        <w:rPr>
          <w:rStyle w:val="ae"/>
          <w:rtl/>
        </w:rPr>
        <w:t>(</w:t>
      </w:r>
      <w:r w:rsidR="00BF2E12">
        <w:rPr>
          <w:rStyle w:val="ae"/>
          <w:rtl/>
        </w:rPr>
        <w:footnoteReference w:id="156"/>
      </w:r>
      <w:r w:rsidR="00BF2E12" w:rsidRPr="00BF2E12">
        <w:rPr>
          <w:rStyle w:val="ae"/>
          <w:rtl/>
        </w:rPr>
        <w:t>)</w:t>
      </w:r>
      <w:r w:rsidR="004153CA" w:rsidRPr="004153CA">
        <w:rPr>
          <w:rFonts w:ascii="Traditional Arabic" w:hAnsi="Traditional Arabic"/>
          <w:color w:val="auto"/>
          <w:rtl/>
        </w:rPr>
        <w:t>.</w:t>
      </w:r>
    </w:p>
    <w:p w:rsidR="00D11232" w:rsidRPr="006B2BAF" w:rsidRDefault="00D11232" w:rsidP="00BF2E12">
      <w:pPr>
        <w:numPr>
          <w:ilvl w:val="0"/>
          <w:numId w:val="21"/>
        </w:numPr>
        <w:spacing w:after="200" w:line="276" w:lineRule="auto"/>
        <w:ind w:left="0" w:firstLine="0"/>
        <w:contextualSpacing/>
        <w:jc w:val="lowKashida"/>
        <w:rPr>
          <w:rFonts w:ascii="Traditional Arabic" w:eastAsia="Calibri" w:hAnsi="Traditional Arabic"/>
          <w:color w:val="auto"/>
        </w:rPr>
      </w:pPr>
      <w:r w:rsidRPr="006B2BAF">
        <w:rPr>
          <w:rFonts w:ascii="Traditional Arabic" w:eastAsia="Calibri" w:hAnsi="Traditional Arabic"/>
          <w:color w:val="auto"/>
          <w:rtl/>
        </w:rPr>
        <w:t>يهتم بذكر أسباب النزول دون أن يعقب عليها بتصحيح أو تضعيف في الغالب مثاله: في قوله تعالى:</w:t>
      </w:r>
      <w:r w:rsidR="006B2BAF" w:rsidRPr="006B2BAF">
        <w:rPr>
          <w:color w:val="0D0D0D" w:themeColor="text1" w:themeTint="F2"/>
          <w:sz w:val="44"/>
          <w:rtl/>
        </w:rPr>
        <w:t xml:space="preserve"> </w:t>
      </w:r>
      <w:r w:rsidR="006B2BAF" w:rsidRPr="006B2BAF">
        <w:rPr>
          <w:rFonts w:ascii="QCF_BSML" w:hAnsi="QCF_BSML" w:cs="QCF_BSML"/>
          <w:color w:val="0D0D0D" w:themeColor="text1" w:themeTint="F2"/>
          <w:sz w:val="32"/>
          <w:szCs w:val="32"/>
          <w:rtl/>
          <w:lang w:eastAsia="en-US"/>
        </w:rPr>
        <w:t xml:space="preserve">ﭽ </w:t>
      </w:r>
      <w:r w:rsidR="006B2BAF" w:rsidRPr="006B2BAF">
        <w:rPr>
          <w:rFonts w:ascii="QCF_P288" w:hAnsi="QCF_P288" w:cs="QCF_P288"/>
          <w:color w:val="0D0D0D" w:themeColor="text1" w:themeTint="F2"/>
          <w:sz w:val="32"/>
          <w:szCs w:val="32"/>
          <w:rtl/>
          <w:lang w:eastAsia="en-US"/>
        </w:rPr>
        <w:t>ﭑ ﭒ ﭓ ﭔ ﭕ</w:t>
      </w:r>
      <w:r w:rsidR="006B2BAF">
        <w:rPr>
          <w:rFonts w:ascii="QCF_BSML" w:hAnsi="QCF_BSML" w:cs="QCF_BSML" w:hint="cs"/>
          <w:color w:val="0D0D0D" w:themeColor="text1" w:themeTint="F2"/>
          <w:sz w:val="32"/>
          <w:szCs w:val="32"/>
          <w:rtl/>
          <w:lang w:eastAsia="en-US"/>
        </w:rPr>
        <w:t xml:space="preserve"> </w:t>
      </w:r>
      <w:r w:rsidR="006B2BAF" w:rsidRPr="006B2BAF">
        <w:rPr>
          <w:rFonts w:ascii="QCF_BSML" w:hAnsi="QCF_BSML" w:cs="QCF_BSML"/>
          <w:color w:val="0D0D0D" w:themeColor="text1" w:themeTint="F2"/>
          <w:sz w:val="32"/>
          <w:szCs w:val="32"/>
          <w:rtl/>
          <w:lang w:eastAsia="en-US"/>
        </w:rPr>
        <w:t>ﭼ</w:t>
      </w:r>
      <w:r w:rsidR="00BF2E12">
        <w:rPr>
          <w:rFonts w:ascii="QCF_BSML" w:hAnsi="QCF_BSML" w:cs="QCF_BSML" w:hint="cs"/>
          <w:color w:val="0D0D0D" w:themeColor="text1" w:themeTint="F2"/>
          <w:sz w:val="32"/>
          <w:szCs w:val="32"/>
          <w:rtl/>
          <w:lang w:eastAsia="en-US"/>
        </w:rPr>
        <w:t xml:space="preserve">   </w:t>
      </w:r>
      <w:r w:rsidR="00BF2E12" w:rsidRPr="00832F88">
        <w:rPr>
          <w:rFonts w:ascii="Traditional Arabic" w:hAnsi="Traditional Arabic"/>
          <w:color w:val="0D0D0D" w:themeColor="text1" w:themeTint="F2"/>
          <w:sz w:val="32"/>
          <w:szCs w:val="32"/>
          <w:rtl/>
        </w:rPr>
        <w:t>[الإسراء:</w:t>
      </w:r>
      <w:r w:rsidR="00BF2E12">
        <w:rPr>
          <w:rFonts w:ascii="Traditional Arabic" w:hAnsi="Traditional Arabic" w:hint="cs"/>
          <w:color w:val="0D0D0D" w:themeColor="text1" w:themeTint="F2"/>
          <w:sz w:val="32"/>
          <w:szCs w:val="32"/>
          <w:rtl/>
        </w:rPr>
        <w:t>59</w:t>
      </w:r>
      <w:r w:rsidR="00BF2E12" w:rsidRPr="00832F88">
        <w:rPr>
          <w:rFonts w:ascii="Traditional Arabic" w:hAnsi="Traditional Arabic"/>
          <w:color w:val="0D0D0D" w:themeColor="text1" w:themeTint="F2"/>
          <w:sz w:val="32"/>
          <w:szCs w:val="32"/>
          <w:rtl/>
        </w:rPr>
        <w:t>]</w:t>
      </w:r>
      <w:r w:rsidR="006B2BAF" w:rsidRPr="006B2BAF">
        <w:rPr>
          <w:rFonts w:ascii="Traditional Arabic" w:eastAsia="Calibri" w:hAnsi="Traditional Arabic"/>
          <w:color w:val="auto"/>
          <w:rtl/>
        </w:rPr>
        <w:t xml:space="preserve"> </w:t>
      </w:r>
      <w:r w:rsidR="006B2BAF" w:rsidRPr="004153CA">
        <w:rPr>
          <w:rFonts w:ascii="Traditional Arabic" w:eastAsia="Calibri" w:hAnsi="Traditional Arabic"/>
          <w:color w:val="auto"/>
          <w:rtl/>
        </w:rPr>
        <w:t xml:space="preserve">قال </w:t>
      </w:r>
      <w:r w:rsidR="006B2BAF" w:rsidRPr="004153CA">
        <w:rPr>
          <w:rFonts w:ascii="Traditional Arabic" w:hAnsi="Traditional Arabic"/>
          <w:color w:val="auto"/>
          <w:rtl/>
        </w:rPr>
        <w:t>رحمه الله</w:t>
      </w:r>
      <w:r w:rsidR="006B2BAF">
        <w:rPr>
          <w:rFonts w:ascii="Traditional Arabic" w:hAnsi="Traditional Arabic" w:hint="cs"/>
          <w:color w:val="auto"/>
          <w:rtl/>
        </w:rPr>
        <w:t>:</w:t>
      </w:r>
      <w:r w:rsidR="006B2BAF" w:rsidRPr="004153CA">
        <w:rPr>
          <w:rFonts w:ascii="Traditional Arabic" w:hAnsi="Traditional Arabic"/>
          <w:color w:val="auto"/>
          <w:rtl/>
        </w:rPr>
        <w:t xml:space="preserve"> </w:t>
      </w:r>
      <w:r w:rsidR="006B2BAF" w:rsidRPr="006B2BAF">
        <w:rPr>
          <w:color w:val="0D0D0D" w:themeColor="text1" w:themeTint="F2"/>
          <w:sz w:val="44"/>
          <w:rtl/>
        </w:rPr>
        <w:t>سبب نزولها</w:t>
      </w:r>
      <w:r w:rsidR="006B2BAF" w:rsidRPr="006B2BAF">
        <w:rPr>
          <w:rFonts w:hint="cs"/>
          <w:color w:val="0D0D0D" w:themeColor="text1" w:themeTint="F2"/>
          <w:sz w:val="44"/>
          <w:rtl/>
        </w:rPr>
        <w:t xml:space="preserve"> فيه</w:t>
      </w:r>
      <w:r w:rsidR="006B2BAF">
        <w:rPr>
          <w:rFonts w:hint="cs"/>
          <w:rtl/>
        </w:rPr>
        <w:t xml:space="preserve"> </w:t>
      </w:r>
      <w:r w:rsidR="006B2BAF" w:rsidRPr="006B2BAF">
        <w:rPr>
          <w:color w:val="0D0D0D" w:themeColor="text1" w:themeTint="F2"/>
          <w:sz w:val="44"/>
          <w:rtl/>
        </w:rPr>
        <w:t>قولان:</w:t>
      </w:r>
      <w:r w:rsidR="006B2BAF" w:rsidRPr="006B2BAF">
        <w:rPr>
          <w:rFonts w:ascii="Arial" w:hAnsi="Arial" w:cs="Arial" w:hint="cs"/>
          <w:color w:val="0D0D0D" w:themeColor="text1" w:themeTint="F2"/>
          <w:sz w:val="32"/>
          <w:szCs w:val="32"/>
          <w:rtl/>
          <w:lang w:eastAsia="en-US"/>
        </w:rPr>
        <w:t xml:space="preserve"> </w:t>
      </w:r>
      <w:r w:rsidR="006B2BAF" w:rsidRPr="006B2BAF">
        <w:rPr>
          <w:color w:val="0D0D0D" w:themeColor="text1" w:themeTint="F2"/>
          <w:sz w:val="44"/>
          <w:rtl/>
        </w:rPr>
        <w:t>أحدهما: أن أهل مكة</w:t>
      </w:r>
      <w:r w:rsidR="006B2BAF">
        <w:rPr>
          <w:rFonts w:hint="cs"/>
          <w:rtl/>
        </w:rPr>
        <w:t xml:space="preserve"> </w:t>
      </w:r>
      <w:r w:rsidR="006B2BAF" w:rsidRPr="006B2BAF">
        <w:rPr>
          <w:color w:val="0D0D0D" w:themeColor="text1" w:themeTint="F2"/>
          <w:sz w:val="44"/>
          <w:rtl/>
        </w:rPr>
        <w:t>سألوا</w:t>
      </w:r>
      <w:r w:rsidR="006B2BAF" w:rsidRPr="006B2BAF">
        <w:rPr>
          <w:rFonts w:hint="cs"/>
          <w:color w:val="0D0D0D" w:themeColor="text1" w:themeTint="F2"/>
          <w:sz w:val="44"/>
          <w:rtl/>
        </w:rPr>
        <w:t xml:space="preserve"> </w:t>
      </w:r>
      <w:r w:rsidR="006B2BAF" w:rsidRPr="006B2BAF">
        <w:rPr>
          <w:color w:val="0D0D0D" w:themeColor="text1" w:themeTint="F2"/>
          <w:sz w:val="44"/>
          <w:rtl/>
        </w:rPr>
        <w:t>رسول الله</w:t>
      </w:r>
      <w:r w:rsidR="006B2BAF" w:rsidRPr="00D66DE5">
        <w:sym w:font="AGA Arabesque" w:char="F072"/>
      </w:r>
      <w:r w:rsidR="006B2BAF" w:rsidRPr="006B2BAF">
        <w:rPr>
          <w:rFonts w:ascii="Traditional Arabic" w:hAnsi="Traditional Arabic"/>
        </w:rPr>
        <w:t xml:space="preserve"> </w:t>
      </w:r>
      <w:r w:rsidR="006B2BAF" w:rsidRPr="006B2BAF">
        <w:rPr>
          <w:color w:val="0D0D0D" w:themeColor="text1" w:themeTint="F2"/>
          <w:sz w:val="44"/>
          <w:rtl/>
        </w:rPr>
        <w:t xml:space="preserve"> أن ي</w:t>
      </w:r>
      <w:r w:rsidR="006B2BAF" w:rsidRPr="006B2BAF">
        <w:rPr>
          <w:rFonts w:ascii="Traditional Arabic" w:hAnsi="Traditional Arabic"/>
          <w:color w:val="0D0D0D" w:themeColor="text1" w:themeTint="F2"/>
          <w:sz w:val="44"/>
          <w:rtl/>
        </w:rPr>
        <w:t>جعل لهم الصفا</w:t>
      </w:r>
      <w:r w:rsidR="006B2BAF">
        <w:rPr>
          <w:rFonts w:hint="cs"/>
          <w:rtl/>
        </w:rPr>
        <w:t xml:space="preserve"> </w:t>
      </w:r>
      <w:r w:rsidR="006B2BAF" w:rsidRPr="006B2BAF">
        <w:rPr>
          <w:rFonts w:ascii="Traditional Arabic" w:hAnsi="Traditional Arabic"/>
          <w:color w:val="0D0D0D" w:themeColor="text1" w:themeTint="F2"/>
          <w:sz w:val="44"/>
          <w:rtl/>
        </w:rPr>
        <w:t>ذهباً، وأن  ينحِّي  عنهم الجبال فيزرعو</w:t>
      </w:r>
      <w:r w:rsidR="006B2BAF" w:rsidRPr="006B2BAF">
        <w:rPr>
          <w:rFonts w:ascii="Traditional Arabic" w:hAnsi="Traditional Arabic" w:hint="cs"/>
          <w:color w:val="0D0D0D" w:themeColor="text1" w:themeTint="F2"/>
          <w:sz w:val="44"/>
          <w:rtl/>
        </w:rPr>
        <w:t>ا</w:t>
      </w:r>
      <w:r w:rsidR="006B2BAF">
        <w:rPr>
          <w:rFonts w:ascii="Traditional Arabic" w:hAnsi="Traditional Arabic" w:hint="cs"/>
          <w:color w:val="0D0D0D" w:themeColor="text1" w:themeTint="F2"/>
          <w:sz w:val="44"/>
          <w:rtl/>
        </w:rPr>
        <w:t xml:space="preserve"> </w:t>
      </w:r>
      <w:r w:rsidR="006B2BAF" w:rsidRPr="006B2BAF">
        <w:rPr>
          <w:rFonts w:ascii="Traditional Arabic" w:hAnsi="Traditional Arabic"/>
          <w:color w:val="0D0D0D" w:themeColor="text1" w:themeTint="F2"/>
          <w:sz w:val="44"/>
          <w:rtl/>
        </w:rPr>
        <w:t>فقيل له: إِن شئتَ أن تستأني</w:t>
      </w:r>
      <w:r w:rsidR="006B2BAF">
        <w:rPr>
          <w:rFonts w:ascii="Traditional Arabic" w:hAnsi="Traditional Arabic" w:hint="cs"/>
          <w:color w:val="0D0D0D" w:themeColor="text1" w:themeTint="F2"/>
          <w:sz w:val="44"/>
          <w:rtl/>
        </w:rPr>
        <w:t xml:space="preserve"> </w:t>
      </w:r>
      <w:r w:rsidR="006B2BAF" w:rsidRPr="006B2BAF">
        <w:rPr>
          <w:rFonts w:ascii="Traditional Arabic" w:hAnsi="Traditional Arabic"/>
          <w:color w:val="0D0D0D" w:themeColor="text1" w:themeTint="F2"/>
          <w:sz w:val="44"/>
          <w:rtl/>
        </w:rPr>
        <w:t>بهم لعلَّنا نجتبي</w:t>
      </w:r>
      <w:r w:rsidR="006B2BAF">
        <w:rPr>
          <w:rStyle w:val="ae"/>
          <w:rFonts w:ascii="Traditional Arabic" w:hAnsi="Traditional Arabic" w:hint="cs"/>
          <w:rtl/>
        </w:rPr>
        <w:t xml:space="preserve"> </w:t>
      </w:r>
      <w:r w:rsidR="006B2BAF" w:rsidRPr="006B2BAF">
        <w:rPr>
          <w:rFonts w:ascii="Traditional Arabic" w:hAnsi="Traditional Arabic"/>
          <w:color w:val="0D0D0D" w:themeColor="text1" w:themeTint="F2"/>
          <w:sz w:val="44"/>
          <w:rtl/>
        </w:rPr>
        <w:t>منهم، وإِن شئتَ  نؤتيهم الذي سألوا فان كفروا أُهلكوا كما أهلك من كان قبلهم قال: «لا، بل أستأني</w:t>
      </w:r>
      <w:r w:rsidR="006B2BAF" w:rsidRPr="006B2BAF">
        <w:rPr>
          <w:rFonts w:ascii="Traditional Arabic" w:hAnsi="Traditional Arabic" w:hint="cs"/>
          <w:color w:val="0D0D0D" w:themeColor="text1" w:themeTint="F2"/>
          <w:sz w:val="44"/>
          <w:rtl/>
        </w:rPr>
        <w:t xml:space="preserve"> بهم</w:t>
      </w:r>
      <w:r w:rsidR="006B2BAF" w:rsidRPr="006B2BAF">
        <w:rPr>
          <w:rFonts w:ascii="Traditional Arabic" w:hAnsi="Traditional Arabic"/>
          <w:color w:val="0D0D0D" w:themeColor="text1" w:themeTint="F2"/>
          <w:sz w:val="44"/>
          <w:rtl/>
        </w:rPr>
        <w:t>» فنزلت هذه الآية، رواه سعيد بن جبير</w:t>
      </w:r>
      <w:r w:rsidR="006B2BAF">
        <w:rPr>
          <w:rFonts w:ascii="Traditional Arabic" w:hAnsi="Traditional Arabic" w:hint="cs"/>
          <w:color w:val="0D0D0D" w:themeColor="text1" w:themeTint="F2"/>
          <w:sz w:val="44"/>
          <w:rtl/>
        </w:rPr>
        <w:t xml:space="preserve"> </w:t>
      </w:r>
      <w:r w:rsidR="006B2BAF" w:rsidRPr="006B2BAF">
        <w:rPr>
          <w:rFonts w:ascii="Traditional Arabic" w:hAnsi="Traditional Arabic"/>
          <w:color w:val="0D0D0D" w:themeColor="text1" w:themeTint="F2"/>
          <w:sz w:val="44"/>
          <w:rtl/>
        </w:rPr>
        <w:t>عن ابن عباس.</w:t>
      </w:r>
      <w:r w:rsidR="006B2BAF">
        <w:rPr>
          <w:rFonts w:ascii="Traditional Arabic" w:eastAsia="Calibri" w:hAnsi="Traditional Arabic" w:hint="cs"/>
          <w:color w:val="auto"/>
          <w:rtl/>
        </w:rPr>
        <w:t xml:space="preserve"> </w:t>
      </w:r>
      <w:r w:rsidR="006B2BAF" w:rsidRPr="006B2BAF">
        <w:rPr>
          <w:rFonts w:ascii="Traditional Arabic" w:hAnsi="Traditional Arabic"/>
          <w:color w:val="0D0D0D" w:themeColor="text1" w:themeTint="F2"/>
          <w:sz w:val="44"/>
          <w:rtl/>
        </w:rPr>
        <w:t>والثاني: قد ذكرناه عن الزّبير</w:t>
      </w:r>
      <w:r w:rsidR="006B2BAF">
        <w:rPr>
          <w:rFonts w:hint="cs"/>
          <w:rtl/>
        </w:rPr>
        <w:t xml:space="preserve"> </w:t>
      </w:r>
      <w:r w:rsidR="006B2BAF" w:rsidRPr="006B2BAF">
        <w:rPr>
          <w:rFonts w:ascii="Traditional Arabic" w:hAnsi="Traditional Arabic"/>
          <w:color w:val="0D0D0D" w:themeColor="text1" w:themeTint="F2"/>
          <w:sz w:val="44"/>
          <w:rtl/>
        </w:rPr>
        <w:t>في قوله تعالى</w:t>
      </w:r>
      <w:r w:rsidR="006B2BAF" w:rsidRPr="006B2BAF">
        <w:rPr>
          <w:color w:val="0D0D0D" w:themeColor="text1" w:themeTint="F2"/>
          <w:sz w:val="44"/>
          <w:rtl/>
        </w:rPr>
        <w:t>:</w:t>
      </w:r>
      <w:r w:rsidR="006B2BAF" w:rsidRPr="006B2BAF">
        <w:rPr>
          <w:rFonts w:ascii="QCF_BSML" w:hAnsi="QCF_BSML" w:cs="QCF_BSML" w:hint="cs"/>
          <w:color w:val="0D0D0D" w:themeColor="text1" w:themeTint="F2"/>
          <w:sz w:val="28"/>
          <w:szCs w:val="28"/>
          <w:rtl/>
          <w:lang w:eastAsia="en-US"/>
        </w:rPr>
        <w:t xml:space="preserve"> </w:t>
      </w:r>
      <w:r w:rsidR="006B2BAF" w:rsidRPr="006B2BAF">
        <w:rPr>
          <w:rFonts w:ascii="QCF_BSML" w:hAnsi="QCF_BSML" w:cs="QCF_BSML"/>
          <w:color w:val="0D0D0D" w:themeColor="text1" w:themeTint="F2"/>
          <w:sz w:val="32"/>
          <w:szCs w:val="32"/>
          <w:rtl/>
          <w:lang w:eastAsia="en-US"/>
        </w:rPr>
        <w:t xml:space="preserve">ﭽ </w:t>
      </w:r>
      <w:r w:rsidR="006B2BAF" w:rsidRPr="006B2BAF">
        <w:rPr>
          <w:rFonts w:ascii="QCF_P253" w:hAnsi="QCF_P253" w:cs="QCF_P253"/>
          <w:color w:val="0D0D0D" w:themeColor="text1" w:themeTint="F2"/>
          <w:sz w:val="32"/>
          <w:szCs w:val="32"/>
          <w:rtl/>
          <w:lang w:eastAsia="en-US"/>
        </w:rPr>
        <w:t>ﭸ ﭹ ﭺ ﭻ ﭼ ﭽ</w:t>
      </w:r>
      <w:r w:rsidR="006B2BAF" w:rsidRPr="006B2BAF">
        <w:rPr>
          <w:rFonts w:ascii="QCF_BSML" w:hAnsi="QCF_BSML" w:cs="QCF_BSML"/>
          <w:color w:val="0D0D0D" w:themeColor="text1" w:themeTint="F2"/>
          <w:sz w:val="32"/>
          <w:szCs w:val="32"/>
          <w:rtl/>
          <w:lang w:eastAsia="en-US"/>
        </w:rPr>
        <w:t>ﭼ</w:t>
      </w:r>
      <w:r w:rsidR="006B2BAF" w:rsidRPr="006B2BAF">
        <w:rPr>
          <w:rFonts w:ascii="Arial" w:hAnsi="Arial" w:cs="Arial" w:hint="cs"/>
          <w:color w:val="0D0D0D" w:themeColor="text1" w:themeTint="F2"/>
          <w:sz w:val="28"/>
          <w:szCs w:val="28"/>
          <w:rtl/>
          <w:lang w:eastAsia="en-US"/>
        </w:rPr>
        <w:t>[</w:t>
      </w:r>
      <w:r w:rsidR="006B2BAF" w:rsidRPr="006B2BAF">
        <w:rPr>
          <w:rFonts w:ascii="Traditional Arabic" w:hAnsi="Traditional Arabic"/>
          <w:color w:val="0D0D0D" w:themeColor="text1" w:themeTint="F2"/>
          <w:sz w:val="28"/>
          <w:szCs w:val="28"/>
          <w:rtl/>
          <w:lang w:eastAsia="en-US"/>
        </w:rPr>
        <w:t>الرعد:31</w:t>
      </w:r>
      <w:r w:rsidR="006B2BAF" w:rsidRPr="006B2BAF">
        <w:rPr>
          <w:rFonts w:ascii="Arial" w:hAnsi="Arial" w:cs="Arial" w:hint="cs"/>
          <w:color w:val="0D0D0D" w:themeColor="text1" w:themeTint="F2"/>
          <w:sz w:val="28"/>
          <w:szCs w:val="28"/>
          <w:rtl/>
          <w:lang w:eastAsia="en-US"/>
        </w:rPr>
        <w:t>]</w:t>
      </w:r>
      <w:r w:rsidR="006035A5" w:rsidRPr="006035A5">
        <w:rPr>
          <w:rStyle w:val="ae"/>
          <w:rtl/>
        </w:rPr>
        <w:t>(</w:t>
      </w:r>
      <w:r w:rsidR="006035A5">
        <w:rPr>
          <w:rStyle w:val="ae"/>
          <w:rtl/>
        </w:rPr>
        <w:footnoteReference w:id="157"/>
      </w:r>
      <w:r w:rsidR="006035A5" w:rsidRPr="006035A5">
        <w:rPr>
          <w:rStyle w:val="ae"/>
          <w:rtl/>
        </w:rPr>
        <w:t>)</w:t>
      </w:r>
      <w:r w:rsidR="006B2BAF">
        <w:rPr>
          <w:rFonts w:ascii="Traditional Arabic" w:eastAsia="Calibri" w:hAnsi="Traditional Arabic" w:hint="cs"/>
          <w:color w:val="auto"/>
          <w:rtl/>
        </w:rPr>
        <w:t>.</w:t>
      </w:r>
    </w:p>
    <w:p w:rsidR="006035A5" w:rsidRDefault="00D11232" w:rsidP="006035A5">
      <w:pPr>
        <w:numPr>
          <w:ilvl w:val="0"/>
          <w:numId w:val="21"/>
        </w:numPr>
        <w:spacing w:after="200" w:line="276" w:lineRule="auto"/>
        <w:ind w:left="0" w:firstLine="0"/>
        <w:contextualSpacing/>
        <w:jc w:val="lowKashida"/>
        <w:rPr>
          <w:rFonts w:ascii="Traditional Arabic" w:eastAsia="Calibri" w:hAnsi="Traditional Arabic"/>
          <w:shd w:val="clear" w:color="auto" w:fill="FFFFFF"/>
        </w:rPr>
      </w:pPr>
      <w:r w:rsidRPr="006B2BAF">
        <w:rPr>
          <w:rFonts w:ascii="Traditional Arabic" w:eastAsia="Calibri" w:hAnsi="Traditional Arabic"/>
          <w:rtl/>
        </w:rPr>
        <w:t>يهتم بذكر المكي والمدني ويذكر الخلاف إن كان هناك خلاف</w:t>
      </w:r>
      <w:r w:rsidRPr="006B2BAF">
        <w:rPr>
          <w:rFonts w:ascii="Traditional Arabic" w:eastAsia="Calibri" w:hAnsi="Traditional Arabic"/>
          <w:shd w:val="clear" w:color="auto" w:fill="FFFFFF"/>
          <w:rtl/>
        </w:rPr>
        <w:t>.</w:t>
      </w:r>
      <w:r w:rsidR="006B2BAF" w:rsidRPr="006B2BAF">
        <w:rPr>
          <w:rFonts w:ascii="Traditional Arabic" w:eastAsia="Calibri" w:hAnsi="Traditional Arabic"/>
          <w:color w:val="auto"/>
          <w:rtl/>
        </w:rPr>
        <w:t xml:space="preserve"> مثاله: قال </w:t>
      </w:r>
      <w:r w:rsidR="006B2BAF" w:rsidRPr="006B2BAF">
        <w:rPr>
          <w:rFonts w:ascii="Traditional Arabic" w:hAnsi="Traditional Arabic"/>
          <w:color w:val="auto"/>
          <w:rtl/>
        </w:rPr>
        <w:t>رحمه الله  في</w:t>
      </w:r>
      <w:r w:rsidR="006B2BAF" w:rsidRPr="006B2BAF">
        <w:rPr>
          <w:rFonts w:ascii="Traditional Arabic" w:hAnsi="Traditional Arabic" w:hint="cs"/>
          <w:color w:val="auto"/>
          <w:rtl/>
        </w:rPr>
        <w:t xml:space="preserve"> </w:t>
      </w:r>
      <w:r w:rsidR="006B2BAF" w:rsidRPr="006B2BAF">
        <w:rPr>
          <w:rFonts w:ascii="Traditional Arabic" w:hAnsi="Traditional Arabic"/>
          <w:color w:val="auto"/>
          <w:rtl/>
        </w:rPr>
        <w:t>أول سورة الكهف:</w:t>
      </w:r>
      <w:r w:rsidR="006B2BAF" w:rsidRPr="006B2BAF">
        <w:rPr>
          <w:rtl/>
        </w:rPr>
        <w:t xml:space="preserve"> فصل في نزولها:</w:t>
      </w:r>
      <w:r w:rsidR="006B2BAF" w:rsidRPr="006B2BAF">
        <w:rPr>
          <w:rFonts w:hint="cs"/>
          <w:rtl/>
        </w:rPr>
        <w:t xml:space="preserve"> </w:t>
      </w:r>
      <w:r w:rsidR="006B2BAF" w:rsidRPr="006B2BAF">
        <w:rPr>
          <w:rtl/>
        </w:rPr>
        <w:t>روى أبو</w:t>
      </w:r>
      <w:r w:rsidR="006B2BAF" w:rsidRPr="005C21CD">
        <w:rPr>
          <w:rtl/>
        </w:rPr>
        <w:t xml:space="preserve"> صالح عن ابن عباس أن سورة الكهف مكّيّة، وكذلك قال الحسن، ومجاهد وقتادة. وهذا إجماع المفسرين من غير خلاف نعلمه، إلّا أنه قد روي عن ابن عباس، وقتادة</w:t>
      </w:r>
      <w:r w:rsidR="006B2BAF">
        <w:rPr>
          <w:rFonts w:hint="cs"/>
          <w:rtl/>
        </w:rPr>
        <w:t xml:space="preserve"> </w:t>
      </w:r>
      <w:r w:rsidR="006B2BAF" w:rsidRPr="005C21CD">
        <w:rPr>
          <w:rtl/>
        </w:rPr>
        <w:t xml:space="preserve">أنّ </w:t>
      </w:r>
      <w:r w:rsidR="006B2BAF" w:rsidRPr="005C21CD">
        <w:rPr>
          <w:rFonts w:hint="cs"/>
          <w:rtl/>
        </w:rPr>
        <w:t>من</w:t>
      </w:r>
      <w:r w:rsidR="006B2BAF" w:rsidRPr="005C21CD">
        <w:rPr>
          <w:rtl/>
        </w:rPr>
        <w:t>ها آية مدنيّة</w:t>
      </w:r>
      <w:r w:rsidR="006B2BAF">
        <w:rPr>
          <w:rFonts w:hint="cs"/>
          <w:vertAlign w:val="superscript"/>
          <w:rtl/>
        </w:rPr>
        <w:t xml:space="preserve"> </w:t>
      </w:r>
      <w:r w:rsidR="006B2BAF" w:rsidRPr="005C21CD">
        <w:rPr>
          <w:rtl/>
        </w:rPr>
        <w:t>وهي قوله:</w:t>
      </w:r>
      <w:r w:rsidR="006B2BAF" w:rsidRPr="006B2BAF">
        <w:rPr>
          <w:rFonts w:ascii="QCF_BSML" w:hAnsi="QCF_BSML" w:cs="QCF_BSML"/>
          <w:sz w:val="47"/>
          <w:szCs w:val="47"/>
          <w:rtl/>
          <w:lang w:eastAsia="en-US"/>
        </w:rPr>
        <w:t xml:space="preserve"> </w:t>
      </w:r>
      <w:r w:rsidR="006B2BAF" w:rsidRPr="006B2BAF">
        <w:rPr>
          <w:rFonts w:ascii="QCF_BSML" w:hAnsi="QCF_BSML" w:cs="QCF_BSML"/>
          <w:sz w:val="32"/>
          <w:szCs w:val="32"/>
          <w:rtl/>
          <w:lang w:eastAsia="en-US"/>
        </w:rPr>
        <w:t xml:space="preserve">ﭽ </w:t>
      </w:r>
      <w:r w:rsidR="006B2BAF" w:rsidRPr="006B2BAF">
        <w:rPr>
          <w:rFonts w:ascii="QCF_P297" w:hAnsi="QCF_P297" w:cs="QCF_P297"/>
          <w:sz w:val="32"/>
          <w:szCs w:val="32"/>
          <w:rtl/>
          <w:lang w:eastAsia="en-US"/>
        </w:rPr>
        <w:t>ﭑ  ﭒ</w:t>
      </w:r>
      <w:r w:rsidR="006B2BAF" w:rsidRPr="006B2BAF">
        <w:rPr>
          <w:rFonts w:ascii="QCF_P297" w:hAnsi="QCF_P297" w:cs="QCF_P297" w:hint="cs"/>
          <w:sz w:val="32"/>
          <w:szCs w:val="32"/>
          <w:rtl/>
          <w:lang w:eastAsia="en-US"/>
        </w:rPr>
        <w:t xml:space="preserve"> </w:t>
      </w:r>
      <w:r w:rsidR="006B2BAF" w:rsidRPr="006B2BAF">
        <w:rPr>
          <w:rFonts w:ascii="QCF_BSML" w:hAnsi="QCF_BSML" w:cs="QCF_BSML"/>
          <w:sz w:val="32"/>
          <w:szCs w:val="32"/>
          <w:rtl/>
          <w:lang w:eastAsia="en-US"/>
        </w:rPr>
        <w:t>ﭼ</w:t>
      </w:r>
      <w:r w:rsidR="006B2BAF" w:rsidRPr="006B2BAF">
        <w:rPr>
          <w:rFonts w:ascii="Traditional Arabic" w:hAnsi="Traditional Arabic" w:hint="cs"/>
          <w:sz w:val="32"/>
          <w:szCs w:val="32"/>
          <w:rtl/>
          <w:lang w:eastAsia="en-US"/>
        </w:rPr>
        <w:t>.</w:t>
      </w:r>
      <w:r w:rsidR="006B2BAF" w:rsidRPr="006B2BAF">
        <w:rPr>
          <w:rFonts w:ascii="Arial" w:hAnsi="Arial" w:cs="Arial" w:hint="cs"/>
          <w:sz w:val="18"/>
          <w:szCs w:val="18"/>
          <w:rtl/>
          <w:lang w:eastAsia="en-US"/>
        </w:rPr>
        <w:t xml:space="preserve"> </w:t>
      </w:r>
      <w:r w:rsidR="006B2BAF" w:rsidRPr="006B2BAF">
        <w:rPr>
          <w:rFonts w:ascii="Traditional Arabic" w:hAnsi="Traditional Arabic" w:hint="cs"/>
          <w:sz w:val="32"/>
          <w:szCs w:val="32"/>
          <w:rtl/>
          <w:lang w:eastAsia="en-US"/>
        </w:rPr>
        <w:t>[</w:t>
      </w:r>
      <w:r w:rsidR="006B2BAF" w:rsidRPr="006B2BAF">
        <w:rPr>
          <w:rFonts w:ascii="Traditional Arabic" w:hAnsi="Traditional Arabic"/>
          <w:color w:val="auto"/>
          <w:sz w:val="32"/>
          <w:szCs w:val="32"/>
          <w:rtl/>
          <w:lang w:eastAsia="en-US"/>
        </w:rPr>
        <w:t>الكهف:٢٨</w:t>
      </w:r>
      <w:r w:rsidR="006B2BAF" w:rsidRPr="006B2BAF">
        <w:rPr>
          <w:rFonts w:ascii="Traditional Arabic" w:hAnsi="Traditional Arabic" w:hint="cs"/>
          <w:color w:val="auto"/>
          <w:sz w:val="32"/>
          <w:szCs w:val="32"/>
          <w:rtl/>
          <w:lang w:eastAsia="en-US"/>
        </w:rPr>
        <w:t>]</w:t>
      </w:r>
      <w:r w:rsidR="006B2BAF" w:rsidRPr="005C21CD">
        <w:rPr>
          <w:rFonts w:hint="cs"/>
          <w:rtl/>
        </w:rPr>
        <w:t xml:space="preserve"> </w:t>
      </w:r>
      <w:r w:rsidR="006B2BAF" w:rsidRPr="005C21CD">
        <w:rPr>
          <w:rtl/>
        </w:rPr>
        <w:t xml:space="preserve">وقال مقاتل: من أوّلها إلى قوله تعالى: </w:t>
      </w:r>
      <w:r w:rsidR="006B2BAF" w:rsidRPr="006B2BAF">
        <w:rPr>
          <w:rFonts w:ascii="QCF_BSML" w:hAnsi="QCF_BSML" w:cs="QCF_BSML"/>
          <w:sz w:val="32"/>
          <w:szCs w:val="32"/>
          <w:rtl/>
          <w:lang w:eastAsia="en-US"/>
        </w:rPr>
        <w:t>ﭽ</w:t>
      </w:r>
      <w:r w:rsidR="006B2BAF" w:rsidRPr="006B2BAF">
        <w:rPr>
          <w:rFonts w:ascii="QCF_P294" w:hAnsi="QCF_P294" w:cs="QCF_P294"/>
          <w:sz w:val="32"/>
          <w:szCs w:val="32"/>
          <w:rtl/>
          <w:lang w:eastAsia="en-US"/>
        </w:rPr>
        <w:t>ﮀ  ﮁ</w:t>
      </w:r>
      <w:r w:rsidR="006B2BAF" w:rsidRPr="006B2BAF">
        <w:rPr>
          <w:rFonts w:ascii="QCF_BSML" w:hAnsi="QCF_BSML" w:cs="QCF_BSML" w:hint="cs"/>
          <w:sz w:val="32"/>
          <w:szCs w:val="32"/>
          <w:rtl/>
          <w:lang w:eastAsia="en-US"/>
        </w:rPr>
        <w:t xml:space="preserve"> </w:t>
      </w:r>
      <w:r w:rsidR="006B2BAF" w:rsidRPr="006B2BAF">
        <w:rPr>
          <w:rFonts w:ascii="QCF_BSML" w:hAnsi="QCF_BSML" w:cs="QCF_BSML"/>
          <w:sz w:val="32"/>
          <w:szCs w:val="32"/>
          <w:rtl/>
          <w:lang w:eastAsia="en-US"/>
        </w:rPr>
        <w:t>ﭼ</w:t>
      </w:r>
      <w:r w:rsidR="006B2BAF" w:rsidRPr="006B2BAF">
        <w:rPr>
          <w:rFonts w:ascii="Arial" w:hAnsi="Arial" w:cs="Arial"/>
          <w:sz w:val="18"/>
          <w:szCs w:val="18"/>
          <w:rtl/>
          <w:lang w:eastAsia="en-US"/>
        </w:rPr>
        <w:t xml:space="preserve"> </w:t>
      </w:r>
      <w:r w:rsidR="006B2BAF" w:rsidRPr="006B2BAF">
        <w:rPr>
          <w:rFonts w:ascii="Traditional Arabic" w:hAnsi="Traditional Arabic"/>
          <w:color w:val="auto"/>
          <w:sz w:val="32"/>
          <w:szCs w:val="32"/>
          <w:rtl/>
          <w:lang w:eastAsia="en-US"/>
        </w:rPr>
        <w:t>[الكهف:٨]</w:t>
      </w:r>
      <w:r w:rsidR="006B2BAF" w:rsidRPr="005C21CD">
        <w:t xml:space="preserve"> </w:t>
      </w:r>
      <w:r w:rsidR="006B2BAF" w:rsidRPr="005C21CD">
        <w:rPr>
          <w:rtl/>
        </w:rPr>
        <w:t>مدنيّ، وقوله تعالى:</w:t>
      </w:r>
      <w:r w:rsidR="006B2BAF" w:rsidRPr="006B2BAF">
        <w:rPr>
          <w:rFonts w:ascii="QCF_BSML" w:hAnsi="QCF_BSML" w:cs="QCF_BSML"/>
          <w:sz w:val="32"/>
          <w:szCs w:val="32"/>
          <w:rtl/>
          <w:lang w:eastAsia="en-US"/>
        </w:rPr>
        <w:t xml:space="preserve"> ﭽ </w:t>
      </w:r>
      <w:r w:rsidR="006B2BAF" w:rsidRPr="006B2BAF">
        <w:rPr>
          <w:rFonts w:ascii="QCF_P297" w:hAnsi="QCF_P297" w:cs="QCF_P297"/>
          <w:sz w:val="32"/>
          <w:szCs w:val="32"/>
          <w:rtl/>
          <w:lang w:eastAsia="en-US"/>
        </w:rPr>
        <w:t xml:space="preserve">ﮓ  ﮔ  ﮕ  ﮖ   ﮗ  </w:t>
      </w:r>
      <w:r w:rsidR="006B2BAF" w:rsidRPr="006B2BAF">
        <w:rPr>
          <w:rFonts w:ascii="QCF_BSML" w:hAnsi="QCF_BSML" w:cs="QCF_BSML"/>
          <w:color w:val="auto"/>
          <w:sz w:val="32"/>
          <w:szCs w:val="32"/>
          <w:rtl/>
          <w:lang w:eastAsia="en-US"/>
        </w:rPr>
        <w:t>ﭼ</w:t>
      </w:r>
      <w:r w:rsidR="006B2BAF" w:rsidRPr="006B2BAF">
        <w:rPr>
          <w:rFonts w:ascii="QCF_BSML" w:hAnsi="QCF_BSML" w:cs="QCF_BSML" w:hint="cs"/>
          <w:color w:val="auto"/>
          <w:sz w:val="32"/>
          <w:szCs w:val="32"/>
          <w:rtl/>
          <w:lang w:eastAsia="en-US"/>
        </w:rPr>
        <w:t xml:space="preserve"> </w:t>
      </w:r>
      <w:r w:rsidR="006B2BAF" w:rsidRPr="006B2BAF">
        <w:rPr>
          <w:rFonts w:ascii="Traditional Arabic" w:hAnsi="Traditional Arabic" w:hint="cs"/>
          <w:color w:val="auto"/>
          <w:sz w:val="32"/>
          <w:szCs w:val="32"/>
          <w:rtl/>
          <w:lang w:eastAsia="en-US"/>
        </w:rPr>
        <w:t>[</w:t>
      </w:r>
      <w:r w:rsidR="006B2BAF" w:rsidRPr="006B2BAF">
        <w:rPr>
          <w:rFonts w:ascii="Traditional Arabic" w:hAnsi="Traditional Arabic"/>
          <w:color w:val="auto"/>
          <w:sz w:val="32"/>
          <w:szCs w:val="32"/>
          <w:rtl/>
          <w:lang w:eastAsia="en-US"/>
        </w:rPr>
        <w:t>الكهف:٣٠</w:t>
      </w:r>
      <w:r w:rsidR="006B2BAF" w:rsidRPr="006B2BAF">
        <w:rPr>
          <w:rFonts w:ascii="Traditional Arabic" w:hAnsi="Traditional Arabic" w:hint="cs"/>
          <w:color w:val="auto"/>
          <w:sz w:val="32"/>
          <w:szCs w:val="32"/>
          <w:rtl/>
          <w:lang w:eastAsia="en-US"/>
        </w:rPr>
        <w:t>]</w:t>
      </w:r>
      <w:r w:rsidR="006B2BAF" w:rsidRPr="006B2BAF">
        <w:rPr>
          <w:rFonts w:ascii="Arial" w:hAnsi="Arial" w:cs="Arial"/>
          <w:color w:val="auto"/>
          <w:sz w:val="18"/>
          <w:szCs w:val="18"/>
          <w:rtl/>
          <w:lang w:eastAsia="en-US"/>
        </w:rPr>
        <w:t xml:space="preserve"> </w:t>
      </w:r>
      <w:r w:rsidR="006B2BAF" w:rsidRPr="006B2BAF">
        <w:rPr>
          <w:color w:val="auto"/>
          <w:rtl/>
        </w:rPr>
        <w:t xml:space="preserve">الآيتان </w:t>
      </w:r>
      <w:r w:rsidR="006B2BAF" w:rsidRPr="005C21CD">
        <w:rPr>
          <w:rtl/>
        </w:rPr>
        <w:t>مدنيّة، وباقيها مكيّ</w:t>
      </w:r>
      <w:r w:rsidR="006035A5" w:rsidRPr="006035A5">
        <w:rPr>
          <w:rStyle w:val="ae"/>
          <w:rtl/>
        </w:rPr>
        <w:t>(</w:t>
      </w:r>
      <w:r w:rsidR="006035A5">
        <w:rPr>
          <w:rStyle w:val="ae"/>
          <w:rtl/>
        </w:rPr>
        <w:footnoteReference w:id="158"/>
      </w:r>
      <w:r w:rsidR="006035A5" w:rsidRPr="006035A5">
        <w:rPr>
          <w:rStyle w:val="ae"/>
          <w:rtl/>
        </w:rPr>
        <w:t>)</w:t>
      </w:r>
      <w:r w:rsidR="006B2BAF" w:rsidRPr="005C21CD">
        <w:rPr>
          <w:rtl/>
        </w:rPr>
        <w:t>.</w:t>
      </w:r>
    </w:p>
    <w:p w:rsidR="006035A5" w:rsidRDefault="006035A5" w:rsidP="007D541F">
      <w:pPr>
        <w:numPr>
          <w:ilvl w:val="0"/>
          <w:numId w:val="21"/>
        </w:numPr>
        <w:spacing w:after="200" w:line="276" w:lineRule="auto"/>
        <w:ind w:left="0" w:firstLine="0"/>
        <w:contextualSpacing/>
        <w:jc w:val="lowKashida"/>
        <w:rPr>
          <w:rFonts w:ascii="Traditional Arabic" w:eastAsia="Calibri" w:hAnsi="Traditional Arabic"/>
          <w:shd w:val="clear" w:color="auto" w:fill="FFFFFF"/>
        </w:rPr>
      </w:pPr>
      <w:r>
        <w:rPr>
          <w:rFonts w:ascii="Traditional Arabic" w:eastAsia="Calibri" w:hAnsi="Traditional Arabic"/>
          <w:shd w:val="clear" w:color="auto" w:fill="FFFFFF"/>
          <w:rtl/>
        </w:rPr>
        <w:t>يبين أحيانا العام والخاص</w:t>
      </w:r>
      <w:r>
        <w:rPr>
          <w:rFonts w:ascii="Traditional Arabic" w:eastAsia="Calibri" w:hAnsi="Traditional Arabic" w:hint="cs"/>
          <w:shd w:val="clear" w:color="auto" w:fill="FFFFFF"/>
          <w:rtl/>
        </w:rPr>
        <w:t>.</w:t>
      </w:r>
      <w:r w:rsidR="00D11232" w:rsidRPr="006035A5">
        <w:rPr>
          <w:rFonts w:ascii="Traditional Arabic" w:eastAsia="Calibri" w:hAnsi="Traditional Arabic"/>
          <w:shd w:val="clear" w:color="auto" w:fill="FFFFFF"/>
          <w:rtl/>
        </w:rPr>
        <w:t xml:space="preserve"> </w:t>
      </w:r>
      <w:r w:rsidRPr="006035A5">
        <w:rPr>
          <w:rFonts w:ascii="Traditional Arabic" w:hAnsi="Traditional Arabic" w:hint="cs"/>
          <w:rtl/>
        </w:rPr>
        <w:t xml:space="preserve">مثاله: قال </w:t>
      </w:r>
      <w:r w:rsidRPr="006035A5">
        <w:rPr>
          <w:rFonts w:ascii="Traditional Arabic" w:hAnsi="Traditional Arabic"/>
          <w:rtl/>
        </w:rPr>
        <w:t>رحمه الله</w:t>
      </w:r>
      <w:r>
        <w:rPr>
          <w:rFonts w:ascii="Traditional Arabic" w:hAnsi="Traditional Arabic" w:hint="cs"/>
          <w:rtl/>
        </w:rPr>
        <w:t xml:space="preserve"> عند</w:t>
      </w:r>
      <w:r w:rsidRPr="006035A5">
        <w:rPr>
          <w:rFonts w:ascii="Traditional Arabic" w:hAnsi="Traditional Arabic"/>
          <w:rtl/>
        </w:rPr>
        <w:t xml:space="preserve"> قوله تعالى: </w:t>
      </w:r>
      <w:r w:rsidRPr="006035A5">
        <w:rPr>
          <w:rFonts w:ascii="QCF_BSML" w:hAnsi="QCF_BSML" w:cs="QCF_BSML"/>
          <w:color w:val="auto"/>
          <w:sz w:val="32"/>
          <w:szCs w:val="32"/>
          <w:rtl/>
          <w:lang w:eastAsia="en-US"/>
        </w:rPr>
        <w:t>ﭽ</w:t>
      </w:r>
      <w:r w:rsidRPr="006035A5">
        <w:rPr>
          <w:rFonts w:ascii="Traditional Arabic" w:hAnsi="Traditional Arabic"/>
          <w:rtl/>
        </w:rPr>
        <w:t xml:space="preserve"> </w:t>
      </w:r>
      <w:r w:rsidRPr="006035A5">
        <w:rPr>
          <w:rFonts w:ascii="QCF_P299" w:hAnsi="QCF_P299" w:cs="QCF_P299"/>
          <w:color w:val="auto"/>
          <w:sz w:val="32"/>
          <w:szCs w:val="32"/>
          <w:rtl/>
          <w:lang w:eastAsia="en-US"/>
        </w:rPr>
        <w:t>ﭰ  ﭱ</w:t>
      </w:r>
      <w:r w:rsidRPr="006035A5">
        <w:rPr>
          <w:rFonts w:ascii="QCF_BSML" w:hAnsi="QCF_BSML" w:cs="QCF_BSML"/>
          <w:color w:val="auto"/>
          <w:sz w:val="32"/>
          <w:szCs w:val="32"/>
          <w:rtl/>
          <w:lang w:eastAsia="en-US"/>
        </w:rPr>
        <w:t>ﭼ</w:t>
      </w:r>
      <w:r w:rsidRPr="006035A5">
        <w:rPr>
          <w:rFonts w:ascii="QCF_P299" w:hAnsi="QCF_P299" w:cs="QCF_P299" w:hint="cs"/>
          <w:color w:val="auto"/>
          <w:sz w:val="32"/>
          <w:szCs w:val="32"/>
          <w:rtl/>
          <w:lang w:eastAsia="en-US"/>
        </w:rPr>
        <w:t xml:space="preserve">  </w:t>
      </w:r>
      <w:r w:rsidR="00BF2E12" w:rsidRPr="006B2BAF">
        <w:rPr>
          <w:rFonts w:ascii="Traditional Arabic" w:hAnsi="Traditional Arabic" w:hint="cs"/>
          <w:sz w:val="32"/>
          <w:szCs w:val="32"/>
          <w:rtl/>
          <w:lang w:eastAsia="en-US"/>
        </w:rPr>
        <w:lastRenderedPageBreak/>
        <w:t>[</w:t>
      </w:r>
      <w:r w:rsidR="00BF2E12" w:rsidRPr="006B2BAF">
        <w:rPr>
          <w:rFonts w:ascii="Traditional Arabic" w:hAnsi="Traditional Arabic"/>
          <w:color w:val="auto"/>
          <w:sz w:val="32"/>
          <w:szCs w:val="32"/>
          <w:rtl/>
          <w:lang w:eastAsia="en-US"/>
        </w:rPr>
        <w:t>الكهف:</w:t>
      </w:r>
      <w:r w:rsidR="00BF2E12">
        <w:rPr>
          <w:rFonts w:ascii="Traditional Arabic" w:hAnsi="Traditional Arabic" w:hint="cs"/>
          <w:color w:val="auto"/>
          <w:sz w:val="32"/>
          <w:szCs w:val="32"/>
          <w:rtl/>
          <w:lang w:eastAsia="en-US"/>
        </w:rPr>
        <w:t>48</w:t>
      </w:r>
      <w:r w:rsidR="00BF2E12" w:rsidRPr="006B2BAF">
        <w:rPr>
          <w:rFonts w:ascii="Traditional Arabic" w:hAnsi="Traditional Arabic" w:hint="cs"/>
          <w:color w:val="auto"/>
          <w:sz w:val="32"/>
          <w:szCs w:val="32"/>
          <w:rtl/>
          <w:lang w:eastAsia="en-US"/>
        </w:rPr>
        <w:t>]</w:t>
      </w:r>
      <w:r w:rsidR="00BF2E12" w:rsidRPr="005C21CD">
        <w:rPr>
          <w:rFonts w:hint="cs"/>
          <w:rtl/>
        </w:rPr>
        <w:t xml:space="preserve"> </w:t>
      </w:r>
      <w:r w:rsidRPr="006035A5">
        <w:rPr>
          <w:rFonts w:ascii="QCF_P299" w:hAnsi="QCF_P299" w:cs="QCF_P299" w:hint="cs"/>
          <w:color w:val="auto"/>
          <w:sz w:val="32"/>
          <w:szCs w:val="32"/>
          <w:rtl/>
          <w:lang w:eastAsia="en-US"/>
        </w:rPr>
        <w:t xml:space="preserve">  </w:t>
      </w:r>
      <w:r w:rsidRPr="006035A5">
        <w:rPr>
          <w:rFonts w:ascii="QCF_P299" w:hAnsi="QCF_P299" w:cs="QCF_P299"/>
          <w:color w:val="auto"/>
          <w:sz w:val="32"/>
          <w:szCs w:val="32"/>
          <w:rtl/>
          <w:lang w:eastAsia="en-US"/>
        </w:rPr>
        <w:t xml:space="preserve"> </w:t>
      </w:r>
      <w:r w:rsidRPr="006035A5">
        <w:rPr>
          <w:rFonts w:ascii="Traditional Arabic" w:hAnsi="Traditional Arabic"/>
          <w:rtl/>
        </w:rPr>
        <w:t>فيه إضمار «ف</w:t>
      </w:r>
      <w:r w:rsidRPr="006035A5">
        <w:rPr>
          <w:rFonts w:ascii="Traditional Arabic" w:hAnsi="Traditional Arabic" w:hint="cs"/>
          <w:rtl/>
        </w:rPr>
        <w:t>ي</w:t>
      </w:r>
      <w:r w:rsidRPr="006035A5">
        <w:rPr>
          <w:rFonts w:ascii="Traditional Arabic" w:hAnsi="Traditional Arabic"/>
          <w:rtl/>
        </w:rPr>
        <w:t>قال لهم». وفي المخاطبين بهذا قولان: أحدهما:</w:t>
      </w:r>
      <w:r w:rsidRPr="006035A5">
        <w:rPr>
          <w:rFonts w:ascii="Traditional Arabic" w:hAnsi="Traditional Arabic" w:hint="cs"/>
          <w:rtl/>
        </w:rPr>
        <w:t xml:space="preserve"> </w:t>
      </w:r>
      <w:r w:rsidRPr="006035A5">
        <w:rPr>
          <w:rFonts w:ascii="Traditional Arabic" w:hAnsi="Traditional Arabic"/>
          <w:rtl/>
        </w:rPr>
        <w:t xml:space="preserve">أنهم الكُلّ. والثاني: الكُفار، فيكون اللفظ عامّاً، والمعنى خاصّا. وقوله: </w:t>
      </w:r>
      <w:r w:rsidRPr="006035A5">
        <w:rPr>
          <w:rFonts w:ascii="QCF_BSML" w:hAnsi="QCF_BSML" w:cs="QCF_BSML"/>
          <w:color w:val="auto"/>
          <w:sz w:val="32"/>
          <w:szCs w:val="32"/>
          <w:rtl/>
          <w:lang w:eastAsia="en-US"/>
        </w:rPr>
        <w:t>ﭽ</w:t>
      </w:r>
      <w:r w:rsidRPr="006035A5">
        <w:rPr>
          <w:rFonts w:ascii="QCF_P299" w:hAnsi="QCF_P299" w:cs="QCF_P299"/>
          <w:color w:val="auto"/>
          <w:sz w:val="32"/>
          <w:szCs w:val="32"/>
          <w:rtl/>
          <w:lang w:eastAsia="en-US"/>
        </w:rPr>
        <w:t xml:space="preserve"> ﭲ  ﭳ  ﭴ  ﭵﭶ  </w:t>
      </w:r>
      <w:r w:rsidRPr="006035A5">
        <w:rPr>
          <w:rFonts w:ascii="QCF_BSML" w:hAnsi="QCF_BSML" w:cs="QCF_BSML"/>
          <w:color w:val="auto"/>
          <w:sz w:val="32"/>
          <w:szCs w:val="32"/>
          <w:rtl/>
          <w:lang w:eastAsia="en-US"/>
        </w:rPr>
        <w:t>ﭼ</w:t>
      </w:r>
      <w:r w:rsidRPr="006035A5">
        <w:rPr>
          <w:rFonts w:ascii="Traditional Arabic" w:hAnsi="Traditional Arabic"/>
          <w:rtl/>
        </w:rPr>
        <w:t xml:space="preserve"> مفسر في الأنعام</w:t>
      </w:r>
      <w:r w:rsidRPr="006035A5">
        <w:rPr>
          <w:rFonts w:ascii="Traditional Arabic" w:hAnsi="Traditional Arabic" w:hint="cs"/>
          <w:rtl/>
        </w:rPr>
        <w:t xml:space="preserve">. </w:t>
      </w:r>
      <w:r w:rsidRPr="006035A5">
        <w:rPr>
          <w:rFonts w:ascii="Traditional Arabic" w:hAnsi="Traditional Arabic"/>
          <w:rtl/>
        </w:rPr>
        <w:t>وقوله:</w:t>
      </w:r>
      <w:r w:rsidRPr="006035A5">
        <w:rPr>
          <w:rFonts w:ascii="QCF_BSML" w:hAnsi="QCF_BSML" w:cs="QCF_BSML"/>
          <w:color w:val="auto"/>
          <w:sz w:val="32"/>
          <w:szCs w:val="32"/>
          <w:rtl/>
          <w:lang w:eastAsia="en-US"/>
        </w:rPr>
        <w:t xml:space="preserve"> ﭽ</w:t>
      </w:r>
      <w:r w:rsidRPr="006035A5">
        <w:rPr>
          <w:rFonts w:ascii="Traditional Arabic" w:hAnsi="Traditional Arabic"/>
          <w:rtl/>
        </w:rPr>
        <w:t xml:space="preserve"> </w:t>
      </w:r>
      <w:r w:rsidRPr="006035A5">
        <w:rPr>
          <w:rFonts w:ascii="QCF_P299" w:hAnsi="QCF_P299" w:cs="QCF_P299"/>
          <w:color w:val="auto"/>
          <w:sz w:val="32"/>
          <w:szCs w:val="32"/>
          <w:rtl/>
          <w:lang w:eastAsia="en-US"/>
        </w:rPr>
        <w:t>ﭷ  ﭸ</w:t>
      </w:r>
      <w:r w:rsidRPr="006035A5">
        <w:rPr>
          <w:rFonts w:ascii="QCF_BSML" w:hAnsi="QCF_BSML" w:cs="QCF_BSML"/>
          <w:color w:val="auto"/>
          <w:sz w:val="32"/>
          <w:szCs w:val="32"/>
          <w:rtl/>
          <w:lang w:eastAsia="en-US"/>
        </w:rPr>
        <w:t xml:space="preserve"> ﭼ</w:t>
      </w:r>
      <w:r w:rsidRPr="006035A5">
        <w:rPr>
          <w:rFonts w:ascii="QCF_P299" w:hAnsi="QCF_P299" w:cs="QCF_P299"/>
          <w:color w:val="auto"/>
          <w:sz w:val="32"/>
          <w:szCs w:val="32"/>
          <w:rtl/>
          <w:lang w:eastAsia="en-US"/>
        </w:rPr>
        <w:t xml:space="preserve">   </w:t>
      </w:r>
      <w:r w:rsidRPr="006035A5">
        <w:rPr>
          <w:rFonts w:ascii="Traditional Arabic" w:hAnsi="Traditional Arabic"/>
          <w:rtl/>
        </w:rPr>
        <w:t>خطاب للكفّار خاصّة، والمعنى: زعمتم في الدني</w:t>
      </w:r>
      <w:r w:rsidRPr="006035A5">
        <w:rPr>
          <w:rFonts w:ascii="Traditional Arabic" w:hAnsi="Traditional Arabic" w:hint="cs"/>
          <w:rtl/>
        </w:rPr>
        <w:t xml:space="preserve">ا </w:t>
      </w:r>
      <w:r w:rsidRPr="006035A5">
        <w:rPr>
          <w:rFonts w:ascii="QCF_BSML" w:hAnsi="QCF_BSML" w:cs="QCF_BSML"/>
          <w:color w:val="auto"/>
          <w:sz w:val="32"/>
          <w:szCs w:val="32"/>
          <w:rtl/>
          <w:lang w:eastAsia="en-US"/>
        </w:rPr>
        <w:t>ﭽ</w:t>
      </w:r>
      <w:r w:rsidRPr="006035A5">
        <w:rPr>
          <w:rFonts w:ascii="QCF_P299" w:hAnsi="QCF_P299" w:cs="QCF_P299"/>
          <w:color w:val="auto"/>
          <w:sz w:val="32"/>
          <w:szCs w:val="32"/>
          <w:rtl/>
          <w:lang w:eastAsia="en-US"/>
        </w:rPr>
        <w:t>ﭹ  ﭺ  ﭻ  ﭼ</w:t>
      </w:r>
      <w:r w:rsidRPr="006035A5">
        <w:rPr>
          <w:rFonts w:ascii="QCF_BSML" w:hAnsi="QCF_BSML" w:cs="QCF_BSML"/>
          <w:color w:val="auto"/>
          <w:sz w:val="32"/>
          <w:szCs w:val="32"/>
          <w:rtl/>
          <w:lang w:eastAsia="en-US"/>
        </w:rPr>
        <w:t xml:space="preserve"> ﭼ</w:t>
      </w:r>
      <w:r w:rsidRPr="006035A5">
        <w:rPr>
          <w:rFonts w:ascii="QCF_BSML" w:hAnsi="QCF_BSML" w:cs="QCF_BSML" w:hint="cs"/>
          <w:color w:val="auto"/>
          <w:sz w:val="32"/>
          <w:szCs w:val="32"/>
          <w:rtl/>
          <w:lang w:eastAsia="en-US"/>
        </w:rPr>
        <w:t xml:space="preserve">   </w:t>
      </w:r>
      <w:r w:rsidRPr="006035A5">
        <w:rPr>
          <w:rFonts w:ascii="QCF_P299" w:hAnsi="QCF_P299" w:cs="QCF_P299"/>
          <w:color w:val="auto"/>
          <w:sz w:val="32"/>
          <w:szCs w:val="32"/>
          <w:rtl/>
          <w:lang w:eastAsia="en-US"/>
        </w:rPr>
        <w:t xml:space="preserve">  </w:t>
      </w:r>
      <w:r w:rsidRPr="006035A5">
        <w:rPr>
          <w:rFonts w:ascii="Traditional Arabic" w:hAnsi="Traditional Arabic"/>
          <w:rtl/>
        </w:rPr>
        <w:t>للبعث، والجزاء</w:t>
      </w:r>
      <w:r w:rsidRPr="006035A5">
        <w:rPr>
          <w:rStyle w:val="ae"/>
          <w:rtl/>
        </w:rPr>
        <w:t>(</w:t>
      </w:r>
      <w:r>
        <w:rPr>
          <w:rStyle w:val="ae"/>
          <w:rtl/>
        </w:rPr>
        <w:footnoteReference w:id="159"/>
      </w:r>
      <w:r w:rsidRPr="006035A5">
        <w:rPr>
          <w:rStyle w:val="ae"/>
          <w:rtl/>
        </w:rPr>
        <w:t>)</w:t>
      </w:r>
      <w:r w:rsidRPr="006035A5">
        <w:rPr>
          <w:rFonts w:ascii="Traditional Arabic" w:hAnsi="Traditional Arabic"/>
          <w:rtl/>
        </w:rPr>
        <w:t>.</w:t>
      </w:r>
      <w:r>
        <w:rPr>
          <w:rFonts w:ascii="Traditional Arabic" w:eastAsia="Calibri" w:hAnsi="Traditional Arabic" w:hint="cs"/>
          <w:shd w:val="clear" w:color="auto" w:fill="FFFFFF"/>
          <w:rtl/>
        </w:rPr>
        <w:t xml:space="preserve"> </w:t>
      </w:r>
      <w:r w:rsidRPr="006035A5">
        <w:rPr>
          <w:rFonts w:ascii="Traditional Arabic" w:eastAsia="Calibri" w:hAnsi="Traditional Arabic" w:hint="cs"/>
          <w:shd w:val="clear" w:color="auto" w:fill="FFFFFF"/>
          <w:rtl/>
        </w:rPr>
        <w:t>و</w:t>
      </w:r>
      <w:r w:rsidRPr="006035A5">
        <w:rPr>
          <w:rFonts w:ascii="Traditional Arabic" w:eastAsia="Calibri" w:hAnsi="Traditional Arabic"/>
          <w:shd w:val="clear" w:color="auto" w:fill="FFFFFF"/>
          <w:rtl/>
        </w:rPr>
        <w:t>مثال</w:t>
      </w:r>
      <w:r w:rsidRPr="006035A5">
        <w:rPr>
          <w:rFonts w:ascii="Traditional Arabic" w:eastAsia="Calibri" w:hAnsi="Traditional Arabic" w:hint="cs"/>
          <w:shd w:val="clear" w:color="auto" w:fill="FFFFFF"/>
          <w:rtl/>
        </w:rPr>
        <w:t xml:space="preserve"> آخر:</w:t>
      </w:r>
      <w:r w:rsidRPr="006035A5">
        <w:rPr>
          <w:rFonts w:ascii="Traditional Arabic" w:hAnsi="Traditional Arabic" w:hint="cs"/>
          <w:rtl/>
        </w:rPr>
        <w:t xml:space="preserve"> قال </w:t>
      </w:r>
      <w:r w:rsidRPr="006035A5">
        <w:rPr>
          <w:rFonts w:ascii="Traditional Arabic" w:hAnsi="Traditional Arabic"/>
          <w:rtl/>
        </w:rPr>
        <w:t>رحمه الله</w:t>
      </w:r>
      <w:r w:rsidRPr="006035A5">
        <w:rPr>
          <w:rFonts w:ascii="Traditional Arabic" w:hAnsi="Traditional Arabic" w:hint="cs"/>
          <w:rtl/>
        </w:rPr>
        <w:t xml:space="preserve"> عند</w:t>
      </w:r>
      <w:r w:rsidRPr="006035A5">
        <w:rPr>
          <w:rFonts w:ascii="Traditional Arabic" w:hAnsi="Traditional Arabic"/>
          <w:rtl/>
        </w:rPr>
        <w:t xml:space="preserve"> </w:t>
      </w:r>
      <w:r w:rsidR="00D11232" w:rsidRPr="006035A5">
        <w:rPr>
          <w:rFonts w:ascii="Traditional Arabic" w:eastAsia="Calibri" w:hAnsi="Traditional Arabic"/>
          <w:shd w:val="clear" w:color="auto" w:fill="FFFFFF"/>
          <w:rtl/>
        </w:rPr>
        <w:t>قوله تعالى:</w:t>
      </w:r>
      <w:r w:rsidR="00220CDF" w:rsidRPr="006035A5">
        <w:rPr>
          <w:rFonts w:ascii="Traditional Arabic" w:hAnsi="Traditional Arabic"/>
          <w:color w:val="0D0D0D" w:themeColor="text1" w:themeTint="F2"/>
          <w:rtl/>
          <w:lang w:eastAsia="en-US"/>
        </w:rPr>
        <w:t xml:space="preserve"> </w:t>
      </w:r>
      <w:r w:rsidR="00220CDF" w:rsidRPr="006035A5">
        <w:rPr>
          <w:rFonts w:ascii="QCF_BSML" w:hAnsi="QCF_BSML" w:cs="QCF_BSML"/>
          <w:color w:val="0D0D0D" w:themeColor="text1" w:themeTint="F2"/>
          <w:sz w:val="32"/>
          <w:szCs w:val="32"/>
          <w:rtl/>
          <w:lang w:eastAsia="en-US"/>
        </w:rPr>
        <w:t>ﭽ</w:t>
      </w:r>
      <w:r w:rsidR="00220CDF" w:rsidRPr="006035A5">
        <w:rPr>
          <w:rFonts w:ascii="QCF_P288" w:hAnsi="QCF_P288" w:cs="QCF_P288"/>
          <w:color w:val="0D0D0D" w:themeColor="text1" w:themeTint="F2"/>
          <w:sz w:val="32"/>
          <w:szCs w:val="32"/>
          <w:rtl/>
          <w:lang w:eastAsia="en-US"/>
        </w:rPr>
        <w:t xml:space="preserve"> ﯺ    ﯻ ﯼ  ﯽ</w:t>
      </w:r>
      <w:r w:rsidR="00220CDF" w:rsidRPr="006035A5">
        <w:rPr>
          <w:rFonts w:ascii="QCF_BSML" w:hAnsi="QCF_BSML" w:cs="QCF_BSML"/>
          <w:color w:val="0D0D0D" w:themeColor="text1" w:themeTint="F2"/>
          <w:sz w:val="32"/>
          <w:szCs w:val="32"/>
          <w:rtl/>
          <w:lang w:eastAsia="en-US"/>
        </w:rPr>
        <w:t>ﭼ</w:t>
      </w:r>
      <w:r w:rsidR="007D541F">
        <w:rPr>
          <w:rFonts w:ascii="Traditional Arabic" w:hAnsi="Traditional Arabic" w:hint="cs"/>
          <w:color w:val="0D0D0D" w:themeColor="text1" w:themeTint="F2"/>
          <w:sz w:val="32"/>
          <w:szCs w:val="32"/>
          <w:rtl/>
        </w:rPr>
        <w:t xml:space="preserve"> </w:t>
      </w:r>
      <w:r w:rsidR="007D541F" w:rsidRPr="00832F88">
        <w:rPr>
          <w:rFonts w:ascii="Traditional Arabic" w:hAnsi="Traditional Arabic"/>
          <w:color w:val="0D0D0D" w:themeColor="text1" w:themeTint="F2"/>
          <w:sz w:val="32"/>
          <w:szCs w:val="32"/>
          <w:rtl/>
        </w:rPr>
        <w:t>[الإسراء:</w:t>
      </w:r>
      <w:r w:rsidR="007D541F">
        <w:rPr>
          <w:rFonts w:ascii="Traditional Arabic" w:hAnsi="Traditional Arabic" w:hint="cs"/>
          <w:color w:val="0D0D0D" w:themeColor="text1" w:themeTint="F2"/>
          <w:sz w:val="32"/>
          <w:szCs w:val="32"/>
          <w:rtl/>
        </w:rPr>
        <w:t>66</w:t>
      </w:r>
      <w:r w:rsidR="007D541F" w:rsidRPr="00832F88">
        <w:rPr>
          <w:rFonts w:ascii="Traditional Arabic" w:hAnsi="Traditional Arabic"/>
          <w:color w:val="0D0D0D" w:themeColor="text1" w:themeTint="F2"/>
          <w:sz w:val="32"/>
          <w:szCs w:val="32"/>
          <w:rtl/>
        </w:rPr>
        <w:t>]</w:t>
      </w:r>
      <w:r w:rsidR="007D541F" w:rsidRPr="006B2BAF">
        <w:rPr>
          <w:rFonts w:ascii="Traditional Arabic" w:eastAsia="Calibri" w:hAnsi="Traditional Arabic"/>
          <w:color w:val="auto"/>
          <w:rtl/>
        </w:rPr>
        <w:t xml:space="preserve"> </w:t>
      </w:r>
      <w:r w:rsidR="00220CDF" w:rsidRPr="006035A5">
        <w:rPr>
          <w:rFonts w:ascii="Traditional Arabic" w:hAnsi="Traditional Arabic"/>
          <w:color w:val="0D0D0D" w:themeColor="text1" w:themeTint="F2"/>
          <w:sz w:val="28"/>
          <w:szCs w:val="28"/>
          <w:rtl/>
          <w:lang w:eastAsia="en-US"/>
        </w:rPr>
        <w:t xml:space="preserve"> </w:t>
      </w:r>
      <w:r w:rsidR="00220CDF" w:rsidRPr="006035A5">
        <w:rPr>
          <w:rFonts w:ascii="Traditional Arabic" w:hAnsi="Traditional Arabic"/>
          <w:color w:val="0D0D0D" w:themeColor="text1" w:themeTint="F2"/>
          <w:rtl/>
          <w:lang w:eastAsia="en-US"/>
        </w:rPr>
        <w:t>هذا الخطاب خاصّ للمؤمنين، ثم خاطب المشركين فقال:</w:t>
      </w:r>
      <w:r w:rsidR="00220CDF" w:rsidRPr="006035A5">
        <w:rPr>
          <w:rFonts w:ascii="QCF_BSML" w:hAnsi="QCF_BSML" w:cs="QCF_BSML" w:hint="cs"/>
          <w:color w:val="0D0D0D" w:themeColor="text1" w:themeTint="F2"/>
          <w:sz w:val="28"/>
          <w:szCs w:val="28"/>
          <w:rtl/>
          <w:lang w:eastAsia="en-US"/>
        </w:rPr>
        <w:t xml:space="preserve"> </w:t>
      </w:r>
      <w:r w:rsidR="00220CDF" w:rsidRPr="006035A5">
        <w:rPr>
          <w:rFonts w:ascii="QCF_BSML" w:hAnsi="QCF_BSML" w:cs="QCF_BSML"/>
          <w:color w:val="0D0D0D" w:themeColor="text1" w:themeTint="F2"/>
          <w:sz w:val="32"/>
          <w:szCs w:val="32"/>
          <w:rtl/>
          <w:lang w:eastAsia="en-US"/>
        </w:rPr>
        <w:t>ﭽ</w:t>
      </w:r>
      <w:r w:rsidR="00220CDF" w:rsidRPr="006035A5">
        <w:rPr>
          <w:rFonts w:ascii="QCF_P289" w:hAnsi="QCF_P289" w:cs="QCF_P289"/>
          <w:color w:val="0D0D0D" w:themeColor="text1" w:themeTint="F2"/>
          <w:sz w:val="32"/>
          <w:szCs w:val="32"/>
          <w:rtl/>
          <w:lang w:eastAsia="en-US"/>
        </w:rPr>
        <w:t xml:space="preserve"> ﭑ  ﭒ  ﭓ ﭔ  ﭕ</w:t>
      </w:r>
      <w:r w:rsidR="00220CDF" w:rsidRPr="006035A5">
        <w:rPr>
          <w:rFonts w:ascii="QCF_BSML" w:hAnsi="QCF_BSML" w:cs="QCF_BSML"/>
          <w:color w:val="0D0D0D" w:themeColor="text1" w:themeTint="F2"/>
          <w:sz w:val="32"/>
          <w:szCs w:val="32"/>
          <w:rtl/>
          <w:lang w:eastAsia="en-US"/>
        </w:rPr>
        <w:t>ﭼ</w:t>
      </w:r>
      <w:r w:rsidR="00220CDF" w:rsidRPr="006035A5">
        <w:rPr>
          <w:rFonts w:ascii="Traditional Arabic" w:hAnsi="Traditional Arabic"/>
          <w:color w:val="0D0D0D" w:themeColor="text1" w:themeTint="F2"/>
          <w:sz w:val="32"/>
          <w:szCs w:val="32"/>
          <w:rtl/>
          <w:lang w:eastAsia="en-US"/>
        </w:rPr>
        <w:t xml:space="preserve"> </w:t>
      </w:r>
      <w:r w:rsidR="00220CDF" w:rsidRPr="006035A5">
        <w:rPr>
          <w:rFonts w:ascii="Traditional Arabic" w:hAnsi="Traditional Arabic"/>
          <w:color w:val="0D0D0D" w:themeColor="text1" w:themeTint="F2"/>
          <w:rtl/>
          <w:lang w:eastAsia="en-US"/>
        </w:rPr>
        <w:t>يعني: خوفَ الغَرَقِ</w:t>
      </w:r>
      <w:r w:rsidR="00220CDF" w:rsidRPr="006035A5">
        <w:rPr>
          <w:rStyle w:val="ae"/>
          <w:rFonts w:eastAsia="Calibri"/>
          <w:rtl/>
        </w:rPr>
        <w:t>(</w:t>
      </w:r>
      <w:r w:rsidR="00220CDF">
        <w:rPr>
          <w:rStyle w:val="ae"/>
          <w:rFonts w:eastAsia="Calibri"/>
          <w:rtl/>
        </w:rPr>
        <w:footnoteReference w:id="160"/>
      </w:r>
      <w:r w:rsidR="00220CDF" w:rsidRPr="006035A5">
        <w:rPr>
          <w:rStyle w:val="ae"/>
          <w:rFonts w:eastAsia="Calibri"/>
          <w:rtl/>
        </w:rPr>
        <w:t>)</w:t>
      </w:r>
      <w:r w:rsidR="00220CDF" w:rsidRPr="006035A5">
        <w:rPr>
          <w:rFonts w:ascii="Traditional Arabic" w:eastAsia="Calibri" w:hAnsi="Traditional Arabic" w:hint="cs"/>
          <w:shd w:val="clear" w:color="auto" w:fill="FFFFFF"/>
          <w:rtl/>
        </w:rPr>
        <w:t>.</w:t>
      </w:r>
    </w:p>
    <w:p w:rsidR="006035A5" w:rsidRDefault="00D11232" w:rsidP="00BF2E12">
      <w:pPr>
        <w:numPr>
          <w:ilvl w:val="0"/>
          <w:numId w:val="21"/>
        </w:numPr>
        <w:spacing w:after="200" w:line="276" w:lineRule="auto"/>
        <w:ind w:left="0" w:firstLine="0"/>
        <w:contextualSpacing/>
        <w:jc w:val="lowKashida"/>
        <w:rPr>
          <w:rFonts w:ascii="Traditional Arabic" w:eastAsia="Calibri" w:hAnsi="Traditional Arabic"/>
          <w:shd w:val="clear" w:color="auto" w:fill="FFFFFF"/>
        </w:rPr>
      </w:pPr>
      <w:r w:rsidRPr="006035A5">
        <w:rPr>
          <w:rFonts w:ascii="Traditional Arabic" w:eastAsia="Calibri" w:hAnsi="Traditional Arabic"/>
          <w:color w:val="auto"/>
          <w:rtl/>
        </w:rPr>
        <w:t>يهتم بذكر الناسخ والمنسوخ وغالبا ما يعقب عليه بتأييد أو نفي</w:t>
      </w:r>
      <w:r w:rsidRPr="006035A5">
        <w:rPr>
          <w:rFonts w:ascii="Traditional Arabic" w:eastAsia="Calibri" w:hAnsi="Traditional Arabic"/>
          <w:color w:val="auto"/>
          <w:shd w:val="clear" w:color="auto" w:fill="FFFFFF"/>
          <w:rtl/>
        </w:rPr>
        <w:t>. مثاله: في قوله تعالى</w:t>
      </w:r>
      <w:r w:rsidR="006035A5" w:rsidRPr="006035A5">
        <w:rPr>
          <w:rFonts w:ascii="Traditional Arabic" w:eastAsia="Calibri" w:hAnsi="Traditional Arabic" w:hint="cs"/>
          <w:color w:val="auto"/>
          <w:shd w:val="clear" w:color="auto" w:fill="FFFFFF"/>
          <w:rtl/>
        </w:rPr>
        <w:t>:</w:t>
      </w:r>
      <w:r w:rsidR="006035A5" w:rsidRPr="006035A5">
        <w:rPr>
          <w:rFonts w:ascii="QCF_BSML" w:hAnsi="QCF_BSML" w:cs="QCF_BSML"/>
          <w:sz w:val="32"/>
          <w:szCs w:val="32"/>
          <w:rtl/>
          <w:lang w:eastAsia="en-US"/>
        </w:rPr>
        <w:t xml:space="preserve"> ﭽ</w:t>
      </w:r>
      <w:r w:rsidR="006035A5" w:rsidRPr="006035A5">
        <w:rPr>
          <w:rFonts w:ascii="QCF_P293" w:hAnsi="QCF_P293" w:cs="QCF_P293"/>
          <w:color w:val="auto"/>
          <w:sz w:val="32"/>
          <w:szCs w:val="32"/>
          <w:rtl/>
          <w:lang w:eastAsia="en-US"/>
        </w:rPr>
        <w:t xml:space="preserve"> ﮗ  ﮘ  ﮙ  ﮚ  ﮛ  ﮜ  ﮝ  ﮞ   ﮟ  ﮠ  ﮡ</w:t>
      </w:r>
      <w:r w:rsidR="006035A5" w:rsidRPr="006035A5">
        <w:rPr>
          <w:rFonts w:ascii="QCF_BSML" w:hAnsi="QCF_BSML" w:cs="QCF_BSML" w:hint="cs"/>
          <w:color w:val="0D0D0D" w:themeColor="text1" w:themeTint="F2"/>
          <w:sz w:val="32"/>
          <w:szCs w:val="32"/>
          <w:rtl/>
          <w:lang w:eastAsia="en-US"/>
        </w:rPr>
        <w:t xml:space="preserve"> </w:t>
      </w:r>
      <w:r w:rsidR="006035A5" w:rsidRPr="006035A5">
        <w:rPr>
          <w:rFonts w:ascii="QCF_BSML" w:hAnsi="QCF_BSML" w:cs="QCF_BSML"/>
          <w:color w:val="0D0D0D" w:themeColor="text1" w:themeTint="F2"/>
          <w:sz w:val="32"/>
          <w:szCs w:val="32"/>
          <w:rtl/>
          <w:lang w:eastAsia="en-US"/>
        </w:rPr>
        <w:t>ﭼ</w:t>
      </w:r>
      <w:r w:rsidR="00BF2E12" w:rsidRPr="00832F88">
        <w:rPr>
          <w:rFonts w:ascii="Traditional Arabic" w:hAnsi="Traditional Arabic"/>
          <w:color w:val="0D0D0D" w:themeColor="text1" w:themeTint="F2"/>
          <w:sz w:val="32"/>
          <w:szCs w:val="32"/>
          <w:rtl/>
        </w:rPr>
        <w:t>[الإسراء:</w:t>
      </w:r>
      <w:r w:rsidR="00BF2E12">
        <w:rPr>
          <w:rFonts w:ascii="Traditional Arabic" w:hAnsi="Traditional Arabic" w:hint="cs"/>
          <w:color w:val="0D0D0D" w:themeColor="text1" w:themeTint="F2"/>
          <w:sz w:val="32"/>
          <w:szCs w:val="32"/>
          <w:rtl/>
        </w:rPr>
        <w:t>110</w:t>
      </w:r>
      <w:r w:rsidR="00BF2E12" w:rsidRPr="00832F88">
        <w:rPr>
          <w:rFonts w:ascii="Traditional Arabic" w:hAnsi="Traditional Arabic"/>
          <w:color w:val="0D0D0D" w:themeColor="text1" w:themeTint="F2"/>
          <w:sz w:val="32"/>
          <w:szCs w:val="32"/>
          <w:rtl/>
        </w:rPr>
        <w:t>]</w:t>
      </w:r>
      <w:r w:rsidR="00BF2E12" w:rsidRPr="00911ED4">
        <w:rPr>
          <w:rFonts w:ascii="QCF_P292" w:hAnsi="QCF_P292" w:cs="QCF_P292"/>
          <w:sz w:val="32"/>
          <w:szCs w:val="32"/>
          <w:rtl/>
          <w:lang w:eastAsia="en-US"/>
        </w:rPr>
        <w:t xml:space="preserve"> </w:t>
      </w:r>
      <w:r w:rsidR="00BF2E12" w:rsidRPr="00911ED4">
        <w:rPr>
          <w:rFonts w:ascii="QCF_P292" w:hAnsi="QCF_P292" w:cs="QCF_P292" w:hint="cs"/>
          <w:sz w:val="32"/>
          <w:szCs w:val="32"/>
          <w:rtl/>
          <w:lang w:eastAsia="en-US"/>
        </w:rPr>
        <w:t xml:space="preserve"> </w:t>
      </w:r>
      <w:r w:rsidR="006035A5" w:rsidRPr="006035A5">
        <w:rPr>
          <w:rFonts w:ascii="QCF_BSML" w:hAnsi="QCF_BSML" w:cs="QCF_BSML" w:hint="cs"/>
          <w:color w:val="0D0D0D" w:themeColor="text1" w:themeTint="F2"/>
          <w:sz w:val="32"/>
          <w:szCs w:val="32"/>
          <w:rtl/>
          <w:lang w:eastAsia="en-US"/>
        </w:rPr>
        <w:t xml:space="preserve">   </w:t>
      </w:r>
      <w:r w:rsidR="006035A5" w:rsidRPr="006035A5">
        <w:rPr>
          <w:rFonts w:ascii="QCF_P293" w:hAnsi="QCF_P293" w:cs="QCF_P293"/>
          <w:color w:val="auto"/>
          <w:sz w:val="32"/>
          <w:szCs w:val="32"/>
          <w:rtl/>
          <w:lang w:eastAsia="en-US"/>
        </w:rPr>
        <w:t xml:space="preserve"> </w:t>
      </w:r>
      <w:r w:rsidR="006035A5" w:rsidRPr="006035A5">
        <w:rPr>
          <w:rFonts w:ascii="Traditional Arabic" w:hAnsi="Traditional Arabic" w:hint="cs"/>
          <w:rtl/>
        </w:rPr>
        <w:t xml:space="preserve">قال </w:t>
      </w:r>
      <w:r w:rsidR="006035A5" w:rsidRPr="006035A5">
        <w:rPr>
          <w:rFonts w:ascii="Traditional Arabic" w:hAnsi="Traditional Arabic"/>
          <w:rtl/>
        </w:rPr>
        <w:t>رحمه الله</w:t>
      </w:r>
      <w:r w:rsidR="006035A5" w:rsidRPr="006035A5">
        <w:rPr>
          <w:rFonts w:ascii="Traditional Arabic" w:hAnsi="Traditional Arabic" w:hint="cs"/>
          <w:color w:val="auto"/>
          <w:rtl/>
          <w:lang w:eastAsia="en-US"/>
        </w:rPr>
        <w:t xml:space="preserve">: </w:t>
      </w:r>
      <w:r w:rsidR="006035A5" w:rsidRPr="006035A5">
        <w:rPr>
          <w:rFonts w:ascii="QCF_P293" w:hAnsi="QCF_P293" w:cs="QCF_P293"/>
          <w:color w:val="auto"/>
          <w:sz w:val="32"/>
          <w:szCs w:val="32"/>
          <w:rtl/>
          <w:lang w:eastAsia="en-US"/>
        </w:rPr>
        <w:t xml:space="preserve"> </w:t>
      </w:r>
      <w:r w:rsidR="006035A5" w:rsidRPr="00911ED4">
        <w:rPr>
          <w:rtl/>
        </w:rPr>
        <w:t xml:space="preserve">وقد روي عن ابن عباس أنه قال: نُسخت هذه الآية بقوله تعالى: </w:t>
      </w:r>
      <w:r w:rsidR="006035A5" w:rsidRPr="006035A5">
        <w:rPr>
          <w:rFonts w:ascii="QCF_BSML" w:hAnsi="QCF_BSML" w:cs="QCF_BSML"/>
          <w:sz w:val="32"/>
          <w:szCs w:val="32"/>
          <w:rtl/>
          <w:lang w:eastAsia="en-US"/>
        </w:rPr>
        <w:t xml:space="preserve">ﭽ </w:t>
      </w:r>
      <w:r w:rsidR="006035A5" w:rsidRPr="006035A5">
        <w:rPr>
          <w:rFonts w:ascii="QCF_P176" w:hAnsi="QCF_P176" w:cs="QCF_P176"/>
          <w:sz w:val="32"/>
          <w:szCs w:val="32"/>
          <w:rtl/>
          <w:lang w:eastAsia="en-US"/>
        </w:rPr>
        <w:t>ﯢ  ﯣ   ﯤ  ﯥ  ﯦ  ﯧ  ﯨ  ﯩ    ﯪ  ﯫ</w:t>
      </w:r>
      <w:r w:rsidR="006035A5" w:rsidRPr="006035A5">
        <w:rPr>
          <w:rFonts w:ascii="QCF_BSML" w:hAnsi="QCF_BSML" w:cs="QCF_BSML"/>
          <w:sz w:val="32"/>
          <w:szCs w:val="32"/>
          <w:rtl/>
          <w:lang w:eastAsia="en-US"/>
        </w:rPr>
        <w:t>ﭼ</w:t>
      </w:r>
      <w:r w:rsidR="006035A5" w:rsidRPr="006035A5">
        <w:rPr>
          <w:rFonts w:ascii="Traditional Arabic" w:hAnsi="Traditional Arabic" w:hint="cs"/>
          <w:color w:val="auto"/>
          <w:sz w:val="32"/>
          <w:szCs w:val="32"/>
          <w:rtl/>
          <w:lang w:eastAsia="en-US"/>
        </w:rPr>
        <w:t>[</w:t>
      </w:r>
      <w:r w:rsidR="006035A5" w:rsidRPr="006035A5">
        <w:rPr>
          <w:rFonts w:ascii="Traditional Arabic" w:hAnsi="Traditional Arabic"/>
          <w:color w:val="auto"/>
          <w:sz w:val="32"/>
          <w:szCs w:val="32"/>
          <w:rtl/>
          <w:lang w:eastAsia="en-US"/>
        </w:rPr>
        <w:t>الأعراف:٢٠٥</w:t>
      </w:r>
      <w:r w:rsidR="006035A5" w:rsidRPr="006035A5">
        <w:rPr>
          <w:rFonts w:ascii="Traditional Arabic" w:hAnsi="Traditional Arabic" w:hint="cs"/>
          <w:color w:val="auto"/>
          <w:sz w:val="32"/>
          <w:szCs w:val="32"/>
          <w:rtl/>
          <w:lang w:eastAsia="en-US"/>
        </w:rPr>
        <w:t>]</w:t>
      </w:r>
      <w:r w:rsidR="006035A5" w:rsidRPr="00911ED4">
        <w:rPr>
          <w:rtl/>
        </w:rPr>
        <w:t>،</w:t>
      </w:r>
      <w:r w:rsidR="006035A5" w:rsidRPr="00911ED4">
        <w:rPr>
          <w:rFonts w:hint="cs"/>
          <w:rtl/>
        </w:rPr>
        <w:t xml:space="preserve"> </w:t>
      </w:r>
      <w:r w:rsidR="006035A5" w:rsidRPr="00911ED4">
        <w:rPr>
          <w:rtl/>
        </w:rPr>
        <w:t>وقال ابن السّائب: نسخت بقوله</w:t>
      </w:r>
      <w:r w:rsidR="006035A5" w:rsidRPr="00911ED4">
        <w:rPr>
          <w:rFonts w:hint="cs"/>
          <w:rtl/>
        </w:rPr>
        <w:t xml:space="preserve"> </w:t>
      </w:r>
      <w:r w:rsidR="006035A5" w:rsidRPr="00911ED4">
        <w:rPr>
          <w:rtl/>
        </w:rPr>
        <w:t>تعالى:</w:t>
      </w:r>
      <w:r w:rsidR="006035A5" w:rsidRPr="006035A5">
        <w:rPr>
          <w:rFonts w:ascii="QCF_BSML" w:hAnsi="QCF_BSML" w:cs="QCF_BSML"/>
          <w:sz w:val="47"/>
          <w:szCs w:val="47"/>
          <w:rtl/>
          <w:lang w:eastAsia="en-US"/>
        </w:rPr>
        <w:t xml:space="preserve"> </w:t>
      </w:r>
      <w:r w:rsidR="006035A5" w:rsidRPr="006035A5">
        <w:rPr>
          <w:rFonts w:ascii="QCF_BSML" w:hAnsi="QCF_BSML" w:cs="QCF_BSML"/>
          <w:sz w:val="32"/>
          <w:szCs w:val="32"/>
          <w:rtl/>
          <w:lang w:eastAsia="en-US"/>
        </w:rPr>
        <w:t>ﭽ</w:t>
      </w:r>
      <w:r w:rsidR="006035A5" w:rsidRPr="006035A5">
        <w:rPr>
          <w:rFonts w:ascii="QCF_P267" w:hAnsi="QCF_P267" w:cs="QCF_P267"/>
          <w:sz w:val="32"/>
          <w:szCs w:val="32"/>
          <w:rtl/>
          <w:lang w:eastAsia="en-US"/>
        </w:rPr>
        <w:t>ﭞ</w:t>
      </w:r>
      <w:r w:rsidR="006035A5" w:rsidRPr="006035A5">
        <w:rPr>
          <w:rFonts w:ascii="QCF_P267" w:hAnsi="QCF_P267" w:cs="QCF_P267" w:hint="cs"/>
          <w:sz w:val="32"/>
          <w:szCs w:val="32"/>
          <w:rtl/>
          <w:lang w:eastAsia="en-US"/>
        </w:rPr>
        <w:t xml:space="preserve"> </w:t>
      </w:r>
      <w:r w:rsidR="006035A5" w:rsidRPr="006035A5">
        <w:rPr>
          <w:rFonts w:ascii="QCF_P267" w:hAnsi="QCF_P267" w:cs="QCF_P267"/>
          <w:sz w:val="32"/>
          <w:szCs w:val="32"/>
          <w:rtl/>
          <w:lang w:eastAsia="en-US"/>
        </w:rPr>
        <w:t>ﭟ  ﭠ</w:t>
      </w:r>
      <w:r w:rsidR="006035A5" w:rsidRPr="006035A5">
        <w:rPr>
          <w:rFonts w:ascii="QCF_BSML" w:hAnsi="QCF_BSML" w:cs="QCF_BSML"/>
          <w:sz w:val="32"/>
          <w:szCs w:val="32"/>
          <w:rtl/>
          <w:lang w:eastAsia="en-US"/>
        </w:rPr>
        <w:t>ﭼ</w:t>
      </w:r>
      <w:r w:rsidR="006035A5" w:rsidRPr="006035A5">
        <w:rPr>
          <w:rFonts w:ascii="Traditional Arabic" w:hAnsi="Traditional Arabic" w:hint="cs"/>
          <w:sz w:val="32"/>
          <w:szCs w:val="32"/>
          <w:rtl/>
          <w:lang w:eastAsia="en-US"/>
        </w:rPr>
        <w:t>[</w:t>
      </w:r>
      <w:r w:rsidR="006035A5" w:rsidRPr="006035A5">
        <w:rPr>
          <w:rFonts w:ascii="Traditional Arabic" w:hAnsi="Traditional Arabic"/>
          <w:color w:val="auto"/>
          <w:sz w:val="32"/>
          <w:szCs w:val="32"/>
          <w:rtl/>
          <w:lang w:eastAsia="en-US"/>
        </w:rPr>
        <w:t>الحجر:٩٤</w:t>
      </w:r>
      <w:r w:rsidR="006035A5" w:rsidRPr="006035A5">
        <w:rPr>
          <w:rFonts w:ascii="Traditional Arabic" w:hAnsi="Traditional Arabic" w:hint="cs"/>
          <w:color w:val="auto"/>
          <w:sz w:val="32"/>
          <w:szCs w:val="32"/>
          <w:rtl/>
          <w:lang w:eastAsia="en-US"/>
        </w:rPr>
        <w:t>]</w:t>
      </w:r>
      <w:r w:rsidR="006035A5">
        <w:rPr>
          <w:rFonts w:hint="cs"/>
          <w:rtl/>
        </w:rPr>
        <w:t xml:space="preserve"> </w:t>
      </w:r>
      <w:r w:rsidR="006035A5" w:rsidRPr="00911ED4">
        <w:rPr>
          <w:rtl/>
        </w:rPr>
        <w:t>وعلى التّحقيق، وجود النّسخ ها هنا بعيد</w:t>
      </w:r>
      <w:r w:rsidR="006035A5" w:rsidRPr="006035A5">
        <w:rPr>
          <w:rStyle w:val="ae"/>
          <w:rtl/>
        </w:rPr>
        <w:t>(</w:t>
      </w:r>
      <w:r w:rsidR="006035A5">
        <w:rPr>
          <w:rStyle w:val="ae"/>
          <w:rtl/>
        </w:rPr>
        <w:footnoteReference w:id="161"/>
      </w:r>
      <w:r w:rsidR="006035A5" w:rsidRPr="006035A5">
        <w:rPr>
          <w:rStyle w:val="ae"/>
          <w:rtl/>
        </w:rPr>
        <w:t>)</w:t>
      </w:r>
      <w:r w:rsidR="006035A5" w:rsidRPr="00911ED4">
        <w:rPr>
          <w:rtl/>
        </w:rPr>
        <w:t>.</w:t>
      </w:r>
    </w:p>
    <w:p w:rsidR="006035A5" w:rsidRPr="006035A5" w:rsidRDefault="006035A5" w:rsidP="006035A5">
      <w:pPr>
        <w:spacing w:after="200" w:line="276" w:lineRule="auto"/>
        <w:ind w:firstLine="0"/>
        <w:contextualSpacing/>
        <w:jc w:val="lowKashida"/>
        <w:rPr>
          <w:rFonts w:ascii="Traditional Arabic" w:eastAsia="Calibri" w:hAnsi="Traditional Arabic"/>
          <w:shd w:val="clear" w:color="auto" w:fill="FFFFFF"/>
          <w:rtl/>
        </w:rPr>
      </w:pPr>
    </w:p>
    <w:p w:rsidR="00D11232" w:rsidRPr="00C17B7B" w:rsidRDefault="00D11232" w:rsidP="00C443D8">
      <w:pPr>
        <w:numPr>
          <w:ilvl w:val="0"/>
          <w:numId w:val="20"/>
        </w:numPr>
        <w:spacing w:after="200" w:line="276" w:lineRule="auto"/>
        <w:ind w:left="0" w:firstLine="0"/>
        <w:contextualSpacing/>
        <w:jc w:val="lowKashida"/>
        <w:rPr>
          <w:rFonts w:ascii="Traditional Arabic" w:eastAsia="Calibri" w:hAnsi="Traditional Arabic"/>
          <w:color w:val="auto"/>
          <w:shd w:val="clear" w:color="auto" w:fill="FFFFFF"/>
        </w:rPr>
      </w:pPr>
      <w:r w:rsidRPr="00C17B7B">
        <w:rPr>
          <w:rFonts w:ascii="Traditional Arabic" w:eastAsia="Calibri" w:hAnsi="Traditional Arabic"/>
          <w:color w:val="auto"/>
          <w:shd w:val="clear" w:color="auto" w:fill="FFFFFF"/>
          <w:rtl/>
        </w:rPr>
        <w:t>خامسا: منهجه في ذكر علم العقيدة:</w:t>
      </w:r>
    </w:p>
    <w:p w:rsidR="00D11232" w:rsidRDefault="00D11232" w:rsidP="00BF2E12">
      <w:pPr>
        <w:numPr>
          <w:ilvl w:val="0"/>
          <w:numId w:val="22"/>
        </w:numPr>
        <w:spacing w:after="200" w:line="276" w:lineRule="auto"/>
        <w:ind w:left="0" w:firstLine="0"/>
        <w:contextualSpacing/>
        <w:jc w:val="lowKashida"/>
        <w:rPr>
          <w:rFonts w:ascii="Traditional Arabic" w:eastAsia="Calibri" w:hAnsi="Traditional Arabic"/>
          <w:color w:val="auto"/>
          <w:shd w:val="clear" w:color="auto" w:fill="FFFFFF"/>
        </w:rPr>
      </w:pPr>
      <w:r w:rsidRPr="00C17B7B">
        <w:rPr>
          <w:rFonts w:ascii="Traditional Arabic" w:eastAsia="Calibri" w:hAnsi="Traditional Arabic"/>
          <w:color w:val="auto"/>
          <w:shd w:val="clear" w:color="auto" w:fill="FFFFFF"/>
          <w:rtl/>
        </w:rPr>
        <w:t>استدلاله بالآيات على البعث والنشور وتنبيهه على ذلك. مثاله</w:t>
      </w:r>
      <w:r w:rsidR="00A02F30">
        <w:rPr>
          <w:rFonts w:ascii="Traditional Arabic" w:eastAsia="Calibri" w:hAnsi="Traditional Arabic" w:hint="cs"/>
          <w:color w:val="auto"/>
          <w:shd w:val="clear" w:color="auto" w:fill="FFFFFF"/>
          <w:rtl/>
        </w:rPr>
        <w:t>:</w:t>
      </w:r>
      <w:r w:rsidRPr="00C17B7B">
        <w:rPr>
          <w:rFonts w:ascii="Traditional Arabic" w:eastAsia="Calibri" w:hAnsi="Traditional Arabic"/>
          <w:color w:val="auto"/>
          <w:shd w:val="clear" w:color="auto" w:fill="FFFFFF"/>
          <w:rtl/>
        </w:rPr>
        <w:t xml:space="preserve"> في </w:t>
      </w:r>
      <w:r w:rsidR="00A02F30" w:rsidRPr="005C21CD">
        <w:rPr>
          <w:rtl/>
        </w:rPr>
        <w:t>قوله تعالى:</w:t>
      </w:r>
      <w:r w:rsidR="00A02F30" w:rsidRPr="005C21CD">
        <w:rPr>
          <w:rFonts w:hint="cs"/>
          <w:rtl/>
        </w:rPr>
        <w:t xml:space="preserve"> </w:t>
      </w:r>
      <w:r w:rsidR="00A02F30" w:rsidRPr="005C21CD">
        <w:rPr>
          <w:rFonts w:ascii="QCF_BSML" w:hAnsi="QCF_BSML" w:cs="QCF_BSML"/>
          <w:color w:val="auto"/>
          <w:sz w:val="32"/>
          <w:szCs w:val="32"/>
          <w:rtl/>
          <w:lang w:eastAsia="en-US"/>
        </w:rPr>
        <w:t>ﭽ</w:t>
      </w:r>
      <w:r w:rsidR="00A02F30" w:rsidRPr="005C21CD">
        <w:rPr>
          <w:rFonts w:ascii="QCF_P296" w:hAnsi="QCF_P296" w:cs="QCF_P296"/>
          <w:sz w:val="32"/>
          <w:szCs w:val="32"/>
          <w:rtl/>
          <w:lang w:eastAsia="en-US"/>
        </w:rPr>
        <w:t>ﭔ</w:t>
      </w:r>
      <w:r w:rsidR="00A02F30" w:rsidRPr="00A02F30">
        <w:rPr>
          <w:rFonts w:ascii="QCF_P296" w:hAnsi="QCF_P296" w:cs="QCF_P296"/>
          <w:sz w:val="32"/>
          <w:szCs w:val="32"/>
          <w:rtl/>
          <w:lang w:eastAsia="en-US"/>
        </w:rPr>
        <w:t xml:space="preserve"> </w:t>
      </w:r>
      <w:r w:rsidR="00A02F30" w:rsidRPr="005C21CD">
        <w:rPr>
          <w:rFonts w:ascii="QCF_P296" w:hAnsi="QCF_P296" w:cs="QCF_P296"/>
          <w:sz w:val="32"/>
          <w:szCs w:val="32"/>
          <w:rtl/>
          <w:lang w:eastAsia="en-US"/>
        </w:rPr>
        <w:t>ﭕ  ﭖ  ﭗ</w:t>
      </w:r>
      <w:r w:rsidR="00A02F30" w:rsidRPr="005C21CD">
        <w:rPr>
          <w:rFonts w:ascii="QCF_BSML" w:hAnsi="QCF_BSML" w:cs="QCF_BSML"/>
          <w:color w:val="auto"/>
          <w:sz w:val="32"/>
          <w:szCs w:val="32"/>
          <w:rtl/>
          <w:lang w:eastAsia="en-US"/>
        </w:rPr>
        <w:t xml:space="preserve"> ﭼ</w:t>
      </w:r>
      <w:r w:rsidR="00BF2E12">
        <w:rPr>
          <w:rFonts w:ascii="Traditional Arabic" w:hAnsi="Traditional Arabic" w:hint="cs"/>
          <w:sz w:val="32"/>
          <w:szCs w:val="32"/>
          <w:rtl/>
          <w:lang w:eastAsia="en-US"/>
        </w:rPr>
        <w:t xml:space="preserve"> </w:t>
      </w:r>
      <w:r w:rsidR="00BF2E12" w:rsidRPr="006B2BAF">
        <w:rPr>
          <w:rFonts w:ascii="Traditional Arabic" w:hAnsi="Traditional Arabic" w:hint="cs"/>
          <w:sz w:val="32"/>
          <w:szCs w:val="32"/>
          <w:rtl/>
          <w:lang w:eastAsia="en-US"/>
        </w:rPr>
        <w:t>[</w:t>
      </w:r>
      <w:r w:rsidR="00BF2E12" w:rsidRPr="006B2BAF">
        <w:rPr>
          <w:rFonts w:ascii="Traditional Arabic" w:hAnsi="Traditional Arabic"/>
          <w:color w:val="auto"/>
          <w:sz w:val="32"/>
          <w:szCs w:val="32"/>
          <w:rtl/>
          <w:lang w:eastAsia="en-US"/>
        </w:rPr>
        <w:t>الكهف:٢</w:t>
      </w:r>
      <w:r w:rsidR="00BF2E12">
        <w:rPr>
          <w:rFonts w:ascii="Traditional Arabic" w:hAnsi="Traditional Arabic" w:hint="cs"/>
          <w:color w:val="auto"/>
          <w:sz w:val="32"/>
          <w:szCs w:val="32"/>
          <w:rtl/>
          <w:lang w:eastAsia="en-US"/>
        </w:rPr>
        <w:t>1</w:t>
      </w:r>
      <w:r w:rsidR="00BF2E12" w:rsidRPr="006B2BAF">
        <w:rPr>
          <w:rFonts w:ascii="Traditional Arabic" w:hAnsi="Traditional Arabic" w:hint="cs"/>
          <w:color w:val="auto"/>
          <w:sz w:val="32"/>
          <w:szCs w:val="32"/>
          <w:rtl/>
          <w:lang w:eastAsia="en-US"/>
        </w:rPr>
        <w:t>]</w:t>
      </w:r>
      <w:r w:rsidR="00BF2E12" w:rsidRPr="005C21CD">
        <w:rPr>
          <w:rFonts w:hint="cs"/>
          <w:rtl/>
        </w:rPr>
        <w:t xml:space="preserve"> </w:t>
      </w:r>
      <w:r w:rsidR="00A02F30">
        <w:rPr>
          <w:rFonts w:hint="cs"/>
          <w:rtl/>
        </w:rPr>
        <w:t>قال رحمه الله تعالى:</w:t>
      </w:r>
      <w:r w:rsidR="00A02F30" w:rsidRPr="005C21CD">
        <w:rPr>
          <w:rtl/>
        </w:rPr>
        <w:t xml:space="preserve"> </w:t>
      </w:r>
      <w:r w:rsidR="00A02F30" w:rsidRPr="005C21CD">
        <w:rPr>
          <w:rFonts w:ascii="QCF_BSML" w:hAnsi="QCF_BSML" w:cs="QCF_BSML"/>
          <w:color w:val="auto"/>
          <w:sz w:val="32"/>
          <w:szCs w:val="32"/>
          <w:rtl/>
          <w:lang w:eastAsia="en-US"/>
        </w:rPr>
        <w:t>ﭽ</w:t>
      </w:r>
      <w:r w:rsidR="00A02F30">
        <w:rPr>
          <w:rFonts w:ascii="QCF_BSML" w:hAnsi="QCF_BSML" w:cs="QCF_BSML" w:hint="cs"/>
          <w:color w:val="auto"/>
          <w:sz w:val="32"/>
          <w:szCs w:val="32"/>
          <w:rtl/>
          <w:lang w:eastAsia="en-US"/>
        </w:rPr>
        <w:t xml:space="preserve"> </w:t>
      </w:r>
      <w:r w:rsidR="00A02F30" w:rsidRPr="005C21CD">
        <w:rPr>
          <w:rFonts w:ascii="QCF_P296" w:hAnsi="QCF_P296" w:cs="QCF_P296"/>
          <w:sz w:val="32"/>
          <w:szCs w:val="32"/>
          <w:rtl/>
          <w:lang w:eastAsia="en-US"/>
        </w:rPr>
        <w:t>ﭔ</w:t>
      </w:r>
      <w:r w:rsidR="00A02F30" w:rsidRPr="005C21CD">
        <w:rPr>
          <w:rtl/>
        </w:rPr>
        <w:t xml:space="preserve"> </w:t>
      </w:r>
      <w:r w:rsidR="00A02F30" w:rsidRPr="005C21CD">
        <w:rPr>
          <w:rFonts w:ascii="QCF_BSML" w:hAnsi="QCF_BSML" w:cs="QCF_BSML"/>
          <w:color w:val="auto"/>
          <w:sz w:val="32"/>
          <w:szCs w:val="32"/>
          <w:rtl/>
          <w:lang w:eastAsia="en-US"/>
        </w:rPr>
        <w:t>ﭼ</w:t>
      </w:r>
      <w:r w:rsidR="00A02F30">
        <w:rPr>
          <w:rFonts w:ascii="QCF_BSML" w:hAnsi="QCF_BSML" w:cs="QCF_BSML" w:hint="cs"/>
          <w:color w:val="auto"/>
          <w:sz w:val="32"/>
          <w:szCs w:val="32"/>
          <w:rtl/>
          <w:lang w:eastAsia="en-US"/>
        </w:rPr>
        <w:t xml:space="preserve">   </w:t>
      </w:r>
      <w:r w:rsidR="00A02F30" w:rsidRPr="005C21CD">
        <w:rPr>
          <w:rtl/>
        </w:rPr>
        <w:t xml:space="preserve">في المشار إِليهم بهذا العلم قولان: أحدهما: أنهم أهل بلدهم حين اختصموا في البعث، فبعث الله أهل الكهف </w:t>
      </w:r>
      <w:r w:rsidR="00A02F30" w:rsidRPr="005C21CD">
        <w:rPr>
          <w:rFonts w:ascii="QCF_BSML" w:hAnsi="QCF_BSML" w:cs="QCF_BSML"/>
          <w:color w:val="auto"/>
          <w:sz w:val="32"/>
          <w:szCs w:val="32"/>
          <w:rtl/>
          <w:lang w:eastAsia="en-US"/>
        </w:rPr>
        <w:t>ﭽ</w:t>
      </w:r>
      <w:r w:rsidR="00A02F30" w:rsidRPr="005C21CD">
        <w:rPr>
          <w:rFonts w:ascii="QCF_P296" w:hAnsi="QCF_P296" w:cs="QCF_P296"/>
          <w:sz w:val="32"/>
          <w:szCs w:val="32"/>
          <w:rtl/>
          <w:lang w:eastAsia="en-US"/>
        </w:rPr>
        <w:t xml:space="preserve"> ﭔ  ﭕ  ﭖ  ﭗ</w:t>
      </w:r>
      <w:r w:rsidR="00A02F30">
        <w:rPr>
          <w:rFonts w:ascii="QCF_P296" w:hAnsi="QCF_P296" w:cs="QCF_P296" w:hint="cs"/>
          <w:sz w:val="32"/>
          <w:szCs w:val="32"/>
          <w:rtl/>
          <w:lang w:eastAsia="en-US"/>
        </w:rPr>
        <w:t xml:space="preserve"> </w:t>
      </w:r>
      <w:r w:rsidR="00A02F30" w:rsidRPr="005C21CD">
        <w:rPr>
          <w:rFonts w:ascii="QCF_BSML" w:hAnsi="QCF_BSML" w:cs="QCF_BSML"/>
          <w:color w:val="auto"/>
          <w:sz w:val="32"/>
          <w:szCs w:val="32"/>
          <w:rtl/>
          <w:lang w:eastAsia="en-US"/>
        </w:rPr>
        <w:t>ﭼ</w:t>
      </w:r>
      <w:r w:rsidR="00A02F30">
        <w:rPr>
          <w:rFonts w:ascii="QCF_BSML" w:hAnsi="QCF_BSML" w:cs="QCF_BSML" w:hint="cs"/>
          <w:color w:val="auto"/>
          <w:sz w:val="32"/>
          <w:szCs w:val="32"/>
          <w:rtl/>
          <w:lang w:eastAsia="en-US"/>
        </w:rPr>
        <w:t xml:space="preserve">   </w:t>
      </w:r>
      <w:r w:rsidR="00A02F30" w:rsidRPr="005C21CD">
        <w:rPr>
          <w:rFonts w:ascii="QCF_P296" w:hAnsi="QCF_P296" w:cs="QCF_P296"/>
          <w:sz w:val="32"/>
          <w:szCs w:val="32"/>
          <w:rtl/>
          <w:lang w:eastAsia="en-US"/>
        </w:rPr>
        <w:t xml:space="preserve"> </w:t>
      </w:r>
      <w:r w:rsidR="00A02F30" w:rsidRPr="005C21CD">
        <w:rPr>
          <w:rtl/>
        </w:rPr>
        <w:t xml:space="preserve">بالبعث والجزاء </w:t>
      </w:r>
      <w:r w:rsidR="00A02F30" w:rsidRPr="005C21CD">
        <w:rPr>
          <w:rFonts w:ascii="QCF_BSML" w:hAnsi="QCF_BSML" w:cs="QCF_BSML"/>
          <w:color w:val="auto"/>
          <w:sz w:val="32"/>
          <w:szCs w:val="32"/>
          <w:rtl/>
          <w:lang w:eastAsia="en-US"/>
        </w:rPr>
        <w:t>ﭽ</w:t>
      </w:r>
      <w:r w:rsidR="00A02F30">
        <w:rPr>
          <w:rFonts w:ascii="QCF_P296" w:hAnsi="QCF_P296" w:cs="QCF_P296" w:hint="cs"/>
          <w:sz w:val="32"/>
          <w:szCs w:val="32"/>
          <w:rtl/>
          <w:lang w:eastAsia="en-US"/>
        </w:rPr>
        <w:t xml:space="preserve"> </w:t>
      </w:r>
      <w:r w:rsidR="00A02F30" w:rsidRPr="005C21CD">
        <w:rPr>
          <w:rFonts w:ascii="QCF_P296" w:hAnsi="QCF_P296" w:cs="QCF_P296"/>
          <w:sz w:val="32"/>
          <w:szCs w:val="32"/>
          <w:rtl/>
          <w:lang w:eastAsia="en-US"/>
        </w:rPr>
        <w:t>ﭘ</w:t>
      </w:r>
      <w:r w:rsidR="00A02F30">
        <w:rPr>
          <w:rFonts w:ascii="QCF_P296" w:hAnsi="QCF_P296" w:cs="QCF_P296" w:hint="cs"/>
          <w:sz w:val="32"/>
          <w:szCs w:val="32"/>
          <w:rtl/>
          <w:lang w:eastAsia="en-US"/>
        </w:rPr>
        <w:t xml:space="preserve"> </w:t>
      </w:r>
      <w:r w:rsidR="00A02F30" w:rsidRPr="005C21CD">
        <w:rPr>
          <w:rFonts w:ascii="QCF_BSML" w:hAnsi="QCF_BSML" w:cs="QCF_BSML"/>
          <w:color w:val="auto"/>
          <w:sz w:val="32"/>
          <w:szCs w:val="32"/>
          <w:rtl/>
          <w:lang w:eastAsia="en-US"/>
        </w:rPr>
        <w:t>ﭼ</w:t>
      </w:r>
      <w:r w:rsidR="00A02F30" w:rsidRPr="005C21CD">
        <w:rPr>
          <w:rtl/>
        </w:rPr>
        <w:t xml:space="preserve"> وأن القيامة لا شك فيها، هذا قول </w:t>
      </w:r>
      <w:r w:rsidR="00A02F30" w:rsidRPr="005C21CD">
        <w:rPr>
          <w:rtl/>
        </w:rPr>
        <w:lastRenderedPageBreak/>
        <w:t>الأكثرين. والثاني: أنهم أهل الكهف، بعثناهم ليرَوْا بعد علمهم أن وعد الله حق، ذكره الماوردي</w:t>
      </w:r>
      <w:r w:rsidR="00AE5B52" w:rsidRPr="00AE5B52">
        <w:rPr>
          <w:rStyle w:val="ae"/>
          <w:rFonts w:eastAsia="Calibri"/>
          <w:rtl/>
        </w:rPr>
        <w:t>(</w:t>
      </w:r>
      <w:r w:rsidR="00AE5B52">
        <w:rPr>
          <w:rStyle w:val="ae"/>
          <w:rFonts w:eastAsia="Calibri"/>
          <w:rtl/>
        </w:rPr>
        <w:footnoteReference w:id="162"/>
      </w:r>
      <w:r w:rsidR="00AE5B52" w:rsidRPr="00AE5B52">
        <w:rPr>
          <w:rStyle w:val="ae"/>
          <w:rFonts w:eastAsia="Calibri"/>
          <w:rtl/>
        </w:rPr>
        <w:t>)</w:t>
      </w:r>
      <w:r w:rsidR="00D44260">
        <w:rPr>
          <w:rFonts w:ascii="Traditional Arabic" w:eastAsia="Calibri" w:hAnsi="Traditional Arabic" w:hint="cs"/>
          <w:color w:val="auto"/>
          <w:shd w:val="clear" w:color="auto" w:fill="FFFFFF"/>
          <w:rtl/>
        </w:rPr>
        <w:t>.</w:t>
      </w:r>
    </w:p>
    <w:p w:rsidR="00AE5B52" w:rsidRPr="00BD5ED5" w:rsidRDefault="00D44260" w:rsidP="00BD5ED5">
      <w:pPr>
        <w:numPr>
          <w:ilvl w:val="0"/>
          <w:numId w:val="22"/>
        </w:numPr>
        <w:spacing w:after="200" w:line="276" w:lineRule="auto"/>
        <w:ind w:left="0" w:firstLine="0"/>
        <w:contextualSpacing/>
        <w:jc w:val="lowKashida"/>
        <w:rPr>
          <w:rFonts w:ascii="Traditional Arabic" w:eastAsia="Calibri" w:hAnsi="Traditional Arabic"/>
          <w:color w:val="auto"/>
          <w:shd w:val="clear" w:color="auto" w:fill="FFFFFF"/>
        </w:rPr>
      </w:pPr>
      <w:r w:rsidRPr="00D44260">
        <w:rPr>
          <w:rFonts w:ascii="Traditional Arabic" w:eastAsia="Calibri" w:hAnsi="Traditional Arabic"/>
          <w:color w:val="auto"/>
          <w:shd w:val="clear" w:color="auto" w:fill="FFFFFF"/>
          <w:rtl/>
        </w:rPr>
        <w:t>يتطرق لصفات الله وأفعاله</w:t>
      </w:r>
      <w:r>
        <w:rPr>
          <w:rFonts w:ascii="Traditional Arabic" w:eastAsia="Calibri" w:hAnsi="Traditional Arabic" w:hint="cs"/>
          <w:color w:val="auto"/>
          <w:shd w:val="clear" w:color="auto" w:fill="FFFFFF"/>
          <w:rtl/>
        </w:rPr>
        <w:t xml:space="preserve">. </w:t>
      </w:r>
      <w:r w:rsidRPr="00C17B7B">
        <w:rPr>
          <w:rFonts w:ascii="Traditional Arabic" w:eastAsia="Calibri" w:hAnsi="Traditional Arabic"/>
          <w:color w:val="auto"/>
          <w:shd w:val="clear" w:color="auto" w:fill="FFFFFF"/>
          <w:rtl/>
        </w:rPr>
        <w:t>مثاله</w:t>
      </w:r>
      <w:r>
        <w:rPr>
          <w:rFonts w:ascii="Traditional Arabic" w:eastAsia="Calibri" w:hAnsi="Traditional Arabic" w:hint="cs"/>
          <w:color w:val="auto"/>
          <w:shd w:val="clear" w:color="auto" w:fill="FFFFFF"/>
          <w:rtl/>
        </w:rPr>
        <w:t>:</w:t>
      </w:r>
      <w:r w:rsidRPr="00C17B7B">
        <w:rPr>
          <w:rFonts w:ascii="Traditional Arabic" w:eastAsia="Calibri" w:hAnsi="Traditional Arabic"/>
          <w:color w:val="auto"/>
          <w:shd w:val="clear" w:color="auto" w:fill="FFFFFF"/>
          <w:rtl/>
        </w:rPr>
        <w:t xml:space="preserve"> </w:t>
      </w:r>
      <w:r>
        <w:rPr>
          <w:rFonts w:hint="cs"/>
          <w:rtl/>
        </w:rPr>
        <w:t>قال رحمه الله تعالى عند</w:t>
      </w:r>
      <w:r w:rsidRPr="00D44260">
        <w:rPr>
          <w:rFonts w:ascii="Arial" w:hAnsi="Arial" w:cs="Arial"/>
          <w:color w:val="auto"/>
          <w:sz w:val="32"/>
          <w:szCs w:val="32"/>
          <w:rtl/>
          <w:lang w:eastAsia="en-US"/>
        </w:rPr>
        <w:t xml:space="preserve"> </w:t>
      </w:r>
      <w:r w:rsidRPr="00D44260">
        <w:rPr>
          <w:rFonts w:ascii="Traditional Arabic" w:hAnsi="Traditional Arabic"/>
          <w:rtl/>
        </w:rPr>
        <w:t xml:space="preserve">قوله تعالى: </w:t>
      </w:r>
      <w:r w:rsidRPr="00D44260">
        <w:rPr>
          <w:rFonts w:ascii="QCF_BSML" w:hAnsi="QCF_BSML" w:cs="QCF_BSML"/>
          <w:color w:val="auto"/>
          <w:sz w:val="32"/>
          <w:szCs w:val="32"/>
          <w:rtl/>
          <w:lang w:eastAsia="en-US"/>
        </w:rPr>
        <w:t xml:space="preserve">ﭽ </w:t>
      </w:r>
      <w:r w:rsidRPr="00D44260">
        <w:rPr>
          <w:rFonts w:ascii="QCF_P304" w:hAnsi="QCF_P304" w:cs="QCF_P304"/>
          <w:color w:val="auto"/>
          <w:sz w:val="32"/>
          <w:szCs w:val="32"/>
          <w:rtl/>
          <w:lang w:eastAsia="en-US"/>
        </w:rPr>
        <w:t>ﯱ  ﯲ        ﯳ         ﯴ        ﯵ  ﯶ   ﯷ</w:t>
      </w:r>
      <w:r w:rsidRPr="00D44260">
        <w:rPr>
          <w:rFonts w:ascii="QCF_BSML" w:hAnsi="QCF_BSML" w:cs="QCF_BSML"/>
          <w:color w:val="auto"/>
          <w:sz w:val="32"/>
          <w:szCs w:val="32"/>
          <w:rtl/>
          <w:lang w:eastAsia="en-US"/>
        </w:rPr>
        <w:t xml:space="preserve"> ﭼ</w:t>
      </w:r>
      <w:r w:rsidR="00BF2E12">
        <w:rPr>
          <w:rFonts w:ascii="QCF_BSML" w:hAnsi="QCF_BSML" w:cs="QCF_BSML" w:hint="cs"/>
          <w:color w:val="auto"/>
          <w:sz w:val="32"/>
          <w:szCs w:val="32"/>
          <w:rtl/>
          <w:lang w:eastAsia="en-US"/>
        </w:rPr>
        <w:t xml:space="preserve">   </w:t>
      </w:r>
      <w:r w:rsidR="00BF2E12" w:rsidRPr="006B2BAF">
        <w:rPr>
          <w:rFonts w:ascii="Traditional Arabic" w:hAnsi="Traditional Arabic" w:hint="cs"/>
          <w:sz w:val="32"/>
          <w:szCs w:val="32"/>
          <w:rtl/>
          <w:lang w:eastAsia="en-US"/>
        </w:rPr>
        <w:t>[</w:t>
      </w:r>
      <w:r w:rsidR="00BF2E12" w:rsidRPr="006B2BAF">
        <w:rPr>
          <w:rFonts w:ascii="Traditional Arabic" w:hAnsi="Traditional Arabic"/>
          <w:color w:val="auto"/>
          <w:sz w:val="32"/>
          <w:szCs w:val="32"/>
          <w:rtl/>
          <w:lang w:eastAsia="en-US"/>
        </w:rPr>
        <w:t>الكهف:</w:t>
      </w:r>
      <w:r w:rsidR="00BF2E12">
        <w:rPr>
          <w:rFonts w:ascii="Traditional Arabic" w:hAnsi="Traditional Arabic" w:hint="cs"/>
          <w:color w:val="auto"/>
          <w:sz w:val="32"/>
          <w:szCs w:val="32"/>
          <w:rtl/>
          <w:lang w:eastAsia="en-US"/>
        </w:rPr>
        <w:t>109</w:t>
      </w:r>
      <w:r w:rsidR="00BF2E12" w:rsidRPr="006B2BAF">
        <w:rPr>
          <w:rFonts w:ascii="Traditional Arabic" w:hAnsi="Traditional Arabic" w:hint="cs"/>
          <w:color w:val="auto"/>
          <w:sz w:val="32"/>
          <w:szCs w:val="32"/>
          <w:rtl/>
          <w:lang w:eastAsia="en-US"/>
        </w:rPr>
        <w:t>]</w:t>
      </w:r>
      <w:r w:rsidR="00BF2E12" w:rsidRPr="005C21CD">
        <w:rPr>
          <w:rFonts w:hint="cs"/>
          <w:rtl/>
        </w:rPr>
        <w:t xml:space="preserve"> </w:t>
      </w:r>
      <w:r w:rsidRPr="00D44260">
        <w:rPr>
          <w:rFonts w:ascii="QCF_P304" w:hAnsi="QCF_P304" w:cs="QCF_P304"/>
          <w:color w:val="auto"/>
          <w:sz w:val="32"/>
          <w:szCs w:val="32"/>
          <w:rtl/>
          <w:lang w:eastAsia="en-US"/>
        </w:rPr>
        <w:t xml:space="preserve"> </w:t>
      </w:r>
      <w:r w:rsidRPr="00D44260">
        <w:rPr>
          <w:rFonts w:ascii="Traditional Arabic" w:hAnsi="Traditional Arabic"/>
          <w:rtl/>
        </w:rPr>
        <w:t>سبب نزولها</w:t>
      </w:r>
      <w:r>
        <w:rPr>
          <w:rFonts w:hint="cs"/>
          <w:vertAlign w:val="superscript"/>
          <w:rtl/>
        </w:rPr>
        <w:t xml:space="preserve"> </w:t>
      </w:r>
      <w:r w:rsidRPr="00D44260">
        <w:rPr>
          <w:rFonts w:ascii="Traditional Arabic" w:hAnsi="Traditional Arabic"/>
          <w:rtl/>
        </w:rPr>
        <w:t xml:space="preserve">أنه لما نزل قوله تعالى: </w:t>
      </w:r>
      <w:r w:rsidRPr="00D44260">
        <w:rPr>
          <w:rFonts w:ascii="QCF_BSML" w:hAnsi="QCF_BSML" w:cs="QCF_BSML"/>
          <w:sz w:val="32"/>
          <w:szCs w:val="32"/>
          <w:rtl/>
          <w:lang w:eastAsia="en-US"/>
        </w:rPr>
        <w:t xml:space="preserve">ﭽ </w:t>
      </w:r>
      <w:r w:rsidRPr="00D44260">
        <w:rPr>
          <w:rFonts w:ascii="QCF_P290" w:hAnsi="QCF_P290" w:cs="QCF_P290"/>
          <w:sz w:val="32"/>
          <w:szCs w:val="32"/>
          <w:rtl/>
          <w:lang w:eastAsia="en-US"/>
        </w:rPr>
        <w:t xml:space="preserve">ﯷ  ﯸ  ﯹ  ﯺ  ﯻ  ﯼ  </w:t>
      </w:r>
      <w:r w:rsidRPr="00D44260">
        <w:rPr>
          <w:rFonts w:ascii="QCF_BSML" w:hAnsi="QCF_BSML" w:cs="QCF_BSML"/>
          <w:sz w:val="32"/>
          <w:szCs w:val="32"/>
          <w:rtl/>
          <w:lang w:eastAsia="en-US"/>
        </w:rPr>
        <w:t>ﭼ</w:t>
      </w:r>
      <w:r w:rsidRPr="00D44260">
        <w:rPr>
          <w:rFonts w:ascii="Arial" w:hAnsi="Arial" w:cs="Arial"/>
          <w:sz w:val="32"/>
          <w:szCs w:val="32"/>
          <w:rtl/>
          <w:lang w:eastAsia="en-US"/>
        </w:rPr>
        <w:t xml:space="preserve"> </w:t>
      </w:r>
      <w:r w:rsidRPr="00BF2E12">
        <w:rPr>
          <w:rFonts w:ascii="Traditional Arabic" w:hAnsi="Traditional Arabic" w:hint="cs"/>
          <w:sz w:val="32"/>
          <w:szCs w:val="32"/>
          <w:rtl/>
        </w:rPr>
        <w:t>[</w:t>
      </w:r>
      <w:r w:rsidRPr="00BF2E12">
        <w:rPr>
          <w:rFonts w:ascii="Traditional Arabic" w:hAnsi="Traditional Arabic"/>
          <w:sz w:val="32"/>
          <w:szCs w:val="32"/>
          <w:rtl/>
        </w:rPr>
        <w:t>الإسراء:85</w:t>
      </w:r>
      <w:r w:rsidRPr="00BF2E12">
        <w:rPr>
          <w:rFonts w:ascii="Traditional Arabic" w:hAnsi="Traditional Arabic" w:hint="cs"/>
          <w:sz w:val="32"/>
          <w:szCs w:val="32"/>
          <w:rtl/>
        </w:rPr>
        <w:t xml:space="preserve">] </w:t>
      </w:r>
      <w:r w:rsidRPr="00D44260">
        <w:rPr>
          <w:rFonts w:ascii="Traditional Arabic" w:hAnsi="Traditional Arabic"/>
          <w:rtl/>
        </w:rPr>
        <w:t>قالت اليهود: كيف وقد أوتينا التوراة وفيها علم كل شيء؟ فنزلت هذه الآية، قاله ابن عباس. ومعنى الآية: لو كان ماء البحر مددا يُكتَب به. قال مجاهد: لو كان البحر مداداً للقلم، والقلم يكتب. وقال ابن الأنباري: سمي المداد مداداً لإِمداده الكاتب، وأصله من الزيادة ومجيء الشيء بعد الشيء. وقرأ الحسن، والأعمش: «مدداً لكلمات ربِّي» بغير ألف. قوله تعالى:</w:t>
      </w:r>
      <w:r w:rsidRPr="00D44260">
        <w:rPr>
          <w:rFonts w:ascii="Traditional Arabic" w:hAnsi="Traditional Arabic" w:hint="cs"/>
          <w:rtl/>
        </w:rPr>
        <w:t xml:space="preserve"> </w:t>
      </w:r>
      <w:r w:rsidRPr="00D44260">
        <w:rPr>
          <w:rFonts w:ascii="QCF_BSML" w:hAnsi="QCF_BSML" w:cs="QCF_BSML"/>
          <w:sz w:val="32"/>
          <w:szCs w:val="32"/>
          <w:rtl/>
          <w:lang w:eastAsia="en-US"/>
        </w:rPr>
        <w:t>ﭽ</w:t>
      </w:r>
      <w:r w:rsidRPr="00D44260">
        <w:rPr>
          <w:rFonts w:ascii="QCF_P304" w:hAnsi="QCF_P304" w:cs="QCF_P304"/>
          <w:color w:val="auto"/>
          <w:sz w:val="32"/>
          <w:szCs w:val="32"/>
          <w:rtl/>
          <w:lang w:eastAsia="en-US"/>
        </w:rPr>
        <w:t xml:space="preserve"> ﯺ  ﯻ  ﯼ  ﯽ         ﯾ</w:t>
      </w:r>
      <w:r w:rsidRPr="00D44260">
        <w:rPr>
          <w:rFonts w:ascii="QCF_BSML" w:hAnsi="QCF_BSML" w:cs="QCF_BSML"/>
          <w:color w:val="auto"/>
          <w:sz w:val="32"/>
          <w:szCs w:val="32"/>
          <w:rtl/>
          <w:lang w:eastAsia="en-US"/>
        </w:rPr>
        <w:t xml:space="preserve"> ﭼ</w:t>
      </w:r>
      <w:r w:rsidRPr="00D44260">
        <w:rPr>
          <w:rFonts w:ascii="QCF_P304" w:hAnsi="QCF_P304" w:cs="QCF_P304"/>
          <w:color w:val="auto"/>
          <w:sz w:val="32"/>
          <w:szCs w:val="32"/>
          <w:rtl/>
          <w:lang w:eastAsia="en-US"/>
        </w:rPr>
        <w:t xml:space="preserve">  </w:t>
      </w:r>
      <w:r w:rsidRPr="00D44260">
        <w:rPr>
          <w:rFonts w:ascii="Traditional Arabic" w:hAnsi="Traditional Arabic" w:hint="cs"/>
          <w:rtl/>
        </w:rPr>
        <w:t xml:space="preserve"> </w:t>
      </w:r>
      <w:r w:rsidRPr="00D44260">
        <w:rPr>
          <w:rFonts w:ascii="Traditional Arabic" w:hAnsi="Traditional Arabic"/>
          <w:rtl/>
        </w:rPr>
        <w:t>قرأ ابن كثير، ونافع، وأبو عمرو، وعاصم: «تنفد» بالتاء. وقرأ ابن عامر، وحمزة، والكسائي: «ينفد» بالياء. قال أبو علي: التأنيث أحسن، لأن المُسنَد إِليه الفعلُ مؤنث، والتذكير حسن، لأن التأنيث ليس بحقيقي، وإِنما لم تنفد كلمات الله، لأن كلامه صفة من صفات ذاته، ولا يتطرق على صفاته النفاد</w:t>
      </w:r>
      <w:r w:rsidR="00AE5B52" w:rsidRPr="00AE5B52">
        <w:rPr>
          <w:rStyle w:val="ae"/>
          <w:rFonts w:eastAsia="Calibri"/>
          <w:rtl/>
        </w:rPr>
        <w:t>(</w:t>
      </w:r>
      <w:r w:rsidR="00AE5B52">
        <w:rPr>
          <w:rStyle w:val="ae"/>
          <w:rFonts w:eastAsia="Calibri"/>
          <w:rtl/>
        </w:rPr>
        <w:footnoteReference w:id="163"/>
      </w:r>
      <w:r w:rsidR="00AE5B52" w:rsidRPr="00AE5B52">
        <w:rPr>
          <w:rStyle w:val="ae"/>
          <w:rFonts w:eastAsia="Calibri"/>
          <w:rtl/>
        </w:rPr>
        <w:t>)</w:t>
      </w:r>
      <w:r>
        <w:rPr>
          <w:rFonts w:ascii="Traditional Arabic" w:eastAsia="Calibri" w:hAnsi="Traditional Arabic" w:hint="cs"/>
          <w:color w:val="auto"/>
          <w:shd w:val="clear" w:color="auto" w:fill="FFFFFF"/>
          <w:rtl/>
        </w:rPr>
        <w:t>.</w:t>
      </w:r>
    </w:p>
    <w:p w:rsidR="00AE5B52" w:rsidRDefault="00AE5B52" w:rsidP="00AE5B52">
      <w:pPr>
        <w:numPr>
          <w:ilvl w:val="0"/>
          <w:numId w:val="22"/>
        </w:numPr>
        <w:spacing w:after="200" w:line="276" w:lineRule="auto"/>
        <w:ind w:left="0" w:firstLine="0"/>
        <w:contextualSpacing/>
        <w:jc w:val="lowKashida"/>
        <w:rPr>
          <w:rFonts w:ascii="Traditional Arabic" w:eastAsia="Calibri" w:hAnsi="Traditional Arabic"/>
          <w:color w:val="auto"/>
          <w:shd w:val="clear" w:color="auto" w:fill="FFFFFF"/>
        </w:rPr>
      </w:pPr>
      <w:r>
        <w:rPr>
          <w:rFonts w:ascii="Traditional Arabic" w:hAnsi="Traditional Arabic" w:hint="cs"/>
          <w:rtl/>
        </w:rPr>
        <w:t xml:space="preserve">يذكر بعض فرق النصارى وما عندهم من الضلال. </w:t>
      </w:r>
      <w:r w:rsidRPr="00C17B7B">
        <w:rPr>
          <w:rFonts w:ascii="Traditional Arabic" w:eastAsia="Calibri" w:hAnsi="Traditional Arabic"/>
          <w:color w:val="auto"/>
          <w:shd w:val="clear" w:color="auto" w:fill="FFFFFF"/>
          <w:rtl/>
        </w:rPr>
        <w:t>مثاله</w:t>
      </w:r>
      <w:r>
        <w:rPr>
          <w:rFonts w:ascii="Traditional Arabic" w:eastAsia="Calibri" w:hAnsi="Traditional Arabic" w:hint="cs"/>
          <w:color w:val="auto"/>
          <w:shd w:val="clear" w:color="auto" w:fill="FFFFFF"/>
          <w:rtl/>
        </w:rPr>
        <w:t>:</w:t>
      </w:r>
      <w:r w:rsidRPr="00C17B7B">
        <w:rPr>
          <w:rFonts w:ascii="Traditional Arabic" w:eastAsia="Calibri" w:hAnsi="Traditional Arabic"/>
          <w:color w:val="auto"/>
          <w:shd w:val="clear" w:color="auto" w:fill="FFFFFF"/>
          <w:rtl/>
        </w:rPr>
        <w:t xml:space="preserve"> </w:t>
      </w:r>
      <w:r>
        <w:rPr>
          <w:rFonts w:hint="cs"/>
          <w:rtl/>
        </w:rPr>
        <w:t>قال رحمه الله تعالى عند</w:t>
      </w:r>
      <w:r w:rsidRPr="00D44260">
        <w:rPr>
          <w:rFonts w:ascii="Arial" w:hAnsi="Arial" w:cs="Arial"/>
          <w:color w:val="auto"/>
          <w:sz w:val="32"/>
          <w:szCs w:val="32"/>
          <w:rtl/>
          <w:lang w:eastAsia="en-US"/>
        </w:rPr>
        <w:t xml:space="preserve"> </w:t>
      </w:r>
      <w:r w:rsidRPr="00D44260">
        <w:rPr>
          <w:rFonts w:ascii="Traditional Arabic" w:hAnsi="Traditional Arabic"/>
          <w:rtl/>
        </w:rPr>
        <w:t xml:space="preserve">قوله تعالى: </w:t>
      </w:r>
      <w:r w:rsidRPr="00AE5B52">
        <w:rPr>
          <w:rFonts w:ascii="QCF_BSML" w:hAnsi="QCF_BSML" w:cs="QCF_BSML"/>
          <w:color w:val="auto"/>
          <w:sz w:val="32"/>
          <w:szCs w:val="32"/>
          <w:rtl/>
          <w:lang w:eastAsia="en-US"/>
        </w:rPr>
        <w:t>ﭽ</w:t>
      </w:r>
      <w:r w:rsidRPr="00AE5B52">
        <w:rPr>
          <w:rFonts w:ascii="QCF_P307" w:hAnsi="QCF_P307" w:cs="QCF_P307"/>
          <w:color w:val="auto"/>
          <w:sz w:val="32"/>
          <w:szCs w:val="32"/>
          <w:rtl/>
          <w:lang w:eastAsia="en-US"/>
        </w:rPr>
        <w:t xml:space="preserve">ﯸ  ﯹ ﯺ   ﯻﯼ  </w:t>
      </w:r>
      <w:r w:rsidRPr="00AE5B52">
        <w:rPr>
          <w:rFonts w:ascii="QCF_BSML" w:hAnsi="QCF_BSML" w:cs="QCF_BSML"/>
          <w:color w:val="auto"/>
          <w:sz w:val="32"/>
          <w:szCs w:val="32"/>
          <w:rtl/>
          <w:lang w:eastAsia="en-US"/>
        </w:rPr>
        <w:t>ﭼ</w:t>
      </w:r>
      <w:r w:rsidR="00BF2E12">
        <w:rPr>
          <w:rFonts w:ascii="QCF_BSML" w:hAnsi="QCF_BSML" w:cs="QCF_BSML" w:hint="cs"/>
          <w:color w:val="auto"/>
          <w:sz w:val="32"/>
          <w:szCs w:val="32"/>
          <w:rtl/>
          <w:lang w:eastAsia="en-US"/>
        </w:rPr>
        <w:t xml:space="preserve">  </w:t>
      </w:r>
      <w:r w:rsidR="00BF2E12">
        <w:rPr>
          <w:rFonts w:ascii="Traditional Arabic" w:hAnsi="Traditional Arabic" w:hint="cs"/>
          <w:color w:val="auto"/>
          <w:sz w:val="32"/>
          <w:szCs w:val="32"/>
          <w:rtl/>
          <w:lang w:eastAsia="en-US"/>
        </w:rPr>
        <w:t>[مريم:37]</w:t>
      </w:r>
      <w:r w:rsidRPr="00AE5B52">
        <w:rPr>
          <w:rFonts w:ascii="Traditional Arabic" w:hAnsi="Traditional Arabic"/>
          <w:rtl/>
        </w:rPr>
        <w:t xml:space="preserve"> قال المفسرون: «مِنْ» زائدة، والمعنى: اختلفوا بينهم.</w:t>
      </w:r>
      <w:r w:rsidRPr="00AE5B52">
        <w:rPr>
          <w:rFonts w:ascii="Traditional Arabic" w:hAnsi="Traditional Arabic" w:hint="cs"/>
          <w:rtl/>
        </w:rPr>
        <w:t xml:space="preserve"> </w:t>
      </w:r>
      <w:r w:rsidRPr="00AE5B52">
        <w:rPr>
          <w:rFonts w:ascii="Traditional Arabic" w:hAnsi="Traditional Arabic"/>
          <w:rtl/>
        </w:rPr>
        <w:t>وقال ابن الأنباري: لما تمسَّك المؤمنون بالحق، كان اختلاف الأحزاب بين المؤمنين مقصوراً عليهم.</w:t>
      </w:r>
      <w:r w:rsidRPr="00AE5B52">
        <w:rPr>
          <w:rFonts w:ascii="Traditional Arabic" w:hAnsi="Traditional Arabic" w:hint="cs"/>
          <w:rtl/>
        </w:rPr>
        <w:t xml:space="preserve"> </w:t>
      </w:r>
      <w:r w:rsidRPr="00AE5B52">
        <w:rPr>
          <w:rFonts w:ascii="Traditional Arabic" w:hAnsi="Traditional Arabic"/>
          <w:rtl/>
        </w:rPr>
        <w:t>وفي</w:t>
      </w:r>
      <w:r w:rsidRPr="00AE5B52">
        <w:rPr>
          <w:rFonts w:ascii="Traditional Arabic" w:hAnsi="Traditional Arabic" w:hint="cs"/>
          <w:rtl/>
        </w:rPr>
        <w:t xml:space="preserve"> </w:t>
      </w:r>
      <w:r w:rsidRPr="00AE5B52">
        <w:rPr>
          <w:rFonts w:ascii="QCF_BSML" w:hAnsi="QCF_BSML" w:cs="QCF_BSML"/>
          <w:color w:val="auto"/>
          <w:sz w:val="32"/>
          <w:szCs w:val="32"/>
          <w:rtl/>
          <w:lang w:eastAsia="en-US"/>
        </w:rPr>
        <w:t>ﭽ</w:t>
      </w:r>
      <w:r w:rsidRPr="00AE5B52">
        <w:rPr>
          <w:rFonts w:ascii="QCF_P307" w:hAnsi="QCF_P307" w:cs="QCF_P307"/>
          <w:color w:val="auto"/>
          <w:sz w:val="32"/>
          <w:szCs w:val="32"/>
          <w:rtl/>
          <w:lang w:eastAsia="en-US"/>
        </w:rPr>
        <w:t xml:space="preserve"> ﯹ</w:t>
      </w:r>
      <w:r w:rsidRPr="00AE5B52">
        <w:rPr>
          <w:rFonts w:ascii="QCF_BSML" w:hAnsi="QCF_BSML" w:cs="QCF_BSML"/>
          <w:color w:val="auto"/>
          <w:sz w:val="32"/>
          <w:szCs w:val="32"/>
          <w:rtl/>
          <w:lang w:eastAsia="en-US"/>
        </w:rPr>
        <w:t xml:space="preserve"> ﭼ</w:t>
      </w:r>
      <w:r w:rsidRPr="00AE5B52">
        <w:rPr>
          <w:rFonts w:ascii="Traditional Arabic" w:hAnsi="Traditional Arabic"/>
          <w:rtl/>
        </w:rPr>
        <w:t xml:space="preserve"> قولان: أحدهما: أنهم اليهود والنصارى، فكانت اليهود تقول: إِنه لغير رِشْدَةٍ، والنصارى تدَّعي فيه ما لا يليق به. والثاني: أنهم فرق النّصارى، قال بعضهم، يعني اليعقوبيّة: هو الله، وقال بعضهم، يعني النّسطوريّة: ابن الله، وقال بعضهم: ثالث </w:t>
      </w:r>
      <w:r w:rsidRPr="00AE5B52">
        <w:rPr>
          <w:rFonts w:ascii="Traditional Arabic" w:hAnsi="Traditional Arabic"/>
          <w:rtl/>
        </w:rPr>
        <w:lastRenderedPageBreak/>
        <w:t>ثلاثة</w:t>
      </w:r>
      <w:r w:rsidRPr="00AE5B52">
        <w:rPr>
          <w:rStyle w:val="ae"/>
          <w:rtl/>
        </w:rPr>
        <w:t>(</w:t>
      </w:r>
      <w:r>
        <w:rPr>
          <w:rStyle w:val="ae"/>
          <w:rtl/>
        </w:rPr>
        <w:footnoteReference w:id="164"/>
      </w:r>
      <w:r w:rsidRPr="00AE5B52">
        <w:rPr>
          <w:rStyle w:val="ae"/>
          <w:rtl/>
        </w:rPr>
        <w:t>)</w:t>
      </w:r>
      <w:r w:rsidRPr="00AE5B52">
        <w:rPr>
          <w:rFonts w:ascii="Traditional Arabic" w:hAnsi="Traditional Arabic"/>
          <w:rtl/>
        </w:rPr>
        <w:t>.</w:t>
      </w:r>
    </w:p>
    <w:p w:rsidR="00AE5B52" w:rsidRPr="00AE5B52" w:rsidRDefault="00AE5B52" w:rsidP="00BF2E12">
      <w:pPr>
        <w:numPr>
          <w:ilvl w:val="0"/>
          <w:numId w:val="22"/>
        </w:numPr>
        <w:spacing w:after="200" w:line="276" w:lineRule="auto"/>
        <w:ind w:left="0" w:firstLine="0"/>
        <w:contextualSpacing/>
        <w:jc w:val="lowKashida"/>
        <w:rPr>
          <w:rFonts w:ascii="Traditional Arabic" w:hAnsi="Traditional Arabic"/>
          <w:rtl/>
        </w:rPr>
      </w:pPr>
      <w:r w:rsidRPr="00AE5B52">
        <w:rPr>
          <w:rFonts w:ascii="Traditional Arabic" w:hAnsi="Traditional Arabic" w:hint="cs"/>
          <w:rtl/>
        </w:rPr>
        <w:t xml:space="preserve">الرد على من ادعى الربوبية لعيسى عليه السلام. </w:t>
      </w:r>
      <w:r w:rsidRPr="00AE5B52">
        <w:rPr>
          <w:rFonts w:ascii="Traditional Arabic" w:eastAsia="Calibri" w:hAnsi="Traditional Arabic"/>
          <w:color w:val="auto"/>
          <w:shd w:val="clear" w:color="auto" w:fill="FFFFFF"/>
          <w:rtl/>
        </w:rPr>
        <w:t>مثاله</w:t>
      </w:r>
      <w:r w:rsidRPr="00AE5B52">
        <w:rPr>
          <w:rFonts w:ascii="Traditional Arabic" w:eastAsia="Calibri" w:hAnsi="Traditional Arabic" w:hint="cs"/>
          <w:color w:val="auto"/>
          <w:shd w:val="clear" w:color="auto" w:fill="FFFFFF"/>
          <w:rtl/>
        </w:rPr>
        <w:t>:</w:t>
      </w:r>
      <w:r w:rsidRPr="00AE5B52">
        <w:rPr>
          <w:rFonts w:ascii="Traditional Arabic" w:eastAsia="Calibri" w:hAnsi="Traditional Arabic"/>
          <w:color w:val="auto"/>
          <w:shd w:val="clear" w:color="auto" w:fill="FFFFFF"/>
          <w:rtl/>
        </w:rPr>
        <w:t xml:space="preserve"> </w:t>
      </w:r>
      <w:r>
        <w:rPr>
          <w:rFonts w:hint="cs"/>
          <w:rtl/>
        </w:rPr>
        <w:t>قال رحمه الله تعالى عند</w:t>
      </w:r>
      <w:r w:rsidRPr="00AE5B52">
        <w:rPr>
          <w:rFonts w:ascii="Arial" w:hAnsi="Arial" w:cs="Arial"/>
          <w:color w:val="auto"/>
          <w:sz w:val="32"/>
          <w:szCs w:val="32"/>
          <w:rtl/>
          <w:lang w:eastAsia="en-US"/>
        </w:rPr>
        <w:t xml:space="preserve"> </w:t>
      </w:r>
      <w:r w:rsidRPr="00AE5B52">
        <w:rPr>
          <w:rFonts w:ascii="Traditional Arabic" w:hAnsi="Traditional Arabic"/>
          <w:rtl/>
        </w:rPr>
        <w:t>قوله تعالى:</w:t>
      </w:r>
      <w:r w:rsidRPr="00AE5B52">
        <w:rPr>
          <w:rFonts w:ascii="Traditional Arabic" w:hAnsi="Traditional Arabic" w:hint="cs"/>
          <w:rtl/>
        </w:rPr>
        <w:t xml:space="preserve"> </w:t>
      </w:r>
      <w:r w:rsidRPr="00AE5B52">
        <w:rPr>
          <w:rFonts w:ascii="QCF_BSML" w:hAnsi="QCF_BSML" w:cs="QCF_BSML"/>
          <w:color w:val="auto"/>
          <w:sz w:val="32"/>
          <w:szCs w:val="32"/>
          <w:rtl/>
          <w:lang w:eastAsia="en-US"/>
        </w:rPr>
        <w:t>ﭽ</w:t>
      </w:r>
      <w:r w:rsidRPr="00AE5B52">
        <w:rPr>
          <w:rFonts w:ascii="QCF_P307" w:hAnsi="QCF_P307" w:cs="QCF_P307"/>
          <w:color w:val="auto"/>
          <w:sz w:val="32"/>
          <w:szCs w:val="32"/>
          <w:rtl/>
          <w:lang w:eastAsia="en-US"/>
        </w:rPr>
        <w:t xml:space="preserve"> ﮀ  ﮁ </w:t>
      </w:r>
      <w:r w:rsidRPr="00AE5B52">
        <w:rPr>
          <w:rFonts w:ascii="QCF_P307" w:hAnsi="QCF_P307" w:cs="QCF_P307" w:hint="cs"/>
          <w:color w:val="auto"/>
          <w:sz w:val="32"/>
          <w:szCs w:val="32"/>
          <w:rtl/>
          <w:lang w:eastAsia="en-US"/>
        </w:rPr>
        <w:t xml:space="preserve">   </w:t>
      </w:r>
      <w:r w:rsidRPr="00AE5B52">
        <w:rPr>
          <w:rFonts w:ascii="QCF_P307" w:hAnsi="QCF_P307" w:cs="QCF_P307"/>
          <w:color w:val="auto"/>
          <w:sz w:val="32"/>
          <w:szCs w:val="32"/>
          <w:rtl/>
          <w:lang w:eastAsia="en-US"/>
        </w:rPr>
        <w:t>ﮂ  ﮃ  ﮄ</w:t>
      </w:r>
      <w:r w:rsidRPr="00AE5B52">
        <w:rPr>
          <w:rFonts w:ascii="QCF_BSML" w:hAnsi="QCF_BSML" w:cs="QCF_BSML"/>
          <w:color w:val="auto"/>
          <w:sz w:val="32"/>
          <w:szCs w:val="32"/>
          <w:rtl/>
          <w:lang w:eastAsia="en-US"/>
        </w:rPr>
        <w:t xml:space="preserve"> ﭼ</w:t>
      </w:r>
      <w:r w:rsidRPr="00AE5B52">
        <w:rPr>
          <w:rFonts w:hint="cs"/>
          <w:vertAlign w:val="superscript"/>
          <w:rtl/>
        </w:rPr>
        <w:t xml:space="preserve"> </w:t>
      </w:r>
      <w:r w:rsidR="00BF2E12">
        <w:rPr>
          <w:rFonts w:ascii="Traditional Arabic" w:hAnsi="Traditional Arabic" w:hint="cs"/>
          <w:color w:val="auto"/>
          <w:sz w:val="32"/>
          <w:szCs w:val="32"/>
          <w:rtl/>
          <w:lang w:eastAsia="en-US"/>
        </w:rPr>
        <w:t>[مريم:29]</w:t>
      </w:r>
      <w:r w:rsidR="00BF2E12" w:rsidRPr="00AE5B52">
        <w:rPr>
          <w:rFonts w:ascii="Traditional Arabic" w:hAnsi="Traditional Arabic"/>
          <w:rtl/>
        </w:rPr>
        <w:t xml:space="preserve"> </w:t>
      </w:r>
      <w:r w:rsidRPr="00AE5B52">
        <w:rPr>
          <w:rFonts w:ascii="QCF_P307" w:hAnsi="QCF_P307" w:cs="QCF_P307"/>
          <w:color w:val="auto"/>
          <w:sz w:val="32"/>
          <w:szCs w:val="32"/>
          <w:rtl/>
          <w:lang w:eastAsia="en-US"/>
        </w:rPr>
        <w:t xml:space="preserve"> </w:t>
      </w:r>
      <w:r w:rsidRPr="00AE5B52">
        <w:rPr>
          <w:rFonts w:ascii="Traditional Arabic" w:hAnsi="Traditional Arabic"/>
          <w:rtl/>
        </w:rPr>
        <w:t>وفيها أربعة أقوال: أحدها: أنها زائدة، فالمعنى: كيف نكلِّم صبياً في المهد؟! والثاني: أنها في معنى: وقع، وحدث. والثالث: أنها في معنى الشرط والجزاء، فالمعنى: من يكن في المهد صبياً، فكيف نكلِّمه؟ حكاها</w:t>
      </w:r>
      <w:r w:rsidRPr="00AE5B52">
        <w:rPr>
          <w:rFonts w:ascii="Traditional Arabic" w:hAnsi="Traditional Arabic" w:hint="cs"/>
          <w:rtl/>
        </w:rPr>
        <w:t xml:space="preserve"> </w:t>
      </w:r>
      <w:r w:rsidRPr="00AE5B52">
        <w:rPr>
          <w:rFonts w:ascii="Traditional Arabic" w:hAnsi="Traditional Arabic"/>
          <w:rtl/>
        </w:rPr>
        <w:t>الزجاج واختار الأخير منها، قال ابن الأنباري: وهذا كما تقول: كيف أعظ من كان لا يقبل موعظتي؟! أي: من يكن لا يقبل، والماضي يكون بمعنى المستقبل في الجزاء. والرابع: أن «كان» بمعنى صار، قاله قطرب.</w:t>
      </w:r>
      <w:r w:rsidRPr="00AE5B52">
        <w:rPr>
          <w:rFonts w:ascii="Traditional Arabic" w:hAnsi="Traditional Arabic" w:hint="cs"/>
          <w:rtl/>
        </w:rPr>
        <w:t xml:space="preserve"> </w:t>
      </w:r>
      <w:r w:rsidRPr="00AE5B52">
        <w:rPr>
          <w:rFonts w:ascii="Traditional Arabic" w:hAnsi="Traditional Arabic"/>
          <w:rtl/>
        </w:rPr>
        <w:t>وفي المراد بالمهد قولان: أحدهما: حجرها، قال</w:t>
      </w:r>
      <w:r w:rsidRPr="00AE5B52">
        <w:rPr>
          <w:rFonts w:ascii="Traditional Arabic" w:hAnsi="Traditional Arabic" w:hint="cs"/>
          <w:rtl/>
        </w:rPr>
        <w:t>ه</w:t>
      </w:r>
      <w:r w:rsidRPr="00AE5B52">
        <w:rPr>
          <w:rFonts w:ascii="Traditional Arabic" w:hAnsi="Traditional Arabic"/>
          <w:rtl/>
        </w:rPr>
        <w:t xml:space="preserve"> نوف، وقتادة، والكلبيّ. والثاني: سرير الصّبي</w:t>
      </w:r>
      <w:r w:rsidRPr="00AE5B52">
        <w:rPr>
          <w:rFonts w:ascii="Traditional Arabic" w:hAnsi="Traditional Arabic" w:hint="cs"/>
          <w:rtl/>
        </w:rPr>
        <w:t xml:space="preserve"> </w:t>
      </w:r>
      <w:r w:rsidRPr="00AE5B52">
        <w:rPr>
          <w:rFonts w:ascii="Traditional Arabic" w:hAnsi="Traditional Arabic"/>
          <w:rtl/>
        </w:rPr>
        <w:t>المعروف، حكاه الكلبي أيضاً.</w:t>
      </w:r>
      <w:r w:rsidRPr="00AE5B52">
        <w:rPr>
          <w:rFonts w:ascii="Traditional Arabic" w:hAnsi="Traditional Arabic" w:hint="cs"/>
          <w:rtl/>
        </w:rPr>
        <w:t xml:space="preserve"> </w:t>
      </w:r>
      <w:r w:rsidRPr="00AE5B52">
        <w:rPr>
          <w:rFonts w:ascii="Traditional Arabic" w:hAnsi="Traditional Arabic"/>
          <w:rtl/>
        </w:rPr>
        <w:t xml:space="preserve">قال السدي: فلما سمع عيسى كلامهم، لم يزد على أن ترك الرَّضاع، وأقبل عليهم بوجهه، فقال: </w:t>
      </w:r>
      <w:r w:rsidRPr="00AE5B52">
        <w:rPr>
          <w:rFonts w:ascii="QCF_BSML" w:hAnsi="QCF_BSML" w:cs="QCF_BSML"/>
          <w:color w:val="auto"/>
          <w:sz w:val="32"/>
          <w:szCs w:val="32"/>
          <w:rtl/>
          <w:lang w:eastAsia="en-US"/>
        </w:rPr>
        <w:t>ﭽ</w:t>
      </w:r>
      <w:r w:rsidRPr="00AE5B52">
        <w:rPr>
          <w:rFonts w:ascii="QCF_P307" w:hAnsi="QCF_P307" w:cs="QCF_P307"/>
          <w:color w:val="auto"/>
          <w:sz w:val="32"/>
          <w:szCs w:val="32"/>
          <w:rtl/>
          <w:lang w:eastAsia="en-US"/>
        </w:rPr>
        <w:t xml:space="preserve"> ﮊ</w:t>
      </w:r>
      <w:r w:rsidRPr="00AE5B52">
        <w:rPr>
          <w:rFonts w:ascii="QCF_P307" w:hAnsi="QCF_P307" w:cs="QCF_P307" w:hint="cs"/>
          <w:color w:val="auto"/>
          <w:sz w:val="32"/>
          <w:szCs w:val="32"/>
          <w:rtl/>
          <w:lang w:eastAsia="en-US"/>
        </w:rPr>
        <w:t xml:space="preserve">  </w:t>
      </w:r>
      <w:r w:rsidRPr="00AE5B52">
        <w:rPr>
          <w:rFonts w:ascii="QCF_P307" w:hAnsi="QCF_P307" w:cs="QCF_P307"/>
          <w:color w:val="auto"/>
          <w:sz w:val="32"/>
          <w:szCs w:val="32"/>
          <w:rtl/>
          <w:lang w:eastAsia="en-US"/>
        </w:rPr>
        <w:t xml:space="preserve"> ﮋ  ﮌ</w:t>
      </w:r>
      <w:r w:rsidRPr="00AE5B52">
        <w:rPr>
          <w:rFonts w:ascii="QCF_BSML" w:hAnsi="QCF_BSML" w:cs="QCF_BSML"/>
          <w:color w:val="auto"/>
          <w:sz w:val="32"/>
          <w:szCs w:val="32"/>
          <w:rtl/>
          <w:lang w:eastAsia="en-US"/>
        </w:rPr>
        <w:t xml:space="preserve"> ﭼ</w:t>
      </w:r>
      <w:r w:rsidRPr="00AE5B52">
        <w:rPr>
          <w:rFonts w:ascii="QCF_P307" w:hAnsi="QCF_P307" w:cs="QCF_P307"/>
          <w:color w:val="auto"/>
          <w:sz w:val="32"/>
          <w:szCs w:val="32"/>
          <w:rtl/>
          <w:lang w:eastAsia="en-US"/>
        </w:rPr>
        <w:t xml:space="preserve">  </w:t>
      </w:r>
      <w:r w:rsidRPr="00AE5B52">
        <w:rPr>
          <w:rFonts w:ascii="Traditional Arabic" w:hAnsi="Traditional Arabic"/>
          <w:rtl/>
        </w:rPr>
        <w:t>، قال المفسرون: إِنما قدَّم ذِكر العبودية، ليُبطلَ قول من ادَّعى فيه الربوبية</w:t>
      </w:r>
      <w:r w:rsidRPr="00AE5B52">
        <w:rPr>
          <w:rStyle w:val="ae"/>
          <w:rtl/>
        </w:rPr>
        <w:t>(</w:t>
      </w:r>
      <w:r>
        <w:rPr>
          <w:rStyle w:val="ae"/>
          <w:rtl/>
        </w:rPr>
        <w:footnoteReference w:id="165"/>
      </w:r>
      <w:r w:rsidRPr="00AE5B52">
        <w:rPr>
          <w:rStyle w:val="ae"/>
          <w:rtl/>
        </w:rPr>
        <w:t>)</w:t>
      </w:r>
      <w:r w:rsidRPr="00AE5B52">
        <w:rPr>
          <w:rFonts w:ascii="Traditional Arabic" w:hAnsi="Traditional Arabic"/>
          <w:rtl/>
        </w:rPr>
        <w:t>.</w:t>
      </w:r>
    </w:p>
    <w:p w:rsidR="00D11232" w:rsidRPr="00C17B7B" w:rsidRDefault="00D11232" w:rsidP="007719E1">
      <w:pPr>
        <w:spacing w:line="276" w:lineRule="auto"/>
        <w:contextualSpacing/>
        <w:jc w:val="center"/>
        <w:rPr>
          <w:rFonts w:ascii="Traditional Arabic" w:eastAsia="Calibri" w:hAnsi="Traditional Arabic"/>
          <w:color w:val="auto"/>
          <w:szCs w:val="32"/>
        </w:rPr>
      </w:pPr>
      <w:r w:rsidRPr="00C17B7B">
        <w:rPr>
          <w:rFonts w:ascii="Traditional Arabic" w:eastAsia="Calibri" w:hAnsi="Traditional Arabic" w:cs="DecoType Naskh" w:hint="cs"/>
          <w:color w:val="auto"/>
          <w:szCs w:val="32"/>
          <w:rtl/>
        </w:rPr>
        <w:t>***</w:t>
      </w:r>
      <w:r w:rsidRPr="00C17B7B">
        <w:rPr>
          <w:rFonts w:ascii="Traditional Arabic" w:eastAsia="Calibri" w:hAnsi="Traditional Arabic" w:cs="DecoType Naskh" w:hint="cs"/>
          <w:color w:val="auto"/>
          <w:szCs w:val="32"/>
          <w:rtl/>
        </w:rPr>
        <w:tab/>
      </w:r>
      <w:r w:rsidRPr="00C17B7B">
        <w:rPr>
          <w:rFonts w:ascii="Traditional Arabic" w:eastAsia="Calibri" w:hAnsi="Traditional Arabic" w:cs="DecoType Naskh" w:hint="cs"/>
          <w:color w:val="auto"/>
          <w:szCs w:val="32"/>
          <w:rtl/>
        </w:rPr>
        <w:tab/>
        <w:t>***</w:t>
      </w:r>
      <w:r w:rsidRPr="00C17B7B">
        <w:rPr>
          <w:rFonts w:ascii="Traditional Arabic" w:eastAsia="Calibri" w:hAnsi="Traditional Arabic" w:cs="DecoType Naskh" w:hint="cs"/>
          <w:color w:val="auto"/>
          <w:szCs w:val="32"/>
          <w:rtl/>
        </w:rPr>
        <w:tab/>
      </w:r>
      <w:r w:rsidRPr="00C17B7B">
        <w:rPr>
          <w:rFonts w:ascii="Traditional Arabic" w:eastAsia="Calibri" w:hAnsi="Traditional Arabic" w:cs="DecoType Naskh" w:hint="cs"/>
          <w:color w:val="auto"/>
          <w:szCs w:val="32"/>
          <w:rtl/>
        </w:rPr>
        <w:tab/>
        <w:t>***</w:t>
      </w:r>
    </w:p>
    <w:p w:rsidR="00D11232" w:rsidRDefault="00D11232" w:rsidP="00D11232">
      <w:pPr>
        <w:rPr>
          <w:szCs w:val="32"/>
          <w:rtl/>
        </w:rPr>
      </w:pPr>
    </w:p>
    <w:p w:rsidR="009E7755" w:rsidRDefault="009E7755" w:rsidP="00D11232">
      <w:pPr>
        <w:rPr>
          <w:szCs w:val="32"/>
          <w:rtl/>
        </w:rPr>
      </w:pPr>
    </w:p>
    <w:p w:rsidR="009E7755" w:rsidRDefault="009E7755" w:rsidP="00D11232">
      <w:pPr>
        <w:rPr>
          <w:szCs w:val="32"/>
          <w:rtl/>
        </w:rPr>
      </w:pPr>
    </w:p>
    <w:p w:rsidR="009E7755" w:rsidRDefault="009E7755" w:rsidP="00D11232">
      <w:pPr>
        <w:rPr>
          <w:szCs w:val="32"/>
          <w:rtl/>
        </w:rPr>
      </w:pPr>
    </w:p>
    <w:p w:rsidR="009E7755" w:rsidRDefault="009E7755" w:rsidP="00D11232">
      <w:pPr>
        <w:rPr>
          <w:szCs w:val="32"/>
          <w:rtl/>
        </w:rPr>
      </w:pPr>
    </w:p>
    <w:p w:rsidR="009E7755" w:rsidRDefault="009E7755" w:rsidP="00D11232">
      <w:pPr>
        <w:rPr>
          <w:szCs w:val="32"/>
          <w:rtl/>
        </w:rPr>
      </w:pPr>
    </w:p>
    <w:p w:rsidR="009E7755" w:rsidRDefault="009E7755" w:rsidP="00D11232">
      <w:pPr>
        <w:rPr>
          <w:szCs w:val="32"/>
          <w:rtl/>
        </w:rPr>
      </w:pPr>
    </w:p>
    <w:p w:rsidR="009E7755" w:rsidRPr="00C17B7B" w:rsidRDefault="009E7755" w:rsidP="00D11232">
      <w:pPr>
        <w:rPr>
          <w:szCs w:val="32"/>
        </w:rPr>
      </w:pPr>
    </w:p>
    <w:p w:rsidR="00D11232" w:rsidRPr="00C17B7B" w:rsidRDefault="00D11232" w:rsidP="007719E1">
      <w:pPr>
        <w:keepNext/>
        <w:ind w:firstLine="0"/>
        <w:contextualSpacing/>
        <w:outlineLvl w:val="2"/>
        <w:rPr>
          <w:rFonts w:ascii="Arial" w:hAnsi="Arial"/>
          <w:b/>
          <w:bCs/>
          <w:noProof/>
          <w:sz w:val="26"/>
          <w:szCs w:val="40"/>
          <w:rtl/>
        </w:rPr>
      </w:pPr>
      <w:r w:rsidRPr="00C17B7B">
        <w:rPr>
          <w:rFonts w:ascii="Arial" w:hAnsi="Arial" w:hint="cs"/>
          <w:b/>
          <w:bCs/>
          <w:noProof/>
          <w:sz w:val="26"/>
          <w:szCs w:val="40"/>
          <w:rtl/>
        </w:rPr>
        <w:lastRenderedPageBreak/>
        <w:t>المبحث الثالث: مصادر الكتاب في القسم المحقق.</w:t>
      </w:r>
    </w:p>
    <w:p w:rsidR="00D11232" w:rsidRPr="00C17B7B" w:rsidRDefault="00D11232" w:rsidP="007719E1">
      <w:pPr>
        <w:spacing w:line="276" w:lineRule="auto"/>
        <w:ind w:firstLine="0"/>
        <w:contextualSpacing/>
        <w:rPr>
          <w:rFonts w:ascii="Traditional Arabic" w:eastAsia="Calibri" w:hAnsi="Traditional Arabic"/>
          <w:color w:val="auto"/>
          <w:rtl/>
        </w:rPr>
      </w:pPr>
      <w:r w:rsidRPr="00C17B7B">
        <w:rPr>
          <w:rFonts w:ascii="Traditional Arabic" w:eastAsia="Calibri" w:hAnsi="Traditional Arabic" w:hint="cs"/>
          <w:color w:val="auto"/>
          <w:rtl/>
        </w:rPr>
        <w:t xml:space="preserve">مصادر العلامة ابن الجوزي </w:t>
      </w:r>
      <w:r w:rsidRPr="00C17B7B">
        <w:rPr>
          <w:rFonts w:ascii="Traditional Arabic" w:eastAsia="Calibri" w:hAnsi="Traditional Arabic"/>
          <w:color w:val="auto"/>
          <w:rtl/>
        </w:rPr>
        <w:t>–</w:t>
      </w:r>
      <w:r w:rsidRPr="00C17B7B">
        <w:rPr>
          <w:rFonts w:ascii="Traditional Arabic" w:eastAsia="Calibri" w:hAnsi="Traditional Arabic" w:hint="cs"/>
          <w:color w:val="auto"/>
          <w:rtl/>
        </w:rPr>
        <w:t>رحمه الله- في تفسيره كثيرةٌ ومتنوعةٌ: في التفسير والقراءات والحديث واللغة والنحو؛ وليس القصد هاهنا حصر كل ما اعتمده من المصادر, بل الذي أقصده أن أعرض أهم هذه المصادر التي وقفت عليها في الجزء المحقق:</w:t>
      </w:r>
    </w:p>
    <w:p w:rsidR="00D11232" w:rsidRPr="00C17B7B" w:rsidRDefault="00D11232" w:rsidP="007719E1">
      <w:pPr>
        <w:spacing w:line="276" w:lineRule="auto"/>
        <w:ind w:firstLine="0"/>
        <w:contextualSpacing/>
        <w:rPr>
          <w:rFonts w:ascii="Traditional Arabic" w:eastAsia="Calibri" w:hAnsi="Traditional Arabic"/>
          <w:b/>
          <w:bCs/>
          <w:color w:val="auto"/>
          <w:rtl/>
        </w:rPr>
      </w:pPr>
      <w:r w:rsidRPr="00C17B7B">
        <w:rPr>
          <w:rFonts w:ascii="Traditional Arabic" w:eastAsia="Calibri" w:hAnsi="Traditional Arabic" w:hint="cs"/>
          <w:b/>
          <w:bCs/>
          <w:color w:val="auto"/>
          <w:rtl/>
        </w:rPr>
        <w:t>1/ مصادره من كتب التفسير:</w:t>
      </w:r>
    </w:p>
    <w:p w:rsidR="00D11232" w:rsidRPr="00C17B7B" w:rsidRDefault="00D11232" w:rsidP="007719E1">
      <w:pPr>
        <w:spacing w:line="276" w:lineRule="auto"/>
        <w:ind w:firstLine="0"/>
        <w:contextualSpacing/>
        <w:rPr>
          <w:rFonts w:ascii="Traditional Arabic" w:eastAsia="Calibri" w:hAnsi="Traditional Arabic"/>
          <w:color w:val="auto"/>
          <w:rtl/>
        </w:rPr>
      </w:pPr>
      <w:r w:rsidRPr="00C17B7B">
        <w:rPr>
          <w:rFonts w:ascii="Traditional Arabic" w:eastAsia="Calibri" w:hAnsi="Traditional Arabic" w:hint="cs"/>
          <w:color w:val="auto"/>
          <w:rtl/>
        </w:rPr>
        <w:t xml:space="preserve">1- تفسير </w:t>
      </w:r>
      <w:r w:rsidR="00BD5ED5">
        <w:rPr>
          <w:rFonts w:ascii="Traditional Arabic" w:eastAsia="Calibri" w:hAnsi="Traditional Arabic"/>
          <w:color w:val="auto"/>
          <w:rtl/>
        </w:rPr>
        <w:t>أب</w:t>
      </w:r>
      <w:r w:rsidR="00BD5ED5">
        <w:rPr>
          <w:rFonts w:ascii="Traditional Arabic" w:eastAsia="Calibri" w:hAnsi="Traditional Arabic" w:hint="cs"/>
          <w:color w:val="auto"/>
          <w:rtl/>
        </w:rPr>
        <w:t>ي</w:t>
      </w:r>
      <w:r w:rsidRPr="00C17B7B">
        <w:rPr>
          <w:rFonts w:ascii="Traditional Arabic" w:eastAsia="Calibri" w:hAnsi="Traditional Arabic"/>
          <w:color w:val="auto"/>
          <w:rtl/>
        </w:rPr>
        <w:t xml:space="preserve"> الحسن مقاتل بن سليمان بن بشير الأزدي البلخ</w:t>
      </w:r>
      <w:r w:rsidRPr="00C17B7B">
        <w:rPr>
          <w:rFonts w:ascii="Traditional Arabic" w:eastAsia="Calibri" w:hAnsi="Traditional Arabic" w:hint="cs"/>
          <w:color w:val="auto"/>
          <w:rtl/>
        </w:rPr>
        <w:t>ي</w:t>
      </w:r>
      <w:r w:rsidRPr="00C17B7B">
        <w:rPr>
          <w:rFonts w:ascii="Traditional Arabic" w:eastAsia="Calibri" w:hAnsi="Traditional Arabic"/>
          <w:color w:val="auto"/>
          <w:rtl/>
        </w:rPr>
        <w:t xml:space="preserve"> (المتوفى: 150هـ)</w:t>
      </w:r>
      <w:r w:rsidRPr="00C17B7B">
        <w:rPr>
          <w:rFonts w:ascii="Traditional Arabic" w:eastAsia="Calibri" w:hAnsi="Traditional Arabic" w:hint="cs"/>
          <w:color w:val="auto"/>
          <w:rtl/>
        </w:rPr>
        <w:t>.</w:t>
      </w:r>
    </w:p>
    <w:p w:rsidR="00D11232" w:rsidRPr="00C17B7B" w:rsidRDefault="00425963" w:rsidP="00BF2E12">
      <w:pPr>
        <w:spacing w:line="276" w:lineRule="auto"/>
        <w:ind w:firstLine="0"/>
        <w:contextualSpacing/>
        <w:rPr>
          <w:rFonts w:ascii="Traditional Arabic" w:eastAsia="Calibri" w:hAnsi="Traditional Arabic"/>
          <w:color w:val="auto"/>
          <w:rtl/>
        </w:rPr>
      </w:pPr>
      <w:r>
        <w:rPr>
          <w:rFonts w:ascii="Traditional Arabic" w:eastAsia="Calibri" w:hAnsi="Traditional Arabic" w:hint="cs"/>
          <w:color w:val="auto"/>
          <w:rtl/>
        </w:rPr>
        <w:t>ومن أمثلة ما نقل عنه</w:t>
      </w:r>
      <w:r w:rsidR="000764E1">
        <w:rPr>
          <w:rFonts w:ascii="Traditional Arabic" w:eastAsia="Calibri" w:hAnsi="Traditional Arabic" w:hint="cs"/>
          <w:color w:val="auto"/>
          <w:rtl/>
        </w:rPr>
        <w:t>:</w:t>
      </w:r>
      <w:r>
        <w:rPr>
          <w:rFonts w:ascii="Traditional Arabic" w:eastAsia="Calibri" w:hAnsi="Traditional Arabic" w:hint="cs"/>
          <w:color w:val="auto"/>
          <w:rtl/>
        </w:rPr>
        <w:t xml:space="preserve"> قال رحمه الله تعالى</w:t>
      </w:r>
      <w:r w:rsidR="000764E1">
        <w:rPr>
          <w:rFonts w:ascii="Traditional Arabic" w:eastAsia="Calibri" w:hAnsi="Traditional Arabic" w:hint="cs"/>
          <w:color w:val="auto"/>
          <w:rtl/>
        </w:rPr>
        <w:t xml:space="preserve"> عند</w:t>
      </w:r>
      <w:r w:rsidR="00D11232" w:rsidRPr="00C17B7B">
        <w:rPr>
          <w:rFonts w:ascii="Traditional Arabic" w:eastAsia="Calibri" w:hAnsi="Traditional Arabic" w:hint="cs"/>
          <w:color w:val="auto"/>
          <w:rtl/>
        </w:rPr>
        <w:t xml:space="preserve"> </w:t>
      </w:r>
      <w:r w:rsidRPr="00B07E03">
        <w:rPr>
          <w:rFonts w:ascii="Traditional Arabic" w:hAnsi="Traditional Arabic"/>
          <w:color w:val="0D0D0D" w:themeColor="text1" w:themeTint="F2"/>
          <w:rtl/>
          <w:lang w:eastAsia="en-US"/>
        </w:rPr>
        <w:t>قوله تعالى:</w:t>
      </w:r>
      <w:r w:rsidRPr="00B07E03">
        <w:rPr>
          <w:rFonts w:ascii="QCF_BSML" w:hAnsi="QCF_BSML" w:cs="QCF_BSML"/>
          <w:color w:val="0D0D0D" w:themeColor="text1" w:themeTint="F2"/>
          <w:sz w:val="47"/>
          <w:szCs w:val="47"/>
          <w:rtl/>
          <w:lang w:eastAsia="en-US"/>
        </w:rPr>
        <w:t xml:space="preserve"> </w:t>
      </w:r>
      <w:r w:rsidRPr="00B07E03">
        <w:rPr>
          <w:rFonts w:ascii="QCF_BSML" w:hAnsi="QCF_BSML" w:cs="QCF_BSML"/>
          <w:color w:val="0D0D0D" w:themeColor="text1" w:themeTint="F2"/>
          <w:sz w:val="32"/>
          <w:szCs w:val="32"/>
          <w:rtl/>
          <w:lang w:eastAsia="en-US"/>
        </w:rPr>
        <w:t>ﭽ</w:t>
      </w:r>
      <w:r w:rsidRPr="00B07E03">
        <w:rPr>
          <w:rFonts w:ascii="QCF_P288" w:hAnsi="QCF_P288" w:cs="QCF_P288"/>
          <w:color w:val="0D0D0D" w:themeColor="text1" w:themeTint="F2"/>
          <w:sz w:val="32"/>
          <w:szCs w:val="32"/>
          <w:rtl/>
          <w:lang w:eastAsia="en-US"/>
        </w:rPr>
        <w:t>ﭩ ﭪ ﭫ ﭬ ﭭ ﭮ ﭯ</w:t>
      </w:r>
      <w:r w:rsidRPr="00B07E03">
        <w:rPr>
          <w:rFonts w:ascii="QCF_BSML" w:hAnsi="QCF_BSML" w:cs="QCF_BSML"/>
          <w:color w:val="0D0D0D" w:themeColor="text1" w:themeTint="F2"/>
          <w:sz w:val="32"/>
          <w:szCs w:val="32"/>
          <w:rtl/>
          <w:lang w:eastAsia="en-US"/>
        </w:rPr>
        <w:t>ﭼ</w:t>
      </w:r>
      <w:r w:rsidR="00BF2E12" w:rsidRPr="00BF2E12">
        <w:rPr>
          <w:rFonts w:ascii="Traditional Arabic" w:hAnsi="Traditional Arabic" w:hint="cs"/>
          <w:sz w:val="32"/>
          <w:szCs w:val="32"/>
          <w:rtl/>
        </w:rPr>
        <w:t>[</w:t>
      </w:r>
      <w:r w:rsidR="00BF2E12" w:rsidRPr="00BF2E12">
        <w:rPr>
          <w:rFonts w:ascii="Traditional Arabic" w:hAnsi="Traditional Arabic"/>
          <w:sz w:val="32"/>
          <w:szCs w:val="32"/>
          <w:rtl/>
        </w:rPr>
        <w:t>الإسراء:</w:t>
      </w:r>
      <w:r w:rsidR="00BF2E12">
        <w:rPr>
          <w:rFonts w:ascii="Traditional Arabic" w:hAnsi="Traditional Arabic" w:hint="cs"/>
          <w:sz w:val="32"/>
          <w:szCs w:val="32"/>
          <w:rtl/>
        </w:rPr>
        <w:t>60</w:t>
      </w:r>
      <w:r w:rsidR="00BF2E12" w:rsidRPr="00BF2E12">
        <w:rPr>
          <w:rFonts w:ascii="Traditional Arabic" w:hAnsi="Traditional Arabic" w:hint="cs"/>
          <w:sz w:val="32"/>
          <w:szCs w:val="32"/>
          <w:rtl/>
        </w:rPr>
        <w:t xml:space="preserve">] </w:t>
      </w:r>
      <w:r w:rsidRPr="00B07E03">
        <w:rPr>
          <w:rFonts w:ascii="Traditional Arabic" w:hAnsi="Traditional Arabic"/>
          <w:color w:val="0D0D0D" w:themeColor="text1" w:themeTint="F2"/>
          <w:rtl/>
          <w:lang w:eastAsia="en-US"/>
        </w:rPr>
        <w:t>فيه ثلاثة أقوال:</w:t>
      </w:r>
      <w:r>
        <w:rPr>
          <w:rFonts w:ascii="Traditional Arabic" w:hAnsi="Traditional Arabic" w:hint="cs"/>
          <w:color w:val="0D0D0D" w:themeColor="text1" w:themeTint="F2"/>
          <w:rtl/>
          <w:lang w:eastAsia="en-US"/>
        </w:rPr>
        <w:t xml:space="preserve"> </w:t>
      </w:r>
      <w:r w:rsidRPr="00B07E03">
        <w:rPr>
          <w:rFonts w:ascii="Traditional Arabic" w:hAnsi="Traditional Arabic"/>
          <w:color w:val="0D0D0D" w:themeColor="text1" w:themeTint="F2"/>
          <w:rtl/>
          <w:lang w:eastAsia="en-US"/>
        </w:rPr>
        <w:t>أحدها: أحاط عِلمه بالناس</w:t>
      </w:r>
      <w:r w:rsidRPr="00B07E03">
        <w:rPr>
          <w:rFonts w:ascii="Traditional Arabic" w:hAnsi="Traditional Arabic" w:hint="cs"/>
          <w:color w:val="0D0D0D" w:themeColor="text1" w:themeTint="F2"/>
          <w:rtl/>
          <w:lang w:eastAsia="en-US"/>
        </w:rPr>
        <w:t>.</w:t>
      </w:r>
      <w:r>
        <w:rPr>
          <w:rFonts w:ascii="Traditional Arabic" w:hAnsi="Traditional Arabic" w:hint="cs"/>
          <w:color w:val="0D0D0D" w:themeColor="text1" w:themeTint="F2"/>
          <w:rtl/>
          <w:lang w:eastAsia="en-US"/>
        </w:rPr>
        <w:t xml:space="preserve"> </w:t>
      </w:r>
      <w:r w:rsidRPr="00B07E03">
        <w:rPr>
          <w:rFonts w:ascii="Traditional Arabic" w:hAnsi="Traditional Arabic"/>
          <w:color w:val="0D0D0D" w:themeColor="text1" w:themeTint="F2"/>
          <w:rtl/>
          <w:lang w:eastAsia="en-US"/>
        </w:rPr>
        <w:t>قاله أبو صالح</w:t>
      </w:r>
      <w:r>
        <w:rPr>
          <w:rFonts w:hint="cs"/>
          <w:color w:val="0D0D0D" w:themeColor="text1" w:themeTint="F2"/>
          <w:rtl/>
        </w:rPr>
        <w:t xml:space="preserve"> </w:t>
      </w:r>
      <w:r w:rsidRPr="00B07E03">
        <w:rPr>
          <w:rFonts w:ascii="Traditional Arabic" w:hAnsi="Traditional Arabic"/>
          <w:color w:val="0D0D0D" w:themeColor="text1" w:themeTint="F2"/>
          <w:rtl/>
          <w:lang w:eastAsia="en-US"/>
        </w:rPr>
        <w:t>عن ابن عباس، وبه قال الربيع بن أنس</w:t>
      </w:r>
      <w:r>
        <w:rPr>
          <w:rFonts w:ascii="Traditional Arabic" w:hAnsi="Traditional Arabic" w:hint="cs"/>
          <w:color w:val="0D0D0D" w:themeColor="text1" w:themeTint="F2"/>
          <w:rtl/>
          <w:lang w:eastAsia="en-US"/>
        </w:rPr>
        <w:t>،</w:t>
      </w:r>
      <w:r w:rsidRPr="00B07E03">
        <w:rPr>
          <w:rFonts w:ascii="Traditional Arabic" w:hAnsi="Traditional Arabic"/>
          <w:color w:val="0D0D0D" w:themeColor="text1" w:themeTint="F2"/>
          <w:rtl/>
          <w:lang w:eastAsia="en-US"/>
        </w:rPr>
        <w:t xml:space="preserve"> وقال مقاتل</w:t>
      </w:r>
      <w:r>
        <w:rPr>
          <w:rFonts w:ascii="Traditional Arabic" w:hAnsi="Traditional Arabic"/>
          <w:color w:val="0D0D0D" w:themeColor="text1" w:themeTint="F2"/>
          <w:rtl/>
          <w:lang w:eastAsia="en-US"/>
        </w:rPr>
        <w:t>:</w:t>
      </w:r>
      <w:r>
        <w:rPr>
          <w:rFonts w:ascii="Traditional Arabic" w:hAnsi="Traditional Arabic" w:hint="cs"/>
          <w:color w:val="0D0D0D" w:themeColor="text1" w:themeTint="F2"/>
          <w:rtl/>
          <w:lang w:eastAsia="en-US"/>
        </w:rPr>
        <w:t xml:space="preserve"> </w:t>
      </w:r>
      <w:r w:rsidRPr="00B07E03">
        <w:rPr>
          <w:rFonts w:ascii="Traditional Arabic" w:hAnsi="Traditional Arabic"/>
          <w:color w:val="0D0D0D" w:themeColor="text1" w:themeTint="F2"/>
          <w:rtl/>
          <w:lang w:eastAsia="en-US"/>
        </w:rPr>
        <w:t>أحاط</w:t>
      </w:r>
      <w:r>
        <w:rPr>
          <w:rFonts w:ascii="Traditional Arabic" w:hAnsi="Traditional Arabic" w:hint="cs"/>
          <w:color w:val="0D0D0D" w:themeColor="text1" w:themeTint="F2"/>
          <w:rtl/>
          <w:lang w:eastAsia="en-US"/>
        </w:rPr>
        <w:t xml:space="preserve"> </w:t>
      </w:r>
      <w:r w:rsidRPr="00B07E03">
        <w:rPr>
          <w:rFonts w:ascii="Traditional Arabic" w:hAnsi="Traditional Arabic"/>
          <w:color w:val="0D0D0D" w:themeColor="text1" w:themeTint="F2"/>
          <w:rtl/>
          <w:lang w:eastAsia="en-US"/>
        </w:rPr>
        <w:t xml:space="preserve">علمه بالناس، يعني: أهل مكة، أن يفتحها لرسوله </w:t>
      </w:r>
      <w:r w:rsidRPr="00425963">
        <w:rPr>
          <w:rStyle w:val="ae"/>
        </w:rPr>
        <w:t>(</w:t>
      </w:r>
      <w:r>
        <w:rPr>
          <w:rStyle w:val="ae"/>
        </w:rPr>
        <w:footnoteReference w:id="166"/>
      </w:r>
      <w:r w:rsidRPr="00425963">
        <w:rPr>
          <w:rStyle w:val="ae"/>
        </w:rPr>
        <w:t>)</w:t>
      </w:r>
      <w:r w:rsidRPr="00D66DE5">
        <w:rPr>
          <w:rFonts w:ascii="Traditional Arabic" w:hAnsi="Traditional Arabic"/>
        </w:rPr>
        <w:sym w:font="AGA Arabesque" w:char="F072"/>
      </w:r>
      <w:r>
        <w:rPr>
          <w:rFonts w:ascii="Traditional Arabic" w:hAnsi="Traditional Arabic" w:hint="cs"/>
          <w:color w:val="0D0D0D" w:themeColor="text1" w:themeTint="F2"/>
          <w:rtl/>
          <w:lang w:eastAsia="en-US"/>
        </w:rPr>
        <w:t>.</w:t>
      </w:r>
    </w:p>
    <w:p w:rsidR="006D7411" w:rsidRPr="006D7411" w:rsidRDefault="00D11232" w:rsidP="00E0593B">
      <w:pPr>
        <w:spacing w:line="276" w:lineRule="auto"/>
        <w:ind w:firstLine="0"/>
        <w:contextualSpacing/>
        <w:jc w:val="lowKashida"/>
        <w:rPr>
          <w:rFonts w:ascii="Traditional Arabic" w:eastAsia="Calibri" w:hAnsi="Traditional Arabic"/>
          <w:color w:val="auto"/>
          <w:rtl/>
        </w:rPr>
      </w:pPr>
      <w:r w:rsidRPr="00C17B7B">
        <w:rPr>
          <w:rFonts w:ascii="Traditional Arabic" w:eastAsia="Calibri" w:hAnsi="Traditional Arabic" w:hint="cs"/>
          <w:color w:val="auto"/>
          <w:rtl/>
        </w:rPr>
        <w:t>2- جامع البيان عن تأويل آي القرآن, للإمام العلامة المحدث المفسر أبي جعفر محمد بن جرير الطبري, المتوفى سنة: (310هـ). ومن أمثلة ما نقل عنه تصريحا</w:t>
      </w:r>
      <w:r w:rsidR="00425963">
        <w:rPr>
          <w:rFonts w:ascii="Traditional Arabic" w:eastAsia="Calibri" w:hAnsi="Traditional Arabic" w:hint="cs"/>
          <w:color w:val="auto"/>
          <w:rtl/>
        </w:rPr>
        <w:t>ً</w:t>
      </w:r>
      <w:r w:rsidRPr="00C17B7B">
        <w:rPr>
          <w:rFonts w:ascii="Traditional Arabic" w:eastAsia="Calibri" w:hAnsi="Traditional Arabic" w:hint="cs"/>
          <w:color w:val="auto"/>
          <w:rtl/>
        </w:rPr>
        <w:t>: في قوله تعالى</w:t>
      </w:r>
      <w:r w:rsidR="00E0593B" w:rsidRPr="00606A6E">
        <w:rPr>
          <w:rFonts w:ascii="Traditional Arabic" w:eastAsia="Calibri" w:hAnsi="Traditional Arabic" w:hint="cs"/>
          <w:color w:val="auto"/>
          <w:shd w:val="clear" w:color="auto" w:fill="FFFFFF"/>
          <w:rtl/>
        </w:rPr>
        <w:t>:</w:t>
      </w:r>
      <w:r w:rsidR="00E0593B" w:rsidRPr="00606A6E">
        <w:rPr>
          <w:rFonts w:ascii="QCF_BSML" w:hAnsi="QCF_BSML" w:cs="QCF_BSML"/>
          <w:color w:val="auto"/>
          <w:sz w:val="32"/>
          <w:szCs w:val="32"/>
          <w:rtl/>
          <w:lang w:eastAsia="en-US"/>
        </w:rPr>
        <w:t xml:space="preserve"> ﭽ</w:t>
      </w:r>
      <w:r w:rsidR="00E0593B" w:rsidRPr="00606A6E">
        <w:rPr>
          <w:rFonts w:ascii="QCF_P296" w:hAnsi="QCF_P296" w:cs="QCF_P296"/>
          <w:color w:val="auto"/>
          <w:sz w:val="32"/>
          <w:szCs w:val="32"/>
          <w:rtl/>
          <w:lang w:eastAsia="en-US"/>
        </w:rPr>
        <w:t xml:space="preserve"> ﮚ  ﮛ  ﮜ   ﮝ   ﮞ  ﮟ  ﮠ  ﮡ  ﮢ  ﮣ  ﮤ  ﮥﮦ  </w:t>
      </w:r>
      <w:r w:rsidR="00E0593B" w:rsidRPr="00606A6E">
        <w:rPr>
          <w:rFonts w:ascii="QCF_BSML" w:hAnsi="QCF_BSML" w:cs="QCF_BSML"/>
          <w:color w:val="auto"/>
          <w:sz w:val="32"/>
          <w:szCs w:val="32"/>
          <w:rtl/>
          <w:lang w:eastAsia="en-US"/>
        </w:rPr>
        <w:t>ﭼ</w:t>
      </w:r>
      <w:r w:rsidR="00E0593B">
        <w:rPr>
          <w:rFonts w:ascii="Traditional Arabic" w:hAnsi="Traditional Arabic" w:hint="cs"/>
          <w:color w:val="0D0D0D" w:themeColor="text1" w:themeTint="F2"/>
          <w:sz w:val="32"/>
          <w:szCs w:val="32"/>
          <w:rtl/>
          <w:lang w:eastAsia="en-US"/>
        </w:rPr>
        <w:t>[الكهف:23-24]</w:t>
      </w:r>
      <w:r w:rsidR="00E0593B" w:rsidRPr="00D34A1D">
        <w:rPr>
          <w:rFonts w:ascii="QCF_P302" w:hAnsi="QCF_P302" w:cs="QCF_P302"/>
          <w:color w:val="auto"/>
          <w:sz w:val="32"/>
          <w:szCs w:val="32"/>
          <w:rtl/>
          <w:lang w:eastAsia="en-US"/>
        </w:rPr>
        <w:t xml:space="preserve"> </w:t>
      </w:r>
      <w:r w:rsidR="00E0593B" w:rsidRPr="00606A6E">
        <w:rPr>
          <w:rFonts w:ascii="Traditional Arabic" w:eastAsia="Calibri" w:hAnsi="Traditional Arabic" w:hint="cs"/>
          <w:color w:val="auto"/>
          <w:shd w:val="clear" w:color="auto" w:fill="FFFFFF"/>
          <w:rtl/>
        </w:rPr>
        <w:t xml:space="preserve"> </w:t>
      </w:r>
      <w:r w:rsidR="00425963" w:rsidRPr="00991B74">
        <w:rPr>
          <w:rFonts w:ascii="Traditional Arabic" w:hAnsi="Traditional Arabic"/>
          <w:rtl/>
        </w:rPr>
        <w:t>قال رحمه الله</w:t>
      </w:r>
      <w:r w:rsidR="00425963">
        <w:rPr>
          <w:rFonts w:ascii="Traditional Arabic" w:hAnsi="Traditional Arabic" w:hint="cs"/>
          <w:rtl/>
        </w:rPr>
        <w:t>: "</w:t>
      </w:r>
      <w:r w:rsidR="00425963" w:rsidRPr="005C21CD">
        <w:rPr>
          <w:rtl/>
        </w:rPr>
        <w:t xml:space="preserve">وفائدة </w:t>
      </w:r>
      <w:r w:rsidR="00425963" w:rsidRPr="005C21CD">
        <w:rPr>
          <w:rFonts w:hint="cs"/>
          <w:rtl/>
        </w:rPr>
        <w:t>الاستثناء</w:t>
      </w:r>
      <w:r w:rsidR="00425963" w:rsidRPr="005C21CD">
        <w:rPr>
          <w:rtl/>
        </w:rPr>
        <w:t xml:space="preserve"> أن يخرج الحالف من الكذب إِذا لم يفعل ما حلف عليه</w:t>
      </w:r>
      <w:r w:rsidR="00425963">
        <w:rPr>
          <w:rFonts w:hint="cs"/>
          <w:rtl/>
        </w:rPr>
        <w:t>"</w:t>
      </w:r>
      <w:r w:rsidR="00425963">
        <w:rPr>
          <w:rFonts w:ascii="Traditional Arabic" w:eastAsia="Calibri" w:hAnsi="Traditional Arabic" w:hint="cs"/>
          <w:color w:val="auto"/>
          <w:rtl/>
        </w:rPr>
        <w:t>...... إلى أن قال:</w:t>
      </w:r>
      <w:r w:rsidR="00425963" w:rsidRPr="00425963">
        <w:rPr>
          <w:rtl/>
        </w:rPr>
        <w:t xml:space="preserve"> </w:t>
      </w:r>
      <w:r w:rsidR="00425963">
        <w:rPr>
          <w:rFonts w:hint="cs"/>
          <w:rtl/>
        </w:rPr>
        <w:t>"</w:t>
      </w:r>
      <w:r w:rsidR="00425963" w:rsidRPr="005C21CD">
        <w:rPr>
          <w:rtl/>
        </w:rPr>
        <w:t>وقال ابن جرير الطبري: الصواب للإنسان أن يستثني ولو بعد حنثه في يمينه، فيقول: إِن شاء الله، ليخرج بذلك مما ألزمه اللهُ في هذه الآية، فيسقط عنه الحرج، فأما الكفَّارة فلا تسقط عنه بحال، إِلا أن يكون الاستثناء موصولاً بيمينه، ومن قال: له ثُنْياه ولو بعد سنة، أراد سقوطَ الحرج الذي يلزمه بترك الاستثناء دون الكفَّارة</w:t>
      </w:r>
      <w:r w:rsidR="00425963">
        <w:rPr>
          <w:rFonts w:hint="cs"/>
          <w:rtl/>
        </w:rPr>
        <w:t>"</w:t>
      </w:r>
      <w:r w:rsidR="00425963" w:rsidRPr="00425963">
        <w:rPr>
          <w:rStyle w:val="ae"/>
          <w:rtl/>
        </w:rPr>
        <w:t>(</w:t>
      </w:r>
      <w:r w:rsidR="00425963">
        <w:rPr>
          <w:rStyle w:val="ae"/>
          <w:rtl/>
        </w:rPr>
        <w:footnoteReference w:id="167"/>
      </w:r>
      <w:r w:rsidR="00425963" w:rsidRPr="00425963">
        <w:rPr>
          <w:rStyle w:val="ae"/>
          <w:rtl/>
        </w:rPr>
        <w:t>)</w:t>
      </w:r>
      <w:r w:rsidR="00425963" w:rsidRPr="005C21CD">
        <w:rPr>
          <w:rtl/>
        </w:rPr>
        <w:t>.</w:t>
      </w:r>
    </w:p>
    <w:p w:rsidR="006D7411" w:rsidRPr="00BF2E12" w:rsidRDefault="006D7411" w:rsidP="000764E1">
      <w:pPr>
        <w:ind w:firstLine="0"/>
        <w:rPr>
          <w:rFonts w:ascii="Traditional Arabic" w:eastAsia="Calibri" w:hAnsi="Traditional Arabic"/>
          <w:color w:val="auto"/>
          <w:rtl/>
        </w:rPr>
      </w:pPr>
      <w:r>
        <w:rPr>
          <w:rFonts w:ascii="Traditional Arabic" w:hAnsi="Traditional Arabic" w:hint="cs"/>
          <w:rtl/>
          <w:lang w:eastAsia="en-US"/>
        </w:rPr>
        <w:t>3-</w:t>
      </w:r>
      <w:r w:rsidRPr="006D7411">
        <w:rPr>
          <w:rFonts w:ascii="Traditional Arabic" w:hAnsi="Traditional Arabic" w:hint="cs"/>
          <w:rtl/>
          <w:lang w:eastAsia="en-US"/>
        </w:rPr>
        <w:t xml:space="preserve"> </w:t>
      </w:r>
      <w:r>
        <w:rPr>
          <w:rFonts w:ascii="Traditional Arabic" w:hAnsi="Traditional Arabic" w:hint="cs"/>
          <w:rtl/>
          <w:lang w:eastAsia="en-US"/>
        </w:rPr>
        <w:t xml:space="preserve">الكشف </w:t>
      </w:r>
      <w:r w:rsidRPr="006D7411">
        <w:rPr>
          <w:rFonts w:ascii="Traditional Arabic" w:hAnsi="Traditional Arabic"/>
          <w:rtl/>
          <w:lang w:eastAsia="en-US"/>
        </w:rPr>
        <w:t xml:space="preserve">والبيان عن تفسير القرآن </w:t>
      </w:r>
      <w:r w:rsidRPr="006D7411">
        <w:rPr>
          <w:rFonts w:ascii="Traditional Arabic" w:hAnsi="Traditional Arabic" w:hint="cs"/>
          <w:rtl/>
          <w:lang w:eastAsia="en-US"/>
        </w:rPr>
        <w:t xml:space="preserve">لأبي إسحاق </w:t>
      </w:r>
      <w:r w:rsidRPr="006D7411">
        <w:rPr>
          <w:rFonts w:ascii="Traditional Arabic" w:hAnsi="Traditional Arabic"/>
          <w:rtl/>
        </w:rPr>
        <w:t>أحمد بن محمد بن إبراهيم الثعلبي،</w:t>
      </w:r>
      <w:r w:rsidRPr="006D7411">
        <w:rPr>
          <w:rFonts w:ascii="Traditional Arabic" w:hAnsi="Traditional Arabic" w:hint="cs"/>
          <w:rtl/>
        </w:rPr>
        <w:t xml:space="preserve"> </w:t>
      </w:r>
      <w:r w:rsidRPr="006D7411">
        <w:rPr>
          <w:rFonts w:ascii="Traditional Arabic" w:hAnsi="Traditional Arabic"/>
          <w:rtl/>
        </w:rPr>
        <w:lastRenderedPageBreak/>
        <w:t>(المتوفى:427هـ)</w:t>
      </w:r>
      <w:r w:rsidRPr="006D7411">
        <w:rPr>
          <w:rFonts w:ascii="Traditional Arabic" w:hAnsi="Traditional Arabic" w:hint="cs"/>
          <w:rtl/>
        </w:rPr>
        <w:t>.</w:t>
      </w:r>
      <w:r w:rsidRPr="006D7411">
        <w:rPr>
          <w:rFonts w:ascii="Traditional Arabic" w:eastAsia="Calibri" w:hAnsi="Traditional Arabic"/>
          <w:color w:val="auto"/>
          <w:rtl/>
        </w:rPr>
        <w:t xml:space="preserve"> ومن الأمثلة على </w:t>
      </w:r>
      <w:r w:rsidRPr="006D7411">
        <w:rPr>
          <w:rFonts w:ascii="Traditional Arabic" w:eastAsia="Calibri" w:hAnsi="Traditional Arabic" w:hint="cs"/>
          <w:color w:val="auto"/>
          <w:rtl/>
        </w:rPr>
        <w:t xml:space="preserve">ما نقل </w:t>
      </w:r>
      <w:r w:rsidR="000764E1">
        <w:rPr>
          <w:rFonts w:ascii="Traditional Arabic" w:eastAsia="Calibri" w:hAnsi="Traditional Arabic" w:hint="cs"/>
          <w:color w:val="auto"/>
          <w:rtl/>
        </w:rPr>
        <w:t>ع</w:t>
      </w:r>
      <w:r w:rsidRPr="006D7411">
        <w:rPr>
          <w:rFonts w:ascii="Traditional Arabic" w:eastAsia="Calibri" w:hAnsi="Traditional Arabic" w:hint="cs"/>
          <w:color w:val="auto"/>
          <w:rtl/>
        </w:rPr>
        <w:t>نه</w:t>
      </w:r>
      <w:r w:rsidR="000764E1">
        <w:rPr>
          <w:rFonts w:ascii="Traditional Arabic" w:eastAsia="Calibri" w:hAnsi="Traditional Arabic" w:hint="cs"/>
          <w:color w:val="auto"/>
          <w:rtl/>
        </w:rPr>
        <w:t>:</w:t>
      </w:r>
      <w:r w:rsidRPr="006D7411">
        <w:rPr>
          <w:rFonts w:ascii="Traditional Arabic" w:eastAsia="Calibri" w:hAnsi="Traditional Arabic" w:hint="cs"/>
          <w:color w:val="auto"/>
          <w:rtl/>
        </w:rPr>
        <w:t xml:space="preserve"> </w:t>
      </w:r>
      <w:r w:rsidR="000764E1">
        <w:rPr>
          <w:rFonts w:ascii="Traditional Arabic" w:eastAsia="Calibri" w:hAnsi="Traditional Arabic" w:hint="cs"/>
          <w:color w:val="auto"/>
          <w:rtl/>
        </w:rPr>
        <w:t>قال رحمه الله تعالى عند تفسير</w:t>
      </w:r>
      <w:r w:rsidR="000764E1" w:rsidRPr="00C17B7B">
        <w:rPr>
          <w:rFonts w:ascii="Traditional Arabic" w:eastAsia="Calibri" w:hAnsi="Traditional Arabic" w:hint="cs"/>
          <w:color w:val="auto"/>
          <w:rtl/>
        </w:rPr>
        <w:t xml:space="preserve"> </w:t>
      </w:r>
      <w:r w:rsidR="000764E1" w:rsidRPr="00B07E03">
        <w:rPr>
          <w:rFonts w:ascii="Traditional Arabic" w:hAnsi="Traditional Arabic"/>
          <w:color w:val="0D0D0D" w:themeColor="text1" w:themeTint="F2"/>
          <w:rtl/>
          <w:lang w:eastAsia="en-US"/>
        </w:rPr>
        <w:t>قوله تعالى</w:t>
      </w:r>
      <w:r w:rsidRPr="006D7411">
        <w:rPr>
          <w:rFonts w:ascii="Traditional Arabic" w:hAnsi="Traditional Arabic"/>
          <w:rtl/>
        </w:rPr>
        <w:t>:</w:t>
      </w:r>
      <w:r w:rsidR="00463120" w:rsidRPr="00463120">
        <w:rPr>
          <w:rtl/>
        </w:rPr>
        <w:t xml:space="preserve"> </w:t>
      </w:r>
      <w:r w:rsidR="00463120" w:rsidRPr="005C21CD">
        <w:rPr>
          <w:rFonts w:ascii="QCF_BSML" w:hAnsi="QCF_BSML" w:cs="QCF_BSML"/>
          <w:color w:val="auto"/>
          <w:sz w:val="32"/>
          <w:szCs w:val="32"/>
          <w:rtl/>
          <w:lang w:eastAsia="en-US"/>
        </w:rPr>
        <w:t>ﭽ</w:t>
      </w:r>
      <w:r w:rsidR="00463120" w:rsidRPr="005C21CD">
        <w:rPr>
          <w:rFonts w:ascii="QCF_P296" w:hAnsi="QCF_P296" w:cs="QCF_P296"/>
          <w:sz w:val="32"/>
          <w:szCs w:val="32"/>
          <w:rtl/>
          <w:lang w:eastAsia="en-US"/>
        </w:rPr>
        <w:t>ﭞﭟ</w:t>
      </w:r>
      <w:r w:rsidR="00463120" w:rsidRPr="005C21CD">
        <w:rPr>
          <w:rFonts w:ascii="QCF_BSML" w:hAnsi="QCF_BSML" w:cs="QCF_BSML"/>
          <w:color w:val="auto"/>
          <w:sz w:val="32"/>
          <w:szCs w:val="32"/>
          <w:rtl/>
          <w:lang w:eastAsia="en-US"/>
        </w:rPr>
        <w:t>ﭼ</w:t>
      </w:r>
      <w:r w:rsidR="00BF2E12">
        <w:rPr>
          <w:rFonts w:ascii="QCF_BSML" w:hAnsi="QCF_BSML" w:cs="QCF_BSML" w:hint="cs"/>
          <w:color w:val="auto"/>
          <w:sz w:val="32"/>
          <w:szCs w:val="32"/>
          <w:rtl/>
          <w:lang w:eastAsia="en-US"/>
        </w:rPr>
        <w:t xml:space="preserve"> </w:t>
      </w:r>
      <w:r w:rsidR="00BF2E12" w:rsidRPr="006B2BAF">
        <w:rPr>
          <w:rFonts w:ascii="Traditional Arabic" w:hAnsi="Traditional Arabic" w:hint="cs"/>
          <w:sz w:val="32"/>
          <w:szCs w:val="32"/>
          <w:rtl/>
          <w:lang w:eastAsia="en-US"/>
        </w:rPr>
        <w:t>[</w:t>
      </w:r>
      <w:r w:rsidR="00BF2E12" w:rsidRPr="006B2BAF">
        <w:rPr>
          <w:rFonts w:ascii="Traditional Arabic" w:hAnsi="Traditional Arabic"/>
          <w:color w:val="auto"/>
          <w:sz w:val="32"/>
          <w:szCs w:val="32"/>
          <w:rtl/>
          <w:lang w:eastAsia="en-US"/>
        </w:rPr>
        <w:t>الكهف:</w:t>
      </w:r>
      <w:r w:rsidR="00E0593B">
        <w:rPr>
          <w:rFonts w:ascii="Traditional Arabic" w:hAnsi="Traditional Arabic" w:hint="cs"/>
          <w:color w:val="auto"/>
          <w:sz w:val="32"/>
          <w:szCs w:val="32"/>
          <w:rtl/>
          <w:lang w:eastAsia="en-US"/>
        </w:rPr>
        <w:t>21</w:t>
      </w:r>
      <w:r w:rsidR="00BF2E12" w:rsidRPr="006B2BAF">
        <w:rPr>
          <w:rFonts w:ascii="Traditional Arabic" w:hAnsi="Traditional Arabic" w:hint="cs"/>
          <w:color w:val="auto"/>
          <w:sz w:val="32"/>
          <w:szCs w:val="32"/>
          <w:rtl/>
          <w:lang w:eastAsia="en-US"/>
        </w:rPr>
        <w:t>]</w:t>
      </w:r>
      <w:r w:rsidR="00BF2E12" w:rsidRPr="00711488">
        <w:rPr>
          <w:rFonts w:ascii="Traditional Arabic" w:eastAsia="Calibri" w:hAnsi="Traditional Arabic"/>
          <w:color w:val="auto"/>
          <w:shd w:val="clear" w:color="auto" w:fill="FFFFFF"/>
          <w:rtl/>
        </w:rPr>
        <w:t xml:space="preserve"> </w:t>
      </w:r>
      <w:r w:rsidR="00463120" w:rsidRPr="005C21CD">
        <w:rPr>
          <w:rFonts w:ascii="QCF_P296" w:hAnsi="QCF_P296" w:cs="QCF_P296"/>
          <w:sz w:val="32"/>
          <w:szCs w:val="32"/>
          <w:rtl/>
          <w:lang w:eastAsia="en-US"/>
        </w:rPr>
        <w:t xml:space="preserve">  </w:t>
      </w:r>
      <w:r w:rsidR="00463120" w:rsidRPr="005C21CD">
        <w:rPr>
          <w:rtl/>
        </w:rPr>
        <w:t>يعني: أهل ذلك الزمان. قال ابن الأنباري: المعنى: إِذ كانوا يتنازعون، ويجوز أن يكون المعنى: إِذ تنازعوا. وفيما تنازعوا فيه خمسة أقوال: أحدها: أنهم تنازعوا في البنيان، والمسجد. فقال المسلمون: نبني عليهم مسجداً، لأنهم على ديننا وقال المشركون: نبني عليهم بنياناً، لأنهم من أهل سُنَّتنا، قاله ابن عباس. والثاني: أنهم تنازعوا في البعث، فقال المسلمون:</w:t>
      </w:r>
      <w:r w:rsidR="00463120" w:rsidRPr="005C21CD">
        <w:rPr>
          <w:rFonts w:hint="cs"/>
          <w:rtl/>
        </w:rPr>
        <w:t xml:space="preserve"> </w:t>
      </w:r>
      <w:r w:rsidR="00463120" w:rsidRPr="005C21CD">
        <w:rPr>
          <w:rtl/>
        </w:rPr>
        <w:t>تُبعث الأجساد والأرواح، وقال بعضهم: تُبعث الأرواح دون الأجساد، فأراهم الله تعالى بعث الأرواح والأجساد ببعثه أهل الكهف، قاله عكرمة. والثالث: أنهم تنازعوا ما يصنعون بالفتية، قاله مقاتل.</w:t>
      </w:r>
      <w:r w:rsidR="00463120" w:rsidRPr="005C21CD">
        <w:rPr>
          <w:rFonts w:hint="cs"/>
          <w:rtl/>
        </w:rPr>
        <w:t xml:space="preserve"> </w:t>
      </w:r>
      <w:r w:rsidR="00463120" w:rsidRPr="005C21CD">
        <w:rPr>
          <w:rtl/>
        </w:rPr>
        <w:t>والرابع: أنهم تنازعوا في قدْر مكثهم. والخامس: تنازعوا في عددهم، ذكرهما الثعلبي</w:t>
      </w:r>
      <w:r w:rsidR="00463120" w:rsidRPr="00463120">
        <w:rPr>
          <w:rStyle w:val="ae"/>
          <w:rtl/>
        </w:rPr>
        <w:t>(</w:t>
      </w:r>
      <w:r w:rsidR="00463120">
        <w:rPr>
          <w:rStyle w:val="ae"/>
          <w:rtl/>
        </w:rPr>
        <w:footnoteReference w:id="168"/>
      </w:r>
      <w:r w:rsidR="00463120" w:rsidRPr="00463120">
        <w:rPr>
          <w:rStyle w:val="ae"/>
          <w:rtl/>
        </w:rPr>
        <w:t>)</w:t>
      </w:r>
      <w:r w:rsidR="00463120" w:rsidRPr="005C21CD">
        <w:rPr>
          <w:rtl/>
        </w:rPr>
        <w:t>.</w:t>
      </w:r>
    </w:p>
    <w:p w:rsidR="006D7411" w:rsidRPr="006D7411" w:rsidRDefault="006D7411" w:rsidP="000764E1">
      <w:pPr>
        <w:ind w:firstLine="0"/>
        <w:rPr>
          <w:rFonts w:ascii="Traditional Arabic" w:hAnsi="Traditional Arabic"/>
          <w:rtl/>
        </w:rPr>
      </w:pPr>
      <w:r>
        <w:rPr>
          <w:rFonts w:ascii="Traditional Arabic" w:eastAsia="Calibri" w:hAnsi="Traditional Arabic" w:hint="cs"/>
          <w:rtl/>
        </w:rPr>
        <w:t>4-</w:t>
      </w:r>
      <w:r w:rsidR="00D11232" w:rsidRPr="006D7411">
        <w:rPr>
          <w:rFonts w:ascii="Traditional Arabic" w:eastAsia="Calibri" w:hAnsi="Traditional Arabic" w:hint="cs"/>
          <w:rtl/>
        </w:rPr>
        <w:t xml:space="preserve"> </w:t>
      </w:r>
      <w:r>
        <w:rPr>
          <w:rFonts w:ascii="Traditional Arabic" w:eastAsia="Calibri" w:hAnsi="Traditional Arabic" w:hint="cs"/>
          <w:rtl/>
        </w:rPr>
        <w:t xml:space="preserve">النكت </w:t>
      </w:r>
      <w:r w:rsidR="00D11232" w:rsidRPr="006D7411">
        <w:rPr>
          <w:rFonts w:ascii="Traditional Arabic" w:eastAsia="Calibri" w:hAnsi="Traditional Arabic" w:hint="cs"/>
          <w:rtl/>
        </w:rPr>
        <w:t>والعيون ل</w:t>
      </w:r>
      <w:r w:rsidR="00D11232" w:rsidRPr="006D7411">
        <w:rPr>
          <w:rFonts w:ascii="Traditional Arabic" w:eastAsia="Calibri" w:hAnsi="Traditional Arabic"/>
          <w:rtl/>
        </w:rPr>
        <w:t>أب</w:t>
      </w:r>
      <w:r w:rsidR="00D11232" w:rsidRPr="006D7411">
        <w:rPr>
          <w:rFonts w:ascii="Traditional Arabic" w:eastAsia="Calibri" w:hAnsi="Traditional Arabic" w:hint="cs"/>
          <w:rtl/>
        </w:rPr>
        <w:t>ي</w:t>
      </w:r>
      <w:r w:rsidR="00D11232" w:rsidRPr="006D7411">
        <w:rPr>
          <w:rFonts w:ascii="Traditional Arabic" w:eastAsia="Calibri" w:hAnsi="Traditional Arabic"/>
          <w:rtl/>
        </w:rPr>
        <w:t xml:space="preserve"> الحسن علي بن محمد بن محمد بن حبيب البغدادي، الشهير بالماوردي(المتوفى: 450هـ)</w:t>
      </w:r>
      <w:r w:rsidR="00D11232" w:rsidRPr="006D7411">
        <w:rPr>
          <w:rFonts w:ascii="Traditional Arabic" w:eastAsia="Calibri" w:hAnsi="Traditional Arabic" w:hint="cs"/>
          <w:rtl/>
        </w:rPr>
        <w:t>.</w:t>
      </w:r>
      <w:r w:rsidRPr="006D7411">
        <w:rPr>
          <w:rFonts w:ascii="Traditional Arabic" w:eastAsia="Calibri" w:hAnsi="Traditional Arabic" w:hint="cs"/>
          <w:rtl/>
        </w:rPr>
        <w:t xml:space="preserve"> </w:t>
      </w:r>
      <w:r w:rsidR="00D11232" w:rsidRPr="006D7411">
        <w:rPr>
          <w:rFonts w:ascii="Traditional Arabic" w:eastAsia="Calibri" w:hAnsi="Traditional Arabic" w:hint="cs"/>
          <w:rtl/>
        </w:rPr>
        <w:t xml:space="preserve">ومن </w:t>
      </w:r>
      <w:r w:rsidR="000764E1">
        <w:rPr>
          <w:rFonts w:ascii="Traditional Arabic" w:eastAsia="Calibri" w:hAnsi="Traditional Arabic" w:hint="cs"/>
          <w:rtl/>
        </w:rPr>
        <w:t>أمثلة</w:t>
      </w:r>
      <w:r w:rsidR="00D11232" w:rsidRPr="006D7411">
        <w:rPr>
          <w:rFonts w:ascii="Traditional Arabic" w:eastAsia="Calibri" w:hAnsi="Traditional Arabic" w:hint="cs"/>
          <w:rtl/>
        </w:rPr>
        <w:t xml:space="preserve"> </w:t>
      </w:r>
      <w:r w:rsidR="000764E1" w:rsidRPr="006D7411">
        <w:rPr>
          <w:rFonts w:ascii="Traditional Arabic" w:eastAsia="Calibri" w:hAnsi="Traditional Arabic" w:hint="cs"/>
          <w:color w:val="auto"/>
          <w:rtl/>
        </w:rPr>
        <w:t xml:space="preserve">ما نقل </w:t>
      </w:r>
      <w:r w:rsidR="000764E1">
        <w:rPr>
          <w:rFonts w:ascii="Traditional Arabic" w:eastAsia="Calibri" w:hAnsi="Traditional Arabic" w:hint="cs"/>
          <w:color w:val="auto"/>
          <w:rtl/>
        </w:rPr>
        <w:t>ع</w:t>
      </w:r>
      <w:r w:rsidR="000764E1" w:rsidRPr="006D7411">
        <w:rPr>
          <w:rFonts w:ascii="Traditional Arabic" w:eastAsia="Calibri" w:hAnsi="Traditional Arabic" w:hint="cs"/>
          <w:color w:val="auto"/>
          <w:rtl/>
        </w:rPr>
        <w:t>نه</w:t>
      </w:r>
      <w:r w:rsidR="000764E1">
        <w:rPr>
          <w:rFonts w:ascii="Traditional Arabic" w:eastAsia="Calibri" w:hAnsi="Traditional Arabic" w:hint="cs"/>
          <w:color w:val="auto"/>
          <w:rtl/>
        </w:rPr>
        <w:t>:</w:t>
      </w:r>
      <w:r w:rsidR="000764E1" w:rsidRPr="006D7411">
        <w:rPr>
          <w:rFonts w:ascii="Traditional Arabic" w:eastAsia="Calibri" w:hAnsi="Traditional Arabic" w:hint="cs"/>
          <w:color w:val="auto"/>
          <w:rtl/>
        </w:rPr>
        <w:t xml:space="preserve"> </w:t>
      </w:r>
      <w:r w:rsidRPr="006D7411">
        <w:rPr>
          <w:rFonts w:ascii="Traditional Arabic" w:eastAsia="Calibri" w:hAnsi="Traditional Arabic"/>
          <w:rtl/>
        </w:rPr>
        <w:t>قوله</w:t>
      </w:r>
      <w:r w:rsidRPr="006D7411">
        <w:rPr>
          <w:rFonts w:ascii="Traditional Arabic" w:eastAsia="Calibri" w:hAnsi="Traditional Arabic" w:hint="cs"/>
          <w:rtl/>
        </w:rPr>
        <w:t xml:space="preserve"> عند تفسير</w:t>
      </w:r>
      <w:r w:rsidRPr="006D7411">
        <w:rPr>
          <w:rFonts w:ascii="Traditional Arabic" w:eastAsia="Calibri" w:hAnsi="Traditional Arabic"/>
          <w:rtl/>
        </w:rPr>
        <w:t xml:space="preserve"> </w:t>
      </w:r>
      <w:r w:rsidR="00D11232" w:rsidRPr="006D7411">
        <w:rPr>
          <w:rFonts w:ascii="Traditional Arabic" w:eastAsia="Calibri" w:hAnsi="Traditional Arabic" w:hint="cs"/>
          <w:rtl/>
        </w:rPr>
        <w:t>قوله تعالى:</w:t>
      </w:r>
      <w:r w:rsidRPr="006D7411">
        <w:rPr>
          <w:rFonts w:ascii="Traditional Arabic" w:hAnsi="Traditional Arabic"/>
          <w:color w:val="0D0D0D" w:themeColor="text1" w:themeTint="F2"/>
          <w:rtl/>
          <w:lang w:eastAsia="en-US"/>
        </w:rPr>
        <w:t xml:space="preserve"> </w:t>
      </w:r>
      <w:r w:rsidRPr="006D7411">
        <w:rPr>
          <w:rFonts w:ascii="QCF_BSML" w:hAnsi="QCF_BSML" w:cs="QCF_BSML"/>
          <w:color w:val="0D0D0D" w:themeColor="text1" w:themeTint="F2"/>
          <w:sz w:val="32"/>
          <w:szCs w:val="32"/>
          <w:rtl/>
          <w:lang w:eastAsia="en-US"/>
        </w:rPr>
        <w:t xml:space="preserve">ﭽ </w:t>
      </w:r>
      <w:r w:rsidRPr="006D7411">
        <w:rPr>
          <w:rFonts w:ascii="QCF_P288" w:hAnsi="QCF_P288" w:cs="QCF_P288"/>
          <w:color w:val="0D0D0D" w:themeColor="text1" w:themeTint="F2"/>
          <w:sz w:val="32"/>
          <w:szCs w:val="32"/>
          <w:rtl/>
          <w:lang w:eastAsia="en-US"/>
        </w:rPr>
        <w:t>ﭣ ﭤ ﭥ ﭦ ﭧ</w:t>
      </w:r>
      <w:r w:rsidRPr="006D7411">
        <w:rPr>
          <w:rFonts w:ascii="QCF_BSML" w:hAnsi="QCF_BSML" w:cs="QCF_BSML"/>
          <w:color w:val="0D0D0D" w:themeColor="text1" w:themeTint="F2"/>
          <w:sz w:val="32"/>
          <w:szCs w:val="32"/>
          <w:rtl/>
          <w:lang w:eastAsia="en-US"/>
        </w:rPr>
        <w:t>ﭼ</w:t>
      </w:r>
      <w:r w:rsidRPr="006D7411">
        <w:rPr>
          <w:rFonts w:ascii="Arial" w:hAnsi="Arial" w:cs="Arial"/>
          <w:color w:val="0D0D0D" w:themeColor="text1" w:themeTint="F2"/>
          <w:sz w:val="18"/>
          <w:szCs w:val="18"/>
          <w:rtl/>
          <w:lang w:eastAsia="en-US"/>
        </w:rPr>
        <w:t xml:space="preserve"> </w:t>
      </w:r>
      <w:r w:rsidR="00BF2E12" w:rsidRPr="00BF2E12">
        <w:rPr>
          <w:rFonts w:ascii="Traditional Arabic" w:hAnsi="Traditional Arabic" w:hint="cs"/>
          <w:sz w:val="32"/>
          <w:szCs w:val="32"/>
          <w:rtl/>
        </w:rPr>
        <w:t>[</w:t>
      </w:r>
      <w:r w:rsidR="00BF2E12" w:rsidRPr="00BF2E12">
        <w:rPr>
          <w:rFonts w:ascii="Traditional Arabic" w:hAnsi="Traditional Arabic"/>
          <w:sz w:val="32"/>
          <w:szCs w:val="32"/>
          <w:rtl/>
        </w:rPr>
        <w:t>الإسراء:</w:t>
      </w:r>
      <w:r w:rsidR="00BF2E12">
        <w:rPr>
          <w:rFonts w:ascii="Traditional Arabic" w:hAnsi="Traditional Arabic" w:hint="cs"/>
          <w:sz w:val="32"/>
          <w:szCs w:val="32"/>
          <w:rtl/>
        </w:rPr>
        <w:t>59</w:t>
      </w:r>
      <w:r w:rsidR="00BF2E12" w:rsidRPr="00BF2E12">
        <w:rPr>
          <w:rFonts w:ascii="Traditional Arabic" w:hAnsi="Traditional Arabic" w:hint="cs"/>
          <w:sz w:val="32"/>
          <w:szCs w:val="32"/>
          <w:rtl/>
        </w:rPr>
        <w:t>]</w:t>
      </w:r>
      <w:r w:rsidRPr="006D7411">
        <w:rPr>
          <w:rFonts w:ascii="Arial" w:hAnsi="Arial" w:cs="Arial" w:hint="cs"/>
          <w:color w:val="0D0D0D" w:themeColor="text1" w:themeTint="F2"/>
          <w:sz w:val="18"/>
          <w:szCs w:val="18"/>
          <w:rtl/>
          <w:lang w:eastAsia="en-US"/>
        </w:rPr>
        <w:t xml:space="preserve"> </w:t>
      </w:r>
      <w:r w:rsidRPr="006D7411">
        <w:rPr>
          <w:rFonts w:ascii="Traditional Arabic" w:hAnsi="Traditional Arabic"/>
          <w:color w:val="0D0D0D" w:themeColor="text1" w:themeTint="F2"/>
          <w:rtl/>
          <w:lang w:eastAsia="en-US"/>
        </w:rPr>
        <w:t>أي: نخوِّف العباد ليتَّعظوا. وللمفسرين في المراد بهذه الآية أربعة أقوال: أحدها: أنها الموت الذَّريع، قاله الحسن. والثاني: معجزات الرسل جعلها الله تعالى تخويفاً للمكذبين</w:t>
      </w:r>
      <w:r w:rsidRPr="006D7411">
        <w:rPr>
          <w:rFonts w:ascii="Traditional Arabic" w:hAnsi="Traditional Arabic" w:hint="cs"/>
          <w:color w:val="0D0D0D" w:themeColor="text1" w:themeTint="F2"/>
          <w:rtl/>
          <w:lang w:eastAsia="en-US"/>
        </w:rPr>
        <w:t>،</w:t>
      </w:r>
      <w:r w:rsidRPr="006D7411">
        <w:rPr>
          <w:rFonts w:ascii="Traditional Arabic" w:hAnsi="Traditional Arabic"/>
          <w:color w:val="0D0D0D" w:themeColor="text1" w:themeTint="F2"/>
          <w:rtl/>
          <w:lang w:eastAsia="en-US"/>
        </w:rPr>
        <w:t xml:space="preserve"> والثالث: آيات الانتقام تخويفاً من المعاصي</w:t>
      </w:r>
      <w:r w:rsidRPr="006D7411">
        <w:rPr>
          <w:rFonts w:ascii="Traditional Arabic" w:hAnsi="Traditional Arabic" w:hint="cs"/>
          <w:color w:val="0D0D0D" w:themeColor="text1" w:themeTint="F2"/>
          <w:rtl/>
          <w:lang w:eastAsia="en-US"/>
        </w:rPr>
        <w:t xml:space="preserve">، </w:t>
      </w:r>
      <w:r w:rsidRPr="006D7411">
        <w:rPr>
          <w:rFonts w:ascii="Traditional Arabic" w:hAnsi="Traditional Arabic"/>
          <w:color w:val="0D0D0D" w:themeColor="text1" w:themeTint="F2"/>
          <w:rtl/>
          <w:lang w:eastAsia="en-US"/>
        </w:rPr>
        <w:t>والرابع: تقلُّب أحوال الإِنسان من صِغَرٍ إِلى شبابٍ، ثم إِلى كهولة، ثم إِلى مشيب، ليعتبر بتقلُّب أحواله فيخاف عاقبة أمره</w:t>
      </w:r>
      <w:r w:rsidRPr="006D7411">
        <w:rPr>
          <w:rFonts w:ascii="Traditional Arabic" w:hAnsi="Traditional Arabic" w:hint="cs"/>
          <w:color w:val="0D0D0D" w:themeColor="text1" w:themeTint="F2"/>
          <w:rtl/>
          <w:lang w:eastAsia="en-US"/>
        </w:rPr>
        <w:t xml:space="preserve">. </w:t>
      </w:r>
      <w:r w:rsidRPr="006D7411">
        <w:rPr>
          <w:rFonts w:ascii="Traditional Arabic" w:hAnsi="Traditional Arabic"/>
          <w:color w:val="0D0D0D" w:themeColor="text1" w:themeTint="F2"/>
          <w:rtl/>
          <w:lang w:eastAsia="en-US"/>
        </w:rPr>
        <w:t>ذكر هذه الأقوال الثلاثة الماوردي، ونسب</w:t>
      </w:r>
      <w:r w:rsidRPr="006D7411">
        <w:rPr>
          <w:rFonts w:ascii="Traditional Arabic" w:hAnsi="Traditional Arabic" w:hint="cs"/>
          <w:color w:val="0D0D0D" w:themeColor="text1" w:themeTint="F2"/>
          <w:rtl/>
          <w:lang w:eastAsia="en-US"/>
        </w:rPr>
        <w:t xml:space="preserve"> القول</w:t>
      </w:r>
      <w:r w:rsidRPr="006D7411">
        <w:rPr>
          <w:rFonts w:hint="cs"/>
          <w:rtl/>
        </w:rPr>
        <w:t xml:space="preserve"> </w:t>
      </w:r>
      <w:r w:rsidRPr="006D7411">
        <w:rPr>
          <w:rFonts w:ascii="Traditional Arabic" w:hAnsi="Traditional Arabic"/>
          <w:color w:val="0D0D0D" w:themeColor="text1" w:themeTint="F2"/>
          <w:rtl/>
          <w:lang w:eastAsia="en-US"/>
        </w:rPr>
        <w:t>الأخير منها</w:t>
      </w:r>
      <w:r w:rsidRPr="006D7411">
        <w:rPr>
          <w:rFonts w:hint="cs"/>
          <w:color w:val="0D0D0D" w:themeColor="text1" w:themeTint="F2"/>
          <w:rtl/>
        </w:rPr>
        <w:t xml:space="preserve"> </w:t>
      </w:r>
      <w:r w:rsidRPr="006D7411">
        <w:rPr>
          <w:rFonts w:ascii="Traditional Arabic" w:hAnsi="Traditional Arabic"/>
          <w:color w:val="0D0D0D" w:themeColor="text1" w:themeTint="F2"/>
          <w:rtl/>
          <w:lang w:eastAsia="en-US"/>
        </w:rPr>
        <w:t>إلى إمامنا أحمد</w:t>
      </w:r>
      <w:r w:rsidRPr="006D7411">
        <w:rPr>
          <w:rFonts w:hint="cs"/>
          <w:color w:val="0D0D0D" w:themeColor="text1" w:themeTint="F2"/>
          <w:rtl/>
        </w:rPr>
        <w:t xml:space="preserve"> </w:t>
      </w:r>
      <w:r w:rsidRPr="006D7411">
        <w:rPr>
          <w:rFonts w:ascii="Traditional Arabic" w:hAnsi="Traditional Arabic"/>
          <w:color w:val="0D0D0D" w:themeColor="text1" w:themeTint="F2"/>
          <w:rtl/>
          <w:lang w:eastAsia="en-US"/>
        </w:rPr>
        <w:t>رضي الله عن</w:t>
      </w:r>
      <w:r w:rsidRPr="006D7411">
        <w:rPr>
          <w:rFonts w:ascii="Traditional Arabic" w:hAnsi="Traditional Arabic" w:hint="cs"/>
          <w:color w:val="0D0D0D" w:themeColor="text1" w:themeTint="F2"/>
          <w:rtl/>
          <w:lang w:eastAsia="en-US"/>
        </w:rPr>
        <w:t>ه</w:t>
      </w:r>
      <w:r w:rsidRPr="006D7411">
        <w:rPr>
          <w:rStyle w:val="ae"/>
          <w:rtl/>
        </w:rPr>
        <w:t>(</w:t>
      </w:r>
      <w:r w:rsidRPr="006D7411">
        <w:rPr>
          <w:rStyle w:val="ae"/>
          <w:rtl/>
        </w:rPr>
        <w:footnoteReference w:id="169"/>
      </w:r>
      <w:r w:rsidRPr="006D7411">
        <w:rPr>
          <w:rStyle w:val="ae"/>
          <w:rtl/>
        </w:rPr>
        <w:t>)</w:t>
      </w:r>
      <w:r w:rsidRPr="006D7411">
        <w:rPr>
          <w:rFonts w:ascii="Traditional Arabic" w:hAnsi="Traditional Arabic" w:hint="cs"/>
          <w:color w:val="0D0D0D" w:themeColor="text1" w:themeTint="F2"/>
          <w:rtl/>
          <w:lang w:eastAsia="en-US"/>
        </w:rPr>
        <w:t>.</w:t>
      </w:r>
    </w:p>
    <w:p w:rsidR="006D7411" w:rsidRPr="006D7411" w:rsidRDefault="006D7411" w:rsidP="009E30F6">
      <w:pPr>
        <w:ind w:firstLine="0"/>
        <w:rPr>
          <w:rFonts w:ascii="Traditional Arabic" w:hAnsi="Traditional Arabic"/>
          <w:rtl/>
        </w:rPr>
      </w:pPr>
      <w:r w:rsidRPr="006D7411">
        <w:rPr>
          <w:rFonts w:hint="cs"/>
          <w:rtl/>
        </w:rPr>
        <w:t>5-</w:t>
      </w:r>
      <w:r w:rsidRPr="006D7411">
        <w:rPr>
          <w:rtl/>
        </w:rPr>
        <w:t xml:space="preserve"> </w:t>
      </w:r>
      <w:r w:rsidRPr="006D7411">
        <w:rPr>
          <w:rFonts w:hint="cs"/>
          <w:rtl/>
        </w:rPr>
        <w:t xml:space="preserve">التفسير </w:t>
      </w:r>
      <w:r w:rsidRPr="006D7411">
        <w:rPr>
          <w:rtl/>
        </w:rPr>
        <w:t>البسيط</w:t>
      </w:r>
      <w:r w:rsidR="00463120">
        <w:rPr>
          <w:rFonts w:ascii="Traditional Arabic" w:eastAsia="Calibri" w:hAnsi="Traditional Arabic" w:hint="cs"/>
          <w:color w:val="auto"/>
          <w:rtl/>
        </w:rPr>
        <w:t>,</w:t>
      </w:r>
      <w:r w:rsidRPr="006D7411">
        <w:rPr>
          <w:rFonts w:ascii="Traditional Arabic" w:eastAsia="Calibri" w:hAnsi="Traditional Arabic" w:hint="cs"/>
          <w:color w:val="auto"/>
          <w:rtl/>
        </w:rPr>
        <w:t xml:space="preserve"> والوسيط</w:t>
      </w:r>
      <w:r w:rsidRPr="006D7411">
        <w:rPr>
          <w:rFonts w:ascii="Traditional Arabic" w:eastAsia="Calibri" w:hAnsi="Traditional Arabic"/>
          <w:color w:val="auto"/>
          <w:rtl/>
        </w:rPr>
        <w:t xml:space="preserve"> لأبي</w:t>
      </w:r>
      <w:r w:rsidRPr="006D7411">
        <w:rPr>
          <w:rtl/>
        </w:rPr>
        <w:t xml:space="preserve"> الحسن علي</w:t>
      </w:r>
      <w:r w:rsidRPr="00C17B7B">
        <w:rPr>
          <w:szCs w:val="32"/>
          <w:rtl/>
        </w:rPr>
        <w:t xml:space="preserve"> بن أحمد بن محمد بن علي الواحدي النيسابوري</w:t>
      </w:r>
      <w:r w:rsidRPr="00C17B7B">
        <w:rPr>
          <w:rFonts w:ascii="Traditional Arabic" w:eastAsia="Calibri" w:hAnsi="Traditional Arabic" w:hint="cs"/>
          <w:color w:val="auto"/>
          <w:rtl/>
        </w:rPr>
        <w:t>،</w:t>
      </w:r>
      <w:r w:rsidRPr="00C17B7B">
        <w:rPr>
          <w:rFonts w:ascii="Traditional Arabic" w:eastAsia="Calibri" w:hAnsi="Traditional Arabic"/>
          <w:color w:val="auto"/>
          <w:rtl/>
        </w:rPr>
        <w:t xml:space="preserve"> المتوفى سنة: (4</w:t>
      </w:r>
      <w:r w:rsidRPr="00C17B7B">
        <w:rPr>
          <w:rFonts w:ascii="Traditional Arabic" w:eastAsia="Calibri" w:hAnsi="Traditional Arabic" w:hint="cs"/>
          <w:color w:val="auto"/>
          <w:rtl/>
        </w:rPr>
        <w:t>68</w:t>
      </w:r>
      <w:r w:rsidRPr="00C17B7B">
        <w:rPr>
          <w:rFonts w:ascii="Traditional Arabic" w:eastAsia="Calibri" w:hAnsi="Traditional Arabic"/>
          <w:color w:val="auto"/>
          <w:rtl/>
        </w:rPr>
        <w:t>هـ).</w:t>
      </w:r>
      <w:r w:rsidRPr="006D7411">
        <w:rPr>
          <w:rFonts w:ascii="Traditional Arabic" w:eastAsia="Calibri" w:hAnsi="Traditional Arabic"/>
          <w:color w:val="auto"/>
          <w:rtl/>
        </w:rPr>
        <w:t xml:space="preserve"> </w:t>
      </w:r>
      <w:r w:rsidRPr="00C17B7B">
        <w:rPr>
          <w:rFonts w:ascii="Traditional Arabic" w:eastAsia="Calibri" w:hAnsi="Traditional Arabic"/>
          <w:color w:val="auto"/>
          <w:rtl/>
        </w:rPr>
        <w:t xml:space="preserve">ومن الأمثلة على </w:t>
      </w:r>
      <w:r>
        <w:rPr>
          <w:rFonts w:ascii="Traditional Arabic" w:eastAsia="Calibri" w:hAnsi="Traditional Arabic" w:hint="cs"/>
          <w:color w:val="auto"/>
          <w:rtl/>
        </w:rPr>
        <w:t>ما نقل عنه</w:t>
      </w:r>
      <w:r w:rsidR="000764E1">
        <w:rPr>
          <w:rFonts w:ascii="Traditional Arabic" w:eastAsia="Calibri" w:hAnsi="Traditional Arabic" w:hint="cs"/>
          <w:color w:val="auto"/>
          <w:rtl/>
        </w:rPr>
        <w:t>:</w:t>
      </w:r>
      <w:r>
        <w:rPr>
          <w:rFonts w:ascii="Traditional Arabic" w:eastAsia="Calibri" w:hAnsi="Traditional Arabic" w:hint="cs"/>
          <w:color w:val="auto"/>
          <w:rtl/>
        </w:rPr>
        <w:t xml:space="preserve"> </w:t>
      </w:r>
      <w:r w:rsidRPr="00C17B7B">
        <w:rPr>
          <w:rFonts w:ascii="Traditional Arabic" w:eastAsia="Calibri" w:hAnsi="Traditional Arabic"/>
          <w:color w:val="auto"/>
          <w:rtl/>
        </w:rPr>
        <w:t>قوله</w:t>
      </w:r>
      <w:r w:rsidRPr="00C17B7B">
        <w:rPr>
          <w:rFonts w:ascii="Traditional Arabic" w:eastAsia="Calibri" w:hAnsi="Traditional Arabic" w:hint="cs"/>
          <w:color w:val="auto"/>
          <w:rtl/>
        </w:rPr>
        <w:t xml:space="preserve"> عند تفسير</w:t>
      </w:r>
      <w:r w:rsidRPr="00C17B7B">
        <w:rPr>
          <w:rFonts w:ascii="Traditional Arabic" w:eastAsia="Calibri" w:hAnsi="Traditional Arabic"/>
          <w:color w:val="auto"/>
          <w:rtl/>
        </w:rPr>
        <w:t xml:space="preserve"> </w:t>
      </w:r>
      <w:r w:rsidRPr="006D7411">
        <w:rPr>
          <w:rFonts w:ascii="Traditional Arabic" w:hAnsi="Traditional Arabic"/>
          <w:rtl/>
        </w:rPr>
        <w:t xml:space="preserve">قوله تعالى: </w:t>
      </w:r>
      <w:r w:rsidRPr="006D7411">
        <w:rPr>
          <w:rFonts w:ascii="QCF_BSML" w:hAnsi="QCF_BSML" w:cs="QCF_BSML"/>
          <w:color w:val="auto"/>
          <w:sz w:val="32"/>
          <w:szCs w:val="32"/>
          <w:rtl/>
          <w:lang w:eastAsia="en-US"/>
        </w:rPr>
        <w:t>ﭽ</w:t>
      </w:r>
      <w:r w:rsidRPr="006D7411">
        <w:rPr>
          <w:rFonts w:ascii="QCF_P300" w:hAnsi="QCF_P300" w:cs="QCF_P300"/>
          <w:sz w:val="32"/>
          <w:szCs w:val="32"/>
          <w:rtl/>
          <w:lang w:eastAsia="en-US"/>
        </w:rPr>
        <w:t xml:space="preserve">ﭡ  ﭢ  ﭣ   ﭤ  ﭥ    </w:t>
      </w:r>
      <w:r w:rsidRPr="006D7411">
        <w:rPr>
          <w:rFonts w:ascii="QCF_BSML" w:hAnsi="QCF_BSML" w:cs="QCF_BSML"/>
          <w:color w:val="auto"/>
          <w:sz w:val="32"/>
          <w:szCs w:val="32"/>
          <w:rtl/>
          <w:lang w:eastAsia="en-US"/>
        </w:rPr>
        <w:t>ﭼ</w:t>
      </w:r>
      <w:r w:rsidR="00680839">
        <w:rPr>
          <w:rFonts w:ascii="QCF_BSML" w:hAnsi="QCF_BSML" w:cs="QCF_BSML" w:hint="cs"/>
          <w:color w:val="auto"/>
          <w:sz w:val="32"/>
          <w:szCs w:val="32"/>
          <w:rtl/>
          <w:lang w:eastAsia="en-US"/>
        </w:rPr>
        <w:t xml:space="preserve">  </w:t>
      </w:r>
      <w:r w:rsidR="00680839" w:rsidRPr="006B2BAF">
        <w:rPr>
          <w:rFonts w:ascii="Traditional Arabic" w:hAnsi="Traditional Arabic" w:hint="cs"/>
          <w:sz w:val="32"/>
          <w:szCs w:val="32"/>
          <w:rtl/>
          <w:lang w:eastAsia="en-US"/>
        </w:rPr>
        <w:t>[</w:t>
      </w:r>
      <w:r w:rsidR="00680839" w:rsidRPr="006B2BAF">
        <w:rPr>
          <w:rFonts w:ascii="Traditional Arabic" w:hAnsi="Traditional Arabic"/>
          <w:color w:val="auto"/>
          <w:sz w:val="32"/>
          <w:szCs w:val="32"/>
          <w:rtl/>
          <w:lang w:eastAsia="en-US"/>
        </w:rPr>
        <w:t>الكهف:</w:t>
      </w:r>
      <w:r w:rsidR="009E30F6">
        <w:rPr>
          <w:rFonts w:ascii="Traditional Arabic" w:hAnsi="Traditional Arabic" w:hint="cs"/>
          <w:color w:val="auto"/>
          <w:sz w:val="32"/>
          <w:szCs w:val="32"/>
          <w:rtl/>
          <w:lang w:eastAsia="en-US"/>
        </w:rPr>
        <w:t>55</w:t>
      </w:r>
      <w:r w:rsidR="00680839" w:rsidRPr="006B2BAF">
        <w:rPr>
          <w:rFonts w:ascii="Traditional Arabic" w:hAnsi="Traditional Arabic" w:hint="cs"/>
          <w:color w:val="auto"/>
          <w:sz w:val="32"/>
          <w:szCs w:val="32"/>
          <w:rtl/>
          <w:lang w:eastAsia="en-US"/>
        </w:rPr>
        <w:t>]</w:t>
      </w:r>
      <w:r w:rsidR="00680839" w:rsidRPr="00711488">
        <w:rPr>
          <w:rFonts w:ascii="Traditional Arabic" w:eastAsia="Calibri" w:hAnsi="Traditional Arabic"/>
          <w:color w:val="auto"/>
          <w:shd w:val="clear" w:color="auto" w:fill="FFFFFF"/>
          <w:rtl/>
        </w:rPr>
        <w:t xml:space="preserve"> </w:t>
      </w:r>
      <w:r w:rsidRPr="006D7411">
        <w:rPr>
          <w:rFonts w:ascii="Traditional Arabic" w:hAnsi="Traditional Arabic"/>
          <w:rtl/>
        </w:rPr>
        <w:t xml:space="preserve">قال المفسرون: يعني: أهل مكة </w:t>
      </w:r>
      <w:r w:rsidRPr="006D7411">
        <w:rPr>
          <w:rFonts w:ascii="QCF_BSML" w:hAnsi="QCF_BSML" w:cs="QCF_BSML"/>
          <w:color w:val="auto"/>
          <w:sz w:val="32"/>
          <w:szCs w:val="32"/>
          <w:rtl/>
          <w:lang w:eastAsia="en-US"/>
        </w:rPr>
        <w:t>ﭽ</w:t>
      </w:r>
      <w:r w:rsidRPr="006D7411">
        <w:rPr>
          <w:rFonts w:ascii="QCF_P300" w:hAnsi="QCF_P300" w:cs="QCF_P300"/>
          <w:sz w:val="32"/>
          <w:szCs w:val="32"/>
          <w:rtl/>
          <w:lang w:eastAsia="en-US"/>
        </w:rPr>
        <w:t xml:space="preserve"> ﭦ   ﭧ  ﭨ</w:t>
      </w:r>
      <w:r w:rsidRPr="006D7411">
        <w:rPr>
          <w:rFonts w:ascii="QCF_BSML" w:hAnsi="QCF_BSML" w:cs="QCF_BSML"/>
          <w:color w:val="auto"/>
          <w:sz w:val="32"/>
          <w:szCs w:val="32"/>
          <w:rtl/>
          <w:lang w:eastAsia="en-US"/>
        </w:rPr>
        <w:t xml:space="preserve"> ﭼ</w:t>
      </w:r>
      <w:r w:rsidR="009470A2">
        <w:rPr>
          <w:rFonts w:ascii="QCF_BSML" w:hAnsi="QCF_BSML" w:cs="QCF_BSML" w:hint="cs"/>
          <w:color w:val="auto"/>
          <w:sz w:val="32"/>
          <w:szCs w:val="32"/>
          <w:rtl/>
          <w:lang w:eastAsia="en-US"/>
        </w:rPr>
        <w:t xml:space="preserve">  </w:t>
      </w:r>
      <w:r w:rsidRPr="006D7411">
        <w:rPr>
          <w:rFonts w:ascii="QCF_P300" w:hAnsi="QCF_P300" w:cs="QCF_P300"/>
          <w:sz w:val="32"/>
          <w:szCs w:val="32"/>
          <w:rtl/>
          <w:lang w:eastAsia="en-US"/>
        </w:rPr>
        <w:t xml:space="preserve">  </w:t>
      </w:r>
      <w:r w:rsidRPr="006D7411">
        <w:rPr>
          <w:rFonts w:ascii="Traditional Arabic" w:hAnsi="Traditional Arabic"/>
          <w:rtl/>
        </w:rPr>
        <w:t xml:space="preserve">وهو محمد </w:t>
      </w:r>
      <w:r w:rsidRPr="006D7411">
        <w:rPr>
          <w:rFonts w:ascii="Traditional Arabic" w:hAnsi="Traditional Arabic"/>
        </w:rPr>
        <w:sym w:font="AGA Arabesque" w:char="F072"/>
      </w:r>
      <w:r w:rsidRPr="006D7411">
        <w:rPr>
          <w:rFonts w:ascii="Traditional Arabic" w:hAnsi="Traditional Arabic"/>
          <w:rtl/>
        </w:rPr>
        <w:t xml:space="preserve">، والقرآن، والإِسلام </w:t>
      </w:r>
      <w:r w:rsidRPr="006D7411">
        <w:rPr>
          <w:rFonts w:ascii="QCF_BSML" w:hAnsi="QCF_BSML" w:cs="QCF_BSML"/>
          <w:color w:val="auto"/>
          <w:sz w:val="32"/>
          <w:szCs w:val="32"/>
          <w:rtl/>
          <w:lang w:eastAsia="en-US"/>
        </w:rPr>
        <w:t>ﭽ</w:t>
      </w:r>
      <w:r w:rsidRPr="006D7411">
        <w:rPr>
          <w:rFonts w:ascii="QCF_P300" w:hAnsi="QCF_P300" w:cs="QCF_P300"/>
          <w:sz w:val="32"/>
          <w:szCs w:val="32"/>
          <w:rtl/>
          <w:lang w:eastAsia="en-US"/>
        </w:rPr>
        <w:t xml:space="preserve">  ﭫ   ﭬ  ﭭ  ﭮ   ﭯ  </w:t>
      </w:r>
      <w:r w:rsidRPr="006D7411">
        <w:rPr>
          <w:rFonts w:ascii="QCF_BSML" w:hAnsi="QCF_BSML" w:cs="QCF_BSML"/>
          <w:color w:val="auto"/>
          <w:sz w:val="32"/>
          <w:szCs w:val="32"/>
          <w:rtl/>
          <w:lang w:eastAsia="en-US"/>
        </w:rPr>
        <w:t>ﭼ</w:t>
      </w:r>
      <w:r w:rsidRPr="006D7411">
        <w:rPr>
          <w:rFonts w:ascii="Traditional Arabic" w:hAnsi="Traditional Arabic"/>
          <w:rtl/>
        </w:rPr>
        <w:t xml:space="preserve"> وهو أنهم إِذا لم يؤمنوا عذِّبوا. وفي معنى الكلام ثلاثة أقوال: أحدها: ما منعهم من الإيمان إِلا طلب أن تأتيهم سُنَّة الأولين، قاله الزجاج.</w:t>
      </w:r>
      <w:r w:rsidRPr="006D7411">
        <w:rPr>
          <w:rFonts w:ascii="Traditional Arabic" w:hAnsi="Traditional Arabic" w:hint="cs"/>
          <w:rtl/>
        </w:rPr>
        <w:t xml:space="preserve"> </w:t>
      </w:r>
      <w:r w:rsidRPr="006D7411">
        <w:rPr>
          <w:rFonts w:ascii="Traditional Arabic" w:hAnsi="Traditional Arabic"/>
          <w:rtl/>
        </w:rPr>
        <w:t xml:space="preserve">والثاني: وما منع الشيطانُ الناس أن يؤمنوا إِلا لأَن تأتيهم سُنَّة الأولين، أي: منعهم </w:t>
      </w:r>
      <w:r w:rsidRPr="006D7411">
        <w:rPr>
          <w:rFonts w:ascii="Traditional Arabic" w:hAnsi="Traditional Arabic"/>
          <w:rtl/>
        </w:rPr>
        <w:lastRenderedPageBreak/>
        <w:t>رُشْدَهُم لكي يقع العذاب بهم، ذكره ابن الأنباري. والثالث: ما منعهم إِلا أنِّي قد قدَّرت عليهم العذاب. وهذه الآية فيمن قُتل ببدر وأُحُد من المشركين، قاله الواحدي</w:t>
      </w:r>
      <w:r w:rsidRPr="006D7411">
        <w:rPr>
          <w:rStyle w:val="ae"/>
          <w:rtl/>
        </w:rPr>
        <w:t>(</w:t>
      </w:r>
      <w:r w:rsidRPr="006D7411">
        <w:rPr>
          <w:rStyle w:val="ae"/>
          <w:rtl/>
        </w:rPr>
        <w:footnoteReference w:id="170"/>
      </w:r>
      <w:r w:rsidRPr="006D7411">
        <w:rPr>
          <w:rStyle w:val="ae"/>
          <w:rtl/>
        </w:rPr>
        <w:t>)</w:t>
      </w:r>
      <w:r w:rsidRPr="006D7411">
        <w:rPr>
          <w:rFonts w:ascii="Traditional Arabic" w:hAnsi="Traditional Arabic" w:hint="cs"/>
          <w:rtl/>
        </w:rPr>
        <w:t>.</w:t>
      </w:r>
    </w:p>
    <w:p w:rsidR="00D11232" w:rsidRPr="00C17B7B" w:rsidRDefault="00D11232" w:rsidP="00463120">
      <w:pPr>
        <w:spacing w:line="276" w:lineRule="auto"/>
        <w:ind w:firstLine="0"/>
        <w:contextualSpacing/>
        <w:rPr>
          <w:rFonts w:ascii="Traditional Arabic" w:eastAsia="Calibri" w:hAnsi="Traditional Arabic"/>
          <w:b/>
          <w:bCs/>
          <w:color w:val="auto"/>
          <w:rtl/>
        </w:rPr>
      </w:pPr>
      <w:r w:rsidRPr="00C17B7B">
        <w:rPr>
          <w:rFonts w:ascii="Traditional Arabic" w:eastAsia="Calibri" w:hAnsi="Traditional Arabic" w:hint="cs"/>
          <w:b/>
          <w:bCs/>
          <w:color w:val="auto"/>
          <w:rtl/>
        </w:rPr>
        <w:t>وأيضا من مصادره اللغوية المرتبطة بالتفسير:</w:t>
      </w:r>
    </w:p>
    <w:p w:rsidR="00D11232" w:rsidRPr="00C17B7B" w:rsidRDefault="00463120" w:rsidP="000764E1">
      <w:pPr>
        <w:spacing w:line="276" w:lineRule="auto"/>
        <w:ind w:firstLine="0"/>
        <w:contextualSpacing/>
        <w:rPr>
          <w:rFonts w:ascii="Traditional Arabic" w:eastAsia="Calibri" w:hAnsi="Traditional Arabic"/>
          <w:color w:val="auto"/>
          <w:rtl/>
        </w:rPr>
      </w:pPr>
      <w:r>
        <w:rPr>
          <w:rFonts w:ascii="Traditional Arabic" w:eastAsia="Calibri" w:hAnsi="Traditional Arabic" w:hint="cs"/>
          <w:color w:val="auto"/>
          <w:rtl/>
        </w:rPr>
        <w:t>1-</w:t>
      </w:r>
      <w:r w:rsidR="00D11232" w:rsidRPr="00C17B7B">
        <w:rPr>
          <w:rFonts w:ascii="Traditional Arabic" w:eastAsia="Calibri" w:hAnsi="Traditional Arabic" w:hint="cs"/>
          <w:color w:val="auto"/>
          <w:rtl/>
        </w:rPr>
        <w:t xml:space="preserve"> </w:t>
      </w:r>
      <w:r>
        <w:rPr>
          <w:rFonts w:ascii="Traditional Arabic" w:eastAsia="Calibri" w:hAnsi="Traditional Arabic" w:hint="cs"/>
          <w:color w:val="auto"/>
          <w:rtl/>
        </w:rPr>
        <w:t xml:space="preserve">معاني </w:t>
      </w:r>
      <w:r w:rsidR="00D11232" w:rsidRPr="00C17B7B">
        <w:rPr>
          <w:rFonts w:ascii="Traditional Arabic" w:eastAsia="Calibri" w:hAnsi="Traditional Arabic" w:hint="cs"/>
          <w:color w:val="auto"/>
          <w:rtl/>
        </w:rPr>
        <w:t xml:space="preserve">القرآن لأبي زكريا يحيى بن زياد بن عبد الله الفراء, المتوفى سنة (207هـ) ومن أمثلة ما نقل عنه: </w:t>
      </w:r>
      <w:r w:rsidR="000764E1" w:rsidRPr="00C17B7B">
        <w:rPr>
          <w:rFonts w:ascii="Traditional Arabic" w:eastAsia="Calibri" w:hAnsi="Traditional Arabic"/>
          <w:color w:val="auto"/>
          <w:rtl/>
        </w:rPr>
        <w:t>قوله</w:t>
      </w:r>
      <w:r w:rsidR="000764E1" w:rsidRPr="00C17B7B">
        <w:rPr>
          <w:rFonts w:ascii="Traditional Arabic" w:eastAsia="Calibri" w:hAnsi="Traditional Arabic" w:hint="cs"/>
          <w:color w:val="auto"/>
          <w:rtl/>
        </w:rPr>
        <w:t xml:space="preserve"> عند تفسير</w:t>
      </w:r>
      <w:r w:rsidR="000764E1" w:rsidRPr="00C17B7B">
        <w:rPr>
          <w:rFonts w:ascii="Traditional Arabic" w:eastAsia="Calibri" w:hAnsi="Traditional Arabic"/>
          <w:color w:val="auto"/>
          <w:rtl/>
        </w:rPr>
        <w:t xml:space="preserve"> </w:t>
      </w:r>
      <w:r w:rsidR="000764E1" w:rsidRPr="006D7411">
        <w:rPr>
          <w:rFonts w:ascii="Traditional Arabic" w:hAnsi="Traditional Arabic"/>
          <w:rtl/>
        </w:rPr>
        <w:t>قوله تعالى</w:t>
      </w:r>
      <w:r w:rsidR="000764E1">
        <w:rPr>
          <w:rFonts w:ascii="Traditional Arabic" w:eastAsia="Calibri" w:hAnsi="Traditional Arabic" w:hint="cs"/>
          <w:color w:val="auto"/>
          <w:rtl/>
        </w:rPr>
        <w:t>:</w:t>
      </w:r>
      <w:r w:rsidR="00D11232" w:rsidRPr="00C17B7B">
        <w:rPr>
          <w:rFonts w:ascii="Traditional Arabic" w:eastAsia="Calibri" w:hAnsi="Traditional Arabic" w:hint="cs"/>
          <w:color w:val="auto"/>
          <w:rtl/>
        </w:rPr>
        <w:t xml:space="preserve"> </w:t>
      </w:r>
      <w:r w:rsidR="00E97DA6" w:rsidRPr="00110C85">
        <w:rPr>
          <w:rFonts w:ascii="QCF_BSML" w:hAnsi="QCF_BSML" w:cs="QCF_BSML"/>
          <w:sz w:val="32"/>
          <w:szCs w:val="32"/>
          <w:rtl/>
          <w:lang w:eastAsia="en-US"/>
        </w:rPr>
        <w:t>ﭽ</w:t>
      </w:r>
      <w:r w:rsidR="00E97DA6">
        <w:rPr>
          <w:rFonts w:ascii="QCF_P290" w:hAnsi="QCF_P290" w:cs="QCF_P290" w:hint="cs"/>
          <w:sz w:val="32"/>
          <w:szCs w:val="32"/>
          <w:rtl/>
          <w:lang w:eastAsia="en-US"/>
        </w:rPr>
        <w:t xml:space="preserve"> </w:t>
      </w:r>
      <w:r w:rsidR="00E97DA6" w:rsidRPr="00110C85">
        <w:rPr>
          <w:rFonts w:ascii="QCF_P290" w:hAnsi="QCF_P290" w:cs="QCF_P290"/>
          <w:sz w:val="32"/>
          <w:szCs w:val="32"/>
          <w:rtl/>
          <w:lang w:eastAsia="en-US"/>
        </w:rPr>
        <w:t>ﭠ  ﭡ  ﭢ   ﭣ</w:t>
      </w:r>
      <w:r w:rsidR="00E97DA6">
        <w:rPr>
          <w:rFonts w:ascii="QCF_BSML" w:hAnsi="QCF_BSML" w:cs="QCF_BSML" w:hint="cs"/>
          <w:sz w:val="32"/>
          <w:szCs w:val="32"/>
          <w:rtl/>
          <w:lang w:eastAsia="en-US"/>
        </w:rPr>
        <w:t xml:space="preserve"> </w:t>
      </w:r>
      <w:r w:rsidR="00E97DA6" w:rsidRPr="00110C85">
        <w:rPr>
          <w:rFonts w:ascii="QCF_BSML" w:hAnsi="QCF_BSML" w:cs="QCF_BSML"/>
          <w:sz w:val="32"/>
          <w:szCs w:val="32"/>
          <w:rtl/>
          <w:lang w:eastAsia="en-US"/>
        </w:rPr>
        <w:t>ﭼ</w:t>
      </w:r>
      <w:r w:rsidR="00680839">
        <w:rPr>
          <w:rFonts w:ascii="QCF_BSML" w:hAnsi="QCF_BSML" w:cs="QCF_BSML" w:hint="cs"/>
          <w:sz w:val="32"/>
          <w:szCs w:val="32"/>
          <w:rtl/>
          <w:lang w:eastAsia="en-US"/>
        </w:rPr>
        <w:t xml:space="preserve">  </w:t>
      </w:r>
      <w:r w:rsidR="00E97DA6" w:rsidRPr="000651D4">
        <w:rPr>
          <w:rFonts w:ascii="QCF_P290" w:hAnsi="QCF_P290" w:cs="QCF_P290"/>
          <w:sz w:val="32"/>
          <w:szCs w:val="32"/>
          <w:rtl/>
          <w:lang w:eastAsia="en-US"/>
        </w:rPr>
        <w:t xml:space="preserve"> </w:t>
      </w:r>
      <w:r w:rsidR="00680839" w:rsidRPr="00BF2E12">
        <w:rPr>
          <w:rFonts w:ascii="Traditional Arabic" w:hAnsi="Traditional Arabic" w:hint="cs"/>
          <w:sz w:val="32"/>
          <w:szCs w:val="32"/>
          <w:rtl/>
        </w:rPr>
        <w:t>[</w:t>
      </w:r>
      <w:r w:rsidR="00680839" w:rsidRPr="00BF2E12">
        <w:rPr>
          <w:rFonts w:ascii="Traditional Arabic" w:hAnsi="Traditional Arabic"/>
          <w:sz w:val="32"/>
          <w:szCs w:val="32"/>
          <w:rtl/>
        </w:rPr>
        <w:t>الإسراء:</w:t>
      </w:r>
      <w:r w:rsidR="00680839">
        <w:rPr>
          <w:rFonts w:ascii="Traditional Arabic" w:hAnsi="Traditional Arabic" w:hint="cs"/>
          <w:sz w:val="32"/>
          <w:szCs w:val="32"/>
          <w:rtl/>
        </w:rPr>
        <w:t>77</w:t>
      </w:r>
      <w:r w:rsidR="00680839" w:rsidRPr="00BF2E12">
        <w:rPr>
          <w:rFonts w:ascii="Traditional Arabic" w:hAnsi="Traditional Arabic" w:hint="cs"/>
          <w:sz w:val="32"/>
          <w:szCs w:val="32"/>
          <w:rtl/>
        </w:rPr>
        <w:t>]</w:t>
      </w:r>
      <w:r w:rsidR="00680839" w:rsidRPr="006D7411">
        <w:rPr>
          <w:rFonts w:ascii="Arial" w:hAnsi="Arial" w:cs="Arial" w:hint="cs"/>
          <w:color w:val="0D0D0D" w:themeColor="text1" w:themeTint="F2"/>
          <w:sz w:val="18"/>
          <w:szCs w:val="18"/>
          <w:rtl/>
          <w:lang w:eastAsia="en-US"/>
        </w:rPr>
        <w:t xml:space="preserve"> </w:t>
      </w:r>
      <w:r w:rsidR="00E97DA6" w:rsidRPr="000651D4">
        <w:rPr>
          <w:rFonts w:ascii="QCF_P290" w:hAnsi="QCF_P290" w:cs="QCF_P290"/>
          <w:sz w:val="32"/>
          <w:szCs w:val="32"/>
          <w:rtl/>
          <w:lang w:eastAsia="en-US"/>
        </w:rPr>
        <w:t xml:space="preserve"> </w:t>
      </w:r>
      <w:r w:rsidR="00E97DA6" w:rsidRPr="003E6BF4">
        <w:rPr>
          <w:rFonts w:ascii="Traditional Arabic" w:hAnsi="Traditional Arabic"/>
          <w:rtl/>
          <w:lang w:eastAsia="en-US"/>
        </w:rPr>
        <w:t>قال الفراء: نصب السُّنَّة على العذاب المُضْمَر، أي: يعذَّبوَن كسُنَّتنا فيمن أَرسلْنا</w:t>
      </w:r>
      <w:r w:rsidR="00E97DA6" w:rsidRPr="00E97DA6">
        <w:rPr>
          <w:rStyle w:val="ae"/>
          <w:rtl/>
        </w:rPr>
        <w:t>(</w:t>
      </w:r>
      <w:r w:rsidR="00E97DA6">
        <w:rPr>
          <w:rStyle w:val="ae"/>
          <w:rtl/>
        </w:rPr>
        <w:footnoteReference w:id="171"/>
      </w:r>
      <w:r w:rsidR="00E97DA6" w:rsidRPr="00E97DA6">
        <w:rPr>
          <w:rStyle w:val="ae"/>
          <w:rtl/>
        </w:rPr>
        <w:t>)</w:t>
      </w:r>
      <w:r w:rsidR="00E97DA6">
        <w:rPr>
          <w:rFonts w:ascii="Traditional Arabic" w:hAnsi="Traditional Arabic" w:hint="cs"/>
          <w:rtl/>
          <w:lang w:eastAsia="en-US"/>
        </w:rPr>
        <w:t>.</w:t>
      </w:r>
    </w:p>
    <w:p w:rsidR="00D11232" w:rsidRPr="00C17B7B" w:rsidRDefault="00463120" w:rsidP="000764E1">
      <w:pPr>
        <w:spacing w:line="276" w:lineRule="auto"/>
        <w:ind w:firstLine="0"/>
        <w:contextualSpacing/>
        <w:rPr>
          <w:rFonts w:ascii="Traditional Arabic" w:eastAsia="Calibri" w:hAnsi="Traditional Arabic"/>
          <w:color w:val="auto"/>
          <w:rtl/>
        </w:rPr>
      </w:pPr>
      <w:r>
        <w:rPr>
          <w:rFonts w:ascii="Traditional Arabic" w:eastAsia="Calibri" w:hAnsi="Traditional Arabic" w:hint="cs"/>
          <w:color w:val="auto"/>
          <w:rtl/>
        </w:rPr>
        <w:t xml:space="preserve">2- </w:t>
      </w:r>
      <w:r w:rsidR="00D11232" w:rsidRPr="00C17B7B">
        <w:rPr>
          <w:rFonts w:ascii="Traditional Arabic" w:eastAsia="Calibri" w:hAnsi="Traditional Arabic" w:hint="cs"/>
          <w:color w:val="auto"/>
          <w:rtl/>
        </w:rPr>
        <w:t xml:space="preserve">القرآن لأبي عبيدة معمر بن المثنى التيمي, المتوفى سنة (210هـ).  ومن أمثلة ما نقل عنه: </w:t>
      </w:r>
      <w:r w:rsidR="000764E1" w:rsidRPr="00C17B7B">
        <w:rPr>
          <w:rFonts w:ascii="Traditional Arabic" w:eastAsia="Calibri" w:hAnsi="Traditional Arabic"/>
          <w:color w:val="auto"/>
          <w:rtl/>
        </w:rPr>
        <w:t>قوله</w:t>
      </w:r>
      <w:r w:rsidR="000764E1" w:rsidRPr="00C17B7B">
        <w:rPr>
          <w:rFonts w:ascii="Traditional Arabic" w:eastAsia="Calibri" w:hAnsi="Traditional Arabic" w:hint="cs"/>
          <w:color w:val="auto"/>
          <w:rtl/>
        </w:rPr>
        <w:t xml:space="preserve"> عند تفسير</w:t>
      </w:r>
      <w:r w:rsidR="000764E1" w:rsidRPr="00C17B7B">
        <w:rPr>
          <w:rFonts w:ascii="Traditional Arabic" w:eastAsia="Calibri" w:hAnsi="Traditional Arabic"/>
          <w:color w:val="auto"/>
          <w:rtl/>
        </w:rPr>
        <w:t xml:space="preserve"> </w:t>
      </w:r>
      <w:r w:rsidR="000764E1" w:rsidRPr="006D7411">
        <w:rPr>
          <w:rFonts w:ascii="Traditional Arabic" w:hAnsi="Traditional Arabic"/>
          <w:rtl/>
        </w:rPr>
        <w:t>قوله تعالى</w:t>
      </w:r>
      <w:r w:rsidR="000764E1">
        <w:rPr>
          <w:rFonts w:ascii="Traditional Arabic" w:eastAsia="Calibri" w:hAnsi="Traditional Arabic" w:hint="cs"/>
          <w:color w:val="auto"/>
          <w:rtl/>
        </w:rPr>
        <w:t>:</w:t>
      </w:r>
      <w:r w:rsidR="000764E1">
        <w:rPr>
          <w:rFonts w:ascii="QCF_BSML" w:hAnsi="QCF_BSML" w:cs="QCF_BSML" w:hint="cs"/>
          <w:color w:val="auto"/>
          <w:sz w:val="32"/>
          <w:szCs w:val="32"/>
          <w:rtl/>
          <w:lang w:eastAsia="en-US"/>
        </w:rPr>
        <w:t xml:space="preserve"> </w:t>
      </w:r>
      <w:r w:rsidR="00094E26" w:rsidRPr="00094E26">
        <w:rPr>
          <w:rFonts w:ascii="QCF_BSML" w:hAnsi="QCF_BSML" w:cs="QCF_BSML"/>
          <w:color w:val="auto"/>
          <w:sz w:val="32"/>
          <w:szCs w:val="32"/>
          <w:rtl/>
          <w:lang w:eastAsia="en-US"/>
        </w:rPr>
        <w:t>ﭽ</w:t>
      </w:r>
      <w:r w:rsidR="00094E26" w:rsidRPr="00094E26">
        <w:rPr>
          <w:rFonts w:ascii="QCF_BSML" w:hAnsi="QCF_BSML" w:cs="QCF_BSML" w:hint="cs"/>
          <w:color w:val="auto"/>
          <w:sz w:val="32"/>
          <w:szCs w:val="32"/>
          <w:rtl/>
          <w:lang w:eastAsia="en-US"/>
        </w:rPr>
        <w:t xml:space="preserve"> </w:t>
      </w:r>
      <w:r w:rsidR="00094E26" w:rsidRPr="00094E26">
        <w:rPr>
          <w:rFonts w:ascii="QCF_P302" w:hAnsi="QCF_P302" w:cs="QCF_P302"/>
          <w:color w:val="auto"/>
          <w:sz w:val="32"/>
          <w:szCs w:val="32"/>
          <w:rtl/>
          <w:lang w:eastAsia="en-US"/>
        </w:rPr>
        <w:t>ﭳ    ﭴ  ﭵ</w:t>
      </w:r>
      <w:r w:rsidR="00094E26" w:rsidRPr="00094E26">
        <w:rPr>
          <w:rFonts w:ascii="QCF_P302" w:hAnsi="QCF_P302" w:cs="QCF_P302" w:hint="cs"/>
          <w:color w:val="auto"/>
          <w:sz w:val="32"/>
          <w:szCs w:val="32"/>
          <w:rtl/>
          <w:lang w:eastAsia="en-US"/>
        </w:rPr>
        <w:t xml:space="preserve"> </w:t>
      </w:r>
      <w:r w:rsidR="00094E26" w:rsidRPr="00094E26">
        <w:rPr>
          <w:rFonts w:ascii="QCF_BSML" w:hAnsi="QCF_BSML" w:cs="QCF_BSML"/>
          <w:sz w:val="32"/>
          <w:szCs w:val="32"/>
          <w:rtl/>
          <w:lang w:eastAsia="en-US"/>
        </w:rPr>
        <w:t>ﭼ</w:t>
      </w:r>
      <w:r w:rsidR="00094E26" w:rsidRPr="00094E26">
        <w:rPr>
          <w:rFonts w:ascii="QCF_P302" w:hAnsi="QCF_P302" w:cs="QCF_P302" w:hint="cs"/>
          <w:color w:val="auto"/>
          <w:sz w:val="32"/>
          <w:szCs w:val="32"/>
          <w:rtl/>
          <w:lang w:eastAsia="en-US"/>
        </w:rPr>
        <w:t xml:space="preserve"> </w:t>
      </w:r>
      <w:r w:rsidR="00680839" w:rsidRPr="006B2BAF">
        <w:rPr>
          <w:rFonts w:ascii="Traditional Arabic" w:hAnsi="Traditional Arabic" w:hint="cs"/>
          <w:sz w:val="32"/>
          <w:szCs w:val="32"/>
          <w:rtl/>
          <w:lang w:eastAsia="en-US"/>
        </w:rPr>
        <w:t>[</w:t>
      </w:r>
      <w:r w:rsidR="00680839" w:rsidRPr="006B2BAF">
        <w:rPr>
          <w:rFonts w:ascii="Traditional Arabic" w:hAnsi="Traditional Arabic"/>
          <w:color w:val="auto"/>
          <w:sz w:val="32"/>
          <w:szCs w:val="32"/>
          <w:rtl/>
          <w:lang w:eastAsia="en-US"/>
        </w:rPr>
        <w:t>الكهف:</w:t>
      </w:r>
      <w:r w:rsidR="00680839">
        <w:rPr>
          <w:rFonts w:ascii="Traditional Arabic" w:hAnsi="Traditional Arabic" w:hint="cs"/>
          <w:color w:val="auto"/>
          <w:sz w:val="32"/>
          <w:szCs w:val="32"/>
          <w:rtl/>
          <w:lang w:eastAsia="en-US"/>
        </w:rPr>
        <w:t>77</w:t>
      </w:r>
      <w:r w:rsidR="00680839" w:rsidRPr="006B2BAF">
        <w:rPr>
          <w:rFonts w:ascii="Traditional Arabic" w:hAnsi="Traditional Arabic" w:hint="cs"/>
          <w:color w:val="auto"/>
          <w:sz w:val="32"/>
          <w:szCs w:val="32"/>
          <w:rtl/>
          <w:lang w:eastAsia="en-US"/>
        </w:rPr>
        <w:t>]</w:t>
      </w:r>
      <w:r w:rsidR="00680839" w:rsidRPr="00711488">
        <w:rPr>
          <w:rFonts w:ascii="Traditional Arabic" w:eastAsia="Calibri" w:hAnsi="Traditional Arabic"/>
          <w:color w:val="auto"/>
          <w:shd w:val="clear" w:color="auto" w:fill="FFFFFF"/>
          <w:rtl/>
        </w:rPr>
        <w:t xml:space="preserve"> </w:t>
      </w:r>
      <w:r w:rsidR="00094E26" w:rsidRPr="00094E26">
        <w:rPr>
          <w:rFonts w:ascii="QCF_P302" w:hAnsi="QCF_P302" w:cs="QCF_P302" w:hint="cs"/>
          <w:color w:val="auto"/>
          <w:sz w:val="32"/>
          <w:szCs w:val="32"/>
          <w:rtl/>
          <w:lang w:eastAsia="en-US"/>
        </w:rPr>
        <w:t xml:space="preserve">   </w:t>
      </w:r>
      <w:r w:rsidR="00094E26" w:rsidRPr="00094E26">
        <w:rPr>
          <w:rFonts w:ascii="Traditional Arabic" w:hAnsi="Traditional Arabic"/>
          <w:rtl/>
        </w:rPr>
        <w:t>روى المفضل</w:t>
      </w:r>
      <w:r w:rsidR="00094E26">
        <w:rPr>
          <w:rFonts w:hint="cs"/>
          <w:vertAlign w:val="superscript"/>
          <w:rtl/>
        </w:rPr>
        <w:t xml:space="preserve"> </w:t>
      </w:r>
      <w:r w:rsidR="00094E26" w:rsidRPr="00094E26">
        <w:rPr>
          <w:rFonts w:ascii="Traditional Arabic" w:hAnsi="Traditional Arabic"/>
          <w:rtl/>
        </w:rPr>
        <w:t>عن عاصم: «يُضيفوهما» بضم الياء الأولى وكسر الضاد وتخفيف الياء الثانية</w:t>
      </w:r>
      <w:r w:rsidR="00094E26" w:rsidRPr="00094E26">
        <w:rPr>
          <w:rFonts w:ascii="Traditional Arabic" w:hAnsi="Traditional Arabic" w:hint="cs"/>
          <w:rtl/>
        </w:rPr>
        <w:t>,</w:t>
      </w:r>
      <w:r w:rsidR="00094E26" w:rsidRPr="00094E26">
        <w:rPr>
          <w:rFonts w:ascii="Traditional Arabic" w:hAnsi="Traditional Arabic"/>
          <w:rtl/>
        </w:rPr>
        <w:t xml:space="preserve"> وقرأ أبو الجوزاء كذلك، إِلا أنه فتح الياء الأولى</w:t>
      </w:r>
      <w:r w:rsidR="00094E26" w:rsidRPr="00094E26">
        <w:rPr>
          <w:rFonts w:ascii="Traditional Arabic" w:hAnsi="Traditional Arabic" w:hint="cs"/>
          <w:rtl/>
        </w:rPr>
        <w:t>,</w:t>
      </w:r>
      <w:r w:rsidR="00094E26" w:rsidRPr="00094E26">
        <w:rPr>
          <w:rFonts w:ascii="Traditional Arabic" w:hAnsi="Traditional Arabic"/>
          <w:rtl/>
        </w:rPr>
        <w:t xml:space="preserve"> وقرأ الباقون: «يضيِّفوهما» بفتح الضاد وتشديد الياء الثانية وكسرها. قال أبو عبيدة: ومعنى يضيِّفوهما:</w:t>
      </w:r>
      <w:r w:rsidR="00094E26" w:rsidRPr="00094E26">
        <w:rPr>
          <w:rFonts w:ascii="Traditional Arabic" w:hAnsi="Traditional Arabic" w:hint="cs"/>
          <w:rtl/>
        </w:rPr>
        <w:t xml:space="preserve"> </w:t>
      </w:r>
      <w:r w:rsidR="00094E26" w:rsidRPr="00094E26">
        <w:rPr>
          <w:rFonts w:ascii="Traditional Arabic" w:hAnsi="Traditional Arabic"/>
          <w:rtl/>
        </w:rPr>
        <w:t>ينزلوهما منزل الأضياف، يقال: ضِفت أنا، وأضافني الذي يُنزلني</w:t>
      </w:r>
      <w:r w:rsidR="00094E26" w:rsidRPr="00094E26">
        <w:rPr>
          <w:rStyle w:val="ae"/>
          <w:rFonts w:eastAsia="Calibri"/>
          <w:rtl/>
        </w:rPr>
        <w:t>(</w:t>
      </w:r>
      <w:r w:rsidR="00094E26">
        <w:rPr>
          <w:rStyle w:val="ae"/>
          <w:rFonts w:eastAsia="Calibri"/>
          <w:rtl/>
        </w:rPr>
        <w:footnoteReference w:id="172"/>
      </w:r>
      <w:r w:rsidR="00094E26" w:rsidRPr="00094E26">
        <w:rPr>
          <w:rStyle w:val="ae"/>
          <w:rFonts w:eastAsia="Calibri"/>
          <w:rtl/>
        </w:rPr>
        <w:t>)</w:t>
      </w:r>
      <w:r w:rsidR="00094E26">
        <w:rPr>
          <w:rFonts w:ascii="Traditional Arabic" w:eastAsia="Calibri" w:hAnsi="Traditional Arabic" w:hint="cs"/>
          <w:color w:val="auto"/>
          <w:rtl/>
        </w:rPr>
        <w:t>.</w:t>
      </w:r>
    </w:p>
    <w:p w:rsidR="00094E26" w:rsidRDefault="00463120" w:rsidP="000764E1">
      <w:pPr>
        <w:spacing w:line="276" w:lineRule="auto"/>
        <w:ind w:firstLine="0"/>
        <w:contextualSpacing/>
        <w:rPr>
          <w:rFonts w:ascii="Traditional Arabic" w:hAnsi="Traditional Arabic"/>
          <w:color w:val="0D0D0D" w:themeColor="text1" w:themeTint="F2"/>
          <w:rtl/>
          <w:lang w:eastAsia="en-US"/>
        </w:rPr>
      </w:pPr>
      <w:r>
        <w:rPr>
          <w:rFonts w:ascii="Traditional Arabic" w:eastAsia="Calibri" w:hAnsi="Traditional Arabic" w:hint="cs"/>
          <w:color w:val="auto"/>
          <w:rtl/>
        </w:rPr>
        <w:t xml:space="preserve">3- </w:t>
      </w:r>
      <w:r w:rsidRPr="00094E26">
        <w:rPr>
          <w:rFonts w:ascii="Traditional Arabic" w:eastAsia="Calibri" w:hAnsi="Traditional Arabic" w:hint="cs"/>
          <w:color w:val="auto"/>
          <w:rtl/>
        </w:rPr>
        <w:t xml:space="preserve">معاني </w:t>
      </w:r>
      <w:r w:rsidR="00D11232" w:rsidRPr="00094E26">
        <w:rPr>
          <w:rFonts w:ascii="Traditional Arabic" w:eastAsia="Calibri" w:hAnsi="Traditional Arabic" w:hint="cs"/>
          <w:color w:val="auto"/>
          <w:rtl/>
        </w:rPr>
        <w:t xml:space="preserve">القرآن </w:t>
      </w:r>
      <w:r w:rsidR="00094E26" w:rsidRPr="00094E26">
        <w:rPr>
          <w:rFonts w:ascii="Traditional Arabic" w:eastAsia="Calibri" w:hAnsi="Traditional Arabic" w:hint="cs"/>
          <w:color w:val="auto"/>
          <w:rtl/>
        </w:rPr>
        <w:t>ل</w:t>
      </w:r>
      <w:r w:rsidR="00094E26" w:rsidRPr="00094E26">
        <w:rPr>
          <w:rFonts w:ascii="Traditional Arabic" w:hAnsi="Traditional Arabic" w:hint="cs"/>
          <w:rtl/>
          <w:lang w:eastAsia="en-US"/>
        </w:rPr>
        <w:t>أبي</w:t>
      </w:r>
      <w:r w:rsidR="00094E26" w:rsidRPr="00094E26">
        <w:rPr>
          <w:rFonts w:ascii="Traditional Arabic" w:hAnsi="Traditional Arabic"/>
          <w:rtl/>
          <w:lang w:eastAsia="en-US"/>
        </w:rPr>
        <w:t xml:space="preserve"> الحسن </w:t>
      </w:r>
      <w:r w:rsidR="00D11232" w:rsidRPr="00094E26">
        <w:rPr>
          <w:rFonts w:ascii="Traditional Arabic" w:eastAsia="Calibri" w:hAnsi="Traditional Arabic" w:hint="cs"/>
          <w:color w:val="auto"/>
          <w:rtl/>
        </w:rPr>
        <w:t>سعيد بن مسعدة المجاشعي الأخفش</w:t>
      </w:r>
      <w:r w:rsidR="00D11232" w:rsidRPr="00C17B7B">
        <w:rPr>
          <w:rFonts w:ascii="Traditional Arabic" w:eastAsia="Calibri" w:hAnsi="Traditional Arabic" w:hint="cs"/>
          <w:color w:val="auto"/>
          <w:rtl/>
        </w:rPr>
        <w:t xml:space="preserve"> الأوسط، المتوفى سنة (215هـ).</w:t>
      </w:r>
      <w:r>
        <w:rPr>
          <w:rFonts w:ascii="Traditional Arabic" w:eastAsia="Calibri" w:hAnsi="Traditional Arabic" w:hint="cs"/>
          <w:color w:val="auto"/>
          <w:rtl/>
        </w:rPr>
        <w:t xml:space="preserve"> </w:t>
      </w:r>
      <w:r w:rsidR="00D11232" w:rsidRPr="00C17B7B">
        <w:rPr>
          <w:rFonts w:ascii="Traditional Arabic" w:eastAsia="Calibri" w:hAnsi="Traditional Arabic" w:hint="cs"/>
          <w:color w:val="auto"/>
          <w:rtl/>
        </w:rPr>
        <w:t>ومن أمثلة ما</w:t>
      </w:r>
      <w:r>
        <w:rPr>
          <w:rFonts w:ascii="Traditional Arabic" w:eastAsia="Calibri" w:hAnsi="Traditional Arabic" w:hint="cs"/>
          <w:color w:val="auto"/>
          <w:rtl/>
        </w:rPr>
        <w:t xml:space="preserve"> </w:t>
      </w:r>
      <w:r w:rsidR="000764E1">
        <w:rPr>
          <w:rFonts w:ascii="Traditional Arabic" w:eastAsia="Calibri" w:hAnsi="Traditional Arabic" w:hint="cs"/>
          <w:color w:val="auto"/>
          <w:rtl/>
        </w:rPr>
        <w:t>نقله عنه:</w:t>
      </w:r>
      <w:r w:rsidR="00D11232" w:rsidRPr="00C17B7B">
        <w:rPr>
          <w:rFonts w:ascii="Traditional Arabic" w:eastAsia="Calibri" w:hAnsi="Traditional Arabic" w:hint="cs"/>
          <w:color w:val="auto"/>
          <w:rtl/>
        </w:rPr>
        <w:t xml:space="preserve"> </w:t>
      </w:r>
      <w:r w:rsidR="000764E1" w:rsidRPr="00C17B7B">
        <w:rPr>
          <w:rFonts w:ascii="Traditional Arabic" w:eastAsia="Calibri" w:hAnsi="Traditional Arabic"/>
          <w:color w:val="auto"/>
          <w:rtl/>
        </w:rPr>
        <w:t>قوله</w:t>
      </w:r>
      <w:r w:rsidR="000764E1" w:rsidRPr="00C17B7B">
        <w:rPr>
          <w:rFonts w:ascii="Traditional Arabic" w:eastAsia="Calibri" w:hAnsi="Traditional Arabic" w:hint="cs"/>
          <w:color w:val="auto"/>
          <w:rtl/>
        </w:rPr>
        <w:t xml:space="preserve"> عند تفسير</w:t>
      </w:r>
      <w:r w:rsidR="000764E1" w:rsidRPr="00C17B7B">
        <w:rPr>
          <w:rFonts w:ascii="Traditional Arabic" w:eastAsia="Calibri" w:hAnsi="Traditional Arabic"/>
          <w:color w:val="auto"/>
          <w:rtl/>
        </w:rPr>
        <w:t xml:space="preserve"> </w:t>
      </w:r>
      <w:r w:rsidR="000764E1" w:rsidRPr="006D7411">
        <w:rPr>
          <w:rFonts w:ascii="Traditional Arabic" w:hAnsi="Traditional Arabic"/>
          <w:rtl/>
        </w:rPr>
        <w:t>قوله تعالى</w:t>
      </w:r>
      <w:r w:rsidR="000764E1">
        <w:rPr>
          <w:rFonts w:ascii="Traditional Arabic" w:eastAsia="Calibri" w:hAnsi="Traditional Arabic" w:hint="cs"/>
          <w:color w:val="auto"/>
          <w:rtl/>
        </w:rPr>
        <w:t>:</w:t>
      </w:r>
      <w:r w:rsidR="000764E1">
        <w:rPr>
          <w:rFonts w:ascii="QCF_BSML" w:hAnsi="QCF_BSML" w:cs="QCF_BSML" w:hint="cs"/>
          <w:color w:val="0D0D0D" w:themeColor="text1" w:themeTint="F2"/>
          <w:sz w:val="32"/>
          <w:szCs w:val="32"/>
          <w:rtl/>
          <w:lang w:eastAsia="en-US"/>
        </w:rPr>
        <w:t xml:space="preserve"> </w:t>
      </w:r>
      <w:r w:rsidR="00094E26" w:rsidRPr="00F509AE">
        <w:rPr>
          <w:rFonts w:ascii="QCF_BSML" w:hAnsi="QCF_BSML" w:cs="QCF_BSML"/>
          <w:color w:val="0D0D0D" w:themeColor="text1" w:themeTint="F2"/>
          <w:sz w:val="32"/>
          <w:szCs w:val="32"/>
          <w:rtl/>
          <w:lang w:eastAsia="en-US"/>
        </w:rPr>
        <w:t>ﭽ</w:t>
      </w:r>
      <w:r w:rsidR="00094E26">
        <w:rPr>
          <w:rFonts w:ascii="QCF_P288" w:hAnsi="QCF_P288" w:cs="QCF_P288" w:hint="cs"/>
          <w:color w:val="0D0D0D" w:themeColor="text1" w:themeTint="F2"/>
          <w:sz w:val="32"/>
          <w:szCs w:val="32"/>
          <w:rtl/>
          <w:lang w:eastAsia="en-US"/>
        </w:rPr>
        <w:t xml:space="preserve"> </w:t>
      </w:r>
      <w:r w:rsidR="00094E26" w:rsidRPr="00F509AE">
        <w:rPr>
          <w:rFonts w:ascii="QCF_P288" w:hAnsi="QCF_P288" w:cs="QCF_P288"/>
          <w:color w:val="0D0D0D" w:themeColor="text1" w:themeTint="F2"/>
          <w:sz w:val="32"/>
          <w:szCs w:val="32"/>
          <w:rtl/>
          <w:lang w:eastAsia="en-US"/>
        </w:rPr>
        <w:t>ﭠ ﭡ</w:t>
      </w:r>
      <w:r w:rsidR="00094E26">
        <w:rPr>
          <w:rFonts w:ascii="QCF_BSML" w:hAnsi="QCF_BSML" w:cs="QCF_BSML" w:hint="cs"/>
          <w:color w:val="0D0D0D" w:themeColor="text1" w:themeTint="F2"/>
          <w:sz w:val="32"/>
          <w:szCs w:val="32"/>
          <w:rtl/>
          <w:lang w:eastAsia="en-US"/>
        </w:rPr>
        <w:t xml:space="preserve"> </w:t>
      </w:r>
      <w:r w:rsidR="00094E26" w:rsidRPr="00F509AE">
        <w:rPr>
          <w:rFonts w:ascii="QCF_BSML" w:hAnsi="QCF_BSML" w:cs="QCF_BSML"/>
          <w:color w:val="0D0D0D" w:themeColor="text1" w:themeTint="F2"/>
          <w:sz w:val="32"/>
          <w:szCs w:val="32"/>
          <w:rtl/>
          <w:lang w:eastAsia="en-US"/>
        </w:rPr>
        <w:t>ﭼ</w:t>
      </w:r>
      <w:r w:rsidR="00680839" w:rsidRPr="00BF2E12">
        <w:rPr>
          <w:rFonts w:ascii="Traditional Arabic" w:hAnsi="Traditional Arabic" w:hint="cs"/>
          <w:sz w:val="32"/>
          <w:szCs w:val="32"/>
          <w:rtl/>
        </w:rPr>
        <w:t>[</w:t>
      </w:r>
      <w:r w:rsidR="00680839" w:rsidRPr="00BF2E12">
        <w:rPr>
          <w:rFonts w:ascii="Traditional Arabic" w:hAnsi="Traditional Arabic"/>
          <w:sz w:val="32"/>
          <w:szCs w:val="32"/>
          <w:rtl/>
        </w:rPr>
        <w:t>الإسراء:</w:t>
      </w:r>
      <w:r w:rsidR="00680839">
        <w:rPr>
          <w:rFonts w:ascii="Traditional Arabic" w:hAnsi="Traditional Arabic" w:hint="cs"/>
          <w:sz w:val="32"/>
          <w:szCs w:val="32"/>
          <w:rtl/>
        </w:rPr>
        <w:t>59</w:t>
      </w:r>
      <w:r w:rsidR="00680839" w:rsidRPr="00BF2E12">
        <w:rPr>
          <w:rFonts w:ascii="Traditional Arabic" w:hAnsi="Traditional Arabic" w:hint="cs"/>
          <w:sz w:val="32"/>
          <w:szCs w:val="32"/>
          <w:rtl/>
        </w:rPr>
        <w:t>]</w:t>
      </w:r>
      <w:r w:rsidR="00094E26">
        <w:rPr>
          <w:rFonts w:ascii="QCF_BSML" w:hAnsi="QCF_BSML" w:cs="QCF_BSML" w:hint="cs"/>
          <w:color w:val="0D0D0D" w:themeColor="text1" w:themeTint="F2"/>
          <w:sz w:val="47"/>
          <w:szCs w:val="47"/>
          <w:rtl/>
          <w:lang w:eastAsia="en-US"/>
        </w:rPr>
        <w:t xml:space="preserve">  </w:t>
      </w:r>
      <w:r w:rsidR="00094E26" w:rsidRPr="00B07E03">
        <w:rPr>
          <w:rFonts w:ascii="QCF_BSML" w:hAnsi="QCF_BSML" w:cs="QCF_BSML"/>
          <w:color w:val="0D0D0D" w:themeColor="text1" w:themeTint="F2"/>
          <w:sz w:val="47"/>
          <w:szCs w:val="47"/>
          <w:rtl/>
          <w:lang w:eastAsia="en-US"/>
        </w:rPr>
        <w:t xml:space="preserve"> </w:t>
      </w:r>
      <w:r w:rsidR="00094E26" w:rsidRPr="00B07E03">
        <w:rPr>
          <w:rFonts w:ascii="Traditional Arabic" w:hAnsi="Traditional Arabic"/>
          <w:color w:val="0D0D0D" w:themeColor="text1" w:themeTint="F2"/>
          <w:rtl/>
          <w:lang w:eastAsia="en-US"/>
        </w:rPr>
        <w:t>قال ابن عباس: فجحدوا بها</w:t>
      </w:r>
      <w:r w:rsidR="00094E26">
        <w:rPr>
          <w:rFonts w:ascii="Traditional Arabic" w:hAnsi="Traditional Arabic"/>
          <w:color w:val="0D0D0D" w:themeColor="text1" w:themeTint="F2"/>
          <w:rtl/>
          <w:lang w:eastAsia="en-US"/>
        </w:rPr>
        <w:t>.</w:t>
      </w:r>
      <w:r w:rsidR="00094E26">
        <w:rPr>
          <w:rFonts w:ascii="Traditional Arabic" w:hAnsi="Traditional Arabic" w:hint="cs"/>
          <w:color w:val="0D0D0D" w:themeColor="text1" w:themeTint="F2"/>
          <w:rtl/>
          <w:lang w:eastAsia="en-US"/>
        </w:rPr>
        <w:t xml:space="preserve"> </w:t>
      </w:r>
      <w:r w:rsidR="00094E26" w:rsidRPr="00B07E03">
        <w:rPr>
          <w:rFonts w:ascii="Traditional Arabic" w:hAnsi="Traditional Arabic"/>
          <w:color w:val="0D0D0D" w:themeColor="text1" w:themeTint="F2"/>
          <w:rtl/>
          <w:lang w:eastAsia="en-US"/>
        </w:rPr>
        <w:t>وقال الأخفش: بها كان ظُلمهم</w:t>
      </w:r>
      <w:r w:rsidR="00094E26" w:rsidRPr="00094E26">
        <w:rPr>
          <w:rStyle w:val="ae"/>
          <w:rtl/>
        </w:rPr>
        <w:t>(</w:t>
      </w:r>
      <w:r w:rsidR="00094E26">
        <w:rPr>
          <w:rStyle w:val="ae"/>
          <w:rtl/>
        </w:rPr>
        <w:footnoteReference w:id="173"/>
      </w:r>
      <w:r w:rsidR="00094E26" w:rsidRPr="00094E26">
        <w:rPr>
          <w:rStyle w:val="ae"/>
          <w:rtl/>
        </w:rPr>
        <w:t>)</w:t>
      </w:r>
      <w:r w:rsidR="00094E26" w:rsidRPr="00B07E03">
        <w:rPr>
          <w:rFonts w:ascii="Traditional Arabic" w:hAnsi="Traditional Arabic"/>
          <w:color w:val="0D0D0D" w:themeColor="text1" w:themeTint="F2"/>
          <w:rtl/>
          <w:lang w:eastAsia="en-US"/>
        </w:rPr>
        <w:t>.</w:t>
      </w:r>
    </w:p>
    <w:p w:rsidR="00094E26" w:rsidRPr="00094E26" w:rsidRDefault="00094E26" w:rsidP="000764E1">
      <w:pPr>
        <w:spacing w:line="276" w:lineRule="auto"/>
        <w:ind w:firstLine="0"/>
        <w:contextualSpacing/>
        <w:rPr>
          <w:rFonts w:ascii="Traditional Arabic" w:hAnsi="Traditional Arabic"/>
          <w:color w:val="0D0D0D" w:themeColor="text1" w:themeTint="F2"/>
          <w:rtl/>
          <w:lang w:eastAsia="en-US"/>
        </w:rPr>
      </w:pPr>
      <w:r>
        <w:rPr>
          <w:rFonts w:ascii="Traditional Arabic" w:eastAsia="Calibri" w:hAnsi="Traditional Arabic" w:hint="cs"/>
          <w:color w:val="auto"/>
          <w:rtl/>
        </w:rPr>
        <w:t xml:space="preserve">4- تفسير </w:t>
      </w:r>
      <w:r w:rsidR="00D11232" w:rsidRPr="00094E26">
        <w:rPr>
          <w:rFonts w:ascii="Traditional Arabic" w:eastAsia="Calibri" w:hAnsi="Traditional Arabic" w:hint="cs"/>
          <w:color w:val="auto"/>
          <w:rtl/>
        </w:rPr>
        <w:t xml:space="preserve">غريب القرآن للإمام أبي محمد عبد الله بن </w:t>
      </w:r>
      <w:r w:rsidR="00D11232" w:rsidRPr="00680839">
        <w:rPr>
          <w:rFonts w:ascii="Traditional Arabic" w:eastAsia="Calibri" w:hAnsi="Traditional Arabic" w:hint="cs"/>
          <w:color w:val="auto"/>
          <w:rtl/>
        </w:rPr>
        <w:t>مسلم بن قتيبة</w:t>
      </w:r>
      <w:r w:rsidR="00680839" w:rsidRPr="00680839">
        <w:rPr>
          <w:rFonts w:ascii="Traditional Arabic" w:hAnsi="Traditional Arabic"/>
          <w:color w:val="auto"/>
          <w:rtl/>
          <w:lang w:eastAsia="en-US"/>
        </w:rPr>
        <w:t xml:space="preserve"> الدينوري</w:t>
      </w:r>
      <w:r w:rsidR="00680839">
        <w:rPr>
          <w:rFonts w:ascii="Traditional Arabic" w:hAnsi="Traditional Arabic" w:hint="cs"/>
          <w:color w:val="auto"/>
          <w:rtl/>
          <w:lang w:eastAsia="en-US"/>
        </w:rPr>
        <w:t>,</w:t>
      </w:r>
      <w:r w:rsidR="00680839" w:rsidRPr="00680839">
        <w:rPr>
          <w:rFonts w:ascii="Traditional Arabic" w:hAnsi="Traditional Arabic"/>
          <w:color w:val="auto"/>
          <w:rtl/>
          <w:lang w:eastAsia="en-US"/>
        </w:rPr>
        <w:t xml:space="preserve"> المروزي</w:t>
      </w:r>
      <w:r w:rsidR="00D11232" w:rsidRPr="00680839">
        <w:rPr>
          <w:rFonts w:ascii="Traditional Arabic" w:eastAsia="Calibri" w:hAnsi="Traditional Arabic" w:hint="cs"/>
          <w:color w:val="auto"/>
          <w:rtl/>
        </w:rPr>
        <w:t>, المتوفى</w:t>
      </w:r>
      <w:r w:rsidR="00D11232" w:rsidRPr="00094E26">
        <w:rPr>
          <w:rFonts w:ascii="Traditional Arabic" w:eastAsia="Calibri" w:hAnsi="Traditional Arabic" w:hint="cs"/>
          <w:color w:val="auto"/>
          <w:rtl/>
        </w:rPr>
        <w:t xml:space="preserve"> سنة (276هـ). ومن أمثلة ما نقله عنه</w:t>
      </w:r>
      <w:r w:rsidR="000764E1">
        <w:rPr>
          <w:rFonts w:ascii="Traditional Arabic" w:eastAsia="Calibri" w:hAnsi="Traditional Arabic" w:hint="cs"/>
          <w:color w:val="auto"/>
          <w:rtl/>
        </w:rPr>
        <w:t>:</w:t>
      </w:r>
      <w:r w:rsidR="00D11232" w:rsidRPr="00094E26">
        <w:rPr>
          <w:rFonts w:ascii="Traditional Arabic" w:eastAsia="Calibri" w:hAnsi="Traditional Arabic" w:hint="cs"/>
          <w:color w:val="auto"/>
          <w:rtl/>
        </w:rPr>
        <w:t xml:space="preserve"> </w:t>
      </w:r>
      <w:r w:rsidR="000764E1" w:rsidRPr="00C17B7B">
        <w:rPr>
          <w:rFonts w:ascii="Traditional Arabic" w:eastAsia="Calibri" w:hAnsi="Traditional Arabic"/>
          <w:color w:val="auto"/>
          <w:rtl/>
        </w:rPr>
        <w:t>قوله</w:t>
      </w:r>
      <w:r w:rsidR="000764E1" w:rsidRPr="00C17B7B">
        <w:rPr>
          <w:rFonts w:ascii="Traditional Arabic" w:eastAsia="Calibri" w:hAnsi="Traditional Arabic" w:hint="cs"/>
          <w:color w:val="auto"/>
          <w:rtl/>
        </w:rPr>
        <w:t xml:space="preserve"> عند تفسير</w:t>
      </w:r>
      <w:r w:rsidR="000764E1" w:rsidRPr="00C17B7B">
        <w:rPr>
          <w:rFonts w:ascii="Traditional Arabic" w:eastAsia="Calibri" w:hAnsi="Traditional Arabic"/>
          <w:color w:val="auto"/>
          <w:rtl/>
        </w:rPr>
        <w:t xml:space="preserve"> </w:t>
      </w:r>
      <w:r w:rsidR="000764E1" w:rsidRPr="006D7411">
        <w:rPr>
          <w:rFonts w:ascii="Traditional Arabic" w:hAnsi="Traditional Arabic"/>
          <w:rtl/>
        </w:rPr>
        <w:t>قوله تعالى</w:t>
      </w:r>
      <w:r w:rsidR="000764E1">
        <w:rPr>
          <w:rFonts w:ascii="Traditional Arabic" w:eastAsia="Calibri" w:hAnsi="Traditional Arabic" w:hint="cs"/>
          <w:color w:val="auto"/>
          <w:rtl/>
        </w:rPr>
        <w:t>:</w:t>
      </w:r>
      <w:r w:rsidR="000764E1">
        <w:rPr>
          <w:rFonts w:ascii="QCF_BSML" w:hAnsi="QCF_BSML" w:cs="QCF_BSML" w:hint="cs"/>
          <w:color w:val="0D0D0D" w:themeColor="text1" w:themeTint="F2"/>
          <w:sz w:val="32"/>
          <w:szCs w:val="32"/>
          <w:rtl/>
        </w:rPr>
        <w:t xml:space="preserve">   </w:t>
      </w:r>
      <w:r w:rsidRPr="00094E26">
        <w:rPr>
          <w:rFonts w:ascii="QCF_BSML" w:hAnsi="QCF_BSML" w:cs="QCF_BSML"/>
          <w:color w:val="0D0D0D" w:themeColor="text1" w:themeTint="F2"/>
          <w:sz w:val="32"/>
          <w:szCs w:val="32"/>
          <w:rtl/>
        </w:rPr>
        <w:t>ﭽ</w:t>
      </w:r>
      <w:r w:rsidRPr="00094E26">
        <w:rPr>
          <w:rFonts w:ascii="QCF_BSML" w:hAnsi="QCF_BSML" w:cs="QCF_BSML" w:hint="cs"/>
          <w:color w:val="0D0D0D" w:themeColor="text1" w:themeTint="F2"/>
          <w:sz w:val="32"/>
          <w:szCs w:val="32"/>
          <w:rtl/>
        </w:rPr>
        <w:t xml:space="preserve"> </w:t>
      </w:r>
      <w:r w:rsidRPr="00094E26">
        <w:rPr>
          <w:rFonts w:ascii="QCF_P288" w:hAnsi="QCF_P288" w:cs="QCF_P288"/>
          <w:color w:val="0D0D0D" w:themeColor="text1" w:themeTint="F2"/>
          <w:sz w:val="32"/>
          <w:szCs w:val="32"/>
          <w:rtl/>
        </w:rPr>
        <w:t>ﭾ ﭿ ﮀ ﮁ ﮂ ﮃ</w:t>
      </w:r>
      <w:r w:rsidRPr="00094E26">
        <w:rPr>
          <w:rFonts w:ascii="QCF_BSML" w:hAnsi="QCF_BSML" w:cs="QCF_BSML"/>
          <w:color w:val="0D0D0D" w:themeColor="text1" w:themeTint="F2"/>
          <w:sz w:val="32"/>
          <w:szCs w:val="32"/>
          <w:rtl/>
        </w:rPr>
        <w:t>ﭼ</w:t>
      </w:r>
      <w:r w:rsidR="00680839">
        <w:rPr>
          <w:rFonts w:ascii="QCF_BSML" w:hAnsi="QCF_BSML" w:cs="QCF_BSML" w:hint="cs"/>
          <w:color w:val="0D0D0D" w:themeColor="text1" w:themeTint="F2"/>
          <w:sz w:val="32"/>
          <w:szCs w:val="32"/>
          <w:rtl/>
        </w:rPr>
        <w:t xml:space="preserve"> </w:t>
      </w:r>
      <w:r w:rsidR="00680839" w:rsidRPr="00BF2E12">
        <w:rPr>
          <w:rFonts w:ascii="Traditional Arabic" w:hAnsi="Traditional Arabic" w:hint="cs"/>
          <w:sz w:val="32"/>
          <w:szCs w:val="32"/>
          <w:rtl/>
        </w:rPr>
        <w:t>[</w:t>
      </w:r>
      <w:r w:rsidR="00680839" w:rsidRPr="00BF2E12">
        <w:rPr>
          <w:rFonts w:ascii="Traditional Arabic" w:hAnsi="Traditional Arabic"/>
          <w:sz w:val="32"/>
          <w:szCs w:val="32"/>
          <w:rtl/>
        </w:rPr>
        <w:t>الإسراء:</w:t>
      </w:r>
      <w:r w:rsidR="00182003">
        <w:rPr>
          <w:rFonts w:ascii="Traditional Arabic" w:hAnsi="Traditional Arabic" w:hint="cs"/>
          <w:sz w:val="32"/>
          <w:szCs w:val="32"/>
          <w:rtl/>
        </w:rPr>
        <w:t>60</w:t>
      </w:r>
      <w:r w:rsidR="00680839" w:rsidRPr="00BF2E12">
        <w:rPr>
          <w:rFonts w:ascii="Traditional Arabic" w:hAnsi="Traditional Arabic" w:hint="cs"/>
          <w:sz w:val="32"/>
          <w:szCs w:val="32"/>
          <w:rtl/>
        </w:rPr>
        <w:t>]</w:t>
      </w:r>
      <w:r w:rsidRPr="00094E26">
        <w:rPr>
          <w:rFonts w:ascii="Traditional Arabic" w:hAnsi="Traditional Arabic"/>
          <w:color w:val="0D0D0D" w:themeColor="text1" w:themeTint="F2"/>
          <w:rtl/>
        </w:rPr>
        <w:t xml:space="preserve"> قال ابن قتيبة: كانت فتنتهم بالرؤيا قولهم:</w:t>
      </w:r>
      <w:r w:rsidRPr="00094E26">
        <w:rPr>
          <w:rFonts w:ascii="Traditional Arabic" w:hAnsi="Traditional Arabic" w:hint="cs"/>
          <w:color w:val="0D0D0D" w:themeColor="text1" w:themeTint="F2"/>
          <w:rtl/>
        </w:rPr>
        <w:t xml:space="preserve"> </w:t>
      </w:r>
      <w:r w:rsidRPr="00094E26">
        <w:rPr>
          <w:rFonts w:ascii="Traditional Arabic" w:hAnsi="Traditional Arabic"/>
          <w:color w:val="0D0D0D" w:themeColor="text1" w:themeTint="F2"/>
          <w:rtl/>
        </w:rPr>
        <w:t xml:space="preserve">كيف يذهب إِلى </w:t>
      </w:r>
      <w:r w:rsidRPr="00094E26">
        <w:rPr>
          <w:rFonts w:ascii="Traditional Arabic" w:hAnsi="Traditional Arabic"/>
          <w:color w:val="0D0D0D" w:themeColor="text1" w:themeTint="F2"/>
          <w:rtl/>
        </w:rPr>
        <w:lastRenderedPageBreak/>
        <w:t>بيت المقدس، ويرجع في ليلة؟! وبالشجرة قولهم: كيف يكون في النار شجرة</w:t>
      </w:r>
      <w:r w:rsidRPr="00094E26">
        <w:rPr>
          <w:rFonts w:ascii="Traditional Arabic" w:hAnsi="Traditional Arabic" w:hint="cs"/>
          <w:color w:val="0D0D0D" w:themeColor="text1" w:themeTint="F2"/>
          <w:rtl/>
        </w:rPr>
        <w:t xml:space="preserve"> </w:t>
      </w:r>
      <w:r w:rsidRPr="00094E26">
        <w:rPr>
          <w:rFonts w:ascii="Traditional Arabic" w:hAnsi="Traditional Arabic"/>
          <w:color w:val="0D0D0D" w:themeColor="text1" w:themeTint="F2"/>
          <w:rtl/>
        </w:rPr>
        <w:t>؟!</w:t>
      </w:r>
      <w:r w:rsidRPr="00094E26">
        <w:rPr>
          <w:rStyle w:val="ae"/>
          <w:rtl/>
        </w:rPr>
        <w:t>(</w:t>
      </w:r>
      <w:r>
        <w:rPr>
          <w:rStyle w:val="ae"/>
          <w:rtl/>
        </w:rPr>
        <w:footnoteReference w:id="174"/>
      </w:r>
      <w:r w:rsidRPr="00094E26">
        <w:rPr>
          <w:rStyle w:val="ae"/>
          <w:rtl/>
        </w:rPr>
        <w:t>)</w:t>
      </w:r>
      <w:r>
        <w:rPr>
          <w:rFonts w:ascii="Traditional Arabic" w:hAnsi="Traditional Arabic" w:hint="cs"/>
          <w:color w:val="0D0D0D" w:themeColor="text1" w:themeTint="F2"/>
          <w:rtl/>
          <w:lang w:eastAsia="en-US"/>
        </w:rPr>
        <w:t>.</w:t>
      </w:r>
    </w:p>
    <w:p w:rsidR="00D11232" w:rsidRPr="00094E26" w:rsidRDefault="00094E26" w:rsidP="00094E26">
      <w:pPr>
        <w:spacing w:line="276" w:lineRule="auto"/>
        <w:ind w:firstLine="0"/>
        <w:rPr>
          <w:rFonts w:ascii="Traditional Arabic" w:eastAsia="Calibri" w:hAnsi="Traditional Arabic"/>
          <w:rtl/>
        </w:rPr>
      </w:pPr>
      <w:r>
        <w:rPr>
          <w:rFonts w:ascii="Traditional Arabic" w:eastAsia="Calibri" w:hAnsi="Traditional Arabic" w:hint="cs"/>
          <w:rtl/>
        </w:rPr>
        <w:t xml:space="preserve">5- معاني </w:t>
      </w:r>
      <w:r w:rsidR="00D11232" w:rsidRPr="00094E26">
        <w:rPr>
          <w:rFonts w:ascii="Traditional Arabic" w:eastAsia="Calibri" w:hAnsi="Traditional Arabic" w:hint="cs"/>
          <w:rtl/>
        </w:rPr>
        <w:t>القرآن وإعرابه لأبي إسحاق إبراهيم السري المعروف بالزجاج, المتوفى سنة (311هـ).</w:t>
      </w:r>
    </w:p>
    <w:p w:rsidR="00D11232" w:rsidRPr="00C17B7B" w:rsidRDefault="00D11232" w:rsidP="00680839">
      <w:pPr>
        <w:spacing w:line="276" w:lineRule="auto"/>
        <w:ind w:firstLine="0"/>
        <w:contextualSpacing/>
        <w:rPr>
          <w:rFonts w:ascii="Traditional Arabic" w:eastAsia="Calibri" w:hAnsi="Traditional Arabic"/>
          <w:color w:val="auto"/>
          <w:rtl/>
        </w:rPr>
      </w:pPr>
      <w:r w:rsidRPr="00C17B7B">
        <w:rPr>
          <w:rFonts w:ascii="Traditional Arabic" w:eastAsia="Calibri" w:hAnsi="Traditional Arabic" w:hint="cs"/>
          <w:color w:val="auto"/>
          <w:rtl/>
        </w:rPr>
        <w:t>ومن أمثلة ما نقله عنه:</w:t>
      </w:r>
      <w:r w:rsidR="00573778">
        <w:rPr>
          <w:rFonts w:ascii="Traditional Arabic" w:eastAsia="Calibri" w:hAnsi="Traditional Arabic" w:hint="cs"/>
          <w:color w:val="auto"/>
          <w:rtl/>
        </w:rPr>
        <w:t xml:space="preserve"> </w:t>
      </w:r>
      <w:r w:rsidRPr="00C17B7B">
        <w:rPr>
          <w:rFonts w:ascii="Traditional Arabic" w:eastAsia="Calibri" w:hAnsi="Traditional Arabic" w:hint="cs"/>
          <w:color w:val="auto"/>
          <w:rtl/>
        </w:rPr>
        <w:t>قال</w:t>
      </w:r>
      <w:r w:rsidR="00094E26">
        <w:rPr>
          <w:rFonts w:ascii="Traditional Arabic" w:eastAsia="Calibri" w:hAnsi="Traditional Arabic" w:hint="cs"/>
          <w:color w:val="auto"/>
          <w:rtl/>
        </w:rPr>
        <w:t xml:space="preserve"> رحمه الله</w:t>
      </w:r>
      <w:r w:rsidR="000764E1">
        <w:rPr>
          <w:rFonts w:ascii="Traditional Arabic" w:eastAsia="Calibri" w:hAnsi="Traditional Arabic" w:hint="cs"/>
          <w:color w:val="auto"/>
          <w:rtl/>
        </w:rPr>
        <w:t xml:space="preserve"> عند تفسير</w:t>
      </w:r>
      <w:r w:rsidRPr="00C17B7B">
        <w:rPr>
          <w:rFonts w:ascii="Traditional Arabic" w:eastAsia="Calibri" w:hAnsi="Traditional Arabic" w:hint="cs"/>
          <w:color w:val="auto"/>
          <w:rtl/>
        </w:rPr>
        <w:t xml:space="preserve"> قوله تعالى: </w:t>
      </w:r>
      <w:r w:rsidR="00094E26" w:rsidRPr="00F93733">
        <w:rPr>
          <w:rFonts w:ascii="QCF_BSML" w:hAnsi="QCF_BSML" w:cs="QCF_BSML"/>
          <w:color w:val="0D0D0D" w:themeColor="text1" w:themeTint="F2"/>
          <w:sz w:val="32"/>
          <w:szCs w:val="32"/>
          <w:rtl/>
          <w:lang w:eastAsia="en-US"/>
        </w:rPr>
        <w:t>ﭽ</w:t>
      </w:r>
      <w:r w:rsidR="00094E26">
        <w:rPr>
          <w:rFonts w:ascii="QCF_BSML" w:hAnsi="QCF_BSML" w:cs="QCF_BSML" w:hint="cs"/>
          <w:color w:val="0D0D0D" w:themeColor="text1" w:themeTint="F2"/>
          <w:sz w:val="32"/>
          <w:szCs w:val="32"/>
          <w:rtl/>
          <w:lang w:eastAsia="en-US"/>
        </w:rPr>
        <w:t xml:space="preserve"> </w:t>
      </w:r>
      <w:r w:rsidR="00094E26" w:rsidRPr="00F93733">
        <w:rPr>
          <w:rFonts w:ascii="QCF_P288" w:hAnsi="QCF_P288" w:cs="QCF_P288"/>
          <w:color w:val="0D0D0D" w:themeColor="text1" w:themeTint="F2"/>
          <w:sz w:val="32"/>
          <w:szCs w:val="32"/>
          <w:rtl/>
          <w:lang w:eastAsia="en-US"/>
        </w:rPr>
        <w:t>ﮏ ﮐ</w:t>
      </w:r>
      <w:r w:rsidR="00094E26">
        <w:rPr>
          <w:rFonts w:ascii="QCF_P288" w:hAnsi="QCF_P288" w:cs="QCF_P288" w:hint="cs"/>
          <w:color w:val="0D0D0D" w:themeColor="text1" w:themeTint="F2"/>
          <w:sz w:val="32"/>
          <w:szCs w:val="32"/>
          <w:rtl/>
          <w:lang w:eastAsia="en-US"/>
        </w:rPr>
        <w:t xml:space="preserve"> </w:t>
      </w:r>
      <w:r w:rsidR="00094E26" w:rsidRPr="00F93733">
        <w:rPr>
          <w:rFonts w:ascii="QCF_P288" w:hAnsi="QCF_P288" w:cs="QCF_P288"/>
          <w:color w:val="0D0D0D" w:themeColor="text1" w:themeTint="F2"/>
          <w:sz w:val="32"/>
          <w:szCs w:val="32"/>
          <w:rtl/>
          <w:lang w:eastAsia="en-US"/>
        </w:rPr>
        <w:t>ﮑ</w:t>
      </w:r>
      <w:r w:rsidR="00094E26" w:rsidRPr="00F93733">
        <w:rPr>
          <w:rFonts w:ascii="QCF_BSML" w:hAnsi="QCF_BSML" w:cs="QCF_BSML"/>
          <w:color w:val="0D0D0D" w:themeColor="text1" w:themeTint="F2"/>
          <w:sz w:val="32"/>
          <w:szCs w:val="32"/>
          <w:rtl/>
          <w:lang w:eastAsia="en-US"/>
        </w:rPr>
        <w:t>ﭼ</w:t>
      </w:r>
      <w:r w:rsidR="00680839" w:rsidRPr="00BF2E12">
        <w:rPr>
          <w:rFonts w:ascii="Traditional Arabic" w:hAnsi="Traditional Arabic" w:hint="cs"/>
          <w:sz w:val="32"/>
          <w:szCs w:val="32"/>
          <w:rtl/>
        </w:rPr>
        <w:t>[</w:t>
      </w:r>
      <w:r w:rsidR="00680839" w:rsidRPr="00BF2E12">
        <w:rPr>
          <w:rFonts w:ascii="Traditional Arabic" w:hAnsi="Traditional Arabic"/>
          <w:sz w:val="32"/>
          <w:szCs w:val="32"/>
          <w:rtl/>
        </w:rPr>
        <w:t>الإسراء:</w:t>
      </w:r>
      <w:r w:rsidR="00680839">
        <w:rPr>
          <w:rFonts w:ascii="Traditional Arabic" w:hAnsi="Traditional Arabic" w:hint="cs"/>
          <w:sz w:val="32"/>
          <w:szCs w:val="32"/>
          <w:rtl/>
        </w:rPr>
        <w:t>61</w:t>
      </w:r>
      <w:r w:rsidR="00680839" w:rsidRPr="00BF2E12">
        <w:rPr>
          <w:rFonts w:ascii="Traditional Arabic" w:hAnsi="Traditional Arabic" w:hint="cs"/>
          <w:sz w:val="32"/>
          <w:szCs w:val="32"/>
          <w:rtl/>
        </w:rPr>
        <w:t>]</w:t>
      </w:r>
      <w:r w:rsidR="00680839">
        <w:rPr>
          <w:rFonts w:ascii="Traditional Arabic" w:hAnsi="Traditional Arabic" w:hint="cs"/>
          <w:sz w:val="32"/>
          <w:szCs w:val="32"/>
          <w:rtl/>
        </w:rPr>
        <w:t xml:space="preserve"> </w:t>
      </w:r>
      <w:r w:rsidR="00094E26" w:rsidRPr="00B07E03">
        <w:rPr>
          <w:rFonts w:ascii="Traditional Arabic" w:hAnsi="Traditional Arabic"/>
          <w:color w:val="0D0D0D" w:themeColor="text1" w:themeTint="F2"/>
          <w:rtl/>
          <w:lang w:eastAsia="en-US"/>
        </w:rPr>
        <w:t>قال الزجاج</w:t>
      </w:r>
      <w:r w:rsidR="00094E26" w:rsidRPr="004A5F92">
        <w:rPr>
          <w:rFonts w:ascii="Traditional Arabic" w:hAnsi="Traditional Arabic"/>
          <w:color w:val="0D0D0D" w:themeColor="text1" w:themeTint="F2"/>
          <w:sz w:val="28"/>
          <w:szCs w:val="28"/>
          <w:rtl/>
          <w:lang w:eastAsia="en-US"/>
        </w:rPr>
        <w:t>:</w:t>
      </w:r>
      <w:r w:rsidR="00094E26" w:rsidRPr="004A5F92">
        <w:rPr>
          <w:rFonts w:ascii="QCF_BSML" w:hAnsi="QCF_BSML" w:cs="QCF_BSML"/>
          <w:color w:val="0D0D0D" w:themeColor="text1" w:themeTint="F2"/>
          <w:sz w:val="28"/>
          <w:szCs w:val="28"/>
          <w:rtl/>
          <w:lang w:eastAsia="en-US"/>
        </w:rPr>
        <w:t xml:space="preserve"> </w:t>
      </w:r>
      <w:r w:rsidR="00094E26" w:rsidRPr="004A5F92">
        <w:rPr>
          <w:rFonts w:ascii="QCF_BSML" w:hAnsi="QCF_BSML" w:cs="QCF_BSML" w:hint="cs"/>
          <w:color w:val="0D0D0D" w:themeColor="text1" w:themeTint="F2"/>
          <w:sz w:val="28"/>
          <w:szCs w:val="28"/>
          <w:rtl/>
          <w:lang w:eastAsia="en-US"/>
        </w:rPr>
        <w:t xml:space="preserve"> </w:t>
      </w:r>
      <w:r w:rsidR="00094E26" w:rsidRPr="00F93733">
        <w:rPr>
          <w:rFonts w:ascii="QCF_BSML" w:hAnsi="QCF_BSML" w:cs="QCF_BSML"/>
          <w:color w:val="0D0D0D" w:themeColor="text1" w:themeTint="F2"/>
          <w:sz w:val="32"/>
          <w:szCs w:val="32"/>
          <w:rtl/>
          <w:lang w:eastAsia="en-US"/>
        </w:rPr>
        <w:t>ﭽ</w:t>
      </w:r>
      <w:r w:rsidR="00094E26" w:rsidRPr="00F93733">
        <w:rPr>
          <w:rFonts w:ascii="Traditional Arabic" w:hAnsi="Traditional Arabic"/>
          <w:color w:val="0D0D0D" w:themeColor="text1" w:themeTint="F2"/>
          <w:sz w:val="32"/>
          <w:szCs w:val="32"/>
          <w:rtl/>
          <w:lang w:eastAsia="en-US"/>
        </w:rPr>
        <w:t>طيناً</w:t>
      </w:r>
      <w:r w:rsidR="00094E26" w:rsidRPr="00F93733">
        <w:rPr>
          <w:rFonts w:ascii="QCF_BSML" w:hAnsi="QCF_BSML" w:cs="QCF_BSML"/>
          <w:color w:val="0D0D0D" w:themeColor="text1" w:themeTint="F2"/>
          <w:sz w:val="32"/>
          <w:szCs w:val="32"/>
          <w:rtl/>
          <w:lang w:eastAsia="en-US"/>
        </w:rPr>
        <w:t>ﭼ</w:t>
      </w:r>
      <w:r w:rsidR="00094E26" w:rsidRPr="00B07E03">
        <w:rPr>
          <w:rFonts w:ascii="Traditional Arabic" w:hAnsi="Traditional Arabic"/>
          <w:color w:val="0D0D0D" w:themeColor="text1" w:themeTint="F2"/>
          <w:rtl/>
          <w:lang w:eastAsia="en-US"/>
        </w:rPr>
        <w:t xml:space="preserve"> منصوب على وجهين: أحدهما: التمييز، المعنى: لمن خلقتَه من طين. والثاني: على الحال، المعنى: أنشأتَه في حال كونه من طين. ولفظ</w:t>
      </w:r>
      <w:r w:rsidR="00094E26">
        <w:rPr>
          <w:rFonts w:ascii="Traditional Arabic" w:hAnsi="Traditional Arabic" w:hint="cs"/>
          <w:color w:val="0D0D0D" w:themeColor="text1" w:themeTint="F2"/>
          <w:rtl/>
          <w:lang w:eastAsia="en-US"/>
        </w:rPr>
        <w:t xml:space="preserve"> </w:t>
      </w:r>
      <w:r w:rsidR="00094E26" w:rsidRPr="00F93733">
        <w:rPr>
          <w:rFonts w:ascii="QCF_BSML" w:hAnsi="QCF_BSML" w:cs="QCF_BSML"/>
          <w:color w:val="0D0D0D" w:themeColor="text1" w:themeTint="F2"/>
          <w:sz w:val="32"/>
          <w:szCs w:val="32"/>
          <w:rtl/>
          <w:lang w:eastAsia="en-US"/>
        </w:rPr>
        <w:t>ﭽ</w:t>
      </w:r>
      <w:r w:rsidR="00094E26">
        <w:rPr>
          <w:rFonts w:ascii="QCF_BSML" w:hAnsi="QCF_BSML" w:cs="QCF_BSML" w:hint="cs"/>
          <w:color w:val="0D0D0D" w:themeColor="text1" w:themeTint="F2"/>
          <w:sz w:val="32"/>
          <w:szCs w:val="32"/>
          <w:rtl/>
          <w:lang w:eastAsia="en-US"/>
        </w:rPr>
        <w:t xml:space="preserve"> </w:t>
      </w:r>
      <w:r w:rsidR="00094E26" w:rsidRPr="00F93733">
        <w:rPr>
          <w:rFonts w:ascii="QCF_P288" w:hAnsi="QCF_P288" w:cs="QCF_P288"/>
          <w:color w:val="0D0D0D" w:themeColor="text1" w:themeTint="F2"/>
          <w:sz w:val="32"/>
          <w:szCs w:val="32"/>
          <w:rtl/>
          <w:lang w:eastAsia="en-US"/>
        </w:rPr>
        <w:t>ﮓ  ﮔ</w:t>
      </w:r>
      <w:r w:rsidR="00094E26">
        <w:rPr>
          <w:rFonts w:ascii="QCF_P288" w:hAnsi="QCF_P288" w:cs="QCF_P288" w:hint="cs"/>
          <w:color w:val="0D0D0D" w:themeColor="text1" w:themeTint="F2"/>
          <w:sz w:val="32"/>
          <w:szCs w:val="32"/>
          <w:rtl/>
          <w:lang w:eastAsia="en-US"/>
        </w:rPr>
        <w:t xml:space="preserve"> </w:t>
      </w:r>
      <w:r w:rsidR="00094E26" w:rsidRPr="00F93733">
        <w:rPr>
          <w:rFonts w:ascii="QCF_BSML" w:hAnsi="QCF_BSML" w:cs="QCF_BSML"/>
          <w:color w:val="0D0D0D" w:themeColor="text1" w:themeTint="F2"/>
          <w:sz w:val="32"/>
          <w:szCs w:val="32"/>
          <w:rtl/>
          <w:lang w:eastAsia="en-US"/>
        </w:rPr>
        <w:t>ﭼ</w:t>
      </w:r>
      <w:r w:rsidR="00680839">
        <w:rPr>
          <w:rFonts w:ascii="QCF_BSML" w:hAnsi="QCF_BSML" w:cs="QCF_BSML" w:hint="cs"/>
          <w:color w:val="0D0D0D" w:themeColor="text1" w:themeTint="F2"/>
          <w:sz w:val="32"/>
          <w:szCs w:val="32"/>
          <w:rtl/>
          <w:lang w:eastAsia="en-US"/>
        </w:rPr>
        <w:t xml:space="preserve">  </w:t>
      </w:r>
      <w:r w:rsidR="00680839" w:rsidRPr="00BF2E12">
        <w:rPr>
          <w:rFonts w:ascii="Traditional Arabic" w:hAnsi="Traditional Arabic" w:hint="cs"/>
          <w:sz w:val="32"/>
          <w:szCs w:val="32"/>
          <w:rtl/>
        </w:rPr>
        <w:t>[</w:t>
      </w:r>
      <w:r w:rsidR="00680839" w:rsidRPr="00BF2E12">
        <w:rPr>
          <w:rFonts w:ascii="Traditional Arabic" w:hAnsi="Traditional Arabic"/>
          <w:sz w:val="32"/>
          <w:szCs w:val="32"/>
          <w:rtl/>
        </w:rPr>
        <w:t>الإسراء:</w:t>
      </w:r>
      <w:r w:rsidR="00680839">
        <w:rPr>
          <w:rFonts w:ascii="Traditional Arabic" w:hAnsi="Traditional Arabic" w:hint="cs"/>
          <w:sz w:val="32"/>
          <w:szCs w:val="32"/>
          <w:rtl/>
        </w:rPr>
        <w:t>62</w:t>
      </w:r>
      <w:r w:rsidR="00680839" w:rsidRPr="00BF2E12">
        <w:rPr>
          <w:rFonts w:ascii="Traditional Arabic" w:hAnsi="Traditional Arabic" w:hint="cs"/>
          <w:sz w:val="32"/>
          <w:szCs w:val="32"/>
          <w:rtl/>
        </w:rPr>
        <w:t>]</w:t>
      </w:r>
      <w:r w:rsidR="00094E26" w:rsidRPr="00B07E03">
        <w:rPr>
          <w:rFonts w:ascii="Traditional Arabic" w:hAnsi="Traditional Arabic" w:hint="cs"/>
          <w:color w:val="0D0D0D" w:themeColor="text1" w:themeTint="F2"/>
          <w:rtl/>
          <w:lang w:eastAsia="en-US"/>
        </w:rPr>
        <w:t xml:space="preserve"> </w:t>
      </w:r>
      <w:r w:rsidR="00094E26" w:rsidRPr="00B07E03">
        <w:rPr>
          <w:rFonts w:ascii="Traditional Arabic" w:hAnsi="Traditional Arabic"/>
          <w:color w:val="0D0D0D" w:themeColor="text1" w:themeTint="F2"/>
          <w:rtl/>
          <w:lang w:eastAsia="en-US"/>
        </w:rPr>
        <w:t>جاء ها هنا بغير حرف عطف، لأن المعنى: قال آسجد لمن خلقت طينا، وأ</w:t>
      </w:r>
      <w:r w:rsidR="00094E26" w:rsidRPr="00B07E03">
        <w:rPr>
          <w:rFonts w:ascii="Traditional Arabic" w:hAnsi="Traditional Arabic" w:hint="cs"/>
          <w:color w:val="0D0D0D" w:themeColor="text1" w:themeTint="F2"/>
          <w:rtl/>
          <w:lang w:eastAsia="en-US"/>
        </w:rPr>
        <w:t>َ</w:t>
      </w:r>
      <w:r w:rsidR="00094E26" w:rsidRPr="00B07E03">
        <w:rPr>
          <w:rFonts w:ascii="Traditional Arabic" w:hAnsi="Traditional Arabic"/>
          <w:color w:val="0D0D0D" w:themeColor="text1" w:themeTint="F2"/>
          <w:rtl/>
          <w:lang w:eastAsia="en-US"/>
        </w:rPr>
        <w:t>ر</w:t>
      </w:r>
      <w:r w:rsidR="00094E26" w:rsidRPr="00B07E03">
        <w:rPr>
          <w:rFonts w:ascii="Traditional Arabic" w:hAnsi="Traditional Arabic" w:hint="cs"/>
          <w:color w:val="0D0D0D" w:themeColor="text1" w:themeTint="F2"/>
          <w:rtl/>
          <w:lang w:eastAsia="en-US"/>
        </w:rPr>
        <w:t>َ</w:t>
      </w:r>
      <w:r w:rsidR="00094E26" w:rsidRPr="00B07E03">
        <w:rPr>
          <w:rFonts w:ascii="Traditional Arabic" w:hAnsi="Traditional Arabic"/>
          <w:color w:val="0D0D0D" w:themeColor="text1" w:themeTint="F2"/>
          <w:rtl/>
          <w:lang w:eastAsia="en-US"/>
        </w:rPr>
        <w:t>أ</w:t>
      </w:r>
      <w:r w:rsidR="00094E26" w:rsidRPr="00B07E03">
        <w:rPr>
          <w:rFonts w:ascii="Traditional Arabic" w:hAnsi="Traditional Arabic" w:hint="cs"/>
          <w:color w:val="0D0D0D" w:themeColor="text1" w:themeTint="F2"/>
          <w:rtl/>
          <w:lang w:eastAsia="en-US"/>
        </w:rPr>
        <w:t>َ</w:t>
      </w:r>
      <w:r w:rsidR="00094E26" w:rsidRPr="00B07E03">
        <w:rPr>
          <w:rFonts w:ascii="Traditional Arabic" w:hAnsi="Traditional Arabic"/>
          <w:color w:val="0D0D0D" w:themeColor="text1" w:themeTint="F2"/>
          <w:rtl/>
          <w:lang w:eastAsia="en-US"/>
        </w:rPr>
        <w:t>يت</w:t>
      </w:r>
      <w:r w:rsidR="00094E26" w:rsidRPr="00B07E03">
        <w:rPr>
          <w:rFonts w:ascii="Traditional Arabic" w:hAnsi="Traditional Arabic" w:hint="cs"/>
          <w:color w:val="0D0D0D" w:themeColor="text1" w:themeTint="F2"/>
          <w:rtl/>
          <w:lang w:eastAsia="en-US"/>
        </w:rPr>
        <w:t>َ</w:t>
      </w:r>
      <w:r w:rsidR="00094E26" w:rsidRPr="00B07E03">
        <w:rPr>
          <w:rFonts w:ascii="Traditional Arabic" w:hAnsi="Traditional Arabic"/>
          <w:color w:val="0D0D0D" w:themeColor="text1" w:themeTint="F2"/>
          <w:rtl/>
          <w:lang w:eastAsia="en-US"/>
        </w:rPr>
        <w:t>ك</w:t>
      </w:r>
      <w:r w:rsidR="00094E26" w:rsidRPr="00B07E03">
        <w:rPr>
          <w:rFonts w:ascii="Traditional Arabic" w:hAnsi="Traditional Arabic" w:hint="cs"/>
          <w:color w:val="0D0D0D" w:themeColor="text1" w:themeTint="F2"/>
          <w:rtl/>
          <w:lang w:eastAsia="en-US"/>
        </w:rPr>
        <w:t>َ</w:t>
      </w:r>
      <w:r w:rsidR="00094E26" w:rsidRPr="00B07E03">
        <w:rPr>
          <w:rFonts w:ascii="Traditional Arabic" w:hAnsi="Traditional Arabic"/>
          <w:color w:val="0D0D0D" w:themeColor="text1" w:themeTint="F2"/>
          <w:rtl/>
          <w:lang w:eastAsia="en-US"/>
        </w:rPr>
        <w:t>، وهي في معنى: أخبرني، والكاف ذُكرت في المخاطبة توكيداً، والجواب محذوف، والمعنى: أَخبِرني عن هذا الذي كرَّمت عليَّ</w:t>
      </w:r>
      <w:r w:rsidR="00094E26">
        <w:rPr>
          <w:rFonts w:ascii="Traditional Arabic" w:hAnsi="Traditional Arabic" w:hint="cs"/>
          <w:color w:val="0D0D0D" w:themeColor="text1" w:themeTint="F2"/>
          <w:rtl/>
          <w:lang w:eastAsia="en-US"/>
        </w:rPr>
        <w:t xml:space="preserve"> </w:t>
      </w:r>
      <w:r w:rsidR="00094E26" w:rsidRPr="00B07E03">
        <w:rPr>
          <w:rFonts w:ascii="Traditional Arabic" w:hAnsi="Traditional Arabic"/>
          <w:color w:val="0D0D0D" w:themeColor="text1" w:themeTint="F2"/>
          <w:rtl/>
          <w:lang w:eastAsia="en-US"/>
        </w:rPr>
        <w:t>لم كرَّمتَهُ عليَّ وقد خلقتَني</w:t>
      </w:r>
      <w:r w:rsidR="00094E26">
        <w:rPr>
          <w:rFonts w:hint="cs"/>
          <w:rtl/>
        </w:rPr>
        <w:t xml:space="preserve"> </w:t>
      </w:r>
      <w:r w:rsidR="00094E26" w:rsidRPr="00B07E03">
        <w:rPr>
          <w:rFonts w:ascii="Traditional Arabic" w:hAnsi="Traditional Arabic"/>
          <w:color w:val="0D0D0D" w:themeColor="text1" w:themeTint="F2"/>
          <w:rtl/>
          <w:lang w:eastAsia="en-US"/>
        </w:rPr>
        <w:t>من نار</w:t>
      </w:r>
      <w:r w:rsidR="00094E26">
        <w:rPr>
          <w:rFonts w:hint="cs"/>
          <w:rtl/>
        </w:rPr>
        <w:t xml:space="preserve"> </w:t>
      </w:r>
      <w:r w:rsidR="00094E26" w:rsidRPr="00B07E03">
        <w:rPr>
          <w:rFonts w:ascii="Traditional Arabic" w:hAnsi="Traditional Arabic"/>
          <w:color w:val="0D0D0D" w:themeColor="text1" w:themeTint="F2"/>
          <w:rtl/>
          <w:lang w:eastAsia="en-US"/>
        </w:rPr>
        <w:t>وخلقتَه من طين؟! فحذف هذا</w:t>
      </w:r>
      <w:r w:rsidR="00094E26">
        <w:rPr>
          <w:rFonts w:ascii="Traditional Arabic" w:hAnsi="Traditional Arabic" w:hint="cs"/>
          <w:color w:val="0D0D0D" w:themeColor="text1" w:themeTint="F2"/>
          <w:rtl/>
          <w:lang w:eastAsia="en-US"/>
        </w:rPr>
        <w:t xml:space="preserve">؛ </w:t>
      </w:r>
      <w:r w:rsidR="00094E26" w:rsidRPr="00B07E03">
        <w:rPr>
          <w:rFonts w:ascii="Traditional Arabic" w:hAnsi="Traditional Arabic"/>
          <w:color w:val="0D0D0D" w:themeColor="text1" w:themeTint="F2"/>
          <w:rtl/>
          <w:lang w:eastAsia="en-US"/>
        </w:rPr>
        <w:t>لأن في الكلام دليلاً عليه</w:t>
      </w:r>
      <w:r w:rsidR="00094E26" w:rsidRPr="00094E26">
        <w:rPr>
          <w:rStyle w:val="ae"/>
        </w:rPr>
        <w:t>(</w:t>
      </w:r>
      <w:r w:rsidR="00094E26">
        <w:rPr>
          <w:rStyle w:val="ae"/>
        </w:rPr>
        <w:footnoteReference w:id="175"/>
      </w:r>
      <w:r w:rsidR="00094E26" w:rsidRPr="00094E26">
        <w:rPr>
          <w:rStyle w:val="ae"/>
        </w:rPr>
        <w:t>)</w:t>
      </w:r>
      <w:r w:rsidR="00094E26" w:rsidRPr="00B07E03">
        <w:rPr>
          <w:rFonts w:ascii="Traditional Arabic" w:hAnsi="Traditional Arabic"/>
          <w:color w:val="0D0D0D" w:themeColor="text1" w:themeTint="F2"/>
          <w:rtl/>
          <w:lang w:eastAsia="en-US"/>
        </w:rPr>
        <w:t>.</w:t>
      </w:r>
    </w:p>
    <w:p w:rsidR="00D11232" w:rsidRPr="00C17B7B" w:rsidRDefault="00D11232" w:rsidP="00463120">
      <w:pPr>
        <w:spacing w:line="276" w:lineRule="auto"/>
        <w:ind w:firstLine="0"/>
        <w:contextualSpacing/>
        <w:rPr>
          <w:rFonts w:ascii="Traditional Arabic" w:eastAsia="Calibri" w:hAnsi="Traditional Arabic"/>
          <w:b/>
          <w:bCs/>
          <w:color w:val="auto"/>
          <w:rtl/>
        </w:rPr>
      </w:pPr>
      <w:r w:rsidRPr="00C17B7B">
        <w:rPr>
          <w:rFonts w:ascii="Traditional Arabic" w:eastAsia="Calibri" w:hAnsi="Traditional Arabic" w:hint="cs"/>
          <w:b/>
          <w:bCs/>
          <w:color w:val="auto"/>
          <w:rtl/>
        </w:rPr>
        <w:t xml:space="preserve"> مصادره من كتب القراءات:</w:t>
      </w:r>
    </w:p>
    <w:p w:rsidR="00D11232" w:rsidRPr="00C17B7B" w:rsidRDefault="00094E26" w:rsidP="00094E26">
      <w:pPr>
        <w:spacing w:line="276" w:lineRule="auto"/>
        <w:ind w:firstLine="0"/>
        <w:contextualSpacing/>
        <w:rPr>
          <w:rFonts w:ascii="Traditional Arabic" w:eastAsia="Calibri" w:hAnsi="Traditional Arabic"/>
          <w:color w:val="auto"/>
          <w:spacing w:val="-4"/>
          <w:rtl/>
        </w:rPr>
      </w:pPr>
      <w:r>
        <w:rPr>
          <w:rFonts w:ascii="Traditional Arabic" w:eastAsia="Calibri" w:hAnsi="Traditional Arabic" w:hint="cs"/>
          <w:color w:val="auto"/>
          <w:spacing w:val="-4"/>
          <w:rtl/>
        </w:rPr>
        <w:t xml:space="preserve">من أبرز </w:t>
      </w:r>
      <w:r w:rsidR="00D11232" w:rsidRPr="00C17B7B">
        <w:rPr>
          <w:rFonts w:ascii="Traditional Arabic" w:eastAsia="Calibri" w:hAnsi="Traditional Arabic" w:hint="cs"/>
          <w:color w:val="auto"/>
          <w:spacing w:val="-4"/>
          <w:rtl/>
        </w:rPr>
        <w:t xml:space="preserve">مصادر العلامة ابن الجوزي </w:t>
      </w:r>
      <w:r w:rsidR="00D11232" w:rsidRPr="00C17B7B">
        <w:rPr>
          <w:rFonts w:ascii="Traditional Arabic" w:eastAsia="Calibri" w:hAnsi="Traditional Arabic"/>
          <w:color w:val="auto"/>
          <w:spacing w:val="-4"/>
          <w:rtl/>
        </w:rPr>
        <w:t>–</w:t>
      </w:r>
      <w:r w:rsidR="00D11232" w:rsidRPr="00C17B7B">
        <w:rPr>
          <w:rFonts w:ascii="Traditional Arabic" w:eastAsia="Calibri" w:hAnsi="Traditional Arabic" w:hint="cs"/>
          <w:color w:val="auto"/>
          <w:spacing w:val="-4"/>
          <w:rtl/>
        </w:rPr>
        <w:t>رحمه الله- من كتب القراءات:</w:t>
      </w:r>
    </w:p>
    <w:p w:rsidR="00D11232" w:rsidRPr="00C17B7B" w:rsidRDefault="00463120" w:rsidP="00BD5ED5">
      <w:pPr>
        <w:spacing w:line="276" w:lineRule="auto"/>
        <w:ind w:firstLine="0"/>
        <w:contextualSpacing/>
        <w:rPr>
          <w:rFonts w:ascii="Traditional Arabic" w:eastAsia="Calibri" w:hAnsi="Traditional Arabic"/>
          <w:color w:val="auto"/>
          <w:rtl/>
        </w:rPr>
      </w:pPr>
      <w:r>
        <w:rPr>
          <w:rFonts w:ascii="Traditional Arabic" w:eastAsia="Calibri" w:hAnsi="Traditional Arabic" w:hint="cs"/>
          <w:color w:val="auto"/>
          <w:rtl/>
        </w:rPr>
        <w:t>1-</w:t>
      </w:r>
      <w:r w:rsidR="00D11232" w:rsidRPr="00C17B7B">
        <w:rPr>
          <w:rFonts w:ascii="Traditional Arabic" w:eastAsia="Calibri" w:hAnsi="Traditional Arabic" w:hint="cs"/>
          <w:color w:val="auto"/>
          <w:rtl/>
        </w:rPr>
        <w:t xml:space="preserve"> </w:t>
      </w:r>
      <w:r w:rsidRPr="00680839">
        <w:rPr>
          <w:rFonts w:ascii="Traditional Arabic" w:eastAsia="Calibri" w:hAnsi="Traditional Arabic" w:hint="cs"/>
          <w:color w:val="auto"/>
          <w:rtl/>
        </w:rPr>
        <w:t xml:space="preserve">الحجة </w:t>
      </w:r>
      <w:r w:rsidR="00D11232" w:rsidRPr="00680839">
        <w:rPr>
          <w:rFonts w:ascii="Traditional Arabic" w:eastAsia="Calibri" w:hAnsi="Traditional Arabic" w:hint="cs"/>
          <w:color w:val="auto"/>
          <w:rtl/>
        </w:rPr>
        <w:t>للقراء السبعة، والتذكرة لأبي علي الحسن بن عبد الغفار الفارسي</w:t>
      </w:r>
      <w:r w:rsidR="00680839">
        <w:rPr>
          <w:rFonts w:ascii="Traditional Arabic" w:eastAsia="Calibri" w:hAnsi="Traditional Arabic" w:hint="cs"/>
          <w:color w:val="auto"/>
          <w:rtl/>
        </w:rPr>
        <w:t>,</w:t>
      </w:r>
      <w:r w:rsidR="00680839" w:rsidRPr="00680839">
        <w:rPr>
          <w:rFonts w:ascii="Traditional Arabic" w:hAnsi="Traditional Arabic"/>
          <w:rtl/>
          <w:lang w:eastAsia="en-US"/>
        </w:rPr>
        <w:t xml:space="preserve"> الفسوي، النحوي, </w:t>
      </w:r>
      <w:r w:rsidR="00D11232" w:rsidRPr="00680839">
        <w:rPr>
          <w:rFonts w:ascii="Traditional Arabic" w:eastAsia="Calibri" w:hAnsi="Traditional Arabic" w:hint="cs"/>
          <w:color w:val="auto"/>
          <w:rtl/>
        </w:rPr>
        <w:t xml:space="preserve"> المتوفى سنة (377هـ)</w:t>
      </w:r>
      <w:r w:rsidR="00BD5ED5">
        <w:rPr>
          <w:rFonts w:ascii="Traditional Arabic" w:hAnsi="Traditional Arabic" w:hint="cs"/>
          <w:rtl/>
        </w:rPr>
        <w:t>, وهو كتاب في توجيه القرءات,</w:t>
      </w:r>
      <w:r w:rsidR="00C44A52" w:rsidRPr="00680839">
        <w:rPr>
          <w:rFonts w:ascii="Traditional Arabic" w:hAnsi="Traditional Arabic"/>
          <w:rtl/>
        </w:rPr>
        <w:t xml:space="preserve"> </w:t>
      </w:r>
      <w:r w:rsidR="00C44A52" w:rsidRPr="00680839">
        <w:rPr>
          <w:rFonts w:ascii="Traditional Arabic" w:eastAsia="Calibri" w:hAnsi="Traditional Arabic" w:hint="cs"/>
          <w:color w:val="auto"/>
          <w:rtl/>
        </w:rPr>
        <w:t>ومن أمث</w:t>
      </w:r>
      <w:r w:rsidR="000764E1">
        <w:rPr>
          <w:rFonts w:ascii="Traditional Arabic" w:eastAsia="Calibri" w:hAnsi="Traditional Arabic" w:hint="cs"/>
          <w:color w:val="auto"/>
          <w:rtl/>
        </w:rPr>
        <w:t>لة ما نقله عنه: قال رحمه الله عند تفسير</w:t>
      </w:r>
      <w:r w:rsidR="00C44A52" w:rsidRPr="00680839">
        <w:rPr>
          <w:rFonts w:ascii="Traditional Arabic" w:eastAsia="Calibri" w:hAnsi="Traditional Arabic" w:hint="cs"/>
          <w:color w:val="auto"/>
          <w:rtl/>
        </w:rPr>
        <w:t xml:space="preserve"> قوله تعالى</w:t>
      </w:r>
      <w:r w:rsidR="00C44A52" w:rsidRPr="00C17B7B">
        <w:rPr>
          <w:rFonts w:ascii="Traditional Arabic" w:eastAsia="Calibri" w:hAnsi="Traditional Arabic" w:hint="cs"/>
          <w:color w:val="auto"/>
          <w:rtl/>
        </w:rPr>
        <w:t>:</w:t>
      </w:r>
      <w:r w:rsidR="00C44A52" w:rsidRPr="00C44A52">
        <w:rPr>
          <w:rFonts w:ascii="QCF_BSML" w:hAnsi="QCF_BSML" w:cs="QCF_BSML"/>
          <w:color w:val="auto"/>
          <w:sz w:val="32"/>
          <w:szCs w:val="32"/>
          <w:rtl/>
          <w:lang w:eastAsia="en-US"/>
        </w:rPr>
        <w:t>ﭽ</w:t>
      </w:r>
      <w:r w:rsidR="00C44A52" w:rsidRPr="00C44A52">
        <w:rPr>
          <w:rFonts w:ascii="QCF_P297" w:hAnsi="QCF_P297" w:cs="QCF_P297"/>
          <w:color w:val="auto"/>
          <w:sz w:val="32"/>
          <w:szCs w:val="32"/>
          <w:rtl/>
          <w:lang w:eastAsia="en-US"/>
        </w:rPr>
        <w:t xml:space="preserve"> ﯼ  ﯽ</w:t>
      </w:r>
      <w:r w:rsidR="00C44A52" w:rsidRPr="00C44A52">
        <w:rPr>
          <w:rFonts w:ascii="QCF_BSML" w:hAnsi="QCF_BSML" w:cs="QCF_BSML"/>
          <w:color w:val="auto"/>
          <w:sz w:val="32"/>
          <w:szCs w:val="32"/>
          <w:rtl/>
          <w:lang w:eastAsia="en-US"/>
        </w:rPr>
        <w:t>ﭼ</w:t>
      </w:r>
      <w:r w:rsidR="00680839" w:rsidRPr="006B2BAF">
        <w:rPr>
          <w:rFonts w:ascii="Traditional Arabic" w:hAnsi="Traditional Arabic" w:hint="cs"/>
          <w:sz w:val="32"/>
          <w:szCs w:val="32"/>
          <w:rtl/>
          <w:lang w:eastAsia="en-US"/>
        </w:rPr>
        <w:t>[</w:t>
      </w:r>
      <w:r w:rsidR="00680839" w:rsidRPr="006B2BAF">
        <w:rPr>
          <w:rFonts w:ascii="Traditional Arabic" w:hAnsi="Traditional Arabic"/>
          <w:color w:val="auto"/>
          <w:sz w:val="32"/>
          <w:szCs w:val="32"/>
          <w:rtl/>
          <w:lang w:eastAsia="en-US"/>
        </w:rPr>
        <w:t>الكهف:</w:t>
      </w:r>
      <w:r w:rsidR="00F46552">
        <w:rPr>
          <w:rFonts w:ascii="Traditional Arabic" w:hAnsi="Traditional Arabic" w:hint="cs"/>
          <w:color w:val="auto"/>
          <w:sz w:val="32"/>
          <w:szCs w:val="32"/>
          <w:rtl/>
          <w:lang w:eastAsia="en-US"/>
        </w:rPr>
        <w:t>34</w:t>
      </w:r>
      <w:r w:rsidR="00680839" w:rsidRPr="006B2BAF">
        <w:rPr>
          <w:rFonts w:ascii="Traditional Arabic" w:hAnsi="Traditional Arabic" w:hint="cs"/>
          <w:color w:val="auto"/>
          <w:sz w:val="32"/>
          <w:szCs w:val="32"/>
          <w:rtl/>
          <w:lang w:eastAsia="en-US"/>
        </w:rPr>
        <w:t>]</w:t>
      </w:r>
      <w:r w:rsidR="00C44A52" w:rsidRPr="00C44A52">
        <w:rPr>
          <w:rFonts w:ascii="QCF_BSML" w:hAnsi="QCF_BSML" w:cs="QCF_BSML" w:hint="cs"/>
          <w:color w:val="auto"/>
          <w:sz w:val="32"/>
          <w:szCs w:val="32"/>
          <w:rtl/>
          <w:lang w:eastAsia="en-US"/>
        </w:rPr>
        <w:t xml:space="preserve"> </w:t>
      </w:r>
      <w:r w:rsidR="00C44A52">
        <w:rPr>
          <w:rFonts w:ascii="Traditional Arabic" w:hAnsi="Traditional Arabic" w:hint="cs"/>
          <w:color w:val="auto"/>
          <w:rtl/>
          <w:lang w:eastAsia="en-US"/>
        </w:rPr>
        <w:t>"</w:t>
      </w:r>
      <w:r w:rsidR="00C44A52" w:rsidRPr="00C44A52">
        <w:rPr>
          <w:rFonts w:ascii="QCF_BSML" w:hAnsi="QCF_BSML" w:cs="QCF_BSML" w:hint="cs"/>
          <w:color w:val="auto"/>
          <w:sz w:val="32"/>
          <w:szCs w:val="32"/>
          <w:rtl/>
          <w:lang w:eastAsia="en-US"/>
        </w:rPr>
        <w:t xml:space="preserve"> </w:t>
      </w:r>
      <w:r w:rsidR="00C44A52" w:rsidRPr="00C44A52">
        <w:rPr>
          <w:rFonts w:ascii="Traditional Arabic" w:hAnsi="Traditional Arabic"/>
          <w:rtl/>
        </w:rPr>
        <w:t xml:space="preserve">يعني: للأخ الكافر </w:t>
      </w:r>
      <w:r w:rsidR="00C44A52" w:rsidRPr="00C44A52">
        <w:rPr>
          <w:rFonts w:ascii="QCF_BSML" w:hAnsi="QCF_BSML" w:cs="QCF_BSML"/>
          <w:color w:val="auto"/>
          <w:sz w:val="32"/>
          <w:szCs w:val="32"/>
          <w:rtl/>
          <w:lang w:eastAsia="en-US"/>
        </w:rPr>
        <w:t>ﭽ</w:t>
      </w:r>
      <w:r w:rsidR="00C44A52" w:rsidRPr="00C44A52">
        <w:rPr>
          <w:rFonts w:ascii="QCF_P297" w:hAnsi="QCF_P297" w:cs="QCF_P297"/>
          <w:color w:val="auto"/>
          <w:sz w:val="32"/>
          <w:szCs w:val="32"/>
          <w:rtl/>
          <w:lang w:eastAsia="en-US"/>
        </w:rPr>
        <w:t xml:space="preserve"> ﯾ</w:t>
      </w:r>
      <w:r w:rsidR="00C44A52" w:rsidRPr="00C44A52">
        <w:rPr>
          <w:rFonts w:ascii="QCF_BSML" w:hAnsi="QCF_BSML" w:cs="QCF_BSML" w:hint="cs"/>
          <w:color w:val="auto"/>
          <w:sz w:val="32"/>
          <w:szCs w:val="32"/>
          <w:rtl/>
          <w:lang w:eastAsia="en-US"/>
        </w:rPr>
        <w:t xml:space="preserve"> </w:t>
      </w:r>
      <w:r w:rsidR="00C44A52" w:rsidRPr="00C44A52">
        <w:rPr>
          <w:rFonts w:ascii="QCF_BSML" w:hAnsi="QCF_BSML" w:cs="QCF_BSML"/>
          <w:color w:val="auto"/>
          <w:sz w:val="32"/>
          <w:szCs w:val="32"/>
          <w:rtl/>
          <w:lang w:eastAsia="en-US"/>
        </w:rPr>
        <w:t>ﭼ</w:t>
      </w:r>
      <w:r w:rsidR="00680839">
        <w:rPr>
          <w:rFonts w:ascii="Traditional Arabic" w:hAnsi="Traditional Arabic" w:hint="cs"/>
          <w:rtl/>
        </w:rPr>
        <w:t xml:space="preserve"> </w:t>
      </w:r>
      <w:r w:rsidR="00C44A52" w:rsidRPr="00C44A52">
        <w:rPr>
          <w:rFonts w:ascii="Traditional Arabic" w:hAnsi="Traditional Arabic"/>
          <w:rtl/>
        </w:rPr>
        <w:t>قرأ ابن كثير، ونافع، وابن عامر، وحمزة، والكسائي: «وكان له ثُمُر»، «وأُحيط بثُمُره» بضمتين. وقرأ عاصم: «وكان له ثمر» ، «وأحيط بثمره»</w:t>
      </w:r>
      <w:r w:rsidR="00C44A52" w:rsidRPr="00C44A52">
        <w:rPr>
          <w:rFonts w:ascii="Traditional Arabic" w:hAnsi="Traditional Arabic" w:hint="cs"/>
          <w:rtl/>
        </w:rPr>
        <w:t xml:space="preserve"> </w:t>
      </w:r>
      <w:r w:rsidR="00C44A52" w:rsidRPr="00C44A52">
        <w:rPr>
          <w:rFonts w:ascii="Traditional Arabic" w:hAnsi="Traditional Arabic"/>
          <w:rtl/>
        </w:rPr>
        <w:t>بفتح التاء والميم فيهما. وقرأ أبو عمرو: «ثُمْر» و «بثُمْره» بضمة واحدة وسكون الميم</w:t>
      </w:r>
      <w:r w:rsidR="00C44A52">
        <w:rPr>
          <w:rFonts w:ascii="Traditional Arabic" w:hAnsi="Traditional Arabic" w:hint="cs"/>
          <w:rtl/>
        </w:rPr>
        <w:t>"</w:t>
      </w:r>
      <w:r w:rsidR="00C44A52" w:rsidRPr="00C44A52">
        <w:rPr>
          <w:rFonts w:ascii="Traditional Arabic" w:hAnsi="Traditional Arabic"/>
          <w:rtl/>
        </w:rPr>
        <w:t>.</w:t>
      </w:r>
      <w:r w:rsidR="00C44A52">
        <w:rPr>
          <w:rFonts w:ascii="Traditional Arabic" w:hAnsi="Traditional Arabic" w:hint="cs"/>
          <w:rtl/>
        </w:rPr>
        <w:t>... إلى أن قال:"</w:t>
      </w:r>
      <w:r w:rsidR="00C44A52" w:rsidRPr="00C44A52">
        <w:rPr>
          <w:rFonts w:ascii="Traditional Arabic" w:hAnsi="Traditional Arabic"/>
          <w:rtl/>
        </w:rPr>
        <w:t xml:space="preserve"> قال أبو علي الفارسي: وقراءة أبي عمرو: «ثُمُر» يجوز أن تكون جمع ثمار، ككتاب، وكُتُب، فتخفف، فيقال: كُتْب، ويجوز أن يكون «ثُمْر» جمع ثَمَرة، كبَدَنة وبُدْن، وخَشَبة، وخُشْب. ويجوز أن يكون (ثُمُر) واحداً، كعُنُق، </w:t>
      </w:r>
      <w:r w:rsidR="00C44A52" w:rsidRPr="00C44A52">
        <w:rPr>
          <w:rFonts w:ascii="Traditional Arabic" w:hAnsi="Traditional Arabic"/>
          <w:rtl/>
        </w:rPr>
        <w:lastRenderedPageBreak/>
        <w:t>وطُنُب</w:t>
      </w:r>
      <w:r w:rsidR="00C44A52">
        <w:rPr>
          <w:rFonts w:ascii="Traditional Arabic" w:hAnsi="Traditional Arabic" w:hint="cs"/>
          <w:rtl/>
        </w:rPr>
        <w:t>"</w:t>
      </w:r>
      <w:r w:rsidR="00C44A52" w:rsidRPr="00C44A52">
        <w:rPr>
          <w:rStyle w:val="ae"/>
          <w:rtl/>
        </w:rPr>
        <w:t>(</w:t>
      </w:r>
      <w:r w:rsidR="00C44A52">
        <w:rPr>
          <w:rStyle w:val="ae"/>
          <w:rtl/>
        </w:rPr>
        <w:footnoteReference w:id="176"/>
      </w:r>
      <w:r w:rsidR="00C44A52" w:rsidRPr="00C44A52">
        <w:rPr>
          <w:rStyle w:val="ae"/>
          <w:rtl/>
        </w:rPr>
        <w:t>)</w:t>
      </w:r>
      <w:r w:rsidR="00C44A52">
        <w:rPr>
          <w:rFonts w:ascii="Traditional Arabic" w:hAnsi="Traditional Arabic" w:hint="cs"/>
          <w:rtl/>
        </w:rPr>
        <w:t>.</w:t>
      </w:r>
    </w:p>
    <w:p w:rsidR="00D11232" w:rsidRDefault="00463120" w:rsidP="00BD5ED5">
      <w:pPr>
        <w:spacing w:line="276" w:lineRule="auto"/>
        <w:ind w:firstLine="0"/>
        <w:contextualSpacing/>
        <w:rPr>
          <w:rtl/>
        </w:rPr>
      </w:pPr>
      <w:r>
        <w:rPr>
          <w:rFonts w:ascii="Traditional Arabic" w:eastAsia="Calibri" w:hAnsi="Traditional Arabic" w:hint="cs"/>
          <w:color w:val="auto"/>
          <w:rtl/>
        </w:rPr>
        <w:t xml:space="preserve">2- </w:t>
      </w:r>
      <w:r w:rsidR="00D11232" w:rsidRPr="00C17B7B">
        <w:rPr>
          <w:rFonts w:hint="cs"/>
          <w:rtl/>
        </w:rPr>
        <w:t>كذا استفاد -رحمه الله- من كتب اللغة المذكورة سا</w:t>
      </w:r>
      <w:r w:rsidR="00C44A52">
        <w:rPr>
          <w:rFonts w:hint="cs"/>
          <w:rtl/>
        </w:rPr>
        <w:t>بقا كمعاني القرآن للفراء,</w:t>
      </w:r>
      <w:r w:rsidR="00D11232" w:rsidRPr="00C17B7B">
        <w:rPr>
          <w:rFonts w:hint="cs"/>
          <w:rtl/>
        </w:rPr>
        <w:t xml:space="preserve"> ومعاني القرآن</w:t>
      </w:r>
      <w:r w:rsidR="00C44A52">
        <w:rPr>
          <w:rFonts w:hint="cs"/>
          <w:rtl/>
        </w:rPr>
        <w:t xml:space="preserve"> وإعرابه</w:t>
      </w:r>
      <w:r w:rsidR="00D11232" w:rsidRPr="00C17B7B">
        <w:rPr>
          <w:rFonts w:hint="cs"/>
          <w:rtl/>
        </w:rPr>
        <w:t xml:space="preserve"> للزجاج</w:t>
      </w:r>
      <w:r w:rsidR="00C44A52">
        <w:rPr>
          <w:rFonts w:hint="cs"/>
          <w:rtl/>
        </w:rPr>
        <w:t xml:space="preserve"> وغيرها</w:t>
      </w:r>
      <w:r w:rsidR="00BD5ED5">
        <w:rPr>
          <w:rFonts w:hint="cs"/>
          <w:rtl/>
        </w:rPr>
        <w:t>.</w:t>
      </w:r>
    </w:p>
    <w:p w:rsidR="004A659B" w:rsidRDefault="004A659B" w:rsidP="00C44A52">
      <w:pPr>
        <w:spacing w:line="276" w:lineRule="auto"/>
        <w:ind w:firstLine="0"/>
        <w:contextualSpacing/>
        <w:rPr>
          <w:rFonts w:ascii="Traditional Arabic" w:eastAsia="Calibri" w:hAnsi="Traditional Arabic"/>
          <w:color w:val="auto"/>
          <w:rtl/>
        </w:rPr>
      </w:pPr>
    </w:p>
    <w:p w:rsidR="00BD5ED5" w:rsidRPr="00463120" w:rsidRDefault="00BD5ED5" w:rsidP="00C44A52">
      <w:pPr>
        <w:spacing w:line="276" w:lineRule="auto"/>
        <w:ind w:firstLine="0"/>
        <w:contextualSpacing/>
        <w:rPr>
          <w:rFonts w:ascii="Traditional Arabic" w:eastAsia="Calibri" w:hAnsi="Traditional Arabic"/>
          <w:color w:val="auto"/>
          <w:rtl/>
        </w:rPr>
      </w:pPr>
    </w:p>
    <w:p w:rsidR="00D11232" w:rsidRPr="00C17B7B" w:rsidRDefault="00D11232" w:rsidP="00463120">
      <w:pPr>
        <w:spacing w:line="276" w:lineRule="auto"/>
        <w:ind w:firstLine="0"/>
        <w:contextualSpacing/>
        <w:rPr>
          <w:rFonts w:ascii="Traditional Arabic" w:eastAsia="Calibri" w:hAnsi="Traditional Arabic"/>
          <w:color w:val="auto"/>
          <w:rtl/>
        </w:rPr>
      </w:pPr>
      <w:r w:rsidRPr="00C17B7B">
        <w:rPr>
          <w:rFonts w:ascii="Traditional Arabic" w:eastAsia="Calibri" w:hAnsi="Traditional Arabic" w:hint="cs"/>
          <w:b/>
          <w:bCs/>
          <w:color w:val="auto"/>
          <w:rtl/>
        </w:rPr>
        <w:t>مصادره من كتب الحديث:</w:t>
      </w:r>
    </w:p>
    <w:p w:rsidR="00C44A52" w:rsidRPr="00C44A52" w:rsidRDefault="00C44A52" w:rsidP="00680839">
      <w:pPr>
        <w:ind w:firstLine="0"/>
        <w:rPr>
          <w:rFonts w:ascii="Traditional Arabic" w:hAnsi="Traditional Arabic"/>
        </w:rPr>
      </w:pPr>
      <w:r>
        <w:rPr>
          <w:rFonts w:ascii="Traditional Arabic" w:hAnsi="Traditional Arabic" w:hint="cs"/>
          <w:rtl/>
        </w:rPr>
        <w:t xml:space="preserve">1- </w:t>
      </w:r>
      <w:r w:rsidR="00463120" w:rsidRPr="00C44A52">
        <w:rPr>
          <w:rFonts w:ascii="Traditional Arabic" w:hAnsi="Traditional Arabic" w:hint="cs"/>
          <w:rtl/>
        </w:rPr>
        <w:t xml:space="preserve"> </w:t>
      </w:r>
      <w:r>
        <w:rPr>
          <w:rFonts w:ascii="Traditional Arabic" w:hAnsi="Traditional Arabic" w:hint="cs"/>
          <w:rtl/>
        </w:rPr>
        <w:t xml:space="preserve">الجامع </w:t>
      </w:r>
      <w:r w:rsidR="00D11232" w:rsidRPr="00C44A52">
        <w:rPr>
          <w:rFonts w:ascii="Traditional Arabic" w:hAnsi="Traditional Arabic"/>
          <w:rtl/>
        </w:rPr>
        <w:t>المسند الصحيح المختصر من أمور رسول الله صلى الله عليه وسلم وسننه وأيامه (صحيح البخاري) للإمام: محمد بن إسماعيل أبو عبدالله البخاري الجعفي المتوفى (256هـ).</w:t>
      </w:r>
      <w:r w:rsidRPr="00C44A52">
        <w:rPr>
          <w:rFonts w:ascii="Traditional Arabic" w:eastAsia="Calibri" w:hAnsi="Traditional Arabic" w:hint="cs"/>
          <w:color w:val="auto"/>
          <w:rtl/>
        </w:rPr>
        <w:t xml:space="preserve"> </w:t>
      </w:r>
      <w:r w:rsidRPr="00C17B7B">
        <w:rPr>
          <w:rFonts w:ascii="Traditional Arabic" w:eastAsia="Calibri" w:hAnsi="Traditional Arabic" w:hint="cs"/>
          <w:color w:val="auto"/>
          <w:rtl/>
        </w:rPr>
        <w:t>ومن أمثلة ما نقله عنه:</w:t>
      </w:r>
      <w:r>
        <w:rPr>
          <w:rFonts w:ascii="Traditional Arabic" w:eastAsia="Calibri" w:hAnsi="Traditional Arabic" w:hint="cs"/>
          <w:color w:val="auto"/>
          <w:rtl/>
        </w:rPr>
        <w:t xml:space="preserve"> </w:t>
      </w:r>
      <w:r w:rsidRPr="00C17B7B">
        <w:rPr>
          <w:rFonts w:ascii="Traditional Arabic" w:eastAsia="Calibri" w:hAnsi="Traditional Arabic" w:hint="cs"/>
          <w:color w:val="auto"/>
          <w:rtl/>
        </w:rPr>
        <w:t>قال</w:t>
      </w:r>
      <w:r>
        <w:rPr>
          <w:rFonts w:ascii="Traditional Arabic" w:eastAsia="Calibri" w:hAnsi="Traditional Arabic" w:hint="cs"/>
          <w:color w:val="auto"/>
          <w:rtl/>
        </w:rPr>
        <w:t xml:space="preserve"> رحمه الله</w:t>
      </w:r>
      <w:r w:rsidRPr="00C17B7B">
        <w:rPr>
          <w:rFonts w:ascii="Traditional Arabic" w:eastAsia="Calibri" w:hAnsi="Traditional Arabic" w:hint="cs"/>
          <w:color w:val="auto"/>
          <w:rtl/>
        </w:rPr>
        <w:t xml:space="preserve"> في قوله تعال</w:t>
      </w:r>
      <w:r w:rsidR="0050311D">
        <w:rPr>
          <w:rFonts w:ascii="Traditional Arabic" w:eastAsia="Calibri" w:hAnsi="Traditional Arabic" w:hint="cs"/>
          <w:color w:val="auto"/>
          <w:rtl/>
        </w:rPr>
        <w:t>ى</w:t>
      </w:r>
      <w:r w:rsidRPr="00911ED4">
        <w:rPr>
          <w:rFonts w:ascii="Traditional Arabic" w:hAnsi="Traditional Arabic"/>
          <w:rtl/>
        </w:rPr>
        <w:t xml:space="preserve">: </w:t>
      </w:r>
      <w:r w:rsidRPr="00911ED4">
        <w:rPr>
          <w:rFonts w:ascii="QCF_BSML" w:hAnsi="QCF_BSML" w:cs="QCF_BSML"/>
          <w:sz w:val="32"/>
          <w:szCs w:val="32"/>
          <w:rtl/>
          <w:lang w:eastAsia="en-US"/>
        </w:rPr>
        <w:t>ﭽ</w:t>
      </w:r>
      <w:r w:rsidRPr="00911ED4">
        <w:rPr>
          <w:rFonts w:ascii="QCF_P292" w:hAnsi="QCF_P292" w:cs="QCF_P292"/>
          <w:color w:val="auto"/>
          <w:sz w:val="32"/>
          <w:szCs w:val="32"/>
          <w:rtl/>
          <w:lang w:eastAsia="en-US"/>
        </w:rPr>
        <w:t xml:space="preserve"> ﭠ  ﭡ  ﭢ  ﭣ  ﭤ</w:t>
      </w:r>
      <w:r w:rsidRPr="00911ED4">
        <w:rPr>
          <w:rFonts w:ascii="QCF_BSML" w:hAnsi="QCF_BSML" w:cs="QCF_BSML"/>
          <w:color w:val="auto"/>
          <w:sz w:val="32"/>
          <w:szCs w:val="32"/>
          <w:rtl/>
          <w:lang w:eastAsia="en-US"/>
        </w:rPr>
        <w:t>ﭼ</w:t>
      </w:r>
      <w:r w:rsidR="00680839" w:rsidRPr="00BF2E12">
        <w:rPr>
          <w:rFonts w:ascii="Traditional Arabic" w:hAnsi="Traditional Arabic" w:hint="cs"/>
          <w:sz w:val="32"/>
          <w:szCs w:val="32"/>
          <w:rtl/>
        </w:rPr>
        <w:t>[</w:t>
      </w:r>
      <w:r w:rsidR="00680839" w:rsidRPr="00BF2E12">
        <w:rPr>
          <w:rFonts w:ascii="Traditional Arabic" w:hAnsi="Traditional Arabic"/>
          <w:sz w:val="32"/>
          <w:szCs w:val="32"/>
          <w:rtl/>
        </w:rPr>
        <w:t>الإسراء:</w:t>
      </w:r>
      <w:r w:rsidR="00680839">
        <w:rPr>
          <w:rFonts w:ascii="Traditional Arabic" w:hAnsi="Traditional Arabic" w:hint="cs"/>
          <w:sz w:val="32"/>
          <w:szCs w:val="32"/>
          <w:rtl/>
        </w:rPr>
        <w:t>97</w:t>
      </w:r>
      <w:r w:rsidR="00680839" w:rsidRPr="00BF2E12">
        <w:rPr>
          <w:rFonts w:ascii="Traditional Arabic" w:hAnsi="Traditional Arabic" w:hint="cs"/>
          <w:sz w:val="32"/>
          <w:szCs w:val="32"/>
          <w:rtl/>
        </w:rPr>
        <w:t>]</w:t>
      </w:r>
      <w:r w:rsidRPr="00911ED4">
        <w:rPr>
          <w:rFonts w:ascii="QCF_P292" w:hAnsi="QCF_P292" w:cs="QCF_P292"/>
          <w:color w:val="auto"/>
          <w:sz w:val="32"/>
          <w:szCs w:val="32"/>
          <w:rtl/>
          <w:lang w:eastAsia="en-US"/>
        </w:rPr>
        <w:t xml:space="preserve">  </w:t>
      </w:r>
      <w:r w:rsidRPr="00911ED4">
        <w:rPr>
          <w:rFonts w:ascii="Traditional Arabic" w:hAnsi="Traditional Arabic"/>
          <w:rtl/>
        </w:rPr>
        <w:t>فيه ثلاثة أقوال: أحدها: أنه</w:t>
      </w:r>
      <w:r>
        <w:rPr>
          <w:rFonts w:ascii="Traditional Arabic" w:hAnsi="Traditional Arabic" w:hint="cs"/>
          <w:rtl/>
        </w:rPr>
        <w:t xml:space="preserve"> </w:t>
      </w:r>
      <w:r>
        <w:rPr>
          <w:rFonts w:ascii="Traditional Arabic" w:hAnsi="Traditional Arabic"/>
          <w:rtl/>
        </w:rPr>
        <w:t>يمشِّيهم على</w:t>
      </w:r>
      <w:r>
        <w:rPr>
          <w:rFonts w:ascii="Traditional Arabic" w:hAnsi="Traditional Arabic" w:hint="cs"/>
          <w:rtl/>
        </w:rPr>
        <w:t xml:space="preserve"> </w:t>
      </w:r>
      <w:r w:rsidRPr="00911ED4">
        <w:rPr>
          <w:rFonts w:ascii="Traditional Arabic" w:hAnsi="Traditional Arabic"/>
          <w:rtl/>
        </w:rPr>
        <w:t>وجوههم، وشاهِده ما روى البخاري</w:t>
      </w:r>
      <w:r>
        <w:rPr>
          <w:rFonts w:hint="cs"/>
          <w:vertAlign w:val="superscript"/>
          <w:rtl/>
        </w:rPr>
        <w:t xml:space="preserve"> </w:t>
      </w:r>
      <w:r w:rsidRPr="00911ED4">
        <w:rPr>
          <w:rFonts w:ascii="Traditional Arabic" w:hAnsi="Traditional Arabic"/>
          <w:rtl/>
        </w:rPr>
        <w:t>ومسلم</w:t>
      </w:r>
      <w:r>
        <w:rPr>
          <w:rFonts w:hint="cs"/>
          <w:vertAlign w:val="superscript"/>
          <w:rtl/>
        </w:rPr>
        <w:t xml:space="preserve"> </w:t>
      </w:r>
      <w:r w:rsidRPr="00911ED4">
        <w:rPr>
          <w:rFonts w:ascii="Traditional Arabic" w:hAnsi="Traditional Arabic"/>
          <w:rtl/>
        </w:rPr>
        <w:t>في «صحيحيهما» من حديث أنس بن مالك أن رجلاً سأل رسول الله صلى الله عليه وسلّم كيف يحشر الكافر على وجهه يوم القيامة؟ قال:</w:t>
      </w:r>
      <w:r>
        <w:rPr>
          <w:rFonts w:ascii="Traditional Arabic" w:hAnsi="Traditional Arabic" w:hint="cs"/>
          <w:rtl/>
        </w:rPr>
        <w:t xml:space="preserve"> </w:t>
      </w:r>
      <w:r w:rsidRPr="00911ED4">
        <w:rPr>
          <w:rFonts w:ascii="Traditional Arabic" w:hAnsi="Traditional Arabic"/>
          <w:rtl/>
        </w:rPr>
        <w:t>«إِن الذي أمشاه على رجليه في الدنيا، قادر على أن يمشيه على وجهه يوم القيامة»</w:t>
      </w:r>
      <w:r w:rsidR="001673E0" w:rsidRPr="001673E0">
        <w:rPr>
          <w:rStyle w:val="ae"/>
          <w:rtl/>
        </w:rPr>
        <w:t>(</w:t>
      </w:r>
      <w:r w:rsidR="001673E0">
        <w:rPr>
          <w:rStyle w:val="ae"/>
          <w:rtl/>
        </w:rPr>
        <w:footnoteReference w:id="177"/>
      </w:r>
      <w:r w:rsidR="001673E0" w:rsidRPr="001673E0">
        <w:rPr>
          <w:rStyle w:val="ae"/>
          <w:rtl/>
        </w:rPr>
        <w:t>)</w:t>
      </w:r>
      <w:r w:rsidRPr="00911ED4">
        <w:rPr>
          <w:rFonts w:ascii="Traditional Arabic" w:hAnsi="Traditional Arabic"/>
          <w:rtl/>
        </w:rPr>
        <w:t>.</w:t>
      </w:r>
    </w:p>
    <w:p w:rsidR="00D11232" w:rsidRPr="00C17B7B" w:rsidRDefault="00463120" w:rsidP="00463120">
      <w:pPr>
        <w:spacing w:after="200" w:line="276" w:lineRule="auto"/>
        <w:ind w:firstLine="0"/>
        <w:contextualSpacing/>
        <w:jc w:val="lowKashida"/>
        <w:rPr>
          <w:rFonts w:ascii="Traditional Arabic" w:hAnsi="Traditional Arabic"/>
        </w:rPr>
      </w:pPr>
      <w:r>
        <w:rPr>
          <w:rFonts w:ascii="Traditional Arabic" w:hAnsi="Traditional Arabic" w:hint="cs"/>
          <w:rtl/>
        </w:rPr>
        <w:t xml:space="preserve">2- </w:t>
      </w:r>
      <w:r w:rsidR="00D11232" w:rsidRPr="00C17B7B">
        <w:rPr>
          <w:rFonts w:ascii="Traditional Arabic" w:hAnsi="Traditional Arabic"/>
          <w:rtl/>
        </w:rPr>
        <w:t>الصحيح المختصر بنقل العدل عن العدل إلى رسول الله صلى الله عليه وسلم (صحيح مسلم) للإمام: مسلم بن الحجاج أبو الحسن القشيري النيسابوري (المتوفى: 261هـ)</w:t>
      </w:r>
      <w:r w:rsidR="00D11232" w:rsidRPr="00C17B7B">
        <w:rPr>
          <w:rFonts w:ascii="Traditional Arabic" w:hAnsi="Traditional Arabic" w:hint="cs"/>
          <w:rtl/>
        </w:rPr>
        <w:t>.</w:t>
      </w:r>
      <w:r w:rsidR="00C44A52">
        <w:rPr>
          <w:rFonts w:ascii="Traditional Arabic" w:hAnsi="Traditional Arabic" w:hint="cs"/>
          <w:rtl/>
        </w:rPr>
        <w:t xml:space="preserve"> </w:t>
      </w:r>
      <w:r w:rsidR="00C44A52" w:rsidRPr="00C17B7B">
        <w:rPr>
          <w:rFonts w:ascii="Traditional Arabic" w:eastAsia="Calibri" w:hAnsi="Traditional Arabic" w:hint="cs"/>
          <w:color w:val="auto"/>
          <w:rtl/>
        </w:rPr>
        <w:t>ومن أمثلة ما نقله عنه</w:t>
      </w:r>
      <w:r w:rsidR="00C44A52">
        <w:rPr>
          <w:rFonts w:ascii="Traditional Arabic" w:hAnsi="Traditional Arabic" w:hint="cs"/>
          <w:rtl/>
        </w:rPr>
        <w:t xml:space="preserve"> المثال السابق.</w:t>
      </w:r>
    </w:p>
    <w:p w:rsidR="00D11232" w:rsidRDefault="00D11232" w:rsidP="00C44A52">
      <w:pPr>
        <w:spacing w:after="200" w:line="276" w:lineRule="auto"/>
        <w:ind w:firstLine="0"/>
        <w:contextualSpacing/>
        <w:jc w:val="lowKashida"/>
        <w:rPr>
          <w:rFonts w:ascii="Traditional Arabic" w:eastAsia="Calibri" w:hAnsi="Traditional Arabic"/>
          <w:color w:val="auto"/>
          <w:rtl/>
        </w:rPr>
      </w:pPr>
      <w:r w:rsidRPr="00C17B7B">
        <w:rPr>
          <w:rFonts w:ascii="Traditional Arabic" w:eastAsia="Calibri" w:hAnsi="Traditional Arabic" w:hint="cs"/>
          <w:color w:val="auto"/>
          <w:rtl/>
        </w:rPr>
        <w:t xml:space="preserve">ولم أقف له على تصريح باسم كتاب معين في تخريج الأحاديث غير </w:t>
      </w:r>
      <w:r w:rsidR="00C44A52">
        <w:rPr>
          <w:rFonts w:ascii="Traditional Arabic" w:eastAsia="Calibri" w:hAnsi="Traditional Arabic" w:hint="cs"/>
          <w:color w:val="auto"/>
          <w:rtl/>
        </w:rPr>
        <w:t>صحيح البخاري ومسلم</w:t>
      </w:r>
      <w:r w:rsidRPr="00C17B7B">
        <w:rPr>
          <w:rFonts w:ascii="Traditional Arabic" w:eastAsia="Calibri" w:hAnsi="Traditional Arabic" w:hint="cs"/>
          <w:color w:val="auto"/>
          <w:rtl/>
        </w:rPr>
        <w:t>.</w:t>
      </w:r>
    </w:p>
    <w:p w:rsidR="004A659B" w:rsidRPr="00463120" w:rsidRDefault="004A659B" w:rsidP="00C44A52">
      <w:pPr>
        <w:spacing w:after="200" w:line="276" w:lineRule="auto"/>
        <w:ind w:firstLine="0"/>
        <w:contextualSpacing/>
        <w:jc w:val="lowKashida"/>
        <w:rPr>
          <w:rFonts w:ascii="Traditional Arabic" w:hAnsi="Traditional Arabic"/>
          <w:rtl/>
        </w:rPr>
      </w:pPr>
    </w:p>
    <w:p w:rsidR="00463120" w:rsidRDefault="00D11232" w:rsidP="00463120">
      <w:pPr>
        <w:spacing w:line="276" w:lineRule="auto"/>
        <w:ind w:firstLine="0"/>
        <w:contextualSpacing/>
        <w:rPr>
          <w:rFonts w:ascii="Traditional Arabic" w:eastAsia="Calibri" w:hAnsi="Traditional Arabic"/>
          <w:b/>
          <w:bCs/>
          <w:color w:val="auto"/>
          <w:rtl/>
        </w:rPr>
      </w:pPr>
      <w:r w:rsidRPr="00C17B7B">
        <w:rPr>
          <w:rFonts w:ascii="Traditional Arabic" w:eastAsia="Calibri" w:hAnsi="Traditional Arabic" w:hint="cs"/>
          <w:b/>
          <w:bCs/>
          <w:color w:val="auto"/>
          <w:rtl/>
        </w:rPr>
        <w:t>مصادره من كتب اللغة والنحو:</w:t>
      </w:r>
    </w:p>
    <w:p w:rsidR="001673E0" w:rsidRDefault="00D11232" w:rsidP="00F46552">
      <w:pPr>
        <w:spacing w:line="276" w:lineRule="auto"/>
        <w:ind w:firstLine="0"/>
        <w:contextualSpacing/>
        <w:rPr>
          <w:rFonts w:ascii="Traditional Arabic" w:eastAsia="Calibri" w:hAnsi="Traditional Arabic"/>
          <w:b/>
          <w:bCs/>
          <w:color w:val="auto"/>
          <w:rtl/>
        </w:rPr>
      </w:pPr>
      <w:r w:rsidRPr="00C17B7B">
        <w:rPr>
          <w:rFonts w:ascii="Traditional Arabic" w:eastAsia="Calibri" w:hAnsi="Traditional Arabic" w:hint="cs"/>
          <w:color w:val="auto"/>
          <w:rtl/>
        </w:rPr>
        <w:t xml:space="preserve">لقد استفاد العلامة ابن الجوزي </w:t>
      </w:r>
      <w:r w:rsidRPr="00C17B7B">
        <w:rPr>
          <w:rFonts w:ascii="Traditional Arabic" w:eastAsia="Calibri" w:hAnsi="Traditional Arabic"/>
          <w:color w:val="auto"/>
          <w:rtl/>
        </w:rPr>
        <w:t>–</w:t>
      </w:r>
      <w:r w:rsidRPr="00C17B7B">
        <w:rPr>
          <w:rFonts w:ascii="Traditional Arabic" w:eastAsia="Calibri" w:hAnsi="Traditional Arabic" w:hint="cs"/>
          <w:color w:val="auto"/>
          <w:rtl/>
        </w:rPr>
        <w:t xml:space="preserve">رحمه الله- في تفسيره في مجال اللغة والنحو من عدة مصادر, </w:t>
      </w:r>
      <w:r w:rsidRPr="00C17B7B">
        <w:rPr>
          <w:rFonts w:ascii="Traditional Arabic" w:eastAsia="Calibri" w:hAnsi="Traditional Arabic" w:hint="cs"/>
          <w:color w:val="auto"/>
          <w:rtl/>
        </w:rPr>
        <w:lastRenderedPageBreak/>
        <w:t>منها:</w:t>
      </w:r>
      <w:r w:rsidR="00463120">
        <w:rPr>
          <w:rFonts w:ascii="Traditional Arabic" w:eastAsia="Calibri" w:hAnsi="Traditional Arabic" w:hint="cs"/>
          <w:b/>
          <w:bCs/>
          <w:color w:val="auto"/>
          <w:rtl/>
        </w:rPr>
        <w:t xml:space="preserve"> </w:t>
      </w:r>
      <w:r w:rsidR="001673E0">
        <w:rPr>
          <w:rFonts w:ascii="Traditional Arabic" w:eastAsia="Calibri" w:hAnsi="Traditional Arabic" w:hint="cs"/>
          <w:color w:val="auto"/>
          <w:rtl/>
        </w:rPr>
        <w:t xml:space="preserve">مجمل اللغة </w:t>
      </w:r>
      <w:r w:rsidR="001673E0">
        <w:rPr>
          <w:rFonts w:ascii="Traditional Arabic" w:hAnsi="Traditional Arabic" w:hint="cs"/>
          <w:sz w:val="32"/>
          <w:szCs w:val="32"/>
          <w:rtl/>
        </w:rPr>
        <w:t>لأبي</w:t>
      </w:r>
      <w:r w:rsidR="001673E0" w:rsidRPr="000D26E7">
        <w:rPr>
          <w:rFonts w:ascii="Traditional Arabic" w:hAnsi="Traditional Arabic"/>
          <w:sz w:val="32"/>
          <w:szCs w:val="32"/>
          <w:rtl/>
        </w:rPr>
        <w:t xml:space="preserve"> الحسين أحمد بن فارس بن </w:t>
      </w:r>
      <w:r w:rsidR="001673E0" w:rsidRPr="000D26E7">
        <w:rPr>
          <w:rFonts w:ascii="Traditional Arabic" w:hAnsi="Traditional Arabic" w:hint="cs"/>
          <w:sz w:val="32"/>
          <w:szCs w:val="32"/>
          <w:rtl/>
        </w:rPr>
        <w:t>زكريا</w:t>
      </w:r>
      <w:r w:rsidR="001673E0" w:rsidRPr="000D26E7">
        <w:rPr>
          <w:rFonts w:ascii="Traditional Arabic" w:hAnsi="Traditional Arabic"/>
          <w:sz w:val="32"/>
          <w:szCs w:val="32"/>
          <w:rtl/>
        </w:rPr>
        <w:t xml:space="preserve"> بن محمد القزويني, الرازي</w:t>
      </w:r>
      <w:r w:rsidR="001673E0">
        <w:rPr>
          <w:rFonts w:ascii="Traditional Arabic" w:hAnsi="Traditional Arabic" w:hint="cs"/>
          <w:sz w:val="32"/>
          <w:szCs w:val="32"/>
          <w:rtl/>
        </w:rPr>
        <w:t xml:space="preserve"> </w:t>
      </w:r>
      <w:r w:rsidR="001673E0" w:rsidRPr="000D26E7">
        <w:rPr>
          <w:rFonts w:ascii="Traditional Arabic" w:hAnsi="Traditional Arabic"/>
          <w:sz w:val="32"/>
          <w:szCs w:val="32"/>
          <w:rtl/>
        </w:rPr>
        <w:t>(</w:t>
      </w:r>
      <w:r w:rsidR="001673E0">
        <w:rPr>
          <w:rFonts w:ascii="Traditional Arabic" w:hAnsi="Traditional Arabic" w:hint="cs"/>
          <w:sz w:val="32"/>
          <w:szCs w:val="32"/>
          <w:rtl/>
        </w:rPr>
        <w:t>المتوفى</w:t>
      </w:r>
      <w:r w:rsidR="001673E0" w:rsidRPr="000D26E7">
        <w:rPr>
          <w:rFonts w:ascii="Traditional Arabic" w:hAnsi="Traditional Arabic"/>
          <w:sz w:val="32"/>
          <w:szCs w:val="32"/>
          <w:rtl/>
        </w:rPr>
        <w:t>395هـ).</w:t>
      </w:r>
      <w:r w:rsidR="001673E0">
        <w:rPr>
          <w:rFonts w:ascii="Traditional Arabic" w:eastAsia="Calibri" w:hAnsi="Traditional Arabic" w:hint="cs"/>
          <w:color w:val="auto"/>
          <w:rtl/>
        </w:rPr>
        <w:t xml:space="preserve"> </w:t>
      </w:r>
      <w:r w:rsidR="001673E0" w:rsidRPr="00C17B7B">
        <w:rPr>
          <w:rFonts w:ascii="Traditional Arabic" w:eastAsia="Calibri" w:hAnsi="Traditional Arabic" w:hint="cs"/>
          <w:color w:val="auto"/>
          <w:rtl/>
        </w:rPr>
        <w:t>ومن أمثلة ما نقله عنه:</w:t>
      </w:r>
      <w:r w:rsidR="001673E0">
        <w:rPr>
          <w:rFonts w:ascii="Traditional Arabic" w:eastAsia="Calibri" w:hAnsi="Traditional Arabic" w:hint="cs"/>
          <w:color w:val="auto"/>
          <w:rtl/>
        </w:rPr>
        <w:t xml:space="preserve"> </w:t>
      </w:r>
      <w:r w:rsidR="001673E0" w:rsidRPr="00C17B7B">
        <w:rPr>
          <w:rFonts w:ascii="Traditional Arabic" w:eastAsia="Calibri" w:hAnsi="Traditional Arabic" w:hint="cs"/>
          <w:color w:val="auto"/>
          <w:rtl/>
        </w:rPr>
        <w:t>قال</w:t>
      </w:r>
      <w:r w:rsidR="001673E0">
        <w:rPr>
          <w:rFonts w:ascii="Traditional Arabic" w:eastAsia="Calibri" w:hAnsi="Traditional Arabic" w:hint="cs"/>
          <w:color w:val="auto"/>
          <w:rtl/>
        </w:rPr>
        <w:t xml:space="preserve"> رحمه الله</w:t>
      </w:r>
      <w:r w:rsidR="001673E0" w:rsidRPr="00C17B7B">
        <w:rPr>
          <w:rFonts w:ascii="Traditional Arabic" w:eastAsia="Calibri" w:hAnsi="Traditional Arabic" w:hint="cs"/>
          <w:color w:val="auto"/>
          <w:rtl/>
        </w:rPr>
        <w:t xml:space="preserve"> في قوله تعالى:</w:t>
      </w:r>
      <w:r w:rsidR="001673E0">
        <w:rPr>
          <w:rFonts w:ascii="QCF_BSML" w:hAnsi="QCF_BSML" w:cs="QCF_BSML" w:hint="cs"/>
          <w:sz w:val="32"/>
          <w:szCs w:val="32"/>
          <w:rtl/>
          <w:lang w:eastAsia="en-US"/>
        </w:rPr>
        <w:t xml:space="preserve"> </w:t>
      </w:r>
      <w:r w:rsidR="001673E0" w:rsidRPr="00911ED4">
        <w:rPr>
          <w:rFonts w:ascii="QCF_BSML" w:hAnsi="QCF_BSML" w:cs="QCF_BSML"/>
          <w:sz w:val="32"/>
          <w:szCs w:val="32"/>
          <w:rtl/>
          <w:lang w:eastAsia="en-US"/>
        </w:rPr>
        <w:t>ﭽ</w:t>
      </w:r>
      <w:r w:rsidR="001673E0" w:rsidRPr="001673E0">
        <w:rPr>
          <w:rFonts w:ascii="QCF_P297" w:hAnsi="QCF_P297" w:cs="QCF_P297"/>
          <w:color w:val="auto"/>
          <w:sz w:val="32"/>
          <w:szCs w:val="32"/>
          <w:rtl/>
          <w:lang w:eastAsia="en-US"/>
        </w:rPr>
        <w:t xml:space="preserve"> ﰃ  ﰄ   ﰅ  ﰆ  ﰇ  ﰈ</w:t>
      </w:r>
      <w:r w:rsidR="001673E0">
        <w:rPr>
          <w:rFonts w:ascii="QCF_P297" w:hAnsi="QCF_P297" w:cs="QCF_P297" w:hint="cs"/>
          <w:color w:val="auto"/>
          <w:sz w:val="32"/>
          <w:szCs w:val="32"/>
          <w:rtl/>
          <w:lang w:eastAsia="en-US"/>
        </w:rPr>
        <w:t xml:space="preserve"> </w:t>
      </w:r>
      <w:r w:rsidR="001673E0" w:rsidRPr="00911ED4">
        <w:rPr>
          <w:rFonts w:ascii="QCF_BSML" w:hAnsi="QCF_BSML" w:cs="QCF_BSML"/>
          <w:color w:val="auto"/>
          <w:sz w:val="32"/>
          <w:szCs w:val="32"/>
          <w:rtl/>
          <w:lang w:eastAsia="en-US"/>
        </w:rPr>
        <w:t>ﭼ</w:t>
      </w:r>
      <w:r w:rsidR="001673E0" w:rsidRPr="001673E0">
        <w:rPr>
          <w:rFonts w:ascii="QCF_P297" w:hAnsi="QCF_P297" w:cs="QCF_P297"/>
          <w:color w:val="auto"/>
          <w:sz w:val="32"/>
          <w:szCs w:val="32"/>
          <w:rtl/>
          <w:lang w:eastAsia="en-US"/>
        </w:rPr>
        <w:t xml:space="preserve"> </w:t>
      </w:r>
      <w:r w:rsidR="001673E0">
        <w:rPr>
          <w:rFonts w:ascii="QCF_P297" w:hAnsi="QCF_P297" w:cs="QCF_P297" w:hint="cs"/>
          <w:color w:val="auto"/>
          <w:sz w:val="32"/>
          <w:szCs w:val="32"/>
          <w:rtl/>
          <w:lang w:eastAsia="en-US"/>
        </w:rPr>
        <w:t xml:space="preserve"> </w:t>
      </w:r>
      <w:r w:rsidR="00680839" w:rsidRPr="006B2BAF">
        <w:rPr>
          <w:rFonts w:ascii="Traditional Arabic" w:hAnsi="Traditional Arabic" w:hint="cs"/>
          <w:sz w:val="32"/>
          <w:szCs w:val="32"/>
          <w:rtl/>
          <w:lang w:eastAsia="en-US"/>
        </w:rPr>
        <w:t>[</w:t>
      </w:r>
      <w:r w:rsidR="00680839" w:rsidRPr="006B2BAF">
        <w:rPr>
          <w:rFonts w:ascii="Traditional Arabic" w:hAnsi="Traditional Arabic"/>
          <w:color w:val="auto"/>
          <w:sz w:val="32"/>
          <w:szCs w:val="32"/>
          <w:rtl/>
          <w:lang w:eastAsia="en-US"/>
        </w:rPr>
        <w:t>الكهف:</w:t>
      </w:r>
      <w:r w:rsidR="00680839">
        <w:rPr>
          <w:rFonts w:ascii="Traditional Arabic" w:hAnsi="Traditional Arabic" w:hint="cs"/>
          <w:color w:val="auto"/>
          <w:sz w:val="32"/>
          <w:szCs w:val="32"/>
          <w:rtl/>
          <w:lang w:eastAsia="en-US"/>
        </w:rPr>
        <w:t>34</w:t>
      </w:r>
      <w:r w:rsidR="00680839" w:rsidRPr="006B2BAF">
        <w:rPr>
          <w:rFonts w:ascii="Traditional Arabic" w:hAnsi="Traditional Arabic" w:hint="cs"/>
          <w:color w:val="auto"/>
          <w:sz w:val="32"/>
          <w:szCs w:val="32"/>
          <w:rtl/>
          <w:lang w:eastAsia="en-US"/>
        </w:rPr>
        <w:t>]</w:t>
      </w:r>
      <w:r w:rsidR="00F46552">
        <w:rPr>
          <w:rFonts w:ascii="QCF_P297" w:hAnsi="QCF_P297" w:cs="QCF_P297" w:hint="cs"/>
          <w:color w:val="auto"/>
          <w:sz w:val="32"/>
          <w:szCs w:val="32"/>
          <w:rtl/>
          <w:lang w:eastAsia="en-US"/>
        </w:rPr>
        <w:t xml:space="preserve"> </w:t>
      </w:r>
      <w:r w:rsidR="001673E0" w:rsidRPr="001673E0">
        <w:rPr>
          <w:rFonts w:ascii="QCF_P297" w:hAnsi="QCF_P297" w:cs="QCF_P297"/>
          <w:color w:val="auto"/>
          <w:sz w:val="32"/>
          <w:szCs w:val="32"/>
          <w:rtl/>
          <w:lang w:eastAsia="en-US"/>
        </w:rPr>
        <w:t xml:space="preserve"> </w:t>
      </w:r>
      <w:r w:rsidR="001673E0" w:rsidRPr="001673E0">
        <w:rPr>
          <w:rFonts w:ascii="Traditional Arabic" w:hAnsi="Traditional Arabic"/>
          <w:rtl/>
        </w:rPr>
        <w:t>فأما «النفر» فهم الجماعة، ومثلهم: القوم والرهط ولا واحد لهذه الألفاظ من لفظها. وقال ابن فارس اللغوي: النفر: عدة رجال من ثلاثة إِلى العشرة</w:t>
      </w:r>
      <w:r w:rsidR="004A659B" w:rsidRPr="004A659B">
        <w:rPr>
          <w:rStyle w:val="ae"/>
          <w:rtl/>
        </w:rPr>
        <w:t>(</w:t>
      </w:r>
      <w:r w:rsidR="004A659B">
        <w:rPr>
          <w:rStyle w:val="ae"/>
          <w:rtl/>
        </w:rPr>
        <w:footnoteReference w:id="178"/>
      </w:r>
      <w:r w:rsidR="004A659B" w:rsidRPr="004A659B">
        <w:rPr>
          <w:rStyle w:val="ae"/>
          <w:rtl/>
        </w:rPr>
        <w:t>)</w:t>
      </w:r>
      <w:r w:rsidR="001673E0" w:rsidRPr="001673E0">
        <w:rPr>
          <w:rFonts w:ascii="Traditional Arabic" w:hAnsi="Traditional Arabic"/>
          <w:rtl/>
        </w:rPr>
        <w:t>.</w:t>
      </w:r>
    </w:p>
    <w:p w:rsidR="004A659B" w:rsidRDefault="004A659B" w:rsidP="004A659B">
      <w:pPr>
        <w:spacing w:line="276" w:lineRule="auto"/>
        <w:ind w:firstLine="0"/>
        <w:contextualSpacing/>
        <w:rPr>
          <w:rFonts w:ascii="Traditional Arabic" w:eastAsia="Calibri" w:hAnsi="Traditional Arabic"/>
          <w:b/>
          <w:bCs/>
          <w:color w:val="auto"/>
          <w:rtl/>
        </w:rPr>
      </w:pPr>
      <w:r>
        <w:rPr>
          <w:rFonts w:ascii="Traditional Arabic" w:eastAsia="Calibri" w:hAnsi="Traditional Arabic" w:hint="cs"/>
          <w:b/>
          <w:bCs/>
          <w:color w:val="auto"/>
          <w:rtl/>
        </w:rPr>
        <w:t>مصادر مفقودة ينقل منها ابن الجوزي رحمه الله:</w:t>
      </w:r>
    </w:p>
    <w:p w:rsidR="004A659B" w:rsidRPr="0050311D" w:rsidRDefault="004A659B" w:rsidP="004A659B">
      <w:pPr>
        <w:spacing w:line="276" w:lineRule="auto"/>
        <w:ind w:firstLine="0"/>
        <w:contextualSpacing/>
        <w:rPr>
          <w:rFonts w:ascii="Traditional Arabic" w:eastAsia="Calibri" w:hAnsi="Traditional Arabic"/>
          <w:color w:val="auto"/>
          <w:rtl/>
        </w:rPr>
      </w:pPr>
      <w:r w:rsidRPr="0050311D">
        <w:rPr>
          <w:rFonts w:ascii="Traditional Arabic" w:eastAsia="Calibri" w:hAnsi="Traditional Arabic" w:hint="cs"/>
          <w:color w:val="auto"/>
          <w:rtl/>
        </w:rPr>
        <w:t>هناك مصادر مفقودة ينقل منها ابن الجوزي في تفسيره (زاد المسير) ومن ذلك:</w:t>
      </w:r>
    </w:p>
    <w:p w:rsidR="0050311D" w:rsidRPr="00367F46" w:rsidRDefault="00367F46" w:rsidP="00D174C8">
      <w:pPr>
        <w:spacing w:line="276" w:lineRule="auto"/>
        <w:ind w:firstLine="0"/>
        <w:rPr>
          <w:rFonts w:ascii="Traditional Arabic" w:hAnsi="Traditional Arabic"/>
          <w:color w:val="0D0D0D" w:themeColor="text1" w:themeTint="F2"/>
          <w:rtl/>
          <w:lang w:eastAsia="en-US"/>
        </w:rPr>
      </w:pPr>
      <w:r>
        <w:rPr>
          <w:rFonts w:ascii="Traditional Arabic" w:eastAsia="Calibri" w:hAnsi="Traditional Arabic" w:hint="cs"/>
          <w:color w:val="auto"/>
          <w:rtl/>
        </w:rPr>
        <w:t>1-</w:t>
      </w:r>
      <w:r w:rsidR="0050311D" w:rsidRPr="00367F46">
        <w:rPr>
          <w:rFonts w:ascii="Traditional Arabic" w:eastAsia="Calibri" w:hAnsi="Traditional Arabic" w:hint="cs"/>
          <w:color w:val="auto"/>
          <w:rtl/>
        </w:rPr>
        <w:t xml:space="preserve"> مشكل القرآن </w:t>
      </w:r>
      <w:r w:rsidR="0050311D" w:rsidRPr="00367F46">
        <w:rPr>
          <w:rFonts w:ascii="Traditional Arabic" w:hAnsi="Traditional Arabic" w:hint="cs"/>
          <w:rtl/>
          <w:lang w:eastAsia="en-US"/>
        </w:rPr>
        <w:t>لأبي</w:t>
      </w:r>
      <w:r w:rsidR="0050311D" w:rsidRPr="00367F46">
        <w:rPr>
          <w:rFonts w:ascii="Traditional Arabic" w:hAnsi="Traditional Arabic"/>
          <w:rtl/>
          <w:lang w:eastAsia="en-US"/>
        </w:rPr>
        <w:t xml:space="preserve"> بكر محمد بن القاسم بن بشار بن الانباري،</w:t>
      </w:r>
      <w:r w:rsidR="0050311D" w:rsidRPr="00367F46">
        <w:rPr>
          <w:rFonts w:ascii="Traditional Arabic" w:hAnsi="Traditional Arabic" w:hint="cs"/>
          <w:rtl/>
          <w:lang w:eastAsia="en-US"/>
        </w:rPr>
        <w:t xml:space="preserve"> المتوفى (328ه).</w:t>
      </w:r>
      <w:r w:rsidR="0050311D" w:rsidRPr="00367F46">
        <w:rPr>
          <w:color w:val="0D0D0D" w:themeColor="text1" w:themeTint="F2"/>
          <w:rtl/>
        </w:rPr>
        <w:t xml:space="preserve"> </w:t>
      </w:r>
      <w:r w:rsidR="0050311D" w:rsidRPr="00367F46">
        <w:rPr>
          <w:rFonts w:ascii="Traditional Arabic" w:eastAsia="Calibri" w:hAnsi="Traditional Arabic" w:hint="cs"/>
          <w:color w:val="auto"/>
          <w:rtl/>
        </w:rPr>
        <w:t>ومن أمثلة ما نقله عنه: قال رحمه الله في قوله تعالى</w:t>
      </w:r>
      <w:r w:rsidR="0050311D" w:rsidRPr="00367F46">
        <w:rPr>
          <w:rFonts w:ascii="Traditional Arabic" w:hAnsi="Traditional Arabic"/>
          <w:rtl/>
        </w:rPr>
        <w:t xml:space="preserve">: </w:t>
      </w:r>
      <w:r w:rsidR="0050311D" w:rsidRPr="00367F46">
        <w:rPr>
          <w:rFonts w:ascii="QCF_BSML" w:hAnsi="QCF_BSML" w:cs="QCF_BSML"/>
          <w:color w:val="0D0D0D" w:themeColor="text1" w:themeTint="F2"/>
          <w:sz w:val="47"/>
          <w:szCs w:val="47"/>
          <w:rtl/>
          <w:lang w:eastAsia="en-US"/>
        </w:rPr>
        <w:t xml:space="preserve"> </w:t>
      </w:r>
      <w:r w:rsidR="0050311D" w:rsidRPr="00367F46">
        <w:rPr>
          <w:rFonts w:ascii="QCF_BSML" w:hAnsi="QCF_BSML" w:cs="QCF_BSML"/>
          <w:color w:val="0D0D0D" w:themeColor="text1" w:themeTint="F2"/>
          <w:sz w:val="32"/>
          <w:szCs w:val="32"/>
          <w:rtl/>
          <w:lang w:eastAsia="en-US"/>
        </w:rPr>
        <w:t xml:space="preserve">ﭽ </w:t>
      </w:r>
      <w:r w:rsidR="0050311D" w:rsidRPr="00367F46">
        <w:rPr>
          <w:rFonts w:ascii="QCF_P288" w:hAnsi="QCF_P288" w:cs="QCF_P288"/>
          <w:color w:val="0D0D0D" w:themeColor="text1" w:themeTint="F2"/>
          <w:sz w:val="32"/>
          <w:szCs w:val="32"/>
          <w:rtl/>
          <w:lang w:eastAsia="en-US"/>
        </w:rPr>
        <w:t>ﭜ ﭝ ﭞ ﭟ</w:t>
      </w:r>
      <w:r w:rsidR="00D174C8">
        <w:rPr>
          <w:rFonts w:ascii="QCF_BSML" w:hAnsi="QCF_BSML" w:cs="QCF_BSML" w:hint="cs"/>
          <w:color w:val="0D0D0D" w:themeColor="text1" w:themeTint="F2"/>
          <w:sz w:val="32"/>
          <w:szCs w:val="32"/>
          <w:rtl/>
          <w:lang w:eastAsia="en-US"/>
        </w:rPr>
        <w:t xml:space="preserve"> </w:t>
      </w:r>
      <w:r w:rsidR="0050311D" w:rsidRPr="00367F46">
        <w:rPr>
          <w:rFonts w:ascii="QCF_BSML" w:hAnsi="QCF_BSML" w:cs="QCF_BSML"/>
          <w:color w:val="0D0D0D" w:themeColor="text1" w:themeTint="F2"/>
          <w:sz w:val="32"/>
          <w:szCs w:val="32"/>
          <w:rtl/>
          <w:lang w:eastAsia="en-US"/>
        </w:rPr>
        <w:t>ﭼ</w:t>
      </w:r>
      <w:r w:rsidR="00D174C8">
        <w:rPr>
          <w:rFonts w:ascii="QCF_BSML" w:hAnsi="QCF_BSML" w:cs="QCF_BSML" w:hint="cs"/>
          <w:color w:val="0D0D0D" w:themeColor="text1" w:themeTint="F2"/>
          <w:sz w:val="32"/>
          <w:szCs w:val="32"/>
          <w:rtl/>
          <w:lang w:eastAsia="en-US"/>
        </w:rPr>
        <w:t xml:space="preserve"> </w:t>
      </w:r>
      <w:r w:rsidR="00D174C8" w:rsidRPr="00BF2E12">
        <w:rPr>
          <w:rFonts w:ascii="Traditional Arabic" w:hAnsi="Traditional Arabic" w:hint="cs"/>
          <w:sz w:val="32"/>
          <w:szCs w:val="32"/>
          <w:rtl/>
        </w:rPr>
        <w:t>[</w:t>
      </w:r>
      <w:r w:rsidR="00D174C8" w:rsidRPr="00BF2E12">
        <w:rPr>
          <w:rFonts w:ascii="Traditional Arabic" w:hAnsi="Traditional Arabic"/>
          <w:sz w:val="32"/>
          <w:szCs w:val="32"/>
          <w:rtl/>
        </w:rPr>
        <w:t>الإسراء:</w:t>
      </w:r>
      <w:r w:rsidR="00D174C8">
        <w:rPr>
          <w:rFonts w:ascii="Traditional Arabic" w:hAnsi="Traditional Arabic" w:hint="cs"/>
          <w:sz w:val="32"/>
          <w:szCs w:val="32"/>
          <w:rtl/>
        </w:rPr>
        <w:t>59</w:t>
      </w:r>
      <w:r w:rsidR="00D174C8" w:rsidRPr="00BF2E12">
        <w:rPr>
          <w:rFonts w:ascii="Traditional Arabic" w:hAnsi="Traditional Arabic" w:hint="cs"/>
          <w:sz w:val="32"/>
          <w:szCs w:val="32"/>
          <w:rtl/>
        </w:rPr>
        <w:t>]</w:t>
      </w:r>
      <w:r w:rsidR="00D174C8" w:rsidRPr="00911ED4">
        <w:rPr>
          <w:rFonts w:ascii="QCF_P292" w:hAnsi="QCF_P292" w:cs="QCF_P292"/>
          <w:color w:val="auto"/>
          <w:sz w:val="32"/>
          <w:szCs w:val="32"/>
          <w:rtl/>
          <w:lang w:eastAsia="en-US"/>
        </w:rPr>
        <w:t xml:space="preserve"> </w:t>
      </w:r>
      <w:r w:rsidR="0050311D" w:rsidRPr="00367F46">
        <w:rPr>
          <w:color w:val="0D0D0D" w:themeColor="text1" w:themeTint="F2"/>
          <w:sz w:val="44"/>
          <w:rtl/>
        </w:rPr>
        <w:t xml:space="preserve"> قال ابن قتيبة: أي: بَيِّنَةً، يريد: مُبْصَراً بها. قال ابن الأنباري: ويجوز أن تكون مبصرةً بمعنى مُبصِره، ويصلح أن يكون المعنى: مُبصِر مشاهدوها، فنسب إِليها فعل غيرها تجوُّزاً، كما يقال: لا أرينّك ها هنا، فأدخل حرف النهي على غير المنهي عنه، إذ المعنى: لا تحضر</w:t>
      </w:r>
      <w:r w:rsidR="0050311D" w:rsidRPr="00367F46">
        <w:rPr>
          <w:rFonts w:hint="cs"/>
          <w:color w:val="0D0D0D" w:themeColor="text1" w:themeTint="F2"/>
          <w:sz w:val="44"/>
          <w:rtl/>
        </w:rPr>
        <w:t xml:space="preserve"> </w:t>
      </w:r>
      <w:r w:rsidR="0050311D" w:rsidRPr="00367F46">
        <w:rPr>
          <w:rFonts w:ascii="Traditional Arabic" w:hAnsi="Traditional Arabic"/>
          <w:color w:val="0D0D0D" w:themeColor="text1" w:themeTint="F2"/>
          <w:rtl/>
          <w:lang w:eastAsia="en-US"/>
        </w:rPr>
        <w:t>ها هنا، حتى إِذا جئتُ لم أركَ فيه</w:t>
      </w:r>
      <w:r w:rsidR="0050311D" w:rsidRPr="0050311D">
        <w:rPr>
          <w:rStyle w:val="ae"/>
          <w:rtl/>
        </w:rPr>
        <w:t>(</w:t>
      </w:r>
      <w:r w:rsidR="0050311D">
        <w:rPr>
          <w:rStyle w:val="ae"/>
          <w:rtl/>
        </w:rPr>
        <w:footnoteReference w:id="179"/>
      </w:r>
      <w:r w:rsidR="0050311D" w:rsidRPr="0050311D">
        <w:rPr>
          <w:rStyle w:val="ae"/>
          <w:rtl/>
        </w:rPr>
        <w:t>)</w:t>
      </w:r>
      <w:r w:rsidR="0050311D" w:rsidRPr="00367F46">
        <w:rPr>
          <w:rFonts w:ascii="Traditional Arabic" w:hAnsi="Traditional Arabic"/>
          <w:color w:val="0D0D0D" w:themeColor="text1" w:themeTint="F2"/>
          <w:rtl/>
          <w:lang w:eastAsia="en-US"/>
        </w:rPr>
        <w:t>.</w:t>
      </w:r>
    </w:p>
    <w:p w:rsidR="004A659B" w:rsidRPr="000A379A" w:rsidRDefault="00367F46" w:rsidP="00D174C8">
      <w:pPr>
        <w:spacing w:line="276" w:lineRule="auto"/>
        <w:ind w:firstLine="0"/>
        <w:rPr>
          <w:rFonts w:ascii="Traditional Arabic" w:eastAsia="Calibri" w:hAnsi="Traditional Arabic"/>
          <w:b/>
          <w:bCs/>
          <w:rtl/>
        </w:rPr>
      </w:pPr>
      <w:r>
        <w:rPr>
          <w:rFonts w:ascii="Traditional Arabic" w:hAnsi="Traditional Arabic" w:hint="cs"/>
          <w:sz w:val="32"/>
          <w:szCs w:val="32"/>
          <w:rtl/>
        </w:rPr>
        <w:t>2- "</w:t>
      </w:r>
      <w:r w:rsidRPr="006701FB">
        <w:rPr>
          <w:rFonts w:ascii="Traditional Arabic" w:hAnsi="Traditional Arabic"/>
          <w:sz w:val="32"/>
          <w:szCs w:val="32"/>
          <w:rtl/>
        </w:rPr>
        <w:t>مجتبى التفسير"</w:t>
      </w:r>
      <w:r>
        <w:rPr>
          <w:rFonts w:ascii="Traditional Arabic" w:hAnsi="Traditional Arabic" w:hint="cs"/>
          <w:sz w:val="32"/>
          <w:szCs w:val="32"/>
          <w:rtl/>
        </w:rPr>
        <w:t>، و</w:t>
      </w:r>
      <w:r>
        <w:rPr>
          <w:rFonts w:ascii="Traditional Arabic" w:hAnsi="Traditional Arabic"/>
          <w:sz w:val="32"/>
          <w:szCs w:val="32"/>
          <w:rtl/>
        </w:rPr>
        <w:t>"المهذب في التفسير"</w:t>
      </w:r>
      <w:r w:rsidR="000A379A" w:rsidRPr="000A379A">
        <w:rPr>
          <w:rStyle w:val="ae"/>
          <w:rtl/>
        </w:rPr>
        <w:t>(</w:t>
      </w:r>
      <w:r w:rsidR="000A379A">
        <w:rPr>
          <w:rStyle w:val="ae"/>
          <w:rtl/>
        </w:rPr>
        <w:footnoteReference w:id="180"/>
      </w:r>
      <w:r w:rsidR="000A379A" w:rsidRPr="000A379A">
        <w:rPr>
          <w:rStyle w:val="ae"/>
          <w:rtl/>
        </w:rPr>
        <w:t>)</w:t>
      </w:r>
      <w:r w:rsidRPr="00367F46">
        <w:rPr>
          <w:rFonts w:ascii="Traditional Arabic" w:hAnsi="Traditional Arabic"/>
          <w:sz w:val="32"/>
          <w:szCs w:val="32"/>
          <w:rtl/>
        </w:rPr>
        <w:t xml:space="preserve"> </w:t>
      </w:r>
      <w:r>
        <w:rPr>
          <w:rFonts w:ascii="Traditional Arabic" w:hAnsi="Traditional Arabic" w:hint="cs"/>
          <w:sz w:val="32"/>
          <w:szCs w:val="32"/>
          <w:rtl/>
        </w:rPr>
        <w:t>لأبي</w:t>
      </w:r>
      <w:r w:rsidRPr="006701FB">
        <w:rPr>
          <w:rFonts w:ascii="Traditional Arabic" w:hAnsi="Traditional Arabic"/>
          <w:sz w:val="32"/>
          <w:szCs w:val="32"/>
          <w:rtl/>
        </w:rPr>
        <w:t xml:space="preserve"> سليمان مح</w:t>
      </w:r>
      <w:r>
        <w:rPr>
          <w:rFonts w:ascii="Traditional Arabic" w:hAnsi="Traditional Arabic"/>
          <w:sz w:val="32"/>
          <w:szCs w:val="32"/>
          <w:rtl/>
        </w:rPr>
        <w:t>مد بن عبد الله بن سليمان السعدي</w:t>
      </w:r>
      <w:r>
        <w:rPr>
          <w:rFonts w:ascii="Traditional Arabic" w:hAnsi="Traditional Arabic" w:hint="cs"/>
          <w:sz w:val="32"/>
          <w:szCs w:val="32"/>
          <w:rtl/>
        </w:rPr>
        <w:t>،</w:t>
      </w:r>
      <w:r w:rsidRPr="006701FB">
        <w:rPr>
          <w:rFonts w:ascii="Traditional Arabic" w:hAnsi="Traditional Arabic"/>
          <w:sz w:val="32"/>
          <w:szCs w:val="32"/>
          <w:rtl/>
        </w:rPr>
        <w:t xml:space="preserve"> الدمشقي</w:t>
      </w:r>
      <w:r>
        <w:rPr>
          <w:rFonts w:ascii="Traditional Arabic" w:eastAsia="Calibri" w:hAnsi="Traditional Arabic" w:hint="cs"/>
          <w:b/>
          <w:bCs/>
          <w:rtl/>
        </w:rPr>
        <w:t>,</w:t>
      </w:r>
      <w:r w:rsidRPr="00367F46">
        <w:rPr>
          <w:rFonts w:ascii="Traditional Arabic" w:hAnsi="Traditional Arabic"/>
          <w:sz w:val="32"/>
          <w:szCs w:val="32"/>
          <w:rtl/>
          <w:lang w:eastAsia="en-US"/>
        </w:rPr>
        <w:t xml:space="preserve"> </w:t>
      </w:r>
      <w:r>
        <w:rPr>
          <w:rFonts w:ascii="Traditional Arabic" w:hAnsi="Traditional Arabic" w:hint="cs"/>
          <w:sz w:val="32"/>
          <w:szCs w:val="32"/>
          <w:rtl/>
          <w:lang w:eastAsia="en-US"/>
        </w:rPr>
        <w:t>المتوفي (400ه) تقريباً</w:t>
      </w:r>
      <w:r>
        <w:rPr>
          <w:rFonts w:ascii="Traditional Arabic" w:hAnsi="Traditional Arabic" w:hint="cs"/>
          <w:sz w:val="32"/>
          <w:szCs w:val="32"/>
          <w:rtl/>
        </w:rPr>
        <w:t>.</w:t>
      </w:r>
      <w:r w:rsidR="000A379A" w:rsidRPr="000A379A">
        <w:rPr>
          <w:rFonts w:ascii="Traditional Arabic" w:eastAsia="Calibri" w:hAnsi="Traditional Arabic" w:hint="cs"/>
          <w:color w:val="auto"/>
          <w:rtl/>
        </w:rPr>
        <w:t xml:space="preserve"> </w:t>
      </w:r>
      <w:r w:rsidR="000A379A" w:rsidRPr="00367F46">
        <w:rPr>
          <w:rFonts w:ascii="Traditional Arabic" w:eastAsia="Calibri" w:hAnsi="Traditional Arabic" w:hint="cs"/>
          <w:color w:val="auto"/>
          <w:rtl/>
        </w:rPr>
        <w:t>ومن أمثلة ما نقله عنه: قال رحمه الله في قوله تعالى</w:t>
      </w:r>
      <w:r w:rsidR="000A379A" w:rsidRPr="00367F46">
        <w:rPr>
          <w:rFonts w:ascii="Traditional Arabic" w:hAnsi="Traditional Arabic"/>
          <w:rtl/>
        </w:rPr>
        <w:t>:</w:t>
      </w:r>
      <w:r w:rsidR="000A379A" w:rsidRPr="00911ED4">
        <w:rPr>
          <w:rtl/>
        </w:rPr>
        <w:t xml:space="preserve"> </w:t>
      </w:r>
      <w:r w:rsidR="000A379A" w:rsidRPr="00911ED4">
        <w:rPr>
          <w:rFonts w:ascii="QCF_BSML" w:hAnsi="QCF_BSML" w:cs="QCF_BSML"/>
          <w:sz w:val="32"/>
          <w:szCs w:val="32"/>
          <w:rtl/>
          <w:lang w:eastAsia="en-US"/>
        </w:rPr>
        <w:t>ﭽ</w:t>
      </w:r>
      <w:r w:rsidR="000A379A" w:rsidRPr="00911ED4">
        <w:rPr>
          <w:rFonts w:ascii="QCF_P293" w:hAnsi="QCF_P293" w:cs="QCF_P293"/>
          <w:color w:val="auto"/>
          <w:sz w:val="32"/>
          <w:szCs w:val="32"/>
          <w:rtl/>
          <w:lang w:eastAsia="en-US"/>
        </w:rPr>
        <w:t xml:space="preserve"> ﭑ  ﭒ</w:t>
      </w:r>
      <w:r w:rsidR="000A379A" w:rsidRPr="00911ED4">
        <w:rPr>
          <w:rFonts w:ascii="QCF_BSML" w:hAnsi="QCF_BSML" w:cs="QCF_BSML"/>
          <w:sz w:val="32"/>
          <w:szCs w:val="32"/>
          <w:rtl/>
          <w:lang w:eastAsia="en-US"/>
        </w:rPr>
        <w:t xml:space="preserve"> ﭼ</w:t>
      </w:r>
      <w:r w:rsidR="00D174C8" w:rsidRPr="00BF2E12">
        <w:rPr>
          <w:rFonts w:ascii="Traditional Arabic" w:hAnsi="Traditional Arabic" w:hint="cs"/>
          <w:sz w:val="32"/>
          <w:szCs w:val="32"/>
          <w:rtl/>
        </w:rPr>
        <w:t>[</w:t>
      </w:r>
      <w:r w:rsidR="00D174C8" w:rsidRPr="00BF2E12">
        <w:rPr>
          <w:rFonts w:ascii="Traditional Arabic" w:hAnsi="Traditional Arabic"/>
          <w:sz w:val="32"/>
          <w:szCs w:val="32"/>
          <w:rtl/>
        </w:rPr>
        <w:t>الإسراء:</w:t>
      </w:r>
      <w:r w:rsidR="00D174C8">
        <w:rPr>
          <w:rFonts w:ascii="Traditional Arabic" w:hAnsi="Traditional Arabic" w:hint="cs"/>
          <w:sz w:val="32"/>
          <w:szCs w:val="32"/>
          <w:rtl/>
        </w:rPr>
        <w:t>105</w:t>
      </w:r>
      <w:r w:rsidR="00D174C8" w:rsidRPr="00BF2E12">
        <w:rPr>
          <w:rFonts w:ascii="Traditional Arabic" w:hAnsi="Traditional Arabic" w:hint="cs"/>
          <w:sz w:val="32"/>
          <w:szCs w:val="32"/>
          <w:rtl/>
        </w:rPr>
        <w:t>]</w:t>
      </w:r>
      <w:r w:rsidR="00D174C8">
        <w:rPr>
          <w:rFonts w:hint="cs"/>
          <w:rtl/>
        </w:rPr>
        <w:t xml:space="preserve"> </w:t>
      </w:r>
      <w:r w:rsidR="000A379A" w:rsidRPr="00911ED4">
        <w:rPr>
          <w:rtl/>
        </w:rPr>
        <w:t>الهاء كناية عن القرآن، والمعنى: أنزلنا القرآن بالأمر الثابت والدِّين المستقيم، فهو حَقٌّ، ونزوله حق، وما تضمنه حق. وقال أبو سليمان الدمشقي:</w:t>
      </w:r>
      <w:r w:rsidR="000A379A" w:rsidRPr="00911ED4">
        <w:rPr>
          <w:rFonts w:ascii="QCF_BSML" w:hAnsi="QCF_BSML" w:cs="QCF_BSML"/>
          <w:sz w:val="32"/>
          <w:szCs w:val="32"/>
          <w:rtl/>
          <w:lang w:eastAsia="en-US"/>
        </w:rPr>
        <w:t xml:space="preserve"> ﭽ</w:t>
      </w:r>
      <w:r w:rsidR="000A379A">
        <w:rPr>
          <w:rFonts w:ascii="QCF_P293" w:hAnsi="QCF_P293" w:cs="QCF_P293" w:hint="cs"/>
          <w:color w:val="auto"/>
          <w:sz w:val="32"/>
          <w:szCs w:val="32"/>
          <w:rtl/>
          <w:lang w:eastAsia="en-US"/>
        </w:rPr>
        <w:t xml:space="preserve"> </w:t>
      </w:r>
      <w:r w:rsidR="000A379A" w:rsidRPr="00911ED4">
        <w:rPr>
          <w:rFonts w:ascii="QCF_P293" w:hAnsi="QCF_P293" w:cs="QCF_P293"/>
          <w:color w:val="auto"/>
          <w:sz w:val="32"/>
          <w:szCs w:val="32"/>
          <w:rtl/>
          <w:lang w:eastAsia="en-US"/>
        </w:rPr>
        <w:t xml:space="preserve">ﭑ  </w:t>
      </w:r>
      <w:r w:rsidR="000A379A" w:rsidRPr="00911ED4">
        <w:rPr>
          <w:rFonts w:ascii="QCF_P293" w:hAnsi="QCF_P293" w:cs="QCF_P293"/>
          <w:color w:val="auto"/>
          <w:sz w:val="32"/>
          <w:szCs w:val="32"/>
          <w:rtl/>
          <w:lang w:eastAsia="en-US"/>
        </w:rPr>
        <w:lastRenderedPageBreak/>
        <w:t>ﭒ</w:t>
      </w:r>
      <w:r w:rsidR="000A379A" w:rsidRPr="00911ED4">
        <w:rPr>
          <w:rFonts w:ascii="QCF_BSML" w:hAnsi="QCF_BSML" w:cs="QCF_BSML"/>
          <w:sz w:val="32"/>
          <w:szCs w:val="32"/>
          <w:rtl/>
          <w:lang w:eastAsia="en-US"/>
        </w:rPr>
        <w:t>ﭼ</w:t>
      </w:r>
      <w:r w:rsidR="000A379A" w:rsidRPr="00911ED4">
        <w:rPr>
          <w:rFonts w:ascii="QCF_P293" w:hAnsi="QCF_P293" w:cs="QCF_P293"/>
          <w:color w:val="auto"/>
          <w:sz w:val="32"/>
          <w:szCs w:val="32"/>
          <w:rtl/>
          <w:lang w:eastAsia="en-US"/>
        </w:rPr>
        <w:t xml:space="preserve"> </w:t>
      </w:r>
      <w:r w:rsidR="000A379A" w:rsidRPr="00911ED4">
        <w:rPr>
          <w:rtl/>
        </w:rPr>
        <w:t>أي:</w:t>
      </w:r>
      <w:r w:rsidR="000A379A" w:rsidRPr="00911ED4">
        <w:rPr>
          <w:rFonts w:hint="cs"/>
          <w:rtl/>
        </w:rPr>
        <w:t xml:space="preserve"> </w:t>
      </w:r>
      <w:r w:rsidR="000A379A" w:rsidRPr="00911ED4">
        <w:rPr>
          <w:rtl/>
        </w:rPr>
        <w:t xml:space="preserve">بالتوحيد، </w:t>
      </w:r>
      <w:r w:rsidR="000A379A" w:rsidRPr="00911ED4">
        <w:rPr>
          <w:rFonts w:ascii="QCF_BSML" w:hAnsi="QCF_BSML" w:cs="QCF_BSML"/>
          <w:sz w:val="32"/>
          <w:szCs w:val="32"/>
          <w:rtl/>
          <w:lang w:eastAsia="en-US"/>
        </w:rPr>
        <w:t>ﭽ</w:t>
      </w:r>
      <w:r w:rsidR="000A379A" w:rsidRPr="00911ED4">
        <w:rPr>
          <w:rFonts w:ascii="QCF_P293" w:hAnsi="QCF_P293" w:cs="QCF_P293"/>
          <w:color w:val="auto"/>
          <w:sz w:val="32"/>
          <w:szCs w:val="32"/>
          <w:rtl/>
          <w:lang w:eastAsia="en-US"/>
        </w:rPr>
        <w:t xml:space="preserve"> ﭓ  ﭔﭕ  </w:t>
      </w:r>
      <w:r w:rsidR="000A379A" w:rsidRPr="00911ED4">
        <w:rPr>
          <w:rFonts w:ascii="QCF_BSML" w:hAnsi="QCF_BSML" w:cs="QCF_BSML"/>
          <w:sz w:val="32"/>
          <w:szCs w:val="32"/>
          <w:rtl/>
          <w:lang w:eastAsia="en-US"/>
        </w:rPr>
        <w:t>ﭼ</w:t>
      </w:r>
      <w:r w:rsidR="000A379A" w:rsidRPr="00911ED4">
        <w:rPr>
          <w:rFonts w:hint="cs"/>
          <w:rtl/>
        </w:rPr>
        <w:t xml:space="preserve"> </w:t>
      </w:r>
      <w:r w:rsidR="000A379A" w:rsidRPr="00911ED4">
        <w:rPr>
          <w:rtl/>
        </w:rPr>
        <w:t>يعني: بالوعد والوعيد، والأمر والنهي</w:t>
      </w:r>
      <w:r w:rsidR="000A379A" w:rsidRPr="000A379A">
        <w:rPr>
          <w:rStyle w:val="ae"/>
          <w:rtl/>
        </w:rPr>
        <w:t>(</w:t>
      </w:r>
      <w:r w:rsidR="000A379A">
        <w:rPr>
          <w:rStyle w:val="ae"/>
          <w:rtl/>
        </w:rPr>
        <w:footnoteReference w:id="181"/>
      </w:r>
      <w:r w:rsidR="000A379A" w:rsidRPr="000A379A">
        <w:rPr>
          <w:rStyle w:val="ae"/>
          <w:rtl/>
        </w:rPr>
        <w:t>)</w:t>
      </w:r>
      <w:r w:rsidR="000A379A" w:rsidRPr="00911ED4">
        <w:rPr>
          <w:rtl/>
        </w:rPr>
        <w:t>.</w:t>
      </w:r>
      <w:r w:rsidR="000A379A" w:rsidRPr="00911ED4">
        <w:rPr>
          <w:rFonts w:ascii="Traditional Arabic" w:hAnsi="Traditional Arabic" w:hint="cs"/>
          <w:rtl/>
        </w:rPr>
        <w:t xml:space="preserve"> </w:t>
      </w:r>
      <w:r w:rsidR="000A379A" w:rsidRPr="00367F46">
        <w:rPr>
          <w:rFonts w:ascii="QCF_BSML" w:hAnsi="QCF_BSML" w:cs="QCF_BSML"/>
          <w:color w:val="0D0D0D" w:themeColor="text1" w:themeTint="F2"/>
          <w:sz w:val="47"/>
          <w:szCs w:val="47"/>
          <w:rtl/>
          <w:lang w:eastAsia="en-US"/>
        </w:rPr>
        <w:t xml:space="preserve"> </w:t>
      </w:r>
      <w:r>
        <w:rPr>
          <w:rFonts w:ascii="Traditional Arabic" w:hAnsi="Traditional Arabic" w:hint="cs"/>
          <w:sz w:val="32"/>
          <w:szCs w:val="32"/>
          <w:rtl/>
        </w:rPr>
        <w:t xml:space="preserve"> </w:t>
      </w:r>
    </w:p>
    <w:p w:rsidR="00D11232" w:rsidRPr="00C17B7B" w:rsidRDefault="00D11232" w:rsidP="00463120">
      <w:pPr>
        <w:spacing w:line="276" w:lineRule="auto"/>
        <w:ind w:firstLine="0"/>
        <w:contextualSpacing/>
        <w:rPr>
          <w:rFonts w:ascii="Traditional Arabic" w:eastAsia="Calibri" w:hAnsi="Traditional Arabic"/>
          <w:color w:val="auto"/>
          <w:rtl/>
        </w:rPr>
      </w:pPr>
      <w:r w:rsidRPr="00C17B7B">
        <w:rPr>
          <w:rFonts w:ascii="Traditional Arabic" w:eastAsia="Calibri" w:hAnsi="Traditional Arabic" w:hint="cs"/>
          <w:color w:val="auto"/>
          <w:rtl/>
        </w:rPr>
        <w:t xml:space="preserve">ويلاحظ أن العلامة ابن الجوزي </w:t>
      </w:r>
      <w:r w:rsidRPr="00C17B7B">
        <w:rPr>
          <w:rFonts w:ascii="Traditional Arabic" w:eastAsia="Calibri" w:hAnsi="Traditional Arabic"/>
          <w:color w:val="auto"/>
          <w:rtl/>
        </w:rPr>
        <w:t>–</w:t>
      </w:r>
      <w:r w:rsidRPr="00C17B7B">
        <w:rPr>
          <w:rFonts w:ascii="Traditional Arabic" w:eastAsia="Calibri" w:hAnsi="Traditional Arabic" w:hint="cs"/>
          <w:color w:val="auto"/>
          <w:rtl/>
        </w:rPr>
        <w:t xml:space="preserve">رحمه الله- أحيانا يشير إلى هذه الكتب بأسمائها, وأحيانا أخرى يكتفي بالنقل عن أصحابها, ونسبة القول إليهم. </w:t>
      </w:r>
    </w:p>
    <w:p w:rsidR="00D11232" w:rsidRPr="00C17B7B" w:rsidRDefault="00D11232" w:rsidP="00D11232">
      <w:pPr>
        <w:spacing w:line="276" w:lineRule="auto"/>
        <w:contextualSpacing/>
        <w:jc w:val="center"/>
        <w:rPr>
          <w:rFonts w:ascii="Traditional Arabic" w:eastAsia="Calibri" w:hAnsi="Traditional Arabic"/>
          <w:color w:val="auto"/>
          <w:szCs w:val="32"/>
        </w:rPr>
      </w:pPr>
      <w:r w:rsidRPr="00C17B7B">
        <w:rPr>
          <w:rFonts w:ascii="Traditional Arabic" w:eastAsia="Calibri" w:hAnsi="Traditional Arabic" w:cs="DecoType Naskh" w:hint="cs"/>
          <w:color w:val="auto"/>
          <w:szCs w:val="32"/>
          <w:rtl/>
        </w:rPr>
        <w:t>***</w:t>
      </w:r>
      <w:r w:rsidRPr="00C17B7B">
        <w:rPr>
          <w:rFonts w:ascii="Traditional Arabic" w:eastAsia="Calibri" w:hAnsi="Traditional Arabic" w:cs="DecoType Naskh" w:hint="cs"/>
          <w:color w:val="auto"/>
          <w:szCs w:val="32"/>
          <w:rtl/>
        </w:rPr>
        <w:tab/>
      </w:r>
      <w:r w:rsidRPr="00C17B7B">
        <w:rPr>
          <w:rFonts w:ascii="Traditional Arabic" w:eastAsia="Calibri" w:hAnsi="Traditional Arabic" w:cs="DecoType Naskh" w:hint="cs"/>
          <w:color w:val="auto"/>
          <w:szCs w:val="32"/>
          <w:rtl/>
        </w:rPr>
        <w:tab/>
        <w:t>***</w:t>
      </w:r>
      <w:r w:rsidRPr="00C17B7B">
        <w:rPr>
          <w:rFonts w:ascii="Traditional Arabic" w:eastAsia="Calibri" w:hAnsi="Traditional Arabic" w:cs="DecoType Naskh" w:hint="cs"/>
          <w:color w:val="auto"/>
          <w:szCs w:val="32"/>
          <w:rtl/>
        </w:rPr>
        <w:tab/>
      </w:r>
      <w:r w:rsidRPr="00C17B7B">
        <w:rPr>
          <w:rFonts w:ascii="Traditional Arabic" w:eastAsia="Calibri" w:hAnsi="Traditional Arabic" w:cs="DecoType Naskh" w:hint="cs"/>
          <w:color w:val="auto"/>
          <w:szCs w:val="32"/>
          <w:rtl/>
        </w:rPr>
        <w:tab/>
        <w:t>***</w:t>
      </w:r>
    </w:p>
    <w:p w:rsidR="00D11232" w:rsidRPr="00C17B7B" w:rsidRDefault="00D11232" w:rsidP="000A379A">
      <w:pPr>
        <w:keepNext/>
        <w:ind w:firstLine="0"/>
        <w:contextualSpacing/>
        <w:outlineLvl w:val="2"/>
        <w:rPr>
          <w:rFonts w:ascii="Arial" w:hAnsi="Arial"/>
          <w:b/>
          <w:bCs/>
          <w:noProof/>
          <w:sz w:val="26"/>
          <w:szCs w:val="40"/>
          <w:rtl/>
        </w:rPr>
      </w:pPr>
      <w:r w:rsidRPr="00C17B7B">
        <w:rPr>
          <w:rFonts w:ascii="Arial" w:hAnsi="Arial" w:hint="cs"/>
          <w:b/>
          <w:bCs/>
          <w:noProof/>
          <w:sz w:val="26"/>
          <w:szCs w:val="40"/>
          <w:rtl/>
        </w:rPr>
        <w:t>المبحث الرابع: القيمة العلمية للكتاب.</w:t>
      </w:r>
    </w:p>
    <w:p w:rsidR="00D11232" w:rsidRPr="00C17B7B" w:rsidRDefault="00D11232" w:rsidP="007057B7">
      <w:pPr>
        <w:spacing w:line="276" w:lineRule="auto"/>
        <w:ind w:firstLine="0"/>
        <w:contextualSpacing/>
        <w:jc w:val="lowKashida"/>
        <w:rPr>
          <w:rFonts w:ascii="Traditional Arabic" w:eastAsia="Calibri" w:hAnsi="Traditional Arabic"/>
          <w:color w:val="auto"/>
          <w:rtl/>
        </w:rPr>
      </w:pPr>
      <w:r w:rsidRPr="00C17B7B">
        <w:rPr>
          <w:rFonts w:ascii="Traditional Arabic" w:eastAsia="Calibri" w:hAnsi="Traditional Arabic"/>
          <w:color w:val="auto"/>
          <w:rtl/>
        </w:rPr>
        <w:t>زاد المسير في علم التفسير للعلامة أبي الفرج عبد الرحمن بن الجوزي، يعتبر كتابا مهما</w:t>
      </w:r>
      <w:r w:rsidR="000A379A">
        <w:rPr>
          <w:rFonts w:ascii="Traditional Arabic" w:eastAsia="Calibri" w:hAnsi="Traditional Arabic" w:hint="cs"/>
          <w:color w:val="auto"/>
          <w:rtl/>
        </w:rPr>
        <w:t>ً</w:t>
      </w:r>
      <w:r w:rsidRPr="00C17B7B">
        <w:rPr>
          <w:rFonts w:ascii="Traditional Arabic" w:eastAsia="Calibri" w:hAnsi="Traditional Arabic"/>
          <w:color w:val="auto"/>
          <w:rtl/>
        </w:rPr>
        <w:t xml:space="preserve"> ومتميزا</w:t>
      </w:r>
      <w:r w:rsidR="000A379A">
        <w:rPr>
          <w:rFonts w:ascii="Traditional Arabic" w:eastAsia="Calibri" w:hAnsi="Traditional Arabic" w:hint="cs"/>
          <w:color w:val="auto"/>
          <w:rtl/>
        </w:rPr>
        <w:t>ً</w:t>
      </w:r>
      <w:r w:rsidRPr="00C17B7B">
        <w:rPr>
          <w:rFonts w:ascii="Traditional Arabic" w:eastAsia="Calibri" w:hAnsi="Traditional Arabic"/>
          <w:color w:val="auto"/>
          <w:rtl/>
        </w:rPr>
        <w:t xml:space="preserve"> بين كتب التفسير بالمأثور، التي جمعت أقوال السلف وأئمة التفسير - رحمهم الله تعالى -، وهي مبثوثة في هذا الكتاب بشكل محرر و مختصر</w:t>
      </w:r>
      <w:r w:rsidRPr="00C17B7B">
        <w:rPr>
          <w:rFonts w:ascii="Traditional Arabic" w:eastAsia="Calibri" w:hAnsi="Traditional Arabic" w:hint="cs"/>
          <w:color w:val="auto"/>
          <w:rtl/>
        </w:rPr>
        <w:t>، وليس هذا فحسب، بل هو</w:t>
      </w:r>
      <w:r w:rsidR="000A379A">
        <w:rPr>
          <w:rFonts w:ascii="Traditional Arabic" w:eastAsia="Calibri" w:hAnsi="Traditional Arabic" w:hint="cs"/>
          <w:color w:val="auto"/>
          <w:rtl/>
        </w:rPr>
        <w:t xml:space="preserve"> من</w:t>
      </w:r>
      <w:r w:rsidRPr="00C17B7B">
        <w:rPr>
          <w:rFonts w:ascii="Traditional Arabic" w:eastAsia="Calibri" w:hAnsi="Traditional Arabic" w:hint="cs"/>
          <w:color w:val="auto"/>
          <w:rtl/>
        </w:rPr>
        <w:t xml:space="preserve"> المراجع التي ألمت بالكثير من المباحث اللغوية في شتى فروعها، فالمطلع على هذا الكتاب يجد أن ابن الجوزي يتعرض عند تفسيره للآية لكثير من الأمور اللغوية التي تتعلق بالأمور الصوتية، والصرفية، والدلالة، والتركيب...، وقد نوه ابن الجوزي على أنه قد جمع فيه علوما كثيرا وذلك في </w:t>
      </w:r>
      <w:r w:rsidR="007057B7" w:rsidRPr="007057B7">
        <w:rPr>
          <w:rFonts w:ascii="Traditional Arabic" w:eastAsia="Calibri" w:hAnsi="Traditional Arabic" w:hint="cs"/>
          <w:color w:val="auto"/>
          <w:rtl/>
        </w:rPr>
        <w:t>حديثه لولده فقال: (</w:t>
      </w:r>
      <w:r w:rsidR="007057B7" w:rsidRPr="007057B7">
        <w:rPr>
          <w:rFonts w:ascii="Traditional Arabic" w:eastAsia="Calibri" w:hAnsi="Traditional Arabic"/>
          <w:color w:val="auto"/>
          <w:rtl/>
        </w:rPr>
        <w:t>وما ترك "المغني</w:t>
      </w:r>
      <w:r w:rsidR="007057B7">
        <w:rPr>
          <w:rFonts w:ascii="Traditional Arabic" w:eastAsia="Calibri" w:hAnsi="Traditional Arabic"/>
          <w:color w:val="auto"/>
          <w:rtl/>
        </w:rPr>
        <w:t>" و "</w:t>
      </w:r>
      <w:r w:rsidR="007057B7" w:rsidRPr="007057B7">
        <w:rPr>
          <w:rFonts w:ascii="Traditional Arabic" w:eastAsia="Calibri" w:hAnsi="Traditional Arabic"/>
          <w:color w:val="auto"/>
          <w:rtl/>
        </w:rPr>
        <w:t>زاد المسير" حاجةً إلى شيء من التفاسير</w:t>
      </w:r>
      <w:r w:rsidRPr="007057B7">
        <w:rPr>
          <w:rFonts w:ascii="Traditional Arabic" w:eastAsia="Calibri" w:hAnsi="Traditional Arabic" w:hint="cs"/>
          <w:color w:val="auto"/>
          <w:rtl/>
        </w:rPr>
        <w:t>)</w:t>
      </w:r>
      <w:r w:rsidR="007057B7" w:rsidRPr="007057B7">
        <w:rPr>
          <w:rStyle w:val="ae"/>
          <w:rFonts w:eastAsia="Calibri"/>
          <w:rtl/>
        </w:rPr>
        <w:t>(</w:t>
      </w:r>
      <w:r w:rsidR="007057B7" w:rsidRPr="007057B7">
        <w:rPr>
          <w:rStyle w:val="ae"/>
          <w:rFonts w:eastAsia="Calibri"/>
          <w:rtl/>
        </w:rPr>
        <w:footnoteReference w:id="182"/>
      </w:r>
      <w:r w:rsidR="007057B7" w:rsidRPr="007057B7">
        <w:rPr>
          <w:rStyle w:val="ae"/>
          <w:rFonts w:eastAsia="Calibri"/>
          <w:rtl/>
        </w:rPr>
        <w:t>)</w:t>
      </w:r>
      <w:r w:rsidR="007057B7" w:rsidRPr="007057B7">
        <w:rPr>
          <w:rFonts w:ascii="Traditional Arabic" w:eastAsia="Calibri" w:hAnsi="Traditional Arabic" w:hint="cs"/>
          <w:color w:val="auto"/>
          <w:rtl/>
        </w:rPr>
        <w:t>.</w:t>
      </w:r>
      <w:r w:rsidR="007057B7">
        <w:rPr>
          <w:rFonts w:ascii="Traditional Arabic" w:eastAsia="Calibri" w:hAnsi="Traditional Arabic" w:hint="cs"/>
          <w:color w:val="auto"/>
          <w:rtl/>
        </w:rPr>
        <w:t xml:space="preserve"> </w:t>
      </w:r>
      <w:r w:rsidRPr="00C17B7B">
        <w:rPr>
          <w:rFonts w:ascii="Traditional Arabic" w:eastAsia="Calibri" w:hAnsi="Traditional Arabic" w:hint="cs"/>
          <w:color w:val="auto"/>
          <w:rtl/>
        </w:rPr>
        <w:t>وقد أشار ابن تيمية (ت728) إلى قيمة زاد المسير ووصفه بأنه من كتب التفسير القريبة من الكتاب والسنة</w:t>
      </w:r>
      <w:r w:rsidR="007057B7" w:rsidRPr="007057B7">
        <w:rPr>
          <w:rStyle w:val="ae"/>
          <w:rFonts w:eastAsia="Calibri"/>
          <w:rtl/>
        </w:rPr>
        <w:t>(</w:t>
      </w:r>
      <w:r w:rsidR="007057B7">
        <w:rPr>
          <w:rStyle w:val="ae"/>
          <w:rFonts w:eastAsia="Calibri"/>
          <w:rtl/>
        </w:rPr>
        <w:footnoteReference w:id="183"/>
      </w:r>
      <w:r w:rsidR="007057B7" w:rsidRPr="007057B7">
        <w:rPr>
          <w:rStyle w:val="ae"/>
          <w:rFonts w:eastAsia="Calibri"/>
          <w:rtl/>
        </w:rPr>
        <w:t>)</w:t>
      </w:r>
      <w:r w:rsidRPr="00C17B7B">
        <w:rPr>
          <w:rFonts w:ascii="Traditional Arabic" w:eastAsia="Calibri" w:hAnsi="Traditional Arabic" w:hint="cs"/>
          <w:color w:val="auto"/>
          <w:rtl/>
        </w:rPr>
        <w:t xml:space="preserve">. </w:t>
      </w:r>
    </w:p>
    <w:p w:rsidR="00D11232" w:rsidRPr="00C17B7B" w:rsidRDefault="00D11232" w:rsidP="000A379A">
      <w:pPr>
        <w:spacing w:line="276" w:lineRule="auto"/>
        <w:ind w:firstLine="0"/>
        <w:contextualSpacing/>
        <w:jc w:val="lowKashida"/>
        <w:rPr>
          <w:rFonts w:ascii="Traditional Arabic" w:eastAsia="Calibri" w:hAnsi="Traditional Arabic"/>
          <w:color w:val="auto"/>
          <w:rtl/>
        </w:rPr>
      </w:pPr>
      <w:r w:rsidRPr="00C17B7B">
        <w:rPr>
          <w:rFonts w:ascii="Traditional Arabic" w:eastAsia="Calibri" w:hAnsi="Traditional Arabic"/>
          <w:color w:val="auto"/>
          <w:rtl/>
        </w:rPr>
        <w:t>وابن الجوزي رحمه الله تعالى اختصر "زاد المسير" من كتابه "المغني في التفسير"، وزاد بأن اختصر أيضا " زاد المسير " فجعله في كتاب بعنوان " تذكرة الأريب في تفسير الغريب". فزادُ المسير إذن وسط بين ثلاثة كتب في التفسير للمؤلف.</w:t>
      </w:r>
    </w:p>
    <w:p w:rsidR="00D11232" w:rsidRPr="00C17B7B" w:rsidRDefault="00D11232" w:rsidP="00C443D8">
      <w:pPr>
        <w:numPr>
          <w:ilvl w:val="0"/>
          <w:numId w:val="4"/>
        </w:numPr>
        <w:spacing w:after="200" w:line="276" w:lineRule="auto"/>
        <w:ind w:left="0" w:firstLine="0"/>
        <w:contextualSpacing/>
        <w:jc w:val="lowKashida"/>
        <w:rPr>
          <w:rFonts w:ascii="Traditional Arabic" w:hAnsi="Traditional Arabic"/>
          <w:rtl/>
        </w:rPr>
      </w:pPr>
      <w:r w:rsidRPr="00C17B7B">
        <w:rPr>
          <w:rFonts w:ascii="Traditional Arabic" w:hAnsi="Traditional Arabic"/>
          <w:rtl/>
        </w:rPr>
        <w:t>يعتبر من التفاسير التي تتناول التفسير بالمأثور وتعتني به.</w:t>
      </w:r>
    </w:p>
    <w:p w:rsidR="00D11232" w:rsidRPr="00C17B7B" w:rsidRDefault="00D11232" w:rsidP="000A379A">
      <w:pPr>
        <w:numPr>
          <w:ilvl w:val="0"/>
          <w:numId w:val="4"/>
        </w:numPr>
        <w:spacing w:after="200" w:line="276" w:lineRule="auto"/>
        <w:ind w:left="0" w:firstLine="0"/>
        <w:contextualSpacing/>
        <w:jc w:val="lowKashida"/>
        <w:rPr>
          <w:rFonts w:ascii="Traditional Arabic" w:hAnsi="Traditional Arabic"/>
          <w:rtl/>
        </w:rPr>
      </w:pPr>
      <w:r w:rsidRPr="00C17B7B">
        <w:rPr>
          <w:rFonts w:ascii="Traditional Arabic" w:hAnsi="Traditional Arabic"/>
          <w:rtl/>
        </w:rPr>
        <w:lastRenderedPageBreak/>
        <w:t>جمع الصحيح من أقوال م</w:t>
      </w:r>
      <w:r w:rsidR="000A379A">
        <w:rPr>
          <w:rFonts w:ascii="Traditional Arabic" w:hAnsi="Traditional Arabic"/>
          <w:rtl/>
        </w:rPr>
        <w:t>َن قبله مِن السلف وأئمة التفسير، و</w:t>
      </w:r>
      <w:r w:rsidRPr="00C17B7B">
        <w:rPr>
          <w:rFonts w:ascii="Traditional Arabic" w:hAnsi="Traditional Arabic"/>
          <w:rtl/>
        </w:rPr>
        <w:t>قل أن يوجد ذلك في غيره.</w:t>
      </w:r>
    </w:p>
    <w:p w:rsidR="00D11232" w:rsidRPr="00C17B7B" w:rsidRDefault="00D11232" w:rsidP="00C443D8">
      <w:pPr>
        <w:numPr>
          <w:ilvl w:val="0"/>
          <w:numId w:val="4"/>
        </w:numPr>
        <w:spacing w:after="200" w:line="276" w:lineRule="auto"/>
        <w:ind w:left="0" w:firstLine="0"/>
        <w:contextualSpacing/>
        <w:jc w:val="lowKashida"/>
        <w:rPr>
          <w:rFonts w:ascii="Traditional Arabic" w:hAnsi="Traditional Arabic"/>
          <w:rtl/>
        </w:rPr>
      </w:pPr>
      <w:r w:rsidRPr="00C17B7B">
        <w:rPr>
          <w:rFonts w:ascii="Traditional Arabic" w:hAnsi="Traditional Arabic"/>
          <w:rtl/>
        </w:rPr>
        <w:t xml:space="preserve">وتظهر أيضا قيمته العلمية في أن </w:t>
      </w:r>
      <w:r w:rsidRPr="00C17B7B">
        <w:rPr>
          <w:rFonts w:ascii="Traditional Arabic" w:hAnsi="Traditional Arabic" w:hint="cs"/>
          <w:rtl/>
        </w:rPr>
        <w:t>من أتى بعده من المفسرين أكثروا النقل عنه، فممن نقل عنه الخازن في لباب التأويل، وأبو حيان في البحر المحيط، والسمين الحلبي في الدر المصون، وابن كثير في تفسير القرآن، و</w:t>
      </w:r>
      <w:r w:rsidRPr="00C17B7B">
        <w:rPr>
          <w:rFonts w:ascii="Traditional Arabic" w:hAnsi="Traditional Arabic"/>
          <w:rtl/>
        </w:rPr>
        <w:t>شيخ الإسلام ابن تيمية</w:t>
      </w:r>
      <w:r w:rsidRPr="00C17B7B">
        <w:rPr>
          <w:rFonts w:ascii="Traditional Arabic" w:hAnsi="Traditional Arabic" w:hint="cs"/>
          <w:rtl/>
        </w:rPr>
        <w:t xml:space="preserve"> وغيرهم الكثير</w:t>
      </w:r>
      <w:r w:rsidRPr="00C17B7B">
        <w:rPr>
          <w:rFonts w:ascii="Traditional Arabic" w:hAnsi="Traditional Arabic"/>
          <w:rtl/>
        </w:rPr>
        <w:t>.</w:t>
      </w:r>
    </w:p>
    <w:p w:rsidR="00D11232" w:rsidRPr="00C17B7B" w:rsidRDefault="00027582" w:rsidP="00027582">
      <w:pPr>
        <w:numPr>
          <w:ilvl w:val="0"/>
          <w:numId w:val="4"/>
        </w:numPr>
        <w:spacing w:after="200" w:line="276" w:lineRule="auto"/>
        <w:ind w:left="0" w:firstLine="0"/>
        <w:contextualSpacing/>
        <w:jc w:val="lowKashida"/>
        <w:rPr>
          <w:rFonts w:ascii="Traditional Arabic" w:hAnsi="Traditional Arabic"/>
          <w:rtl/>
        </w:rPr>
      </w:pPr>
      <w:r>
        <w:rPr>
          <w:rFonts w:ascii="Traditional Arabic" w:hAnsi="Traditional Arabic"/>
          <w:rtl/>
        </w:rPr>
        <w:t xml:space="preserve">أن ابن الجوزي </w:t>
      </w:r>
      <w:r>
        <w:rPr>
          <w:rFonts w:ascii="Traditional Arabic" w:hAnsi="Traditional Arabic" w:hint="cs"/>
          <w:rtl/>
        </w:rPr>
        <w:t>-</w:t>
      </w:r>
      <w:r>
        <w:rPr>
          <w:rFonts w:ascii="Traditional Arabic" w:hAnsi="Traditional Arabic"/>
          <w:rtl/>
        </w:rPr>
        <w:t xml:space="preserve"> رحمه الله تعالى </w:t>
      </w:r>
      <w:r>
        <w:rPr>
          <w:rFonts w:ascii="Traditional Arabic" w:hAnsi="Traditional Arabic" w:hint="cs"/>
          <w:rtl/>
        </w:rPr>
        <w:t>-</w:t>
      </w:r>
      <w:r>
        <w:rPr>
          <w:rFonts w:ascii="Traditional Arabic" w:hAnsi="Traditional Arabic"/>
          <w:rtl/>
        </w:rPr>
        <w:t xml:space="preserve"> ألَّف تفسيره</w:t>
      </w:r>
      <w:r w:rsidR="00D11232" w:rsidRPr="00C17B7B">
        <w:rPr>
          <w:rFonts w:ascii="Traditional Arabic" w:hAnsi="Traditional Arabic"/>
          <w:rtl/>
        </w:rPr>
        <w:t xml:space="preserve"> على قواعد الم</w:t>
      </w:r>
      <w:r>
        <w:rPr>
          <w:rFonts w:ascii="Traditional Arabic" w:hAnsi="Traditional Arabic"/>
          <w:rtl/>
        </w:rPr>
        <w:t>نهج الأثري النظري في التفسير، و</w:t>
      </w:r>
      <w:r w:rsidR="00D11232" w:rsidRPr="00C17B7B">
        <w:rPr>
          <w:rFonts w:ascii="Traditional Arabic" w:hAnsi="Traditional Arabic"/>
          <w:rtl/>
        </w:rPr>
        <w:t>جمع فيه بين المأثور والرأي، وبين المنقول والمعقول.</w:t>
      </w:r>
    </w:p>
    <w:p w:rsidR="00D11232" w:rsidRPr="00C17B7B" w:rsidRDefault="00D11232" w:rsidP="00C443D8">
      <w:pPr>
        <w:numPr>
          <w:ilvl w:val="0"/>
          <w:numId w:val="4"/>
        </w:numPr>
        <w:spacing w:after="200" w:line="276" w:lineRule="auto"/>
        <w:ind w:left="0" w:firstLine="0"/>
        <w:contextualSpacing/>
        <w:jc w:val="lowKashida"/>
        <w:rPr>
          <w:rFonts w:ascii="Traditional Arabic" w:hAnsi="Traditional Arabic"/>
          <w:rtl/>
        </w:rPr>
      </w:pPr>
      <w:r w:rsidRPr="00C17B7B">
        <w:rPr>
          <w:rFonts w:ascii="Traditional Arabic" w:hAnsi="Traditional Arabic"/>
          <w:rtl/>
        </w:rPr>
        <w:t>أن هذا الكتاب يعتبر من كتب التفسير لعالم من علماء الحنابلة، ولهذا فهو يعتني ببيان المذهب الحنبلي عند تفسيره لآيات الأحكام مع ذكر المذاهب الأخرى ولو إشارة</w:t>
      </w:r>
      <w:r w:rsidRPr="00C17B7B">
        <w:rPr>
          <w:rFonts w:ascii="Traditional Arabic" w:hAnsi="Traditional Arabic" w:hint="cs"/>
          <w:rtl/>
        </w:rPr>
        <w:t>، ولا يوجد لدينا كتاب في التفسير يعتني بمذهبه الحنابلة غيره.</w:t>
      </w:r>
    </w:p>
    <w:p w:rsidR="00D11232" w:rsidRPr="00C17B7B" w:rsidRDefault="00D11232" w:rsidP="00C443D8">
      <w:pPr>
        <w:numPr>
          <w:ilvl w:val="0"/>
          <w:numId w:val="4"/>
        </w:numPr>
        <w:spacing w:after="200" w:line="276" w:lineRule="auto"/>
        <w:ind w:left="0" w:firstLine="0"/>
        <w:contextualSpacing/>
        <w:jc w:val="lowKashida"/>
        <w:rPr>
          <w:rFonts w:ascii="Traditional Arabic" w:hAnsi="Traditional Arabic"/>
          <w:rtl/>
        </w:rPr>
      </w:pPr>
      <w:r w:rsidRPr="00C17B7B">
        <w:rPr>
          <w:rFonts w:ascii="Traditional Arabic" w:hAnsi="Traditional Arabic" w:hint="cs"/>
          <w:rtl/>
        </w:rPr>
        <w:t xml:space="preserve">أن </w:t>
      </w:r>
      <w:r w:rsidR="00027582">
        <w:rPr>
          <w:rFonts w:ascii="Traditional Arabic" w:hAnsi="Traditional Arabic" w:hint="cs"/>
          <w:rtl/>
        </w:rPr>
        <w:t>"</w:t>
      </w:r>
      <w:r w:rsidRPr="00C17B7B">
        <w:rPr>
          <w:rFonts w:ascii="Traditional Arabic" w:hAnsi="Traditional Arabic" w:hint="cs"/>
          <w:rtl/>
        </w:rPr>
        <w:t>زاد المسير</w:t>
      </w:r>
      <w:r w:rsidR="00027582">
        <w:rPr>
          <w:rFonts w:ascii="Traditional Arabic" w:hAnsi="Traditional Arabic" w:hint="cs"/>
          <w:rtl/>
        </w:rPr>
        <w:t>"</w:t>
      </w:r>
      <w:r w:rsidRPr="00C17B7B">
        <w:rPr>
          <w:rFonts w:ascii="Traditional Arabic" w:hAnsi="Traditional Arabic" w:hint="cs"/>
          <w:rtl/>
        </w:rPr>
        <w:t xml:space="preserve"> </w:t>
      </w:r>
      <w:r w:rsidRPr="00C17B7B">
        <w:rPr>
          <w:rFonts w:ascii="Traditional Arabic" w:hAnsi="Traditional Arabic"/>
          <w:rtl/>
        </w:rPr>
        <w:t>من كتب التفسير التي تعتني بالتفسير اللغوي أو الاجتهاد اللغوي.</w:t>
      </w:r>
    </w:p>
    <w:p w:rsidR="00D11232" w:rsidRDefault="00D11232" w:rsidP="00C443D8">
      <w:pPr>
        <w:numPr>
          <w:ilvl w:val="0"/>
          <w:numId w:val="4"/>
        </w:numPr>
        <w:spacing w:after="200" w:line="276" w:lineRule="auto"/>
        <w:ind w:left="0" w:firstLine="0"/>
        <w:contextualSpacing/>
        <w:jc w:val="lowKashida"/>
        <w:rPr>
          <w:rFonts w:ascii="Traditional Arabic" w:hAnsi="Traditional Arabic"/>
        </w:rPr>
      </w:pPr>
      <w:r w:rsidRPr="00C17B7B">
        <w:rPr>
          <w:rFonts w:ascii="Traditional Arabic" w:hAnsi="Traditional Arabic" w:hint="cs"/>
          <w:rtl/>
        </w:rPr>
        <w:t xml:space="preserve">أن </w:t>
      </w:r>
      <w:r w:rsidR="00027582">
        <w:rPr>
          <w:rFonts w:ascii="Traditional Arabic" w:hAnsi="Traditional Arabic"/>
          <w:rtl/>
        </w:rPr>
        <w:t>"زاد المسير</w:t>
      </w:r>
      <w:r w:rsidRPr="00C17B7B">
        <w:rPr>
          <w:rFonts w:ascii="Traditional Arabic" w:hAnsi="Traditional Arabic"/>
          <w:rtl/>
        </w:rPr>
        <w:t xml:space="preserve">" </w:t>
      </w:r>
      <w:r w:rsidRPr="00C17B7B">
        <w:rPr>
          <w:rFonts w:ascii="Traditional Arabic" w:hAnsi="Traditional Arabic" w:hint="cs"/>
          <w:rtl/>
        </w:rPr>
        <w:t xml:space="preserve">يُعدُّ </w:t>
      </w:r>
      <w:r w:rsidRPr="00C17B7B">
        <w:rPr>
          <w:rFonts w:ascii="Traditional Arabic" w:hAnsi="Traditional Arabic"/>
          <w:rtl/>
        </w:rPr>
        <w:t>مرجع</w:t>
      </w:r>
      <w:r w:rsidRPr="00C17B7B">
        <w:rPr>
          <w:rFonts w:ascii="Traditional Arabic" w:hAnsi="Traditional Arabic" w:hint="cs"/>
          <w:rtl/>
        </w:rPr>
        <w:t>اً</w:t>
      </w:r>
      <w:r w:rsidR="004D46AE">
        <w:rPr>
          <w:rFonts w:ascii="Traditional Arabic" w:hAnsi="Traditional Arabic"/>
          <w:rtl/>
        </w:rPr>
        <w:t xml:space="preserve"> </w:t>
      </w:r>
      <w:r w:rsidR="004D46AE">
        <w:rPr>
          <w:rFonts w:ascii="Traditional Arabic" w:hAnsi="Traditional Arabic" w:hint="cs"/>
          <w:rtl/>
        </w:rPr>
        <w:t>مه</w:t>
      </w:r>
      <w:r w:rsidRPr="00C17B7B">
        <w:rPr>
          <w:rFonts w:ascii="Traditional Arabic" w:hAnsi="Traditional Arabic"/>
          <w:rtl/>
        </w:rPr>
        <w:t>م</w:t>
      </w:r>
      <w:r w:rsidRPr="00C17B7B">
        <w:rPr>
          <w:rFonts w:ascii="Traditional Arabic" w:hAnsi="Traditional Arabic" w:hint="cs"/>
          <w:rtl/>
        </w:rPr>
        <w:t>اً</w:t>
      </w:r>
      <w:r w:rsidRPr="00C17B7B">
        <w:rPr>
          <w:rFonts w:ascii="Traditional Arabic" w:hAnsi="Traditional Arabic"/>
          <w:rtl/>
        </w:rPr>
        <w:t xml:space="preserve"> مختصر</w:t>
      </w:r>
      <w:r w:rsidRPr="00C17B7B">
        <w:rPr>
          <w:rFonts w:ascii="Traditional Arabic" w:hAnsi="Traditional Arabic" w:hint="cs"/>
          <w:rtl/>
        </w:rPr>
        <w:t>اً</w:t>
      </w:r>
      <w:r w:rsidRPr="00C17B7B">
        <w:rPr>
          <w:rFonts w:ascii="Traditional Arabic" w:hAnsi="Traditional Arabic"/>
          <w:rtl/>
        </w:rPr>
        <w:t xml:space="preserve"> لمن أراد استقصاء أغلب الأقوال في تفسير الآية مختصرة معزوة لقائليها</w:t>
      </w:r>
      <w:r w:rsidRPr="00C17B7B">
        <w:rPr>
          <w:rFonts w:ascii="Traditional Arabic" w:hAnsi="Traditional Arabic" w:hint="cs"/>
          <w:rtl/>
        </w:rPr>
        <w:t>،</w:t>
      </w:r>
      <w:r w:rsidRPr="00C17B7B">
        <w:rPr>
          <w:rFonts w:ascii="Traditional Arabic" w:hAnsi="Traditional Arabic"/>
          <w:rtl/>
        </w:rPr>
        <w:t xml:space="preserve"> مع الحذر مما فيه من تأويل في الصفات.</w:t>
      </w:r>
    </w:p>
    <w:p w:rsidR="007057B7" w:rsidRPr="00C17B7B" w:rsidRDefault="007057B7" w:rsidP="007057B7">
      <w:pPr>
        <w:spacing w:after="200" w:line="276" w:lineRule="auto"/>
        <w:ind w:firstLine="0"/>
        <w:contextualSpacing/>
        <w:jc w:val="lowKashida"/>
        <w:rPr>
          <w:rFonts w:ascii="Traditional Arabic" w:hAnsi="Traditional Arabic"/>
          <w:rtl/>
        </w:rPr>
      </w:pPr>
    </w:p>
    <w:p w:rsidR="00D11232" w:rsidRPr="00C17B7B" w:rsidRDefault="00D11232" w:rsidP="007057B7">
      <w:pPr>
        <w:spacing w:line="276" w:lineRule="auto"/>
        <w:ind w:firstLine="0"/>
        <w:contextualSpacing/>
        <w:jc w:val="lowKashida"/>
        <w:rPr>
          <w:rFonts w:ascii="Traditional Arabic" w:eastAsia="Calibri" w:hAnsi="Traditional Arabic"/>
          <w:b/>
          <w:bCs/>
          <w:color w:val="auto"/>
          <w:rtl/>
        </w:rPr>
      </w:pPr>
      <w:r w:rsidRPr="00C17B7B">
        <w:rPr>
          <w:rFonts w:ascii="Traditional Arabic" w:eastAsia="Calibri" w:hAnsi="Traditional Arabic"/>
          <w:b/>
          <w:bCs/>
          <w:color w:val="auto"/>
          <w:rtl/>
        </w:rPr>
        <w:t>بعض الملح</w:t>
      </w:r>
      <w:r w:rsidRPr="00C17B7B">
        <w:rPr>
          <w:rFonts w:ascii="Traditional Arabic" w:eastAsia="Calibri" w:hAnsi="Traditional Arabic" w:hint="cs"/>
          <w:b/>
          <w:bCs/>
          <w:color w:val="auto"/>
          <w:rtl/>
        </w:rPr>
        <w:t>و</w:t>
      </w:r>
      <w:r w:rsidRPr="00C17B7B">
        <w:rPr>
          <w:rFonts w:ascii="Traditional Arabic" w:eastAsia="Calibri" w:hAnsi="Traditional Arabic"/>
          <w:b/>
          <w:bCs/>
          <w:color w:val="auto"/>
          <w:rtl/>
        </w:rPr>
        <w:t>ظات</w:t>
      </w:r>
      <w:r w:rsidRPr="00C17B7B">
        <w:rPr>
          <w:rFonts w:ascii="Traditional Arabic" w:eastAsia="Calibri" w:hAnsi="Traditional Arabic" w:hint="cs"/>
          <w:b/>
          <w:bCs/>
          <w:color w:val="auto"/>
          <w:rtl/>
        </w:rPr>
        <w:t xml:space="preserve"> والمآخذ</w:t>
      </w:r>
      <w:r w:rsidRPr="00C17B7B">
        <w:rPr>
          <w:rFonts w:ascii="Traditional Arabic" w:eastAsia="Calibri" w:hAnsi="Traditional Arabic"/>
          <w:b/>
          <w:bCs/>
          <w:color w:val="auto"/>
          <w:rtl/>
        </w:rPr>
        <w:t xml:space="preserve"> على هذا التفسير القيم–</w:t>
      </w:r>
      <w:r w:rsidRPr="00C17B7B">
        <w:rPr>
          <w:rFonts w:ascii="Traditional Arabic" w:eastAsia="Calibri" w:hAnsi="Traditional Arabic" w:hint="cs"/>
          <w:b/>
          <w:bCs/>
          <w:color w:val="auto"/>
          <w:rtl/>
        </w:rPr>
        <w:t>زاد المسير-</w:t>
      </w:r>
      <w:r w:rsidRPr="00C17B7B">
        <w:rPr>
          <w:rFonts w:ascii="Traditional Arabic" w:eastAsia="Calibri" w:hAnsi="Traditional Arabic"/>
          <w:b/>
          <w:bCs/>
          <w:color w:val="auto"/>
          <w:rtl/>
        </w:rPr>
        <w:t>:</w:t>
      </w:r>
    </w:p>
    <w:p w:rsidR="00D11232" w:rsidRPr="00C17B7B" w:rsidRDefault="00D11232" w:rsidP="007057B7">
      <w:pPr>
        <w:numPr>
          <w:ilvl w:val="0"/>
          <w:numId w:val="24"/>
        </w:numPr>
        <w:spacing w:after="200" w:line="276" w:lineRule="auto"/>
        <w:ind w:left="0" w:firstLine="0"/>
        <w:contextualSpacing/>
        <w:jc w:val="lowKashida"/>
        <w:rPr>
          <w:rFonts w:ascii="Traditional Arabic" w:hAnsi="Traditional Arabic"/>
          <w:rtl/>
        </w:rPr>
      </w:pPr>
      <w:r w:rsidRPr="00C17B7B">
        <w:rPr>
          <w:rFonts w:ascii="Traditional Arabic" w:hAnsi="Traditional Arabic"/>
          <w:rtl/>
        </w:rPr>
        <w:t xml:space="preserve">اضطراب مؤلفه -رحمه الله- في تفسير الأسماء والصفات، فابن الجوزي يميل إلى التأويل على مذهب الأشاعرة فينصر مذهبه كما هو </w:t>
      </w:r>
      <w:r w:rsidR="00027582">
        <w:rPr>
          <w:rFonts w:ascii="Traditional Arabic" w:hAnsi="Traditional Arabic"/>
          <w:rtl/>
        </w:rPr>
        <w:t>واضح في تفسيره قال ابن تيمية :"</w:t>
      </w:r>
      <w:r w:rsidRPr="00C17B7B">
        <w:rPr>
          <w:rFonts w:ascii="Traditional Arabic" w:hAnsi="Traditional Arabic" w:hint="cs"/>
          <w:rtl/>
        </w:rPr>
        <w:t>إ</w:t>
      </w:r>
      <w:r w:rsidRPr="00C17B7B">
        <w:rPr>
          <w:rFonts w:ascii="Traditional Arabic" w:hAnsi="Traditional Arabic"/>
          <w:rtl/>
        </w:rPr>
        <w:t>ن أبا</w:t>
      </w:r>
      <w:r w:rsidR="00027582">
        <w:rPr>
          <w:rFonts w:ascii="Traditional Arabic" w:hAnsi="Traditional Arabic"/>
          <w:rtl/>
        </w:rPr>
        <w:t xml:space="preserve"> الفرج نفسه متناقض في هذا الباب</w:t>
      </w:r>
      <w:r w:rsidR="00027582">
        <w:rPr>
          <w:rFonts w:ascii="Traditional Arabic" w:hAnsi="Traditional Arabic" w:hint="cs"/>
          <w:rtl/>
        </w:rPr>
        <w:t>,</w:t>
      </w:r>
      <w:r w:rsidRPr="00C17B7B">
        <w:rPr>
          <w:rFonts w:ascii="Traditional Arabic" w:hAnsi="Traditional Arabic"/>
          <w:rtl/>
        </w:rPr>
        <w:t xml:space="preserve"> لم يثبت على قدم النفي ولا على قدم الإثبات؛ بل له من الكلام في الإثبات نظما ونثرا ما أثبت به كثيرا من الصفات التي أنكرها في هذا المصنف. فهو في هذا الباب مثل كثير من الخائضين في هذا الباب من أنواع الناس يثبتون تارة وينفون أخرى في </w:t>
      </w:r>
      <w:r w:rsidRPr="00C17B7B">
        <w:rPr>
          <w:rFonts w:ascii="Traditional Arabic" w:hAnsi="Traditional Arabic"/>
          <w:rtl/>
        </w:rPr>
        <w:lastRenderedPageBreak/>
        <w:t>مواضع كثيرة من الصفات كما هو حال أبي الوفاء بن عقيل وأبي حامد الغزالي"</w:t>
      </w:r>
      <w:r w:rsidR="007057B7" w:rsidRPr="007057B7">
        <w:rPr>
          <w:rStyle w:val="ae"/>
          <w:rtl/>
        </w:rPr>
        <w:t>(</w:t>
      </w:r>
      <w:r w:rsidR="007057B7">
        <w:rPr>
          <w:rStyle w:val="ae"/>
          <w:rtl/>
        </w:rPr>
        <w:footnoteReference w:id="184"/>
      </w:r>
      <w:r w:rsidR="007057B7" w:rsidRPr="007057B7">
        <w:rPr>
          <w:rStyle w:val="ae"/>
          <w:rtl/>
        </w:rPr>
        <w:t>)</w:t>
      </w:r>
      <w:r w:rsidR="007057B7">
        <w:rPr>
          <w:rFonts w:ascii="Traditional Arabic" w:hAnsi="Traditional Arabic" w:hint="cs"/>
          <w:rtl/>
        </w:rPr>
        <w:t>.</w:t>
      </w:r>
    </w:p>
    <w:p w:rsidR="00D11232" w:rsidRPr="00C17B7B" w:rsidRDefault="00D11232" w:rsidP="007057B7">
      <w:pPr>
        <w:spacing w:line="276" w:lineRule="auto"/>
        <w:ind w:firstLine="0"/>
        <w:contextualSpacing/>
        <w:jc w:val="lowKashida"/>
        <w:rPr>
          <w:rFonts w:ascii="Traditional Arabic" w:eastAsia="Calibri" w:hAnsi="Traditional Arabic"/>
          <w:color w:val="auto"/>
          <w:rtl/>
        </w:rPr>
      </w:pPr>
      <w:r w:rsidRPr="00C17B7B">
        <w:rPr>
          <w:rFonts w:ascii="Traditional Arabic" w:eastAsia="Calibri" w:hAnsi="Traditional Arabic" w:hint="cs"/>
          <w:color w:val="auto"/>
          <w:rtl/>
        </w:rPr>
        <w:t>وقال</w:t>
      </w:r>
      <w:r w:rsidRPr="00C17B7B">
        <w:rPr>
          <w:rFonts w:ascii="Traditional Arabic" w:eastAsia="Calibri" w:hAnsi="Traditional Arabic"/>
          <w:color w:val="auto"/>
          <w:rtl/>
        </w:rPr>
        <w:t xml:space="preserve"> ابن رجب الحنبلي في ابن الجوزي: </w:t>
      </w:r>
      <w:r w:rsidR="00027582">
        <w:rPr>
          <w:rFonts w:ascii="Traditional Arabic" w:eastAsia="Calibri" w:hAnsi="Traditional Arabic" w:hint="cs"/>
          <w:color w:val="auto"/>
          <w:rtl/>
        </w:rPr>
        <w:t>"</w:t>
      </w:r>
      <w:r w:rsidRPr="00C17B7B">
        <w:rPr>
          <w:rFonts w:ascii="Traditional Arabic" w:eastAsia="Calibri" w:hAnsi="Traditional Arabic"/>
          <w:color w:val="auto"/>
          <w:rtl/>
        </w:rPr>
        <w:t>نقم عليه جماعة من مشايخ أصحابنا وأئمتهم ميله إلى التأويل في بعض كلامه، واشتد نكيرهم عليه في ذلك ولا ريب أن كلامه في ذلك مضطرب مختلف وهو وإن كان مطلعا على الأحاديث والآثار فلم يكن يحل شبه المتكلمين وبيان فسادها، وكان معظما لأبي الوفاء بن عقيل متابعا لأكثر ما يجده من كلامه، وإن كان قد رد عليه في بعض المسائل وكان ابن عقيل بارعا في الكلام، ولم يكن تام الخبرة بالحديث والآثار، فلهذا يضطرب في هذا الباب وتتلون فيه آثاره وأبو الفرج تابع له في ه</w:t>
      </w:r>
      <w:r w:rsidR="007057B7">
        <w:rPr>
          <w:rFonts w:ascii="Traditional Arabic" w:eastAsia="Calibri" w:hAnsi="Traditional Arabic"/>
          <w:color w:val="auto"/>
          <w:rtl/>
        </w:rPr>
        <w:t>ذا التلون</w:t>
      </w:r>
      <w:r w:rsidRPr="00C17B7B">
        <w:rPr>
          <w:rFonts w:ascii="Traditional Arabic" w:eastAsia="Calibri" w:hAnsi="Traditional Arabic"/>
          <w:color w:val="auto"/>
          <w:rtl/>
        </w:rPr>
        <w:t>"</w:t>
      </w:r>
      <w:r w:rsidR="007057B7" w:rsidRPr="007057B7">
        <w:rPr>
          <w:rStyle w:val="ae"/>
          <w:rFonts w:eastAsia="Calibri"/>
          <w:rtl/>
        </w:rPr>
        <w:t>(</w:t>
      </w:r>
      <w:r w:rsidR="007057B7">
        <w:rPr>
          <w:rStyle w:val="ae"/>
          <w:rFonts w:eastAsia="Calibri"/>
          <w:rtl/>
        </w:rPr>
        <w:footnoteReference w:id="185"/>
      </w:r>
      <w:r w:rsidR="007057B7" w:rsidRPr="007057B7">
        <w:rPr>
          <w:rStyle w:val="ae"/>
          <w:rFonts w:eastAsia="Calibri"/>
          <w:rtl/>
        </w:rPr>
        <w:t>)</w:t>
      </w:r>
      <w:r w:rsidR="007057B7">
        <w:rPr>
          <w:rFonts w:ascii="Traditional Arabic" w:eastAsia="Calibri" w:hAnsi="Traditional Arabic" w:hint="cs"/>
          <w:color w:val="auto"/>
          <w:rtl/>
        </w:rPr>
        <w:t>.</w:t>
      </w:r>
    </w:p>
    <w:p w:rsidR="00D11232" w:rsidRPr="00C17B7B" w:rsidRDefault="00D11232" w:rsidP="00027582">
      <w:pPr>
        <w:spacing w:line="276" w:lineRule="auto"/>
        <w:ind w:firstLine="0"/>
        <w:contextualSpacing/>
        <w:jc w:val="lowKashida"/>
        <w:rPr>
          <w:rFonts w:ascii="Traditional Arabic" w:eastAsia="Calibri" w:hAnsi="Traditional Arabic"/>
          <w:color w:val="auto"/>
          <w:rtl/>
        </w:rPr>
      </w:pPr>
      <w:r w:rsidRPr="00C17B7B">
        <w:rPr>
          <w:rFonts w:ascii="Traditional Arabic" w:eastAsia="Calibri" w:hAnsi="Traditional Arabic"/>
          <w:color w:val="auto"/>
          <w:rtl/>
        </w:rPr>
        <w:t>وقد بعث الإمام أبو الفضل إسحاق بن محمد العلثي رسالة قيمة لابن الجوزي يبين له فيها ما وقع له من أخطاء في باب الصفات وقد أوردها صاحب طبقات الحنابلة كاملة.</w:t>
      </w:r>
      <w:r w:rsidR="00027582">
        <w:rPr>
          <w:rFonts w:ascii="Traditional Arabic" w:eastAsia="Calibri" w:hAnsi="Traditional Arabic" w:hint="cs"/>
          <w:color w:val="auto"/>
          <w:rtl/>
        </w:rPr>
        <w:t xml:space="preserve"> </w:t>
      </w:r>
      <w:r w:rsidR="00027582">
        <w:rPr>
          <w:rFonts w:ascii="Traditional Arabic" w:eastAsia="Calibri" w:hAnsi="Traditional Arabic"/>
          <w:color w:val="auto"/>
          <w:rtl/>
        </w:rPr>
        <w:t>قال الذهبي في السير: "</w:t>
      </w:r>
      <w:r w:rsidRPr="00C17B7B">
        <w:rPr>
          <w:rFonts w:ascii="Traditional Arabic" w:eastAsia="Calibri" w:hAnsi="Traditional Arabic"/>
          <w:color w:val="auto"/>
          <w:rtl/>
        </w:rPr>
        <w:t>رحمه الله وسامحه، فليته لم يخض في التأويل"</w:t>
      </w:r>
      <w:r w:rsidR="007057B7" w:rsidRPr="007057B7">
        <w:rPr>
          <w:rStyle w:val="ae"/>
          <w:rFonts w:eastAsia="Calibri"/>
          <w:rtl/>
        </w:rPr>
        <w:t>(</w:t>
      </w:r>
      <w:r w:rsidR="007057B7">
        <w:rPr>
          <w:rStyle w:val="ae"/>
          <w:rFonts w:eastAsia="Calibri"/>
          <w:rtl/>
        </w:rPr>
        <w:footnoteReference w:id="186"/>
      </w:r>
      <w:r w:rsidR="007057B7" w:rsidRPr="007057B7">
        <w:rPr>
          <w:rStyle w:val="ae"/>
          <w:rFonts w:eastAsia="Calibri"/>
          <w:rtl/>
        </w:rPr>
        <w:t>)</w:t>
      </w:r>
      <w:r w:rsidR="007057B7">
        <w:rPr>
          <w:rFonts w:ascii="Traditional Arabic" w:eastAsia="Calibri" w:hAnsi="Traditional Arabic" w:hint="cs"/>
          <w:color w:val="auto"/>
          <w:rtl/>
        </w:rPr>
        <w:t>.</w:t>
      </w:r>
    </w:p>
    <w:p w:rsidR="00BD5ED5" w:rsidRDefault="00D11232" w:rsidP="00C443D8">
      <w:pPr>
        <w:numPr>
          <w:ilvl w:val="0"/>
          <w:numId w:val="24"/>
        </w:numPr>
        <w:spacing w:after="200" w:line="276" w:lineRule="auto"/>
        <w:ind w:left="0" w:firstLine="0"/>
        <w:contextualSpacing/>
        <w:jc w:val="lowKashida"/>
        <w:rPr>
          <w:rFonts w:ascii="Traditional Arabic" w:hAnsi="Traditional Arabic"/>
        </w:rPr>
      </w:pPr>
      <w:r w:rsidRPr="00BD5ED5">
        <w:rPr>
          <w:rFonts w:ascii="Traditional Arabic" w:hAnsi="Traditional Arabic"/>
          <w:rtl/>
        </w:rPr>
        <w:t>إيراده للإسرائيليات دون تعقيب أو بيان ل</w:t>
      </w:r>
      <w:r w:rsidR="00BD5ED5">
        <w:rPr>
          <w:rFonts w:ascii="Traditional Arabic" w:hAnsi="Traditional Arabic"/>
          <w:rtl/>
        </w:rPr>
        <w:t>مدى صحتها، وذكره لروايات غريبة</w:t>
      </w:r>
      <w:r w:rsidR="00BD5ED5">
        <w:rPr>
          <w:rFonts w:ascii="Traditional Arabic" w:hAnsi="Traditional Arabic" w:hint="cs"/>
          <w:rtl/>
        </w:rPr>
        <w:t>.</w:t>
      </w:r>
    </w:p>
    <w:p w:rsidR="00D11232" w:rsidRPr="00BD5ED5" w:rsidRDefault="00D11232" w:rsidP="00C443D8">
      <w:pPr>
        <w:numPr>
          <w:ilvl w:val="0"/>
          <w:numId w:val="24"/>
        </w:numPr>
        <w:spacing w:after="200" w:line="276" w:lineRule="auto"/>
        <w:ind w:left="0" w:firstLine="0"/>
        <w:contextualSpacing/>
        <w:jc w:val="lowKashida"/>
        <w:rPr>
          <w:rFonts w:ascii="Traditional Arabic" w:hAnsi="Traditional Arabic"/>
        </w:rPr>
      </w:pPr>
      <w:r w:rsidRPr="00BD5ED5">
        <w:rPr>
          <w:rFonts w:ascii="Traditional Arabic" w:hAnsi="Traditional Arabic"/>
          <w:rtl/>
        </w:rPr>
        <w:t>الجمع بين عدة أقوال لعدة مفسرين في قول واحد، ويلزم منه ذكره نقله لأقوالهم من المعنى دون اللفظ</w:t>
      </w:r>
      <w:r w:rsidR="00BD5ED5" w:rsidRPr="00BD5ED5">
        <w:rPr>
          <w:rFonts w:ascii="Traditional Arabic" w:hAnsi="Traditional Arabic" w:hint="cs"/>
          <w:rtl/>
        </w:rPr>
        <w:t>, وهذا من أعظم مزياه</w:t>
      </w:r>
      <w:r w:rsidRPr="00BD5ED5">
        <w:rPr>
          <w:rFonts w:ascii="Traditional Arabic" w:hAnsi="Traditional Arabic"/>
          <w:rtl/>
        </w:rPr>
        <w:t>.</w:t>
      </w:r>
    </w:p>
    <w:p w:rsidR="00D11232" w:rsidRPr="00C17B7B" w:rsidRDefault="00D11232" w:rsidP="00C443D8">
      <w:pPr>
        <w:numPr>
          <w:ilvl w:val="0"/>
          <w:numId w:val="24"/>
        </w:numPr>
        <w:spacing w:after="200" w:line="276" w:lineRule="auto"/>
        <w:ind w:left="0" w:firstLine="0"/>
        <w:contextualSpacing/>
        <w:jc w:val="lowKashida"/>
        <w:rPr>
          <w:rFonts w:ascii="Traditional Arabic" w:hAnsi="Traditional Arabic"/>
        </w:rPr>
      </w:pPr>
      <w:r w:rsidRPr="00C17B7B">
        <w:rPr>
          <w:rFonts w:ascii="Traditional Arabic" w:hAnsi="Traditional Arabic"/>
          <w:rtl/>
        </w:rPr>
        <w:t>نقله لبعض الأحاديث بالمعنى، دون التقيد والتثبت من نص الحديث.</w:t>
      </w:r>
    </w:p>
    <w:p w:rsidR="00D11232" w:rsidRPr="00C17B7B" w:rsidRDefault="007057B7" w:rsidP="00BD5ED5">
      <w:pPr>
        <w:numPr>
          <w:ilvl w:val="0"/>
          <w:numId w:val="24"/>
        </w:numPr>
        <w:spacing w:after="200" w:line="276" w:lineRule="auto"/>
        <w:ind w:left="0" w:firstLine="0"/>
        <w:contextualSpacing/>
        <w:jc w:val="lowKashida"/>
        <w:rPr>
          <w:rFonts w:ascii="Traditional Arabic" w:hAnsi="Traditional Arabic"/>
        </w:rPr>
      </w:pPr>
      <w:r>
        <w:rPr>
          <w:rFonts w:ascii="Traditional Arabic" w:hAnsi="Traditional Arabic"/>
          <w:rtl/>
        </w:rPr>
        <w:t>ذكره لبعض الأحاديث دون ذكر الر</w:t>
      </w:r>
      <w:r w:rsidR="00D11232" w:rsidRPr="00C17B7B">
        <w:rPr>
          <w:rFonts w:ascii="Traditional Arabic" w:hAnsi="Traditional Arabic"/>
          <w:rtl/>
        </w:rPr>
        <w:t>ا</w:t>
      </w:r>
      <w:r>
        <w:rPr>
          <w:rFonts w:ascii="Traditional Arabic" w:hAnsi="Traditional Arabic" w:hint="cs"/>
          <w:rtl/>
        </w:rPr>
        <w:t>و</w:t>
      </w:r>
      <w:r w:rsidR="00D11232" w:rsidRPr="00C17B7B">
        <w:rPr>
          <w:rFonts w:ascii="Traditional Arabic" w:hAnsi="Traditional Arabic"/>
          <w:rtl/>
        </w:rPr>
        <w:t>ي</w:t>
      </w:r>
      <w:r w:rsidR="00BD5ED5">
        <w:rPr>
          <w:rFonts w:ascii="Traditional Arabic" w:hAnsi="Traditional Arabic" w:hint="cs"/>
          <w:rtl/>
        </w:rPr>
        <w:t>.</w:t>
      </w:r>
    </w:p>
    <w:p w:rsidR="00D11232" w:rsidRPr="00C17B7B" w:rsidRDefault="00D11232" w:rsidP="00C443D8">
      <w:pPr>
        <w:numPr>
          <w:ilvl w:val="0"/>
          <w:numId w:val="24"/>
        </w:numPr>
        <w:spacing w:after="200" w:line="276" w:lineRule="auto"/>
        <w:ind w:left="0" w:firstLine="0"/>
        <w:contextualSpacing/>
        <w:jc w:val="lowKashida"/>
        <w:rPr>
          <w:rFonts w:ascii="Traditional Arabic" w:hAnsi="Traditional Arabic"/>
        </w:rPr>
      </w:pPr>
      <w:r w:rsidRPr="00C17B7B">
        <w:rPr>
          <w:rFonts w:ascii="Traditional Arabic" w:hAnsi="Traditional Arabic"/>
          <w:rtl/>
        </w:rPr>
        <w:t>إيراده لبعض أسباب النزول الضعيفة، فلم يتحرى الصحيح منها.</w:t>
      </w:r>
    </w:p>
    <w:p w:rsidR="00BD5ED5" w:rsidRDefault="00BD5ED5" w:rsidP="00BD5ED5">
      <w:pPr>
        <w:numPr>
          <w:ilvl w:val="0"/>
          <w:numId w:val="24"/>
        </w:numPr>
        <w:spacing w:after="200" w:line="276" w:lineRule="auto"/>
        <w:ind w:left="0" w:firstLine="0"/>
        <w:contextualSpacing/>
        <w:jc w:val="lowKashida"/>
        <w:rPr>
          <w:rFonts w:ascii="Traditional Arabic" w:hAnsi="Traditional Arabic"/>
        </w:rPr>
      </w:pPr>
      <w:r>
        <w:rPr>
          <w:rFonts w:ascii="Traditional Arabic" w:hAnsi="Traditional Arabic" w:hint="cs"/>
          <w:rtl/>
        </w:rPr>
        <w:t>أحيانا</w:t>
      </w:r>
      <w:r w:rsidR="00D11232" w:rsidRPr="00C17B7B">
        <w:rPr>
          <w:rFonts w:ascii="Traditional Arabic" w:hAnsi="Traditional Arabic" w:hint="cs"/>
          <w:rtl/>
        </w:rPr>
        <w:t xml:space="preserve"> </w:t>
      </w:r>
      <w:r>
        <w:rPr>
          <w:rFonts w:ascii="Traditional Arabic" w:hAnsi="Traditional Arabic" w:hint="cs"/>
          <w:rtl/>
        </w:rPr>
        <w:t>ي</w:t>
      </w:r>
      <w:r w:rsidR="00D11232" w:rsidRPr="00C17B7B">
        <w:rPr>
          <w:rFonts w:ascii="Traditional Arabic" w:hAnsi="Traditional Arabic" w:hint="cs"/>
          <w:rtl/>
        </w:rPr>
        <w:t>نسب أقوالا لأناس ليسوا هم</w:t>
      </w:r>
      <w:r w:rsidR="00F46552">
        <w:rPr>
          <w:rFonts w:ascii="Traditional Arabic" w:hAnsi="Traditional Arabic" w:hint="cs"/>
          <w:rtl/>
        </w:rPr>
        <w:t xml:space="preserve"> </w:t>
      </w:r>
      <w:r>
        <w:rPr>
          <w:rFonts w:ascii="Traditional Arabic" w:hAnsi="Traditional Arabic" w:hint="cs"/>
          <w:rtl/>
        </w:rPr>
        <w:t>أصحابها.</w:t>
      </w:r>
    </w:p>
    <w:p w:rsidR="002B6137" w:rsidRDefault="002B6137" w:rsidP="00BD5ED5">
      <w:pPr>
        <w:spacing w:after="200" w:line="276" w:lineRule="auto"/>
        <w:ind w:firstLine="0"/>
        <w:contextualSpacing/>
        <w:jc w:val="lowKashida"/>
        <w:rPr>
          <w:rFonts w:ascii="Traditional Arabic" w:hAnsi="Traditional Arabic"/>
          <w:rtl/>
        </w:rPr>
      </w:pPr>
    </w:p>
    <w:p w:rsidR="00D11232" w:rsidRPr="00C17B7B" w:rsidRDefault="00D11232" w:rsidP="00BD5ED5">
      <w:pPr>
        <w:spacing w:after="200" w:line="276" w:lineRule="auto"/>
        <w:ind w:firstLine="0"/>
        <w:contextualSpacing/>
        <w:jc w:val="lowKashida"/>
        <w:rPr>
          <w:rFonts w:ascii="Traditional Arabic" w:hAnsi="Traditional Arabic"/>
        </w:rPr>
      </w:pPr>
      <w:r w:rsidRPr="00C17B7B">
        <w:rPr>
          <w:rFonts w:ascii="Traditional Arabic" w:hAnsi="Traditional Arabic" w:hint="cs"/>
          <w:rtl/>
        </w:rPr>
        <w:lastRenderedPageBreak/>
        <w:t>قال الموفق عبداللطيف</w:t>
      </w:r>
      <w:r w:rsidR="007057B7" w:rsidRPr="007057B7">
        <w:rPr>
          <w:rStyle w:val="ae"/>
          <w:rtl/>
        </w:rPr>
        <w:t>(</w:t>
      </w:r>
      <w:r w:rsidR="007057B7">
        <w:rPr>
          <w:rStyle w:val="ae"/>
          <w:rtl/>
        </w:rPr>
        <w:footnoteReference w:id="187"/>
      </w:r>
      <w:r w:rsidR="007057B7" w:rsidRPr="007057B7">
        <w:rPr>
          <w:rStyle w:val="ae"/>
          <w:rtl/>
        </w:rPr>
        <w:t>)</w:t>
      </w:r>
      <w:r w:rsidR="00027582">
        <w:rPr>
          <w:rFonts w:ascii="Traditional Arabic" w:hAnsi="Traditional Arabic" w:hint="cs"/>
          <w:rtl/>
        </w:rPr>
        <w:t>رحمه الله</w:t>
      </w:r>
      <w:r w:rsidR="00027582">
        <w:rPr>
          <w:rFonts w:ascii="Traditional Arabic" w:hAnsi="Traditional Arabic"/>
          <w:rtl/>
        </w:rPr>
        <w:t xml:space="preserve">: </w:t>
      </w:r>
      <w:r w:rsidR="00027582">
        <w:rPr>
          <w:rFonts w:ascii="Traditional Arabic" w:hAnsi="Traditional Arabic" w:hint="cs"/>
          <w:rtl/>
        </w:rPr>
        <w:t>"</w:t>
      </w:r>
      <w:r w:rsidR="00027582">
        <w:rPr>
          <w:rFonts w:ascii="Traditional Arabic" w:hAnsi="Traditional Arabic"/>
          <w:rtl/>
        </w:rPr>
        <w:t xml:space="preserve">وكان </w:t>
      </w:r>
      <w:r w:rsidR="00027582">
        <w:rPr>
          <w:rFonts w:ascii="Traditional Arabic" w:hAnsi="Traditional Arabic" w:hint="cs"/>
          <w:rtl/>
        </w:rPr>
        <w:t>-</w:t>
      </w:r>
      <w:r w:rsidRPr="00C17B7B">
        <w:rPr>
          <w:rFonts w:ascii="Traditional Arabic" w:hAnsi="Traditional Arabic" w:hint="cs"/>
          <w:rtl/>
        </w:rPr>
        <w:t xml:space="preserve"> أي ابن الجوزي</w:t>
      </w:r>
      <w:r w:rsidR="00027582">
        <w:rPr>
          <w:rFonts w:ascii="Traditional Arabic" w:hAnsi="Traditional Arabic" w:hint="cs"/>
          <w:rtl/>
        </w:rPr>
        <w:t xml:space="preserve"> </w:t>
      </w:r>
      <w:r w:rsidRPr="00C17B7B">
        <w:rPr>
          <w:rFonts w:ascii="Traditional Arabic" w:hAnsi="Traditional Arabic" w:hint="cs"/>
          <w:rtl/>
        </w:rPr>
        <w:t xml:space="preserve">- </w:t>
      </w:r>
      <w:r w:rsidRPr="00C17B7B">
        <w:rPr>
          <w:rFonts w:ascii="Traditional Arabic" w:hAnsi="Traditional Arabic"/>
          <w:rtl/>
        </w:rPr>
        <w:t>كثير الغلط فيما يصنفه، فإنه كان يفرغ من الكتاب ولا يعتبره</w:t>
      </w:r>
      <w:r w:rsidR="00027582">
        <w:rPr>
          <w:rFonts w:ascii="Traditional Arabic" w:hAnsi="Traditional Arabic" w:hint="cs"/>
          <w:rtl/>
        </w:rPr>
        <w:t>"</w:t>
      </w:r>
      <w:r w:rsidRPr="00C17B7B">
        <w:rPr>
          <w:rFonts w:ascii="Traditional Arabic" w:hAnsi="Traditional Arabic"/>
          <w:rtl/>
        </w:rPr>
        <w:t>.</w:t>
      </w:r>
      <w:r w:rsidRPr="00C17B7B">
        <w:rPr>
          <w:rFonts w:ascii="Traditional Arabic" w:hAnsi="Traditional Arabic" w:hint="cs"/>
          <w:rtl/>
        </w:rPr>
        <w:t xml:space="preserve"> ثم علق على هذا القول الذهبي</w:t>
      </w:r>
      <w:r w:rsidR="00027582">
        <w:rPr>
          <w:rFonts w:ascii="Traditional Arabic" w:hAnsi="Traditional Arabic" w:hint="cs"/>
          <w:rtl/>
        </w:rPr>
        <w:t xml:space="preserve"> رحمه الله</w:t>
      </w:r>
      <w:r w:rsidRPr="00C17B7B">
        <w:rPr>
          <w:rFonts w:ascii="Traditional Arabic" w:hAnsi="Traditional Arabic" w:hint="cs"/>
          <w:rtl/>
        </w:rPr>
        <w:t xml:space="preserve"> فقال</w:t>
      </w:r>
      <w:r w:rsidRPr="00C17B7B">
        <w:rPr>
          <w:rFonts w:ascii="Traditional Arabic" w:hAnsi="Traditional Arabic"/>
          <w:rtl/>
        </w:rPr>
        <w:t xml:space="preserve">: </w:t>
      </w:r>
      <w:r w:rsidR="00027582">
        <w:rPr>
          <w:rFonts w:ascii="Traditional Arabic" w:hAnsi="Traditional Arabic" w:hint="cs"/>
          <w:rtl/>
        </w:rPr>
        <w:t>"</w:t>
      </w:r>
      <w:r w:rsidRPr="00C17B7B">
        <w:rPr>
          <w:rFonts w:ascii="Traditional Arabic" w:hAnsi="Traditional Arabic"/>
          <w:rtl/>
        </w:rPr>
        <w:t>هكذا هو له أوهام وألوان من ترك المراجعة، وأخذ العلم من صحف، وصنف شيئا</w:t>
      </w:r>
      <w:r w:rsidR="00027582">
        <w:rPr>
          <w:rFonts w:ascii="Traditional Arabic" w:hAnsi="Traditional Arabic" w:hint="cs"/>
          <w:rtl/>
        </w:rPr>
        <w:t>ً</w:t>
      </w:r>
      <w:r w:rsidRPr="00C17B7B">
        <w:rPr>
          <w:rFonts w:ascii="Traditional Arabic" w:hAnsi="Traditional Arabic"/>
          <w:rtl/>
        </w:rPr>
        <w:t xml:space="preserve"> لو عاش عمرا</w:t>
      </w:r>
      <w:r w:rsidR="00027582">
        <w:rPr>
          <w:rFonts w:ascii="Traditional Arabic" w:hAnsi="Traditional Arabic" w:hint="cs"/>
          <w:rtl/>
        </w:rPr>
        <w:t>ً</w:t>
      </w:r>
      <w:r w:rsidRPr="00C17B7B">
        <w:rPr>
          <w:rFonts w:ascii="Traditional Arabic" w:hAnsi="Traditional Arabic"/>
          <w:rtl/>
        </w:rPr>
        <w:t xml:space="preserve"> ثانيا</w:t>
      </w:r>
      <w:r w:rsidR="00027582">
        <w:rPr>
          <w:rFonts w:ascii="Traditional Arabic" w:hAnsi="Traditional Arabic" w:hint="cs"/>
          <w:rtl/>
        </w:rPr>
        <w:t>ً</w:t>
      </w:r>
      <w:r w:rsidRPr="00C17B7B">
        <w:rPr>
          <w:rFonts w:ascii="Traditional Arabic" w:hAnsi="Traditional Arabic"/>
          <w:rtl/>
        </w:rPr>
        <w:t xml:space="preserve"> لما لحق أن يحرره ويتقنه</w:t>
      </w:r>
      <w:r w:rsidR="00027582">
        <w:rPr>
          <w:rFonts w:ascii="Traditional Arabic" w:hAnsi="Traditional Arabic" w:hint="cs"/>
          <w:rtl/>
        </w:rPr>
        <w:t>"</w:t>
      </w:r>
      <w:r w:rsidR="00194CA8" w:rsidRPr="00194CA8">
        <w:rPr>
          <w:rStyle w:val="ae"/>
          <w:rtl/>
        </w:rPr>
        <w:t>(</w:t>
      </w:r>
      <w:r w:rsidR="00194CA8">
        <w:rPr>
          <w:rStyle w:val="ae"/>
          <w:rtl/>
        </w:rPr>
        <w:footnoteReference w:id="188"/>
      </w:r>
      <w:r w:rsidR="00194CA8" w:rsidRPr="00194CA8">
        <w:rPr>
          <w:rStyle w:val="ae"/>
          <w:rtl/>
        </w:rPr>
        <w:t>)</w:t>
      </w:r>
      <w:r w:rsidRPr="00C17B7B">
        <w:rPr>
          <w:rFonts w:ascii="Traditional Arabic" w:hAnsi="Traditional Arabic"/>
          <w:rtl/>
        </w:rPr>
        <w:t>.</w:t>
      </w:r>
    </w:p>
    <w:p w:rsidR="00D11232" w:rsidRPr="00C17B7B" w:rsidRDefault="00D11232" w:rsidP="00D11232">
      <w:pPr>
        <w:spacing w:line="276" w:lineRule="auto"/>
        <w:contextualSpacing/>
        <w:jc w:val="center"/>
        <w:rPr>
          <w:rFonts w:ascii="Traditional Arabic" w:eastAsia="Calibri" w:hAnsi="Traditional Arabic"/>
          <w:color w:val="auto"/>
          <w:szCs w:val="32"/>
        </w:rPr>
      </w:pPr>
      <w:r w:rsidRPr="00C17B7B">
        <w:rPr>
          <w:rFonts w:ascii="Traditional Arabic" w:eastAsia="Calibri" w:hAnsi="Traditional Arabic" w:cs="DecoType Naskh" w:hint="cs"/>
          <w:color w:val="auto"/>
          <w:szCs w:val="32"/>
          <w:rtl/>
        </w:rPr>
        <w:t>***</w:t>
      </w:r>
      <w:r w:rsidRPr="00C17B7B">
        <w:rPr>
          <w:rFonts w:ascii="Traditional Arabic" w:eastAsia="Calibri" w:hAnsi="Traditional Arabic" w:cs="DecoType Naskh" w:hint="cs"/>
          <w:color w:val="auto"/>
          <w:szCs w:val="32"/>
          <w:rtl/>
        </w:rPr>
        <w:tab/>
      </w:r>
      <w:r w:rsidRPr="00C17B7B">
        <w:rPr>
          <w:rFonts w:ascii="Traditional Arabic" w:eastAsia="Calibri" w:hAnsi="Traditional Arabic" w:cs="DecoType Naskh" w:hint="cs"/>
          <w:color w:val="auto"/>
          <w:szCs w:val="32"/>
          <w:rtl/>
        </w:rPr>
        <w:tab/>
        <w:t>***</w:t>
      </w:r>
      <w:r w:rsidRPr="00C17B7B">
        <w:rPr>
          <w:rFonts w:ascii="Traditional Arabic" w:eastAsia="Calibri" w:hAnsi="Traditional Arabic" w:cs="DecoType Naskh" w:hint="cs"/>
          <w:color w:val="auto"/>
          <w:szCs w:val="32"/>
          <w:rtl/>
        </w:rPr>
        <w:tab/>
      </w:r>
      <w:r w:rsidRPr="00C17B7B">
        <w:rPr>
          <w:rFonts w:ascii="Traditional Arabic" w:eastAsia="Calibri" w:hAnsi="Traditional Arabic" w:cs="DecoType Naskh" w:hint="cs"/>
          <w:color w:val="auto"/>
          <w:szCs w:val="32"/>
          <w:rtl/>
        </w:rPr>
        <w:tab/>
        <w:t>***</w:t>
      </w:r>
    </w:p>
    <w:p w:rsidR="00D11232" w:rsidRPr="00C17B7B" w:rsidRDefault="00D11232" w:rsidP="00D11232">
      <w:pPr>
        <w:bidi w:val="0"/>
        <w:contextualSpacing/>
        <w:rPr>
          <w:rFonts w:ascii="Traditional Arabic" w:eastAsia="Calibri" w:hAnsi="Traditional Arabic"/>
          <w:b/>
          <w:bCs/>
          <w:color w:val="auto"/>
          <w:szCs w:val="32"/>
        </w:rPr>
      </w:pPr>
      <w:r w:rsidRPr="00C17B7B">
        <w:rPr>
          <w:rFonts w:ascii="Traditional Arabic" w:eastAsia="Calibri" w:hAnsi="Traditional Arabic"/>
          <w:b/>
          <w:bCs/>
          <w:color w:val="auto"/>
          <w:szCs w:val="32"/>
          <w:rtl/>
        </w:rPr>
        <w:br w:type="page"/>
      </w:r>
    </w:p>
    <w:p w:rsidR="00D11232" w:rsidRPr="00C17B7B" w:rsidRDefault="00D11232" w:rsidP="00D24121">
      <w:pPr>
        <w:keepNext/>
        <w:ind w:firstLine="0"/>
        <w:contextualSpacing/>
        <w:outlineLvl w:val="2"/>
        <w:rPr>
          <w:rFonts w:ascii="Arial" w:hAnsi="Arial"/>
          <w:b/>
          <w:bCs/>
          <w:noProof/>
          <w:sz w:val="26"/>
          <w:szCs w:val="40"/>
          <w:rtl/>
        </w:rPr>
      </w:pPr>
      <w:r w:rsidRPr="00C17B7B">
        <w:rPr>
          <w:rFonts w:ascii="Arial" w:hAnsi="Arial" w:hint="cs"/>
          <w:b/>
          <w:bCs/>
          <w:noProof/>
          <w:sz w:val="26"/>
          <w:szCs w:val="40"/>
          <w:rtl/>
        </w:rPr>
        <w:lastRenderedPageBreak/>
        <w:t>المبحث الخامس: وصف النسخ الخطية المعتمد للكتاب، ونماذج منها.</w:t>
      </w:r>
    </w:p>
    <w:p w:rsidR="00D11232" w:rsidRPr="00C17B7B" w:rsidRDefault="00D11232" w:rsidP="00D24121">
      <w:pPr>
        <w:spacing w:line="276" w:lineRule="auto"/>
        <w:ind w:firstLine="0"/>
        <w:contextualSpacing/>
        <w:rPr>
          <w:rFonts w:ascii="Traditional Arabic" w:eastAsia="Calibri" w:hAnsi="Traditional Arabic"/>
          <w:color w:val="auto"/>
          <w:rtl/>
        </w:rPr>
      </w:pPr>
      <w:r w:rsidRPr="00C17B7B">
        <w:rPr>
          <w:rFonts w:ascii="Traditional Arabic" w:eastAsia="Calibri" w:hAnsi="Traditional Arabic" w:hint="cs"/>
          <w:color w:val="auto"/>
          <w:rtl/>
        </w:rPr>
        <w:t xml:space="preserve">اعتمدت في تحقيق الكتاب </w:t>
      </w:r>
      <w:r w:rsidRPr="00C17B7B">
        <w:rPr>
          <w:rFonts w:ascii="Traditional Arabic" w:eastAsia="Calibri" w:hAnsi="Traditional Arabic"/>
          <w:color w:val="auto"/>
          <w:rtl/>
        </w:rPr>
        <w:t>–</w:t>
      </w:r>
      <w:r w:rsidRPr="00C17B7B">
        <w:rPr>
          <w:rFonts w:ascii="Traditional Arabic" w:eastAsia="Calibri" w:hAnsi="Traditional Arabic" w:hint="cs"/>
          <w:color w:val="auto"/>
          <w:rtl/>
        </w:rPr>
        <w:t xml:space="preserve">الجزء المقرر- على </w:t>
      </w:r>
      <w:r w:rsidR="00D24121">
        <w:rPr>
          <w:rFonts w:ascii="Traditional Arabic" w:eastAsia="Calibri" w:hAnsi="Traditional Arabic" w:hint="cs"/>
          <w:color w:val="auto"/>
          <w:rtl/>
        </w:rPr>
        <w:t>نسختين خطيتين.</w:t>
      </w:r>
      <w:r w:rsidR="00BE09AC">
        <w:rPr>
          <w:rFonts w:ascii="Traditional Arabic" w:eastAsia="Calibri" w:hAnsi="Traditional Arabic" w:hint="cs"/>
          <w:color w:val="auto"/>
          <w:rtl/>
        </w:rPr>
        <w:t xml:space="preserve"> وهي</w:t>
      </w:r>
      <w:r w:rsidR="00194CA8">
        <w:rPr>
          <w:rFonts w:ascii="Traditional Arabic" w:eastAsia="Calibri" w:hAnsi="Traditional Arabic" w:hint="cs"/>
          <w:color w:val="auto"/>
          <w:rtl/>
        </w:rPr>
        <w:t xml:space="preserve"> </w:t>
      </w:r>
      <w:r w:rsidRPr="00C17B7B">
        <w:rPr>
          <w:rFonts w:ascii="Traditional Arabic" w:eastAsia="Calibri" w:hAnsi="Traditional Arabic" w:hint="cs"/>
          <w:color w:val="auto"/>
          <w:rtl/>
        </w:rPr>
        <w:t>كما يلي:</w:t>
      </w:r>
    </w:p>
    <w:p w:rsidR="00D11232" w:rsidRPr="00E26E8C" w:rsidRDefault="00D11232" w:rsidP="008D452A">
      <w:pPr>
        <w:pStyle w:val="afd"/>
        <w:numPr>
          <w:ilvl w:val="0"/>
          <w:numId w:val="44"/>
        </w:numPr>
        <w:spacing w:after="200" w:line="276" w:lineRule="auto"/>
        <w:rPr>
          <w:rFonts w:ascii="Traditional Arabic" w:eastAsia="Calibri" w:hAnsi="Traditional Arabic" w:cs="Traditional Arabic"/>
          <w:sz w:val="36"/>
          <w:szCs w:val="36"/>
        </w:rPr>
      </w:pPr>
      <w:r w:rsidRPr="00E26E8C">
        <w:rPr>
          <w:rFonts w:ascii="Traditional Arabic" w:eastAsia="Calibri" w:hAnsi="Traditional Arabic" w:cs="Traditional Arabic"/>
          <w:sz w:val="36"/>
          <w:szCs w:val="36"/>
          <w:rtl/>
        </w:rPr>
        <w:t>نسخة الخزانة العام</w:t>
      </w:r>
      <w:r w:rsidR="0000591D" w:rsidRPr="00E26E8C">
        <w:rPr>
          <w:rFonts w:ascii="Traditional Arabic" w:eastAsia="Calibri" w:hAnsi="Traditional Arabic" w:cs="Traditional Arabic"/>
          <w:sz w:val="36"/>
          <w:szCs w:val="36"/>
          <w:rtl/>
        </w:rPr>
        <w:t>ة بالرباط (</w:t>
      </w:r>
      <w:r w:rsidR="008D452A">
        <w:rPr>
          <w:rFonts w:ascii="Traditional Arabic" w:eastAsia="Calibri" w:hAnsi="Traditional Arabic" w:cs="Traditional Arabic" w:hint="cs"/>
          <w:sz w:val="36"/>
          <w:szCs w:val="36"/>
          <w:rtl/>
        </w:rPr>
        <w:t>ج</w:t>
      </w:r>
      <w:r w:rsidR="0000591D" w:rsidRPr="00E26E8C">
        <w:rPr>
          <w:rFonts w:ascii="Traditional Arabic" w:eastAsia="Calibri" w:hAnsi="Traditional Arabic" w:cs="Traditional Arabic"/>
          <w:sz w:val="36"/>
          <w:szCs w:val="36"/>
          <w:rtl/>
        </w:rPr>
        <w:t>/183) ورمزت لها بـ(م</w:t>
      </w:r>
      <w:r w:rsidRPr="00E26E8C">
        <w:rPr>
          <w:rFonts w:ascii="Traditional Arabic" w:eastAsia="Calibri" w:hAnsi="Traditional Arabic" w:cs="Traditional Arabic"/>
          <w:sz w:val="36"/>
          <w:szCs w:val="36"/>
          <w:rtl/>
        </w:rPr>
        <w:t>) وقد جعلتها أصلا</w:t>
      </w:r>
      <w:r w:rsidR="00E26E8C">
        <w:rPr>
          <w:rFonts w:ascii="Traditional Arabic" w:eastAsia="Calibri" w:hAnsi="Traditional Arabic" w:cs="Traditional Arabic" w:hint="cs"/>
          <w:sz w:val="36"/>
          <w:szCs w:val="36"/>
          <w:rtl/>
        </w:rPr>
        <w:t>ً</w:t>
      </w:r>
      <w:r w:rsidRPr="00E26E8C">
        <w:rPr>
          <w:rFonts w:ascii="Traditional Arabic" w:eastAsia="Calibri" w:hAnsi="Traditional Arabic" w:cs="Traditional Arabic"/>
          <w:sz w:val="36"/>
          <w:szCs w:val="36"/>
          <w:rtl/>
        </w:rPr>
        <w:t>.</w:t>
      </w:r>
    </w:p>
    <w:p w:rsidR="00194CA8" w:rsidRPr="00E26E8C" w:rsidRDefault="00D11232" w:rsidP="00E26E8C">
      <w:pPr>
        <w:pStyle w:val="afd"/>
        <w:numPr>
          <w:ilvl w:val="0"/>
          <w:numId w:val="44"/>
        </w:numPr>
        <w:spacing w:after="200" w:line="276" w:lineRule="auto"/>
        <w:rPr>
          <w:rFonts w:ascii="Traditional Arabic" w:eastAsia="Calibri" w:hAnsi="Traditional Arabic" w:cs="Traditional Arabic"/>
          <w:sz w:val="36"/>
          <w:szCs w:val="36"/>
          <w:rtl/>
        </w:rPr>
      </w:pPr>
      <w:r w:rsidRPr="00E26E8C">
        <w:rPr>
          <w:rFonts w:ascii="Traditional Arabic" w:eastAsia="Calibri" w:hAnsi="Traditional Arabic" w:cs="Traditional Arabic"/>
          <w:sz w:val="36"/>
          <w:szCs w:val="36"/>
          <w:rtl/>
        </w:rPr>
        <w:t>نسخة رستم ب</w:t>
      </w:r>
      <w:r w:rsidR="0000591D" w:rsidRPr="00E26E8C">
        <w:rPr>
          <w:rFonts w:ascii="Traditional Arabic" w:eastAsia="Calibri" w:hAnsi="Traditional Arabic" w:cs="Traditional Arabic"/>
          <w:sz w:val="36"/>
          <w:szCs w:val="36"/>
          <w:rtl/>
        </w:rPr>
        <w:t>اشا</w:t>
      </w:r>
      <w:r w:rsidR="00BE09AC" w:rsidRPr="00E26E8C">
        <w:rPr>
          <w:rFonts w:ascii="Traditional Arabic" w:eastAsia="Calibri" w:hAnsi="Traditional Arabic" w:cs="Traditional Arabic"/>
          <w:sz w:val="36"/>
          <w:szCs w:val="36"/>
          <w:rtl/>
        </w:rPr>
        <w:t xml:space="preserve"> ونجيب باشا</w:t>
      </w:r>
      <w:r w:rsidR="0000591D" w:rsidRPr="00E26E8C">
        <w:rPr>
          <w:rFonts w:ascii="Traditional Arabic" w:eastAsia="Calibri" w:hAnsi="Traditional Arabic" w:cs="Traditional Arabic"/>
          <w:sz w:val="36"/>
          <w:szCs w:val="36"/>
          <w:rtl/>
        </w:rPr>
        <w:t xml:space="preserve"> في تركيا (40) ورمزت لها بـ(ك</w:t>
      </w:r>
      <w:r w:rsidRPr="00E26E8C">
        <w:rPr>
          <w:rFonts w:ascii="Traditional Arabic" w:eastAsia="Calibri" w:hAnsi="Traditional Arabic" w:cs="Traditional Arabic"/>
          <w:sz w:val="36"/>
          <w:szCs w:val="36"/>
          <w:rtl/>
        </w:rPr>
        <w:t>)</w:t>
      </w:r>
      <w:r w:rsidR="00D24121" w:rsidRPr="00E26E8C">
        <w:rPr>
          <w:rFonts w:ascii="Traditional Arabic" w:eastAsia="Calibri" w:hAnsi="Traditional Arabic" w:cs="Traditional Arabic"/>
          <w:sz w:val="36"/>
          <w:szCs w:val="36"/>
          <w:rtl/>
        </w:rPr>
        <w:t>.</w:t>
      </w:r>
    </w:p>
    <w:p w:rsidR="00D11232" w:rsidRPr="00C17B7B" w:rsidRDefault="00D11232" w:rsidP="00194CA8">
      <w:pPr>
        <w:spacing w:line="276" w:lineRule="auto"/>
        <w:ind w:firstLine="0"/>
        <w:contextualSpacing/>
        <w:jc w:val="lowKashida"/>
        <w:rPr>
          <w:rFonts w:ascii="Traditional Arabic" w:eastAsia="Calibri" w:hAnsi="Traditional Arabic"/>
          <w:b/>
          <w:bCs/>
          <w:color w:val="auto"/>
        </w:rPr>
      </w:pPr>
      <w:r w:rsidRPr="00C17B7B">
        <w:rPr>
          <w:rFonts w:ascii="Traditional Arabic" w:eastAsia="Calibri" w:hAnsi="Traditional Arabic" w:hint="cs"/>
          <w:b/>
          <w:bCs/>
          <w:color w:val="auto"/>
          <w:rtl/>
        </w:rPr>
        <w:t xml:space="preserve">أولا: وصف </w:t>
      </w:r>
      <w:r w:rsidRPr="00C17B7B">
        <w:rPr>
          <w:rFonts w:ascii="Traditional Arabic" w:eastAsia="Calibri" w:hAnsi="Traditional Arabic"/>
          <w:b/>
          <w:bCs/>
          <w:color w:val="auto"/>
          <w:rtl/>
        </w:rPr>
        <w:t>النسخ المعتمدة في التحقيق:</w:t>
      </w:r>
    </w:p>
    <w:p w:rsidR="00D11232" w:rsidRPr="00C17B7B" w:rsidRDefault="00D11232" w:rsidP="00C443D8">
      <w:pPr>
        <w:numPr>
          <w:ilvl w:val="0"/>
          <w:numId w:val="26"/>
        </w:numPr>
        <w:spacing w:after="200" w:line="276" w:lineRule="auto"/>
        <w:ind w:left="0" w:firstLine="0"/>
        <w:contextualSpacing/>
        <w:jc w:val="lowKashida"/>
        <w:rPr>
          <w:rFonts w:ascii="Traditional Arabic" w:eastAsia="Calibri" w:hAnsi="Traditional Arabic"/>
          <w:b/>
          <w:bCs/>
          <w:color w:val="auto"/>
        </w:rPr>
      </w:pPr>
      <w:r w:rsidRPr="00C17B7B">
        <w:rPr>
          <w:rFonts w:ascii="Traditional Arabic" w:hAnsi="Traditional Arabic" w:hint="cs"/>
          <w:rtl/>
        </w:rPr>
        <w:t>مخطوط الخزانة العامة بالرباط.</w:t>
      </w:r>
    </w:p>
    <w:p w:rsidR="00D11232" w:rsidRPr="00B47571" w:rsidRDefault="00D11232" w:rsidP="00B47571">
      <w:pPr>
        <w:spacing w:line="276" w:lineRule="auto"/>
        <w:ind w:firstLine="0"/>
        <w:contextualSpacing/>
        <w:jc w:val="lowKashida"/>
        <w:rPr>
          <w:rFonts w:ascii="Traditional Arabic" w:eastAsia="Calibri" w:hAnsi="Traditional Arabic"/>
          <w:color w:val="auto"/>
        </w:rPr>
      </w:pPr>
      <w:r w:rsidRPr="00C17B7B">
        <w:rPr>
          <w:rFonts w:ascii="Traditional Arabic" w:hAnsi="Traditional Arabic" w:hint="cs"/>
          <w:rtl/>
        </w:rPr>
        <w:t xml:space="preserve">مخطوط الخزانة العامة بالرباط التابعة لوزارة الأوقاف هناك، وقد ختمت النسخة بخاتم الخزانة، ونصه: مخطوطات الأوقاف-الخزانة العامة بالرباط، وفي وسط الخاتم كتب رقم النسخة المكتبي (183) وتحته حرف أبجدي يشير إلى رقم الجزء، وإلى جانبه خاتم آخر باسم مكتبة الزاوية الناصرية </w:t>
      </w:r>
      <w:r w:rsidRPr="00C17B7B">
        <w:rPr>
          <w:rFonts w:ascii="Traditional Arabic" w:hAnsi="Traditional Arabic"/>
          <w:rtl/>
        </w:rPr>
        <w:t>–</w:t>
      </w:r>
      <w:r w:rsidR="00E26E8C">
        <w:rPr>
          <w:rFonts w:ascii="Traditional Arabic" w:hAnsi="Traditional Arabic" w:hint="cs"/>
          <w:rtl/>
        </w:rPr>
        <w:t xml:space="preserve"> تمكروت,</w:t>
      </w:r>
      <w:r w:rsidRPr="00C17B7B">
        <w:rPr>
          <w:rFonts w:ascii="Traditional Arabic" w:hAnsi="Traditional Arabic" w:hint="cs"/>
          <w:rtl/>
        </w:rPr>
        <w:t xml:space="preserve"> </w:t>
      </w:r>
      <w:r w:rsidR="00B47571">
        <w:rPr>
          <w:rFonts w:ascii="Traditional Arabic" w:eastAsia="Calibri" w:hAnsi="Traditional Arabic" w:hint="cs"/>
          <w:color w:val="auto"/>
          <w:rtl/>
        </w:rPr>
        <w:t xml:space="preserve">وهي أربعة أجزاء, وقد كتب على الجزء الثاني منها تاريخ النسخ, وهو يوم السبت ثالث رمضان من سنة ست وتسعين وخمسمئة, </w:t>
      </w:r>
      <w:r w:rsidRPr="00C17B7B">
        <w:rPr>
          <w:rFonts w:ascii="Traditional Arabic" w:hAnsi="Traditional Arabic" w:hint="cs"/>
          <w:rtl/>
        </w:rPr>
        <w:t xml:space="preserve">وفي غلاف الجزء الرابع إشارة إلى أن ملك هذه النسخة قد انتقل إلى أحمد بن محمد بن ناصر من شخص آخر قد كتب اسمه تحت عنوان الجزء نفسه وهو: محمد بن محمد بري، وهي نسخة مثبت عليها إجازة بسند إلى المؤلف وذلك في آخر الجزء الثاني، وقياسها (20/13) </w:t>
      </w:r>
    </w:p>
    <w:p w:rsidR="00BE09AC" w:rsidRDefault="00D11232" w:rsidP="00194CA8">
      <w:pPr>
        <w:spacing w:line="276" w:lineRule="auto"/>
        <w:ind w:firstLine="0"/>
        <w:contextualSpacing/>
        <w:jc w:val="lowKashida"/>
        <w:rPr>
          <w:rFonts w:ascii="Traditional Arabic" w:eastAsia="Calibri" w:hAnsi="Traditional Arabic"/>
          <w:color w:val="auto"/>
          <w:rtl/>
        </w:rPr>
      </w:pPr>
      <w:r w:rsidRPr="00C17B7B">
        <w:rPr>
          <w:rFonts w:ascii="Traditional Arabic" w:eastAsia="Calibri" w:hAnsi="Traditional Arabic" w:hint="cs"/>
          <w:color w:val="auto"/>
          <w:rtl/>
        </w:rPr>
        <w:t>هذه النسخة مكتوبة بخط جميل مقروء، غير أنه ناعم دقيق الجسم متقارب الكلمات، ويظهر من التعليق على هامش الصفحة الأخيرة اسم الناسخ، إذ كتب ما نصه: وكتبه لي إبراهيم بن الصارم القواس، أخذ أجرة كاملة.</w:t>
      </w:r>
    </w:p>
    <w:p w:rsidR="00D11232" w:rsidRPr="00C17B7B" w:rsidRDefault="00D11232" w:rsidP="00194CA8">
      <w:pPr>
        <w:spacing w:line="276" w:lineRule="auto"/>
        <w:ind w:firstLine="0"/>
        <w:contextualSpacing/>
        <w:jc w:val="lowKashida"/>
        <w:rPr>
          <w:rFonts w:ascii="Traditional Arabic" w:eastAsia="Calibri" w:hAnsi="Traditional Arabic"/>
          <w:color w:val="auto"/>
          <w:rtl/>
        </w:rPr>
      </w:pPr>
      <w:r w:rsidRPr="00C17B7B">
        <w:rPr>
          <w:rFonts w:ascii="Traditional Arabic" w:eastAsia="Calibri" w:hAnsi="Traditional Arabic" w:hint="cs"/>
          <w:color w:val="auto"/>
          <w:rtl/>
        </w:rPr>
        <w:t>وتمتاز هذه النسخة بما يلي:</w:t>
      </w:r>
    </w:p>
    <w:p w:rsidR="00D11232" w:rsidRPr="00C17B7B" w:rsidRDefault="00D11232" w:rsidP="00C443D8">
      <w:pPr>
        <w:numPr>
          <w:ilvl w:val="0"/>
          <w:numId w:val="17"/>
        </w:numPr>
        <w:spacing w:after="200" w:line="276" w:lineRule="auto"/>
        <w:ind w:left="0" w:firstLine="0"/>
        <w:contextualSpacing/>
        <w:jc w:val="lowKashida"/>
        <w:rPr>
          <w:rFonts w:ascii="Traditional Arabic" w:hAnsi="Traditional Arabic"/>
        </w:rPr>
      </w:pPr>
      <w:r w:rsidRPr="00C17B7B">
        <w:rPr>
          <w:rFonts w:ascii="Traditional Arabic" w:hAnsi="Traditional Arabic"/>
          <w:rtl/>
        </w:rPr>
        <w:t>الوضوح.</w:t>
      </w:r>
    </w:p>
    <w:p w:rsidR="00D11232" w:rsidRPr="00C17B7B" w:rsidRDefault="00D11232" w:rsidP="00C443D8">
      <w:pPr>
        <w:numPr>
          <w:ilvl w:val="0"/>
          <w:numId w:val="17"/>
        </w:numPr>
        <w:spacing w:after="200" w:line="276" w:lineRule="auto"/>
        <w:ind w:left="0" w:firstLine="0"/>
        <w:contextualSpacing/>
        <w:jc w:val="lowKashida"/>
        <w:rPr>
          <w:rFonts w:ascii="Traditional Arabic" w:hAnsi="Traditional Arabic"/>
        </w:rPr>
      </w:pPr>
      <w:r w:rsidRPr="00C17B7B">
        <w:rPr>
          <w:rFonts w:ascii="Traditional Arabic" w:hAnsi="Traditional Arabic" w:hint="cs"/>
          <w:rtl/>
        </w:rPr>
        <w:t>توفرها كاملة.</w:t>
      </w:r>
    </w:p>
    <w:p w:rsidR="00D11232" w:rsidRPr="00C17B7B" w:rsidRDefault="00D11232" w:rsidP="00C443D8">
      <w:pPr>
        <w:numPr>
          <w:ilvl w:val="0"/>
          <w:numId w:val="17"/>
        </w:numPr>
        <w:spacing w:after="200" w:line="276" w:lineRule="auto"/>
        <w:ind w:left="0" w:firstLine="0"/>
        <w:contextualSpacing/>
        <w:jc w:val="lowKashida"/>
        <w:rPr>
          <w:rFonts w:ascii="Traditional Arabic" w:hAnsi="Traditional Arabic"/>
          <w:rtl/>
        </w:rPr>
      </w:pPr>
      <w:r w:rsidRPr="00C17B7B">
        <w:rPr>
          <w:rFonts w:ascii="Traditional Arabic" w:hAnsi="Traditional Arabic"/>
          <w:rtl/>
        </w:rPr>
        <w:t>قلة التصحيف والسقط مقارنة بالنسخ الخطية الأخرى، وغيرها ذلك من المميزات</w:t>
      </w:r>
      <w:r w:rsidRPr="00C17B7B">
        <w:rPr>
          <w:rFonts w:ascii="Traditional Arabic" w:hAnsi="Traditional Arabic" w:hint="cs"/>
          <w:rtl/>
        </w:rPr>
        <w:t>.</w:t>
      </w:r>
    </w:p>
    <w:p w:rsidR="00B47571" w:rsidRPr="00B47571" w:rsidRDefault="00D11232" w:rsidP="00B47571">
      <w:pPr>
        <w:spacing w:after="120"/>
        <w:ind w:firstLine="0"/>
        <w:rPr>
          <w:rFonts w:ascii="Traditional Arabic" w:eastAsia="Calibri" w:hAnsi="Traditional Arabic"/>
          <w:color w:val="auto"/>
          <w:rtl/>
        </w:rPr>
      </w:pPr>
      <w:r w:rsidRPr="00C17B7B">
        <w:rPr>
          <w:rFonts w:ascii="Traditional Arabic" w:eastAsia="Calibri" w:hAnsi="Traditional Arabic" w:hint="cs"/>
          <w:color w:val="auto"/>
          <w:rtl/>
        </w:rPr>
        <w:t xml:space="preserve">وهذه النسخة الأم المعتمدة في التحقيق، وعدد اللوحات المراد تحقيقها من هذه النسخة </w:t>
      </w:r>
      <w:r w:rsidRPr="00C17B7B">
        <w:rPr>
          <w:rFonts w:ascii="Traditional Arabic" w:eastAsia="Calibri" w:hAnsi="Traditional Arabic" w:hint="cs"/>
          <w:color w:val="auto"/>
          <w:rtl/>
        </w:rPr>
        <w:lastRenderedPageBreak/>
        <w:t>(10</w:t>
      </w:r>
      <w:r w:rsidR="00194CA8">
        <w:rPr>
          <w:rFonts w:ascii="Traditional Arabic" w:eastAsia="Calibri" w:hAnsi="Traditional Arabic" w:hint="cs"/>
          <w:color w:val="auto"/>
          <w:rtl/>
        </w:rPr>
        <w:t>3</w:t>
      </w:r>
      <w:r w:rsidRPr="00C17B7B">
        <w:rPr>
          <w:rFonts w:ascii="Traditional Arabic" w:eastAsia="Calibri" w:hAnsi="Traditional Arabic" w:hint="cs"/>
          <w:color w:val="auto"/>
          <w:rtl/>
        </w:rPr>
        <w:t>)، من بداية لوحة رقم (</w:t>
      </w:r>
      <w:r w:rsidR="00194CA8">
        <w:rPr>
          <w:rFonts w:ascii="Traditional Arabic" w:eastAsia="Calibri" w:hAnsi="Traditional Arabic" w:hint="cs"/>
          <w:color w:val="auto"/>
          <w:rtl/>
        </w:rPr>
        <w:t>71</w:t>
      </w:r>
      <w:r w:rsidRPr="00C17B7B">
        <w:rPr>
          <w:rFonts w:ascii="Traditional Arabic" w:eastAsia="Calibri" w:hAnsi="Traditional Arabic" w:hint="cs"/>
          <w:color w:val="auto"/>
          <w:rtl/>
        </w:rPr>
        <w:t>أ) إلى اللوحة رقم (</w:t>
      </w:r>
      <w:r w:rsidR="00194CA8">
        <w:rPr>
          <w:rFonts w:ascii="Traditional Arabic" w:eastAsia="Calibri" w:hAnsi="Traditional Arabic" w:hint="cs"/>
          <w:color w:val="auto"/>
          <w:rtl/>
        </w:rPr>
        <w:t>174</w:t>
      </w:r>
      <w:r w:rsidRPr="00C17B7B">
        <w:rPr>
          <w:rFonts w:ascii="Traditional Arabic" w:eastAsia="Calibri" w:hAnsi="Traditional Arabic" w:hint="cs"/>
          <w:color w:val="auto"/>
          <w:rtl/>
        </w:rPr>
        <w:t>أ)</w:t>
      </w:r>
      <w:r w:rsidR="00B47571">
        <w:rPr>
          <w:rFonts w:ascii="Traditional Arabic" w:eastAsia="Calibri" w:hAnsi="Traditional Arabic" w:hint="cs"/>
          <w:color w:val="auto"/>
          <w:rtl/>
        </w:rPr>
        <w:t xml:space="preserve">, </w:t>
      </w:r>
      <w:r w:rsidR="00B47571" w:rsidRPr="00BE09AC">
        <w:rPr>
          <w:rFonts w:ascii="Traditional Arabic" w:eastAsia="Calibri" w:hAnsi="Traditional Arabic" w:hint="cs"/>
          <w:color w:val="auto"/>
          <w:rtl/>
        </w:rPr>
        <w:t xml:space="preserve">وقد جعلت </w:t>
      </w:r>
      <w:r w:rsidR="00B47571">
        <w:rPr>
          <w:rFonts w:ascii="Traditional Arabic" w:eastAsia="Calibri" w:hAnsi="Traditional Arabic" w:hint="cs"/>
          <w:color w:val="auto"/>
          <w:rtl/>
        </w:rPr>
        <w:t>أرقام بداية الألواح بين معكوفتين داخ</w:t>
      </w:r>
      <w:r w:rsidR="00BD5ED5">
        <w:rPr>
          <w:rFonts w:ascii="Traditional Arabic" w:eastAsia="Calibri" w:hAnsi="Traditional Arabic" w:hint="cs"/>
          <w:color w:val="auto"/>
          <w:rtl/>
        </w:rPr>
        <w:t>ل</w:t>
      </w:r>
      <w:r w:rsidR="00B47571">
        <w:rPr>
          <w:rFonts w:ascii="Traditional Arabic" w:eastAsia="Calibri" w:hAnsi="Traditional Arabic" w:hint="cs"/>
          <w:color w:val="auto"/>
          <w:rtl/>
        </w:rPr>
        <w:t xml:space="preserve"> النص المحقق. </w:t>
      </w:r>
    </w:p>
    <w:p w:rsidR="00D11232" w:rsidRPr="00C17B7B" w:rsidRDefault="00D11232" w:rsidP="00C443D8">
      <w:pPr>
        <w:numPr>
          <w:ilvl w:val="0"/>
          <w:numId w:val="26"/>
        </w:numPr>
        <w:spacing w:after="200" w:line="276" w:lineRule="auto"/>
        <w:ind w:left="0" w:firstLine="0"/>
        <w:contextualSpacing/>
        <w:jc w:val="lowKashida"/>
        <w:rPr>
          <w:rFonts w:ascii="Traditional Arabic" w:hAnsi="Traditional Arabic"/>
          <w:b/>
          <w:bCs/>
        </w:rPr>
      </w:pPr>
      <w:r w:rsidRPr="00C17B7B">
        <w:rPr>
          <w:rFonts w:ascii="Traditional Arabic" w:hAnsi="Traditional Arabic" w:hint="cs"/>
          <w:rtl/>
        </w:rPr>
        <w:t>نسخة رستم باشا</w:t>
      </w:r>
      <w:r w:rsidR="00BE09AC">
        <w:rPr>
          <w:rFonts w:ascii="Traditional Arabic" w:hAnsi="Traditional Arabic" w:hint="cs"/>
          <w:rtl/>
        </w:rPr>
        <w:t xml:space="preserve"> ونجيب باشا</w:t>
      </w:r>
      <w:r w:rsidRPr="00C17B7B">
        <w:rPr>
          <w:rFonts w:ascii="Traditional Arabic" w:hAnsi="Traditional Arabic" w:hint="cs"/>
          <w:rtl/>
        </w:rPr>
        <w:t>.</w:t>
      </w:r>
    </w:p>
    <w:p w:rsidR="00D87F6B" w:rsidRDefault="00D11232" w:rsidP="00BD5ED5">
      <w:pPr>
        <w:spacing w:line="276" w:lineRule="auto"/>
        <w:ind w:firstLine="0"/>
        <w:contextualSpacing/>
        <w:jc w:val="lowKashida"/>
        <w:rPr>
          <w:rFonts w:ascii="Traditional Arabic" w:eastAsia="Calibri" w:hAnsi="Traditional Arabic"/>
          <w:color w:val="auto"/>
          <w:rtl/>
        </w:rPr>
      </w:pPr>
      <w:r w:rsidRPr="00C17B7B">
        <w:rPr>
          <w:rFonts w:ascii="Traditional Arabic" w:eastAsia="Calibri" w:hAnsi="Traditional Arabic" w:hint="cs"/>
          <w:color w:val="auto"/>
          <w:rtl/>
        </w:rPr>
        <w:t xml:space="preserve">مخطوط رستم </w:t>
      </w:r>
      <w:r w:rsidRPr="00BD5ED5">
        <w:rPr>
          <w:rFonts w:ascii="Traditional Arabic" w:eastAsia="Calibri" w:hAnsi="Traditional Arabic" w:hint="cs"/>
          <w:color w:val="auto"/>
          <w:rtl/>
        </w:rPr>
        <w:t>باشا</w:t>
      </w:r>
      <w:r w:rsidR="00BE09AC" w:rsidRPr="00BD5ED5">
        <w:rPr>
          <w:rFonts w:ascii="Traditional Arabic" w:hAnsi="Traditional Arabic" w:hint="cs"/>
          <w:rtl/>
        </w:rPr>
        <w:t xml:space="preserve"> ونجيب باشا</w:t>
      </w:r>
      <w:r w:rsidRPr="00BD5ED5">
        <w:rPr>
          <w:rFonts w:ascii="Traditional Arabic" w:eastAsia="Calibri" w:hAnsi="Traditional Arabic" w:hint="cs"/>
          <w:color w:val="auto"/>
          <w:rtl/>
        </w:rPr>
        <w:t xml:space="preserve"> في تركيا برقم (40)، </w:t>
      </w:r>
      <w:r w:rsidR="00D87F6B">
        <w:rPr>
          <w:rFonts w:ascii="Traditional Arabic" w:eastAsia="Calibri" w:hAnsi="Traditional Arabic" w:hint="cs"/>
          <w:color w:val="auto"/>
          <w:rtl/>
        </w:rPr>
        <w:t>وتاريخ نسخها كما يلي:</w:t>
      </w:r>
    </w:p>
    <w:p w:rsidR="00D87F6B" w:rsidRDefault="00F804F0" w:rsidP="00D87F6B">
      <w:pPr>
        <w:spacing w:line="276" w:lineRule="auto"/>
        <w:ind w:firstLine="0"/>
        <w:contextualSpacing/>
        <w:jc w:val="lowKashida"/>
        <w:rPr>
          <w:rFonts w:ascii="Traditional Arabic" w:eastAsia="Calibri" w:hAnsi="Traditional Arabic"/>
          <w:color w:val="auto"/>
          <w:rtl/>
        </w:rPr>
      </w:pPr>
      <w:r>
        <w:rPr>
          <w:rFonts w:ascii="Traditional Arabic" w:eastAsia="Calibri" w:hAnsi="Traditional Arabic" w:hint="cs"/>
          <w:color w:val="auto"/>
          <w:rtl/>
        </w:rPr>
        <w:t xml:space="preserve">- </w:t>
      </w:r>
      <w:r w:rsidR="00D87F6B">
        <w:rPr>
          <w:rFonts w:ascii="Traditional Arabic" w:eastAsia="Calibri" w:hAnsi="Traditional Arabic" w:hint="cs"/>
          <w:color w:val="auto"/>
          <w:rtl/>
        </w:rPr>
        <w:t xml:space="preserve">نسخة نجيب باشا في تركيا، تاريخ النسخ عام </w:t>
      </w:r>
      <w:r w:rsidR="00554F3B">
        <w:rPr>
          <w:rFonts w:ascii="Traditional Arabic" w:eastAsia="Calibri" w:hAnsi="Traditional Arabic" w:hint="cs"/>
          <w:color w:val="auto"/>
          <w:rtl/>
        </w:rPr>
        <w:t>(</w:t>
      </w:r>
      <w:r w:rsidR="00D87F6B">
        <w:rPr>
          <w:rFonts w:ascii="Traditional Arabic" w:eastAsia="Calibri" w:hAnsi="Traditional Arabic" w:hint="cs"/>
          <w:color w:val="auto"/>
          <w:rtl/>
        </w:rPr>
        <w:t>569ه</w:t>
      </w:r>
      <w:r w:rsidR="00554F3B">
        <w:rPr>
          <w:rFonts w:ascii="Traditional Arabic" w:eastAsia="Calibri" w:hAnsi="Traditional Arabic" w:hint="cs"/>
          <w:color w:val="auto"/>
          <w:rtl/>
        </w:rPr>
        <w:t xml:space="preserve">) </w:t>
      </w:r>
      <w:r w:rsidR="00D87F6B">
        <w:rPr>
          <w:rFonts w:ascii="Traditional Arabic" w:eastAsia="Calibri" w:hAnsi="Traditional Arabic" w:hint="cs"/>
          <w:color w:val="auto"/>
          <w:rtl/>
        </w:rPr>
        <w:t>من أول سورة الأنعام إلى سورة النحل.</w:t>
      </w:r>
    </w:p>
    <w:p w:rsidR="00D87F6B" w:rsidRDefault="00F804F0" w:rsidP="00D87F6B">
      <w:pPr>
        <w:spacing w:line="276" w:lineRule="auto"/>
        <w:ind w:firstLine="0"/>
        <w:contextualSpacing/>
        <w:jc w:val="lowKashida"/>
        <w:rPr>
          <w:rFonts w:ascii="Traditional Arabic" w:eastAsia="Calibri" w:hAnsi="Traditional Arabic"/>
          <w:color w:val="auto"/>
          <w:rtl/>
        </w:rPr>
      </w:pPr>
      <w:r>
        <w:rPr>
          <w:rFonts w:ascii="Traditional Arabic" w:eastAsia="Calibri" w:hAnsi="Traditional Arabic" w:hint="cs"/>
          <w:color w:val="auto"/>
          <w:rtl/>
        </w:rPr>
        <w:t xml:space="preserve">- </w:t>
      </w:r>
      <w:r w:rsidR="00D87F6B">
        <w:rPr>
          <w:rFonts w:ascii="Traditional Arabic" w:eastAsia="Calibri" w:hAnsi="Traditional Arabic" w:hint="cs"/>
          <w:color w:val="auto"/>
          <w:rtl/>
        </w:rPr>
        <w:t>نسخة رستم باشا في تركيا، تاري</w:t>
      </w:r>
      <w:r w:rsidR="00731DB0">
        <w:rPr>
          <w:rFonts w:ascii="Traditional Arabic" w:eastAsia="Calibri" w:hAnsi="Traditional Arabic" w:hint="cs"/>
          <w:color w:val="auto"/>
          <w:rtl/>
        </w:rPr>
        <w:t>خ</w:t>
      </w:r>
      <w:r w:rsidR="00D87F6B">
        <w:rPr>
          <w:rFonts w:ascii="Traditional Arabic" w:eastAsia="Calibri" w:hAnsi="Traditional Arabic" w:hint="cs"/>
          <w:color w:val="auto"/>
          <w:rtl/>
        </w:rPr>
        <w:t xml:space="preserve"> النسخ عام </w:t>
      </w:r>
      <w:r w:rsidR="00554F3B">
        <w:rPr>
          <w:rFonts w:ascii="Traditional Arabic" w:eastAsia="Calibri" w:hAnsi="Traditional Arabic" w:hint="cs"/>
          <w:color w:val="auto"/>
          <w:rtl/>
        </w:rPr>
        <w:t>(</w:t>
      </w:r>
      <w:r w:rsidR="00D87F6B">
        <w:rPr>
          <w:rFonts w:ascii="Traditional Arabic" w:eastAsia="Calibri" w:hAnsi="Traditional Arabic" w:hint="cs"/>
          <w:color w:val="auto"/>
          <w:rtl/>
        </w:rPr>
        <w:t>570ه</w:t>
      </w:r>
      <w:r w:rsidR="00554F3B">
        <w:rPr>
          <w:rFonts w:ascii="Traditional Arabic" w:eastAsia="Calibri" w:hAnsi="Traditional Arabic" w:hint="cs"/>
          <w:color w:val="auto"/>
          <w:rtl/>
        </w:rPr>
        <w:t xml:space="preserve">) </w:t>
      </w:r>
      <w:r w:rsidR="00D87F6B">
        <w:rPr>
          <w:rFonts w:ascii="Traditional Arabic" w:eastAsia="Calibri" w:hAnsi="Traditional Arabic" w:hint="cs"/>
          <w:color w:val="auto"/>
          <w:rtl/>
        </w:rPr>
        <w:t>من أول سورة النحل إلى سورة الصافات.</w:t>
      </w:r>
    </w:p>
    <w:p w:rsidR="00D87F6B" w:rsidRDefault="00F804F0" w:rsidP="00D87F6B">
      <w:pPr>
        <w:spacing w:line="276" w:lineRule="auto"/>
        <w:ind w:firstLine="0"/>
        <w:contextualSpacing/>
        <w:jc w:val="lowKashida"/>
        <w:rPr>
          <w:rFonts w:ascii="Traditional Arabic" w:eastAsia="Calibri" w:hAnsi="Traditional Arabic"/>
          <w:color w:val="auto"/>
          <w:rtl/>
        </w:rPr>
      </w:pPr>
      <w:r>
        <w:rPr>
          <w:rFonts w:ascii="Traditional Arabic" w:eastAsia="Calibri" w:hAnsi="Traditional Arabic" w:hint="cs"/>
          <w:color w:val="auto"/>
          <w:rtl/>
        </w:rPr>
        <w:t xml:space="preserve">- </w:t>
      </w:r>
      <w:r w:rsidR="00D87F6B">
        <w:rPr>
          <w:rFonts w:ascii="Traditional Arabic" w:eastAsia="Calibri" w:hAnsi="Traditional Arabic" w:hint="cs"/>
          <w:color w:val="auto"/>
          <w:rtl/>
        </w:rPr>
        <w:t>نسخة رستم باشا في تركيا، تا</w:t>
      </w:r>
      <w:r w:rsidR="00554F3B">
        <w:rPr>
          <w:rFonts w:ascii="Traditional Arabic" w:eastAsia="Calibri" w:hAnsi="Traditional Arabic" w:hint="cs"/>
          <w:color w:val="auto"/>
          <w:rtl/>
        </w:rPr>
        <w:t xml:space="preserve">ريخ النسخ عام (570ه) </w:t>
      </w:r>
      <w:r w:rsidR="00D87F6B">
        <w:rPr>
          <w:rFonts w:ascii="Traditional Arabic" w:eastAsia="Calibri" w:hAnsi="Traditional Arabic" w:hint="cs"/>
          <w:color w:val="auto"/>
          <w:rtl/>
        </w:rPr>
        <w:t>من أول سورة الصافات إلى سورة آخر القرآن.</w:t>
      </w:r>
    </w:p>
    <w:p w:rsidR="00D87F6B" w:rsidRDefault="00F804F0" w:rsidP="00D87F6B">
      <w:pPr>
        <w:spacing w:line="276" w:lineRule="auto"/>
        <w:ind w:firstLine="0"/>
        <w:contextualSpacing/>
        <w:jc w:val="lowKashida"/>
        <w:rPr>
          <w:rFonts w:ascii="Traditional Arabic" w:eastAsia="Calibri" w:hAnsi="Traditional Arabic"/>
          <w:color w:val="auto"/>
          <w:rtl/>
        </w:rPr>
      </w:pPr>
      <w:r>
        <w:rPr>
          <w:rFonts w:ascii="Traditional Arabic" w:eastAsia="Calibri" w:hAnsi="Traditional Arabic" w:hint="cs"/>
          <w:color w:val="auto"/>
          <w:rtl/>
        </w:rPr>
        <w:t xml:space="preserve">- </w:t>
      </w:r>
      <w:r w:rsidR="00D87F6B">
        <w:rPr>
          <w:rFonts w:ascii="Traditional Arabic" w:eastAsia="Calibri" w:hAnsi="Traditional Arabic" w:hint="cs"/>
          <w:color w:val="auto"/>
          <w:rtl/>
        </w:rPr>
        <w:t>نسخة نجيب باشا في تركيا، تاري</w:t>
      </w:r>
      <w:r w:rsidR="00731DB0">
        <w:rPr>
          <w:rFonts w:ascii="Traditional Arabic" w:eastAsia="Calibri" w:hAnsi="Traditional Arabic" w:hint="cs"/>
          <w:color w:val="auto"/>
          <w:rtl/>
        </w:rPr>
        <w:t>خ</w:t>
      </w:r>
      <w:r w:rsidR="00D87F6B">
        <w:rPr>
          <w:rFonts w:ascii="Traditional Arabic" w:eastAsia="Calibri" w:hAnsi="Traditional Arabic" w:hint="cs"/>
          <w:color w:val="auto"/>
          <w:rtl/>
        </w:rPr>
        <w:t xml:space="preserve"> النسخ</w:t>
      </w:r>
      <w:r w:rsidR="00554F3B">
        <w:rPr>
          <w:rFonts w:ascii="Traditional Arabic" w:eastAsia="Calibri" w:hAnsi="Traditional Arabic" w:hint="cs"/>
          <w:color w:val="auto"/>
          <w:rtl/>
        </w:rPr>
        <w:t xml:space="preserve"> عام (571ه) </w:t>
      </w:r>
      <w:r w:rsidR="00D87F6B">
        <w:rPr>
          <w:rFonts w:ascii="Traditional Arabic" w:eastAsia="Calibri" w:hAnsi="Traditional Arabic" w:hint="cs"/>
          <w:color w:val="auto"/>
          <w:rtl/>
        </w:rPr>
        <w:t>من أول الكتاب إلى آخر سورة المائدة.</w:t>
      </w:r>
    </w:p>
    <w:p w:rsidR="00D11232" w:rsidRDefault="00BD5ED5" w:rsidP="00F804F0">
      <w:pPr>
        <w:spacing w:line="276" w:lineRule="auto"/>
        <w:ind w:firstLine="0"/>
        <w:contextualSpacing/>
        <w:jc w:val="lowKashida"/>
        <w:rPr>
          <w:rFonts w:ascii="Traditional Arabic" w:eastAsia="Calibri" w:hAnsi="Traditional Arabic"/>
          <w:color w:val="auto"/>
          <w:rtl/>
        </w:rPr>
      </w:pPr>
      <w:r w:rsidRPr="00BD5ED5">
        <w:rPr>
          <w:rFonts w:ascii="Traditional Arabic" w:eastAsia="Calibri" w:hAnsi="Traditional Arabic" w:hint="cs"/>
          <w:color w:val="auto"/>
          <w:rtl/>
        </w:rPr>
        <w:t>ورستم باشا ونجيب با</w:t>
      </w:r>
      <w:r w:rsidR="00F804F0">
        <w:rPr>
          <w:rFonts w:ascii="Traditional Arabic" w:eastAsia="Calibri" w:hAnsi="Traditional Arabic" w:hint="cs"/>
          <w:color w:val="auto"/>
          <w:rtl/>
        </w:rPr>
        <w:t xml:space="preserve">شا مكتبتان في تركيا, </w:t>
      </w:r>
      <w:r w:rsidRPr="00BD5ED5">
        <w:rPr>
          <w:rFonts w:ascii="Traditional Arabic" w:eastAsia="Calibri" w:hAnsi="Traditional Arabic" w:hint="cs"/>
          <w:color w:val="auto"/>
          <w:rtl/>
        </w:rPr>
        <w:t>و</w:t>
      </w:r>
      <w:r w:rsidR="00F804F0">
        <w:rPr>
          <w:rFonts w:ascii="Traditional Arabic" w:eastAsia="Calibri" w:hAnsi="Traditional Arabic" w:hint="cs"/>
          <w:color w:val="auto"/>
          <w:rtl/>
        </w:rPr>
        <w:t>هذه ال</w:t>
      </w:r>
      <w:r w:rsidR="00D11232" w:rsidRPr="00BD5ED5">
        <w:rPr>
          <w:rFonts w:ascii="Traditional Arabic" w:eastAsia="Calibri" w:hAnsi="Traditional Arabic" w:hint="cs"/>
          <w:color w:val="auto"/>
          <w:rtl/>
        </w:rPr>
        <w:t>نسخة مقابلة على بعض النسخ كما هو مثبت في عدد من صفحاتها،</w:t>
      </w:r>
      <w:r w:rsidR="00E26E8C" w:rsidRPr="00BD5ED5">
        <w:rPr>
          <w:rFonts w:ascii="Traditional Arabic" w:eastAsia="Calibri" w:hAnsi="Traditional Arabic" w:hint="cs"/>
          <w:color w:val="auto"/>
          <w:rtl/>
        </w:rPr>
        <w:t xml:space="preserve"> </w:t>
      </w:r>
      <w:r w:rsidR="00F804F0">
        <w:rPr>
          <w:rFonts w:ascii="Traditional Arabic" w:eastAsia="Calibri" w:hAnsi="Traditional Arabic" w:hint="cs"/>
          <w:color w:val="auto"/>
          <w:rtl/>
        </w:rPr>
        <w:t xml:space="preserve">وقد </w:t>
      </w:r>
      <w:r w:rsidR="00E26E8C" w:rsidRPr="00BD5ED5">
        <w:rPr>
          <w:rFonts w:ascii="Traditional Arabic" w:eastAsia="Calibri" w:hAnsi="Traditional Arabic" w:hint="cs"/>
          <w:color w:val="auto"/>
          <w:rtl/>
        </w:rPr>
        <w:t>نسخت</w:t>
      </w:r>
      <w:r w:rsidR="00D11232" w:rsidRPr="00BD5ED5">
        <w:rPr>
          <w:rFonts w:ascii="Traditional Arabic" w:eastAsia="Calibri" w:hAnsi="Traditional Arabic" w:hint="cs"/>
          <w:color w:val="auto"/>
          <w:rtl/>
        </w:rPr>
        <w:t xml:space="preserve"> بخط عبدالرزاق الرزاقي، بقلم نسخي عادي، مشكولة، بها سقط، وفيها دوائر منقوطة، وعليها بعض الحواشي</w:t>
      </w:r>
      <w:r w:rsidR="00D11232" w:rsidRPr="00C17B7B">
        <w:rPr>
          <w:rFonts w:ascii="Traditional Arabic" w:eastAsia="Calibri" w:hAnsi="Traditional Arabic" w:hint="cs"/>
          <w:color w:val="auto"/>
          <w:rtl/>
        </w:rPr>
        <w:t>.</w:t>
      </w:r>
    </w:p>
    <w:p w:rsidR="00BE09AC" w:rsidRPr="00B47571" w:rsidRDefault="00B47571" w:rsidP="009172C7">
      <w:pPr>
        <w:ind w:firstLine="0"/>
        <w:rPr>
          <w:rFonts w:ascii="Traditional Arabic" w:eastAsia="Calibri" w:hAnsi="Traditional Arabic"/>
          <w:color w:val="auto"/>
          <w:rtl/>
        </w:rPr>
      </w:pPr>
      <w:r w:rsidRPr="00B47571">
        <w:rPr>
          <w:rFonts w:ascii="Traditional Arabic" w:eastAsia="Calibri" w:hAnsi="Traditional Arabic" w:hint="cs"/>
          <w:color w:val="auto"/>
          <w:rtl/>
        </w:rPr>
        <w:t>وهناك</w:t>
      </w:r>
      <w:r>
        <w:rPr>
          <w:rFonts w:ascii="Traditional Arabic" w:eastAsia="Calibri" w:hAnsi="Traditional Arabic" w:hint="cs"/>
          <w:color w:val="auto"/>
          <w:rtl/>
        </w:rPr>
        <w:t xml:space="preserve"> نسخ </w:t>
      </w:r>
      <w:r w:rsidR="00E26E8C">
        <w:rPr>
          <w:rFonts w:ascii="Traditional Arabic" w:eastAsia="Calibri" w:hAnsi="Traditional Arabic" w:hint="cs"/>
          <w:color w:val="auto"/>
          <w:rtl/>
        </w:rPr>
        <w:t>أخرى غيرها مثل نسخة المكتبة المحمودية بالمدينة المنورة</w:t>
      </w:r>
      <w:r w:rsidR="008D452A">
        <w:rPr>
          <w:rFonts w:ascii="Traditional Arabic" w:eastAsia="Calibri" w:hAnsi="Traditional Arabic" w:hint="cs"/>
          <w:color w:val="auto"/>
          <w:rtl/>
        </w:rPr>
        <w:t>, ونسخة المركز الحكومي (قرة مصطفى) في تركيا,</w:t>
      </w:r>
      <w:r w:rsidR="00E26E8C">
        <w:rPr>
          <w:rFonts w:ascii="Traditional Arabic" w:eastAsia="Calibri" w:hAnsi="Traditional Arabic" w:hint="cs"/>
          <w:color w:val="auto"/>
          <w:rtl/>
        </w:rPr>
        <w:t xml:space="preserve"> غير أن الجزء المراد تحقيقه </w:t>
      </w:r>
      <w:r w:rsidR="009172C7">
        <w:rPr>
          <w:rFonts w:ascii="Traditional Arabic" w:eastAsia="Calibri" w:hAnsi="Traditional Arabic" w:hint="cs"/>
          <w:color w:val="auto"/>
          <w:rtl/>
        </w:rPr>
        <w:t>غير موجود فيها</w:t>
      </w:r>
      <w:r w:rsidR="00E26E8C">
        <w:rPr>
          <w:rFonts w:ascii="Traditional Arabic" w:eastAsia="Calibri" w:hAnsi="Traditional Arabic" w:hint="cs"/>
          <w:color w:val="auto"/>
          <w:rtl/>
        </w:rPr>
        <w:t>؛ لذلك لم أعتمد عليها.</w:t>
      </w:r>
    </w:p>
    <w:p w:rsidR="00D11232" w:rsidRDefault="00D11232" w:rsidP="0020424F">
      <w:pPr>
        <w:pStyle w:val="a4"/>
        <w:rPr>
          <w:rFonts w:ascii="QCF_BSML" w:hAnsi="QCF_BSML" w:cs="QCF_BSML"/>
          <w:color w:val="0D0D0D" w:themeColor="text1" w:themeTint="F2"/>
          <w:sz w:val="32"/>
          <w:szCs w:val="32"/>
          <w:rtl/>
          <w:lang w:eastAsia="en-US"/>
        </w:rPr>
      </w:pPr>
    </w:p>
    <w:p w:rsidR="00276C1B" w:rsidRDefault="00276C1B" w:rsidP="00276C1B">
      <w:pPr>
        <w:rPr>
          <w:rtl/>
          <w:lang w:eastAsia="en-US"/>
        </w:rPr>
      </w:pPr>
    </w:p>
    <w:p w:rsidR="00276C1B" w:rsidRDefault="00276C1B" w:rsidP="00276C1B">
      <w:pPr>
        <w:rPr>
          <w:rtl/>
          <w:lang w:eastAsia="en-US"/>
        </w:rPr>
      </w:pPr>
    </w:p>
    <w:p w:rsidR="00276C1B" w:rsidRDefault="00276C1B" w:rsidP="00276C1B">
      <w:pPr>
        <w:rPr>
          <w:rtl/>
          <w:lang w:eastAsia="en-US"/>
        </w:rPr>
      </w:pPr>
    </w:p>
    <w:p w:rsidR="00276C1B" w:rsidRDefault="00276C1B" w:rsidP="00FB7DFC">
      <w:pPr>
        <w:ind w:firstLine="0"/>
        <w:rPr>
          <w:rtl/>
          <w:lang w:eastAsia="en-US"/>
        </w:rPr>
      </w:pPr>
    </w:p>
    <w:p w:rsidR="00276C1B" w:rsidRPr="00276C1B" w:rsidRDefault="00276C1B" w:rsidP="00FB7DFC">
      <w:pPr>
        <w:ind w:firstLine="0"/>
        <w:rPr>
          <w:b/>
          <w:bCs/>
          <w:rtl/>
          <w:lang w:eastAsia="en-US"/>
        </w:rPr>
      </w:pPr>
      <w:r w:rsidRPr="00276C1B">
        <w:rPr>
          <w:rFonts w:hint="cs"/>
          <w:b/>
          <w:bCs/>
          <w:rtl/>
          <w:lang w:eastAsia="en-US"/>
        </w:rPr>
        <w:lastRenderedPageBreak/>
        <w:t>ثانيا: نماذج من النسخ الخطية:</w:t>
      </w:r>
    </w:p>
    <w:p w:rsidR="00276C1B" w:rsidRPr="00276C1B" w:rsidRDefault="00276C1B" w:rsidP="00276C1B">
      <w:pPr>
        <w:rPr>
          <w:rtl/>
          <w:lang w:eastAsia="en-US"/>
        </w:rPr>
      </w:pPr>
    </w:p>
    <w:p w:rsidR="00276C1B" w:rsidRDefault="00276C1B" w:rsidP="00276C1B">
      <w:pPr>
        <w:rPr>
          <w:rtl/>
          <w:lang w:eastAsia="en-US"/>
        </w:rPr>
      </w:pPr>
      <w:r>
        <w:rPr>
          <w:rFonts w:ascii="QCF_BSML" w:hAnsi="QCF_BSML" w:cs="QCF_BSML" w:hint="cs"/>
          <w:noProof/>
          <w:color w:val="0D0D0D" w:themeColor="text1" w:themeTint="F2"/>
          <w:sz w:val="32"/>
          <w:szCs w:val="32"/>
          <w:rtl/>
          <w:lang w:eastAsia="en-US"/>
        </w:rPr>
        <w:drawing>
          <wp:inline distT="0" distB="0" distL="0" distR="0" wp14:anchorId="7E88593A" wp14:editId="4FD40AEB">
            <wp:extent cx="5848350" cy="6612019"/>
            <wp:effectExtent l="0" t="0" r="0" b="0"/>
            <wp:docPr id="3" name="صورة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849769" cy="6613623"/>
                    </a:xfrm>
                    <a:prstGeom prst="rect">
                      <a:avLst/>
                    </a:prstGeom>
                    <a:noFill/>
                    <a:ln>
                      <a:noFill/>
                    </a:ln>
                  </pic:spPr>
                </pic:pic>
              </a:graphicData>
            </a:graphic>
          </wp:inline>
        </w:drawing>
      </w:r>
    </w:p>
    <w:p w:rsidR="00276C1B" w:rsidRPr="00276C1B" w:rsidRDefault="00F46552" w:rsidP="00276C1B">
      <w:pPr>
        <w:rPr>
          <w:sz w:val="40"/>
          <w:szCs w:val="40"/>
          <w:rtl/>
          <w:lang w:eastAsia="en-US"/>
        </w:rPr>
      </w:pPr>
      <w:r>
        <w:rPr>
          <w:rFonts w:hint="cs"/>
          <w:sz w:val="40"/>
          <w:szCs w:val="40"/>
          <w:rtl/>
          <w:lang w:eastAsia="en-US"/>
        </w:rPr>
        <w:t xml:space="preserve">      </w:t>
      </w:r>
      <w:r w:rsidR="00276C1B" w:rsidRPr="00276C1B">
        <w:rPr>
          <w:rFonts w:hint="cs"/>
          <w:sz w:val="40"/>
          <w:szCs w:val="40"/>
          <w:rtl/>
          <w:lang w:eastAsia="en-US"/>
        </w:rPr>
        <w:t>اللوحة الأولى من نسخة الخزانة العامة بالمغرب في الجزء المحقق</w:t>
      </w:r>
    </w:p>
    <w:p w:rsidR="00276C1B" w:rsidRDefault="00276C1B" w:rsidP="00276C1B">
      <w:pPr>
        <w:rPr>
          <w:rtl/>
          <w:lang w:eastAsia="en-US"/>
        </w:rPr>
      </w:pPr>
    </w:p>
    <w:p w:rsidR="00276C1B" w:rsidRDefault="00276C1B" w:rsidP="00276C1B">
      <w:pPr>
        <w:rPr>
          <w:rtl/>
          <w:lang w:eastAsia="en-US"/>
        </w:rPr>
      </w:pPr>
    </w:p>
    <w:p w:rsidR="00276C1B" w:rsidRDefault="00276C1B" w:rsidP="00276C1B">
      <w:pPr>
        <w:rPr>
          <w:rtl/>
          <w:lang w:eastAsia="en-US"/>
        </w:rPr>
      </w:pPr>
    </w:p>
    <w:p w:rsidR="00276C1B" w:rsidRDefault="00276C1B" w:rsidP="00276C1B">
      <w:pPr>
        <w:rPr>
          <w:rtl/>
          <w:lang w:eastAsia="en-US"/>
        </w:rPr>
      </w:pPr>
      <w:r>
        <w:rPr>
          <w:rFonts w:hint="cs"/>
          <w:noProof/>
          <w:rtl/>
          <w:lang w:eastAsia="en-US"/>
        </w:rPr>
        <w:lastRenderedPageBreak/>
        <w:drawing>
          <wp:inline distT="0" distB="0" distL="0" distR="0" wp14:anchorId="14B3B529" wp14:editId="4D39ACED">
            <wp:extent cx="5399405" cy="7484597"/>
            <wp:effectExtent l="0" t="0" r="0" b="2540"/>
            <wp:docPr id="4" name="صورة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399405" cy="7484597"/>
                    </a:xfrm>
                    <a:prstGeom prst="rect">
                      <a:avLst/>
                    </a:prstGeom>
                    <a:noFill/>
                    <a:ln>
                      <a:noFill/>
                    </a:ln>
                  </pic:spPr>
                </pic:pic>
              </a:graphicData>
            </a:graphic>
          </wp:inline>
        </w:drawing>
      </w:r>
    </w:p>
    <w:p w:rsidR="00276C1B" w:rsidRPr="00276C1B" w:rsidRDefault="00F46552" w:rsidP="00276C1B">
      <w:pPr>
        <w:rPr>
          <w:sz w:val="40"/>
          <w:szCs w:val="40"/>
          <w:rtl/>
          <w:lang w:eastAsia="en-US"/>
        </w:rPr>
      </w:pPr>
      <w:r>
        <w:rPr>
          <w:rFonts w:hint="cs"/>
          <w:sz w:val="40"/>
          <w:szCs w:val="40"/>
          <w:rtl/>
          <w:lang w:eastAsia="en-US"/>
        </w:rPr>
        <w:t xml:space="preserve">       </w:t>
      </w:r>
      <w:r w:rsidR="00276C1B" w:rsidRPr="00276C1B">
        <w:rPr>
          <w:rFonts w:hint="cs"/>
          <w:sz w:val="40"/>
          <w:szCs w:val="40"/>
          <w:rtl/>
          <w:lang w:eastAsia="en-US"/>
        </w:rPr>
        <w:t xml:space="preserve">اللوحة </w:t>
      </w:r>
      <w:r w:rsidR="00276C1B">
        <w:rPr>
          <w:rFonts w:hint="cs"/>
          <w:sz w:val="40"/>
          <w:szCs w:val="40"/>
          <w:rtl/>
          <w:lang w:eastAsia="en-US"/>
        </w:rPr>
        <w:t>الأخيرة</w:t>
      </w:r>
      <w:r w:rsidR="00276C1B" w:rsidRPr="00276C1B">
        <w:rPr>
          <w:rFonts w:hint="cs"/>
          <w:sz w:val="40"/>
          <w:szCs w:val="40"/>
          <w:rtl/>
          <w:lang w:eastAsia="en-US"/>
        </w:rPr>
        <w:t xml:space="preserve"> من نسخة الخزانة العامة بالمغرب في الجزء المحقق</w:t>
      </w:r>
    </w:p>
    <w:p w:rsidR="00276C1B" w:rsidRDefault="00276C1B" w:rsidP="00276C1B">
      <w:pPr>
        <w:rPr>
          <w:rtl/>
          <w:lang w:eastAsia="en-US"/>
        </w:rPr>
      </w:pPr>
    </w:p>
    <w:p w:rsidR="00276C1B" w:rsidRDefault="00276C1B" w:rsidP="00276C1B">
      <w:pPr>
        <w:rPr>
          <w:rtl/>
          <w:lang w:eastAsia="en-US"/>
        </w:rPr>
      </w:pPr>
    </w:p>
    <w:p w:rsidR="00866ACA" w:rsidRDefault="00866ACA" w:rsidP="00276C1B">
      <w:pPr>
        <w:rPr>
          <w:rtl/>
          <w:lang w:eastAsia="en-US"/>
        </w:rPr>
      </w:pPr>
      <w:r>
        <w:rPr>
          <w:rFonts w:hint="cs"/>
          <w:noProof/>
          <w:rtl/>
          <w:lang w:eastAsia="en-US"/>
        </w:rPr>
        <w:lastRenderedPageBreak/>
        <w:drawing>
          <wp:inline distT="0" distB="0" distL="0" distR="0" wp14:anchorId="38ABE16E" wp14:editId="34F410EE">
            <wp:extent cx="5399405" cy="3988142"/>
            <wp:effectExtent l="0" t="0" r="0" b="0"/>
            <wp:docPr id="5" name="صورة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99405" cy="3988142"/>
                    </a:xfrm>
                    <a:prstGeom prst="rect">
                      <a:avLst/>
                    </a:prstGeom>
                    <a:noFill/>
                    <a:ln>
                      <a:noFill/>
                    </a:ln>
                  </pic:spPr>
                </pic:pic>
              </a:graphicData>
            </a:graphic>
          </wp:inline>
        </w:drawing>
      </w:r>
    </w:p>
    <w:p w:rsidR="00866ACA" w:rsidRPr="00276C1B" w:rsidRDefault="00866ACA" w:rsidP="00866ACA">
      <w:pPr>
        <w:rPr>
          <w:sz w:val="40"/>
          <w:szCs w:val="40"/>
          <w:rtl/>
          <w:lang w:eastAsia="en-US"/>
        </w:rPr>
      </w:pPr>
      <w:r>
        <w:rPr>
          <w:rFonts w:hint="cs"/>
          <w:sz w:val="40"/>
          <w:szCs w:val="40"/>
          <w:rtl/>
          <w:lang w:eastAsia="en-US"/>
        </w:rPr>
        <w:t xml:space="preserve">        </w:t>
      </w:r>
      <w:r w:rsidRPr="00276C1B">
        <w:rPr>
          <w:rFonts w:hint="cs"/>
          <w:sz w:val="40"/>
          <w:szCs w:val="40"/>
          <w:rtl/>
          <w:lang w:eastAsia="en-US"/>
        </w:rPr>
        <w:t xml:space="preserve">اللوحة الأولى من نسخة </w:t>
      </w:r>
      <w:r>
        <w:rPr>
          <w:rFonts w:hint="cs"/>
          <w:sz w:val="40"/>
          <w:szCs w:val="40"/>
          <w:rtl/>
          <w:lang w:eastAsia="en-US"/>
        </w:rPr>
        <w:t>رستم باشا</w:t>
      </w:r>
      <w:r w:rsidRPr="00276C1B">
        <w:rPr>
          <w:rFonts w:hint="cs"/>
          <w:sz w:val="40"/>
          <w:szCs w:val="40"/>
          <w:rtl/>
          <w:lang w:eastAsia="en-US"/>
        </w:rPr>
        <w:t xml:space="preserve"> في الجزء المحقق</w:t>
      </w:r>
    </w:p>
    <w:p w:rsidR="00276C1B" w:rsidRDefault="00276C1B" w:rsidP="00276C1B">
      <w:pPr>
        <w:rPr>
          <w:rtl/>
          <w:lang w:eastAsia="en-US"/>
        </w:rPr>
      </w:pPr>
    </w:p>
    <w:p w:rsidR="00276C1B" w:rsidRDefault="00276C1B" w:rsidP="00276C1B">
      <w:pPr>
        <w:rPr>
          <w:rtl/>
          <w:lang w:eastAsia="en-US"/>
        </w:rPr>
      </w:pPr>
    </w:p>
    <w:p w:rsidR="00276C1B" w:rsidRDefault="00276C1B" w:rsidP="00276C1B">
      <w:pPr>
        <w:rPr>
          <w:rtl/>
          <w:lang w:eastAsia="en-US"/>
        </w:rPr>
      </w:pPr>
    </w:p>
    <w:p w:rsidR="00866ACA" w:rsidRDefault="00866ACA" w:rsidP="00276C1B">
      <w:pPr>
        <w:rPr>
          <w:rtl/>
          <w:lang w:eastAsia="en-US"/>
        </w:rPr>
      </w:pPr>
    </w:p>
    <w:p w:rsidR="00866ACA" w:rsidRDefault="00866ACA" w:rsidP="00276C1B">
      <w:pPr>
        <w:rPr>
          <w:rtl/>
          <w:lang w:eastAsia="en-US"/>
        </w:rPr>
      </w:pPr>
    </w:p>
    <w:p w:rsidR="00866ACA" w:rsidRDefault="00866ACA" w:rsidP="00276C1B">
      <w:pPr>
        <w:rPr>
          <w:rtl/>
          <w:lang w:eastAsia="en-US"/>
        </w:rPr>
      </w:pPr>
    </w:p>
    <w:p w:rsidR="00866ACA" w:rsidRDefault="00866ACA" w:rsidP="00276C1B">
      <w:pPr>
        <w:rPr>
          <w:rtl/>
          <w:lang w:eastAsia="en-US"/>
        </w:rPr>
      </w:pPr>
    </w:p>
    <w:p w:rsidR="00866ACA" w:rsidRDefault="00866ACA" w:rsidP="00276C1B">
      <w:pPr>
        <w:rPr>
          <w:rtl/>
          <w:lang w:eastAsia="en-US"/>
        </w:rPr>
      </w:pPr>
    </w:p>
    <w:p w:rsidR="00866ACA" w:rsidRDefault="00866ACA" w:rsidP="00276C1B">
      <w:pPr>
        <w:rPr>
          <w:rtl/>
          <w:lang w:eastAsia="en-US"/>
        </w:rPr>
      </w:pPr>
    </w:p>
    <w:p w:rsidR="00866ACA" w:rsidRDefault="00866ACA" w:rsidP="00276C1B">
      <w:pPr>
        <w:rPr>
          <w:rtl/>
          <w:lang w:eastAsia="en-US"/>
        </w:rPr>
      </w:pPr>
    </w:p>
    <w:p w:rsidR="00866ACA" w:rsidRDefault="00866ACA" w:rsidP="00276C1B">
      <w:pPr>
        <w:rPr>
          <w:rtl/>
          <w:lang w:eastAsia="en-US"/>
        </w:rPr>
      </w:pPr>
    </w:p>
    <w:p w:rsidR="00866ACA" w:rsidRDefault="00866ACA" w:rsidP="00276C1B">
      <w:pPr>
        <w:rPr>
          <w:rtl/>
          <w:lang w:eastAsia="en-US"/>
        </w:rPr>
      </w:pPr>
    </w:p>
    <w:p w:rsidR="00866ACA" w:rsidRDefault="00866ACA" w:rsidP="00276C1B">
      <w:pPr>
        <w:rPr>
          <w:rtl/>
          <w:lang w:eastAsia="en-US"/>
        </w:rPr>
      </w:pPr>
      <w:r>
        <w:rPr>
          <w:rFonts w:hint="cs"/>
          <w:noProof/>
          <w:rtl/>
          <w:lang w:eastAsia="en-US"/>
        </w:rPr>
        <w:lastRenderedPageBreak/>
        <w:drawing>
          <wp:inline distT="0" distB="0" distL="0" distR="0" wp14:anchorId="123A3761" wp14:editId="5E6B5190">
            <wp:extent cx="5838825" cy="3867150"/>
            <wp:effectExtent l="0" t="0" r="9525" b="0"/>
            <wp:docPr id="7" name="صورة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844249" cy="3870742"/>
                    </a:xfrm>
                    <a:prstGeom prst="rect">
                      <a:avLst/>
                    </a:prstGeom>
                    <a:noFill/>
                    <a:ln>
                      <a:noFill/>
                    </a:ln>
                  </pic:spPr>
                </pic:pic>
              </a:graphicData>
            </a:graphic>
          </wp:inline>
        </w:drawing>
      </w:r>
    </w:p>
    <w:p w:rsidR="00866ACA" w:rsidRPr="00276C1B" w:rsidRDefault="00866ACA" w:rsidP="00866ACA">
      <w:pPr>
        <w:rPr>
          <w:sz w:val="40"/>
          <w:szCs w:val="40"/>
          <w:rtl/>
          <w:lang w:eastAsia="en-US"/>
        </w:rPr>
      </w:pPr>
      <w:r>
        <w:rPr>
          <w:rFonts w:hint="cs"/>
          <w:sz w:val="40"/>
          <w:szCs w:val="40"/>
          <w:rtl/>
          <w:lang w:eastAsia="en-US"/>
        </w:rPr>
        <w:t xml:space="preserve">       </w:t>
      </w:r>
      <w:r w:rsidRPr="00276C1B">
        <w:rPr>
          <w:rFonts w:hint="cs"/>
          <w:sz w:val="40"/>
          <w:szCs w:val="40"/>
          <w:rtl/>
          <w:lang w:eastAsia="en-US"/>
        </w:rPr>
        <w:t xml:space="preserve">اللوحة </w:t>
      </w:r>
      <w:r>
        <w:rPr>
          <w:rFonts w:hint="cs"/>
          <w:sz w:val="40"/>
          <w:szCs w:val="40"/>
          <w:rtl/>
          <w:lang w:eastAsia="en-US"/>
        </w:rPr>
        <w:t>الأخيرة</w:t>
      </w:r>
      <w:r w:rsidRPr="00276C1B">
        <w:rPr>
          <w:rFonts w:hint="cs"/>
          <w:sz w:val="40"/>
          <w:szCs w:val="40"/>
          <w:rtl/>
          <w:lang w:eastAsia="en-US"/>
        </w:rPr>
        <w:t xml:space="preserve"> من نسخة </w:t>
      </w:r>
      <w:r>
        <w:rPr>
          <w:rFonts w:hint="cs"/>
          <w:sz w:val="40"/>
          <w:szCs w:val="40"/>
          <w:rtl/>
          <w:lang w:eastAsia="en-US"/>
        </w:rPr>
        <w:t>رستم باشا</w:t>
      </w:r>
      <w:r w:rsidRPr="00276C1B">
        <w:rPr>
          <w:rFonts w:hint="cs"/>
          <w:sz w:val="40"/>
          <w:szCs w:val="40"/>
          <w:rtl/>
          <w:lang w:eastAsia="en-US"/>
        </w:rPr>
        <w:t xml:space="preserve"> في الجزء المحقق</w:t>
      </w:r>
    </w:p>
    <w:p w:rsidR="00276C1B" w:rsidRDefault="00276C1B" w:rsidP="00276C1B">
      <w:pPr>
        <w:rPr>
          <w:rtl/>
          <w:lang w:eastAsia="en-US"/>
        </w:rPr>
      </w:pPr>
    </w:p>
    <w:p w:rsidR="00276C1B" w:rsidRDefault="00276C1B" w:rsidP="00276C1B">
      <w:pPr>
        <w:rPr>
          <w:rtl/>
          <w:lang w:eastAsia="en-US"/>
        </w:rPr>
      </w:pPr>
    </w:p>
    <w:p w:rsidR="00276C1B" w:rsidRDefault="00276C1B" w:rsidP="00276C1B">
      <w:pPr>
        <w:rPr>
          <w:rtl/>
          <w:lang w:eastAsia="en-US"/>
        </w:rPr>
      </w:pPr>
    </w:p>
    <w:p w:rsidR="00276C1B" w:rsidRDefault="00276C1B" w:rsidP="00276C1B">
      <w:pPr>
        <w:rPr>
          <w:rtl/>
          <w:lang w:eastAsia="en-US"/>
        </w:rPr>
      </w:pPr>
    </w:p>
    <w:p w:rsidR="00276C1B" w:rsidRPr="00276C1B" w:rsidRDefault="00276C1B" w:rsidP="00276C1B">
      <w:pPr>
        <w:rPr>
          <w:rtl/>
          <w:lang w:eastAsia="en-US"/>
        </w:rPr>
      </w:pPr>
    </w:p>
    <w:p w:rsidR="00D11232" w:rsidRDefault="00D11232" w:rsidP="0020424F">
      <w:pPr>
        <w:pStyle w:val="a4"/>
        <w:rPr>
          <w:rFonts w:ascii="QCF_BSML" w:hAnsi="QCF_BSML" w:cs="QCF_BSML"/>
          <w:color w:val="0D0D0D" w:themeColor="text1" w:themeTint="F2"/>
          <w:sz w:val="32"/>
          <w:szCs w:val="32"/>
          <w:rtl/>
          <w:lang w:eastAsia="en-US"/>
        </w:rPr>
      </w:pPr>
    </w:p>
    <w:p w:rsidR="0000591D" w:rsidRDefault="0000591D" w:rsidP="0020424F">
      <w:pPr>
        <w:pStyle w:val="a4"/>
        <w:rPr>
          <w:rFonts w:ascii="QCF_BSML" w:hAnsi="QCF_BSML" w:cs="QCF_BSML"/>
          <w:color w:val="0D0D0D" w:themeColor="text1" w:themeTint="F2"/>
          <w:sz w:val="32"/>
          <w:szCs w:val="32"/>
          <w:rtl/>
          <w:lang w:eastAsia="en-US"/>
        </w:rPr>
      </w:pPr>
    </w:p>
    <w:p w:rsidR="00D24121" w:rsidRDefault="00D24121" w:rsidP="00D24121">
      <w:pPr>
        <w:rPr>
          <w:rtl/>
          <w:lang w:eastAsia="en-US"/>
        </w:rPr>
      </w:pPr>
    </w:p>
    <w:p w:rsidR="00D24121" w:rsidRDefault="00D24121" w:rsidP="00D24121">
      <w:pPr>
        <w:rPr>
          <w:rtl/>
          <w:lang w:eastAsia="en-US"/>
        </w:rPr>
      </w:pPr>
    </w:p>
    <w:p w:rsidR="00D24121" w:rsidRDefault="00D24121" w:rsidP="00D24121">
      <w:pPr>
        <w:rPr>
          <w:rtl/>
          <w:lang w:eastAsia="en-US"/>
        </w:rPr>
      </w:pPr>
    </w:p>
    <w:p w:rsidR="00D24121" w:rsidRPr="00D24121" w:rsidRDefault="00D24121" w:rsidP="00D24121">
      <w:pPr>
        <w:rPr>
          <w:rtl/>
          <w:lang w:eastAsia="en-US"/>
        </w:rPr>
      </w:pPr>
    </w:p>
    <w:p w:rsidR="0000591D" w:rsidRDefault="00866ACA" w:rsidP="0020424F">
      <w:pPr>
        <w:pStyle w:val="a4"/>
        <w:rPr>
          <w:rFonts w:ascii="QCF_BSML" w:hAnsi="QCF_BSML" w:cs="QCF_BSML"/>
          <w:color w:val="0D0D0D" w:themeColor="text1" w:themeTint="F2"/>
          <w:sz w:val="32"/>
          <w:szCs w:val="32"/>
          <w:rtl/>
          <w:lang w:eastAsia="en-US"/>
        </w:rPr>
      </w:pPr>
      <w:r w:rsidRPr="00C17B7B">
        <w:rPr>
          <w:b/>
          <w:bCs/>
          <w:smallCaps/>
          <w:noProof/>
          <w:color w:val="FFFFFF" w:themeColor="background1"/>
          <w:kern w:val="32"/>
          <w:szCs w:val="32"/>
          <w:rtl/>
          <w:lang w:eastAsia="en-US"/>
        </w:rPr>
        <w:lastRenderedPageBreak/>
        <w:drawing>
          <wp:anchor distT="0" distB="0" distL="114300" distR="114300" simplePos="0" relativeHeight="251675648" behindDoc="1" locked="0" layoutInCell="1" allowOverlap="1" wp14:anchorId="5624EC89" wp14:editId="61931AD6">
            <wp:simplePos x="0" y="0"/>
            <wp:positionH relativeFrom="margin">
              <wp:posOffset>450850</wp:posOffset>
            </wp:positionH>
            <wp:positionV relativeFrom="margin">
              <wp:posOffset>1096645</wp:posOffset>
            </wp:positionV>
            <wp:extent cx="4864618" cy="7307377"/>
            <wp:effectExtent l="0" t="0" r="0" b="0"/>
            <wp:wrapNone/>
            <wp:docPr id="15" name="صورة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بدون عنوان-6 نسخ.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864618" cy="7307377"/>
                    </a:xfrm>
                    <a:prstGeom prst="rect">
                      <a:avLst/>
                    </a:prstGeom>
                  </pic:spPr>
                </pic:pic>
              </a:graphicData>
            </a:graphic>
          </wp:anchor>
        </w:drawing>
      </w:r>
    </w:p>
    <w:p w:rsidR="00866ACA" w:rsidRDefault="00866ACA" w:rsidP="00866ACA">
      <w:pPr>
        <w:rPr>
          <w:rtl/>
          <w:lang w:eastAsia="en-US"/>
        </w:rPr>
      </w:pPr>
    </w:p>
    <w:p w:rsidR="00866ACA" w:rsidRDefault="00866ACA" w:rsidP="00866ACA">
      <w:pPr>
        <w:rPr>
          <w:rtl/>
          <w:lang w:eastAsia="en-US"/>
        </w:rPr>
      </w:pPr>
    </w:p>
    <w:p w:rsidR="00866ACA" w:rsidRDefault="00866ACA" w:rsidP="00866ACA">
      <w:pPr>
        <w:rPr>
          <w:rtl/>
          <w:lang w:eastAsia="en-US"/>
        </w:rPr>
      </w:pPr>
    </w:p>
    <w:p w:rsidR="00866ACA" w:rsidRDefault="00866ACA" w:rsidP="00866ACA">
      <w:pPr>
        <w:rPr>
          <w:rtl/>
          <w:lang w:eastAsia="en-US"/>
        </w:rPr>
      </w:pPr>
    </w:p>
    <w:p w:rsidR="00866ACA" w:rsidRPr="00866ACA" w:rsidRDefault="00866ACA" w:rsidP="00866ACA">
      <w:pPr>
        <w:rPr>
          <w:rFonts w:cs="Sultan bold"/>
          <w:b/>
          <w:bCs/>
          <w:sz w:val="56"/>
          <w:szCs w:val="56"/>
        </w:rPr>
      </w:pPr>
      <w:r>
        <w:rPr>
          <w:rFonts w:hint="cs"/>
          <w:rtl/>
          <w:lang w:eastAsia="en-US"/>
        </w:rPr>
        <w:t xml:space="preserve">                         </w:t>
      </w:r>
      <w:r w:rsidRPr="00866ACA">
        <w:rPr>
          <w:rFonts w:hint="cs"/>
          <w:rtl/>
          <w:lang w:eastAsia="en-US"/>
        </w:rPr>
        <w:t xml:space="preserve"> </w:t>
      </w:r>
      <w:r w:rsidRPr="00866ACA">
        <w:rPr>
          <w:rFonts w:cs="Sultan bold"/>
          <w:b/>
          <w:bCs/>
          <w:sz w:val="56"/>
          <w:szCs w:val="56"/>
          <w:rtl/>
        </w:rPr>
        <w:t>القسم ال</w:t>
      </w:r>
      <w:r w:rsidRPr="00866ACA">
        <w:rPr>
          <w:rFonts w:cs="Sultan bold" w:hint="cs"/>
          <w:b/>
          <w:bCs/>
          <w:sz w:val="56"/>
          <w:szCs w:val="56"/>
          <w:rtl/>
        </w:rPr>
        <w:t>ثاني</w:t>
      </w:r>
    </w:p>
    <w:p w:rsidR="00866ACA" w:rsidRPr="00866ACA" w:rsidRDefault="00866ACA" w:rsidP="00866ACA">
      <w:pPr>
        <w:rPr>
          <w:b/>
          <w:bCs/>
          <w:sz w:val="52"/>
          <w:szCs w:val="52"/>
          <w:rtl/>
          <w:lang w:eastAsia="en-US"/>
        </w:rPr>
      </w:pPr>
    </w:p>
    <w:p w:rsidR="0000591D" w:rsidRDefault="0000591D" w:rsidP="0020424F">
      <w:pPr>
        <w:pStyle w:val="a4"/>
        <w:rPr>
          <w:rFonts w:ascii="QCF_BSML" w:hAnsi="QCF_BSML" w:cs="QCF_BSML"/>
          <w:color w:val="0D0D0D" w:themeColor="text1" w:themeTint="F2"/>
          <w:sz w:val="32"/>
          <w:szCs w:val="32"/>
          <w:rtl/>
          <w:lang w:eastAsia="en-US"/>
        </w:rPr>
      </w:pPr>
    </w:p>
    <w:p w:rsidR="0000591D" w:rsidRDefault="0000591D" w:rsidP="0020424F">
      <w:pPr>
        <w:pStyle w:val="a4"/>
        <w:rPr>
          <w:rFonts w:ascii="QCF_BSML" w:hAnsi="QCF_BSML" w:cs="QCF_BSML"/>
          <w:color w:val="0D0D0D" w:themeColor="text1" w:themeTint="F2"/>
          <w:sz w:val="32"/>
          <w:szCs w:val="32"/>
          <w:rtl/>
          <w:lang w:eastAsia="en-US"/>
        </w:rPr>
      </w:pPr>
    </w:p>
    <w:p w:rsidR="00866ACA" w:rsidRDefault="00866ACA" w:rsidP="00866ACA">
      <w:pPr>
        <w:rPr>
          <w:rtl/>
          <w:lang w:eastAsia="en-US"/>
        </w:rPr>
      </w:pPr>
    </w:p>
    <w:p w:rsidR="00866ACA" w:rsidRDefault="00866ACA" w:rsidP="00866ACA">
      <w:pPr>
        <w:rPr>
          <w:rtl/>
          <w:lang w:eastAsia="en-US"/>
        </w:rPr>
      </w:pPr>
    </w:p>
    <w:p w:rsidR="00866ACA" w:rsidRPr="00866ACA" w:rsidRDefault="00866ACA" w:rsidP="00866ACA">
      <w:pPr>
        <w:rPr>
          <w:b/>
          <w:bCs/>
          <w:sz w:val="144"/>
          <w:szCs w:val="144"/>
          <w:rtl/>
          <w:lang w:eastAsia="en-US"/>
        </w:rPr>
      </w:pPr>
      <w:r>
        <w:rPr>
          <w:rFonts w:hint="cs"/>
          <w:rtl/>
          <w:lang w:eastAsia="en-US"/>
        </w:rPr>
        <w:t xml:space="preserve">    </w:t>
      </w:r>
      <w:r>
        <w:rPr>
          <w:rFonts w:cs="Sultan bold" w:hint="cs"/>
          <w:b/>
          <w:bCs/>
          <w:sz w:val="44"/>
          <w:szCs w:val="132"/>
          <w:rtl/>
        </w:rPr>
        <w:t xml:space="preserve"> </w:t>
      </w:r>
      <w:r w:rsidRPr="00866ACA">
        <w:rPr>
          <w:rFonts w:cs="Sultan bold"/>
          <w:b/>
          <w:bCs/>
          <w:sz w:val="44"/>
          <w:szCs w:val="132"/>
          <w:rtl/>
        </w:rPr>
        <w:t>ال</w:t>
      </w:r>
      <w:r w:rsidRPr="00866ACA">
        <w:rPr>
          <w:rFonts w:cs="Sultan bold" w:hint="cs"/>
          <w:b/>
          <w:bCs/>
          <w:sz w:val="44"/>
          <w:szCs w:val="132"/>
          <w:rtl/>
        </w:rPr>
        <w:t>نص المحقق</w:t>
      </w:r>
    </w:p>
    <w:p w:rsidR="00866ACA" w:rsidRDefault="00866ACA" w:rsidP="00866ACA">
      <w:pPr>
        <w:rPr>
          <w:rtl/>
          <w:lang w:eastAsia="en-US"/>
        </w:rPr>
      </w:pPr>
    </w:p>
    <w:p w:rsidR="00866ACA" w:rsidRDefault="00866ACA" w:rsidP="00866ACA">
      <w:pPr>
        <w:rPr>
          <w:rtl/>
          <w:lang w:eastAsia="en-US"/>
        </w:rPr>
      </w:pPr>
    </w:p>
    <w:p w:rsidR="00866ACA" w:rsidRPr="00866ACA" w:rsidRDefault="00866ACA" w:rsidP="00866ACA">
      <w:pPr>
        <w:rPr>
          <w:rtl/>
          <w:lang w:eastAsia="en-US"/>
        </w:rPr>
      </w:pPr>
    </w:p>
    <w:p w:rsidR="0000591D" w:rsidRDefault="0000591D" w:rsidP="0020424F">
      <w:pPr>
        <w:pStyle w:val="a4"/>
        <w:rPr>
          <w:rFonts w:ascii="QCF_BSML" w:hAnsi="QCF_BSML" w:cs="QCF_BSML"/>
          <w:color w:val="0D0D0D" w:themeColor="text1" w:themeTint="F2"/>
          <w:sz w:val="32"/>
          <w:szCs w:val="32"/>
          <w:rtl/>
          <w:lang w:eastAsia="en-US"/>
        </w:rPr>
      </w:pPr>
    </w:p>
    <w:p w:rsidR="00866ACA" w:rsidRDefault="00866ACA" w:rsidP="00866ACA">
      <w:pPr>
        <w:rPr>
          <w:rtl/>
          <w:lang w:eastAsia="en-US"/>
        </w:rPr>
      </w:pPr>
    </w:p>
    <w:p w:rsidR="00866ACA" w:rsidRDefault="00866ACA" w:rsidP="00866ACA">
      <w:pPr>
        <w:rPr>
          <w:rtl/>
          <w:lang w:eastAsia="en-US"/>
        </w:rPr>
      </w:pPr>
    </w:p>
    <w:p w:rsidR="00866ACA" w:rsidRDefault="00866ACA" w:rsidP="00866ACA">
      <w:pPr>
        <w:rPr>
          <w:rtl/>
          <w:lang w:eastAsia="en-US"/>
        </w:rPr>
      </w:pPr>
    </w:p>
    <w:p w:rsidR="00866ACA" w:rsidRDefault="00866ACA" w:rsidP="00866ACA">
      <w:pPr>
        <w:rPr>
          <w:rtl/>
          <w:lang w:eastAsia="en-US"/>
        </w:rPr>
      </w:pPr>
    </w:p>
    <w:p w:rsidR="00AB6719" w:rsidRPr="0020424F" w:rsidRDefault="00AB6719" w:rsidP="00A82A80">
      <w:pPr>
        <w:pStyle w:val="a4"/>
        <w:rPr>
          <w:rFonts w:ascii="Arial" w:hAnsi="Arial" w:cs="Arial"/>
          <w:color w:val="0D0D0D" w:themeColor="text1" w:themeTint="F2"/>
          <w:sz w:val="32"/>
          <w:szCs w:val="32"/>
          <w:rtl/>
          <w:lang w:eastAsia="en-US"/>
        </w:rPr>
      </w:pPr>
      <w:r w:rsidRPr="00C73900">
        <w:rPr>
          <w:rFonts w:ascii="QCF_BSML" w:hAnsi="QCF_BSML" w:cs="QCF_BSML"/>
          <w:color w:val="0D0D0D" w:themeColor="text1" w:themeTint="F2"/>
          <w:sz w:val="32"/>
          <w:szCs w:val="32"/>
          <w:rtl/>
          <w:lang w:eastAsia="en-US"/>
        </w:rPr>
        <w:lastRenderedPageBreak/>
        <w:t>ﭽ</w:t>
      </w:r>
      <w:r w:rsidRPr="00C73900">
        <w:rPr>
          <w:rFonts w:ascii="QCF_P288" w:hAnsi="QCF_P288" w:cs="QCF_P288"/>
          <w:color w:val="0D0D0D" w:themeColor="text1" w:themeTint="F2"/>
          <w:sz w:val="32"/>
          <w:szCs w:val="32"/>
          <w:rtl/>
          <w:lang w:eastAsia="en-US"/>
        </w:rPr>
        <w:t>ﭑ ﭒ ﭓ ﭔ ﭕ ﭖ ﭗ ﭘ ﭙ ﭚﭛ ﭜ ﭝ ﭞ ﭟ ﭠ ﭡ</w:t>
      </w:r>
      <w:r w:rsidR="00F84658">
        <w:rPr>
          <w:rFonts w:ascii="QCF_P288" w:hAnsi="QCF_P288" w:cs="QCF_P288" w:hint="cs"/>
          <w:color w:val="0D0D0D" w:themeColor="text1" w:themeTint="F2"/>
          <w:sz w:val="32"/>
          <w:szCs w:val="32"/>
          <w:rtl/>
          <w:lang w:eastAsia="en-US"/>
        </w:rPr>
        <w:t xml:space="preserve"> </w:t>
      </w:r>
      <w:r w:rsidRPr="00C73900">
        <w:rPr>
          <w:rFonts w:ascii="QCF_P288" w:hAnsi="QCF_P288" w:cs="QCF_P288"/>
          <w:color w:val="0D0D0D" w:themeColor="text1" w:themeTint="F2"/>
          <w:sz w:val="32"/>
          <w:szCs w:val="32"/>
          <w:rtl/>
          <w:lang w:eastAsia="en-US"/>
        </w:rPr>
        <w:t xml:space="preserve">ﭢ ﭣ </w:t>
      </w:r>
      <w:r>
        <w:rPr>
          <w:rFonts w:ascii="QCF_P288" w:hAnsi="QCF_P288" w:cs="QCF_P288"/>
          <w:color w:val="0D0D0D" w:themeColor="text1" w:themeTint="F2"/>
          <w:sz w:val="32"/>
          <w:szCs w:val="32"/>
          <w:rtl/>
          <w:lang w:eastAsia="en-US"/>
        </w:rPr>
        <w:t xml:space="preserve"> </w:t>
      </w:r>
      <w:r w:rsidRPr="00C73900">
        <w:rPr>
          <w:rFonts w:ascii="QCF_P288" w:hAnsi="QCF_P288" w:cs="QCF_P288"/>
          <w:color w:val="0D0D0D" w:themeColor="text1" w:themeTint="F2"/>
          <w:sz w:val="32"/>
          <w:szCs w:val="32"/>
          <w:rtl/>
          <w:lang w:eastAsia="en-US"/>
        </w:rPr>
        <w:t>ﭤ ﭥ ﭦ ﭧ ﭨ</w:t>
      </w:r>
      <w:r w:rsidRPr="00C73900">
        <w:rPr>
          <w:rFonts w:ascii="QCF_BSML" w:hAnsi="QCF_BSML" w:cs="QCF_BSML"/>
          <w:color w:val="0D0D0D" w:themeColor="text1" w:themeTint="F2"/>
          <w:sz w:val="32"/>
          <w:szCs w:val="32"/>
          <w:rtl/>
          <w:lang w:eastAsia="en-US"/>
        </w:rPr>
        <w:t>ﭼ</w:t>
      </w:r>
      <w:r w:rsidRPr="00B07E03">
        <w:rPr>
          <w:rFonts w:ascii="Arial" w:hAnsi="Arial" w:cs="Arial"/>
          <w:color w:val="0D0D0D" w:themeColor="text1" w:themeTint="F2"/>
          <w:sz w:val="27"/>
          <w:szCs w:val="27"/>
          <w:rtl/>
          <w:lang w:eastAsia="en-US"/>
        </w:rPr>
        <w:t xml:space="preserve"> </w:t>
      </w:r>
      <w:r w:rsidRPr="00B07E03">
        <w:rPr>
          <w:color w:val="0D0D0D" w:themeColor="text1" w:themeTint="F2"/>
          <w:sz w:val="44"/>
          <w:rtl/>
        </w:rPr>
        <w:t>قوله تعالى:</w:t>
      </w:r>
      <w:r w:rsidR="00A82A80">
        <w:rPr>
          <w:rFonts w:hint="cs"/>
          <w:color w:val="0D0D0D" w:themeColor="text1" w:themeTint="F2"/>
          <w:sz w:val="44"/>
          <w:rtl/>
        </w:rPr>
        <w:t xml:space="preserve"> </w:t>
      </w:r>
      <w:r w:rsidRPr="00F509AE">
        <w:rPr>
          <w:rFonts w:ascii="QCF_BSML" w:hAnsi="QCF_BSML" w:cs="QCF_BSML"/>
          <w:color w:val="0D0D0D" w:themeColor="text1" w:themeTint="F2"/>
          <w:sz w:val="32"/>
          <w:szCs w:val="32"/>
          <w:rtl/>
          <w:lang w:eastAsia="en-US"/>
        </w:rPr>
        <w:t xml:space="preserve">ﭽ </w:t>
      </w:r>
      <w:r w:rsidRPr="00F509AE">
        <w:rPr>
          <w:rFonts w:ascii="QCF_P288" w:hAnsi="QCF_P288" w:cs="QCF_P288"/>
          <w:color w:val="0D0D0D" w:themeColor="text1" w:themeTint="F2"/>
          <w:sz w:val="32"/>
          <w:szCs w:val="32"/>
          <w:rtl/>
          <w:lang w:eastAsia="en-US"/>
        </w:rPr>
        <w:t>ﭑ ﭒ ﭓ ﭔ ﭕ</w:t>
      </w:r>
      <w:r w:rsidRPr="00F509AE">
        <w:rPr>
          <w:rFonts w:ascii="QCF_BSML" w:hAnsi="QCF_BSML" w:cs="QCF_BSML"/>
          <w:color w:val="0D0D0D" w:themeColor="text1" w:themeTint="F2"/>
          <w:sz w:val="32"/>
          <w:szCs w:val="32"/>
          <w:rtl/>
          <w:lang w:eastAsia="en-US"/>
        </w:rPr>
        <w:t>ﭼ</w:t>
      </w:r>
      <w:r w:rsidRPr="00B07E03">
        <w:rPr>
          <w:color w:val="0D0D0D" w:themeColor="text1" w:themeTint="F2"/>
          <w:sz w:val="44"/>
          <w:rtl/>
        </w:rPr>
        <w:t xml:space="preserve"> سبب نزولها</w:t>
      </w:r>
      <w:r w:rsidR="006A4198">
        <w:rPr>
          <w:rFonts w:hint="cs"/>
          <w:color w:val="0D0D0D" w:themeColor="text1" w:themeTint="F2"/>
          <w:sz w:val="44"/>
          <w:rtl/>
        </w:rPr>
        <w:t xml:space="preserve"> فيه</w:t>
      </w:r>
      <w:r w:rsidR="00691BB7" w:rsidRPr="00691BB7">
        <w:rPr>
          <w:rStyle w:val="ae"/>
          <w:rtl/>
        </w:rPr>
        <w:t>(</w:t>
      </w:r>
      <w:r w:rsidR="00691BB7">
        <w:rPr>
          <w:rStyle w:val="ae"/>
          <w:rtl/>
        </w:rPr>
        <w:footnoteReference w:id="189"/>
      </w:r>
      <w:r w:rsidR="00691BB7" w:rsidRPr="00691BB7">
        <w:rPr>
          <w:rStyle w:val="ae"/>
          <w:rtl/>
        </w:rPr>
        <w:t>)</w:t>
      </w:r>
      <w:r w:rsidRPr="00B07E03">
        <w:rPr>
          <w:color w:val="0D0D0D" w:themeColor="text1" w:themeTint="F2"/>
          <w:sz w:val="44"/>
          <w:rtl/>
        </w:rPr>
        <w:t>قولان:</w:t>
      </w:r>
      <w:r w:rsidR="0020424F">
        <w:rPr>
          <w:rFonts w:ascii="Arial" w:hAnsi="Arial" w:cs="Arial" w:hint="cs"/>
          <w:color w:val="0D0D0D" w:themeColor="text1" w:themeTint="F2"/>
          <w:sz w:val="32"/>
          <w:szCs w:val="32"/>
          <w:rtl/>
          <w:lang w:eastAsia="en-US"/>
        </w:rPr>
        <w:t xml:space="preserve"> </w:t>
      </w:r>
      <w:r w:rsidR="005E67E9">
        <w:rPr>
          <w:color w:val="0D0D0D" w:themeColor="text1" w:themeTint="F2"/>
          <w:sz w:val="44"/>
          <w:rtl/>
        </w:rPr>
        <w:t>أحدهما: أن أهل مكة</w:t>
      </w:r>
      <w:r w:rsidR="005E67E9" w:rsidRPr="005E67E9">
        <w:rPr>
          <w:rStyle w:val="ae"/>
          <w:rtl/>
        </w:rPr>
        <w:t>(</w:t>
      </w:r>
      <w:r w:rsidR="005E67E9">
        <w:rPr>
          <w:rStyle w:val="ae"/>
          <w:rtl/>
        </w:rPr>
        <w:footnoteReference w:id="190"/>
      </w:r>
      <w:r w:rsidR="005E67E9" w:rsidRPr="005E67E9">
        <w:rPr>
          <w:rStyle w:val="ae"/>
          <w:rtl/>
        </w:rPr>
        <w:t>)</w:t>
      </w:r>
      <w:r w:rsidR="00F125E6">
        <w:rPr>
          <w:color w:val="0D0D0D" w:themeColor="text1" w:themeTint="F2"/>
          <w:sz w:val="44"/>
          <w:rtl/>
        </w:rPr>
        <w:t>سألوا</w:t>
      </w:r>
      <w:r w:rsidR="00F125E6">
        <w:rPr>
          <w:rFonts w:hint="cs"/>
          <w:color w:val="0D0D0D" w:themeColor="text1" w:themeTint="F2"/>
          <w:sz w:val="44"/>
          <w:rtl/>
        </w:rPr>
        <w:t xml:space="preserve"> </w:t>
      </w:r>
      <w:r w:rsidRPr="00B07E03">
        <w:rPr>
          <w:color w:val="0D0D0D" w:themeColor="text1" w:themeTint="F2"/>
          <w:sz w:val="44"/>
          <w:rtl/>
        </w:rPr>
        <w:t>رسول الله</w:t>
      </w:r>
      <w:r w:rsidRPr="00D66DE5">
        <w:rPr>
          <w:rFonts w:ascii="Traditional Arabic" w:hAnsi="Traditional Arabic"/>
        </w:rPr>
        <w:sym w:font="AGA Arabesque" w:char="F072"/>
      </w:r>
      <w:r w:rsidRPr="00D66DE5">
        <w:rPr>
          <w:rFonts w:ascii="Traditional Arabic" w:hAnsi="Traditional Arabic"/>
        </w:rPr>
        <w:t xml:space="preserve"> </w:t>
      </w:r>
      <w:r w:rsidRPr="00B07E03">
        <w:rPr>
          <w:color w:val="0D0D0D" w:themeColor="text1" w:themeTint="F2"/>
          <w:sz w:val="44"/>
          <w:rtl/>
        </w:rPr>
        <w:t xml:space="preserve"> أن ي</w:t>
      </w:r>
      <w:r w:rsidR="005E67E9">
        <w:rPr>
          <w:rFonts w:ascii="Traditional Arabic" w:hAnsi="Traditional Arabic"/>
          <w:color w:val="0D0D0D" w:themeColor="text1" w:themeTint="F2"/>
          <w:sz w:val="44"/>
          <w:rtl/>
        </w:rPr>
        <w:t>جعل لهم الصفا</w:t>
      </w:r>
      <w:r w:rsidR="005E67E9" w:rsidRPr="005E67E9">
        <w:rPr>
          <w:rStyle w:val="ae"/>
          <w:rtl/>
        </w:rPr>
        <w:t>(</w:t>
      </w:r>
      <w:r w:rsidR="005E67E9">
        <w:rPr>
          <w:rStyle w:val="ae"/>
          <w:rtl/>
        </w:rPr>
        <w:footnoteReference w:id="191"/>
      </w:r>
      <w:r w:rsidR="005E67E9" w:rsidRPr="005E67E9">
        <w:rPr>
          <w:rStyle w:val="ae"/>
          <w:rtl/>
        </w:rPr>
        <w:t>)</w:t>
      </w:r>
      <w:r w:rsidRPr="00627B8D">
        <w:rPr>
          <w:rFonts w:ascii="Traditional Arabic" w:hAnsi="Traditional Arabic"/>
          <w:color w:val="0D0D0D" w:themeColor="text1" w:themeTint="F2"/>
          <w:sz w:val="44"/>
          <w:rtl/>
        </w:rPr>
        <w:t xml:space="preserve">ذهباً، </w:t>
      </w:r>
      <w:r w:rsidR="00534522">
        <w:rPr>
          <w:rFonts w:ascii="Traditional Arabic" w:hAnsi="Traditional Arabic"/>
          <w:color w:val="0D0D0D" w:themeColor="text1" w:themeTint="F2"/>
          <w:sz w:val="44"/>
          <w:rtl/>
        </w:rPr>
        <w:t xml:space="preserve">وأن  ينحِّي  عنهم الجبال </w:t>
      </w:r>
      <w:r w:rsidR="005056AE">
        <w:rPr>
          <w:rFonts w:ascii="Traditional Arabic" w:hAnsi="Traditional Arabic" w:hint="cs"/>
          <w:color w:val="0D0D0D" w:themeColor="text1" w:themeTint="F2"/>
          <w:sz w:val="44"/>
          <w:rtl/>
        </w:rPr>
        <w:t>[</w:t>
      </w:r>
      <w:r w:rsidR="00534522">
        <w:rPr>
          <w:rFonts w:ascii="Traditional Arabic" w:hAnsi="Traditional Arabic"/>
          <w:color w:val="0D0D0D" w:themeColor="text1" w:themeTint="F2"/>
          <w:sz w:val="44"/>
          <w:rtl/>
        </w:rPr>
        <w:t>فيزرعو</w:t>
      </w:r>
      <w:r w:rsidR="00BD73F6">
        <w:rPr>
          <w:rFonts w:ascii="Traditional Arabic" w:hAnsi="Traditional Arabic" w:hint="cs"/>
          <w:color w:val="0D0D0D" w:themeColor="text1" w:themeTint="F2"/>
          <w:sz w:val="44"/>
          <w:rtl/>
        </w:rPr>
        <w:t>ا</w:t>
      </w:r>
      <w:r w:rsidR="005056AE">
        <w:rPr>
          <w:rFonts w:ascii="Traditional Arabic" w:hAnsi="Traditional Arabic" w:hint="cs"/>
          <w:color w:val="0D0D0D" w:themeColor="text1" w:themeTint="F2"/>
          <w:sz w:val="44"/>
          <w:rtl/>
        </w:rPr>
        <w:t>]</w:t>
      </w:r>
      <w:r w:rsidR="00BD73F6" w:rsidRPr="00BD73F6">
        <w:rPr>
          <w:rStyle w:val="ae"/>
          <w:rtl/>
        </w:rPr>
        <w:t>(</w:t>
      </w:r>
      <w:r w:rsidR="00BD73F6">
        <w:rPr>
          <w:rStyle w:val="ae"/>
          <w:rtl/>
        </w:rPr>
        <w:footnoteReference w:id="192"/>
      </w:r>
      <w:r w:rsidR="00BD73F6" w:rsidRPr="00BD73F6">
        <w:rPr>
          <w:rStyle w:val="ae"/>
          <w:rtl/>
        </w:rPr>
        <w:t>)</w:t>
      </w:r>
      <w:r w:rsidR="00354C09">
        <w:rPr>
          <w:rFonts w:hint="cs"/>
          <w:rtl/>
        </w:rPr>
        <w:t xml:space="preserve">, </w:t>
      </w:r>
      <w:r w:rsidRPr="00627B8D">
        <w:rPr>
          <w:rFonts w:ascii="Traditional Arabic" w:hAnsi="Traditional Arabic"/>
          <w:color w:val="0D0D0D" w:themeColor="text1" w:themeTint="F2"/>
          <w:sz w:val="44"/>
          <w:rtl/>
        </w:rPr>
        <w:t>فقيل له: إِن شئتَ أن تستأني</w:t>
      </w:r>
      <w:r w:rsidR="003D3C7E" w:rsidRPr="00627B8D">
        <w:rPr>
          <w:rStyle w:val="ae"/>
          <w:rFonts w:ascii="Traditional Arabic" w:hAnsi="Traditional Arabic"/>
        </w:rPr>
        <w:t>(</w:t>
      </w:r>
      <w:r w:rsidR="003D3C7E" w:rsidRPr="00627B8D">
        <w:rPr>
          <w:rStyle w:val="ae"/>
          <w:rFonts w:ascii="Traditional Arabic" w:hAnsi="Traditional Arabic"/>
        </w:rPr>
        <w:footnoteReference w:id="193"/>
      </w:r>
      <w:r w:rsidR="003D3C7E" w:rsidRPr="00627B8D">
        <w:rPr>
          <w:rStyle w:val="ae"/>
          <w:rFonts w:ascii="Traditional Arabic" w:hAnsi="Traditional Arabic"/>
        </w:rPr>
        <w:t>)</w:t>
      </w:r>
      <w:r w:rsidRPr="00627B8D">
        <w:rPr>
          <w:rFonts w:ascii="Traditional Arabic" w:hAnsi="Traditional Arabic"/>
          <w:color w:val="0D0D0D" w:themeColor="text1" w:themeTint="F2"/>
          <w:sz w:val="44"/>
          <w:rtl/>
        </w:rPr>
        <w:t>بهم لعلَّنا نجتبي</w:t>
      </w:r>
      <w:r w:rsidR="003D3C7E" w:rsidRPr="00627B8D">
        <w:rPr>
          <w:rStyle w:val="ae"/>
          <w:rFonts w:ascii="Traditional Arabic" w:hAnsi="Traditional Arabic"/>
        </w:rPr>
        <w:t>(</w:t>
      </w:r>
      <w:r w:rsidR="003D3C7E" w:rsidRPr="00627B8D">
        <w:rPr>
          <w:rStyle w:val="ae"/>
          <w:rFonts w:ascii="Traditional Arabic" w:hAnsi="Traditional Arabic"/>
        </w:rPr>
        <w:footnoteReference w:id="194"/>
      </w:r>
      <w:r w:rsidR="003D3C7E" w:rsidRPr="00627B8D">
        <w:rPr>
          <w:rStyle w:val="ae"/>
          <w:rFonts w:ascii="Traditional Arabic" w:hAnsi="Traditional Arabic"/>
        </w:rPr>
        <w:t>)</w:t>
      </w:r>
      <w:r w:rsidRPr="00627B8D">
        <w:rPr>
          <w:rFonts w:ascii="Traditional Arabic" w:hAnsi="Traditional Arabic"/>
          <w:color w:val="0D0D0D" w:themeColor="text1" w:themeTint="F2"/>
          <w:sz w:val="44"/>
          <w:rtl/>
        </w:rPr>
        <w:t>منهم، وإِن شئتَ  نؤتيهم الذي سألوا</w:t>
      </w:r>
      <w:r w:rsidR="00354C09">
        <w:rPr>
          <w:rFonts w:ascii="Traditional Arabic" w:hAnsi="Traditional Arabic" w:hint="cs"/>
          <w:color w:val="0D0D0D" w:themeColor="text1" w:themeTint="F2"/>
          <w:sz w:val="44"/>
          <w:rtl/>
        </w:rPr>
        <w:t>,</w:t>
      </w:r>
      <w:r w:rsidR="00354C09">
        <w:rPr>
          <w:rFonts w:ascii="Traditional Arabic" w:hAnsi="Traditional Arabic"/>
          <w:color w:val="0D0D0D" w:themeColor="text1" w:themeTint="F2"/>
          <w:sz w:val="44"/>
          <w:rtl/>
        </w:rPr>
        <w:t xml:space="preserve"> ف</w:t>
      </w:r>
      <w:r w:rsidR="00354C09">
        <w:rPr>
          <w:rFonts w:ascii="Traditional Arabic" w:hAnsi="Traditional Arabic" w:hint="cs"/>
          <w:color w:val="0D0D0D" w:themeColor="text1" w:themeTint="F2"/>
          <w:sz w:val="44"/>
          <w:rtl/>
        </w:rPr>
        <w:t>إ</w:t>
      </w:r>
      <w:r w:rsidRPr="00627B8D">
        <w:rPr>
          <w:rFonts w:ascii="Traditional Arabic" w:hAnsi="Traditional Arabic"/>
          <w:color w:val="0D0D0D" w:themeColor="text1" w:themeTint="F2"/>
          <w:sz w:val="44"/>
          <w:rtl/>
        </w:rPr>
        <w:t>ن كفروا أُهلكوا كما أهلك من كان قبلهم</w:t>
      </w:r>
      <w:r w:rsidR="00354C09">
        <w:rPr>
          <w:rFonts w:ascii="Traditional Arabic" w:hAnsi="Traditional Arabic" w:hint="cs"/>
          <w:color w:val="0D0D0D" w:themeColor="text1" w:themeTint="F2"/>
          <w:sz w:val="44"/>
          <w:rtl/>
        </w:rPr>
        <w:t>,</w:t>
      </w:r>
      <w:r w:rsidRPr="00627B8D">
        <w:rPr>
          <w:rFonts w:ascii="Traditional Arabic" w:hAnsi="Traditional Arabic"/>
          <w:color w:val="0D0D0D" w:themeColor="text1" w:themeTint="F2"/>
          <w:sz w:val="44"/>
          <w:rtl/>
        </w:rPr>
        <w:t xml:space="preserve"> قال: «لا، بل أستأني</w:t>
      </w:r>
      <w:r w:rsidR="006A4198">
        <w:rPr>
          <w:rFonts w:ascii="Traditional Arabic" w:hAnsi="Traditional Arabic" w:hint="cs"/>
          <w:color w:val="0D0D0D" w:themeColor="text1" w:themeTint="F2"/>
          <w:sz w:val="44"/>
          <w:rtl/>
        </w:rPr>
        <w:t xml:space="preserve"> بهم</w:t>
      </w:r>
      <w:r w:rsidRPr="00627B8D">
        <w:rPr>
          <w:rFonts w:ascii="Traditional Arabic" w:hAnsi="Traditional Arabic"/>
          <w:color w:val="0D0D0D" w:themeColor="text1" w:themeTint="F2"/>
          <w:sz w:val="44"/>
          <w:rtl/>
        </w:rPr>
        <w:t>» فنزلت هذه الآية، رواه سعيد بن جبير</w:t>
      </w:r>
      <w:r w:rsidR="003D3C7E" w:rsidRPr="00627B8D">
        <w:rPr>
          <w:rStyle w:val="ae"/>
          <w:rFonts w:ascii="Traditional Arabic" w:hAnsi="Traditional Arabic"/>
        </w:rPr>
        <w:t>(</w:t>
      </w:r>
      <w:r w:rsidR="003D3C7E" w:rsidRPr="00627B8D">
        <w:rPr>
          <w:rStyle w:val="ae"/>
          <w:rFonts w:ascii="Traditional Arabic" w:hAnsi="Traditional Arabic"/>
        </w:rPr>
        <w:footnoteReference w:id="195"/>
      </w:r>
      <w:r w:rsidR="003D3C7E" w:rsidRPr="00627B8D">
        <w:rPr>
          <w:rStyle w:val="ae"/>
          <w:rFonts w:ascii="Traditional Arabic" w:hAnsi="Traditional Arabic"/>
        </w:rPr>
        <w:t>)</w:t>
      </w:r>
      <w:r w:rsidRPr="00627B8D">
        <w:rPr>
          <w:rFonts w:ascii="Traditional Arabic" w:hAnsi="Traditional Arabic"/>
          <w:color w:val="0D0D0D" w:themeColor="text1" w:themeTint="F2"/>
          <w:sz w:val="44"/>
          <w:rtl/>
        </w:rPr>
        <w:t>عن ابن عباس</w:t>
      </w:r>
      <w:r w:rsidR="003D3C7E" w:rsidRPr="00627B8D">
        <w:rPr>
          <w:rFonts w:ascii="Traditional Arabic" w:hAnsi="Traditional Arabic"/>
        </w:rPr>
        <w:t xml:space="preserve"> </w:t>
      </w:r>
      <w:r w:rsidR="003D3C7E" w:rsidRPr="00627B8D">
        <w:rPr>
          <w:rStyle w:val="ae"/>
          <w:rFonts w:ascii="Traditional Arabic" w:hAnsi="Traditional Arabic"/>
        </w:rPr>
        <w:t>(</w:t>
      </w:r>
      <w:r w:rsidR="003D3C7E" w:rsidRPr="00627B8D">
        <w:rPr>
          <w:rStyle w:val="ae"/>
          <w:rFonts w:ascii="Traditional Arabic" w:hAnsi="Traditional Arabic"/>
        </w:rPr>
        <w:footnoteReference w:id="196"/>
      </w:r>
      <w:r w:rsidR="003D3C7E" w:rsidRPr="00627B8D">
        <w:rPr>
          <w:rStyle w:val="ae"/>
          <w:rFonts w:ascii="Traditional Arabic" w:hAnsi="Traditional Arabic"/>
        </w:rPr>
        <w:t>)</w:t>
      </w:r>
      <w:r w:rsidR="003D3C7E" w:rsidRPr="00627B8D">
        <w:rPr>
          <w:rStyle w:val="ae"/>
          <w:rFonts w:ascii="Traditional Arabic" w:hAnsi="Traditional Arabic"/>
          <w:rtl/>
        </w:rPr>
        <w:t>(</w:t>
      </w:r>
      <w:r w:rsidR="003D3C7E" w:rsidRPr="00627B8D">
        <w:rPr>
          <w:rStyle w:val="ae"/>
          <w:rFonts w:ascii="Traditional Arabic" w:hAnsi="Traditional Arabic"/>
          <w:rtl/>
        </w:rPr>
        <w:footnoteReference w:id="197"/>
      </w:r>
      <w:r w:rsidR="003D3C7E" w:rsidRPr="00627B8D">
        <w:rPr>
          <w:rStyle w:val="ae"/>
          <w:rFonts w:ascii="Traditional Arabic" w:hAnsi="Traditional Arabic"/>
          <w:rtl/>
        </w:rPr>
        <w:t>)</w:t>
      </w:r>
      <w:r w:rsidRPr="00627B8D">
        <w:rPr>
          <w:rFonts w:ascii="Traditional Arabic" w:hAnsi="Traditional Arabic"/>
          <w:color w:val="0D0D0D" w:themeColor="text1" w:themeTint="F2"/>
          <w:sz w:val="44"/>
          <w:rtl/>
        </w:rPr>
        <w:t>.</w:t>
      </w:r>
    </w:p>
    <w:p w:rsidR="00804212" w:rsidRDefault="00AB6719" w:rsidP="00804212">
      <w:pPr>
        <w:pStyle w:val="a4"/>
        <w:rPr>
          <w:color w:val="0D0D0D" w:themeColor="text1" w:themeTint="F2"/>
          <w:sz w:val="44"/>
          <w:rtl/>
        </w:rPr>
      </w:pPr>
      <w:r w:rsidRPr="00627B8D">
        <w:rPr>
          <w:rFonts w:ascii="Traditional Arabic" w:hAnsi="Traditional Arabic"/>
          <w:color w:val="0D0D0D" w:themeColor="text1" w:themeTint="F2"/>
          <w:sz w:val="44"/>
          <w:rtl/>
        </w:rPr>
        <w:lastRenderedPageBreak/>
        <w:t>والثاني: قد ذكرناه عن الزّبير</w:t>
      </w:r>
      <w:r w:rsidR="003D3C7E" w:rsidRPr="00627B8D">
        <w:rPr>
          <w:rStyle w:val="ae"/>
          <w:rFonts w:ascii="Traditional Arabic" w:hAnsi="Traditional Arabic"/>
        </w:rPr>
        <w:t>(</w:t>
      </w:r>
      <w:r w:rsidR="003D3C7E" w:rsidRPr="00627B8D">
        <w:rPr>
          <w:rStyle w:val="ae"/>
          <w:rFonts w:ascii="Traditional Arabic" w:hAnsi="Traditional Arabic"/>
        </w:rPr>
        <w:footnoteReference w:id="198"/>
      </w:r>
      <w:r w:rsidR="003D3C7E" w:rsidRPr="00627B8D">
        <w:rPr>
          <w:rStyle w:val="ae"/>
          <w:rFonts w:ascii="Traditional Arabic" w:hAnsi="Traditional Arabic"/>
        </w:rPr>
        <w:t>)</w:t>
      </w:r>
      <w:r w:rsidR="00F7270E" w:rsidRPr="00F7270E">
        <w:rPr>
          <w:rStyle w:val="ae"/>
          <w:rtl/>
        </w:rPr>
        <w:t>(</w:t>
      </w:r>
      <w:r w:rsidR="00F7270E">
        <w:rPr>
          <w:rStyle w:val="ae"/>
          <w:rtl/>
        </w:rPr>
        <w:footnoteReference w:id="199"/>
      </w:r>
      <w:r w:rsidR="00F7270E" w:rsidRPr="00F7270E">
        <w:rPr>
          <w:rStyle w:val="ae"/>
          <w:rtl/>
        </w:rPr>
        <w:t>)</w:t>
      </w:r>
      <w:r w:rsidRPr="00627B8D">
        <w:rPr>
          <w:rFonts w:ascii="Traditional Arabic" w:hAnsi="Traditional Arabic"/>
          <w:color w:val="0D0D0D" w:themeColor="text1" w:themeTint="F2"/>
          <w:sz w:val="44"/>
          <w:rtl/>
        </w:rPr>
        <w:t>في قوله تعالى</w:t>
      </w:r>
      <w:r w:rsidRPr="00B07E03">
        <w:rPr>
          <w:color w:val="0D0D0D" w:themeColor="text1" w:themeTint="F2"/>
          <w:sz w:val="44"/>
          <w:rtl/>
        </w:rPr>
        <w:t>:</w:t>
      </w:r>
      <w:r w:rsidRPr="00B07E03">
        <w:rPr>
          <w:rFonts w:ascii="QCF_BSML" w:hAnsi="QCF_BSML" w:cs="QCF_BSML" w:hint="cs"/>
          <w:color w:val="0D0D0D" w:themeColor="text1" w:themeTint="F2"/>
          <w:sz w:val="28"/>
          <w:szCs w:val="28"/>
          <w:rtl/>
          <w:lang w:eastAsia="en-US"/>
        </w:rPr>
        <w:t xml:space="preserve"> </w:t>
      </w:r>
      <w:r w:rsidRPr="00F509AE">
        <w:rPr>
          <w:rFonts w:ascii="QCF_BSML" w:hAnsi="QCF_BSML" w:cs="QCF_BSML"/>
          <w:color w:val="0D0D0D" w:themeColor="text1" w:themeTint="F2"/>
          <w:sz w:val="32"/>
          <w:szCs w:val="32"/>
          <w:rtl/>
          <w:lang w:eastAsia="en-US"/>
        </w:rPr>
        <w:t xml:space="preserve">ﭽ </w:t>
      </w:r>
      <w:r w:rsidRPr="00F509AE">
        <w:rPr>
          <w:rFonts w:ascii="QCF_P253" w:hAnsi="QCF_P253" w:cs="QCF_P253"/>
          <w:color w:val="0D0D0D" w:themeColor="text1" w:themeTint="F2"/>
          <w:sz w:val="32"/>
          <w:szCs w:val="32"/>
          <w:rtl/>
          <w:lang w:eastAsia="en-US"/>
        </w:rPr>
        <w:t xml:space="preserve">ﭸ ﭹ ﭺ ﭻ ﭼ ﭽ </w:t>
      </w:r>
      <w:r w:rsidRPr="00F509AE">
        <w:rPr>
          <w:rFonts w:ascii="QCF_BSML" w:hAnsi="QCF_BSML" w:cs="QCF_BSML"/>
          <w:color w:val="0D0D0D" w:themeColor="text1" w:themeTint="F2"/>
          <w:sz w:val="32"/>
          <w:szCs w:val="32"/>
          <w:rtl/>
          <w:lang w:eastAsia="en-US"/>
        </w:rPr>
        <w:t>ﭼ</w:t>
      </w:r>
      <w:r w:rsidRPr="00B07E03">
        <w:rPr>
          <w:rFonts w:ascii="QCF_BSML" w:hAnsi="QCF_BSML" w:cs="QCF_BSML" w:hint="cs"/>
          <w:color w:val="0D0D0D" w:themeColor="text1" w:themeTint="F2"/>
          <w:sz w:val="28"/>
          <w:szCs w:val="28"/>
          <w:rtl/>
          <w:lang w:eastAsia="en-US"/>
        </w:rPr>
        <w:t xml:space="preserve"> </w:t>
      </w:r>
      <w:r w:rsidRPr="00B07E03">
        <w:rPr>
          <w:rFonts w:ascii="Arial" w:hAnsi="Arial" w:cs="Arial" w:hint="cs"/>
          <w:color w:val="0D0D0D" w:themeColor="text1" w:themeTint="F2"/>
          <w:sz w:val="28"/>
          <w:szCs w:val="28"/>
          <w:rtl/>
          <w:lang w:eastAsia="en-US"/>
        </w:rPr>
        <w:t>[</w:t>
      </w:r>
      <w:r w:rsidRPr="00B07E03">
        <w:rPr>
          <w:rFonts w:ascii="Traditional Arabic" w:hAnsi="Traditional Arabic"/>
          <w:color w:val="0D0D0D" w:themeColor="text1" w:themeTint="F2"/>
          <w:sz w:val="28"/>
          <w:szCs w:val="28"/>
          <w:rtl/>
          <w:lang w:eastAsia="en-US"/>
        </w:rPr>
        <w:t>الرعد:31</w:t>
      </w:r>
      <w:r w:rsidRPr="00B07E03">
        <w:rPr>
          <w:rFonts w:ascii="Arial" w:hAnsi="Arial" w:cs="Arial" w:hint="cs"/>
          <w:color w:val="0D0D0D" w:themeColor="text1" w:themeTint="F2"/>
          <w:sz w:val="28"/>
          <w:szCs w:val="28"/>
          <w:rtl/>
          <w:lang w:eastAsia="en-US"/>
        </w:rPr>
        <w:t>]</w:t>
      </w:r>
      <w:r w:rsidR="00354C09">
        <w:rPr>
          <w:rFonts w:ascii="Traditional Arabic" w:hAnsi="Traditional Arabic" w:hint="cs"/>
          <w:color w:val="0D0D0D" w:themeColor="text1" w:themeTint="F2"/>
          <w:sz w:val="28"/>
          <w:szCs w:val="28"/>
          <w:rtl/>
        </w:rPr>
        <w:t>.</w:t>
      </w:r>
      <w:r w:rsidRPr="00B07E03">
        <w:rPr>
          <w:rFonts w:ascii="Traditional Arabic" w:hAnsi="Traditional Arabic" w:hint="cs"/>
          <w:color w:val="0D0D0D" w:themeColor="text1" w:themeTint="F2"/>
          <w:sz w:val="28"/>
          <w:szCs w:val="28"/>
          <w:rtl/>
        </w:rPr>
        <w:t xml:space="preserve"> </w:t>
      </w:r>
      <w:r w:rsidRPr="00B07E03">
        <w:rPr>
          <w:color w:val="0D0D0D" w:themeColor="text1" w:themeTint="F2"/>
          <w:sz w:val="44"/>
          <w:rtl/>
        </w:rPr>
        <w:t>ومعنى الآية:</w:t>
      </w:r>
      <w:r w:rsidRPr="00B07E03">
        <w:rPr>
          <w:rFonts w:hint="cs"/>
          <w:color w:val="0D0D0D" w:themeColor="text1" w:themeTint="F2"/>
          <w:sz w:val="44"/>
          <w:rtl/>
        </w:rPr>
        <w:t xml:space="preserve"> </w:t>
      </w:r>
      <w:r w:rsidRPr="00B07E03">
        <w:rPr>
          <w:color w:val="0D0D0D" w:themeColor="text1" w:themeTint="F2"/>
          <w:sz w:val="44"/>
          <w:rtl/>
        </w:rPr>
        <w:t>وما منَعَنا إِرسالَ</w:t>
      </w:r>
      <w:r w:rsidR="00970896">
        <w:rPr>
          <w:color w:val="0D0D0D" w:themeColor="text1" w:themeTint="F2"/>
          <w:sz w:val="44"/>
          <w:rtl/>
        </w:rPr>
        <w:t xml:space="preserve"> الآياتِ التي سألوها إِلا تكذيب</w:t>
      </w:r>
      <w:r w:rsidRPr="00B07E03">
        <w:rPr>
          <w:color w:val="0D0D0D" w:themeColor="text1" w:themeTint="F2"/>
          <w:sz w:val="44"/>
          <w:rtl/>
        </w:rPr>
        <w:t xml:space="preserve"> الأوّلين، يعني أن هؤلاء سألوا الآيات التي استوجب بتكذيبها الأولونَ العذابَ، فلم يرسله</w:t>
      </w:r>
      <w:r w:rsidR="00970896">
        <w:rPr>
          <w:color w:val="0D0D0D" w:themeColor="text1" w:themeTint="F2"/>
          <w:sz w:val="44"/>
          <w:rtl/>
        </w:rPr>
        <w:t xml:space="preserve">ا لئلا يكذِّب بها هؤلاء </w:t>
      </w:r>
      <w:r w:rsidR="0020377E">
        <w:rPr>
          <w:rFonts w:hint="cs"/>
          <w:color w:val="0D0D0D" w:themeColor="text1" w:themeTint="F2"/>
          <w:sz w:val="44"/>
          <w:rtl/>
        </w:rPr>
        <w:t>[</w:t>
      </w:r>
      <w:r w:rsidR="00970896">
        <w:rPr>
          <w:color w:val="0D0D0D" w:themeColor="text1" w:themeTint="F2"/>
          <w:sz w:val="44"/>
          <w:rtl/>
        </w:rPr>
        <w:t>فيهلكو</w:t>
      </w:r>
      <w:r w:rsidR="00BD73F6">
        <w:rPr>
          <w:rFonts w:hint="cs"/>
          <w:color w:val="0D0D0D" w:themeColor="text1" w:themeTint="F2"/>
          <w:sz w:val="44"/>
          <w:rtl/>
        </w:rPr>
        <w:t>ا</w:t>
      </w:r>
      <w:r w:rsidR="0020377E">
        <w:rPr>
          <w:rFonts w:hint="cs"/>
          <w:rtl/>
        </w:rPr>
        <w:t>]</w:t>
      </w:r>
      <w:r w:rsidR="00BD73F6" w:rsidRPr="00BD73F6">
        <w:rPr>
          <w:rStyle w:val="ae"/>
          <w:rtl/>
        </w:rPr>
        <w:t>(</w:t>
      </w:r>
      <w:r w:rsidR="00BD73F6">
        <w:rPr>
          <w:rStyle w:val="ae"/>
          <w:rtl/>
        </w:rPr>
        <w:footnoteReference w:id="200"/>
      </w:r>
      <w:r w:rsidR="00BD73F6" w:rsidRPr="00BD73F6">
        <w:rPr>
          <w:rStyle w:val="ae"/>
          <w:rtl/>
        </w:rPr>
        <w:t>)</w:t>
      </w:r>
      <w:r w:rsidR="00BD73F6">
        <w:rPr>
          <w:rFonts w:hint="cs"/>
          <w:color w:val="0D0D0D" w:themeColor="text1" w:themeTint="F2"/>
          <w:sz w:val="44"/>
          <w:rtl/>
        </w:rPr>
        <w:t>ك</w:t>
      </w:r>
      <w:r w:rsidRPr="00B07E03">
        <w:rPr>
          <w:color w:val="0D0D0D" w:themeColor="text1" w:themeTint="F2"/>
          <w:sz w:val="44"/>
          <w:rtl/>
        </w:rPr>
        <w:t>ما هلك أولئك، وس</w:t>
      </w:r>
      <w:r w:rsidR="00970896">
        <w:rPr>
          <w:rFonts w:hint="cs"/>
          <w:color w:val="0D0D0D" w:themeColor="text1" w:themeTint="F2"/>
          <w:sz w:val="44"/>
          <w:rtl/>
        </w:rPr>
        <w:t>ُ</w:t>
      </w:r>
      <w:r w:rsidRPr="00B07E03">
        <w:rPr>
          <w:color w:val="0D0D0D" w:themeColor="text1" w:themeTint="F2"/>
          <w:sz w:val="44"/>
          <w:rtl/>
        </w:rPr>
        <w:t>نَّة الله في الأمم أنهم إِذا سألوا الآيات ثم كذَّبوا بها عذَّبهم.</w:t>
      </w:r>
      <w:r w:rsidR="00C75852">
        <w:rPr>
          <w:rFonts w:hint="cs"/>
          <w:color w:val="0D0D0D" w:themeColor="text1" w:themeTint="F2"/>
          <w:sz w:val="44"/>
          <w:rtl/>
        </w:rPr>
        <w:t xml:space="preserve"> </w:t>
      </w:r>
    </w:p>
    <w:p w:rsidR="00AB6719" w:rsidRPr="00327E19" w:rsidRDefault="00AB6719" w:rsidP="00A46FB9">
      <w:pPr>
        <w:pStyle w:val="a4"/>
        <w:rPr>
          <w:rFonts w:ascii="Traditional Arabic" w:hAnsi="Traditional Arabic"/>
          <w:color w:val="0D0D0D" w:themeColor="text1" w:themeTint="F2"/>
          <w:rtl/>
          <w:lang w:eastAsia="en-US"/>
        </w:rPr>
      </w:pPr>
      <w:r w:rsidRPr="00B07E03">
        <w:rPr>
          <w:color w:val="0D0D0D" w:themeColor="text1" w:themeTint="F2"/>
          <w:sz w:val="44"/>
          <w:rtl/>
        </w:rPr>
        <w:t>قوله تعالى:</w:t>
      </w:r>
      <w:r w:rsidRPr="00B07E03">
        <w:rPr>
          <w:rFonts w:ascii="QCF_BSML" w:hAnsi="QCF_BSML" w:cs="QCF_BSML"/>
          <w:color w:val="0D0D0D" w:themeColor="text1" w:themeTint="F2"/>
          <w:sz w:val="47"/>
          <w:szCs w:val="47"/>
          <w:rtl/>
          <w:lang w:eastAsia="en-US"/>
        </w:rPr>
        <w:t xml:space="preserve"> </w:t>
      </w:r>
      <w:r w:rsidRPr="00F509AE">
        <w:rPr>
          <w:rFonts w:ascii="QCF_BSML" w:hAnsi="QCF_BSML" w:cs="QCF_BSML"/>
          <w:color w:val="0D0D0D" w:themeColor="text1" w:themeTint="F2"/>
          <w:sz w:val="32"/>
          <w:szCs w:val="32"/>
          <w:rtl/>
          <w:lang w:eastAsia="en-US"/>
        </w:rPr>
        <w:t xml:space="preserve">ﭽ </w:t>
      </w:r>
      <w:r w:rsidRPr="00F509AE">
        <w:rPr>
          <w:rFonts w:ascii="QCF_P288" w:hAnsi="QCF_P288" w:cs="QCF_P288"/>
          <w:color w:val="0D0D0D" w:themeColor="text1" w:themeTint="F2"/>
          <w:sz w:val="32"/>
          <w:szCs w:val="32"/>
          <w:rtl/>
          <w:lang w:eastAsia="en-US"/>
        </w:rPr>
        <w:t>ﭜ ﭝ ﭞ ﭟ</w:t>
      </w:r>
      <w:r w:rsidRPr="00F509AE">
        <w:rPr>
          <w:rFonts w:ascii="QCF_BSML" w:hAnsi="QCF_BSML" w:cs="QCF_BSML"/>
          <w:color w:val="0D0D0D" w:themeColor="text1" w:themeTint="F2"/>
          <w:sz w:val="32"/>
          <w:szCs w:val="32"/>
          <w:rtl/>
          <w:lang w:eastAsia="en-US"/>
        </w:rPr>
        <w:t>ﭼ</w:t>
      </w:r>
      <w:r w:rsidRPr="005D5287">
        <w:rPr>
          <w:color w:val="0D0D0D" w:themeColor="text1" w:themeTint="F2"/>
          <w:sz w:val="44"/>
          <w:rtl/>
        </w:rPr>
        <w:t xml:space="preserve"> </w:t>
      </w:r>
      <w:r w:rsidRPr="00B07E03">
        <w:rPr>
          <w:color w:val="0D0D0D" w:themeColor="text1" w:themeTint="F2"/>
          <w:sz w:val="44"/>
          <w:rtl/>
        </w:rPr>
        <w:t>قال ابن قتيبة</w:t>
      </w:r>
      <w:r w:rsidRPr="00B07E03">
        <w:rPr>
          <w:rStyle w:val="ae"/>
          <w:color w:val="0D0D0D" w:themeColor="text1" w:themeTint="F2"/>
          <w:rtl/>
        </w:rPr>
        <w:t>(</w:t>
      </w:r>
      <w:r w:rsidRPr="00B07E03">
        <w:rPr>
          <w:rStyle w:val="ae"/>
          <w:color w:val="0D0D0D" w:themeColor="text1" w:themeTint="F2"/>
          <w:rtl/>
        </w:rPr>
        <w:footnoteReference w:id="201"/>
      </w:r>
      <w:r w:rsidRPr="00B07E03">
        <w:rPr>
          <w:rStyle w:val="ae"/>
          <w:color w:val="0D0D0D" w:themeColor="text1" w:themeTint="F2"/>
          <w:rtl/>
        </w:rPr>
        <w:t>)</w:t>
      </w:r>
      <w:r w:rsidRPr="00B07E03">
        <w:rPr>
          <w:color w:val="0D0D0D" w:themeColor="text1" w:themeTint="F2"/>
          <w:sz w:val="44"/>
          <w:rtl/>
        </w:rPr>
        <w:t>: أي: بَيِّنَةً، يريد: مُبْصَراً بها</w:t>
      </w:r>
      <w:r w:rsidRPr="00B07E03">
        <w:rPr>
          <w:rStyle w:val="ae"/>
          <w:color w:val="0D0D0D" w:themeColor="text1" w:themeTint="F2"/>
          <w:rtl/>
        </w:rPr>
        <w:t>(</w:t>
      </w:r>
      <w:r w:rsidRPr="00B07E03">
        <w:rPr>
          <w:rStyle w:val="ae"/>
          <w:color w:val="0D0D0D" w:themeColor="text1" w:themeTint="F2"/>
          <w:rtl/>
        </w:rPr>
        <w:footnoteReference w:id="202"/>
      </w:r>
      <w:r w:rsidRPr="00B07E03">
        <w:rPr>
          <w:rStyle w:val="ae"/>
          <w:color w:val="0D0D0D" w:themeColor="text1" w:themeTint="F2"/>
          <w:rtl/>
        </w:rPr>
        <w:t>)</w:t>
      </w:r>
      <w:r w:rsidRPr="00B07E03">
        <w:rPr>
          <w:color w:val="0D0D0D" w:themeColor="text1" w:themeTint="F2"/>
          <w:sz w:val="44"/>
          <w:rtl/>
        </w:rPr>
        <w:t>. قال ابن الأنباري</w:t>
      </w:r>
      <w:r w:rsidRPr="00B07E03">
        <w:rPr>
          <w:rStyle w:val="ae"/>
          <w:color w:val="0D0D0D" w:themeColor="text1" w:themeTint="F2"/>
          <w:rtl/>
        </w:rPr>
        <w:t>(</w:t>
      </w:r>
      <w:r w:rsidRPr="00B07E03">
        <w:rPr>
          <w:rStyle w:val="ae"/>
          <w:color w:val="0D0D0D" w:themeColor="text1" w:themeTint="F2"/>
          <w:rtl/>
        </w:rPr>
        <w:footnoteReference w:id="203"/>
      </w:r>
      <w:r w:rsidRPr="00B07E03">
        <w:rPr>
          <w:rStyle w:val="ae"/>
          <w:color w:val="0D0D0D" w:themeColor="text1" w:themeTint="F2"/>
          <w:rtl/>
        </w:rPr>
        <w:t>)</w:t>
      </w:r>
      <w:r w:rsidRPr="00B07E03">
        <w:rPr>
          <w:color w:val="0D0D0D" w:themeColor="text1" w:themeTint="F2"/>
          <w:sz w:val="44"/>
          <w:rtl/>
        </w:rPr>
        <w:t xml:space="preserve">: ويجوز أن تكون </w:t>
      </w:r>
      <w:r w:rsidR="0081627F" w:rsidRPr="0081627F">
        <w:rPr>
          <w:color w:val="0D0D0D" w:themeColor="text1" w:themeTint="F2"/>
          <w:sz w:val="44"/>
          <w:rtl/>
        </w:rPr>
        <w:t xml:space="preserve">مبصرةً </w:t>
      </w:r>
      <w:r w:rsidR="0076327F">
        <w:rPr>
          <w:rFonts w:hint="cs"/>
          <w:color w:val="0D0D0D" w:themeColor="text1" w:themeTint="F2"/>
          <w:sz w:val="44"/>
          <w:rtl/>
        </w:rPr>
        <w:t>[</w:t>
      </w:r>
      <w:r w:rsidR="00354C09">
        <w:rPr>
          <w:color w:val="0D0D0D" w:themeColor="text1" w:themeTint="F2"/>
          <w:sz w:val="44"/>
          <w:rtl/>
        </w:rPr>
        <w:t>بمعنى مُبصِر</w:t>
      </w:r>
      <w:r w:rsidR="00354C09">
        <w:rPr>
          <w:rFonts w:hint="cs"/>
          <w:color w:val="0D0D0D" w:themeColor="text1" w:themeTint="F2"/>
          <w:sz w:val="44"/>
          <w:rtl/>
        </w:rPr>
        <w:t>ةً</w:t>
      </w:r>
      <w:r w:rsidR="0076327F">
        <w:rPr>
          <w:rFonts w:hint="cs"/>
          <w:color w:val="0D0D0D" w:themeColor="text1" w:themeTint="F2"/>
          <w:sz w:val="44"/>
          <w:rtl/>
        </w:rPr>
        <w:t>]</w:t>
      </w:r>
      <w:r w:rsidR="00970896" w:rsidRPr="00970896">
        <w:rPr>
          <w:rStyle w:val="ae"/>
          <w:rtl/>
        </w:rPr>
        <w:t>(</w:t>
      </w:r>
      <w:r w:rsidR="00970896">
        <w:rPr>
          <w:rStyle w:val="ae"/>
          <w:rtl/>
        </w:rPr>
        <w:footnoteReference w:id="204"/>
      </w:r>
      <w:r w:rsidR="00970896" w:rsidRPr="00970896">
        <w:rPr>
          <w:rStyle w:val="ae"/>
          <w:rtl/>
        </w:rPr>
        <w:t>)</w:t>
      </w:r>
      <w:r w:rsidRPr="00B07E03">
        <w:rPr>
          <w:color w:val="0D0D0D" w:themeColor="text1" w:themeTint="F2"/>
          <w:sz w:val="44"/>
          <w:rtl/>
        </w:rPr>
        <w:t>، ويصلح أن يكون المعنى: مُبصِر</w:t>
      </w:r>
      <w:r w:rsidR="00354C09">
        <w:rPr>
          <w:rFonts w:hint="cs"/>
          <w:color w:val="0D0D0D" w:themeColor="text1" w:themeTint="F2"/>
          <w:sz w:val="44"/>
          <w:rtl/>
        </w:rPr>
        <w:t>ٌ</w:t>
      </w:r>
      <w:r w:rsidRPr="00B07E03">
        <w:rPr>
          <w:color w:val="0D0D0D" w:themeColor="text1" w:themeTint="F2"/>
          <w:sz w:val="44"/>
          <w:rtl/>
        </w:rPr>
        <w:t xml:space="preserve"> </w:t>
      </w:r>
      <w:r w:rsidRPr="00B07E03">
        <w:rPr>
          <w:color w:val="0D0D0D" w:themeColor="text1" w:themeTint="F2"/>
          <w:sz w:val="44"/>
          <w:rtl/>
        </w:rPr>
        <w:lastRenderedPageBreak/>
        <w:t>مشاهدوها، فنسب إِليها فعل غيرها تجوُّزاً،</w:t>
      </w:r>
      <w:r w:rsidR="001277AD">
        <w:rPr>
          <w:rFonts w:hint="cs"/>
          <w:color w:val="0D0D0D" w:themeColor="text1" w:themeTint="F2"/>
          <w:sz w:val="44"/>
          <w:rtl/>
        </w:rPr>
        <w:t xml:space="preserve"> </w:t>
      </w:r>
      <w:r w:rsidR="00A82A80" w:rsidRPr="001277AD">
        <w:rPr>
          <w:rFonts w:hint="cs"/>
          <w:color w:val="0D0D0D" w:themeColor="text1" w:themeTint="F2"/>
          <w:sz w:val="32"/>
          <w:szCs w:val="32"/>
          <w:rtl/>
        </w:rPr>
        <w:t>[7</w:t>
      </w:r>
      <w:r w:rsidR="00A46FB9" w:rsidRPr="001277AD">
        <w:rPr>
          <w:rFonts w:hint="cs"/>
          <w:color w:val="0D0D0D" w:themeColor="text1" w:themeTint="F2"/>
          <w:sz w:val="32"/>
          <w:szCs w:val="32"/>
          <w:rtl/>
        </w:rPr>
        <w:t>2</w:t>
      </w:r>
      <w:r w:rsidR="00A82A80" w:rsidRPr="001277AD">
        <w:rPr>
          <w:rFonts w:hint="cs"/>
          <w:color w:val="0D0D0D" w:themeColor="text1" w:themeTint="F2"/>
          <w:sz w:val="32"/>
          <w:szCs w:val="32"/>
          <w:rtl/>
        </w:rPr>
        <w:t>]</w:t>
      </w:r>
      <w:r w:rsidR="001277AD">
        <w:rPr>
          <w:rFonts w:hint="cs"/>
          <w:color w:val="0D0D0D" w:themeColor="text1" w:themeTint="F2"/>
          <w:sz w:val="44"/>
          <w:rtl/>
        </w:rPr>
        <w:t xml:space="preserve"> </w:t>
      </w:r>
      <w:r w:rsidRPr="00B07E03">
        <w:rPr>
          <w:color w:val="0D0D0D" w:themeColor="text1" w:themeTint="F2"/>
          <w:sz w:val="44"/>
          <w:rtl/>
        </w:rPr>
        <w:t>كما يقال: لا أرينّك ها هنا، فأدخل حرف النهي على غير المنهي عنه، إذ المعنى: لا تحضر</w:t>
      </w:r>
      <w:r w:rsidRPr="00B07E03">
        <w:rPr>
          <w:rFonts w:hint="cs"/>
          <w:color w:val="0D0D0D" w:themeColor="text1" w:themeTint="F2"/>
          <w:sz w:val="44"/>
          <w:rtl/>
        </w:rPr>
        <w:t xml:space="preserve"> </w:t>
      </w:r>
      <w:r w:rsidRPr="00B07E03">
        <w:rPr>
          <w:rFonts w:ascii="Traditional Arabic" w:hAnsi="Traditional Arabic"/>
          <w:color w:val="0D0D0D" w:themeColor="text1" w:themeTint="F2"/>
          <w:rtl/>
          <w:lang w:eastAsia="en-US"/>
        </w:rPr>
        <w:t>ها هنا، حتى إِذا جئتُ لم أركَ فيه</w:t>
      </w:r>
      <w:r w:rsidRPr="00B07E03">
        <w:rPr>
          <w:rStyle w:val="ae"/>
          <w:color w:val="0D0D0D" w:themeColor="text1" w:themeTint="F2"/>
          <w:rtl/>
        </w:rPr>
        <w:t>(</w:t>
      </w:r>
      <w:r w:rsidRPr="00B07E03">
        <w:rPr>
          <w:rStyle w:val="ae"/>
          <w:color w:val="0D0D0D" w:themeColor="text1" w:themeTint="F2"/>
          <w:rtl/>
        </w:rPr>
        <w:footnoteReference w:id="205"/>
      </w:r>
      <w:r w:rsidRPr="00B07E03">
        <w:rPr>
          <w:rStyle w:val="ae"/>
          <w:color w:val="0D0D0D" w:themeColor="text1" w:themeTint="F2"/>
          <w:rtl/>
        </w:rPr>
        <w:t>)</w:t>
      </w:r>
      <w:r w:rsidRPr="00B07E03">
        <w:rPr>
          <w:rFonts w:ascii="Traditional Arabic" w:hAnsi="Traditional Arabic"/>
          <w:color w:val="0D0D0D" w:themeColor="text1" w:themeTint="F2"/>
          <w:rtl/>
          <w:lang w:eastAsia="en-US"/>
        </w:rPr>
        <w:t>.</w:t>
      </w:r>
      <w:r w:rsidR="00970896">
        <w:rPr>
          <w:rFonts w:hint="cs"/>
          <w:color w:val="0D0D0D" w:themeColor="text1" w:themeTint="F2"/>
          <w:sz w:val="44"/>
          <w:rtl/>
        </w:rPr>
        <w:t xml:space="preserve"> </w:t>
      </w:r>
      <w:r w:rsidRPr="00B07E03">
        <w:rPr>
          <w:rFonts w:ascii="Traditional Arabic" w:hAnsi="Traditional Arabic"/>
          <w:color w:val="0D0D0D" w:themeColor="text1" w:themeTint="F2"/>
          <w:rtl/>
          <w:lang w:eastAsia="en-US"/>
        </w:rPr>
        <w:t xml:space="preserve">ومن قرأ </w:t>
      </w:r>
      <w:r w:rsidR="006A1D8C">
        <w:rPr>
          <w:rFonts w:ascii="Traditional Arabic" w:hAnsi="Traditional Arabic" w:hint="cs"/>
          <w:color w:val="0D0D0D" w:themeColor="text1" w:themeTint="F2"/>
          <w:rtl/>
          <w:lang w:eastAsia="en-US"/>
        </w:rPr>
        <w:t>"</w:t>
      </w:r>
      <w:r w:rsidRPr="00B07E03">
        <w:rPr>
          <w:rFonts w:ascii="Traditional Arabic" w:hAnsi="Traditional Arabic"/>
          <w:color w:val="0D0D0D" w:themeColor="text1" w:themeTint="F2"/>
          <w:rtl/>
          <w:lang w:eastAsia="en-US"/>
        </w:rPr>
        <w:t>مَبْصَرة</w:t>
      </w:r>
      <w:r w:rsidRPr="00B07E03">
        <w:rPr>
          <w:rFonts w:ascii="Traditional Arabic" w:hAnsi="Traditional Arabic" w:hint="cs"/>
          <w:color w:val="0D0D0D" w:themeColor="text1" w:themeTint="F2"/>
          <w:rtl/>
          <w:lang w:eastAsia="en-US"/>
        </w:rPr>
        <w:t>"</w:t>
      </w:r>
      <w:r w:rsidRPr="00B07E03">
        <w:rPr>
          <w:rStyle w:val="ae"/>
          <w:color w:val="0D0D0D" w:themeColor="text1" w:themeTint="F2"/>
          <w:rtl/>
        </w:rPr>
        <w:t>(</w:t>
      </w:r>
      <w:r w:rsidRPr="00B07E03">
        <w:rPr>
          <w:rStyle w:val="ae"/>
          <w:color w:val="0D0D0D" w:themeColor="text1" w:themeTint="F2"/>
          <w:rtl/>
        </w:rPr>
        <w:footnoteReference w:id="206"/>
      </w:r>
      <w:r w:rsidRPr="00B07E03">
        <w:rPr>
          <w:rStyle w:val="ae"/>
          <w:color w:val="0D0D0D" w:themeColor="text1" w:themeTint="F2"/>
          <w:rtl/>
        </w:rPr>
        <w:t>)</w:t>
      </w:r>
      <w:r w:rsidRPr="00B07E03">
        <w:rPr>
          <w:rFonts w:ascii="Traditional Arabic" w:hAnsi="Traditional Arabic"/>
          <w:color w:val="0D0D0D" w:themeColor="text1" w:themeTint="F2"/>
          <w:rtl/>
          <w:lang w:eastAsia="en-US"/>
        </w:rPr>
        <w:t>بفتح الميم والصاد، فمعناه: المبالغة في وصف الناقة بالتبيان، كقولهم:</w:t>
      </w:r>
      <w:r>
        <w:rPr>
          <w:rFonts w:ascii="Traditional Arabic" w:hAnsi="Traditional Arabic" w:hint="cs"/>
          <w:color w:val="0D0D0D" w:themeColor="text1" w:themeTint="F2"/>
          <w:rtl/>
          <w:lang w:eastAsia="en-US"/>
        </w:rPr>
        <w:t xml:space="preserve"> </w:t>
      </w:r>
      <w:r w:rsidRPr="00B07E03">
        <w:rPr>
          <w:rFonts w:ascii="Traditional Arabic" w:hAnsi="Traditional Arabic" w:hint="cs"/>
          <w:color w:val="0D0D0D" w:themeColor="text1" w:themeTint="F2"/>
          <w:rtl/>
          <w:lang w:eastAsia="en-US"/>
        </w:rPr>
        <w:t>"</w:t>
      </w:r>
      <w:r w:rsidRPr="00B07E03">
        <w:rPr>
          <w:rFonts w:ascii="Traditional Arabic" w:hAnsi="Traditional Arabic"/>
          <w:color w:val="0D0D0D" w:themeColor="text1" w:themeTint="F2"/>
          <w:rtl/>
          <w:lang w:eastAsia="en-US"/>
        </w:rPr>
        <w:t>الولد مَجْبَنة</w:t>
      </w:r>
      <w:r w:rsidRPr="00B07E03">
        <w:rPr>
          <w:rFonts w:ascii="Traditional Arabic" w:hAnsi="Traditional Arabic" w:hint="cs"/>
          <w:color w:val="0D0D0D" w:themeColor="text1" w:themeTint="F2"/>
          <w:rtl/>
          <w:lang w:eastAsia="en-US"/>
        </w:rPr>
        <w:t>"</w:t>
      </w:r>
      <w:r w:rsidRPr="00B07E03">
        <w:rPr>
          <w:rStyle w:val="ae"/>
          <w:color w:val="0D0D0D" w:themeColor="text1" w:themeTint="F2"/>
          <w:rtl/>
        </w:rPr>
        <w:t>(</w:t>
      </w:r>
      <w:r w:rsidRPr="00B07E03">
        <w:rPr>
          <w:rStyle w:val="ae"/>
          <w:color w:val="0D0D0D" w:themeColor="text1" w:themeTint="F2"/>
          <w:rtl/>
        </w:rPr>
        <w:footnoteReference w:id="207"/>
      </w:r>
      <w:r w:rsidRPr="00B07E03">
        <w:rPr>
          <w:rStyle w:val="ae"/>
          <w:color w:val="0D0D0D" w:themeColor="text1" w:themeTint="F2"/>
          <w:rtl/>
        </w:rPr>
        <w:t>)</w:t>
      </w:r>
      <w:r w:rsidRPr="00B07E03">
        <w:rPr>
          <w:rFonts w:ascii="Traditional Arabic" w:hAnsi="Traditional Arabic" w:hint="cs"/>
          <w:color w:val="0D0D0D" w:themeColor="text1" w:themeTint="F2"/>
          <w:rtl/>
          <w:lang w:eastAsia="en-US"/>
        </w:rPr>
        <w:t>.</w:t>
      </w:r>
      <w:r w:rsidRPr="00B07E03">
        <w:rPr>
          <w:rFonts w:ascii="Traditional Arabic" w:hAnsi="Traditional Arabic"/>
          <w:color w:val="0D0D0D" w:themeColor="text1" w:themeTint="F2"/>
          <w:rtl/>
          <w:lang w:eastAsia="en-US"/>
        </w:rPr>
        <w:t>قوله تعالى:</w:t>
      </w:r>
      <w:r>
        <w:rPr>
          <w:rFonts w:ascii="Traditional Arabic" w:hAnsi="Traditional Arabic" w:hint="cs"/>
          <w:color w:val="0D0D0D" w:themeColor="text1" w:themeTint="F2"/>
          <w:rtl/>
          <w:lang w:eastAsia="en-US"/>
        </w:rPr>
        <w:t xml:space="preserve"> </w:t>
      </w:r>
      <w:r w:rsidRPr="00F509AE">
        <w:rPr>
          <w:rFonts w:ascii="QCF_BSML" w:hAnsi="QCF_BSML" w:cs="QCF_BSML"/>
          <w:color w:val="0D0D0D" w:themeColor="text1" w:themeTint="F2"/>
          <w:sz w:val="32"/>
          <w:szCs w:val="32"/>
          <w:rtl/>
          <w:lang w:eastAsia="en-US"/>
        </w:rPr>
        <w:t>ﭽ</w:t>
      </w:r>
      <w:r w:rsidRPr="00F509AE">
        <w:rPr>
          <w:rFonts w:ascii="QCF_P288" w:hAnsi="QCF_P288" w:cs="QCF_P288"/>
          <w:color w:val="0D0D0D" w:themeColor="text1" w:themeTint="F2"/>
          <w:sz w:val="32"/>
          <w:szCs w:val="32"/>
          <w:rtl/>
          <w:lang w:eastAsia="en-US"/>
        </w:rPr>
        <w:t>ﭠ ﭡ</w:t>
      </w:r>
      <w:r w:rsidRPr="00F509AE">
        <w:rPr>
          <w:rFonts w:ascii="QCF_BSML" w:hAnsi="QCF_BSML" w:cs="QCF_BSML"/>
          <w:color w:val="0D0D0D" w:themeColor="text1" w:themeTint="F2"/>
          <w:sz w:val="32"/>
          <w:szCs w:val="32"/>
          <w:rtl/>
          <w:lang w:eastAsia="en-US"/>
        </w:rPr>
        <w:t>ﭼ</w:t>
      </w:r>
      <w:r w:rsidR="0076327F">
        <w:rPr>
          <w:rFonts w:ascii="QCF_BSML" w:hAnsi="QCF_BSML" w:cs="QCF_BSML" w:hint="cs"/>
          <w:color w:val="0D0D0D" w:themeColor="text1" w:themeTint="F2"/>
          <w:sz w:val="47"/>
          <w:szCs w:val="47"/>
          <w:rtl/>
          <w:lang w:eastAsia="en-US"/>
        </w:rPr>
        <w:t xml:space="preserve">  </w:t>
      </w:r>
      <w:r w:rsidRPr="00B07E03">
        <w:rPr>
          <w:rFonts w:ascii="QCF_BSML" w:hAnsi="QCF_BSML" w:cs="QCF_BSML"/>
          <w:color w:val="0D0D0D" w:themeColor="text1" w:themeTint="F2"/>
          <w:sz w:val="47"/>
          <w:szCs w:val="47"/>
          <w:rtl/>
          <w:lang w:eastAsia="en-US"/>
        </w:rPr>
        <w:t xml:space="preserve"> </w:t>
      </w:r>
      <w:r w:rsidRPr="00B07E03">
        <w:rPr>
          <w:rFonts w:ascii="Traditional Arabic" w:hAnsi="Traditional Arabic"/>
          <w:color w:val="0D0D0D" w:themeColor="text1" w:themeTint="F2"/>
          <w:rtl/>
          <w:lang w:eastAsia="en-US"/>
        </w:rPr>
        <w:t>قال ابن عباس: فجحدوا بها</w:t>
      </w:r>
      <w:r w:rsidRPr="00B07E03">
        <w:rPr>
          <w:rStyle w:val="ae"/>
          <w:color w:val="0D0D0D" w:themeColor="text1" w:themeTint="F2"/>
          <w:rtl/>
        </w:rPr>
        <w:t>(</w:t>
      </w:r>
      <w:r w:rsidRPr="00B07E03">
        <w:rPr>
          <w:rStyle w:val="ae"/>
          <w:color w:val="0D0D0D" w:themeColor="text1" w:themeTint="F2"/>
          <w:rtl/>
        </w:rPr>
        <w:footnoteReference w:id="208"/>
      </w:r>
      <w:r w:rsidRPr="00B07E03">
        <w:rPr>
          <w:rStyle w:val="ae"/>
          <w:color w:val="0D0D0D" w:themeColor="text1" w:themeTint="F2"/>
          <w:rtl/>
        </w:rPr>
        <w:t>)</w:t>
      </w:r>
      <w:r w:rsidR="001B38DC">
        <w:rPr>
          <w:rFonts w:ascii="Traditional Arabic" w:hAnsi="Traditional Arabic"/>
          <w:color w:val="0D0D0D" w:themeColor="text1" w:themeTint="F2"/>
          <w:rtl/>
          <w:lang w:eastAsia="en-US"/>
        </w:rPr>
        <w:t>.</w:t>
      </w:r>
      <w:r w:rsidR="001B38DC">
        <w:rPr>
          <w:rFonts w:ascii="Traditional Arabic" w:hAnsi="Traditional Arabic" w:hint="cs"/>
          <w:color w:val="0D0D0D" w:themeColor="text1" w:themeTint="F2"/>
          <w:rtl/>
          <w:lang w:eastAsia="en-US"/>
        </w:rPr>
        <w:t xml:space="preserve"> </w:t>
      </w:r>
      <w:r w:rsidRPr="00B07E03">
        <w:rPr>
          <w:rFonts w:ascii="Traditional Arabic" w:hAnsi="Traditional Arabic"/>
          <w:color w:val="0D0D0D" w:themeColor="text1" w:themeTint="F2"/>
          <w:rtl/>
          <w:lang w:eastAsia="en-US"/>
        </w:rPr>
        <w:t>وقال الأخفش</w:t>
      </w:r>
      <w:r w:rsidRPr="00B07E03">
        <w:rPr>
          <w:rStyle w:val="ae"/>
          <w:color w:val="0D0D0D" w:themeColor="text1" w:themeTint="F2"/>
          <w:rtl/>
        </w:rPr>
        <w:t>(</w:t>
      </w:r>
      <w:r w:rsidRPr="00B07E03">
        <w:rPr>
          <w:rStyle w:val="ae"/>
          <w:color w:val="0D0D0D" w:themeColor="text1" w:themeTint="F2"/>
          <w:rtl/>
        </w:rPr>
        <w:footnoteReference w:id="209"/>
      </w:r>
      <w:r w:rsidRPr="00B07E03">
        <w:rPr>
          <w:rStyle w:val="ae"/>
          <w:color w:val="0D0D0D" w:themeColor="text1" w:themeTint="F2"/>
          <w:rtl/>
        </w:rPr>
        <w:t>)</w:t>
      </w:r>
      <w:r w:rsidRPr="00B07E03">
        <w:rPr>
          <w:rFonts w:ascii="Traditional Arabic" w:hAnsi="Traditional Arabic"/>
          <w:color w:val="0D0D0D" w:themeColor="text1" w:themeTint="F2"/>
          <w:rtl/>
          <w:lang w:eastAsia="en-US"/>
        </w:rPr>
        <w:t>: بها كان ظُلمهم</w:t>
      </w:r>
      <w:r w:rsidRPr="00B07E03">
        <w:rPr>
          <w:rStyle w:val="ae"/>
          <w:color w:val="0D0D0D" w:themeColor="text1" w:themeTint="F2"/>
          <w:rtl/>
        </w:rPr>
        <w:t>(</w:t>
      </w:r>
      <w:r w:rsidRPr="00B07E03">
        <w:rPr>
          <w:rStyle w:val="ae"/>
          <w:color w:val="0D0D0D" w:themeColor="text1" w:themeTint="F2"/>
          <w:rtl/>
        </w:rPr>
        <w:footnoteReference w:id="210"/>
      </w:r>
      <w:r w:rsidRPr="00B07E03">
        <w:rPr>
          <w:rStyle w:val="ae"/>
          <w:color w:val="0D0D0D" w:themeColor="text1" w:themeTint="F2"/>
          <w:rtl/>
        </w:rPr>
        <w:t>)</w:t>
      </w:r>
      <w:r w:rsidRPr="00B07E03">
        <w:rPr>
          <w:rFonts w:ascii="Traditional Arabic" w:hAnsi="Traditional Arabic"/>
          <w:color w:val="0D0D0D" w:themeColor="text1" w:themeTint="F2"/>
          <w:rtl/>
          <w:lang w:eastAsia="en-US"/>
        </w:rPr>
        <w:t>.قوله تعالى:</w:t>
      </w:r>
      <w:r w:rsidRPr="00B07E03">
        <w:rPr>
          <w:rFonts w:ascii="QCF_BSML" w:hAnsi="QCF_BSML" w:cs="QCF_BSML"/>
          <w:color w:val="0D0D0D" w:themeColor="text1" w:themeTint="F2"/>
          <w:sz w:val="47"/>
          <w:szCs w:val="47"/>
          <w:rtl/>
          <w:lang w:eastAsia="en-US"/>
        </w:rPr>
        <w:t xml:space="preserve"> </w:t>
      </w:r>
      <w:r w:rsidRPr="00F509AE">
        <w:rPr>
          <w:rFonts w:ascii="QCF_BSML" w:hAnsi="QCF_BSML" w:cs="QCF_BSML"/>
          <w:color w:val="0D0D0D" w:themeColor="text1" w:themeTint="F2"/>
          <w:sz w:val="32"/>
          <w:szCs w:val="32"/>
          <w:rtl/>
          <w:lang w:eastAsia="en-US"/>
        </w:rPr>
        <w:t xml:space="preserve">ﭽ </w:t>
      </w:r>
      <w:r w:rsidRPr="00F509AE">
        <w:rPr>
          <w:rFonts w:ascii="QCF_P288" w:hAnsi="QCF_P288" w:cs="QCF_P288"/>
          <w:color w:val="0D0D0D" w:themeColor="text1" w:themeTint="F2"/>
          <w:sz w:val="32"/>
          <w:szCs w:val="32"/>
          <w:rtl/>
          <w:lang w:eastAsia="en-US"/>
        </w:rPr>
        <w:t>ﭣ ﭤ ﭥ ﭦ ﭧ</w:t>
      </w:r>
      <w:r w:rsidRPr="00F509AE">
        <w:rPr>
          <w:rFonts w:ascii="QCF_BSML" w:hAnsi="QCF_BSML" w:cs="QCF_BSML"/>
          <w:color w:val="0D0D0D" w:themeColor="text1" w:themeTint="F2"/>
          <w:sz w:val="32"/>
          <w:szCs w:val="32"/>
          <w:rtl/>
          <w:lang w:eastAsia="en-US"/>
        </w:rPr>
        <w:t>ﭼ</w:t>
      </w:r>
      <w:r w:rsidRPr="00B07E03">
        <w:rPr>
          <w:rFonts w:ascii="Arial" w:hAnsi="Arial" w:cs="Arial"/>
          <w:color w:val="0D0D0D" w:themeColor="text1" w:themeTint="F2"/>
          <w:sz w:val="18"/>
          <w:szCs w:val="18"/>
          <w:rtl/>
          <w:lang w:eastAsia="en-US"/>
        </w:rPr>
        <w:t xml:space="preserve"> </w:t>
      </w:r>
      <w:r w:rsidR="0076327F">
        <w:rPr>
          <w:rFonts w:ascii="Arial" w:hAnsi="Arial" w:cs="Arial" w:hint="cs"/>
          <w:color w:val="0D0D0D" w:themeColor="text1" w:themeTint="F2"/>
          <w:sz w:val="18"/>
          <w:szCs w:val="18"/>
          <w:rtl/>
          <w:lang w:eastAsia="en-US"/>
        </w:rPr>
        <w:t xml:space="preserve"> </w:t>
      </w:r>
      <w:r w:rsidR="0076327F">
        <w:rPr>
          <w:rFonts w:ascii="Traditional Arabic" w:hAnsi="Traditional Arabic" w:hint="cs"/>
          <w:color w:val="0D0D0D" w:themeColor="text1" w:themeTint="F2"/>
          <w:rtl/>
          <w:lang w:eastAsia="en-US"/>
        </w:rPr>
        <w:t>[</w:t>
      </w:r>
      <w:r w:rsidRPr="00B07E03">
        <w:rPr>
          <w:rFonts w:ascii="Traditional Arabic" w:hAnsi="Traditional Arabic"/>
          <w:color w:val="0D0D0D" w:themeColor="text1" w:themeTint="F2"/>
          <w:rtl/>
          <w:lang w:eastAsia="en-US"/>
        </w:rPr>
        <w:t>أي</w:t>
      </w:r>
      <w:r w:rsidR="0076327F">
        <w:rPr>
          <w:rFonts w:ascii="Traditional Arabic" w:hAnsi="Traditional Arabic" w:hint="cs"/>
          <w:color w:val="0D0D0D" w:themeColor="text1" w:themeTint="F2"/>
          <w:rtl/>
          <w:lang w:eastAsia="en-US"/>
        </w:rPr>
        <w:t>]</w:t>
      </w:r>
      <w:r w:rsidR="00932449" w:rsidRPr="00932449">
        <w:rPr>
          <w:rStyle w:val="ae"/>
          <w:rtl/>
        </w:rPr>
        <w:t>(</w:t>
      </w:r>
      <w:r w:rsidR="00932449">
        <w:rPr>
          <w:rStyle w:val="ae"/>
          <w:rtl/>
        </w:rPr>
        <w:footnoteReference w:id="211"/>
      </w:r>
      <w:r w:rsidR="00932449" w:rsidRPr="00932449">
        <w:rPr>
          <w:rStyle w:val="ae"/>
          <w:rtl/>
        </w:rPr>
        <w:t>)</w:t>
      </w:r>
      <w:r w:rsidRPr="00B07E03">
        <w:rPr>
          <w:rFonts w:ascii="Traditional Arabic" w:hAnsi="Traditional Arabic"/>
          <w:color w:val="0D0D0D" w:themeColor="text1" w:themeTint="F2"/>
          <w:rtl/>
          <w:lang w:eastAsia="en-US"/>
        </w:rPr>
        <w:t>: نخوِّف العباد ليتَّعظوا. وللمفسرين في المراد بهذه</w:t>
      </w:r>
      <w:r w:rsidR="00327E19">
        <w:rPr>
          <w:rFonts w:hint="cs"/>
          <w:rtl/>
        </w:rPr>
        <w:t xml:space="preserve"> </w:t>
      </w:r>
      <w:r w:rsidRPr="00B07E03">
        <w:rPr>
          <w:rFonts w:ascii="Traditional Arabic" w:hAnsi="Traditional Arabic"/>
          <w:color w:val="0D0D0D" w:themeColor="text1" w:themeTint="F2"/>
          <w:rtl/>
          <w:lang w:eastAsia="en-US"/>
        </w:rPr>
        <w:t>الآية أربعة أقوال: أحدها: أنها الموت الذَّريع</w:t>
      </w:r>
      <w:r w:rsidRPr="00B07E03">
        <w:rPr>
          <w:rStyle w:val="ae"/>
          <w:color w:val="0D0D0D" w:themeColor="text1" w:themeTint="F2"/>
          <w:rtl/>
        </w:rPr>
        <w:t>(</w:t>
      </w:r>
      <w:r w:rsidRPr="00B07E03">
        <w:rPr>
          <w:rStyle w:val="ae"/>
          <w:color w:val="0D0D0D" w:themeColor="text1" w:themeTint="F2"/>
          <w:rtl/>
        </w:rPr>
        <w:footnoteReference w:id="212"/>
      </w:r>
      <w:r w:rsidRPr="00B07E03">
        <w:rPr>
          <w:rStyle w:val="ae"/>
          <w:color w:val="0D0D0D" w:themeColor="text1" w:themeTint="F2"/>
          <w:rtl/>
        </w:rPr>
        <w:t>)</w:t>
      </w:r>
      <w:r w:rsidRPr="00B07E03">
        <w:rPr>
          <w:rFonts w:ascii="Traditional Arabic" w:hAnsi="Traditional Arabic"/>
          <w:color w:val="0D0D0D" w:themeColor="text1" w:themeTint="F2"/>
          <w:rtl/>
          <w:lang w:eastAsia="en-US"/>
        </w:rPr>
        <w:t>، قاله الحسن</w:t>
      </w:r>
      <w:r w:rsidRPr="00B07E03">
        <w:rPr>
          <w:rStyle w:val="ae"/>
          <w:color w:val="0D0D0D" w:themeColor="text1" w:themeTint="F2"/>
          <w:rtl/>
        </w:rPr>
        <w:t>(</w:t>
      </w:r>
      <w:r w:rsidRPr="00B07E03">
        <w:rPr>
          <w:rStyle w:val="ae"/>
          <w:color w:val="0D0D0D" w:themeColor="text1" w:themeTint="F2"/>
          <w:rtl/>
        </w:rPr>
        <w:footnoteReference w:id="213"/>
      </w:r>
      <w:r w:rsidRPr="00B07E03">
        <w:rPr>
          <w:rStyle w:val="ae"/>
          <w:color w:val="0D0D0D" w:themeColor="text1" w:themeTint="F2"/>
          <w:rtl/>
        </w:rPr>
        <w:t>)</w:t>
      </w:r>
      <w:r w:rsidR="00A36DEB" w:rsidRPr="00A36DEB">
        <w:rPr>
          <w:rStyle w:val="ae"/>
          <w:rtl/>
        </w:rPr>
        <w:t>(</w:t>
      </w:r>
      <w:r w:rsidR="00A36DEB">
        <w:rPr>
          <w:rStyle w:val="ae"/>
          <w:rtl/>
        </w:rPr>
        <w:footnoteReference w:id="214"/>
      </w:r>
      <w:r w:rsidR="00A36DEB" w:rsidRPr="00A36DEB">
        <w:rPr>
          <w:rStyle w:val="ae"/>
          <w:rtl/>
        </w:rPr>
        <w:t>)</w:t>
      </w:r>
      <w:r w:rsidRPr="00B07E03">
        <w:rPr>
          <w:rFonts w:ascii="Traditional Arabic" w:hAnsi="Traditional Arabic"/>
          <w:color w:val="0D0D0D" w:themeColor="text1" w:themeTint="F2"/>
          <w:rtl/>
          <w:lang w:eastAsia="en-US"/>
        </w:rPr>
        <w:t xml:space="preserve">. </w:t>
      </w:r>
      <w:r w:rsidRPr="00B07E03">
        <w:rPr>
          <w:rFonts w:ascii="Traditional Arabic" w:hAnsi="Traditional Arabic"/>
          <w:color w:val="0D0D0D" w:themeColor="text1" w:themeTint="F2"/>
          <w:rtl/>
          <w:lang w:eastAsia="en-US"/>
        </w:rPr>
        <w:lastRenderedPageBreak/>
        <w:t>والثاني: معجزات الرسل</w:t>
      </w:r>
      <w:r w:rsidR="00354C09">
        <w:rPr>
          <w:rFonts w:ascii="Traditional Arabic" w:hAnsi="Traditional Arabic" w:hint="cs"/>
          <w:color w:val="0D0D0D" w:themeColor="text1" w:themeTint="F2"/>
          <w:rtl/>
          <w:lang w:eastAsia="en-US"/>
        </w:rPr>
        <w:t>,</w:t>
      </w:r>
      <w:r w:rsidRPr="00B07E03">
        <w:rPr>
          <w:rFonts w:ascii="Traditional Arabic" w:hAnsi="Traditional Arabic"/>
          <w:color w:val="0D0D0D" w:themeColor="text1" w:themeTint="F2"/>
          <w:rtl/>
          <w:lang w:eastAsia="en-US"/>
        </w:rPr>
        <w:t xml:space="preserve"> جعلها الله تعالى تخويفاً للمكذبين</w:t>
      </w:r>
      <w:r>
        <w:rPr>
          <w:rFonts w:ascii="Traditional Arabic" w:hAnsi="Traditional Arabic" w:hint="cs"/>
          <w:color w:val="0D0D0D" w:themeColor="text1" w:themeTint="F2"/>
          <w:rtl/>
          <w:lang w:eastAsia="en-US"/>
        </w:rPr>
        <w:t>،</w:t>
      </w:r>
      <w:r w:rsidRPr="00B07E03">
        <w:rPr>
          <w:rFonts w:ascii="Traditional Arabic" w:hAnsi="Traditional Arabic"/>
          <w:color w:val="0D0D0D" w:themeColor="text1" w:themeTint="F2"/>
          <w:rtl/>
          <w:lang w:eastAsia="en-US"/>
        </w:rPr>
        <w:t xml:space="preserve"> والثالث: آيات الانتقام</w:t>
      </w:r>
      <w:r w:rsidR="00354C09">
        <w:rPr>
          <w:rFonts w:ascii="Traditional Arabic" w:hAnsi="Traditional Arabic" w:hint="cs"/>
          <w:color w:val="0D0D0D" w:themeColor="text1" w:themeTint="F2"/>
          <w:rtl/>
          <w:lang w:eastAsia="en-US"/>
        </w:rPr>
        <w:t>,</w:t>
      </w:r>
      <w:r w:rsidRPr="00B07E03">
        <w:rPr>
          <w:rFonts w:ascii="Traditional Arabic" w:hAnsi="Traditional Arabic"/>
          <w:color w:val="0D0D0D" w:themeColor="text1" w:themeTint="F2"/>
          <w:rtl/>
          <w:lang w:eastAsia="en-US"/>
        </w:rPr>
        <w:t xml:space="preserve"> تخويفاً من المعاصي</w:t>
      </w:r>
      <w:r>
        <w:rPr>
          <w:rFonts w:ascii="Traditional Arabic" w:hAnsi="Traditional Arabic" w:hint="cs"/>
          <w:color w:val="0D0D0D" w:themeColor="text1" w:themeTint="F2"/>
          <w:rtl/>
          <w:lang w:eastAsia="en-US"/>
        </w:rPr>
        <w:t>،</w:t>
      </w:r>
      <w:r w:rsidRPr="00B07E03">
        <w:rPr>
          <w:rFonts w:ascii="Traditional Arabic" w:hAnsi="Traditional Arabic" w:hint="cs"/>
          <w:color w:val="0D0D0D" w:themeColor="text1" w:themeTint="F2"/>
          <w:rtl/>
          <w:lang w:eastAsia="en-US"/>
        </w:rPr>
        <w:t xml:space="preserve"> </w:t>
      </w:r>
      <w:r w:rsidRPr="00B07E03">
        <w:rPr>
          <w:rFonts w:ascii="Traditional Arabic" w:hAnsi="Traditional Arabic"/>
          <w:color w:val="0D0D0D" w:themeColor="text1" w:themeTint="F2"/>
          <w:rtl/>
          <w:lang w:eastAsia="en-US"/>
        </w:rPr>
        <w:t>والرابع: تقلُّب أحوال الإِنسان من صِغَرٍ إِلى شبابٍ، ثم إِلى كهولة، ثم إِلى مشيب، لي</w:t>
      </w:r>
      <w:r w:rsidR="00354C09">
        <w:rPr>
          <w:rFonts w:ascii="Traditional Arabic" w:hAnsi="Traditional Arabic" w:hint="cs"/>
          <w:color w:val="0D0D0D" w:themeColor="text1" w:themeTint="F2"/>
          <w:rtl/>
          <w:lang w:eastAsia="en-US"/>
        </w:rPr>
        <w:t>ُ</w:t>
      </w:r>
      <w:r w:rsidRPr="00B07E03">
        <w:rPr>
          <w:rFonts w:ascii="Traditional Arabic" w:hAnsi="Traditional Arabic"/>
          <w:color w:val="0D0D0D" w:themeColor="text1" w:themeTint="F2"/>
          <w:rtl/>
          <w:lang w:eastAsia="en-US"/>
        </w:rPr>
        <w:t>ع</w:t>
      </w:r>
      <w:r w:rsidR="00354C09">
        <w:rPr>
          <w:rFonts w:ascii="Traditional Arabic" w:hAnsi="Traditional Arabic" w:hint="cs"/>
          <w:color w:val="0D0D0D" w:themeColor="text1" w:themeTint="F2"/>
          <w:rtl/>
          <w:lang w:eastAsia="en-US"/>
        </w:rPr>
        <w:t>ْ</w:t>
      </w:r>
      <w:r w:rsidRPr="00B07E03">
        <w:rPr>
          <w:rFonts w:ascii="Traditional Arabic" w:hAnsi="Traditional Arabic"/>
          <w:color w:val="0D0D0D" w:themeColor="text1" w:themeTint="F2"/>
          <w:rtl/>
          <w:lang w:eastAsia="en-US"/>
        </w:rPr>
        <w:t>ت</w:t>
      </w:r>
      <w:r w:rsidR="00354C09">
        <w:rPr>
          <w:rFonts w:ascii="Traditional Arabic" w:hAnsi="Traditional Arabic" w:hint="cs"/>
          <w:color w:val="0D0D0D" w:themeColor="text1" w:themeTint="F2"/>
          <w:rtl/>
          <w:lang w:eastAsia="en-US"/>
        </w:rPr>
        <w:t>َ</w:t>
      </w:r>
      <w:r w:rsidRPr="00B07E03">
        <w:rPr>
          <w:rFonts w:ascii="Traditional Arabic" w:hAnsi="Traditional Arabic"/>
          <w:color w:val="0D0D0D" w:themeColor="text1" w:themeTint="F2"/>
          <w:rtl/>
          <w:lang w:eastAsia="en-US"/>
        </w:rPr>
        <w:t>ب</w:t>
      </w:r>
      <w:r w:rsidR="00354C09">
        <w:rPr>
          <w:rFonts w:ascii="Traditional Arabic" w:hAnsi="Traditional Arabic" w:hint="cs"/>
          <w:color w:val="0D0D0D" w:themeColor="text1" w:themeTint="F2"/>
          <w:rtl/>
          <w:lang w:eastAsia="en-US"/>
        </w:rPr>
        <w:t>َ</w:t>
      </w:r>
      <w:r w:rsidRPr="00B07E03">
        <w:rPr>
          <w:rFonts w:ascii="Traditional Arabic" w:hAnsi="Traditional Arabic"/>
          <w:color w:val="0D0D0D" w:themeColor="text1" w:themeTint="F2"/>
          <w:rtl/>
          <w:lang w:eastAsia="en-US"/>
        </w:rPr>
        <w:t>ر بتقلُّب أحواله فيخاف</w:t>
      </w:r>
      <w:r w:rsidR="00B23D8E">
        <w:rPr>
          <w:rFonts w:ascii="Traditional Arabic" w:hAnsi="Traditional Arabic" w:hint="cs"/>
          <w:color w:val="0D0D0D" w:themeColor="text1" w:themeTint="F2"/>
          <w:rtl/>
          <w:lang w:eastAsia="en-US"/>
        </w:rPr>
        <w:t>َ</w:t>
      </w:r>
      <w:r w:rsidRPr="00B07E03">
        <w:rPr>
          <w:rFonts w:ascii="Traditional Arabic" w:hAnsi="Traditional Arabic"/>
          <w:color w:val="0D0D0D" w:themeColor="text1" w:themeTint="F2"/>
          <w:rtl/>
          <w:lang w:eastAsia="en-US"/>
        </w:rPr>
        <w:t xml:space="preserve"> عاقبة أمره</w:t>
      </w:r>
      <w:r>
        <w:rPr>
          <w:rFonts w:ascii="Traditional Arabic" w:hAnsi="Traditional Arabic" w:hint="cs"/>
          <w:color w:val="0D0D0D" w:themeColor="text1" w:themeTint="F2"/>
          <w:rtl/>
          <w:lang w:eastAsia="en-US"/>
        </w:rPr>
        <w:t xml:space="preserve">. </w:t>
      </w:r>
      <w:r w:rsidRPr="00B07E03">
        <w:rPr>
          <w:rFonts w:ascii="Traditional Arabic" w:hAnsi="Traditional Arabic"/>
          <w:color w:val="0D0D0D" w:themeColor="text1" w:themeTint="F2"/>
          <w:rtl/>
          <w:lang w:eastAsia="en-US"/>
        </w:rPr>
        <w:t>ذكر هذه الأقوال الثلاثة الماوردي</w:t>
      </w:r>
      <w:r w:rsidRPr="006D7411">
        <w:rPr>
          <w:rStyle w:val="ae"/>
          <w:rFonts w:ascii="Traditional Arabic" w:hAnsi="Traditional Arabic"/>
          <w:color w:val="0D0D0D" w:themeColor="text1" w:themeTint="F2"/>
          <w:rtl/>
        </w:rPr>
        <w:t>(</w:t>
      </w:r>
      <w:r w:rsidRPr="006D7411">
        <w:rPr>
          <w:rStyle w:val="ae"/>
          <w:rFonts w:ascii="Traditional Arabic" w:hAnsi="Traditional Arabic"/>
          <w:color w:val="0D0D0D" w:themeColor="text1" w:themeTint="F2"/>
          <w:rtl/>
        </w:rPr>
        <w:footnoteReference w:id="215"/>
      </w:r>
      <w:r w:rsidRPr="006D7411">
        <w:rPr>
          <w:rStyle w:val="ae"/>
          <w:rFonts w:ascii="Traditional Arabic" w:hAnsi="Traditional Arabic"/>
          <w:color w:val="0D0D0D" w:themeColor="text1" w:themeTint="F2"/>
          <w:rtl/>
        </w:rPr>
        <w:t>)</w:t>
      </w:r>
      <w:r w:rsidRPr="006D7411">
        <w:rPr>
          <w:rStyle w:val="ae"/>
          <w:rFonts w:ascii="Traditional Arabic" w:hAnsi="Traditional Arabic"/>
          <w:rtl/>
        </w:rPr>
        <w:t>(</w:t>
      </w:r>
      <w:r w:rsidRPr="006D7411">
        <w:rPr>
          <w:rStyle w:val="ae"/>
          <w:rFonts w:ascii="Traditional Arabic" w:hAnsi="Traditional Arabic"/>
          <w:rtl/>
        </w:rPr>
        <w:footnoteReference w:id="216"/>
      </w:r>
      <w:r w:rsidRPr="006D7411">
        <w:rPr>
          <w:rStyle w:val="ae"/>
          <w:rFonts w:ascii="Traditional Arabic" w:hAnsi="Traditional Arabic"/>
          <w:rtl/>
        </w:rPr>
        <w:t>)</w:t>
      </w:r>
      <w:r w:rsidRPr="006D7411">
        <w:rPr>
          <w:rFonts w:ascii="Traditional Arabic" w:hAnsi="Traditional Arabic"/>
          <w:color w:val="0D0D0D" w:themeColor="text1" w:themeTint="F2"/>
          <w:rtl/>
          <w:lang w:eastAsia="en-US"/>
        </w:rPr>
        <w:t>، ونسب</w:t>
      </w:r>
      <w:r w:rsidR="006C66DB" w:rsidRPr="006D7411">
        <w:rPr>
          <w:rFonts w:ascii="Traditional Arabic" w:hAnsi="Traditional Arabic" w:hint="cs"/>
          <w:color w:val="0D0D0D" w:themeColor="text1" w:themeTint="F2"/>
          <w:rtl/>
          <w:lang w:eastAsia="en-US"/>
        </w:rPr>
        <w:t xml:space="preserve"> القول</w:t>
      </w:r>
      <w:r w:rsidR="006C66DB" w:rsidRPr="006D7411">
        <w:rPr>
          <w:rStyle w:val="ae"/>
          <w:rtl/>
        </w:rPr>
        <w:t>(</w:t>
      </w:r>
      <w:r w:rsidR="006C66DB" w:rsidRPr="006D7411">
        <w:rPr>
          <w:rStyle w:val="ae"/>
          <w:rtl/>
        </w:rPr>
        <w:footnoteReference w:id="217"/>
      </w:r>
      <w:r w:rsidR="006C66DB" w:rsidRPr="006D7411">
        <w:rPr>
          <w:rStyle w:val="ae"/>
          <w:rtl/>
        </w:rPr>
        <w:t>)</w:t>
      </w:r>
      <w:r w:rsidRPr="006D7411">
        <w:rPr>
          <w:rFonts w:ascii="Traditional Arabic" w:hAnsi="Traditional Arabic"/>
          <w:color w:val="0D0D0D" w:themeColor="text1" w:themeTint="F2"/>
          <w:rtl/>
          <w:lang w:eastAsia="en-US"/>
        </w:rPr>
        <w:t>الأخير منها</w:t>
      </w:r>
      <w:r w:rsidR="0090201D" w:rsidRPr="006D7411">
        <w:rPr>
          <w:rFonts w:hint="cs"/>
          <w:color w:val="0D0D0D" w:themeColor="text1" w:themeTint="F2"/>
          <w:rtl/>
        </w:rPr>
        <w:t xml:space="preserve"> </w:t>
      </w:r>
      <w:r w:rsidRPr="006D7411">
        <w:rPr>
          <w:rFonts w:ascii="Traditional Arabic" w:hAnsi="Traditional Arabic"/>
          <w:color w:val="0D0D0D" w:themeColor="text1" w:themeTint="F2"/>
          <w:rtl/>
          <w:lang w:eastAsia="en-US"/>
        </w:rPr>
        <w:t>إلى إمامنا أحمد</w:t>
      </w:r>
      <w:r w:rsidR="0090201D" w:rsidRPr="006D7411">
        <w:rPr>
          <w:rFonts w:hint="cs"/>
          <w:color w:val="0D0D0D" w:themeColor="text1" w:themeTint="F2"/>
          <w:rtl/>
        </w:rPr>
        <w:t xml:space="preserve"> </w:t>
      </w:r>
      <w:r w:rsidRPr="006D7411">
        <w:rPr>
          <w:rFonts w:ascii="Traditional Arabic" w:hAnsi="Traditional Arabic"/>
          <w:color w:val="0D0D0D" w:themeColor="text1" w:themeTint="F2"/>
          <w:rtl/>
          <w:lang w:eastAsia="en-US"/>
        </w:rPr>
        <w:t>رضي الله عنه</w:t>
      </w:r>
      <w:r w:rsidR="0090201D" w:rsidRPr="006D7411">
        <w:rPr>
          <w:rStyle w:val="ae"/>
          <w:rFonts w:ascii="Traditional Arabic" w:hAnsi="Traditional Arabic"/>
        </w:rPr>
        <w:t>(</w:t>
      </w:r>
      <w:r w:rsidR="0090201D" w:rsidRPr="006D7411">
        <w:rPr>
          <w:rStyle w:val="ae"/>
          <w:rFonts w:ascii="Traditional Arabic" w:hAnsi="Traditional Arabic"/>
        </w:rPr>
        <w:footnoteReference w:id="218"/>
      </w:r>
      <w:r w:rsidR="0090201D" w:rsidRPr="006D7411">
        <w:rPr>
          <w:rStyle w:val="ae"/>
          <w:rFonts w:ascii="Traditional Arabic" w:hAnsi="Traditional Arabic"/>
        </w:rPr>
        <w:t>)</w:t>
      </w:r>
      <w:r w:rsidR="0090201D" w:rsidRPr="006D7411">
        <w:rPr>
          <w:rStyle w:val="ae"/>
          <w:rFonts w:ascii="Traditional Arabic" w:hAnsi="Traditional Arabic"/>
          <w:rtl/>
        </w:rPr>
        <w:t>(</w:t>
      </w:r>
      <w:r w:rsidR="0090201D" w:rsidRPr="006D7411">
        <w:rPr>
          <w:rStyle w:val="ae"/>
          <w:rFonts w:ascii="Traditional Arabic" w:hAnsi="Traditional Arabic"/>
          <w:rtl/>
        </w:rPr>
        <w:footnoteReference w:id="219"/>
      </w:r>
      <w:r w:rsidR="0090201D" w:rsidRPr="006D7411">
        <w:rPr>
          <w:rStyle w:val="ae"/>
          <w:rFonts w:ascii="Traditional Arabic" w:hAnsi="Traditional Arabic"/>
          <w:rtl/>
        </w:rPr>
        <w:t>)</w:t>
      </w:r>
      <w:r w:rsidRPr="006D7411">
        <w:rPr>
          <w:rFonts w:ascii="Traditional Arabic" w:hAnsi="Traditional Arabic"/>
          <w:color w:val="0D0D0D" w:themeColor="text1" w:themeTint="F2"/>
          <w:rtl/>
          <w:lang w:eastAsia="en-US"/>
        </w:rPr>
        <w:t>.</w:t>
      </w:r>
    </w:p>
    <w:p w:rsidR="00327E19" w:rsidRDefault="00AB6719" w:rsidP="00327E19">
      <w:pPr>
        <w:widowControl/>
        <w:autoSpaceDE w:val="0"/>
        <w:autoSpaceDN w:val="0"/>
        <w:adjustRightInd w:val="0"/>
        <w:ind w:firstLine="0"/>
        <w:rPr>
          <w:rFonts w:ascii="Traditional Arabic" w:hAnsi="Traditional Arabic"/>
          <w:color w:val="0D0D0D" w:themeColor="text1" w:themeTint="F2"/>
          <w:rtl/>
          <w:lang w:eastAsia="en-US"/>
        </w:rPr>
      </w:pPr>
      <w:r w:rsidRPr="00B07E03">
        <w:rPr>
          <w:rFonts w:ascii="QCF_BSML" w:hAnsi="QCF_BSML" w:cs="QCF_BSML"/>
          <w:color w:val="0D0D0D" w:themeColor="text1" w:themeTint="F2"/>
          <w:sz w:val="32"/>
          <w:szCs w:val="32"/>
          <w:rtl/>
          <w:lang w:eastAsia="en-US"/>
        </w:rPr>
        <w:t>ﭽ</w:t>
      </w:r>
      <w:r w:rsidRPr="00B07E03">
        <w:rPr>
          <w:rFonts w:ascii="QCF_P288" w:hAnsi="QCF_P288" w:cs="QCF_P288"/>
          <w:color w:val="0D0D0D" w:themeColor="text1" w:themeTint="F2"/>
          <w:sz w:val="32"/>
          <w:szCs w:val="32"/>
          <w:rtl/>
          <w:lang w:eastAsia="en-US"/>
        </w:rPr>
        <w:t>ﭩ ﭪ ﭫ ﭬ ﭭ ﭮ ﭯﭰ ﭱ ﭲ ﭳ ﭴ ﭵ ﭶ ﭷ ﭸ ﭹ ﭺ ﭻ ﭼﭽ ﭾ ﭿ ﮀ ﮁ ﮂ ﮃﮄ</w:t>
      </w:r>
      <w:r w:rsidRPr="00B07E03">
        <w:rPr>
          <w:rFonts w:ascii="QCF_BSML" w:hAnsi="QCF_BSML" w:cs="QCF_BSML"/>
          <w:color w:val="0D0D0D" w:themeColor="text1" w:themeTint="F2"/>
          <w:sz w:val="32"/>
          <w:szCs w:val="32"/>
          <w:rtl/>
          <w:lang w:eastAsia="en-US"/>
        </w:rPr>
        <w:t>ﭼ</w:t>
      </w:r>
      <w:r w:rsidR="00E667B0">
        <w:rPr>
          <w:rFonts w:ascii="Traditional Arabic" w:hAnsi="Traditional Arabic" w:hint="cs"/>
          <w:color w:val="0D0D0D" w:themeColor="text1" w:themeTint="F2"/>
          <w:rtl/>
          <w:lang w:eastAsia="en-US"/>
        </w:rPr>
        <w:t xml:space="preserve"> </w:t>
      </w:r>
      <w:r w:rsidRPr="00B07E03">
        <w:rPr>
          <w:rFonts w:ascii="Traditional Arabic" w:hAnsi="Traditional Arabic"/>
          <w:color w:val="0D0D0D" w:themeColor="text1" w:themeTint="F2"/>
          <w:rtl/>
          <w:lang w:eastAsia="en-US"/>
        </w:rPr>
        <w:t>قوله تعالى:</w:t>
      </w:r>
      <w:r w:rsidRPr="00B07E03">
        <w:rPr>
          <w:rFonts w:ascii="QCF_BSML" w:hAnsi="QCF_BSML" w:cs="QCF_BSML"/>
          <w:color w:val="0D0D0D" w:themeColor="text1" w:themeTint="F2"/>
          <w:sz w:val="47"/>
          <w:szCs w:val="47"/>
          <w:rtl/>
          <w:lang w:eastAsia="en-US"/>
        </w:rPr>
        <w:t xml:space="preserve"> </w:t>
      </w:r>
      <w:r w:rsidRPr="00B07E03">
        <w:rPr>
          <w:rFonts w:ascii="QCF_BSML" w:hAnsi="QCF_BSML" w:cs="QCF_BSML"/>
          <w:color w:val="0D0D0D" w:themeColor="text1" w:themeTint="F2"/>
          <w:sz w:val="32"/>
          <w:szCs w:val="32"/>
          <w:rtl/>
          <w:lang w:eastAsia="en-US"/>
        </w:rPr>
        <w:t>ﭽ</w:t>
      </w:r>
      <w:r w:rsidRPr="00B07E03">
        <w:rPr>
          <w:rFonts w:ascii="QCF_P288" w:hAnsi="QCF_P288" w:cs="QCF_P288"/>
          <w:color w:val="0D0D0D" w:themeColor="text1" w:themeTint="F2"/>
          <w:sz w:val="32"/>
          <w:szCs w:val="32"/>
          <w:rtl/>
          <w:lang w:eastAsia="en-US"/>
        </w:rPr>
        <w:t>ﭩ ﭪ ﭫ ﭬ ﭭ ﭮ ﭯ</w:t>
      </w:r>
      <w:r w:rsidRPr="00B07E03">
        <w:rPr>
          <w:rFonts w:ascii="QCF_BSML" w:hAnsi="QCF_BSML" w:cs="QCF_BSML"/>
          <w:color w:val="0D0D0D" w:themeColor="text1" w:themeTint="F2"/>
          <w:sz w:val="32"/>
          <w:szCs w:val="32"/>
          <w:rtl/>
          <w:lang w:eastAsia="en-US"/>
        </w:rPr>
        <w:t>ﭼ</w:t>
      </w:r>
      <w:r w:rsidRPr="00B07E03">
        <w:rPr>
          <w:rFonts w:ascii="QCF_BSML" w:hAnsi="QCF_BSML" w:cs="QCF_BSML"/>
          <w:color w:val="0D0D0D" w:themeColor="text1" w:themeTint="F2"/>
          <w:sz w:val="47"/>
          <w:szCs w:val="47"/>
          <w:rtl/>
          <w:lang w:eastAsia="en-US"/>
        </w:rPr>
        <w:t xml:space="preserve"> </w:t>
      </w:r>
      <w:r>
        <w:rPr>
          <w:rFonts w:ascii="Traditional Arabic" w:hAnsi="Traditional Arabic" w:hint="cs"/>
          <w:color w:val="0D0D0D" w:themeColor="text1" w:themeTint="F2"/>
          <w:rtl/>
          <w:lang w:eastAsia="en-US"/>
        </w:rPr>
        <w:t xml:space="preserve"> </w:t>
      </w:r>
      <w:r w:rsidRPr="00B07E03">
        <w:rPr>
          <w:rFonts w:ascii="Traditional Arabic" w:hAnsi="Traditional Arabic"/>
          <w:color w:val="0D0D0D" w:themeColor="text1" w:themeTint="F2"/>
          <w:rtl/>
          <w:lang w:eastAsia="en-US"/>
        </w:rPr>
        <w:t>فيه ثلاثة أقوال:</w:t>
      </w:r>
      <w:r w:rsidR="006C66DB">
        <w:rPr>
          <w:rFonts w:ascii="Traditional Arabic" w:hAnsi="Traditional Arabic" w:hint="cs"/>
          <w:color w:val="0D0D0D" w:themeColor="text1" w:themeTint="F2"/>
          <w:rtl/>
          <w:lang w:eastAsia="en-US"/>
        </w:rPr>
        <w:t xml:space="preserve"> </w:t>
      </w:r>
      <w:r w:rsidRPr="00B07E03">
        <w:rPr>
          <w:rFonts w:ascii="Traditional Arabic" w:hAnsi="Traditional Arabic"/>
          <w:color w:val="0D0D0D" w:themeColor="text1" w:themeTint="F2"/>
          <w:rtl/>
          <w:lang w:eastAsia="en-US"/>
        </w:rPr>
        <w:t>أحدها: أحاط عِلمه بالناس</w:t>
      </w:r>
      <w:r w:rsidRPr="00B07E03">
        <w:rPr>
          <w:rStyle w:val="ae"/>
          <w:color w:val="0D0D0D" w:themeColor="text1" w:themeTint="F2"/>
          <w:rtl/>
        </w:rPr>
        <w:t>(</w:t>
      </w:r>
      <w:r w:rsidRPr="00B07E03">
        <w:rPr>
          <w:rStyle w:val="ae"/>
          <w:color w:val="0D0D0D" w:themeColor="text1" w:themeTint="F2"/>
          <w:rtl/>
        </w:rPr>
        <w:footnoteReference w:id="220"/>
      </w:r>
      <w:r w:rsidRPr="00B07E03">
        <w:rPr>
          <w:rStyle w:val="ae"/>
          <w:color w:val="0D0D0D" w:themeColor="text1" w:themeTint="F2"/>
          <w:rtl/>
        </w:rPr>
        <w:t>)</w:t>
      </w:r>
      <w:r w:rsidRPr="00B07E03">
        <w:rPr>
          <w:rFonts w:ascii="Traditional Arabic" w:hAnsi="Traditional Arabic" w:hint="cs"/>
          <w:color w:val="0D0D0D" w:themeColor="text1" w:themeTint="F2"/>
          <w:rtl/>
          <w:lang w:eastAsia="en-US"/>
        </w:rPr>
        <w:t>.</w:t>
      </w:r>
      <w:r>
        <w:rPr>
          <w:rFonts w:ascii="Traditional Arabic" w:hAnsi="Traditional Arabic" w:hint="cs"/>
          <w:color w:val="0D0D0D" w:themeColor="text1" w:themeTint="F2"/>
          <w:rtl/>
          <w:lang w:eastAsia="en-US"/>
        </w:rPr>
        <w:t xml:space="preserve"> </w:t>
      </w:r>
      <w:r w:rsidRPr="00B07E03">
        <w:rPr>
          <w:rFonts w:ascii="Traditional Arabic" w:hAnsi="Traditional Arabic"/>
          <w:color w:val="0D0D0D" w:themeColor="text1" w:themeTint="F2"/>
          <w:rtl/>
          <w:lang w:eastAsia="en-US"/>
        </w:rPr>
        <w:t>قاله أبو صالح</w:t>
      </w:r>
      <w:r w:rsidRPr="00B07E03">
        <w:rPr>
          <w:rStyle w:val="ae"/>
          <w:color w:val="0D0D0D" w:themeColor="text1" w:themeTint="F2"/>
          <w:rtl/>
        </w:rPr>
        <w:t>(</w:t>
      </w:r>
      <w:r w:rsidRPr="00B07E03">
        <w:rPr>
          <w:rStyle w:val="ae"/>
          <w:color w:val="0D0D0D" w:themeColor="text1" w:themeTint="F2"/>
          <w:rtl/>
        </w:rPr>
        <w:footnoteReference w:id="221"/>
      </w:r>
      <w:r w:rsidRPr="00B07E03">
        <w:rPr>
          <w:rStyle w:val="ae"/>
          <w:color w:val="0D0D0D" w:themeColor="text1" w:themeTint="F2"/>
          <w:rtl/>
        </w:rPr>
        <w:t>)</w:t>
      </w:r>
      <w:r w:rsidRPr="00B07E03">
        <w:rPr>
          <w:rFonts w:ascii="Traditional Arabic" w:hAnsi="Traditional Arabic"/>
          <w:color w:val="0D0D0D" w:themeColor="text1" w:themeTint="F2"/>
          <w:rtl/>
          <w:lang w:eastAsia="en-US"/>
        </w:rPr>
        <w:t xml:space="preserve">عن ابن </w:t>
      </w:r>
      <w:r w:rsidRPr="00B07E03">
        <w:rPr>
          <w:rFonts w:ascii="Traditional Arabic" w:hAnsi="Traditional Arabic"/>
          <w:color w:val="0D0D0D" w:themeColor="text1" w:themeTint="F2"/>
          <w:rtl/>
          <w:lang w:eastAsia="en-US"/>
        </w:rPr>
        <w:lastRenderedPageBreak/>
        <w:t>عباس، وبه قال الربيع بن أنس</w:t>
      </w:r>
      <w:r w:rsidRPr="00B07E03">
        <w:rPr>
          <w:rStyle w:val="ae"/>
          <w:color w:val="0D0D0D" w:themeColor="text1" w:themeTint="F2"/>
          <w:rtl/>
        </w:rPr>
        <w:t>(</w:t>
      </w:r>
      <w:r w:rsidRPr="00B07E03">
        <w:rPr>
          <w:rStyle w:val="ae"/>
          <w:color w:val="0D0D0D" w:themeColor="text1" w:themeTint="F2"/>
          <w:rtl/>
        </w:rPr>
        <w:footnoteReference w:id="222"/>
      </w:r>
      <w:r w:rsidRPr="00B07E03">
        <w:rPr>
          <w:rStyle w:val="ae"/>
          <w:color w:val="0D0D0D" w:themeColor="text1" w:themeTint="F2"/>
          <w:rtl/>
        </w:rPr>
        <w:t>)</w:t>
      </w:r>
      <w:r>
        <w:rPr>
          <w:rFonts w:ascii="Traditional Arabic" w:hAnsi="Traditional Arabic" w:hint="cs"/>
          <w:color w:val="0D0D0D" w:themeColor="text1" w:themeTint="F2"/>
          <w:rtl/>
          <w:lang w:eastAsia="en-US"/>
        </w:rPr>
        <w:t>،</w:t>
      </w:r>
      <w:r w:rsidRPr="00B07E03">
        <w:rPr>
          <w:rFonts w:ascii="Traditional Arabic" w:hAnsi="Traditional Arabic"/>
          <w:color w:val="0D0D0D" w:themeColor="text1" w:themeTint="F2"/>
          <w:rtl/>
          <w:lang w:eastAsia="en-US"/>
        </w:rPr>
        <w:t xml:space="preserve"> وقال مقاتل</w:t>
      </w:r>
      <w:r w:rsidRPr="00B07E03">
        <w:rPr>
          <w:rStyle w:val="ae"/>
          <w:color w:val="0D0D0D" w:themeColor="text1" w:themeTint="F2"/>
          <w:rtl/>
        </w:rPr>
        <w:t>(</w:t>
      </w:r>
      <w:r w:rsidRPr="00B07E03">
        <w:rPr>
          <w:rStyle w:val="ae"/>
          <w:color w:val="0D0D0D" w:themeColor="text1" w:themeTint="F2"/>
          <w:rtl/>
        </w:rPr>
        <w:footnoteReference w:id="223"/>
      </w:r>
      <w:r w:rsidRPr="00B07E03">
        <w:rPr>
          <w:rStyle w:val="ae"/>
          <w:color w:val="0D0D0D" w:themeColor="text1" w:themeTint="F2"/>
          <w:rtl/>
        </w:rPr>
        <w:t>)</w:t>
      </w:r>
      <w:r w:rsidR="00581A00">
        <w:rPr>
          <w:rFonts w:ascii="Traditional Arabic" w:hAnsi="Traditional Arabic"/>
          <w:color w:val="0D0D0D" w:themeColor="text1" w:themeTint="F2"/>
          <w:rtl/>
          <w:lang w:eastAsia="en-US"/>
        </w:rPr>
        <w:t>:</w:t>
      </w:r>
      <w:r w:rsidRPr="00B07E03">
        <w:rPr>
          <w:rFonts w:ascii="Traditional Arabic" w:hAnsi="Traditional Arabic"/>
          <w:color w:val="0D0D0D" w:themeColor="text1" w:themeTint="F2"/>
          <w:rtl/>
          <w:lang w:eastAsia="en-US"/>
        </w:rPr>
        <w:t>أحاط</w:t>
      </w:r>
      <w:r w:rsidR="00E667B0">
        <w:rPr>
          <w:rFonts w:ascii="Traditional Arabic" w:hAnsi="Traditional Arabic" w:hint="cs"/>
          <w:color w:val="0D0D0D" w:themeColor="text1" w:themeTint="F2"/>
          <w:rtl/>
          <w:lang w:eastAsia="en-US"/>
        </w:rPr>
        <w:t xml:space="preserve"> </w:t>
      </w:r>
      <w:r w:rsidRPr="00B07E03">
        <w:rPr>
          <w:rFonts w:ascii="Traditional Arabic" w:hAnsi="Traditional Arabic"/>
          <w:color w:val="0D0D0D" w:themeColor="text1" w:themeTint="F2"/>
          <w:rtl/>
          <w:lang w:eastAsia="en-US"/>
        </w:rPr>
        <w:t xml:space="preserve">علمه بالناس، يعني: أهل مكة، أن يفتحها لرسوله </w:t>
      </w:r>
      <w:r w:rsidRPr="00D66DE5">
        <w:rPr>
          <w:rFonts w:ascii="Traditional Arabic" w:hAnsi="Traditional Arabic"/>
        </w:rPr>
        <w:sym w:font="AGA Arabesque" w:char="F072"/>
      </w:r>
      <w:r w:rsidRPr="00B07E03">
        <w:rPr>
          <w:rStyle w:val="ae"/>
          <w:color w:val="0D0D0D" w:themeColor="text1" w:themeTint="F2"/>
          <w:rtl/>
        </w:rPr>
        <w:t>(</w:t>
      </w:r>
      <w:r w:rsidRPr="00B07E03">
        <w:rPr>
          <w:rStyle w:val="ae"/>
          <w:color w:val="0D0D0D" w:themeColor="text1" w:themeTint="F2"/>
          <w:rtl/>
        </w:rPr>
        <w:footnoteReference w:id="224"/>
      </w:r>
      <w:r w:rsidRPr="00B07E03">
        <w:rPr>
          <w:rStyle w:val="ae"/>
          <w:color w:val="0D0D0D" w:themeColor="text1" w:themeTint="F2"/>
          <w:rtl/>
        </w:rPr>
        <w:t>)</w:t>
      </w:r>
      <w:r>
        <w:rPr>
          <w:rFonts w:ascii="Traditional Arabic" w:hAnsi="Traditional Arabic" w:hint="cs"/>
          <w:color w:val="0D0D0D" w:themeColor="text1" w:themeTint="F2"/>
          <w:rtl/>
          <w:lang w:eastAsia="en-US"/>
        </w:rPr>
        <w:t>.</w:t>
      </w:r>
      <w:r w:rsidR="0020424F">
        <w:rPr>
          <w:rFonts w:ascii="Traditional Arabic" w:hAnsi="Traditional Arabic" w:hint="cs"/>
          <w:color w:val="0D0D0D" w:themeColor="text1" w:themeTint="F2"/>
          <w:rtl/>
          <w:lang w:eastAsia="en-US"/>
        </w:rPr>
        <w:t xml:space="preserve"> </w:t>
      </w:r>
    </w:p>
    <w:p w:rsidR="001277AD" w:rsidRDefault="00AB6719" w:rsidP="001277AD">
      <w:pPr>
        <w:widowControl/>
        <w:autoSpaceDE w:val="0"/>
        <w:autoSpaceDN w:val="0"/>
        <w:adjustRightInd w:val="0"/>
        <w:ind w:firstLine="0"/>
        <w:rPr>
          <w:rFonts w:ascii="Traditional Arabic" w:hAnsi="Traditional Arabic"/>
          <w:color w:val="0D0D0D" w:themeColor="text1" w:themeTint="F2"/>
          <w:rtl/>
          <w:lang w:eastAsia="en-US"/>
        </w:rPr>
      </w:pPr>
      <w:r w:rsidRPr="00B07E03">
        <w:rPr>
          <w:rFonts w:ascii="Traditional Arabic" w:hAnsi="Traditional Arabic"/>
          <w:color w:val="0D0D0D" w:themeColor="text1" w:themeTint="F2"/>
          <w:rtl/>
          <w:lang w:eastAsia="en-US"/>
        </w:rPr>
        <w:t xml:space="preserve">والثاني: </w:t>
      </w:r>
      <w:r w:rsidR="0076327F">
        <w:rPr>
          <w:rFonts w:ascii="Traditional Arabic" w:hAnsi="Traditional Arabic" w:hint="cs"/>
          <w:color w:val="0D0D0D" w:themeColor="text1" w:themeTint="F2"/>
          <w:rtl/>
          <w:lang w:eastAsia="en-US"/>
        </w:rPr>
        <w:t>[</w:t>
      </w:r>
      <w:r w:rsidRPr="00B07E03">
        <w:rPr>
          <w:rFonts w:ascii="Traditional Arabic" w:hAnsi="Traditional Arabic"/>
          <w:color w:val="0D0D0D" w:themeColor="text1" w:themeTint="F2"/>
          <w:rtl/>
          <w:lang w:eastAsia="en-US"/>
        </w:rPr>
        <w:t>أحاطت</w:t>
      </w:r>
      <w:r w:rsidR="0076327F">
        <w:rPr>
          <w:rFonts w:ascii="Traditional Arabic" w:hAnsi="Traditional Arabic" w:hint="cs"/>
          <w:color w:val="0D0D0D" w:themeColor="text1" w:themeTint="F2"/>
          <w:rtl/>
          <w:lang w:eastAsia="en-US"/>
        </w:rPr>
        <w:t>]</w:t>
      </w:r>
      <w:r w:rsidR="00932449" w:rsidRPr="00932449">
        <w:rPr>
          <w:rStyle w:val="ae"/>
          <w:rtl/>
        </w:rPr>
        <w:t>(</w:t>
      </w:r>
      <w:r w:rsidR="00932449">
        <w:rPr>
          <w:rStyle w:val="ae"/>
          <w:rtl/>
        </w:rPr>
        <w:footnoteReference w:id="225"/>
      </w:r>
      <w:r w:rsidR="00932449" w:rsidRPr="00932449">
        <w:rPr>
          <w:rStyle w:val="ae"/>
          <w:rtl/>
        </w:rPr>
        <w:t>)</w:t>
      </w:r>
      <w:r w:rsidRPr="00B07E03">
        <w:rPr>
          <w:rFonts w:ascii="Traditional Arabic" w:hAnsi="Traditional Arabic"/>
          <w:color w:val="0D0D0D" w:themeColor="text1" w:themeTint="F2"/>
          <w:rtl/>
          <w:lang w:eastAsia="en-US"/>
        </w:rPr>
        <w:t>قدرته بالناس، فهم في قبضته، قاله مجاهد</w:t>
      </w:r>
      <w:r w:rsidRPr="00B07E03">
        <w:rPr>
          <w:rStyle w:val="ae"/>
          <w:color w:val="0D0D0D" w:themeColor="text1" w:themeTint="F2"/>
          <w:rtl/>
        </w:rPr>
        <w:t>(</w:t>
      </w:r>
      <w:r w:rsidRPr="00B07E03">
        <w:rPr>
          <w:rStyle w:val="ae"/>
          <w:color w:val="0D0D0D" w:themeColor="text1" w:themeTint="F2"/>
          <w:rtl/>
        </w:rPr>
        <w:footnoteReference w:id="226"/>
      </w:r>
      <w:r w:rsidRPr="00B07E03">
        <w:rPr>
          <w:rStyle w:val="ae"/>
          <w:color w:val="0D0D0D" w:themeColor="text1" w:themeTint="F2"/>
          <w:rtl/>
        </w:rPr>
        <w:t>)</w:t>
      </w:r>
      <w:r w:rsidR="004B54A2" w:rsidRPr="004B54A2">
        <w:rPr>
          <w:rStyle w:val="ae"/>
          <w:rtl/>
        </w:rPr>
        <w:t>(</w:t>
      </w:r>
      <w:r w:rsidR="004B54A2">
        <w:rPr>
          <w:rStyle w:val="ae"/>
          <w:rtl/>
        </w:rPr>
        <w:footnoteReference w:id="227"/>
      </w:r>
      <w:r w:rsidR="004B54A2" w:rsidRPr="004B54A2">
        <w:rPr>
          <w:rStyle w:val="ae"/>
          <w:rtl/>
        </w:rPr>
        <w:t>)</w:t>
      </w:r>
      <w:r>
        <w:rPr>
          <w:rFonts w:ascii="Traditional Arabic" w:hAnsi="Traditional Arabic" w:hint="cs"/>
          <w:color w:val="0D0D0D" w:themeColor="text1" w:themeTint="F2"/>
          <w:rtl/>
          <w:lang w:eastAsia="en-US"/>
        </w:rPr>
        <w:t>،</w:t>
      </w:r>
      <w:r w:rsidRPr="00B07E03">
        <w:rPr>
          <w:rFonts w:ascii="Traditional Arabic" w:hAnsi="Traditional Arabic" w:hint="cs"/>
          <w:color w:val="0D0D0D" w:themeColor="text1" w:themeTint="F2"/>
          <w:rtl/>
          <w:lang w:eastAsia="en-US"/>
        </w:rPr>
        <w:t xml:space="preserve"> </w:t>
      </w:r>
      <w:r w:rsidRPr="00B07E03">
        <w:rPr>
          <w:rFonts w:ascii="Traditional Arabic" w:hAnsi="Traditional Arabic"/>
          <w:color w:val="0D0D0D" w:themeColor="text1" w:themeTint="F2"/>
          <w:rtl/>
          <w:lang w:eastAsia="en-US"/>
        </w:rPr>
        <w:t>والثالث:</w:t>
      </w:r>
      <w:r w:rsidRPr="00B07E03">
        <w:rPr>
          <w:rFonts w:ascii="Traditional Arabic" w:hAnsi="Traditional Arabic" w:hint="cs"/>
          <w:color w:val="0D0D0D" w:themeColor="text1" w:themeTint="F2"/>
          <w:rtl/>
          <w:lang w:eastAsia="en-US"/>
        </w:rPr>
        <w:t xml:space="preserve"> </w:t>
      </w:r>
      <w:r w:rsidRPr="00B07E03">
        <w:rPr>
          <w:rFonts w:ascii="Traditional Arabic" w:hAnsi="Traditional Arabic"/>
          <w:color w:val="0D0D0D" w:themeColor="text1" w:themeTint="F2"/>
          <w:rtl/>
          <w:lang w:eastAsia="en-US"/>
        </w:rPr>
        <w:t>حال بينك وبين الناس أن يقتلوك، لتبلِّغ رسالته، قاله الحسن، وقتادة</w:t>
      </w:r>
      <w:r w:rsidRPr="00B07E03">
        <w:rPr>
          <w:rStyle w:val="ae"/>
          <w:color w:val="0D0D0D" w:themeColor="text1" w:themeTint="F2"/>
          <w:rtl/>
        </w:rPr>
        <w:t>(</w:t>
      </w:r>
      <w:r w:rsidRPr="00B07E03">
        <w:rPr>
          <w:rStyle w:val="ae"/>
          <w:color w:val="0D0D0D" w:themeColor="text1" w:themeTint="F2"/>
          <w:rtl/>
        </w:rPr>
        <w:footnoteReference w:id="228"/>
      </w:r>
      <w:r w:rsidRPr="00B07E03">
        <w:rPr>
          <w:rStyle w:val="ae"/>
          <w:color w:val="0D0D0D" w:themeColor="text1" w:themeTint="F2"/>
          <w:rtl/>
        </w:rPr>
        <w:t>)</w:t>
      </w:r>
      <w:r w:rsidR="004B54A2" w:rsidRPr="004B54A2">
        <w:rPr>
          <w:rStyle w:val="ae"/>
          <w:rtl/>
        </w:rPr>
        <w:t>(</w:t>
      </w:r>
      <w:r w:rsidR="004B54A2">
        <w:rPr>
          <w:rStyle w:val="ae"/>
          <w:rtl/>
        </w:rPr>
        <w:footnoteReference w:id="229"/>
      </w:r>
      <w:r w:rsidR="004B54A2" w:rsidRPr="004B54A2">
        <w:rPr>
          <w:rStyle w:val="ae"/>
          <w:rtl/>
        </w:rPr>
        <w:t>)</w:t>
      </w:r>
      <w:r w:rsidRPr="00B07E03">
        <w:rPr>
          <w:rFonts w:ascii="Traditional Arabic" w:hAnsi="Traditional Arabic" w:hint="cs"/>
          <w:color w:val="0D0D0D" w:themeColor="text1" w:themeTint="F2"/>
          <w:rtl/>
          <w:lang w:eastAsia="en-US"/>
        </w:rPr>
        <w:t>.</w:t>
      </w:r>
      <w:r w:rsidRPr="00B07E03">
        <w:rPr>
          <w:rFonts w:ascii="Traditional Arabic" w:hAnsi="Traditional Arabic"/>
          <w:color w:val="0D0D0D" w:themeColor="text1" w:themeTint="F2"/>
          <w:rtl/>
          <w:lang w:eastAsia="en-US"/>
        </w:rPr>
        <w:t>قوله تعالى</w:t>
      </w:r>
      <w:r w:rsidRPr="005D5287">
        <w:rPr>
          <w:rFonts w:ascii="Traditional Arabic" w:hAnsi="Traditional Arabic"/>
          <w:color w:val="0D0D0D" w:themeColor="text1" w:themeTint="F2"/>
          <w:sz w:val="28"/>
          <w:szCs w:val="28"/>
          <w:rtl/>
          <w:lang w:eastAsia="en-US"/>
        </w:rPr>
        <w:t>:</w:t>
      </w:r>
      <w:r w:rsidRPr="005D5287">
        <w:rPr>
          <w:rFonts w:ascii="QCF_BSML" w:hAnsi="QCF_BSML" w:cs="QCF_BSML"/>
          <w:color w:val="0D0D0D" w:themeColor="text1" w:themeTint="F2"/>
          <w:sz w:val="28"/>
          <w:szCs w:val="28"/>
          <w:rtl/>
          <w:lang w:eastAsia="en-US"/>
        </w:rPr>
        <w:t xml:space="preserve"> </w:t>
      </w:r>
      <w:r w:rsidRPr="00F93733">
        <w:rPr>
          <w:rFonts w:ascii="QCF_BSML" w:hAnsi="QCF_BSML" w:cs="QCF_BSML"/>
          <w:color w:val="0D0D0D" w:themeColor="text1" w:themeTint="F2"/>
          <w:sz w:val="32"/>
          <w:szCs w:val="32"/>
          <w:rtl/>
          <w:lang w:eastAsia="en-US"/>
        </w:rPr>
        <w:t xml:space="preserve">ﭽ </w:t>
      </w:r>
      <w:r w:rsidRPr="00F93733">
        <w:rPr>
          <w:rFonts w:ascii="QCF_P288" w:hAnsi="QCF_P288" w:cs="QCF_P288"/>
          <w:color w:val="0D0D0D" w:themeColor="text1" w:themeTint="F2"/>
          <w:sz w:val="32"/>
          <w:szCs w:val="32"/>
          <w:rtl/>
          <w:lang w:eastAsia="en-US"/>
        </w:rPr>
        <w:t xml:space="preserve">ﭱ ﭲ ﭳ ﭴ ﭵ ﭶ ﭷ ﭸ </w:t>
      </w:r>
      <w:r w:rsidRPr="00F93733">
        <w:rPr>
          <w:rFonts w:ascii="QCF_BSML" w:hAnsi="QCF_BSML" w:cs="QCF_BSML"/>
          <w:color w:val="0D0D0D" w:themeColor="text1" w:themeTint="F2"/>
          <w:sz w:val="32"/>
          <w:szCs w:val="32"/>
          <w:rtl/>
          <w:lang w:eastAsia="en-US"/>
        </w:rPr>
        <w:t>ﭼ</w:t>
      </w:r>
      <w:r w:rsidRPr="00B07E03">
        <w:rPr>
          <w:rFonts w:ascii="Arial" w:hAnsi="Arial" w:cs="Arial"/>
          <w:color w:val="0D0D0D" w:themeColor="text1" w:themeTint="F2"/>
          <w:sz w:val="18"/>
          <w:szCs w:val="18"/>
          <w:rtl/>
          <w:lang w:eastAsia="en-US"/>
        </w:rPr>
        <w:t xml:space="preserve"> </w:t>
      </w:r>
      <w:r w:rsidRPr="00B07E03">
        <w:rPr>
          <w:rFonts w:ascii="Traditional Arabic" w:hAnsi="Traditional Arabic"/>
          <w:color w:val="0D0D0D" w:themeColor="text1" w:themeTint="F2"/>
          <w:rtl/>
          <w:lang w:eastAsia="en-US"/>
        </w:rPr>
        <w:t>في هذه الرؤيا قولان:</w:t>
      </w:r>
      <w:r w:rsidR="00E8073C">
        <w:rPr>
          <w:rFonts w:ascii="Traditional Arabic" w:hAnsi="Traditional Arabic" w:hint="cs"/>
          <w:color w:val="0D0D0D" w:themeColor="text1" w:themeTint="F2"/>
          <w:rtl/>
          <w:lang w:eastAsia="en-US"/>
        </w:rPr>
        <w:t xml:space="preserve"> </w:t>
      </w:r>
      <w:r w:rsidRPr="00B07E03">
        <w:rPr>
          <w:rFonts w:ascii="Traditional Arabic" w:hAnsi="Traditional Arabic"/>
          <w:color w:val="0D0D0D" w:themeColor="text1" w:themeTint="F2"/>
          <w:rtl/>
          <w:lang w:eastAsia="en-US"/>
        </w:rPr>
        <w:t xml:space="preserve">أحدهما: أنها رؤيا عين، وهي ما </w:t>
      </w:r>
      <w:r w:rsidR="00D53147">
        <w:rPr>
          <w:rFonts w:ascii="Traditional Arabic" w:hAnsi="Traditional Arabic" w:hint="cs"/>
          <w:color w:val="0D0D0D" w:themeColor="text1" w:themeTint="F2"/>
          <w:rtl/>
          <w:lang w:eastAsia="en-US"/>
        </w:rPr>
        <w:t>رأى</w:t>
      </w:r>
      <w:r w:rsidRPr="00B07E03">
        <w:rPr>
          <w:rFonts w:ascii="Traditional Arabic" w:hAnsi="Traditional Arabic"/>
          <w:color w:val="0D0D0D" w:themeColor="text1" w:themeTint="F2"/>
          <w:rtl/>
          <w:lang w:eastAsia="en-US"/>
        </w:rPr>
        <w:t xml:space="preserve"> ليلة أُسري به من العجائب والآيات. روى عكرمة</w:t>
      </w:r>
      <w:r w:rsidRPr="00B07E03">
        <w:rPr>
          <w:rStyle w:val="ae"/>
          <w:color w:val="0D0D0D" w:themeColor="text1" w:themeTint="F2"/>
          <w:rtl/>
        </w:rPr>
        <w:t>(</w:t>
      </w:r>
      <w:r w:rsidRPr="00B07E03">
        <w:rPr>
          <w:rStyle w:val="ae"/>
          <w:color w:val="0D0D0D" w:themeColor="text1" w:themeTint="F2"/>
          <w:rtl/>
        </w:rPr>
        <w:footnoteReference w:id="230"/>
      </w:r>
      <w:r w:rsidRPr="00B07E03">
        <w:rPr>
          <w:rStyle w:val="ae"/>
          <w:color w:val="0D0D0D" w:themeColor="text1" w:themeTint="F2"/>
          <w:rtl/>
        </w:rPr>
        <w:t>)</w:t>
      </w:r>
      <w:r w:rsidRPr="00B07E03">
        <w:rPr>
          <w:rFonts w:ascii="Traditional Arabic" w:hAnsi="Traditional Arabic"/>
          <w:color w:val="0D0D0D" w:themeColor="text1" w:themeTint="F2"/>
          <w:rtl/>
          <w:lang w:eastAsia="en-US"/>
        </w:rPr>
        <w:t>عن ابن عباس قال: هي رؤيا عين رآها ليلة أُسري به</w:t>
      </w:r>
      <w:r w:rsidRPr="00B07E03">
        <w:rPr>
          <w:rStyle w:val="ae"/>
          <w:color w:val="0D0D0D" w:themeColor="text1" w:themeTint="F2"/>
          <w:rtl/>
        </w:rPr>
        <w:t>(</w:t>
      </w:r>
      <w:r w:rsidRPr="00B07E03">
        <w:rPr>
          <w:rStyle w:val="ae"/>
          <w:color w:val="0D0D0D" w:themeColor="text1" w:themeTint="F2"/>
          <w:rtl/>
        </w:rPr>
        <w:footnoteReference w:id="231"/>
      </w:r>
      <w:r w:rsidRPr="00B07E03">
        <w:rPr>
          <w:rStyle w:val="ae"/>
          <w:color w:val="0D0D0D" w:themeColor="text1" w:themeTint="F2"/>
          <w:rtl/>
        </w:rPr>
        <w:t>)</w:t>
      </w:r>
      <w:r w:rsidRPr="00B07E03">
        <w:rPr>
          <w:rFonts w:ascii="Traditional Arabic" w:hAnsi="Traditional Arabic"/>
          <w:color w:val="0D0D0D" w:themeColor="text1" w:themeTint="F2"/>
          <w:rtl/>
          <w:lang w:eastAsia="en-US"/>
        </w:rPr>
        <w:t>، وإِلى هذا المعنى ذهب الحسن، وسعيد بن جبير، ومجاهد</w:t>
      </w:r>
      <w:r w:rsidR="004B54A2" w:rsidRPr="004B54A2">
        <w:rPr>
          <w:rStyle w:val="ae"/>
          <w:rtl/>
        </w:rPr>
        <w:t>(</w:t>
      </w:r>
      <w:r w:rsidR="004B54A2">
        <w:rPr>
          <w:rStyle w:val="ae"/>
          <w:rtl/>
        </w:rPr>
        <w:footnoteReference w:id="232"/>
      </w:r>
      <w:r w:rsidR="004B54A2" w:rsidRPr="004B54A2">
        <w:rPr>
          <w:rStyle w:val="ae"/>
          <w:rtl/>
        </w:rPr>
        <w:t>)</w:t>
      </w:r>
      <w:r w:rsidRPr="00B07E03">
        <w:rPr>
          <w:rFonts w:ascii="Traditional Arabic" w:hAnsi="Traditional Arabic"/>
          <w:color w:val="0D0D0D" w:themeColor="text1" w:themeTint="F2"/>
          <w:rtl/>
          <w:lang w:eastAsia="en-US"/>
        </w:rPr>
        <w:t>، وعكرمة، ومسروق</w:t>
      </w:r>
      <w:r w:rsidRPr="00B07E03">
        <w:rPr>
          <w:rStyle w:val="ae"/>
          <w:color w:val="0D0D0D" w:themeColor="text1" w:themeTint="F2"/>
          <w:rtl/>
        </w:rPr>
        <w:t>(</w:t>
      </w:r>
      <w:r w:rsidRPr="00B07E03">
        <w:rPr>
          <w:rStyle w:val="ae"/>
          <w:color w:val="0D0D0D" w:themeColor="text1" w:themeTint="F2"/>
          <w:rtl/>
        </w:rPr>
        <w:footnoteReference w:id="233"/>
      </w:r>
      <w:r w:rsidRPr="00B07E03">
        <w:rPr>
          <w:rStyle w:val="ae"/>
          <w:color w:val="0D0D0D" w:themeColor="text1" w:themeTint="F2"/>
          <w:rtl/>
        </w:rPr>
        <w:t>)</w:t>
      </w:r>
      <w:r w:rsidRPr="00B07E03">
        <w:rPr>
          <w:rFonts w:ascii="Traditional Arabic" w:hAnsi="Traditional Arabic"/>
          <w:color w:val="0D0D0D" w:themeColor="text1" w:themeTint="F2"/>
          <w:rtl/>
          <w:lang w:eastAsia="en-US"/>
        </w:rPr>
        <w:t xml:space="preserve">، </w:t>
      </w:r>
      <w:r w:rsidRPr="00B07E03">
        <w:rPr>
          <w:rFonts w:ascii="Traditional Arabic" w:hAnsi="Traditional Arabic"/>
          <w:color w:val="0D0D0D" w:themeColor="text1" w:themeTint="F2"/>
          <w:rtl/>
          <w:lang w:eastAsia="en-US"/>
        </w:rPr>
        <w:lastRenderedPageBreak/>
        <w:t>والنخعي</w:t>
      </w:r>
      <w:r w:rsidRPr="00B07E03">
        <w:rPr>
          <w:rStyle w:val="ae"/>
          <w:color w:val="0D0D0D" w:themeColor="text1" w:themeTint="F2"/>
          <w:rtl/>
        </w:rPr>
        <w:t>(</w:t>
      </w:r>
      <w:r w:rsidRPr="00B07E03">
        <w:rPr>
          <w:rStyle w:val="ae"/>
          <w:color w:val="0D0D0D" w:themeColor="text1" w:themeTint="F2"/>
          <w:rtl/>
        </w:rPr>
        <w:footnoteReference w:id="234"/>
      </w:r>
      <w:r w:rsidRPr="00B07E03">
        <w:rPr>
          <w:rStyle w:val="ae"/>
          <w:color w:val="0D0D0D" w:themeColor="text1" w:themeTint="F2"/>
          <w:rtl/>
        </w:rPr>
        <w:t>)</w:t>
      </w:r>
      <w:r w:rsidRPr="00B07E03">
        <w:rPr>
          <w:rFonts w:ascii="Traditional Arabic" w:hAnsi="Traditional Arabic"/>
          <w:color w:val="0D0D0D" w:themeColor="text1" w:themeTint="F2"/>
          <w:rtl/>
          <w:lang w:eastAsia="en-US"/>
        </w:rPr>
        <w:t>، وقتادة، وأبو مالك</w:t>
      </w:r>
      <w:r w:rsidRPr="00B07E03">
        <w:rPr>
          <w:rStyle w:val="ae"/>
          <w:color w:val="0D0D0D" w:themeColor="text1" w:themeTint="F2"/>
          <w:rtl/>
        </w:rPr>
        <w:t>(</w:t>
      </w:r>
      <w:r w:rsidRPr="00B07E03">
        <w:rPr>
          <w:rStyle w:val="ae"/>
          <w:color w:val="0D0D0D" w:themeColor="text1" w:themeTint="F2"/>
          <w:rtl/>
        </w:rPr>
        <w:footnoteReference w:id="235"/>
      </w:r>
      <w:r w:rsidRPr="00B07E03">
        <w:rPr>
          <w:rStyle w:val="ae"/>
          <w:color w:val="0D0D0D" w:themeColor="text1" w:themeTint="F2"/>
          <w:rtl/>
        </w:rPr>
        <w:t>)</w:t>
      </w:r>
      <w:r w:rsidRPr="00B07E03">
        <w:rPr>
          <w:rFonts w:ascii="Traditional Arabic" w:hAnsi="Traditional Arabic"/>
          <w:color w:val="0D0D0D" w:themeColor="text1" w:themeTint="F2"/>
          <w:rtl/>
          <w:lang w:eastAsia="en-US"/>
        </w:rPr>
        <w:t>، وأبو صالح،</w:t>
      </w:r>
      <w:r w:rsidRPr="00B07E03">
        <w:rPr>
          <w:rFonts w:ascii="Traditional Arabic" w:hAnsi="Traditional Arabic" w:hint="cs"/>
          <w:color w:val="0D0D0D" w:themeColor="text1" w:themeTint="F2"/>
          <w:rtl/>
          <w:lang w:eastAsia="en-US"/>
        </w:rPr>
        <w:t xml:space="preserve"> </w:t>
      </w:r>
      <w:r w:rsidRPr="00B07E03">
        <w:rPr>
          <w:rFonts w:ascii="Traditional Arabic" w:hAnsi="Traditional Arabic"/>
          <w:color w:val="0D0D0D" w:themeColor="text1" w:themeTint="F2"/>
          <w:rtl/>
          <w:lang w:eastAsia="en-US"/>
        </w:rPr>
        <w:t>وابن جريج</w:t>
      </w:r>
      <w:r w:rsidRPr="00B07E03">
        <w:rPr>
          <w:rStyle w:val="ae"/>
          <w:color w:val="0D0D0D" w:themeColor="text1" w:themeTint="F2"/>
          <w:rtl/>
        </w:rPr>
        <w:t>(</w:t>
      </w:r>
      <w:r w:rsidRPr="00B07E03">
        <w:rPr>
          <w:rStyle w:val="ae"/>
          <w:color w:val="0D0D0D" w:themeColor="text1" w:themeTint="F2"/>
          <w:rtl/>
        </w:rPr>
        <w:footnoteReference w:id="236"/>
      </w:r>
      <w:r w:rsidRPr="00B07E03">
        <w:rPr>
          <w:rStyle w:val="ae"/>
          <w:color w:val="0D0D0D" w:themeColor="text1" w:themeTint="F2"/>
          <w:rtl/>
        </w:rPr>
        <w:t>)</w:t>
      </w:r>
      <w:r w:rsidR="00BB792F">
        <w:rPr>
          <w:rFonts w:ascii="Traditional Arabic" w:hAnsi="Traditional Arabic"/>
          <w:color w:val="0D0D0D" w:themeColor="text1" w:themeTint="F2"/>
          <w:rtl/>
          <w:lang w:eastAsia="en-US"/>
        </w:rPr>
        <w:t>،</w:t>
      </w:r>
      <w:r w:rsidR="00BB792F">
        <w:rPr>
          <w:rFonts w:ascii="Traditional Arabic" w:hAnsi="Traditional Arabic" w:hint="cs"/>
          <w:color w:val="0D0D0D" w:themeColor="text1" w:themeTint="F2"/>
          <w:rtl/>
          <w:lang w:eastAsia="en-US"/>
        </w:rPr>
        <w:t xml:space="preserve"> </w:t>
      </w:r>
      <w:r w:rsidRPr="00BB792F">
        <w:rPr>
          <w:rFonts w:ascii="Traditional Arabic" w:hAnsi="Traditional Arabic"/>
          <w:color w:val="0D0D0D" w:themeColor="text1" w:themeTint="F2"/>
          <w:rtl/>
          <w:lang w:eastAsia="en-US"/>
        </w:rPr>
        <w:t>وابن زيد</w:t>
      </w:r>
      <w:r w:rsidRPr="00BB792F">
        <w:rPr>
          <w:rStyle w:val="ae"/>
          <w:rFonts w:ascii="Traditional Arabic" w:hAnsi="Traditional Arabic"/>
          <w:color w:val="0D0D0D" w:themeColor="text1" w:themeTint="F2"/>
        </w:rPr>
        <w:t>(</w:t>
      </w:r>
      <w:r w:rsidRPr="00BB792F">
        <w:rPr>
          <w:rStyle w:val="ae"/>
          <w:rFonts w:ascii="Traditional Arabic" w:hAnsi="Traditional Arabic"/>
          <w:color w:val="0D0D0D" w:themeColor="text1" w:themeTint="F2"/>
        </w:rPr>
        <w:footnoteReference w:id="237"/>
      </w:r>
      <w:r w:rsidRPr="00BB792F">
        <w:rPr>
          <w:rStyle w:val="ae"/>
          <w:rFonts w:ascii="Traditional Arabic" w:hAnsi="Traditional Arabic"/>
          <w:color w:val="0D0D0D" w:themeColor="text1" w:themeTint="F2"/>
        </w:rPr>
        <w:t>)</w:t>
      </w:r>
      <w:r w:rsidRPr="00BB792F">
        <w:rPr>
          <w:rFonts w:ascii="Traditional Arabic" w:hAnsi="Traditional Arabic"/>
          <w:color w:val="0D0D0D" w:themeColor="text1" w:themeTint="F2"/>
          <w:rtl/>
          <w:lang w:eastAsia="en-US"/>
        </w:rPr>
        <w:t>في</w:t>
      </w:r>
      <w:r w:rsidRPr="00B07E03">
        <w:rPr>
          <w:rFonts w:ascii="Traditional Arabic" w:hAnsi="Traditional Arabic"/>
          <w:color w:val="0D0D0D" w:themeColor="text1" w:themeTint="F2"/>
          <w:rtl/>
          <w:lang w:eastAsia="en-US"/>
        </w:rPr>
        <w:t xml:space="preserve"> آخرين</w:t>
      </w:r>
      <w:r w:rsidRPr="00B07E03">
        <w:rPr>
          <w:rFonts w:ascii="Traditional Arabic" w:hAnsi="Traditional Arabic" w:hint="cs"/>
          <w:color w:val="0D0D0D" w:themeColor="text1" w:themeTint="F2"/>
          <w:rtl/>
          <w:lang w:eastAsia="en-US"/>
        </w:rPr>
        <w:t xml:space="preserve">؛ </w:t>
      </w:r>
      <w:r w:rsidRPr="00B07E03">
        <w:rPr>
          <w:rFonts w:ascii="Traditional Arabic" w:hAnsi="Traditional Arabic"/>
          <w:color w:val="0D0D0D" w:themeColor="text1" w:themeTint="F2"/>
          <w:rtl/>
          <w:lang w:eastAsia="en-US"/>
        </w:rPr>
        <w:t>فعلى هذا يكون معنى الفتنة: الاختبار، فإن قوماً آمنوا بما قال، وقوماً كفروا. قال ابن الأنباري: المختار في هذه الرؤية أن تكون يقظة، ولا فرق</w:t>
      </w:r>
      <w:r w:rsidRPr="00B07E03">
        <w:rPr>
          <w:rFonts w:ascii="Traditional Arabic" w:hAnsi="Traditional Arabic" w:hint="cs"/>
          <w:color w:val="0D0D0D" w:themeColor="text1" w:themeTint="F2"/>
          <w:rtl/>
          <w:lang w:eastAsia="en-US"/>
        </w:rPr>
        <w:t xml:space="preserve"> </w:t>
      </w:r>
      <w:r w:rsidRPr="00B07E03">
        <w:rPr>
          <w:rFonts w:ascii="Traditional Arabic" w:hAnsi="Traditional Arabic"/>
          <w:color w:val="0D0D0D" w:themeColor="text1" w:themeTint="F2"/>
          <w:rtl/>
          <w:lang w:eastAsia="en-US"/>
        </w:rPr>
        <w:t>بين أن يقول القائل: رأيت فلاناً رؤية، ورأيته رؤيا، إِلا أن الرؤية يقلُّ استعمالها في المنام، والرؤيا يكثر استعمالها في المنام، ويجوز كل واحد منهما في المعنيين</w:t>
      </w:r>
      <w:r w:rsidRPr="00B07E03">
        <w:rPr>
          <w:rStyle w:val="ae"/>
          <w:color w:val="0D0D0D" w:themeColor="text1" w:themeTint="F2"/>
          <w:rtl/>
        </w:rPr>
        <w:t>(</w:t>
      </w:r>
      <w:r w:rsidRPr="00B07E03">
        <w:rPr>
          <w:rStyle w:val="ae"/>
          <w:color w:val="0D0D0D" w:themeColor="text1" w:themeTint="F2"/>
          <w:rtl/>
        </w:rPr>
        <w:footnoteReference w:id="238"/>
      </w:r>
      <w:r w:rsidRPr="00B07E03">
        <w:rPr>
          <w:rStyle w:val="ae"/>
          <w:color w:val="0D0D0D" w:themeColor="text1" w:themeTint="F2"/>
          <w:rtl/>
        </w:rPr>
        <w:t>)</w:t>
      </w:r>
      <w:r w:rsidRPr="00B07E03">
        <w:rPr>
          <w:rFonts w:ascii="Traditional Arabic" w:hAnsi="Traditional Arabic"/>
          <w:color w:val="0D0D0D" w:themeColor="text1" w:themeTint="F2"/>
          <w:rtl/>
          <w:lang w:eastAsia="en-US"/>
        </w:rPr>
        <w:t>.</w:t>
      </w:r>
      <w:r w:rsidR="00E667B0">
        <w:rPr>
          <w:rFonts w:ascii="Traditional Arabic" w:hAnsi="Traditional Arabic" w:hint="cs"/>
          <w:color w:val="0D0D0D" w:themeColor="text1" w:themeTint="F2"/>
          <w:rtl/>
          <w:lang w:eastAsia="en-US"/>
        </w:rPr>
        <w:t xml:space="preserve"> </w:t>
      </w:r>
      <w:r w:rsidRPr="00B07E03">
        <w:rPr>
          <w:rFonts w:ascii="Traditional Arabic" w:hAnsi="Traditional Arabic"/>
          <w:color w:val="0D0D0D" w:themeColor="text1" w:themeTint="F2"/>
          <w:rtl/>
          <w:lang w:eastAsia="en-US"/>
        </w:rPr>
        <w:t>والثاني: أنها رؤيا منام</w:t>
      </w:r>
      <w:r w:rsidRPr="00B07E03">
        <w:rPr>
          <w:rStyle w:val="ae"/>
          <w:color w:val="0D0D0D" w:themeColor="text1" w:themeTint="F2"/>
          <w:rtl/>
        </w:rPr>
        <w:t>(</w:t>
      </w:r>
      <w:r w:rsidRPr="00B07E03">
        <w:rPr>
          <w:rStyle w:val="ae"/>
          <w:color w:val="0D0D0D" w:themeColor="text1" w:themeTint="F2"/>
          <w:rtl/>
        </w:rPr>
        <w:footnoteReference w:id="239"/>
      </w:r>
      <w:r w:rsidRPr="00B07E03">
        <w:rPr>
          <w:rStyle w:val="ae"/>
          <w:color w:val="0D0D0D" w:themeColor="text1" w:themeTint="F2"/>
          <w:rtl/>
        </w:rPr>
        <w:t>)</w:t>
      </w:r>
      <w:r w:rsidRPr="00B07E03">
        <w:rPr>
          <w:rFonts w:ascii="Traditional Arabic" w:hAnsi="Traditional Arabic"/>
          <w:color w:val="0D0D0D" w:themeColor="text1" w:themeTint="F2"/>
          <w:rtl/>
          <w:lang w:eastAsia="en-US"/>
        </w:rPr>
        <w:t>. ثم فيها قولان:</w:t>
      </w:r>
      <w:r>
        <w:rPr>
          <w:rFonts w:ascii="Traditional Arabic" w:hAnsi="Traditional Arabic" w:hint="cs"/>
          <w:color w:val="0D0D0D" w:themeColor="text1" w:themeTint="F2"/>
          <w:rtl/>
          <w:lang w:eastAsia="en-US"/>
        </w:rPr>
        <w:t xml:space="preserve"> </w:t>
      </w:r>
      <w:r w:rsidRPr="00B07E03">
        <w:rPr>
          <w:rFonts w:ascii="Traditional Arabic" w:hAnsi="Traditional Arabic"/>
          <w:color w:val="0D0D0D" w:themeColor="text1" w:themeTint="F2"/>
          <w:rtl/>
          <w:lang w:eastAsia="en-US"/>
        </w:rPr>
        <w:t>أحدهما: أن رسول الله</w:t>
      </w:r>
      <w:r w:rsidRPr="00D66DE5">
        <w:rPr>
          <w:rFonts w:ascii="Traditional Arabic" w:hAnsi="Traditional Arabic"/>
        </w:rPr>
        <w:sym w:font="AGA Arabesque" w:char="F072"/>
      </w:r>
      <w:r w:rsidRPr="00D66DE5">
        <w:rPr>
          <w:rFonts w:ascii="Traditional Arabic" w:hAnsi="Traditional Arabic"/>
        </w:rPr>
        <w:t xml:space="preserve"> </w:t>
      </w:r>
      <w:r w:rsidRPr="00B07E03">
        <w:rPr>
          <w:rFonts w:ascii="Traditional Arabic" w:hAnsi="Traditional Arabic"/>
          <w:color w:val="0D0D0D" w:themeColor="text1" w:themeTint="F2"/>
          <w:rtl/>
          <w:lang w:eastAsia="en-US"/>
        </w:rPr>
        <w:t>كان قد أُرِيَ أنه يدخل مكة،</w:t>
      </w:r>
      <w:r w:rsidR="008474CB">
        <w:rPr>
          <w:rFonts w:ascii="Traditional Arabic" w:hAnsi="Traditional Arabic" w:hint="cs"/>
          <w:color w:val="0D0D0D" w:themeColor="text1" w:themeTint="F2"/>
          <w:rtl/>
          <w:lang w:eastAsia="en-US"/>
        </w:rPr>
        <w:t xml:space="preserve"> </w:t>
      </w:r>
      <w:r w:rsidR="001277AD" w:rsidRPr="001277AD">
        <w:rPr>
          <w:rFonts w:hint="cs"/>
          <w:color w:val="0D0D0D" w:themeColor="text1" w:themeTint="F2"/>
          <w:sz w:val="32"/>
          <w:szCs w:val="32"/>
          <w:rtl/>
        </w:rPr>
        <w:t>[73]</w:t>
      </w:r>
      <w:r w:rsidR="008474CB">
        <w:rPr>
          <w:rFonts w:ascii="Traditional Arabic" w:hAnsi="Traditional Arabic" w:hint="cs"/>
          <w:color w:val="0D0D0D" w:themeColor="text1" w:themeTint="F2"/>
          <w:rtl/>
          <w:lang w:eastAsia="en-US"/>
        </w:rPr>
        <w:t xml:space="preserve"> </w:t>
      </w:r>
      <w:r w:rsidRPr="00B07E03">
        <w:rPr>
          <w:rFonts w:ascii="Traditional Arabic" w:hAnsi="Traditional Arabic"/>
          <w:color w:val="0D0D0D" w:themeColor="text1" w:themeTint="F2"/>
          <w:rtl/>
          <w:lang w:eastAsia="en-US"/>
        </w:rPr>
        <w:t>هو وأصحابه، وهو يومئذ بالمدينة، فعَج</w:t>
      </w:r>
      <w:r w:rsidR="002D6CFD">
        <w:rPr>
          <w:rFonts w:ascii="Traditional Arabic" w:hAnsi="Traditional Arabic" w:hint="cs"/>
          <w:color w:val="0D0D0D" w:themeColor="text1" w:themeTint="F2"/>
          <w:rtl/>
          <w:lang w:eastAsia="en-US"/>
        </w:rPr>
        <w:t>ِ</w:t>
      </w:r>
      <w:r w:rsidRPr="00B07E03">
        <w:rPr>
          <w:rFonts w:ascii="Traditional Arabic" w:hAnsi="Traditional Arabic"/>
          <w:color w:val="0D0D0D" w:themeColor="text1" w:themeTint="F2"/>
          <w:rtl/>
          <w:lang w:eastAsia="en-US"/>
        </w:rPr>
        <w:t>ل</w:t>
      </w:r>
      <w:r w:rsidR="002D6CFD">
        <w:rPr>
          <w:rFonts w:ascii="Traditional Arabic" w:hAnsi="Traditional Arabic" w:hint="cs"/>
          <w:color w:val="0D0D0D" w:themeColor="text1" w:themeTint="F2"/>
          <w:rtl/>
          <w:lang w:eastAsia="en-US"/>
        </w:rPr>
        <w:t>َ</w:t>
      </w:r>
      <w:r w:rsidRPr="00B07E03">
        <w:rPr>
          <w:rFonts w:ascii="Traditional Arabic" w:hAnsi="Traditional Arabic"/>
          <w:color w:val="0D0D0D" w:themeColor="text1" w:themeTint="F2"/>
          <w:rtl/>
          <w:lang w:eastAsia="en-US"/>
        </w:rPr>
        <w:t xml:space="preserve"> قبل الأجل، فردَّه المشركون، فقال أناس: قد رُدَّ، وكان حدَّثَنَا أنه سيدخلها، فكان رجوعهم فتنتهم، رواه العوفي</w:t>
      </w:r>
      <w:r w:rsidRPr="00B07E03">
        <w:rPr>
          <w:rStyle w:val="ae"/>
          <w:color w:val="0D0D0D" w:themeColor="text1" w:themeTint="F2"/>
          <w:rtl/>
        </w:rPr>
        <w:t>(</w:t>
      </w:r>
      <w:r w:rsidRPr="00B07E03">
        <w:rPr>
          <w:rStyle w:val="ae"/>
          <w:color w:val="0D0D0D" w:themeColor="text1" w:themeTint="F2"/>
          <w:rtl/>
        </w:rPr>
        <w:footnoteReference w:id="240"/>
      </w:r>
      <w:r w:rsidRPr="00B07E03">
        <w:rPr>
          <w:rStyle w:val="ae"/>
          <w:color w:val="0D0D0D" w:themeColor="text1" w:themeTint="F2"/>
          <w:rtl/>
        </w:rPr>
        <w:t>)</w:t>
      </w:r>
      <w:r w:rsidRPr="00B07E03">
        <w:rPr>
          <w:rFonts w:ascii="Traditional Arabic" w:hAnsi="Traditional Arabic"/>
          <w:color w:val="0D0D0D" w:themeColor="text1" w:themeTint="F2"/>
          <w:rtl/>
          <w:lang w:eastAsia="en-US"/>
        </w:rPr>
        <w:t>عن ابن عباس</w:t>
      </w:r>
      <w:r w:rsidRPr="001A43EF">
        <w:rPr>
          <w:rStyle w:val="ae"/>
          <w:rtl/>
        </w:rPr>
        <w:t>(</w:t>
      </w:r>
      <w:r>
        <w:rPr>
          <w:rStyle w:val="ae"/>
          <w:rtl/>
        </w:rPr>
        <w:footnoteReference w:id="241"/>
      </w:r>
      <w:r w:rsidRPr="001A43EF">
        <w:rPr>
          <w:rStyle w:val="ae"/>
          <w:rtl/>
        </w:rPr>
        <w:t>)</w:t>
      </w:r>
      <w:r w:rsidRPr="00B07E03">
        <w:rPr>
          <w:rFonts w:ascii="Traditional Arabic" w:hAnsi="Traditional Arabic"/>
          <w:color w:val="0D0D0D" w:themeColor="text1" w:themeTint="F2"/>
          <w:rtl/>
          <w:lang w:eastAsia="en-US"/>
        </w:rPr>
        <w:t xml:space="preserve">. وهذا لا ينافي حديث المعراج، لأن هذا كان بالمدينة، والمعراج كان </w:t>
      </w:r>
      <w:r w:rsidRPr="00B07E03">
        <w:rPr>
          <w:rFonts w:ascii="Traditional Arabic" w:hAnsi="Traditional Arabic"/>
          <w:color w:val="0D0D0D" w:themeColor="text1" w:themeTint="F2"/>
          <w:rtl/>
          <w:lang w:eastAsia="en-US"/>
        </w:rPr>
        <w:lastRenderedPageBreak/>
        <w:t>بمكة: قال أبو سليمان الدمشقي</w:t>
      </w:r>
      <w:r w:rsidRPr="00B07E03">
        <w:rPr>
          <w:rStyle w:val="ae"/>
          <w:color w:val="0D0D0D" w:themeColor="text1" w:themeTint="F2"/>
          <w:rtl/>
        </w:rPr>
        <w:t>(</w:t>
      </w:r>
      <w:r w:rsidRPr="00B07E03">
        <w:rPr>
          <w:rStyle w:val="ae"/>
          <w:color w:val="0D0D0D" w:themeColor="text1" w:themeTint="F2"/>
          <w:rtl/>
        </w:rPr>
        <w:footnoteReference w:id="242"/>
      </w:r>
      <w:r w:rsidRPr="00B07E03">
        <w:rPr>
          <w:rStyle w:val="ae"/>
          <w:color w:val="0D0D0D" w:themeColor="text1" w:themeTint="F2"/>
          <w:rtl/>
        </w:rPr>
        <w:t>)</w:t>
      </w:r>
      <w:r w:rsidRPr="00B07E03">
        <w:rPr>
          <w:rFonts w:ascii="Traditional Arabic" w:hAnsi="Traditional Arabic"/>
          <w:color w:val="0D0D0D" w:themeColor="text1" w:themeTint="F2"/>
          <w:rtl/>
          <w:lang w:eastAsia="en-US"/>
        </w:rPr>
        <w:t>: وإِنما ذكره ابن عباس على وجه الزيادة في الإِخبار لنا أن المشركين بمكة افتتنوا برؤيا عينه، والمنافقين بالمدينة افتتنوا برؤيا نومه</w:t>
      </w:r>
      <w:r w:rsidRPr="00B07E03">
        <w:rPr>
          <w:rStyle w:val="ae"/>
          <w:color w:val="0D0D0D" w:themeColor="text1" w:themeTint="F2"/>
          <w:rtl/>
        </w:rPr>
        <w:t>(</w:t>
      </w:r>
      <w:r w:rsidRPr="00B07E03">
        <w:rPr>
          <w:rStyle w:val="ae"/>
          <w:color w:val="0D0D0D" w:themeColor="text1" w:themeTint="F2"/>
          <w:rtl/>
        </w:rPr>
        <w:footnoteReference w:id="243"/>
      </w:r>
      <w:r w:rsidRPr="00B07E03">
        <w:rPr>
          <w:rStyle w:val="ae"/>
          <w:color w:val="0D0D0D" w:themeColor="text1" w:themeTint="F2"/>
          <w:rtl/>
        </w:rPr>
        <w:t>)</w:t>
      </w:r>
      <w:r w:rsidRPr="00B07E03">
        <w:rPr>
          <w:rFonts w:ascii="Traditional Arabic" w:hAnsi="Traditional Arabic"/>
          <w:color w:val="0D0D0D" w:themeColor="text1" w:themeTint="F2"/>
          <w:rtl/>
          <w:lang w:eastAsia="en-US"/>
        </w:rPr>
        <w:t>.</w:t>
      </w:r>
      <w:r>
        <w:rPr>
          <w:rFonts w:ascii="Traditional Arabic" w:hAnsi="Traditional Arabic" w:hint="cs"/>
          <w:color w:val="0D0D0D" w:themeColor="text1" w:themeTint="F2"/>
          <w:rtl/>
          <w:lang w:eastAsia="en-US"/>
        </w:rPr>
        <w:t xml:space="preserve"> </w:t>
      </w:r>
      <w:r w:rsidR="00B80EE3">
        <w:rPr>
          <w:rFonts w:ascii="Traditional Arabic" w:hAnsi="Traditional Arabic"/>
          <w:color w:val="0D0D0D" w:themeColor="text1" w:themeTint="F2"/>
          <w:rtl/>
          <w:lang w:eastAsia="en-US"/>
        </w:rPr>
        <w:t>والثاني: أنه أُري بني</w:t>
      </w:r>
      <w:r w:rsidR="00B46390">
        <w:rPr>
          <w:rFonts w:ascii="Traditional Arabic" w:hAnsi="Traditional Arabic" w:hint="cs"/>
          <w:color w:val="0D0D0D" w:themeColor="text1" w:themeTint="F2"/>
          <w:rtl/>
          <w:lang w:eastAsia="en-US"/>
        </w:rPr>
        <w:t xml:space="preserve"> </w:t>
      </w:r>
      <w:r w:rsidR="00B80EE3">
        <w:rPr>
          <w:rFonts w:ascii="Traditional Arabic" w:hAnsi="Traditional Arabic"/>
          <w:color w:val="0D0D0D" w:themeColor="text1" w:themeTint="F2"/>
          <w:rtl/>
          <w:lang w:eastAsia="en-US"/>
        </w:rPr>
        <w:t>أمية</w:t>
      </w:r>
      <w:r w:rsidR="00B80EE3" w:rsidRPr="00B80EE3">
        <w:rPr>
          <w:rStyle w:val="ae"/>
          <w:rtl/>
        </w:rPr>
        <w:t>(</w:t>
      </w:r>
      <w:r w:rsidR="00B80EE3">
        <w:rPr>
          <w:rStyle w:val="ae"/>
          <w:rtl/>
        </w:rPr>
        <w:footnoteReference w:id="244"/>
      </w:r>
      <w:r w:rsidR="00B80EE3" w:rsidRPr="00B80EE3">
        <w:rPr>
          <w:rStyle w:val="ae"/>
          <w:rtl/>
        </w:rPr>
        <w:t>)</w:t>
      </w:r>
      <w:r w:rsidRPr="00B07E03">
        <w:rPr>
          <w:rFonts w:ascii="Traditional Arabic" w:hAnsi="Traditional Arabic"/>
          <w:color w:val="0D0D0D" w:themeColor="text1" w:themeTint="F2"/>
          <w:rtl/>
          <w:lang w:eastAsia="en-US"/>
        </w:rPr>
        <w:t xml:space="preserve">على المنابر، </w:t>
      </w:r>
      <w:r>
        <w:rPr>
          <w:rFonts w:ascii="Traditional Arabic" w:hAnsi="Traditional Arabic" w:hint="cs"/>
          <w:color w:val="0D0D0D" w:themeColor="text1" w:themeTint="F2"/>
          <w:rtl/>
          <w:lang w:eastAsia="en-US"/>
        </w:rPr>
        <w:t>ف</w:t>
      </w:r>
      <w:r w:rsidRPr="00B07E03">
        <w:rPr>
          <w:rFonts w:ascii="Traditional Arabic" w:hAnsi="Traditional Arabic"/>
          <w:color w:val="0D0D0D" w:themeColor="text1" w:themeTint="F2"/>
          <w:rtl/>
          <w:lang w:eastAsia="en-US"/>
        </w:rPr>
        <w:t>ساءه ذلك، فقيل له: إنها الدنيا</w:t>
      </w:r>
      <w:r w:rsidRPr="00B07E03">
        <w:rPr>
          <w:rFonts w:ascii="Traditional Arabic" w:hAnsi="Traditional Arabic" w:hint="cs"/>
          <w:color w:val="0D0D0D" w:themeColor="text1" w:themeTint="F2"/>
          <w:rtl/>
          <w:lang w:eastAsia="en-US"/>
        </w:rPr>
        <w:t xml:space="preserve"> </w:t>
      </w:r>
      <w:r w:rsidRPr="00B07E03">
        <w:rPr>
          <w:rFonts w:ascii="Traditional Arabic" w:hAnsi="Traditional Arabic"/>
          <w:color w:val="0D0D0D" w:themeColor="text1" w:themeTint="F2"/>
          <w:rtl/>
          <w:lang w:eastAsia="en-US"/>
        </w:rPr>
        <w:t>يُعْطَوْنَها، فسرّي عنه</w:t>
      </w:r>
      <w:r>
        <w:rPr>
          <w:rFonts w:ascii="Traditional Arabic" w:hAnsi="Traditional Arabic" w:hint="cs"/>
          <w:color w:val="0D0D0D" w:themeColor="text1" w:themeTint="F2"/>
          <w:rtl/>
          <w:lang w:eastAsia="en-US"/>
        </w:rPr>
        <w:t xml:space="preserve">؛ </w:t>
      </w:r>
      <w:r w:rsidRPr="00B07E03">
        <w:rPr>
          <w:rFonts w:ascii="Traditional Arabic" w:hAnsi="Traditional Arabic"/>
          <w:color w:val="0D0D0D" w:themeColor="text1" w:themeTint="F2"/>
          <w:rtl/>
          <w:lang w:eastAsia="en-US"/>
        </w:rPr>
        <w:t>فالفتنة ها هنا: البلاء، رواه علي بن زيد بن جدعان</w:t>
      </w:r>
      <w:r w:rsidRPr="00B07E03">
        <w:rPr>
          <w:rStyle w:val="ae"/>
          <w:color w:val="0D0D0D" w:themeColor="text1" w:themeTint="F2"/>
          <w:rtl/>
        </w:rPr>
        <w:t>(</w:t>
      </w:r>
      <w:r w:rsidRPr="00B07E03">
        <w:rPr>
          <w:rStyle w:val="ae"/>
          <w:color w:val="0D0D0D" w:themeColor="text1" w:themeTint="F2"/>
          <w:rtl/>
        </w:rPr>
        <w:footnoteReference w:id="245"/>
      </w:r>
      <w:r w:rsidRPr="00B07E03">
        <w:rPr>
          <w:rStyle w:val="ae"/>
          <w:color w:val="0D0D0D" w:themeColor="text1" w:themeTint="F2"/>
          <w:rtl/>
        </w:rPr>
        <w:t>)</w:t>
      </w:r>
      <w:r w:rsidRPr="00B07E03">
        <w:rPr>
          <w:rFonts w:ascii="Traditional Arabic" w:hAnsi="Traditional Arabic"/>
          <w:color w:val="0D0D0D" w:themeColor="text1" w:themeTint="F2"/>
          <w:rtl/>
          <w:lang w:eastAsia="en-US"/>
        </w:rPr>
        <w:t>عن سعيد</w:t>
      </w:r>
      <w:r w:rsidRPr="00B07E03">
        <w:rPr>
          <w:rFonts w:ascii="Traditional Arabic" w:hAnsi="Traditional Arabic" w:hint="cs"/>
          <w:color w:val="0D0D0D" w:themeColor="text1" w:themeTint="F2"/>
          <w:rtl/>
          <w:lang w:eastAsia="en-US"/>
        </w:rPr>
        <w:t xml:space="preserve"> </w:t>
      </w:r>
      <w:r w:rsidRPr="00B07E03">
        <w:rPr>
          <w:rFonts w:ascii="Traditional Arabic" w:hAnsi="Traditional Arabic"/>
          <w:color w:val="0D0D0D" w:themeColor="text1" w:themeTint="F2"/>
          <w:rtl/>
          <w:lang w:eastAsia="en-US"/>
        </w:rPr>
        <w:t>بن المسيب</w:t>
      </w:r>
      <w:r w:rsidRPr="00B07E03">
        <w:rPr>
          <w:rStyle w:val="ae"/>
          <w:color w:val="0D0D0D" w:themeColor="text1" w:themeTint="F2"/>
          <w:rtl/>
        </w:rPr>
        <w:t>(</w:t>
      </w:r>
      <w:r w:rsidRPr="00B07E03">
        <w:rPr>
          <w:rStyle w:val="ae"/>
          <w:color w:val="0D0D0D" w:themeColor="text1" w:themeTint="F2"/>
          <w:rtl/>
        </w:rPr>
        <w:footnoteReference w:id="246"/>
      </w:r>
      <w:r w:rsidRPr="00B07E03">
        <w:rPr>
          <w:rStyle w:val="ae"/>
          <w:color w:val="0D0D0D" w:themeColor="text1" w:themeTint="F2"/>
          <w:rtl/>
        </w:rPr>
        <w:t>)</w:t>
      </w:r>
      <w:r w:rsidR="004D0F3A" w:rsidRPr="004D0F3A">
        <w:rPr>
          <w:rStyle w:val="ae"/>
          <w:rtl/>
        </w:rPr>
        <w:t>(</w:t>
      </w:r>
      <w:r w:rsidR="004D0F3A">
        <w:rPr>
          <w:rStyle w:val="ae"/>
          <w:rtl/>
        </w:rPr>
        <w:footnoteReference w:id="247"/>
      </w:r>
      <w:r w:rsidR="004D0F3A" w:rsidRPr="004D0F3A">
        <w:rPr>
          <w:rStyle w:val="ae"/>
          <w:rtl/>
        </w:rPr>
        <w:t>)</w:t>
      </w:r>
      <w:r w:rsidRPr="00B07E03">
        <w:rPr>
          <w:rFonts w:ascii="Traditional Arabic" w:hAnsi="Traditional Arabic"/>
          <w:color w:val="0D0D0D" w:themeColor="text1" w:themeTint="F2"/>
          <w:rtl/>
          <w:lang w:eastAsia="en-US"/>
        </w:rPr>
        <w:t>، وإِن كان مثل هذا لا يصح، ولكن قد ذكره عامة المفسرين</w:t>
      </w:r>
      <w:r w:rsidRPr="00B07E03">
        <w:rPr>
          <w:rStyle w:val="ae"/>
          <w:color w:val="0D0D0D" w:themeColor="text1" w:themeTint="F2"/>
          <w:rtl/>
        </w:rPr>
        <w:t>(</w:t>
      </w:r>
      <w:r w:rsidRPr="00B07E03">
        <w:rPr>
          <w:rStyle w:val="ae"/>
          <w:color w:val="0D0D0D" w:themeColor="text1" w:themeTint="F2"/>
          <w:rtl/>
        </w:rPr>
        <w:footnoteReference w:id="248"/>
      </w:r>
      <w:r w:rsidRPr="00B07E03">
        <w:rPr>
          <w:rStyle w:val="ae"/>
          <w:color w:val="0D0D0D" w:themeColor="text1" w:themeTint="F2"/>
          <w:rtl/>
        </w:rPr>
        <w:t>)</w:t>
      </w:r>
      <w:r>
        <w:rPr>
          <w:rFonts w:ascii="Traditional Arabic" w:hAnsi="Traditional Arabic" w:hint="cs"/>
          <w:color w:val="0D0D0D" w:themeColor="text1" w:themeTint="F2"/>
          <w:rtl/>
          <w:lang w:eastAsia="en-US"/>
        </w:rPr>
        <w:t>،</w:t>
      </w:r>
      <w:r w:rsidRPr="00B07E03">
        <w:rPr>
          <w:rFonts w:ascii="Traditional Arabic" w:hAnsi="Traditional Arabic" w:hint="cs"/>
          <w:color w:val="0D0D0D" w:themeColor="text1" w:themeTint="F2"/>
          <w:rtl/>
          <w:lang w:eastAsia="en-US"/>
        </w:rPr>
        <w:t xml:space="preserve"> </w:t>
      </w:r>
      <w:r w:rsidRPr="00B07E03">
        <w:rPr>
          <w:rFonts w:ascii="Traditional Arabic" w:hAnsi="Traditional Arabic"/>
          <w:color w:val="0D0D0D" w:themeColor="text1" w:themeTint="F2"/>
          <w:rtl/>
          <w:lang w:eastAsia="en-US"/>
        </w:rPr>
        <w:t>وروى ابن الأنباري أن سعيد بن المسيّب قال: رأى رسول الله</w:t>
      </w:r>
      <w:r w:rsidRPr="00D66DE5">
        <w:rPr>
          <w:rFonts w:ascii="Traditional Arabic" w:hAnsi="Traditional Arabic"/>
        </w:rPr>
        <w:sym w:font="AGA Arabesque" w:char="F072"/>
      </w:r>
      <w:r>
        <w:rPr>
          <w:rFonts w:ascii="Traditional Arabic" w:hAnsi="Traditional Arabic"/>
        </w:rPr>
        <w:t xml:space="preserve"> </w:t>
      </w:r>
      <w:r>
        <w:rPr>
          <w:rFonts w:ascii="Traditional Arabic" w:hAnsi="Traditional Arabic" w:hint="cs"/>
          <w:color w:val="0D0D0D" w:themeColor="text1" w:themeTint="F2"/>
          <w:rtl/>
          <w:lang w:eastAsia="en-US"/>
        </w:rPr>
        <w:t xml:space="preserve"> </w:t>
      </w:r>
      <w:r>
        <w:rPr>
          <w:rFonts w:ascii="Traditional Arabic" w:hAnsi="Traditional Arabic"/>
          <w:color w:val="0D0D0D" w:themeColor="text1" w:themeTint="F2"/>
          <w:rtl/>
          <w:lang w:eastAsia="en-US"/>
        </w:rPr>
        <w:t>قوماً على منابر</w:t>
      </w:r>
      <w:r>
        <w:rPr>
          <w:rFonts w:ascii="Traditional Arabic" w:hAnsi="Traditional Arabic" w:hint="cs"/>
          <w:color w:val="0D0D0D" w:themeColor="text1" w:themeTint="F2"/>
          <w:rtl/>
          <w:lang w:eastAsia="en-US"/>
        </w:rPr>
        <w:t>؛</w:t>
      </w:r>
      <w:r w:rsidRPr="00B07E03">
        <w:rPr>
          <w:rFonts w:ascii="Traditional Arabic" w:hAnsi="Traditional Arabic"/>
          <w:color w:val="0D0D0D" w:themeColor="text1" w:themeTint="F2"/>
          <w:rtl/>
          <w:lang w:eastAsia="en-US"/>
        </w:rPr>
        <w:t xml:space="preserve"> فشَقَّ ذلك عليه، وفيه نزل:</w:t>
      </w:r>
      <w:r>
        <w:rPr>
          <w:rFonts w:ascii="Traditional Arabic" w:hAnsi="Traditional Arabic" w:hint="cs"/>
          <w:color w:val="0D0D0D" w:themeColor="text1" w:themeTint="F2"/>
          <w:rtl/>
          <w:lang w:eastAsia="en-US"/>
        </w:rPr>
        <w:t xml:space="preserve"> </w:t>
      </w:r>
      <w:r w:rsidRPr="00B07E03">
        <w:rPr>
          <w:rFonts w:ascii="QCF_BSML" w:hAnsi="QCF_BSML" w:cs="QCF_BSML"/>
          <w:color w:val="0D0D0D" w:themeColor="text1" w:themeTint="F2"/>
          <w:sz w:val="47"/>
          <w:szCs w:val="47"/>
          <w:rtl/>
          <w:lang w:eastAsia="en-US"/>
        </w:rPr>
        <w:t xml:space="preserve"> </w:t>
      </w:r>
      <w:r>
        <w:rPr>
          <w:rFonts w:ascii="QCF_BSML" w:hAnsi="QCF_BSML" w:cs="QCF_BSML" w:hint="cs"/>
          <w:color w:val="0D0D0D" w:themeColor="text1" w:themeTint="F2"/>
          <w:sz w:val="28"/>
          <w:szCs w:val="28"/>
          <w:rtl/>
          <w:lang w:eastAsia="en-US"/>
        </w:rPr>
        <w:t xml:space="preserve"> </w:t>
      </w:r>
      <w:r w:rsidRPr="00F93733">
        <w:rPr>
          <w:rFonts w:ascii="QCF_BSML" w:hAnsi="QCF_BSML" w:cs="QCF_BSML"/>
          <w:color w:val="0D0D0D" w:themeColor="text1" w:themeTint="F2"/>
          <w:sz w:val="32"/>
          <w:szCs w:val="32"/>
          <w:rtl/>
          <w:lang w:eastAsia="en-US"/>
        </w:rPr>
        <w:t>ﭽ</w:t>
      </w:r>
      <w:r w:rsidRPr="00F93733">
        <w:rPr>
          <w:rFonts w:ascii="QCF_P288" w:hAnsi="QCF_P288" w:cs="QCF_P288"/>
          <w:color w:val="0D0D0D" w:themeColor="text1" w:themeTint="F2"/>
          <w:sz w:val="32"/>
          <w:szCs w:val="32"/>
          <w:rtl/>
          <w:lang w:eastAsia="en-US"/>
        </w:rPr>
        <w:t>ﭹ ﭺ ﭻ ﭼ</w:t>
      </w:r>
      <w:r w:rsidRPr="00F93733">
        <w:rPr>
          <w:rFonts w:ascii="QCF_BSML" w:hAnsi="QCF_BSML" w:cs="QCF_BSML"/>
          <w:color w:val="0D0D0D" w:themeColor="text1" w:themeTint="F2"/>
          <w:sz w:val="32"/>
          <w:szCs w:val="32"/>
          <w:rtl/>
          <w:lang w:eastAsia="en-US"/>
        </w:rPr>
        <w:t>ﭼ</w:t>
      </w:r>
      <w:r w:rsidRPr="00B07E03">
        <w:rPr>
          <w:rFonts w:ascii="QCF_BSML" w:hAnsi="QCF_BSML" w:cs="QCF_BSML"/>
          <w:color w:val="0D0D0D" w:themeColor="text1" w:themeTint="F2"/>
          <w:sz w:val="47"/>
          <w:szCs w:val="47"/>
          <w:rtl/>
          <w:lang w:eastAsia="en-US"/>
        </w:rPr>
        <w:t xml:space="preserve"> </w:t>
      </w:r>
      <w:r>
        <w:rPr>
          <w:rFonts w:ascii="Traditional Arabic" w:hAnsi="Traditional Arabic" w:hint="cs"/>
          <w:color w:val="0D0D0D" w:themeColor="text1" w:themeTint="F2"/>
          <w:rtl/>
          <w:lang w:eastAsia="en-US"/>
        </w:rPr>
        <w:t xml:space="preserve"> </w:t>
      </w:r>
      <w:r w:rsidRPr="00B07E03">
        <w:rPr>
          <w:rFonts w:ascii="Traditional Arabic" w:hAnsi="Traditional Arabic"/>
          <w:color w:val="0D0D0D" w:themeColor="text1" w:themeTint="F2"/>
          <w:rtl/>
          <w:lang w:eastAsia="en-US"/>
        </w:rPr>
        <w:lastRenderedPageBreak/>
        <w:t>قال: ومعنى قوله:</w:t>
      </w:r>
      <w:r>
        <w:rPr>
          <w:rFonts w:ascii="Traditional Arabic" w:hAnsi="Traditional Arabic" w:hint="cs"/>
          <w:color w:val="0D0D0D" w:themeColor="text1" w:themeTint="F2"/>
          <w:rtl/>
          <w:lang w:eastAsia="en-US"/>
        </w:rPr>
        <w:t xml:space="preserve"> </w:t>
      </w:r>
      <w:r w:rsidRPr="00B07E03">
        <w:rPr>
          <w:rFonts w:ascii="QCF_BSML" w:hAnsi="QCF_BSML" w:cs="QCF_BSML"/>
          <w:color w:val="0D0D0D" w:themeColor="text1" w:themeTint="F2"/>
          <w:sz w:val="32"/>
          <w:szCs w:val="32"/>
          <w:rtl/>
          <w:lang w:eastAsia="en-US"/>
        </w:rPr>
        <w:t xml:space="preserve"> </w:t>
      </w:r>
      <w:r>
        <w:rPr>
          <w:rFonts w:ascii="QCF_BSML" w:hAnsi="QCF_BSML" w:cs="QCF_BSML" w:hint="cs"/>
          <w:color w:val="0D0D0D" w:themeColor="text1" w:themeTint="F2"/>
          <w:sz w:val="32"/>
          <w:szCs w:val="32"/>
          <w:rtl/>
          <w:lang w:eastAsia="en-US"/>
        </w:rPr>
        <w:t xml:space="preserve"> </w:t>
      </w:r>
      <w:r w:rsidRPr="00F93733">
        <w:rPr>
          <w:rFonts w:ascii="QCF_BSML" w:hAnsi="QCF_BSML" w:cs="QCF_BSML"/>
          <w:color w:val="0D0D0D" w:themeColor="text1" w:themeTint="F2"/>
          <w:sz w:val="32"/>
          <w:szCs w:val="32"/>
          <w:rtl/>
          <w:lang w:eastAsia="en-US"/>
        </w:rPr>
        <w:t>ﭽ</w:t>
      </w:r>
      <w:r w:rsidRPr="00F93733">
        <w:rPr>
          <w:rFonts w:ascii="QCF_BSML" w:hAnsi="QCF_BSML" w:cs="QCF_BSML" w:hint="cs"/>
          <w:color w:val="0D0D0D" w:themeColor="text1" w:themeTint="F2"/>
          <w:sz w:val="32"/>
          <w:szCs w:val="32"/>
          <w:rtl/>
          <w:lang w:eastAsia="en-US"/>
        </w:rPr>
        <w:t xml:space="preserve"> </w:t>
      </w:r>
      <w:r w:rsidRPr="00F93733">
        <w:rPr>
          <w:rFonts w:ascii="QCF_P288" w:hAnsi="QCF_P288" w:cs="QCF_P288"/>
          <w:color w:val="0D0D0D" w:themeColor="text1" w:themeTint="F2"/>
          <w:sz w:val="32"/>
          <w:szCs w:val="32"/>
          <w:rtl/>
          <w:lang w:eastAsia="en-US"/>
        </w:rPr>
        <w:t xml:space="preserve">ﭶ ﭷ ﭸ </w:t>
      </w:r>
      <w:r w:rsidRPr="00F93733">
        <w:rPr>
          <w:rFonts w:ascii="QCF_BSML" w:hAnsi="QCF_BSML" w:cs="QCF_BSML"/>
          <w:color w:val="0D0D0D" w:themeColor="text1" w:themeTint="F2"/>
          <w:sz w:val="32"/>
          <w:szCs w:val="32"/>
          <w:rtl/>
          <w:lang w:eastAsia="en-US"/>
        </w:rPr>
        <w:t>ﭼ</w:t>
      </w:r>
      <w:r w:rsidRPr="00B07E03">
        <w:rPr>
          <w:rFonts w:ascii="Traditional Arabic" w:hAnsi="Traditional Arabic"/>
          <w:color w:val="0D0D0D" w:themeColor="text1" w:themeTint="F2"/>
          <w:rtl/>
          <w:lang w:eastAsia="en-US"/>
        </w:rPr>
        <w:t>: إِلا بلاءً للناس</w:t>
      </w:r>
      <w:r w:rsidRPr="00B07E03">
        <w:rPr>
          <w:rStyle w:val="ae"/>
          <w:color w:val="0D0D0D" w:themeColor="text1" w:themeTint="F2"/>
          <w:rtl/>
        </w:rPr>
        <w:t>(</w:t>
      </w:r>
      <w:r w:rsidRPr="00B07E03">
        <w:rPr>
          <w:rStyle w:val="ae"/>
          <w:color w:val="0D0D0D" w:themeColor="text1" w:themeTint="F2"/>
          <w:rtl/>
        </w:rPr>
        <w:footnoteReference w:id="249"/>
      </w:r>
      <w:r w:rsidRPr="00B07E03">
        <w:rPr>
          <w:rStyle w:val="ae"/>
          <w:color w:val="0D0D0D" w:themeColor="text1" w:themeTint="F2"/>
          <w:rtl/>
        </w:rPr>
        <w:t>)</w:t>
      </w:r>
      <w:r w:rsidRPr="00B07E03">
        <w:rPr>
          <w:rFonts w:ascii="Traditional Arabic" w:hAnsi="Traditional Arabic"/>
          <w:color w:val="0D0D0D" w:themeColor="text1" w:themeTint="F2"/>
          <w:rtl/>
          <w:lang w:eastAsia="en-US"/>
        </w:rPr>
        <w:t>. قال ابن الأنباري: فمن ذهب إِلى أن الشجرة رجال رآهم النبي</w:t>
      </w:r>
      <w:r>
        <w:rPr>
          <w:rFonts w:ascii="Traditional Arabic" w:hAnsi="Traditional Arabic"/>
        </w:rPr>
        <w:t xml:space="preserve"> </w:t>
      </w:r>
      <w:r w:rsidRPr="00D66DE5">
        <w:rPr>
          <w:rFonts w:ascii="Traditional Arabic" w:hAnsi="Traditional Arabic"/>
        </w:rPr>
        <w:sym w:font="AGA Arabesque" w:char="F072"/>
      </w:r>
      <w:r w:rsidRPr="00D66DE5">
        <w:rPr>
          <w:rFonts w:ascii="Traditional Arabic" w:hAnsi="Traditional Arabic"/>
        </w:rPr>
        <w:t xml:space="preserve"> </w:t>
      </w:r>
      <w:r w:rsidRPr="00B07E03">
        <w:rPr>
          <w:rFonts w:ascii="Traditional Arabic" w:hAnsi="Traditional Arabic"/>
          <w:color w:val="0D0D0D" w:themeColor="text1" w:themeTint="F2"/>
          <w:rtl/>
          <w:lang w:eastAsia="en-US"/>
        </w:rPr>
        <w:t>في منامه يصعدون المنابر احتج بأن الشجرة يكنى بها عن المرأة</w:t>
      </w:r>
      <w:r w:rsidR="00AD4FAE">
        <w:rPr>
          <w:rFonts w:ascii="Traditional Arabic" w:hAnsi="Traditional Arabic" w:hint="cs"/>
          <w:color w:val="0D0D0D" w:themeColor="text1" w:themeTint="F2"/>
          <w:rtl/>
          <w:lang w:eastAsia="en-US"/>
        </w:rPr>
        <w:t xml:space="preserve"> </w:t>
      </w:r>
      <w:r w:rsidRPr="00B07E03">
        <w:rPr>
          <w:rFonts w:ascii="Traditional Arabic" w:hAnsi="Traditional Arabic"/>
          <w:color w:val="0D0D0D" w:themeColor="text1" w:themeTint="F2"/>
          <w:rtl/>
          <w:lang w:eastAsia="en-US"/>
        </w:rPr>
        <w:t>لتأنيثها، وعن الجماعة لاجتماع أغصانها.</w:t>
      </w:r>
      <w:r w:rsidRPr="00CB66E5">
        <w:rPr>
          <w:rStyle w:val="ae"/>
          <w:rFonts w:ascii="Traditional Arabic" w:hAnsi="Traditional Arabic"/>
          <w:color w:val="0D0D0D" w:themeColor="text1" w:themeTint="F2"/>
          <w:rtl/>
        </w:rPr>
        <w:t>(</w:t>
      </w:r>
      <w:r w:rsidRPr="00CB66E5">
        <w:rPr>
          <w:rStyle w:val="ae"/>
          <w:rFonts w:ascii="Traditional Arabic" w:hAnsi="Traditional Arabic"/>
          <w:color w:val="0D0D0D" w:themeColor="text1" w:themeTint="F2"/>
          <w:rtl/>
        </w:rPr>
        <w:footnoteReference w:id="250"/>
      </w:r>
      <w:r w:rsidRPr="00CB66E5">
        <w:rPr>
          <w:rStyle w:val="ae"/>
          <w:rFonts w:ascii="Traditional Arabic" w:hAnsi="Traditional Arabic"/>
          <w:color w:val="0D0D0D" w:themeColor="text1" w:themeTint="F2"/>
          <w:rtl/>
        </w:rPr>
        <w:t>)</w:t>
      </w:r>
      <w:r w:rsidR="00CB66E5" w:rsidRPr="00CB66E5">
        <w:rPr>
          <w:rStyle w:val="ae"/>
          <w:rFonts w:ascii="Traditional Arabic" w:hAnsi="Traditional Arabic"/>
        </w:rPr>
        <w:t>(</w:t>
      </w:r>
      <w:r w:rsidR="00CB66E5" w:rsidRPr="00CB66E5">
        <w:rPr>
          <w:rStyle w:val="ae"/>
          <w:rFonts w:ascii="Traditional Arabic" w:hAnsi="Traditional Arabic"/>
        </w:rPr>
        <w:footnoteReference w:id="251"/>
      </w:r>
      <w:r w:rsidR="00CB66E5" w:rsidRPr="00CB66E5">
        <w:rPr>
          <w:rStyle w:val="ae"/>
          <w:rFonts w:ascii="Traditional Arabic" w:hAnsi="Traditional Arabic"/>
        </w:rPr>
        <w:t>)</w:t>
      </w:r>
      <w:r w:rsidRPr="00B07E03">
        <w:rPr>
          <w:rFonts w:ascii="Traditional Arabic" w:hAnsi="Traditional Arabic"/>
          <w:color w:val="0D0D0D" w:themeColor="text1" w:themeTint="F2"/>
          <w:rtl/>
          <w:lang w:eastAsia="en-US"/>
        </w:rPr>
        <w:t>قالوا: ووق</w:t>
      </w:r>
      <w:r w:rsidR="00EF0855">
        <w:rPr>
          <w:rFonts w:ascii="Traditional Arabic" w:hAnsi="Traditional Arabic"/>
          <w:color w:val="0D0D0D" w:themeColor="text1" w:themeTint="F2"/>
          <w:rtl/>
          <w:lang w:eastAsia="en-US"/>
        </w:rPr>
        <w:t>عت اللعنة بهؤلاء الذين كنى عنهم</w:t>
      </w:r>
      <w:r w:rsidR="00EF0855">
        <w:rPr>
          <w:rFonts w:ascii="Traditional Arabic" w:hAnsi="Traditional Arabic" w:hint="cs"/>
          <w:color w:val="0D0D0D" w:themeColor="text1" w:themeTint="F2"/>
          <w:rtl/>
          <w:lang w:eastAsia="en-US"/>
        </w:rPr>
        <w:t xml:space="preserve"> </w:t>
      </w:r>
      <w:r w:rsidRPr="00B07E03">
        <w:rPr>
          <w:rFonts w:ascii="Traditional Arabic" w:hAnsi="Traditional Arabic"/>
          <w:color w:val="0D0D0D" w:themeColor="text1" w:themeTint="F2"/>
          <w:rtl/>
          <w:lang w:eastAsia="en-US"/>
        </w:rPr>
        <w:t>بالشجرة</w:t>
      </w:r>
      <w:r w:rsidRPr="00B07E03">
        <w:rPr>
          <w:rStyle w:val="ae"/>
          <w:color w:val="0D0D0D" w:themeColor="text1" w:themeTint="F2"/>
          <w:rtl/>
        </w:rPr>
        <w:t>(</w:t>
      </w:r>
      <w:r w:rsidRPr="00B07E03">
        <w:rPr>
          <w:rStyle w:val="ae"/>
          <w:color w:val="0D0D0D" w:themeColor="text1" w:themeTint="F2"/>
          <w:rtl/>
        </w:rPr>
        <w:footnoteReference w:id="252"/>
      </w:r>
      <w:r w:rsidRPr="00B07E03">
        <w:rPr>
          <w:rStyle w:val="ae"/>
          <w:color w:val="0D0D0D" w:themeColor="text1" w:themeTint="F2"/>
          <w:rtl/>
        </w:rPr>
        <w:t>)</w:t>
      </w:r>
      <w:r w:rsidRPr="00B07E03">
        <w:rPr>
          <w:rFonts w:ascii="Traditional Arabic" w:hAnsi="Traditional Arabic"/>
          <w:color w:val="0D0D0D" w:themeColor="text1" w:themeTint="F2"/>
          <w:rtl/>
          <w:lang w:eastAsia="en-US"/>
        </w:rPr>
        <w:t>.</w:t>
      </w:r>
      <w:r w:rsidR="00EF0855">
        <w:rPr>
          <w:rFonts w:ascii="Traditional Arabic" w:hAnsi="Traditional Arabic" w:hint="cs"/>
          <w:color w:val="0D0D0D" w:themeColor="text1" w:themeTint="F2"/>
          <w:rtl/>
          <w:lang w:eastAsia="en-US"/>
        </w:rPr>
        <w:t xml:space="preserve"> </w:t>
      </w:r>
      <w:r w:rsidRPr="00B07E03">
        <w:rPr>
          <w:rFonts w:ascii="Traditional Arabic" w:hAnsi="Traditional Arabic"/>
          <w:color w:val="0D0D0D" w:themeColor="text1" w:themeTint="F2"/>
          <w:rtl/>
          <w:lang w:eastAsia="en-US"/>
        </w:rPr>
        <w:t>قال المفسرون: وفي الآية تقديم وتأخير، تقديره: وما جعلنا الرؤيا والشجرة إِلا فتنة للناس. وفي هذه الشجرة ثلاثة أقوال:</w:t>
      </w:r>
      <w:r w:rsidR="00F93733">
        <w:rPr>
          <w:rFonts w:ascii="Traditional Arabic" w:hAnsi="Traditional Arabic" w:hint="cs"/>
          <w:color w:val="0D0D0D" w:themeColor="text1" w:themeTint="F2"/>
          <w:rtl/>
          <w:lang w:eastAsia="en-US"/>
        </w:rPr>
        <w:t xml:space="preserve"> </w:t>
      </w:r>
      <w:r w:rsidRPr="00B07E03">
        <w:rPr>
          <w:rFonts w:ascii="Traditional Arabic" w:hAnsi="Traditional Arabic"/>
          <w:color w:val="0D0D0D" w:themeColor="text1" w:themeTint="F2"/>
          <w:rtl/>
          <w:lang w:eastAsia="en-US"/>
        </w:rPr>
        <w:t>أحدها: أنها شجرة الزَّقُّوم، رواه عكرمة عن ابن عباس</w:t>
      </w:r>
      <w:r w:rsidRPr="00B07E03">
        <w:rPr>
          <w:rStyle w:val="ae"/>
          <w:color w:val="0D0D0D" w:themeColor="text1" w:themeTint="F2"/>
          <w:rtl/>
        </w:rPr>
        <w:t>(</w:t>
      </w:r>
      <w:r w:rsidRPr="00B07E03">
        <w:rPr>
          <w:rStyle w:val="ae"/>
          <w:color w:val="0D0D0D" w:themeColor="text1" w:themeTint="F2"/>
          <w:rtl/>
        </w:rPr>
        <w:footnoteReference w:id="253"/>
      </w:r>
      <w:r w:rsidRPr="00B07E03">
        <w:rPr>
          <w:rStyle w:val="ae"/>
          <w:color w:val="0D0D0D" w:themeColor="text1" w:themeTint="F2"/>
          <w:rtl/>
        </w:rPr>
        <w:t>)</w:t>
      </w:r>
      <w:r w:rsidRPr="00B07E03">
        <w:rPr>
          <w:rFonts w:ascii="Traditional Arabic" w:hAnsi="Traditional Arabic"/>
          <w:color w:val="0D0D0D" w:themeColor="text1" w:themeTint="F2"/>
          <w:rtl/>
          <w:lang w:eastAsia="en-US"/>
        </w:rPr>
        <w:t>، وبه قال مجاهد</w:t>
      </w:r>
      <w:r w:rsidR="004B54A2" w:rsidRPr="004B54A2">
        <w:rPr>
          <w:rStyle w:val="ae"/>
          <w:rtl/>
        </w:rPr>
        <w:t>(</w:t>
      </w:r>
      <w:r w:rsidR="004B54A2">
        <w:rPr>
          <w:rStyle w:val="ae"/>
          <w:rtl/>
        </w:rPr>
        <w:footnoteReference w:id="254"/>
      </w:r>
      <w:r w:rsidR="004B54A2" w:rsidRPr="004B54A2">
        <w:rPr>
          <w:rStyle w:val="ae"/>
          <w:rtl/>
        </w:rPr>
        <w:t>)</w:t>
      </w:r>
      <w:r w:rsidRPr="00B07E03">
        <w:rPr>
          <w:rFonts w:ascii="Traditional Arabic" w:hAnsi="Traditional Arabic"/>
          <w:color w:val="0D0D0D" w:themeColor="text1" w:themeTint="F2"/>
          <w:rtl/>
          <w:lang w:eastAsia="en-US"/>
        </w:rPr>
        <w:t>، وسعيد بن جبير، وعكرمة، ومسروق، والنخعي، والجمهور</w:t>
      </w:r>
      <w:r w:rsidRPr="00B07E03">
        <w:rPr>
          <w:rStyle w:val="ae"/>
          <w:color w:val="0D0D0D" w:themeColor="text1" w:themeTint="F2"/>
          <w:rtl/>
        </w:rPr>
        <w:t>(</w:t>
      </w:r>
      <w:r w:rsidRPr="00B07E03">
        <w:rPr>
          <w:rStyle w:val="ae"/>
          <w:color w:val="0D0D0D" w:themeColor="text1" w:themeTint="F2"/>
          <w:rtl/>
        </w:rPr>
        <w:footnoteReference w:id="255"/>
      </w:r>
      <w:r w:rsidRPr="00B07E03">
        <w:rPr>
          <w:rStyle w:val="ae"/>
          <w:color w:val="0D0D0D" w:themeColor="text1" w:themeTint="F2"/>
          <w:rtl/>
        </w:rPr>
        <w:t>)</w:t>
      </w:r>
      <w:r>
        <w:rPr>
          <w:rFonts w:ascii="Traditional Arabic" w:hAnsi="Traditional Arabic" w:hint="cs"/>
          <w:color w:val="0D0D0D" w:themeColor="text1" w:themeTint="F2"/>
          <w:rtl/>
          <w:lang w:eastAsia="en-US"/>
        </w:rPr>
        <w:t xml:space="preserve">. </w:t>
      </w:r>
      <w:r w:rsidRPr="00B07E03">
        <w:rPr>
          <w:rFonts w:ascii="Traditional Arabic" w:hAnsi="Traditional Arabic"/>
          <w:color w:val="0D0D0D" w:themeColor="text1" w:themeTint="F2"/>
          <w:rtl/>
          <w:lang w:eastAsia="en-US"/>
        </w:rPr>
        <w:t>وقال</w:t>
      </w:r>
      <w:r w:rsidR="00F26697" w:rsidRPr="00F26697">
        <w:rPr>
          <w:rStyle w:val="ae"/>
          <w:rtl/>
        </w:rPr>
        <w:t>(</w:t>
      </w:r>
      <w:r w:rsidR="00F26697">
        <w:rPr>
          <w:rStyle w:val="ae"/>
          <w:rtl/>
        </w:rPr>
        <w:footnoteReference w:id="256"/>
      </w:r>
      <w:r w:rsidR="00F26697" w:rsidRPr="00F26697">
        <w:rPr>
          <w:rStyle w:val="ae"/>
          <w:rtl/>
        </w:rPr>
        <w:t>)</w:t>
      </w:r>
      <w:r w:rsidRPr="00B07E03">
        <w:rPr>
          <w:rFonts w:ascii="Traditional Arabic" w:hAnsi="Traditional Arabic"/>
          <w:color w:val="0D0D0D" w:themeColor="text1" w:themeTint="F2"/>
          <w:rtl/>
          <w:lang w:eastAsia="en-US"/>
        </w:rPr>
        <w:t xml:space="preserve"> مقاتل: لما ذكر الله تعالى شجرة الزَّقُّوم، قال أبو جهل</w:t>
      </w:r>
      <w:r w:rsidRPr="00E13529">
        <w:rPr>
          <w:rStyle w:val="ae"/>
          <w:rtl/>
        </w:rPr>
        <w:t>(</w:t>
      </w:r>
      <w:r>
        <w:rPr>
          <w:rStyle w:val="ae"/>
          <w:rtl/>
        </w:rPr>
        <w:footnoteReference w:id="257"/>
      </w:r>
      <w:r w:rsidRPr="00E13529">
        <w:rPr>
          <w:rStyle w:val="ae"/>
          <w:rtl/>
        </w:rPr>
        <w:t>)</w:t>
      </w:r>
      <w:r w:rsidRPr="00B07E03">
        <w:rPr>
          <w:rFonts w:ascii="Traditional Arabic" w:hAnsi="Traditional Arabic"/>
          <w:color w:val="0D0D0D" w:themeColor="text1" w:themeTint="F2"/>
          <w:rtl/>
          <w:lang w:eastAsia="en-US"/>
        </w:rPr>
        <w:t>: يا معشر قريش</w:t>
      </w:r>
      <w:r w:rsidR="004E3B6C" w:rsidRPr="004E3B6C">
        <w:rPr>
          <w:rStyle w:val="ae"/>
          <w:rtl/>
        </w:rPr>
        <w:t>(</w:t>
      </w:r>
      <w:r w:rsidR="004E3B6C">
        <w:rPr>
          <w:rStyle w:val="ae"/>
          <w:rtl/>
        </w:rPr>
        <w:footnoteReference w:id="258"/>
      </w:r>
      <w:r w:rsidR="004E3B6C" w:rsidRPr="004E3B6C">
        <w:rPr>
          <w:rStyle w:val="ae"/>
          <w:rtl/>
        </w:rPr>
        <w:t>)</w:t>
      </w:r>
      <w:r w:rsidRPr="00B07E03">
        <w:rPr>
          <w:rFonts w:ascii="Traditional Arabic" w:hAnsi="Traditional Arabic"/>
          <w:color w:val="0D0D0D" w:themeColor="text1" w:themeTint="F2"/>
          <w:rtl/>
          <w:lang w:eastAsia="en-US"/>
        </w:rPr>
        <w:t xml:space="preserve">إِن محمداً يخوِّفكم بشجرة الزَّقُّوم، ألستم تعلمون أن النار تحرق الشجر، ومحمد يزعم أن النار تنبت الشجر، فهل </w:t>
      </w:r>
    </w:p>
    <w:p w:rsidR="001277AD" w:rsidRDefault="001277AD" w:rsidP="001277AD">
      <w:pPr>
        <w:widowControl/>
        <w:autoSpaceDE w:val="0"/>
        <w:autoSpaceDN w:val="0"/>
        <w:adjustRightInd w:val="0"/>
        <w:ind w:firstLine="0"/>
        <w:rPr>
          <w:rFonts w:ascii="Traditional Arabic" w:hAnsi="Traditional Arabic"/>
          <w:color w:val="0D0D0D" w:themeColor="text1" w:themeTint="F2"/>
          <w:rtl/>
          <w:lang w:eastAsia="en-US"/>
        </w:rPr>
      </w:pPr>
    </w:p>
    <w:p w:rsidR="001277AD" w:rsidRDefault="001277AD" w:rsidP="001277AD">
      <w:pPr>
        <w:widowControl/>
        <w:autoSpaceDE w:val="0"/>
        <w:autoSpaceDN w:val="0"/>
        <w:adjustRightInd w:val="0"/>
        <w:ind w:firstLine="0"/>
        <w:rPr>
          <w:rFonts w:ascii="Traditional Arabic" w:hAnsi="Traditional Arabic"/>
          <w:color w:val="0D0D0D" w:themeColor="text1" w:themeTint="F2"/>
          <w:rtl/>
          <w:lang w:eastAsia="en-US"/>
        </w:rPr>
      </w:pPr>
    </w:p>
    <w:p w:rsidR="00E4514A" w:rsidRPr="006A1D8C" w:rsidRDefault="00AB6719" w:rsidP="001277AD">
      <w:pPr>
        <w:widowControl/>
        <w:autoSpaceDE w:val="0"/>
        <w:autoSpaceDN w:val="0"/>
        <w:adjustRightInd w:val="0"/>
        <w:ind w:firstLine="0"/>
        <w:rPr>
          <w:rFonts w:ascii="Traditional Arabic" w:hAnsi="Traditional Arabic"/>
          <w:color w:val="0D0D0D" w:themeColor="text1" w:themeTint="F2"/>
          <w:rtl/>
          <w:lang w:eastAsia="en-US"/>
        </w:rPr>
      </w:pPr>
      <w:r w:rsidRPr="00B07E03">
        <w:rPr>
          <w:rFonts w:ascii="Traditional Arabic" w:hAnsi="Traditional Arabic"/>
          <w:color w:val="0D0D0D" w:themeColor="text1" w:themeTint="F2"/>
          <w:rtl/>
          <w:lang w:eastAsia="en-US"/>
        </w:rPr>
        <w:lastRenderedPageBreak/>
        <w:t>تدرون ما الزقوم، فقال</w:t>
      </w:r>
      <w:r w:rsidR="001277AD">
        <w:rPr>
          <w:rFonts w:ascii="Traditional Arabic" w:hAnsi="Traditional Arabic" w:hint="cs"/>
          <w:color w:val="0D0D0D" w:themeColor="text1" w:themeTint="F2"/>
          <w:rtl/>
          <w:lang w:eastAsia="en-US"/>
        </w:rPr>
        <w:t xml:space="preserve"> </w:t>
      </w:r>
      <w:r w:rsidRPr="00B07E03">
        <w:rPr>
          <w:rFonts w:ascii="Traditional Arabic" w:hAnsi="Traditional Arabic"/>
          <w:color w:val="0D0D0D" w:themeColor="text1" w:themeTint="F2"/>
          <w:rtl/>
          <w:lang w:eastAsia="en-US"/>
        </w:rPr>
        <w:t>عبد الله بن الزِّبَعْرَ</w:t>
      </w:r>
      <w:r w:rsidR="00AD5928">
        <w:rPr>
          <w:rFonts w:ascii="Traditional Arabic" w:hAnsi="Traditional Arabic" w:hint="cs"/>
          <w:color w:val="0D0D0D" w:themeColor="text1" w:themeTint="F2"/>
          <w:rtl/>
          <w:lang w:eastAsia="en-US"/>
        </w:rPr>
        <w:t>ي</w:t>
      </w:r>
      <w:r w:rsidRPr="00E13529">
        <w:rPr>
          <w:rStyle w:val="ae"/>
          <w:rtl/>
        </w:rPr>
        <w:t>(</w:t>
      </w:r>
      <w:r>
        <w:rPr>
          <w:rStyle w:val="ae"/>
          <w:rtl/>
        </w:rPr>
        <w:footnoteReference w:id="259"/>
      </w:r>
      <w:r w:rsidRPr="00E13529">
        <w:rPr>
          <w:rStyle w:val="ae"/>
          <w:rtl/>
        </w:rPr>
        <w:t>)</w:t>
      </w:r>
      <w:r w:rsidRPr="00B07E03">
        <w:rPr>
          <w:rFonts w:ascii="Traditional Arabic" w:hAnsi="Traditional Arabic"/>
          <w:color w:val="0D0D0D" w:themeColor="text1" w:themeTint="F2"/>
          <w:rtl/>
          <w:lang w:eastAsia="en-US"/>
        </w:rPr>
        <w:t>: إِن الزَّقُّوم بلسان بَرْبَر</w:t>
      </w:r>
      <w:r w:rsidR="00994213" w:rsidRPr="00994213">
        <w:rPr>
          <w:rStyle w:val="ae"/>
          <w:rtl/>
        </w:rPr>
        <w:t>(</w:t>
      </w:r>
      <w:r w:rsidR="00994213">
        <w:rPr>
          <w:rStyle w:val="ae"/>
          <w:rtl/>
        </w:rPr>
        <w:footnoteReference w:id="260"/>
      </w:r>
      <w:r w:rsidR="00994213" w:rsidRPr="00994213">
        <w:rPr>
          <w:rStyle w:val="ae"/>
          <w:rtl/>
        </w:rPr>
        <w:t>)</w:t>
      </w:r>
      <w:r w:rsidRPr="00B07E03">
        <w:rPr>
          <w:rFonts w:ascii="Traditional Arabic" w:hAnsi="Traditional Arabic"/>
          <w:color w:val="0D0D0D" w:themeColor="text1" w:themeTint="F2"/>
          <w:rtl/>
          <w:lang w:eastAsia="en-US"/>
        </w:rPr>
        <w:t>: التمر والزُّبْد</w:t>
      </w:r>
      <w:r w:rsidRPr="00B20DC1">
        <w:rPr>
          <w:rStyle w:val="ae"/>
          <w:rtl/>
        </w:rPr>
        <w:t>(</w:t>
      </w:r>
      <w:r>
        <w:rPr>
          <w:rStyle w:val="ae"/>
          <w:rtl/>
        </w:rPr>
        <w:footnoteReference w:id="261"/>
      </w:r>
      <w:r w:rsidRPr="00B20DC1">
        <w:rPr>
          <w:rStyle w:val="ae"/>
          <w:rtl/>
        </w:rPr>
        <w:t>)</w:t>
      </w:r>
      <w:r w:rsidRPr="00B07E03">
        <w:rPr>
          <w:rFonts w:ascii="Traditional Arabic" w:hAnsi="Traditional Arabic"/>
          <w:color w:val="0D0D0D" w:themeColor="text1" w:themeTint="F2"/>
          <w:rtl/>
          <w:lang w:eastAsia="en-US"/>
        </w:rPr>
        <w:t>، فقال أبو جهل: يا جارية ابغينا تمراً وزُبداً، فجاءته به، فقال لمن حوله: تَزَقَّمُوا من هذا الذي يخوِّفكم به محمدٌ، فأنزل الله عزّ وجلّ:</w:t>
      </w:r>
      <w:r w:rsidRPr="00B07E03">
        <w:rPr>
          <w:rFonts w:ascii="Traditional Arabic" w:hAnsi="Traditional Arabic"/>
          <w:color w:val="0D0D0D" w:themeColor="text1" w:themeTint="F2"/>
          <w:sz w:val="32"/>
          <w:szCs w:val="32"/>
          <w:rtl/>
          <w:lang w:eastAsia="en-US"/>
        </w:rPr>
        <w:t xml:space="preserve"> </w:t>
      </w:r>
      <w:r w:rsidRPr="00F93733">
        <w:rPr>
          <w:rFonts w:ascii="QCF_BSML" w:hAnsi="QCF_BSML" w:cs="QCF_BSML"/>
          <w:color w:val="0D0D0D" w:themeColor="text1" w:themeTint="F2"/>
          <w:sz w:val="32"/>
          <w:szCs w:val="32"/>
          <w:rtl/>
          <w:lang w:eastAsia="en-US"/>
        </w:rPr>
        <w:t>ﭽ</w:t>
      </w:r>
      <w:r w:rsidRPr="00F93733">
        <w:rPr>
          <w:rFonts w:ascii="QCF_P288" w:hAnsi="QCF_P288" w:cs="QCF_P288"/>
          <w:color w:val="0D0D0D" w:themeColor="text1" w:themeTint="F2"/>
          <w:sz w:val="32"/>
          <w:szCs w:val="32"/>
          <w:rtl/>
          <w:lang w:eastAsia="en-US"/>
        </w:rPr>
        <w:t>ﭾ ﭿ ﮀ ﮁ ﮂ ﮃ</w:t>
      </w:r>
      <w:r w:rsidRPr="00F93733">
        <w:rPr>
          <w:rFonts w:ascii="QCF_BSML" w:hAnsi="QCF_BSML" w:cs="QCF_BSML"/>
          <w:color w:val="0D0D0D" w:themeColor="text1" w:themeTint="F2"/>
          <w:sz w:val="32"/>
          <w:szCs w:val="32"/>
          <w:rtl/>
          <w:lang w:eastAsia="en-US"/>
        </w:rPr>
        <w:t>ﭼ</w:t>
      </w:r>
      <w:r>
        <w:rPr>
          <w:rFonts w:hint="cs"/>
          <w:color w:val="0D0D0D" w:themeColor="text1" w:themeTint="F2"/>
          <w:rtl/>
        </w:rPr>
        <w:t>.</w:t>
      </w:r>
      <w:r w:rsidRPr="00B07E03">
        <w:rPr>
          <w:rStyle w:val="ae"/>
          <w:color w:val="0D0D0D" w:themeColor="text1" w:themeTint="F2"/>
          <w:rtl/>
        </w:rPr>
        <w:t>(</w:t>
      </w:r>
      <w:r w:rsidRPr="00B07E03">
        <w:rPr>
          <w:rStyle w:val="ae"/>
          <w:color w:val="0D0D0D" w:themeColor="text1" w:themeTint="F2"/>
          <w:rtl/>
        </w:rPr>
        <w:footnoteReference w:id="262"/>
      </w:r>
      <w:r w:rsidRPr="00B07E03">
        <w:rPr>
          <w:rStyle w:val="ae"/>
          <w:color w:val="0D0D0D" w:themeColor="text1" w:themeTint="F2"/>
          <w:rtl/>
        </w:rPr>
        <w:t>)</w:t>
      </w:r>
      <w:r w:rsidRPr="00B07E03">
        <w:rPr>
          <w:rFonts w:ascii="Traditional Arabic" w:hAnsi="Traditional Arabic"/>
          <w:color w:val="0D0D0D" w:themeColor="text1" w:themeTint="F2"/>
          <w:rtl/>
          <w:lang w:eastAsia="en-US"/>
        </w:rPr>
        <w:t>قال ابن قتيبة: كانت فتنتهم بالرؤيا قولهم:</w:t>
      </w:r>
      <w:r w:rsidR="00627B8D">
        <w:rPr>
          <w:rFonts w:ascii="Traditional Arabic" w:hAnsi="Traditional Arabic" w:hint="cs"/>
          <w:color w:val="0D0D0D" w:themeColor="text1" w:themeTint="F2"/>
          <w:rtl/>
          <w:lang w:eastAsia="en-US"/>
        </w:rPr>
        <w:t xml:space="preserve"> </w:t>
      </w:r>
      <w:r w:rsidRPr="00B07E03">
        <w:rPr>
          <w:rFonts w:ascii="Traditional Arabic" w:hAnsi="Traditional Arabic"/>
          <w:color w:val="0D0D0D" w:themeColor="text1" w:themeTint="F2"/>
          <w:rtl/>
          <w:lang w:eastAsia="en-US"/>
        </w:rPr>
        <w:t>كيف يذهب إِلى بيت المقدس، ويرجع في ليلة؟! وبالشجرة قولهم: كيف يكون في النار شجرة</w:t>
      </w:r>
      <w:r w:rsidRPr="00B07E03">
        <w:rPr>
          <w:rFonts w:ascii="Traditional Arabic" w:hAnsi="Traditional Arabic" w:hint="cs"/>
          <w:color w:val="0D0D0D" w:themeColor="text1" w:themeTint="F2"/>
          <w:rtl/>
          <w:lang w:eastAsia="en-US"/>
        </w:rPr>
        <w:t xml:space="preserve"> </w:t>
      </w:r>
      <w:r w:rsidRPr="00B07E03">
        <w:rPr>
          <w:rFonts w:ascii="Traditional Arabic" w:hAnsi="Traditional Arabic"/>
          <w:color w:val="0D0D0D" w:themeColor="text1" w:themeTint="F2"/>
          <w:rtl/>
          <w:lang w:eastAsia="en-US"/>
        </w:rPr>
        <w:t>؟!</w:t>
      </w:r>
      <w:r w:rsidRPr="00B07E03">
        <w:rPr>
          <w:rStyle w:val="ae"/>
          <w:color w:val="0D0D0D" w:themeColor="text1" w:themeTint="F2"/>
          <w:rtl/>
        </w:rPr>
        <w:t>(</w:t>
      </w:r>
      <w:r w:rsidRPr="00B07E03">
        <w:rPr>
          <w:rStyle w:val="ae"/>
          <w:color w:val="0D0D0D" w:themeColor="text1" w:themeTint="F2"/>
          <w:rtl/>
        </w:rPr>
        <w:footnoteReference w:id="263"/>
      </w:r>
      <w:r w:rsidRPr="00B07E03">
        <w:rPr>
          <w:rStyle w:val="ae"/>
          <w:color w:val="0D0D0D" w:themeColor="text1" w:themeTint="F2"/>
          <w:rtl/>
        </w:rPr>
        <w:t>)</w:t>
      </w:r>
    </w:p>
    <w:p w:rsidR="00D3629D" w:rsidRDefault="00AB6719" w:rsidP="001277AD">
      <w:pPr>
        <w:widowControl/>
        <w:autoSpaceDE w:val="0"/>
        <w:autoSpaceDN w:val="0"/>
        <w:adjustRightInd w:val="0"/>
        <w:ind w:firstLine="0"/>
        <w:rPr>
          <w:rFonts w:ascii="Traditional Arabic" w:hAnsi="Traditional Arabic"/>
          <w:color w:val="0D0D0D" w:themeColor="text1" w:themeTint="F2"/>
          <w:rtl/>
          <w:lang w:eastAsia="en-US"/>
        </w:rPr>
      </w:pPr>
      <w:r w:rsidRPr="00B07E03">
        <w:rPr>
          <w:rFonts w:ascii="Traditional Arabic" w:hAnsi="Traditional Arabic"/>
          <w:color w:val="0D0D0D" w:themeColor="text1" w:themeTint="F2"/>
          <w:rtl/>
          <w:lang w:eastAsia="en-US"/>
        </w:rPr>
        <w:t>وللعلماء في معنى</w:t>
      </w:r>
      <w:r w:rsidRPr="00F93733">
        <w:rPr>
          <w:rFonts w:ascii="Traditional Arabic" w:hAnsi="Traditional Arabic"/>
          <w:color w:val="0D0D0D" w:themeColor="text1" w:themeTint="F2"/>
          <w:sz w:val="32"/>
          <w:szCs w:val="32"/>
          <w:rtl/>
          <w:lang w:eastAsia="en-US"/>
        </w:rPr>
        <w:t xml:space="preserve"> </w:t>
      </w:r>
      <w:r w:rsidRPr="00F93733">
        <w:rPr>
          <w:rFonts w:ascii="QCF_BSML" w:hAnsi="QCF_BSML" w:cs="QCF_BSML"/>
          <w:color w:val="0D0D0D" w:themeColor="text1" w:themeTint="F2"/>
          <w:sz w:val="32"/>
          <w:szCs w:val="32"/>
          <w:rtl/>
          <w:lang w:eastAsia="en-US"/>
        </w:rPr>
        <w:t>ﭽ</w:t>
      </w:r>
      <w:r w:rsidRPr="00F93733">
        <w:rPr>
          <w:rFonts w:ascii="QCF_P288" w:hAnsi="QCF_P288" w:cs="QCF_P288"/>
          <w:color w:val="0D0D0D" w:themeColor="text1" w:themeTint="F2"/>
          <w:sz w:val="32"/>
          <w:szCs w:val="32"/>
          <w:rtl/>
          <w:lang w:eastAsia="en-US"/>
        </w:rPr>
        <w:t>ﭺ</w:t>
      </w:r>
      <w:r w:rsidRPr="00F93733">
        <w:rPr>
          <w:rFonts w:ascii="QCF_BSML" w:hAnsi="QCF_BSML" w:cs="QCF_BSML"/>
          <w:color w:val="0D0D0D" w:themeColor="text1" w:themeTint="F2"/>
          <w:sz w:val="32"/>
          <w:szCs w:val="32"/>
          <w:rtl/>
          <w:lang w:eastAsia="en-US"/>
        </w:rPr>
        <w:t>ﭼ</w:t>
      </w:r>
      <w:r w:rsidRPr="00B07E03">
        <w:rPr>
          <w:rFonts w:ascii="Traditional Arabic" w:hAnsi="Traditional Arabic"/>
          <w:color w:val="0D0D0D" w:themeColor="text1" w:themeTint="F2"/>
          <w:rtl/>
          <w:lang w:eastAsia="en-US"/>
        </w:rPr>
        <w:t xml:space="preserve"> </w:t>
      </w:r>
      <w:r>
        <w:rPr>
          <w:rFonts w:ascii="Traditional Arabic" w:hAnsi="Traditional Arabic"/>
          <w:color w:val="0D0D0D" w:themeColor="text1" w:themeTint="F2"/>
          <w:rtl/>
          <w:lang w:eastAsia="en-US"/>
        </w:rPr>
        <w:t>ثلاثة اقوال</w:t>
      </w:r>
      <w:r>
        <w:rPr>
          <w:rFonts w:ascii="Traditional Arabic" w:hAnsi="Traditional Arabic" w:hint="cs"/>
          <w:color w:val="0D0D0D" w:themeColor="text1" w:themeTint="F2"/>
          <w:rtl/>
          <w:lang w:eastAsia="en-US"/>
        </w:rPr>
        <w:t>:</w:t>
      </w:r>
      <w:r w:rsidR="00E4514A">
        <w:rPr>
          <w:rFonts w:ascii="Traditional Arabic" w:hAnsi="Traditional Arabic" w:hint="cs"/>
          <w:color w:val="0D0D0D" w:themeColor="text1" w:themeTint="F2"/>
          <w:rtl/>
          <w:lang w:eastAsia="en-US"/>
        </w:rPr>
        <w:t xml:space="preserve"> </w:t>
      </w:r>
      <w:r w:rsidRPr="00B07E03">
        <w:rPr>
          <w:rFonts w:ascii="Traditional Arabic" w:hAnsi="Traditional Arabic"/>
          <w:color w:val="0D0D0D" w:themeColor="text1" w:themeTint="F2"/>
          <w:rtl/>
          <w:lang w:eastAsia="en-US"/>
        </w:rPr>
        <w:t>أحدها: المذمومة، قاله ابن عباس</w:t>
      </w:r>
      <w:r w:rsidRPr="00B07E03">
        <w:rPr>
          <w:rStyle w:val="ae"/>
          <w:color w:val="0D0D0D" w:themeColor="text1" w:themeTint="F2"/>
          <w:rtl/>
        </w:rPr>
        <w:t>(</w:t>
      </w:r>
      <w:r w:rsidRPr="00B07E03">
        <w:rPr>
          <w:rStyle w:val="ae"/>
          <w:color w:val="0D0D0D" w:themeColor="text1" w:themeTint="F2"/>
          <w:rtl/>
        </w:rPr>
        <w:footnoteReference w:id="264"/>
      </w:r>
      <w:r w:rsidRPr="00B07E03">
        <w:rPr>
          <w:rStyle w:val="ae"/>
          <w:color w:val="0D0D0D" w:themeColor="text1" w:themeTint="F2"/>
          <w:rtl/>
        </w:rPr>
        <w:t>)</w:t>
      </w:r>
      <w:r w:rsidRPr="00B07E03">
        <w:rPr>
          <w:rFonts w:ascii="Traditional Arabic" w:hAnsi="Traditional Arabic"/>
          <w:color w:val="0D0D0D" w:themeColor="text1" w:themeTint="F2"/>
          <w:rtl/>
          <w:lang w:eastAsia="en-US"/>
        </w:rPr>
        <w:t>. والثاني: الملعون آكلُها،</w:t>
      </w:r>
      <w:r w:rsidR="008474CB">
        <w:rPr>
          <w:rFonts w:ascii="Traditional Arabic" w:hAnsi="Traditional Arabic" w:hint="cs"/>
          <w:color w:val="0D0D0D" w:themeColor="text1" w:themeTint="F2"/>
          <w:rtl/>
          <w:lang w:eastAsia="en-US"/>
        </w:rPr>
        <w:t xml:space="preserve"> </w:t>
      </w:r>
      <w:r w:rsidR="001277AD" w:rsidRPr="001277AD">
        <w:rPr>
          <w:rFonts w:hint="cs"/>
          <w:color w:val="0D0D0D" w:themeColor="text1" w:themeTint="F2"/>
          <w:sz w:val="32"/>
          <w:szCs w:val="32"/>
          <w:rtl/>
        </w:rPr>
        <w:t>[74]</w:t>
      </w:r>
      <w:r w:rsidR="001277AD" w:rsidRPr="001277AD">
        <w:rPr>
          <w:rFonts w:ascii="Traditional Arabic" w:hAnsi="Traditional Arabic" w:hint="cs"/>
          <w:color w:val="0D0D0D" w:themeColor="text1" w:themeTint="F2"/>
          <w:sz w:val="32"/>
          <w:szCs w:val="32"/>
          <w:rtl/>
          <w:lang w:eastAsia="en-US"/>
        </w:rPr>
        <w:t xml:space="preserve"> </w:t>
      </w:r>
      <w:r w:rsidRPr="00B07E03">
        <w:rPr>
          <w:rFonts w:ascii="Traditional Arabic" w:hAnsi="Traditional Arabic"/>
          <w:color w:val="0D0D0D" w:themeColor="text1" w:themeTint="F2"/>
          <w:rtl/>
          <w:lang w:eastAsia="en-US"/>
        </w:rPr>
        <w:t>ذكره الزجاج</w:t>
      </w:r>
      <w:r w:rsidRPr="00B07E03">
        <w:rPr>
          <w:rStyle w:val="ae"/>
          <w:color w:val="0D0D0D" w:themeColor="text1" w:themeTint="F2"/>
          <w:rtl/>
        </w:rPr>
        <w:t>(</w:t>
      </w:r>
      <w:r w:rsidRPr="00B07E03">
        <w:rPr>
          <w:rStyle w:val="ae"/>
          <w:color w:val="0D0D0D" w:themeColor="text1" w:themeTint="F2"/>
          <w:rtl/>
        </w:rPr>
        <w:footnoteReference w:id="265"/>
      </w:r>
      <w:r w:rsidRPr="00B07E03">
        <w:rPr>
          <w:rStyle w:val="ae"/>
          <w:color w:val="0D0D0D" w:themeColor="text1" w:themeTint="F2"/>
          <w:rtl/>
        </w:rPr>
        <w:t>)</w:t>
      </w:r>
      <w:r w:rsidRPr="00B07E03">
        <w:rPr>
          <w:rFonts w:ascii="Traditional Arabic" w:hAnsi="Traditional Arabic"/>
          <w:color w:val="0D0D0D" w:themeColor="text1" w:themeTint="F2"/>
          <w:rtl/>
          <w:lang w:eastAsia="en-US"/>
        </w:rPr>
        <w:t>، وقال: إِن لم يكن في القرآن ذِكْر لعنها، ففيه لعن آكليها</w:t>
      </w:r>
      <w:r w:rsidR="00F26697" w:rsidRPr="00F26697">
        <w:rPr>
          <w:rStyle w:val="ae"/>
          <w:rtl/>
        </w:rPr>
        <w:t>(</w:t>
      </w:r>
      <w:r w:rsidR="00F26697">
        <w:rPr>
          <w:rStyle w:val="ae"/>
          <w:rtl/>
        </w:rPr>
        <w:footnoteReference w:id="266"/>
      </w:r>
      <w:r w:rsidR="00F26697" w:rsidRPr="00F26697">
        <w:rPr>
          <w:rStyle w:val="ae"/>
          <w:rtl/>
        </w:rPr>
        <w:t>)</w:t>
      </w:r>
      <w:r w:rsidRPr="00B07E03">
        <w:rPr>
          <w:rFonts w:ascii="Traditional Arabic" w:hAnsi="Traditional Arabic"/>
          <w:color w:val="0D0D0D" w:themeColor="text1" w:themeTint="F2"/>
          <w:rtl/>
          <w:lang w:eastAsia="en-US"/>
        </w:rPr>
        <w:t xml:space="preserve"> قال: والعرب تقول لكل طعام مكروه وضارٍّ: ملعون</w:t>
      </w:r>
      <w:r w:rsidRPr="00B07E03">
        <w:rPr>
          <w:rFonts w:hint="cs"/>
          <w:color w:val="0D0D0D" w:themeColor="text1" w:themeTint="F2"/>
          <w:rtl/>
        </w:rPr>
        <w:t>؛</w:t>
      </w:r>
      <w:r w:rsidRPr="00B07E03">
        <w:rPr>
          <w:rFonts w:ascii="Traditional Arabic" w:hAnsi="Traditional Arabic"/>
          <w:color w:val="0D0D0D" w:themeColor="text1" w:themeTint="F2"/>
          <w:rtl/>
          <w:lang w:eastAsia="en-US"/>
        </w:rPr>
        <w:t xml:space="preserve"> فأمّا قوله تعالى: </w:t>
      </w:r>
      <w:r w:rsidRPr="00F93733">
        <w:rPr>
          <w:rFonts w:ascii="QCF_BSML" w:hAnsi="QCF_BSML" w:cs="QCF_BSML"/>
          <w:color w:val="0D0D0D" w:themeColor="text1" w:themeTint="F2"/>
          <w:sz w:val="32"/>
          <w:szCs w:val="32"/>
          <w:rtl/>
          <w:lang w:eastAsia="en-US"/>
        </w:rPr>
        <w:t>ﭽ</w:t>
      </w:r>
      <w:r w:rsidRPr="00F93733">
        <w:rPr>
          <w:rFonts w:ascii="QCF_P288" w:hAnsi="QCF_P288" w:cs="QCF_P288"/>
          <w:color w:val="0D0D0D" w:themeColor="text1" w:themeTint="F2"/>
          <w:sz w:val="32"/>
          <w:szCs w:val="32"/>
          <w:rtl/>
          <w:lang w:eastAsia="en-US"/>
        </w:rPr>
        <w:t xml:space="preserve"> ﭻ ﭼ</w:t>
      </w:r>
      <w:r w:rsidRPr="00F93733">
        <w:rPr>
          <w:rFonts w:ascii="QCF_BSML" w:hAnsi="QCF_BSML" w:cs="QCF_BSML"/>
          <w:color w:val="0D0D0D" w:themeColor="text1" w:themeTint="F2"/>
          <w:sz w:val="32"/>
          <w:szCs w:val="32"/>
          <w:rtl/>
          <w:lang w:eastAsia="en-US"/>
        </w:rPr>
        <w:t xml:space="preserve">ﭼ </w:t>
      </w:r>
      <w:r w:rsidR="00AD4FAE">
        <w:rPr>
          <w:rFonts w:ascii="Traditional Arabic" w:hAnsi="Traditional Arabic" w:hint="cs"/>
          <w:color w:val="0D0D0D" w:themeColor="text1" w:themeTint="F2"/>
          <w:rtl/>
          <w:lang w:eastAsia="en-US"/>
        </w:rPr>
        <w:t xml:space="preserve"> </w:t>
      </w:r>
      <w:r w:rsidRPr="00B07E03">
        <w:rPr>
          <w:rFonts w:ascii="Traditional Arabic" w:hAnsi="Traditional Arabic"/>
          <w:color w:val="0D0D0D" w:themeColor="text1" w:themeTint="F2"/>
          <w:rtl/>
          <w:lang w:eastAsia="en-US"/>
        </w:rPr>
        <w:t>فالمعنى: التي ذكرت في القرآن</w:t>
      </w:r>
      <w:r w:rsidRPr="00B07E03">
        <w:rPr>
          <w:rStyle w:val="ae"/>
          <w:color w:val="0D0D0D" w:themeColor="text1" w:themeTint="F2"/>
          <w:rtl/>
        </w:rPr>
        <w:t>(</w:t>
      </w:r>
      <w:r w:rsidRPr="00B07E03">
        <w:rPr>
          <w:rStyle w:val="ae"/>
          <w:color w:val="0D0D0D" w:themeColor="text1" w:themeTint="F2"/>
          <w:rtl/>
        </w:rPr>
        <w:footnoteReference w:id="267"/>
      </w:r>
      <w:r w:rsidRPr="00B07E03">
        <w:rPr>
          <w:rStyle w:val="ae"/>
          <w:color w:val="0D0D0D" w:themeColor="text1" w:themeTint="F2"/>
          <w:rtl/>
        </w:rPr>
        <w:t>)</w:t>
      </w:r>
      <w:r w:rsidRPr="00B07E03">
        <w:rPr>
          <w:rFonts w:ascii="Traditional Arabic" w:hAnsi="Traditional Arabic"/>
          <w:color w:val="0D0D0D" w:themeColor="text1" w:themeTint="F2"/>
          <w:rtl/>
          <w:lang w:eastAsia="en-US"/>
        </w:rPr>
        <w:t>، وهي</w:t>
      </w:r>
      <w:r w:rsidRPr="00B07E03">
        <w:rPr>
          <w:rFonts w:ascii="Traditional Arabic" w:hAnsi="Traditional Arabic" w:hint="cs"/>
          <w:color w:val="0D0D0D" w:themeColor="text1" w:themeTint="F2"/>
          <w:rtl/>
          <w:lang w:eastAsia="en-US"/>
        </w:rPr>
        <w:t xml:space="preserve"> </w:t>
      </w:r>
      <w:r w:rsidRPr="00B07E03">
        <w:rPr>
          <w:rFonts w:ascii="Traditional Arabic" w:hAnsi="Traditional Arabic"/>
          <w:color w:val="0D0D0D" w:themeColor="text1" w:themeTint="F2"/>
          <w:rtl/>
          <w:lang w:eastAsia="en-US"/>
        </w:rPr>
        <w:t>مذكورة في قوله:</w:t>
      </w:r>
      <w:r w:rsidRPr="00B07E03">
        <w:rPr>
          <w:rFonts w:ascii="QCF_BSML" w:hAnsi="QCF_BSML" w:cs="QCF_BSML"/>
          <w:color w:val="0D0D0D" w:themeColor="text1" w:themeTint="F2"/>
          <w:sz w:val="32"/>
          <w:szCs w:val="32"/>
          <w:rtl/>
          <w:lang w:eastAsia="en-US"/>
        </w:rPr>
        <w:t xml:space="preserve"> </w:t>
      </w:r>
      <w:r w:rsidRPr="00F93733">
        <w:rPr>
          <w:rFonts w:ascii="QCF_BSML" w:hAnsi="QCF_BSML" w:cs="QCF_BSML"/>
          <w:color w:val="0D0D0D" w:themeColor="text1" w:themeTint="F2"/>
          <w:sz w:val="32"/>
          <w:szCs w:val="32"/>
          <w:rtl/>
          <w:lang w:eastAsia="en-US"/>
        </w:rPr>
        <w:t>ﭽ</w:t>
      </w:r>
      <w:r w:rsidRPr="00F93733">
        <w:rPr>
          <w:rFonts w:ascii="QCF_P498" w:hAnsi="QCF_P498" w:cs="QCF_P498"/>
          <w:color w:val="0D0D0D" w:themeColor="text1" w:themeTint="F2"/>
          <w:sz w:val="32"/>
          <w:szCs w:val="32"/>
          <w:rtl/>
          <w:lang w:eastAsia="en-US"/>
        </w:rPr>
        <w:t xml:space="preserve">ﭬ ﭭ ﭮ  ﭯ </w:t>
      </w:r>
      <w:r w:rsidRPr="00F93733">
        <w:rPr>
          <w:rFonts w:ascii="QCF_P498" w:hAnsi="QCF_P498" w:cs="QCF_P498"/>
          <w:color w:val="0D0D0D" w:themeColor="text1" w:themeTint="F2"/>
          <w:sz w:val="32"/>
          <w:szCs w:val="32"/>
          <w:rtl/>
          <w:lang w:eastAsia="en-US"/>
        </w:rPr>
        <w:lastRenderedPageBreak/>
        <w:t>ﭰ ﭱﭲ</w:t>
      </w:r>
      <w:r w:rsidRPr="00F93733">
        <w:rPr>
          <w:rFonts w:ascii="QCF_BSML" w:hAnsi="QCF_BSML" w:cs="QCF_BSML"/>
          <w:color w:val="0D0D0D" w:themeColor="text1" w:themeTint="F2"/>
          <w:sz w:val="32"/>
          <w:szCs w:val="32"/>
          <w:rtl/>
          <w:lang w:eastAsia="en-US"/>
        </w:rPr>
        <w:t>ﭼ</w:t>
      </w:r>
      <w:r w:rsidRPr="00B07E03">
        <w:rPr>
          <w:rFonts w:ascii="Traditional Arabic" w:hAnsi="Traditional Arabic"/>
          <w:color w:val="0D0D0D" w:themeColor="text1" w:themeTint="F2"/>
          <w:sz w:val="32"/>
          <w:szCs w:val="32"/>
          <w:rtl/>
          <w:lang w:eastAsia="en-US"/>
        </w:rPr>
        <w:t>[ الدخان: ٤٣ – ٤٤]</w:t>
      </w:r>
      <w:r>
        <w:rPr>
          <w:rFonts w:ascii="Traditional Arabic" w:hAnsi="Traditional Arabic" w:hint="cs"/>
          <w:color w:val="0D0D0D" w:themeColor="text1" w:themeTint="F2"/>
          <w:rtl/>
          <w:lang w:eastAsia="en-US"/>
        </w:rPr>
        <w:t xml:space="preserve">، </w:t>
      </w:r>
      <w:r w:rsidRPr="00B07E03">
        <w:rPr>
          <w:rFonts w:ascii="Traditional Arabic" w:hAnsi="Traditional Arabic"/>
          <w:color w:val="0D0D0D" w:themeColor="text1" w:themeTint="F2"/>
          <w:rtl/>
          <w:lang w:eastAsia="en-US"/>
        </w:rPr>
        <w:t xml:space="preserve">والثالث: أن معنى </w:t>
      </w:r>
      <w:r w:rsidRPr="00F93733">
        <w:rPr>
          <w:rFonts w:ascii="QCF_BSML" w:hAnsi="QCF_BSML" w:cs="QCF_BSML"/>
          <w:color w:val="0D0D0D" w:themeColor="text1" w:themeTint="F2"/>
          <w:sz w:val="32"/>
          <w:szCs w:val="32"/>
          <w:rtl/>
          <w:lang w:eastAsia="en-US"/>
        </w:rPr>
        <w:t>ﭽ</w:t>
      </w:r>
      <w:r w:rsidRPr="00F93733">
        <w:rPr>
          <w:rFonts w:ascii="QCF_P288" w:hAnsi="QCF_P288" w:cs="QCF_P288"/>
          <w:color w:val="0D0D0D" w:themeColor="text1" w:themeTint="F2"/>
          <w:sz w:val="32"/>
          <w:szCs w:val="32"/>
          <w:rtl/>
          <w:lang w:eastAsia="en-US"/>
        </w:rPr>
        <w:t xml:space="preserve"> ﭺ </w:t>
      </w:r>
      <w:r w:rsidRPr="00F93733">
        <w:rPr>
          <w:rFonts w:ascii="QCF_BSML" w:hAnsi="QCF_BSML" w:cs="QCF_BSML"/>
          <w:color w:val="0D0D0D" w:themeColor="text1" w:themeTint="F2"/>
          <w:sz w:val="32"/>
          <w:szCs w:val="32"/>
          <w:rtl/>
          <w:lang w:eastAsia="en-US"/>
        </w:rPr>
        <w:t>ﭼ</w:t>
      </w:r>
      <w:r w:rsidRPr="00B07E03">
        <w:rPr>
          <w:rFonts w:ascii="Traditional Arabic" w:hAnsi="Traditional Arabic"/>
          <w:color w:val="0D0D0D" w:themeColor="text1" w:themeTint="F2"/>
          <w:rtl/>
          <w:lang w:eastAsia="en-US"/>
        </w:rPr>
        <w:t>:</w:t>
      </w:r>
      <w:r w:rsidRPr="00B07E03">
        <w:rPr>
          <w:rFonts w:ascii="Traditional Arabic" w:hAnsi="Traditional Arabic" w:hint="cs"/>
          <w:color w:val="0D0D0D" w:themeColor="text1" w:themeTint="F2"/>
          <w:rtl/>
          <w:lang w:eastAsia="en-US"/>
        </w:rPr>
        <w:t xml:space="preserve"> </w:t>
      </w:r>
      <w:r w:rsidRPr="00B07E03">
        <w:rPr>
          <w:rFonts w:ascii="Traditional Arabic" w:hAnsi="Traditional Arabic"/>
          <w:color w:val="0D0D0D" w:themeColor="text1" w:themeTint="F2"/>
          <w:rtl/>
          <w:lang w:eastAsia="en-US"/>
        </w:rPr>
        <w:t>المب</w:t>
      </w:r>
      <w:r w:rsidRPr="00B07E03">
        <w:rPr>
          <w:rFonts w:ascii="Traditional Arabic" w:hAnsi="Traditional Arabic" w:hint="cs"/>
          <w:color w:val="0D0D0D" w:themeColor="text1" w:themeTint="F2"/>
          <w:rtl/>
          <w:lang w:eastAsia="en-US"/>
        </w:rPr>
        <w:t>ْ</w:t>
      </w:r>
      <w:r w:rsidRPr="00B07E03">
        <w:rPr>
          <w:rFonts w:ascii="Traditional Arabic" w:hAnsi="Traditional Arabic"/>
          <w:color w:val="0D0D0D" w:themeColor="text1" w:themeTint="F2"/>
          <w:rtl/>
          <w:lang w:eastAsia="en-US"/>
        </w:rPr>
        <w:t>ع</w:t>
      </w:r>
      <w:r w:rsidRPr="00B07E03">
        <w:rPr>
          <w:rFonts w:ascii="Traditional Arabic" w:hAnsi="Traditional Arabic" w:hint="cs"/>
          <w:color w:val="0D0D0D" w:themeColor="text1" w:themeTint="F2"/>
          <w:rtl/>
          <w:lang w:eastAsia="en-US"/>
        </w:rPr>
        <w:t>َ</w:t>
      </w:r>
      <w:r w:rsidRPr="00B07E03">
        <w:rPr>
          <w:rFonts w:ascii="Traditional Arabic" w:hAnsi="Traditional Arabic"/>
          <w:color w:val="0D0D0D" w:themeColor="text1" w:themeTint="F2"/>
          <w:rtl/>
          <w:lang w:eastAsia="en-US"/>
        </w:rPr>
        <w:t>دة عن منازل أهل الفضل، ذكره ابن الانباري</w:t>
      </w:r>
      <w:r w:rsidR="00D3629D" w:rsidRPr="00D3629D">
        <w:rPr>
          <w:rStyle w:val="ae"/>
          <w:rtl/>
        </w:rPr>
        <w:t>(</w:t>
      </w:r>
      <w:r w:rsidR="00D3629D">
        <w:rPr>
          <w:rStyle w:val="ae"/>
          <w:rtl/>
        </w:rPr>
        <w:footnoteReference w:id="268"/>
      </w:r>
      <w:r w:rsidR="00D3629D" w:rsidRPr="00D3629D">
        <w:rPr>
          <w:rStyle w:val="ae"/>
          <w:rtl/>
        </w:rPr>
        <w:t>)</w:t>
      </w:r>
      <w:r w:rsidRPr="00B07E03">
        <w:rPr>
          <w:rFonts w:ascii="Traditional Arabic" w:hAnsi="Traditional Arabic"/>
          <w:color w:val="0D0D0D" w:themeColor="text1" w:themeTint="F2"/>
          <w:rtl/>
          <w:lang w:eastAsia="en-US"/>
        </w:rPr>
        <w:t>.</w:t>
      </w:r>
      <w:r>
        <w:rPr>
          <w:rFonts w:ascii="Traditional Arabic" w:hAnsi="Traditional Arabic" w:hint="cs"/>
          <w:color w:val="0D0D0D" w:themeColor="text1" w:themeTint="F2"/>
          <w:rtl/>
          <w:lang w:eastAsia="en-US"/>
        </w:rPr>
        <w:t xml:space="preserve"> </w:t>
      </w:r>
    </w:p>
    <w:p w:rsidR="00EF0855" w:rsidRDefault="00AB6719" w:rsidP="00A62777">
      <w:pPr>
        <w:widowControl/>
        <w:autoSpaceDE w:val="0"/>
        <w:autoSpaceDN w:val="0"/>
        <w:adjustRightInd w:val="0"/>
        <w:ind w:firstLine="0"/>
        <w:rPr>
          <w:rFonts w:ascii="Traditional Arabic" w:hAnsi="Traditional Arabic"/>
          <w:color w:val="0D0D0D" w:themeColor="text1" w:themeTint="F2"/>
          <w:rtl/>
          <w:lang w:eastAsia="en-US"/>
        </w:rPr>
      </w:pPr>
      <w:r w:rsidRPr="00B07E03">
        <w:rPr>
          <w:rFonts w:ascii="Traditional Arabic" w:hAnsi="Traditional Arabic"/>
          <w:color w:val="0D0D0D" w:themeColor="text1" w:themeTint="F2"/>
          <w:rtl/>
          <w:lang w:eastAsia="en-US"/>
        </w:rPr>
        <w:t>والقول الثاني: أن الشجرة الملعونة هي التي تلتوي على الشجر، يعني: الكَشُوثى</w:t>
      </w:r>
      <w:r w:rsidRPr="00B07E03">
        <w:rPr>
          <w:rStyle w:val="ae"/>
          <w:color w:val="0D0D0D" w:themeColor="text1" w:themeTint="F2"/>
          <w:rtl/>
        </w:rPr>
        <w:t>(</w:t>
      </w:r>
      <w:r w:rsidRPr="00B07E03">
        <w:rPr>
          <w:rStyle w:val="ae"/>
          <w:color w:val="0D0D0D" w:themeColor="text1" w:themeTint="F2"/>
          <w:rtl/>
        </w:rPr>
        <w:footnoteReference w:id="269"/>
      </w:r>
      <w:r w:rsidRPr="00B07E03">
        <w:rPr>
          <w:rStyle w:val="ae"/>
          <w:color w:val="0D0D0D" w:themeColor="text1" w:themeTint="F2"/>
          <w:rtl/>
        </w:rPr>
        <w:t>)</w:t>
      </w:r>
      <w:r w:rsidRPr="00B07E03">
        <w:rPr>
          <w:rFonts w:ascii="Traditional Arabic" w:hAnsi="Traditional Arabic"/>
          <w:color w:val="0D0D0D" w:themeColor="text1" w:themeTint="F2"/>
          <w:rtl/>
          <w:lang w:eastAsia="en-US"/>
        </w:rPr>
        <w:t xml:space="preserve">، وهذا مروي </w:t>
      </w:r>
    </w:p>
    <w:p w:rsidR="009B202E" w:rsidRPr="005D5287" w:rsidRDefault="00AB6719" w:rsidP="00EF0855">
      <w:pPr>
        <w:widowControl/>
        <w:autoSpaceDE w:val="0"/>
        <w:autoSpaceDN w:val="0"/>
        <w:adjustRightInd w:val="0"/>
        <w:ind w:firstLine="0"/>
        <w:rPr>
          <w:rFonts w:ascii="Traditional Arabic" w:hAnsi="Traditional Arabic"/>
          <w:color w:val="0D0D0D" w:themeColor="text1" w:themeTint="F2"/>
          <w:rtl/>
          <w:lang w:eastAsia="en-US"/>
        </w:rPr>
      </w:pPr>
      <w:r w:rsidRPr="00B07E03">
        <w:rPr>
          <w:rFonts w:ascii="Traditional Arabic" w:hAnsi="Traditional Arabic"/>
          <w:color w:val="0D0D0D" w:themeColor="text1" w:themeTint="F2"/>
          <w:rtl/>
          <w:lang w:eastAsia="en-US"/>
        </w:rPr>
        <w:t>عن ابن عباس أيضا</w:t>
      </w:r>
      <w:r w:rsidRPr="00B07E03">
        <w:rPr>
          <w:rStyle w:val="ae"/>
          <w:color w:val="0D0D0D" w:themeColor="text1" w:themeTint="F2"/>
          <w:rtl/>
        </w:rPr>
        <w:t>(</w:t>
      </w:r>
      <w:r w:rsidRPr="00B07E03">
        <w:rPr>
          <w:rStyle w:val="ae"/>
          <w:color w:val="0D0D0D" w:themeColor="text1" w:themeTint="F2"/>
          <w:rtl/>
        </w:rPr>
        <w:footnoteReference w:id="270"/>
      </w:r>
      <w:r w:rsidRPr="00B07E03">
        <w:rPr>
          <w:rStyle w:val="ae"/>
          <w:color w:val="0D0D0D" w:themeColor="text1" w:themeTint="F2"/>
          <w:rtl/>
        </w:rPr>
        <w:t>)</w:t>
      </w:r>
      <w:r w:rsidRPr="00B07E03">
        <w:rPr>
          <w:rFonts w:ascii="Traditional Arabic" w:hAnsi="Traditional Arabic"/>
          <w:color w:val="0D0D0D" w:themeColor="text1" w:themeTint="F2"/>
          <w:rtl/>
          <w:lang w:eastAsia="en-US"/>
        </w:rPr>
        <w:t>.</w:t>
      </w:r>
      <w:r>
        <w:rPr>
          <w:rFonts w:ascii="Traditional Arabic" w:hAnsi="Traditional Arabic" w:hint="cs"/>
          <w:color w:val="0D0D0D" w:themeColor="text1" w:themeTint="F2"/>
          <w:rtl/>
          <w:lang w:eastAsia="en-US"/>
        </w:rPr>
        <w:t xml:space="preserve"> </w:t>
      </w:r>
      <w:r w:rsidRPr="00B07E03">
        <w:rPr>
          <w:rFonts w:ascii="Traditional Arabic" w:hAnsi="Traditional Arabic"/>
          <w:color w:val="0D0D0D" w:themeColor="text1" w:themeTint="F2"/>
          <w:rtl/>
          <w:lang w:eastAsia="en-US"/>
        </w:rPr>
        <w:t>والثالث: أن الشجرة كناية عن الرجال على ما ذكرنا عن سعيد بن المسيّب</w:t>
      </w:r>
      <w:r w:rsidRPr="00B07E03">
        <w:rPr>
          <w:rStyle w:val="ae"/>
          <w:color w:val="0D0D0D" w:themeColor="text1" w:themeTint="F2"/>
          <w:rtl/>
        </w:rPr>
        <w:t>(</w:t>
      </w:r>
      <w:r w:rsidRPr="00B07E03">
        <w:rPr>
          <w:rStyle w:val="ae"/>
          <w:color w:val="0D0D0D" w:themeColor="text1" w:themeTint="F2"/>
          <w:rtl/>
        </w:rPr>
        <w:footnoteReference w:id="271"/>
      </w:r>
      <w:r w:rsidRPr="00B07E03">
        <w:rPr>
          <w:rStyle w:val="ae"/>
          <w:color w:val="0D0D0D" w:themeColor="text1" w:themeTint="F2"/>
          <w:rtl/>
        </w:rPr>
        <w:t>)</w:t>
      </w:r>
      <w:r w:rsidRPr="00B07E03">
        <w:rPr>
          <w:rFonts w:ascii="Traditional Arabic" w:hAnsi="Traditional Arabic"/>
          <w:color w:val="0D0D0D" w:themeColor="text1" w:themeTint="F2"/>
          <w:rtl/>
          <w:lang w:eastAsia="en-US"/>
        </w:rPr>
        <w:t>.</w:t>
      </w:r>
      <w:r w:rsidR="00A62777">
        <w:rPr>
          <w:rFonts w:ascii="Traditional Arabic" w:hAnsi="Traditional Arabic" w:hint="cs"/>
          <w:color w:val="0D0D0D" w:themeColor="text1" w:themeTint="F2"/>
          <w:rtl/>
          <w:lang w:eastAsia="en-US"/>
        </w:rPr>
        <w:t xml:space="preserve"> </w:t>
      </w:r>
      <w:r w:rsidRPr="00B07E03">
        <w:rPr>
          <w:rFonts w:ascii="Traditional Arabic" w:hAnsi="Traditional Arabic"/>
          <w:color w:val="0D0D0D" w:themeColor="text1" w:themeTint="F2"/>
          <w:rtl/>
          <w:lang w:eastAsia="en-US"/>
        </w:rPr>
        <w:t xml:space="preserve">قوله تعالى: </w:t>
      </w:r>
      <w:r w:rsidRPr="00F93733">
        <w:rPr>
          <w:rFonts w:ascii="QCF_BSML" w:hAnsi="QCF_BSML" w:cs="QCF_BSML"/>
          <w:color w:val="0D0D0D" w:themeColor="text1" w:themeTint="F2"/>
          <w:sz w:val="32"/>
          <w:szCs w:val="32"/>
          <w:rtl/>
          <w:lang w:eastAsia="en-US"/>
        </w:rPr>
        <w:t>ﭽ</w:t>
      </w:r>
      <w:r w:rsidRPr="00F93733">
        <w:rPr>
          <w:rFonts w:ascii="QCF_P288" w:hAnsi="QCF_P288" w:cs="QCF_P288"/>
          <w:color w:val="0D0D0D" w:themeColor="text1" w:themeTint="F2"/>
          <w:sz w:val="32"/>
          <w:szCs w:val="32"/>
          <w:rtl/>
          <w:lang w:eastAsia="en-US"/>
        </w:rPr>
        <w:t>ﭾ</w:t>
      </w:r>
      <w:r w:rsidRPr="00F93733">
        <w:rPr>
          <w:rFonts w:ascii="QCF_BSML" w:hAnsi="QCF_BSML" w:cs="QCF_BSML"/>
          <w:color w:val="0D0D0D" w:themeColor="text1" w:themeTint="F2"/>
          <w:sz w:val="32"/>
          <w:szCs w:val="32"/>
          <w:rtl/>
          <w:lang w:eastAsia="en-US"/>
        </w:rPr>
        <w:t>ﭼ</w:t>
      </w:r>
      <w:r w:rsidRPr="00B07E03">
        <w:rPr>
          <w:rFonts w:ascii="Traditional Arabic" w:hAnsi="Traditional Arabic"/>
          <w:color w:val="0D0D0D" w:themeColor="text1" w:themeTint="F2"/>
          <w:rtl/>
          <w:lang w:eastAsia="en-US"/>
        </w:rPr>
        <w:t xml:space="preserve"> قال ابن الأنباري: مفعول </w:t>
      </w:r>
      <w:r w:rsidRPr="00F93733">
        <w:rPr>
          <w:rFonts w:ascii="QCF_BSML" w:hAnsi="QCF_BSML" w:cs="QCF_BSML"/>
          <w:color w:val="0D0D0D" w:themeColor="text1" w:themeTint="F2"/>
          <w:sz w:val="32"/>
          <w:szCs w:val="32"/>
          <w:rtl/>
          <w:lang w:eastAsia="en-US"/>
        </w:rPr>
        <w:t>ﭽ</w:t>
      </w:r>
      <w:r w:rsidRPr="00F93733">
        <w:rPr>
          <w:rFonts w:ascii="QCF_P288" w:hAnsi="QCF_P288" w:cs="QCF_P288"/>
          <w:color w:val="0D0D0D" w:themeColor="text1" w:themeTint="F2"/>
          <w:sz w:val="32"/>
          <w:szCs w:val="32"/>
          <w:rtl/>
          <w:lang w:eastAsia="en-US"/>
        </w:rPr>
        <w:t>ﭾ</w:t>
      </w:r>
      <w:r w:rsidRPr="00F93733">
        <w:rPr>
          <w:rFonts w:ascii="QCF_BSML" w:hAnsi="QCF_BSML" w:cs="QCF_BSML"/>
          <w:color w:val="0D0D0D" w:themeColor="text1" w:themeTint="F2"/>
          <w:sz w:val="32"/>
          <w:szCs w:val="32"/>
          <w:rtl/>
          <w:lang w:eastAsia="en-US"/>
        </w:rPr>
        <w:t>ﭼ</w:t>
      </w:r>
      <w:r w:rsidRPr="00B07E03">
        <w:rPr>
          <w:rFonts w:ascii="Traditional Arabic" w:hAnsi="Traditional Arabic"/>
          <w:color w:val="0D0D0D" w:themeColor="text1" w:themeTint="F2"/>
          <w:rtl/>
          <w:lang w:eastAsia="en-US"/>
        </w:rPr>
        <w:t xml:space="preserve"> محذوف، تقديره: ونخوِّفهم العذاب</w:t>
      </w:r>
      <w:r w:rsidR="00A95665">
        <w:rPr>
          <w:rFonts w:ascii="Traditional Arabic" w:hAnsi="Traditional Arabic" w:hint="cs"/>
          <w:color w:val="0D0D0D" w:themeColor="text1" w:themeTint="F2"/>
          <w:rtl/>
          <w:lang w:eastAsia="en-US"/>
        </w:rPr>
        <w:t>َ</w:t>
      </w:r>
      <w:r w:rsidRPr="00B07E03">
        <w:rPr>
          <w:rFonts w:ascii="Traditional Arabic" w:hAnsi="Traditional Arabic"/>
          <w:color w:val="0D0D0D" w:themeColor="text1" w:themeTint="F2"/>
          <w:rtl/>
          <w:lang w:eastAsia="en-US"/>
        </w:rPr>
        <w:t>،</w:t>
      </w:r>
      <w:r w:rsidRPr="00B07E03">
        <w:rPr>
          <w:rFonts w:ascii="QCF_BSML" w:hAnsi="QCF_BSML" w:cs="QCF_BSML" w:hint="cs"/>
          <w:color w:val="0D0D0D" w:themeColor="text1" w:themeTint="F2"/>
          <w:sz w:val="32"/>
          <w:szCs w:val="32"/>
          <w:rtl/>
          <w:lang w:eastAsia="en-US"/>
        </w:rPr>
        <w:t xml:space="preserve"> </w:t>
      </w:r>
      <w:r w:rsidRPr="00B07E03">
        <w:rPr>
          <w:rFonts w:ascii="QCF_BSML" w:hAnsi="QCF_BSML" w:cs="QCF_BSML"/>
          <w:color w:val="0D0D0D" w:themeColor="text1" w:themeTint="F2"/>
          <w:sz w:val="32"/>
          <w:szCs w:val="32"/>
          <w:rtl/>
          <w:lang w:eastAsia="en-US"/>
        </w:rPr>
        <w:t xml:space="preserve"> </w:t>
      </w:r>
      <w:r w:rsidRPr="00F93733">
        <w:rPr>
          <w:rFonts w:ascii="QCF_BSML" w:hAnsi="QCF_BSML" w:cs="QCF_BSML"/>
          <w:color w:val="0D0D0D" w:themeColor="text1" w:themeTint="F2"/>
          <w:sz w:val="32"/>
          <w:szCs w:val="32"/>
          <w:rtl/>
          <w:lang w:eastAsia="en-US"/>
        </w:rPr>
        <w:t>ﭽ</w:t>
      </w:r>
      <w:r w:rsidRPr="00F93733">
        <w:rPr>
          <w:rFonts w:ascii="QCF_P288" w:hAnsi="QCF_P288" w:cs="QCF_P288"/>
          <w:color w:val="0D0D0D" w:themeColor="text1" w:themeTint="F2"/>
          <w:sz w:val="32"/>
          <w:szCs w:val="32"/>
          <w:rtl/>
          <w:lang w:eastAsia="en-US"/>
        </w:rPr>
        <w:t>ﭿ ﮀ</w:t>
      </w:r>
      <w:r w:rsidRPr="00F93733">
        <w:rPr>
          <w:rFonts w:ascii="QCF_BSML" w:hAnsi="QCF_BSML" w:cs="QCF_BSML"/>
          <w:color w:val="0D0D0D" w:themeColor="text1" w:themeTint="F2"/>
          <w:sz w:val="32"/>
          <w:szCs w:val="32"/>
          <w:rtl/>
          <w:lang w:eastAsia="en-US"/>
        </w:rPr>
        <w:t>ﭼ</w:t>
      </w:r>
      <w:r w:rsidRPr="00B07E03">
        <w:rPr>
          <w:rFonts w:ascii="QCF_P288" w:hAnsi="QCF_P288" w:cs="QCF_P288"/>
          <w:color w:val="0D0D0D" w:themeColor="text1" w:themeTint="F2"/>
          <w:sz w:val="32"/>
          <w:szCs w:val="32"/>
          <w:rtl/>
          <w:lang w:eastAsia="en-US"/>
        </w:rPr>
        <w:t xml:space="preserve"> </w:t>
      </w:r>
      <w:r w:rsidRPr="00B07E03">
        <w:rPr>
          <w:rFonts w:ascii="Traditional Arabic" w:hAnsi="Traditional Arabic"/>
          <w:color w:val="0D0D0D" w:themeColor="text1" w:themeTint="F2"/>
          <w:rtl/>
          <w:lang w:eastAsia="en-US"/>
        </w:rPr>
        <w:t>أي: فما يزيدهم التخويف</w:t>
      </w:r>
      <w:r w:rsidRPr="00B07E03">
        <w:rPr>
          <w:rFonts w:ascii="Traditional Arabic" w:hAnsi="Traditional Arabic" w:hint="cs"/>
          <w:color w:val="0D0D0D" w:themeColor="text1" w:themeTint="F2"/>
          <w:rtl/>
          <w:lang w:eastAsia="en-US"/>
        </w:rPr>
        <w:t xml:space="preserve"> </w:t>
      </w:r>
      <w:r w:rsidRPr="00F93733">
        <w:rPr>
          <w:rFonts w:ascii="QCF_BSML" w:hAnsi="QCF_BSML" w:cs="QCF_BSML"/>
          <w:color w:val="0D0D0D" w:themeColor="text1" w:themeTint="F2"/>
          <w:sz w:val="32"/>
          <w:szCs w:val="32"/>
          <w:rtl/>
          <w:lang w:eastAsia="en-US"/>
        </w:rPr>
        <w:t>ﭽ</w:t>
      </w:r>
      <w:r w:rsidRPr="00F93733">
        <w:rPr>
          <w:rFonts w:ascii="QCF_P288" w:hAnsi="QCF_P288" w:cs="QCF_P288"/>
          <w:color w:val="0D0D0D" w:themeColor="text1" w:themeTint="F2"/>
          <w:sz w:val="32"/>
          <w:szCs w:val="32"/>
          <w:rtl/>
          <w:lang w:eastAsia="en-US"/>
        </w:rPr>
        <w:t>ﮁ ﮂ</w:t>
      </w:r>
      <w:r w:rsidRPr="00F93733">
        <w:rPr>
          <w:rFonts w:ascii="QCF_BSML" w:hAnsi="QCF_BSML" w:cs="QCF_BSML"/>
          <w:color w:val="0D0D0D" w:themeColor="text1" w:themeTint="F2"/>
          <w:sz w:val="32"/>
          <w:szCs w:val="32"/>
          <w:rtl/>
          <w:lang w:eastAsia="en-US"/>
        </w:rPr>
        <w:t>ﭼ</w:t>
      </w:r>
      <w:r w:rsidRPr="00B07E03">
        <w:rPr>
          <w:rStyle w:val="ae"/>
          <w:color w:val="0D0D0D" w:themeColor="text1" w:themeTint="F2"/>
          <w:rtl/>
        </w:rPr>
        <w:t>(</w:t>
      </w:r>
      <w:r w:rsidRPr="00B07E03">
        <w:rPr>
          <w:rStyle w:val="ae"/>
          <w:color w:val="0D0D0D" w:themeColor="text1" w:themeTint="F2"/>
          <w:rtl/>
        </w:rPr>
        <w:footnoteReference w:id="272"/>
      </w:r>
      <w:r w:rsidRPr="00B07E03">
        <w:rPr>
          <w:rStyle w:val="ae"/>
          <w:color w:val="0D0D0D" w:themeColor="text1" w:themeTint="F2"/>
          <w:rtl/>
        </w:rPr>
        <w:t>)</w:t>
      </w:r>
      <w:r w:rsidR="00B95D2B">
        <w:rPr>
          <w:rFonts w:hint="cs"/>
          <w:color w:val="0D0D0D" w:themeColor="text1" w:themeTint="F2"/>
          <w:rtl/>
        </w:rPr>
        <w:t>؛</w:t>
      </w:r>
      <w:r w:rsidR="00B95D2B">
        <w:rPr>
          <w:rFonts w:ascii="Traditional Arabic" w:hAnsi="Traditional Arabic" w:hint="cs"/>
          <w:color w:val="0D0D0D" w:themeColor="text1" w:themeTint="F2"/>
          <w:rtl/>
          <w:lang w:eastAsia="en-US"/>
        </w:rPr>
        <w:t xml:space="preserve"> </w:t>
      </w:r>
      <w:r w:rsidRPr="00B07E03">
        <w:rPr>
          <w:rFonts w:ascii="Traditional Arabic" w:hAnsi="Traditional Arabic"/>
          <w:color w:val="0D0D0D" w:themeColor="text1" w:themeTint="F2"/>
          <w:rtl/>
          <w:lang w:eastAsia="en-US"/>
        </w:rPr>
        <w:t>وقد ذكرنا معنى الطّغيان في البقرة</w:t>
      </w:r>
      <w:r w:rsidRPr="00B07E03">
        <w:rPr>
          <w:rStyle w:val="ae"/>
          <w:color w:val="0D0D0D" w:themeColor="text1" w:themeTint="F2"/>
          <w:rtl/>
        </w:rPr>
        <w:t>(</w:t>
      </w:r>
      <w:r w:rsidRPr="00B07E03">
        <w:rPr>
          <w:rStyle w:val="ae"/>
          <w:color w:val="0D0D0D" w:themeColor="text1" w:themeTint="F2"/>
          <w:rtl/>
        </w:rPr>
        <w:footnoteReference w:id="273"/>
      </w:r>
      <w:r w:rsidRPr="00B07E03">
        <w:rPr>
          <w:rStyle w:val="ae"/>
          <w:color w:val="0D0D0D" w:themeColor="text1" w:themeTint="F2"/>
          <w:rtl/>
        </w:rPr>
        <w:t>)</w:t>
      </w:r>
      <w:r w:rsidRPr="00B07E03">
        <w:rPr>
          <w:rFonts w:ascii="Traditional Arabic" w:hAnsi="Traditional Arabic"/>
          <w:color w:val="0D0D0D" w:themeColor="text1" w:themeTint="F2"/>
          <w:rtl/>
          <w:lang w:eastAsia="en-US"/>
        </w:rPr>
        <w:t xml:space="preserve">، وذكرنا </w:t>
      </w:r>
      <w:r w:rsidR="004C1C4C">
        <w:rPr>
          <w:rFonts w:ascii="Traditional Arabic" w:hAnsi="Traditional Arabic" w:hint="cs"/>
          <w:color w:val="0D0D0D" w:themeColor="text1" w:themeTint="F2"/>
          <w:rtl/>
          <w:lang w:eastAsia="en-US"/>
        </w:rPr>
        <w:t>[</w:t>
      </w:r>
      <w:r w:rsidRPr="00B07E03">
        <w:rPr>
          <w:rFonts w:ascii="Traditional Arabic" w:hAnsi="Traditional Arabic"/>
          <w:color w:val="0D0D0D" w:themeColor="text1" w:themeTint="F2"/>
          <w:rtl/>
          <w:lang w:eastAsia="en-US"/>
        </w:rPr>
        <w:t>هناك</w:t>
      </w:r>
      <w:r w:rsidR="004C1C4C">
        <w:rPr>
          <w:rFonts w:ascii="Traditional Arabic" w:hAnsi="Traditional Arabic" w:hint="cs"/>
          <w:color w:val="0D0D0D" w:themeColor="text1" w:themeTint="F2"/>
          <w:rtl/>
          <w:lang w:eastAsia="en-US"/>
        </w:rPr>
        <w:t>]</w:t>
      </w:r>
      <w:r w:rsidR="006076F3" w:rsidRPr="006076F3">
        <w:rPr>
          <w:rStyle w:val="ae"/>
          <w:rtl/>
        </w:rPr>
        <w:t>(</w:t>
      </w:r>
      <w:r w:rsidR="006076F3">
        <w:rPr>
          <w:rStyle w:val="ae"/>
          <w:rtl/>
        </w:rPr>
        <w:footnoteReference w:id="274"/>
      </w:r>
      <w:r w:rsidR="006076F3" w:rsidRPr="006076F3">
        <w:rPr>
          <w:rStyle w:val="ae"/>
          <w:rtl/>
        </w:rPr>
        <w:t>)</w:t>
      </w:r>
      <w:r w:rsidRPr="00B07E03">
        <w:rPr>
          <w:rFonts w:ascii="Traditional Arabic" w:hAnsi="Traditional Arabic"/>
          <w:color w:val="0D0D0D" w:themeColor="text1" w:themeTint="F2"/>
          <w:rtl/>
          <w:lang w:eastAsia="en-US"/>
        </w:rPr>
        <w:t xml:space="preserve">تفسير قوله تعالى: </w:t>
      </w:r>
      <w:r w:rsidRPr="00F93733">
        <w:rPr>
          <w:rFonts w:ascii="QCF_BSML" w:hAnsi="QCF_BSML" w:cs="QCF_BSML"/>
          <w:color w:val="0D0D0D" w:themeColor="text1" w:themeTint="F2"/>
          <w:sz w:val="32"/>
          <w:szCs w:val="32"/>
          <w:rtl/>
          <w:lang w:eastAsia="en-US"/>
        </w:rPr>
        <w:t>ﭽ</w:t>
      </w:r>
      <w:r w:rsidRPr="00F93733">
        <w:rPr>
          <w:rFonts w:ascii="QCF_P288" w:hAnsi="QCF_P288" w:cs="QCF_P288"/>
          <w:color w:val="0D0D0D" w:themeColor="text1" w:themeTint="F2"/>
          <w:sz w:val="32"/>
          <w:szCs w:val="32"/>
          <w:rtl/>
          <w:lang w:eastAsia="en-US"/>
        </w:rPr>
        <w:t>ﮅ  ﮆ  ﮇ  ﮈ  ﮉ  ﮊ</w:t>
      </w:r>
      <w:r w:rsidR="00F26697" w:rsidRPr="00F26697">
        <w:rPr>
          <w:rFonts w:ascii="QCF_P288" w:hAnsi="QCF_P288" w:cs="QCF_P288"/>
          <w:color w:val="0D0D0D" w:themeColor="text1" w:themeTint="F2"/>
          <w:sz w:val="32"/>
          <w:szCs w:val="32"/>
          <w:rtl/>
          <w:lang w:eastAsia="en-US"/>
        </w:rPr>
        <w:t xml:space="preserve"> </w:t>
      </w:r>
      <w:r w:rsidR="00F26697" w:rsidRPr="00B07E03">
        <w:rPr>
          <w:rFonts w:ascii="QCF_P288" w:hAnsi="QCF_P288" w:cs="QCF_P288"/>
          <w:color w:val="0D0D0D" w:themeColor="text1" w:themeTint="F2"/>
          <w:sz w:val="32"/>
          <w:szCs w:val="32"/>
          <w:rtl/>
          <w:lang w:eastAsia="en-US"/>
        </w:rPr>
        <w:t>ﮋ    ﮌ</w:t>
      </w:r>
      <w:r w:rsidRPr="00F93733">
        <w:rPr>
          <w:rFonts w:ascii="QCF_BSML" w:hAnsi="QCF_BSML" w:cs="QCF_BSML"/>
          <w:color w:val="0D0D0D" w:themeColor="text1" w:themeTint="F2"/>
          <w:sz w:val="32"/>
          <w:szCs w:val="32"/>
          <w:rtl/>
          <w:lang w:eastAsia="en-US"/>
        </w:rPr>
        <w:t>ﭼ</w:t>
      </w:r>
      <w:r w:rsidRPr="002A07C2">
        <w:rPr>
          <w:rFonts w:ascii="QCF_P288" w:hAnsi="QCF_P288" w:cs="QCF_P288"/>
          <w:color w:val="0D0D0D" w:themeColor="text1" w:themeTint="F2"/>
          <w:sz w:val="28"/>
          <w:szCs w:val="28"/>
          <w:rtl/>
          <w:lang w:eastAsia="en-US"/>
        </w:rPr>
        <w:t xml:space="preserve"> </w:t>
      </w:r>
      <w:r w:rsidR="00E1653F" w:rsidRPr="00E1653F">
        <w:rPr>
          <w:rStyle w:val="ae"/>
          <w:rtl/>
        </w:rPr>
        <w:t>(</w:t>
      </w:r>
      <w:r w:rsidR="00E1653F">
        <w:rPr>
          <w:rStyle w:val="ae"/>
          <w:rtl/>
        </w:rPr>
        <w:footnoteReference w:id="275"/>
      </w:r>
      <w:r w:rsidR="00E1653F" w:rsidRPr="00E1653F">
        <w:rPr>
          <w:rStyle w:val="ae"/>
          <w:rtl/>
        </w:rPr>
        <w:t>)</w:t>
      </w:r>
      <w:r w:rsidRPr="002A07C2">
        <w:rPr>
          <w:rFonts w:ascii="QCF_P288" w:hAnsi="QCF_P288" w:cs="QCF_P288"/>
          <w:color w:val="0D0D0D" w:themeColor="text1" w:themeTint="F2"/>
          <w:sz w:val="28"/>
          <w:szCs w:val="28"/>
          <w:rtl/>
          <w:lang w:eastAsia="en-US"/>
        </w:rPr>
        <w:t xml:space="preserve"> </w:t>
      </w:r>
      <w:r w:rsidR="002A07C2" w:rsidRPr="002A07C2">
        <w:rPr>
          <w:color w:val="0D0D0D" w:themeColor="text1" w:themeTint="F2"/>
          <w:sz w:val="28"/>
          <w:szCs w:val="28"/>
          <w:rtl/>
        </w:rPr>
        <w:t>[</w:t>
      </w:r>
      <w:r w:rsidR="002A07C2">
        <w:rPr>
          <w:rFonts w:hint="cs"/>
          <w:color w:val="0D0D0D" w:themeColor="text1" w:themeTint="F2"/>
          <w:sz w:val="28"/>
          <w:szCs w:val="28"/>
          <w:rtl/>
        </w:rPr>
        <w:t>البقرة</w:t>
      </w:r>
      <w:r w:rsidR="002A07C2" w:rsidRPr="002A07C2">
        <w:rPr>
          <w:color w:val="0D0D0D" w:themeColor="text1" w:themeTint="F2"/>
          <w:sz w:val="28"/>
          <w:szCs w:val="28"/>
          <w:rtl/>
        </w:rPr>
        <w:t>:</w:t>
      </w:r>
      <w:r w:rsidR="002A07C2">
        <w:rPr>
          <w:rFonts w:hint="cs"/>
          <w:color w:val="0D0D0D" w:themeColor="text1" w:themeTint="F2"/>
          <w:sz w:val="28"/>
          <w:szCs w:val="28"/>
          <w:rtl/>
        </w:rPr>
        <w:t xml:space="preserve"> </w:t>
      </w:r>
      <w:r w:rsidR="002A07C2" w:rsidRPr="002A07C2">
        <w:rPr>
          <w:rFonts w:hint="cs"/>
          <w:color w:val="0D0D0D" w:themeColor="text1" w:themeTint="F2"/>
          <w:sz w:val="28"/>
          <w:szCs w:val="28"/>
          <w:rtl/>
        </w:rPr>
        <w:t>34</w:t>
      </w:r>
      <w:r w:rsidR="002A07C2" w:rsidRPr="002A07C2">
        <w:rPr>
          <w:color w:val="0D0D0D" w:themeColor="text1" w:themeTint="F2"/>
          <w:sz w:val="28"/>
          <w:szCs w:val="28"/>
          <w:rtl/>
        </w:rPr>
        <w:t>]</w:t>
      </w:r>
      <w:r w:rsidRPr="00B07E03">
        <w:rPr>
          <w:rFonts w:ascii="Traditional Arabic" w:hAnsi="Traditional Arabic" w:hint="cs"/>
          <w:color w:val="0D0D0D" w:themeColor="text1" w:themeTint="F2"/>
          <w:sz w:val="32"/>
          <w:szCs w:val="32"/>
          <w:rtl/>
          <w:lang w:eastAsia="en-US"/>
        </w:rPr>
        <w:t>.</w:t>
      </w:r>
    </w:p>
    <w:p w:rsidR="009B202E" w:rsidRDefault="00AB6719" w:rsidP="00E667B0">
      <w:pPr>
        <w:widowControl/>
        <w:autoSpaceDE w:val="0"/>
        <w:autoSpaceDN w:val="0"/>
        <w:adjustRightInd w:val="0"/>
        <w:ind w:firstLine="0"/>
        <w:rPr>
          <w:rFonts w:ascii="Traditional Arabic" w:hAnsi="Traditional Arabic"/>
          <w:color w:val="0D0D0D" w:themeColor="text1" w:themeTint="F2"/>
          <w:rtl/>
          <w:lang w:eastAsia="en-US"/>
        </w:rPr>
      </w:pPr>
      <w:r w:rsidRPr="00B07E03">
        <w:rPr>
          <w:rFonts w:ascii="QCF_BSML" w:hAnsi="QCF_BSML" w:cs="QCF_BSML"/>
          <w:color w:val="0D0D0D" w:themeColor="text1" w:themeTint="F2"/>
          <w:sz w:val="32"/>
          <w:szCs w:val="32"/>
          <w:rtl/>
          <w:lang w:eastAsia="en-US"/>
        </w:rPr>
        <w:t xml:space="preserve">ﭽ </w:t>
      </w:r>
      <w:r w:rsidRPr="00B07E03">
        <w:rPr>
          <w:rFonts w:ascii="QCF_P288" w:hAnsi="QCF_P288" w:cs="QCF_P288"/>
          <w:color w:val="0D0D0D" w:themeColor="text1" w:themeTint="F2"/>
          <w:sz w:val="32"/>
          <w:szCs w:val="32"/>
          <w:rtl/>
          <w:lang w:eastAsia="en-US"/>
        </w:rPr>
        <w:t xml:space="preserve">ﮅ  ﮆ  ﮇ  ﮈ  ﮉ  ﮊ  ﮋ    ﮌ       ﮍ  ﮎ  ﮏ     ﮐ  ﮑ  ﮒ  ﮓ  ﮔ  ﮕ  ﮖ    ﮗ  ﮘ  ﮙ  ﮚ  ﮛ   ﮜ  ﮝ  ﮞ   ﮟ  ﮠ     ﮡ  ﮢ  ﮣ  ﮤ  ﮥ  ﮦ  ﮧ   ﮨ   ﮩ  ﮪ   ﮫ  ﮬ  ﮭ  ﮮ  ﮯ  ﮰ     ﮱ  </w:t>
      </w:r>
      <w:r w:rsidRPr="00B07E03">
        <w:rPr>
          <w:rFonts w:ascii="QCF_P288" w:hAnsi="QCF_P288" w:cs="QCF_P288"/>
          <w:color w:val="0D0D0D" w:themeColor="text1" w:themeTint="F2"/>
          <w:sz w:val="32"/>
          <w:szCs w:val="32"/>
          <w:rtl/>
          <w:lang w:eastAsia="en-US"/>
        </w:rPr>
        <w:lastRenderedPageBreak/>
        <w:t xml:space="preserve">ﯓ  ﯔ  ﯕ  ﯖ  ﯗ  ﯘ   ﯙ  ﯚ ﯛ  ﯜﯝ  ﯞ  ﯟ  ﯠ  ﯡ       ﯢ  ﯣ  ﯤ  ﯥ  ﯦ  ﯧ  ﯨ  ﯩﯪ  ﯫ   ﯬ  ﯭ  ﯮ  </w:t>
      </w:r>
      <w:r w:rsidRPr="00B07E03">
        <w:rPr>
          <w:rFonts w:ascii="QCF_BSML" w:hAnsi="QCF_BSML" w:cs="QCF_BSML"/>
          <w:color w:val="0D0D0D" w:themeColor="text1" w:themeTint="F2"/>
          <w:sz w:val="32"/>
          <w:szCs w:val="32"/>
          <w:rtl/>
          <w:lang w:eastAsia="en-US"/>
        </w:rPr>
        <w:t>ﭼ</w:t>
      </w:r>
      <w:r w:rsidRPr="00B07E03">
        <w:rPr>
          <w:rFonts w:ascii="Traditional Arabic" w:hAnsi="Traditional Arabic"/>
          <w:color w:val="0D0D0D" w:themeColor="text1" w:themeTint="F2"/>
          <w:sz w:val="32"/>
          <w:szCs w:val="32"/>
          <w:rtl/>
          <w:lang w:eastAsia="en-US"/>
        </w:rPr>
        <w:t xml:space="preserve"> </w:t>
      </w:r>
    </w:p>
    <w:p w:rsidR="009B202E" w:rsidRDefault="00AB6719" w:rsidP="00597356">
      <w:pPr>
        <w:widowControl/>
        <w:autoSpaceDE w:val="0"/>
        <w:autoSpaceDN w:val="0"/>
        <w:adjustRightInd w:val="0"/>
        <w:ind w:firstLine="0"/>
        <w:rPr>
          <w:rFonts w:ascii="Traditional Arabic" w:hAnsi="Traditional Arabic"/>
          <w:color w:val="0D0D0D" w:themeColor="text1" w:themeTint="F2"/>
          <w:rtl/>
          <w:lang w:eastAsia="en-US"/>
        </w:rPr>
      </w:pPr>
      <w:r w:rsidRPr="00B07E03">
        <w:rPr>
          <w:rFonts w:ascii="Traditional Arabic" w:hAnsi="Traditional Arabic"/>
          <w:color w:val="0D0D0D" w:themeColor="text1" w:themeTint="F2"/>
          <w:rtl/>
          <w:lang w:eastAsia="en-US"/>
        </w:rPr>
        <w:t xml:space="preserve">قوله تعالى: </w:t>
      </w:r>
      <w:r w:rsidRPr="00F93733">
        <w:rPr>
          <w:rFonts w:ascii="QCF_BSML" w:hAnsi="QCF_BSML" w:cs="QCF_BSML"/>
          <w:color w:val="0D0D0D" w:themeColor="text1" w:themeTint="F2"/>
          <w:sz w:val="32"/>
          <w:szCs w:val="32"/>
          <w:rtl/>
          <w:lang w:eastAsia="en-US"/>
        </w:rPr>
        <w:t>ﭽ</w:t>
      </w:r>
      <w:r w:rsidRPr="00F93733">
        <w:rPr>
          <w:rFonts w:ascii="QCF_P288" w:hAnsi="QCF_P288" w:cs="QCF_P288"/>
          <w:color w:val="0D0D0D" w:themeColor="text1" w:themeTint="F2"/>
          <w:sz w:val="32"/>
          <w:szCs w:val="32"/>
          <w:rtl/>
          <w:lang w:eastAsia="en-US"/>
        </w:rPr>
        <w:t>ﮎ</w:t>
      </w:r>
      <w:r w:rsidRPr="00F93733">
        <w:rPr>
          <w:rFonts w:ascii="QCF_BSML" w:hAnsi="QCF_BSML" w:cs="QCF_BSML"/>
          <w:color w:val="0D0D0D" w:themeColor="text1" w:themeTint="F2"/>
          <w:sz w:val="32"/>
          <w:szCs w:val="32"/>
          <w:rtl/>
          <w:lang w:eastAsia="en-US"/>
        </w:rPr>
        <w:t>ﭼ</w:t>
      </w:r>
      <w:r>
        <w:rPr>
          <w:rFonts w:ascii="QCF_P288" w:hAnsi="QCF_P288" w:cs="QCF_P288"/>
          <w:color w:val="0D0D0D" w:themeColor="text1" w:themeTint="F2"/>
          <w:sz w:val="32"/>
          <w:szCs w:val="32"/>
          <w:rtl/>
          <w:lang w:eastAsia="en-US"/>
        </w:rPr>
        <w:t xml:space="preserve"> </w:t>
      </w:r>
      <w:r w:rsidRPr="00B07E03">
        <w:rPr>
          <w:rFonts w:ascii="Traditional Arabic" w:hAnsi="Traditional Arabic"/>
          <w:color w:val="0D0D0D" w:themeColor="text1" w:themeTint="F2"/>
          <w:rtl/>
          <w:lang w:eastAsia="en-US"/>
        </w:rPr>
        <w:t>قرأه الكوفيون: بهمزتين</w:t>
      </w:r>
      <w:r>
        <w:rPr>
          <w:rFonts w:ascii="Traditional Arabic" w:hAnsi="Traditional Arabic" w:hint="cs"/>
          <w:color w:val="0D0D0D" w:themeColor="text1" w:themeTint="F2"/>
          <w:rtl/>
          <w:lang w:eastAsia="en-US"/>
        </w:rPr>
        <w:t>،</w:t>
      </w:r>
      <w:r w:rsidRPr="00B07E03">
        <w:rPr>
          <w:rFonts w:ascii="Traditional Arabic" w:hAnsi="Traditional Arabic"/>
          <w:color w:val="0D0D0D" w:themeColor="text1" w:themeTint="F2"/>
          <w:rtl/>
          <w:lang w:eastAsia="en-US"/>
        </w:rPr>
        <w:t xml:space="preserve"> وقرأه الباقون: بهمزة مطوَّلة</w:t>
      </w:r>
      <w:r w:rsidRPr="00B07E03">
        <w:rPr>
          <w:rStyle w:val="ae"/>
          <w:color w:val="0D0D0D" w:themeColor="text1" w:themeTint="F2"/>
          <w:rtl/>
        </w:rPr>
        <w:t>(</w:t>
      </w:r>
      <w:r w:rsidRPr="00B07E03">
        <w:rPr>
          <w:rStyle w:val="ae"/>
          <w:color w:val="0D0D0D" w:themeColor="text1" w:themeTint="F2"/>
          <w:rtl/>
        </w:rPr>
        <w:footnoteReference w:id="276"/>
      </w:r>
      <w:r w:rsidRPr="00B07E03">
        <w:rPr>
          <w:rStyle w:val="ae"/>
          <w:color w:val="0D0D0D" w:themeColor="text1" w:themeTint="F2"/>
          <w:rtl/>
        </w:rPr>
        <w:t>)</w:t>
      </w:r>
      <w:r w:rsidR="00364D10" w:rsidRPr="00364D10">
        <w:rPr>
          <w:rStyle w:val="ae"/>
          <w:rtl/>
        </w:rPr>
        <w:t>(</w:t>
      </w:r>
      <w:r w:rsidR="00364D10">
        <w:rPr>
          <w:rStyle w:val="ae"/>
          <w:rtl/>
        </w:rPr>
        <w:footnoteReference w:id="277"/>
      </w:r>
      <w:r w:rsidR="00364D10" w:rsidRPr="00364D10">
        <w:rPr>
          <w:rStyle w:val="ae"/>
          <w:rtl/>
        </w:rPr>
        <w:t>)</w:t>
      </w:r>
      <w:r w:rsidR="00B95D2B">
        <w:rPr>
          <w:rFonts w:ascii="Traditional Arabic" w:hAnsi="Traditional Arabic" w:hint="cs"/>
          <w:color w:val="0D0D0D" w:themeColor="text1" w:themeTint="F2"/>
          <w:rtl/>
          <w:lang w:eastAsia="en-US"/>
        </w:rPr>
        <w:t xml:space="preserve">؛ </w:t>
      </w:r>
      <w:r w:rsidRPr="00B07E03">
        <w:rPr>
          <w:rFonts w:ascii="Traditional Arabic" w:hAnsi="Traditional Arabic"/>
          <w:color w:val="0D0D0D" w:themeColor="text1" w:themeTint="F2"/>
          <w:rtl/>
          <w:lang w:eastAsia="en-US"/>
        </w:rPr>
        <w:t>وهذا</w:t>
      </w:r>
      <w:r w:rsidR="009B202E">
        <w:rPr>
          <w:rFonts w:ascii="Traditional Arabic" w:hAnsi="Traditional Arabic" w:hint="cs"/>
          <w:color w:val="0D0D0D" w:themeColor="text1" w:themeTint="F2"/>
          <w:rtl/>
          <w:lang w:eastAsia="en-US"/>
        </w:rPr>
        <w:t xml:space="preserve"> </w:t>
      </w:r>
      <w:r w:rsidRPr="00B07E03">
        <w:rPr>
          <w:rFonts w:ascii="Traditional Arabic" w:hAnsi="Traditional Arabic"/>
          <w:color w:val="0D0D0D" w:themeColor="text1" w:themeTint="F2"/>
          <w:rtl/>
          <w:lang w:eastAsia="en-US"/>
        </w:rPr>
        <w:t>استفهام إِنكار، يعني به: لم أكن لأفعل.</w:t>
      </w:r>
      <w:r>
        <w:rPr>
          <w:rFonts w:ascii="Traditional Arabic" w:hAnsi="Traditional Arabic" w:hint="cs"/>
          <w:color w:val="0D0D0D" w:themeColor="text1" w:themeTint="F2"/>
          <w:rtl/>
          <w:lang w:eastAsia="en-US"/>
        </w:rPr>
        <w:t xml:space="preserve"> </w:t>
      </w:r>
      <w:r w:rsidRPr="00B07E03">
        <w:rPr>
          <w:rFonts w:ascii="Traditional Arabic" w:hAnsi="Traditional Arabic"/>
          <w:color w:val="0D0D0D" w:themeColor="text1" w:themeTint="F2"/>
          <w:rtl/>
          <w:lang w:eastAsia="en-US"/>
        </w:rPr>
        <w:t>قوله تعالى:</w:t>
      </w:r>
      <w:r w:rsidRPr="00B07E03">
        <w:rPr>
          <w:rFonts w:ascii="Traditional Arabic" w:hAnsi="Traditional Arabic" w:hint="cs"/>
          <w:color w:val="0D0D0D" w:themeColor="text1" w:themeTint="F2"/>
          <w:rtl/>
          <w:lang w:eastAsia="en-US"/>
        </w:rPr>
        <w:t xml:space="preserve"> </w:t>
      </w:r>
      <w:r w:rsidRPr="00F93733">
        <w:rPr>
          <w:rFonts w:ascii="QCF_BSML" w:hAnsi="QCF_BSML" w:cs="QCF_BSML"/>
          <w:color w:val="0D0D0D" w:themeColor="text1" w:themeTint="F2"/>
          <w:sz w:val="32"/>
          <w:szCs w:val="32"/>
          <w:rtl/>
          <w:lang w:eastAsia="en-US"/>
        </w:rPr>
        <w:t>ﭽ</w:t>
      </w:r>
      <w:r w:rsidRPr="00F93733">
        <w:rPr>
          <w:rFonts w:ascii="QCF_P288" w:hAnsi="QCF_P288" w:cs="QCF_P288"/>
          <w:color w:val="0D0D0D" w:themeColor="text1" w:themeTint="F2"/>
          <w:sz w:val="32"/>
          <w:szCs w:val="32"/>
          <w:rtl/>
          <w:lang w:eastAsia="en-US"/>
        </w:rPr>
        <w:t>ﮏ ﮐ</w:t>
      </w:r>
      <w:r w:rsidR="00E1653F">
        <w:rPr>
          <w:rFonts w:ascii="QCF_P288" w:hAnsi="QCF_P288" w:cs="QCF_P288" w:hint="cs"/>
          <w:color w:val="0D0D0D" w:themeColor="text1" w:themeTint="F2"/>
          <w:sz w:val="32"/>
          <w:szCs w:val="32"/>
          <w:rtl/>
          <w:lang w:eastAsia="en-US"/>
        </w:rPr>
        <w:t xml:space="preserve"> </w:t>
      </w:r>
      <w:r w:rsidRPr="00F93733">
        <w:rPr>
          <w:rFonts w:ascii="QCF_P288" w:hAnsi="QCF_P288" w:cs="QCF_P288"/>
          <w:color w:val="0D0D0D" w:themeColor="text1" w:themeTint="F2"/>
          <w:sz w:val="32"/>
          <w:szCs w:val="32"/>
          <w:rtl/>
          <w:lang w:eastAsia="en-US"/>
        </w:rPr>
        <w:t>ﮑ</w:t>
      </w:r>
      <w:r w:rsidRPr="00F93733">
        <w:rPr>
          <w:rFonts w:ascii="QCF_BSML" w:hAnsi="QCF_BSML" w:cs="QCF_BSML"/>
          <w:color w:val="0D0D0D" w:themeColor="text1" w:themeTint="F2"/>
          <w:sz w:val="32"/>
          <w:szCs w:val="32"/>
          <w:rtl/>
          <w:lang w:eastAsia="en-US"/>
        </w:rPr>
        <w:t>ﭼ</w:t>
      </w:r>
      <w:r w:rsidRPr="00B07E03">
        <w:rPr>
          <w:rFonts w:ascii="Traditional Arabic" w:hAnsi="Traditional Arabic"/>
          <w:color w:val="0D0D0D" w:themeColor="text1" w:themeTint="F2"/>
          <w:rtl/>
          <w:lang w:eastAsia="en-US"/>
        </w:rPr>
        <w:t xml:space="preserve"> قال الزجاج</w:t>
      </w:r>
      <w:r w:rsidRPr="004A5F92">
        <w:rPr>
          <w:rFonts w:ascii="Traditional Arabic" w:hAnsi="Traditional Arabic"/>
          <w:color w:val="0D0D0D" w:themeColor="text1" w:themeTint="F2"/>
          <w:sz w:val="28"/>
          <w:szCs w:val="28"/>
          <w:rtl/>
          <w:lang w:eastAsia="en-US"/>
        </w:rPr>
        <w:t>:</w:t>
      </w:r>
      <w:r w:rsidRPr="004A5F92">
        <w:rPr>
          <w:rFonts w:ascii="QCF_BSML" w:hAnsi="QCF_BSML" w:cs="QCF_BSML"/>
          <w:color w:val="0D0D0D" w:themeColor="text1" w:themeTint="F2"/>
          <w:sz w:val="28"/>
          <w:szCs w:val="28"/>
          <w:rtl/>
          <w:lang w:eastAsia="en-US"/>
        </w:rPr>
        <w:t xml:space="preserve"> </w:t>
      </w:r>
      <w:r w:rsidRPr="004A5F92">
        <w:rPr>
          <w:rFonts w:ascii="QCF_BSML" w:hAnsi="QCF_BSML" w:cs="QCF_BSML" w:hint="cs"/>
          <w:color w:val="0D0D0D" w:themeColor="text1" w:themeTint="F2"/>
          <w:sz w:val="28"/>
          <w:szCs w:val="28"/>
          <w:rtl/>
          <w:lang w:eastAsia="en-US"/>
        </w:rPr>
        <w:t xml:space="preserve"> </w:t>
      </w:r>
      <w:r w:rsidRPr="00F93733">
        <w:rPr>
          <w:rFonts w:ascii="QCF_BSML" w:hAnsi="QCF_BSML" w:cs="QCF_BSML"/>
          <w:color w:val="0D0D0D" w:themeColor="text1" w:themeTint="F2"/>
          <w:sz w:val="32"/>
          <w:szCs w:val="32"/>
          <w:rtl/>
          <w:lang w:eastAsia="en-US"/>
        </w:rPr>
        <w:t>ﭽ</w:t>
      </w:r>
      <w:r w:rsidRPr="00F93733">
        <w:rPr>
          <w:rFonts w:ascii="Traditional Arabic" w:hAnsi="Traditional Arabic"/>
          <w:color w:val="0D0D0D" w:themeColor="text1" w:themeTint="F2"/>
          <w:sz w:val="32"/>
          <w:szCs w:val="32"/>
          <w:rtl/>
          <w:lang w:eastAsia="en-US"/>
        </w:rPr>
        <w:t>طيناً</w:t>
      </w:r>
      <w:r w:rsidRPr="00F93733">
        <w:rPr>
          <w:rFonts w:ascii="QCF_BSML" w:hAnsi="QCF_BSML" w:cs="QCF_BSML"/>
          <w:color w:val="0D0D0D" w:themeColor="text1" w:themeTint="F2"/>
          <w:sz w:val="32"/>
          <w:szCs w:val="32"/>
          <w:rtl/>
          <w:lang w:eastAsia="en-US"/>
        </w:rPr>
        <w:t>ﭼ</w:t>
      </w:r>
      <w:r w:rsidRPr="00B07E03">
        <w:rPr>
          <w:rFonts w:ascii="Traditional Arabic" w:hAnsi="Traditional Arabic"/>
          <w:color w:val="0D0D0D" w:themeColor="text1" w:themeTint="F2"/>
          <w:rtl/>
          <w:lang w:eastAsia="en-US"/>
        </w:rPr>
        <w:t xml:space="preserve"> منصوب على وجهين: أحدهما: التمييز، المعنى: لمن خلقتَه من طين. والثاني: على الحال، المعنى: أنشأتَه في حال كونه من طين. ولفظ</w:t>
      </w:r>
      <w:r>
        <w:rPr>
          <w:rFonts w:ascii="Traditional Arabic" w:hAnsi="Traditional Arabic" w:hint="cs"/>
          <w:color w:val="0D0D0D" w:themeColor="text1" w:themeTint="F2"/>
          <w:rtl/>
          <w:lang w:eastAsia="en-US"/>
        </w:rPr>
        <w:t xml:space="preserve"> </w:t>
      </w:r>
      <w:r w:rsidRPr="00F93733">
        <w:rPr>
          <w:rFonts w:ascii="QCF_BSML" w:hAnsi="QCF_BSML" w:cs="QCF_BSML"/>
          <w:color w:val="0D0D0D" w:themeColor="text1" w:themeTint="F2"/>
          <w:sz w:val="32"/>
          <w:szCs w:val="32"/>
          <w:rtl/>
          <w:lang w:eastAsia="en-US"/>
        </w:rPr>
        <w:t>ﭽ</w:t>
      </w:r>
      <w:r w:rsidRPr="00F93733">
        <w:rPr>
          <w:rFonts w:ascii="QCF_P288" w:hAnsi="QCF_P288" w:cs="QCF_P288"/>
          <w:color w:val="0D0D0D" w:themeColor="text1" w:themeTint="F2"/>
          <w:sz w:val="32"/>
          <w:szCs w:val="32"/>
          <w:rtl/>
          <w:lang w:eastAsia="en-US"/>
        </w:rPr>
        <w:t>ﮓ  ﮔ</w:t>
      </w:r>
      <w:r w:rsidRPr="00F93733">
        <w:rPr>
          <w:rFonts w:ascii="QCF_BSML" w:hAnsi="QCF_BSML" w:cs="QCF_BSML"/>
          <w:color w:val="0D0D0D" w:themeColor="text1" w:themeTint="F2"/>
          <w:sz w:val="32"/>
          <w:szCs w:val="32"/>
          <w:rtl/>
          <w:lang w:eastAsia="en-US"/>
        </w:rPr>
        <w:t>ﭼ</w:t>
      </w:r>
      <w:r w:rsidRPr="00B07E03">
        <w:rPr>
          <w:rFonts w:ascii="Traditional Arabic" w:hAnsi="Traditional Arabic" w:hint="cs"/>
          <w:color w:val="0D0D0D" w:themeColor="text1" w:themeTint="F2"/>
          <w:rtl/>
          <w:lang w:eastAsia="en-US"/>
        </w:rPr>
        <w:t xml:space="preserve"> </w:t>
      </w:r>
      <w:r w:rsidRPr="00B07E03">
        <w:rPr>
          <w:rFonts w:ascii="Traditional Arabic" w:hAnsi="Traditional Arabic"/>
          <w:color w:val="0D0D0D" w:themeColor="text1" w:themeTint="F2"/>
          <w:rtl/>
          <w:lang w:eastAsia="en-US"/>
        </w:rPr>
        <w:t>جاء ها هنا بغير حرف عطف، لأن المعنى: قال آسجد لمن خلقت طينا، وأ</w:t>
      </w:r>
      <w:r w:rsidRPr="00B07E03">
        <w:rPr>
          <w:rFonts w:ascii="Traditional Arabic" w:hAnsi="Traditional Arabic" w:hint="cs"/>
          <w:color w:val="0D0D0D" w:themeColor="text1" w:themeTint="F2"/>
          <w:rtl/>
          <w:lang w:eastAsia="en-US"/>
        </w:rPr>
        <w:t>َ</w:t>
      </w:r>
      <w:r w:rsidRPr="00B07E03">
        <w:rPr>
          <w:rFonts w:ascii="Traditional Arabic" w:hAnsi="Traditional Arabic"/>
          <w:color w:val="0D0D0D" w:themeColor="text1" w:themeTint="F2"/>
          <w:rtl/>
          <w:lang w:eastAsia="en-US"/>
        </w:rPr>
        <w:t>ر</w:t>
      </w:r>
      <w:r w:rsidRPr="00B07E03">
        <w:rPr>
          <w:rFonts w:ascii="Traditional Arabic" w:hAnsi="Traditional Arabic" w:hint="cs"/>
          <w:color w:val="0D0D0D" w:themeColor="text1" w:themeTint="F2"/>
          <w:rtl/>
          <w:lang w:eastAsia="en-US"/>
        </w:rPr>
        <w:t>َ</w:t>
      </w:r>
      <w:r w:rsidRPr="00B07E03">
        <w:rPr>
          <w:rFonts w:ascii="Traditional Arabic" w:hAnsi="Traditional Arabic"/>
          <w:color w:val="0D0D0D" w:themeColor="text1" w:themeTint="F2"/>
          <w:rtl/>
          <w:lang w:eastAsia="en-US"/>
        </w:rPr>
        <w:t>أ</w:t>
      </w:r>
      <w:r w:rsidRPr="00B07E03">
        <w:rPr>
          <w:rFonts w:ascii="Traditional Arabic" w:hAnsi="Traditional Arabic" w:hint="cs"/>
          <w:color w:val="0D0D0D" w:themeColor="text1" w:themeTint="F2"/>
          <w:rtl/>
          <w:lang w:eastAsia="en-US"/>
        </w:rPr>
        <w:t>َ</w:t>
      </w:r>
      <w:r w:rsidRPr="00B07E03">
        <w:rPr>
          <w:rFonts w:ascii="Traditional Arabic" w:hAnsi="Traditional Arabic"/>
          <w:color w:val="0D0D0D" w:themeColor="text1" w:themeTint="F2"/>
          <w:rtl/>
          <w:lang w:eastAsia="en-US"/>
        </w:rPr>
        <w:t>يت</w:t>
      </w:r>
      <w:r w:rsidRPr="00B07E03">
        <w:rPr>
          <w:rFonts w:ascii="Traditional Arabic" w:hAnsi="Traditional Arabic" w:hint="cs"/>
          <w:color w:val="0D0D0D" w:themeColor="text1" w:themeTint="F2"/>
          <w:rtl/>
          <w:lang w:eastAsia="en-US"/>
        </w:rPr>
        <w:t>َ</w:t>
      </w:r>
      <w:r w:rsidRPr="00B07E03">
        <w:rPr>
          <w:rFonts w:ascii="Traditional Arabic" w:hAnsi="Traditional Arabic"/>
          <w:color w:val="0D0D0D" w:themeColor="text1" w:themeTint="F2"/>
          <w:rtl/>
          <w:lang w:eastAsia="en-US"/>
        </w:rPr>
        <w:t>ك</w:t>
      </w:r>
      <w:r w:rsidRPr="00B07E03">
        <w:rPr>
          <w:rFonts w:ascii="Traditional Arabic" w:hAnsi="Traditional Arabic" w:hint="cs"/>
          <w:color w:val="0D0D0D" w:themeColor="text1" w:themeTint="F2"/>
          <w:rtl/>
          <w:lang w:eastAsia="en-US"/>
        </w:rPr>
        <w:t>َ</w:t>
      </w:r>
      <w:r w:rsidRPr="00B07E03">
        <w:rPr>
          <w:rFonts w:ascii="Traditional Arabic" w:hAnsi="Traditional Arabic"/>
          <w:color w:val="0D0D0D" w:themeColor="text1" w:themeTint="F2"/>
          <w:rtl/>
          <w:lang w:eastAsia="en-US"/>
        </w:rPr>
        <w:t>، وهي في معنى: أخبرني، والكاف ذُكرت في المخاطبة توكيداً، والجواب محذوف، والمعنى: أَخبِرني عن هذا الذي كرَّمت عليَّ</w:t>
      </w:r>
      <w:r>
        <w:rPr>
          <w:rFonts w:ascii="Traditional Arabic" w:hAnsi="Traditional Arabic" w:hint="cs"/>
          <w:color w:val="0D0D0D" w:themeColor="text1" w:themeTint="F2"/>
          <w:rtl/>
          <w:lang w:eastAsia="en-US"/>
        </w:rPr>
        <w:t xml:space="preserve"> </w:t>
      </w:r>
      <w:r w:rsidRPr="00B07E03">
        <w:rPr>
          <w:rFonts w:ascii="Traditional Arabic" w:hAnsi="Traditional Arabic"/>
          <w:color w:val="0D0D0D" w:themeColor="text1" w:themeTint="F2"/>
          <w:rtl/>
          <w:lang w:eastAsia="en-US"/>
        </w:rPr>
        <w:t>لم كرَّمتَهُ عليَّ وقد خلقتَني</w:t>
      </w:r>
      <w:r w:rsidR="00A62777">
        <w:rPr>
          <w:rFonts w:hint="cs"/>
          <w:rtl/>
        </w:rPr>
        <w:t xml:space="preserve"> </w:t>
      </w:r>
      <w:r w:rsidRPr="00B07E03">
        <w:rPr>
          <w:rFonts w:ascii="Traditional Arabic" w:hAnsi="Traditional Arabic"/>
          <w:color w:val="0D0D0D" w:themeColor="text1" w:themeTint="F2"/>
          <w:rtl/>
          <w:lang w:eastAsia="en-US"/>
        </w:rPr>
        <w:t>من نار</w:t>
      </w:r>
      <w:r w:rsidR="00A62777" w:rsidRPr="00A62777">
        <w:rPr>
          <w:rStyle w:val="ae"/>
          <w:rtl/>
        </w:rPr>
        <w:t>(</w:t>
      </w:r>
      <w:r w:rsidR="00A62777">
        <w:rPr>
          <w:rStyle w:val="ae"/>
          <w:rtl/>
        </w:rPr>
        <w:footnoteReference w:id="278"/>
      </w:r>
      <w:r w:rsidR="00A62777" w:rsidRPr="00A62777">
        <w:rPr>
          <w:rStyle w:val="ae"/>
          <w:rtl/>
        </w:rPr>
        <w:t>)</w:t>
      </w:r>
      <w:r w:rsidRPr="00B07E03">
        <w:rPr>
          <w:rFonts w:ascii="Traditional Arabic" w:hAnsi="Traditional Arabic"/>
          <w:color w:val="0D0D0D" w:themeColor="text1" w:themeTint="F2"/>
          <w:rtl/>
          <w:lang w:eastAsia="en-US"/>
        </w:rPr>
        <w:t>وخلقتَه من طين؟! فحذف هذا</w:t>
      </w:r>
      <w:r>
        <w:rPr>
          <w:rFonts w:ascii="Traditional Arabic" w:hAnsi="Traditional Arabic" w:hint="cs"/>
          <w:color w:val="0D0D0D" w:themeColor="text1" w:themeTint="F2"/>
          <w:rtl/>
          <w:lang w:eastAsia="en-US"/>
        </w:rPr>
        <w:t xml:space="preserve">؛ </w:t>
      </w:r>
      <w:r w:rsidRPr="00B07E03">
        <w:rPr>
          <w:rFonts w:ascii="Traditional Arabic" w:hAnsi="Traditional Arabic"/>
          <w:color w:val="0D0D0D" w:themeColor="text1" w:themeTint="F2"/>
          <w:rtl/>
          <w:lang w:eastAsia="en-US"/>
        </w:rPr>
        <w:t>لأن في الكلام دليلاً عليه</w:t>
      </w:r>
      <w:r w:rsidRPr="00B07E03">
        <w:rPr>
          <w:rStyle w:val="ae"/>
          <w:color w:val="0D0D0D" w:themeColor="text1" w:themeTint="F2"/>
          <w:rtl/>
        </w:rPr>
        <w:t>(</w:t>
      </w:r>
      <w:r w:rsidRPr="00B07E03">
        <w:rPr>
          <w:rStyle w:val="ae"/>
          <w:color w:val="0D0D0D" w:themeColor="text1" w:themeTint="F2"/>
          <w:rtl/>
        </w:rPr>
        <w:footnoteReference w:id="279"/>
      </w:r>
      <w:r w:rsidRPr="00B07E03">
        <w:rPr>
          <w:rStyle w:val="ae"/>
          <w:color w:val="0D0D0D" w:themeColor="text1" w:themeTint="F2"/>
          <w:rtl/>
        </w:rPr>
        <w:t>)</w:t>
      </w:r>
      <w:r w:rsidRPr="00B07E03">
        <w:rPr>
          <w:rFonts w:ascii="Traditional Arabic" w:hAnsi="Traditional Arabic"/>
          <w:color w:val="0D0D0D" w:themeColor="text1" w:themeTint="F2"/>
          <w:rtl/>
          <w:lang w:eastAsia="en-US"/>
        </w:rPr>
        <w:t>.</w:t>
      </w:r>
      <w:r>
        <w:rPr>
          <w:rFonts w:ascii="Traditional Arabic" w:hAnsi="Traditional Arabic" w:hint="cs"/>
          <w:color w:val="0D0D0D" w:themeColor="text1" w:themeTint="F2"/>
          <w:rtl/>
          <w:lang w:eastAsia="en-US"/>
        </w:rPr>
        <w:t xml:space="preserve"> </w:t>
      </w:r>
      <w:r w:rsidRPr="00B07E03">
        <w:rPr>
          <w:rFonts w:ascii="Traditional Arabic" w:hAnsi="Traditional Arabic"/>
          <w:color w:val="0D0D0D" w:themeColor="text1" w:themeTint="F2"/>
          <w:rtl/>
          <w:lang w:eastAsia="en-US"/>
        </w:rPr>
        <w:t>قوله تعالى:</w:t>
      </w:r>
      <w:r w:rsidRPr="00B07E03">
        <w:rPr>
          <w:rFonts w:ascii="QCF_P288" w:hAnsi="QCF_P288" w:cs="QCF_P288"/>
          <w:color w:val="0D0D0D" w:themeColor="text1" w:themeTint="F2"/>
          <w:sz w:val="32"/>
          <w:szCs w:val="32"/>
          <w:rtl/>
          <w:lang w:eastAsia="en-US"/>
        </w:rPr>
        <w:t xml:space="preserve"> </w:t>
      </w:r>
      <w:r w:rsidR="00B02E84">
        <w:rPr>
          <w:rFonts w:ascii="QCF_BSML" w:hAnsi="QCF_BSML" w:cs="QCF_BSML" w:hint="cs"/>
          <w:color w:val="0D0D0D" w:themeColor="text1" w:themeTint="F2"/>
          <w:sz w:val="32"/>
          <w:szCs w:val="32"/>
          <w:rtl/>
          <w:lang w:eastAsia="en-US"/>
        </w:rPr>
        <w:t xml:space="preserve">   </w:t>
      </w:r>
      <w:r w:rsidRPr="00F93733">
        <w:rPr>
          <w:rFonts w:ascii="QCF_BSML" w:hAnsi="QCF_BSML" w:cs="QCF_BSML"/>
          <w:color w:val="0D0D0D" w:themeColor="text1" w:themeTint="F2"/>
          <w:sz w:val="32"/>
          <w:szCs w:val="32"/>
          <w:rtl/>
          <w:lang w:eastAsia="en-US"/>
        </w:rPr>
        <w:t>ﭽ</w:t>
      </w:r>
      <w:r w:rsidRPr="00F93733">
        <w:rPr>
          <w:rFonts w:ascii="QCF_P288" w:hAnsi="QCF_P288" w:cs="QCF_P288"/>
          <w:color w:val="0D0D0D" w:themeColor="text1" w:themeTint="F2"/>
          <w:sz w:val="32"/>
          <w:szCs w:val="32"/>
          <w:rtl/>
          <w:lang w:eastAsia="en-US"/>
        </w:rPr>
        <w:t xml:space="preserve"> ﮙ  ﮚ  ﮛ   ﮜ  ﮝ</w:t>
      </w:r>
      <w:r w:rsidRPr="00F93733">
        <w:rPr>
          <w:rFonts w:ascii="QCF_BSML" w:hAnsi="QCF_BSML" w:cs="QCF_BSML"/>
          <w:color w:val="0D0D0D" w:themeColor="text1" w:themeTint="F2"/>
          <w:sz w:val="32"/>
          <w:szCs w:val="32"/>
          <w:rtl/>
          <w:lang w:eastAsia="en-US"/>
        </w:rPr>
        <w:t>ﭼ</w:t>
      </w:r>
      <w:r w:rsidR="00B02E84">
        <w:rPr>
          <w:rFonts w:ascii="QCF_BSML" w:hAnsi="QCF_BSML" w:cs="QCF_BSML" w:hint="cs"/>
          <w:color w:val="0D0D0D" w:themeColor="text1" w:themeTint="F2"/>
          <w:rtl/>
          <w:lang w:eastAsia="en-US"/>
        </w:rPr>
        <w:t xml:space="preserve">   </w:t>
      </w:r>
      <w:r w:rsidRPr="004A5F92">
        <w:rPr>
          <w:rFonts w:ascii="QCF_BSML" w:hAnsi="QCF_BSML" w:cs="QCF_BSML" w:hint="cs"/>
          <w:color w:val="0D0D0D" w:themeColor="text1" w:themeTint="F2"/>
          <w:rtl/>
          <w:lang w:eastAsia="en-US"/>
        </w:rPr>
        <w:t xml:space="preserve"> </w:t>
      </w:r>
      <w:r w:rsidRPr="004A5F92">
        <w:rPr>
          <w:rFonts w:ascii="QCF_P288" w:hAnsi="QCF_P288" w:cs="QCF_P288"/>
          <w:color w:val="0D0D0D" w:themeColor="text1" w:themeTint="F2"/>
          <w:rtl/>
          <w:lang w:eastAsia="en-US"/>
        </w:rPr>
        <w:t xml:space="preserve">  </w:t>
      </w:r>
      <w:r w:rsidRPr="00B07E03">
        <w:rPr>
          <w:rFonts w:ascii="Traditional Arabic" w:hAnsi="Traditional Arabic"/>
          <w:color w:val="0D0D0D" w:themeColor="text1" w:themeTint="F2"/>
          <w:rtl/>
          <w:lang w:eastAsia="en-US"/>
        </w:rPr>
        <w:t>قرأ ابن كثير</w:t>
      </w:r>
      <w:r w:rsidRPr="00B07E03">
        <w:rPr>
          <w:rStyle w:val="ae"/>
          <w:color w:val="0D0D0D" w:themeColor="text1" w:themeTint="F2"/>
          <w:rtl/>
        </w:rPr>
        <w:t>(</w:t>
      </w:r>
      <w:r w:rsidRPr="00B07E03">
        <w:rPr>
          <w:rStyle w:val="ae"/>
          <w:color w:val="0D0D0D" w:themeColor="text1" w:themeTint="F2"/>
          <w:rtl/>
        </w:rPr>
        <w:footnoteReference w:id="280"/>
      </w:r>
      <w:r w:rsidRPr="00B07E03">
        <w:rPr>
          <w:rStyle w:val="ae"/>
          <w:color w:val="0D0D0D" w:themeColor="text1" w:themeTint="F2"/>
          <w:rtl/>
        </w:rPr>
        <w:t>)</w:t>
      </w:r>
      <w:r w:rsidRPr="00B07E03">
        <w:rPr>
          <w:rFonts w:ascii="Traditional Arabic" w:hAnsi="Traditional Arabic"/>
          <w:color w:val="0D0D0D" w:themeColor="text1" w:themeTint="F2"/>
          <w:rtl/>
          <w:lang w:eastAsia="en-US"/>
        </w:rPr>
        <w:t>، ونافع</w:t>
      </w:r>
      <w:r w:rsidRPr="00B07E03">
        <w:rPr>
          <w:rStyle w:val="ae"/>
          <w:color w:val="0D0D0D" w:themeColor="text1" w:themeTint="F2"/>
          <w:rtl/>
        </w:rPr>
        <w:t>(</w:t>
      </w:r>
      <w:r w:rsidRPr="00B07E03">
        <w:rPr>
          <w:rStyle w:val="ae"/>
          <w:color w:val="0D0D0D" w:themeColor="text1" w:themeTint="F2"/>
          <w:rtl/>
        </w:rPr>
        <w:footnoteReference w:id="281"/>
      </w:r>
      <w:r w:rsidRPr="00B07E03">
        <w:rPr>
          <w:rStyle w:val="ae"/>
          <w:color w:val="0D0D0D" w:themeColor="text1" w:themeTint="F2"/>
          <w:rtl/>
        </w:rPr>
        <w:t>)</w:t>
      </w:r>
      <w:r w:rsidRPr="00B07E03">
        <w:rPr>
          <w:rFonts w:ascii="Traditional Arabic" w:hAnsi="Traditional Arabic"/>
          <w:color w:val="0D0D0D" w:themeColor="text1" w:themeTint="F2"/>
          <w:rtl/>
          <w:lang w:eastAsia="en-US"/>
        </w:rPr>
        <w:t>، وأبو عمر</w:t>
      </w:r>
      <w:r w:rsidRPr="00B07E03">
        <w:rPr>
          <w:rStyle w:val="ae"/>
          <w:color w:val="0D0D0D" w:themeColor="text1" w:themeTint="F2"/>
          <w:rtl/>
        </w:rPr>
        <w:t>(</w:t>
      </w:r>
      <w:r w:rsidRPr="00B07E03">
        <w:rPr>
          <w:rStyle w:val="ae"/>
          <w:color w:val="0D0D0D" w:themeColor="text1" w:themeTint="F2"/>
          <w:rtl/>
        </w:rPr>
        <w:footnoteReference w:id="282"/>
      </w:r>
      <w:r w:rsidRPr="00B07E03">
        <w:rPr>
          <w:rStyle w:val="ae"/>
          <w:color w:val="0D0D0D" w:themeColor="text1" w:themeTint="F2"/>
          <w:rtl/>
        </w:rPr>
        <w:t>)</w:t>
      </w:r>
      <w:r w:rsidRPr="00B07E03">
        <w:rPr>
          <w:rFonts w:ascii="Traditional Arabic" w:hAnsi="Traditional Arabic"/>
          <w:color w:val="0D0D0D" w:themeColor="text1" w:themeTint="F2"/>
          <w:rtl/>
          <w:lang w:eastAsia="en-US"/>
        </w:rPr>
        <w:t xml:space="preserve">: </w:t>
      </w:r>
    </w:p>
    <w:p w:rsidR="009D2053" w:rsidRDefault="00A62777" w:rsidP="0020377E">
      <w:pPr>
        <w:widowControl/>
        <w:autoSpaceDE w:val="0"/>
        <w:autoSpaceDN w:val="0"/>
        <w:adjustRightInd w:val="0"/>
        <w:ind w:firstLine="0"/>
        <w:rPr>
          <w:rFonts w:ascii="Traditional Arabic" w:hAnsi="Traditional Arabic"/>
          <w:color w:val="0D0D0D" w:themeColor="text1" w:themeTint="F2"/>
          <w:rtl/>
          <w:lang w:eastAsia="en-US"/>
        </w:rPr>
      </w:pPr>
      <w:r>
        <w:rPr>
          <w:rFonts w:ascii="Traditional Arabic" w:hAnsi="Traditional Arabic" w:hint="cs"/>
          <w:color w:val="0D0D0D" w:themeColor="text1" w:themeTint="F2"/>
          <w:rtl/>
          <w:lang w:eastAsia="en-US"/>
        </w:rPr>
        <w:lastRenderedPageBreak/>
        <w:t>"</w:t>
      </w:r>
      <w:r w:rsidR="00AB6719" w:rsidRPr="00B07E03">
        <w:rPr>
          <w:rFonts w:ascii="Traditional Arabic" w:hAnsi="Traditional Arabic"/>
          <w:color w:val="0D0D0D" w:themeColor="text1" w:themeTint="F2"/>
          <w:rtl/>
          <w:lang w:eastAsia="en-US"/>
        </w:rPr>
        <w:t>أخرتني</w:t>
      </w:r>
      <w:r w:rsidR="00AB6719" w:rsidRPr="00B07E03">
        <w:rPr>
          <w:rFonts w:ascii="Traditional Arabic" w:hAnsi="Traditional Arabic" w:hint="cs"/>
          <w:color w:val="0D0D0D" w:themeColor="text1" w:themeTint="F2"/>
          <w:rtl/>
          <w:lang w:eastAsia="en-US"/>
        </w:rPr>
        <w:t>"</w:t>
      </w:r>
      <w:r w:rsidR="00AB6719" w:rsidRPr="00B07E03">
        <w:rPr>
          <w:rFonts w:ascii="Traditional Arabic" w:hAnsi="Traditional Arabic"/>
          <w:color w:val="0D0D0D" w:themeColor="text1" w:themeTint="F2"/>
          <w:rtl/>
          <w:lang w:eastAsia="en-US"/>
        </w:rPr>
        <w:t xml:space="preserve"> بياء في الوصل</w:t>
      </w:r>
      <w:r w:rsidR="00AB6719">
        <w:rPr>
          <w:rFonts w:ascii="Traditional Arabic" w:hAnsi="Traditional Arabic" w:hint="cs"/>
          <w:color w:val="0D0D0D" w:themeColor="text1" w:themeTint="F2"/>
          <w:rtl/>
          <w:lang w:eastAsia="en-US"/>
        </w:rPr>
        <w:t>،</w:t>
      </w:r>
      <w:r w:rsidR="00AB6719" w:rsidRPr="00B07E03">
        <w:rPr>
          <w:rFonts w:ascii="Traditional Arabic" w:hAnsi="Traditional Arabic"/>
          <w:color w:val="0D0D0D" w:themeColor="text1" w:themeTint="F2"/>
          <w:rtl/>
          <w:lang w:eastAsia="en-US"/>
        </w:rPr>
        <w:t xml:space="preserve"> ووقف ابن كثير بالياء</w:t>
      </w:r>
      <w:r w:rsidR="00AB6719">
        <w:rPr>
          <w:rFonts w:ascii="Traditional Arabic" w:hAnsi="Traditional Arabic" w:hint="cs"/>
          <w:color w:val="0D0D0D" w:themeColor="text1" w:themeTint="F2"/>
          <w:rtl/>
          <w:lang w:eastAsia="en-US"/>
        </w:rPr>
        <w:t xml:space="preserve">. </w:t>
      </w:r>
      <w:r w:rsidR="00AB6719" w:rsidRPr="00B07E03">
        <w:rPr>
          <w:rFonts w:ascii="Traditional Arabic" w:hAnsi="Traditional Arabic"/>
          <w:color w:val="0D0D0D" w:themeColor="text1" w:themeTint="F2"/>
          <w:rtl/>
          <w:lang w:eastAsia="en-US"/>
        </w:rPr>
        <w:t>وقرأ ابن عامر</w:t>
      </w:r>
      <w:r w:rsidR="00AB6719" w:rsidRPr="00B07E03">
        <w:rPr>
          <w:rStyle w:val="ae"/>
          <w:color w:val="0D0D0D" w:themeColor="text1" w:themeTint="F2"/>
          <w:rtl/>
        </w:rPr>
        <w:t>(</w:t>
      </w:r>
      <w:r w:rsidR="00AB6719" w:rsidRPr="00B07E03">
        <w:rPr>
          <w:rStyle w:val="ae"/>
          <w:color w:val="0D0D0D" w:themeColor="text1" w:themeTint="F2"/>
          <w:rtl/>
        </w:rPr>
        <w:footnoteReference w:id="283"/>
      </w:r>
      <w:r w:rsidR="00AB6719" w:rsidRPr="00B07E03">
        <w:rPr>
          <w:rStyle w:val="ae"/>
          <w:color w:val="0D0D0D" w:themeColor="text1" w:themeTint="F2"/>
          <w:rtl/>
        </w:rPr>
        <w:t>)</w:t>
      </w:r>
      <w:r w:rsidR="00AB6719" w:rsidRPr="00B07E03">
        <w:rPr>
          <w:rFonts w:ascii="Traditional Arabic" w:hAnsi="Traditional Arabic"/>
          <w:color w:val="0D0D0D" w:themeColor="text1" w:themeTint="F2"/>
          <w:rtl/>
          <w:lang w:eastAsia="en-US"/>
        </w:rPr>
        <w:t>، وعاصم</w:t>
      </w:r>
      <w:r w:rsidR="00AB6719" w:rsidRPr="00B07E03">
        <w:rPr>
          <w:rStyle w:val="ae"/>
          <w:color w:val="0D0D0D" w:themeColor="text1" w:themeTint="F2"/>
          <w:rtl/>
        </w:rPr>
        <w:t>(</w:t>
      </w:r>
      <w:r w:rsidR="00AB6719" w:rsidRPr="00B07E03">
        <w:rPr>
          <w:rStyle w:val="ae"/>
          <w:color w:val="0D0D0D" w:themeColor="text1" w:themeTint="F2"/>
          <w:rtl/>
        </w:rPr>
        <w:footnoteReference w:id="284"/>
      </w:r>
      <w:r w:rsidR="00AB6719" w:rsidRPr="00B07E03">
        <w:rPr>
          <w:rStyle w:val="ae"/>
          <w:color w:val="0D0D0D" w:themeColor="text1" w:themeTint="F2"/>
          <w:rtl/>
        </w:rPr>
        <w:t>)</w:t>
      </w:r>
      <w:r w:rsidR="00AB6719" w:rsidRPr="00B07E03">
        <w:rPr>
          <w:rFonts w:ascii="Traditional Arabic" w:hAnsi="Traditional Arabic"/>
          <w:color w:val="0D0D0D" w:themeColor="text1" w:themeTint="F2"/>
          <w:rtl/>
          <w:lang w:eastAsia="en-US"/>
        </w:rPr>
        <w:t>، وحمزة</w:t>
      </w:r>
      <w:r w:rsidR="00AB6719" w:rsidRPr="00B07E03">
        <w:rPr>
          <w:rStyle w:val="ae"/>
          <w:color w:val="0D0D0D" w:themeColor="text1" w:themeTint="F2"/>
          <w:rtl/>
        </w:rPr>
        <w:t>(</w:t>
      </w:r>
      <w:r w:rsidR="00AB6719" w:rsidRPr="00B07E03">
        <w:rPr>
          <w:rStyle w:val="ae"/>
          <w:color w:val="0D0D0D" w:themeColor="text1" w:themeTint="F2"/>
          <w:rtl/>
        </w:rPr>
        <w:footnoteReference w:id="285"/>
      </w:r>
      <w:r w:rsidR="00AB6719" w:rsidRPr="00B07E03">
        <w:rPr>
          <w:rStyle w:val="ae"/>
          <w:color w:val="0D0D0D" w:themeColor="text1" w:themeTint="F2"/>
          <w:rtl/>
        </w:rPr>
        <w:t>)</w:t>
      </w:r>
      <w:r w:rsidR="00AB6719" w:rsidRPr="00B07E03">
        <w:rPr>
          <w:rFonts w:ascii="Traditional Arabic" w:hAnsi="Traditional Arabic"/>
          <w:color w:val="0D0D0D" w:themeColor="text1" w:themeTint="F2"/>
          <w:rtl/>
          <w:lang w:eastAsia="en-US"/>
        </w:rPr>
        <w:t>،</w:t>
      </w:r>
      <w:r w:rsidR="0020377E">
        <w:rPr>
          <w:rFonts w:ascii="Traditional Arabic" w:hAnsi="Traditional Arabic" w:hint="cs"/>
          <w:color w:val="0D0D0D" w:themeColor="text1" w:themeTint="F2"/>
          <w:rtl/>
          <w:lang w:eastAsia="en-US"/>
        </w:rPr>
        <w:t xml:space="preserve"> </w:t>
      </w:r>
      <w:r w:rsidR="00AB6719" w:rsidRPr="00B07E03">
        <w:rPr>
          <w:rFonts w:ascii="Traditional Arabic" w:hAnsi="Traditional Arabic"/>
          <w:color w:val="0D0D0D" w:themeColor="text1" w:themeTint="F2"/>
          <w:rtl/>
          <w:lang w:eastAsia="en-US"/>
        </w:rPr>
        <w:t>والكسائي</w:t>
      </w:r>
      <w:r w:rsidR="00AB6719" w:rsidRPr="00B07E03">
        <w:rPr>
          <w:rStyle w:val="ae"/>
          <w:color w:val="0D0D0D" w:themeColor="text1" w:themeTint="F2"/>
          <w:rtl/>
        </w:rPr>
        <w:t>(</w:t>
      </w:r>
      <w:r w:rsidR="00AB6719" w:rsidRPr="00B07E03">
        <w:rPr>
          <w:rStyle w:val="ae"/>
          <w:color w:val="0D0D0D" w:themeColor="text1" w:themeTint="F2"/>
          <w:rtl/>
        </w:rPr>
        <w:footnoteReference w:id="286"/>
      </w:r>
      <w:r w:rsidR="00AB6719" w:rsidRPr="00B07E03">
        <w:rPr>
          <w:rStyle w:val="ae"/>
          <w:color w:val="0D0D0D" w:themeColor="text1" w:themeTint="F2"/>
          <w:rtl/>
        </w:rPr>
        <w:t>)</w:t>
      </w:r>
      <w:r w:rsidR="00AB6719" w:rsidRPr="00B07E03">
        <w:rPr>
          <w:rFonts w:ascii="Traditional Arabic" w:hAnsi="Traditional Arabic"/>
          <w:color w:val="0D0D0D" w:themeColor="text1" w:themeTint="F2"/>
          <w:rtl/>
          <w:lang w:eastAsia="en-US"/>
        </w:rPr>
        <w:t>بغير ياء في وصل ولا في</w:t>
      </w:r>
      <w:r w:rsidR="00AF4E80" w:rsidRPr="00AF4E80">
        <w:rPr>
          <w:rStyle w:val="ae"/>
          <w:rtl/>
        </w:rPr>
        <w:t>(</w:t>
      </w:r>
      <w:r w:rsidR="00AF4E80">
        <w:rPr>
          <w:rStyle w:val="ae"/>
          <w:rtl/>
        </w:rPr>
        <w:footnoteReference w:id="287"/>
      </w:r>
      <w:r w:rsidR="00AF4E80" w:rsidRPr="00AF4E80">
        <w:rPr>
          <w:rStyle w:val="ae"/>
          <w:rtl/>
        </w:rPr>
        <w:t>)</w:t>
      </w:r>
      <w:r w:rsidR="00AB6719" w:rsidRPr="00B07E03">
        <w:rPr>
          <w:rFonts w:ascii="Traditional Arabic" w:hAnsi="Traditional Arabic"/>
          <w:color w:val="0D0D0D" w:themeColor="text1" w:themeTint="F2"/>
          <w:rtl/>
          <w:lang w:eastAsia="en-US"/>
        </w:rPr>
        <w:t>وقف</w:t>
      </w:r>
      <w:r w:rsidR="00AB6719" w:rsidRPr="00B07E03">
        <w:rPr>
          <w:rStyle w:val="ae"/>
          <w:color w:val="0D0D0D" w:themeColor="text1" w:themeTint="F2"/>
          <w:rtl/>
        </w:rPr>
        <w:t>(</w:t>
      </w:r>
      <w:r w:rsidR="00AB6719" w:rsidRPr="00B07E03">
        <w:rPr>
          <w:rStyle w:val="ae"/>
          <w:color w:val="0D0D0D" w:themeColor="text1" w:themeTint="F2"/>
          <w:rtl/>
        </w:rPr>
        <w:footnoteReference w:id="288"/>
      </w:r>
      <w:r w:rsidR="00AB6719" w:rsidRPr="00B07E03">
        <w:rPr>
          <w:rStyle w:val="ae"/>
          <w:color w:val="0D0D0D" w:themeColor="text1" w:themeTint="F2"/>
          <w:rtl/>
        </w:rPr>
        <w:t>)</w:t>
      </w:r>
      <w:r w:rsidR="00AB6719" w:rsidRPr="00B07E03">
        <w:rPr>
          <w:rFonts w:ascii="Traditional Arabic" w:hAnsi="Traditional Arabic"/>
          <w:color w:val="0D0D0D" w:themeColor="text1" w:themeTint="F2"/>
          <w:rtl/>
          <w:lang w:eastAsia="en-US"/>
        </w:rPr>
        <w:t>.</w:t>
      </w:r>
    </w:p>
    <w:p w:rsidR="00387576" w:rsidRDefault="00AB6719" w:rsidP="0078212F">
      <w:pPr>
        <w:widowControl/>
        <w:autoSpaceDE w:val="0"/>
        <w:autoSpaceDN w:val="0"/>
        <w:adjustRightInd w:val="0"/>
        <w:ind w:firstLine="0"/>
        <w:rPr>
          <w:rFonts w:ascii="Traditional Arabic" w:hAnsi="Traditional Arabic"/>
          <w:color w:val="0D0D0D" w:themeColor="text1" w:themeTint="F2"/>
          <w:rtl/>
          <w:lang w:eastAsia="en-US"/>
        </w:rPr>
      </w:pPr>
      <w:r w:rsidRPr="00B07E03">
        <w:rPr>
          <w:rFonts w:ascii="Traditional Arabic" w:hAnsi="Traditional Arabic"/>
          <w:color w:val="0D0D0D" w:themeColor="text1" w:themeTint="F2"/>
          <w:rtl/>
          <w:lang w:eastAsia="en-US"/>
        </w:rPr>
        <w:t xml:space="preserve"> قوله </w:t>
      </w:r>
      <w:r w:rsidRPr="00B07E03">
        <w:rPr>
          <w:rFonts w:ascii="Traditional Arabic" w:hAnsi="Traditional Arabic" w:hint="cs"/>
          <w:color w:val="0D0D0D" w:themeColor="text1" w:themeTint="F2"/>
          <w:rtl/>
          <w:lang w:eastAsia="en-US"/>
        </w:rPr>
        <w:t>تعالى:</w:t>
      </w:r>
      <w:r w:rsidRPr="00B07E03">
        <w:rPr>
          <w:rFonts w:ascii="QCF_BSML" w:hAnsi="QCF_BSML" w:cs="QCF_BSML" w:hint="cs"/>
          <w:color w:val="0D0D0D" w:themeColor="text1" w:themeTint="F2"/>
          <w:sz w:val="32"/>
          <w:szCs w:val="32"/>
          <w:rtl/>
          <w:lang w:eastAsia="en-US"/>
        </w:rPr>
        <w:t xml:space="preserve"> </w:t>
      </w:r>
      <w:r>
        <w:rPr>
          <w:rFonts w:ascii="QCF_BSML" w:hAnsi="QCF_BSML" w:cs="QCF_BSML" w:hint="cs"/>
          <w:color w:val="0D0D0D" w:themeColor="text1" w:themeTint="F2"/>
          <w:sz w:val="28"/>
          <w:szCs w:val="28"/>
          <w:rtl/>
          <w:lang w:eastAsia="en-US"/>
        </w:rPr>
        <w:t xml:space="preserve"> </w:t>
      </w:r>
      <w:r w:rsidRPr="00F93733">
        <w:rPr>
          <w:rFonts w:ascii="QCF_BSML" w:hAnsi="QCF_BSML" w:cs="QCF_BSML"/>
          <w:color w:val="0D0D0D" w:themeColor="text1" w:themeTint="F2"/>
          <w:sz w:val="32"/>
          <w:szCs w:val="32"/>
          <w:rtl/>
          <w:lang w:eastAsia="en-US"/>
        </w:rPr>
        <w:t>ﭽ</w:t>
      </w:r>
      <w:r w:rsidRPr="00F93733">
        <w:rPr>
          <w:rFonts w:ascii="Traditional Arabic" w:hAnsi="Traditional Arabic"/>
          <w:color w:val="0D0D0D" w:themeColor="text1" w:themeTint="F2"/>
          <w:sz w:val="32"/>
          <w:szCs w:val="32"/>
          <w:rtl/>
          <w:lang w:eastAsia="en-US"/>
        </w:rPr>
        <w:t xml:space="preserve"> </w:t>
      </w:r>
      <w:r w:rsidRPr="00F93733">
        <w:rPr>
          <w:rFonts w:ascii="QCF_P288" w:hAnsi="QCF_P288" w:cs="QCF_P288"/>
          <w:color w:val="0D0D0D" w:themeColor="text1" w:themeTint="F2"/>
          <w:sz w:val="32"/>
          <w:szCs w:val="32"/>
          <w:rtl/>
          <w:lang w:eastAsia="en-US"/>
        </w:rPr>
        <w:t>ﮞ</w:t>
      </w:r>
      <w:r w:rsidR="009D2053">
        <w:rPr>
          <w:rFonts w:ascii="QCF_P288" w:hAnsi="QCF_P288" w:cs="QCF_P288" w:hint="cs"/>
          <w:color w:val="0D0D0D" w:themeColor="text1" w:themeTint="F2"/>
          <w:sz w:val="32"/>
          <w:szCs w:val="32"/>
          <w:rtl/>
          <w:lang w:eastAsia="en-US"/>
        </w:rPr>
        <w:t xml:space="preserve"> </w:t>
      </w:r>
      <w:r w:rsidRPr="00F93733">
        <w:rPr>
          <w:rFonts w:ascii="QCF_P288" w:hAnsi="QCF_P288" w:cs="QCF_P288"/>
          <w:color w:val="0D0D0D" w:themeColor="text1" w:themeTint="F2"/>
          <w:sz w:val="32"/>
          <w:szCs w:val="32"/>
          <w:rtl/>
          <w:lang w:eastAsia="en-US"/>
        </w:rPr>
        <w:t>ﮟ</w:t>
      </w:r>
      <w:r w:rsidRPr="00F93733">
        <w:rPr>
          <w:rFonts w:ascii="QCF_BSML" w:hAnsi="QCF_BSML" w:cs="QCF_BSML"/>
          <w:color w:val="0D0D0D" w:themeColor="text1" w:themeTint="F2"/>
          <w:sz w:val="32"/>
          <w:szCs w:val="32"/>
          <w:rtl/>
          <w:lang w:eastAsia="en-US"/>
        </w:rPr>
        <w:t>ﭼ</w:t>
      </w:r>
      <w:r w:rsidRPr="00B07E03">
        <w:rPr>
          <w:rFonts w:ascii="Traditional Arabic" w:hAnsi="Traditional Arabic" w:hint="cs"/>
          <w:color w:val="0D0D0D" w:themeColor="text1" w:themeTint="F2"/>
          <w:rtl/>
          <w:lang w:eastAsia="en-US"/>
        </w:rPr>
        <w:t xml:space="preserve"> </w:t>
      </w:r>
      <w:r w:rsidRPr="00B07E03">
        <w:rPr>
          <w:rFonts w:ascii="Traditional Arabic" w:hAnsi="Traditional Arabic"/>
          <w:color w:val="0D0D0D" w:themeColor="text1" w:themeTint="F2"/>
          <w:rtl/>
          <w:lang w:eastAsia="en-US"/>
        </w:rPr>
        <w:t>فيه ثلاثة أقوال</w:t>
      </w:r>
      <w:r w:rsidR="00A225B5">
        <w:rPr>
          <w:rFonts w:ascii="Traditional Arabic" w:hAnsi="Traditional Arabic" w:hint="cs"/>
          <w:color w:val="0D0D0D" w:themeColor="text1" w:themeTint="F2"/>
          <w:rtl/>
          <w:lang w:eastAsia="en-US"/>
        </w:rPr>
        <w:t>:</w:t>
      </w:r>
      <w:r w:rsidR="00C36615">
        <w:rPr>
          <w:rFonts w:ascii="Traditional Arabic" w:hAnsi="Traditional Arabic" w:hint="cs"/>
          <w:color w:val="0D0D0D" w:themeColor="text1" w:themeTint="F2"/>
          <w:rtl/>
          <w:lang w:eastAsia="en-US"/>
        </w:rPr>
        <w:t xml:space="preserve"> </w:t>
      </w:r>
      <w:r w:rsidR="00C36615" w:rsidRPr="00B07E03">
        <w:rPr>
          <w:rFonts w:ascii="Traditional Arabic" w:hAnsi="Traditional Arabic"/>
          <w:color w:val="0D0D0D" w:themeColor="text1" w:themeTint="F2"/>
          <w:rtl/>
          <w:lang w:eastAsia="en-US"/>
        </w:rPr>
        <w:t>أحدها: لأَستولِيَنَّ عليهم، قاله ابن عباس</w:t>
      </w:r>
      <w:r w:rsidR="00C36615" w:rsidRPr="00B07E03">
        <w:rPr>
          <w:rStyle w:val="ae"/>
          <w:color w:val="0D0D0D" w:themeColor="text1" w:themeTint="F2"/>
          <w:rtl/>
        </w:rPr>
        <w:t>(</w:t>
      </w:r>
      <w:r w:rsidR="00C36615" w:rsidRPr="00B07E03">
        <w:rPr>
          <w:rStyle w:val="ae"/>
          <w:color w:val="0D0D0D" w:themeColor="text1" w:themeTint="F2"/>
          <w:rtl/>
        </w:rPr>
        <w:footnoteReference w:id="289"/>
      </w:r>
      <w:r w:rsidR="00C36615" w:rsidRPr="00B07E03">
        <w:rPr>
          <w:rStyle w:val="ae"/>
          <w:color w:val="0D0D0D" w:themeColor="text1" w:themeTint="F2"/>
          <w:rtl/>
        </w:rPr>
        <w:t>)</w:t>
      </w:r>
      <w:r w:rsidR="00C36615" w:rsidRPr="00B07E03">
        <w:rPr>
          <w:rFonts w:ascii="Traditional Arabic" w:hAnsi="Traditional Arabic"/>
          <w:color w:val="0D0D0D" w:themeColor="text1" w:themeTint="F2"/>
          <w:rtl/>
          <w:lang w:eastAsia="en-US"/>
        </w:rPr>
        <w:t>، والفراء</w:t>
      </w:r>
      <w:r w:rsidR="00C36615" w:rsidRPr="00B07E03">
        <w:rPr>
          <w:rStyle w:val="ae"/>
          <w:color w:val="0D0D0D" w:themeColor="text1" w:themeTint="F2"/>
          <w:rtl/>
        </w:rPr>
        <w:t>(</w:t>
      </w:r>
      <w:r w:rsidR="00C36615" w:rsidRPr="00B07E03">
        <w:rPr>
          <w:rStyle w:val="ae"/>
          <w:color w:val="0D0D0D" w:themeColor="text1" w:themeTint="F2"/>
          <w:rtl/>
        </w:rPr>
        <w:footnoteReference w:id="290"/>
      </w:r>
      <w:r w:rsidR="00C36615" w:rsidRPr="00B07E03">
        <w:rPr>
          <w:rStyle w:val="ae"/>
          <w:color w:val="0D0D0D" w:themeColor="text1" w:themeTint="F2"/>
          <w:rtl/>
        </w:rPr>
        <w:t>)</w:t>
      </w:r>
      <w:r w:rsidR="009D205E" w:rsidRPr="009D205E">
        <w:rPr>
          <w:rStyle w:val="ae"/>
          <w:rtl/>
        </w:rPr>
        <w:t>(</w:t>
      </w:r>
      <w:r w:rsidR="009D205E">
        <w:rPr>
          <w:rStyle w:val="ae"/>
          <w:rtl/>
        </w:rPr>
        <w:footnoteReference w:id="291"/>
      </w:r>
      <w:r w:rsidR="009D205E" w:rsidRPr="009D205E">
        <w:rPr>
          <w:rStyle w:val="ae"/>
          <w:rtl/>
        </w:rPr>
        <w:t>)</w:t>
      </w:r>
      <w:r w:rsidR="00627B8D">
        <w:rPr>
          <w:rFonts w:ascii="Traditional Arabic" w:hAnsi="Traditional Arabic"/>
          <w:color w:val="0D0D0D" w:themeColor="text1" w:themeTint="F2"/>
          <w:rtl/>
          <w:lang w:eastAsia="en-US"/>
        </w:rPr>
        <w:t>.والثاني: لأُضِلَّنَّهم، قاله</w:t>
      </w:r>
      <w:r w:rsidR="00627B8D">
        <w:rPr>
          <w:rFonts w:ascii="Traditional Arabic" w:hAnsi="Traditional Arabic" w:hint="cs"/>
          <w:color w:val="0D0D0D" w:themeColor="text1" w:themeTint="F2"/>
          <w:rtl/>
          <w:lang w:eastAsia="en-US"/>
        </w:rPr>
        <w:t xml:space="preserve"> </w:t>
      </w:r>
      <w:r w:rsidR="00C36615" w:rsidRPr="00B07E03">
        <w:rPr>
          <w:rFonts w:ascii="Traditional Arabic" w:hAnsi="Traditional Arabic"/>
          <w:color w:val="0D0D0D" w:themeColor="text1" w:themeTint="F2"/>
          <w:rtl/>
          <w:lang w:eastAsia="en-US"/>
        </w:rPr>
        <w:t>ابن زيد</w:t>
      </w:r>
      <w:r w:rsidR="00C36615" w:rsidRPr="00B07E03">
        <w:rPr>
          <w:rStyle w:val="ae"/>
          <w:color w:val="0D0D0D" w:themeColor="text1" w:themeTint="F2"/>
          <w:rtl/>
        </w:rPr>
        <w:t>(</w:t>
      </w:r>
      <w:r w:rsidR="00C36615" w:rsidRPr="00B07E03">
        <w:rPr>
          <w:rStyle w:val="ae"/>
          <w:color w:val="0D0D0D" w:themeColor="text1" w:themeTint="F2"/>
          <w:rtl/>
        </w:rPr>
        <w:footnoteReference w:id="292"/>
      </w:r>
      <w:r w:rsidR="00C36615" w:rsidRPr="00B07E03">
        <w:rPr>
          <w:rStyle w:val="ae"/>
          <w:color w:val="0D0D0D" w:themeColor="text1" w:themeTint="F2"/>
          <w:rtl/>
        </w:rPr>
        <w:t>)</w:t>
      </w:r>
      <w:r w:rsidR="00C36615" w:rsidRPr="00B07E03">
        <w:rPr>
          <w:rFonts w:ascii="Traditional Arabic" w:hAnsi="Traditional Arabic"/>
          <w:color w:val="0D0D0D" w:themeColor="text1" w:themeTint="F2"/>
          <w:rtl/>
          <w:lang w:eastAsia="en-US"/>
        </w:rPr>
        <w:t>. والثالث: لأَستأصلنَّهم</w:t>
      </w:r>
      <w:r w:rsidR="00A225B5">
        <w:rPr>
          <w:rFonts w:ascii="Traditional Arabic" w:hAnsi="Traditional Arabic" w:hint="cs"/>
          <w:color w:val="0D0D0D" w:themeColor="text1" w:themeTint="F2"/>
          <w:rtl/>
          <w:lang w:eastAsia="en-US"/>
        </w:rPr>
        <w:t>,</w:t>
      </w:r>
      <w:r w:rsidR="00C36615" w:rsidRPr="00B07E03">
        <w:rPr>
          <w:rFonts w:ascii="Traditional Arabic" w:hAnsi="Traditional Arabic"/>
          <w:color w:val="0D0D0D" w:themeColor="text1" w:themeTint="F2"/>
          <w:rtl/>
          <w:lang w:eastAsia="en-US"/>
        </w:rPr>
        <w:t xml:space="preserve"> يقال: احْتَنَكَ الجرادُ ما على الأرض: إِذا أكله</w:t>
      </w:r>
      <w:r w:rsidR="00A225B5">
        <w:rPr>
          <w:rFonts w:ascii="Traditional Arabic" w:hAnsi="Traditional Arabic" w:hint="cs"/>
          <w:color w:val="0D0D0D" w:themeColor="text1" w:themeTint="F2"/>
          <w:rtl/>
          <w:lang w:eastAsia="en-US"/>
        </w:rPr>
        <w:t>,</w:t>
      </w:r>
      <w:r w:rsidR="00C36615" w:rsidRPr="00B07E03">
        <w:rPr>
          <w:rFonts w:ascii="Traditional Arabic" w:hAnsi="Traditional Arabic"/>
          <w:color w:val="0D0D0D" w:themeColor="text1" w:themeTint="F2"/>
          <w:rtl/>
          <w:lang w:eastAsia="en-US"/>
        </w:rPr>
        <w:t xml:space="preserve"> واحْتَنَكَ فلانٌ ما عند فلان من العلم: إذا استقصاه، فالمعنى: لأقودنّهم كيف شئت،</w:t>
      </w:r>
      <w:r w:rsidR="00C36615" w:rsidRPr="00B07E03">
        <w:rPr>
          <w:rFonts w:ascii="Traditional Arabic" w:hAnsi="Traditional Arabic" w:hint="cs"/>
          <w:color w:val="0D0D0D" w:themeColor="text1" w:themeTint="F2"/>
          <w:rtl/>
          <w:lang w:eastAsia="en-US"/>
        </w:rPr>
        <w:t xml:space="preserve"> </w:t>
      </w:r>
      <w:r w:rsidR="00C36615" w:rsidRPr="00B07E03">
        <w:rPr>
          <w:rFonts w:ascii="Traditional Arabic" w:hAnsi="Traditional Arabic"/>
          <w:color w:val="0D0D0D" w:themeColor="text1" w:themeTint="F2"/>
          <w:rtl/>
          <w:lang w:eastAsia="en-US"/>
        </w:rPr>
        <w:t>هذا قول ابن قتيبة</w:t>
      </w:r>
      <w:r w:rsidR="00C36615" w:rsidRPr="00B07E03">
        <w:rPr>
          <w:rStyle w:val="ae"/>
          <w:color w:val="0D0D0D" w:themeColor="text1" w:themeTint="F2"/>
          <w:rtl/>
        </w:rPr>
        <w:t>(</w:t>
      </w:r>
      <w:r w:rsidR="00C36615" w:rsidRPr="00B07E03">
        <w:rPr>
          <w:rStyle w:val="ae"/>
          <w:color w:val="0D0D0D" w:themeColor="text1" w:themeTint="F2"/>
          <w:rtl/>
        </w:rPr>
        <w:footnoteReference w:id="293"/>
      </w:r>
      <w:r w:rsidR="00C36615" w:rsidRPr="00B07E03">
        <w:rPr>
          <w:rStyle w:val="ae"/>
          <w:color w:val="0D0D0D" w:themeColor="text1" w:themeTint="F2"/>
          <w:rtl/>
        </w:rPr>
        <w:t>)</w:t>
      </w:r>
      <w:r w:rsidR="00C36615" w:rsidRPr="00B07E03">
        <w:rPr>
          <w:rFonts w:ascii="Traditional Arabic" w:hAnsi="Traditional Arabic"/>
          <w:color w:val="0D0D0D" w:themeColor="text1" w:themeTint="F2"/>
          <w:rtl/>
          <w:lang w:eastAsia="en-US"/>
        </w:rPr>
        <w:t>. فإن قيل: من أين عَلِمَ الغيب</w:t>
      </w:r>
      <w:r w:rsidR="009B202E">
        <w:rPr>
          <w:rFonts w:ascii="Traditional Arabic" w:hAnsi="Traditional Arabic" w:hint="cs"/>
          <w:color w:val="0D0D0D" w:themeColor="text1" w:themeTint="F2"/>
          <w:rtl/>
          <w:lang w:eastAsia="en-US"/>
        </w:rPr>
        <w:t>؟</w:t>
      </w:r>
      <w:r w:rsidR="00C36615" w:rsidRPr="00B07E03">
        <w:rPr>
          <w:rFonts w:ascii="Traditional Arabic" w:hAnsi="Traditional Arabic"/>
          <w:color w:val="0D0D0D" w:themeColor="text1" w:themeTint="F2"/>
          <w:rtl/>
          <w:lang w:eastAsia="en-US"/>
        </w:rPr>
        <w:t xml:space="preserve"> فقد </w:t>
      </w:r>
      <w:r w:rsidR="00C36615" w:rsidRPr="00B07E03">
        <w:rPr>
          <w:rFonts w:ascii="Traditional Arabic" w:hAnsi="Traditional Arabic"/>
          <w:color w:val="0D0D0D" w:themeColor="text1" w:themeTint="F2"/>
          <w:rtl/>
          <w:lang w:eastAsia="en-US"/>
        </w:rPr>
        <w:lastRenderedPageBreak/>
        <w:t>أجبنا عنه في سورة النساء</w:t>
      </w:r>
      <w:r w:rsidR="00C36615" w:rsidRPr="00B07E03">
        <w:rPr>
          <w:rStyle w:val="ae"/>
          <w:color w:val="0D0D0D" w:themeColor="text1" w:themeTint="F2"/>
          <w:rtl/>
        </w:rPr>
        <w:t>(</w:t>
      </w:r>
      <w:r w:rsidR="00C36615" w:rsidRPr="00B07E03">
        <w:rPr>
          <w:rStyle w:val="ae"/>
          <w:color w:val="0D0D0D" w:themeColor="text1" w:themeTint="F2"/>
          <w:rtl/>
        </w:rPr>
        <w:footnoteReference w:id="294"/>
      </w:r>
      <w:r w:rsidR="00C36615" w:rsidRPr="00B07E03">
        <w:rPr>
          <w:rStyle w:val="ae"/>
          <w:color w:val="0D0D0D" w:themeColor="text1" w:themeTint="F2"/>
          <w:rtl/>
        </w:rPr>
        <w:t>)</w:t>
      </w:r>
      <w:r w:rsidR="00C36615" w:rsidRPr="00B07E03">
        <w:rPr>
          <w:rFonts w:ascii="Traditional Arabic" w:hAnsi="Traditional Arabic"/>
          <w:color w:val="0D0D0D" w:themeColor="text1" w:themeTint="F2"/>
          <w:rtl/>
          <w:lang w:eastAsia="en-US"/>
        </w:rPr>
        <w:t xml:space="preserve">. قوله تعالى: </w:t>
      </w:r>
      <w:r w:rsidR="00C36615" w:rsidRPr="009D205E">
        <w:rPr>
          <w:rFonts w:ascii="QCF_BSML" w:hAnsi="QCF_BSML" w:cs="QCF_BSML"/>
          <w:color w:val="0D0D0D" w:themeColor="text1" w:themeTint="F2"/>
          <w:sz w:val="32"/>
          <w:szCs w:val="32"/>
          <w:rtl/>
          <w:lang w:eastAsia="en-US"/>
        </w:rPr>
        <w:t>ﭽ</w:t>
      </w:r>
      <w:r w:rsidR="00C36615" w:rsidRPr="009D205E">
        <w:rPr>
          <w:rFonts w:ascii="QCF_P288" w:hAnsi="QCF_P288" w:cs="QCF_P288"/>
          <w:color w:val="0D0D0D" w:themeColor="text1" w:themeTint="F2"/>
          <w:sz w:val="32"/>
          <w:szCs w:val="32"/>
          <w:rtl/>
          <w:lang w:eastAsia="en-US"/>
        </w:rPr>
        <w:t xml:space="preserve"> ﮠ ﮡ</w:t>
      </w:r>
      <w:r w:rsidR="00C36615" w:rsidRPr="009D205E">
        <w:rPr>
          <w:rFonts w:ascii="QCF_BSML" w:hAnsi="QCF_BSML" w:cs="QCF_BSML"/>
          <w:color w:val="0D0D0D" w:themeColor="text1" w:themeTint="F2"/>
          <w:sz w:val="32"/>
          <w:szCs w:val="32"/>
          <w:rtl/>
          <w:lang w:eastAsia="en-US"/>
        </w:rPr>
        <w:t>ﭼ</w:t>
      </w:r>
      <w:r w:rsidR="008474CB">
        <w:rPr>
          <w:rFonts w:ascii="QCF_BSML" w:hAnsi="QCF_BSML" w:cs="QCF_BSML" w:hint="cs"/>
          <w:color w:val="0D0D0D" w:themeColor="text1" w:themeTint="F2"/>
          <w:sz w:val="32"/>
          <w:szCs w:val="32"/>
          <w:rtl/>
          <w:lang w:eastAsia="en-US"/>
        </w:rPr>
        <w:t xml:space="preserve"> </w:t>
      </w:r>
      <w:r w:rsidR="001277AD" w:rsidRPr="001277AD">
        <w:rPr>
          <w:rFonts w:hint="cs"/>
          <w:color w:val="0D0D0D" w:themeColor="text1" w:themeTint="F2"/>
          <w:sz w:val="32"/>
          <w:szCs w:val="32"/>
          <w:rtl/>
        </w:rPr>
        <w:t>[75]</w:t>
      </w:r>
      <w:r w:rsidR="00C36615" w:rsidRPr="001277AD">
        <w:rPr>
          <w:rFonts w:ascii="Traditional Arabic" w:hAnsi="Traditional Arabic"/>
          <w:color w:val="0D0D0D" w:themeColor="text1" w:themeTint="F2"/>
          <w:sz w:val="32"/>
          <w:szCs w:val="32"/>
          <w:rtl/>
          <w:lang w:eastAsia="en-US"/>
        </w:rPr>
        <w:t xml:space="preserve"> </w:t>
      </w:r>
      <w:r w:rsidR="00C36615" w:rsidRPr="00B07E03">
        <w:rPr>
          <w:rFonts w:ascii="Traditional Arabic" w:hAnsi="Traditional Arabic"/>
          <w:color w:val="0D0D0D" w:themeColor="text1" w:themeTint="F2"/>
          <w:rtl/>
          <w:lang w:eastAsia="en-US"/>
        </w:rPr>
        <w:t>قال ابن عباس: هم أولياء الله الذي عصمهم</w:t>
      </w:r>
      <w:r w:rsidR="00C36615" w:rsidRPr="00B07E03">
        <w:rPr>
          <w:rStyle w:val="ae"/>
          <w:color w:val="0D0D0D" w:themeColor="text1" w:themeTint="F2"/>
          <w:rtl/>
        </w:rPr>
        <w:t>(</w:t>
      </w:r>
      <w:r w:rsidR="00C36615" w:rsidRPr="00B07E03">
        <w:rPr>
          <w:rStyle w:val="ae"/>
          <w:color w:val="0D0D0D" w:themeColor="text1" w:themeTint="F2"/>
          <w:rtl/>
        </w:rPr>
        <w:footnoteReference w:id="295"/>
      </w:r>
      <w:r w:rsidR="00C36615" w:rsidRPr="00B07E03">
        <w:rPr>
          <w:rStyle w:val="ae"/>
          <w:color w:val="0D0D0D" w:themeColor="text1" w:themeTint="F2"/>
          <w:rtl/>
        </w:rPr>
        <w:t>)</w:t>
      </w:r>
      <w:r w:rsidR="00C36615" w:rsidRPr="00B07E03">
        <w:rPr>
          <w:rFonts w:ascii="Traditional Arabic" w:hAnsi="Traditional Arabic"/>
          <w:color w:val="0D0D0D" w:themeColor="text1" w:themeTint="F2"/>
          <w:rtl/>
          <w:lang w:eastAsia="en-US"/>
        </w:rPr>
        <w:t xml:space="preserve">. قوله تعالى: </w:t>
      </w:r>
      <w:r w:rsidR="00C36615" w:rsidRPr="009D205E">
        <w:rPr>
          <w:rFonts w:ascii="QCF_BSML" w:hAnsi="QCF_BSML" w:cs="QCF_BSML"/>
          <w:color w:val="0D0D0D" w:themeColor="text1" w:themeTint="F2"/>
          <w:sz w:val="32"/>
          <w:szCs w:val="32"/>
          <w:rtl/>
          <w:lang w:eastAsia="en-US"/>
        </w:rPr>
        <w:t>ﭽ</w:t>
      </w:r>
      <w:r w:rsidR="00C36615" w:rsidRPr="009D205E">
        <w:rPr>
          <w:rFonts w:ascii="QCF_P288" w:hAnsi="QCF_P288" w:cs="QCF_P288"/>
          <w:color w:val="0D0D0D" w:themeColor="text1" w:themeTint="F2"/>
          <w:sz w:val="32"/>
          <w:szCs w:val="32"/>
          <w:rtl/>
          <w:lang w:eastAsia="en-US"/>
        </w:rPr>
        <w:t>ﮣ  ﮤ</w:t>
      </w:r>
      <w:r w:rsidR="00C36615" w:rsidRPr="009D205E">
        <w:rPr>
          <w:rFonts w:ascii="QCF_BSML" w:hAnsi="QCF_BSML" w:cs="QCF_BSML"/>
          <w:color w:val="0D0D0D" w:themeColor="text1" w:themeTint="F2"/>
          <w:sz w:val="32"/>
          <w:szCs w:val="32"/>
          <w:rtl/>
          <w:lang w:eastAsia="en-US"/>
        </w:rPr>
        <w:t>ﭼ</w:t>
      </w:r>
      <w:r w:rsidR="00C36615" w:rsidRPr="00B07E03">
        <w:rPr>
          <w:rFonts w:ascii="Traditional Arabic" w:hAnsi="Traditional Arabic"/>
          <w:color w:val="0D0D0D" w:themeColor="text1" w:themeTint="F2"/>
          <w:sz w:val="32"/>
          <w:szCs w:val="32"/>
          <w:rtl/>
          <w:lang w:eastAsia="en-US"/>
        </w:rPr>
        <w:t xml:space="preserve"> </w:t>
      </w:r>
      <w:r w:rsidR="00C36615" w:rsidRPr="00B07E03">
        <w:rPr>
          <w:rFonts w:ascii="Traditional Arabic" w:hAnsi="Traditional Arabic"/>
          <w:color w:val="0D0D0D" w:themeColor="text1" w:themeTint="F2"/>
          <w:rtl/>
          <w:lang w:eastAsia="en-US"/>
        </w:rPr>
        <w:t>هذا اللفظ يتضمن</w:t>
      </w:r>
      <w:r w:rsidR="00B02E84">
        <w:rPr>
          <w:rFonts w:ascii="Traditional Arabic" w:hAnsi="Traditional Arabic" w:hint="cs"/>
          <w:color w:val="0D0D0D" w:themeColor="text1" w:themeTint="F2"/>
          <w:rtl/>
          <w:lang w:eastAsia="en-US"/>
        </w:rPr>
        <w:t xml:space="preserve"> [</w:t>
      </w:r>
      <w:r w:rsidR="00AF4E80">
        <w:rPr>
          <w:rFonts w:ascii="Traditional Arabic" w:hAnsi="Traditional Arabic" w:hint="cs"/>
          <w:color w:val="0D0D0D" w:themeColor="text1" w:themeTint="F2"/>
          <w:rtl/>
          <w:lang w:eastAsia="en-US"/>
        </w:rPr>
        <w:t>معنى</w:t>
      </w:r>
      <w:r w:rsidR="0078212F" w:rsidRPr="00AF4E80">
        <w:rPr>
          <w:rStyle w:val="ae"/>
          <w:rtl/>
        </w:rPr>
        <w:t xml:space="preserve"> </w:t>
      </w:r>
      <w:r w:rsidR="00C36615" w:rsidRPr="00B07E03">
        <w:rPr>
          <w:rFonts w:ascii="Traditional Arabic" w:hAnsi="Traditional Arabic"/>
          <w:color w:val="0D0D0D" w:themeColor="text1" w:themeTint="F2"/>
          <w:rtl/>
          <w:lang w:eastAsia="en-US"/>
        </w:rPr>
        <w:t xml:space="preserve">إِنظاره </w:t>
      </w:r>
      <w:r w:rsidR="00C36615" w:rsidRPr="009D205E">
        <w:rPr>
          <w:rFonts w:ascii="QCF_BSML" w:hAnsi="QCF_BSML" w:cs="QCF_BSML"/>
          <w:color w:val="0D0D0D" w:themeColor="text1" w:themeTint="F2"/>
          <w:sz w:val="32"/>
          <w:szCs w:val="32"/>
          <w:rtl/>
          <w:lang w:eastAsia="en-US"/>
        </w:rPr>
        <w:t>ﭽ</w:t>
      </w:r>
      <w:r w:rsidR="00C36615" w:rsidRPr="009D205E">
        <w:rPr>
          <w:rFonts w:ascii="QCF_P288" w:hAnsi="QCF_P288" w:cs="QCF_P288"/>
          <w:color w:val="0D0D0D" w:themeColor="text1" w:themeTint="F2"/>
          <w:sz w:val="32"/>
          <w:szCs w:val="32"/>
          <w:rtl/>
          <w:lang w:eastAsia="en-US"/>
        </w:rPr>
        <w:t>ﮥ  ﮦ</w:t>
      </w:r>
      <w:r w:rsidR="00C36615" w:rsidRPr="009D205E">
        <w:rPr>
          <w:rFonts w:ascii="QCF_BSML" w:hAnsi="QCF_BSML" w:cs="QCF_BSML"/>
          <w:color w:val="0D0D0D" w:themeColor="text1" w:themeTint="F2"/>
          <w:sz w:val="32"/>
          <w:szCs w:val="32"/>
          <w:rtl/>
          <w:lang w:eastAsia="en-US"/>
        </w:rPr>
        <w:t>ﭼ</w:t>
      </w:r>
      <w:r w:rsidR="00C36615" w:rsidRPr="00B07E03">
        <w:rPr>
          <w:rFonts w:ascii="Traditional Arabic" w:hAnsi="Traditional Arabic"/>
          <w:color w:val="0D0D0D" w:themeColor="text1" w:themeTint="F2"/>
          <w:rtl/>
          <w:lang w:eastAsia="en-US"/>
        </w:rPr>
        <w:t xml:space="preserve"> أي: تبع أمرك منهم، يعني: ذرية آدم</w:t>
      </w:r>
      <w:r w:rsidR="0078212F">
        <w:rPr>
          <w:rFonts w:ascii="Traditional Arabic" w:hAnsi="Traditional Arabic" w:hint="cs"/>
          <w:color w:val="0D0D0D" w:themeColor="text1" w:themeTint="F2"/>
          <w:rtl/>
          <w:lang w:eastAsia="en-US"/>
        </w:rPr>
        <w:t>]</w:t>
      </w:r>
      <w:r w:rsidR="0078212F" w:rsidRPr="0078212F">
        <w:rPr>
          <w:rStyle w:val="ae"/>
          <w:rtl/>
        </w:rPr>
        <w:t>(</w:t>
      </w:r>
      <w:r w:rsidR="0078212F">
        <w:rPr>
          <w:rStyle w:val="ae"/>
          <w:rtl/>
        </w:rPr>
        <w:footnoteReference w:id="296"/>
      </w:r>
      <w:r w:rsidR="0078212F" w:rsidRPr="0078212F">
        <w:rPr>
          <w:rStyle w:val="ae"/>
          <w:rtl/>
        </w:rPr>
        <w:t>)</w:t>
      </w:r>
      <w:r w:rsidR="00C36615" w:rsidRPr="00B07E03">
        <w:rPr>
          <w:rFonts w:ascii="Traditional Arabic" w:hAnsi="Traditional Arabic"/>
          <w:color w:val="0D0D0D" w:themeColor="text1" w:themeTint="F2"/>
          <w:rtl/>
          <w:lang w:eastAsia="en-US"/>
        </w:rPr>
        <w:t>. والموفور: الموفَّر</w:t>
      </w:r>
      <w:r w:rsidR="00C36615">
        <w:rPr>
          <w:rFonts w:ascii="Traditional Arabic" w:hAnsi="Traditional Arabic" w:hint="cs"/>
          <w:color w:val="0D0D0D" w:themeColor="text1" w:themeTint="F2"/>
          <w:rtl/>
          <w:lang w:eastAsia="en-US"/>
        </w:rPr>
        <w:t>،</w:t>
      </w:r>
      <w:r w:rsidR="00C36615" w:rsidRPr="00B07E03">
        <w:rPr>
          <w:rFonts w:ascii="Traditional Arabic" w:hAnsi="Traditional Arabic"/>
          <w:color w:val="0D0D0D" w:themeColor="text1" w:themeTint="F2"/>
          <w:rtl/>
          <w:lang w:eastAsia="en-US"/>
        </w:rPr>
        <w:t xml:space="preserve"> قال ابن قتيبة:</w:t>
      </w:r>
      <w:r w:rsidR="00C36615" w:rsidRPr="00B07E03">
        <w:rPr>
          <w:rFonts w:ascii="Traditional Arabic" w:hAnsi="Traditional Arabic" w:hint="cs"/>
          <w:color w:val="0D0D0D" w:themeColor="text1" w:themeTint="F2"/>
          <w:rtl/>
          <w:lang w:eastAsia="en-US"/>
        </w:rPr>
        <w:t xml:space="preserve"> </w:t>
      </w:r>
      <w:r w:rsidR="00C36615" w:rsidRPr="00B07E03">
        <w:rPr>
          <w:rFonts w:ascii="Traditional Arabic" w:hAnsi="Traditional Arabic"/>
          <w:color w:val="0D0D0D" w:themeColor="text1" w:themeTint="F2"/>
          <w:rtl/>
          <w:lang w:eastAsia="en-US"/>
        </w:rPr>
        <w:t>يقال: وفَّرْتُ ماله عليه، ووَفَرْتُه، بالتخفيف والتشديد</w:t>
      </w:r>
      <w:r w:rsidR="00C36615" w:rsidRPr="00B07E03">
        <w:rPr>
          <w:rStyle w:val="ae"/>
          <w:color w:val="0D0D0D" w:themeColor="text1" w:themeTint="F2"/>
          <w:rtl/>
        </w:rPr>
        <w:t>(</w:t>
      </w:r>
      <w:r w:rsidR="00C36615" w:rsidRPr="00B07E03">
        <w:rPr>
          <w:rStyle w:val="ae"/>
          <w:color w:val="0D0D0D" w:themeColor="text1" w:themeTint="F2"/>
          <w:rtl/>
        </w:rPr>
        <w:footnoteReference w:id="297"/>
      </w:r>
      <w:r w:rsidR="00C36615" w:rsidRPr="00B07E03">
        <w:rPr>
          <w:rStyle w:val="ae"/>
          <w:color w:val="0D0D0D" w:themeColor="text1" w:themeTint="F2"/>
          <w:rtl/>
        </w:rPr>
        <w:t>)</w:t>
      </w:r>
      <w:r w:rsidR="00C36615" w:rsidRPr="00B07E03">
        <w:rPr>
          <w:rFonts w:ascii="Traditional Arabic" w:hAnsi="Traditional Arabic"/>
          <w:color w:val="0D0D0D" w:themeColor="text1" w:themeTint="F2"/>
          <w:rtl/>
          <w:lang w:eastAsia="en-US"/>
        </w:rPr>
        <w:t>.</w:t>
      </w:r>
      <w:r w:rsidR="00C36615">
        <w:rPr>
          <w:rFonts w:ascii="Traditional Arabic" w:hAnsi="Traditional Arabic" w:hint="cs"/>
          <w:color w:val="0D0D0D" w:themeColor="text1" w:themeTint="F2"/>
          <w:rtl/>
          <w:lang w:eastAsia="en-US"/>
        </w:rPr>
        <w:t xml:space="preserve"> </w:t>
      </w:r>
      <w:r w:rsidR="00C36615" w:rsidRPr="00B07E03">
        <w:rPr>
          <w:rFonts w:ascii="Traditional Arabic" w:hAnsi="Traditional Arabic"/>
          <w:color w:val="0D0D0D" w:themeColor="text1" w:themeTint="F2"/>
          <w:rtl/>
          <w:lang w:eastAsia="en-US"/>
        </w:rPr>
        <w:t xml:space="preserve">قوله تعالى: </w:t>
      </w:r>
      <w:r w:rsidR="00C36615" w:rsidRPr="009D205E">
        <w:rPr>
          <w:rFonts w:ascii="QCF_BSML" w:hAnsi="QCF_BSML" w:cs="QCF_BSML"/>
          <w:color w:val="0D0D0D" w:themeColor="text1" w:themeTint="F2"/>
          <w:sz w:val="32"/>
          <w:szCs w:val="32"/>
          <w:rtl/>
          <w:lang w:eastAsia="en-US"/>
        </w:rPr>
        <w:t>ﭽ</w:t>
      </w:r>
      <w:r w:rsidR="00C36615" w:rsidRPr="009D205E">
        <w:rPr>
          <w:rFonts w:ascii="QCF_P288" w:hAnsi="QCF_P288" w:cs="QCF_P288"/>
          <w:color w:val="0D0D0D" w:themeColor="text1" w:themeTint="F2"/>
          <w:sz w:val="32"/>
          <w:szCs w:val="32"/>
          <w:rtl/>
          <w:lang w:eastAsia="en-US"/>
        </w:rPr>
        <w:t>ﮮ ﮯ  ﮰ  ﮱ</w:t>
      </w:r>
      <w:r w:rsidR="00C36615" w:rsidRPr="009D205E">
        <w:rPr>
          <w:rFonts w:ascii="QCF_BSML" w:hAnsi="QCF_BSML" w:cs="QCF_BSML"/>
          <w:color w:val="0D0D0D" w:themeColor="text1" w:themeTint="F2"/>
          <w:sz w:val="32"/>
          <w:szCs w:val="32"/>
          <w:rtl/>
          <w:lang w:eastAsia="en-US"/>
        </w:rPr>
        <w:t>ﭼ</w:t>
      </w:r>
      <w:r w:rsidR="00C36615" w:rsidRPr="00B07E03">
        <w:rPr>
          <w:rFonts w:ascii="Traditional Arabic" w:hAnsi="Traditional Arabic"/>
          <w:color w:val="0D0D0D" w:themeColor="text1" w:themeTint="F2"/>
          <w:rtl/>
          <w:lang w:eastAsia="en-US"/>
        </w:rPr>
        <w:t xml:space="preserve"> قال ابن قتيبة: اسْتَخِفَّ، ومنه تقول: استَفَزَّني فلان</w:t>
      </w:r>
      <w:r w:rsidR="00C36615" w:rsidRPr="00B07E03">
        <w:rPr>
          <w:rStyle w:val="ae"/>
          <w:color w:val="0D0D0D" w:themeColor="text1" w:themeTint="F2"/>
          <w:rtl/>
        </w:rPr>
        <w:t>(</w:t>
      </w:r>
      <w:r w:rsidR="00C36615" w:rsidRPr="00B07E03">
        <w:rPr>
          <w:rStyle w:val="ae"/>
          <w:color w:val="0D0D0D" w:themeColor="text1" w:themeTint="F2"/>
          <w:rtl/>
        </w:rPr>
        <w:footnoteReference w:id="298"/>
      </w:r>
      <w:r w:rsidR="00C36615" w:rsidRPr="00B07E03">
        <w:rPr>
          <w:rStyle w:val="ae"/>
          <w:color w:val="0D0D0D" w:themeColor="text1" w:themeTint="F2"/>
          <w:rtl/>
        </w:rPr>
        <w:t>)</w:t>
      </w:r>
      <w:r w:rsidR="00C36615" w:rsidRPr="00B07E03">
        <w:rPr>
          <w:rFonts w:ascii="Traditional Arabic" w:hAnsi="Traditional Arabic" w:hint="cs"/>
          <w:color w:val="0D0D0D" w:themeColor="text1" w:themeTint="F2"/>
          <w:rtl/>
          <w:lang w:eastAsia="en-US"/>
        </w:rPr>
        <w:t xml:space="preserve">. </w:t>
      </w:r>
      <w:r w:rsidR="00C36615" w:rsidRPr="00B07E03">
        <w:rPr>
          <w:rFonts w:ascii="Traditional Arabic" w:hAnsi="Traditional Arabic"/>
          <w:color w:val="0D0D0D" w:themeColor="text1" w:themeTint="F2"/>
          <w:rtl/>
          <w:lang w:eastAsia="en-US"/>
        </w:rPr>
        <w:t>وفي المراد بصوته قولان: أحدهما: أنه كل داعٍ دعا إِلى معصية الله، قاله</w:t>
      </w:r>
      <w:r w:rsidR="00C36615" w:rsidRPr="00B07E03">
        <w:rPr>
          <w:rFonts w:ascii="Traditional Arabic" w:hAnsi="Traditional Arabic" w:hint="cs"/>
          <w:color w:val="0D0D0D" w:themeColor="text1" w:themeTint="F2"/>
          <w:rtl/>
          <w:lang w:eastAsia="en-US"/>
        </w:rPr>
        <w:t xml:space="preserve"> </w:t>
      </w:r>
      <w:r w:rsidR="00C36615" w:rsidRPr="00B07E03">
        <w:rPr>
          <w:rFonts w:ascii="Traditional Arabic" w:hAnsi="Traditional Arabic"/>
          <w:color w:val="0D0D0D" w:themeColor="text1" w:themeTint="F2"/>
          <w:rtl/>
          <w:lang w:eastAsia="en-US"/>
        </w:rPr>
        <w:t>ابن عباس</w:t>
      </w:r>
      <w:r w:rsidR="00C36615" w:rsidRPr="00B07E03">
        <w:rPr>
          <w:rStyle w:val="ae"/>
          <w:color w:val="0D0D0D" w:themeColor="text1" w:themeTint="F2"/>
          <w:rtl/>
        </w:rPr>
        <w:t>(</w:t>
      </w:r>
      <w:r w:rsidR="00C36615" w:rsidRPr="00B07E03">
        <w:rPr>
          <w:rStyle w:val="ae"/>
          <w:color w:val="0D0D0D" w:themeColor="text1" w:themeTint="F2"/>
          <w:rtl/>
        </w:rPr>
        <w:footnoteReference w:id="299"/>
      </w:r>
      <w:r w:rsidR="00C36615" w:rsidRPr="00B07E03">
        <w:rPr>
          <w:rStyle w:val="ae"/>
          <w:color w:val="0D0D0D" w:themeColor="text1" w:themeTint="F2"/>
          <w:rtl/>
        </w:rPr>
        <w:t>)</w:t>
      </w:r>
      <w:r w:rsidR="00C36615" w:rsidRPr="00B07E03">
        <w:rPr>
          <w:rFonts w:ascii="Traditional Arabic" w:hAnsi="Traditional Arabic"/>
          <w:color w:val="0D0D0D" w:themeColor="text1" w:themeTint="F2"/>
          <w:rtl/>
          <w:lang w:eastAsia="en-US"/>
        </w:rPr>
        <w:t>. والثاني: أنه الغناء والمزامير، قاله مجاهد</w:t>
      </w:r>
      <w:r w:rsidR="00C36615" w:rsidRPr="00B07E03">
        <w:rPr>
          <w:rStyle w:val="ae"/>
          <w:color w:val="0D0D0D" w:themeColor="text1" w:themeTint="F2"/>
          <w:rtl/>
        </w:rPr>
        <w:t>(</w:t>
      </w:r>
      <w:r w:rsidR="00C36615" w:rsidRPr="00B07E03">
        <w:rPr>
          <w:rStyle w:val="ae"/>
          <w:color w:val="0D0D0D" w:themeColor="text1" w:themeTint="F2"/>
          <w:rtl/>
        </w:rPr>
        <w:footnoteReference w:id="300"/>
      </w:r>
      <w:r w:rsidR="00C36615" w:rsidRPr="00B07E03">
        <w:rPr>
          <w:rStyle w:val="ae"/>
          <w:color w:val="0D0D0D" w:themeColor="text1" w:themeTint="F2"/>
          <w:rtl/>
        </w:rPr>
        <w:t>)</w:t>
      </w:r>
      <w:r w:rsidR="00C36615" w:rsidRPr="00B07E03">
        <w:rPr>
          <w:rFonts w:ascii="Traditional Arabic" w:hAnsi="Traditional Arabic"/>
          <w:color w:val="0D0D0D" w:themeColor="text1" w:themeTint="F2"/>
          <w:rtl/>
          <w:lang w:eastAsia="en-US"/>
        </w:rPr>
        <w:t>.</w:t>
      </w:r>
      <w:r w:rsidR="00C36615">
        <w:rPr>
          <w:rFonts w:ascii="Traditional Arabic" w:hAnsi="Traditional Arabic" w:hint="cs"/>
          <w:color w:val="0D0D0D" w:themeColor="text1" w:themeTint="F2"/>
          <w:rtl/>
          <w:lang w:eastAsia="en-US"/>
        </w:rPr>
        <w:t xml:space="preserve"> </w:t>
      </w:r>
    </w:p>
    <w:p w:rsidR="009504FD" w:rsidRDefault="00C36615" w:rsidP="00EF0855">
      <w:pPr>
        <w:widowControl/>
        <w:autoSpaceDE w:val="0"/>
        <w:autoSpaceDN w:val="0"/>
        <w:adjustRightInd w:val="0"/>
        <w:ind w:firstLine="0"/>
        <w:rPr>
          <w:rFonts w:ascii="Traditional Arabic" w:hAnsi="Traditional Arabic"/>
          <w:color w:val="0D0D0D" w:themeColor="text1" w:themeTint="F2"/>
          <w:rtl/>
          <w:lang w:eastAsia="en-US"/>
        </w:rPr>
      </w:pPr>
      <w:r w:rsidRPr="00B07E03">
        <w:rPr>
          <w:rFonts w:ascii="Traditional Arabic" w:hAnsi="Traditional Arabic"/>
          <w:color w:val="0D0D0D" w:themeColor="text1" w:themeTint="F2"/>
          <w:rtl/>
          <w:lang w:eastAsia="en-US"/>
        </w:rPr>
        <w:t>قوله تعالى</w:t>
      </w:r>
      <w:r w:rsidRPr="004A5F92">
        <w:rPr>
          <w:rFonts w:ascii="Traditional Arabic" w:hAnsi="Traditional Arabic"/>
          <w:color w:val="0D0D0D" w:themeColor="text1" w:themeTint="F2"/>
          <w:sz w:val="28"/>
          <w:szCs w:val="28"/>
          <w:rtl/>
          <w:lang w:eastAsia="en-US"/>
        </w:rPr>
        <w:t>:</w:t>
      </w:r>
      <w:r w:rsidRPr="004A5F92">
        <w:rPr>
          <w:rFonts w:ascii="QCF_BSML" w:hAnsi="QCF_BSML" w:cs="QCF_BSML"/>
          <w:color w:val="0D0D0D" w:themeColor="text1" w:themeTint="F2"/>
          <w:sz w:val="28"/>
          <w:szCs w:val="28"/>
          <w:rtl/>
          <w:lang w:eastAsia="en-US"/>
        </w:rPr>
        <w:t xml:space="preserve"> </w:t>
      </w:r>
      <w:r w:rsidRPr="009D205E">
        <w:rPr>
          <w:rFonts w:ascii="QCF_BSML" w:hAnsi="QCF_BSML" w:cs="QCF_BSML"/>
          <w:color w:val="0D0D0D" w:themeColor="text1" w:themeTint="F2"/>
          <w:sz w:val="32"/>
          <w:szCs w:val="32"/>
          <w:rtl/>
          <w:lang w:eastAsia="en-US"/>
        </w:rPr>
        <w:t>ﭽ</w:t>
      </w:r>
      <w:r w:rsidRPr="009D205E">
        <w:rPr>
          <w:rFonts w:ascii="QCF_P288" w:hAnsi="QCF_P288" w:cs="QCF_P288"/>
          <w:color w:val="0D0D0D" w:themeColor="text1" w:themeTint="F2"/>
          <w:sz w:val="32"/>
          <w:szCs w:val="32"/>
          <w:rtl/>
          <w:lang w:eastAsia="en-US"/>
        </w:rPr>
        <w:t>ﯔ  ﯕ  ﯖ  ﯗ</w:t>
      </w:r>
      <w:r w:rsidRPr="009D205E">
        <w:rPr>
          <w:rFonts w:ascii="QCF_BSML" w:hAnsi="QCF_BSML" w:cs="QCF_BSML"/>
          <w:color w:val="0D0D0D" w:themeColor="text1" w:themeTint="F2"/>
          <w:sz w:val="32"/>
          <w:szCs w:val="32"/>
          <w:rtl/>
          <w:lang w:eastAsia="en-US"/>
        </w:rPr>
        <w:t>ﭼ</w:t>
      </w:r>
      <w:r w:rsidRPr="009D205E">
        <w:rPr>
          <w:rFonts w:ascii="Traditional Arabic" w:hAnsi="Traditional Arabic"/>
          <w:color w:val="0D0D0D" w:themeColor="text1" w:themeTint="F2"/>
          <w:sz w:val="32"/>
          <w:szCs w:val="32"/>
          <w:rtl/>
          <w:lang w:eastAsia="en-US"/>
        </w:rPr>
        <w:t xml:space="preserve"> </w:t>
      </w:r>
      <w:r w:rsidRPr="00B07E03">
        <w:rPr>
          <w:rFonts w:ascii="Traditional Arabic" w:hAnsi="Traditional Arabic"/>
          <w:color w:val="0D0D0D" w:themeColor="text1" w:themeTint="F2"/>
          <w:rtl/>
          <w:lang w:eastAsia="en-US"/>
        </w:rPr>
        <w:t>أي:</w:t>
      </w:r>
      <w:r>
        <w:rPr>
          <w:rFonts w:ascii="Traditional Arabic" w:hAnsi="Traditional Arabic" w:hint="cs"/>
          <w:color w:val="0D0D0D" w:themeColor="text1" w:themeTint="F2"/>
          <w:rtl/>
          <w:lang w:eastAsia="en-US"/>
        </w:rPr>
        <w:t xml:space="preserve"> </w:t>
      </w:r>
      <w:r w:rsidRPr="00B07E03">
        <w:rPr>
          <w:rFonts w:ascii="Traditional Arabic" w:hAnsi="Traditional Arabic"/>
          <w:color w:val="0D0D0D" w:themeColor="text1" w:themeTint="F2"/>
          <w:rtl/>
          <w:lang w:eastAsia="en-US"/>
        </w:rPr>
        <w:t xml:space="preserve">صِح </w:t>
      </w:r>
      <w:r w:rsidRPr="009D205E">
        <w:rPr>
          <w:rFonts w:ascii="QCF_BSML" w:hAnsi="QCF_BSML" w:cs="QCF_BSML"/>
          <w:color w:val="0D0D0D" w:themeColor="text1" w:themeTint="F2"/>
          <w:sz w:val="32"/>
          <w:szCs w:val="32"/>
          <w:rtl/>
          <w:lang w:eastAsia="en-US"/>
        </w:rPr>
        <w:t>ﭽ</w:t>
      </w:r>
      <w:r w:rsidRPr="009D205E">
        <w:rPr>
          <w:rFonts w:ascii="QCF_P288" w:hAnsi="QCF_P288" w:cs="QCF_P288"/>
          <w:color w:val="0D0D0D" w:themeColor="text1" w:themeTint="F2"/>
          <w:sz w:val="32"/>
          <w:szCs w:val="32"/>
          <w:rtl/>
          <w:lang w:eastAsia="en-US"/>
        </w:rPr>
        <w:t>ﯖ  ﯗ</w:t>
      </w:r>
      <w:r w:rsidRPr="009D205E">
        <w:rPr>
          <w:rFonts w:ascii="QCF_BSML" w:hAnsi="QCF_BSML" w:cs="QCF_BSML"/>
          <w:color w:val="0D0D0D" w:themeColor="text1" w:themeTint="F2"/>
          <w:sz w:val="32"/>
          <w:szCs w:val="32"/>
          <w:rtl/>
          <w:lang w:eastAsia="en-US"/>
        </w:rPr>
        <w:t>ﭼ</w:t>
      </w:r>
      <w:r w:rsidRPr="009D205E">
        <w:rPr>
          <w:rFonts w:ascii="QCF_BSML" w:hAnsi="QCF_BSML" w:cs="QCF_BSML" w:hint="cs"/>
          <w:color w:val="0D0D0D" w:themeColor="text1" w:themeTint="F2"/>
          <w:sz w:val="32"/>
          <w:szCs w:val="32"/>
          <w:rtl/>
          <w:lang w:eastAsia="en-US"/>
        </w:rPr>
        <w:t xml:space="preserve"> </w:t>
      </w:r>
      <w:r w:rsidR="002B2BBB">
        <w:rPr>
          <w:rFonts w:ascii="Traditional Arabic" w:hAnsi="Traditional Arabic" w:hint="cs"/>
          <w:color w:val="0D0D0D" w:themeColor="text1" w:themeTint="F2"/>
          <w:rtl/>
          <w:lang w:eastAsia="en-US"/>
        </w:rPr>
        <w:t xml:space="preserve"> </w:t>
      </w:r>
      <w:r w:rsidRPr="00B07E03">
        <w:rPr>
          <w:rFonts w:ascii="Traditional Arabic" w:hAnsi="Traditional Arabic"/>
          <w:color w:val="0D0D0D" w:themeColor="text1" w:themeTint="F2"/>
          <w:rtl/>
          <w:lang w:eastAsia="en-US"/>
        </w:rPr>
        <w:t>واحثثهم عليهم بالإِغراء</w:t>
      </w:r>
      <w:r w:rsidR="00A225B5">
        <w:rPr>
          <w:rFonts w:ascii="Traditional Arabic" w:hAnsi="Traditional Arabic" w:hint="cs"/>
          <w:color w:val="0D0D0D" w:themeColor="text1" w:themeTint="F2"/>
          <w:rtl/>
          <w:lang w:eastAsia="en-US"/>
        </w:rPr>
        <w:t>,</w:t>
      </w:r>
      <w:r w:rsidRPr="00B07E03">
        <w:rPr>
          <w:rFonts w:ascii="Traditional Arabic" w:hAnsi="Traditional Arabic"/>
          <w:color w:val="0D0D0D" w:themeColor="text1" w:themeTint="F2"/>
          <w:rtl/>
          <w:lang w:eastAsia="en-US"/>
        </w:rPr>
        <w:t xml:space="preserve"> يقال:</w:t>
      </w:r>
      <w:r w:rsidRPr="00B07E03">
        <w:rPr>
          <w:rFonts w:ascii="Traditional Arabic" w:hAnsi="Traditional Arabic" w:hint="cs"/>
          <w:color w:val="0D0D0D" w:themeColor="text1" w:themeTint="F2"/>
          <w:rtl/>
          <w:lang w:eastAsia="en-US"/>
        </w:rPr>
        <w:t xml:space="preserve"> </w:t>
      </w:r>
      <w:r w:rsidRPr="00B07E03">
        <w:rPr>
          <w:rFonts w:ascii="Traditional Arabic" w:hAnsi="Traditional Arabic"/>
          <w:color w:val="0D0D0D" w:themeColor="text1" w:themeTint="F2"/>
          <w:rtl/>
          <w:lang w:eastAsia="en-US"/>
        </w:rPr>
        <w:t>أجلبَ القوم وجلَّبوا: إِذا صاحوا. وقال الزجاج: المعنى: اجمع عليهم كل ما تقدر عليه</w:t>
      </w:r>
      <w:r w:rsidR="00AF4E80" w:rsidRPr="00AF4E80">
        <w:rPr>
          <w:rStyle w:val="ae"/>
          <w:rtl/>
        </w:rPr>
        <w:t>(</w:t>
      </w:r>
      <w:r w:rsidR="00AF4E80">
        <w:rPr>
          <w:rStyle w:val="ae"/>
          <w:rtl/>
        </w:rPr>
        <w:footnoteReference w:id="301"/>
      </w:r>
      <w:r w:rsidR="00AF4E80" w:rsidRPr="00AF4E80">
        <w:rPr>
          <w:rStyle w:val="ae"/>
          <w:rtl/>
        </w:rPr>
        <w:t>)</w:t>
      </w:r>
      <w:r w:rsidRPr="00B07E03">
        <w:rPr>
          <w:rFonts w:ascii="Traditional Arabic" w:hAnsi="Traditional Arabic"/>
          <w:color w:val="0D0D0D" w:themeColor="text1" w:themeTint="F2"/>
          <w:rtl/>
          <w:lang w:eastAsia="en-US"/>
        </w:rPr>
        <w:t>من مكايدك</w:t>
      </w:r>
      <w:r w:rsidRPr="00B07E03">
        <w:rPr>
          <w:rStyle w:val="ae"/>
          <w:color w:val="0D0D0D" w:themeColor="text1" w:themeTint="F2"/>
          <w:rtl/>
        </w:rPr>
        <w:t>(</w:t>
      </w:r>
      <w:r w:rsidRPr="00B07E03">
        <w:rPr>
          <w:rStyle w:val="ae"/>
          <w:color w:val="0D0D0D" w:themeColor="text1" w:themeTint="F2"/>
          <w:rtl/>
        </w:rPr>
        <w:footnoteReference w:id="302"/>
      </w:r>
      <w:r w:rsidRPr="00B07E03">
        <w:rPr>
          <w:rStyle w:val="ae"/>
          <w:color w:val="0D0D0D" w:themeColor="text1" w:themeTint="F2"/>
          <w:rtl/>
        </w:rPr>
        <w:t>)</w:t>
      </w:r>
      <w:r w:rsidRPr="00B07E03">
        <w:rPr>
          <w:rFonts w:hint="cs"/>
          <w:color w:val="0D0D0D" w:themeColor="text1" w:themeTint="F2"/>
          <w:rtl/>
        </w:rPr>
        <w:t>؛</w:t>
      </w:r>
      <w:r w:rsidRPr="00B07E03">
        <w:rPr>
          <w:rFonts w:ascii="Traditional Arabic" w:hAnsi="Traditional Arabic"/>
          <w:color w:val="0D0D0D" w:themeColor="text1" w:themeTint="F2"/>
          <w:rtl/>
          <w:lang w:eastAsia="en-US"/>
        </w:rPr>
        <w:t xml:space="preserve"> فعلى هذا تكون الباء زائدة. قال ابن قتيبة: والرَّجْلُ: الرَّجَّالة يقال</w:t>
      </w:r>
      <w:r>
        <w:rPr>
          <w:rFonts w:ascii="Traditional Arabic" w:hAnsi="Traditional Arabic" w:hint="cs"/>
          <w:color w:val="0D0D0D" w:themeColor="text1" w:themeTint="F2"/>
          <w:rtl/>
          <w:lang w:eastAsia="en-US"/>
        </w:rPr>
        <w:t>:</w:t>
      </w:r>
      <w:r w:rsidRPr="00B07E03">
        <w:rPr>
          <w:rFonts w:ascii="Traditional Arabic" w:hAnsi="Traditional Arabic"/>
          <w:color w:val="0D0D0D" w:themeColor="text1" w:themeTint="F2"/>
          <w:rtl/>
          <w:lang w:eastAsia="en-US"/>
        </w:rPr>
        <w:t xml:space="preserve"> رَاجِلٌ ورَجْل، مثل تاجر وتَجْر، وصاحِب وصَحْب</w:t>
      </w:r>
      <w:r w:rsidRPr="00B07E03">
        <w:rPr>
          <w:rStyle w:val="ae"/>
          <w:color w:val="0D0D0D" w:themeColor="text1" w:themeTint="F2"/>
          <w:rtl/>
        </w:rPr>
        <w:t>(</w:t>
      </w:r>
      <w:r w:rsidRPr="00B07E03">
        <w:rPr>
          <w:rStyle w:val="ae"/>
          <w:color w:val="0D0D0D" w:themeColor="text1" w:themeTint="F2"/>
          <w:rtl/>
        </w:rPr>
        <w:footnoteReference w:id="303"/>
      </w:r>
      <w:r w:rsidRPr="00B07E03">
        <w:rPr>
          <w:rStyle w:val="ae"/>
          <w:color w:val="0D0D0D" w:themeColor="text1" w:themeTint="F2"/>
          <w:rtl/>
        </w:rPr>
        <w:t>)</w:t>
      </w:r>
      <w:r w:rsidRPr="00B07E03">
        <w:rPr>
          <w:rFonts w:ascii="Traditional Arabic" w:hAnsi="Traditional Arabic"/>
          <w:color w:val="0D0D0D" w:themeColor="text1" w:themeTint="F2"/>
          <w:rtl/>
          <w:lang w:eastAsia="en-US"/>
        </w:rPr>
        <w:t>.</w:t>
      </w:r>
      <w:r>
        <w:rPr>
          <w:rFonts w:ascii="Traditional Arabic" w:hAnsi="Traditional Arabic" w:hint="cs"/>
          <w:color w:val="0D0D0D" w:themeColor="text1" w:themeTint="F2"/>
          <w:rtl/>
          <w:lang w:eastAsia="en-US"/>
        </w:rPr>
        <w:t xml:space="preserve"> </w:t>
      </w:r>
      <w:r w:rsidRPr="00B07E03">
        <w:rPr>
          <w:rFonts w:ascii="Traditional Arabic" w:hAnsi="Traditional Arabic"/>
          <w:color w:val="0D0D0D" w:themeColor="text1" w:themeTint="F2"/>
          <w:rtl/>
          <w:lang w:eastAsia="en-US"/>
        </w:rPr>
        <w:t>قال ابن عباس: كلّ خيل تسير في معصية الله، وكلّ رَجُل يسير في معصية الله</w:t>
      </w:r>
      <w:r w:rsidRPr="00B07E03">
        <w:rPr>
          <w:rStyle w:val="ae"/>
          <w:color w:val="0D0D0D" w:themeColor="text1" w:themeTint="F2"/>
          <w:rtl/>
        </w:rPr>
        <w:t>(</w:t>
      </w:r>
      <w:r w:rsidRPr="00B07E03">
        <w:rPr>
          <w:rStyle w:val="ae"/>
          <w:color w:val="0D0D0D" w:themeColor="text1" w:themeTint="F2"/>
          <w:rtl/>
        </w:rPr>
        <w:footnoteReference w:id="304"/>
      </w:r>
      <w:r w:rsidRPr="00B07E03">
        <w:rPr>
          <w:rStyle w:val="ae"/>
          <w:color w:val="0D0D0D" w:themeColor="text1" w:themeTint="F2"/>
          <w:rtl/>
        </w:rPr>
        <w:t>)</w:t>
      </w:r>
      <w:r w:rsidRPr="00B07E03">
        <w:rPr>
          <w:rFonts w:ascii="Traditional Arabic" w:hAnsi="Traditional Arabic"/>
          <w:color w:val="0D0D0D" w:themeColor="text1" w:themeTint="F2"/>
          <w:rtl/>
          <w:lang w:eastAsia="en-US"/>
        </w:rPr>
        <w:t>.</w:t>
      </w:r>
      <w:r w:rsidRPr="00B07E03">
        <w:rPr>
          <w:rFonts w:ascii="Traditional Arabic" w:hAnsi="Traditional Arabic" w:hint="cs"/>
          <w:color w:val="0D0D0D" w:themeColor="text1" w:themeTint="F2"/>
          <w:rtl/>
          <w:lang w:eastAsia="en-US"/>
        </w:rPr>
        <w:t xml:space="preserve"> </w:t>
      </w:r>
      <w:r w:rsidRPr="00B07E03">
        <w:rPr>
          <w:rFonts w:ascii="Traditional Arabic" w:hAnsi="Traditional Arabic"/>
          <w:color w:val="0D0D0D" w:themeColor="text1" w:themeTint="F2"/>
          <w:rtl/>
          <w:lang w:eastAsia="en-US"/>
        </w:rPr>
        <w:t>وقال قتادة: إِن له خيلاً ورَجْلاً من الجن والإِنس</w:t>
      </w:r>
      <w:r w:rsidRPr="00B07E03">
        <w:rPr>
          <w:rStyle w:val="ae"/>
          <w:color w:val="0D0D0D" w:themeColor="text1" w:themeTint="F2"/>
          <w:rtl/>
        </w:rPr>
        <w:t>(</w:t>
      </w:r>
      <w:r w:rsidRPr="00B07E03">
        <w:rPr>
          <w:rStyle w:val="ae"/>
          <w:color w:val="0D0D0D" w:themeColor="text1" w:themeTint="F2"/>
          <w:rtl/>
        </w:rPr>
        <w:footnoteReference w:id="305"/>
      </w:r>
      <w:r w:rsidRPr="00B07E03">
        <w:rPr>
          <w:rStyle w:val="ae"/>
          <w:color w:val="0D0D0D" w:themeColor="text1" w:themeTint="F2"/>
          <w:rtl/>
        </w:rPr>
        <w:t>)</w:t>
      </w:r>
      <w:r w:rsidRPr="00B07E03">
        <w:rPr>
          <w:rFonts w:ascii="Traditional Arabic" w:hAnsi="Traditional Arabic"/>
          <w:color w:val="0D0D0D" w:themeColor="text1" w:themeTint="F2"/>
          <w:rtl/>
          <w:lang w:eastAsia="en-US"/>
        </w:rPr>
        <w:t>.</w:t>
      </w:r>
      <w:r>
        <w:rPr>
          <w:rFonts w:ascii="Traditional Arabic" w:hAnsi="Traditional Arabic" w:hint="cs"/>
          <w:color w:val="0D0D0D" w:themeColor="text1" w:themeTint="F2"/>
          <w:rtl/>
          <w:lang w:eastAsia="en-US"/>
        </w:rPr>
        <w:t xml:space="preserve"> </w:t>
      </w:r>
    </w:p>
    <w:p w:rsidR="009B202E" w:rsidRDefault="00C36615" w:rsidP="003C4A6B">
      <w:pPr>
        <w:widowControl/>
        <w:autoSpaceDE w:val="0"/>
        <w:autoSpaceDN w:val="0"/>
        <w:adjustRightInd w:val="0"/>
        <w:ind w:firstLine="0"/>
        <w:rPr>
          <w:rFonts w:ascii="Traditional Arabic" w:hAnsi="Traditional Arabic"/>
          <w:color w:val="0D0D0D" w:themeColor="text1" w:themeTint="F2"/>
          <w:rtl/>
          <w:lang w:eastAsia="en-US"/>
        </w:rPr>
      </w:pPr>
      <w:r w:rsidRPr="00B07E03">
        <w:rPr>
          <w:rFonts w:ascii="Traditional Arabic" w:hAnsi="Traditional Arabic"/>
          <w:color w:val="0D0D0D" w:themeColor="text1" w:themeTint="F2"/>
          <w:rtl/>
          <w:lang w:eastAsia="en-US"/>
        </w:rPr>
        <w:lastRenderedPageBreak/>
        <w:t>وروى حفص</w:t>
      </w:r>
      <w:r w:rsidRPr="00B07E03">
        <w:rPr>
          <w:rStyle w:val="ae"/>
          <w:color w:val="0D0D0D" w:themeColor="text1" w:themeTint="F2"/>
          <w:rtl/>
        </w:rPr>
        <w:t>(</w:t>
      </w:r>
      <w:r w:rsidRPr="00B07E03">
        <w:rPr>
          <w:rStyle w:val="ae"/>
          <w:color w:val="0D0D0D" w:themeColor="text1" w:themeTint="F2"/>
          <w:rtl/>
        </w:rPr>
        <w:footnoteReference w:id="306"/>
      </w:r>
      <w:r w:rsidRPr="00B07E03">
        <w:rPr>
          <w:rStyle w:val="ae"/>
          <w:color w:val="0D0D0D" w:themeColor="text1" w:themeTint="F2"/>
          <w:rtl/>
        </w:rPr>
        <w:t>)</w:t>
      </w:r>
      <w:r w:rsidRPr="00B07E03">
        <w:rPr>
          <w:rFonts w:ascii="Traditional Arabic" w:hAnsi="Traditional Arabic"/>
          <w:color w:val="0D0D0D" w:themeColor="text1" w:themeTint="F2"/>
          <w:rtl/>
          <w:lang w:eastAsia="en-US"/>
        </w:rPr>
        <w:t xml:space="preserve">عن عاصم: </w:t>
      </w:r>
      <w:r w:rsidRPr="009D205E">
        <w:rPr>
          <w:rFonts w:ascii="QCF_BSML" w:hAnsi="QCF_BSML" w:cs="QCF_BSML"/>
          <w:color w:val="0D0D0D" w:themeColor="text1" w:themeTint="F2"/>
          <w:sz w:val="32"/>
          <w:szCs w:val="32"/>
          <w:rtl/>
          <w:lang w:eastAsia="en-US"/>
        </w:rPr>
        <w:t>ﭽ</w:t>
      </w:r>
      <w:r w:rsidRPr="009D205E">
        <w:rPr>
          <w:rFonts w:ascii="Traditional Arabic" w:hAnsi="Traditional Arabic"/>
          <w:color w:val="0D0D0D" w:themeColor="text1" w:themeTint="F2"/>
          <w:sz w:val="32"/>
          <w:szCs w:val="32"/>
          <w:rtl/>
          <w:lang w:eastAsia="en-US"/>
        </w:rPr>
        <w:t xml:space="preserve"> بخيلك ورَجِلِكَ</w:t>
      </w:r>
      <w:r w:rsidRPr="009D205E">
        <w:rPr>
          <w:rFonts w:ascii="QCF_BSML" w:hAnsi="QCF_BSML" w:cs="QCF_BSML"/>
          <w:color w:val="0D0D0D" w:themeColor="text1" w:themeTint="F2"/>
          <w:sz w:val="32"/>
          <w:szCs w:val="32"/>
          <w:rtl/>
          <w:lang w:eastAsia="en-US"/>
        </w:rPr>
        <w:t>ﭼ</w:t>
      </w:r>
      <w:r w:rsidRPr="009D205E">
        <w:rPr>
          <w:rFonts w:ascii="Traditional Arabic" w:hAnsi="Traditional Arabic"/>
          <w:color w:val="0D0D0D" w:themeColor="text1" w:themeTint="F2"/>
          <w:sz w:val="32"/>
          <w:szCs w:val="32"/>
          <w:rtl/>
          <w:lang w:eastAsia="en-US"/>
        </w:rPr>
        <w:t xml:space="preserve"> </w:t>
      </w:r>
      <w:r w:rsidRPr="00B07E03">
        <w:rPr>
          <w:rFonts w:ascii="Traditional Arabic" w:hAnsi="Traditional Arabic"/>
          <w:color w:val="0D0D0D" w:themeColor="text1" w:themeTint="F2"/>
          <w:rtl/>
          <w:lang w:eastAsia="en-US"/>
        </w:rPr>
        <w:t>بكسر الجيم</w:t>
      </w:r>
      <w:r w:rsidRPr="00B07E03">
        <w:rPr>
          <w:rStyle w:val="ae"/>
          <w:color w:val="0D0D0D" w:themeColor="text1" w:themeTint="F2"/>
          <w:rtl/>
        </w:rPr>
        <w:t>(</w:t>
      </w:r>
      <w:r w:rsidRPr="00B07E03">
        <w:rPr>
          <w:rStyle w:val="ae"/>
          <w:color w:val="0D0D0D" w:themeColor="text1" w:themeTint="F2"/>
          <w:rtl/>
        </w:rPr>
        <w:footnoteReference w:id="307"/>
      </w:r>
      <w:r w:rsidRPr="00B07E03">
        <w:rPr>
          <w:rStyle w:val="ae"/>
          <w:color w:val="0D0D0D" w:themeColor="text1" w:themeTint="F2"/>
          <w:rtl/>
        </w:rPr>
        <w:t>)</w:t>
      </w:r>
      <w:r w:rsidRPr="00B07E03">
        <w:rPr>
          <w:rFonts w:ascii="Traditional Arabic" w:hAnsi="Traditional Arabic"/>
          <w:color w:val="0D0D0D" w:themeColor="text1" w:themeTint="F2"/>
          <w:rtl/>
          <w:lang w:eastAsia="en-US"/>
        </w:rPr>
        <w:t xml:space="preserve">، وهي قراءة ابن </w:t>
      </w:r>
      <w:r w:rsidR="009B202E">
        <w:rPr>
          <w:rFonts w:ascii="Traditional Arabic" w:hAnsi="Traditional Arabic" w:hint="cs"/>
          <w:color w:val="0D0D0D" w:themeColor="text1" w:themeTint="F2"/>
          <w:rtl/>
          <w:lang w:eastAsia="en-US"/>
        </w:rPr>
        <w:t xml:space="preserve"> </w:t>
      </w:r>
      <w:r w:rsidRPr="00B07E03">
        <w:rPr>
          <w:rFonts w:ascii="Traditional Arabic" w:hAnsi="Traditional Arabic"/>
          <w:color w:val="0D0D0D" w:themeColor="text1" w:themeTint="F2"/>
          <w:rtl/>
          <w:lang w:eastAsia="en-US"/>
        </w:rPr>
        <w:t>عباس، وابي رزين</w:t>
      </w:r>
      <w:r w:rsidRPr="00B07E03">
        <w:rPr>
          <w:rStyle w:val="ae"/>
          <w:color w:val="0D0D0D" w:themeColor="text1" w:themeTint="F2"/>
          <w:rtl/>
        </w:rPr>
        <w:t>(</w:t>
      </w:r>
      <w:r w:rsidRPr="00B07E03">
        <w:rPr>
          <w:rStyle w:val="ae"/>
          <w:color w:val="0D0D0D" w:themeColor="text1" w:themeTint="F2"/>
          <w:rtl/>
        </w:rPr>
        <w:footnoteReference w:id="308"/>
      </w:r>
      <w:r w:rsidRPr="00B07E03">
        <w:rPr>
          <w:rStyle w:val="ae"/>
          <w:color w:val="0D0D0D" w:themeColor="text1" w:themeTint="F2"/>
          <w:rtl/>
        </w:rPr>
        <w:t>)</w:t>
      </w:r>
      <w:r w:rsidRPr="00B07E03">
        <w:rPr>
          <w:rFonts w:ascii="Traditional Arabic" w:hAnsi="Traditional Arabic"/>
          <w:color w:val="0D0D0D" w:themeColor="text1" w:themeTint="F2"/>
          <w:rtl/>
          <w:lang w:eastAsia="en-US"/>
        </w:rPr>
        <w:t>،</w:t>
      </w:r>
      <w:r>
        <w:rPr>
          <w:rFonts w:ascii="Traditional Arabic" w:hAnsi="Traditional Arabic" w:hint="cs"/>
          <w:color w:val="0D0D0D" w:themeColor="text1" w:themeTint="F2"/>
          <w:rtl/>
          <w:lang w:eastAsia="en-US"/>
        </w:rPr>
        <w:t xml:space="preserve"> </w:t>
      </w:r>
      <w:r w:rsidRPr="00B07E03">
        <w:rPr>
          <w:rFonts w:ascii="Traditional Arabic" w:hAnsi="Traditional Arabic"/>
          <w:color w:val="0D0D0D" w:themeColor="text1" w:themeTint="F2"/>
          <w:rtl/>
          <w:lang w:eastAsia="en-US"/>
        </w:rPr>
        <w:t>وأبي عبد الرحمن السُّلَمي</w:t>
      </w:r>
      <w:r w:rsidRPr="00B07E03">
        <w:rPr>
          <w:rStyle w:val="ae"/>
          <w:color w:val="0D0D0D" w:themeColor="text1" w:themeTint="F2"/>
          <w:rtl/>
        </w:rPr>
        <w:t>(</w:t>
      </w:r>
      <w:r w:rsidRPr="00B07E03">
        <w:rPr>
          <w:rStyle w:val="ae"/>
          <w:color w:val="0D0D0D" w:themeColor="text1" w:themeTint="F2"/>
          <w:rtl/>
        </w:rPr>
        <w:footnoteReference w:id="309"/>
      </w:r>
      <w:r w:rsidRPr="00B07E03">
        <w:rPr>
          <w:rStyle w:val="ae"/>
          <w:color w:val="0D0D0D" w:themeColor="text1" w:themeTint="F2"/>
          <w:rtl/>
        </w:rPr>
        <w:t>)</w:t>
      </w:r>
      <w:r w:rsidRPr="00B07E03">
        <w:rPr>
          <w:rFonts w:ascii="Traditional Arabic" w:hAnsi="Traditional Arabic"/>
          <w:color w:val="0D0D0D" w:themeColor="text1" w:themeTint="F2"/>
          <w:rtl/>
          <w:lang w:eastAsia="en-US"/>
        </w:rPr>
        <w:t>.</w:t>
      </w:r>
      <w:r>
        <w:rPr>
          <w:rFonts w:ascii="Traditional Arabic" w:hAnsi="Traditional Arabic" w:hint="cs"/>
          <w:color w:val="0D0D0D" w:themeColor="text1" w:themeTint="F2"/>
          <w:rtl/>
          <w:lang w:eastAsia="en-US"/>
        </w:rPr>
        <w:t xml:space="preserve"> </w:t>
      </w:r>
      <w:r w:rsidRPr="00B07E03">
        <w:rPr>
          <w:rFonts w:ascii="Traditional Arabic" w:hAnsi="Traditional Arabic"/>
          <w:color w:val="0D0D0D" w:themeColor="text1" w:themeTint="F2"/>
          <w:rtl/>
          <w:lang w:eastAsia="en-US"/>
        </w:rPr>
        <w:t>قال أبو زيد</w:t>
      </w:r>
      <w:r w:rsidRPr="00B07E03">
        <w:rPr>
          <w:rStyle w:val="ae"/>
          <w:color w:val="0D0D0D" w:themeColor="text1" w:themeTint="F2"/>
          <w:rtl/>
        </w:rPr>
        <w:t>(</w:t>
      </w:r>
      <w:r w:rsidRPr="00B07E03">
        <w:rPr>
          <w:rStyle w:val="ae"/>
          <w:color w:val="0D0D0D" w:themeColor="text1" w:themeTint="F2"/>
          <w:rtl/>
        </w:rPr>
        <w:footnoteReference w:id="310"/>
      </w:r>
      <w:r w:rsidRPr="00B07E03">
        <w:rPr>
          <w:rStyle w:val="ae"/>
          <w:color w:val="0D0D0D" w:themeColor="text1" w:themeTint="F2"/>
          <w:rtl/>
        </w:rPr>
        <w:t>)</w:t>
      </w:r>
      <w:r w:rsidRPr="00B07E03">
        <w:rPr>
          <w:rFonts w:ascii="Traditional Arabic" w:hAnsi="Traditional Arabic"/>
          <w:color w:val="0D0D0D" w:themeColor="text1" w:themeTint="F2"/>
          <w:rtl/>
          <w:lang w:eastAsia="en-US"/>
        </w:rPr>
        <w:t>:</w:t>
      </w:r>
      <w:r w:rsidR="00627B8D">
        <w:rPr>
          <w:rFonts w:ascii="Traditional Arabic" w:hAnsi="Traditional Arabic" w:hint="cs"/>
          <w:color w:val="0D0D0D" w:themeColor="text1" w:themeTint="F2"/>
          <w:rtl/>
          <w:lang w:eastAsia="en-US"/>
        </w:rPr>
        <w:t xml:space="preserve"> </w:t>
      </w:r>
      <w:r w:rsidRPr="00B07E03">
        <w:rPr>
          <w:rFonts w:ascii="Traditional Arabic" w:hAnsi="Traditional Arabic"/>
          <w:color w:val="0D0D0D" w:themeColor="text1" w:themeTint="F2"/>
          <w:rtl/>
          <w:lang w:eastAsia="en-US"/>
        </w:rPr>
        <w:t>يقال: ر</w:t>
      </w:r>
      <w:r w:rsidR="002B2BBB">
        <w:rPr>
          <w:rFonts w:ascii="Traditional Arabic" w:hAnsi="Traditional Arabic" w:hint="cs"/>
          <w:color w:val="0D0D0D" w:themeColor="text1" w:themeTint="F2"/>
          <w:rtl/>
          <w:lang w:eastAsia="en-US"/>
        </w:rPr>
        <w:t>َ</w:t>
      </w:r>
      <w:r w:rsidRPr="00B07E03">
        <w:rPr>
          <w:rFonts w:ascii="Traditional Arabic" w:hAnsi="Traditional Arabic"/>
          <w:color w:val="0D0D0D" w:themeColor="text1" w:themeTint="F2"/>
          <w:rtl/>
          <w:lang w:eastAsia="en-US"/>
        </w:rPr>
        <w:t>ج</w:t>
      </w:r>
      <w:r w:rsidR="002B2BBB">
        <w:rPr>
          <w:rFonts w:ascii="Traditional Arabic" w:hAnsi="Traditional Arabic" w:hint="cs"/>
          <w:color w:val="0D0D0D" w:themeColor="text1" w:themeTint="F2"/>
          <w:rtl/>
          <w:lang w:eastAsia="en-US"/>
        </w:rPr>
        <w:t>ُ</w:t>
      </w:r>
      <w:r w:rsidRPr="00B07E03">
        <w:rPr>
          <w:rFonts w:ascii="Traditional Arabic" w:hAnsi="Traditional Arabic"/>
          <w:color w:val="0D0D0D" w:themeColor="text1" w:themeTint="F2"/>
          <w:rtl/>
          <w:lang w:eastAsia="en-US"/>
        </w:rPr>
        <w:t>ل</w:t>
      </w:r>
      <w:r w:rsidR="00F8580C">
        <w:rPr>
          <w:rFonts w:ascii="Traditional Arabic" w:hAnsi="Traditional Arabic" w:hint="cs"/>
          <w:color w:val="0D0D0D" w:themeColor="text1" w:themeTint="F2"/>
          <w:rtl/>
          <w:lang w:eastAsia="en-US"/>
        </w:rPr>
        <w:t>ُ</w:t>
      </w:r>
      <w:r w:rsidRPr="00B07E03">
        <w:rPr>
          <w:rFonts w:ascii="Traditional Arabic" w:hAnsi="Traditional Arabic"/>
          <w:color w:val="0D0D0D" w:themeColor="text1" w:themeTint="F2"/>
          <w:rtl/>
          <w:lang w:eastAsia="en-US"/>
        </w:rPr>
        <w:t xml:space="preserve"> ر</w:t>
      </w:r>
      <w:r w:rsidR="002B2BBB">
        <w:rPr>
          <w:rFonts w:ascii="Traditional Arabic" w:hAnsi="Traditional Arabic" w:hint="cs"/>
          <w:color w:val="0D0D0D" w:themeColor="text1" w:themeTint="F2"/>
          <w:rtl/>
          <w:lang w:eastAsia="en-US"/>
        </w:rPr>
        <w:t>َ</w:t>
      </w:r>
      <w:r w:rsidRPr="00B07E03">
        <w:rPr>
          <w:rFonts w:ascii="Traditional Arabic" w:hAnsi="Traditional Arabic"/>
          <w:color w:val="0D0D0D" w:themeColor="text1" w:themeTint="F2"/>
          <w:rtl/>
          <w:lang w:eastAsia="en-US"/>
        </w:rPr>
        <w:t>ج</w:t>
      </w:r>
      <w:r w:rsidR="002B2BBB">
        <w:rPr>
          <w:rFonts w:ascii="Traditional Arabic" w:hAnsi="Traditional Arabic" w:hint="cs"/>
          <w:color w:val="0D0D0D" w:themeColor="text1" w:themeTint="F2"/>
          <w:rtl/>
          <w:lang w:eastAsia="en-US"/>
        </w:rPr>
        <w:t>ِ</w:t>
      </w:r>
      <w:r w:rsidR="00F8580C">
        <w:rPr>
          <w:rFonts w:ascii="Traditional Arabic" w:hAnsi="Traditional Arabic"/>
          <w:color w:val="0D0D0D" w:themeColor="text1" w:themeTint="F2"/>
          <w:rtl/>
          <w:lang w:eastAsia="en-US"/>
        </w:rPr>
        <w:t>ل</w:t>
      </w:r>
      <w:r w:rsidR="00F8580C">
        <w:rPr>
          <w:rFonts w:ascii="Traditional Arabic" w:hAnsi="Traditional Arabic" w:hint="cs"/>
          <w:color w:val="0D0D0D" w:themeColor="text1" w:themeTint="F2"/>
          <w:rtl/>
          <w:lang w:eastAsia="en-US"/>
        </w:rPr>
        <w:t>ِ</w:t>
      </w:r>
      <w:r w:rsidR="00F8580C">
        <w:rPr>
          <w:rFonts w:ascii="Traditional Arabic" w:hAnsi="Traditional Arabic"/>
          <w:color w:val="0D0D0D" w:themeColor="text1" w:themeTint="F2"/>
          <w:rtl/>
          <w:lang w:eastAsia="en-US"/>
        </w:rPr>
        <w:t>: للر</w:t>
      </w:r>
      <w:r w:rsidR="00F8580C">
        <w:rPr>
          <w:rFonts w:ascii="Traditional Arabic" w:hAnsi="Traditional Arabic" w:hint="cs"/>
          <w:color w:val="0D0D0D" w:themeColor="text1" w:themeTint="F2"/>
          <w:rtl/>
          <w:lang w:eastAsia="en-US"/>
        </w:rPr>
        <w:t>اجل</w:t>
      </w:r>
      <w:r w:rsidRPr="00B07E03">
        <w:rPr>
          <w:rFonts w:ascii="Traditional Arabic" w:hAnsi="Traditional Arabic"/>
          <w:color w:val="0D0D0D" w:themeColor="text1" w:themeTint="F2"/>
          <w:rtl/>
          <w:lang w:eastAsia="en-US"/>
        </w:rPr>
        <w:t>، ويقال:</w:t>
      </w:r>
      <w:r>
        <w:rPr>
          <w:rFonts w:ascii="Traditional Arabic" w:hAnsi="Traditional Arabic" w:hint="cs"/>
          <w:color w:val="0D0D0D" w:themeColor="text1" w:themeTint="F2"/>
          <w:rtl/>
          <w:lang w:eastAsia="en-US"/>
        </w:rPr>
        <w:t xml:space="preserve"> </w:t>
      </w:r>
      <w:r w:rsidRPr="00B07E03">
        <w:rPr>
          <w:rFonts w:ascii="Traditional Arabic" w:hAnsi="Traditional Arabic"/>
          <w:color w:val="0D0D0D" w:themeColor="text1" w:themeTint="F2"/>
          <w:rtl/>
          <w:lang w:eastAsia="en-US"/>
        </w:rPr>
        <w:t>جاءنا حافياً رجِلاً</w:t>
      </w:r>
      <w:r w:rsidRPr="00B07E03">
        <w:rPr>
          <w:rStyle w:val="ae"/>
          <w:color w:val="0D0D0D" w:themeColor="text1" w:themeTint="F2"/>
          <w:rtl/>
        </w:rPr>
        <w:t>(</w:t>
      </w:r>
      <w:r w:rsidRPr="00B07E03">
        <w:rPr>
          <w:rStyle w:val="ae"/>
          <w:color w:val="0D0D0D" w:themeColor="text1" w:themeTint="F2"/>
          <w:rtl/>
        </w:rPr>
        <w:footnoteReference w:id="311"/>
      </w:r>
      <w:r w:rsidRPr="00B07E03">
        <w:rPr>
          <w:rStyle w:val="ae"/>
          <w:color w:val="0D0D0D" w:themeColor="text1" w:themeTint="F2"/>
          <w:rtl/>
        </w:rPr>
        <w:t>)</w:t>
      </w:r>
      <w:r w:rsidRPr="00B07E03">
        <w:rPr>
          <w:rFonts w:ascii="Traditional Arabic" w:hAnsi="Traditional Arabic"/>
          <w:color w:val="0D0D0D" w:themeColor="text1" w:themeTint="F2"/>
          <w:rtl/>
          <w:lang w:eastAsia="en-US"/>
        </w:rPr>
        <w:t>. وقرأ ابن الس</w:t>
      </w:r>
      <w:r w:rsidR="00DA54F5">
        <w:rPr>
          <w:rFonts w:ascii="Traditional Arabic" w:hAnsi="Traditional Arabic" w:hint="cs"/>
          <w:color w:val="0D0D0D" w:themeColor="text1" w:themeTint="F2"/>
          <w:rtl/>
          <w:lang w:eastAsia="en-US"/>
        </w:rPr>
        <w:t>َ</w:t>
      </w:r>
      <w:r w:rsidRPr="00B07E03">
        <w:rPr>
          <w:rFonts w:ascii="Traditional Arabic" w:hAnsi="Traditional Arabic"/>
          <w:color w:val="0D0D0D" w:themeColor="text1" w:themeTint="F2"/>
          <w:rtl/>
          <w:lang w:eastAsia="en-US"/>
        </w:rPr>
        <w:t>ميفع</w:t>
      </w:r>
      <w:r w:rsidRPr="00B07E03">
        <w:rPr>
          <w:rStyle w:val="ae"/>
          <w:color w:val="0D0D0D" w:themeColor="text1" w:themeTint="F2"/>
          <w:rtl/>
        </w:rPr>
        <w:t>(</w:t>
      </w:r>
      <w:r w:rsidRPr="00B07E03">
        <w:rPr>
          <w:rStyle w:val="ae"/>
          <w:color w:val="0D0D0D" w:themeColor="text1" w:themeTint="F2"/>
          <w:rtl/>
        </w:rPr>
        <w:footnoteReference w:id="312"/>
      </w:r>
      <w:r w:rsidRPr="00B07E03">
        <w:rPr>
          <w:rStyle w:val="ae"/>
          <w:color w:val="0D0D0D" w:themeColor="text1" w:themeTint="F2"/>
          <w:rtl/>
        </w:rPr>
        <w:t>)</w:t>
      </w:r>
      <w:r w:rsidRPr="00B07E03">
        <w:rPr>
          <w:rFonts w:ascii="Traditional Arabic" w:hAnsi="Traditional Arabic"/>
          <w:color w:val="0D0D0D" w:themeColor="text1" w:themeTint="F2"/>
          <w:rtl/>
          <w:lang w:eastAsia="en-US"/>
        </w:rPr>
        <w:t>، و</w:t>
      </w:r>
      <w:r w:rsidR="003C4A6B" w:rsidRPr="003C4A6B">
        <w:rPr>
          <w:rFonts w:ascii="Traditional Arabic" w:hAnsi="Traditional Arabic"/>
          <w:color w:val="auto"/>
          <w:sz w:val="32"/>
          <w:szCs w:val="32"/>
          <w:rtl/>
          <w:lang w:eastAsia="en-US"/>
        </w:rPr>
        <w:t xml:space="preserve"> </w:t>
      </w:r>
      <w:r w:rsidR="003C4A6B" w:rsidRPr="003C4A6B">
        <w:rPr>
          <w:rFonts w:ascii="Traditional Arabic" w:hAnsi="Traditional Arabic"/>
          <w:color w:val="0D0D0D" w:themeColor="text1" w:themeTint="F2"/>
          <w:rtl/>
          <w:lang w:eastAsia="en-US"/>
        </w:rPr>
        <w:t>الج</w:t>
      </w:r>
      <w:r w:rsidR="003C4A6B" w:rsidRPr="003C4A6B">
        <w:rPr>
          <w:rFonts w:ascii="Traditional Arabic" w:hAnsi="Traditional Arabic" w:hint="cs"/>
          <w:color w:val="0D0D0D" w:themeColor="text1" w:themeTint="F2"/>
          <w:rtl/>
          <w:lang w:eastAsia="en-US"/>
        </w:rPr>
        <w:t>َ</w:t>
      </w:r>
      <w:r w:rsidR="003C4A6B" w:rsidRPr="003C4A6B">
        <w:rPr>
          <w:rFonts w:ascii="Traditional Arabic" w:hAnsi="Traditional Arabic"/>
          <w:color w:val="0D0D0D" w:themeColor="text1" w:themeTint="F2"/>
          <w:rtl/>
          <w:lang w:eastAsia="en-US"/>
        </w:rPr>
        <w:t>ح</w:t>
      </w:r>
      <w:r w:rsidR="003C4A6B" w:rsidRPr="003C4A6B">
        <w:rPr>
          <w:rFonts w:ascii="Traditional Arabic" w:hAnsi="Traditional Arabic" w:hint="cs"/>
          <w:color w:val="0D0D0D" w:themeColor="text1" w:themeTint="F2"/>
          <w:rtl/>
          <w:lang w:eastAsia="en-US"/>
        </w:rPr>
        <w:t>ْ</w:t>
      </w:r>
      <w:r w:rsidR="003C4A6B" w:rsidRPr="003C4A6B">
        <w:rPr>
          <w:rFonts w:ascii="Traditional Arabic" w:hAnsi="Traditional Arabic"/>
          <w:color w:val="0D0D0D" w:themeColor="text1" w:themeTint="F2"/>
          <w:rtl/>
          <w:lang w:eastAsia="en-US"/>
        </w:rPr>
        <w:t>د</w:t>
      </w:r>
      <w:r w:rsidR="003C4A6B" w:rsidRPr="003C4A6B">
        <w:rPr>
          <w:rFonts w:ascii="Traditional Arabic" w:hAnsi="Traditional Arabic" w:hint="cs"/>
          <w:color w:val="0D0D0D" w:themeColor="text1" w:themeTint="F2"/>
          <w:rtl/>
          <w:lang w:eastAsia="en-US"/>
        </w:rPr>
        <w:t>َ</w:t>
      </w:r>
      <w:r w:rsidR="003C4A6B" w:rsidRPr="003C4A6B">
        <w:rPr>
          <w:rFonts w:ascii="Traditional Arabic" w:hAnsi="Traditional Arabic"/>
          <w:color w:val="0D0D0D" w:themeColor="text1" w:themeTint="F2"/>
          <w:rtl/>
          <w:lang w:eastAsia="en-US"/>
        </w:rPr>
        <w:t>ر</w:t>
      </w:r>
      <w:r w:rsidR="003C4A6B" w:rsidRPr="003C4A6B">
        <w:rPr>
          <w:rFonts w:ascii="Traditional Arabic" w:hAnsi="Traditional Arabic" w:hint="cs"/>
          <w:color w:val="0D0D0D" w:themeColor="text1" w:themeTint="F2"/>
          <w:rtl/>
          <w:lang w:eastAsia="en-US"/>
        </w:rPr>
        <w:t>ِ</w:t>
      </w:r>
      <w:r w:rsidR="003C4A6B" w:rsidRPr="003C4A6B">
        <w:rPr>
          <w:rFonts w:ascii="Traditional Arabic" w:hAnsi="Traditional Arabic"/>
          <w:color w:val="0D0D0D" w:themeColor="text1" w:themeTint="F2"/>
          <w:rtl/>
          <w:lang w:eastAsia="en-US"/>
        </w:rPr>
        <w:t>ي</w:t>
      </w:r>
      <w:r w:rsidRPr="00B07E03">
        <w:rPr>
          <w:rStyle w:val="ae"/>
          <w:color w:val="0D0D0D" w:themeColor="text1" w:themeTint="F2"/>
          <w:rtl/>
        </w:rPr>
        <w:t>(</w:t>
      </w:r>
      <w:r w:rsidRPr="00B07E03">
        <w:rPr>
          <w:rStyle w:val="ae"/>
          <w:color w:val="0D0D0D" w:themeColor="text1" w:themeTint="F2"/>
          <w:rtl/>
        </w:rPr>
        <w:footnoteReference w:id="313"/>
      </w:r>
      <w:r w:rsidRPr="00B07E03">
        <w:rPr>
          <w:rStyle w:val="ae"/>
          <w:color w:val="0D0D0D" w:themeColor="text1" w:themeTint="F2"/>
          <w:rtl/>
        </w:rPr>
        <w:t>)</w:t>
      </w:r>
      <w:r w:rsidRPr="00B07E03">
        <w:rPr>
          <w:rFonts w:ascii="Traditional Arabic" w:hAnsi="Traditional Arabic"/>
          <w:color w:val="0D0D0D" w:themeColor="text1" w:themeTint="F2"/>
          <w:rtl/>
          <w:lang w:eastAsia="en-US"/>
        </w:rPr>
        <w:t>:</w:t>
      </w:r>
      <w:r w:rsidR="00387576">
        <w:rPr>
          <w:rFonts w:ascii="Traditional Arabic" w:hAnsi="Traditional Arabic" w:hint="cs"/>
          <w:color w:val="0D0D0D" w:themeColor="text1" w:themeTint="F2"/>
          <w:rtl/>
          <w:lang w:eastAsia="en-US"/>
        </w:rPr>
        <w:t xml:space="preserve"> "</w:t>
      </w:r>
      <w:r w:rsidRPr="00387576">
        <w:rPr>
          <w:rFonts w:ascii="Traditional Arabic" w:hAnsi="Traditional Arabic"/>
          <w:color w:val="0D0D0D" w:themeColor="text1" w:themeTint="F2"/>
          <w:rtl/>
          <w:lang w:eastAsia="en-US"/>
        </w:rPr>
        <w:t>بخيلك ورُجَّالك</w:t>
      </w:r>
      <w:r w:rsidRPr="004A5F92">
        <w:rPr>
          <w:rFonts w:ascii="QCF_BSML" w:hAnsi="QCF_BSML" w:cs="QCF_BSML"/>
          <w:color w:val="0D0D0D" w:themeColor="text1" w:themeTint="F2"/>
          <w:sz w:val="28"/>
          <w:szCs w:val="28"/>
          <w:rtl/>
          <w:lang w:eastAsia="en-US"/>
        </w:rPr>
        <w:t xml:space="preserve"> </w:t>
      </w:r>
      <w:r w:rsidR="00387576">
        <w:rPr>
          <w:rFonts w:ascii="Traditional Arabic" w:hAnsi="Traditional Arabic" w:hint="cs"/>
          <w:color w:val="0D0D0D" w:themeColor="text1" w:themeTint="F2"/>
          <w:rtl/>
          <w:lang w:eastAsia="en-US"/>
        </w:rPr>
        <w:t xml:space="preserve">" </w:t>
      </w:r>
      <w:r w:rsidRPr="00B07E03">
        <w:rPr>
          <w:rFonts w:ascii="Traditional Arabic" w:hAnsi="Traditional Arabic"/>
          <w:color w:val="0D0D0D" w:themeColor="text1" w:themeTint="F2"/>
          <w:rtl/>
          <w:lang w:eastAsia="en-US"/>
        </w:rPr>
        <w:t>برفع الراء وتشديد الجيم مفتوحة</w:t>
      </w:r>
      <w:r>
        <w:rPr>
          <w:rFonts w:ascii="Traditional Arabic" w:hAnsi="Traditional Arabic" w:hint="cs"/>
          <w:color w:val="0D0D0D" w:themeColor="text1" w:themeTint="F2"/>
          <w:rtl/>
          <w:lang w:eastAsia="en-US"/>
        </w:rPr>
        <w:t>ً</w:t>
      </w:r>
      <w:r w:rsidR="00232333">
        <w:rPr>
          <w:rFonts w:ascii="Traditional Arabic" w:hAnsi="Traditional Arabic" w:hint="cs"/>
          <w:color w:val="0D0D0D" w:themeColor="text1" w:themeTint="F2"/>
          <w:rtl/>
          <w:lang w:eastAsia="en-US"/>
        </w:rPr>
        <w:t xml:space="preserve"> </w:t>
      </w:r>
      <w:r w:rsidRPr="00B07E03">
        <w:rPr>
          <w:rFonts w:ascii="Traditional Arabic" w:hAnsi="Traditional Arabic"/>
          <w:color w:val="0D0D0D" w:themeColor="text1" w:themeTint="F2"/>
          <w:rtl/>
          <w:lang w:eastAsia="en-US"/>
        </w:rPr>
        <w:t>وبألف</w:t>
      </w:r>
      <w:r>
        <w:rPr>
          <w:rFonts w:ascii="Traditional Arabic" w:hAnsi="Traditional Arabic" w:hint="cs"/>
          <w:color w:val="0D0D0D" w:themeColor="text1" w:themeTint="F2"/>
          <w:rtl/>
          <w:lang w:eastAsia="en-US"/>
        </w:rPr>
        <w:t xml:space="preserve">ٍ </w:t>
      </w:r>
      <w:r w:rsidRPr="00B07E03">
        <w:rPr>
          <w:rFonts w:ascii="Traditional Arabic" w:hAnsi="Traditional Arabic"/>
          <w:color w:val="0D0D0D" w:themeColor="text1" w:themeTint="F2"/>
          <w:rtl/>
          <w:lang w:eastAsia="en-US"/>
        </w:rPr>
        <w:t>بعدها</w:t>
      </w:r>
      <w:r w:rsidRPr="00B07E03">
        <w:rPr>
          <w:rStyle w:val="ae"/>
          <w:color w:val="0D0D0D" w:themeColor="text1" w:themeTint="F2"/>
          <w:rtl/>
        </w:rPr>
        <w:t>(</w:t>
      </w:r>
      <w:r w:rsidRPr="00B07E03">
        <w:rPr>
          <w:rStyle w:val="ae"/>
          <w:color w:val="0D0D0D" w:themeColor="text1" w:themeTint="F2"/>
          <w:rtl/>
        </w:rPr>
        <w:footnoteReference w:id="314"/>
      </w:r>
      <w:r w:rsidRPr="00B07E03">
        <w:rPr>
          <w:rStyle w:val="ae"/>
          <w:color w:val="0D0D0D" w:themeColor="text1" w:themeTint="F2"/>
          <w:rtl/>
        </w:rPr>
        <w:t>)</w:t>
      </w:r>
      <w:r w:rsidRPr="00B07E03">
        <w:rPr>
          <w:rFonts w:ascii="Traditional Arabic" w:hAnsi="Traditional Arabic"/>
          <w:color w:val="0D0D0D" w:themeColor="text1" w:themeTint="F2"/>
          <w:rtl/>
          <w:lang w:eastAsia="en-US"/>
        </w:rPr>
        <w:t xml:space="preserve">. </w:t>
      </w:r>
    </w:p>
    <w:p w:rsidR="009504FD" w:rsidRDefault="009504FD" w:rsidP="009B202E">
      <w:pPr>
        <w:widowControl/>
        <w:autoSpaceDE w:val="0"/>
        <w:autoSpaceDN w:val="0"/>
        <w:adjustRightInd w:val="0"/>
        <w:ind w:firstLine="0"/>
        <w:rPr>
          <w:rFonts w:ascii="Traditional Arabic" w:hAnsi="Traditional Arabic"/>
          <w:color w:val="0D0D0D" w:themeColor="text1" w:themeTint="F2"/>
          <w:rtl/>
          <w:lang w:eastAsia="en-US"/>
        </w:rPr>
      </w:pPr>
    </w:p>
    <w:p w:rsidR="00F8580C" w:rsidRDefault="00C36615" w:rsidP="009B202E">
      <w:pPr>
        <w:widowControl/>
        <w:autoSpaceDE w:val="0"/>
        <w:autoSpaceDN w:val="0"/>
        <w:adjustRightInd w:val="0"/>
        <w:ind w:firstLine="0"/>
        <w:rPr>
          <w:rFonts w:ascii="Traditional Arabic" w:hAnsi="Traditional Arabic"/>
          <w:color w:val="0D0D0D" w:themeColor="text1" w:themeTint="F2"/>
          <w:rtl/>
          <w:lang w:eastAsia="en-US"/>
        </w:rPr>
      </w:pPr>
      <w:r w:rsidRPr="00B07E03">
        <w:rPr>
          <w:rFonts w:ascii="Traditional Arabic" w:hAnsi="Traditional Arabic"/>
          <w:color w:val="0D0D0D" w:themeColor="text1" w:themeTint="F2"/>
          <w:rtl/>
          <w:lang w:eastAsia="en-US"/>
        </w:rPr>
        <w:lastRenderedPageBreak/>
        <w:t>وقرأ أبو المتوكل</w:t>
      </w:r>
      <w:r w:rsidRPr="00B07E03">
        <w:rPr>
          <w:rStyle w:val="ae"/>
          <w:color w:val="0D0D0D" w:themeColor="text1" w:themeTint="F2"/>
          <w:rtl/>
        </w:rPr>
        <w:t>(</w:t>
      </w:r>
      <w:r w:rsidRPr="00B07E03">
        <w:rPr>
          <w:rStyle w:val="ae"/>
          <w:color w:val="0D0D0D" w:themeColor="text1" w:themeTint="F2"/>
          <w:rtl/>
        </w:rPr>
        <w:footnoteReference w:id="315"/>
      </w:r>
      <w:r w:rsidRPr="00B07E03">
        <w:rPr>
          <w:rStyle w:val="ae"/>
          <w:color w:val="0D0D0D" w:themeColor="text1" w:themeTint="F2"/>
          <w:rtl/>
        </w:rPr>
        <w:t>)</w:t>
      </w:r>
      <w:r w:rsidRPr="00B07E03">
        <w:rPr>
          <w:rFonts w:ascii="Traditional Arabic" w:hAnsi="Traditional Arabic"/>
          <w:color w:val="0D0D0D" w:themeColor="text1" w:themeTint="F2"/>
          <w:rtl/>
          <w:lang w:eastAsia="en-US"/>
        </w:rPr>
        <w:t>، وأبو الجوزاء</w:t>
      </w:r>
      <w:r w:rsidRPr="00B07E03">
        <w:rPr>
          <w:rStyle w:val="ae"/>
          <w:color w:val="0D0D0D" w:themeColor="text1" w:themeTint="F2"/>
          <w:rtl/>
        </w:rPr>
        <w:t>(</w:t>
      </w:r>
      <w:r w:rsidRPr="00B07E03">
        <w:rPr>
          <w:rStyle w:val="ae"/>
          <w:color w:val="0D0D0D" w:themeColor="text1" w:themeTint="F2"/>
          <w:rtl/>
        </w:rPr>
        <w:footnoteReference w:id="316"/>
      </w:r>
      <w:r w:rsidRPr="00B07E03">
        <w:rPr>
          <w:rStyle w:val="ae"/>
          <w:color w:val="0D0D0D" w:themeColor="text1" w:themeTint="F2"/>
          <w:rtl/>
        </w:rPr>
        <w:t>)</w:t>
      </w:r>
      <w:r w:rsidRPr="00B07E03">
        <w:rPr>
          <w:rFonts w:ascii="Traditional Arabic" w:hAnsi="Traditional Arabic"/>
          <w:color w:val="0D0D0D" w:themeColor="text1" w:themeTint="F2"/>
          <w:rtl/>
          <w:lang w:eastAsia="en-US"/>
        </w:rPr>
        <w:t xml:space="preserve">، وعكرمة: </w:t>
      </w:r>
      <w:r w:rsidR="00387576">
        <w:rPr>
          <w:rFonts w:ascii="Traditional Arabic" w:hAnsi="Traditional Arabic" w:hint="cs"/>
          <w:color w:val="0D0D0D" w:themeColor="text1" w:themeTint="F2"/>
          <w:rtl/>
          <w:lang w:eastAsia="en-US"/>
        </w:rPr>
        <w:t>"</w:t>
      </w:r>
      <w:r w:rsidRPr="00387576">
        <w:rPr>
          <w:rFonts w:ascii="Traditional Arabic" w:hAnsi="Traditional Arabic"/>
          <w:color w:val="0D0D0D" w:themeColor="text1" w:themeTint="F2"/>
          <w:rtl/>
          <w:lang w:eastAsia="en-US"/>
        </w:rPr>
        <w:t>ورِجَالك</w:t>
      </w:r>
      <w:r w:rsidR="00387576">
        <w:rPr>
          <w:rFonts w:ascii="Traditional Arabic" w:hAnsi="Traditional Arabic" w:hint="cs"/>
          <w:color w:val="0D0D0D" w:themeColor="text1" w:themeTint="F2"/>
          <w:rtl/>
          <w:lang w:eastAsia="en-US"/>
        </w:rPr>
        <w:t>"</w:t>
      </w:r>
      <w:r w:rsidRPr="00B07E03">
        <w:rPr>
          <w:rFonts w:ascii="Traditional Arabic" w:hAnsi="Traditional Arabic"/>
          <w:color w:val="0D0D0D" w:themeColor="text1" w:themeTint="F2"/>
          <w:rtl/>
          <w:lang w:eastAsia="en-US"/>
        </w:rPr>
        <w:t xml:space="preserve"> بكسر الراء وتخفيف الجيم مع ألف</w:t>
      </w:r>
      <w:r w:rsidRPr="00B07E03">
        <w:rPr>
          <w:rStyle w:val="ae"/>
          <w:color w:val="0D0D0D" w:themeColor="text1" w:themeTint="F2"/>
          <w:rtl/>
        </w:rPr>
        <w:t>(</w:t>
      </w:r>
      <w:r w:rsidRPr="00B07E03">
        <w:rPr>
          <w:rStyle w:val="ae"/>
          <w:color w:val="0D0D0D" w:themeColor="text1" w:themeTint="F2"/>
          <w:rtl/>
        </w:rPr>
        <w:footnoteReference w:id="317"/>
      </w:r>
      <w:r w:rsidRPr="00B07E03">
        <w:rPr>
          <w:rStyle w:val="ae"/>
          <w:color w:val="0D0D0D" w:themeColor="text1" w:themeTint="F2"/>
          <w:rtl/>
        </w:rPr>
        <w:t>)</w:t>
      </w:r>
      <w:r w:rsidRPr="00B07E03">
        <w:rPr>
          <w:rFonts w:ascii="Traditional Arabic" w:hAnsi="Traditional Arabic"/>
          <w:color w:val="0D0D0D" w:themeColor="text1" w:themeTint="F2"/>
          <w:rtl/>
          <w:lang w:eastAsia="en-US"/>
        </w:rPr>
        <w:t>.</w:t>
      </w:r>
      <w:r w:rsidRPr="00B07E03">
        <w:rPr>
          <w:rFonts w:ascii="Traditional Arabic" w:hAnsi="Traditional Arabic" w:hint="cs"/>
          <w:color w:val="0D0D0D" w:themeColor="text1" w:themeTint="F2"/>
          <w:rtl/>
          <w:lang w:eastAsia="en-US"/>
        </w:rPr>
        <w:t xml:space="preserve"> </w:t>
      </w:r>
    </w:p>
    <w:p w:rsidR="009B202E" w:rsidRDefault="00C36615" w:rsidP="00EF0855">
      <w:pPr>
        <w:widowControl/>
        <w:autoSpaceDE w:val="0"/>
        <w:autoSpaceDN w:val="0"/>
        <w:adjustRightInd w:val="0"/>
        <w:ind w:firstLine="0"/>
        <w:rPr>
          <w:rFonts w:ascii="Traditional Arabic" w:hAnsi="Traditional Arabic"/>
          <w:color w:val="0D0D0D" w:themeColor="text1" w:themeTint="F2"/>
          <w:rtl/>
          <w:lang w:eastAsia="en-US"/>
        </w:rPr>
      </w:pPr>
      <w:r w:rsidRPr="00B07E03">
        <w:rPr>
          <w:rFonts w:ascii="Traditional Arabic" w:hAnsi="Traditional Arabic"/>
          <w:color w:val="0D0D0D" w:themeColor="text1" w:themeTint="F2"/>
          <w:rtl/>
          <w:lang w:eastAsia="en-US"/>
        </w:rPr>
        <w:t>قوله تعالى:</w:t>
      </w:r>
      <w:r w:rsidRPr="00B07E03">
        <w:rPr>
          <w:rFonts w:ascii="QCF_BSML" w:hAnsi="QCF_BSML" w:cs="QCF_BSML"/>
          <w:color w:val="0D0D0D" w:themeColor="text1" w:themeTint="F2"/>
          <w:sz w:val="32"/>
          <w:szCs w:val="32"/>
          <w:rtl/>
          <w:lang w:eastAsia="en-US"/>
        </w:rPr>
        <w:t xml:space="preserve"> </w:t>
      </w:r>
      <w:r w:rsidRPr="00A22895">
        <w:rPr>
          <w:rFonts w:ascii="QCF_BSML" w:hAnsi="QCF_BSML" w:cs="QCF_BSML"/>
          <w:color w:val="0D0D0D" w:themeColor="text1" w:themeTint="F2"/>
          <w:sz w:val="32"/>
          <w:szCs w:val="32"/>
          <w:rtl/>
          <w:lang w:eastAsia="en-US"/>
        </w:rPr>
        <w:t>ﭽ</w:t>
      </w:r>
      <w:r w:rsidRPr="00A22895">
        <w:rPr>
          <w:rFonts w:ascii="QCF_P288" w:hAnsi="QCF_P288" w:cs="QCF_P288"/>
          <w:color w:val="0D0D0D" w:themeColor="text1" w:themeTint="F2"/>
          <w:sz w:val="32"/>
          <w:szCs w:val="32"/>
          <w:rtl/>
          <w:lang w:eastAsia="en-US"/>
        </w:rPr>
        <w:t>ﯘ</w:t>
      </w:r>
      <w:r w:rsidR="004D2F16">
        <w:rPr>
          <w:rFonts w:ascii="QCF_P288" w:hAnsi="QCF_P288" w:cs="QCF_P288" w:hint="cs"/>
          <w:color w:val="0D0D0D" w:themeColor="text1" w:themeTint="F2"/>
          <w:sz w:val="32"/>
          <w:szCs w:val="32"/>
          <w:rtl/>
          <w:lang w:eastAsia="en-US"/>
        </w:rPr>
        <w:t xml:space="preserve"> </w:t>
      </w:r>
      <w:r w:rsidRPr="00A22895">
        <w:rPr>
          <w:rFonts w:ascii="QCF_P288" w:hAnsi="QCF_P288" w:cs="QCF_P288"/>
          <w:color w:val="0D0D0D" w:themeColor="text1" w:themeTint="F2"/>
          <w:sz w:val="32"/>
          <w:szCs w:val="32"/>
          <w:rtl/>
          <w:lang w:eastAsia="en-US"/>
        </w:rPr>
        <w:t>ﯙ</w:t>
      </w:r>
      <w:r w:rsidR="004D2F16">
        <w:rPr>
          <w:rFonts w:ascii="QCF_P288" w:hAnsi="QCF_P288" w:cs="QCF_P288" w:hint="cs"/>
          <w:color w:val="0D0D0D" w:themeColor="text1" w:themeTint="F2"/>
          <w:sz w:val="32"/>
          <w:szCs w:val="32"/>
          <w:rtl/>
          <w:lang w:eastAsia="en-US"/>
        </w:rPr>
        <w:t xml:space="preserve"> </w:t>
      </w:r>
      <w:r w:rsidRPr="00A22895">
        <w:rPr>
          <w:rFonts w:ascii="QCF_P288" w:hAnsi="QCF_P288" w:cs="QCF_P288"/>
          <w:color w:val="0D0D0D" w:themeColor="text1" w:themeTint="F2"/>
          <w:sz w:val="32"/>
          <w:szCs w:val="32"/>
          <w:rtl/>
          <w:lang w:eastAsia="en-US"/>
        </w:rPr>
        <w:t>ﯚ</w:t>
      </w:r>
      <w:r w:rsidRPr="00A22895">
        <w:rPr>
          <w:rFonts w:ascii="QCF_BSML" w:hAnsi="QCF_BSML" w:cs="QCF_BSML"/>
          <w:color w:val="0D0D0D" w:themeColor="text1" w:themeTint="F2"/>
          <w:sz w:val="32"/>
          <w:szCs w:val="32"/>
          <w:rtl/>
          <w:lang w:eastAsia="en-US"/>
        </w:rPr>
        <w:t>ﭼ</w:t>
      </w:r>
      <w:r w:rsidRPr="00A22895">
        <w:rPr>
          <w:rFonts w:ascii="Traditional Arabic" w:hAnsi="Traditional Arabic"/>
          <w:color w:val="0D0D0D" w:themeColor="text1" w:themeTint="F2"/>
          <w:sz w:val="32"/>
          <w:szCs w:val="32"/>
          <w:rtl/>
          <w:lang w:eastAsia="en-US"/>
        </w:rPr>
        <w:t xml:space="preserve"> </w:t>
      </w:r>
      <w:r w:rsidRPr="00B07E03">
        <w:rPr>
          <w:rFonts w:ascii="Traditional Arabic" w:hAnsi="Traditional Arabic"/>
          <w:color w:val="0D0D0D" w:themeColor="text1" w:themeTint="F2"/>
          <w:rtl/>
          <w:lang w:eastAsia="en-US"/>
        </w:rPr>
        <w:t>فيه أربعة أقوال: أحدها: أنها ما كانوا يحرِّمونه من أنعامهم، رواه عطية عن ابن عباس</w:t>
      </w:r>
      <w:r w:rsidRPr="00B07E03">
        <w:rPr>
          <w:rStyle w:val="ae"/>
          <w:color w:val="0D0D0D" w:themeColor="text1" w:themeTint="F2"/>
          <w:rtl/>
        </w:rPr>
        <w:t>(</w:t>
      </w:r>
      <w:r w:rsidRPr="00B07E03">
        <w:rPr>
          <w:rStyle w:val="ae"/>
          <w:color w:val="0D0D0D" w:themeColor="text1" w:themeTint="F2"/>
          <w:rtl/>
        </w:rPr>
        <w:footnoteReference w:id="318"/>
      </w:r>
      <w:r w:rsidRPr="00B07E03">
        <w:rPr>
          <w:rStyle w:val="ae"/>
          <w:color w:val="0D0D0D" w:themeColor="text1" w:themeTint="F2"/>
          <w:rtl/>
        </w:rPr>
        <w:t>)</w:t>
      </w:r>
      <w:r w:rsidRPr="00B07E03">
        <w:rPr>
          <w:rFonts w:ascii="Traditional Arabic" w:hAnsi="Traditional Arabic"/>
          <w:color w:val="0D0D0D" w:themeColor="text1" w:themeTint="F2"/>
          <w:rtl/>
          <w:lang w:eastAsia="en-US"/>
        </w:rPr>
        <w:t>. والثاني: الأموال التي أصيبت من حرام، قاله مجاهد</w:t>
      </w:r>
      <w:r w:rsidRPr="00B07E03">
        <w:rPr>
          <w:rStyle w:val="ae"/>
          <w:color w:val="0D0D0D" w:themeColor="text1" w:themeTint="F2"/>
          <w:rtl/>
        </w:rPr>
        <w:t>(</w:t>
      </w:r>
      <w:r w:rsidRPr="00B07E03">
        <w:rPr>
          <w:rStyle w:val="ae"/>
          <w:color w:val="0D0D0D" w:themeColor="text1" w:themeTint="F2"/>
          <w:rtl/>
        </w:rPr>
        <w:footnoteReference w:id="319"/>
      </w:r>
      <w:r w:rsidRPr="00B07E03">
        <w:rPr>
          <w:rStyle w:val="ae"/>
          <w:color w:val="0D0D0D" w:themeColor="text1" w:themeTint="F2"/>
          <w:rtl/>
        </w:rPr>
        <w:t>)</w:t>
      </w:r>
      <w:r w:rsidRPr="00B07E03">
        <w:rPr>
          <w:rFonts w:ascii="Traditional Arabic" w:hAnsi="Traditional Arabic"/>
          <w:color w:val="0D0D0D" w:themeColor="text1" w:themeTint="F2"/>
          <w:rtl/>
          <w:lang w:eastAsia="en-US"/>
        </w:rPr>
        <w:t>. والثالث: التي أنفقوها في معاصي الله، قاله الحسن</w:t>
      </w:r>
      <w:r w:rsidRPr="00B07E03">
        <w:rPr>
          <w:rStyle w:val="ae"/>
          <w:color w:val="0D0D0D" w:themeColor="text1" w:themeTint="F2"/>
          <w:rtl/>
        </w:rPr>
        <w:t>(</w:t>
      </w:r>
      <w:r w:rsidRPr="00B07E03">
        <w:rPr>
          <w:rStyle w:val="ae"/>
          <w:color w:val="0D0D0D" w:themeColor="text1" w:themeTint="F2"/>
          <w:rtl/>
        </w:rPr>
        <w:footnoteReference w:id="320"/>
      </w:r>
      <w:r w:rsidRPr="00B07E03">
        <w:rPr>
          <w:rStyle w:val="ae"/>
          <w:color w:val="0D0D0D" w:themeColor="text1" w:themeTint="F2"/>
          <w:rtl/>
        </w:rPr>
        <w:t>)</w:t>
      </w:r>
      <w:r w:rsidRPr="00B07E03">
        <w:rPr>
          <w:rFonts w:ascii="Traditional Arabic" w:hAnsi="Traditional Arabic"/>
          <w:color w:val="0D0D0D" w:themeColor="text1" w:themeTint="F2"/>
          <w:rtl/>
          <w:lang w:eastAsia="en-US"/>
        </w:rPr>
        <w:t>. والرابع: ما كانوا يذبحون لآلهتهم، قاله الضحاك</w:t>
      </w:r>
      <w:r w:rsidRPr="00B07E03">
        <w:rPr>
          <w:rStyle w:val="ae"/>
          <w:color w:val="0D0D0D" w:themeColor="text1" w:themeTint="F2"/>
          <w:rtl/>
        </w:rPr>
        <w:t>(</w:t>
      </w:r>
      <w:r w:rsidRPr="00B07E03">
        <w:rPr>
          <w:rStyle w:val="ae"/>
          <w:color w:val="0D0D0D" w:themeColor="text1" w:themeTint="F2"/>
          <w:rtl/>
        </w:rPr>
        <w:footnoteReference w:id="321"/>
      </w:r>
      <w:r w:rsidRPr="00B07E03">
        <w:rPr>
          <w:rStyle w:val="ae"/>
          <w:color w:val="0D0D0D" w:themeColor="text1" w:themeTint="F2"/>
          <w:rtl/>
        </w:rPr>
        <w:t>)</w:t>
      </w:r>
      <w:r w:rsidRPr="00B07E03">
        <w:rPr>
          <w:rFonts w:ascii="Traditional Arabic" w:hAnsi="Traditional Arabic"/>
          <w:color w:val="0D0D0D" w:themeColor="text1" w:themeTint="F2"/>
          <w:rtl/>
          <w:lang w:eastAsia="en-US"/>
        </w:rPr>
        <w:t>. فأما مشاركته إِياهم في الأولاد، ففيها أربعة أقوال: أحدها: أنهم أولاد الزنا، رواه عطية عن ابن عباس</w:t>
      </w:r>
      <w:r w:rsidRPr="00B07E03">
        <w:rPr>
          <w:rStyle w:val="ae"/>
          <w:color w:val="0D0D0D" w:themeColor="text1" w:themeTint="F2"/>
          <w:rtl/>
        </w:rPr>
        <w:t>(</w:t>
      </w:r>
      <w:r w:rsidRPr="00B07E03">
        <w:rPr>
          <w:rStyle w:val="ae"/>
          <w:color w:val="0D0D0D" w:themeColor="text1" w:themeTint="F2"/>
          <w:rtl/>
        </w:rPr>
        <w:footnoteReference w:id="322"/>
      </w:r>
      <w:r w:rsidRPr="00B07E03">
        <w:rPr>
          <w:rStyle w:val="ae"/>
          <w:color w:val="0D0D0D" w:themeColor="text1" w:themeTint="F2"/>
          <w:rtl/>
        </w:rPr>
        <w:t>)</w:t>
      </w:r>
      <w:r w:rsidRPr="00B07E03">
        <w:rPr>
          <w:rFonts w:ascii="Traditional Arabic" w:hAnsi="Traditional Arabic"/>
          <w:color w:val="0D0D0D" w:themeColor="text1" w:themeTint="F2"/>
          <w:rtl/>
          <w:lang w:eastAsia="en-US"/>
        </w:rPr>
        <w:t>، وبه قال سعيد بن جبير</w:t>
      </w:r>
      <w:r w:rsidRPr="00B07E03">
        <w:rPr>
          <w:rStyle w:val="ae"/>
          <w:color w:val="0D0D0D" w:themeColor="text1" w:themeTint="F2"/>
          <w:rtl/>
        </w:rPr>
        <w:t>(</w:t>
      </w:r>
      <w:r w:rsidRPr="00B07E03">
        <w:rPr>
          <w:rStyle w:val="ae"/>
          <w:color w:val="0D0D0D" w:themeColor="text1" w:themeTint="F2"/>
          <w:rtl/>
        </w:rPr>
        <w:footnoteReference w:id="323"/>
      </w:r>
      <w:r w:rsidRPr="00B07E03">
        <w:rPr>
          <w:rStyle w:val="ae"/>
          <w:color w:val="0D0D0D" w:themeColor="text1" w:themeTint="F2"/>
          <w:rtl/>
        </w:rPr>
        <w:t>)</w:t>
      </w:r>
      <w:r w:rsidRPr="00B07E03">
        <w:rPr>
          <w:rFonts w:ascii="Traditional Arabic" w:hAnsi="Traditional Arabic"/>
          <w:color w:val="0D0D0D" w:themeColor="text1" w:themeTint="F2"/>
          <w:rtl/>
          <w:lang w:eastAsia="en-US"/>
        </w:rPr>
        <w:t>، ومجاهد</w:t>
      </w:r>
      <w:r w:rsidR="00491975" w:rsidRPr="00491975">
        <w:rPr>
          <w:rStyle w:val="ae"/>
          <w:rtl/>
        </w:rPr>
        <w:t>(</w:t>
      </w:r>
      <w:r w:rsidR="00491975">
        <w:rPr>
          <w:rStyle w:val="ae"/>
          <w:rtl/>
        </w:rPr>
        <w:footnoteReference w:id="324"/>
      </w:r>
      <w:r w:rsidR="00491975" w:rsidRPr="00491975">
        <w:rPr>
          <w:rStyle w:val="ae"/>
          <w:rtl/>
        </w:rPr>
        <w:t>)</w:t>
      </w:r>
      <w:r w:rsidRPr="00B07E03">
        <w:rPr>
          <w:rFonts w:ascii="Traditional Arabic" w:hAnsi="Traditional Arabic"/>
          <w:color w:val="0D0D0D" w:themeColor="text1" w:themeTint="F2"/>
          <w:rtl/>
          <w:lang w:eastAsia="en-US"/>
        </w:rPr>
        <w:t>، والضحاك</w:t>
      </w:r>
      <w:r w:rsidRPr="00B07E03">
        <w:rPr>
          <w:rStyle w:val="ae"/>
          <w:color w:val="0D0D0D" w:themeColor="text1" w:themeTint="F2"/>
          <w:rtl/>
        </w:rPr>
        <w:t>(</w:t>
      </w:r>
      <w:r w:rsidRPr="00B07E03">
        <w:rPr>
          <w:rStyle w:val="ae"/>
          <w:color w:val="0D0D0D" w:themeColor="text1" w:themeTint="F2"/>
          <w:rtl/>
        </w:rPr>
        <w:footnoteReference w:id="325"/>
      </w:r>
      <w:r w:rsidRPr="00B07E03">
        <w:rPr>
          <w:rStyle w:val="ae"/>
          <w:color w:val="0D0D0D" w:themeColor="text1" w:themeTint="F2"/>
          <w:rtl/>
        </w:rPr>
        <w:t>)</w:t>
      </w:r>
      <w:r w:rsidRPr="00B07E03">
        <w:rPr>
          <w:rFonts w:ascii="Traditional Arabic" w:hAnsi="Traditional Arabic"/>
          <w:color w:val="0D0D0D" w:themeColor="text1" w:themeTint="F2"/>
          <w:rtl/>
          <w:lang w:eastAsia="en-US"/>
        </w:rPr>
        <w:t xml:space="preserve">. </w:t>
      </w:r>
    </w:p>
    <w:p w:rsidR="00156316" w:rsidRDefault="00156316" w:rsidP="009504FD">
      <w:pPr>
        <w:widowControl/>
        <w:autoSpaceDE w:val="0"/>
        <w:autoSpaceDN w:val="0"/>
        <w:adjustRightInd w:val="0"/>
        <w:ind w:firstLine="0"/>
        <w:rPr>
          <w:rFonts w:ascii="Traditional Arabic" w:hAnsi="Traditional Arabic"/>
          <w:color w:val="0D0D0D" w:themeColor="text1" w:themeTint="F2"/>
          <w:rtl/>
          <w:lang w:eastAsia="en-US"/>
        </w:rPr>
      </w:pPr>
    </w:p>
    <w:p w:rsidR="00C36615" w:rsidRPr="00B07E03" w:rsidRDefault="004F7A80" w:rsidP="009504FD">
      <w:pPr>
        <w:widowControl/>
        <w:autoSpaceDE w:val="0"/>
        <w:autoSpaceDN w:val="0"/>
        <w:adjustRightInd w:val="0"/>
        <w:ind w:firstLine="0"/>
        <w:rPr>
          <w:rFonts w:ascii="Traditional Arabic" w:hAnsi="Traditional Arabic"/>
          <w:color w:val="0D0D0D" w:themeColor="text1" w:themeTint="F2"/>
          <w:rtl/>
          <w:lang w:eastAsia="en-US"/>
        </w:rPr>
      </w:pPr>
      <w:r w:rsidRPr="00B07E03">
        <w:rPr>
          <w:rFonts w:ascii="Traditional Arabic" w:hAnsi="Traditional Arabic"/>
          <w:color w:val="0D0D0D" w:themeColor="text1" w:themeTint="F2"/>
          <w:rtl/>
          <w:lang w:eastAsia="en-US"/>
        </w:rPr>
        <w:lastRenderedPageBreak/>
        <w:t>والثاني:</w:t>
      </w:r>
      <w:r>
        <w:rPr>
          <w:rFonts w:ascii="Traditional Arabic" w:hAnsi="Traditional Arabic" w:hint="cs"/>
          <w:color w:val="0D0D0D" w:themeColor="text1" w:themeTint="F2"/>
          <w:rtl/>
          <w:lang w:eastAsia="en-US"/>
        </w:rPr>
        <w:t xml:space="preserve"> </w:t>
      </w:r>
      <w:r w:rsidR="00C36615" w:rsidRPr="00B07E03">
        <w:rPr>
          <w:rFonts w:ascii="Traditional Arabic" w:hAnsi="Traditional Arabic"/>
          <w:color w:val="0D0D0D" w:themeColor="text1" w:themeTint="F2"/>
          <w:rtl/>
          <w:lang w:eastAsia="en-US"/>
        </w:rPr>
        <w:t>الموءودة من أولادهم، رواه علي بن أبي طلحة</w:t>
      </w:r>
      <w:r w:rsidR="00C36615" w:rsidRPr="00B07E03">
        <w:rPr>
          <w:rStyle w:val="ae"/>
          <w:color w:val="0D0D0D" w:themeColor="text1" w:themeTint="F2"/>
          <w:rtl/>
        </w:rPr>
        <w:t>(</w:t>
      </w:r>
      <w:r w:rsidR="00C36615" w:rsidRPr="00B07E03">
        <w:rPr>
          <w:rStyle w:val="ae"/>
          <w:color w:val="0D0D0D" w:themeColor="text1" w:themeTint="F2"/>
          <w:rtl/>
        </w:rPr>
        <w:footnoteReference w:id="326"/>
      </w:r>
      <w:r w:rsidR="00C36615" w:rsidRPr="00B07E03">
        <w:rPr>
          <w:rStyle w:val="ae"/>
          <w:color w:val="0D0D0D" w:themeColor="text1" w:themeTint="F2"/>
          <w:rtl/>
        </w:rPr>
        <w:t>)</w:t>
      </w:r>
      <w:r w:rsidR="00C36615" w:rsidRPr="00B07E03">
        <w:rPr>
          <w:rFonts w:ascii="Traditional Arabic" w:hAnsi="Traditional Arabic"/>
          <w:color w:val="0D0D0D" w:themeColor="text1" w:themeTint="F2"/>
          <w:rtl/>
          <w:lang w:eastAsia="en-US"/>
        </w:rPr>
        <w:t>عن ابن عباس</w:t>
      </w:r>
      <w:r w:rsidR="00C36615" w:rsidRPr="00B07E03">
        <w:rPr>
          <w:rStyle w:val="ae"/>
          <w:color w:val="0D0D0D" w:themeColor="text1" w:themeTint="F2"/>
          <w:rtl/>
        </w:rPr>
        <w:t>(</w:t>
      </w:r>
      <w:r w:rsidR="00C36615" w:rsidRPr="00B07E03">
        <w:rPr>
          <w:rStyle w:val="ae"/>
          <w:color w:val="0D0D0D" w:themeColor="text1" w:themeTint="F2"/>
          <w:rtl/>
        </w:rPr>
        <w:footnoteReference w:id="327"/>
      </w:r>
      <w:r w:rsidR="00C36615" w:rsidRPr="00B07E03">
        <w:rPr>
          <w:rStyle w:val="ae"/>
          <w:color w:val="0D0D0D" w:themeColor="text1" w:themeTint="F2"/>
          <w:rtl/>
        </w:rPr>
        <w:t>)</w:t>
      </w:r>
      <w:r w:rsidR="00C36615" w:rsidRPr="00B07E03">
        <w:rPr>
          <w:rFonts w:ascii="Traditional Arabic" w:hAnsi="Traditional Arabic"/>
          <w:color w:val="0D0D0D" w:themeColor="text1" w:themeTint="F2"/>
          <w:rtl/>
          <w:lang w:eastAsia="en-US"/>
        </w:rPr>
        <w:t>. والثالث: أنه تسمية أولادهم عبيداً لأوثانهم، كعبد شمس، وعبد العزى، وعبد مناف، رواه أبو صالح عن ابن عباس</w:t>
      </w:r>
      <w:r w:rsidR="00C36615" w:rsidRPr="00B07E03">
        <w:rPr>
          <w:rStyle w:val="ae"/>
          <w:color w:val="0D0D0D" w:themeColor="text1" w:themeTint="F2"/>
          <w:rtl/>
        </w:rPr>
        <w:t>(</w:t>
      </w:r>
      <w:r w:rsidR="00C36615" w:rsidRPr="00B07E03">
        <w:rPr>
          <w:rStyle w:val="ae"/>
          <w:color w:val="0D0D0D" w:themeColor="text1" w:themeTint="F2"/>
          <w:rtl/>
        </w:rPr>
        <w:footnoteReference w:id="328"/>
      </w:r>
      <w:r w:rsidR="00C36615" w:rsidRPr="00B07E03">
        <w:rPr>
          <w:rStyle w:val="ae"/>
          <w:color w:val="0D0D0D" w:themeColor="text1" w:themeTint="F2"/>
          <w:rtl/>
        </w:rPr>
        <w:t>)</w:t>
      </w:r>
      <w:r w:rsidR="00C36615" w:rsidRPr="00B07E03">
        <w:rPr>
          <w:rFonts w:ascii="Traditional Arabic" w:hAnsi="Traditional Arabic"/>
          <w:color w:val="0D0D0D" w:themeColor="text1" w:themeTint="F2"/>
          <w:rtl/>
          <w:lang w:eastAsia="en-US"/>
        </w:rPr>
        <w:t>. والرابع: ما مَجَّسُوا وهوَّدُوا ونصَّرُوا، وصبغُوا من أولادهم غير صبغة الإِسلام، قاله الحسن، وقتادة</w:t>
      </w:r>
      <w:r w:rsidR="00C36615" w:rsidRPr="00B07E03">
        <w:rPr>
          <w:rStyle w:val="ae"/>
          <w:color w:val="0D0D0D" w:themeColor="text1" w:themeTint="F2"/>
          <w:rtl/>
        </w:rPr>
        <w:t>(</w:t>
      </w:r>
      <w:r w:rsidR="00C36615" w:rsidRPr="00B07E03">
        <w:rPr>
          <w:rStyle w:val="ae"/>
          <w:color w:val="0D0D0D" w:themeColor="text1" w:themeTint="F2"/>
          <w:rtl/>
        </w:rPr>
        <w:footnoteReference w:id="329"/>
      </w:r>
      <w:r w:rsidR="00C36615" w:rsidRPr="00B07E03">
        <w:rPr>
          <w:rStyle w:val="ae"/>
          <w:color w:val="0D0D0D" w:themeColor="text1" w:themeTint="F2"/>
          <w:rtl/>
        </w:rPr>
        <w:t>)</w:t>
      </w:r>
      <w:r w:rsidR="00C36615" w:rsidRPr="00B07E03">
        <w:rPr>
          <w:rFonts w:ascii="Traditional Arabic" w:hAnsi="Traditional Arabic"/>
          <w:color w:val="0D0D0D" w:themeColor="text1" w:themeTint="F2"/>
          <w:rtl/>
          <w:lang w:eastAsia="en-US"/>
        </w:rPr>
        <w:t>.</w:t>
      </w:r>
      <w:r w:rsidR="00C36615">
        <w:rPr>
          <w:rFonts w:ascii="Traditional Arabic" w:hAnsi="Traditional Arabic" w:hint="cs"/>
          <w:color w:val="0D0D0D" w:themeColor="text1" w:themeTint="F2"/>
          <w:rtl/>
          <w:lang w:eastAsia="en-US"/>
        </w:rPr>
        <w:t xml:space="preserve"> </w:t>
      </w:r>
      <w:r w:rsidR="00C36615" w:rsidRPr="00B07E03">
        <w:rPr>
          <w:rFonts w:ascii="Traditional Arabic" w:hAnsi="Traditional Arabic"/>
          <w:color w:val="0D0D0D" w:themeColor="text1" w:themeTint="F2"/>
          <w:rtl/>
          <w:lang w:eastAsia="en-US"/>
        </w:rPr>
        <w:t>قوله تعالى:</w:t>
      </w:r>
      <w:r w:rsidR="00C36615" w:rsidRPr="00B07E03">
        <w:rPr>
          <w:rFonts w:ascii="QCF_BSML" w:hAnsi="QCF_BSML" w:cs="QCF_BSML"/>
          <w:color w:val="0D0D0D" w:themeColor="text1" w:themeTint="F2"/>
          <w:rtl/>
          <w:lang w:eastAsia="en-US"/>
        </w:rPr>
        <w:t xml:space="preserve"> </w:t>
      </w:r>
      <w:r w:rsidR="00C36615" w:rsidRPr="00ED757A">
        <w:rPr>
          <w:rFonts w:ascii="QCF_BSML" w:hAnsi="QCF_BSML" w:cs="QCF_BSML"/>
          <w:color w:val="0D0D0D" w:themeColor="text1" w:themeTint="F2"/>
          <w:sz w:val="32"/>
          <w:szCs w:val="32"/>
          <w:rtl/>
          <w:lang w:eastAsia="en-US"/>
        </w:rPr>
        <w:t>ﭽ</w:t>
      </w:r>
      <w:r w:rsidR="00C36615" w:rsidRPr="00ED757A">
        <w:rPr>
          <w:rFonts w:ascii="Traditional Arabic" w:hAnsi="Traditional Arabic"/>
          <w:color w:val="0D0D0D" w:themeColor="text1" w:themeTint="F2"/>
          <w:sz w:val="32"/>
          <w:szCs w:val="32"/>
          <w:rtl/>
          <w:lang w:eastAsia="en-US"/>
        </w:rPr>
        <w:t xml:space="preserve"> </w:t>
      </w:r>
      <w:r w:rsidR="00C36615" w:rsidRPr="00ED757A">
        <w:rPr>
          <w:rFonts w:ascii="QCF_P288" w:hAnsi="QCF_P288" w:cs="QCF_P288"/>
          <w:color w:val="0D0D0D" w:themeColor="text1" w:themeTint="F2"/>
          <w:sz w:val="32"/>
          <w:szCs w:val="32"/>
          <w:rtl/>
          <w:lang w:eastAsia="en-US"/>
        </w:rPr>
        <w:t>ﯜ</w:t>
      </w:r>
      <w:r w:rsidR="00C36615" w:rsidRPr="00ED757A">
        <w:rPr>
          <w:rFonts w:ascii="QCF_BSML" w:hAnsi="QCF_BSML" w:cs="QCF_BSML"/>
          <w:color w:val="0D0D0D" w:themeColor="text1" w:themeTint="F2"/>
          <w:sz w:val="32"/>
          <w:szCs w:val="32"/>
          <w:rtl/>
          <w:lang w:eastAsia="en-US"/>
        </w:rPr>
        <w:t>ﭼ</w:t>
      </w:r>
      <w:r w:rsidR="00C36615" w:rsidRPr="00B07E03">
        <w:rPr>
          <w:rFonts w:ascii="Traditional Arabic" w:hAnsi="Traditional Arabic"/>
          <w:color w:val="0D0D0D" w:themeColor="text1" w:themeTint="F2"/>
          <w:rtl/>
          <w:lang w:eastAsia="en-US"/>
        </w:rPr>
        <w:t xml:space="preserve"> قد ذكرناه في قوله تعالى:</w:t>
      </w:r>
      <w:r w:rsidR="00C36615" w:rsidRPr="00B07E03">
        <w:rPr>
          <w:rFonts w:ascii="QCF_BSML" w:hAnsi="QCF_BSML" w:cs="QCF_BSML"/>
          <w:color w:val="0D0D0D" w:themeColor="text1" w:themeTint="F2"/>
          <w:rtl/>
          <w:lang w:eastAsia="en-US"/>
        </w:rPr>
        <w:t xml:space="preserve"> </w:t>
      </w:r>
      <w:r w:rsidR="00C36615" w:rsidRPr="00ED757A">
        <w:rPr>
          <w:rFonts w:ascii="QCF_BSML" w:hAnsi="QCF_BSML" w:cs="QCF_BSML"/>
          <w:color w:val="0D0D0D" w:themeColor="text1" w:themeTint="F2"/>
          <w:sz w:val="32"/>
          <w:szCs w:val="32"/>
          <w:rtl/>
          <w:lang w:eastAsia="en-US"/>
        </w:rPr>
        <w:t>ﭽ</w:t>
      </w:r>
      <w:r w:rsidR="00C36615" w:rsidRPr="00ED757A">
        <w:rPr>
          <w:rFonts w:ascii="QCF_BSML" w:hAnsi="QCF_BSML" w:cs="QCF_BSML"/>
          <w:sz w:val="32"/>
          <w:szCs w:val="32"/>
          <w:rtl/>
          <w:lang w:eastAsia="en-US"/>
        </w:rPr>
        <w:t xml:space="preserve"> </w:t>
      </w:r>
      <w:r w:rsidR="00C36615" w:rsidRPr="00ED757A">
        <w:rPr>
          <w:rFonts w:ascii="QCF_P097" w:hAnsi="QCF_P097" w:cs="QCF_P097"/>
          <w:sz w:val="32"/>
          <w:szCs w:val="32"/>
          <w:rtl/>
          <w:lang w:eastAsia="en-US"/>
        </w:rPr>
        <w:t>ﯨ  ﯩ</w:t>
      </w:r>
      <w:r w:rsidR="00C36615" w:rsidRPr="00ED757A">
        <w:rPr>
          <w:rFonts w:ascii="QCF_BSML" w:hAnsi="QCF_BSML" w:cs="QCF_BSML"/>
          <w:sz w:val="32"/>
          <w:szCs w:val="32"/>
          <w:rtl/>
          <w:lang w:eastAsia="en-US"/>
        </w:rPr>
        <w:t>ﭼ</w:t>
      </w:r>
      <w:r w:rsidR="00C836F5" w:rsidRPr="002A07C2">
        <w:rPr>
          <w:color w:val="0D0D0D" w:themeColor="text1" w:themeTint="F2"/>
          <w:sz w:val="28"/>
          <w:szCs w:val="28"/>
          <w:rtl/>
        </w:rPr>
        <w:t>[</w:t>
      </w:r>
      <w:r w:rsidR="00C836F5">
        <w:rPr>
          <w:rFonts w:hint="cs"/>
          <w:color w:val="0D0D0D" w:themeColor="text1" w:themeTint="F2"/>
          <w:sz w:val="28"/>
          <w:szCs w:val="28"/>
          <w:rtl/>
        </w:rPr>
        <w:t>النساء</w:t>
      </w:r>
      <w:r w:rsidR="00C836F5" w:rsidRPr="002A07C2">
        <w:rPr>
          <w:color w:val="0D0D0D" w:themeColor="text1" w:themeTint="F2"/>
          <w:sz w:val="28"/>
          <w:szCs w:val="28"/>
          <w:rtl/>
        </w:rPr>
        <w:t>:</w:t>
      </w:r>
      <w:r w:rsidR="00C836F5">
        <w:rPr>
          <w:rFonts w:hint="cs"/>
          <w:color w:val="0D0D0D" w:themeColor="text1" w:themeTint="F2"/>
          <w:sz w:val="28"/>
          <w:szCs w:val="28"/>
          <w:rtl/>
        </w:rPr>
        <w:t xml:space="preserve"> 120</w:t>
      </w:r>
      <w:r w:rsidR="00C836F5" w:rsidRPr="002A07C2">
        <w:rPr>
          <w:color w:val="0D0D0D" w:themeColor="text1" w:themeTint="F2"/>
          <w:sz w:val="28"/>
          <w:szCs w:val="28"/>
          <w:rtl/>
        </w:rPr>
        <w:t>]</w:t>
      </w:r>
      <w:r w:rsidR="008474CB">
        <w:rPr>
          <w:rFonts w:hint="cs"/>
          <w:color w:val="0D0D0D" w:themeColor="text1" w:themeTint="F2"/>
          <w:sz w:val="28"/>
          <w:szCs w:val="28"/>
          <w:rtl/>
        </w:rPr>
        <w:t xml:space="preserve"> </w:t>
      </w:r>
      <w:r w:rsidR="001277AD" w:rsidRPr="001277AD">
        <w:rPr>
          <w:rFonts w:hint="cs"/>
          <w:color w:val="0D0D0D" w:themeColor="text1" w:themeTint="F2"/>
          <w:sz w:val="32"/>
          <w:szCs w:val="32"/>
          <w:rtl/>
        </w:rPr>
        <w:t>[7</w:t>
      </w:r>
      <w:r w:rsidR="008474CB">
        <w:rPr>
          <w:rFonts w:hint="cs"/>
          <w:color w:val="0D0D0D" w:themeColor="text1" w:themeTint="F2"/>
          <w:sz w:val="32"/>
          <w:szCs w:val="32"/>
          <w:rtl/>
        </w:rPr>
        <w:t>6</w:t>
      </w:r>
      <w:r w:rsidR="001277AD" w:rsidRPr="001277AD">
        <w:rPr>
          <w:rFonts w:hint="cs"/>
          <w:color w:val="0D0D0D" w:themeColor="text1" w:themeTint="F2"/>
          <w:sz w:val="32"/>
          <w:szCs w:val="32"/>
          <w:rtl/>
        </w:rPr>
        <w:t>]</w:t>
      </w:r>
      <w:r w:rsidR="00C836F5">
        <w:rPr>
          <w:rFonts w:ascii="Traditional Arabic" w:hAnsi="Traditional Arabic" w:hint="cs"/>
          <w:color w:val="0D0D0D" w:themeColor="text1" w:themeTint="F2"/>
          <w:sz w:val="32"/>
          <w:szCs w:val="32"/>
          <w:rtl/>
          <w:lang w:eastAsia="en-US"/>
        </w:rPr>
        <w:t xml:space="preserve"> </w:t>
      </w:r>
      <w:r w:rsidR="00C36615" w:rsidRPr="00B07E03">
        <w:rPr>
          <w:rFonts w:ascii="Traditional Arabic" w:hAnsi="Traditional Arabic"/>
          <w:color w:val="0D0D0D" w:themeColor="text1" w:themeTint="F2"/>
          <w:rtl/>
          <w:lang w:eastAsia="en-US"/>
        </w:rPr>
        <w:t>إلى آخر الآية. وهذه</w:t>
      </w:r>
      <w:r w:rsidR="00C36615" w:rsidRPr="00B07E03">
        <w:rPr>
          <w:rFonts w:ascii="Simplified Arabic" w:hAnsi="Simplified Arabic" w:cs="Simplified Arabic" w:hint="cs"/>
          <w:color w:val="0D0D0D" w:themeColor="text1" w:themeTint="F2"/>
          <w:rtl/>
          <w:lang w:eastAsia="en-US"/>
        </w:rPr>
        <w:t xml:space="preserve"> </w:t>
      </w:r>
      <w:r w:rsidR="00C36615" w:rsidRPr="00B07E03">
        <w:rPr>
          <w:rFonts w:ascii="Traditional Arabic" w:hAnsi="Traditional Arabic"/>
          <w:color w:val="0D0D0D" w:themeColor="text1" w:themeTint="F2"/>
          <w:rtl/>
          <w:lang w:eastAsia="en-US"/>
        </w:rPr>
        <w:t>الآية لفظها لفظ الأمر، ومعناها التهديد</w:t>
      </w:r>
      <w:r w:rsidR="00C36615">
        <w:rPr>
          <w:rFonts w:ascii="Traditional Arabic" w:hAnsi="Traditional Arabic"/>
          <w:color w:val="0D0D0D" w:themeColor="text1" w:themeTint="F2"/>
          <w:rtl/>
          <w:lang w:eastAsia="en-US"/>
        </w:rPr>
        <w:t>، ومثلها في الكلام أن تقول لل</w:t>
      </w:r>
      <w:r w:rsidR="00C36615">
        <w:rPr>
          <w:rFonts w:ascii="Traditional Arabic" w:hAnsi="Traditional Arabic" w:hint="cs"/>
          <w:color w:val="0D0D0D" w:themeColor="text1" w:themeTint="F2"/>
          <w:rtl/>
          <w:lang w:eastAsia="en-US"/>
        </w:rPr>
        <w:t>إ</w:t>
      </w:r>
      <w:r w:rsidR="00C36615" w:rsidRPr="00B07E03">
        <w:rPr>
          <w:rFonts w:ascii="Traditional Arabic" w:hAnsi="Traditional Arabic"/>
          <w:color w:val="0D0D0D" w:themeColor="text1" w:themeTint="F2"/>
          <w:rtl/>
          <w:lang w:eastAsia="en-US"/>
        </w:rPr>
        <w:t>نسان: اجهد جهدك فسترى ما ينزل بك</w:t>
      </w:r>
      <w:r w:rsidR="00C36615" w:rsidRPr="00B07E03">
        <w:rPr>
          <w:rFonts w:ascii="Traditional Arabic" w:hAnsi="Traditional Arabic" w:hint="cs"/>
          <w:color w:val="0D0D0D" w:themeColor="text1" w:themeTint="F2"/>
          <w:rtl/>
          <w:lang w:eastAsia="en-US"/>
        </w:rPr>
        <w:t xml:space="preserve"> </w:t>
      </w:r>
      <w:r w:rsidR="00C36615" w:rsidRPr="00B07E03">
        <w:rPr>
          <w:rFonts w:ascii="Traditional Arabic" w:hAnsi="Traditional Arabic"/>
          <w:color w:val="0D0D0D" w:themeColor="text1" w:themeTint="F2"/>
          <w:rtl/>
          <w:lang w:eastAsia="en-US"/>
        </w:rPr>
        <w:t>. قال الزجاج: إذا تقدم الأمرَ نهيٌ عما يؤمر به، فمعناه الوعيد</w:t>
      </w:r>
      <w:r w:rsidR="007A74E0" w:rsidRPr="007A74E0">
        <w:rPr>
          <w:rFonts w:ascii="Traditional Arabic" w:hAnsi="Traditional Arabic"/>
          <w:color w:val="0D0D0D" w:themeColor="text1" w:themeTint="F2"/>
          <w:rtl/>
          <w:lang w:eastAsia="en-US"/>
        </w:rPr>
        <w:t xml:space="preserve"> </w:t>
      </w:r>
      <w:r w:rsidR="007A74E0">
        <w:rPr>
          <w:rFonts w:ascii="Traditional Arabic" w:hAnsi="Traditional Arabic" w:hint="cs"/>
          <w:color w:val="0D0D0D" w:themeColor="text1" w:themeTint="F2"/>
          <w:rtl/>
          <w:lang w:eastAsia="en-US"/>
        </w:rPr>
        <w:t>و</w:t>
      </w:r>
      <w:r w:rsidR="007A74E0">
        <w:rPr>
          <w:rFonts w:ascii="Traditional Arabic" w:hAnsi="Traditional Arabic"/>
          <w:color w:val="0D0D0D" w:themeColor="text1" w:themeTint="F2"/>
          <w:rtl/>
          <w:lang w:eastAsia="en-US"/>
        </w:rPr>
        <w:t>التهديد</w:t>
      </w:r>
      <w:r w:rsidR="00C36615" w:rsidRPr="00B07E03">
        <w:rPr>
          <w:rFonts w:ascii="Traditional Arabic" w:hAnsi="Traditional Arabic"/>
          <w:color w:val="0D0D0D" w:themeColor="text1" w:themeTint="F2"/>
          <w:rtl/>
          <w:lang w:eastAsia="en-US"/>
        </w:rPr>
        <w:t>، تقول</w:t>
      </w:r>
      <w:r w:rsidR="0006647A">
        <w:rPr>
          <w:rFonts w:ascii="Traditional Arabic" w:hAnsi="Traditional Arabic"/>
          <w:color w:val="0D0D0D" w:themeColor="text1" w:themeTint="F2"/>
          <w:rtl/>
          <w:lang w:eastAsia="en-US"/>
        </w:rPr>
        <w:t xml:space="preserve"> للرجل: لا تدخُلَنْ هذه الدار ف</w:t>
      </w:r>
      <w:r w:rsidR="0006647A">
        <w:rPr>
          <w:rFonts w:ascii="Traditional Arabic" w:hAnsi="Traditional Arabic" w:hint="cs"/>
          <w:color w:val="0D0D0D" w:themeColor="text1" w:themeTint="F2"/>
          <w:rtl/>
          <w:lang w:eastAsia="en-US"/>
        </w:rPr>
        <w:t>إ</w:t>
      </w:r>
      <w:r w:rsidR="00C36615" w:rsidRPr="00B07E03">
        <w:rPr>
          <w:rFonts w:ascii="Traditional Arabic" w:hAnsi="Traditional Arabic"/>
          <w:color w:val="0D0D0D" w:themeColor="text1" w:themeTint="F2"/>
          <w:rtl/>
          <w:lang w:eastAsia="en-US"/>
        </w:rPr>
        <w:t>ذا حاول أن يدخلها قلت: ادخُلها وأنت رجل، فلستَ تأمره بدخولها، ولكنك تُوعِده وتهدّده، ومثله:</w:t>
      </w:r>
      <w:r w:rsidR="00C36615" w:rsidRPr="00B07E03">
        <w:rPr>
          <w:rFonts w:ascii="Traditional Arabic" w:hAnsi="Traditional Arabic" w:hint="cs"/>
          <w:color w:val="0D0D0D" w:themeColor="text1" w:themeTint="F2"/>
          <w:rtl/>
          <w:lang w:eastAsia="en-US"/>
        </w:rPr>
        <w:t xml:space="preserve"> </w:t>
      </w:r>
      <w:r w:rsidR="00C36615" w:rsidRPr="00ED757A">
        <w:rPr>
          <w:rFonts w:ascii="QCF_BSML" w:hAnsi="QCF_BSML" w:cs="QCF_BSML"/>
          <w:sz w:val="32"/>
          <w:szCs w:val="32"/>
          <w:rtl/>
          <w:lang w:eastAsia="en-US"/>
        </w:rPr>
        <w:t xml:space="preserve">ﭽ </w:t>
      </w:r>
      <w:r w:rsidR="00C36615" w:rsidRPr="00ED757A">
        <w:rPr>
          <w:rFonts w:ascii="QCF_P481" w:hAnsi="QCF_P481" w:cs="QCF_P481"/>
          <w:sz w:val="32"/>
          <w:szCs w:val="32"/>
          <w:rtl/>
          <w:lang w:eastAsia="en-US"/>
        </w:rPr>
        <w:t>ﭿ  ﮀ  ﮁ</w:t>
      </w:r>
      <w:r w:rsidR="00C36615" w:rsidRPr="00ED757A">
        <w:rPr>
          <w:rFonts w:ascii="QCF_BSML" w:hAnsi="QCF_BSML" w:cs="QCF_BSML"/>
          <w:sz w:val="32"/>
          <w:szCs w:val="32"/>
          <w:rtl/>
          <w:lang w:eastAsia="en-US"/>
        </w:rPr>
        <w:t>ﭼ</w:t>
      </w:r>
      <w:r w:rsidR="00C836F5" w:rsidRPr="00ED757A">
        <w:rPr>
          <w:color w:val="0D0D0D" w:themeColor="text1" w:themeTint="F2"/>
          <w:sz w:val="32"/>
          <w:szCs w:val="32"/>
          <w:rtl/>
        </w:rPr>
        <w:t xml:space="preserve"> </w:t>
      </w:r>
      <w:r w:rsidR="00C836F5" w:rsidRPr="002A07C2">
        <w:rPr>
          <w:color w:val="0D0D0D" w:themeColor="text1" w:themeTint="F2"/>
          <w:sz w:val="28"/>
          <w:szCs w:val="28"/>
          <w:rtl/>
        </w:rPr>
        <w:t>[</w:t>
      </w:r>
      <w:r w:rsidR="00C836F5">
        <w:rPr>
          <w:rFonts w:hint="cs"/>
          <w:color w:val="0D0D0D" w:themeColor="text1" w:themeTint="F2"/>
          <w:sz w:val="28"/>
          <w:szCs w:val="28"/>
          <w:rtl/>
        </w:rPr>
        <w:t>فصلت</w:t>
      </w:r>
      <w:r w:rsidR="00C836F5" w:rsidRPr="002A07C2">
        <w:rPr>
          <w:color w:val="0D0D0D" w:themeColor="text1" w:themeTint="F2"/>
          <w:sz w:val="28"/>
          <w:szCs w:val="28"/>
          <w:rtl/>
        </w:rPr>
        <w:t>:</w:t>
      </w:r>
      <w:r w:rsidR="00C836F5">
        <w:rPr>
          <w:rFonts w:hint="cs"/>
          <w:color w:val="0D0D0D" w:themeColor="text1" w:themeTint="F2"/>
          <w:sz w:val="28"/>
          <w:szCs w:val="28"/>
          <w:rtl/>
        </w:rPr>
        <w:t xml:space="preserve"> 40</w:t>
      </w:r>
      <w:r w:rsidR="00C836F5" w:rsidRPr="002A07C2">
        <w:rPr>
          <w:color w:val="0D0D0D" w:themeColor="text1" w:themeTint="F2"/>
          <w:sz w:val="28"/>
          <w:szCs w:val="28"/>
          <w:rtl/>
        </w:rPr>
        <w:t>]</w:t>
      </w:r>
      <w:r w:rsidR="00C836F5">
        <w:rPr>
          <w:rFonts w:ascii="Traditional Arabic" w:hAnsi="Traditional Arabic" w:hint="cs"/>
          <w:color w:val="0D0D0D" w:themeColor="text1" w:themeTint="F2"/>
          <w:rtl/>
          <w:lang w:eastAsia="en-US"/>
        </w:rPr>
        <w:t xml:space="preserve"> </w:t>
      </w:r>
      <w:r w:rsidR="00C36615" w:rsidRPr="00B07E03">
        <w:rPr>
          <w:rFonts w:ascii="Traditional Arabic" w:hAnsi="Traditional Arabic"/>
          <w:color w:val="0D0D0D" w:themeColor="text1" w:themeTint="F2"/>
          <w:rtl/>
          <w:lang w:eastAsia="en-US"/>
        </w:rPr>
        <w:t>وقد نُهُوا أن يعملوا بالمعاصي</w:t>
      </w:r>
      <w:r w:rsidR="00C36615" w:rsidRPr="00B07E03">
        <w:rPr>
          <w:rStyle w:val="ae"/>
          <w:color w:val="0D0D0D" w:themeColor="text1" w:themeTint="F2"/>
          <w:rtl/>
        </w:rPr>
        <w:t>(</w:t>
      </w:r>
      <w:r w:rsidR="00C36615" w:rsidRPr="00B07E03">
        <w:rPr>
          <w:rStyle w:val="ae"/>
          <w:color w:val="0D0D0D" w:themeColor="text1" w:themeTint="F2"/>
          <w:rtl/>
        </w:rPr>
        <w:footnoteReference w:id="330"/>
      </w:r>
      <w:r w:rsidR="00C36615" w:rsidRPr="00B07E03">
        <w:rPr>
          <w:rStyle w:val="ae"/>
          <w:color w:val="0D0D0D" w:themeColor="text1" w:themeTint="F2"/>
          <w:rtl/>
        </w:rPr>
        <w:t>)</w:t>
      </w:r>
      <w:r w:rsidR="003C4A6B">
        <w:rPr>
          <w:rFonts w:ascii="Traditional Arabic" w:hAnsi="Traditional Arabic"/>
          <w:color w:val="0D0D0D" w:themeColor="text1" w:themeTint="F2"/>
          <w:rtl/>
          <w:lang w:eastAsia="en-US"/>
        </w:rPr>
        <w:t>. وقال ابن ال</w:t>
      </w:r>
      <w:r w:rsidR="003C4A6B">
        <w:rPr>
          <w:rFonts w:ascii="Traditional Arabic" w:hAnsi="Traditional Arabic" w:hint="cs"/>
          <w:color w:val="0D0D0D" w:themeColor="text1" w:themeTint="F2"/>
          <w:rtl/>
          <w:lang w:eastAsia="en-US"/>
        </w:rPr>
        <w:t>أ</w:t>
      </w:r>
      <w:r w:rsidR="00C36615" w:rsidRPr="00B07E03">
        <w:rPr>
          <w:rFonts w:ascii="Traditional Arabic" w:hAnsi="Traditional Arabic"/>
          <w:color w:val="0D0D0D" w:themeColor="text1" w:themeTint="F2"/>
          <w:rtl/>
          <w:lang w:eastAsia="en-US"/>
        </w:rPr>
        <w:t>نباري: هذا أمر معناه التهديد، تقديره: إِن فعلت هذا عاقبناك وعذَّبناك، فنقل إِلى لفظ الأمر عن الشّرط، كقوله تعالى:</w:t>
      </w:r>
      <w:r w:rsidR="00C36615">
        <w:rPr>
          <w:rFonts w:ascii="QCF_BSML" w:hAnsi="QCF_BSML" w:cs="QCF_BSML"/>
          <w:sz w:val="47"/>
          <w:szCs w:val="47"/>
          <w:rtl/>
          <w:lang w:eastAsia="en-US"/>
        </w:rPr>
        <w:t xml:space="preserve"> </w:t>
      </w:r>
      <w:r w:rsidR="00C36615" w:rsidRPr="00ED757A">
        <w:rPr>
          <w:rFonts w:ascii="QCF_BSML" w:hAnsi="QCF_BSML" w:cs="QCF_BSML"/>
          <w:sz w:val="32"/>
          <w:szCs w:val="32"/>
          <w:rtl/>
          <w:lang w:eastAsia="en-US"/>
        </w:rPr>
        <w:t xml:space="preserve">ﭽ </w:t>
      </w:r>
      <w:r w:rsidR="00C36615" w:rsidRPr="00ED757A">
        <w:rPr>
          <w:rFonts w:ascii="QCF_P297" w:hAnsi="QCF_P297" w:cs="QCF_P297"/>
          <w:sz w:val="32"/>
          <w:szCs w:val="32"/>
          <w:rtl/>
          <w:lang w:eastAsia="en-US"/>
        </w:rPr>
        <w:t>ﭷ  ﭸ  ﭹ  ﭺ   ﭻ  ﭼ</w:t>
      </w:r>
      <w:r w:rsidR="00C36615" w:rsidRPr="00ED757A">
        <w:rPr>
          <w:rFonts w:ascii="QCF_BSML" w:hAnsi="QCF_BSML" w:cs="QCF_BSML"/>
          <w:color w:val="0D0D0D" w:themeColor="text1" w:themeTint="F2"/>
          <w:sz w:val="32"/>
          <w:szCs w:val="32"/>
          <w:rtl/>
          <w:lang w:eastAsia="en-US"/>
        </w:rPr>
        <w:t>ﭼ</w:t>
      </w:r>
      <w:r w:rsidR="00C836F5" w:rsidRPr="002A07C2">
        <w:rPr>
          <w:color w:val="0D0D0D" w:themeColor="text1" w:themeTint="F2"/>
          <w:sz w:val="28"/>
          <w:szCs w:val="28"/>
          <w:rtl/>
        </w:rPr>
        <w:t xml:space="preserve"> [</w:t>
      </w:r>
      <w:r w:rsidR="00C836F5">
        <w:rPr>
          <w:rFonts w:hint="cs"/>
          <w:color w:val="0D0D0D" w:themeColor="text1" w:themeTint="F2"/>
          <w:sz w:val="28"/>
          <w:szCs w:val="28"/>
          <w:rtl/>
        </w:rPr>
        <w:t>الكهف</w:t>
      </w:r>
      <w:r w:rsidR="00C836F5" w:rsidRPr="002A07C2">
        <w:rPr>
          <w:color w:val="0D0D0D" w:themeColor="text1" w:themeTint="F2"/>
          <w:sz w:val="28"/>
          <w:szCs w:val="28"/>
          <w:rtl/>
        </w:rPr>
        <w:t>:</w:t>
      </w:r>
      <w:r w:rsidR="00C836F5">
        <w:rPr>
          <w:rFonts w:hint="cs"/>
          <w:color w:val="0D0D0D" w:themeColor="text1" w:themeTint="F2"/>
          <w:sz w:val="28"/>
          <w:szCs w:val="28"/>
          <w:rtl/>
        </w:rPr>
        <w:t xml:space="preserve"> 29</w:t>
      </w:r>
      <w:r w:rsidR="00C836F5" w:rsidRPr="002A07C2">
        <w:rPr>
          <w:color w:val="0D0D0D" w:themeColor="text1" w:themeTint="F2"/>
          <w:sz w:val="28"/>
          <w:szCs w:val="28"/>
          <w:rtl/>
        </w:rPr>
        <w:t>]</w:t>
      </w:r>
      <w:r w:rsidR="00C36615" w:rsidRPr="00B07E03">
        <w:rPr>
          <w:rFonts w:ascii="Traditional Arabic" w:hAnsi="Traditional Arabic" w:hint="cs"/>
          <w:color w:val="0D0D0D" w:themeColor="text1" w:themeTint="F2"/>
          <w:rtl/>
          <w:lang w:eastAsia="en-US"/>
        </w:rPr>
        <w:t xml:space="preserve"> </w:t>
      </w:r>
      <w:r w:rsidR="00C36615" w:rsidRPr="00B07E03">
        <w:rPr>
          <w:rFonts w:ascii="Traditional Arabic" w:hAnsi="Traditional Arabic"/>
          <w:color w:val="0D0D0D" w:themeColor="text1" w:themeTint="F2"/>
          <w:rtl/>
          <w:lang w:eastAsia="en-US"/>
        </w:rPr>
        <w:t>قوله تعالى:</w:t>
      </w:r>
      <w:r w:rsidR="00C36615" w:rsidRPr="00B07E03">
        <w:rPr>
          <w:rFonts w:ascii="Traditional Arabic" w:hAnsi="Traditional Arabic" w:hint="cs"/>
          <w:color w:val="0D0D0D" w:themeColor="text1" w:themeTint="F2"/>
          <w:rtl/>
          <w:lang w:eastAsia="en-US"/>
        </w:rPr>
        <w:t xml:space="preserve"> </w:t>
      </w:r>
      <w:r w:rsidR="00C36615" w:rsidRPr="00B07E03">
        <w:rPr>
          <w:rFonts w:ascii="QCF_BSML" w:hAnsi="QCF_BSML" w:cs="QCF_BSML"/>
          <w:color w:val="0D0D0D" w:themeColor="text1" w:themeTint="F2"/>
          <w:rtl/>
          <w:lang w:eastAsia="en-US"/>
        </w:rPr>
        <w:t xml:space="preserve"> </w:t>
      </w:r>
      <w:r w:rsidR="00C36615" w:rsidRPr="00ED757A">
        <w:rPr>
          <w:rFonts w:ascii="QCF_BSML" w:hAnsi="QCF_BSML" w:cs="QCF_BSML"/>
          <w:color w:val="0D0D0D" w:themeColor="text1" w:themeTint="F2"/>
          <w:sz w:val="32"/>
          <w:szCs w:val="32"/>
          <w:rtl/>
          <w:lang w:eastAsia="en-US"/>
        </w:rPr>
        <w:t>ﭽ</w:t>
      </w:r>
      <w:r w:rsidR="00C36615" w:rsidRPr="00ED757A">
        <w:rPr>
          <w:rFonts w:ascii="QCF_P288" w:hAnsi="QCF_P288" w:cs="QCF_P288"/>
          <w:color w:val="0D0D0D" w:themeColor="text1" w:themeTint="F2"/>
          <w:sz w:val="32"/>
          <w:szCs w:val="32"/>
          <w:rtl/>
          <w:lang w:eastAsia="en-US"/>
        </w:rPr>
        <w:t xml:space="preserve">ﯤ  ﯥ  ﯦ  ﯧ  ﯨ  ﯩﯪ  </w:t>
      </w:r>
      <w:r w:rsidR="00C36615" w:rsidRPr="00ED757A">
        <w:rPr>
          <w:rFonts w:ascii="QCF_BSML" w:hAnsi="QCF_BSML" w:cs="QCF_BSML"/>
          <w:color w:val="0D0D0D" w:themeColor="text1" w:themeTint="F2"/>
          <w:sz w:val="32"/>
          <w:szCs w:val="32"/>
          <w:rtl/>
          <w:lang w:eastAsia="en-US"/>
        </w:rPr>
        <w:t>ﭼ</w:t>
      </w:r>
      <w:r w:rsidR="00C36615" w:rsidRPr="00ED757A">
        <w:rPr>
          <w:rFonts w:ascii="Traditional Arabic" w:hAnsi="Traditional Arabic"/>
          <w:color w:val="0D0D0D" w:themeColor="text1" w:themeTint="F2"/>
          <w:sz w:val="32"/>
          <w:szCs w:val="32"/>
          <w:rtl/>
          <w:lang w:eastAsia="en-US"/>
        </w:rPr>
        <w:t xml:space="preserve"> </w:t>
      </w:r>
      <w:r w:rsidR="00C36615" w:rsidRPr="00B07E03">
        <w:rPr>
          <w:rFonts w:ascii="Traditional Arabic" w:hAnsi="Traditional Arabic"/>
          <w:color w:val="0D0D0D" w:themeColor="text1" w:themeTint="F2"/>
          <w:rtl/>
          <w:lang w:eastAsia="en-US"/>
        </w:rPr>
        <w:t>قد شرحناه في الحجر</w:t>
      </w:r>
      <w:r w:rsidR="00C36615" w:rsidRPr="00B07E03">
        <w:rPr>
          <w:rStyle w:val="ae"/>
          <w:color w:val="0D0D0D" w:themeColor="text1" w:themeTint="F2"/>
          <w:rtl/>
        </w:rPr>
        <w:t>(</w:t>
      </w:r>
      <w:r w:rsidR="00C36615" w:rsidRPr="00B07E03">
        <w:rPr>
          <w:rStyle w:val="ae"/>
          <w:color w:val="0D0D0D" w:themeColor="text1" w:themeTint="F2"/>
          <w:rtl/>
        </w:rPr>
        <w:footnoteReference w:id="331"/>
      </w:r>
      <w:r w:rsidR="00C36615" w:rsidRPr="00B07E03">
        <w:rPr>
          <w:rStyle w:val="ae"/>
          <w:color w:val="0D0D0D" w:themeColor="text1" w:themeTint="F2"/>
          <w:rtl/>
        </w:rPr>
        <w:t>)</w:t>
      </w:r>
      <w:r w:rsidR="00C36615" w:rsidRPr="00B07E03">
        <w:rPr>
          <w:rFonts w:ascii="Traditional Arabic" w:hAnsi="Traditional Arabic"/>
          <w:color w:val="0D0D0D" w:themeColor="text1" w:themeTint="F2"/>
          <w:rtl/>
          <w:lang w:eastAsia="en-US"/>
        </w:rPr>
        <w:t>. قوله تعالى:</w:t>
      </w:r>
      <w:r w:rsidR="00C36615" w:rsidRPr="00B07E03">
        <w:rPr>
          <w:rFonts w:ascii="QCF_BSML" w:hAnsi="QCF_BSML" w:cs="QCF_BSML"/>
          <w:color w:val="0D0D0D" w:themeColor="text1" w:themeTint="F2"/>
          <w:rtl/>
          <w:lang w:eastAsia="en-US"/>
        </w:rPr>
        <w:t xml:space="preserve"> </w:t>
      </w:r>
      <w:r w:rsidR="00C36615" w:rsidRPr="00ED757A">
        <w:rPr>
          <w:rFonts w:ascii="QCF_BSML" w:hAnsi="QCF_BSML" w:cs="QCF_BSML"/>
          <w:color w:val="0D0D0D" w:themeColor="text1" w:themeTint="F2"/>
          <w:sz w:val="32"/>
          <w:szCs w:val="32"/>
          <w:rtl/>
          <w:lang w:eastAsia="en-US"/>
        </w:rPr>
        <w:t>ﭽ</w:t>
      </w:r>
      <w:r w:rsidR="00C36615" w:rsidRPr="00ED757A">
        <w:rPr>
          <w:rFonts w:ascii="Traditional Arabic" w:hAnsi="Traditional Arabic"/>
          <w:color w:val="0D0D0D" w:themeColor="text1" w:themeTint="F2"/>
          <w:sz w:val="32"/>
          <w:szCs w:val="32"/>
          <w:rtl/>
          <w:lang w:eastAsia="en-US"/>
        </w:rPr>
        <w:t xml:space="preserve"> </w:t>
      </w:r>
      <w:r w:rsidR="00C36615" w:rsidRPr="00ED757A">
        <w:rPr>
          <w:rFonts w:ascii="QCF_P288" w:hAnsi="QCF_P288" w:cs="QCF_P288"/>
          <w:color w:val="0D0D0D" w:themeColor="text1" w:themeTint="F2"/>
          <w:sz w:val="32"/>
          <w:szCs w:val="32"/>
          <w:rtl/>
          <w:lang w:eastAsia="en-US"/>
        </w:rPr>
        <w:t>ﯫ   ﯬ  ﯭ</w:t>
      </w:r>
      <w:r w:rsidR="00C36615" w:rsidRPr="00ED757A">
        <w:rPr>
          <w:rFonts w:ascii="QCF_BSML" w:hAnsi="QCF_BSML" w:cs="QCF_BSML"/>
          <w:color w:val="0D0D0D" w:themeColor="text1" w:themeTint="F2"/>
          <w:sz w:val="32"/>
          <w:szCs w:val="32"/>
          <w:rtl/>
          <w:lang w:eastAsia="en-US"/>
        </w:rPr>
        <w:t>ﭼ</w:t>
      </w:r>
      <w:r w:rsidR="00C36615" w:rsidRPr="00B07E03">
        <w:rPr>
          <w:rFonts w:ascii="Traditional Arabic" w:hAnsi="Traditional Arabic"/>
          <w:color w:val="0D0D0D" w:themeColor="text1" w:themeTint="F2"/>
          <w:rtl/>
          <w:lang w:eastAsia="en-US"/>
        </w:rPr>
        <w:t xml:space="preserve"> قال الزجاج: كفى به وكيلاً لأوليائه يعصمهم من القبول من إِبليس.</w:t>
      </w:r>
      <w:r w:rsidR="00C36615" w:rsidRPr="00B07E03">
        <w:rPr>
          <w:rStyle w:val="ae"/>
          <w:color w:val="0D0D0D" w:themeColor="text1" w:themeTint="F2"/>
          <w:rtl/>
        </w:rPr>
        <w:t>(</w:t>
      </w:r>
      <w:r w:rsidR="00C36615" w:rsidRPr="00B07E03">
        <w:rPr>
          <w:rStyle w:val="ae"/>
          <w:color w:val="0D0D0D" w:themeColor="text1" w:themeTint="F2"/>
          <w:rtl/>
        </w:rPr>
        <w:footnoteReference w:id="332"/>
      </w:r>
      <w:r w:rsidR="00C36615" w:rsidRPr="00B07E03">
        <w:rPr>
          <w:rStyle w:val="ae"/>
          <w:color w:val="0D0D0D" w:themeColor="text1" w:themeTint="F2"/>
          <w:rtl/>
        </w:rPr>
        <w:t>)</w:t>
      </w:r>
      <w:r w:rsidR="00C36615" w:rsidRPr="00B07E03">
        <w:rPr>
          <w:rFonts w:ascii="QCF_BSML" w:hAnsi="QCF_BSML" w:cs="QCF_BSML"/>
          <w:color w:val="0D0D0D" w:themeColor="text1" w:themeTint="F2"/>
          <w:sz w:val="47"/>
          <w:szCs w:val="47"/>
          <w:rtl/>
          <w:lang w:eastAsia="en-US"/>
        </w:rPr>
        <w:t xml:space="preserve"> </w:t>
      </w:r>
    </w:p>
    <w:p w:rsidR="00C36615" w:rsidRPr="00B07E03" w:rsidRDefault="00C36615" w:rsidP="00C36615">
      <w:pPr>
        <w:widowControl/>
        <w:autoSpaceDE w:val="0"/>
        <w:autoSpaceDN w:val="0"/>
        <w:adjustRightInd w:val="0"/>
        <w:ind w:firstLine="0"/>
        <w:rPr>
          <w:rFonts w:ascii="Traditional Arabic" w:hAnsi="Traditional Arabic"/>
          <w:b/>
          <w:bCs/>
          <w:color w:val="0D0D0D" w:themeColor="text1" w:themeTint="F2"/>
          <w:sz w:val="44"/>
          <w:szCs w:val="44"/>
          <w:rtl/>
          <w:lang w:eastAsia="en-US"/>
        </w:rPr>
      </w:pPr>
      <w:r w:rsidRPr="009A5E79">
        <w:rPr>
          <w:rFonts w:ascii="QCF_BSML" w:hAnsi="QCF_BSML" w:cs="QCF_BSML"/>
          <w:color w:val="0D0D0D" w:themeColor="text1" w:themeTint="F2"/>
          <w:sz w:val="32"/>
          <w:szCs w:val="32"/>
          <w:rtl/>
          <w:lang w:eastAsia="en-US"/>
        </w:rPr>
        <w:lastRenderedPageBreak/>
        <w:t>ﭽ</w:t>
      </w:r>
      <w:r w:rsidRPr="009A5E79">
        <w:rPr>
          <w:rFonts w:ascii="QCF_P288" w:hAnsi="QCF_P288" w:cs="QCF_P288"/>
          <w:color w:val="0D0D0D" w:themeColor="text1" w:themeTint="F2"/>
          <w:sz w:val="32"/>
          <w:szCs w:val="32"/>
          <w:rtl/>
          <w:lang w:eastAsia="en-US"/>
        </w:rPr>
        <w:t xml:space="preserve">ﯯ  ﯰ  ﯱ  ﯲ  ﯳ     ﯴ  ﯵ       ﯶ  ﯷ  ﯸﯹ  ﯺ    ﯻ         ﯼ  ﯽ  ﯾ   </w:t>
      </w:r>
      <w:r w:rsidRPr="009A5E79">
        <w:rPr>
          <w:rFonts w:ascii="QCF_P289" w:hAnsi="QCF_P289" w:cs="QCF_P289"/>
          <w:color w:val="0D0D0D" w:themeColor="text1" w:themeTint="F2"/>
          <w:sz w:val="32"/>
          <w:szCs w:val="32"/>
          <w:rtl/>
          <w:lang w:eastAsia="en-US"/>
        </w:rPr>
        <w:t xml:space="preserve">ﭑ  ﭒ  ﭓ    ﭔ  ﭕ    ﭖ  ﭗ  ﭘ  ﭙ   ﭚﭛ  ﭜ  ﭝ   ﭞ   ﭟ  ﭠﭡ  ﭢ  ﭣ  ﭤ           ﭥ  ﭦ  ﭧ  ﭨ   ﭩ   ﭪ  ﭫ   ﭬ    ﭭ  ﭮ  ﭯ  ﭰ  ﭱ  ﭲ  ﭳ   ﭴ  ﭵ  ﭶ  ﭷ  ﭸ  ﭹ  ﭺ  ﭻ  ﭼ  ﭽ   ﭾ  ﭿ  ﮀ  ﮁ  ﮂ  ﮃ  ﮄﮅ  ﮆ  ﮇ  ﮈ   ﮉ  ﮊ  ﮋ   ﮌ  ﮍ  ﮎ  ﮏ  ﮐ        ﮑ  ﮒ  ﮓ   ﮔ  ﮕ  ﮖ  ﮗ  ﮘ  ﮙ  ﮚ  ﮛ   ﮜ  ﮝ  ﮞ  ﮟ  ﮠ  </w:t>
      </w:r>
      <w:r w:rsidRPr="009A5E79">
        <w:rPr>
          <w:rFonts w:ascii="QCF_BSML" w:hAnsi="QCF_BSML" w:cs="QCF_BSML"/>
          <w:color w:val="0D0D0D" w:themeColor="text1" w:themeTint="F2"/>
          <w:sz w:val="32"/>
          <w:szCs w:val="32"/>
          <w:rtl/>
          <w:lang w:eastAsia="en-US"/>
        </w:rPr>
        <w:t>ﭼ</w:t>
      </w:r>
      <w:r w:rsidRPr="009A5E79">
        <w:rPr>
          <w:rFonts w:ascii="Arial" w:hAnsi="Arial" w:cs="Arial"/>
          <w:color w:val="0D0D0D" w:themeColor="text1" w:themeTint="F2"/>
          <w:sz w:val="32"/>
          <w:szCs w:val="32"/>
          <w:rtl/>
          <w:lang w:eastAsia="en-US"/>
        </w:rPr>
        <w:t xml:space="preserve"> </w:t>
      </w:r>
    </w:p>
    <w:p w:rsidR="00A751AA" w:rsidRDefault="00C36615" w:rsidP="007A4BE4">
      <w:pPr>
        <w:widowControl/>
        <w:autoSpaceDE w:val="0"/>
        <w:autoSpaceDN w:val="0"/>
        <w:adjustRightInd w:val="0"/>
        <w:ind w:firstLine="0"/>
        <w:rPr>
          <w:rFonts w:ascii="Traditional Arabic" w:hAnsi="Traditional Arabic"/>
          <w:color w:val="0D0D0D" w:themeColor="text1" w:themeTint="F2"/>
          <w:rtl/>
          <w:lang w:eastAsia="en-US"/>
        </w:rPr>
      </w:pPr>
      <w:r w:rsidRPr="00B07E03">
        <w:rPr>
          <w:rFonts w:ascii="Traditional Arabic" w:hAnsi="Traditional Arabic"/>
          <w:color w:val="0D0D0D" w:themeColor="text1" w:themeTint="F2"/>
          <w:rtl/>
          <w:lang w:eastAsia="en-US"/>
        </w:rPr>
        <w:t>قوله تعالى:</w:t>
      </w:r>
      <w:r w:rsidRPr="00B07E03">
        <w:rPr>
          <w:rFonts w:ascii="QCF_BSML" w:hAnsi="QCF_BSML" w:cs="QCF_BSML"/>
          <w:color w:val="0D0D0D" w:themeColor="text1" w:themeTint="F2"/>
          <w:rtl/>
          <w:lang w:eastAsia="en-US"/>
        </w:rPr>
        <w:t xml:space="preserve"> </w:t>
      </w:r>
      <w:r w:rsidRPr="00A751AA">
        <w:rPr>
          <w:rFonts w:ascii="QCF_BSML" w:hAnsi="QCF_BSML" w:cs="QCF_BSML"/>
          <w:color w:val="0D0D0D" w:themeColor="text1" w:themeTint="F2"/>
          <w:sz w:val="32"/>
          <w:szCs w:val="32"/>
          <w:rtl/>
          <w:lang w:eastAsia="en-US"/>
        </w:rPr>
        <w:t>ﭽ</w:t>
      </w:r>
      <w:r w:rsidRPr="00A751AA">
        <w:rPr>
          <w:rFonts w:ascii="QCF_P288" w:hAnsi="QCF_P288" w:cs="QCF_P288"/>
          <w:color w:val="0D0D0D" w:themeColor="text1" w:themeTint="F2"/>
          <w:sz w:val="32"/>
          <w:szCs w:val="32"/>
          <w:rtl/>
          <w:lang w:eastAsia="en-US"/>
        </w:rPr>
        <w:t xml:space="preserve"> ﯯ  ﯰ  ﯱ  ﯲ  ﯳ</w:t>
      </w:r>
      <w:r w:rsidRPr="00A751AA">
        <w:rPr>
          <w:rFonts w:ascii="QCF_BSML" w:hAnsi="QCF_BSML" w:cs="QCF_BSML"/>
          <w:color w:val="0D0D0D" w:themeColor="text1" w:themeTint="F2"/>
          <w:sz w:val="32"/>
          <w:szCs w:val="32"/>
          <w:rtl/>
          <w:lang w:eastAsia="en-US"/>
        </w:rPr>
        <w:t xml:space="preserve"> ﭼ</w:t>
      </w:r>
      <w:r w:rsidRPr="00A751AA">
        <w:rPr>
          <w:rFonts w:ascii="Traditional Arabic" w:hAnsi="Traditional Arabic"/>
          <w:color w:val="0D0D0D" w:themeColor="text1" w:themeTint="F2"/>
          <w:sz w:val="32"/>
          <w:szCs w:val="32"/>
          <w:rtl/>
          <w:lang w:eastAsia="en-US"/>
        </w:rPr>
        <w:t xml:space="preserve"> </w:t>
      </w:r>
      <w:r w:rsidRPr="00B07E03">
        <w:rPr>
          <w:rFonts w:ascii="Traditional Arabic" w:hAnsi="Traditional Arabic"/>
          <w:color w:val="0D0D0D" w:themeColor="text1" w:themeTint="F2"/>
          <w:rtl/>
          <w:lang w:eastAsia="en-US"/>
        </w:rPr>
        <w:t>أي: يسيِّرها. قال الزجاج</w:t>
      </w:r>
      <w:r w:rsidRPr="00B07E03">
        <w:rPr>
          <w:rFonts w:ascii="Traditional Arabic" w:hAnsi="Traditional Arabic" w:hint="cs"/>
          <w:color w:val="0D0D0D" w:themeColor="text1" w:themeTint="F2"/>
          <w:rtl/>
          <w:lang w:eastAsia="en-US"/>
        </w:rPr>
        <w:t xml:space="preserve"> </w:t>
      </w:r>
      <w:r w:rsidRPr="00B07E03">
        <w:rPr>
          <w:rFonts w:ascii="Traditional Arabic" w:hAnsi="Traditional Arabic"/>
          <w:color w:val="0D0D0D" w:themeColor="text1" w:themeTint="F2"/>
          <w:rtl/>
          <w:lang w:eastAsia="en-US"/>
        </w:rPr>
        <w:t>: يقال: ز</w:t>
      </w:r>
      <w:r w:rsidR="003C4A6B">
        <w:rPr>
          <w:rFonts w:ascii="Traditional Arabic" w:hAnsi="Traditional Arabic" w:hint="cs"/>
          <w:color w:val="0D0D0D" w:themeColor="text1" w:themeTint="F2"/>
          <w:rtl/>
          <w:lang w:eastAsia="en-US"/>
        </w:rPr>
        <w:t>َ</w:t>
      </w:r>
      <w:r w:rsidRPr="00B07E03">
        <w:rPr>
          <w:rFonts w:ascii="Traditional Arabic" w:hAnsi="Traditional Arabic"/>
          <w:color w:val="0D0D0D" w:themeColor="text1" w:themeTint="F2"/>
          <w:rtl/>
          <w:lang w:eastAsia="en-US"/>
        </w:rPr>
        <w:t>ج</w:t>
      </w:r>
      <w:r w:rsidR="003C4A6B">
        <w:rPr>
          <w:rFonts w:ascii="Traditional Arabic" w:hAnsi="Traditional Arabic" w:hint="cs"/>
          <w:color w:val="0D0D0D" w:themeColor="text1" w:themeTint="F2"/>
          <w:rtl/>
          <w:lang w:eastAsia="en-US"/>
        </w:rPr>
        <w:t>َّ</w:t>
      </w:r>
      <w:r w:rsidRPr="00B07E03">
        <w:rPr>
          <w:rFonts w:ascii="Traditional Arabic" w:hAnsi="Traditional Arabic"/>
          <w:color w:val="0D0D0D" w:themeColor="text1" w:themeTint="F2"/>
          <w:rtl/>
          <w:lang w:eastAsia="en-US"/>
        </w:rPr>
        <w:t>يت</w:t>
      </w:r>
      <w:r w:rsidR="003C4A6B">
        <w:rPr>
          <w:rFonts w:ascii="Traditional Arabic" w:hAnsi="Traditional Arabic" w:hint="cs"/>
          <w:color w:val="0D0D0D" w:themeColor="text1" w:themeTint="F2"/>
          <w:rtl/>
          <w:lang w:eastAsia="en-US"/>
        </w:rPr>
        <w:t>ُ</w:t>
      </w:r>
      <w:r w:rsidRPr="00B07E03">
        <w:rPr>
          <w:rFonts w:ascii="Traditional Arabic" w:hAnsi="Traditional Arabic"/>
          <w:color w:val="0D0D0D" w:themeColor="text1" w:themeTint="F2"/>
          <w:rtl/>
          <w:lang w:eastAsia="en-US"/>
        </w:rPr>
        <w:t xml:space="preserve"> الشيء، أي قدمته.</w:t>
      </w:r>
      <w:r w:rsidRPr="00B07E03">
        <w:rPr>
          <w:rStyle w:val="ae"/>
          <w:color w:val="0D0D0D" w:themeColor="text1" w:themeTint="F2"/>
          <w:rtl/>
        </w:rPr>
        <w:t>(</w:t>
      </w:r>
      <w:r w:rsidRPr="00B07E03">
        <w:rPr>
          <w:rStyle w:val="ae"/>
          <w:color w:val="0D0D0D" w:themeColor="text1" w:themeTint="F2"/>
          <w:rtl/>
        </w:rPr>
        <w:footnoteReference w:id="333"/>
      </w:r>
      <w:r w:rsidRPr="00B07E03">
        <w:rPr>
          <w:rStyle w:val="ae"/>
          <w:color w:val="0D0D0D" w:themeColor="text1" w:themeTint="F2"/>
          <w:rtl/>
        </w:rPr>
        <w:t>)</w:t>
      </w:r>
      <w:r w:rsidRPr="00B07E03">
        <w:rPr>
          <w:rFonts w:ascii="Traditional Arabic" w:hAnsi="Traditional Arabic"/>
          <w:color w:val="0D0D0D" w:themeColor="text1" w:themeTint="F2"/>
          <w:rtl/>
          <w:lang w:eastAsia="en-US"/>
        </w:rPr>
        <w:t xml:space="preserve"> قوله تعالى:</w:t>
      </w:r>
      <w:r w:rsidRPr="00B07E03">
        <w:rPr>
          <w:rFonts w:ascii="QCF_BSML" w:hAnsi="QCF_BSML" w:cs="QCF_BSML"/>
          <w:color w:val="0D0D0D" w:themeColor="text1" w:themeTint="F2"/>
          <w:sz w:val="32"/>
          <w:szCs w:val="32"/>
          <w:rtl/>
          <w:lang w:eastAsia="en-US"/>
        </w:rPr>
        <w:t xml:space="preserve"> </w:t>
      </w:r>
      <w:r w:rsidRPr="00A751AA">
        <w:rPr>
          <w:rFonts w:ascii="QCF_BSML" w:hAnsi="QCF_BSML" w:cs="QCF_BSML"/>
          <w:color w:val="0D0D0D" w:themeColor="text1" w:themeTint="F2"/>
          <w:sz w:val="32"/>
          <w:szCs w:val="32"/>
          <w:rtl/>
          <w:lang w:eastAsia="en-US"/>
        </w:rPr>
        <w:t>ﭽ</w:t>
      </w:r>
      <w:r w:rsidRPr="00A751AA">
        <w:rPr>
          <w:rFonts w:ascii="QCF_P288" w:hAnsi="QCF_P288" w:cs="QCF_P288"/>
          <w:color w:val="0D0D0D" w:themeColor="text1" w:themeTint="F2"/>
          <w:sz w:val="32"/>
          <w:szCs w:val="32"/>
          <w:rtl/>
          <w:lang w:eastAsia="en-US"/>
        </w:rPr>
        <w:t xml:space="preserve"> ﯶ  ﯷ  ﯸ</w:t>
      </w:r>
      <w:r w:rsidRPr="00A751AA">
        <w:rPr>
          <w:rFonts w:ascii="QCF_BSML" w:hAnsi="QCF_BSML" w:cs="QCF_BSML"/>
          <w:color w:val="0D0D0D" w:themeColor="text1" w:themeTint="F2"/>
          <w:sz w:val="32"/>
          <w:szCs w:val="32"/>
          <w:rtl/>
          <w:lang w:eastAsia="en-US"/>
        </w:rPr>
        <w:t>ﭼ</w:t>
      </w:r>
      <w:r w:rsidRPr="00A751AA">
        <w:rPr>
          <w:rFonts w:ascii="Traditional Arabic" w:hAnsi="Traditional Arabic"/>
          <w:color w:val="0D0D0D" w:themeColor="text1" w:themeTint="F2"/>
          <w:sz w:val="32"/>
          <w:szCs w:val="32"/>
          <w:rtl/>
          <w:lang w:eastAsia="en-US"/>
        </w:rPr>
        <w:t xml:space="preserve"> </w:t>
      </w:r>
      <w:r w:rsidRPr="00B07E03">
        <w:rPr>
          <w:rFonts w:ascii="Traditional Arabic" w:hAnsi="Traditional Arabic"/>
          <w:color w:val="0D0D0D" w:themeColor="text1" w:themeTint="F2"/>
          <w:rtl/>
          <w:lang w:eastAsia="en-US"/>
        </w:rPr>
        <w:t>أي: في طلب التجارة. وفي</w:t>
      </w:r>
      <w:r w:rsidRPr="00271975">
        <w:rPr>
          <w:rFonts w:ascii="QCF_BSML" w:hAnsi="QCF_BSML" w:cs="QCF_BSML"/>
          <w:color w:val="0D0D0D" w:themeColor="text1" w:themeTint="F2"/>
          <w:sz w:val="32"/>
          <w:szCs w:val="32"/>
          <w:rtl/>
          <w:lang w:eastAsia="en-US"/>
        </w:rPr>
        <w:t xml:space="preserve"> </w:t>
      </w:r>
      <w:r w:rsidRPr="00A751AA">
        <w:rPr>
          <w:rFonts w:ascii="QCF_BSML" w:hAnsi="QCF_BSML" w:cs="QCF_BSML"/>
          <w:color w:val="0D0D0D" w:themeColor="text1" w:themeTint="F2"/>
          <w:sz w:val="32"/>
          <w:szCs w:val="32"/>
          <w:rtl/>
          <w:lang w:eastAsia="en-US"/>
        </w:rPr>
        <w:t>ﭽ</w:t>
      </w:r>
      <w:r w:rsidRPr="00A751AA">
        <w:rPr>
          <w:rFonts w:ascii="QCF_P288" w:hAnsi="QCF_P288" w:cs="QCF_P288"/>
          <w:color w:val="0D0D0D" w:themeColor="text1" w:themeTint="F2"/>
          <w:sz w:val="32"/>
          <w:szCs w:val="32"/>
          <w:rtl/>
          <w:lang w:eastAsia="en-US"/>
        </w:rPr>
        <w:t>ﯷ</w:t>
      </w:r>
      <w:r w:rsidRPr="00A751AA">
        <w:rPr>
          <w:rFonts w:ascii="QCF_BSML" w:hAnsi="QCF_BSML" w:cs="QCF_BSML"/>
          <w:color w:val="0D0D0D" w:themeColor="text1" w:themeTint="F2"/>
          <w:sz w:val="32"/>
          <w:szCs w:val="32"/>
          <w:rtl/>
          <w:lang w:eastAsia="en-US"/>
        </w:rPr>
        <w:t>ﭼ</w:t>
      </w:r>
      <w:r w:rsidRPr="00B07E03">
        <w:rPr>
          <w:rFonts w:ascii="Traditional Arabic" w:hAnsi="Traditional Arabic"/>
          <w:color w:val="0D0D0D" w:themeColor="text1" w:themeTint="F2"/>
          <w:rtl/>
          <w:lang w:eastAsia="en-US"/>
        </w:rPr>
        <w:t xml:space="preserve"> ثلاثة أقوال:</w:t>
      </w:r>
      <w:r w:rsidRPr="00B07E03">
        <w:rPr>
          <w:rFonts w:ascii="Traditional Arabic" w:hAnsi="Traditional Arabic" w:hint="cs"/>
          <w:color w:val="0D0D0D" w:themeColor="text1" w:themeTint="F2"/>
          <w:rtl/>
          <w:lang w:eastAsia="en-US"/>
        </w:rPr>
        <w:t xml:space="preserve"> </w:t>
      </w:r>
      <w:r w:rsidRPr="00B07E03">
        <w:rPr>
          <w:rFonts w:ascii="Traditional Arabic" w:hAnsi="Traditional Arabic"/>
          <w:color w:val="0D0D0D" w:themeColor="text1" w:themeTint="F2"/>
          <w:rtl/>
          <w:lang w:eastAsia="en-US"/>
        </w:rPr>
        <w:t>أحدها: أنها زائدة. والثاني: أنها للتبعيض</w:t>
      </w:r>
      <w:r>
        <w:rPr>
          <w:rFonts w:ascii="Traditional Arabic" w:hAnsi="Traditional Arabic"/>
          <w:color w:val="0D0D0D" w:themeColor="text1" w:themeTint="F2"/>
          <w:rtl/>
          <w:lang w:eastAsia="en-US"/>
        </w:rPr>
        <w:t>.</w:t>
      </w:r>
      <w:r w:rsidR="0085355C">
        <w:rPr>
          <w:rFonts w:ascii="Traditional Arabic" w:hAnsi="Traditional Arabic" w:hint="cs"/>
          <w:color w:val="0D0D0D" w:themeColor="text1" w:themeTint="F2"/>
          <w:rtl/>
          <w:lang w:eastAsia="en-US"/>
        </w:rPr>
        <w:t xml:space="preserve"> </w:t>
      </w:r>
      <w:r w:rsidRPr="00B07E03">
        <w:rPr>
          <w:rFonts w:ascii="Traditional Arabic" w:hAnsi="Traditional Arabic"/>
          <w:color w:val="0D0D0D" w:themeColor="text1" w:themeTint="F2"/>
          <w:rtl/>
          <w:lang w:eastAsia="en-US"/>
        </w:rPr>
        <w:t>والثالث: أن المفعول</w:t>
      </w:r>
      <w:r>
        <w:rPr>
          <w:rFonts w:ascii="QCF_BSML" w:hAnsi="QCF_BSML" w:cs="QCF_BSML" w:hint="cs"/>
          <w:color w:val="0D0D0D" w:themeColor="text1" w:themeTint="F2"/>
          <w:sz w:val="32"/>
          <w:szCs w:val="32"/>
          <w:rtl/>
          <w:lang w:eastAsia="en-US"/>
        </w:rPr>
        <w:t xml:space="preserve"> </w:t>
      </w:r>
      <w:r>
        <w:rPr>
          <w:rFonts w:ascii="Traditional Arabic" w:hAnsi="Traditional Arabic" w:hint="cs"/>
          <w:color w:val="0D0D0D" w:themeColor="text1" w:themeTint="F2"/>
          <w:sz w:val="32"/>
          <w:szCs w:val="32"/>
          <w:rtl/>
          <w:lang w:eastAsia="en-US"/>
        </w:rPr>
        <w:t xml:space="preserve"> محذوف </w:t>
      </w:r>
      <w:r>
        <w:rPr>
          <w:rFonts w:ascii="QCF_BSML" w:hAnsi="QCF_BSML" w:cs="QCF_BSML" w:hint="cs"/>
          <w:color w:val="0D0D0D" w:themeColor="text1" w:themeTint="F2"/>
          <w:sz w:val="32"/>
          <w:szCs w:val="32"/>
          <w:rtl/>
          <w:lang w:eastAsia="en-US"/>
        </w:rPr>
        <w:t xml:space="preserve"> </w:t>
      </w:r>
      <w:r w:rsidRPr="00B07E03">
        <w:rPr>
          <w:rFonts w:ascii="Traditional Arabic" w:hAnsi="Traditional Arabic"/>
          <w:color w:val="0D0D0D" w:themeColor="text1" w:themeTint="F2"/>
          <w:rtl/>
          <w:lang w:eastAsia="en-US"/>
        </w:rPr>
        <w:t>والتقدير: لتبتغوا من فضله الرزق والخير، ذكرهنَّ ابن الأنباري</w:t>
      </w:r>
      <w:r w:rsidRPr="00B07E03">
        <w:rPr>
          <w:rStyle w:val="ae"/>
          <w:color w:val="0D0D0D" w:themeColor="text1" w:themeTint="F2"/>
          <w:rtl/>
        </w:rPr>
        <w:t>(</w:t>
      </w:r>
      <w:r w:rsidRPr="00B07E03">
        <w:rPr>
          <w:rStyle w:val="ae"/>
          <w:color w:val="0D0D0D" w:themeColor="text1" w:themeTint="F2"/>
          <w:rtl/>
        </w:rPr>
        <w:footnoteReference w:id="334"/>
      </w:r>
      <w:r w:rsidRPr="00B07E03">
        <w:rPr>
          <w:rStyle w:val="ae"/>
          <w:color w:val="0D0D0D" w:themeColor="text1" w:themeTint="F2"/>
          <w:rtl/>
        </w:rPr>
        <w:t>)</w:t>
      </w:r>
      <w:r w:rsidR="0006647A">
        <w:rPr>
          <w:rFonts w:ascii="Traditional Arabic" w:hAnsi="Traditional Arabic" w:hint="cs"/>
          <w:color w:val="0D0D0D" w:themeColor="text1" w:themeTint="F2"/>
          <w:rtl/>
          <w:lang w:eastAsia="en-US"/>
        </w:rPr>
        <w:t>.</w:t>
      </w:r>
    </w:p>
    <w:p w:rsidR="00C36615" w:rsidRPr="00B07E03" w:rsidRDefault="00C36615" w:rsidP="004C51A2">
      <w:pPr>
        <w:widowControl/>
        <w:autoSpaceDE w:val="0"/>
        <w:autoSpaceDN w:val="0"/>
        <w:adjustRightInd w:val="0"/>
        <w:ind w:firstLine="0"/>
        <w:rPr>
          <w:rFonts w:ascii="Traditional Arabic" w:hAnsi="Traditional Arabic"/>
          <w:color w:val="0D0D0D" w:themeColor="text1" w:themeTint="F2"/>
          <w:rtl/>
          <w:lang w:eastAsia="en-US"/>
        </w:rPr>
      </w:pPr>
      <w:r w:rsidRPr="00B07E03">
        <w:rPr>
          <w:rFonts w:ascii="Traditional Arabic" w:hAnsi="Traditional Arabic"/>
          <w:color w:val="0D0D0D" w:themeColor="text1" w:themeTint="F2"/>
          <w:rtl/>
          <w:lang w:eastAsia="en-US"/>
        </w:rPr>
        <w:t>قوله تعالى:</w:t>
      </w:r>
      <w:r w:rsidRPr="00B07E03">
        <w:rPr>
          <w:rFonts w:ascii="QCF_BSML" w:hAnsi="QCF_BSML" w:cs="QCF_BSML"/>
          <w:color w:val="0D0D0D" w:themeColor="text1" w:themeTint="F2"/>
          <w:sz w:val="32"/>
          <w:szCs w:val="32"/>
          <w:rtl/>
          <w:lang w:eastAsia="en-US"/>
        </w:rPr>
        <w:t xml:space="preserve"> </w:t>
      </w:r>
      <w:r w:rsidRPr="00A751AA">
        <w:rPr>
          <w:rFonts w:ascii="QCF_BSML" w:hAnsi="QCF_BSML" w:cs="QCF_BSML"/>
          <w:color w:val="0D0D0D" w:themeColor="text1" w:themeTint="F2"/>
          <w:sz w:val="32"/>
          <w:szCs w:val="32"/>
          <w:rtl/>
          <w:lang w:eastAsia="en-US"/>
        </w:rPr>
        <w:t>ﭽ</w:t>
      </w:r>
      <w:r w:rsidRPr="00A751AA">
        <w:rPr>
          <w:rFonts w:ascii="QCF_P288" w:hAnsi="QCF_P288" w:cs="QCF_P288"/>
          <w:color w:val="0D0D0D" w:themeColor="text1" w:themeTint="F2"/>
          <w:sz w:val="32"/>
          <w:szCs w:val="32"/>
          <w:rtl/>
          <w:lang w:eastAsia="en-US"/>
        </w:rPr>
        <w:t xml:space="preserve"> ﯺ    ﯻ ﯼ  ﯽ</w:t>
      </w:r>
      <w:r w:rsidRPr="00A751AA">
        <w:rPr>
          <w:rFonts w:ascii="QCF_BSML" w:hAnsi="QCF_BSML" w:cs="QCF_BSML"/>
          <w:color w:val="0D0D0D" w:themeColor="text1" w:themeTint="F2"/>
          <w:sz w:val="32"/>
          <w:szCs w:val="32"/>
          <w:rtl/>
          <w:lang w:eastAsia="en-US"/>
        </w:rPr>
        <w:t>ﭼ</w:t>
      </w:r>
      <w:r w:rsidRPr="00835791">
        <w:rPr>
          <w:rFonts w:ascii="Traditional Arabic" w:hAnsi="Traditional Arabic"/>
          <w:color w:val="0D0D0D" w:themeColor="text1" w:themeTint="F2"/>
          <w:sz w:val="28"/>
          <w:szCs w:val="28"/>
          <w:rtl/>
          <w:lang w:eastAsia="en-US"/>
        </w:rPr>
        <w:t xml:space="preserve"> </w:t>
      </w:r>
      <w:r w:rsidRPr="00B07E03">
        <w:rPr>
          <w:rFonts w:ascii="Traditional Arabic" w:hAnsi="Traditional Arabic"/>
          <w:color w:val="0D0D0D" w:themeColor="text1" w:themeTint="F2"/>
          <w:rtl/>
          <w:lang w:eastAsia="en-US"/>
        </w:rPr>
        <w:t>هذا الخطاب خاصّ للمؤمنين، ثم خاطب المشركين فقال:</w:t>
      </w:r>
      <w:r w:rsidRPr="00835791">
        <w:rPr>
          <w:rFonts w:ascii="QCF_BSML" w:hAnsi="QCF_BSML" w:cs="QCF_BSML" w:hint="cs"/>
          <w:color w:val="0D0D0D" w:themeColor="text1" w:themeTint="F2"/>
          <w:sz w:val="28"/>
          <w:szCs w:val="28"/>
          <w:rtl/>
          <w:lang w:eastAsia="en-US"/>
        </w:rPr>
        <w:t xml:space="preserve"> </w:t>
      </w:r>
      <w:r w:rsidRPr="00A751AA">
        <w:rPr>
          <w:rFonts w:ascii="QCF_BSML" w:hAnsi="QCF_BSML" w:cs="QCF_BSML"/>
          <w:color w:val="0D0D0D" w:themeColor="text1" w:themeTint="F2"/>
          <w:sz w:val="32"/>
          <w:szCs w:val="32"/>
          <w:rtl/>
          <w:lang w:eastAsia="en-US"/>
        </w:rPr>
        <w:t>ﭽ</w:t>
      </w:r>
      <w:r w:rsidRPr="00A751AA">
        <w:rPr>
          <w:rFonts w:ascii="QCF_P289" w:hAnsi="QCF_P289" w:cs="QCF_P289"/>
          <w:color w:val="0D0D0D" w:themeColor="text1" w:themeTint="F2"/>
          <w:sz w:val="32"/>
          <w:szCs w:val="32"/>
          <w:rtl/>
          <w:lang w:eastAsia="en-US"/>
        </w:rPr>
        <w:t xml:space="preserve"> ﭑ  ﭒ  ﭓ ﭔ  ﭕ</w:t>
      </w:r>
      <w:r w:rsidRPr="00A751AA">
        <w:rPr>
          <w:rFonts w:ascii="QCF_BSML" w:hAnsi="QCF_BSML" w:cs="QCF_BSML"/>
          <w:color w:val="0D0D0D" w:themeColor="text1" w:themeTint="F2"/>
          <w:sz w:val="32"/>
          <w:szCs w:val="32"/>
          <w:rtl/>
          <w:lang w:eastAsia="en-US"/>
        </w:rPr>
        <w:t>ﭼ</w:t>
      </w:r>
      <w:r w:rsidRPr="00A751AA">
        <w:rPr>
          <w:rFonts w:ascii="Traditional Arabic" w:hAnsi="Traditional Arabic"/>
          <w:color w:val="0D0D0D" w:themeColor="text1" w:themeTint="F2"/>
          <w:sz w:val="32"/>
          <w:szCs w:val="32"/>
          <w:rtl/>
          <w:lang w:eastAsia="en-US"/>
        </w:rPr>
        <w:t xml:space="preserve"> </w:t>
      </w:r>
      <w:r w:rsidRPr="00B07E03">
        <w:rPr>
          <w:rFonts w:ascii="Traditional Arabic" w:hAnsi="Traditional Arabic"/>
          <w:color w:val="0D0D0D" w:themeColor="text1" w:themeTint="F2"/>
          <w:rtl/>
          <w:lang w:eastAsia="en-US"/>
        </w:rPr>
        <w:t xml:space="preserve">يعني: خوفَ الغَرَقِ </w:t>
      </w:r>
      <w:r w:rsidRPr="00A751AA">
        <w:rPr>
          <w:rFonts w:ascii="QCF_BSML" w:hAnsi="QCF_BSML" w:cs="QCF_BSML"/>
          <w:color w:val="0D0D0D" w:themeColor="text1" w:themeTint="F2"/>
          <w:sz w:val="32"/>
          <w:szCs w:val="32"/>
          <w:rtl/>
          <w:lang w:eastAsia="en-US"/>
        </w:rPr>
        <w:t>ﭽ</w:t>
      </w:r>
      <w:r w:rsidRPr="00A751AA">
        <w:rPr>
          <w:rFonts w:ascii="QCF_P289" w:hAnsi="QCF_P289" w:cs="QCF_P289"/>
          <w:color w:val="0D0D0D" w:themeColor="text1" w:themeTint="F2"/>
          <w:sz w:val="32"/>
          <w:szCs w:val="32"/>
          <w:rtl/>
          <w:lang w:eastAsia="en-US"/>
        </w:rPr>
        <w:t>ﭖ  ﭗ  ﭘ</w:t>
      </w:r>
      <w:r w:rsidRPr="00A751AA">
        <w:rPr>
          <w:rFonts w:ascii="QCF_BSML" w:hAnsi="QCF_BSML" w:cs="QCF_BSML"/>
          <w:color w:val="0D0D0D" w:themeColor="text1" w:themeTint="F2"/>
          <w:sz w:val="32"/>
          <w:szCs w:val="32"/>
          <w:rtl/>
          <w:lang w:eastAsia="en-US"/>
        </w:rPr>
        <w:t>ﭼ</w:t>
      </w:r>
      <w:r w:rsidR="0006647A">
        <w:rPr>
          <w:rFonts w:ascii="Traditional Arabic" w:hAnsi="Traditional Arabic"/>
          <w:color w:val="0D0D0D" w:themeColor="text1" w:themeTint="F2"/>
          <w:rtl/>
          <w:lang w:eastAsia="en-US"/>
        </w:rPr>
        <w:t xml:space="preserve"> أي: يَضِلُّ من </w:t>
      </w:r>
      <w:r w:rsidR="0006647A">
        <w:rPr>
          <w:rFonts w:ascii="Traditional Arabic" w:hAnsi="Traditional Arabic" w:hint="cs"/>
          <w:color w:val="0D0D0D" w:themeColor="text1" w:themeTint="F2"/>
          <w:rtl/>
          <w:lang w:eastAsia="en-US"/>
        </w:rPr>
        <w:t>ت</w:t>
      </w:r>
      <w:r w:rsidR="00136F07">
        <w:rPr>
          <w:rFonts w:ascii="Traditional Arabic" w:hAnsi="Traditional Arabic"/>
          <w:color w:val="0D0D0D" w:themeColor="text1" w:themeTint="F2"/>
          <w:rtl/>
          <w:lang w:eastAsia="en-US"/>
        </w:rPr>
        <w:t>دعون</w:t>
      </w:r>
      <w:r w:rsidR="00136F07" w:rsidRPr="00136F07">
        <w:rPr>
          <w:rStyle w:val="ae"/>
          <w:rtl/>
        </w:rPr>
        <w:t>(</w:t>
      </w:r>
      <w:r w:rsidR="00136F07">
        <w:rPr>
          <w:rStyle w:val="ae"/>
          <w:rtl/>
        </w:rPr>
        <w:footnoteReference w:id="335"/>
      </w:r>
      <w:r w:rsidR="00136F07" w:rsidRPr="00136F07">
        <w:rPr>
          <w:rStyle w:val="ae"/>
          <w:rtl/>
        </w:rPr>
        <w:t>)</w:t>
      </w:r>
      <w:r w:rsidR="0006647A">
        <w:rPr>
          <w:rFonts w:ascii="Traditional Arabic" w:hAnsi="Traditional Arabic"/>
          <w:color w:val="0D0D0D" w:themeColor="text1" w:themeTint="F2"/>
          <w:rtl/>
          <w:lang w:eastAsia="en-US"/>
        </w:rPr>
        <w:t>من الآلهة</w:t>
      </w:r>
      <w:r w:rsidRPr="00B07E03">
        <w:rPr>
          <w:rFonts w:ascii="Traditional Arabic" w:hAnsi="Traditional Arabic"/>
          <w:color w:val="0D0D0D" w:themeColor="text1" w:themeTint="F2"/>
          <w:rtl/>
          <w:lang w:eastAsia="en-US"/>
        </w:rPr>
        <w:t xml:space="preserve"> إِلا الله تعالى. ويقال</w:t>
      </w:r>
      <w:r w:rsidR="00136F07" w:rsidRPr="00136F07">
        <w:rPr>
          <w:rStyle w:val="ae"/>
          <w:rtl/>
        </w:rPr>
        <w:t>(</w:t>
      </w:r>
      <w:r w:rsidR="00136F07">
        <w:rPr>
          <w:rStyle w:val="ae"/>
          <w:rtl/>
        </w:rPr>
        <w:footnoteReference w:id="336"/>
      </w:r>
      <w:r w:rsidR="00136F07" w:rsidRPr="00136F07">
        <w:rPr>
          <w:rStyle w:val="ae"/>
          <w:rtl/>
        </w:rPr>
        <w:t>)</w:t>
      </w:r>
      <w:r w:rsidRPr="00B07E03">
        <w:rPr>
          <w:rFonts w:ascii="Traditional Arabic" w:hAnsi="Traditional Arabic"/>
          <w:color w:val="0D0D0D" w:themeColor="text1" w:themeTint="F2"/>
          <w:rtl/>
          <w:lang w:eastAsia="en-US"/>
        </w:rPr>
        <w:t xml:space="preserve">: ضَلَّ بمعنى غاب، يقال: ضَلَّ الماء في اللَّبَن إِذا غاب، والمعنى: أنكم أخلصتم الدعاء </w:t>
      </w:r>
      <w:r w:rsidR="004F7A80">
        <w:rPr>
          <w:rFonts w:ascii="Traditional Arabic" w:hAnsi="Traditional Arabic" w:hint="cs"/>
          <w:color w:val="0D0D0D" w:themeColor="text1" w:themeTint="F2"/>
          <w:rtl/>
          <w:lang w:eastAsia="en-US"/>
        </w:rPr>
        <w:t>[</w:t>
      </w:r>
      <w:r w:rsidRPr="00B07E03">
        <w:rPr>
          <w:rFonts w:ascii="Traditional Arabic" w:hAnsi="Traditional Arabic"/>
          <w:color w:val="0D0D0D" w:themeColor="text1" w:themeTint="F2"/>
          <w:rtl/>
          <w:lang w:eastAsia="en-US"/>
        </w:rPr>
        <w:t>لله</w:t>
      </w:r>
      <w:r w:rsidR="004F7A80">
        <w:rPr>
          <w:rFonts w:ascii="Traditional Arabic" w:hAnsi="Traditional Arabic" w:hint="cs"/>
          <w:color w:val="0D0D0D" w:themeColor="text1" w:themeTint="F2"/>
          <w:rtl/>
          <w:lang w:eastAsia="en-US"/>
        </w:rPr>
        <w:t>]</w:t>
      </w:r>
      <w:r w:rsidR="001E67FF" w:rsidRPr="001E67FF">
        <w:rPr>
          <w:rStyle w:val="ae"/>
          <w:rtl/>
        </w:rPr>
        <w:t>(</w:t>
      </w:r>
      <w:r w:rsidR="001E67FF">
        <w:rPr>
          <w:rStyle w:val="ae"/>
          <w:rtl/>
        </w:rPr>
        <w:footnoteReference w:id="337"/>
      </w:r>
      <w:r w:rsidR="001E67FF" w:rsidRPr="001E67FF">
        <w:rPr>
          <w:rStyle w:val="ae"/>
          <w:rtl/>
        </w:rPr>
        <w:t>)</w:t>
      </w:r>
      <w:r w:rsidRPr="00B07E03">
        <w:rPr>
          <w:rFonts w:ascii="Traditional Arabic" w:hAnsi="Traditional Arabic"/>
          <w:color w:val="0D0D0D" w:themeColor="text1" w:themeTint="F2"/>
          <w:rtl/>
          <w:lang w:eastAsia="en-US"/>
        </w:rPr>
        <w:t>، ونسيتم الأنداد</w:t>
      </w:r>
      <w:r w:rsidRPr="00B07E03">
        <w:rPr>
          <w:rStyle w:val="ae"/>
          <w:color w:val="0D0D0D" w:themeColor="text1" w:themeTint="F2"/>
          <w:rtl/>
        </w:rPr>
        <w:t>(</w:t>
      </w:r>
      <w:r w:rsidRPr="00B07E03">
        <w:rPr>
          <w:rStyle w:val="ae"/>
          <w:color w:val="0D0D0D" w:themeColor="text1" w:themeTint="F2"/>
          <w:rtl/>
        </w:rPr>
        <w:footnoteReference w:id="338"/>
      </w:r>
      <w:r w:rsidRPr="00B07E03">
        <w:rPr>
          <w:rStyle w:val="ae"/>
          <w:color w:val="0D0D0D" w:themeColor="text1" w:themeTint="F2"/>
          <w:rtl/>
        </w:rPr>
        <w:t>)</w:t>
      </w:r>
      <w:r w:rsidRPr="00B07E03">
        <w:rPr>
          <w:rFonts w:ascii="Traditional Arabic" w:hAnsi="Traditional Arabic"/>
          <w:color w:val="0D0D0D" w:themeColor="text1" w:themeTint="F2"/>
          <w:rtl/>
          <w:lang w:eastAsia="en-US"/>
        </w:rPr>
        <w:t xml:space="preserve">. وقرأ مجاهد، وأبو المتوكل: </w:t>
      </w:r>
      <w:r w:rsidRPr="00B07E03">
        <w:rPr>
          <w:rFonts w:ascii="Traditional Arabic" w:hAnsi="Traditional Arabic" w:hint="cs"/>
          <w:color w:val="0D0D0D" w:themeColor="text1" w:themeTint="F2"/>
          <w:rtl/>
          <w:lang w:eastAsia="en-US"/>
        </w:rPr>
        <w:t>"</w:t>
      </w:r>
      <w:r w:rsidRPr="00B07E03">
        <w:rPr>
          <w:rFonts w:ascii="Traditional Arabic" w:hAnsi="Traditional Arabic"/>
          <w:color w:val="0D0D0D" w:themeColor="text1" w:themeTint="F2"/>
          <w:rtl/>
          <w:lang w:eastAsia="en-US"/>
        </w:rPr>
        <w:t>ضَلَّ مَنْ يَدْعُون</w:t>
      </w:r>
      <w:r w:rsidRPr="00B07E03">
        <w:rPr>
          <w:rFonts w:ascii="Traditional Arabic" w:hAnsi="Traditional Arabic" w:hint="cs"/>
          <w:color w:val="0D0D0D" w:themeColor="text1" w:themeTint="F2"/>
          <w:rtl/>
          <w:lang w:eastAsia="en-US"/>
        </w:rPr>
        <w:t>"</w:t>
      </w:r>
      <w:r w:rsidRPr="00B07E03">
        <w:rPr>
          <w:rFonts w:ascii="Traditional Arabic" w:hAnsi="Traditional Arabic"/>
          <w:color w:val="0D0D0D" w:themeColor="text1" w:themeTint="F2"/>
          <w:rtl/>
          <w:lang w:eastAsia="en-US"/>
        </w:rPr>
        <w:t xml:space="preserve"> بالياء</w:t>
      </w:r>
      <w:r w:rsidRPr="00B07E03">
        <w:rPr>
          <w:rStyle w:val="ae"/>
          <w:color w:val="0D0D0D" w:themeColor="text1" w:themeTint="F2"/>
          <w:rtl/>
        </w:rPr>
        <w:t>(</w:t>
      </w:r>
      <w:r w:rsidRPr="00B07E03">
        <w:rPr>
          <w:rStyle w:val="ae"/>
          <w:color w:val="0D0D0D" w:themeColor="text1" w:themeTint="F2"/>
          <w:rtl/>
        </w:rPr>
        <w:footnoteReference w:id="339"/>
      </w:r>
      <w:r w:rsidRPr="00B07E03">
        <w:rPr>
          <w:rStyle w:val="ae"/>
          <w:color w:val="0D0D0D" w:themeColor="text1" w:themeTint="F2"/>
          <w:rtl/>
        </w:rPr>
        <w:t>)</w:t>
      </w:r>
      <w:r w:rsidRPr="00B07E03">
        <w:rPr>
          <w:rFonts w:ascii="Traditional Arabic" w:hAnsi="Traditional Arabic"/>
          <w:color w:val="0D0D0D" w:themeColor="text1" w:themeTint="F2"/>
          <w:rtl/>
          <w:lang w:eastAsia="en-US"/>
        </w:rPr>
        <w:t>.</w:t>
      </w:r>
      <w:r w:rsidRPr="00207934">
        <w:rPr>
          <w:rFonts w:ascii="Traditional Arabic" w:hAnsi="Traditional Arabic"/>
          <w:color w:val="0D0D0D" w:themeColor="text1" w:themeTint="F2"/>
          <w:sz w:val="32"/>
          <w:szCs w:val="32"/>
          <w:rtl/>
          <w:lang w:eastAsia="en-US"/>
        </w:rPr>
        <w:t xml:space="preserve"> </w:t>
      </w:r>
      <w:r w:rsidRPr="00A751AA">
        <w:rPr>
          <w:rFonts w:ascii="QCF_BSML" w:hAnsi="QCF_BSML" w:cs="QCF_BSML"/>
          <w:color w:val="0D0D0D" w:themeColor="text1" w:themeTint="F2"/>
          <w:sz w:val="32"/>
          <w:szCs w:val="32"/>
          <w:rtl/>
          <w:lang w:eastAsia="en-US"/>
        </w:rPr>
        <w:t>ﭽ</w:t>
      </w:r>
      <w:r w:rsidRPr="00A751AA">
        <w:rPr>
          <w:rFonts w:ascii="QCF_P289" w:hAnsi="QCF_P289" w:cs="QCF_P289"/>
          <w:color w:val="0D0D0D" w:themeColor="text1" w:themeTint="F2"/>
          <w:sz w:val="32"/>
          <w:szCs w:val="32"/>
          <w:rtl/>
          <w:lang w:eastAsia="en-US"/>
        </w:rPr>
        <w:t xml:space="preserve">ﭜ  ﭝ   ﭞ   ﭟ  ﭠ </w:t>
      </w:r>
      <w:r w:rsidRPr="00A751AA">
        <w:rPr>
          <w:rFonts w:ascii="QCF_BSML" w:hAnsi="QCF_BSML" w:cs="QCF_BSML"/>
          <w:color w:val="0D0D0D" w:themeColor="text1" w:themeTint="F2"/>
          <w:sz w:val="32"/>
          <w:szCs w:val="32"/>
          <w:rtl/>
          <w:lang w:eastAsia="en-US"/>
        </w:rPr>
        <w:t>ﭼ</w:t>
      </w:r>
      <w:r w:rsidRPr="00A751AA">
        <w:rPr>
          <w:rFonts w:ascii="Traditional Arabic" w:hAnsi="Traditional Arabic"/>
          <w:color w:val="0D0D0D" w:themeColor="text1" w:themeTint="F2"/>
          <w:sz w:val="32"/>
          <w:szCs w:val="32"/>
          <w:rtl/>
          <w:lang w:eastAsia="en-US"/>
        </w:rPr>
        <w:t xml:space="preserve"> </w:t>
      </w:r>
      <w:r w:rsidRPr="00B07E03">
        <w:rPr>
          <w:rFonts w:ascii="Traditional Arabic" w:hAnsi="Traditional Arabic"/>
          <w:color w:val="0D0D0D" w:themeColor="text1" w:themeTint="F2"/>
          <w:rtl/>
          <w:lang w:eastAsia="en-US"/>
        </w:rPr>
        <w:t xml:space="preserve">عن الإِيمان والإِخلاص </w:t>
      </w:r>
      <w:r w:rsidRPr="001E67FF">
        <w:rPr>
          <w:rFonts w:ascii="QCF_BSML" w:hAnsi="QCF_BSML" w:cs="QCF_BSML"/>
          <w:color w:val="0D0D0D" w:themeColor="text1" w:themeTint="F2"/>
          <w:sz w:val="32"/>
          <w:szCs w:val="32"/>
          <w:rtl/>
          <w:lang w:eastAsia="en-US"/>
        </w:rPr>
        <w:t>ﭽ</w:t>
      </w:r>
      <w:r w:rsidRPr="001E67FF">
        <w:rPr>
          <w:rFonts w:ascii="QCF_P289" w:hAnsi="QCF_P289" w:cs="QCF_P289"/>
          <w:color w:val="0D0D0D" w:themeColor="text1" w:themeTint="F2"/>
          <w:sz w:val="32"/>
          <w:szCs w:val="32"/>
          <w:rtl/>
          <w:lang w:eastAsia="en-US"/>
        </w:rPr>
        <w:t xml:space="preserve"> ﭢ  ﭣ</w:t>
      </w:r>
      <w:r w:rsidRPr="001E67FF">
        <w:rPr>
          <w:rFonts w:ascii="QCF_BSML" w:hAnsi="QCF_BSML" w:cs="QCF_BSML"/>
          <w:color w:val="0D0D0D" w:themeColor="text1" w:themeTint="F2"/>
          <w:sz w:val="32"/>
          <w:szCs w:val="32"/>
          <w:rtl/>
          <w:lang w:eastAsia="en-US"/>
        </w:rPr>
        <w:t>ﭼ</w:t>
      </w:r>
      <w:r w:rsidRPr="00B07E03">
        <w:rPr>
          <w:rFonts w:ascii="Traditional Arabic" w:hAnsi="Traditional Arabic"/>
          <w:color w:val="0D0D0D" w:themeColor="text1" w:themeTint="F2"/>
          <w:rtl/>
          <w:lang w:eastAsia="en-US"/>
        </w:rPr>
        <w:t xml:space="preserve"> يعني الكافر </w:t>
      </w:r>
      <w:r w:rsidRPr="00A751AA">
        <w:rPr>
          <w:rFonts w:ascii="QCF_BSML" w:hAnsi="QCF_BSML" w:cs="QCF_BSML"/>
          <w:color w:val="0D0D0D" w:themeColor="text1" w:themeTint="F2"/>
          <w:sz w:val="32"/>
          <w:szCs w:val="32"/>
          <w:rtl/>
          <w:lang w:eastAsia="en-US"/>
        </w:rPr>
        <w:t>ﭽ</w:t>
      </w:r>
      <w:r w:rsidRPr="00A751AA">
        <w:rPr>
          <w:rFonts w:ascii="QCF_P289" w:hAnsi="QCF_P289" w:cs="QCF_P289"/>
          <w:color w:val="0D0D0D" w:themeColor="text1" w:themeTint="F2"/>
          <w:sz w:val="32"/>
          <w:szCs w:val="32"/>
          <w:rtl/>
          <w:lang w:eastAsia="en-US"/>
        </w:rPr>
        <w:t xml:space="preserve"> ﭤ</w:t>
      </w:r>
      <w:r w:rsidRPr="00A751AA">
        <w:rPr>
          <w:rFonts w:ascii="QCF_BSML" w:hAnsi="QCF_BSML" w:cs="QCF_BSML"/>
          <w:color w:val="0D0D0D" w:themeColor="text1" w:themeTint="F2"/>
          <w:sz w:val="32"/>
          <w:szCs w:val="32"/>
          <w:rtl/>
          <w:lang w:eastAsia="en-US"/>
        </w:rPr>
        <w:t>ﭼ</w:t>
      </w:r>
      <w:r w:rsidRPr="00B07E03">
        <w:rPr>
          <w:rFonts w:ascii="Traditional Arabic" w:hAnsi="Traditional Arabic"/>
          <w:color w:val="0D0D0D" w:themeColor="text1" w:themeTint="F2"/>
          <w:rtl/>
          <w:lang w:eastAsia="en-US"/>
        </w:rPr>
        <w:t xml:space="preserve"> بنعمة ربِّه. </w:t>
      </w:r>
      <w:r w:rsidRPr="00A751AA">
        <w:rPr>
          <w:rFonts w:ascii="QCF_BSML" w:hAnsi="QCF_BSML" w:cs="QCF_BSML"/>
          <w:color w:val="0D0D0D" w:themeColor="text1" w:themeTint="F2"/>
          <w:sz w:val="32"/>
          <w:szCs w:val="32"/>
          <w:rtl/>
          <w:lang w:eastAsia="en-US"/>
        </w:rPr>
        <w:t>ﭽ</w:t>
      </w:r>
      <w:r w:rsidRPr="00A751AA">
        <w:rPr>
          <w:rFonts w:ascii="QCF_P289" w:hAnsi="QCF_P289" w:cs="QCF_P289"/>
          <w:color w:val="0D0D0D" w:themeColor="text1" w:themeTint="F2"/>
          <w:sz w:val="32"/>
          <w:szCs w:val="32"/>
          <w:rtl/>
          <w:lang w:eastAsia="en-US"/>
        </w:rPr>
        <w:t xml:space="preserve"> ﭦ</w:t>
      </w:r>
      <w:r w:rsidRPr="00A751AA">
        <w:rPr>
          <w:rFonts w:ascii="QCF_BSML" w:hAnsi="QCF_BSML" w:cs="QCF_BSML"/>
          <w:color w:val="0D0D0D" w:themeColor="text1" w:themeTint="F2"/>
          <w:sz w:val="32"/>
          <w:szCs w:val="32"/>
          <w:rtl/>
          <w:lang w:eastAsia="en-US"/>
        </w:rPr>
        <w:t xml:space="preserve"> ﭼ</w:t>
      </w:r>
      <w:r w:rsidRPr="00B07E03">
        <w:rPr>
          <w:rFonts w:ascii="Traditional Arabic" w:hAnsi="Traditional Arabic"/>
          <w:color w:val="0D0D0D" w:themeColor="text1" w:themeTint="F2"/>
          <w:rtl/>
          <w:lang w:eastAsia="en-US"/>
        </w:rPr>
        <w:t xml:space="preserve"> إِذا خرجتم من البحر </w:t>
      </w:r>
      <w:r w:rsidRPr="00A751AA">
        <w:rPr>
          <w:rFonts w:ascii="QCF_BSML" w:hAnsi="QCF_BSML" w:cs="QCF_BSML"/>
          <w:color w:val="0D0D0D" w:themeColor="text1" w:themeTint="F2"/>
          <w:sz w:val="32"/>
          <w:szCs w:val="32"/>
          <w:rtl/>
          <w:lang w:eastAsia="en-US"/>
        </w:rPr>
        <w:t>ﭽ</w:t>
      </w:r>
      <w:r w:rsidRPr="00A751AA">
        <w:rPr>
          <w:rFonts w:ascii="QCF_P289" w:hAnsi="QCF_P289" w:cs="QCF_P289"/>
          <w:color w:val="0D0D0D" w:themeColor="text1" w:themeTint="F2"/>
          <w:sz w:val="32"/>
          <w:szCs w:val="32"/>
          <w:rtl/>
          <w:lang w:eastAsia="en-US"/>
        </w:rPr>
        <w:t xml:space="preserve"> ﭧ  ﭨ   </w:t>
      </w:r>
      <w:r w:rsidRPr="00A751AA">
        <w:rPr>
          <w:rFonts w:ascii="QCF_P289" w:hAnsi="QCF_P289" w:cs="QCF_P289"/>
          <w:color w:val="0D0D0D" w:themeColor="text1" w:themeTint="F2"/>
          <w:sz w:val="32"/>
          <w:szCs w:val="32"/>
          <w:rtl/>
          <w:lang w:eastAsia="en-US"/>
        </w:rPr>
        <w:lastRenderedPageBreak/>
        <w:t xml:space="preserve">ﭩ   </w:t>
      </w:r>
      <w:r w:rsidRPr="00A751AA">
        <w:rPr>
          <w:rFonts w:ascii="QCF_BSML" w:hAnsi="QCF_BSML" w:cs="QCF_BSML"/>
          <w:color w:val="0D0D0D" w:themeColor="text1" w:themeTint="F2"/>
          <w:sz w:val="32"/>
          <w:szCs w:val="32"/>
          <w:rtl/>
          <w:lang w:eastAsia="en-US"/>
        </w:rPr>
        <w:t>ﭼ</w:t>
      </w:r>
      <w:r w:rsidRPr="00A751AA">
        <w:rPr>
          <w:rFonts w:ascii="Traditional Arabic" w:hAnsi="Traditional Arabic" w:hint="cs"/>
          <w:color w:val="0D0D0D" w:themeColor="text1" w:themeTint="F2"/>
          <w:sz w:val="32"/>
          <w:szCs w:val="32"/>
          <w:rtl/>
          <w:lang w:eastAsia="en-US"/>
        </w:rPr>
        <w:t xml:space="preserve"> </w:t>
      </w:r>
      <w:r w:rsidRPr="00B07E03">
        <w:rPr>
          <w:rFonts w:ascii="Traditional Arabic" w:hAnsi="Traditional Arabic"/>
          <w:color w:val="0D0D0D" w:themeColor="text1" w:themeTint="F2"/>
          <w:rtl/>
          <w:lang w:eastAsia="en-US"/>
        </w:rPr>
        <w:t xml:space="preserve">قرأ ابن كثير، وأبو عمرو: </w:t>
      </w:r>
      <w:r w:rsidR="0085355C">
        <w:rPr>
          <w:rFonts w:ascii="Traditional Arabic" w:hAnsi="Traditional Arabic" w:hint="cs"/>
          <w:color w:val="0D0D0D" w:themeColor="text1" w:themeTint="F2"/>
          <w:rtl/>
          <w:lang w:eastAsia="en-US"/>
        </w:rPr>
        <w:t>"</w:t>
      </w:r>
      <w:r w:rsidRPr="00B07E03">
        <w:rPr>
          <w:rFonts w:ascii="Traditional Arabic" w:hAnsi="Traditional Arabic"/>
          <w:color w:val="0D0D0D" w:themeColor="text1" w:themeTint="F2"/>
          <w:rtl/>
          <w:lang w:eastAsia="en-US"/>
        </w:rPr>
        <w:t>نخسف بكم</w:t>
      </w:r>
      <w:r w:rsidRPr="00B07E03">
        <w:rPr>
          <w:rFonts w:ascii="Traditional Arabic" w:hAnsi="Traditional Arabic" w:hint="cs"/>
          <w:color w:val="0D0D0D" w:themeColor="text1" w:themeTint="F2"/>
          <w:rtl/>
          <w:lang w:eastAsia="en-US"/>
        </w:rPr>
        <w:t>"</w:t>
      </w:r>
      <w:r w:rsidRPr="00B07E03">
        <w:rPr>
          <w:rFonts w:ascii="Traditional Arabic" w:hAnsi="Traditional Arabic"/>
          <w:color w:val="0D0D0D" w:themeColor="text1" w:themeTint="F2"/>
          <w:rtl/>
          <w:lang w:eastAsia="en-US"/>
        </w:rPr>
        <w:t xml:space="preserve"> </w:t>
      </w:r>
      <w:r w:rsidRPr="00B07E03">
        <w:rPr>
          <w:rFonts w:ascii="Traditional Arabic" w:hAnsi="Traditional Arabic" w:hint="cs"/>
          <w:color w:val="0D0D0D" w:themeColor="text1" w:themeTint="F2"/>
          <w:rtl/>
          <w:lang w:eastAsia="en-US"/>
        </w:rPr>
        <w:t xml:space="preserve"> "</w:t>
      </w:r>
      <w:r w:rsidRPr="00B07E03">
        <w:rPr>
          <w:rFonts w:ascii="Traditional Arabic" w:hAnsi="Traditional Arabic"/>
          <w:color w:val="0D0D0D" w:themeColor="text1" w:themeTint="F2"/>
          <w:rtl/>
          <w:lang w:eastAsia="en-US"/>
        </w:rPr>
        <w:t>أو نرسل</w:t>
      </w:r>
      <w:r w:rsidRPr="00B07E03">
        <w:rPr>
          <w:rFonts w:ascii="Traditional Arabic" w:hAnsi="Traditional Arabic" w:hint="cs"/>
          <w:color w:val="0D0D0D" w:themeColor="text1" w:themeTint="F2"/>
          <w:rtl/>
          <w:lang w:eastAsia="en-US"/>
        </w:rPr>
        <w:t>"</w:t>
      </w:r>
      <w:r w:rsidRPr="00B07E03">
        <w:rPr>
          <w:rFonts w:ascii="Traditional Arabic" w:hAnsi="Traditional Arabic"/>
          <w:color w:val="0D0D0D" w:themeColor="text1" w:themeTint="F2"/>
          <w:rtl/>
          <w:lang w:eastAsia="en-US"/>
        </w:rPr>
        <w:t xml:space="preserve"> </w:t>
      </w:r>
      <w:r w:rsidR="004C51A2">
        <w:rPr>
          <w:rFonts w:ascii="Traditional Arabic" w:hAnsi="Traditional Arabic" w:hint="cs"/>
          <w:color w:val="0D0D0D" w:themeColor="text1" w:themeTint="F2"/>
          <w:rtl/>
          <w:lang w:eastAsia="en-US"/>
        </w:rPr>
        <w:t>"</w:t>
      </w:r>
      <w:r w:rsidRPr="00B07E03">
        <w:rPr>
          <w:rFonts w:ascii="Traditional Arabic" w:hAnsi="Traditional Arabic"/>
          <w:color w:val="0D0D0D" w:themeColor="text1" w:themeTint="F2"/>
          <w:rtl/>
          <w:lang w:eastAsia="en-US"/>
        </w:rPr>
        <w:t>أن نعيدكم</w:t>
      </w:r>
      <w:r w:rsidR="004C51A2">
        <w:rPr>
          <w:rFonts w:ascii="Traditional Arabic" w:hAnsi="Traditional Arabic" w:hint="cs"/>
          <w:color w:val="0D0D0D" w:themeColor="text1" w:themeTint="F2"/>
          <w:rtl/>
          <w:lang w:eastAsia="en-US"/>
        </w:rPr>
        <w:t>"</w:t>
      </w:r>
      <w:r w:rsidR="004C51A2">
        <w:rPr>
          <w:rFonts w:hint="cs"/>
          <w:rtl/>
        </w:rPr>
        <w:t xml:space="preserve"> </w:t>
      </w:r>
      <w:r w:rsidR="007A4BE4">
        <w:rPr>
          <w:rFonts w:ascii="Traditional Arabic" w:hAnsi="Traditional Arabic" w:hint="cs"/>
          <w:color w:val="0D0D0D" w:themeColor="text1" w:themeTint="F2"/>
          <w:rtl/>
          <w:lang w:eastAsia="en-US"/>
        </w:rPr>
        <w:t>"</w:t>
      </w:r>
      <w:r w:rsidRPr="00B07E03">
        <w:rPr>
          <w:rFonts w:ascii="Traditional Arabic" w:hAnsi="Traditional Arabic"/>
          <w:color w:val="0D0D0D" w:themeColor="text1" w:themeTint="F2"/>
          <w:rtl/>
          <w:lang w:eastAsia="en-US"/>
        </w:rPr>
        <w:t>فنرسل</w:t>
      </w:r>
      <w:r w:rsidRPr="00B07E03">
        <w:rPr>
          <w:rFonts w:ascii="Traditional Arabic" w:hAnsi="Traditional Arabic" w:hint="cs"/>
          <w:color w:val="0D0D0D" w:themeColor="text1" w:themeTint="F2"/>
          <w:rtl/>
          <w:lang w:eastAsia="en-US"/>
        </w:rPr>
        <w:t>"</w:t>
      </w:r>
      <w:r w:rsidRPr="00B07E03">
        <w:rPr>
          <w:rFonts w:ascii="Traditional Arabic" w:hAnsi="Traditional Arabic"/>
          <w:color w:val="0D0D0D" w:themeColor="text1" w:themeTint="F2"/>
          <w:rtl/>
          <w:lang w:eastAsia="en-US"/>
        </w:rPr>
        <w:t xml:space="preserve"> </w:t>
      </w:r>
      <w:r w:rsidR="007A4BE4">
        <w:rPr>
          <w:rFonts w:ascii="Traditional Arabic" w:hAnsi="Traditional Arabic" w:hint="cs"/>
          <w:color w:val="0D0D0D" w:themeColor="text1" w:themeTint="F2"/>
          <w:rtl/>
          <w:lang w:eastAsia="en-US"/>
        </w:rPr>
        <w:t>"</w:t>
      </w:r>
      <w:r w:rsidRPr="00B07E03">
        <w:rPr>
          <w:rFonts w:ascii="Traditional Arabic" w:hAnsi="Traditional Arabic"/>
          <w:color w:val="0D0D0D" w:themeColor="text1" w:themeTint="F2"/>
          <w:rtl/>
          <w:lang w:eastAsia="en-US"/>
        </w:rPr>
        <w:t>فنغرقكم</w:t>
      </w:r>
      <w:r w:rsidRPr="00B07E03">
        <w:rPr>
          <w:rFonts w:ascii="Traditional Arabic" w:hAnsi="Traditional Arabic" w:hint="cs"/>
          <w:color w:val="0D0D0D" w:themeColor="text1" w:themeTint="F2"/>
          <w:rtl/>
          <w:lang w:eastAsia="en-US"/>
        </w:rPr>
        <w:t xml:space="preserve">" </w:t>
      </w:r>
      <w:r w:rsidRPr="00B07E03">
        <w:rPr>
          <w:rFonts w:ascii="Traditional Arabic" w:hAnsi="Traditional Arabic"/>
          <w:color w:val="0D0D0D" w:themeColor="text1" w:themeTint="F2"/>
          <w:rtl/>
          <w:lang w:eastAsia="en-US"/>
        </w:rPr>
        <w:t>بالنون في الكل. وقرأ نافع، وعاصم، وابن عامر، وحمزة، والكسائي، بالياء في الكل</w:t>
      </w:r>
      <w:r w:rsidRPr="00B07E03">
        <w:rPr>
          <w:rStyle w:val="ae"/>
          <w:color w:val="0D0D0D" w:themeColor="text1" w:themeTint="F2"/>
          <w:rtl/>
        </w:rPr>
        <w:t>(</w:t>
      </w:r>
      <w:r w:rsidRPr="00B07E03">
        <w:rPr>
          <w:rStyle w:val="ae"/>
          <w:color w:val="0D0D0D" w:themeColor="text1" w:themeTint="F2"/>
          <w:rtl/>
        </w:rPr>
        <w:footnoteReference w:id="340"/>
      </w:r>
      <w:r w:rsidRPr="00B07E03">
        <w:rPr>
          <w:rStyle w:val="ae"/>
          <w:color w:val="0D0D0D" w:themeColor="text1" w:themeTint="F2"/>
          <w:rtl/>
        </w:rPr>
        <w:t>)</w:t>
      </w:r>
      <w:r w:rsidRPr="00B07E03">
        <w:rPr>
          <w:rFonts w:ascii="Traditional Arabic" w:hAnsi="Traditional Arabic"/>
          <w:color w:val="0D0D0D" w:themeColor="text1" w:themeTint="F2"/>
          <w:rtl/>
          <w:lang w:eastAsia="en-US"/>
        </w:rPr>
        <w:t>. ومعنى</w:t>
      </w:r>
      <w:r w:rsidRPr="00835791">
        <w:rPr>
          <w:rFonts w:ascii="Traditional Arabic" w:hAnsi="Traditional Arabic"/>
          <w:color w:val="0D0D0D" w:themeColor="text1" w:themeTint="F2"/>
          <w:sz w:val="28"/>
          <w:szCs w:val="28"/>
          <w:rtl/>
          <w:lang w:eastAsia="en-US"/>
        </w:rPr>
        <w:t xml:space="preserve"> </w:t>
      </w:r>
      <w:r w:rsidR="00E5611A">
        <w:rPr>
          <w:rFonts w:ascii="Traditional Arabic" w:hAnsi="Traditional Arabic" w:hint="cs"/>
          <w:color w:val="0D0D0D" w:themeColor="text1" w:themeTint="F2"/>
          <w:sz w:val="32"/>
          <w:szCs w:val="32"/>
          <w:rtl/>
          <w:lang w:eastAsia="en-US"/>
        </w:rPr>
        <w:t xml:space="preserve">نخسف </w:t>
      </w:r>
      <w:r w:rsidRPr="00A751AA">
        <w:rPr>
          <w:rFonts w:ascii="QCF_BSML" w:hAnsi="QCF_BSML" w:cs="QCF_BSML"/>
          <w:color w:val="0D0D0D" w:themeColor="text1" w:themeTint="F2"/>
          <w:sz w:val="32"/>
          <w:szCs w:val="32"/>
          <w:rtl/>
          <w:lang w:eastAsia="en-US"/>
        </w:rPr>
        <w:t>ﭽ</w:t>
      </w:r>
      <w:r w:rsidRPr="00A751AA">
        <w:rPr>
          <w:rFonts w:ascii="QCF_P289" w:hAnsi="QCF_P289" w:cs="QCF_P289"/>
          <w:color w:val="0D0D0D" w:themeColor="text1" w:themeTint="F2"/>
          <w:sz w:val="32"/>
          <w:szCs w:val="32"/>
          <w:rtl/>
          <w:lang w:eastAsia="en-US"/>
        </w:rPr>
        <w:t xml:space="preserve">  ﭩ   ﭪ  ﭫ   </w:t>
      </w:r>
      <w:r w:rsidRPr="00A751AA">
        <w:rPr>
          <w:rFonts w:ascii="QCF_BSML" w:hAnsi="QCF_BSML" w:cs="QCF_BSML"/>
          <w:color w:val="0D0D0D" w:themeColor="text1" w:themeTint="F2"/>
          <w:sz w:val="32"/>
          <w:szCs w:val="32"/>
          <w:rtl/>
          <w:lang w:eastAsia="en-US"/>
        </w:rPr>
        <w:t>ﭼ</w:t>
      </w:r>
      <w:r w:rsidRPr="00B07E03">
        <w:rPr>
          <w:rFonts w:ascii="Traditional Arabic" w:hAnsi="Traditional Arabic"/>
          <w:color w:val="0D0D0D" w:themeColor="text1" w:themeTint="F2"/>
          <w:rtl/>
          <w:lang w:eastAsia="en-US"/>
        </w:rPr>
        <w:t xml:space="preserve"> أي: نغيبكم ونذهبكم في ناحية البر، والمعنى: إِن حكمي نافذ في البرّ نفوذه في البحر،</w:t>
      </w:r>
      <w:r w:rsidR="008F4897">
        <w:rPr>
          <w:rFonts w:ascii="Traditional Arabic" w:hAnsi="Traditional Arabic" w:hint="cs"/>
          <w:color w:val="0D0D0D" w:themeColor="text1" w:themeTint="F2"/>
          <w:rtl/>
          <w:lang w:eastAsia="en-US"/>
        </w:rPr>
        <w:t xml:space="preserve"> </w:t>
      </w:r>
      <w:r w:rsidR="008F4897">
        <w:rPr>
          <w:rFonts w:ascii="Traditional Arabic" w:hAnsi="Traditional Arabic" w:hint="cs"/>
          <w:color w:val="0D0D0D" w:themeColor="text1" w:themeTint="F2"/>
          <w:sz w:val="32"/>
          <w:szCs w:val="32"/>
          <w:rtl/>
          <w:lang w:eastAsia="en-US"/>
        </w:rPr>
        <w:t xml:space="preserve">أو نرسل </w:t>
      </w:r>
      <w:r w:rsidRPr="00A751AA">
        <w:rPr>
          <w:rFonts w:ascii="QCF_BSML" w:hAnsi="QCF_BSML" w:cs="QCF_BSML"/>
          <w:color w:val="0D0D0D" w:themeColor="text1" w:themeTint="F2"/>
          <w:sz w:val="32"/>
          <w:szCs w:val="32"/>
          <w:rtl/>
          <w:lang w:eastAsia="en-US"/>
        </w:rPr>
        <w:t>ﭽ</w:t>
      </w:r>
      <w:r w:rsidRPr="00A751AA">
        <w:rPr>
          <w:rFonts w:ascii="QCF_P289" w:hAnsi="QCF_P289" w:cs="QCF_P289"/>
          <w:color w:val="0D0D0D" w:themeColor="text1" w:themeTint="F2"/>
          <w:sz w:val="32"/>
          <w:szCs w:val="32"/>
          <w:rtl/>
          <w:lang w:eastAsia="en-US"/>
        </w:rPr>
        <w:t xml:space="preserve"> ﭮ ﭯ</w:t>
      </w:r>
      <w:r w:rsidRPr="00A751AA">
        <w:rPr>
          <w:rFonts w:ascii="QCF_BSML" w:hAnsi="QCF_BSML" w:cs="QCF_BSML"/>
          <w:color w:val="0D0D0D" w:themeColor="text1" w:themeTint="F2"/>
          <w:sz w:val="32"/>
          <w:szCs w:val="32"/>
          <w:rtl/>
          <w:lang w:eastAsia="en-US"/>
        </w:rPr>
        <w:t>ﭼ</w:t>
      </w:r>
      <w:r w:rsidR="004F7A80">
        <w:rPr>
          <w:rFonts w:ascii="Traditional Arabic" w:hAnsi="Traditional Arabic" w:hint="cs"/>
          <w:color w:val="0D0D0D" w:themeColor="text1" w:themeTint="F2"/>
          <w:rtl/>
          <w:lang w:eastAsia="en-US"/>
        </w:rPr>
        <w:t xml:space="preserve"> </w:t>
      </w:r>
      <w:r w:rsidRPr="00B07E03">
        <w:rPr>
          <w:rFonts w:ascii="Traditional Arabic" w:hAnsi="Traditional Arabic"/>
          <w:color w:val="0D0D0D" w:themeColor="text1" w:themeTint="F2"/>
          <w:rtl/>
          <w:lang w:eastAsia="en-US"/>
        </w:rPr>
        <w:t xml:space="preserve"> فيه ثلاثة أقوال: أحدها: أن الحاصب: حجارة من السماء، قاله قتادة</w:t>
      </w:r>
      <w:r w:rsidRPr="00B07E03">
        <w:rPr>
          <w:rStyle w:val="ae"/>
          <w:color w:val="0D0D0D" w:themeColor="text1" w:themeTint="F2"/>
          <w:rtl/>
        </w:rPr>
        <w:t>(</w:t>
      </w:r>
      <w:r w:rsidRPr="00B07E03">
        <w:rPr>
          <w:rStyle w:val="ae"/>
          <w:color w:val="0D0D0D" w:themeColor="text1" w:themeTint="F2"/>
          <w:rtl/>
        </w:rPr>
        <w:footnoteReference w:id="341"/>
      </w:r>
      <w:r w:rsidRPr="00B07E03">
        <w:rPr>
          <w:rStyle w:val="ae"/>
          <w:color w:val="0D0D0D" w:themeColor="text1" w:themeTint="F2"/>
          <w:rtl/>
        </w:rPr>
        <w:t>)</w:t>
      </w:r>
      <w:r w:rsidRPr="00B07E03">
        <w:rPr>
          <w:rFonts w:ascii="Traditional Arabic" w:hAnsi="Traditional Arabic"/>
          <w:color w:val="0D0D0D" w:themeColor="text1" w:themeTint="F2"/>
          <w:rtl/>
          <w:lang w:eastAsia="en-US"/>
        </w:rPr>
        <w:t>. والثاني:</w:t>
      </w:r>
      <w:r w:rsidR="007A4BE4">
        <w:rPr>
          <w:rFonts w:ascii="Traditional Arabic" w:hAnsi="Traditional Arabic" w:hint="cs"/>
          <w:color w:val="0D0D0D" w:themeColor="text1" w:themeTint="F2"/>
          <w:rtl/>
          <w:lang w:eastAsia="en-US"/>
        </w:rPr>
        <w:t xml:space="preserve"> </w:t>
      </w:r>
      <w:r w:rsidRPr="00B07E03">
        <w:rPr>
          <w:rFonts w:ascii="Traditional Arabic" w:hAnsi="Traditional Arabic"/>
          <w:color w:val="0D0D0D" w:themeColor="text1" w:themeTint="F2"/>
          <w:rtl/>
          <w:lang w:eastAsia="en-US"/>
        </w:rPr>
        <w:t>أنه الريح العاصف تحصب</w:t>
      </w:r>
      <w:r w:rsidRPr="00B07E03">
        <w:rPr>
          <w:rStyle w:val="ae"/>
          <w:color w:val="0D0D0D" w:themeColor="text1" w:themeTint="F2"/>
          <w:rtl/>
        </w:rPr>
        <w:t>(</w:t>
      </w:r>
      <w:r w:rsidRPr="00B07E03">
        <w:rPr>
          <w:rStyle w:val="ae"/>
          <w:color w:val="0D0D0D" w:themeColor="text1" w:themeTint="F2"/>
          <w:rtl/>
        </w:rPr>
        <w:footnoteReference w:id="342"/>
      </w:r>
      <w:r w:rsidRPr="00B07E03">
        <w:rPr>
          <w:rStyle w:val="ae"/>
          <w:color w:val="0D0D0D" w:themeColor="text1" w:themeTint="F2"/>
          <w:rtl/>
        </w:rPr>
        <w:t>)</w:t>
      </w:r>
      <w:r w:rsidRPr="00B07E03">
        <w:rPr>
          <w:rFonts w:ascii="Traditional Arabic" w:hAnsi="Traditional Arabic"/>
          <w:color w:val="0D0D0D" w:themeColor="text1" w:themeTint="F2"/>
          <w:rtl/>
          <w:lang w:eastAsia="en-US"/>
        </w:rPr>
        <w:t>، قاله أبوعبيدة</w:t>
      </w:r>
      <w:r w:rsidRPr="00B07E03">
        <w:rPr>
          <w:rStyle w:val="ae"/>
          <w:color w:val="0D0D0D" w:themeColor="text1" w:themeTint="F2"/>
          <w:rtl/>
        </w:rPr>
        <w:t>(</w:t>
      </w:r>
      <w:r w:rsidRPr="00B07E03">
        <w:rPr>
          <w:rStyle w:val="ae"/>
          <w:color w:val="0D0D0D" w:themeColor="text1" w:themeTint="F2"/>
          <w:rtl/>
        </w:rPr>
        <w:footnoteReference w:id="343"/>
      </w:r>
      <w:r w:rsidRPr="00B07E03">
        <w:rPr>
          <w:rStyle w:val="ae"/>
          <w:color w:val="0D0D0D" w:themeColor="text1" w:themeTint="F2"/>
          <w:rtl/>
        </w:rPr>
        <w:t>)</w:t>
      </w:r>
      <w:r w:rsidR="00A751AA">
        <w:rPr>
          <w:rFonts w:ascii="Traditional Arabic" w:hAnsi="Traditional Arabic" w:hint="cs"/>
          <w:color w:val="0D0D0D" w:themeColor="text1" w:themeTint="F2"/>
          <w:rtl/>
          <w:lang w:eastAsia="en-US"/>
        </w:rPr>
        <w:t>.</w:t>
      </w:r>
      <w:r w:rsidRPr="00B07E03">
        <w:rPr>
          <w:rFonts w:ascii="Traditional Arabic" w:hAnsi="Traditional Arabic"/>
          <w:color w:val="0D0D0D" w:themeColor="text1" w:themeTint="F2"/>
          <w:rtl/>
          <w:lang w:eastAsia="en-US"/>
        </w:rPr>
        <w:t xml:space="preserve"> وأنشد للفرزدق</w:t>
      </w:r>
      <w:r w:rsidRPr="00B07E03">
        <w:rPr>
          <w:rStyle w:val="ae"/>
          <w:color w:val="0D0D0D" w:themeColor="text1" w:themeTint="F2"/>
          <w:rtl/>
        </w:rPr>
        <w:t>(</w:t>
      </w:r>
      <w:r w:rsidRPr="00B07E03">
        <w:rPr>
          <w:rStyle w:val="ae"/>
          <w:color w:val="0D0D0D" w:themeColor="text1" w:themeTint="F2"/>
          <w:rtl/>
        </w:rPr>
        <w:footnoteReference w:id="344"/>
      </w:r>
      <w:r w:rsidRPr="00B07E03">
        <w:rPr>
          <w:rStyle w:val="ae"/>
          <w:color w:val="0D0D0D" w:themeColor="text1" w:themeTint="F2"/>
          <w:rtl/>
        </w:rPr>
        <w:t>)</w:t>
      </w:r>
      <w:r w:rsidRPr="00B07E03">
        <w:rPr>
          <w:rFonts w:ascii="Traditional Arabic" w:hAnsi="Traditional Arabic"/>
          <w:color w:val="0D0D0D" w:themeColor="text1" w:themeTint="F2"/>
          <w:rtl/>
          <w:lang w:eastAsia="en-US"/>
        </w:rPr>
        <w:t>:</w:t>
      </w:r>
    </w:p>
    <w:p w:rsidR="00C36615" w:rsidRPr="00B07E03" w:rsidRDefault="00156316" w:rsidP="004C51A2">
      <w:pPr>
        <w:widowControl/>
        <w:autoSpaceDE w:val="0"/>
        <w:autoSpaceDN w:val="0"/>
        <w:adjustRightInd w:val="0"/>
        <w:ind w:firstLine="0"/>
        <w:jc w:val="left"/>
        <w:rPr>
          <w:rFonts w:ascii="Traditional Arabic" w:hAnsi="Traditional Arabic"/>
          <w:color w:val="0D0D0D" w:themeColor="text1" w:themeTint="F2"/>
          <w:rtl/>
          <w:lang w:eastAsia="en-US"/>
        </w:rPr>
      </w:pPr>
      <w:r w:rsidRPr="001277AD">
        <w:rPr>
          <w:rFonts w:hint="cs"/>
          <w:color w:val="0D0D0D" w:themeColor="text1" w:themeTint="F2"/>
          <w:sz w:val="32"/>
          <w:szCs w:val="32"/>
          <w:rtl/>
        </w:rPr>
        <w:t>[</w:t>
      </w:r>
      <w:r w:rsidR="004C51A2">
        <w:rPr>
          <w:rFonts w:hint="cs"/>
          <w:color w:val="0D0D0D" w:themeColor="text1" w:themeTint="F2"/>
          <w:sz w:val="32"/>
          <w:szCs w:val="32"/>
          <w:rtl/>
        </w:rPr>
        <w:t>77</w:t>
      </w:r>
      <w:r w:rsidRPr="001277AD">
        <w:rPr>
          <w:rFonts w:hint="cs"/>
          <w:color w:val="0D0D0D" w:themeColor="text1" w:themeTint="F2"/>
          <w:sz w:val="32"/>
          <w:szCs w:val="32"/>
          <w:rtl/>
        </w:rPr>
        <w:t>]</w:t>
      </w:r>
      <w:r w:rsidRPr="001277AD">
        <w:rPr>
          <w:rFonts w:ascii="Traditional Arabic" w:hAnsi="Traditional Arabic"/>
          <w:color w:val="0D0D0D" w:themeColor="text1" w:themeTint="F2"/>
          <w:sz w:val="32"/>
          <w:szCs w:val="32"/>
          <w:rtl/>
          <w:lang w:eastAsia="en-US"/>
        </w:rPr>
        <w:t xml:space="preserve"> </w:t>
      </w:r>
      <w:r w:rsidR="00136F07">
        <w:rPr>
          <w:rFonts w:ascii="Traditional Arabic" w:hAnsi="Traditional Arabic"/>
          <w:color w:val="0D0D0D" w:themeColor="text1" w:themeTint="F2"/>
          <w:rtl/>
          <w:lang w:eastAsia="en-US"/>
        </w:rPr>
        <w:t>مُسْتَقْبِلِينَ شَمَال</w:t>
      </w:r>
      <w:r w:rsidR="00136F07">
        <w:rPr>
          <w:rFonts w:ascii="Traditional Arabic" w:hAnsi="Traditional Arabic" w:hint="cs"/>
          <w:color w:val="0D0D0D" w:themeColor="text1" w:themeTint="F2"/>
          <w:rtl/>
          <w:lang w:eastAsia="en-US"/>
        </w:rPr>
        <w:t xml:space="preserve"> ال</w:t>
      </w:r>
      <w:r w:rsidR="0008676D">
        <w:rPr>
          <w:rFonts w:ascii="Traditional Arabic" w:hAnsi="Traditional Arabic" w:hint="cs"/>
          <w:color w:val="0D0D0D" w:themeColor="text1" w:themeTint="F2"/>
          <w:rtl/>
          <w:lang w:eastAsia="en-US"/>
        </w:rPr>
        <w:t>ريح</w:t>
      </w:r>
      <w:r w:rsidR="00136F07" w:rsidRPr="00136F07">
        <w:rPr>
          <w:rStyle w:val="ae"/>
          <w:rtl/>
        </w:rPr>
        <w:t>(</w:t>
      </w:r>
      <w:r w:rsidR="00136F07">
        <w:rPr>
          <w:rStyle w:val="ae"/>
          <w:rtl/>
        </w:rPr>
        <w:footnoteReference w:id="345"/>
      </w:r>
      <w:r w:rsidR="00136F07" w:rsidRPr="00136F07">
        <w:rPr>
          <w:rStyle w:val="ae"/>
          <w:rtl/>
        </w:rPr>
        <w:t>)</w:t>
      </w:r>
      <w:r w:rsidR="00C36615" w:rsidRPr="00B07E03">
        <w:rPr>
          <w:rFonts w:ascii="Traditional Arabic" w:hAnsi="Traditional Arabic"/>
          <w:color w:val="0D0D0D" w:themeColor="text1" w:themeTint="F2"/>
          <w:rtl/>
          <w:lang w:eastAsia="en-US"/>
        </w:rPr>
        <w:t>تَضْرِبُهُم ... بِحَاصِبٍ كنَدِيفِ القُطْنِ مَنْثُورِ</w:t>
      </w:r>
      <w:r w:rsidR="00C36615" w:rsidRPr="00B07E03">
        <w:rPr>
          <w:rStyle w:val="ae"/>
          <w:color w:val="0D0D0D" w:themeColor="text1" w:themeTint="F2"/>
          <w:rtl/>
        </w:rPr>
        <w:t>(</w:t>
      </w:r>
      <w:r w:rsidR="00C36615" w:rsidRPr="00B07E03">
        <w:rPr>
          <w:rStyle w:val="ae"/>
          <w:color w:val="0D0D0D" w:themeColor="text1" w:themeTint="F2"/>
          <w:rtl/>
        </w:rPr>
        <w:footnoteReference w:id="346"/>
      </w:r>
      <w:r w:rsidR="00C36615" w:rsidRPr="00B07E03">
        <w:rPr>
          <w:rStyle w:val="ae"/>
          <w:color w:val="0D0D0D" w:themeColor="text1" w:themeTint="F2"/>
          <w:rtl/>
        </w:rPr>
        <w:t>)</w:t>
      </w:r>
    </w:p>
    <w:p w:rsidR="00E3597A" w:rsidRDefault="00C36615" w:rsidP="007A4BE4">
      <w:pPr>
        <w:widowControl/>
        <w:autoSpaceDE w:val="0"/>
        <w:autoSpaceDN w:val="0"/>
        <w:adjustRightInd w:val="0"/>
        <w:ind w:firstLine="0"/>
        <w:rPr>
          <w:rFonts w:ascii="Traditional Arabic" w:hAnsi="Traditional Arabic"/>
          <w:color w:val="0D0D0D" w:themeColor="text1" w:themeTint="F2"/>
          <w:rtl/>
          <w:lang w:eastAsia="en-US"/>
        </w:rPr>
      </w:pPr>
      <w:r w:rsidRPr="00B07E03">
        <w:rPr>
          <w:rFonts w:ascii="Traditional Arabic" w:hAnsi="Traditional Arabic"/>
          <w:color w:val="0D0D0D" w:themeColor="text1" w:themeTint="F2"/>
          <w:rtl/>
          <w:lang w:eastAsia="en-US"/>
        </w:rPr>
        <w:t>وقال ابن قتيبة: الحاصب: الريح، سميت بذلك لأنها تَحْصِبُ، أي: ترمي بالحصباء، وهي</w:t>
      </w:r>
    </w:p>
    <w:p w:rsidR="006E368E" w:rsidRDefault="00C36615" w:rsidP="006E368E">
      <w:pPr>
        <w:widowControl/>
        <w:autoSpaceDE w:val="0"/>
        <w:autoSpaceDN w:val="0"/>
        <w:adjustRightInd w:val="0"/>
        <w:ind w:firstLine="0"/>
        <w:rPr>
          <w:rFonts w:ascii="Traditional Arabic" w:hAnsi="Traditional Arabic"/>
          <w:color w:val="0D0D0D" w:themeColor="text1" w:themeTint="F2"/>
          <w:rtl/>
          <w:lang w:eastAsia="en-US"/>
        </w:rPr>
      </w:pPr>
      <w:r w:rsidRPr="00B07E03">
        <w:rPr>
          <w:rFonts w:ascii="Traditional Arabic" w:hAnsi="Traditional Arabic"/>
          <w:color w:val="0D0D0D" w:themeColor="text1" w:themeTint="F2"/>
          <w:rtl/>
          <w:lang w:eastAsia="en-US"/>
        </w:rPr>
        <w:t xml:space="preserve"> الحصى الصغار</w:t>
      </w:r>
      <w:r w:rsidRPr="00B07E03">
        <w:rPr>
          <w:rStyle w:val="ae"/>
          <w:color w:val="0D0D0D" w:themeColor="text1" w:themeTint="F2"/>
          <w:rtl/>
        </w:rPr>
        <w:t>(</w:t>
      </w:r>
      <w:r w:rsidRPr="00B07E03">
        <w:rPr>
          <w:rStyle w:val="ae"/>
          <w:color w:val="0D0D0D" w:themeColor="text1" w:themeTint="F2"/>
          <w:rtl/>
        </w:rPr>
        <w:footnoteReference w:id="347"/>
      </w:r>
      <w:r w:rsidRPr="00B07E03">
        <w:rPr>
          <w:rStyle w:val="ae"/>
          <w:color w:val="0D0D0D" w:themeColor="text1" w:themeTint="F2"/>
          <w:rtl/>
        </w:rPr>
        <w:t>)</w:t>
      </w:r>
      <w:r w:rsidRPr="00B07E03">
        <w:rPr>
          <w:rFonts w:ascii="Traditional Arabic" w:hAnsi="Traditional Arabic"/>
          <w:color w:val="0D0D0D" w:themeColor="text1" w:themeTint="F2"/>
          <w:rtl/>
          <w:lang w:eastAsia="en-US"/>
        </w:rPr>
        <w:t>. وقال ابن الأنباري: قال اللغويون: الحاصب الريح التي فيها الحصى</w:t>
      </w:r>
      <w:r w:rsidRPr="00B07E03">
        <w:rPr>
          <w:rFonts w:ascii="Traditional Arabic" w:hAnsi="Traditional Arabic" w:hint="cs"/>
          <w:color w:val="0D0D0D" w:themeColor="text1" w:themeTint="F2"/>
          <w:rtl/>
          <w:lang w:eastAsia="en-US"/>
        </w:rPr>
        <w:t>؛</w:t>
      </w:r>
      <w:r w:rsidRPr="00B07E03">
        <w:rPr>
          <w:rFonts w:ascii="Traditional Arabic" w:hAnsi="Traditional Arabic"/>
          <w:color w:val="0D0D0D" w:themeColor="text1" w:themeTint="F2"/>
          <w:rtl/>
          <w:lang w:eastAsia="en-US"/>
        </w:rPr>
        <w:t xml:space="preserve"> وإِنما قال في الريح: </w:t>
      </w:r>
      <w:r w:rsidRPr="00A751AA">
        <w:rPr>
          <w:rFonts w:ascii="QCF_BSML" w:hAnsi="QCF_BSML" w:cs="QCF_BSML"/>
          <w:color w:val="0D0D0D" w:themeColor="text1" w:themeTint="F2"/>
          <w:sz w:val="32"/>
          <w:szCs w:val="32"/>
          <w:rtl/>
          <w:lang w:eastAsia="en-US"/>
        </w:rPr>
        <w:t>ﭽ</w:t>
      </w:r>
      <w:r w:rsidRPr="00A751AA">
        <w:rPr>
          <w:rFonts w:ascii="QCF_P289" w:hAnsi="QCF_P289" w:cs="QCF_P289"/>
          <w:color w:val="0D0D0D" w:themeColor="text1" w:themeTint="F2"/>
          <w:sz w:val="32"/>
          <w:szCs w:val="32"/>
          <w:rtl/>
          <w:lang w:eastAsia="en-US"/>
        </w:rPr>
        <w:t>ﭯ</w:t>
      </w:r>
      <w:r w:rsidRPr="00A751AA">
        <w:rPr>
          <w:rFonts w:ascii="QCF_BSML" w:hAnsi="QCF_BSML" w:cs="QCF_BSML"/>
          <w:color w:val="0D0D0D" w:themeColor="text1" w:themeTint="F2"/>
          <w:sz w:val="32"/>
          <w:szCs w:val="32"/>
          <w:rtl/>
          <w:lang w:eastAsia="en-US"/>
        </w:rPr>
        <w:t>ﭼ</w:t>
      </w:r>
      <w:r w:rsidRPr="00A751AA">
        <w:rPr>
          <w:rFonts w:ascii="Traditional Arabic" w:hAnsi="Traditional Arabic"/>
          <w:color w:val="0D0D0D" w:themeColor="text1" w:themeTint="F2"/>
          <w:sz w:val="32"/>
          <w:szCs w:val="32"/>
          <w:rtl/>
          <w:lang w:eastAsia="en-US"/>
        </w:rPr>
        <w:t xml:space="preserve"> </w:t>
      </w:r>
      <w:r w:rsidRPr="00B07E03">
        <w:rPr>
          <w:rFonts w:ascii="Traditional Arabic" w:hAnsi="Traditional Arabic"/>
          <w:color w:val="0D0D0D" w:themeColor="text1" w:themeTint="F2"/>
          <w:rtl/>
          <w:lang w:eastAsia="en-US"/>
        </w:rPr>
        <w:t xml:space="preserve">ولم يقل: </w:t>
      </w:r>
      <w:r w:rsidRPr="00B07E03">
        <w:rPr>
          <w:rFonts w:ascii="Traditional Arabic" w:hAnsi="Traditional Arabic" w:hint="cs"/>
          <w:color w:val="0D0D0D" w:themeColor="text1" w:themeTint="F2"/>
          <w:rtl/>
          <w:lang w:eastAsia="en-US"/>
        </w:rPr>
        <w:t>"</w:t>
      </w:r>
      <w:r w:rsidRPr="00B07E03">
        <w:rPr>
          <w:rFonts w:ascii="Traditional Arabic" w:hAnsi="Traditional Arabic"/>
          <w:color w:val="0D0D0D" w:themeColor="text1" w:themeTint="F2"/>
          <w:rtl/>
          <w:lang w:eastAsia="en-US"/>
        </w:rPr>
        <w:t>حاصبة</w:t>
      </w:r>
      <w:r w:rsidRPr="00B07E03">
        <w:rPr>
          <w:rFonts w:ascii="Traditional Arabic" w:hAnsi="Traditional Arabic" w:hint="cs"/>
          <w:color w:val="0D0D0D" w:themeColor="text1" w:themeTint="F2"/>
          <w:rtl/>
          <w:lang w:eastAsia="en-US"/>
        </w:rPr>
        <w:t xml:space="preserve"> "</w:t>
      </w:r>
      <w:r w:rsidRPr="00B07E03">
        <w:rPr>
          <w:rFonts w:ascii="Traditional Arabic" w:hAnsi="Traditional Arabic"/>
          <w:color w:val="0D0D0D" w:themeColor="text1" w:themeTint="F2"/>
          <w:rtl/>
          <w:lang w:eastAsia="en-US"/>
        </w:rPr>
        <w:t xml:space="preserve"> لأنه وصْفٌ لزم الريح ولم يكن لها مذكَّر تنتقل إِليه في حال، فكان بمنزلة قولهم: حائض للمرأة، حين لم يُقَلْ: رجل حائض. قال: وفيه جواب آخر، وهو أن نعت الريح عُريٌ من علامة التأنيث، فأشبهت بذلك أسماء المذكَّر، كما قالوا: </w:t>
      </w:r>
      <w:r w:rsidRPr="00B07E03">
        <w:rPr>
          <w:rFonts w:ascii="Traditional Arabic" w:hAnsi="Traditional Arabic"/>
          <w:color w:val="0D0D0D" w:themeColor="text1" w:themeTint="F2"/>
          <w:rtl/>
          <w:lang w:eastAsia="en-US"/>
        </w:rPr>
        <w:lastRenderedPageBreak/>
        <w:t>السماء أمطر، والأرض أنبت</w:t>
      </w:r>
      <w:r w:rsidRPr="00B07E03">
        <w:rPr>
          <w:rStyle w:val="ae"/>
          <w:color w:val="0D0D0D" w:themeColor="text1" w:themeTint="F2"/>
          <w:rtl/>
        </w:rPr>
        <w:t>(</w:t>
      </w:r>
      <w:r w:rsidRPr="00B07E03">
        <w:rPr>
          <w:rStyle w:val="ae"/>
          <w:color w:val="0D0D0D" w:themeColor="text1" w:themeTint="F2"/>
          <w:rtl/>
        </w:rPr>
        <w:footnoteReference w:id="348"/>
      </w:r>
      <w:r w:rsidRPr="00B07E03">
        <w:rPr>
          <w:rStyle w:val="ae"/>
          <w:color w:val="0D0D0D" w:themeColor="text1" w:themeTint="F2"/>
          <w:rtl/>
        </w:rPr>
        <w:t>)</w:t>
      </w:r>
      <w:r w:rsidRPr="00B07E03">
        <w:rPr>
          <w:rFonts w:ascii="Traditional Arabic" w:hAnsi="Traditional Arabic"/>
          <w:color w:val="0D0D0D" w:themeColor="text1" w:themeTint="F2"/>
          <w:rtl/>
          <w:lang w:eastAsia="en-US"/>
        </w:rPr>
        <w:t>. والثالث: أن الحاصب: التراب الذي فيه حصباء، قاله الزّجّاج</w:t>
      </w:r>
      <w:r w:rsidRPr="00B07E03">
        <w:rPr>
          <w:rStyle w:val="ae"/>
          <w:color w:val="0D0D0D" w:themeColor="text1" w:themeTint="F2"/>
          <w:rtl/>
        </w:rPr>
        <w:t>(</w:t>
      </w:r>
      <w:r w:rsidRPr="00B07E03">
        <w:rPr>
          <w:rStyle w:val="ae"/>
          <w:color w:val="0D0D0D" w:themeColor="text1" w:themeTint="F2"/>
          <w:rtl/>
        </w:rPr>
        <w:footnoteReference w:id="349"/>
      </w:r>
      <w:r w:rsidRPr="00B07E03">
        <w:rPr>
          <w:rStyle w:val="ae"/>
          <w:color w:val="0D0D0D" w:themeColor="text1" w:themeTint="F2"/>
          <w:rtl/>
        </w:rPr>
        <w:t>)</w:t>
      </w:r>
      <w:r w:rsidRPr="00B07E03">
        <w:rPr>
          <w:rFonts w:ascii="Traditional Arabic" w:hAnsi="Traditional Arabic"/>
          <w:color w:val="0D0D0D" w:themeColor="text1" w:themeTint="F2"/>
          <w:rtl/>
          <w:lang w:eastAsia="en-US"/>
        </w:rPr>
        <w:t>.</w:t>
      </w:r>
      <w:r w:rsidRPr="00B07E03">
        <w:rPr>
          <w:rFonts w:ascii="Traditional Arabic" w:hAnsi="Traditional Arabic" w:hint="cs"/>
          <w:color w:val="0D0D0D" w:themeColor="text1" w:themeTint="F2"/>
          <w:rtl/>
          <w:lang w:eastAsia="en-US"/>
        </w:rPr>
        <w:t xml:space="preserve"> </w:t>
      </w:r>
      <w:r w:rsidRPr="00B07E03">
        <w:rPr>
          <w:rFonts w:ascii="Traditional Arabic" w:hAnsi="Traditional Arabic"/>
          <w:color w:val="0D0D0D" w:themeColor="text1" w:themeTint="F2"/>
          <w:rtl/>
          <w:lang w:eastAsia="en-US"/>
        </w:rPr>
        <w:t xml:space="preserve">قوله تعالى: </w:t>
      </w:r>
      <w:r w:rsidRPr="00A751AA">
        <w:rPr>
          <w:rFonts w:ascii="QCF_BSML" w:hAnsi="QCF_BSML" w:cs="QCF_BSML"/>
          <w:color w:val="0D0D0D" w:themeColor="text1" w:themeTint="F2"/>
          <w:sz w:val="32"/>
          <w:szCs w:val="32"/>
          <w:rtl/>
          <w:lang w:eastAsia="en-US"/>
        </w:rPr>
        <w:t>ﭽ</w:t>
      </w:r>
      <w:r w:rsidRPr="00A751AA">
        <w:rPr>
          <w:rFonts w:ascii="QCF_P289" w:hAnsi="QCF_P289" w:cs="QCF_P289"/>
          <w:color w:val="0D0D0D" w:themeColor="text1" w:themeTint="F2"/>
          <w:sz w:val="32"/>
          <w:szCs w:val="32"/>
          <w:rtl/>
          <w:lang w:eastAsia="en-US"/>
        </w:rPr>
        <w:t xml:space="preserve"> ﭰ  ﭱ  ﭲ  ﭳ   ﭴ</w:t>
      </w:r>
      <w:r w:rsidRPr="00A751AA">
        <w:rPr>
          <w:rFonts w:ascii="QCF_BSML" w:hAnsi="QCF_BSML" w:cs="QCF_BSML"/>
          <w:color w:val="0D0D0D" w:themeColor="text1" w:themeTint="F2"/>
          <w:sz w:val="32"/>
          <w:szCs w:val="32"/>
          <w:rtl/>
          <w:lang w:eastAsia="en-US"/>
        </w:rPr>
        <w:t xml:space="preserve"> ﭼ</w:t>
      </w:r>
      <w:r w:rsidRPr="00207934">
        <w:rPr>
          <w:rFonts w:ascii="Traditional Arabic" w:hAnsi="Traditional Arabic"/>
          <w:color w:val="0D0D0D" w:themeColor="text1" w:themeTint="F2"/>
          <w:sz w:val="32"/>
          <w:szCs w:val="32"/>
          <w:rtl/>
          <w:lang w:eastAsia="en-US"/>
        </w:rPr>
        <w:t xml:space="preserve"> </w:t>
      </w:r>
      <w:r w:rsidRPr="00B07E03">
        <w:rPr>
          <w:rFonts w:ascii="Traditional Arabic" w:hAnsi="Traditional Arabic"/>
          <w:color w:val="0D0D0D" w:themeColor="text1" w:themeTint="F2"/>
          <w:rtl/>
          <w:lang w:eastAsia="en-US"/>
        </w:rPr>
        <w:t>أي: مانعاً وناصراً</w:t>
      </w:r>
      <w:r w:rsidRPr="00B07E03">
        <w:rPr>
          <w:rFonts w:ascii="Traditional Arabic" w:hAnsi="Traditional Arabic" w:hint="cs"/>
          <w:color w:val="0D0D0D" w:themeColor="text1" w:themeTint="F2"/>
          <w:rtl/>
          <w:lang w:eastAsia="en-US"/>
        </w:rPr>
        <w:t xml:space="preserve">, </w:t>
      </w:r>
      <w:r w:rsidRPr="00B07E03">
        <w:rPr>
          <w:rFonts w:ascii="Traditional Arabic" w:hAnsi="Traditional Arabic"/>
          <w:color w:val="0D0D0D" w:themeColor="text1" w:themeTint="F2"/>
          <w:rtl/>
          <w:lang w:eastAsia="en-US"/>
        </w:rPr>
        <w:t>قوله تعالى:</w:t>
      </w:r>
      <w:r w:rsidR="006B22C0">
        <w:rPr>
          <w:rFonts w:ascii="QCF_BSML" w:hAnsi="QCF_BSML" w:cs="QCF_BSML" w:hint="cs"/>
          <w:color w:val="0D0D0D" w:themeColor="text1" w:themeTint="F2"/>
          <w:sz w:val="28"/>
          <w:szCs w:val="28"/>
          <w:rtl/>
          <w:lang w:eastAsia="en-US"/>
        </w:rPr>
        <w:t xml:space="preserve"> </w:t>
      </w:r>
      <w:r w:rsidRPr="00A751AA">
        <w:rPr>
          <w:rFonts w:ascii="QCF_BSML" w:hAnsi="QCF_BSML" w:cs="QCF_BSML"/>
          <w:color w:val="0D0D0D" w:themeColor="text1" w:themeTint="F2"/>
          <w:sz w:val="32"/>
          <w:szCs w:val="32"/>
          <w:rtl/>
          <w:lang w:eastAsia="en-US"/>
        </w:rPr>
        <w:t>ﭽ</w:t>
      </w:r>
      <w:r w:rsidRPr="00A751AA">
        <w:rPr>
          <w:rFonts w:ascii="QCF_P289" w:hAnsi="QCF_P289" w:cs="QCF_P289"/>
          <w:color w:val="0D0D0D" w:themeColor="text1" w:themeTint="F2"/>
          <w:sz w:val="32"/>
          <w:szCs w:val="32"/>
          <w:rtl/>
          <w:lang w:eastAsia="en-US"/>
        </w:rPr>
        <w:t xml:space="preserve">ﭶ  ﭷ  ﭸ  ﭹ  ﭺ </w:t>
      </w:r>
      <w:r w:rsidRPr="00A751AA">
        <w:rPr>
          <w:rFonts w:ascii="QCF_BSML" w:hAnsi="QCF_BSML" w:cs="QCF_BSML"/>
          <w:color w:val="0D0D0D" w:themeColor="text1" w:themeTint="F2"/>
          <w:sz w:val="32"/>
          <w:szCs w:val="32"/>
          <w:rtl/>
          <w:lang w:eastAsia="en-US"/>
        </w:rPr>
        <w:t>ﭼ</w:t>
      </w:r>
      <w:r w:rsidRPr="00A751AA">
        <w:rPr>
          <w:rFonts w:ascii="Traditional Arabic" w:hAnsi="Traditional Arabic"/>
          <w:color w:val="0D0D0D" w:themeColor="text1" w:themeTint="F2"/>
          <w:sz w:val="32"/>
          <w:szCs w:val="32"/>
          <w:rtl/>
          <w:lang w:eastAsia="en-US"/>
        </w:rPr>
        <w:t xml:space="preserve"> </w:t>
      </w:r>
      <w:r w:rsidRPr="00B07E03">
        <w:rPr>
          <w:rFonts w:ascii="Traditional Arabic" w:hAnsi="Traditional Arabic"/>
          <w:color w:val="0D0D0D" w:themeColor="text1" w:themeTint="F2"/>
          <w:rtl/>
          <w:lang w:eastAsia="en-US"/>
        </w:rPr>
        <w:t xml:space="preserve">أي: في البحر </w:t>
      </w:r>
      <w:r w:rsidRPr="00DD1733">
        <w:rPr>
          <w:rFonts w:ascii="QCF_BSML" w:hAnsi="QCF_BSML" w:cs="QCF_BSML"/>
          <w:color w:val="0D0D0D" w:themeColor="text1" w:themeTint="F2"/>
          <w:sz w:val="32"/>
          <w:szCs w:val="32"/>
          <w:rtl/>
          <w:lang w:eastAsia="en-US"/>
        </w:rPr>
        <w:t>ﭽ</w:t>
      </w:r>
      <w:r w:rsidRPr="00DD1733">
        <w:rPr>
          <w:rFonts w:ascii="QCF_P289" w:hAnsi="QCF_P289" w:cs="QCF_P289"/>
          <w:color w:val="0D0D0D" w:themeColor="text1" w:themeTint="F2"/>
          <w:sz w:val="32"/>
          <w:szCs w:val="32"/>
          <w:rtl/>
          <w:lang w:eastAsia="en-US"/>
        </w:rPr>
        <w:t>ﭻ  ﭼ</w:t>
      </w:r>
      <w:r w:rsidRPr="00DD1733">
        <w:rPr>
          <w:rFonts w:ascii="QCF_BSML" w:hAnsi="QCF_BSML" w:cs="QCF_BSML"/>
          <w:color w:val="0D0D0D" w:themeColor="text1" w:themeTint="F2"/>
          <w:sz w:val="32"/>
          <w:szCs w:val="32"/>
          <w:rtl/>
          <w:lang w:eastAsia="en-US"/>
        </w:rPr>
        <w:t>ﭼ</w:t>
      </w:r>
      <w:r w:rsidRPr="00B07E03">
        <w:rPr>
          <w:rFonts w:ascii="Traditional Arabic" w:hAnsi="Traditional Arabic"/>
          <w:color w:val="0D0D0D" w:themeColor="text1" w:themeTint="F2"/>
          <w:rtl/>
          <w:lang w:eastAsia="en-US"/>
        </w:rPr>
        <w:t xml:space="preserve"> أي: مَرَّة أُخرى، والجمع:</w:t>
      </w:r>
      <w:r w:rsidRPr="00B07E03">
        <w:rPr>
          <w:rFonts w:ascii="Traditional Arabic" w:hAnsi="Traditional Arabic" w:hint="cs"/>
          <w:color w:val="0D0D0D" w:themeColor="text1" w:themeTint="F2"/>
          <w:rtl/>
          <w:lang w:eastAsia="en-US"/>
        </w:rPr>
        <w:t xml:space="preserve"> </w:t>
      </w:r>
      <w:r w:rsidRPr="00B07E03">
        <w:rPr>
          <w:rFonts w:ascii="Traditional Arabic" w:hAnsi="Traditional Arabic"/>
          <w:color w:val="0D0D0D" w:themeColor="text1" w:themeTint="F2"/>
          <w:rtl/>
          <w:lang w:eastAsia="en-US"/>
        </w:rPr>
        <w:t>تارات</w:t>
      </w:r>
      <w:r w:rsidR="00C57091" w:rsidRPr="00C57091">
        <w:rPr>
          <w:rStyle w:val="ae"/>
          <w:rtl/>
        </w:rPr>
        <w:t>(</w:t>
      </w:r>
      <w:r w:rsidR="00C57091">
        <w:rPr>
          <w:rStyle w:val="ae"/>
          <w:rtl/>
        </w:rPr>
        <w:footnoteReference w:id="350"/>
      </w:r>
      <w:r w:rsidR="00C57091" w:rsidRPr="00C57091">
        <w:rPr>
          <w:rStyle w:val="ae"/>
          <w:rtl/>
        </w:rPr>
        <w:t>)</w:t>
      </w:r>
      <w:r w:rsidRPr="00B07E03">
        <w:rPr>
          <w:rFonts w:ascii="Traditional Arabic" w:hAnsi="Traditional Arabic"/>
          <w:color w:val="0D0D0D" w:themeColor="text1" w:themeTint="F2"/>
          <w:rtl/>
          <w:lang w:eastAsia="en-US"/>
        </w:rPr>
        <w:t xml:space="preserve">. </w:t>
      </w:r>
      <w:r w:rsidRPr="00DD1733">
        <w:rPr>
          <w:rFonts w:ascii="QCF_BSML" w:hAnsi="QCF_BSML" w:cs="QCF_BSML"/>
          <w:color w:val="0D0D0D" w:themeColor="text1" w:themeTint="F2"/>
          <w:sz w:val="32"/>
          <w:szCs w:val="32"/>
          <w:rtl/>
          <w:lang w:eastAsia="en-US"/>
        </w:rPr>
        <w:t>ﭽ</w:t>
      </w:r>
      <w:r w:rsidRPr="00DD1733">
        <w:rPr>
          <w:rFonts w:ascii="QCF_P289" w:hAnsi="QCF_P289" w:cs="QCF_P289"/>
          <w:color w:val="0D0D0D" w:themeColor="text1" w:themeTint="F2"/>
          <w:sz w:val="32"/>
          <w:szCs w:val="32"/>
          <w:rtl/>
          <w:lang w:eastAsia="en-US"/>
        </w:rPr>
        <w:t>ﭽ   ﭾ  ﭿ  ﮀ  ﮁ</w:t>
      </w:r>
      <w:r w:rsidRPr="00DD1733">
        <w:rPr>
          <w:rFonts w:ascii="QCF_BSML" w:hAnsi="QCF_BSML" w:cs="QCF_BSML"/>
          <w:color w:val="0D0D0D" w:themeColor="text1" w:themeTint="F2"/>
          <w:sz w:val="32"/>
          <w:szCs w:val="32"/>
          <w:rtl/>
          <w:lang w:eastAsia="en-US"/>
        </w:rPr>
        <w:t>ﭼ</w:t>
      </w:r>
      <w:r w:rsidRPr="00B07E03">
        <w:rPr>
          <w:rFonts w:ascii="QCF_P289" w:hAnsi="QCF_P289" w:cs="QCF_P289"/>
          <w:color w:val="0D0D0D" w:themeColor="text1" w:themeTint="F2"/>
          <w:rtl/>
          <w:lang w:eastAsia="en-US"/>
        </w:rPr>
        <w:t xml:space="preserve">  </w:t>
      </w:r>
      <w:r w:rsidRPr="00B07E03">
        <w:rPr>
          <w:rFonts w:ascii="Traditional Arabic" w:hAnsi="Traditional Arabic"/>
          <w:color w:val="0D0D0D" w:themeColor="text1" w:themeTint="F2"/>
          <w:rtl/>
          <w:lang w:eastAsia="en-US"/>
        </w:rPr>
        <w:t>قال أبو عبيدة: هي التي تقصف كل شيء</w:t>
      </w:r>
      <w:r w:rsidRPr="00B07E03">
        <w:rPr>
          <w:rStyle w:val="ae"/>
          <w:color w:val="0D0D0D" w:themeColor="text1" w:themeTint="F2"/>
          <w:rtl/>
        </w:rPr>
        <w:t>(</w:t>
      </w:r>
      <w:r w:rsidRPr="00B07E03">
        <w:rPr>
          <w:rStyle w:val="ae"/>
          <w:color w:val="0D0D0D" w:themeColor="text1" w:themeTint="F2"/>
          <w:rtl/>
        </w:rPr>
        <w:footnoteReference w:id="351"/>
      </w:r>
      <w:r w:rsidRPr="00B07E03">
        <w:rPr>
          <w:rStyle w:val="ae"/>
          <w:color w:val="0D0D0D" w:themeColor="text1" w:themeTint="F2"/>
          <w:rtl/>
        </w:rPr>
        <w:t>)</w:t>
      </w:r>
      <w:r w:rsidRPr="00B07E03">
        <w:rPr>
          <w:rFonts w:ascii="Traditional Arabic" w:hAnsi="Traditional Arabic"/>
          <w:color w:val="0D0D0D" w:themeColor="text1" w:themeTint="F2"/>
          <w:rtl/>
          <w:lang w:eastAsia="en-US"/>
        </w:rPr>
        <w:t>.</w:t>
      </w:r>
      <w:r w:rsidR="006B22C0">
        <w:rPr>
          <w:rFonts w:ascii="Traditional Arabic" w:hAnsi="Traditional Arabic" w:hint="cs"/>
          <w:color w:val="0D0D0D" w:themeColor="text1" w:themeTint="F2"/>
          <w:rtl/>
          <w:lang w:eastAsia="en-US"/>
        </w:rPr>
        <w:t xml:space="preserve"> </w:t>
      </w:r>
      <w:r w:rsidRPr="00B07E03">
        <w:rPr>
          <w:rFonts w:ascii="Traditional Arabic" w:hAnsi="Traditional Arabic"/>
          <w:color w:val="0D0D0D" w:themeColor="text1" w:themeTint="F2"/>
          <w:rtl/>
          <w:lang w:eastAsia="en-US"/>
        </w:rPr>
        <w:t>قال ابن قتيبة:</w:t>
      </w:r>
      <w:r w:rsidRPr="00B07E03">
        <w:rPr>
          <w:rFonts w:ascii="Traditional Arabic" w:hAnsi="Traditional Arabic" w:hint="cs"/>
          <w:color w:val="0D0D0D" w:themeColor="text1" w:themeTint="F2"/>
          <w:rtl/>
          <w:lang w:eastAsia="en-US"/>
        </w:rPr>
        <w:t xml:space="preserve"> </w:t>
      </w:r>
      <w:r w:rsidR="001F794C" w:rsidRPr="006E368E">
        <w:rPr>
          <w:rFonts w:ascii="Traditional Arabic" w:hAnsi="Traditional Arabic"/>
          <w:color w:val="0D0D0D" w:themeColor="text1" w:themeTint="F2"/>
          <w:rtl/>
          <w:lang w:eastAsia="en-US"/>
        </w:rPr>
        <w:t>القاصف:</w:t>
      </w:r>
      <w:r w:rsidR="003C3020" w:rsidRPr="006E368E">
        <w:rPr>
          <w:rFonts w:ascii="Traditional Arabic" w:hAnsi="Traditional Arabic" w:hint="cs"/>
          <w:color w:val="0D0D0D" w:themeColor="text1" w:themeTint="F2"/>
          <w:rtl/>
          <w:lang w:eastAsia="en-US"/>
        </w:rPr>
        <w:t xml:space="preserve"> </w:t>
      </w:r>
      <w:r w:rsidR="006E368E" w:rsidRPr="006E368E">
        <w:rPr>
          <w:rFonts w:ascii="Traditional Arabic" w:hAnsi="Traditional Arabic"/>
          <w:rtl/>
        </w:rPr>
        <w:t>يقصف الشجر، أي: يكسره</w:t>
      </w:r>
      <w:r w:rsidR="006E368E" w:rsidRPr="006E368E">
        <w:rPr>
          <w:rFonts w:ascii="Traditional Arabic" w:hAnsi="Traditional Arabic" w:hint="cs"/>
          <w:color w:val="0D0D0D" w:themeColor="text1" w:themeTint="F2"/>
          <w:rtl/>
          <w:lang w:eastAsia="en-US"/>
        </w:rPr>
        <w:t xml:space="preserve"> </w:t>
      </w:r>
      <w:r w:rsidR="00791A3D" w:rsidRPr="006E368E">
        <w:rPr>
          <w:rStyle w:val="ae"/>
          <w:rtl/>
        </w:rPr>
        <w:t>(</w:t>
      </w:r>
      <w:r w:rsidR="00791A3D" w:rsidRPr="006E368E">
        <w:rPr>
          <w:rStyle w:val="ae"/>
          <w:rtl/>
        </w:rPr>
        <w:footnoteReference w:id="352"/>
      </w:r>
      <w:r w:rsidR="00791A3D" w:rsidRPr="006E368E">
        <w:rPr>
          <w:rStyle w:val="ae"/>
          <w:rtl/>
        </w:rPr>
        <w:t>)</w:t>
      </w:r>
      <w:r w:rsidRPr="006E368E">
        <w:rPr>
          <w:rStyle w:val="ae"/>
          <w:color w:val="0D0D0D" w:themeColor="text1" w:themeTint="F2"/>
          <w:rtl/>
        </w:rPr>
        <w:t>(</w:t>
      </w:r>
      <w:r w:rsidRPr="006E368E">
        <w:rPr>
          <w:rStyle w:val="ae"/>
          <w:color w:val="0D0D0D" w:themeColor="text1" w:themeTint="F2"/>
          <w:rtl/>
        </w:rPr>
        <w:footnoteReference w:id="353"/>
      </w:r>
      <w:r w:rsidRPr="006E368E">
        <w:rPr>
          <w:rStyle w:val="ae"/>
          <w:color w:val="0D0D0D" w:themeColor="text1" w:themeTint="F2"/>
          <w:rtl/>
        </w:rPr>
        <w:t>)</w:t>
      </w:r>
      <w:r w:rsidRPr="006E368E">
        <w:rPr>
          <w:rFonts w:ascii="Traditional Arabic" w:hAnsi="Traditional Arabic"/>
          <w:color w:val="0D0D0D" w:themeColor="text1" w:themeTint="F2"/>
          <w:rtl/>
          <w:lang w:eastAsia="en-US"/>
        </w:rPr>
        <w:t>.</w:t>
      </w:r>
      <w:r w:rsidR="009B202E" w:rsidRPr="006E368E">
        <w:rPr>
          <w:rFonts w:ascii="Traditional Arabic" w:hAnsi="Traditional Arabic" w:hint="cs"/>
          <w:color w:val="0D0D0D" w:themeColor="text1" w:themeTint="F2"/>
          <w:rtl/>
          <w:lang w:eastAsia="en-US"/>
        </w:rPr>
        <w:t xml:space="preserve"> </w:t>
      </w:r>
      <w:r w:rsidRPr="006E368E">
        <w:rPr>
          <w:rFonts w:ascii="Traditional Arabic" w:hAnsi="Traditional Arabic"/>
          <w:color w:val="0D0D0D" w:themeColor="text1" w:themeTint="F2"/>
          <w:rtl/>
          <w:lang w:eastAsia="en-US"/>
        </w:rPr>
        <w:t>قوله</w:t>
      </w:r>
      <w:r w:rsidRPr="00B07E03">
        <w:rPr>
          <w:rFonts w:ascii="Traditional Arabic" w:hAnsi="Traditional Arabic"/>
          <w:color w:val="0D0D0D" w:themeColor="text1" w:themeTint="F2"/>
          <w:rtl/>
          <w:lang w:eastAsia="en-US"/>
        </w:rPr>
        <w:t xml:space="preserve"> تعالى:</w:t>
      </w:r>
      <w:r w:rsidRPr="00835791">
        <w:rPr>
          <w:rFonts w:ascii="Traditional Arabic" w:hAnsi="Traditional Arabic"/>
          <w:color w:val="0D0D0D" w:themeColor="text1" w:themeTint="F2"/>
          <w:sz w:val="28"/>
          <w:szCs w:val="28"/>
          <w:rtl/>
          <w:lang w:eastAsia="en-US"/>
        </w:rPr>
        <w:t xml:space="preserve"> </w:t>
      </w:r>
      <w:r w:rsidRPr="00DD1733">
        <w:rPr>
          <w:rFonts w:ascii="QCF_BSML" w:hAnsi="QCF_BSML" w:cs="QCF_BSML"/>
          <w:color w:val="0D0D0D" w:themeColor="text1" w:themeTint="F2"/>
          <w:sz w:val="32"/>
          <w:szCs w:val="32"/>
          <w:rtl/>
          <w:lang w:eastAsia="en-US"/>
        </w:rPr>
        <w:t>ﭽ</w:t>
      </w:r>
      <w:r w:rsidRPr="00DD1733">
        <w:rPr>
          <w:rFonts w:ascii="QCF_P289" w:hAnsi="QCF_P289" w:cs="QCF_P289"/>
          <w:color w:val="0D0D0D" w:themeColor="text1" w:themeTint="F2"/>
          <w:sz w:val="32"/>
          <w:szCs w:val="32"/>
          <w:rtl/>
          <w:lang w:eastAsia="en-US"/>
        </w:rPr>
        <w:t>ﮂ</w:t>
      </w:r>
      <w:r w:rsidRPr="00DD1733">
        <w:rPr>
          <w:rFonts w:ascii="QCF_BSML" w:hAnsi="QCF_BSML" w:cs="QCF_BSML"/>
          <w:color w:val="0D0D0D" w:themeColor="text1" w:themeTint="F2"/>
          <w:sz w:val="32"/>
          <w:szCs w:val="32"/>
          <w:rtl/>
          <w:lang w:eastAsia="en-US"/>
        </w:rPr>
        <w:t>ﭼ</w:t>
      </w:r>
      <w:r w:rsidRPr="00835791">
        <w:rPr>
          <w:rFonts w:ascii="Traditional Arabic" w:hAnsi="Traditional Arabic"/>
          <w:color w:val="0D0D0D" w:themeColor="text1" w:themeTint="F2"/>
          <w:sz w:val="28"/>
          <w:szCs w:val="28"/>
          <w:rtl/>
          <w:lang w:eastAsia="en-US"/>
        </w:rPr>
        <w:t xml:space="preserve"> </w:t>
      </w:r>
      <w:r w:rsidR="00EF0855">
        <w:rPr>
          <w:rFonts w:ascii="Traditional Arabic" w:hAnsi="Traditional Arabic" w:hint="cs"/>
          <w:color w:val="0D0D0D" w:themeColor="text1" w:themeTint="F2"/>
          <w:sz w:val="28"/>
          <w:szCs w:val="28"/>
          <w:rtl/>
          <w:lang w:eastAsia="en-US"/>
        </w:rPr>
        <w:t xml:space="preserve"> </w:t>
      </w:r>
      <w:r w:rsidRPr="00B07E03">
        <w:rPr>
          <w:rFonts w:ascii="Traditional Arabic" w:hAnsi="Traditional Arabic"/>
          <w:color w:val="0D0D0D" w:themeColor="text1" w:themeTint="F2"/>
          <w:rtl/>
          <w:lang w:eastAsia="en-US"/>
        </w:rPr>
        <w:t>وقرأ أبو المتوكّل</w:t>
      </w:r>
      <w:r w:rsidR="00EF0855">
        <w:rPr>
          <w:rFonts w:ascii="Traditional Arabic" w:hAnsi="Traditional Arabic" w:hint="cs"/>
          <w:color w:val="0D0D0D" w:themeColor="text1" w:themeTint="F2"/>
          <w:rtl/>
          <w:lang w:eastAsia="en-US"/>
        </w:rPr>
        <w:t>,</w:t>
      </w:r>
      <w:r>
        <w:rPr>
          <w:rFonts w:ascii="Traditional Arabic" w:hAnsi="Traditional Arabic" w:hint="cs"/>
          <w:color w:val="0D0D0D" w:themeColor="text1" w:themeTint="F2"/>
          <w:rtl/>
          <w:lang w:eastAsia="en-US"/>
        </w:rPr>
        <w:t xml:space="preserve"> </w:t>
      </w:r>
      <w:r w:rsidR="003C3020">
        <w:rPr>
          <w:rFonts w:ascii="Traditional Arabic" w:hAnsi="Traditional Arabic" w:hint="cs"/>
          <w:color w:val="0D0D0D" w:themeColor="text1" w:themeTint="F2"/>
          <w:rtl/>
          <w:lang w:eastAsia="en-US"/>
        </w:rPr>
        <w:t>[</w:t>
      </w:r>
      <w:r w:rsidRPr="00B07E03">
        <w:rPr>
          <w:rFonts w:ascii="Traditional Arabic" w:hAnsi="Traditional Arabic"/>
          <w:color w:val="0D0D0D" w:themeColor="text1" w:themeTint="F2"/>
          <w:rtl/>
          <w:lang w:eastAsia="en-US"/>
        </w:rPr>
        <w:t>وأبو</w:t>
      </w:r>
      <w:r w:rsidR="003C3020">
        <w:rPr>
          <w:rFonts w:ascii="Traditional Arabic" w:hAnsi="Traditional Arabic" w:hint="cs"/>
          <w:color w:val="0D0D0D" w:themeColor="text1" w:themeTint="F2"/>
          <w:rtl/>
          <w:lang w:eastAsia="en-US"/>
        </w:rPr>
        <w:t>]</w:t>
      </w:r>
      <w:r w:rsidRPr="00B07E03">
        <w:rPr>
          <w:rFonts w:ascii="Traditional Arabic" w:hAnsi="Traditional Arabic"/>
          <w:color w:val="0D0D0D" w:themeColor="text1" w:themeTint="F2"/>
          <w:rtl/>
          <w:lang w:eastAsia="en-US"/>
        </w:rPr>
        <w:t>جعفر</w:t>
      </w:r>
      <w:r w:rsidR="00215263" w:rsidRPr="00215263">
        <w:rPr>
          <w:rStyle w:val="ae"/>
          <w:rtl/>
        </w:rPr>
        <w:t>(</w:t>
      </w:r>
      <w:r w:rsidR="00215263">
        <w:rPr>
          <w:rStyle w:val="ae"/>
          <w:rtl/>
        </w:rPr>
        <w:footnoteReference w:id="354"/>
      </w:r>
      <w:r w:rsidR="00215263" w:rsidRPr="00215263">
        <w:rPr>
          <w:rStyle w:val="ae"/>
          <w:rtl/>
        </w:rPr>
        <w:t>)</w:t>
      </w:r>
      <w:r w:rsidRPr="00B07E03">
        <w:rPr>
          <w:rStyle w:val="ae"/>
          <w:color w:val="0D0D0D" w:themeColor="text1" w:themeTint="F2"/>
          <w:rtl/>
        </w:rPr>
        <w:t>(</w:t>
      </w:r>
      <w:r w:rsidRPr="00B07E03">
        <w:rPr>
          <w:rStyle w:val="ae"/>
          <w:color w:val="0D0D0D" w:themeColor="text1" w:themeTint="F2"/>
          <w:rtl/>
        </w:rPr>
        <w:footnoteReference w:id="355"/>
      </w:r>
      <w:r w:rsidRPr="00B07E03">
        <w:rPr>
          <w:rStyle w:val="ae"/>
          <w:color w:val="0D0D0D" w:themeColor="text1" w:themeTint="F2"/>
          <w:rtl/>
        </w:rPr>
        <w:t>)</w:t>
      </w:r>
      <w:r w:rsidRPr="00B07E03">
        <w:rPr>
          <w:rFonts w:ascii="Traditional Arabic" w:hAnsi="Traditional Arabic"/>
          <w:color w:val="0D0D0D" w:themeColor="text1" w:themeTint="F2"/>
          <w:rtl/>
          <w:lang w:eastAsia="en-US"/>
        </w:rPr>
        <w:t>، وشيبة</w:t>
      </w:r>
      <w:r w:rsidRPr="00B07E03">
        <w:rPr>
          <w:rStyle w:val="ae"/>
          <w:color w:val="0D0D0D" w:themeColor="text1" w:themeTint="F2"/>
          <w:rtl/>
        </w:rPr>
        <w:t>(</w:t>
      </w:r>
      <w:r w:rsidRPr="00B07E03">
        <w:rPr>
          <w:rStyle w:val="ae"/>
          <w:color w:val="0D0D0D" w:themeColor="text1" w:themeTint="F2"/>
          <w:rtl/>
        </w:rPr>
        <w:footnoteReference w:id="356"/>
      </w:r>
      <w:r w:rsidRPr="00B07E03">
        <w:rPr>
          <w:rStyle w:val="ae"/>
          <w:color w:val="0D0D0D" w:themeColor="text1" w:themeTint="F2"/>
          <w:rtl/>
        </w:rPr>
        <w:t>)</w:t>
      </w:r>
      <w:r w:rsidRPr="00B07E03">
        <w:rPr>
          <w:rFonts w:ascii="Traditional Arabic" w:hAnsi="Traditional Arabic"/>
          <w:color w:val="0D0D0D" w:themeColor="text1" w:themeTint="F2"/>
          <w:rtl/>
          <w:lang w:eastAsia="en-US"/>
        </w:rPr>
        <w:t>، ورويس</w:t>
      </w:r>
      <w:r w:rsidRPr="00B07E03">
        <w:rPr>
          <w:rStyle w:val="ae"/>
          <w:color w:val="0D0D0D" w:themeColor="text1" w:themeTint="F2"/>
          <w:rtl/>
        </w:rPr>
        <w:t>(</w:t>
      </w:r>
      <w:r w:rsidRPr="00B07E03">
        <w:rPr>
          <w:rStyle w:val="ae"/>
          <w:color w:val="0D0D0D" w:themeColor="text1" w:themeTint="F2"/>
          <w:rtl/>
        </w:rPr>
        <w:footnoteReference w:id="357"/>
      </w:r>
      <w:r w:rsidRPr="00B07E03">
        <w:rPr>
          <w:rStyle w:val="ae"/>
          <w:color w:val="0D0D0D" w:themeColor="text1" w:themeTint="F2"/>
          <w:rtl/>
        </w:rPr>
        <w:t>)</w:t>
      </w:r>
      <w:r w:rsidRPr="00B07E03">
        <w:rPr>
          <w:rFonts w:ascii="Traditional Arabic" w:hAnsi="Traditional Arabic"/>
          <w:color w:val="0D0D0D" w:themeColor="text1" w:themeTint="F2"/>
          <w:rtl/>
          <w:lang w:eastAsia="en-US"/>
        </w:rPr>
        <w:t xml:space="preserve">: </w:t>
      </w:r>
      <w:r w:rsidRPr="00B07E03">
        <w:rPr>
          <w:rFonts w:ascii="Traditional Arabic" w:hAnsi="Traditional Arabic" w:hint="cs"/>
          <w:color w:val="0D0D0D" w:themeColor="text1" w:themeTint="F2"/>
          <w:rtl/>
          <w:lang w:eastAsia="en-US"/>
        </w:rPr>
        <w:t>"</w:t>
      </w:r>
      <w:r w:rsidRPr="00B07E03">
        <w:rPr>
          <w:rFonts w:ascii="Traditional Arabic" w:hAnsi="Traditional Arabic"/>
          <w:color w:val="0D0D0D" w:themeColor="text1" w:themeTint="F2"/>
          <w:rtl/>
          <w:lang w:eastAsia="en-US"/>
        </w:rPr>
        <w:t>فتغرقكم</w:t>
      </w:r>
      <w:r w:rsidRPr="00B07E03">
        <w:rPr>
          <w:rFonts w:ascii="Traditional Arabic" w:hAnsi="Traditional Arabic" w:hint="cs"/>
          <w:color w:val="0D0D0D" w:themeColor="text1" w:themeTint="F2"/>
          <w:rtl/>
          <w:lang w:eastAsia="en-US"/>
        </w:rPr>
        <w:t>"</w:t>
      </w:r>
      <w:r w:rsidRPr="00B07E03">
        <w:rPr>
          <w:rFonts w:ascii="Traditional Arabic" w:hAnsi="Traditional Arabic"/>
          <w:color w:val="0D0D0D" w:themeColor="text1" w:themeTint="F2"/>
          <w:rtl/>
          <w:lang w:eastAsia="en-US"/>
        </w:rPr>
        <w:t xml:space="preserve"> بالتاء، وسكون الغين، وتخفيف الراء</w:t>
      </w:r>
      <w:r w:rsidRPr="00B07E03">
        <w:rPr>
          <w:rStyle w:val="ae"/>
          <w:color w:val="0D0D0D" w:themeColor="text1" w:themeTint="F2"/>
          <w:rtl/>
        </w:rPr>
        <w:t>(</w:t>
      </w:r>
      <w:r w:rsidRPr="00B07E03">
        <w:rPr>
          <w:rStyle w:val="ae"/>
          <w:color w:val="0D0D0D" w:themeColor="text1" w:themeTint="F2"/>
          <w:rtl/>
        </w:rPr>
        <w:footnoteReference w:id="358"/>
      </w:r>
      <w:r w:rsidRPr="00B07E03">
        <w:rPr>
          <w:rStyle w:val="ae"/>
          <w:color w:val="0D0D0D" w:themeColor="text1" w:themeTint="F2"/>
          <w:rtl/>
        </w:rPr>
        <w:t>)</w:t>
      </w:r>
      <w:r w:rsidRPr="00B07E03">
        <w:rPr>
          <w:rFonts w:ascii="Traditional Arabic" w:hAnsi="Traditional Arabic"/>
          <w:color w:val="0D0D0D" w:themeColor="text1" w:themeTint="F2"/>
          <w:rtl/>
          <w:lang w:eastAsia="en-US"/>
        </w:rPr>
        <w:t>.</w:t>
      </w:r>
    </w:p>
    <w:p w:rsidR="006E368E" w:rsidRDefault="00C36615" w:rsidP="006E368E">
      <w:pPr>
        <w:widowControl/>
        <w:autoSpaceDE w:val="0"/>
        <w:autoSpaceDN w:val="0"/>
        <w:adjustRightInd w:val="0"/>
        <w:ind w:firstLine="0"/>
        <w:rPr>
          <w:rFonts w:ascii="Traditional Arabic" w:hAnsi="Traditional Arabic"/>
          <w:color w:val="0D0D0D" w:themeColor="text1" w:themeTint="F2"/>
          <w:rtl/>
          <w:lang w:eastAsia="en-US"/>
        </w:rPr>
      </w:pPr>
      <w:r w:rsidRPr="00B07E03">
        <w:rPr>
          <w:rFonts w:ascii="Traditional Arabic" w:hAnsi="Traditional Arabic"/>
          <w:color w:val="0D0D0D" w:themeColor="text1" w:themeTint="F2"/>
          <w:rtl/>
          <w:lang w:eastAsia="en-US"/>
        </w:rPr>
        <w:lastRenderedPageBreak/>
        <w:t>وقرأ أبو الجوزاء، وأيوب</w:t>
      </w:r>
      <w:r w:rsidRPr="00B07E03">
        <w:rPr>
          <w:rStyle w:val="ae"/>
          <w:color w:val="0D0D0D" w:themeColor="text1" w:themeTint="F2"/>
          <w:rtl/>
        </w:rPr>
        <w:t>(</w:t>
      </w:r>
      <w:r w:rsidRPr="00B07E03">
        <w:rPr>
          <w:rStyle w:val="ae"/>
          <w:color w:val="0D0D0D" w:themeColor="text1" w:themeTint="F2"/>
          <w:rtl/>
        </w:rPr>
        <w:footnoteReference w:id="359"/>
      </w:r>
      <w:r w:rsidRPr="00B07E03">
        <w:rPr>
          <w:rStyle w:val="ae"/>
          <w:color w:val="0D0D0D" w:themeColor="text1" w:themeTint="F2"/>
          <w:rtl/>
        </w:rPr>
        <w:t>)</w:t>
      </w:r>
      <w:r w:rsidRPr="00B07E03">
        <w:rPr>
          <w:rFonts w:ascii="Traditional Arabic" w:hAnsi="Traditional Arabic"/>
          <w:color w:val="0D0D0D" w:themeColor="text1" w:themeTint="F2"/>
          <w:rtl/>
          <w:lang w:eastAsia="en-US"/>
        </w:rPr>
        <w:t xml:space="preserve">: </w:t>
      </w:r>
      <w:r w:rsidRPr="00B07E03">
        <w:rPr>
          <w:rFonts w:ascii="Traditional Arabic" w:hAnsi="Traditional Arabic" w:hint="cs"/>
          <w:color w:val="0D0D0D" w:themeColor="text1" w:themeTint="F2"/>
          <w:rtl/>
          <w:lang w:eastAsia="en-US"/>
        </w:rPr>
        <w:t>"</w:t>
      </w:r>
      <w:r w:rsidRPr="00B07E03">
        <w:rPr>
          <w:rFonts w:ascii="Traditional Arabic" w:hAnsi="Traditional Arabic"/>
          <w:color w:val="0D0D0D" w:themeColor="text1" w:themeTint="F2"/>
          <w:rtl/>
          <w:lang w:eastAsia="en-US"/>
        </w:rPr>
        <w:t>فيغ</w:t>
      </w:r>
      <w:r w:rsidR="00E225DE">
        <w:rPr>
          <w:rFonts w:ascii="Traditional Arabic" w:hAnsi="Traditional Arabic" w:hint="cs"/>
          <w:color w:val="0D0D0D" w:themeColor="text1" w:themeTint="F2"/>
          <w:rtl/>
          <w:lang w:eastAsia="en-US"/>
        </w:rPr>
        <w:t>َ</w:t>
      </w:r>
      <w:r w:rsidRPr="00B07E03">
        <w:rPr>
          <w:rFonts w:ascii="Traditional Arabic" w:hAnsi="Traditional Arabic"/>
          <w:color w:val="0D0D0D" w:themeColor="text1" w:themeTint="F2"/>
          <w:rtl/>
          <w:lang w:eastAsia="en-US"/>
        </w:rPr>
        <w:t>ر</w:t>
      </w:r>
      <w:r w:rsidR="00E225DE">
        <w:rPr>
          <w:rFonts w:ascii="Traditional Arabic" w:hAnsi="Traditional Arabic" w:hint="cs"/>
          <w:color w:val="0D0D0D" w:themeColor="text1" w:themeTint="F2"/>
          <w:rtl/>
          <w:lang w:eastAsia="en-US"/>
        </w:rPr>
        <w:t>ّ</w:t>
      </w:r>
      <w:r w:rsidRPr="00B07E03">
        <w:rPr>
          <w:rFonts w:ascii="Traditional Arabic" w:hAnsi="Traditional Arabic"/>
          <w:color w:val="0D0D0D" w:themeColor="text1" w:themeTint="F2"/>
          <w:rtl/>
          <w:lang w:eastAsia="en-US"/>
        </w:rPr>
        <w:t>قكم</w:t>
      </w:r>
      <w:r w:rsidRPr="00B07E03">
        <w:rPr>
          <w:rFonts w:ascii="Traditional Arabic" w:hAnsi="Traditional Arabic" w:hint="cs"/>
          <w:color w:val="0D0D0D" w:themeColor="text1" w:themeTint="F2"/>
          <w:rtl/>
          <w:lang w:eastAsia="en-US"/>
        </w:rPr>
        <w:t>"</w:t>
      </w:r>
      <w:r w:rsidR="009B202E">
        <w:rPr>
          <w:rFonts w:ascii="Traditional Arabic" w:hAnsi="Traditional Arabic" w:hint="cs"/>
          <w:color w:val="0D0D0D" w:themeColor="text1" w:themeTint="F2"/>
          <w:rtl/>
          <w:lang w:eastAsia="en-US"/>
        </w:rPr>
        <w:t xml:space="preserve"> </w:t>
      </w:r>
      <w:r w:rsidRPr="00B07E03">
        <w:rPr>
          <w:rFonts w:ascii="Traditional Arabic" w:hAnsi="Traditional Arabic"/>
          <w:color w:val="0D0D0D" w:themeColor="text1" w:themeTint="F2"/>
          <w:rtl/>
          <w:lang w:eastAsia="en-US"/>
        </w:rPr>
        <w:t>بالياء، وفتح الغين</w:t>
      </w:r>
      <w:r w:rsidRPr="00B07E03">
        <w:rPr>
          <w:rFonts w:ascii="Traditional Arabic" w:hAnsi="Traditional Arabic" w:hint="cs"/>
          <w:color w:val="0D0D0D" w:themeColor="text1" w:themeTint="F2"/>
          <w:rtl/>
          <w:lang w:eastAsia="en-US"/>
        </w:rPr>
        <w:t xml:space="preserve"> </w:t>
      </w:r>
      <w:r w:rsidRPr="00215263">
        <w:rPr>
          <w:rFonts w:ascii="Traditional Arabic" w:hAnsi="Traditional Arabic"/>
          <w:color w:val="0D0D0D" w:themeColor="text1" w:themeTint="F2"/>
          <w:rtl/>
          <w:lang w:eastAsia="en-US"/>
        </w:rPr>
        <w:t>وتشديد</w:t>
      </w:r>
      <w:r w:rsidR="003C3020">
        <w:rPr>
          <w:rFonts w:ascii="Traditional Arabic" w:hAnsi="Traditional Arabic" w:hint="cs"/>
          <w:color w:val="0D0D0D" w:themeColor="text1" w:themeTint="F2"/>
          <w:rtl/>
          <w:lang w:eastAsia="en-US"/>
        </w:rPr>
        <w:t>ها</w:t>
      </w:r>
      <w:r w:rsidRPr="00215263">
        <w:rPr>
          <w:rStyle w:val="ae"/>
          <w:rFonts w:ascii="Traditional Arabic" w:hAnsi="Traditional Arabic"/>
          <w:color w:val="0D0D0D" w:themeColor="text1" w:themeTint="F2"/>
          <w:rtl/>
        </w:rPr>
        <w:t>(</w:t>
      </w:r>
      <w:r w:rsidRPr="00215263">
        <w:rPr>
          <w:rStyle w:val="ae"/>
          <w:rFonts w:ascii="Traditional Arabic" w:hAnsi="Traditional Arabic"/>
          <w:color w:val="0D0D0D" w:themeColor="text1" w:themeTint="F2"/>
          <w:rtl/>
        </w:rPr>
        <w:footnoteReference w:id="360"/>
      </w:r>
      <w:r w:rsidRPr="00215263">
        <w:rPr>
          <w:rStyle w:val="ae"/>
          <w:rFonts w:ascii="Traditional Arabic" w:hAnsi="Traditional Arabic"/>
          <w:color w:val="0D0D0D" w:themeColor="text1" w:themeTint="F2"/>
          <w:rtl/>
        </w:rPr>
        <w:t>)</w:t>
      </w:r>
      <w:r w:rsidR="00215263" w:rsidRPr="00215263">
        <w:rPr>
          <w:rStyle w:val="ae"/>
          <w:rFonts w:ascii="Traditional Arabic" w:hAnsi="Traditional Arabic"/>
        </w:rPr>
        <w:t>(</w:t>
      </w:r>
      <w:r w:rsidR="00215263" w:rsidRPr="00215263">
        <w:rPr>
          <w:rStyle w:val="ae"/>
          <w:rFonts w:ascii="Traditional Arabic" w:hAnsi="Traditional Arabic"/>
        </w:rPr>
        <w:footnoteReference w:id="361"/>
      </w:r>
      <w:r w:rsidR="00215263" w:rsidRPr="00215263">
        <w:rPr>
          <w:rStyle w:val="ae"/>
          <w:rFonts w:ascii="Traditional Arabic" w:hAnsi="Traditional Arabic"/>
        </w:rPr>
        <w:t>)</w:t>
      </w:r>
      <w:r w:rsidRPr="00215263">
        <w:rPr>
          <w:rFonts w:ascii="Traditional Arabic" w:hAnsi="Traditional Arabic"/>
          <w:color w:val="0D0D0D" w:themeColor="text1" w:themeTint="F2"/>
          <w:rtl/>
          <w:lang w:eastAsia="en-US"/>
        </w:rPr>
        <w:t>.</w:t>
      </w:r>
      <w:r w:rsidRPr="00B07E03">
        <w:rPr>
          <w:rFonts w:ascii="Traditional Arabic" w:hAnsi="Traditional Arabic"/>
          <w:color w:val="0D0D0D" w:themeColor="text1" w:themeTint="F2"/>
          <w:rtl/>
          <w:lang w:eastAsia="en-US"/>
        </w:rPr>
        <w:t xml:space="preserve"> </w:t>
      </w:r>
      <w:r w:rsidR="003C4A6B">
        <w:rPr>
          <w:rFonts w:ascii="Traditional Arabic" w:hAnsi="Traditional Arabic" w:hint="cs"/>
          <w:color w:val="0D0D0D" w:themeColor="text1" w:themeTint="F2"/>
          <w:rtl/>
          <w:lang w:eastAsia="en-US"/>
        </w:rPr>
        <w:t>وقرأ</w:t>
      </w:r>
      <w:r w:rsidRPr="00B07E03">
        <w:rPr>
          <w:rFonts w:ascii="Traditional Arabic" w:hAnsi="Traditional Arabic" w:hint="cs"/>
          <w:color w:val="0D0D0D" w:themeColor="text1" w:themeTint="F2"/>
          <w:rtl/>
          <w:lang w:eastAsia="en-US"/>
        </w:rPr>
        <w:t xml:space="preserve"> أبو </w:t>
      </w:r>
      <w:r w:rsidRPr="00B07E03">
        <w:rPr>
          <w:rFonts w:ascii="Traditional Arabic" w:hAnsi="Traditional Arabic"/>
          <w:color w:val="0D0D0D" w:themeColor="text1" w:themeTint="F2"/>
          <w:rtl/>
          <w:lang w:eastAsia="en-US"/>
        </w:rPr>
        <w:t>رجاء</w:t>
      </w:r>
      <w:r w:rsidRPr="00D9460C">
        <w:rPr>
          <w:rStyle w:val="ae"/>
          <w:rtl/>
        </w:rPr>
        <w:t>(</w:t>
      </w:r>
      <w:r>
        <w:rPr>
          <w:rStyle w:val="ae"/>
          <w:rtl/>
        </w:rPr>
        <w:footnoteReference w:id="362"/>
      </w:r>
      <w:r w:rsidRPr="00D9460C">
        <w:rPr>
          <w:rStyle w:val="ae"/>
          <w:rtl/>
        </w:rPr>
        <w:t>)</w:t>
      </w:r>
      <w:r w:rsidRPr="00B07E03">
        <w:rPr>
          <w:rFonts w:ascii="Traditional Arabic" w:hAnsi="Traditional Arabic"/>
          <w:color w:val="0D0D0D" w:themeColor="text1" w:themeTint="F2"/>
          <w:rtl/>
          <w:lang w:eastAsia="en-US"/>
        </w:rPr>
        <w:t>مثله، إِلا أنه بالتاء</w:t>
      </w:r>
      <w:r w:rsidRPr="00B07E03">
        <w:rPr>
          <w:rStyle w:val="ae"/>
          <w:color w:val="0D0D0D" w:themeColor="text1" w:themeTint="F2"/>
          <w:rtl/>
        </w:rPr>
        <w:t>(</w:t>
      </w:r>
      <w:r w:rsidRPr="00B07E03">
        <w:rPr>
          <w:rStyle w:val="ae"/>
          <w:color w:val="0D0D0D" w:themeColor="text1" w:themeTint="F2"/>
          <w:rtl/>
        </w:rPr>
        <w:footnoteReference w:id="363"/>
      </w:r>
      <w:r w:rsidRPr="00B07E03">
        <w:rPr>
          <w:rStyle w:val="ae"/>
          <w:color w:val="0D0D0D" w:themeColor="text1" w:themeTint="F2"/>
          <w:rtl/>
        </w:rPr>
        <w:t>)</w:t>
      </w:r>
      <w:r w:rsidRPr="00B07E03">
        <w:rPr>
          <w:rFonts w:ascii="Traditional Arabic" w:hAnsi="Traditional Arabic" w:hint="cs"/>
          <w:color w:val="0D0D0D" w:themeColor="text1" w:themeTint="F2"/>
          <w:rtl/>
          <w:lang w:eastAsia="en-US"/>
        </w:rPr>
        <w:t>.</w:t>
      </w:r>
      <w:r w:rsidRPr="00DD1733">
        <w:rPr>
          <w:rFonts w:ascii="QCF_BSML" w:hAnsi="QCF_BSML" w:cs="QCF_BSML"/>
          <w:color w:val="0D0D0D" w:themeColor="text1" w:themeTint="F2"/>
          <w:sz w:val="32"/>
          <w:szCs w:val="32"/>
          <w:rtl/>
          <w:lang w:eastAsia="en-US"/>
        </w:rPr>
        <w:t>ﭽ</w:t>
      </w:r>
      <w:r w:rsidRPr="00DD1733">
        <w:rPr>
          <w:rFonts w:ascii="QCF_P289" w:hAnsi="QCF_P289" w:cs="QCF_P289"/>
          <w:color w:val="0D0D0D" w:themeColor="text1" w:themeTint="F2"/>
          <w:sz w:val="32"/>
          <w:szCs w:val="32"/>
          <w:rtl/>
          <w:lang w:eastAsia="en-US"/>
        </w:rPr>
        <w:t xml:space="preserve"> ﮃ  ﮄ</w:t>
      </w:r>
      <w:r w:rsidRPr="00DD1733">
        <w:rPr>
          <w:rFonts w:ascii="QCF_BSML" w:hAnsi="QCF_BSML" w:cs="QCF_BSML"/>
          <w:color w:val="0D0D0D" w:themeColor="text1" w:themeTint="F2"/>
          <w:sz w:val="32"/>
          <w:szCs w:val="32"/>
          <w:rtl/>
          <w:lang w:eastAsia="en-US"/>
        </w:rPr>
        <w:t>ﭼ</w:t>
      </w:r>
      <w:r w:rsidRPr="00A54D3D">
        <w:rPr>
          <w:rFonts w:ascii="Traditional Arabic" w:hAnsi="Traditional Arabic" w:hint="cs"/>
          <w:color w:val="0D0D0D" w:themeColor="text1" w:themeTint="F2"/>
          <w:rtl/>
          <w:lang w:eastAsia="en-US"/>
        </w:rPr>
        <w:t xml:space="preserve"> </w:t>
      </w:r>
      <w:r w:rsidRPr="00B07E03">
        <w:rPr>
          <w:rFonts w:ascii="Traditional Arabic" w:hAnsi="Traditional Arabic"/>
          <w:color w:val="0D0D0D" w:themeColor="text1" w:themeTint="F2"/>
          <w:rtl/>
          <w:lang w:eastAsia="en-US"/>
        </w:rPr>
        <w:t xml:space="preserve">أي: بكفركم حيث نجوتم في المرة الأولى، </w:t>
      </w:r>
      <w:r w:rsidRPr="00DD1733">
        <w:rPr>
          <w:rFonts w:ascii="QCF_BSML" w:hAnsi="QCF_BSML" w:cs="QCF_BSML"/>
          <w:color w:val="0D0D0D" w:themeColor="text1" w:themeTint="F2"/>
          <w:sz w:val="32"/>
          <w:szCs w:val="32"/>
          <w:rtl/>
          <w:lang w:eastAsia="en-US"/>
        </w:rPr>
        <w:t>ﭽ</w:t>
      </w:r>
      <w:r w:rsidRPr="00DD1733">
        <w:rPr>
          <w:rFonts w:ascii="QCF_P289" w:hAnsi="QCF_P289" w:cs="QCF_P289"/>
          <w:color w:val="0D0D0D" w:themeColor="text1" w:themeTint="F2"/>
          <w:sz w:val="32"/>
          <w:szCs w:val="32"/>
          <w:rtl/>
          <w:lang w:eastAsia="en-US"/>
        </w:rPr>
        <w:t xml:space="preserve"> ﮆ  ﮇ  ﮈ   ﮉ  ﮊ  ﮋ   ﮌ</w:t>
      </w:r>
      <w:r w:rsidRPr="00DD1733">
        <w:rPr>
          <w:rFonts w:ascii="QCF_BSML" w:hAnsi="QCF_BSML" w:cs="QCF_BSML"/>
          <w:color w:val="0D0D0D" w:themeColor="text1" w:themeTint="F2"/>
          <w:sz w:val="32"/>
          <w:szCs w:val="32"/>
          <w:rtl/>
          <w:lang w:eastAsia="en-US"/>
        </w:rPr>
        <w:t>ﭼ</w:t>
      </w:r>
      <w:r w:rsidRPr="00B07E03">
        <w:rPr>
          <w:rFonts w:ascii="Traditional Arabic" w:hAnsi="Traditional Arabic"/>
          <w:color w:val="0D0D0D" w:themeColor="text1" w:themeTint="F2"/>
          <w:rtl/>
          <w:lang w:eastAsia="en-US"/>
        </w:rPr>
        <w:t xml:space="preserve"> قال ابن قتيبة: أي: من يتبع بدمائكم، أي: يطالبنا</w:t>
      </w:r>
      <w:r w:rsidRPr="00B07E03">
        <w:rPr>
          <w:rStyle w:val="ae"/>
          <w:color w:val="0D0D0D" w:themeColor="text1" w:themeTint="F2"/>
          <w:rtl/>
        </w:rPr>
        <w:t>(</w:t>
      </w:r>
      <w:r w:rsidRPr="00B07E03">
        <w:rPr>
          <w:rStyle w:val="ae"/>
          <w:color w:val="0D0D0D" w:themeColor="text1" w:themeTint="F2"/>
          <w:rtl/>
        </w:rPr>
        <w:footnoteReference w:id="364"/>
      </w:r>
      <w:r w:rsidRPr="00B07E03">
        <w:rPr>
          <w:rStyle w:val="ae"/>
          <w:color w:val="0D0D0D" w:themeColor="text1" w:themeTint="F2"/>
          <w:rtl/>
        </w:rPr>
        <w:t>)</w:t>
      </w:r>
      <w:r w:rsidRPr="00B07E03">
        <w:rPr>
          <w:rFonts w:ascii="Traditional Arabic" w:hAnsi="Traditional Arabic"/>
          <w:color w:val="0D0D0D" w:themeColor="text1" w:themeTint="F2"/>
          <w:rtl/>
          <w:lang w:eastAsia="en-US"/>
        </w:rPr>
        <w:t>.</w:t>
      </w:r>
      <w:r w:rsidR="006E368E">
        <w:rPr>
          <w:rFonts w:ascii="Traditional Arabic" w:hAnsi="Traditional Arabic" w:hint="cs"/>
          <w:color w:val="0D0D0D" w:themeColor="text1" w:themeTint="F2"/>
          <w:rtl/>
          <w:lang w:eastAsia="en-US"/>
        </w:rPr>
        <w:t xml:space="preserve"> </w:t>
      </w:r>
      <w:r w:rsidRPr="00B07E03">
        <w:rPr>
          <w:rFonts w:ascii="Traditional Arabic" w:hAnsi="Traditional Arabic"/>
          <w:color w:val="0D0D0D" w:themeColor="text1" w:themeTint="F2"/>
          <w:rtl/>
          <w:lang w:eastAsia="en-US"/>
        </w:rPr>
        <w:t>قال عبد الله بن عمرو</w:t>
      </w:r>
      <w:r w:rsidRPr="00B07E03">
        <w:rPr>
          <w:rStyle w:val="ae"/>
          <w:color w:val="0D0D0D" w:themeColor="text1" w:themeTint="F2"/>
          <w:rtl/>
        </w:rPr>
        <w:t>(</w:t>
      </w:r>
      <w:r w:rsidRPr="00B07E03">
        <w:rPr>
          <w:rStyle w:val="ae"/>
          <w:color w:val="0D0D0D" w:themeColor="text1" w:themeTint="F2"/>
          <w:rtl/>
        </w:rPr>
        <w:footnoteReference w:id="365"/>
      </w:r>
      <w:r w:rsidRPr="00B07E03">
        <w:rPr>
          <w:rStyle w:val="ae"/>
          <w:color w:val="0D0D0D" w:themeColor="text1" w:themeTint="F2"/>
          <w:rtl/>
        </w:rPr>
        <w:t>)</w:t>
      </w:r>
      <w:r w:rsidRPr="00B07E03">
        <w:rPr>
          <w:rFonts w:ascii="Traditional Arabic" w:hAnsi="Traditional Arabic"/>
          <w:color w:val="0D0D0D" w:themeColor="text1" w:themeTint="F2"/>
          <w:rtl/>
          <w:lang w:eastAsia="en-US"/>
        </w:rPr>
        <w:t xml:space="preserve">رضي الله عنهما: ريح العذاب أربع، اثنتان في البر، واثنتان في البحر، فاللَّتان في </w:t>
      </w:r>
    </w:p>
    <w:p w:rsidR="006E368E" w:rsidRDefault="006E368E" w:rsidP="006E368E">
      <w:pPr>
        <w:widowControl/>
        <w:autoSpaceDE w:val="0"/>
        <w:autoSpaceDN w:val="0"/>
        <w:adjustRightInd w:val="0"/>
        <w:ind w:firstLine="0"/>
        <w:rPr>
          <w:rFonts w:ascii="Traditional Arabic" w:hAnsi="Traditional Arabic"/>
          <w:color w:val="0D0D0D" w:themeColor="text1" w:themeTint="F2"/>
          <w:rtl/>
          <w:lang w:eastAsia="en-US"/>
        </w:rPr>
      </w:pPr>
    </w:p>
    <w:p w:rsidR="006E368E" w:rsidRDefault="006E368E" w:rsidP="006E368E">
      <w:pPr>
        <w:widowControl/>
        <w:autoSpaceDE w:val="0"/>
        <w:autoSpaceDN w:val="0"/>
        <w:adjustRightInd w:val="0"/>
        <w:ind w:firstLine="0"/>
        <w:rPr>
          <w:rFonts w:ascii="Traditional Arabic" w:hAnsi="Traditional Arabic"/>
          <w:color w:val="0D0D0D" w:themeColor="text1" w:themeTint="F2"/>
          <w:rtl/>
          <w:lang w:eastAsia="en-US"/>
        </w:rPr>
      </w:pPr>
    </w:p>
    <w:p w:rsidR="006E368E" w:rsidRDefault="006E368E" w:rsidP="006E368E">
      <w:pPr>
        <w:widowControl/>
        <w:autoSpaceDE w:val="0"/>
        <w:autoSpaceDN w:val="0"/>
        <w:adjustRightInd w:val="0"/>
        <w:ind w:firstLine="0"/>
        <w:rPr>
          <w:rFonts w:ascii="Traditional Arabic" w:hAnsi="Traditional Arabic"/>
          <w:color w:val="0D0D0D" w:themeColor="text1" w:themeTint="F2"/>
          <w:rtl/>
          <w:lang w:eastAsia="en-US"/>
        </w:rPr>
      </w:pPr>
    </w:p>
    <w:p w:rsidR="006E368E" w:rsidRDefault="006E368E" w:rsidP="006E368E">
      <w:pPr>
        <w:widowControl/>
        <w:autoSpaceDE w:val="0"/>
        <w:autoSpaceDN w:val="0"/>
        <w:adjustRightInd w:val="0"/>
        <w:ind w:firstLine="0"/>
        <w:rPr>
          <w:rFonts w:ascii="Traditional Arabic" w:hAnsi="Traditional Arabic"/>
          <w:color w:val="0D0D0D" w:themeColor="text1" w:themeTint="F2"/>
          <w:rtl/>
          <w:lang w:eastAsia="en-US"/>
        </w:rPr>
      </w:pPr>
    </w:p>
    <w:p w:rsidR="006E368E" w:rsidRDefault="006E368E" w:rsidP="006E368E">
      <w:pPr>
        <w:widowControl/>
        <w:autoSpaceDE w:val="0"/>
        <w:autoSpaceDN w:val="0"/>
        <w:adjustRightInd w:val="0"/>
        <w:ind w:firstLine="0"/>
        <w:rPr>
          <w:rFonts w:ascii="Traditional Arabic" w:hAnsi="Traditional Arabic"/>
          <w:color w:val="0D0D0D" w:themeColor="text1" w:themeTint="F2"/>
          <w:rtl/>
          <w:lang w:eastAsia="en-US"/>
        </w:rPr>
      </w:pPr>
    </w:p>
    <w:p w:rsidR="006E368E" w:rsidRDefault="006E368E" w:rsidP="006E368E">
      <w:pPr>
        <w:widowControl/>
        <w:autoSpaceDE w:val="0"/>
        <w:autoSpaceDN w:val="0"/>
        <w:adjustRightInd w:val="0"/>
        <w:ind w:firstLine="0"/>
        <w:rPr>
          <w:rFonts w:ascii="Traditional Arabic" w:hAnsi="Traditional Arabic"/>
          <w:color w:val="0D0D0D" w:themeColor="text1" w:themeTint="F2"/>
          <w:rtl/>
          <w:lang w:eastAsia="en-US"/>
        </w:rPr>
      </w:pPr>
    </w:p>
    <w:p w:rsidR="002B026F" w:rsidRDefault="00C36615" w:rsidP="002B026F">
      <w:pPr>
        <w:widowControl/>
        <w:autoSpaceDE w:val="0"/>
        <w:autoSpaceDN w:val="0"/>
        <w:adjustRightInd w:val="0"/>
        <w:ind w:firstLine="0"/>
        <w:rPr>
          <w:rFonts w:ascii="Traditional Arabic" w:hAnsi="Traditional Arabic"/>
          <w:color w:val="0D0D0D" w:themeColor="text1" w:themeTint="F2"/>
          <w:rtl/>
          <w:lang w:eastAsia="en-US"/>
        </w:rPr>
      </w:pPr>
      <w:r w:rsidRPr="00B07E03">
        <w:rPr>
          <w:rFonts w:ascii="Traditional Arabic" w:hAnsi="Traditional Arabic"/>
          <w:color w:val="0D0D0D" w:themeColor="text1" w:themeTint="F2"/>
          <w:rtl/>
          <w:lang w:eastAsia="en-US"/>
        </w:rPr>
        <w:lastRenderedPageBreak/>
        <w:t>البَرِّ: الصَّرْصَر</w:t>
      </w:r>
      <w:r w:rsidR="00E225DE" w:rsidRPr="00E225DE">
        <w:rPr>
          <w:rStyle w:val="ae"/>
          <w:rtl/>
        </w:rPr>
        <w:t>(</w:t>
      </w:r>
      <w:r w:rsidR="00E225DE">
        <w:rPr>
          <w:rStyle w:val="ae"/>
          <w:rtl/>
        </w:rPr>
        <w:footnoteReference w:id="366"/>
      </w:r>
      <w:r w:rsidR="00E225DE" w:rsidRPr="00E225DE">
        <w:rPr>
          <w:rStyle w:val="ae"/>
          <w:rtl/>
        </w:rPr>
        <w:t>)</w:t>
      </w:r>
      <w:r w:rsidRPr="00B07E03">
        <w:rPr>
          <w:rFonts w:ascii="Traditional Arabic" w:hAnsi="Traditional Arabic"/>
          <w:color w:val="0D0D0D" w:themeColor="text1" w:themeTint="F2"/>
          <w:rtl/>
          <w:lang w:eastAsia="en-US"/>
        </w:rPr>
        <w:t>، والعَقِيم</w:t>
      </w:r>
      <w:r w:rsidR="00E225DE" w:rsidRPr="00E225DE">
        <w:rPr>
          <w:rStyle w:val="ae"/>
          <w:rtl/>
        </w:rPr>
        <w:t>(</w:t>
      </w:r>
      <w:r w:rsidR="00E225DE">
        <w:rPr>
          <w:rStyle w:val="ae"/>
          <w:rtl/>
        </w:rPr>
        <w:footnoteReference w:id="367"/>
      </w:r>
      <w:r w:rsidR="00E225DE" w:rsidRPr="00E225DE">
        <w:rPr>
          <w:rStyle w:val="ae"/>
          <w:rtl/>
        </w:rPr>
        <w:t>)</w:t>
      </w:r>
      <w:r w:rsidRPr="00B07E03">
        <w:rPr>
          <w:rFonts w:ascii="Traditional Arabic" w:hAnsi="Traditional Arabic"/>
          <w:color w:val="0D0D0D" w:themeColor="text1" w:themeTint="F2"/>
          <w:rtl/>
          <w:lang w:eastAsia="en-US"/>
        </w:rPr>
        <w:t>، واللتان في البحر: العاصف، والقاصف</w:t>
      </w:r>
      <w:r w:rsidRPr="00B07E03">
        <w:rPr>
          <w:rStyle w:val="ae"/>
          <w:color w:val="0D0D0D" w:themeColor="text1" w:themeTint="F2"/>
          <w:rtl/>
        </w:rPr>
        <w:t>(</w:t>
      </w:r>
      <w:r w:rsidRPr="00B07E03">
        <w:rPr>
          <w:rStyle w:val="ae"/>
          <w:color w:val="0D0D0D" w:themeColor="text1" w:themeTint="F2"/>
          <w:rtl/>
        </w:rPr>
        <w:footnoteReference w:id="368"/>
      </w:r>
      <w:r w:rsidRPr="00B07E03">
        <w:rPr>
          <w:rStyle w:val="ae"/>
          <w:color w:val="0D0D0D" w:themeColor="text1" w:themeTint="F2"/>
          <w:rtl/>
        </w:rPr>
        <w:t>)</w:t>
      </w:r>
      <w:r w:rsidRPr="00B07E03">
        <w:rPr>
          <w:rFonts w:ascii="Traditional Arabic" w:hAnsi="Traditional Arabic"/>
          <w:color w:val="0D0D0D" w:themeColor="text1" w:themeTint="F2"/>
          <w:rtl/>
          <w:lang w:eastAsia="en-US"/>
        </w:rPr>
        <w:t>.</w:t>
      </w:r>
      <w:r w:rsidR="001B38DC">
        <w:rPr>
          <w:rFonts w:ascii="Traditional Arabic" w:hAnsi="Traditional Arabic" w:hint="cs"/>
          <w:color w:val="0D0D0D" w:themeColor="text1" w:themeTint="F2"/>
          <w:rtl/>
          <w:lang w:eastAsia="en-US"/>
        </w:rPr>
        <w:t xml:space="preserve"> </w:t>
      </w:r>
      <w:r w:rsidRPr="00B07E03">
        <w:rPr>
          <w:rFonts w:ascii="Traditional Arabic" w:hAnsi="Traditional Arabic"/>
          <w:color w:val="0D0D0D" w:themeColor="text1" w:themeTint="F2"/>
          <w:rtl/>
          <w:lang w:eastAsia="en-US"/>
        </w:rPr>
        <w:t xml:space="preserve">قوله تعالى: </w:t>
      </w:r>
      <w:r w:rsidRPr="00835791">
        <w:rPr>
          <w:rFonts w:ascii="QCF_BSML" w:hAnsi="QCF_BSML" w:cs="QCF_BSML"/>
          <w:color w:val="0D0D0D" w:themeColor="text1" w:themeTint="F2"/>
          <w:sz w:val="28"/>
          <w:szCs w:val="28"/>
          <w:rtl/>
          <w:lang w:eastAsia="en-US"/>
        </w:rPr>
        <w:t>ﭽ</w:t>
      </w:r>
      <w:r>
        <w:rPr>
          <w:rFonts w:ascii="QCF_P289" w:hAnsi="QCF_P289" w:cs="QCF_P289"/>
          <w:color w:val="0D0D0D" w:themeColor="text1" w:themeTint="F2"/>
          <w:sz w:val="28"/>
          <w:szCs w:val="28"/>
          <w:rtl/>
          <w:lang w:eastAsia="en-US"/>
        </w:rPr>
        <w:t>ﮏ  ﮐ</w:t>
      </w:r>
      <w:r w:rsidRPr="00835791">
        <w:rPr>
          <w:rFonts w:ascii="QCF_P289" w:hAnsi="QCF_P289" w:cs="QCF_P289"/>
          <w:color w:val="0D0D0D" w:themeColor="text1" w:themeTint="F2"/>
          <w:sz w:val="28"/>
          <w:szCs w:val="28"/>
          <w:rtl/>
          <w:lang w:eastAsia="en-US"/>
        </w:rPr>
        <w:t xml:space="preserve"> ﮑ  ﮒ</w:t>
      </w:r>
      <w:r w:rsidRPr="00835791">
        <w:rPr>
          <w:rFonts w:ascii="QCF_BSML" w:hAnsi="QCF_BSML" w:cs="QCF_BSML"/>
          <w:color w:val="0D0D0D" w:themeColor="text1" w:themeTint="F2"/>
          <w:sz w:val="28"/>
          <w:szCs w:val="28"/>
          <w:rtl/>
          <w:lang w:eastAsia="en-US"/>
        </w:rPr>
        <w:t>ﭼ</w:t>
      </w:r>
      <w:r w:rsidRPr="00B07E03">
        <w:rPr>
          <w:rFonts w:ascii="Traditional Arabic" w:hAnsi="Traditional Arabic"/>
          <w:color w:val="0D0D0D" w:themeColor="text1" w:themeTint="F2"/>
          <w:rtl/>
          <w:lang w:eastAsia="en-US"/>
        </w:rPr>
        <w:t xml:space="preserve"> أي: فضَّلناهم. قال أبو عبيدة: و</w:t>
      </w:r>
      <w:r w:rsidRPr="00835791">
        <w:rPr>
          <w:rFonts w:ascii="QCF_BSML" w:hAnsi="QCF_BSML" w:cs="QCF_BSML"/>
          <w:color w:val="0D0D0D" w:themeColor="text1" w:themeTint="F2"/>
          <w:sz w:val="28"/>
          <w:szCs w:val="28"/>
          <w:rtl/>
          <w:lang w:eastAsia="en-US"/>
        </w:rPr>
        <w:t>ﭽ</w:t>
      </w:r>
      <w:r w:rsidRPr="00835791">
        <w:rPr>
          <w:rFonts w:ascii="QCF_P289" w:hAnsi="QCF_P289" w:cs="QCF_P289"/>
          <w:color w:val="0D0D0D" w:themeColor="text1" w:themeTint="F2"/>
          <w:sz w:val="28"/>
          <w:szCs w:val="28"/>
          <w:rtl/>
          <w:lang w:eastAsia="en-US"/>
        </w:rPr>
        <w:t xml:space="preserve"> ﮐ</w:t>
      </w:r>
      <w:r w:rsidRPr="00835791">
        <w:rPr>
          <w:rFonts w:ascii="QCF_BSML" w:hAnsi="QCF_BSML" w:cs="QCF_BSML"/>
          <w:color w:val="0D0D0D" w:themeColor="text1" w:themeTint="F2"/>
          <w:sz w:val="28"/>
          <w:szCs w:val="28"/>
          <w:rtl/>
          <w:lang w:eastAsia="en-US"/>
        </w:rPr>
        <w:t>ﭼ</w:t>
      </w:r>
      <w:r w:rsidRPr="00B07E03">
        <w:rPr>
          <w:rFonts w:ascii="Traditional Arabic" w:hAnsi="Traditional Arabic"/>
          <w:color w:val="0D0D0D" w:themeColor="text1" w:themeTint="F2"/>
          <w:rtl/>
          <w:lang w:eastAsia="en-US"/>
        </w:rPr>
        <w:t xml:space="preserve"> أشد</w:t>
      </w:r>
      <w:r>
        <w:rPr>
          <w:rFonts w:ascii="Traditional Arabic" w:hAnsi="Traditional Arabic" w:hint="cs"/>
          <w:color w:val="0D0D0D" w:themeColor="text1" w:themeTint="F2"/>
          <w:rtl/>
          <w:lang w:eastAsia="en-US"/>
        </w:rPr>
        <w:t xml:space="preserve"> </w:t>
      </w:r>
      <w:r w:rsidRPr="00B07E03">
        <w:rPr>
          <w:rFonts w:ascii="Traditional Arabic" w:hAnsi="Traditional Arabic"/>
          <w:color w:val="0D0D0D" w:themeColor="text1" w:themeTint="F2"/>
          <w:rtl/>
          <w:lang w:eastAsia="en-US"/>
        </w:rPr>
        <w:t>مبالغة من «أكرمنا»</w:t>
      </w:r>
      <w:r w:rsidRPr="00B07E03">
        <w:rPr>
          <w:rStyle w:val="ae"/>
          <w:color w:val="0D0D0D" w:themeColor="text1" w:themeTint="F2"/>
          <w:rtl/>
        </w:rPr>
        <w:t>(</w:t>
      </w:r>
      <w:r w:rsidRPr="00B07E03">
        <w:rPr>
          <w:rStyle w:val="ae"/>
          <w:color w:val="0D0D0D" w:themeColor="text1" w:themeTint="F2"/>
          <w:rtl/>
        </w:rPr>
        <w:footnoteReference w:id="369"/>
      </w:r>
      <w:r w:rsidRPr="00B07E03">
        <w:rPr>
          <w:rStyle w:val="ae"/>
          <w:color w:val="0D0D0D" w:themeColor="text1" w:themeTint="F2"/>
          <w:rtl/>
        </w:rPr>
        <w:t>)</w:t>
      </w:r>
      <w:r w:rsidRPr="00B07E03">
        <w:rPr>
          <w:rFonts w:ascii="Traditional Arabic" w:hAnsi="Traditional Arabic"/>
          <w:color w:val="0D0D0D" w:themeColor="text1" w:themeTint="F2"/>
          <w:rtl/>
          <w:lang w:eastAsia="en-US"/>
        </w:rPr>
        <w:t>.</w:t>
      </w:r>
      <w:r w:rsidRPr="00B07E03">
        <w:rPr>
          <w:rFonts w:ascii="Traditional Arabic" w:hAnsi="Traditional Arabic" w:hint="cs"/>
          <w:color w:val="0D0D0D" w:themeColor="text1" w:themeTint="F2"/>
          <w:rtl/>
          <w:lang w:eastAsia="en-US"/>
        </w:rPr>
        <w:t xml:space="preserve"> </w:t>
      </w:r>
      <w:r w:rsidRPr="00B07E03">
        <w:rPr>
          <w:rFonts w:ascii="Traditional Arabic" w:hAnsi="Traditional Arabic"/>
          <w:color w:val="0D0D0D" w:themeColor="text1" w:themeTint="F2"/>
          <w:rtl/>
          <w:lang w:eastAsia="en-US"/>
        </w:rPr>
        <w:t>وللمفسرين فيما فُضِّلوا به أحد عشر قولاً: أحدها: أنهم فضِّلوا على سائر الخلق</w:t>
      </w:r>
      <w:r w:rsidR="00215263" w:rsidRPr="00215263">
        <w:rPr>
          <w:rStyle w:val="ae"/>
          <w:rtl/>
        </w:rPr>
        <w:t>(</w:t>
      </w:r>
      <w:r w:rsidR="00215263">
        <w:rPr>
          <w:rStyle w:val="ae"/>
          <w:rtl/>
        </w:rPr>
        <w:footnoteReference w:id="370"/>
      </w:r>
      <w:r w:rsidR="00215263" w:rsidRPr="00215263">
        <w:rPr>
          <w:rStyle w:val="ae"/>
          <w:rtl/>
        </w:rPr>
        <w:t>)</w:t>
      </w:r>
      <w:r w:rsidRPr="00B07E03">
        <w:rPr>
          <w:rFonts w:ascii="Traditional Arabic" w:hAnsi="Traditional Arabic"/>
          <w:color w:val="0D0D0D" w:themeColor="text1" w:themeTint="F2"/>
          <w:rtl/>
          <w:lang w:eastAsia="en-US"/>
        </w:rPr>
        <w:t>غير طائفة من الملائكة: جبريل، وميكائيل، وإِسرافيل، ومَلَك الموت، وأشباههم</w:t>
      </w:r>
      <w:r w:rsidRPr="00B07E03">
        <w:rPr>
          <w:rFonts w:ascii="Traditional Arabic" w:hAnsi="Traditional Arabic" w:hint="cs"/>
          <w:color w:val="0D0D0D" w:themeColor="text1" w:themeTint="F2"/>
          <w:rtl/>
          <w:lang w:eastAsia="en-US"/>
        </w:rPr>
        <w:t xml:space="preserve"> </w:t>
      </w:r>
      <w:r w:rsidRPr="00B07E03">
        <w:rPr>
          <w:rFonts w:ascii="Traditional Arabic" w:hAnsi="Traditional Arabic"/>
          <w:color w:val="0D0D0D" w:themeColor="text1" w:themeTint="F2"/>
          <w:rtl/>
          <w:lang w:eastAsia="en-US"/>
        </w:rPr>
        <w:t>، قاله أبو صالح عن ابن عباس</w:t>
      </w:r>
      <w:r w:rsidRPr="00B07E03">
        <w:rPr>
          <w:rStyle w:val="ae"/>
          <w:color w:val="0D0D0D" w:themeColor="text1" w:themeTint="F2"/>
          <w:rtl/>
        </w:rPr>
        <w:t>(</w:t>
      </w:r>
      <w:r w:rsidRPr="00B07E03">
        <w:rPr>
          <w:rStyle w:val="ae"/>
          <w:color w:val="0D0D0D" w:themeColor="text1" w:themeTint="F2"/>
          <w:rtl/>
        </w:rPr>
        <w:footnoteReference w:id="371"/>
      </w:r>
      <w:r w:rsidRPr="00B07E03">
        <w:rPr>
          <w:rStyle w:val="ae"/>
          <w:color w:val="0D0D0D" w:themeColor="text1" w:themeTint="F2"/>
          <w:rtl/>
        </w:rPr>
        <w:t>)</w:t>
      </w:r>
      <w:r w:rsidRPr="00B07E03">
        <w:rPr>
          <w:rFonts w:ascii="Traditional Arabic" w:hAnsi="Traditional Arabic"/>
          <w:color w:val="0D0D0D" w:themeColor="text1" w:themeTint="F2"/>
          <w:rtl/>
          <w:lang w:eastAsia="en-US"/>
        </w:rPr>
        <w:t>. فعلى هذا يكون المراد</w:t>
      </w:r>
      <w:r w:rsidRPr="00B07E03">
        <w:rPr>
          <w:rFonts w:ascii="Traditional Arabic" w:hAnsi="Traditional Arabic" w:hint="cs"/>
          <w:color w:val="0D0D0D" w:themeColor="text1" w:themeTint="F2"/>
          <w:rtl/>
          <w:lang w:eastAsia="en-US"/>
        </w:rPr>
        <w:t xml:space="preserve"> </w:t>
      </w:r>
      <w:r w:rsidRPr="00B07E03">
        <w:rPr>
          <w:rFonts w:ascii="Traditional Arabic" w:hAnsi="Traditional Arabic"/>
          <w:color w:val="0D0D0D" w:themeColor="text1" w:themeTint="F2"/>
          <w:rtl/>
          <w:lang w:eastAsia="en-US"/>
        </w:rPr>
        <w:t>: المؤمنين منهم</w:t>
      </w:r>
      <w:r w:rsidRPr="00B07E03">
        <w:rPr>
          <w:rFonts w:ascii="Traditional Arabic" w:hAnsi="Traditional Arabic" w:hint="cs"/>
          <w:color w:val="0D0D0D" w:themeColor="text1" w:themeTint="F2"/>
          <w:rtl/>
          <w:lang w:eastAsia="en-US"/>
        </w:rPr>
        <w:t xml:space="preserve"> </w:t>
      </w:r>
      <w:r w:rsidRPr="00B07E03">
        <w:rPr>
          <w:rFonts w:ascii="Traditional Arabic" w:hAnsi="Traditional Arabic"/>
          <w:color w:val="0D0D0D" w:themeColor="text1" w:themeTint="F2"/>
          <w:rtl/>
          <w:lang w:eastAsia="en-US"/>
        </w:rPr>
        <w:t>، ويكون تفضيلهم بالإِيمان. والثاني: أن سائر الحيوان يأكل بفيه، إِلا ابن آدم فإنه يأكل بيده، رواه ميمون بن مهران</w:t>
      </w:r>
      <w:r w:rsidRPr="00B07E03">
        <w:rPr>
          <w:rStyle w:val="ae"/>
          <w:color w:val="0D0D0D" w:themeColor="text1" w:themeTint="F2"/>
          <w:rtl/>
        </w:rPr>
        <w:t>(</w:t>
      </w:r>
      <w:r w:rsidRPr="00B07E03">
        <w:rPr>
          <w:rStyle w:val="ae"/>
          <w:color w:val="0D0D0D" w:themeColor="text1" w:themeTint="F2"/>
          <w:rtl/>
        </w:rPr>
        <w:footnoteReference w:id="372"/>
      </w:r>
      <w:r w:rsidRPr="00B07E03">
        <w:rPr>
          <w:rStyle w:val="ae"/>
          <w:color w:val="0D0D0D" w:themeColor="text1" w:themeTint="F2"/>
          <w:rtl/>
        </w:rPr>
        <w:t>)</w:t>
      </w:r>
      <w:r w:rsidRPr="00B07E03">
        <w:rPr>
          <w:rFonts w:ascii="Traditional Arabic" w:hAnsi="Traditional Arabic"/>
          <w:color w:val="0D0D0D" w:themeColor="text1" w:themeTint="F2"/>
          <w:rtl/>
          <w:lang w:eastAsia="en-US"/>
        </w:rPr>
        <w:t>عن ابن عباس</w:t>
      </w:r>
      <w:r w:rsidRPr="00B07E03">
        <w:rPr>
          <w:rStyle w:val="ae"/>
          <w:color w:val="0D0D0D" w:themeColor="text1" w:themeTint="F2"/>
          <w:rtl/>
        </w:rPr>
        <w:t>(</w:t>
      </w:r>
      <w:r w:rsidRPr="00B07E03">
        <w:rPr>
          <w:rStyle w:val="ae"/>
          <w:color w:val="0D0D0D" w:themeColor="text1" w:themeTint="F2"/>
          <w:rtl/>
        </w:rPr>
        <w:footnoteReference w:id="373"/>
      </w:r>
      <w:r w:rsidRPr="00B07E03">
        <w:rPr>
          <w:rStyle w:val="ae"/>
          <w:color w:val="0D0D0D" w:themeColor="text1" w:themeTint="F2"/>
          <w:rtl/>
        </w:rPr>
        <w:t>)</w:t>
      </w:r>
      <w:r w:rsidRPr="00B07E03">
        <w:rPr>
          <w:rFonts w:ascii="Traditional Arabic" w:hAnsi="Traditional Arabic"/>
          <w:color w:val="0D0D0D" w:themeColor="text1" w:themeTint="F2"/>
          <w:rtl/>
          <w:lang w:eastAsia="en-US"/>
        </w:rPr>
        <w:t>.</w:t>
      </w:r>
      <w:r w:rsidR="008D1661">
        <w:rPr>
          <w:rFonts w:ascii="Traditional Arabic" w:hAnsi="Traditional Arabic" w:hint="cs"/>
          <w:color w:val="0D0D0D" w:themeColor="text1" w:themeTint="F2"/>
          <w:rtl/>
          <w:lang w:eastAsia="en-US"/>
        </w:rPr>
        <w:t xml:space="preserve"> </w:t>
      </w:r>
      <w:r w:rsidRPr="00B07E03">
        <w:rPr>
          <w:rFonts w:ascii="Traditional Arabic" w:hAnsi="Traditional Arabic"/>
          <w:color w:val="0D0D0D" w:themeColor="text1" w:themeTint="F2"/>
          <w:rtl/>
          <w:lang w:eastAsia="en-US"/>
        </w:rPr>
        <w:lastRenderedPageBreak/>
        <w:t>وقال بعض المفسرين:</w:t>
      </w:r>
      <w:r w:rsidRPr="00B07E03">
        <w:rPr>
          <w:rFonts w:ascii="Traditional Arabic" w:hAnsi="Traditional Arabic" w:hint="cs"/>
          <w:color w:val="0D0D0D" w:themeColor="text1" w:themeTint="F2"/>
          <w:rtl/>
          <w:lang w:eastAsia="en-US"/>
        </w:rPr>
        <w:t xml:space="preserve"> </w:t>
      </w:r>
      <w:r w:rsidRPr="00B07E03">
        <w:rPr>
          <w:rFonts w:ascii="Traditional Arabic" w:hAnsi="Traditional Arabic"/>
          <w:color w:val="0D0D0D" w:themeColor="text1" w:themeTint="F2"/>
          <w:rtl/>
          <w:lang w:eastAsia="en-US"/>
        </w:rPr>
        <w:t>المراد بهذا التفضيل: أكلهم</w:t>
      </w:r>
      <w:r w:rsidR="00156316">
        <w:rPr>
          <w:rFonts w:ascii="QCF_BSML" w:hAnsi="QCF_BSML" w:cs="QCF_BSML" w:hint="cs"/>
          <w:color w:val="0D0D0D" w:themeColor="text1" w:themeTint="F2"/>
          <w:sz w:val="32"/>
          <w:szCs w:val="32"/>
          <w:rtl/>
          <w:lang w:eastAsia="en-US"/>
        </w:rPr>
        <w:t xml:space="preserve">  </w:t>
      </w:r>
      <w:r w:rsidR="00156316" w:rsidRPr="001277AD">
        <w:rPr>
          <w:rFonts w:hint="cs"/>
          <w:color w:val="0D0D0D" w:themeColor="text1" w:themeTint="F2"/>
          <w:sz w:val="32"/>
          <w:szCs w:val="32"/>
          <w:rtl/>
        </w:rPr>
        <w:t>[</w:t>
      </w:r>
      <w:r w:rsidR="00156316">
        <w:rPr>
          <w:rFonts w:hint="cs"/>
          <w:color w:val="0D0D0D" w:themeColor="text1" w:themeTint="F2"/>
          <w:sz w:val="32"/>
          <w:szCs w:val="32"/>
          <w:rtl/>
        </w:rPr>
        <w:t>78</w:t>
      </w:r>
      <w:r w:rsidR="00156316" w:rsidRPr="001277AD">
        <w:rPr>
          <w:rFonts w:hint="cs"/>
          <w:color w:val="0D0D0D" w:themeColor="text1" w:themeTint="F2"/>
          <w:sz w:val="32"/>
          <w:szCs w:val="32"/>
          <w:rtl/>
        </w:rPr>
        <w:t>]</w:t>
      </w:r>
      <w:r w:rsidRPr="00B07E03">
        <w:rPr>
          <w:rFonts w:ascii="Traditional Arabic" w:hAnsi="Traditional Arabic"/>
          <w:color w:val="0D0D0D" w:themeColor="text1" w:themeTint="F2"/>
          <w:rtl/>
          <w:lang w:eastAsia="en-US"/>
        </w:rPr>
        <w:t xml:space="preserve"> بأيديهم، ونظافة ما يقتاتونه، إِذ الجن يقتاتون العظام والرَّوث</w:t>
      </w:r>
      <w:r w:rsidRPr="00B07E03">
        <w:rPr>
          <w:rStyle w:val="ae"/>
          <w:color w:val="0D0D0D" w:themeColor="text1" w:themeTint="F2"/>
          <w:rtl/>
        </w:rPr>
        <w:t>(</w:t>
      </w:r>
      <w:r w:rsidRPr="00B07E03">
        <w:rPr>
          <w:rStyle w:val="ae"/>
          <w:color w:val="0D0D0D" w:themeColor="text1" w:themeTint="F2"/>
          <w:rtl/>
        </w:rPr>
        <w:footnoteReference w:id="374"/>
      </w:r>
      <w:r w:rsidRPr="00B07E03">
        <w:rPr>
          <w:rStyle w:val="ae"/>
          <w:color w:val="0D0D0D" w:themeColor="text1" w:themeTint="F2"/>
          <w:rtl/>
        </w:rPr>
        <w:t>)</w:t>
      </w:r>
      <w:r w:rsidRPr="00B07E03">
        <w:rPr>
          <w:rFonts w:ascii="Traditional Arabic" w:hAnsi="Traditional Arabic"/>
          <w:color w:val="0D0D0D" w:themeColor="text1" w:themeTint="F2"/>
          <w:rtl/>
          <w:lang w:eastAsia="en-US"/>
        </w:rPr>
        <w:t>. والثالث:</w:t>
      </w:r>
      <w:r w:rsidRPr="00B07E03">
        <w:rPr>
          <w:rFonts w:ascii="Traditional Arabic" w:hAnsi="Traditional Arabic" w:hint="cs"/>
          <w:color w:val="0D0D0D" w:themeColor="text1" w:themeTint="F2"/>
          <w:rtl/>
          <w:lang w:eastAsia="en-US"/>
        </w:rPr>
        <w:t xml:space="preserve"> </w:t>
      </w:r>
      <w:r w:rsidRPr="00B07E03">
        <w:rPr>
          <w:rFonts w:ascii="Traditional Arabic" w:hAnsi="Traditional Arabic"/>
          <w:color w:val="0D0D0D" w:themeColor="text1" w:themeTint="F2"/>
          <w:rtl/>
          <w:lang w:eastAsia="en-US"/>
        </w:rPr>
        <w:t>فُضِّلوا بالعقل، روي عن ابن عباس</w:t>
      </w:r>
      <w:r w:rsidRPr="00B07E03">
        <w:rPr>
          <w:rStyle w:val="ae"/>
          <w:color w:val="0D0D0D" w:themeColor="text1" w:themeTint="F2"/>
          <w:rtl/>
        </w:rPr>
        <w:t>(</w:t>
      </w:r>
      <w:r w:rsidRPr="00B07E03">
        <w:rPr>
          <w:rStyle w:val="ae"/>
          <w:color w:val="0D0D0D" w:themeColor="text1" w:themeTint="F2"/>
          <w:rtl/>
        </w:rPr>
        <w:footnoteReference w:id="375"/>
      </w:r>
      <w:r w:rsidRPr="00B07E03">
        <w:rPr>
          <w:rStyle w:val="ae"/>
          <w:color w:val="0D0D0D" w:themeColor="text1" w:themeTint="F2"/>
          <w:rtl/>
        </w:rPr>
        <w:t>)</w:t>
      </w:r>
      <w:r w:rsidRPr="00B07E03">
        <w:rPr>
          <w:rFonts w:ascii="Traditional Arabic" w:hAnsi="Traditional Arabic"/>
          <w:color w:val="0D0D0D" w:themeColor="text1" w:themeTint="F2"/>
          <w:rtl/>
          <w:lang w:eastAsia="en-US"/>
        </w:rPr>
        <w:t>. والرابع: بالنطق والتمييز</w:t>
      </w:r>
      <w:r w:rsidRPr="00721A50">
        <w:rPr>
          <w:rStyle w:val="ae"/>
          <w:rtl/>
        </w:rPr>
        <w:t>(</w:t>
      </w:r>
      <w:r>
        <w:rPr>
          <w:rStyle w:val="ae"/>
          <w:rtl/>
        </w:rPr>
        <w:footnoteReference w:id="376"/>
      </w:r>
      <w:r w:rsidRPr="00721A50">
        <w:rPr>
          <w:rStyle w:val="ae"/>
          <w:rtl/>
        </w:rPr>
        <w:t>)</w:t>
      </w:r>
      <w:r w:rsidRPr="00B07E03">
        <w:rPr>
          <w:rFonts w:ascii="Traditional Arabic" w:hAnsi="Traditional Arabic"/>
          <w:color w:val="0D0D0D" w:themeColor="text1" w:themeTint="F2"/>
          <w:rtl/>
          <w:lang w:eastAsia="en-US"/>
        </w:rPr>
        <w:t>، قاله الضحاك</w:t>
      </w:r>
      <w:r w:rsidRPr="00B07E03">
        <w:rPr>
          <w:rStyle w:val="ae"/>
          <w:color w:val="0D0D0D" w:themeColor="text1" w:themeTint="F2"/>
          <w:rtl/>
        </w:rPr>
        <w:t>(</w:t>
      </w:r>
      <w:r w:rsidRPr="00B07E03">
        <w:rPr>
          <w:rStyle w:val="ae"/>
          <w:color w:val="0D0D0D" w:themeColor="text1" w:themeTint="F2"/>
          <w:rtl/>
        </w:rPr>
        <w:footnoteReference w:id="377"/>
      </w:r>
      <w:r w:rsidRPr="00B07E03">
        <w:rPr>
          <w:rStyle w:val="ae"/>
          <w:color w:val="0D0D0D" w:themeColor="text1" w:themeTint="F2"/>
          <w:rtl/>
        </w:rPr>
        <w:t>)</w:t>
      </w:r>
      <w:r w:rsidRPr="00B07E03">
        <w:rPr>
          <w:rFonts w:ascii="Traditional Arabic" w:hAnsi="Traditional Arabic"/>
          <w:color w:val="0D0D0D" w:themeColor="text1" w:themeTint="F2"/>
          <w:rtl/>
          <w:lang w:eastAsia="en-US"/>
        </w:rPr>
        <w:t>. والخامس: بتعديل القامة وامتدادها، قاله عطاء</w:t>
      </w:r>
      <w:r w:rsidRPr="00405F09">
        <w:rPr>
          <w:rStyle w:val="ae"/>
          <w:rtl/>
        </w:rPr>
        <w:t>(</w:t>
      </w:r>
      <w:r>
        <w:rPr>
          <w:rStyle w:val="ae"/>
          <w:rtl/>
        </w:rPr>
        <w:footnoteReference w:id="378"/>
      </w:r>
      <w:r w:rsidRPr="00405F09">
        <w:rPr>
          <w:rStyle w:val="ae"/>
          <w:rtl/>
        </w:rPr>
        <w:t>)</w:t>
      </w:r>
      <w:r w:rsidRPr="00B07E03">
        <w:rPr>
          <w:rFonts w:ascii="Traditional Arabic" w:hAnsi="Traditional Arabic"/>
          <w:color w:val="0D0D0D" w:themeColor="text1" w:themeTint="F2"/>
          <w:rtl/>
          <w:lang w:eastAsia="en-US"/>
        </w:rPr>
        <w:t>. والسادس: بأن ج</w:t>
      </w:r>
      <w:r w:rsidR="008D1661">
        <w:rPr>
          <w:rFonts w:ascii="Traditional Arabic" w:hAnsi="Traditional Arabic" w:hint="cs"/>
          <w:color w:val="0D0D0D" w:themeColor="text1" w:themeTint="F2"/>
          <w:rtl/>
          <w:lang w:eastAsia="en-US"/>
        </w:rPr>
        <w:t>َ</w:t>
      </w:r>
      <w:r w:rsidRPr="00B07E03">
        <w:rPr>
          <w:rFonts w:ascii="Traditional Arabic" w:hAnsi="Traditional Arabic"/>
          <w:color w:val="0D0D0D" w:themeColor="text1" w:themeTint="F2"/>
          <w:rtl/>
          <w:lang w:eastAsia="en-US"/>
        </w:rPr>
        <w:t>ع</w:t>
      </w:r>
      <w:r w:rsidR="008D1661">
        <w:rPr>
          <w:rFonts w:ascii="Traditional Arabic" w:hAnsi="Traditional Arabic" w:hint="cs"/>
          <w:color w:val="0D0D0D" w:themeColor="text1" w:themeTint="F2"/>
          <w:rtl/>
          <w:lang w:eastAsia="en-US"/>
        </w:rPr>
        <w:t>َ</w:t>
      </w:r>
      <w:r w:rsidRPr="00B07E03">
        <w:rPr>
          <w:rFonts w:ascii="Traditional Arabic" w:hAnsi="Traditional Arabic"/>
          <w:color w:val="0D0D0D" w:themeColor="text1" w:themeTint="F2"/>
          <w:rtl/>
          <w:lang w:eastAsia="en-US"/>
        </w:rPr>
        <w:t>ل محمّدا</w:t>
      </w:r>
      <w:r w:rsidR="008D1661">
        <w:rPr>
          <w:rFonts w:ascii="Traditional Arabic" w:hAnsi="Traditional Arabic" w:hint="cs"/>
          <w:color w:val="0D0D0D" w:themeColor="text1" w:themeTint="F2"/>
          <w:rtl/>
          <w:lang w:eastAsia="en-US"/>
        </w:rPr>
        <w:t>ً</w:t>
      </w:r>
      <w:r w:rsidRPr="00B07E03">
        <w:rPr>
          <w:rFonts w:ascii="Traditional Arabic" w:hAnsi="Traditional Arabic"/>
          <w:color w:val="0D0D0D" w:themeColor="text1" w:themeTint="F2"/>
          <w:rtl/>
          <w:lang w:eastAsia="en-US"/>
        </w:rPr>
        <w:t xml:space="preserve"> </w:t>
      </w:r>
      <w:r w:rsidR="00E14278">
        <w:rPr>
          <w:rFonts w:ascii="Traditional Arabic" w:hAnsi="Traditional Arabic"/>
          <w:color w:val="0D0D0D" w:themeColor="text1" w:themeTint="F2"/>
          <w:lang w:eastAsia="en-US"/>
        </w:rPr>
        <w:sym w:font="AGA Arabesque" w:char="F072"/>
      </w:r>
      <w:r w:rsidR="00E14278">
        <w:rPr>
          <w:rFonts w:ascii="Traditional Arabic" w:hAnsi="Traditional Arabic" w:hint="cs"/>
          <w:color w:val="0D0D0D" w:themeColor="text1" w:themeTint="F2"/>
          <w:rtl/>
          <w:lang w:eastAsia="en-US"/>
        </w:rPr>
        <w:t xml:space="preserve"> </w:t>
      </w:r>
      <w:r w:rsidRPr="008D1661">
        <w:rPr>
          <w:rFonts w:ascii="Traditional Arabic" w:hAnsi="Traditional Arabic"/>
          <w:color w:val="0D0D0D" w:themeColor="text1" w:themeTint="F2"/>
          <w:rtl/>
          <w:lang w:eastAsia="en-US"/>
        </w:rPr>
        <w:t>منهم</w:t>
      </w:r>
      <w:r w:rsidR="008D1661" w:rsidRPr="008D1661">
        <w:rPr>
          <w:rStyle w:val="ae"/>
          <w:rFonts w:ascii="Traditional Arabic" w:hAnsi="Traditional Arabic"/>
        </w:rPr>
        <w:t>(</w:t>
      </w:r>
      <w:r w:rsidR="008D1661" w:rsidRPr="008D1661">
        <w:rPr>
          <w:rStyle w:val="ae"/>
          <w:rFonts w:ascii="Traditional Arabic" w:hAnsi="Traditional Arabic"/>
        </w:rPr>
        <w:footnoteReference w:id="379"/>
      </w:r>
      <w:r w:rsidR="008D1661" w:rsidRPr="008D1661">
        <w:rPr>
          <w:rStyle w:val="ae"/>
          <w:rFonts w:ascii="Traditional Arabic" w:hAnsi="Traditional Arabic"/>
        </w:rPr>
        <w:t>)</w:t>
      </w:r>
      <w:r w:rsidRPr="008D1661">
        <w:rPr>
          <w:rStyle w:val="ae"/>
          <w:rFonts w:ascii="Traditional Arabic" w:hAnsi="Traditional Arabic"/>
          <w:rtl/>
        </w:rPr>
        <w:t>(</w:t>
      </w:r>
      <w:r w:rsidRPr="008D1661">
        <w:rPr>
          <w:rStyle w:val="ae"/>
          <w:rFonts w:ascii="Traditional Arabic" w:hAnsi="Traditional Arabic"/>
          <w:rtl/>
        </w:rPr>
        <w:footnoteReference w:id="380"/>
      </w:r>
      <w:r w:rsidRPr="008D1661">
        <w:rPr>
          <w:rStyle w:val="ae"/>
          <w:rFonts w:ascii="Traditional Arabic" w:hAnsi="Traditional Arabic"/>
          <w:rtl/>
        </w:rPr>
        <w:t>)</w:t>
      </w:r>
      <w:r w:rsidRPr="008D1661">
        <w:rPr>
          <w:rFonts w:ascii="Traditional Arabic" w:hAnsi="Traditional Arabic"/>
          <w:color w:val="0D0D0D" w:themeColor="text1" w:themeTint="F2"/>
          <w:rtl/>
          <w:lang w:eastAsia="en-US"/>
        </w:rPr>
        <w:t>،</w:t>
      </w:r>
      <w:r w:rsidRPr="00B07E03">
        <w:rPr>
          <w:rFonts w:ascii="Traditional Arabic" w:hAnsi="Traditional Arabic"/>
          <w:color w:val="0D0D0D" w:themeColor="text1" w:themeTint="F2"/>
          <w:rtl/>
          <w:lang w:eastAsia="en-US"/>
        </w:rPr>
        <w:t xml:space="preserve"> قاله محمد بن كعب</w:t>
      </w:r>
      <w:r w:rsidRPr="00C07718">
        <w:rPr>
          <w:rStyle w:val="ae"/>
          <w:rtl/>
        </w:rPr>
        <w:t>(</w:t>
      </w:r>
      <w:r>
        <w:rPr>
          <w:rStyle w:val="ae"/>
          <w:rtl/>
        </w:rPr>
        <w:footnoteReference w:id="381"/>
      </w:r>
      <w:r w:rsidRPr="00C07718">
        <w:rPr>
          <w:rStyle w:val="ae"/>
          <w:rtl/>
        </w:rPr>
        <w:t>)</w:t>
      </w:r>
      <w:r w:rsidRPr="00B07E03">
        <w:rPr>
          <w:rFonts w:ascii="Traditional Arabic" w:hAnsi="Traditional Arabic"/>
          <w:color w:val="0D0D0D" w:themeColor="text1" w:themeTint="F2"/>
          <w:rtl/>
          <w:lang w:eastAsia="en-US"/>
        </w:rPr>
        <w:t>.</w:t>
      </w:r>
      <w:r w:rsidR="000357ED">
        <w:rPr>
          <w:rFonts w:ascii="Traditional Arabic" w:hAnsi="Traditional Arabic" w:hint="cs"/>
          <w:color w:val="0D0D0D" w:themeColor="text1" w:themeTint="F2"/>
          <w:rtl/>
          <w:lang w:eastAsia="en-US"/>
        </w:rPr>
        <w:t xml:space="preserve"> </w:t>
      </w:r>
      <w:r w:rsidRPr="00B07E03">
        <w:rPr>
          <w:rFonts w:ascii="Traditional Arabic" w:hAnsi="Traditional Arabic"/>
          <w:color w:val="0D0D0D" w:themeColor="text1" w:themeTint="F2"/>
          <w:rtl/>
          <w:lang w:eastAsia="en-US"/>
        </w:rPr>
        <w:t>والسابع: فضِّلوا بالمطاعم واللَّذات في الدنيا</w:t>
      </w:r>
      <w:r w:rsidRPr="00C07718">
        <w:rPr>
          <w:rStyle w:val="ae"/>
          <w:rtl/>
        </w:rPr>
        <w:t>(</w:t>
      </w:r>
      <w:r>
        <w:rPr>
          <w:rStyle w:val="ae"/>
          <w:rtl/>
        </w:rPr>
        <w:footnoteReference w:id="382"/>
      </w:r>
      <w:r w:rsidRPr="00C07718">
        <w:rPr>
          <w:rStyle w:val="ae"/>
          <w:rtl/>
        </w:rPr>
        <w:t>)</w:t>
      </w:r>
      <w:r w:rsidR="000357ED">
        <w:rPr>
          <w:rFonts w:ascii="Traditional Arabic" w:hAnsi="Traditional Arabic"/>
          <w:color w:val="0D0D0D" w:themeColor="text1" w:themeTint="F2"/>
          <w:rtl/>
          <w:lang w:eastAsia="en-US"/>
        </w:rPr>
        <w:t>قال</w:t>
      </w:r>
      <w:r w:rsidR="000357ED">
        <w:rPr>
          <w:rFonts w:ascii="Traditional Arabic" w:hAnsi="Traditional Arabic" w:hint="cs"/>
          <w:color w:val="0D0D0D" w:themeColor="text1" w:themeTint="F2"/>
          <w:rtl/>
          <w:lang w:eastAsia="en-US"/>
        </w:rPr>
        <w:t>ه</w:t>
      </w:r>
      <w:r w:rsidRPr="00B07E03">
        <w:rPr>
          <w:rFonts w:ascii="Traditional Arabic" w:hAnsi="Traditional Arabic"/>
          <w:color w:val="0D0D0D" w:themeColor="text1" w:themeTint="F2"/>
          <w:rtl/>
          <w:lang w:eastAsia="en-US"/>
        </w:rPr>
        <w:t xml:space="preserve"> زيد بن أسلم</w:t>
      </w:r>
      <w:r w:rsidRPr="00C07718">
        <w:rPr>
          <w:rStyle w:val="ae"/>
          <w:rtl/>
        </w:rPr>
        <w:t>(</w:t>
      </w:r>
      <w:r>
        <w:rPr>
          <w:rStyle w:val="ae"/>
          <w:rtl/>
        </w:rPr>
        <w:footnoteReference w:id="383"/>
      </w:r>
      <w:r w:rsidRPr="00C07718">
        <w:rPr>
          <w:rStyle w:val="ae"/>
          <w:rtl/>
        </w:rPr>
        <w:t>)</w:t>
      </w:r>
      <w:r w:rsidRPr="00B07E03">
        <w:rPr>
          <w:rFonts w:ascii="Traditional Arabic" w:hAnsi="Traditional Arabic"/>
          <w:color w:val="0D0D0D" w:themeColor="text1" w:themeTint="F2"/>
          <w:rtl/>
          <w:lang w:eastAsia="en-US"/>
        </w:rPr>
        <w:t>. والثامن:</w:t>
      </w:r>
      <w:r w:rsidR="000357ED">
        <w:rPr>
          <w:rFonts w:ascii="Traditional Arabic" w:hAnsi="Traditional Arabic" w:hint="cs"/>
          <w:color w:val="0D0D0D" w:themeColor="text1" w:themeTint="F2"/>
          <w:rtl/>
          <w:lang w:eastAsia="en-US"/>
        </w:rPr>
        <w:t xml:space="preserve"> </w:t>
      </w:r>
      <w:r w:rsidRPr="00B07E03">
        <w:rPr>
          <w:rFonts w:ascii="Traditional Arabic" w:hAnsi="Traditional Arabic"/>
          <w:color w:val="0D0D0D" w:themeColor="text1" w:themeTint="F2"/>
          <w:rtl/>
          <w:lang w:eastAsia="en-US"/>
        </w:rPr>
        <w:t>بحسن الصورة، قاله يمان</w:t>
      </w:r>
      <w:r w:rsidRPr="00C07718">
        <w:rPr>
          <w:rStyle w:val="ae"/>
          <w:rtl/>
        </w:rPr>
        <w:t>(</w:t>
      </w:r>
      <w:r>
        <w:rPr>
          <w:rStyle w:val="ae"/>
          <w:rtl/>
        </w:rPr>
        <w:footnoteReference w:id="384"/>
      </w:r>
      <w:r w:rsidRPr="00C07718">
        <w:rPr>
          <w:rStyle w:val="ae"/>
          <w:rtl/>
        </w:rPr>
        <w:t>)</w:t>
      </w:r>
      <w:r w:rsidR="003C3020" w:rsidRPr="003C3020">
        <w:rPr>
          <w:rStyle w:val="ae"/>
          <w:rtl/>
        </w:rPr>
        <w:t>(</w:t>
      </w:r>
      <w:r w:rsidR="003C3020">
        <w:rPr>
          <w:rStyle w:val="ae"/>
          <w:rtl/>
        </w:rPr>
        <w:footnoteReference w:id="385"/>
      </w:r>
      <w:r w:rsidR="003C3020" w:rsidRPr="003C3020">
        <w:rPr>
          <w:rStyle w:val="ae"/>
          <w:rtl/>
        </w:rPr>
        <w:t>)</w:t>
      </w:r>
      <w:r w:rsidRPr="00B07E03">
        <w:rPr>
          <w:rFonts w:ascii="Traditional Arabic" w:hAnsi="Traditional Arabic"/>
          <w:color w:val="0D0D0D" w:themeColor="text1" w:themeTint="F2"/>
          <w:rtl/>
          <w:lang w:eastAsia="en-US"/>
        </w:rPr>
        <w:t xml:space="preserve">. </w:t>
      </w:r>
    </w:p>
    <w:p w:rsidR="002B026F" w:rsidRDefault="002B026F" w:rsidP="002B026F">
      <w:pPr>
        <w:widowControl/>
        <w:autoSpaceDE w:val="0"/>
        <w:autoSpaceDN w:val="0"/>
        <w:adjustRightInd w:val="0"/>
        <w:ind w:firstLine="0"/>
        <w:rPr>
          <w:rFonts w:ascii="Traditional Arabic" w:hAnsi="Traditional Arabic"/>
          <w:color w:val="0D0D0D" w:themeColor="text1" w:themeTint="F2"/>
          <w:rtl/>
          <w:lang w:eastAsia="en-US"/>
        </w:rPr>
      </w:pPr>
    </w:p>
    <w:p w:rsidR="00C36615" w:rsidRPr="009A5E79" w:rsidRDefault="00C36615" w:rsidP="002B026F">
      <w:pPr>
        <w:widowControl/>
        <w:autoSpaceDE w:val="0"/>
        <w:autoSpaceDN w:val="0"/>
        <w:adjustRightInd w:val="0"/>
        <w:ind w:firstLine="0"/>
        <w:rPr>
          <w:rFonts w:ascii="Traditional Arabic" w:hAnsi="Traditional Arabic"/>
          <w:color w:val="0D0D0D" w:themeColor="text1" w:themeTint="F2"/>
          <w:rtl/>
          <w:lang w:eastAsia="en-US"/>
        </w:rPr>
      </w:pPr>
      <w:r w:rsidRPr="00B07E03">
        <w:rPr>
          <w:rFonts w:ascii="Traditional Arabic" w:hAnsi="Traditional Arabic"/>
          <w:color w:val="0D0D0D" w:themeColor="text1" w:themeTint="F2"/>
          <w:rtl/>
          <w:lang w:eastAsia="en-US"/>
        </w:rPr>
        <w:lastRenderedPageBreak/>
        <w:t>والتاسع:</w:t>
      </w:r>
      <w:r w:rsidRPr="00B07E03">
        <w:rPr>
          <w:rFonts w:ascii="Traditional Arabic" w:hAnsi="Traditional Arabic" w:hint="cs"/>
          <w:color w:val="0D0D0D" w:themeColor="text1" w:themeTint="F2"/>
          <w:rtl/>
          <w:lang w:eastAsia="en-US"/>
        </w:rPr>
        <w:t xml:space="preserve"> </w:t>
      </w:r>
      <w:r w:rsidRPr="00B07E03">
        <w:rPr>
          <w:rFonts w:ascii="Traditional Arabic" w:hAnsi="Traditional Arabic"/>
          <w:color w:val="0D0D0D" w:themeColor="text1" w:themeTint="F2"/>
          <w:rtl/>
          <w:lang w:eastAsia="en-US"/>
        </w:rPr>
        <w:t>بتسليطهم على غيرهم من الخلق، وتسخير سائر الخلق لهم</w:t>
      </w:r>
      <w:r w:rsidRPr="00C07718">
        <w:rPr>
          <w:rStyle w:val="ae"/>
          <w:rtl/>
        </w:rPr>
        <w:t>(</w:t>
      </w:r>
      <w:r>
        <w:rPr>
          <w:rStyle w:val="ae"/>
          <w:rtl/>
        </w:rPr>
        <w:footnoteReference w:id="386"/>
      </w:r>
      <w:r w:rsidRPr="00C07718">
        <w:rPr>
          <w:rStyle w:val="ae"/>
          <w:rtl/>
        </w:rPr>
        <w:t>)</w:t>
      </w:r>
      <w:r w:rsidRPr="00B07E03">
        <w:rPr>
          <w:rFonts w:ascii="Traditional Arabic" w:hAnsi="Traditional Arabic"/>
          <w:color w:val="0D0D0D" w:themeColor="text1" w:themeTint="F2"/>
          <w:rtl/>
          <w:lang w:eastAsia="en-US"/>
        </w:rPr>
        <w:t>، قاله محمد بن جرير</w:t>
      </w:r>
      <w:r w:rsidRPr="00665579">
        <w:rPr>
          <w:rStyle w:val="ae"/>
          <w:rtl/>
        </w:rPr>
        <w:t>(</w:t>
      </w:r>
      <w:r>
        <w:rPr>
          <w:rStyle w:val="ae"/>
          <w:rtl/>
        </w:rPr>
        <w:footnoteReference w:id="387"/>
      </w:r>
      <w:r w:rsidRPr="00665579">
        <w:rPr>
          <w:rStyle w:val="ae"/>
          <w:rtl/>
        </w:rPr>
        <w:t>)</w:t>
      </w:r>
      <w:r w:rsidRPr="00B07E03">
        <w:rPr>
          <w:rFonts w:ascii="Traditional Arabic" w:hAnsi="Traditional Arabic"/>
          <w:color w:val="0D0D0D" w:themeColor="text1" w:themeTint="F2"/>
          <w:rtl/>
          <w:lang w:eastAsia="en-US"/>
        </w:rPr>
        <w:t>. والعاشر: بالأمر والنهي، ذكره الماوردي</w:t>
      </w:r>
      <w:r w:rsidRPr="00665579">
        <w:rPr>
          <w:rStyle w:val="ae"/>
          <w:rtl/>
        </w:rPr>
        <w:t>(</w:t>
      </w:r>
      <w:r>
        <w:rPr>
          <w:rStyle w:val="ae"/>
          <w:rtl/>
        </w:rPr>
        <w:footnoteReference w:id="388"/>
      </w:r>
      <w:r w:rsidRPr="00665579">
        <w:rPr>
          <w:rStyle w:val="ae"/>
          <w:rtl/>
        </w:rPr>
        <w:t>)</w:t>
      </w:r>
      <w:r w:rsidRPr="00B07E03">
        <w:rPr>
          <w:rFonts w:ascii="Traditional Arabic" w:hAnsi="Traditional Arabic"/>
          <w:color w:val="0D0D0D" w:themeColor="text1" w:themeTint="F2"/>
          <w:rtl/>
          <w:lang w:eastAsia="en-US"/>
        </w:rPr>
        <w:t>. والحادي عشر: بأن جعلت اللِّحى للرجال، والذوائب للنساء</w:t>
      </w:r>
      <w:r w:rsidRPr="004371D9">
        <w:rPr>
          <w:rStyle w:val="ae"/>
          <w:rtl/>
        </w:rPr>
        <w:t>(</w:t>
      </w:r>
      <w:r>
        <w:rPr>
          <w:rStyle w:val="ae"/>
          <w:rtl/>
        </w:rPr>
        <w:footnoteReference w:id="389"/>
      </w:r>
      <w:r w:rsidRPr="004371D9">
        <w:rPr>
          <w:rStyle w:val="ae"/>
          <w:rtl/>
        </w:rPr>
        <w:t>)</w:t>
      </w:r>
      <w:r w:rsidRPr="00B07E03">
        <w:rPr>
          <w:rFonts w:ascii="Traditional Arabic" w:hAnsi="Traditional Arabic"/>
          <w:color w:val="0D0D0D" w:themeColor="text1" w:themeTint="F2"/>
          <w:rtl/>
          <w:lang w:eastAsia="en-US"/>
        </w:rPr>
        <w:t>، ذكره الثعلبي</w:t>
      </w:r>
      <w:r w:rsidRPr="004371D9">
        <w:rPr>
          <w:rStyle w:val="ae"/>
          <w:rtl/>
        </w:rPr>
        <w:t>(</w:t>
      </w:r>
      <w:r>
        <w:rPr>
          <w:rStyle w:val="ae"/>
          <w:rtl/>
        </w:rPr>
        <w:footnoteReference w:id="390"/>
      </w:r>
      <w:r w:rsidRPr="004371D9">
        <w:rPr>
          <w:rStyle w:val="ae"/>
          <w:rtl/>
        </w:rPr>
        <w:t>)</w:t>
      </w:r>
      <w:r w:rsidR="000357ED">
        <w:rPr>
          <w:rFonts w:ascii="Traditional Arabic" w:hAnsi="Traditional Arabic" w:hint="cs"/>
          <w:color w:val="0D0D0D" w:themeColor="text1" w:themeTint="F2"/>
          <w:rtl/>
          <w:lang w:eastAsia="en-US"/>
        </w:rPr>
        <w:t xml:space="preserve">؛ </w:t>
      </w:r>
      <w:r w:rsidRPr="00B07E03">
        <w:rPr>
          <w:rFonts w:ascii="Traditional Arabic" w:hAnsi="Traditional Arabic"/>
          <w:color w:val="0D0D0D" w:themeColor="text1" w:themeTint="F2"/>
          <w:rtl/>
          <w:lang w:eastAsia="en-US"/>
        </w:rPr>
        <w:t>فإن قيل: كيف أطلق ذكر الك</w:t>
      </w:r>
      <w:r w:rsidR="00B20E9D">
        <w:rPr>
          <w:rFonts w:ascii="Traditional Arabic" w:hAnsi="Traditional Arabic"/>
          <w:color w:val="0D0D0D" w:themeColor="text1" w:themeTint="F2"/>
          <w:rtl/>
          <w:lang w:eastAsia="en-US"/>
        </w:rPr>
        <w:t>رامة على الكل، وفيهم الكافر الم</w:t>
      </w:r>
      <w:r w:rsidR="00B20E9D">
        <w:rPr>
          <w:rFonts w:ascii="Traditional Arabic" w:hAnsi="Traditional Arabic" w:hint="cs"/>
          <w:color w:val="0D0D0D" w:themeColor="text1" w:themeTint="F2"/>
          <w:rtl/>
          <w:lang w:eastAsia="en-US"/>
        </w:rPr>
        <w:t>ُ</w:t>
      </w:r>
      <w:r w:rsidRPr="00B07E03">
        <w:rPr>
          <w:rFonts w:ascii="Traditional Arabic" w:hAnsi="Traditional Arabic"/>
          <w:color w:val="0D0D0D" w:themeColor="text1" w:themeTint="F2"/>
          <w:rtl/>
          <w:lang w:eastAsia="en-US"/>
        </w:rPr>
        <w:t>هان؟ فالجواب من وجهين:</w:t>
      </w:r>
      <w:r w:rsidRPr="00B07E03">
        <w:rPr>
          <w:rFonts w:ascii="Traditional Arabic" w:hAnsi="Traditional Arabic" w:hint="cs"/>
          <w:color w:val="0D0D0D" w:themeColor="text1" w:themeTint="F2"/>
          <w:rtl/>
          <w:lang w:eastAsia="en-US"/>
        </w:rPr>
        <w:t xml:space="preserve"> </w:t>
      </w:r>
      <w:r w:rsidRPr="00B07E03">
        <w:rPr>
          <w:rFonts w:ascii="Traditional Arabic" w:hAnsi="Traditional Arabic"/>
          <w:color w:val="0D0D0D" w:themeColor="text1" w:themeTint="F2"/>
          <w:rtl/>
          <w:lang w:eastAsia="en-US"/>
        </w:rPr>
        <w:t>أحدهما: أنه عامل الكل معاملة المكرَم بالنعم الوافرة. والثاني: أنه لما كان فيهم من هو بهذه الصفة، أجرى الصِّفة على جماعتهم، كقوله تعالى:</w:t>
      </w:r>
      <w:r w:rsidRPr="000B7490">
        <w:rPr>
          <w:rFonts w:ascii="Traditional Arabic" w:hAnsi="Traditional Arabic"/>
          <w:color w:val="0D0D0D" w:themeColor="text1" w:themeTint="F2"/>
          <w:sz w:val="32"/>
          <w:szCs w:val="32"/>
          <w:rtl/>
          <w:lang w:eastAsia="en-US"/>
        </w:rPr>
        <w:t xml:space="preserve"> </w:t>
      </w:r>
      <w:r w:rsidRPr="00211F68">
        <w:rPr>
          <w:rFonts w:ascii="QCF_BSML" w:hAnsi="QCF_BSML" w:cs="QCF_BSML"/>
          <w:sz w:val="32"/>
          <w:szCs w:val="32"/>
          <w:rtl/>
          <w:lang w:eastAsia="en-US"/>
        </w:rPr>
        <w:t>ﭽ</w:t>
      </w:r>
      <w:r w:rsidRPr="00211F68">
        <w:rPr>
          <w:rFonts w:ascii="QCF_P064" w:hAnsi="QCF_P064" w:cs="QCF_P064"/>
          <w:sz w:val="32"/>
          <w:szCs w:val="32"/>
          <w:rtl/>
          <w:lang w:eastAsia="en-US"/>
        </w:rPr>
        <w:t>ﭞ  ﭟ  ﭠ</w:t>
      </w:r>
      <w:r w:rsidRPr="00835791">
        <w:rPr>
          <w:rFonts w:ascii="QCF_P064" w:hAnsi="QCF_P064" w:cs="QCF_P064"/>
          <w:sz w:val="28"/>
          <w:szCs w:val="28"/>
          <w:rtl/>
          <w:lang w:eastAsia="en-US"/>
        </w:rPr>
        <w:t xml:space="preserve">  </w:t>
      </w:r>
      <w:r w:rsidRPr="00211F68">
        <w:rPr>
          <w:rFonts w:ascii="QCF_P064" w:hAnsi="QCF_P064" w:cs="QCF_P064"/>
          <w:sz w:val="32"/>
          <w:szCs w:val="32"/>
          <w:rtl/>
          <w:lang w:eastAsia="en-US"/>
        </w:rPr>
        <w:t xml:space="preserve">ﭡ  ﭢ  </w:t>
      </w:r>
      <w:r w:rsidRPr="00211F68">
        <w:rPr>
          <w:rFonts w:ascii="QCF_BSML" w:hAnsi="QCF_BSML" w:cs="QCF_BSML"/>
          <w:sz w:val="32"/>
          <w:szCs w:val="32"/>
          <w:rtl/>
          <w:lang w:eastAsia="en-US"/>
        </w:rPr>
        <w:t>ﭼ</w:t>
      </w:r>
      <w:r w:rsidRPr="00835791">
        <w:rPr>
          <w:rFonts w:ascii="Arial" w:hAnsi="Arial" w:cs="Arial"/>
          <w:sz w:val="28"/>
          <w:szCs w:val="28"/>
          <w:rtl/>
          <w:lang w:eastAsia="en-US"/>
        </w:rPr>
        <w:t xml:space="preserve"> </w:t>
      </w:r>
      <w:r w:rsidRPr="00835791">
        <w:rPr>
          <w:rFonts w:ascii="QCF_BSML" w:hAnsi="QCF_BSML" w:cs="QCF_BSML" w:hint="cs"/>
          <w:color w:val="0D0D0D" w:themeColor="text1" w:themeTint="F2"/>
          <w:sz w:val="28"/>
          <w:szCs w:val="28"/>
          <w:rtl/>
          <w:lang w:eastAsia="en-US"/>
        </w:rPr>
        <w:t xml:space="preserve"> </w:t>
      </w:r>
      <w:r w:rsidRPr="00B07E03">
        <w:rPr>
          <w:rFonts w:ascii="Arial" w:hAnsi="Arial" w:cs="Arial" w:hint="cs"/>
          <w:color w:val="0D0D0D" w:themeColor="text1" w:themeTint="F2"/>
          <w:sz w:val="28"/>
          <w:szCs w:val="28"/>
          <w:rtl/>
          <w:lang w:eastAsia="en-US"/>
        </w:rPr>
        <w:t>[</w:t>
      </w:r>
      <w:r w:rsidRPr="00B07E03">
        <w:rPr>
          <w:rFonts w:ascii="Traditional Arabic" w:hAnsi="Traditional Arabic"/>
          <w:color w:val="0D0D0D" w:themeColor="text1" w:themeTint="F2"/>
          <w:sz w:val="28"/>
          <w:szCs w:val="28"/>
          <w:rtl/>
          <w:lang w:eastAsia="en-US"/>
        </w:rPr>
        <w:t>سورة</w:t>
      </w:r>
      <w:r w:rsidRPr="00B07E03">
        <w:rPr>
          <w:rFonts w:ascii="Traditional Arabic" w:hAnsi="Traditional Arabic"/>
          <w:color w:val="0D0D0D" w:themeColor="text1" w:themeTint="F2"/>
          <w:rtl/>
          <w:lang w:eastAsia="en-US"/>
        </w:rPr>
        <w:t xml:space="preserve"> </w:t>
      </w:r>
      <w:r>
        <w:rPr>
          <w:rFonts w:ascii="Traditional Arabic" w:hAnsi="Traditional Arabic" w:hint="cs"/>
          <w:color w:val="0D0D0D" w:themeColor="text1" w:themeTint="F2"/>
          <w:sz w:val="28"/>
          <w:szCs w:val="28"/>
          <w:rtl/>
          <w:lang w:eastAsia="en-US"/>
        </w:rPr>
        <w:t>آل عمران</w:t>
      </w:r>
      <w:r w:rsidRPr="00B07E03">
        <w:rPr>
          <w:rFonts w:ascii="Traditional Arabic" w:hAnsi="Traditional Arabic"/>
          <w:color w:val="0D0D0D" w:themeColor="text1" w:themeTint="F2"/>
          <w:sz w:val="28"/>
          <w:szCs w:val="28"/>
          <w:rtl/>
          <w:lang w:eastAsia="en-US"/>
        </w:rPr>
        <w:t>:</w:t>
      </w:r>
      <w:r w:rsidR="009767F5">
        <w:rPr>
          <w:rFonts w:ascii="Traditional Arabic" w:hAnsi="Traditional Arabic" w:hint="cs"/>
          <w:color w:val="0D0D0D" w:themeColor="text1" w:themeTint="F2"/>
          <w:sz w:val="28"/>
          <w:szCs w:val="28"/>
          <w:rtl/>
          <w:lang w:eastAsia="en-US"/>
        </w:rPr>
        <w:t xml:space="preserve"> </w:t>
      </w:r>
      <w:r>
        <w:rPr>
          <w:rFonts w:ascii="Traditional Arabic" w:hAnsi="Traditional Arabic" w:hint="cs"/>
          <w:color w:val="0D0D0D" w:themeColor="text1" w:themeTint="F2"/>
          <w:sz w:val="28"/>
          <w:szCs w:val="28"/>
          <w:rtl/>
          <w:lang w:eastAsia="en-US"/>
        </w:rPr>
        <w:t>110</w:t>
      </w:r>
      <w:r w:rsidRPr="00B07E03">
        <w:rPr>
          <w:rFonts w:ascii="Arial" w:hAnsi="Arial" w:cs="Arial" w:hint="cs"/>
          <w:color w:val="0D0D0D" w:themeColor="text1" w:themeTint="F2"/>
          <w:sz w:val="28"/>
          <w:szCs w:val="28"/>
          <w:rtl/>
          <w:lang w:eastAsia="en-US"/>
        </w:rPr>
        <w:t>]</w:t>
      </w:r>
      <w:r w:rsidR="005A3917">
        <w:rPr>
          <w:rFonts w:ascii="Traditional Arabic" w:hAnsi="Traditional Arabic" w:hint="cs"/>
          <w:color w:val="0D0D0D" w:themeColor="text1" w:themeTint="F2"/>
          <w:rtl/>
          <w:lang w:eastAsia="en-US"/>
        </w:rPr>
        <w:t>.</w:t>
      </w:r>
      <w:r w:rsidRPr="00BD7D3B">
        <w:rPr>
          <w:rFonts w:ascii="Traditional Arabic" w:hAnsi="Traditional Arabic"/>
          <w:color w:val="auto"/>
          <w:rtl/>
          <w:lang w:eastAsia="en-US"/>
        </w:rPr>
        <w:t>قوله تعالى</w:t>
      </w:r>
      <w:r w:rsidRPr="00211F68">
        <w:rPr>
          <w:rFonts w:ascii="Traditional Arabic" w:hAnsi="Traditional Arabic"/>
          <w:color w:val="auto"/>
          <w:sz w:val="32"/>
          <w:szCs w:val="32"/>
          <w:rtl/>
          <w:lang w:eastAsia="en-US"/>
        </w:rPr>
        <w:t xml:space="preserve">: </w:t>
      </w:r>
      <w:r w:rsidRPr="00211F68">
        <w:rPr>
          <w:rFonts w:ascii="QCF_BSML" w:hAnsi="QCF_BSML" w:cs="QCF_BSML"/>
          <w:sz w:val="32"/>
          <w:szCs w:val="32"/>
          <w:rtl/>
          <w:lang w:eastAsia="en-US"/>
        </w:rPr>
        <w:t>ﭽ</w:t>
      </w:r>
      <w:r w:rsidRPr="00211F68">
        <w:rPr>
          <w:rFonts w:ascii="QCF_P289" w:hAnsi="QCF_P289" w:cs="QCF_P289"/>
          <w:color w:val="0D0D0D" w:themeColor="text1" w:themeTint="F2"/>
          <w:sz w:val="32"/>
          <w:szCs w:val="32"/>
          <w:rtl/>
          <w:lang w:eastAsia="en-US"/>
        </w:rPr>
        <w:t xml:space="preserve">ﮓ   ﮔ  ﮕ </w:t>
      </w:r>
      <w:r w:rsidRPr="00211F68">
        <w:rPr>
          <w:rFonts w:ascii="QCF_BSML" w:hAnsi="QCF_BSML" w:cs="QCF_BSML"/>
          <w:sz w:val="32"/>
          <w:szCs w:val="32"/>
          <w:rtl/>
          <w:lang w:eastAsia="en-US"/>
        </w:rPr>
        <w:t>ﭼ</w:t>
      </w:r>
      <w:r w:rsidRPr="00BD7D3B">
        <w:rPr>
          <w:rFonts w:ascii="Traditional Arabic" w:hAnsi="Traditional Arabic"/>
          <w:color w:val="auto"/>
          <w:rtl/>
          <w:lang w:eastAsia="en-US"/>
        </w:rPr>
        <w:t xml:space="preserve"> على أكباد </w:t>
      </w:r>
      <w:r w:rsidRPr="00590AF0">
        <w:rPr>
          <w:rFonts w:ascii="Traditional Arabic" w:hAnsi="Traditional Arabic"/>
          <w:color w:val="auto"/>
          <w:rtl/>
          <w:lang w:eastAsia="en-US"/>
        </w:rPr>
        <w:t>رطبة،</w:t>
      </w:r>
      <w:r w:rsidRPr="00590AF0">
        <w:rPr>
          <w:rFonts w:ascii="Traditional Arabic" w:hAnsi="Traditional Arabic"/>
          <w:rtl/>
          <w:lang w:eastAsia="en-US"/>
        </w:rPr>
        <w:t xml:space="preserve"> وهي: الإبل، والخيل، والبغال، والحمير، وفي</w:t>
      </w:r>
      <w:r w:rsidRPr="00211F68">
        <w:rPr>
          <w:rFonts w:ascii="Traditional Arabic" w:hAnsi="Traditional Arabic"/>
          <w:sz w:val="32"/>
          <w:szCs w:val="32"/>
          <w:rtl/>
          <w:lang w:eastAsia="en-US"/>
        </w:rPr>
        <w:t xml:space="preserve"> </w:t>
      </w:r>
      <w:r w:rsidRPr="00211F68">
        <w:rPr>
          <w:rFonts w:ascii="QCF_BSML" w:hAnsi="QCF_BSML" w:cs="QCF_BSML"/>
          <w:sz w:val="32"/>
          <w:szCs w:val="32"/>
          <w:rtl/>
          <w:lang w:eastAsia="en-US"/>
        </w:rPr>
        <w:t>ﭽ</w:t>
      </w:r>
      <w:r w:rsidRPr="00211F68">
        <w:rPr>
          <w:rFonts w:ascii="QCF_P289" w:hAnsi="QCF_P289" w:cs="QCF_P289"/>
          <w:color w:val="0D0D0D" w:themeColor="text1" w:themeTint="F2"/>
          <w:sz w:val="32"/>
          <w:szCs w:val="32"/>
          <w:rtl/>
          <w:lang w:eastAsia="en-US"/>
        </w:rPr>
        <w:t>ﮖ</w:t>
      </w:r>
      <w:r w:rsidRPr="00211F68">
        <w:rPr>
          <w:rFonts w:ascii="QCF_BSML" w:hAnsi="QCF_BSML" w:cs="QCF_BSML"/>
          <w:sz w:val="32"/>
          <w:szCs w:val="32"/>
          <w:rtl/>
          <w:lang w:eastAsia="en-US"/>
        </w:rPr>
        <w:t>ﭼ</w:t>
      </w:r>
      <w:r w:rsidRPr="00590AF0">
        <w:rPr>
          <w:rFonts w:ascii="Traditional Arabic" w:hAnsi="Traditional Arabic"/>
          <w:rtl/>
          <w:lang w:eastAsia="en-US"/>
        </w:rPr>
        <w:t xml:space="preserve"> على أعواد يابسة، وهي: السفن</w:t>
      </w:r>
      <w:r w:rsidR="00994E07" w:rsidRPr="00994E07">
        <w:rPr>
          <w:rStyle w:val="ae"/>
          <w:rtl/>
        </w:rPr>
        <w:t>(</w:t>
      </w:r>
      <w:r w:rsidR="00994E07">
        <w:rPr>
          <w:rStyle w:val="ae"/>
          <w:rtl/>
        </w:rPr>
        <w:footnoteReference w:id="391"/>
      </w:r>
      <w:r w:rsidR="00994E07" w:rsidRPr="00994E07">
        <w:rPr>
          <w:rStyle w:val="ae"/>
          <w:rtl/>
        </w:rPr>
        <w:t>)</w:t>
      </w:r>
      <w:r w:rsidRPr="00835791">
        <w:rPr>
          <w:rFonts w:ascii="Traditional Arabic" w:hAnsi="Traditional Arabic"/>
          <w:sz w:val="28"/>
          <w:szCs w:val="28"/>
          <w:rtl/>
          <w:lang w:eastAsia="en-US"/>
        </w:rPr>
        <w:t xml:space="preserve">. </w:t>
      </w:r>
      <w:r w:rsidRPr="00211F68">
        <w:rPr>
          <w:rFonts w:ascii="QCF_BSML" w:hAnsi="QCF_BSML" w:cs="QCF_BSML"/>
          <w:sz w:val="32"/>
          <w:szCs w:val="32"/>
          <w:rtl/>
          <w:lang w:eastAsia="en-US"/>
        </w:rPr>
        <w:t>ﭽ</w:t>
      </w:r>
      <w:r w:rsidRPr="00211F68">
        <w:rPr>
          <w:rFonts w:ascii="QCF_P289" w:hAnsi="QCF_P289" w:cs="QCF_P289"/>
          <w:color w:val="0D0D0D" w:themeColor="text1" w:themeTint="F2"/>
          <w:sz w:val="32"/>
          <w:szCs w:val="32"/>
          <w:rtl/>
          <w:lang w:eastAsia="en-US"/>
        </w:rPr>
        <w:t>ﮗ  ﮘ  ﮙ</w:t>
      </w:r>
      <w:r w:rsidRPr="00211F68">
        <w:rPr>
          <w:rFonts w:ascii="QCF_BSML" w:hAnsi="QCF_BSML" w:cs="QCF_BSML"/>
          <w:sz w:val="32"/>
          <w:szCs w:val="32"/>
          <w:rtl/>
          <w:lang w:eastAsia="en-US"/>
        </w:rPr>
        <w:t>ﭼ</w:t>
      </w:r>
      <w:r w:rsidRPr="00590AF0">
        <w:rPr>
          <w:rFonts w:ascii="Traditional Arabic" w:hAnsi="Traditional Arabic"/>
          <w:rtl/>
          <w:lang w:eastAsia="en-US"/>
        </w:rPr>
        <w:t xml:space="preserve"> فيه قولان: أحدهما: الحلال</w:t>
      </w:r>
      <w:r w:rsidRPr="00A66CD8">
        <w:rPr>
          <w:rStyle w:val="ae"/>
          <w:rtl/>
        </w:rPr>
        <w:t>(</w:t>
      </w:r>
      <w:r>
        <w:rPr>
          <w:rStyle w:val="ae"/>
          <w:rtl/>
        </w:rPr>
        <w:footnoteReference w:id="392"/>
      </w:r>
      <w:r w:rsidRPr="00A66CD8">
        <w:rPr>
          <w:rStyle w:val="ae"/>
          <w:rtl/>
        </w:rPr>
        <w:t>)</w:t>
      </w:r>
      <w:r>
        <w:rPr>
          <w:rFonts w:ascii="Traditional Arabic" w:hAnsi="Traditional Arabic"/>
          <w:b/>
          <w:bCs/>
          <w:sz w:val="44"/>
          <w:szCs w:val="44"/>
          <w:rtl/>
          <w:lang w:eastAsia="en-US"/>
        </w:rPr>
        <w:t>.</w:t>
      </w:r>
      <w:r>
        <w:rPr>
          <w:rFonts w:ascii="Traditional Arabic" w:hAnsi="Traditional Arabic" w:hint="cs"/>
          <w:color w:val="0D0D0D" w:themeColor="text1" w:themeTint="F2"/>
          <w:rtl/>
          <w:lang w:eastAsia="en-US"/>
        </w:rPr>
        <w:t xml:space="preserve"> </w:t>
      </w:r>
      <w:r w:rsidRPr="00590AF0">
        <w:rPr>
          <w:rFonts w:ascii="Traditional Arabic" w:hAnsi="Traditional Arabic"/>
          <w:rtl/>
          <w:lang w:eastAsia="en-US"/>
        </w:rPr>
        <w:t>والثاني: المستطاب في الذوق</w:t>
      </w:r>
      <w:r w:rsidRPr="00A66CD8">
        <w:rPr>
          <w:rStyle w:val="ae"/>
          <w:rtl/>
        </w:rPr>
        <w:t>(</w:t>
      </w:r>
      <w:r>
        <w:rPr>
          <w:rStyle w:val="ae"/>
          <w:rtl/>
        </w:rPr>
        <w:footnoteReference w:id="393"/>
      </w:r>
      <w:r w:rsidRPr="00A66CD8">
        <w:rPr>
          <w:rStyle w:val="ae"/>
          <w:rtl/>
        </w:rPr>
        <w:t>)</w:t>
      </w:r>
      <w:r w:rsidRPr="00590AF0">
        <w:rPr>
          <w:rFonts w:ascii="Traditional Arabic" w:hAnsi="Traditional Arabic"/>
          <w:rtl/>
          <w:lang w:eastAsia="en-US"/>
        </w:rPr>
        <w:t xml:space="preserve">. قوله تعالى: </w:t>
      </w:r>
      <w:r w:rsidRPr="00211F68">
        <w:rPr>
          <w:rFonts w:ascii="QCF_BSML" w:hAnsi="QCF_BSML" w:cs="QCF_BSML"/>
          <w:sz w:val="32"/>
          <w:szCs w:val="32"/>
          <w:rtl/>
          <w:lang w:eastAsia="en-US"/>
        </w:rPr>
        <w:t>ﭽ</w:t>
      </w:r>
      <w:r w:rsidRPr="00211F68">
        <w:rPr>
          <w:rFonts w:ascii="QCF_P289" w:hAnsi="QCF_P289" w:cs="QCF_P289"/>
          <w:color w:val="0D0D0D" w:themeColor="text1" w:themeTint="F2"/>
          <w:sz w:val="32"/>
          <w:szCs w:val="32"/>
          <w:rtl/>
          <w:lang w:eastAsia="en-US"/>
        </w:rPr>
        <w:t>ﮚ  ﮛ   ﮜ  ﮝ  ﮞ  ﮟ</w:t>
      </w:r>
      <w:r w:rsidRPr="00211F68">
        <w:rPr>
          <w:rFonts w:ascii="QCF_BSML" w:hAnsi="QCF_BSML" w:cs="QCF_BSML"/>
          <w:sz w:val="32"/>
          <w:szCs w:val="32"/>
          <w:rtl/>
          <w:lang w:eastAsia="en-US"/>
        </w:rPr>
        <w:t>ﭼ</w:t>
      </w:r>
      <w:r w:rsidRPr="00835791">
        <w:rPr>
          <w:rFonts w:ascii="Traditional Arabic" w:hAnsi="Traditional Arabic"/>
          <w:sz w:val="28"/>
          <w:szCs w:val="28"/>
          <w:rtl/>
          <w:lang w:eastAsia="en-US"/>
        </w:rPr>
        <w:t xml:space="preserve"> </w:t>
      </w:r>
      <w:r w:rsidRPr="004371D9">
        <w:rPr>
          <w:rFonts w:ascii="Traditional Arabic" w:hAnsi="Traditional Arabic"/>
          <w:rtl/>
          <w:lang w:eastAsia="en-US"/>
        </w:rPr>
        <w:t>فيه قولان:</w:t>
      </w:r>
      <w:r>
        <w:rPr>
          <w:rFonts w:ascii="Traditional Arabic" w:hAnsi="Traditional Arabic" w:hint="cs"/>
          <w:color w:val="0D0D0D" w:themeColor="text1" w:themeTint="F2"/>
          <w:rtl/>
          <w:lang w:eastAsia="en-US"/>
        </w:rPr>
        <w:t xml:space="preserve"> </w:t>
      </w:r>
      <w:r w:rsidRPr="004371D9">
        <w:rPr>
          <w:rFonts w:ascii="Traditional Arabic" w:hAnsi="Traditional Arabic"/>
          <w:rtl/>
          <w:lang w:eastAsia="en-US"/>
        </w:rPr>
        <w:t>أحدهما: أنه على لفظه، وأنهم لم يفضَّلوا على سائر المخلوقات</w:t>
      </w:r>
      <w:r w:rsidRPr="00A66CD8">
        <w:rPr>
          <w:rStyle w:val="ae"/>
          <w:rtl/>
        </w:rPr>
        <w:t>(</w:t>
      </w:r>
      <w:r>
        <w:rPr>
          <w:rStyle w:val="ae"/>
          <w:rtl/>
        </w:rPr>
        <w:footnoteReference w:id="394"/>
      </w:r>
      <w:r w:rsidRPr="00A66CD8">
        <w:rPr>
          <w:rStyle w:val="ae"/>
          <w:rtl/>
        </w:rPr>
        <w:t>)</w:t>
      </w:r>
      <w:r w:rsidR="00E8073C">
        <w:rPr>
          <w:rFonts w:ascii="Traditional Arabic" w:hAnsi="Traditional Arabic"/>
          <w:rtl/>
          <w:lang w:eastAsia="en-US"/>
        </w:rPr>
        <w:t>.</w:t>
      </w:r>
      <w:r w:rsidR="00E8073C">
        <w:rPr>
          <w:rFonts w:ascii="Traditional Arabic" w:hAnsi="Traditional Arabic" w:hint="cs"/>
          <w:rtl/>
          <w:lang w:eastAsia="en-US"/>
        </w:rPr>
        <w:t xml:space="preserve"> </w:t>
      </w:r>
      <w:r w:rsidRPr="004371D9">
        <w:rPr>
          <w:rFonts w:ascii="Traditional Arabic" w:hAnsi="Traditional Arabic"/>
          <w:rtl/>
          <w:lang w:eastAsia="en-US"/>
        </w:rPr>
        <w:t xml:space="preserve">وقد ذكرنا عن ابن </w:t>
      </w:r>
      <w:r w:rsidRPr="004371D9">
        <w:rPr>
          <w:rFonts w:ascii="Traditional Arabic" w:hAnsi="Traditional Arabic"/>
          <w:rtl/>
          <w:lang w:eastAsia="en-US"/>
        </w:rPr>
        <w:lastRenderedPageBreak/>
        <w:t>عباس أنهم فضلوا على سائر الخلق غير طائفة من الملائكة</w:t>
      </w:r>
      <w:r w:rsidRPr="00A66CD8">
        <w:rPr>
          <w:rStyle w:val="ae"/>
          <w:rtl/>
        </w:rPr>
        <w:t>(</w:t>
      </w:r>
      <w:r>
        <w:rPr>
          <w:rStyle w:val="ae"/>
          <w:rtl/>
        </w:rPr>
        <w:footnoteReference w:id="395"/>
      </w:r>
      <w:r w:rsidRPr="00A66CD8">
        <w:rPr>
          <w:rStyle w:val="ae"/>
          <w:rtl/>
        </w:rPr>
        <w:t>)</w:t>
      </w:r>
      <w:r w:rsidRPr="004371D9">
        <w:rPr>
          <w:rFonts w:ascii="Traditional Arabic" w:hAnsi="Traditional Arabic"/>
          <w:rtl/>
          <w:lang w:eastAsia="en-US"/>
        </w:rPr>
        <w:t>. وقال غيره: بل الملائكة أفضل</w:t>
      </w:r>
      <w:r w:rsidRPr="00A66CD8">
        <w:rPr>
          <w:rStyle w:val="ae"/>
          <w:rtl/>
        </w:rPr>
        <w:t>(</w:t>
      </w:r>
      <w:r>
        <w:rPr>
          <w:rStyle w:val="ae"/>
          <w:rtl/>
        </w:rPr>
        <w:footnoteReference w:id="396"/>
      </w:r>
      <w:r w:rsidRPr="00A66CD8">
        <w:rPr>
          <w:rStyle w:val="ae"/>
          <w:rtl/>
        </w:rPr>
        <w:t>)</w:t>
      </w:r>
      <w:r w:rsidRPr="004371D9">
        <w:rPr>
          <w:rFonts w:ascii="Traditional Arabic" w:hAnsi="Traditional Arabic"/>
          <w:rtl/>
          <w:lang w:eastAsia="en-US"/>
        </w:rPr>
        <w:t>. والثاني: أن معناه:</w:t>
      </w:r>
      <w:r>
        <w:rPr>
          <w:rFonts w:ascii="Traditional Arabic" w:hAnsi="Traditional Arabic" w:hint="cs"/>
          <w:color w:val="0D0D0D" w:themeColor="text1" w:themeTint="F2"/>
          <w:rtl/>
          <w:lang w:eastAsia="en-US"/>
        </w:rPr>
        <w:t xml:space="preserve"> </w:t>
      </w:r>
      <w:r w:rsidRPr="004371D9">
        <w:rPr>
          <w:rFonts w:ascii="Traditional Arabic" w:hAnsi="Traditional Arabic"/>
          <w:rtl/>
          <w:lang w:eastAsia="en-US"/>
        </w:rPr>
        <w:t xml:space="preserve">وفضَّلناهم على جميع مَنْ </w:t>
      </w:r>
      <w:r>
        <w:rPr>
          <w:rFonts w:ascii="Traditional Arabic" w:hAnsi="Traditional Arabic"/>
          <w:rtl/>
          <w:lang w:eastAsia="en-US"/>
        </w:rPr>
        <w:t>خلقنا</w:t>
      </w:r>
      <w:r>
        <w:rPr>
          <w:rFonts w:ascii="Traditional Arabic" w:hAnsi="Traditional Arabic" w:hint="cs"/>
          <w:rtl/>
          <w:lang w:eastAsia="en-US"/>
        </w:rPr>
        <w:t>,</w:t>
      </w:r>
      <w:r w:rsidRPr="004371D9">
        <w:rPr>
          <w:rFonts w:ascii="Traditional Arabic" w:hAnsi="Traditional Arabic"/>
          <w:rtl/>
          <w:lang w:eastAsia="en-US"/>
        </w:rPr>
        <w:t xml:space="preserve"> والعرب</w:t>
      </w:r>
      <w:r w:rsidR="00EF05B8">
        <w:rPr>
          <w:rFonts w:ascii="Traditional Arabic" w:hAnsi="Traditional Arabic" w:hint="cs"/>
          <w:rtl/>
          <w:lang w:eastAsia="en-US"/>
        </w:rPr>
        <w:t xml:space="preserve"> [</w:t>
      </w:r>
      <w:r w:rsidR="00215263">
        <w:rPr>
          <w:rFonts w:ascii="Traditional Arabic" w:hAnsi="Traditional Arabic" w:hint="cs"/>
          <w:rtl/>
          <w:lang w:eastAsia="en-US"/>
        </w:rPr>
        <w:t>قد</w:t>
      </w:r>
      <w:r w:rsidR="00EF05B8">
        <w:rPr>
          <w:rFonts w:ascii="Traditional Arabic" w:hAnsi="Traditional Arabic" w:hint="cs"/>
          <w:rtl/>
          <w:lang w:eastAsia="en-US"/>
        </w:rPr>
        <w:t>]</w:t>
      </w:r>
      <w:r w:rsidR="00215263" w:rsidRPr="00215263">
        <w:rPr>
          <w:rStyle w:val="ae"/>
          <w:rtl/>
        </w:rPr>
        <w:t>(</w:t>
      </w:r>
      <w:r w:rsidR="00215263">
        <w:rPr>
          <w:rStyle w:val="ae"/>
          <w:rtl/>
        </w:rPr>
        <w:footnoteReference w:id="397"/>
      </w:r>
      <w:r w:rsidR="00215263" w:rsidRPr="00215263">
        <w:rPr>
          <w:rStyle w:val="ae"/>
          <w:rtl/>
        </w:rPr>
        <w:t>)</w:t>
      </w:r>
      <w:r w:rsidRPr="004371D9">
        <w:rPr>
          <w:rFonts w:ascii="Traditional Arabic" w:hAnsi="Traditional Arabic"/>
          <w:rtl/>
          <w:lang w:eastAsia="en-US"/>
        </w:rPr>
        <w:t>تضع الأكثر والكثير في موضع الجمع</w:t>
      </w:r>
      <w:r w:rsidRPr="00181C7D">
        <w:rPr>
          <w:rStyle w:val="ae"/>
          <w:rtl/>
        </w:rPr>
        <w:t>(</w:t>
      </w:r>
      <w:r>
        <w:rPr>
          <w:rStyle w:val="ae"/>
          <w:rtl/>
        </w:rPr>
        <w:footnoteReference w:id="398"/>
      </w:r>
      <w:r w:rsidRPr="00181C7D">
        <w:rPr>
          <w:rStyle w:val="ae"/>
          <w:rtl/>
        </w:rPr>
        <w:t>)</w:t>
      </w:r>
      <w:r w:rsidRPr="004371D9">
        <w:rPr>
          <w:rFonts w:ascii="Traditional Arabic" w:hAnsi="Traditional Arabic"/>
          <w:rtl/>
          <w:lang w:eastAsia="en-US"/>
        </w:rPr>
        <w:t>، كقوله تعالى</w:t>
      </w:r>
      <w:r w:rsidRPr="00835791">
        <w:rPr>
          <w:rFonts w:ascii="Traditional Arabic" w:hAnsi="Traditional Arabic"/>
          <w:sz w:val="28"/>
          <w:szCs w:val="28"/>
          <w:rtl/>
          <w:lang w:eastAsia="en-US"/>
        </w:rPr>
        <w:t>:</w:t>
      </w:r>
      <w:r w:rsidRPr="00835791">
        <w:rPr>
          <w:rFonts w:ascii="QCF_BSML" w:hAnsi="QCF_BSML" w:cs="QCF_BSML"/>
          <w:sz w:val="28"/>
          <w:szCs w:val="28"/>
          <w:rtl/>
          <w:lang w:eastAsia="en-US"/>
        </w:rPr>
        <w:t xml:space="preserve"> </w:t>
      </w:r>
      <w:r w:rsidR="00E8073C">
        <w:rPr>
          <w:rFonts w:ascii="QCF_BSML" w:hAnsi="QCF_BSML" w:cs="QCF_BSML" w:hint="cs"/>
          <w:sz w:val="28"/>
          <w:szCs w:val="28"/>
          <w:rtl/>
          <w:lang w:eastAsia="en-US"/>
        </w:rPr>
        <w:t xml:space="preserve"> </w:t>
      </w:r>
      <w:r w:rsidRPr="00211F68">
        <w:rPr>
          <w:rFonts w:ascii="QCF_BSML" w:hAnsi="QCF_BSML" w:cs="QCF_BSML"/>
          <w:sz w:val="32"/>
          <w:szCs w:val="32"/>
          <w:rtl/>
          <w:lang w:eastAsia="en-US"/>
        </w:rPr>
        <w:t xml:space="preserve">ﭽ </w:t>
      </w:r>
      <w:r w:rsidRPr="00211F68">
        <w:rPr>
          <w:rFonts w:ascii="QCF_P376" w:hAnsi="QCF_P376" w:cs="QCF_P376"/>
          <w:sz w:val="32"/>
          <w:szCs w:val="32"/>
          <w:rtl/>
          <w:lang w:eastAsia="en-US"/>
        </w:rPr>
        <w:t>ﯓ  ﯔ  ﯕ  ﯖ</w:t>
      </w:r>
      <w:r w:rsidRPr="00211F68">
        <w:rPr>
          <w:rFonts w:ascii="QCF_BSML" w:hAnsi="QCF_BSML" w:cs="QCF_BSML"/>
          <w:sz w:val="32"/>
          <w:szCs w:val="32"/>
          <w:rtl/>
          <w:lang w:eastAsia="en-US"/>
        </w:rPr>
        <w:t>ﭼ</w:t>
      </w:r>
      <w:r w:rsidRPr="00B07E03">
        <w:rPr>
          <w:rFonts w:ascii="Arial" w:hAnsi="Arial" w:cs="Arial" w:hint="cs"/>
          <w:color w:val="0D0D0D" w:themeColor="text1" w:themeTint="F2"/>
          <w:sz w:val="28"/>
          <w:szCs w:val="28"/>
          <w:rtl/>
          <w:lang w:eastAsia="en-US"/>
        </w:rPr>
        <w:t>[</w:t>
      </w:r>
      <w:r w:rsidRPr="00B07E03">
        <w:rPr>
          <w:rFonts w:ascii="Traditional Arabic" w:hAnsi="Traditional Arabic"/>
          <w:color w:val="0D0D0D" w:themeColor="text1" w:themeTint="F2"/>
          <w:sz w:val="28"/>
          <w:szCs w:val="28"/>
          <w:rtl/>
          <w:lang w:eastAsia="en-US"/>
        </w:rPr>
        <w:t>سورة</w:t>
      </w:r>
      <w:r w:rsidRPr="00B07E03">
        <w:rPr>
          <w:rFonts w:ascii="Traditional Arabic" w:hAnsi="Traditional Arabic"/>
          <w:color w:val="0D0D0D" w:themeColor="text1" w:themeTint="F2"/>
          <w:rtl/>
          <w:lang w:eastAsia="en-US"/>
        </w:rPr>
        <w:t xml:space="preserve"> </w:t>
      </w:r>
      <w:r w:rsidR="005A3917">
        <w:rPr>
          <w:rFonts w:ascii="Traditional Arabic" w:hAnsi="Traditional Arabic" w:hint="cs"/>
          <w:color w:val="0D0D0D" w:themeColor="text1" w:themeTint="F2"/>
          <w:sz w:val="28"/>
          <w:szCs w:val="28"/>
          <w:rtl/>
          <w:lang w:eastAsia="en-US"/>
        </w:rPr>
        <w:t>الشعراء</w:t>
      </w:r>
      <w:r w:rsidRPr="00B07E03">
        <w:rPr>
          <w:rFonts w:ascii="Traditional Arabic" w:hAnsi="Traditional Arabic"/>
          <w:color w:val="0D0D0D" w:themeColor="text1" w:themeTint="F2"/>
          <w:sz w:val="28"/>
          <w:szCs w:val="28"/>
          <w:rtl/>
          <w:lang w:eastAsia="en-US"/>
        </w:rPr>
        <w:t>:</w:t>
      </w:r>
      <w:r>
        <w:rPr>
          <w:rFonts w:ascii="Traditional Arabic" w:hAnsi="Traditional Arabic" w:hint="cs"/>
          <w:color w:val="0D0D0D" w:themeColor="text1" w:themeTint="F2"/>
          <w:sz w:val="28"/>
          <w:szCs w:val="28"/>
          <w:rtl/>
          <w:lang w:eastAsia="en-US"/>
        </w:rPr>
        <w:t xml:space="preserve"> 223</w:t>
      </w:r>
      <w:r w:rsidRPr="00B07E03">
        <w:rPr>
          <w:rFonts w:ascii="Arial" w:hAnsi="Arial" w:cs="Arial" w:hint="cs"/>
          <w:color w:val="0D0D0D" w:themeColor="text1" w:themeTint="F2"/>
          <w:sz w:val="28"/>
          <w:szCs w:val="28"/>
          <w:rtl/>
          <w:lang w:eastAsia="en-US"/>
        </w:rPr>
        <w:t>]</w:t>
      </w:r>
      <w:r>
        <w:rPr>
          <w:rFonts w:ascii="Traditional Arabic" w:hAnsi="Traditional Arabic" w:hint="cs"/>
          <w:sz w:val="32"/>
          <w:szCs w:val="32"/>
          <w:rtl/>
          <w:lang w:eastAsia="en-US"/>
        </w:rPr>
        <w:t>,</w:t>
      </w:r>
      <w:r w:rsidRPr="00181C7D">
        <w:rPr>
          <w:rFonts w:ascii="Traditional Arabic" w:hAnsi="Traditional Arabic"/>
          <w:color w:val="auto"/>
          <w:rtl/>
          <w:lang w:eastAsia="en-US"/>
        </w:rPr>
        <w:t xml:space="preserve"> وقد روى أبو هريرة</w:t>
      </w:r>
      <w:r w:rsidRPr="00001AC8">
        <w:rPr>
          <w:rStyle w:val="ae"/>
          <w:rtl/>
        </w:rPr>
        <w:t>(</w:t>
      </w:r>
      <w:r>
        <w:rPr>
          <w:rStyle w:val="ae"/>
          <w:rtl/>
        </w:rPr>
        <w:footnoteReference w:id="399"/>
      </w:r>
      <w:r w:rsidRPr="00001AC8">
        <w:rPr>
          <w:rStyle w:val="ae"/>
          <w:rtl/>
        </w:rPr>
        <w:t>)</w:t>
      </w:r>
      <w:r w:rsidRPr="00181C7D">
        <w:rPr>
          <w:rFonts w:ascii="Traditional Arabic" w:hAnsi="Traditional Arabic"/>
          <w:color w:val="auto"/>
          <w:rtl/>
          <w:lang w:eastAsia="en-US"/>
        </w:rPr>
        <w:t xml:space="preserve">عن رسول الله </w:t>
      </w:r>
      <w:r w:rsidR="005D504B">
        <w:rPr>
          <w:rFonts w:ascii="Traditional Arabic" w:hAnsi="Traditional Arabic"/>
          <w:color w:val="auto"/>
          <w:lang w:eastAsia="en-US"/>
        </w:rPr>
        <w:t xml:space="preserve"> </w:t>
      </w:r>
      <w:r w:rsidR="005D504B">
        <w:rPr>
          <w:rFonts w:ascii="Traditional Arabic" w:hAnsi="Traditional Arabic"/>
          <w:color w:val="auto"/>
          <w:lang w:eastAsia="en-US"/>
        </w:rPr>
        <w:sym w:font="AGA Arabesque" w:char="F072"/>
      </w:r>
      <w:r w:rsidRPr="00181C7D">
        <w:rPr>
          <w:rFonts w:ascii="Traditional Arabic" w:hAnsi="Traditional Arabic"/>
          <w:color w:val="auto"/>
          <w:rtl/>
          <w:lang w:eastAsia="en-US"/>
        </w:rPr>
        <w:t xml:space="preserve">أنه قال: «المؤمن أكرم </w:t>
      </w:r>
      <w:r w:rsidR="005D504B">
        <w:rPr>
          <w:rFonts w:ascii="Traditional Arabic" w:hAnsi="Traditional Arabic"/>
          <w:color w:val="auto"/>
          <w:rtl/>
          <w:lang w:eastAsia="en-US"/>
        </w:rPr>
        <w:t xml:space="preserve"> </w:t>
      </w:r>
      <w:r w:rsidRPr="00181C7D">
        <w:rPr>
          <w:rFonts w:ascii="Traditional Arabic" w:hAnsi="Traditional Arabic"/>
          <w:color w:val="auto"/>
          <w:rtl/>
          <w:lang w:eastAsia="en-US"/>
        </w:rPr>
        <w:t>على الله ع</w:t>
      </w:r>
      <w:r>
        <w:rPr>
          <w:rFonts w:ascii="Traditional Arabic" w:hAnsi="Traditional Arabic"/>
          <w:color w:val="auto"/>
          <w:rtl/>
          <w:lang w:eastAsia="en-US"/>
        </w:rPr>
        <w:t>زّ وجلّ من الملائكة الذين عنده»</w:t>
      </w:r>
      <w:r w:rsidRPr="00181C7D">
        <w:rPr>
          <w:rFonts w:ascii="Traditional Arabic" w:hAnsi="Traditional Arabic"/>
          <w:color w:val="auto"/>
          <w:rtl/>
          <w:lang w:eastAsia="en-US"/>
        </w:rPr>
        <w:t>.</w:t>
      </w:r>
      <w:r w:rsidRPr="00001AC8">
        <w:rPr>
          <w:rStyle w:val="ae"/>
          <w:rtl/>
        </w:rPr>
        <w:t>(</w:t>
      </w:r>
      <w:r>
        <w:rPr>
          <w:rStyle w:val="ae"/>
          <w:rtl/>
        </w:rPr>
        <w:footnoteReference w:id="400"/>
      </w:r>
      <w:r w:rsidRPr="00001AC8">
        <w:rPr>
          <w:rStyle w:val="ae"/>
          <w:rtl/>
        </w:rPr>
        <w:t>)</w:t>
      </w:r>
    </w:p>
    <w:p w:rsidR="004D2F16" w:rsidRDefault="00C36615" w:rsidP="00C94522">
      <w:pPr>
        <w:widowControl/>
        <w:autoSpaceDE w:val="0"/>
        <w:autoSpaceDN w:val="0"/>
        <w:adjustRightInd w:val="0"/>
        <w:ind w:firstLine="0"/>
        <w:rPr>
          <w:rFonts w:ascii="Traditional Arabic" w:hAnsi="Traditional Arabic"/>
          <w:color w:val="auto"/>
          <w:rtl/>
          <w:lang w:eastAsia="en-US"/>
        </w:rPr>
      </w:pPr>
      <w:r w:rsidRPr="005A3917">
        <w:rPr>
          <w:rFonts w:ascii="QCF_BSML" w:hAnsi="QCF_BSML" w:cs="QCF_BSML"/>
          <w:color w:val="auto"/>
          <w:sz w:val="32"/>
          <w:szCs w:val="32"/>
          <w:rtl/>
          <w:lang w:eastAsia="en-US"/>
        </w:rPr>
        <w:t>ﭽ</w:t>
      </w:r>
      <w:r w:rsidRPr="005A3917">
        <w:rPr>
          <w:rFonts w:ascii="QCF_P289" w:hAnsi="QCF_P289" w:cs="QCF_P289"/>
          <w:color w:val="auto"/>
          <w:sz w:val="32"/>
          <w:szCs w:val="32"/>
          <w:rtl/>
          <w:lang w:eastAsia="en-US"/>
        </w:rPr>
        <w:t xml:space="preserve">ﮡ  ﮢ  ﮣ  ﮤ   ﮥﮦ  ﮧ  ﮨ  ﮩ  ﮪ    ﮫ  ﮬ   ﮭ  ﮮ  ﮯ  ﮰ  ﮱ  ﯓ  ﯔ      ﯕ  ﯖ   ﯗ  ﯘ  ﯙ  ﯚ  ﯛ  ﯜ    ﯝ  ﯞ  </w:t>
      </w:r>
      <w:r w:rsidRPr="005A3917">
        <w:rPr>
          <w:rFonts w:ascii="QCF_BSML" w:hAnsi="QCF_BSML" w:cs="QCF_BSML"/>
          <w:color w:val="auto"/>
          <w:sz w:val="32"/>
          <w:szCs w:val="32"/>
          <w:rtl/>
          <w:lang w:eastAsia="en-US"/>
        </w:rPr>
        <w:t>ﭼ</w:t>
      </w:r>
      <w:r w:rsidRPr="005A3917">
        <w:rPr>
          <w:rFonts w:ascii="Arial" w:hAnsi="Arial" w:cs="Arial"/>
          <w:color w:val="auto"/>
          <w:sz w:val="18"/>
          <w:szCs w:val="18"/>
          <w:rtl/>
          <w:lang w:eastAsia="en-US"/>
        </w:rPr>
        <w:t xml:space="preserve"> </w:t>
      </w:r>
      <w:r w:rsidRPr="005A3917">
        <w:rPr>
          <w:rFonts w:ascii="QCF_BSML" w:hAnsi="QCF_BSML" w:cs="QCF_BSML" w:hint="cs"/>
          <w:color w:val="auto"/>
          <w:sz w:val="32"/>
          <w:szCs w:val="32"/>
          <w:rtl/>
          <w:lang w:eastAsia="en-US"/>
        </w:rPr>
        <w:t xml:space="preserve">  </w:t>
      </w:r>
      <w:r w:rsidRPr="005A3917">
        <w:rPr>
          <w:rFonts w:ascii="Traditional Arabic" w:hAnsi="Traditional Arabic" w:hint="cs"/>
          <w:color w:val="auto"/>
          <w:sz w:val="32"/>
          <w:szCs w:val="32"/>
          <w:rtl/>
          <w:lang w:eastAsia="en-US"/>
        </w:rPr>
        <w:t xml:space="preserve"> </w:t>
      </w:r>
    </w:p>
    <w:p w:rsidR="00794EC0" w:rsidRDefault="00C36615" w:rsidP="00156316">
      <w:pPr>
        <w:widowControl/>
        <w:autoSpaceDE w:val="0"/>
        <w:autoSpaceDN w:val="0"/>
        <w:adjustRightInd w:val="0"/>
        <w:ind w:firstLine="0"/>
        <w:rPr>
          <w:rFonts w:ascii="Traditional Arabic" w:hAnsi="Traditional Arabic"/>
          <w:color w:val="auto"/>
          <w:rtl/>
          <w:lang w:eastAsia="en-US"/>
        </w:rPr>
      </w:pPr>
      <w:r w:rsidRPr="005A3917">
        <w:rPr>
          <w:rFonts w:ascii="Traditional Arabic" w:hAnsi="Traditional Arabic"/>
          <w:color w:val="auto"/>
          <w:rtl/>
          <w:lang w:eastAsia="en-US"/>
        </w:rPr>
        <w:t xml:space="preserve">قوله تعالى: </w:t>
      </w:r>
      <w:r w:rsidRPr="00211F68">
        <w:rPr>
          <w:rFonts w:ascii="QCF_BSML" w:hAnsi="QCF_BSML" w:cs="QCF_BSML"/>
          <w:color w:val="auto"/>
          <w:sz w:val="32"/>
          <w:szCs w:val="32"/>
          <w:rtl/>
          <w:lang w:eastAsia="en-US"/>
        </w:rPr>
        <w:t xml:space="preserve">ﭽ </w:t>
      </w:r>
      <w:r w:rsidRPr="00211F68">
        <w:rPr>
          <w:rFonts w:ascii="QCF_P289" w:hAnsi="QCF_P289" w:cs="QCF_P289"/>
          <w:color w:val="auto"/>
          <w:sz w:val="32"/>
          <w:szCs w:val="32"/>
          <w:rtl/>
          <w:lang w:eastAsia="en-US"/>
        </w:rPr>
        <w:t xml:space="preserve">ﮡ  ﮢ  </w:t>
      </w:r>
      <w:r w:rsidRPr="00211F68">
        <w:rPr>
          <w:rFonts w:ascii="QCF_BSML" w:hAnsi="QCF_BSML" w:cs="QCF_BSML"/>
          <w:color w:val="auto"/>
          <w:sz w:val="32"/>
          <w:szCs w:val="32"/>
          <w:rtl/>
          <w:lang w:eastAsia="en-US"/>
        </w:rPr>
        <w:t>ﭼ</w:t>
      </w:r>
      <w:r w:rsidRPr="005A3917">
        <w:rPr>
          <w:rFonts w:ascii="QCF_BSML" w:hAnsi="QCF_BSML" w:cs="QCF_BSML" w:hint="cs"/>
          <w:color w:val="auto"/>
          <w:sz w:val="32"/>
          <w:szCs w:val="32"/>
          <w:rtl/>
          <w:lang w:eastAsia="en-US"/>
        </w:rPr>
        <w:t xml:space="preserve"> </w:t>
      </w:r>
      <w:r w:rsidRPr="005A3917">
        <w:rPr>
          <w:rFonts w:ascii="QCF_P289" w:hAnsi="QCF_P289" w:cs="QCF_P289" w:hint="cs"/>
          <w:color w:val="auto"/>
          <w:sz w:val="32"/>
          <w:szCs w:val="32"/>
          <w:rtl/>
          <w:lang w:eastAsia="en-US"/>
        </w:rPr>
        <w:t xml:space="preserve"> </w:t>
      </w:r>
      <w:r w:rsidRPr="005A3917">
        <w:rPr>
          <w:rFonts w:ascii="QCF_P289" w:hAnsi="QCF_P289" w:cs="QCF_P289"/>
          <w:color w:val="auto"/>
          <w:sz w:val="32"/>
          <w:szCs w:val="32"/>
          <w:rtl/>
          <w:lang w:eastAsia="en-US"/>
        </w:rPr>
        <w:t xml:space="preserve">  </w:t>
      </w:r>
      <w:r w:rsidRPr="00181C7D">
        <w:rPr>
          <w:rFonts w:ascii="Traditional Arabic" w:hAnsi="Traditional Arabic"/>
          <w:color w:val="auto"/>
          <w:rtl/>
          <w:lang w:eastAsia="en-US"/>
        </w:rPr>
        <w:t>قال الزجاج: هو منصوب على معنى: «</w:t>
      </w:r>
      <w:r w:rsidR="005D504B">
        <w:rPr>
          <w:rFonts w:ascii="Traditional Arabic" w:hAnsi="Traditional Arabic"/>
          <w:color w:val="auto"/>
          <w:rtl/>
          <w:lang w:eastAsia="en-US"/>
        </w:rPr>
        <w:t>اذكر يوم ندعو كل أُناس بإمامهم»</w:t>
      </w:r>
      <w:r w:rsidRPr="00181C7D">
        <w:rPr>
          <w:rFonts w:ascii="Traditional Arabic" w:hAnsi="Traditional Arabic"/>
          <w:color w:val="auto"/>
          <w:rtl/>
          <w:lang w:eastAsia="en-US"/>
        </w:rPr>
        <w:t>. والمراد به: يوم القيامة</w:t>
      </w:r>
      <w:r w:rsidRPr="002C6430">
        <w:rPr>
          <w:rStyle w:val="ae"/>
          <w:rtl/>
        </w:rPr>
        <w:t>(</w:t>
      </w:r>
      <w:r>
        <w:rPr>
          <w:rStyle w:val="ae"/>
          <w:rtl/>
        </w:rPr>
        <w:footnoteReference w:id="401"/>
      </w:r>
      <w:r w:rsidRPr="002C6430">
        <w:rPr>
          <w:rStyle w:val="ae"/>
          <w:rtl/>
        </w:rPr>
        <w:t>)</w:t>
      </w:r>
      <w:r w:rsidRPr="00181C7D">
        <w:rPr>
          <w:rFonts w:ascii="Traditional Arabic" w:hAnsi="Traditional Arabic"/>
          <w:color w:val="auto"/>
          <w:rtl/>
          <w:lang w:eastAsia="en-US"/>
        </w:rPr>
        <w:t xml:space="preserve">. </w:t>
      </w:r>
      <w:r w:rsidR="005D504B">
        <w:rPr>
          <w:rFonts w:ascii="Traditional Arabic" w:hAnsi="Traditional Arabic"/>
          <w:color w:val="auto"/>
          <w:rtl/>
          <w:lang w:eastAsia="en-US"/>
        </w:rPr>
        <w:t>وقرأ الحسن البصري: "</w:t>
      </w:r>
      <w:r w:rsidRPr="003251EE">
        <w:rPr>
          <w:rFonts w:ascii="Traditional Arabic" w:hAnsi="Traditional Arabic"/>
          <w:color w:val="auto"/>
          <w:rtl/>
          <w:lang w:eastAsia="en-US"/>
        </w:rPr>
        <w:t>يوم يدعو" بالياء "كلَّ " بالنصب</w:t>
      </w:r>
      <w:r w:rsidRPr="003251EE">
        <w:rPr>
          <w:rStyle w:val="ae"/>
          <w:rFonts w:ascii="Traditional Arabic" w:hAnsi="Traditional Arabic"/>
          <w:rtl/>
        </w:rPr>
        <w:t>(</w:t>
      </w:r>
      <w:r w:rsidRPr="003251EE">
        <w:rPr>
          <w:rStyle w:val="ae"/>
          <w:rFonts w:ascii="Traditional Arabic" w:hAnsi="Traditional Arabic"/>
          <w:rtl/>
        </w:rPr>
        <w:footnoteReference w:id="402"/>
      </w:r>
      <w:r w:rsidRPr="003251EE">
        <w:rPr>
          <w:rStyle w:val="ae"/>
          <w:rFonts w:ascii="Traditional Arabic" w:hAnsi="Traditional Arabic"/>
          <w:rtl/>
        </w:rPr>
        <w:t>)</w:t>
      </w:r>
      <w:r w:rsidRPr="003251EE">
        <w:rPr>
          <w:rFonts w:ascii="Traditional Arabic" w:hAnsi="Traditional Arabic"/>
          <w:color w:val="auto"/>
          <w:rtl/>
          <w:lang w:eastAsia="en-US"/>
        </w:rPr>
        <w:t xml:space="preserve">. </w:t>
      </w:r>
    </w:p>
    <w:p w:rsidR="00113DC3" w:rsidRDefault="00C36615" w:rsidP="00113DC3">
      <w:pPr>
        <w:widowControl/>
        <w:autoSpaceDE w:val="0"/>
        <w:autoSpaceDN w:val="0"/>
        <w:adjustRightInd w:val="0"/>
        <w:ind w:firstLine="0"/>
        <w:rPr>
          <w:rFonts w:ascii="Traditional Arabic" w:hAnsi="Traditional Arabic"/>
          <w:rtl/>
          <w:lang w:eastAsia="en-US"/>
        </w:rPr>
      </w:pPr>
      <w:r w:rsidRPr="003251EE">
        <w:rPr>
          <w:rFonts w:ascii="Traditional Arabic" w:hAnsi="Traditional Arabic"/>
          <w:color w:val="auto"/>
          <w:rtl/>
          <w:lang w:eastAsia="en-US"/>
        </w:rPr>
        <w:lastRenderedPageBreak/>
        <w:t>وقرأ أبو عمران الجوني</w:t>
      </w:r>
      <w:r w:rsidRPr="003251EE">
        <w:rPr>
          <w:rStyle w:val="ae"/>
          <w:rFonts w:ascii="Traditional Arabic" w:hAnsi="Traditional Arabic"/>
          <w:rtl/>
        </w:rPr>
        <w:t>(</w:t>
      </w:r>
      <w:r w:rsidRPr="003251EE">
        <w:rPr>
          <w:rStyle w:val="ae"/>
          <w:rFonts w:ascii="Traditional Arabic" w:hAnsi="Traditional Arabic"/>
          <w:rtl/>
        </w:rPr>
        <w:footnoteReference w:id="403"/>
      </w:r>
      <w:r w:rsidRPr="003251EE">
        <w:rPr>
          <w:rStyle w:val="ae"/>
          <w:rFonts w:ascii="Traditional Arabic" w:hAnsi="Traditional Arabic"/>
          <w:rtl/>
        </w:rPr>
        <w:t>)</w:t>
      </w:r>
      <w:r w:rsidRPr="003251EE">
        <w:rPr>
          <w:rFonts w:ascii="Traditional Arabic" w:hAnsi="Traditional Arabic"/>
          <w:color w:val="auto"/>
          <w:rtl/>
          <w:lang w:eastAsia="en-US"/>
        </w:rPr>
        <w:t xml:space="preserve">: </w:t>
      </w:r>
      <w:r>
        <w:rPr>
          <w:rFonts w:ascii="Traditional Arabic" w:hAnsi="Traditional Arabic" w:hint="cs"/>
          <w:color w:val="auto"/>
          <w:rtl/>
          <w:lang w:eastAsia="en-US"/>
        </w:rPr>
        <w:t>"</w:t>
      </w:r>
      <w:r w:rsidRPr="003251EE">
        <w:rPr>
          <w:rFonts w:ascii="Traditional Arabic" w:hAnsi="Traditional Arabic"/>
          <w:color w:val="auto"/>
          <w:rtl/>
          <w:lang w:eastAsia="en-US"/>
        </w:rPr>
        <w:t>يوم يُدعى</w:t>
      </w:r>
      <w:r>
        <w:rPr>
          <w:rFonts w:ascii="Traditional Arabic" w:hAnsi="Traditional Arabic" w:hint="cs"/>
          <w:color w:val="auto"/>
          <w:rtl/>
          <w:lang w:eastAsia="en-US"/>
        </w:rPr>
        <w:t>"</w:t>
      </w:r>
      <w:r w:rsidRPr="003251EE">
        <w:rPr>
          <w:rFonts w:ascii="Traditional Arabic" w:hAnsi="Traditional Arabic"/>
          <w:color w:val="auto"/>
          <w:rtl/>
          <w:lang w:eastAsia="en-US"/>
        </w:rPr>
        <w:t xml:space="preserve"> بياء مرفوعة، وفتح العين، وبعدها ألف، </w:t>
      </w:r>
      <w:r w:rsidR="005D504B">
        <w:rPr>
          <w:rFonts w:ascii="Traditional Arabic" w:hAnsi="Traditional Arabic" w:hint="cs"/>
          <w:color w:val="auto"/>
          <w:rtl/>
          <w:lang w:eastAsia="en-US"/>
        </w:rPr>
        <w:t>"</w:t>
      </w:r>
      <w:r w:rsidRPr="003251EE">
        <w:rPr>
          <w:rFonts w:ascii="Traditional Arabic" w:hAnsi="Traditional Arabic"/>
          <w:color w:val="auto"/>
          <w:rtl/>
          <w:lang w:eastAsia="en-US"/>
        </w:rPr>
        <w:t>كلُّ</w:t>
      </w:r>
      <w:r>
        <w:rPr>
          <w:rFonts w:ascii="Traditional Arabic" w:hAnsi="Traditional Arabic" w:hint="cs"/>
          <w:color w:val="auto"/>
          <w:rtl/>
          <w:lang w:eastAsia="en-US"/>
        </w:rPr>
        <w:t>"</w:t>
      </w:r>
      <w:r w:rsidRPr="003251EE">
        <w:rPr>
          <w:rFonts w:ascii="Traditional Arabic" w:hAnsi="Traditional Arabic"/>
          <w:color w:val="auto"/>
          <w:rtl/>
          <w:lang w:eastAsia="en-US"/>
        </w:rPr>
        <w:t xml:space="preserve"> بالرفع</w:t>
      </w:r>
      <w:r w:rsidRPr="003251EE">
        <w:rPr>
          <w:rStyle w:val="ae"/>
          <w:rtl/>
        </w:rPr>
        <w:t>(</w:t>
      </w:r>
      <w:r>
        <w:rPr>
          <w:rStyle w:val="ae"/>
          <w:rtl/>
        </w:rPr>
        <w:footnoteReference w:id="404"/>
      </w:r>
      <w:r w:rsidRPr="003251EE">
        <w:rPr>
          <w:rStyle w:val="ae"/>
          <w:rtl/>
        </w:rPr>
        <w:t>)</w:t>
      </w:r>
      <w:r w:rsidRPr="003251EE">
        <w:rPr>
          <w:rFonts w:ascii="Traditional Arabic" w:hAnsi="Traditional Arabic"/>
          <w:color w:val="auto"/>
          <w:rtl/>
          <w:lang w:eastAsia="en-US"/>
        </w:rPr>
        <w:t>.</w:t>
      </w:r>
      <w:r>
        <w:rPr>
          <w:rFonts w:ascii="Traditional Arabic" w:hAnsi="Traditional Arabic" w:hint="cs"/>
          <w:color w:val="auto"/>
          <w:rtl/>
          <w:lang w:eastAsia="en-US"/>
        </w:rPr>
        <w:t xml:space="preserve"> </w:t>
      </w:r>
      <w:r>
        <w:rPr>
          <w:rFonts w:ascii="Traditional Arabic" w:hAnsi="Traditional Arabic"/>
          <w:color w:val="auto"/>
          <w:rtl/>
          <w:lang w:eastAsia="en-US"/>
        </w:rPr>
        <w:t xml:space="preserve">وفي المراد </w:t>
      </w:r>
      <w:r w:rsidRPr="00211F68">
        <w:rPr>
          <w:rFonts w:ascii="QCF_BSML" w:hAnsi="QCF_BSML" w:cs="QCF_BSML"/>
          <w:sz w:val="32"/>
          <w:szCs w:val="32"/>
          <w:rtl/>
          <w:lang w:eastAsia="en-US"/>
        </w:rPr>
        <w:t>ﭽ</w:t>
      </w:r>
      <w:r w:rsidRPr="00211F68">
        <w:rPr>
          <w:rFonts w:ascii="QCF_P289" w:hAnsi="QCF_P289" w:cs="QCF_P289"/>
          <w:sz w:val="32"/>
          <w:szCs w:val="32"/>
          <w:rtl/>
          <w:lang w:eastAsia="en-US"/>
        </w:rPr>
        <w:t xml:space="preserve"> </w:t>
      </w:r>
      <w:r w:rsidRPr="00211F68">
        <w:rPr>
          <w:rFonts w:ascii="QCF_P289" w:hAnsi="QCF_P289" w:cs="QCF_P289"/>
          <w:color w:val="auto"/>
          <w:sz w:val="32"/>
          <w:szCs w:val="32"/>
          <w:rtl/>
          <w:lang w:eastAsia="en-US"/>
        </w:rPr>
        <w:t>ﮥﮦ</w:t>
      </w:r>
      <w:r w:rsidRPr="00211F68">
        <w:rPr>
          <w:rFonts w:ascii="QCF_BSML" w:hAnsi="QCF_BSML" w:cs="QCF_BSML"/>
          <w:color w:val="auto"/>
          <w:sz w:val="32"/>
          <w:szCs w:val="32"/>
          <w:rtl/>
          <w:lang w:eastAsia="en-US"/>
        </w:rPr>
        <w:t xml:space="preserve"> </w:t>
      </w:r>
      <w:r w:rsidRPr="00211F68">
        <w:rPr>
          <w:rFonts w:ascii="QCF_BSML" w:hAnsi="QCF_BSML" w:cs="QCF_BSML"/>
          <w:sz w:val="32"/>
          <w:szCs w:val="32"/>
          <w:rtl/>
          <w:lang w:eastAsia="en-US"/>
        </w:rPr>
        <w:t>ﭼ</w:t>
      </w:r>
      <w:r>
        <w:rPr>
          <w:rFonts w:ascii="QCF_BSML" w:hAnsi="QCF_BSML" w:cs="QCF_BSML" w:hint="cs"/>
          <w:sz w:val="32"/>
          <w:szCs w:val="32"/>
          <w:rtl/>
          <w:lang w:eastAsia="en-US"/>
        </w:rPr>
        <w:t xml:space="preserve"> </w:t>
      </w:r>
      <w:r>
        <w:rPr>
          <w:rFonts w:ascii="QCF_P289" w:hAnsi="QCF_P289" w:cs="QCF_P289" w:hint="cs"/>
          <w:sz w:val="32"/>
          <w:szCs w:val="32"/>
          <w:rtl/>
          <w:lang w:eastAsia="en-US"/>
        </w:rPr>
        <w:t xml:space="preserve"> </w:t>
      </w:r>
      <w:r w:rsidRPr="00001AC8">
        <w:rPr>
          <w:rFonts w:ascii="QCF_P289" w:hAnsi="QCF_P289" w:cs="QCF_P289"/>
          <w:sz w:val="32"/>
          <w:szCs w:val="32"/>
          <w:rtl/>
          <w:lang w:eastAsia="en-US"/>
        </w:rPr>
        <w:t xml:space="preserve">  </w:t>
      </w:r>
      <w:r>
        <w:rPr>
          <w:rFonts w:ascii="Traditional Arabic" w:hAnsi="Traditional Arabic"/>
          <w:color w:val="auto"/>
          <w:rtl/>
          <w:lang w:eastAsia="en-US"/>
        </w:rPr>
        <w:t>أربعة أقوال</w:t>
      </w:r>
      <w:r w:rsidRPr="003251EE">
        <w:rPr>
          <w:rFonts w:ascii="Traditional Arabic" w:hAnsi="Traditional Arabic"/>
          <w:color w:val="auto"/>
          <w:rtl/>
          <w:lang w:eastAsia="en-US"/>
        </w:rPr>
        <w:t>: أحدها: أنه رئيسهم، قاله أبو</w:t>
      </w:r>
      <w:r w:rsidR="00156316">
        <w:rPr>
          <w:rFonts w:ascii="Traditional Arabic" w:hAnsi="Traditional Arabic" w:hint="cs"/>
          <w:color w:val="auto"/>
          <w:rtl/>
          <w:lang w:eastAsia="en-US"/>
        </w:rPr>
        <w:t xml:space="preserve"> </w:t>
      </w:r>
      <w:r w:rsidR="00156316">
        <w:rPr>
          <w:rFonts w:ascii="QCF_BSML" w:hAnsi="QCF_BSML" w:cs="QCF_BSML" w:hint="cs"/>
          <w:color w:val="0D0D0D" w:themeColor="text1" w:themeTint="F2"/>
          <w:sz w:val="32"/>
          <w:szCs w:val="32"/>
          <w:rtl/>
          <w:lang w:eastAsia="en-US"/>
        </w:rPr>
        <w:t xml:space="preserve"> </w:t>
      </w:r>
      <w:r w:rsidR="00156316" w:rsidRPr="001277AD">
        <w:rPr>
          <w:rFonts w:hint="cs"/>
          <w:color w:val="0D0D0D" w:themeColor="text1" w:themeTint="F2"/>
          <w:sz w:val="32"/>
          <w:szCs w:val="32"/>
          <w:rtl/>
        </w:rPr>
        <w:t>[</w:t>
      </w:r>
      <w:r w:rsidR="00156316">
        <w:rPr>
          <w:rFonts w:hint="cs"/>
          <w:color w:val="0D0D0D" w:themeColor="text1" w:themeTint="F2"/>
          <w:sz w:val="32"/>
          <w:szCs w:val="32"/>
          <w:rtl/>
        </w:rPr>
        <w:t>79</w:t>
      </w:r>
      <w:r w:rsidR="00156316" w:rsidRPr="001277AD">
        <w:rPr>
          <w:rFonts w:hint="cs"/>
          <w:color w:val="0D0D0D" w:themeColor="text1" w:themeTint="F2"/>
          <w:sz w:val="32"/>
          <w:szCs w:val="32"/>
          <w:rtl/>
        </w:rPr>
        <w:t>]</w:t>
      </w:r>
      <w:r w:rsidR="00156316" w:rsidRPr="001277AD">
        <w:rPr>
          <w:rFonts w:ascii="Traditional Arabic" w:hAnsi="Traditional Arabic"/>
          <w:color w:val="0D0D0D" w:themeColor="text1" w:themeTint="F2"/>
          <w:sz w:val="32"/>
          <w:szCs w:val="32"/>
          <w:rtl/>
          <w:lang w:eastAsia="en-US"/>
        </w:rPr>
        <w:t xml:space="preserve"> </w:t>
      </w:r>
      <w:r w:rsidRPr="003251EE">
        <w:rPr>
          <w:rFonts w:ascii="Traditional Arabic" w:hAnsi="Traditional Arabic"/>
          <w:color w:val="auto"/>
          <w:rtl/>
          <w:lang w:eastAsia="en-US"/>
        </w:rPr>
        <w:t>صالح عن</w:t>
      </w:r>
      <w:r w:rsidR="00211F68">
        <w:rPr>
          <w:rFonts w:ascii="Traditional Arabic" w:hAnsi="Traditional Arabic" w:hint="cs"/>
          <w:color w:val="auto"/>
          <w:rtl/>
          <w:lang w:eastAsia="en-US"/>
        </w:rPr>
        <w:t xml:space="preserve"> </w:t>
      </w:r>
      <w:r w:rsidRPr="003251EE">
        <w:rPr>
          <w:rFonts w:ascii="Traditional Arabic" w:hAnsi="Traditional Arabic"/>
          <w:color w:val="auto"/>
          <w:rtl/>
          <w:lang w:eastAsia="en-US"/>
        </w:rPr>
        <w:t>ابن عباس</w:t>
      </w:r>
      <w:r w:rsidRPr="007F0565">
        <w:rPr>
          <w:rStyle w:val="ae"/>
          <w:rtl/>
        </w:rPr>
        <w:t>(</w:t>
      </w:r>
      <w:r>
        <w:rPr>
          <w:rStyle w:val="ae"/>
          <w:rtl/>
        </w:rPr>
        <w:footnoteReference w:id="405"/>
      </w:r>
      <w:r w:rsidRPr="007F0565">
        <w:rPr>
          <w:rStyle w:val="ae"/>
          <w:rtl/>
        </w:rPr>
        <w:t>)</w:t>
      </w:r>
      <w:r w:rsidRPr="003251EE">
        <w:rPr>
          <w:rFonts w:ascii="Traditional Arabic" w:hAnsi="Traditional Arabic"/>
          <w:color w:val="auto"/>
          <w:rtl/>
          <w:lang w:eastAsia="en-US"/>
        </w:rPr>
        <w:t>، وروى عنه سعيد بن جبير أنه قال: إِمام هدى، أو إِمام ضلالة</w:t>
      </w:r>
      <w:r w:rsidRPr="007F0565">
        <w:rPr>
          <w:rStyle w:val="ae"/>
          <w:rtl/>
        </w:rPr>
        <w:t>(</w:t>
      </w:r>
      <w:r>
        <w:rPr>
          <w:rStyle w:val="ae"/>
          <w:rtl/>
        </w:rPr>
        <w:footnoteReference w:id="406"/>
      </w:r>
      <w:r w:rsidRPr="007F0565">
        <w:rPr>
          <w:rStyle w:val="ae"/>
          <w:rtl/>
        </w:rPr>
        <w:t>)</w:t>
      </w:r>
      <w:r w:rsidRPr="003251EE">
        <w:rPr>
          <w:rFonts w:ascii="Traditional Arabic" w:hAnsi="Traditional Arabic"/>
          <w:color w:val="auto"/>
          <w:rtl/>
          <w:lang w:eastAsia="en-US"/>
        </w:rPr>
        <w:t>.</w:t>
      </w:r>
      <w:r w:rsidR="005D504B">
        <w:rPr>
          <w:rFonts w:ascii="Traditional Arabic" w:hAnsi="Traditional Arabic" w:hint="cs"/>
          <w:color w:val="auto"/>
          <w:rtl/>
          <w:lang w:eastAsia="en-US"/>
        </w:rPr>
        <w:t xml:space="preserve"> </w:t>
      </w:r>
      <w:r w:rsidRPr="003251EE">
        <w:rPr>
          <w:rFonts w:ascii="Traditional Arabic" w:hAnsi="Traditional Arabic"/>
          <w:color w:val="auto"/>
          <w:rtl/>
          <w:lang w:eastAsia="en-US"/>
        </w:rPr>
        <w:t>والثاني:</w:t>
      </w:r>
      <w:r w:rsidR="00211F68">
        <w:rPr>
          <w:rFonts w:ascii="Traditional Arabic" w:hAnsi="Traditional Arabic" w:hint="cs"/>
          <w:color w:val="auto"/>
          <w:rtl/>
          <w:lang w:eastAsia="en-US"/>
        </w:rPr>
        <w:t xml:space="preserve"> </w:t>
      </w:r>
      <w:r w:rsidRPr="003251EE">
        <w:rPr>
          <w:rFonts w:ascii="Traditional Arabic" w:hAnsi="Traditional Arabic"/>
          <w:color w:val="auto"/>
          <w:rtl/>
          <w:lang w:eastAsia="en-US"/>
        </w:rPr>
        <w:t>عملُهم، رواه عطية عن ابن عباس</w:t>
      </w:r>
      <w:r w:rsidRPr="007F0565">
        <w:rPr>
          <w:rStyle w:val="ae"/>
          <w:rtl/>
        </w:rPr>
        <w:t>(</w:t>
      </w:r>
      <w:r>
        <w:rPr>
          <w:rStyle w:val="ae"/>
          <w:rtl/>
        </w:rPr>
        <w:footnoteReference w:id="407"/>
      </w:r>
      <w:r w:rsidRPr="007F0565">
        <w:rPr>
          <w:rStyle w:val="ae"/>
          <w:rtl/>
        </w:rPr>
        <w:t>)</w:t>
      </w:r>
      <w:r w:rsidRPr="003251EE">
        <w:rPr>
          <w:rFonts w:ascii="Traditional Arabic" w:hAnsi="Traditional Arabic"/>
          <w:color w:val="auto"/>
          <w:rtl/>
          <w:lang w:eastAsia="en-US"/>
        </w:rPr>
        <w:t xml:space="preserve">، وبه </w:t>
      </w:r>
      <w:r w:rsidRPr="003251EE">
        <w:rPr>
          <w:rFonts w:ascii="Traditional Arabic" w:hAnsi="Traditional Arabic"/>
          <w:rtl/>
          <w:lang w:eastAsia="en-US"/>
        </w:rPr>
        <w:t>قال الحسن</w:t>
      </w:r>
      <w:r w:rsidRPr="006A4310">
        <w:rPr>
          <w:rStyle w:val="ae"/>
          <w:rtl/>
        </w:rPr>
        <w:t>(</w:t>
      </w:r>
      <w:r>
        <w:rPr>
          <w:rStyle w:val="ae"/>
          <w:rtl/>
        </w:rPr>
        <w:footnoteReference w:id="408"/>
      </w:r>
      <w:r w:rsidRPr="006A4310">
        <w:rPr>
          <w:rStyle w:val="ae"/>
          <w:rtl/>
        </w:rPr>
        <w:t>)</w:t>
      </w:r>
      <w:r w:rsidRPr="003251EE">
        <w:rPr>
          <w:rFonts w:ascii="Traditional Arabic" w:hAnsi="Traditional Arabic"/>
          <w:rtl/>
          <w:lang w:eastAsia="en-US"/>
        </w:rPr>
        <w:t>، وأبو العالية</w:t>
      </w:r>
      <w:r w:rsidRPr="00FF5B28">
        <w:rPr>
          <w:rStyle w:val="ae"/>
          <w:rtl/>
        </w:rPr>
        <w:t>(</w:t>
      </w:r>
      <w:r>
        <w:rPr>
          <w:rStyle w:val="ae"/>
          <w:rtl/>
        </w:rPr>
        <w:footnoteReference w:id="409"/>
      </w:r>
      <w:r w:rsidRPr="00FF5B28">
        <w:rPr>
          <w:rStyle w:val="ae"/>
          <w:rtl/>
        </w:rPr>
        <w:t>)</w:t>
      </w:r>
      <w:r>
        <w:rPr>
          <w:rFonts w:ascii="Traditional Arabic" w:hAnsi="Traditional Arabic"/>
          <w:rtl/>
          <w:lang w:eastAsia="en-US"/>
        </w:rPr>
        <w:t>.</w:t>
      </w:r>
      <w:r w:rsidR="005D504B">
        <w:rPr>
          <w:rFonts w:ascii="Traditional Arabic" w:hAnsi="Traditional Arabic" w:hint="cs"/>
          <w:rtl/>
          <w:lang w:eastAsia="en-US"/>
        </w:rPr>
        <w:t xml:space="preserve"> </w:t>
      </w:r>
      <w:r w:rsidRPr="003251EE">
        <w:rPr>
          <w:rFonts w:ascii="Traditional Arabic" w:hAnsi="Traditional Arabic"/>
          <w:rtl/>
          <w:lang w:eastAsia="en-US"/>
        </w:rPr>
        <w:t>والثالث: نبيُّهم، قاله أنس بن</w:t>
      </w:r>
      <w:r>
        <w:rPr>
          <w:rFonts w:hint="cs"/>
          <w:rtl/>
        </w:rPr>
        <w:t xml:space="preserve"> </w:t>
      </w:r>
      <w:r w:rsidRPr="003251EE">
        <w:rPr>
          <w:rFonts w:ascii="Traditional Arabic" w:hAnsi="Traditional Arabic"/>
          <w:rtl/>
          <w:lang w:eastAsia="en-US"/>
        </w:rPr>
        <w:t>مالك</w:t>
      </w:r>
      <w:r w:rsidRPr="00BC62F0">
        <w:rPr>
          <w:rStyle w:val="ae"/>
          <w:rtl/>
        </w:rPr>
        <w:t>(</w:t>
      </w:r>
      <w:r>
        <w:rPr>
          <w:rStyle w:val="ae"/>
          <w:rtl/>
        </w:rPr>
        <w:footnoteReference w:id="410"/>
      </w:r>
      <w:r w:rsidRPr="00BC62F0">
        <w:rPr>
          <w:rStyle w:val="ae"/>
          <w:rtl/>
        </w:rPr>
        <w:t>)</w:t>
      </w:r>
      <w:r w:rsidRPr="003251EE">
        <w:rPr>
          <w:rFonts w:ascii="Traditional Arabic" w:hAnsi="Traditional Arabic"/>
          <w:rtl/>
          <w:lang w:eastAsia="en-US"/>
        </w:rPr>
        <w:t>، وسعيد بن جبير، وقتادة، ومجاهد في رواية</w:t>
      </w:r>
      <w:r w:rsidRPr="006A4310">
        <w:rPr>
          <w:rStyle w:val="ae"/>
          <w:rtl/>
        </w:rPr>
        <w:t>(</w:t>
      </w:r>
      <w:r>
        <w:rPr>
          <w:rStyle w:val="ae"/>
          <w:rtl/>
        </w:rPr>
        <w:footnoteReference w:id="411"/>
      </w:r>
      <w:r w:rsidRPr="006A4310">
        <w:rPr>
          <w:rStyle w:val="ae"/>
          <w:rtl/>
        </w:rPr>
        <w:t>)</w:t>
      </w:r>
      <w:r w:rsidRPr="003251EE">
        <w:rPr>
          <w:rFonts w:ascii="Traditional Arabic" w:hAnsi="Traditional Arabic"/>
          <w:rtl/>
          <w:lang w:eastAsia="en-US"/>
        </w:rPr>
        <w:t>. والرابع: كتابُهم، قاله عكرمة</w:t>
      </w:r>
      <w:r w:rsidR="00491975" w:rsidRPr="00491975">
        <w:rPr>
          <w:rStyle w:val="ae"/>
          <w:rtl/>
        </w:rPr>
        <w:t>(</w:t>
      </w:r>
      <w:r w:rsidR="00491975">
        <w:rPr>
          <w:rStyle w:val="ae"/>
          <w:rtl/>
        </w:rPr>
        <w:footnoteReference w:id="412"/>
      </w:r>
      <w:r w:rsidR="00491975" w:rsidRPr="00491975">
        <w:rPr>
          <w:rStyle w:val="ae"/>
          <w:rtl/>
        </w:rPr>
        <w:t>)</w:t>
      </w:r>
      <w:r w:rsidRPr="003251EE">
        <w:rPr>
          <w:rFonts w:ascii="Traditional Arabic" w:hAnsi="Traditional Arabic"/>
          <w:rtl/>
          <w:lang w:eastAsia="en-US"/>
        </w:rPr>
        <w:t>، ومجاهد في رواية</w:t>
      </w:r>
      <w:r w:rsidRPr="006A4310">
        <w:rPr>
          <w:rStyle w:val="ae"/>
          <w:rtl/>
        </w:rPr>
        <w:t>(</w:t>
      </w:r>
      <w:r>
        <w:rPr>
          <w:rStyle w:val="ae"/>
          <w:rtl/>
        </w:rPr>
        <w:footnoteReference w:id="413"/>
      </w:r>
      <w:r w:rsidRPr="006A4310">
        <w:rPr>
          <w:rStyle w:val="ae"/>
          <w:rtl/>
        </w:rPr>
        <w:t>)</w:t>
      </w:r>
      <w:r w:rsidRPr="003251EE">
        <w:rPr>
          <w:rFonts w:ascii="Traditional Arabic" w:hAnsi="Traditional Arabic"/>
          <w:rtl/>
          <w:lang w:eastAsia="en-US"/>
        </w:rPr>
        <w:t xml:space="preserve">. ثم فيه قولان: أحدهما: أنه كتابهم الذي فيه أعمالهم، قاله </w:t>
      </w:r>
    </w:p>
    <w:p w:rsidR="00C36615" w:rsidRDefault="00C36615" w:rsidP="00B20E9D">
      <w:pPr>
        <w:widowControl/>
        <w:autoSpaceDE w:val="0"/>
        <w:autoSpaceDN w:val="0"/>
        <w:adjustRightInd w:val="0"/>
        <w:ind w:firstLine="0"/>
        <w:rPr>
          <w:rFonts w:ascii="Traditional Arabic" w:hAnsi="Traditional Arabic"/>
          <w:rtl/>
          <w:lang w:eastAsia="en-US"/>
        </w:rPr>
      </w:pPr>
      <w:r w:rsidRPr="003251EE">
        <w:rPr>
          <w:rFonts w:ascii="Traditional Arabic" w:hAnsi="Traditional Arabic"/>
          <w:rtl/>
          <w:lang w:eastAsia="en-US"/>
        </w:rPr>
        <w:lastRenderedPageBreak/>
        <w:t>قتادة،</w:t>
      </w:r>
      <w:r w:rsidR="00211F68">
        <w:rPr>
          <w:rFonts w:ascii="Traditional Arabic" w:hAnsi="Traditional Arabic" w:hint="cs"/>
          <w:rtl/>
          <w:lang w:eastAsia="en-US"/>
        </w:rPr>
        <w:t xml:space="preserve"> </w:t>
      </w:r>
      <w:r w:rsidRPr="003251EE">
        <w:rPr>
          <w:rFonts w:ascii="Traditional Arabic" w:hAnsi="Traditional Arabic"/>
          <w:rtl/>
          <w:lang w:eastAsia="en-US"/>
        </w:rPr>
        <w:t>ومقاتل</w:t>
      </w:r>
      <w:r w:rsidRPr="006A4310">
        <w:rPr>
          <w:rStyle w:val="ae"/>
          <w:rtl/>
        </w:rPr>
        <w:t>(</w:t>
      </w:r>
      <w:r>
        <w:rPr>
          <w:rStyle w:val="ae"/>
          <w:rtl/>
        </w:rPr>
        <w:footnoteReference w:id="414"/>
      </w:r>
      <w:r w:rsidRPr="006A4310">
        <w:rPr>
          <w:rStyle w:val="ae"/>
          <w:rtl/>
        </w:rPr>
        <w:t>)</w:t>
      </w:r>
      <w:r w:rsidRPr="003251EE">
        <w:rPr>
          <w:rFonts w:ascii="Traditional Arabic" w:hAnsi="Traditional Arabic"/>
          <w:rtl/>
          <w:lang w:eastAsia="en-US"/>
        </w:rPr>
        <w:t>. والثاني: كتابهم الذي أُنزل عليهم، قاله الضحاك، وابن زيد</w:t>
      </w:r>
      <w:r w:rsidRPr="00E270A2">
        <w:rPr>
          <w:rStyle w:val="ae"/>
          <w:rtl/>
        </w:rPr>
        <w:t>(</w:t>
      </w:r>
      <w:r>
        <w:rPr>
          <w:rStyle w:val="ae"/>
          <w:rtl/>
        </w:rPr>
        <w:footnoteReference w:id="415"/>
      </w:r>
      <w:r w:rsidRPr="00E270A2">
        <w:rPr>
          <w:rStyle w:val="ae"/>
          <w:rtl/>
        </w:rPr>
        <w:t>)</w:t>
      </w:r>
      <w:r w:rsidRPr="003251EE">
        <w:rPr>
          <w:rFonts w:ascii="Traditional Arabic" w:hAnsi="Traditional Arabic"/>
          <w:rtl/>
          <w:lang w:eastAsia="en-US"/>
        </w:rPr>
        <w:t>. فعلى القول الأول يقال: يا متَّبعي موسى، يا متَّبعي عيسى، يا متَّبعي محمَّدٍ</w:t>
      </w:r>
      <w:r w:rsidR="00565517">
        <w:rPr>
          <w:rFonts w:ascii="Traditional Arabic" w:hAnsi="Traditional Arabic" w:hint="cs"/>
          <w:rtl/>
          <w:lang w:eastAsia="en-US"/>
        </w:rPr>
        <w:t>,</w:t>
      </w:r>
      <w:r w:rsidRPr="003251EE">
        <w:rPr>
          <w:rFonts w:ascii="Traditional Arabic" w:hAnsi="Traditional Arabic"/>
          <w:rtl/>
          <w:lang w:eastAsia="en-US"/>
        </w:rPr>
        <w:t xml:space="preserve"> ويقال: يا متَّبعي رؤساء الضلالة.</w:t>
      </w:r>
      <w:r>
        <w:rPr>
          <w:rFonts w:ascii="Traditional Arabic" w:hAnsi="Traditional Arabic" w:hint="cs"/>
          <w:color w:val="auto"/>
          <w:rtl/>
          <w:lang w:eastAsia="en-US"/>
        </w:rPr>
        <w:t xml:space="preserve"> </w:t>
      </w:r>
      <w:r w:rsidRPr="003251EE">
        <w:rPr>
          <w:rFonts w:ascii="Traditional Arabic" w:hAnsi="Traditional Arabic"/>
          <w:rtl/>
          <w:lang w:eastAsia="en-US"/>
        </w:rPr>
        <w:t>وعلى الثاني: يا من عمل كذا وكذا. وعلى الثالث: يا أُمَّة موسى، يا أُمَّة عيسى، يا أُمَّة محمد. وعلى الرابع: يا أهل التوراة، يا أهل الإِنجيل، يا أهل القرآن</w:t>
      </w:r>
      <w:r>
        <w:rPr>
          <w:rFonts w:ascii="Traditional Arabic" w:hAnsi="Traditional Arabic" w:hint="cs"/>
          <w:rtl/>
          <w:lang w:eastAsia="en-US"/>
        </w:rPr>
        <w:t>,</w:t>
      </w:r>
      <w:r w:rsidRPr="003251EE">
        <w:rPr>
          <w:rFonts w:ascii="Traditional Arabic" w:hAnsi="Traditional Arabic"/>
          <w:rtl/>
          <w:lang w:eastAsia="en-US"/>
        </w:rPr>
        <w:t xml:space="preserve"> أو يا صاحب الكتاب الذي فيه عمل كذا وكذا.</w:t>
      </w:r>
      <w:r w:rsidR="0019465E">
        <w:rPr>
          <w:rFonts w:ascii="Arial" w:hAnsi="Arial" w:cs="Arial" w:hint="cs"/>
          <w:color w:val="9DAB0C"/>
          <w:sz w:val="32"/>
          <w:szCs w:val="32"/>
          <w:rtl/>
          <w:lang w:eastAsia="en-US"/>
        </w:rPr>
        <w:t xml:space="preserve"> </w:t>
      </w:r>
      <w:r w:rsidRPr="003251EE">
        <w:rPr>
          <w:rFonts w:ascii="Traditional Arabic" w:hAnsi="Traditional Arabic"/>
          <w:rtl/>
          <w:lang w:eastAsia="en-US"/>
        </w:rPr>
        <w:t xml:space="preserve">قوله تعالى: </w:t>
      </w:r>
      <w:r w:rsidRPr="005A3917">
        <w:rPr>
          <w:rFonts w:ascii="QCF_BSML" w:hAnsi="QCF_BSML" w:cs="QCF_BSML"/>
          <w:sz w:val="28"/>
          <w:szCs w:val="28"/>
          <w:rtl/>
          <w:lang w:eastAsia="en-US"/>
        </w:rPr>
        <w:t>ﭽ</w:t>
      </w:r>
      <w:r w:rsidRPr="005A3917">
        <w:rPr>
          <w:rFonts w:ascii="QCF_P289" w:hAnsi="QCF_P289" w:cs="QCF_P289"/>
          <w:sz w:val="28"/>
          <w:szCs w:val="28"/>
          <w:rtl/>
          <w:lang w:eastAsia="en-US"/>
        </w:rPr>
        <w:t xml:space="preserve"> ﮫ  ﮬ   ﮭ</w:t>
      </w:r>
      <w:r w:rsidRPr="005A3917">
        <w:rPr>
          <w:rFonts w:ascii="QCF_BSML" w:hAnsi="QCF_BSML" w:cs="QCF_BSML"/>
          <w:sz w:val="28"/>
          <w:szCs w:val="28"/>
          <w:rtl/>
          <w:lang w:eastAsia="en-US"/>
        </w:rPr>
        <w:t>ﭼ</w:t>
      </w:r>
      <w:r w:rsidRPr="00001AC8">
        <w:rPr>
          <w:rFonts w:ascii="QCF_P289" w:hAnsi="QCF_P289" w:cs="QCF_P289"/>
          <w:sz w:val="32"/>
          <w:szCs w:val="32"/>
          <w:rtl/>
          <w:lang w:eastAsia="en-US"/>
        </w:rPr>
        <w:t xml:space="preserve"> </w:t>
      </w:r>
      <w:r w:rsidRPr="005A3917">
        <w:rPr>
          <w:rFonts w:ascii="Traditional Arabic" w:hAnsi="Traditional Arabic"/>
          <w:rtl/>
          <w:lang w:eastAsia="en-US"/>
        </w:rPr>
        <w:t xml:space="preserve"> </w:t>
      </w:r>
      <w:r w:rsidRPr="003251EE">
        <w:rPr>
          <w:rFonts w:ascii="Traditional Arabic" w:hAnsi="Traditional Arabic"/>
          <w:rtl/>
          <w:lang w:eastAsia="en-US"/>
        </w:rPr>
        <w:t>معناه: يقرءون حس</w:t>
      </w:r>
      <w:r w:rsidR="00324E02">
        <w:rPr>
          <w:rFonts w:ascii="Traditional Arabic" w:hAnsi="Traditional Arabic" w:hint="cs"/>
          <w:rtl/>
          <w:lang w:eastAsia="en-US"/>
        </w:rPr>
        <w:t>ن</w:t>
      </w:r>
      <w:r w:rsidRPr="003251EE">
        <w:rPr>
          <w:rFonts w:ascii="Traditional Arabic" w:hAnsi="Traditional Arabic"/>
          <w:rtl/>
          <w:lang w:eastAsia="en-US"/>
        </w:rPr>
        <w:t>ا</w:t>
      </w:r>
      <w:r w:rsidR="00324E02">
        <w:rPr>
          <w:rFonts w:ascii="Traditional Arabic" w:hAnsi="Traditional Arabic" w:hint="cs"/>
          <w:rtl/>
          <w:lang w:eastAsia="en-US"/>
        </w:rPr>
        <w:t>ت</w:t>
      </w:r>
      <w:r w:rsidRPr="003251EE">
        <w:rPr>
          <w:rFonts w:ascii="Traditional Arabic" w:hAnsi="Traditional Arabic"/>
          <w:rtl/>
          <w:lang w:eastAsia="en-US"/>
        </w:rPr>
        <w:t>هم</w:t>
      </w:r>
      <w:r w:rsidR="00565517">
        <w:rPr>
          <w:rFonts w:ascii="Traditional Arabic" w:hAnsi="Traditional Arabic" w:hint="cs"/>
          <w:rtl/>
          <w:lang w:eastAsia="en-US"/>
        </w:rPr>
        <w:t>؛</w:t>
      </w:r>
      <w:r w:rsidRPr="003251EE">
        <w:rPr>
          <w:rFonts w:ascii="Traditional Arabic" w:hAnsi="Traditional Arabic"/>
          <w:rtl/>
          <w:lang w:eastAsia="en-US"/>
        </w:rPr>
        <w:t xml:space="preserve"> لأنهم أخذوا كتبهم بأيْمانهم. قوله تعالى: </w:t>
      </w:r>
      <w:r w:rsidRPr="005A3917">
        <w:rPr>
          <w:rFonts w:ascii="QCF_BSML" w:hAnsi="QCF_BSML" w:cs="QCF_BSML"/>
          <w:sz w:val="28"/>
          <w:szCs w:val="28"/>
          <w:rtl/>
          <w:lang w:eastAsia="en-US"/>
        </w:rPr>
        <w:t>ﭽ</w:t>
      </w:r>
      <w:r w:rsidRPr="005A3917">
        <w:rPr>
          <w:rFonts w:ascii="QCF_P289" w:hAnsi="QCF_P289" w:cs="QCF_P289"/>
          <w:sz w:val="28"/>
          <w:szCs w:val="28"/>
          <w:rtl/>
          <w:lang w:eastAsia="en-US"/>
        </w:rPr>
        <w:t xml:space="preserve"> ﮮ  ﮯ  ﮰ</w:t>
      </w:r>
      <w:r w:rsidRPr="005A3917">
        <w:rPr>
          <w:rFonts w:ascii="QCF_BSML" w:hAnsi="QCF_BSML" w:cs="QCF_BSML"/>
          <w:sz w:val="28"/>
          <w:szCs w:val="28"/>
          <w:rtl/>
          <w:lang w:eastAsia="en-US"/>
        </w:rPr>
        <w:t>ﭼ</w:t>
      </w:r>
      <w:r>
        <w:rPr>
          <w:rFonts w:ascii="QCF_BSML" w:hAnsi="QCF_BSML" w:cs="QCF_BSML" w:hint="cs"/>
          <w:sz w:val="32"/>
          <w:szCs w:val="32"/>
          <w:rtl/>
          <w:lang w:eastAsia="en-US"/>
        </w:rPr>
        <w:t xml:space="preserve"> </w:t>
      </w:r>
      <w:r w:rsidRPr="00001AC8">
        <w:rPr>
          <w:rFonts w:ascii="QCF_P289" w:hAnsi="QCF_P289" w:cs="QCF_P289"/>
          <w:sz w:val="32"/>
          <w:szCs w:val="32"/>
          <w:rtl/>
          <w:lang w:eastAsia="en-US"/>
        </w:rPr>
        <w:t xml:space="preserve">  </w:t>
      </w:r>
      <w:r w:rsidRPr="003251EE">
        <w:rPr>
          <w:rFonts w:ascii="Traditional Arabic" w:hAnsi="Traditional Arabic"/>
          <w:rtl/>
          <w:lang w:eastAsia="en-US"/>
        </w:rPr>
        <w:t>أي: لا ينقصون من ثوابهم بقدر الفتيل، وقد بيَّنَّاه في سورة النساء</w:t>
      </w:r>
      <w:r w:rsidRPr="00E270A2">
        <w:rPr>
          <w:rStyle w:val="ae"/>
          <w:rtl/>
        </w:rPr>
        <w:t>(</w:t>
      </w:r>
      <w:r>
        <w:rPr>
          <w:rStyle w:val="ae"/>
          <w:rtl/>
        </w:rPr>
        <w:footnoteReference w:id="416"/>
      </w:r>
      <w:r w:rsidRPr="00E270A2">
        <w:rPr>
          <w:rStyle w:val="ae"/>
          <w:rtl/>
        </w:rPr>
        <w:t>)</w:t>
      </w:r>
      <w:r w:rsidRPr="003251EE">
        <w:rPr>
          <w:rFonts w:ascii="Traditional Arabic" w:hAnsi="Traditional Arabic"/>
          <w:rtl/>
          <w:lang w:eastAsia="en-US"/>
        </w:rPr>
        <w:t>.</w:t>
      </w:r>
      <w:r w:rsidR="00565517">
        <w:rPr>
          <w:rFonts w:ascii="Traditional Arabic" w:hAnsi="Traditional Arabic" w:hint="cs"/>
          <w:rtl/>
          <w:lang w:eastAsia="en-US"/>
        </w:rPr>
        <w:t xml:space="preserve"> </w:t>
      </w:r>
      <w:r w:rsidRPr="003251EE">
        <w:rPr>
          <w:rFonts w:ascii="Traditional Arabic" w:hAnsi="Traditional Arabic"/>
          <w:rtl/>
          <w:lang w:eastAsia="en-US"/>
        </w:rPr>
        <w:t xml:space="preserve">قوله تعالى: </w:t>
      </w:r>
      <w:r w:rsidRPr="00324E02">
        <w:rPr>
          <w:rFonts w:ascii="QCF_BSML" w:hAnsi="QCF_BSML" w:cs="QCF_BSML"/>
          <w:sz w:val="32"/>
          <w:szCs w:val="32"/>
          <w:rtl/>
          <w:lang w:eastAsia="en-US"/>
        </w:rPr>
        <w:t>ﭽ</w:t>
      </w:r>
      <w:r w:rsidRPr="00324E02">
        <w:rPr>
          <w:rFonts w:ascii="QCF_P289" w:hAnsi="QCF_P289" w:cs="QCF_P289"/>
          <w:sz w:val="32"/>
          <w:szCs w:val="32"/>
          <w:rtl/>
          <w:lang w:eastAsia="en-US"/>
        </w:rPr>
        <w:t xml:space="preserve">ﯓ  ﯔ      ﯕ  ﯖ   ﯗ  </w:t>
      </w:r>
      <w:r w:rsidRPr="00324E02">
        <w:rPr>
          <w:rFonts w:ascii="QCF_BSML" w:hAnsi="QCF_BSML" w:cs="QCF_BSML"/>
          <w:sz w:val="32"/>
          <w:szCs w:val="32"/>
          <w:rtl/>
          <w:lang w:eastAsia="en-US"/>
        </w:rPr>
        <w:t>ﭼ</w:t>
      </w:r>
      <w:r w:rsidRPr="003251EE">
        <w:rPr>
          <w:rFonts w:ascii="Traditional Arabic" w:hAnsi="Traditional Arabic"/>
          <w:rtl/>
          <w:lang w:eastAsia="en-US"/>
        </w:rPr>
        <w:t xml:space="preserve"> قرأ ابن كثير، ونافع، وابن عامر</w:t>
      </w:r>
      <w:r>
        <w:rPr>
          <w:rFonts w:ascii="Traditional Arabic" w:hAnsi="Traditional Arabic" w:hint="cs"/>
          <w:rtl/>
          <w:lang w:eastAsia="en-US"/>
        </w:rPr>
        <w:t xml:space="preserve"> </w:t>
      </w:r>
      <w:r w:rsidRPr="00324E02">
        <w:rPr>
          <w:rFonts w:ascii="Traditional Arabic" w:hAnsi="Traditional Arabic"/>
          <w:sz w:val="32"/>
          <w:szCs w:val="32"/>
          <w:rtl/>
          <w:lang w:eastAsia="en-US"/>
        </w:rPr>
        <w:t xml:space="preserve">: </w:t>
      </w:r>
      <w:r w:rsidRPr="00324E02">
        <w:rPr>
          <w:rFonts w:ascii="QCF_BSML" w:hAnsi="QCF_BSML" w:cs="QCF_BSML"/>
          <w:sz w:val="32"/>
          <w:szCs w:val="32"/>
          <w:rtl/>
          <w:lang w:eastAsia="en-US"/>
        </w:rPr>
        <w:t>ﭽ</w:t>
      </w:r>
      <w:r w:rsidRPr="00324E02">
        <w:rPr>
          <w:rFonts w:ascii="QCF_P289" w:hAnsi="QCF_P289" w:cs="QCF_P289"/>
          <w:sz w:val="32"/>
          <w:szCs w:val="32"/>
          <w:rtl/>
          <w:lang w:eastAsia="en-US"/>
        </w:rPr>
        <w:t xml:space="preserve"> ﯗ  ﯘ  ﯙ  ﯚ  ﯛ </w:t>
      </w:r>
      <w:r w:rsidRPr="00324E02">
        <w:rPr>
          <w:rFonts w:ascii="QCF_BSML" w:hAnsi="QCF_BSML" w:cs="QCF_BSML"/>
          <w:sz w:val="32"/>
          <w:szCs w:val="32"/>
          <w:rtl/>
          <w:lang w:eastAsia="en-US"/>
        </w:rPr>
        <w:t>ﭼ</w:t>
      </w:r>
      <w:r w:rsidRPr="003251EE">
        <w:rPr>
          <w:rFonts w:ascii="Traditional Arabic" w:hAnsi="Traditional Arabic"/>
          <w:rtl/>
          <w:lang w:eastAsia="en-US"/>
        </w:rPr>
        <w:t xml:space="preserve"> مفتوحتي الميم</w:t>
      </w:r>
      <w:r w:rsidRPr="00B23B29">
        <w:rPr>
          <w:rStyle w:val="ae"/>
          <w:rtl/>
        </w:rPr>
        <w:t>(</w:t>
      </w:r>
      <w:r>
        <w:rPr>
          <w:rStyle w:val="ae"/>
          <w:rtl/>
        </w:rPr>
        <w:footnoteReference w:id="417"/>
      </w:r>
      <w:r w:rsidRPr="00B23B29">
        <w:rPr>
          <w:rStyle w:val="ae"/>
          <w:rtl/>
        </w:rPr>
        <w:t>)</w:t>
      </w:r>
      <w:r w:rsidRPr="003251EE">
        <w:rPr>
          <w:rFonts w:ascii="Traditional Arabic" w:hAnsi="Traditional Arabic"/>
          <w:rtl/>
          <w:lang w:eastAsia="en-US"/>
        </w:rPr>
        <w:t>، وقرأ حمزة، والكسائي، وأبو بكر</w:t>
      </w:r>
      <w:r w:rsidRPr="00B23B29">
        <w:rPr>
          <w:rStyle w:val="ae"/>
          <w:rtl/>
        </w:rPr>
        <w:t>(</w:t>
      </w:r>
      <w:r>
        <w:rPr>
          <w:rStyle w:val="ae"/>
          <w:rtl/>
        </w:rPr>
        <w:footnoteReference w:id="418"/>
      </w:r>
      <w:r w:rsidRPr="00B23B29">
        <w:rPr>
          <w:rStyle w:val="ae"/>
          <w:rtl/>
        </w:rPr>
        <w:t>)</w:t>
      </w:r>
      <w:r w:rsidRPr="003251EE">
        <w:rPr>
          <w:rFonts w:ascii="Traditional Arabic" w:hAnsi="Traditional Arabic"/>
          <w:rtl/>
          <w:lang w:eastAsia="en-US"/>
        </w:rPr>
        <w:t>عن عاصم بكسر الميمين، وقرأ أبو عمرو</w:t>
      </w:r>
      <w:r>
        <w:rPr>
          <w:rFonts w:ascii="Traditional Arabic" w:hAnsi="Traditional Arabic"/>
          <w:rtl/>
          <w:lang w:eastAsia="en-US"/>
        </w:rPr>
        <w:t>:</w:t>
      </w:r>
      <w:r w:rsidR="0019465E">
        <w:rPr>
          <w:rFonts w:ascii="Traditional Arabic" w:hAnsi="Traditional Arabic" w:hint="cs"/>
          <w:rtl/>
          <w:lang w:eastAsia="en-US"/>
        </w:rPr>
        <w:t xml:space="preserve"> "</w:t>
      </w:r>
      <w:r>
        <w:rPr>
          <w:rFonts w:ascii="Traditional Arabic" w:hAnsi="Traditional Arabic" w:hint="cs"/>
          <w:rtl/>
          <w:lang w:eastAsia="en-US"/>
        </w:rPr>
        <w:t>ف</w:t>
      </w:r>
      <w:r w:rsidRPr="003251EE">
        <w:rPr>
          <w:rFonts w:ascii="Traditional Arabic" w:hAnsi="Traditional Arabic"/>
          <w:rtl/>
          <w:lang w:eastAsia="en-US"/>
        </w:rPr>
        <w:t>ي هذه أعم</w:t>
      </w:r>
      <w:r w:rsidR="00324E02">
        <w:rPr>
          <w:rFonts w:ascii="Traditional Arabic" w:hAnsi="Traditional Arabic" w:hint="cs"/>
          <w:rtl/>
          <w:lang w:eastAsia="en-US"/>
        </w:rPr>
        <w:t>ِ</w:t>
      </w:r>
      <w:r w:rsidRPr="003251EE">
        <w:rPr>
          <w:rFonts w:ascii="Traditional Arabic" w:hAnsi="Traditional Arabic"/>
          <w:rtl/>
          <w:lang w:eastAsia="en-US"/>
        </w:rPr>
        <w:t>ى</w:t>
      </w:r>
      <w:r>
        <w:rPr>
          <w:rFonts w:ascii="Traditional Arabic" w:hAnsi="Traditional Arabic" w:hint="cs"/>
          <w:rtl/>
          <w:lang w:eastAsia="en-US"/>
        </w:rPr>
        <w:t>"</w:t>
      </w:r>
      <w:r w:rsidRPr="003251EE">
        <w:rPr>
          <w:rFonts w:ascii="Traditional Arabic" w:hAnsi="Traditional Arabic"/>
          <w:rtl/>
          <w:lang w:eastAsia="en-US"/>
        </w:rPr>
        <w:t xml:space="preserve"> بكسر الميم</w:t>
      </w:r>
      <w:r>
        <w:rPr>
          <w:rFonts w:ascii="Traditional Arabic" w:hAnsi="Traditional Arabic"/>
          <w:rtl/>
          <w:lang w:eastAsia="en-US"/>
        </w:rPr>
        <w:t xml:space="preserve">، </w:t>
      </w:r>
      <w:r>
        <w:rPr>
          <w:rFonts w:ascii="Traditional Arabic" w:hAnsi="Traditional Arabic" w:hint="cs"/>
          <w:rtl/>
          <w:lang w:eastAsia="en-US"/>
        </w:rPr>
        <w:t>"</w:t>
      </w:r>
      <w:r>
        <w:rPr>
          <w:rFonts w:ascii="Traditional Arabic" w:hAnsi="Traditional Arabic"/>
          <w:rtl/>
          <w:lang w:eastAsia="en-US"/>
        </w:rPr>
        <w:t>فهو في الآخرة أعم</w:t>
      </w:r>
      <w:r w:rsidR="00324E02">
        <w:rPr>
          <w:rFonts w:ascii="Traditional Arabic" w:hAnsi="Traditional Arabic" w:hint="cs"/>
          <w:rtl/>
          <w:lang w:eastAsia="en-US"/>
        </w:rPr>
        <w:t>َ</w:t>
      </w:r>
      <w:r>
        <w:rPr>
          <w:rFonts w:ascii="Traditional Arabic" w:hAnsi="Traditional Arabic"/>
          <w:rtl/>
          <w:lang w:eastAsia="en-US"/>
        </w:rPr>
        <w:t>ى</w:t>
      </w:r>
      <w:r>
        <w:rPr>
          <w:rFonts w:ascii="Traditional Arabic" w:hAnsi="Traditional Arabic" w:hint="cs"/>
          <w:rtl/>
          <w:lang w:eastAsia="en-US"/>
        </w:rPr>
        <w:t>"</w:t>
      </w:r>
      <w:r w:rsidRPr="003251EE">
        <w:rPr>
          <w:rFonts w:ascii="Traditional Arabic" w:hAnsi="Traditional Arabic"/>
          <w:rtl/>
          <w:lang w:eastAsia="en-US"/>
        </w:rPr>
        <w:t xml:space="preserve"> بفتحها</w:t>
      </w:r>
      <w:r w:rsidRPr="00B23B29">
        <w:rPr>
          <w:rStyle w:val="ae"/>
          <w:rtl/>
        </w:rPr>
        <w:t>(</w:t>
      </w:r>
      <w:r>
        <w:rPr>
          <w:rStyle w:val="ae"/>
          <w:rtl/>
        </w:rPr>
        <w:footnoteReference w:id="419"/>
      </w:r>
      <w:r w:rsidRPr="00B23B29">
        <w:rPr>
          <w:rStyle w:val="ae"/>
          <w:rtl/>
        </w:rPr>
        <w:t>)</w:t>
      </w:r>
      <w:r w:rsidRPr="003251EE">
        <w:rPr>
          <w:rFonts w:ascii="Traditional Arabic" w:hAnsi="Traditional Arabic"/>
          <w:rtl/>
          <w:lang w:eastAsia="en-US"/>
        </w:rPr>
        <w:t>.</w:t>
      </w:r>
      <w:r>
        <w:rPr>
          <w:rFonts w:ascii="Traditional Arabic" w:hAnsi="Traditional Arabic" w:hint="cs"/>
          <w:rtl/>
          <w:lang w:eastAsia="en-US"/>
        </w:rPr>
        <w:t xml:space="preserve"> </w:t>
      </w:r>
      <w:r w:rsidRPr="003509B1">
        <w:rPr>
          <w:rFonts w:ascii="Traditional Arabic" w:hAnsi="Traditional Arabic"/>
          <w:rtl/>
          <w:lang w:eastAsia="en-US"/>
        </w:rPr>
        <w:t>وفي المشار إِليها ب</w:t>
      </w:r>
      <w:r w:rsidR="0019465E">
        <w:rPr>
          <w:rFonts w:ascii="QCF_BSML" w:hAnsi="QCF_BSML" w:cs="QCF_BSML" w:hint="cs"/>
          <w:sz w:val="28"/>
          <w:szCs w:val="28"/>
          <w:rtl/>
          <w:lang w:eastAsia="en-US"/>
        </w:rPr>
        <w:t xml:space="preserve"> </w:t>
      </w:r>
      <w:r w:rsidRPr="00324E02">
        <w:rPr>
          <w:rFonts w:ascii="QCF_BSML" w:hAnsi="QCF_BSML" w:cs="QCF_BSML"/>
          <w:sz w:val="32"/>
          <w:szCs w:val="32"/>
          <w:rtl/>
          <w:lang w:eastAsia="en-US"/>
        </w:rPr>
        <w:t>ﭽ</w:t>
      </w:r>
      <w:r w:rsidRPr="00324E02">
        <w:rPr>
          <w:rFonts w:ascii="QCF_P289" w:hAnsi="QCF_P289" w:cs="QCF_P289"/>
          <w:sz w:val="32"/>
          <w:szCs w:val="32"/>
          <w:rtl/>
          <w:lang w:eastAsia="en-US"/>
        </w:rPr>
        <w:t xml:space="preserve"> ﯖ</w:t>
      </w:r>
      <w:r w:rsidRPr="00324E02">
        <w:rPr>
          <w:rFonts w:ascii="QCF_BSML" w:hAnsi="QCF_BSML" w:cs="QCF_BSML"/>
          <w:sz w:val="32"/>
          <w:szCs w:val="32"/>
          <w:rtl/>
          <w:lang w:eastAsia="en-US"/>
        </w:rPr>
        <w:t>ﭼ</w:t>
      </w:r>
      <w:r w:rsidRPr="00A45CBD">
        <w:rPr>
          <w:rFonts w:ascii="Traditional Arabic" w:hAnsi="Traditional Arabic"/>
          <w:sz w:val="28"/>
          <w:szCs w:val="28"/>
          <w:rtl/>
          <w:lang w:eastAsia="en-US"/>
        </w:rPr>
        <w:t xml:space="preserve"> </w:t>
      </w:r>
      <w:r>
        <w:rPr>
          <w:rFonts w:ascii="Traditional Arabic" w:hAnsi="Traditional Arabic"/>
          <w:rtl/>
          <w:lang w:eastAsia="en-US"/>
        </w:rPr>
        <w:t>قولان</w:t>
      </w:r>
      <w:r w:rsidRPr="003509B1">
        <w:rPr>
          <w:rFonts w:ascii="Traditional Arabic" w:hAnsi="Traditional Arabic"/>
          <w:rtl/>
          <w:lang w:eastAsia="en-US"/>
        </w:rPr>
        <w:t>: أحدهما: أنها الدنيا، قاله مجاهد</w:t>
      </w:r>
      <w:r w:rsidRPr="00E42FDB">
        <w:rPr>
          <w:rStyle w:val="ae"/>
          <w:rtl/>
        </w:rPr>
        <w:t>(</w:t>
      </w:r>
      <w:r>
        <w:rPr>
          <w:rStyle w:val="ae"/>
          <w:rtl/>
        </w:rPr>
        <w:footnoteReference w:id="420"/>
      </w:r>
      <w:r w:rsidRPr="00E42FDB">
        <w:rPr>
          <w:rStyle w:val="ae"/>
          <w:rtl/>
        </w:rPr>
        <w:t>)</w:t>
      </w:r>
      <w:r w:rsidRPr="003509B1">
        <w:rPr>
          <w:rFonts w:ascii="Traditional Arabic" w:hAnsi="Traditional Arabic"/>
          <w:rtl/>
          <w:lang w:eastAsia="en-US"/>
        </w:rPr>
        <w:t>. ثم في معنى الكلام خمسة أقوال:</w:t>
      </w:r>
      <w:r w:rsidR="00C94522">
        <w:rPr>
          <w:rFonts w:ascii="Arial" w:hAnsi="Arial" w:cs="Arial" w:hint="cs"/>
          <w:color w:val="9DAB0C"/>
          <w:sz w:val="32"/>
          <w:szCs w:val="32"/>
          <w:rtl/>
          <w:lang w:eastAsia="en-US"/>
        </w:rPr>
        <w:t xml:space="preserve"> </w:t>
      </w:r>
      <w:r w:rsidRPr="003509B1">
        <w:rPr>
          <w:rFonts w:ascii="Traditional Arabic" w:hAnsi="Traditional Arabic"/>
          <w:rtl/>
          <w:lang w:eastAsia="en-US"/>
        </w:rPr>
        <w:t>أحدها: من كان في الدنيا أعمى عن معرفة قدرة الله</w:t>
      </w:r>
      <w:r w:rsidR="00C94522" w:rsidRPr="00C94522">
        <w:rPr>
          <w:rStyle w:val="ae"/>
          <w:rtl/>
        </w:rPr>
        <w:t>(</w:t>
      </w:r>
      <w:r w:rsidR="00C94522">
        <w:rPr>
          <w:rStyle w:val="ae"/>
          <w:rtl/>
        </w:rPr>
        <w:footnoteReference w:id="421"/>
      </w:r>
      <w:r w:rsidR="00C94522" w:rsidRPr="00C94522">
        <w:rPr>
          <w:rStyle w:val="ae"/>
          <w:rtl/>
        </w:rPr>
        <w:t>)</w:t>
      </w:r>
      <w:r w:rsidRPr="003509B1">
        <w:rPr>
          <w:rFonts w:ascii="Traditional Arabic" w:hAnsi="Traditional Arabic"/>
          <w:rtl/>
          <w:lang w:eastAsia="en-US"/>
        </w:rPr>
        <w:t>في خَلْق الأشياء، فهو عمّا وُصِف له في الآخرة أعمى، رواه الضحاك عن ابن عباس</w:t>
      </w:r>
      <w:r w:rsidRPr="006F1BA1">
        <w:rPr>
          <w:rStyle w:val="ae"/>
          <w:rtl/>
        </w:rPr>
        <w:t>(</w:t>
      </w:r>
      <w:r>
        <w:rPr>
          <w:rStyle w:val="ae"/>
          <w:rtl/>
        </w:rPr>
        <w:footnoteReference w:id="422"/>
      </w:r>
      <w:r w:rsidRPr="006F1BA1">
        <w:rPr>
          <w:rStyle w:val="ae"/>
          <w:rtl/>
        </w:rPr>
        <w:t>)</w:t>
      </w:r>
      <w:r w:rsidRPr="003509B1">
        <w:rPr>
          <w:rFonts w:ascii="Traditional Arabic" w:hAnsi="Traditional Arabic"/>
          <w:rtl/>
          <w:lang w:eastAsia="en-US"/>
        </w:rPr>
        <w:t xml:space="preserve">. والثاني: من كان في الدنيا أعمى بالكفر، فهو في الآخرة أعمى، لأنه في الدنيا تُقبَل توبته، وفي </w:t>
      </w:r>
      <w:r w:rsidRPr="003509B1">
        <w:rPr>
          <w:rFonts w:ascii="Traditional Arabic" w:hAnsi="Traditional Arabic"/>
          <w:rtl/>
          <w:lang w:eastAsia="en-US"/>
        </w:rPr>
        <w:lastRenderedPageBreak/>
        <w:t>الآخرة لا تُقبَل، قاله الحسن</w:t>
      </w:r>
      <w:r w:rsidRPr="006F1BA1">
        <w:rPr>
          <w:rStyle w:val="ae"/>
          <w:rtl/>
        </w:rPr>
        <w:t>(</w:t>
      </w:r>
      <w:r>
        <w:rPr>
          <w:rStyle w:val="ae"/>
          <w:rtl/>
        </w:rPr>
        <w:footnoteReference w:id="423"/>
      </w:r>
      <w:r w:rsidRPr="006F1BA1">
        <w:rPr>
          <w:rStyle w:val="ae"/>
          <w:rtl/>
        </w:rPr>
        <w:t>)</w:t>
      </w:r>
      <w:r w:rsidRPr="003509B1">
        <w:rPr>
          <w:rFonts w:ascii="Traditional Arabic" w:hAnsi="Traditional Arabic"/>
          <w:rtl/>
          <w:lang w:eastAsia="en-US"/>
        </w:rPr>
        <w:t xml:space="preserve">. والثالث: من عمي عن آيات الله في الدنيا، فهو عن الذي غيِّب عنه من أمور الآخرة أشدّ عمىً. والرابع: من عمي عن نِعَم الله التي بيَّنها في قوله تعالى: </w:t>
      </w:r>
      <w:r w:rsidRPr="00324E02">
        <w:rPr>
          <w:rFonts w:ascii="QCF_BSML" w:hAnsi="QCF_BSML" w:cs="QCF_BSML"/>
          <w:sz w:val="32"/>
          <w:szCs w:val="32"/>
          <w:rtl/>
          <w:lang w:eastAsia="en-US"/>
        </w:rPr>
        <w:t>ﭽ</w:t>
      </w:r>
      <w:r w:rsidRPr="00324E02">
        <w:rPr>
          <w:rFonts w:ascii="QCF_P288" w:hAnsi="QCF_P288" w:cs="QCF_P288"/>
          <w:color w:val="0D0D0D" w:themeColor="text1" w:themeTint="F2"/>
          <w:sz w:val="32"/>
          <w:szCs w:val="32"/>
          <w:rtl/>
          <w:lang w:eastAsia="en-US"/>
        </w:rPr>
        <w:t>ﯯ  ﯰ  ﯱ  ﯲ  ﯳ     ﯴ  ﯵ</w:t>
      </w:r>
      <w:r w:rsidRPr="00324E02">
        <w:rPr>
          <w:rFonts w:ascii="QCF_BSML" w:hAnsi="QCF_BSML" w:cs="QCF_BSML"/>
          <w:sz w:val="32"/>
          <w:szCs w:val="32"/>
          <w:rtl/>
          <w:lang w:eastAsia="en-US"/>
        </w:rPr>
        <w:t>ﭼ</w:t>
      </w:r>
      <w:r w:rsidRPr="003509B1">
        <w:rPr>
          <w:rFonts w:ascii="Traditional Arabic" w:hAnsi="Traditional Arabic"/>
          <w:rtl/>
          <w:lang w:eastAsia="en-US"/>
        </w:rPr>
        <w:t xml:space="preserve"> إِلى قوله: </w:t>
      </w:r>
      <w:r w:rsidRPr="00324E02">
        <w:rPr>
          <w:rFonts w:ascii="QCF_BSML" w:hAnsi="QCF_BSML" w:cs="QCF_BSML"/>
          <w:sz w:val="32"/>
          <w:szCs w:val="32"/>
          <w:rtl/>
          <w:lang w:eastAsia="en-US"/>
        </w:rPr>
        <w:t>ﭽ</w:t>
      </w:r>
      <w:r w:rsidRPr="00324E02">
        <w:rPr>
          <w:rFonts w:ascii="QCF_P289" w:hAnsi="QCF_P289" w:cs="QCF_P289"/>
          <w:color w:val="0D0D0D" w:themeColor="text1" w:themeTint="F2"/>
          <w:sz w:val="32"/>
          <w:szCs w:val="32"/>
          <w:rtl/>
          <w:lang w:eastAsia="en-US"/>
        </w:rPr>
        <w:t xml:space="preserve"> ﮟ</w:t>
      </w:r>
      <w:r w:rsidRPr="00324E02">
        <w:rPr>
          <w:rFonts w:ascii="QCF_BSML" w:hAnsi="QCF_BSML" w:cs="QCF_BSML"/>
          <w:sz w:val="32"/>
          <w:szCs w:val="32"/>
          <w:rtl/>
          <w:lang w:eastAsia="en-US"/>
        </w:rPr>
        <w:t>ﭼ</w:t>
      </w:r>
      <w:r w:rsidRPr="00324E02">
        <w:rPr>
          <w:rFonts w:ascii="Traditional Arabic" w:hAnsi="Traditional Arabic"/>
          <w:sz w:val="32"/>
          <w:szCs w:val="32"/>
          <w:rtl/>
          <w:lang w:eastAsia="en-US"/>
        </w:rPr>
        <w:t xml:space="preserve"> </w:t>
      </w:r>
      <w:r w:rsidRPr="003509B1">
        <w:rPr>
          <w:rFonts w:ascii="Traditional Arabic" w:hAnsi="Traditional Arabic"/>
          <w:rtl/>
          <w:lang w:eastAsia="en-US"/>
        </w:rPr>
        <w:t>فهو في الآخرة أعمى عن رشاده وصلاحه، ذكرهما ابن الأنباري</w:t>
      </w:r>
      <w:r w:rsidRPr="00C07767">
        <w:rPr>
          <w:rStyle w:val="ae"/>
          <w:rtl/>
        </w:rPr>
        <w:t>(</w:t>
      </w:r>
      <w:r>
        <w:rPr>
          <w:rStyle w:val="ae"/>
          <w:rtl/>
        </w:rPr>
        <w:footnoteReference w:id="424"/>
      </w:r>
      <w:r w:rsidRPr="00C07767">
        <w:rPr>
          <w:rStyle w:val="ae"/>
          <w:rtl/>
        </w:rPr>
        <w:t>)</w:t>
      </w:r>
      <w:r w:rsidRPr="003509B1">
        <w:rPr>
          <w:rFonts w:ascii="Traditional Arabic" w:hAnsi="Traditional Arabic"/>
          <w:rtl/>
          <w:lang w:eastAsia="en-US"/>
        </w:rPr>
        <w:t>. والخامس: من كان فيها أعمى عن الحُجَّة، فهو في الآخرة أعمى عن الجنة، قاله أبو بكر الورّاق</w:t>
      </w:r>
      <w:r w:rsidRPr="003771A7">
        <w:rPr>
          <w:rStyle w:val="ae"/>
          <w:rtl/>
        </w:rPr>
        <w:t>(</w:t>
      </w:r>
      <w:r>
        <w:rPr>
          <w:rStyle w:val="ae"/>
          <w:rtl/>
        </w:rPr>
        <w:footnoteReference w:id="425"/>
      </w:r>
      <w:r w:rsidRPr="003771A7">
        <w:rPr>
          <w:rStyle w:val="ae"/>
          <w:rtl/>
        </w:rPr>
        <w:t>)</w:t>
      </w:r>
      <w:r w:rsidR="00B20E9D" w:rsidRPr="00B20E9D">
        <w:rPr>
          <w:rStyle w:val="ae"/>
          <w:rtl/>
        </w:rPr>
        <w:t>(</w:t>
      </w:r>
      <w:r w:rsidR="00B20E9D">
        <w:rPr>
          <w:rStyle w:val="ae"/>
          <w:rtl/>
        </w:rPr>
        <w:footnoteReference w:id="426"/>
      </w:r>
      <w:r w:rsidR="00B20E9D" w:rsidRPr="00B20E9D">
        <w:rPr>
          <w:rStyle w:val="ae"/>
          <w:rtl/>
        </w:rPr>
        <w:t>)</w:t>
      </w:r>
      <w:r w:rsidRPr="003509B1">
        <w:rPr>
          <w:rFonts w:ascii="Traditional Arabic" w:hAnsi="Traditional Arabic"/>
          <w:rtl/>
          <w:lang w:eastAsia="en-US"/>
        </w:rPr>
        <w:t>. والثاني: أنها النِّعم. ثم في الكلام قولان:</w:t>
      </w:r>
      <w:r>
        <w:rPr>
          <w:rFonts w:ascii="Traditional Arabic" w:hAnsi="Traditional Arabic" w:hint="cs"/>
          <w:rtl/>
          <w:lang w:eastAsia="en-US"/>
        </w:rPr>
        <w:t xml:space="preserve"> </w:t>
      </w:r>
      <w:r w:rsidRPr="003509B1">
        <w:rPr>
          <w:rFonts w:ascii="Traditional Arabic" w:hAnsi="Traditional Arabic"/>
          <w:rtl/>
          <w:lang w:eastAsia="en-US"/>
        </w:rPr>
        <w:t>أحدهما: من كان أعمى عن النِّعم التي تُرى وتُشاهَد، فهو في الآخرة التي لم تُر</w:t>
      </w:r>
      <w:r w:rsidR="00A36C16">
        <w:rPr>
          <w:rFonts w:ascii="Traditional Arabic" w:hAnsi="Traditional Arabic" w:hint="cs"/>
          <w:rtl/>
          <w:lang w:eastAsia="en-US"/>
        </w:rPr>
        <w:t>َ</w:t>
      </w:r>
      <w:r w:rsidRPr="003509B1">
        <w:rPr>
          <w:rFonts w:ascii="Traditional Arabic" w:hAnsi="Traditional Arabic"/>
          <w:rtl/>
          <w:lang w:eastAsia="en-US"/>
        </w:rPr>
        <w:t xml:space="preserve"> أعمى، رواه عكرمة عن ابن عباس</w:t>
      </w:r>
      <w:r w:rsidRPr="00DB23E1">
        <w:rPr>
          <w:rStyle w:val="ae"/>
          <w:rtl/>
        </w:rPr>
        <w:t>(</w:t>
      </w:r>
      <w:r>
        <w:rPr>
          <w:rStyle w:val="ae"/>
          <w:rtl/>
        </w:rPr>
        <w:footnoteReference w:id="427"/>
      </w:r>
      <w:r w:rsidRPr="00DB23E1">
        <w:rPr>
          <w:rStyle w:val="ae"/>
          <w:rtl/>
        </w:rPr>
        <w:t>)</w:t>
      </w:r>
      <w:r w:rsidRPr="003509B1">
        <w:rPr>
          <w:rFonts w:ascii="Traditional Arabic" w:hAnsi="Traditional Arabic"/>
          <w:rtl/>
          <w:lang w:eastAsia="en-US"/>
        </w:rPr>
        <w:t>. والثاني: من كان أعمى عن</w:t>
      </w:r>
      <w:r>
        <w:rPr>
          <w:rFonts w:ascii="Traditional Arabic" w:hAnsi="Traditional Arabic"/>
          <w:b/>
          <w:bCs/>
          <w:sz w:val="44"/>
          <w:szCs w:val="44"/>
          <w:rtl/>
          <w:lang w:eastAsia="en-US"/>
        </w:rPr>
        <w:t xml:space="preserve"> </w:t>
      </w:r>
      <w:r w:rsidRPr="00E270A2">
        <w:rPr>
          <w:rFonts w:ascii="Traditional Arabic" w:hAnsi="Traditional Arabic"/>
          <w:rtl/>
          <w:lang w:eastAsia="en-US"/>
        </w:rPr>
        <w:t xml:space="preserve">معرفة حق الله في هذه النّعم المذكورة في قوله تعالى: </w:t>
      </w:r>
      <w:r w:rsidRPr="00A36C16">
        <w:rPr>
          <w:rFonts w:ascii="QCF_BSML" w:hAnsi="QCF_BSML" w:cs="QCF_BSML"/>
          <w:color w:val="0D0D0D" w:themeColor="text1" w:themeTint="F2"/>
          <w:sz w:val="32"/>
          <w:szCs w:val="32"/>
          <w:rtl/>
          <w:lang w:eastAsia="en-US"/>
        </w:rPr>
        <w:t>ﭽ</w:t>
      </w:r>
      <w:r w:rsidRPr="00A36C16">
        <w:rPr>
          <w:rFonts w:ascii="Traditional Arabic" w:hAnsi="Traditional Arabic"/>
          <w:color w:val="0D0D0D" w:themeColor="text1" w:themeTint="F2"/>
          <w:sz w:val="32"/>
          <w:szCs w:val="32"/>
          <w:rtl/>
          <w:lang w:eastAsia="en-US"/>
        </w:rPr>
        <w:t>و</w:t>
      </w:r>
      <w:r w:rsidRPr="00A36C16">
        <w:rPr>
          <w:rFonts w:ascii="QCF_P289" w:hAnsi="QCF_P289" w:cs="QCF_P289"/>
          <w:color w:val="0D0D0D" w:themeColor="text1" w:themeTint="F2"/>
          <w:sz w:val="32"/>
          <w:szCs w:val="32"/>
          <w:rtl/>
          <w:lang w:eastAsia="en-US"/>
        </w:rPr>
        <w:t xml:space="preserve"> ﮏ  ﮐ</w:t>
      </w:r>
      <w:r w:rsidR="00A36C16" w:rsidRPr="00A36C16">
        <w:rPr>
          <w:rFonts w:ascii="QCF_P289" w:hAnsi="QCF_P289" w:cs="QCF_P289" w:hint="cs"/>
          <w:color w:val="0D0D0D" w:themeColor="text1" w:themeTint="F2"/>
          <w:sz w:val="32"/>
          <w:szCs w:val="32"/>
          <w:rtl/>
          <w:lang w:eastAsia="en-US"/>
        </w:rPr>
        <w:t xml:space="preserve"> </w:t>
      </w:r>
      <w:r w:rsidRPr="00A36C16">
        <w:rPr>
          <w:rFonts w:ascii="QCF_P289" w:hAnsi="QCF_P289" w:cs="QCF_P289"/>
          <w:color w:val="0D0D0D" w:themeColor="text1" w:themeTint="F2"/>
          <w:sz w:val="32"/>
          <w:szCs w:val="32"/>
          <w:rtl/>
          <w:lang w:eastAsia="en-US"/>
        </w:rPr>
        <w:t>ﮑ  ﮒ</w:t>
      </w:r>
      <w:r w:rsidRPr="00A36C16">
        <w:rPr>
          <w:rFonts w:ascii="QCF_BSML" w:hAnsi="QCF_BSML" w:cs="QCF_BSML"/>
          <w:color w:val="0D0D0D" w:themeColor="text1" w:themeTint="F2"/>
          <w:sz w:val="32"/>
          <w:szCs w:val="32"/>
          <w:rtl/>
          <w:lang w:eastAsia="en-US"/>
        </w:rPr>
        <w:t>ﭼ</w:t>
      </w:r>
      <w:r w:rsidRPr="00B07E03">
        <w:rPr>
          <w:rFonts w:ascii="Traditional Arabic" w:hAnsi="Traditional Arabic"/>
          <w:color w:val="0D0D0D" w:themeColor="text1" w:themeTint="F2"/>
          <w:rtl/>
          <w:lang w:eastAsia="en-US"/>
        </w:rPr>
        <w:t xml:space="preserve"> </w:t>
      </w:r>
      <w:r w:rsidRPr="00E270A2">
        <w:rPr>
          <w:rFonts w:ascii="Traditional Arabic" w:hAnsi="Traditional Arabic"/>
          <w:rtl/>
          <w:lang w:eastAsia="en-US"/>
        </w:rPr>
        <w:t>ولم يؤدِّ شكرها، فهو فيما بينه وبين الله مما يُتقرَّب به إِليه أعمى وَأَضَلُّ سَبِيلًا</w:t>
      </w:r>
      <w:r w:rsidRPr="007138BB">
        <w:rPr>
          <w:rStyle w:val="ae"/>
          <w:rtl/>
        </w:rPr>
        <w:t>(</w:t>
      </w:r>
      <w:r>
        <w:rPr>
          <w:rStyle w:val="ae"/>
          <w:rtl/>
        </w:rPr>
        <w:footnoteReference w:id="428"/>
      </w:r>
      <w:r w:rsidRPr="007138BB">
        <w:rPr>
          <w:rStyle w:val="ae"/>
          <w:rtl/>
        </w:rPr>
        <w:t>)</w:t>
      </w:r>
      <w:r w:rsidRPr="00E270A2">
        <w:rPr>
          <w:rFonts w:ascii="Traditional Arabic" w:hAnsi="Traditional Arabic"/>
          <w:rtl/>
          <w:lang w:eastAsia="en-US"/>
        </w:rPr>
        <w:t>، قاله السدي</w:t>
      </w:r>
      <w:r w:rsidRPr="0036293E">
        <w:rPr>
          <w:rStyle w:val="ae"/>
          <w:rtl/>
        </w:rPr>
        <w:t>(</w:t>
      </w:r>
      <w:r>
        <w:rPr>
          <w:rStyle w:val="ae"/>
          <w:rtl/>
        </w:rPr>
        <w:footnoteReference w:id="429"/>
      </w:r>
      <w:r w:rsidRPr="0036293E">
        <w:rPr>
          <w:rStyle w:val="ae"/>
          <w:rtl/>
        </w:rPr>
        <w:t>)</w:t>
      </w:r>
      <w:r w:rsidRPr="00E270A2">
        <w:rPr>
          <w:rFonts w:ascii="Traditional Arabic" w:hAnsi="Traditional Arabic"/>
          <w:rtl/>
          <w:lang w:eastAsia="en-US"/>
        </w:rPr>
        <w:t>.</w:t>
      </w:r>
      <w:r w:rsidR="00156316">
        <w:rPr>
          <w:rFonts w:ascii="Traditional Arabic" w:hAnsi="Traditional Arabic" w:hint="cs"/>
          <w:rtl/>
          <w:lang w:eastAsia="en-US"/>
        </w:rPr>
        <w:t xml:space="preserve"> </w:t>
      </w:r>
      <w:r w:rsidR="00156316" w:rsidRPr="001277AD">
        <w:rPr>
          <w:rFonts w:hint="cs"/>
          <w:color w:val="0D0D0D" w:themeColor="text1" w:themeTint="F2"/>
          <w:sz w:val="32"/>
          <w:szCs w:val="32"/>
          <w:rtl/>
        </w:rPr>
        <w:t>[</w:t>
      </w:r>
      <w:r w:rsidR="00156316">
        <w:rPr>
          <w:rFonts w:hint="cs"/>
          <w:color w:val="0D0D0D" w:themeColor="text1" w:themeTint="F2"/>
          <w:sz w:val="32"/>
          <w:szCs w:val="32"/>
          <w:rtl/>
        </w:rPr>
        <w:t>80</w:t>
      </w:r>
      <w:r w:rsidR="00156316" w:rsidRPr="001277AD">
        <w:rPr>
          <w:rFonts w:hint="cs"/>
          <w:color w:val="0D0D0D" w:themeColor="text1" w:themeTint="F2"/>
          <w:sz w:val="32"/>
          <w:szCs w:val="32"/>
          <w:rtl/>
        </w:rPr>
        <w:t>]</w:t>
      </w:r>
      <w:r>
        <w:rPr>
          <w:rFonts w:ascii="Traditional Arabic" w:hAnsi="Traditional Arabic" w:hint="cs"/>
          <w:rtl/>
          <w:lang w:eastAsia="en-US"/>
        </w:rPr>
        <w:t xml:space="preserve"> </w:t>
      </w:r>
      <w:r w:rsidRPr="00E270A2">
        <w:rPr>
          <w:rFonts w:ascii="Traditional Arabic" w:hAnsi="Traditional Arabic"/>
          <w:rtl/>
          <w:lang w:eastAsia="en-US"/>
        </w:rPr>
        <w:t>قال أبو علي الفارسي</w:t>
      </w:r>
      <w:r w:rsidRPr="00A45CBD">
        <w:rPr>
          <w:rStyle w:val="ae"/>
          <w:rtl/>
        </w:rPr>
        <w:t>(</w:t>
      </w:r>
      <w:r>
        <w:rPr>
          <w:rStyle w:val="ae"/>
          <w:rtl/>
        </w:rPr>
        <w:footnoteReference w:id="430"/>
      </w:r>
      <w:r w:rsidRPr="00A45CBD">
        <w:rPr>
          <w:rStyle w:val="ae"/>
          <w:rtl/>
        </w:rPr>
        <w:t>)</w:t>
      </w:r>
      <w:r w:rsidRPr="00E270A2">
        <w:rPr>
          <w:rFonts w:ascii="Traditional Arabic" w:hAnsi="Traditional Arabic"/>
          <w:rtl/>
          <w:lang w:eastAsia="en-US"/>
        </w:rPr>
        <w:t>: ومعنى قوله:</w:t>
      </w:r>
      <w:r w:rsidRPr="00A45CBD">
        <w:rPr>
          <w:rFonts w:ascii="QCF_BSML" w:hAnsi="QCF_BSML" w:cs="QCF_BSML"/>
          <w:color w:val="0D0D0D" w:themeColor="text1" w:themeTint="F2"/>
          <w:sz w:val="28"/>
          <w:szCs w:val="28"/>
          <w:rtl/>
          <w:lang w:eastAsia="en-US"/>
        </w:rPr>
        <w:t xml:space="preserve"> </w:t>
      </w:r>
      <w:r w:rsidRPr="00096EB0">
        <w:rPr>
          <w:rFonts w:ascii="QCF_BSML" w:hAnsi="QCF_BSML" w:cs="QCF_BSML"/>
          <w:color w:val="0D0D0D" w:themeColor="text1" w:themeTint="F2"/>
          <w:sz w:val="32"/>
          <w:szCs w:val="32"/>
          <w:rtl/>
          <w:lang w:eastAsia="en-US"/>
        </w:rPr>
        <w:t>ﭽ</w:t>
      </w:r>
      <w:r w:rsidRPr="00096EB0">
        <w:rPr>
          <w:rFonts w:ascii="QCF_P289" w:hAnsi="QCF_P289" w:cs="QCF_P289"/>
          <w:sz w:val="32"/>
          <w:szCs w:val="32"/>
          <w:rtl/>
          <w:lang w:eastAsia="en-US"/>
        </w:rPr>
        <w:t xml:space="preserve"> ﯙ  ﯚ  ﯛ</w:t>
      </w:r>
      <w:r w:rsidRPr="00096EB0">
        <w:rPr>
          <w:rFonts w:ascii="QCF_BSML" w:hAnsi="QCF_BSML" w:cs="QCF_BSML"/>
          <w:sz w:val="32"/>
          <w:szCs w:val="32"/>
          <w:rtl/>
          <w:lang w:eastAsia="en-US"/>
        </w:rPr>
        <w:t>ﭼ</w:t>
      </w:r>
      <w:r w:rsidRPr="00E270A2">
        <w:rPr>
          <w:rFonts w:ascii="Traditional Arabic" w:hAnsi="Traditional Arabic"/>
          <w:rtl/>
          <w:lang w:eastAsia="en-US"/>
        </w:rPr>
        <w:t xml:space="preserve"> أي: أشدُّ عمىً، لأنه كان في الدنيا يمكنه الخروج عن عَمَاهُ بالاستدلال، ولا </w:t>
      </w:r>
      <w:r w:rsidRPr="00E270A2">
        <w:rPr>
          <w:rFonts w:ascii="Traditional Arabic" w:hAnsi="Traditional Arabic"/>
          <w:rtl/>
          <w:lang w:eastAsia="en-US"/>
        </w:rPr>
        <w:lastRenderedPageBreak/>
        <w:t>سبيل له في الآخرة إِلى الخروج من عماه</w:t>
      </w:r>
      <w:r w:rsidRPr="00070E6F">
        <w:rPr>
          <w:rStyle w:val="ae"/>
          <w:rtl/>
        </w:rPr>
        <w:t>(</w:t>
      </w:r>
      <w:r>
        <w:rPr>
          <w:rStyle w:val="ae"/>
          <w:rtl/>
        </w:rPr>
        <w:footnoteReference w:id="431"/>
      </w:r>
      <w:r w:rsidRPr="00070E6F">
        <w:rPr>
          <w:rStyle w:val="ae"/>
          <w:rtl/>
        </w:rPr>
        <w:t>)</w:t>
      </w:r>
      <w:r w:rsidRPr="00E270A2">
        <w:rPr>
          <w:rFonts w:ascii="Traditional Arabic" w:hAnsi="Traditional Arabic"/>
          <w:rtl/>
          <w:lang w:eastAsia="en-US"/>
        </w:rPr>
        <w:t>. وقيل: معنى العمى في الآخرة: أنه لا يهتدي إِلى طريق الثواب، وهذا كلُّه من عمى القلب</w:t>
      </w:r>
      <w:r>
        <w:rPr>
          <w:rFonts w:ascii="Traditional Arabic" w:hAnsi="Traditional Arabic" w:hint="cs"/>
          <w:rtl/>
          <w:lang w:eastAsia="en-US"/>
        </w:rPr>
        <w:t>؛</w:t>
      </w:r>
      <w:r w:rsidR="002B5AEC">
        <w:rPr>
          <w:rFonts w:ascii="Traditional Arabic" w:hAnsi="Traditional Arabic"/>
          <w:rtl/>
          <w:lang w:eastAsia="en-US"/>
        </w:rPr>
        <w:t xml:space="preserve"> فإن قيل:</w:t>
      </w:r>
      <w:r w:rsidRPr="00E270A2">
        <w:rPr>
          <w:rFonts w:ascii="Traditional Arabic" w:hAnsi="Traditional Arabic"/>
          <w:rtl/>
          <w:lang w:eastAsia="en-US"/>
        </w:rPr>
        <w:t>لم قال:</w:t>
      </w:r>
      <w:r>
        <w:rPr>
          <w:rFonts w:ascii="Traditional Arabic" w:hAnsi="Traditional Arabic" w:hint="cs"/>
          <w:rtl/>
          <w:lang w:eastAsia="en-US"/>
        </w:rPr>
        <w:t xml:space="preserve"> </w:t>
      </w:r>
      <w:r w:rsidRPr="00E270A2">
        <w:rPr>
          <w:rFonts w:ascii="Traditional Arabic" w:hAnsi="Traditional Arabic"/>
          <w:rtl/>
          <w:lang w:eastAsia="en-US"/>
        </w:rPr>
        <w:t xml:space="preserve">فَهُوَ فِي الْآخِرَةِ أَعْمى ولم يقل: أشدُّ </w:t>
      </w:r>
      <w:r w:rsidR="002C6794">
        <w:rPr>
          <w:rFonts w:ascii="Traditional Arabic" w:hAnsi="Traditional Arabic"/>
          <w:rtl/>
          <w:lang w:eastAsia="en-US"/>
        </w:rPr>
        <w:t>عمى</w:t>
      </w:r>
      <w:r w:rsidR="002C6794">
        <w:rPr>
          <w:rFonts w:ascii="Traditional Arabic" w:hAnsi="Traditional Arabic" w:hint="cs"/>
          <w:rtl/>
          <w:lang w:eastAsia="en-US"/>
        </w:rPr>
        <w:t>ً,</w:t>
      </w:r>
      <w:r w:rsidRPr="00E270A2">
        <w:rPr>
          <w:rFonts w:ascii="Traditional Arabic" w:hAnsi="Traditional Arabic"/>
          <w:rtl/>
          <w:lang w:eastAsia="en-US"/>
        </w:rPr>
        <w:t xml:space="preserve"> لأن العمى خِلْق</w:t>
      </w:r>
      <w:r w:rsidR="00096EB0">
        <w:rPr>
          <w:rFonts w:ascii="Traditional Arabic" w:hAnsi="Traditional Arabic" w:hint="cs"/>
          <w:rtl/>
          <w:lang w:eastAsia="en-US"/>
        </w:rPr>
        <w:t>َ</w:t>
      </w:r>
      <w:r w:rsidRPr="00E270A2">
        <w:rPr>
          <w:rFonts w:ascii="Traditional Arabic" w:hAnsi="Traditional Arabic"/>
          <w:rtl/>
          <w:lang w:eastAsia="en-US"/>
        </w:rPr>
        <w:t>ة</w:t>
      </w:r>
      <w:r w:rsidR="00096EB0">
        <w:rPr>
          <w:rFonts w:ascii="Traditional Arabic" w:hAnsi="Traditional Arabic" w:hint="cs"/>
          <w:rtl/>
          <w:lang w:eastAsia="en-US"/>
        </w:rPr>
        <w:t>ٌ</w:t>
      </w:r>
      <w:r w:rsidRPr="00E270A2">
        <w:rPr>
          <w:rFonts w:ascii="Traditional Arabic" w:hAnsi="Traditional Arabic"/>
          <w:rtl/>
          <w:lang w:eastAsia="en-US"/>
        </w:rPr>
        <w:t xml:space="preserve"> بمنزلة الحُمرة، والزُّرقة، والعرب تقول:</w:t>
      </w:r>
      <w:r>
        <w:rPr>
          <w:rFonts w:ascii="Traditional Arabic" w:hAnsi="Traditional Arabic" w:hint="cs"/>
          <w:rtl/>
          <w:lang w:eastAsia="en-US"/>
        </w:rPr>
        <w:t xml:space="preserve"> </w:t>
      </w:r>
      <w:r w:rsidRPr="00E270A2">
        <w:rPr>
          <w:rFonts w:ascii="Traditional Arabic" w:hAnsi="Traditional Arabic"/>
          <w:rtl/>
          <w:lang w:eastAsia="en-US"/>
        </w:rPr>
        <w:t>ما أشدَّ سواد زيد، وما أبْيَنَ ز</w:t>
      </w:r>
      <w:r w:rsidR="00096EB0">
        <w:rPr>
          <w:rFonts w:ascii="Traditional Arabic" w:hAnsi="Traditional Arabic" w:hint="cs"/>
          <w:rtl/>
          <w:lang w:eastAsia="en-US"/>
        </w:rPr>
        <w:t>ُ</w:t>
      </w:r>
      <w:r w:rsidRPr="00E270A2">
        <w:rPr>
          <w:rFonts w:ascii="Traditional Arabic" w:hAnsi="Traditional Arabic"/>
          <w:rtl/>
          <w:lang w:eastAsia="en-US"/>
        </w:rPr>
        <w:t>رق</w:t>
      </w:r>
      <w:r w:rsidR="00096EB0">
        <w:rPr>
          <w:rFonts w:ascii="Traditional Arabic" w:hAnsi="Traditional Arabic" w:hint="cs"/>
          <w:rtl/>
          <w:lang w:eastAsia="en-US"/>
        </w:rPr>
        <w:t>َ</w:t>
      </w:r>
      <w:r w:rsidRPr="00E270A2">
        <w:rPr>
          <w:rFonts w:ascii="Traditional Arabic" w:hAnsi="Traditional Arabic"/>
          <w:rtl/>
          <w:lang w:eastAsia="en-US"/>
        </w:rPr>
        <w:t xml:space="preserve">ة عمرو، وقلَّما يقولون: ما أسود زيداً، وما أزرق عمراً؟ </w:t>
      </w:r>
      <w:r w:rsidRPr="00C07767">
        <w:rPr>
          <w:rFonts w:ascii="Traditional Arabic" w:hAnsi="Traditional Arabic"/>
          <w:rtl/>
          <w:lang w:eastAsia="en-US"/>
        </w:rPr>
        <w:t>فالجواب: أن</w:t>
      </w:r>
      <w:r>
        <w:rPr>
          <w:rFonts w:ascii="Traditional Arabic" w:hAnsi="Traditional Arabic" w:hint="cs"/>
          <w:rtl/>
          <w:lang w:eastAsia="en-US"/>
        </w:rPr>
        <w:t xml:space="preserve"> </w:t>
      </w:r>
      <w:r w:rsidRPr="00C07767">
        <w:rPr>
          <w:rFonts w:ascii="Traditional Arabic" w:hAnsi="Traditional Arabic"/>
          <w:rtl/>
          <w:lang w:eastAsia="en-US"/>
        </w:rPr>
        <w:t xml:space="preserve">المراد بهذا العمى عمى القلب، وذلك يتزايد ويحدث منه شيء بعد شيء، </w:t>
      </w:r>
      <w:r w:rsidRPr="00E667B0">
        <w:rPr>
          <w:rFonts w:ascii="Traditional Arabic" w:hAnsi="Traditional Arabic"/>
          <w:color w:val="auto"/>
          <w:rtl/>
          <w:lang w:eastAsia="en-US"/>
        </w:rPr>
        <w:t>فيخالف الخِلَقَ اللاّزِمة التي لا تزيد، نحو عمى العين، والبياض، والحمرة، ذكره ابن الأنباري</w:t>
      </w:r>
      <w:r w:rsidRPr="00E667B0">
        <w:rPr>
          <w:rStyle w:val="ae"/>
          <w:color w:val="auto"/>
          <w:rtl/>
        </w:rPr>
        <w:t>(</w:t>
      </w:r>
      <w:r w:rsidRPr="00E667B0">
        <w:rPr>
          <w:rStyle w:val="ae"/>
          <w:color w:val="auto"/>
          <w:rtl/>
        </w:rPr>
        <w:footnoteReference w:id="432"/>
      </w:r>
      <w:r w:rsidRPr="00E667B0">
        <w:rPr>
          <w:rStyle w:val="ae"/>
          <w:color w:val="auto"/>
          <w:rtl/>
        </w:rPr>
        <w:t>)</w:t>
      </w:r>
      <w:r w:rsidRPr="00E667B0">
        <w:rPr>
          <w:rFonts w:ascii="Traditional Arabic" w:hAnsi="Traditional Arabic"/>
          <w:color w:val="auto"/>
          <w:rtl/>
          <w:lang w:eastAsia="en-US"/>
        </w:rPr>
        <w:t>.</w:t>
      </w:r>
    </w:p>
    <w:p w:rsidR="00113DC3" w:rsidRPr="00EF05B8" w:rsidRDefault="00113DC3" w:rsidP="00113DC3">
      <w:pPr>
        <w:widowControl/>
        <w:autoSpaceDE w:val="0"/>
        <w:autoSpaceDN w:val="0"/>
        <w:adjustRightInd w:val="0"/>
        <w:ind w:firstLine="0"/>
        <w:rPr>
          <w:rFonts w:ascii="Traditional Arabic" w:hAnsi="Traditional Arabic"/>
          <w:rtl/>
          <w:lang w:eastAsia="en-US"/>
        </w:rPr>
      </w:pPr>
    </w:p>
    <w:p w:rsidR="00113DC3" w:rsidRDefault="00C36615" w:rsidP="00085F00">
      <w:pPr>
        <w:widowControl/>
        <w:autoSpaceDE w:val="0"/>
        <w:autoSpaceDN w:val="0"/>
        <w:adjustRightInd w:val="0"/>
        <w:ind w:firstLine="0"/>
        <w:rPr>
          <w:rFonts w:ascii="Arial" w:hAnsi="Arial" w:cs="Arial"/>
          <w:sz w:val="18"/>
          <w:szCs w:val="18"/>
          <w:rtl/>
          <w:lang w:eastAsia="en-US"/>
        </w:rPr>
      </w:pPr>
      <w:r w:rsidRPr="00E667B0">
        <w:rPr>
          <w:rFonts w:ascii="QCF_BSML" w:hAnsi="QCF_BSML" w:cs="QCF_BSML"/>
          <w:color w:val="auto"/>
          <w:sz w:val="32"/>
          <w:szCs w:val="32"/>
          <w:rtl/>
          <w:lang w:eastAsia="en-US"/>
        </w:rPr>
        <w:t>ﭽ</w:t>
      </w:r>
      <w:r w:rsidRPr="00E667B0">
        <w:rPr>
          <w:rFonts w:ascii="QCF_P289" w:hAnsi="QCF_P289" w:cs="QCF_P289"/>
          <w:color w:val="auto"/>
          <w:sz w:val="32"/>
          <w:szCs w:val="32"/>
          <w:rtl/>
          <w:lang w:eastAsia="en-US"/>
        </w:rPr>
        <w:t xml:space="preserve">ﯟ  ﯠ   ﯡ  ﯢ  ﯣ  ﯤ  ﯥ  ﯦ  ﯧ  ﯨﯩ   ﯪ  ﯫ  ﯬ  ﯭ  ﯮ  ﯯ  ﯰ  ﯱ  ﯲ                ﯳ  ﯴ  ﯵ  ﯶ  ﯷ  ﯸ  ﯹ  ﯺ   ﯻ  ﯼ  ﯽ  ﯾ  ﯿ  ﰀ  ﰁ  ﰂ  ﰃ  ﰄ   </w:t>
      </w:r>
      <w:r w:rsidRPr="00E667B0">
        <w:rPr>
          <w:rFonts w:ascii="QCF_P290" w:hAnsi="QCF_P290" w:cs="QCF_P290"/>
          <w:color w:val="auto"/>
          <w:sz w:val="32"/>
          <w:szCs w:val="32"/>
          <w:rtl/>
          <w:lang w:eastAsia="en-US"/>
        </w:rPr>
        <w:t xml:space="preserve">ﭑ  ﭒ  ﭓ  ﭔ  ﭕ  ﭖ  ﭗﭘ   ﭙ  ﭚ  ﭛ  ﭜ  ﭝ  ﭞ  ﭟ  ﭠ  </w:t>
      </w:r>
      <w:r w:rsidRPr="000651D4">
        <w:rPr>
          <w:rFonts w:ascii="QCF_P290" w:hAnsi="QCF_P290" w:cs="QCF_P290"/>
          <w:sz w:val="32"/>
          <w:szCs w:val="32"/>
          <w:rtl/>
          <w:lang w:eastAsia="en-US"/>
        </w:rPr>
        <w:t xml:space="preserve">ﭡ  ﭢ   ﭣ  ﭤ  ﭥ  </w:t>
      </w:r>
      <w:r w:rsidRPr="00E667B0">
        <w:rPr>
          <w:rFonts w:ascii="QCF_P290" w:hAnsi="QCF_P290" w:cs="QCF_P290"/>
          <w:color w:val="auto"/>
          <w:sz w:val="32"/>
          <w:szCs w:val="32"/>
          <w:rtl/>
          <w:lang w:eastAsia="en-US"/>
        </w:rPr>
        <w:t xml:space="preserve">ﭦﭧ </w:t>
      </w:r>
      <w:r w:rsidRPr="000651D4">
        <w:rPr>
          <w:rFonts w:ascii="QCF_P290" w:hAnsi="QCF_P290" w:cs="QCF_P290"/>
          <w:sz w:val="32"/>
          <w:szCs w:val="32"/>
          <w:rtl/>
          <w:lang w:eastAsia="en-US"/>
        </w:rPr>
        <w:t xml:space="preserve"> ﭨ  ﭩ  ﭪ   ﭫ  ﭬ</w:t>
      </w:r>
      <w:r w:rsidRPr="000651D4">
        <w:rPr>
          <w:rFonts w:ascii="QCF_BSML" w:hAnsi="QCF_BSML" w:cs="QCF_BSML"/>
          <w:sz w:val="32"/>
          <w:szCs w:val="32"/>
          <w:rtl/>
          <w:lang w:eastAsia="en-US"/>
        </w:rPr>
        <w:t>ﭼ</w:t>
      </w:r>
    </w:p>
    <w:p w:rsidR="00113DC3" w:rsidRDefault="00C36615" w:rsidP="00085F00">
      <w:pPr>
        <w:widowControl/>
        <w:autoSpaceDE w:val="0"/>
        <w:autoSpaceDN w:val="0"/>
        <w:adjustRightInd w:val="0"/>
        <w:ind w:firstLine="0"/>
        <w:rPr>
          <w:rFonts w:ascii="Traditional Arabic" w:hAnsi="Traditional Arabic"/>
          <w:rtl/>
          <w:lang w:eastAsia="en-US"/>
        </w:rPr>
      </w:pPr>
      <w:r>
        <w:rPr>
          <w:rFonts w:ascii="Arial" w:hAnsi="Arial" w:cs="Arial"/>
          <w:sz w:val="18"/>
          <w:szCs w:val="18"/>
          <w:rtl/>
          <w:lang w:eastAsia="en-US"/>
        </w:rPr>
        <w:t xml:space="preserve"> </w:t>
      </w:r>
      <w:r w:rsidRPr="00C07767">
        <w:rPr>
          <w:rFonts w:ascii="Traditional Arabic" w:hAnsi="Traditional Arabic"/>
          <w:rtl/>
          <w:lang w:eastAsia="en-US"/>
        </w:rPr>
        <w:t>قوله تعالى:</w:t>
      </w:r>
      <w:r w:rsidRPr="000651D4">
        <w:rPr>
          <w:rFonts w:ascii="QCF_BSML" w:hAnsi="QCF_BSML" w:cs="QCF_BSML"/>
          <w:sz w:val="32"/>
          <w:szCs w:val="32"/>
          <w:rtl/>
          <w:lang w:eastAsia="en-US"/>
        </w:rPr>
        <w:t xml:space="preserve"> </w:t>
      </w:r>
      <w:r w:rsidRPr="007D1E26">
        <w:rPr>
          <w:rFonts w:ascii="QCF_BSML" w:hAnsi="QCF_BSML" w:cs="QCF_BSML"/>
          <w:sz w:val="32"/>
          <w:szCs w:val="32"/>
          <w:rtl/>
          <w:lang w:eastAsia="en-US"/>
        </w:rPr>
        <w:t>ﭽ</w:t>
      </w:r>
      <w:r w:rsidRPr="007D1E26">
        <w:rPr>
          <w:rFonts w:ascii="QCF_P289" w:hAnsi="QCF_P289" w:cs="QCF_P289"/>
          <w:sz w:val="32"/>
          <w:szCs w:val="32"/>
          <w:rtl/>
          <w:lang w:eastAsia="en-US"/>
        </w:rPr>
        <w:t>ﯟ  ﯠ   ﯡ</w:t>
      </w:r>
      <w:r w:rsidRPr="007D1E26">
        <w:rPr>
          <w:rFonts w:ascii="QCF_BSML" w:hAnsi="QCF_BSML" w:cs="QCF_BSML"/>
          <w:sz w:val="32"/>
          <w:szCs w:val="32"/>
          <w:rtl/>
          <w:lang w:eastAsia="en-US"/>
        </w:rPr>
        <w:t>ﭼ</w:t>
      </w:r>
      <w:r w:rsidRPr="000651D4">
        <w:rPr>
          <w:rFonts w:ascii="QCF_P289" w:hAnsi="QCF_P289" w:cs="QCF_P289"/>
          <w:sz w:val="32"/>
          <w:szCs w:val="32"/>
          <w:rtl/>
          <w:lang w:eastAsia="en-US"/>
        </w:rPr>
        <w:t xml:space="preserve">  </w:t>
      </w:r>
      <w:r w:rsidR="002C6794">
        <w:rPr>
          <w:rFonts w:ascii="Traditional Arabic" w:hAnsi="Traditional Arabic"/>
          <w:rtl/>
          <w:lang w:eastAsia="en-US"/>
        </w:rPr>
        <w:t>في سبب نزولها أربعة أقوال</w:t>
      </w:r>
      <w:r w:rsidRPr="00C07767">
        <w:rPr>
          <w:rFonts w:ascii="Traditional Arabic" w:hAnsi="Traditional Arabic"/>
          <w:rtl/>
          <w:lang w:eastAsia="en-US"/>
        </w:rPr>
        <w:t>:</w:t>
      </w:r>
      <w:r>
        <w:rPr>
          <w:rFonts w:ascii="Traditional Arabic" w:hAnsi="Traditional Arabic" w:hint="cs"/>
          <w:rtl/>
          <w:lang w:eastAsia="en-US"/>
        </w:rPr>
        <w:t xml:space="preserve"> </w:t>
      </w:r>
      <w:r w:rsidRPr="003771A7">
        <w:rPr>
          <w:rFonts w:ascii="Traditional Arabic" w:hAnsi="Traditional Arabic"/>
          <w:rtl/>
          <w:lang w:eastAsia="en-US"/>
        </w:rPr>
        <w:t>أحدها: أن وفد ثَقيف أتوا رسول الله صلى الله عليه وسلّم فقالوا: متِّعنا باللات سَنة، وحرِّمْ وادينا كما حرَّمْتَ مكة، فأبى ذلك، فأقبلوا</w:t>
      </w:r>
      <w:r>
        <w:rPr>
          <w:rFonts w:ascii="Traditional Arabic" w:hAnsi="Traditional Arabic"/>
          <w:b/>
          <w:bCs/>
          <w:sz w:val="44"/>
          <w:szCs w:val="44"/>
          <w:rtl/>
          <w:lang w:eastAsia="en-US"/>
        </w:rPr>
        <w:t xml:space="preserve"> </w:t>
      </w:r>
      <w:r w:rsidRPr="003771A7">
        <w:rPr>
          <w:rFonts w:ascii="Traditional Arabic" w:hAnsi="Traditional Arabic"/>
          <w:rtl/>
          <w:lang w:eastAsia="en-US"/>
        </w:rPr>
        <w:t>يُكثرون مسألتهم، وقالوا: إِنا نحب</w:t>
      </w:r>
      <w:r w:rsidRPr="00070E6F">
        <w:rPr>
          <w:rFonts w:ascii="Traditional Arabic" w:hAnsi="Traditional Arabic"/>
          <w:rtl/>
          <w:lang w:eastAsia="en-US"/>
        </w:rPr>
        <w:t xml:space="preserve"> أن تعرِّف العرب</w:t>
      </w:r>
      <w:r w:rsidR="00B20E9D">
        <w:rPr>
          <w:rFonts w:ascii="Traditional Arabic" w:hAnsi="Traditional Arabic" w:hint="cs"/>
          <w:rtl/>
          <w:lang w:eastAsia="en-US"/>
        </w:rPr>
        <w:t>َ</w:t>
      </w:r>
      <w:r w:rsidRPr="00070E6F">
        <w:rPr>
          <w:rFonts w:ascii="Traditional Arabic" w:hAnsi="Traditional Arabic"/>
          <w:rtl/>
          <w:lang w:eastAsia="en-US"/>
        </w:rPr>
        <w:t xml:space="preserve"> فضلنا عليهم، فإن خشيتَ أن يقول العرب: أعطيتهم ما لم تعطنا، فقل: الله أمرني بذلك</w:t>
      </w:r>
      <w:r w:rsidR="00F14E1C">
        <w:rPr>
          <w:rFonts w:ascii="Traditional Arabic" w:hAnsi="Traditional Arabic" w:hint="cs"/>
          <w:rtl/>
          <w:lang w:eastAsia="en-US"/>
        </w:rPr>
        <w:t>,</w:t>
      </w:r>
      <w:r w:rsidRPr="00070E6F">
        <w:rPr>
          <w:rFonts w:ascii="Traditional Arabic" w:hAnsi="Traditional Arabic"/>
          <w:rtl/>
          <w:lang w:eastAsia="en-US"/>
        </w:rPr>
        <w:t xml:space="preserve"> فأمسك رسول الله </w:t>
      </w:r>
      <w:r w:rsidR="00F14E1C">
        <w:rPr>
          <w:rFonts w:ascii="Traditional Arabic" w:hAnsi="Traditional Arabic"/>
          <w:lang w:eastAsia="en-US"/>
        </w:rPr>
        <w:t xml:space="preserve"> </w:t>
      </w:r>
      <w:r w:rsidR="00F14E1C">
        <w:rPr>
          <w:rFonts w:ascii="Traditional Arabic" w:hAnsi="Traditional Arabic"/>
          <w:lang w:eastAsia="en-US"/>
        </w:rPr>
        <w:sym w:font="AGA Arabesque" w:char="F072"/>
      </w:r>
      <w:r w:rsidRPr="00070E6F">
        <w:rPr>
          <w:rFonts w:ascii="Traditional Arabic" w:hAnsi="Traditional Arabic"/>
          <w:rtl/>
          <w:lang w:eastAsia="en-US"/>
        </w:rPr>
        <w:t xml:space="preserve">عنهم </w:t>
      </w:r>
      <w:r w:rsidR="00F14E1C">
        <w:rPr>
          <w:rFonts w:ascii="Traditional Arabic" w:hAnsi="Traditional Arabic"/>
          <w:rtl/>
          <w:lang w:eastAsia="en-US"/>
        </w:rPr>
        <w:t xml:space="preserve"> </w:t>
      </w:r>
    </w:p>
    <w:p w:rsidR="00113DC3" w:rsidRDefault="00113DC3" w:rsidP="00085F00">
      <w:pPr>
        <w:widowControl/>
        <w:autoSpaceDE w:val="0"/>
        <w:autoSpaceDN w:val="0"/>
        <w:adjustRightInd w:val="0"/>
        <w:ind w:firstLine="0"/>
        <w:rPr>
          <w:rFonts w:ascii="Traditional Arabic" w:hAnsi="Traditional Arabic"/>
          <w:rtl/>
          <w:lang w:eastAsia="en-US"/>
        </w:rPr>
      </w:pPr>
    </w:p>
    <w:p w:rsidR="00113DC3" w:rsidRDefault="00113DC3" w:rsidP="00085F00">
      <w:pPr>
        <w:widowControl/>
        <w:autoSpaceDE w:val="0"/>
        <w:autoSpaceDN w:val="0"/>
        <w:adjustRightInd w:val="0"/>
        <w:ind w:firstLine="0"/>
        <w:rPr>
          <w:rFonts w:ascii="Traditional Arabic" w:hAnsi="Traditional Arabic"/>
          <w:rtl/>
          <w:lang w:eastAsia="en-US"/>
        </w:rPr>
      </w:pPr>
    </w:p>
    <w:p w:rsidR="00C36615" w:rsidRPr="00F809D5" w:rsidRDefault="00C36615" w:rsidP="00085F00">
      <w:pPr>
        <w:widowControl/>
        <w:autoSpaceDE w:val="0"/>
        <w:autoSpaceDN w:val="0"/>
        <w:adjustRightInd w:val="0"/>
        <w:ind w:firstLine="0"/>
        <w:rPr>
          <w:rFonts w:ascii="Traditional Arabic" w:hAnsi="Traditional Arabic"/>
          <w:rtl/>
          <w:lang w:eastAsia="en-US"/>
        </w:rPr>
      </w:pPr>
      <w:r w:rsidRPr="00070E6F">
        <w:rPr>
          <w:rFonts w:ascii="Traditional Arabic" w:hAnsi="Traditional Arabic"/>
          <w:rtl/>
          <w:lang w:eastAsia="en-US"/>
        </w:rPr>
        <w:lastRenderedPageBreak/>
        <w:t>ودخلهم الطمع</w:t>
      </w:r>
      <w:r w:rsidR="00F14E1C">
        <w:rPr>
          <w:rFonts w:ascii="Traditional Arabic" w:hAnsi="Traditional Arabic" w:hint="cs"/>
          <w:rtl/>
          <w:lang w:eastAsia="en-US"/>
        </w:rPr>
        <w:t>؛</w:t>
      </w:r>
      <w:r w:rsidRPr="00070E6F">
        <w:rPr>
          <w:rFonts w:ascii="Traditional Arabic" w:hAnsi="Traditional Arabic"/>
          <w:rtl/>
          <w:lang w:eastAsia="en-US"/>
        </w:rPr>
        <w:t xml:space="preserve"> فنزلت هذه الآية، رواه عطاء</w:t>
      </w:r>
      <w:r w:rsidRPr="009303B8">
        <w:rPr>
          <w:rStyle w:val="ae"/>
          <w:rtl/>
        </w:rPr>
        <w:t>(</w:t>
      </w:r>
      <w:r>
        <w:rPr>
          <w:rStyle w:val="ae"/>
          <w:rtl/>
        </w:rPr>
        <w:footnoteReference w:id="433"/>
      </w:r>
      <w:r w:rsidRPr="009303B8">
        <w:rPr>
          <w:rStyle w:val="ae"/>
          <w:rtl/>
        </w:rPr>
        <w:t>)</w:t>
      </w:r>
      <w:r w:rsidRPr="00070E6F">
        <w:rPr>
          <w:rFonts w:ascii="Traditional Arabic" w:hAnsi="Traditional Arabic"/>
          <w:rtl/>
          <w:lang w:eastAsia="en-US"/>
        </w:rPr>
        <w:t xml:space="preserve"> عن ابن عباس</w:t>
      </w:r>
      <w:r w:rsidRPr="000651D4">
        <w:rPr>
          <w:rStyle w:val="ae"/>
          <w:rtl/>
        </w:rPr>
        <w:t>(</w:t>
      </w:r>
      <w:r>
        <w:rPr>
          <w:rStyle w:val="ae"/>
          <w:rtl/>
        </w:rPr>
        <w:footnoteReference w:id="434"/>
      </w:r>
      <w:r w:rsidRPr="000651D4">
        <w:rPr>
          <w:rStyle w:val="ae"/>
          <w:rtl/>
        </w:rPr>
        <w:t>)</w:t>
      </w:r>
      <w:r w:rsidRPr="00070E6F">
        <w:rPr>
          <w:rFonts w:ascii="Traditional Arabic" w:hAnsi="Traditional Arabic"/>
          <w:rtl/>
          <w:lang w:eastAsia="en-US"/>
        </w:rPr>
        <w:t>. وروى</w:t>
      </w:r>
      <w:r w:rsidRPr="00F809D5">
        <w:rPr>
          <w:rFonts w:ascii="Traditional Arabic" w:hAnsi="Traditional Arabic"/>
          <w:rtl/>
          <w:lang w:eastAsia="en-US"/>
        </w:rPr>
        <w:t xml:space="preserve"> عطية عن ابن عباس أنهم قالوا: أجِّلنا سنة، ثم نُسلم ونكسر أصنامنا، فهمَّ أن يؤجِّلهم، فنزلت هذه الآية</w:t>
      </w:r>
      <w:r w:rsidRPr="00B55E96">
        <w:rPr>
          <w:rStyle w:val="ae"/>
          <w:rtl/>
        </w:rPr>
        <w:t>(</w:t>
      </w:r>
      <w:r>
        <w:rPr>
          <w:rStyle w:val="ae"/>
          <w:rtl/>
        </w:rPr>
        <w:footnoteReference w:id="435"/>
      </w:r>
      <w:r w:rsidRPr="00B55E96">
        <w:rPr>
          <w:rStyle w:val="ae"/>
          <w:rtl/>
        </w:rPr>
        <w:t>)</w:t>
      </w:r>
      <w:r w:rsidRPr="00F809D5">
        <w:rPr>
          <w:rFonts w:ascii="Traditional Arabic" w:hAnsi="Traditional Arabic"/>
          <w:rtl/>
          <w:lang w:eastAsia="en-US"/>
        </w:rPr>
        <w:t>.</w:t>
      </w:r>
    </w:p>
    <w:p w:rsidR="00C36615" w:rsidRPr="00F809D5" w:rsidRDefault="00C36615" w:rsidP="007351EB">
      <w:pPr>
        <w:widowControl/>
        <w:autoSpaceDE w:val="0"/>
        <w:autoSpaceDN w:val="0"/>
        <w:adjustRightInd w:val="0"/>
        <w:ind w:firstLine="0"/>
        <w:rPr>
          <w:rFonts w:ascii="Traditional Arabic" w:hAnsi="Traditional Arabic"/>
          <w:rtl/>
          <w:lang w:eastAsia="en-US"/>
        </w:rPr>
      </w:pPr>
      <w:r w:rsidRPr="00F809D5">
        <w:rPr>
          <w:rFonts w:ascii="Traditional Arabic" w:hAnsi="Traditional Arabic"/>
          <w:rtl/>
          <w:lang w:eastAsia="en-US"/>
        </w:rPr>
        <w:t xml:space="preserve">والثاني: أنّ المشركين قالوا للنبيّ </w:t>
      </w:r>
      <w:r w:rsidR="00F14E1C">
        <w:rPr>
          <w:rFonts w:ascii="Traditional Arabic" w:hAnsi="Traditional Arabic"/>
          <w:lang w:eastAsia="en-US"/>
        </w:rPr>
        <w:sym w:font="AGA Arabesque" w:char="F072"/>
      </w:r>
      <w:r w:rsidRPr="00F809D5">
        <w:rPr>
          <w:rFonts w:ascii="Traditional Arabic" w:hAnsi="Traditional Arabic"/>
          <w:rtl/>
          <w:lang w:eastAsia="en-US"/>
        </w:rPr>
        <w:t>: لا نكفُّ عنك إِلا بأن تُلِمَّ</w:t>
      </w:r>
      <w:r w:rsidRPr="00AA3066">
        <w:rPr>
          <w:rStyle w:val="ae"/>
          <w:rtl/>
        </w:rPr>
        <w:t>(</w:t>
      </w:r>
      <w:r>
        <w:rPr>
          <w:rStyle w:val="ae"/>
          <w:rtl/>
        </w:rPr>
        <w:footnoteReference w:id="436"/>
      </w:r>
      <w:r w:rsidRPr="00AA3066">
        <w:rPr>
          <w:rStyle w:val="ae"/>
          <w:rtl/>
        </w:rPr>
        <w:t>)</w:t>
      </w:r>
      <w:r w:rsidRPr="00F809D5">
        <w:rPr>
          <w:rFonts w:ascii="Traditional Arabic" w:hAnsi="Traditional Arabic"/>
          <w:rtl/>
          <w:lang w:eastAsia="en-US"/>
        </w:rPr>
        <w:t xml:space="preserve"> بآلهتنا، ولو بأطراف </w:t>
      </w:r>
      <w:r w:rsidR="00F14E1C">
        <w:rPr>
          <w:rFonts w:ascii="Traditional Arabic" w:hAnsi="Traditional Arabic"/>
          <w:rtl/>
          <w:lang w:eastAsia="en-US"/>
        </w:rPr>
        <w:t xml:space="preserve"> </w:t>
      </w:r>
      <w:r w:rsidRPr="00F809D5">
        <w:rPr>
          <w:rFonts w:ascii="Traditional Arabic" w:hAnsi="Traditional Arabic"/>
          <w:rtl/>
          <w:lang w:eastAsia="en-US"/>
        </w:rPr>
        <w:t>أصابعك، فقال رسول الله</w:t>
      </w:r>
      <w:r w:rsidR="00F14E1C">
        <w:rPr>
          <w:rFonts w:ascii="Traditional Arabic" w:hAnsi="Traditional Arabic"/>
          <w:lang w:eastAsia="en-US"/>
        </w:rPr>
        <w:sym w:font="AGA Arabesque" w:char="F072"/>
      </w:r>
      <w:r w:rsidRPr="00F809D5">
        <w:rPr>
          <w:rFonts w:ascii="Traditional Arabic" w:hAnsi="Traditional Arabic"/>
          <w:rtl/>
          <w:lang w:eastAsia="en-US"/>
        </w:rPr>
        <w:t xml:space="preserve">: </w:t>
      </w:r>
      <w:r w:rsidR="007351EB" w:rsidRPr="007351EB">
        <w:rPr>
          <w:rFonts w:ascii="Traditional Arabic" w:hAnsi="Traditional Arabic"/>
          <w:rtl/>
          <w:lang w:eastAsia="en-US"/>
        </w:rPr>
        <w:t>«</w:t>
      </w:r>
      <w:r w:rsidRPr="00F809D5">
        <w:rPr>
          <w:rFonts w:ascii="Traditional Arabic" w:hAnsi="Traditional Arabic"/>
          <w:rtl/>
          <w:lang w:eastAsia="en-US"/>
        </w:rPr>
        <w:t>ما علَيَّ لو فعلت والله يعلم إِني لَكاره</w:t>
      </w:r>
      <w:r w:rsidR="007351EB" w:rsidRPr="007351EB">
        <w:rPr>
          <w:rFonts w:ascii="Traditional Arabic" w:hAnsi="Traditional Arabic"/>
          <w:rtl/>
          <w:lang w:eastAsia="en-US"/>
        </w:rPr>
        <w:t>»</w:t>
      </w:r>
      <w:r w:rsidRPr="00F809D5">
        <w:rPr>
          <w:rFonts w:ascii="Traditional Arabic" w:hAnsi="Traditional Arabic"/>
          <w:rtl/>
          <w:lang w:eastAsia="en-US"/>
        </w:rPr>
        <w:t xml:space="preserve">؟ فنزلت هذه الآية، </w:t>
      </w:r>
      <w:r w:rsidR="00F14E1C">
        <w:rPr>
          <w:rFonts w:ascii="Traditional Arabic" w:hAnsi="Traditional Arabic"/>
          <w:rtl/>
          <w:lang w:eastAsia="en-US"/>
        </w:rPr>
        <w:t xml:space="preserve"> </w:t>
      </w:r>
      <w:r w:rsidRPr="00F809D5">
        <w:rPr>
          <w:rFonts w:ascii="Traditional Arabic" w:hAnsi="Traditional Arabic"/>
          <w:rtl/>
          <w:lang w:eastAsia="en-US"/>
        </w:rPr>
        <w:t>قاله سعيد بن جبير</w:t>
      </w:r>
      <w:r w:rsidRPr="00730C73">
        <w:rPr>
          <w:rStyle w:val="ae"/>
          <w:rtl/>
        </w:rPr>
        <w:t>(</w:t>
      </w:r>
      <w:r>
        <w:rPr>
          <w:rStyle w:val="ae"/>
          <w:rtl/>
        </w:rPr>
        <w:footnoteReference w:id="437"/>
      </w:r>
      <w:r w:rsidRPr="00730C73">
        <w:rPr>
          <w:rStyle w:val="ae"/>
          <w:rtl/>
        </w:rPr>
        <w:t>)</w:t>
      </w:r>
      <w:r w:rsidRPr="00F809D5">
        <w:rPr>
          <w:rFonts w:ascii="Traditional Arabic" w:hAnsi="Traditional Arabic"/>
          <w:rtl/>
          <w:lang w:eastAsia="en-US"/>
        </w:rPr>
        <w:t>، وهذا باطل لا يجوز أن يُظَنَّ برسول الله</w:t>
      </w:r>
      <w:r w:rsidR="00F14E1C">
        <w:rPr>
          <w:rFonts w:ascii="Traditional Arabic" w:hAnsi="Traditional Arabic" w:hint="cs"/>
          <w:rtl/>
          <w:lang w:eastAsia="en-US"/>
        </w:rPr>
        <w:t xml:space="preserve"> </w:t>
      </w:r>
      <w:r w:rsidR="00F14E1C">
        <w:rPr>
          <w:rFonts w:ascii="Traditional Arabic" w:hAnsi="Traditional Arabic"/>
          <w:lang w:eastAsia="en-US"/>
        </w:rPr>
        <w:t xml:space="preserve"> </w:t>
      </w:r>
      <w:r w:rsidR="00F14E1C">
        <w:rPr>
          <w:rFonts w:ascii="Traditional Arabic" w:hAnsi="Traditional Arabic"/>
          <w:lang w:eastAsia="en-US"/>
        </w:rPr>
        <w:sym w:font="AGA Arabesque" w:char="F072"/>
      </w:r>
      <w:r w:rsidRPr="00F809D5">
        <w:rPr>
          <w:rFonts w:ascii="Traditional Arabic" w:hAnsi="Traditional Arabic"/>
          <w:rtl/>
          <w:lang w:eastAsia="en-US"/>
        </w:rPr>
        <w:t xml:space="preserve">، ولا ما ذكرنا عن عطية من </w:t>
      </w:r>
      <w:r w:rsidR="00F14E1C">
        <w:rPr>
          <w:rFonts w:ascii="Traditional Arabic" w:hAnsi="Traditional Arabic"/>
          <w:rtl/>
          <w:lang w:eastAsia="en-US"/>
        </w:rPr>
        <w:t xml:space="preserve"> </w:t>
      </w:r>
      <w:r w:rsidRPr="00F809D5">
        <w:rPr>
          <w:rFonts w:ascii="Traditional Arabic" w:hAnsi="Traditional Arabic"/>
          <w:rtl/>
          <w:lang w:eastAsia="en-US"/>
        </w:rPr>
        <w:t>أنه همَّ أن يُنْظِرهم سنة، وكل ذلك مُحال في حَ</w:t>
      </w:r>
      <w:r w:rsidR="00B20E9D">
        <w:rPr>
          <w:rFonts w:ascii="Traditional Arabic" w:hAnsi="Traditional Arabic"/>
          <w:rtl/>
          <w:lang w:eastAsia="en-US"/>
        </w:rPr>
        <w:t>قِّه وفي حق الصحابة أنهم رَوَوا</w:t>
      </w:r>
      <w:r w:rsidRPr="00F809D5">
        <w:rPr>
          <w:rFonts w:ascii="Traditional Arabic" w:hAnsi="Traditional Arabic"/>
          <w:rtl/>
          <w:lang w:eastAsia="en-US"/>
        </w:rPr>
        <w:t xml:space="preserve"> عنه.</w:t>
      </w:r>
    </w:p>
    <w:p w:rsidR="00085F00" w:rsidRPr="009422F2" w:rsidRDefault="00C36615" w:rsidP="009422F2">
      <w:pPr>
        <w:widowControl/>
        <w:autoSpaceDE w:val="0"/>
        <w:autoSpaceDN w:val="0"/>
        <w:adjustRightInd w:val="0"/>
        <w:ind w:firstLine="0"/>
        <w:rPr>
          <w:rFonts w:ascii="Traditional Arabic" w:hAnsi="Traditional Arabic"/>
          <w:color w:val="FF0000"/>
          <w:rtl/>
          <w:lang w:eastAsia="en-US"/>
        </w:rPr>
      </w:pPr>
      <w:r w:rsidRPr="007A1A33">
        <w:rPr>
          <w:rFonts w:ascii="Traditional Arabic" w:hAnsi="Traditional Arabic"/>
          <w:rtl/>
          <w:lang w:eastAsia="en-US"/>
        </w:rPr>
        <w:t>والثالث: أن قريشاً خَلَواْ بر</w:t>
      </w:r>
      <w:r w:rsidRPr="005D42B9">
        <w:rPr>
          <w:rFonts w:ascii="Traditional Arabic" w:hAnsi="Traditional Arabic"/>
          <w:rtl/>
          <w:lang w:eastAsia="en-US"/>
        </w:rPr>
        <w:t>سول الله ليلةً إِلى الصباح يكلِّمونه ويفخِّمونه، ويقولون: أنت سيدنا وابن سيدنا، وما زالوا به حتى كاد يقاربهم في بعض ما يريدون، ثم عصمه الله من ذلك</w:t>
      </w:r>
      <w:r>
        <w:rPr>
          <w:rFonts w:ascii="Traditional Arabic" w:hAnsi="Traditional Arabic"/>
          <w:rtl/>
          <w:lang w:eastAsia="en-US"/>
        </w:rPr>
        <w:t>،</w:t>
      </w:r>
      <w:r w:rsidR="00C2177A">
        <w:rPr>
          <w:rFonts w:ascii="Traditional Arabic" w:hAnsi="Traditional Arabic" w:hint="cs"/>
          <w:rtl/>
          <w:lang w:eastAsia="en-US"/>
        </w:rPr>
        <w:t xml:space="preserve"> </w:t>
      </w:r>
      <w:r w:rsidRPr="005D42B9">
        <w:rPr>
          <w:rFonts w:ascii="Traditional Arabic" w:hAnsi="Traditional Arabic"/>
          <w:rtl/>
          <w:lang w:eastAsia="en-US"/>
        </w:rPr>
        <w:t>ونزلت هذه الآية، قاله قتادة</w:t>
      </w:r>
      <w:r w:rsidRPr="00730C73">
        <w:rPr>
          <w:rStyle w:val="ae"/>
          <w:rtl/>
        </w:rPr>
        <w:t>(</w:t>
      </w:r>
      <w:r>
        <w:rPr>
          <w:rStyle w:val="ae"/>
          <w:rtl/>
        </w:rPr>
        <w:footnoteReference w:id="438"/>
      </w:r>
      <w:r w:rsidRPr="00730C73">
        <w:rPr>
          <w:rStyle w:val="ae"/>
          <w:rtl/>
        </w:rPr>
        <w:t>)</w:t>
      </w:r>
      <w:r w:rsidRPr="005D42B9">
        <w:rPr>
          <w:rFonts w:ascii="Traditional Arabic" w:hAnsi="Traditional Arabic"/>
          <w:rtl/>
          <w:lang w:eastAsia="en-US"/>
        </w:rPr>
        <w:t>.</w:t>
      </w:r>
      <w:r w:rsidR="004A6979">
        <w:rPr>
          <w:rFonts w:ascii="Traditional Arabic" w:hAnsi="Traditional Arabic" w:hint="cs"/>
          <w:color w:val="FF0000"/>
          <w:rtl/>
          <w:lang w:eastAsia="en-US"/>
        </w:rPr>
        <w:t xml:space="preserve"> </w:t>
      </w:r>
      <w:r w:rsidR="007351EB">
        <w:rPr>
          <w:rFonts w:ascii="Traditional Arabic" w:hAnsi="Traditional Arabic"/>
          <w:rtl/>
          <w:lang w:eastAsia="en-US"/>
        </w:rPr>
        <w:t>والرابع:</w:t>
      </w:r>
      <w:r w:rsidR="007351EB">
        <w:rPr>
          <w:rFonts w:ascii="Traditional Arabic" w:hAnsi="Traditional Arabic" w:hint="cs"/>
          <w:rtl/>
          <w:lang w:eastAsia="en-US"/>
        </w:rPr>
        <w:t xml:space="preserve"> </w:t>
      </w:r>
      <w:r w:rsidRPr="005D42B9">
        <w:rPr>
          <w:rFonts w:ascii="Traditional Arabic" w:hAnsi="Traditional Arabic"/>
          <w:rtl/>
          <w:lang w:eastAsia="en-US"/>
        </w:rPr>
        <w:t xml:space="preserve">أنهم قالوا لرسول الله </w:t>
      </w:r>
      <w:r w:rsidR="00C2177A">
        <w:rPr>
          <w:rFonts w:ascii="Traditional Arabic" w:hAnsi="Traditional Arabic"/>
          <w:lang w:eastAsia="en-US"/>
        </w:rPr>
        <w:sym w:font="AGA Arabesque" w:char="F072"/>
      </w:r>
      <w:r w:rsidR="00C2177A">
        <w:rPr>
          <w:rFonts w:ascii="Traditional Arabic" w:hAnsi="Traditional Arabic" w:hint="cs"/>
          <w:rtl/>
          <w:lang w:eastAsia="en-US"/>
        </w:rPr>
        <w:t xml:space="preserve"> </w:t>
      </w:r>
      <w:r w:rsidRPr="005D42B9">
        <w:rPr>
          <w:rFonts w:ascii="Traditional Arabic" w:hAnsi="Traditional Arabic"/>
          <w:rtl/>
          <w:lang w:eastAsia="en-US"/>
        </w:rPr>
        <w:t>: اطرد عنك سُقَاط الناس</w:t>
      </w:r>
      <w:r w:rsidR="007A63AD" w:rsidRPr="007A63AD">
        <w:rPr>
          <w:rStyle w:val="ae"/>
          <w:rtl/>
        </w:rPr>
        <w:t>(</w:t>
      </w:r>
      <w:r w:rsidR="007A63AD">
        <w:rPr>
          <w:rStyle w:val="ae"/>
          <w:rtl/>
        </w:rPr>
        <w:footnoteReference w:id="439"/>
      </w:r>
      <w:r w:rsidR="007A63AD" w:rsidRPr="007A63AD">
        <w:rPr>
          <w:rStyle w:val="ae"/>
          <w:rtl/>
        </w:rPr>
        <w:t>)</w:t>
      </w:r>
      <w:r w:rsidRPr="005D42B9">
        <w:rPr>
          <w:rFonts w:ascii="Traditional Arabic" w:hAnsi="Traditional Arabic"/>
          <w:rtl/>
          <w:lang w:eastAsia="en-US"/>
        </w:rPr>
        <w:t xml:space="preserve">، ومواليهم، وهؤلاء الذين رائحتهم </w:t>
      </w:r>
      <w:r w:rsidR="00C2177A">
        <w:rPr>
          <w:rFonts w:ascii="Traditional Arabic" w:hAnsi="Traditional Arabic"/>
          <w:rtl/>
          <w:lang w:eastAsia="en-US"/>
        </w:rPr>
        <w:t xml:space="preserve"> </w:t>
      </w:r>
      <w:r w:rsidRPr="005D42B9">
        <w:rPr>
          <w:rFonts w:ascii="Traditional Arabic" w:hAnsi="Traditional Arabic"/>
          <w:rtl/>
          <w:lang w:eastAsia="en-US"/>
        </w:rPr>
        <w:t xml:space="preserve">رائحة الضأن، وذلك أنهم كانوا يلبَسون الصوف، حتى نجالسَك ونسمعَ منك، فهمَّ رسول الله </w:t>
      </w:r>
      <w:r w:rsidR="00C2177A">
        <w:rPr>
          <w:rFonts w:ascii="Traditional Arabic" w:hAnsi="Traditional Arabic"/>
          <w:lang w:eastAsia="en-US"/>
        </w:rPr>
        <w:sym w:font="AGA Arabesque" w:char="F072"/>
      </w:r>
      <w:r w:rsidRPr="005D42B9">
        <w:rPr>
          <w:rFonts w:ascii="Traditional Arabic" w:hAnsi="Traditional Arabic"/>
          <w:rtl/>
          <w:lang w:eastAsia="en-US"/>
        </w:rPr>
        <w:t xml:space="preserve"> أن </w:t>
      </w:r>
      <w:r w:rsidR="00156316">
        <w:rPr>
          <w:rFonts w:ascii="QCF_BSML" w:hAnsi="QCF_BSML" w:cs="QCF_BSML" w:hint="cs"/>
          <w:color w:val="0D0D0D" w:themeColor="text1" w:themeTint="F2"/>
          <w:sz w:val="32"/>
          <w:szCs w:val="32"/>
          <w:rtl/>
          <w:lang w:eastAsia="en-US"/>
        </w:rPr>
        <w:t xml:space="preserve"> </w:t>
      </w:r>
      <w:r w:rsidR="00156316" w:rsidRPr="001277AD">
        <w:rPr>
          <w:rFonts w:hint="cs"/>
          <w:color w:val="0D0D0D" w:themeColor="text1" w:themeTint="F2"/>
          <w:sz w:val="32"/>
          <w:szCs w:val="32"/>
          <w:rtl/>
        </w:rPr>
        <w:t>[</w:t>
      </w:r>
      <w:r w:rsidR="00156316">
        <w:rPr>
          <w:rFonts w:hint="cs"/>
          <w:color w:val="0D0D0D" w:themeColor="text1" w:themeTint="F2"/>
          <w:sz w:val="32"/>
          <w:szCs w:val="32"/>
          <w:rtl/>
        </w:rPr>
        <w:t>81</w:t>
      </w:r>
      <w:r w:rsidR="00156316" w:rsidRPr="001277AD">
        <w:rPr>
          <w:rFonts w:hint="cs"/>
          <w:color w:val="0D0D0D" w:themeColor="text1" w:themeTint="F2"/>
          <w:sz w:val="32"/>
          <w:szCs w:val="32"/>
          <w:rtl/>
        </w:rPr>
        <w:t>]</w:t>
      </w:r>
      <w:r w:rsidR="00156316" w:rsidRPr="001277AD">
        <w:rPr>
          <w:rFonts w:ascii="Traditional Arabic" w:hAnsi="Traditional Arabic"/>
          <w:color w:val="0D0D0D" w:themeColor="text1" w:themeTint="F2"/>
          <w:sz w:val="32"/>
          <w:szCs w:val="32"/>
          <w:rtl/>
          <w:lang w:eastAsia="en-US"/>
        </w:rPr>
        <w:t xml:space="preserve"> </w:t>
      </w:r>
      <w:r w:rsidRPr="005D42B9">
        <w:rPr>
          <w:rFonts w:ascii="Traditional Arabic" w:hAnsi="Traditional Arabic"/>
          <w:rtl/>
          <w:lang w:eastAsia="en-US"/>
        </w:rPr>
        <w:t>يفعل ما يستد</w:t>
      </w:r>
      <w:r w:rsidR="00C94522">
        <w:rPr>
          <w:rFonts w:ascii="Traditional Arabic" w:hAnsi="Traditional Arabic"/>
          <w:rtl/>
          <w:lang w:eastAsia="en-US"/>
        </w:rPr>
        <w:t xml:space="preserve">عي به إِسلامهم، فنزلت </w:t>
      </w:r>
      <w:r w:rsidR="00C94522">
        <w:rPr>
          <w:rFonts w:ascii="Traditional Arabic" w:hAnsi="Traditional Arabic"/>
          <w:rtl/>
          <w:lang w:eastAsia="en-US"/>
        </w:rPr>
        <w:lastRenderedPageBreak/>
        <w:t>هذه الآي</w:t>
      </w:r>
      <w:r w:rsidR="00966DAF">
        <w:rPr>
          <w:rFonts w:ascii="Traditional Arabic" w:hAnsi="Traditional Arabic" w:hint="cs"/>
          <w:rtl/>
          <w:lang w:eastAsia="en-US"/>
        </w:rPr>
        <w:t>ة</w:t>
      </w:r>
      <w:r w:rsidR="00C94522" w:rsidRPr="00C94522">
        <w:rPr>
          <w:rStyle w:val="ae"/>
          <w:rtl/>
        </w:rPr>
        <w:t>(</w:t>
      </w:r>
      <w:r w:rsidR="00C94522">
        <w:rPr>
          <w:rStyle w:val="ae"/>
          <w:rtl/>
        </w:rPr>
        <w:footnoteReference w:id="440"/>
      </w:r>
      <w:r w:rsidR="00C94522" w:rsidRPr="00C94522">
        <w:rPr>
          <w:rStyle w:val="ae"/>
          <w:rtl/>
        </w:rPr>
        <w:t>)</w:t>
      </w:r>
      <w:r w:rsidRPr="005D42B9">
        <w:rPr>
          <w:rFonts w:ascii="Traditional Arabic" w:hAnsi="Traditional Arabic"/>
          <w:rtl/>
          <w:lang w:eastAsia="en-US"/>
        </w:rPr>
        <w:t>. حكاه الزجاج</w:t>
      </w:r>
      <w:r w:rsidR="00C2177A" w:rsidRPr="00C2177A">
        <w:rPr>
          <w:rStyle w:val="ae"/>
          <w:rtl/>
        </w:rPr>
        <w:t>(</w:t>
      </w:r>
      <w:r w:rsidR="00C2177A">
        <w:rPr>
          <w:rStyle w:val="ae"/>
          <w:rtl/>
        </w:rPr>
        <w:footnoteReference w:id="441"/>
      </w:r>
      <w:r w:rsidR="00C2177A" w:rsidRPr="00C2177A">
        <w:rPr>
          <w:rStyle w:val="ae"/>
          <w:rtl/>
        </w:rPr>
        <w:t>)</w:t>
      </w:r>
      <w:r w:rsidR="007E3759">
        <w:rPr>
          <w:rFonts w:ascii="Traditional Arabic" w:hAnsi="Traditional Arabic"/>
          <w:rtl/>
          <w:lang w:eastAsia="en-US"/>
        </w:rPr>
        <w:t xml:space="preserve"> قال: ومعنى الكلام:</w:t>
      </w:r>
      <w:r w:rsidR="00C2177A">
        <w:rPr>
          <w:rFonts w:ascii="Traditional Arabic" w:hAnsi="Traditional Arabic"/>
          <w:rtl/>
          <w:lang w:eastAsia="en-US"/>
        </w:rPr>
        <w:t xml:space="preserve"> </w:t>
      </w:r>
      <w:r w:rsidRPr="005D42B9">
        <w:rPr>
          <w:rFonts w:ascii="Traditional Arabic" w:hAnsi="Traditional Arabic"/>
          <w:rtl/>
          <w:lang w:eastAsia="en-US"/>
        </w:rPr>
        <w:t>كادوا يفتنونك، ودخلت «إِن» واللام للتوكيد</w:t>
      </w:r>
      <w:r w:rsidR="007E3759" w:rsidRPr="007E3759">
        <w:rPr>
          <w:rStyle w:val="ae"/>
          <w:rtl/>
        </w:rPr>
        <w:t>(</w:t>
      </w:r>
      <w:r w:rsidR="007E3759">
        <w:rPr>
          <w:rStyle w:val="ae"/>
          <w:rtl/>
        </w:rPr>
        <w:footnoteReference w:id="442"/>
      </w:r>
      <w:r w:rsidR="007E3759" w:rsidRPr="007E3759">
        <w:rPr>
          <w:rStyle w:val="ae"/>
          <w:rtl/>
        </w:rPr>
        <w:t>)</w:t>
      </w:r>
      <w:r w:rsidRPr="005D42B9">
        <w:rPr>
          <w:rFonts w:ascii="Traditional Arabic" w:hAnsi="Traditional Arabic"/>
          <w:rtl/>
          <w:lang w:eastAsia="en-US"/>
        </w:rPr>
        <w:t>. قال المفسرون: وإِنما قال:</w:t>
      </w:r>
      <w:r w:rsidR="00823890" w:rsidRPr="00823890">
        <w:rPr>
          <w:rFonts w:ascii="QCF_BSML" w:hAnsi="QCF_BSML" w:cs="QCF_BSML"/>
          <w:sz w:val="32"/>
          <w:szCs w:val="32"/>
          <w:rtl/>
          <w:lang w:eastAsia="en-US"/>
        </w:rPr>
        <w:t xml:space="preserve"> </w:t>
      </w:r>
      <w:r w:rsidR="00823890" w:rsidRPr="0040702C">
        <w:rPr>
          <w:rFonts w:ascii="QCF_BSML" w:hAnsi="QCF_BSML" w:cs="QCF_BSML"/>
          <w:sz w:val="32"/>
          <w:szCs w:val="32"/>
          <w:rtl/>
          <w:lang w:eastAsia="en-US"/>
        </w:rPr>
        <w:t>ﭽ</w:t>
      </w:r>
      <w:r w:rsidRPr="005D42B9">
        <w:rPr>
          <w:rFonts w:ascii="Traditional Arabic" w:hAnsi="Traditional Arabic"/>
          <w:rtl/>
          <w:lang w:eastAsia="en-US"/>
        </w:rPr>
        <w:t xml:space="preserve"> </w:t>
      </w:r>
      <w:r w:rsidR="00823890" w:rsidRPr="00E667B0">
        <w:rPr>
          <w:rFonts w:ascii="QCF_P289" w:hAnsi="QCF_P289" w:cs="QCF_P289"/>
          <w:color w:val="auto"/>
          <w:sz w:val="32"/>
          <w:szCs w:val="32"/>
          <w:rtl/>
          <w:lang w:eastAsia="en-US"/>
        </w:rPr>
        <w:t>ﯡ</w:t>
      </w:r>
      <w:r w:rsidR="00823890" w:rsidRPr="0040702C">
        <w:rPr>
          <w:rFonts w:ascii="QCF_BSML" w:hAnsi="QCF_BSML" w:cs="QCF_BSML"/>
          <w:sz w:val="32"/>
          <w:szCs w:val="32"/>
          <w:rtl/>
          <w:lang w:eastAsia="en-US"/>
        </w:rPr>
        <w:t>ﭼ</w:t>
      </w:r>
      <w:r w:rsidRPr="005D42B9">
        <w:rPr>
          <w:rFonts w:ascii="Traditional Arabic" w:hAnsi="Traditional Arabic"/>
          <w:rtl/>
          <w:lang w:eastAsia="en-US"/>
        </w:rPr>
        <w:t xml:space="preserve"> لأن في إِعطائهم</w:t>
      </w:r>
      <w:r w:rsidR="008159DB">
        <w:rPr>
          <w:rFonts w:hint="cs"/>
          <w:rtl/>
        </w:rPr>
        <w:t xml:space="preserve"> </w:t>
      </w:r>
      <w:r w:rsidRPr="005D42B9">
        <w:rPr>
          <w:rFonts w:ascii="Traditional Arabic" w:hAnsi="Traditional Arabic"/>
          <w:rtl/>
          <w:lang w:eastAsia="en-US"/>
        </w:rPr>
        <w:t>ما سألوا مخالفةً لحكم القرآن</w:t>
      </w:r>
      <w:r w:rsidR="007E3759" w:rsidRPr="007E3759">
        <w:rPr>
          <w:rStyle w:val="ae"/>
          <w:rtl/>
        </w:rPr>
        <w:t>(</w:t>
      </w:r>
      <w:r w:rsidR="007E3759">
        <w:rPr>
          <w:rStyle w:val="ae"/>
          <w:rtl/>
        </w:rPr>
        <w:footnoteReference w:id="443"/>
      </w:r>
      <w:r w:rsidR="007E3759" w:rsidRPr="007E3759">
        <w:rPr>
          <w:rStyle w:val="ae"/>
          <w:rtl/>
        </w:rPr>
        <w:t>)</w:t>
      </w:r>
      <w:r w:rsidRPr="005D42B9">
        <w:rPr>
          <w:rFonts w:ascii="Traditional Arabic" w:hAnsi="Traditional Arabic"/>
          <w:rtl/>
          <w:lang w:eastAsia="en-US"/>
        </w:rPr>
        <w:t>.</w:t>
      </w:r>
      <w:r w:rsidR="007351EB">
        <w:rPr>
          <w:rFonts w:ascii="Traditional Arabic" w:hAnsi="Traditional Arabic" w:hint="cs"/>
          <w:rtl/>
          <w:lang w:eastAsia="en-US"/>
        </w:rPr>
        <w:t xml:space="preserve"> </w:t>
      </w:r>
      <w:r w:rsidRPr="005D42B9">
        <w:rPr>
          <w:rFonts w:ascii="Traditional Arabic" w:hAnsi="Traditional Arabic"/>
          <w:rtl/>
          <w:lang w:eastAsia="en-US"/>
        </w:rPr>
        <w:t xml:space="preserve">قوله تعالى: </w:t>
      </w:r>
      <w:r w:rsidR="00B52E46" w:rsidRPr="0040702C">
        <w:rPr>
          <w:rFonts w:ascii="QCF_BSML" w:hAnsi="QCF_BSML" w:cs="QCF_BSML"/>
          <w:sz w:val="32"/>
          <w:szCs w:val="32"/>
          <w:rtl/>
          <w:lang w:eastAsia="en-US"/>
        </w:rPr>
        <w:t>ﭽ</w:t>
      </w:r>
      <w:r w:rsidR="00B52E46" w:rsidRPr="0040702C">
        <w:rPr>
          <w:rFonts w:ascii="QCF_P289" w:hAnsi="QCF_P289" w:cs="QCF_P289"/>
          <w:sz w:val="32"/>
          <w:szCs w:val="32"/>
          <w:rtl/>
          <w:lang w:eastAsia="en-US"/>
        </w:rPr>
        <w:t>ﯦ</w:t>
      </w:r>
      <w:r w:rsidR="00B52E46" w:rsidRPr="0040702C">
        <w:rPr>
          <w:rFonts w:ascii="QCF_BSML" w:hAnsi="QCF_BSML" w:cs="QCF_BSML"/>
          <w:sz w:val="32"/>
          <w:szCs w:val="32"/>
          <w:rtl/>
          <w:lang w:eastAsia="en-US"/>
        </w:rPr>
        <w:t>ﭼ</w:t>
      </w:r>
      <w:r w:rsidRPr="005D42B9">
        <w:rPr>
          <w:rFonts w:ascii="Traditional Arabic" w:hAnsi="Traditional Arabic"/>
          <w:rtl/>
          <w:lang w:eastAsia="en-US"/>
        </w:rPr>
        <w:t xml:space="preserve"> أي: لتختلقَ </w:t>
      </w:r>
      <w:r w:rsidR="0040702C">
        <w:rPr>
          <w:rFonts w:ascii="Traditional Arabic" w:hAnsi="Traditional Arabic"/>
          <w:rtl/>
          <w:lang w:eastAsia="en-US"/>
        </w:rPr>
        <w:t>عَلَيْنا غَيْرَهُ وهو قولهم: قل</w:t>
      </w:r>
      <w:r w:rsidR="0040702C">
        <w:rPr>
          <w:rFonts w:ascii="Traditional Arabic" w:hAnsi="Traditional Arabic" w:hint="cs"/>
          <w:rtl/>
          <w:lang w:eastAsia="en-US"/>
        </w:rPr>
        <w:t xml:space="preserve"> </w:t>
      </w:r>
      <w:r w:rsidR="00966DAF">
        <w:rPr>
          <w:rFonts w:ascii="Traditional Arabic" w:hAnsi="Traditional Arabic" w:hint="cs"/>
          <w:rtl/>
          <w:lang w:eastAsia="en-US"/>
        </w:rPr>
        <w:t>[</w:t>
      </w:r>
      <w:r w:rsidRPr="005D42B9">
        <w:rPr>
          <w:rFonts w:ascii="Traditional Arabic" w:hAnsi="Traditional Arabic"/>
          <w:rtl/>
          <w:lang w:eastAsia="en-US"/>
        </w:rPr>
        <w:t>الله</w:t>
      </w:r>
      <w:r w:rsidR="00966DAF">
        <w:rPr>
          <w:rFonts w:ascii="Traditional Arabic" w:hAnsi="Traditional Arabic" w:hint="cs"/>
          <w:rtl/>
          <w:lang w:eastAsia="en-US"/>
        </w:rPr>
        <w:t>]</w:t>
      </w:r>
      <w:r w:rsidR="00874FD1" w:rsidRPr="00874FD1">
        <w:rPr>
          <w:rStyle w:val="ae"/>
          <w:rtl/>
        </w:rPr>
        <w:t>(</w:t>
      </w:r>
      <w:r w:rsidR="00874FD1">
        <w:rPr>
          <w:rStyle w:val="ae"/>
          <w:rtl/>
        </w:rPr>
        <w:footnoteReference w:id="444"/>
      </w:r>
      <w:r w:rsidR="00874FD1" w:rsidRPr="00874FD1">
        <w:rPr>
          <w:rStyle w:val="ae"/>
          <w:rtl/>
        </w:rPr>
        <w:t>)</w:t>
      </w:r>
      <w:r w:rsidRPr="005D42B9">
        <w:rPr>
          <w:rFonts w:ascii="Traditional Arabic" w:hAnsi="Traditional Arabic"/>
          <w:rtl/>
          <w:lang w:eastAsia="en-US"/>
        </w:rPr>
        <w:t xml:space="preserve">أمرني بذلك، وَإِذاً لو فعلت ذلك </w:t>
      </w:r>
      <w:r w:rsidR="005714F0" w:rsidRPr="0040702C">
        <w:rPr>
          <w:rFonts w:ascii="QCF_BSML" w:hAnsi="QCF_BSML" w:cs="QCF_BSML"/>
          <w:sz w:val="32"/>
          <w:szCs w:val="32"/>
          <w:rtl/>
          <w:lang w:eastAsia="en-US"/>
        </w:rPr>
        <w:t>ﭽ</w:t>
      </w:r>
      <w:r w:rsidR="005714F0" w:rsidRPr="0040702C">
        <w:rPr>
          <w:rFonts w:ascii="QCF_P289" w:hAnsi="QCF_P289" w:cs="QCF_P289"/>
          <w:sz w:val="32"/>
          <w:szCs w:val="32"/>
          <w:rtl/>
          <w:lang w:eastAsia="en-US"/>
        </w:rPr>
        <w:t>ﯫ  ﯬ</w:t>
      </w:r>
      <w:r w:rsidR="005714F0" w:rsidRPr="0040702C">
        <w:rPr>
          <w:rFonts w:ascii="QCF_BSML" w:hAnsi="QCF_BSML" w:cs="QCF_BSML"/>
          <w:sz w:val="32"/>
          <w:szCs w:val="32"/>
          <w:rtl/>
          <w:lang w:eastAsia="en-US"/>
        </w:rPr>
        <w:t>ﭼ</w:t>
      </w:r>
      <w:r w:rsidR="005714F0" w:rsidRPr="005714F0">
        <w:rPr>
          <w:rFonts w:ascii="Traditional Arabic" w:hAnsi="Traditional Arabic"/>
          <w:sz w:val="28"/>
          <w:szCs w:val="28"/>
          <w:rtl/>
          <w:lang w:eastAsia="en-US"/>
        </w:rPr>
        <w:t xml:space="preserve"> </w:t>
      </w:r>
      <w:r w:rsidRPr="005D42B9">
        <w:rPr>
          <w:rFonts w:ascii="Traditional Arabic" w:hAnsi="Traditional Arabic"/>
          <w:rtl/>
          <w:lang w:eastAsia="en-US"/>
        </w:rPr>
        <w:t>أي: والَوْكَ وصافَوْكَ.</w:t>
      </w:r>
      <w:r w:rsidR="007351EB">
        <w:rPr>
          <w:rFonts w:ascii="Traditional Arabic" w:hAnsi="Traditional Arabic" w:hint="cs"/>
          <w:rtl/>
          <w:lang w:eastAsia="en-US"/>
        </w:rPr>
        <w:t xml:space="preserve"> </w:t>
      </w:r>
      <w:r w:rsidRPr="005D42B9">
        <w:rPr>
          <w:rFonts w:ascii="Traditional Arabic" w:hAnsi="Traditional Arabic"/>
          <w:rtl/>
          <w:lang w:eastAsia="en-US"/>
        </w:rPr>
        <w:t xml:space="preserve">قوله تعالى: </w:t>
      </w:r>
      <w:r w:rsidR="00B52E46" w:rsidRPr="0040702C">
        <w:rPr>
          <w:rFonts w:ascii="QCF_BSML" w:hAnsi="QCF_BSML" w:cs="QCF_BSML"/>
          <w:sz w:val="32"/>
          <w:szCs w:val="32"/>
          <w:rtl/>
          <w:lang w:eastAsia="en-US"/>
        </w:rPr>
        <w:t>ﭽ</w:t>
      </w:r>
      <w:r w:rsidR="00B52E46" w:rsidRPr="0040702C">
        <w:rPr>
          <w:rFonts w:ascii="QCF_P289" w:hAnsi="QCF_P289" w:cs="QCF_P289"/>
          <w:sz w:val="32"/>
          <w:szCs w:val="32"/>
          <w:rtl/>
          <w:lang w:eastAsia="en-US"/>
        </w:rPr>
        <w:t>ﯮ  ﯯ  ﯰ</w:t>
      </w:r>
      <w:r w:rsidR="00B52E46" w:rsidRPr="0040702C">
        <w:rPr>
          <w:rFonts w:ascii="QCF_BSML" w:hAnsi="QCF_BSML" w:cs="QCF_BSML"/>
          <w:sz w:val="32"/>
          <w:szCs w:val="32"/>
          <w:rtl/>
          <w:lang w:eastAsia="en-US"/>
        </w:rPr>
        <w:t>ﭼ</w:t>
      </w:r>
      <w:r w:rsidR="00B52E46" w:rsidRPr="000651D4">
        <w:rPr>
          <w:rFonts w:ascii="QCF_P289" w:hAnsi="QCF_P289" w:cs="QCF_P289"/>
          <w:sz w:val="32"/>
          <w:szCs w:val="32"/>
          <w:rtl/>
          <w:lang w:eastAsia="en-US"/>
        </w:rPr>
        <w:t xml:space="preserve">  </w:t>
      </w:r>
      <w:r w:rsidRPr="005D42B9">
        <w:rPr>
          <w:rFonts w:ascii="Traditional Arabic" w:hAnsi="Traditional Arabic"/>
          <w:rtl/>
          <w:lang w:eastAsia="en-US"/>
        </w:rPr>
        <w:t xml:space="preserve">على الحق، لِعِصمتنا إِياك لَقَدْ كِدْتَ </w:t>
      </w:r>
      <w:r w:rsidRPr="005714F0">
        <w:rPr>
          <w:rFonts w:ascii="Traditional Arabic" w:hAnsi="Traditional Arabic"/>
          <w:rtl/>
          <w:lang w:eastAsia="en-US"/>
        </w:rPr>
        <w:t>تَرْكَنُ إِلَيْهِمْ أي:</w:t>
      </w:r>
      <w:r w:rsidRPr="005714F0">
        <w:rPr>
          <w:rFonts w:ascii="Traditional Arabic" w:hAnsi="Traditional Arabic" w:hint="cs"/>
          <w:rtl/>
          <w:lang w:eastAsia="en-US"/>
        </w:rPr>
        <w:t xml:space="preserve"> </w:t>
      </w:r>
      <w:r w:rsidRPr="005714F0">
        <w:rPr>
          <w:rFonts w:ascii="Traditional Arabic" w:hAnsi="Traditional Arabic"/>
          <w:rtl/>
          <w:lang w:eastAsia="en-US"/>
        </w:rPr>
        <w:t>هممتَ وقاربتَ أن تَميل إِلى مرادهم شَيْئاً قَلِيلًا</w:t>
      </w:r>
      <w:r w:rsidR="005B5F0B">
        <w:rPr>
          <w:rFonts w:ascii="Traditional Arabic" w:hAnsi="Traditional Arabic" w:hint="cs"/>
          <w:rtl/>
          <w:lang w:eastAsia="en-US"/>
        </w:rPr>
        <w:t>.</w:t>
      </w:r>
      <w:r w:rsidRPr="005714F0">
        <w:rPr>
          <w:rFonts w:ascii="Traditional Arabic" w:hAnsi="Traditional Arabic"/>
          <w:rtl/>
          <w:lang w:eastAsia="en-US"/>
        </w:rPr>
        <w:t xml:space="preserve"> قال ابن عباس: وذلك حين سكت عن جوابهم</w:t>
      </w:r>
      <w:r w:rsidR="005B5F0B">
        <w:rPr>
          <w:rFonts w:ascii="Traditional Arabic" w:hAnsi="Traditional Arabic" w:hint="cs"/>
          <w:rtl/>
          <w:lang w:eastAsia="en-US"/>
        </w:rPr>
        <w:t>,</w:t>
      </w:r>
      <w:r w:rsidRPr="005714F0">
        <w:rPr>
          <w:rFonts w:ascii="Traditional Arabic" w:hAnsi="Traditional Arabic"/>
          <w:rtl/>
          <w:lang w:eastAsia="en-US"/>
        </w:rPr>
        <w:t xml:space="preserve"> والله أعلم بنيَّته</w:t>
      </w:r>
      <w:r w:rsidR="00957315" w:rsidRPr="00957315">
        <w:rPr>
          <w:rStyle w:val="ae"/>
          <w:rtl/>
        </w:rPr>
        <w:t>(</w:t>
      </w:r>
      <w:r w:rsidR="00957315">
        <w:rPr>
          <w:rStyle w:val="ae"/>
          <w:rtl/>
        </w:rPr>
        <w:footnoteReference w:id="445"/>
      </w:r>
      <w:r w:rsidR="00957315" w:rsidRPr="00957315">
        <w:rPr>
          <w:rStyle w:val="ae"/>
          <w:rtl/>
        </w:rPr>
        <w:t>)</w:t>
      </w:r>
      <w:r w:rsidRPr="005714F0">
        <w:rPr>
          <w:rFonts w:ascii="Traditional Arabic" w:hAnsi="Traditional Arabic"/>
          <w:rtl/>
          <w:lang w:eastAsia="en-US"/>
        </w:rPr>
        <w:t xml:space="preserve">. وقال ابن الأنباري: الفعل في الظاهر للنّبيّ </w:t>
      </w:r>
      <w:r w:rsidR="001559CE">
        <w:rPr>
          <w:rFonts w:ascii="Traditional Arabic" w:hAnsi="Traditional Arabic"/>
          <w:lang w:eastAsia="en-US"/>
        </w:rPr>
        <w:sym w:font="AGA Arabesque" w:char="F072"/>
      </w:r>
      <w:r w:rsidRPr="005714F0">
        <w:rPr>
          <w:rFonts w:ascii="Traditional Arabic" w:hAnsi="Traditional Arabic"/>
          <w:rtl/>
          <w:lang w:eastAsia="en-US"/>
        </w:rPr>
        <w:t xml:space="preserve">، وفي </w:t>
      </w:r>
      <w:r w:rsidR="001559CE">
        <w:rPr>
          <w:rFonts w:ascii="Traditional Arabic" w:hAnsi="Traditional Arabic"/>
          <w:rtl/>
          <w:lang w:eastAsia="en-US"/>
        </w:rPr>
        <w:t xml:space="preserve"> </w:t>
      </w:r>
      <w:r w:rsidRPr="005714F0">
        <w:rPr>
          <w:rFonts w:ascii="Traditional Arabic" w:hAnsi="Traditional Arabic"/>
          <w:rtl/>
          <w:lang w:eastAsia="en-US"/>
        </w:rPr>
        <w:t xml:space="preserve">الباطن للمشركين، وتقديره: لقد كادوا يُركنونك إِليهم، وينسبون إِليك ما يشتهونه مما تكرهه، فنسب الفعل إِلى غير فاعله عند أمن اللَّبْس، كما يقول الرجل للرجل: كدت تقتل نفسَك اليوم، يريد: كدت تفعل فعلاً يقتلك غيرك من أجله فهذا المجاز والاتساع وشبيه بهذا قوله تعالى: </w:t>
      </w:r>
      <w:r w:rsidR="00212CF5" w:rsidRPr="0040702C">
        <w:rPr>
          <w:rFonts w:ascii="QCF_BSML" w:hAnsi="QCF_BSML" w:cs="QCF_BSML"/>
          <w:sz w:val="32"/>
          <w:szCs w:val="32"/>
          <w:rtl/>
          <w:lang w:eastAsia="en-US"/>
        </w:rPr>
        <w:t xml:space="preserve">ﭽ </w:t>
      </w:r>
      <w:r w:rsidR="00212CF5" w:rsidRPr="0040702C">
        <w:rPr>
          <w:rFonts w:ascii="QCF_P020" w:hAnsi="QCF_P020" w:cs="QCF_P020"/>
          <w:sz w:val="32"/>
          <w:szCs w:val="32"/>
          <w:rtl/>
          <w:lang w:eastAsia="en-US"/>
        </w:rPr>
        <w:t xml:space="preserve">ﮱ  ﯓ  ﯔ      ﯕ  ﯖ  </w:t>
      </w:r>
      <w:r w:rsidR="00212CF5" w:rsidRPr="0040702C">
        <w:rPr>
          <w:rFonts w:ascii="QCF_BSML" w:hAnsi="QCF_BSML" w:cs="QCF_BSML"/>
          <w:sz w:val="32"/>
          <w:szCs w:val="32"/>
          <w:rtl/>
          <w:lang w:eastAsia="en-US"/>
        </w:rPr>
        <w:t>ﭼ</w:t>
      </w:r>
      <w:r w:rsidR="001559CE" w:rsidRPr="00B07E03">
        <w:rPr>
          <w:rFonts w:ascii="Arial" w:hAnsi="Arial" w:cs="Arial" w:hint="cs"/>
          <w:color w:val="0D0D0D" w:themeColor="text1" w:themeTint="F2"/>
          <w:sz w:val="28"/>
          <w:szCs w:val="28"/>
          <w:rtl/>
          <w:lang w:eastAsia="en-US"/>
        </w:rPr>
        <w:t>[</w:t>
      </w:r>
      <w:r w:rsidR="001559CE" w:rsidRPr="00B07E03">
        <w:rPr>
          <w:rFonts w:ascii="Traditional Arabic" w:hAnsi="Traditional Arabic"/>
          <w:color w:val="0D0D0D" w:themeColor="text1" w:themeTint="F2"/>
          <w:sz w:val="28"/>
          <w:szCs w:val="28"/>
          <w:rtl/>
          <w:lang w:eastAsia="en-US"/>
        </w:rPr>
        <w:t>سورة</w:t>
      </w:r>
      <w:r w:rsidR="001559CE" w:rsidRPr="00B07E03">
        <w:rPr>
          <w:rFonts w:ascii="Traditional Arabic" w:hAnsi="Traditional Arabic"/>
          <w:color w:val="0D0D0D" w:themeColor="text1" w:themeTint="F2"/>
          <w:rtl/>
          <w:lang w:eastAsia="en-US"/>
        </w:rPr>
        <w:t xml:space="preserve"> </w:t>
      </w:r>
      <w:r w:rsidR="001559CE">
        <w:rPr>
          <w:rFonts w:ascii="Traditional Arabic" w:hAnsi="Traditional Arabic" w:hint="cs"/>
          <w:color w:val="0D0D0D" w:themeColor="text1" w:themeTint="F2"/>
          <w:sz w:val="28"/>
          <w:szCs w:val="28"/>
          <w:rtl/>
          <w:lang w:eastAsia="en-US"/>
        </w:rPr>
        <w:t xml:space="preserve">البقرة </w:t>
      </w:r>
      <w:r w:rsidR="001559CE" w:rsidRPr="00B07E03">
        <w:rPr>
          <w:rFonts w:ascii="Traditional Arabic" w:hAnsi="Traditional Arabic"/>
          <w:color w:val="0D0D0D" w:themeColor="text1" w:themeTint="F2"/>
          <w:sz w:val="28"/>
          <w:szCs w:val="28"/>
          <w:rtl/>
          <w:lang w:eastAsia="en-US"/>
        </w:rPr>
        <w:t>:</w:t>
      </w:r>
      <w:r w:rsidR="001559CE">
        <w:rPr>
          <w:rFonts w:ascii="Traditional Arabic" w:hAnsi="Traditional Arabic" w:hint="cs"/>
          <w:color w:val="0D0D0D" w:themeColor="text1" w:themeTint="F2"/>
          <w:sz w:val="28"/>
          <w:szCs w:val="28"/>
          <w:rtl/>
          <w:lang w:eastAsia="en-US"/>
        </w:rPr>
        <w:t>132</w:t>
      </w:r>
      <w:r w:rsidR="001559CE" w:rsidRPr="00B07E03">
        <w:rPr>
          <w:rFonts w:ascii="Arial" w:hAnsi="Arial" w:cs="Arial" w:hint="cs"/>
          <w:color w:val="0D0D0D" w:themeColor="text1" w:themeTint="F2"/>
          <w:sz w:val="28"/>
          <w:szCs w:val="28"/>
          <w:rtl/>
          <w:lang w:eastAsia="en-US"/>
        </w:rPr>
        <w:t>]</w:t>
      </w:r>
      <w:r w:rsidR="001559CE">
        <w:rPr>
          <w:rFonts w:hint="cs"/>
          <w:rtl/>
        </w:rPr>
        <w:t xml:space="preserve"> </w:t>
      </w:r>
      <w:r w:rsidRPr="005714F0">
        <w:rPr>
          <w:rFonts w:ascii="Traditional Arabic" w:hAnsi="Traditional Arabic"/>
          <w:rtl/>
          <w:lang w:eastAsia="en-US"/>
        </w:rPr>
        <w:t>وقول القائل:</w:t>
      </w:r>
      <w:r w:rsidR="00957315">
        <w:rPr>
          <w:rFonts w:ascii="Traditional Arabic" w:hAnsi="Traditional Arabic" w:hint="cs"/>
          <w:rtl/>
          <w:lang w:eastAsia="en-US"/>
        </w:rPr>
        <w:t xml:space="preserve"> </w:t>
      </w:r>
      <w:r w:rsidRPr="005714F0">
        <w:rPr>
          <w:rFonts w:ascii="Traditional Arabic" w:hAnsi="Traditional Arabic"/>
          <w:rtl/>
          <w:lang w:eastAsia="en-US"/>
        </w:rPr>
        <w:t>لا أرينّكَ في هذا الموضع</w:t>
      </w:r>
      <w:r w:rsidR="00957315" w:rsidRPr="00957315">
        <w:rPr>
          <w:rStyle w:val="ae"/>
          <w:rtl/>
        </w:rPr>
        <w:t>(</w:t>
      </w:r>
      <w:r w:rsidR="00957315">
        <w:rPr>
          <w:rStyle w:val="ae"/>
          <w:rtl/>
        </w:rPr>
        <w:footnoteReference w:id="446"/>
      </w:r>
      <w:r w:rsidR="00957315" w:rsidRPr="00957315">
        <w:rPr>
          <w:rStyle w:val="ae"/>
          <w:rtl/>
        </w:rPr>
        <w:t>)</w:t>
      </w:r>
      <w:r w:rsidRPr="005714F0">
        <w:rPr>
          <w:rFonts w:ascii="Traditional Arabic" w:hAnsi="Traditional Arabic"/>
          <w:rtl/>
          <w:lang w:eastAsia="en-US"/>
        </w:rPr>
        <w:t>.</w:t>
      </w:r>
      <w:r w:rsidR="009422F2">
        <w:rPr>
          <w:rFonts w:ascii="Traditional Arabic" w:hAnsi="Traditional Arabic" w:hint="cs"/>
          <w:color w:val="FF0000"/>
          <w:rtl/>
          <w:lang w:eastAsia="en-US"/>
        </w:rPr>
        <w:t xml:space="preserve"> </w:t>
      </w:r>
      <w:r w:rsidRPr="005714F0">
        <w:rPr>
          <w:rFonts w:ascii="Traditional Arabic" w:hAnsi="Traditional Arabic"/>
          <w:rtl/>
          <w:lang w:eastAsia="en-US"/>
        </w:rPr>
        <w:t xml:space="preserve">قوله تعالى: </w:t>
      </w:r>
      <w:r w:rsidR="00212CF5" w:rsidRPr="0040702C">
        <w:rPr>
          <w:rFonts w:ascii="QCF_BSML" w:hAnsi="QCF_BSML" w:cs="QCF_BSML"/>
          <w:sz w:val="32"/>
          <w:szCs w:val="32"/>
          <w:rtl/>
          <w:lang w:eastAsia="en-US"/>
        </w:rPr>
        <w:t>ﭽ</w:t>
      </w:r>
      <w:r w:rsidR="00212CF5" w:rsidRPr="0040702C">
        <w:rPr>
          <w:rFonts w:ascii="QCF_P289" w:hAnsi="QCF_P289" w:cs="QCF_P289"/>
          <w:sz w:val="32"/>
          <w:szCs w:val="32"/>
          <w:rtl/>
          <w:lang w:eastAsia="en-US"/>
        </w:rPr>
        <w:t xml:space="preserve"> ﯸ  ﯹ</w:t>
      </w:r>
      <w:r w:rsidR="00212CF5" w:rsidRPr="0040702C">
        <w:rPr>
          <w:rFonts w:ascii="QCF_BSML" w:hAnsi="QCF_BSML" w:cs="QCF_BSML"/>
          <w:sz w:val="32"/>
          <w:szCs w:val="32"/>
          <w:rtl/>
          <w:lang w:eastAsia="en-US"/>
        </w:rPr>
        <w:t xml:space="preserve"> ﭼ</w:t>
      </w:r>
      <w:r w:rsidR="00212CF5" w:rsidRPr="000651D4">
        <w:rPr>
          <w:rFonts w:ascii="QCF_P289" w:hAnsi="QCF_P289" w:cs="QCF_P289"/>
          <w:sz w:val="32"/>
          <w:szCs w:val="32"/>
          <w:rtl/>
          <w:lang w:eastAsia="en-US"/>
        </w:rPr>
        <w:t xml:space="preserve">  </w:t>
      </w:r>
      <w:r w:rsidRPr="005714F0">
        <w:rPr>
          <w:rFonts w:ascii="Traditional Arabic" w:hAnsi="Traditional Arabic"/>
          <w:rtl/>
          <w:lang w:eastAsia="en-US"/>
        </w:rPr>
        <w:t>المعنى: لو فعلت ذلك الشيء القليل</w:t>
      </w:r>
      <w:r w:rsidR="00C06512" w:rsidRPr="00C06512">
        <w:rPr>
          <w:rFonts w:ascii="QCF_P289" w:hAnsi="QCF_P289" w:cs="QCF_P289"/>
          <w:sz w:val="32"/>
          <w:szCs w:val="32"/>
          <w:rtl/>
          <w:lang w:eastAsia="en-US"/>
        </w:rPr>
        <w:t xml:space="preserve"> </w:t>
      </w:r>
      <w:r w:rsidR="00C06512" w:rsidRPr="00C06512">
        <w:rPr>
          <w:rFonts w:ascii="QCF_BSML" w:hAnsi="QCF_BSML" w:cs="QCF_BSML"/>
          <w:sz w:val="28"/>
          <w:szCs w:val="28"/>
          <w:rtl/>
          <w:lang w:eastAsia="en-US"/>
        </w:rPr>
        <w:t>ﭽ</w:t>
      </w:r>
      <w:r w:rsidR="00C06512" w:rsidRPr="00C06512">
        <w:rPr>
          <w:rFonts w:ascii="QCF_P289" w:hAnsi="QCF_P289" w:cs="QCF_P289"/>
          <w:sz w:val="28"/>
          <w:szCs w:val="28"/>
          <w:rtl/>
          <w:lang w:eastAsia="en-US"/>
        </w:rPr>
        <w:t xml:space="preserve"> </w:t>
      </w:r>
      <w:r w:rsidR="00C06512" w:rsidRPr="0040702C">
        <w:rPr>
          <w:rFonts w:ascii="QCF_P289" w:hAnsi="QCF_P289" w:cs="QCF_P289"/>
          <w:sz w:val="32"/>
          <w:szCs w:val="32"/>
          <w:rtl/>
          <w:lang w:eastAsia="en-US"/>
        </w:rPr>
        <w:t>ﯹ ﯺ   ﯻ</w:t>
      </w:r>
      <w:r w:rsidR="00C06512" w:rsidRPr="0040702C">
        <w:rPr>
          <w:rFonts w:ascii="QCF_BSML" w:hAnsi="QCF_BSML" w:cs="QCF_BSML"/>
          <w:sz w:val="32"/>
          <w:szCs w:val="32"/>
          <w:rtl/>
          <w:lang w:eastAsia="en-US"/>
        </w:rPr>
        <w:t>ﭼ</w:t>
      </w:r>
      <w:r w:rsidR="00C06512" w:rsidRPr="0040702C">
        <w:rPr>
          <w:rFonts w:ascii="QCF_P289" w:hAnsi="QCF_P289" w:cs="QCF_P289"/>
          <w:sz w:val="32"/>
          <w:szCs w:val="32"/>
          <w:rtl/>
          <w:lang w:eastAsia="en-US"/>
        </w:rPr>
        <w:t xml:space="preserve">  </w:t>
      </w:r>
      <w:r w:rsidRPr="005714F0">
        <w:rPr>
          <w:rFonts w:ascii="Traditional Arabic" w:hAnsi="Traditional Arabic"/>
          <w:rtl/>
          <w:lang w:eastAsia="en-US"/>
        </w:rPr>
        <w:t>أي: ضِعف عذاب الحياة</w:t>
      </w:r>
      <w:r w:rsidR="00C06512" w:rsidRPr="00C06512">
        <w:rPr>
          <w:rFonts w:ascii="QCF_BSML" w:hAnsi="QCF_BSML" w:cs="QCF_BSML"/>
          <w:sz w:val="28"/>
          <w:szCs w:val="28"/>
          <w:rtl/>
          <w:lang w:eastAsia="en-US"/>
        </w:rPr>
        <w:t xml:space="preserve"> </w:t>
      </w:r>
      <w:r w:rsidR="00C06512" w:rsidRPr="0040702C">
        <w:rPr>
          <w:rFonts w:ascii="QCF_BSML" w:hAnsi="QCF_BSML" w:cs="QCF_BSML"/>
          <w:sz w:val="32"/>
          <w:szCs w:val="32"/>
          <w:rtl/>
          <w:lang w:eastAsia="en-US"/>
        </w:rPr>
        <w:t>ﭽ</w:t>
      </w:r>
      <w:r w:rsidRPr="0040702C">
        <w:rPr>
          <w:rFonts w:ascii="Traditional Arabic" w:hAnsi="Traditional Arabic"/>
          <w:sz w:val="32"/>
          <w:szCs w:val="32"/>
          <w:rtl/>
          <w:lang w:eastAsia="en-US"/>
        </w:rPr>
        <w:t xml:space="preserve"> </w:t>
      </w:r>
      <w:r w:rsidR="00C06512" w:rsidRPr="0040702C">
        <w:rPr>
          <w:rFonts w:ascii="QCF_P289" w:hAnsi="QCF_P289" w:cs="QCF_P289"/>
          <w:sz w:val="32"/>
          <w:szCs w:val="32"/>
          <w:rtl/>
          <w:lang w:eastAsia="en-US"/>
        </w:rPr>
        <w:t>ﯼ</w:t>
      </w:r>
      <w:r w:rsidR="00C06512" w:rsidRPr="0040702C">
        <w:rPr>
          <w:rFonts w:ascii="QCF_BSML" w:hAnsi="QCF_BSML" w:cs="QCF_BSML"/>
          <w:sz w:val="32"/>
          <w:szCs w:val="32"/>
          <w:rtl/>
          <w:lang w:eastAsia="en-US"/>
        </w:rPr>
        <w:t>ﭼ</w:t>
      </w:r>
      <w:r w:rsidR="00C06512" w:rsidRPr="0040702C">
        <w:rPr>
          <w:rFonts w:ascii="Traditional Arabic" w:hAnsi="Traditional Arabic"/>
          <w:sz w:val="32"/>
          <w:szCs w:val="32"/>
          <w:rtl/>
          <w:lang w:eastAsia="en-US"/>
        </w:rPr>
        <w:t xml:space="preserve"> </w:t>
      </w:r>
      <w:r w:rsidRPr="005714F0">
        <w:rPr>
          <w:rFonts w:ascii="Traditional Arabic" w:hAnsi="Traditional Arabic"/>
          <w:rtl/>
          <w:lang w:eastAsia="en-US"/>
        </w:rPr>
        <w:t xml:space="preserve">عذاب </w:t>
      </w:r>
      <w:r w:rsidR="00C06512" w:rsidRPr="0040702C">
        <w:rPr>
          <w:rFonts w:ascii="QCF_BSML" w:hAnsi="QCF_BSML" w:cs="QCF_BSML"/>
          <w:sz w:val="32"/>
          <w:szCs w:val="32"/>
          <w:rtl/>
          <w:lang w:eastAsia="en-US"/>
        </w:rPr>
        <w:t>ﭽ</w:t>
      </w:r>
      <w:r w:rsidR="00C06512" w:rsidRPr="0040702C">
        <w:rPr>
          <w:rFonts w:ascii="Traditional Arabic" w:hAnsi="Traditional Arabic"/>
          <w:sz w:val="32"/>
          <w:szCs w:val="32"/>
          <w:rtl/>
          <w:lang w:eastAsia="en-US"/>
        </w:rPr>
        <w:t xml:space="preserve"> </w:t>
      </w:r>
      <w:r w:rsidR="00C06512" w:rsidRPr="0040702C">
        <w:rPr>
          <w:rFonts w:ascii="QCF_P289" w:hAnsi="QCF_P289" w:cs="QCF_P289"/>
          <w:sz w:val="32"/>
          <w:szCs w:val="32"/>
          <w:rtl/>
          <w:lang w:eastAsia="en-US"/>
        </w:rPr>
        <w:t>ﯽ</w:t>
      </w:r>
      <w:r w:rsidR="00C06512" w:rsidRPr="0040702C">
        <w:rPr>
          <w:rFonts w:ascii="QCF_BSML" w:hAnsi="QCF_BSML" w:cs="QCF_BSML"/>
          <w:sz w:val="32"/>
          <w:szCs w:val="32"/>
          <w:rtl/>
          <w:lang w:eastAsia="en-US"/>
        </w:rPr>
        <w:t>ﭼ</w:t>
      </w:r>
      <w:r w:rsidRPr="005714F0">
        <w:rPr>
          <w:rFonts w:ascii="Traditional Arabic" w:hAnsi="Traditional Arabic"/>
          <w:rtl/>
          <w:lang w:eastAsia="en-US"/>
        </w:rPr>
        <w:t>، ومثله قول الشاعر:</w:t>
      </w:r>
    </w:p>
    <w:p w:rsidR="009422F2" w:rsidRDefault="009422F2" w:rsidP="00110C85">
      <w:pPr>
        <w:widowControl/>
        <w:autoSpaceDE w:val="0"/>
        <w:autoSpaceDN w:val="0"/>
        <w:adjustRightInd w:val="0"/>
        <w:ind w:firstLine="0"/>
        <w:rPr>
          <w:rFonts w:ascii="Traditional Arabic" w:hAnsi="Traditional Arabic"/>
          <w:rtl/>
          <w:lang w:eastAsia="en-US"/>
        </w:rPr>
      </w:pPr>
    </w:p>
    <w:p w:rsidR="009422F2" w:rsidRDefault="009422F2" w:rsidP="00110C85">
      <w:pPr>
        <w:widowControl/>
        <w:autoSpaceDE w:val="0"/>
        <w:autoSpaceDN w:val="0"/>
        <w:adjustRightInd w:val="0"/>
        <w:ind w:firstLine="0"/>
        <w:rPr>
          <w:rFonts w:ascii="Traditional Arabic" w:hAnsi="Traditional Arabic"/>
          <w:rtl/>
          <w:lang w:eastAsia="en-US"/>
        </w:rPr>
      </w:pPr>
    </w:p>
    <w:p w:rsidR="00C36615" w:rsidRPr="005714F0" w:rsidRDefault="00C36615" w:rsidP="00110C85">
      <w:pPr>
        <w:widowControl/>
        <w:autoSpaceDE w:val="0"/>
        <w:autoSpaceDN w:val="0"/>
        <w:adjustRightInd w:val="0"/>
        <w:ind w:firstLine="0"/>
        <w:rPr>
          <w:rFonts w:ascii="Traditional Arabic" w:hAnsi="Traditional Arabic"/>
          <w:rtl/>
          <w:lang w:eastAsia="en-US"/>
        </w:rPr>
      </w:pPr>
      <w:r w:rsidRPr="005714F0">
        <w:rPr>
          <w:rFonts w:ascii="Traditional Arabic" w:hAnsi="Traditional Arabic"/>
          <w:rtl/>
          <w:lang w:eastAsia="en-US"/>
        </w:rPr>
        <w:lastRenderedPageBreak/>
        <w:t>واستبَّ بَعْدَكَ يا كُلَيْبُ</w:t>
      </w:r>
      <w:r w:rsidR="00B227D3" w:rsidRPr="00B227D3">
        <w:rPr>
          <w:rStyle w:val="ae"/>
          <w:rtl/>
        </w:rPr>
        <w:t>(</w:t>
      </w:r>
      <w:r w:rsidR="00B227D3">
        <w:rPr>
          <w:rStyle w:val="ae"/>
          <w:rtl/>
        </w:rPr>
        <w:footnoteReference w:id="447"/>
      </w:r>
      <w:r w:rsidR="00B227D3" w:rsidRPr="00B227D3">
        <w:rPr>
          <w:rStyle w:val="ae"/>
          <w:rtl/>
        </w:rPr>
        <w:t>)</w:t>
      </w:r>
      <w:r w:rsidRPr="005714F0">
        <w:rPr>
          <w:rFonts w:ascii="Traditional Arabic" w:hAnsi="Traditional Arabic"/>
          <w:rtl/>
          <w:lang w:eastAsia="en-US"/>
        </w:rPr>
        <w:t xml:space="preserve"> المَجْلِسُ</w:t>
      </w:r>
      <w:r w:rsidR="00212CF5">
        <w:rPr>
          <w:rFonts w:ascii="Traditional Arabic" w:hAnsi="Traditional Arabic" w:hint="cs"/>
          <w:rtl/>
          <w:lang w:eastAsia="en-US"/>
        </w:rPr>
        <w:t>.</w:t>
      </w:r>
      <w:r w:rsidR="00212CF5" w:rsidRPr="00212CF5">
        <w:rPr>
          <w:rStyle w:val="ae"/>
          <w:rtl/>
        </w:rPr>
        <w:t>(</w:t>
      </w:r>
      <w:r w:rsidR="00212CF5">
        <w:rPr>
          <w:rStyle w:val="ae"/>
          <w:rtl/>
        </w:rPr>
        <w:footnoteReference w:id="448"/>
      </w:r>
      <w:r w:rsidR="00212CF5" w:rsidRPr="00212CF5">
        <w:rPr>
          <w:rStyle w:val="ae"/>
          <w:rtl/>
        </w:rPr>
        <w:t>)</w:t>
      </w:r>
    </w:p>
    <w:p w:rsidR="00BB366A" w:rsidRDefault="00C36615" w:rsidP="00156316">
      <w:pPr>
        <w:widowControl/>
        <w:autoSpaceDE w:val="0"/>
        <w:autoSpaceDN w:val="0"/>
        <w:adjustRightInd w:val="0"/>
        <w:ind w:firstLine="0"/>
        <w:rPr>
          <w:rFonts w:ascii="Traditional Arabic" w:hAnsi="Traditional Arabic"/>
          <w:rtl/>
          <w:lang w:eastAsia="en-US"/>
        </w:rPr>
      </w:pPr>
      <w:r w:rsidRPr="005714F0">
        <w:rPr>
          <w:rFonts w:ascii="Traditional Arabic" w:hAnsi="Traditional Arabic"/>
          <w:rtl/>
          <w:lang w:eastAsia="en-US"/>
        </w:rPr>
        <w:t>أي: أهل المجلس. وقال ابن عباس: ضِعْفَ عذاب الدنيا والآخرة</w:t>
      </w:r>
      <w:r w:rsidR="00212CF5" w:rsidRPr="00212CF5">
        <w:rPr>
          <w:rStyle w:val="ae"/>
          <w:rtl/>
        </w:rPr>
        <w:t>(</w:t>
      </w:r>
      <w:r w:rsidR="00212CF5">
        <w:rPr>
          <w:rStyle w:val="ae"/>
          <w:rtl/>
        </w:rPr>
        <w:footnoteReference w:id="449"/>
      </w:r>
      <w:r w:rsidR="00212CF5" w:rsidRPr="00212CF5">
        <w:rPr>
          <w:rStyle w:val="ae"/>
          <w:rtl/>
        </w:rPr>
        <w:t>)</w:t>
      </w:r>
      <w:r w:rsidRPr="005714F0">
        <w:rPr>
          <w:rFonts w:ascii="Traditional Arabic" w:hAnsi="Traditional Arabic"/>
          <w:rtl/>
          <w:lang w:eastAsia="en-US"/>
        </w:rPr>
        <w:t xml:space="preserve">. وكان رسول الله </w:t>
      </w:r>
      <w:r w:rsidR="001D4083">
        <w:rPr>
          <w:rFonts w:ascii="Traditional Arabic" w:hAnsi="Traditional Arabic"/>
          <w:lang w:eastAsia="en-US"/>
        </w:rPr>
        <w:sym w:font="AGA Arabesque" w:char="F072"/>
      </w:r>
      <w:r w:rsidR="001D4083">
        <w:rPr>
          <w:rFonts w:ascii="Traditional Arabic" w:hAnsi="Traditional Arabic" w:hint="cs"/>
          <w:rtl/>
          <w:lang w:eastAsia="en-US"/>
        </w:rPr>
        <w:t xml:space="preserve"> </w:t>
      </w:r>
      <w:r w:rsidRPr="005714F0">
        <w:rPr>
          <w:rFonts w:ascii="Traditional Arabic" w:hAnsi="Traditional Arabic"/>
          <w:rtl/>
          <w:lang w:eastAsia="en-US"/>
        </w:rPr>
        <w:t xml:space="preserve">معصوماً، ولكنه تخويف لأُمَّته، لئلا يركن أحد من المؤمنين إِلى أحد من المشركين في شيء </w:t>
      </w:r>
      <w:r w:rsidR="001D4083">
        <w:rPr>
          <w:rFonts w:ascii="Traditional Arabic" w:hAnsi="Traditional Arabic"/>
          <w:rtl/>
          <w:lang w:eastAsia="en-US"/>
        </w:rPr>
        <w:t xml:space="preserve"> </w:t>
      </w:r>
      <w:r w:rsidRPr="005714F0">
        <w:rPr>
          <w:rFonts w:ascii="Traditional Arabic" w:hAnsi="Traditional Arabic"/>
          <w:rtl/>
          <w:lang w:eastAsia="en-US"/>
        </w:rPr>
        <w:t>من أحكام الله وشرائعه.</w:t>
      </w:r>
      <w:r w:rsidR="00085F00">
        <w:rPr>
          <w:rFonts w:ascii="Traditional Arabic" w:hAnsi="Traditional Arabic" w:hint="cs"/>
          <w:rtl/>
          <w:lang w:eastAsia="en-US"/>
        </w:rPr>
        <w:t xml:space="preserve"> </w:t>
      </w:r>
      <w:r w:rsidRPr="00212CF5">
        <w:rPr>
          <w:rFonts w:ascii="Traditional Arabic" w:hAnsi="Traditional Arabic"/>
          <w:rtl/>
          <w:lang w:eastAsia="en-US"/>
        </w:rPr>
        <w:t xml:space="preserve">قوله تعالى: </w:t>
      </w:r>
      <w:r w:rsidR="001559CE" w:rsidRPr="0040702C">
        <w:rPr>
          <w:rFonts w:ascii="QCF_BSML" w:hAnsi="QCF_BSML" w:cs="QCF_BSML"/>
          <w:sz w:val="32"/>
          <w:szCs w:val="32"/>
          <w:rtl/>
          <w:lang w:eastAsia="en-US"/>
        </w:rPr>
        <w:t>ﭽ</w:t>
      </w:r>
      <w:r w:rsidR="001559CE" w:rsidRPr="0040702C">
        <w:rPr>
          <w:rFonts w:ascii="QCF_P290" w:hAnsi="QCF_P290" w:cs="QCF_P290"/>
          <w:sz w:val="32"/>
          <w:szCs w:val="32"/>
          <w:rtl/>
          <w:lang w:eastAsia="en-US"/>
        </w:rPr>
        <w:t xml:space="preserve"> ﭑ  ﭒ  ﭓ  ﭔ  ﭕ</w:t>
      </w:r>
      <w:r w:rsidR="001559CE" w:rsidRPr="0040702C">
        <w:rPr>
          <w:rFonts w:ascii="QCF_BSML" w:hAnsi="QCF_BSML" w:cs="QCF_BSML"/>
          <w:sz w:val="32"/>
          <w:szCs w:val="32"/>
          <w:rtl/>
          <w:lang w:eastAsia="en-US"/>
        </w:rPr>
        <w:t xml:space="preserve"> ﭼ</w:t>
      </w:r>
      <w:r w:rsidR="001559CE" w:rsidRPr="000651D4">
        <w:rPr>
          <w:rFonts w:ascii="QCF_P290" w:hAnsi="QCF_P290" w:cs="QCF_P290"/>
          <w:sz w:val="32"/>
          <w:szCs w:val="32"/>
          <w:rtl/>
          <w:lang w:eastAsia="en-US"/>
        </w:rPr>
        <w:t xml:space="preserve">  </w:t>
      </w:r>
      <w:r w:rsidR="001D4083">
        <w:rPr>
          <w:rFonts w:ascii="Traditional Arabic" w:hAnsi="Traditional Arabic"/>
          <w:rtl/>
          <w:lang w:eastAsia="en-US"/>
        </w:rPr>
        <w:t>في سبب نزولها قولان</w:t>
      </w:r>
      <w:r w:rsidRPr="00212CF5">
        <w:rPr>
          <w:rFonts w:ascii="Traditional Arabic" w:hAnsi="Traditional Arabic"/>
          <w:rtl/>
          <w:lang w:eastAsia="en-US"/>
        </w:rPr>
        <w:t>:</w:t>
      </w:r>
      <w:r w:rsidR="001B38DC">
        <w:rPr>
          <w:rFonts w:ascii="Traditional Arabic" w:hAnsi="Traditional Arabic" w:hint="cs"/>
          <w:rtl/>
          <w:lang w:eastAsia="en-US"/>
        </w:rPr>
        <w:t xml:space="preserve"> </w:t>
      </w:r>
      <w:r w:rsidRPr="00212CF5">
        <w:rPr>
          <w:rFonts w:ascii="Traditional Arabic" w:hAnsi="Traditional Arabic"/>
          <w:rtl/>
          <w:lang w:eastAsia="en-US"/>
        </w:rPr>
        <w:t xml:space="preserve">أحدهما: أن رسول الله </w:t>
      </w:r>
      <w:r w:rsidR="001D4083">
        <w:rPr>
          <w:rFonts w:ascii="Traditional Arabic" w:hAnsi="Traditional Arabic"/>
          <w:lang w:eastAsia="en-US"/>
        </w:rPr>
        <w:t xml:space="preserve"> </w:t>
      </w:r>
      <w:r w:rsidR="001D4083">
        <w:rPr>
          <w:rFonts w:ascii="Traditional Arabic" w:hAnsi="Traditional Arabic"/>
          <w:lang w:eastAsia="en-US"/>
        </w:rPr>
        <w:sym w:font="AGA Arabesque" w:char="F072"/>
      </w:r>
      <w:r w:rsidRPr="00212CF5">
        <w:rPr>
          <w:rFonts w:ascii="Traditional Arabic" w:hAnsi="Traditional Arabic"/>
          <w:rtl/>
          <w:lang w:eastAsia="en-US"/>
        </w:rPr>
        <w:t>لما قَدِم المدينة، حسدته اليهود على مُقامه بالمدينة، وكرهوا</w:t>
      </w:r>
      <w:r w:rsidR="00212CF5">
        <w:rPr>
          <w:rFonts w:ascii="Simplified Arabic" w:hAnsi="Simplified Arabic" w:cs="Simplified Arabic" w:hint="cs"/>
          <w:color w:val="FF0000"/>
          <w:rtl/>
          <w:lang w:eastAsia="en-US"/>
        </w:rPr>
        <w:t xml:space="preserve"> </w:t>
      </w:r>
      <w:r w:rsidRPr="00212CF5">
        <w:rPr>
          <w:rFonts w:ascii="Traditional Arabic" w:hAnsi="Traditional Arabic"/>
          <w:rtl/>
          <w:lang w:eastAsia="en-US"/>
        </w:rPr>
        <w:t>قربه،</w:t>
      </w:r>
      <w:r w:rsidR="0040702C">
        <w:rPr>
          <w:rFonts w:ascii="Traditional Arabic" w:hAnsi="Traditional Arabic" w:hint="cs"/>
          <w:rtl/>
          <w:lang w:eastAsia="en-US"/>
        </w:rPr>
        <w:t xml:space="preserve"> فأتوه, </w:t>
      </w:r>
      <w:r w:rsidRPr="00212CF5">
        <w:rPr>
          <w:rFonts w:ascii="Traditional Arabic" w:hAnsi="Traditional Arabic"/>
          <w:rtl/>
          <w:lang w:eastAsia="en-US"/>
        </w:rPr>
        <w:t>فقالوا: يا محمد</w:t>
      </w:r>
      <w:r w:rsidR="00C06512">
        <w:rPr>
          <w:rFonts w:ascii="Traditional Arabic" w:hAnsi="Traditional Arabic"/>
          <w:rtl/>
          <w:lang w:eastAsia="en-US"/>
        </w:rPr>
        <w:t xml:space="preserve"> أنبيٌ أنت؟ قال: نعم، قالوا: فو</w:t>
      </w:r>
      <w:r w:rsidRPr="00212CF5">
        <w:rPr>
          <w:rFonts w:ascii="Traditional Arabic" w:hAnsi="Traditional Arabic"/>
          <w:rtl/>
          <w:lang w:eastAsia="en-US"/>
        </w:rPr>
        <w:t>الله لقد علمتَ ما هذه بأرض الأنبياء، وإن أرض الأنبياء ا</w:t>
      </w:r>
      <w:r w:rsidR="00A32F2C">
        <w:rPr>
          <w:rFonts w:ascii="Traditional Arabic" w:hAnsi="Traditional Arabic"/>
          <w:rtl/>
          <w:lang w:eastAsia="en-US"/>
        </w:rPr>
        <w:t>لشام، فان كنتَ نبياً فائت الشام</w:t>
      </w:r>
      <w:r w:rsidR="00A32F2C">
        <w:rPr>
          <w:rFonts w:ascii="Traditional Arabic" w:hAnsi="Traditional Arabic" w:hint="cs"/>
          <w:rtl/>
          <w:lang w:eastAsia="en-US"/>
        </w:rPr>
        <w:t>؛</w:t>
      </w:r>
      <w:r w:rsidRPr="00212CF5">
        <w:rPr>
          <w:rFonts w:ascii="Traditional Arabic" w:hAnsi="Traditional Arabic"/>
          <w:rtl/>
          <w:lang w:eastAsia="en-US"/>
        </w:rPr>
        <w:t xml:space="preserve"> فنزلت هذه الآية، قاله أبو صالح عن ابن عباس</w:t>
      </w:r>
      <w:r w:rsidR="00C06512" w:rsidRPr="00C06512">
        <w:rPr>
          <w:rStyle w:val="ae"/>
          <w:rtl/>
        </w:rPr>
        <w:t>(</w:t>
      </w:r>
      <w:r w:rsidR="00C06512">
        <w:rPr>
          <w:rStyle w:val="ae"/>
          <w:rtl/>
        </w:rPr>
        <w:footnoteReference w:id="450"/>
      </w:r>
      <w:r w:rsidR="00C06512" w:rsidRPr="00C06512">
        <w:rPr>
          <w:rStyle w:val="ae"/>
          <w:rtl/>
        </w:rPr>
        <w:t>)</w:t>
      </w:r>
      <w:r w:rsidRPr="00212CF5">
        <w:rPr>
          <w:rFonts w:ascii="Traditional Arabic" w:hAnsi="Traditional Arabic"/>
          <w:rtl/>
          <w:lang w:eastAsia="en-US"/>
        </w:rPr>
        <w:t xml:space="preserve">. وقال سعيد بن جبير: همّ رسول الله </w:t>
      </w:r>
      <w:r w:rsidR="001D4083">
        <w:rPr>
          <w:rFonts w:ascii="Traditional Arabic" w:hAnsi="Traditional Arabic"/>
          <w:lang w:eastAsia="en-US"/>
        </w:rPr>
        <w:t xml:space="preserve"> </w:t>
      </w:r>
      <w:r w:rsidR="001D4083">
        <w:rPr>
          <w:rFonts w:ascii="Traditional Arabic" w:hAnsi="Traditional Arabic"/>
          <w:lang w:eastAsia="en-US"/>
        </w:rPr>
        <w:sym w:font="AGA Arabesque" w:char="F072"/>
      </w:r>
      <w:r w:rsidRPr="00212CF5">
        <w:rPr>
          <w:rFonts w:ascii="Traditional Arabic" w:hAnsi="Traditional Arabic"/>
          <w:rtl/>
          <w:lang w:eastAsia="en-US"/>
        </w:rPr>
        <w:t>أن ي</w:t>
      </w:r>
      <w:r w:rsidR="00B20E9D">
        <w:rPr>
          <w:rFonts w:ascii="Traditional Arabic" w:hAnsi="Traditional Arabic" w:hint="cs"/>
          <w:rtl/>
          <w:lang w:eastAsia="en-US"/>
        </w:rPr>
        <w:t>َ</w:t>
      </w:r>
      <w:r w:rsidRPr="00212CF5">
        <w:rPr>
          <w:rFonts w:ascii="Traditional Arabic" w:hAnsi="Traditional Arabic"/>
          <w:rtl/>
          <w:lang w:eastAsia="en-US"/>
        </w:rPr>
        <w:t>ش</w:t>
      </w:r>
      <w:r w:rsidR="00B20E9D">
        <w:rPr>
          <w:rFonts w:ascii="Traditional Arabic" w:hAnsi="Traditional Arabic" w:hint="cs"/>
          <w:rtl/>
          <w:lang w:eastAsia="en-US"/>
        </w:rPr>
        <w:t>ْ</w:t>
      </w:r>
      <w:r w:rsidRPr="00212CF5">
        <w:rPr>
          <w:rFonts w:ascii="Traditional Arabic" w:hAnsi="Traditional Arabic"/>
          <w:rtl/>
          <w:lang w:eastAsia="en-US"/>
        </w:rPr>
        <w:t>خ</w:t>
      </w:r>
      <w:r w:rsidR="00B20E9D">
        <w:rPr>
          <w:rFonts w:ascii="Traditional Arabic" w:hAnsi="Traditional Arabic" w:hint="cs"/>
          <w:rtl/>
          <w:lang w:eastAsia="en-US"/>
        </w:rPr>
        <w:t>َ</w:t>
      </w:r>
      <w:r w:rsidRPr="00212CF5">
        <w:rPr>
          <w:rFonts w:ascii="Traditional Arabic" w:hAnsi="Traditional Arabic"/>
          <w:rtl/>
          <w:lang w:eastAsia="en-US"/>
        </w:rPr>
        <w:t>ص</w:t>
      </w:r>
      <w:r w:rsidR="00B20E9D">
        <w:rPr>
          <w:rFonts w:ascii="Traditional Arabic" w:hAnsi="Traditional Arabic" w:hint="cs"/>
          <w:rtl/>
          <w:lang w:eastAsia="en-US"/>
        </w:rPr>
        <w:t>َ</w:t>
      </w:r>
      <w:r w:rsidRPr="00212CF5">
        <w:rPr>
          <w:rFonts w:ascii="Traditional Arabic" w:hAnsi="Traditional Arabic"/>
          <w:rtl/>
          <w:lang w:eastAsia="en-US"/>
        </w:rPr>
        <w:t xml:space="preserve"> عن المدينة، فنزلت هذه </w:t>
      </w:r>
      <w:r w:rsidRPr="00A32F2C">
        <w:rPr>
          <w:rFonts w:ascii="Traditional Arabic" w:hAnsi="Traditional Arabic"/>
          <w:rtl/>
          <w:lang w:eastAsia="en-US"/>
        </w:rPr>
        <w:t>الآية</w:t>
      </w:r>
      <w:r w:rsidR="00A32F2C" w:rsidRPr="00A32F2C">
        <w:rPr>
          <w:rStyle w:val="ae"/>
          <w:rFonts w:ascii="Traditional Arabic" w:hAnsi="Traditional Arabic"/>
          <w:rtl/>
        </w:rPr>
        <w:t>(</w:t>
      </w:r>
      <w:r w:rsidR="00A32F2C" w:rsidRPr="00A32F2C">
        <w:rPr>
          <w:rStyle w:val="ae"/>
          <w:rFonts w:ascii="Traditional Arabic" w:hAnsi="Traditional Arabic"/>
          <w:rtl/>
        </w:rPr>
        <w:footnoteReference w:id="451"/>
      </w:r>
      <w:r w:rsidR="00A32F2C" w:rsidRPr="00A32F2C">
        <w:rPr>
          <w:rStyle w:val="ae"/>
          <w:rFonts w:ascii="Traditional Arabic" w:hAnsi="Traditional Arabic"/>
          <w:rtl/>
        </w:rPr>
        <w:t>)</w:t>
      </w:r>
      <w:r w:rsidRPr="00A32F2C">
        <w:rPr>
          <w:rFonts w:ascii="Traditional Arabic" w:hAnsi="Traditional Arabic"/>
          <w:rtl/>
          <w:lang w:eastAsia="en-US"/>
        </w:rPr>
        <w:t xml:space="preserve">. </w:t>
      </w:r>
      <w:r w:rsidR="001D4083" w:rsidRPr="00A32F2C">
        <w:rPr>
          <w:rFonts w:ascii="Traditional Arabic" w:hAnsi="Traditional Arabic"/>
          <w:rtl/>
          <w:lang w:eastAsia="en-US"/>
        </w:rPr>
        <w:t xml:space="preserve"> </w:t>
      </w:r>
      <w:r w:rsidRPr="00A32F2C">
        <w:rPr>
          <w:rFonts w:ascii="Traditional Arabic" w:hAnsi="Traditional Arabic"/>
          <w:rtl/>
          <w:lang w:eastAsia="en-US"/>
        </w:rPr>
        <w:t>وقال عبد الرحمن بن غَنْم</w:t>
      </w:r>
      <w:r w:rsidR="00A32F2C" w:rsidRPr="00A32F2C">
        <w:rPr>
          <w:rStyle w:val="ae"/>
          <w:rtl/>
        </w:rPr>
        <w:t>(</w:t>
      </w:r>
      <w:r w:rsidR="00A32F2C">
        <w:rPr>
          <w:rStyle w:val="ae"/>
          <w:rtl/>
        </w:rPr>
        <w:footnoteReference w:id="452"/>
      </w:r>
      <w:r w:rsidR="00A32F2C" w:rsidRPr="00A32F2C">
        <w:rPr>
          <w:rStyle w:val="ae"/>
          <w:rtl/>
        </w:rPr>
        <w:t>)</w:t>
      </w:r>
      <w:r w:rsidRPr="00A32F2C">
        <w:rPr>
          <w:rFonts w:ascii="Traditional Arabic" w:hAnsi="Traditional Arabic"/>
          <w:rtl/>
          <w:lang w:eastAsia="en-US"/>
        </w:rPr>
        <w:t xml:space="preserve">: لمّا قالت له اليهود هذا، صدَّق ما قالوا، وغزا غزوة </w:t>
      </w:r>
    </w:p>
    <w:p w:rsidR="00BB366A" w:rsidRDefault="00BB366A" w:rsidP="00156316">
      <w:pPr>
        <w:widowControl/>
        <w:autoSpaceDE w:val="0"/>
        <w:autoSpaceDN w:val="0"/>
        <w:adjustRightInd w:val="0"/>
        <w:ind w:firstLine="0"/>
        <w:rPr>
          <w:rFonts w:ascii="Traditional Arabic" w:hAnsi="Traditional Arabic"/>
          <w:rtl/>
          <w:lang w:eastAsia="en-US"/>
        </w:rPr>
      </w:pPr>
    </w:p>
    <w:p w:rsidR="00C36615" w:rsidRPr="00A32F2C" w:rsidRDefault="00C36615" w:rsidP="00FB4336">
      <w:pPr>
        <w:widowControl/>
        <w:autoSpaceDE w:val="0"/>
        <w:autoSpaceDN w:val="0"/>
        <w:adjustRightInd w:val="0"/>
        <w:ind w:firstLine="0"/>
        <w:rPr>
          <w:rFonts w:ascii="Traditional Arabic" w:hAnsi="Traditional Arabic"/>
          <w:rtl/>
          <w:lang w:eastAsia="en-US"/>
        </w:rPr>
      </w:pPr>
      <w:r w:rsidRPr="00A32F2C">
        <w:rPr>
          <w:rFonts w:ascii="Traditional Arabic" w:hAnsi="Traditional Arabic"/>
          <w:rtl/>
          <w:lang w:eastAsia="en-US"/>
        </w:rPr>
        <w:lastRenderedPageBreak/>
        <w:t>تبوك لا يريد إِلا الشام،</w:t>
      </w:r>
      <w:r w:rsidR="00156316">
        <w:rPr>
          <w:rFonts w:ascii="Traditional Arabic" w:hAnsi="Traditional Arabic" w:hint="cs"/>
          <w:rtl/>
          <w:lang w:eastAsia="en-US"/>
        </w:rPr>
        <w:t xml:space="preserve"> </w:t>
      </w:r>
      <w:r w:rsidR="00156316">
        <w:rPr>
          <w:rFonts w:ascii="QCF_BSML" w:hAnsi="QCF_BSML" w:cs="QCF_BSML" w:hint="cs"/>
          <w:color w:val="0D0D0D" w:themeColor="text1" w:themeTint="F2"/>
          <w:sz w:val="32"/>
          <w:szCs w:val="32"/>
          <w:rtl/>
          <w:lang w:eastAsia="en-US"/>
        </w:rPr>
        <w:t xml:space="preserve"> </w:t>
      </w:r>
      <w:r w:rsidR="00156316" w:rsidRPr="001277AD">
        <w:rPr>
          <w:rFonts w:hint="cs"/>
          <w:color w:val="0D0D0D" w:themeColor="text1" w:themeTint="F2"/>
          <w:sz w:val="32"/>
          <w:szCs w:val="32"/>
          <w:rtl/>
        </w:rPr>
        <w:t>[</w:t>
      </w:r>
      <w:r w:rsidR="00156316">
        <w:rPr>
          <w:rFonts w:hint="cs"/>
          <w:color w:val="0D0D0D" w:themeColor="text1" w:themeTint="F2"/>
          <w:sz w:val="32"/>
          <w:szCs w:val="32"/>
          <w:rtl/>
        </w:rPr>
        <w:t>82</w:t>
      </w:r>
      <w:r w:rsidR="00156316" w:rsidRPr="001277AD">
        <w:rPr>
          <w:rFonts w:hint="cs"/>
          <w:color w:val="0D0D0D" w:themeColor="text1" w:themeTint="F2"/>
          <w:sz w:val="32"/>
          <w:szCs w:val="32"/>
          <w:rtl/>
        </w:rPr>
        <w:t>]</w:t>
      </w:r>
      <w:r w:rsidR="00A32F2C" w:rsidRPr="00A32F2C">
        <w:rPr>
          <w:rFonts w:ascii="Traditional Arabic" w:hAnsi="Traditional Arabic"/>
          <w:rtl/>
          <w:lang w:eastAsia="en-US"/>
        </w:rPr>
        <w:t xml:space="preserve"> فلما بلغ تبوكَ، نزلت</w:t>
      </w:r>
      <w:r w:rsidR="00874FD1" w:rsidRPr="00874FD1">
        <w:rPr>
          <w:rStyle w:val="ae"/>
          <w:rtl/>
        </w:rPr>
        <w:t>(</w:t>
      </w:r>
      <w:r w:rsidR="00874FD1">
        <w:rPr>
          <w:rStyle w:val="ae"/>
          <w:rtl/>
        </w:rPr>
        <w:footnoteReference w:id="453"/>
      </w:r>
      <w:r w:rsidR="00874FD1" w:rsidRPr="00874FD1">
        <w:rPr>
          <w:rStyle w:val="ae"/>
          <w:rtl/>
        </w:rPr>
        <w:t>)</w:t>
      </w:r>
      <w:r w:rsidR="00A32F2C" w:rsidRPr="00A32F2C">
        <w:rPr>
          <w:rFonts w:ascii="Traditional Arabic" w:hAnsi="Traditional Arabic"/>
          <w:rtl/>
          <w:lang w:eastAsia="en-US"/>
        </w:rPr>
        <w:t>هذه الآية</w:t>
      </w:r>
      <w:r w:rsidR="00C71769" w:rsidRPr="00C71769">
        <w:rPr>
          <w:rStyle w:val="ae"/>
          <w:rtl/>
        </w:rPr>
        <w:t>(</w:t>
      </w:r>
      <w:r w:rsidR="00C71769">
        <w:rPr>
          <w:rStyle w:val="ae"/>
          <w:rtl/>
        </w:rPr>
        <w:footnoteReference w:id="454"/>
      </w:r>
      <w:r w:rsidR="00C71769" w:rsidRPr="00C71769">
        <w:rPr>
          <w:rStyle w:val="ae"/>
          <w:rtl/>
        </w:rPr>
        <w:t>)</w:t>
      </w:r>
      <w:r w:rsidRPr="00A32F2C">
        <w:rPr>
          <w:rFonts w:ascii="Traditional Arabic" w:hAnsi="Traditional Arabic"/>
          <w:rtl/>
          <w:lang w:eastAsia="en-US"/>
        </w:rPr>
        <w:t>.</w:t>
      </w:r>
      <w:r w:rsidR="00E667B0">
        <w:rPr>
          <w:rFonts w:ascii="Traditional Arabic" w:hAnsi="Traditional Arabic" w:hint="cs"/>
          <w:rtl/>
          <w:lang w:eastAsia="en-US"/>
        </w:rPr>
        <w:t xml:space="preserve"> </w:t>
      </w:r>
      <w:r w:rsidRPr="00A32F2C">
        <w:rPr>
          <w:rFonts w:ascii="Traditional Arabic" w:hAnsi="Traditional Arabic"/>
          <w:rtl/>
          <w:lang w:eastAsia="en-US"/>
        </w:rPr>
        <w:t xml:space="preserve">والثاني: </w:t>
      </w:r>
      <w:r w:rsidR="00C71769">
        <w:rPr>
          <w:rFonts w:ascii="Traditional Arabic" w:hAnsi="Traditional Arabic"/>
          <w:rtl/>
          <w:lang w:eastAsia="en-US"/>
        </w:rPr>
        <w:t>أنهم المشركون أهل مكة هَمُّوا ب</w:t>
      </w:r>
      <w:r w:rsidR="00C71769">
        <w:rPr>
          <w:rFonts w:ascii="Traditional Arabic" w:hAnsi="Traditional Arabic" w:hint="cs"/>
          <w:rtl/>
          <w:lang w:eastAsia="en-US"/>
        </w:rPr>
        <w:t>إ</w:t>
      </w:r>
      <w:r w:rsidRPr="00A32F2C">
        <w:rPr>
          <w:rFonts w:ascii="Traditional Arabic" w:hAnsi="Traditional Arabic"/>
          <w:rtl/>
          <w:lang w:eastAsia="en-US"/>
        </w:rPr>
        <w:t xml:space="preserve">خراج رسول الله </w:t>
      </w:r>
      <w:r w:rsidR="0020401A">
        <w:rPr>
          <w:rFonts w:ascii="Traditional Arabic" w:hAnsi="Traditional Arabic"/>
          <w:lang w:eastAsia="en-US"/>
        </w:rPr>
        <w:t xml:space="preserve"> </w:t>
      </w:r>
      <w:r w:rsidR="0020401A">
        <w:rPr>
          <w:rFonts w:ascii="Traditional Arabic" w:hAnsi="Traditional Arabic"/>
          <w:lang w:eastAsia="en-US"/>
        </w:rPr>
        <w:sym w:font="AGA Arabesque" w:char="F072"/>
      </w:r>
      <w:r w:rsidRPr="00A32F2C">
        <w:rPr>
          <w:rFonts w:ascii="Traditional Arabic" w:hAnsi="Traditional Arabic"/>
          <w:rtl/>
          <w:lang w:eastAsia="en-US"/>
        </w:rPr>
        <w:t>من مكة، فأمره الله بالخروج، وأنزل هذه الآية إِخباراً عما هَمُّوا به، قاله الحسن، ومجاهد.</w:t>
      </w:r>
      <w:r w:rsidR="00C71769" w:rsidRPr="00C71769">
        <w:rPr>
          <w:rStyle w:val="ae"/>
          <w:rtl/>
        </w:rPr>
        <w:t>(</w:t>
      </w:r>
      <w:r w:rsidR="00C71769">
        <w:rPr>
          <w:rStyle w:val="ae"/>
          <w:rtl/>
        </w:rPr>
        <w:footnoteReference w:id="455"/>
      </w:r>
      <w:r w:rsidR="00C71769" w:rsidRPr="00C71769">
        <w:rPr>
          <w:rStyle w:val="ae"/>
          <w:rtl/>
        </w:rPr>
        <w:t>)</w:t>
      </w:r>
      <w:r w:rsidR="00C71769">
        <w:rPr>
          <w:rFonts w:ascii="Traditional Arabic" w:hAnsi="Traditional Arabic"/>
          <w:rtl/>
          <w:lang w:eastAsia="en-US"/>
        </w:rPr>
        <w:t xml:space="preserve"> وقال</w:t>
      </w:r>
      <w:r w:rsidR="00C71769" w:rsidRPr="0040702C">
        <w:rPr>
          <w:rFonts w:ascii="Traditional Arabic" w:hAnsi="Traditional Arabic"/>
          <w:rtl/>
          <w:lang w:eastAsia="en-US"/>
        </w:rPr>
        <w:t xml:space="preserve"> </w:t>
      </w:r>
      <w:r w:rsidR="00966DAF">
        <w:rPr>
          <w:rFonts w:ascii="Tahoma" w:hAnsi="Tahoma" w:hint="cs"/>
          <w:rtl/>
        </w:rPr>
        <w:t>[</w:t>
      </w:r>
      <w:r w:rsidR="0040702C" w:rsidRPr="0040702C">
        <w:rPr>
          <w:rFonts w:ascii="Tahoma" w:hAnsi="Tahoma" w:hint="cs"/>
          <w:rtl/>
        </w:rPr>
        <w:t>قتادة</w:t>
      </w:r>
      <w:r w:rsidR="00966DAF">
        <w:rPr>
          <w:rFonts w:ascii="Tahoma" w:hAnsi="Tahoma" w:hint="cs"/>
          <w:rtl/>
        </w:rPr>
        <w:t>]</w:t>
      </w:r>
      <w:r w:rsidR="00874FD1" w:rsidRPr="00874FD1">
        <w:rPr>
          <w:rStyle w:val="ae"/>
          <w:rtl/>
        </w:rPr>
        <w:t>(</w:t>
      </w:r>
      <w:r w:rsidR="00874FD1">
        <w:rPr>
          <w:rStyle w:val="ae"/>
          <w:rtl/>
        </w:rPr>
        <w:footnoteReference w:id="456"/>
      </w:r>
      <w:r w:rsidR="00874FD1" w:rsidRPr="00874FD1">
        <w:rPr>
          <w:rStyle w:val="ae"/>
          <w:rtl/>
        </w:rPr>
        <w:t>)</w:t>
      </w:r>
      <w:r w:rsidR="00C71769">
        <w:rPr>
          <w:rFonts w:ascii="Traditional Arabic" w:hAnsi="Traditional Arabic"/>
          <w:rtl/>
          <w:lang w:eastAsia="en-US"/>
        </w:rPr>
        <w:t>: هم أهل مكة ب</w:t>
      </w:r>
      <w:r w:rsidR="00C71769">
        <w:rPr>
          <w:rFonts w:ascii="Traditional Arabic" w:hAnsi="Traditional Arabic" w:hint="cs"/>
          <w:rtl/>
          <w:lang w:eastAsia="en-US"/>
        </w:rPr>
        <w:t>إ</w:t>
      </w:r>
      <w:r w:rsidRPr="00A32F2C">
        <w:rPr>
          <w:rFonts w:ascii="Traditional Arabic" w:hAnsi="Traditional Arabic"/>
          <w:rtl/>
          <w:lang w:eastAsia="en-US"/>
        </w:rPr>
        <w:t>خراجه من مكة، ولو فعلوا ذلك ما نُوظِروا، ولكنَّ الله كفَّهم عن إِخراجه حتى أمره بالخروج. وقيل:</w:t>
      </w:r>
      <w:r w:rsidR="00A32F2C">
        <w:rPr>
          <w:rFonts w:ascii="Traditional Arabic" w:hAnsi="Traditional Arabic" w:hint="cs"/>
          <w:rtl/>
          <w:lang w:eastAsia="en-US"/>
        </w:rPr>
        <w:t xml:space="preserve"> </w:t>
      </w:r>
      <w:r w:rsidRPr="00A32F2C">
        <w:rPr>
          <w:rFonts w:ascii="Traditional Arabic" w:hAnsi="Traditional Arabic"/>
          <w:rtl/>
          <w:lang w:eastAsia="en-US"/>
        </w:rPr>
        <w:t>ما لبثوا بعد ذلك حتى بعث الله عليهم القتل ببدر</w:t>
      </w:r>
      <w:r w:rsidR="00620EB0" w:rsidRPr="00620EB0">
        <w:rPr>
          <w:rStyle w:val="ae"/>
          <w:rtl/>
        </w:rPr>
        <w:t>(</w:t>
      </w:r>
      <w:r w:rsidR="00620EB0">
        <w:rPr>
          <w:rStyle w:val="ae"/>
          <w:rtl/>
        </w:rPr>
        <w:footnoteReference w:id="457"/>
      </w:r>
      <w:r w:rsidR="00620EB0" w:rsidRPr="00620EB0">
        <w:rPr>
          <w:rStyle w:val="ae"/>
          <w:rtl/>
        </w:rPr>
        <w:t>)</w:t>
      </w:r>
      <w:r w:rsidRPr="00A32F2C">
        <w:rPr>
          <w:rFonts w:ascii="Traditional Arabic" w:hAnsi="Traditional Arabic"/>
          <w:rtl/>
          <w:lang w:eastAsia="en-US"/>
        </w:rPr>
        <w:t>.</w:t>
      </w:r>
      <w:r w:rsidR="00C71769">
        <w:rPr>
          <w:rFonts w:ascii="Traditional Arabic" w:hAnsi="Traditional Arabic" w:hint="cs"/>
          <w:rtl/>
          <w:lang w:eastAsia="en-US"/>
        </w:rPr>
        <w:t xml:space="preserve"> </w:t>
      </w:r>
      <w:r w:rsidRPr="00A32F2C">
        <w:rPr>
          <w:rFonts w:ascii="Traditional Arabic" w:hAnsi="Traditional Arabic"/>
          <w:rtl/>
          <w:lang w:eastAsia="en-US"/>
        </w:rPr>
        <w:t>فعلى القول الأول، المشار إِليهم: اليهود، والأرض: المدينة. وعلى الثاني: هم المشركو</w:t>
      </w:r>
      <w:r w:rsidR="00554762">
        <w:rPr>
          <w:rFonts w:ascii="Traditional Arabic" w:hAnsi="Traditional Arabic"/>
          <w:rtl/>
          <w:lang w:eastAsia="en-US"/>
        </w:rPr>
        <w:t>ن، والأرض: مكة، وقد ذكرنا معنى</w:t>
      </w:r>
      <w:r w:rsidR="00554762">
        <w:rPr>
          <w:rFonts w:ascii="Traditional Arabic" w:hAnsi="Traditional Arabic" w:hint="cs"/>
          <w:rtl/>
          <w:lang w:eastAsia="en-US"/>
        </w:rPr>
        <w:t xml:space="preserve"> "</w:t>
      </w:r>
      <w:r w:rsidR="00554762">
        <w:rPr>
          <w:rFonts w:ascii="Traditional Arabic" w:hAnsi="Traditional Arabic"/>
          <w:rtl/>
          <w:lang w:eastAsia="en-US"/>
        </w:rPr>
        <w:t>الاستفزاز</w:t>
      </w:r>
      <w:r w:rsidR="00554762">
        <w:rPr>
          <w:rFonts w:ascii="Traditional Arabic" w:hAnsi="Traditional Arabic" w:hint="cs"/>
          <w:rtl/>
          <w:lang w:eastAsia="en-US"/>
        </w:rPr>
        <w:t>"</w:t>
      </w:r>
      <w:r w:rsidRPr="00A32F2C">
        <w:rPr>
          <w:rFonts w:ascii="Traditional Arabic" w:hAnsi="Traditional Arabic"/>
          <w:rtl/>
          <w:lang w:eastAsia="en-US"/>
        </w:rPr>
        <w:t xml:space="preserve"> آنفا</w:t>
      </w:r>
      <w:r w:rsidR="00C71769" w:rsidRPr="00C71769">
        <w:rPr>
          <w:rStyle w:val="ae"/>
          <w:rtl/>
        </w:rPr>
        <w:t>(</w:t>
      </w:r>
      <w:r w:rsidR="00C71769">
        <w:rPr>
          <w:rStyle w:val="ae"/>
          <w:rtl/>
        </w:rPr>
        <w:footnoteReference w:id="458"/>
      </w:r>
      <w:r w:rsidR="00C71769" w:rsidRPr="00C71769">
        <w:rPr>
          <w:rStyle w:val="ae"/>
          <w:rtl/>
        </w:rPr>
        <w:t>)</w:t>
      </w:r>
      <w:r w:rsidRPr="00A32F2C">
        <w:rPr>
          <w:rFonts w:ascii="Traditional Arabic" w:hAnsi="Traditional Arabic"/>
          <w:rtl/>
          <w:lang w:eastAsia="en-US"/>
        </w:rPr>
        <w:t xml:space="preserve">، وقيل: المراد به هاهنا: القتل، ليخرجوه من </w:t>
      </w:r>
      <w:r w:rsidRPr="004740C4">
        <w:rPr>
          <w:rFonts w:ascii="Traditional Arabic" w:hAnsi="Traditional Arabic"/>
          <w:rtl/>
          <w:lang w:eastAsia="en-US"/>
        </w:rPr>
        <w:t xml:space="preserve">الأرض كلِّها، </w:t>
      </w:r>
      <w:r w:rsidR="004740C4" w:rsidRPr="004740C4">
        <w:rPr>
          <w:rFonts w:ascii="Traditional Arabic" w:hAnsi="Traditional Arabic" w:hint="cs"/>
          <w:rtl/>
          <w:lang w:eastAsia="en-US"/>
        </w:rPr>
        <w:t>[</w:t>
      </w:r>
      <w:r w:rsidRPr="004740C4">
        <w:rPr>
          <w:rFonts w:ascii="Traditional Arabic" w:hAnsi="Traditional Arabic"/>
          <w:rtl/>
          <w:lang w:eastAsia="en-US"/>
        </w:rPr>
        <w:t>روي</w:t>
      </w:r>
      <w:r w:rsidR="004740C4" w:rsidRPr="004740C4">
        <w:rPr>
          <w:rFonts w:ascii="Traditional Arabic" w:hAnsi="Traditional Arabic" w:hint="cs"/>
          <w:rtl/>
          <w:lang w:eastAsia="en-US"/>
        </w:rPr>
        <w:t>]</w:t>
      </w:r>
      <w:r w:rsidR="004740C4" w:rsidRPr="004740C4">
        <w:rPr>
          <w:rStyle w:val="ae"/>
          <w:rtl/>
        </w:rPr>
        <w:t>(</w:t>
      </w:r>
      <w:r w:rsidR="004740C4">
        <w:rPr>
          <w:rStyle w:val="ae"/>
          <w:rtl/>
        </w:rPr>
        <w:footnoteReference w:id="459"/>
      </w:r>
      <w:r w:rsidR="004740C4" w:rsidRPr="004740C4">
        <w:rPr>
          <w:rStyle w:val="ae"/>
          <w:rtl/>
        </w:rPr>
        <w:t>)</w:t>
      </w:r>
      <w:r w:rsidR="004740C4">
        <w:rPr>
          <w:rFonts w:ascii="Traditional Arabic" w:hAnsi="Traditional Arabic" w:hint="cs"/>
          <w:rtl/>
          <w:lang w:eastAsia="en-US"/>
        </w:rPr>
        <w:t>عن الحسن</w:t>
      </w:r>
      <w:r w:rsidR="004740C4" w:rsidRPr="004740C4">
        <w:rPr>
          <w:rStyle w:val="ae"/>
          <w:rFonts w:ascii="Traditional Arabic" w:hAnsi="Traditional Arabic"/>
          <w:rtl/>
        </w:rPr>
        <w:t xml:space="preserve"> </w:t>
      </w:r>
      <w:r w:rsidR="00C71769" w:rsidRPr="004740C4">
        <w:rPr>
          <w:rStyle w:val="ae"/>
          <w:rFonts w:ascii="Traditional Arabic" w:hAnsi="Traditional Arabic"/>
          <w:rtl/>
        </w:rPr>
        <w:t>(</w:t>
      </w:r>
      <w:r w:rsidR="00C71769" w:rsidRPr="004740C4">
        <w:rPr>
          <w:rStyle w:val="ae"/>
          <w:rFonts w:ascii="Traditional Arabic" w:hAnsi="Traditional Arabic"/>
          <w:rtl/>
        </w:rPr>
        <w:footnoteReference w:id="460"/>
      </w:r>
      <w:r w:rsidR="00C71769" w:rsidRPr="004740C4">
        <w:rPr>
          <w:rStyle w:val="ae"/>
          <w:rFonts w:ascii="Traditional Arabic" w:hAnsi="Traditional Arabic"/>
          <w:rtl/>
        </w:rPr>
        <w:t>)</w:t>
      </w:r>
      <w:r w:rsidRPr="004740C4">
        <w:rPr>
          <w:rFonts w:ascii="Traditional Arabic" w:hAnsi="Traditional Arabic"/>
          <w:rtl/>
          <w:lang w:eastAsia="en-US"/>
        </w:rPr>
        <w:t>.</w:t>
      </w:r>
    </w:p>
    <w:p w:rsidR="00C36615" w:rsidRDefault="00C36615" w:rsidP="00823890">
      <w:pPr>
        <w:widowControl/>
        <w:autoSpaceDE w:val="0"/>
        <w:autoSpaceDN w:val="0"/>
        <w:adjustRightInd w:val="0"/>
        <w:ind w:firstLine="0"/>
        <w:rPr>
          <w:rFonts w:ascii="Traditional Arabic" w:hAnsi="Traditional Arabic"/>
          <w:rtl/>
          <w:lang w:eastAsia="en-US"/>
        </w:rPr>
      </w:pPr>
      <w:r w:rsidRPr="00A32F2C">
        <w:rPr>
          <w:rFonts w:ascii="Traditional Arabic" w:hAnsi="Traditional Arabic"/>
          <w:rtl/>
          <w:lang w:eastAsia="en-US"/>
        </w:rPr>
        <w:t xml:space="preserve">قوله تعالى: </w:t>
      </w:r>
      <w:r w:rsidR="003D26E8" w:rsidRPr="00110C85">
        <w:rPr>
          <w:rFonts w:ascii="QCF_BSML" w:hAnsi="QCF_BSML" w:cs="QCF_BSML"/>
          <w:sz w:val="32"/>
          <w:szCs w:val="32"/>
          <w:rtl/>
          <w:lang w:eastAsia="en-US"/>
        </w:rPr>
        <w:t>ﭽ</w:t>
      </w:r>
      <w:r w:rsidR="003D26E8" w:rsidRPr="00110C85">
        <w:rPr>
          <w:rFonts w:ascii="QCF_P290" w:hAnsi="QCF_P290" w:cs="QCF_P290"/>
          <w:sz w:val="32"/>
          <w:szCs w:val="32"/>
          <w:rtl/>
          <w:lang w:eastAsia="en-US"/>
        </w:rPr>
        <w:t xml:space="preserve"> ﭙ  ﭚ  ﭛ  ﭜ</w:t>
      </w:r>
      <w:r w:rsidR="003D26E8" w:rsidRPr="00110C85">
        <w:rPr>
          <w:rFonts w:ascii="QCF_BSML" w:hAnsi="QCF_BSML" w:cs="QCF_BSML"/>
          <w:sz w:val="32"/>
          <w:szCs w:val="32"/>
          <w:rtl/>
          <w:lang w:eastAsia="en-US"/>
        </w:rPr>
        <w:t>ﭼ</w:t>
      </w:r>
      <w:r w:rsidR="003D26E8" w:rsidRPr="000651D4">
        <w:rPr>
          <w:rFonts w:ascii="QCF_P290" w:hAnsi="QCF_P290" w:cs="QCF_P290"/>
          <w:sz w:val="32"/>
          <w:szCs w:val="32"/>
          <w:rtl/>
          <w:lang w:eastAsia="en-US"/>
        </w:rPr>
        <w:t xml:space="preserve"> </w:t>
      </w:r>
      <w:r w:rsidR="003D26E8">
        <w:rPr>
          <w:rFonts w:ascii="QCF_P290" w:hAnsi="QCF_P290" w:cs="QCF_P290" w:hint="cs"/>
          <w:sz w:val="32"/>
          <w:szCs w:val="32"/>
          <w:rtl/>
          <w:lang w:eastAsia="en-US"/>
        </w:rPr>
        <w:t xml:space="preserve"> </w:t>
      </w:r>
      <w:r w:rsidR="003D26E8" w:rsidRPr="000651D4">
        <w:rPr>
          <w:rFonts w:ascii="QCF_P290" w:hAnsi="QCF_P290" w:cs="QCF_P290"/>
          <w:sz w:val="32"/>
          <w:szCs w:val="32"/>
          <w:rtl/>
          <w:lang w:eastAsia="en-US"/>
        </w:rPr>
        <w:t xml:space="preserve"> </w:t>
      </w:r>
      <w:r w:rsidR="003D26E8">
        <w:rPr>
          <w:rFonts w:ascii="Traditional Arabic" w:hAnsi="Traditional Arabic"/>
          <w:rtl/>
          <w:lang w:eastAsia="en-US"/>
        </w:rPr>
        <w:t xml:space="preserve">قرأ </w:t>
      </w:r>
      <w:r w:rsidR="003D26E8">
        <w:rPr>
          <w:rFonts w:ascii="Traditional Arabic" w:hAnsi="Traditional Arabic" w:hint="cs"/>
          <w:rtl/>
          <w:lang w:eastAsia="en-US"/>
        </w:rPr>
        <w:t>ا</w:t>
      </w:r>
      <w:r w:rsidRPr="00A32F2C">
        <w:rPr>
          <w:rFonts w:ascii="Traditional Arabic" w:hAnsi="Traditional Arabic"/>
          <w:rtl/>
          <w:lang w:eastAsia="en-US"/>
        </w:rPr>
        <w:t>بن كثير، ونافع، وأبو عمرو، وأبو بكر عن عاصم:</w:t>
      </w:r>
      <w:r w:rsidR="00110C85">
        <w:rPr>
          <w:rFonts w:ascii="Traditional Arabic" w:hAnsi="Traditional Arabic" w:hint="cs"/>
          <w:rtl/>
          <w:lang w:eastAsia="en-US"/>
        </w:rPr>
        <w:t xml:space="preserve"> </w:t>
      </w:r>
      <w:r w:rsidR="003D26E8">
        <w:rPr>
          <w:rFonts w:ascii="Traditional Arabic" w:hAnsi="Traditional Arabic" w:hint="cs"/>
          <w:rtl/>
          <w:lang w:eastAsia="en-US"/>
        </w:rPr>
        <w:t>"</w:t>
      </w:r>
      <w:r w:rsidR="003D26E8">
        <w:rPr>
          <w:rFonts w:ascii="Traditional Arabic" w:hAnsi="Traditional Arabic"/>
          <w:rtl/>
          <w:lang w:eastAsia="en-US"/>
        </w:rPr>
        <w:t>خلفك</w:t>
      </w:r>
      <w:r w:rsidR="003D26E8">
        <w:rPr>
          <w:rFonts w:ascii="Traditional Arabic" w:hAnsi="Traditional Arabic" w:hint="cs"/>
          <w:rtl/>
          <w:lang w:eastAsia="en-US"/>
        </w:rPr>
        <w:t>"</w:t>
      </w:r>
      <w:r w:rsidRPr="003E6BF4">
        <w:rPr>
          <w:rFonts w:ascii="Traditional Arabic" w:hAnsi="Traditional Arabic"/>
          <w:rtl/>
          <w:lang w:eastAsia="en-US"/>
        </w:rPr>
        <w:t xml:space="preserve">. وقرأ ابن عامر، وحمزة، والكسائي، وحفص عن عاصم: </w:t>
      </w:r>
      <w:r w:rsidR="003D26E8">
        <w:rPr>
          <w:rFonts w:ascii="Traditional Arabic" w:hAnsi="Traditional Arabic" w:hint="cs"/>
          <w:rtl/>
          <w:lang w:eastAsia="en-US"/>
        </w:rPr>
        <w:t>"</w:t>
      </w:r>
      <w:r w:rsidR="003D26E8">
        <w:rPr>
          <w:rFonts w:ascii="Traditional Arabic" w:hAnsi="Traditional Arabic"/>
          <w:rtl/>
          <w:lang w:eastAsia="en-US"/>
        </w:rPr>
        <w:t>خلافك</w:t>
      </w:r>
      <w:r w:rsidR="003D26E8">
        <w:rPr>
          <w:rFonts w:ascii="Traditional Arabic" w:hAnsi="Traditional Arabic" w:hint="cs"/>
          <w:rtl/>
          <w:lang w:eastAsia="en-US"/>
        </w:rPr>
        <w:t>"</w:t>
      </w:r>
      <w:r w:rsidR="003D26E8" w:rsidRPr="003D26E8">
        <w:rPr>
          <w:rStyle w:val="ae"/>
          <w:rtl/>
        </w:rPr>
        <w:t>(</w:t>
      </w:r>
      <w:r w:rsidR="003D26E8">
        <w:rPr>
          <w:rStyle w:val="ae"/>
          <w:rtl/>
        </w:rPr>
        <w:footnoteReference w:id="461"/>
      </w:r>
      <w:r w:rsidR="003D26E8" w:rsidRPr="003D26E8">
        <w:rPr>
          <w:rStyle w:val="ae"/>
          <w:rtl/>
        </w:rPr>
        <w:t>)</w:t>
      </w:r>
      <w:r w:rsidRPr="003E6BF4">
        <w:rPr>
          <w:rFonts w:ascii="Traditional Arabic" w:hAnsi="Traditional Arabic"/>
          <w:rtl/>
          <w:lang w:eastAsia="en-US"/>
        </w:rPr>
        <w:t>. قال الأخفش</w:t>
      </w:r>
      <w:r w:rsidR="003D26E8">
        <w:rPr>
          <w:rFonts w:ascii="Traditional Arabic" w:hAnsi="Traditional Arabic" w:hint="cs"/>
          <w:rtl/>
          <w:lang w:eastAsia="en-US"/>
        </w:rPr>
        <w:t>:</w:t>
      </w:r>
      <w:r w:rsidR="003D26E8">
        <w:rPr>
          <w:rFonts w:ascii="Traditional Arabic" w:hAnsi="Traditional Arabic"/>
          <w:rtl/>
          <w:lang w:eastAsia="en-US"/>
        </w:rPr>
        <w:t xml:space="preserve"> </w:t>
      </w:r>
      <w:r w:rsidR="003D26E8" w:rsidRPr="00110C85">
        <w:rPr>
          <w:rFonts w:ascii="QCF_BSML" w:hAnsi="QCF_BSML" w:cs="QCF_BSML"/>
          <w:sz w:val="32"/>
          <w:szCs w:val="32"/>
          <w:rtl/>
          <w:lang w:eastAsia="en-US"/>
        </w:rPr>
        <w:t>ﭽ</w:t>
      </w:r>
      <w:r w:rsidR="003D26E8" w:rsidRPr="00110C85">
        <w:rPr>
          <w:rFonts w:ascii="QCF_P290" w:hAnsi="QCF_P290" w:cs="QCF_P290"/>
          <w:sz w:val="32"/>
          <w:szCs w:val="32"/>
          <w:rtl/>
          <w:lang w:eastAsia="en-US"/>
        </w:rPr>
        <w:t>ﭜ</w:t>
      </w:r>
      <w:r w:rsidR="003D26E8" w:rsidRPr="00110C85">
        <w:rPr>
          <w:rFonts w:ascii="QCF_BSML" w:hAnsi="QCF_BSML" w:cs="QCF_BSML"/>
          <w:sz w:val="32"/>
          <w:szCs w:val="32"/>
          <w:rtl/>
          <w:lang w:eastAsia="en-US"/>
        </w:rPr>
        <w:t>ﭼ</w:t>
      </w:r>
      <w:r w:rsidRPr="003E6BF4">
        <w:rPr>
          <w:rFonts w:ascii="Traditional Arabic" w:hAnsi="Traditional Arabic"/>
          <w:rtl/>
          <w:lang w:eastAsia="en-US"/>
        </w:rPr>
        <w:t xml:space="preserve"> في معنى خلفك، والمعنى: لا يلبثون بعد خروجك </w:t>
      </w:r>
      <w:r w:rsidR="00823890" w:rsidRPr="00110C85">
        <w:rPr>
          <w:rFonts w:ascii="QCF_BSML" w:hAnsi="QCF_BSML" w:cs="QCF_BSML"/>
          <w:sz w:val="32"/>
          <w:szCs w:val="32"/>
          <w:rtl/>
          <w:lang w:eastAsia="en-US"/>
        </w:rPr>
        <w:t>ﭽ</w:t>
      </w:r>
      <w:r w:rsidR="00823890" w:rsidRPr="00823890">
        <w:rPr>
          <w:rFonts w:ascii="QCF_P290" w:hAnsi="QCF_P290" w:cs="QCF_P290"/>
          <w:color w:val="auto"/>
          <w:sz w:val="32"/>
          <w:szCs w:val="32"/>
          <w:rtl/>
          <w:lang w:eastAsia="en-US"/>
        </w:rPr>
        <w:t xml:space="preserve"> </w:t>
      </w:r>
      <w:r w:rsidR="00823890" w:rsidRPr="00E667B0">
        <w:rPr>
          <w:rFonts w:ascii="QCF_P290" w:hAnsi="QCF_P290" w:cs="QCF_P290"/>
          <w:color w:val="auto"/>
          <w:sz w:val="32"/>
          <w:szCs w:val="32"/>
          <w:rtl/>
          <w:lang w:eastAsia="en-US"/>
        </w:rPr>
        <w:t>ﭝ  ﭞ</w:t>
      </w:r>
      <w:r w:rsidR="00823890" w:rsidRPr="00110C85">
        <w:rPr>
          <w:rFonts w:ascii="QCF_BSML" w:hAnsi="QCF_BSML" w:cs="QCF_BSML"/>
          <w:sz w:val="32"/>
          <w:szCs w:val="32"/>
          <w:rtl/>
          <w:lang w:eastAsia="en-US"/>
        </w:rPr>
        <w:t>ﭼ</w:t>
      </w:r>
      <w:r w:rsidR="00823890">
        <w:rPr>
          <w:rFonts w:ascii="QCF_BSML" w:hAnsi="QCF_BSML" w:cs="QCF_BSML" w:hint="cs"/>
          <w:sz w:val="32"/>
          <w:szCs w:val="32"/>
          <w:rtl/>
          <w:lang w:eastAsia="en-US"/>
        </w:rPr>
        <w:t xml:space="preserve"> </w:t>
      </w:r>
      <w:r w:rsidR="00823890" w:rsidRPr="00E667B0">
        <w:rPr>
          <w:rFonts w:ascii="QCF_P290" w:hAnsi="QCF_P290" w:cs="QCF_P290"/>
          <w:color w:val="auto"/>
          <w:sz w:val="32"/>
          <w:szCs w:val="32"/>
          <w:rtl/>
          <w:lang w:eastAsia="en-US"/>
        </w:rPr>
        <w:t xml:space="preserve">  </w:t>
      </w:r>
      <w:r w:rsidR="0020401A" w:rsidRPr="003E6BF4">
        <w:rPr>
          <w:rFonts w:ascii="Traditional Arabic" w:hAnsi="Traditional Arabic"/>
          <w:rtl/>
          <w:lang w:eastAsia="en-US"/>
        </w:rPr>
        <w:t xml:space="preserve">أي: لو أخرجوك </w:t>
      </w:r>
      <w:r w:rsidR="005C5D03" w:rsidRPr="003E6BF4">
        <w:rPr>
          <w:rFonts w:ascii="Traditional Arabic" w:hAnsi="Traditional Arabic" w:hint="cs"/>
          <w:rtl/>
          <w:lang w:eastAsia="en-US"/>
        </w:rPr>
        <w:t>لاستأصلناهم</w:t>
      </w:r>
      <w:r w:rsidRPr="003E6BF4">
        <w:rPr>
          <w:rFonts w:ascii="Traditional Arabic" w:hAnsi="Traditional Arabic"/>
          <w:rtl/>
          <w:lang w:eastAsia="en-US"/>
        </w:rPr>
        <w:t xml:space="preserve"> بعد خروجك بقليل، وقد جازاهم الله على ما همُّوا به، فقتل صناديد </w:t>
      </w:r>
      <w:r w:rsidRPr="003E6BF4">
        <w:rPr>
          <w:rFonts w:ascii="Traditional Arabic" w:hAnsi="Traditional Arabic"/>
          <w:rtl/>
          <w:lang w:eastAsia="en-US"/>
        </w:rPr>
        <w:lastRenderedPageBreak/>
        <w:t>المشركين ببدر، وقتل من اليهود</w:t>
      </w:r>
      <w:r w:rsidR="00110C85">
        <w:rPr>
          <w:rFonts w:ascii="Traditional Arabic" w:hAnsi="Traditional Arabic" w:hint="cs"/>
          <w:rtl/>
          <w:lang w:eastAsia="en-US"/>
        </w:rPr>
        <w:t xml:space="preserve"> من</w:t>
      </w:r>
      <w:r w:rsidR="00110C85" w:rsidRPr="00110C85">
        <w:rPr>
          <w:rStyle w:val="ae"/>
          <w:rtl/>
        </w:rPr>
        <w:t>(</w:t>
      </w:r>
      <w:r w:rsidR="00110C85">
        <w:rPr>
          <w:rStyle w:val="ae"/>
          <w:rtl/>
        </w:rPr>
        <w:footnoteReference w:id="462"/>
      </w:r>
      <w:r w:rsidR="00110C85" w:rsidRPr="00110C85">
        <w:rPr>
          <w:rStyle w:val="ae"/>
          <w:rtl/>
        </w:rPr>
        <w:t>)</w:t>
      </w:r>
      <w:r w:rsidRPr="003E6BF4">
        <w:rPr>
          <w:rFonts w:ascii="Traditional Arabic" w:hAnsi="Traditional Arabic"/>
          <w:rtl/>
          <w:lang w:eastAsia="en-US"/>
        </w:rPr>
        <w:t>بني قريظة، وأجلى النضير</w:t>
      </w:r>
      <w:r w:rsidR="009C6569">
        <w:rPr>
          <w:rFonts w:ascii="Traditional Arabic" w:hAnsi="Traditional Arabic" w:hint="cs"/>
          <w:rtl/>
          <w:lang w:eastAsia="en-US"/>
        </w:rPr>
        <w:t>.</w:t>
      </w:r>
      <w:r w:rsidR="00043090" w:rsidRPr="00043090">
        <w:rPr>
          <w:rStyle w:val="ae"/>
          <w:rtl/>
        </w:rPr>
        <w:t>(</w:t>
      </w:r>
      <w:r w:rsidR="00043090">
        <w:rPr>
          <w:rStyle w:val="ae"/>
          <w:rtl/>
        </w:rPr>
        <w:footnoteReference w:id="463"/>
      </w:r>
      <w:r w:rsidR="00043090" w:rsidRPr="00043090">
        <w:rPr>
          <w:rStyle w:val="ae"/>
          <w:rtl/>
        </w:rPr>
        <w:t>)</w:t>
      </w:r>
      <w:r w:rsidRPr="003E6BF4">
        <w:rPr>
          <w:rFonts w:ascii="Traditional Arabic" w:hAnsi="Traditional Arabic"/>
          <w:rtl/>
          <w:lang w:eastAsia="en-US"/>
        </w:rPr>
        <w:t xml:space="preserve"> وقال ابن الأنباري: معنى الكلام: لا يَلْبَثون على خِلافك ومخالفتك، فسقط حرف الخفض</w:t>
      </w:r>
      <w:r w:rsidR="009C6569">
        <w:rPr>
          <w:rFonts w:ascii="Traditional Arabic" w:hAnsi="Traditional Arabic" w:hint="cs"/>
          <w:rtl/>
          <w:lang w:eastAsia="en-US"/>
        </w:rPr>
        <w:t>.</w:t>
      </w:r>
      <w:r w:rsidR="0073585A" w:rsidRPr="0073585A">
        <w:rPr>
          <w:rStyle w:val="ae"/>
          <w:rtl/>
        </w:rPr>
        <w:t>(</w:t>
      </w:r>
      <w:r w:rsidR="0073585A">
        <w:rPr>
          <w:rStyle w:val="ae"/>
          <w:rtl/>
        </w:rPr>
        <w:footnoteReference w:id="464"/>
      </w:r>
      <w:r w:rsidR="0073585A" w:rsidRPr="0073585A">
        <w:rPr>
          <w:rStyle w:val="ae"/>
          <w:rtl/>
        </w:rPr>
        <w:t>)</w:t>
      </w:r>
      <w:r w:rsidRPr="003E6BF4">
        <w:rPr>
          <w:rFonts w:ascii="Traditional Arabic" w:hAnsi="Traditional Arabic"/>
          <w:rtl/>
          <w:lang w:eastAsia="en-US"/>
        </w:rPr>
        <w:t xml:space="preserve"> وقرأ أبو رزين، وأبو المتوكل: </w:t>
      </w:r>
      <w:r w:rsidR="0073585A">
        <w:rPr>
          <w:rFonts w:ascii="Traditional Arabic" w:hAnsi="Traditional Arabic" w:hint="cs"/>
          <w:rtl/>
          <w:lang w:eastAsia="en-US"/>
        </w:rPr>
        <w:t>"</w:t>
      </w:r>
      <w:r w:rsidRPr="003E6BF4">
        <w:rPr>
          <w:rFonts w:ascii="Traditional Arabic" w:hAnsi="Traditional Arabic"/>
          <w:rtl/>
          <w:lang w:eastAsia="en-US"/>
        </w:rPr>
        <w:t>خُلاَّفُ</w:t>
      </w:r>
      <w:r w:rsidR="0073585A">
        <w:rPr>
          <w:rFonts w:ascii="Traditional Arabic" w:hAnsi="Traditional Arabic"/>
          <w:rtl/>
          <w:lang w:eastAsia="en-US"/>
        </w:rPr>
        <w:t>كَ</w:t>
      </w:r>
      <w:r w:rsidR="0073585A">
        <w:rPr>
          <w:rFonts w:ascii="Traditional Arabic" w:hAnsi="Traditional Arabic" w:hint="cs"/>
          <w:rtl/>
          <w:lang w:eastAsia="en-US"/>
        </w:rPr>
        <w:t>"</w:t>
      </w:r>
      <w:r w:rsidRPr="003E6BF4">
        <w:rPr>
          <w:rFonts w:ascii="Traditional Arabic" w:hAnsi="Traditional Arabic"/>
          <w:rtl/>
          <w:lang w:eastAsia="en-US"/>
        </w:rPr>
        <w:t xml:space="preserve"> بضم الخاء، وتشديد اللام، ورفع الفاء</w:t>
      </w:r>
      <w:r w:rsidR="009C6569">
        <w:rPr>
          <w:rFonts w:ascii="Traditional Arabic" w:hAnsi="Traditional Arabic" w:hint="cs"/>
          <w:rtl/>
          <w:lang w:eastAsia="en-US"/>
        </w:rPr>
        <w:t>.</w:t>
      </w:r>
      <w:r w:rsidR="0073585A" w:rsidRPr="0073585A">
        <w:rPr>
          <w:rStyle w:val="ae"/>
          <w:rtl/>
        </w:rPr>
        <w:t>(</w:t>
      </w:r>
      <w:r w:rsidR="0073585A">
        <w:rPr>
          <w:rStyle w:val="ae"/>
          <w:rtl/>
        </w:rPr>
        <w:footnoteReference w:id="465"/>
      </w:r>
      <w:r w:rsidR="0073585A" w:rsidRPr="0073585A">
        <w:rPr>
          <w:rStyle w:val="ae"/>
          <w:rtl/>
        </w:rPr>
        <w:t>)</w:t>
      </w:r>
      <w:r w:rsidRPr="003E6BF4">
        <w:rPr>
          <w:rFonts w:ascii="Traditional Arabic" w:hAnsi="Traditional Arabic"/>
          <w:rtl/>
          <w:lang w:eastAsia="en-US"/>
        </w:rPr>
        <w:t xml:space="preserve"> قوله تعالى: </w:t>
      </w:r>
      <w:r w:rsidR="0073585A" w:rsidRPr="00110C85">
        <w:rPr>
          <w:rFonts w:ascii="QCF_BSML" w:hAnsi="QCF_BSML" w:cs="QCF_BSML"/>
          <w:sz w:val="32"/>
          <w:szCs w:val="32"/>
          <w:rtl/>
          <w:lang w:eastAsia="en-US"/>
        </w:rPr>
        <w:t>ﭽ</w:t>
      </w:r>
      <w:r w:rsidR="0073585A" w:rsidRPr="00110C85">
        <w:rPr>
          <w:rFonts w:ascii="QCF_P290" w:hAnsi="QCF_P290" w:cs="QCF_P290"/>
          <w:sz w:val="32"/>
          <w:szCs w:val="32"/>
          <w:rtl/>
          <w:lang w:eastAsia="en-US"/>
        </w:rPr>
        <w:t>ﭠ  ﭡ  ﭢ   ﭣ</w:t>
      </w:r>
      <w:r w:rsidR="0073585A" w:rsidRPr="00110C85">
        <w:rPr>
          <w:rFonts w:ascii="QCF_BSML" w:hAnsi="QCF_BSML" w:cs="QCF_BSML"/>
          <w:sz w:val="32"/>
          <w:szCs w:val="32"/>
          <w:rtl/>
          <w:lang w:eastAsia="en-US"/>
        </w:rPr>
        <w:t>ﭼ</w:t>
      </w:r>
      <w:r w:rsidR="0073585A" w:rsidRPr="000651D4">
        <w:rPr>
          <w:rFonts w:ascii="QCF_P290" w:hAnsi="QCF_P290" w:cs="QCF_P290"/>
          <w:sz w:val="32"/>
          <w:szCs w:val="32"/>
          <w:rtl/>
          <w:lang w:eastAsia="en-US"/>
        </w:rPr>
        <w:t xml:space="preserve">  </w:t>
      </w:r>
      <w:r w:rsidRPr="003E6BF4">
        <w:rPr>
          <w:rFonts w:ascii="Traditional Arabic" w:hAnsi="Traditional Arabic"/>
          <w:rtl/>
          <w:lang w:eastAsia="en-US"/>
        </w:rPr>
        <w:t>قال الفراء: نصب السُّنَّة على العذاب المُضْمَر، أي: يعذَّبوَن كسُنَّتنا فيمن أَرسلْنا</w:t>
      </w:r>
      <w:r w:rsidR="009C6569">
        <w:rPr>
          <w:rFonts w:ascii="Traditional Arabic" w:hAnsi="Traditional Arabic" w:hint="cs"/>
          <w:rtl/>
          <w:lang w:eastAsia="en-US"/>
        </w:rPr>
        <w:t>.</w:t>
      </w:r>
      <w:r w:rsidR="0073585A" w:rsidRPr="0073585A">
        <w:rPr>
          <w:rStyle w:val="ae"/>
          <w:rtl/>
        </w:rPr>
        <w:t>(</w:t>
      </w:r>
      <w:r w:rsidR="0073585A">
        <w:rPr>
          <w:rStyle w:val="ae"/>
          <w:rtl/>
        </w:rPr>
        <w:footnoteReference w:id="466"/>
      </w:r>
      <w:r w:rsidR="0073585A" w:rsidRPr="0073585A">
        <w:rPr>
          <w:rStyle w:val="ae"/>
          <w:rtl/>
        </w:rPr>
        <w:t>)</w:t>
      </w:r>
      <w:r w:rsidRPr="003E6BF4">
        <w:rPr>
          <w:rFonts w:ascii="Traditional Arabic" w:hAnsi="Traditional Arabic"/>
          <w:rtl/>
          <w:lang w:eastAsia="en-US"/>
        </w:rPr>
        <w:t>وقال الأخفش: المعنى: سَنّها سُنَّةً</w:t>
      </w:r>
      <w:r w:rsidR="009C6569">
        <w:rPr>
          <w:rFonts w:ascii="Traditional Arabic" w:hAnsi="Traditional Arabic" w:hint="cs"/>
          <w:rtl/>
          <w:lang w:eastAsia="en-US"/>
        </w:rPr>
        <w:t>.</w:t>
      </w:r>
      <w:r w:rsidR="009C6569" w:rsidRPr="009C6569">
        <w:rPr>
          <w:rStyle w:val="ae"/>
          <w:rtl/>
        </w:rPr>
        <w:t>(</w:t>
      </w:r>
      <w:r w:rsidR="009C6569">
        <w:rPr>
          <w:rStyle w:val="ae"/>
          <w:rtl/>
        </w:rPr>
        <w:footnoteReference w:id="467"/>
      </w:r>
      <w:r w:rsidR="009C6569" w:rsidRPr="009C6569">
        <w:rPr>
          <w:rStyle w:val="ae"/>
          <w:rtl/>
        </w:rPr>
        <w:t>)</w:t>
      </w:r>
      <w:r w:rsidRPr="003E6BF4">
        <w:rPr>
          <w:rFonts w:ascii="Traditional Arabic" w:hAnsi="Traditional Arabic"/>
          <w:rtl/>
          <w:lang w:eastAsia="en-US"/>
        </w:rPr>
        <w:t xml:space="preserve"> وقال الزّجّاج: انتصب بمعنى</w:t>
      </w:r>
      <w:r w:rsidR="00D06CE9">
        <w:rPr>
          <w:rFonts w:ascii="Traditional Arabic" w:hAnsi="Traditional Arabic" w:hint="cs"/>
          <w:rtl/>
          <w:lang w:eastAsia="en-US"/>
        </w:rPr>
        <w:t xml:space="preserve"> </w:t>
      </w:r>
      <w:r w:rsidR="009C6569">
        <w:rPr>
          <w:rFonts w:ascii="Traditional Arabic" w:hAnsi="Traditional Arabic" w:hint="cs"/>
          <w:rtl/>
          <w:lang w:eastAsia="en-US"/>
        </w:rPr>
        <w:t>"</w:t>
      </w:r>
      <w:r w:rsidR="009C6569">
        <w:rPr>
          <w:rFonts w:ascii="Traditional Arabic" w:hAnsi="Traditional Arabic"/>
          <w:rtl/>
          <w:lang w:eastAsia="en-US"/>
        </w:rPr>
        <w:t>لا يلبثون</w:t>
      </w:r>
      <w:r w:rsidR="009C6569">
        <w:rPr>
          <w:rFonts w:ascii="Traditional Arabic" w:hAnsi="Traditional Arabic" w:hint="cs"/>
          <w:rtl/>
          <w:lang w:eastAsia="en-US"/>
        </w:rPr>
        <w:t>"</w:t>
      </w:r>
      <w:r w:rsidRPr="003E6BF4">
        <w:rPr>
          <w:rFonts w:ascii="Traditional Arabic" w:hAnsi="Traditional Arabic"/>
          <w:rtl/>
          <w:lang w:eastAsia="en-US"/>
        </w:rPr>
        <w:t xml:space="preserve"> وتأويله: إِنّا سَنَنَّا هذه السُنَّة فيمن أَرسَلْنا قبلك أنهم إِذا أَخرجوا نبيَّهم أو قتلوه، لم يلبث العذاب أن ينزل بهم.</w:t>
      </w:r>
      <w:r w:rsidR="009C6569" w:rsidRPr="009C6569">
        <w:rPr>
          <w:rStyle w:val="ae"/>
          <w:rtl/>
        </w:rPr>
        <w:t>(</w:t>
      </w:r>
      <w:r w:rsidR="009C6569">
        <w:rPr>
          <w:rStyle w:val="ae"/>
          <w:rtl/>
        </w:rPr>
        <w:footnoteReference w:id="468"/>
      </w:r>
      <w:r w:rsidR="009C6569" w:rsidRPr="009C6569">
        <w:rPr>
          <w:rStyle w:val="ae"/>
          <w:rtl/>
        </w:rPr>
        <w:t>)</w:t>
      </w:r>
    </w:p>
    <w:p w:rsidR="00BB366A" w:rsidRPr="004A6979" w:rsidRDefault="00BB366A" w:rsidP="00823890">
      <w:pPr>
        <w:widowControl/>
        <w:autoSpaceDE w:val="0"/>
        <w:autoSpaceDN w:val="0"/>
        <w:adjustRightInd w:val="0"/>
        <w:ind w:firstLine="0"/>
        <w:rPr>
          <w:rFonts w:ascii="Traditional Arabic" w:hAnsi="Traditional Arabic"/>
          <w:rtl/>
          <w:lang w:eastAsia="en-US"/>
        </w:rPr>
      </w:pPr>
    </w:p>
    <w:p w:rsidR="004740C4" w:rsidRDefault="005208B3" w:rsidP="00B53F12">
      <w:pPr>
        <w:widowControl/>
        <w:autoSpaceDE w:val="0"/>
        <w:autoSpaceDN w:val="0"/>
        <w:adjustRightInd w:val="0"/>
        <w:ind w:firstLine="0"/>
        <w:rPr>
          <w:rFonts w:ascii="Traditional Arabic" w:hAnsi="Traditional Arabic"/>
          <w:rtl/>
          <w:lang w:eastAsia="en-US"/>
        </w:rPr>
      </w:pPr>
      <w:r w:rsidRPr="000C2898">
        <w:rPr>
          <w:rFonts w:ascii="QCF_BSML" w:hAnsi="QCF_BSML" w:cs="QCF_BSML"/>
          <w:sz w:val="32"/>
          <w:szCs w:val="32"/>
          <w:rtl/>
          <w:lang w:eastAsia="en-US"/>
        </w:rPr>
        <w:t xml:space="preserve">ﭽ </w:t>
      </w:r>
      <w:r w:rsidRPr="000C2898">
        <w:rPr>
          <w:rFonts w:ascii="QCF_P290" w:hAnsi="QCF_P290" w:cs="QCF_P290"/>
          <w:sz w:val="32"/>
          <w:szCs w:val="32"/>
          <w:rtl/>
          <w:lang w:eastAsia="en-US"/>
        </w:rPr>
        <w:t xml:space="preserve">ﭭ   ﭮ  ﭯ  ﭰ  ﭱ  ﭲ  </w:t>
      </w:r>
      <w:r w:rsidRPr="00823890">
        <w:rPr>
          <w:rFonts w:ascii="QCF_P290" w:hAnsi="QCF_P290" w:cs="QCF_P290"/>
          <w:color w:val="auto"/>
          <w:sz w:val="32"/>
          <w:szCs w:val="32"/>
          <w:rtl/>
          <w:lang w:eastAsia="en-US"/>
        </w:rPr>
        <w:t xml:space="preserve">ﭳ  ﭴ  ﭵﭶ  </w:t>
      </w:r>
      <w:r w:rsidRPr="000C2898">
        <w:rPr>
          <w:rFonts w:ascii="QCF_P290" w:hAnsi="QCF_P290" w:cs="QCF_P290"/>
          <w:sz w:val="32"/>
          <w:szCs w:val="32"/>
          <w:rtl/>
          <w:lang w:eastAsia="en-US"/>
        </w:rPr>
        <w:t>ﭷ   ﭸ  ﭹ    ﭺ        ﭻ  ﭼ  ﭽ  ﭾ  ﭿ  ﮀ   ﮁ  ﮂ  ﮃ  ﮄ  ﮅ   ﮆ  ﮇ  ﮈ  ﮉ  ﮊ  ﮋ   ﮌ  ﮍ  ﮎ  ﮏ  ﮐ  ﮑ  ﮒ  ﮓ  ﮔ   ﮕ  ﮖ  ﮗ  ﮘ  ﮙ  ﮚ  ﮛ  ﮜ  ﮝ</w:t>
      </w:r>
      <w:r w:rsidRPr="000C2898">
        <w:rPr>
          <w:rFonts w:ascii="QCF_P290" w:hAnsi="QCF_P290" w:cs="QCF_P290"/>
          <w:color w:val="0000A5"/>
          <w:sz w:val="32"/>
          <w:szCs w:val="32"/>
          <w:rtl/>
          <w:lang w:eastAsia="en-US"/>
        </w:rPr>
        <w:t>ﮞ</w:t>
      </w:r>
      <w:r w:rsidRPr="000C2898">
        <w:rPr>
          <w:rFonts w:ascii="QCF_P290" w:hAnsi="QCF_P290" w:cs="QCF_P290"/>
          <w:sz w:val="32"/>
          <w:szCs w:val="32"/>
          <w:rtl/>
          <w:lang w:eastAsia="en-US"/>
        </w:rPr>
        <w:t xml:space="preserve">   ﮟ  ﮠ  ﮡ          ﮢ  ﮣ  </w:t>
      </w:r>
      <w:r w:rsidRPr="000C2898">
        <w:rPr>
          <w:rFonts w:ascii="QCF_BSML" w:hAnsi="QCF_BSML" w:cs="QCF_BSML"/>
          <w:sz w:val="32"/>
          <w:szCs w:val="32"/>
          <w:rtl/>
          <w:lang w:eastAsia="en-US"/>
        </w:rPr>
        <w:t>ﭼ</w:t>
      </w:r>
      <w:r w:rsidR="00B53F12">
        <w:rPr>
          <w:rFonts w:ascii="QCF_BSML" w:hAnsi="QCF_BSML" w:cs="QCF_BSML" w:hint="cs"/>
          <w:sz w:val="32"/>
          <w:szCs w:val="32"/>
          <w:rtl/>
          <w:lang w:eastAsia="en-US"/>
        </w:rPr>
        <w:t xml:space="preserve"> </w:t>
      </w:r>
    </w:p>
    <w:p w:rsidR="00BB366A" w:rsidRDefault="00C36615" w:rsidP="00BB366A">
      <w:pPr>
        <w:widowControl/>
        <w:autoSpaceDE w:val="0"/>
        <w:autoSpaceDN w:val="0"/>
        <w:adjustRightInd w:val="0"/>
        <w:ind w:firstLine="0"/>
        <w:rPr>
          <w:rFonts w:ascii="Traditional Arabic" w:hAnsi="Traditional Arabic"/>
          <w:rtl/>
          <w:lang w:eastAsia="en-US"/>
        </w:rPr>
      </w:pPr>
      <w:r w:rsidRPr="000C2898">
        <w:rPr>
          <w:rFonts w:ascii="Traditional Arabic" w:hAnsi="Traditional Arabic"/>
          <w:rtl/>
          <w:lang w:eastAsia="en-US"/>
        </w:rPr>
        <w:t xml:space="preserve">قوله </w:t>
      </w:r>
      <w:r w:rsidRPr="003E6BF4">
        <w:rPr>
          <w:rFonts w:ascii="Traditional Arabic" w:hAnsi="Traditional Arabic"/>
          <w:rtl/>
          <w:lang w:eastAsia="en-US"/>
        </w:rPr>
        <w:t xml:space="preserve">تعالى: </w:t>
      </w:r>
      <w:r w:rsidR="005208B3" w:rsidRPr="000C2898">
        <w:rPr>
          <w:rFonts w:ascii="QCF_BSML" w:hAnsi="QCF_BSML" w:cs="QCF_BSML"/>
          <w:sz w:val="32"/>
          <w:szCs w:val="32"/>
          <w:rtl/>
          <w:lang w:eastAsia="en-US"/>
        </w:rPr>
        <w:t xml:space="preserve">ﭽ </w:t>
      </w:r>
      <w:r w:rsidR="005208B3" w:rsidRPr="000C2898">
        <w:rPr>
          <w:rFonts w:ascii="QCF_P290" w:hAnsi="QCF_P290" w:cs="QCF_P290"/>
          <w:sz w:val="32"/>
          <w:szCs w:val="32"/>
          <w:rtl/>
          <w:lang w:eastAsia="en-US"/>
        </w:rPr>
        <w:t>ﭭ   ﭮ</w:t>
      </w:r>
      <w:r w:rsidR="005208B3" w:rsidRPr="000C2898">
        <w:rPr>
          <w:rFonts w:ascii="QCF_BSML" w:hAnsi="QCF_BSML" w:cs="QCF_BSML"/>
          <w:sz w:val="32"/>
          <w:szCs w:val="32"/>
          <w:rtl/>
          <w:lang w:eastAsia="en-US"/>
        </w:rPr>
        <w:t>ﭼ</w:t>
      </w:r>
      <w:r w:rsidR="005208B3" w:rsidRPr="005208B3">
        <w:rPr>
          <w:rFonts w:ascii="QCF_P290" w:hAnsi="QCF_P290" w:cs="QCF_P290"/>
          <w:sz w:val="32"/>
          <w:szCs w:val="32"/>
          <w:rtl/>
          <w:lang w:eastAsia="en-US"/>
        </w:rPr>
        <w:t xml:space="preserve">  </w:t>
      </w:r>
      <w:r w:rsidRPr="003E6BF4">
        <w:rPr>
          <w:rFonts w:ascii="Traditional Arabic" w:hAnsi="Traditional Arabic"/>
          <w:rtl/>
          <w:lang w:eastAsia="en-US"/>
        </w:rPr>
        <w:t xml:space="preserve">أي: أَدِّها </w:t>
      </w:r>
      <w:r w:rsidR="005208B3" w:rsidRPr="000C2898">
        <w:rPr>
          <w:rFonts w:ascii="QCF_BSML" w:hAnsi="QCF_BSML" w:cs="QCF_BSML"/>
          <w:sz w:val="32"/>
          <w:szCs w:val="32"/>
          <w:rtl/>
          <w:lang w:eastAsia="en-US"/>
        </w:rPr>
        <w:t>ﭽ</w:t>
      </w:r>
      <w:r w:rsidR="005208B3" w:rsidRPr="000C2898">
        <w:rPr>
          <w:rFonts w:ascii="QCF_P290" w:hAnsi="QCF_P290" w:cs="QCF_P290"/>
          <w:sz w:val="32"/>
          <w:szCs w:val="32"/>
          <w:rtl/>
          <w:lang w:eastAsia="en-US"/>
        </w:rPr>
        <w:t xml:space="preserve"> ﭯ  ﭰ</w:t>
      </w:r>
      <w:r w:rsidR="005208B3" w:rsidRPr="000C2898">
        <w:rPr>
          <w:rFonts w:ascii="QCF_BSML" w:hAnsi="QCF_BSML" w:cs="QCF_BSML"/>
          <w:sz w:val="32"/>
          <w:szCs w:val="32"/>
          <w:rtl/>
          <w:lang w:eastAsia="en-US"/>
        </w:rPr>
        <w:t>ﭼ</w:t>
      </w:r>
      <w:r w:rsidR="005208B3" w:rsidRPr="003E6BF4">
        <w:rPr>
          <w:rFonts w:ascii="Traditional Arabic" w:hAnsi="Traditional Arabic"/>
          <w:rtl/>
          <w:lang w:eastAsia="en-US"/>
        </w:rPr>
        <w:t xml:space="preserve"> </w:t>
      </w:r>
      <w:r w:rsidRPr="003E6BF4">
        <w:rPr>
          <w:rFonts w:ascii="Traditional Arabic" w:hAnsi="Traditional Arabic"/>
          <w:rtl/>
          <w:lang w:eastAsia="en-US"/>
        </w:rPr>
        <w:t xml:space="preserve">أي: عند دُلوكها. وذكر ابن الأنباري </w:t>
      </w:r>
      <w:r w:rsidR="005208B3">
        <w:rPr>
          <w:rFonts w:ascii="Traditional Arabic" w:hAnsi="Traditional Arabic"/>
          <w:rtl/>
          <w:lang w:eastAsia="en-US"/>
        </w:rPr>
        <w:t xml:space="preserve">في </w:t>
      </w:r>
      <w:r w:rsidR="005208B3">
        <w:rPr>
          <w:rFonts w:ascii="Traditional Arabic" w:hAnsi="Traditional Arabic" w:hint="cs"/>
          <w:rtl/>
          <w:lang w:eastAsia="en-US"/>
        </w:rPr>
        <w:t>"</w:t>
      </w:r>
      <w:r w:rsidRPr="005208B3">
        <w:rPr>
          <w:rFonts w:ascii="Traditional Arabic" w:hAnsi="Traditional Arabic"/>
          <w:rtl/>
          <w:lang w:eastAsia="en-US"/>
        </w:rPr>
        <w:t>ال</w:t>
      </w:r>
      <w:r w:rsidR="005208B3">
        <w:rPr>
          <w:rFonts w:ascii="Traditional Arabic" w:hAnsi="Traditional Arabic"/>
          <w:rtl/>
          <w:lang w:eastAsia="en-US"/>
        </w:rPr>
        <w:t>لام</w:t>
      </w:r>
      <w:r w:rsidR="005208B3">
        <w:rPr>
          <w:rFonts w:ascii="Traditional Arabic" w:hAnsi="Traditional Arabic" w:hint="cs"/>
          <w:rtl/>
          <w:lang w:eastAsia="en-US"/>
        </w:rPr>
        <w:t>"</w:t>
      </w:r>
      <w:r w:rsidR="005208B3">
        <w:rPr>
          <w:rFonts w:ascii="Traditional Arabic" w:hAnsi="Traditional Arabic"/>
          <w:rtl/>
          <w:lang w:eastAsia="en-US"/>
        </w:rPr>
        <w:t xml:space="preserve"> قولين: أحدهما: أنها بمعنى </w:t>
      </w:r>
      <w:r w:rsidR="005208B3">
        <w:rPr>
          <w:rFonts w:ascii="Traditional Arabic" w:hAnsi="Traditional Arabic" w:hint="cs"/>
          <w:rtl/>
          <w:lang w:eastAsia="en-US"/>
        </w:rPr>
        <w:t>"</w:t>
      </w:r>
      <w:r w:rsidRPr="005208B3">
        <w:rPr>
          <w:rFonts w:ascii="Traditional Arabic" w:hAnsi="Traditional Arabic"/>
          <w:rtl/>
          <w:lang w:eastAsia="en-US"/>
        </w:rPr>
        <w:t>في</w:t>
      </w:r>
      <w:r w:rsidR="005208B3">
        <w:rPr>
          <w:rFonts w:ascii="Traditional Arabic" w:hAnsi="Traditional Arabic" w:hint="cs"/>
          <w:rtl/>
          <w:lang w:eastAsia="en-US"/>
        </w:rPr>
        <w:t>"</w:t>
      </w:r>
      <w:r w:rsidRPr="005208B3">
        <w:rPr>
          <w:rFonts w:ascii="Traditional Arabic" w:hAnsi="Traditional Arabic"/>
          <w:rtl/>
          <w:lang w:eastAsia="en-US"/>
        </w:rPr>
        <w:t>. والثاني: أنها مؤكّدة، كقوله تعالى:</w:t>
      </w:r>
      <w:r w:rsidR="005208B3" w:rsidRPr="005208B3">
        <w:rPr>
          <w:rFonts w:ascii="QCF_BSML" w:hAnsi="QCF_BSML" w:cs="QCF_BSML"/>
          <w:sz w:val="47"/>
          <w:szCs w:val="47"/>
          <w:rtl/>
          <w:lang w:eastAsia="en-US"/>
        </w:rPr>
        <w:t xml:space="preserve"> </w:t>
      </w:r>
      <w:r w:rsidR="005208B3" w:rsidRPr="000C2898">
        <w:rPr>
          <w:rFonts w:ascii="QCF_BSML" w:hAnsi="QCF_BSML" w:cs="QCF_BSML"/>
          <w:sz w:val="32"/>
          <w:szCs w:val="32"/>
          <w:rtl/>
          <w:lang w:eastAsia="en-US"/>
        </w:rPr>
        <w:t xml:space="preserve">ﭽ </w:t>
      </w:r>
      <w:r w:rsidR="005208B3" w:rsidRPr="000C2898">
        <w:rPr>
          <w:rFonts w:ascii="QCF_P383" w:hAnsi="QCF_P383" w:cs="QCF_P383"/>
          <w:sz w:val="32"/>
          <w:szCs w:val="32"/>
          <w:rtl/>
          <w:lang w:eastAsia="en-US"/>
        </w:rPr>
        <w:t>ﯠ  ﯡ</w:t>
      </w:r>
      <w:r w:rsidR="005208B3" w:rsidRPr="000C2898">
        <w:rPr>
          <w:rFonts w:ascii="QCF_BSML" w:hAnsi="QCF_BSML" w:cs="QCF_BSML"/>
          <w:sz w:val="32"/>
          <w:szCs w:val="32"/>
          <w:rtl/>
          <w:lang w:eastAsia="en-US"/>
        </w:rPr>
        <w:t>ﭼ</w:t>
      </w:r>
      <w:r w:rsidR="00B04151">
        <w:rPr>
          <w:rFonts w:ascii="Traditional Arabic" w:hAnsi="Traditional Arabic" w:hint="cs"/>
          <w:sz w:val="32"/>
          <w:szCs w:val="32"/>
          <w:rtl/>
          <w:lang w:eastAsia="en-US"/>
        </w:rPr>
        <w:t>.</w:t>
      </w:r>
      <w:r w:rsidR="000D33B2">
        <w:rPr>
          <w:rFonts w:ascii="Arial" w:hAnsi="Arial" w:cs="Arial" w:hint="cs"/>
          <w:color w:val="0D0D0D" w:themeColor="text1" w:themeTint="F2"/>
          <w:sz w:val="32"/>
          <w:szCs w:val="32"/>
          <w:rtl/>
          <w:lang w:eastAsia="en-US"/>
        </w:rPr>
        <w:t xml:space="preserve"> </w:t>
      </w:r>
      <w:r w:rsidR="000D33B2" w:rsidRPr="00554762">
        <w:rPr>
          <w:rFonts w:ascii="Arial" w:hAnsi="Arial" w:cs="Arial" w:hint="cs"/>
          <w:color w:val="0D0D0D" w:themeColor="text1" w:themeTint="F2"/>
          <w:sz w:val="32"/>
          <w:szCs w:val="32"/>
          <w:rtl/>
          <w:lang w:eastAsia="en-US"/>
        </w:rPr>
        <w:t>[</w:t>
      </w:r>
      <w:r w:rsidR="000D33B2">
        <w:rPr>
          <w:rFonts w:ascii="Traditional Arabic" w:hAnsi="Traditional Arabic" w:hint="cs"/>
          <w:color w:val="auto"/>
          <w:sz w:val="32"/>
          <w:szCs w:val="32"/>
          <w:rtl/>
          <w:lang w:eastAsia="en-US"/>
        </w:rPr>
        <w:t>النمل</w:t>
      </w:r>
      <w:r w:rsidR="000D33B2" w:rsidRPr="00554762">
        <w:rPr>
          <w:rFonts w:ascii="Traditional Arabic" w:hAnsi="Traditional Arabic"/>
          <w:color w:val="auto"/>
          <w:sz w:val="32"/>
          <w:szCs w:val="32"/>
          <w:rtl/>
          <w:lang w:eastAsia="en-US"/>
        </w:rPr>
        <w:t xml:space="preserve">: </w:t>
      </w:r>
      <w:r w:rsidR="000D33B2">
        <w:rPr>
          <w:rFonts w:ascii="Traditional Arabic" w:hAnsi="Traditional Arabic" w:hint="cs"/>
          <w:color w:val="auto"/>
          <w:sz w:val="32"/>
          <w:szCs w:val="32"/>
          <w:rtl/>
          <w:lang w:eastAsia="en-US"/>
        </w:rPr>
        <w:t>72</w:t>
      </w:r>
      <w:r w:rsidR="000D33B2" w:rsidRPr="00554762">
        <w:rPr>
          <w:rFonts w:ascii="Arial" w:hAnsi="Arial" w:cs="Arial" w:hint="cs"/>
          <w:color w:val="0D0D0D" w:themeColor="text1" w:themeTint="F2"/>
          <w:sz w:val="32"/>
          <w:szCs w:val="32"/>
          <w:rtl/>
          <w:lang w:eastAsia="en-US"/>
        </w:rPr>
        <w:t>]</w:t>
      </w:r>
      <w:r w:rsidR="00283B4B" w:rsidRPr="00283B4B">
        <w:rPr>
          <w:rStyle w:val="ae"/>
          <w:rtl/>
        </w:rPr>
        <w:t>(</w:t>
      </w:r>
      <w:r w:rsidR="00283B4B">
        <w:rPr>
          <w:rStyle w:val="ae"/>
          <w:rtl/>
        </w:rPr>
        <w:footnoteReference w:id="469"/>
      </w:r>
      <w:r w:rsidR="00283B4B" w:rsidRPr="00283B4B">
        <w:rPr>
          <w:rStyle w:val="ae"/>
          <w:rtl/>
        </w:rPr>
        <w:t>)</w:t>
      </w:r>
      <w:r w:rsidRPr="005208B3">
        <w:rPr>
          <w:rFonts w:ascii="Traditional Arabic" w:hAnsi="Traditional Arabic"/>
          <w:rtl/>
          <w:lang w:eastAsia="en-US"/>
        </w:rPr>
        <w:t>وقال أبو عبيدة: دُلوكها: من عند زوالها إِلى أن تغيب</w:t>
      </w:r>
      <w:r w:rsidR="000D33B2">
        <w:rPr>
          <w:rFonts w:ascii="Traditional Arabic" w:hAnsi="Traditional Arabic" w:hint="cs"/>
          <w:rtl/>
          <w:lang w:eastAsia="en-US"/>
        </w:rPr>
        <w:t>.</w:t>
      </w:r>
      <w:r w:rsidR="000D33B2" w:rsidRPr="000D33B2">
        <w:rPr>
          <w:rStyle w:val="ae"/>
          <w:rtl/>
        </w:rPr>
        <w:t>(</w:t>
      </w:r>
      <w:r w:rsidR="000D33B2">
        <w:rPr>
          <w:rStyle w:val="ae"/>
          <w:rtl/>
        </w:rPr>
        <w:footnoteReference w:id="470"/>
      </w:r>
      <w:r w:rsidR="000D33B2" w:rsidRPr="000D33B2">
        <w:rPr>
          <w:rStyle w:val="ae"/>
          <w:rtl/>
        </w:rPr>
        <w:t>)</w:t>
      </w:r>
      <w:r w:rsidRPr="005208B3">
        <w:rPr>
          <w:rFonts w:ascii="Traditional Arabic" w:hAnsi="Traditional Arabic"/>
          <w:rtl/>
          <w:lang w:eastAsia="en-US"/>
        </w:rPr>
        <w:t xml:space="preserve"> وقال الزجاج: </w:t>
      </w:r>
      <w:r w:rsidRPr="005208B3">
        <w:rPr>
          <w:rFonts w:ascii="Traditional Arabic" w:hAnsi="Traditional Arabic"/>
          <w:rtl/>
          <w:lang w:eastAsia="en-US"/>
        </w:rPr>
        <w:lastRenderedPageBreak/>
        <w:t>مَيْلها وقتَ الظهيرة دُلوك، ومَيْلها للغروب دُلوك.</w:t>
      </w:r>
      <w:r w:rsidR="000D33B2" w:rsidRPr="000D33B2">
        <w:rPr>
          <w:rStyle w:val="ae"/>
          <w:rtl/>
        </w:rPr>
        <w:t>(</w:t>
      </w:r>
      <w:r w:rsidR="000D33B2">
        <w:rPr>
          <w:rStyle w:val="ae"/>
          <w:rtl/>
        </w:rPr>
        <w:footnoteReference w:id="471"/>
      </w:r>
      <w:r w:rsidR="000D33B2" w:rsidRPr="000D33B2">
        <w:rPr>
          <w:rStyle w:val="ae"/>
          <w:rtl/>
        </w:rPr>
        <w:t>)</w:t>
      </w:r>
      <w:r w:rsidRPr="005208B3">
        <w:rPr>
          <w:rFonts w:ascii="Traditional Arabic" w:hAnsi="Traditional Arabic"/>
          <w:rtl/>
          <w:lang w:eastAsia="en-US"/>
        </w:rPr>
        <w:t xml:space="preserve"> وقال الأزهري</w:t>
      </w:r>
      <w:r w:rsidR="000D33B2" w:rsidRPr="000D33B2">
        <w:rPr>
          <w:rStyle w:val="ae"/>
          <w:rtl/>
        </w:rPr>
        <w:t>(</w:t>
      </w:r>
      <w:r w:rsidR="000D33B2">
        <w:rPr>
          <w:rStyle w:val="ae"/>
          <w:rtl/>
        </w:rPr>
        <w:footnoteReference w:id="472"/>
      </w:r>
      <w:r w:rsidR="000D33B2" w:rsidRPr="000D33B2">
        <w:rPr>
          <w:rStyle w:val="ae"/>
          <w:rtl/>
        </w:rPr>
        <w:t>)</w:t>
      </w:r>
      <w:r w:rsidR="00FB4336">
        <w:rPr>
          <w:rFonts w:ascii="Traditional Arabic" w:hAnsi="Traditional Arabic"/>
          <w:rtl/>
          <w:lang w:eastAsia="en-US"/>
        </w:rPr>
        <w:t>: معنى الدُّلوك</w:t>
      </w:r>
      <w:r w:rsidRPr="005208B3">
        <w:rPr>
          <w:rFonts w:ascii="Traditional Arabic" w:hAnsi="Traditional Arabic"/>
          <w:rtl/>
          <w:lang w:eastAsia="en-US"/>
        </w:rPr>
        <w:t xml:space="preserve"> في كلام العرب: الزوال، ولذلك قيل للشمس إِذا زالت نصف النهار: دالكة، وإِذا أفلت: دالكة، لأنها في الحالين زائلة.</w:t>
      </w:r>
      <w:r w:rsidR="00283B4B" w:rsidRPr="00283B4B">
        <w:rPr>
          <w:rStyle w:val="ae"/>
          <w:rtl/>
        </w:rPr>
        <w:t>(</w:t>
      </w:r>
      <w:r w:rsidR="00283B4B">
        <w:rPr>
          <w:rStyle w:val="ae"/>
          <w:rtl/>
        </w:rPr>
        <w:footnoteReference w:id="473"/>
      </w:r>
      <w:r w:rsidR="00283B4B" w:rsidRPr="00283B4B">
        <w:rPr>
          <w:rStyle w:val="ae"/>
          <w:rtl/>
        </w:rPr>
        <w:t>)</w:t>
      </w:r>
      <w:r w:rsidRPr="005208B3">
        <w:rPr>
          <w:rFonts w:ascii="Traditional Arabic" w:hAnsi="Traditional Arabic"/>
          <w:rtl/>
          <w:lang w:eastAsia="en-US"/>
        </w:rPr>
        <w:t>وللمفسّرين في المراد بالدّلوك ها هنا قولان:</w:t>
      </w:r>
      <w:r w:rsidR="00BB366A">
        <w:rPr>
          <w:rFonts w:ascii="Traditional Arabic" w:hAnsi="Traditional Arabic" w:hint="cs"/>
          <w:rtl/>
          <w:lang w:eastAsia="en-US"/>
        </w:rPr>
        <w:t xml:space="preserve"> </w:t>
      </w:r>
      <w:r w:rsidRPr="005208B3">
        <w:rPr>
          <w:rFonts w:ascii="Traditional Arabic" w:hAnsi="Traditional Arabic"/>
          <w:rtl/>
          <w:lang w:eastAsia="en-US"/>
        </w:rPr>
        <w:t>أحدهما: أنه زوالها نصف النهار.</w:t>
      </w:r>
      <w:r w:rsidR="00D0652C">
        <w:rPr>
          <w:rFonts w:ascii="Traditional Arabic" w:hAnsi="Traditional Arabic" w:hint="cs"/>
          <w:rtl/>
          <w:lang w:eastAsia="en-US"/>
        </w:rPr>
        <w:t xml:space="preserve"> </w:t>
      </w:r>
      <w:r w:rsidRPr="005208B3">
        <w:rPr>
          <w:rFonts w:ascii="Traditional Arabic" w:hAnsi="Traditional Arabic"/>
          <w:rtl/>
          <w:lang w:eastAsia="en-US"/>
        </w:rPr>
        <w:t>روى جابر بن عبد الله</w:t>
      </w:r>
      <w:r w:rsidR="00D0652C" w:rsidRPr="00D0652C">
        <w:rPr>
          <w:rStyle w:val="ae"/>
          <w:rtl/>
        </w:rPr>
        <w:t>(</w:t>
      </w:r>
      <w:r w:rsidR="00D0652C">
        <w:rPr>
          <w:rStyle w:val="ae"/>
          <w:rtl/>
        </w:rPr>
        <w:footnoteReference w:id="474"/>
      </w:r>
      <w:r w:rsidR="00D0652C" w:rsidRPr="00D0652C">
        <w:rPr>
          <w:rStyle w:val="ae"/>
          <w:rtl/>
        </w:rPr>
        <w:t>)</w:t>
      </w:r>
      <w:r w:rsidRPr="005208B3">
        <w:rPr>
          <w:rFonts w:ascii="Traditional Arabic" w:hAnsi="Traditional Arabic"/>
          <w:rtl/>
          <w:lang w:eastAsia="en-US"/>
        </w:rPr>
        <w:t xml:space="preserve">قال: دعوت رسول الله </w:t>
      </w:r>
      <w:r w:rsidR="009E0F1D">
        <w:rPr>
          <w:rFonts w:ascii="Traditional Arabic" w:hAnsi="Traditional Arabic"/>
          <w:lang w:eastAsia="en-US"/>
        </w:rPr>
        <w:sym w:font="AGA Arabesque" w:char="F072"/>
      </w:r>
      <w:r w:rsidR="009E0F1D">
        <w:rPr>
          <w:rFonts w:ascii="Traditional Arabic" w:hAnsi="Traditional Arabic" w:hint="cs"/>
          <w:rtl/>
          <w:lang w:eastAsia="en-US"/>
        </w:rPr>
        <w:t xml:space="preserve"> </w:t>
      </w:r>
      <w:r w:rsidR="00156316">
        <w:rPr>
          <w:rFonts w:ascii="QCF_BSML" w:hAnsi="QCF_BSML" w:cs="QCF_BSML" w:hint="cs"/>
          <w:color w:val="0D0D0D" w:themeColor="text1" w:themeTint="F2"/>
          <w:sz w:val="32"/>
          <w:szCs w:val="32"/>
          <w:rtl/>
          <w:lang w:eastAsia="en-US"/>
        </w:rPr>
        <w:t xml:space="preserve"> </w:t>
      </w:r>
      <w:r w:rsidR="00156316" w:rsidRPr="001277AD">
        <w:rPr>
          <w:rFonts w:hint="cs"/>
          <w:color w:val="0D0D0D" w:themeColor="text1" w:themeTint="F2"/>
          <w:sz w:val="32"/>
          <w:szCs w:val="32"/>
          <w:rtl/>
        </w:rPr>
        <w:t>[</w:t>
      </w:r>
      <w:r w:rsidR="00156316">
        <w:rPr>
          <w:rFonts w:hint="cs"/>
          <w:color w:val="0D0D0D" w:themeColor="text1" w:themeTint="F2"/>
          <w:sz w:val="32"/>
          <w:szCs w:val="32"/>
          <w:rtl/>
        </w:rPr>
        <w:t>83</w:t>
      </w:r>
      <w:r w:rsidR="00156316" w:rsidRPr="001277AD">
        <w:rPr>
          <w:rFonts w:hint="cs"/>
          <w:color w:val="0D0D0D" w:themeColor="text1" w:themeTint="F2"/>
          <w:sz w:val="32"/>
          <w:szCs w:val="32"/>
          <w:rtl/>
        </w:rPr>
        <w:t>]</w:t>
      </w:r>
      <w:r w:rsidR="00156316" w:rsidRPr="00A32F2C">
        <w:rPr>
          <w:rFonts w:ascii="Traditional Arabic" w:hAnsi="Traditional Arabic"/>
          <w:rtl/>
          <w:lang w:eastAsia="en-US"/>
        </w:rPr>
        <w:t xml:space="preserve"> </w:t>
      </w:r>
      <w:r w:rsidRPr="005208B3">
        <w:rPr>
          <w:rFonts w:ascii="Traditional Arabic" w:hAnsi="Traditional Arabic"/>
          <w:rtl/>
          <w:lang w:eastAsia="en-US"/>
        </w:rPr>
        <w:t xml:space="preserve">ومن شاء من أصحابه، فطعِموا </w:t>
      </w:r>
      <w:r w:rsidR="009E0F1D">
        <w:rPr>
          <w:rFonts w:ascii="Traditional Arabic" w:hAnsi="Traditional Arabic"/>
          <w:rtl/>
          <w:lang w:eastAsia="en-US"/>
        </w:rPr>
        <w:t xml:space="preserve"> </w:t>
      </w:r>
      <w:r w:rsidRPr="005208B3">
        <w:rPr>
          <w:rFonts w:ascii="Traditional Arabic" w:hAnsi="Traditional Arabic"/>
          <w:rtl/>
          <w:lang w:eastAsia="en-US"/>
        </w:rPr>
        <w:t xml:space="preserve">عندي، ثم خرجوا حين زالت الشمس، فخرج رسول الله </w:t>
      </w:r>
      <w:r w:rsidR="009E0F1D">
        <w:rPr>
          <w:rFonts w:ascii="Traditional Arabic" w:hAnsi="Traditional Arabic"/>
          <w:lang w:eastAsia="en-US"/>
        </w:rPr>
        <w:sym w:font="AGA Arabesque" w:char="F072"/>
      </w:r>
      <w:r w:rsidR="009E0F1D">
        <w:rPr>
          <w:rFonts w:ascii="Traditional Arabic" w:hAnsi="Traditional Arabic" w:hint="cs"/>
          <w:rtl/>
          <w:lang w:eastAsia="en-US"/>
        </w:rPr>
        <w:t xml:space="preserve"> </w:t>
      </w:r>
      <w:r w:rsidRPr="005208B3">
        <w:rPr>
          <w:rFonts w:ascii="Traditional Arabic" w:hAnsi="Traditional Arabic"/>
          <w:rtl/>
          <w:lang w:eastAsia="en-US"/>
        </w:rPr>
        <w:t xml:space="preserve">وقال: «اخرج يا أبا بكر فهذا حين </w:t>
      </w:r>
      <w:r w:rsidR="009E0F1D">
        <w:rPr>
          <w:rFonts w:ascii="Traditional Arabic" w:hAnsi="Traditional Arabic"/>
          <w:rtl/>
          <w:lang w:eastAsia="en-US"/>
        </w:rPr>
        <w:t xml:space="preserve"> </w:t>
      </w:r>
      <w:r w:rsidRPr="005208B3">
        <w:rPr>
          <w:rFonts w:ascii="Traditional Arabic" w:hAnsi="Traditional Arabic"/>
          <w:rtl/>
          <w:lang w:eastAsia="en-US"/>
        </w:rPr>
        <w:t>دلكت الشمس»</w:t>
      </w:r>
      <w:r w:rsidR="009E0F1D">
        <w:rPr>
          <w:rFonts w:ascii="Traditional Arabic" w:hAnsi="Traditional Arabic" w:hint="cs"/>
          <w:rtl/>
          <w:lang w:eastAsia="en-US"/>
        </w:rPr>
        <w:t>.</w:t>
      </w:r>
      <w:r w:rsidR="00B508BA" w:rsidRPr="00B508BA">
        <w:rPr>
          <w:rStyle w:val="ae"/>
          <w:rtl/>
        </w:rPr>
        <w:t>(</w:t>
      </w:r>
      <w:r w:rsidR="00B508BA">
        <w:rPr>
          <w:rStyle w:val="ae"/>
          <w:rtl/>
        </w:rPr>
        <w:footnoteReference w:id="475"/>
      </w:r>
      <w:r w:rsidR="00B508BA" w:rsidRPr="00B508BA">
        <w:rPr>
          <w:rStyle w:val="ae"/>
          <w:rtl/>
        </w:rPr>
        <w:t>)</w:t>
      </w:r>
      <w:r w:rsidRPr="005208B3">
        <w:rPr>
          <w:rFonts w:ascii="Traditional Arabic" w:hAnsi="Traditional Arabic"/>
          <w:rtl/>
          <w:lang w:eastAsia="en-US"/>
        </w:rPr>
        <w:t>هذا قول ابن عمر</w:t>
      </w:r>
      <w:r w:rsidR="00E92B73">
        <w:rPr>
          <w:rFonts w:ascii="Traditional Arabic" w:hAnsi="Traditional Arabic" w:hint="cs"/>
          <w:rtl/>
          <w:lang w:eastAsia="en-US"/>
        </w:rPr>
        <w:t>,</w:t>
      </w:r>
      <w:r w:rsidR="00B508BA" w:rsidRPr="00B508BA">
        <w:rPr>
          <w:rStyle w:val="ae"/>
          <w:rtl/>
        </w:rPr>
        <w:t>(</w:t>
      </w:r>
      <w:r w:rsidR="00B508BA">
        <w:rPr>
          <w:rStyle w:val="ae"/>
          <w:rtl/>
        </w:rPr>
        <w:footnoteReference w:id="476"/>
      </w:r>
      <w:r w:rsidR="00B508BA" w:rsidRPr="00B508BA">
        <w:rPr>
          <w:rStyle w:val="ae"/>
          <w:rtl/>
        </w:rPr>
        <w:t>)</w:t>
      </w:r>
      <w:r w:rsidRPr="005208B3">
        <w:rPr>
          <w:rFonts w:ascii="Traditional Arabic" w:hAnsi="Traditional Arabic"/>
          <w:rtl/>
          <w:lang w:eastAsia="en-US"/>
        </w:rPr>
        <w:t>وأبي برزة،</w:t>
      </w:r>
      <w:r w:rsidR="00E92B73" w:rsidRPr="00D87CCA">
        <w:rPr>
          <w:rStyle w:val="ae"/>
          <w:rFonts w:ascii="Traditional Arabic" w:hAnsi="Traditional Arabic"/>
          <w:rtl/>
        </w:rPr>
        <w:t>(</w:t>
      </w:r>
      <w:r w:rsidR="00E92B73" w:rsidRPr="00D87CCA">
        <w:rPr>
          <w:rStyle w:val="ae"/>
          <w:rFonts w:ascii="Traditional Arabic" w:hAnsi="Traditional Arabic"/>
          <w:rtl/>
        </w:rPr>
        <w:footnoteReference w:id="477"/>
      </w:r>
      <w:r w:rsidR="00E92B73" w:rsidRPr="00D87CCA">
        <w:rPr>
          <w:rStyle w:val="ae"/>
          <w:rFonts w:ascii="Traditional Arabic" w:hAnsi="Traditional Arabic"/>
          <w:rtl/>
        </w:rPr>
        <w:t>)</w:t>
      </w:r>
      <w:r w:rsidR="00D87CCA" w:rsidRPr="00D87CCA">
        <w:rPr>
          <w:rStyle w:val="ae"/>
          <w:rFonts w:ascii="Traditional Arabic" w:hAnsi="Traditional Arabic"/>
        </w:rPr>
        <w:t>(</w:t>
      </w:r>
      <w:r w:rsidR="00D87CCA" w:rsidRPr="00D87CCA">
        <w:rPr>
          <w:rStyle w:val="ae"/>
          <w:rFonts w:ascii="Traditional Arabic" w:hAnsi="Traditional Arabic"/>
        </w:rPr>
        <w:footnoteReference w:id="478"/>
      </w:r>
      <w:r w:rsidR="00D87CCA" w:rsidRPr="00D87CCA">
        <w:rPr>
          <w:rStyle w:val="ae"/>
          <w:rFonts w:ascii="Traditional Arabic" w:hAnsi="Traditional Arabic"/>
        </w:rPr>
        <w:t>)</w:t>
      </w:r>
      <w:r w:rsidRPr="005208B3">
        <w:rPr>
          <w:rFonts w:ascii="Traditional Arabic" w:hAnsi="Traditional Arabic"/>
          <w:rtl/>
          <w:lang w:eastAsia="en-US"/>
        </w:rPr>
        <w:t>وأبي هريرة</w:t>
      </w:r>
      <w:r w:rsidR="00D87CCA" w:rsidRPr="00D87CCA">
        <w:rPr>
          <w:rStyle w:val="ae"/>
          <w:rtl/>
        </w:rPr>
        <w:t>(</w:t>
      </w:r>
      <w:r w:rsidR="00D87CCA">
        <w:rPr>
          <w:rStyle w:val="ae"/>
          <w:rtl/>
        </w:rPr>
        <w:footnoteReference w:id="479"/>
      </w:r>
      <w:r w:rsidR="00D87CCA" w:rsidRPr="00D87CCA">
        <w:rPr>
          <w:rStyle w:val="ae"/>
          <w:rtl/>
        </w:rPr>
        <w:t>)</w:t>
      </w:r>
      <w:r w:rsidRPr="005208B3">
        <w:rPr>
          <w:rFonts w:ascii="Traditional Arabic" w:hAnsi="Traditional Arabic"/>
          <w:rtl/>
          <w:lang w:eastAsia="en-US"/>
        </w:rPr>
        <w:t>،</w:t>
      </w:r>
    </w:p>
    <w:p w:rsidR="00C36615" w:rsidRPr="004740C4" w:rsidRDefault="00C36615" w:rsidP="00BB366A">
      <w:pPr>
        <w:widowControl/>
        <w:autoSpaceDE w:val="0"/>
        <w:autoSpaceDN w:val="0"/>
        <w:adjustRightInd w:val="0"/>
        <w:ind w:firstLine="0"/>
        <w:rPr>
          <w:rFonts w:ascii="Traditional Arabic" w:hAnsi="Traditional Arabic"/>
          <w:rtl/>
          <w:lang w:eastAsia="en-US"/>
        </w:rPr>
      </w:pPr>
      <w:r w:rsidRPr="005208B3">
        <w:rPr>
          <w:rFonts w:ascii="Traditional Arabic" w:hAnsi="Traditional Arabic"/>
          <w:rtl/>
          <w:lang w:eastAsia="en-US"/>
        </w:rPr>
        <w:lastRenderedPageBreak/>
        <w:t>والحسن</w:t>
      </w:r>
      <w:r w:rsidR="006133E2" w:rsidRPr="006133E2">
        <w:rPr>
          <w:rStyle w:val="ae"/>
          <w:rtl/>
        </w:rPr>
        <w:t>(</w:t>
      </w:r>
      <w:r w:rsidR="006133E2">
        <w:rPr>
          <w:rStyle w:val="ae"/>
          <w:rtl/>
        </w:rPr>
        <w:footnoteReference w:id="480"/>
      </w:r>
      <w:r w:rsidR="006133E2" w:rsidRPr="006133E2">
        <w:rPr>
          <w:rStyle w:val="ae"/>
          <w:rtl/>
        </w:rPr>
        <w:t>)</w:t>
      </w:r>
      <w:r w:rsidRPr="005208B3">
        <w:rPr>
          <w:rFonts w:ascii="Traditional Arabic" w:hAnsi="Traditional Arabic"/>
          <w:rtl/>
          <w:lang w:eastAsia="en-US"/>
        </w:rPr>
        <w:t>، والشعبي</w:t>
      </w:r>
      <w:r w:rsidR="003353F0" w:rsidRPr="003D7E68">
        <w:rPr>
          <w:rFonts w:ascii="Traditional Arabic" w:hAnsi="Traditional Arabic"/>
          <w:rtl/>
          <w:lang w:eastAsia="en-US"/>
        </w:rPr>
        <w:t>,</w:t>
      </w:r>
      <w:r w:rsidR="00473102" w:rsidRPr="003D7E68">
        <w:rPr>
          <w:rStyle w:val="ae"/>
          <w:rFonts w:ascii="Traditional Arabic" w:hAnsi="Traditional Arabic"/>
          <w:rtl/>
        </w:rPr>
        <w:t>(</w:t>
      </w:r>
      <w:r w:rsidR="00473102" w:rsidRPr="003D7E68">
        <w:rPr>
          <w:rStyle w:val="ae"/>
          <w:rFonts w:ascii="Traditional Arabic" w:hAnsi="Traditional Arabic"/>
          <w:rtl/>
        </w:rPr>
        <w:footnoteReference w:id="481"/>
      </w:r>
      <w:r w:rsidR="00473102" w:rsidRPr="003D7E68">
        <w:rPr>
          <w:rStyle w:val="ae"/>
          <w:rFonts w:ascii="Traditional Arabic" w:hAnsi="Traditional Arabic"/>
          <w:rtl/>
        </w:rPr>
        <w:t>)</w:t>
      </w:r>
      <w:r w:rsidR="00A00886" w:rsidRPr="003D7E68">
        <w:rPr>
          <w:rStyle w:val="ae"/>
          <w:rFonts w:ascii="Traditional Arabic" w:hAnsi="Traditional Arabic"/>
        </w:rPr>
        <w:t>(</w:t>
      </w:r>
      <w:r w:rsidR="00A00886" w:rsidRPr="003D7E68">
        <w:rPr>
          <w:rStyle w:val="ae"/>
          <w:rFonts w:ascii="Traditional Arabic" w:hAnsi="Traditional Arabic"/>
        </w:rPr>
        <w:footnoteReference w:id="482"/>
      </w:r>
      <w:r w:rsidR="00A00886" w:rsidRPr="003D7E68">
        <w:rPr>
          <w:rStyle w:val="ae"/>
          <w:rFonts w:ascii="Traditional Arabic" w:hAnsi="Traditional Arabic"/>
        </w:rPr>
        <w:t>)</w:t>
      </w:r>
      <w:r w:rsidRPr="003D7E68">
        <w:rPr>
          <w:rFonts w:ascii="Traditional Arabic" w:hAnsi="Traditional Arabic"/>
          <w:rtl/>
          <w:lang w:eastAsia="en-US"/>
        </w:rPr>
        <w:t>و</w:t>
      </w:r>
      <w:r w:rsidRPr="005208B3">
        <w:rPr>
          <w:rFonts w:ascii="Traditional Arabic" w:hAnsi="Traditional Arabic"/>
          <w:rtl/>
          <w:lang w:eastAsia="en-US"/>
        </w:rPr>
        <w:t>سعيد بن جبير، وأبي العالية</w:t>
      </w:r>
      <w:r w:rsidR="006133E2" w:rsidRPr="006133E2">
        <w:rPr>
          <w:rStyle w:val="ae"/>
          <w:rtl/>
        </w:rPr>
        <w:t>(</w:t>
      </w:r>
      <w:r w:rsidR="006133E2">
        <w:rPr>
          <w:rStyle w:val="ae"/>
          <w:rtl/>
        </w:rPr>
        <w:footnoteReference w:id="483"/>
      </w:r>
      <w:r w:rsidR="006133E2" w:rsidRPr="006133E2">
        <w:rPr>
          <w:rStyle w:val="ae"/>
          <w:rtl/>
        </w:rPr>
        <w:t>)</w:t>
      </w:r>
      <w:r w:rsidRPr="005208B3">
        <w:rPr>
          <w:rFonts w:ascii="Traditional Arabic" w:hAnsi="Traditional Arabic"/>
          <w:rtl/>
          <w:lang w:eastAsia="en-US"/>
        </w:rPr>
        <w:t>، ومجاهد</w:t>
      </w:r>
      <w:r w:rsidR="00026AD0" w:rsidRPr="00026AD0">
        <w:rPr>
          <w:rStyle w:val="ae"/>
          <w:rtl/>
        </w:rPr>
        <w:t>(</w:t>
      </w:r>
      <w:r w:rsidR="00026AD0">
        <w:rPr>
          <w:rStyle w:val="ae"/>
          <w:rtl/>
        </w:rPr>
        <w:footnoteReference w:id="484"/>
      </w:r>
      <w:r w:rsidR="00026AD0" w:rsidRPr="00026AD0">
        <w:rPr>
          <w:rStyle w:val="ae"/>
          <w:rtl/>
        </w:rPr>
        <w:t>)</w:t>
      </w:r>
      <w:r w:rsidRPr="005208B3">
        <w:rPr>
          <w:rFonts w:ascii="Traditional Arabic" w:hAnsi="Traditional Arabic"/>
          <w:rtl/>
          <w:lang w:eastAsia="en-US"/>
        </w:rPr>
        <w:t>، وعطاء</w:t>
      </w:r>
      <w:r w:rsidR="00167576" w:rsidRPr="00167576">
        <w:rPr>
          <w:rStyle w:val="ae"/>
          <w:rtl/>
        </w:rPr>
        <w:t>(</w:t>
      </w:r>
      <w:r w:rsidR="00167576">
        <w:rPr>
          <w:rStyle w:val="ae"/>
          <w:rtl/>
        </w:rPr>
        <w:footnoteReference w:id="485"/>
      </w:r>
      <w:r w:rsidR="00167576" w:rsidRPr="00167576">
        <w:rPr>
          <w:rStyle w:val="ae"/>
          <w:rtl/>
        </w:rPr>
        <w:t>)</w:t>
      </w:r>
      <w:r w:rsidRPr="005208B3">
        <w:rPr>
          <w:rFonts w:ascii="Traditional Arabic" w:hAnsi="Traditional Arabic"/>
          <w:rtl/>
          <w:lang w:eastAsia="en-US"/>
        </w:rPr>
        <w:t>، وعبيد بن عمير</w:t>
      </w:r>
      <w:r w:rsidR="00473102" w:rsidRPr="00473102">
        <w:rPr>
          <w:rStyle w:val="ae"/>
          <w:rtl/>
        </w:rPr>
        <w:t>(</w:t>
      </w:r>
      <w:r w:rsidR="00473102">
        <w:rPr>
          <w:rStyle w:val="ae"/>
          <w:rtl/>
        </w:rPr>
        <w:footnoteReference w:id="486"/>
      </w:r>
      <w:r w:rsidR="00473102" w:rsidRPr="00473102">
        <w:rPr>
          <w:rStyle w:val="ae"/>
          <w:rtl/>
        </w:rPr>
        <w:t>)</w:t>
      </w:r>
      <w:r w:rsidR="004740C4">
        <w:rPr>
          <w:rFonts w:ascii="Traditional Arabic" w:hAnsi="Traditional Arabic" w:hint="cs"/>
          <w:rtl/>
          <w:lang w:eastAsia="en-US"/>
        </w:rPr>
        <w:t>,</w:t>
      </w:r>
      <w:r w:rsidR="00D71211">
        <w:rPr>
          <w:rFonts w:ascii="Traditional Arabic" w:hAnsi="Traditional Arabic" w:hint="cs"/>
          <w:rtl/>
          <w:lang w:eastAsia="en-US"/>
        </w:rPr>
        <w:t xml:space="preserve"> </w:t>
      </w:r>
      <w:r w:rsidRPr="005208B3">
        <w:rPr>
          <w:rFonts w:ascii="Traditional Arabic" w:hAnsi="Traditional Arabic"/>
          <w:rtl/>
          <w:lang w:eastAsia="en-US"/>
        </w:rPr>
        <w:t>وقتادة، والضحاك</w:t>
      </w:r>
      <w:r w:rsidR="00963CA3" w:rsidRPr="00963CA3">
        <w:rPr>
          <w:rStyle w:val="ae"/>
          <w:rtl/>
        </w:rPr>
        <w:t>(</w:t>
      </w:r>
      <w:r w:rsidR="00963CA3">
        <w:rPr>
          <w:rStyle w:val="ae"/>
          <w:rtl/>
        </w:rPr>
        <w:footnoteReference w:id="487"/>
      </w:r>
      <w:r w:rsidR="00963CA3" w:rsidRPr="00963CA3">
        <w:rPr>
          <w:rStyle w:val="ae"/>
          <w:rtl/>
        </w:rPr>
        <w:t>)</w:t>
      </w:r>
      <w:r w:rsidRPr="005208B3">
        <w:rPr>
          <w:rFonts w:ascii="Traditional Arabic" w:hAnsi="Traditional Arabic"/>
          <w:rtl/>
          <w:lang w:eastAsia="en-US"/>
        </w:rPr>
        <w:t>، ومقاتل</w:t>
      </w:r>
      <w:r w:rsidR="00963CA3" w:rsidRPr="00963CA3">
        <w:rPr>
          <w:rStyle w:val="ae"/>
          <w:rtl/>
        </w:rPr>
        <w:t>(</w:t>
      </w:r>
      <w:r w:rsidR="00963CA3">
        <w:rPr>
          <w:rStyle w:val="ae"/>
          <w:rtl/>
        </w:rPr>
        <w:footnoteReference w:id="488"/>
      </w:r>
      <w:r w:rsidR="00963CA3" w:rsidRPr="00963CA3">
        <w:rPr>
          <w:rStyle w:val="ae"/>
          <w:rtl/>
        </w:rPr>
        <w:t>)</w:t>
      </w:r>
      <w:r w:rsidRPr="005208B3">
        <w:rPr>
          <w:rFonts w:ascii="Traditional Arabic" w:hAnsi="Traditional Arabic"/>
          <w:rtl/>
          <w:lang w:eastAsia="en-US"/>
        </w:rPr>
        <w:t>وهو اختيار الأزهري. قال الأزهري: لتكون الآية جامعة ل</w:t>
      </w:r>
      <w:r w:rsidR="00F84658">
        <w:rPr>
          <w:rFonts w:ascii="Traditional Arabic" w:hAnsi="Traditional Arabic"/>
          <w:rtl/>
          <w:lang w:eastAsia="en-US"/>
        </w:rPr>
        <w:t>لصلوات الخمس، فيكون المعنى: أقم</w:t>
      </w:r>
      <w:r w:rsidRPr="005208B3">
        <w:rPr>
          <w:rFonts w:ascii="Traditional Arabic" w:hAnsi="Traditional Arabic"/>
          <w:rtl/>
          <w:lang w:eastAsia="en-US"/>
        </w:rPr>
        <w:t xml:space="preserve"> </w:t>
      </w:r>
      <w:r w:rsidRPr="009E0F1D">
        <w:rPr>
          <w:rFonts w:ascii="Traditional Arabic" w:hAnsi="Traditional Arabic"/>
          <w:rtl/>
          <w:lang w:eastAsia="en-US"/>
        </w:rPr>
        <w:t>الصلاة من وقت زوال الشمس</w:t>
      </w:r>
      <w:r w:rsidR="00F84658">
        <w:rPr>
          <w:rFonts w:ascii="Traditional Arabic" w:hAnsi="Traditional Arabic" w:hint="cs"/>
          <w:rtl/>
          <w:lang w:eastAsia="en-US"/>
        </w:rPr>
        <w:t xml:space="preserve"> </w:t>
      </w:r>
      <w:r w:rsidRPr="009E0F1D">
        <w:rPr>
          <w:rFonts w:ascii="Traditional Arabic" w:hAnsi="Traditional Arabic"/>
          <w:rtl/>
          <w:lang w:eastAsia="en-US"/>
        </w:rPr>
        <w:t xml:space="preserve">إِلى غسق الليل، فيدخل فيها الأولى، والعصر، وصلاتا غسق الليل، وهما العشاءان، ثم قال: </w:t>
      </w:r>
      <w:r w:rsidR="00823890" w:rsidRPr="000C2898">
        <w:rPr>
          <w:rFonts w:ascii="QCF_BSML" w:hAnsi="QCF_BSML" w:cs="QCF_BSML"/>
          <w:sz w:val="32"/>
          <w:szCs w:val="32"/>
          <w:rtl/>
          <w:lang w:eastAsia="en-US"/>
        </w:rPr>
        <w:t>ﭽ</w:t>
      </w:r>
      <w:r w:rsidR="00823890" w:rsidRPr="00823890">
        <w:rPr>
          <w:rFonts w:ascii="QCF_P290" w:hAnsi="QCF_P290" w:cs="QCF_P290"/>
          <w:color w:val="auto"/>
          <w:sz w:val="32"/>
          <w:szCs w:val="32"/>
          <w:rtl/>
          <w:lang w:eastAsia="en-US"/>
        </w:rPr>
        <w:t xml:space="preserve"> ﭴ  ﭵﭶ</w:t>
      </w:r>
      <w:r w:rsidR="00823890" w:rsidRPr="00967A96">
        <w:rPr>
          <w:rFonts w:ascii="QCF_BSML" w:hAnsi="QCF_BSML" w:cs="QCF_BSML"/>
          <w:sz w:val="32"/>
          <w:szCs w:val="32"/>
          <w:rtl/>
          <w:lang w:eastAsia="en-US"/>
        </w:rPr>
        <w:t>ﭼ</w:t>
      </w:r>
      <w:r w:rsidR="00823890" w:rsidRPr="00823890">
        <w:rPr>
          <w:rFonts w:ascii="QCF_P290" w:hAnsi="QCF_P290" w:cs="QCF_P290"/>
          <w:color w:val="auto"/>
          <w:sz w:val="32"/>
          <w:szCs w:val="32"/>
          <w:rtl/>
          <w:lang w:eastAsia="en-US"/>
        </w:rPr>
        <w:t xml:space="preserve"> </w:t>
      </w:r>
      <w:r w:rsidRPr="009E0F1D">
        <w:rPr>
          <w:rFonts w:ascii="Traditional Arabic" w:hAnsi="Traditional Arabic"/>
          <w:rtl/>
          <w:lang w:eastAsia="en-US"/>
        </w:rPr>
        <w:t>، فهذه خمس صلوات</w:t>
      </w:r>
      <w:r w:rsidR="00FD024C" w:rsidRPr="00FD024C">
        <w:rPr>
          <w:rStyle w:val="ae"/>
          <w:rtl/>
        </w:rPr>
        <w:t>(</w:t>
      </w:r>
      <w:r w:rsidR="00FD024C">
        <w:rPr>
          <w:rStyle w:val="ae"/>
          <w:rtl/>
        </w:rPr>
        <w:footnoteReference w:id="489"/>
      </w:r>
      <w:r w:rsidR="00FD024C" w:rsidRPr="00FD024C">
        <w:rPr>
          <w:rStyle w:val="ae"/>
          <w:rtl/>
        </w:rPr>
        <w:t>)</w:t>
      </w:r>
      <w:r w:rsidRPr="009E0F1D">
        <w:rPr>
          <w:rFonts w:ascii="Traditional Arabic" w:hAnsi="Traditional Arabic"/>
          <w:rtl/>
          <w:lang w:eastAsia="en-US"/>
        </w:rPr>
        <w:t>.</w:t>
      </w:r>
      <w:r w:rsidRPr="001836BD">
        <w:rPr>
          <w:rFonts w:ascii="Traditional Arabic" w:hAnsi="Traditional Arabic"/>
          <w:rtl/>
          <w:lang w:eastAsia="en-US"/>
        </w:rPr>
        <w:t>والثاني: أنه غروبها، قاله ابن مسعو</w:t>
      </w:r>
      <w:r w:rsidRPr="00860E41">
        <w:rPr>
          <w:rFonts w:ascii="Traditional Arabic" w:hAnsi="Traditional Arabic"/>
          <w:rtl/>
          <w:lang w:eastAsia="en-US"/>
        </w:rPr>
        <w:t>د</w:t>
      </w:r>
      <w:r w:rsidR="00860E41" w:rsidRPr="00860E41">
        <w:rPr>
          <w:rStyle w:val="ae"/>
          <w:rFonts w:ascii="Traditional Arabic" w:hAnsi="Traditional Arabic"/>
        </w:rPr>
        <w:t>(</w:t>
      </w:r>
      <w:r w:rsidR="00860E41" w:rsidRPr="00860E41">
        <w:rPr>
          <w:rStyle w:val="ae"/>
          <w:rFonts w:ascii="Traditional Arabic" w:hAnsi="Traditional Arabic"/>
        </w:rPr>
        <w:footnoteReference w:id="490"/>
      </w:r>
      <w:r w:rsidR="00860E41" w:rsidRPr="00860E41">
        <w:rPr>
          <w:rStyle w:val="ae"/>
          <w:rFonts w:ascii="Traditional Arabic" w:hAnsi="Traditional Arabic"/>
        </w:rPr>
        <w:t>)</w:t>
      </w:r>
      <w:r w:rsidR="00C61D93" w:rsidRPr="00860E41">
        <w:rPr>
          <w:rStyle w:val="ae"/>
          <w:rFonts w:ascii="Traditional Arabic" w:hAnsi="Traditional Arabic"/>
          <w:rtl/>
        </w:rPr>
        <w:t>(</w:t>
      </w:r>
      <w:r w:rsidR="00C61D93" w:rsidRPr="00860E41">
        <w:rPr>
          <w:rStyle w:val="ae"/>
          <w:rFonts w:ascii="Traditional Arabic" w:hAnsi="Traditional Arabic"/>
          <w:rtl/>
        </w:rPr>
        <w:footnoteReference w:id="491"/>
      </w:r>
      <w:r w:rsidR="00C61D93" w:rsidRPr="00860E41">
        <w:rPr>
          <w:rStyle w:val="ae"/>
          <w:rFonts w:ascii="Traditional Arabic" w:hAnsi="Traditional Arabic"/>
          <w:rtl/>
        </w:rPr>
        <w:t>)</w:t>
      </w:r>
      <w:r w:rsidRPr="00860E41">
        <w:rPr>
          <w:rFonts w:ascii="Traditional Arabic" w:hAnsi="Traditional Arabic"/>
          <w:rtl/>
          <w:lang w:eastAsia="en-US"/>
        </w:rPr>
        <w:t xml:space="preserve">، </w:t>
      </w:r>
      <w:r w:rsidRPr="001836BD">
        <w:rPr>
          <w:rFonts w:ascii="Traditional Arabic" w:hAnsi="Traditional Arabic"/>
          <w:rtl/>
          <w:lang w:eastAsia="en-US"/>
        </w:rPr>
        <w:t xml:space="preserve">والنخعي، </w:t>
      </w:r>
      <w:r w:rsidRPr="001836BD">
        <w:rPr>
          <w:rFonts w:ascii="Traditional Arabic" w:hAnsi="Traditional Arabic"/>
          <w:rtl/>
          <w:lang w:eastAsia="en-US"/>
        </w:rPr>
        <w:lastRenderedPageBreak/>
        <w:t>وابن زيد</w:t>
      </w:r>
      <w:r w:rsidR="00C61D93" w:rsidRPr="00C61D93">
        <w:rPr>
          <w:rStyle w:val="ae"/>
          <w:rtl/>
        </w:rPr>
        <w:t>(</w:t>
      </w:r>
      <w:r w:rsidR="00C61D93">
        <w:rPr>
          <w:rStyle w:val="ae"/>
          <w:rtl/>
        </w:rPr>
        <w:footnoteReference w:id="492"/>
      </w:r>
      <w:r w:rsidR="00C61D93" w:rsidRPr="00C61D93">
        <w:rPr>
          <w:rStyle w:val="ae"/>
          <w:rtl/>
        </w:rPr>
        <w:t>)</w:t>
      </w:r>
      <w:r w:rsidRPr="001836BD">
        <w:rPr>
          <w:rFonts w:ascii="Traditional Arabic" w:hAnsi="Traditional Arabic"/>
          <w:rtl/>
          <w:lang w:eastAsia="en-US"/>
        </w:rPr>
        <w:t>، وعن ابن عباس كالقولين</w:t>
      </w:r>
      <w:r w:rsidR="00860E41" w:rsidRPr="00860E41">
        <w:rPr>
          <w:rStyle w:val="ae"/>
          <w:rtl/>
        </w:rPr>
        <w:t>(</w:t>
      </w:r>
      <w:r w:rsidR="00860E41">
        <w:rPr>
          <w:rStyle w:val="ae"/>
          <w:rtl/>
        </w:rPr>
        <w:footnoteReference w:id="493"/>
      </w:r>
      <w:r w:rsidR="00860E41" w:rsidRPr="00860E41">
        <w:rPr>
          <w:rStyle w:val="ae"/>
          <w:rtl/>
        </w:rPr>
        <w:t>)</w:t>
      </w:r>
      <w:r w:rsidRPr="001836BD">
        <w:rPr>
          <w:rFonts w:ascii="Traditional Arabic" w:hAnsi="Traditional Arabic"/>
          <w:rtl/>
          <w:lang w:eastAsia="en-US"/>
        </w:rPr>
        <w:t>، قال الفراء: ورأيت العرب تذهب في الدُّلوك إِلى غيبوبة الشمس</w:t>
      </w:r>
      <w:r w:rsidR="00CA7043" w:rsidRPr="00CA7043">
        <w:rPr>
          <w:rStyle w:val="ae"/>
          <w:rtl/>
        </w:rPr>
        <w:t>(</w:t>
      </w:r>
      <w:r w:rsidR="00CA7043">
        <w:rPr>
          <w:rStyle w:val="ae"/>
          <w:rtl/>
        </w:rPr>
        <w:footnoteReference w:id="494"/>
      </w:r>
      <w:r w:rsidR="00CA7043" w:rsidRPr="00CA7043">
        <w:rPr>
          <w:rStyle w:val="ae"/>
          <w:rtl/>
        </w:rPr>
        <w:t>)</w:t>
      </w:r>
      <w:r w:rsidRPr="001836BD">
        <w:rPr>
          <w:rFonts w:ascii="Traditional Arabic" w:hAnsi="Traditional Arabic"/>
          <w:rtl/>
          <w:lang w:eastAsia="en-US"/>
        </w:rPr>
        <w:t>، وهذا اختيار ابن قتيبة، قال: لأن العرب تقول: دَلَكَ النجم: إِذا غاب</w:t>
      </w:r>
      <w:r w:rsidR="001D6D10">
        <w:rPr>
          <w:rFonts w:ascii="Traditional Arabic" w:hAnsi="Traditional Arabic" w:hint="cs"/>
          <w:rtl/>
          <w:lang w:eastAsia="en-US"/>
        </w:rPr>
        <w:t>,</w:t>
      </w:r>
      <w:r w:rsidRPr="001836BD">
        <w:rPr>
          <w:rFonts w:ascii="Traditional Arabic" w:hAnsi="Traditional Arabic"/>
          <w:rtl/>
          <w:lang w:eastAsia="en-US"/>
        </w:rPr>
        <w:t xml:space="preserve"> قال ذو الرمة</w:t>
      </w:r>
      <w:r w:rsidR="00EA6039" w:rsidRPr="00EA6039">
        <w:rPr>
          <w:rStyle w:val="ae"/>
          <w:rtl/>
        </w:rPr>
        <w:t>(</w:t>
      </w:r>
      <w:r w:rsidR="00EA6039">
        <w:rPr>
          <w:rStyle w:val="ae"/>
          <w:rtl/>
        </w:rPr>
        <w:footnoteReference w:id="495"/>
      </w:r>
      <w:r w:rsidR="00EA6039" w:rsidRPr="00EA6039">
        <w:rPr>
          <w:rStyle w:val="ae"/>
          <w:rtl/>
        </w:rPr>
        <w:t>)</w:t>
      </w:r>
      <w:r w:rsidRPr="001836BD">
        <w:rPr>
          <w:rFonts w:ascii="Traditional Arabic" w:hAnsi="Traditional Arabic"/>
          <w:rtl/>
          <w:lang w:eastAsia="en-US"/>
        </w:rPr>
        <w:t>:</w:t>
      </w:r>
    </w:p>
    <w:p w:rsidR="006B6962" w:rsidRDefault="00C36615" w:rsidP="00D71211">
      <w:pPr>
        <w:widowControl/>
        <w:autoSpaceDE w:val="0"/>
        <w:autoSpaceDN w:val="0"/>
        <w:adjustRightInd w:val="0"/>
        <w:ind w:firstLine="0"/>
        <w:jc w:val="left"/>
        <w:rPr>
          <w:rFonts w:ascii="Traditional Arabic" w:hAnsi="Traditional Arabic"/>
          <w:rtl/>
          <w:lang w:eastAsia="en-US"/>
        </w:rPr>
      </w:pPr>
      <w:r w:rsidRPr="001836BD">
        <w:rPr>
          <w:rFonts w:ascii="Traditional Arabic" w:hAnsi="Traditional Arabic"/>
          <w:rtl/>
          <w:lang w:eastAsia="en-US"/>
        </w:rPr>
        <w:t xml:space="preserve">مَصَابِيْحُ لَيْسَتْ باللّواتي </w:t>
      </w:r>
      <w:r w:rsidRPr="00823890">
        <w:rPr>
          <w:rFonts w:ascii="Traditional Arabic" w:hAnsi="Traditional Arabic"/>
          <w:color w:val="auto"/>
          <w:rtl/>
          <w:lang w:eastAsia="en-US"/>
        </w:rPr>
        <w:t xml:space="preserve">تَقُوْدُهَا ... نُجُومٌ </w:t>
      </w:r>
      <w:r w:rsidRPr="001836BD">
        <w:rPr>
          <w:rFonts w:ascii="Traditional Arabic" w:hAnsi="Traditional Arabic"/>
          <w:rtl/>
          <w:lang w:eastAsia="en-US"/>
        </w:rPr>
        <w:t>وَلاَ بالآفلاتِ الدَّوالِكِ</w:t>
      </w:r>
      <w:r w:rsidR="002A2725" w:rsidRPr="002A2725">
        <w:rPr>
          <w:rStyle w:val="ae"/>
          <w:rtl/>
        </w:rPr>
        <w:t>(</w:t>
      </w:r>
      <w:r w:rsidR="002A2725">
        <w:rPr>
          <w:rStyle w:val="ae"/>
          <w:rtl/>
        </w:rPr>
        <w:footnoteReference w:id="496"/>
      </w:r>
      <w:r w:rsidR="002A2725" w:rsidRPr="002A2725">
        <w:rPr>
          <w:rStyle w:val="ae"/>
          <w:rtl/>
        </w:rPr>
        <w:t>)</w:t>
      </w:r>
    </w:p>
    <w:p w:rsidR="00D71211" w:rsidRDefault="00C36615" w:rsidP="00D71211">
      <w:pPr>
        <w:widowControl/>
        <w:autoSpaceDE w:val="0"/>
        <w:autoSpaceDN w:val="0"/>
        <w:adjustRightInd w:val="0"/>
        <w:ind w:firstLine="0"/>
        <w:jc w:val="left"/>
        <w:rPr>
          <w:rFonts w:ascii="Traditional Arabic" w:hAnsi="Traditional Arabic"/>
          <w:rtl/>
          <w:lang w:eastAsia="en-US"/>
        </w:rPr>
      </w:pPr>
      <w:r w:rsidRPr="001836BD">
        <w:rPr>
          <w:rFonts w:ascii="Traditional Arabic" w:hAnsi="Traditional Arabic"/>
          <w:rtl/>
          <w:lang w:eastAsia="en-US"/>
        </w:rPr>
        <w:t>وتقول في الشمس: دلكتْ بَرَاحِ</w:t>
      </w:r>
      <w:r w:rsidR="00445F50" w:rsidRPr="00445F50">
        <w:rPr>
          <w:rStyle w:val="ae"/>
          <w:rtl/>
        </w:rPr>
        <w:t>(</w:t>
      </w:r>
      <w:r w:rsidR="00445F50">
        <w:rPr>
          <w:rStyle w:val="ae"/>
          <w:rtl/>
        </w:rPr>
        <w:footnoteReference w:id="497"/>
      </w:r>
      <w:r w:rsidR="00445F50" w:rsidRPr="00445F50">
        <w:rPr>
          <w:rStyle w:val="ae"/>
          <w:rtl/>
        </w:rPr>
        <w:t>)</w:t>
      </w:r>
      <w:r w:rsidRPr="001836BD">
        <w:rPr>
          <w:rFonts w:ascii="Traditional Arabic" w:hAnsi="Traditional Arabic"/>
          <w:rtl/>
          <w:lang w:eastAsia="en-US"/>
        </w:rPr>
        <w:t>، يريدون: غربت، والناظر قد وضع كفَّه على حاجبه ينظر إِليها، قال الشاعر:</w:t>
      </w:r>
    </w:p>
    <w:p w:rsidR="00C36615" w:rsidRPr="001836BD" w:rsidRDefault="00C36615" w:rsidP="00277451">
      <w:pPr>
        <w:widowControl/>
        <w:autoSpaceDE w:val="0"/>
        <w:autoSpaceDN w:val="0"/>
        <w:adjustRightInd w:val="0"/>
        <w:ind w:firstLine="0"/>
        <w:jc w:val="left"/>
        <w:rPr>
          <w:rFonts w:ascii="Traditional Arabic" w:hAnsi="Traditional Arabic"/>
          <w:rtl/>
          <w:lang w:eastAsia="en-US"/>
        </w:rPr>
      </w:pPr>
      <w:r w:rsidRPr="001836BD">
        <w:rPr>
          <w:rFonts w:ascii="Traditional Arabic" w:hAnsi="Traditional Arabic"/>
          <w:rtl/>
          <w:lang w:eastAsia="en-US"/>
        </w:rPr>
        <w:t>والشَّمْسُ قَدْ كادَتْ تَكُونُ دَنَفَا</w:t>
      </w:r>
      <w:r w:rsidR="001A4D17" w:rsidRPr="001A4D17">
        <w:rPr>
          <w:rStyle w:val="ae"/>
          <w:rtl/>
        </w:rPr>
        <w:t>(</w:t>
      </w:r>
      <w:r w:rsidR="001A4D17">
        <w:rPr>
          <w:rStyle w:val="ae"/>
          <w:rtl/>
        </w:rPr>
        <w:footnoteReference w:id="498"/>
      </w:r>
      <w:r w:rsidR="001A4D17" w:rsidRPr="001A4D17">
        <w:rPr>
          <w:rStyle w:val="ae"/>
          <w:rtl/>
        </w:rPr>
        <w:t>)</w:t>
      </w:r>
      <w:r w:rsidRPr="001836BD">
        <w:rPr>
          <w:rFonts w:ascii="Traditional Arabic" w:hAnsi="Traditional Arabic"/>
          <w:rtl/>
          <w:lang w:eastAsia="en-US"/>
        </w:rPr>
        <w:t xml:space="preserve"> </w:t>
      </w:r>
      <w:r w:rsidRPr="00427406">
        <w:rPr>
          <w:rFonts w:ascii="Traditional Arabic" w:hAnsi="Traditional Arabic"/>
          <w:color w:val="auto"/>
          <w:rtl/>
          <w:lang w:eastAsia="en-US"/>
        </w:rPr>
        <w:t xml:space="preserve">... </w:t>
      </w:r>
      <w:r w:rsidRPr="001836BD">
        <w:rPr>
          <w:rFonts w:ascii="Traditional Arabic" w:hAnsi="Traditional Arabic"/>
          <w:rtl/>
          <w:lang w:eastAsia="en-US"/>
        </w:rPr>
        <w:t>أدْفَعُها بالرَّاحِ كَيْ تَزَحْلَفَا</w:t>
      </w:r>
      <w:r w:rsidR="003C17DC" w:rsidRPr="003C17DC">
        <w:rPr>
          <w:rStyle w:val="ae"/>
          <w:rtl/>
        </w:rPr>
        <w:t>(</w:t>
      </w:r>
      <w:r w:rsidR="003C17DC">
        <w:rPr>
          <w:rStyle w:val="ae"/>
          <w:rtl/>
        </w:rPr>
        <w:footnoteReference w:id="499"/>
      </w:r>
      <w:r w:rsidR="003C17DC" w:rsidRPr="003C17DC">
        <w:rPr>
          <w:rStyle w:val="ae"/>
          <w:rtl/>
        </w:rPr>
        <w:t>)</w:t>
      </w:r>
      <w:r w:rsidR="00277451" w:rsidRPr="00277451">
        <w:rPr>
          <w:rStyle w:val="ae"/>
          <w:rtl/>
        </w:rPr>
        <w:t>(</w:t>
      </w:r>
      <w:r w:rsidR="00277451">
        <w:rPr>
          <w:rStyle w:val="ae"/>
          <w:rtl/>
        </w:rPr>
        <w:footnoteReference w:id="500"/>
      </w:r>
      <w:r w:rsidR="00277451" w:rsidRPr="00277451">
        <w:rPr>
          <w:rStyle w:val="ae"/>
          <w:rtl/>
        </w:rPr>
        <w:t>)</w:t>
      </w:r>
    </w:p>
    <w:p w:rsidR="002278FC" w:rsidRDefault="00C36615" w:rsidP="002278FC">
      <w:pPr>
        <w:widowControl/>
        <w:autoSpaceDE w:val="0"/>
        <w:autoSpaceDN w:val="0"/>
        <w:adjustRightInd w:val="0"/>
        <w:ind w:firstLine="0"/>
        <w:rPr>
          <w:rtl/>
        </w:rPr>
      </w:pPr>
      <w:r w:rsidRPr="001836BD">
        <w:rPr>
          <w:rFonts w:ascii="Traditional Arabic" w:hAnsi="Traditional Arabic"/>
          <w:rtl/>
          <w:lang w:eastAsia="en-US"/>
        </w:rPr>
        <w:t>فشبّهها بالمريض الدَّنَف، لأنها قد همَّت بالغروب كما قارب الدَّنِف الموت، وإِنما ينظر إِليها من تحت الكف ليعلم كم بقي لها إِلى أن تغيب، ويتوقى الشعاع بكفِّه.</w:t>
      </w:r>
      <w:r w:rsidR="00937E60" w:rsidRPr="00937E60">
        <w:rPr>
          <w:rStyle w:val="ae"/>
          <w:rtl/>
        </w:rPr>
        <w:t>(</w:t>
      </w:r>
      <w:r w:rsidR="00937E60">
        <w:rPr>
          <w:rStyle w:val="ae"/>
          <w:rtl/>
        </w:rPr>
        <w:footnoteReference w:id="501"/>
      </w:r>
      <w:r w:rsidR="00937E60" w:rsidRPr="00937E60">
        <w:rPr>
          <w:rStyle w:val="ae"/>
          <w:rtl/>
        </w:rPr>
        <w:t>)</w:t>
      </w:r>
      <w:r w:rsidRPr="001836BD">
        <w:rPr>
          <w:rFonts w:ascii="Traditional Arabic" w:hAnsi="Traditional Arabic"/>
          <w:rtl/>
          <w:lang w:eastAsia="en-US"/>
        </w:rPr>
        <w:t xml:space="preserve"> فعلى هذا، المراد بهذه </w:t>
      </w:r>
      <w:r w:rsidRPr="001836BD">
        <w:rPr>
          <w:rFonts w:ascii="Traditional Arabic" w:hAnsi="Traditional Arabic"/>
          <w:rtl/>
          <w:lang w:eastAsia="en-US"/>
        </w:rPr>
        <w:lastRenderedPageBreak/>
        <w:t>الصلاة:</w:t>
      </w:r>
      <w:r w:rsidR="00937E60">
        <w:rPr>
          <w:rFonts w:ascii="Traditional Arabic" w:hAnsi="Traditional Arabic" w:hint="cs"/>
          <w:rtl/>
          <w:lang w:eastAsia="en-US"/>
        </w:rPr>
        <w:t xml:space="preserve"> </w:t>
      </w:r>
      <w:r w:rsidRPr="001836BD">
        <w:rPr>
          <w:rFonts w:ascii="Traditional Arabic" w:hAnsi="Traditional Arabic"/>
          <w:rtl/>
          <w:lang w:eastAsia="en-US"/>
        </w:rPr>
        <w:t xml:space="preserve">المغرب. فأما </w:t>
      </w:r>
      <w:r w:rsidR="00937E60" w:rsidRPr="00967A96">
        <w:rPr>
          <w:rFonts w:ascii="QCF_BSML" w:hAnsi="QCF_BSML" w:cs="QCF_BSML"/>
          <w:sz w:val="32"/>
          <w:szCs w:val="32"/>
          <w:rtl/>
          <w:lang w:eastAsia="en-US"/>
        </w:rPr>
        <w:t>ﭽ</w:t>
      </w:r>
      <w:r w:rsidR="00937E60" w:rsidRPr="00967A96">
        <w:rPr>
          <w:rFonts w:ascii="QCF_P290" w:hAnsi="QCF_P290" w:cs="QCF_P290"/>
          <w:sz w:val="32"/>
          <w:szCs w:val="32"/>
          <w:rtl/>
          <w:lang w:eastAsia="en-US"/>
        </w:rPr>
        <w:t xml:space="preserve"> ﭲ  ﭳ</w:t>
      </w:r>
      <w:r w:rsidR="00937E60" w:rsidRPr="00967A96">
        <w:rPr>
          <w:rFonts w:ascii="QCF_BSML" w:hAnsi="QCF_BSML" w:cs="QCF_BSML"/>
          <w:sz w:val="32"/>
          <w:szCs w:val="32"/>
          <w:rtl/>
          <w:lang w:eastAsia="en-US"/>
        </w:rPr>
        <w:t>ﭼ</w:t>
      </w:r>
      <w:r w:rsidR="00997011">
        <w:rPr>
          <w:rFonts w:ascii="QCF_BSML" w:hAnsi="QCF_BSML" w:cs="QCF_BSML" w:hint="cs"/>
          <w:sz w:val="32"/>
          <w:szCs w:val="32"/>
          <w:rtl/>
          <w:lang w:eastAsia="en-US"/>
        </w:rPr>
        <w:t xml:space="preserve">   </w:t>
      </w:r>
      <w:r w:rsidR="00937E60">
        <w:rPr>
          <w:rFonts w:ascii="QCF_BSML" w:hAnsi="QCF_BSML" w:cs="QCF_BSML" w:hint="cs"/>
          <w:sz w:val="28"/>
          <w:szCs w:val="28"/>
          <w:rtl/>
          <w:lang w:eastAsia="en-US"/>
        </w:rPr>
        <w:t xml:space="preserve"> </w:t>
      </w:r>
      <w:r w:rsidR="00937E60" w:rsidRPr="005208B3">
        <w:rPr>
          <w:rFonts w:ascii="QCF_P290" w:hAnsi="QCF_P290" w:cs="QCF_P290"/>
          <w:sz w:val="32"/>
          <w:szCs w:val="32"/>
          <w:rtl/>
          <w:lang w:eastAsia="en-US"/>
        </w:rPr>
        <w:t xml:space="preserve">  </w:t>
      </w:r>
      <w:r w:rsidRPr="001836BD">
        <w:rPr>
          <w:rFonts w:ascii="Traditional Arabic" w:hAnsi="Traditional Arabic"/>
          <w:rtl/>
          <w:lang w:eastAsia="en-US"/>
        </w:rPr>
        <w:t>فظلامُه. وفي المراد بالصلاة المتعلقة بغسق الليل ثلاثة أقوال: أحدها:</w:t>
      </w:r>
      <w:r w:rsidR="00937E60">
        <w:rPr>
          <w:rFonts w:ascii="Traditional Arabic" w:hAnsi="Traditional Arabic" w:hint="cs"/>
          <w:rtl/>
          <w:lang w:eastAsia="en-US"/>
        </w:rPr>
        <w:t xml:space="preserve"> </w:t>
      </w:r>
      <w:r w:rsidR="00937E60">
        <w:rPr>
          <w:rFonts w:ascii="Traditional Arabic" w:hAnsi="Traditional Arabic"/>
          <w:rtl/>
          <w:lang w:eastAsia="en-US"/>
        </w:rPr>
        <w:t>العشاء، قاله ابن مسعود.</w:t>
      </w:r>
      <w:r w:rsidR="00937E60" w:rsidRPr="00937E60">
        <w:rPr>
          <w:rStyle w:val="ae"/>
          <w:rtl/>
        </w:rPr>
        <w:t>(</w:t>
      </w:r>
      <w:r w:rsidR="00937E60">
        <w:rPr>
          <w:rStyle w:val="ae"/>
          <w:rtl/>
        </w:rPr>
        <w:footnoteReference w:id="502"/>
      </w:r>
      <w:r w:rsidR="00937E60" w:rsidRPr="00937E60">
        <w:rPr>
          <w:rStyle w:val="ae"/>
          <w:rtl/>
        </w:rPr>
        <w:t>)</w:t>
      </w:r>
      <w:r w:rsidRPr="001836BD">
        <w:rPr>
          <w:rFonts w:ascii="Traditional Arabic" w:hAnsi="Traditional Arabic"/>
          <w:rtl/>
          <w:lang w:eastAsia="en-US"/>
        </w:rPr>
        <w:t>والثاني: المغرب، قاله ابن عباس.</w:t>
      </w:r>
      <w:r w:rsidR="005E44E9" w:rsidRPr="005E44E9">
        <w:rPr>
          <w:rStyle w:val="ae"/>
          <w:rtl/>
        </w:rPr>
        <w:t>(</w:t>
      </w:r>
      <w:r w:rsidR="005E44E9">
        <w:rPr>
          <w:rStyle w:val="ae"/>
          <w:rtl/>
        </w:rPr>
        <w:footnoteReference w:id="503"/>
      </w:r>
      <w:r w:rsidR="005E44E9" w:rsidRPr="005E44E9">
        <w:rPr>
          <w:rStyle w:val="ae"/>
          <w:rtl/>
        </w:rPr>
        <w:t>)</w:t>
      </w:r>
      <w:r w:rsidR="006D37E3">
        <w:rPr>
          <w:rFonts w:hint="cs"/>
          <w:rtl/>
        </w:rPr>
        <w:t xml:space="preserve"> </w:t>
      </w:r>
      <w:r w:rsidRPr="001836BD">
        <w:rPr>
          <w:rFonts w:ascii="Traditional Arabic" w:hAnsi="Traditional Arabic"/>
          <w:rtl/>
          <w:lang w:eastAsia="en-US"/>
        </w:rPr>
        <w:t>قال القاضي</w:t>
      </w:r>
      <w:r w:rsidR="006D37E3">
        <w:rPr>
          <w:rFonts w:ascii="Traditional Arabic" w:hAnsi="Traditional Arabic" w:hint="cs"/>
          <w:rtl/>
          <w:lang w:eastAsia="en-US"/>
        </w:rPr>
        <w:t xml:space="preserve"> أ</w:t>
      </w:r>
      <w:r w:rsidRPr="001836BD">
        <w:rPr>
          <w:rFonts w:ascii="Traditional Arabic" w:hAnsi="Traditional Arabic"/>
          <w:rtl/>
          <w:lang w:eastAsia="en-US"/>
        </w:rPr>
        <w:t>بو يعلى</w:t>
      </w:r>
      <w:r w:rsidR="0077102F" w:rsidRPr="0077102F">
        <w:rPr>
          <w:rStyle w:val="ae"/>
          <w:rtl/>
        </w:rPr>
        <w:t>(</w:t>
      </w:r>
      <w:r w:rsidR="0077102F">
        <w:rPr>
          <w:rStyle w:val="ae"/>
          <w:rtl/>
        </w:rPr>
        <w:footnoteReference w:id="504"/>
      </w:r>
      <w:r w:rsidR="0077102F" w:rsidRPr="0077102F">
        <w:rPr>
          <w:rStyle w:val="ae"/>
          <w:rtl/>
        </w:rPr>
        <w:t>)</w:t>
      </w:r>
      <w:r w:rsidRPr="001836BD">
        <w:rPr>
          <w:rFonts w:ascii="Traditional Arabic" w:hAnsi="Traditional Arabic"/>
          <w:rtl/>
          <w:lang w:eastAsia="en-US"/>
        </w:rPr>
        <w:t>: فيحتمل أن يكون المراد بيانَ وقت المغرب، أنه من غروب الشمس إِلى غسق الليل</w:t>
      </w:r>
      <w:r w:rsidR="00073203" w:rsidRPr="00073203">
        <w:rPr>
          <w:rStyle w:val="ae"/>
          <w:rtl/>
        </w:rPr>
        <w:t>(</w:t>
      </w:r>
      <w:r w:rsidR="00073203">
        <w:rPr>
          <w:rStyle w:val="ae"/>
          <w:rtl/>
        </w:rPr>
        <w:footnoteReference w:id="505"/>
      </w:r>
      <w:r w:rsidR="00073203" w:rsidRPr="00073203">
        <w:rPr>
          <w:rStyle w:val="ae"/>
          <w:rtl/>
        </w:rPr>
        <w:t>)</w:t>
      </w:r>
      <w:r w:rsidRPr="001836BD">
        <w:rPr>
          <w:rFonts w:ascii="Traditional Arabic" w:hAnsi="Traditional Arabic"/>
          <w:rtl/>
          <w:lang w:eastAsia="en-US"/>
        </w:rPr>
        <w:t xml:space="preserve">. والثالث: المغرب </w:t>
      </w:r>
      <w:r w:rsidRPr="00C61D93">
        <w:rPr>
          <w:rFonts w:ascii="Traditional Arabic" w:hAnsi="Traditional Arabic"/>
          <w:rtl/>
          <w:lang w:eastAsia="en-US"/>
        </w:rPr>
        <w:t>والعشاء، قاله الحسن.</w:t>
      </w:r>
      <w:r w:rsidR="00073203" w:rsidRPr="00073203">
        <w:rPr>
          <w:rStyle w:val="ae"/>
          <w:rtl/>
        </w:rPr>
        <w:t>(</w:t>
      </w:r>
      <w:r w:rsidR="00073203">
        <w:rPr>
          <w:rStyle w:val="ae"/>
          <w:rtl/>
        </w:rPr>
        <w:footnoteReference w:id="506"/>
      </w:r>
      <w:r w:rsidR="00073203" w:rsidRPr="00073203">
        <w:rPr>
          <w:rStyle w:val="ae"/>
          <w:rtl/>
        </w:rPr>
        <w:t>)</w:t>
      </w:r>
      <w:r w:rsidR="006B6962">
        <w:rPr>
          <w:rFonts w:ascii="Traditional Arabic" w:hAnsi="Traditional Arabic" w:hint="cs"/>
          <w:rtl/>
          <w:lang w:eastAsia="en-US"/>
        </w:rPr>
        <w:t xml:space="preserve"> </w:t>
      </w:r>
      <w:r w:rsidRPr="00C61D93">
        <w:rPr>
          <w:rFonts w:ascii="Traditional Arabic" w:hAnsi="Traditional Arabic"/>
          <w:rtl/>
          <w:lang w:eastAsia="en-US"/>
        </w:rPr>
        <w:t xml:space="preserve">قوله تعالى: </w:t>
      </w:r>
      <w:r w:rsidR="00073203" w:rsidRPr="00127861">
        <w:rPr>
          <w:rFonts w:ascii="QCF_BSML" w:hAnsi="QCF_BSML" w:cs="QCF_BSML"/>
          <w:sz w:val="32"/>
          <w:szCs w:val="32"/>
          <w:rtl/>
          <w:lang w:eastAsia="en-US"/>
        </w:rPr>
        <w:t>ﭽ</w:t>
      </w:r>
      <w:r w:rsidR="00073203" w:rsidRPr="00127861">
        <w:rPr>
          <w:rFonts w:ascii="QCF_P290" w:hAnsi="QCF_P290" w:cs="QCF_P290"/>
          <w:sz w:val="32"/>
          <w:szCs w:val="32"/>
          <w:rtl/>
          <w:lang w:eastAsia="en-US"/>
        </w:rPr>
        <w:t xml:space="preserve"> ﭴ  </w:t>
      </w:r>
      <w:r w:rsidR="00073203" w:rsidRPr="00211719">
        <w:rPr>
          <w:rFonts w:ascii="QCF_P290" w:hAnsi="QCF_P290" w:cs="QCF_P290"/>
          <w:color w:val="auto"/>
          <w:sz w:val="32"/>
          <w:szCs w:val="32"/>
          <w:rtl/>
          <w:lang w:eastAsia="en-US"/>
        </w:rPr>
        <w:t>ﭵﭶ</w:t>
      </w:r>
      <w:r w:rsidR="00BF2E9A" w:rsidRPr="00211719">
        <w:rPr>
          <w:rFonts w:ascii="QCF_BSML" w:hAnsi="QCF_BSML" w:cs="QCF_BSML"/>
          <w:color w:val="auto"/>
          <w:sz w:val="32"/>
          <w:szCs w:val="32"/>
          <w:rtl/>
          <w:lang w:eastAsia="en-US"/>
        </w:rPr>
        <w:t>ﭼ</w:t>
      </w:r>
      <w:r w:rsidR="00073203" w:rsidRPr="005208B3">
        <w:rPr>
          <w:rFonts w:ascii="QCF_P290" w:hAnsi="QCF_P290" w:cs="QCF_P290"/>
          <w:sz w:val="32"/>
          <w:szCs w:val="32"/>
          <w:rtl/>
          <w:lang w:eastAsia="en-US"/>
        </w:rPr>
        <w:t xml:space="preserve">  </w:t>
      </w:r>
      <w:r w:rsidR="006B6962">
        <w:rPr>
          <w:rFonts w:ascii="Traditional Arabic" w:hAnsi="Traditional Arabic" w:hint="cs"/>
          <w:rtl/>
          <w:lang w:eastAsia="en-US"/>
        </w:rPr>
        <w:t xml:space="preserve"> </w:t>
      </w:r>
      <w:r w:rsidRPr="00C61D93">
        <w:rPr>
          <w:rFonts w:ascii="Traditional Arabic" w:hAnsi="Traditional Arabic"/>
          <w:rtl/>
          <w:lang w:eastAsia="en-US"/>
        </w:rPr>
        <w:t>المعنى: وأقم قراءة الفجر. قال ا</w:t>
      </w:r>
      <w:r w:rsidR="00073203">
        <w:rPr>
          <w:rFonts w:ascii="Traditional Arabic" w:hAnsi="Traditional Arabic"/>
          <w:rtl/>
          <w:lang w:eastAsia="en-US"/>
        </w:rPr>
        <w:t>لمفسرون: المراد به: صلاة الفجر</w:t>
      </w:r>
      <w:r w:rsidR="00073203" w:rsidRPr="00073203">
        <w:rPr>
          <w:rStyle w:val="ae"/>
          <w:rtl/>
        </w:rPr>
        <w:t>(</w:t>
      </w:r>
      <w:r w:rsidR="00073203">
        <w:rPr>
          <w:rStyle w:val="ae"/>
          <w:rtl/>
        </w:rPr>
        <w:footnoteReference w:id="507"/>
      </w:r>
      <w:r w:rsidR="00073203" w:rsidRPr="00073203">
        <w:rPr>
          <w:rStyle w:val="ae"/>
          <w:rtl/>
        </w:rPr>
        <w:t>)</w:t>
      </w:r>
      <w:r w:rsidR="00D71211">
        <w:rPr>
          <w:rFonts w:ascii="Traditional Arabic" w:hAnsi="Traditional Arabic" w:hint="cs"/>
          <w:rtl/>
          <w:lang w:eastAsia="en-US"/>
        </w:rPr>
        <w:t xml:space="preserve">. </w:t>
      </w:r>
      <w:r w:rsidRPr="00C61D93">
        <w:rPr>
          <w:rFonts w:ascii="Traditional Arabic" w:hAnsi="Traditional Arabic"/>
          <w:rtl/>
          <w:lang w:eastAsia="en-US"/>
        </w:rPr>
        <w:t>قال الزجاج: وفي هذا فائدة عظيمة تدل على أن الصلاة لا تكون إِلا بق</w:t>
      </w:r>
      <w:r w:rsidR="00073203">
        <w:rPr>
          <w:rFonts w:ascii="Traditional Arabic" w:hAnsi="Traditional Arabic"/>
          <w:rtl/>
          <w:lang w:eastAsia="en-US"/>
        </w:rPr>
        <w:t>راءة، حين</w:t>
      </w:r>
      <w:r w:rsidR="006B6962">
        <w:rPr>
          <w:rFonts w:ascii="Traditional Arabic" w:hAnsi="Traditional Arabic" w:hint="cs"/>
          <w:rtl/>
          <w:lang w:eastAsia="en-US"/>
        </w:rPr>
        <w:t xml:space="preserve"> </w:t>
      </w:r>
      <w:r w:rsidR="00073203">
        <w:rPr>
          <w:rFonts w:ascii="Traditional Arabic" w:hAnsi="Traditional Arabic"/>
          <w:rtl/>
          <w:lang w:eastAsia="en-US"/>
        </w:rPr>
        <w:t>سمِّيت الصلاة قرآناً.</w:t>
      </w:r>
      <w:r w:rsidR="00073203" w:rsidRPr="00073203">
        <w:rPr>
          <w:rStyle w:val="ae"/>
          <w:rtl/>
        </w:rPr>
        <w:t>(</w:t>
      </w:r>
      <w:r w:rsidR="00073203">
        <w:rPr>
          <w:rStyle w:val="ae"/>
          <w:rtl/>
        </w:rPr>
        <w:footnoteReference w:id="508"/>
      </w:r>
      <w:r w:rsidR="00073203" w:rsidRPr="00073203">
        <w:rPr>
          <w:rStyle w:val="ae"/>
          <w:rtl/>
        </w:rPr>
        <w:t>)</w:t>
      </w:r>
      <w:r w:rsidR="00073203" w:rsidRPr="005208B3">
        <w:rPr>
          <w:rFonts w:ascii="QCF_P290" w:hAnsi="QCF_P290" w:cs="QCF_P290"/>
          <w:sz w:val="32"/>
          <w:szCs w:val="32"/>
          <w:rtl/>
          <w:lang w:eastAsia="en-US"/>
        </w:rPr>
        <w:t xml:space="preserve">  </w:t>
      </w:r>
      <w:r w:rsidR="00B72410">
        <w:rPr>
          <w:rStyle w:val="ae"/>
          <w:rFonts w:hint="cs"/>
          <w:rtl/>
        </w:rPr>
        <w:t xml:space="preserve"> </w:t>
      </w:r>
    </w:p>
    <w:p w:rsidR="002278FC" w:rsidRDefault="002278FC" w:rsidP="002278FC">
      <w:pPr>
        <w:widowControl/>
        <w:autoSpaceDE w:val="0"/>
        <w:autoSpaceDN w:val="0"/>
        <w:adjustRightInd w:val="0"/>
        <w:ind w:firstLine="0"/>
        <w:rPr>
          <w:rtl/>
        </w:rPr>
      </w:pPr>
    </w:p>
    <w:p w:rsidR="002278FC" w:rsidRDefault="002278FC" w:rsidP="002278FC">
      <w:pPr>
        <w:widowControl/>
        <w:autoSpaceDE w:val="0"/>
        <w:autoSpaceDN w:val="0"/>
        <w:adjustRightInd w:val="0"/>
        <w:ind w:firstLine="0"/>
        <w:rPr>
          <w:rtl/>
        </w:rPr>
      </w:pPr>
    </w:p>
    <w:p w:rsidR="002278FC" w:rsidRDefault="002278FC" w:rsidP="002278FC">
      <w:pPr>
        <w:widowControl/>
        <w:autoSpaceDE w:val="0"/>
        <w:autoSpaceDN w:val="0"/>
        <w:adjustRightInd w:val="0"/>
        <w:ind w:firstLine="0"/>
        <w:rPr>
          <w:rtl/>
        </w:rPr>
      </w:pPr>
    </w:p>
    <w:p w:rsidR="002278FC" w:rsidRDefault="002278FC" w:rsidP="002278FC">
      <w:pPr>
        <w:widowControl/>
        <w:autoSpaceDE w:val="0"/>
        <w:autoSpaceDN w:val="0"/>
        <w:adjustRightInd w:val="0"/>
        <w:ind w:firstLine="0"/>
        <w:rPr>
          <w:rtl/>
        </w:rPr>
      </w:pPr>
    </w:p>
    <w:p w:rsidR="002278FC" w:rsidRDefault="002278FC" w:rsidP="002278FC">
      <w:pPr>
        <w:widowControl/>
        <w:autoSpaceDE w:val="0"/>
        <w:autoSpaceDN w:val="0"/>
        <w:adjustRightInd w:val="0"/>
        <w:ind w:firstLine="0"/>
        <w:rPr>
          <w:rtl/>
        </w:rPr>
      </w:pPr>
    </w:p>
    <w:p w:rsidR="002278FC" w:rsidRDefault="002278FC" w:rsidP="002278FC">
      <w:pPr>
        <w:widowControl/>
        <w:autoSpaceDE w:val="0"/>
        <w:autoSpaceDN w:val="0"/>
        <w:adjustRightInd w:val="0"/>
        <w:ind w:firstLine="0"/>
        <w:rPr>
          <w:rtl/>
        </w:rPr>
      </w:pPr>
    </w:p>
    <w:p w:rsidR="002278FC" w:rsidRDefault="002278FC" w:rsidP="002278FC">
      <w:pPr>
        <w:widowControl/>
        <w:autoSpaceDE w:val="0"/>
        <w:autoSpaceDN w:val="0"/>
        <w:adjustRightInd w:val="0"/>
        <w:ind w:firstLine="0"/>
        <w:rPr>
          <w:rtl/>
        </w:rPr>
      </w:pPr>
    </w:p>
    <w:p w:rsidR="00C36615" w:rsidRPr="006B6962" w:rsidRDefault="00C36615" w:rsidP="002278FC">
      <w:pPr>
        <w:widowControl/>
        <w:autoSpaceDE w:val="0"/>
        <w:autoSpaceDN w:val="0"/>
        <w:adjustRightInd w:val="0"/>
        <w:ind w:firstLine="0"/>
        <w:rPr>
          <w:rFonts w:ascii="Traditional Arabic" w:hAnsi="Traditional Arabic"/>
          <w:rtl/>
          <w:lang w:eastAsia="en-US"/>
        </w:rPr>
      </w:pPr>
      <w:r w:rsidRPr="00C61D93">
        <w:rPr>
          <w:rFonts w:ascii="Traditional Arabic" w:hAnsi="Traditional Arabic"/>
          <w:rtl/>
          <w:lang w:eastAsia="en-US"/>
        </w:rPr>
        <w:lastRenderedPageBreak/>
        <w:t xml:space="preserve">قوله تعالى: </w:t>
      </w:r>
      <w:r w:rsidR="00073203" w:rsidRPr="00127861">
        <w:rPr>
          <w:rFonts w:ascii="QCF_BSML" w:hAnsi="QCF_BSML" w:cs="QCF_BSML"/>
          <w:sz w:val="32"/>
          <w:szCs w:val="32"/>
          <w:rtl/>
          <w:lang w:eastAsia="en-US"/>
        </w:rPr>
        <w:t>ﭽ</w:t>
      </w:r>
      <w:r w:rsidR="00073203" w:rsidRPr="00127861">
        <w:rPr>
          <w:rFonts w:ascii="QCF_P290" w:hAnsi="QCF_P290" w:cs="QCF_P290"/>
          <w:sz w:val="32"/>
          <w:szCs w:val="32"/>
          <w:rtl/>
          <w:lang w:eastAsia="en-US"/>
        </w:rPr>
        <w:t>ﭷ   ﭸ  ﭹ    ﭺ        ﭻ</w:t>
      </w:r>
      <w:r w:rsidR="00BF2E9A" w:rsidRPr="00127861">
        <w:rPr>
          <w:rFonts w:ascii="QCF_BSML" w:hAnsi="QCF_BSML" w:cs="QCF_BSML"/>
          <w:sz w:val="32"/>
          <w:szCs w:val="32"/>
          <w:rtl/>
          <w:lang w:eastAsia="en-US"/>
        </w:rPr>
        <w:t>ﭼ</w:t>
      </w:r>
      <w:r w:rsidR="00B72410">
        <w:rPr>
          <w:rFonts w:ascii="Traditional Arabic" w:hAnsi="Traditional Arabic" w:hint="cs"/>
          <w:rtl/>
          <w:lang w:eastAsia="en-US"/>
        </w:rPr>
        <w:t xml:space="preserve"> </w:t>
      </w:r>
      <w:r w:rsidR="006B6962">
        <w:rPr>
          <w:rFonts w:ascii="Traditional Arabic" w:hAnsi="Traditional Arabic" w:hint="cs"/>
          <w:rtl/>
          <w:lang w:eastAsia="en-US"/>
        </w:rPr>
        <w:t xml:space="preserve"> </w:t>
      </w:r>
      <w:r w:rsidRPr="00C61D93">
        <w:rPr>
          <w:rFonts w:ascii="Traditional Arabic" w:hAnsi="Traditional Arabic"/>
          <w:rtl/>
          <w:lang w:eastAsia="en-US"/>
        </w:rPr>
        <w:t xml:space="preserve">روى أَبو هريرة عن النبيّ </w:t>
      </w:r>
      <w:r w:rsidR="00681F9B">
        <w:rPr>
          <w:rFonts w:ascii="Traditional Arabic" w:hAnsi="Traditional Arabic"/>
          <w:lang w:eastAsia="en-US"/>
        </w:rPr>
        <w:sym w:font="AGA Arabesque" w:char="F072"/>
      </w:r>
      <w:r w:rsidRPr="00C61D93">
        <w:rPr>
          <w:rFonts w:ascii="Traditional Arabic" w:hAnsi="Traditional Arabic"/>
          <w:rtl/>
          <w:lang w:eastAsia="en-US"/>
        </w:rPr>
        <w:t xml:space="preserve">قال: «تشهده ملائكة </w:t>
      </w:r>
      <w:r w:rsidR="00681F9B">
        <w:rPr>
          <w:rFonts w:ascii="Traditional Arabic" w:hAnsi="Traditional Arabic"/>
          <w:rtl/>
          <w:lang w:eastAsia="en-US"/>
        </w:rPr>
        <w:t xml:space="preserve"> </w:t>
      </w:r>
      <w:r w:rsidR="006B6962">
        <w:rPr>
          <w:rFonts w:ascii="Traditional Arabic" w:hAnsi="Traditional Arabic"/>
          <w:rtl/>
          <w:lang w:eastAsia="en-US"/>
        </w:rPr>
        <w:t>الليل، وملائكة</w:t>
      </w:r>
      <w:r w:rsidR="006B6962">
        <w:rPr>
          <w:rFonts w:ascii="Traditional Arabic" w:hAnsi="Traditional Arabic" w:hint="cs"/>
          <w:rtl/>
          <w:lang w:eastAsia="en-US"/>
        </w:rPr>
        <w:t xml:space="preserve"> </w:t>
      </w:r>
      <w:r w:rsidRPr="00C61D93">
        <w:rPr>
          <w:rFonts w:ascii="Traditional Arabic" w:hAnsi="Traditional Arabic"/>
          <w:rtl/>
          <w:lang w:eastAsia="en-US"/>
        </w:rPr>
        <w:t>النهار»</w:t>
      </w:r>
      <w:r w:rsidR="00681F9B" w:rsidRPr="00681F9B">
        <w:rPr>
          <w:rStyle w:val="ae"/>
          <w:rtl/>
        </w:rPr>
        <w:t>(</w:t>
      </w:r>
      <w:r w:rsidR="00681F9B">
        <w:rPr>
          <w:rStyle w:val="ae"/>
          <w:rtl/>
        </w:rPr>
        <w:footnoteReference w:id="509"/>
      </w:r>
      <w:r w:rsidR="00681F9B" w:rsidRPr="00681F9B">
        <w:rPr>
          <w:rStyle w:val="ae"/>
          <w:rtl/>
        </w:rPr>
        <w:t>)</w:t>
      </w:r>
      <w:r w:rsidRPr="00C61D93">
        <w:rPr>
          <w:rFonts w:ascii="Traditional Arabic" w:hAnsi="Traditional Arabic"/>
          <w:rtl/>
          <w:lang w:eastAsia="en-US"/>
        </w:rPr>
        <w:t>.</w:t>
      </w:r>
      <w:r w:rsidR="002278FC">
        <w:rPr>
          <w:rFonts w:ascii="Traditional Arabic" w:hAnsi="Traditional Arabic" w:hint="cs"/>
          <w:rtl/>
          <w:lang w:eastAsia="en-US"/>
        </w:rPr>
        <w:t xml:space="preserve"> </w:t>
      </w:r>
      <w:r w:rsidRPr="00073203">
        <w:rPr>
          <w:rFonts w:ascii="Traditional Arabic" w:hAnsi="Traditional Arabic"/>
          <w:rtl/>
          <w:lang w:eastAsia="en-US"/>
        </w:rPr>
        <w:t xml:space="preserve">قوله تعالى: </w:t>
      </w:r>
      <w:r w:rsidR="00073203" w:rsidRPr="00127861">
        <w:rPr>
          <w:rFonts w:ascii="QCF_BSML" w:hAnsi="QCF_BSML" w:cs="QCF_BSML"/>
          <w:sz w:val="32"/>
          <w:szCs w:val="32"/>
          <w:rtl/>
          <w:lang w:eastAsia="en-US"/>
        </w:rPr>
        <w:t>ﭽ</w:t>
      </w:r>
      <w:r w:rsidR="00073203" w:rsidRPr="00127861">
        <w:rPr>
          <w:rFonts w:ascii="QCF_P290" w:hAnsi="QCF_P290" w:cs="QCF_P290"/>
          <w:sz w:val="32"/>
          <w:szCs w:val="32"/>
          <w:rtl/>
          <w:lang w:eastAsia="en-US"/>
        </w:rPr>
        <w:t>ﭽ  ﭾ  ﭿ  ﮀ</w:t>
      </w:r>
      <w:r w:rsidR="00BF2E9A" w:rsidRPr="00127861">
        <w:rPr>
          <w:rFonts w:ascii="QCF_BSML" w:hAnsi="QCF_BSML" w:cs="QCF_BSML"/>
          <w:sz w:val="32"/>
          <w:szCs w:val="32"/>
          <w:rtl/>
          <w:lang w:eastAsia="en-US"/>
        </w:rPr>
        <w:t>ﭼ</w:t>
      </w:r>
      <w:r w:rsidR="006B6962">
        <w:rPr>
          <w:rFonts w:ascii="QCF_BSML" w:hAnsi="QCF_BSML" w:cs="QCF_BSML" w:hint="cs"/>
          <w:sz w:val="32"/>
          <w:szCs w:val="32"/>
          <w:rtl/>
          <w:lang w:eastAsia="en-US"/>
        </w:rPr>
        <w:t xml:space="preserve"> </w:t>
      </w:r>
      <w:r w:rsidR="006B6962">
        <w:rPr>
          <w:rFonts w:ascii="QCF_P290" w:hAnsi="QCF_P290" w:cs="QCF_P290" w:hint="cs"/>
          <w:sz w:val="32"/>
          <w:szCs w:val="32"/>
          <w:rtl/>
          <w:lang w:eastAsia="en-US"/>
        </w:rPr>
        <w:t xml:space="preserve">  </w:t>
      </w:r>
      <w:r w:rsidR="00073203" w:rsidRPr="005208B3">
        <w:rPr>
          <w:rFonts w:ascii="QCF_P290" w:hAnsi="QCF_P290" w:cs="QCF_P290"/>
          <w:sz w:val="32"/>
          <w:szCs w:val="32"/>
          <w:rtl/>
          <w:lang w:eastAsia="en-US"/>
        </w:rPr>
        <w:t xml:space="preserve">   </w:t>
      </w:r>
      <w:r w:rsidR="00681F9B">
        <w:rPr>
          <w:rFonts w:ascii="Traditional Arabic" w:hAnsi="Traditional Arabic"/>
          <w:rtl/>
          <w:lang w:eastAsia="en-US"/>
        </w:rPr>
        <w:t>قال ابن عباس: فَصَلِّ</w:t>
      </w:r>
      <w:r w:rsidRPr="00073203">
        <w:rPr>
          <w:rFonts w:ascii="Traditional Arabic" w:hAnsi="Traditional Arabic"/>
          <w:rtl/>
          <w:lang w:eastAsia="en-US"/>
        </w:rPr>
        <w:t xml:space="preserve"> بالقرآن.</w:t>
      </w:r>
      <w:r w:rsidR="00371D89" w:rsidRPr="00371D89">
        <w:rPr>
          <w:rStyle w:val="ae"/>
          <w:rtl/>
        </w:rPr>
        <w:t>(</w:t>
      </w:r>
      <w:r w:rsidR="00371D89">
        <w:rPr>
          <w:rStyle w:val="ae"/>
          <w:rtl/>
        </w:rPr>
        <w:footnoteReference w:id="510"/>
      </w:r>
      <w:r w:rsidR="00371D89" w:rsidRPr="00371D89">
        <w:rPr>
          <w:rStyle w:val="ae"/>
          <w:rtl/>
        </w:rPr>
        <w:t>)</w:t>
      </w:r>
      <w:r w:rsidRPr="00073203">
        <w:rPr>
          <w:rFonts w:ascii="Traditional Arabic" w:hAnsi="Traditional Arabic"/>
          <w:rtl/>
          <w:lang w:eastAsia="en-US"/>
        </w:rPr>
        <w:t xml:space="preserve"> قال</w:t>
      </w:r>
      <w:r w:rsidR="002278FC">
        <w:rPr>
          <w:rFonts w:ascii="Traditional Arabic" w:hAnsi="Traditional Arabic" w:hint="cs"/>
          <w:rtl/>
          <w:lang w:eastAsia="en-US"/>
        </w:rPr>
        <w:t xml:space="preserve"> </w:t>
      </w:r>
      <w:r w:rsidRPr="00073203">
        <w:rPr>
          <w:rFonts w:ascii="Traditional Arabic" w:hAnsi="Traditional Arabic"/>
          <w:rtl/>
          <w:lang w:eastAsia="en-US"/>
        </w:rPr>
        <w:t>مجاهد، وعلقمة</w:t>
      </w:r>
      <w:r w:rsidR="00371D89" w:rsidRPr="00371D89">
        <w:rPr>
          <w:rStyle w:val="ae"/>
          <w:rtl/>
        </w:rPr>
        <w:t>(</w:t>
      </w:r>
      <w:r w:rsidR="00371D89">
        <w:rPr>
          <w:rStyle w:val="ae"/>
          <w:rtl/>
        </w:rPr>
        <w:footnoteReference w:id="511"/>
      </w:r>
      <w:r w:rsidR="00371D89" w:rsidRPr="00371D89">
        <w:rPr>
          <w:rStyle w:val="ae"/>
          <w:rtl/>
        </w:rPr>
        <w:t>)</w:t>
      </w:r>
      <w:r w:rsidRPr="00073203">
        <w:rPr>
          <w:rFonts w:ascii="Traditional Arabic" w:hAnsi="Traditional Arabic"/>
          <w:rtl/>
          <w:lang w:eastAsia="en-US"/>
        </w:rPr>
        <w:t>، والأسود</w:t>
      </w:r>
      <w:r w:rsidR="003D7A11" w:rsidRPr="003D7A11">
        <w:rPr>
          <w:rStyle w:val="ae"/>
          <w:rtl/>
        </w:rPr>
        <w:t>(</w:t>
      </w:r>
      <w:r w:rsidR="003D7A11">
        <w:rPr>
          <w:rStyle w:val="ae"/>
          <w:rtl/>
        </w:rPr>
        <w:footnoteReference w:id="512"/>
      </w:r>
      <w:r w:rsidR="003D7A11" w:rsidRPr="003D7A11">
        <w:rPr>
          <w:rStyle w:val="ae"/>
          <w:rtl/>
        </w:rPr>
        <w:t>)</w:t>
      </w:r>
      <w:r w:rsidRPr="00073203">
        <w:rPr>
          <w:rFonts w:ascii="Traditional Arabic" w:hAnsi="Traditional Arabic"/>
          <w:rtl/>
          <w:lang w:eastAsia="en-US"/>
        </w:rPr>
        <w:t>: التهجُّد بعد النوم</w:t>
      </w:r>
      <w:r w:rsidR="006807F0" w:rsidRPr="006807F0">
        <w:rPr>
          <w:rStyle w:val="ae"/>
          <w:rtl/>
        </w:rPr>
        <w:t>(</w:t>
      </w:r>
      <w:r w:rsidR="006807F0">
        <w:rPr>
          <w:rStyle w:val="ae"/>
          <w:rtl/>
        </w:rPr>
        <w:footnoteReference w:id="513"/>
      </w:r>
      <w:r w:rsidR="006807F0" w:rsidRPr="006807F0">
        <w:rPr>
          <w:rStyle w:val="ae"/>
          <w:rtl/>
        </w:rPr>
        <w:t>)</w:t>
      </w:r>
      <w:r w:rsidR="00B72410">
        <w:rPr>
          <w:rFonts w:hint="cs"/>
          <w:rtl/>
        </w:rPr>
        <w:t>.</w:t>
      </w:r>
      <w:r w:rsidRPr="00073203">
        <w:rPr>
          <w:rFonts w:ascii="Traditional Arabic" w:hAnsi="Traditional Arabic"/>
          <w:rtl/>
          <w:lang w:eastAsia="en-US"/>
        </w:rPr>
        <w:t xml:space="preserve"> قال ابن قتيبة: تهجَّدت:</w:t>
      </w:r>
      <w:r w:rsidR="00156316">
        <w:rPr>
          <w:rFonts w:ascii="Traditional Arabic" w:hAnsi="Traditional Arabic" w:hint="cs"/>
          <w:rtl/>
          <w:lang w:eastAsia="en-US"/>
        </w:rPr>
        <w:t xml:space="preserve"> </w:t>
      </w:r>
      <w:r w:rsidR="00156316">
        <w:rPr>
          <w:rFonts w:ascii="QCF_BSML" w:hAnsi="QCF_BSML" w:cs="QCF_BSML" w:hint="cs"/>
          <w:color w:val="0D0D0D" w:themeColor="text1" w:themeTint="F2"/>
          <w:sz w:val="32"/>
          <w:szCs w:val="32"/>
          <w:rtl/>
          <w:lang w:eastAsia="en-US"/>
        </w:rPr>
        <w:t xml:space="preserve"> </w:t>
      </w:r>
      <w:r w:rsidR="00156316" w:rsidRPr="001277AD">
        <w:rPr>
          <w:rFonts w:hint="cs"/>
          <w:color w:val="0D0D0D" w:themeColor="text1" w:themeTint="F2"/>
          <w:sz w:val="32"/>
          <w:szCs w:val="32"/>
          <w:rtl/>
        </w:rPr>
        <w:t>[</w:t>
      </w:r>
      <w:r w:rsidR="00156316">
        <w:rPr>
          <w:rFonts w:hint="cs"/>
          <w:color w:val="0D0D0D" w:themeColor="text1" w:themeTint="F2"/>
          <w:sz w:val="32"/>
          <w:szCs w:val="32"/>
          <w:rtl/>
        </w:rPr>
        <w:t>84</w:t>
      </w:r>
      <w:r w:rsidR="00156316" w:rsidRPr="001277AD">
        <w:rPr>
          <w:rFonts w:hint="cs"/>
          <w:color w:val="0D0D0D" w:themeColor="text1" w:themeTint="F2"/>
          <w:sz w:val="32"/>
          <w:szCs w:val="32"/>
          <w:rtl/>
        </w:rPr>
        <w:t>]</w:t>
      </w:r>
      <w:r w:rsidR="00156316" w:rsidRPr="00A32F2C">
        <w:rPr>
          <w:rFonts w:ascii="Traditional Arabic" w:hAnsi="Traditional Arabic"/>
          <w:rtl/>
          <w:lang w:eastAsia="en-US"/>
        </w:rPr>
        <w:t xml:space="preserve"> </w:t>
      </w:r>
      <w:r w:rsidRPr="00073203">
        <w:rPr>
          <w:rFonts w:ascii="Traditional Arabic" w:hAnsi="Traditional Arabic"/>
          <w:rtl/>
          <w:lang w:eastAsia="en-US"/>
        </w:rPr>
        <w:t>سهرت</w:t>
      </w:r>
      <w:r w:rsidR="00127861">
        <w:rPr>
          <w:rFonts w:ascii="Traditional Arabic" w:hAnsi="Traditional Arabic" w:hint="cs"/>
          <w:rtl/>
          <w:lang w:eastAsia="en-US"/>
        </w:rPr>
        <w:t>ُ</w:t>
      </w:r>
      <w:r w:rsidRPr="00073203">
        <w:rPr>
          <w:rFonts w:ascii="Traditional Arabic" w:hAnsi="Traditional Arabic"/>
          <w:rtl/>
          <w:lang w:eastAsia="en-US"/>
        </w:rPr>
        <w:t>، وهجدت</w:t>
      </w:r>
      <w:r w:rsidR="00127861">
        <w:rPr>
          <w:rFonts w:ascii="Traditional Arabic" w:hAnsi="Traditional Arabic" w:hint="cs"/>
          <w:rtl/>
          <w:lang w:eastAsia="en-US"/>
        </w:rPr>
        <w:t>ُ</w:t>
      </w:r>
      <w:r w:rsidRPr="00073203">
        <w:rPr>
          <w:rFonts w:ascii="Traditional Arabic" w:hAnsi="Traditional Arabic"/>
          <w:rtl/>
          <w:lang w:eastAsia="en-US"/>
        </w:rPr>
        <w:t>: نمت</w:t>
      </w:r>
      <w:r w:rsidR="00127861">
        <w:rPr>
          <w:rFonts w:ascii="Traditional Arabic" w:hAnsi="Traditional Arabic" w:hint="cs"/>
          <w:rtl/>
          <w:lang w:eastAsia="en-US"/>
        </w:rPr>
        <w:t>ُ</w:t>
      </w:r>
      <w:r w:rsidR="00FE26C4" w:rsidRPr="00FE26C4">
        <w:rPr>
          <w:rStyle w:val="ae"/>
          <w:rtl/>
        </w:rPr>
        <w:t>(</w:t>
      </w:r>
      <w:r w:rsidR="00FE26C4">
        <w:rPr>
          <w:rStyle w:val="ae"/>
          <w:rtl/>
        </w:rPr>
        <w:footnoteReference w:id="514"/>
      </w:r>
      <w:r w:rsidR="00FE26C4" w:rsidRPr="00FE26C4">
        <w:rPr>
          <w:rStyle w:val="ae"/>
          <w:rtl/>
        </w:rPr>
        <w:t>)</w:t>
      </w:r>
      <w:r w:rsidR="00D71211">
        <w:rPr>
          <w:rFonts w:ascii="Traditional Arabic" w:hAnsi="Traditional Arabic" w:hint="cs"/>
          <w:rtl/>
          <w:lang w:eastAsia="en-US"/>
        </w:rPr>
        <w:t>.</w:t>
      </w:r>
      <w:r w:rsidR="006B4A53" w:rsidRPr="00073203">
        <w:rPr>
          <w:rFonts w:ascii="Traditional Arabic" w:hAnsi="Traditional Arabic"/>
          <w:rtl/>
          <w:lang w:eastAsia="en-US"/>
        </w:rPr>
        <w:t xml:space="preserve"> </w:t>
      </w:r>
      <w:r w:rsidRPr="00073203">
        <w:rPr>
          <w:rFonts w:ascii="Traditional Arabic" w:hAnsi="Traditional Arabic"/>
          <w:rtl/>
          <w:lang w:eastAsia="en-US"/>
        </w:rPr>
        <w:t>وقال ابن الأنباري:</w:t>
      </w:r>
      <w:r w:rsidR="003D7A11">
        <w:rPr>
          <w:rFonts w:ascii="Traditional Arabic" w:hAnsi="Traditional Arabic" w:hint="cs"/>
          <w:rtl/>
          <w:lang w:eastAsia="en-US"/>
        </w:rPr>
        <w:t xml:space="preserve"> </w:t>
      </w:r>
      <w:r w:rsidRPr="00073203">
        <w:rPr>
          <w:rFonts w:ascii="Traditional Arabic" w:hAnsi="Traditional Arabic"/>
          <w:rtl/>
          <w:lang w:eastAsia="en-US"/>
        </w:rPr>
        <w:t xml:space="preserve">التّهجّد ها هنا بمعنى: التيقُّظ </w:t>
      </w:r>
      <w:r w:rsidRPr="00073203">
        <w:rPr>
          <w:rFonts w:ascii="Traditional Arabic" w:hAnsi="Traditional Arabic"/>
          <w:rtl/>
          <w:lang w:eastAsia="en-US"/>
        </w:rPr>
        <w:lastRenderedPageBreak/>
        <w:t>والسَّهَر، واللغويون يقولون: هو من حروف الأضداد يقال للنائم: هاجِد ومتهجِّد، وكذلك للساهر</w:t>
      </w:r>
      <w:r w:rsidR="00060542" w:rsidRPr="00060542">
        <w:rPr>
          <w:rStyle w:val="ae"/>
          <w:rtl/>
        </w:rPr>
        <w:t>(</w:t>
      </w:r>
      <w:r w:rsidR="00060542">
        <w:rPr>
          <w:rStyle w:val="ae"/>
          <w:rtl/>
        </w:rPr>
        <w:footnoteReference w:id="515"/>
      </w:r>
      <w:r w:rsidR="00060542" w:rsidRPr="00060542">
        <w:rPr>
          <w:rStyle w:val="ae"/>
          <w:rtl/>
        </w:rPr>
        <w:t>)</w:t>
      </w:r>
      <w:r w:rsidRPr="00073203">
        <w:rPr>
          <w:rFonts w:ascii="Traditional Arabic" w:hAnsi="Traditional Arabic"/>
          <w:rtl/>
          <w:lang w:eastAsia="en-US"/>
        </w:rPr>
        <w:t>، قال النابغة</w:t>
      </w:r>
      <w:r w:rsidR="00060542" w:rsidRPr="00060542">
        <w:rPr>
          <w:rStyle w:val="ae"/>
          <w:rtl/>
        </w:rPr>
        <w:t>(</w:t>
      </w:r>
      <w:r w:rsidR="00060542">
        <w:rPr>
          <w:rStyle w:val="ae"/>
          <w:rtl/>
        </w:rPr>
        <w:footnoteReference w:id="516"/>
      </w:r>
      <w:r w:rsidR="00060542" w:rsidRPr="00060542">
        <w:rPr>
          <w:rStyle w:val="ae"/>
          <w:rtl/>
        </w:rPr>
        <w:t>)</w:t>
      </w:r>
      <w:r w:rsidRPr="00073203">
        <w:rPr>
          <w:rFonts w:ascii="Traditional Arabic" w:hAnsi="Traditional Arabic"/>
          <w:rtl/>
          <w:lang w:eastAsia="en-US"/>
        </w:rPr>
        <w:t>:</w:t>
      </w:r>
    </w:p>
    <w:p w:rsidR="0053691A" w:rsidRDefault="00107397" w:rsidP="005A3EC2">
      <w:pPr>
        <w:ind w:firstLine="0"/>
        <w:rPr>
          <w:rtl/>
        </w:rPr>
      </w:pPr>
      <w:r>
        <w:rPr>
          <w:rFonts w:hint="cs"/>
          <w:rtl/>
        </w:rPr>
        <w:t xml:space="preserve">                 </w:t>
      </w:r>
      <w:r w:rsidR="009C0223">
        <w:rPr>
          <w:rFonts w:hint="cs"/>
          <w:rtl/>
        </w:rPr>
        <w:t xml:space="preserve">ولو أنها عرضت لا </w:t>
      </w:r>
      <w:r w:rsidR="00397E95">
        <w:rPr>
          <w:rFonts w:hint="cs"/>
          <w:rtl/>
        </w:rPr>
        <w:t>ش</w:t>
      </w:r>
      <w:r w:rsidR="009C0223">
        <w:rPr>
          <w:rFonts w:hint="cs"/>
          <w:rtl/>
        </w:rPr>
        <w:t>م</w:t>
      </w:r>
      <w:r w:rsidR="00397E95">
        <w:rPr>
          <w:rFonts w:hint="cs"/>
          <w:rtl/>
        </w:rPr>
        <w:t>ط راهب</w:t>
      </w:r>
      <w:r w:rsidR="009C0223">
        <w:rPr>
          <w:rFonts w:hint="cs"/>
          <w:rtl/>
        </w:rPr>
        <w:t>ٍ</w:t>
      </w:r>
      <w:r w:rsidR="00397E95">
        <w:rPr>
          <w:rFonts w:hint="cs"/>
          <w:rtl/>
        </w:rPr>
        <w:t xml:space="preserve"> ... عبد الإله ص</w:t>
      </w:r>
      <w:r w:rsidR="00127861">
        <w:rPr>
          <w:rFonts w:hint="cs"/>
          <w:rtl/>
        </w:rPr>
        <w:t>َ</w:t>
      </w:r>
      <w:r w:rsidR="00397E95">
        <w:rPr>
          <w:rFonts w:hint="cs"/>
          <w:rtl/>
        </w:rPr>
        <w:t>رورة متهجد</w:t>
      </w:r>
    </w:p>
    <w:p w:rsidR="002E6E7F" w:rsidRPr="002E6E7F" w:rsidRDefault="00107397" w:rsidP="0045220C">
      <w:pPr>
        <w:ind w:firstLine="0"/>
        <w:rPr>
          <w:rtl/>
        </w:rPr>
      </w:pPr>
      <w:r>
        <w:rPr>
          <w:rFonts w:hint="cs"/>
          <w:rtl/>
        </w:rPr>
        <w:t xml:space="preserve">                 </w:t>
      </w:r>
      <w:r w:rsidR="002E6E7F" w:rsidRPr="002E6E7F">
        <w:rPr>
          <w:rtl/>
        </w:rPr>
        <w:t xml:space="preserve">لَرَنَا لِبَهْجَتِهَا وَحُسْنِ حَدِيْثِهَا ... </w:t>
      </w:r>
      <w:r w:rsidR="006B6962">
        <w:rPr>
          <w:rFonts w:hint="cs"/>
          <w:rtl/>
        </w:rPr>
        <w:t>[</w:t>
      </w:r>
      <w:r w:rsidR="002E6E7F" w:rsidRPr="002E6E7F">
        <w:rPr>
          <w:rtl/>
        </w:rPr>
        <w:t>وَلَخَالَهُ</w:t>
      </w:r>
      <w:r w:rsidR="006B6962">
        <w:rPr>
          <w:rFonts w:hint="cs"/>
          <w:rtl/>
        </w:rPr>
        <w:t>]</w:t>
      </w:r>
      <w:r w:rsidR="00397E95" w:rsidRPr="00397E95">
        <w:rPr>
          <w:rStyle w:val="ae"/>
          <w:rtl/>
        </w:rPr>
        <w:t>(</w:t>
      </w:r>
      <w:r w:rsidR="00397E95">
        <w:rPr>
          <w:rStyle w:val="ae"/>
          <w:rtl/>
        </w:rPr>
        <w:footnoteReference w:id="517"/>
      </w:r>
      <w:r w:rsidR="00397E95" w:rsidRPr="00397E95">
        <w:rPr>
          <w:rStyle w:val="ae"/>
          <w:rtl/>
        </w:rPr>
        <w:t>)</w:t>
      </w:r>
      <w:r w:rsidR="002E6E7F" w:rsidRPr="002E6E7F">
        <w:rPr>
          <w:rtl/>
        </w:rPr>
        <w:t xml:space="preserve"> رَشَداً وَإِنْ لَمْ يَرْشُدِ</w:t>
      </w:r>
      <w:r w:rsidR="002E6E7F" w:rsidRPr="002E6E7F">
        <w:rPr>
          <w:rStyle w:val="ae"/>
          <w:rtl/>
        </w:rPr>
        <w:t>(</w:t>
      </w:r>
      <w:r w:rsidR="002E6E7F">
        <w:rPr>
          <w:rStyle w:val="ae"/>
          <w:rtl/>
        </w:rPr>
        <w:footnoteReference w:id="518"/>
      </w:r>
      <w:r w:rsidR="002E6E7F" w:rsidRPr="002E6E7F">
        <w:rPr>
          <w:rStyle w:val="ae"/>
          <w:rtl/>
        </w:rPr>
        <w:t>)</w:t>
      </w:r>
    </w:p>
    <w:p w:rsidR="002E6E7F" w:rsidRPr="002E6E7F" w:rsidRDefault="002E6E7F" w:rsidP="00397E95">
      <w:pPr>
        <w:ind w:firstLine="0"/>
        <w:rPr>
          <w:rtl/>
        </w:rPr>
      </w:pPr>
      <w:r w:rsidRPr="002E6E7F">
        <w:rPr>
          <w:rtl/>
        </w:rPr>
        <w:t>يعني بالمتهجد: الساهر، وقال لبيد</w:t>
      </w:r>
      <w:r w:rsidRPr="002E6E7F">
        <w:rPr>
          <w:rStyle w:val="ae"/>
          <w:rtl/>
        </w:rPr>
        <w:t>(</w:t>
      </w:r>
      <w:r>
        <w:rPr>
          <w:rStyle w:val="ae"/>
          <w:rtl/>
        </w:rPr>
        <w:footnoteReference w:id="519"/>
      </w:r>
      <w:r w:rsidRPr="002E6E7F">
        <w:rPr>
          <w:rStyle w:val="ae"/>
          <w:rtl/>
        </w:rPr>
        <w:t>)</w:t>
      </w:r>
      <w:r w:rsidRPr="002E6E7F">
        <w:rPr>
          <w:rtl/>
        </w:rPr>
        <w:t>:</w:t>
      </w:r>
    </w:p>
    <w:p w:rsidR="002E6E7F" w:rsidRPr="002E6E7F" w:rsidRDefault="00107397" w:rsidP="006B6962">
      <w:pPr>
        <w:ind w:firstLine="0"/>
        <w:rPr>
          <w:rtl/>
        </w:rPr>
      </w:pPr>
      <w:r>
        <w:rPr>
          <w:rFonts w:hint="cs"/>
          <w:rtl/>
        </w:rPr>
        <w:t xml:space="preserve">                 </w:t>
      </w:r>
      <w:r w:rsidR="009C0223">
        <w:rPr>
          <w:rtl/>
        </w:rPr>
        <w:t>قَال هَج</w:t>
      </w:r>
      <w:r w:rsidR="009C0223">
        <w:rPr>
          <w:rFonts w:hint="cs"/>
          <w:rtl/>
        </w:rPr>
        <w:t>ِّ</w:t>
      </w:r>
      <w:r w:rsidR="002E6E7F">
        <w:rPr>
          <w:rtl/>
        </w:rPr>
        <w:t>دْنَا فقد طال السّ</w:t>
      </w:r>
      <w:r w:rsidR="00DA4586">
        <w:rPr>
          <w:rFonts w:hint="cs"/>
          <w:rtl/>
        </w:rPr>
        <w:t>ُ</w:t>
      </w:r>
      <w:r w:rsidR="002E6E7F">
        <w:rPr>
          <w:rtl/>
        </w:rPr>
        <w:t>ر</w:t>
      </w:r>
      <w:r w:rsidR="00DA4586">
        <w:rPr>
          <w:rFonts w:hint="cs"/>
          <w:rtl/>
        </w:rPr>
        <w:t>َ</w:t>
      </w:r>
      <w:r w:rsidR="002E6E7F">
        <w:rPr>
          <w:rtl/>
        </w:rPr>
        <w:t>ى</w:t>
      </w:r>
      <w:r w:rsidR="0045220C" w:rsidRPr="0045220C">
        <w:rPr>
          <w:rStyle w:val="ae"/>
          <w:rtl/>
        </w:rPr>
        <w:t>(</w:t>
      </w:r>
      <w:r w:rsidR="0045220C">
        <w:rPr>
          <w:rStyle w:val="ae"/>
          <w:rtl/>
        </w:rPr>
        <w:footnoteReference w:id="520"/>
      </w:r>
      <w:r w:rsidR="0045220C" w:rsidRPr="0045220C">
        <w:rPr>
          <w:rStyle w:val="ae"/>
          <w:rtl/>
        </w:rPr>
        <w:t>)</w:t>
      </w:r>
    </w:p>
    <w:p w:rsidR="00D71211" w:rsidRDefault="002E6E7F" w:rsidP="00391E89">
      <w:pPr>
        <w:ind w:firstLine="0"/>
        <w:rPr>
          <w:rtl/>
        </w:rPr>
      </w:pPr>
      <w:r w:rsidRPr="002E6E7F">
        <w:rPr>
          <w:rtl/>
        </w:rPr>
        <w:t>أي: نَوِّمْنا. وقال الأزهري: المتهجِّد: القائم إِلى الصلاة من النَّوم: وقيل له: متهجد، لإِلقائه الهُجُود عن نفسه، كما يقال: تَحَرَّج وتأثَّم.</w:t>
      </w:r>
      <w:r w:rsidR="00DA4586" w:rsidRPr="00DA4586">
        <w:rPr>
          <w:rStyle w:val="ae"/>
          <w:rtl/>
        </w:rPr>
        <w:t>(</w:t>
      </w:r>
      <w:r w:rsidR="00DA4586">
        <w:rPr>
          <w:rStyle w:val="ae"/>
          <w:rtl/>
        </w:rPr>
        <w:footnoteReference w:id="521"/>
      </w:r>
      <w:r w:rsidR="00DA4586" w:rsidRPr="00DA4586">
        <w:rPr>
          <w:rStyle w:val="ae"/>
          <w:rtl/>
        </w:rPr>
        <w:t>)</w:t>
      </w:r>
      <w:r w:rsidR="0045220C">
        <w:rPr>
          <w:rFonts w:hint="cs"/>
          <w:rtl/>
        </w:rPr>
        <w:t xml:space="preserve"> </w:t>
      </w:r>
      <w:r w:rsidRPr="002E6E7F">
        <w:rPr>
          <w:rtl/>
        </w:rPr>
        <w:t xml:space="preserve">قوله تعالى: </w:t>
      </w:r>
      <w:r w:rsidR="00DA4586" w:rsidRPr="00127861">
        <w:rPr>
          <w:rFonts w:ascii="QCF_BSML" w:hAnsi="QCF_BSML" w:cs="QCF_BSML"/>
          <w:sz w:val="32"/>
          <w:szCs w:val="32"/>
          <w:rtl/>
          <w:lang w:eastAsia="en-US"/>
        </w:rPr>
        <w:t>ﭽ</w:t>
      </w:r>
      <w:r w:rsidR="00DA4586" w:rsidRPr="00127861">
        <w:rPr>
          <w:rFonts w:ascii="QCF_P290" w:hAnsi="QCF_P290" w:cs="QCF_P290"/>
          <w:sz w:val="32"/>
          <w:szCs w:val="32"/>
          <w:rtl/>
          <w:lang w:eastAsia="en-US"/>
        </w:rPr>
        <w:t>ﮁ  ﮂ</w:t>
      </w:r>
      <w:r w:rsidR="00DA4586" w:rsidRPr="00127861">
        <w:rPr>
          <w:rFonts w:ascii="QCF_BSML" w:hAnsi="QCF_BSML" w:cs="QCF_BSML"/>
          <w:sz w:val="32"/>
          <w:szCs w:val="32"/>
          <w:rtl/>
          <w:lang w:eastAsia="en-US"/>
        </w:rPr>
        <w:t xml:space="preserve"> ﭼ</w:t>
      </w:r>
      <w:r w:rsidR="00DA4586" w:rsidRPr="00127861">
        <w:rPr>
          <w:rtl/>
        </w:rPr>
        <w:t xml:space="preserve"> </w:t>
      </w:r>
      <w:r w:rsidRPr="002E6E7F">
        <w:rPr>
          <w:rtl/>
        </w:rPr>
        <w:t>النافلة في اللغة: ما كان زائداً على الأصل.</w:t>
      </w:r>
      <w:r w:rsidR="00DA4586" w:rsidRPr="00DA4586">
        <w:rPr>
          <w:rStyle w:val="ae"/>
          <w:rtl/>
        </w:rPr>
        <w:t>(</w:t>
      </w:r>
      <w:r w:rsidR="00DA4586">
        <w:rPr>
          <w:rStyle w:val="ae"/>
          <w:rtl/>
        </w:rPr>
        <w:footnoteReference w:id="522"/>
      </w:r>
      <w:r w:rsidR="00DA4586" w:rsidRPr="00DA4586">
        <w:rPr>
          <w:rStyle w:val="ae"/>
          <w:rtl/>
        </w:rPr>
        <w:t>)</w:t>
      </w:r>
      <w:r w:rsidRPr="002E6E7F">
        <w:rPr>
          <w:rtl/>
        </w:rPr>
        <w:t>وفي معنى هذه الزيادة في حقه قولان: أحدهما: أنها زائدة فيما فُرِض عليه، فيكون المعنى:</w:t>
      </w:r>
      <w:r w:rsidR="00397E95">
        <w:rPr>
          <w:rFonts w:hint="cs"/>
          <w:rtl/>
        </w:rPr>
        <w:t xml:space="preserve"> </w:t>
      </w:r>
      <w:r w:rsidRPr="002E6E7F">
        <w:rPr>
          <w:rtl/>
        </w:rPr>
        <w:t>فريضة عليك، وكان قد فرض عليه قيام الليل، هذا قول ابن عباس</w:t>
      </w:r>
      <w:r w:rsidR="000966B5" w:rsidRPr="000966B5">
        <w:rPr>
          <w:rStyle w:val="ae"/>
          <w:rtl/>
        </w:rPr>
        <w:t>(</w:t>
      </w:r>
      <w:r w:rsidR="000966B5">
        <w:rPr>
          <w:rStyle w:val="ae"/>
          <w:rtl/>
        </w:rPr>
        <w:footnoteReference w:id="523"/>
      </w:r>
      <w:r w:rsidR="000966B5" w:rsidRPr="000966B5">
        <w:rPr>
          <w:rStyle w:val="ae"/>
          <w:rtl/>
        </w:rPr>
        <w:t>)</w:t>
      </w:r>
      <w:r w:rsidRPr="002E6E7F">
        <w:rPr>
          <w:rtl/>
        </w:rPr>
        <w:t xml:space="preserve">، وسعيد بن جبير. والثاني: أنها زائدة على الفرض، وليست فرضاً فالمعنى: تطوعاً وفضيلة. </w:t>
      </w:r>
    </w:p>
    <w:p w:rsidR="00D54AC4" w:rsidRDefault="00D54AC4" w:rsidP="00156316">
      <w:pPr>
        <w:ind w:firstLine="0"/>
        <w:rPr>
          <w:rtl/>
        </w:rPr>
      </w:pPr>
    </w:p>
    <w:p w:rsidR="00D54AC4" w:rsidRDefault="002E6E7F" w:rsidP="00D54AC4">
      <w:pPr>
        <w:ind w:firstLine="0"/>
        <w:rPr>
          <w:rtl/>
        </w:rPr>
      </w:pPr>
      <w:r w:rsidRPr="002E6E7F">
        <w:rPr>
          <w:rtl/>
        </w:rPr>
        <w:lastRenderedPageBreak/>
        <w:t>قال أبو أُمامة</w:t>
      </w:r>
      <w:r w:rsidR="00A6628C" w:rsidRPr="00A6628C">
        <w:rPr>
          <w:rStyle w:val="ae"/>
          <w:rtl/>
        </w:rPr>
        <w:t>(</w:t>
      </w:r>
      <w:r w:rsidR="00A6628C" w:rsidRPr="008B3DF8">
        <w:rPr>
          <w:rStyle w:val="ae"/>
          <w:rFonts w:ascii="Traditional Arabic" w:hAnsi="Traditional Arabic"/>
          <w:rtl/>
        </w:rPr>
        <w:footnoteReference w:id="524"/>
      </w:r>
      <w:r w:rsidR="00A6628C" w:rsidRPr="008B3DF8">
        <w:rPr>
          <w:rStyle w:val="ae"/>
          <w:rFonts w:ascii="Traditional Arabic" w:hAnsi="Traditional Arabic"/>
          <w:rtl/>
        </w:rPr>
        <w:t>)</w:t>
      </w:r>
      <w:r w:rsidRPr="002E6E7F">
        <w:rPr>
          <w:rtl/>
        </w:rPr>
        <w:t xml:space="preserve">، والحسن، ومجاهد: إنما النّافلة للنبيّ </w:t>
      </w:r>
      <w:r w:rsidR="00D54AC4">
        <w:sym w:font="AGA Arabesque" w:char="F072"/>
      </w:r>
      <w:r w:rsidR="00D54AC4">
        <w:rPr>
          <w:rFonts w:hint="cs"/>
          <w:rtl/>
        </w:rPr>
        <w:t xml:space="preserve"> </w:t>
      </w:r>
      <w:r w:rsidRPr="002E6E7F">
        <w:rPr>
          <w:rtl/>
        </w:rPr>
        <w:t>خاصة</w:t>
      </w:r>
      <w:r w:rsidR="00BB37EC" w:rsidRPr="00BB37EC">
        <w:rPr>
          <w:rStyle w:val="ae"/>
          <w:rtl/>
        </w:rPr>
        <w:t>(</w:t>
      </w:r>
      <w:r w:rsidR="00BB37EC">
        <w:rPr>
          <w:rStyle w:val="ae"/>
          <w:rtl/>
        </w:rPr>
        <w:footnoteReference w:id="525"/>
      </w:r>
      <w:r w:rsidR="00BB37EC" w:rsidRPr="00BB37EC">
        <w:rPr>
          <w:rStyle w:val="ae"/>
          <w:rtl/>
        </w:rPr>
        <w:t>)</w:t>
      </w:r>
      <w:r w:rsidRPr="002E6E7F">
        <w:rPr>
          <w:rtl/>
        </w:rPr>
        <w:t>. قال مجاهد: وذلك أنه قد غُفِرَ له ما تقدم من ذنبه وما تأخر، فما زاد على فرضه فهو نافلة له وفضيلة، وهو لغيره كفارة</w:t>
      </w:r>
      <w:r w:rsidR="00AB4D27" w:rsidRPr="00AB4D27">
        <w:rPr>
          <w:rStyle w:val="ae"/>
          <w:rtl/>
        </w:rPr>
        <w:t>(</w:t>
      </w:r>
      <w:r w:rsidR="00AB4D27">
        <w:rPr>
          <w:rStyle w:val="ae"/>
          <w:rtl/>
        </w:rPr>
        <w:footnoteReference w:id="526"/>
      </w:r>
      <w:r w:rsidR="00AB4D27" w:rsidRPr="00AB4D27">
        <w:rPr>
          <w:rStyle w:val="ae"/>
          <w:rtl/>
        </w:rPr>
        <w:t>)</w:t>
      </w:r>
      <w:r w:rsidRPr="002E6E7F">
        <w:rPr>
          <w:rtl/>
        </w:rPr>
        <w:t>. وذكر بعض أهل العلم: أن صلاة الليل كانت فرضاً عليه في الابتداء، ثم رخِّص له في تركها، فصارت نافلة</w:t>
      </w:r>
      <w:r w:rsidR="00AB4D27" w:rsidRPr="00AB4D27">
        <w:rPr>
          <w:rStyle w:val="ae"/>
          <w:rtl/>
        </w:rPr>
        <w:t>(</w:t>
      </w:r>
      <w:r w:rsidR="00AB4D27">
        <w:rPr>
          <w:rStyle w:val="ae"/>
          <w:rtl/>
        </w:rPr>
        <w:footnoteReference w:id="527"/>
      </w:r>
      <w:r w:rsidR="00AB4D27" w:rsidRPr="00AB4D27">
        <w:rPr>
          <w:rStyle w:val="ae"/>
          <w:rtl/>
        </w:rPr>
        <w:t>)</w:t>
      </w:r>
      <w:r w:rsidRPr="002E6E7F">
        <w:rPr>
          <w:rtl/>
        </w:rPr>
        <w:t>. وذكر ابن الأنباري في هذا قولين: أحدهما:</w:t>
      </w:r>
      <w:r w:rsidR="00AB4D27">
        <w:rPr>
          <w:rFonts w:hint="cs"/>
          <w:rtl/>
        </w:rPr>
        <w:t xml:space="preserve"> </w:t>
      </w:r>
      <w:r w:rsidRPr="002E6E7F">
        <w:rPr>
          <w:rtl/>
        </w:rPr>
        <w:t xml:space="preserve">يقارب ما قاله مجاهد، فقال: كان رسول الله </w:t>
      </w:r>
      <w:r w:rsidR="00AB4D27">
        <w:sym w:font="AGA Arabesque" w:char="F072"/>
      </w:r>
      <w:r w:rsidR="00AB4D27">
        <w:rPr>
          <w:rFonts w:hint="cs"/>
          <w:rtl/>
        </w:rPr>
        <w:t xml:space="preserve"> </w:t>
      </w:r>
      <w:r w:rsidRPr="002E6E7F">
        <w:rPr>
          <w:rtl/>
        </w:rPr>
        <w:t xml:space="preserve">إِذا تنفَّل لا يقدر له أن </w:t>
      </w:r>
      <w:r w:rsidRPr="004C1963">
        <w:rPr>
          <w:rtl/>
        </w:rPr>
        <w:t xml:space="preserve">يكون بذلك ماحياً للذنوب، لأنه قد غُفر له </w:t>
      </w:r>
      <w:r w:rsidR="00AB4D27">
        <w:rPr>
          <w:rtl/>
        </w:rPr>
        <w:t xml:space="preserve"> </w:t>
      </w:r>
      <w:r w:rsidRPr="004C1963">
        <w:rPr>
          <w:rtl/>
        </w:rPr>
        <w:t xml:space="preserve">ما تقدم من ذَنْبه وما تأخَّر، وغيره إِذا تنفَّل كان راجياً، ومقدّراً محو السيئات عنه بالتّنفّل، فالنّافلة لرسول الله </w:t>
      </w:r>
      <w:r w:rsidR="00AB4D27">
        <w:sym w:font="AGA Arabesque" w:char="F072"/>
      </w:r>
      <w:r w:rsidR="00AB4D27">
        <w:rPr>
          <w:rFonts w:hint="cs"/>
          <w:rtl/>
        </w:rPr>
        <w:t xml:space="preserve"> </w:t>
      </w:r>
      <w:r w:rsidRPr="004C1963">
        <w:rPr>
          <w:rtl/>
        </w:rPr>
        <w:t>زيادة على الحاجة، وهي لغيره مفتقَر إِليها، ومأمول بها دفع المكروه</w:t>
      </w:r>
      <w:r w:rsidR="00337CD0" w:rsidRPr="00337CD0">
        <w:rPr>
          <w:rStyle w:val="ae"/>
          <w:rtl/>
        </w:rPr>
        <w:t>(</w:t>
      </w:r>
      <w:r w:rsidR="00337CD0">
        <w:rPr>
          <w:rStyle w:val="ae"/>
          <w:rtl/>
        </w:rPr>
        <w:footnoteReference w:id="528"/>
      </w:r>
      <w:r w:rsidR="00337CD0" w:rsidRPr="00337CD0">
        <w:rPr>
          <w:rStyle w:val="ae"/>
          <w:rtl/>
        </w:rPr>
        <w:t>)</w:t>
      </w:r>
      <w:r w:rsidRPr="004C1963">
        <w:rPr>
          <w:rtl/>
        </w:rPr>
        <w:t xml:space="preserve">. </w:t>
      </w:r>
      <w:r w:rsidR="00AB4D27">
        <w:rPr>
          <w:rtl/>
        </w:rPr>
        <w:t xml:space="preserve"> </w:t>
      </w:r>
      <w:r w:rsidRPr="004C1963">
        <w:rPr>
          <w:rtl/>
        </w:rPr>
        <w:t>والثاني:</w:t>
      </w:r>
      <w:r w:rsidR="00813936">
        <w:rPr>
          <w:rFonts w:hint="cs"/>
          <w:rtl/>
        </w:rPr>
        <w:t xml:space="preserve"> </w:t>
      </w:r>
      <w:r w:rsidRPr="004C1963">
        <w:rPr>
          <w:rtl/>
        </w:rPr>
        <w:t xml:space="preserve">أن النافلة للنبيّ </w:t>
      </w:r>
      <w:r w:rsidR="00AB4D27">
        <w:sym w:font="AGA Arabesque" w:char="F072"/>
      </w:r>
      <w:r w:rsidR="00AB4D27">
        <w:rPr>
          <w:rFonts w:hint="cs"/>
          <w:rtl/>
        </w:rPr>
        <w:t xml:space="preserve"> </w:t>
      </w:r>
      <w:r w:rsidRPr="004C1963">
        <w:rPr>
          <w:rtl/>
        </w:rPr>
        <w:t xml:space="preserve">وأمته، والمعنى: ومن الليل فتهجدوا به نافله لكم، فخوطب النبيّ </w:t>
      </w:r>
      <w:r w:rsidR="00AB4D27">
        <w:rPr>
          <w:rtl/>
        </w:rPr>
        <w:t xml:space="preserve"> </w:t>
      </w:r>
      <w:r w:rsidR="00AB4D27">
        <w:sym w:font="AGA Arabesque" w:char="F072"/>
      </w:r>
      <w:r w:rsidR="00AB4D27">
        <w:rPr>
          <w:rFonts w:hint="cs"/>
          <w:rtl/>
        </w:rPr>
        <w:t xml:space="preserve"> </w:t>
      </w:r>
      <w:r w:rsidRPr="004C1963">
        <w:rPr>
          <w:rtl/>
        </w:rPr>
        <w:t>بخطاب أمته</w:t>
      </w:r>
      <w:r w:rsidR="007B0B8C" w:rsidRPr="007B0B8C">
        <w:rPr>
          <w:rStyle w:val="ae"/>
          <w:rtl/>
        </w:rPr>
        <w:t>(</w:t>
      </w:r>
      <w:r w:rsidR="007B0B8C">
        <w:rPr>
          <w:rStyle w:val="ae"/>
          <w:rtl/>
        </w:rPr>
        <w:footnoteReference w:id="529"/>
      </w:r>
      <w:r w:rsidR="007B0B8C" w:rsidRPr="007B0B8C">
        <w:rPr>
          <w:rStyle w:val="ae"/>
          <w:rtl/>
        </w:rPr>
        <w:t>)</w:t>
      </w:r>
      <w:r w:rsidRPr="004C1963">
        <w:rPr>
          <w:rtl/>
        </w:rPr>
        <w:t>.</w:t>
      </w:r>
      <w:r w:rsidR="00482558">
        <w:rPr>
          <w:rFonts w:hint="cs"/>
          <w:rtl/>
        </w:rPr>
        <w:t xml:space="preserve"> </w:t>
      </w:r>
      <w:r w:rsidRPr="004C1963">
        <w:rPr>
          <w:rtl/>
        </w:rPr>
        <w:t xml:space="preserve">قوله تعالى: </w:t>
      </w:r>
      <w:r w:rsidR="00E1101C" w:rsidRPr="00127861">
        <w:rPr>
          <w:rFonts w:ascii="QCF_BSML" w:hAnsi="QCF_BSML" w:cs="QCF_BSML"/>
          <w:sz w:val="32"/>
          <w:szCs w:val="32"/>
          <w:rtl/>
          <w:lang w:eastAsia="en-US"/>
        </w:rPr>
        <w:t>ﭽ</w:t>
      </w:r>
      <w:r w:rsidR="00E1101C" w:rsidRPr="000C2898">
        <w:rPr>
          <w:rFonts w:ascii="QCF_P290" w:hAnsi="QCF_P290" w:cs="QCF_P290"/>
          <w:sz w:val="32"/>
          <w:szCs w:val="32"/>
          <w:rtl/>
          <w:lang w:eastAsia="en-US"/>
        </w:rPr>
        <w:t>ﮃ ﮄ ﮅ ﮆ  ﮇ  ﮈ</w:t>
      </w:r>
      <w:r w:rsidR="00E1101C" w:rsidRPr="00E1101C">
        <w:rPr>
          <w:rFonts w:ascii="QCF_BSML" w:hAnsi="QCF_BSML" w:cs="QCF_BSML"/>
          <w:sz w:val="32"/>
          <w:szCs w:val="32"/>
          <w:rtl/>
          <w:lang w:eastAsia="en-US"/>
        </w:rPr>
        <w:t xml:space="preserve"> </w:t>
      </w:r>
      <w:r w:rsidR="00E1101C" w:rsidRPr="00127861">
        <w:rPr>
          <w:rFonts w:ascii="QCF_BSML" w:hAnsi="QCF_BSML" w:cs="QCF_BSML"/>
          <w:sz w:val="32"/>
          <w:szCs w:val="32"/>
          <w:rtl/>
          <w:lang w:eastAsia="en-US"/>
        </w:rPr>
        <w:t>ﭼ</w:t>
      </w:r>
      <w:r w:rsidR="00E1101C" w:rsidRPr="000C2898">
        <w:rPr>
          <w:rFonts w:ascii="QCF_P290" w:hAnsi="QCF_P290" w:cs="QCF_P290"/>
          <w:sz w:val="32"/>
          <w:szCs w:val="32"/>
          <w:rtl/>
          <w:lang w:eastAsia="en-US"/>
        </w:rPr>
        <w:t xml:space="preserve">  </w:t>
      </w:r>
      <w:r w:rsidR="00E1101C" w:rsidRPr="00127861">
        <w:rPr>
          <w:rFonts w:ascii="QCF_BSML" w:hAnsi="QCF_BSML" w:cs="QCF_BSML"/>
          <w:sz w:val="32"/>
          <w:szCs w:val="32"/>
          <w:rtl/>
          <w:lang w:eastAsia="en-US"/>
        </w:rPr>
        <w:t>ﭽ</w:t>
      </w:r>
      <w:r w:rsidR="00E1101C" w:rsidRPr="000C2898">
        <w:rPr>
          <w:rFonts w:ascii="QCF_P290" w:hAnsi="QCF_P290" w:cs="QCF_P290"/>
          <w:sz w:val="32"/>
          <w:szCs w:val="32"/>
          <w:rtl/>
          <w:lang w:eastAsia="en-US"/>
        </w:rPr>
        <w:t>ﮃ</w:t>
      </w:r>
      <w:r w:rsidR="00E1101C" w:rsidRPr="00127861">
        <w:rPr>
          <w:rFonts w:ascii="QCF_BSML" w:hAnsi="QCF_BSML" w:cs="QCF_BSML"/>
          <w:sz w:val="32"/>
          <w:szCs w:val="32"/>
          <w:rtl/>
          <w:lang w:eastAsia="en-US"/>
        </w:rPr>
        <w:t>ﭼ</w:t>
      </w:r>
      <w:r w:rsidRPr="004C1963">
        <w:rPr>
          <w:rtl/>
        </w:rPr>
        <w:t xml:space="preserve"> من الله واجبه</w:t>
      </w:r>
      <w:r w:rsidR="00E1101C" w:rsidRPr="00E1101C">
        <w:rPr>
          <w:rStyle w:val="ae"/>
          <w:rtl/>
        </w:rPr>
        <w:t>(</w:t>
      </w:r>
      <w:r w:rsidR="00E1101C">
        <w:rPr>
          <w:rStyle w:val="ae"/>
          <w:rtl/>
        </w:rPr>
        <w:footnoteReference w:id="530"/>
      </w:r>
      <w:r w:rsidR="00E1101C" w:rsidRPr="00E1101C">
        <w:rPr>
          <w:rStyle w:val="ae"/>
          <w:rtl/>
        </w:rPr>
        <w:t>)</w:t>
      </w:r>
      <w:r w:rsidRPr="004C1963">
        <w:rPr>
          <w:rtl/>
        </w:rPr>
        <w:t xml:space="preserve">، ومعنى </w:t>
      </w:r>
      <w:r w:rsidR="00E1101C" w:rsidRPr="00127861">
        <w:rPr>
          <w:rFonts w:ascii="QCF_BSML" w:hAnsi="QCF_BSML" w:cs="QCF_BSML"/>
          <w:sz w:val="32"/>
          <w:szCs w:val="32"/>
          <w:rtl/>
          <w:lang w:eastAsia="en-US"/>
        </w:rPr>
        <w:t>ﭽ</w:t>
      </w:r>
      <w:r w:rsidR="00E1101C" w:rsidRPr="000C2898">
        <w:rPr>
          <w:rFonts w:ascii="QCF_P290" w:hAnsi="QCF_P290" w:cs="QCF_P290"/>
          <w:sz w:val="32"/>
          <w:szCs w:val="32"/>
          <w:rtl/>
          <w:lang w:eastAsia="en-US"/>
        </w:rPr>
        <w:t>ﮅ</w:t>
      </w:r>
      <w:r w:rsidR="00E1101C" w:rsidRPr="00127861">
        <w:rPr>
          <w:rFonts w:ascii="QCF_BSML" w:hAnsi="QCF_BSML" w:cs="QCF_BSML"/>
          <w:sz w:val="32"/>
          <w:szCs w:val="32"/>
          <w:rtl/>
          <w:lang w:eastAsia="en-US"/>
        </w:rPr>
        <w:t>ﭼ</w:t>
      </w:r>
      <w:r w:rsidRPr="004C1963">
        <w:rPr>
          <w:rtl/>
        </w:rPr>
        <w:t xml:space="preserve"> يقيمك </w:t>
      </w:r>
      <w:r w:rsidR="00E1101C" w:rsidRPr="00127861">
        <w:rPr>
          <w:rFonts w:ascii="QCF_BSML" w:hAnsi="QCF_BSML" w:cs="QCF_BSML"/>
          <w:sz w:val="32"/>
          <w:szCs w:val="32"/>
          <w:rtl/>
          <w:lang w:eastAsia="en-US"/>
        </w:rPr>
        <w:t>ﭽ</w:t>
      </w:r>
      <w:r w:rsidR="00E1101C" w:rsidRPr="000C2898">
        <w:rPr>
          <w:rFonts w:ascii="QCF_P290" w:hAnsi="QCF_P290" w:cs="QCF_P290"/>
          <w:sz w:val="32"/>
          <w:szCs w:val="32"/>
          <w:rtl/>
          <w:lang w:eastAsia="en-US"/>
        </w:rPr>
        <w:t>ﮇ ﮈ</w:t>
      </w:r>
      <w:r w:rsidR="00E1101C" w:rsidRPr="00127861">
        <w:rPr>
          <w:rFonts w:ascii="QCF_BSML" w:hAnsi="QCF_BSML" w:cs="QCF_BSML"/>
          <w:sz w:val="32"/>
          <w:szCs w:val="32"/>
          <w:rtl/>
          <w:lang w:eastAsia="en-US"/>
        </w:rPr>
        <w:t>ﭼ</w:t>
      </w:r>
      <w:r w:rsidRPr="004C1963">
        <w:rPr>
          <w:rtl/>
        </w:rPr>
        <w:t xml:space="preserve"> وهو الذي يحمَده لأجله جميع أهل الموقف. وفيه قولان:</w:t>
      </w:r>
      <w:r w:rsidR="007B7AD7">
        <w:rPr>
          <w:rFonts w:hint="cs"/>
          <w:rtl/>
        </w:rPr>
        <w:t xml:space="preserve"> </w:t>
      </w:r>
      <w:r w:rsidRPr="004C1963">
        <w:rPr>
          <w:rtl/>
        </w:rPr>
        <w:t>أحدهما: أنه الشفاعة للناس يوم القيامة، قاله ابن مسعود</w:t>
      </w:r>
      <w:r w:rsidR="00C410FE" w:rsidRPr="00C410FE">
        <w:rPr>
          <w:rStyle w:val="ae"/>
          <w:rtl/>
        </w:rPr>
        <w:t>(</w:t>
      </w:r>
      <w:r w:rsidR="00C410FE">
        <w:rPr>
          <w:rStyle w:val="ae"/>
          <w:rtl/>
        </w:rPr>
        <w:footnoteReference w:id="531"/>
      </w:r>
      <w:r w:rsidR="00C410FE" w:rsidRPr="00C410FE">
        <w:rPr>
          <w:rStyle w:val="ae"/>
          <w:rtl/>
        </w:rPr>
        <w:t>)</w:t>
      </w:r>
      <w:r w:rsidRPr="004C1963">
        <w:rPr>
          <w:rtl/>
        </w:rPr>
        <w:t xml:space="preserve">، وحذيفة بن </w:t>
      </w:r>
      <w:r w:rsidRPr="004C1963">
        <w:rPr>
          <w:rtl/>
        </w:rPr>
        <w:lastRenderedPageBreak/>
        <w:t>اليمان</w:t>
      </w:r>
      <w:r w:rsidR="0001109A" w:rsidRPr="0001109A">
        <w:rPr>
          <w:rStyle w:val="ae"/>
          <w:rtl/>
        </w:rPr>
        <w:t>(</w:t>
      </w:r>
      <w:r w:rsidR="0001109A" w:rsidRPr="0009398B">
        <w:rPr>
          <w:rStyle w:val="ae"/>
          <w:rFonts w:ascii="Traditional Arabic" w:hAnsi="Traditional Arabic"/>
          <w:rtl/>
        </w:rPr>
        <w:footnoteReference w:id="532"/>
      </w:r>
      <w:r w:rsidR="0001109A" w:rsidRPr="0009398B">
        <w:rPr>
          <w:rStyle w:val="ae"/>
          <w:rFonts w:ascii="Traditional Arabic" w:hAnsi="Traditional Arabic"/>
          <w:rtl/>
        </w:rPr>
        <w:t>)</w:t>
      </w:r>
      <w:r w:rsidR="00C410FE" w:rsidRPr="0009398B">
        <w:rPr>
          <w:rStyle w:val="ae"/>
          <w:rFonts w:ascii="Traditional Arabic" w:hAnsi="Traditional Arabic"/>
        </w:rPr>
        <w:t>(</w:t>
      </w:r>
      <w:r w:rsidR="00C410FE" w:rsidRPr="0009398B">
        <w:rPr>
          <w:rStyle w:val="ae"/>
          <w:rFonts w:ascii="Traditional Arabic" w:hAnsi="Traditional Arabic"/>
        </w:rPr>
        <w:footnoteReference w:id="533"/>
      </w:r>
      <w:r w:rsidR="00C410FE" w:rsidRPr="0009398B">
        <w:rPr>
          <w:rStyle w:val="ae"/>
          <w:rFonts w:ascii="Traditional Arabic" w:hAnsi="Traditional Arabic"/>
        </w:rPr>
        <w:t>)</w:t>
      </w:r>
      <w:r w:rsidRPr="004C1963">
        <w:rPr>
          <w:rtl/>
        </w:rPr>
        <w:t>، وابن عمر</w:t>
      </w:r>
      <w:r w:rsidR="00C652BA" w:rsidRPr="00C652BA">
        <w:rPr>
          <w:rStyle w:val="ae"/>
          <w:rtl/>
        </w:rPr>
        <w:t>(</w:t>
      </w:r>
      <w:r w:rsidR="00C652BA">
        <w:rPr>
          <w:rStyle w:val="ae"/>
          <w:rtl/>
        </w:rPr>
        <w:footnoteReference w:id="534"/>
      </w:r>
      <w:r w:rsidR="00C652BA" w:rsidRPr="00C652BA">
        <w:rPr>
          <w:rStyle w:val="ae"/>
          <w:rtl/>
        </w:rPr>
        <w:t>)</w:t>
      </w:r>
      <w:r w:rsidRPr="004C1963">
        <w:rPr>
          <w:rtl/>
        </w:rPr>
        <w:t>، وسلمان الفارسي</w:t>
      </w:r>
      <w:r w:rsidR="0001109A" w:rsidRPr="0001109A">
        <w:rPr>
          <w:rStyle w:val="ae"/>
          <w:rtl/>
        </w:rPr>
        <w:t>(</w:t>
      </w:r>
      <w:r w:rsidR="0001109A">
        <w:rPr>
          <w:rStyle w:val="ae"/>
          <w:rtl/>
        </w:rPr>
        <w:footnoteReference w:id="535"/>
      </w:r>
      <w:r w:rsidR="0001109A" w:rsidRPr="0001109A">
        <w:rPr>
          <w:rStyle w:val="ae"/>
          <w:rtl/>
        </w:rPr>
        <w:t>)</w:t>
      </w:r>
      <w:r w:rsidR="00973819" w:rsidRPr="00973819">
        <w:rPr>
          <w:rStyle w:val="ae"/>
          <w:rtl/>
        </w:rPr>
        <w:t>(</w:t>
      </w:r>
      <w:r w:rsidR="00973819">
        <w:rPr>
          <w:rStyle w:val="ae"/>
          <w:rtl/>
        </w:rPr>
        <w:footnoteReference w:id="536"/>
      </w:r>
      <w:r w:rsidR="00973819" w:rsidRPr="00973819">
        <w:rPr>
          <w:rStyle w:val="ae"/>
          <w:rtl/>
        </w:rPr>
        <w:t>)</w:t>
      </w:r>
      <w:r w:rsidRPr="004C1963">
        <w:rPr>
          <w:rtl/>
        </w:rPr>
        <w:t>، وجابر بن عبد الله</w:t>
      </w:r>
      <w:r w:rsidR="00AE0500" w:rsidRPr="00AE0500">
        <w:rPr>
          <w:rStyle w:val="ae"/>
          <w:rtl/>
        </w:rPr>
        <w:t>(</w:t>
      </w:r>
      <w:r w:rsidR="00AE0500">
        <w:rPr>
          <w:rStyle w:val="ae"/>
          <w:rtl/>
        </w:rPr>
        <w:footnoteReference w:id="537"/>
      </w:r>
      <w:r w:rsidR="00AE0500" w:rsidRPr="00AE0500">
        <w:rPr>
          <w:rStyle w:val="ae"/>
          <w:rtl/>
        </w:rPr>
        <w:t>)</w:t>
      </w:r>
      <w:r w:rsidRPr="004C1963">
        <w:rPr>
          <w:rtl/>
        </w:rPr>
        <w:t>، والحسن</w:t>
      </w:r>
      <w:r w:rsidR="00A50DF4" w:rsidRPr="00A50DF4">
        <w:rPr>
          <w:rStyle w:val="ae"/>
          <w:rtl/>
        </w:rPr>
        <w:t>(</w:t>
      </w:r>
      <w:r w:rsidR="00A50DF4">
        <w:rPr>
          <w:rStyle w:val="ae"/>
          <w:rtl/>
        </w:rPr>
        <w:footnoteReference w:id="538"/>
      </w:r>
      <w:r w:rsidR="00A50DF4" w:rsidRPr="00A50DF4">
        <w:rPr>
          <w:rStyle w:val="ae"/>
          <w:rtl/>
        </w:rPr>
        <w:t>)</w:t>
      </w:r>
      <w:r w:rsidRPr="004C1963">
        <w:rPr>
          <w:rtl/>
        </w:rPr>
        <w:t>، وهي</w:t>
      </w:r>
      <w:r w:rsidR="003E5186">
        <w:rPr>
          <w:rFonts w:hint="cs"/>
          <w:rtl/>
        </w:rPr>
        <w:t xml:space="preserve"> </w:t>
      </w:r>
      <w:r w:rsidRPr="004C1963">
        <w:rPr>
          <w:rtl/>
        </w:rPr>
        <w:t>رواية ابن</w:t>
      </w:r>
      <w:r w:rsidR="00156316">
        <w:rPr>
          <w:rFonts w:ascii="Traditional Arabic" w:hAnsi="Traditional Arabic" w:hint="cs"/>
          <w:rtl/>
          <w:lang w:eastAsia="en-US"/>
        </w:rPr>
        <w:t xml:space="preserve"> </w:t>
      </w:r>
      <w:r w:rsidR="00156316">
        <w:rPr>
          <w:rFonts w:ascii="QCF_BSML" w:hAnsi="QCF_BSML" w:cs="QCF_BSML" w:hint="cs"/>
          <w:color w:val="0D0D0D" w:themeColor="text1" w:themeTint="F2"/>
          <w:sz w:val="32"/>
          <w:szCs w:val="32"/>
          <w:rtl/>
          <w:lang w:eastAsia="en-US"/>
        </w:rPr>
        <w:t xml:space="preserve"> </w:t>
      </w:r>
      <w:r w:rsidR="00156316" w:rsidRPr="001277AD">
        <w:rPr>
          <w:rFonts w:hint="cs"/>
          <w:color w:val="0D0D0D" w:themeColor="text1" w:themeTint="F2"/>
          <w:sz w:val="32"/>
          <w:szCs w:val="32"/>
          <w:rtl/>
        </w:rPr>
        <w:t>[</w:t>
      </w:r>
      <w:r w:rsidR="00156316">
        <w:rPr>
          <w:rFonts w:hint="cs"/>
          <w:color w:val="0D0D0D" w:themeColor="text1" w:themeTint="F2"/>
          <w:sz w:val="32"/>
          <w:szCs w:val="32"/>
          <w:rtl/>
        </w:rPr>
        <w:t>85</w:t>
      </w:r>
      <w:r w:rsidR="00156316" w:rsidRPr="001277AD">
        <w:rPr>
          <w:rFonts w:hint="cs"/>
          <w:color w:val="0D0D0D" w:themeColor="text1" w:themeTint="F2"/>
          <w:sz w:val="32"/>
          <w:szCs w:val="32"/>
          <w:rtl/>
        </w:rPr>
        <w:t>]</w:t>
      </w:r>
      <w:r w:rsidRPr="004C1963">
        <w:rPr>
          <w:rtl/>
        </w:rPr>
        <w:t xml:space="preserve"> أبي نجيح</w:t>
      </w:r>
      <w:r w:rsidR="0001109A" w:rsidRPr="0001109A">
        <w:rPr>
          <w:rStyle w:val="ae"/>
          <w:rtl/>
        </w:rPr>
        <w:t>(</w:t>
      </w:r>
      <w:r w:rsidR="0001109A">
        <w:rPr>
          <w:rStyle w:val="ae"/>
          <w:rtl/>
        </w:rPr>
        <w:footnoteReference w:id="539"/>
      </w:r>
      <w:r w:rsidR="0001109A" w:rsidRPr="0001109A">
        <w:rPr>
          <w:rStyle w:val="ae"/>
          <w:rtl/>
        </w:rPr>
        <w:t>)</w:t>
      </w:r>
      <w:r w:rsidRPr="004C1963">
        <w:rPr>
          <w:rtl/>
        </w:rPr>
        <w:t xml:space="preserve"> عن مجاهد</w:t>
      </w:r>
      <w:r w:rsidR="00A50DF4" w:rsidRPr="00A50DF4">
        <w:rPr>
          <w:rStyle w:val="ae"/>
          <w:rtl/>
        </w:rPr>
        <w:t>(</w:t>
      </w:r>
      <w:r w:rsidR="00A50DF4">
        <w:rPr>
          <w:rStyle w:val="ae"/>
          <w:rtl/>
        </w:rPr>
        <w:footnoteReference w:id="540"/>
      </w:r>
      <w:r w:rsidR="00A50DF4" w:rsidRPr="00A50DF4">
        <w:rPr>
          <w:rStyle w:val="ae"/>
          <w:rtl/>
        </w:rPr>
        <w:t>)</w:t>
      </w:r>
      <w:r w:rsidRPr="004C1963">
        <w:rPr>
          <w:rtl/>
        </w:rPr>
        <w:t>.</w:t>
      </w:r>
      <w:r w:rsidR="00973819">
        <w:rPr>
          <w:rFonts w:hint="cs"/>
          <w:rtl/>
        </w:rPr>
        <w:t xml:space="preserve"> </w:t>
      </w:r>
      <w:r w:rsidRPr="004C1963">
        <w:rPr>
          <w:rtl/>
        </w:rPr>
        <w:t>والثاني: يجلسه على العرش يوم القيامة. روى أبو وائل</w:t>
      </w:r>
      <w:r w:rsidR="00CE42BB" w:rsidRPr="00CE42BB">
        <w:rPr>
          <w:rStyle w:val="ae"/>
          <w:rtl/>
        </w:rPr>
        <w:t>(</w:t>
      </w:r>
      <w:r w:rsidR="00CE42BB">
        <w:rPr>
          <w:rStyle w:val="ae"/>
          <w:rtl/>
        </w:rPr>
        <w:footnoteReference w:id="541"/>
      </w:r>
      <w:r w:rsidR="00CE42BB" w:rsidRPr="00CE42BB">
        <w:rPr>
          <w:rStyle w:val="ae"/>
          <w:rtl/>
        </w:rPr>
        <w:t>)</w:t>
      </w:r>
      <w:r w:rsidRPr="004C1963">
        <w:rPr>
          <w:rtl/>
        </w:rPr>
        <w:t>عن عبد الله أنه قرأ هذه الآية، وقال:</w:t>
      </w:r>
      <w:r w:rsidR="0001109A">
        <w:rPr>
          <w:rFonts w:hint="cs"/>
          <w:rtl/>
        </w:rPr>
        <w:t xml:space="preserve"> </w:t>
      </w:r>
      <w:r w:rsidRPr="004C1963">
        <w:rPr>
          <w:rtl/>
        </w:rPr>
        <w:t>يُقعده على العرش</w:t>
      </w:r>
      <w:r w:rsidR="00CE42BB" w:rsidRPr="00CE42BB">
        <w:rPr>
          <w:rStyle w:val="ae"/>
          <w:rtl/>
        </w:rPr>
        <w:t>(</w:t>
      </w:r>
      <w:r w:rsidR="00CE42BB">
        <w:rPr>
          <w:rStyle w:val="ae"/>
          <w:rtl/>
        </w:rPr>
        <w:footnoteReference w:id="542"/>
      </w:r>
      <w:r w:rsidR="00CE42BB" w:rsidRPr="00CE42BB">
        <w:rPr>
          <w:rStyle w:val="ae"/>
          <w:rtl/>
        </w:rPr>
        <w:t>)</w:t>
      </w:r>
      <w:r w:rsidR="00823890">
        <w:rPr>
          <w:rFonts w:hint="cs"/>
          <w:rtl/>
        </w:rPr>
        <w:t>.</w:t>
      </w:r>
      <w:r w:rsidRPr="004C1963">
        <w:rPr>
          <w:rtl/>
        </w:rPr>
        <w:t xml:space="preserve"> وكذلك روى الضحاك </w:t>
      </w:r>
    </w:p>
    <w:p w:rsidR="00D54AC4" w:rsidRDefault="00D54AC4" w:rsidP="00D54AC4">
      <w:pPr>
        <w:ind w:firstLine="0"/>
        <w:rPr>
          <w:rtl/>
        </w:rPr>
      </w:pPr>
    </w:p>
    <w:p w:rsidR="00D54AC4" w:rsidRDefault="00D54AC4" w:rsidP="00D54AC4">
      <w:pPr>
        <w:ind w:firstLine="0"/>
        <w:rPr>
          <w:rtl/>
        </w:rPr>
      </w:pPr>
    </w:p>
    <w:p w:rsidR="00911ED4" w:rsidRPr="008D52BA" w:rsidRDefault="002E6E7F" w:rsidP="00FF0C4E">
      <w:pPr>
        <w:ind w:firstLine="0"/>
        <w:rPr>
          <w:rtl/>
        </w:rPr>
      </w:pPr>
      <w:r w:rsidRPr="004C1963">
        <w:rPr>
          <w:rtl/>
        </w:rPr>
        <w:lastRenderedPageBreak/>
        <w:t>عن ابن عباس</w:t>
      </w:r>
      <w:r w:rsidR="00CE42BB" w:rsidRPr="00CE42BB">
        <w:rPr>
          <w:rStyle w:val="ae"/>
          <w:rtl/>
        </w:rPr>
        <w:t>(</w:t>
      </w:r>
      <w:r w:rsidR="00CE42BB">
        <w:rPr>
          <w:rStyle w:val="ae"/>
          <w:rtl/>
        </w:rPr>
        <w:footnoteReference w:id="543"/>
      </w:r>
      <w:r w:rsidR="00CE42BB" w:rsidRPr="00CE42BB">
        <w:rPr>
          <w:rStyle w:val="ae"/>
          <w:rtl/>
        </w:rPr>
        <w:t>)</w:t>
      </w:r>
      <w:r w:rsidRPr="004C1963">
        <w:rPr>
          <w:rtl/>
        </w:rPr>
        <w:t>، وليث عن مجاهد</w:t>
      </w:r>
      <w:r w:rsidR="00CE42BB" w:rsidRPr="00CE42BB">
        <w:rPr>
          <w:rStyle w:val="ae"/>
          <w:rtl/>
        </w:rPr>
        <w:t>(</w:t>
      </w:r>
      <w:r w:rsidR="00CE42BB">
        <w:rPr>
          <w:rStyle w:val="ae"/>
          <w:rtl/>
        </w:rPr>
        <w:footnoteReference w:id="544"/>
      </w:r>
      <w:r w:rsidR="00CE42BB" w:rsidRPr="00CE42BB">
        <w:rPr>
          <w:rStyle w:val="ae"/>
          <w:rtl/>
        </w:rPr>
        <w:t>)</w:t>
      </w:r>
      <w:r w:rsidRPr="004C1963">
        <w:rPr>
          <w:rtl/>
        </w:rPr>
        <w:t>.</w:t>
      </w:r>
      <w:r w:rsidR="003E5186">
        <w:rPr>
          <w:rFonts w:hint="cs"/>
          <w:rtl/>
        </w:rPr>
        <w:t xml:space="preserve"> </w:t>
      </w:r>
      <w:r w:rsidRPr="004C1963">
        <w:rPr>
          <w:rtl/>
        </w:rPr>
        <w:t xml:space="preserve">قوله تعالى: </w:t>
      </w:r>
      <w:r w:rsidR="00DD7AD6" w:rsidRPr="00127861">
        <w:rPr>
          <w:rFonts w:ascii="QCF_BSML" w:hAnsi="QCF_BSML" w:cs="QCF_BSML"/>
          <w:sz w:val="32"/>
          <w:szCs w:val="32"/>
          <w:rtl/>
          <w:lang w:eastAsia="en-US"/>
        </w:rPr>
        <w:t>ﭽ</w:t>
      </w:r>
      <w:r w:rsidR="00DD7AD6" w:rsidRPr="000C2898">
        <w:rPr>
          <w:rFonts w:ascii="QCF_P290" w:hAnsi="QCF_P290" w:cs="QCF_P290"/>
          <w:sz w:val="32"/>
          <w:szCs w:val="32"/>
          <w:rtl/>
          <w:lang w:eastAsia="en-US"/>
        </w:rPr>
        <w:t>ﮊ  ﮋ   ﮌ  ﮍ  ﮎ</w:t>
      </w:r>
      <w:r w:rsidR="00DD7AD6" w:rsidRPr="00127861">
        <w:rPr>
          <w:rFonts w:ascii="QCF_BSML" w:hAnsi="QCF_BSML" w:cs="QCF_BSML"/>
          <w:sz w:val="32"/>
          <w:szCs w:val="32"/>
          <w:rtl/>
          <w:lang w:eastAsia="en-US"/>
        </w:rPr>
        <w:t>ﭼ</w:t>
      </w:r>
      <w:r w:rsidR="00DD7AD6" w:rsidRPr="000C2898">
        <w:rPr>
          <w:rFonts w:ascii="QCF_P290" w:hAnsi="QCF_P290" w:cs="QCF_P290"/>
          <w:sz w:val="32"/>
          <w:szCs w:val="32"/>
          <w:rtl/>
          <w:lang w:eastAsia="en-US"/>
        </w:rPr>
        <w:t xml:space="preserve"> </w:t>
      </w:r>
      <w:r w:rsidR="00DD7AD6">
        <w:rPr>
          <w:rFonts w:hint="cs"/>
          <w:rtl/>
        </w:rPr>
        <w:t xml:space="preserve"> </w:t>
      </w:r>
      <w:r w:rsidRPr="004C1963">
        <w:rPr>
          <w:rtl/>
        </w:rPr>
        <w:t>وقرأ الحسن، وعكرمة، والضحاك، وحميد بن قيس</w:t>
      </w:r>
      <w:r w:rsidR="00DD7AD6" w:rsidRPr="00DD7AD6">
        <w:rPr>
          <w:rStyle w:val="ae"/>
          <w:rtl/>
        </w:rPr>
        <w:t>(</w:t>
      </w:r>
      <w:r w:rsidR="00DD7AD6">
        <w:rPr>
          <w:rStyle w:val="ae"/>
          <w:rtl/>
        </w:rPr>
        <w:footnoteReference w:id="545"/>
      </w:r>
      <w:r w:rsidR="00DD7AD6" w:rsidRPr="00DD7AD6">
        <w:rPr>
          <w:rStyle w:val="ae"/>
          <w:rtl/>
        </w:rPr>
        <w:t>)</w:t>
      </w:r>
      <w:r w:rsidRPr="004C1963">
        <w:rPr>
          <w:rtl/>
        </w:rPr>
        <w:t>، وقتادة، وابن أبي عبلة</w:t>
      </w:r>
      <w:r w:rsidR="00293449" w:rsidRPr="00293449">
        <w:rPr>
          <w:rStyle w:val="ae"/>
          <w:rtl/>
        </w:rPr>
        <w:t>(</w:t>
      </w:r>
      <w:r w:rsidR="00293449">
        <w:rPr>
          <w:rStyle w:val="ae"/>
          <w:rtl/>
        </w:rPr>
        <w:footnoteReference w:id="546"/>
      </w:r>
      <w:r w:rsidR="00293449" w:rsidRPr="00293449">
        <w:rPr>
          <w:rStyle w:val="ae"/>
          <w:rtl/>
        </w:rPr>
        <w:t>)</w:t>
      </w:r>
      <w:r w:rsidR="00293449">
        <w:rPr>
          <w:rtl/>
        </w:rPr>
        <w:t>بفتح الميم في «مَدخل» و «مَخرج»</w:t>
      </w:r>
      <w:r w:rsidR="00293449" w:rsidRPr="00293449">
        <w:rPr>
          <w:rStyle w:val="ae"/>
          <w:rtl/>
        </w:rPr>
        <w:t>(</w:t>
      </w:r>
      <w:r w:rsidR="00293449">
        <w:rPr>
          <w:rStyle w:val="ae"/>
          <w:rtl/>
        </w:rPr>
        <w:footnoteReference w:id="547"/>
      </w:r>
      <w:r w:rsidR="00293449" w:rsidRPr="00293449">
        <w:rPr>
          <w:rStyle w:val="ae"/>
          <w:rtl/>
        </w:rPr>
        <w:t>)</w:t>
      </w:r>
      <w:r w:rsidRPr="004C1963">
        <w:rPr>
          <w:rtl/>
        </w:rPr>
        <w:t>. قال الزجاج: المدخل، بضم الميم: مصدر أدخلته مُدخلاً، ومن قال: مَدخل صدق، فهو على أدخلته، فد</w:t>
      </w:r>
      <w:r w:rsidR="00F61151">
        <w:rPr>
          <w:rFonts w:hint="cs"/>
          <w:rtl/>
        </w:rPr>
        <w:t>َ</w:t>
      </w:r>
      <w:r w:rsidRPr="004C1963">
        <w:rPr>
          <w:rtl/>
        </w:rPr>
        <w:t>خ</w:t>
      </w:r>
      <w:r w:rsidR="00F61151">
        <w:rPr>
          <w:rFonts w:hint="cs"/>
          <w:rtl/>
        </w:rPr>
        <w:t>َ</w:t>
      </w:r>
      <w:r w:rsidRPr="004C1963">
        <w:rPr>
          <w:rtl/>
        </w:rPr>
        <w:t>ل مَد</w:t>
      </w:r>
      <w:r w:rsidR="00F61151">
        <w:rPr>
          <w:rFonts w:hint="cs"/>
          <w:rtl/>
        </w:rPr>
        <w:t>ْ</w:t>
      </w:r>
      <w:r w:rsidRPr="004C1963">
        <w:rPr>
          <w:rtl/>
        </w:rPr>
        <w:t>خ</w:t>
      </w:r>
      <w:r w:rsidR="00F61151">
        <w:rPr>
          <w:rFonts w:hint="cs"/>
          <w:rtl/>
        </w:rPr>
        <w:t>َ</w:t>
      </w:r>
      <w:r w:rsidRPr="004C1963">
        <w:rPr>
          <w:rtl/>
        </w:rPr>
        <w:t>ل صدق، وكذلك شرح «مَخرج» مثله</w:t>
      </w:r>
      <w:r w:rsidR="00293449" w:rsidRPr="00293449">
        <w:rPr>
          <w:rStyle w:val="ae"/>
          <w:rtl/>
        </w:rPr>
        <w:t>(</w:t>
      </w:r>
      <w:r w:rsidR="00293449">
        <w:rPr>
          <w:rStyle w:val="ae"/>
          <w:rtl/>
        </w:rPr>
        <w:footnoteReference w:id="548"/>
      </w:r>
      <w:r w:rsidR="00293449" w:rsidRPr="00293449">
        <w:rPr>
          <w:rStyle w:val="ae"/>
          <w:rtl/>
        </w:rPr>
        <w:t>)</w:t>
      </w:r>
      <w:r w:rsidR="00F61151">
        <w:rPr>
          <w:rtl/>
        </w:rPr>
        <w:t>.</w:t>
      </w:r>
      <w:r w:rsidR="00B72410">
        <w:rPr>
          <w:rFonts w:hint="cs"/>
          <w:rtl/>
        </w:rPr>
        <w:t xml:space="preserve"> </w:t>
      </w:r>
      <w:r w:rsidR="00911ED4" w:rsidRPr="00911ED4">
        <w:rPr>
          <w:rtl/>
        </w:rPr>
        <w:t>وللمفسرين في المراد بهذا المدخل والمخرج أحد عشر قولاً: أحدها: أدخلني المدينة مدخل صدق، وأخرجني من مكة مخرج صدق</w:t>
      </w:r>
      <w:r w:rsidR="00911ED4" w:rsidRPr="00911ED4">
        <w:rPr>
          <w:vertAlign w:val="superscript"/>
          <w:rtl/>
        </w:rPr>
        <w:t>(</w:t>
      </w:r>
      <w:r w:rsidR="00911ED4" w:rsidRPr="00911ED4">
        <w:rPr>
          <w:vertAlign w:val="superscript"/>
          <w:rtl/>
        </w:rPr>
        <w:footnoteReference w:id="549"/>
      </w:r>
      <w:r w:rsidR="00911ED4" w:rsidRPr="00911ED4">
        <w:rPr>
          <w:vertAlign w:val="superscript"/>
          <w:rtl/>
        </w:rPr>
        <w:t>)</w:t>
      </w:r>
      <w:r w:rsidR="00911ED4" w:rsidRPr="00911ED4">
        <w:rPr>
          <w:rtl/>
        </w:rPr>
        <w:t>.</w:t>
      </w:r>
      <w:r w:rsidR="00911ED4" w:rsidRPr="00911ED4">
        <w:rPr>
          <w:rFonts w:hint="cs"/>
          <w:rtl/>
        </w:rPr>
        <w:t xml:space="preserve"> </w:t>
      </w:r>
      <w:r w:rsidR="00911ED4" w:rsidRPr="00911ED4">
        <w:rPr>
          <w:rtl/>
        </w:rPr>
        <w:t>روى أبو ظبيان</w:t>
      </w:r>
      <w:r w:rsidR="00911ED4" w:rsidRPr="00911ED4">
        <w:rPr>
          <w:vertAlign w:val="superscript"/>
          <w:rtl/>
        </w:rPr>
        <w:t>(</w:t>
      </w:r>
      <w:r w:rsidR="00911ED4" w:rsidRPr="00911ED4">
        <w:rPr>
          <w:vertAlign w:val="superscript"/>
          <w:rtl/>
        </w:rPr>
        <w:footnoteReference w:id="550"/>
      </w:r>
      <w:r w:rsidR="00911ED4" w:rsidRPr="00911ED4">
        <w:rPr>
          <w:vertAlign w:val="superscript"/>
          <w:rtl/>
        </w:rPr>
        <w:t>)</w:t>
      </w:r>
      <w:r w:rsidR="00911ED4" w:rsidRPr="00911ED4">
        <w:rPr>
          <w:rtl/>
        </w:rPr>
        <w:t>عن ابن</w:t>
      </w:r>
      <w:r w:rsidR="00156316">
        <w:rPr>
          <w:rFonts w:hint="cs"/>
          <w:rtl/>
        </w:rPr>
        <w:t xml:space="preserve"> </w:t>
      </w:r>
      <w:r w:rsidR="00911ED4" w:rsidRPr="00911ED4">
        <w:rPr>
          <w:rtl/>
        </w:rPr>
        <w:t>عباس قال: كان رسول الله</w:t>
      </w:r>
      <w:r w:rsidR="00911ED4" w:rsidRPr="00911ED4">
        <w:rPr>
          <w:rFonts w:hint="cs"/>
          <w:rtl/>
        </w:rPr>
        <w:t xml:space="preserve"> </w:t>
      </w:r>
      <w:r w:rsidR="00911ED4" w:rsidRPr="00911ED4">
        <w:rPr>
          <w:rFonts w:ascii="Traditional Arabic" w:hAnsi="Traditional Arabic"/>
        </w:rPr>
        <w:sym w:font="AGA Arabesque" w:char="F072"/>
      </w:r>
      <w:r w:rsidR="00911ED4" w:rsidRPr="00911ED4">
        <w:rPr>
          <w:rtl/>
        </w:rPr>
        <w:t xml:space="preserve"> بمكة، ثم أمر بالهجرة، فنزلت عليه هذه الآية</w:t>
      </w:r>
      <w:r w:rsidR="00911ED4" w:rsidRPr="00911ED4">
        <w:rPr>
          <w:vertAlign w:val="superscript"/>
          <w:rtl/>
        </w:rPr>
        <w:t>(</w:t>
      </w:r>
      <w:r w:rsidR="00911ED4" w:rsidRPr="00911ED4">
        <w:rPr>
          <w:vertAlign w:val="superscript"/>
          <w:rtl/>
        </w:rPr>
        <w:footnoteReference w:id="551"/>
      </w:r>
      <w:r w:rsidR="00911ED4" w:rsidRPr="00911ED4">
        <w:rPr>
          <w:vertAlign w:val="superscript"/>
          <w:rtl/>
        </w:rPr>
        <w:t>)</w:t>
      </w:r>
      <w:r w:rsidR="00911ED4" w:rsidRPr="00911ED4">
        <w:rPr>
          <w:rtl/>
        </w:rPr>
        <w:t xml:space="preserve">. وإِلى هذا المعنى ذهب الحسن في رواية </w:t>
      </w:r>
      <w:r w:rsidR="00FF0C4E">
        <w:rPr>
          <w:rtl/>
        </w:rPr>
        <w:lastRenderedPageBreak/>
        <w:t xml:space="preserve">سعيد بن </w:t>
      </w:r>
      <w:r w:rsidR="00911ED4" w:rsidRPr="00911ED4">
        <w:rPr>
          <w:rtl/>
        </w:rPr>
        <w:t>جبير، وقتادة، وابن زيد</w:t>
      </w:r>
      <w:r w:rsidR="00911ED4" w:rsidRPr="00911ED4">
        <w:rPr>
          <w:vertAlign w:val="superscript"/>
          <w:rtl/>
        </w:rPr>
        <w:t>(</w:t>
      </w:r>
      <w:r w:rsidR="00911ED4" w:rsidRPr="00911ED4">
        <w:rPr>
          <w:vertAlign w:val="superscript"/>
          <w:rtl/>
        </w:rPr>
        <w:footnoteReference w:id="552"/>
      </w:r>
      <w:r w:rsidR="00911ED4" w:rsidRPr="00911ED4">
        <w:rPr>
          <w:vertAlign w:val="superscript"/>
          <w:rtl/>
        </w:rPr>
        <w:t>)</w:t>
      </w:r>
      <w:r w:rsidR="00911ED4" w:rsidRPr="00911ED4">
        <w:rPr>
          <w:rtl/>
        </w:rPr>
        <w:t>. والثاني: أدخلني القبر مُدخل صدق، وأخرجني منه مُخرج صدق، رواه العوفي عن ابن عباس</w:t>
      </w:r>
      <w:r w:rsidR="00911ED4" w:rsidRPr="00911ED4">
        <w:rPr>
          <w:vertAlign w:val="superscript"/>
          <w:rtl/>
        </w:rPr>
        <w:t>(</w:t>
      </w:r>
      <w:r w:rsidR="00911ED4" w:rsidRPr="00911ED4">
        <w:rPr>
          <w:vertAlign w:val="superscript"/>
          <w:rtl/>
        </w:rPr>
        <w:footnoteReference w:id="553"/>
      </w:r>
      <w:r w:rsidR="00911ED4" w:rsidRPr="00911ED4">
        <w:rPr>
          <w:vertAlign w:val="superscript"/>
          <w:rtl/>
        </w:rPr>
        <w:t>)</w:t>
      </w:r>
      <w:r w:rsidR="00911ED4" w:rsidRPr="00911ED4">
        <w:rPr>
          <w:rtl/>
        </w:rPr>
        <w:t>. والثالث: أدخلني المدينة، وأخرجني إِلى مكة، يعني: لفتحها، رواه أبو صالح عن ابن عباس</w:t>
      </w:r>
      <w:r w:rsidR="00911ED4" w:rsidRPr="00911ED4">
        <w:rPr>
          <w:vertAlign w:val="superscript"/>
          <w:rtl/>
        </w:rPr>
        <w:t>(</w:t>
      </w:r>
      <w:r w:rsidR="00911ED4" w:rsidRPr="00911ED4">
        <w:rPr>
          <w:vertAlign w:val="superscript"/>
          <w:rtl/>
        </w:rPr>
        <w:footnoteReference w:id="554"/>
      </w:r>
      <w:r w:rsidR="00911ED4" w:rsidRPr="00911ED4">
        <w:rPr>
          <w:vertAlign w:val="superscript"/>
          <w:rtl/>
        </w:rPr>
        <w:t>)</w:t>
      </w:r>
      <w:r w:rsidR="00911ED4" w:rsidRPr="00911ED4">
        <w:rPr>
          <w:rtl/>
        </w:rPr>
        <w:t>. والرابع: أدخلني مكة مدخل صدق، وأخرجني منها مخرج صدق، فخرج منها آمناً من المشركين، ودخلها ظاهراً عليها يوم الفتح، قاله الضحاك</w:t>
      </w:r>
      <w:r w:rsidR="00911ED4" w:rsidRPr="00911ED4">
        <w:rPr>
          <w:vertAlign w:val="superscript"/>
          <w:rtl/>
        </w:rPr>
        <w:t>(</w:t>
      </w:r>
      <w:r w:rsidR="00911ED4" w:rsidRPr="00911ED4">
        <w:rPr>
          <w:vertAlign w:val="superscript"/>
          <w:rtl/>
        </w:rPr>
        <w:footnoteReference w:id="555"/>
      </w:r>
      <w:r w:rsidR="00911ED4" w:rsidRPr="00911ED4">
        <w:rPr>
          <w:vertAlign w:val="superscript"/>
          <w:rtl/>
        </w:rPr>
        <w:t>)</w:t>
      </w:r>
      <w:r w:rsidR="00911ED4" w:rsidRPr="00911ED4">
        <w:rPr>
          <w:rtl/>
        </w:rPr>
        <w:t>. والخامس: أدخلني مُدخل صدقٍ الجنةَ، وأخرجني مخرج صدق من مكة إِلى المدينة، رواه قتادة عن الحسن</w:t>
      </w:r>
      <w:r w:rsidR="00911ED4" w:rsidRPr="00911ED4">
        <w:rPr>
          <w:vertAlign w:val="superscript"/>
          <w:rtl/>
        </w:rPr>
        <w:t>(</w:t>
      </w:r>
      <w:r w:rsidR="00911ED4" w:rsidRPr="00911ED4">
        <w:rPr>
          <w:vertAlign w:val="superscript"/>
          <w:rtl/>
        </w:rPr>
        <w:footnoteReference w:id="556"/>
      </w:r>
      <w:r w:rsidR="00911ED4" w:rsidRPr="00911ED4">
        <w:rPr>
          <w:vertAlign w:val="superscript"/>
          <w:rtl/>
        </w:rPr>
        <w:t>)</w:t>
      </w:r>
      <w:r w:rsidR="00911ED4" w:rsidRPr="00911ED4">
        <w:rPr>
          <w:rtl/>
        </w:rPr>
        <w:t>. والسادس: أدخِلني في النبوَّة والرسالة، وأخرجني منها مخرج صدق، قاله مجاهد</w:t>
      </w:r>
      <w:r w:rsidR="00911ED4" w:rsidRPr="00911ED4">
        <w:rPr>
          <w:vertAlign w:val="superscript"/>
          <w:rtl/>
        </w:rPr>
        <w:t>(</w:t>
      </w:r>
      <w:r w:rsidR="00911ED4" w:rsidRPr="00911ED4">
        <w:rPr>
          <w:vertAlign w:val="superscript"/>
          <w:rtl/>
        </w:rPr>
        <w:footnoteReference w:id="557"/>
      </w:r>
      <w:r w:rsidR="00911ED4" w:rsidRPr="00911ED4">
        <w:rPr>
          <w:vertAlign w:val="superscript"/>
          <w:rtl/>
        </w:rPr>
        <w:t>)</w:t>
      </w:r>
      <w:r w:rsidR="00911ED4" w:rsidRPr="00911ED4">
        <w:rPr>
          <w:rtl/>
        </w:rPr>
        <w:t>، يعني: أخرجني مما يجب عليَّ فيها. والسابع: أدخِلني في الإِسلام، وأخرجني منه، قاله أبو صالح</w:t>
      </w:r>
      <w:r w:rsidR="00911ED4" w:rsidRPr="00911ED4">
        <w:rPr>
          <w:vertAlign w:val="superscript"/>
          <w:rtl/>
        </w:rPr>
        <w:t>(</w:t>
      </w:r>
      <w:r w:rsidR="00911ED4" w:rsidRPr="00911ED4">
        <w:rPr>
          <w:vertAlign w:val="superscript"/>
          <w:rtl/>
        </w:rPr>
        <w:footnoteReference w:id="558"/>
      </w:r>
      <w:r w:rsidR="00911ED4" w:rsidRPr="00911ED4">
        <w:rPr>
          <w:vertAlign w:val="superscript"/>
          <w:rtl/>
        </w:rPr>
        <w:t>)</w:t>
      </w:r>
      <w:r w:rsidR="00911ED4" w:rsidRPr="00911ED4">
        <w:rPr>
          <w:rtl/>
        </w:rPr>
        <w:t>يعني: من أداء ما وجب عليَّ فيه إِذا جاء الموت. والثامن: أدخِلني في طاعتك، وأخرجني منها، أي: سالماً غير مقصِّر في أدائها، قاله عطاء</w:t>
      </w:r>
      <w:r w:rsidR="00911ED4" w:rsidRPr="00911ED4">
        <w:rPr>
          <w:vertAlign w:val="superscript"/>
          <w:rtl/>
        </w:rPr>
        <w:t>(</w:t>
      </w:r>
      <w:r w:rsidR="00911ED4" w:rsidRPr="00911ED4">
        <w:rPr>
          <w:vertAlign w:val="superscript"/>
          <w:rtl/>
        </w:rPr>
        <w:footnoteReference w:id="559"/>
      </w:r>
      <w:r w:rsidR="00911ED4" w:rsidRPr="00911ED4">
        <w:rPr>
          <w:vertAlign w:val="superscript"/>
          <w:rtl/>
        </w:rPr>
        <w:t>)</w:t>
      </w:r>
      <w:r w:rsidR="00D71211">
        <w:rPr>
          <w:rtl/>
        </w:rPr>
        <w:t>. والتاسع:</w:t>
      </w:r>
      <w:r w:rsidR="00FF0C4E">
        <w:rPr>
          <w:rFonts w:hint="cs"/>
          <w:rtl/>
        </w:rPr>
        <w:t xml:space="preserve"> </w:t>
      </w:r>
      <w:r w:rsidR="00D71211">
        <w:rPr>
          <w:rtl/>
        </w:rPr>
        <w:t>أدخِلني الغار،</w:t>
      </w:r>
      <w:r w:rsidR="00D71211">
        <w:rPr>
          <w:rFonts w:hint="cs"/>
          <w:rtl/>
        </w:rPr>
        <w:t xml:space="preserve"> </w:t>
      </w:r>
      <w:r w:rsidR="00911ED4" w:rsidRPr="00911ED4">
        <w:rPr>
          <w:rtl/>
        </w:rPr>
        <w:t>وأخرجني منه، قاله محمد بن المنكدر</w:t>
      </w:r>
      <w:r w:rsidR="00911ED4" w:rsidRPr="00911ED4">
        <w:rPr>
          <w:vertAlign w:val="superscript"/>
          <w:rtl/>
        </w:rPr>
        <w:t>(</w:t>
      </w:r>
      <w:r w:rsidR="00911ED4" w:rsidRPr="00911ED4">
        <w:rPr>
          <w:rFonts w:ascii="Traditional Arabic" w:hAnsi="Traditional Arabic"/>
          <w:vertAlign w:val="superscript"/>
          <w:rtl/>
        </w:rPr>
        <w:footnoteReference w:id="560"/>
      </w:r>
      <w:r w:rsidR="00911ED4" w:rsidRPr="00911ED4">
        <w:rPr>
          <w:rFonts w:ascii="Traditional Arabic" w:hAnsi="Traditional Arabic"/>
          <w:vertAlign w:val="superscript"/>
          <w:rtl/>
        </w:rPr>
        <w:t>)</w:t>
      </w:r>
      <w:r w:rsidR="00911ED4" w:rsidRPr="00911ED4">
        <w:rPr>
          <w:rFonts w:ascii="Traditional Arabic" w:hAnsi="Traditional Arabic"/>
          <w:vertAlign w:val="superscript"/>
        </w:rPr>
        <w:t>(</w:t>
      </w:r>
      <w:r w:rsidR="00911ED4" w:rsidRPr="00911ED4">
        <w:rPr>
          <w:rFonts w:ascii="Traditional Arabic" w:hAnsi="Traditional Arabic"/>
          <w:vertAlign w:val="superscript"/>
        </w:rPr>
        <w:footnoteReference w:id="561"/>
      </w:r>
      <w:r w:rsidR="00911ED4" w:rsidRPr="00911ED4">
        <w:rPr>
          <w:rFonts w:ascii="Traditional Arabic" w:hAnsi="Traditional Arabic"/>
          <w:vertAlign w:val="superscript"/>
        </w:rPr>
        <w:t>)</w:t>
      </w:r>
      <w:r w:rsidR="00911ED4" w:rsidRPr="00911ED4">
        <w:rPr>
          <w:rtl/>
        </w:rPr>
        <w:t>. والعاشر: أدخلني في الدِّين، وأخرجني من الدنيا وأنا على الحق، ذكره الزجاج</w:t>
      </w:r>
      <w:r w:rsidR="00911ED4" w:rsidRPr="00911ED4">
        <w:rPr>
          <w:vertAlign w:val="superscript"/>
          <w:rtl/>
        </w:rPr>
        <w:t>(</w:t>
      </w:r>
      <w:r w:rsidR="00911ED4" w:rsidRPr="00911ED4">
        <w:rPr>
          <w:vertAlign w:val="superscript"/>
          <w:rtl/>
        </w:rPr>
        <w:footnoteReference w:id="562"/>
      </w:r>
      <w:r w:rsidR="00911ED4" w:rsidRPr="00911ED4">
        <w:rPr>
          <w:vertAlign w:val="superscript"/>
          <w:rtl/>
        </w:rPr>
        <w:t>)</w:t>
      </w:r>
      <w:r w:rsidR="00911ED4" w:rsidRPr="00911ED4">
        <w:rPr>
          <w:rtl/>
        </w:rPr>
        <w:t>.والحادي عشر: أدخلني مكة، وأخرجني إِلى حُنَين</w:t>
      </w:r>
      <w:r w:rsidR="00911ED4" w:rsidRPr="00911ED4">
        <w:rPr>
          <w:vertAlign w:val="superscript"/>
          <w:rtl/>
        </w:rPr>
        <w:t>(</w:t>
      </w:r>
      <w:r w:rsidR="00911ED4" w:rsidRPr="00911ED4">
        <w:rPr>
          <w:vertAlign w:val="superscript"/>
          <w:rtl/>
        </w:rPr>
        <w:footnoteReference w:id="563"/>
      </w:r>
      <w:r w:rsidR="00911ED4" w:rsidRPr="00911ED4">
        <w:rPr>
          <w:vertAlign w:val="superscript"/>
          <w:rtl/>
        </w:rPr>
        <w:t>)</w:t>
      </w:r>
      <w:r w:rsidR="00911ED4" w:rsidRPr="00911ED4">
        <w:rPr>
          <w:rtl/>
        </w:rPr>
        <w:t xml:space="preserve">، ذكره </w:t>
      </w:r>
      <w:r w:rsidR="00911ED4" w:rsidRPr="00911ED4">
        <w:rPr>
          <w:rtl/>
        </w:rPr>
        <w:lastRenderedPageBreak/>
        <w:t>أبو سليمان الدمشقي</w:t>
      </w:r>
      <w:r w:rsidR="00911ED4" w:rsidRPr="00911ED4">
        <w:rPr>
          <w:vertAlign w:val="superscript"/>
          <w:rtl/>
        </w:rPr>
        <w:t>(</w:t>
      </w:r>
      <w:r w:rsidR="00911ED4" w:rsidRPr="00911ED4">
        <w:rPr>
          <w:vertAlign w:val="superscript"/>
          <w:rtl/>
        </w:rPr>
        <w:footnoteReference w:id="564"/>
      </w:r>
      <w:r w:rsidR="00911ED4" w:rsidRPr="00911ED4">
        <w:rPr>
          <w:vertAlign w:val="superscript"/>
          <w:rtl/>
        </w:rPr>
        <w:t>)</w:t>
      </w:r>
      <w:r w:rsidR="00911ED4" w:rsidRPr="00911ED4">
        <w:rPr>
          <w:rtl/>
        </w:rPr>
        <w:t>. وأما إِضافة الصدق إِلى المُدخل والمُخرج، فهو مدح لهما. وقد شرحنا هذا المعنى في يونس</w:t>
      </w:r>
      <w:r w:rsidR="00911ED4" w:rsidRPr="00911ED4">
        <w:rPr>
          <w:vertAlign w:val="superscript"/>
          <w:rtl/>
        </w:rPr>
        <w:t>(</w:t>
      </w:r>
      <w:r w:rsidR="00911ED4" w:rsidRPr="00911ED4">
        <w:rPr>
          <w:vertAlign w:val="superscript"/>
          <w:rtl/>
        </w:rPr>
        <w:footnoteReference w:id="565"/>
      </w:r>
      <w:r w:rsidR="00911ED4" w:rsidRPr="00911ED4">
        <w:rPr>
          <w:vertAlign w:val="superscript"/>
          <w:rtl/>
        </w:rPr>
        <w:t>)</w:t>
      </w:r>
      <w:r w:rsidR="00911ED4" w:rsidRPr="00911ED4">
        <w:rPr>
          <w:rtl/>
        </w:rPr>
        <w:t>.</w:t>
      </w:r>
      <w:r w:rsidR="00911ED4" w:rsidRPr="00911ED4">
        <w:rPr>
          <w:rFonts w:ascii="Arial" w:hAnsi="Arial" w:cs="Arial"/>
          <w:sz w:val="18"/>
          <w:szCs w:val="18"/>
          <w:rtl/>
          <w:lang w:eastAsia="en-US"/>
        </w:rPr>
        <w:t xml:space="preserve"> </w:t>
      </w:r>
    </w:p>
    <w:p w:rsidR="00911ED4" w:rsidRPr="00911ED4" w:rsidRDefault="00911ED4" w:rsidP="00156316">
      <w:pPr>
        <w:ind w:firstLine="0"/>
        <w:rPr>
          <w:rtl/>
        </w:rPr>
      </w:pPr>
      <w:r w:rsidRPr="00911ED4">
        <w:rPr>
          <w:rtl/>
        </w:rPr>
        <w:t xml:space="preserve">قوله تعالى: </w:t>
      </w:r>
      <w:r w:rsidRPr="00911ED4">
        <w:rPr>
          <w:rFonts w:ascii="QCF_BSML" w:hAnsi="QCF_BSML" w:cs="QCF_BSML"/>
          <w:sz w:val="32"/>
          <w:szCs w:val="32"/>
          <w:rtl/>
          <w:lang w:eastAsia="en-US"/>
        </w:rPr>
        <w:t>ﭽ</w:t>
      </w:r>
      <w:r w:rsidRPr="00911ED4">
        <w:rPr>
          <w:rFonts w:ascii="QCF_P290" w:hAnsi="QCF_P290" w:cs="QCF_P290"/>
          <w:sz w:val="32"/>
          <w:szCs w:val="32"/>
          <w:rtl/>
          <w:lang w:eastAsia="en-US"/>
        </w:rPr>
        <w:t>ﮒ  ﮓ  ﮔ   ﮕ</w:t>
      </w:r>
      <w:r w:rsidRPr="00911ED4">
        <w:rPr>
          <w:rFonts w:ascii="QCF_BSML" w:hAnsi="QCF_BSML" w:cs="QCF_BSML"/>
          <w:sz w:val="32"/>
          <w:szCs w:val="32"/>
          <w:rtl/>
          <w:lang w:eastAsia="en-US"/>
        </w:rPr>
        <w:t>ﭼ</w:t>
      </w:r>
      <w:r w:rsidRPr="00911ED4">
        <w:rPr>
          <w:rFonts w:ascii="QCF_P290" w:hAnsi="QCF_P290" w:cs="QCF_P290"/>
          <w:sz w:val="47"/>
          <w:szCs w:val="47"/>
          <w:rtl/>
          <w:lang w:eastAsia="en-US"/>
        </w:rPr>
        <w:t xml:space="preserve">  </w:t>
      </w:r>
      <w:r w:rsidRPr="00911ED4">
        <w:rPr>
          <w:rtl/>
        </w:rPr>
        <w:t xml:space="preserve">أي: من عندك </w:t>
      </w:r>
      <w:r w:rsidRPr="00911ED4">
        <w:rPr>
          <w:rFonts w:ascii="QCF_BSML" w:hAnsi="QCF_BSML" w:cs="QCF_BSML"/>
          <w:sz w:val="32"/>
          <w:szCs w:val="32"/>
          <w:rtl/>
          <w:lang w:eastAsia="en-US"/>
        </w:rPr>
        <w:t>ﭽ</w:t>
      </w:r>
      <w:r w:rsidRPr="00911ED4">
        <w:rPr>
          <w:rFonts w:ascii="QCF_P290" w:hAnsi="QCF_P290" w:cs="QCF_P290"/>
          <w:sz w:val="32"/>
          <w:szCs w:val="32"/>
          <w:rtl/>
          <w:lang w:eastAsia="en-US"/>
        </w:rPr>
        <w:t>ﮖ</w:t>
      </w:r>
      <w:r w:rsidRPr="00911ED4">
        <w:rPr>
          <w:rFonts w:ascii="QCF_BSML" w:hAnsi="QCF_BSML" w:cs="QCF_BSML"/>
          <w:sz w:val="32"/>
          <w:szCs w:val="32"/>
          <w:rtl/>
          <w:lang w:eastAsia="en-US"/>
        </w:rPr>
        <w:t>ﭼ</w:t>
      </w:r>
      <w:r w:rsidRPr="00911ED4">
        <w:rPr>
          <w:rtl/>
        </w:rPr>
        <w:t xml:space="preserve"> وفيه ثلاثة أقوال: أحدها: أنه التسلُّط على الكافرين بالسيف، وعلى المنافقين ب</w:t>
      </w:r>
      <w:r w:rsidRPr="00911ED4">
        <w:rPr>
          <w:rFonts w:hint="cs"/>
          <w:rtl/>
        </w:rPr>
        <w:t>إ</w:t>
      </w:r>
      <w:r w:rsidRPr="00911ED4">
        <w:rPr>
          <w:rtl/>
        </w:rPr>
        <w:t>قامة الحدود، قاله الحسن</w:t>
      </w:r>
      <w:r w:rsidRPr="00911ED4">
        <w:rPr>
          <w:vertAlign w:val="superscript"/>
          <w:rtl/>
        </w:rPr>
        <w:t>(</w:t>
      </w:r>
      <w:r w:rsidRPr="00911ED4">
        <w:rPr>
          <w:vertAlign w:val="superscript"/>
          <w:rtl/>
        </w:rPr>
        <w:footnoteReference w:id="566"/>
      </w:r>
      <w:r w:rsidRPr="00911ED4">
        <w:rPr>
          <w:vertAlign w:val="superscript"/>
          <w:rtl/>
        </w:rPr>
        <w:t>)</w:t>
      </w:r>
      <w:r w:rsidRPr="00911ED4">
        <w:rPr>
          <w:rtl/>
        </w:rPr>
        <w:t>. والثاني: أنه الحُجة البيِّنة، قاله مجاهد</w:t>
      </w:r>
      <w:r w:rsidRPr="00911ED4">
        <w:rPr>
          <w:vertAlign w:val="superscript"/>
          <w:rtl/>
        </w:rPr>
        <w:t>(</w:t>
      </w:r>
      <w:r w:rsidRPr="00911ED4">
        <w:rPr>
          <w:vertAlign w:val="superscript"/>
          <w:rtl/>
        </w:rPr>
        <w:footnoteReference w:id="567"/>
      </w:r>
      <w:r w:rsidRPr="00911ED4">
        <w:rPr>
          <w:vertAlign w:val="superscript"/>
          <w:rtl/>
        </w:rPr>
        <w:t>)</w:t>
      </w:r>
      <w:r w:rsidRPr="00911ED4">
        <w:rPr>
          <w:rtl/>
        </w:rPr>
        <w:t>. والثالث: الم</w:t>
      </w:r>
      <w:r w:rsidRPr="00911ED4">
        <w:rPr>
          <w:rFonts w:hint="cs"/>
          <w:rtl/>
        </w:rPr>
        <w:t>ُ</w:t>
      </w:r>
      <w:r w:rsidRPr="00911ED4">
        <w:rPr>
          <w:rtl/>
        </w:rPr>
        <w:t>لك العزيز الذي يُقهَر به</w:t>
      </w:r>
      <w:r w:rsidR="00156316">
        <w:rPr>
          <w:rFonts w:ascii="Traditional Arabic" w:hAnsi="Traditional Arabic" w:hint="cs"/>
          <w:rtl/>
          <w:lang w:eastAsia="en-US"/>
        </w:rPr>
        <w:t xml:space="preserve"> </w:t>
      </w:r>
      <w:r w:rsidR="00156316">
        <w:rPr>
          <w:rFonts w:ascii="QCF_BSML" w:hAnsi="QCF_BSML" w:cs="QCF_BSML" w:hint="cs"/>
          <w:color w:val="0D0D0D" w:themeColor="text1" w:themeTint="F2"/>
          <w:sz w:val="32"/>
          <w:szCs w:val="32"/>
          <w:rtl/>
          <w:lang w:eastAsia="en-US"/>
        </w:rPr>
        <w:t xml:space="preserve"> </w:t>
      </w:r>
      <w:r w:rsidR="00156316" w:rsidRPr="001277AD">
        <w:rPr>
          <w:rFonts w:hint="cs"/>
          <w:color w:val="0D0D0D" w:themeColor="text1" w:themeTint="F2"/>
          <w:sz w:val="32"/>
          <w:szCs w:val="32"/>
          <w:rtl/>
        </w:rPr>
        <w:t>[</w:t>
      </w:r>
      <w:r w:rsidR="00156316">
        <w:rPr>
          <w:rFonts w:hint="cs"/>
          <w:color w:val="0D0D0D" w:themeColor="text1" w:themeTint="F2"/>
          <w:sz w:val="32"/>
          <w:szCs w:val="32"/>
          <w:rtl/>
        </w:rPr>
        <w:t>86</w:t>
      </w:r>
      <w:r w:rsidR="00156316" w:rsidRPr="001277AD">
        <w:rPr>
          <w:rFonts w:hint="cs"/>
          <w:color w:val="0D0D0D" w:themeColor="text1" w:themeTint="F2"/>
          <w:sz w:val="32"/>
          <w:szCs w:val="32"/>
          <w:rtl/>
        </w:rPr>
        <w:t>]</w:t>
      </w:r>
      <w:r w:rsidRPr="00911ED4">
        <w:rPr>
          <w:rtl/>
        </w:rPr>
        <w:t xml:space="preserve"> العصاة، قاله قتادة</w:t>
      </w:r>
      <w:r w:rsidRPr="00911ED4">
        <w:rPr>
          <w:vertAlign w:val="superscript"/>
          <w:rtl/>
        </w:rPr>
        <w:t>(</w:t>
      </w:r>
      <w:r w:rsidRPr="00911ED4">
        <w:rPr>
          <w:vertAlign w:val="superscript"/>
          <w:rtl/>
        </w:rPr>
        <w:footnoteReference w:id="568"/>
      </w:r>
      <w:r w:rsidRPr="00911ED4">
        <w:rPr>
          <w:vertAlign w:val="superscript"/>
          <w:rtl/>
        </w:rPr>
        <w:t>)</w:t>
      </w:r>
      <w:r w:rsidRPr="00911ED4">
        <w:rPr>
          <w:rtl/>
        </w:rPr>
        <w:t xml:space="preserve">. </w:t>
      </w:r>
    </w:p>
    <w:p w:rsidR="00911ED4" w:rsidRPr="00911ED4" w:rsidRDefault="00911ED4" w:rsidP="00911ED4">
      <w:pPr>
        <w:ind w:firstLine="0"/>
        <w:rPr>
          <w:rFonts w:ascii="Traditional Arabic" w:hAnsi="Traditional Arabic"/>
          <w:rtl/>
        </w:rPr>
      </w:pPr>
      <w:r w:rsidRPr="00911ED4">
        <w:rPr>
          <w:rtl/>
        </w:rPr>
        <w:t xml:space="preserve">وقال ابن الأنباري: </w:t>
      </w:r>
      <w:r w:rsidRPr="00911ED4">
        <w:rPr>
          <w:rFonts w:ascii="Traditional Arabic" w:hAnsi="Traditional Arabic"/>
          <w:rtl/>
        </w:rPr>
        <w:t>وقوله تعالى:</w:t>
      </w:r>
      <w:r w:rsidRPr="00911ED4">
        <w:rPr>
          <w:rFonts w:ascii="QCF_BSML" w:hAnsi="QCF_BSML" w:cs="QCF_BSML"/>
          <w:sz w:val="32"/>
          <w:szCs w:val="32"/>
          <w:rtl/>
          <w:lang w:eastAsia="en-US"/>
        </w:rPr>
        <w:t xml:space="preserve"> ﭽ</w:t>
      </w:r>
      <w:r w:rsidRPr="00911ED4">
        <w:rPr>
          <w:rFonts w:ascii="QCF_P290" w:hAnsi="QCF_P290" w:cs="QCF_P290"/>
          <w:sz w:val="32"/>
          <w:szCs w:val="32"/>
          <w:rtl/>
          <w:lang w:eastAsia="en-US"/>
        </w:rPr>
        <w:t>ﮗ</w:t>
      </w:r>
      <w:r w:rsidRPr="00911ED4">
        <w:rPr>
          <w:rFonts w:ascii="QCF_BSML" w:hAnsi="QCF_BSML" w:cs="QCF_BSML"/>
          <w:sz w:val="32"/>
          <w:szCs w:val="32"/>
          <w:rtl/>
          <w:lang w:eastAsia="en-US"/>
        </w:rPr>
        <w:t>ﭼ</w:t>
      </w:r>
      <w:r w:rsidRPr="00911ED4">
        <w:rPr>
          <w:rtl/>
        </w:rPr>
        <w:t xml:space="preserve"> </w:t>
      </w:r>
      <w:r w:rsidRPr="00911ED4">
        <w:rPr>
          <w:rFonts w:ascii="Traditional Arabic" w:hAnsi="Traditional Arabic"/>
          <w:rtl/>
        </w:rPr>
        <w:t>يجوز أن يكون بمعنى مُنْصَراً</w:t>
      </w:r>
      <w:r w:rsidRPr="00911ED4">
        <w:rPr>
          <w:vertAlign w:val="superscript"/>
          <w:rtl/>
        </w:rPr>
        <w:t>(</w:t>
      </w:r>
      <w:r w:rsidRPr="00911ED4">
        <w:rPr>
          <w:vertAlign w:val="superscript"/>
          <w:rtl/>
        </w:rPr>
        <w:footnoteReference w:id="569"/>
      </w:r>
      <w:r w:rsidRPr="00911ED4">
        <w:rPr>
          <w:vertAlign w:val="superscript"/>
          <w:rtl/>
        </w:rPr>
        <w:t>)</w:t>
      </w:r>
      <w:r w:rsidRPr="00911ED4">
        <w:rPr>
          <w:rFonts w:ascii="Traditional Arabic" w:hAnsi="Traditional Arabic"/>
          <w:rtl/>
        </w:rPr>
        <w:t>، ويصلح أن يكون تأويله ناصرا</w:t>
      </w:r>
      <w:r w:rsidRPr="00911ED4">
        <w:rPr>
          <w:rFonts w:ascii="Traditional Arabic" w:hAnsi="Traditional Arabic" w:hint="cs"/>
          <w:rtl/>
        </w:rPr>
        <w:t>ً</w:t>
      </w:r>
      <w:r w:rsidRPr="00911ED4">
        <w:rPr>
          <w:vertAlign w:val="superscript"/>
          <w:rtl/>
        </w:rPr>
        <w:t>(</w:t>
      </w:r>
      <w:r w:rsidRPr="00911ED4">
        <w:rPr>
          <w:vertAlign w:val="superscript"/>
          <w:rtl/>
        </w:rPr>
        <w:footnoteReference w:id="570"/>
      </w:r>
      <w:r w:rsidRPr="00911ED4">
        <w:rPr>
          <w:vertAlign w:val="superscript"/>
          <w:rtl/>
        </w:rPr>
        <w:t>)</w:t>
      </w:r>
      <w:r w:rsidRPr="00911ED4">
        <w:rPr>
          <w:rFonts w:ascii="Traditional Arabic" w:hAnsi="Traditional Arabic"/>
          <w:rtl/>
        </w:rPr>
        <w:t>.</w:t>
      </w:r>
      <w:r w:rsidRPr="00911ED4">
        <w:rPr>
          <w:rFonts w:ascii="Traditional Arabic" w:hAnsi="Traditional Arabic" w:hint="cs"/>
          <w:rtl/>
        </w:rPr>
        <w:t xml:space="preserve"> </w:t>
      </w:r>
      <w:r w:rsidRPr="00911ED4">
        <w:rPr>
          <w:rFonts w:ascii="Traditional Arabic" w:hAnsi="Traditional Arabic"/>
          <w:rtl/>
        </w:rPr>
        <w:t xml:space="preserve">قوله تعالى: </w:t>
      </w:r>
      <w:r w:rsidRPr="00911ED4">
        <w:rPr>
          <w:rFonts w:ascii="QCF_BSML" w:hAnsi="QCF_BSML" w:cs="QCF_BSML"/>
          <w:sz w:val="32"/>
          <w:szCs w:val="32"/>
          <w:rtl/>
          <w:lang w:eastAsia="en-US"/>
        </w:rPr>
        <w:t xml:space="preserve">ﭽ </w:t>
      </w:r>
      <w:r w:rsidRPr="00911ED4">
        <w:rPr>
          <w:rFonts w:ascii="QCF_P290" w:hAnsi="QCF_P290" w:cs="QCF_P290"/>
          <w:sz w:val="32"/>
          <w:szCs w:val="32"/>
          <w:rtl/>
          <w:lang w:eastAsia="en-US"/>
        </w:rPr>
        <w:t xml:space="preserve">ﮙ  ﮚ  ﮛ  </w:t>
      </w:r>
      <w:r w:rsidRPr="00911ED4">
        <w:rPr>
          <w:rFonts w:ascii="QCF_P290" w:hAnsi="QCF_P290" w:cs="QCF_P290"/>
          <w:color w:val="auto"/>
          <w:sz w:val="32"/>
          <w:szCs w:val="32"/>
          <w:rtl/>
          <w:lang w:eastAsia="en-US"/>
        </w:rPr>
        <w:t>ﮜ  ﮝ</w:t>
      </w:r>
      <w:r w:rsidRPr="00911ED4">
        <w:rPr>
          <w:rFonts w:ascii="QCF_BSML" w:hAnsi="QCF_BSML" w:cs="QCF_BSML"/>
          <w:sz w:val="32"/>
          <w:szCs w:val="32"/>
          <w:rtl/>
          <w:lang w:eastAsia="en-US"/>
        </w:rPr>
        <w:t>ﭼ</w:t>
      </w:r>
      <w:r w:rsidRPr="00911ED4">
        <w:rPr>
          <w:rFonts w:ascii="Traditional Arabic" w:hAnsi="Traditional Arabic"/>
          <w:rtl/>
        </w:rPr>
        <w:t xml:space="preserve"> فيه أربعة أقوال: أحدها: أن الحق: الإِسلام، والباطل: الشرك، قاله أبو صالح عن ابن عباس</w:t>
      </w:r>
      <w:r w:rsidRPr="00911ED4">
        <w:rPr>
          <w:vertAlign w:val="superscript"/>
          <w:rtl/>
        </w:rPr>
        <w:t>(</w:t>
      </w:r>
      <w:r w:rsidRPr="00911ED4">
        <w:rPr>
          <w:vertAlign w:val="superscript"/>
          <w:rtl/>
        </w:rPr>
        <w:footnoteReference w:id="571"/>
      </w:r>
      <w:r w:rsidRPr="00911ED4">
        <w:rPr>
          <w:vertAlign w:val="superscript"/>
          <w:rtl/>
        </w:rPr>
        <w:t>)</w:t>
      </w:r>
      <w:r w:rsidRPr="00911ED4">
        <w:rPr>
          <w:rFonts w:ascii="Traditional Arabic" w:hAnsi="Traditional Arabic"/>
          <w:rtl/>
        </w:rPr>
        <w:t>. والثاني: أن الحق: القرآن، والباطل: الشيطان، قاله قتادة</w:t>
      </w:r>
      <w:r w:rsidRPr="00911ED4">
        <w:rPr>
          <w:vertAlign w:val="superscript"/>
          <w:rtl/>
        </w:rPr>
        <w:t>(</w:t>
      </w:r>
      <w:r w:rsidRPr="00911ED4">
        <w:rPr>
          <w:vertAlign w:val="superscript"/>
          <w:rtl/>
        </w:rPr>
        <w:footnoteReference w:id="572"/>
      </w:r>
      <w:r w:rsidRPr="00911ED4">
        <w:rPr>
          <w:vertAlign w:val="superscript"/>
          <w:rtl/>
        </w:rPr>
        <w:t>)</w:t>
      </w:r>
      <w:r w:rsidRPr="00911ED4">
        <w:rPr>
          <w:rFonts w:ascii="Traditional Arabic" w:hAnsi="Traditional Arabic"/>
          <w:rtl/>
        </w:rPr>
        <w:t>. والثالث: أن الحق: الجهاد، والباطل: الشرك، قاله ابن جريج</w:t>
      </w:r>
      <w:r w:rsidRPr="00911ED4">
        <w:rPr>
          <w:vertAlign w:val="superscript"/>
          <w:rtl/>
        </w:rPr>
        <w:t>(</w:t>
      </w:r>
      <w:r w:rsidRPr="00911ED4">
        <w:rPr>
          <w:vertAlign w:val="superscript"/>
          <w:rtl/>
        </w:rPr>
        <w:footnoteReference w:id="573"/>
      </w:r>
      <w:r w:rsidRPr="00911ED4">
        <w:rPr>
          <w:vertAlign w:val="superscript"/>
          <w:rtl/>
        </w:rPr>
        <w:t>)</w:t>
      </w:r>
      <w:r w:rsidRPr="00911ED4">
        <w:rPr>
          <w:rFonts w:ascii="Traditional Arabic" w:hAnsi="Traditional Arabic"/>
          <w:rtl/>
        </w:rPr>
        <w:t>. والرابع: الحق: عبادة الله، والباطل: عبادة الأصنام، قاله مقاتل</w:t>
      </w:r>
      <w:r w:rsidRPr="00911ED4">
        <w:rPr>
          <w:vertAlign w:val="superscript"/>
          <w:rtl/>
        </w:rPr>
        <w:t>(</w:t>
      </w:r>
      <w:r w:rsidRPr="00911ED4">
        <w:rPr>
          <w:vertAlign w:val="superscript"/>
          <w:rtl/>
        </w:rPr>
        <w:footnoteReference w:id="574"/>
      </w:r>
      <w:r w:rsidRPr="00911ED4">
        <w:rPr>
          <w:vertAlign w:val="superscript"/>
          <w:rtl/>
        </w:rPr>
        <w:t>)</w:t>
      </w:r>
      <w:r w:rsidRPr="00911ED4">
        <w:rPr>
          <w:rFonts w:ascii="Traditional Arabic" w:hAnsi="Traditional Arabic"/>
          <w:rtl/>
        </w:rPr>
        <w:t>. ومعنى «زهق» : بَطَل واضمحلَّ</w:t>
      </w:r>
      <w:r w:rsidRPr="00911ED4">
        <w:rPr>
          <w:rFonts w:ascii="Traditional Arabic" w:hAnsi="Traditional Arabic" w:hint="cs"/>
          <w:rtl/>
        </w:rPr>
        <w:t>,</w:t>
      </w:r>
      <w:r w:rsidRPr="00911ED4">
        <w:rPr>
          <w:rFonts w:ascii="Traditional Arabic" w:hAnsi="Traditional Arabic"/>
          <w:rtl/>
        </w:rPr>
        <w:t xml:space="preserve"> وكلُّ شيء هلك وبَطَل فقد زَهَق، وزَهَقت نفسُه: تلفت</w:t>
      </w:r>
      <w:r w:rsidRPr="00911ED4">
        <w:rPr>
          <w:vertAlign w:val="superscript"/>
          <w:rtl/>
        </w:rPr>
        <w:t>(</w:t>
      </w:r>
      <w:r w:rsidRPr="00911ED4">
        <w:rPr>
          <w:vertAlign w:val="superscript"/>
          <w:rtl/>
        </w:rPr>
        <w:footnoteReference w:id="575"/>
      </w:r>
      <w:r w:rsidRPr="00911ED4">
        <w:rPr>
          <w:vertAlign w:val="superscript"/>
          <w:rtl/>
        </w:rPr>
        <w:t>)</w:t>
      </w:r>
      <w:r w:rsidRPr="00911ED4">
        <w:rPr>
          <w:rFonts w:ascii="Traditional Arabic" w:hAnsi="Traditional Arabic"/>
          <w:rtl/>
        </w:rPr>
        <w:t>.</w:t>
      </w:r>
      <w:r w:rsidRPr="00911ED4">
        <w:rPr>
          <w:rFonts w:ascii="Traditional Arabic" w:hAnsi="Traditional Arabic" w:hint="cs"/>
          <w:rtl/>
        </w:rPr>
        <w:t xml:space="preserve"> </w:t>
      </w:r>
      <w:r w:rsidRPr="00911ED4">
        <w:rPr>
          <w:rFonts w:ascii="Traditional Arabic" w:hAnsi="Traditional Arabic"/>
          <w:rtl/>
        </w:rPr>
        <w:t xml:space="preserve">وروى ابن مسعود أنّ رسول الله </w:t>
      </w:r>
      <w:r w:rsidRPr="00911ED4">
        <w:rPr>
          <w:rFonts w:ascii="Traditional Arabic" w:hAnsi="Traditional Arabic"/>
        </w:rPr>
        <w:sym w:font="AGA Arabesque" w:char="F072"/>
      </w:r>
      <w:r w:rsidRPr="00911ED4">
        <w:rPr>
          <w:rFonts w:ascii="Traditional Arabic" w:hAnsi="Traditional Arabic" w:hint="cs"/>
          <w:rtl/>
        </w:rPr>
        <w:t xml:space="preserve"> </w:t>
      </w:r>
      <w:r w:rsidRPr="00911ED4">
        <w:rPr>
          <w:rFonts w:ascii="Traditional Arabic" w:hAnsi="Traditional Arabic"/>
          <w:rtl/>
        </w:rPr>
        <w:t>دخل مكة وحول البيت ثلاثمائة وستون صنماً، فجعل يطعنها ويقول:</w:t>
      </w:r>
      <w:r w:rsidRPr="00911ED4">
        <w:rPr>
          <w:rFonts w:ascii="QCF_BSML" w:hAnsi="QCF_BSML" w:cs="QCF_BSML"/>
          <w:sz w:val="32"/>
          <w:szCs w:val="32"/>
          <w:rtl/>
          <w:lang w:eastAsia="en-US"/>
        </w:rPr>
        <w:t xml:space="preserve"> </w:t>
      </w:r>
      <w:r w:rsidRPr="00911ED4">
        <w:rPr>
          <w:rFonts w:ascii="QCF_BSML" w:hAnsi="QCF_BSML" w:cs="QCF_BSML"/>
          <w:sz w:val="32"/>
          <w:szCs w:val="32"/>
          <w:rtl/>
          <w:lang w:eastAsia="en-US"/>
        </w:rPr>
        <w:lastRenderedPageBreak/>
        <w:t>ﭽ</w:t>
      </w:r>
      <w:r w:rsidRPr="00911ED4">
        <w:rPr>
          <w:rFonts w:ascii="QCF_P290" w:hAnsi="QCF_P290" w:cs="QCF_P290"/>
          <w:sz w:val="32"/>
          <w:szCs w:val="32"/>
          <w:rtl/>
          <w:lang w:eastAsia="en-US"/>
        </w:rPr>
        <w:t xml:space="preserve"> ﮚ  ﮛ  ﮜ  </w:t>
      </w:r>
      <w:r w:rsidRPr="00911ED4">
        <w:rPr>
          <w:rFonts w:ascii="QCF_P290" w:hAnsi="QCF_P290" w:cs="QCF_P290"/>
          <w:color w:val="auto"/>
          <w:sz w:val="32"/>
          <w:szCs w:val="32"/>
          <w:rtl/>
          <w:lang w:eastAsia="en-US"/>
        </w:rPr>
        <w:t xml:space="preserve">ﮝﮞ  ﮟ  ﮠ  </w:t>
      </w:r>
      <w:r w:rsidRPr="00911ED4">
        <w:rPr>
          <w:rFonts w:ascii="QCF_P290" w:hAnsi="QCF_P290" w:cs="QCF_P290"/>
          <w:sz w:val="32"/>
          <w:szCs w:val="32"/>
          <w:rtl/>
          <w:lang w:eastAsia="en-US"/>
        </w:rPr>
        <w:t>ﮡ  ﮢ</w:t>
      </w:r>
      <w:r w:rsidRPr="00911ED4">
        <w:rPr>
          <w:rFonts w:ascii="QCF_BSML" w:hAnsi="QCF_BSML" w:cs="QCF_BSML"/>
          <w:sz w:val="32"/>
          <w:szCs w:val="32"/>
          <w:rtl/>
          <w:lang w:eastAsia="en-US"/>
        </w:rPr>
        <w:t>ﭼ</w:t>
      </w:r>
      <w:r w:rsidRPr="00911ED4">
        <w:rPr>
          <w:vertAlign w:val="superscript"/>
          <w:rtl/>
        </w:rPr>
        <w:t>(</w:t>
      </w:r>
      <w:r w:rsidRPr="00911ED4">
        <w:rPr>
          <w:vertAlign w:val="superscript"/>
          <w:rtl/>
        </w:rPr>
        <w:footnoteReference w:id="576"/>
      </w:r>
      <w:r w:rsidRPr="00911ED4">
        <w:rPr>
          <w:vertAlign w:val="superscript"/>
          <w:rtl/>
        </w:rPr>
        <w:t>)</w:t>
      </w:r>
      <w:r w:rsidRPr="00911ED4">
        <w:rPr>
          <w:rFonts w:ascii="Traditional Arabic" w:hAnsi="Traditional Arabic"/>
          <w:rtl/>
        </w:rPr>
        <w:t>.</w:t>
      </w:r>
      <w:r w:rsidRPr="00911ED4">
        <w:rPr>
          <w:rFonts w:ascii="Traditional Arabic" w:hAnsi="Traditional Arabic" w:hint="cs"/>
          <w:rtl/>
        </w:rPr>
        <w:t xml:space="preserve"> </w:t>
      </w:r>
      <w:r w:rsidRPr="00911ED4">
        <w:rPr>
          <w:rFonts w:ascii="Traditional Arabic" w:hAnsi="Traditional Arabic"/>
          <w:rtl/>
        </w:rPr>
        <w:t>فإن قيل: كيف قلتم: إنّ</w:t>
      </w:r>
      <w:r w:rsidRPr="00911ED4">
        <w:rPr>
          <w:rFonts w:ascii="QCF_P290" w:hAnsi="QCF_P290" w:cs="QCF_P290"/>
          <w:sz w:val="32"/>
          <w:szCs w:val="32"/>
          <w:rtl/>
          <w:lang w:eastAsia="en-US"/>
        </w:rPr>
        <w:t xml:space="preserve">  </w:t>
      </w:r>
      <w:r w:rsidRPr="00911ED4">
        <w:rPr>
          <w:rFonts w:ascii="QCF_BSML" w:hAnsi="QCF_BSML" w:cs="QCF_BSML"/>
          <w:sz w:val="32"/>
          <w:szCs w:val="32"/>
          <w:rtl/>
          <w:lang w:eastAsia="en-US"/>
        </w:rPr>
        <w:t>ﭽ</w:t>
      </w:r>
      <w:r w:rsidRPr="00911ED4">
        <w:rPr>
          <w:rFonts w:ascii="QCF_P290" w:hAnsi="QCF_P290" w:cs="QCF_P290"/>
          <w:sz w:val="32"/>
          <w:szCs w:val="32"/>
          <w:rtl/>
          <w:lang w:eastAsia="en-US"/>
        </w:rPr>
        <w:t>ﮜ</w:t>
      </w:r>
      <w:r w:rsidRPr="00911ED4">
        <w:rPr>
          <w:rFonts w:ascii="QCF_BSML" w:hAnsi="QCF_BSML" w:cs="QCF_BSML"/>
          <w:sz w:val="32"/>
          <w:szCs w:val="32"/>
          <w:rtl/>
          <w:lang w:eastAsia="en-US"/>
        </w:rPr>
        <w:t>ﭼ</w:t>
      </w:r>
      <w:r w:rsidRPr="00911ED4">
        <w:rPr>
          <w:rFonts w:ascii="QCF_P290" w:hAnsi="QCF_P290" w:cs="QCF_P290"/>
          <w:sz w:val="32"/>
          <w:szCs w:val="32"/>
          <w:rtl/>
          <w:lang w:eastAsia="en-US"/>
        </w:rPr>
        <w:t xml:space="preserve">  </w:t>
      </w:r>
      <w:r w:rsidRPr="00911ED4">
        <w:rPr>
          <w:rFonts w:ascii="Traditional Arabic" w:hAnsi="Traditional Arabic"/>
          <w:rtl/>
        </w:rPr>
        <w:t>بمعنى بَطَل، والباطل موجود معمول عليه عند أهله؟</w:t>
      </w:r>
      <w:r w:rsidRPr="00911ED4">
        <w:rPr>
          <w:rFonts w:ascii="Traditional Arabic" w:hAnsi="Traditional Arabic" w:hint="cs"/>
          <w:rtl/>
        </w:rPr>
        <w:t xml:space="preserve"> </w:t>
      </w:r>
      <w:r w:rsidRPr="00911ED4">
        <w:rPr>
          <w:rFonts w:ascii="Traditional Arabic" w:hAnsi="Traditional Arabic"/>
          <w:rtl/>
        </w:rPr>
        <w:t>فالجواب: أن المراد من بطلانه وهلكته: وضوح عيبه، فيكون هالكاً عند المتدبِّر الناظر.</w:t>
      </w:r>
    </w:p>
    <w:p w:rsidR="00911ED4" w:rsidRPr="00911ED4" w:rsidRDefault="00911ED4" w:rsidP="00911ED4">
      <w:pPr>
        <w:ind w:firstLine="0"/>
        <w:rPr>
          <w:rFonts w:ascii="Traditional Arabic" w:hAnsi="Traditional Arabic"/>
          <w:color w:val="auto"/>
          <w:rtl/>
        </w:rPr>
      </w:pPr>
      <w:r w:rsidRPr="00911ED4">
        <w:rPr>
          <w:rFonts w:ascii="QCF_BSML" w:hAnsi="QCF_BSML" w:cs="QCF_BSML"/>
          <w:color w:val="auto"/>
          <w:sz w:val="32"/>
          <w:szCs w:val="32"/>
          <w:rtl/>
          <w:lang w:eastAsia="en-US"/>
        </w:rPr>
        <w:t xml:space="preserve">ﭽ </w:t>
      </w:r>
      <w:r w:rsidRPr="00911ED4">
        <w:rPr>
          <w:rFonts w:ascii="QCF_P290" w:hAnsi="QCF_P290" w:cs="QCF_P290"/>
          <w:color w:val="auto"/>
          <w:sz w:val="32"/>
          <w:szCs w:val="32"/>
          <w:rtl/>
          <w:lang w:eastAsia="en-US"/>
        </w:rPr>
        <w:t xml:space="preserve">ﮤ  ﮥ  ﮦ  ﮧ  ﮨ  ﮩ   ﮪ  ﮫﮬ  ﮭ  ﮮ  ﮯ  ﮰ    ﮱ  ﯓ  </w:t>
      </w:r>
      <w:r w:rsidRPr="00911ED4">
        <w:rPr>
          <w:rFonts w:ascii="QCF_BSML" w:hAnsi="QCF_BSML" w:cs="QCF_BSML"/>
          <w:color w:val="auto"/>
          <w:sz w:val="32"/>
          <w:szCs w:val="32"/>
          <w:rtl/>
          <w:lang w:eastAsia="en-US"/>
        </w:rPr>
        <w:t>ﭼ</w:t>
      </w:r>
    </w:p>
    <w:p w:rsidR="00911ED4" w:rsidRPr="00911ED4" w:rsidRDefault="00911ED4" w:rsidP="00911ED4">
      <w:pPr>
        <w:ind w:firstLine="0"/>
        <w:rPr>
          <w:rFonts w:ascii="Traditional Arabic" w:hAnsi="Traditional Arabic"/>
          <w:rtl/>
        </w:rPr>
      </w:pPr>
      <w:r w:rsidRPr="00911ED4">
        <w:rPr>
          <w:rFonts w:ascii="Traditional Arabic" w:hAnsi="Traditional Arabic"/>
          <w:rtl/>
        </w:rPr>
        <w:t xml:space="preserve">قوله تعالى: </w:t>
      </w:r>
      <w:r w:rsidRPr="00911ED4">
        <w:rPr>
          <w:rFonts w:ascii="QCF_BSML" w:hAnsi="QCF_BSML" w:cs="QCF_BSML"/>
          <w:sz w:val="32"/>
          <w:szCs w:val="32"/>
          <w:rtl/>
          <w:lang w:eastAsia="en-US"/>
        </w:rPr>
        <w:t>ﭽ</w:t>
      </w:r>
      <w:r w:rsidRPr="00911ED4">
        <w:rPr>
          <w:rFonts w:ascii="QCF_P290" w:hAnsi="QCF_P290" w:cs="QCF_P290"/>
          <w:sz w:val="32"/>
          <w:szCs w:val="32"/>
          <w:rtl/>
          <w:lang w:eastAsia="en-US"/>
        </w:rPr>
        <w:t>ﮤ  ﮥ  ﮦﮧ  ﮨ  ﮩ</w:t>
      </w:r>
      <w:r w:rsidRPr="00911ED4">
        <w:rPr>
          <w:rFonts w:ascii="QCF_BSML" w:hAnsi="QCF_BSML" w:cs="QCF_BSML"/>
          <w:sz w:val="32"/>
          <w:szCs w:val="32"/>
          <w:rtl/>
          <w:lang w:eastAsia="en-US"/>
        </w:rPr>
        <w:t xml:space="preserve"> ﭼ</w:t>
      </w:r>
      <w:r w:rsidRPr="00911ED4">
        <w:rPr>
          <w:rFonts w:ascii="QCF_P290" w:hAnsi="QCF_P290" w:cs="QCF_P290"/>
          <w:sz w:val="32"/>
          <w:szCs w:val="32"/>
          <w:rtl/>
          <w:lang w:eastAsia="en-US"/>
        </w:rPr>
        <w:t xml:space="preserve">   </w:t>
      </w:r>
      <w:r w:rsidRPr="00911ED4">
        <w:rPr>
          <w:rFonts w:ascii="Traditional Arabic" w:hAnsi="Traditional Arabic"/>
          <w:rtl/>
        </w:rPr>
        <w:t>«من» ها هنا لبيان الجنس، فجميع القرآن شفاء</w:t>
      </w:r>
      <w:r w:rsidRPr="00911ED4">
        <w:rPr>
          <w:vertAlign w:val="superscript"/>
          <w:rtl/>
        </w:rPr>
        <w:t>(</w:t>
      </w:r>
      <w:r w:rsidRPr="00911ED4">
        <w:rPr>
          <w:vertAlign w:val="superscript"/>
          <w:rtl/>
        </w:rPr>
        <w:footnoteReference w:id="577"/>
      </w:r>
      <w:r w:rsidRPr="00911ED4">
        <w:rPr>
          <w:vertAlign w:val="superscript"/>
          <w:rtl/>
        </w:rPr>
        <w:t>)</w:t>
      </w:r>
      <w:r w:rsidRPr="00911ED4">
        <w:rPr>
          <w:rFonts w:ascii="Traditional Arabic" w:hAnsi="Traditional Arabic"/>
          <w:rtl/>
        </w:rPr>
        <w:t>.</w:t>
      </w:r>
      <w:r w:rsidRPr="00911ED4">
        <w:rPr>
          <w:rFonts w:ascii="Traditional Arabic" w:hAnsi="Traditional Arabic" w:hint="cs"/>
          <w:rtl/>
        </w:rPr>
        <w:t xml:space="preserve"> </w:t>
      </w:r>
      <w:r w:rsidRPr="00911ED4">
        <w:rPr>
          <w:rFonts w:ascii="Traditional Arabic" w:hAnsi="Traditional Arabic"/>
          <w:rtl/>
        </w:rPr>
        <w:t>وفي هذا الشفاء ثلاثة أقوال: أحدها: شفاء من الضلال، لما فيه من الهدى</w:t>
      </w:r>
      <w:r w:rsidRPr="00911ED4">
        <w:rPr>
          <w:vertAlign w:val="superscript"/>
          <w:rtl/>
        </w:rPr>
        <w:t>(</w:t>
      </w:r>
      <w:r w:rsidRPr="00911ED4">
        <w:rPr>
          <w:vertAlign w:val="superscript"/>
          <w:rtl/>
        </w:rPr>
        <w:footnoteReference w:id="578"/>
      </w:r>
      <w:r w:rsidRPr="00911ED4">
        <w:rPr>
          <w:vertAlign w:val="superscript"/>
          <w:rtl/>
        </w:rPr>
        <w:t>)</w:t>
      </w:r>
      <w:r w:rsidRPr="00911ED4">
        <w:rPr>
          <w:rFonts w:ascii="Traditional Arabic" w:hAnsi="Traditional Arabic"/>
          <w:rtl/>
        </w:rPr>
        <w:t>. والثاني: شفاء من السَّقم، لما فيه من البركة</w:t>
      </w:r>
      <w:r w:rsidRPr="00911ED4">
        <w:rPr>
          <w:vertAlign w:val="superscript"/>
          <w:rtl/>
        </w:rPr>
        <w:t>(</w:t>
      </w:r>
      <w:r w:rsidRPr="00911ED4">
        <w:rPr>
          <w:vertAlign w:val="superscript"/>
          <w:rtl/>
        </w:rPr>
        <w:footnoteReference w:id="579"/>
      </w:r>
      <w:r w:rsidRPr="00911ED4">
        <w:rPr>
          <w:vertAlign w:val="superscript"/>
          <w:rtl/>
        </w:rPr>
        <w:t>)</w:t>
      </w:r>
      <w:r w:rsidRPr="00911ED4">
        <w:rPr>
          <w:rFonts w:ascii="Traditional Arabic" w:hAnsi="Traditional Arabic"/>
          <w:rtl/>
        </w:rPr>
        <w:t>. والثالث: شفاء من البيان للفرائض والأحكام</w:t>
      </w:r>
      <w:r w:rsidRPr="00911ED4">
        <w:rPr>
          <w:vertAlign w:val="superscript"/>
          <w:rtl/>
        </w:rPr>
        <w:t>(</w:t>
      </w:r>
      <w:r w:rsidRPr="00911ED4">
        <w:rPr>
          <w:vertAlign w:val="superscript"/>
          <w:rtl/>
        </w:rPr>
        <w:footnoteReference w:id="580"/>
      </w:r>
      <w:r w:rsidRPr="00911ED4">
        <w:rPr>
          <w:vertAlign w:val="superscript"/>
          <w:rtl/>
        </w:rPr>
        <w:t>)</w:t>
      </w:r>
      <w:r w:rsidRPr="00911ED4">
        <w:rPr>
          <w:rFonts w:ascii="Traditional Arabic" w:hAnsi="Traditional Arabic"/>
          <w:rtl/>
        </w:rPr>
        <w:t>. وفي «الرحمة» قولان: أحدهما:</w:t>
      </w:r>
      <w:r w:rsidRPr="00911ED4">
        <w:rPr>
          <w:rFonts w:ascii="Traditional Arabic" w:hAnsi="Traditional Arabic" w:hint="cs"/>
          <w:rtl/>
        </w:rPr>
        <w:t xml:space="preserve"> </w:t>
      </w:r>
      <w:r w:rsidRPr="00911ED4">
        <w:rPr>
          <w:rFonts w:ascii="Traditional Arabic" w:hAnsi="Traditional Arabic"/>
          <w:rtl/>
        </w:rPr>
        <w:t>النعمة</w:t>
      </w:r>
      <w:r w:rsidRPr="00911ED4">
        <w:rPr>
          <w:vertAlign w:val="superscript"/>
          <w:rtl/>
        </w:rPr>
        <w:t>(</w:t>
      </w:r>
      <w:r w:rsidRPr="00911ED4">
        <w:rPr>
          <w:vertAlign w:val="superscript"/>
          <w:rtl/>
        </w:rPr>
        <w:footnoteReference w:id="581"/>
      </w:r>
      <w:r w:rsidRPr="00911ED4">
        <w:rPr>
          <w:vertAlign w:val="superscript"/>
          <w:rtl/>
        </w:rPr>
        <w:t>)</w:t>
      </w:r>
      <w:r w:rsidRPr="00911ED4">
        <w:rPr>
          <w:rFonts w:ascii="Traditional Arabic" w:hAnsi="Traditional Arabic"/>
          <w:rtl/>
        </w:rPr>
        <w:t>. والثاني: سبب الرحمة</w:t>
      </w:r>
      <w:r w:rsidRPr="00911ED4">
        <w:rPr>
          <w:vertAlign w:val="superscript"/>
          <w:rtl/>
        </w:rPr>
        <w:t>(</w:t>
      </w:r>
      <w:r w:rsidRPr="00911ED4">
        <w:rPr>
          <w:vertAlign w:val="superscript"/>
          <w:rtl/>
        </w:rPr>
        <w:footnoteReference w:id="582"/>
      </w:r>
      <w:r w:rsidRPr="00911ED4">
        <w:rPr>
          <w:vertAlign w:val="superscript"/>
          <w:rtl/>
        </w:rPr>
        <w:t>)</w:t>
      </w:r>
      <w:r w:rsidRPr="00911ED4">
        <w:rPr>
          <w:rFonts w:ascii="Traditional Arabic" w:hAnsi="Traditional Arabic"/>
          <w:rtl/>
        </w:rPr>
        <w:t xml:space="preserve">. قوله تعالى: </w:t>
      </w:r>
      <w:r w:rsidRPr="00911ED4">
        <w:rPr>
          <w:rFonts w:ascii="QCF_BSML" w:hAnsi="QCF_BSML" w:cs="QCF_BSML"/>
          <w:sz w:val="32"/>
          <w:szCs w:val="32"/>
          <w:rtl/>
          <w:lang w:eastAsia="en-US"/>
        </w:rPr>
        <w:t>ﭽ</w:t>
      </w:r>
      <w:r w:rsidRPr="00911ED4">
        <w:rPr>
          <w:rFonts w:ascii="QCF_P290" w:hAnsi="QCF_P290" w:cs="QCF_P290"/>
          <w:sz w:val="32"/>
          <w:szCs w:val="32"/>
          <w:rtl/>
          <w:lang w:eastAsia="en-US"/>
        </w:rPr>
        <w:t xml:space="preserve"> ﮭ  ﮮ  ﮯ</w:t>
      </w:r>
      <w:r w:rsidRPr="00911ED4">
        <w:rPr>
          <w:rFonts w:ascii="QCF_BSML" w:hAnsi="QCF_BSML" w:cs="QCF_BSML"/>
          <w:sz w:val="32"/>
          <w:szCs w:val="32"/>
          <w:rtl/>
          <w:lang w:eastAsia="en-US"/>
        </w:rPr>
        <w:t>ﭼ</w:t>
      </w:r>
      <w:r w:rsidRPr="00911ED4">
        <w:rPr>
          <w:rFonts w:ascii="QCF_P290" w:hAnsi="QCF_P290" w:cs="QCF_P290"/>
          <w:sz w:val="32"/>
          <w:szCs w:val="32"/>
          <w:rtl/>
          <w:lang w:eastAsia="en-US"/>
        </w:rPr>
        <w:t xml:space="preserve">  </w:t>
      </w:r>
      <w:r w:rsidRPr="00911ED4">
        <w:rPr>
          <w:rFonts w:ascii="Traditional Arabic" w:hAnsi="Traditional Arabic"/>
          <w:rtl/>
        </w:rPr>
        <w:t xml:space="preserve">يعني المشركين </w:t>
      </w:r>
      <w:r w:rsidRPr="00911ED4">
        <w:rPr>
          <w:rFonts w:ascii="QCF_BSML" w:hAnsi="QCF_BSML" w:cs="QCF_BSML"/>
          <w:sz w:val="32"/>
          <w:szCs w:val="32"/>
          <w:rtl/>
          <w:lang w:eastAsia="en-US"/>
        </w:rPr>
        <w:t>ﭽ</w:t>
      </w:r>
      <w:r w:rsidRPr="00911ED4">
        <w:rPr>
          <w:rFonts w:ascii="QCF_P290" w:hAnsi="QCF_P290" w:cs="QCF_P290"/>
          <w:sz w:val="32"/>
          <w:szCs w:val="32"/>
          <w:rtl/>
          <w:lang w:eastAsia="en-US"/>
        </w:rPr>
        <w:t xml:space="preserve"> ﮰ    ﮱ</w:t>
      </w:r>
      <w:r w:rsidRPr="00911ED4">
        <w:rPr>
          <w:rFonts w:ascii="QCF_BSML" w:hAnsi="QCF_BSML" w:cs="QCF_BSML"/>
          <w:sz w:val="32"/>
          <w:szCs w:val="32"/>
          <w:rtl/>
          <w:lang w:eastAsia="en-US"/>
        </w:rPr>
        <w:t>ﭼ</w:t>
      </w:r>
      <w:r w:rsidRPr="00911ED4">
        <w:rPr>
          <w:rFonts w:ascii="QCF_P290" w:hAnsi="QCF_P290" w:cs="QCF_P290"/>
          <w:sz w:val="32"/>
          <w:szCs w:val="32"/>
          <w:rtl/>
          <w:lang w:eastAsia="en-US"/>
        </w:rPr>
        <w:t xml:space="preserve">  </w:t>
      </w:r>
      <w:r w:rsidRPr="00911ED4">
        <w:rPr>
          <w:rFonts w:ascii="Traditional Arabic" w:hAnsi="Traditional Arabic"/>
          <w:rtl/>
        </w:rPr>
        <w:t>لأنهم يكفرون به، ولا ينتفعون بمواعظه، فيزيد خسرانهم</w:t>
      </w:r>
      <w:r w:rsidRPr="00911ED4">
        <w:rPr>
          <w:vertAlign w:val="superscript"/>
          <w:rtl/>
        </w:rPr>
        <w:t>(</w:t>
      </w:r>
      <w:r w:rsidRPr="00911ED4">
        <w:rPr>
          <w:vertAlign w:val="superscript"/>
          <w:rtl/>
        </w:rPr>
        <w:footnoteReference w:id="583"/>
      </w:r>
      <w:r w:rsidRPr="00911ED4">
        <w:rPr>
          <w:vertAlign w:val="superscript"/>
          <w:rtl/>
        </w:rPr>
        <w:t>)</w:t>
      </w:r>
      <w:r w:rsidRPr="00911ED4">
        <w:rPr>
          <w:rFonts w:ascii="Traditional Arabic" w:hAnsi="Traditional Arabic"/>
          <w:rtl/>
        </w:rPr>
        <w:t>.</w:t>
      </w:r>
    </w:p>
    <w:p w:rsidR="00911ED4" w:rsidRPr="00911ED4" w:rsidRDefault="00911ED4" w:rsidP="00911ED4">
      <w:pPr>
        <w:ind w:firstLine="0"/>
        <w:rPr>
          <w:rFonts w:ascii="Traditional Arabic" w:hAnsi="Traditional Arabic"/>
          <w:color w:val="auto"/>
          <w:rtl/>
        </w:rPr>
      </w:pPr>
      <w:r w:rsidRPr="00911ED4">
        <w:rPr>
          <w:rFonts w:ascii="QCF_BSML" w:hAnsi="QCF_BSML" w:cs="QCF_BSML"/>
          <w:color w:val="auto"/>
          <w:sz w:val="32"/>
          <w:szCs w:val="32"/>
          <w:rtl/>
          <w:lang w:eastAsia="en-US"/>
        </w:rPr>
        <w:t xml:space="preserve">ﭽ </w:t>
      </w:r>
      <w:r w:rsidRPr="00911ED4">
        <w:rPr>
          <w:rFonts w:ascii="QCF_P290" w:hAnsi="QCF_P290" w:cs="QCF_P290"/>
          <w:color w:val="auto"/>
          <w:sz w:val="32"/>
          <w:szCs w:val="32"/>
          <w:rtl/>
          <w:lang w:eastAsia="en-US"/>
        </w:rPr>
        <w:t xml:space="preserve">ﯔ   ﯕ  ﯖ  ﯗ  ﯘ  ﯙ  ﯚﯛ  ﯜ  ﯝ  ﯞ  ﯟ       ﯠ       ﯡ  ﯢ  ﯣ  ﯤ   ﯥ  ﯦ  ﯧ  ﯨ    ﯩ  ﯪ  ﯫ   ﯬ  ﯭ  </w:t>
      </w:r>
      <w:r w:rsidRPr="00911ED4">
        <w:rPr>
          <w:rFonts w:ascii="QCF_BSML" w:hAnsi="QCF_BSML" w:cs="QCF_BSML"/>
          <w:color w:val="auto"/>
          <w:sz w:val="32"/>
          <w:szCs w:val="32"/>
          <w:rtl/>
          <w:lang w:eastAsia="en-US"/>
        </w:rPr>
        <w:t>ﭼ</w:t>
      </w:r>
    </w:p>
    <w:p w:rsidR="00911ED4" w:rsidRPr="00911ED4" w:rsidRDefault="00911ED4" w:rsidP="00CE35C7">
      <w:pPr>
        <w:ind w:firstLine="0"/>
        <w:rPr>
          <w:rFonts w:ascii="Traditional Arabic" w:hAnsi="Traditional Arabic"/>
          <w:rtl/>
        </w:rPr>
      </w:pPr>
      <w:r w:rsidRPr="00911ED4">
        <w:rPr>
          <w:rFonts w:ascii="Traditional Arabic" w:hAnsi="Traditional Arabic"/>
          <w:rtl/>
        </w:rPr>
        <w:t xml:space="preserve">قوله تعالى: </w:t>
      </w:r>
      <w:r w:rsidRPr="00911ED4">
        <w:rPr>
          <w:rFonts w:ascii="QCF_BSML" w:hAnsi="QCF_BSML" w:cs="QCF_BSML"/>
          <w:sz w:val="32"/>
          <w:szCs w:val="32"/>
          <w:rtl/>
          <w:lang w:eastAsia="en-US"/>
        </w:rPr>
        <w:t xml:space="preserve">ﭽ </w:t>
      </w:r>
      <w:r w:rsidRPr="00911ED4">
        <w:rPr>
          <w:rFonts w:ascii="QCF_P290" w:hAnsi="QCF_P290" w:cs="QCF_P290"/>
          <w:sz w:val="32"/>
          <w:szCs w:val="32"/>
          <w:rtl/>
          <w:lang w:eastAsia="en-US"/>
        </w:rPr>
        <w:t>ﯔ   ﯕ  ﯖ  ﯗ</w:t>
      </w:r>
      <w:r w:rsidRPr="00911ED4">
        <w:rPr>
          <w:rFonts w:ascii="QCF_BSML" w:hAnsi="QCF_BSML" w:cs="QCF_BSML"/>
          <w:sz w:val="32"/>
          <w:szCs w:val="32"/>
          <w:rtl/>
          <w:lang w:eastAsia="en-US"/>
        </w:rPr>
        <w:t xml:space="preserve"> ﭼ</w:t>
      </w:r>
      <w:r w:rsidRPr="00911ED4">
        <w:rPr>
          <w:rFonts w:ascii="QCF_P290" w:hAnsi="QCF_P290" w:cs="QCF_P290" w:hint="cs"/>
          <w:sz w:val="32"/>
          <w:szCs w:val="32"/>
          <w:rtl/>
          <w:lang w:eastAsia="en-US"/>
        </w:rPr>
        <w:t xml:space="preserve">   </w:t>
      </w:r>
      <w:r w:rsidRPr="00911ED4">
        <w:rPr>
          <w:rFonts w:ascii="QCF_P290" w:hAnsi="QCF_P290" w:cs="QCF_P290"/>
          <w:sz w:val="32"/>
          <w:szCs w:val="32"/>
          <w:rtl/>
          <w:lang w:eastAsia="en-US"/>
        </w:rPr>
        <w:t xml:space="preserve">  </w:t>
      </w:r>
      <w:r w:rsidRPr="00911ED4">
        <w:rPr>
          <w:rFonts w:ascii="Traditional Arabic" w:hAnsi="Traditional Arabic"/>
          <w:rtl/>
        </w:rPr>
        <w:t xml:space="preserve">قال ابن عباس: الإنسان ها هنا: الكافر، والمراد به </w:t>
      </w:r>
      <w:r w:rsidRPr="00911ED4">
        <w:rPr>
          <w:rFonts w:ascii="Traditional Arabic" w:hAnsi="Traditional Arabic"/>
          <w:rtl/>
        </w:rPr>
        <w:lastRenderedPageBreak/>
        <w:t>الوليد بن المغيرة</w:t>
      </w:r>
      <w:r w:rsidRPr="00911ED4">
        <w:rPr>
          <w:vertAlign w:val="superscript"/>
          <w:rtl/>
        </w:rPr>
        <w:t>(</w:t>
      </w:r>
      <w:r w:rsidRPr="00911ED4">
        <w:rPr>
          <w:vertAlign w:val="superscript"/>
          <w:rtl/>
        </w:rPr>
        <w:footnoteReference w:id="584"/>
      </w:r>
      <w:r w:rsidRPr="00911ED4">
        <w:rPr>
          <w:vertAlign w:val="superscript"/>
          <w:rtl/>
        </w:rPr>
        <w:t>)(</w:t>
      </w:r>
      <w:r w:rsidRPr="00911ED4">
        <w:rPr>
          <w:vertAlign w:val="superscript"/>
          <w:rtl/>
        </w:rPr>
        <w:footnoteReference w:id="585"/>
      </w:r>
      <w:r w:rsidRPr="00911ED4">
        <w:rPr>
          <w:vertAlign w:val="superscript"/>
          <w:rtl/>
        </w:rPr>
        <w:t>)</w:t>
      </w:r>
      <w:r w:rsidRPr="00911ED4">
        <w:rPr>
          <w:rFonts w:ascii="Traditional Arabic" w:hAnsi="Traditional Arabic"/>
          <w:rtl/>
        </w:rPr>
        <w:t>. قال المفسرون: وهذا الإِنعام: سَعة الرزق، وكشف البلاء</w:t>
      </w:r>
      <w:r w:rsidRPr="00911ED4">
        <w:rPr>
          <w:vertAlign w:val="superscript"/>
          <w:rtl/>
        </w:rPr>
        <w:t>(</w:t>
      </w:r>
      <w:r w:rsidRPr="00911ED4">
        <w:rPr>
          <w:vertAlign w:val="superscript"/>
          <w:rtl/>
        </w:rPr>
        <w:footnoteReference w:id="586"/>
      </w:r>
      <w:r w:rsidRPr="00911ED4">
        <w:rPr>
          <w:vertAlign w:val="superscript"/>
          <w:rtl/>
        </w:rPr>
        <w:t>)</w:t>
      </w:r>
      <w:r w:rsidRPr="00911ED4">
        <w:rPr>
          <w:rFonts w:ascii="Traditional Arabic" w:hAnsi="Traditional Arabic"/>
          <w:color w:val="auto"/>
          <w:rtl/>
        </w:rPr>
        <w:t xml:space="preserve">. </w:t>
      </w:r>
      <w:r w:rsidRPr="00911ED4">
        <w:rPr>
          <w:rFonts w:ascii="QCF_BSML" w:hAnsi="QCF_BSML" w:cs="QCF_BSML"/>
          <w:color w:val="auto"/>
          <w:sz w:val="32"/>
          <w:szCs w:val="32"/>
          <w:rtl/>
          <w:lang w:eastAsia="en-US"/>
        </w:rPr>
        <w:t>ﭽ</w:t>
      </w:r>
      <w:r w:rsidRPr="00911ED4">
        <w:rPr>
          <w:rFonts w:ascii="QCF_P290" w:hAnsi="QCF_P290" w:cs="QCF_P290"/>
          <w:color w:val="auto"/>
          <w:sz w:val="32"/>
          <w:szCs w:val="32"/>
          <w:rtl/>
          <w:lang w:eastAsia="en-US"/>
        </w:rPr>
        <w:t xml:space="preserve"> ﯙ  ﯚﯛ</w:t>
      </w:r>
      <w:r w:rsidRPr="00911ED4">
        <w:rPr>
          <w:rFonts w:ascii="QCF_BSML" w:hAnsi="QCF_BSML" w:cs="QCF_BSML"/>
          <w:color w:val="auto"/>
          <w:sz w:val="32"/>
          <w:szCs w:val="32"/>
          <w:rtl/>
          <w:lang w:eastAsia="en-US"/>
        </w:rPr>
        <w:t xml:space="preserve"> ﭼ</w:t>
      </w:r>
      <w:r w:rsidRPr="00911ED4">
        <w:rPr>
          <w:rFonts w:ascii="QCF_BSML" w:hAnsi="QCF_BSML" w:cs="QCF_BSML" w:hint="cs"/>
          <w:color w:val="auto"/>
          <w:sz w:val="32"/>
          <w:szCs w:val="32"/>
          <w:rtl/>
          <w:lang w:eastAsia="en-US"/>
        </w:rPr>
        <w:t xml:space="preserve">  </w:t>
      </w:r>
      <w:r w:rsidRPr="00911ED4">
        <w:rPr>
          <w:rFonts w:ascii="QCF_P290" w:hAnsi="QCF_P290" w:cs="QCF_P290"/>
          <w:color w:val="auto"/>
          <w:sz w:val="32"/>
          <w:szCs w:val="32"/>
          <w:rtl/>
          <w:lang w:eastAsia="en-US"/>
        </w:rPr>
        <w:t xml:space="preserve">  </w:t>
      </w:r>
      <w:r w:rsidRPr="00911ED4">
        <w:rPr>
          <w:rFonts w:ascii="Traditional Arabic" w:hAnsi="Traditional Arabic"/>
          <w:rtl/>
        </w:rPr>
        <w:t>قرأ ابن كثير، ونافع، وأبو عمرو، وحفص عن عاصم: «ون</w:t>
      </w:r>
      <w:r w:rsidRPr="00911ED4">
        <w:rPr>
          <w:rFonts w:ascii="Traditional Arabic" w:hAnsi="Traditional Arabic" w:hint="cs"/>
          <w:rtl/>
        </w:rPr>
        <w:t>َ</w:t>
      </w:r>
      <w:r w:rsidRPr="00911ED4">
        <w:rPr>
          <w:rFonts w:ascii="Traditional Arabic" w:hAnsi="Traditional Arabic"/>
          <w:rtl/>
        </w:rPr>
        <w:t>أى» على وزن «نعى» بفتح النون والهمزة</w:t>
      </w:r>
      <w:r w:rsidRPr="00911ED4">
        <w:rPr>
          <w:vertAlign w:val="superscript"/>
          <w:rtl/>
        </w:rPr>
        <w:t>(</w:t>
      </w:r>
      <w:r w:rsidRPr="00911ED4">
        <w:rPr>
          <w:vertAlign w:val="superscript"/>
          <w:rtl/>
        </w:rPr>
        <w:footnoteReference w:id="587"/>
      </w:r>
      <w:r w:rsidRPr="00911ED4">
        <w:rPr>
          <w:vertAlign w:val="superscript"/>
          <w:rtl/>
        </w:rPr>
        <w:t>)</w:t>
      </w:r>
      <w:r w:rsidRPr="00911ED4">
        <w:rPr>
          <w:rFonts w:ascii="Traditional Arabic" w:hAnsi="Traditional Arabic"/>
          <w:rtl/>
        </w:rPr>
        <w:t>. وقرأ ابن عامر: «ناء</w:t>
      </w:r>
      <w:r w:rsidRPr="00911ED4">
        <w:rPr>
          <w:rFonts w:ascii="Traditional Arabic" w:hAnsi="Traditional Arabic" w:hint="cs"/>
          <w:rtl/>
        </w:rPr>
        <w:t>َ</w:t>
      </w:r>
      <w:r w:rsidRPr="00911ED4">
        <w:rPr>
          <w:rFonts w:ascii="Traditional Arabic" w:hAnsi="Traditional Arabic"/>
          <w:rtl/>
        </w:rPr>
        <w:t>» مثل «باع»</w:t>
      </w:r>
      <w:r w:rsidRPr="00911ED4">
        <w:rPr>
          <w:vertAlign w:val="superscript"/>
          <w:rtl/>
        </w:rPr>
        <w:t>(</w:t>
      </w:r>
      <w:r w:rsidRPr="00911ED4">
        <w:rPr>
          <w:vertAlign w:val="superscript"/>
          <w:rtl/>
        </w:rPr>
        <w:footnoteReference w:id="588"/>
      </w:r>
      <w:r w:rsidRPr="00911ED4">
        <w:rPr>
          <w:vertAlign w:val="superscript"/>
          <w:rtl/>
        </w:rPr>
        <w:t>)</w:t>
      </w:r>
      <w:r w:rsidRPr="00911ED4">
        <w:rPr>
          <w:rFonts w:ascii="Traditional Arabic" w:hAnsi="Traditional Arabic"/>
          <w:rtl/>
        </w:rPr>
        <w:t>.</w:t>
      </w:r>
      <w:r w:rsidR="00CE35C7">
        <w:rPr>
          <w:rFonts w:ascii="Traditional Arabic" w:hAnsi="Traditional Arabic" w:hint="cs"/>
          <w:rtl/>
        </w:rPr>
        <w:t xml:space="preserve"> </w:t>
      </w:r>
      <w:r w:rsidRPr="00911ED4">
        <w:rPr>
          <w:rFonts w:ascii="Traditional Arabic" w:hAnsi="Traditional Arabic"/>
          <w:rtl/>
        </w:rPr>
        <w:t>وقرأ الكسائي، وخلف</w:t>
      </w:r>
      <w:r w:rsidRPr="00911ED4">
        <w:rPr>
          <w:vertAlign w:val="superscript"/>
          <w:rtl/>
        </w:rPr>
        <w:t>(</w:t>
      </w:r>
      <w:r w:rsidRPr="00911ED4">
        <w:rPr>
          <w:vertAlign w:val="superscript"/>
          <w:rtl/>
        </w:rPr>
        <w:footnoteReference w:id="589"/>
      </w:r>
      <w:r w:rsidRPr="00911ED4">
        <w:rPr>
          <w:vertAlign w:val="superscript"/>
          <w:rtl/>
        </w:rPr>
        <w:t>)</w:t>
      </w:r>
      <w:r w:rsidRPr="00911ED4">
        <w:rPr>
          <w:rFonts w:ascii="Traditional Arabic" w:hAnsi="Traditional Arabic"/>
          <w:rtl/>
        </w:rPr>
        <w:t>عن سليم</w:t>
      </w:r>
      <w:r w:rsidRPr="00911ED4">
        <w:rPr>
          <w:vertAlign w:val="superscript"/>
          <w:rtl/>
        </w:rPr>
        <w:t>(</w:t>
      </w:r>
      <w:r w:rsidRPr="00911ED4">
        <w:rPr>
          <w:vertAlign w:val="superscript"/>
          <w:rtl/>
        </w:rPr>
        <w:footnoteReference w:id="590"/>
      </w:r>
      <w:r w:rsidRPr="00911ED4">
        <w:rPr>
          <w:vertAlign w:val="superscript"/>
          <w:rtl/>
        </w:rPr>
        <w:t>)</w:t>
      </w:r>
      <w:r w:rsidRPr="00911ED4">
        <w:rPr>
          <w:rFonts w:ascii="Traditional Arabic" w:hAnsi="Traditional Arabic"/>
          <w:rtl/>
        </w:rPr>
        <w:t xml:space="preserve">عن حمزة: «وناء» </w:t>
      </w:r>
      <w:r w:rsidRPr="00911ED4">
        <w:rPr>
          <w:rFonts w:ascii="Traditional Arabic" w:hAnsi="Traditional Arabic" w:hint="cs"/>
          <w:rtl/>
        </w:rPr>
        <w:t>بإمالة</w:t>
      </w:r>
      <w:r w:rsidRPr="00911ED4">
        <w:rPr>
          <w:rFonts w:ascii="Traditional Arabic" w:hAnsi="Traditional Arabic"/>
          <w:rtl/>
        </w:rPr>
        <w:t xml:space="preserve"> النون والهمزة</w:t>
      </w:r>
      <w:r w:rsidRPr="00911ED4">
        <w:rPr>
          <w:vertAlign w:val="superscript"/>
          <w:rtl/>
        </w:rPr>
        <w:t>(</w:t>
      </w:r>
      <w:r w:rsidRPr="00911ED4">
        <w:rPr>
          <w:vertAlign w:val="superscript"/>
          <w:rtl/>
        </w:rPr>
        <w:footnoteReference w:id="591"/>
      </w:r>
      <w:r w:rsidRPr="00911ED4">
        <w:rPr>
          <w:vertAlign w:val="superscript"/>
          <w:rtl/>
        </w:rPr>
        <w:t>)</w:t>
      </w:r>
      <w:r w:rsidRPr="00911ED4">
        <w:rPr>
          <w:rFonts w:ascii="Traditional Arabic" w:hAnsi="Traditional Arabic"/>
          <w:rtl/>
        </w:rPr>
        <w:t>.</w:t>
      </w:r>
      <w:r w:rsidRPr="00911ED4">
        <w:rPr>
          <w:rFonts w:ascii="Traditional Arabic" w:hAnsi="Traditional Arabic" w:hint="cs"/>
          <w:rtl/>
        </w:rPr>
        <w:t xml:space="preserve"> </w:t>
      </w:r>
      <w:r w:rsidRPr="00911ED4">
        <w:rPr>
          <w:rFonts w:ascii="Traditional Arabic" w:hAnsi="Traditional Arabic"/>
          <w:rtl/>
        </w:rPr>
        <w:t>وروى خلاَّد</w:t>
      </w:r>
      <w:r w:rsidRPr="00911ED4">
        <w:rPr>
          <w:vertAlign w:val="superscript"/>
          <w:rtl/>
        </w:rPr>
        <w:t>(</w:t>
      </w:r>
      <w:r w:rsidRPr="00911ED4">
        <w:rPr>
          <w:vertAlign w:val="superscript"/>
          <w:rtl/>
        </w:rPr>
        <w:footnoteReference w:id="592"/>
      </w:r>
      <w:r w:rsidRPr="00911ED4">
        <w:rPr>
          <w:vertAlign w:val="superscript"/>
          <w:rtl/>
        </w:rPr>
        <w:t>)</w:t>
      </w:r>
      <w:r w:rsidRPr="00911ED4">
        <w:rPr>
          <w:rFonts w:ascii="Traditional Arabic" w:hAnsi="Traditional Arabic"/>
          <w:rtl/>
        </w:rPr>
        <w:t xml:space="preserve"> عن سليم: «ن</w:t>
      </w:r>
      <w:r w:rsidRPr="00911ED4">
        <w:rPr>
          <w:rFonts w:ascii="Traditional Arabic" w:hAnsi="Traditional Arabic" w:hint="cs"/>
          <w:rtl/>
        </w:rPr>
        <w:t>َ</w:t>
      </w:r>
      <w:r w:rsidRPr="00911ED4">
        <w:rPr>
          <w:rFonts w:ascii="Traditional Arabic" w:hAnsi="Traditional Arabic"/>
          <w:rtl/>
        </w:rPr>
        <w:t>ئي» بفتح النون، وكسر الهمزة</w:t>
      </w:r>
      <w:r w:rsidRPr="00911ED4">
        <w:rPr>
          <w:vertAlign w:val="superscript"/>
          <w:rtl/>
        </w:rPr>
        <w:t>(</w:t>
      </w:r>
      <w:r w:rsidRPr="00911ED4">
        <w:rPr>
          <w:vertAlign w:val="superscript"/>
          <w:rtl/>
        </w:rPr>
        <w:footnoteReference w:id="593"/>
      </w:r>
      <w:r w:rsidRPr="00911ED4">
        <w:rPr>
          <w:vertAlign w:val="superscript"/>
          <w:rtl/>
        </w:rPr>
        <w:t>)</w:t>
      </w:r>
      <w:r w:rsidRPr="00911ED4">
        <w:rPr>
          <w:rFonts w:ascii="Traditional Arabic" w:hAnsi="Traditional Arabic"/>
          <w:rtl/>
        </w:rPr>
        <w:t>، والمعنى: تباعد عن القيام بحقوق النّعم</w:t>
      </w:r>
      <w:r w:rsidRPr="00911ED4">
        <w:rPr>
          <w:vertAlign w:val="superscript"/>
          <w:rtl/>
        </w:rPr>
        <w:t>(</w:t>
      </w:r>
      <w:r w:rsidRPr="00911ED4">
        <w:rPr>
          <w:vertAlign w:val="superscript"/>
          <w:rtl/>
        </w:rPr>
        <w:footnoteReference w:id="594"/>
      </w:r>
      <w:r w:rsidRPr="00911ED4">
        <w:rPr>
          <w:vertAlign w:val="superscript"/>
          <w:rtl/>
        </w:rPr>
        <w:t>)</w:t>
      </w:r>
      <w:r w:rsidRPr="00911ED4">
        <w:rPr>
          <w:rFonts w:ascii="Traditional Arabic" w:hAnsi="Traditional Arabic"/>
          <w:rtl/>
        </w:rPr>
        <w:t>،</w:t>
      </w:r>
      <w:r w:rsidRPr="00911ED4">
        <w:rPr>
          <w:rFonts w:ascii="Traditional Arabic" w:hAnsi="Traditional Arabic" w:hint="cs"/>
          <w:rtl/>
        </w:rPr>
        <w:t xml:space="preserve"> </w:t>
      </w:r>
      <w:r w:rsidRPr="00911ED4">
        <w:rPr>
          <w:rFonts w:ascii="Traditional Arabic" w:hAnsi="Traditional Arabic"/>
          <w:rtl/>
        </w:rPr>
        <w:t>وقيل: تعظَّم وتكبَّر</w:t>
      </w:r>
      <w:r w:rsidRPr="00911ED4">
        <w:rPr>
          <w:vertAlign w:val="superscript"/>
          <w:rtl/>
        </w:rPr>
        <w:t>(</w:t>
      </w:r>
      <w:r w:rsidRPr="00911ED4">
        <w:rPr>
          <w:vertAlign w:val="superscript"/>
          <w:rtl/>
        </w:rPr>
        <w:footnoteReference w:id="595"/>
      </w:r>
      <w:r w:rsidRPr="00911ED4">
        <w:rPr>
          <w:vertAlign w:val="superscript"/>
          <w:rtl/>
        </w:rPr>
        <w:t>)</w:t>
      </w:r>
      <w:r w:rsidRPr="00911ED4">
        <w:rPr>
          <w:rFonts w:ascii="Traditional Arabic" w:hAnsi="Traditional Arabic"/>
          <w:rtl/>
        </w:rPr>
        <w:t>.</w:t>
      </w:r>
      <w:r w:rsidRPr="00911ED4">
        <w:rPr>
          <w:rFonts w:ascii="QCF_BSML" w:hAnsi="QCF_BSML" w:cs="QCF_BSML"/>
          <w:color w:val="auto"/>
          <w:sz w:val="32"/>
          <w:szCs w:val="32"/>
          <w:rtl/>
          <w:lang w:eastAsia="en-US"/>
        </w:rPr>
        <w:t>ﭽ</w:t>
      </w:r>
      <w:r w:rsidRPr="00911ED4">
        <w:rPr>
          <w:rFonts w:ascii="QCF_P290" w:hAnsi="QCF_P290" w:cs="QCF_P290"/>
          <w:color w:val="auto"/>
          <w:sz w:val="32"/>
          <w:szCs w:val="32"/>
          <w:rtl/>
          <w:lang w:eastAsia="en-US"/>
        </w:rPr>
        <w:t>ﯜ  ﯝ  ﯞ</w:t>
      </w:r>
      <w:r w:rsidRPr="00911ED4">
        <w:rPr>
          <w:rFonts w:ascii="QCF_BSML" w:hAnsi="QCF_BSML" w:cs="QCF_BSML"/>
          <w:sz w:val="32"/>
          <w:szCs w:val="32"/>
          <w:rtl/>
          <w:lang w:eastAsia="en-US"/>
        </w:rPr>
        <w:t>ﭼ</w:t>
      </w:r>
      <w:r w:rsidRPr="00911ED4">
        <w:rPr>
          <w:rFonts w:ascii="QCF_P290" w:hAnsi="QCF_P290" w:cs="QCF_P290"/>
          <w:color w:val="auto"/>
          <w:sz w:val="32"/>
          <w:szCs w:val="32"/>
          <w:rtl/>
          <w:lang w:eastAsia="en-US"/>
        </w:rPr>
        <w:t xml:space="preserve">  </w:t>
      </w:r>
      <w:r w:rsidRPr="00911ED4">
        <w:rPr>
          <w:rFonts w:ascii="Traditional Arabic" w:hAnsi="Traditional Arabic"/>
          <w:rtl/>
        </w:rPr>
        <w:t xml:space="preserve">أي: نزل به البلاء والفقر </w:t>
      </w:r>
      <w:r w:rsidRPr="00911ED4">
        <w:rPr>
          <w:rFonts w:ascii="QCF_BSML" w:hAnsi="QCF_BSML" w:cs="QCF_BSML"/>
          <w:color w:val="auto"/>
          <w:sz w:val="32"/>
          <w:szCs w:val="32"/>
          <w:rtl/>
          <w:lang w:eastAsia="en-US"/>
        </w:rPr>
        <w:t>ﭽ</w:t>
      </w:r>
      <w:r w:rsidRPr="00911ED4">
        <w:rPr>
          <w:rFonts w:ascii="QCF_P290" w:hAnsi="QCF_P290" w:cs="QCF_P290"/>
          <w:color w:val="auto"/>
          <w:sz w:val="32"/>
          <w:szCs w:val="32"/>
          <w:rtl/>
          <w:lang w:eastAsia="en-US"/>
        </w:rPr>
        <w:t xml:space="preserve">  ﯟ    ﯠ  </w:t>
      </w:r>
      <w:r w:rsidRPr="00911ED4">
        <w:rPr>
          <w:rFonts w:ascii="QCF_BSML" w:hAnsi="QCF_BSML" w:cs="QCF_BSML"/>
          <w:sz w:val="32"/>
          <w:szCs w:val="32"/>
          <w:rtl/>
          <w:lang w:eastAsia="en-US"/>
        </w:rPr>
        <w:t>ﭼ</w:t>
      </w:r>
      <w:r w:rsidRPr="00911ED4">
        <w:rPr>
          <w:rFonts w:ascii="Traditional Arabic" w:hAnsi="Traditional Arabic"/>
          <w:rtl/>
        </w:rPr>
        <w:t xml:space="preserve"> أي: قَنوطاً شديد </w:t>
      </w:r>
      <w:r w:rsidRPr="00911ED4">
        <w:rPr>
          <w:rFonts w:ascii="Traditional Arabic" w:hAnsi="Traditional Arabic"/>
          <w:rtl/>
        </w:rPr>
        <w:lastRenderedPageBreak/>
        <w:t>اليأس، لا يرجو فضل الله</w:t>
      </w:r>
      <w:r w:rsidRPr="00911ED4">
        <w:rPr>
          <w:vertAlign w:val="superscript"/>
          <w:rtl/>
        </w:rPr>
        <w:t>(</w:t>
      </w:r>
      <w:r w:rsidRPr="00911ED4">
        <w:rPr>
          <w:vertAlign w:val="superscript"/>
          <w:rtl/>
        </w:rPr>
        <w:footnoteReference w:id="596"/>
      </w:r>
      <w:r w:rsidRPr="00911ED4">
        <w:rPr>
          <w:vertAlign w:val="superscript"/>
          <w:rtl/>
        </w:rPr>
        <w:t>)</w:t>
      </w:r>
      <w:r w:rsidRPr="00911ED4">
        <w:rPr>
          <w:rFonts w:ascii="Traditional Arabic" w:hAnsi="Traditional Arabic"/>
          <w:rtl/>
        </w:rPr>
        <w:t xml:space="preserve">. </w:t>
      </w:r>
    </w:p>
    <w:p w:rsidR="00AA4B22" w:rsidRDefault="00911ED4" w:rsidP="00AA4B22">
      <w:pPr>
        <w:ind w:firstLine="0"/>
        <w:rPr>
          <w:rFonts w:ascii="Traditional Arabic" w:hAnsi="Traditional Arabic"/>
          <w:rtl/>
        </w:rPr>
      </w:pPr>
      <w:r w:rsidRPr="00911ED4">
        <w:rPr>
          <w:rFonts w:ascii="Traditional Arabic" w:hAnsi="Traditional Arabic"/>
          <w:rtl/>
        </w:rPr>
        <w:t xml:space="preserve">قوله تعالى: </w:t>
      </w:r>
      <w:r w:rsidRPr="00911ED4">
        <w:rPr>
          <w:rFonts w:ascii="QCF_BSML" w:hAnsi="QCF_BSML" w:cs="QCF_BSML"/>
          <w:color w:val="auto"/>
          <w:sz w:val="32"/>
          <w:szCs w:val="32"/>
          <w:rtl/>
          <w:lang w:eastAsia="en-US"/>
        </w:rPr>
        <w:t>ﭽ</w:t>
      </w:r>
      <w:r w:rsidRPr="00911ED4">
        <w:rPr>
          <w:rFonts w:ascii="QCF_P290" w:hAnsi="QCF_P290" w:cs="QCF_P290"/>
          <w:color w:val="auto"/>
          <w:sz w:val="32"/>
          <w:szCs w:val="32"/>
          <w:rtl/>
          <w:lang w:eastAsia="en-US"/>
        </w:rPr>
        <w:t>ﯢ  ﯣ  ﯤ   ﯥ  ﯦ</w:t>
      </w:r>
      <w:r w:rsidRPr="00911ED4">
        <w:rPr>
          <w:rFonts w:ascii="QCF_BSML" w:hAnsi="QCF_BSML" w:cs="QCF_BSML"/>
          <w:sz w:val="32"/>
          <w:szCs w:val="32"/>
          <w:rtl/>
          <w:lang w:eastAsia="en-US"/>
        </w:rPr>
        <w:t>ﭼ</w:t>
      </w:r>
      <w:r w:rsidRPr="00911ED4">
        <w:rPr>
          <w:rFonts w:ascii="Traditional Arabic" w:hAnsi="Traditional Arabic"/>
          <w:rtl/>
        </w:rPr>
        <w:t xml:space="preserve"> فيها ثلاثة أقوال: أحدها: على ناحيته، قاله ابن عباس</w:t>
      </w:r>
      <w:r w:rsidRPr="00911ED4">
        <w:rPr>
          <w:vertAlign w:val="superscript"/>
          <w:rtl/>
        </w:rPr>
        <w:t>(</w:t>
      </w:r>
      <w:r w:rsidRPr="00911ED4">
        <w:rPr>
          <w:vertAlign w:val="superscript"/>
          <w:rtl/>
        </w:rPr>
        <w:footnoteReference w:id="597"/>
      </w:r>
      <w:r w:rsidRPr="00911ED4">
        <w:rPr>
          <w:vertAlign w:val="superscript"/>
          <w:rtl/>
        </w:rPr>
        <w:t>)</w:t>
      </w:r>
      <w:r w:rsidRPr="00911ED4">
        <w:rPr>
          <w:rFonts w:ascii="Traditional Arabic" w:hAnsi="Traditional Arabic"/>
          <w:rtl/>
        </w:rPr>
        <w:t>، وسعيد بن جبير</w:t>
      </w:r>
      <w:r w:rsidRPr="00911ED4">
        <w:rPr>
          <w:rFonts w:ascii="Traditional Arabic" w:hAnsi="Traditional Arabic"/>
          <w:vertAlign w:val="superscript"/>
        </w:rPr>
        <w:t>(</w:t>
      </w:r>
      <w:r w:rsidRPr="00911ED4">
        <w:rPr>
          <w:rFonts w:ascii="Traditional Arabic" w:hAnsi="Traditional Arabic"/>
          <w:vertAlign w:val="superscript"/>
        </w:rPr>
        <w:footnoteReference w:id="598"/>
      </w:r>
      <w:r w:rsidRPr="00911ED4">
        <w:rPr>
          <w:rFonts w:ascii="Traditional Arabic" w:hAnsi="Traditional Arabic"/>
          <w:vertAlign w:val="superscript"/>
        </w:rPr>
        <w:t>)</w:t>
      </w:r>
      <w:r w:rsidRPr="00911ED4">
        <w:rPr>
          <w:rFonts w:ascii="Traditional Arabic" w:hAnsi="Traditional Arabic"/>
          <w:rtl/>
        </w:rPr>
        <w:t>. قال الفراء: الشاكلة: الناحية، والج</w:t>
      </w:r>
      <w:r w:rsidRPr="00911ED4">
        <w:rPr>
          <w:rFonts w:ascii="Traditional Arabic" w:hAnsi="Traditional Arabic" w:hint="cs"/>
          <w:rtl/>
        </w:rPr>
        <w:t>َ</w:t>
      </w:r>
      <w:r w:rsidRPr="00911ED4">
        <w:rPr>
          <w:rFonts w:ascii="Traditional Arabic" w:hAnsi="Traditional Arabic"/>
          <w:rtl/>
        </w:rPr>
        <w:t>ديلة، والطريقة، سمعت</w:t>
      </w:r>
      <w:r w:rsidRPr="00911ED4">
        <w:rPr>
          <w:rFonts w:ascii="Traditional Arabic" w:hAnsi="Traditional Arabic" w:hint="cs"/>
          <w:rtl/>
        </w:rPr>
        <w:t>ُ</w:t>
      </w:r>
      <w:r w:rsidRPr="00911ED4">
        <w:rPr>
          <w:rFonts w:ascii="Traditional Arabic" w:hAnsi="Traditional Arabic"/>
          <w:rtl/>
        </w:rPr>
        <w:t xml:space="preserve"> بعض العرب يقول: وعبد الملك إِذ ذاك على جديلته، وابن الزبير على جديلته</w:t>
      </w:r>
      <w:r w:rsidRPr="00911ED4">
        <w:rPr>
          <w:rFonts w:hint="cs"/>
          <w:rtl/>
        </w:rPr>
        <w:t>.</w:t>
      </w:r>
      <w:r w:rsidRPr="00911ED4">
        <w:rPr>
          <w:vertAlign w:val="superscript"/>
          <w:rtl/>
        </w:rPr>
        <w:t>(</w:t>
      </w:r>
      <w:r w:rsidRPr="00911ED4">
        <w:rPr>
          <w:vertAlign w:val="superscript"/>
          <w:rtl/>
        </w:rPr>
        <w:footnoteReference w:id="599"/>
      </w:r>
      <w:r w:rsidRPr="00911ED4">
        <w:rPr>
          <w:vertAlign w:val="superscript"/>
          <w:rtl/>
        </w:rPr>
        <w:t>)</w:t>
      </w:r>
      <w:r w:rsidRPr="00911ED4">
        <w:rPr>
          <w:rFonts w:ascii="Traditional Arabic" w:hAnsi="Traditional Arabic"/>
          <w:rtl/>
        </w:rPr>
        <w:t>يريد: على ناحيته.</w:t>
      </w:r>
      <w:r w:rsidR="00156316">
        <w:rPr>
          <w:rFonts w:ascii="Traditional Arabic" w:hAnsi="Traditional Arabic" w:hint="cs"/>
          <w:rtl/>
          <w:lang w:eastAsia="en-US"/>
        </w:rPr>
        <w:t xml:space="preserve"> </w:t>
      </w:r>
      <w:r w:rsidR="00156316">
        <w:rPr>
          <w:rFonts w:ascii="QCF_BSML" w:hAnsi="QCF_BSML" w:cs="QCF_BSML" w:hint="cs"/>
          <w:color w:val="0D0D0D" w:themeColor="text1" w:themeTint="F2"/>
          <w:sz w:val="32"/>
          <w:szCs w:val="32"/>
          <w:rtl/>
          <w:lang w:eastAsia="en-US"/>
        </w:rPr>
        <w:t xml:space="preserve"> </w:t>
      </w:r>
      <w:r w:rsidR="00156316" w:rsidRPr="001277AD">
        <w:rPr>
          <w:rFonts w:hint="cs"/>
          <w:color w:val="0D0D0D" w:themeColor="text1" w:themeTint="F2"/>
          <w:sz w:val="32"/>
          <w:szCs w:val="32"/>
          <w:rtl/>
        </w:rPr>
        <w:t>[</w:t>
      </w:r>
      <w:r w:rsidR="00156316">
        <w:rPr>
          <w:rFonts w:hint="cs"/>
          <w:color w:val="0D0D0D" w:themeColor="text1" w:themeTint="F2"/>
          <w:sz w:val="32"/>
          <w:szCs w:val="32"/>
          <w:rtl/>
        </w:rPr>
        <w:t>87</w:t>
      </w:r>
      <w:r w:rsidR="00156316" w:rsidRPr="001277AD">
        <w:rPr>
          <w:rFonts w:hint="cs"/>
          <w:color w:val="0D0D0D" w:themeColor="text1" w:themeTint="F2"/>
          <w:sz w:val="32"/>
          <w:szCs w:val="32"/>
          <w:rtl/>
        </w:rPr>
        <w:t>]</w:t>
      </w:r>
      <w:r w:rsidRPr="00911ED4">
        <w:rPr>
          <w:rFonts w:ascii="Traditional Arabic" w:hAnsi="Traditional Arabic"/>
          <w:rtl/>
        </w:rPr>
        <w:t xml:space="preserve"> وقال أبو عبيدة: على ناحيته وخليقته</w:t>
      </w:r>
      <w:r w:rsidRPr="00911ED4">
        <w:rPr>
          <w:vertAlign w:val="superscript"/>
          <w:rtl/>
        </w:rPr>
        <w:t>(</w:t>
      </w:r>
      <w:r w:rsidRPr="00911ED4">
        <w:rPr>
          <w:vertAlign w:val="superscript"/>
          <w:rtl/>
        </w:rPr>
        <w:footnoteReference w:id="600"/>
      </w:r>
      <w:r w:rsidRPr="00911ED4">
        <w:rPr>
          <w:vertAlign w:val="superscript"/>
          <w:rtl/>
        </w:rPr>
        <w:t>)</w:t>
      </w:r>
      <w:r w:rsidRPr="00911ED4">
        <w:rPr>
          <w:rFonts w:ascii="Traditional Arabic" w:hAnsi="Traditional Arabic"/>
          <w:rtl/>
        </w:rPr>
        <w:t>. وقال ابن قتيبة: على خليقته وطبيعته، وهو من الشكل. يقال: لستَ على شكلي، ولا شاكلتي</w:t>
      </w:r>
      <w:r w:rsidRPr="00911ED4">
        <w:rPr>
          <w:vertAlign w:val="superscript"/>
          <w:rtl/>
        </w:rPr>
        <w:t>(</w:t>
      </w:r>
      <w:r w:rsidRPr="00911ED4">
        <w:rPr>
          <w:vertAlign w:val="superscript"/>
          <w:rtl/>
        </w:rPr>
        <w:footnoteReference w:id="601"/>
      </w:r>
      <w:r w:rsidRPr="00911ED4">
        <w:rPr>
          <w:vertAlign w:val="superscript"/>
          <w:rtl/>
        </w:rPr>
        <w:t>)</w:t>
      </w:r>
      <w:r w:rsidRPr="00911ED4">
        <w:rPr>
          <w:rFonts w:ascii="Traditional Arabic" w:hAnsi="Traditional Arabic"/>
          <w:rtl/>
        </w:rPr>
        <w:t>. وقال الزجاج: على طريقته، وعلى مذهبه</w:t>
      </w:r>
      <w:r w:rsidRPr="00911ED4">
        <w:rPr>
          <w:vertAlign w:val="superscript"/>
          <w:rtl/>
        </w:rPr>
        <w:t>(</w:t>
      </w:r>
      <w:r w:rsidRPr="00911ED4">
        <w:rPr>
          <w:vertAlign w:val="superscript"/>
          <w:rtl/>
        </w:rPr>
        <w:footnoteReference w:id="602"/>
      </w:r>
      <w:r w:rsidRPr="00911ED4">
        <w:rPr>
          <w:vertAlign w:val="superscript"/>
          <w:rtl/>
        </w:rPr>
        <w:t>)</w:t>
      </w:r>
      <w:r w:rsidRPr="00911ED4">
        <w:rPr>
          <w:rFonts w:ascii="Traditional Arabic" w:hAnsi="Traditional Arabic"/>
          <w:rtl/>
        </w:rPr>
        <w:t>. والثاني: على نِيَّته قاله الحسن</w:t>
      </w:r>
      <w:r w:rsidRPr="00911ED4">
        <w:rPr>
          <w:vertAlign w:val="superscript"/>
          <w:rtl/>
        </w:rPr>
        <w:t>(</w:t>
      </w:r>
      <w:r w:rsidRPr="00911ED4">
        <w:rPr>
          <w:vertAlign w:val="superscript"/>
          <w:rtl/>
        </w:rPr>
        <w:footnoteReference w:id="603"/>
      </w:r>
      <w:r w:rsidRPr="00911ED4">
        <w:rPr>
          <w:vertAlign w:val="superscript"/>
          <w:rtl/>
        </w:rPr>
        <w:t>)</w:t>
      </w:r>
      <w:r w:rsidRPr="00911ED4">
        <w:rPr>
          <w:rFonts w:ascii="Traditional Arabic" w:hAnsi="Traditional Arabic"/>
          <w:rtl/>
        </w:rPr>
        <w:t>، ومعاوية بن قُرَّة</w:t>
      </w:r>
      <w:r w:rsidRPr="00911ED4">
        <w:rPr>
          <w:vertAlign w:val="superscript"/>
          <w:rtl/>
        </w:rPr>
        <w:t>(</w:t>
      </w:r>
      <w:r w:rsidRPr="00911ED4">
        <w:rPr>
          <w:rFonts w:ascii="Traditional Arabic" w:hAnsi="Traditional Arabic"/>
          <w:vertAlign w:val="superscript"/>
          <w:rtl/>
        </w:rPr>
        <w:footnoteReference w:id="604"/>
      </w:r>
      <w:r w:rsidRPr="00911ED4">
        <w:rPr>
          <w:rFonts w:ascii="Traditional Arabic" w:hAnsi="Traditional Arabic"/>
          <w:vertAlign w:val="superscript"/>
          <w:rtl/>
        </w:rPr>
        <w:t>)</w:t>
      </w:r>
      <w:r w:rsidRPr="00911ED4">
        <w:rPr>
          <w:rFonts w:ascii="Traditional Arabic" w:hAnsi="Traditional Arabic"/>
          <w:vertAlign w:val="superscript"/>
        </w:rPr>
        <w:t>(</w:t>
      </w:r>
      <w:r w:rsidRPr="00911ED4">
        <w:rPr>
          <w:rFonts w:ascii="Traditional Arabic" w:hAnsi="Traditional Arabic"/>
          <w:vertAlign w:val="superscript"/>
        </w:rPr>
        <w:footnoteReference w:id="605"/>
      </w:r>
      <w:r w:rsidRPr="00911ED4">
        <w:rPr>
          <w:rFonts w:ascii="Traditional Arabic" w:hAnsi="Traditional Arabic"/>
          <w:vertAlign w:val="superscript"/>
        </w:rPr>
        <w:t>)</w:t>
      </w:r>
      <w:r w:rsidRPr="00911ED4">
        <w:rPr>
          <w:rFonts w:ascii="Traditional Arabic" w:hAnsi="Traditional Arabic"/>
          <w:rtl/>
        </w:rPr>
        <w:t>. وقال الليث</w:t>
      </w:r>
      <w:r w:rsidRPr="00911ED4">
        <w:rPr>
          <w:vertAlign w:val="superscript"/>
          <w:rtl/>
        </w:rPr>
        <w:t>(</w:t>
      </w:r>
      <w:r w:rsidRPr="00911ED4">
        <w:rPr>
          <w:vertAlign w:val="superscript"/>
          <w:rtl/>
        </w:rPr>
        <w:footnoteReference w:id="606"/>
      </w:r>
      <w:r w:rsidRPr="00911ED4">
        <w:rPr>
          <w:vertAlign w:val="superscript"/>
          <w:rtl/>
        </w:rPr>
        <w:t>)</w:t>
      </w:r>
      <w:r w:rsidRPr="00911ED4">
        <w:rPr>
          <w:rFonts w:ascii="Traditional Arabic" w:hAnsi="Traditional Arabic"/>
          <w:rtl/>
        </w:rPr>
        <w:t>: الشاكلة من الأمور: ما وافق فاعله</w:t>
      </w:r>
      <w:r w:rsidRPr="00911ED4">
        <w:rPr>
          <w:vertAlign w:val="superscript"/>
          <w:rtl/>
        </w:rPr>
        <w:t>(</w:t>
      </w:r>
      <w:r w:rsidRPr="00911ED4">
        <w:rPr>
          <w:vertAlign w:val="superscript"/>
          <w:rtl/>
        </w:rPr>
        <w:footnoteReference w:id="607"/>
      </w:r>
      <w:r w:rsidRPr="00911ED4">
        <w:rPr>
          <w:vertAlign w:val="superscript"/>
          <w:rtl/>
        </w:rPr>
        <w:t>)</w:t>
      </w:r>
      <w:r w:rsidRPr="00911ED4">
        <w:rPr>
          <w:rFonts w:ascii="Traditional Arabic" w:hAnsi="Traditional Arabic"/>
          <w:rtl/>
        </w:rPr>
        <w:t>. والثالث: على دينه، قاله ابن زيد</w:t>
      </w:r>
      <w:r w:rsidRPr="00911ED4">
        <w:rPr>
          <w:vertAlign w:val="superscript"/>
          <w:rtl/>
        </w:rPr>
        <w:t>(</w:t>
      </w:r>
      <w:r w:rsidRPr="00911ED4">
        <w:rPr>
          <w:vertAlign w:val="superscript"/>
          <w:rtl/>
        </w:rPr>
        <w:footnoteReference w:id="608"/>
      </w:r>
      <w:r w:rsidRPr="00911ED4">
        <w:rPr>
          <w:vertAlign w:val="superscript"/>
          <w:rtl/>
        </w:rPr>
        <w:t>)</w:t>
      </w:r>
      <w:r w:rsidRPr="00911ED4">
        <w:rPr>
          <w:rFonts w:ascii="Traditional Arabic" w:hAnsi="Traditional Arabic"/>
          <w:rtl/>
        </w:rPr>
        <w:t>.</w:t>
      </w:r>
      <w:r w:rsidRPr="00911ED4">
        <w:rPr>
          <w:rFonts w:ascii="Traditional Arabic" w:hAnsi="Traditional Arabic" w:hint="cs"/>
          <w:rtl/>
        </w:rPr>
        <w:t xml:space="preserve"> </w:t>
      </w:r>
    </w:p>
    <w:p w:rsidR="00911ED4" w:rsidRPr="00911ED4" w:rsidRDefault="00911ED4" w:rsidP="00AA4B22">
      <w:pPr>
        <w:ind w:firstLine="0"/>
        <w:rPr>
          <w:rFonts w:ascii="Traditional Arabic" w:hAnsi="Traditional Arabic"/>
          <w:rtl/>
        </w:rPr>
      </w:pPr>
      <w:r w:rsidRPr="00911ED4">
        <w:rPr>
          <w:rFonts w:ascii="Traditional Arabic" w:hAnsi="Traditional Arabic"/>
          <w:rtl/>
        </w:rPr>
        <w:lastRenderedPageBreak/>
        <w:t>وتحرير المعنى: أن كل واحد يعمل على طريقته التي تشاكل أخلاقه، فالكافر يعمل ما يشبه طريقته من الإِعراض عند النِّعم واليأس عند الشدة، والمؤمن يعمل ما يشبه طريقته من الشكر عند الرخاء والصبر عند البلاء، والله يجازي الفريقين</w:t>
      </w:r>
      <w:r w:rsidRPr="00911ED4">
        <w:rPr>
          <w:vertAlign w:val="superscript"/>
          <w:rtl/>
        </w:rPr>
        <w:t>(</w:t>
      </w:r>
      <w:r w:rsidRPr="00911ED4">
        <w:rPr>
          <w:vertAlign w:val="superscript"/>
          <w:rtl/>
        </w:rPr>
        <w:footnoteReference w:id="609"/>
      </w:r>
      <w:r w:rsidRPr="00911ED4">
        <w:rPr>
          <w:vertAlign w:val="superscript"/>
          <w:rtl/>
        </w:rPr>
        <w:t>)</w:t>
      </w:r>
      <w:r w:rsidR="00CD7E12">
        <w:rPr>
          <w:rFonts w:ascii="Traditional Arabic" w:hAnsi="Traditional Arabic"/>
          <w:rtl/>
        </w:rPr>
        <w:t xml:space="preserve">. وذكر أبو صالح عن ابن عباس </w:t>
      </w:r>
      <w:r w:rsidR="00CD7E12">
        <w:rPr>
          <w:rFonts w:ascii="Traditional Arabic" w:hAnsi="Traditional Arabic" w:hint="cs"/>
          <w:rtl/>
        </w:rPr>
        <w:t>أ</w:t>
      </w:r>
      <w:r w:rsidRPr="00911ED4">
        <w:rPr>
          <w:rFonts w:ascii="Traditional Arabic" w:hAnsi="Traditional Arabic"/>
          <w:rtl/>
        </w:rPr>
        <w:t>ن هذه الآية منسوخة بقوله تعالى:</w:t>
      </w:r>
      <w:r w:rsidRPr="00911ED4">
        <w:rPr>
          <w:rFonts w:ascii="Traditional Arabic" w:hAnsi="Traditional Arabic" w:hint="cs"/>
          <w:rtl/>
        </w:rPr>
        <w:t xml:space="preserve"> </w:t>
      </w:r>
      <w:r w:rsidRPr="00911ED4">
        <w:rPr>
          <w:rFonts w:ascii="QCF_BSML" w:hAnsi="QCF_BSML" w:cs="QCF_BSML"/>
          <w:sz w:val="32"/>
          <w:szCs w:val="32"/>
          <w:rtl/>
          <w:lang w:eastAsia="en-US"/>
        </w:rPr>
        <w:t>ﭽ</w:t>
      </w:r>
      <w:r w:rsidRPr="00911ED4">
        <w:rPr>
          <w:rFonts w:ascii="QCF_P187" w:hAnsi="QCF_P187" w:cs="QCF_P187"/>
          <w:sz w:val="32"/>
          <w:szCs w:val="32"/>
          <w:rtl/>
          <w:lang w:eastAsia="en-US"/>
        </w:rPr>
        <w:t xml:space="preserve">ﮬ  ﮭ  ﮮ  ﮯ  </w:t>
      </w:r>
      <w:r w:rsidRPr="00911ED4">
        <w:rPr>
          <w:rFonts w:ascii="QCF_BSML" w:hAnsi="QCF_BSML" w:cs="QCF_BSML"/>
          <w:sz w:val="32"/>
          <w:szCs w:val="32"/>
          <w:rtl/>
          <w:lang w:eastAsia="en-US"/>
        </w:rPr>
        <w:t>ﭼ</w:t>
      </w:r>
      <w:r w:rsidRPr="00911ED4">
        <w:rPr>
          <w:vertAlign w:val="superscript"/>
          <w:rtl/>
        </w:rPr>
        <w:t>(</w:t>
      </w:r>
      <w:r w:rsidRPr="00911ED4">
        <w:rPr>
          <w:vertAlign w:val="superscript"/>
          <w:rtl/>
        </w:rPr>
        <w:footnoteReference w:id="610"/>
      </w:r>
      <w:r w:rsidRPr="00911ED4">
        <w:rPr>
          <w:vertAlign w:val="superscript"/>
          <w:rtl/>
        </w:rPr>
        <w:t>)</w:t>
      </w:r>
      <w:r w:rsidRPr="00911ED4">
        <w:rPr>
          <w:rFonts w:ascii="Traditional Arabic" w:hAnsi="Traditional Arabic"/>
          <w:color w:val="auto"/>
          <w:sz w:val="32"/>
          <w:szCs w:val="32"/>
          <w:rtl/>
          <w:lang w:eastAsia="en-US"/>
        </w:rPr>
        <w:t>[التوبة:٥</w:t>
      </w:r>
      <w:r w:rsidRPr="00911ED4">
        <w:rPr>
          <w:rFonts w:ascii="Traditional Arabic" w:hAnsi="Traditional Arabic"/>
          <w:color w:val="auto"/>
          <w:sz w:val="32"/>
          <w:szCs w:val="32"/>
          <w:rtl/>
        </w:rPr>
        <w:t>]،</w:t>
      </w:r>
      <w:r w:rsidRPr="00911ED4">
        <w:rPr>
          <w:rFonts w:ascii="Traditional Arabic" w:hAnsi="Traditional Arabic"/>
          <w:color w:val="auto"/>
          <w:rtl/>
        </w:rPr>
        <w:t xml:space="preserve"> </w:t>
      </w:r>
      <w:r w:rsidRPr="00911ED4">
        <w:rPr>
          <w:rFonts w:ascii="Traditional Arabic" w:hAnsi="Traditional Arabic"/>
          <w:rtl/>
        </w:rPr>
        <w:t>وليس بشيء.</w:t>
      </w:r>
      <w:r w:rsidRPr="00911ED4">
        <w:rPr>
          <w:rFonts w:ascii="Traditional Arabic" w:hAnsi="Traditional Arabic"/>
          <w:rtl/>
        </w:rPr>
        <w:tab/>
      </w:r>
    </w:p>
    <w:p w:rsidR="00911ED4" w:rsidRPr="00911ED4" w:rsidRDefault="00911ED4" w:rsidP="00911ED4">
      <w:pPr>
        <w:ind w:firstLine="0"/>
        <w:rPr>
          <w:rFonts w:ascii="Traditional Arabic" w:hAnsi="Traditional Arabic"/>
          <w:color w:val="auto"/>
          <w:sz w:val="32"/>
          <w:szCs w:val="32"/>
          <w:rtl/>
        </w:rPr>
      </w:pPr>
      <w:r w:rsidRPr="00911ED4">
        <w:rPr>
          <w:rFonts w:ascii="QCF_BSML" w:hAnsi="QCF_BSML" w:cs="QCF_BSML"/>
          <w:color w:val="auto"/>
          <w:sz w:val="32"/>
          <w:szCs w:val="32"/>
          <w:rtl/>
          <w:lang w:eastAsia="en-US"/>
        </w:rPr>
        <w:t>ﭽ</w:t>
      </w:r>
      <w:r w:rsidRPr="00911ED4">
        <w:rPr>
          <w:rFonts w:ascii="QCF_P290" w:hAnsi="QCF_P290" w:cs="QCF_P290"/>
          <w:color w:val="auto"/>
          <w:sz w:val="32"/>
          <w:szCs w:val="32"/>
          <w:rtl/>
          <w:lang w:eastAsia="en-US"/>
        </w:rPr>
        <w:t xml:space="preserve">ﯮ  ﯯ  ﯰﯱ  ﯲ  ﯳ  ﯴ  ﯵ  ﯶ   ﯷ  ﯸ  ﯹ  ﯺ  ﯻ  ﯼ  ﯽ  </w:t>
      </w:r>
      <w:r w:rsidRPr="00911ED4">
        <w:rPr>
          <w:rFonts w:ascii="QCF_BSML" w:hAnsi="QCF_BSML" w:cs="QCF_BSML"/>
          <w:color w:val="auto"/>
          <w:sz w:val="32"/>
          <w:szCs w:val="32"/>
          <w:rtl/>
          <w:lang w:eastAsia="en-US"/>
        </w:rPr>
        <w:t>ﭼ</w:t>
      </w:r>
      <w:r w:rsidRPr="00911ED4">
        <w:rPr>
          <w:rFonts w:ascii="Arial" w:hAnsi="Arial" w:cs="Arial"/>
          <w:color w:val="auto"/>
          <w:sz w:val="32"/>
          <w:szCs w:val="32"/>
          <w:rtl/>
          <w:lang w:eastAsia="en-US"/>
        </w:rPr>
        <w:t xml:space="preserve"> </w:t>
      </w:r>
    </w:p>
    <w:p w:rsidR="00FD36F7" w:rsidRDefault="00911ED4" w:rsidP="00CD7E12">
      <w:pPr>
        <w:ind w:firstLine="0"/>
        <w:rPr>
          <w:rFonts w:ascii="Traditional Arabic" w:hAnsi="Traditional Arabic"/>
          <w:rtl/>
        </w:rPr>
      </w:pPr>
      <w:r w:rsidRPr="00911ED4">
        <w:rPr>
          <w:rFonts w:ascii="Traditional Arabic" w:hAnsi="Traditional Arabic"/>
          <w:rtl/>
        </w:rPr>
        <w:t xml:space="preserve">قوله تعالى: </w:t>
      </w:r>
      <w:r w:rsidRPr="00911ED4">
        <w:rPr>
          <w:rFonts w:ascii="QCF_BSML" w:hAnsi="QCF_BSML" w:cs="QCF_BSML"/>
          <w:color w:val="auto"/>
          <w:sz w:val="32"/>
          <w:szCs w:val="32"/>
          <w:rtl/>
          <w:lang w:eastAsia="en-US"/>
        </w:rPr>
        <w:t>ﭽ</w:t>
      </w:r>
      <w:r w:rsidRPr="00911ED4">
        <w:rPr>
          <w:rFonts w:ascii="QCF_P290" w:hAnsi="QCF_P290" w:cs="QCF_P290"/>
          <w:color w:val="auto"/>
          <w:sz w:val="32"/>
          <w:szCs w:val="32"/>
          <w:rtl/>
          <w:lang w:eastAsia="en-US"/>
        </w:rPr>
        <w:t>ﯮ  ﯯ  ﯰ</w:t>
      </w:r>
      <w:r w:rsidRPr="00911ED4">
        <w:rPr>
          <w:rFonts w:ascii="QCF_BSML" w:hAnsi="QCF_BSML" w:cs="QCF_BSML"/>
          <w:color w:val="auto"/>
          <w:sz w:val="32"/>
          <w:szCs w:val="32"/>
          <w:rtl/>
          <w:lang w:eastAsia="en-US"/>
        </w:rPr>
        <w:t>ﭼ</w:t>
      </w:r>
      <w:r w:rsidRPr="00911ED4">
        <w:rPr>
          <w:rFonts w:ascii="QCF_BSML" w:hAnsi="QCF_BSML" w:cs="QCF_BSML" w:hint="cs"/>
          <w:color w:val="auto"/>
          <w:sz w:val="32"/>
          <w:szCs w:val="32"/>
          <w:rtl/>
          <w:lang w:eastAsia="en-US"/>
        </w:rPr>
        <w:t xml:space="preserve"> </w:t>
      </w:r>
      <w:r w:rsidRPr="00911ED4">
        <w:rPr>
          <w:rFonts w:ascii="QCF_P290" w:hAnsi="QCF_P290" w:cs="QCF_P290"/>
          <w:color w:val="auto"/>
          <w:sz w:val="32"/>
          <w:szCs w:val="32"/>
          <w:rtl/>
          <w:lang w:eastAsia="en-US"/>
        </w:rPr>
        <w:t xml:space="preserve"> </w:t>
      </w:r>
      <w:r w:rsidRPr="00911ED4">
        <w:rPr>
          <w:rFonts w:ascii="QCF_P290" w:hAnsi="QCF_P290" w:cs="QCF_P290" w:hint="cs"/>
          <w:color w:val="auto"/>
          <w:sz w:val="32"/>
          <w:szCs w:val="32"/>
          <w:rtl/>
          <w:lang w:eastAsia="en-US"/>
        </w:rPr>
        <w:t xml:space="preserve"> </w:t>
      </w:r>
      <w:r w:rsidRPr="00911ED4">
        <w:rPr>
          <w:rFonts w:ascii="Traditional Arabic" w:hAnsi="Traditional Arabic"/>
          <w:rtl/>
        </w:rPr>
        <w:t>في سبب نزولها قولان:</w:t>
      </w:r>
      <w:r w:rsidRPr="00911ED4">
        <w:rPr>
          <w:rFonts w:ascii="Traditional Arabic" w:hAnsi="Traditional Arabic" w:hint="cs"/>
          <w:rtl/>
        </w:rPr>
        <w:t xml:space="preserve"> </w:t>
      </w:r>
      <w:r w:rsidRPr="00911ED4">
        <w:rPr>
          <w:rFonts w:ascii="Traditional Arabic" w:hAnsi="Traditional Arabic"/>
          <w:rtl/>
        </w:rPr>
        <w:t xml:space="preserve">أحدهما: أن رسول الله </w:t>
      </w:r>
      <w:r w:rsidRPr="00911ED4">
        <w:rPr>
          <w:rFonts w:ascii="Traditional Arabic" w:hAnsi="Traditional Arabic" w:hint="cs"/>
        </w:rPr>
        <w:sym w:font="AGA Arabesque" w:char="F072"/>
      </w:r>
      <w:r w:rsidRPr="00911ED4">
        <w:rPr>
          <w:rFonts w:ascii="Traditional Arabic" w:hAnsi="Traditional Arabic" w:hint="cs"/>
          <w:rtl/>
        </w:rPr>
        <w:t xml:space="preserve"> </w:t>
      </w:r>
      <w:r w:rsidRPr="00911ED4">
        <w:rPr>
          <w:rFonts w:ascii="Traditional Arabic" w:hAnsi="Traditional Arabic"/>
          <w:rtl/>
        </w:rPr>
        <w:t xml:space="preserve">مَرَّ بناس من اليهود، فقالوا: </w:t>
      </w:r>
      <w:r w:rsidR="008D52BA">
        <w:rPr>
          <w:rFonts w:ascii="Traditional Arabic" w:hAnsi="Traditional Arabic" w:hint="cs"/>
          <w:rtl/>
        </w:rPr>
        <w:t>[</w:t>
      </w:r>
      <w:r w:rsidRPr="00911ED4">
        <w:rPr>
          <w:rFonts w:ascii="Traditional Arabic" w:hAnsi="Traditional Arabic"/>
          <w:rtl/>
        </w:rPr>
        <w:t>سَلُوهُ</w:t>
      </w:r>
      <w:r w:rsidR="008D52BA">
        <w:rPr>
          <w:rFonts w:ascii="Traditional Arabic" w:hAnsi="Traditional Arabic" w:hint="cs"/>
          <w:rtl/>
        </w:rPr>
        <w:t>]</w:t>
      </w:r>
      <w:r w:rsidRPr="00911ED4">
        <w:rPr>
          <w:vertAlign w:val="superscript"/>
          <w:rtl/>
        </w:rPr>
        <w:t>(</w:t>
      </w:r>
      <w:r w:rsidRPr="00911ED4">
        <w:rPr>
          <w:vertAlign w:val="superscript"/>
          <w:rtl/>
        </w:rPr>
        <w:footnoteReference w:id="611"/>
      </w:r>
      <w:r w:rsidRPr="00911ED4">
        <w:rPr>
          <w:vertAlign w:val="superscript"/>
          <w:rtl/>
        </w:rPr>
        <w:t>)</w:t>
      </w:r>
      <w:r w:rsidRPr="00911ED4">
        <w:rPr>
          <w:rFonts w:ascii="Traditional Arabic" w:hAnsi="Traditional Arabic"/>
          <w:rtl/>
        </w:rPr>
        <w:t>عن الروح، فقال بعضهم: لا تسألوه، فيستقبلكُم بما تكرهون. فأتاه نفر منهم، فقالوا: يا أبا القاسم: ما تقول في الروح؟ فسكت، ونزلت هذه الآية، قاله ابن مسعود</w:t>
      </w:r>
      <w:r w:rsidRPr="00911ED4">
        <w:rPr>
          <w:vertAlign w:val="superscript"/>
          <w:rtl/>
        </w:rPr>
        <w:t>(</w:t>
      </w:r>
      <w:r w:rsidRPr="00911ED4">
        <w:rPr>
          <w:vertAlign w:val="superscript"/>
          <w:rtl/>
        </w:rPr>
        <w:footnoteReference w:id="612"/>
      </w:r>
      <w:r w:rsidRPr="00911ED4">
        <w:rPr>
          <w:vertAlign w:val="superscript"/>
          <w:rtl/>
        </w:rPr>
        <w:t>)</w:t>
      </w:r>
      <w:r w:rsidRPr="00911ED4">
        <w:rPr>
          <w:rFonts w:ascii="Traditional Arabic" w:hAnsi="Traditional Arabic"/>
          <w:rtl/>
        </w:rPr>
        <w:t>.والثاني: أن اليهود قالت لقريش: سلوا محمداً عن ثلاث، فإن أخبركم عن اثنتين</w:t>
      </w:r>
      <w:r w:rsidRPr="00911ED4">
        <w:rPr>
          <w:vertAlign w:val="superscript"/>
          <w:rtl/>
        </w:rPr>
        <w:t>(</w:t>
      </w:r>
      <w:r w:rsidRPr="00911ED4">
        <w:rPr>
          <w:vertAlign w:val="superscript"/>
          <w:rtl/>
        </w:rPr>
        <w:footnoteReference w:id="613"/>
      </w:r>
      <w:r w:rsidRPr="00911ED4">
        <w:rPr>
          <w:vertAlign w:val="superscript"/>
          <w:rtl/>
        </w:rPr>
        <w:t>)</w:t>
      </w:r>
      <w:r w:rsidRPr="00911ED4">
        <w:rPr>
          <w:rFonts w:ascii="Traditional Arabic" w:hAnsi="Traditional Arabic"/>
          <w:rtl/>
        </w:rPr>
        <w:t>وأمسك عن الثالثة فهو نبي</w:t>
      </w:r>
      <w:r w:rsidR="00CD7E12">
        <w:rPr>
          <w:rFonts w:ascii="Traditional Arabic" w:hAnsi="Traditional Arabic" w:hint="cs"/>
          <w:rtl/>
        </w:rPr>
        <w:t>,</w:t>
      </w:r>
      <w:r w:rsidRPr="00911ED4">
        <w:rPr>
          <w:rFonts w:ascii="Traditional Arabic" w:hAnsi="Traditional Arabic"/>
          <w:rtl/>
        </w:rPr>
        <w:t xml:space="preserve"> سلوه عن فِتيةٍ فُقدوا، وسلوه عن ذي القرنين، وسلوه عن الرُّوح. فسألوه عنها، ففسَّر لهم أمر الفتية في الكهف، وفسر لهم قصة ذي القرنين، وأمسك عن قصة الروح، فنزلت هذه الآية، رواه عطاء عن ابن عباس</w:t>
      </w:r>
      <w:r w:rsidRPr="00911ED4">
        <w:rPr>
          <w:vertAlign w:val="superscript"/>
          <w:rtl/>
        </w:rPr>
        <w:t>(</w:t>
      </w:r>
      <w:r w:rsidRPr="00911ED4">
        <w:rPr>
          <w:vertAlign w:val="superscript"/>
          <w:rtl/>
        </w:rPr>
        <w:footnoteReference w:id="614"/>
      </w:r>
      <w:r w:rsidRPr="00911ED4">
        <w:rPr>
          <w:vertAlign w:val="superscript"/>
          <w:rtl/>
        </w:rPr>
        <w:t>)</w:t>
      </w:r>
      <w:r w:rsidRPr="00911ED4">
        <w:rPr>
          <w:rFonts w:ascii="Traditional Arabic" w:hAnsi="Traditional Arabic"/>
          <w:rtl/>
        </w:rPr>
        <w:t>.</w:t>
      </w:r>
      <w:r w:rsidRPr="00911ED4">
        <w:rPr>
          <w:rFonts w:ascii="Traditional Arabic" w:hAnsi="Traditional Arabic" w:hint="cs"/>
          <w:rtl/>
        </w:rPr>
        <w:t xml:space="preserve"> </w:t>
      </w:r>
      <w:r w:rsidRPr="00911ED4">
        <w:rPr>
          <w:rFonts w:ascii="Traditional Arabic" w:hAnsi="Traditional Arabic"/>
          <w:rtl/>
        </w:rPr>
        <w:t xml:space="preserve">وفي المراد بالرّوح ها هنا ستة أقوال: أحدها: أنه الروح الذي يحيا به البدن، روى هذا المعنى العوفي عن ابن </w:t>
      </w:r>
      <w:r w:rsidRPr="00911ED4">
        <w:rPr>
          <w:rFonts w:ascii="Traditional Arabic" w:hAnsi="Traditional Arabic"/>
          <w:rtl/>
        </w:rPr>
        <w:lastRenderedPageBreak/>
        <w:t>عباس</w:t>
      </w:r>
      <w:r w:rsidRPr="00911ED4">
        <w:rPr>
          <w:vertAlign w:val="superscript"/>
          <w:rtl/>
        </w:rPr>
        <w:t>(</w:t>
      </w:r>
      <w:r w:rsidRPr="00911ED4">
        <w:rPr>
          <w:vertAlign w:val="superscript"/>
          <w:rtl/>
        </w:rPr>
        <w:footnoteReference w:id="615"/>
      </w:r>
      <w:r w:rsidRPr="00911ED4">
        <w:rPr>
          <w:vertAlign w:val="superscript"/>
          <w:rtl/>
        </w:rPr>
        <w:t>)</w:t>
      </w:r>
      <w:r w:rsidRPr="00911ED4">
        <w:rPr>
          <w:rFonts w:ascii="Traditional Arabic" w:hAnsi="Traditional Arabic"/>
          <w:rtl/>
        </w:rPr>
        <w:t>. وقد اختلف الناس في ماهيَّة الروح</w:t>
      </w:r>
      <w:r w:rsidR="00CD7E12">
        <w:rPr>
          <w:rFonts w:ascii="Traditional Arabic" w:hAnsi="Traditional Arabic"/>
          <w:rtl/>
        </w:rPr>
        <w:t>، ثم اختلفوا هل الروح النَّفْسُ</w:t>
      </w:r>
      <w:r w:rsidR="00CD7E12">
        <w:rPr>
          <w:rFonts w:ascii="Traditional Arabic" w:hAnsi="Traditional Arabic" w:hint="cs"/>
          <w:rtl/>
        </w:rPr>
        <w:t>؟</w:t>
      </w:r>
      <w:r w:rsidRPr="00911ED4">
        <w:rPr>
          <w:rFonts w:ascii="Traditional Arabic" w:hAnsi="Traditional Arabic"/>
          <w:rtl/>
        </w:rPr>
        <w:t xml:space="preserve"> أم هما شيئان</w:t>
      </w:r>
      <w:r w:rsidR="00CD7E12">
        <w:rPr>
          <w:rFonts w:ascii="Traditional Arabic" w:hAnsi="Traditional Arabic" w:hint="cs"/>
          <w:rtl/>
        </w:rPr>
        <w:t>؟</w:t>
      </w:r>
      <w:r w:rsidRPr="00911ED4">
        <w:rPr>
          <w:rFonts w:ascii="Traditional Arabic" w:hAnsi="Traditional Arabic"/>
          <w:rtl/>
        </w:rPr>
        <w:t xml:space="preserve"> فلا يحتاج إِلى ذكر اختلافهم</w:t>
      </w:r>
      <w:r w:rsidR="00CD7E12">
        <w:rPr>
          <w:rFonts w:ascii="Traditional Arabic" w:hAnsi="Traditional Arabic" w:hint="cs"/>
          <w:rtl/>
        </w:rPr>
        <w:t>؛</w:t>
      </w:r>
      <w:r w:rsidRPr="00911ED4">
        <w:rPr>
          <w:rFonts w:ascii="Traditional Arabic" w:hAnsi="Traditional Arabic"/>
          <w:rtl/>
        </w:rPr>
        <w:t xml:space="preserve"> لأنه لا برهان على شيء من ذلك</w:t>
      </w:r>
      <w:r w:rsidR="00CD7E12">
        <w:rPr>
          <w:rFonts w:ascii="Traditional Arabic" w:hAnsi="Traditional Arabic" w:hint="cs"/>
          <w:rtl/>
        </w:rPr>
        <w:t>,</w:t>
      </w:r>
      <w:r w:rsidRPr="00911ED4">
        <w:rPr>
          <w:rFonts w:ascii="Traditional Arabic" w:hAnsi="Traditional Arabic"/>
          <w:rtl/>
        </w:rPr>
        <w:t xml:space="preserve"> وإنما هو شيء أخذوه عن الطّبّ</w:t>
      </w:r>
      <w:r w:rsidRPr="00911ED4">
        <w:rPr>
          <w:rFonts w:ascii="Traditional Arabic" w:hAnsi="Traditional Arabic" w:hint="cs"/>
          <w:rtl/>
        </w:rPr>
        <w:t xml:space="preserve"> </w:t>
      </w:r>
      <w:r w:rsidR="00CD7E12">
        <w:rPr>
          <w:rFonts w:ascii="Traditional Arabic" w:hAnsi="Traditional Arabic"/>
          <w:rtl/>
        </w:rPr>
        <w:t>والفلاسفة</w:t>
      </w:r>
      <w:r w:rsidR="00CD7E12">
        <w:rPr>
          <w:rFonts w:ascii="Traditional Arabic" w:hAnsi="Traditional Arabic" w:hint="cs"/>
          <w:rtl/>
        </w:rPr>
        <w:t>,</w:t>
      </w:r>
      <w:r w:rsidR="00CD7E12">
        <w:rPr>
          <w:rFonts w:ascii="Traditional Arabic" w:hAnsi="Traditional Arabic"/>
          <w:rtl/>
        </w:rPr>
        <w:t xml:space="preserve"> فأما السلف، ف</w:t>
      </w:r>
      <w:r w:rsidR="00CD7E12">
        <w:rPr>
          <w:rFonts w:ascii="Traditional Arabic" w:hAnsi="Traditional Arabic" w:hint="cs"/>
          <w:rtl/>
        </w:rPr>
        <w:t>إ</w:t>
      </w:r>
      <w:r w:rsidRPr="00911ED4">
        <w:rPr>
          <w:rFonts w:ascii="Traditional Arabic" w:hAnsi="Traditional Arabic"/>
          <w:rtl/>
        </w:rPr>
        <w:t xml:space="preserve">نهم أمسكوا عن ذلك، لقوله تعالى: </w:t>
      </w:r>
      <w:r w:rsidR="00CD7E12" w:rsidRPr="00911ED4">
        <w:rPr>
          <w:rFonts w:ascii="QCF_BSML" w:hAnsi="QCF_BSML" w:cs="QCF_BSML"/>
          <w:color w:val="auto"/>
          <w:sz w:val="32"/>
          <w:szCs w:val="32"/>
          <w:rtl/>
          <w:lang w:eastAsia="en-US"/>
        </w:rPr>
        <w:t>ﭽ</w:t>
      </w:r>
      <w:r w:rsidR="00CD7E12" w:rsidRPr="00911ED4">
        <w:rPr>
          <w:rFonts w:ascii="QCF_P290" w:hAnsi="QCF_P290" w:cs="QCF_P290"/>
          <w:color w:val="auto"/>
          <w:sz w:val="32"/>
          <w:szCs w:val="32"/>
          <w:rtl/>
          <w:lang w:eastAsia="en-US"/>
        </w:rPr>
        <w:t>ﯲ  ﯳ  ﯴ  ﯵ  ﯶ</w:t>
      </w:r>
      <w:r w:rsidR="00CD7E12" w:rsidRPr="00911ED4">
        <w:rPr>
          <w:rFonts w:ascii="QCF_BSML" w:hAnsi="QCF_BSML" w:cs="QCF_BSML"/>
          <w:color w:val="auto"/>
          <w:sz w:val="32"/>
          <w:szCs w:val="32"/>
          <w:rtl/>
          <w:lang w:eastAsia="en-US"/>
        </w:rPr>
        <w:t>ﭼ</w:t>
      </w:r>
      <w:r w:rsidRPr="00911ED4">
        <w:rPr>
          <w:rFonts w:ascii="Traditional Arabic" w:hAnsi="Traditional Arabic"/>
          <w:rtl/>
        </w:rPr>
        <w:t xml:space="preserve"> فلما رأَوا أن القوم سألوا عن الروح فلم يجابوا، والوحي ينزل، والرسول حيّ، علموا أن السكوت عما لم يُحَطْ بحقيقة عِلمه أولى. والثاني: أن المراد بهذا الروح ملك من الملائكة على خِلْقة هائلة، روي عن عليٍّ عليه السلام</w:t>
      </w:r>
      <w:r w:rsidRPr="00911ED4">
        <w:rPr>
          <w:vertAlign w:val="superscript"/>
          <w:rtl/>
        </w:rPr>
        <w:t>(</w:t>
      </w:r>
      <w:r w:rsidRPr="00911ED4">
        <w:rPr>
          <w:vertAlign w:val="superscript"/>
          <w:rtl/>
        </w:rPr>
        <w:footnoteReference w:id="616"/>
      </w:r>
      <w:r w:rsidRPr="00911ED4">
        <w:rPr>
          <w:vertAlign w:val="superscript"/>
          <w:rtl/>
        </w:rPr>
        <w:t>)</w:t>
      </w:r>
      <w:r w:rsidR="00F735C2" w:rsidRPr="00F735C2">
        <w:rPr>
          <w:rStyle w:val="ae"/>
          <w:rtl/>
        </w:rPr>
        <w:t>(</w:t>
      </w:r>
      <w:r w:rsidR="00F735C2">
        <w:rPr>
          <w:rStyle w:val="ae"/>
          <w:rtl/>
        </w:rPr>
        <w:footnoteReference w:id="617"/>
      </w:r>
      <w:r w:rsidR="00F735C2" w:rsidRPr="00F735C2">
        <w:rPr>
          <w:rStyle w:val="ae"/>
          <w:rtl/>
        </w:rPr>
        <w:t>)</w:t>
      </w:r>
      <w:r w:rsidRPr="00911ED4">
        <w:rPr>
          <w:rFonts w:ascii="Traditional Arabic" w:hAnsi="Traditional Arabic"/>
          <w:rtl/>
        </w:rPr>
        <w:t>، وابن عباس</w:t>
      </w:r>
      <w:r w:rsidRPr="00911ED4">
        <w:rPr>
          <w:vertAlign w:val="superscript"/>
          <w:rtl/>
        </w:rPr>
        <w:t>(</w:t>
      </w:r>
      <w:r w:rsidRPr="00911ED4">
        <w:rPr>
          <w:vertAlign w:val="superscript"/>
          <w:rtl/>
        </w:rPr>
        <w:footnoteReference w:id="618"/>
      </w:r>
      <w:r w:rsidRPr="00911ED4">
        <w:rPr>
          <w:vertAlign w:val="superscript"/>
          <w:rtl/>
        </w:rPr>
        <w:t>)</w:t>
      </w:r>
      <w:r w:rsidRPr="00911ED4">
        <w:rPr>
          <w:rFonts w:ascii="Traditional Arabic" w:hAnsi="Traditional Arabic"/>
          <w:rtl/>
        </w:rPr>
        <w:t>، ومقاتل</w:t>
      </w:r>
      <w:r w:rsidRPr="00911ED4">
        <w:rPr>
          <w:vertAlign w:val="superscript"/>
          <w:rtl/>
        </w:rPr>
        <w:t>(</w:t>
      </w:r>
      <w:r w:rsidRPr="00911ED4">
        <w:rPr>
          <w:vertAlign w:val="superscript"/>
          <w:rtl/>
        </w:rPr>
        <w:footnoteReference w:id="619"/>
      </w:r>
      <w:r w:rsidRPr="00911ED4">
        <w:rPr>
          <w:vertAlign w:val="superscript"/>
          <w:rtl/>
        </w:rPr>
        <w:t>)</w:t>
      </w:r>
      <w:r w:rsidRPr="00911ED4">
        <w:rPr>
          <w:rFonts w:ascii="Traditional Arabic" w:hAnsi="Traditional Arabic"/>
          <w:rtl/>
        </w:rPr>
        <w:t>. والثالث: أن الروح: خَلْق من خلق الله عزّ وجلّ صوَّرهم على صُوَ</w:t>
      </w:r>
      <w:r w:rsidR="00AE04C3">
        <w:rPr>
          <w:rFonts w:ascii="Traditional Arabic" w:hAnsi="Traditional Arabic"/>
          <w:rtl/>
        </w:rPr>
        <w:t>ر بني</w:t>
      </w:r>
      <w:r w:rsidR="00AE04C3">
        <w:rPr>
          <w:rFonts w:ascii="Traditional Arabic" w:hAnsi="Traditional Arabic" w:hint="cs"/>
          <w:rtl/>
          <w:lang w:eastAsia="en-US"/>
        </w:rPr>
        <w:t xml:space="preserve"> </w:t>
      </w:r>
      <w:r w:rsidR="00AE04C3">
        <w:rPr>
          <w:rFonts w:ascii="QCF_BSML" w:hAnsi="QCF_BSML" w:cs="QCF_BSML" w:hint="cs"/>
          <w:color w:val="0D0D0D" w:themeColor="text1" w:themeTint="F2"/>
          <w:sz w:val="32"/>
          <w:szCs w:val="32"/>
          <w:rtl/>
          <w:lang w:eastAsia="en-US"/>
        </w:rPr>
        <w:t xml:space="preserve"> </w:t>
      </w:r>
      <w:r w:rsidR="00AE04C3" w:rsidRPr="001277AD">
        <w:rPr>
          <w:rFonts w:hint="cs"/>
          <w:color w:val="0D0D0D" w:themeColor="text1" w:themeTint="F2"/>
          <w:sz w:val="32"/>
          <w:szCs w:val="32"/>
          <w:rtl/>
        </w:rPr>
        <w:t>[</w:t>
      </w:r>
      <w:r w:rsidR="00AE04C3">
        <w:rPr>
          <w:rFonts w:hint="cs"/>
          <w:color w:val="0D0D0D" w:themeColor="text1" w:themeTint="F2"/>
          <w:sz w:val="32"/>
          <w:szCs w:val="32"/>
          <w:rtl/>
        </w:rPr>
        <w:t>88</w:t>
      </w:r>
      <w:r w:rsidR="00AE04C3" w:rsidRPr="001277AD">
        <w:rPr>
          <w:rFonts w:hint="cs"/>
          <w:color w:val="0D0D0D" w:themeColor="text1" w:themeTint="F2"/>
          <w:sz w:val="32"/>
          <w:szCs w:val="32"/>
          <w:rtl/>
        </w:rPr>
        <w:t>]</w:t>
      </w:r>
      <w:r w:rsidR="00AE04C3" w:rsidRPr="00A32F2C">
        <w:rPr>
          <w:rFonts w:ascii="Traditional Arabic" w:hAnsi="Traditional Arabic"/>
          <w:rtl/>
          <w:lang w:eastAsia="en-US"/>
        </w:rPr>
        <w:t xml:space="preserve"> </w:t>
      </w:r>
      <w:r w:rsidRPr="00911ED4">
        <w:rPr>
          <w:rFonts w:ascii="Traditional Arabic" w:hAnsi="Traditional Arabic"/>
          <w:rtl/>
        </w:rPr>
        <w:t>آدم، رواه مجاهد عن ابن عباس</w:t>
      </w:r>
      <w:r w:rsidRPr="00911ED4">
        <w:rPr>
          <w:vertAlign w:val="superscript"/>
          <w:rtl/>
        </w:rPr>
        <w:t>(</w:t>
      </w:r>
      <w:r w:rsidRPr="00911ED4">
        <w:rPr>
          <w:vertAlign w:val="superscript"/>
          <w:rtl/>
        </w:rPr>
        <w:footnoteReference w:id="620"/>
      </w:r>
      <w:r w:rsidRPr="00911ED4">
        <w:rPr>
          <w:vertAlign w:val="superscript"/>
          <w:rtl/>
        </w:rPr>
        <w:t>)</w:t>
      </w:r>
      <w:r w:rsidRPr="00911ED4">
        <w:rPr>
          <w:rFonts w:ascii="Traditional Arabic" w:hAnsi="Traditional Arabic"/>
          <w:rtl/>
        </w:rPr>
        <w:t xml:space="preserve">. والرابع: أنه </w:t>
      </w:r>
    </w:p>
    <w:p w:rsidR="00FD36F7" w:rsidRDefault="00FD36F7" w:rsidP="00AE04C3">
      <w:pPr>
        <w:ind w:firstLine="0"/>
        <w:rPr>
          <w:rFonts w:ascii="Traditional Arabic" w:hAnsi="Traditional Arabic"/>
          <w:rtl/>
        </w:rPr>
      </w:pPr>
    </w:p>
    <w:p w:rsidR="00911ED4" w:rsidRPr="001A0E67" w:rsidRDefault="00911ED4" w:rsidP="001A0E67">
      <w:pPr>
        <w:ind w:firstLine="0"/>
        <w:rPr>
          <w:rFonts w:ascii="Traditional Arabic" w:hAnsi="Traditional Arabic"/>
          <w:rtl/>
        </w:rPr>
      </w:pPr>
      <w:r w:rsidRPr="00911ED4">
        <w:rPr>
          <w:rFonts w:ascii="Traditional Arabic" w:hAnsi="Traditional Arabic"/>
          <w:rtl/>
        </w:rPr>
        <w:lastRenderedPageBreak/>
        <w:t>جبريل عليه السلام، قاله الحسن</w:t>
      </w:r>
      <w:r w:rsidRPr="00911ED4">
        <w:rPr>
          <w:vertAlign w:val="superscript"/>
          <w:rtl/>
        </w:rPr>
        <w:t>(</w:t>
      </w:r>
      <w:r w:rsidRPr="00911ED4">
        <w:rPr>
          <w:vertAlign w:val="superscript"/>
          <w:rtl/>
        </w:rPr>
        <w:footnoteReference w:id="621"/>
      </w:r>
      <w:r w:rsidRPr="00911ED4">
        <w:rPr>
          <w:vertAlign w:val="superscript"/>
          <w:rtl/>
        </w:rPr>
        <w:t>)</w:t>
      </w:r>
      <w:r w:rsidRPr="00911ED4">
        <w:rPr>
          <w:rFonts w:ascii="Traditional Arabic" w:hAnsi="Traditional Arabic"/>
          <w:rtl/>
        </w:rPr>
        <w:t>، وقتادة</w:t>
      </w:r>
      <w:r w:rsidRPr="00911ED4">
        <w:rPr>
          <w:vertAlign w:val="superscript"/>
          <w:rtl/>
        </w:rPr>
        <w:t>(</w:t>
      </w:r>
      <w:r w:rsidRPr="00911ED4">
        <w:rPr>
          <w:vertAlign w:val="superscript"/>
          <w:rtl/>
        </w:rPr>
        <w:footnoteReference w:id="622"/>
      </w:r>
      <w:r w:rsidRPr="00911ED4">
        <w:rPr>
          <w:vertAlign w:val="superscript"/>
          <w:rtl/>
        </w:rPr>
        <w:t>)</w:t>
      </w:r>
      <w:r w:rsidRPr="00911ED4">
        <w:rPr>
          <w:rFonts w:ascii="Traditional Arabic" w:hAnsi="Traditional Arabic"/>
          <w:rtl/>
        </w:rPr>
        <w:t>.</w:t>
      </w:r>
      <w:r w:rsidRPr="00911ED4">
        <w:rPr>
          <w:rFonts w:ascii="Traditional Arabic" w:hAnsi="Traditional Arabic" w:hint="cs"/>
          <w:rtl/>
        </w:rPr>
        <w:t xml:space="preserve"> </w:t>
      </w:r>
      <w:r w:rsidRPr="00911ED4">
        <w:rPr>
          <w:rFonts w:ascii="Traditional Arabic" w:hAnsi="Traditional Arabic"/>
          <w:rtl/>
        </w:rPr>
        <w:t>والخامس: أنه القرآن، روي عن الحسن أيضاً</w:t>
      </w:r>
      <w:r w:rsidRPr="00911ED4">
        <w:rPr>
          <w:vertAlign w:val="superscript"/>
          <w:rtl/>
        </w:rPr>
        <w:t>(</w:t>
      </w:r>
      <w:r w:rsidRPr="00911ED4">
        <w:rPr>
          <w:vertAlign w:val="superscript"/>
          <w:rtl/>
        </w:rPr>
        <w:footnoteReference w:id="623"/>
      </w:r>
      <w:r w:rsidRPr="00911ED4">
        <w:rPr>
          <w:vertAlign w:val="superscript"/>
          <w:rtl/>
        </w:rPr>
        <w:t>)</w:t>
      </w:r>
      <w:r w:rsidRPr="00911ED4">
        <w:rPr>
          <w:rFonts w:ascii="Traditional Arabic" w:hAnsi="Traditional Arabic"/>
          <w:rtl/>
        </w:rPr>
        <w:t>. والسادس: أنه عيسى ابن مريم، حكاه الماوردي</w:t>
      </w:r>
      <w:r w:rsidRPr="00911ED4">
        <w:rPr>
          <w:vertAlign w:val="superscript"/>
          <w:rtl/>
        </w:rPr>
        <w:t>(</w:t>
      </w:r>
      <w:r w:rsidRPr="00911ED4">
        <w:rPr>
          <w:vertAlign w:val="superscript"/>
          <w:rtl/>
        </w:rPr>
        <w:footnoteReference w:id="624"/>
      </w:r>
      <w:r w:rsidRPr="00911ED4">
        <w:rPr>
          <w:vertAlign w:val="superscript"/>
          <w:rtl/>
        </w:rPr>
        <w:t>)</w:t>
      </w:r>
      <w:r w:rsidRPr="00911ED4">
        <w:rPr>
          <w:rFonts w:ascii="Traditional Arabic" w:hAnsi="Traditional Arabic"/>
          <w:rtl/>
        </w:rPr>
        <w:t>. قال أبو سليمان الدمشقي: قد ذكر الله تعالى الروح في مواضع من القرآن، فغالب ظني أن الناقلين نقلوا تفسيره من موضعه إِلى موضع لا يليق به، وظنوه مثله، وإِنما هو الروح الذي يحيى به ابن آدم</w:t>
      </w:r>
      <w:r w:rsidRPr="00911ED4">
        <w:rPr>
          <w:vertAlign w:val="superscript"/>
          <w:rtl/>
        </w:rPr>
        <w:t>(</w:t>
      </w:r>
      <w:r w:rsidRPr="00911ED4">
        <w:rPr>
          <w:vertAlign w:val="superscript"/>
          <w:rtl/>
        </w:rPr>
        <w:footnoteReference w:id="625"/>
      </w:r>
      <w:r w:rsidRPr="00911ED4">
        <w:rPr>
          <w:vertAlign w:val="superscript"/>
          <w:rtl/>
        </w:rPr>
        <w:t>)</w:t>
      </w:r>
      <w:r w:rsidRPr="00911ED4">
        <w:rPr>
          <w:rFonts w:ascii="Traditional Arabic" w:hAnsi="Traditional Arabic"/>
          <w:rtl/>
        </w:rPr>
        <w:t xml:space="preserve">. وقوله تعالى: </w:t>
      </w:r>
      <w:r w:rsidRPr="00911ED4">
        <w:rPr>
          <w:rFonts w:ascii="QCF_BSML" w:hAnsi="QCF_BSML" w:cs="QCF_BSML"/>
          <w:sz w:val="28"/>
          <w:szCs w:val="28"/>
          <w:rtl/>
          <w:lang w:eastAsia="en-US"/>
        </w:rPr>
        <w:t>ﭽ</w:t>
      </w:r>
      <w:r w:rsidRPr="00911ED4">
        <w:rPr>
          <w:rFonts w:ascii="QCF_P290" w:hAnsi="QCF_P290" w:cs="QCF_P290"/>
          <w:color w:val="auto"/>
          <w:sz w:val="32"/>
          <w:szCs w:val="32"/>
          <w:rtl/>
          <w:lang w:eastAsia="en-US"/>
        </w:rPr>
        <w:t xml:space="preserve">  ﯴ  ﯵ  ﯶ</w:t>
      </w:r>
      <w:r w:rsidRPr="00911ED4">
        <w:rPr>
          <w:rFonts w:ascii="QCF_BSML" w:hAnsi="QCF_BSML" w:cs="QCF_BSML"/>
          <w:color w:val="auto"/>
          <w:sz w:val="32"/>
          <w:szCs w:val="32"/>
          <w:rtl/>
          <w:lang w:eastAsia="en-US"/>
        </w:rPr>
        <w:t>ﭼ</w:t>
      </w:r>
      <w:r w:rsidRPr="00911ED4">
        <w:rPr>
          <w:rFonts w:ascii="Traditional Arabic" w:hAnsi="Traditional Arabic"/>
          <w:rtl/>
        </w:rPr>
        <w:t xml:space="preserve"> أي: من عِلمه الذي منع أن يعرفه أحد</w:t>
      </w:r>
      <w:r w:rsidRPr="00911ED4">
        <w:rPr>
          <w:vertAlign w:val="superscript"/>
          <w:rtl/>
        </w:rPr>
        <w:t>(</w:t>
      </w:r>
      <w:r w:rsidRPr="00911ED4">
        <w:rPr>
          <w:vertAlign w:val="superscript"/>
          <w:rtl/>
        </w:rPr>
        <w:footnoteReference w:id="626"/>
      </w:r>
      <w:r w:rsidRPr="00911ED4">
        <w:rPr>
          <w:vertAlign w:val="superscript"/>
          <w:rtl/>
        </w:rPr>
        <w:t>)</w:t>
      </w:r>
      <w:r w:rsidRPr="00911ED4">
        <w:rPr>
          <w:rFonts w:ascii="Traditional Arabic" w:hAnsi="Traditional Arabic"/>
          <w:rtl/>
        </w:rPr>
        <w:t>.</w:t>
      </w:r>
      <w:r w:rsidRPr="00911ED4">
        <w:rPr>
          <w:rFonts w:ascii="Traditional Arabic" w:hAnsi="Traditional Arabic" w:hint="cs"/>
          <w:rtl/>
        </w:rPr>
        <w:t xml:space="preserve"> </w:t>
      </w:r>
      <w:r w:rsidRPr="00911ED4">
        <w:rPr>
          <w:rFonts w:ascii="Traditional Arabic" w:hAnsi="Traditional Arabic"/>
          <w:rtl/>
        </w:rPr>
        <w:t xml:space="preserve">قوله تعالى: </w:t>
      </w:r>
      <w:r w:rsidRPr="00911ED4">
        <w:rPr>
          <w:rFonts w:ascii="QCF_BSML" w:hAnsi="QCF_BSML" w:cs="QCF_BSML"/>
          <w:sz w:val="28"/>
          <w:szCs w:val="28"/>
          <w:rtl/>
          <w:lang w:eastAsia="en-US"/>
        </w:rPr>
        <w:t>ﭽ</w:t>
      </w:r>
      <w:r w:rsidRPr="00911ED4">
        <w:rPr>
          <w:rFonts w:ascii="Traditional Arabic" w:hAnsi="Traditional Arabic"/>
          <w:rtl/>
        </w:rPr>
        <w:t xml:space="preserve"> </w:t>
      </w:r>
      <w:r w:rsidRPr="00911ED4">
        <w:rPr>
          <w:rFonts w:ascii="QCF_P290" w:hAnsi="QCF_P290" w:cs="QCF_P290"/>
          <w:color w:val="auto"/>
          <w:sz w:val="32"/>
          <w:szCs w:val="32"/>
          <w:rtl/>
          <w:lang w:eastAsia="en-US"/>
        </w:rPr>
        <w:t>ﯷ  ﯸ  ﯹ  ﯺ  ﯻ  ﯼ</w:t>
      </w:r>
      <w:r w:rsidRPr="00911ED4">
        <w:rPr>
          <w:rFonts w:ascii="QCF_BSML" w:hAnsi="QCF_BSML" w:cs="QCF_BSML"/>
          <w:color w:val="auto"/>
          <w:sz w:val="32"/>
          <w:szCs w:val="32"/>
          <w:rtl/>
          <w:lang w:eastAsia="en-US"/>
        </w:rPr>
        <w:t>ﭼ</w:t>
      </w:r>
      <w:r w:rsidRPr="00911ED4">
        <w:rPr>
          <w:rFonts w:ascii="Traditional Arabic" w:hAnsi="Traditional Arabic"/>
          <w:rtl/>
        </w:rPr>
        <w:t xml:space="preserve"> في المخاطبين بهذا قولان: أحدهما: أنهم اليهود، قاله الأكثرون</w:t>
      </w:r>
      <w:r w:rsidRPr="00911ED4">
        <w:rPr>
          <w:vertAlign w:val="superscript"/>
          <w:rtl/>
        </w:rPr>
        <w:t>(</w:t>
      </w:r>
      <w:r w:rsidRPr="00911ED4">
        <w:rPr>
          <w:vertAlign w:val="superscript"/>
          <w:rtl/>
        </w:rPr>
        <w:footnoteReference w:id="627"/>
      </w:r>
      <w:r w:rsidRPr="00911ED4">
        <w:rPr>
          <w:vertAlign w:val="superscript"/>
          <w:rtl/>
        </w:rPr>
        <w:t>)</w:t>
      </w:r>
      <w:r w:rsidRPr="00911ED4">
        <w:rPr>
          <w:rFonts w:ascii="Traditional Arabic" w:hAnsi="Traditional Arabic"/>
          <w:rtl/>
        </w:rPr>
        <w:t>. والثاني: أنهم جميع الخلق، عِلمهم قليل بالإِضافة إلى علم الله عزّ وجلّ، ذكره الماوردي</w:t>
      </w:r>
      <w:r w:rsidRPr="00911ED4">
        <w:rPr>
          <w:vertAlign w:val="superscript"/>
          <w:rtl/>
        </w:rPr>
        <w:t>(</w:t>
      </w:r>
      <w:r w:rsidRPr="00911ED4">
        <w:rPr>
          <w:vertAlign w:val="superscript"/>
          <w:rtl/>
        </w:rPr>
        <w:footnoteReference w:id="628"/>
      </w:r>
      <w:r w:rsidRPr="00911ED4">
        <w:rPr>
          <w:vertAlign w:val="superscript"/>
          <w:rtl/>
        </w:rPr>
        <w:t>)</w:t>
      </w:r>
      <w:r w:rsidRPr="00911ED4">
        <w:rPr>
          <w:rFonts w:ascii="Traditional Arabic" w:hAnsi="Traditional Arabic"/>
          <w:rtl/>
        </w:rPr>
        <w:t>.</w:t>
      </w:r>
      <w:r w:rsidRPr="00911ED4">
        <w:rPr>
          <w:rFonts w:ascii="Traditional Arabic" w:hAnsi="Traditional Arabic" w:hint="cs"/>
          <w:rtl/>
        </w:rPr>
        <w:t xml:space="preserve"> </w:t>
      </w:r>
      <w:r w:rsidRPr="00911ED4">
        <w:rPr>
          <w:rFonts w:ascii="Traditional Arabic" w:hAnsi="Traditional Arabic"/>
          <w:rtl/>
        </w:rPr>
        <w:t>فإن قيل: كيف الجمع بين هذه الآية، وبين قوله تعالى:</w:t>
      </w:r>
      <w:r w:rsidRPr="00911ED4">
        <w:rPr>
          <w:rFonts w:ascii="QCF_BSML" w:hAnsi="QCF_BSML" w:cs="QCF_BSML"/>
          <w:sz w:val="28"/>
          <w:szCs w:val="28"/>
          <w:rtl/>
          <w:lang w:eastAsia="en-US"/>
        </w:rPr>
        <w:t xml:space="preserve"> </w:t>
      </w:r>
      <w:r w:rsidRPr="00911ED4">
        <w:rPr>
          <w:rFonts w:ascii="QCF_BSML" w:hAnsi="QCF_BSML" w:cs="QCF_BSML"/>
          <w:sz w:val="32"/>
          <w:szCs w:val="32"/>
          <w:rtl/>
          <w:lang w:eastAsia="en-US"/>
        </w:rPr>
        <w:t>ﭽ</w:t>
      </w:r>
      <w:r w:rsidRPr="00911ED4">
        <w:rPr>
          <w:rFonts w:ascii="QCF_P045" w:hAnsi="QCF_P045" w:cs="QCF_P045"/>
          <w:sz w:val="32"/>
          <w:szCs w:val="32"/>
          <w:rtl/>
          <w:lang w:eastAsia="en-US"/>
        </w:rPr>
        <w:t>ﯩ  ﯪ  ﯫ  ﯬ   ﯭ    ﯮ  ﯯ</w:t>
      </w:r>
      <w:r w:rsidRPr="00911ED4">
        <w:rPr>
          <w:rFonts w:ascii="QCF_BSML" w:hAnsi="QCF_BSML" w:cs="QCF_BSML"/>
          <w:sz w:val="32"/>
          <w:szCs w:val="32"/>
          <w:rtl/>
          <w:lang w:eastAsia="en-US"/>
        </w:rPr>
        <w:t xml:space="preserve">ﭼ </w:t>
      </w:r>
      <w:r w:rsidR="001A0E67">
        <w:rPr>
          <w:rFonts w:ascii="Traditional Arabic" w:hAnsi="Traditional Arabic" w:hint="cs"/>
          <w:color w:val="auto"/>
          <w:sz w:val="32"/>
          <w:szCs w:val="32"/>
          <w:rtl/>
          <w:lang w:eastAsia="en-US"/>
        </w:rPr>
        <w:t>[</w:t>
      </w:r>
      <w:r w:rsidRPr="00911ED4">
        <w:rPr>
          <w:rFonts w:ascii="Traditional Arabic" w:hAnsi="Traditional Arabic" w:hint="cs"/>
          <w:color w:val="auto"/>
          <w:sz w:val="32"/>
          <w:szCs w:val="32"/>
          <w:rtl/>
          <w:lang w:eastAsia="en-US"/>
        </w:rPr>
        <w:t>البقرة:269]</w:t>
      </w:r>
      <w:r w:rsidRPr="00911ED4">
        <w:rPr>
          <w:rFonts w:ascii="Traditional Arabic" w:hAnsi="Traditional Arabic"/>
          <w:rtl/>
        </w:rPr>
        <w:t>؟</w:t>
      </w:r>
      <w:r w:rsidRPr="00911ED4">
        <w:rPr>
          <w:rFonts w:ascii="Traditional Arabic" w:hAnsi="Traditional Arabic" w:hint="cs"/>
          <w:rtl/>
        </w:rPr>
        <w:t xml:space="preserve"> </w:t>
      </w:r>
      <w:r w:rsidRPr="00911ED4">
        <w:rPr>
          <w:rFonts w:ascii="Traditional Arabic" w:hAnsi="Traditional Arabic"/>
          <w:rtl/>
        </w:rPr>
        <w:t>فالجواب: أن ما أوتيه الناس من العلم، وإِن كان كثيراً، فهو بالإِضافة إِلى عِلم الله قليل.</w:t>
      </w:r>
      <w:r w:rsidR="001A0E67">
        <w:rPr>
          <w:rFonts w:ascii="Traditional Arabic" w:hAnsi="Traditional Arabic" w:hint="cs"/>
          <w:rtl/>
        </w:rPr>
        <w:t xml:space="preserve"> </w:t>
      </w:r>
      <w:r w:rsidRPr="00911ED4">
        <w:rPr>
          <w:rFonts w:ascii="QCF_BSML" w:hAnsi="QCF_BSML" w:cs="QCF_BSML"/>
          <w:sz w:val="32"/>
          <w:szCs w:val="32"/>
          <w:rtl/>
          <w:lang w:eastAsia="en-US"/>
        </w:rPr>
        <w:t>ﭽ</w:t>
      </w:r>
      <w:r w:rsidRPr="00911ED4">
        <w:rPr>
          <w:rFonts w:ascii="QCF_P290" w:hAnsi="QCF_P290" w:cs="QCF_P290"/>
          <w:sz w:val="32"/>
          <w:szCs w:val="32"/>
          <w:rtl/>
          <w:lang w:eastAsia="en-US"/>
        </w:rPr>
        <w:t xml:space="preserve">ﯾ  ﯿ  ﰀ   ﰁ  ﰂ  ﰃ  ﰄ  ﰅ  ﰆ  ﰇ  ﰈ  ﰉ  ﰊ  ﰋ   </w:t>
      </w:r>
      <w:r w:rsidRPr="00911ED4">
        <w:rPr>
          <w:rFonts w:ascii="QCF_P291" w:hAnsi="QCF_P291" w:cs="QCF_P291"/>
          <w:sz w:val="32"/>
          <w:szCs w:val="32"/>
          <w:rtl/>
          <w:lang w:eastAsia="en-US"/>
        </w:rPr>
        <w:t xml:space="preserve">ﭑ    ﭒ  ﭓ  </w:t>
      </w:r>
      <w:r w:rsidRPr="00911ED4">
        <w:rPr>
          <w:rFonts w:ascii="QCF_P291" w:hAnsi="QCF_P291" w:cs="QCF_P291"/>
          <w:color w:val="auto"/>
          <w:sz w:val="32"/>
          <w:szCs w:val="32"/>
          <w:rtl/>
          <w:lang w:eastAsia="en-US"/>
        </w:rPr>
        <w:t xml:space="preserve">ﭔﭕ  </w:t>
      </w:r>
      <w:r w:rsidRPr="00911ED4">
        <w:rPr>
          <w:rFonts w:ascii="QCF_P291" w:hAnsi="QCF_P291" w:cs="QCF_P291"/>
          <w:sz w:val="32"/>
          <w:szCs w:val="32"/>
          <w:rtl/>
          <w:lang w:eastAsia="en-US"/>
        </w:rPr>
        <w:t xml:space="preserve">ﭖ    ﭗ  ﭘ      ﭙ  ﭚ  ﭛ  </w:t>
      </w:r>
      <w:r w:rsidRPr="00911ED4">
        <w:rPr>
          <w:rFonts w:ascii="QCF_BSML" w:hAnsi="QCF_BSML" w:cs="QCF_BSML"/>
          <w:sz w:val="32"/>
          <w:szCs w:val="32"/>
          <w:rtl/>
          <w:lang w:eastAsia="en-US"/>
        </w:rPr>
        <w:t>ﭼ</w:t>
      </w:r>
      <w:r w:rsidRPr="00911ED4">
        <w:rPr>
          <w:rFonts w:ascii="Arial" w:hAnsi="Arial" w:cs="Arial"/>
          <w:sz w:val="18"/>
          <w:szCs w:val="18"/>
          <w:rtl/>
          <w:lang w:eastAsia="en-US"/>
        </w:rPr>
        <w:t xml:space="preserve"> </w:t>
      </w:r>
    </w:p>
    <w:p w:rsidR="002456D6" w:rsidRDefault="00911ED4" w:rsidP="00911ED4">
      <w:pPr>
        <w:ind w:firstLine="0"/>
        <w:rPr>
          <w:rFonts w:ascii="Traditional Arabic" w:hAnsi="Traditional Arabic"/>
          <w:rtl/>
        </w:rPr>
      </w:pPr>
      <w:r w:rsidRPr="00911ED4">
        <w:rPr>
          <w:rFonts w:ascii="Traditional Arabic" w:hAnsi="Traditional Arabic"/>
          <w:rtl/>
        </w:rPr>
        <w:t xml:space="preserve">قوله تعالى: </w:t>
      </w:r>
      <w:r w:rsidRPr="00911ED4">
        <w:rPr>
          <w:rFonts w:ascii="QCF_BSML" w:hAnsi="QCF_BSML" w:cs="QCF_BSML"/>
          <w:color w:val="auto"/>
          <w:sz w:val="32"/>
          <w:szCs w:val="32"/>
          <w:rtl/>
          <w:lang w:eastAsia="en-US"/>
        </w:rPr>
        <w:t>ﭽ</w:t>
      </w:r>
      <w:r w:rsidRPr="00911ED4">
        <w:rPr>
          <w:rFonts w:ascii="QCF_P290" w:hAnsi="QCF_P290" w:cs="QCF_P290"/>
          <w:color w:val="auto"/>
          <w:sz w:val="32"/>
          <w:szCs w:val="32"/>
          <w:rtl/>
          <w:lang w:eastAsia="en-US"/>
        </w:rPr>
        <w:t>ﯾ  ﯿ  ﰀ   ﰁ  ﰂ  ﰃ</w:t>
      </w:r>
      <w:r w:rsidRPr="00911ED4">
        <w:rPr>
          <w:rFonts w:ascii="QCF_BSML" w:hAnsi="QCF_BSML" w:cs="QCF_BSML"/>
          <w:color w:val="auto"/>
          <w:sz w:val="32"/>
          <w:szCs w:val="32"/>
          <w:rtl/>
          <w:lang w:eastAsia="en-US"/>
        </w:rPr>
        <w:t>ﭼ</w:t>
      </w:r>
      <w:r w:rsidRPr="00911ED4">
        <w:rPr>
          <w:rFonts w:ascii="QCF_P290" w:hAnsi="QCF_P290" w:cs="QCF_P290"/>
          <w:color w:val="auto"/>
          <w:sz w:val="32"/>
          <w:szCs w:val="32"/>
          <w:rtl/>
          <w:lang w:eastAsia="en-US"/>
        </w:rPr>
        <w:t xml:space="preserve">  </w:t>
      </w:r>
      <w:r w:rsidRPr="00911ED4">
        <w:rPr>
          <w:rFonts w:ascii="Traditional Arabic" w:hAnsi="Traditional Arabic"/>
          <w:rtl/>
        </w:rPr>
        <w:t xml:space="preserve">قال الزجاج: المعنى: لو شئنا لمحوناه من القلوب والكتب، حتى لا يوجد له أثر، </w:t>
      </w:r>
      <w:r w:rsidRPr="00911ED4">
        <w:rPr>
          <w:rFonts w:ascii="QCF_BSML" w:hAnsi="QCF_BSML" w:cs="QCF_BSML"/>
          <w:sz w:val="32"/>
          <w:szCs w:val="32"/>
          <w:rtl/>
          <w:lang w:eastAsia="en-US"/>
        </w:rPr>
        <w:t>ﭽ</w:t>
      </w:r>
      <w:r w:rsidRPr="00911ED4">
        <w:rPr>
          <w:rFonts w:ascii="QCF_P290" w:hAnsi="QCF_P290" w:cs="QCF_P290"/>
          <w:sz w:val="32"/>
          <w:szCs w:val="32"/>
          <w:rtl/>
          <w:lang w:eastAsia="en-US"/>
        </w:rPr>
        <w:t>ﰄ  ﰅ  ﰆ  ﰇ  ﰈ  ﰉ  ﰊ</w:t>
      </w:r>
      <w:r w:rsidRPr="00911ED4">
        <w:rPr>
          <w:rFonts w:ascii="QCF_BSML" w:hAnsi="QCF_BSML" w:cs="QCF_BSML"/>
          <w:sz w:val="32"/>
          <w:szCs w:val="32"/>
          <w:rtl/>
          <w:lang w:eastAsia="en-US"/>
        </w:rPr>
        <w:t>ﭼ</w:t>
      </w:r>
      <w:r w:rsidRPr="00911ED4">
        <w:rPr>
          <w:rFonts w:ascii="QCF_P290" w:hAnsi="QCF_P290" w:cs="QCF_P290"/>
          <w:sz w:val="32"/>
          <w:szCs w:val="32"/>
          <w:rtl/>
          <w:lang w:eastAsia="en-US"/>
        </w:rPr>
        <w:t xml:space="preserve">  </w:t>
      </w:r>
      <w:r w:rsidRPr="00911ED4">
        <w:rPr>
          <w:rFonts w:ascii="Traditional Arabic" w:hAnsi="Traditional Arabic"/>
          <w:rtl/>
        </w:rPr>
        <w:t xml:space="preserve">أي: لا تجدَ من يتوكل علينا في ردّ شيء منه، </w:t>
      </w:r>
      <w:r w:rsidRPr="00911ED4">
        <w:rPr>
          <w:rFonts w:ascii="QCF_BSML" w:hAnsi="QCF_BSML" w:cs="QCF_BSML"/>
          <w:color w:val="auto"/>
          <w:sz w:val="32"/>
          <w:szCs w:val="32"/>
          <w:rtl/>
          <w:lang w:eastAsia="en-US"/>
        </w:rPr>
        <w:t>ﭽ</w:t>
      </w:r>
      <w:r w:rsidRPr="00911ED4">
        <w:rPr>
          <w:rFonts w:ascii="QCF_P291" w:hAnsi="QCF_P291" w:cs="QCF_P291"/>
          <w:color w:val="auto"/>
          <w:sz w:val="32"/>
          <w:szCs w:val="32"/>
          <w:rtl/>
          <w:lang w:eastAsia="en-US"/>
        </w:rPr>
        <w:t xml:space="preserve">ﭑ    ﭒ  ﭓ  ﭔﭕ  </w:t>
      </w:r>
      <w:r w:rsidRPr="00911ED4">
        <w:rPr>
          <w:rFonts w:ascii="QCF_BSML" w:hAnsi="QCF_BSML" w:cs="QCF_BSML"/>
          <w:color w:val="auto"/>
          <w:sz w:val="32"/>
          <w:szCs w:val="32"/>
          <w:rtl/>
          <w:lang w:eastAsia="en-US"/>
        </w:rPr>
        <w:t>ﭼ</w:t>
      </w:r>
      <w:r w:rsidRPr="00911ED4">
        <w:rPr>
          <w:rFonts w:ascii="QCF_BSML" w:hAnsi="QCF_BSML" w:cs="QCF_BSML" w:hint="cs"/>
          <w:color w:val="auto"/>
          <w:sz w:val="32"/>
          <w:szCs w:val="32"/>
          <w:rtl/>
          <w:lang w:eastAsia="en-US"/>
        </w:rPr>
        <w:t xml:space="preserve"> </w:t>
      </w:r>
      <w:r w:rsidRPr="00911ED4">
        <w:rPr>
          <w:rFonts w:ascii="Traditional Arabic" w:hAnsi="Traditional Arabic"/>
          <w:color w:val="auto"/>
          <w:rtl/>
        </w:rPr>
        <w:t xml:space="preserve">هذا </w:t>
      </w:r>
      <w:r w:rsidRPr="00911ED4">
        <w:rPr>
          <w:rFonts w:ascii="Traditional Arabic" w:hAnsi="Traditional Arabic"/>
          <w:rtl/>
        </w:rPr>
        <w:t xml:space="preserve">استثناء ليس من الأول، والمعنى: </w:t>
      </w:r>
      <w:r w:rsidRPr="00911ED4">
        <w:rPr>
          <w:rFonts w:ascii="Traditional Arabic" w:hAnsi="Traditional Arabic"/>
          <w:rtl/>
        </w:rPr>
        <w:lastRenderedPageBreak/>
        <w:t>لكن الله رحمك فأثبت ذلك في قلبك وقلوب المؤمنين</w:t>
      </w:r>
      <w:r w:rsidRPr="00911ED4">
        <w:rPr>
          <w:vertAlign w:val="superscript"/>
          <w:rtl/>
        </w:rPr>
        <w:t>(</w:t>
      </w:r>
      <w:r w:rsidRPr="00911ED4">
        <w:rPr>
          <w:vertAlign w:val="superscript"/>
          <w:rtl/>
        </w:rPr>
        <w:footnoteReference w:id="629"/>
      </w:r>
      <w:r w:rsidRPr="00911ED4">
        <w:rPr>
          <w:vertAlign w:val="superscript"/>
          <w:rtl/>
        </w:rPr>
        <w:t>)</w:t>
      </w:r>
      <w:r w:rsidRPr="00911ED4">
        <w:rPr>
          <w:rFonts w:ascii="Traditional Arabic" w:hAnsi="Traditional Arabic"/>
          <w:rtl/>
        </w:rPr>
        <w:t xml:space="preserve">.وقال ابن الأنباري: المعنى: لكن رحمة من ربك تمنع </w:t>
      </w:r>
      <w:r w:rsidR="002456D6">
        <w:rPr>
          <w:rFonts w:ascii="Traditional Arabic" w:hAnsi="Traditional Arabic" w:hint="cs"/>
          <w:rtl/>
        </w:rPr>
        <w:t>[</w:t>
      </w:r>
      <w:r w:rsidRPr="00911ED4">
        <w:rPr>
          <w:rFonts w:ascii="Traditional Arabic" w:hAnsi="Traditional Arabic"/>
          <w:rtl/>
        </w:rPr>
        <w:t>من</w:t>
      </w:r>
      <w:r w:rsidR="002456D6">
        <w:rPr>
          <w:rFonts w:ascii="Traditional Arabic" w:hAnsi="Traditional Arabic" w:hint="cs"/>
          <w:rtl/>
        </w:rPr>
        <w:t>]</w:t>
      </w:r>
      <w:r w:rsidRPr="00911ED4">
        <w:rPr>
          <w:vertAlign w:val="superscript"/>
          <w:rtl/>
        </w:rPr>
        <w:t>(</w:t>
      </w:r>
      <w:r w:rsidRPr="00911ED4">
        <w:rPr>
          <w:vertAlign w:val="superscript"/>
          <w:rtl/>
        </w:rPr>
        <w:footnoteReference w:id="630"/>
      </w:r>
      <w:r w:rsidRPr="00911ED4">
        <w:rPr>
          <w:vertAlign w:val="superscript"/>
          <w:rtl/>
        </w:rPr>
        <w:t>)</w:t>
      </w:r>
      <w:r w:rsidRPr="00911ED4">
        <w:rPr>
          <w:rFonts w:ascii="Traditional Arabic" w:hAnsi="Traditional Arabic"/>
          <w:rtl/>
        </w:rPr>
        <w:t>أن تُسْلَبَ القرآن، وكان المشركون قد خاطبوا نساءهم من المسلمين في الرجوع إِلى دين آبائهم، فهدَّدهم الله عزّ وجلّ بسلب النِّعمة، فكان ظاهر الخطاب للرسول، ومعنى التهدُّدِ للأمة</w:t>
      </w:r>
      <w:r w:rsidRPr="00911ED4">
        <w:rPr>
          <w:vertAlign w:val="superscript"/>
          <w:rtl/>
        </w:rPr>
        <w:t>(</w:t>
      </w:r>
      <w:r w:rsidRPr="00911ED4">
        <w:rPr>
          <w:vertAlign w:val="superscript"/>
          <w:rtl/>
        </w:rPr>
        <w:footnoteReference w:id="631"/>
      </w:r>
      <w:r w:rsidRPr="00911ED4">
        <w:rPr>
          <w:vertAlign w:val="superscript"/>
          <w:rtl/>
        </w:rPr>
        <w:t>)</w:t>
      </w:r>
      <w:r w:rsidRPr="00911ED4">
        <w:rPr>
          <w:rFonts w:ascii="Traditional Arabic" w:hAnsi="Traditional Arabic"/>
          <w:rtl/>
        </w:rPr>
        <w:t xml:space="preserve">. </w:t>
      </w:r>
    </w:p>
    <w:p w:rsidR="00FD36F7" w:rsidRDefault="00911ED4" w:rsidP="00FD36F7">
      <w:pPr>
        <w:ind w:firstLine="0"/>
        <w:rPr>
          <w:rFonts w:ascii="Traditional Arabic" w:hAnsi="Traditional Arabic"/>
          <w:rtl/>
        </w:rPr>
      </w:pPr>
      <w:r w:rsidRPr="00911ED4">
        <w:rPr>
          <w:rFonts w:ascii="Traditional Arabic" w:hAnsi="Traditional Arabic"/>
          <w:rtl/>
        </w:rPr>
        <w:t xml:space="preserve">وقال أبو سليمان: </w:t>
      </w:r>
      <w:r w:rsidRPr="00911ED4">
        <w:rPr>
          <w:rFonts w:ascii="QCF_BSML" w:hAnsi="QCF_BSML" w:cs="QCF_BSML"/>
          <w:sz w:val="32"/>
          <w:szCs w:val="32"/>
          <w:rtl/>
          <w:lang w:eastAsia="en-US"/>
        </w:rPr>
        <w:t>ﭽ</w:t>
      </w:r>
      <w:r w:rsidRPr="00911ED4">
        <w:rPr>
          <w:rFonts w:ascii="QCF_P290" w:hAnsi="QCF_P290" w:cs="QCF_P290"/>
          <w:sz w:val="32"/>
          <w:szCs w:val="32"/>
          <w:rtl/>
          <w:lang w:eastAsia="en-US"/>
        </w:rPr>
        <w:t>ﰄ  ﰅ  ﰆ  ﰇ  ﰈ</w:t>
      </w:r>
      <w:r w:rsidRPr="00911ED4">
        <w:rPr>
          <w:rFonts w:ascii="QCF_BSML" w:hAnsi="QCF_BSML" w:cs="QCF_BSML"/>
          <w:color w:val="auto"/>
          <w:sz w:val="32"/>
          <w:szCs w:val="32"/>
          <w:rtl/>
          <w:lang w:eastAsia="en-US"/>
        </w:rPr>
        <w:t>ﭼ</w:t>
      </w:r>
      <w:r w:rsidRPr="00911ED4">
        <w:rPr>
          <w:rFonts w:ascii="QCF_P290" w:hAnsi="QCF_P290" w:cs="QCF_P290"/>
          <w:sz w:val="32"/>
          <w:szCs w:val="32"/>
          <w:rtl/>
          <w:lang w:eastAsia="en-US"/>
        </w:rPr>
        <w:t xml:space="preserve">  </w:t>
      </w:r>
      <w:r w:rsidRPr="00911ED4">
        <w:rPr>
          <w:rFonts w:ascii="Traditional Arabic" w:hAnsi="Traditional Arabic"/>
          <w:rtl/>
        </w:rPr>
        <w:t xml:space="preserve">أي: بما نفعله بك، من إِذهاب ما عندك </w:t>
      </w:r>
      <w:r w:rsidRPr="00911ED4">
        <w:rPr>
          <w:rFonts w:ascii="QCF_BSML" w:hAnsi="QCF_BSML" w:cs="QCF_BSML"/>
          <w:color w:val="auto"/>
          <w:sz w:val="32"/>
          <w:szCs w:val="32"/>
          <w:rtl/>
          <w:lang w:eastAsia="en-US"/>
        </w:rPr>
        <w:t>ﭽ</w:t>
      </w:r>
      <w:r w:rsidRPr="00911ED4">
        <w:rPr>
          <w:rFonts w:ascii="QCF_P290" w:hAnsi="QCF_P290" w:cs="QCF_P290"/>
          <w:sz w:val="32"/>
          <w:szCs w:val="32"/>
          <w:rtl/>
          <w:lang w:eastAsia="en-US"/>
        </w:rPr>
        <w:t>ﰊ</w:t>
      </w:r>
      <w:r w:rsidRPr="00911ED4">
        <w:rPr>
          <w:rFonts w:ascii="QCF_BSML" w:hAnsi="QCF_BSML" w:cs="QCF_BSML"/>
          <w:sz w:val="32"/>
          <w:szCs w:val="32"/>
          <w:rtl/>
          <w:lang w:eastAsia="en-US"/>
        </w:rPr>
        <w:t>ﭼ</w:t>
      </w:r>
      <w:r w:rsidRPr="00911ED4">
        <w:rPr>
          <w:rFonts w:ascii="Traditional Arabic" w:hAnsi="Traditional Arabic"/>
          <w:rtl/>
        </w:rPr>
        <w:t xml:space="preserve"> يدفعنا عما نريده بك</w:t>
      </w:r>
      <w:r w:rsidRPr="00911ED4">
        <w:rPr>
          <w:vertAlign w:val="superscript"/>
          <w:rtl/>
        </w:rPr>
        <w:t>(</w:t>
      </w:r>
      <w:r w:rsidRPr="00911ED4">
        <w:rPr>
          <w:vertAlign w:val="superscript"/>
          <w:rtl/>
        </w:rPr>
        <w:footnoteReference w:id="632"/>
      </w:r>
      <w:r w:rsidRPr="00911ED4">
        <w:rPr>
          <w:vertAlign w:val="superscript"/>
          <w:rtl/>
        </w:rPr>
        <w:t>)</w:t>
      </w:r>
      <w:r w:rsidRPr="00911ED4">
        <w:rPr>
          <w:rFonts w:ascii="Traditional Arabic" w:hAnsi="Traditional Arabic"/>
          <w:rtl/>
        </w:rPr>
        <w:t>. وروي عن عبد الله بن مسعود أنه قال: ي</w:t>
      </w:r>
      <w:r w:rsidRPr="00911ED4">
        <w:rPr>
          <w:rFonts w:ascii="Traditional Arabic" w:hAnsi="Traditional Arabic" w:hint="cs"/>
          <w:rtl/>
        </w:rPr>
        <w:t>ُ</w:t>
      </w:r>
      <w:r w:rsidRPr="00911ED4">
        <w:rPr>
          <w:rFonts w:ascii="Traditional Arabic" w:hAnsi="Traditional Arabic"/>
          <w:rtl/>
        </w:rPr>
        <w:t>سرى على القرآن في ليلة واحدة، فيجيء جبريل من جوف الليل، فيذهب به من صدورهم ومن بيوتهم، فيصبحون لا يقرءون آية، ولا يحسنونها</w:t>
      </w:r>
      <w:r w:rsidRPr="00911ED4">
        <w:rPr>
          <w:vertAlign w:val="superscript"/>
          <w:rtl/>
        </w:rPr>
        <w:t>(</w:t>
      </w:r>
      <w:r w:rsidRPr="00911ED4">
        <w:rPr>
          <w:vertAlign w:val="superscript"/>
          <w:rtl/>
        </w:rPr>
        <w:footnoteReference w:id="633"/>
      </w:r>
      <w:r w:rsidRPr="00911ED4">
        <w:rPr>
          <w:vertAlign w:val="superscript"/>
          <w:rtl/>
        </w:rPr>
        <w:t>)</w:t>
      </w:r>
      <w:r w:rsidRPr="00911ED4">
        <w:rPr>
          <w:rFonts w:ascii="Traditional Arabic" w:hAnsi="Traditional Arabic"/>
          <w:rtl/>
        </w:rPr>
        <w:t>. وردّ أبو سليمان الدمشقي صحة هذا الحديث بقوله عليه الصّلاة والسلام:</w:t>
      </w:r>
      <w:r w:rsidRPr="00911ED4">
        <w:rPr>
          <w:rFonts w:ascii="Traditional Arabic" w:hAnsi="Traditional Arabic" w:hint="cs"/>
          <w:rtl/>
        </w:rPr>
        <w:t xml:space="preserve"> </w:t>
      </w:r>
      <w:r w:rsidRPr="00911ED4">
        <w:rPr>
          <w:rFonts w:ascii="Traditional Arabic" w:hAnsi="Traditional Arabic"/>
          <w:rtl/>
        </w:rPr>
        <w:t>«إِن الله لا يقبض العلم انتزاعاً»</w:t>
      </w:r>
      <w:r w:rsidRPr="00911ED4">
        <w:rPr>
          <w:vertAlign w:val="superscript"/>
          <w:rtl/>
        </w:rPr>
        <w:t>(</w:t>
      </w:r>
      <w:r w:rsidRPr="00911ED4">
        <w:rPr>
          <w:vertAlign w:val="superscript"/>
          <w:rtl/>
        </w:rPr>
        <w:footnoteReference w:id="634"/>
      </w:r>
      <w:r w:rsidRPr="00911ED4">
        <w:rPr>
          <w:vertAlign w:val="superscript"/>
          <w:rtl/>
        </w:rPr>
        <w:t>)</w:t>
      </w:r>
      <w:r w:rsidRPr="00911ED4">
        <w:rPr>
          <w:rFonts w:ascii="Traditional Arabic" w:hAnsi="Traditional Arabic"/>
          <w:rtl/>
        </w:rPr>
        <w:t xml:space="preserve"> ، وحديث ابن مسعود مروي من طُرُقٍ حِسان، فيحتمل أن يكون النبيّ </w:t>
      </w:r>
      <w:r w:rsidRPr="00911ED4">
        <w:rPr>
          <w:rFonts w:ascii="Traditional Arabic" w:hAnsi="Traditional Arabic"/>
        </w:rPr>
        <w:t xml:space="preserve"> </w:t>
      </w:r>
      <w:r w:rsidRPr="00911ED4">
        <w:rPr>
          <w:rFonts w:ascii="Traditional Arabic" w:hAnsi="Traditional Arabic"/>
        </w:rPr>
        <w:sym w:font="AGA Arabesque" w:char="F072"/>
      </w:r>
      <w:r w:rsidRPr="00911ED4">
        <w:rPr>
          <w:rFonts w:ascii="Traditional Arabic" w:hAnsi="Traditional Arabic"/>
          <w:rtl/>
        </w:rPr>
        <w:t xml:space="preserve">أراد بالعلم  ما سوى القرآن، فإن العلم ما يزال </w:t>
      </w:r>
    </w:p>
    <w:p w:rsidR="00FD36F7" w:rsidRDefault="00FD36F7" w:rsidP="00FD36F7">
      <w:pPr>
        <w:ind w:firstLine="0"/>
        <w:rPr>
          <w:rFonts w:ascii="Traditional Arabic" w:hAnsi="Traditional Arabic"/>
          <w:rtl/>
        </w:rPr>
      </w:pPr>
    </w:p>
    <w:p w:rsidR="00FD36F7" w:rsidRDefault="00FD36F7" w:rsidP="00FD36F7">
      <w:pPr>
        <w:ind w:firstLine="0"/>
        <w:rPr>
          <w:rFonts w:ascii="Traditional Arabic" w:hAnsi="Traditional Arabic"/>
          <w:rtl/>
        </w:rPr>
      </w:pPr>
    </w:p>
    <w:p w:rsidR="00911ED4" w:rsidRPr="00911ED4" w:rsidRDefault="00911ED4" w:rsidP="00FD36F7">
      <w:pPr>
        <w:ind w:firstLine="0"/>
        <w:rPr>
          <w:rFonts w:ascii="Traditional Arabic" w:hAnsi="Traditional Arabic"/>
          <w:rtl/>
        </w:rPr>
      </w:pPr>
      <w:r w:rsidRPr="00911ED4">
        <w:rPr>
          <w:rFonts w:ascii="Traditional Arabic" w:hAnsi="Traditional Arabic"/>
          <w:rtl/>
        </w:rPr>
        <w:lastRenderedPageBreak/>
        <w:t>ينقرض حتى يكون رفع القرآن آخر الأمر</w:t>
      </w:r>
      <w:r w:rsidRPr="00911ED4">
        <w:rPr>
          <w:vertAlign w:val="superscript"/>
          <w:rtl/>
        </w:rPr>
        <w:t>(</w:t>
      </w:r>
      <w:r w:rsidRPr="00911ED4">
        <w:rPr>
          <w:vertAlign w:val="superscript"/>
          <w:rtl/>
        </w:rPr>
        <w:footnoteReference w:id="635"/>
      </w:r>
      <w:r w:rsidRPr="00911ED4">
        <w:rPr>
          <w:vertAlign w:val="superscript"/>
          <w:rtl/>
        </w:rPr>
        <w:t>)</w:t>
      </w:r>
      <w:r w:rsidRPr="00911ED4">
        <w:rPr>
          <w:rFonts w:ascii="Traditional Arabic" w:hAnsi="Traditional Arabic"/>
          <w:rtl/>
        </w:rPr>
        <w:t>.</w:t>
      </w:r>
    </w:p>
    <w:p w:rsidR="00911ED4" w:rsidRPr="00911ED4" w:rsidRDefault="00911ED4" w:rsidP="00AE04C3">
      <w:pPr>
        <w:ind w:firstLine="0"/>
        <w:rPr>
          <w:rFonts w:ascii="Traditional Arabic" w:hAnsi="Traditional Arabic"/>
          <w:rtl/>
        </w:rPr>
      </w:pPr>
      <w:r w:rsidRPr="00911ED4">
        <w:rPr>
          <w:rFonts w:ascii="QCF_BSML" w:hAnsi="QCF_BSML" w:cs="QCF_BSML"/>
          <w:sz w:val="32"/>
          <w:szCs w:val="32"/>
          <w:rtl/>
          <w:lang w:eastAsia="en-US"/>
        </w:rPr>
        <w:t>ﭽ</w:t>
      </w:r>
      <w:r w:rsidRPr="00911ED4">
        <w:rPr>
          <w:rFonts w:ascii="QCF_P291" w:hAnsi="QCF_P291" w:cs="QCF_P291"/>
          <w:sz w:val="32"/>
          <w:szCs w:val="32"/>
          <w:rtl/>
          <w:lang w:eastAsia="en-US"/>
        </w:rPr>
        <w:t xml:space="preserve">ﭜ   ﭝ  ﭞ  ﭟ  ﭠ  ﭡ  ﭢ  ﭣ  ﭤ  ﭥ  ﭦ   ﭧ  ﭨ  ﭩ  ﭪ  ﭫ     ﭬ  ﭭ  ﭮ  ﭯ  </w:t>
      </w:r>
      <w:r w:rsidRPr="00911ED4">
        <w:rPr>
          <w:rFonts w:ascii="QCF_BSML" w:hAnsi="QCF_BSML" w:cs="QCF_BSML"/>
          <w:sz w:val="32"/>
          <w:szCs w:val="32"/>
          <w:rtl/>
          <w:lang w:eastAsia="en-US"/>
        </w:rPr>
        <w:t>ﭼ</w:t>
      </w:r>
      <w:r w:rsidRPr="00911ED4">
        <w:rPr>
          <w:rFonts w:ascii="Traditional Arabic" w:hAnsi="Traditional Arabic" w:hint="cs"/>
          <w:rtl/>
        </w:rPr>
        <w:t xml:space="preserve"> </w:t>
      </w:r>
      <w:r w:rsidRPr="00911ED4">
        <w:rPr>
          <w:rFonts w:ascii="Traditional Arabic" w:hAnsi="Traditional Arabic"/>
          <w:rtl/>
        </w:rPr>
        <w:t xml:space="preserve">قوله تعالى: </w:t>
      </w:r>
      <w:r w:rsidRPr="00911ED4">
        <w:rPr>
          <w:rFonts w:ascii="QCF_BSML" w:hAnsi="QCF_BSML" w:cs="QCF_BSML"/>
          <w:sz w:val="32"/>
          <w:szCs w:val="32"/>
          <w:rtl/>
          <w:lang w:eastAsia="en-US"/>
        </w:rPr>
        <w:t>ﭽ</w:t>
      </w:r>
      <w:r w:rsidRPr="00911ED4">
        <w:rPr>
          <w:rFonts w:ascii="QCF_P291" w:hAnsi="QCF_P291" w:cs="QCF_P291"/>
          <w:sz w:val="32"/>
          <w:szCs w:val="32"/>
          <w:rtl/>
          <w:lang w:eastAsia="en-US"/>
        </w:rPr>
        <w:t xml:space="preserve">ﭜ   ﭝ  ﭞ  ﭟ  ﭠ </w:t>
      </w:r>
      <w:r w:rsidRPr="00911ED4">
        <w:rPr>
          <w:rFonts w:ascii="QCF_BSML" w:hAnsi="QCF_BSML" w:cs="QCF_BSML"/>
          <w:sz w:val="32"/>
          <w:szCs w:val="32"/>
          <w:rtl/>
          <w:lang w:eastAsia="en-US"/>
        </w:rPr>
        <w:t>ﭼ</w:t>
      </w:r>
      <w:r w:rsidRPr="00911ED4">
        <w:rPr>
          <w:rFonts w:ascii="QCF_P291" w:hAnsi="QCF_P291" w:cs="QCF_P291"/>
          <w:sz w:val="32"/>
          <w:szCs w:val="32"/>
          <w:rtl/>
          <w:lang w:eastAsia="en-US"/>
        </w:rPr>
        <w:t xml:space="preserve"> </w:t>
      </w:r>
      <w:r w:rsidRPr="00911ED4">
        <w:rPr>
          <w:rFonts w:ascii="Traditional Arabic" w:hAnsi="Traditional Arabic"/>
          <w:rtl/>
        </w:rPr>
        <w:t>قال المفسرون: هذا تكذيب للنَّضْر بن الحارث</w:t>
      </w:r>
      <w:r w:rsidRPr="00911ED4">
        <w:rPr>
          <w:vertAlign w:val="superscript"/>
          <w:rtl/>
        </w:rPr>
        <w:t>(</w:t>
      </w:r>
      <w:r w:rsidRPr="00911ED4">
        <w:rPr>
          <w:vertAlign w:val="superscript"/>
          <w:rtl/>
        </w:rPr>
        <w:footnoteReference w:id="636"/>
      </w:r>
      <w:r w:rsidRPr="00911ED4">
        <w:rPr>
          <w:vertAlign w:val="superscript"/>
          <w:rtl/>
        </w:rPr>
        <w:t>)</w:t>
      </w:r>
      <w:r w:rsidRPr="00911ED4">
        <w:rPr>
          <w:rFonts w:ascii="Traditional Arabic" w:hAnsi="Traditional Arabic"/>
          <w:rtl/>
        </w:rPr>
        <w:t xml:space="preserve">حين قال: </w:t>
      </w:r>
      <w:r w:rsidRPr="00911ED4">
        <w:rPr>
          <w:rFonts w:ascii="QCF_BSML" w:hAnsi="QCF_BSML" w:cs="QCF_BSML"/>
          <w:sz w:val="32"/>
          <w:szCs w:val="32"/>
          <w:rtl/>
          <w:lang w:eastAsia="en-US"/>
        </w:rPr>
        <w:t xml:space="preserve">ﭽ </w:t>
      </w:r>
      <w:r w:rsidRPr="00911ED4">
        <w:rPr>
          <w:rFonts w:ascii="QCF_P180" w:hAnsi="QCF_P180" w:cs="QCF_P180"/>
          <w:sz w:val="32"/>
          <w:szCs w:val="32"/>
          <w:rtl/>
          <w:lang w:eastAsia="en-US"/>
        </w:rPr>
        <w:t>ﮪ  ﮫ  ﮬ  ﮭ  ﮮ</w:t>
      </w:r>
      <w:r w:rsidRPr="00911ED4">
        <w:rPr>
          <w:rFonts w:ascii="QCF_BSML" w:hAnsi="QCF_BSML" w:cs="QCF_BSML"/>
          <w:sz w:val="32"/>
          <w:szCs w:val="32"/>
          <w:rtl/>
          <w:lang w:eastAsia="en-US"/>
        </w:rPr>
        <w:t>ﭼ</w:t>
      </w:r>
      <w:r w:rsidRPr="00911ED4">
        <w:rPr>
          <w:rFonts w:ascii="QCF_BSML" w:hAnsi="QCF_BSML" w:cs="QCF_BSML"/>
          <w:sz w:val="47"/>
          <w:szCs w:val="47"/>
          <w:rtl/>
          <w:lang w:eastAsia="en-US"/>
        </w:rPr>
        <w:t xml:space="preserve"> </w:t>
      </w:r>
      <w:r w:rsidRPr="00911ED4">
        <w:rPr>
          <w:rFonts w:ascii="Arial" w:hAnsi="Arial" w:cs="Arial" w:hint="cs"/>
          <w:color w:val="9DAB0C"/>
          <w:sz w:val="27"/>
          <w:szCs w:val="27"/>
          <w:rtl/>
          <w:lang w:eastAsia="en-US"/>
        </w:rPr>
        <w:t xml:space="preserve"> </w:t>
      </w:r>
      <w:r w:rsidRPr="00911ED4">
        <w:rPr>
          <w:rFonts w:ascii="Traditional Arabic" w:hAnsi="Traditional Arabic"/>
          <w:color w:val="auto"/>
          <w:sz w:val="32"/>
          <w:szCs w:val="32"/>
          <w:rtl/>
          <w:lang w:eastAsia="en-US"/>
        </w:rPr>
        <w:t>[الأنفال:٣١]</w:t>
      </w:r>
      <w:r w:rsidRPr="00911ED4">
        <w:rPr>
          <w:vertAlign w:val="superscript"/>
          <w:rtl/>
        </w:rPr>
        <w:t>(</w:t>
      </w:r>
      <w:r w:rsidRPr="00911ED4">
        <w:rPr>
          <w:vertAlign w:val="superscript"/>
          <w:rtl/>
        </w:rPr>
        <w:footnoteReference w:id="637"/>
      </w:r>
      <w:r w:rsidRPr="00911ED4">
        <w:rPr>
          <w:vertAlign w:val="superscript"/>
          <w:rtl/>
        </w:rPr>
        <w:t>)</w:t>
      </w:r>
      <w:r w:rsidRPr="00911ED4">
        <w:rPr>
          <w:rFonts w:ascii="Traditional Arabic" w:hAnsi="Traditional Arabic"/>
          <w:color w:val="auto"/>
          <w:sz w:val="32"/>
          <w:szCs w:val="32"/>
          <w:rtl/>
        </w:rPr>
        <w:t>.</w:t>
      </w:r>
      <w:r w:rsidRPr="00911ED4">
        <w:rPr>
          <w:rFonts w:ascii="Traditional Arabic" w:hAnsi="Traditional Arabic"/>
          <w:color w:val="auto"/>
          <w:rtl/>
        </w:rPr>
        <w:t xml:space="preserve"> </w:t>
      </w:r>
      <w:r w:rsidRPr="00911ED4">
        <w:rPr>
          <w:rFonts w:ascii="Traditional Arabic" w:hAnsi="Traditional Arabic"/>
          <w:rtl/>
        </w:rPr>
        <w:t>والمِثْل</w:t>
      </w:r>
      <w:r w:rsidR="00AE04C3">
        <w:rPr>
          <w:rFonts w:ascii="QCF_BSML" w:hAnsi="QCF_BSML" w:cs="QCF_BSML" w:hint="cs"/>
          <w:color w:val="0D0D0D" w:themeColor="text1" w:themeTint="F2"/>
          <w:sz w:val="32"/>
          <w:szCs w:val="32"/>
          <w:rtl/>
          <w:lang w:eastAsia="en-US"/>
        </w:rPr>
        <w:t xml:space="preserve">  </w:t>
      </w:r>
      <w:r w:rsidR="00AE04C3" w:rsidRPr="001277AD">
        <w:rPr>
          <w:rFonts w:hint="cs"/>
          <w:color w:val="0D0D0D" w:themeColor="text1" w:themeTint="F2"/>
          <w:sz w:val="32"/>
          <w:szCs w:val="32"/>
          <w:rtl/>
        </w:rPr>
        <w:t>[</w:t>
      </w:r>
      <w:r w:rsidR="00AE04C3">
        <w:rPr>
          <w:rFonts w:hint="cs"/>
          <w:color w:val="0D0D0D" w:themeColor="text1" w:themeTint="F2"/>
          <w:sz w:val="32"/>
          <w:szCs w:val="32"/>
          <w:rtl/>
        </w:rPr>
        <w:t>89</w:t>
      </w:r>
      <w:r w:rsidR="00AE04C3" w:rsidRPr="001277AD">
        <w:rPr>
          <w:rFonts w:hint="cs"/>
          <w:color w:val="0D0D0D" w:themeColor="text1" w:themeTint="F2"/>
          <w:sz w:val="32"/>
          <w:szCs w:val="32"/>
          <w:rtl/>
        </w:rPr>
        <w:t>]</w:t>
      </w:r>
      <w:r w:rsidR="00AE04C3" w:rsidRPr="00A32F2C">
        <w:rPr>
          <w:rFonts w:ascii="Traditional Arabic" w:hAnsi="Traditional Arabic"/>
          <w:rtl/>
          <w:lang w:eastAsia="en-US"/>
        </w:rPr>
        <w:t xml:space="preserve"> </w:t>
      </w:r>
      <w:r w:rsidRPr="00911ED4">
        <w:rPr>
          <w:rFonts w:ascii="Traditional Arabic" w:hAnsi="Traditional Arabic"/>
          <w:rtl/>
        </w:rPr>
        <w:t>الذي طُلِبَ منهم: كلام له نظم كنظم القرآن، في أعلى طبقات البلاغة. والظهير: المعين</w:t>
      </w:r>
      <w:r w:rsidRPr="00911ED4">
        <w:rPr>
          <w:vertAlign w:val="superscript"/>
          <w:rtl/>
        </w:rPr>
        <w:t>(</w:t>
      </w:r>
      <w:r w:rsidRPr="00911ED4">
        <w:rPr>
          <w:vertAlign w:val="superscript"/>
          <w:rtl/>
        </w:rPr>
        <w:footnoteReference w:id="638"/>
      </w:r>
      <w:r w:rsidRPr="00911ED4">
        <w:rPr>
          <w:vertAlign w:val="superscript"/>
          <w:rtl/>
        </w:rPr>
        <w:t>)</w:t>
      </w:r>
      <w:r w:rsidRPr="00911ED4">
        <w:rPr>
          <w:rFonts w:ascii="Traditional Arabic" w:hAnsi="Traditional Arabic"/>
          <w:rtl/>
        </w:rPr>
        <w:t>.</w:t>
      </w:r>
    </w:p>
    <w:p w:rsidR="00CE1584" w:rsidRPr="00911ED4" w:rsidRDefault="00911ED4" w:rsidP="00C47E59">
      <w:pPr>
        <w:ind w:firstLine="0"/>
        <w:rPr>
          <w:rFonts w:ascii="Traditional Arabic" w:hAnsi="Traditional Arabic"/>
          <w:rtl/>
        </w:rPr>
      </w:pPr>
      <w:r w:rsidRPr="00911ED4">
        <w:rPr>
          <w:rFonts w:ascii="QCF_BSML" w:hAnsi="QCF_BSML" w:cs="QCF_BSML"/>
          <w:sz w:val="32"/>
          <w:szCs w:val="32"/>
          <w:rtl/>
          <w:lang w:eastAsia="en-US"/>
        </w:rPr>
        <w:t xml:space="preserve">ﭽ </w:t>
      </w:r>
      <w:r w:rsidRPr="00911ED4">
        <w:rPr>
          <w:rFonts w:ascii="QCF_P291" w:hAnsi="QCF_P291" w:cs="QCF_P291"/>
          <w:sz w:val="32"/>
          <w:szCs w:val="32"/>
          <w:rtl/>
          <w:lang w:eastAsia="en-US"/>
        </w:rPr>
        <w:t xml:space="preserve">ﭰ   ﭱ  ﭲ  ﭳ  ﭴ  ﭵ  ﭶ  ﭷ      ﭸ  ﭹ  ﭺ  ﭻ   ﭼ     ﭽ  ﭾ  ﭿ  ﮀ  ﮁ  ﮂ  ﮃ  ﮄ  ﮅ  ﮆ   ﮇ  ﮈ  ﮉ  ﮊ  ﮋ  ﮌ  ﮍ  ﮎ  ﮏ  ﮐ   ﮑ  ﮒ  ﮓ  ﮔ  ﮕ  ﮖ  ﮗ  ﮘ  ﮙ          ﮚ  ﮛ  ﮜ        ﮝ  ﮞ  ﮟ  ﮠ  ﮡ  ﮢ   ﮣ  ﮤ  ﮥ  ﮦ  ﮧ  ﮨ  ﮩ  ﮪ  ﮫ  ﮬ  ﮭ  ﮮ   ﮯ  ﮰ  </w:t>
      </w:r>
      <w:r w:rsidRPr="00911ED4">
        <w:rPr>
          <w:rFonts w:ascii="QCF_P291" w:hAnsi="QCF_P291" w:cs="QCF_P291"/>
          <w:sz w:val="32"/>
          <w:szCs w:val="32"/>
          <w:rtl/>
          <w:lang w:eastAsia="en-US"/>
        </w:rPr>
        <w:lastRenderedPageBreak/>
        <w:t>ﮱ  ﯓ  ﯔ        ﯕ</w:t>
      </w:r>
      <w:r w:rsidRPr="00911ED4">
        <w:rPr>
          <w:rFonts w:ascii="QCF_P291" w:hAnsi="QCF_P291" w:cs="QCF_P291"/>
          <w:color w:val="0000A5"/>
          <w:sz w:val="32"/>
          <w:szCs w:val="32"/>
          <w:rtl/>
          <w:lang w:eastAsia="en-US"/>
        </w:rPr>
        <w:t>ﯖ</w:t>
      </w:r>
      <w:r w:rsidRPr="00911ED4">
        <w:rPr>
          <w:rFonts w:ascii="QCF_P291" w:hAnsi="QCF_P291" w:cs="QCF_P291"/>
          <w:sz w:val="32"/>
          <w:szCs w:val="32"/>
          <w:rtl/>
          <w:lang w:eastAsia="en-US"/>
        </w:rPr>
        <w:t xml:space="preserve">  ﯗ  ﯘ  ﯙ  ﯚ   ﯛ  ﯜ      ﯝ  ﯞ  ﯟ  </w:t>
      </w:r>
      <w:r w:rsidRPr="00911ED4">
        <w:rPr>
          <w:rFonts w:ascii="QCF_BSML" w:hAnsi="QCF_BSML" w:cs="QCF_BSML"/>
          <w:sz w:val="32"/>
          <w:szCs w:val="32"/>
          <w:rtl/>
          <w:lang w:eastAsia="en-US"/>
        </w:rPr>
        <w:t>ﭼ</w:t>
      </w:r>
    </w:p>
    <w:p w:rsidR="00CE1584" w:rsidRDefault="00911ED4" w:rsidP="00C47E59">
      <w:pPr>
        <w:ind w:firstLine="0"/>
        <w:rPr>
          <w:rFonts w:ascii="Traditional Arabic" w:hAnsi="Traditional Arabic"/>
          <w:rtl/>
        </w:rPr>
      </w:pPr>
      <w:r w:rsidRPr="00911ED4">
        <w:rPr>
          <w:rFonts w:ascii="Traditional Arabic" w:hAnsi="Traditional Arabic"/>
          <w:rtl/>
        </w:rPr>
        <w:t xml:space="preserve">قوله تعالى: </w:t>
      </w:r>
      <w:r w:rsidRPr="00911ED4">
        <w:rPr>
          <w:rFonts w:ascii="QCF_BSML" w:hAnsi="QCF_BSML" w:cs="QCF_BSML"/>
          <w:sz w:val="32"/>
          <w:szCs w:val="32"/>
          <w:rtl/>
          <w:lang w:eastAsia="en-US"/>
        </w:rPr>
        <w:t>ﭽ</w:t>
      </w:r>
      <w:r w:rsidRPr="00911ED4">
        <w:rPr>
          <w:rFonts w:ascii="QCF_P291" w:hAnsi="QCF_P291" w:cs="QCF_P291"/>
          <w:sz w:val="32"/>
          <w:szCs w:val="32"/>
          <w:rtl/>
          <w:lang w:eastAsia="en-US"/>
        </w:rPr>
        <w:t>ﭰ   ﭱ  ﭲ  ﭳ  ﭴ  ﭵ</w:t>
      </w:r>
      <w:r w:rsidRPr="00911ED4">
        <w:rPr>
          <w:rFonts w:ascii="QCF_BSML" w:hAnsi="QCF_BSML" w:cs="QCF_BSML"/>
          <w:sz w:val="32"/>
          <w:szCs w:val="32"/>
          <w:rtl/>
          <w:lang w:eastAsia="en-US"/>
        </w:rPr>
        <w:t>ﭼ</w:t>
      </w:r>
      <w:r w:rsidRPr="00911ED4">
        <w:rPr>
          <w:rFonts w:ascii="Traditional Arabic" w:hAnsi="Traditional Arabic"/>
          <w:rtl/>
        </w:rPr>
        <w:t xml:space="preserve"> قد فسّرناه في هذه السّورة</w:t>
      </w:r>
      <w:r w:rsidRPr="00911ED4">
        <w:rPr>
          <w:vertAlign w:val="superscript"/>
          <w:rtl/>
        </w:rPr>
        <w:t>(</w:t>
      </w:r>
      <w:r w:rsidRPr="00911ED4">
        <w:rPr>
          <w:vertAlign w:val="superscript"/>
          <w:rtl/>
        </w:rPr>
        <w:footnoteReference w:id="639"/>
      </w:r>
      <w:r w:rsidRPr="00911ED4">
        <w:rPr>
          <w:vertAlign w:val="superscript"/>
          <w:rtl/>
        </w:rPr>
        <w:t>)</w:t>
      </w:r>
      <w:r w:rsidRPr="00911ED4">
        <w:rPr>
          <w:rFonts w:ascii="Traditional Arabic" w:hAnsi="Traditional Arabic"/>
          <w:rtl/>
        </w:rPr>
        <w:t>والمعنى: من كلّ</w:t>
      </w:r>
      <w:r w:rsidRPr="00911ED4">
        <w:rPr>
          <w:rFonts w:ascii="Traditional Arabic" w:hAnsi="Traditional Arabic" w:hint="cs"/>
          <w:rtl/>
        </w:rPr>
        <w:t xml:space="preserve"> </w:t>
      </w:r>
      <w:r w:rsidRPr="00911ED4">
        <w:rPr>
          <w:rFonts w:ascii="Traditional Arabic" w:hAnsi="Traditional Arabic"/>
          <w:rtl/>
        </w:rPr>
        <w:t xml:space="preserve">مَثَل من الأمثال التي يكون بها الاعتبار </w:t>
      </w:r>
      <w:r w:rsidRPr="00911ED4">
        <w:rPr>
          <w:rFonts w:ascii="QCF_BSML" w:hAnsi="QCF_BSML" w:cs="QCF_BSML"/>
          <w:sz w:val="32"/>
          <w:szCs w:val="32"/>
          <w:rtl/>
          <w:lang w:eastAsia="en-US"/>
        </w:rPr>
        <w:t>ﭽ</w:t>
      </w:r>
      <w:r w:rsidRPr="00911ED4">
        <w:rPr>
          <w:rFonts w:ascii="QCF_P291" w:hAnsi="QCF_P291" w:cs="QCF_P291"/>
          <w:sz w:val="32"/>
          <w:szCs w:val="32"/>
          <w:rtl/>
          <w:lang w:eastAsia="en-US"/>
        </w:rPr>
        <w:t>ﭹ  ﭺ  ﭻ</w:t>
      </w:r>
      <w:r w:rsidRPr="00911ED4">
        <w:rPr>
          <w:rFonts w:ascii="QCF_BSML" w:hAnsi="QCF_BSML" w:cs="QCF_BSML"/>
          <w:sz w:val="32"/>
          <w:szCs w:val="32"/>
          <w:rtl/>
          <w:lang w:eastAsia="en-US"/>
        </w:rPr>
        <w:t xml:space="preserve"> ﭼ</w:t>
      </w:r>
      <w:r w:rsidRPr="00911ED4">
        <w:rPr>
          <w:rFonts w:ascii="QCF_P291" w:hAnsi="QCF_P291" w:cs="QCF_P291"/>
          <w:sz w:val="32"/>
          <w:szCs w:val="32"/>
          <w:rtl/>
          <w:lang w:eastAsia="en-US"/>
        </w:rPr>
        <w:t xml:space="preserve">   </w:t>
      </w:r>
      <w:r w:rsidRPr="00911ED4">
        <w:rPr>
          <w:rFonts w:ascii="Traditional Arabic" w:hAnsi="Traditional Arabic"/>
          <w:rtl/>
        </w:rPr>
        <w:t xml:space="preserve">يعني أهل مكة </w:t>
      </w:r>
      <w:r w:rsidRPr="00911ED4">
        <w:rPr>
          <w:rFonts w:ascii="QCF_BSML" w:hAnsi="QCF_BSML" w:cs="QCF_BSML"/>
          <w:sz w:val="32"/>
          <w:szCs w:val="32"/>
          <w:rtl/>
          <w:lang w:eastAsia="en-US"/>
        </w:rPr>
        <w:t>ﭽ</w:t>
      </w:r>
      <w:r w:rsidRPr="00911ED4">
        <w:rPr>
          <w:rFonts w:ascii="QCF_P291" w:hAnsi="QCF_P291" w:cs="QCF_P291"/>
          <w:sz w:val="32"/>
          <w:szCs w:val="32"/>
          <w:rtl/>
          <w:lang w:eastAsia="en-US"/>
        </w:rPr>
        <w:t>ﭼ     ﭽ</w:t>
      </w:r>
      <w:r w:rsidRPr="00911ED4">
        <w:rPr>
          <w:rFonts w:ascii="QCF_BSML" w:hAnsi="QCF_BSML" w:cs="QCF_BSML"/>
          <w:sz w:val="32"/>
          <w:szCs w:val="32"/>
          <w:rtl/>
          <w:lang w:eastAsia="en-US"/>
        </w:rPr>
        <w:t>ﭼ</w:t>
      </w:r>
      <w:r w:rsidRPr="00911ED4">
        <w:rPr>
          <w:rFonts w:ascii="QCF_P291" w:hAnsi="QCF_P291" w:cs="QCF_P291"/>
          <w:sz w:val="32"/>
          <w:szCs w:val="32"/>
          <w:rtl/>
          <w:lang w:eastAsia="en-US"/>
        </w:rPr>
        <w:t xml:space="preserve">  </w:t>
      </w:r>
      <w:r w:rsidRPr="00911ED4">
        <w:rPr>
          <w:rFonts w:ascii="Traditional Arabic" w:hAnsi="Traditional Arabic"/>
          <w:rtl/>
        </w:rPr>
        <w:t>أي: جحوداً للحق وإِنكاراً</w:t>
      </w:r>
      <w:r w:rsidRPr="00911ED4">
        <w:rPr>
          <w:vertAlign w:val="superscript"/>
          <w:rtl/>
        </w:rPr>
        <w:t>(</w:t>
      </w:r>
      <w:r w:rsidRPr="00911ED4">
        <w:rPr>
          <w:vertAlign w:val="superscript"/>
          <w:rtl/>
        </w:rPr>
        <w:footnoteReference w:id="640"/>
      </w:r>
      <w:r w:rsidRPr="00911ED4">
        <w:rPr>
          <w:vertAlign w:val="superscript"/>
          <w:rtl/>
        </w:rPr>
        <w:t>)</w:t>
      </w:r>
      <w:r w:rsidRPr="00911ED4">
        <w:rPr>
          <w:rFonts w:ascii="Traditional Arabic" w:hAnsi="Traditional Arabic"/>
          <w:rtl/>
        </w:rPr>
        <w:t>.</w:t>
      </w:r>
      <w:r w:rsidRPr="00911ED4">
        <w:rPr>
          <w:rFonts w:ascii="Traditional Arabic" w:hAnsi="Traditional Arabic" w:hint="cs"/>
          <w:rtl/>
        </w:rPr>
        <w:t xml:space="preserve"> </w:t>
      </w:r>
      <w:r w:rsidRPr="00911ED4">
        <w:rPr>
          <w:rFonts w:ascii="Traditional Arabic" w:hAnsi="Traditional Arabic"/>
          <w:rtl/>
        </w:rPr>
        <w:t>قوله تعالى:</w:t>
      </w:r>
      <w:r w:rsidRPr="00911ED4">
        <w:rPr>
          <w:rFonts w:ascii="QCF_BSML" w:hAnsi="QCF_BSML" w:cs="QCF_BSML"/>
          <w:sz w:val="32"/>
          <w:szCs w:val="32"/>
          <w:rtl/>
          <w:lang w:eastAsia="en-US"/>
        </w:rPr>
        <w:t xml:space="preserve"> ﭽ</w:t>
      </w:r>
      <w:r w:rsidRPr="00911ED4">
        <w:rPr>
          <w:rFonts w:ascii="QCF_P291" w:hAnsi="QCF_P291" w:cs="QCF_P291"/>
          <w:sz w:val="32"/>
          <w:szCs w:val="32"/>
          <w:rtl/>
          <w:lang w:eastAsia="en-US"/>
        </w:rPr>
        <w:t>ﭿ  ﮀ  ﮁ  ﮂ  ﮃ  ﮄ  ﮅ  ﮆ   ﮇ  ﮈ</w:t>
      </w:r>
      <w:r w:rsidRPr="00911ED4">
        <w:rPr>
          <w:rFonts w:ascii="QCF_BSML" w:hAnsi="QCF_BSML" w:cs="QCF_BSML"/>
          <w:sz w:val="32"/>
          <w:szCs w:val="32"/>
          <w:rtl/>
          <w:lang w:eastAsia="en-US"/>
        </w:rPr>
        <w:t>ﭼ</w:t>
      </w:r>
      <w:r w:rsidRPr="00911ED4">
        <w:rPr>
          <w:rFonts w:ascii="QCF_P291" w:hAnsi="QCF_P291" w:cs="QCF_P291"/>
          <w:sz w:val="32"/>
          <w:szCs w:val="32"/>
          <w:rtl/>
          <w:lang w:eastAsia="en-US"/>
        </w:rPr>
        <w:t xml:space="preserve">  </w:t>
      </w:r>
      <w:r w:rsidRPr="00911ED4">
        <w:rPr>
          <w:rFonts w:ascii="Traditional Arabic" w:hAnsi="Traditional Arabic"/>
          <w:rtl/>
        </w:rPr>
        <w:t xml:space="preserve"> سبب نزول هذه الآية وما يتبعها، أن رؤساء قريش، كعُتبة</w:t>
      </w:r>
      <w:r w:rsidRPr="00911ED4">
        <w:rPr>
          <w:vertAlign w:val="superscript"/>
          <w:rtl/>
        </w:rPr>
        <w:t>(</w:t>
      </w:r>
      <w:r w:rsidRPr="00911ED4">
        <w:rPr>
          <w:vertAlign w:val="superscript"/>
          <w:rtl/>
        </w:rPr>
        <w:footnoteReference w:id="641"/>
      </w:r>
      <w:r w:rsidRPr="00911ED4">
        <w:rPr>
          <w:vertAlign w:val="superscript"/>
          <w:rtl/>
        </w:rPr>
        <w:t>)</w:t>
      </w:r>
      <w:r w:rsidRPr="00911ED4">
        <w:rPr>
          <w:rFonts w:ascii="Traditional Arabic" w:hAnsi="Traditional Arabic"/>
          <w:rtl/>
        </w:rPr>
        <w:t>، وشيبة</w:t>
      </w:r>
      <w:r w:rsidRPr="00911ED4">
        <w:rPr>
          <w:vertAlign w:val="superscript"/>
          <w:rtl/>
        </w:rPr>
        <w:t>(</w:t>
      </w:r>
      <w:r w:rsidRPr="00911ED4">
        <w:rPr>
          <w:vertAlign w:val="superscript"/>
          <w:rtl/>
        </w:rPr>
        <w:footnoteReference w:id="642"/>
      </w:r>
      <w:r w:rsidRPr="00911ED4">
        <w:rPr>
          <w:vertAlign w:val="superscript"/>
          <w:rtl/>
        </w:rPr>
        <w:t>)</w:t>
      </w:r>
      <w:r w:rsidRPr="00911ED4">
        <w:rPr>
          <w:rFonts w:ascii="Traditional Arabic" w:hAnsi="Traditional Arabic"/>
          <w:rtl/>
        </w:rPr>
        <w:t>، وأبي جهل، وعبد الله بن أبي أُمية</w:t>
      </w:r>
      <w:r w:rsidRPr="00911ED4">
        <w:rPr>
          <w:vertAlign w:val="superscript"/>
          <w:rtl/>
        </w:rPr>
        <w:t>(</w:t>
      </w:r>
      <w:r w:rsidRPr="00911ED4">
        <w:rPr>
          <w:vertAlign w:val="superscript"/>
          <w:rtl/>
        </w:rPr>
        <w:footnoteReference w:id="643"/>
      </w:r>
      <w:r w:rsidRPr="00911ED4">
        <w:rPr>
          <w:vertAlign w:val="superscript"/>
          <w:rtl/>
        </w:rPr>
        <w:t>)</w:t>
      </w:r>
      <w:r w:rsidRPr="00911ED4">
        <w:rPr>
          <w:rFonts w:ascii="Traditional Arabic" w:hAnsi="Traditional Arabic"/>
          <w:rtl/>
        </w:rPr>
        <w:t>، والنضر بن الحارث في آخرين، اجتمعوا عند الكعبة، فقال بعضهم لبعض:</w:t>
      </w:r>
      <w:r w:rsidRPr="00911ED4">
        <w:rPr>
          <w:rFonts w:ascii="Traditional Arabic" w:hAnsi="Traditional Arabic" w:hint="cs"/>
          <w:rtl/>
        </w:rPr>
        <w:t xml:space="preserve"> </w:t>
      </w:r>
      <w:r w:rsidRPr="00911ED4">
        <w:rPr>
          <w:rFonts w:ascii="Traditional Arabic" w:hAnsi="Traditional Arabic"/>
          <w:rtl/>
        </w:rPr>
        <w:t>ابعثوا إِلى محمد فكلِّموه وخاصموه حتى تُعذَروا فيه، فبعثوا إِليه: إِن أشراف قومك قد اجتمعوا ليكلِّموك، فجاءهم سريعاً، وكان حريصاً على رشدهم، فقالوا: يا محمد، إِنا والله لا نَعلم رجلاً من العرب أدخل على قومه ما أدخلت على قومك، لقد شتمت الآباء، وعبت الدين، وسفَّهت الأحلام، وفرَّقت الجماعة، فإن كنتَ إِنما جئتَ بهذا لتطلب</w:t>
      </w:r>
      <w:r w:rsidRPr="00911ED4">
        <w:rPr>
          <w:rFonts w:ascii="Traditional Arabic" w:hAnsi="Traditional Arabic" w:hint="cs"/>
          <w:rtl/>
        </w:rPr>
        <w:t xml:space="preserve"> </w:t>
      </w:r>
      <w:r w:rsidRPr="00911ED4">
        <w:rPr>
          <w:rFonts w:ascii="Traditional Arabic" w:hAnsi="Traditional Arabic"/>
          <w:rtl/>
        </w:rPr>
        <w:t>مالاً</w:t>
      </w:r>
      <w:r w:rsidRPr="00911ED4">
        <w:rPr>
          <w:vertAlign w:val="superscript"/>
          <w:rtl/>
        </w:rPr>
        <w:t>(</w:t>
      </w:r>
      <w:r w:rsidRPr="00911ED4">
        <w:rPr>
          <w:vertAlign w:val="superscript"/>
          <w:rtl/>
        </w:rPr>
        <w:footnoteReference w:id="644"/>
      </w:r>
      <w:r w:rsidRPr="00911ED4">
        <w:rPr>
          <w:vertAlign w:val="superscript"/>
          <w:rtl/>
        </w:rPr>
        <w:t>)</w:t>
      </w:r>
      <w:r w:rsidRPr="00911ED4">
        <w:rPr>
          <w:rFonts w:ascii="Traditional Arabic" w:hAnsi="Traditional Arabic"/>
          <w:rtl/>
        </w:rPr>
        <w:t>، جعلنا لك من أموالنا ما تكون به أكثر مالاً، وإِن كنتَ إِنما تطلب الشرف فينا، سوَّدناك</w:t>
      </w:r>
      <w:r w:rsidRPr="00911ED4">
        <w:rPr>
          <w:vertAlign w:val="superscript"/>
          <w:rtl/>
        </w:rPr>
        <w:t>(</w:t>
      </w:r>
      <w:r w:rsidRPr="00911ED4">
        <w:rPr>
          <w:vertAlign w:val="superscript"/>
          <w:rtl/>
        </w:rPr>
        <w:footnoteReference w:id="645"/>
      </w:r>
      <w:r w:rsidRPr="00911ED4">
        <w:rPr>
          <w:vertAlign w:val="superscript"/>
          <w:rtl/>
        </w:rPr>
        <w:t>)</w:t>
      </w:r>
      <w:r w:rsidRPr="00911ED4">
        <w:rPr>
          <w:rFonts w:ascii="Traditional Arabic" w:hAnsi="Traditional Arabic"/>
          <w:rtl/>
        </w:rPr>
        <w:t>علينا، وإِن كان هذا الرَّئِيُّ</w:t>
      </w:r>
      <w:r w:rsidRPr="00911ED4">
        <w:rPr>
          <w:vertAlign w:val="superscript"/>
          <w:rtl/>
        </w:rPr>
        <w:t>(</w:t>
      </w:r>
      <w:r w:rsidRPr="00911ED4">
        <w:rPr>
          <w:vertAlign w:val="superscript"/>
          <w:rtl/>
        </w:rPr>
        <w:footnoteReference w:id="646"/>
      </w:r>
      <w:r w:rsidRPr="00911ED4">
        <w:rPr>
          <w:vertAlign w:val="superscript"/>
          <w:rtl/>
        </w:rPr>
        <w:t>)</w:t>
      </w:r>
      <w:r w:rsidRPr="00911ED4">
        <w:rPr>
          <w:rFonts w:ascii="Traditional Arabic" w:hAnsi="Traditional Arabic"/>
          <w:rtl/>
        </w:rPr>
        <w:t xml:space="preserve">الذي يأتيك قد غلب عليك، بذلنا أموالنا في طلب </w:t>
      </w:r>
      <w:r w:rsidRPr="00911ED4">
        <w:rPr>
          <w:rFonts w:ascii="Traditional Arabic" w:hAnsi="Traditional Arabic"/>
          <w:rtl/>
        </w:rPr>
        <w:lastRenderedPageBreak/>
        <w:t>الطِّب لك حتى نُبْرِئك منه، أو نعذر فيك. فقال رسول الله</w:t>
      </w:r>
      <w:r w:rsidRPr="00911ED4">
        <w:rPr>
          <w:rFonts w:ascii="Traditional Arabic" w:hAnsi="Traditional Arabic" w:hint="cs"/>
          <w:rtl/>
        </w:rPr>
        <w:t xml:space="preserve"> </w:t>
      </w:r>
      <w:r w:rsidRPr="00911ED4">
        <w:rPr>
          <w:rFonts w:ascii="Traditional Arabic" w:hAnsi="Traditional Arabic"/>
        </w:rPr>
        <w:sym w:font="AGA Arabesque" w:char="F072"/>
      </w:r>
      <w:r w:rsidRPr="00911ED4">
        <w:rPr>
          <w:rFonts w:ascii="Traditional Arabic" w:hAnsi="Traditional Arabic" w:hint="cs"/>
          <w:rtl/>
        </w:rPr>
        <w:t>:</w:t>
      </w:r>
      <w:r w:rsidRPr="00911ED4">
        <w:rPr>
          <w:rFonts w:ascii="Traditional Arabic" w:hAnsi="Traditional Arabic"/>
          <w:rtl/>
        </w:rPr>
        <w:t xml:space="preserve"> «إِن تقبلوا مِنِّي ما جئتكم به، فهو حظكم في الدنيا والآخرة، وإِن تردُّوه عليَّ أصبر لأمر  الله حتى يحكم الله بيني وبينكم». قالوا: يا محمد، فإن كنتَ غير قابل مِنّا ما عرضنا، فقد علمتَ أنه ليس من الناس أحد</w:t>
      </w:r>
      <w:r w:rsidRPr="00911ED4">
        <w:rPr>
          <w:vertAlign w:val="superscript"/>
          <w:rtl/>
        </w:rPr>
        <w:t>(</w:t>
      </w:r>
      <w:r w:rsidRPr="00911ED4">
        <w:rPr>
          <w:vertAlign w:val="superscript"/>
          <w:rtl/>
        </w:rPr>
        <w:footnoteReference w:id="647"/>
      </w:r>
      <w:r w:rsidRPr="00911ED4">
        <w:rPr>
          <w:vertAlign w:val="superscript"/>
          <w:rtl/>
        </w:rPr>
        <w:t>)</w:t>
      </w:r>
      <w:r w:rsidRPr="00911ED4">
        <w:rPr>
          <w:rFonts w:ascii="Traditional Arabic" w:hAnsi="Traditional Arabic"/>
          <w:rtl/>
        </w:rPr>
        <w:t xml:space="preserve">أضيقَ بلاداً ولا أشد عيشاً منا، سل لنا ربك يُسيِّر لنا هذه الجبال التي ضيِّقت علينا، ويُجري لنا أنهاراً، </w:t>
      </w:r>
    </w:p>
    <w:p w:rsidR="00911ED4" w:rsidRPr="00911ED4" w:rsidRDefault="00911ED4" w:rsidP="00AE04C3">
      <w:pPr>
        <w:ind w:firstLine="0"/>
        <w:rPr>
          <w:rFonts w:ascii="Traditional Arabic" w:hAnsi="Traditional Arabic"/>
          <w:rtl/>
        </w:rPr>
      </w:pPr>
      <w:r w:rsidRPr="00911ED4">
        <w:rPr>
          <w:rFonts w:ascii="Traditional Arabic" w:hAnsi="Traditional Arabic"/>
          <w:rtl/>
        </w:rPr>
        <w:t>ويبعث من مضى من آبائنا، ولْيكن فيمن يبعث لنا منهم قصيّ بن كلاب</w:t>
      </w:r>
      <w:r w:rsidRPr="00911ED4">
        <w:rPr>
          <w:vertAlign w:val="superscript"/>
          <w:rtl/>
        </w:rPr>
        <w:t>(</w:t>
      </w:r>
      <w:r w:rsidRPr="00911ED4">
        <w:rPr>
          <w:vertAlign w:val="superscript"/>
          <w:rtl/>
        </w:rPr>
        <w:footnoteReference w:id="648"/>
      </w:r>
      <w:r w:rsidRPr="00911ED4">
        <w:rPr>
          <w:vertAlign w:val="superscript"/>
          <w:rtl/>
        </w:rPr>
        <w:t>)</w:t>
      </w:r>
      <w:r w:rsidRPr="00911ED4">
        <w:rPr>
          <w:rFonts w:ascii="Traditional Arabic" w:hAnsi="Traditional Arabic"/>
          <w:rtl/>
        </w:rPr>
        <w:t xml:space="preserve">، فإنه كان شيخاً صدوقاً، فنسألهم عما تقول: أحق هو؟ فإن فعلتَ صدَّقناك، فقال رسول الله صلى الله عليه وسلّم: «ما بهذا بُعثتُ، وقد أبلغتكم ما أُرسلتُ به» قالوا: فَسَلْ ربَّك أن يبعثَ مَلَكاً يصدِّقك، وسله أن يجعل لك جِناناً، وكنوزاً، وقصوراً من ذهب وفضة تغنيك قال: </w:t>
      </w:r>
      <w:r w:rsidR="00CE1584">
        <w:rPr>
          <w:rFonts w:ascii="Traditional Arabic" w:hAnsi="Traditional Arabic" w:hint="cs"/>
          <w:rtl/>
        </w:rPr>
        <w:t>[</w:t>
      </w:r>
      <w:r w:rsidRPr="00911ED4">
        <w:rPr>
          <w:rFonts w:ascii="Traditional Arabic" w:hAnsi="Traditional Arabic"/>
          <w:rtl/>
        </w:rPr>
        <w:t>ما أنا بالذي يسأل ربه هذا</w:t>
      </w:r>
      <w:r w:rsidR="00CE1584">
        <w:rPr>
          <w:rFonts w:ascii="Traditional Arabic" w:hAnsi="Traditional Arabic" w:hint="cs"/>
          <w:rtl/>
        </w:rPr>
        <w:t>]</w:t>
      </w:r>
      <w:r w:rsidRPr="00911ED4">
        <w:rPr>
          <w:vertAlign w:val="superscript"/>
          <w:rtl/>
        </w:rPr>
        <w:t>(</w:t>
      </w:r>
      <w:r w:rsidRPr="00911ED4">
        <w:rPr>
          <w:vertAlign w:val="superscript"/>
          <w:rtl/>
        </w:rPr>
        <w:footnoteReference w:id="649"/>
      </w:r>
      <w:r w:rsidRPr="00911ED4">
        <w:rPr>
          <w:vertAlign w:val="superscript"/>
          <w:rtl/>
        </w:rPr>
        <w:t>)</w:t>
      </w:r>
      <w:r w:rsidRPr="00911ED4">
        <w:rPr>
          <w:rFonts w:ascii="Traditional Arabic" w:hAnsi="Traditional Arabic"/>
          <w:rtl/>
        </w:rPr>
        <w:t xml:space="preserve">قالوا: </w:t>
      </w:r>
      <w:r w:rsidR="00E16232" w:rsidRPr="005806A9">
        <w:rPr>
          <w:rFonts w:ascii="Traditional Arabic" w:hAnsi="Traditional Arabic"/>
          <w:sz w:val="32"/>
          <w:szCs w:val="32"/>
          <w:rtl/>
        </w:rPr>
        <w:t>فتسقط السماء كما زعمت</w:t>
      </w:r>
      <w:r w:rsidR="00E16232">
        <w:rPr>
          <w:rFonts w:hint="cs"/>
          <w:vertAlign w:val="superscript"/>
          <w:rtl/>
        </w:rPr>
        <w:t xml:space="preserve"> </w:t>
      </w:r>
      <w:r w:rsidRPr="00911ED4">
        <w:rPr>
          <w:rFonts w:ascii="Traditional Arabic" w:hAnsi="Traditional Arabic"/>
          <w:rtl/>
        </w:rPr>
        <w:t>بأن ربَّك</w:t>
      </w:r>
      <w:r w:rsidRPr="00911ED4">
        <w:rPr>
          <w:vertAlign w:val="superscript"/>
          <w:rtl/>
        </w:rPr>
        <w:t>(</w:t>
      </w:r>
      <w:r w:rsidRPr="00911ED4">
        <w:rPr>
          <w:vertAlign w:val="superscript"/>
          <w:rtl/>
        </w:rPr>
        <w:footnoteReference w:id="650"/>
      </w:r>
      <w:r w:rsidRPr="00911ED4">
        <w:rPr>
          <w:vertAlign w:val="superscript"/>
          <w:rtl/>
        </w:rPr>
        <w:t>)</w:t>
      </w:r>
      <w:r w:rsidRPr="00911ED4">
        <w:rPr>
          <w:rFonts w:ascii="Traditional Arabic" w:hAnsi="Traditional Arabic"/>
          <w:rtl/>
        </w:rPr>
        <w:t>إِن شاء فعل فقال: «ذلك إلى الله عزّ وجلّ» فقال قائل منهم: لن نؤمن لك حتى</w:t>
      </w:r>
      <w:r w:rsidRPr="00911ED4">
        <w:rPr>
          <w:rFonts w:ascii="QCF_BSML" w:hAnsi="QCF_BSML" w:cs="QCF_BSML" w:hint="cs"/>
          <w:sz w:val="32"/>
          <w:szCs w:val="32"/>
          <w:rtl/>
          <w:lang w:eastAsia="en-US"/>
        </w:rPr>
        <w:t xml:space="preserve"> </w:t>
      </w:r>
      <w:r w:rsidRPr="00911ED4">
        <w:rPr>
          <w:rFonts w:ascii="QCF_BSML" w:hAnsi="QCF_BSML" w:cs="QCF_BSML"/>
          <w:sz w:val="32"/>
          <w:szCs w:val="32"/>
          <w:rtl/>
          <w:lang w:eastAsia="en-US"/>
        </w:rPr>
        <w:t>ﭽ</w:t>
      </w:r>
      <w:r w:rsidRPr="00911ED4">
        <w:rPr>
          <w:rFonts w:ascii="QCF_BSML" w:hAnsi="QCF_BSML" w:cs="QCF_BSML" w:hint="cs"/>
          <w:sz w:val="32"/>
          <w:szCs w:val="32"/>
          <w:rtl/>
          <w:lang w:eastAsia="en-US"/>
        </w:rPr>
        <w:t xml:space="preserve"> </w:t>
      </w:r>
      <w:r w:rsidRPr="00911ED4">
        <w:rPr>
          <w:rFonts w:ascii="QCF_P291" w:hAnsi="QCF_P291" w:cs="QCF_P291"/>
          <w:sz w:val="32"/>
          <w:szCs w:val="32"/>
          <w:rtl/>
          <w:lang w:eastAsia="en-US"/>
        </w:rPr>
        <w:t>ﮞ  ﮟ  ﮠ  ﮡ</w:t>
      </w:r>
      <w:r w:rsidRPr="00911ED4">
        <w:rPr>
          <w:rFonts w:ascii="QCF_BSML" w:hAnsi="QCF_BSML" w:cs="QCF_BSML"/>
          <w:sz w:val="32"/>
          <w:szCs w:val="32"/>
          <w:rtl/>
          <w:lang w:eastAsia="en-US"/>
        </w:rPr>
        <w:t xml:space="preserve"> ﭼ</w:t>
      </w:r>
      <w:r w:rsidRPr="00911ED4">
        <w:rPr>
          <w:rFonts w:ascii="QCF_P291" w:hAnsi="QCF_P291" w:cs="QCF_P291"/>
          <w:sz w:val="32"/>
          <w:szCs w:val="32"/>
          <w:rtl/>
          <w:lang w:eastAsia="en-US"/>
        </w:rPr>
        <w:t xml:space="preserve">  </w:t>
      </w:r>
      <w:r w:rsidRPr="00911ED4">
        <w:rPr>
          <w:rFonts w:ascii="Traditional Arabic" w:hAnsi="Traditional Arabic"/>
          <w:rtl/>
        </w:rPr>
        <w:t xml:space="preserve"> وقال عبد الله بن أبي أُمية: لا أؤمن لك حتى تتخذ إِلى </w:t>
      </w:r>
      <w:r w:rsidR="00E16232">
        <w:rPr>
          <w:rFonts w:ascii="Traditional Arabic" w:hAnsi="Traditional Arabic" w:hint="cs"/>
          <w:rtl/>
        </w:rPr>
        <w:t>[</w:t>
      </w:r>
      <w:r w:rsidRPr="00911ED4">
        <w:rPr>
          <w:rFonts w:ascii="Traditional Arabic" w:hAnsi="Traditional Arabic"/>
          <w:rtl/>
        </w:rPr>
        <w:t>السماء</w:t>
      </w:r>
      <w:r w:rsidR="00E16232">
        <w:rPr>
          <w:rFonts w:ascii="Traditional Arabic" w:hAnsi="Traditional Arabic" w:hint="cs"/>
          <w:rtl/>
        </w:rPr>
        <w:t>]</w:t>
      </w:r>
      <w:r w:rsidRPr="00911ED4">
        <w:rPr>
          <w:vertAlign w:val="superscript"/>
          <w:rtl/>
        </w:rPr>
        <w:t>(</w:t>
      </w:r>
      <w:r w:rsidRPr="00911ED4">
        <w:rPr>
          <w:vertAlign w:val="superscript"/>
          <w:rtl/>
        </w:rPr>
        <w:footnoteReference w:id="651"/>
      </w:r>
      <w:r w:rsidRPr="00911ED4">
        <w:rPr>
          <w:vertAlign w:val="superscript"/>
          <w:rtl/>
        </w:rPr>
        <w:t>)</w:t>
      </w:r>
      <w:r w:rsidRPr="00911ED4">
        <w:rPr>
          <w:rFonts w:ascii="Traditional Arabic" w:hAnsi="Traditional Arabic"/>
          <w:rtl/>
        </w:rPr>
        <w:t>سُلَّماً،</w:t>
      </w:r>
      <w:r w:rsidR="00AE04C3">
        <w:rPr>
          <w:rFonts w:ascii="Traditional Arabic" w:hAnsi="Traditional Arabic" w:hint="cs"/>
          <w:rtl/>
        </w:rPr>
        <w:t xml:space="preserve"> </w:t>
      </w:r>
      <w:r w:rsidR="00AE04C3">
        <w:rPr>
          <w:rFonts w:ascii="QCF_BSML" w:hAnsi="QCF_BSML" w:cs="QCF_BSML" w:hint="cs"/>
          <w:color w:val="0D0D0D" w:themeColor="text1" w:themeTint="F2"/>
          <w:sz w:val="32"/>
          <w:szCs w:val="32"/>
          <w:rtl/>
          <w:lang w:eastAsia="en-US"/>
        </w:rPr>
        <w:t xml:space="preserve"> </w:t>
      </w:r>
      <w:r w:rsidR="00AE04C3" w:rsidRPr="001277AD">
        <w:rPr>
          <w:rFonts w:hint="cs"/>
          <w:color w:val="0D0D0D" w:themeColor="text1" w:themeTint="F2"/>
          <w:sz w:val="32"/>
          <w:szCs w:val="32"/>
          <w:rtl/>
        </w:rPr>
        <w:t>[</w:t>
      </w:r>
      <w:r w:rsidR="00AE04C3">
        <w:rPr>
          <w:rFonts w:hint="cs"/>
          <w:color w:val="0D0D0D" w:themeColor="text1" w:themeTint="F2"/>
          <w:sz w:val="32"/>
          <w:szCs w:val="32"/>
          <w:rtl/>
        </w:rPr>
        <w:t>90</w:t>
      </w:r>
      <w:r w:rsidR="00AE04C3" w:rsidRPr="001277AD">
        <w:rPr>
          <w:rFonts w:hint="cs"/>
          <w:color w:val="0D0D0D" w:themeColor="text1" w:themeTint="F2"/>
          <w:sz w:val="32"/>
          <w:szCs w:val="32"/>
          <w:rtl/>
        </w:rPr>
        <w:t>]</w:t>
      </w:r>
      <w:r w:rsidR="00AE04C3" w:rsidRPr="00A32F2C">
        <w:rPr>
          <w:rFonts w:ascii="Traditional Arabic" w:hAnsi="Traditional Arabic"/>
          <w:rtl/>
          <w:lang w:eastAsia="en-US"/>
        </w:rPr>
        <w:t xml:space="preserve"> </w:t>
      </w:r>
      <w:r w:rsidRPr="00911ED4">
        <w:rPr>
          <w:rFonts w:ascii="Traditional Arabic" w:hAnsi="Traditional Arabic"/>
          <w:rtl/>
        </w:rPr>
        <w:t xml:space="preserve">وترقى فيه وأنا أنظر، وتأتي بنسخة منشورة معك، ونفرٍ من الملائكة يشهدون لك، فانصرف رسول الله صلى الله عليه وسلّم حزيناً لِمَا رأى من مباعدتهم إِياه، فأنزل الله تعالى: </w:t>
      </w:r>
      <w:r w:rsidRPr="00911ED4">
        <w:rPr>
          <w:rFonts w:ascii="QCF_BSML" w:hAnsi="QCF_BSML" w:cs="QCF_BSML"/>
          <w:sz w:val="32"/>
          <w:szCs w:val="32"/>
          <w:rtl/>
          <w:lang w:eastAsia="en-US"/>
        </w:rPr>
        <w:t>ﭽ</w:t>
      </w:r>
      <w:r w:rsidRPr="00911ED4">
        <w:rPr>
          <w:rFonts w:ascii="QCF_P291" w:hAnsi="QCF_P291" w:cs="QCF_P291" w:hint="cs"/>
          <w:sz w:val="32"/>
          <w:szCs w:val="32"/>
          <w:rtl/>
          <w:lang w:eastAsia="en-US"/>
        </w:rPr>
        <w:t xml:space="preserve"> </w:t>
      </w:r>
      <w:r w:rsidRPr="00911ED4">
        <w:rPr>
          <w:rFonts w:ascii="QCF_P291" w:hAnsi="QCF_P291" w:cs="QCF_P291"/>
          <w:sz w:val="32"/>
          <w:szCs w:val="32"/>
          <w:rtl/>
          <w:lang w:eastAsia="en-US"/>
        </w:rPr>
        <w:t>ﭿ  ﮀ  ﮁ  ﮂ</w:t>
      </w:r>
      <w:r w:rsidRPr="00911ED4">
        <w:rPr>
          <w:rFonts w:ascii="QCF_BSML" w:hAnsi="QCF_BSML" w:cs="QCF_BSML"/>
          <w:sz w:val="32"/>
          <w:szCs w:val="32"/>
          <w:rtl/>
          <w:lang w:eastAsia="en-US"/>
        </w:rPr>
        <w:t xml:space="preserve"> ﭼ</w:t>
      </w:r>
      <w:r w:rsidRPr="00911ED4">
        <w:rPr>
          <w:rFonts w:ascii="QCF_P291" w:hAnsi="QCF_P291" w:cs="QCF_P291"/>
          <w:sz w:val="32"/>
          <w:szCs w:val="32"/>
          <w:rtl/>
          <w:lang w:eastAsia="en-US"/>
        </w:rPr>
        <w:t xml:space="preserve">    </w:t>
      </w:r>
      <w:r w:rsidRPr="00911ED4">
        <w:rPr>
          <w:rFonts w:ascii="Traditional Arabic" w:hAnsi="Traditional Arabic"/>
          <w:rtl/>
        </w:rPr>
        <w:t>الآيات، رواه عكرمة عن ابن عباس</w:t>
      </w:r>
      <w:r w:rsidRPr="00911ED4">
        <w:rPr>
          <w:vertAlign w:val="superscript"/>
          <w:rtl/>
        </w:rPr>
        <w:t>(</w:t>
      </w:r>
      <w:r w:rsidRPr="00911ED4">
        <w:rPr>
          <w:vertAlign w:val="superscript"/>
          <w:rtl/>
        </w:rPr>
        <w:footnoteReference w:id="652"/>
      </w:r>
      <w:r w:rsidRPr="00911ED4">
        <w:rPr>
          <w:vertAlign w:val="superscript"/>
          <w:rtl/>
        </w:rPr>
        <w:t>)</w:t>
      </w:r>
      <w:r w:rsidRPr="00911ED4">
        <w:rPr>
          <w:rFonts w:ascii="Traditional Arabic" w:hAnsi="Traditional Arabic"/>
          <w:rtl/>
        </w:rPr>
        <w:t>.</w:t>
      </w:r>
    </w:p>
    <w:p w:rsidR="00911ED4" w:rsidRPr="00911ED4" w:rsidRDefault="00911ED4" w:rsidP="00E16232">
      <w:pPr>
        <w:ind w:firstLine="0"/>
        <w:rPr>
          <w:rFonts w:ascii="QCF_P291" w:hAnsi="QCF_P291" w:cs="QCF_P291"/>
          <w:sz w:val="32"/>
          <w:szCs w:val="32"/>
          <w:rtl/>
          <w:lang w:eastAsia="en-US"/>
        </w:rPr>
      </w:pPr>
      <w:r w:rsidRPr="00911ED4">
        <w:rPr>
          <w:rFonts w:ascii="Traditional Arabic" w:hAnsi="Traditional Arabic"/>
          <w:rtl/>
        </w:rPr>
        <w:t xml:space="preserve">قوله تعالى: </w:t>
      </w:r>
      <w:r w:rsidRPr="00911ED4">
        <w:rPr>
          <w:rFonts w:ascii="QCF_BSML" w:hAnsi="QCF_BSML" w:cs="QCF_BSML"/>
          <w:sz w:val="32"/>
          <w:szCs w:val="32"/>
          <w:rtl/>
          <w:lang w:eastAsia="en-US"/>
        </w:rPr>
        <w:t>ﭽ</w:t>
      </w:r>
      <w:r w:rsidRPr="00911ED4">
        <w:rPr>
          <w:rFonts w:ascii="QCF_P291" w:hAnsi="QCF_P291" w:cs="QCF_P291" w:hint="cs"/>
          <w:sz w:val="32"/>
          <w:szCs w:val="32"/>
          <w:rtl/>
          <w:lang w:eastAsia="en-US"/>
        </w:rPr>
        <w:t xml:space="preserve"> </w:t>
      </w:r>
      <w:r w:rsidRPr="00911ED4">
        <w:rPr>
          <w:rFonts w:ascii="QCF_P291" w:hAnsi="QCF_P291" w:cs="QCF_P291"/>
          <w:sz w:val="32"/>
          <w:szCs w:val="32"/>
          <w:rtl/>
          <w:lang w:eastAsia="en-US"/>
        </w:rPr>
        <w:t>ﮃ  ﮄ</w:t>
      </w:r>
      <w:r w:rsidRPr="00911ED4">
        <w:rPr>
          <w:rFonts w:ascii="QCF_BSML" w:hAnsi="QCF_BSML" w:cs="QCF_BSML"/>
          <w:sz w:val="32"/>
          <w:szCs w:val="32"/>
          <w:rtl/>
          <w:lang w:eastAsia="en-US"/>
        </w:rPr>
        <w:t xml:space="preserve"> ﭼ</w:t>
      </w:r>
      <w:r w:rsidRPr="00911ED4">
        <w:rPr>
          <w:rFonts w:ascii="QCF_P291" w:hAnsi="QCF_P291" w:cs="QCF_P291"/>
          <w:sz w:val="32"/>
          <w:szCs w:val="32"/>
          <w:rtl/>
          <w:lang w:eastAsia="en-US"/>
        </w:rPr>
        <w:t xml:space="preserve">   </w:t>
      </w:r>
      <w:r w:rsidRPr="00911ED4">
        <w:rPr>
          <w:rFonts w:ascii="Traditional Arabic" w:hAnsi="Traditional Arabic"/>
          <w:rtl/>
        </w:rPr>
        <w:t>قرأ ابن كثير، ونافع، وأبو عمرو، وابن عامر</w:t>
      </w:r>
      <w:r w:rsidRPr="00911ED4">
        <w:rPr>
          <w:vertAlign w:val="superscript"/>
          <w:rtl/>
        </w:rPr>
        <w:t>(</w:t>
      </w:r>
      <w:r w:rsidRPr="00911ED4">
        <w:rPr>
          <w:vertAlign w:val="superscript"/>
          <w:rtl/>
        </w:rPr>
        <w:footnoteReference w:id="653"/>
      </w:r>
      <w:r w:rsidRPr="00911ED4">
        <w:rPr>
          <w:vertAlign w:val="superscript"/>
          <w:rtl/>
        </w:rPr>
        <w:t>)</w:t>
      </w:r>
      <w:r w:rsidRPr="00911ED4">
        <w:rPr>
          <w:rFonts w:ascii="Traditional Arabic" w:hAnsi="Traditional Arabic"/>
          <w:rtl/>
        </w:rPr>
        <w:t xml:space="preserve">: «حتى تُفَجِّرَ» </w:t>
      </w:r>
      <w:r w:rsidRPr="00911ED4">
        <w:rPr>
          <w:rFonts w:ascii="Traditional Arabic" w:hAnsi="Traditional Arabic"/>
          <w:rtl/>
        </w:rPr>
        <w:lastRenderedPageBreak/>
        <w:t>بضم التاء، وفتح الفاء، وتشديد الجيم مع الكسرة</w:t>
      </w:r>
      <w:r w:rsidRPr="00911ED4">
        <w:rPr>
          <w:vertAlign w:val="superscript"/>
          <w:rtl/>
        </w:rPr>
        <w:t>(</w:t>
      </w:r>
      <w:r w:rsidRPr="00911ED4">
        <w:rPr>
          <w:vertAlign w:val="superscript"/>
          <w:rtl/>
        </w:rPr>
        <w:footnoteReference w:id="654"/>
      </w:r>
      <w:r w:rsidRPr="00911ED4">
        <w:rPr>
          <w:vertAlign w:val="superscript"/>
          <w:rtl/>
        </w:rPr>
        <w:t>)</w:t>
      </w:r>
      <w:r w:rsidRPr="00911ED4">
        <w:rPr>
          <w:rFonts w:ascii="Traditional Arabic" w:hAnsi="Traditional Arabic"/>
          <w:rtl/>
        </w:rPr>
        <w:t>. وقرأ عاصم، وحمزة والكسائي: «حتى تَفْجُرَ» بفتح التاء، وتسكين الفاء، وضم الجيم مع التخفيف</w:t>
      </w:r>
      <w:r w:rsidRPr="00911ED4">
        <w:rPr>
          <w:vertAlign w:val="superscript"/>
          <w:rtl/>
        </w:rPr>
        <w:t>(</w:t>
      </w:r>
      <w:r w:rsidRPr="00911ED4">
        <w:rPr>
          <w:vertAlign w:val="superscript"/>
          <w:rtl/>
        </w:rPr>
        <w:footnoteReference w:id="655"/>
      </w:r>
      <w:r w:rsidRPr="00911ED4">
        <w:rPr>
          <w:vertAlign w:val="superscript"/>
          <w:rtl/>
        </w:rPr>
        <w:t>)</w:t>
      </w:r>
      <w:r w:rsidRPr="00911ED4">
        <w:rPr>
          <w:rFonts w:ascii="Traditional Arabic" w:hAnsi="Traditional Arabic"/>
          <w:rtl/>
        </w:rPr>
        <w:t>. فمن ثقَّل، أراد كثرة الانفجار من الينبوع، ومن خفَّف، فلأن الينبوع واحد</w:t>
      </w:r>
      <w:r w:rsidRPr="00911ED4">
        <w:rPr>
          <w:vertAlign w:val="superscript"/>
          <w:rtl/>
        </w:rPr>
        <w:t>(</w:t>
      </w:r>
      <w:r w:rsidRPr="00911ED4">
        <w:rPr>
          <w:vertAlign w:val="superscript"/>
          <w:rtl/>
        </w:rPr>
        <w:footnoteReference w:id="656"/>
      </w:r>
      <w:r w:rsidRPr="00911ED4">
        <w:rPr>
          <w:vertAlign w:val="superscript"/>
          <w:rtl/>
        </w:rPr>
        <w:t>)</w:t>
      </w:r>
      <w:r w:rsidRPr="00911ED4">
        <w:rPr>
          <w:rFonts w:ascii="Traditional Arabic" w:hAnsi="Traditional Arabic"/>
          <w:rtl/>
        </w:rPr>
        <w:t>. فأما الينبوع: فهو عين ينبع الماء منها</w:t>
      </w:r>
      <w:r w:rsidR="00CD7E12">
        <w:rPr>
          <w:rFonts w:ascii="Traditional Arabic" w:hAnsi="Traditional Arabic" w:hint="cs"/>
          <w:rtl/>
        </w:rPr>
        <w:t>,</w:t>
      </w:r>
      <w:r w:rsidRPr="00911ED4">
        <w:rPr>
          <w:rFonts w:ascii="Traditional Arabic" w:hAnsi="Traditional Arabic"/>
          <w:rtl/>
        </w:rPr>
        <w:t xml:space="preserve"> قال أبو عبيدة: وهو يَفعول، من نبع الماء، أي: ظهر وفار</w:t>
      </w:r>
      <w:r w:rsidRPr="00911ED4">
        <w:rPr>
          <w:vertAlign w:val="superscript"/>
          <w:rtl/>
        </w:rPr>
        <w:t>(</w:t>
      </w:r>
      <w:r w:rsidRPr="00911ED4">
        <w:rPr>
          <w:vertAlign w:val="superscript"/>
          <w:rtl/>
        </w:rPr>
        <w:footnoteReference w:id="657"/>
      </w:r>
      <w:r w:rsidRPr="00911ED4">
        <w:rPr>
          <w:vertAlign w:val="superscript"/>
          <w:rtl/>
        </w:rPr>
        <w:t>)</w:t>
      </w:r>
      <w:r w:rsidRPr="00911ED4">
        <w:rPr>
          <w:rFonts w:ascii="Traditional Arabic" w:hAnsi="Traditional Arabic"/>
          <w:rtl/>
        </w:rPr>
        <w:t xml:space="preserve">. قوله تعالى: </w:t>
      </w:r>
      <w:r w:rsidRPr="00911ED4">
        <w:rPr>
          <w:rFonts w:ascii="QCF_BSML" w:hAnsi="QCF_BSML" w:cs="QCF_BSML"/>
          <w:sz w:val="32"/>
          <w:szCs w:val="32"/>
          <w:rtl/>
          <w:lang w:eastAsia="en-US"/>
        </w:rPr>
        <w:t>ﭽ</w:t>
      </w:r>
      <w:r w:rsidRPr="00911ED4">
        <w:rPr>
          <w:rFonts w:ascii="QCF_BSML" w:hAnsi="QCF_BSML" w:cs="QCF_BSML" w:hint="cs"/>
          <w:sz w:val="32"/>
          <w:szCs w:val="32"/>
          <w:rtl/>
          <w:lang w:eastAsia="en-US"/>
        </w:rPr>
        <w:t xml:space="preserve"> </w:t>
      </w:r>
      <w:r w:rsidRPr="00911ED4">
        <w:rPr>
          <w:rFonts w:ascii="QCF_P291" w:hAnsi="QCF_P291" w:cs="QCF_P291"/>
          <w:sz w:val="32"/>
          <w:szCs w:val="32"/>
          <w:rtl/>
          <w:lang w:eastAsia="en-US"/>
        </w:rPr>
        <w:t>ﮊ  ﮋ  ﮌ  ﮍ</w:t>
      </w:r>
      <w:r w:rsidRPr="00911ED4">
        <w:rPr>
          <w:rFonts w:ascii="QCF_BSML" w:hAnsi="QCF_BSML" w:cs="QCF_BSML"/>
          <w:sz w:val="32"/>
          <w:szCs w:val="32"/>
          <w:rtl/>
          <w:lang w:eastAsia="en-US"/>
        </w:rPr>
        <w:t xml:space="preserve"> ﭼ</w:t>
      </w:r>
      <w:r w:rsidRPr="00911ED4">
        <w:rPr>
          <w:rFonts w:ascii="QCF_P291" w:hAnsi="QCF_P291" w:cs="QCF_P291"/>
          <w:sz w:val="32"/>
          <w:szCs w:val="32"/>
          <w:rtl/>
          <w:lang w:eastAsia="en-US"/>
        </w:rPr>
        <w:t xml:space="preserve">  </w:t>
      </w:r>
      <w:r w:rsidRPr="00911ED4">
        <w:rPr>
          <w:rFonts w:ascii="Traditional Arabic" w:hAnsi="Traditional Arabic"/>
          <w:rtl/>
        </w:rPr>
        <w:t xml:space="preserve">أي: بستان </w:t>
      </w:r>
      <w:r w:rsidRPr="00911ED4">
        <w:rPr>
          <w:rFonts w:ascii="QCF_BSML" w:hAnsi="QCF_BSML" w:cs="QCF_BSML"/>
          <w:sz w:val="32"/>
          <w:szCs w:val="32"/>
          <w:rtl/>
          <w:lang w:eastAsia="en-US"/>
        </w:rPr>
        <w:t>ﭽ</w:t>
      </w:r>
      <w:r w:rsidRPr="00911ED4">
        <w:rPr>
          <w:rFonts w:ascii="QCF_P291" w:hAnsi="QCF_P291" w:cs="QCF_P291" w:hint="cs"/>
          <w:sz w:val="32"/>
          <w:szCs w:val="32"/>
          <w:rtl/>
          <w:lang w:eastAsia="en-US"/>
        </w:rPr>
        <w:t xml:space="preserve"> </w:t>
      </w:r>
      <w:r w:rsidRPr="00911ED4">
        <w:rPr>
          <w:rFonts w:ascii="QCF_P291" w:hAnsi="QCF_P291" w:cs="QCF_P291"/>
          <w:sz w:val="32"/>
          <w:szCs w:val="32"/>
          <w:rtl/>
          <w:lang w:eastAsia="en-US"/>
        </w:rPr>
        <w:t xml:space="preserve">ﮑ  ﮒ </w:t>
      </w:r>
      <w:r w:rsidRPr="00911ED4">
        <w:rPr>
          <w:rFonts w:ascii="QCF_BSML" w:hAnsi="QCF_BSML" w:cs="QCF_BSML"/>
          <w:sz w:val="32"/>
          <w:szCs w:val="32"/>
          <w:rtl/>
          <w:lang w:eastAsia="en-US"/>
        </w:rPr>
        <w:t>ﭼ</w:t>
      </w:r>
      <w:r w:rsidRPr="00911ED4">
        <w:rPr>
          <w:rFonts w:ascii="QCF_P291" w:hAnsi="QCF_P291" w:cs="QCF_P291"/>
          <w:sz w:val="32"/>
          <w:szCs w:val="32"/>
          <w:rtl/>
          <w:lang w:eastAsia="en-US"/>
        </w:rPr>
        <w:t xml:space="preserve"> </w:t>
      </w:r>
      <w:r w:rsidRPr="00911ED4">
        <w:rPr>
          <w:rFonts w:ascii="Traditional Arabic" w:hAnsi="Traditional Arabic"/>
          <w:rtl/>
        </w:rPr>
        <w:t xml:space="preserve">أي: تفتحها وتجريها </w:t>
      </w:r>
      <w:r w:rsidRPr="00911ED4">
        <w:rPr>
          <w:rFonts w:ascii="QCF_BSML" w:hAnsi="QCF_BSML" w:cs="QCF_BSML"/>
          <w:sz w:val="32"/>
          <w:szCs w:val="32"/>
          <w:rtl/>
          <w:lang w:eastAsia="en-US"/>
        </w:rPr>
        <w:t>ﭽ</w:t>
      </w:r>
      <w:r w:rsidRPr="00911ED4">
        <w:rPr>
          <w:rFonts w:ascii="QCF_P291" w:hAnsi="QCF_P291" w:cs="QCF_P291" w:hint="cs"/>
          <w:sz w:val="32"/>
          <w:szCs w:val="32"/>
          <w:rtl/>
          <w:lang w:eastAsia="en-US"/>
        </w:rPr>
        <w:t xml:space="preserve"> </w:t>
      </w:r>
      <w:r w:rsidRPr="00911ED4">
        <w:rPr>
          <w:rFonts w:ascii="QCF_P291" w:hAnsi="QCF_P291" w:cs="QCF_P291"/>
          <w:sz w:val="32"/>
          <w:szCs w:val="32"/>
          <w:rtl/>
          <w:lang w:eastAsia="en-US"/>
        </w:rPr>
        <w:t>ﮓ</w:t>
      </w:r>
      <w:r w:rsidRPr="00911ED4">
        <w:rPr>
          <w:rFonts w:ascii="QCF_BSML" w:hAnsi="QCF_BSML" w:cs="QCF_BSML"/>
          <w:sz w:val="32"/>
          <w:szCs w:val="32"/>
          <w:rtl/>
          <w:lang w:eastAsia="en-US"/>
        </w:rPr>
        <w:t xml:space="preserve"> ﭼ</w:t>
      </w:r>
      <w:r w:rsidRPr="00911ED4">
        <w:rPr>
          <w:rFonts w:ascii="Traditional Arabic" w:hAnsi="Traditional Arabic"/>
          <w:rtl/>
        </w:rPr>
        <w:t xml:space="preserve"> أي: وسط تلك الجنة</w:t>
      </w:r>
      <w:r w:rsidRPr="00911ED4">
        <w:rPr>
          <w:vertAlign w:val="superscript"/>
          <w:rtl/>
        </w:rPr>
        <w:t>(</w:t>
      </w:r>
      <w:r w:rsidRPr="00911ED4">
        <w:rPr>
          <w:vertAlign w:val="superscript"/>
          <w:rtl/>
        </w:rPr>
        <w:footnoteReference w:id="658"/>
      </w:r>
      <w:r w:rsidRPr="00911ED4">
        <w:rPr>
          <w:vertAlign w:val="superscript"/>
          <w:rtl/>
        </w:rPr>
        <w:t>)</w:t>
      </w:r>
      <w:r w:rsidRPr="00911ED4">
        <w:rPr>
          <w:rFonts w:ascii="Traditional Arabic" w:hAnsi="Traditional Arabic"/>
          <w:rtl/>
        </w:rPr>
        <w:t xml:space="preserve">. قوله تعالى: </w:t>
      </w:r>
      <w:r w:rsidRPr="00911ED4">
        <w:rPr>
          <w:rFonts w:ascii="QCF_BSML" w:hAnsi="QCF_BSML" w:cs="QCF_BSML"/>
          <w:sz w:val="32"/>
          <w:szCs w:val="32"/>
          <w:rtl/>
          <w:lang w:eastAsia="en-US"/>
        </w:rPr>
        <w:t>ﭽ</w:t>
      </w:r>
      <w:r w:rsidRPr="00911ED4">
        <w:rPr>
          <w:rFonts w:ascii="QCF_P291" w:hAnsi="QCF_P291" w:cs="QCF_P291" w:hint="cs"/>
          <w:sz w:val="32"/>
          <w:szCs w:val="32"/>
          <w:rtl/>
          <w:lang w:eastAsia="en-US"/>
        </w:rPr>
        <w:t xml:space="preserve"> </w:t>
      </w:r>
      <w:r w:rsidRPr="00911ED4">
        <w:rPr>
          <w:rFonts w:ascii="QCF_P291" w:hAnsi="QCF_P291" w:cs="QCF_P291"/>
          <w:sz w:val="32"/>
          <w:szCs w:val="32"/>
          <w:rtl/>
          <w:lang w:eastAsia="en-US"/>
        </w:rPr>
        <w:t>ﮖ  ﮗ  ﮘ</w:t>
      </w:r>
      <w:r w:rsidRPr="00911ED4">
        <w:rPr>
          <w:rFonts w:ascii="QCF_BSML" w:hAnsi="QCF_BSML" w:cs="QCF_BSML"/>
          <w:sz w:val="32"/>
          <w:szCs w:val="32"/>
          <w:rtl/>
          <w:lang w:eastAsia="en-US"/>
        </w:rPr>
        <w:t xml:space="preserve"> ﭼ</w:t>
      </w:r>
      <w:r w:rsidRPr="00911ED4">
        <w:rPr>
          <w:rFonts w:ascii="Traditional Arabic" w:hAnsi="Traditional Arabic"/>
          <w:rtl/>
        </w:rPr>
        <w:t xml:space="preserve"> وقرأ مجاهد، وأبو مجلز</w:t>
      </w:r>
      <w:r w:rsidRPr="00911ED4">
        <w:rPr>
          <w:vertAlign w:val="superscript"/>
          <w:rtl/>
        </w:rPr>
        <w:t>(</w:t>
      </w:r>
      <w:r w:rsidRPr="00911ED4">
        <w:rPr>
          <w:vertAlign w:val="superscript"/>
          <w:rtl/>
        </w:rPr>
        <w:footnoteReference w:id="659"/>
      </w:r>
      <w:r w:rsidRPr="00911ED4">
        <w:rPr>
          <w:vertAlign w:val="superscript"/>
          <w:rtl/>
        </w:rPr>
        <w:t>)</w:t>
      </w:r>
      <w:r w:rsidRPr="00911ED4">
        <w:rPr>
          <w:rFonts w:ascii="Traditional Arabic" w:hAnsi="Traditional Arabic"/>
          <w:rtl/>
        </w:rPr>
        <w:t>، وأبو رجاء، وحميد، والجحدري: «أو تَسقُط» بفتح التاء، ورفع القاف «السماء» بالرّفع</w:t>
      </w:r>
      <w:r w:rsidRPr="00911ED4">
        <w:rPr>
          <w:vertAlign w:val="superscript"/>
          <w:rtl/>
        </w:rPr>
        <w:t>(</w:t>
      </w:r>
      <w:r w:rsidRPr="00911ED4">
        <w:rPr>
          <w:vertAlign w:val="superscript"/>
          <w:rtl/>
        </w:rPr>
        <w:footnoteReference w:id="660"/>
      </w:r>
      <w:r w:rsidRPr="00911ED4">
        <w:rPr>
          <w:vertAlign w:val="superscript"/>
          <w:rtl/>
        </w:rPr>
        <w:t>)</w:t>
      </w:r>
      <w:r w:rsidRPr="00911ED4">
        <w:rPr>
          <w:rFonts w:ascii="Traditional Arabic" w:hAnsi="Traditional Arabic"/>
          <w:rtl/>
        </w:rPr>
        <w:t>.</w:t>
      </w:r>
    </w:p>
    <w:p w:rsidR="00911ED4" w:rsidRPr="00911ED4" w:rsidRDefault="00911ED4" w:rsidP="005806A9">
      <w:pPr>
        <w:ind w:firstLine="0"/>
        <w:rPr>
          <w:rFonts w:ascii="Traditional Arabic" w:hAnsi="Traditional Arabic"/>
          <w:rtl/>
        </w:rPr>
      </w:pPr>
      <w:r w:rsidRPr="00911ED4">
        <w:rPr>
          <w:rFonts w:ascii="Traditional Arabic" w:hAnsi="Traditional Arabic"/>
          <w:rtl/>
        </w:rPr>
        <w:t xml:space="preserve">قوله تعالى: </w:t>
      </w:r>
      <w:r w:rsidRPr="00911ED4">
        <w:rPr>
          <w:rFonts w:ascii="QCF_BSML" w:hAnsi="QCF_BSML" w:cs="QCF_BSML"/>
          <w:sz w:val="32"/>
          <w:szCs w:val="32"/>
          <w:rtl/>
          <w:lang w:eastAsia="en-US"/>
        </w:rPr>
        <w:t>ﭽ</w:t>
      </w:r>
      <w:r w:rsidRPr="00911ED4">
        <w:rPr>
          <w:rFonts w:ascii="QCF_P291" w:hAnsi="QCF_P291" w:cs="QCF_P291"/>
          <w:sz w:val="32"/>
          <w:szCs w:val="32"/>
          <w:rtl/>
          <w:lang w:eastAsia="en-US"/>
        </w:rPr>
        <w:t xml:space="preserve"> ﮜ</w:t>
      </w:r>
      <w:r w:rsidRPr="00911ED4">
        <w:rPr>
          <w:rFonts w:ascii="QCF_P291" w:hAnsi="QCF_P291" w:cs="QCF_P291" w:hint="cs"/>
          <w:sz w:val="32"/>
          <w:szCs w:val="32"/>
          <w:rtl/>
          <w:lang w:eastAsia="en-US"/>
        </w:rPr>
        <w:t xml:space="preserve"> </w:t>
      </w:r>
      <w:r w:rsidRPr="00911ED4">
        <w:rPr>
          <w:rFonts w:ascii="QCF_BSML" w:hAnsi="QCF_BSML" w:cs="QCF_BSML"/>
          <w:sz w:val="32"/>
          <w:szCs w:val="32"/>
          <w:rtl/>
          <w:lang w:eastAsia="en-US"/>
        </w:rPr>
        <w:t>ﭼ</w:t>
      </w:r>
      <w:r w:rsidRPr="00911ED4">
        <w:rPr>
          <w:rFonts w:ascii="Traditional Arabic" w:hAnsi="Traditional Arabic"/>
          <w:rtl/>
        </w:rPr>
        <w:t xml:space="preserve"> قرأ ابن كثير، وأبو عمرو، وحمزة، والكسائي: «كِسْفاً» بتسكين السين في جميع القرآن إِلا في الروم</w:t>
      </w:r>
      <w:r w:rsidRPr="00911ED4">
        <w:rPr>
          <w:vertAlign w:val="superscript"/>
          <w:rtl/>
        </w:rPr>
        <w:t>(</w:t>
      </w:r>
      <w:r w:rsidRPr="00911ED4">
        <w:rPr>
          <w:vertAlign w:val="superscript"/>
          <w:rtl/>
        </w:rPr>
        <w:footnoteReference w:id="661"/>
      </w:r>
      <w:r w:rsidRPr="00911ED4">
        <w:rPr>
          <w:vertAlign w:val="superscript"/>
          <w:rtl/>
        </w:rPr>
        <w:t>)</w:t>
      </w:r>
      <w:r w:rsidRPr="00911ED4">
        <w:rPr>
          <w:rFonts w:ascii="Traditional Arabic" w:hAnsi="Traditional Arabic"/>
          <w:rtl/>
        </w:rPr>
        <w:t>فإنهم حرَّكوا السين. وقرأ نافع، وأبو بكر عن عاصم بتحريك السين في الموضعين، وفي باقي القرآن بالتّسكين. وقرأ ابن عامر ها هنا بفتح السين، وفي باقي القرآن بتسكينها</w:t>
      </w:r>
      <w:r w:rsidRPr="00911ED4">
        <w:rPr>
          <w:vertAlign w:val="superscript"/>
          <w:rtl/>
        </w:rPr>
        <w:t>(</w:t>
      </w:r>
      <w:r w:rsidRPr="00911ED4">
        <w:rPr>
          <w:vertAlign w:val="superscript"/>
          <w:rtl/>
        </w:rPr>
        <w:footnoteReference w:id="662"/>
      </w:r>
      <w:r w:rsidRPr="00911ED4">
        <w:rPr>
          <w:vertAlign w:val="superscript"/>
          <w:rtl/>
        </w:rPr>
        <w:t>)</w:t>
      </w:r>
      <w:r w:rsidRPr="00911ED4">
        <w:rPr>
          <w:rFonts w:ascii="Traditional Arabic" w:hAnsi="Traditional Arabic"/>
          <w:rtl/>
        </w:rPr>
        <w:t>.</w:t>
      </w:r>
      <w:r w:rsidRPr="00911ED4">
        <w:rPr>
          <w:rFonts w:ascii="Traditional Arabic" w:hAnsi="Traditional Arabic" w:hint="cs"/>
          <w:rtl/>
        </w:rPr>
        <w:t xml:space="preserve"> </w:t>
      </w:r>
      <w:r w:rsidRPr="00911ED4">
        <w:rPr>
          <w:rFonts w:ascii="Traditional Arabic" w:hAnsi="Traditional Arabic"/>
          <w:rtl/>
        </w:rPr>
        <w:t>قال الزجاج: من قرأ «كِسَفاً» بفتح السين، جعلها جمع كِسفة، وهي: القطعة، ومن قرأ «كِسْفاً» بتسكين السين، فكأنهم قالوا: أَسْقِطها طبقاً علينا واشتقاقه من كسفتُ الشيء: إِذا غطيَّته</w:t>
      </w:r>
      <w:r w:rsidRPr="00911ED4">
        <w:rPr>
          <w:vertAlign w:val="superscript"/>
          <w:rtl/>
        </w:rPr>
        <w:t>(</w:t>
      </w:r>
      <w:r w:rsidRPr="00911ED4">
        <w:rPr>
          <w:vertAlign w:val="superscript"/>
          <w:rtl/>
        </w:rPr>
        <w:footnoteReference w:id="663"/>
      </w:r>
      <w:r w:rsidRPr="00911ED4">
        <w:rPr>
          <w:vertAlign w:val="superscript"/>
          <w:rtl/>
        </w:rPr>
        <w:t>)</w:t>
      </w:r>
      <w:r w:rsidRPr="00911ED4">
        <w:rPr>
          <w:rFonts w:ascii="Traditional Arabic" w:hAnsi="Traditional Arabic" w:hint="cs"/>
          <w:rtl/>
        </w:rPr>
        <w:t>.</w:t>
      </w:r>
      <w:r w:rsidRPr="00911ED4">
        <w:rPr>
          <w:rFonts w:ascii="Traditional Arabic" w:hAnsi="Traditional Arabic"/>
          <w:rtl/>
        </w:rPr>
        <w:t xml:space="preserve"> يعنون: أسقطها علينا قطعة واحدة. وقال ابن الأنباري: من </w:t>
      </w:r>
      <w:r w:rsidRPr="00911ED4">
        <w:rPr>
          <w:rFonts w:ascii="Traditional Arabic" w:hAnsi="Traditional Arabic"/>
          <w:rtl/>
        </w:rPr>
        <w:lastRenderedPageBreak/>
        <w:t>سكَّن قال: تأويله: ستراً وتغطية، من قولهم: قد انكسفت الشمس: إِذا غطاها ما يحول بين الناظرين إِليها وبين أنوارها</w:t>
      </w:r>
      <w:r w:rsidRPr="00911ED4">
        <w:rPr>
          <w:vertAlign w:val="superscript"/>
          <w:rtl/>
        </w:rPr>
        <w:t>(</w:t>
      </w:r>
      <w:r w:rsidRPr="00911ED4">
        <w:rPr>
          <w:vertAlign w:val="superscript"/>
          <w:rtl/>
        </w:rPr>
        <w:footnoteReference w:id="664"/>
      </w:r>
      <w:r w:rsidRPr="00911ED4">
        <w:rPr>
          <w:vertAlign w:val="superscript"/>
          <w:rtl/>
        </w:rPr>
        <w:t>)</w:t>
      </w:r>
      <w:r w:rsidRPr="00911ED4">
        <w:rPr>
          <w:rFonts w:ascii="Traditional Arabic" w:hAnsi="Traditional Arabic"/>
          <w:rtl/>
        </w:rPr>
        <w:t>.</w:t>
      </w:r>
      <w:r w:rsidRPr="00911ED4">
        <w:rPr>
          <w:rFonts w:ascii="Traditional Arabic" w:hAnsi="Traditional Arabic" w:hint="cs"/>
          <w:rtl/>
        </w:rPr>
        <w:t xml:space="preserve"> </w:t>
      </w:r>
    </w:p>
    <w:p w:rsidR="00E667B0" w:rsidRDefault="00911ED4" w:rsidP="00E16232">
      <w:pPr>
        <w:ind w:firstLine="0"/>
        <w:rPr>
          <w:rFonts w:ascii="Traditional Arabic" w:hAnsi="Traditional Arabic"/>
          <w:rtl/>
        </w:rPr>
      </w:pPr>
      <w:r w:rsidRPr="00911ED4">
        <w:rPr>
          <w:rFonts w:ascii="Traditional Arabic" w:hAnsi="Traditional Arabic"/>
          <w:rtl/>
        </w:rPr>
        <w:t xml:space="preserve">قوله تعالى: </w:t>
      </w:r>
      <w:r w:rsidRPr="00911ED4">
        <w:rPr>
          <w:rFonts w:ascii="QCF_BSML" w:hAnsi="QCF_BSML" w:cs="QCF_BSML"/>
          <w:sz w:val="32"/>
          <w:szCs w:val="32"/>
          <w:rtl/>
          <w:lang w:eastAsia="en-US"/>
        </w:rPr>
        <w:t>ﭽ</w:t>
      </w:r>
      <w:r w:rsidRPr="00911ED4">
        <w:rPr>
          <w:rFonts w:ascii="QCF_BSML" w:hAnsi="QCF_BSML" w:cs="QCF_BSML" w:hint="cs"/>
          <w:sz w:val="32"/>
          <w:szCs w:val="32"/>
          <w:rtl/>
          <w:lang w:eastAsia="en-US"/>
        </w:rPr>
        <w:t xml:space="preserve"> </w:t>
      </w:r>
      <w:r w:rsidRPr="00911ED4">
        <w:rPr>
          <w:rFonts w:ascii="QCF_P291" w:hAnsi="QCF_P291" w:cs="QCF_P291"/>
          <w:sz w:val="32"/>
          <w:szCs w:val="32"/>
          <w:rtl/>
          <w:lang w:eastAsia="en-US"/>
        </w:rPr>
        <w:t>ﮝ  ﮞ  ﮟ  ﮠ  ﮡ</w:t>
      </w:r>
      <w:r w:rsidRPr="00911ED4">
        <w:rPr>
          <w:rFonts w:ascii="QCF_BSML" w:hAnsi="QCF_BSML" w:cs="QCF_BSML" w:hint="cs"/>
          <w:sz w:val="32"/>
          <w:szCs w:val="32"/>
          <w:rtl/>
          <w:lang w:eastAsia="en-US"/>
        </w:rPr>
        <w:t xml:space="preserve"> </w:t>
      </w:r>
      <w:r w:rsidRPr="00911ED4">
        <w:rPr>
          <w:rFonts w:ascii="QCF_BSML" w:hAnsi="QCF_BSML" w:cs="QCF_BSML"/>
          <w:sz w:val="32"/>
          <w:szCs w:val="32"/>
          <w:rtl/>
          <w:lang w:eastAsia="en-US"/>
        </w:rPr>
        <w:t>ﭼ</w:t>
      </w:r>
      <w:r w:rsidRPr="00911ED4">
        <w:rPr>
          <w:rFonts w:ascii="Traditional Arabic" w:hAnsi="Traditional Arabic"/>
          <w:rtl/>
        </w:rPr>
        <w:t xml:space="preserve"> فيه ثلاثة أقوال: أحدها: عياناً، رواه الضحاك عن ابن عباس</w:t>
      </w:r>
      <w:r w:rsidRPr="00911ED4">
        <w:rPr>
          <w:vertAlign w:val="superscript"/>
          <w:rtl/>
        </w:rPr>
        <w:t>(</w:t>
      </w:r>
      <w:r w:rsidRPr="00911ED4">
        <w:rPr>
          <w:vertAlign w:val="superscript"/>
          <w:rtl/>
        </w:rPr>
        <w:footnoteReference w:id="665"/>
      </w:r>
      <w:r w:rsidRPr="00911ED4">
        <w:rPr>
          <w:vertAlign w:val="superscript"/>
          <w:rtl/>
        </w:rPr>
        <w:t>)</w:t>
      </w:r>
      <w:r w:rsidRPr="00911ED4">
        <w:rPr>
          <w:rFonts w:ascii="Traditional Arabic" w:hAnsi="Traditional Arabic"/>
          <w:rtl/>
        </w:rPr>
        <w:t>، وبه قال قتادة، وابن جريج</w:t>
      </w:r>
      <w:r w:rsidRPr="00911ED4">
        <w:rPr>
          <w:vertAlign w:val="superscript"/>
          <w:rtl/>
        </w:rPr>
        <w:t>(</w:t>
      </w:r>
      <w:r w:rsidRPr="00911ED4">
        <w:rPr>
          <w:vertAlign w:val="superscript"/>
          <w:rtl/>
        </w:rPr>
        <w:footnoteReference w:id="666"/>
      </w:r>
      <w:r w:rsidRPr="00911ED4">
        <w:rPr>
          <w:vertAlign w:val="superscript"/>
          <w:rtl/>
        </w:rPr>
        <w:t>)</w:t>
      </w:r>
      <w:r w:rsidRPr="00911ED4">
        <w:rPr>
          <w:rFonts w:ascii="Traditional Arabic" w:hAnsi="Traditional Arabic"/>
          <w:rtl/>
        </w:rPr>
        <w:t>، ومقاتل</w:t>
      </w:r>
      <w:r w:rsidRPr="00911ED4">
        <w:rPr>
          <w:vertAlign w:val="superscript"/>
          <w:rtl/>
        </w:rPr>
        <w:t>(</w:t>
      </w:r>
      <w:r w:rsidRPr="00911ED4">
        <w:rPr>
          <w:vertAlign w:val="superscript"/>
          <w:rtl/>
        </w:rPr>
        <w:footnoteReference w:id="667"/>
      </w:r>
      <w:r w:rsidRPr="00911ED4">
        <w:rPr>
          <w:vertAlign w:val="superscript"/>
          <w:rtl/>
        </w:rPr>
        <w:t>)</w:t>
      </w:r>
      <w:r w:rsidRPr="00911ED4">
        <w:rPr>
          <w:rFonts w:ascii="Traditional Arabic" w:hAnsi="Traditional Arabic"/>
          <w:rtl/>
        </w:rPr>
        <w:t xml:space="preserve">. وقال أبو عبيدة: معناه: مقابلة، </w:t>
      </w:r>
    </w:p>
    <w:p w:rsidR="00911ED4" w:rsidRPr="00911ED4" w:rsidRDefault="00911ED4" w:rsidP="00911ED4">
      <w:pPr>
        <w:ind w:firstLine="0"/>
        <w:rPr>
          <w:rFonts w:ascii="Traditional Arabic" w:hAnsi="Traditional Arabic"/>
          <w:rtl/>
        </w:rPr>
      </w:pPr>
      <w:r w:rsidRPr="00911ED4">
        <w:rPr>
          <w:rFonts w:ascii="Traditional Arabic" w:hAnsi="Traditional Arabic"/>
          <w:rtl/>
        </w:rPr>
        <w:t>أي: معاينة، وأنشد الأعشى</w:t>
      </w:r>
      <w:r w:rsidRPr="00911ED4">
        <w:rPr>
          <w:vertAlign w:val="superscript"/>
          <w:rtl/>
        </w:rPr>
        <w:t>(</w:t>
      </w:r>
      <w:r w:rsidRPr="00911ED4">
        <w:rPr>
          <w:vertAlign w:val="superscript"/>
          <w:rtl/>
        </w:rPr>
        <w:footnoteReference w:id="668"/>
      </w:r>
      <w:r w:rsidRPr="00911ED4">
        <w:rPr>
          <w:vertAlign w:val="superscript"/>
          <w:rtl/>
        </w:rPr>
        <w:t>)</w:t>
      </w:r>
      <w:r w:rsidRPr="00911ED4">
        <w:rPr>
          <w:rFonts w:ascii="Traditional Arabic" w:hAnsi="Traditional Arabic"/>
          <w:rtl/>
        </w:rPr>
        <w:t>:</w:t>
      </w:r>
    </w:p>
    <w:p w:rsidR="00911ED4" w:rsidRPr="00911ED4" w:rsidRDefault="00AC48B1" w:rsidP="00911ED4">
      <w:pPr>
        <w:ind w:firstLine="0"/>
        <w:rPr>
          <w:rFonts w:ascii="Traditional Arabic" w:hAnsi="Traditional Arabic"/>
          <w:rtl/>
        </w:rPr>
      </w:pPr>
      <w:r>
        <w:rPr>
          <w:rFonts w:ascii="Traditional Arabic" w:hAnsi="Traditional Arabic" w:hint="cs"/>
          <w:rtl/>
        </w:rPr>
        <w:t xml:space="preserve">                  </w:t>
      </w:r>
      <w:r w:rsidR="00911ED4" w:rsidRPr="00911ED4">
        <w:rPr>
          <w:rFonts w:ascii="Traditional Arabic" w:hAnsi="Traditional Arabic"/>
          <w:rtl/>
        </w:rPr>
        <w:t>نصالحكم حتّى تبوءوا بِمِثْلِهَا ... كَصَرْخَةِ حُبْلَى يَسَّرَتْهَا قَبِيلُهَا</w:t>
      </w:r>
      <w:r w:rsidR="00911ED4" w:rsidRPr="00911ED4">
        <w:rPr>
          <w:vertAlign w:val="superscript"/>
          <w:rtl/>
        </w:rPr>
        <w:t>(</w:t>
      </w:r>
      <w:r w:rsidR="00911ED4" w:rsidRPr="00911ED4">
        <w:rPr>
          <w:vertAlign w:val="superscript"/>
          <w:rtl/>
        </w:rPr>
        <w:footnoteReference w:id="669"/>
      </w:r>
      <w:r w:rsidR="00911ED4" w:rsidRPr="00911ED4">
        <w:rPr>
          <w:vertAlign w:val="superscript"/>
          <w:rtl/>
        </w:rPr>
        <w:t>)</w:t>
      </w:r>
    </w:p>
    <w:p w:rsidR="00911ED4" w:rsidRPr="00911ED4" w:rsidRDefault="00911ED4" w:rsidP="00911ED4">
      <w:pPr>
        <w:ind w:firstLine="0"/>
        <w:rPr>
          <w:rFonts w:ascii="Traditional Arabic" w:hAnsi="Traditional Arabic"/>
          <w:rtl/>
        </w:rPr>
      </w:pPr>
      <w:r w:rsidRPr="00911ED4">
        <w:rPr>
          <w:rFonts w:ascii="Traditional Arabic" w:hAnsi="Traditional Arabic"/>
          <w:rtl/>
        </w:rPr>
        <w:t>أي: قابِلَتُها</w:t>
      </w:r>
      <w:r w:rsidRPr="00911ED4">
        <w:rPr>
          <w:vertAlign w:val="superscript"/>
          <w:rtl/>
        </w:rPr>
        <w:t>(</w:t>
      </w:r>
      <w:r w:rsidRPr="00911ED4">
        <w:rPr>
          <w:vertAlign w:val="superscript"/>
          <w:rtl/>
        </w:rPr>
        <w:footnoteReference w:id="670"/>
      </w:r>
      <w:r w:rsidRPr="00911ED4">
        <w:rPr>
          <w:vertAlign w:val="superscript"/>
          <w:rtl/>
        </w:rPr>
        <w:t>)</w:t>
      </w:r>
      <w:r w:rsidRPr="00911ED4">
        <w:rPr>
          <w:rFonts w:ascii="Traditional Arabic" w:hAnsi="Traditional Arabic"/>
          <w:rtl/>
        </w:rPr>
        <w:t>. ويروى: وجَّهتْها، يعني: بدل يسرتها.</w:t>
      </w:r>
    </w:p>
    <w:p w:rsidR="00911ED4" w:rsidRPr="00911ED4" w:rsidRDefault="00911ED4" w:rsidP="00224A0A">
      <w:pPr>
        <w:ind w:firstLine="0"/>
        <w:rPr>
          <w:rFonts w:ascii="Traditional Arabic" w:hAnsi="Traditional Arabic"/>
          <w:rtl/>
        </w:rPr>
      </w:pPr>
      <w:r w:rsidRPr="00911ED4">
        <w:rPr>
          <w:rFonts w:ascii="Traditional Arabic" w:hAnsi="Traditional Arabic"/>
          <w:rtl/>
        </w:rPr>
        <w:t>والثاني: كفيلاً أنك رسول الله، قاله أبو صالح عن ابن عباس</w:t>
      </w:r>
      <w:r w:rsidRPr="00911ED4">
        <w:rPr>
          <w:vertAlign w:val="superscript"/>
          <w:rtl/>
        </w:rPr>
        <w:t>(</w:t>
      </w:r>
      <w:r w:rsidRPr="00911ED4">
        <w:rPr>
          <w:vertAlign w:val="superscript"/>
          <w:rtl/>
        </w:rPr>
        <w:footnoteReference w:id="671"/>
      </w:r>
      <w:r w:rsidRPr="00911ED4">
        <w:rPr>
          <w:vertAlign w:val="superscript"/>
          <w:rtl/>
        </w:rPr>
        <w:t>)</w:t>
      </w:r>
      <w:r w:rsidRPr="00911ED4">
        <w:rPr>
          <w:rFonts w:ascii="Traditional Arabic" w:hAnsi="Traditional Arabic"/>
          <w:rtl/>
        </w:rPr>
        <w:t>، واختاره الفراء</w:t>
      </w:r>
      <w:r w:rsidRPr="00911ED4">
        <w:rPr>
          <w:vertAlign w:val="superscript"/>
          <w:rtl/>
        </w:rPr>
        <w:t>(</w:t>
      </w:r>
      <w:r w:rsidRPr="00911ED4">
        <w:rPr>
          <w:vertAlign w:val="superscript"/>
          <w:rtl/>
        </w:rPr>
        <w:footnoteReference w:id="672"/>
      </w:r>
      <w:r w:rsidRPr="00911ED4">
        <w:rPr>
          <w:vertAlign w:val="superscript"/>
          <w:rtl/>
        </w:rPr>
        <w:t>)</w:t>
      </w:r>
      <w:r w:rsidRPr="00911ED4">
        <w:rPr>
          <w:rFonts w:ascii="Traditional Arabic" w:hAnsi="Traditional Arabic"/>
          <w:rtl/>
        </w:rPr>
        <w:t>، قال</w:t>
      </w:r>
      <w:r w:rsidRPr="00911ED4">
        <w:rPr>
          <w:vertAlign w:val="superscript"/>
          <w:rtl/>
        </w:rPr>
        <w:t>(</w:t>
      </w:r>
      <w:r w:rsidRPr="00911ED4">
        <w:rPr>
          <w:vertAlign w:val="superscript"/>
          <w:rtl/>
        </w:rPr>
        <w:footnoteReference w:id="673"/>
      </w:r>
      <w:r w:rsidRPr="00911ED4">
        <w:rPr>
          <w:vertAlign w:val="superscript"/>
          <w:rtl/>
        </w:rPr>
        <w:t>)</w:t>
      </w:r>
      <w:r w:rsidRPr="00911ED4">
        <w:rPr>
          <w:rFonts w:ascii="Traditional Arabic" w:hAnsi="Traditional Arabic"/>
          <w:rtl/>
        </w:rPr>
        <w:t xml:space="preserve">: القبيل، والكفيل، والزعيم، سواء تقول: قبلت، وكفلت، وزعمت. والثالث: قبيلةً </w:t>
      </w:r>
      <w:r w:rsidR="00224A0A">
        <w:rPr>
          <w:rFonts w:ascii="QCF_BSML" w:hAnsi="QCF_BSML" w:cs="QCF_BSML" w:hint="cs"/>
          <w:color w:val="0D0D0D" w:themeColor="text1" w:themeTint="F2"/>
          <w:sz w:val="32"/>
          <w:szCs w:val="32"/>
          <w:rtl/>
          <w:lang w:eastAsia="en-US"/>
        </w:rPr>
        <w:t xml:space="preserve"> </w:t>
      </w:r>
      <w:r w:rsidR="00224A0A" w:rsidRPr="001277AD">
        <w:rPr>
          <w:rFonts w:hint="cs"/>
          <w:color w:val="0D0D0D" w:themeColor="text1" w:themeTint="F2"/>
          <w:sz w:val="32"/>
          <w:szCs w:val="32"/>
          <w:rtl/>
        </w:rPr>
        <w:t>[</w:t>
      </w:r>
      <w:r w:rsidR="00224A0A">
        <w:rPr>
          <w:rFonts w:hint="cs"/>
          <w:color w:val="0D0D0D" w:themeColor="text1" w:themeTint="F2"/>
          <w:sz w:val="32"/>
          <w:szCs w:val="32"/>
          <w:rtl/>
        </w:rPr>
        <w:t>91</w:t>
      </w:r>
      <w:r w:rsidR="00224A0A" w:rsidRPr="001277AD">
        <w:rPr>
          <w:rFonts w:hint="cs"/>
          <w:color w:val="0D0D0D" w:themeColor="text1" w:themeTint="F2"/>
          <w:sz w:val="32"/>
          <w:szCs w:val="32"/>
          <w:rtl/>
        </w:rPr>
        <w:t>]</w:t>
      </w:r>
      <w:r w:rsidR="00224A0A" w:rsidRPr="00A32F2C">
        <w:rPr>
          <w:rFonts w:ascii="Traditional Arabic" w:hAnsi="Traditional Arabic"/>
          <w:rtl/>
          <w:lang w:eastAsia="en-US"/>
        </w:rPr>
        <w:t xml:space="preserve"> </w:t>
      </w:r>
      <w:r w:rsidRPr="00911ED4">
        <w:rPr>
          <w:rFonts w:ascii="Traditional Arabic" w:hAnsi="Traditional Arabic"/>
          <w:rtl/>
        </w:rPr>
        <w:t>قبيلةً، كل قبيلة على حِدَتها، قاله الحسن</w:t>
      </w:r>
      <w:r w:rsidRPr="00911ED4">
        <w:rPr>
          <w:vertAlign w:val="superscript"/>
          <w:rtl/>
        </w:rPr>
        <w:t>(</w:t>
      </w:r>
      <w:r w:rsidRPr="00911ED4">
        <w:rPr>
          <w:vertAlign w:val="superscript"/>
          <w:rtl/>
        </w:rPr>
        <w:footnoteReference w:id="674"/>
      </w:r>
      <w:r w:rsidRPr="00911ED4">
        <w:rPr>
          <w:vertAlign w:val="superscript"/>
          <w:rtl/>
        </w:rPr>
        <w:t>)</w:t>
      </w:r>
      <w:r w:rsidRPr="00911ED4">
        <w:rPr>
          <w:rFonts w:ascii="Traditional Arabic" w:hAnsi="Traditional Arabic"/>
          <w:rtl/>
        </w:rPr>
        <w:t>، ومجاهد</w:t>
      </w:r>
      <w:r w:rsidRPr="00911ED4">
        <w:rPr>
          <w:vertAlign w:val="superscript"/>
          <w:rtl/>
        </w:rPr>
        <w:t>(</w:t>
      </w:r>
      <w:r w:rsidRPr="00911ED4">
        <w:rPr>
          <w:vertAlign w:val="superscript"/>
          <w:rtl/>
        </w:rPr>
        <w:footnoteReference w:id="675"/>
      </w:r>
      <w:r w:rsidRPr="00911ED4">
        <w:rPr>
          <w:vertAlign w:val="superscript"/>
          <w:rtl/>
        </w:rPr>
        <w:t>)</w:t>
      </w:r>
      <w:r w:rsidRPr="00911ED4">
        <w:rPr>
          <w:rFonts w:ascii="Traditional Arabic" w:hAnsi="Traditional Arabic"/>
          <w:rtl/>
        </w:rPr>
        <w:t>. فأما الزخرف، فالمراد به الذهب</w:t>
      </w:r>
      <w:r w:rsidRPr="00911ED4">
        <w:rPr>
          <w:vertAlign w:val="superscript"/>
          <w:rtl/>
        </w:rPr>
        <w:t>(</w:t>
      </w:r>
      <w:r w:rsidRPr="00911ED4">
        <w:rPr>
          <w:vertAlign w:val="superscript"/>
          <w:rtl/>
        </w:rPr>
        <w:footnoteReference w:id="676"/>
      </w:r>
      <w:r w:rsidRPr="00911ED4">
        <w:rPr>
          <w:vertAlign w:val="superscript"/>
          <w:rtl/>
        </w:rPr>
        <w:t>)</w:t>
      </w:r>
      <w:r w:rsidRPr="00911ED4">
        <w:rPr>
          <w:rFonts w:ascii="Traditional Arabic" w:hAnsi="Traditional Arabic"/>
          <w:rtl/>
        </w:rPr>
        <w:t xml:space="preserve">، وقد </w:t>
      </w:r>
      <w:r w:rsidRPr="00911ED4">
        <w:rPr>
          <w:rFonts w:ascii="Traditional Arabic" w:hAnsi="Traditional Arabic"/>
          <w:rtl/>
        </w:rPr>
        <w:lastRenderedPageBreak/>
        <w:t>شرحنا أصل هذه الكلمة في سورة يونس</w:t>
      </w:r>
      <w:r w:rsidRPr="00911ED4">
        <w:rPr>
          <w:vertAlign w:val="superscript"/>
          <w:rtl/>
        </w:rPr>
        <w:t>(</w:t>
      </w:r>
      <w:r w:rsidRPr="00911ED4">
        <w:rPr>
          <w:vertAlign w:val="superscript"/>
          <w:rtl/>
        </w:rPr>
        <w:footnoteReference w:id="677"/>
      </w:r>
      <w:r w:rsidRPr="00911ED4">
        <w:rPr>
          <w:vertAlign w:val="superscript"/>
          <w:rtl/>
        </w:rPr>
        <w:t>)</w:t>
      </w:r>
      <w:r w:rsidRPr="00911ED4">
        <w:rPr>
          <w:rFonts w:ascii="Traditional Arabic" w:hAnsi="Traditional Arabic"/>
          <w:rtl/>
        </w:rPr>
        <w:t>، و</w:t>
      </w:r>
      <w:r w:rsidRPr="00911ED4">
        <w:rPr>
          <w:rFonts w:ascii="QCF_BSML" w:hAnsi="QCF_BSML" w:cs="QCF_BSML"/>
          <w:sz w:val="32"/>
          <w:szCs w:val="32"/>
          <w:rtl/>
          <w:lang w:eastAsia="en-US"/>
        </w:rPr>
        <w:t xml:space="preserve"> ﭽ</w:t>
      </w:r>
      <w:r w:rsidRPr="00911ED4">
        <w:rPr>
          <w:rFonts w:ascii="QCF_P291" w:hAnsi="QCF_P291" w:cs="QCF_P291"/>
          <w:sz w:val="32"/>
          <w:szCs w:val="32"/>
          <w:rtl/>
          <w:lang w:eastAsia="en-US"/>
        </w:rPr>
        <w:t>ﮪ</w:t>
      </w:r>
      <w:r w:rsidRPr="00911ED4">
        <w:rPr>
          <w:rFonts w:ascii="QCF_BSML" w:hAnsi="QCF_BSML" w:cs="QCF_BSML"/>
          <w:sz w:val="32"/>
          <w:szCs w:val="32"/>
          <w:rtl/>
          <w:lang w:eastAsia="en-US"/>
        </w:rPr>
        <w:t>ﭼ</w:t>
      </w:r>
      <w:r w:rsidRPr="00911ED4">
        <w:rPr>
          <w:rFonts w:ascii="Traditional Arabic" w:hAnsi="Traditional Arabic"/>
          <w:rtl/>
        </w:rPr>
        <w:t>: بمعنى تصعد</w:t>
      </w:r>
      <w:r w:rsidRPr="00911ED4">
        <w:rPr>
          <w:rFonts w:ascii="Traditional Arabic" w:hAnsi="Traditional Arabic" w:hint="cs"/>
          <w:rtl/>
        </w:rPr>
        <w:t>,</w:t>
      </w:r>
      <w:r w:rsidRPr="00911ED4">
        <w:rPr>
          <w:rFonts w:ascii="Traditional Arabic" w:hAnsi="Traditional Arabic"/>
          <w:rtl/>
        </w:rPr>
        <w:t xml:space="preserve"> يقال: رَقِيتُ أرقَى رُقِيَّاً</w:t>
      </w:r>
      <w:r w:rsidRPr="00911ED4">
        <w:rPr>
          <w:vertAlign w:val="superscript"/>
          <w:rtl/>
        </w:rPr>
        <w:t>(</w:t>
      </w:r>
      <w:r w:rsidRPr="00911ED4">
        <w:rPr>
          <w:vertAlign w:val="superscript"/>
          <w:rtl/>
        </w:rPr>
        <w:footnoteReference w:id="678"/>
      </w:r>
      <w:r w:rsidRPr="00911ED4">
        <w:rPr>
          <w:vertAlign w:val="superscript"/>
          <w:rtl/>
        </w:rPr>
        <w:t>)</w:t>
      </w:r>
      <w:r w:rsidRPr="00911ED4">
        <w:rPr>
          <w:rFonts w:ascii="Traditional Arabic" w:hAnsi="Traditional Arabic"/>
          <w:rtl/>
        </w:rPr>
        <w:t>.</w:t>
      </w:r>
      <w:r>
        <w:rPr>
          <w:rFonts w:ascii="Traditional Arabic" w:hAnsi="Traditional Arabic" w:hint="cs"/>
          <w:rtl/>
        </w:rPr>
        <w:t xml:space="preserve"> </w:t>
      </w:r>
      <w:r w:rsidRPr="00911ED4">
        <w:rPr>
          <w:rFonts w:ascii="Traditional Arabic" w:hAnsi="Traditional Arabic"/>
          <w:rtl/>
        </w:rPr>
        <w:t>قوله تعالى:</w:t>
      </w:r>
      <w:r w:rsidRPr="00911ED4">
        <w:rPr>
          <w:rFonts w:ascii="QCF_P291" w:hAnsi="QCF_P291" w:cs="QCF_P291"/>
          <w:sz w:val="32"/>
          <w:szCs w:val="32"/>
          <w:rtl/>
          <w:lang w:eastAsia="en-US"/>
        </w:rPr>
        <w:t xml:space="preserve"> </w:t>
      </w:r>
      <w:r w:rsidRPr="00911ED4">
        <w:rPr>
          <w:rFonts w:ascii="QCF_BSML" w:hAnsi="QCF_BSML" w:cs="QCF_BSML"/>
          <w:sz w:val="32"/>
          <w:szCs w:val="32"/>
          <w:rtl/>
          <w:lang w:eastAsia="en-US"/>
        </w:rPr>
        <w:t>ﭽ</w:t>
      </w:r>
      <w:r w:rsidRPr="00911ED4">
        <w:rPr>
          <w:rFonts w:ascii="QCF_P291" w:hAnsi="QCF_P291" w:cs="QCF_P291"/>
          <w:sz w:val="32"/>
          <w:szCs w:val="32"/>
          <w:rtl/>
          <w:lang w:eastAsia="en-US"/>
        </w:rPr>
        <w:t xml:space="preserve"> ﮰ  ﮱ  ﯓ  ﯔ</w:t>
      </w:r>
      <w:r w:rsidRPr="00911ED4">
        <w:rPr>
          <w:rFonts w:ascii="QCF_BSML" w:hAnsi="QCF_BSML" w:cs="QCF_BSML"/>
          <w:sz w:val="32"/>
          <w:szCs w:val="32"/>
          <w:rtl/>
          <w:lang w:eastAsia="en-US"/>
        </w:rPr>
        <w:t>ﭼ</w:t>
      </w:r>
      <w:r w:rsidRPr="00911ED4">
        <w:rPr>
          <w:rFonts w:ascii="QCF_P291" w:hAnsi="QCF_P291" w:cs="QCF_P291" w:hint="cs"/>
          <w:sz w:val="32"/>
          <w:szCs w:val="32"/>
          <w:rtl/>
          <w:lang w:eastAsia="en-US"/>
        </w:rPr>
        <w:t xml:space="preserve">   </w:t>
      </w:r>
      <w:r w:rsidRPr="00911ED4">
        <w:rPr>
          <w:rFonts w:ascii="Traditional Arabic" w:hAnsi="Traditional Arabic"/>
          <w:rtl/>
        </w:rPr>
        <w:t>قال ابن عباس: كتاباً من رب العالمين إِلى فلان بن فلان يصبح عند كل واحد منا يقرؤه</w:t>
      </w:r>
      <w:r w:rsidRPr="00911ED4">
        <w:rPr>
          <w:vertAlign w:val="superscript"/>
          <w:rtl/>
        </w:rPr>
        <w:t>(</w:t>
      </w:r>
      <w:r w:rsidRPr="00911ED4">
        <w:rPr>
          <w:vertAlign w:val="superscript"/>
          <w:rtl/>
        </w:rPr>
        <w:footnoteReference w:id="679"/>
      </w:r>
      <w:r w:rsidRPr="00911ED4">
        <w:rPr>
          <w:vertAlign w:val="superscript"/>
          <w:rtl/>
        </w:rPr>
        <w:t>)</w:t>
      </w:r>
      <w:r w:rsidRPr="00911ED4">
        <w:rPr>
          <w:rFonts w:ascii="Traditional Arabic" w:hAnsi="Traditional Arabic"/>
          <w:rtl/>
        </w:rPr>
        <w:t>.</w:t>
      </w:r>
      <w:r w:rsidRPr="00911ED4">
        <w:rPr>
          <w:rFonts w:ascii="Traditional Arabic" w:hAnsi="Traditional Arabic" w:hint="cs"/>
          <w:rtl/>
        </w:rPr>
        <w:t xml:space="preserve"> </w:t>
      </w:r>
      <w:r w:rsidRPr="00911ED4">
        <w:rPr>
          <w:rFonts w:ascii="Traditional Arabic" w:hAnsi="Traditional Arabic"/>
          <w:rtl/>
        </w:rPr>
        <w:t xml:space="preserve">قوله تعالى: </w:t>
      </w:r>
      <w:r w:rsidRPr="00911ED4">
        <w:rPr>
          <w:rFonts w:ascii="QCF_BSML" w:hAnsi="QCF_BSML" w:cs="QCF_BSML"/>
          <w:sz w:val="32"/>
          <w:szCs w:val="32"/>
          <w:rtl/>
          <w:lang w:eastAsia="en-US"/>
        </w:rPr>
        <w:t>ﭽ</w:t>
      </w:r>
      <w:r w:rsidRPr="00911ED4">
        <w:rPr>
          <w:rFonts w:ascii="QCF_P291" w:hAnsi="QCF_P291" w:cs="QCF_P291"/>
          <w:sz w:val="32"/>
          <w:szCs w:val="32"/>
          <w:rtl/>
          <w:lang w:eastAsia="en-US"/>
        </w:rPr>
        <w:t xml:space="preserve"> ﯗ  ﯘ  ﯙ</w:t>
      </w:r>
      <w:r w:rsidRPr="00911ED4">
        <w:rPr>
          <w:rFonts w:ascii="QCF_BSML" w:hAnsi="QCF_BSML" w:cs="QCF_BSML"/>
          <w:sz w:val="32"/>
          <w:szCs w:val="32"/>
          <w:rtl/>
          <w:lang w:eastAsia="en-US"/>
        </w:rPr>
        <w:t>ﭼ</w:t>
      </w:r>
      <w:r w:rsidRPr="00911ED4">
        <w:rPr>
          <w:rFonts w:ascii="QCF_P291" w:hAnsi="QCF_P291" w:cs="QCF_P291"/>
          <w:sz w:val="32"/>
          <w:szCs w:val="32"/>
          <w:rtl/>
          <w:lang w:eastAsia="en-US"/>
        </w:rPr>
        <w:t xml:space="preserve">  </w:t>
      </w:r>
      <w:r w:rsidRPr="00911ED4">
        <w:rPr>
          <w:rFonts w:ascii="Traditional Arabic" w:hAnsi="Traditional Arabic"/>
          <w:rtl/>
        </w:rPr>
        <w:t xml:space="preserve">قرأ نافع، وعاصم، وأبو عمرو، وحمزة، والكسائي: </w:t>
      </w:r>
      <w:r w:rsidRPr="00911ED4">
        <w:rPr>
          <w:rFonts w:ascii="QCF_BSML" w:hAnsi="QCF_BSML" w:cs="QCF_BSML"/>
          <w:sz w:val="32"/>
          <w:szCs w:val="32"/>
          <w:rtl/>
          <w:lang w:eastAsia="en-US"/>
        </w:rPr>
        <w:t>ﭽ</w:t>
      </w:r>
      <w:r w:rsidRPr="00911ED4">
        <w:rPr>
          <w:rFonts w:ascii="QCF_P291" w:hAnsi="QCF_P291" w:cs="QCF_P291"/>
          <w:sz w:val="32"/>
          <w:szCs w:val="32"/>
          <w:rtl/>
          <w:lang w:eastAsia="en-US"/>
        </w:rPr>
        <w:t>ﯗ</w:t>
      </w:r>
      <w:r w:rsidRPr="00911ED4">
        <w:rPr>
          <w:rFonts w:ascii="QCF_BSML" w:hAnsi="QCF_BSML" w:cs="QCF_BSML"/>
          <w:sz w:val="32"/>
          <w:szCs w:val="32"/>
          <w:rtl/>
          <w:lang w:eastAsia="en-US"/>
        </w:rPr>
        <w:t>ﭼ</w:t>
      </w:r>
      <w:r w:rsidRPr="00911ED4">
        <w:rPr>
          <w:rFonts w:ascii="Traditional Arabic" w:hAnsi="Traditional Arabic"/>
          <w:rtl/>
        </w:rPr>
        <w:t>. وقرأ ابن كثير، وابن عامر: «قال»، وكذلك هي في مصاحف أهل مكة والشام</w:t>
      </w:r>
      <w:r w:rsidRPr="00911ED4">
        <w:rPr>
          <w:vertAlign w:val="superscript"/>
          <w:rtl/>
        </w:rPr>
        <w:t>(</w:t>
      </w:r>
      <w:r w:rsidRPr="00911ED4">
        <w:rPr>
          <w:vertAlign w:val="superscript"/>
          <w:rtl/>
        </w:rPr>
        <w:footnoteReference w:id="680"/>
      </w:r>
      <w:r w:rsidRPr="00911ED4">
        <w:rPr>
          <w:vertAlign w:val="superscript"/>
          <w:rtl/>
        </w:rPr>
        <w:t>)</w:t>
      </w:r>
      <w:r w:rsidRPr="00911ED4">
        <w:rPr>
          <w:rFonts w:ascii="Traditional Arabic" w:hAnsi="Traditional Arabic"/>
          <w:rtl/>
        </w:rPr>
        <w:t xml:space="preserve">، </w:t>
      </w:r>
      <w:r w:rsidRPr="00911ED4">
        <w:rPr>
          <w:rFonts w:ascii="QCF_BSML" w:hAnsi="QCF_BSML" w:cs="QCF_BSML"/>
          <w:sz w:val="32"/>
          <w:szCs w:val="32"/>
          <w:rtl/>
          <w:lang w:eastAsia="en-US"/>
        </w:rPr>
        <w:t>ﭽ</w:t>
      </w:r>
      <w:r w:rsidRPr="00911ED4">
        <w:rPr>
          <w:rFonts w:ascii="QCF_P291" w:hAnsi="QCF_P291" w:cs="QCF_P291"/>
          <w:sz w:val="32"/>
          <w:szCs w:val="32"/>
          <w:rtl/>
          <w:lang w:eastAsia="en-US"/>
        </w:rPr>
        <w:t xml:space="preserve"> ﯚ   ﯛ  ﯜ      ﯝ  ﯞ</w:t>
      </w:r>
      <w:r w:rsidRPr="00911ED4">
        <w:rPr>
          <w:rFonts w:ascii="QCF_BSML" w:hAnsi="QCF_BSML" w:cs="QCF_BSML"/>
          <w:sz w:val="32"/>
          <w:szCs w:val="32"/>
          <w:rtl/>
          <w:lang w:eastAsia="en-US"/>
        </w:rPr>
        <w:t>ﭼ</w:t>
      </w:r>
      <w:r w:rsidRPr="00911ED4">
        <w:rPr>
          <w:rFonts w:ascii="QCF_P291" w:hAnsi="QCF_P291" w:cs="QCF_P291"/>
          <w:sz w:val="32"/>
          <w:szCs w:val="32"/>
          <w:rtl/>
          <w:lang w:eastAsia="en-US"/>
        </w:rPr>
        <w:t xml:space="preserve">  </w:t>
      </w:r>
      <w:r w:rsidRPr="00911ED4">
        <w:rPr>
          <w:rFonts w:ascii="Traditional Arabic" w:hAnsi="Traditional Arabic"/>
          <w:rtl/>
        </w:rPr>
        <w:t>أي: أن هذه الأشياء ليست في قوى بشر</w:t>
      </w:r>
      <w:r w:rsidRPr="00911ED4">
        <w:rPr>
          <w:rFonts w:ascii="Traditional Arabic" w:hAnsi="Traditional Arabic"/>
          <w:vertAlign w:val="superscript"/>
        </w:rPr>
        <w:t>(</w:t>
      </w:r>
      <w:r w:rsidRPr="00911ED4">
        <w:rPr>
          <w:rFonts w:ascii="Traditional Arabic" w:hAnsi="Traditional Arabic"/>
          <w:vertAlign w:val="superscript"/>
        </w:rPr>
        <w:footnoteReference w:id="681"/>
      </w:r>
      <w:r w:rsidRPr="00911ED4">
        <w:rPr>
          <w:rFonts w:ascii="Traditional Arabic" w:hAnsi="Traditional Arabic"/>
          <w:vertAlign w:val="superscript"/>
        </w:rPr>
        <w:t>)</w:t>
      </w:r>
      <w:r w:rsidRPr="00911ED4">
        <w:rPr>
          <w:rFonts w:ascii="Traditional Arabic" w:hAnsi="Traditional Arabic"/>
          <w:vertAlign w:val="superscript"/>
          <w:rtl/>
        </w:rPr>
        <w:t>(</w:t>
      </w:r>
      <w:r w:rsidRPr="00911ED4">
        <w:rPr>
          <w:rFonts w:ascii="Traditional Arabic" w:hAnsi="Traditional Arabic"/>
          <w:vertAlign w:val="superscript"/>
          <w:rtl/>
        </w:rPr>
        <w:footnoteReference w:id="682"/>
      </w:r>
      <w:r w:rsidRPr="00911ED4">
        <w:rPr>
          <w:rFonts w:ascii="Traditional Arabic" w:hAnsi="Traditional Arabic"/>
          <w:vertAlign w:val="superscript"/>
          <w:rtl/>
        </w:rPr>
        <w:t>)</w:t>
      </w:r>
      <w:r w:rsidRPr="00911ED4">
        <w:rPr>
          <w:rFonts w:ascii="Traditional Arabic" w:hAnsi="Traditional Arabic"/>
          <w:rtl/>
        </w:rPr>
        <w:t>.</w:t>
      </w:r>
      <w:r w:rsidRPr="00911ED4">
        <w:rPr>
          <w:rFonts w:ascii="Traditional Arabic" w:hAnsi="Traditional Arabic" w:hint="cs"/>
          <w:rtl/>
        </w:rPr>
        <w:t xml:space="preserve"> </w:t>
      </w:r>
      <w:r w:rsidRPr="00911ED4">
        <w:rPr>
          <w:rFonts w:ascii="Traditional Arabic" w:hAnsi="Traditional Arabic"/>
          <w:rtl/>
        </w:rPr>
        <w:t>فإن قيل: لِم اقتصر على حكاية «قالوا»</w:t>
      </w:r>
      <w:r w:rsidRPr="00911ED4">
        <w:rPr>
          <w:vertAlign w:val="superscript"/>
          <w:rtl/>
        </w:rPr>
        <w:t>(</w:t>
      </w:r>
      <w:r w:rsidRPr="00911ED4">
        <w:rPr>
          <w:vertAlign w:val="superscript"/>
          <w:rtl/>
        </w:rPr>
        <w:footnoteReference w:id="683"/>
      </w:r>
      <w:r w:rsidRPr="00911ED4">
        <w:rPr>
          <w:vertAlign w:val="superscript"/>
          <w:rtl/>
        </w:rPr>
        <w:t>)</w:t>
      </w:r>
      <w:r w:rsidRPr="00911ED4">
        <w:rPr>
          <w:rFonts w:ascii="Traditional Arabic" w:hAnsi="Traditional Arabic"/>
          <w:rtl/>
        </w:rPr>
        <w:t>من غير إِيضاح الرد</w:t>
      </w:r>
      <w:r w:rsidRPr="00911ED4">
        <w:rPr>
          <w:vertAlign w:val="superscript"/>
          <w:rtl/>
        </w:rPr>
        <w:t>(</w:t>
      </w:r>
      <w:r w:rsidRPr="00911ED4">
        <w:rPr>
          <w:vertAlign w:val="superscript"/>
          <w:rtl/>
        </w:rPr>
        <w:footnoteReference w:id="684"/>
      </w:r>
      <w:r w:rsidRPr="00911ED4">
        <w:rPr>
          <w:vertAlign w:val="superscript"/>
          <w:rtl/>
        </w:rPr>
        <w:t>)</w:t>
      </w:r>
      <w:r w:rsidRPr="00911ED4">
        <w:rPr>
          <w:rFonts w:ascii="Traditional Arabic" w:hAnsi="Traditional Arabic"/>
          <w:rtl/>
        </w:rPr>
        <w:t>؟</w:t>
      </w:r>
      <w:r w:rsidRPr="00911ED4">
        <w:rPr>
          <w:rFonts w:ascii="Traditional Arabic" w:hAnsi="Traditional Arabic" w:hint="cs"/>
          <w:rtl/>
        </w:rPr>
        <w:t xml:space="preserve"> </w:t>
      </w:r>
      <w:r w:rsidRPr="00911ED4">
        <w:rPr>
          <w:rFonts w:ascii="Traditional Arabic" w:hAnsi="Traditional Arabic"/>
          <w:rtl/>
        </w:rPr>
        <w:t xml:space="preserve">فالجواب: أنه لما خصهم بقوله تعالى: </w:t>
      </w:r>
      <w:r w:rsidRPr="00911ED4">
        <w:rPr>
          <w:rFonts w:ascii="QCF_BSML" w:hAnsi="QCF_BSML" w:cs="QCF_BSML"/>
          <w:sz w:val="32"/>
          <w:szCs w:val="32"/>
          <w:rtl/>
          <w:lang w:eastAsia="en-US"/>
        </w:rPr>
        <w:t>ﭽ</w:t>
      </w:r>
      <w:r w:rsidRPr="00911ED4">
        <w:rPr>
          <w:rFonts w:ascii="QCF_P291" w:hAnsi="QCF_P291" w:cs="QCF_P291"/>
          <w:sz w:val="32"/>
          <w:szCs w:val="32"/>
          <w:rtl/>
          <w:lang w:eastAsia="en-US"/>
        </w:rPr>
        <w:t xml:space="preserve">ﭜ   ﭝ  ﭞ  ﭟ  ﭠ  ﭡ  ﭢ  ﭣ  ﭤ  ﭥ  ﭦ   </w:t>
      </w:r>
      <w:r w:rsidRPr="00911ED4">
        <w:rPr>
          <w:rFonts w:ascii="QCF_BSML" w:hAnsi="QCF_BSML" w:cs="QCF_BSML"/>
          <w:sz w:val="32"/>
          <w:szCs w:val="32"/>
          <w:rtl/>
          <w:lang w:eastAsia="en-US"/>
        </w:rPr>
        <w:t>ﭼ</w:t>
      </w:r>
      <w:r w:rsidRPr="00911ED4">
        <w:rPr>
          <w:rFonts w:ascii="Traditional Arabic" w:hAnsi="Traditional Arabic"/>
          <w:rtl/>
        </w:rPr>
        <w:t xml:space="preserve"> فلم يكن في وسعهم، عجَّزهم، فكأنه يقول: قد أوضحت</w:t>
      </w:r>
      <w:r w:rsidRPr="00911ED4">
        <w:rPr>
          <w:vertAlign w:val="superscript"/>
          <w:rtl/>
        </w:rPr>
        <w:t>(</w:t>
      </w:r>
      <w:r w:rsidRPr="00911ED4">
        <w:rPr>
          <w:vertAlign w:val="superscript"/>
          <w:rtl/>
        </w:rPr>
        <w:footnoteReference w:id="685"/>
      </w:r>
      <w:r w:rsidRPr="00911ED4">
        <w:rPr>
          <w:vertAlign w:val="superscript"/>
          <w:rtl/>
        </w:rPr>
        <w:t>)</w:t>
      </w:r>
      <w:r w:rsidRPr="00911ED4">
        <w:rPr>
          <w:rFonts w:ascii="Traditional Arabic" w:hAnsi="Traditional Arabic"/>
          <w:rtl/>
        </w:rPr>
        <w:t xml:space="preserve"> لكم بما سبق من الآيات ما يدل على نبوَّتي، ومن ذلك التحدِّي بمثل هذا القرآن، فأما عَنَتُكم فليس في وسعي، ولأنهم ألحُّوا عليه في هذه الأشياء، ولم يسألوه أن يسألَ ربه، فردَّ قولهم بكونه بشراً، فكفى ذلك في الرّدّ.</w:t>
      </w:r>
    </w:p>
    <w:p w:rsidR="00911ED4" w:rsidRPr="00911ED4" w:rsidRDefault="00911ED4" w:rsidP="00911ED4">
      <w:pPr>
        <w:ind w:firstLine="0"/>
        <w:rPr>
          <w:rFonts w:ascii="Traditional Arabic" w:hAnsi="Traditional Arabic"/>
          <w:sz w:val="32"/>
          <w:szCs w:val="32"/>
          <w:rtl/>
        </w:rPr>
      </w:pPr>
      <w:r w:rsidRPr="00911ED4">
        <w:rPr>
          <w:rFonts w:ascii="QCF_BSML" w:hAnsi="QCF_BSML" w:cs="QCF_BSML"/>
          <w:sz w:val="32"/>
          <w:szCs w:val="32"/>
          <w:rtl/>
          <w:lang w:eastAsia="en-US"/>
        </w:rPr>
        <w:t xml:space="preserve">ﭽ </w:t>
      </w:r>
      <w:r w:rsidRPr="00911ED4">
        <w:rPr>
          <w:rFonts w:ascii="QCF_P291" w:hAnsi="QCF_P291" w:cs="QCF_P291"/>
          <w:sz w:val="32"/>
          <w:szCs w:val="32"/>
          <w:rtl/>
          <w:lang w:eastAsia="en-US"/>
        </w:rPr>
        <w:t xml:space="preserve">ﯠ  ﯡ  ﯢ  ﯣ  ﯤ  ﯥ  ﯦ   ﯧ  ﯨ    ﯩ  ﯪ  ﯫ  ﯬ  ﯭ  ﯮ  ﯯ  ﯰ  ﯱ  ﯲ          ﯳ  ﯴ  ﯵ  ﯶ  ﯷ  ﯸ  ﯹ   ﯺ  ﯻ  ﯼ  ﯽ  ﯾ  ﯿ  ﰀ  ﰁ   ﰂ  ﰃ  </w:t>
      </w:r>
      <w:r w:rsidRPr="00911ED4">
        <w:rPr>
          <w:rFonts w:ascii="QCF_P291" w:hAnsi="QCF_P291" w:cs="QCF_P291"/>
          <w:color w:val="auto"/>
          <w:sz w:val="32"/>
          <w:szCs w:val="32"/>
          <w:rtl/>
          <w:lang w:eastAsia="en-US"/>
        </w:rPr>
        <w:t xml:space="preserve">ﰄﰅ  ﰆ  ﰇ  </w:t>
      </w:r>
      <w:r w:rsidRPr="00911ED4">
        <w:rPr>
          <w:rFonts w:ascii="QCF_P291" w:hAnsi="QCF_P291" w:cs="QCF_P291"/>
          <w:sz w:val="32"/>
          <w:szCs w:val="32"/>
          <w:rtl/>
          <w:lang w:eastAsia="en-US"/>
        </w:rPr>
        <w:t xml:space="preserve">ﰈ  ﰉ  ﰊ  ﰋ   </w:t>
      </w:r>
      <w:r w:rsidRPr="00911ED4">
        <w:rPr>
          <w:rFonts w:ascii="QCF_BSML" w:hAnsi="QCF_BSML" w:cs="QCF_BSML"/>
          <w:sz w:val="32"/>
          <w:szCs w:val="32"/>
          <w:rtl/>
          <w:lang w:eastAsia="en-US"/>
        </w:rPr>
        <w:t>ﭼ</w:t>
      </w:r>
      <w:r w:rsidRPr="00911ED4">
        <w:rPr>
          <w:rFonts w:ascii="Arial" w:hAnsi="Arial" w:cs="Arial"/>
          <w:sz w:val="32"/>
          <w:szCs w:val="32"/>
          <w:rtl/>
          <w:lang w:eastAsia="en-US"/>
        </w:rPr>
        <w:t xml:space="preserve"> </w:t>
      </w:r>
    </w:p>
    <w:p w:rsidR="00911ED4" w:rsidRPr="00911ED4" w:rsidRDefault="00911ED4" w:rsidP="00E1573D">
      <w:pPr>
        <w:ind w:firstLine="0"/>
        <w:rPr>
          <w:rFonts w:ascii="Traditional Arabic" w:hAnsi="Traditional Arabic"/>
          <w:rtl/>
        </w:rPr>
      </w:pPr>
      <w:r w:rsidRPr="00911ED4">
        <w:rPr>
          <w:rFonts w:ascii="Traditional Arabic" w:hAnsi="Traditional Arabic"/>
          <w:rtl/>
        </w:rPr>
        <w:lastRenderedPageBreak/>
        <w:t xml:space="preserve">قوله تعالى: </w:t>
      </w:r>
      <w:r w:rsidRPr="00911ED4">
        <w:rPr>
          <w:rFonts w:ascii="QCF_BSML" w:hAnsi="QCF_BSML" w:cs="QCF_BSML"/>
          <w:sz w:val="32"/>
          <w:szCs w:val="32"/>
          <w:rtl/>
          <w:lang w:eastAsia="en-US"/>
        </w:rPr>
        <w:t>ﭽ</w:t>
      </w:r>
      <w:r w:rsidRPr="00911ED4">
        <w:rPr>
          <w:rFonts w:ascii="QCF_P291" w:hAnsi="QCF_P291" w:cs="QCF_P291"/>
          <w:sz w:val="32"/>
          <w:szCs w:val="32"/>
          <w:rtl/>
          <w:lang w:eastAsia="en-US"/>
        </w:rPr>
        <w:t>ﯠ  ﯡ  ﯢ  ﯣ  ﯤ</w:t>
      </w:r>
      <w:r w:rsidRPr="00911ED4">
        <w:rPr>
          <w:rFonts w:ascii="QCF_BSML" w:hAnsi="QCF_BSML" w:cs="QCF_BSML"/>
          <w:sz w:val="32"/>
          <w:szCs w:val="32"/>
          <w:rtl/>
          <w:lang w:eastAsia="en-US"/>
        </w:rPr>
        <w:t xml:space="preserve"> ﭼ</w:t>
      </w:r>
      <w:r w:rsidRPr="00911ED4">
        <w:rPr>
          <w:rFonts w:ascii="QCF_P291" w:hAnsi="QCF_P291" w:cs="QCF_P291"/>
          <w:sz w:val="32"/>
          <w:szCs w:val="32"/>
          <w:rtl/>
          <w:lang w:eastAsia="en-US"/>
        </w:rPr>
        <w:t xml:space="preserve">  </w:t>
      </w:r>
      <w:r w:rsidRPr="00911ED4">
        <w:rPr>
          <w:rFonts w:ascii="Traditional Arabic" w:hAnsi="Traditional Arabic"/>
          <w:rtl/>
        </w:rPr>
        <w:t>قال ابن عباس: يريد أهل مكة</w:t>
      </w:r>
      <w:r w:rsidRPr="00911ED4">
        <w:rPr>
          <w:vertAlign w:val="superscript"/>
          <w:rtl/>
        </w:rPr>
        <w:t>(</w:t>
      </w:r>
      <w:r w:rsidRPr="00911ED4">
        <w:rPr>
          <w:vertAlign w:val="superscript"/>
          <w:rtl/>
        </w:rPr>
        <w:footnoteReference w:id="686"/>
      </w:r>
      <w:r w:rsidRPr="00911ED4">
        <w:rPr>
          <w:vertAlign w:val="superscript"/>
          <w:rtl/>
        </w:rPr>
        <w:t>)</w:t>
      </w:r>
      <w:r w:rsidRPr="00911ED4">
        <w:rPr>
          <w:rFonts w:ascii="Traditional Arabic" w:hAnsi="Traditional Arabic"/>
          <w:rtl/>
        </w:rPr>
        <w:t xml:space="preserve">. قال المفسرون: ومعنى الآية: وما منعهم من الإِيمان </w:t>
      </w:r>
      <w:r w:rsidRPr="00911ED4">
        <w:rPr>
          <w:rFonts w:ascii="QCF_BSML" w:hAnsi="QCF_BSML" w:cs="QCF_BSML"/>
          <w:sz w:val="32"/>
          <w:szCs w:val="32"/>
          <w:rtl/>
          <w:lang w:eastAsia="en-US"/>
        </w:rPr>
        <w:t>ﭽ</w:t>
      </w:r>
      <w:r w:rsidRPr="00911ED4">
        <w:rPr>
          <w:rFonts w:ascii="QCF_P291" w:hAnsi="QCF_P291" w:cs="QCF_P291"/>
          <w:sz w:val="32"/>
          <w:szCs w:val="32"/>
          <w:rtl/>
          <w:lang w:eastAsia="en-US"/>
        </w:rPr>
        <w:t xml:space="preserve">  ﯥ  ﯦ   ﯧ</w:t>
      </w:r>
      <w:r w:rsidRPr="00911ED4">
        <w:rPr>
          <w:rFonts w:ascii="QCF_BSML" w:hAnsi="QCF_BSML" w:cs="QCF_BSML"/>
          <w:sz w:val="32"/>
          <w:szCs w:val="32"/>
          <w:rtl/>
          <w:lang w:eastAsia="en-US"/>
        </w:rPr>
        <w:t xml:space="preserve"> ﭼ</w:t>
      </w:r>
      <w:r w:rsidRPr="00911ED4">
        <w:rPr>
          <w:rFonts w:ascii="QCF_P291" w:hAnsi="QCF_P291" w:cs="QCF_P291"/>
          <w:sz w:val="32"/>
          <w:szCs w:val="32"/>
          <w:rtl/>
          <w:lang w:eastAsia="en-US"/>
        </w:rPr>
        <w:t xml:space="preserve">  </w:t>
      </w:r>
      <w:r w:rsidRPr="00911ED4">
        <w:rPr>
          <w:rFonts w:ascii="Traditional Arabic" w:hAnsi="Traditional Arabic"/>
          <w:rtl/>
        </w:rPr>
        <w:t xml:space="preserve">وهو البيان والإِرشاد في القرآن </w:t>
      </w:r>
      <w:r w:rsidR="00E1573D">
        <w:rPr>
          <w:rFonts w:ascii="Traditional Arabic" w:hAnsi="Traditional Arabic" w:hint="cs"/>
          <w:rtl/>
        </w:rPr>
        <w:t xml:space="preserve">إلا </w:t>
      </w:r>
      <w:r w:rsidRPr="00911ED4">
        <w:rPr>
          <w:rFonts w:ascii="Traditional Arabic" w:hAnsi="Traditional Arabic"/>
          <w:rtl/>
        </w:rPr>
        <w:t xml:space="preserve">قولهم في التعجب والإِنكار: </w:t>
      </w:r>
      <w:r w:rsidRPr="00911ED4">
        <w:rPr>
          <w:rFonts w:ascii="QCF_BSML" w:hAnsi="QCF_BSML" w:cs="QCF_BSML"/>
          <w:sz w:val="32"/>
          <w:szCs w:val="32"/>
          <w:rtl/>
          <w:lang w:eastAsia="en-US"/>
        </w:rPr>
        <w:t>ﭽ</w:t>
      </w:r>
      <w:r w:rsidRPr="00911ED4">
        <w:rPr>
          <w:rFonts w:ascii="QCF_P291" w:hAnsi="QCF_P291" w:cs="QCF_P291"/>
          <w:sz w:val="32"/>
          <w:szCs w:val="32"/>
          <w:rtl/>
          <w:lang w:eastAsia="en-US"/>
        </w:rPr>
        <w:t xml:space="preserve">  ﯫ  ﯬ  ﯭ  ﯮ</w:t>
      </w:r>
      <w:r w:rsidRPr="00911ED4">
        <w:rPr>
          <w:rFonts w:ascii="QCF_BSML" w:hAnsi="QCF_BSML" w:cs="QCF_BSML"/>
          <w:sz w:val="32"/>
          <w:szCs w:val="32"/>
          <w:rtl/>
          <w:lang w:eastAsia="en-US"/>
        </w:rPr>
        <w:t xml:space="preserve"> ﭼ</w:t>
      </w:r>
      <w:r w:rsidRPr="00911ED4">
        <w:rPr>
          <w:rFonts w:ascii="QCF_P291" w:hAnsi="QCF_P291" w:cs="QCF_P291"/>
          <w:sz w:val="32"/>
          <w:szCs w:val="32"/>
          <w:rtl/>
          <w:lang w:eastAsia="en-US"/>
        </w:rPr>
        <w:t xml:space="preserve">  </w:t>
      </w:r>
      <w:r w:rsidRPr="00911ED4">
        <w:rPr>
          <w:rFonts w:ascii="Traditional Arabic" w:hAnsi="Traditional Arabic"/>
          <w:rtl/>
        </w:rPr>
        <w:t>وفي الآية اختصار، تقديره: هلا بعث الله مَلَكاً رسولاً</w:t>
      </w:r>
      <w:r w:rsidRPr="00911ED4">
        <w:rPr>
          <w:vertAlign w:val="superscript"/>
          <w:rtl/>
        </w:rPr>
        <w:t>(</w:t>
      </w:r>
      <w:r w:rsidRPr="00911ED4">
        <w:rPr>
          <w:vertAlign w:val="superscript"/>
          <w:rtl/>
        </w:rPr>
        <w:footnoteReference w:id="687"/>
      </w:r>
      <w:r w:rsidRPr="00911ED4">
        <w:rPr>
          <w:vertAlign w:val="superscript"/>
          <w:rtl/>
        </w:rPr>
        <w:t>)</w:t>
      </w:r>
      <w:r w:rsidRPr="00911ED4">
        <w:rPr>
          <w:rFonts w:ascii="Traditional Arabic" w:hAnsi="Traditional Arabic"/>
          <w:rtl/>
        </w:rPr>
        <w:t xml:space="preserve">، فأُجيبوا على ذلك بقوله تعالى: </w:t>
      </w:r>
      <w:r w:rsidRPr="00911ED4">
        <w:rPr>
          <w:rFonts w:ascii="QCF_BSML" w:hAnsi="QCF_BSML" w:cs="QCF_BSML"/>
          <w:sz w:val="32"/>
          <w:szCs w:val="32"/>
          <w:rtl/>
          <w:lang w:eastAsia="en-US"/>
        </w:rPr>
        <w:t>ﭽ</w:t>
      </w:r>
      <w:r w:rsidRPr="00911ED4">
        <w:rPr>
          <w:rFonts w:ascii="QCF_P291" w:hAnsi="QCF_P291" w:cs="QCF_P291"/>
          <w:sz w:val="32"/>
          <w:szCs w:val="32"/>
          <w:rtl/>
          <w:lang w:eastAsia="en-US"/>
        </w:rPr>
        <w:t xml:space="preserve"> ﯰ  ﯱ  ﯲ</w:t>
      </w:r>
      <w:r w:rsidRPr="00911ED4">
        <w:rPr>
          <w:rFonts w:ascii="QCF_P291" w:hAnsi="QCF_P291" w:cs="QCF_P291" w:hint="cs"/>
          <w:sz w:val="32"/>
          <w:szCs w:val="32"/>
          <w:rtl/>
          <w:lang w:eastAsia="en-US"/>
        </w:rPr>
        <w:t xml:space="preserve"> </w:t>
      </w:r>
      <w:r w:rsidRPr="00911ED4">
        <w:rPr>
          <w:rFonts w:ascii="QCF_P291" w:hAnsi="QCF_P291" w:cs="QCF_P291"/>
          <w:sz w:val="32"/>
          <w:szCs w:val="32"/>
          <w:rtl/>
          <w:lang w:eastAsia="en-US"/>
        </w:rPr>
        <w:t xml:space="preserve">  ﯳ  ﯴ  ﯵ  ﯶ  ﯷ</w:t>
      </w:r>
      <w:r w:rsidRPr="00911ED4">
        <w:rPr>
          <w:rFonts w:ascii="QCF_BSML" w:hAnsi="QCF_BSML" w:cs="QCF_BSML"/>
          <w:sz w:val="32"/>
          <w:szCs w:val="32"/>
          <w:rtl/>
          <w:lang w:eastAsia="en-US"/>
        </w:rPr>
        <w:t xml:space="preserve"> ﭼ</w:t>
      </w:r>
      <w:r w:rsidRPr="00911ED4">
        <w:rPr>
          <w:rFonts w:ascii="QCF_P291" w:hAnsi="QCF_P291" w:cs="QCF_P291"/>
          <w:sz w:val="32"/>
          <w:szCs w:val="32"/>
          <w:rtl/>
          <w:lang w:eastAsia="en-US"/>
        </w:rPr>
        <w:t xml:space="preserve">  </w:t>
      </w:r>
      <w:r w:rsidRPr="00911ED4">
        <w:rPr>
          <w:rFonts w:ascii="Traditional Arabic" w:hAnsi="Traditional Arabic"/>
          <w:rtl/>
        </w:rPr>
        <w:t>أي: مستوطنين الأرض</w:t>
      </w:r>
      <w:r w:rsidRPr="00911ED4">
        <w:rPr>
          <w:vertAlign w:val="superscript"/>
          <w:rtl/>
        </w:rPr>
        <w:t>(</w:t>
      </w:r>
      <w:r w:rsidRPr="00911ED4">
        <w:rPr>
          <w:vertAlign w:val="superscript"/>
          <w:rtl/>
        </w:rPr>
        <w:footnoteReference w:id="688"/>
      </w:r>
      <w:r w:rsidRPr="00911ED4">
        <w:rPr>
          <w:vertAlign w:val="superscript"/>
          <w:rtl/>
        </w:rPr>
        <w:t>)</w:t>
      </w:r>
      <w:r w:rsidRPr="00911ED4">
        <w:rPr>
          <w:rFonts w:ascii="Traditional Arabic" w:hAnsi="Traditional Arabic"/>
          <w:rtl/>
        </w:rPr>
        <w:t>. ومعنى الطمأنينة: السكون والمراد من الكلام أن رسول كل جنس ينبغي أن يكون منهم</w:t>
      </w:r>
      <w:r w:rsidRPr="00911ED4">
        <w:rPr>
          <w:vertAlign w:val="superscript"/>
          <w:rtl/>
        </w:rPr>
        <w:t>(</w:t>
      </w:r>
      <w:r w:rsidRPr="00911ED4">
        <w:rPr>
          <w:vertAlign w:val="superscript"/>
          <w:rtl/>
        </w:rPr>
        <w:footnoteReference w:id="689"/>
      </w:r>
      <w:r w:rsidRPr="00911ED4">
        <w:rPr>
          <w:vertAlign w:val="superscript"/>
          <w:rtl/>
        </w:rPr>
        <w:t>)</w:t>
      </w:r>
      <w:r w:rsidRPr="00911ED4">
        <w:rPr>
          <w:rFonts w:ascii="Traditional Arabic" w:hAnsi="Traditional Arabic"/>
          <w:rtl/>
        </w:rPr>
        <w:t xml:space="preserve">. قوله تعالى: </w:t>
      </w:r>
      <w:r w:rsidRPr="00911ED4">
        <w:rPr>
          <w:rFonts w:ascii="QCF_BSML" w:hAnsi="QCF_BSML" w:cs="QCF_BSML"/>
          <w:sz w:val="32"/>
          <w:szCs w:val="32"/>
          <w:rtl/>
          <w:lang w:eastAsia="en-US"/>
        </w:rPr>
        <w:t>ﭽ</w:t>
      </w:r>
      <w:r w:rsidRPr="00911ED4">
        <w:rPr>
          <w:rFonts w:ascii="QCF_P291" w:hAnsi="QCF_P291" w:cs="QCF_P291"/>
          <w:sz w:val="32"/>
          <w:szCs w:val="32"/>
          <w:rtl/>
          <w:lang w:eastAsia="en-US"/>
        </w:rPr>
        <w:t xml:space="preserve"> ﯿ  ﰀ  ﰁ   ﰂ</w:t>
      </w:r>
      <w:r w:rsidRPr="00911ED4">
        <w:rPr>
          <w:rFonts w:ascii="QCF_BSML" w:hAnsi="QCF_BSML" w:cs="QCF_BSML"/>
          <w:sz w:val="32"/>
          <w:szCs w:val="32"/>
          <w:rtl/>
          <w:lang w:eastAsia="en-US"/>
        </w:rPr>
        <w:t xml:space="preserve"> ﭼ</w:t>
      </w:r>
      <w:r w:rsidRPr="00911ED4">
        <w:rPr>
          <w:rFonts w:ascii="QCF_P291" w:hAnsi="QCF_P291" w:cs="QCF_P291"/>
          <w:sz w:val="32"/>
          <w:szCs w:val="32"/>
          <w:rtl/>
          <w:lang w:eastAsia="en-US"/>
        </w:rPr>
        <w:t xml:space="preserve">  </w:t>
      </w:r>
      <w:r w:rsidRPr="00911ED4">
        <w:rPr>
          <w:rFonts w:ascii="Traditional Arabic" w:hAnsi="Traditional Arabic"/>
          <w:rtl/>
        </w:rPr>
        <w:t>قد فسرناه في الرعد</w:t>
      </w:r>
      <w:r w:rsidRPr="00911ED4">
        <w:rPr>
          <w:vertAlign w:val="superscript"/>
          <w:rtl/>
        </w:rPr>
        <w:t>(</w:t>
      </w:r>
      <w:r w:rsidRPr="00911ED4">
        <w:rPr>
          <w:vertAlign w:val="superscript"/>
          <w:rtl/>
        </w:rPr>
        <w:footnoteReference w:id="690"/>
      </w:r>
      <w:r w:rsidRPr="00911ED4">
        <w:rPr>
          <w:vertAlign w:val="superscript"/>
          <w:rtl/>
        </w:rPr>
        <w:t>)</w:t>
      </w:r>
      <w:r w:rsidRPr="00911ED4">
        <w:rPr>
          <w:rFonts w:ascii="QCF_BSML" w:hAnsi="QCF_BSML" w:cs="QCF_BSML"/>
          <w:sz w:val="32"/>
          <w:szCs w:val="32"/>
          <w:rtl/>
          <w:lang w:eastAsia="en-US"/>
        </w:rPr>
        <w:t>ﭽ</w:t>
      </w:r>
      <w:r w:rsidRPr="00911ED4">
        <w:rPr>
          <w:rFonts w:ascii="QCF_P291" w:hAnsi="QCF_P291" w:cs="QCF_P291"/>
          <w:sz w:val="32"/>
          <w:szCs w:val="32"/>
          <w:rtl/>
          <w:lang w:eastAsia="en-US"/>
        </w:rPr>
        <w:t xml:space="preserve"> ﰆ  ﰇ  ﰈ  ﰉ  ﰊ</w:t>
      </w:r>
      <w:r w:rsidRPr="00911ED4">
        <w:rPr>
          <w:rFonts w:ascii="QCF_BSML" w:hAnsi="QCF_BSML" w:cs="QCF_BSML"/>
          <w:sz w:val="32"/>
          <w:szCs w:val="32"/>
          <w:rtl/>
          <w:lang w:eastAsia="en-US"/>
        </w:rPr>
        <w:t xml:space="preserve"> ﭼ</w:t>
      </w:r>
      <w:r w:rsidRPr="00911ED4">
        <w:rPr>
          <w:rFonts w:ascii="QCF_P291" w:hAnsi="QCF_P291" w:cs="QCF_P291"/>
          <w:sz w:val="32"/>
          <w:szCs w:val="32"/>
          <w:rtl/>
          <w:lang w:eastAsia="en-US"/>
        </w:rPr>
        <w:t xml:space="preserve">  </w:t>
      </w:r>
      <w:r w:rsidRPr="00911ED4">
        <w:rPr>
          <w:rFonts w:ascii="Traditional Arabic" w:hAnsi="Traditional Arabic"/>
          <w:rtl/>
        </w:rPr>
        <w:t>قال مقاتل:</w:t>
      </w:r>
      <w:r w:rsidRPr="00911ED4">
        <w:rPr>
          <w:rFonts w:ascii="Traditional Arabic" w:hAnsi="Traditional Arabic" w:hint="cs"/>
          <w:rtl/>
        </w:rPr>
        <w:t xml:space="preserve"> </w:t>
      </w:r>
      <w:r w:rsidRPr="00911ED4">
        <w:rPr>
          <w:rFonts w:ascii="Traditional Arabic" w:hAnsi="Traditional Arabic"/>
          <w:rtl/>
        </w:rPr>
        <w:t>حين اختصّ الله</w:t>
      </w:r>
      <w:r w:rsidRPr="00911ED4">
        <w:rPr>
          <w:vertAlign w:val="superscript"/>
          <w:rtl/>
        </w:rPr>
        <w:t>(</w:t>
      </w:r>
      <w:r w:rsidRPr="00911ED4">
        <w:rPr>
          <w:vertAlign w:val="superscript"/>
          <w:rtl/>
        </w:rPr>
        <w:footnoteReference w:id="691"/>
      </w:r>
      <w:r w:rsidRPr="00911ED4">
        <w:rPr>
          <w:vertAlign w:val="superscript"/>
          <w:rtl/>
        </w:rPr>
        <w:t>)</w:t>
      </w:r>
      <w:r w:rsidRPr="00911ED4">
        <w:rPr>
          <w:rFonts w:ascii="Traditional Arabic" w:hAnsi="Traditional Arabic"/>
          <w:rtl/>
        </w:rPr>
        <w:t xml:space="preserve"> محمّدا بالرّسالة</w:t>
      </w:r>
      <w:r w:rsidRPr="00911ED4">
        <w:rPr>
          <w:vertAlign w:val="superscript"/>
          <w:rtl/>
        </w:rPr>
        <w:t>(</w:t>
      </w:r>
      <w:r w:rsidRPr="00911ED4">
        <w:rPr>
          <w:vertAlign w:val="superscript"/>
          <w:rtl/>
        </w:rPr>
        <w:footnoteReference w:id="692"/>
      </w:r>
      <w:r w:rsidRPr="00911ED4">
        <w:rPr>
          <w:vertAlign w:val="superscript"/>
          <w:rtl/>
        </w:rPr>
        <w:t>)</w:t>
      </w:r>
      <w:r w:rsidRPr="00911ED4">
        <w:rPr>
          <w:rFonts w:ascii="Traditional Arabic" w:hAnsi="Traditional Arabic"/>
          <w:rtl/>
        </w:rPr>
        <w:t>.</w:t>
      </w:r>
    </w:p>
    <w:p w:rsidR="00E667B0" w:rsidRDefault="00911ED4" w:rsidP="00E667B0">
      <w:pPr>
        <w:ind w:firstLine="0"/>
        <w:rPr>
          <w:rFonts w:ascii="Traditional Arabic" w:hAnsi="Traditional Arabic"/>
          <w:rtl/>
        </w:rPr>
      </w:pPr>
      <w:r w:rsidRPr="00911ED4">
        <w:rPr>
          <w:rFonts w:ascii="QCF_BSML" w:hAnsi="QCF_BSML" w:cs="QCF_BSML"/>
          <w:color w:val="auto"/>
          <w:sz w:val="32"/>
          <w:szCs w:val="32"/>
          <w:rtl/>
          <w:lang w:eastAsia="en-US"/>
        </w:rPr>
        <w:t xml:space="preserve">ﭽ </w:t>
      </w:r>
      <w:r w:rsidRPr="00911ED4">
        <w:rPr>
          <w:rFonts w:ascii="QCF_P292" w:hAnsi="QCF_P292" w:cs="QCF_P292"/>
          <w:color w:val="auto"/>
          <w:sz w:val="32"/>
          <w:szCs w:val="32"/>
          <w:rtl/>
          <w:lang w:eastAsia="en-US"/>
        </w:rPr>
        <w:t>ﭑ  ﭒ  ﭓ  ﭔ  ﭕﭖ  ﭗ  ﭘ  ﭙ  ﭚ  ﭛ  ﭜ   ﭝ  ﭞﭟ  ﭠ  ﭡ  ﭢ  ﭣ  ﭤ  ﭥ  ﭦ   ﭧﭨ  ﭩ  ﭪﭫ  ﭬ  ﭭ  ﭮ  ﭯ  ﭰ   ﭱ  ﭲ  ﭳ  ﭴ        ﭵ  ﭶ  ﭷ  ﭸ            ﭹ   ﭺ  ﭻ  ﭼ  ﭽ  ﭾ  ﭿ  ﮀ  ﮁ  ﮂ  ﮃ  ﮄ   ﮅ  ﮆ  ﮇ  ﮈ  ﮉ  ﮊ  ﮋ  ﮌ  ﮍ   ﮎ  ﮏ   ﮐ  ﮑ  ﮒ  ﮓ  ﮔ  ﮕ  ﮖ  ﮗ ﮘ   ﮙ  ﮚ   ﮛ  ﮜ  ﮝ  ﮞ  ﮟ  ﮠ  ﮡ  ﮢ   ﮣﮤ  ﮥ  ﮦ  ﮧ ﮨ</w:t>
      </w:r>
      <w:r w:rsidRPr="00911ED4">
        <w:rPr>
          <w:rFonts w:ascii="QCF_BSML" w:hAnsi="QCF_BSML" w:cs="QCF_BSML"/>
          <w:color w:val="auto"/>
          <w:sz w:val="32"/>
          <w:szCs w:val="32"/>
          <w:rtl/>
          <w:lang w:eastAsia="en-US"/>
        </w:rPr>
        <w:t>ﭼ</w:t>
      </w:r>
      <w:r w:rsidRPr="00911ED4">
        <w:rPr>
          <w:rFonts w:ascii="Arial" w:hAnsi="Arial" w:cs="Arial"/>
          <w:color w:val="auto"/>
          <w:sz w:val="32"/>
          <w:szCs w:val="32"/>
          <w:rtl/>
          <w:lang w:eastAsia="en-US"/>
        </w:rPr>
        <w:t xml:space="preserve"> </w:t>
      </w:r>
    </w:p>
    <w:p w:rsidR="006317B3" w:rsidRDefault="00911ED4" w:rsidP="00E667B0">
      <w:pPr>
        <w:ind w:firstLine="0"/>
        <w:rPr>
          <w:rFonts w:ascii="Traditional Arabic" w:hAnsi="Traditional Arabic"/>
          <w:rtl/>
        </w:rPr>
      </w:pPr>
      <w:r w:rsidRPr="00911ED4">
        <w:rPr>
          <w:rFonts w:ascii="Traditional Arabic" w:hAnsi="Traditional Arabic"/>
          <w:rtl/>
        </w:rPr>
        <w:t xml:space="preserve">قوله تعالى: </w:t>
      </w:r>
      <w:r w:rsidRPr="00911ED4">
        <w:rPr>
          <w:rFonts w:ascii="QCF_BSML" w:hAnsi="QCF_BSML" w:cs="QCF_BSML"/>
          <w:sz w:val="32"/>
          <w:szCs w:val="32"/>
          <w:rtl/>
          <w:lang w:eastAsia="en-US"/>
        </w:rPr>
        <w:t>ﭽ</w:t>
      </w:r>
      <w:r w:rsidRPr="00911ED4">
        <w:rPr>
          <w:rFonts w:ascii="QCF_P292" w:hAnsi="QCF_P292" w:cs="QCF_P292"/>
          <w:color w:val="auto"/>
          <w:sz w:val="32"/>
          <w:szCs w:val="32"/>
          <w:rtl/>
          <w:lang w:eastAsia="en-US"/>
        </w:rPr>
        <w:t xml:space="preserve"> ﭑ  ﭒ  ﭓ  ﭔ  ﭕﭖ </w:t>
      </w:r>
      <w:r w:rsidRPr="00911ED4">
        <w:rPr>
          <w:rFonts w:ascii="QCF_BSML" w:hAnsi="QCF_BSML" w:cs="QCF_BSML"/>
          <w:color w:val="auto"/>
          <w:sz w:val="32"/>
          <w:szCs w:val="32"/>
          <w:rtl/>
          <w:lang w:eastAsia="en-US"/>
        </w:rPr>
        <w:t>ﭼ</w:t>
      </w:r>
      <w:r w:rsidRPr="00911ED4">
        <w:rPr>
          <w:rFonts w:ascii="QCF_P292" w:hAnsi="QCF_P292" w:cs="QCF_P292"/>
          <w:color w:val="auto"/>
          <w:sz w:val="32"/>
          <w:szCs w:val="32"/>
          <w:rtl/>
          <w:lang w:eastAsia="en-US"/>
        </w:rPr>
        <w:t xml:space="preserve"> </w:t>
      </w:r>
      <w:r w:rsidRPr="00911ED4">
        <w:rPr>
          <w:rFonts w:ascii="Traditional Arabic" w:hAnsi="Traditional Arabic"/>
          <w:rtl/>
        </w:rPr>
        <w:t xml:space="preserve">قرأ نافع، وأبو عمرو بالياء في الوصل، وحَذَفاها في </w:t>
      </w:r>
      <w:r w:rsidRPr="00911ED4">
        <w:rPr>
          <w:rFonts w:ascii="Traditional Arabic" w:hAnsi="Traditional Arabic"/>
          <w:rtl/>
        </w:rPr>
        <w:lastRenderedPageBreak/>
        <w:t>الوقف. وأثبتها يعقوب في الوقف، وحذفها الأكثرون في الحالتين</w:t>
      </w:r>
      <w:r w:rsidRPr="00911ED4">
        <w:rPr>
          <w:vertAlign w:val="superscript"/>
          <w:rtl/>
        </w:rPr>
        <w:t>(</w:t>
      </w:r>
      <w:r w:rsidRPr="00911ED4">
        <w:rPr>
          <w:vertAlign w:val="superscript"/>
          <w:rtl/>
        </w:rPr>
        <w:footnoteReference w:id="693"/>
      </w:r>
      <w:r w:rsidRPr="00911ED4">
        <w:rPr>
          <w:vertAlign w:val="superscript"/>
          <w:rtl/>
        </w:rPr>
        <w:t>)</w:t>
      </w:r>
      <w:r w:rsidRPr="00911ED4">
        <w:rPr>
          <w:rFonts w:ascii="Traditional Arabic" w:hAnsi="Traditional Arabic"/>
          <w:rtl/>
        </w:rPr>
        <w:t xml:space="preserve">. </w:t>
      </w:r>
    </w:p>
    <w:p w:rsidR="006317B3" w:rsidRDefault="00911ED4" w:rsidP="006317B3">
      <w:pPr>
        <w:ind w:firstLine="0"/>
        <w:rPr>
          <w:rFonts w:ascii="Traditional Arabic" w:hAnsi="Traditional Arabic"/>
          <w:rtl/>
        </w:rPr>
      </w:pPr>
      <w:r w:rsidRPr="00911ED4">
        <w:rPr>
          <w:rFonts w:ascii="Traditional Arabic" w:hAnsi="Traditional Arabic"/>
          <w:rtl/>
        </w:rPr>
        <w:t xml:space="preserve">قال ابن عباس: من يرد الله هداه </w:t>
      </w:r>
      <w:r w:rsidRPr="00911ED4">
        <w:rPr>
          <w:rFonts w:ascii="QCF_BSML" w:hAnsi="QCF_BSML" w:cs="QCF_BSML"/>
          <w:sz w:val="32"/>
          <w:szCs w:val="32"/>
          <w:rtl/>
          <w:lang w:eastAsia="en-US"/>
        </w:rPr>
        <w:t>ﭽ</w:t>
      </w:r>
      <w:r w:rsidRPr="00911ED4">
        <w:rPr>
          <w:rFonts w:ascii="QCF_P292" w:hAnsi="QCF_P292" w:cs="QCF_P292"/>
          <w:color w:val="auto"/>
          <w:sz w:val="32"/>
          <w:szCs w:val="32"/>
          <w:rtl/>
          <w:lang w:eastAsia="en-US"/>
        </w:rPr>
        <w:t xml:space="preserve"> ﭔ  ﭕﭖ  </w:t>
      </w:r>
      <w:r w:rsidRPr="00911ED4">
        <w:rPr>
          <w:rFonts w:ascii="QCF_BSML" w:hAnsi="QCF_BSML" w:cs="QCF_BSML"/>
          <w:color w:val="auto"/>
          <w:sz w:val="32"/>
          <w:szCs w:val="32"/>
          <w:rtl/>
          <w:lang w:eastAsia="en-US"/>
        </w:rPr>
        <w:t>ﭼ</w:t>
      </w:r>
      <w:r w:rsidRPr="00911ED4">
        <w:rPr>
          <w:rFonts w:ascii="QCF_BSML" w:hAnsi="QCF_BSML" w:cs="QCF_BSML"/>
          <w:sz w:val="32"/>
          <w:szCs w:val="32"/>
          <w:rtl/>
          <w:lang w:eastAsia="en-US"/>
        </w:rPr>
        <w:t xml:space="preserve"> </w:t>
      </w:r>
      <w:r w:rsidRPr="00911ED4">
        <w:rPr>
          <w:vertAlign w:val="superscript"/>
          <w:rtl/>
        </w:rPr>
        <w:t>(</w:t>
      </w:r>
      <w:r w:rsidRPr="00911ED4">
        <w:rPr>
          <w:vertAlign w:val="superscript"/>
          <w:rtl/>
        </w:rPr>
        <w:footnoteReference w:id="694"/>
      </w:r>
      <w:r w:rsidRPr="00911ED4">
        <w:rPr>
          <w:vertAlign w:val="superscript"/>
          <w:rtl/>
        </w:rPr>
        <w:t>)</w:t>
      </w:r>
      <w:r w:rsidRPr="00911ED4">
        <w:rPr>
          <w:rFonts w:ascii="QCF_BSML" w:hAnsi="QCF_BSML" w:cs="QCF_BSML"/>
          <w:sz w:val="32"/>
          <w:szCs w:val="32"/>
          <w:rtl/>
          <w:lang w:eastAsia="en-US"/>
        </w:rPr>
        <w:t>ﭽ</w:t>
      </w:r>
      <w:r w:rsidRPr="00911ED4">
        <w:rPr>
          <w:rFonts w:ascii="QCF_P292" w:hAnsi="QCF_P292" w:cs="QCF_P292"/>
          <w:color w:val="auto"/>
          <w:sz w:val="32"/>
          <w:szCs w:val="32"/>
          <w:rtl/>
          <w:lang w:eastAsia="en-US"/>
        </w:rPr>
        <w:t xml:space="preserve"> </w:t>
      </w:r>
      <w:r w:rsidRPr="00911ED4">
        <w:rPr>
          <w:rFonts w:ascii="QCF_P292" w:hAnsi="QCF_P292" w:cs="QCF_P292" w:hint="cs"/>
          <w:color w:val="auto"/>
          <w:sz w:val="32"/>
          <w:szCs w:val="32"/>
          <w:rtl/>
          <w:lang w:eastAsia="en-US"/>
        </w:rPr>
        <w:t xml:space="preserve"> </w:t>
      </w:r>
      <w:r w:rsidRPr="00911ED4">
        <w:rPr>
          <w:rFonts w:ascii="QCF_P292" w:hAnsi="QCF_P292" w:cs="QCF_P292"/>
          <w:color w:val="auto"/>
          <w:sz w:val="32"/>
          <w:szCs w:val="32"/>
          <w:rtl/>
          <w:lang w:eastAsia="en-US"/>
        </w:rPr>
        <w:t xml:space="preserve">ﭗ  ﭘ  ﭙ  ﭚ  ﭛ  ﭜ   ﭝ  ﭞﭟ </w:t>
      </w:r>
      <w:r w:rsidRPr="00911ED4">
        <w:rPr>
          <w:rFonts w:ascii="QCF_BSML" w:hAnsi="QCF_BSML" w:cs="QCF_BSML"/>
          <w:color w:val="auto"/>
          <w:sz w:val="32"/>
          <w:szCs w:val="32"/>
          <w:rtl/>
          <w:lang w:eastAsia="en-US"/>
        </w:rPr>
        <w:t>ﭼ</w:t>
      </w:r>
      <w:r w:rsidR="006317B3">
        <w:rPr>
          <w:rFonts w:ascii="QCF_BSML" w:hAnsi="QCF_BSML" w:cs="QCF_BSML" w:hint="cs"/>
          <w:color w:val="auto"/>
          <w:sz w:val="32"/>
          <w:szCs w:val="32"/>
          <w:rtl/>
          <w:lang w:eastAsia="en-US"/>
        </w:rPr>
        <w:t xml:space="preserve">    </w:t>
      </w:r>
      <w:r w:rsidRPr="00911ED4">
        <w:rPr>
          <w:rFonts w:ascii="QCF_BSML" w:hAnsi="QCF_BSML" w:cs="QCF_BSML" w:hint="cs"/>
          <w:color w:val="auto"/>
          <w:sz w:val="32"/>
          <w:szCs w:val="32"/>
          <w:rtl/>
          <w:lang w:eastAsia="en-US"/>
        </w:rPr>
        <w:t xml:space="preserve"> </w:t>
      </w:r>
      <w:r w:rsidRPr="00911ED4">
        <w:rPr>
          <w:rFonts w:ascii="Traditional Arabic" w:hAnsi="Traditional Arabic"/>
          <w:rtl/>
        </w:rPr>
        <w:t>يَهدونهم.</w:t>
      </w:r>
      <w:r w:rsidR="00E667B0">
        <w:rPr>
          <w:rFonts w:ascii="Traditional Arabic" w:hAnsi="Traditional Arabic" w:hint="cs"/>
          <w:rtl/>
        </w:rPr>
        <w:t xml:space="preserve"> </w:t>
      </w:r>
    </w:p>
    <w:p w:rsidR="00E667B0" w:rsidRDefault="00911ED4" w:rsidP="006317B3">
      <w:pPr>
        <w:ind w:firstLine="0"/>
        <w:rPr>
          <w:rFonts w:ascii="Traditional Arabic" w:hAnsi="Traditional Arabic"/>
          <w:rtl/>
        </w:rPr>
      </w:pPr>
      <w:r w:rsidRPr="00911ED4">
        <w:rPr>
          <w:rFonts w:ascii="Traditional Arabic" w:hAnsi="Traditional Arabic"/>
          <w:rtl/>
        </w:rPr>
        <w:t xml:space="preserve">قوله تعالى: </w:t>
      </w:r>
      <w:r w:rsidRPr="00911ED4">
        <w:rPr>
          <w:rFonts w:ascii="QCF_BSML" w:hAnsi="QCF_BSML" w:cs="QCF_BSML"/>
          <w:sz w:val="32"/>
          <w:szCs w:val="32"/>
          <w:rtl/>
          <w:lang w:eastAsia="en-US"/>
        </w:rPr>
        <w:t>ﭽ</w:t>
      </w:r>
      <w:r w:rsidRPr="00911ED4">
        <w:rPr>
          <w:rFonts w:ascii="QCF_P292" w:hAnsi="QCF_P292" w:cs="QCF_P292"/>
          <w:color w:val="auto"/>
          <w:sz w:val="32"/>
          <w:szCs w:val="32"/>
          <w:rtl/>
          <w:lang w:eastAsia="en-US"/>
        </w:rPr>
        <w:t xml:space="preserve"> ﭠ  ﭡ  ﭢ  ﭣ  ﭤ</w:t>
      </w:r>
      <w:r w:rsidRPr="00911ED4">
        <w:rPr>
          <w:rFonts w:ascii="QCF_BSML" w:hAnsi="QCF_BSML" w:cs="QCF_BSML"/>
          <w:color w:val="auto"/>
          <w:sz w:val="32"/>
          <w:szCs w:val="32"/>
          <w:rtl/>
          <w:lang w:eastAsia="en-US"/>
        </w:rPr>
        <w:t>ﭼ</w:t>
      </w:r>
      <w:r w:rsidR="006317B3">
        <w:rPr>
          <w:rFonts w:ascii="QCF_BSML" w:hAnsi="QCF_BSML" w:cs="QCF_BSML" w:hint="cs"/>
          <w:color w:val="auto"/>
          <w:sz w:val="32"/>
          <w:szCs w:val="32"/>
          <w:rtl/>
          <w:lang w:eastAsia="en-US"/>
        </w:rPr>
        <w:t xml:space="preserve">   </w:t>
      </w:r>
      <w:r w:rsidRPr="00911ED4">
        <w:rPr>
          <w:rFonts w:ascii="QCF_P292" w:hAnsi="QCF_P292" w:cs="QCF_P292"/>
          <w:color w:val="auto"/>
          <w:sz w:val="32"/>
          <w:szCs w:val="32"/>
          <w:rtl/>
          <w:lang w:eastAsia="en-US"/>
        </w:rPr>
        <w:t xml:space="preserve">  </w:t>
      </w:r>
      <w:r w:rsidRPr="00911ED4">
        <w:rPr>
          <w:rFonts w:ascii="Traditional Arabic" w:hAnsi="Traditional Arabic"/>
          <w:rtl/>
        </w:rPr>
        <w:t>فيه ثلاثة أقوال: أحدها: أنه</w:t>
      </w:r>
      <w:r w:rsidR="00E667B0">
        <w:rPr>
          <w:rFonts w:ascii="Traditional Arabic" w:hAnsi="Traditional Arabic" w:hint="cs"/>
          <w:rtl/>
        </w:rPr>
        <w:t xml:space="preserve"> </w:t>
      </w:r>
      <w:r w:rsidRPr="00911ED4">
        <w:rPr>
          <w:rFonts w:ascii="Traditional Arabic" w:hAnsi="Traditional Arabic"/>
          <w:rtl/>
        </w:rPr>
        <w:t xml:space="preserve">يمشِّيهم على </w:t>
      </w:r>
    </w:p>
    <w:p w:rsidR="00911ED4" w:rsidRPr="006756FA" w:rsidRDefault="00911ED4" w:rsidP="006756FA">
      <w:pPr>
        <w:ind w:firstLine="0"/>
        <w:rPr>
          <w:rFonts w:ascii="Traditional Arabic" w:hAnsi="Traditional Arabic"/>
          <w:color w:val="auto"/>
          <w:rtl/>
        </w:rPr>
      </w:pPr>
      <w:r w:rsidRPr="00911ED4">
        <w:rPr>
          <w:rFonts w:ascii="Traditional Arabic" w:hAnsi="Traditional Arabic"/>
          <w:rtl/>
        </w:rPr>
        <w:t>وجوههم</w:t>
      </w:r>
      <w:r w:rsidRPr="00911ED4">
        <w:rPr>
          <w:vertAlign w:val="superscript"/>
          <w:rtl/>
        </w:rPr>
        <w:t>(</w:t>
      </w:r>
      <w:r w:rsidRPr="00911ED4">
        <w:rPr>
          <w:vertAlign w:val="superscript"/>
          <w:rtl/>
        </w:rPr>
        <w:footnoteReference w:id="695"/>
      </w:r>
      <w:r w:rsidRPr="00911ED4">
        <w:rPr>
          <w:vertAlign w:val="superscript"/>
          <w:rtl/>
        </w:rPr>
        <w:t>)</w:t>
      </w:r>
      <w:r w:rsidRPr="00911ED4">
        <w:rPr>
          <w:rFonts w:ascii="Traditional Arabic" w:hAnsi="Traditional Arabic"/>
          <w:rtl/>
        </w:rPr>
        <w:t>، وشاهِد</w:t>
      </w:r>
      <w:r w:rsidR="00AC48B1">
        <w:rPr>
          <w:rFonts w:ascii="Traditional Arabic" w:hAnsi="Traditional Arabic" w:hint="cs"/>
          <w:rtl/>
        </w:rPr>
        <w:t>ُ</w:t>
      </w:r>
      <w:r w:rsidRPr="00911ED4">
        <w:rPr>
          <w:rFonts w:ascii="Traditional Arabic" w:hAnsi="Traditional Arabic"/>
          <w:rtl/>
        </w:rPr>
        <w:t>ه ما روى البخاري</w:t>
      </w:r>
      <w:r w:rsidRPr="00911ED4">
        <w:rPr>
          <w:vertAlign w:val="superscript"/>
          <w:rtl/>
        </w:rPr>
        <w:t>(</w:t>
      </w:r>
      <w:r w:rsidRPr="00911ED4">
        <w:rPr>
          <w:vertAlign w:val="superscript"/>
          <w:rtl/>
        </w:rPr>
        <w:footnoteReference w:id="696"/>
      </w:r>
      <w:r w:rsidRPr="00911ED4">
        <w:rPr>
          <w:vertAlign w:val="superscript"/>
          <w:rtl/>
        </w:rPr>
        <w:t>)</w:t>
      </w:r>
      <w:r w:rsidRPr="00911ED4">
        <w:rPr>
          <w:rFonts w:ascii="Traditional Arabic" w:hAnsi="Traditional Arabic"/>
          <w:rtl/>
        </w:rPr>
        <w:t>ومسلم</w:t>
      </w:r>
      <w:r w:rsidRPr="00911ED4">
        <w:rPr>
          <w:vertAlign w:val="superscript"/>
          <w:rtl/>
        </w:rPr>
        <w:t>(</w:t>
      </w:r>
      <w:r w:rsidRPr="00911ED4">
        <w:rPr>
          <w:vertAlign w:val="superscript"/>
          <w:rtl/>
        </w:rPr>
        <w:footnoteReference w:id="697"/>
      </w:r>
      <w:r w:rsidRPr="00911ED4">
        <w:rPr>
          <w:vertAlign w:val="superscript"/>
          <w:rtl/>
        </w:rPr>
        <w:t>)</w:t>
      </w:r>
      <w:r w:rsidRPr="00911ED4">
        <w:rPr>
          <w:rFonts w:ascii="Traditional Arabic" w:hAnsi="Traditional Arabic"/>
          <w:rtl/>
        </w:rPr>
        <w:t>في «صحيحيهما» من حديث أنس بن مالك</w:t>
      </w:r>
      <w:r w:rsidR="00224A0A">
        <w:rPr>
          <w:rFonts w:ascii="Traditional Arabic" w:hAnsi="Traditional Arabic" w:hint="cs"/>
          <w:rtl/>
          <w:lang w:eastAsia="en-US"/>
        </w:rPr>
        <w:t xml:space="preserve"> </w:t>
      </w:r>
      <w:r w:rsidR="00224A0A">
        <w:rPr>
          <w:rFonts w:ascii="QCF_BSML" w:hAnsi="QCF_BSML" w:cs="QCF_BSML" w:hint="cs"/>
          <w:color w:val="0D0D0D" w:themeColor="text1" w:themeTint="F2"/>
          <w:sz w:val="32"/>
          <w:szCs w:val="32"/>
          <w:rtl/>
          <w:lang w:eastAsia="en-US"/>
        </w:rPr>
        <w:t xml:space="preserve"> </w:t>
      </w:r>
      <w:r w:rsidR="00224A0A" w:rsidRPr="001277AD">
        <w:rPr>
          <w:rFonts w:hint="cs"/>
          <w:color w:val="0D0D0D" w:themeColor="text1" w:themeTint="F2"/>
          <w:sz w:val="32"/>
          <w:szCs w:val="32"/>
          <w:rtl/>
        </w:rPr>
        <w:t>[</w:t>
      </w:r>
      <w:r w:rsidR="00224A0A">
        <w:rPr>
          <w:rFonts w:hint="cs"/>
          <w:color w:val="0D0D0D" w:themeColor="text1" w:themeTint="F2"/>
          <w:sz w:val="32"/>
          <w:szCs w:val="32"/>
          <w:rtl/>
        </w:rPr>
        <w:t>92</w:t>
      </w:r>
      <w:r w:rsidR="00224A0A" w:rsidRPr="001277AD">
        <w:rPr>
          <w:rFonts w:hint="cs"/>
          <w:color w:val="0D0D0D" w:themeColor="text1" w:themeTint="F2"/>
          <w:sz w:val="32"/>
          <w:szCs w:val="32"/>
          <w:rtl/>
        </w:rPr>
        <w:t>]</w:t>
      </w:r>
      <w:r w:rsidRPr="00911ED4">
        <w:rPr>
          <w:rFonts w:ascii="Traditional Arabic" w:hAnsi="Traditional Arabic"/>
          <w:rtl/>
        </w:rPr>
        <w:t xml:space="preserve"> أن رجلاً سأل </w:t>
      </w:r>
      <w:r w:rsidRPr="00224A0A">
        <w:rPr>
          <w:rFonts w:ascii="Traditional Arabic" w:hAnsi="Traditional Arabic"/>
          <w:rtl/>
        </w:rPr>
        <w:t xml:space="preserve">رسول الله </w:t>
      </w:r>
      <w:r w:rsidR="00224A0A" w:rsidRPr="00224A0A">
        <w:rPr>
          <w:rFonts w:ascii="Traditional Arabic" w:hAnsi="Traditional Arabic"/>
        </w:rPr>
        <w:sym w:font="AGA Arabesque" w:char="F072"/>
      </w:r>
      <w:r w:rsidR="00224A0A" w:rsidRPr="00224A0A">
        <w:rPr>
          <w:rFonts w:ascii="Traditional Arabic" w:hAnsi="Traditional Arabic"/>
          <w:rtl/>
        </w:rPr>
        <w:t xml:space="preserve"> </w:t>
      </w:r>
      <w:r w:rsidRPr="00224A0A">
        <w:rPr>
          <w:rFonts w:ascii="Traditional Arabic" w:hAnsi="Traditional Arabic"/>
          <w:rtl/>
        </w:rPr>
        <w:t>كيف</w:t>
      </w:r>
      <w:r w:rsidRPr="00911ED4">
        <w:rPr>
          <w:rFonts w:ascii="Traditional Arabic" w:hAnsi="Traditional Arabic"/>
          <w:rtl/>
        </w:rPr>
        <w:t xml:space="preserve"> يحشر الكافر على وجهه يوم القيامة؟ قال:</w:t>
      </w:r>
      <w:r w:rsidR="005806A9">
        <w:rPr>
          <w:rFonts w:ascii="Traditional Arabic" w:hAnsi="Traditional Arabic" w:hint="cs"/>
          <w:rtl/>
        </w:rPr>
        <w:t xml:space="preserve"> </w:t>
      </w:r>
      <w:r w:rsidRPr="00911ED4">
        <w:rPr>
          <w:rFonts w:ascii="Traditional Arabic" w:hAnsi="Traditional Arabic"/>
          <w:rtl/>
        </w:rPr>
        <w:t>«إِن الذي أمشاه على رجليه في الدنيا، قادر على أن يمشيه على وجهه يوم القيامة»</w:t>
      </w:r>
      <w:r w:rsidRPr="00911ED4">
        <w:rPr>
          <w:vertAlign w:val="superscript"/>
          <w:rtl/>
        </w:rPr>
        <w:t>(</w:t>
      </w:r>
      <w:r w:rsidRPr="00911ED4">
        <w:rPr>
          <w:vertAlign w:val="superscript"/>
          <w:rtl/>
        </w:rPr>
        <w:footnoteReference w:id="698"/>
      </w:r>
      <w:r w:rsidRPr="00911ED4">
        <w:rPr>
          <w:vertAlign w:val="superscript"/>
          <w:rtl/>
        </w:rPr>
        <w:t>)</w:t>
      </w:r>
      <w:r w:rsidRPr="00911ED4">
        <w:rPr>
          <w:rFonts w:ascii="Traditional Arabic" w:hAnsi="Traditional Arabic"/>
          <w:rtl/>
        </w:rPr>
        <w:t>.</w:t>
      </w:r>
      <w:r w:rsidR="00224A0A">
        <w:rPr>
          <w:rFonts w:ascii="Traditional Arabic" w:hAnsi="Traditional Arabic" w:hint="cs"/>
          <w:color w:val="auto"/>
          <w:rtl/>
        </w:rPr>
        <w:t xml:space="preserve"> </w:t>
      </w:r>
      <w:r w:rsidRPr="00911ED4">
        <w:rPr>
          <w:rFonts w:ascii="Traditional Arabic" w:hAnsi="Traditional Arabic"/>
          <w:rtl/>
        </w:rPr>
        <w:t>والثاني: أن المعنى: ونحشرهم مسحوبين على وجوههم، قاله ابن عباس</w:t>
      </w:r>
      <w:r w:rsidRPr="00911ED4">
        <w:rPr>
          <w:vertAlign w:val="superscript"/>
          <w:rtl/>
        </w:rPr>
        <w:t>(</w:t>
      </w:r>
      <w:r w:rsidRPr="00911ED4">
        <w:rPr>
          <w:vertAlign w:val="superscript"/>
          <w:rtl/>
        </w:rPr>
        <w:footnoteReference w:id="699"/>
      </w:r>
      <w:r w:rsidRPr="00911ED4">
        <w:rPr>
          <w:vertAlign w:val="superscript"/>
          <w:rtl/>
        </w:rPr>
        <w:t>)</w:t>
      </w:r>
      <w:r w:rsidRPr="00911ED4">
        <w:rPr>
          <w:rFonts w:ascii="Traditional Arabic" w:hAnsi="Traditional Arabic"/>
          <w:rtl/>
        </w:rPr>
        <w:t xml:space="preserve">. والثالث: نحشرهم مسرعين مبادرين، فعبّر بقوله تعالى: </w:t>
      </w:r>
      <w:r w:rsidRPr="00911ED4">
        <w:rPr>
          <w:rFonts w:ascii="QCF_BSML" w:hAnsi="QCF_BSML" w:cs="QCF_BSML"/>
          <w:sz w:val="32"/>
          <w:szCs w:val="32"/>
          <w:rtl/>
          <w:lang w:eastAsia="en-US"/>
        </w:rPr>
        <w:t>ﭽ</w:t>
      </w:r>
      <w:r w:rsidRPr="00911ED4">
        <w:rPr>
          <w:rFonts w:ascii="QCF_P292" w:hAnsi="QCF_P292" w:cs="QCF_P292"/>
          <w:color w:val="auto"/>
          <w:sz w:val="32"/>
          <w:szCs w:val="32"/>
          <w:rtl/>
          <w:lang w:eastAsia="en-US"/>
        </w:rPr>
        <w:t xml:space="preserve"> ﭣ  ﭤ</w:t>
      </w:r>
      <w:r w:rsidRPr="00911ED4">
        <w:rPr>
          <w:rFonts w:ascii="QCF_BSML" w:hAnsi="QCF_BSML" w:cs="QCF_BSML"/>
          <w:color w:val="auto"/>
          <w:sz w:val="32"/>
          <w:szCs w:val="32"/>
          <w:rtl/>
          <w:lang w:eastAsia="en-US"/>
        </w:rPr>
        <w:t>ﭼ</w:t>
      </w:r>
      <w:r w:rsidRPr="00911ED4">
        <w:rPr>
          <w:rFonts w:ascii="QCF_P292" w:hAnsi="QCF_P292" w:cs="QCF_P292"/>
          <w:color w:val="auto"/>
          <w:sz w:val="32"/>
          <w:szCs w:val="32"/>
          <w:rtl/>
          <w:lang w:eastAsia="en-US"/>
        </w:rPr>
        <w:t xml:space="preserve">  </w:t>
      </w:r>
      <w:r w:rsidR="006317B3">
        <w:rPr>
          <w:rFonts w:ascii="QCF_P292" w:hAnsi="QCF_P292" w:cs="QCF_P292" w:hint="cs"/>
          <w:color w:val="auto"/>
          <w:sz w:val="32"/>
          <w:szCs w:val="32"/>
          <w:rtl/>
          <w:lang w:eastAsia="en-US"/>
        </w:rPr>
        <w:t xml:space="preserve"> </w:t>
      </w:r>
      <w:r w:rsidRPr="00911ED4">
        <w:rPr>
          <w:rFonts w:ascii="Traditional Arabic" w:hAnsi="Traditional Arabic"/>
          <w:rtl/>
        </w:rPr>
        <w:t>عن الإِسراع، كما تقول العرب: قد مَرَّ القوم على وجوههم: إِذا أسرعوا، قاله ابن الأنباري</w:t>
      </w:r>
      <w:r w:rsidRPr="00911ED4">
        <w:rPr>
          <w:vertAlign w:val="superscript"/>
          <w:rtl/>
        </w:rPr>
        <w:t>(</w:t>
      </w:r>
      <w:r w:rsidRPr="00911ED4">
        <w:rPr>
          <w:vertAlign w:val="superscript"/>
          <w:rtl/>
        </w:rPr>
        <w:footnoteReference w:id="700"/>
      </w:r>
      <w:r w:rsidRPr="00911ED4">
        <w:rPr>
          <w:vertAlign w:val="superscript"/>
          <w:rtl/>
        </w:rPr>
        <w:t>)</w:t>
      </w:r>
      <w:r w:rsidRPr="00911ED4">
        <w:rPr>
          <w:rFonts w:ascii="Traditional Arabic" w:hAnsi="Traditional Arabic"/>
          <w:rtl/>
        </w:rPr>
        <w:t>.</w:t>
      </w:r>
      <w:r w:rsidR="00E667B0">
        <w:rPr>
          <w:rFonts w:ascii="Traditional Arabic" w:hAnsi="Traditional Arabic" w:hint="cs"/>
          <w:rtl/>
        </w:rPr>
        <w:t xml:space="preserve"> </w:t>
      </w:r>
      <w:r w:rsidRPr="00911ED4">
        <w:rPr>
          <w:rFonts w:ascii="Traditional Arabic" w:hAnsi="Traditional Arabic"/>
          <w:rtl/>
        </w:rPr>
        <w:t xml:space="preserve">قوله تعالى: </w:t>
      </w:r>
      <w:r w:rsidRPr="00911ED4">
        <w:rPr>
          <w:rFonts w:ascii="QCF_BSML" w:hAnsi="QCF_BSML" w:cs="QCF_BSML"/>
          <w:sz w:val="32"/>
          <w:szCs w:val="32"/>
          <w:rtl/>
          <w:lang w:eastAsia="en-US"/>
        </w:rPr>
        <w:t>ﭽ</w:t>
      </w:r>
      <w:r w:rsidRPr="00911ED4">
        <w:rPr>
          <w:rFonts w:ascii="QCF_P292" w:hAnsi="QCF_P292" w:cs="QCF_P292"/>
          <w:color w:val="auto"/>
          <w:sz w:val="32"/>
          <w:szCs w:val="32"/>
          <w:rtl/>
          <w:lang w:eastAsia="en-US"/>
        </w:rPr>
        <w:t xml:space="preserve"> ﭥ  ﭦ   ﭧﭨ</w:t>
      </w:r>
      <w:r w:rsidRPr="00911ED4">
        <w:rPr>
          <w:rFonts w:ascii="QCF_BSML" w:hAnsi="QCF_BSML" w:cs="QCF_BSML"/>
          <w:color w:val="auto"/>
          <w:sz w:val="32"/>
          <w:szCs w:val="32"/>
          <w:rtl/>
          <w:lang w:eastAsia="en-US"/>
        </w:rPr>
        <w:t>ﭼ</w:t>
      </w:r>
      <w:r w:rsidR="006317B3">
        <w:rPr>
          <w:rFonts w:ascii="QCF_BSML" w:hAnsi="QCF_BSML" w:cs="QCF_BSML" w:hint="cs"/>
          <w:color w:val="auto"/>
          <w:sz w:val="32"/>
          <w:szCs w:val="32"/>
          <w:rtl/>
          <w:lang w:eastAsia="en-US"/>
        </w:rPr>
        <w:t xml:space="preserve">  </w:t>
      </w:r>
      <w:r w:rsidRPr="00911ED4">
        <w:rPr>
          <w:rFonts w:ascii="QCF_P292" w:hAnsi="QCF_P292" w:cs="QCF_P292"/>
          <w:color w:val="auto"/>
          <w:sz w:val="32"/>
          <w:szCs w:val="32"/>
          <w:rtl/>
          <w:lang w:eastAsia="en-US"/>
        </w:rPr>
        <w:t xml:space="preserve"> </w:t>
      </w:r>
      <w:r w:rsidRPr="00911ED4">
        <w:rPr>
          <w:rFonts w:ascii="Traditional Arabic" w:hAnsi="Traditional Arabic"/>
          <w:rtl/>
        </w:rPr>
        <w:t xml:space="preserve">فيه </w:t>
      </w:r>
      <w:r w:rsidRPr="00911ED4">
        <w:rPr>
          <w:rFonts w:ascii="Traditional Arabic" w:hAnsi="Traditional Arabic"/>
          <w:rtl/>
        </w:rPr>
        <w:lastRenderedPageBreak/>
        <w:t>قولان: أحدهما: عمياً لا يرون شيئاً يَسرُّهم، وبكماً لا ينطقون بحجَّة، وصماً لا يسمعون شيئاً يسرُّهم، قاله ابن عباس</w:t>
      </w:r>
      <w:r w:rsidRPr="00911ED4">
        <w:rPr>
          <w:vertAlign w:val="superscript"/>
          <w:rtl/>
        </w:rPr>
        <w:t>(</w:t>
      </w:r>
      <w:r w:rsidRPr="00911ED4">
        <w:rPr>
          <w:vertAlign w:val="superscript"/>
          <w:rtl/>
        </w:rPr>
        <w:footnoteReference w:id="701"/>
      </w:r>
      <w:r w:rsidRPr="00911ED4">
        <w:rPr>
          <w:vertAlign w:val="superscript"/>
          <w:rtl/>
        </w:rPr>
        <w:t>)</w:t>
      </w:r>
      <w:r w:rsidRPr="00911ED4">
        <w:rPr>
          <w:rFonts w:ascii="Traditional Arabic" w:hAnsi="Traditional Arabic"/>
          <w:rtl/>
        </w:rPr>
        <w:t>. وقال في رواية: عمياً عن النظر إِلى ما جعل الله تعالى لأوليائه، وبكما</w:t>
      </w:r>
      <w:r w:rsidR="00AC48B1">
        <w:rPr>
          <w:rFonts w:ascii="Traditional Arabic" w:hAnsi="Traditional Arabic" w:hint="cs"/>
          <w:rtl/>
        </w:rPr>
        <w:t>ً</w:t>
      </w:r>
      <w:r w:rsidRPr="00911ED4">
        <w:rPr>
          <w:rFonts w:ascii="Traditional Arabic" w:hAnsi="Traditional Arabic"/>
          <w:rtl/>
        </w:rPr>
        <w:t xml:space="preserve"> عن مخاطبة الله تعالى، وصماً عما مدح به أولياءه، وهذا قول الأكثرين</w:t>
      </w:r>
      <w:r w:rsidRPr="00911ED4">
        <w:rPr>
          <w:vertAlign w:val="superscript"/>
          <w:rtl/>
        </w:rPr>
        <w:t>(</w:t>
      </w:r>
      <w:r w:rsidRPr="00911ED4">
        <w:rPr>
          <w:vertAlign w:val="superscript"/>
          <w:rtl/>
        </w:rPr>
        <w:footnoteReference w:id="702"/>
      </w:r>
      <w:r w:rsidRPr="00911ED4">
        <w:rPr>
          <w:vertAlign w:val="superscript"/>
          <w:rtl/>
        </w:rPr>
        <w:t>)</w:t>
      </w:r>
      <w:r w:rsidRPr="00911ED4">
        <w:rPr>
          <w:rFonts w:ascii="Traditional Arabic" w:hAnsi="Traditional Arabic"/>
          <w:rtl/>
        </w:rPr>
        <w:t>. والثاني: أن هذا الحشر في بعض أحوال القيامة بعد الحشر الأول</w:t>
      </w:r>
      <w:r w:rsidRPr="00911ED4">
        <w:rPr>
          <w:vertAlign w:val="superscript"/>
          <w:rtl/>
        </w:rPr>
        <w:t>(</w:t>
      </w:r>
      <w:r w:rsidRPr="00911ED4">
        <w:rPr>
          <w:vertAlign w:val="superscript"/>
          <w:rtl/>
        </w:rPr>
        <w:footnoteReference w:id="703"/>
      </w:r>
      <w:r w:rsidRPr="00911ED4">
        <w:rPr>
          <w:vertAlign w:val="superscript"/>
          <w:rtl/>
        </w:rPr>
        <w:t>)</w:t>
      </w:r>
      <w:r w:rsidRPr="00911ED4">
        <w:rPr>
          <w:rFonts w:ascii="Traditional Arabic" w:hAnsi="Traditional Arabic"/>
          <w:rtl/>
        </w:rPr>
        <w:t>. قال مقاتل: هذا يكون حين يقال لهم:</w:t>
      </w:r>
      <w:r w:rsidR="00442C93">
        <w:rPr>
          <w:rFonts w:ascii="Traditional Arabic" w:hAnsi="Traditional Arabic" w:hint="cs"/>
          <w:rtl/>
        </w:rPr>
        <w:t xml:space="preserve"> </w:t>
      </w:r>
      <w:r w:rsidRPr="00911ED4">
        <w:rPr>
          <w:rFonts w:ascii="QCF_BSML" w:hAnsi="QCF_BSML" w:cs="QCF_BSML"/>
          <w:sz w:val="32"/>
          <w:szCs w:val="32"/>
          <w:rtl/>
          <w:lang w:eastAsia="en-US"/>
        </w:rPr>
        <w:t xml:space="preserve">ﭽ </w:t>
      </w:r>
      <w:r w:rsidRPr="00911ED4">
        <w:rPr>
          <w:rFonts w:ascii="QCF_P349" w:hAnsi="QCF_P349" w:cs="QCF_P349"/>
          <w:sz w:val="32"/>
          <w:szCs w:val="32"/>
          <w:rtl/>
          <w:lang w:eastAsia="en-US"/>
        </w:rPr>
        <w:t>ﭬ  ﭭ</w:t>
      </w:r>
      <w:r w:rsidRPr="00911ED4">
        <w:rPr>
          <w:rFonts w:ascii="QCF_BSML" w:hAnsi="QCF_BSML" w:cs="QCF_BSML"/>
          <w:sz w:val="32"/>
          <w:szCs w:val="32"/>
          <w:rtl/>
          <w:lang w:eastAsia="en-US"/>
        </w:rPr>
        <w:t>ﭼ</w:t>
      </w:r>
      <w:r w:rsidRPr="00911ED4">
        <w:rPr>
          <w:rFonts w:ascii="Arial" w:hAnsi="Arial" w:cs="Arial"/>
          <w:sz w:val="18"/>
          <w:szCs w:val="18"/>
          <w:rtl/>
          <w:lang w:eastAsia="en-US"/>
        </w:rPr>
        <w:t xml:space="preserve"> </w:t>
      </w:r>
      <w:r w:rsidRPr="00911ED4">
        <w:rPr>
          <w:rFonts w:ascii="Traditional Arabic" w:hAnsi="Traditional Arabic" w:hint="cs"/>
          <w:sz w:val="32"/>
          <w:szCs w:val="32"/>
          <w:rtl/>
        </w:rPr>
        <w:t>[</w:t>
      </w:r>
      <w:r w:rsidRPr="00911ED4">
        <w:rPr>
          <w:rFonts w:ascii="Traditional Arabic" w:hAnsi="Traditional Arabic"/>
          <w:sz w:val="32"/>
          <w:szCs w:val="32"/>
          <w:rtl/>
        </w:rPr>
        <w:t>المؤمنون:108</w:t>
      </w:r>
      <w:r w:rsidRPr="00911ED4">
        <w:rPr>
          <w:rFonts w:ascii="Traditional Arabic" w:hAnsi="Traditional Arabic" w:hint="cs"/>
          <w:sz w:val="32"/>
          <w:szCs w:val="32"/>
          <w:rtl/>
        </w:rPr>
        <w:t>]</w:t>
      </w:r>
      <w:r w:rsidRPr="00911ED4">
        <w:rPr>
          <w:rFonts w:ascii="Traditional Arabic" w:hAnsi="Traditional Arabic"/>
          <w:sz w:val="32"/>
          <w:szCs w:val="32"/>
          <w:rtl/>
        </w:rPr>
        <w:t xml:space="preserve"> </w:t>
      </w:r>
      <w:r w:rsidRPr="00911ED4">
        <w:rPr>
          <w:rFonts w:ascii="Traditional Arabic" w:hAnsi="Traditional Arabic"/>
          <w:rtl/>
        </w:rPr>
        <w:t>فيصيرون عمياً بكماً صماً لا يرون ولا يسمعون ولا ينطقون بعد ذلك</w:t>
      </w:r>
      <w:r w:rsidRPr="00911ED4">
        <w:rPr>
          <w:vertAlign w:val="superscript"/>
          <w:rtl/>
        </w:rPr>
        <w:t>(</w:t>
      </w:r>
      <w:r w:rsidRPr="00911ED4">
        <w:rPr>
          <w:vertAlign w:val="superscript"/>
          <w:rtl/>
        </w:rPr>
        <w:footnoteReference w:id="704"/>
      </w:r>
      <w:r w:rsidRPr="00911ED4">
        <w:rPr>
          <w:vertAlign w:val="superscript"/>
          <w:rtl/>
        </w:rPr>
        <w:t>)</w:t>
      </w:r>
      <w:r w:rsidRPr="00911ED4">
        <w:rPr>
          <w:rFonts w:ascii="Traditional Arabic" w:hAnsi="Traditional Arabic"/>
          <w:rtl/>
        </w:rPr>
        <w:t>.</w:t>
      </w:r>
      <w:r w:rsidRPr="00911ED4">
        <w:rPr>
          <w:rtl/>
        </w:rPr>
        <w:t xml:space="preserve">قوله تعالى: </w:t>
      </w:r>
      <w:r w:rsidRPr="00911ED4">
        <w:rPr>
          <w:rFonts w:ascii="QCF_BSML" w:hAnsi="QCF_BSML" w:cs="QCF_BSML"/>
          <w:sz w:val="32"/>
          <w:szCs w:val="32"/>
          <w:rtl/>
          <w:lang w:eastAsia="en-US"/>
        </w:rPr>
        <w:t>ﭽ</w:t>
      </w:r>
      <w:r w:rsidRPr="00911ED4">
        <w:rPr>
          <w:rFonts w:ascii="QCF_P292" w:hAnsi="QCF_P292" w:cs="QCF_P292"/>
          <w:color w:val="auto"/>
          <w:sz w:val="32"/>
          <w:szCs w:val="32"/>
          <w:rtl/>
          <w:lang w:eastAsia="en-US"/>
        </w:rPr>
        <w:t xml:space="preserve"> ﭬ  ﭭ</w:t>
      </w:r>
      <w:r w:rsidRPr="00911ED4">
        <w:rPr>
          <w:rFonts w:ascii="QCF_BSML" w:hAnsi="QCF_BSML" w:cs="QCF_BSML"/>
          <w:sz w:val="32"/>
          <w:szCs w:val="32"/>
          <w:rtl/>
          <w:lang w:eastAsia="en-US"/>
        </w:rPr>
        <w:t>ﭼ</w:t>
      </w:r>
      <w:r w:rsidRPr="00911ED4">
        <w:rPr>
          <w:rtl/>
        </w:rPr>
        <w:t xml:space="preserve"> قال ابن عباس: أي: سكنت</w:t>
      </w:r>
      <w:r w:rsidRPr="00911ED4">
        <w:rPr>
          <w:vertAlign w:val="superscript"/>
          <w:rtl/>
        </w:rPr>
        <w:t>(</w:t>
      </w:r>
      <w:r w:rsidRPr="00911ED4">
        <w:rPr>
          <w:vertAlign w:val="superscript"/>
          <w:rtl/>
        </w:rPr>
        <w:footnoteReference w:id="705"/>
      </w:r>
      <w:r w:rsidRPr="00911ED4">
        <w:rPr>
          <w:vertAlign w:val="superscript"/>
          <w:rtl/>
        </w:rPr>
        <w:t>)</w:t>
      </w:r>
      <w:r w:rsidRPr="00911ED4">
        <w:rPr>
          <w:rtl/>
        </w:rPr>
        <w:t>. قال المفسّرون: وذلك أنهم تأكلهم، فإذا لم تُبق منهم شيئاً وصاروا فحما ولم تجد شيئا تأكله، سكن، فيُعادُون خلقاً جديداً، فتعود لهم</w:t>
      </w:r>
      <w:r w:rsidRPr="00911ED4">
        <w:rPr>
          <w:vertAlign w:val="superscript"/>
          <w:rtl/>
        </w:rPr>
        <w:t>(</w:t>
      </w:r>
      <w:r w:rsidRPr="00911ED4">
        <w:rPr>
          <w:vertAlign w:val="superscript"/>
          <w:rtl/>
        </w:rPr>
        <w:footnoteReference w:id="706"/>
      </w:r>
      <w:r w:rsidRPr="00911ED4">
        <w:rPr>
          <w:vertAlign w:val="superscript"/>
          <w:rtl/>
        </w:rPr>
        <w:t>)</w:t>
      </w:r>
      <w:r w:rsidRPr="00911ED4">
        <w:rPr>
          <w:rtl/>
        </w:rPr>
        <w:t>. وقال ابن قتيبة: يقال: خبت النار: إِذا سكن لهبها. فالَّلهب يسكن، والجمر يعمل، فإن سكن الَّلهب، ولم يُطفَأ الجمر، قيل: خَمَدت تَخْمُدُ خُمُوداً، فإن طُفئت ولم يبق منها شيء، قيل: هَمَدت تَهْمُد هُمُوداً</w:t>
      </w:r>
      <w:r w:rsidRPr="00911ED4">
        <w:rPr>
          <w:vertAlign w:val="superscript"/>
          <w:rtl/>
        </w:rPr>
        <w:t>(</w:t>
      </w:r>
      <w:r w:rsidRPr="00911ED4">
        <w:rPr>
          <w:vertAlign w:val="superscript"/>
          <w:rtl/>
        </w:rPr>
        <w:footnoteReference w:id="707"/>
      </w:r>
      <w:r w:rsidRPr="00911ED4">
        <w:rPr>
          <w:vertAlign w:val="superscript"/>
          <w:rtl/>
        </w:rPr>
        <w:t>)</w:t>
      </w:r>
      <w:r w:rsidRPr="00911ED4">
        <w:rPr>
          <w:rtl/>
        </w:rPr>
        <w:t xml:space="preserve">. ومعنى </w:t>
      </w:r>
      <w:r w:rsidRPr="00911ED4">
        <w:rPr>
          <w:rFonts w:ascii="QCF_BSML" w:hAnsi="QCF_BSML" w:cs="QCF_BSML"/>
          <w:sz w:val="32"/>
          <w:szCs w:val="32"/>
          <w:rtl/>
          <w:lang w:eastAsia="en-US"/>
        </w:rPr>
        <w:t>ﭽ</w:t>
      </w:r>
      <w:r w:rsidRPr="00911ED4">
        <w:rPr>
          <w:rFonts w:ascii="QCF_P292" w:hAnsi="QCF_P292" w:cs="QCF_P292"/>
          <w:color w:val="auto"/>
          <w:sz w:val="32"/>
          <w:szCs w:val="32"/>
          <w:rtl/>
          <w:lang w:eastAsia="en-US"/>
        </w:rPr>
        <w:t>ﭮ  ﭯ</w:t>
      </w:r>
      <w:r w:rsidRPr="00911ED4">
        <w:rPr>
          <w:rFonts w:ascii="QCF_BSML" w:hAnsi="QCF_BSML" w:cs="QCF_BSML"/>
          <w:sz w:val="32"/>
          <w:szCs w:val="32"/>
          <w:rtl/>
          <w:lang w:eastAsia="en-US"/>
        </w:rPr>
        <w:t>ﭼ</w:t>
      </w:r>
      <w:r w:rsidRPr="00911ED4">
        <w:rPr>
          <w:rFonts w:ascii="QCF_P292" w:hAnsi="QCF_P292" w:cs="QCF_P292"/>
          <w:color w:val="auto"/>
          <w:sz w:val="32"/>
          <w:szCs w:val="32"/>
          <w:rtl/>
          <w:lang w:eastAsia="en-US"/>
        </w:rPr>
        <w:t xml:space="preserve">  </w:t>
      </w:r>
      <w:r w:rsidRPr="00911ED4">
        <w:rPr>
          <w:rtl/>
        </w:rPr>
        <w:t>ناراً تتسعر، أي تتلهَّب</w:t>
      </w:r>
      <w:r w:rsidRPr="00911ED4">
        <w:rPr>
          <w:vertAlign w:val="superscript"/>
          <w:rtl/>
        </w:rPr>
        <w:t>(</w:t>
      </w:r>
      <w:r w:rsidRPr="00911ED4">
        <w:rPr>
          <w:vertAlign w:val="superscript"/>
          <w:rtl/>
        </w:rPr>
        <w:footnoteReference w:id="708"/>
      </w:r>
      <w:r w:rsidRPr="00911ED4">
        <w:rPr>
          <w:vertAlign w:val="superscript"/>
          <w:rtl/>
        </w:rPr>
        <w:t>)</w:t>
      </w:r>
      <w:r w:rsidRPr="00911ED4">
        <w:rPr>
          <w:rtl/>
        </w:rPr>
        <w:t>. وما بعد هذا قد سبق تفسيره</w:t>
      </w:r>
      <w:r w:rsidRPr="00911ED4">
        <w:rPr>
          <w:rFonts w:hint="cs"/>
          <w:rtl/>
        </w:rPr>
        <w:t xml:space="preserve"> </w:t>
      </w:r>
      <w:r w:rsidRPr="00911ED4">
        <w:rPr>
          <w:rtl/>
        </w:rPr>
        <w:t xml:space="preserve">إلى قوله تعالى: </w:t>
      </w:r>
      <w:r w:rsidRPr="00911ED4">
        <w:rPr>
          <w:rFonts w:ascii="QCF_BSML" w:hAnsi="QCF_BSML" w:cs="QCF_BSML"/>
          <w:sz w:val="32"/>
          <w:szCs w:val="32"/>
          <w:rtl/>
          <w:lang w:eastAsia="en-US"/>
        </w:rPr>
        <w:t>ﭽ</w:t>
      </w:r>
      <w:r w:rsidRPr="00911ED4">
        <w:rPr>
          <w:rFonts w:ascii="QCF_P292" w:hAnsi="QCF_P292" w:cs="QCF_P292"/>
          <w:color w:val="auto"/>
          <w:sz w:val="32"/>
          <w:szCs w:val="32"/>
          <w:rtl/>
          <w:lang w:eastAsia="en-US"/>
        </w:rPr>
        <w:t xml:space="preserve"> ﮉ  ﮊ  ﮋ  ﮌ  ﮍ</w:t>
      </w:r>
      <w:r w:rsidRPr="00911ED4">
        <w:rPr>
          <w:rFonts w:ascii="QCF_BSML" w:hAnsi="QCF_BSML" w:cs="QCF_BSML"/>
          <w:sz w:val="32"/>
          <w:szCs w:val="32"/>
          <w:rtl/>
          <w:lang w:eastAsia="en-US"/>
        </w:rPr>
        <w:t xml:space="preserve"> ﭼ</w:t>
      </w:r>
      <w:r w:rsidRPr="00911ED4">
        <w:rPr>
          <w:vertAlign w:val="superscript"/>
          <w:rtl/>
        </w:rPr>
        <w:t>(</w:t>
      </w:r>
      <w:r w:rsidRPr="00911ED4">
        <w:rPr>
          <w:vertAlign w:val="superscript"/>
          <w:rtl/>
        </w:rPr>
        <w:footnoteReference w:id="709"/>
      </w:r>
      <w:r w:rsidRPr="00911ED4">
        <w:rPr>
          <w:vertAlign w:val="superscript"/>
          <w:rtl/>
        </w:rPr>
        <w:t>)</w:t>
      </w:r>
      <w:r w:rsidRPr="00911ED4">
        <w:rPr>
          <w:rFonts w:ascii="QCF_P292" w:hAnsi="QCF_P292" w:cs="QCF_P292"/>
          <w:color w:val="auto"/>
          <w:sz w:val="32"/>
          <w:szCs w:val="32"/>
          <w:rtl/>
          <w:lang w:eastAsia="en-US"/>
        </w:rPr>
        <w:t xml:space="preserve">   </w:t>
      </w:r>
      <w:r w:rsidRPr="00911ED4">
        <w:rPr>
          <w:rtl/>
        </w:rPr>
        <w:t>أي: على أن يخلقهم مرة ثانية، وأراد ب</w:t>
      </w:r>
      <w:r w:rsidRPr="00911ED4">
        <w:rPr>
          <w:rFonts w:ascii="QCF_BSML" w:hAnsi="QCF_BSML" w:cs="QCF_BSML"/>
          <w:sz w:val="32"/>
          <w:szCs w:val="32"/>
          <w:rtl/>
          <w:lang w:eastAsia="en-US"/>
        </w:rPr>
        <w:t>ﭽ</w:t>
      </w:r>
      <w:r w:rsidRPr="00911ED4">
        <w:rPr>
          <w:rFonts w:ascii="QCF_P292" w:hAnsi="QCF_P292" w:cs="QCF_P292"/>
          <w:color w:val="auto"/>
          <w:sz w:val="32"/>
          <w:szCs w:val="32"/>
          <w:rtl/>
          <w:lang w:eastAsia="en-US"/>
        </w:rPr>
        <w:t xml:space="preserve"> ﮍ</w:t>
      </w:r>
      <w:r w:rsidRPr="00911ED4">
        <w:rPr>
          <w:rFonts w:ascii="QCF_BSML" w:hAnsi="QCF_BSML" w:cs="QCF_BSML"/>
          <w:sz w:val="32"/>
          <w:szCs w:val="32"/>
          <w:rtl/>
          <w:lang w:eastAsia="en-US"/>
        </w:rPr>
        <w:t>ﭼ</w:t>
      </w:r>
      <w:r w:rsidRPr="00911ED4">
        <w:rPr>
          <w:rtl/>
        </w:rPr>
        <w:t xml:space="preserve"> إِياهم، وذلك أن مِثْل الشيءِ مساوٍ له، فجاز أن يعبّر به عن نفس الشيء، يقال: مِثْلُك لا يفعل هذا، أي: أنت، ومثله قوله تعالى:</w:t>
      </w:r>
      <w:r w:rsidRPr="00911ED4">
        <w:rPr>
          <w:rFonts w:ascii="QCF_BSML" w:hAnsi="QCF_BSML" w:cs="QCF_BSML"/>
          <w:sz w:val="47"/>
          <w:szCs w:val="47"/>
          <w:rtl/>
          <w:lang w:eastAsia="en-US"/>
        </w:rPr>
        <w:t xml:space="preserve"> </w:t>
      </w:r>
      <w:r w:rsidRPr="00911ED4">
        <w:rPr>
          <w:rFonts w:ascii="QCF_BSML" w:hAnsi="QCF_BSML" w:cs="QCF_BSML"/>
          <w:sz w:val="32"/>
          <w:szCs w:val="32"/>
          <w:rtl/>
          <w:lang w:eastAsia="en-US"/>
        </w:rPr>
        <w:t xml:space="preserve">ﭽ </w:t>
      </w:r>
      <w:r w:rsidRPr="00911ED4">
        <w:rPr>
          <w:rFonts w:ascii="QCF_P021" w:hAnsi="QCF_P021" w:cs="QCF_P021"/>
          <w:sz w:val="32"/>
          <w:szCs w:val="32"/>
          <w:rtl/>
          <w:lang w:eastAsia="en-US"/>
        </w:rPr>
        <w:t xml:space="preserve">ﮃ  ﮄ  ﮅ  ﮆ  ﮇ  ﮈ  </w:t>
      </w:r>
      <w:r w:rsidRPr="00911ED4">
        <w:rPr>
          <w:rFonts w:ascii="QCF_BSML" w:hAnsi="QCF_BSML" w:cs="QCF_BSML"/>
          <w:sz w:val="32"/>
          <w:szCs w:val="32"/>
          <w:rtl/>
          <w:lang w:eastAsia="en-US"/>
        </w:rPr>
        <w:t>ﭼ</w:t>
      </w:r>
      <w:r w:rsidRPr="00911ED4">
        <w:rPr>
          <w:rFonts w:ascii="Traditional Arabic" w:hAnsi="Traditional Arabic"/>
          <w:color w:val="auto"/>
          <w:sz w:val="32"/>
          <w:szCs w:val="32"/>
          <w:rtl/>
          <w:lang w:eastAsia="en-US"/>
        </w:rPr>
        <w:t>[البقرة: ١٣٧]</w:t>
      </w:r>
      <w:r w:rsidRPr="00911ED4">
        <w:rPr>
          <w:vertAlign w:val="superscript"/>
          <w:rtl/>
        </w:rPr>
        <w:t>(</w:t>
      </w:r>
      <w:r w:rsidRPr="00911ED4">
        <w:rPr>
          <w:vertAlign w:val="superscript"/>
          <w:rtl/>
        </w:rPr>
        <w:footnoteReference w:id="710"/>
      </w:r>
      <w:r w:rsidRPr="00911ED4">
        <w:rPr>
          <w:vertAlign w:val="superscript"/>
          <w:rtl/>
        </w:rPr>
        <w:t>)</w:t>
      </w:r>
      <w:r w:rsidRPr="00911ED4">
        <w:rPr>
          <w:rtl/>
        </w:rPr>
        <w:t xml:space="preserve">وقد تمّ الكلام عند قوله تعالى: </w:t>
      </w:r>
      <w:r w:rsidRPr="00911ED4">
        <w:rPr>
          <w:rFonts w:ascii="QCF_BSML" w:hAnsi="QCF_BSML" w:cs="QCF_BSML"/>
          <w:sz w:val="32"/>
          <w:szCs w:val="32"/>
          <w:rtl/>
          <w:lang w:eastAsia="en-US"/>
        </w:rPr>
        <w:lastRenderedPageBreak/>
        <w:t>ﭽ</w:t>
      </w:r>
      <w:r w:rsidRPr="00911ED4">
        <w:rPr>
          <w:rFonts w:ascii="QCF_P292" w:hAnsi="QCF_P292" w:cs="QCF_P292"/>
          <w:color w:val="auto"/>
          <w:sz w:val="32"/>
          <w:szCs w:val="32"/>
          <w:rtl/>
          <w:lang w:eastAsia="en-US"/>
        </w:rPr>
        <w:t xml:space="preserve"> ﮍ</w:t>
      </w:r>
      <w:r w:rsidRPr="00911ED4">
        <w:rPr>
          <w:rFonts w:ascii="QCF_BSML" w:hAnsi="QCF_BSML" w:cs="QCF_BSML"/>
          <w:sz w:val="32"/>
          <w:szCs w:val="32"/>
          <w:rtl/>
          <w:lang w:eastAsia="en-US"/>
        </w:rPr>
        <w:t xml:space="preserve"> ﭼ</w:t>
      </w:r>
      <w:r w:rsidRPr="00911ED4">
        <w:rPr>
          <w:rtl/>
        </w:rPr>
        <w:t xml:space="preserve"> ثم قال:</w:t>
      </w:r>
      <w:r w:rsidRPr="00911ED4">
        <w:rPr>
          <w:rFonts w:ascii="QCF_BSML" w:hAnsi="QCF_BSML" w:cs="QCF_BSML"/>
          <w:sz w:val="32"/>
          <w:szCs w:val="32"/>
          <w:rtl/>
          <w:lang w:eastAsia="en-US"/>
        </w:rPr>
        <w:t xml:space="preserve"> ﭽ</w:t>
      </w:r>
      <w:r w:rsidRPr="00911ED4">
        <w:rPr>
          <w:rFonts w:ascii="QCF_P292" w:hAnsi="QCF_P292" w:cs="QCF_P292"/>
          <w:color w:val="auto"/>
          <w:sz w:val="32"/>
          <w:szCs w:val="32"/>
          <w:rtl/>
          <w:lang w:eastAsia="en-US"/>
        </w:rPr>
        <w:t>ﮎ  ﮏ   ﮐ  ﮑ  ﮒ  ﮓ</w:t>
      </w:r>
      <w:r w:rsidRPr="00911ED4">
        <w:rPr>
          <w:rFonts w:ascii="QCF_BSML" w:hAnsi="QCF_BSML" w:cs="QCF_BSML"/>
          <w:sz w:val="32"/>
          <w:szCs w:val="32"/>
          <w:rtl/>
          <w:lang w:eastAsia="en-US"/>
        </w:rPr>
        <w:t xml:space="preserve"> ﭼ</w:t>
      </w:r>
      <w:r w:rsidRPr="00911ED4">
        <w:rPr>
          <w:rFonts w:ascii="QCF_P292" w:hAnsi="QCF_P292" w:cs="QCF_P292"/>
          <w:color w:val="auto"/>
          <w:sz w:val="32"/>
          <w:szCs w:val="32"/>
          <w:rtl/>
          <w:lang w:eastAsia="en-US"/>
        </w:rPr>
        <w:t xml:space="preserve">  </w:t>
      </w:r>
      <w:r w:rsidRPr="00911ED4">
        <w:rPr>
          <w:rtl/>
        </w:rPr>
        <w:t xml:space="preserve">يعني: أجل البعث </w:t>
      </w:r>
      <w:r w:rsidRPr="00911ED4">
        <w:rPr>
          <w:rFonts w:ascii="QCF_BSML" w:hAnsi="QCF_BSML" w:cs="QCF_BSML"/>
          <w:sz w:val="32"/>
          <w:szCs w:val="32"/>
          <w:rtl/>
          <w:lang w:eastAsia="en-US"/>
        </w:rPr>
        <w:t>ﭽ</w:t>
      </w:r>
      <w:r w:rsidRPr="00911ED4">
        <w:rPr>
          <w:rFonts w:ascii="QCF_P292" w:hAnsi="QCF_P292" w:cs="QCF_P292"/>
          <w:color w:val="auto"/>
          <w:sz w:val="32"/>
          <w:szCs w:val="32"/>
          <w:rtl/>
          <w:lang w:eastAsia="en-US"/>
        </w:rPr>
        <w:t>ﮔ  ﮕ  ﮖ  ﮗ</w:t>
      </w:r>
      <w:r w:rsidRPr="00911ED4">
        <w:rPr>
          <w:rFonts w:ascii="QCF_BSML" w:hAnsi="QCF_BSML" w:cs="QCF_BSML"/>
          <w:sz w:val="32"/>
          <w:szCs w:val="32"/>
          <w:rtl/>
          <w:lang w:eastAsia="en-US"/>
        </w:rPr>
        <w:t xml:space="preserve"> ﭼ</w:t>
      </w:r>
      <w:r w:rsidRPr="00911ED4">
        <w:rPr>
          <w:rFonts w:ascii="QCF_P292" w:hAnsi="QCF_P292" w:cs="QCF_P292"/>
          <w:color w:val="auto"/>
          <w:sz w:val="32"/>
          <w:szCs w:val="32"/>
          <w:rtl/>
          <w:lang w:eastAsia="en-US"/>
        </w:rPr>
        <w:t xml:space="preserve"> </w:t>
      </w:r>
      <w:r w:rsidRPr="00911ED4">
        <w:rPr>
          <w:rtl/>
        </w:rPr>
        <w:t>أي: جحوداً بذلك الأجل</w:t>
      </w:r>
      <w:r w:rsidRPr="00911ED4">
        <w:rPr>
          <w:vertAlign w:val="superscript"/>
          <w:rtl/>
        </w:rPr>
        <w:t>(</w:t>
      </w:r>
      <w:r w:rsidRPr="00911ED4">
        <w:rPr>
          <w:vertAlign w:val="superscript"/>
          <w:rtl/>
        </w:rPr>
        <w:footnoteReference w:id="711"/>
      </w:r>
      <w:r w:rsidRPr="00911ED4">
        <w:rPr>
          <w:vertAlign w:val="superscript"/>
          <w:rtl/>
        </w:rPr>
        <w:t>)</w:t>
      </w:r>
      <w:r w:rsidRPr="00911ED4">
        <w:rPr>
          <w:rtl/>
        </w:rPr>
        <w:t xml:space="preserve">. قوله تعالى: </w:t>
      </w:r>
      <w:r w:rsidRPr="00911ED4">
        <w:rPr>
          <w:rFonts w:ascii="QCF_BSML" w:hAnsi="QCF_BSML" w:cs="QCF_BSML"/>
          <w:sz w:val="32"/>
          <w:szCs w:val="32"/>
          <w:rtl/>
          <w:lang w:eastAsia="en-US"/>
        </w:rPr>
        <w:t>ﭽ</w:t>
      </w:r>
      <w:r w:rsidRPr="00911ED4">
        <w:rPr>
          <w:rFonts w:ascii="QCF_P292" w:hAnsi="QCF_P292" w:cs="QCF_P292"/>
          <w:color w:val="auto"/>
          <w:sz w:val="32"/>
          <w:szCs w:val="32"/>
          <w:rtl/>
          <w:lang w:eastAsia="en-US"/>
        </w:rPr>
        <w:t xml:space="preserve"> ﮙ  ﮚ   ﮛ  ﮜ  ﮝ  ﮞ  ﮟ </w:t>
      </w:r>
      <w:r w:rsidRPr="00911ED4">
        <w:rPr>
          <w:rFonts w:ascii="QCF_BSML" w:hAnsi="QCF_BSML" w:cs="QCF_BSML"/>
          <w:sz w:val="32"/>
          <w:szCs w:val="32"/>
          <w:rtl/>
          <w:lang w:eastAsia="en-US"/>
        </w:rPr>
        <w:t>ﭼ</w:t>
      </w:r>
      <w:r w:rsidRPr="00911ED4">
        <w:rPr>
          <w:rFonts w:ascii="QCF_P292" w:hAnsi="QCF_P292" w:cs="QCF_P292"/>
          <w:color w:val="auto"/>
          <w:sz w:val="32"/>
          <w:szCs w:val="32"/>
          <w:rtl/>
          <w:lang w:eastAsia="en-US"/>
        </w:rPr>
        <w:t xml:space="preserve"> </w:t>
      </w:r>
      <w:r w:rsidRPr="00911ED4">
        <w:rPr>
          <w:rtl/>
        </w:rPr>
        <w:t>قال الزجاج: المعنى: لو تملكون أنتم، قال المتلمِّس</w:t>
      </w:r>
      <w:r w:rsidRPr="00911ED4">
        <w:rPr>
          <w:vertAlign w:val="superscript"/>
          <w:rtl/>
        </w:rPr>
        <w:t>(</w:t>
      </w:r>
      <w:r w:rsidRPr="00911ED4">
        <w:rPr>
          <w:vertAlign w:val="superscript"/>
          <w:rtl/>
        </w:rPr>
        <w:footnoteReference w:id="712"/>
      </w:r>
      <w:r w:rsidRPr="00911ED4">
        <w:rPr>
          <w:vertAlign w:val="superscript"/>
          <w:rtl/>
        </w:rPr>
        <w:t>)</w:t>
      </w:r>
      <w:r w:rsidRPr="00911ED4">
        <w:rPr>
          <w:rtl/>
        </w:rPr>
        <w:t>:</w:t>
      </w:r>
    </w:p>
    <w:p w:rsidR="00911ED4" w:rsidRPr="00911ED4" w:rsidRDefault="00911ED4" w:rsidP="00911ED4">
      <w:pPr>
        <w:ind w:firstLine="0"/>
        <w:rPr>
          <w:rtl/>
        </w:rPr>
      </w:pPr>
      <w:r w:rsidRPr="00911ED4">
        <w:rPr>
          <w:rtl/>
        </w:rPr>
        <w:t>وَلَوْ غيرُ أَخْوَالِي أَرَادُوا نَقِيصَتِي ... نَصبْتُ لهم فَوْقَ العرانينِ</w:t>
      </w:r>
      <w:r w:rsidRPr="00911ED4">
        <w:rPr>
          <w:vertAlign w:val="superscript"/>
          <w:rtl/>
        </w:rPr>
        <w:t>(</w:t>
      </w:r>
      <w:r w:rsidRPr="00911ED4">
        <w:rPr>
          <w:vertAlign w:val="superscript"/>
          <w:rtl/>
        </w:rPr>
        <w:footnoteReference w:id="713"/>
      </w:r>
      <w:r w:rsidRPr="00911ED4">
        <w:rPr>
          <w:vertAlign w:val="superscript"/>
          <w:rtl/>
        </w:rPr>
        <w:t>)</w:t>
      </w:r>
      <w:r w:rsidRPr="00911ED4">
        <w:rPr>
          <w:rtl/>
        </w:rPr>
        <w:t>مِيسَما</w:t>
      </w:r>
      <w:r w:rsidRPr="00911ED4">
        <w:rPr>
          <w:vertAlign w:val="superscript"/>
          <w:rtl/>
        </w:rPr>
        <w:t>(</w:t>
      </w:r>
      <w:r w:rsidRPr="00911ED4">
        <w:rPr>
          <w:vertAlign w:val="superscript"/>
          <w:rtl/>
        </w:rPr>
        <w:footnoteReference w:id="714"/>
      </w:r>
      <w:r w:rsidRPr="00911ED4">
        <w:rPr>
          <w:vertAlign w:val="superscript"/>
          <w:rtl/>
        </w:rPr>
        <w:t>)(</w:t>
      </w:r>
      <w:r w:rsidRPr="00911ED4">
        <w:rPr>
          <w:vertAlign w:val="superscript"/>
          <w:rtl/>
        </w:rPr>
        <w:footnoteReference w:id="715"/>
      </w:r>
      <w:r w:rsidRPr="00911ED4">
        <w:rPr>
          <w:vertAlign w:val="superscript"/>
          <w:rtl/>
        </w:rPr>
        <w:t>)</w:t>
      </w:r>
    </w:p>
    <w:p w:rsidR="00F2505B" w:rsidRPr="00F2505B" w:rsidRDefault="00224A0A" w:rsidP="00224A0A">
      <w:pPr>
        <w:ind w:firstLine="0"/>
        <w:rPr>
          <w:rtl/>
        </w:rPr>
      </w:pPr>
      <w:r w:rsidRPr="001277AD">
        <w:rPr>
          <w:rFonts w:hint="cs"/>
          <w:color w:val="0D0D0D" w:themeColor="text1" w:themeTint="F2"/>
          <w:sz w:val="32"/>
          <w:szCs w:val="32"/>
          <w:rtl/>
        </w:rPr>
        <w:t>[</w:t>
      </w:r>
      <w:r>
        <w:rPr>
          <w:rFonts w:hint="cs"/>
          <w:color w:val="0D0D0D" w:themeColor="text1" w:themeTint="F2"/>
          <w:sz w:val="32"/>
          <w:szCs w:val="32"/>
          <w:rtl/>
        </w:rPr>
        <w:t>93</w:t>
      </w:r>
      <w:r w:rsidRPr="001277AD">
        <w:rPr>
          <w:rFonts w:hint="cs"/>
          <w:color w:val="0D0D0D" w:themeColor="text1" w:themeTint="F2"/>
          <w:sz w:val="32"/>
          <w:szCs w:val="32"/>
          <w:rtl/>
        </w:rPr>
        <w:t>]</w:t>
      </w:r>
      <w:r w:rsidRPr="00911ED4">
        <w:rPr>
          <w:rFonts w:ascii="Traditional Arabic" w:hAnsi="Traditional Arabic"/>
          <w:rtl/>
        </w:rPr>
        <w:t xml:space="preserve"> </w:t>
      </w:r>
      <w:r w:rsidR="00911ED4" w:rsidRPr="00911ED4">
        <w:rPr>
          <w:rtl/>
        </w:rPr>
        <w:t>المعنى: لو أراد غير أخوالي</w:t>
      </w:r>
      <w:r w:rsidR="00911ED4" w:rsidRPr="00911ED4">
        <w:rPr>
          <w:vertAlign w:val="superscript"/>
          <w:rtl/>
        </w:rPr>
        <w:t>(</w:t>
      </w:r>
      <w:r w:rsidR="00911ED4" w:rsidRPr="00911ED4">
        <w:rPr>
          <w:vertAlign w:val="superscript"/>
          <w:rtl/>
        </w:rPr>
        <w:footnoteReference w:id="716"/>
      </w:r>
      <w:r w:rsidR="00911ED4" w:rsidRPr="00911ED4">
        <w:rPr>
          <w:vertAlign w:val="superscript"/>
          <w:rtl/>
        </w:rPr>
        <w:t>)</w:t>
      </w:r>
      <w:r w:rsidR="00911ED4" w:rsidRPr="00911ED4">
        <w:rPr>
          <w:rtl/>
        </w:rPr>
        <w:t>.</w:t>
      </w:r>
      <w:r w:rsidR="00911ED4" w:rsidRPr="00911ED4">
        <w:rPr>
          <w:rFonts w:hint="cs"/>
          <w:rtl/>
        </w:rPr>
        <w:t xml:space="preserve"> </w:t>
      </w:r>
      <w:r w:rsidR="00911ED4" w:rsidRPr="00911ED4">
        <w:rPr>
          <w:rtl/>
        </w:rPr>
        <w:t>وفي هذه الخزائن قولان: أحدهما: خزائن الأرزاق</w:t>
      </w:r>
      <w:r w:rsidR="00911ED4" w:rsidRPr="00911ED4">
        <w:rPr>
          <w:vertAlign w:val="superscript"/>
          <w:rtl/>
        </w:rPr>
        <w:t>(</w:t>
      </w:r>
      <w:r w:rsidR="00911ED4" w:rsidRPr="00911ED4">
        <w:rPr>
          <w:vertAlign w:val="superscript"/>
          <w:rtl/>
        </w:rPr>
        <w:footnoteReference w:id="717"/>
      </w:r>
      <w:r w:rsidR="00911ED4" w:rsidRPr="00911ED4">
        <w:rPr>
          <w:vertAlign w:val="superscript"/>
          <w:rtl/>
        </w:rPr>
        <w:t>)</w:t>
      </w:r>
      <w:r w:rsidR="00911ED4" w:rsidRPr="00911ED4">
        <w:rPr>
          <w:rtl/>
        </w:rPr>
        <w:t>. والثاني: خزائن النِّعم</w:t>
      </w:r>
      <w:r w:rsidR="00911ED4" w:rsidRPr="00911ED4">
        <w:rPr>
          <w:vertAlign w:val="superscript"/>
          <w:rtl/>
        </w:rPr>
        <w:t>(</w:t>
      </w:r>
      <w:r w:rsidR="00911ED4" w:rsidRPr="00911ED4">
        <w:rPr>
          <w:vertAlign w:val="superscript"/>
          <w:rtl/>
        </w:rPr>
        <w:footnoteReference w:id="718"/>
      </w:r>
      <w:r w:rsidR="00911ED4" w:rsidRPr="00911ED4">
        <w:rPr>
          <w:vertAlign w:val="superscript"/>
          <w:rtl/>
        </w:rPr>
        <w:t>)</w:t>
      </w:r>
      <w:r w:rsidR="00911ED4" w:rsidRPr="00911ED4">
        <w:rPr>
          <w:rtl/>
        </w:rPr>
        <w:t>.</w:t>
      </w:r>
      <w:r w:rsidR="00911ED4" w:rsidRPr="00911ED4">
        <w:rPr>
          <w:rFonts w:hint="cs"/>
          <w:rtl/>
        </w:rPr>
        <w:t xml:space="preserve"> </w:t>
      </w:r>
      <w:r w:rsidR="00911ED4" w:rsidRPr="00911ED4">
        <w:rPr>
          <w:rtl/>
        </w:rPr>
        <w:t>فيخرج في الرحمة قولان: أحدهما: الرِّزق. والثاني: النِّعمة. وتحرير الكلام: لو ملكتم ما يملكه الله عزّ وجلّ لأمسكتم عن الإنفاق خشية الفاقة</w:t>
      </w:r>
      <w:r w:rsidR="00911ED4" w:rsidRPr="00911ED4">
        <w:rPr>
          <w:vertAlign w:val="superscript"/>
          <w:rtl/>
        </w:rPr>
        <w:t>(</w:t>
      </w:r>
      <w:r w:rsidR="00911ED4" w:rsidRPr="00911ED4">
        <w:rPr>
          <w:vertAlign w:val="superscript"/>
          <w:rtl/>
        </w:rPr>
        <w:footnoteReference w:id="719"/>
      </w:r>
      <w:r w:rsidR="00911ED4" w:rsidRPr="00911ED4">
        <w:rPr>
          <w:vertAlign w:val="superscript"/>
          <w:rtl/>
        </w:rPr>
        <w:t>)</w:t>
      </w:r>
      <w:r w:rsidR="00911ED4" w:rsidRPr="00911ED4">
        <w:rPr>
          <w:rtl/>
        </w:rPr>
        <w:t xml:space="preserve">. </w:t>
      </w:r>
      <w:r w:rsidR="00911ED4" w:rsidRPr="00911ED4">
        <w:rPr>
          <w:rFonts w:ascii="QCF_BSML" w:hAnsi="QCF_BSML" w:cs="QCF_BSML"/>
          <w:sz w:val="32"/>
          <w:szCs w:val="32"/>
          <w:rtl/>
          <w:lang w:eastAsia="en-US"/>
        </w:rPr>
        <w:t>ﭽ</w:t>
      </w:r>
      <w:r w:rsidR="00911ED4" w:rsidRPr="00911ED4">
        <w:rPr>
          <w:rtl/>
        </w:rPr>
        <w:t>وَ</w:t>
      </w:r>
      <w:r w:rsidR="00911ED4" w:rsidRPr="00911ED4">
        <w:rPr>
          <w:rFonts w:ascii="QCF_P292" w:hAnsi="QCF_P292" w:cs="QCF_P292"/>
          <w:color w:val="auto"/>
          <w:sz w:val="32"/>
          <w:szCs w:val="32"/>
          <w:rtl/>
          <w:lang w:eastAsia="en-US"/>
        </w:rPr>
        <w:t xml:space="preserve"> ﮥ  ﮦ </w:t>
      </w:r>
      <w:r w:rsidR="00911ED4" w:rsidRPr="00911ED4">
        <w:rPr>
          <w:rFonts w:ascii="QCF_BSML" w:hAnsi="QCF_BSML" w:cs="QCF_BSML"/>
          <w:sz w:val="32"/>
          <w:szCs w:val="32"/>
          <w:rtl/>
          <w:lang w:eastAsia="en-US"/>
        </w:rPr>
        <w:t>ﭼ</w:t>
      </w:r>
      <w:r w:rsidR="00911ED4" w:rsidRPr="00911ED4">
        <w:rPr>
          <w:rFonts w:ascii="QCF_P292" w:hAnsi="QCF_P292" w:cs="QCF_P292"/>
          <w:color w:val="auto"/>
          <w:sz w:val="32"/>
          <w:szCs w:val="32"/>
          <w:rtl/>
          <w:lang w:eastAsia="en-US"/>
        </w:rPr>
        <w:t xml:space="preserve"> </w:t>
      </w:r>
      <w:r w:rsidR="00911ED4" w:rsidRPr="00911ED4">
        <w:rPr>
          <w:rtl/>
        </w:rPr>
        <w:t xml:space="preserve">يعني: الكافر </w:t>
      </w:r>
      <w:r w:rsidR="00911ED4" w:rsidRPr="00911ED4">
        <w:rPr>
          <w:rFonts w:ascii="QCF_BSML" w:hAnsi="QCF_BSML" w:cs="QCF_BSML"/>
          <w:sz w:val="32"/>
          <w:szCs w:val="32"/>
          <w:rtl/>
          <w:lang w:eastAsia="en-US"/>
        </w:rPr>
        <w:t>ﭽ</w:t>
      </w:r>
      <w:r w:rsidR="00911ED4" w:rsidRPr="00911ED4">
        <w:rPr>
          <w:rFonts w:ascii="QCF_P292" w:hAnsi="QCF_P292" w:cs="QCF_P292"/>
          <w:color w:val="auto"/>
          <w:sz w:val="32"/>
          <w:szCs w:val="32"/>
          <w:rtl/>
          <w:lang w:eastAsia="en-US"/>
        </w:rPr>
        <w:t>ﮧ</w:t>
      </w:r>
      <w:r w:rsidR="00911ED4" w:rsidRPr="00911ED4">
        <w:rPr>
          <w:rFonts w:ascii="QCF_BSML" w:hAnsi="QCF_BSML" w:cs="QCF_BSML"/>
          <w:sz w:val="32"/>
          <w:szCs w:val="32"/>
          <w:rtl/>
          <w:lang w:eastAsia="en-US"/>
        </w:rPr>
        <w:t xml:space="preserve"> ﭼ</w:t>
      </w:r>
      <w:r w:rsidR="00911ED4" w:rsidRPr="00911ED4">
        <w:rPr>
          <w:rtl/>
        </w:rPr>
        <w:t xml:space="preserve"> أي:</w:t>
      </w:r>
      <w:r w:rsidR="00911ED4" w:rsidRPr="00911ED4">
        <w:rPr>
          <w:rFonts w:hint="cs"/>
          <w:rtl/>
        </w:rPr>
        <w:t xml:space="preserve"> </w:t>
      </w:r>
      <w:r w:rsidR="00911ED4" w:rsidRPr="00911ED4">
        <w:rPr>
          <w:rtl/>
        </w:rPr>
        <w:t>بخيلاً مُمْسِكاً يقال: قَتَر يَقْتُرُ، وقَتَر يَقْتِرُ: إِذا قصَّر في الإِنفاق</w:t>
      </w:r>
      <w:r w:rsidR="00911ED4" w:rsidRPr="00911ED4">
        <w:rPr>
          <w:vertAlign w:val="superscript"/>
          <w:rtl/>
        </w:rPr>
        <w:t>(</w:t>
      </w:r>
      <w:r w:rsidR="00911ED4" w:rsidRPr="00911ED4">
        <w:rPr>
          <w:vertAlign w:val="superscript"/>
          <w:rtl/>
        </w:rPr>
        <w:footnoteReference w:id="720"/>
      </w:r>
      <w:r w:rsidR="00911ED4" w:rsidRPr="00911ED4">
        <w:rPr>
          <w:vertAlign w:val="superscript"/>
          <w:rtl/>
        </w:rPr>
        <w:t>)</w:t>
      </w:r>
      <w:r w:rsidR="00911ED4" w:rsidRPr="00911ED4">
        <w:rPr>
          <w:rtl/>
        </w:rPr>
        <w:t>. وقال الماوردي: لو ملك أحد</w:t>
      </w:r>
      <w:r w:rsidR="00911ED4" w:rsidRPr="00911ED4">
        <w:rPr>
          <w:rFonts w:hint="cs"/>
          <w:rtl/>
        </w:rPr>
        <w:t xml:space="preserve"> </w:t>
      </w:r>
      <w:r w:rsidR="00911ED4" w:rsidRPr="00911ED4">
        <w:rPr>
          <w:rtl/>
        </w:rPr>
        <w:t>المخلوقين</w:t>
      </w:r>
      <w:r w:rsidR="00911ED4" w:rsidRPr="00911ED4">
        <w:rPr>
          <w:vertAlign w:val="superscript"/>
          <w:rtl/>
        </w:rPr>
        <w:t>(</w:t>
      </w:r>
      <w:r w:rsidR="00911ED4" w:rsidRPr="00911ED4">
        <w:rPr>
          <w:vertAlign w:val="superscript"/>
          <w:rtl/>
        </w:rPr>
        <w:footnoteReference w:id="721"/>
      </w:r>
      <w:r w:rsidR="00911ED4" w:rsidRPr="00911ED4">
        <w:rPr>
          <w:vertAlign w:val="superscript"/>
          <w:rtl/>
        </w:rPr>
        <w:t>)</w:t>
      </w:r>
      <w:r w:rsidR="00911ED4" w:rsidRPr="00911ED4">
        <w:rPr>
          <w:rtl/>
        </w:rPr>
        <w:t xml:space="preserve">من خزائن الله تعالى، لما جاد كجود الله </w:t>
      </w:r>
      <w:r w:rsidR="00911ED4" w:rsidRPr="00911ED4">
        <w:rPr>
          <w:rtl/>
        </w:rPr>
        <w:lastRenderedPageBreak/>
        <w:t xml:space="preserve">تعالى، لأمرين: أحدهما: أنه لا بد أن يُمسِك </w:t>
      </w:r>
      <w:r w:rsidR="00F2505B">
        <w:rPr>
          <w:rFonts w:hint="cs"/>
          <w:rtl/>
        </w:rPr>
        <w:t>[</w:t>
      </w:r>
      <w:r w:rsidR="00911ED4" w:rsidRPr="00911ED4">
        <w:rPr>
          <w:rtl/>
        </w:rPr>
        <w:t>منه</w:t>
      </w:r>
      <w:r w:rsidR="00911ED4" w:rsidRPr="00911ED4">
        <w:rPr>
          <w:rFonts w:hint="cs"/>
          <w:rtl/>
        </w:rPr>
        <w:t>ا</w:t>
      </w:r>
      <w:r w:rsidR="00F2505B">
        <w:rPr>
          <w:rFonts w:hint="cs"/>
          <w:rtl/>
        </w:rPr>
        <w:t>]</w:t>
      </w:r>
      <w:r w:rsidR="00911ED4" w:rsidRPr="00911ED4">
        <w:rPr>
          <w:vertAlign w:val="superscript"/>
          <w:rtl/>
        </w:rPr>
        <w:t>(</w:t>
      </w:r>
      <w:r w:rsidR="00911ED4" w:rsidRPr="00911ED4">
        <w:rPr>
          <w:vertAlign w:val="superscript"/>
          <w:rtl/>
        </w:rPr>
        <w:footnoteReference w:id="722"/>
      </w:r>
      <w:r w:rsidR="00911ED4" w:rsidRPr="00911ED4">
        <w:rPr>
          <w:vertAlign w:val="superscript"/>
          <w:rtl/>
        </w:rPr>
        <w:t>)</w:t>
      </w:r>
      <w:r w:rsidR="00911ED4" w:rsidRPr="00911ED4">
        <w:rPr>
          <w:rtl/>
        </w:rPr>
        <w:t>لنفقته ومنفعته. والثاني: أنه يخاف الفقر، والله تعالى منزَّه في جُوده عن الحالين</w:t>
      </w:r>
      <w:r w:rsidR="00911ED4" w:rsidRPr="00911ED4">
        <w:rPr>
          <w:vertAlign w:val="superscript"/>
          <w:rtl/>
        </w:rPr>
        <w:t>(</w:t>
      </w:r>
      <w:r w:rsidR="00911ED4" w:rsidRPr="00911ED4">
        <w:rPr>
          <w:vertAlign w:val="superscript"/>
          <w:rtl/>
        </w:rPr>
        <w:footnoteReference w:id="723"/>
      </w:r>
      <w:r w:rsidR="00911ED4" w:rsidRPr="00911ED4">
        <w:rPr>
          <w:vertAlign w:val="superscript"/>
          <w:rtl/>
        </w:rPr>
        <w:t>)</w:t>
      </w:r>
      <w:r w:rsidR="00911ED4" w:rsidRPr="00911ED4">
        <w:rPr>
          <w:rtl/>
        </w:rPr>
        <w:t>.</w:t>
      </w:r>
    </w:p>
    <w:p w:rsidR="00F2505B" w:rsidRDefault="00911ED4" w:rsidP="00F2505B">
      <w:pPr>
        <w:ind w:firstLine="0"/>
        <w:rPr>
          <w:rFonts w:ascii="Arial" w:hAnsi="Arial" w:cs="Arial"/>
          <w:sz w:val="32"/>
          <w:szCs w:val="32"/>
          <w:rtl/>
          <w:lang w:eastAsia="en-US"/>
        </w:rPr>
      </w:pPr>
      <w:r w:rsidRPr="00911ED4">
        <w:rPr>
          <w:rFonts w:ascii="QCF_BSML" w:hAnsi="QCF_BSML" w:cs="QCF_BSML"/>
          <w:sz w:val="47"/>
          <w:szCs w:val="47"/>
          <w:rtl/>
          <w:lang w:eastAsia="en-US"/>
        </w:rPr>
        <w:t xml:space="preserve"> </w:t>
      </w:r>
      <w:r w:rsidRPr="00911ED4">
        <w:rPr>
          <w:rFonts w:ascii="QCF_BSML" w:hAnsi="QCF_BSML" w:cs="QCF_BSML"/>
          <w:sz w:val="32"/>
          <w:szCs w:val="32"/>
          <w:rtl/>
          <w:lang w:eastAsia="en-US"/>
        </w:rPr>
        <w:t xml:space="preserve">ﭽ </w:t>
      </w:r>
      <w:r w:rsidRPr="00911ED4">
        <w:rPr>
          <w:rFonts w:ascii="QCF_P292" w:hAnsi="QCF_P292" w:cs="QCF_P292"/>
          <w:sz w:val="32"/>
          <w:szCs w:val="32"/>
          <w:rtl/>
          <w:lang w:eastAsia="en-US"/>
        </w:rPr>
        <w:t xml:space="preserve">ﮩ  ﮪ  ﮫ  ﮬ    </w:t>
      </w:r>
      <w:r w:rsidRPr="00911ED4">
        <w:rPr>
          <w:rFonts w:ascii="QCF_P292" w:hAnsi="QCF_P292" w:cs="QCF_P292"/>
          <w:color w:val="auto"/>
          <w:sz w:val="32"/>
          <w:szCs w:val="32"/>
          <w:rtl/>
          <w:lang w:eastAsia="en-US"/>
        </w:rPr>
        <w:t xml:space="preserve">ﮭ  ﮮﮯ  ﮰ  </w:t>
      </w:r>
      <w:r w:rsidRPr="00911ED4">
        <w:rPr>
          <w:rFonts w:ascii="QCF_P292" w:hAnsi="QCF_P292" w:cs="QCF_P292"/>
          <w:sz w:val="32"/>
          <w:szCs w:val="32"/>
          <w:rtl/>
          <w:lang w:eastAsia="en-US"/>
        </w:rPr>
        <w:t>ﮱ  ﯓ  ﯔ  ﯕ  ﯖ  ﯗ   ﯘ   ﯙ  ﯚ  ﯛ  ﯜ  ﯝ  ﯞ  ﯟ  ﯠ  ﯡ  ﯢ   ﯣ  ﯤ   ﯥ  ﯦ  ﯧ  ﯨ  ﯩ  ﯪ    ﯫ  ﯬ</w:t>
      </w:r>
      <w:r w:rsidRPr="00911ED4">
        <w:rPr>
          <w:rFonts w:ascii="QCF_P292" w:hAnsi="QCF_P292" w:cs="QCF_P292" w:hint="cs"/>
          <w:sz w:val="32"/>
          <w:szCs w:val="32"/>
          <w:rtl/>
          <w:lang w:eastAsia="en-US"/>
        </w:rPr>
        <w:t xml:space="preserve"> </w:t>
      </w:r>
      <w:r w:rsidRPr="00911ED4">
        <w:rPr>
          <w:rFonts w:ascii="QCF_P292" w:hAnsi="QCF_P292" w:cs="QCF_P292"/>
          <w:sz w:val="32"/>
          <w:szCs w:val="32"/>
          <w:rtl/>
          <w:lang w:eastAsia="en-US"/>
        </w:rPr>
        <w:t>ﯭ  ﯮ  ﯯ  ﯰ  ﯱ  ﯲ</w:t>
      </w:r>
      <w:r w:rsidRPr="00911ED4">
        <w:rPr>
          <w:rFonts w:ascii="QCF_P292" w:hAnsi="QCF_P292" w:cs="QCF_P292" w:hint="cs"/>
          <w:sz w:val="32"/>
          <w:szCs w:val="32"/>
          <w:rtl/>
          <w:lang w:eastAsia="en-US"/>
        </w:rPr>
        <w:t xml:space="preserve">  </w:t>
      </w:r>
      <w:r w:rsidRPr="00911ED4">
        <w:rPr>
          <w:rFonts w:ascii="QCF_P292" w:hAnsi="QCF_P292" w:cs="QCF_P292"/>
          <w:sz w:val="32"/>
          <w:szCs w:val="32"/>
          <w:rtl/>
          <w:lang w:eastAsia="en-US"/>
        </w:rPr>
        <w:t xml:space="preserve">ﯳ  ﯴ  ﯵ  ﯶ  ﯷ  ﯸ  ﯹ  ﯺ  ﯻ     ﯼ    ﯽ  ﯾ  ﯿ  ﰀ  ﰁ  ﰂ  ﰃ  ﰄ    ﰅﰆ </w:t>
      </w:r>
      <w:r w:rsidRPr="00911ED4">
        <w:rPr>
          <w:rFonts w:ascii="QCF_BSML" w:hAnsi="QCF_BSML" w:cs="QCF_BSML"/>
          <w:sz w:val="32"/>
          <w:szCs w:val="32"/>
          <w:rtl/>
          <w:lang w:eastAsia="en-US"/>
        </w:rPr>
        <w:t>ﭼ</w:t>
      </w:r>
      <w:r w:rsidRPr="00911ED4">
        <w:rPr>
          <w:rFonts w:ascii="Arial" w:hAnsi="Arial" w:cs="Arial"/>
          <w:sz w:val="32"/>
          <w:szCs w:val="32"/>
          <w:rtl/>
          <w:lang w:eastAsia="en-US"/>
        </w:rPr>
        <w:t xml:space="preserve"> </w:t>
      </w:r>
    </w:p>
    <w:p w:rsidR="006756FA" w:rsidRDefault="00911ED4" w:rsidP="00F2505B">
      <w:pPr>
        <w:ind w:firstLine="0"/>
        <w:rPr>
          <w:rtl/>
        </w:rPr>
      </w:pPr>
      <w:r w:rsidRPr="00911ED4">
        <w:rPr>
          <w:rtl/>
        </w:rPr>
        <w:t xml:space="preserve">ثم إِن الله تعالى ذكر إِنكار فرعون آيات موسى، تشبيهاً بحال هؤلاء المشركين، فقال: </w:t>
      </w:r>
      <w:r w:rsidRPr="00911ED4">
        <w:rPr>
          <w:rFonts w:ascii="QCF_BSML" w:hAnsi="QCF_BSML" w:cs="QCF_BSML"/>
          <w:sz w:val="32"/>
          <w:szCs w:val="32"/>
          <w:rtl/>
          <w:lang w:eastAsia="en-US"/>
        </w:rPr>
        <w:t>ﭽ</w:t>
      </w:r>
      <w:r w:rsidRPr="00911ED4">
        <w:rPr>
          <w:rFonts w:ascii="QCF_P292" w:hAnsi="QCF_P292" w:cs="QCF_P292"/>
          <w:sz w:val="32"/>
          <w:szCs w:val="32"/>
          <w:rtl/>
          <w:lang w:eastAsia="en-US"/>
        </w:rPr>
        <w:t xml:space="preserve">ﮩ  ﮪ  ﮫ  ﮬ    </w:t>
      </w:r>
      <w:r w:rsidRPr="00911ED4">
        <w:rPr>
          <w:rFonts w:ascii="QCF_P292" w:hAnsi="QCF_P292" w:cs="QCF_P292"/>
          <w:color w:val="auto"/>
          <w:sz w:val="32"/>
          <w:szCs w:val="32"/>
          <w:rtl/>
          <w:lang w:eastAsia="en-US"/>
        </w:rPr>
        <w:t>ﮭ</w:t>
      </w:r>
      <w:r w:rsidRPr="00911ED4">
        <w:rPr>
          <w:rFonts w:ascii="QCF_BSML" w:hAnsi="QCF_BSML" w:cs="QCF_BSML"/>
          <w:sz w:val="32"/>
          <w:szCs w:val="32"/>
          <w:rtl/>
          <w:lang w:eastAsia="en-US"/>
        </w:rPr>
        <w:t>ﭼ</w:t>
      </w:r>
      <w:r w:rsidRPr="00911ED4">
        <w:rPr>
          <w:rFonts w:ascii="QCF_P292" w:hAnsi="QCF_P292" w:cs="QCF_P292"/>
          <w:color w:val="auto"/>
          <w:sz w:val="32"/>
          <w:szCs w:val="32"/>
          <w:rtl/>
          <w:lang w:eastAsia="en-US"/>
        </w:rPr>
        <w:t xml:space="preserve">  </w:t>
      </w:r>
      <w:r w:rsidRPr="00911ED4">
        <w:rPr>
          <w:rtl/>
        </w:rPr>
        <w:t>وفيها قولان: أحدهما: أنها بمعنى المعجزات والدلالات</w:t>
      </w:r>
      <w:r w:rsidRPr="00911ED4">
        <w:rPr>
          <w:vertAlign w:val="superscript"/>
          <w:rtl/>
        </w:rPr>
        <w:t>(</w:t>
      </w:r>
      <w:r w:rsidRPr="00911ED4">
        <w:rPr>
          <w:vertAlign w:val="superscript"/>
          <w:rtl/>
        </w:rPr>
        <w:footnoteReference w:id="724"/>
      </w:r>
      <w:r w:rsidRPr="00911ED4">
        <w:rPr>
          <w:vertAlign w:val="superscript"/>
          <w:rtl/>
        </w:rPr>
        <w:t>)</w:t>
      </w:r>
      <w:r w:rsidRPr="00911ED4">
        <w:rPr>
          <w:rtl/>
        </w:rPr>
        <w:t>، ثم اتفق جمهور المفسرين على سبع آيات منها، وهي: يده، والعصا</w:t>
      </w:r>
      <w:r w:rsidRPr="00911ED4">
        <w:rPr>
          <w:vertAlign w:val="superscript"/>
          <w:rtl/>
        </w:rPr>
        <w:t>(</w:t>
      </w:r>
      <w:r w:rsidRPr="00911ED4">
        <w:rPr>
          <w:vertAlign w:val="superscript"/>
          <w:rtl/>
        </w:rPr>
        <w:footnoteReference w:id="725"/>
      </w:r>
      <w:r w:rsidRPr="00911ED4">
        <w:rPr>
          <w:vertAlign w:val="superscript"/>
          <w:rtl/>
        </w:rPr>
        <w:t>)</w:t>
      </w:r>
      <w:r w:rsidRPr="00911ED4">
        <w:rPr>
          <w:rtl/>
        </w:rPr>
        <w:t>، والطوفان، والجراد، والقُمَّل، والضفادع، والدم، واختلفوا في الآيتين الآخرتين على ثمانية أقوال: أحدها: أنهما لسانه والبحر الذي فلق له، رواه العوفي عن ابن عباس</w:t>
      </w:r>
      <w:r w:rsidRPr="00911ED4">
        <w:rPr>
          <w:rFonts w:hint="cs"/>
          <w:rtl/>
        </w:rPr>
        <w:t>.</w:t>
      </w:r>
      <w:r w:rsidRPr="00911ED4">
        <w:rPr>
          <w:vertAlign w:val="superscript"/>
          <w:rtl/>
        </w:rPr>
        <w:t>(</w:t>
      </w:r>
      <w:r w:rsidRPr="00911ED4">
        <w:rPr>
          <w:vertAlign w:val="superscript"/>
          <w:rtl/>
        </w:rPr>
        <w:footnoteReference w:id="726"/>
      </w:r>
      <w:r w:rsidRPr="00911ED4">
        <w:rPr>
          <w:vertAlign w:val="superscript"/>
          <w:rtl/>
        </w:rPr>
        <w:t>)</w:t>
      </w:r>
      <w:r w:rsidRPr="00911ED4">
        <w:rPr>
          <w:rtl/>
        </w:rPr>
        <w:t>يعني بلسانه: أنه كان فيه عقدة فحلَّها الله تعالى له. والثاني: البحر والجبل الذي نُتق فوقهم، رواه الضحاك عن ابن عباس</w:t>
      </w:r>
      <w:r w:rsidRPr="00911ED4">
        <w:rPr>
          <w:vertAlign w:val="superscript"/>
          <w:rtl/>
        </w:rPr>
        <w:t>(</w:t>
      </w:r>
      <w:r w:rsidRPr="00911ED4">
        <w:rPr>
          <w:vertAlign w:val="superscript"/>
          <w:rtl/>
        </w:rPr>
        <w:footnoteReference w:id="727"/>
      </w:r>
      <w:r w:rsidRPr="00911ED4">
        <w:rPr>
          <w:vertAlign w:val="superscript"/>
          <w:rtl/>
        </w:rPr>
        <w:t>)</w:t>
      </w:r>
      <w:r w:rsidRPr="00911ED4">
        <w:rPr>
          <w:rtl/>
        </w:rPr>
        <w:t>. والثالث: السّنون ونقص الثمرات، رواه عكرمة عن ابن عباس</w:t>
      </w:r>
      <w:r w:rsidRPr="00911ED4">
        <w:rPr>
          <w:vertAlign w:val="superscript"/>
          <w:rtl/>
        </w:rPr>
        <w:t>(</w:t>
      </w:r>
      <w:r w:rsidRPr="00911ED4">
        <w:rPr>
          <w:vertAlign w:val="superscript"/>
          <w:rtl/>
        </w:rPr>
        <w:footnoteReference w:id="728"/>
      </w:r>
      <w:r w:rsidRPr="00911ED4">
        <w:rPr>
          <w:vertAlign w:val="superscript"/>
          <w:rtl/>
        </w:rPr>
        <w:t>)</w:t>
      </w:r>
      <w:r w:rsidRPr="00911ED4">
        <w:rPr>
          <w:rtl/>
        </w:rPr>
        <w:t>، وبه قال مجاهد، والشعبي، وعكرمة، وقتادة</w:t>
      </w:r>
      <w:r w:rsidRPr="00911ED4">
        <w:rPr>
          <w:vertAlign w:val="superscript"/>
          <w:rtl/>
        </w:rPr>
        <w:t>(</w:t>
      </w:r>
      <w:r w:rsidRPr="00911ED4">
        <w:rPr>
          <w:vertAlign w:val="superscript"/>
          <w:rtl/>
        </w:rPr>
        <w:footnoteReference w:id="729"/>
      </w:r>
      <w:r w:rsidRPr="00911ED4">
        <w:rPr>
          <w:vertAlign w:val="superscript"/>
          <w:rtl/>
        </w:rPr>
        <w:t>)</w:t>
      </w:r>
      <w:r w:rsidRPr="00911ED4">
        <w:rPr>
          <w:rtl/>
        </w:rPr>
        <w:t>. وقال الحسن: السِّنون ونقص الثمرات آية واحدة</w:t>
      </w:r>
      <w:r w:rsidRPr="00911ED4">
        <w:rPr>
          <w:vertAlign w:val="superscript"/>
          <w:rtl/>
        </w:rPr>
        <w:t>(</w:t>
      </w:r>
      <w:r w:rsidRPr="00911ED4">
        <w:rPr>
          <w:vertAlign w:val="superscript"/>
          <w:rtl/>
        </w:rPr>
        <w:footnoteReference w:id="730"/>
      </w:r>
      <w:r w:rsidRPr="00911ED4">
        <w:rPr>
          <w:vertAlign w:val="superscript"/>
          <w:rtl/>
        </w:rPr>
        <w:t>)</w:t>
      </w:r>
      <w:r w:rsidRPr="00911ED4">
        <w:rPr>
          <w:rtl/>
        </w:rPr>
        <w:t xml:space="preserve">. والرابع: البحر والموت أُرسل عليهم، قاله </w:t>
      </w:r>
    </w:p>
    <w:p w:rsidR="006756FA" w:rsidRDefault="006756FA" w:rsidP="00F2505B">
      <w:pPr>
        <w:ind w:firstLine="0"/>
        <w:rPr>
          <w:rtl/>
        </w:rPr>
      </w:pPr>
    </w:p>
    <w:p w:rsidR="00911ED4" w:rsidRPr="0094727C" w:rsidRDefault="00911ED4" w:rsidP="006756FA">
      <w:pPr>
        <w:ind w:firstLine="0"/>
        <w:rPr>
          <w:rtl/>
        </w:rPr>
      </w:pPr>
      <w:r w:rsidRPr="00911ED4">
        <w:rPr>
          <w:rtl/>
        </w:rPr>
        <w:lastRenderedPageBreak/>
        <w:t>الحسن</w:t>
      </w:r>
      <w:r w:rsidRPr="00911ED4">
        <w:rPr>
          <w:vertAlign w:val="superscript"/>
          <w:rtl/>
        </w:rPr>
        <w:t>(</w:t>
      </w:r>
      <w:r w:rsidRPr="00911ED4">
        <w:rPr>
          <w:vertAlign w:val="superscript"/>
          <w:rtl/>
        </w:rPr>
        <w:footnoteReference w:id="731"/>
      </w:r>
      <w:r w:rsidRPr="00911ED4">
        <w:rPr>
          <w:vertAlign w:val="superscript"/>
          <w:rtl/>
        </w:rPr>
        <w:t>)</w:t>
      </w:r>
      <w:r w:rsidRPr="00911ED4">
        <w:rPr>
          <w:rtl/>
        </w:rPr>
        <w:t>، ووهب</w:t>
      </w:r>
      <w:r w:rsidRPr="00911ED4">
        <w:rPr>
          <w:rFonts w:ascii="Traditional Arabic" w:hAnsi="Traditional Arabic"/>
          <w:vertAlign w:val="superscript"/>
          <w:rtl/>
        </w:rPr>
        <w:t>(</w:t>
      </w:r>
      <w:r w:rsidRPr="00911ED4">
        <w:rPr>
          <w:rFonts w:ascii="Traditional Arabic" w:hAnsi="Traditional Arabic"/>
          <w:vertAlign w:val="superscript"/>
          <w:rtl/>
        </w:rPr>
        <w:footnoteReference w:id="732"/>
      </w:r>
      <w:r w:rsidRPr="00911ED4">
        <w:rPr>
          <w:rFonts w:ascii="Traditional Arabic" w:hAnsi="Traditional Arabic"/>
          <w:vertAlign w:val="superscript"/>
          <w:rtl/>
        </w:rPr>
        <w:t>)</w:t>
      </w:r>
      <w:r w:rsidRPr="00911ED4">
        <w:rPr>
          <w:rFonts w:ascii="Traditional Arabic" w:hAnsi="Traditional Arabic"/>
          <w:vertAlign w:val="superscript"/>
        </w:rPr>
        <w:t>(</w:t>
      </w:r>
      <w:r w:rsidRPr="00911ED4">
        <w:rPr>
          <w:rFonts w:ascii="Traditional Arabic" w:hAnsi="Traditional Arabic"/>
          <w:vertAlign w:val="superscript"/>
        </w:rPr>
        <w:footnoteReference w:id="733"/>
      </w:r>
      <w:r w:rsidRPr="00911ED4">
        <w:rPr>
          <w:rFonts w:ascii="Traditional Arabic" w:hAnsi="Traditional Arabic"/>
          <w:vertAlign w:val="superscript"/>
        </w:rPr>
        <w:t>)</w:t>
      </w:r>
      <w:r w:rsidRPr="00911ED4">
        <w:rPr>
          <w:rFonts w:ascii="Traditional Arabic" w:hAnsi="Traditional Arabic"/>
          <w:rtl/>
        </w:rPr>
        <w:t>.</w:t>
      </w:r>
      <w:r w:rsidRPr="00911ED4">
        <w:rPr>
          <w:rtl/>
        </w:rPr>
        <w:t xml:space="preserve"> والخامس: الحَجَر والبحر، قاله سعيد بن جبير</w:t>
      </w:r>
      <w:r w:rsidRPr="00911ED4">
        <w:rPr>
          <w:vertAlign w:val="superscript"/>
          <w:rtl/>
        </w:rPr>
        <w:t>(</w:t>
      </w:r>
      <w:r w:rsidRPr="00911ED4">
        <w:rPr>
          <w:vertAlign w:val="superscript"/>
          <w:rtl/>
        </w:rPr>
        <w:footnoteReference w:id="734"/>
      </w:r>
      <w:r w:rsidRPr="00911ED4">
        <w:rPr>
          <w:vertAlign w:val="superscript"/>
          <w:rtl/>
        </w:rPr>
        <w:t>)</w:t>
      </w:r>
      <w:r w:rsidRPr="00911ED4">
        <w:rPr>
          <w:rtl/>
        </w:rPr>
        <w:t>. والسادس: لسانه وإِلقاء العصا مرتين عند فرعون، قاله الضحاك</w:t>
      </w:r>
      <w:r w:rsidRPr="00911ED4">
        <w:rPr>
          <w:vertAlign w:val="superscript"/>
          <w:rtl/>
        </w:rPr>
        <w:t>(</w:t>
      </w:r>
      <w:r w:rsidRPr="00911ED4">
        <w:rPr>
          <w:vertAlign w:val="superscript"/>
          <w:rtl/>
        </w:rPr>
        <w:footnoteReference w:id="735"/>
      </w:r>
      <w:r w:rsidRPr="00911ED4">
        <w:rPr>
          <w:vertAlign w:val="superscript"/>
          <w:rtl/>
        </w:rPr>
        <w:t>)</w:t>
      </w:r>
      <w:r w:rsidRPr="00911ED4">
        <w:rPr>
          <w:rtl/>
        </w:rPr>
        <w:t>. والسابع: البحر والسِّنون، قاله محمد بن كعب</w:t>
      </w:r>
      <w:r w:rsidRPr="00911ED4">
        <w:rPr>
          <w:vertAlign w:val="superscript"/>
          <w:rtl/>
        </w:rPr>
        <w:t>(</w:t>
      </w:r>
      <w:r w:rsidRPr="00911ED4">
        <w:rPr>
          <w:vertAlign w:val="superscript"/>
          <w:rtl/>
        </w:rPr>
        <w:footnoteReference w:id="736"/>
      </w:r>
      <w:r w:rsidRPr="00911ED4">
        <w:rPr>
          <w:vertAlign w:val="superscript"/>
          <w:rtl/>
        </w:rPr>
        <w:t>)</w:t>
      </w:r>
      <w:r w:rsidRPr="00911ED4">
        <w:rPr>
          <w:rtl/>
        </w:rPr>
        <w:t xml:space="preserve">. والثامن: ذكره </w:t>
      </w:r>
      <w:r w:rsidR="0094727C">
        <w:rPr>
          <w:rFonts w:hint="cs"/>
          <w:rtl/>
        </w:rPr>
        <w:t>[</w:t>
      </w:r>
      <w:r w:rsidRPr="00911ED4">
        <w:rPr>
          <w:rtl/>
        </w:rPr>
        <w:t>محمد بن إِسحاق عن</w:t>
      </w:r>
      <w:r w:rsidR="0094727C">
        <w:rPr>
          <w:rFonts w:hint="cs"/>
          <w:rtl/>
        </w:rPr>
        <w:t>]</w:t>
      </w:r>
      <w:r w:rsidRPr="00911ED4">
        <w:rPr>
          <w:vertAlign w:val="superscript"/>
          <w:rtl/>
        </w:rPr>
        <w:t>(</w:t>
      </w:r>
      <w:r w:rsidRPr="00911ED4">
        <w:rPr>
          <w:vertAlign w:val="superscript"/>
          <w:rtl/>
        </w:rPr>
        <w:footnoteReference w:id="737"/>
      </w:r>
      <w:r w:rsidRPr="00911ED4">
        <w:rPr>
          <w:vertAlign w:val="superscript"/>
          <w:rtl/>
        </w:rPr>
        <w:t>)</w:t>
      </w:r>
      <w:r w:rsidRPr="00911ED4">
        <w:rPr>
          <w:rtl/>
        </w:rPr>
        <w:t>محمد بن كعب أيضاً، فذكر السبع الآيات الأولى، إِلا أنه جعل مكان يده البحر، وزاد الطمسة والحجر</w:t>
      </w:r>
      <w:r w:rsidRPr="00911ED4">
        <w:rPr>
          <w:vertAlign w:val="superscript"/>
          <w:rtl/>
        </w:rPr>
        <w:t>(</w:t>
      </w:r>
      <w:r w:rsidRPr="00911ED4">
        <w:rPr>
          <w:vertAlign w:val="superscript"/>
          <w:rtl/>
        </w:rPr>
        <w:footnoteReference w:id="738"/>
      </w:r>
      <w:r w:rsidRPr="00911ED4">
        <w:rPr>
          <w:vertAlign w:val="superscript"/>
          <w:rtl/>
        </w:rPr>
        <w:t>)</w:t>
      </w:r>
      <w:r w:rsidRPr="00911ED4">
        <w:rPr>
          <w:rtl/>
        </w:rPr>
        <w:t>، يعني قوله تعالى:</w:t>
      </w:r>
      <w:r w:rsidRPr="00911ED4">
        <w:rPr>
          <w:rFonts w:ascii="QCF_BSML" w:hAnsi="QCF_BSML" w:cs="QCF_BSML"/>
          <w:sz w:val="47"/>
          <w:szCs w:val="47"/>
          <w:rtl/>
          <w:lang w:eastAsia="en-US"/>
        </w:rPr>
        <w:t xml:space="preserve"> </w:t>
      </w:r>
      <w:r w:rsidRPr="00911ED4">
        <w:rPr>
          <w:rFonts w:ascii="QCF_BSML" w:hAnsi="QCF_BSML" w:cs="QCF_BSML"/>
          <w:sz w:val="32"/>
          <w:szCs w:val="32"/>
          <w:rtl/>
          <w:lang w:eastAsia="en-US"/>
        </w:rPr>
        <w:t>ﭽ</w:t>
      </w:r>
      <w:r w:rsidRPr="00911ED4">
        <w:rPr>
          <w:rFonts w:ascii="QCF_P218" w:hAnsi="QCF_P218" w:cs="QCF_P218"/>
          <w:sz w:val="32"/>
          <w:szCs w:val="32"/>
          <w:rtl/>
          <w:lang w:eastAsia="en-US"/>
        </w:rPr>
        <w:t>ﯺ  ﯻ  ﯼ</w:t>
      </w:r>
      <w:r w:rsidRPr="00911ED4">
        <w:rPr>
          <w:rFonts w:ascii="QCF_BSML" w:hAnsi="QCF_BSML" w:cs="QCF_BSML"/>
          <w:sz w:val="32"/>
          <w:szCs w:val="32"/>
          <w:rtl/>
          <w:lang w:eastAsia="en-US"/>
        </w:rPr>
        <w:t>ﭼ</w:t>
      </w:r>
      <w:r w:rsidRPr="00911ED4">
        <w:rPr>
          <w:rFonts w:ascii="Arial" w:hAnsi="Arial" w:cs="Arial"/>
          <w:sz w:val="18"/>
          <w:szCs w:val="18"/>
          <w:rtl/>
          <w:lang w:eastAsia="en-US"/>
        </w:rPr>
        <w:t xml:space="preserve"> </w:t>
      </w:r>
      <w:r w:rsidRPr="00911ED4">
        <w:rPr>
          <w:rFonts w:ascii="Traditional Arabic" w:hAnsi="Traditional Arabic" w:hint="cs"/>
          <w:color w:val="auto"/>
          <w:sz w:val="32"/>
          <w:szCs w:val="32"/>
          <w:rtl/>
          <w:lang w:eastAsia="en-US"/>
        </w:rPr>
        <w:t>[</w:t>
      </w:r>
      <w:r w:rsidRPr="00911ED4">
        <w:rPr>
          <w:rFonts w:ascii="Traditional Arabic" w:hAnsi="Traditional Arabic"/>
          <w:color w:val="auto"/>
          <w:sz w:val="32"/>
          <w:szCs w:val="32"/>
          <w:rtl/>
          <w:lang w:eastAsia="en-US"/>
        </w:rPr>
        <w:t>يونس: ٨٨</w:t>
      </w:r>
      <w:r w:rsidRPr="00911ED4">
        <w:rPr>
          <w:rFonts w:ascii="Traditional Arabic" w:hAnsi="Traditional Arabic" w:hint="cs"/>
          <w:color w:val="auto"/>
          <w:sz w:val="32"/>
          <w:szCs w:val="32"/>
          <w:rtl/>
          <w:lang w:eastAsia="en-US"/>
        </w:rPr>
        <w:t>].</w:t>
      </w:r>
      <w:r w:rsidRPr="00911ED4">
        <w:rPr>
          <w:rtl/>
        </w:rPr>
        <w:t>والثاني: أنها آيات الكتاب</w:t>
      </w:r>
      <w:r w:rsidRPr="00911ED4">
        <w:rPr>
          <w:vertAlign w:val="superscript"/>
          <w:rtl/>
        </w:rPr>
        <w:t>(</w:t>
      </w:r>
      <w:r w:rsidRPr="00911ED4">
        <w:rPr>
          <w:vertAlign w:val="superscript"/>
          <w:rtl/>
        </w:rPr>
        <w:footnoteReference w:id="739"/>
      </w:r>
      <w:r w:rsidRPr="00911ED4">
        <w:rPr>
          <w:vertAlign w:val="superscript"/>
          <w:rtl/>
        </w:rPr>
        <w:t>)</w:t>
      </w:r>
      <w:r w:rsidRPr="00911ED4">
        <w:rPr>
          <w:rtl/>
        </w:rPr>
        <w:t>.</w:t>
      </w:r>
      <w:r w:rsidRPr="00911ED4">
        <w:rPr>
          <w:rFonts w:hint="cs"/>
          <w:rtl/>
        </w:rPr>
        <w:t xml:space="preserve"> </w:t>
      </w:r>
      <w:r w:rsidRPr="00911ED4">
        <w:rPr>
          <w:rtl/>
        </w:rPr>
        <w:t>روى أبو داود السجستاني</w:t>
      </w:r>
      <w:r w:rsidRPr="00911ED4">
        <w:rPr>
          <w:vertAlign w:val="superscript"/>
          <w:rtl/>
        </w:rPr>
        <w:t>(</w:t>
      </w:r>
      <w:r w:rsidRPr="00911ED4">
        <w:rPr>
          <w:vertAlign w:val="superscript"/>
          <w:rtl/>
        </w:rPr>
        <w:footnoteReference w:id="740"/>
      </w:r>
      <w:r w:rsidRPr="00911ED4">
        <w:rPr>
          <w:vertAlign w:val="superscript"/>
          <w:rtl/>
        </w:rPr>
        <w:t>)</w:t>
      </w:r>
      <w:r w:rsidRPr="00911ED4">
        <w:rPr>
          <w:rtl/>
        </w:rPr>
        <w:t>من حديث صفوان بن عسّال</w:t>
      </w:r>
      <w:r w:rsidRPr="00911ED4">
        <w:rPr>
          <w:vertAlign w:val="superscript"/>
          <w:rtl/>
        </w:rPr>
        <w:t>(</w:t>
      </w:r>
      <w:r w:rsidRPr="00911ED4">
        <w:rPr>
          <w:vertAlign w:val="superscript"/>
          <w:rtl/>
        </w:rPr>
        <w:footnoteReference w:id="741"/>
      </w:r>
      <w:r w:rsidRPr="00911ED4">
        <w:rPr>
          <w:vertAlign w:val="superscript"/>
          <w:rtl/>
        </w:rPr>
        <w:t>)</w:t>
      </w:r>
      <w:r w:rsidRPr="00911ED4">
        <w:rPr>
          <w:rtl/>
        </w:rPr>
        <w:t xml:space="preserve">، أن يهودياً قال لصاحبه: تعال حتى نسأل هذا النبيّ، فقال </w:t>
      </w:r>
      <w:r w:rsidRPr="00911ED4">
        <w:rPr>
          <w:rtl/>
        </w:rPr>
        <w:lastRenderedPageBreak/>
        <w:t>الآخر: لا تقل: إِنه نبيٌّ، فإنه لو سمع ذلك، صارت له أربعة</w:t>
      </w:r>
      <w:r w:rsidRPr="00911ED4">
        <w:rPr>
          <w:vertAlign w:val="superscript"/>
          <w:rtl/>
        </w:rPr>
        <w:t>(</w:t>
      </w:r>
      <w:r w:rsidRPr="00911ED4">
        <w:rPr>
          <w:vertAlign w:val="superscript"/>
          <w:rtl/>
        </w:rPr>
        <w:footnoteReference w:id="742"/>
      </w:r>
      <w:r w:rsidRPr="00911ED4">
        <w:rPr>
          <w:vertAlign w:val="superscript"/>
          <w:rtl/>
        </w:rPr>
        <w:t>)</w:t>
      </w:r>
      <w:r w:rsidRPr="00911ED4">
        <w:rPr>
          <w:rtl/>
        </w:rPr>
        <w:t>أعين، فأتَيَاه فسألاه عن تسع آيات بيِّنات، فقال: «لا تشركوا بالله شيئاً، ولا تقتلوا النفس التي حرَّم الله إِلا بالحق، ولا تزنوا، ولا تَسرقوا، ولا تأكلوا الرِّبا، ولا تمشوا بالبريء إِلى السلطان ليقتلَه، ولا تَسْحَروا، ولا تقذفوا المحصنات، ولا تَفِرُّوا من الزَّحف، وعليكم خاصّةً يهودُ ألاّ تَعْدُوا في السبتِ»</w:t>
      </w:r>
      <w:r w:rsidR="00224A0A">
        <w:rPr>
          <w:rFonts w:hint="cs"/>
          <w:rtl/>
        </w:rPr>
        <w:t xml:space="preserve"> </w:t>
      </w:r>
      <w:r w:rsidR="00224A0A" w:rsidRPr="001277AD">
        <w:rPr>
          <w:rFonts w:hint="cs"/>
          <w:color w:val="0D0D0D" w:themeColor="text1" w:themeTint="F2"/>
          <w:sz w:val="32"/>
          <w:szCs w:val="32"/>
          <w:rtl/>
        </w:rPr>
        <w:t>[</w:t>
      </w:r>
      <w:r w:rsidR="00224A0A">
        <w:rPr>
          <w:rFonts w:hint="cs"/>
          <w:color w:val="0D0D0D" w:themeColor="text1" w:themeTint="F2"/>
          <w:sz w:val="32"/>
          <w:szCs w:val="32"/>
          <w:rtl/>
        </w:rPr>
        <w:t>94</w:t>
      </w:r>
      <w:r w:rsidR="00224A0A" w:rsidRPr="001277AD">
        <w:rPr>
          <w:rFonts w:hint="cs"/>
          <w:color w:val="0D0D0D" w:themeColor="text1" w:themeTint="F2"/>
          <w:sz w:val="32"/>
          <w:szCs w:val="32"/>
          <w:rtl/>
        </w:rPr>
        <w:t>]</w:t>
      </w:r>
      <w:r w:rsidRPr="00911ED4">
        <w:rPr>
          <w:rtl/>
        </w:rPr>
        <w:t>، قال: فقبَّلا يده، وقالا: نشهد أنك نبيّ</w:t>
      </w:r>
      <w:r w:rsidRPr="00911ED4">
        <w:rPr>
          <w:vertAlign w:val="superscript"/>
          <w:rtl/>
        </w:rPr>
        <w:t>(</w:t>
      </w:r>
      <w:r w:rsidRPr="00911ED4">
        <w:rPr>
          <w:vertAlign w:val="superscript"/>
          <w:rtl/>
        </w:rPr>
        <w:footnoteReference w:id="743"/>
      </w:r>
      <w:r w:rsidRPr="00911ED4">
        <w:rPr>
          <w:vertAlign w:val="superscript"/>
          <w:rtl/>
        </w:rPr>
        <w:t>)</w:t>
      </w:r>
      <w:r w:rsidRPr="00911ED4">
        <w:rPr>
          <w:rtl/>
        </w:rPr>
        <w:t>.</w:t>
      </w:r>
      <w:r w:rsidR="0094727C">
        <w:rPr>
          <w:rFonts w:hint="cs"/>
          <w:rtl/>
        </w:rPr>
        <w:t xml:space="preserve"> </w:t>
      </w:r>
      <w:r w:rsidRPr="00911ED4">
        <w:rPr>
          <w:rtl/>
        </w:rPr>
        <w:t xml:space="preserve">قوله تعالى: </w:t>
      </w:r>
      <w:r w:rsidRPr="00911ED4">
        <w:rPr>
          <w:rFonts w:ascii="QCF_BSML" w:hAnsi="QCF_BSML" w:cs="QCF_BSML"/>
          <w:sz w:val="32"/>
          <w:szCs w:val="32"/>
          <w:rtl/>
          <w:lang w:eastAsia="en-US"/>
        </w:rPr>
        <w:t>ﭽ</w:t>
      </w:r>
      <w:r w:rsidRPr="00911ED4">
        <w:rPr>
          <w:rFonts w:ascii="QCF_P292" w:hAnsi="QCF_P292" w:cs="QCF_P292"/>
          <w:color w:val="auto"/>
          <w:sz w:val="32"/>
          <w:szCs w:val="32"/>
          <w:rtl/>
          <w:lang w:eastAsia="en-US"/>
        </w:rPr>
        <w:t xml:space="preserve"> ﮰ  </w:t>
      </w:r>
      <w:r w:rsidRPr="00911ED4">
        <w:rPr>
          <w:rFonts w:ascii="QCF_P292" w:hAnsi="QCF_P292" w:cs="QCF_P292"/>
          <w:sz w:val="32"/>
          <w:szCs w:val="32"/>
          <w:rtl/>
          <w:lang w:eastAsia="en-US"/>
        </w:rPr>
        <w:t>ﮱ  ﯓ</w:t>
      </w:r>
      <w:r w:rsidRPr="00911ED4">
        <w:rPr>
          <w:rFonts w:ascii="QCF_BSML" w:hAnsi="QCF_BSML" w:cs="QCF_BSML"/>
          <w:sz w:val="32"/>
          <w:szCs w:val="32"/>
          <w:rtl/>
          <w:lang w:eastAsia="en-US"/>
        </w:rPr>
        <w:t>ﭼ</w:t>
      </w:r>
      <w:r w:rsidRPr="00911ED4">
        <w:rPr>
          <w:rFonts w:ascii="QCF_P292" w:hAnsi="QCF_P292" w:cs="QCF_P292"/>
          <w:sz w:val="32"/>
          <w:szCs w:val="32"/>
          <w:rtl/>
          <w:lang w:eastAsia="en-US"/>
        </w:rPr>
        <w:t xml:space="preserve">  </w:t>
      </w:r>
      <w:r w:rsidRPr="00911ED4">
        <w:rPr>
          <w:rtl/>
        </w:rPr>
        <w:t>قرأ الجمهور: «فاسأل»</w:t>
      </w:r>
      <w:r w:rsidRPr="00911ED4">
        <w:rPr>
          <w:vertAlign w:val="superscript"/>
          <w:rtl/>
        </w:rPr>
        <w:t>(</w:t>
      </w:r>
      <w:r w:rsidRPr="00911ED4">
        <w:rPr>
          <w:vertAlign w:val="superscript"/>
          <w:rtl/>
        </w:rPr>
        <w:footnoteReference w:id="744"/>
      </w:r>
      <w:r w:rsidRPr="00911ED4">
        <w:rPr>
          <w:vertAlign w:val="superscript"/>
          <w:rtl/>
        </w:rPr>
        <w:t>)</w:t>
      </w:r>
      <w:r w:rsidRPr="00911ED4">
        <w:rPr>
          <w:rtl/>
        </w:rPr>
        <w:t>على معنى الأمر لرسول الله</w:t>
      </w:r>
      <w:r w:rsidRPr="00911ED4">
        <w:rPr>
          <w:rFonts w:hint="cs"/>
          <w:rtl/>
        </w:rPr>
        <w:t xml:space="preserve"> </w:t>
      </w:r>
      <w:r w:rsidRPr="00911ED4">
        <w:sym w:font="AGA Arabesque" w:char="F072"/>
      </w:r>
      <w:r w:rsidRPr="00911ED4">
        <w:rPr>
          <w:rFonts w:hint="cs"/>
          <w:rtl/>
        </w:rPr>
        <w:t>؛</w:t>
      </w:r>
      <w:r w:rsidRPr="00911ED4">
        <w:rPr>
          <w:rtl/>
        </w:rPr>
        <w:t xml:space="preserve"> وإِنما</w:t>
      </w:r>
      <w:r w:rsidRPr="00911ED4">
        <w:rPr>
          <w:rFonts w:hint="cs"/>
          <w:rtl/>
        </w:rPr>
        <w:t xml:space="preserve"> </w:t>
      </w:r>
      <w:r w:rsidRPr="00911ED4">
        <w:rPr>
          <w:rtl/>
        </w:rPr>
        <w:t xml:space="preserve">أُمر أن يسأل من آمن منهم </w:t>
      </w:r>
      <w:r w:rsidRPr="00911ED4">
        <w:rPr>
          <w:rFonts w:hint="cs"/>
          <w:rtl/>
        </w:rPr>
        <w:t xml:space="preserve">على </w:t>
      </w:r>
      <w:r w:rsidRPr="00911ED4">
        <w:rPr>
          <w:rtl/>
        </w:rPr>
        <w:t>ما أ</w:t>
      </w:r>
      <w:r w:rsidRPr="00911ED4">
        <w:rPr>
          <w:rFonts w:hint="cs"/>
          <w:rtl/>
        </w:rPr>
        <w:t>ُ</w:t>
      </w:r>
      <w:r w:rsidRPr="00911ED4">
        <w:rPr>
          <w:rtl/>
        </w:rPr>
        <w:t>خبر عنهم</w:t>
      </w:r>
      <w:r w:rsidRPr="00911ED4">
        <w:rPr>
          <w:vertAlign w:val="superscript"/>
          <w:rtl/>
        </w:rPr>
        <w:t>(</w:t>
      </w:r>
      <w:r w:rsidRPr="00911ED4">
        <w:rPr>
          <w:vertAlign w:val="superscript"/>
          <w:rtl/>
        </w:rPr>
        <w:footnoteReference w:id="745"/>
      </w:r>
      <w:r w:rsidRPr="00911ED4">
        <w:rPr>
          <w:vertAlign w:val="superscript"/>
          <w:rtl/>
        </w:rPr>
        <w:t>)</w:t>
      </w:r>
      <w:r w:rsidRPr="00911ED4">
        <w:rPr>
          <w:rtl/>
        </w:rPr>
        <w:t>، ليكون حُجَّة على من لم يؤمن منهم</w:t>
      </w:r>
      <w:r w:rsidRPr="00911ED4">
        <w:rPr>
          <w:vertAlign w:val="superscript"/>
          <w:rtl/>
        </w:rPr>
        <w:t>(</w:t>
      </w:r>
      <w:r w:rsidRPr="00911ED4">
        <w:rPr>
          <w:vertAlign w:val="superscript"/>
          <w:rtl/>
        </w:rPr>
        <w:footnoteReference w:id="746"/>
      </w:r>
      <w:r w:rsidRPr="00911ED4">
        <w:rPr>
          <w:vertAlign w:val="superscript"/>
          <w:rtl/>
        </w:rPr>
        <w:t>)</w:t>
      </w:r>
      <w:r w:rsidRPr="00911ED4">
        <w:rPr>
          <w:rtl/>
        </w:rPr>
        <w:t>. وقرأ ابن عباس:</w:t>
      </w:r>
      <w:r w:rsidRPr="00911ED4">
        <w:rPr>
          <w:rFonts w:hint="cs"/>
          <w:rtl/>
        </w:rPr>
        <w:t xml:space="preserve"> </w:t>
      </w:r>
      <w:r w:rsidRPr="00911ED4">
        <w:rPr>
          <w:rtl/>
        </w:rPr>
        <w:t>«فَسَأَلَ بني إِسرائيل»</w:t>
      </w:r>
      <w:r w:rsidRPr="00911ED4">
        <w:rPr>
          <w:vertAlign w:val="superscript"/>
          <w:rtl/>
        </w:rPr>
        <w:t>(</w:t>
      </w:r>
      <w:r w:rsidRPr="00911ED4">
        <w:rPr>
          <w:vertAlign w:val="superscript"/>
          <w:rtl/>
        </w:rPr>
        <w:footnoteReference w:id="747"/>
      </w:r>
      <w:r w:rsidRPr="00911ED4">
        <w:rPr>
          <w:vertAlign w:val="superscript"/>
          <w:rtl/>
        </w:rPr>
        <w:t>)</w:t>
      </w:r>
      <w:r w:rsidRPr="00911ED4">
        <w:rPr>
          <w:rtl/>
        </w:rPr>
        <w:t xml:space="preserve">، </w:t>
      </w:r>
      <w:r w:rsidR="0094727C">
        <w:rPr>
          <w:rFonts w:hint="cs"/>
          <w:rtl/>
        </w:rPr>
        <w:t>عن</w:t>
      </w:r>
      <w:r w:rsidRPr="00911ED4">
        <w:rPr>
          <w:rtl/>
        </w:rPr>
        <w:t xml:space="preserve"> الخبر عن موسى</w:t>
      </w:r>
      <w:r w:rsidRPr="00911ED4">
        <w:rPr>
          <w:vertAlign w:val="superscript"/>
          <w:rtl/>
        </w:rPr>
        <w:t>(</w:t>
      </w:r>
      <w:r w:rsidRPr="00911ED4">
        <w:rPr>
          <w:vertAlign w:val="superscript"/>
          <w:rtl/>
        </w:rPr>
        <w:footnoteReference w:id="748"/>
      </w:r>
      <w:r w:rsidRPr="00911ED4">
        <w:rPr>
          <w:vertAlign w:val="superscript"/>
          <w:rtl/>
        </w:rPr>
        <w:t>)</w:t>
      </w:r>
      <w:r w:rsidRPr="00911ED4">
        <w:rPr>
          <w:rtl/>
        </w:rPr>
        <w:t>أنه سأل فرعون أن يرسل معه بني إِسرائيل</w:t>
      </w:r>
      <w:r w:rsidRPr="00911ED4">
        <w:rPr>
          <w:vertAlign w:val="superscript"/>
          <w:rtl/>
        </w:rPr>
        <w:t>(</w:t>
      </w:r>
      <w:r w:rsidRPr="00911ED4">
        <w:rPr>
          <w:vertAlign w:val="superscript"/>
          <w:rtl/>
        </w:rPr>
        <w:footnoteReference w:id="749"/>
      </w:r>
      <w:r w:rsidRPr="00911ED4">
        <w:rPr>
          <w:vertAlign w:val="superscript"/>
          <w:rtl/>
        </w:rPr>
        <w:t>)</w:t>
      </w:r>
      <w:r w:rsidRPr="00911ED4">
        <w:rPr>
          <w:rtl/>
        </w:rPr>
        <w:t xml:space="preserve">. </w:t>
      </w:r>
      <w:r w:rsidRPr="00911ED4">
        <w:rPr>
          <w:rFonts w:ascii="QCF_BSML" w:hAnsi="QCF_BSML" w:cs="QCF_BSML"/>
          <w:sz w:val="32"/>
          <w:szCs w:val="32"/>
          <w:rtl/>
          <w:lang w:eastAsia="en-US"/>
        </w:rPr>
        <w:t>ﭽ</w:t>
      </w:r>
      <w:r w:rsidRPr="00911ED4">
        <w:rPr>
          <w:rFonts w:ascii="QCF_P292" w:hAnsi="QCF_P292" w:cs="QCF_P292"/>
          <w:sz w:val="32"/>
          <w:szCs w:val="32"/>
          <w:rtl/>
          <w:lang w:eastAsia="en-US"/>
        </w:rPr>
        <w:t xml:space="preserve"> ﯖ  ﯗ   ﯘ   ﯙ  ﯚ</w:t>
      </w:r>
      <w:r w:rsidRPr="00911ED4">
        <w:rPr>
          <w:rFonts w:ascii="QCF_BSML" w:hAnsi="QCF_BSML" w:cs="QCF_BSML"/>
          <w:sz w:val="32"/>
          <w:szCs w:val="32"/>
          <w:rtl/>
          <w:lang w:eastAsia="en-US"/>
        </w:rPr>
        <w:t xml:space="preserve"> ﭼ</w:t>
      </w:r>
      <w:r w:rsidRPr="00911ED4">
        <w:rPr>
          <w:rFonts w:ascii="QCF_P292" w:hAnsi="QCF_P292" w:cs="QCF_P292"/>
          <w:sz w:val="32"/>
          <w:szCs w:val="32"/>
          <w:rtl/>
          <w:lang w:eastAsia="en-US"/>
        </w:rPr>
        <w:t xml:space="preserve">  </w:t>
      </w:r>
      <w:r w:rsidRPr="00911ED4">
        <w:rPr>
          <w:rtl/>
        </w:rPr>
        <w:t xml:space="preserve">أي: لأحسِبك </w:t>
      </w:r>
      <w:r w:rsidRPr="00911ED4">
        <w:rPr>
          <w:rFonts w:ascii="QCF_BSML" w:hAnsi="QCF_BSML" w:cs="QCF_BSML"/>
          <w:sz w:val="32"/>
          <w:szCs w:val="32"/>
          <w:rtl/>
          <w:lang w:eastAsia="en-US"/>
        </w:rPr>
        <w:t>ﭽ</w:t>
      </w:r>
      <w:r w:rsidRPr="00911ED4">
        <w:rPr>
          <w:rFonts w:ascii="QCF_P292" w:hAnsi="QCF_P292" w:cs="QCF_P292"/>
          <w:sz w:val="32"/>
          <w:szCs w:val="32"/>
          <w:rtl/>
          <w:lang w:eastAsia="en-US"/>
        </w:rPr>
        <w:t>ﯛ  ﯜ</w:t>
      </w:r>
      <w:r w:rsidRPr="00911ED4">
        <w:rPr>
          <w:rFonts w:ascii="QCF_BSML" w:hAnsi="QCF_BSML" w:cs="QCF_BSML"/>
          <w:sz w:val="32"/>
          <w:szCs w:val="32"/>
          <w:rtl/>
          <w:lang w:eastAsia="en-US"/>
        </w:rPr>
        <w:t>ﭼ</w:t>
      </w:r>
      <w:r w:rsidRPr="00911ED4">
        <w:rPr>
          <w:rFonts w:ascii="QCF_P292" w:hAnsi="QCF_P292" w:cs="QCF_P292"/>
          <w:sz w:val="32"/>
          <w:szCs w:val="32"/>
          <w:rtl/>
          <w:lang w:eastAsia="en-US"/>
        </w:rPr>
        <w:t xml:space="preserve">  </w:t>
      </w:r>
      <w:r w:rsidRPr="00911ED4">
        <w:rPr>
          <w:rtl/>
        </w:rPr>
        <w:t xml:space="preserve">وفيه ثلاثة أقوال: أحدها: مخدوعاً، قاله ابن </w:t>
      </w:r>
      <w:r w:rsidRPr="00911ED4">
        <w:rPr>
          <w:rtl/>
        </w:rPr>
        <w:lastRenderedPageBreak/>
        <w:t>عباس</w:t>
      </w:r>
      <w:r w:rsidRPr="00911ED4">
        <w:rPr>
          <w:vertAlign w:val="superscript"/>
          <w:rtl/>
        </w:rPr>
        <w:t>(</w:t>
      </w:r>
      <w:r w:rsidRPr="00911ED4">
        <w:rPr>
          <w:vertAlign w:val="superscript"/>
          <w:rtl/>
        </w:rPr>
        <w:footnoteReference w:id="750"/>
      </w:r>
      <w:r w:rsidRPr="00911ED4">
        <w:rPr>
          <w:vertAlign w:val="superscript"/>
          <w:rtl/>
        </w:rPr>
        <w:t>)</w:t>
      </w:r>
      <w:r w:rsidRPr="00911ED4">
        <w:rPr>
          <w:rtl/>
        </w:rPr>
        <w:t>. والثاني: مسحوراً قد سُحِرْتَ، قاله ابن السائب</w:t>
      </w:r>
      <w:r w:rsidRPr="00911ED4">
        <w:rPr>
          <w:vertAlign w:val="superscript"/>
          <w:rtl/>
        </w:rPr>
        <w:t>(</w:t>
      </w:r>
      <w:r w:rsidRPr="00911ED4">
        <w:rPr>
          <w:vertAlign w:val="superscript"/>
          <w:rtl/>
        </w:rPr>
        <w:footnoteReference w:id="751"/>
      </w:r>
      <w:r w:rsidRPr="00911ED4">
        <w:rPr>
          <w:vertAlign w:val="superscript"/>
          <w:rtl/>
        </w:rPr>
        <w:t>)(</w:t>
      </w:r>
      <w:r w:rsidRPr="00911ED4">
        <w:rPr>
          <w:vertAlign w:val="superscript"/>
          <w:rtl/>
        </w:rPr>
        <w:footnoteReference w:id="752"/>
      </w:r>
      <w:r w:rsidRPr="00911ED4">
        <w:rPr>
          <w:vertAlign w:val="superscript"/>
          <w:rtl/>
        </w:rPr>
        <w:t>)</w:t>
      </w:r>
      <w:r w:rsidRPr="00911ED4">
        <w:rPr>
          <w:rtl/>
        </w:rPr>
        <w:t>. والثالث: ساحراً، فوضع مفعولاً في موضعِ فاعلٍ، هذا مروي عن الفراء، وأبي عبيدة</w:t>
      </w:r>
      <w:r w:rsidRPr="00911ED4">
        <w:rPr>
          <w:vertAlign w:val="superscript"/>
          <w:rtl/>
        </w:rPr>
        <w:t>(</w:t>
      </w:r>
      <w:r w:rsidRPr="00911ED4">
        <w:rPr>
          <w:vertAlign w:val="superscript"/>
          <w:rtl/>
        </w:rPr>
        <w:footnoteReference w:id="753"/>
      </w:r>
      <w:r w:rsidRPr="00911ED4">
        <w:rPr>
          <w:vertAlign w:val="superscript"/>
          <w:rtl/>
        </w:rPr>
        <w:t>)</w:t>
      </w:r>
      <w:r w:rsidRPr="00911ED4">
        <w:rPr>
          <w:rtl/>
        </w:rPr>
        <w:t xml:space="preserve">. فقال موسى: </w:t>
      </w:r>
      <w:r w:rsidRPr="00911ED4">
        <w:rPr>
          <w:rFonts w:ascii="QCF_BSML" w:hAnsi="QCF_BSML" w:cs="QCF_BSML"/>
          <w:sz w:val="32"/>
          <w:szCs w:val="32"/>
          <w:rtl/>
          <w:lang w:eastAsia="en-US"/>
        </w:rPr>
        <w:t>ﭽ</w:t>
      </w:r>
      <w:r w:rsidRPr="00911ED4">
        <w:rPr>
          <w:rFonts w:ascii="QCF_P292" w:hAnsi="QCF_P292" w:cs="QCF_P292"/>
          <w:sz w:val="32"/>
          <w:szCs w:val="32"/>
          <w:rtl/>
          <w:lang w:eastAsia="en-US"/>
        </w:rPr>
        <w:t>ﯟ</w:t>
      </w:r>
      <w:r w:rsidRPr="00911ED4">
        <w:rPr>
          <w:rFonts w:ascii="QCF_P292" w:hAnsi="QCF_P292" w:cs="QCF_P292" w:hint="cs"/>
          <w:sz w:val="32"/>
          <w:szCs w:val="32"/>
          <w:rtl/>
          <w:lang w:eastAsia="en-US"/>
        </w:rPr>
        <w:t xml:space="preserve"> </w:t>
      </w:r>
      <w:r w:rsidRPr="00911ED4">
        <w:rPr>
          <w:rFonts w:ascii="QCF_P292" w:hAnsi="QCF_P292" w:cs="QCF_P292"/>
          <w:sz w:val="32"/>
          <w:szCs w:val="32"/>
          <w:rtl/>
          <w:lang w:eastAsia="en-US"/>
        </w:rPr>
        <w:t>ﯠ</w:t>
      </w:r>
      <w:r w:rsidRPr="00911ED4">
        <w:rPr>
          <w:rFonts w:ascii="QCF_BSML" w:hAnsi="QCF_BSML" w:cs="QCF_BSML"/>
          <w:sz w:val="32"/>
          <w:szCs w:val="32"/>
          <w:rtl/>
          <w:lang w:eastAsia="en-US"/>
        </w:rPr>
        <w:t xml:space="preserve"> ﭼ</w:t>
      </w:r>
      <w:r w:rsidRPr="00911ED4">
        <w:rPr>
          <w:rFonts w:ascii="QCF_P292" w:hAnsi="QCF_P292" w:cs="QCF_P292"/>
          <w:sz w:val="32"/>
          <w:szCs w:val="32"/>
          <w:rtl/>
          <w:lang w:eastAsia="en-US"/>
        </w:rPr>
        <w:t xml:space="preserve">  </w:t>
      </w:r>
      <w:r w:rsidRPr="00911ED4">
        <w:rPr>
          <w:rtl/>
        </w:rPr>
        <w:t>قرأ الجمهور بفتح التاء</w:t>
      </w:r>
      <w:r w:rsidRPr="00911ED4">
        <w:rPr>
          <w:vertAlign w:val="superscript"/>
          <w:rtl/>
        </w:rPr>
        <w:t>(</w:t>
      </w:r>
      <w:r w:rsidRPr="00911ED4">
        <w:rPr>
          <w:vertAlign w:val="superscript"/>
          <w:rtl/>
        </w:rPr>
        <w:footnoteReference w:id="754"/>
      </w:r>
      <w:r w:rsidRPr="00911ED4">
        <w:rPr>
          <w:vertAlign w:val="superscript"/>
          <w:rtl/>
        </w:rPr>
        <w:t>)</w:t>
      </w:r>
      <w:r w:rsidRPr="00911ED4">
        <w:rPr>
          <w:rtl/>
        </w:rPr>
        <w:t>. وقرأ علي عليه السلام بضمها</w:t>
      </w:r>
      <w:r w:rsidRPr="00911ED4">
        <w:rPr>
          <w:vertAlign w:val="superscript"/>
          <w:rtl/>
        </w:rPr>
        <w:t>(</w:t>
      </w:r>
      <w:r w:rsidRPr="00911ED4">
        <w:rPr>
          <w:vertAlign w:val="superscript"/>
          <w:rtl/>
        </w:rPr>
        <w:footnoteReference w:id="755"/>
      </w:r>
      <w:r w:rsidRPr="00911ED4">
        <w:rPr>
          <w:vertAlign w:val="superscript"/>
          <w:rtl/>
        </w:rPr>
        <w:t>)</w:t>
      </w:r>
      <w:r w:rsidRPr="00911ED4">
        <w:rPr>
          <w:rtl/>
        </w:rPr>
        <w:t>، وقال: والله ما علم عدوّ الله، ولكنّ موسى هو الذي عَلِم، فبلغ ذلك ابنَ عباس، فاحتج</w:t>
      </w:r>
      <w:r w:rsidRPr="00911ED4">
        <w:rPr>
          <w:rFonts w:hint="cs"/>
          <w:rtl/>
        </w:rPr>
        <w:t xml:space="preserve"> </w:t>
      </w:r>
      <w:r w:rsidRPr="00911ED4">
        <w:rPr>
          <w:rtl/>
        </w:rPr>
        <w:t>بقوله</w:t>
      </w:r>
      <w:r w:rsidRPr="00911ED4">
        <w:rPr>
          <w:rFonts w:hint="cs"/>
          <w:rtl/>
        </w:rPr>
        <w:t xml:space="preserve"> </w:t>
      </w:r>
      <w:r w:rsidRPr="00911ED4">
        <w:rPr>
          <w:rtl/>
        </w:rPr>
        <w:t xml:space="preserve">تعالى: </w:t>
      </w:r>
      <w:r w:rsidRPr="00911ED4">
        <w:rPr>
          <w:rFonts w:ascii="QCF_BSML" w:hAnsi="QCF_BSML" w:cs="QCF_BSML"/>
          <w:sz w:val="32"/>
          <w:szCs w:val="32"/>
          <w:rtl/>
          <w:lang w:eastAsia="en-US"/>
        </w:rPr>
        <w:t>ﭽ</w:t>
      </w:r>
      <w:r w:rsidRPr="00911ED4">
        <w:rPr>
          <w:rFonts w:ascii="QCF_P378" w:hAnsi="QCF_P378" w:cs="QCF_P378"/>
          <w:sz w:val="32"/>
          <w:szCs w:val="32"/>
          <w:rtl/>
          <w:lang w:eastAsia="en-US"/>
        </w:rPr>
        <w:t>ﭑ</w:t>
      </w:r>
      <w:r w:rsidRPr="00911ED4">
        <w:rPr>
          <w:rFonts w:ascii="QCF_P378" w:hAnsi="QCF_P378" w:cs="QCF_P378" w:hint="cs"/>
          <w:sz w:val="32"/>
          <w:szCs w:val="32"/>
          <w:rtl/>
          <w:lang w:eastAsia="en-US"/>
        </w:rPr>
        <w:t xml:space="preserve">  </w:t>
      </w:r>
      <w:r w:rsidRPr="00911ED4">
        <w:rPr>
          <w:rFonts w:ascii="QCF_P378" w:hAnsi="QCF_P378" w:cs="QCF_P378"/>
          <w:sz w:val="32"/>
          <w:szCs w:val="32"/>
          <w:rtl/>
          <w:lang w:eastAsia="en-US"/>
        </w:rPr>
        <w:t>ﭒ</w:t>
      </w:r>
      <w:r w:rsidRPr="00911ED4">
        <w:rPr>
          <w:rFonts w:ascii="QCF_P378" w:hAnsi="QCF_P378" w:cs="QCF_P378" w:hint="cs"/>
          <w:sz w:val="32"/>
          <w:szCs w:val="32"/>
          <w:rtl/>
          <w:lang w:eastAsia="en-US"/>
        </w:rPr>
        <w:t xml:space="preserve"> </w:t>
      </w:r>
      <w:r w:rsidRPr="00911ED4">
        <w:rPr>
          <w:rFonts w:ascii="QCF_P378" w:hAnsi="QCF_P378" w:cs="QCF_P378"/>
          <w:sz w:val="32"/>
          <w:szCs w:val="32"/>
          <w:rtl/>
          <w:lang w:eastAsia="en-US"/>
        </w:rPr>
        <w:t>ﭓ</w:t>
      </w:r>
      <w:r w:rsidRPr="00911ED4">
        <w:rPr>
          <w:rFonts w:ascii="QCF_P378" w:hAnsi="QCF_P378" w:cs="QCF_P378" w:hint="cs"/>
          <w:sz w:val="32"/>
          <w:szCs w:val="32"/>
          <w:rtl/>
          <w:lang w:eastAsia="en-US"/>
        </w:rPr>
        <w:t xml:space="preserve">  </w:t>
      </w:r>
      <w:r w:rsidRPr="00911ED4">
        <w:rPr>
          <w:rFonts w:ascii="QCF_P378" w:hAnsi="QCF_P378" w:cs="QCF_P378"/>
          <w:sz w:val="32"/>
          <w:szCs w:val="32"/>
          <w:rtl/>
          <w:lang w:eastAsia="en-US"/>
        </w:rPr>
        <w:t>ﭔ</w:t>
      </w:r>
      <w:r w:rsidRPr="00911ED4">
        <w:rPr>
          <w:rFonts w:ascii="QCF_BSML" w:hAnsi="QCF_BSML" w:cs="QCF_BSML"/>
          <w:sz w:val="32"/>
          <w:szCs w:val="32"/>
          <w:rtl/>
          <w:lang w:eastAsia="en-US"/>
        </w:rPr>
        <w:t>ﭼ</w:t>
      </w:r>
      <w:r w:rsidRPr="00911ED4">
        <w:rPr>
          <w:rFonts w:ascii="QCF_BSML" w:hAnsi="QCF_BSML" w:cs="QCF_BSML" w:hint="cs"/>
          <w:sz w:val="32"/>
          <w:szCs w:val="32"/>
          <w:rtl/>
          <w:lang w:eastAsia="en-US"/>
        </w:rPr>
        <w:t xml:space="preserve"> </w:t>
      </w:r>
      <w:r w:rsidRPr="00911ED4">
        <w:rPr>
          <w:rFonts w:ascii="Traditional Arabic" w:hAnsi="Traditional Arabic" w:hint="cs"/>
          <w:color w:val="auto"/>
          <w:sz w:val="32"/>
          <w:szCs w:val="32"/>
          <w:rtl/>
          <w:lang w:eastAsia="en-US"/>
        </w:rPr>
        <w:t>[</w:t>
      </w:r>
      <w:r w:rsidRPr="00911ED4">
        <w:rPr>
          <w:rFonts w:ascii="Traditional Arabic" w:hAnsi="Traditional Arabic"/>
          <w:color w:val="auto"/>
          <w:sz w:val="32"/>
          <w:szCs w:val="32"/>
          <w:rtl/>
          <w:lang w:eastAsia="en-US"/>
        </w:rPr>
        <w:t>النمل:١٤</w:t>
      </w:r>
      <w:r w:rsidRPr="00911ED4">
        <w:rPr>
          <w:rFonts w:ascii="Traditional Arabic" w:hAnsi="Traditional Arabic" w:hint="cs"/>
          <w:color w:val="auto"/>
          <w:sz w:val="32"/>
          <w:szCs w:val="32"/>
          <w:rtl/>
          <w:lang w:eastAsia="en-US"/>
        </w:rPr>
        <w:t>]</w:t>
      </w:r>
      <w:r w:rsidRPr="00911ED4">
        <w:rPr>
          <w:vertAlign w:val="superscript"/>
          <w:rtl/>
        </w:rPr>
        <w:t>(</w:t>
      </w:r>
      <w:r w:rsidRPr="00911ED4">
        <w:rPr>
          <w:vertAlign w:val="superscript"/>
          <w:rtl/>
        </w:rPr>
        <w:footnoteReference w:id="756"/>
      </w:r>
      <w:r w:rsidRPr="00911ED4">
        <w:rPr>
          <w:vertAlign w:val="superscript"/>
          <w:rtl/>
        </w:rPr>
        <w:t>)</w:t>
      </w:r>
      <w:r w:rsidRPr="00911ED4">
        <w:rPr>
          <w:rtl/>
        </w:rPr>
        <w:t>. واختار الكسائي</w:t>
      </w:r>
      <w:r w:rsidRPr="00911ED4">
        <w:rPr>
          <w:vertAlign w:val="superscript"/>
          <w:rtl/>
        </w:rPr>
        <w:t>(</w:t>
      </w:r>
      <w:r w:rsidRPr="00911ED4">
        <w:rPr>
          <w:vertAlign w:val="superscript"/>
          <w:rtl/>
        </w:rPr>
        <w:footnoteReference w:id="757"/>
      </w:r>
      <w:r w:rsidRPr="00911ED4">
        <w:rPr>
          <w:vertAlign w:val="superscript"/>
          <w:rtl/>
        </w:rPr>
        <w:t>)</w:t>
      </w:r>
      <w:r w:rsidRPr="00911ED4">
        <w:rPr>
          <w:rtl/>
        </w:rPr>
        <w:t>وثعلب</w:t>
      </w:r>
      <w:r w:rsidR="00CA2298" w:rsidRPr="00CA2298">
        <w:rPr>
          <w:rStyle w:val="ae"/>
          <w:rtl/>
        </w:rPr>
        <w:t>(</w:t>
      </w:r>
      <w:r w:rsidR="00CA2298">
        <w:rPr>
          <w:rStyle w:val="ae"/>
          <w:rtl/>
        </w:rPr>
        <w:footnoteReference w:id="758"/>
      </w:r>
      <w:r w:rsidR="00CA2298" w:rsidRPr="00CA2298">
        <w:rPr>
          <w:rStyle w:val="ae"/>
          <w:rtl/>
        </w:rPr>
        <w:t>)</w:t>
      </w:r>
      <w:r w:rsidRPr="00911ED4">
        <w:rPr>
          <w:rtl/>
        </w:rPr>
        <w:t>قراءة علي عليه السلام، وقد رُويت عن ابن عباس، وأبي رزين، وسعيد بن جبير، وابن يعمر</w:t>
      </w:r>
      <w:r w:rsidRPr="00911ED4">
        <w:rPr>
          <w:vertAlign w:val="superscript"/>
          <w:rtl/>
        </w:rPr>
        <w:t>(</w:t>
      </w:r>
      <w:r w:rsidRPr="00911ED4">
        <w:rPr>
          <w:vertAlign w:val="superscript"/>
          <w:rtl/>
        </w:rPr>
        <w:footnoteReference w:id="759"/>
      </w:r>
      <w:r w:rsidRPr="00911ED4">
        <w:rPr>
          <w:vertAlign w:val="superscript"/>
          <w:rtl/>
        </w:rPr>
        <w:t>)(</w:t>
      </w:r>
      <w:r w:rsidRPr="00911ED4">
        <w:rPr>
          <w:vertAlign w:val="superscript"/>
          <w:rtl/>
        </w:rPr>
        <w:footnoteReference w:id="760"/>
      </w:r>
      <w:r w:rsidRPr="00911ED4">
        <w:rPr>
          <w:vertAlign w:val="superscript"/>
          <w:rtl/>
        </w:rPr>
        <w:t>)</w:t>
      </w:r>
      <w:r w:rsidRPr="00911ED4">
        <w:rPr>
          <w:rtl/>
        </w:rPr>
        <w:t xml:space="preserve">. واحتج من نصرها بأنه لما نَسَبَ موسى إِلى أنه مسحور، أعلمه بصحّة عقله بقوله تعالى: «لقد علمتُ» ، والقراءة الأولى أصح، لاختيار الجمهور، ولأنه قد أبان موسى من المعجزات ما أوجب علم فرعون بصدقه، </w:t>
      </w:r>
      <w:r w:rsidRPr="00911ED4">
        <w:rPr>
          <w:rtl/>
        </w:rPr>
        <w:lastRenderedPageBreak/>
        <w:t>فلم يردّ عليه إِلا بالتعلل والمدافعة، فكأنه قال: لقد علمتَ بالدليل والحجة</w:t>
      </w:r>
      <w:r w:rsidRPr="00911ED4">
        <w:rPr>
          <w:rFonts w:hint="cs"/>
          <w:rtl/>
        </w:rPr>
        <w:t xml:space="preserve"> </w:t>
      </w:r>
      <w:r w:rsidRPr="00911ED4">
        <w:rPr>
          <w:rFonts w:ascii="QCF_BSML" w:hAnsi="QCF_BSML" w:cs="QCF_BSML"/>
          <w:sz w:val="32"/>
          <w:szCs w:val="32"/>
          <w:rtl/>
          <w:lang w:eastAsia="en-US"/>
        </w:rPr>
        <w:t>ﭽ</w:t>
      </w:r>
      <w:r w:rsidRPr="00911ED4">
        <w:rPr>
          <w:rFonts w:ascii="QCF_P292" w:hAnsi="QCF_P292" w:cs="QCF_P292"/>
          <w:sz w:val="32"/>
          <w:szCs w:val="32"/>
          <w:rtl/>
          <w:lang w:eastAsia="en-US"/>
        </w:rPr>
        <w:t>ﯡ  ﯢ   ﯣ</w:t>
      </w:r>
      <w:r w:rsidRPr="00911ED4">
        <w:rPr>
          <w:rFonts w:ascii="QCF_BSML" w:hAnsi="QCF_BSML" w:cs="QCF_BSML"/>
          <w:sz w:val="32"/>
          <w:szCs w:val="32"/>
          <w:rtl/>
          <w:lang w:eastAsia="en-US"/>
        </w:rPr>
        <w:t>ﭼ</w:t>
      </w:r>
      <w:r w:rsidRPr="00911ED4">
        <w:rPr>
          <w:rFonts w:ascii="QCF_P292" w:hAnsi="QCF_P292" w:cs="QCF_P292"/>
          <w:sz w:val="32"/>
          <w:szCs w:val="32"/>
          <w:rtl/>
          <w:lang w:eastAsia="en-US"/>
        </w:rPr>
        <w:t xml:space="preserve"> </w:t>
      </w:r>
      <w:r w:rsidRPr="00911ED4">
        <w:rPr>
          <w:rFonts w:ascii="QCF_P292" w:hAnsi="QCF_P292" w:cs="QCF_P292" w:hint="cs"/>
          <w:sz w:val="32"/>
          <w:szCs w:val="32"/>
          <w:rtl/>
          <w:lang w:eastAsia="en-US"/>
        </w:rPr>
        <w:t xml:space="preserve"> </w:t>
      </w:r>
      <w:r w:rsidRPr="00911ED4">
        <w:rPr>
          <w:rFonts w:ascii="QCF_P292" w:hAnsi="QCF_P292" w:cs="QCF_P292"/>
          <w:sz w:val="32"/>
          <w:szCs w:val="32"/>
          <w:rtl/>
          <w:lang w:eastAsia="en-US"/>
        </w:rPr>
        <w:t xml:space="preserve"> </w:t>
      </w:r>
      <w:r w:rsidRPr="00911ED4">
        <w:rPr>
          <w:rtl/>
        </w:rPr>
        <w:t>يعني الآيات</w:t>
      </w:r>
      <w:r w:rsidRPr="00911ED4">
        <w:rPr>
          <w:vertAlign w:val="superscript"/>
          <w:rtl/>
        </w:rPr>
        <w:t>(</w:t>
      </w:r>
      <w:r w:rsidRPr="00911ED4">
        <w:rPr>
          <w:vertAlign w:val="superscript"/>
          <w:rtl/>
        </w:rPr>
        <w:footnoteReference w:id="761"/>
      </w:r>
      <w:r w:rsidRPr="00911ED4">
        <w:rPr>
          <w:vertAlign w:val="superscript"/>
          <w:rtl/>
        </w:rPr>
        <w:t>)</w:t>
      </w:r>
      <w:r w:rsidRPr="00911ED4">
        <w:rPr>
          <w:rtl/>
        </w:rPr>
        <w:t>. وقد شرحنا معنى «البصائر» في سورة الأعراف</w:t>
      </w:r>
      <w:r w:rsidRPr="00911ED4">
        <w:rPr>
          <w:vertAlign w:val="superscript"/>
          <w:rtl/>
        </w:rPr>
        <w:t>(</w:t>
      </w:r>
      <w:r w:rsidRPr="00911ED4">
        <w:rPr>
          <w:vertAlign w:val="superscript"/>
          <w:rtl/>
        </w:rPr>
        <w:footnoteReference w:id="762"/>
      </w:r>
      <w:r w:rsidRPr="00911ED4">
        <w:rPr>
          <w:vertAlign w:val="superscript"/>
          <w:rtl/>
        </w:rPr>
        <w:t>)</w:t>
      </w:r>
      <w:r w:rsidRPr="00911ED4">
        <w:rPr>
          <w:rtl/>
        </w:rPr>
        <w:t>.</w:t>
      </w:r>
    </w:p>
    <w:p w:rsidR="00911ED4" w:rsidRDefault="00911ED4" w:rsidP="00224A0A">
      <w:pPr>
        <w:ind w:firstLine="0"/>
        <w:rPr>
          <w:rtl/>
        </w:rPr>
      </w:pPr>
      <w:r w:rsidRPr="00911ED4">
        <w:rPr>
          <w:rtl/>
        </w:rPr>
        <w:t xml:space="preserve">قوله تعالى: </w:t>
      </w:r>
      <w:r w:rsidRPr="00911ED4">
        <w:rPr>
          <w:rFonts w:ascii="QCF_BSML" w:hAnsi="QCF_BSML" w:cs="QCF_BSML"/>
          <w:sz w:val="32"/>
          <w:szCs w:val="32"/>
          <w:rtl/>
          <w:lang w:eastAsia="en-US"/>
        </w:rPr>
        <w:t>ﭽ</w:t>
      </w:r>
      <w:r w:rsidRPr="00911ED4">
        <w:rPr>
          <w:rFonts w:ascii="QCF_P292" w:hAnsi="QCF_P292" w:cs="QCF_P292"/>
          <w:sz w:val="32"/>
          <w:szCs w:val="32"/>
          <w:rtl/>
          <w:lang w:eastAsia="en-US"/>
        </w:rPr>
        <w:t xml:space="preserve"> ﯩ  ﯪ</w:t>
      </w:r>
      <w:r w:rsidRPr="00911ED4">
        <w:rPr>
          <w:rtl/>
        </w:rPr>
        <w:t xml:space="preserve"> </w:t>
      </w:r>
      <w:r w:rsidRPr="00911ED4">
        <w:rPr>
          <w:rFonts w:ascii="QCF_BSML" w:hAnsi="QCF_BSML" w:cs="QCF_BSML"/>
          <w:sz w:val="32"/>
          <w:szCs w:val="32"/>
          <w:rtl/>
          <w:lang w:eastAsia="en-US"/>
        </w:rPr>
        <w:t>ﭼ</w:t>
      </w:r>
      <w:r w:rsidRPr="00911ED4">
        <w:rPr>
          <w:rtl/>
        </w:rPr>
        <w:t xml:space="preserve"> قال أكثر المفسرين: الظّنّ ها هنا بمعنى العِلم، على خلاف ظن فرعون في موسى، وسوّى بينهما بعضهم، فجعل الأول بمعنى العِلم أيضاً</w:t>
      </w:r>
      <w:r w:rsidRPr="00911ED4">
        <w:rPr>
          <w:vertAlign w:val="superscript"/>
          <w:rtl/>
        </w:rPr>
        <w:t>(</w:t>
      </w:r>
      <w:r w:rsidRPr="00911ED4">
        <w:rPr>
          <w:vertAlign w:val="superscript"/>
          <w:rtl/>
        </w:rPr>
        <w:footnoteReference w:id="763"/>
      </w:r>
      <w:r w:rsidRPr="00911ED4">
        <w:rPr>
          <w:vertAlign w:val="superscript"/>
          <w:rtl/>
        </w:rPr>
        <w:t>)</w:t>
      </w:r>
      <w:r w:rsidRPr="00911ED4">
        <w:rPr>
          <w:rtl/>
        </w:rPr>
        <w:t>. وفي المثبور ستة أقوال:</w:t>
      </w:r>
      <w:r w:rsidRPr="00911ED4">
        <w:rPr>
          <w:rFonts w:hint="cs"/>
          <w:rtl/>
        </w:rPr>
        <w:t xml:space="preserve"> </w:t>
      </w:r>
      <w:r w:rsidRPr="00911ED4">
        <w:rPr>
          <w:rtl/>
        </w:rPr>
        <w:t>أحدها: أنه الملعون، رواه أبو صالح عن ابن عباس</w:t>
      </w:r>
      <w:r w:rsidRPr="00911ED4">
        <w:rPr>
          <w:vertAlign w:val="superscript"/>
          <w:rtl/>
        </w:rPr>
        <w:t>(</w:t>
      </w:r>
      <w:r w:rsidRPr="00911ED4">
        <w:rPr>
          <w:vertAlign w:val="superscript"/>
          <w:rtl/>
        </w:rPr>
        <w:footnoteReference w:id="764"/>
      </w:r>
      <w:r w:rsidRPr="00911ED4">
        <w:rPr>
          <w:vertAlign w:val="superscript"/>
          <w:rtl/>
        </w:rPr>
        <w:t>)</w:t>
      </w:r>
      <w:r w:rsidRPr="00911ED4">
        <w:rPr>
          <w:rtl/>
        </w:rPr>
        <w:t>، وبه قال الضحاك</w:t>
      </w:r>
      <w:r w:rsidRPr="00911ED4">
        <w:rPr>
          <w:vertAlign w:val="superscript"/>
          <w:rtl/>
        </w:rPr>
        <w:t>(</w:t>
      </w:r>
      <w:r w:rsidRPr="00911ED4">
        <w:rPr>
          <w:vertAlign w:val="superscript"/>
          <w:rtl/>
        </w:rPr>
        <w:footnoteReference w:id="765"/>
      </w:r>
      <w:r w:rsidRPr="00911ED4">
        <w:rPr>
          <w:vertAlign w:val="superscript"/>
          <w:rtl/>
        </w:rPr>
        <w:t>)</w:t>
      </w:r>
      <w:r w:rsidRPr="00911ED4">
        <w:rPr>
          <w:rtl/>
        </w:rPr>
        <w:t>. والثاني: المغلوب، رواه العوفي عن ابن عباس</w:t>
      </w:r>
      <w:r w:rsidRPr="00911ED4">
        <w:rPr>
          <w:vertAlign w:val="superscript"/>
          <w:rtl/>
        </w:rPr>
        <w:t>(</w:t>
      </w:r>
      <w:r w:rsidRPr="00911ED4">
        <w:rPr>
          <w:vertAlign w:val="superscript"/>
          <w:rtl/>
        </w:rPr>
        <w:footnoteReference w:id="766"/>
      </w:r>
      <w:r w:rsidRPr="00911ED4">
        <w:rPr>
          <w:vertAlign w:val="superscript"/>
          <w:rtl/>
        </w:rPr>
        <w:t>)</w:t>
      </w:r>
      <w:r w:rsidRPr="00911ED4">
        <w:rPr>
          <w:rtl/>
        </w:rPr>
        <w:t>. والثالث: الناقص العقل، رواه ميمون بن مهران عن ابن عباس</w:t>
      </w:r>
      <w:r w:rsidRPr="00911ED4">
        <w:rPr>
          <w:vertAlign w:val="superscript"/>
          <w:rtl/>
        </w:rPr>
        <w:t>(</w:t>
      </w:r>
      <w:r w:rsidRPr="00911ED4">
        <w:rPr>
          <w:vertAlign w:val="superscript"/>
          <w:rtl/>
        </w:rPr>
        <w:footnoteReference w:id="767"/>
      </w:r>
      <w:r w:rsidRPr="00911ED4">
        <w:rPr>
          <w:vertAlign w:val="superscript"/>
          <w:rtl/>
        </w:rPr>
        <w:t>)</w:t>
      </w:r>
      <w:r w:rsidRPr="00911ED4">
        <w:rPr>
          <w:rtl/>
        </w:rPr>
        <w:t>. والرابع:</w:t>
      </w:r>
      <w:r w:rsidRPr="00911ED4">
        <w:rPr>
          <w:rFonts w:hint="cs"/>
          <w:rtl/>
        </w:rPr>
        <w:t xml:space="preserve"> </w:t>
      </w:r>
      <w:r w:rsidRPr="00911ED4">
        <w:rPr>
          <w:rtl/>
        </w:rPr>
        <w:t>المُهْلَك، رواه ابن أبي طلحة عن ابن عباس</w:t>
      </w:r>
      <w:r w:rsidRPr="00911ED4">
        <w:rPr>
          <w:vertAlign w:val="superscript"/>
          <w:rtl/>
        </w:rPr>
        <w:t>(</w:t>
      </w:r>
      <w:r w:rsidRPr="00911ED4">
        <w:rPr>
          <w:vertAlign w:val="superscript"/>
          <w:rtl/>
        </w:rPr>
        <w:footnoteReference w:id="768"/>
      </w:r>
      <w:r w:rsidRPr="00911ED4">
        <w:rPr>
          <w:vertAlign w:val="superscript"/>
          <w:rtl/>
        </w:rPr>
        <w:t>)</w:t>
      </w:r>
      <w:r w:rsidRPr="00911ED4">
        <w:rPr>
          <w:rtl/>
        </w:rPr>
        <w:t>، وبه قال أبو عبيدة</w:t>
      </w:r>
      <w:r w:rsidRPr="00911ED4">
        <w:rPr>
          <w:vertAlign w:val="superscript"/>
          <w:rtl/>
        </w:rPr>
        <w:t>(</w:t>
      </w:r>
      <w:r w:rsidRPr="00911ED4">
        <w:rPr>
          <w:vertAlign w:val="superscript"/>
          <w:rtl/>
        </w:rPr>
        <w:footnoteReference w:id="769"/>
      </w:r>
      <w:r w:rsidRPr="00911ED4">
        <w:rPr>
          <w:vertAlign w:val="superscript"/>
          <w:rtl/>
        </w:rPr>
        <w:t>)</w:t>
      </w:r>
      <w:r w:rsidRPr="00911ED4">
        <w:rPr>
          <w:rtl/>
        </w:rPr>
        <w:t>، وابن قتيبة</w:t>
      </w:r>
      <w:r w:rsidRPr="00911ED4">
        <w:rPr>
          <w:vertAlign w:val="superscript"/>
          <w:rtl/>
        </w:rPr>
        <w:t>(</w:t>
      </w:r>
      <w:r w:rsidRPr="00911ED4">
        <w:rPr>
          <w:vertAlign w:val="superscript"/>
          <w:rtl/>
        </w:rPr>
        <w:footnoteReference w:id="770"/>
      </w:r>
      <w:r w:rsidRPr="00911ED4">
        <w:rPr>
          <w:vertAlign w:val="superscript"/>
          <w:rtl/>
        </w:rPr>
        <w:t>)</w:t>
      </w:r>
      <w:r w:rsidRPr="00911ED4">
        <w:rPr>
          <w:rtl/>
        </w:rPr>
        <w:t>. قال الزجاج: يقال: ثُبر الرجل، فهو مثبور، إِذا أُهلك</w:t>
      </w:r>
      <w:r w:rsidRPr="00911ED4">
        <w:rPr>
          <w:vertAlign w:val="superscript"/>
          <w:rtl/>
        </w:rPr>
        <w:t>(</w:t>
      </w:r>
      <w:r w:rsidRPr="00911ED4">
        <w:rPr>
          <w:vertAlign w:val="superscript"/>
          <w:rtl/>
        </w:rPr>
        <w:footnoteReference w:id="771"/>
      </w:r>
      <w:r w:rsidRPr="00911ED4">
        <w:rPr>
          <w:vertAlign w:val="superscript"/>
          <w:rtl/>
        </w:rPr>
        <w:t>)</w:t>
      </w:r>
      <w:r w:rsidRPr="00911ED4">
        <w:rPr>
          <w:rtl/>
        </w:rPr>
        <w:t>. والخامس: الهالك، قاله مجاهد</w:t>
      </w:r>
      <w:r w:rsidRPr="00911ED4">
        <w:rPr>
          <w:vertAlign w:val="superscript"/>
          <w:rtl/>
        </w:rPr>
        <w:t>(</w:t>
      </w:r>
      <w:r w:rsidRPr="00911ED4">
        <w:rPr>
          <w:vertAlign w:val="superscript"/>
          <w:rtl/>
        </w:rPr>
        <w:footnoteReference w:id="772"/>
      </w:r>
      <w:r w:rsidRPr="00911ED4">
        <w:rPr>
          <w:vertAlign w:val="superscript"/>
          <w:rtl/>
        </w:rPr>
        <w:t>)</w:t>
      </w:r>
      <w:r w:rsidRPr="00911ED4">
        <w:rPr>
          <w:rtl/>
        </w:rPr>
        <w:t>. والسادس: الممنوع من الخير تقول العرب: ما ثبرك عن هذا، أي: ما منعك، قاله الفراء</w:t>
      </w:r>
      <w:r w:rsidRPr="00911ED4">
        <w:rPr>
          <w:vertAlign w:val="superscript"/>
          <w:rtl/>
        </w:rPr>
        <w:t>(</w:t>
      </w:r>
      <w:r w:rsidRPr="00911ED4">
        <w:rPr>
          <w:vertAlign w:val="superscript"/>
          <w:rtl/>
        </w:rPr>
        <w:footnoteReference w:id="773"/>
      </w:r>
      <w:r w:rsidRPr="00911ED4">
        <w:rPr>
          <w:vertAlign w:val="superscript"/>
          <w:rtl/>
        </w:rPr>
        <w:t>)</w:t>
      </w:r>
      <w:r w:rsidRPr="00911ED4">
        <w:rPr>
          <w:rtl/>
        </w:rPr>
        <w:t>.</w:t>
      </w:r>
      <w:r w:rsidRPr="00911ED4">
        <w:rPr>
          <w:rFonts w:hint="cs"/>
          <w:rtl/>
        </w:rPr>
        <w:t xml:space="preserve"> </w:t>
      </w:r>
      <w:r w:rsidRPr="00911ED4">
        <w:rPr>
          <w:rtl/>
        </w:rPr>
        <w:t xml:space="preserve">قوله تعالى: </w:t>
      </w:r>
      <w:r w:rsidRPr="00911ED4">
        <w:rPr>
          <w:rFonts w:ascii="QCF_BSML" w:hAnsi="QCF_BSML" w:cs="QCF_BSML"/>
          <w:sz w:val="32"/>
          <w:szCs w:val="32"/>
          <w:rtl/>
          <w:lang w:eastAsia="en-US"/>
        </w:rPr>
        <w:t>ﭽ</w:t>
      </w:r>
      <w:r w:rsidRPr="00911ED4">
        <w:rPr>
          <w:rFonts w:ascii="QCF_P292" w:hAnsi="QCF_P292" w:cs="QCF_P292"/>
          <w:sz w:val="32"/>
          <w:szCs w:val="32"/>
          <w:rtl/>
          <w:lang w:eastAsia="en-US"/>
        </w:rPr>
        <w:t xml:space="preserve"> ﯮ  ﯯ  ﯰ  ﯱ  ﯲ</w:t>
      </w:r>
      <w:r w:rsidRPr="00911ED4">
        <w:rPr>
          <w:rFonts w:ascii="QCF_BSML" w:hAnsi="QCF_BSML" w:cs="QCF_BSML"/>
          <w:sz w:val="32"/>
          <w:szCs w:val="32"/>
          <w:rtl/>
          <w:lang w:eastAsia="en-US"/>
        </w:rPr>
        <w:t xml:space="preserve"> ﭼ</w:t>
      </w:r>
      <w:r w:rsidRPr="00911ED4">
        <w:rPr>
          <w:rFonts w:ascii="QCF_BSML" w:hAnsi="QCF_BSML" w:cs="QCF_BSML" w:hint="cs"/>
          <w:sz w:val="32"/>
          <w:szCs w:val="32"/>
          <w:rtl/>
          <w:lang w:eastAsia="en-US"/>
        </w:rPr>
        <w:t xml:space="preserve"> </w:t>
      </w:r>
      <w:r w:rsidRPr="00911ED4">
        <w:rPr>
          <w:rFonts w:ascii="QCF_P292" w:hAnsi="QCF_P292" w:cs="QCF_P292" w:hint="cs"/>
          <w:sz w:val="32"/>
          <w:szCs w:val="32"/>
          <w:rtl/>
          <w:lang w:eastAsia="en-US"/>
        </w:rPr>
        <w:t xml:space="preserve">  </w:t>
      </w:r>
      <w:r w:rsidRPr="00911ED4">
        <w:rPr>
          <w:rtl/>
        </w:rPr>
        <w:t>يعني: فرعون أراد أن يستفزَّ بني إِسرائيل من أرض مصر</w:t>
      </w:r>
      <w:r w:rsidRPr="00911ED4">
        <w:rPr>
          <w:vertAlign w:val="superscript"/>
          <w:rtl/>
        </w:rPr>
        <w:t>(</w:t>
      </w:r>
      <w:r w:rsidRPr="00911ED4">
        <w:rPr>
          <w:vertAlign w:val="superscript"/>
          <w:rtl/>
        </w:rPr>
        <w:footnoteReference w:id="774"/>
      </w:r>
      <w:r w:rsidRPr="00911ED4">
        <w:rPr>
          <w:vertAlign w:val="superscript"/>
          <w:rtl/>
        </w:rPr>
        <w:t>)</w:t>
      </w:r>
      <w:r w:rsidRPr="00911ED4">
        <w:rPr>
          <w:rtl/>
        </w:rPr>
        <w:t xml:space="preserve">. وفي معنى </w:t>
      </w:r>
      <w:r w:rsidRPr="00911ED4">
        <w:rPr>
          <w:rFonts w:ascii="QCF_BSML" w:hAnsi="QCF_BSML" w:cs="QCF_BSML"/>
          <w:sz w:val="32"/>
          <w:szCs w:val="32"/>
          <w:rtl/>
          <w:lang w:eastAsia="en-US"/>
        </w:rPr>
        <w:t>ﭽ</w:t>
      </w:r>
      <w:r w:rsidRPr="00911ED4">
        <w:rPr>
          <w:rFonts w:ascii="QCF_P292" w:hAnsi="QCF_P292" w:cs="QCF_P292"/>
          <w:sz w:val="32"/>
          <w:szCs w:val="32"/>
          <w:rtl/>
          <w:lang w:eastAsia="en-US"/>
        </w:rPr>
        <w:t xml:space="preserve"> ﯰ</w:t>
      </w:r>
      <w:r w:rsidRPr="00911ED4">
        <w:rPr>
          <w:rFonts w:ascii="QCF_BSML" w:hAnsi="QCF_BSML" w:cs="QCF_BSML"/>
          <w:sz w:val="32"/>
          <w:szCs w:val="32"/>
          <w:rtl/>
          <w:lang w:eastAsia="en-US"/>
        </w:rPr>
        <w:t xml:space="preserve"> ﭼ</w:t>
      </w:r>
      <w:r w:rsidRPr="00911ED4">
        <w:rPr>
          <w:rtl/>
        </w:rPr>
        <w:t xml:space="preserve"> قولان: أحدهما: يستأصلهم، قاله ابن </w:t>
      </w:r>
      <w:r w:rsidRPr="00911ED4">
        <w:rPr>
          <w:rtl/>
        </w:rPr>
        <w:lastRenderedPageBreak/>
        <w:t>عباس</w:t>
      </w:r>
      <w:r w:rsidRPr="00911ED4">
        <w:rPr>
          <w:vertAlign w:val="superscript"/>
          <w:rtl/>
        </w:rPr>
        <w:t>(</w:t>
      </w:r>
      <w:r w:rsidRPr="00911ED4">
        <w:rPr>
          <w:vertAlign w:val="superscript"/>
          <w:rtl/>
        </w:rPr>
        <w:footnoteReference w:id="775"/>
      </w:r>
      <w:r w:rsidRPr="00911ED4">
        <w:rPr>
          <w:vertAlign w:val="superscript"/>
          <w:rtl/>
        </w:rPr>
        <w:t>)</w:t>
      </w:r>
      <w:r w:rsidRPr="00911ED4">
        <w:rPr>
          <w:rtl/>
        </w:rPr>
        <w:t>. والثاني: يستخفّهم حتى يخرجوا، قاله ابن قتيبة</w:t>
      </w:r>
      <w:r w:rsidRPr="00911ED4">
        <w:rPr>
          <w:vertAlign w:val="superscript"/>
          <w:rtl/>
        </w:rPr>
        <w:t>(</w:t>
      </w:r>
      <w:r w:rsidRPr="00911ED4">
        <w:rPr>
          <w:vertAlign w:val="superscript"/>
          <w:rtl/>
        </w:rPr>
        <w:footnoteReference w:id="776"/>
      </w:r>
      <w:r w:rsidRPr="00911ED4">
        <w:rPr>
          <w:vertAlign w:val="superscript"/>
          <w:rtl/>
        </w:rPr>
        <w:t>)</w:t>
      </w:r>
      <w:r w:rsidRPr="00911ED4">
        <w:rPr>
          <w:rtl/>
        </w:rPr>
        <w:t>. وقال</w:t>
      </w:r>
      <w:r w:rsidR="00224A0A">
        <w:rPr>
          <w:rFonts w:hint="cs"/>
          <w:rtl/>
        </w:rPr>
        <w:t xml:space="preserve"> </w:t>
      </w:r>
      <w:r w:rsidR="00224A0A" w:rsidRPr="001277AD">
        <w:rPr>
          <w:rFonts w:hint="cs"/>
          <w:color w:val="0D0D0D" w:themeColor="text1" w:themeTint="F2"/>
          <w:sz w:val="32"/>
          <w:szCs w:val="32"/>
          <w:rtl/>
        </w:rPr>
        <w:t>[</w:t>
      </w:r>
      <w:r w:rsidR="00224A0A">
        <w:rPr>
          <w:rFonts w:hint="cs"/>
          <w:color w:val="0D0D0D" w:themeColor="text1" w:themeTint="F2"/>
          <w:sz w:val="32"/>
          <w:szCs w:val="32"/>
          <w:rtl/>
        </w:rPr>
        <w:t>95</w:t>
      </w:r>
      <w:r w:rsidR="00224A0A" w:rsidRPr="001277AD">
        <w:rPr>
          <w:rFonts w:hint="cs"/>
          <w:color w:val="0D0D0D" w:themeColor="text1" w:themeTint="F2"/>
          <w:sz w:val="32"/>
          <w:szCs w:val="32"/>
          <w:rtl/>
        </w:rPr>
        <w:t>]</w:t>
      </w:r>
      <w:r w:rsidRPr="00911ED4">
        <w:rPr>
          <w:rtl/>
        </w:rPr>
        <w:t xml:space="preserve"> الزجاج: جائز أن يكون استفزازُهم إِخراجَهم منها بالقتل أو بالتنحية</w:t>
      </w:r>
      <w:r w:rsidRPr="00911ED4">
        <w:rPr>
          <w:vertAlign w:val="superscript"/>
          <w:rtl/>
        </w:rPr>
        <w:t>(</w:t>
      </w:r>
      <w:r w:rsidRPr="00911ED4">
        <w:rPr>
          <w:vertAlign w:val="superscript"/>
          <w:rtl/>
        </w:rPr>
        <w:footnoteReference w:id="777"/>
      </w:r>
      <w:r w:rsidRPr="00911ED4">
        <w:rPr>
          <w:vertAlign w:val="superscript"/>
          <w:rtl/>
        </w:rPr>
        <w:t>)</w:t>
      </w:r>
      <w:r w:rsidRPr="00911ED4">
        <w:rPr>
          <w:rtl/>
        </w:rPr>
        <w:t>. قال العلماء: وفي هذه الآية تنبيه على نصرة رسول الله</w:t>
      </w:r>
      <w:r w:rsidRPr="00911ED4">
        <w:sym w:font="AGA Arabesque" w:char="F072"/>
      </w:r>
      <w:r w:rsidR="001870A3">
        <w:rPr>
          <w:rtl/>
        </w:rPr>
        <w:t>، لأنه لما</w:t>
      </w:r>
      <w:r w:rsidRPr="00911ED4">
        <w:rPr>
          <w:rtl/>
        </w:rPr>
        <w:t xml:space="preserve"> خرج موسى فطلبه فرعون، هلك فرعون وملك موسى، فكذلك أظهر الله نبيَّه بعد خروجه من مكة حتى رجع إِليها ظاهراً عليها</w:t>
      </w:r>
      <w:r w:rsidRPr="00911ED4">
        <w:rPr>
          <w:vertAlign w:val="superscript"/>
          <w:rtl/>
        </w:rPr>
        <w:t>(</w:t>
      </w:r>
      <w:r w:rsidRPr="00911ED4">
        <w:rPr>
          <w:vertAlign w:val="superscript"/>
          <w:rtl/>
        </w:rPr>
        <w:footnoteReference w:id="778"/>
      </w:r>
      <w:r w:rsidRPr="00911ED4">
        <w:rPr>
          <w:vertAlign w:val="superscript"/>
          <w:rtl/>
        </w:rPr>
        <w:t>)</w:t>
      </w:r>
      <w:r w:rsidRPr="00911ED4">
        <w:rPr>
          <w:rtl/>
        </w:rPr>
        <w:t xml:space="preserve">. قوله تعالى: </w:t>
      </w:r>
      <w:r w:rsidRPr="00911ED4">
        <w:rPr>
          <w:rFonts w:ascii="QCF_BSML" w:hAnsi="QCF_BSML" w:cs="QCF_BSML"/>
          <w:sz w:val="32"/>
          <w:szCs w:val="32"/>
          <w:rtl/>
          <w:lang w:eastAsia="en-US"/>
        </w:rPr>
        <w:t>ﭽ</w:t>
      </w:r>
      <w:r w:rsidRPr="00911ED4">
        <w:rPr>
          <w:rFonts w:ascii="QCF_P292" w:hAnsi="QCF_P292" w:cs="QCF_P292"/>
          <w:sz w:val="32"/>
          <w:szCs w:val="32"/>
          <w:rtl/>
          <w:lang w:eastAsia="en-US"/>
        </w:rPr>
        <w:t xml:space="preserve"> ﯸ  ﯹ  ﯺ</w:t>
      </w:r>
      <w:r w:rsidRPr="00911ED4">
        <w:rPr>
          <w:rFonts w:ascii="QCF_BSML" w:hAnsi="QCF_BSML" w:cs="QCF_BSML"/>
          <w:sz w:val="32"/>
          <w:szCs w:val="32"/>
          <w:rtl/>
          <w:lang w:eastAsia="en-US"/>
        </w:rPr>
        <w:t>ﭼ</w:t>
      </w:r>
      <w:r w:rsidRPr="00911ED4">
        <w:rPr>
          <w:rFonts w:ascii="QCF_P292" w:hAnsi="QCF_P292" w:cs="QCF_P292"/>
          <w:sz w:val="32"/>
          <w:szCs w:val="32"/>
          <w:rtl/>
          <w:lang w:eastAsia="en-US"/>
        </w:rPr>
        <w:t xml:space="preserve"> </w:t>
      </w:r>
      <w:r w:rsidRPr="00911ED4">
        <w:rPr>
          <w:rtl/>
        </w:rPr>
        <w:t xml:space="preserve">أي: من بعد هلاك فرعون </w:t>
      </w:r>
      <w:r w:rsidRPr="00911ED4">
        <w:rPr>
          <w:rFonts w:ascii="QCF_BSML" w:hAnsi="QCF_BSML" w:cs="QCF_BSML"/>
          <w:sz w:val="32"/>
          <w:szCs w:val="32"/>
          <w:rtl/>
          <w:lang w:eastAsia="en-US"/>
        </w:rPr>
        <w:t>ﭽ</w:t>
      </w:r>
      <w:r w:rsidRPr="00911ED4">
        <w:rPr>
          <w:rFonts w:ascii="QCF_P292" w:hAnsi="QCF_P292" w:cs="QCF_P292"/>
          <w:sz w:val="32"/>
          <w:szCs w:val="32"/>
          <w:rtl/>
          <w:lang w:eastAsia="en-US"/>
        </w:rPr>
        <w:t xml:space="preserve"> ﯻ     ﯼ    ﯽ  ﯾ </w:t>
      </w:r>
      <w:r w:rsidRPr="00911ED4">
        <w:rPr>
          <w:rFonts w:ascii="QCF_BSML" w:hAnsi="QCF_BSML" w:cs="QCF_BSML"/>
          <w:sz w:val="32"/>
          <w:szCs w:val="32"/>
          <w:rtl/>
          <w:lang w:eastAsia="en-US"/>
        </w:rPr>
        <w:t>ﭼ</w:t>
      </w:r>
      <w:r w:rsidRPr="00911ED4">
        <w:rPr>
          <w:rtl/>
        </w:rPr>
        <w:t xml:space="preserve"> وفيها ثلاثة أقوال:</w:t>
      </w:r>
      <w:r w:rsidRPr="00911ED4">
        <w:rPr>
          <w:rFonts w:hint="cs"/>
          <w:rtl/>
        </w:rPr>
        <w:t xml:space="preserve"> </w:t>
      </w:r>
      <w:r w:rsidRPr="00911ED4">
        <w:rPr>
          <w:rtl/>
        </w:rPr>
        <w:t>أحدها: فلسطين والأردنّ، قاله ابن عباس</w:t>
      </w:r>
      <w:r w:rsidRPr="00911ED4">
        <w:rPr>
          <w:vertAlign w:val="superscript"/>
          <w:rtl/>
        </w:rPr>
        <w:t>(</w:t>
      </w:r>
      <w:r w:rsidRPr="00911ED4">
        <w:rPr>
          <w:vertAlign w:val="superscript"/>
          <w:rtl/>
        </w:rPr>
        <w:footnoteReference w:id="779"/>
      </w:r>
      <w:r w:rsidRPr="00911ED4">
        <w:rPr>
          <w:vertAlign w:val="superscript"/>
          <w:rtl/>
        </w:rPr>
        <w:t>)</w:t>
      </w:r>
      <w:r w:rsidRPr="00911ED4">
        <w:rPr>
          <w:rtl/>
        </w:rPr>
        <w:t>.</w:t>
      </w:r>
      <w:r w:rsidR="005806A9">
        <w:rPr>
          <w:rFonts w:hint="cs"/>
          <w:rtl/>
        </w:rPr>
        <w:t xml:space="preserve"> </w:t>
      </w:r>
      <w:r w:rsidRPr="00911ED4">
        <w:rPr>
          <w:rtl/>
        </w:rPr>
        <w:t>والثاني: أرضٌ وراء الصِّين، قاله مقاتل</w:t>
      </w:r>
      <w:r w:rsidRPr="00911ED4">
        <w:rPr>
          <w:vertAlign w:val="superscript"/>
          <w:rtl/>
        </w:rPr>
        <w:t>(</w:t>
      </w:r>
      <w:r w:rsidRPr="00911ED4">
        <w:rPr>
          <w:vertAlign w:val="superscript"/>
          <w:rtl/>
        </w:rPr>
        <w:footnoteReference w:id="780"/>
      </w:r>
      <w:r w:rsidRPr="00911ED4">
        <w:rPr>
          <w:vertAlign w:val="superscript"/>
          <w:rtl/>
        </w:rPr>
        <w:t>)</w:t>
      </w:r>
      <w:r w:rsidRPr="00911ED4">
        <w:rPr>
          <w:rtl/>
        </w:rPr>
        <w:t>. والثالث: أرض مصر والشام</w:t>
      </w:r>
      <w:r w:rsidRPr="00911ED4">
        <w:rPr>
          <w:vertAlign w:val="superscript"/>
          <w:rtl/>
        </w:rPr>
        <w:t>(</w:t>
      </w:r>
      <w:r w:rsidRPr="00911ED4">
        <w:rPr>
          <w:vertAlign w:val="superscript"/>
          <w:rtl/>
        </w:rPr>
        <w:footnoteReference w:id="781"/>
      </w:r>
      <w:r w:rsidRPr="00911ED4">
        <w:rPr>
          <w:vertAlign w:val="superscript"/>
          <w:rtl/>
        </w:rPr>
        <w:t>)</w:t>
      </w:r>
      <w:r w:rsidRPr="00911ED4">
        <w:rPr>
          <w:rtl/>
        </w:rPr>
        <w:t xml:space="preserve">. قوله تعالى: </w:t>
      </w:r>
      <w:r w:rsidRPr="00911ED4">
        <w:rPr>
          <w:rFonts w:ascii="QCF_BSML" w:hAnsi="QCF_BSML" w:cs="QCF_BSML"/>
          <w:sz w:val="32"/>
          <w:szCs w:val="32"/>
          <w:rtl/>
          <w:lang w:eastAsia="en-US"/>
        </w:rPr>
        <w:t>ﭽ</w:t>
      </w:r>
      <w:r w:rsidRPr="00911ED4">
        <w:rPr>
          <w:rFonts w:ascii="QCF_P292" w:hAnsi="QCF_P292" w:cs="QCF_P292"/>
          <w:sz w:val="32"/>
          <w:szCs w:val="32"/>
          <w:rtl/>
          <w:lang w:eastAsia="en-US"/>
        </w:rPr>
        <w:t xml:space="preserve"> ﯿ  ﰀ  ﰁ  ﰂ</w:t>
      </w:r>
      <w:r w:rsidRPr="00911ED4">
        <w:rPr>
          <w:rFonts w:ascii="QCF_BSML" w:hAnsi="QCF_BSML" w:cs="QCF_BSML"/>
          <w:sz w:val="32"/>
          <w:szCs w:val="32"/>
          <w:rtl/>
          <w:lang w:eastAsia="en-US"/>
        </w:rPr>
        <w:t xml:space="preserve"> ﭼ</w:t>
      </w:r>
      <w:r w:rsidRPr="00911ED4">
        <w:rPr>
          <w:rFonts w:ascii="QCF_P292" w:hAnsi="QCF_P292" w:cs="QCF_P292"/>
          <w:sz w:val="32"/>
          <w:szCs w:val="32"/>
          <w:rtl/>
          <w:lang w:eastAsia="en-US"/>
        </w:rPr>
        <w:t xml:space="preserve">  </w:t>
      </w:r>
      <w:r w:rsidRPr="00911ED4">
        <w:rPr>
          <w:rtl/>
        </w:rPr>
        <w:t xml:space="preserve">يعني: القيامة </w:t>
      </w:r>
      <w:r w:rsidRPr="00911ED4">
        <w:rPr>
          <w:rFonts w:ascii="QCF_BSML" w:hAnsi="QCF_BSML" w:cs="QCF_BSML"/>
          <w:sz w:val="32"/>
          <w:szCs w:val="32"/>
          <w:rtl/>
          <w:lang w:eastAsia="en-US"/>
        </w:rPr>
        <w:t>ﭽ</w:t>
      </w:r>
      <w:r w:rsidRPr="00911ED4">
        <w:rPr>
          <w:rFonts w:ascii="QCF_P292" w:hAnsi="QCF_P292" w:cs="QCF_P292"/>
          <w:sz w:val="32"/>
          <w:szCs w:val="32"/>
          <w:rtl/>
          <w:lang w:eastAsia="en-US"/>
        </w:rPr>
        <w:t xml:space="preserve"> ﰃ  ﰄ    ﰅ</w:t>
      </w:r>
      <w:r w:rsidRPr="00911ED4">
        <w:rPr>
          <w:rFonts w:ascii="QCF_BSML" w:hAnsi="QCF_BSML" w:cs="QCF_BSML"/>
          <w:sz w:val="32"/>
          <w:szCs w:val="32"/>
          <w:rtl/>
          <w:lang w:eastAsia="en-US"/>
        </w:rPr>
        <w:t xml:space="preserve"> ﭼ</w:t>
      </w:r>
      <w:r w:rsidRPr="00911ED4">
        <w:rPr>
          <w:rFonts w:ascii="QCF_P292" w:hAnsi="QCF_P292" w:cs="QCF_P292"/>
          <w:sz w:val="32"/>
          <w:szCs w:val="32"/>
          <w:rtl/>
          <w:lang w:eastAsia="en-US"/>
        </w:rPr>
        <w:t xml:space="preserve"> </w:t>
      </w:r>
      <w:r w:rsidRPr="00911ED4">
        <w:rPr>
          <w:rtl/>
        </w:rPr>
        <w:t>أي: جميعاً، قاله ابن عباس</w:t>
      </w:r>
      <w:r w:rsidRPr="00911ED4">
        <w:rPr>
          <w:vertAlign w:val="superscript"/>
          <w:rtl/>
        </w:rPr>
        <w:t>(</w:t>
      </w:r>
      <w:r w:rsidRPr="00911ED4">
        <w:rPr>
          <w:vertAlign w:val="superscript"/>
          <w:rtl/>
        </w:rPr>
        <w:footnoteReference w:id="782"/>
      </w:r>
      <w:r w:rsidRPr="00911ED4">
        <w:rPr>
          <w:vertAlign w:val="superscript"/>
          <w:rtl/>
        </w:rPr>
        <w:t>)</w:t>
      </w:r>
      <w:r w:rsidRPr="00911ED4">
        <w:rPr>
          <w:rtl/>
        </w:rPr>
        <w:t>، ومجاهد</w:t>
      </w:r>
      <w:r w:rsidRPr="00911ED4">
        <w:rPr>
          <w:vertAlign w:val="superscript"/>
          <w:rtl/>
        </w:rPr>
        <w:t>(</w:t>
      </w:r>
      <w:r w:rsidRPr="00911ED4">
        <w:rPr>
          <w:vertAlign w:val="superscript"/>
          <w:rtl/>
        </w:rPr>
        <w:footnoteReference w:id="783"/>
      </w:r>
      <w:r w:rsidRPr="00911ED4">
        <w:rPr>
          <w:vertAlign w:val="superscript"/>
          <w:rtl/>
        </w:rPr>
        <w:t>)</w:t>
      </w:r>
      <w:r w:rsidRPr="00911ED4">
        <w:rPr>
          <w:rtl/>
        </w:rPr>
        <w:t>، وابن قتيبة</w:t>
      </w:r>
      <w:r w:rsidRPr="00911ED4">
        <w:rPr>
          <w:vertAlign w:val="superscript"/>
          <w:rtl/>
        </w:rPr>
        <w:t>(</w:t>
      </w:r>
      <w:r w:rsidRPr="00911ED4">
        <w:rPr>
          <w:vertAlign w:val="superscript"/>
          <w:rtl/>
        </w:rPr>
        <w:footnoteReference w:id="784"/>
      </w:r>
      <w:r w:rsidRPr="00911ED4">
        <w:rPr>
          <w:vertAlign w:val="superscript"/>
          <w:rtl/>
        </w:rPr>
        <w:t>)</w:t>
      </w:r>
      <w:r w:rsidRPr="00911ED4">
        <w:rPr>
          <w:rtl/>
        </w:rPr>
        <w:t>. وقال الفرّاء:</w:t>
      </w:r>
      <w:r w:rsidRPr="00911ED4">
        <w:rPr>
          <w:rFonts w:ascii="QCF_BSML" w:hAnsi="QCF_BSML" w:cs="QCF_BSML"/>
          <w:sz w:val="32"/>
          <w:szCs w:val="32"/>
          <w:rtl/>
          <w:lang w:eastAsia="en-US"/>
        </w:rPr>
        <w:t xml:space="preserve"> ﭽ</w:t>
      </w:r>
      <w:r w:rsidRPr="00911ED4">
        <w:rPr>
          <w:rFonts w:ascii="QCF_P292" w:hAnsi="QCF_P292" w:cs="QCF_P292"/>
          <w:sz w:val="32"/>
          <w:szCs w:val="32"/>
          <w:rtl/>
          <w:lang w:eastAsia="en-US"/>
        </w:rPr>
        <w:t xml:space="preserve"> ﰅ</w:t>
      </w:r>
      <w:r w:rsidRPr="00911ED4">
        <w:rPr>
          <w:rFonts w:ascii="QCF_BSML" w:hAnsi="QCF_BSML" w:cs="QCF_BSML"/>
          <w:sz w:val="32"/>
          <w:szCs w:val="32"/>
          <w:rtl/>
          <w:lang w:eastAsia="en-US"/>
        </w:rPr>
        <w:t>ﭼ</w:t>
      </w:r>
      <w:r w:rsidRPr="00911ED4">
        <w:rPr>
          <w:rtl/>
        </w:rPr>
        <w:t xml:space="preserve"> أي: من ها هنا ومن ها هنا</w:t>
      </w:r>
      <w:r w:rsidRPr="00911ED4">
        <w:rPr>
          <w:vertAlign w:val="superscript"/>
          <w:rtl/>
        </w:rPr>
        <w:t>(</w:t>
      </w:r>
      <w:r w:rsidRPr="00911ED4">
        <w:rPr>
          <w:vertAlign w:val="superscript"/>
          <w:rtl/>
        </w:rPr>
        <w:footnoteReference w:id="785"/>
      </w:r>
      <w:r w:rsidRPr="00911ED4">
        <w:rPr>
          <w:vertAlign w:val="superscript"/>
          <w:rtl/>
        </w:rPr>
        <w:t>)</w:t>
      </w:r>
      <w:r w:rsidRPr="00911ED4">
        <w:rPr>
          <w:rtl/>
        </w:rPr>
        <w:t>. وقال الزجاج:</w:t>
      </w:r>
      <w:r w:rsidRPr="00911ED4">
        <w:rPr>
          <w:rFonts w:hint="cs"/>
          <w:rtl/>
        </w:rPr>
        <w:t xml:space="preserve"> </w:t>
      </w:r>
      <w:r w:rsidRPr="00911ED4">
        <w:rPr>
          <w:rtl/>
        </w:rPr>
        <w:t>اللفيف: الجماعات من قبائل شتى</w:t>
      </w:r>
      <w:r w:rsidRPr="00911ED4">
        <w:rPr>
          <w:vertAlign w:val="superscript"/>
          <w:rtl/>
        </w:rPr>
        <w:t>(</w:t>
      </w:r>
      <w:r w:rsidRPr="00911ED4">
        <w:rPr>
          <w:vertAlign w:val="superscript"/>
          <w:rtl/>
        </w:rPr>
        <w:footnoteReference w:id="786"/>
      </w:r>
      <w:r w:rsidRPr="00911ED4">
        <w:rPr>
          <w:vertAlign w:val="superscript"/>
          <w:rtl/>
        </w:rPr>
        <w:t>)</w:t>
      </w:r>
      <w:r w:rsidRPr="00911ED4">
        <w:rPr>
          <w:rtl/>
        </w:rPr>
        <w:t>.</w:t>
      </w:r>
    </w:p>
    <w:p w:rsidR="005806A9" w:rsidRPr="00911ED4" w:rsidRDefault="005806A9" w:rsidP="005806A9">
      <w:pPr>
        <w:ind w:firstLine="0"/>
        <w:rPr>
          <w:rtl/>
        </w:rPr>
      </w:pPr>
    </w:p>
    <w:p w:rsidR="00911ED4" w:rsidRPr="006C247D" w:rsidRDefault="00911ED4" w:rsidP="005B4598">
      <w:pPr>
        <w:ind w:firstLine="0"/>
        <w:rPr>
          <w:rtl/>
        </w:rPr>
      </w:pPr>
      <w:r w:rsidRPr="00911ED4">
        <w:rPr>
          <w:rFonts w:ascii="QCF_BSML" w:hAnsi="QCF_BSML" w:cs="QCF_BSML"/>
          <w:color w:val="auto"/>
          <w:sz w:val="32"/>
          <w:szCs w:val="32"/>
          <w:rtl/>
          <w:lang w:eastAsia="en-US"/>
        </w:rPr>
        <w:t xml:space="preserve">ﭽ </w:t>
      </w:r>
      <w:r w:rsidRPr="00911ED4">
        <w:rPr>
          <w:rFonts w:ascii="QCF_P293" w:hAnsi="QCF_P293" w:cs="QCF_P293"/>
          <w:color w:val="auto"/>
          <w:sz w:val="32"/>
          <w:szCs w:val="32"/>
          <w:rtl/>
          <w:lang w:eastAsia="en-US"/>
        </w:rPr>
        <w:t xml:space="preserve">ﭑ  ﭒ  ﭓ  ﭔﭕ  ﭖ  ﭗ  ﭘ  ﭙ  ﭚ  ﭛ   ﭜ  ﭝ  ﭞ    ﭟ  ﭠ    ﭡ  ﭢ  ﭣ  ﭤ  ﭥ   ﭦ  ﭧ  ﭨ  ﭩ  ﭪ      ﭫﭬ  ﭭ  ﭮ  ﭯ  ﭰ  ﭱ  ﭲ  ﭳ  ﭴ   ﭵ  ﭶ      ﭷ      ﭸ    ﭹ  ﭺ  ﭻ  ﭼ  ﭽ  ﭾ      ﭿ  ﮀ  ﮁ  ﮂ  ﮃ  ﮄ  ﮅ  ﮆ   </w:t>
      </w:r>
      <w:r w:rsidRPr="00911ED4">
        <w:rPr>
          <w:rFonts w:ascii="QCF_P293" w:hAnsi="QCF_P293" w:cs="QCF_P293"/>
          <w:color w:val="auto"/>
          <w:sz w:val="32"/>
          <w:szCs w:val="32"/>
          <w:rtl/>
          <w:lang w:eastAsia="en-US"/>
        </w:rPr>
        <w:lastRenderedPageBreak/>
        <w:t xml:space="preserve">ﮇ  ﮈ  ﮉ  </w:t>
      </w:r>
      <w:r w:rsidRPr="00911ED4">
        <w:rPr>
          <w:rFonts w:ascii="QCF_BSML" w:hAnsi="QCF_BSML" w:cs="QCF_BSML"/>
          <w:color w:val="auto"/>
          <w:sz w:val="32"/>
          <w:szCs w:val="32"/>
          <w:rtl/>
          <w:lang w:eastAsia="en-US"/>
        </w:rPr>
        <w:t>ﭼ</w:t>
      </w:r>
      <w:r w:rsidR="00E667B0">
        <w:rPr>
          <w:rFonts w:ascii="Arial" w:hAnsi="Arial" w:cs="Arial" w:hint="cs"/>
          <w:color w:val="9DAB0C"/>
          <w:sz w:val="27"/>
          <w:szCs w:val="27"/>
          <w:rtl/>
          <w:lang w:eastAsia="en-US"/>
        </w:rPr>
        <w:t xml:space="preserve"> </w:t>
      </w:r>
      <w:r w:rsidRPr="00911ED4">
        <w:rPr>
          <w:rFonts w:ascii="Arial" w:hAnsi="Arial" w:cs="Arial"/>
          <w:color w:val="9DAB0C"/>
          <w:sz w:val="27"/>
          <w:szCs w:val="27"/>
          <w:rtl/>
          <w:lang w:eastAsia="en-US"/>
        </w:rPr>
        <w:t xml:space="preserve"> </w:t>
      </w:r>
      <w:r w:rsidRPr="00911ED4">
        <w:rPr>
          <w:rtl/>
        </w:rPr>
        <w:t xml:space="preserve">قوله تعالى: </w:t>
      </w:r>
      <w:r w:rsidRPr="00911ED4">
        <w:rPr>
          <w:rFonts w:ascii="QCF_BSML" w:hAnsi="QCF_BSML" w:cs="QCF_BSML"/>
          <w:sz w:val="32"/>
          <w:szCs w:val="32"/>
          <w:rtl/>
          <w:lang w:eastAsia="en-US"/>
        </w:rPr>
        <w:t>ﭽ</w:t>
      </w:r>
      <w:r w:rsidRPr="00911ED4">
        <w:rPr>
          <w:rFonts w:ascii="QCF_P293" w:hAnsi="QCF_P293" w:cs="QCF_P293"/>
          <w:color w:val="auto"/>
          <w:sz w:val="32"/>
          <w:szCs w:val="32"/>
          <w:rtl/>
          <w:lang w:eastAsia="en-US"/>
        </w:rPr>
        <w:t xml:space="preserve"> ﭑ  ﭒ</w:t>
      </w:r>
      <w:r w:rsidRPr="00911ED4">
        <w:rPr>
          <w:rFonts w:ascii="QCF_BSML" w:hAnsi="QCF_BSML" w:cs="QCF_BSML"/>
          <w:sz w:val="32"/>
          <w:szCs w:val="32"/>
          <w:rtl/>
          <w:lang w:eastAsia="en-US"/>
        </w:rPr>
        <w:t xml:space="preserve"> ﭼ</w:t>
      </w:r>
      <w:r w:rsidRPr="00911ED4">
        <w:rPr>
          <w:rFonts w:ascii="QCF_P293" w:hAnsi="QCF_P293" w:cs="QCF_P293"/>
          <w:color w:val="auto"/>
          <w:sz w:val="32"/>
          <w:szCs w:val="32"/>
          <w:rtl/>
          <w:lang w:eastAsia="en-US"/>
        </w:rPr>
        <w:t xml:space="preserve">  </w:t>
      </w:r>
      <w:r w:rsidRPr="00911ED4">
        <w:rPr>
          <w:rtl/>
        </w:rPr>
        <w:t>الهاء كناية عن القرآن، والمعنى: أنزلنا القرآن بالأمر الثابت والدِّين المستقيم، فهو حَقٌّ، ونزوله حق، وما تضمنه حق</w:t>
      </w:r>
      <w:r w:rsidRPr="00911ED4">
        <w:rPr>
          <w:vertAlign w:val="superscript"/>
          <w:rtl/>
        </w:rPr>
        <w:t>(</w:t>
      </w:r>
      <w:r w:rsidRPr="00911ED4">
        <w:rPr>
          <w:vertAlign w:val="superscript"/>
          <w:rtl/>
        </w:rPr>
        <w:footnoteReference w:id="787"/>
      </w:r>
      <w:r w:rsidRPr="00911ED4">
        <w:rPr>
          <w:vertAlign w:val="superscript"/>
          <w:rtl/>
        </w:rPr>
        <w:t>)</w:t>
      </w:r>
      <w:r w:rsidRPr="00911ED4">
        <w:rPr>
          <w:rtl/>
        </w:rPr>
        <w:t>. وقال أبو سليمان الدمشقي:</w:t>
      </w:r>
      <w:r w:rsidRPr="00911ED4">
        <w:rPr>
          <w:rFonts w:ascii="QCF_BSML" w:hAnsi="QCF_BSML" w:cs="QCF_BSML"/>
          <w:sz w:val="32"/>
          <w:szCs w:val="32"/>
          <w:rtl/>
          <w:lang w:eastAsia="en-US"/>
        </w:rPr>
        <w:t xml:space="preserve"> ﭽ</w:t>
      </w:r>
      <w:r w:rsidRPr="00911ED4">
        <w:rPr>
          <w:rFonts w:ascii="QCF_P293" w:hAnsi="QCF_P293" w:cs="QCF_P293"/>
          <w:color w:val="auto"/>
          <w:sz w:val="32"/>
          <w:szCs w:val="32"/>
          <w:rtl/>
          <w:lang w:eastAsia="en-US"/>
        </w:rPr>
        <w:t>ﭑ  ﭒ</w:t>
      </w:r>
      <w:r w:rsidRPr="00911ED4">
        <w:rPr>
          <w:rFonts w:ascii="QCF_BSML" w:hAnsi="QCF_BSML" w:cs="QCF_BSML"/>
          <w:sz w:val="32"/>
          <w:szCs w:val="32"/>
          <w:rtl/>
          <w:lang w:eastAsia="en-US"/>
        </w:rPr>
        <w:t>ﭼ</w:t>
      </w:r>
      <w:r w:rsidRPr="00911ED4">
        <w:rPr>
          <w:rFonts w:ascii="QCF_P293" w:hAnsi="QCF_P293" w:cs="QCF_P293"/>
          <w:color w:val="auto"/>
          <w:sz w:val="32"/>
          <w:szCs w:val="32"/>
          <w:rtl/>
          <w:lang w:eastAsia="en-US"/>
        </w:rPr>
        <w:t xml:space="preserve"> </w:t>
      </w:r>
      <w:r w:rsidRPr="00911ED4">
        <w:rPr>
          <w:rtl/>
        </w:rPr>
        <w:t>أي:</w:t>
      </w:r>
      <w:r w:rsidRPr="00911ED4">
        <w:rPr>
          <w:rFonts w:hint="cs"/>
          <w:rtl/>
        </w:rPr>
        <w:t xml:space="preserve"> </w:t>
      </w:r>
      <w:r w:rsidRPr="00911ED4">
        <w:rPr>
          <w:rtl/>
        </w:rPr>
        <w:t xml:space="preserve">بالتوحيد، </w:t>
      </w:r>
      <w:r w:rsidRPr="00911ED4">
        <w:rPr>
          <w:rFonts w:ascii="QCF_BSML" w:hAnsi="QCF_BSML" w:cs="QCF_BSML"/>
          <w:sz w:val="32"/>
          <w:szCs w:val="32"/>
          <w:rtl/>
          <w:lang w:eastAsia="en-US"/>
        </w:rPr>
        <w:t>ﭽ</w:t>
      </w:r>
      <w:r w:rsidRPr="00911ED4">
        <w:rPr>
          <w:rFonts w:ascii="QCF_P293" w:hAnsi="QCF_P293" w:cs="QCF_P293"/>
          <w:color w:val="auto"/>
          <w:sz w:val="32"/>
          <w:szCs w:val="32"/>
          <w:rtl/>
          <w:lang w:eastAsia="en-US"/>
        </w:rPr>
        <w:t xml:space="preserve"> ﭓ  ﭔﭕ  </w:t>
      </w:r>
      <w:r w:rsidRPr="00911ED4">
        <w:rPr>
          <w:rFonts w:ascii="QCF_BSML" w:hAnsi="QCF_BSML" w:cs="QCF_BSML"/>
          <w:sz w:val="32"/>
          <w:szCs w:val="32"/>
          <w:rtl/>
          <w:lang w:eastAsia="en-US"/>
        </w:rPr>
        <w:t>ﭼ</w:t>
      </w:r>
      <w:r w:rsidRPr="00911ED4">
        <w:rPr>
          <w:rFonts w:hint="cs"/>
          <w:rtl/>
        </w:rPr>
        <w:t xml:space="preserve"> </w:t>
      </w:r>
      <w:r w:rsidRPr="00911ED4">
        <w:rPr>
          <w:rtl/>
        </w:rPr>
        <w:t>يعني: بالوعد والوعيد، والأمر والنهي</w:t>
      </w:r>
      <w:r w:rsidRPr="00911ED4">
        <w:rPr>
          <w:vertAlign w:val="superscript"/>
          <w:rtl/>
        </w:rPr>
        <w:t>(</w:t>
      </w:r>
      <w:r w:rsidRPr="00911ED4">
        <w:rPr>
          <w:vertAlign w:val="superscript"/>
          <w:rtl/>
        </w:rPr>
        <w:footnoteReference w:id="788"/>
      </w:r>
      <w:r w:rsidRPr="00911ED4">
        <w:rPr>
          <w:vertAlign w:val="superscript"/>
          <w:rtl/>
        </w:rPr>
        <w:t>)</w:t>
      </w:r>
      <w:r w:rsidRPr="00911ED4">
        <w:rPr>
          <w:rtl/>
        </w:rPr>
        <w:t>.</w:t>
      </w:r>
      <w:r w:rsidRPr="00911ED4">
        <w:rPr>
          <w:rFonts w:ascii="Traditional Arabic" w:hAnsi="Traditional Arabic" w:hint="cs"/>
          <w:rtl/>
        </w:rPr>
        <w:t xml:space="preserve"> </w:t>
      </w:r>
      <w:r w:rsidRPr="00911ED4">
        <w:rPr>
          <w:rtl/>
        </w:rPr>
        <w:t xml:space="preserve">قوله تعالى: </w:t>
      </w:r>
      <w:r w:rsidRPr="00911ED4">
        <w:rPr>
          <w:rFonts w:ascii="QCF_BSML" w:hAnsi="QCF_BSML" w:cs="QCF_BSML"/>
          <w:sz w:val="32"/>
          <w:szCs w:val="32"/>
          <w:rtl/>
          <w:lang w:eastAsia="en-US"/>
        </w:rPr>
        <w:t>ﭽ</w:t>
      </w:r>
      <w:r w:rsidRPr="00911ED4">
        <w:rPr>
          <w:rFonts w:ascii="QCF_P293" w:hAnsi="QCF_P293" w:cs="QCF_P293"/>
          <w:color w:val="auto"/>
          <w:sz w:val="32"/>
          <w:szCs w:val="32"/>
          <w:rtl/>
          <w:lang w:eastAsia="en-US"/>
        </w:rPr>
        <w:t>ﭜ  ﭝ</w:t>
      </w:r>
      <w:r w:rsidRPr="00911ED4">
        <w:rPr>
          <w:rFonts w:ascii="QCF_BSML" w:hAnsi="QCF_BSML" w:cs="QCF_BSML"/>
          <w:sz w:val="32"/>
          <w:szCs w:val="32"/>
          <w:rtl/>
          <w:lang w:eastAsia="en-US"/>
        </w:rPr>
        <w:t>ﭼ</w:t>
      </w:r>
      <w:r w:rsidRPr="00911ED4">
        <w:rPr>
          <w:rFonts w:ascii="QCF_P293" w:hAnsi="QCF_P293" w:cs="QCF_P293"/>
          <w:color w:val="auto"/>
          <w:sz w:val="32"/>
          <w:szCs w:val="32"/>
          <w:rtl/>
          <w:lang w:eastAsia="en-US"/>
        </w:rPr>
        <w:t xml:space="preserve">  </w:t>
      </w:r>
      <w:r w:rsidRPr="00911ED4">
        <w:rPr>
          <w:rtl/>
        </w:rPr>
        <w:t>قرأ علي عليه السلام</w:t>
      </w:r>
      <w:r w:rsidRPr="00911ED4">
        <w:rPr>
          <w:vertAlign w:val="superscript"/>
          <w:rtl/>
        </w:rPr>
        <w:t>(</w:t>
      </w:r>
      <w:r w:rsidRPr="00911ED4">
        <w:rPr>
          <w:vertAlign w:val="superscript"/>
          <w:rtl/>
        </w:rPr>
        <w:footnoteReference w:id="789"/>
      </w:r>
      <w:r w:rsidRPr="00911ED4">
        <w:rPr>
          <w:vertAlign w:val="superscript"/>
          <w:rtl/>
        </w:rPr>
        <w:t>)</w:t>
      </w:r>
      <w:r w:rsidRPr="00911ED4">
        <w:rPr>
          <w:rtl/>
        </w:rPr>
        <w:t>، وسعد بن أبي وقاص</w:t>
      </w:r>
      <w:r w:rsidRPr="00911ED4">
        <w:rPr>
          <w:vertAlign w:val="superscript"/>
          <w:rtl/>
        </w:rPr>
        <w:t>(</w:t>
      </w:r>
      <w:r w:rsidRPr="00911ED4">
        <w:rPr>
          <w:vertAlign w:val="superscript"/>
          <w:rtl/>
        </w:rPr>
        <w:footnoteReference w:id="790"/>
      </w:r>
      <w:r w:rsidRPr="00911ED4">
        <w:rPr>
          <w:vertAlign w:val="superscript"/>
          <w:rtl/>
        </w:rPr>
        <w:t>)</w:t>
      </w:r>
      <w:r w:rsidRPr="00911ED4">
        <w:rPr>
          <w:rtl/>
        </w:rPr>
        <w:t>، وأُبيّ بن كعب</w:t>
      </w:r>
      <w:r w:rsidRPr="00911ED4">
        <w:rPr>
          <w:vertAlign w:val="superscript"/>
          <w:rtl/>
        </w:rPr>
        <w:t>(</w:t>
      </w:r>
      <w:r w:rsidRPr="00911ED4">
        <w:rPr>
          <w:vertAlign w:val="superscript"/>
          <w:rtl/>
        </w:rPr>
        <w:footnoteReference w:id="791"/>
      </w:r>
      <w:r w:rsidRPr="00911ED4">
        <w:rPr>
          <w:vertAlign w:val="superscript"/>
          <w:rtl/>
        </w:rPr>
        <w:t>)</w:t>
      </w:r>
      <w:r w:rsidRPr="00911ED4">
        <w:rPr>
          <w:rtl/>
        </w:rPr>
        <w:t>، وابن مسعود، وابن عباس، وأبو رزين، ومجاهد، والشعبي، وقتادة، والأعرج، وأبو رجاء، وابن محيصن</w:t>
      </w:r>
      <w:r w:rsidRPr="00911ED4">
        <w:rPr>
          <w:vertAlign w:val="superscript"/>
          <w:rtl/>
        </w:rPr>
        <w:t>(</w:t>
      </w:r>
      <w:r w:rsidRPr="00911ED4">
        <w:rPr>
          <w:vertAlign w:val="superscript"/>
          <w:rtl/>
        </w:rPr>
        <w:footnoteReference w:id="792"/>
      </w:r>
      <w:r w:rsidRPr="00911ED4">
        <w:rPr>
          <w:vertAlign w:val="superscript"/>
          <w:rtl/>
        </w:rPr>
        <w:t>)</w:t>
      </w:r>
      <w:r w:rsidRPr="00911ED4">
        <w:rPr>
          <w:rtl/>
        </w:rPr>
        <w:t>:</w:t>
      </w:r>
      <w:r w:rsidRPr="00911ED4">
        <w:rPr>
          <w:rFonts w:hint="cs"/>
          <w:rtl/>
        </w:rPr>
        <w:t xml:space="preserve"> </w:t>
      </w:r>
      <w:r w:rsidRPr="00911ED4">
        <w:rPr>
          <w:rtl/>
        </w:rPr>
        <w:t>«فرَّقناه» بالتشديد</w:t>
      </w:r>
      <w:r w:rsidRPr="00911ED4">
        <w:rPr>
          <w:vertAlign w:val="superscript"/>
          <w:rtl/>
        </w:rPr>
        <w:t>(</w:t>
      </w:r>
      <w:r w:rsidRPr="00911ED4">
        <w:rPr>
          <w:vertAlign w:val="superscript"/>
          <w:rtl/>
        </w:rPr>
        <w:footnoteReference w:id="793"/>
      </w:r>
      <w:r w:rsidRPr="00911ED4">
        <w:rPr>
          <w:vertAlign w:val="superscript"/>
          <w:rtl/>
        </w:rPr>
        <w:t>)</w:t>
      </w:r>
      <w:r w:rsidRPr="00911ED4">
        <w:rPr>
          <w:rtl/>
        </w:rPr>
        <w:t>. وقرأ الجمهور بالتخفيف</w:t>
      </w:r>
      <w:r w:rsidRPr="00911ED4">
        <w:rPr>
          <w:vertAlign w:val="superscript"/>
          <w:rtl/>
        </w:rPr>
        <w:t>(</w:t>
      </w:r>
      <w:r w:rsidRPr="00911ED4">
        <w:rPr>
          <w:vertAlign w:val="superscript"/>
          <w:rtl/>
        </w:rPr>
        <w:footnoteReference w:id="794"/>
      </w:r>
      <w:r w:rsidRPr="00911ED4">
        <w:rPr>
          <w:vertAlign w:val="superscript"/>
          <w:rtl/>
        </w:rPr>
        <w:t>)</w:t>
      </w:r>
      <w:r w:rsidRPr="00911ED4">
        <w:rPr>
          <w:rFonts w:hint="cs"/>
          <w:rtl/>
        </w:rPr>
        <w:t xml:space="preserve">؛ </w:t>
      </w:r>
      <w:r w:rsidRPr="00911ED4">
        <w:rPr>
          <w:rtl/>
        </w:rPr>
        <w:t>فأما قراءة التخفيف، ففي</w:t>
      </w:r>
      <w:r w:rsidR="0094727C">
        <w:rPr>
          <w:rFonts w:hint="cs"/>
          <w:rtl/>
        </w:rPr>
        <w:t xml:space="preserve">ها </w:t>
      </w:r>
      <w:r w:rsidRPr="00911ED4">
        <w:rPr>
          <w:rtl/>
        </w:rPr>
        <w:t>ثلاثة أقوال</w:t>
      </w:r>
      <w:r w:rsidRPr="00911ED4">
        <w:rPr>
          <w:vertAlign w:val="superscript"/>
          <w:rtl/>
        </w:rPr>
        <w:t>(</w:t>
      </w:r>
      <w:r w:rsidRPr="00911ED4">
        <w:rPr>
          <w:vertAlign w:val="superscript"/>
          <w:rtl/>
        </w:rPr>
        <w:footnoteReference w:id="795"/>
      </w:r>
      <w:r w:rsidRPr="00911ED4">
        <w:rPr>
          <w:vertAlign w:val="superscript"/>
          <w:rtl/>
        </w:rPr>
        <w:t>)</w:t>
      </w:r>
      <w:r w:rsidRPr="00911ED4">
        <w:rPr>
          <w:rtl/>
        </w:rPr>
        <w:t>: أحدها: بيَّنَّا حلاله وحرامه، رواه الضحاك عن ابن عباس</w:t>
      </w:r>
      <w:r w:rsidRPr="00911ED4">
        <w:rPr>
          <w:vertAlign w:val="superscript"/>
          <w:rtl/>
        </w:rPr>
        <w:t>(</w:t>
      </w:r>
      <w:r w:rsidRPr="00911ED4">
        <w:rPr>
          <w:vertAlign w:val="superscript"/>
          <w:rtl/>
        </w:rPr>
        <w:footnoteReference w:id="796"/>
      </w:r>
      <w:r w:rsidRPr="00911ED4">
        <w:rPr>
          <w:vertAlign w:val="superscript"/>
          <w:rtl/>
        </w:rPr>
        <w:t>)</w:t>
      </w:r>
      <w:r w:rsidRPr="00911ED4">
        <w:rPr>
          <w:rtl/>
        </w:rPr>
        <w:t xml:space="preserve">. </w:t>
      </w:r>
      <w:r w:rsidRPr="00911ED4">
        <w:rPr>
          <w:rtl/>
        </w:rPr>
        <w:lastRenderedPageBreak/>
        <w:t>والثاني: فرقنا فيه بين الحق والباطل</w:t>
      </w:r>
      <w:r w:rsidRPr="00911ED4">
        <w:rPr>
          <w:vertAlign w:val="superscript"/>
          <w:rtl/>
        </w:rPr>
        <w:t>(</w:t>
      </w:r>
      <w:r w:rsidRPr="00911ED4">
        <w:rPr>
          <w:vertAlign w:val="superscript"/>
          <w:rtl/>
        </w:rPr>
        <w:footnoteReference w:id="797"/>
      </w:r>
      <w:r w:rsidRPr="00911ED4">
        <w:rPr>
          <w:vertAlign w:val="superscript"/>
          <w:rtl/>
        </w:rPr>
        <w:t>)</w:t>
      </w:r>
      <w:r w:rsidRPr="00911ED4">
        <w:rPr>
          <w:rtl/>
        </w:rPr>
        <w:t xml:space="preserve">، </w:t>
      </w:r>
      <w:r w:rsidR="00FD2023">
        <w:rPr>
          <w:rFonts w:hint="cs"/>
          <w:rtl/>
        </w:rPr>
        <w:t>[</w:t>
      </w:r>
      <w:r w:rsidRPr="00911ED4">
        <w:rPr>
          <w:rtl/>
        </w:rPr>
        <w:t>قاله الحسن</w:t>
      </w:r>
      <w:r w:rsidR="00FD2023">
        <w:rPr>
          <w:rFonts w:hint="cs"/>
          <w:rtl/>
        </w:rPr>
        <w:t>]</w:t>
      </w:r>
      <w:r w:rsidRPr="00911ED4">
        <w:rPr>
          <w:vertAlign w:val="superscript"/>
          <w:rtl/>
        </w:rPr>
        <w:t>(</w:t>
      </w:r>
      <w:r w:rsidRPr="00911ED4">
        <w:rPr>
          <w:vertAlign w:val="superscript"/>
          <w:rtl/>
        </w:rPr>
        <w:footnoteReference w:id="798"/>
      </w:r>
      <w:r w:rsidRPr="00911ED4">
        <w:rPr>
          <w:vertAlign w:val="superscript"/>
          <w:rtl/>
        </w:rPr>
        <w:t>)(</w:t>
      </w:r>
      <w:r w:rsidRPr="00911ED4">
        <w:rPr>
          <w:vertAlign w:val="superscript"/>
          <w:rtl/>
        </w:rPr>
        <w:footnoteReference w:id="799"/>
      </w:r>
      <w:r w:rsidRPr="00911ED4">
        <w:rPr>
          <w:vertAlign w:val="superscript"/>
          <w:rtl/>
        </w:rPr>
        <w:t>)</w:t>
      </w:r>
      <w:r w:rsidRPr="00911ED4">
        <w:rPr>
          <w:rtl/>
        </w:rPr>
        <w:t>. والثالث: أحكمناه، وفصَّلناه، كقوله تعالى:</w:t>
      </w:r>
      <w:r w:rsidRPr="00911ED4">
        <w:rPr>
          <w:rFonts w:ascii="QCF_BSML" w:hAnsi="QCF_BSML" w:cs="QCF_BSML"/>
          <w:sz w:val="47"/>
          <w:szCs w:val="47"/>
          <w:rtl/>
          <w:lang w:eastAsia="en-US"/>
        </w:rPr>
        <w:t xml:space="preserve"> </w:t>
      </w:r>
      <w:r w:rsidRPr="00911ED4">
        <w:rPr>
          <w:rFonts w:ascii="QCF_BSML" w:hAnsi="QCF_BSML" w:cs="QCF_BSML"/>
          <w:sz w:val="32"/>
          <w:szCs w:val="32"/>
          <w:rtl/>
          <w:lang w:eastAsia="en-US"/>
        </w:rPr>
        <w:t xml:space="preserve">ﭽ </w:t>
      </w:r>
      <w:r w:rsidRPr="00911ED4">
        <w:rPr>
          <w:rFonts w:ascii="QCF_P496" w:hAnsi="QCF_P496" w:cs="QCF_P496"/>
          <w:sz w:val="32"/>
          <w:szCs w:val="32"/>
          <w:rtl/>
          <w:lang w:eastAsia="en-US"/>
        </w:rPr>
        <w:t xml:space="preserve">ﭠ  ﭡ  ﭢ     ﭣ  ﭤ  </w:t>
      </w:r>
      <w:r w:rsidRPr="00911ED4">
        <w:rPr>
          <w:rFonts w:ascii="QCF_BSML" w:hAnsi="QCF_BSML" w:cs="QCF_BSML"/>
          <w:sz w:val="32"/>
          <w:szCs w:val="32"/>
          <w:rtl/>
          <w:lang w:eastAsia="en-US"/>
        </w:rPr>
        <w:t>ﭼ</w:t>
      </w:r>
      <w:r w:rsidRPr="00911ED4">
        <w:rPr>
          <w:rFonts w:ascii="Arial" w:hAnsi="Arial" w:cs="Arial"/>
          <w:sz w:val="32"/>
          <w:szCs w:val="32"/>
          <w:rtl/>
          <w:lang w:eastAsia="en-US"/>
        </w:rPr>
        <w:t xml:space="preserve"> </w:t>
      </w:r>
      <w:r w:rsidRPr="00911ED4">
        <w:rPr>
          <w:rFonts w:hint="cs"/>
          <w:rtl/>
        </w:rPr>
        <w:t>[</w:t>
      </w:r>
      <w:r w:rsidRPr="00911ED4">
        <w:rPr>
          <w:rtl/>
        </w:rPr>
        <w:t>الدخان:4</w:t>
      </w:r>
      <w:r w:rsidRPr="00911ED4">
        <w:rPr>
          <w:rFonts w:hint="cs"/>
          <w:rtl/>
        </w:rPr>
        <w:t>]</w:t>
      </w:r>
      <w:r w:rsidRPr="00911ED4">
        <w:rPr>
          <w:rtl/>
        </w:rPr>
        <w:t xml:space="preserve"> قاله الفراء</w:t>
      </w:r>
      <w:r w:rsidRPr="00911ED4">
        <w:rPr>
          <w:vertAlign w:val="superscript"/>
          <w:rtl/>
        </w:rPr>
        <w:t>(</w:t>
      </w:r>
      <w:r w:rsidRPr="00911ED4">
        <w:rPr>
          <w:vertAlign w:val="superscript"/>
          <w:rtl/>
        </w:rPr>
        <w:footnoteReference w:id="800"/>
      </w:r>
      <w:r w:rsidRPr="00911ED4">
        <w:rPr>
          <w:vertAlign w:val="superscript"/>
          <w:rtl/>
        </w:rPr>
        <w:t>)</w:t>
      </w:r>
      <w:r w:rsidRPr="00911ED4">
        <w:rPr>
          <w:rtl/>
        </w:rPr>
        <w:t>. وأما المشددة، فمعناها: أنه أُنزل متفرِّقاً، ولم ينزل جملة واحدة</w:t>
      </w:r>
      <w:r w:rsidRPr="00911ED4">
        <w:rPr>
          <w:vertAlign w:val="superscript"/>
          <w:rtl/>
        </w:rPr>
        <w:t>(</w:t>
      </w:r>
      <w:r w:rsidRPr="00911ED4">
        <w:rPr>
          <w:vertAlign w:val="superscript"/>
          <w:rtl/>
        </w:rPr>
        <w:footnoteReference w:id="801"/>
      </w:r>
      <w:r w:rsidRPr="00911ED4">
        <w:rPr>
          <w:vertAlign w:val="superscript"/>
          <w:rtl/>
        </w:rPr>
        <w:t>)</w:t>
      </w:r>
      <w:r w:rsidRPr="00911ED4">
        <w:rPr>
          <w:rtl/>
        </w:rPr>
        <w:t>. وقد بيَّنَّا في أول كتابنا هذا مقدار المدة التي نزل فيها</w:t>
      </w:r>
      <w:r w:rsidRPr="00911ED4">
        <w:rPr>
          <w:vertAlign w:val="superscript"/>
          <w:rtl/>
        </w:rPr>
        <w:t>(</w:t>
      </w:r>
      <w:r w:rsidRPr="00911ED4">
        <w:rPr>
          <w:vertAlign w:val="superscript"/>
          <w:rtl/>
        </w:rPr>
        <w:footnoteReference w:id="802"/>
      </w:r>
      <w:r w:rsidRPr="00911ED4">
        <w:rPr>
          <w:vertAlign w:val="superscript"/>
          <w:rtl/>
        </w:rPr>
        <w:t>)</w:t>
      </w:r>
      <w:r w:rsidRPr="00911ED4">
        <w:rPr>
          <w:rtl/>
        </w:rPr>
        <w:t>.</w:t>
      </w:r>
      <w:r w:rsidRPr="00911ED4">
        <w:rPr>
          <w:rFonts w:hint="cs"/>
          <w:rtl/>
        </w:rPr>
        <w:t xml:space="preserve"> </w:t>
      </w:r>
      <w:r w:rsidRPr="00911ED4">
        <w:rPr>
          <w:rtl/>
        </w:rPr>
        <w:t>قوله تعالى:</w:t>
      </w:r>
      <w:r w:rsidRPr="00911ED4">
        <w:rPr>
          <w:rFonts w:ascii="QCF_BSML" w:hAnsi="QCF_BSML" w:cs="QCF_BSML"/>
          <w:sz w:val="32"/>
          <w:szCs w:val="32"/>
          <w:rtl/>
          <w:lang w:eastAsia="en-US"/>
        </w:rPr>
        <w:t xml:space="preserve"> ﭽ</w:t>
      </w:r>
      <w:r w:rsidRPr="00911ED4">
        <w:rPr>
          <w:rFonts w:ascii="QCF_P293" w:hAnsi="QCF_P293" w:cs="QCF_P293"/>
          <w:color w:val="auto"/>
          <w:sz w:val="32"/>
          <w:szCs w:val="32"/>
          <w:rtl/>
          <w:lang w:eastAsia="en-US"/>
        </w:rPr>
        <w:t xml:space="preserve">ﭞ    ﭟ  ﭠ    ﭡ  ﭢ </w:t>
      </w:r>
      <w:r w:rsidRPr="00911ED4">
        <w:rPr>
          <w:rFonts w:ascii="QCF_BSML" w:hAnsi="QCF_BSML" w:cs="QCF_BSML"/>
          <w:sz w:val="32"/>
          <w:szCs w:val="32"/>
          <w:rtl/>
          <w:lang w:eastAsia="en-US"/>
        </w:rPr>
        <w:t>ﭼ</w:t>
      </w:r>
      <w:r w:rsidRPr="00911ED4">
        <w:rPr>
          <w:rFonts w:ascii="QCF_P293" w:hAnsi="QCF_P293" w:cs="QCF_P293"/>
          <w:color w:val="auto"/>
          <w:sz w:val="32"/>
          <w:szCs w:val="32"/>
          <w:rtl/>
          <w:lang w:eastAsia="en-US"/>
        </w:rPr>
        <w:t xml:space="preserve"> </w:t>
      </w:r>
      <w:r w:rsidR="008E689C">
        <w:rPr>
          <w:rFonts w:ascii="QCF_P293" w:hAnsi="QCF_P293" w:cs="QCF_P293" w:hint="cs"/>
          <w:color w:val="auto"/>
          <w:sz w:val="32"/>
          <w:szCs w:val="32"/>
          <w:rtl/>
          <w:lang w:eastAsia="en-US"/>
        </w:rPr>
        <w:t xml:space="preserve">  </w:t>
      </w:r>
      <w:r w:rsidRPr="00911ED4">
        <w:rPr>
          <w:rtl/>
        </w:rPr>
        <w:t>قرأ أنس، والشعبي، والضحاك، وقتادة، وأبو رجاءٍ، وأبان</w:t>
      </w:r>
      <w:r w:rsidRPr="00911ED4">
        <w:rPr>
          <w:vertAlign w:val="superscript"/>
          <w:rtl/>
        </w:rPr>
        <w:t>(</w:t>
      </w:r>
      <w:r w:rsidRPr="00911ED4">
        <w:rPr>
          <w:vertAlign w:val="superscript"/>
          <w:rtl/>
        </w:rPr>
        <w:footnoteReference w:id="803"/>
      </w:r>
      <w:r w:rsidRPr="00911ED4">
        <w:rPr>
          <w:vertAlign w:val="superscript"/>
          <w:rtl/>
        </w:rPr>
        <w:t>)</w:t>
      </w:r>
      <w:r w:rsidRPr="00911ED4">
        <w:rPr>
          <w:rtl/>
        </w:rPr>
        <w:t>عن عاصم، وابن محيصن بفتح الميم والمعنى على تُؤدة وترسُّل ليتدبَّروا معناه</w:t>
      </w:r>
      <w:r w:rsidRPr="00911ED4">
        <w:rPr>
          <w:vertAlign w:val="superscript"/>
          <w:rtl/>
        </w:rPr>
        <w:t>(</w:t>
      </w:r>
      <w:r w:rsidRPr="00911ED4">
        <w:rPr>
          <w:vertAlign w:val="superscript"/>
          <w:rtl/>
        </w:rPr>
        <w:footnoteReference w:id="804"/>
      </w:r>
      <w:r w:rsidRPr="00911ED4">
        <w:rPr>
          <w:vertAlign w:val="superscript"/>
          <w:rtl/>
        </w:rPr>
        <w:t>)</w:t>
      </w:r>
      <w:r w:rsidRPr="00911ED4">
        <w:rPr>
          <w:rtl/>
        </w:rPr>
        <w:t>.</w:t>
      </w:r>
      <w:r w:rsidRPr="00911ED4">
        <w:rPr>
          <w:rFonts w:hint="cs"/>
          <w:rtl/>
        </w:rPr>
        <w:t xml:space="preserve"> </w:t>
      </w:r>
      <w:r w:rsidRPr="00911ED4">
        <w:rPr>
          <w:rtl/>
        </w:rPr>
        <w:t xml:space="preserve">قوله تعالى: </w:t>
      </w:r>
      <w:r w:rsidRPr="00911ED4">
        <w:rPr>
          <w:rFonts w:ascii="QCF_BSML" w:hAnsi="QCF_BSML" w:cs="QCF_BSML"/>
          <w:sz w:val="32"/>
          <w:szCs w:val="32"/>
          <w:rtl/>
          <w:lang w:eastAsia="en-US"/>
        </w:rPr>
        <w:t>ﭽ</w:t>
      </w:r>
      <w:r w:rsidRPr="00911ED4">
        <w:rPr>
          <w:rFonts w:ascii="QCF_P293" w:hAnsi="QCF_P293" w:cs="QCF_P293"/>
          <w:color w:val="auto"/>
          <w:sz w:val="32"/>
          <w:szCs w:val="32"/>
          <w:rtl/>
          <w:lang w:eastAsia="en-US"/>
        </w:rPr>
        <w:t xml:space="preserve"> ﭦ  ﭧ  ﭨ  ﭩ  ﭪ      ﭫﭬ  </w:t>
      </w:r>
      <w:r w:rsidRPr="00911ED4">
        <w:rPr>
          <w:rFonts w:ascii="QCF_BSML" w:hAnsi="QCF_BSML" w:cs="QCF_BSML"/>
          <w:sz w:val="32"/>
          <w:szCs w:val="32"/>
          <w:rtl/>
          <w:lang w:eastAsia="en-US"/>
        </w:rPr>
        <w:t>ﭼ</w:t>
      </w:r>
      <w:r w:rsidRPr="00911ED4">
        <w:rPr>
          <w:rtl/>
        </w:rPr>
        <w:t xml:space="preserve"> هذا تهديد لكفّار</w:t>
      </w:r>
      <w:r w:rsidRPr="00911ED4">
        <w:rPr>
          <w:rFonts w:hint="cs"/>
          <w:rtl/>
        </w:rPr>
        <w:t xml:space="preserve"> </w:t>
      </w:r>
      <w:r w:rsidR="00FD2023">
        <w:rPr>
          <w:rFonts w:hint="cs"/>
          <w:rtl/>
        </w:rPr>
        <w:t>مكة</w:t>
      </w:r>
      <w:r w:rsidRPr="00911ED4">
        <w:rPr>
          <w:vertAlign w:val="superscript"/>
          <w:rtl/>
        </w:rPr>
        <w:t>(</w:t>
      </w:r>
      <w:r w:rsidRPr="00911ED4">
        <w:rPr>
          <w:vertAlign w:val="superscript"/>
          <w:rtl/>
        </w:rPr>
        <w:footnoteReference w:id="805"/>
      </w:r>
      <w:r w:rsidRPr="00911ED4">
        <w:rPr>
          <w:vertAlign w:val="superscript"/>
          <w:rtl/>
        </w:rPr>
        <w:t>)</w:t>
      </w:r>
      <w:r w:rsidRPr="00911ED4">
        <w:rPr>
          <w:rtl/>
        </w:rPr>
        <w:t>، والهاء كناية عن القرآن</w:t>
      </w:r>
      <w:r w:rsidRPr="00911ED4">
        <w:rPr>
          <w:vertAlign w:val="superscript"/>
          <w:rtl/>
        </w:rPr>
        <w:t>(</w:t>
      </w:r>
      <w:r w:rsidRPr="00911ED4">
        <w:rPr>
          <w:vertAlign w:val="superscript"/>
          <w:rtl/>
        </w:rPr>
        <w:footnoteReference w:id="806"/>
      </w:r>
      <w:r w:rsidRPr="00911ED4">
        <w:rPr>
          <w:vertAlign w:val="superscript"/>
          <w:rtl/>
        </w:rPr>
        <w:t>)</w:t>
      </w:r>
      <w:r w:rsidRPr="00911ED4">
        <w:rPr>
          <w:rtl/>
        </w:rPr>
        <w:t>.</w:t>
      </w:r>
      <w:r w:rsidRPr="00911ED4">
        <w:rPr>
          <w:rFonts w:ascii="QCF_BSML" w:hAnsi="QCF_BSML" w:cs="QCF_BSML"/>
          <w:sz w:val="32"/>
          <w:szCs w:val="32"/>
          <w:rtl/>
          <w:lang w:eastAsia="en-US"/>
        </w:rPr>
        <w:t xml:space="preserve"> ﭽ</w:t>
      </w:r>
      <w:r w:rsidRPr="00911ED4">
        <w:rPr>
          <w:rFonts w:ascii="QCF_P293" w:hAnsi="QCF_P293" w:cs="QCF_P293"/>
          <w:color w:val="auto"/>
          <w:sz w:val="32"/>
          <w:szCs w:val="32"/>
          <w:rtl/>
          <w:lang w:eastAsia="en-US"/>
        </w:rPr>
        <w:t>ﭭ  ﭮ  ﭯ  ﭰ</w:t>
      </w:r>
      <w:r w:rsidRPr="00911ED4">
        <w:rPr>
          <w:rFonts w:ascii="QCF_BSML" w:hAnsi="QCF_BSML" w:cs="QCF_BSML"/>
          <w:sz w:val="32"/>
          <w:szCs w:val="32"/>
          <w:rtl/>
          <w:lang w:eastAsia="en-US"/>
        </w:rPr>
        <w:t>ﭼ</w:t>
      </w:r>
      <w:r w:rsidRPr="00911ED4">
        <w:rPr>
          <w:rtl/>
        </w:rPr>
        <w:t xml:space="preserve"> وفيهم ثلاثة أقوال: أحدها: أنهم ناس من أهل الكتاب، قاله مجاهد</w:t>
      </w:r>
      <w:r w:rsidRPr="00911ED4">
        <w:rPr>
          <w:vertAlign w:val="superscript"/>
          <w:rtl/>
        </w:rPr>
        <w:t>(</w:t>
      </w:r>
      <w:r w:rsidRPr="00911ED4">
        <w:rPr>
          <w:vertAlign w:val="superscript"/>
          <w:rtl/>
        </w:rPr>
        <w:footnoteReference w:id="807"/>
      </w:r>
      <w:r w:rsidRPr="00911ED4">
        <w:rPr>
          <w:vertAlign w:val="superscript"/>
          <w:rtl/>
        </w:rPr>
        <w:t>)</w:t>
      </w:r>
      <w:r w:rsidRPr="00911ED4">
        <w:rPr>
          <w:rtl/>
        </w:rPr>
        <w:t>. والثاني: أنهم الأنبياء عليهم السلام، قاله ابن زيد</w:t>
      </w:r>
      <w:r w:rsidRPr="00911ED4">
        <w:rPr>
          <w:vertAlign w:val="superscript"/>
          <w:rtl/>
        </w:rPr>
        <w:t>(</w:t>
      </w:r>
      <w:r w:rsidRPr="00911ED4">
        <w:rPr>
          <w:vertAlign w:val="superscript"/>
          <w:rtl/>
        </w:rPr>
        <w:footnoteReference w:id="808"/>
      </w:r>
      <w:r w:rsidRPr="00911ED4">
        <w:rPr>
          <w:vertAlign w:val="superscript"/>
          <w:rtl/>
        </w:rPr>
        <w:t>)</w:t>
      </w:r>
      <w:r w:rsidRPr="00911ED4">
        <w:rPr>
          <w:rtl/>
        </w:rPr>
        <w:t xml:space="preserve">. </w:t>
      </w:r>
      <w:r w:rsidR="00FD2023">
        <w:rPr>
          <w:rtl/>
        </w:rPr>
        <w:t>والثالث: طلاب</w:t>
      </w:r>
      <w:r w:rsidR="00FD2023">
        <w:rPr>
          <w:rFonts w:hint="cs"/>
          <w:rtl/>
        </w:rPr>
        <w:t xml:space="preserve"> </w:t>
      </w:r>
      <w:r w:rsidRPr="00911ED4">
        <w:rPr>
          <w:rtl/>
        </w:rPr>
        <w:t>الدِّين، كأبي ذر</w:t>
      </w:r>
      <w:r w:rsidRPr="00911ED4">
        <w:rPr>
          <w:vertAlign w:val="superscript"/>
          <w:rtl/>
        </w:rPr>
        <w:t>(</w:t>
      </w:r>
      <w:r w:rsidRPr="00911ED4">
        <w:rPr>
          <w:vertAlign w:val="superscript"/>
          <w:rtl/>
        </w:rPr>
        <w:footnoteReference w:id="809"/>
      </w:r>
      <w:r w:rsidRPr="00911ED4">
        <w:rPr>
          <w:vertAlign w:val="superscript"/>
          <w:rtl/>
        </w:rPr>
        <w:t>)</w:t>
      </w:r>
      <w:r w:rsidRPr="00911ED4">
        <w:rPr>
          <w:rtl/>
        </w:rPr>
        <w:t xml:space="preserve">، </w:t>
      </w:r>
      <w:r w:rsidRPr="00911ED4">
        <w:rPr>
          <w:rtl/>
        </w:rPr>
        <w:lastRenderedPageBreak/>
        <w:t>وسلمان، وورقة بن نوفل</w:t>
      </w:r>
      <w:r w:rsidRPr="00911ED4">
        <w:rPr>
          <w:vertAlign w:val="superscript"/>
          <w:rtl/>
        </w:rPr>
        <w:t>(</w:t>
      </w:r>
      <w:r w:rsidRPr="00911ED4">
        <w:rPr>
          <w:vertAlign w:val="superscript"/>
          <w:rtl/>
        </w:rPr>
        <w:footnoteReference w:id="810"/>
      </w:r>
      <w:r w:rsidRPr="00911ED4">
        <w:rPr>
          <w:vertAlign w:val="superscript"/>
          <w:rtl/>
        </w:rPr>
        <w:t>)</w:t>
      </w:r>
      <w:r w:rsidRPr="00911ED4">
        <w:rPr>
          <w:rtl/>
        </w:rPr>
        <w:t>، وزيد بن عمرو</w:t>
      </w:r>
      <w:r w:rsidRPr="00911ED4">
        <w:rPr>
          <w:vertAlign w:val="superscript"/>
          <w:rtl/>
        </w:rPr>
        <w:t>(</w:t>
      </w:r>
      <w:r w:rsidRPr="00911ED4">
        <w:rPr>
          <w:vertAlign w:val="superscript"/>
          <w:rtl/>
        </w:rPr>
        <w:footnoteReference w:id="811"/>
      </w:r>
      <w:r w:rsidRPr="00911ED4">
        <w:rPr>
          <w:vertAlign w:val="superscript"/>
          <w:rtl/>
        </w:rPr>
        <w:t>)</w:t>
      </w:r>
      <w:r w:rsidRPr="00911ED4">
        <w:rPr>
          <w:rtl/>
        </w:rPr>
        <w:t>، قاله الواحدي</w:t>
      </w:r>
      <w:r w:rsidRPr="00911ED4">
        <w:rPr>
          <w:vertAlign w:val="superscript"/>
          <w:rtl/>
        </w:rPr>
        <w:t>(</w:t>
      </w:r>
      <w:r w:rsidRPr="00911ED4">
        <w:rPr>
          <w:vertAlign w:val="superscript"/>
          <w:rtl/>
        </w:rPr>
        <w:footnoteReference w:id="812"/>
      </w:r>
      <w:r w:rsidRPr="00911ED4">
        <w:rPr>
          <w:vertAlign w:val="superscript"/>
          <w:rtl/>
        </w:rPr>
        <w:t>)</w:t>
      </w:r>
      <w:r w:rsidRPr="00911ED4">
        <w:rPr>
          <w:rtl/>
        </w:rPr>
        <w:t>.</w:t>
      </w:r>
      <w:r w:rsidRPr="00911ED4">
        <w:rPr>
          <w:rFonts w:hint="cs"/>
          <w:rtl/>
        </w:rPr>
        <w:t xml:space="preserve"> </w:t>
      </w:r>
      <w:r w:rsidRPr="00911ED4">
        <w:rPr>
          <w:rtl/>
        </w:rPr>
        <w:t xml:space="preserve">وفي هاء الكناية في قوله تعالى: </w:t>
      </w:r>
      <w:r w:rsidRPr="00911ED4">
        <w:rPr>
          <w:rFonts w:ascii="QCF_BSML" w:hAnsi="QCF_BSML" w:cs="QCF_BSML"/>
          <w:sz w:val="32"/>
          <w:szCs w:val="32"/>
          <w:rtl/>
          <w:lang w:eastAsia="en-US"/>
        </w:rPr>
        <w:t>ﭽ</w:t>
      </w:r>
      <w:r w:rsidRPr="00911ED4">
        <w:rPr>
          <w:rFonts w:ascii="QCF_P293" w:hAnsi="QCF_P293" w:cs="QCF_P293"/>
          <w:color w:val="auto"/>
          <w:sz w:val="32"/>
          <w:szCs w:val="32"/>
          <w:rtl/>
          <w:lang w:eastAsia="en-US"/>
        </w:rPr>
        <w:t xml:space="preserve"> ﭱ  ﭲ</w:t>
      </w:r>
      <w:r w:rsidRPr="00911ED4">
        <w:rPr>
          <w:rFonts w:ascii="QCF_BSML" w:hAnsi="QCF_BSML" w:cs="QCF_BSML"/>
          <w:sz w:val="32"/>
          <w:szCs w:val="32"/>
          <w:rtl/>
          <w:lang w:eastAsia="en-US"/>
        </w:rPr>
        <w:t xml:space="preserve"> ﭼ</w:t>
      </w:r>
      <w:r w:rsidRPr="00911ED4">
        <w:rPr>
          <w:rFonts w:ascii="QCF_P293" w:hAnsi="QCF_P293" w:cs="QCF_P293"/>
          <w:color w:val="auto"/>
          <w:sz w:val="32"/>
          <w:szCs w:val="32"/>
          <w:rtl/>
          <w:lang w:eastAsia="en-US"/>
        </w:rPr>
        <w:t xml:space="preserve">  </w:t>
      </w:r>
      <w:r w:rsidRPr="00911ED4">
        <w:rPr>
          <w:rtl/>
        </w:rPr>
        <w:t>قولان: أحدهما: أنها ترجع إِلى القرآن، والمعنى:</w:t>
      </w:r>
      <w:r w:rsidRPr="00911ED4">
        <w:rPr>
          <w:rFonts w:hint="cs"/>
          <w:rtl/>
        </w:rPr>
        <w:t xml:space="preserve"> </w:t>
      </w:r>
      <w:r w:rsidRPr="00911ED4">
        <w:rPr>
          <w:rtl/>
        </w:rPr>
        <w:t>من قبل نزوله</w:t>
      </w:r>
      <w:r w:rsidRPr="00911ED4">
        <w:rPr>
          <w:vertAlign w:val="superscript"/>
          <w:rtl/>
        </w:rPr>
        <w:t>(</w:t>
      </w:r>
      <w:r w:rsidRPr="00911ED4">
        <w:rPr>
          <w:vertAlign w:val="superscript"/>
          <w:rtl/>
        </w:rPr>
        <w:footnoteReference w:id="813"/>
      </w:r>
      <w:r w:rsidRPr="00911ED4">
        <w:rPr>
          <w:vertAlign w:val="superscript"/>
          <w:rtl/>
        </w:rPr>
        <w:t>)</w:t>
      </w:r>
      <w:r w:rsidR="005806A9">
        <w:rPr>
          <w:rtl/>
        </w:rPr>
        <w:t>.</w:t>
      </w:r>
      <w:r w:rsidR="005806A9">
        <w:rPr>
          <w:rFonts w:hint="cs"/>
          <w:rtl/>
        </w:rPr>
        <w:t xml:space="preserve"> </w:t>
      </w:r>
      <w:r w:rsidRPr="00911ED4">
        <w:rPr>
          <w:rtl/>
        </w:rPr>
        <w:t>والثاني:</w:t>
      </w:r>
      <w:r w:rsidR="00224A0A" w:rsidRPr="00224A0A">
        <w:rPr>
          <w:rFonts w:hint="cs"/>
          <w:color w:val="0D0D0D" w:themeColor="text1" w:themeTint="F2"/>
          <w:sz w:val="32"/>
          <w:szCs w:val="32"/>
          <w:rtl/>
        </w:rPr>
        <w:t xml:space="preserve"> </w:t>
      </w:r>
      <w:r w:rsidR="00224A0A" w:rsidRPr="001277AD">
        <w:rPr>
          <w:rFonts w:hint="cs"/>
          <w:color w:val="0D0D0D" w:themeColor="text1" w:themeTint="F2"/>
          <w:sz w:val="32"/>
          <w:szCs w:val="32"/>
          <w:rtl/>
        </w:rPr>
        <w:t>[</w:t>
      </w:r>
      <w:r w:rsidR="00224A0A">
        <w:rPr>
          <w:rFonts w:hint="cs"/>
          <w:color w:val="0D0D0D" w:themeColor="text1" w:themeTint="F2"/>
          <w:sz w:val="32"/>
          <w:szCs w:val="32"/>
          <w:rtl/>
        </w:rPr>
        <w:t>96</w:t>
      </w:r>
      <w:r w:rsidR="00224A0A" w:rsidRPr="001277AD">
        <w:rPr>
          <w:rFonts w:hint="cs"/>
          <w:color w:val="0D0D0D" w:themeColor="text1" w:themeTint="F2"/>
          <w:sz w:val="32"/>
          <w:szCs w:val="32"/>
          <w:rtl/>
        </w:rPr>
        <w:t>]</w:t>
      </w:r>
      <w:r w:rsidR="00224A0A" w:rsidRPr="00911ED4">
        <w:rPr>
          <w:rFonts w:ascii="Traditional Arabic" w:hAnsi="Traditional Arabic"/>
          <w:rtl/>
        </w:rPr>
        <w:t xml:space="preserve"> </w:t>
      </w:r>
      <w:r w:rsidRPr="00911ED4">
        <w:rPr>
          <w:rtl/>
        </w:rPr>
        <w:t>ترجع إلى رسول الله</w:t>
      </w:r>
      <w:r w:rsidRPr="00911ED4">
        <w:rPr>
          <w:rFonts w:hint="cs"/>
          <w:rtl/>
        </w:rPr>
        <w:t xml:space="preserve"> </w:t>
      </w:r>
      <w:r w:rsidRPr="00911ED4">
        <w:sym w:font="AGA Arabesque" w:char="F072"/>
      </w:r>
      <w:r w:rsidRPr="00911ED4">
        <w:rPr>
          <w:rtl/>
        </w:rPr>
        <w:t>، قاله ابن زيد</w:t>
      </w:r>
      <w:r w:rsidRPr="00911ED4">
        <w:rPr>
          <w:vertAlign w:val="superscript"/>
          <w:rtl/>
        </w:rPr>
        <w:t>(</w:t>
      </w:r>
      <w:r w:rsidRPr="00911ED4">
        <w:rPr>
          <w:vertAlign w:val="superscript"/>
          <w:rtl/>
        </w:rPr>
        <w:footnoteReference w:id="814"/>
      </w:r>
      <w:r w:rsidRPr="00911ED4">
        <w:rPr>
          <w:vertAlign w:val="superscript"/>
          <w:rtl/>
        </w:rPr>
        <w:t>)</w:t>
      </w:r>
      <w:r w:rsidRPr="00911ED4">
        <w:rPr>
          <w:rtl/>
        </w:rPr>
        <w:t xml:space="preserve">. فعلى الأول </w:t>
      </w:r>
      <w:r w:rsidRPr="00911ED4">
        <w:rPr>
          <w:rFonts w:ascii="QCF_BSML" w:hAnsi="QCF_BSML" w:cs="QCF_BSML"/>
          <w:sz w:val="32"/>
          <w:szCs w:val="32"/>
          <w:rtl/>
          <w:lang w:eastAsia="en-US"/>
        </w:rPr>
        <w:t>ﭽ</w:t>
      </w:r>
      <w:r w:rsidRPr="00911ED4">
        <w:rPr>
          <w:rFonts w:ascii="QCF_P293" w:hAnsi="QCF_P293" w:cs="QCF_P293"/>
          <w:color w:val="auto"/>
          <w:sz w:val="32"/>
          <w:szCs w:val="32"/>
          <w:rtl/>
          <w:lang w:eastAsia="en-US"/>
        </w:rPr>
        <w:t xml:space="preserve"> ﭳ  ﭴ   ﭵ </w:t>
      </w:r>
      <w:r w:rsidRPr="00911ED4">
        <w:rPr>
          <w:rFonts w:ascii="QCF_BSML" w:hAnsi="QCF_BSML" w:cs="QCF_BSML"/>
          <w:sz w:val="32"/>
          <w:szCs w:val="32"/>
          <w:rtl/>
          <w:lang w:eastAsia="en-US"/>
        </w:rPr>
        <w:t>ﭼ</w:t>
      </w:r>
      <w:r w:rsidRPr="00911ED4">
        <w:rPr>
          <w:rFonts w:ascii="QCF_P293" w:hAnsi="QCF_P293" w:cs="QCF_P293"/>
          <w:color w:val="auto"/>
          <w:sz w:val="32"/>
          <w:szCs w:val="32"/>
          <w:rtl/>
          <w:lang w:eastAsia="en-US"/>
        </w:rPr>
        <w:t xml:space="preserve"> </w:t>
      </w:r>
      <w:r w:rsidRPr="00911ED4">
        <w:rPr>
          <w:rtl/>
        </w:rPr>
        <w:t>القرآن.</w:t>
      </w:r>
      <w:r w:rsidRPr="00911ED4">
        <w:rPr>
          <w:rFonts w:hint="cs"/>
          <w:rtl/>
        </w:rPr>
        <w:t xml:space="preserve"> </w:t>
      </w:r>
      <w:r w:rsidRPr="00911ED4">
        <w:rPr>
          <w:rtl/>
        </w:rPr>
        <w:t>وعلى قول ابن زيد</w:t>
      </w:r>
      <w:r w:rsidRPr="00911ED4">
        <w:rPr>
          <w:rFonts w:ascii="QCF_BSML" w:hAnsi="QCF_BSML" w:cs="QCF_BSML"/>
          <w:sz w:val="32"/>
          <w:szCs w:val="32"/>
          <w:rtl/>
          <w:lang w:eastAsia="en-US"/>
        </w:rPr>
        <w:t xml:space="preserve"> ﭽ</w:t>
      </w:r>
      <w:r w:rsidRPr="00911ED4">
        <w:rPr>
          <w:rtl/>
        </w:rPr>
        <w:t xml:space="preserve"> </w:t>
      </w:r>
      <w:r w:rsidRPr="00911ED4">
        <w:rPr>
          <w:rFonts w:ascii="QCF_P293" w:hAnsi="QCF_P293" w:cs="QCF_P293"/>
          <w:color w:val="auto"/>
          <w:sz w:val="32"/>
          <w:szCs w:val="32"/>
          <w:rtl/>
          <w:lang w:eastAsia="en-US"/>
        </w:rPr>
        <w:t>ﭳ  ﭴ   ﭵ</w:t>
      </w:r>
      <w:r w:rsidRPr="00911ED4">
        <w:rPr>
          <w:rFonts w:ascii="QCF_BSML" w:hAnsi="QCF_BSML" w:cs="QCF_BSML"/>
          <w:sz w:val="32"/>
          <w:szCs w:val="32"/>
          <w:rtl/>
          <w:lang w:eastAsia="en-US"/>
        </w:rPr>
        <w:t xml:space="preserve"> ﭼ</w:t>
      </w:r>
      <w:r w:rsidRPr="00911ED4">
        <w:rPr>
          <w:rFonts w:ascii="QCF_P293" w:hAnsi="QCF_P293" w:cs="QCF_P293"/>
          <w:color w:val="auto"/>
          <w:sz w:val="32"/>
          <w:szCs w:val="32"/>
          <w:rtl/>
          <w:lang w:eastAsia="en-US"/>
        </w:rPr>
        <w:t xml:space="preserve">  </w:t>
      </w:r>
      <w:r w:rsidRPr="00911ED4">
        <w:rPr>
          <w:rtl/>
        </w:rPr>
        <w:t>ما أُنزل إِليهم من عند الله.</w:t>
      </w:r>
      <w:r w:rsidRPr="00911ED4">
        <w:rPr>
          <w:rFonts w:ascii="Traditional Arabic" w:hAnsi="Traditional Arabic" w:hint="cs"/>
          <w:rtl/>
        </w:rPr>
        <w:t xml:space="preserve"> </w:t>
      </w:r>
      <w:r w:rsidRPr="00911ED4">
        <w:rPr>
          <w:rtl/>
        </w:rPr>
        <w:t xml:space="preserve">قوله تعالى: </w:t>
      </w:r>
      <w:r w:rsidRPr="00911ED4">
        <w:rPr>
          <w:rFonts w:ascii="QCF_BSML" w:hAnsi="QCF_BSML" w:cs="QCF_BSML"/>
          <w:sz w:val="32"/>
          <w:szCs w:val="32"/>
          <w:rtl/>
          <w:lang w:eastAsia="en-US"/>
        </w:rPr>
        <w:t>ﭽ</w:t>
      </w:r>
      <w:r w:rsidRPr="00911ED4">
        <w:rPr>
          <w:rFonts w:ascii="QCF_P293" w:hAnsi="QCF_P293" w:cs="QCF_P293"/>
          <w:color w:val="auto"/>
          <w:sz w:val="32"/>
          <w:szCs w:val="32"/>
          <w:rtl/>
          <w:lang w:eastAsia="en-US"/>
        </w:rPr>
        <w:t>ﭶ      ﭷ</w:t>
      </w:r>
      <w:r w:rsidRPr="00911ED4">
        <w:rPr>
          <w:rFonts w:ascii="QCF_BSML" w:hAnsi="QCF_BSML" w:cs="QCF_BSML"/>
          <w:sz w:val="32"/>
          <w:szCs w:val="32"/>
          <w:rtl/>
          <w:lang w:eastAsia="en-US"/>
        </w:rPr>
        <w:t>ﭼ</w:t>
      </w:r>
      <w:r w:rsidRPr="00911ED4">
        <w:rPr>
          <w:rFonts w:ascii="QCF_P293" w:hAnsi="QCF_P293" w:cs="QCF_P293"/>
          <w:color w:val="auto"/>
          <w:sz w:val="32"/>
          <w:szCs w:val="32"/>
          <w:rtl/>
          <w:lang w:eastAsia="en-US"/>
        </w:rPr>
        <w:t xml:space="preserve">    </w:t>
      </w:r>
      <w:r w:rsidRPr="00911ED4">
        <w:rPr>
          <w:rtl/>
        </w:rPr>
        <w:t xml:space="preserve">اللام ها هنا بمعنى «على» . قال ابن عباس: قوله </w:t>
      </w:r>
      <w:r w:rsidRPr="00911ED4">
        <w:rPr>
          <w:rFonts w:ascii="QCF_BSML" w:hAnsi="QCF_BSML" w:cs="QCF_BSML"/>
          <w:sz w:val="32"/>
          <w:szCs w:val="32"/>
          <w:rtl/>
          <w:lang w:eastAsia="en-US"/>
        </w:rPr>
        <w:t>ﭽ</w:t>
      </w:r>
      <w:r w:rsidRPr="00911ED4">
        <w:rPr>
          <w:rFonts w:ascii="QCF_P293" w:hAnsi="QCF_P293" w:cs="QCF_P293"/>
          <w:color w:val="auto"/>
          <w:sz w:val="32"/>
          <w:szCs w:val="32"/>
          <w:rtl/>
          <w:lang w:eastAsia="en-US"/>
        </w:rPr>
        <w:t xml:space="preserve"> ﭷ  </w:t>
      </w:r>
      <w:r w:rsidRPr="00911ED4">
        <w:rPr>
          <w:rFonts w:ascii="QCF_BSML" w:hAnsi="QCF_BSML" w:cs="QCF_BSML"/>
          <w:sz w:val="32"/>
          <w:szCs w:val="32"/>
          <w:rtl/>
          <w:lang w:eastAsia="en-US"/>
        </w:rPr>
        <w:t>ﭼ</w:t>
      </w:r>
      <w:r w:rsidRPr="00911ED4">
        <w:rPr>
          <w:rFonts w:ascii="QCF_P293" w:hAnsi="QCF_P293" w:cs="QCF_P293"/>
          <w:color w:val="auto"/>
          <w:sz w:val="32"/>
          <w:szCs w:val="32"/>
          <w:rtl/>
          <w:lang w:eastAsia="en-US"/>
        </w:rPr>
        <w:t xml:space="preserve">    </w:t>
      </w:r>
      <w:r w:rsidRPr="00911ED4">
        <w:rPr>
          <w:rtl/>
        </w:rPr>
        <w:t>أي:</w:t>
      </w:r>
      <w:r w:rsidRPr="00911ED4">
        <w:rPr>
          <w:rFonts w:hint="cs"/>
          <w:rtl/>
        </w:rPr>
        <w:t xml:space="preserve"> </w:t>
      </w:r>
      <w:r w:rsidRPr="00911ED4">
        <w:rPr>
          <w:rtl/>
        </w:rPr>
        <w:t>للوجوه</w:t>
      </w:r>
      <w:r w:rsidRPr="00911ED4">
        <w:rPr>
          <w:vertAlign w:val="superscript"/>
          <w:rtl/>
        </w:rPr>
        <w:t>(</w:t>
      </w:r>
      <w:r w:rsidRPr="00911ED4">
        <w:rPr>
          <w:vertAlign w:val="superscript"/>
          <w:rtl/>
        </w:rPr>
        <w:footnoteReference w:id="815"/>
      </w:r>
      <w:r w:rsidRPr="00911ED4">
        <w:rPr>
          <w:vertAlign w:val="superscript"/>
          <w:rtl/>
        </w:rPr>
        <w:t>)</w:t>
      </w:r>
      <w:r w:rsidRPr="00911ED4">
        <w:rPr>
          <w:rtl/>
        </w:rPr>
        <w:t>. قال الزجاج: الذي يَخِرُّ وهو قائم، إِنما يَخِرُّ لوجهه، والذَّقْن: مُجْتَمع الَّلحيَين</w:t>
      </w:r>
      <w:r w:rsidRPr="00911ED4">
        <w:rPr>
          <w:rFonts w:hint="cs"/>
          <w:rtl/>
        </w:rPr>
        <w:t>,</w:t>
      </w:r>
      <w:r w:rsidRPr="00911ED4">
        <w:rPr>
          <w:rtl/>
        </w:rPr>
        <w:t xml:space="preserve"> وهو عضو من أعضاء الوجه، فإذا ابتدأ يَخِرُّ، فأقرب الأشياء من وجهه إِلى الأرض الذقن</w:t>
      </w:r>
      <w:r w:rsidRPr="00911ED4">
        <w:rPr>
          <w:vertAlign w:val="superscript"/>
          <w:rtl/>
        </w:rPr>
        <w:t>(</w:t>
      </w:r>
      <w:r w:rsidRPr="00911ED4">
        <w:rPr>
          <w:vertAlign w:val="superscript"/>
          <w:rtl/>
        </w:rPr>
        <w:footnoteReference w:id="816"/>
      </w:r>
      <w:r w:rsidRPr="00911ED4">
        <w:rPr>
          <w:vertAlign w:val="superscript"/>
          <w:rtl/>
        </w:rPr>
        <w:t>)</w:t>
      </w:r>
      <w:r w:rsidRPr="00911ED4">
        <w:rPr>
          <w:rtl/>
        </w:rPr>
        <w:t xml:space="preserve">. وقال ابن الأنباري: أول ما يلقى الأرض من الذي يَخِرُّ قبل أن يصوِّب جبهته ذقنُه، فلذلك قال: </w:t>
      </w:r>
      <w:r w:rsidRPr="00911ED4">
        <w:rPr>
          <w:rFonts w:ascii="QCF_BSML" w:hAnsi="QCF_BSML" w:cs="QCF_BSML"/>
          <w:sz w:val="32"/>
          <w:szCs w:val="32"/>
          <w:rtl/>
          <w:lang w:eastAsia="en-US"/>
        </w:rPr>
        <w:t>ﭽ</w:t>
      </w:r>
      <w:r w:rsidRPr="00911ED4">
        <w:rPr>
          <w:rFonts w:ascii="QCF_P293" w:hAnsi="QCF_P293" w:cs="QCF_P293"/>
          <w:color w:val="auto"/>
          <w:sz w:val="32"/>
          <w:szCs w:val="32"/>
          <w:rtl/>
          <w:lang w:eastAsia="en-US"/>
        </w:rPr>
        <w:t>ﮄ</w:t>
      </w:r>
      <w:r w:rsidRPr="00911ED4">
        <w:rPr>
          <w:rFonts w:ascii="QCF_BSML" w:hAnsi="QCF_BSML" w:cs="QCF_BSML"/>
          <w:sz w:val="32"/>
          <w:szCs w:val="32"/>
          <w:rtl/>
          <w:lang w:eastAsia="en-US"/>
        </w:rPr>
        <w:t xml:space="preserve"> ﭼ</w:t>
      </w:r>
      <w:r w:rsidRPr="00911ED4">
        <w:rPr>
          <w:rFonts w:ascii="QCF_P293" w:hAnsi="QCF_P293" w:cs="QCF_P293"/>
          <w:color w:val="auto"/>
          <w:sz w:val="32"/>
          <w:szCs w:val="32"/>
          <w:rtl/>
          <w:lang w:eastAsia="en-US"/>
        </w:rPr>
        <w:t xml:space="preserve">  </w:t>
      </w:r>
      <w:r w:rsidRPr="00911ED4">
        <w:rPr>
          <w:rtl/>
        </w:rPr>
        <w:t>ويجوز أن يكون المعنى: يَخِرُّون للوجوه، فاكتفى بالذقن من الوجه كما يُكتف</w:t>
      </w:r>
      <w:r w:rsidR="00FD2023">
        <w:rPr>
          <w:rtl/>
        </w:rPr>
        <w:t>ى بالبعض من الكُلِّ، وبالنوع من</w:t>
      </w:r>
      <w:r w:rsidR="00FD2023">
        <w:rPr>
          <w:rFonts w:hint="cs"/>
          <w:rtl/>
        </w:rPr>
        <w:t xml:space="preserve"> </w:t>
      </w:r>
      <w:r w:rsidRPr="00911ED4">
        <w:rPr>
          <w:rtl/>
        </w:rPr>
        <w:t>الجنس</w:t>
      </w:r>
      <w:r w:rsidRPr="00911ED4">
        <w:rPr>
          <w:vertAlign w:val="superscript"/>
          <w:rtl/>
        </w:rPr>
        <w:t>(</w:t>
      </w:r>
      <w:r w:rsidRPr="00911ED4">
        <w:rPr>
          <w:vertAlign w:val="superscript"/>
          <w:rtl/>
        </w:rPr>
        <w:footnoteReference w:id="817"/>
      </w:r>
      <w:r w:rsidRPr="00911ED4">
        <w:rPr>
          <w:vertAlign w:val="superscript"/>
          <w:rtl/>
        </w:rPr>
        <w:t>)(</w:t>
      </w:r>
      <w:r w:rsidRPr="00911ED4">
        <w:rPr>
          <w:vertAlign w:val="superscript"/>
          <w:rtl/>
        </w:rPr>
        <w:footnoteReference w:id="818"/>
      </w:r>
      <w:r w:rsidRPr="00911ED4">
        <w:rPr>
          <w:vertAlign w:val="superscript"/>
          <w:rtl/>
        </w:rPr>
        <w:t>)</w:t>
      </w:r>
      <w:r w:rsidRPr="00911ED4">
        <w:rPr>
          <w:rtl/>
        </w:rPr>
        <w:t>.</w:t>
      </w:r>
      <w:r w:rsidRPr="00911ED4">
        <w:rPr>
          <w:rFonts w:ascii="QCF_P293" w:hAnsi="QCF_P293" w:cs="QCF_P293"/>
          <w:color w:val="auto"/>
          <w:sz w:val="32"/>
          <w:szCs w:val="32"/>
          <w:rtl/>
          <w:lang w:eastAsia="en-US"/>
        </w:rPr>
        <w:t xml:space="preserve">  </w:t>
      </w:r>
      <w:r w:rsidRPr="00911ED4">
        <w:rPr>
          <w:rtl/>
        </w:rPr>
        <w:t xml:space="preserve">قوله تعالى: </w:t>
      </w:r>
      <w:r w:rsidRPr="00911ED4">
        <w:rPr>
          <w:rFonts w:ascii="QCF_BSML" w:hAnsi="QCF_BSML" w:cs="QCF_BSML"/>
          <w:sz w:val="32"/>
          <w:szCs w:val="32"/>
          <w:rtl/>
          <w:lang w:eastAsia="en-US"/>
        </w:rPr>
        <w:t>ﭽ</w:t>
      </w:r>
      <w:r w:rsidRPr="00911ED4">
        <w:rPr>
          <w:rFonts w:ascii="QCF_P293" w:hAnsi="QCF_P293" w:cs="QCF_P293"/>
          <w:color w:val="auto"/>
          <w:sz w:val="32"/>
          <w:szCs w:val="32"/>
          <w:rtl/>
          <w:lang w:eastAsia="en-US"/>
        </w:rPr>
        <w:t xml:space="preserve"> ﭺ  ﭻ  ﭼ</w:t>
      </w:r>
      <w:r w:rsidRPr="00911ED4">
        <w:rPr>
          <w:rFonts w:ascii="QCF_BSML" w:hAnsi="QCF_BSML" w:cs="QCF_BSML"/>
          <w:sz w:val="32"/>
          <w:szCs w:val="32"/>
          <w:rtl/>
          <w:lang w:eastAsia="en-US"/>
        </w:rPr>
        <w:t xml:space="preserve"> ﭼ</w:t>
      </w:r>
      <w:r w:rsidRPr="00911ED4">
        <w:rPr>
          <w:rFonts w:ascii="QCF_P293" w:hAnsi="QCF_P293" w:cs="QCF_P293"/>
          <w:color w:val="auto"/>
          <w:sz w:val="32"/>
          <w:szCs w:val="32"/>
          <w:rtl/>
          <w:lang w:eastAsia="en-US"/>
        </w:rPr>
        <w:t xml:space="preserve">  </w:t>
      </w:r>
      <w:r w:rsidRPr="00911ED4">
        <w:rPr>
          <w:rtl/>
        </w:rPr>
        <w:t xml:space="preserve">نزَّهوا الله تعالى عن تكذيب المكذِّبين </w:t>
      </w:r>
      <w:r w:rsidRPr="00911ED4">
        <w:rPr>
          <w:rtl/>
        </w:rPr>
        <w:lastRenderedPageBreak/>
        <w:t>بالقرآن، وقالوا:</w:t>
      </w:r>
      <w:r w:rsidRPr="00911ED4">
        <w:rPr>
          <w:rFonts w:ascii="QCF_BSML" w:hAnsi="QCF_BSML" w:cs="QCF_BSML"/>
          <w:sz w:val="32"/>
          <w:szCs w:val="32"/>
          <w:rtl/>
          <w:lang w:eastAsia="en-US"/>
        </w:rPr>
        <w:t xml:space="preserve"> ﭽ</w:t>
      </w:r>
      <w:r w:rsidRPr="00911ED4">
        <w:rPr>
          <w:rtl/>
        </w:rPr>
        <w:t xml:space="preserve"> </w:t>
      </w:r>
      <w:r w:rsidRPr="00911ED4">
        <w:rPr>
          <w:rFonts w:ascii="QCF_P293" w:hAnsi="QCF_P293" w:cs="QCF_P293"/>
          <w:color w:val="auto"/>
          <w:sz w:val="32"/>
          <w:szCs w:val="32"/>
          <w:rtl/>
          <w:lang w:eastAsia="en-US"/>
        </w:rPr>
        <w:t xml:space="preserve">ﭽ  ﭾ      ﭿ  ﮀ </w:t>
      </w:r>
      <w:r w:rsidRPr="00911ED4">
        <w:rPr>
          <w:rFonts w:ascii="QCF_BSML" w:hAnsi="QCF_BSML" w:cs="QCF_BSML"/>
          <w:sz w:val="32"/>
          <w:szCs w:val="32"/>
          <w:rtl/>
          <w:lang w:eastAsia="en-US"/>
        </w:rPr>
        <w:t>ﭼ</w:t>
      </w:r>
      <w:r w:rsidRPr="00911ED4">
        <w:rPr>
          <w:rFonts w:ascii="QCF_P293" w:hAnsi="QCF_P293" w:cs="QCF_P293"/>
          <w:color w:val="auto"/>
          <w:sz w:val="32"/>
          <w:szCs w:val="32"/>
          <w:rtl/>
          <w:lang w:eastAsia="en-US"/>
        </w:rPr>
        <w:t xml:space="preserve"> </w:t>
      </w:r>
      <w:r w:rsidRPr="00911ED4">
        <w:rPr>
          <w:rtl/>
        </w:rPr>
        <w:t xml:space="preserve">بإنزال القرآن وبعثِ محمّد </w:t>
      </w:r>
      <w:r w:rsidRPr="00911ED4">
        <w:sym w:font="AGA Arabesque" w:char="F072"/>
      </w:r>
      <w:r>
        <w:rPr>
          <w:rFonts w:ascii="QCF_BSML" w:hAnsi="QCF_BSML" w:cs="QCF_BSML" w:hint="cs"/>
          <w:sz w:val="32"/>
          <w:szCs w:val="32"/>
          <w:rtl/>
          <w:lang w:eastAsia="en-US"/>
        </w:rPr>
        <w:t xml:space="preserve">  </w:t>
      </w:r>
      <w:r w:rsidRPr="00911ED4">
        <w:rPr>
          <w:rFonts w:ascii="QCF_BSML" w:hAnsi="QCF_BSML" w:cs="QCF_BSML"/>
          <w:sz w:val="32"/>
          <w:szCs w:val="32"/>
          <w:rtl/>
          <w:lang w:eastAsia="en-US"/>
        </w:rPr>
        <w:t>ﭽ</w:t>
      </w:r>
      <w:r w:rsidRPr="00911ED4">
        <w:rPr>
          <w:rFonts w:ascii="QCF_P293" w:hAnsi="QCF_P293" w:cs="QCF_P293"/>
          <w:color w:val="auto"/>
          <w:sz w:val="32"/>
          <w:szCs w:val="32"/>
          <w:rtl/>
          <w:lang w:eastAsia="en-US"/>
        </w:rPr>
        <w:t>ﮁ</w:t>
      </w:r>
      <w:r w:rsidRPr="00911ED4">
        <w:rPr>
          <w:rFonts w:ascii="QCF_BSML" w:hAnsi="QCF_BSML" w:cs="QCF_BSML"/>
          <w:sz w:val="32"/>
          <w:szCs w:val="32"/>
          <w:rtl/>
          <w:lang w:eastAsia="en-US"/>
        </w:rPr>
        <w:t>ﭼ</w:t>
      </w:r>
      <w:r w:rsidRPr="00911ED4">
        <w:rPr>
          <w:rtl/>
        </w:rPr>
        <w:t xml:space="preserve"> واللام دخلت للتوكيد</w:t>
      </w:r>
      <w:r w:rsidRPr="00911ED4">
        <w:rPr>
          <w:rFonts w:hint="cs"/>
          <w:rtl/>
        </w:rPr>
        <w:t xml:space="preserve">, </w:t>
      </w:r>
      <w:r w:rsidRPr="00911ED4">
        <w:rPr>
          <w:rtl/>
        </w:rPr>
        <w:t>وهؤلاء قوم كانوا يسمعون أن الله باعثٌ نبيّاً من العرب، ومُنزِلٌ عليه كتاباً، فلما عاينوا ذلك، حمدوا الله تعالى على إِنجاز الوعد</w:t>
      </w:r>
      <w:r w:rsidRPr="00911ED4">
        <w:rPr>
          <w:vertAlign w:val="superscript"/>
          <w:rtl/>
        </w:rPr>
        <w:t>(</w:t>
      </w:r>
      <w:r w:rsidRPr="00911ED4">
        <w:rPr>
          <w:vertAlign w:val="superscript"/>
          <w:rtl/>
        </w:rPr>
        <w:footnoteReference w:id="819"/>
      </w:r>
      <w:r w:rsidRPr="00911ED4">
        <w:rPr>
          <w:vertAlign w:val="superscript"/>
          <w:rtl/>
        </w:rPr>
        <w:t>)</w:t>
      </w:r>
      <w:r w:rsidRPr="00911ED4">
        <w:rPr>
          <w:rtl/>
        </w:rPr>
        <w:t xml:space="preserve">، </w:t>
      </w:r>
      <w:r w:rsidRPr="00911ED4">
        <w:rPr>
          <w:rFonts w:ascii="QCF_BSML" w:hAnsi="QCF_BSML" w:cs="QCF_BSML"/>
          <w:sz w:val="32"/>
          <w:szCs w:val="32"/>
          <w:rtl/>
          <w:lang w:eastAsia="en-US"/>
        </w:rPr>
        <w:t>ﭽ</w:t>
      </w:r>
      <w:r w:rsidRPr="00911ED4">
        <w:rPr>
          <w:rFonts w:ascii="QCF_P293" w:hAnsi="QCF_P293" w:cs="QCF_P293"/>
          <w:color w:val="auto"/>
          <w:sz w:val="32"/>
          <w:szCs w:val="32"/>
          <w:rtl/>
          <w:lang w:eastAsia="en-US"/>
        </w:rPr>
        <w:t>ﮃ  ﮄ</w:t>
      </w:r>
      <w:r w:rsidRPr="00911ED4">
        <w:rPr>
          <w:rFonts w:ascii="QCF_BSML" w:hAnsi="QCF_BSML" w:cs="QCF_BSML"/>
          <w:sz w:val="32"/>
          <w:szCs w:val="32"/>
          <w:rtl/>
          <w:lang w:eastAsia="en-US"/>
        </w:rPr>
        <w:t>ﭼ</w:t>
      </w:r>
      <w:r w:rsidRPr="00911ED4">
        <w:rPr>
          <w:rFonts w:ascii="QCF_P293" w:hAnsi="QCF_P293" w:cs="QCF_P293"/>
          <w:color w:val="auto"/>
          <w:sz w:val="32"/>
          <w:szCs w:val="32"/>
          <w:rtl/>
          <w:lang w:eastAsia="en-US"/>
        </w:rPr>
        <w:t xml:space="preserve">  </w:t>
      </w:r>
      <w:r w:rsidRPr="00911ED4">
        <w:rPr>
          <w:rtl/>
        </w:rPr>
        <w:t>كرَّر القول ليدل على تكرار الفعل منهم.</w:t>
      </w:r>
      <w:r w:rsidRPr="00911ED4">
        <w:rPr>
          <w:rFonts w:ascii="QCF_BSML" w:hAnsi="QCF_BSML" w:cs="QCF_BSML"/>
          <w:sz w:val="32"/>
          <w:szCs w:val="32"/>
          <w:rtl/>
          <w:lang w:eastAsia="en-US"/>
        </w:rPr>
        <w:t xml:space="preserve"> ﭽ</w:t>
      </w:r>
      <w:r w:rsidRPr="00911ED4">
        <w:rPr>
          <w:rFonts w:ascii="QCF_P293" w:hAnsi="QCF_P293" w:cs="QCF_P293"/>
          <w:color w:val="auto"/>
          <w:sz w:val="32"/>
          <w:szCs w:val="32"/>
          <w:rtl/>
          <w:lang w:eastAsia="en-US"/>
        </w:rPr>
        <w:t xml:space="preserve"> ﮆ   ﮇ</w:t>
      </w:r>
      <w:r w:rsidRPr="00911ED4">
        <w:rPr>
          <w:rFonts w:ascii="QCF_BSML" w:hAnsi="QCF_BSML" w:cs="QCF_BSML"/>
          <w:sz w:val="32"/>
          <w:szCs w:val="32"/>
          <w:rtl/>
          <w:lang w:eastAsia="en-US"/>
        </w:rPr>
        <w:t xml:space="preserve"> ﭼ</w:t>
      </w:r>
      <w:r w:rsidRPr="00911ED4">
        <w:rPr>
          <w:rFonts w:ascii="QCF_P293" w:hAnsi="QCF_P293" w:cs="QCF_P293"/>
          <w:color w:val="auto"/>
          <w:sz w:val="32"/>
          <w:szCs w:val="32"/>
          <w:rtl/>
          <w:lang w:eastAsia="en-US"/>
        </w:rPr>
        <w:t xml:space="preserve"> </w:t>
      </w:r>
      <w:r w:rsidRPr="00911ED4">
        <w:rPr>
          <w:rtl/>
        </w:rPr>
        <w:t>أي: يزيدهم القرآن تواضعاً</w:t>
      </w:r>
      <w:r w:rsidRPr="00911ED4">
        <w:rPr>
          <w:vertAlign w:val="superscript"/>
          <w:rtl/>
        </w:rPr>
        <w:t>(</w:t>
      </w:r>
      <w:r w:rsidRPr="00911ED4">
        <w:rPr>
          <w:vertAlign w:val="superscript"/>
          <w:rtl/>
        </w:rPr>
        <w:footnoteReference w:id="820"/>
      </w:r>
      <w:r w:rsidRPr="00911ED4">
        <w:rPr>
          <w:vertAlign w:val="superscript"/>
          <w:rtl/>
        </w:rPr>
        <w:t>)</w:t>
      </w:r>
      <w:r w:rsidRPr="00911ED4">
        <w:rPr>
          <w:rtl/>
        </w:rPr>
        <w:t>. وكان عبد الأعلى التيمي</w:t>
      </w:r>
      <w:r w:rsidRPr="00911ED4">
        <w:rPr>
          <w:vertAlign w:val="superscript"/>
          <w:rtl/>
        </w:rPr>
        <w:t>(</w:t>
      </w:r>
      <w:r w:rsidRPr="00911ED4">
        <w:rPr>
          <w:vertAlign w:val="superscript"/>
          <w:rtl/>
        </w:rPr>
        <w:footnoteReference w:id="821"/>
      </w:r>
      <w:r w:rsidRPr="00911ED4">
        <w:rPr>
          <w:vertAlign w:val="superscript"/>
          <w:rtl/>
        </w:rPr>
        <w:t>)</w:t>
      </w:r>
      <w:r w:rsidRPr="00911ED4">
        <w:rPr>
          <w:rtl/>
        </w:rPr>
        <w:t xml:space="preserve"> يقول: من أوتي من العلم ما لا يُبكيه، لَخليق</w:t>
      </w:r>
      <w:r w:rsidRPr="00911ED4">
        <w:rPr>
          <w:vertAlign w:val="superscript"/>
          <w:rtl/>
        </w:rPr>
        <w:t>(</w:t>
      </w:r>
      <w:r w:rsidRPr="00911ED4">
        <w:rPr>
          <w:vertAlign w:val="superscript"/>
          <w:rtl/>
        </w:rPr>
        <w:footnoteReference w:id="822"/>
      </w:r>
      <w:r w:rsidRPr="00911ED4">
        <w:rPr>
          <w:vertAlign w:val="superscript"/>
          <w:rtl/>
        </w:rPr>
        <w:t>)</w:t>
      </w:r>
      <w:r w:rsidRPr="00911ED4">
        <w:rPr>
          <w:rtl/>
        </w:rPr>
        <w:t>أن لا يكون أوتيَ</w:t>
      </w:r>
      <w:r w:rsidR="005B4598">
        <w:rPr>
          <w:rFonts w:hint="cs"/>
          <w:rtl/>
        </w:rPr>
        <w:t xml:space="preserve"> </w:t>
      </w:r>
      <w:r w:rsidRPr="00911ED4">
        <w:rPr>
          <w:rtl/>
        </w:rPr>
        <w:t xml:space="preserve">علماً ينفعه، لأن الله تعالى نعت العلماء فقال: </w:t>
      </w:r>
      <w:r w:rsidRPr="00911ED4">
        <w:rPr>
          <w:rFonts w:ascii="QCF_BSML" w:hAnsi="QCF_BSML" w:cs="QCF_BSML"/>
          <w:sz w:val="32"/>
          <w:szCs w:val="32"/>
          <w:rtl/>
          <w:lang w:eastAsia="en-US"/>
        </w:rPr>
        <w:t>ﭽ</w:t>
      </w:r>
      <w:r w:rsidRPr="00911ED4">
        <w:rPr>
          <w:rFonts w:ascii="QCF_P293" w:hAnsi="QCF_P293" w:cs="QCF_P293"/>
          <w:color w:val="auto"/>
          <w:sz w:val="32"/>
          <w:szCs w:val="32"/>
          <w:rtl/>
          <w:lang w:eastAsia="en-US"/>
        </w:rPr>
        <w:t xml:space="preserve"> ﭭ  ﭮ  ﭯ  ﭰ  ﭱ  ﭲ  ﭳ  ﭴ   ﭵ  ﭶ      ﭷ      ﭸ</w:t>
      </w:r>
      <w:r w:rsidRPr="00911ED4">
        <w:rPr>
          <w:rFonts w:ascii="QCF_BSML" w:hAnsi="QCF_BSML" w:cs="QCF_BSML"/>
          <w:sz w:val="32"/>
          <w:szCs w:val="32"/>
          <w:rtl/>
          <w:lang w:eastAsia="en-US"/>
        </w:rPr>
        <w:t xml:space="preserve"> ﭼ</w:t>
      </w:r>
      <w:r w:rsidRPr="00911ED4">
        <w:rPr>
          <w:rFonts w:ascii="QCF_P293" w:hAnsi="QCF_P293" w:cs="QCF_P293"/>
          <w:color w:val="auto"/>
          <w:sz w:val="32"/>
          <w:szCs w:val="32"/>
          <w:rtl/>
          <w:lang w:eastAsia="en-US"/>
        </w:rPr>
        <w:t xml:space="preserve">    </w:t>
      </w:r>
      <w:r w:rsidRPr="00911ED4">
        <w:rPr>
          <w:rtl/>
        </w:rPr>
        <w:t>إلى قوله تعالى:</w:t>
      </w:r>
      <w:r w:rsidRPr="00911ED4">
        <w:rPr>
          <w:rFonts w:ascii="QCF_P293" w:hAnsi="QCF_P293" w:cs="QCF_P293"/>
          <w:color w:val="auto"/>
          <w:sz w:val="32"/>
          <w:szCs w:val="32"/>
          <w:rtl/>
          <w:lang w:eastAsia="en-US"/>
        </w:rPr>
        <w:t xml:space="preserve"> </w:t>
      </w:r>
      <w:r w:rsidRPr="00911ED4">
        <w:rPr>
          <w:rFonts w:ascii="QCF_BSML" w:hAnsi="QCF_BSML" w:cs="QCF_BSML"/>
          <w:sz w:val="32"/>
          <w:szCs w:val="32"/>
          <w:rtl/>
          <w:lang w:eastAsia="en-US"/>
        </w:rPr>
        <w:t>ﭽ</w:t>
      </w:r>
      <w:r w:rsidRPr="00911ED4">
        <w:rPr>
          <w:rFonts w:ascii="QCF_P293" w:hAnsi="QCF_P293" w:cs="QCF_P293"/>
          <w:color w:val="auto"/>
          <w:sz w:val="32"/>
          <w:szCs w:val="32"/>
          <w:rtl/>
          <w:lang w:eastAsia="en-US"/>
        </w:rPr>
        <w:t>ﮅ</w:t>
      </w:r>
      <w:r w:rsidRPr="00911ED4">
        <w:rPr>
          <w:rFonts w:ascii="QCF_BSML" w:hAnsi="QCF_BSML" w:cs="QCF_BSML"/>
          <w:sz w:val="32"/>
          <w:szCs w:val="32"/>
          <w:rtl/>
          <w:lang w:eastAsia="en-US"/>
        </w:rPr>
        <w:t xml:space="preserve"> ﭼ</w:t>
      </w:r>
      <w:r w:rsidRPr="00911ED4">
        <w:rPr>
          <w:vertAlign w:val="superscript"/>
          <w:rtl/>
        </w:rPr>
        <w:t>(</w:t>
      </w:r>
      <w:r w:rsidRPr="00911ED4">
        <w:rPr>
          <w:vertAlign w:val="superscript"/>
          <w:rtl/>
        </w:rPr>
        <w:footnoteReference w:id="823"/>
      </w:r>
      <w:r w:rsidRPr="00911ED4">
        <w:rPr>
          <w:vertAlign w:val="superscript"/>
          <w:rtl/>
        </w:rPr>
        <w:t>)</w:t>
      </w:r>
      <w:r w:rsidRPr="00911ED4">
        <w:rPr>
          <w:rtl/>
        </w:rPr>
        <w:t>.</w:t>
      </w:r>
    </w:p>
    <w:p w:rsidR="00911ED4" w:rsidRPr="00911ED4" w:rsidRDefault="00911ED4" w:rsidP="00911ED4">
      <w:pPr>
        <w:ind w:firstLine="0"/>
        <w:rPr>
          <w:rFonts w:ascii="Traditional Arabic" w:hAnsi="Traditional Arabic"/>
          <w:color w:val="auto"/>
          <w:rtl/>
        </w:rPr>
      </w:pPr>
      <w:r w:rsidRPr="00911ED4">
        <w:rPr>
          <w:rFonts w:ascii="QCF_BSML" w:hAnsi="QCF_BSML" w:cs="QCF_BSML"/>
          <w:color w:val="auto"/>
          <w:sz w:val="32"/>
          <w:szCs w:val="32"/>
          <w:rtl/>
          <w:lang w:eastAsia="en-US"/>
        </w:rPr>
        <w:t xml:space="preserve">ﭽ </w:t>
      </w:r>
      <w:r w:rsidRPr="00911ED4">
        <w:rPr>
          <w:rFonts w:ascii="QCF_P293" w:hAnsi="QCF_P293" w:cs="QCF_P293"/>
          <w:color w:val="auto"/>
          <w:sz w:val="32"/>
          <w:szCs w:val="32"/>
          <w:rtl/>
          <w:lang w:eastAsia="en-US"/>
        </w:rPr>
        <w:t xml:space="preserve">ﮊ  ﮋ   ﮌ  ﮍ    ﮎ  ﮏﮐ  ﮑ  ﮒ  ﮓ  ﮔ   ﮕ  ﮖﮗ  ﮘ  ﮙ  ﮚ  ﮛ  ﮜ  ﮝ  ﮞ   ﮟ  ﮠ  ﮡ  ﮢ  ﮣ  ﮤ  ﮥ  ﮦ  ﮧ     ﮨ   ﮩ  ﮪ   ﮫ   ﮬ  ﮭ  ﮮ  ﮯ  ﮰ  ﮱ  ﯓ  ﯔ  ﯕ                 ﯖﯗ  ﯘ  ﯙ  ﯚ   </w:t>
      </w:r>
      <w:r w:rsidRPr="00911ED4">
        <w:rPr>
          <w:rFonts w:ascii="QCF_BSML" w:hAnsi="QCF_BSML" w:cs="QCF_BSML"/>
          <w:color w:val="auto"/>
          <w:sz w:val="32"/>
          <w:szCs w:val="32"/>
          <w:rtl/>
          <w:lang w:eastAsia="en-US"/>
        </w:rPr>
        <w:t>ﭼ</w:t>
      </w:r>
      <w:r w:rsidRPr="00911ED4">
        <w:rPr>
          <w:rFonts w:ascii="Arial" w:hAnsi="Arial" w:cs="Arial"/>
          <w:color w:val="auto"/>
          <w:sz w:val="32"/>
          <w:szCs w:val="32"/>
          <w:rtl/>
          <w:lang w:eastAsia="en-US"/>
        </w:rPr>
        <w:t xml:space="preserve"> </w:t>
      </w:r>
    </w:p>
    <w:p w:rsidR="00911ED4" w:rsidRPr="00911ED4" w:rsidRDefault="00911ED4" w:rsidP="00911ED4">
      <w:pPr>
        <w:ind w:firstLine="0"/>
        <w:rPr>
          <w:rtl/>
        </w:rPr>
      </w:pPr>
      <w:r w:rsidRPr="00911ED4">
        <w:rPr>
          <w:rtl/>
        </w:rPr>
        <w:t xml:space="preserve">قوله تعالى: </w:t>
      </w:r>
      <w:r w:rsidRPr="00911ED4">
        <w:rPr>
          <w:rFonts w:ascii="QCF_BSML" w:hAnsi="QCF_BSML" w:cs="QCF_BSML"/>
          <w:sz w:val="32"/>
          <w:szCs w:val="32"/>
          <w:rtl/>
          <w:lang w:eastAsia="en-US"/>
        </w:rPr>
        <w:t>ﭽ</w:t>
      </w:r>
      <w:r w:rsidRPr="00911ED4">
        <w:rPr>
          <w:rFonts w:ascii="QCF_P293" w:hAnsi="QCF_P293" w:cs="QCF_P293"/>
          <w:color w:val="auto"/>
          <w:sz w:val="32"/>
          <w:szCs w:val="32"/>
          <w:rtl/>
          <w:lang w:eastAsia="en-US"/>
        </w:rPr>
        <w:t xml:space="preserve"> ﮊ  ﮋ   ﮌ  ﮍ    ﮎ  ﮏﮐ</w:t>
      </w:r>
      <w:r w:rsidRPr="00911ED4">
        <w:rPr>
          <w:rFonts w:ascii="QCF_BSML" w:hAnsi="QCF_BSML" w:cs="QCF_BSML"/>
          <w:sz w:val="32"/>
          <w:szCs w:val="32"/>
          <w:rtl/>
          <w:lang w:eastAsia="en-US"/>
        </w:rPr>
        <w:t xml:space="preserve"> ﭼ</w:t>
      </w:r>
      <w:r w:rsidRPr="00911ED4">
        <w:rPr>
          <w:rFonts w:ascii="QCF_P293" w:hAnsi="QCF_P293" w:cs="QCF_P293"/>
          <w:color w:val="auto"/>
          <w:sz w:val="32"/>
          <w:szCs w:val="32"/>
          <w:rtl/>
          <w:lang w:eastAsia="en-US"/>
        </w:rPr>
        <w:t xml:space="preserve">  </w:t>
      </w:r>
      <w:r w:rsidRPr="00911ED4">
        <w:rPr>
          <w:rtl/>
        </w:rPr>
        <w:t>ا</w:t>
      </w:r>
      <w:r w:rsidR="00FD2023">
        <w:rPr>
          <w:rtl/>
        </w:rPr>
        <w:t>لآية. هذه الآية نزلت على سببين،</w:t>
      </w:r>
      <w:r w:rsidR="00FD2023">
        <w:rPr>
          <w:rFonts w:hint="cs"/>
          <w:rtl/>
        </w:rPr>
        <w:t>[</w:t>
      </w:r>
      <w:r w:rsidRPr="00911ED4">
        <w:rPr>
          <w:rtl/>
        </w:rPr>
        <w:t>نزل</w:t>
      </w:r>
      <w:r w:rsidR="00FD2023">
        <w:rPr>
          <w:rFonts w:hint="cs"/>
          <w:rtl/>
        </w:rPr>
        <w:t>]</w:t>
      </w:r>
      <w:r w:rsidRPr="00911ED4">
        <w:rPr>
          <w:vertAlign w:val="superscript"/>
          <w:rtl/>
        </w:rPr>
        <w:t>(</w:t>
      </w:r>
      <w:r w:rsidRPr="00911ED4">
        <w:rPr>
          <w:vertAlign w:val="superscript"/>
          <w:rtl/>
        </w:rPr>
        <w:footnoteReference w:id="824"/>
      </w:r>
      <w:r w:rsidRPr="00911ED4">
        <w:rPr>
          <w:vertAlign w:val="superscript"/>
          <w:rtl/>
        </w:rPr>
        <w:t>)</w:t>
      </w:r>
      <w:r w:rsidRPr="00911ED4">
        <w:rPr>
          <w:rtl/>
        </w:rPr>
        <w:t>أوّلها إلى قوله تعالى:</w:t>
      </w:r>
      <w:r w:rsidRPr="00911ED4">
        <w:rPr>
          <w:rFonts w:ascii="QCF_BSML" w:hAnsi="QCF_BSML" w:cs="QCF_BSML"/>
          <w:sz w:val="32"/>
          <w:szCs w:val="32"/>
          <w:rtl/>
          <w:lang w:eastAsia="en-US"/>
        </w:rPr>
        <w:t xml:space="preserve"> </w:t>
      </w:r>
      <w:r w:rsidRPr="00911ED4">
        <w:rPr>
          <w:rFonts w:ascii="QCF_BSML" w:hAnsi="QCF_BSML" w:cs="QCF_BSML"/>
          <w:color w:val="auto"/>
          <w:sz w:val="32"/>
          <w:szCs w:val="32"/>
          <w:rtl/>
          <w:lang w:eastAsia="en-US"/>
        </w:rPr>
        <w:t>ﭽ</w:t>
      </w:r>
      <w:r w:rsidRPr="00911ED4">
        <w:rPr>
          <w:color w:val="auto"/>
          <w:rtl/>
        </w:rPr>
        <w:t xml:space="preserve"> </w:t>
      </w:r>
      <w:r w:rsidRPr="00911ED4">
        <w:rPr>
          <w:rFonts w:ascii="QCF_P293" w:hAnsi="QCF_P293" w:cs="QCF_P293"/>
          <w:color w:val="auto"/>
          <w:sz w:val="32"/>
          <w:szCs w:val="32"/>
          <w:rtl/>
          <w:lang w:eastAsia="en-US"/>
        </w:rPr>
        <w:t xml:space="preserve">ﮖﮗ </w:t>
      </w:r>
      <w:r w:rsidRPr="00911ED4">
        <w:rPr>
          <w:rFonts w:ascii="QCF_BSML" w:hAnsi="QCF_BSML" w:cs="QCF_BSML"/>
          <w:color w:val="auto"/>
          <w:sz w:val="32"/>
          <w:szCs w:val="32"/>
          <w:rtl/>
          <w:lang w:eastAsia="en-US"/>
        </w:rPr>
        <w:t>ﭼ</w:t>
      </w:r>
      <w:r w:rsidRPr="00911ED4">
        <w:rPr>
          <w:color w:val="auto"/>
          <w:rtl/>
        </w:rPr>
        <w:t xml:space="preserve"> </w:t>
      </w:r>
      <w:r w:rsidRPr="00911ED4">
        <w:rPr>
          <w:rtl/>
        </w:rPr>
        <w:t>على سبب، وفيه ثلاثة أقوال:</w:t>
      </w:r>
    </w:p>
    <w:p w:rsidR="009D5EA9" w:rsidRDefault="00911ED4" w:rsidP="00911ED4">
      <w:pPr>
        <w:ind w:firstLine="0"/>
        <w:rPr>
          <w:rtl/>
        </w:rPr>
      </w:pPr>
      <w:r w:rsidRPr="00911ED4">
        <w:rPr>
          <w:rtl/>
        </w:rPr>
        <w:t xml:space="preserve">أحدها: أن رسول الله تهجَّد ذات ليلة بمكة، فجعل يقول في سجوده: «يا رحمن، يا رحيم»، فقال المشركون: كان محمدٌ يدعو إِلهاً واحداً، فهو الآن يدعو إِلهين اثنين: الله، والرحمن، ما </w:t>
      </w:r>
    </w:p>
    <w:p w:rsidR="009D5EA9" w:rsidRDefault="009D5EA9" w:rsidP="00911ED4">
      <w:pPr>
        <w:ind w:firstLine="0"/>
        <w:rPr>
          <w:rtl/>
        </w:rPr>
      </w:pPr>
    </w:p>
    <w:p w:rsidR="00911ED4" w:rsidRPr="00911ED4" w:rsidRDefault="00911ED4" w:rsidP="00911ED4">
      <w:pPr>
        <w:ind w:firstLine="0"/>
        <w:rPr>
          <w:rtl/>
        </w:rPr>
      </w:pPr>
      <w:r w:rsidRPr="00911ED4">
        <w:rPr>
          <w:rtl/>
        </w:rPr>
        <w:lastRenderedPageBreak/>
        <w:t>نعرف الرحمن إِلا رحمن اليمامة، يعنون: مسيلمة، فأنزل اللهُ تعالى هذه الآية، قاله ابن عباس</w:t>
      </w:r>
      <w:r w:rsidRPr="00911ED4">
        <w:rPr>
          <w:vertAlign w:val="superscript"/>
          <w:rtl/>
        </w:rPr>
        <w:t>(</w:t>
      </w:r>
      <w:r w:rsidRPr="00911ED4">
        <w:rPr>
          <w:vertAlign w:val="superscript"/>
          <w:rtl/>
        </w:rPr>
        <w:footnoteReference w:id="825"/>
      </w:r>
      <w:r w:rsidRPr="00911ED4">
        <w:rPr>
          <w:vertAlign w:val="superscript"/>
          <w:rtl/>
        </w:rPr>
        <w:t>)</w:t>
      </w:r>
      <w:r w:rsidRPr="00911ED4">
        <w:rPr>
          <w:rtl/>
        </w:rPr>
        <w:t>.</w:t>
      </w:r>
    </w:p>
    <w:p w:rsidR="00911ED4" w:rsidRPr="00911ED4" w:rsidRDefault="00911ED4" w:rsidP="00911ED4">
      <w:pPr>
        <w:ind w:firstLine="0"/>
        <w:rPr>
          <w:rtl/>
        </w:rPr>
      </w:pPr>
      <w:r w:rsidRPr="00911ED4">
        <w:rPr>
          <w:rtl/>
        </w:rPr>
        <w:t xml:space="preserve">والثاني: أن رسول الله </w:t>
      </w:r>
      <w:r w:rsidRPr="00911ED4">
        <w:sym w:font="AGA Arabesque" w:char="F072"/>
      </w:r>
      <w:r w:rsidRPr="00911ED4">
        <w:rPr>
          <w:rtl/>
        </w:rPr>
        <w:t>كان يكتب في أول ما أوحي إِليه: باسمك اللهم، حتى نزل</w:t>
      </w:r>
      <w:r w:rsidRPr="00911ED4">
        <w:rPr>
          <w:vertAlign w:val="superscript"/>
          <w:rtl/>
        </w:rPr>
        <w:t>(</w:t>
      </w:r>
      <w:r w:rsidRPr="00911ED4">
        <w:rPr>
          <w:vertAlign w:val="superscript"/>
          <w:rtl/>
        </w:rPr>
        <w:footnoteReference w:id="826"/>
      </w:r>
      <w:r w:rsidRPr="00911ED4">
        <w:rPr>
          <w:vertAlign w:val="superscript"/>
          <w:rtl/>
        </w:rPr>
        <w:t>)</w:t>
      </w:r>
      <w:r w:rsidRPr="00911ED4">
        <w:rPr>
          <w:rtl/>
        </w:rPr>
        <w:t>:</w:t>
      </w:r>
      <w:r w:rsidRPr="00911ED4">
        <w:rPr>
          <w:rFonts w:hint="cs"/>
          <w:rtl/>
        </w:rPr>
        <w:t xml:space="preserve"> </w:t>
      </w:r>
      <w:r w:rsidRPr="00911ED4">
        <w:rPr>
          <w:rFonts w:ascii="QCF_BSML" w:hAnsi="QCF_BSML" w:cs="QCF_BSML"/>
          <w:sz w:val="32"/>
          <w:szCs w:val="32"/>
          <w:rtl/>
          <w:lang w:eastAsia="en-US"/>
        </w:rPr>
        <w:t xml:space="preserve">ﭽ </w:t>
      </w:r>
      <w:r w:rsidRPr="00911ED4">
        <w:rPr>
          <w:rFonts w:ascii="QCF_P379" w:hAnsi="QCF_P379" w:cs="QCF_P379"/>
          <w:sz w:val="32"/>
          <w:szCs w:val="32"/>
          <w:rtl/>
          <w:lang w:eastAsia="en-US"/>
        </w:rPr>
        <w:t xml:space="preserve">ﮦ  ﮧ  ﮨ  ﮩ  ﮪ     ﮫ  ﮬ   ﮭ  ﮮ  </w:t>
      </w:r>
      <w:r w:rsidRPr="00911ED4">
        <w:rPr>
          <w:rFonts w:ascii="QCF_BSML" w:hAnsi="QCF_BSML" w:cs="QCF_BSML"/>
          <w:color w:val="auto"/>
          <w:sz w:val="32"/>
          <w:szCs w:val="32"/>
          <w:rtl/>
          <w:lang w:eastAsia="en-US"/>
        </w:rPr>
        <w:t>ﭼ</w:t>
      </w:r>
      <w:r w:rsidRPr="00911ED4">
        <w:rPr>
          <w:rFonts w:ascii="Traditional Arabic" w:hAnsi="Traditional Arabic"/>
          <w:color w:val="auto"/>
          <w:sz w:val="32"/>
          <w:szCs w:val="32"/>
          <w:rtl/>
          <w:lang w:eastAsia="en-US"/>
        </w:rPr>
        <w:t xml:space="preserve"> </w:t>
      </w:r>
      <w:r w:rsidRPr="00911ED4">
        <w:rPr>
          <w:rFonts w:ascii="Traditional Arabic" w:hAnsi="Traditional Arabic" w:hint="cs"/>
          <w:color w:val="auto"/>
          <w:sz w:val="32"/>
          <w:szCs w:val="32"/>
          <w:rtl/>
          <w:lang w:eastAsia="en-US"/>
        </w:rPr>
        <w:t>[</w:t>
      </w:r>
      <w:r w:rsidRPr="00911ED4">
        <w:rPr>
          <w:rFonts w:ascii="Traditional Arabic" w:hAnsi="Traditional Arabic"/>
          <w:color w:val="auto"/>
          <w:sz w:val="32"/>
          <w:szCs w:val="32"/>
          <w:rtl/>
          <w:lang w:eastAsia="en-US"/>
        </w:rPr>
        <w:t>النمل:٣٠</w:t>
      </w:r>
      <w:r w:rsidRPr="00911ED4">
        <w:rPr>
          <w:rFonts w:ascii="Traditional Arabic" w:hAnsi="Traditional Arabic" w:hint="cs"/>
          <w:color w:val="auto"/>
          <w:sz w:val="32"/>
          <w:szCs w:val="32"/>
          <w:rtl/>
          <w:lang w:eastAsia="en-US"/>
        </w:rPr>
        <w:t>]</w:t>
      </w:r>
      <w:r w:rsidRPr="00911ED4">
        <w:rPr>
          <w:rFonts w:ascii="Traditional Arabic" w:hAnsi="Traditional Arabic"/>
          <w:color w:val="auto"/>
          <w:sz w:val="32"/>
          <w:szCs w:val="32"/>
          <w:lang w:eastAsia="en-US"/>
        </w:rPr>
        <w:t xml:space="preserve"> </w:t>
      </w:r>
      <w:r w:rsidRPr="00911ED4">
        <w:rPr>
          <w:rtl/>
        </w:rPr>
        <w:t xml:space="preserve"> فكتب: بسم الله الرحمن الرحيم، فقال مشركو العرب: هذا الرحيم نعرفه، فما الرحمن؟ فنزلت هذه الآية، قاله ميمون بن مهران</w:t>
      </w:r>
      <w:r w:rsidRPr="00911ED4">
        <w:rPr>
          <w:vertAlign w:val="superscript"/>
          <w:rtl/>
        </w:rPr>
        <w:t>(</w:t>
      </w:r>
      <w:r w:rsidRPr="00911ED4">
        <w:rPr>
          <w:vertAlign w:val="superscript"/>
          <w:rtl/>
        </w:rPr>
        <w:footnoteReference w:id="827"/>
      </w:r>
      <w:r w:rsidRPr="00911ED4">
        <w:rPr>
          <w:vertAlign w:val="superscript"/>
          <w:rtl/>
        </w:rPr>
        <w:t>)</w:t>
      </w:r>
      <w:r w:rsidRPr="00911ED4">
        <w:rPr>
          <w:rtl/>
        </w:rPr>
        <w:t>.</w:t>
      </w:r>
    </w:p>
    <w:p w:rsidR="00911ED4" w:rsidRPr="00911ED4" w:rsidRDefault="00911ED4" w:rsidP="00911ED4">
      <w:pPr>
        <w:ind w:firstLine="0"/>
        <w:rPr>
          <w:rtl/>
        </w:rPr>
      </w:pPr>
      <w:r w:rsidRPr="00911ED4">
        <w:rPr>
          <w:rtl/>
        </w:rPr>
        <w:t xml:space="preserve">والثالث: أنّ أهل الكتاب قالوا لرسول الله </w:t>
      </w:r>
      <w:r w:rsidRPr="00911ED4">
        <w:sym w:font="AGA Arabesque" w:char="F072"/>
      </w:r>
      <w:r>
        <w:rPr>
          <w:rFonts w:hint="cs"/>
          <w:rtl/>
        </w:rPr>
        <w:t xml:space="preserve"> </w:t>
      </w:r>
      <w:r w:rsidRPr="00911ED4">
        <w:rPr>
          <w:rtl/>
        </w:rPr>
        <w:t>: إِنك لَتُقِلُّ ذِكْر الرحمن وقد أكثر الله في التوراة هذا الاسم، فنزلت هذه الآية، قاله الضّحّاك</w:t>
      </w:r>
      <w:r w:rsidRPr="00911ED4">
        <w:rPr>
          <w:vertAlign w:val="superscript"/>
          <w:rtl/>
        </w:rPr>
        <w:t>(</w:t>
      </w:r>
      <w:r w:rsidRPr="00911ED4">
        <w:rPr>
          <w:vertAlign w:val="superscript"/>
          <w:rtl/>
        </w:rPr>
        <w:footnoteReference w:id="828"/>
      </w:r>
      <w:r w:rsidRPr="00911ED4">
        <w:rPr>
          <w:vertAlign w:val="superscript"/>
          <w:rtl/>
        </w:rPr>
        <w:t>)</w:t>
      </w:r>
      <w:r w:rsidRPr="00911ED4">
        <w:rPr>
          <w:rtl/>
        </w:rPr>
        <w:t>.</w:t>
      </w:r>
    </w:p>
    <w:p w:rsidR="00911ED4" w:rsidRPr="00911ED4" w:rsidRDefault="00911ED4" w:rsidP="00224A0A">
      <w:pPr>
        <w:ind w:firstLine="0"/>
        <w:rPr>
          <w:rtl/>
        </w:rPr>
      </w:pPr>
      <w:r w:rsidRPr="00911ED4">
        <w:rPr>
          <w:rtl/>
        </w:rPr>
        <w:t xml:space="preserve">فأما قوله تعالى: </w:t>
      </w:r>
      <w:r w:rsidRPr="00911ED4">
        <w:rPr>
          <w:rFonts w:ascii="QCF_BSML" w:hAnsi="QCF_BSML" w:cs="QCF_BSML"/>
          <w:sz w:val="32"/>
          <w:szCs w:val="32"/>
          <w:rtl/>
          <w:lang w:eastAsia="en-US"/>
        </w:rPr>
        <w:t>ﭽ</w:t>
      </w:r>
      <w:r w:rsidRPr="00911ED4">
        <w:rPr>
          <w:rFonts w:ascii="QCF_P293" w:hAnsi="QCF_P293" w:cs="QCF_P293"/>
          <w:sz w:val="32"/>
          <w:szCs w:val="32"/>
          <w:rtl/>
          <w:lang w:eastAsia="en-US"/>
        </w:rPr>
        <w:t xml:space="preserve"> ﮘ  ﮙ  ﮚ</w:t>
      </w:r>
      <w:r w:rsidRPr="00911ED4">
        <w:rPr>
          <w:rFonts w:ascii="QCF_BSML" w:hAnsi="QCF_BSML" w:cs="QCF_BSML"/>
          <w:sz w:val="32"/>
          <w:szCs w:val="32"/>
          <w:rtl/>
          <w:lang w:eastAsia="en-US"/>
        </w:rPr>
        <w:t xml:space="preserve"> ﭼ</w:t>
      </w:r>
      <w:r w:rsidRPr="00911ED4">
        <w:rPr>
          <w:rFonts w:ascii="QCF_P293" w:hAnsi="QCF_P293" w:cs="QCF_P293"/>
          <w:sz w:val="32"/>
          <w:szCs w:val="32"/>
          <w:rtl/>
          <w:lang w:eastAsia="en-US"/>
        </w:rPr>
        <w:t xml:space="preserve">  </w:t>
      </w:r>
      <w:r w:rsidRPr="00911ED4">
        <w:rPr>
          <w:rtl/>
        </w:rPr>
        <w:t>فنزل على سبب، وفيه ثلاثة أقوال:</w:t>
      </w:r>
      <w:r w:rsidR="00224A0A" w:rsidRPr="00224A0A">
        <w:rPr>
          <w:rFonts w:hint="cs"/>
          <w:color w:val="0D0D0D" w:themeColor="text1" w:themeTint="F2"/>
          <w:sz w:val="32"/>
          <w:szCs w:val="32"/>
          <w:rtl/>
        </w:rPr>
        <w:t xml:space="preserve"> </w:t>
      </w:r>
      <w:r w:rsidR="00224A0A" w:rsidRPr="001277AD">
        <w:rPr>
          <w:rFonts w:hint="cs"/>
          <w:color w:val="0D0D0D" w:themeColor="text1" w:themeTint="F2"/>
          <w:sz w:val="32"/>
          <w:szCs w:val="32"/>
          <w:rtl/>
        </w:rPr>
        <w:t>[</w:t>
      </w:r>
      <w:r w:rsidR="00224A0A">
        <w:rPr>
          <w:rFonts w:hint="cs"/>
          <w:color w:val="0D0D0D" w:themeColor="text1" w:themeTint="F2"/>
          <w:sz w:val="32"/>
          <w:szCs w:val="32"/>
          <w:rtl/>
        </w:rPr>
        <w:t>97</w:t>
      </w:r>
      <w:r w:rsidR="00224A0A" w:rsidRPr="001277AD">
        <w:rPr>
          <w:rFonts w:hint="cs"/>
          <w:color w:val="0D0D0D" w:themeColor="text1" w:themeTint="F2"/>
          <w:sz w:val="32"/>
          <w:szCs w:val="32"/>
          <w:rtl/>
        </w:rPr>
        <w:t>]</w:t>
      </w:r>
      <w:r w:rsidR="00224A0A">
        <w:rPr>
          <w:rFonts w:hint="cs"/>
          <w:rtl/>
        </w:rPr>
        <w:t xml:space="preserve"> </w:t>
      </w:r>
      <w:r w:rsidRPr="00911ED4">
        <w:rPr>
          <w:rtl/>
        </w:rPr>
        <w:t>أحدها: أن رسول الله كان يرفع صوته بالقرآن بمكة فيسُبُّ المشركون القرآن ومن أتى به</w:t>
      </w:r>
      <w:r w:rsidRPr="00911ED4">
        <w:rPr>
          <w:rFonts w:hint="cs"/>
          <w:rtl/>
        </w:rPr>
        <w:t xml:space="preserve"> ف</w:t>
      </w:r>
      <w:r w:rsidRPr="00911ED4">
        <w:rPr>
          <w:rtl/>
        </w:rPr>
        <w:t>خفض رسول الله صوته بعد ذلك حتى لم يسمع أصحابه، فأنزل الله تعالى</w:t>
      </w:r>
      <w:r w:rsidRPr="00911ED4">
        <w:rPr>
          <w:rFonts w:ascii="QCF_P293" w:hAnsi="QCF_P293" w:cs="QCF_P293" w:hint="cs"/>
          <w:sz w:val="32"/>
          <w:szCs w:val="32"/>
          <w:rtl/>
          <w:lang w:eastAsia="en-US"/>
        </w:rPr>
        <w:t xml:space="preserve"> </w:t>
      </w:r>
      <w:r w:rsidRPr="00911ED4">
        <w:rPr>
          <w:rFonts w:ascii="QCF_BSML" w:hAnsi="QCF_BSML" w:cs="QCF_BSML"/>
          <w:sz w:val="32"/>
          <w:szCs w:val="32"/>
          <w:rtl/>
          <w:lang w:eastAsia="en-US"/>
        </w:rPr>
        <w:t>ﭽ</w:t>
      </w:r>
      <w:r w:rsidRPr="00911ED4">
        <w:rPr>
          <w:rFonts w:ascii="QCF_P293" w:hAnsi="QCF_P293" w:cs="QCF_P293"/>
          <w:sz w:val="32"/>
          <w:szCs w:val="32"/>
          <w:rtl/>
          <w:lang w:eastAsia="en-US"/>
        </w:rPr>
        <w:t xml:space="preserve"> ﮘ  ﮙ  ﮚ</w:t>
      </w:r>
      <w:r w:rsidRPr="00911ED4">
        <w:rPr>
          <w:rFonts w:ascii="QCF_BSML" w:hAnsi="QCF_BSML" w:cs="QCF_BSML"/>
          <w:sz w:val="32"/>
          <w:szCs w:val="32"/>
          <w:rtl/>
          <w:lang w:eastAsia="en-US"/>
        </w:rPr>
        <w:t>ﭼ</w:t>
      </w:r>
      <w:r w:rsidRPr="00911ED4">
        <w:rPr>
          <w:rtl/>
        </w:rPr>
        <w:t>. أي:</w:t>
      </w:r>
      <w:r w:rsidRPr="00911ED4">
        <w:rPr>
          <w:rFonts w:hint="cs"/>
          <w:rtl/>
        </w:rPr>
        <w:t xml:space="preserve"> </w:t>
      </w:r>
      <w:r w:rsidRPr="00911ED4">
        <w:rPr>
          <w:rtl/>
        </w:rPr>
        <w:t xml:space="preserve">بقراءتك، فيسمع المشركون فيسبُّوا القرآن، </w:t>
      </w:r>
      <w:r w:rsidRPr="00911ED4">
        <w:rPr>
          <w:rFonts w:ascii="QCF_BSML" w:hAnsi="QCF_BSML" w:cs="QCF_BSML"/>
          <w:sz w:val="32"/>
          <w:szCs w:val="32"/>
          <w:rtl/>
          <w:lang w:eastAsia="en-US"/>
        </w:rPr>
        <w:t>ﭽ</w:t>
      </w:r>
      <w:r w:rsidRPr="00911ED4">
        <w:rPr>
          <w:rFonts w:ascii="QCF_P293" w:hAnsi="QCF_P293" w:cs="QCF_P293"/>
          <w:color w:val="auto"/>
          <w:sz w:val="32"/>
          <w:szCs w:val="32"/>
          <w:rtl/>
          <w:lang w:eastAsia="en-US"/>
        </w:rPr>
        <w:t xml:space="preserve"> ﮛ  ﮜ  ﮝ</w:t>
      </w:r>
      <w:r w:rsidRPr="00911ED4">
        <w:rPr>
          <w:rFonts w:ascii="QCF_BSML" w:hAnsi="QCF_BSML" w:cs="QCF_BSML"/>
          <w:sz w:val="32"/>
          <w:szCs w:val="32"/>
          <w:rtl/>
          <w:lang w:eastAsia="en-US"/>
        </w:rPr>
        <w:t>ﭼ</w:t>
      </w:r>
      <w:r w:rsidRPr="00911ED4">
        <w:rPr>
          <w:rFonts w:ascii="QCF_P293" w:hAnsi="QCF_P293" w:cs="QCF_P293"/>
          <w:color w:val="auto"/>
          <w:sz w:val="32"/>
          <w:szCs w:val="32"/>
          <w:rtl/>
          <w:lang w:eastAsia="en-US"/>
        </w:rPr>
        <w:t xml:space="preserve">  </w:t>
      </w:r>
      <w:r w:rsidRPr="00911ED4">
        <w:rPr>
          <w:rtl/>
        </w:rPr>
        <w:t>عن أصحابك، فلا يسمعون، قاله ابن عباس</w:t>
      </w:r>
      <w:r w:rsidRPr="00911ED4">
        <w:rPr>
          <w:vertAlign w:val="superscript"/>
          <w:rtl/>
        </w:rPr>
        <w:t>(</w:t>
      </w:r>
      <w:r w:rsidRPr="00911ED4">
        <w:rPr>
          <w:vertAlign w:val="superscript"/>
          <w:rtl/>
        </w:rPr>
        <w:footnoteReference w:id="829"/>
      </w:r>
      <w:r w:rsidRPr="00911ED4">
        <w:rPr>
          <w:vertAlign w:val="superscript"/>
          <w:rtl/>
        </w:rPr>
        <w:t>)</w:t>
      </w:r>
      <w:r w:rsidRPr="00911ED4">
        <w:rPr>
          <w:rtl/>
        </w:rPr>
        <w:t>.</w:t>
      </w:r>
    </w:p>
    <w:p w:rsidR="00911ED4" w:rsidRPr="00911ED4" w:rsidRDefault="00911ED4" w:rsidP="00911ED4">
      <w:pPr>
        <w:ind w:firstLine="0"/>
        <w:rPr>
          <w:rtl/>
        </w:rPr>
      </w:pPr>
      <w:r w:rsidRPr="00911ED4">
        <w:rPr>
          <w:rtl/>
        </w:rPr>
        <w:lastRenderedPageBreak/>
        <w:t>والثاني: أن الأعرابيّ كان يجهر في التشهُّد ويرفع صوته، فنزلت هذه الآية، هذا قول عائشة</w:t>
      </w:r>
      <w:r w:rsidRPr="00911ED4">
        <w:rPr>
          <w:vertAlign w:val="superscript"/>
          <w:rtl/>
        </w:rPr>
        <w:t>(</w:t>
      </w:r>
      <w:r w:rsidRPr="00911ED4">
        <w:rPr>
          <w:vertAlign w:val="superscript"/>
          <w:rtl/>
        </w:rPr>
        <w:footnoteReference w:id="830"/>
      </w:r>
      <w:r w:rsidRPr="00911ED4">
        <w:rPr>
          <w:vertAlign w:val="superscript"/>
          <w:rtl/>
        </w:rPr>
        <w:t>)</w:t>
      </w:r>
      <w:r w:rsidRPr="00911ED4">
        <w:rPr>
          <w:rtl/>
        </w:rPr>
        <w:t>.</w:t>
      </w:r>
    </w:p>
    <w:p w:rsidR="00911ED4" w:rsidRPr="00911ED4" w:rsidRDefault="00911ED4" w:rsidP="00911ED4">
      <w:pPr>
        <w:ind w:firstLine="0"/>
        <w:rPr>
          <w:rFonts w:ascii="Traditional Arabic" w:hAnsi="Traditional Arabic"/>
          <w:rtl/>
        </w:rPr>
      </w:pPr>
      <w:r w:rsidRPr="00911ED4">
        <w:rPr>
          <w:rtl/>
        </w:rPr>
        <w:t xml:space="preserve">والثالث: أن رسول الله </w:t>
      </w:r>
      <w:r w:rsidRPr="00911ED4">
        <w:sym w:font="AGA Arabesque" w:char="F072"/>
      </w:r>
      <w:r w:rsidRPr="00911ED4">
        <w:rPr>
          <w:rtl/>
        </w:rPr>
        <w:t xml:space="preserve">كان يصلِّي بمكة عند الصفا، فجهر بالقرآن في صلاة الغداة، فقال أبو جهل: لا تفتر على الله، فخفض النبيّ </w:t>
      </w:r>
      <w:r w:rsidRPr="00911ED4">
        <w:sym w:font="AGA Arabesque" w:char="F072"/>
      </w:r>
      <w:r w:rsidRPr="00911ED4">
        <w:rPr>
          <w:rFonts w:hint="cs"/>
          <w:rtl/>
        </w:rPr>
        <w:t xml:space="preserve"> </w:t>
      </w:r>
      <w:r w:rsidRPr="00911ED4">
        <w:rPr>
          <w:rtl/>
        </w:rPr>
        <w:t>صوته، فقال أبو جهل  للمشركين: ألا ترون ما فعلت بابن أبي كبشة؟! رددته عن قراءته، فنزلت هذه الآية، قاله مقاتل</w:t>
      </w:r>
      <w:r w:rsidRPr="00911ED4">
        <w:rPr>
          <w:vertAlign w:val="superscript"/>
          <w:rtl/>
        </w:rPr>
        <w:t>(</w:t>
      </w:r>
      <w:r w:rsidRPr="00911ED4">
        <w:rPr>
          <w:vertAlign w:val="superscript"/>
          <w:rtl/>
        </w:rPr>
        <w:footnoteReference w:id="831"/>
      </w:r>
      <w:r w:rsidRPr="00911ED4">
        <w:rPr>
          <w:vertAlign w:val="superscript"/>
          <w:rtl/>
        </w:rPr>
        <w:t>)</w:t>
      </w:r>
      <w:r w:rsidRPr="00911ED4">
        <w:rPr>
          <w:rtl/>
        </w:rPr>
        <w:t>.</w:t>
      </w:r>
      <w:r w:rsidRPr="00911ED4">
        <w:rPr>
          <w:rFonts w:ascii="Arial" w:hAnsi="Arial" w:cs="Arial"/>
          <w:sz w:val="32"/>
          <w:szCs w:val="32"/>
          <w:rtl/>
          <w:lang w:eastAsia="en-US"/>
        </w:rPr>
        <w:t xml:space="preserve"> </w:t>
      </w:r>
    </w:p>
    <w:p w:rsidR="00911ED4" w:rsidRPr="00911ED4" w:rsidRDefault="00911ED4" w:rsidP="00BA6C1B">
      <w:pPr>
        <w:ind w:firstLine="0"/>
        <w:rPr>
          <w:rtl/>
        </w:rPr>
      </w:pPr>
      <w:r w:rsidRPr="00911ED4">
        <w:rPr>
          <w:rtl/>
        </w:rPr>
        <w:t>فأما التّفسير، فقوله تعالى:</w:t>
      </w:r>
      <w:r w:rsidRPr="00911ED4">
        <w:rPr>
          <w:rFonts w:ascii="QCF_P293" w:hAnsi="QCF_P293" w:cs="QCF_P293"/>
          <w:color w:val="auto"/>
          <w:sz w:val="32"/>
          <w:szCs w:val="32"/>
          <w:rtl/>
          <w:lang w:eastAsia="en-US"/>
        </w:rPr>
        <w:t xml:space="preserve"> </w:t>
      </w:r>
      <w:r w:rsidRPr="00911ED4">
        <w:rPr>
          <w:rFonts w:ascii="QCF_BSML" w:hAnsi="QCF_BSML" w:cs="QCF_BSML"/>
          <w:sz w:val="32"/>
          <w:szCs w:val="32"/>
          <w:rtl/>
          <w:lang w:eastAsia="en-US"/>
        </w:rPr>
        <w:t>ﭽ</w:t>
      </w:r>
      <w:r w:rsidRPr="00911ED4">
        <w:rPr>
          <w:rFonts w:ascii="QCF_P293" w:hAnsi="QCF_P293" w:cs="QCF_P293"/>
          <w:color w:val="auto"/>
          <w:sz w:val="32"/>
          <w:szCs w:val="32"/>
          <w:rtl/>
          <w:lang w:eastAsia="en-US"/>
        </w:rPr>
        <w:t xml:space="preserve"> ﮊ  ﮋ   ﮌ  ﮍ    ﮎ  ﮏ</w:t>
      </w:r>
      <w:r w:rsidRPr="00911ED4">
        <w:rPr>
          <w:rFonts w:ascii="QCF_BSML" w:hAnsi="QCF_BSML" w:cs="QCF_BSML"/>
          <w:sz w:val="32"/>
          <w:szCs w:val="32"/>
          <w:rtl/>
          <w:lang w:eastAsia="en-US"/>
        </w:rPr>
        <w:t xml:space="preserve"> </w:t>
      </w:r>
      <w:r w:rsidRPr="00911ED4">
        <w:rPr>
          <w:rFonts w:ascii="QCF_P293" w:hAnsi="QCF_P293" w:cs="QCF_P293"/>
          <w:color w:val="auto"/>
          <w:sz w:val="32"/>
          <w:szCs w:val="32"/>
          <w:rtl/>
          <w:lang w:eastAsia="en-US"/>
        </w:rPr>
        <w:t xml:space="preserve">ﮐ </w:t>
      </w:r>
      <w:r w:rsidRPr="00911ED4">
        <w:rPr>
          <w:rFonts w:ascii="QCF_BSML" w:hAnsi="QCF_BSML" w:cs="QCF_BSML"/>
          <w:sz w:val="32"/>
          <w:szCs w:val="32"/>
          <w:rtl/>
          <w:lang w:eastAsia="en-US"/>
        </w:rPr>
        <w:t>ﭼ</w:t>
      </w:r>
      <w:r w:rsidRPr="00911ED4">
        <w:rPr>
          <w:rFonts w:ascii="QCF_P293" w:hAnsi="QCF_P293" w:cs="QCF_P293"/>
          <w:color w:val="auto"/>
          <w:sz w:val="32"/>
          <w:szCs w:val="32"/>
          <w:rtl/>
          <w:lang w:eastAsia="en-US"/>
        </w:rPr>
        <w:t xml:space="preserve"> </w:t>
      </w:r>
      <w:r w:rsidRPr="00911ED4">
        <w:rPr>
          <w:rtl/>
        </w:rPr>
        <w:t>المعنى: إِن شئتم فقولوا: يا ألله، وإِن شئتم فقولوا: يا رحمن، فانهما يرجعان إِلى واحد،</w:t>
      </w:r>
      <w:r w:rsidRPr="00911ED4">
        <w:rPr>
          <w:rFonts w:ascii="QCF_BSML" w:hAnsi="QCF_BSML" w:cs="QCF_BSML"/>
          <w:sz w:val="32"/>
          <w:szCs w:val="32"/>
          <w:rtl/>
          <w:lang w:eastAsia="en-US"/>
        </w:rPr>
        <w:t xml:space="preserve"> ﭽ</w:t>
      </w:r>
      <w:r w:rsidRPr="00911ED4">
        <w:rPr>
          <w:rFonts w:ascii="QCF_BSML" w:hAnsi="QCF_BSML" w:cs="QCF_BSML" w:hint="cs"/>
          <w:sz w:val="32"/>
          <w:szCs w:val="32"/>
          <w:rtl/>
          <w:lang w:eastAsia="en-US"/>
        </w:rPr>
        <w:t xml:space="preserve"> </w:t>
      </w:r>
      <w:r w:rsidRPr="00911ED4">
        <w:rPr>
          <w:rFonts w:ascii="QCF_P293" w:hAnsi="QCF_P293" w:cs="QCF_P293"/>
          <w:sz w:val="32"/>
          <w:szCs w:val="32"/>
          <w:rtl/>
          <w:lang w:eastAsia="en-US"/>
        </w:rPr>
        <w:t>ﮑ  ﮒ  ﮓ</w:t>
      </w:r>
      <w:r w:rsidRPr="00911ED4">
        <w:rPr>
          <w:rFonts w:ascii="QCF_BSML" w:hAnsi="QCF_BSML" w:cs="QCF_BSML"/>
          <w:sz w:val="32"/>
          <w:szCs w:val="32"/>
          <w:rtl/>
          <w:lang w:eastAsia="en-US"/>
        </w:rPr>
        <w:t xml:space="preserve"> ﭼ</w:t>
      </w:r>
      <w:r w:rsidRPr="00911ED4">
        <w:rPr>
          <w:rFonts w:ascii="QCF_P293" w:hAnsi="QCF_P293" w:cs="QCF_P293"/>
          <w:sz w:val="32"/>
          <w:szCs w:val="32"/>
          <w:rtl/>
          <w:lang w:eastAsia="en-US"/>
        </w:rPr>
        <w:t xml:space="preserve">  </w:t>
      </w:r>
      <w:r w:rsidRPr="00911ED4">
        <w:rPr>
          <w:rtl/>
        </w:rPr>
        <w:t>المعنى: أيَّ أسماء الله تدعوا</w:t>
      </w:r>
      <w:r w:rsidRPr="00911ED4">
        <w:rPr>
          <w:vertAlign w:val="superscript"/>
          <w:rtl/>
        </w:rPr>
        <w:t>(</w:t>
      </w:r>
      <w:r w:rsidRPr="00911ED4">
        <w:rPr>
          <w:vertAlign w:val="superscript"/>
          <w:rtl/>
        </w:rPr>
        <w:footnoteReference w:id="832"/>
      </w:r>
      <w:r w:rsidRPr="00911ED4">
        <w:rPr>
          <w:vertAlign w:val="superscript"/>
          <w:rtl/>
        </w:rPr>
        <w:t>)</w:t>
      </w:r>
      <w:r w:rsidRPr="00911ED4">
        <w:rPr>
          <w:rFonts w:hint="cs"/>
          <w:rtl/>
        </w:rPr>
        <w:t>.</w:t>
      </w:r>
      <w:r w:rsidRPr="00911ED4">
        <w:rPr>
          <w:rtl/>
        </w:rPr>
        <w:t xml:space="preserve"> قال الفراء: و</w:t>
      </w:r>
      <w:r w:rsidRPr="00911ED4">
        <w:rPr>
          <w:rFonts w:ascii="QCF_BSML" w:hAnsi="QCF_BSML" w:cs="QCF_BSML" w:hint="cs"/>
          <w:sz w:val="32"/>
          <w:szCs w:val="32"/>
          <w:rtl/>
          <w:lang w:eastAsia="en-US"/>
        </w:rPr>
        <w:t xml:space="preserve"> </w:t>
      </w:r>
      <w:r w:rsidRPr="00911ED4">
        <w:rPr>
          <w:rFonts w:ascii="QCF_BSML" w:hAnsi="QCF_BSML" w:cs="QCF_BSML"/>
          <w:sz w:val="32"/>
          <w:szCs w:val="32"/>
          <w:rtl/>
          <w:lang w:eastAsia="en-US"/>
        </w:rPr>
        <w:t>ﭽ</w:t>
      </w:r>
      <w:r w:rsidRPr="00911ED4">
        <w:rPr>
          <w:rFonts w:ascii="QCF_P293" w:hAnsi="QCF_P293" w:cs="QCF_P293"/>
          <w:sz w:val="32"/>
          <w:szCs w:val="32"/>
          <w:rtl/>
          <w:lang w:eastAsia="en-US"/>
        </w:rPr>
        <w:t xml:space="preserve"> ﮒ</w:t>
      </w:r>
      <w:r w:rsidRPr="00911ED4">
        <w:rPr>
          <w:rFonts w:ascii="QCF_BSML" w:hAnsi="QCF_BSML" w:cs="QCF_BSML"/>
          <w:sz w:val="32"/>
          <w:szCs w:val="32"/>
          <w:rtl/>
          <w:lang w:eastAsia="en-US"/>
        </w:rPr>
        <w:t>ﭼ</w:t>
      </w:r>
      <w:r w:rsidRPr="00911ED4">
        <w:rPr>
          <w:rFonts w:ascii="QCF_P293" w:hAnsi="QCF_P293" w:cs="QCF_P293"/>
          <w:sz w:val="32"/>
          <w:szCs w:val="32"/>
          <w:rtl/>
          <w:lang w:eastAsia="en-US"/>
        </w:rPr>
        <w:t xml:space="preserve"> </w:t>
      </w:r>
      <w:r w:rsidRPr="00911ED4">
        <w:rPr>
          <w:rtl/>
        </w:rPr>
        <w:t>قد تكون صلة، كقوله تعالى</w:t>
      </w:r>
      <w:r w:rsidRPr="00911ED4">
        <w:rPr>
          <w:rFonts w:ascii="Traditional Arabic" w:hAnsi="Traditional Arabic" w:hint="cs"/>
          <w:sz w:val="32"/>
          <w:szCs w:val="32"/>
          <w:rtl/>
          <w:lang w:eastAsia="en-US"/>
        </w:rPr>
        <w:t>:</w:t>
      </w:r>
      <w:r w:rsidRPr="00911ED4">
        <w:rPr>
          <w:rFonts w:ascii="QCF_BSML" w:hAnsi="QCF_BSML" w:cs="QCF_BSML"/>
          <w:sz w:val="47"/>
          <w:szCs w:val="47"/>
          <w:rtl/>
          <w:lang w:eastAsia="en-US"/>
        </w:rPr>
        <w:t xml:space="preserve"> </w:t>
      </w:r>
      <w:r w:rsidRPr="00911ED4">
        <w:rPr>
          <w:rFonts w:ascii="QCF_BSML" w:hAnsi="QCF_BSML" w:cs="QCF_BSML"/>
          <w:sz w:val="32"/>
          <w:szCs w:val="32"/>
          <w:rtl/>
          <w:lang w:eastAsia="en-US"/>
        </w:rPr>
        <w:t xml:space="preserve">ﭽ </w:t>
      </w:r>
      <w:r w:rsidRPr="00911ED4">
        <w:rPr>
          <w:rFonts w:ascii="QCF_P344" w:hAnsi="QCF_P344" w:cs="QCF_P344"/>
          <w:sz w:val="32"/>
          <w:szCs w:val="32"/>
          <w:rtl/>
          <w:lang w:eastAsia="en-US"/>
        </w:rPr>
        <w:t>ﯺ  ﯻ  ﯼ    ﯽ   ﯾ</w:t>
      </w:r>
      <w:r w:rsidRPr="00911ED4">
        <w:rPr>
          <w:rFonts w:ascii="QCF_BSML" w:hAnsi="QCF_BSML" w:cs="QCF_BSML"/>
          <w:sz w:val="32"/>
          <w:szCs w:val="32"/>
          <w:rtl/>
          <w:lang w:eastAsia="en-US"/>
        </w:rPr>
        <w:t>ﭼ</w:t>
      </w:r>
      <w:r w:rsidRPr="00911ED4">
        <w:rPr>
          <w:rFonts w:ascii="Arial" w:hAnsi="Arial" w:cs="Arial"/>
          <w:sz w:val="32"/>
          <w:szCs w:val="32"/>
          <w:rtl/>
          <w:lang w:eastAsia="en-US"/>
        </w:rPr>
        <w:t xml:space="preserve"> </w:t>
      </w:r>
      <w:r w:rsidRPr="00911ED4">
        <w:rPr>
          <w:rFonts w:ascii="Arial" w:hAnsi="Arial" w:cs="Arial" w:hint="cs"/>
          <w:sz w:val="32"/>
          <w:szCs w:val="32"/>
          <w:rtl/>
          <w:lang w:eastAsia="en-US"/>
        </w:rPr>
        <w:t>[</w:t>
      </w:r>
      <w:r w:rsidRPr="00911ED4">
        <w:rPr>
          <w:rFonts w:ascii="Traditional Arabic" w:hAnsi="Traditional Arabic"/>
          <w:color w:val="auto"/>
          <w:sz w:val="32"/>
          <w:szCs w:val="32"/>
          <w:rtl/>
          <w:lang w:eastAsia="en-US"/>
        </w:rPr>
        <w:t>المؤمنون:٤٠</w:t>
      </w:r>
      <w:r w:rsidRPr="00911ED4">
        <w:rPr>
          <w:rFonts w:ascii="Traditional Arabic" w:hAnsi="Traditional Arabic" w:hint="cs"/>
          <w:color w:val="auto"/>
          <w:sz w:val="32"/>
          <w:szCs w:val="32"/>
          <w:rtl/>
          <w:lang w:eastAsia="en-US"/>
        </w:rPr>
        <w:t>]</w:t>
      </w:r>
      <w:r w:rsidR="00BA6C1B" w:rsidRPr="00BA6C1B">
        <w:rPr>
          <w:rFonts w:ascii="Traditional Arabic" w:hAnsi="Traditional Arabic"/>
          <w:sz w:val="32"/>
          <w:szCs w:val="32"/>
          <w:rtl/>
        </w:rPr>
        <w:t xml:space="preserve"> </w:t>
      </w:r>
      <w:r w:rsidR="00BA6C1B" w:rsidRPr="00BA6C1B">
        <w:rPr>
          <w:rFonts w:ascii="Traditional Arabic" w:hAnsi="Traditional Arabic"/>
          <w:rtl/>
        </w:rPr>
        <w:t>وتكون في المعنى:</w:t>
      </w:r>
      <w:r w:rsidR="00BA6C1B">
        <w:rPr>
          <w:rFonts w:ascii="Traditional Arabic" w:hAnsi="Traditional Arabic"/>
          <w:rtl/>
        </w:rPr>
        <w:t xml:space="preserve"> أيّ معادَاً لمَّا اختلف لفظهما</w:t>
      </w:r>
      <w:r w:rsidRPr="00911ED4">
        <w:rPr>
          <w:vertAlign w:val="superscript"/>
          <w:rtl/>
        </w:rPr>
        <w:t>(</w:t>
      </w:r>
      <w:r w:rsidRPr="00911ED4">
        <w:rPr>
          <w:vertAlign w:val="superscript"/>
          <w:rtl/>
        </w:rPr>
        <w:footnoteReference w:id="833"/>
      </w:r>
      <w:r w:rsidRPr="00911ED4">
        <w:rPr>
          <w:vertAlign w:val="superscript"/>
          <w:rtl/>
        </w:rPr>
        <w:t>)(</w:t>
      </w:r>
      <w:r w:rsidRPr="00911ED4">
        <w:rPr>
          <w:vertAlign w:val="superscript"/>
          <w:rtl/>
        </w:rPr>
        <w:footnoteReference w:id="834"/>
      </w:r>
      <w:r w:rsidRPr="00911ED4">
        <w:rPr>
          <w:vertAlign w:val="superscript"/>
          <w:rtl/>
        </w:rPr>
        <w:t>)</w:t>
      </w:r>
      <w:r w:rsidRPr="00911ED4">
        <w:rPr>
          <w:rtl/>
        </w:rPr>
        <w:t>.</w:t>
      </w:r>
    </w:p>
    <w:p w:rsidR="00911ED4" w:rsidRPr="00911ED4" w:rsidRDefault="00911ED4" w:rsidP="00BA4C65">
      <w:pPr>
        <w:ind w:firstLine="0"/>
        <w:rPr>
          <w:rtl/>
        </w:rPr>
      </w:pPr>
      <w:r w:rsidRPr="00911ED4">
        <w:rPr>
          <w:rtl/>
        </w:rPr>
        <w:t xml:space="preserve">قوله تعالى: </w:t>
      </w:r>
      <w:r w:rsidRPr="00911ED4">
        <w:rPr>
          <w:rFonts w:ascii="QCF_BSML" w:hAnsi="QCF_BSML" w:cs="QCF_BSML"/>
          <w:sz w:val="32"/>
          <w:szCs w:val="32"/>
          <w:rtl/>
          <w:lang w:eastAsia="en-US"/>
        </w:rPr>
        <w:t>ﭽ</w:t>
      </w:r>
      <w:r w:rsidRPr="00911ED4">
        <w:rPr>
          <w:rFonts w:ascii="QCF_P293" w:hAnsi="QCF_P293" w:cs="QCF_P293"/>
          <w:sz w:val="32"/>
          <w:szCs w:val="32"/>
          <w:rtl/>
          <w:lang w:eastAsia="en-US"/>
        </w:rPr>
        <w:t xml:space="preserve"> ﮘ  ﮙ  ﮚ</w:t>
      </w:r>
      <w:r w:rsidRPr="00911ED4">
        <w:rPr>
          <w:rFonts w:ascii="QCF_BSML" w:hAnsi="QCF_BSML" w:cs="QCF_BSML"/>
          <w:sz w:val="32"/>
          <w:szCs w:val="32"/>
          <w:rtl/>
          <w:lang w:eastAsia="en-US"/>
        </w:rPr>
        <w:t xml:space="preserve"> ﭼ</w:t>
      </w:r>
      <w:r w:rsidRPr="00911ED4">
        <w:rPr>
          <w:rFonts w:ascii="QCF_P293" w:hAnsi="QCF_P293" w:cs="QCF_P293"/>
          <w:sz w:val="32"/>
          <w:szCs w:val="32"/>
          <w:rtl/>
          <w:lang w:eastAsia="en-US"/>
        </w:rPr>
        <w:t xml:space="preserve">  </w:t>
      </w:r>
      <w:r w:rsidRPr="00911ED4">
        <w:rPr>
          <w:rtl/>
        </w:rPr>
        <w:t>فيه قولان:</w:t>
      </w:r>
      <w:r w:rsidRPr="00911ED4">
        <w:rPr>
          <w:rFonts w:hint="cs"/>
          <w:rtl/>
        </w:rPr>
        <w:t xml:space="preserve"> </w:t>
      </w:r>
      <w:r w:rsidRPr="00911ED4">
        <w:rPr>
          <w:rtl/>
        </w:rPr>
        <w:t>أحدهما: أنها الصلاة الشرعية</w:t>
      </w:r>
      <w:r w:rsidRPr="00911ED4">
        <w:rPr>
          <w:vertAlign w:val="superscript"/>
          <w:rtl/>
        </w:rPr>
        <w:t>(</w:t>
      </w:r>
      <w:r w:rsidRPr="00911ED4">
        <w:rPr>
          <w:vertAlign w:val="superscript"/>
          <w:rtl/>
        </w:rPr>
        <w:footnoteReference w:id="835"/>
      </w:r>
      <w:r w:rsidRPr="00911ED4">
        <w:rPr>
          <w:vertAlign w:val="superscript"/>
          <w:rtl/>
        </w:rPr>
        <w:t>)</w:t>
      </w:r>
      <w:r w:rsidRPr="00911ED4">
        <w:rPr>
          <w:rtl/>
        </w:rPr>
        <w:t>. ثم في المراد بالكلام ستّة أقوال: أحدها: لا تجهر بقراءتك، ولا تخافت بها، فكأنه نهي عن شدة الجهر بالقراءة وشدة المخافتة، قاله ابن عباس</w:t>
      </w:r>
      <w:r w:rsidRPr="00911ED4">
        <w:rPr>
          <w:vertAlign w:val="superscript"/>
          <w:rtl/>
        </w:rPr>
        <w:t>(</w:t>
      </w:r>
      <w:r w:rsidRPr="00911ED4">
        <w:rPr>
          <w:vertAlign w:val="superscript"/>
          <w:rtl/>
        </w:rPr>
        <w:footnoteReference w:id="836"/>
      </w:r>
      <w:r w:rsidRPr="00911ED4">
        <w:rPr>
          <w:vertAlign w:val="superscript"/>
          <w:rtl/>
        </w:rPr>
        <w:t>)</w:t>
      </w:r>
      <w:r w:rsidRPr="00911ED4">
        <w:rPr>
          <w:rtl/>
        </w:rPr>
        <w:t xml:space="preserve">. فعلى هذا في تسمية القراءة بالصلاة قولان: ذكرهما </w:t>
      </w:r>
      <w:r w:rsidRPr="00911ED4">
        <w:rPr>
          <w:rtl/>
        </w:rPr>
        <w:lastRenderedPageBreak/>
        <w:t>ابن الأنباري: أحدهما: أن يكون المعنى: فلا تجهر بقراءة صلاتك</w:t>
      </w:r>
      <w:r w:rsidRPr="00911ED4">
        <w:rPr>
          <w:vertAlign w:val="superscript"/>
          <w:rtl/>
        </w:rPr>
        <w:t>(</w:t>
      </w:r>
      <w:r w:rsidRPr="00911ED4">
        <w:rPr>
          <w:vertAlign w:val="superscript"/>
          <w:rtl/>
        </w:rPr>
        <w:footnoteReference w:id="837"/>
      </w:r>
      <w:r w:rsidRPr="00911ED4">
        <w:rPr>
          <w:vertAlign w:val="superscript"/>
          <w:rtl/>
        </w:rPr>
        <w:t>)</w:t>
      </w:r>
      <w:r w:rsidRPr="00911ED4">
        <w:rPr>
          <w:rtl/>
        </w:rPr>
        <w:t>.</w:t>
      </w:r>
      <w:r w:rsidRPr="00911ED4">
        <w:rPr>
          <w:rFonts w:hint="cs"/>
          <w:rtl/>
        </w:rPr>
        <w:t xml:space="preserve"> </w:t>
      </w:r>
      <w:r w:rsidRPr="00911ED4">
        <w:rPr>
          <w:rtl/>
        </w:rPr>
        <w:t>والثاني: أن القراءة بعض الصلاة، فنابت عنها، كما قيل لعيسى: كلمة الله، لأنه بالكلمة كان</w:t>
      </w:r>
      <w:r w:rsidRPr="00911ED4">
        <w:rPr>
          <w:vertAlign w:val="superscript"/>
          <w:rtl/>
        </w:rPr>
        <w:t>(</w:t>
      </w:r>
      <w:r w:rsidRPr="00911ED4">
        <w:rPr>
          <w:vertAlign w:val="superscript"/>
          <w:rtl/>
        </w:rPr>
        <w:footnoteReference w:id="838"/>
      </w:r>
      <w:r w:rsidRPr="00911ED4">
        <w:rPr>
          <w:vertAlign w:val="superscript"/>
          <w:rtl/>
        </w:rPr>
        <w:t>)</w:t>
      </w:r>
      <w:r w:rsidRPr="00911ED4">
        <w:rPr>
          <w:rtl/>
        </w:rPr>
        <w:t>. والثاني:</w:t>
      </w:r>
      <w:r w:rsidRPr="00911ED4">
        <w:rPr>
          <w:rFonts w:hint="cs"/>
          <w:rtl/>
        </w:rPr>
        <w:t xml:space="preserve"> </w:t>
      </w:r>
      <w:r w:rsidRPr="00911ED4">
        <w:rPr>
          <w:rtl/>
        </w:rPr>
        <w:t>لا تصلّ مراءاة للناس، ولا تَدَعْها مخافة الناس، قاله ابن عباس أيضاً</w:t>
      </w:r>
      <w:r w:rsidRPr="00911ED4">
        <w:rPr>
          <w:vertAlign w:val="superscript"/>
          <w:rtl/>
        </w:rPr>
        <w:t>(</w:t>
      </w:r>
      <w:r w:rsidRPr="00911ED4">
        <w:rPr>
          <w:vertAlign w:val="superscript"/>
          <w:rtl/>
        </w:rPr>
        <w:footnoteReference w:id="839"/>
      </w:r>
      <w:r w:rsidRPr="00911ED4">
        <w:rPr>
          <w:vertAlign w:val="superscript"/>
          <w:rtl/>
        </w:rPr>
        <w:t>)</w:t>
      </w:r>
      <w:r w:rsidRPr="00911ED4">
        <w:rPr>
          <w:rtl/>
        </w:rPr>
        <w:t>. والثالث: لا تجهر بالتشهُّد في صلاتك،</w:t>
      </w:r>
      <w:r>
        <w:rPr>
          <w:rFonts w:hint="cs"/>
          <w:rtl/>
        </w:rPr>
        <w:t xml:space="preserve"> </w:t>
      </w:r>
      <w:r w:rsidRPr="00911ED4">
        <w:rPr>
          <w:rtl/>
        </w:rPr>
        <w:t>روي عن عائشة في رواية</w:t>
      </w:r>
      <w:r w:rsidRPr="00911ED4">
        <w:rPr>
          <w:vertAlign w:val="superscript"/>
          <w:rtl/>
        </w:rPr>
        <w:t>(</w:t>
      </w:r>
      <w:r w:rsidRPr="00911ED4">
        <w:rPr>
          <w:vertAlign w:val="superscript"/>
          <w:rtl/>
        </w:rPr>
        <w:footnoteReference w:id="840"/>
      </w:r>
      <w:r w:rsidRPr="00911ED4">
        <w:rPr>
          <w:vertAlign w:val="superscript"/>
          <w:rtl/>
        </w:rPr>
        <w:t>)</w:t>
      </w:r>
      <w:r w:rsidRPr="00911ED4">
        <w:rPr>
          <w:rtl/>
        </w:rPr>
        <w:t>، وبه قال ابن سيرين</w:t>
      </w:r>
      <w:r w:rsidRPr="00911ED4">
        <w:rPr>
          <w:vertAlign w:val="superscript"/>
          <w:rtl/>
        </w:rPr>
        <w:t>(</w:t>
      </w:r>
      <w:r w:rsidRPr="00911ED4">
        <w:rPr>
          <w:vertAlign w:val="superscript"/>
          <w:rtl/>
        </w:rPr>
        <w:footnoteReference w:id="841"/>
      </w:r>
      <w:r w:rsidRPr="00911ED4">
        <w:rPr>
          <w:vertAlign w:val="superscript"/>
          <w:rtl/>
        </w:rPr>
        <w:t>)(</w:t>
      </w:r>
      <w:r w:rsidRPr="00911ED4">
        <w:rPr>
          <w:vertAlign w:val="superscript"/>
          <w:rtl/>
        </w:rPr>
        <w:footnoteReference w:id="842"/>
      </w:r>
      <w:r w:rsidRPr="00911ED4">
        <w:rPr>
          <w:vertAlign w:val="superscript"/>
          <w:rtl/>
        </w:rPr>
        <w:t>)</w:t>
      </w:r>
      <w:r w:rsidRPr="00911ED4">
        <w:rPr>
          <w:rtl/>
        </w:rPr>
        <w:t>. والرابع: لا تجهر بفعل صلاتك ظاهراً ولا تخافت بها شديد الاستتار، قاله عكرمة</w:t>
      </w:r>
      <w:r w:rsidRPr="00911ED4">
        <w:rPr>
          <w:vertAlign w:val="superscript"/>
          <w:rtl/>
        </w:rPr>
        <w:t>(</w:t>
      </w:r>
      <w:r w:rsidRPr="00911ED4">
        <w:rPr>
          <w:vertAlign w:val="superscript"/>
          <w:rtl/>
        </w:rPr>
        <w:footnoteReference w:id="843"/>
      </w:r>
      <w:r w:rsidRPr="00911ED4">
        <w:rPr>
          <w:vertAlign w:val="superscript"/>
          <w:rtl/>
        </w:rPr>
        <w:t>)</w:t>
      </w:r>
      <w:r w:rsidRPr="00911ED4">
        <w:rPr>
          <w:rtl/>
        </w:rPr>
        <w:t>. والخامس: لا تحسن علانيتها، وتسئ سريرتها، قاله الحسن</w:t>
      </w:r>
      <w:r w:rsidRPr="00911ED4">
        <w:rPr>
          <w:vertAlign w:val="superscript"/>
          <w:rtl/>
        </w:rPr>
        <w:t>(</w:t>
      </w:r>
      <w:r w:rsidRPr="00911ED4">
        <w:rPr>
          <w:vertAlign w:val="superscript"/>
          <w:rtl/>
        </w:rPr>
        <w:footnoteReference w:id="844"/>
      </w:r>
      <w:r w:rsidRPr="00911ED4">
        <w:rPr>
          <w:vertAlign w:val="superscript"/>
          <w:rtl/>
        </w:rPr>
        <w:t>)</w:t>
      </w:r>
      <w:r w:rsidRPr="00911ED4">
        <w:rPr>
          <w:rtl/>
        </w:rPr>
        <w:t>.</w:t>
      </w:r>
      <w:r w:rsidRPr="00911ED4">
        <w:rPr>
          <w:rFonts w:hint="cs"/>
          <w:rtl/>
        </w:rPr>
        <w:t xml:space="preserve"> </w:t>
      </w:r>
      <w:r w:rsidRPr="00911ED4">
        <w:rPr>
          <w:rtl/>
        </w:rPr>
        <w:t>والسادس: لا تجهر بصلاتك كلِّها، ولا تُخافت بجميعِها، فاجهر في صلاة الليل، وخافِت في صلاة النهار، على ما أمرناك به، ذكره القاضي أبو يعلى</w:t>
      </w:r>
      <w:r w:rsidRPr="00911ED4">
        <w:rPr>
          <w:vertAlign w:val="superscript"/>
          <w:rtl/>
        </w:rPr>
        <w:t>(</w:t>
      </w:r>
      <w:r w:rsidRPr="00911ED4">
        <w:rPr>
          <w:vertAlign w:val="superscript"/>
          <w:rtl/>
        </w:rPr>
        <w:footnoteReference w:id="845"/>
      </w:r>
      <w:r w:rsidRPr="00911ED4">
        <w:rPr>
          <w:vertAlign w:val="superscript"/>
          <w:rtl/>
        </w:rPr>
        <w:t>)</w:t>
      </w:r>
      <w:r w:rsidRPr="00911ED4">
        <w:rPr>
          <w:rtl/>
        </w:rPr>
        <w:t>.</w:t>
      </w:r>
      <w:r w:rsidR="00BA4C65">
        <w:rPr>
          <w:rFonts w:hint="cs"/>
          <w:rtl/>
        </w:rPr>
        <w:t xml:space="preserve"> </w:t>
      </w:r>
      <w:r w:rsidRPr="00911ED4">
        <w:rPr>
          <w:rtl/>
        </w:rPr>
        <w:t>والقول الثاني: أن المراد بالصلاة: الدعاء، وهو قول عائشة</w:t>
      </w:r>
      <w:r w:rsidRPr="00911ED4">
        <w:rPr>
          <w:vertAlign w:val="superscript"/>
          <w:rtl/>
        </w:rPr>
        <w:t>(</w:t>
      </w:r>
      <w:r w:rsidRPr="00911ED4">
        <w:rPr>
          <w:vertAlign w:val="superscript"/>
          <w:rtl/>
        </w:rPr>
        <w:footnoteReference w:id="846"/>
      </w:r>
      <w:r w:rsidRPr="00911ED4">
        <w:rPr>
          <w:vertAlign w:val="superscript"/>
          <w:rtl/>
        </w:rPr>
        <w:t>)</w:t>
      </w:r>
      <w:r w:rsidRPr="00911ED4">
        <w:rPr>
          <w:rtl/>
        </w:rPr>
        <w:t>، وأبي هريرة</w:t>
      </w:r>
      <w:r w:rsidRPr="00911ED4">
        <w:rPr>
          <w:vertAlign w:val="superscript"/>
          <w:rtl/>
        </w:rPr>
        <w:t>(</w:t>
      </w:r>
      <w:r w:rsidRPr="00911ED4">
        <w:rPr>
          <w:vertAlign w:val="superscript"/>
          <w:rtl/>
        </w:rPr>
        <w:footnoteReference w:id="847"/>
      </w:r>
      <w:r w:rsidRPr="00911ED4">
        <w:rPr>
          <w:vertAlign w:val="superscript"/>
          <w:rtl/>
        </w:rPr>
        <w:t>)</w:t>
      </w:r>
      <w:r w:rsidRPr="00911ED4">
        <w:rPr>
          <w:rtl/>
        </w:rPr>
        <w:t>، ومجاهد</w:t>
      </w:r>
      <w:r w:rsidRPr="00911ED4">
        <w:rPr>
          <w:vertAlign w:val="superscript"/>
          <w:rtl/>
        </w:rPr>
        <w:t>(</w:t>
      </w:r>
      <w:r w:rsidRPr="00911ED4">
        <w:rPr>
          <w:vertAlign w:val="superscript"/>
          <w:rtl/>
        </w:rPr>
        <w:footnoteReference w:id="848"/>
      </w:r>
      <w:r w:rsidRPr="00911ED4">
        <w:rPr>
          <w:vertAlign w:val="superscript"/>
          <w:rtl/>
        </w:rPr>
        <w:t>)</w:t>
      </w:r>
      <w:r w:rsidRPr="00911ED4">
        <w:rPr>
          <w:rtl/>
        </w:rPr>
        <w:t>.</w:t>
      </w:r>
    </w:p>
    <w:p w:rsidR="00911ED4" w:rsidRPr="00911ED4" w:rsidRDefault="00911ED4" w:rsidP="00224A0A">
      <w:pPr>
        <w:ind w:firstLine="0"/>
        <w:rPr>
          <w:rtl/>
        </w:rPr>
      </w:pPr>
      <w:r w:rsidRPr="00911ED4">
        <w:rPr>
          <w:rtl/>
        </w:rPr>
        <w:t>قوله تعالى:</w:t>
      </w:r>
      <w:r w:rsidRPr="00911ED4">
        <w:rPr>
          <w:rFonts w:ascii="QCF_BSML" w:hAnsi="QCF_BSML" w:cs="QCF_BSML"/>
          <w:sz w:val="32"/>
          <w:szCs w:val="32"/>
          <w:rtl/>
          <w:lang w:eastAsia="en-US"/>
        </w:rPr>
        <w:t xml:space="preserve"> ﭽ</w:t>
      </w:r>
      <w:r w:rsidRPr="00911ED4">
        <w:rPr>
          <w:rFonts w:ascii="QCF_P293" w:hAnsi="QCF_P293" w:cs="QCF_P293"/>
          <w:sz w:val="32"/>
          <w:szCs w:val="32"/>
          <w:rtl/>
          <w:lang w:eastAsia="en-US"/>
        </w:rPr>
        <w:t>ﮛ  ﮜ  ﮝ</w:t>
      </w:r>
      <w:r w:rsidRPr="00911ED4">
        <w:rPr>
          <w:rFonts w:ascii="QCF_BSML" w:hAnsi="QCF_BSML" w:cs="QCF_BSML"/>
          <w:sz w:val="32"/>
          <w:szCs w:val="32"/>
          <w:rtl/>
          <w:lang w:eastAsia="en-US"/>
        </w:rPr>
        <w:t>ﭼ</w:t>
      </w:r>
      <w:r w:rsidRPr="00911ED4">
        <w:rPr>
          <w:rFonts w:ascii="QCF_P293" w:hAnsi="QCF_P293" w:cs="QCF_P293"/>
          <w:sz w:val="32"/>
          <w:szCs w:val="32"/>
          <w:rtl/>
          <w:lang w:eastAsia="en-US"/>
        </w:rPr>
        <w:t xml:space="preserve">  </w:t>
      </w:r>
      <w:r w:rsidRPr="00911ED4">
        <w:rPr>
          <w:rtl/>
        </w:rPr>
        <w:t>المخافتة: الإِخفاء، يقال: صوت خفيت.</w:t>
      </w:r>
      <w:r w:rsidRPr="00911ED4">
        <w:rPr>
          <w:rFonts w:ascii="QCF_BSML" w:hAnsi="QCF_BSML" w:cs="QCF_BSML" w:hint="cs"/>
          <w:sz w:val="32"/>
          <w:szCs w:val="32"/>
          <w:rtl/>
          <w:lang w:eastAsia="en-US"/>
        </w:rPr>
        <w:t xml:space="preserve"> </w:t>
      </w:r>
      <w:r w:rsidRPr="00911ED4">
        <w:rPr>
          <w:rFonts w:ascii="QCF_BSML" w:hAnsi="QCF_BSML" w:cs="QCF_BSML"/>
          <w:sz w:val="32"/>
          <w:szCs w:val="32"/>
          <w:rtl/>
          <w:lang w:eastAsia="en-US"/>
        </w:rPr>
        <w:t>ﭽ</w:t>
      </w:r>
      <w:r w:rsidRPr="00911ED4">
        <w:rPr>
          <w:rFonts w:ascii="QCF_P293" w:hAnsi="QCF_P293" w:cs="QCF_P293"/>
          <w:color w:val="auto"/>
          <w:sz w:val="32"/>
          <w:szCs w:val="32"/>
          <w:rtl/>
          <w:lang w:eastAsia="en-US"/>
        </w:rPr>
        <w:t xml:space="preserve"> ﮞ   ﮟ  ﮠ  </w:t>
      </w:r>
      <w:r w:rsidRPr="00911ED4">
        <w:rPr>
          <w:rFonts w:ascii="QCF_P293" w:hAnsi="QCF_P293" w:cs="QCF_P293"/>
          <w:color w:val="auto"/>
          <w:sz w:val="32"/>
          <w:szCs w:val="32"/>
          <w:rtl/>
          <w:lang w:eastAsia="en-US"/>
        </w:rPr>
        <w:lastRenderedPageBreak/>
        <w:t>ﮡ</w:t>
      </w:r>
      <w:r w:rsidRPr="00911ED4">
        <w:rPr>
          <w:rFonts w:ascii="QCF_BSML" w:hAnsi="QCF_BSML" w:cs="QCF_BSML"/>
          <w:sz w:val="32"/>
          <w:szCs w:val="32"/>
          <w:rtl/>
          <w:lang w:eastAsia="en-US"/>
        </w:rPr>
        <w:t>ﭼ</w:t>
      </w:r>
      <w:r w:rsidRPr="00911ED4">
        <w:rPr>
          <w:rtl/>
        </w:rPr>
        <w:t xml:space="preserve"> أي: اسلك بين الجهر والمخافتة طريقاً</w:t>
      </w:r>
      <w:r w:rsidRPr="00911ED4">
        <w:rPr>
          <w:vertAlign w:val="superscript"/>
          <w:rtl/>
        </w:rPr>
        <w:t>(</w:t>
      </w:r>
      <w:r w:rsidRPr="00911ED4">
        <w:rPr>
          <w:vertAlign w:val="superscript"/>
          <w:rtl/>
        </w:rPr>
        <w:footnoteReference w:id="849"/>
      </w:r>
      <w:r w:rsidRPr="00911ED4">
        <w:rPr>
          <w:vertAlign w:val="superscript"/>
          <w:rtl/>
        </w:rPr>
        <w:t>)</w:t>
      </w:r>
      <w:r w:rsidRPr="00911ED4">
        <w:rPr>
          <w:rtl/>
        </w:rPr>
        <w:t xml:space="preserve">. وقد روي عن ابن عباس أنه قال: </w:t>
      </w:r>
      <w:r w:rsidR="00224A0A" w:rsidRPr="001277AD">
        <w:rPr>
          <w:rFonts w:hint="cs"/>
          <w:color w:val="0D0D0D" w:themeColor="text1" w:themeTint="F2"/>
          <w:sz w:val="32"/>
          <w:szCs w:val="32"/>
          <w:rtl/>
        </w:rPr>
        <w:t>[</w:t>
      </w:r>
      <w:r w:rsidR="00224A0A">
        <w:rPr>
          <w:rFonts w:hint="cs"/>
          <w:color w:val="0D0D0D" w:themeColor="text1" w:themeTint="F2"/>
          <w:sz w:val="32"/>
          <w:szCs w:val="32"/>
          <w:rtl/>
        </w:rPr>
        <w:t>98</w:t>
      </w:r>
      <w:r w:rsidR="00224A0A" w:rsidRPr="001277AD">
        <w:rPr>
          <w:rFonts w:hint="cs"/>
          <w:color w:val="0D0D0D" w:themeColor="text1" w:themeTint="F2"/>
          <w:sz w:val="32"/>
          <w:szCs w:val="32"/>
          <w:rtl/>
        </w:rPr>
        <w:t>]</w:t>
      </w:r>
      <w:r w:rsidR="00224A0A" w:rsidRPr="00911ED4">
        <w:rPr>
          <w:rFonts w:ascii="Traditional Arabic" w:hAnsi="Traditional Arabic"/>
          <w:rtl/>
        </w:rPr>
        <w:t xml:space="preserve"> </w:t>
      </w:r>
      <w:r w:rsidRPr="00911ED4">
        <w:rPr>
          <w:rtl/>
        </w:rPr>
        <w:t xml:space="preserve">نُسخت هذه الآية بقوله تعالى: </w:t>
      </w:r>
      <w:r w:rsidRPr="00911ED4">
        <w:rPr>
          <w:rFonts w:ascii="QCF_BSML" w:hAnsi="QCF_BSML" w:cs="QCF_BSML"/>
          <w:sz w:val="32"/>
          <w:szCs w:val="32"/>
          <w:rtl/>
          <w:lang w:eastAsia="en-US"/>
        </w:rPr>
        <w:t xml:space="preserve">ﭽ </w:t>
      </w:r>
      <w:r w:rsidRPr="00911ED4">
        <w:rPr>
          <w:rFonts w:ascii="QCF_P176" w:hAnsi="QCF_P176" w:cs="QCF_P176"/>
          <w:sz w:val="32"/>
          <w:szCs w:val="32"/>
          <w:rtl/>
          <w:lang w:eastAsia="en-US"/>
        </w:rPr>
        <w:t>ﯢ  ﯣ   ﯤ  ﯥ  ﯦ  ﯧ  ﯨ  ﯩ    ﯪ  ﯫ</w:t>
      </w:r>
      <w:r w:rsidRPr="00911ED4">
        <w:rPr>
          <w:rFonts w:ascii="QCF_BSML" w:hAnsi="QCF_BSML" w:cs="QCF_BSML"/>
          <w:sz w:val="32"/>
          <w:szCs w:val="32"/>
          <w:rtl/>
          <w:lang w:eastAsia="en-US"/>
        </w:rPr>
        <w:t>ﭼ</w:t>
      </w:r>
      <w:r w:rsidRPr="00911ED4">
        <w:rPr>
          <w:rFonts w:ascii="Traditional Arabic" w:hAnsi="Traditional Arabic" w:hint="cs"/>
          <w:color w:val="auto"/>
          <w:sz w:val="32"/>
          <w:szCs w:val="32"/>
          <w:rtl/>
          <w:lang w:eastAsia="en-US"/>
        </w:rPr>
        <w:t>[</w:t>
      </w:r>
      <w:r w:rsidRPr="00911ED4">
        <w:rPr>
          <w:rFonts w:ascii="Traditional Arabic" w:hAnsi="Traditional Arabic"/>
          <w:color w:val="auto"/>
          <w:sz w:val="32"/>
          <w:szCs w:val="32"/>
          <w:rtl/>
          <w:lang w:eastAsia="en-US"/>
        </w:rPr>
        <w:t>الأعراف:٢٠٥</w:t>
      </w:r>
      <w:r w:rsidRPr="00911ED4">
        <w:rPr>
          <w:rFonts w:ascii="Traditional Arabic" w:hAnsi="Traditional Arabic" w:hint="cs"/>
          <w:color w:val="auto"/>
          <w:sz w:val="32"/>
          <w:szCs w:val="32"/>
          <w:rtl/>
          <w:lang w:eastAsia="en-US"/>
        </w:rPr>
        <w:t>]</w:t>
      </w:r>
      <w:r w:rsidRPr="00911ED4">
        <w:rPr>
          <w:vertAlign w:val="superscript"/>
          <w:rtl/>
        </w:rPr>
        <w:t>(</w:t>
      </w:r>
      <w:r w:rsidRPr="00911ED4">
        <w:rPr>
          <w:vertAlign w:val="superscript"/>
          <w:rtl/>
        </w:rPr>
        <w:footnoteReference w:id="850"/>
      </w:r>
      <w:r w:rsidRPr="00911ED4">
        <w:rPr>
          <w:vertAlign w:val="superscript"/>
          <w:rtl/>
        </w:rPr>
        <w:t>)</w:t>
      </w:r>
      <w:r w:rsidRPr="00911ED4">
        <w:rPr>
          <w:rtl/>
        </w:rPr>
        <w:t>،</w:t>
      </w:r>
      <w:r w:rsidRPr="00911ED4">
        <w:rPr>
          <w:rFonts w:hint="cs"/>
          <w:rtl/>
        </w:rPr>
        <w:t xml:space="preserve"> </w:t>
      </w:r>
      <w:r w:rsidRPr="00911ED4">
        <w:rPr>
          <w:rtl/>
        </w:rPr>
        <w:t>وقال ابن السّائب: نسخت بقوله</w:t>
      </w:r>
      <w:r w:rsidRPr="00911ED4">
        <w:rPr>
          <w:rFonts w:hint="cs"/>
          <w:rtl/>
        </w:rPr>
        <w:t xml:space="preserve"> </w:t>
      </w:r>
      <w:r w:rsidRPr="00911ED4">
        <w:rPr>
          <w:rtl/>
        </w:rPr>
        <w:t>تعالى:</w:t>
      </w:r>
      <w:r w:rsidRPr="00911ED4">
        <w:rPr>
          <w:rFonts w:ascii="QCF_BSML" w:hAnsi="QCF_BSML" w:cs="QCF_BSML"/>
          <w:sz w:val="47"/>
          <w:szCs w:val="47"/>
          <w:rtl/>
          <w:lang w:eastAsia="en-US"/>
        </w:rPr>
        <w:t xml:space="preserve"> </w:t>
      </w:r>
      <w:r w:rsidRPr="00911ED4">
        <w:rPr>
          <w:rFonts w:ascii="QCF_BSML" w:hAnsi="QCF_BSML" w:cs="QCF_BSML"/>
          <w:sz w:val="32"/>
          <w:szCs w:val="32"/>
          <w:rtl/>
          <w:lang w:eastAsia="en-US"/>
        </w:rPr>
        <w:t>ﭽ</w:t>
      </w:r>
      <w:r w:rsidRPr="00911ED4">
        <w:rPr>
          <w:rFonts w:ascii="QCF_BSML" w:hAnsi="QCF_BSML" w:cs="QCF_BSML" w:hint="cs"/>
          <w:sz w:val="32"/>
          <w:szCs w:val="32"/>
          <w:rtl/>
          <w:lang w:eastAsia="en-US"/>
        </w:rPr>
        <w:t xml:space="preserve"> </w:t>
      </w:r>
      <w:r w:rsidRPr="00911ED4">
        <w:rPr>
          <w:rFonts w:ascii="QCF_P267" w:hAnsi="QCF_P267" w:cs="QCF_P267"/>
          <w:sz w:val="32"/>
          <w:szCs w:val="32"/>
          <w:rtl/>
          <w:lang w:eastAsia="en-US"/>
        </w:rPr>
        <w:t>ﭞ</w:t>
      </w:r>
      <w:r w:rsidRPr="00911ED4">
        <w:rPr>
          <w:rFonts w:ascii="QCF_P267" w:hAnsi="QCF_P267" w:cs="QCF_P267" w:hint="cs"/>
          <w:sz w:val="32"/>
          <w:szCs w:val="32"/>
          <w:rtl/>
          <w:lang w:eastAsia="en-US"/>
        </w:rPr>
        <w:t xml:space="preserve"> </w:t>
      </w:r>
      <w:r w:rsidRPr="00911ED4">
        <w:rPr>
          <w:rFonts w:ascii="QCF_P267" w:hAnsi="QCF_P267" w:cs="QCF_P267"/>
          <w:sz w:val="32"/>
          <w:szCs w:val="32"/>
          <w:rtl/>
          <w:lang w:eastAsia="en-US"/>
        </w:rPr>
        <w:t>ﭟ  ﭠ</w:t>
      </w:r>
      <w:r w:rsidRPr="00911ED4">
        <w:rPr>
          <w:rFonts w:ascii="QCF_BSML" w:hAnsi="QCF_BSML" w:cs="QCF_BSML"/>
          <w:sz w:val="32"/>
          <w:szCs w:val="32"/>
          <w:rtl/>
          <w:lang w:eastAsia="en-US"/>
        </w:rPr>
        <w:t>ﭼ</w:t>
      </w:r>
      <w:r w:rsidRPr="00911ED4">
        <w:rPr>
          <w:rFonts w:ascii="Traditional Arabic" w:hAnsi="Traditional Arabic" w:hint="cs"/>
          <w:sz w:val="32"/>
          <w:szCs w:val="32"/>
          <w:rtl/>
          <w:lang w:eastAsia="en-US"/>
        </w:rPr>
        <w:t>[</w:t>
      </w:r>
      <w:r w:rsidRPr="00911ED4">
        <w:rPr>
          <w:rFonts w:ascii="Traditional Arabic" w:hAnsi="Traditional Arabic"/>
          <w:color w:val="auto"/>
          <w:sz w:val="32"/>
          <w:szCs w:val="32"/>
          <w:rtl/>
          <w:lang w:eastAsia="en-US"/>
        </w:rPr>
        <w:t>الحجر:٩٤</w:t>
      </w:r>
      <w:r w:rsidRPr="00911ED4">
        <w:rPr>
          <w:rFonts w:ascii="Traditional Arabic" w:hAnsi="Traditional Arabic" w:hint="cs"/>
          <w:color w:val="auto"/>
          <w:sz w:val="32"/>
          <w:szCs w:val="32"/>
          <w:rtl/>
          <w:lang w:eastAsia="en-US"/>
        </w:rPr>
        <w:t>]</w:t>
      </w:r>
      <w:r w:rsidRPr="00911ED4">
        <w:rPr>
          <w:vertAlign w:val="superscript"/>
          <w:rtl/>
        </w:rPr>
        <w:t>(</w:t>
      </w:r>
      <w:r w:rsidRPr="00911ED4">
        <w:rPr>
          <w:vertAlign w:val="superscript"/>
          <w:rtl/>
        </w:rPr>
        <w:footnoteReference w:id="851"/>
      </w:r>
      <w:r w:rsidRPr="00911ED4">
        <w:rPr>
          <w:vertAlign w:val="superscript"/>
          <w:rtl/>
        </w:rPr>
        <w:t>)</w:t>
      </w:r>
      <w:r w:rsidRPr="00911ED4">
        <w:rPr>
          <w:rtl/>
        </w:rPr>
        <w:t>وعلى التّحقيق، وجود النّسخ ها هنا بعيد.</w:t>
      </w:r>
      <w:r w:rsidRPr="00911ED4">
        <w:rPr>
          <w:rFonts w:hint="cs"/>
          <w:rtl/>
        </w:rPr>
        <w:t xml:space="preserve"> </w:t>
      </w:r>
      <w:r w:rsidRPr="00911ED4">
        <w:rPr>
          <w:rtl/>
        </w:rPr>
        <w:t>قوله تعالى:</w:t>
      </w:r>
      <w:r w:rsidRPr="00911ED4">
        <w:rPr>
          <w:rFonts w:ascii="QCF_BSML" w:hAnsi="QCF_BSML" w:cs="QCF_BSML"/>
          <w:sz w:val="32"/>
          <w:szCs w:val="32"/>
          <w:rtl/>
          <w:lang w:eastAsia="en-US"/>
        </w:rPr>
        <w:t xml:space="preserve"> ﭽ</w:t>
      </w:r>
      <w:r w:rsidRPr="00911ED4">
        <w:rPr>
          <w:rtl/>
        </w:rPr>
        <w:t xml:space="preserve"> </w:t>
      </w:r>
      <w:r w:rsidRPr="00911ED4">
        <w:rPr>
          <w:rFonts w:ascii="QCF_P293" w:hAnsi="QCF_P293" w:cs="QCF_P293"/>
          <w:sz w:val="32"/>
          <w:szCs w:val="32"/>
          <w:rtl/>
          <w:lang w:eastAsia="en-US"/>
        </w:rPr>
        <w:t xml:space="preserve">ﮪ   ﮫ   ﮬ  ﮭ  ﮮ  ﮯ </w:t>
      </w:r>
      <w:r w:rsidRPr="00911ED4">
        <w:rPr>
          <w:rFonts w:ascii="QCF_BSML" w:hAnsi="QCF_BSML" w:cs="QCF_BSML"/>
          <w:sz w:val="32"/>
          <w:szCs w:val="32"/>
          <w:rtl/>
          <w:lang w:eastAsia="en-US"/>
        </w:rPr>
        <w:t>ﭼ</w:t>
      </w:r>
      <w:r w:rsidRPr="00911ED4">
        <w:rPr>
          <w:rFonts w:ascii="QCF_P293" w:hAnsi="QCF_P293" w:cs="QCF_P293"/>
          <w:sz w:val="32"/>
          <w:szCs w:val="32"/>
          <w:rtl/>
          <w:lang w:eastAsia="en-US"/>
        </w:rPr>
        <w:t xml:space="preserve"> </w:t>
      </w:r>
      <w:r w:rsidRPr="00911ED4">
        <w:rPr>
          <w:rFonts w:hint="cs"/>
          <w:rtl/>
        </w:rPr>
        <w:t xml:space="preserve"> </w:t>
      </w:r>
      <w:r w:rsidRPr="00911ED4">
        <w:rPr>
          <w:rtl/>
        </w:rPr>
        <w:t>وقرأ أبو المتوكل، وأبو الجوزاء، وطلحة بن مصرِّف</w:t>
      </w:r>
      <w:r w:rsidRPr="00911ED4">
        <w:rPr>
          <w:vertAlign w:val="superscript"/>
          <w:rtl/>
        </w:rPr>
        <w:t>(</w:t>
      </w:r>
      <w:r w:rsidRPr="00911ED4">
        <w:rPr>
          <w:vertAlign w:val="superscript"/>
          <w:rtl/>
        </w:rPr>
        <w:footnoteReference w:id="852"/>
      </w:r>
      <w:r w:rsidRPr="00911ED4">
        <w:rPr>
          <w:vertAlign w:val="superscript"/>
          <w:rtl/>
        </w:rPr>
        <w:t>)</w:t>
      </w:r>
      <w:r w:rsidRPr="00911ED4">
        <w:rPr>
          <w:rtl/>
        </w:rPr>
        <w:t>:</w:t>
      </w:r>
      <w:r w:rsidRPr="00911ED4">
        <w:rPr>
          <w:rFonts w:hint="cs"/>
          <w:rtl/>
        </w:rPr>
        <w:t xml:space="preserve"> </w:t>
      </w:r>
      <w:r w:rsidRPr="00911ED4">
        <w:rPr>
          <w:rtl/>
        </w:rPr>
        <w:t>«في المِلك» بكسر الميم</w:t>
      </w:r>
      <w:r w:rsidRPr="00911ED4">
        <w:rPr>
          <w:vertAlign w:val="superscript"/>
          <w:rtl/>
        </w:rPr>
        <w:t>(</w:t>
      </w:r>
      <w:r w:rsidRPr="00911ED4">
        <w:rPr>
          <w:vertAlign w:val="superscript"/>
          <w:rtl/>
        </w:rPr>
        <w:footnoteReference w:id="853"/>
      </w:r>
      <w:r w:rsidRPr="00911ED4">
        <w:rPr>
          <w:vertAlign w:val="superscript"/>
          <w:rtl/>
        </w:rPr>
        <w:t>)</w:t>
      </w:r>
      <w:r w:rsidRPr="00911ED4">
        <w:rPr>
          <w:rtl/>
        </w:rPr>
        <w:t>.</w:t>
      </w:r>
      <w:r w:rsidRPr="00911ED4">
        <w:rPr>
          <w:rFonts w:ascii="QCF_BSML" w:hAnsi="QCF_BSML" w:cs="QCF_BSML"/>
          <w:sz w:val="32"/>
          <w:szCs w:val="32"/>
          <w:rtl/>
          <w:lang w:eastAsia="en-US"/>
        </w:rPr>
        <w:t>ﭽ</w:t>
      </w:r>
      <w:r w:rsidRPr="00911ED4">
        <w:rPr>
          <w:rFonts w:ascii="QCF_P293" w:hAnsi="QCF_P293" w:cs="QCF_P293"/>
          <w:color w:val="auto"/>
          <w:sz w:val="32"/>
          <w:szCs w:val="32"/>
          <w:rtl/>
          <w:lang w:eastAsia="en-US"/>
        </w:rPr>
        <w:t>ﮰ  ﮱ  ﯓ  ﯔ  ﯕ   ﯖﯗ</w:t>
      </w:r>
      <w:r w:rsidRPr="00911ED4">
        <w:rPr>
          <w:rFonts w:ascii="QCF_BSML" w:hAnsi="QCF_BSML" w:cs="QCF_BSML"/>
          <w:sz w:val="32"/>
          <w:szCs w:val="32"/>
          <w:rtl/>
          <w:lang w:eastAsia="en-US"/>
        </w:rPr>
        <w:t xml:space="preserve"> ﭼ</w:t>
      </w:r>
      <w:r w:rsidRPr="00911ED4">
        <w:rPr>
          <w:rFonts w:ascii="QCF_P293" w:hAnsi="QCF_P293" w:cs="QCF_P293"/>
          <w:color w:val="auto"/>
          <w:sz w:val="32"/>
          <w:szCs w:val="32"/>
          <w:rtl/>
          <w:lang w:eastAsia="en-US"/>
        </w:rPr>
        <w:t xml:space="preserve">  </w:t>
      </w:r>
      <w:r w:rsidRPr="00911ED4">
        <w:rPr>
          <w:rtl/>
        </w:rPr>
        <w:t>قال مجاهد: لم يحالف أحداً، ولم يبتغ نصر أحد</w:t>
      </w:r>
      <w:r w:rsidRPr="00911ED4">
        <w:rPr>
          <w:vertAlign w:val="superscript"/>
          <w:rtl/>
        </w:rPr>
        <w:t>(</w:t>
      </w:r>
      <w:r w:rsidRPr="00911ED4">
        <w:rPr>
          <w:vertAlign w:val="superscript"/>
          <w:rtl/>
        </w:rPr>
        <w:footnoteReference w:id="854"/>
      </w:r>
      <w:r w:rsidRPr="00911ED4">
        <w:rPr>
          <w:vertAlign w:val="superscript"/>
          <w:rtl/>
        </w:rPr>
        <w:t>)</w:t>
      </w:r>
      <w:r w:rsidRPr="00911ED4">
        <w:rPr>
          <w:rtl/>
        </w:rPr>
        <w:t xml:space="preserve">والمعنى: أنه لا يحتاج إِلى موالاة أحد لِذُلٍّ يلحقه، فهو مستغن عن الولي والنصير. </w:t>
      </w:r>
      <w:r w:rsidRPr="00911ED4">
        <w:rPr>
          <w:rFonts w:ascii="QCF_BSML" w:hAnsi="QCF_BSML" w:cs="QCF_BSML"/>
          <w:sz w:val="32"/>
          <w:szCs w:val="32"/>
          <w:rtl/>
          <w:lang w:eastAsia="en-US"/>
        </w:rPr>
        <w:t>ﭽ</w:t>
      </w:r>
      <w:r w:rsidRPr="00911ED4">
        <w:rPr>
          <w:rFonts w:ascii="QCF_P293" w:hAnsi="QCF_P293" w:cs="QCF_P293"/>
          <w:sz w:val="32"/>
          <w:szCs w:val="32"/>
          <w:rtl/>
          <w:lang w:eastAsia="en-US"/>
        </w:rPr>
        <w:t>ﯘ  ﯙ</w:t>
      </w:r>
      <w:r w:rsidRPr="00911ED4">
        <w:rPr>
          <w:rFonts w:ascii="QCF_BSML" w:hAnsi="QCF_BSML" w:cs="QCF_BSML"/>
          <w:sz w:val="32"/>
          <w:szCs w:val="32"/>
          <w:rtl/>
          <w:lang w:eastAsia="en-US"/>
        </w:rPr>
        <w:t xml:space="preserve"> ﭼ</w:t>
      </w:r>
      <w:r w:rsidRPr="00911ED4">
        <w:rPr>
          <w:rFonts w:ascii="QCF_P293" w:hAnsi="QCF_P293" w:cs="QCF_P293"/>
          <w:sz w:val="32"/>
          <w:szCs w:val="32"/>
          <w:rtl/>
          <w:lang w:eastAsia="en-US"/>
        </w:rPr>
        <w:t xml:space="preserve">  </w:t>
      </w:r>
      <w:r w:rsidRPr="00911ED4">
        <w:rPr>
          <w:rtl/>
        </w:rPr>
        <w:t>أي: عظِّمه تعظيماً تامّاً</w:t>
      </w:r>
      <w:r w:rsidRPr="00911ED4">
        <w:rPr>
          <w:vertAlign w:val="superscript"/>
          <w:rtl/>
        </w:rPr>
        <w:t>(</w:t>
      </w:r>
      <w:r w:rsidRPr="00911ED4">
        <w:rPr>
          <w:vertAlign w:val="superscript"/>
          <w:rtl/>
        </w:rPr>
        <w:footnoteReference w:id="855"/>
      </w:r>
      <w:r w:rsidRPr="00911ED4">
        <w:rPr>
          <w:vertAlign w:val="superscript"/>
          <w:rtl/>
        </w:rPr>
        <w:t>)</w:t>
      </w:r>
      <w:r w:rsidRPr="00911ED4">
        <w:rPr>
          <w:rtl/>
        </w:rPr>
        <w:t>. والله أعلم بالصّواب.</w:t>
      </w:r>
    </w:p>
    <w:p w:rsidR="00E829A1" w:rsidRDefault="00E829A1" w:rsidP="00F61151">
      <w:pPr>
        <w:rPr>
          <w:rtl/>
        </w:rPr>
      </w:pPr>
    </w:p>
    <w:p w:rsidR="00911ED4" w:rsidRDefault="00911ED4" w:rsidP="00F61151">
      <w:pPr>
        <w:rPr>
          <w:rtl/>
        </w:rPr>
      </w:pPr>
    </w:p>
    <w:p w:rsidR="00911ED4" w:rsidRDefault="00911ED4" w:rsidP="006C247D">
      <w:pPr>
        <w:ind w:firstLine="0"/>
        <w:rPr>
          <w:rtl/>
        </w:rPr>
      </w:pPr>
    </w:p>
    <w:p w:rsidR="00BA6C1B" w:rsidRDefault="00BA6C1B" w:rsidP="006C247D">
      <w:pPr>
        <w:ind w:firstLine="0"/>
        <w:rPr>
          <w:rtl/>
        </w:rPr>
      </w:pPr>
    </w:p>
    <w:p w:rsidR="00DD1859" w:rsidRDefault="00DD1859" w:rsidP="006C247D">
      <w:pPr>
        <w:ind w:firstLine="0"/>
        <w:rPr>
          <w:rtl/>
        </w:rPr>
      </w:pPr>
    </w:p>
    <w:p w:rsidR="0041089C" w:rsidRDefault="0041089C" w:rsidP="006C247D">
      <w:pPr>
        <w:ind w:firstLine="0"/>
        <w:rPr>
          <w:rtl/>
        </w:rPr>
      </w:pPr>
    </w:p>
    <w:p w:rsidR="005C21CD" w:rsidRPr="005C21CD" w:rsidRDefault="005C21CD" w:rsidP="005C21CD">
      <w:pPr>
        <w:jc w:val="center"/>
        <w:rPr>
          <w:b/>
          <w:bCs/>
          <w:rtl/>
        </w:rPr>
      </w:pPr>
      <w:r w:rsidRPr="005C21CD">
        <w:rPr>
          <w:b/>
          <w:bCs/>
          <w:rtl/>
        </w:rPr>
        <w:lastRenderedPageBreak/>
        <w:t>سورة الكهف</w:t>
      </w:r>
    </w:p>
    <w:p w:rsidR="005C21CD" w:rsidRPr="005C21CD" w:rsidRDefault="005C21CD" w:rsidP="005C21CD">
      <w:pPr>
        <w:rPr>
          <w:b/>
          <w:bCs/>
          <w:rtl/>
        </w:rPr>
      </w:pPr>
    </w:p>
    <w:p w:rsidR="005C21CD" w:rsidRPr="005C21CD" w:rsidRDefault="005C21CD" w:rsidP="005C21CD">
      <w:pPr>
        <w:jc w:val="center"/>
        <w:rPr>
          <w:b/>
          <w:bCs/>
          <w:rtl/>
        </w:rPr>
      </w:pPr>
      <w:r w:rsidRPr="005C21CD">
        <w:rPr>
          <w:b/>
          <w:bCs/>
          <w:rtl/>
        </w:rPr>
        <w:t>فصل في نزولها:</w:t>
      </w:r>
    </w:p>
    <w:p w:rsidR="005C21CD" w:rsidRPr="005C21CD" w:rsidRDefault="005C21CD" w:rsidP="005C21CD">
      <w:pPr>
        <w:ind w:firstLine="0"/>
        <w:rPr>
          <w:rtl/>
        </w:rPr>
      </w:pPr>
      <w:r w:rsidRPr="005C21CD">
        <w:rPr>
          <w:rtl/>
        </w:rPr>
        <w:t>روى أبو صالح عن ابن عباس أن سورة الكهف مكّيّة</w:t>
      </w:r>
      <w:r w:rsidRPr="005C21CD">
        <w:rPr>
          <w:vertAlign w:val="superscript"/>
          <w:rtl/>
        </w:rPr>
        <w:t>(</w:t>
      </w:r>
      <w:r w:rsidRPr="005C21CD">
        <w:rPr>
          <w:vertAlign w:val="superscript"/>
          <w:rtl/>
        </w:rPr>
        <w:footnoteReference w:id="856"/>
      </w:r>
      <w:r w:rsidRPr="005C21CD">
        <w:rPr>
          <w:vertAlign w:val="superscript"/>
          <w:rtl/>
        </w:rPr>
        <w:t>)</w:t>
      </w:r>
      <w:r w:rsidRPr="005C21CD">
        <w:rPr>
          <w:rtl/>
        </w:rPr>
        <w:t>، وكذلك قال الحسن، ومجاهد وقتادة. وهذا إجماع المفسرين من غير خلاف نعلمه، إلّا أنه قد روي عن ابن عباس</w:t>
      </w:r>
      <w:r w:rsidRPr="005C21CD">
        <w:rPr>
          <w:vertAlign w:val="superscript"/>
          <w:rtl/>
        </w:rPr>
        <w:t>(</w:t>
      </w:r>
      <w:r w:rsidRPr="005C21CD">
        <w:rPr>
          <w:vertAlign w:val="superscript"/>
          <w:rtl/>
        </w:rPr>
        <w:footnoteReference w:id="857"/>
      </w:r>
      <w:r w:rsidRPr="005C21CD">
        <w:rPr>
          <w:vertAlign w:val="superscript"/>
          <w:rtl/>
        </w:rPr>
        <w:t>)</w:t>
      </w:r>
      <w:r w:rsidRPr="005C21CD">
        <w:rPr>
          <w:rtl/>
        </w:rPr>
        <w:t>، وقتادة</w:t>
      </w:r>
      <w:r w:rsidRPr="005C21CD">
        <w:rPr>
          <w:vertAlign w:val="superscript"/>
          <w:rtl/>
        </w:rPr>
        <w:t>(</w:t>
      </w:r>
      <w:r w:rsidRPr="005C21CD">
        <w:rPr>
          <w:vertAlign w:val="superscript"/>
          <w:rtl/>
        </w:rPr>
        <w:footnoteReference w:id="858"/>
      </w:r>
      <w:r w:rsidRPr="005C21CD">
        <w:rPr>
          <w:vertAlign w:val="superscript"/>
          <w:rtl/>
        </w:rPr>
        <w:t>)</w:t>
      </w:r>
      <w:r w:rsidRPr="005C21CD">
        <w:rPr>
          <w:rtl/>
        </w:rPr>
        <w:t xml:space="preserve">أنّ </w:t>
      </w:r>
      <w:r w:rsidRPr="005C21CD">
        <w:rPr>
          <w:rFonts w:hint="cs"/>
          <w:rtl/>
        </w:rPr>
        <w:t>من</w:t>
      </w:r>
      <w:r w:rsidRPr="005C21CD">
        <w:rPr>
          <w:rtl/>
        </w:rPr>
        <w:t>ها آية مدنيّة</w:t>
      </w:r>
      <w:r w:rsidRPr="005C21CD">
        <w:rPr>
          <w:vertAlign w:val="superscript"/>
          <w:rtl/>
        </w:rPr>
        <w:t>(</w:t>
      </w:r>
      <w:r w:rsidRPr="005C21CD">
        <w:rPr>
          <w:vertAlign w:val="superscript"/>
          <w:rtl/>
        </w:rPr>
        <w:footnoteReference w:id="859"/>
      </w:r>
      <w:r w:rsidRPr="005C21CD">
        <w:rPr>
          <w:vertAlign w:val="superscript"/>
          <w:rtl/>
        </w:rPr>
        <w:t>)</w:t>
      </w:r>
      <w:r w:rsidRPr="005C21CD">
        <w:rPr>
          <w:rtl/>
        </w:rPr>
        <w:t>وهي قوله:</w:t>
      </w:r>
      <w:r w:rsidRPr="005C21CD">
        <w:rPr>
          <w:rFonts w:ascii="QCF_BSML" w:hAnsi="QCF_BSML" w:cs="QCF_BSML"/>
          <w:sz w:val="47"/>
          <w:szCs w:val="47"/>
          <w:rtl/>
          <w:lang w:eastAsia="en-US"/>
        </w:rPr>
        <w:t xml:space="preserve"> </w:t>
      </w:r>
      <w:r w:rsidRPr="005C21CD">
        <w:rPr>
          <w:rFonts w:ascii="QCF_BSML" w:hAnsi="QCF_BSML" w:cs="QCF_BSML"/>
          <w:sz w:val="32"/>
          <w:szCs w:val="32"/>
          <w:rtl/>
          <w:lang w:eastAsia="en-US"/>
        </w:rPr>
        <w:t xml:space="preserve">ﭽ </w:t>
      </w:r>
      <w:r w:rsidRPr="005C21CD">
        <w:rPr>
          <w:rFonts w:ascii="QCF_P297" w:hAnsi="QCF_P297" w:cs="QCF_P297"/>
          <w:sz w:val="32"/>
          <w:szCs w:val="32"/>
          <w:rtl/>
          <w:lang w:eastAsia="en-US"/>
        </w:rPr>
        <w:t>ﭑ  ﭒ</w:t>
      </w:r>
      <w:r w:rsidRPr="005C21CD">
        <w:rPr>
          <w:rFonts w:ascii="QCF_P297" w:hAnsi="QCF_P297" w:cs="QCF_P297" w:hint="cs"/>
          <w:sz w:val="32"/>
          <w:szCs w:val="32"/>
          <w:rtl/>
          <w:lang w:eastAsia="en-US"/>
        </w:rPr>
        <w:t xml:space="preserve"> </w:t>
      </w:r>
      <w:r w:rsidRPr="005C21CD">
        <w:rPr>
          <w:rFonts w:ascii="QCF_BSML" w:hAnsi="QCF_BSML" w:cs="QCF_BSML"/>
          <w:sz w:val="32"/>
          <w:szCs w:val="32"/>
          <w:rtl/>
          <w:lang w:eastAsia="en-US"/>
        </w:rPr>
        <w:t>ﭼ</w:t>
      </w:r>
      <w:r w:rsidRPr="005C21CD">
        <w:rPr>
          <w:rFonts w:ascii="Traditional Arabic" w:hAnsi="Traditional Arabic" w:hint="cs"/>
          <w:sz w:val="32"/>
          <w:szCs w:val="32"/>
          <w:rtl/>
          <w:lang w:eastAsia="en-US"/>
        </w:rPr>
        <w:t>.</w:t>
      </w:r>
      <w:r w:rsidRPr="005C21CD">
        <w:rPr>
          <w:rFonts w:ascii="Arial" w:hAnsi="Arial" w:cs="Arial" w:hint="cs"/>
          <w:sz w:val="18"/>
          <w:szCs w:val="18"/>
          <w:rtl/>
          <w:lang w:eastAsia="en-US"/>
        </w:rPr>
        <w:t xml:space="preserve"> </w:t>
      </w:r>
      <w:r w:rsidRPr="005C21CD">
        <w:rPr>
          <w:rFonts w:ascii="Traditional Arabic" w:hAnsi="Traditional Arabic" w:hint="cs"/>
          <w:sz w:val="32"/>
          <w:szCs w:val="32"/>
          <w:rtl/>
          <w:lang w:eastAsia="en-US"/>
        </w:rPr>
        <w:t>[</w:t>
      </w:r>
      <w:r w:rsidRPr="005C21CD">
        <w:rPr>
          <w:rFonts w:ascii="Traditional Arabic" w:hAnsi="Traditional Arabic"/>
          <w:color w:val="auto"/>
          <w:sz w:val="32"/>
          <w:szCs w:val="32"/>
          <w:rtl/>
          <w:lang w:eastAsia="en-US"/>
        </w:rPr>
        <w:t>الكهف:٢٨</w:t>
      </w:r>
      <w:r w:rsidRPr="005C21CD">
        <w:rPr>
          <w:rFonts w:ascii="Traditional Arabic" w:hAnsi="Traditional Arabic" w:hint="cs"/>
          <w:color w:val="auto"/>
          <w:sz w:val="32"/>
          <w:szCs w:val="32"/>
          <w:rtl/>
          <w:lang w:eastAsia="en-US"/>
        </w:rPr>
        <w:t>]</w:t>
      </w:r>
      <w:r w:rsidRPr="005C21CD">
        <w:rPr>
          <w:rFonts w:hint="cs"/>
          <w:rtl/>
        </w:rPr>
        <w:t xml:space="preserve"> </w:t>
      </w:r>
      <w:r w:rsidRPr="005C21CD">
        <w:rPr>
          <w:rtl/>
        </w:rPr>
        <w:t xml:space="preserve">وقال مقاتل: من أوّلها إلى قوله تعالى: </w:t>
      </w:r>
      <w:r w:rsidRPr="005C21CD">
        <w:rPr>
          <w:rFonts w:ascii="QCF_BSML" w:hAnsi="QCF_BSML" w:cs="QCF_BSML"/>
          <w:sz w:val="32"/>
          <w:szCs w:val="32"/>
          <w:rtl/>
          <w:lang w:eastAsia="en-US"/>
        </w:rPr>
        <w:t>ﭽ</w:t>
      </w:r>
      <w:r w:rsidRPr="005C21CD">
        <w:rPr>
          <w:rFonts w:ascii="QCF_P294" w:hAnsi="QCF_P294" w:cs="QCF_P294"/>
          <w:sz w:val="32"/>
          <w:szCs w:val="32"/>
          <w:rtl/>
          <w:lang w:eastAsia="en-US"/>
        </w:rPr>
        <w:t>ﮀ  ﮁ</w:t>
      </w:r>
      <w:r w:rsidRPr="005C21CD">
        <w:rPr>
          <w:rFonts w:ascii="QCF_BSML" w:hAnsi="QCF_BSML" w:cs="QCF_BSML" w:hint="cs"/>
          <w:sz w:val="32"/>
          <w:szCs w:val="32"/>
          <w:rtl/>
          <w:lang w:eastAsia="en-US"/>
        </w:rPr>
        <w:t xml:space="preserve"> </w:t>
      </w:r>
      <w:r w:rsidRPr="005C21CD">
        <w:rPr>
          <w:rFonts w:ascii="QCF_BSML" w:hAnsi="QCF_BSML" w:cs="QCF_BSML"/>
          <w:sz w:val="32"/>
          <w:szCs w:val="32"/>
          <w:rtl/>
          <w:lang w:eastAsia="en-US"/>
        </w:rPr>
        <w:t>ﭼ</w:t>
      </w:r>
      <w:r w:rsidRPr="005C21CD">
        <w:rPr>
          <w:rFonts w:ascii="Arial" w:hAnsi="Arial" w:cs="Arial"/>
          <w:sz w:val="18"/>
          <w:szCs w:val="18"/>
          <w:rtl/>
          <w:lang w:eastAsia="en-US"/>
        </w:rPr>
        <w:t xml:space="preserve"> </w:t>
      </w:r>
      <w:r w:rsidRPr="005C21CD">
        <w:rPr>
          <w:rFonts w:ascii="Traditional Arabic" w:hAnsi="Traditional Arabic"/>
          <w:color w:val="auto"/>
          <w:sz w:val="32"/>
          <w:szCs w:val="32"/>
          <w:rtl/>
          <w:lang w:eastAsia="en-US"/>
        </w:rPr>
        <w:t>[الكهف:٨]</w:t>
      </w:r>
      <w:r w:rsidRPr="005C21CD">
        <w:t xml:space="preserve"> </w:t>
      </w:r>
      <w:r w:rsidRPr="005C21CD">
        <w:rPr>
          <w:rtl/>
        </w:rPr>
        <w:t>مدنيّ، وقوله تعالى:</w:t>
      </w:r>
      <w:r w:rsidRPr="005C21CD">
        <w:rPr>
          <w:rFonts w:ascii="QCF_BSML" w:hAnsi="QCF_BSML" w:cs="QCF_BSML"/>
          <w:sz w:val="32"/>
          <w:szCs w:val="32"/>
          <w:rtl/>
          <w:lang w:eastAsia="en-US"/>
        </w:rPr>
        <w:t xml:space="preserve"> ﭽ </w:t>
      </w:r>
      <w:r w:rsidRPr="005C21CD">
        <w:rPr>
          <w:rFonts w:ascii="QCF_P297" w:hAnsi="QCF_P297" w:cs="QCF_P297"/>
          <w:sz w:val="32"/>
          <w:szCs w:val="32"/>
          <w:rtl/>
          <w:lang w:eastAsia="en-US"/>
        </w:rPr>
        <w:t xml:space="preserve">ﮓ  ﮔ  ﮕ  ﮖ   ﮗ  </w:t>
      </w:r>
      <w:r w:rsidRPr="005C21CD">
        <w:rPr>
          <w:rFonts w:ascii="QCF_BSML" w:hAnsi="QCF_BSML" w:cs="QCF_BSML"/>
          <w:color w:val="auto"/>
          <w:sz w:val="32"/>
          <w:szCs w:val="32"/>
          <w:rtl/>
          <w:lang w:eastAsia="en-US"/>
        </w:rPr>
        <w:t>ﭼ</w:t>
      </w:r>
      <w:r w:rsidRPr="005C21CD">
        <w:rPr>
          <w:rFonts w:ascii="QCF_BSML" w:hAnsi="QCF_BSML" w:cs="QCF_BSML" w:hint="cs"/>
          <w:color w:val="auto"/>
          <w:sz w:val="32"/>
          <w:szCs w:val="32"/>
          <w:rtl/>
          <w:lang w:eastAsia="en-US"/>
        </w:rPr>
        <w:t xml:space="preserve"> </w:t>
      </w:r>
      <w:r w:rsidRPr="005C21CD">
        <w:rPr>
          <w:rFonts w:ascii="Traditional Arabic" w:hAnsi="Traditional Arabic" w:hint="cs"/>
          <w:color w:val="auto"/>
          <w:sz w:val="32"/>
          <w:szCs w:val="32"/>
          <w:rtl/>
          <w:lang w:eastAsia="en-US"/>
        </w:rPr>
        <w:t>[</w:t>
      </w:r>
      <w:r w:rsidRPr="005C21CD">
        <w:rPr>
          <w:rFonts w:ascii="Traditional Arabic" w:hAnsi="Traditional Arabic"/>
          <w:color w:val="auto"/>
          <w:sz w:val="32"/>
          <w:szCs w:val="32"/>
          <w:rtl/>
          <w:lang w:eastAsia="en-US"/>
        </w:rPr>
        <w:t>الكهف:٣٠</w:t>
      </w:r>
      <w:r w:rsidRPr="005C21CD">
        <w:rPr>
          <w:rFonts w:ascii="Traditional Arabic" w:hAnsi="Traditional Arabic" w:hint="cs"/>
          <w:color w:val="auto"/>
          <w:sz w:val="32"/>
          <w:szCs w:val="32"/>
          <w:rtl/>
          <w:lang w:eastAsia="en-US"/>
        </w:rPr>
        <w:t>]</w:t>
      </w:r>
      <w:r w:rsidRPr="005C21CD">
        <w:rPr>
          <w:rFonts w:ascii="Arial" w:hAnsi="Arial" w:cs="Arial"/>
          <w:color w:val="auto"/>
          <w:sz w:val="18"/>
          <w:szCs w:val="18"/>
          <w:rtl/>
          <w:lang w:eastAsia="en-US"/>
        </w:rPr>
        <w:t xml:space="preserve"> </w:t>
      </w:r>
      <w:r w:rsidRPr="005C21CD">
        <w:rPr>
          <w:color w:val="auto"/>
          <w:rtl/>
        </w:rPr>
        <w:t xml:space="preserve">الآيتان </w:t>
      </w:r>
      <w:r w:rsidRPr="005C21CD">
        <w:rPr>
          <w:rtl/>
        </w:rPr>
        <w:t>مدنيّة، وباقيها مكيّ</w:t>
      </w:r>
      <w:r w:rsidRPr="005C21CD">
        <w:rPr>
          <w:vertAlign w:val="superscript"/>
          <w:rtl/>
        </w:rPr>
        <w:t>(</w:t>
      </w:r>
      <w:r w:rsidRPr="005C21CD">
        <w:rPr>
          <w:vertAlign w:val="superscript"/>
          <w:rtl/>
        </w:rPr>
        <w:footnoteReference w:id="860"/>
      </w:r>
      <w:r w:rsidRPr="005C21CD">
        <w:rPr>
          <w:vertAlign w:val="superscript"/>
          <w:rtl/>
        </w:rPr>
        <w:t>)</w:t>
      </w:r>
      <w:r w:rsidRPr="005C21CD">
        <w:rPr>
          <w:rtl/>
        </w:rPr>
        <w:t>.</w:t>
      </w:r>
      <w:r w:rsidRPr="005C21CD">
        <w:rPr>
          <w:rFonts w:ascii="Traditional Arabic" w:hAnsi="Traditional Arabic" w:hint="cs"/>
          <w:rtl/>
        </w:rPr>
        <w:t xml:space="preserve"> </w:t>
      </w:r>
      <w:r w:rsidRPr="005C21CD">
        <w:rPr>
          <w:rtl/>
        </w:rPr>
        <w:t>وروى أبو الدّرداء</w:t>
      </w:r>
      <w:r w:rsidRPr="005C21CD">
        <w:rPr>
          <w:vertAlign w:val="superscript"/>
          <w:rtl/>
        </w:rPr>
        <w:t>(</w:t>
      </w:r>
      <w:r w:rsidRPr="005C21CD">
        <w:rPr>
          <w:vertAlign w:val="superscript"/>
          <w:rtl/>
        </w:rPr>
        <w:footnoteReference w:id="861"/>
      </w:r>
      <w:r w:rsidRPr="005C21CD">
        <w:rPr>
          <w:vertAlign w:val="superscript"/>
          <w:rtl/>
        </w:rPr>
        <w:t>)</w:t>
      </w:r>
      <w:r w:rsidRPr="005C21CD">
        <w:rPr>
          <w:rtl/>
        </w:rPr>
        <w:t xml:space="preserve">عن رسول الله </w:t>
      </w:r>
      <w:r w:rsidRPr="005C21CD">
        <w:sym w:font="AGA Arabesque" w:char="F072"/>
      </w:r>
      <w:r w:rsidRPr="005C21CD">
        <w:rPr>
          <w:rFonts w:hint="cs"/>
          <w:rtl/>
        </w:rPr>
        <w:t xml:space="preserve"> </w:t>
      </w:r>
      <w:r w:rsidRPr="005C21CD">
        <w:rPr>
          <w:rtl/>
        </w:rPr>
        <w:t>أنه قال: «من حفظ عشر آيات من أوّل سورة الكهف ثم    أدرك الدّجّال لم يضرّه، ومن حفظ خواتيم سورة الكهف كانت له نورا يوم القيامة»</w:t>
      </w:r>
      <w:r w:rsidRPr="005C21CD">
        <w:rPr>
          <w:vertAlign w:val="superscript"/>
          <w:rtl/>
        </w:rPr>
        <w:t>(</w:t>
      </w:r>
      <w:r w:rsidRPr="005C21CD">
        <w:rPr>
          <w:vertAlign w:val="superscript"/>
          <w:rtl/>
        </w:rPr>
        <w:footnoteReference w:id="862"/>
      </w:r>
      <w:r w:rsidRPr="005C21CD">
        <w:rPr>
          <w:vertAlign w:val="superscript"/>
          <w:rtl/>
        </w:rPr>
        <w:t>)</w:t>
      </w:r>
      <w:r w:rsidRPr="005C21CD">
        <w:rPr>
          <w:rtl/>
        </w:rPr>
        <w:t>.</w:t>
      </w:r>
    </w:p>
    <w:p w:rsidR="00BA6C1B" w:rsidRDefault="00BA6C1B" w:rsidP="005C21CD">
      <w:pPr>
        <w:ind w:firstLine="0"/>
        <w:jc w:val="center"/>
        <w:rPr>
          <w:rFonts w:ascii="QCF_BSML" w:hAnsi="QCF_BSML" w:cs="QCF_BSML"/>
          <w:sz w:val="32"/>
          <w:szCs w:val="32"/>
          <w:rtl/>
          <w:lang w:eastAsia="en-US"/>
        </w:rPr>
      </w:pPr>
    </w:p>
    <w:p w:rsidR="00BA6C1B" w:rsidRDefault="00BA6C1B" w:rsidP="005C21CD">
      <w:pPr>
        <w:ind w:firstLine="0"/>
        <w:jc w:val="center"/>
        <w:rPr>
          <w:rFonts w:ascii="QCF_BSML" w:hAnsi="QCF_BSML" w:cs="QCF_BSML"/>
          <w:sz w:val="32"/>
          <w:szCs w:val="32"/>
          <w:rtl/>
          <w:lang w:eastAsia="en-US"/>
        </w:rPr>
      </w:pPr>
    </w:p>
    <w:p w:rsidR="005C21CD" w:rsidRPr="005C21CD" w:rsidRDefault="005C21CD" w:rsidP="005C21CD">
      <w:pPr>
        <w:ind w:firstLine="0"/>
        <w:jc w:val="center"/>
        <w:rPr>
          <w:rFonts w:ascii="Traditional Arabic" w:hAnsi="Traditional Arabic"/>
          <w:b/>
          <w:bCs/>
          <w:sz w:val="32"/>
          <w:szCs w:val="32"/>
          <w:rtl/>
        </w:rPr>
      </w:pPr>
      <w:r w:rsidRPr="005C21CD">
        <w:rPr>
          <w:rFonts w:ascii="QCF_BSML" w:hAnsi="QCF_BSML" w:cs="QCF_BSML"/>
          <w:sz w:val="32"/>
          <w:szCs w:val="32"/>
          <w:rtl/>
          <w:lang w:eastAsia="en-US"/>
        </w:rPr>
        <w:lastRenderedPageBreak/>
        <w:t xml:space="preserve">ﭽ </w:t>
      </w:r>
      <w:r w:rsidRPr="005C21CD">
        <w:rPr>
          <w:rFonts w:ascii="QCF_P001" w:hAnsi="QCF_P001" w:cs="QCF_P001"/>
          <w:sz w:val="32"/>
          <w:szCs w:val="32"/>
          <w:rtl/>
          <w:lang w:eastAsia="en-US"/>
        </w:rPr>
        <w:t xml:space="preserve">ﭑ       ﭒ  ﭓ  ﭔ  </w:t>
      </w:r>
      <w:r w:rsidRPr="005C21CD">
        <w:rPr>
          <w:rFonts w:ascii="QCF_BSML" w:hAnsi="QCF_BSML" w:cs="QCF_BSML"/>
          <w:sz w:val="32"/>
          <w:szCs w:val="32"/>
          <w:rtl/>
          <w:lang w:eastAsia="en-US"/>
        </w:rPr>
        <w:t>ﭼ</w:t>
      </w:r>
      <w:r w:rsidRPr="005C21CD">
        <w:rPr>
          <w:rFonts w:ascii="Arial" w:hAnsi="Arial" w:cs="Arial"/>
          <w:sz w:val="32"/>
          <w:szCs w:val="32"/>
          <w:rtl/>
          <w:lang w:eastAsia="en-US"/>
        </w:rPr>
        <w:t xml:space="preserve"> </w:t>
      </w:r>
    </w:p>
    <w:p w:rsidR="005C21CD" w:rsidRPr="005C21CD" w:rsidRDefault="005C21CD" w:rsidP="005C21CD">
      <w:pPr>
        <w:ind w:firstLine="0"/>
        <w:rPr>
          <w:rtl/>
        </w:rPr>
      </w:pPr>
      <w:r w:rsidRPr="005C21CD">
        <w:rPr>
          <w:rFonts w:ascii="QCF_BSML" w:hAnsi="QCF_BSML" w:cs="QCF_BSML"/>
          <w:color w:val="auto"/>
          <w:sz w:val="32"/>
          <w:szCs w:val="32"/>
          <w:rtl/>
          <w:lang w:eastAsia="en-US"/>
        </w:rPr>
        <w:t xml:space="preserve">ﭽ </w:t>
      </w:r>
      <w:r w:rsidRPr="005C21CD">
        <w:rPr>
          <w:rFonts w:ascii="QCF_P293" w:hAnsi="QCF_P293" w:cs="QCF_P293"/>
          <w:color w:val="auto"/>
          <w:sz w:val="32"/>
          <w:szCs w:val="32"/>
          <w:rtl/>
          <w:lang w:eastAsia="en-US"/>
        </w:rPr>
        <w:t xml:space="preserve">ﯛ  ﯜ  ﯝ   ﯞ  ﯟ  ﯠ  ﯡ  ﯢ     ﯣ  ﯤ  ﯥﯦ  ﯧ   ﯨ  ﯩ    ﯪ  ﯫ  ﯬ  ﯭ  ﯮ        ﯯ  ﯰ   ﯱ  ﯲ  ﯳ  ﯴ  ﯵ   ﯶ  ﯷ  ﯸ   ﯹ  ﯺ  ﯻ  ﯼ  ﯽ  ﯾ  ﯿ  ﰀ  ﰁ  ﰂ   </w:t>
      </w:r>
      <w:r w:rsidRPr="005C21CD">
        <w:rPr>
          <w:rFonts w:ascii="QCF_P294" w:hAnsi="QCF_P294" w:cs="QCF_P294"/>
          <w:color w:val="auto"/>
          <w:sz w:val="32"/>
          <w:szCs w:val="32"/>
          <w:rtl/>
          <w:lang w:eastAsia="en-US"/>
        </w:rPr>
        <w:t xml:space="preserve">ﭑ  ﭒ  ﭓ  ﭔ  ﭕ  ﭖ  ﭗﭘ  ﭙ         ﭚ  ﭛ  ﭜ   ﭝﭞ  ﭟ  ﭠ  ﭡ  ﭢ  ﭣ  ﭤ  ﭥ  ﭦ   ﭧ  ﭨ  ﭩ  ﭪ  ﭫ  ﭬ  ﭭ  ﭮ  ﭯ  </w:t>
      </w:r>
      <w:r w:rsidRPr="005C21CD">
        <w:rPr>
          <w:rFonts w:ascii="QCF_BSML" w:hAnsi="QCF_BSML" w:cs="QCF_BSML"/>
          <w:color w:val="auto"/>
          <w:sz w:val="32"/>
          <w:szCs w:val="32"/>
          <w:rtl/>
          <w:lang w:eastAsia="en-US"/>
        </w:rPr>
        <w:t>ﭼ</w:t>
      </w:r>
      <w:r w:rsidRPr="005C21CD">
        <w:rPr>
          <w:rFonts w:hint="cs"/>
          <w:rtl/>
        </w:rPr>
        <w:t xml:space="preserve"> </w:t>
      </w:r>
    </w:p>
    <w:p w:rsidR="005C21CD" w:rsidRPr="005C21CD" w:rsidRDefault="005C21CD" w:rsidP="005C21CD">
      <w:pPr>
        <w:ind w:firstLine="0"/>
        <w:rPr>
          <w:rtl/>
        </w:rPr>
      </w:pPr>
      <w:r w:rsidRPr="005C21CD">
        <w:rPr>
          <w:rtl/>
        </w:rPr>
        <w:t xml:space="preserve">قوله تعالى: </w:t>
      </w:r>
      <w:r w:rsidRPr="005C21CD">
        <w:rPr>
          <w:rFonts w:ascii="QCF_BSML" w:hAnsi="QCF_BSML" w:cs="QCF_BSML"/>
          <w:color w:val="auto"/>
          <w:sz w:val="32"/>
          <w:szCs w:val="32"/>
          <w:rtl/>
          <w:lang w:eastAsia="en-US"/>
        </w:rPr>
        <w:t>ﭽ</w:t>
      </w:r>
      <w:r w:rsidRPr="005C21CD">
        <w:rPr>
          <w:rFonts w:ascii="QCF_P293" w:hAnsi="QCF_P293" w:cs="QCF_P293"/>
          <w:color w:val="auto"/>
          <w:sz w:val="32"/>
          <w:szCs w:val="32"/>
          <w:rtl/>
          <w:lang w:eastAsia="en-US"/>
        </w:rPr>
        <w:t xml:space="preserve"> ﯛ  ﯜ</w:t>
      </w:r>
      <w:r w:rsidRPr="005C21CD">
        <w:rPr>
          <w:rFonts w:ascii="QCF_BSML" w:hAnsi="QCF_BSML" w:cs="QCF_BSML"/>
          <w:color w:val="auto"/>
          <w:sz w:val="32"/>
          <w:szCs w:val="32"/>
          <w:rtl/>
          <w:lang w:eastAsia="en-US"/>
        </w:rPr>
        <w:t>ﭼ</w:t>
      </w:r>
      <w:r w:rsidRPr="005C21CD">
        <w:rPr>
          <w:rtl/>
        </w:rPr>
        <w:t xml:space="preserve"> قد شرحناه في أوّل «الفاتحة»</w:t>
      </w:r>
      <w:r w:rsidRPr="005C21CD">
        <w:rPr>
          <w:vertAlign w:val="superscript"/>
          <w:rtl/>
        </w:rPr>
        <w:t>(</w:t>
      </w:r>
      <w:r w:rsidRPr="005C21CD">
        <w:rPr>
          <w:vertAlign w:val="superscript"/>
          <w:rtl/>
        </w:rPr>
        <w:footnoteReference w:id="863"/>
      </w:r>
      <w:r w:rsidRPr="005C21CD">
        <w:rPr>
          <w:vertAlign w:val="superscript"/>
          <w:rtl/>
        </w:rPr>
        <w:t>)</w:t>
      </w:r>
      <w:r w:rsidRPr="005C21CD">
        <w:rPr>
          <w:rtl/>
        </w:rPr>
        <w:t xml:space="preserve">. والمراد بعبده ها هنا: محمّد </w:t>
      </w:r>
      <w:r w:rsidRPr="005C21CD">
        <w:sym w:font="AGA Arabesque" w:char="F072"/>
      </w:r>
      <w:r w:rsidRPr="005C21CD">
        <w:rPr>
          <w:rtl/>
        </w:rPr>
        <w:t>، وبالكتاب: القرآن، تمدَّح ب</w:t>
      </w:r>
      <w:r w:rsidRPr="005C21CD">
        <w:rPr>
          <w:rFonts w:hint="cs"/>
          <w:rtl/>
        </w:rPr>
        <w:t>إ</w:t>
      </w:r>
      <w:r w:rsidRPr="005C21CD">
        <w:rPr>
          <w:rtl/>
        </w:rPr>
        <w:t>نزاله، لأنه إِنعام على الرسول خاصة، وعلى الناس  عامَّة</w:t>
      </w:r>
      <w:r w:rsidRPr="005C21CD">
        <w:rPr>
          <w:vertAlign w:val="superscript"/>
          <w:rtl/>
        </w:rPr>
        <w:t>(</w:t>
      </w:r>
      <w:r w:rsidRPr="005C21CD">
        <w:rPr>
          <w:vertAlign w:val="superscript"/>
          <w:rtl/>
        </w:rPr>
        <w:footnoteReference w:id="864"/>
      </w:r>
      <w:r w:rsidRPr="005C21CD">
        <w:rPr>
          <w:vertAlign w:val="superscript"/>
          <w:rtl/>
        </w:rPr>
        <w:t>)</w:t>
      </w:r>
      <w:r w:rsidRPr="005C21CD">
        <w:rPr>
          <w:rtl/>
        </w:rPr>
        <w:t>.</w:t>
      </w:r>
    </w:p>
    <w:p w:rsidR="005C21CD" w:rsidRPr="005C21CD" w:rsidRDefault="005C21CD" w:rsidP="005C21CD">
      <w:pPr>
        <w:ind w:firstLine="0"/>
        <w:rPr>
          <w:rtl/>
        </w:rPr>
      </w:pPr>
      <w:r w:rsidRPr="005C21CD">
        <w:rPr>
          <w:rtl/>
        </w:rPr>
        <w:t>قال العلماء باللغة والتفسير: في هذه الآية تقديم وتأخير، تقديرها: أنزل على عبده الكتاب</w:t>
      </w:r>
      <w:r w:rsidRPr="005C21CD">
        <w:rPr>
          <w:rFonts w:hint="cs"/>
          <w:rtl/>
        </w:rPr>
        <w:t xml:space="preserve">. </w:t>
      </w:r>
      <w:r w:rsidRPr="005C21CD">
        <w:rPr>
          <w:rFonts w:ascii="QCF_BSML" w:hAnsi="QCF_BSML" w:cs="QCF_BSML"/>
          <w:color w:val="auto"/>
          <w:sz w:val="32"/>
          <w:szCs w:val="32"/>
          <w:rtl/>
          <w:lang w:eastAsia="en-US"/>
        </w:rPr>
        <w:t>ﭽ</w:t>
      </w:r>
      <w:r w:rsidRPr="005C21CD">
        <w:rPr>
          <w:rFonts w:ascii="QCF_P293" w:hAnsi="QCF_P293" w:cs="QCF_P293"/>
          <w:color w:val="auto"/>
          <w:sz w:val="32"/>
          <w:szCs w:val="32"/>
          <w:rtl/>
          <w:lang w:eastAsia="en-US"/>
        </w:rPr>
        <w:t>ﯨ</w:t>
      </w:r>
      <w:r w:rsidRPr="005C21CD">
        <w:rPr>
          <w:rFonts w:ascii="QCF_BSML" w:hAnsi="QCF_BSML" w:cs="QCF_BSML"/>
          <w:color w:val="auto"/>
          <w:sz w:val="32"/>
          <w:szCs w:val="32"/>
          <w:rtl/>
          <w:lang w:eastAsia="en-US"/>
        </w:rPr>
        <w:t>ﭼ</w:t>
      </w:r>
      <w:r w:rsidRPr="005C21CD">
        <w:rPr>
          <w:rtl/>
        </w:rPr>
        <w:t xml:space="preserve"> أي: مستقيماً عدلاً</w:t>
      </w:r>
      <w:r w:rsidRPr="005C21CD">
        <w:rPr>
          <w:vertAlign w:val="superscript"/>
          <w:rtl/>
        </w:rPr>
        <w:t>(</w:t>
      </w:r>
      <w:r w:rsidRPr="005C21CD">
        <w:rPr>
          <w:vertAlign w:val="superscript"/>
          <w:rtl/>
        </w:rPr>
        <w:footnoteReference w:id="865"/>
      </w:r>
      <w:r w:rsidRPr="005C21CD">
        <w:rPr>
          <w:vertAlign w:val="superscript"/>
          <w:rtl/>
        </w:rPr>
        <w:t>)</w:t>
      </w:r>
      <w:r w:rsidRPr="005C21CD">
        <w:rPr>
          <w:rtl/>
        </w:rPr>
        <w:t>.</w:t>
      </w:r>
      <w:r w:rsidRPr="005C21CD">
        <w:rPr>
          <w:rFonts w:hint="cs"/>
          <w:rtl/>
        </w:rPr>
        <w:t xml:space="preserve"> </w:t>
      </w:r>
      <w:r w:rsidRPr="005C21CD">
        <w:rPr>
          <w:rtl/>
        </w:rPr>
        <w:t>وقرأ أبو رجاء، وأبو المتوكل، وأبو الجوزاء، وابن يعمر، والنخعي، والأعمش</w:t>
      </w:r>
      <w:r w:rsidRPr="005C21CD">
        <w:rPr>
          <w:vertAlign w:val="superscript"/>
          <w:rtl/>
        </w:rPr>
        <w:t>(</w:t>
      </w:r>
      <w:r w:rsidRPr="005C21CD">
        <w:rPr>
          <w:vertAlign w:val="superscript"/>
          <w:rtl/>
        </w:rPr>
        <w:footnoteReference w:id="866"/>
      </w:r>
      <w:r w:rsidRPr="005C21CD">
        <w:rPr>
          <w:vertAlign w:val="superscript"/>
          <w:rtl/>
        </w:rPr>
        <w:t>)</w:t>
      </w:r>
      <w:r w:rsidRPr="005C21CD">
        <w:rPr>
          <w:rtl/>
        </w:rPr>
        <w:t>: «قِيَماً» بكسر القاف، وفتح الياء</w:t>
      </w:r>
      <w:r w:rsidRPr="005C21CD">
        <w:rPr>
          <w:vertAlign w:val="superscript"/>
          <w:rtl/>
        </w:rPr>
        <w:t>(</w:t>
      </w:r>
      <w:r w:rsidRPr="005C21CD">
        <w:rPr>
          <w:vertAlign w:val="superscript"/>
          <w:rtl/>
        </w:rPr>
        <w:footnoteReference w:id="867"/>
      </w:r>
      <w:r w:rsidRPr="005C21CD">
        <w:rPr>
          <w:vertAlign w:val="superscript"/>
          <w:rtl/>
        </w:rPr>
        <w:t>)</w:t>
      </w:r>
      <w:r w:rsidRPr="005C21CD">
        <w:rPr>
          <w:rtl/>
        </w:rPr>
        <w:t>، وقد فسرناه في الأنعام</w:t>
      </w:r>
      <w:r w:rsidRPr="005C21CD">
        <w:rPr>
          <w:vertAlign w:val="superscript"/>
          <w:rtl/>
        </w:rPr>
        <w:t>(</w:t>
      </w:r>
      <w:r w:rsidRPr="005C21CD">
        <w:rPr>
          <w:vertAlign w:val="superscript"/>
          <w:rtl/>
        </w:rPr>
        <w:footnoteReference w:id="868"/>
      </w:r>
      <w:r w:rsidRPr="005C21CD">
        <w:rPr>
          <w:vertAlign w:val="superscript"/>
          <w:rtl/>
        </w:rPr>
        <w:t>)</w:t>
      </w:r>
      <w:r w:rsidRPr="005C21CD">
        <w:rPr>
          <w:rtl/>
        </w:rPr>
        <w:t>.</w:t>
      </w:r>
    </w:p>
    <w:p w:rsidR="005C21CD" w:rsidRPr="005C21CD" w:rsidRDefault="005C21CD" w:rsidP="009242F4">
      <w:pPr>
        <w:ind w:firstLine="0"/>
        <w:rPr>
          <w:rtl/>
        </w:rPr>
      </w:pPr>
      <w:r w:rsidRPr="005C21CD">
        <w:rPr>
          <w:rtl/>
        </w:rPr>
        <w:t xml:space="preserve">قوله تعالى: </w:t>
      </w:r>
      <w:r w:rsidRPr="005C21CD">
        <w:rPr>
          <w:rFonts w:ascii="QCF_BSML" w:hAnsi="QCF_BSML" w:cs="QCF_BSML"/>
          <w:color w:val="auto"/>
          <w:sz w:val="32"/>
          <w:szCs w:val="32"/>
          <w:rtl/>
          <w:lang w:eastAsia="en-US"/>
        </w:rPr>
        <w:t>ﭽ</w:t>
      </w:r>
      <w:r w:rsidRPr="005C21CD">
        <w:rPr>
          <w:rtl/>
        </w:rPr>
        <w:t xml:space="preserve"> </w:t>
      </w:r>
      <w:r w:rsidRPr="005C21CD">
        <w:rPr>
          <w:rFonts w:ascii="QCF_P293" w:hAnsi="QCF_P293" w:cs="QCF_P293"/>
          <w:color w:val="auto"/>
          <w:sz w:val="32"/>
          <w:szCs w:val="32"/>
          <w:rtl/>
          <w:lang w:eastAsia="en-US"/>
        </w:rPr>
        <w:t xml:space="preserve">ﯢ     ﯣ  ﯤ  ﯥﯦ  </w:t>
      </w:r>
      <w:r w:rsidRPr="005C21CD">
        <w:rPr>
          <w:rFonts w:ascii="QCF_BSML" w:hAnsi="QCF_BSML" w:cs="QCF_BSML"/>
          <w:color w:val="auto"/>
          <w:sz w:val="32"/>
          <w:szCs w:val="32"/>
          <w:rtl/>
          <w:lang w:eastAsia="en-US"/>
        </w:rPr>
        <w:t>ﭼ</w:t>
      </w:r>
      <w:r w:rsidRPr="005C21CD">
        <w:rPr>
          <w:rtl/>
        </w:rPr>
        <w:t xml:space="preserve"> أي: لم يجعل فيه اختلافا، وقد سبق بيان العوج في سورة آل عمران</w:t>
      </w:r>
      <w:r w:rsidRPr="005C21CD">
        <w:rPr>
          <w:vertAlign w:val="superscript"/>
          <w:rtl/>
        </w:rPr>
        <w:t>(</w:t>
      </w:r>
      <w:r w:rsidRPr="005C21CD">
        <w:rPr>
          <w:vertAlign w:val="superscript"/>
          <w:rtl/>
        </w:rPr>
        <w:footnoteReference w:id="869"/>
      </w:r>
      <w:r w:rsidRPr="005C21CD">
        <w:rPr>
          <w:vertAlign w:val="superscript"/>
          <w:rtl/>
        </w:rPr>
        <w:t>)</w:t>
      </w:r>
      <w:r w:rsidRPr="005C21CD">
        <w:rPr>
          <w:rtl/>
        </w:rPr>
        <w:t xml:space="preserve">. قوله تعالى: </w:t>
      </w:r>
      <w:r w:rsidRPr="005C21CD">
        <w:rPr>
          <w:rFonts w:ascii="QCF_BSML" w:hAnsi="QCF_BSML" w:cs="QCF_BSML"/>
          <w:color w:val="auto"/>
          <w:sz w:val="32"/>
          <w:szCs w:val="32"/>
          <w:rtl/>
          <w:lang w:eastAsia="en-US"/>
        </w:rPr>
        <w:t>ﭽ</w:t>
      </w:r>
      <w:r w:rsidRPr="005C21CD">
        <w:rPr>
          <w:rFonts w:ascii="QCF_P293" w:hAnsi="QCF_P293" w:cs="QCF_P293"/>
          <w:color w:val="auto"/>
          <w:sz w:val="32"/>
          <w:szCs w:val="32"/>
          <w:rtl/>
          <w:lang w:eastAsia="en-US"/>
        </w:rPr>
        <w:t xml:space="preserve">  ﯩ    ﯪ  </w:t>
      </w:r>
      <w:r w:rsidRPr="005C21CD">
        <w:rPr>
          <w:rFonts w:ascii="QCF_BSML" w:hAnsi="QCF_BSML" w:cs="QCF_BSML"/>
          <w:color w:val="auto"/>
          <w:sz w:val="32"/>
          <w:szCs w:val="32"/>
          <w:rtl/>
          <w:lang w:eastAsia="en-US"/>
        </w:rPr>
        <w:t>ﭼ</w:t>
      </w:r>
      <w:r w:rsidRPr="005C21CD">
        <w:rPr>
          <w:rtl/>
        </w:rPr>
        <w:t xml:space="preserve"> أي: عذاباً شديداً، </w:t>
      </w:r>
      <w:r w:rsidRPr="005C21CD">
        <w:rPr>
          <w:rFonts w:ascii="QCF_BSML" w:hAnsi="QCF_BSML" w:cs="QCF_BSML"/>
          <w:color w:val="auto"/>
          <w:sz w:val="32"/>
          <w:szCs w:val="32"/>
          <w:rtl/>
          <w:lang w:eastAsia="en-US"/>
        </w:rPr>
        <w:t>ﭽ</w:t>
      </w:r>
      <w:r w:rsidRPr="005C21CD">
        <w:rPr>
          <w:rtl/>
        </w:rPr>
        <w:t xml:space="preserve"> </w:t>
      </w:r>
      <w:r w:rsidRPr="005C21CD">
        <w:rPr>
          <w:rFonts w:ascii="QCF_P293" w:hAnsi="QCF_P293" w:cs="QCF_P293"/>
          <w:color w:val="auto"/>
          <w:sz w:val="32"/>
          <w:szCs w:val="32"/>
          <w:rtl/>
          <w:lang w:eastAsia="en-US"/>
        </w:rPr>
        <w:t xml:space="preserve">ﯬ  ﯭ  </w:t>
      </w:r>
      <w:r w:rsidRPr="005C21CD">
        <w:rPr>
          <w:rFonts w:ascii="QCF_BSML" w:hAnsi="QCF_BSML" w:cs="QCF_BSML"/>
          <w:color w:val="auto"/>
          <w:sz w:val="32"/>
          <w:szCs w:val="32"/>
          <w:rtl/>
          <w:lang w:eastAsia="en-US"/>
        </w:rPr>
        <w:t>ﭼ</w:t>
      </w:r>
      <w:r w:rsidRPr="005C21CD">
        <w:rPr>
          <w:rtl/>
        </w:rPr>
        <w:t xml:space="preserve"> أي: من عنده، ومن قِبَلِه، والمعنى: لينذر الكافرين </w:t>
      </w:r>
      <w:r w:rsidRPr="005C21CD">
        <w:rPr>
          <w:rFonts w:ascii="QCF_BSML" w:hAnsi="QCF_BSML" w:cs="QCF_BSML"/>
          <w:color w:val="auto"/>
          <w:sz w:val="32"/>
          <w:szCs w:val="32"/>
          <w:rtl/>
          <w:lang w:eastAsia="en-US"/>
        </w:rPr>
        <w:t>ﭽ</w:t>
      </w:r>
      <w:r w:rsidRPr="005C21CD">
        <w:rPr>
          <w:rtl/>
        </w:rPr>
        <w:t xml:space="preserve"> </w:t>
      </w:r>
      <w:r w:rsidRPr="005C21CD">
        <w:rPr>
          <w:rFonts w:ascii="QCF_P293" w:hAnsi="QCF_P293" w:cs="QCF_P293"/>
          <w:color w:val="auto"/>
          <w:sz w:val="32"/>
          <w:szCs w:val="32"/>
          <w:rtl/>
          <w:lang w:eastAsia="en-US"/>
        </w:rPr>
        <w:t>ﯮ  ﯯ</w:t>
      </w:r>
      <w:r w:rsidRPr="005C21CD">
        <w:rPr>
          <w:rFonts w:ascii="QCF_BSML" w:hAnsi="QCF_BSML" w:cs="QCF_BSML"/>
          <w:color w:val="auto"/>
          <w:sz w:val="32"/>
          <w:szCs w:val="32"/>
          <w:rtl/>
          <w:lang w:eastAsia="en-US"/>
        </w:rPr>
        <w:t xml:space="preserve"> ﭼ</w:t>
      </w:r>
      <w:r w:rsidRPr="005C21CD">
        <w:rPr>
          <w:rtl/>
        </w:rPr>
        <w:t xml:space="preserve"> أي: بأن لهم</w:t>
      </w:r>
      <w:r w:rsidRPr="005C21CD">
        <w:rPr>
          <w:rFonts w:ascii="QCF_BSML" w:hAnsi="QCF_BSML" w:cs="QCF_BSML"/>
          <w:color w:val="auto"/>
          <w:sz w:val="32"/>
          <w:szCs w:val="32"/>
          <w:rtl/>
          <w:lang w:eastAsia="en-US"/>
        </w:rPr>
        <w:t xml:space="preserve"> ﭽ</w:t>
      </w:r>
      <w:r w:rsidRPr="005C21CD">
        <w:rPr>
          <w:rtl/>
        </w:rPr>
        <w:t xml:space="preserve"> </w:t>
      </w:r>
      <w:r w:rsidRPr="005C21CD">
        <w:rPr>
          <w:rFonts w:ascii="QCF_P293" w:hAnsi="QCF_P293" w:cs="QCF_P293"/>
          <w:color w:val="auto"/>
          <w:sz w:val="32"/>
          <w:szCs w:val="32"/>
          <w:rtl/>
          <w:lang w:eastAsia="en-US"/>
        </w:rPr>
        <w:t xml:space="preserve">ﯵ   ﯶ  </w:t>
      </w:r>
      <w:r w:rsidRPr="005C21CD">
        <w:rPr>
          <w:rFonts w:ascii="QCF_BSML" w:hAnsi="QCF_BSML" w:cs="QCF_BSML"/>
          <w:color w:val="auto"/>
          <w:sz w:val="32"/>
          <w:szCs w:val="32"/>
          <w:rtl/>
          <w:lang w:eastAsia="en-US"/>
        </w:rPr>
        <w:t>ﭼ</w:t>
      </w:r>
      <w:r w:rsidRPr="005C21CD">
        <w:rPr>
          <w:rtl/>
        </w:rPr>
        <w:t xml:space="preserve"> وهو الجنة. </w:t>
      </w:r>
      <w:r w:rsidRPr="005C21CD">
        <w:rPr>
          <w:rFonts w:ascii="QCF_BSML" w:hAnsi="QCF_BSML" w:cs="QCF_BSML"/>
          <w:color w:val="auto"/>
          <w:sz w:val="32"/>
          <w:szCs w:val="32"/>
          <w:rtl/>
          <w:lang w:eastAsia="en-US"/>
        </w:rPr>
        <w:t>ﭽ</w:t>
      </w:r>
      <w:r w:rsidRPr="005C21CD">
        <w:rPr>
          <w:rFonts w:ascii="QCF_P293" w:hAnsi="QCF_P293" w:cs="QCF_P293"/>
          <w:color w:val="auto"/>
          <w:sz w:val="32"/>
          <w:szCs w:val="32"/>
          <w:rtl/>
          <w:lang w:eastAsia="en-US"/>
        </w:rPr>
        <w:t xml:space="preserve"> ﯸ</w:t>
      </w:r>
      <w:r w:rsidRPr="005C21CD">
        <w:rPr>
          <w:rFonts w:ascii="QCF_BSML" w:hAnsi="QCF_BSML" w:cs="QCF_BSML"/>
          <w:color w:val="auto"/>
          <w:sz w:val="32"/>
          <w:szCs w:val="32"/>
          <w:rtl/>
          <w:lang w:eastAsia="en-US"/>
        </w:rPr>
        <w:t xml:space="preserve"> ﭼ</w:t>
      </w:r>
      <w:r w:rsidRPr="005C21CD">
        <w:rPr>
          <w:rtl/>
        </w:rPr>
        <w:t xml:space="preserve"> أي:</w:t>
      </w:r>
      <w:r w:rsidRPr="005C21CD">
        <w:rPr>
          <w:rFonts w:hint="cs"/>
          <w:rtl/>
        </w:rPr>
        <w:t xml:space="preserve"> </w:t>
      </w:r>
      <w:r w:rsidRPr="005C21CD">
        <w:rPr>
          <w:rtl/>
        </w:rPr>
        <w:t>مقيمين، وهو منصوب على الحال</w:t>
      </w:r>
      <w:r w:rsidRPr="005C21CD">
        <w:rPr>
          <w:vertAlign w:val="superscript"/>
          <w:rtl/>
        </w:rPr>
        <w:t>(</w:t>
      </w:r>
      <w:r w:rsidRPr="005C21CD">
        <w:rPr>
          <w:vertAlign w:val="superscript"/>
          <w:rtl/>
        </w:rPr>
        <w:footnoteReference w:id="870"/>
      </w:r>
      <w:r w:rsidRPr="005C21CD">
        <w:rPr>
          <w:vertAlign w:val="superscript"/>
          <w:rtl/>
        </w:rPr>
        <w:t>)</w:t>
      </w:r>
      <w:r w:rsidRPr="005C21CD">
        <w:rPr>
          <w:rtl/>
        </w:rPr>
        <w:t xml:space="preserve">. </w:t>
      </w:r>
      <w:r w:rsidRPr="005C21CD">
        <w:rPr>
          <w:rFonts w:ascii="QCF_BSML" w:hAnsi="QCF_BSML" w:cs="QCF_BSML"/>
          <w:color w:val="auto"/>
          <w:sz w:val="32"/>
          <w:szCs w:val="32"/>
          <w:rtl/>
          <w:lang w:eastAsia="en-US"/>
        </w:rPr>
        <w:t>ﭽ</w:t>
      </w:r>
      <w:r w:rsidRPr="005C21CD">
        <w:rPr>
          <w:rFonts w:ascii="QCF_P293" w:hAnsi="QCF_P293" w:cs="QCF_P293"/>
          <w:color w:val="auto"/>
          <w:sz w:val="32"/>
          <w:szCs w:val="32"/>
          <w:rtl/>
          <w:lang w:eastAsia="en-US"/>
        </w:rPr>
        <w:t xml:space="preserve"> ﯼ</w:t>
      </w:r>
      <w:r w:rsidRPr="005C21CD">
        <w:rPr>
          <w:rFonts w:ascii="QCF_BSML" w:hAnsi="QCF_BSML" w:cs="QCF_BSML"/>
          <w:color w:val="auto"/>
          <w:sz w:val="32"/>
          <w:szCs w:val="32"/>
          <w:rtl/>
          <w:lang w:eastAsia="en-US"/>
        </w:rPr>
        <w:t xml:space="preserve"> ﭼ</w:t>
      </w:r>
      <w:r w:rsidRPr="005C21CD">
        <w:rPr>
          <w:rtl/>
        </w:rPr>
        <w:t xml:space="preserve"> بعذاب الله </w:t>
      </w:r>
      <w:r w:rsidRPr="005C21CD">
        <w:rPr>
          <w:rFonts w:ascii="QCF_BSML" w:hAnsi="QCF_BSML" w:cs="QCF_BSML"/>
          <w:color w:val="auto"/>
          <w:sz w:val="32"/>
          <w:szCs w:val="32"/>
          <w:rtl/>
          <w:lang w:eastAsia="en-US"/>
        </w:rPr>
        <w:lastRenderedPageBreak/>
        <w:t>ﭽ</w:t>
      </w:r>
      <w:r w:rsidRPr="005C21CD">
        <w:rPr>
          <w:rFonts w:ascii="QCF_P293" w:hAnsi="QCF_P293" w:cs="QCF_P293"/>
          <w:color w:val="auto"/>
          <w:sz w:val="32"/>
          <w:szCs w:val="32"/>
          <w:rtl/>
          <w:lang w:eastAsia="en-US"/>
        </w:rPr>
        <w:t xml:space="preserve">ﯽ  ﯾ  ﯿ  ﰀ  ﰁ  </w:t>
      </w:r>
      <w:r w:rsidRPr="005C21CD">
        <w:rPr>
          <w:rFonts w:ascii="QCF_BSML" w:hAnsi="QCF_BSML" w:cs="QCF_BSML"/>
          <w:color w:val="auto"/>
          <w:sz w:val="32"/>
          <w:szCs w:val="32"/>
          <w:rtl/>
          <w:lang w:eastAsia="en-US"/>
        </w:rPr>
        <w:t>ﭼ</w:t>
      </w:r>
      <w:r w:rsidRPr="005C21CD">
        <w:rPr>
          <w:rtl/>
        </w:rPr>
        <w:t xml:space="preserve"> وهم اليهود حين قالوا: عزيرٌ ابن الله، والنصارى حين قالوا: المسيح ابن الله، والمشركون حين قالوا: الملائكة بنات الله</w:t>
      </w:r>
      <w:r w:rsidRPr="005C21CD">
        <w:rPr>
          <w:vertAlign w:val="superscript"/>
          <w:rtl/>
        </w:rPr>
        <w:t>(</w:t>
      </w:r>
      <w:r w:rsidRPr="005C21CD">
        <w:rPr>
          <w:vertAlign w:val="superscript"/>
          <w:rtl/>
        </w:rPr>
        <w:footnoteReference w:id="871"/>
      </w:r>
      <w:r w:rsidRPr="005C21CD">
        <w:rPr>
          <w:vertAlign w:val="superscript"/>
          <w:rtl/>
        </w:rPr>
        <w:t>)</w:t>
      </w:r>
      <w:r w:rsidRPr="005C21CD">
        <w:rPr>
          <w:rtl/>
        </w:rPr>
        <w:t xml:space="preserve">، </w:t>
      </w:r>
      <w:r w:rsidRPr="005C21CD">
        <w:rPr>
          <w:rFonts w:ascii="QCF_BSML" w:hAnsi="QCF_BSML" w:cs="QCF_BSML"/>
          <w:color w:val="auto"/>
          <w:sz w:val="32"/>
          <w:szCs w:val="32"/>
          <w:rtl/>
          <w:lang w:eastAsia="en-US"/>
        </w:rPr>
        <w:t>ﭽ</w:t>
      </w:r>
      <w:r w:rsidRPr="005C21CD">
        <w:rPr>
          <w:rtl/>
        </w:rPr>
        <w:t xml:space="preserve"> </w:t>
      </w:r>
      <w:r w:rsidRPr="005C21CD">
        <w:rPr>
          <w:rFonts w:ascii="QCF_P294" w:hAnsi="QCF_P294" w:cs="QCF_P294"/>
          <w:color w:val="auto"/>
          <w:sz w:val="32"/>
          <w:szCs w:val="32"/>
          <w:rtl/>
          <w:lang w:eastAsia="en-US"/>
        </w:rPr>
        <w:t xml:space="preserve">ﭑ  ﭒ  ﭓ  </w:t>
      </w:r>
      <w:r w:rsidRPr="005C21CD">
        <w:rPr>
          <w:rFonts w:ascii="QCF_BSML" w:hAnsi="QCF_BSML" w:cs="QCF_BSML"/>
          <w:color w:val="auto"/>
          <w:sz w:val="32"/>
          <w:szCs w:val="32"/>
          <w:rtl/>
          <w:lang w:eastAsia="en-US"/>
        </w:rPr>
        <w:t>ﭼ</w:t>
      </w:r>
      <w:r w:rsidRPr="005C21CD">
        <w:rPr>
          <w:rtl/>
        </w:rPr>
        <w:t xml:space="preserve"> أي: بذلك القول </w:t>
      </w:r>
      <w:r w:rsidRPr="005C21CD">
        <w:rPr>
          <w:rFonts w:ascii="QCF_BSML" w:hAnsi="QCF_BSML" w:cs="QCF_BSML"/>
          <w:color w:val="auto"/>
          <w:sz w:val="32"/>
          <w:szCs w:val="32"/>
          <w:rtl/>
          <w:lang w:eastAsia="en-US"/>
        </w:rPr>
        <w:t>ﭽ</w:t>
      </w:r>
      <w:r w:rsidRPr="005C21CD">
        <w:rPr>
          <w:rtl/>
        </w:rPr>
        <w:t xml:space="preserve"> </w:t>
      </w:r>
      <w:r w:rsidRPr="005C21CD">
        <w:rPr>
          <w:rFonts w:ascii="QCF_P294" w:hAnsi="QCF_P294" w:cs="QCF_P294"/>
          <w:color w:val="auto"/>
          <w:sz w:val="32"/>
          <w:szCs w:val="32"/>
          <w:rtl/>
          <w:lang w:eastAsia="en-US"/>
        </w:rPr>
        <w:t>ﭔ  ﭕ</w:t>
      </w:r>
      <w:r w:rsidRPr="005C21CD">
        <w:rPr>
          <w:rFonts w:ascii="QCF_BSML" w:hAnsi="QCF_BSML" w:cs="QCF_BSML"/>
          <w:color w:val="auto"/>
          <w:sz w:val="32"/>
          <w:szCs w:val="32"/>
          <w:rtl/>
          <w:lang w:eastAsia="en-US"/>
        </w:rPr>
        <w:t>ﭼ</w:t>
      </w:r>
      <w:r w:rsidRPr="005C21CD">
        <w:rPr>
          <w:rtl/>
        </w:rPr>
        <w:t xml:space="preserve"> لأنهم قالوا افتراء على الله،</w:t>
      </w:r>
      <w:r w:rsidRPr="005C21CD">
        <w:rPr>
          <w:rFonts w:ascii="QCF_BSML" w:hAnsi="QCF_BSML" w:cs="QCF_BSML"/>
          <w:color w:val="auto"/>
          <w:sz w:val="32"/>
          <w:szCs w:val="32"/>
          <w:rtl/>
          <w:lang w:eastAsia="en-US"/>
        </w:rPr>
        <w:t xml:space="preserve"> ﭽ</w:t>
      </w:r>
      <w:r w:rsidRPr="005C21CD">
        <w:rPr>
          <w:rtl/>
        </w:rPr>
        <w:t xml:space="preserve"> </w:t>
      </w:r>
      <w:r w:rsidRPr="005C21CD">
        <w:rPr>
          <w:rFonts w:ascii="QCF_P294" w:hAnsi="QCF_P294" w:cs="QCF_P294"/>
          <w:color w:val="auto"/>
          <w:sz w:val="32"/>
          <w:szCs w:val="32"/>
          <w:rtl/>
          <w:lang w:eastAsia="en-US"/>
        </w:rPr>
        <w:t xml:space="preserve">ﭖ  ﭗﭘ    </w:t>
      </w:r>
      <w:r w:rsidRPr="005C21CD">
        <w:rPr>
          <w:rFonts w:ascii="QCF_BSML" w:hAnsi="QCF_BSML" w:cs="QCF_BSML"/>
          <w:color w:val="auto"/>
          <w:sz w:val="32"/>
          <w:szCs w:val="32"/>
          <w:rtl/>
          <w:lang w:eastAsia="en-US"/>
        </w:rPr>
        <w:t>ﭼ</w:t>
      </w:r>
      <w:r w:rsidRPr="005C21CD">
        <w:rPr>
          <w:rtl/>
        </w:rPr>
        <w:t xml:space="preserve"> الذين قالوا ذلك، </w:t>
      </w:r>
      <w:r w:rsidRPr="005C21CD">
        <w:rPr>
          <w:rFonts w:ascii="QCF_BSML" w:hAnsi="QCF_BSML" w:cs="QCF_BSML"/>
          <w:color w:val="auto"/>
          <w:sz w:val="32"/>
          <w:szCs w:val="32"/>
          <w:rtl/>
          <w:lang w:eastAsia="en-US"/>
        </w:rPr>
        <w:t>ﭽ</w:t>
      </w:r>
      <w:r w:rsidRPr="005C21CD">
        <w:rPr>
          <w:rFonts w:ascii="QCF_P294" w:hAnsi="QCF_P294" w:cs="QCF_P294"/>
          <w:color w:val="auto"/>
          <w:sz w:val="32"/>
          <w:szCs w:val="32"/>
          <w:rtl/>
          <w:lang w:eastAsia="en-US"/>
        </w:rPr>
        <w:t>ﭙ</w:t>
      </w:r>
      <w:r w:rsidRPr="005C21CD">
        <w:rPr>
          <w:rFonts w:ascii="QCF_BSML" w:hAnsi="QCF_BSML" w:cs="QCF_BSML"/>
          <w:color w:val="auto"/>
          <w:sz w:val="32"/>
          <w:szCs w:val="32"/>
          <w:rtl/>
          <w:lang w:eastAsia="en-US"/>
        </w:rPr>
        <w:t>ﭼ</w:t>
      </w:r>
      <w:r w:rsidRPr="005C21CD">
        <w:rPr>
          <w:rtl/>
        </w:rPr>
        <w:t xml:space="preserve"> </w:t>
      </w:r>
      <w:r w:rsidR="00224A0A" w:rsidRPr="001277AD">
        <w:rPr>
          <w:rFonts w:hint="cs"/>
          <w:color w:val="0D0D0D" w:themeColor="text1" w:themeTint="F2"/>
          <w:sz w:val="32"/>
          <w:szCs w:val="32"/>
          <w:rtl/>
        </w:rPr>
        <w:t>[</w:t>
      </w:r>
      <w:r w:rsidR="00224A0A">
        <w:rPr>
          <w:rFonts w:hint="cs"/>
          <w:color w:val="0D0D0D" w:themeColor="text1" w:themeTint="F2"/>
          <w:sz w:val="32"/>
          <w:szCs w:val="32"/>
          <w:rtl/>
        </w:rPr>
        <w:t>99</w:t>
      </w:r>
      <w:r w:rsidR="00224A0A" w:rsidRPr="001277AD">
        <w:rPr>
          <w:rFonts w:hint="cs"/>
          <w:color w:val="0D0D0D" w:themeColor="text1" w:themeTint="F2"/>
          <w:sz w:val="32"/>
          <w:szCs w:val="32"/>
          <w:rtl/>
        </w:rPr>
        <w:t>]</w:t>
      </w:r>
      <w:r w:rsidR="00224A0A" w:rsidRPr="00911ED4">
        <w:rPr>
          <w:rFonts w:ascii="Traditional Arabic" w:hAnsi="Traditional Arabic"/>
          <w:rtl/>
        </w:rPr>
        <w:t xml:space="preserve"> </w:t>
      </w:r>
      <w:r w:rsidRPr="005C21CD">
        <w:rPr>
          <w:rtl/>
        </w:rPr>
        <w:t xml:space="preserve">أي: عَظُمَتْ </w:t>
      </w:r>
      <w:r w:rsidRPr="005C21CD">
        <w:rPr>
          <w:rFonts w:ascii="QCF_BSML" w:hAnsi="QCF_BSML" w:cs="QCF_BSML"/>
          <w:color w:val="auto"/>
          <w:sz w:val="32"/>
          <w:szCs w:val="32"/>
          <w:rtl/>
          <w:lang w:eastAsia="en-US"/>
        </w:rPr>
        <w:t>ﭽ</w:t>
      </w:r>
      <w:r w:rsidRPr="005C21CD">
        <w:rPr>
          <w:rFonts w:ascii="QCF_P294" w:hAnsi="QCF_P294" w:cs="QCF_P294"/>
          <w:color w:val="auto"/>
          <w:sz w:val="32"/>
          <w:szCs w:val="32"/>
          <w:rtl/>
          <w:lang w:eastAsia="en-US"/>
        </w:rPr>
        <w:t>ﭚ</w:t>
      </w:r>
      <w:r w:rsidRPr="005C21CD">
        <w:rPr>
          <w:rFonts w:ascii="QCF_BSML" w:hAnsi="QCF_BSML" w:cs="QCF_BSML"/>
          <w:color w:val="auto"/>
          <w:sz w:val="32"/>
          <w:szCs w:val="32"/>
          <w:rtl/>
          <w:lang w:eastAsia="en-US"/>
        </w:rPr>
        <w:t xml:space="preserve"> ﭼ</w:t>
      </w:r>
      <w:r w:rsidRPr="005C21CD">
        <w:rPr>
          <w:rtl/>
        </w:rPr>
        <w:t xml:space="preserve"> الجمهور على النصب. وقرأ ابن مسعود، والحسن، ومجاهد، وأبو رزين، وأبو رجاء، ويحيى بن يعمر، وابن محيصن، وابن أبي عبلة: «كلمةٌ» بالرفع</w:t>
      </w:r>
      <w:r w:rsidRPr="005C21CD">
        <w:rPr>
          <w:vertAlign w:val="superscript"/>
          <w:rtl/>
        </w:rPr>
        <w:t>(</w:t>
      </w:r>
      <w:r w:rsidRPr="005C21CD">
        <w:rPr>
          <w:vertAlign w:val="superscript"/>
          <w:rtl/>
        </w:rPr>
        <w:footnoteReference w:id="872"/>
      </w:r>
      <w:r w:rsidRPr="005C21CD">
        <w:rPr>
          <w:vertAlign w:val="superscript"/>
          <w:rtl/>
        </w:rPr>
        <w:t>)</w:t>
      </w:r>
      <w:r w:rsidRPr="005C21CD">
        <w:rPr>
          <w:rtl/>
        </w:rPr>
        <w:t>.</w:t>
      </w:r>
      <w:r w:rsidRPr="005C21CD">
        <w:rPr>
          <w:rFonts w:hint="cs"/>
          <w:rtl/>
        </w:rPr>
        <w:t xml:space="preserve"> </w:t>
      </w:r>
      <w:r w:rsidR="00B12BFE">
        <w:rPr>
          <w:rtl/>
        </w:rPr>
        <w:t>قال الفراء: من نصب، أضمر: ك</w:t>
      </w:r>
      <w:r w:rsidR="00B12BFE">
        <w:rPr>
          <w:rFonts w:hint="cs"/>
          <w:rtl/>
        </w:rPr>
        <w:t>َ</w:t>
      </w:r>
      <w:r w:rsidR="00B12BFE">
        <w:rPr>
          <w:rtl/>
        </w:rPr>
        <w:t>ب</w:t>
      </w:r>
      <w:r w:rsidR="00B12BFE">
        <w:rPr>
          <w:rFonts w:hint="cs"/>
          <w:rtl/>
        </w:rPr>
        <w:t>ُ</w:t>
      </w:r>
      <w:r w:rsidRPr="005C21CD">
        <w:rPr>
          <w:rtl/>
        </w:rPr>
        <w:t>رتْ تلك الكلمةُ كلمةً، ومن رفع، لم يضمر شيئاً، كما تقول: عَظُم قولك</w:t>
      </w:r>
      <w:r w:rsidRPr="005C21CD">
        <w:rPr>
          <w:vertAlign w:val="superscript"/>
          <w:rtl/>
        </w:rPr>
        <w:t>(</w:t>
      </w:r>
      <w:r w:rsidRPr="005C21CD">
        <w:rPr>
          <w:vertAlign w:val="superscript"/>
          <w:rtl/>
        </w:rPr>
        <w:footnoteReference w:id="873"/>
      </w:r>
      <w:r w:rsidRPr="005C21CD">
        <w:rPr>
          <w:vertAlign w:val="superscript"/>
          <w:rtl/>
        </w:rPr>
        <w:t>)</w:t>
      </w:r>
      <w:r w:rsidRPr="005C21CD">
        <w:rPr>
          <w:rtl/>
        </w:rPr>
        <w:t>. وقال الزجاج: من نصب، فالمعنى: كبرت مقالتهم: اتخذ الله ولداً كلمة، و «كلمةً» منصوب على التمييز. ومن رفع، فالمعنى: عظمت كلمة هي قولهم: اتخذ الله ولداً</w:t>
      </w:r>
      <w:r w:rsidRPr="005C21CD">
        <w:rPr>
          <w:vertAlign w:val="superscript"/>
          <w:rtl/>
        </w:rPr>
        <w:t>(</w:t>
      </w:r>
      <w:r w:rsidRPr="005C21CD">
        <w:rPr>
          <w:vertAlign w:val="superscript"/>
          <w:rtl/>
        </w:rPr>
        <w:footnoteReference w:id="874"/>
      </w:r>
      <w:r w:rsidRPr="005C21CD">
        <w:rPr>
          <w:vertAlign w:val="superscript"/>
          <w:rtl/>
        </w:rPr>
        <w:t>)</w:t>
      </w:r>
      <w:r w:rsidRPr="005C21CD">
        <w:rPr>
          <w:rtl/>
        </w:rPr>
        <w:t>.</w:t>
      </w:r>
      <w:r w:rsidRPr="005C21CD">
        <w:rPr>
          <w:rFonts w:hint="cs"/>
          <w:rtl/>
        </w:rPr>
        <w:t xml:space="preserve"> </w:t>
      </w:r>
      <w:r w:rsidRPr="005C21CD">
        <w:rPr>
          <w:rtl/>
        </w:rPr>
        <w:t xml:space="preserve">قوله تعالى: </w:t>
      </w:r>
      <w:r w:rsidRPr="005C21CD">
        <w:rPr>
          <w:rFonts w:ascii="QCF_BSML" w:hAnsi="QCF_BSML" w:cs="QCF_BSML"/>
          <w:color w:val="auto"/>
          <w:sz w:val="32"/>
          <w:szCs w:val="32"/>
          <w:rtl/>
          <w:lang w:eastAsia="en-US"/>
        </w:rPr>
        <w:t>ﭽ</w:t>
      </w:r>
      <w:r w:rsidRPr="005C21CD">
        <w:rPr>
          <w:rFonts w:ascii="QCF_P294" w:hAnsi="QCF_P294" w:cs="QCF_P294"/>
          <w:color w:val="auto"/>
          <w:sz w:val="32"/>
          <w:szCs w:val="32"/>
          <w:rtl/>
          <w:lang w:eastAsia="en-US"/>
        </w:rPr>
        <w:t xml:space="preserve">ﭛ  ﭜ   ﭝﭞ  </w:t>
      </w:r>
      <w:r w:rsidRPr="005C21CD">
        <w:rPr>
          <w:rFonts w:ascii="QCF_BSML" w:hAnsi="QCF_BSML" w:cs="QCF_BSML"/>
          <w:color w:val="auto"/>
          <w:sz w:val="32"/>
          <w:szCs w:val="32"/>
          <w:rtl/>
          <w:lang w:eastAsia="en-US"/>
        </w:rPr>
        <w:t>ﭼ</w:t>
      </w:r>
      <w:r w:rsidRPr="005C21CD">
        <w:rPr>
          <w:rtl/>
        </w:rPr>
        <w:t xml:space="preserve"> أي: إِنها قول بالفم لا صحة لها، ولا دليل عليها، </w:t>
      </w:r>
      <w:r w:rsidRPr="005C21CD">
        <w:rPr>
          <w:rFonts w:ascii="QCF_BSML" w:hAnsi="QCF_BSML" w:cs="QCF_BSML"/>
          <w:color w:val="auto"/>
          <w:sz w:val="32"/>
          <w:szCs w:val="32"/>
          <w:rtl/>
          <w:lang w:eastAsia="en-US"/>
        </w:rPr>
        <w:t>ﭽ</w:t>
      </w:r>
      <w:r w:rsidRPr="005C21CD">
        <w:rPr>
          <w:rtl/>
        </w:rPr>
        <w:t xml:space="preserve"> </w:t>
      </w:r>
      <w:r w:rsidRPr="005C21CD">
        <w:rPr>
          <w:rFonts w:ascii="QCF_P294" w:hAnsi="QCF_P294" w:cs="QCF_P294"/>
          <w:color w:val="auto"/>
          <w:sz w:val="32"/>
          <w:szCs w:val="32"/>
          <w:rtl/>
          <w:lang w:eastAsia="en-US"/>
        </w:rPr>
        <w:t xml:space="preserve">ﭟ  ﭠ  </w:t>
      </w:r>
      <w:r w:rsidRPr="005C21CD">
        <w:rPr>
          <w:rFonts w:ascii="QCF_BSML" w:hAnsi="QCF_BSML" w:cs="QCF_BSML"/>
          <w:color w:val="auto"/>
          <w:sz w:val="32"/>
          <w:szCs w:val="32"/>
          <w:rtl/>
          <w:lang w:eastAsia="en-US"/>
        </w:rPr>
        <w:t>ﭼ</w:t>
      </w:r>
      <w:r w:rsidRPr="005C21CD">
        <w:rPr>
          <w:rtl/>
        </w:rPr>
        <w:t xml:space="preserve"> أي: ما يقولون </w:t>
      </w:r>
      <w:r w:rsidRPr="005C21CD">
        <w:rPr>
          <w:rFonts w:ascii="QCF_BSML" w:hAnsi="QCF_BSML" w:cs="QCF_BSML"/>
          <w:color w:val="auto"/>
          <w:sz w:val="32"/>
          <w:szCs w:val="32"/>
          <w:rtl/>
          <w:lang w:eastAsia="en-US"/>
        </w:rPr>
        <w:t>ﭽ</w:t>
      </w:r>
      <w:r w:rsidRPr="005C21CD">
        <w:rPr>
          <w:rFonts w:ascii="QCF_P294" w:hAnsi="QCF_P294" w:cs="QCF_P294"/>
          <w:color w:val="auto"/>
          <w:sz w:val="32"/>
          <w:szCs w:val="32"/>
          <w:rtl/>
          <w:lang w:eastAsia="en-US"/>
        </w:rPr>
        <w:t xml:space="preserve"> ﭡ  ﭢ  </w:t>
      </w:r>
      <w:r w:rsidRPr="005C21CD">
        <w:rPr>
          <w:rFonts w:ascii="QCF_BSML" w:hAnsi="QCF_BSML" w:cs="QCF_BSML"/>
          <w:color w:val="auto"/>
          <w:sz w:val="32"/>
          <w:szCs w:val="32"/>
          <w:rtl/>
          <w:lang w:eastAsia="en-US"/>
        </w:rPr>
        <w:t>ﭼ</w:t>
      </w:r>
      <w:r w:rsidRPr="005C21CD">
        <w:rPr>
          <w:rtl/>
        </w:rPr>
        <w:t xml:space="preserve"> ثم عاتبه على حُزْنِهِ لفوت ما كان يرجو من إِسلامهم، فقال:</w:t>
      </w:r>
      <w:r w:rsidRPr="005C21CD">
        <w:rPr>
          <w:rFonts w:hint="cs"/>
          <w:rtl/>
        </w:rPr>
        <w:t xml:space="preserve"> </w:t>
      </w:r>
      <w:r w:rsidRPr="005C21CD">
        <w:rPr>
          <w:rFonts w:ascii="QCF_BSML" w:hAnsi="QCF_BSML" w:cs="QCF_BSML"/>
          <w:color w:val="auto"/>
          <w:sz w:val="32"/>
          <w:szCs w:val="32"/>
          <w:rtl/>
          <w:lang w:eastAsia="en-US"/>
        </w:rPr>
        <w:t>ﭽ</w:t>
      </w:r>
      <w:r w:rsidRPr="005C21CD">
        <w:rPr>
          <w:rFonts w:ascii="QCF_P294" w:hAnsi="QCF_P294" w:cs="QCF_P294"/>
          <w:color w:val="auto"/>
          <w:sz w:val="32"/>
          <w:szCs w:val="32"/>
          <w:rtl/>
          <w:lang w:eastAsia="en-US"/>
        </w:rPr>
        <w:t xml:space="preserve">ﭤ  ﭥ  ﭦ   </w:t>
      </w:r>
      <w:r w:rsidRPr="005C21CD">
        <w:rPr>
          <w:rFonts w:ascii="QCF_BSML" w:hAnsi="QCF_BSML" w:cs="QCF_BSML"/>
          <w:color w:val="auto"/>
          <w:sz w:val="32"/>
          <w:szCs w:val="32"/>
          <w:rtl/>
          <w:lang w:eastAsia="en-US"/>
        </w:rPr>
        <w:t>ﭼ</w:t>
      </w:r>
      <w:r w:rsidRPr="005C21CD">
        <w:rPr>
          <w:rtl/>
        </w:rPr>
        <w:t xml:space="preserve"> وقرأ سعيد بن جبير، وأبو الجوزاء، وقتادة: «باخعُ نفسِك» بكسر السين، على الإِضافة</w:t>
      </w:r>
      <w:r w:rsidRPr="005C21CD">
        <w:rPr>
          <w:vertAlign w:val="superscript"/>
          <w:rtl/>
        </w:rPr>
        <w:t>(</w:t>
      </w:r>
      <w:r w:rsidRPr="005C21CD">
        <w:rPr>
          <w:vertAlign w:val="superscript"/>
          <w:rtl/>
        </w:rPr>
        <w:footnoteReference w:id="875"/>
      </w:r>
      <w:r w:rsidRPr="005C21CD">
        <w:rPr>
          <w:vertAlign w:val="superscript"/>
          <w:rtl/>
        </w:rPr>
        <w:t>)</w:t>
      </w:r>
      <w:r w:rsidRPr="005C21CD">
        <w:rPr>
          <w:rtl/>
        </w:rPr>
        <w:t>. قال المفسرون واللغويون: فلعلك مهلك نفسك، وقاتل نفسك</w:t>
      </w:r>
      <w:r w:rsidRPr="005C21CD">
        <w:rPr>
          <w:vertAlign w:val="superscript"/>
          <w:rtl/>
        </w:rPr>
        <w:t>(</w:t>
      </w:r>
      <w:r w:rsidRPr="005C21CD">
        <w:rPr>
          <w:vertAlign w:val="superscript"/>
          <w:rtl/>
        </w:rPr>
        <w:footnoteReference w:id="876"/>
      </w:r>
      <w:r w:rsidRPr="005C21CD">
        <w:rPr>
          <w:vertAlign w:val="superscript"/>
          <w:rtl/>
        </w:rPr>
        <w:t>)</w:t>
      </w:r>
      <w:r w:rsidRPr="005C21CD">
        <w:rPr>
          <w:rtl/>
        </w:rPr>
        <w:t>، وأنشد أبو عبيدة لذي الرمَّة:</w:t>
      </w:r>
    </w:p>
    <w:p w:rsidR="00B12BFE" w:rsidRDefault="005C21CD" w:rsidP="00144946">
      <w:pPr>
        <w:ind w:firstLine="0"/>
        <w:rPr>
          <w:rtl/>
        </w:rPr>
      </w:pPr>
      <w:r w:rsidRPr="005C21CD">
        <w:rPr>
          <w:rtl/>
        </w:rPr>
        <w:t>ألا أيُّهَذَا الباخِعُ الوجْد</w:t>
      </w:r>
      <w:r w:rsidRPr="005C21CD">
        <w:rPr>
          <w:rFonts w:hint="cs"/>
          <w:rtl/>
        </w:rPr>
        <w:t xml:space="preserve"> </w:t>
      </w:r>
      <w:r w:rsidRPr="005C21CD">
        <w:rPr>
          <w:rtl/>
        </w:rPr>
        <w:t>نَفْسَهُ ... لِشَيْءٍ نَحَتْهُ عَنْ يَدَيْهِ المقَادِرُ</w:t>
      </w:r>
      <w:r w:rsidRPr="005C21CD">
        <w:rPr>
          <w:vertAlign w:val="superscript"/>
          <w:rtl/>
        </w:rPr>
        <w:t>(</w:t>
      </w:r>
      <w:r w:rsidRPr="005C21CD">
        <w:rPr>
          <w:vertAlign w:val="superscript"/>
          <w:rtl/>
        </w:rPr>
        <w:footnoteReference w:id="877"/>
      </w:r>
      <w:r w:rsidRPr="005C21CD">
        <w:rPr>
          <w:vertAlign w:val="superscript"/>
          <w:rtl/>
        </w:rPr>
        <w:t>)</w:t>
      </w:r>
    </w:p>
    <w:p w:rsidR="00B12BFE" w:rsidRDefault="005C21CD" w:rsidP="00B12BFE">
      <w:pPr>
        <w:ind w:firstLine="0"/>
        <w:rPr>
          <w:rtl/>
        </w:rPr>
      </w:pPr>
      <w:r w:rsidRPr="005C21CD">
        <w:rPr>
          <w:rtl/>
        </w:rPr>
        <w:t>أي: نحَّتْه</w:t>
      </w:r>
      <w:r w:rsidRPr="005C21CD">
        <w:rPr>
          <w:vertAlign w:val="superscript"/>
          <w:rtl/>
        </w:rPr>
        <w:t>(</w:t>
      </w:r>
      <w:r w:rsidRPr="005C21CD">
        <w:rPr>
          <w:vertAlign w:val="superscript"/>
          <w:rtl/>
        </w:rPr>
        <w:footnoteReference w:id="878"/>
      </w:r>
      <w:r w:rsidRPr="005C21CD">
        <w:rPr>
          <w:vertAlign w:val="superscript"/>
          <w:rtl/>
        </w:rPr>
        <w:t>)</w:t>
      </w:r>
      <w:r w:rsidRPr="005C21CD">
        <w:rPr>
          <w:rtl/>
        </w:rPr>
        <w:t xml:space="preserve">. فإن قيل: كيف قال: فَلَعَلَّكَ والغالب عليها الشك، والله عالم بالأشياء قبل كونها؟ فالجواب: أنها ليست بشكّ، إِنما هي مقدَّرة تقدير الاستفهام الذي يعنى به التقرير، </w:t>
      </w:r>
      <w:r w:rsidRPr="005C21CD">
        <w:rPr>
          <w:rtl/>
        </w:rPr>
        <w:lastRenderedPageBreak/>
        <w:t>فالمعنى:</w:t>
      </w:r>
      <w:r w:rsidRPr="005C21CD">
        <w:rPr>
          <w:rFonts w:hint="cs"/>
          <w:rtl/>
        </w:rPr>
        <w:t xml:space="preserve"> </w:t>
      </w:r>
      <w:r w:rsidRPr="005C21CD">
        <w:rPr>
          <w:rtl/>
        </w:rPr>
        <w:t>هل أنت قاتل نفسك؟! لا ينبغي أن يطول أساك على إِعراضهم، فإن من حَكَمْنَا عليه بالشِّقْوَةِ لا تجدي عليه الحسرة ذكره ابن الأنباري</w:t>
      </w:r>
      <w:r w:rsidRPr="005C21CD">
        <w:rPr>
          <w:vertAlign w:val="superscript"/>
          <w:rtl/>
        </w:rPr>
        <w:t>(</w:t>
      </w:r>
      <w:r w:rsidRPr="005C21CD">
        <w:rPr>
          <w:vertAlign w:val="superscript"/>
          <w:rtl/>
        </w:rPr>
        <w:footnoteReference w:id="879"/>
      </w:r>
      <w:r w:rsidRPr="005C21CD">
        <w:rPr>
          <w:vertAlign w:val="superscript"/>
          <w:rtl/>
        </w:rPr>
        <w:t>)</w:t>
      </w:r>
      <w:r w:rsidRPr="005C21CD">
        <w:rPr>
          <w:rtl/>
        </w:rPr>
        <w:t xml:space="preserve">. قوله تعالى: </w:t>
      </w:r>
      <w:r w:rsidRPr="005C21CD">
        <w:rPr>
          <w:rFonts w:ascii="QCF_BSML" w:hAnsi="QCF_BSML" w:cs="QCF_BSML"/>
          <w:color w:val="auto"/>
          <w:sz w:val="32"/>
          <w:szCs w:val="32"/>
          <w:rtl/>
          <w:lang w:eastAsia="en-US"/>
        </w:rPr>
        <w:t>ﭽ</w:t>
      </w:r>
      <w:r w:rsidRPr="005C21CD">
        <w:rPr>
          <w:rFonts w:ascii="QCF_P294" w:hAnsi="QCF_P294" w:cs="QCF_P294"/>
          <w:color w:val="auto"/>
          <w:sz w:val="32"/>
          <w:szCs w:val="32"/>
          <w:rtl/>
          <w:lang w:eastAsia="en-US"/>
        </w:rPr>
        <w:t xml:space="preserve">   ﭧ  ﭨ </w:t>
      </w:r>
      <w:r w:rsidRPr="005C21CD">
        <w:rPr>
          <w:rFonts w:ascii="QCF_BSML" w:hAnsi="QCF_BSML" w:cs="QCF_BSML"/>
          <w:color w:val="auto"/>
          <w:sz w:val="32"/>
          <w:szCs w:val="32"/>
          <w:rtl/>
          <w:lang w:eastAsia="en-US"/>
        </w:rPr>
        <w:t>ﭼ</w:t>
      </w:r>
      <w:r w:rsidRPr="005C21CD">
        <w:rPr>
          <w:rtl/>
        </w:rPr>
        <w:t xml:space="preserve"> أي: من بعد تولِّيهم عنك </w:t>
      </w:r>
      <w:r w:rsidRPr="005C21CD">
        <w:rPr>
          <w:rFonts w:ascii="QCF_BSML" w:hAnsi="QCF_BSML" w:cs="QCF_BSML"/>
          <w:color w:val="auto"/>
          <w:sz w:val="32"/>
          <w:szCs w:val="32"/>
          <w:rtl/>
          <w:lang w:eastAsia="en-US"/>
        </w:rPr>
        <w:t>ﭽ</w:t>
      </w:r>
      <w:r w:rsidRPr="005C21CD">
        <w:rPr>
          <w:rtl/>
        </w:rPr>
        <w:t xml:space="preserve"> </w:t>
      </w:r>
      <w:r w:rsidRPr="005C21CD">
        <w:rPr>
          <w:rFonts w:ascii="QCF_P294" w:hAnsi="QCF_P294" w:cs="QCF_P294"/>
          <w:color w:val="auto"/>
          <w:sz w:val="32"/>
          <w:szCs w:val="32"/>
          <w:rtl/>
          <w:lang w:eastAsia="en-US"/>
        </w:rPr>
        <w:t xml:space="preserve">ﭩ  ﭪ  ﭫ  ﭬ  ﭭ  </w:t>
      </w:r>
      <w:r w:rsidRPr="005C21CD">
        <w:rPr>
          <w:rFonts w:ascii="QCF_BSML" w:hAnsi="QCF_BSML" w:cs="QCF_BSML"/>
          <w:color w:val="auto"/>
          <w:sz w:val="32"/>
          <w:szCs w:val="32"/>
          <w:rtl/>
          <w:lang w:eastAsia="en-US"/>
        </w:rPr>
        <w:t>ﭼ</w:t>
      </w:r>
      <w:r w:rsidRPr="005C21CD">
        <w:rPr>
          <w:rtl/>
        </w:rPr>
        <w:t xml:space="preserve"> يعني القرآن </w:t>
      </w:r>
      <w:r w:rsidRPr="005C21CD">
        <w:rPr>
          <w:rFonts w:ascii="QCF_BSML" w:hAnsi="QCF_BSML" w:cs="QCF_BSML"/>
          <w:color w:val="auto"/>
          <w:sz w:val="32"/>
          <w:szCs w:val="32"/>
          <w:rtl/>
          <w:lang w:eastAsia="en-US"/>
        </w:rPr>
        <w:t>ﭽ</w:t>
      </w:r>
      <w:r w:rsidRPr="005C21CD">
        <w:rPr>
          <w:rFonts w:ascii="QCF_P294" w:hAnsi="QCF_P294" w:cs="QCF_P294"/>
          <w:color w:val="auto"/>
          <w:sz w:val="32"/>
          <w:szCs w:val="32"/>
          <w:rtl/>
          <w:lang w:eastAsia="en-US"/>
        </w:rPr>
        <w:t xml:space="preserve"> ﭮ  </w:t>
      </w:r>
      <w:r w:rsidRPr="005C21CD">
        <w:rPr>
          <w:rFonts w:ascii="QCF_BSML" w:hAnsi="QCF_BSML" w:cs="QCF_BSML"/>
          <w:color w:val="auto"/>
          <w:sz w:val="32"/>
          <w:szCs w:val="32"/>
          <w:rtl/>
          <w:lang w:eastAsia="en-US"/>
        </w:rPr>
        <w:t>ﭼ</w:t>
      </w:r>
      <w:r w:rsidRPr="005C21CD">
        <w:rPr>
          <w:rtl/>
        </w:rPr>
        <w:t xml:space="preserve"> وفيه أربعة أقوال: أحدها: حَزَناً، قاله ابن عباس</w:t>
      </w:r>
      <w:r w:rsidRPr="005C21CD">
        <w:rPr>
          <w:vertAlign w:val="superscript"/>
          <w:rtl/>
        </w:rPr>
        <w:t>(</w:t>
      </w:r>
      <w:r w:rsidRPr="005C21CD">
        <w:rPr>
          <w:vertAlign w:val="superscript"/>
          <w:rtl/>
        </w:rPr>
        <w:footnoteReference w:id="880"/>
      </w:r>
      <w:r w:rsidRPr="005C21CD">
        <w:rPr>
          <w:vertAlign w:val="superscript"/>
          <w:rtl/>
        </w:rPr>
        <w:t>)</w:t>
      </w:r>
      <w:r w:rsidRPr="005C21CD">
        <w:rPr>
          <w:rtl/>
        </w:rPr>
        <w:t>، وابن قتيبة</w:t>
      </w:r>
      <w:r w:rsidRPr="005C21CD">
        <w:rPr>
          <w:vertAlign w:val="superscript"/>
          <w:rtl/>
        </w:rPr>
        <w:t>(</w:t>
      </w:r>
      <w:r w:rsidRPr="005C21CD">
        <w:rPr>
          <w:vertAlign w:val="superscript"/>
          <w:rtl/>
        </w:rPr>
        <w:footnoteReference w:id="881"/>
      </w:r>
      <w:r w:rsidRPr="005C21CD">
        <w:rPr>
          <w:vertAlign w:val="superscript"/>
          <w:rtl/>
        </w:rPr>
        <w:t>)</w:t>
      </w:r>
      <w:r w:rsidRPr="005C21CD">
        <w:rPr>
          <w:rtl/>
        </w:rPr>
        <w:t>.</w:t>
      </w:r>
      <w:r w:rsidRPr="005C21CD">
        <w:rPr>
          <w:rFonts w:hint="cs"/>
          <w:rtl/>
        </w:rPr>
        <w:t xml:space="preserve"> </w:t>
      </w:r>
      <w:r w:rsidRPr="005C21CD">
        <w:rPr>
          <w:rtl/>
        </w:rPr>
        <w:t>والثاني: جَزَعاً، قاله مجاهد</w:t>
      </w:r>
      <w:r w:rsidRPr="005C21CD">
        <w:rPr>
          <w:vertAlign w:val="superscript"/>
          <w:rtl/>
        </w:rPr>
        <w:t>(</w:t>
      </w:r>
      <w:r w:rsidRPr="005C21CD">
        <w:rPr>
          <w:vertAlign w:val="superscript"/>
          <w:rtl/>
        </w:rPr>
        <w:footnoteReference w:id="882"/>
      </w:r>
      <w:r w:rsidRPr="005C21CD">
        <w:rPr>
          <w:vertAlign w:val="superscript"/>
          <w:rtl/>
        </w:rPr>
        <w:t>)</w:t>
      </w:r>
      <w:r w:rsidRPr="005C21CD">
        <w:rPr>
          <w:rtl/>
        </w:rPr>
        <w:t>. والثالث: غَضَباً، قاله قتادة</w:t>
      </w:r>
      <w:r w:rsidRPr="005C21CD">
        <w:rPr>
          <w:vertAlign w:val="superscript"/>
          <w:rtl/>
        </w:rPr>
        <w:t>(</w:t>
      </w:r>
      <w:r w:rsidRPr="005C21CD">
        <w:rPr>
          <w:vertAlign w:val="superscript"/>
          <w:rtl/>
        </w:rPr>
        <w:footnoteReference w:id="883"/>
      </w:r>
      <w:r w:rsidRPr="005C21CD">
        <w:rPr>
          <w:vertAlign w:val="superscript"/>
          <w:rtl/>
        </w:rPr>
        <w:t>)</w:t>
      </w:r>
      <w:r w:rsidRPr="005C21CD">
        <w:rPr>
          <w:rtl/>
        </w:rPr>
        <w:t>. والرابع: نَدَماً، قاله السدي</w:t>
      </w:r>
      <w:r w:rsidRPr="005C21CD">
        <w:rPr>
          <w:vertAlign w:val="superscript"/>
          <w:rtl/>
        </w:rPr>
        <w:t>(</w:t>
      </w:r>
      <w:r w:rsidRPr="005C21CD">
        <w:rPr>
          <w:vertAlign w:val="superscript"/>
          <w:rtl/>
        </w:rPr>
        <w:footnoteReference w:id="884"/>
      </w:r>
      <w:r w:rsidRPr="005C21CD">
        <w:rPr>
          <w:vertAlign w:val="superscript"/>
          <w:rtl/>
        </w:rPr>
        <w:t>)</w:t>
      </w:r>
      <w:r w:rsidRPr="005C21CD">
        <w:rPr>
          <w:rtl/>
        </w:rPr>
        <w:t>. وقال أبو عبيدة: نَدَماً وتَلهُّفاً وأَسىً</w:t>
      </w:r>
      <w:r w:rsidRPr="005C21CD">
        <w:rPr>
          <w:vertAlign w:val="superscript"/>
          <w:rtl/>
        </w:rPr>
        <w:t>(</w:t>
      </w:r>
      <w:r w:rsidRPr="005C21CD">
        <w:rPr>
          <w:vertAlign w:val="superscript"/>
          <w:rtl/>
        </w:rPr>
        <w:footnoteReference w:id="885"/>
      </w:r>
      <w:r w:rsidRPr="005C21CD">
        <w:rPr>
          <w:vertAlign w:val="superscript"/>
          <w:rtl/>
        </w:rPr>
        <w:t>)</w:t>
      </w:r>
      <w:r w:rsidRPr="005C21CD">
        <w:rPr>
          <w:rtl/>
        </w:rPr>
        <w:t>. قال الزجاج: الأسف: المبالغة في الحزن، أو الغضب، يقال: قد أسف الرجل، فهو أَسيف، قال الشاعر:</w:t>
      </w:r>
    </w:p>
    <w:p w:rsidR="005C21CD" w:rsidRPr="005C21CD" w:rsidRDefault="005C21CD" w:rsidP="00B12BFE">
      <w:pPr>
        <w:ind w:firstLine="0"/>
        <w:rPr>
          <w:rtl/>
        </w:rPr>
      </w:pPr>
      <w:r w:rsidRPr="005C21CD">
        <w:rPr>
          <w:rtl/>
        </w:rPr>
        <w:t>أَرَى رَجُلاً مِنْهُمْ أَسِيفاً كأنّما ... يضمّ إلى كشحيه</w:t>
      </w:r>
      <w:r w:rsidRPr="005C21CD">
        <w:rPr>
          <w:vertAlign w:val="superscript"/>
          <w:rtl/>
        </w:rPr>
        <w:t>(</w:t>
      </w:r>
      <w:r w:rsidRPr="005C21CD">
        <w:rPr>
          <w:vertAlign w:val="superscript"/>
          <w:rtl/>
        </w:rPr>
        <w:footnoteReference w:id="886"/>
      </w:r>
      <w:r w:rsidRPr="005C21CD">
        <w:rPr>
          <w:vertAlign w:val="superscript"/>
          <w:rtl/>
        </w:rPr>
        <w:t>)</w:t>
      </w:r>
      <w:r w:rsidRPr="005C21CD">
        <w:rPr>
          <w:rtl/>
        </w:rPr>
        <w:t xml:space="preserve">كفّا مخضبا </w:t>
      </w:r>
      <w:r w:rsidRPr="005C21CD">
        <w:rPr>
          <w:vertAlign w:val="superscript"/>
          <w:rtl/>
        </w:rPr>
        <w:t>(</w:t>
      </w:r>
      <w:r w:rsidRPr="005C21CD">
        <w:rPr>
          <w:vertAlign w:val="superscript"/>
          <w:rtl/>
        </w:rPr>
        <w:footnoteReference w:id="887"/>
      </w:r>
      <w:r w:rsidRPr="005C21CD">
        <w:rPr>
          <w:vertAlign w:val="superscript"/>
          <w:rtl/>
        </w:rPr>
        <w:t>)(</w:t>
      </w:r>
      <w:r w:rsidRPr="005C21CD">
        <w:rPr>
          <w:vertAlign w:val="superscript"/>
          <w:rtl/>
        </w:rPr>
        <w:footnoteReference w:id="888"/>
      </w:r>
      <w:r w:rsidRPr="005C21CD">
        <w:rPr>
          <w:vertAlign w:val="superscript"/>
          <w:rtl/>
        </w:rPr>
        <w:t>)</w:t>
      </w:r>
    </w:p>
    <w:p w:rsidR="005C21CD" w:rsidRPr="005C21CD" w:rsidRDefault="005C21CD" w:rsidP="00B12BFE">
      <w:pPr>
        <w:ind w:firstLine="0"/>
        <w:rPr>
          <w:rtl/>
        </w:rPr>
      </w:pPr>
      <w:r w:rsidRPr="005C21CD">
        <w:rPr>
          <w:rtl/>
        </w:rPr>
        <w:t xml:space="preserve">وهذه الآية يشير بها إِلى نهي رسول الله </w:t>
      </w:r>
      <w:r w:rsidR="00B12BFE" w:rsidRPr="004B340C">
        <w:rPr>
          <w:rFonts w:ascii="Traditional Arabic" w:hAnsi="Traditional Arabic" w:hint="cs"/>
          <w:sz w:val="32"/>
          <w:szCs w:val="32"/>
        </w:rPr>
        <w:sym w:font="AGA Arabesque" w:char="F072"/>
      </w:r>
      <w:r w:rsidR="00B12BFE">
        <w:rPr>
          <w:rFonts w:hint="cs"/>
          <w:rtl/>
        </w:rPr>
        <w:t xml:space="preserve"> </w:t>
      </w:r>
      <w:r w:rsidRPr="005C21CD">
        <w:rPr>
          <w:rtl/>
        </w:rPr>
        <w:t>عن كثرة الحرص على إيمان قومه لئلا يؤدّي ذلك إلى هلاك نفسه بالأسف</w:t>
      </w:r>
      <w:r w:rsidRPr="005C21CD">
        <w:rPr>
          <w:vertAlign w:val="superscript"/>
          <w:rtl/>
        </w:rPr>
        <w:t>(</w:t>
      </w:r>
      <w:r w:rsidRPr="005C21CD">
        <w:rPr>
          <w:vertAlign w:val="superscript"/>
          <w:rtl/>
        </w:rPr>
        <w:footnoteReference w:id="889"/>
      </w:r>
      <w:r w:rsidRPr="005C21CD">
        <w:rPr>
          <w:vertAlign w:val="superscript"/>
          <w:rtl/>
        </w:rPr>
        <w:t>)</w:t>
      </w:r>
      <w:r w:rsidRPr="005C21CD">
        <w:rPr>
          <w:rtl/>
        </w:rPr>
        <w:t>.</w:t>
      </w:r>
      <w:r w:rsidRPr="005C21CD">
        <w:rPr>
          <w:rFonts w:hint="cs"/>
          <w:rtl/>
        </w:rPr>
        <w:t xml:space="preserve"> </w:t>
      </w:r>
    </w:p>
    <w:p w:rsidR="005C21CD" w:rsidRPr="005C21CD" w:rsidRDefault="005C21CD" w:rsidP="005C21CD">
      <w:pPr>
        <w:ind w:firstLine="0"/>
        <w:rPr>
          <w:rFonts w:ascii="Traditional Arabic" w:hAnsi="Traditional Arabic"/>
          <w:sz w:val="32"/>
          <w:szCs w:val="32"/>
          <w:rtl/>
        </w:rPr>
      </w:pPr>
      <w:r w:rsidRPr="005C21CD">
        <w:rPr>
          <w:rFonts w:ascii="QCF_BSML" w:hAnsi="QCF_BSML" w:cs="QCF_BSML"/>
          <w:sz w:val="32"/>
          <w:szCs w:val="32"/>
          <w:rtl/>
          <w:lang w:eastAsia="en-US"/>
        </w:rPr>
        <w:lastRenderedPageBreak/>
        <w:t xml:space="preserve">ﭽ </w:t>
      </w:r>
      <w:r w:rsidRPr="005C21CD">
        <w:rPr>
          <w:rFonts w:ascii="QCF_P294" w:hAnsi="QCF_P294" w:cs="QCF_P294"/>
          <w:sz w:val="32"/>
          <w:szCs w:val="32"/>
          <w:rtl/>
          <w:lang w:eastAsia="en-US"/>
        </w:rPr>
        <w:t xml:space="preserve">ﭰ   ﭱ  ﭲ  ﭳ  ﭴ  ﭵ  ﭶ  ﭷ    ﭸ  ﭹ  ﭺ   ﭻ  ﭼ  ﭽ  ﭾ  ﭿ  ﮀ  ﮁ  ﮂ  </w:t>
      </w:r>
      <w:r w:rsidRPr="005C21CD">
        <w:rPr>
          <w:rFonts w:ascii="QCF_BSML" w:hAnsi="QCF_BSML" w:cs="QCF_BSML"/>
          <w:sz w:val="32"/>
          <w:szCs w:val="32"/>
          <w:rtl/>
          <w:lang w:eastAsia="en-US"/>
        </w:rPr>
        <w:t>ﭼ</w:t>
      </w:r>
    </w:p>
    <w:p w:rsidR="005C21CD" w:rsidRPr="005C21CD" w:rsidRDefault="005C21CD" w:rsidP="00B12BFE">
      <w:pPr>
        <w:ind w:firstLine="0"/>
        <w:rPr>
          <w:rtl/>
        </w:rPr>
      </w:pPr>
      <w:r w:rsidRPr="005C21CD">
        <w:rPr>
          <w:rtl/>
        </w:rPr>
        <w:t xml:space="preserve">قوله تعالى: </w:t>
      </w:r>
      <w:r w:rsidRPr="005C21CD">
        <w:rPr>
          <w:rFonts w:ascii="QCF_BSML" w:hAnsi="QCF_BSML" w:cs="QCF_BSML"/>
          <w:color w:val="auto"/>
          <w:sz w:val="32"/>
          <w:szCs w:val="32"/>
          <w:rtl/>
          <w:lang w:eastAsia="en-US"/>
        </w:rPr>
        <w:t>ﭽ</w:t>
      </w:r>
      <w:r w:rsidRPr="005C21CD">
        <w:rPr>
          <w:rFonts w:ascii="QCF_P294" w:hAnsi="QCF_P294" w:cs="QCF_P294"/>
          <w:sz w:val="32"/>
          <w:szCs w:val="32"/>
          <w:rtl/>
          <w:lang w:eastAsia="en-US"/>
        </w:rPr>
        <w:t xml:space="preserve">ﭰ   ﭱ  ﭲ  ﭳ  ﭴ  ﭵ  ﭶ  </w:t>
      </w:r>
      <w:r w:rsidRPr="005C21CD">
        <w:rPr>
          <w:rFonts w:ascii="QCF_BSML" w:hAnsi="QCF_BSML" w:cs="QCF_BSML"/>
          <w:color w:val="auto"/>
          <w:sz w:val="32"/>
          <w:szCs w:val="32"/>
          <w:rtl/>
          <w:lang w:eastAsia="en-US"/>
        </w:rPr>
        <w:t>ﭼ</w:t>
      </w:r>
      <w:r w:rsidRPr="005C21CD">
        <w:rPr>
          <w:rtl/>
        </w:rPr>
        <w:t xml:space="preserve"> فيه أربعة أقوال: أحدها: أنهم الرجال، رواه سعيد بن جبير عن ابن عباس</w:t>
      </w:r>
      <w:r w:rsidRPr="005C21CD">
        <w:rPr>
          <w:vertAlign w:val="superscript"/>
          <w:rtl/>
        </w:rPr>
        <w:t>(</w:t>
      </w:r>
      <w:r w:rsidRPr="005C21CD">
        <w:rPr>
          <w:vertAlign w:val="superscript"/>
          <w:rtl/>
        </w:rPr>
        <w:footnoteReference w:id="890"/>
      </w:r>
      <w:r w:rsidRPr="005C21CD">
        <w:rPr>
          <w:vertAlign w:val="superscript"/>
          <w:rtl/>
        </w:rPr>
        <w:t>)</w:t>
      </w:r>
      <w:r w:rsidRPr="005C21CD">
        <w:rPr>
          <w:rtl/>
        </w:rPr>
        <w:t>. والثاني: العلماء، رواه مجاهد عن ابن عباس</w:t>
      </w:r>
      <w:r w:rsidRPr="005C21CD">
        <w:rPr>
          <w:vertAlign w:val="superscript"/>
          <w:rtl/>
        </w:rPr>
        <w:t>(</w:t>
      </w:r>
      <w:r w:rsidRPr="005C21CD">
        <w:rPr>
          <w:vertAlign w:val="superscript"/>
          <w:rtl/>
        </w:rPr>
        <w:footnoteReference w:id="891"/>
      </w:r>
      <w:r w:rsidRPr="005C21CD">
        <w:rPr>
          <w:vertAlign w:val="superscript"/>
          <w:rtl/>
        </w:rPr>
        <w:t>)</w:t>
      </w:r>
      <w:r w:rsidRPr="005C21CD">
        <w:rPr>
          <w:rtl/>
        </w:rPr>
        <w:t xml:space="preserve">. فعلى هذين </w:t>
      </w:r>
      <w:r w:rsidR="009B639B" w:rsidRPr="001277AD">
        <w:rPr>
          <w:rFonts w:hint="cs"/>
          <w:color w:val="0D0D0D" w:themeColor="text1" w:themeTint="F2"/>
          <w:sz w:val="32"/>
          <w:szCs w:val="32"/>
          <w:rtl/>
        </w:rPr>
        <w:t>[</w:t>
      </w:r>
      <w:r w:rsidR="009B639B">
        <w:rPr>
          <w:rFonts w:hint="cs"/>
          <w:color w:val="0D0D0D" w:themeColor="text1" w:themeTint="F2"/>
          <w:sz w:val="32"/>
          <w:szCs w:val="32"/>
          <w:rtl/>
        </w:rPr>
        <w:t>100</w:t>
      </w:r>
      <w:r w:rsidR="009B639B" w:rsidRPr="001277AD">
        <w:rPr>
          <w:rFonts w:hint="cs"/>
          <w:color w:val="0D0D0D" w:themeColor="text1" w:themeTint="F2"/>
          <w:sz w:val="32"/>
          <w:szCs w:val="32"/>
          <w:rtl/>
        </w:rPr>
        <w:t>]</w:t>
      </w:r>
      <w:r w:rsidR="009B639B" w:rsidRPr="00911ED4">
        <w:rPr>
          <w:rFonts w:ascii="Traditional Arabic" w:hAnsi="Traditional Arabic"/>
          <w:rtl/>
        </w:rPr>
        <w:t xml:space="preserve"> </w:t>
      </w:r>
      <w:r w:rsidRPr="005C21CD">
        <w:rPr>
          <w:rtl/>
        </w:rPr>
        <w:t>القولين تكون «ما» في موضع «مَنْ» لأنها في موضع إِبهام، قاله ابن الانباري</w:t>
      </w:r>
      <w:r w:rsidRPr="005C21CD">
        <w:rPr>
          <w:vertAlign w:val="superscript"/>
          <w:rtl/>
        </w:rPr>
        <w:t>(</w:t>
      </w:r>
      <w:r w:rsidRPr="005C21CD">
        <w:rPr>
          <w:vertAlign w:val="superscript"/>
          <w:rtl/>
        </w:rPr>
        <w:footnoteReference w:id="892"/>
      </w:r>
      <w:r w:rsidRPr="005C21CD">
        <w:rPr>
          <w:vertAlign w:val="superscript"/>
          <w:rtl/>
        </w:rPr>
        <w:t>)</w:t>
      </w:r>
      <w:r w:rsidRPr="005C21CD">
        <w:rPr>
          <w:rtl/>
        </w:rPr>
        <w:t>. والثالث: أنَّه ما عليها من شيء، قاله مجاهد</w:t>
      </w:r>
      <w:r w:rsidRPr="005C21CD">
        <w:rPr>
          <w:vertAlign w:val="superscript"/>
          <w:rtl/>
        </w:rPr>
        <w:t>(</w:t>
      </w:r>
      <w:r w:rsidRPr="005C21CD">
        <w:rPr>
          <w:vertAlign w:val="superscript"/>
          <w:rtl/>
        </w:rPr>
        <w:footnoteReference w:id="893"/>
      </w:r>
      <w:r w:rsidRPr="005C21CD">
        <w:rPr>
          <w:vertAlign w:val="superscript"/>
          <w:rtl/>
        </w:rPr>
        <w:t>)</w:t>
      </w:r>
      <w:r w:rsidRPr="005C21CD">
        <w:rPr>
          <w:rtl/>
        </w:rPr>
        <w:t>. والرابع: النبات والشجر، قاله مقاتل</w:t>
      </w:r>
      <w:r w:rsidRPr="005C21CD">
        <w:rPr>
          <w:vertAlign w:val="superscript"/>
          <w:rtl/>
        </w:rPr>
        <w:t>(</w:t>
      </w:r>
      <w:r w:rsidRPr="005C21CD">
        <w:rPr>
          <w:vertAlign w:val="superscript"/>
          <w:rtl/>
        </w:rPr>
        <w:footnoteReference w:id="894"/>
      </w:r>
      <w:r w:rsidRPr="005C21CD">
        <w:rPr>
          <w:vertAlign w:val="superscript"/>
          <w:rtl/>
        </w:rPr>
        <w:t>)</w:t>
      </w:r>
      <w:r w:rsidRPr="005C21CD">
        <w:rPr>
          <w:rtl/>
        </w:rPr>
        <w:t>. وقول مجاهد أعمُّ، يدخل فيه النبات، والماء، والمعادن، وغير ذلك.</w:t>
      </w:r>
      <w:r w:rsidRPr="005C21CD">
        <w:rPr>
          <w:rFonts w:hint="cs"/>
          <w:rtl/>
        </w:rPr>
        <w:t xml:space="preserve"> </w:t>
      </w:r>
      <w:r w:rsidRPr="005C21CD">
        <w:rPr>
          <w:rtl/>
        </w:rPr>
        <w:t>فإن قيل: قد نرى بعض ما على الأرض سَمِجاً</w:t>
      </w:r>
      <w:r w:rsidRPr="005C21CD">
        <w:rPr>
          <w:vertAlign w:val="superscript"/>
          <w:rtl/>
        </w:rPr>
        <w:t>(</w:t>
      </w:r>
      <w:r w:rsidRPr="005C21CD">
        <w:rPr>
          <w:vertAlign w:val="superscript"/>
          <w:rtl/>
        </w:rPr>
        <w:footnoteReference w:id="895"/>
      </w:r>
      <w:r w:rsidRPr="005C21CD">
        <w:rPr>
          <w:vertAlign w:val="superscript"/>
          <w:rtl/>
        </w:rPr>
        <w:t>)</w:t>
      </w:r>
      <w:r w:rsidRPr="005C21CD">
        <w:rPr>
          <w:rtl/>
        </w:rPr>
        <w:t xml:space="preserve">وليس بزينة. فالجواب: أنا إِن قلنا: إِن المراد </w:t>
      </w:r>
      <w:r w:rsidR="00BA6C1B">
        <w:rPr>
          <w:rFonts w:hint="cs"/>
          <w:rtl/>
        </w:rPr>
        <w:t>[</w:t>
      </w:r>
      <w:r w:rsidRPr="005C21CD">
        <w:rPr>
          <w:rtl/>
        </w:rPr>
        <w:t>به</w:t>
      </w:r>
      <w:r w:rsidR="00BA6C1B">
        <w:rPr>
          <w:rFonts w:hint="cs"/>
          <w:rtl/>
        </w:rPr>
        <w:t>]</w:t>
      </w:r>
      <w:r w:rsidRPr="005C21CD">
        <w:rPr>
          <w:vertAlign w:val="superscript"/>
          <w:rtl/>
        </w:rPr>
        <w:t>(</w:t>
      </w:r>
      <w:r w:rsidRPr="005C21CD">
        <w:rPr>
          <w:vertAlign w:val="superscript"/>
          <w:rtl/>
        </w:rPr>
        <w:footnoteReference w:id="896"/>
      </w:r>
      <w:r w:rsidRPr="005C21CD">
        <w:rPr>
          <w:vertAlign w:val="superscript"/>
          <w:rtl/>
        </w:rPr>
        <w:t>)</w:t>
      </w:r>
      <w:r w:rsidRPr="005C21CD">
        <w:rPr>
          <w:rtl/>
        </w:rPr>
        <w:t xml:space="preserve">شيء مخصوص، فالمعنى: إِنا جعلنا بعض ما على الأرض زينةً لها، فخرج مخرج العموم، ومعناه الخصوص. </w:t>
      </w:r>
      <w:r w:rsidRPr="005C21CD">
        <w:rPr>
          <w:rFonts w:hint="cs"/>
          <w:rtl/>
        </w:rPr>
        <w:t>و</w:t>
      </w:r>
      <w:r w:rsidRPr="005C21CD">
        <w:rPr>
          <w:rtl/>
        </w:rPr>
        <w:t>إن قلنا</w:t>
      </w:r>
      <w:r w:rsidRPr="005C21CD">
        <w:rPr>
          <w:vertAlign w:val="superscript"/>
          <w:rtl/>
        </w:rPr>
        <w:t>(</w:t>
      </w:r>
      <w:r w:rsidRPr="005C21CD">
        <w:rPr>
          <w:vertAlign w:val="superscript"/>
          <w:rtl/>
        </w:rPr>
        <w:footnoteReference w:id="897"/>
      </w:r>
      <w:r w:rsidRPr="005C21CD">
        <w:rPr>
          <w:vertAlign w:val="superscript"/>
          <w:rtl/>
        </w:rPr>
        <w:t>)</w:t>
      </w:r>
      <w:r w:rsidRPr="005C21CD">
        <w:rPr>
          <w:rtl/>
        </w:rPr>
        <w:t>: هم الرجال أو العلماء، فلعبادتهم أو لدلالتهم على خالقهم</w:t>
      </w:r>
      <w:r w:rsidRPr="005C21CD">
        <w:rPr>
          <w:vertAlign w:val="superscript"/>
          <w:rtl/>
        </w:rPr>
        <w:t>(</w:t>
      </w:r>
      <w:r w:rsidRPr="005C21CD">
        <w:rPr>
          <w:vertAlign w:val="superscript"/>
          <w:rtl/>
        </w:rPr>
        <w:footnoteReference w:id="898"/>
      </w:r>
      <w:r w:rsidRPr="005C21CD">
        <w:rPr>
          <w:vertAlign w:val="superscript"/>
          <w:rtl/>
        </w:rPr>
        <w:t>)</w:t>
      </w:r>
      <w:r w:rsidRPr="005C21CD">
        <w:rPr>
          <w:rtl/>
        </w:rPr>
        <w:t>. وإِن قلنا: النبات والشجر، فلأنه زينة لها تجري</w:t>
      </w:r>
      <w:r w:rsidRPr="005C21CD">
        <w:rPr>
          <w:vertAlign w:val="superscript"/>
          <w:rtl/>
        </w:rPr>
        <w:t>(</w:t>
      </w:r>
      <w:r w:rsidRPr="005C21CD">
        <w:rPr>
          <w:vertAlign w:val="superscript"/>
          <w:rtl/>
        </w:rPr>
        <w:footnoteReference w:id="899"/>
      </w:r>
      <w:r w:rsidRPr="005C21CD">
        <w:rPr>
          <w:vertAlign w:val="superscript"/>
          <w:rtl/>
        </w:rPr>
        <w:t>)</w:t>
      </w:r>
      <w:r w:rsidRPr="005C21CD">
        <w:rPr>
          <w:rtl/>
        </w:rPr>
        <w:t xml:space="preserve"> مجرى الكسوة والحلية</w:t>
      </w:r>
      <w:r w:rsidRPr="005C21CD">
        <w:rPr>
          <w:vertAlign w:val="superscript"/>
          <w:rtl/>
        </w:rPr>
        <w:t>(</w:t>
      </w:r>
      <w:r w:rsidRPr="005C21CD">
        <w:rPr>
          <w:vertAlign w:val="superscript"/>
          <w:rtl/>
        </w:rPr>
        <w:footnoteReference w:id="900"/>
      </w:r>
      <w:r w:rsidRPr="005C21CD">
        <w:rPr>
          <w:vertAlign w:val="superscript"/>
          <w:rtl/>
        </w:rPr>
        <w:t>)</w:t>
      </w:r>
      <w:r w:rsidRPr="005C21CD">
        <w:rPr>
          <w:rtl/>
        </w:rPr>
        <w:t xml:space="preserve">. وإِن قلنا: إِنه عامّ في كل ما عليها، فلكونه دالاًّ </w:t>
      </w:r>
      <w:r w:rsidRPr="005C21CD">
        <w:rPr>
          <w:rtl/>
        </w:rPr>
        <w:lastRenderedPageBreak/>
        <w:t>على خالقه، فكأنَّه زينة الأرض من هذه الجهة</w:t>
      </w:r>
      <w:r w:rsidRPr="005C21CD">
        <w:rPr>
          <w:vertAlign w:val="superscript"/>
          <w:rtl/>
        </w:rPr>
        <w:t>(</w:t>
      </w:r>
      <w:r w:rsidRPr="005C21CD">
        <w:rPr>
          <w:vertAlign w:val="superscript"/>
          <w:rtl/>
        </w:rPr>
        <w:footnoteReference w:id="901"/>
      </w:r>
      <w:r w:rsidRPr="005C21CD">
        <w:rPr>
          <w:vertAlign w:val="superscript"/>
          <w:rtl/>
        </w:rPr>
        <w:t>)</w:t>
      </w:r>
      <w:r w:rsidRPr="005C21CD">
        <w:rPr>
          <w:rtl/>
        </w:rPr>
        <w:t xml:space="preserve">.قوله تعالى: </w:t>
      </w:r>
      <w:r w:rsidRPr="005C21CD">
        <w:rPr>
          <w:rFonts w:ascii="QCF_BSML" w:hAnsi="QCF_BSML" w:cs="QCF_BSML"/>
          <w:color w:val="auto"/>
          <w:sz w:val="32"/>
          <w:szCs w:val="32"/>
          <w:rtl/>
          <w:lang w:eastAsia="en-US"/>
        </w:rPr>
        <w:t>ﭽ</w:t>
      </w:r>
      <w:r w:rsidRPr="005C21CD">
        <w:rPr>
          <w:rFonts w:ascii="QCF_P294" w:hAnsi="QCF_P294" w:cs="QCF_P294"/>
          <w:sz w:val="32"/>
          <w:szCs w:val="32"/>
          <w:rtl/>
          <w:lang w:eastAsia="en-US"/>
        </w:rPr>
        <w:t xml:space="preserve"> ﭷ </w:t>
      </w:r>
      <w:r w:rsidRPr="005C21CD">
        <w:rPr>
          <w:rFonts w:ascii="QCF_BSML" w:hAnsi="QCF_BSML" w:cs="QCF_BSML"/>
          <w:color w:val="auto"/>
          <w:sz w:val="32"/>
          <w:szCs w:val="32"/>
          <w:rtl/>
          <w:lang w:eastAsia="en-US"/>
        </w:rPr>
        <w:t>ﭼ</w:t>
      </w:r>
      <w:r w:rsidRPr="005C21CD">
        <w:rPr>
          <w:rtl/>
        </w:rPr>
        <w:t xml:space="preserve"> أي: لنختبر الخلق، والمعنى: لنعاملهم معاملة المبتلى</w:t>
      </w:r>
      <w:r w:rsidRPr="005C21CD">
        <w:rPr>
          <w:vertAlign w:val="superscript"/>
          <w:rtl/>
        </w:rPr>
        <w:t>(</w:t>
      </w:r>
      <w:r w:rsidRPr="005C21CD">
        <w:rPr>
          <w:vertAlign w:val="superscript"/>
          <w:rtl/>
        </w:rPr>
        <w:footnoteReference w:id="902"/>
      </w:r>
      <w:r w:rsidRPr="005C21CD">
        <w:rPr>
          <w:vertAlign w:val="superscript"/>
          <w:rtl/>
        </w:rPr>
        <w:t>)</w:t>
      </w:r>
      <w:r w:rsidRPr="005C21CD">
        <w:rPr>
          <w:rtl/>
        </w:rPr>
        <w:t xml:space="preserve">. قال ابن الأنباري: من قال إِن </w:t>
      </w:r>
      <w:r w:rsidRPr="005C21CD">
        <w:rPr>
          <w:rFonts w:ascii="QCF_BSML" w:hAnsi="QCF_BSML" w:cs="QCF_BSML"/>
          <w:color w:val="auto"/>
          <w:sz w:val="32"/>
          <w:szCs w:val="32"/>
          <w:rtl/>
          <w:lang w:eastAsia="en-US"/>
        </w:rPr>
        <w:t>ﭽ</w:t>
      </w:r>
      <w:r w:rsidRPr="005C21CD">
        <w:rPr>
          <w:rtl/>
        </w:rPr>
        <w:t xml:space="preserve"> </w:t>
      </w:r>
      <w:r w:rsidRPr="005C21CD">
        <w:rPr>
          <w:rFonts w:ascii="QCF_P294" w:hAnsi="QCF_P294" w:cs="QCF_P294"/>
          <w:sz w:val="32"/>
          <w:szCs w:val="32"/>
          <w:rtl/>
          <w:lang w:eastAsia="en-US"/>
        </w:rPr>
        <w:t xml:space="preserve">ﭲ  ﭳ  ﭴ  </w:t>
      </w:r>
      <w:r w:rsidRPr="005C21CD">
        <w:rPr>
          <w:rFonts w:ascii="QCF_BSML" w:hAnsi="QCF_BSML" w:cs="QCF_BSML"/>
          <w:color w:val="auto"/>
          <w:sz w:val="32"/>
          <w:szCs w:val="32"/>
          <w:rtl/>
          <w:lang w:eastAsia="en-US"/>
        </w:rPr>
        <w:t>ﭼ</w:t>
      </w:r>
      <w:r w:rsidRPr="005C21CD">
        <w:rPr>
          <w:rtl/>
        </w:rPr>
        <w:t xml:space="preserve"> يعني به النبات، قال: الهاء والميم ترجع إِلى سكان الأرض المشاهِدين للزينة</w:t>
      </w:r>
      <w:r w:rsidRPr="005C21CD">
        <w:rPr>
          <w:vertAlign w:val="superscript"/>
          <w:rtl/>
        </w:rPr>
        <w:t>(</w:t>
      </w:r>
      <w:r w:rsidRPr="005C21CD">
        <w:rPr>
          <w:vertAlign w:val="superscript"/>
          <w:rtl/>
        </w:rPr>
        <w:footnoteReference w:id="903"/>
      </w:r>
      <w:r w:rsidRPr="005C21CD">
        <w:rPr>
          <w:vertAlign w:val="superscript"/>
          <w:rtl/>
        </w:rPr>
        <w:t>)</w:t>
      </w:r>
      <w:r w:rsidRPr="005C21CD">
        <w:rPr>
          <w:rtl/>
        </w:rPr>
        <w:t xml:space="preserve">، ومن قال: </w:t>
      </w:r>
      <w:r w:rsidRPr="005C21CD">
        <w:rPr>
          <w:rFonts w:ascii="QCF_BSML" w:hAnsi="QCF_BSML" w:cs="QCF_BSML"/>
          <w:color w:val="auto"/>
          <w:sz w:val="32"/>
          <w:szCs w:val="32"/>
          <w:rtl/>
          <w:lang w:eastAsia="en-US"/>
        </w:rPr>
        <w:t>ﭽ</w:t>
      </w:r>
      <w:r w:rsidRPr="005C21CD">
        <w:rPr>
          <w:rtl/>
        </w:rPr>
        <w:t xml:space="preserve"> </w:t>
      </w:r>
      <w:r w:rsidRPr="005C21CD">
        <w:rPr>
          <w:rFonts w:ascii="QCF_P294" w:hAnsi="QCF_P294" w:cs="QCF_P294"/>
          <w:sz w:val="32"/>
          <w:szCs w:val="32"/>
          <w:rtl/>
          <w:lang w:eastAsia="en-US"/>
        </w:rPr>
        <w:t xml:space="preserve">ﭲ  ﭳ  ﭴ  </w:t>
      </w:r>
      <w:r w:rsidRPr="005C21CD">
        <w:rPr>
          <w:rFonts w:ascii="QCF_BSML" w:hAnsi="QCF_BSML" w:cs="QCF_BSML"/>
          <w:color w:val="auto"/>
          <w:sz w:val="32"/>
          <w:szCs w:val="32"/>
          <w:rtl/>
          <w:lang w:eastAsia="en-US"/>
        </w:rPr>
        <w:t>ﭼ</w:t>
      </w:r>
      <w:r w:rsidRPr="005C21CD">
        <w:rPr>
          <w:rFonts w:hint="cs"/>
          <w:rtl/>
        </w:rPr>
        <w:t xml:space="preserve"> </w:t>
      </w:r>
      <w:r w:rsidRPr="005C21CD">
        <w:rPr>
          <w:rtl/>
        </w:rPr>
        <w:t>الرجال، ردَّ الهاء والميم على</w:t>
      </w:r>
      <w:r w:rsidRPr="005C21CD">
        <w:rPr>
          <w:rFonts w:hint="cs"/>
          <w:rtl/>
        </w:rPr>
        <w:t xml:space="preserve"> </w:t>
      </w:r>
      <w:r w:rsidRPr="005C21CD">
        <w:rPr>
          <w:rFonts w:ascii="QCF_BSML" w:hAnsi="QCF_BSML" w:cs="QCF_BSML"/>
          <w:color w:val="auto"/>
          <w:sz w:val="32"/>
          <w:szCs w:val="32"/>
          <w:rtl/>
          <w:lang w:eastAsia="en-US"/>
        </w:rPr>
        <w:t>ﭽ</w:t>
      </w:r>
      <w:r w:rsidRPr="005C21CD">
        <w:rPr>
          <w:rFonts w:ascii="QCF_P294" w:hAnsi="QCF_P294" w:cs="QCF_P294"/>
          <w:sz w:val="32"/>
          <w:szCs w:val="32"/>
          <w:rtl/>
          <w:lang w:eastAsia="en-US"/>
        </w:rPr>
        <w:t>ﭲ  ﭳ</w:t>
      </w:r>
      <w:r w:rsidRPr="005C21CD">
        <w:rPr>
          <w:rFonts w:ascii="QCF_P294" w:hAnsi="QCF_P294" w:cs="QCF_P294" w:hint="cs"/>
          <w:sz w:val="32"/>
          <w:szCs w:val="32"/>
          <w:rtl/>
          <w:lang w:eastAsia="en-US"/>
        </w:rPr>
        <w:t xml:space="preserve"> </w:t>
      </w:r>
      <w:r w:rsidRPr="005C21CD">
        <w:rPr>
          <w:rFonts w:ascii="QCF_BSML" w:hAnsi="QCF_BSML" w:cs="QCF_BSML"/>
          <w:color w:val="auto"/>
          <w:sz w:val="32"/>
          <w:szCs w:val="32"/>
          <w:rtl/>
          <w:lang w:eastAsia="en-US"/>
        </w:rPr>
        <w:t>ﭼ</w:t>
      </w:r>
      <w:r w:rsidRPr="005C21CD">
        <w:rPr>
          <w:rtl/>
        </w:rPr>
        <w:t xml:space="preserve"> لأنها بتأويل الجميع</w:t>
      </w:r>
      <w:r w:rsidRPr="005C21CD">
        <w:rPr>
          <w:vertAlign w:val="superscript"/>
          <w:rtl/>
        </w:rPr>
        <w:t>(</w:t>
      </w:r>
      <w:r w:rsidRPr="005C21CD">
        <w:rPr>
          <w:vertAlign w:val="superscript"/>
          <w:rtl/>
        </w:rPr>
        <w:footnoteReference w:id="904"/>
      </w:r>
      <w:r w:rsidRPr="005C21CD">
        <w:rPr>
          <w:vertAlign w:val="superscript"/>
          <w:rtl/>
        </w:rPr>
        <w:t>)</w:t>
      </w:r>
      <w:r w:rsidRPr="005C21CD">
        <w:rPr>
          <w:rtl/>
        </w:rPr>
        <w:t>، ومعنى الآية: لنبلوهم فنرى أيُّهم أحسن عملاً، هذا، أم هذا</w:t>
      </w:r>
      <w:r w:rsidRPr="005C21CD">
        <w:rPr>
          <w:vertAlign w:val="superscript"/>
          <w:rtl/>
        </w:rPr>
        <w:t>(</w:t>
      </w:r>
      <w:r w:rsidRPr="005C21CD">
        <w:rPr>
          <w:vertAlign w:val="superscript"/>
          <w:rtl/>
        </w:rPr>
        <w:footnoteReference w:id="905"/>
      </w:r>
      <w:r w:rsidRPr="005C21CD">
        <w:rPr>
          <w:vertAlign w:val="superscript"/>
          <w:rtl/>
        </w:rPr>
        <w:t>)</w:t>
      </w:r>
      <w:r w:rsidRPr="005C21CD">
        <w:rPr>
          <w:rtl/>
        </w:rPr>
        <w:t>. قال الحسن: أيُّهم أزهد في الدنيا</w:t>
      </w:r>
      <w:r w:rsidRPr="005C21CD">
        <w:rPr>
          <w:vertAlign w:val="superscript"/>
          <w:rtl/>
        </w:rPr>
        <w:t>(</w:t>
      </w:r>
      <w:r w:rsidRPr="005C21CD">
        <w:rPr>
          <w:vertAlign w:val="superscript"/>
          <w:rtl/>
        </w:rPr>
        <w:footnoteReference w:id="906"/>
      </w:r>
      <w:r w:rsidRPr="005C21CD">
        <w:rPr>
          <w:vertAlign w:val="superscript"/>
          <w:rtl/>
        </w:rPr>
        <w:t>)</w:t>
      </w:r>
      <w:r w:rsidRPr="005C21CD">
        <w:rPr>
          <w:rtl/>
        </w:rPr>
        <w:t>. وقد ذكرنا في هذه الآية أربعة أقوال في سورة هود</w:t>
      </w:r>
      <w:r w:rsidRPr="005C21CD">
        <w:rPr>
          <w:vertAlign w:val="superscript"/>
          <w:rtl/>
        </w:rPr>
        <w:t>(</w:t>
      </w:r>
      <w:r w:rsidRPr="005C21CD">
        <w:rPr>
          <w:vertAlign w:val="superscript"/>
          <w:rtl/>
        </w:rPr>
        <w:footnoteReference w:id="907"/>
      </w:r>
      <w:r w:rsidRPr="005C21CD">
        <w:rPr>
          <w:vertAlign w:val="superscript"/>
          <w:rtl/>
        </w:rPr>
        <w:t>)</w:t>
      </w:r>
      <w:r w:rsidRPr="005C21CD">
        <w:rPr>
          <w:rtl/>
        </w:rPr>
        <w:t xml:space="preserve">. ثم أعلم الخلقَ أنه يفني جميع ذلك، فقال تعالى: </w:t>
      </w:r>
      <w:r w:rsidRPr="005C21CD">
        <w:rPr>
          <w:rFonts w:ascii="QCF_BSML" w:hAnsi="QCF_BSML" w:cs="QCF_BSML"/>
          <w:color w:val="auto"/>
          <w:sz w:val="32"/>
          <w:szCs w:val="32"/>
          <w:rtl/>
          <w:lang w:eastAsia="en-US"/>
        </w:rPr>
        <w:t>ﭽ</w:t>
      </w:r>
      <w:r w:rsidRPr="005C21CD">
        <w:rPr>
          <w:rFonts w:ascii="QCF_P294" w:hAnsi="QCF_P294" w:cs="QCF_P294"/>
          <w:sz w:val="32"/>
          <w:szCs w:val="32"/>
          <w:rtl/>
          <w:lang w:eastAsia="en-US"/>
        </w:rPr>
        <w:t xml:space="preserve">ﭼ  ﭽ  ﭾ  ﭿ  ﮀ  </w:t>
      </w:r>
      <w:r w:rsidRPr="005C21CD">
        <w:rPr>
          <w:rFonts w:ascii="QCF_BSML" w:hAnsi="QCF_BSML" w:cs="QCF_BSML"/>
          <w:color w:val="auto"/>
          <w:sz w:val="32"/>
          <w:szCs w:val="32"/>
          <w:rtl/>
          <w:lang w:eastAsia="en-US"/>
        </w:rPr>
        <w:t>ﭼ</w:t>
      </w:r>
      <w:r w:rsidRPr="005C21CD">
        <w:rPr>
          <w:rtl/>
        </w:rPr>
        <w:t xml:space="preserve"> قال الزجاج: الصعيد: الطريق الذي لا نبات فيه</w:t>
      </w:r>
      <w:r w:rsidRPr="005C21CD">
        <w:rPr>
          <w:vertAlign w:val="superscript"/>
          <w:rtl/>
        </w:rPr>
        <w:t>(</w:t>
      </w:r>
      <w:r w:rsidRPr="005C21CD">
        <w:rPr>
          <w:vertAlign w:val="superscript"/>
          <w:rtl/>
        </w:rPr>
        <w:footnoteReference w:id="908"/>
      </w:r>
      <w:r w:rsidRPr="005C21CD">
        <w:rPr>
          <w:vertAlign w:val="superscript"/>
          <w:rtl/>
        </w:rPr>
        <w:t>)</w:t>
      </w:r>
      <w:r w:rsidRPr="005C21CD">
        <w:rPr>
          <w:rtl/>
        </w:rPr>
        <w:t>. وقال ابن الأنباري: قال اللغويون: الصعيد: التراب، ووجه الأرض</w:t>
      </w:r>
      <w:r w:rsidRPr="005C21CD">
        <w:rPr>
          <w:vertAlign w:val="superscript"/>
          <w:rtl/>
        </w:rPr>
        <w:t>(</w:t>
      </w:r>
      <w:r w:rsidRPr="005C21CD">
        <w:rPr>
          <w:vertAlign w:val="superscript"/>
          <w:rtl/>
        </w:rPr>
        <w:footnoteReference w:id="909"/>
      </w:r>
      <w:r w:rsidRPr="005C21CD">
        <w:rPr>
          <w:vertAlign w:val="superscript"/>
          <w:rtl/>
        </w:rPr>
        <w:t>)</w:t>
      </w:r>
      <w:r w:rsidRPr="005C21CD">
        <w:rPr>
          <w:rtl/>
        </w:rPr>
        <w:t>. فأما الجُرُز، فقال الفرّاء: أهل الحجاز</w:t>
      </w:r>
      <w:r w:rsidRPr="005C21CD">
        <w:rPr>
          <w:rFonts w:hint="cs"/>
          <w:rtl/>
        </w:rPr>
        <w:t xml:space="preserve"> </w:t>
      </w:r>
      <w:r w:rsidRPr="00DD1859">
        <w:rPr>
          <w:rtl/>
        </w:rPr>
        <w:t xml:space="preserve">يقولون: </w:t>
      </w:r>
      <w:r w:rsidR="00DD1859" w:rsidRPr="00DD1859">
        <w:rPr>
          <w:rtl/>
        </w:rPr>
        <w:t xml:space="preserve">أرضٌ «جُرُزٌ </w:t>
      </w:r>
      <w:r w:rsidRPr="00DD1859">
        <w:rPr>
          <w:rtl/>
        </w:rPr>
        <w:t>»</w:t>
      </w:r>
      <w:r w:rsidRPr="005C21CD">
        <w:rPr>
          <w:rtl/>
        </w:rPr>
        <w:t>، وأسد</w:t>
      </w:r>
      <w:r w:rsidRPr="005C21CD">
        <w:rPr>
          <w:rFonts w:hint="cs"/>
          <w:rtl/>
        </w:rPr>
        <w:t xml:space="preserve"> </w:t>
      </w:r>
      <w:r w:rsidRPr="005C21CD">
        <w:rPr>
          <w:rtl/>
        </w:rPr>
        <w:t>تقول: «جَرَز</w:t>
      </w:r>
      <w:r w:rsidR="00DD1859">
        <w:rPr>
          <w:rFonts w:hint="cs"/>
          <w:rtl/>
        </w:rPr>
        <w:t>ٌ</w:t>
      </w:r>
      <w:r w:rsidRPr="005C21CD">
        <w:rPr>
          <w:rtl/>
        </w:rPr>
        <w:t>» وجُرُز</w:t>
      </w:r>
      <w:r w:rsidR="00DD1859">
        <w:rPr>
          <w:rFonts w:hint="cs"/>
          <w:rtl/>
        </w:rPr>
        <w:t>ٌ</w:t>
      </w:r>
      <w:r w:rsidRPr="005C21CD">
        <w:rPr>
          <w:rtl/>
        </w:rPr>
        <w:t>، وتميم</w:t>
      </w:r>
      <w:r w:rsidRPr="005C21CD">
        <w:rPr>
          <w:rFonts w:hint="cs"/>
          <w:rtl/>
        </w:rPr>
        <w:t xml:space="preserve"> </w:t>
      </w:r>
      <w:r w:rsidRPr="005C21CD">
        <w:rPr>
          <w:rtl/>
        </w:rPr>
        <w:t>تقول: أرض</w:t>
      </w:r>
      <w:r w:rsidR="00DD1859">
        <w:rPr>
          <w:rFonts w:hint="cs"/>
          <w:rtl/>
        </w:rPr>
        <w:t>ٌ</w:t>
      </w:r>
      <w:r w:rsidRPr="005C21CD">
        <w:rPr>
          <w:rtl/>
        </w:rPr>
        <w:t xml:space="preserve"> «جُرْز</w:t>
      </w:r>
      <w:r w:rsidR="00DD1859">
        <w:rPr>
          <w:rFonts w:hint="cs"/>
          <w:rtl/>
        </w:rPr>
        <w:t>ٌ</w:t>
      </w:r>
      <w:r w:rsidRPr="005C21CD">
        <w:rPr>
          <w:rtl/>
        </w:rPr>
        <w:t>» وجَرْز</w:t>
      </w:r>
      <w:r w:rsidR="00DD1859">
        <w:rPr>
          <w:rFonts w:hint="cs"/>
          <w:rtl/>
        </w:rPr>
        <w:t>ٌ</w:t>
      </w:r>
      <w:r w:rsidRPr="005C21CD">
        <w:rPr>
          <w:rtl/>
        </w:rPr>
        <w:t xml:space="preserve"> بالتخفيف</w:t>
      </w:r>
      <w:r w:rsidRPr="005C21CD">
        <w:rPr>
          <w:vertAlign w:val="superscript"/>
          <w:rtl/>
        </w:rPr>
        <w:t>(</w:t>
      </w:r>
      <w:r w:rsidRPr="005C21CD">
        <w:rPr>
          <w:vertAlign w:val="superscript"/>
          <w:rtl/>
        </w:rPr>
        <w:footnoteReference w:id="910"/>
      </w:r>
      <w:r w:rsidRPr="005C21CD">
        <w:rPr>
          <w:vertAlign w:val="superscript"/>
          <w:rtl/>
        </w:rPr>
        <w:t>)</w:t>
      </w:r>
      <w:r w:rsidR="00144946">
        <w:rPr>
          <w:rFonts w:hint="cs"/>
          <w:rtl/>
        </w:rPr>
        <w:t>.</w:t>
      </w:r>
      <w:r w:rsidRPr="005C21CD">
        <w:rPr>
          <w:rtl/>
        </w:rPr>
        <w:t xml:space="preserve"> وقال أبو عبيدة: الصعيد الجُرُز: الغليظ الذي لا يُنْبِتُ شيئاً. ويقال للسَّنَةِ المُجْدِبة: جُرُز، «وسِنُون أجراز» لجدوبتها، وقلَّة مطرها، وأنشد:</w:t>
      </w:r>
    </w:p>
    <w:p w:rsidR="005C21CD" w:rsidRPr="005C21CD" w:rsidRDefault="005C21CD" w:rsidP="005C21CD">
      <w:pPr>
        <w:ind w:firstLine="0"/>
        <w:rPr>
          <w:rtl/>
        </w:rPr>
      </w:pPr>
      <w:r w:rsidRPr="005C21CD">
        <w:rPr>
          <w:rtl/>
        </w:rPr>
        <w:t>قَدْ جَرّفَتْهُنَّ السِّنُون الأجْرَازْ</w:t>
      </w:r>
      <w:r w:rsidRPr="005C21CD">
        <w:rPr>
          <w:vertAlign w:val="superscript"/>
          <w:rtl/>
        </w:rPr>
        <w:t xml:space="preserve"> (</w:t>
      </w:r>
      <w:r w:rsidRPr="005C21CD">
        <w:rPr>
          <w:vertAlign w:val="superscript"/>
          <w:rtl/>
        </w:rPr>
        <w:footnoteReference w:id="911"/>
      </w:r>
      <w:r w:rsidRPr="005C21CD">
        <w:rPr>
          <w:vertAlign w:val="superscript"/>
          <w:rtl/>
        </w:rPr>
        <w:t>)</w:t>
      </w:r>
    </w:p>
    <w:p w:rsidR="00144946" w:rsidRDefault="00144946" w:rsidP="00791DC8">
      <w:pPr>
        <w:ind w:firstLine="0"/>
        <w:rPr>
          <w:rtl/>
        </w:rPr>
      </w:pPr>
    </w:p>
    <w:p w:rsidR="005118F9" w:rsidRDefault="005C21CD" w:rsidP="00AA150E">
      <w:pPr>
        <w:ind w:firstLine="0"/>
        <w:rPr>
          <w:rtl/>
        </w:rPr>
      </w:pPr>
      <w:r w:rsidRPr="005C21CD">
        <w:rPr>
          <w:rtl/>
        </w:rPr>
        <w:lastRenderedPageBreak/>
        <w:t>وقال الزجاج: الجرز: الأرض التي لا ينبت فيها شيء، كأنها تأكل النبت أكلاً</w:t>
      </w:r>
      <w:r w:rsidRPr="005C21CD">
        <w:rPr>
          <w:vertAlign w:val="superscript"/>
          <w:rtl/>
        </w:rPr>
        <w:t>(</w:t>
      </w:r>
      <w:r w:rsidRPr="005C21CD">
        <w:rPr>
          <w:vertAlign w:val="superscript"/>
          <w:rtl/>
        </w:rPr>
        <w:footnoteReference w:id="912"/>
      </w:r>
      <w:r w:rsidRPr="005C21CD">
        <w:rPr>
          <w:vertAlign w:val="superscript"/>
          <w:rtl/>
        </w:rPr>
        <w:t>)</w:t>
      </w:r>
      <w:r w:rsidRPr="005C21CD">
        <w:rPr>
          <w:rtl/>
        </w:rPr>
        <w:t xml:space="preserve">. </w:t>
      </w:r>
    </w:p>
    <w:p w:rsidR="005C21CD" w:rsidRDefault="005C21CD" w:rsidP="00AA150E">
      <w:pPr>
        <w:ind w:firstLine="0"/>
        <w:rPr>
          <w:rtl/>
        </w:rPr>
      </w:pPr>
      <w:r w:rsidRPr="005C21CD">
        <w:rPr>
          <w:rtl/>
        </w:rPr>
        <w:t xml:space="preserve">وقال ابن الأنباري: قال اللغويون: الجرز: </w:t>
      </w:r>
      <w:r w:rsidR="00791DC8">
        <w:rPr>
          <w:rFonts w:hint="cs"/>
          <w:rtl/>
        </w:rPr>
        <w:t>[</w:t>
      </w:r>
      <w:r w:rsidRPr="005C21CD">
        <w:rPr>
          <w:rtl/>
        </w:rPr>
        <w:t>الأرض</w:t>
      </w:r>
      <w:r w:rsidR="00791DC8">
        <w:rPr>
          <w:rFonts w:hint="cs"/>
          <w:rtl/>
        </w:rPr>
        <w:t>]</w:t>
      </w:r>
      <w:r w:rsidRPr="005C21CD">
        <w:rPr>
          <w:vertAlign w:val="superscript"/>
          <w:rtl/>
        </w:rPr>
        <w:t>(</w:t>
      </w:r>
      <w:r w:rsidRPr="005C21CD">
        <w:rPr>
          <w:vertAlign w:val="superscript"/>
          <w:rtl/>
        </w:rPr>
        <w:footnoteReference w:id="913"/>
      </w:r>
      <w:r w:rsidRPr="005C21CD">
        <w:rPr>
          <w:vertAlign w:val="superscript"/>
          <w:rtl/>
        </w:rPr>
        <w:t>)</w:t>
      </w:r>
      <w:r w:rsidRPr="005C21CD">
        <w:rPr>
          <w:rtl/>
        </w:rPr>
        <w:t>التي لا يبقى بها نبات، تحرق كل نبات يكون بها</w:t>
      </w:r>
      <w:r w:rsidR="00AA150E" w:rsidRPr="00AA150E">
        <w:rPr>
          <w:rStyle w:val="ae"/>
          <w:rtl/>
        </w:rPr>
        <w:t>(</w:t>
      </w:r>
      <w:r w:rsidR="00AA150E">
        <w:rPr>
          <w:rStyle w:val="ae"/>
          <w:rtl/>
        </w:rPr>
        <w:footnoteReference w:id="914"/>
      </w:r>
      <w:r w:rsidR="00AA150E" w:rsidRPr="00AA150E">
        <w:rPr>
          <w:rStyle w:val="ae"/>
          <w:rtl/>
        </w:rPr>
        <w:t>)</w:t>
      </w:r>
      <w:r w:rsidR="00DD1859">
        <w:rPr>
          <w:rtl/>
        </w:rPr>
        <w:t>.</w:t>
      </w:r>
      <w:r w:rsidR="00AA150E">
        <w:rPr>
          <w:rFonts w:hint="cs"/>
          <w:rtl/>
        </w:rPr>
        <w:t xml:space="preserve"> </w:t>
      </w:r>
      <w:r w:rsidRPr="005C21CD">
        <w:rPr>
          <w:rtl/>
        </w:rPr>
        <w:t>قال المفسرون: وهذا يكون يوم القيامة، يجعل الله الأرض مستويةً لا نبات فيها ولا ماء</w:t>
      </w:r>
      <w:r w:rsidRPr="005C21CD">
        <w:rPr>
          <w:vertAlign w:val="superscript"/>
          <w:rtl/>
        </w:rPr>
        <w:t>(</w:t>
      </w:r>
      <w:r w:rsidRPr="005C21CD">
        <w:rPr>
          <w:vertAlign w:val="superscript"/>
          <w:rtl/>
        </w:rPr>
        <w:footnoteReference w:id="915"/>
      </w:r>
      <w:r w:rsidRPr="005C21CD">
        <w:rPr>
          <w:vertAlign w:val="superscript"/>
          <w:rtl/>
        </w:rPr>
        <w:t>)</w:t>
      </w:r>
      <w:r w:rsidRPr="005C21CD">
        <w:rPr>
          <w:rtl/>
        </w:rPr>
        <w:t>.</w:t>
      </w:r>
    </w:p>
    <w:p w:rsidR="00144946" w:rsidRPr="005C21CD" w:rsidRDefault="00144946" w:rsidP="00791DC8">
      <w:pPr>
        <w:ind w:firstLine="0"/>
        <w:rPr>
          <w:rtl/>
        </w:rPr>
      </w:pPr>
    </w:p>
    <w:p w:rsidR="00144946" w:rsidRDefault="005C21CD" w:rsidP="005C21CD">
      <w:pPr>
        <w:ind w:firstLine="0"/>
        <w:rPr>
          <w:rFonts w:ascii="QCF_BSML" w:hAnsi="QCF_BSML" w:cs="QCF_BSML"/>
          <w:sz w:val="32"/>
          <w:szCs w:val="32"/>
          <w:rtl/>
          <w:lang w:eastAsia="en-US"/>
        </w:rPr>
      </w:pPr>
      <w:r w:rsidRPr="005C21CD">
        <w:rPr>
          <w:rFonts w:ascii="QCF_BSML" w:hAnsi="QCF_BSML" w:cs="QCF_BSML"/>
          <w:sz w:val="32"/>
          <w:szCs w:val="32"/>
          <w:rtl/>
          <w:lang w:eastAsia="en-US"/>
        </w:rPr>
        <w:t xml:space="preserve">ﭽ </w:t>
      </w:r>
      <w:r w:rsidRPr="005C21CD">
        <w:rPr>
          <w:rFonts w:ascii="QCF_P294" w:hAnsi="QCF_P294" w:cs="QCF_P294"/>
          <w:sz w:val="32"/>
          <w:szCs w:val="32"/>
          <w:rtl/>
          <w:lang w:eastAsia="en-US"/>
        </w:rPr>
        <w:t xml:space="preserve">ﮃ  ﮄ   ﮅ  ﮆ  ﮇ  ﮈ  ﮉ    ﮊ  ﮋ  ﮌ  ﮍ   ﮎ  ﮏ  ﮐ  ﮑ  ﮒ  ﮓ  ﮔ   ﮕ  ﮖ  ﮗ  ﮘ     ﮙ  ﮚ  ﮛ  ﮜ  ﮝ  ﮞ  ﮟ  ﮠ  ﮡ  ﮢ   ﮣ  ﮤ  ﮥ  ﮦ  ﮧ  ﮨ  ﮩ  ﮪ  ﮫ   ﮬ  ﮭ  ﮮ  ﮯ  ﮰ  </w:t>
      </w:r>
      <w:r w:rsidRPr="005C21CD">
        <w:rPr>
          <w:rFonts w:ascii="QCF_BSML" w:hAnsi="QCF_BSML" w:cs="QCF_BSML"/>
          <w:sz w:val="32"/>
          <w:szCs w:val="32"/>
          <w:rtl/>
          <w:lang w:eastAsia="en-US"/>
        </w:rPr>
        <w:t>ﭼ</w:t>
      </w:r>
    </w:p>
    <w:p w:rsidR="005C21CD" w:rsidRPr="005C21CD" w:rsidRDefault="005C21CD" w:rsidP="005C21CD">
      <w:pPr>
        <w:ind w:firstLine="0"/>
        <w:rPr>
          <w:rFonts w:ascii="Traditional Arabic" w:hAnsi="Traditional Arabic"/>
          <w:b/>
          <w:bCs/>
          <w:sz w:val="32"/>
          <w:szCs w:val="32"/>
          <w:rtl/>
        </w:rPr>
      </w:pPr>
      <w:r w:rsidRPr="005C21CD">
        <w:rPr>
          <w:rFonts w:ascii="Arial" w:hAnsi="Arial" w:cs="Arial"/>
          <w:sz w:val="32"/>
          <w:szCs w:val="32"/>
          <w:rtl/>
          <w:lang w:eastAsia="en-US"/>
        </w:rPr>
        <w:t xml:space="preserve"> </w:t>
      </w:r>
    </w:p>
    <w:p w:rsidR="00144946" w:rsidRDefault="005C21CD" w:rsidP="00144946">
      <w:pPr>
        <w:ind w:firstLine="0"/>
        <w:rPr>
          <w:rtl/>
        </w:rPr>
      </w:pPr>
      <w:r w:rsidRPr="005C21CD">
        <w:rPr>
          <w:rtl/>
        </w:rPr>
        <w:t xml:space="preserve">قوله تعالى: </w:t>
      </w:r>
      <w:r w:rsidRPr="005C21CD">
        <w:rPr>
          <w:rFonts w:ascii="QCF_BSML" w:hAnsi="QCF_BSML" w:cs="QCF_BSML"/>
          <w:sz w:val="32"/>
          <w:szCs w:val="32"/>
          <w:rtl/>
          <w:lang w:eastAsia="en-US"/>
        </w:rPr>
        <w:t xml:space="preserve">ﭽ </w:t>
      </w:r>
      <w:r w:rsidRPr="005C21CD">
        <w:rPr>
          <w:rFonts w:ascii="QCF_P294" w:hAnsi="QCF_P294" w:cs="QCF_P294"/>
          <w:sz w:val="32"/>
          <w:szCs w:val="32"/>
          <w:rtl/>
          <w:lang w:eastAsia="en-US"/>
        </w:rPr>
        <w:t xml:space="preserve">ﮃ  ﮄ   ﮅ  ﮆ  ﮇ  ﮈ  </w:t>
      </w:r>
      <w:r w:rsidRPr="005C21CD">
        <w:rPr>
          <w:rFonts w:ascii="QCF_BSML" w:hAnsi="QCF_BSML" w:cs="QCF_BSML"/>
          <w:color w:val="auto"/>
          <w:sz w:val="32"/>
          <w:szCs w:val="32"/>
          <w:rtl/>
          <w:lang w:eastAsia="en-US"/>
        </w:rPr>
        <w:t>ﭼ</w:t>
      </w:r>
      <w:r w:rsidRPr="005C21CD">
        <w:rPr>
          <w:rtl/>
        </w:rPr>
        <w:t xml:space="preserve"> نزلت على سبب قد ذكرناه عند قوله تعالى: </w:t>
      </w:r>
      <w:r w:rsidRPr="005C21CD">
        <w:rPr>
          <w:rFonts w:ascii="QCF_BSML" w:hAnsi="QCF_BSML" w:cs="QCF_BSML"/>
          <w:sz w:val="32"/>
          <w:szCs w:val="32"/>
          <w:rtl/>
          <w:lang w:eastAsia="en-US"/>
        </w:rPr>
        <w:t xml:space="preserve">ﭽ </w:t>
      </w:r>
      <w:r w:rsidRPr="005C21CD">
        <w:rPr>
          <w:rFonts w:ascii="QCF_P290" w:hAnsi="QCF_P290" w:cs="QCF_P290"/>
          <w:sz w:val="32"/>
          <w:szCs w:val="32"/>
          <w:rtl/>
          <w:lang w:eastAsia="en-US"/>
        </w:rPr>
        <w:t>ﯮ  ﯯ  ﯰ</w:t>
      </w:r>
      <w:r w:rsidRPr="005C21CD">
        <w:rPr>
          <w:rFonts w:ascii="Arial" w:hAnsi="Arial" w:cs="Arial"/>
          <w:sz w:val="32"/>
          <w:szCs w:val="32"/>
          <w:rtl/>
          <w:lang w:eastAsia="en-US"/>
        </w:rPr>
        <w:t xml:space="preserve"> </w:t>
      </w:r>
      <w:r w:rsidRPr="005C21CD">
        <w:rPr>
          <w:rFonts w:ascii="QCF_BSML" w:hAnsi="QCF_BSML" w:cs="QCF_BSML"/>
          <w:sz w:val="32"/>
          <w:szCs w:val="32"/>
          <w:rtl/>
          <w:lang w:eastAsia="en-US"/>
        </w:rPr>
        <w:t>ﭼ</w:t>
      </w:r>
      <w:r w:rsidRPr="005C21CD">
        <w:rPr>
          <w:rFonts w:ascii="Traditional Arabic" w:hAnsi="Traditional Arabic" w:hint="cs"/>
          <w:sz w:val="32"/>
          <w:szCs w:val="32"/>
          <w:rtl/>
          <w:lang w:eastAsia="en-US"/>
        </w:rPr>
        <w:t>[</w:t>
      </w:r>
      <w:r w:rsidRPr="005C21CD">
        <w:rPr>
          <w:rFonts w:ascii="QCF_BSML" w:hAnsi="QCF_BSML" w:cs="QCF_BSML"/>
          <w:sz w:val="47"/>
          <w:szCs w:val="47"/>
          <w:rtl/>
          <w:lang w:eastAsia="en-US"/>
        </w:rPr>
        <w:t xml:space="preserve"> </w:t>
      </w:r>
      <w:r w:rsidRPr="005C21CD">
        <w:rPr>
          <w:rFonts w:ascii="Traditional Arabic" w:hAnsi="Traditional Arabic"/>
          <w:color w:val="auto"/>
          <w:sz w:val="32"/>
          <w:szCs w:val="32"/>
          <w:rtl/>
          <w:lang w:eastAsia="en-US"/>
        </w:rPr>
        <w:t>الإسراء:٨٥</w:t>
      </w:r>
      <w:r w:rsidRPr="005C21CD">
        <w:rPr>
          <w:rFonts w:ascii="Traditional Arabic" w:hAnsi="Traditional Arabic" w:hint="cs"/>
          <w:color w:val="auto"/>
          <w:sz w:val="32"/>
          <w:szCs w:val="32"/>
          <w:rtl/>
          <w:lang w:eastAsia="en-US"/>
        </w:rPr>
        <w:t>]</w:t>
      </w:r>
      <w:r w:rsidRPr="005C21CD">
        <w:rPr>
          <w:vertAlign w:val="superscript"/>
          <w:rtl/>
        </w:rPr>
        <w:t>(</w:t>
      </w:r>
      <w:r w:rsidRPr="005C21CD">
        <w:rPr>
          <w:vertAlign w:val="superscript"/>
          <w:rtl/>
        </w:rPr>
        <w:footnoteReference w:id="916"/>
      </w:r>
      <w:r w:rsidRPr="005C21CD">
        <w:rPr>
          <w:vertAlign w:val="superscript"/>
          <w:rtl/>
        </w:rPr>
        <w:t>)</w:t>
      </w:r>
      <w:r w:rsidRPr="005C21CD">
        <w:rPr>
          <w:rFonts w:ascii="Arial" w:hAnsi="Arial" w:cs="Arial"/>
          <w:color w:val="auto"/>
          <w:sz w:val="27"/>
          <w:szCs w:val="27"/>
          <w:lang w:eastAsia="en-US"/>
        </w:rPr>
        <w:t xml:space="preserve"> </w:t>
      </w:r>
      <w:r w:rsidRPr="005C21CD">
        <w:rPr>
          <w:rtl/>
        </w:rPr>
        <w:t xml:space="preserve">قال ابن قتيبة: ومعنى </w:t>
      </w:r>
      <w:r w:rsidRPr="005C21CD">
        <w:rPr>
          <w:rFonts w:ascii="QCF_BSML" w:hAnsi="QCF_BSML" w:cs="QCF_BSML"/>
          <w:sz w:val="32"/>
          <w:szCs w:val="32"/>
          <w:rtl/>
          <w:lang w:eastAsia="en-US"/>
        </w:rPr>
        <w:t xml:space="preserve">ﭽ </w:t>
      </w:r>
      <w:r w:rsidRPr="005C21CD">
        <w:rPr>
          <w:rFonts w:ascii="QCF_P294" w:hAnsi="QCF_P294" w:cs="QCF_P294"/>
          <w:sz w:val="32"/>
          <w:szCs w:val="32"/>
          <w:rtl/>
          <w:lang w:eastAsia="en-US"/>
        </w:rPr>
        <w:t>ﮃ  ﮄ</w:t>
      </w:r>
      <w:r w:rsidRPr="005C21CD">
        <w:rPr>
          <w:rFonts w:ascii="QCF_BSML" w:hAnsi="QCF_BSML" w:cs="QCF_BSML"/>
          <w:color w:val="auto"/>
          <w:sz w:val="32"/>
          <w:szCs w:val="32"/>
          <w:rtl/>
          <w:lang w:eastAsia="en-US"/>
        </w:rPr>
        <w:t>ﭼ</w:t>
      </w:r>
      <w:r w:rsidRPr="005C21CD">
        <w:rPr>
          <w:rtl/>
        </w:rPr>
        <w:t>: أحسبت</w:t>
      </w:r>
      <w:r w:rsidRPr="005C21CD">
        <w:rPr>
          <w:vertAlign w:val="superscript"/>
          <w:rtl/>
        </w:rPr>
        <w:t>(</w:t>
      </w:r>
      <w:r w:rsidRPr="005C21CD">
        <w:rPr>
          <w:vertAlign w:val="superscript"/>
          <w:rtl/>
        </w:rPr>
        <w:footnoteReference w:id="917"/>
      </w:r>
      <w:r w:rsidRPr="005C21CD">
        <w:rPr>
          <w:vertAlign w:val="superscript"/>
          <w:rtl/>
        </w:rPr>
        <w:t>)</w:t>
      </w:r>
      <w:r w:rsidRPr="005C21CD">
        <w:rPr>
          <w:rtl/>
        </w:rPr>
        <w:t xml:space="preserve">. فأما </w:t>
      </w:r>
      <w:r w:rsidRPr="005C21CD">
        <w:rPr>
          <w:rFonts w:ascii="QCF_BSML" w:hAnsi="QCF_BSML" w:cs="QCF_BSML"/>
          <w:sz w:val="32"/>
          <w:szCs w:val="32"/>
          <w:rtl/>
          <w:lang w:eastAsia="en-US"/>
        </w:rPr>
        <w:t>ﭽ</w:t>
      </w:r>
      <w:r w:rsidRPr="005C21CD">
        <w:rPr>
          <w:rFonts w:ascii="QCF_P294" w:hAnsi="QCF_P294" w:cs="QCF_P294"/>
          <w:sz w:val="32"/>
          <w:szCs w:val="32"/>
          <w:rtl/>
          <w:lang w:eastAsia="en-US"/>
        </w:rPr>
        <w:t xml:space="preserve"> ﮇ</w:t>
      </w:r>
      <w:r w:rsidRPr="005C21CD">
        <w:rPr>
          <w:rFonts w:ascii="QCF_BSML" w:hAnsi="QCF_BSML" w:cs="QCF_BSML"/>
          <w:sz w:val="32"/>
          <w:szCs w:val="32"/>
          <w:rtl/>
          <w:lang w:eastAsia="en-US"/>
        </w:rPr>
        <w:t xml:space="preserve"> ﭼ</w:t>
      </w:r>
      <w:r w:rsidRPr="005C21CD">
        <w:rPr>
          <w:rtl/>
        </w:rPr>
        <w:t xml:space="preserve"> فقال المفسرون: هو المغارة في الجبل، إِلا أنه واسع، فاذا صغر، فهو غار</w:t>
      </w:r>
      <w:r w:rsidRPr="005C21CD">
        <w:rPr>
          <w:vertAlign w:val="superscript"/>
          <w:rtl/>
        </w:rPr>
        <w:t>(</w:t>
      </w:r>
      <w:r w:rsidRPr="005C21CD">
        <w:rPr>
          <w:vertAlign w:val="superscript"/>
          <w:rtl/>
        </w:rPr>
        <w:footnoteReference w:id="918"/>
      </w:r>
      <w:r w:rsidRPr="005C21CD">
        <w:rPr>
          <w:vertAlign w:val="superscript"/>
          <w:rtl/>
        </w:rPr>
        <w:t>)</w:t>
      </w:r>
      <w:r w:rsidRPr="005C21CD">
        <w:rPr>
          <w:rtl/>
        </w:rPr>
        <w:t xml:space="preserve">. قال </w:t>
      </w:r>
      <w:r w:rsidR="00791DC8">
        <w:rPr>
          <w:rFonts w:hint="cs"/>
          <w:rtl/>
        </w:rPr>
        <w:t>[</w:t>
      </w:r>
      <w:r w:rsidRPr="005C21CD">
        <w:rPr>
          <w:rtl/>
        </w:rPr>
        <w:t>ابن</w:t>
      </w:r>
      <w:r w:rsidR="00791DC8">
        <w:rPr>
          <w:rFonts w:hint="cs"/>
          <w:rtl/>
        </w:rPr>
        <w:t>]</w:t>
      </w:r>
      <w:r w:rsidRPr="005C21CD">
        <w:rPr>
          <w:vertAlign w:val="superscript"/>
          <w:rtl/>
        </w:rPr>
        <w:t>(</w:t>
      </w:r>
      <w:r w:rsidRPr="005C21CD">
        <w:rPr>
          <w:vertAlign w:val="superscript"/>
          <w:rtl/>
        </w:rPr>
        <w:footnoteReference w:id="919"/>
      </w:r>
      <w:r w:rsidRPr="005C21CD">
        <w:rPr>
          <w:vertAlign w:val="superscript"/>
          <w:rtl/>
        </w:rPr>
        <w:t>)</w:t>
      </w:r>
      <w:r w:rsidRPr="005C21CD">
        <w:rPr>
          <w:rtl/>
        </w:rPr>
        <w:t>الأنباري: قال اللغويون: الكهف بمنزلة الغار في الجبل</w:t>
      </w:r>
      <w:r w:rsidRPr="005C21CD">
        <w:rPr>
          <w:vertAlign w:val="superscript"/>
          <w:rtl/>
        </w:rPr>
        <w:t>(</w:t>
      </w:r>
      <w:r w:rsidRPr="005C21CD">
        <w:rPr>
          <w:vertAlign w:val="superscript"/>
          <w:rtl/>
        </w:rPr>
        <w:footnoteReference w:id="920"/>
      </w:r>
      <w:r w:rsidRPr="005C21CD">
        <w:rPr>
          <w:vertAlign w:val="superscript"/>
          <w:rtl/>
        </w:rPr>
        <w:t>)</w:t>
      </w:r>
      <w:r w:rsidRPr="005C21CD">
        <w:rPr>
          <w:rtl/>
        </w:rPr>
        <w:t>.</w:t>
      </w:r>
      <w:r w:rsidR="006C247D">
        <w:rPr>
          <w:rFonts w:hint="cs"/>
          <w:rtl/>
        </w:rPr>
        <w:t xml:space="preserve"> </w:t>
      </w:r>
      <w:r w:rsidRPr="005C21CD">
        <w:rPr>
          <w:rtl/>
        </w:rPr>
        <w:t>فأما «الرقيم»، ففيه ستة أقوال: أحدها: أنه لوح من رصاص كانت فيه أسماء الفتية مكتوبة</w:t>
      </w:r>
      <w:r w:rsidR="009B639B">
        <w:rPr>
          <w:rFonts w:hint="cs"/>
          <w:color w:val="0D0D0D" w:themeColor="text1" w:themeTint="F2"/>
          <w:sz w:val="32"/>
          <w:szCs w:val="32"/>
          <w:rtl/>
        </w:rPr>
        <w:t xml:space="preserve"> </w:t>
      </w:r>
      <w:r w:rsidR="009B639B" w:rsidRPr="001277AD">
        <w:rPr>
          <w:rFonts w:hint="cs"/>
          <w:color w:val="0D0D0D" w:themeColor="text1" w:themeTint="F2"/>
          <w:sz w:val="32"/>
          <w:szCs w:val="32"/>
          <w:rtl/>
        </w:rPr>
        <w:t>[</w:t>
      </w:r>
      <w:r w:rsidR="009B639B">
        <w:rPr>
          <w:rFonts w:hint="cs"/>
          <w:color w:val="0D0D0D" w:themeColor="text1" w:themeTint="F2"/>
          <w:sz w:val="32"/>
          <w:szCs w:val="32"/>
          <w:rtl/>
        </w:rPr>
        <w:t>101</w:t>
      </w:r>
      <w:r w:rsidR="009B639B" w:rsidRPr="001277AD">
        <w:rPr>
          <w:rFonts w:hint="cs"/>
          <w:color w:val="0D0D0D" w:themeColor="text1" w:themeTint="F2"/>
          <w:sz w:val="32"/>
          <w:szCs w:val="32"/>
          <w:rtl/>
        </w:rPr>
        <w:t>]</w:t>
      </w:r>
      <w:r w:rsidRPr="005C21CD">
        <w:rPr>
          <w:rtl/>
        </w:rPr>
        <w:t xml:space="preserve"> ليعلم من اطّلَع عليهم يوماً من الدهر ما قصتهم، قاله أبو صالح عن ابن </w:t>
      </w:r>
      <w:r w:rsidRPr="005C21CD">
        <w:rPr>
          <w:rtl/>
        </w:rPr>
        <w:lastRenderedPageBreak/>
        <w:t>عباس</w:t>
      </w:r>
      <w:r w:rsidRPr="005C21CD">
        <w:rPr>
          <w:vertAlign w:val="superscript"/>
          <w:rtl/>
        </w:rPr>
        <w:t>(</w:t>
      </w:r>
      <w:r w:rsidRPr="005C21CD">
        <w:rPr>
          <w:vertAlign w:val="superscript"/>
          <w:rtl/>
        </w:rPr>
        <w:footnoteReference w:id="921"/>
      </w:r>
      <w:r w:rsidRPr="005C21CD">
        <w:rPr>
          <w:vertAlign w:val="superscript"/>
          <w:rtl/>
        </w:rPr>
        <w:t>)</w:t>
      </w:r>
      <w:r w:rsidRPr="005C21CD">
        <w:rPr>
          <w:rtl/>
        </w:rPr>
        <w:t>، وبه قال وهب بن منبِّه</w:t>
      </w:r>
      <w:r w:rsidRPr="005C21CD">
        <w:rPr>
          <w:vertAlign w:val="superscript"/>
          <w:rtl/>
        </w:rPr>
        <w:t>(</w:t>
      </w:r>
      <w:r w:rsidRPr="005C21CD">
        <w:rPr>
          <w:vertAlign w:val="superscript"/>
          <w:rtl/>
        </w:rPr>
        <w:footnoteReference w:id="922"/>
      </w:r>
      <w:r w:rsidRPr="005C21CD">
        <w:rPr>
          <w:vertAlign w:val="superscript"/>
          <w:rtl/>
        </w:rPr>
        <w:t>)</w:t>
      </w:r>
      <w:r w:rsidRPr="005C21CD">
        <w:rPr>
          <w:rtl/>
        </w:rPr>
        <w:t>، وسعيد بن جبير في رواية</w:t>
      </w:r>
      <w:r w:rsidRPr="005C21CD">
        <w:rPr>
          <w:vertAlign w:val="superscript"/>
          <w:rtl/>
        </w:rPr>
        <w:t>(</w:t>
      </w:r>
      <w:r w:rsidRPr="005C21CD">
        <w:rPr>
          <w:vertAlign w:val="superscript"/>
          <w:rtl/>
        </w:rPr>
        <w:footnoteReference w:id="923"/>
      </w:r>
      <w:r w:rsidRPr="005C21CD">
        <w:rPr>
          <w:vertAlign w:val="superscript"/>
          <w:rtl/>
        </w:rPr>
        <w:t>)</w:t>
      </w:r>
      <w:r w:rsidRPr="005C21CD">
        <w:rPr>
          <w:rtl/>
        </w:rPr>
        <w:t>. وقال السدي: الرقيم: صخرة كُتب فيها أسماء الفتية، وجُعلت في سُور المدينة</w:t>
      </w:r>
      <w:r w:rsidRPr="005C21CD">
        <w:rPr>
          <w:vertAlign w:val="superscript"/>
          <w:rtl/>
        </w:rPr>
        <w:t>(</w:t>
      </w:r>
      <w:r w:rsidRPr="005C21CD">
        <w:rPr>
          <w:vertAlign w:val="superscript"/>
          <w:rtl/>
        </w:rPr>
        <w:footnoteReference w:id="924"/>
      </w:r>
      <w:r w:rsidRPr="005C21CD">
        <w:rPr>
          <w:vertAlign w:val="superscript"/>
          <w:rtl/>
        </w:rPr>
        <w:t>)</w:t>
      </w:r>
      <w:r w:rsidRPr="005C21CD">
        <w:rPr>
          <w:rtl/>
        </w:rPr>
        <w:t>. وقال مقاتل: الرقيم: كتاب كتبه رجلان صالحان، وكانا يكتمان إِيمانَهما من الملك الذي فرَّ منه الفتية، كتبا أمر الفتية في لوح من رصاص، ثم جعلاه في تابوت من نحاس، ثم جعلاه في البناء الذي سَدُّوا به باب الكهف، فقالا: لعل الله أن يُطْلِعَ على هؤلاء الفتية أحداً فيعلمون أمرهم إِذا قرءوا الكتاب</w:t>
      </w:r>
      <w:r w:rsidRPr="005C21CD">
        <w:rPr>
          <w:vertAlign w:val="superscript"/>
          <w:rtl/>
        </w:rPr>
        <w:t>(</w:t>
      </w:r>
      <w:r w:rsidRPr="005C21CD">
        <w:rPr>
          <w:vertAlign w:val="superscript"/>
          <w:rtl/>
        </w:rPr>
        <w:footnoteReference w:id="925"/>
      </w:r>
      <w:r w:rsidRPr="005C21CD">
        <w:rPr>
          <w:vertAlign w:val="superscript"/>
          <w:rtl/>
        </w:rPr>
        <w:t>)</w:t>
      </w:r>
      <w:r w:rsidRPr="005C21CD">
        <w:rPr>
          <w:rtl/>
        </w:rPr>
        <w:t>. وقال الفراء: كُتب في اللوح أسماؤهم، وأنسابهم، ودينهم، وممن كانوا</w:t>
      </w:r>
      <w:r w:rsidRPr="005C21CD">
        <w:rPr>
          <w:vertAlign w:val="superscript"/>
          <w:rtl/>
        </w:rPr>
        <w:t>(</w:t>
      </w:r>
      <w:r w:rsidRPr="005C21CD">
        <w:rPr>
          <w:vertAlign w:val="superscript"/>
          <w:rtl/>
        </w:rPr>
        <w:footnoteReference w:id="926"/>
      </w:r>
      <w:r w:rsidRPr="005C21CD">
        <w:rPr>
          <w:vertAlign w:val="superscript"/>
          <w:rtl/>
        </w:rPr>
        <w:t>)</w:t>
      </w:r>
      <w:r w:rsidRPr="005C21CD">
        <w:rPr>
          <w:rFonts w:hint="cs"/>
          <w:rtl/>
        </w:rPr>
        <w:t>.</w:t>
      </w:r>
      <w:r w:rsidRPr="005C21CD">
        <w:rPr>
          <w:rtl/>
        </w:rPr>
        <w:t xml:space="preserve"> قال أبو عبيدة، وابن قتيبة: الرقيم: الكتاب، وهو فعيل بمعنى مفعول، ومنه: كتاب مرقوم، أي: مكتوب</w:t>
      </w:r>
      <w:r w:rsidRPr="005C21CD">
        <w:rPr>
          <w:vertAlign w:val="superscript"/>
          <w:rtl/>
        </w:rPr>
        <w:t>(</w:t>
      </w:r>
      <w:r w:rsidRPr="005C21CD">
        <w:rPr>
          <w:vertAlign w:val="superscript"/>
          <w:rtl/>
        </w:rPr>
        <w:footnoteReference w:id="927"/>
      </w:r>
      <w:r w:rsidRPr="005C21CD">
        <w:rPr>
          <w:vertAlign w:val="superscript"/>
          <w:rtl/>
        </w:rPr>
        <w:t>)</w:t>
      </w:r>
      <w:r w:rsidRPr="005C21CD">
        <w:rPr>
          <w:rtl/>
        </w:rPr>
        <w:t xml:space="preserve">. والثاني: أنه اسم القرية التي </w:t>
      </w:r>
      <w:r w:rsidR="006C247D">
        <w:rPr>
          <w:rtl/>
        </w:rPr>
        <w:t>خرجوا</w:t>
      </w:r>
      <w:r w:rsidR="006C247D">
        <w:rPr>
          <w:rFonts w:hint="cs"/>
          <w:rtl/>
        </w:rPr>
        <w:t xml:space="preserve"> </w:t>
      </w:r>
      <w:r w:rsidRPr="005C21CD">
        <w:rPr>
          <w:rtl/>
        </w:rPr>
        <w:t>منها، قاله كعب</w:t>
      </w:r>
      <w:r w:rsidRPr="005C21CD">
        <w:rPr>
          <w:vertAlign w:val="superscript"/>
          <w:rtl/>
        </w:rPr>
        <w:t>(</w:t>
      </w:r>
      <w:r w:rsidRPr="005C21CD">
        <w:rPr>
          <w:vertAlign w:val="superscript"/>
          <w:rtl/>
        </w:rPr>
        <w:footnoteReference w:id="928"/>
      </w:r>
      <w:r w:rsidRPr="005C21CD">
        <w:rPr>
          <w:vertAlign w:val="superscript"/>
          <w:rtl/>
        </w:rPr>
        <w:t>)(</w:t>
      </w:r>
      <w:r w:rsidRPr="005C21CD">
        <w:rPr>
          <w:vertAlign w:val="superscript"/>
          <w:rtl/>
        </w:rPr>
        <w:footnoteReference w:id="929"/>
      </w:r>
      <w:r w:rsidRPr="005C21CD">
        <w:rPr>
          <w:vertAlign w:val="superscript"/>
          <w:rtl/>
        </w:rPr>
        <w:t>)</w:t>
      </w:r>
      <w:r w:rsidRPr="005C21CD">
        <w:rPr>
          <w:rtl/>
        </w:rPr>
        <w:t>. والثالث: اسم الجبل، قاله الحسن</w:t>
      </w:r>
      <w:r w:rsidRPr="005C21CD">
        <w:rPr>
          <w:vertAlign w:val="superscript"/>
          <w:rtl/>
        </w:rPr>
        <w:t>(</w:t>
      </w:r>
      <w:r w:rsidRPr="005C21CD">
        <w:rPr>
          <w:vertAlign w:val="superscript"/>
          <w:rtl/>
        </w:rPr>
        <w:footnoteReference w:id="930"/>
      </w:r>
      <w:r w:rsidRPr="005C21CD">
        <w:rPr>
          <w:vertAlign w:val="superscript"/>
          <w:rtl/>
        </w:rPr>
        <w:t>)</w:t>
      </w:r>
      <w:r w:rsidRPr="005C21CD">
        <w:rPr>
          <w:rtl/>
        </w:rPr>
        <w:t>، وعطية</w:t>
      </w:r>
      <w:r w:rsidRPr="005C21CD">
        <w:rPr>
          <w:vertAlign w:val="superscript"/>
          <w:rtl/>
        </w:rPr>
        <w:t>(</w:t>
      </w:r>
      <w:r w:rsidRPr="005C21CD">
        <w:rPr>
          <w:vertAlign w:val="superscript"/>
          <w:rtl/>
        </w:rPr>
        <w:footnoteReference w:id="931"/>
      </w:r>
      <w:r w:rsidRPr="005C21CD">
        <w:rPr>
          <w:vertAlign w:val="superscript"/>
          <w:rtl/>
        </w:rPr>
        <w:t>)</w:t>
      </w:r>
      <w:r w:rsidRPr="005C21CD">
        <w:rPr>
          <w:rtl/>
        </w:rPr>
        <w:t xml:space="preserve">. </w:t>
      </w:r>
    </w:p>
    <w:p w:rsidR="00144946" w:rsidRDefault="00144946" w:rsidP="00144946">
      <w:pPr>
        <w:ind w:firstLine="0"/>
        <w:rPr>
          <w:rtl/>
        </w:rPr>
      </w:pPr>
    </w:p>
    <w:p w:rsidR="00144946" w:rsidRDefault="00144946" w:rsidP="00144946">
      <w:pPr>
        <w:ind w:firstLine="0"/>
        <w:rPr>
          <w:rtl/>
        </w:rPr>
      </w:pPr>
    </w:p>
    <w:p w:rsidR="005C21CD" w:rsidRPr="005C21CD" w:rsidRDefault="005C21CD" w:rsidP="00144946">
      <w:pPr>
        <w:ind w:firstLine="0"/>
        <w:rPr>
          <w:rtl/>
        </w:rPr>
      </w:pPr>
      <w:r w:rsidRPr="005C21CD">
        <w:rPr>
          <w:rtl/>
        </w:rPr>
        <w:lastRenderedPageBreak/>
        <w:t>والرابع: أن الرقيم: الدواة</w:t>
      </w:r>
      <w:r w:rsidRPr="005C21CD">
        <w:rPr>
          <w:vertAlign w:val="superscript"/>
          <w:rtl/>
        </w:rPr>
        <w:t>(</w:t>
      </w:r>
      <w:r w:rsidRPr="005C21CD">
        <w:rPr>
          <w:vertAlign w:val="superscript"/>
          <w:rtl/>
        </w:rPr>
        <w:footnoteReference w:id="932"/>
      </w:r>
      <w:r w:rsidRPr="005C21CD">
        <w:rPr>
          <w:vertAlign w:val="superscript"/>
          <w:rtl/>
        </w:rPr>
        <w:t>)</w:t>
      </w:r>
      <w:r w:rsidRPr="005C21CD">
        <w:rPr>
          <w:rtl/>
        </w:rPr>
        <w:t>، بلسان الروم، قاله عكرمة</w:t>
      </w:r>
      <w:r w:rsidRPr="005C21CD">
        <w:rPr>
          <w:vertAlign w:val="superscript"/>
          <w:rtl/>
        </w:rPr>
        <w:t>(</w:t>
      </w:r>
      <w:r w:rsidRPr="005C21CD">
        <w:rPr>
          <w:vertAlign w:val="superscript"/>
          <w:rtl/>
        </w:rPr>
        <w:footnoteReference w:id="933"/>
      </w:r>
      <w:r w:rsidRPr="005C21CD">
        <w:rPr>
          <w:vertAlign w:val="superscript"/>
          <w:rtl/>
        </w:rPr>
        <w:t>)</w:t>
      </w:r>
      <w:r w:rsidRPr="005C21CD">
        <w:rPr>
          <w:rtl/>
        </w:rPr>
        <w:t xml:space="preserve"> ومجاهد في رواية</w:t>
      </w:r>
      <w:r w:rsidRPr="005C21CD">
        <w:rPr>
          <w:vertAlign w:val="superscript"/>
          <w:rtl/>
        </w:rPr>
        <w:t>(</w:t>
      </w:r>
      <w:r w:rsidRPr="005C21CD">
        <w:rPr>
          <w:vertAlign w:val="superscript"/>
          <w:rtl/>
        </w:rPr>
        <w:footnoteReference w:id="934"/>
      </w:r>
      <w:r w:rsidRPr="005C21CD">
        <w:rPr>
          <w:vertAlign w:val="superscript"/>
          <w:rtl/>
        </w:rPr>
        <w:t>)</w:t>
      </w:r>
      <w:r w:rsidRPr="005C21CD">
        <w:rPr>
          <w:rtl/>
        </w:rPr>
        <w:t>. والخامس: اسم الكلب، قاله سعيد بن جبير</w:t>
      </w:r>
      <w:r w:rsidRPr="005C21CD">
        <w:rPr>
          <w:vertAlign w:val="superscript"/>
          <w:rtl/>
        </w:rPr>
        <w:t>(</w:t>
      </w:r>
      <w:r w:rsidRPr="005C21CD">
        <w:rPr>
          <w:vertAlign w:val="superscript"/>
          <w:rtl/>
        </w:rPr>
        <w:footnoteReference w:id="935"/>
      </w:r>
      <w:r w:rsidRPr="005C21CD">
        <w:rPr>
          <w:vertAlign w:val="superscript"/>
          <w:rtl/>
        </w:rPr>
        <w:t>)</w:t>
      </w:r>
      <w:r w:rsidRPr="005C21CD">
        <w:rPr>
          <w:rtl/>
        </w:rPr>
        <w:t>. والسادس: اسم الوادي الذي فيه الكهف، قاله قتادة</w:t>
      </w:r>
      <w:r w:rsidRPr="005C21CD">
        <w:rPr>
          <w:vertAlign w:val="superscript"/>
          <w:rtl/>
        </w:rPr>
        <w:t>(</w:t>
      </w:r>
      <w:r w:rsidRPr="005C21CD">
        <w:rPr>
          <w:vertAlign w:val="superscript"/>
          <w:rtl/>
        </w:rPr>
        <w:footnoteReference w:id="936"/>
      </w:r>
      <w:r w:rsidRPr="005C21CD">
        <w:rPr>
          <w:vertAlign w:val="superscript"/>
          <w:rtl/>
        </w:rPr>
        <w:t>)</w:t>
      </w:r>
      <w:r w:rsidRPr="005C21CD">
        <w:rPr>
          <w:rFonts w:hint="cs"/>
          <w:rtl/>
        </w:rPr>
        <w:t>,</w:t>
      </w:r>
      <w:r w:rsidRPr="005C21CD">
        <w:rPr>
          <w:rtl/>
        </w:rPr>
        <w:t xml:space="preserve"> والضحاك</w:t>
      </w:r>
      <w:r w:rsidRPr="005C21CD">
        <w:rPr>
          <w:vertAlign w:val="superscript"/>
          <w:rtl/>
        </w:rPr>
        <w:t>(</w:t>
      </w:r>
      <w:r w:rsidRPr="005C21CD">
        <w:rPr>
          <w:vertAlign w:val="superscript"/>
          <w:rtl/>
        </w:rPr>
        <w:footnoteReference w:id="937"/>
      </w:r>
      <w:r w:rsidRPr="005C21CD">
        <w:rPr>
          <w:vertAlign w:val="superscript"/>
          <w:rtl/>
        </w:rPr>
        <w:t>)</w:t>
      </w:r>
      <w:r w:rsidRPr="005C21CD">
        <w:rPr>
          <w:rtl/>
        </w:rPr>
        <w:t>.</w:t>
      </w:r>
    </w:p>
    <w:p w:rsidR="005C21CD" w:rsidRPr="005C21CD" w:rsidRDefault="005C21CD" w:rsidP="00791DC8">
      <w:pPr>
        <w:ind w:firstLine="0"/>
        <w:rPr>
          <w:rtl/>
        </w:rPr>
      </w:pPr>
      <w:r w:rsidRPr="005C21CD">
        <w:rPr>
          <w:rtl/>
        </w:rPr>
        <w:t xml:space="preserve">قوله تعالى: </w:t>
      </w:r>
      <w:r w:rsidRPr="005C21CD">
        <w:rPr>
          <w:rFonts w:ascii="QCF_BSML" w:hAnsi="QCF_BSML" w:cs="QCF_BSML"/>
          <w:sz w:val="32"/>
          <w:szCs w:val="32"/>
          <w:rtl/>
          <w:lang w:eastAsia="en-US"/>
        </w:rPr>
        <w:t>ﭽ</w:t>
      </w:r>
      <w:r w:rsidRPr="005C21CD">
        <w:rPr>
          <w:rFonts w:ascii="QCF_P294" w:hAnsi="QCF_P294" w:cs="QCF_P294"/>
          <w:sz w:val="32"/>
          <w:szCs w:val="32"/>
          <w:rtl/>
          <w:lang w:eastAsia="en-US"/>
        </w:rPr>
        <w:t xml:space="preserve"> ﮉ    ﮊ  ﮋ  ﮌ</w:t>
      </w:r>
      <w:r w:rsidRPr="005C21CD">
        <w:rPr>
          <w:rFonts w:ascii="QCF_BSML" w:hAnsi="QCF_BSML" w:cs="QCF_BSML"/>
          <w:color w:val="auto"/>
          <w:sz w:val="32"/>
          <w:szCs w:val="32"/>
          <w:rtl/>
          <w:lang w:eastAsia="en-US"/>
        </w:rPr>
        <w:t xml:space="preserve"> ﭼ</w:t>
      </w:r>
      <w:r w:rsidRPr="005C21CD">
        <w:rPr>
          <w:rFonts w:ascii="QCF_P294" w:hAnsi="QCF_P294" w:cs="QCF_P294"/>
          <w:sz w:val="32"/>
          <w:szCs w:val="32"/>
          <w:rtl/>
          <w:lang w:eastAsia="en-US"/>
        </w:rPr>
        <w:t xml:space="preserve">  </w:t>
      </w:r>
      <w:r w:rsidRPr="005C21CD">
        <w:rPr>
          <w:rtl/>
        </w:rPr>
        <w:t>قال المفسرون: ومعنى الكلام: أحسبتَ أنهم كانوا أعجبَ آياتنا؟! قد كان في آياتنا ما هو أعجب منهم، فإن خلق السموات والأرض وما بينهما أعجب من قصتهم</w:t>
      </w:r>
      <w:r w:rsidRPr="005C21CD">
        <w:rPr>
          <w:vertAlign w:val="superscript"/>
          <w:rtl/>
        </w:rPr>
        <w:t>(</w:t>
      </w:r>
      <w:r w:rsidRPr="005C21CD">
        <w:rPr>
          <w:vertAlign w:val="superscript"/>
          <w:rtl/>
        </w:rPr>
        <w:footnoteReference w:id="938"/>
      </w:r>
      <w:r w:rsidRPr="005C21CD">
        <w:rPr>
          <w:vertAlign w:val="superscript"/>
          <w:rtl/>
        </w:rPr>
        <w:t>)</w:t>
      </w:r>
      <w:r w:rsidR="00791DC8">
        <w:rPr>
          <w:rtl/>
        </w:rPr>
        <w:t>. وقال</w:t>
      </w:r>
      <w:r w:rsidRPr="005C21CD">
        <w:rPr>
          <w:vertAlign w:val="superscript"/>
          <w:rtl/>
        </w:rPr>
        <w:t>(</w:t>
      </w:r>
      <w:r w:rsidRPr="005C21CD">
        <w:rPr>
          <w:vertAlign w:val="superscript"/>
          <w:rtl/>
        </w:rPr>
        <w:footnoteReference w:id="939"/>
      </w:r>
      <w:r w:rsidRPr="005C21CD">
        <w:rPr>
          <w:vertAlign w:val="superscript"/>
          <w:rtl/>
        </w:rPr>
        <w:t>)</w:t>
      </w:r>
      <w:r w:rsidR="00791DC8">
        <w:rPr>
          <w:rFonts w:hint="cs"/>
          <w:rtl/>
        </w:rPr>
        <w:t>ابن عباس</w:t>
      </w:r>
      <w:r w:rsidRPr="005C21CD">
        <w:rPr>
          <w:rtl/>
        </w:rPr>
        <w:t>: الذي آتيتك من الكتاب والسنَّة والعلم، أفضل من شأنهم</w:t>
      </w:r>
      <w:r w:rsidRPr="005C21CD">
        <w:rPr>
          <w:vertAlign w:val="superscript"/>
          <w:rtl/>
        </w:rPr>
        <w:t>(</w:t>
      </w:r>
      <w:r w:rsidRPr="005C21CD">
        <w:rPr>
          <w:vertAlign w:val="superscript"/>
          <w:rtl/>
        </w:rPr>
        <w:footnoteReference w:id="940"/>
      </w:r>
      <w:r w:rsidRPr="005C21CD">
        <w:rPr>
          <w:vertAlign w:val="superscript"/>
          <w:rtl/>
        </w:rPr>
        <w:t>)</w:t>
      </w:r>
      <w:r w:rsidRPr="005C21CD">
        <w:rPr>
          <w:rtl/>
        </w:rPr>
        <w:t>.</w:t>
      </w:r>
      <w:r w:rsidRPr="005C21CD">
        <w:rPr>
          <w:rFonts w:hint="cs"/>
          <w:rtl/>
        </w:rPr>
        <w:t xml:space="preserve"> </w:t>
      </w:r>
      <w:r w:rsidRPr="005C21CD">
        <w:rPr>
          <w:rtl/>
        </w:rPr>
        <w:t>قوله تعالى:</w:t>
      </w:r>
      <w:r w:rsidRPr="005C21CD">
        <w:rPr>
          <w:rFonts w:ascii="QCF_BSML" w:hAnsi="QCF_BSML" w:cs="QCF_BSML"/>
          <w:sz w:val="32"/>
          <w:szCs w:val="32"/>
          <w:rtl/>
          <w:lang w:eastAsia="en-US"/>
        </w:rPr>
        <w:t xml:space="preserve"> ﭽ</w:t>
      </w:r>
      <w:r w:rsidRPr="005C21CD">
        <w:rPr>
          <w:rtl/>
        </w:rPr>
        <w:t xml:space="preserve"> </w:t>
      </w:r>
      <w:r w:rsidRPr="005C21CD">
        <w:rPr>
          <w:rFonts w:ascii="QCF_P294" w:hAnsi="QCF_P294" w:cs="QCF_P294"/>
          <w:sz w:val="32"/>
          <w:szCs w:val="32"/>
          <w:rtl/>
          <w:lang w:eastAsia="en-US"/>
        </w:rPr>
        <w:t>ﮎ  ﮏ  ﮐ</w:t>
      </w:r>
      <w:r w:rsidRPr="005C21CD">
        <w:rPr>
          <w:rFonts w:ascii="QCF_BSML" w:hAnsi="QCF_BSML" w:cs="QCF_BSML"/>
          <w:color w:val="auto"/>
          <w:sz w:val="32"/>
          <w:szCs w:val="32"/>
          <w:rtl/>
          <w:lang w:eastAsia="en-US"/>
        </w:rPr>
        <w:t xml:space="preserve"> ﭼ</w:t>
      </w:r>
      <w:r w:rsidRPr="005C21CD">
        <w:rPr>
          <w:rFonts w:ascii="QCF_P294" w:hAnsi="QCF_P294" w:cs="QCF_P294"/>
          <w:sz w:val="32"/>
          <w:szCs w:val="32"/>
          <w:rtl/>
          <w:lang w:eastAsia="en-US"/>
        </w:rPr>
        <w:t xml:space="preserve">  </w:t>
      </w:r>
      <w:r w:rsidRPr="005C21CD">
        <w:rPr>
          <w:rtl/>
        </w:rPr>
        <w:t>قال الزجاج: معنى: أوَوْا إِليه: صاروا إِليه، وجعلوه مأواهم.</w:t>
      </w:r>
      <w:r w:rsidRPr="005C21CD">
        <w:rPr>
          <w:rFonts w:hint="cs"/>
          <w:rtl/>
        </w:rPr>
        <w:t xml:space="preserve"> </w:t>
      </w:r>
      <w:r w:rsidRPr="005C21CD">
        <w:rPr>
          <w:rtl/>
        </w:rPr>
        <w:t>و</w:t>
      </w:r>
      <w:r w:rsidRPr="005C21CD">
        <w:rPr>
          <w:rFonts w:ascii="QCF_BSML" w:hAnsi="QCF_BSML" w:cs="QCF_BSML"/>
          <w:sz w:val="32"/>
          <w:szCs w:val="32"/>
          <w:rtl/>
          <w:lang w:eastAsia="en-US"/>
        </w:rPr>
        <w:t xml:space="preserve"> ﭽ</w:t>
      </w:r>
      <w:r w:rsidRPr="005C21CD">
        <w:rPr>
          <w:rFonts w:ascii="QCF_P294" w:hAnsi="QCF_P294" w:cs="QCF_P294"/>
          <w:sz w:val="32"/>
          <w:szCs w:val="32"/>
          <w:rtl/>
          <w:lang w:eastAsia="en-US"/>
        </w:rPr>
        <w:t xml:space="preserve"> ﮐ</w:t>
      </w:r>
      <w:r w:rsidRPr="005C21CD">
        <w:rPr>
          <w:rFonts w:ascii="QCF_BSML" w:hAnsi="QCF_BSML" w:cs="QCF_BSML"/>
          <w:color w:val="auto"/>
          <w:sz w:val="32"/>
          <w:szCs w:val="32"/>
          <w:rtl/>
          <w:lang w:eastAsia="en-US"/>
        </w:rPr>
        <w:t xml:space="preserve"> ﭼ</w:t>
      </w:r>
      <w:r w:rsidRPr="005C21CD">
        <w:rPr>
          <w:rtl/>
        </w:rPr>
        <w:t>: جمع فتى، مثل غُلام وغِلمة، وصبي وصبية. و «وَفِعْلَة» من أسماء الجمع، وليس ببناء يقاس عليه لا يجوز غُراب وَغِرْبة، ولا غنيّ وغنية</w:t>
      </w:r>
      <w:r w:rsidRPr="005C21CD">
        <w:rPr>
          <w:vertAlign w:val="superscript"/>
          <w:rtl/>
        </w:rPr>
        <w:t>(</w:t>
      </w:r>
      <w:r w:rsidRPr="005C21CD">
        <w:rPr>
          <w:vertAlign w:val="superscript"/>
          <w:rtl/>
        </w:rPr>
        <w:footnoteReference w:id="941"/>
      </w:r>
      <w:r w:rsidRPr="005C21CD">
        <w:rPr>
          <w:vertAlign w:val="superscript"/>
          <w:rtl/>
        </w:rPr>
        <w:t>)</w:t>
      </w:r>
      <w:r w:rsidRPr="005C21CD">
        <w:rPr>
          <w:rFonts w:hint="cs"/>
          <w:rtl/>
        </w:rPr>
        <w:t>.</w:t>
      </w:r>
      <w:r w:rsidRPr="005C21CD">
        <w:rPr>
          <w:rtl/>
        </w:rPr>
        <w:t xml:space="preserve"> </w:t>
      </w:r>
      <w:r w:rsidRPr="005C21CD">
        <w:rPr>
          <w:rFonts w:hint="cs"/>
          <w:rtl/>
        </w:rPr>
        <w:t>و</w:t>
      </w:r>
      <w:r w:rsidR="00791DC8">
        <w:rPr>
          <w:rtl/>
        </w:rPr>
        <w:t>قال</w:t>
      </w:r>
      <w:r w:rsidRPr="005C21CD">
        <w:rPr>
          <w:vertAlign w:val="superscript"/>
          <w:rtl/>
        </w:rPr>
        <w:t>(</w:t>
      </w:r>
      <w:r w:rsidRPr="005C21CD">
        <w:rPr>
          <w:vertAlign w:val="superscript"/>
          <w:rtl/>
        </w:rPr>
        <w:footnoteReference w:id="942"/>
      </w:r>
      <w:r w:rsidRPr="005C21CD">
        <w:rPr>
          <w:vertAlign w:val="superscript"/>
          <w:rtl/>
        </w:rPr>
        <w:t>)</w:t>
      </w:r>
      <w:r w:rsidR="00791DC8" w:rsidRPr="005C21CD">
        <w:rPr>
          <w:rtl/>
        </w:rPr>
        <w:t>بعض المفسرين</w:t>
      </w:r>
      <w:r w:rsidRPr="005C21CD">
        <w:rPr>
          <w:rtl/>
        </w:rPr>
        <w:t>: الفتية: بمعنى الشبان</w:t>
      </w:r>
      <w:r w:rsidRPr="005C21CD">
        <w:rPr>
          <w:vertAlign w:val="superscript"/>
          <w:rtl/>
        </w:rPr>
        <w:t>(</w:t>
      </w:r>
      <w:r w:rsidRPr="005C21CD">
        <w:rPr>
          <w:vertAlign w:val="superscript"/>
          <w:rtl/>
        </w:rPr>
        <w:footnoteReference w:id="943"/>
      </w:r>
      <w:r w:rsidRPr="005C21CD">
        <w:rPr>
          <w:vertAlign w:val="superscript"/>
          <w:rtl/>
        </w:rPr>
        <w:t>)</w:t>
      </w:r>
      <w:r w:rsidRPr="005C21CD">
        <w:rPr>
          <w:rtl/>
        </w:rPr>
        <w:t>. وقد ذكرنا عن القتيبي</w:t>
      </w:r>
      <w:r w:rsidRPr="005C21CD">
        <w:rPr>
          <w:vertAlign w:val="superscript"/>
          <w:rtl/>
        </w:rPr>
        <w:t>(</w:t>
      </w:r>
      <w:r w:rsidRPr="005C21CD">
        <w:rPr>
          <w:vertAlign w:val="superscript"/>
          <w:rtl/>
        </w:rPr>
        <w:footnoteReference w:id="944"/>
      </w:r>
      <w:r w:rsidRPr="005C21CD">
        <w:rPr>
          <w:vertAlign w:val="superscript"/>
          <w:rtl/>
        </w:rPr>
        <w:t>)</w:t>
      </w:r>
      <w:r w:rsidRPr="005C21CD">
        <w:rPr>
          <w:rtl/>
        </w:rPr>
        <w:t>أن الفتى: بمعنى الكامل من الرجال، وبيَّنَّاه في قوله تعالى:</w:t>
      </w:r>
      <w:r w:rsidRPr="005C21CD">
        <w:rPr>
          <w:sz w:val="32"/>
          <w:szCs w:val="32"/>
          <w:rtl/>
        </w:rPr>
        <w:t xml:space="preserve"> </w:t>
      </w:r>
      <w:r w:rsidRPr="005C21CD">
        <w:rPr>
          <w:rFonts w:ascii="QCF_BSML" w:hAnsi="QCF_BSML" w:cs="QCF_BSML"/>
          <w:sz w:val="32"/>
          <w:szCs w:val="32"/>
          <w:rtl/>
          <w:lang w:eastAsia="en-US"/>
        </w:rPr>
        <w:t>ﭽ</w:t>
      </w:r>
      <w:r w:rsidRPr="005C21CD">
        <w:rPr>
          <w:rFonts w:ascii="QCF_P082" w:hAnsi="QCF_P082" w:cs="QCF_P082"/>
          <w:sz w:val="32"/>
          <w:szCs w:val="32"/>
          <w:rtl/>
          <w:lang w:eastAsia="en-US"/>
        </w:rPr>
        <w:t>ﮏ    ﮐ  ﮑ</w:t>
      </w:r>
      <w:r w:rsidRPr="005C21CD">
        <w:rPr>
          <w:rFonts w:ascii="QCF_BSML" w:hAnsi="QCF_BSML" w:cs="QCF_BSML"/>
          <w:sz w:val="32"/>
          <w:szCs w:val="32"/>
          <w:rtl/>
          <w:lang w:eastAsia="en-US"/>
        </w:rPr>
        <w:t>ﭼ</w:t>
      </w:r>
      <w:r w:rsidRPr="005C21CD">
        <w:rPr>
          <w:rFonts w:ascii="QCF_BSML" w:hAnsi="QCF_BSML" w:cs="QCF_BSML"/>
          <w:sz w:val="47"/>
          <w:szCs w:val="47"/>
          <w:rtl/>
          <w:lang w:eastAsia="en-US"/>
        </w:rPr>
        <w:t xml:space="preserve"> </w:t>
      </w:r>
      <w:r w:rsidRPr="005C21CD">
        <w:rPr>
          <w:rFonts w:ascii="Traditional Arabic" w:hAnsi="Traditional Arabic" w:hint="cs"/>
          <w:sz w:val="32"/>
          <w:szCs w:val="32"/>
          <w:rtl/>
          <w:lang w:eastAsia="en-US"/>
        </w:rPr>
        <w:t>[</w:t>
      </w:r>
      <w:r w:rsidRPr="005C21CD">
        <w:rPr>
          <w:rFonts w:ascii="Traditional Arabic" w:hAnsi="Traditional Arabic"/>
          <w:color w:val="auto"/>
          <w:sz w:val="32"/>
          <w:szCs w:val="32"/>
          <w:rtl/>
          <w:lang w:eastAsia="en-US"/>
        </w:rPr>
        <w:t>النساء:٢٥</w:t>
      </w:r>
      <w:r w:rsidRPr="005C21CD">
        <w:rPr>
          <w:rFonts w:ascii="Traditional Arabic" w:hAnsi="Traditional Arabic" w:hint="cs"/>
          <w:color w:val="auto"/>
          <w:sz w:val="32"/>
          <w:szCs w:val="32"/>
          <w:rtl/>
          <w:lang w:eastAsia="en-US"/>
        </w:rPr>
        <w:t>]</w:t>
      </w:r>
      <w:r w:rsidRPr="005C21CD">
        <w:rPr>
          <w:vertAlign w:val="superscript"/>
          <w:rtl/>
        </w:rPr>
        <w:t>(</w:t>
      </w:r>
      <w:r w:rsidRPr="005C21CD">
        <w:rPr>
          <w:vertAlign w:val="superscript"/>
          <w:rtl/>
        </w:rPr>
        <w:footnoteReference w:id="945"/>
      </w:r>
      <w:r w:rsidRPr="005C21CD">
        <w:rPr>
          <w:vertAlign w:val="superscript"/>
          <w:rtl/>
        </w:rPr>
        <w:t>)</w:t>
      </w:r>
      <w:r w:rsidRPr="005C21CD">
        <w:rPr>
          <w:rtl/>
        </w:rPr>
        <w:t>.</w:t>
      </w:r>
      <w:r w:rsidRPr="005C21CD">
        <w:rPr>
          <w:rFonts w:hint="cs"/>
          <w:rtl/>
        </w:rPr>
        <w:t xml:space="preserve"> </w:t>
      </w:r>
      <w:r w:rsidRPr="005C21CD">
        <w:rPr>
          <w:rtl/>
        </w:rPr>
        <w:t>قوله تعالى:</w:t>
      </w:r>
      <w:r w:rsidRPr="005C21CD">
        <w:rPr>
          <w:rFonts w:ascii="QCF_BSML" w:hAnsi="QCF_BSML" w:cs="QCF_BSML"/>
          <w:sz w:val="32"/>
          <w:szCs w:val="32"/>
          <w:rtl/>
          <w:lang w:eastAsia="en-US"/>
        </w:rPr>
        <w:t xml:space="preserve"> </w:t>
      </w:r>
      <w:r w:rsidRPr="005C21CD">
        <w:rPr>
          <w:rFonts w:ascii="QCF_BSML" w:hAnsi="QCF_BSML" w:cs="QCF_BSML"/>
          <w:sz w:val="32"/>
          <w:szCs w:val="32"/>
          <w:rtl/>
          <w:lang w:eastAsia="en-US"/>
        </w:rPr>
        <w:lastRenderedPageBreak/>
        <w:t>ﭽ</w:t>
      </w:r>
      <w:r w:rsidRPr="005C21CD">
        <w:rPr>
          <w:rFonts w:ascii="QCF_P294" w:hAnsi="QCF_P294" w:cs="QCF_P294"/>
          <w:sz w:val="32"/>
          <w:szCs w:val="32"/>
          <w:rtl/>
          <w:lang w:eastAsia="en-US"/>
        </w:rPr>
        <w:t>ﮓ  ﮔ   ﮕ  ﮖ  ﮗ</w:t>
      </w:r>
      <w:r w:rsidRPr="005C21CD">
        <w:rPr>
          <w:rFonts w:ascii="QCF_BSML" w:hAnsi="QCF_BSML" w:cs="QCF_BSML"/>
          <w:color w:val="auto"/>
          <w:sz w:val="32"/>
          <w:szCs w:val="32"/>
          <w:rtl/>
          <w:lang w:eastAsia="en-US"/>
        </w:rPr>
        <w:t>ﭼ</w:t>
      </w:r>
      <w:r w:rsidRPr="005C21CD">
        <w:rPr>
          <w:rFonts w:ascii="QCF_P294" w:hAnsi="QCF_P294" w:cs="QCF_P294"/>
          <w:sz w:val="32"/>
          <w:szCs w:val="32"/>
          <w:rtl/>
          <w:lang w:eastAsia="en-US"/>
        </w:rPr>
        <w:t xml:space="preserve">    </w:t>
      </w:r>
      <w:r w:rsidRPr="005C21CD">
        <w:rPr>
          <w:rtl/>
        </w:rPr>
        <w:t>أي: من عندك</w:t>
      </w:r>
      <w:r w:rsidRPr="005C21CD">
        <w:rPr>
          <w:rFonts w:ascii="QCF_P294" w:hAnsi="QCF_P294" w:cs="QCF_P294" w:hint="cs"/>
          <w:sz w:val="32"/>
          <w:szCs w:val="32"/>
          <w:rtl/>
          <w:lang w:eastAsia="en-US"/>
        </w:rPr>
        <w:t xml:space="preserve">  </w:t>
      </w:r>
      <w:r w:rsidRPr="005C21CD">
        <w:rPr>
          <w:rFonts w:ascii="QCF_BSML" w:hAnsi="QCF_BSML" w:cs="QCF_BSML"/>
          <w:sz w:val="32"/>
          <w:szCs w:val="32"/>
          <w:rtl/>
          <w:lang w:eastAsia="en-US"/>
        </w:rPr>
        <w:t>ﭽ</w:t>
      </w:r>
      <w:r w:rsidRPr="005C21CD">
        <w:rPr>
          <w:rFonts w:ascii="QCF_P294" w:hAnsi="QCF_P294" w:cs="QCF_P294"/>
          <w:sz w:val="32"/>
          <w:szCs w:val="32"/>
          <w:rtl/>
          <w:lang w:eastAsia="en-US"/>
        </w:rPr>
        <w:t xml:space="preserve"> ﮘ  </w:t>
      </w:r>
      <w:r w:rsidRPr="005C21CD">
        <w:rPr>
          <w:rFonts w:ascii="QCF_BSML" w:hAnsi="QCF_BSML" w:cs="QCF_BSML"/>
          <w:color w:val="auto"/>
          <w:sz w:val="32"/>
          <w:szCs w:val="32"/>
          <w:rtl/>
          <w:lang w:eastAsia="en-US"/>
        </w:rPr>
        <w:t>ﭼ</w:t>
      </w:r>
      <w:r w:rsidRPr="005C21CD">
        <w:rPr>
          <w:rFonts w:ascii="QCF_P294" w:hAnsi="QCF_P294" w:cs="QCF_P294"/>
          <w:sz w:val="32"/>
          <w:szCs w:val="32"/>
          <w:rtl/>
          <w:lang w:eastAsia="en-US"/>
        </w:rPr>
        <w:t xml:space="preserve"> </w:t>
      </w:r>
      <w:r w:rsidRPr="005C21CD">
        <w:rPr>
          <w:rtl/>
        </w:rPr>
        <w:t>أي: رزقا</w:t>
      </w:r>
      <w:r w:rsidRPr="005C21CD">
        <w:rPr>
          <w:rFonts w:ascii="QCF_BSML" w:hAnsi="QCF_BSML" w:cs="QCF_BSML"/>
          <w:sz w:val="32"/>
          <w:szCs w:val="32"/>
          <w:rtl/>
          <w:lang w:eastAsia="en-US"/>
        </w:rPr>
        <w:t xml:space="preserve"> ﭽ</w:t>
      </w:r>
      <w:r w:rsidRPr="005C21CD">
        <w:rPr>
          <w:rtl/>
        </w:rPr>
        <w:t xml:space="preserve"> </w:t>
      </w:r>
      <w:r w:rsidRPr="005C21CD">
        <w:rPr>
          <w:rFonts w:ascii="QCF_P294" w:hAnsi="QCF_P294" w:cs="QCF_P294"/>
          <w:sz w:val="32"/>
          <w:szCs w:val="32"/>
          <w:rtl/>
          <w:lang w:eastAsia="en-US"/>
        </w:rPr>
        <w:t>ﮙ  ﮚ</w:t>
      </w:r>
      <w:r w:rsidRPr="005C21CD">
        <w:rPr>
          <w:rFonts w:ascii="QCF_BSML" w:hAnsi="QCF_BSML" w:cs="QCF_BSML"/>
          <w:color w:val="auto"/>
          <w:sz w:val="32"/>
          <w:szCs w:val="32"/>
          <w:rtl/>
          <w:lang w:eastAsia="en-US"/>
        </w:rPr>
        <w:t xml:space="preserve"> ﭼ</w:t>
      </w:r>
      <w:r w:rsidRPr="005C21CD">
        <w:rPr>
          <w:rFonts w:ascii="QCF_P294" w:hAnsi="QCF_P294" w:cs="QCF_P294"/>
          <w:sz w:val="32"/>
          <w:szCs w:val="32"/>
          <w:rtl/>
          <w:lang w:eastAsia="en-US"/>
        </w:rPr>
        <w:t xml:space="preserve">  </w:t>
      </w:r>
      <w:r w:rsidRPr="005C21CD">
        <w:rPr>
          <w:rtl/>
        </w:rPr>
        <w:t>أي: أصلح لنا</w:t>
      </w:r>
      <w:r w:rsidRPr="005C21CD">
        <w:rPr>
          <w:rFonts w:hint="cs"/>
          <w:rtl/>
        </w:rPr>
        <w:t xml:space="preserve"> </w:t>
      </w:r>
      <w:r w:rsidRPr="005C21CD">
        <w:rPr>
          <w:rFonts w:ascii="QCF_BSML" w:hAnsi="QCF_BSML" w:cs="QCF_BSML"/>
          <w:sz w:val="32"/>
          <w:szCs w:val="32"/>
          <w:rtl/>
          <w:lang w:eastAsia="en-US"/>
        </w:rPr>
        <w:t>ﭽ</w:t>
      </w:r>
      <w:r w:rsidRPr="005C21CD">
        <w:rPr>
          <w:rFonts w:ascii="QCF_P294" w:hAnsi="QCF_P294" w:cs="QCF_P294"/>
          <w:sz w:val="32"/>
          <w:szCs w:val="32"/>
          <w:rtl/>
          <w:lang w:eastAsia="en-US"/>
        </w:rPr>
        <w:t xml:space="preserve"> ﮛ  ﮜ  ﮝ</w:t>
      </w:r>
      <w:r w:rsidRPr="005C21CD">
        <w:rPr>
          <w:rFonts w:ascii="QCF_BSML" w:hAnsi="QCF_BSML" w:cs="QCF_BSML"/>
          <w:color w:val="auto"/>
          <w:sz w:val="32"/>
          <w:szCs w:val="32"/>
          <w:rtl/>
          <w:lang w:eastAsia="en-US"/>
        </w:rPr>
        <w:t xml:space="preserve"> ﭼ</w:t>
      </w:r>
      <w:r w:rsidRPr="005C21CD">
        <w:rPr>
          <w:rFonts w:ascii="QCF_P294" w:hAnsi="QCF_P294" w:cs="QCF_P294"/>
          <w:sz w:val="32"/>
          <w:szCs w:val="32"/>
          <w:rtl/>
          <w:lang w:eastAsia="en-US"/>
        </w:rPr>
        <w:t xml:space="preserve">  </w:t>
      </w:r>
      <w:r w:rsidRPr="005C21CD">
        <w:rPr>
          <w:rtl/>
        </w:rPr>
        <w:t>أي: أرشدنا إِلى ما يقرّبنا منك</w:t>
      </w:r>
      <w:r w:rsidRPr="005C21CD">
        <w:rPr>
          <w:vertAlign w:val="superscript"/>
          <w:rtl/>
        </w:rPr>
        <w:t>(</w:t>
      </w:r>
      <w:r w:rsidRPr="005C21CD">
        <w:rPr>
          <w:vertAlign w:val="superscript"/>
          <w:rtl/>
        </w:rPr>
        <w:footnoteReference w:id="946"/>
      </w:r>
      <w:r w:rsidRPr="005C21CD">
        <w:rPr>
          <w:vertAlign w:val="superscript"/>
          <w:rtl/>
        </w:rPr>
        <w:t>)</w:t>
      </w:r>
      <w:r w:rsidRPr="005C21CD">
        <w:rPr>
          <w:rtl/>
        </w:rPr>
        <w:t>. والمعنى: هيّئ لنا من أمرنا ما نصيب به الرشد.</w:t>
      </w:r>
      <w:r w:rsidRPr="005C21CD">
        <w:rPr>
          <w:rFonts w:hint="cs"/>
          <w:rtl/>
        </w:rPr>
        <w:t xml:space="preserve"> و</w:t>
      </w:r>
      <w:r w:rsidRPr="005C21CD">
        <w:rPr>
          <w:rtl/>
        </w:rPr>
        <w:t>الرُّشْدُ والرَّشدُ والرَّشَادُ: نقيض الضّلالة</w:t>
      </w:r>
      <w:r w:rsidRPr="005C21CD">
        <w:rPr>
          <w:vertAlign w:val="superscript"/>
          <w:rtl/>
        </w:rPr>
        <w:t>(</w:t>
      </w:r>
      <w:r w:rsidRPr="005C21CD">
        <w:rPr>
          <w:vertAlign w:val="superscript"/>
          <w:rtl/>
        </w:rPr>
        <w:footnoteReference w:id="947"/>
      </w:r>
      <w:r w:rsidRPr="005C21CD">
        <w:rPr>
          <w:vertAlign w:val="superscript"/>
          <w:rtl/>
        </w:rPr>
        <w:t>)</w:t>
      </w:r>
      <w:r w:rsidRPr="005C21CD">
        <w:rPr>
          <w:rtl/>
        </w:rPr>
        <w:t>.</w:t>
      </w:r>
    </w:p>
    <w:p w:rsidR="005C21CD" w:rsidRPr="005C21CD" w:rsidRDefault="005C21CD" w:rsidP="005C21CD">
      <w:pPr>
        <w:rPr>
          <w:rtl/>
        </w:rPr>
      </w:pPr>
    </w:p>
    <w:p w:rsidR="005C21CD" w:rsidRPr="005C21CD" w:rsidRDefault="005C21CD" w:rsidP="005C21CD">
      <w:pPr>
        <w:jc w:val="center"/>
        <w:rPr>
          <w:rtl/>
        </w:rPr>
      </w:pPr>
      <w:r w:rsidRPr="005C21CD">
        <w:rPr>
          <w:rtl/>
        </w:rPr>
        <w:t>تلخيص قصة أصحاب الكهف</w:t>
      </w:r>
    </w:p>
    <w:p w:rsidR="005C21CD" w:rsidRPr="005C21CD" w:rsidRDefault="005C21CD" w:rsidP="009B639B">
      <w:pPr>
        <w:ind w:firstLine="0"/>
        <w:rPr>
          <w:rtl/>
        </w:rPr>
      </w:pPr>
      <w:r w:rsidRPr="005C21CD">
        <w:rPr>
          <w:rtl/>
        </w:rPr>
        <w:t xml:space="preserve">اختلف العلماء في بُدُوِّ أمرهم، وسبب مصيرهم إِلى الكهف، على ثلاثة أقوال: أحدها: أنهم هربوا ليلاً </w:t>
      </w:r>
      <w:r w:rsidR="009B639B" w:rsidRPr="001277AD">
        <w:rPr>
          <w:rFonts w:hint="cs"/>
          <w:color w:val="0D0D0D" w:themeColor="text1" w:themeTint="F2"/>
          <w:sz w:val="32"/>
          <w:szCs w:val="32"/>
          <w:rtl/>
        </w:rPr>
        <w:t>[</w:t>
      </w:r>
      <w:r w:rsidR="009B639B">
        <w:rPr>
          <w:rFonts w:hint="cs"/>
          <w:color w:val="0D0D0D" w:themeColor="text1" w:themeTint="F2"/>
          <w:sz w:val="32"/>
          <w:szCs w:val="32"/>
          <w:rtl/>
        </w:rPr>
        <w:t>102</w:t>
      </w:r>
      <w:r w:rsidR="009B639B" w:rsidRPr="001277AD">
        <w:rPr>
          <w:rFonts w:hint="cs"/>
          <w:color w:val="0D0D0D" w:themeColor="text1" w:themeTint="F2"/>
          <w:sz w:val="32"/>
          <w:szCs w:val="32"/>
          <w:rtl/>
        </w:rPr>
        <w:t>]</w:t>
      </w:r>
      <w:r w:rsidR="009B639B" w:rsidRPr="00911ED4">
        <w:rPr>
          <w:rFonts w:ascii="Traditional Arabic" w:hAnsi="Traditional Arabic"/>
          <w:rtl/>
        </w:rPr>
        <w:t xml:space="preserve"> </w:t>
      </w:r>
      <w:r w:rsidRPr="005C21CD">
        <w:rPr>
          <w:rtl/>
        </w:rPr>
        <w:t>من م</w:t>
      </w:r>
      <w:r w:rsidRPr="005C21CD">
        <w:rPr>
          <w:rFonts w:hint="cs"/>
          <w:rtl/>
        </w:rPr>
        <w:t>َ</w:t>
      </w:r>
      <w:r w:rsidRPr="005C21CD">
        <w:rPr>
          <w:rtl/>
        </w:rPr>
        <w:t>ل</w:t>
      </w:r>
      <w:r w:rsidRPr="005C21CD">
        <w:rPr>
          <w:rFonts w:hint="cs"/>
          <w:rtl/>
        </w:rPr>
        <w:t>ِ</w:t>
      </w:r>
      <w:r w:rsidRPr="005C21CD">
        <w:rPr>
          <w:rtl/>
        </w:rPr>
        <w:t>كهم حين دعاهم إِلى عبادة الأصنام، فمروا براعٍ له كلب، فتبعهم على دينهم، فأوَوا إِلى الكهف يتعبَّدون، ورجل منهم يبتاع لهم أرزاقهم من المدينة، إِلى أن جاءهم يوماً فأخبرهم أنهم قد ذُكِروا، فبَكوا وتعَّوذوا بالله تعالى من الفتنة، فضرب الله تعالى على آذانهم، وأمر الملك فسدَّ عليهم الكهف، وهو يظنهم أيقاظاً، وقد توفَّى الله أرواحهم وفاة النَّوم، وكلبُهم قد غشيه ما غشيهم. ثم إِن رجلين مؤمنَيْن يكتمان إِيمانهما كتبا أسماءهم وأنسابهم وخبرهم في لوح من رصاص، وجعلاه في تابوت</w:t>
      </w:r>
      <w:r w:rsidRPr="005C21CD">
        <w:rPr>
          <w:vertAlign w:val="superscript"/>
          <w:rtl/>
        </w:rPr>
        <w:t>(</w:t>
      </w:r>
      <w:r w:rsidRPr="005C21CD">
        <w:rPr>
          <w:vertAlign w:val="superscript"/>
          <w:rtl/>
        </w:rPr>
        <w:footnoteReference w:id="948"/>
      </w:r>
      <w:r w:rsidRPr="005C21CD">
        <w:rPr>
          <w:vertAlign w:val="superscript"/>
          <w:rtl/>
        </w:rPr>
        <w:t>)</w:t>
      </w:r>
      <w:r w:rsidRPr="005C21CD">
        <w:rPr>
          <w:rtl/>
        </w:rPr>
        <w:t>من نحاس في البنيان، وقالا: لعل الله يُطْلع عليهم قوماً</w:t>
      </w:r>
      <w:r w:rsidR="009B639B">
        <w:rPr>
          <w:rFonts w:hint="cs"/>
          <w:rtl/>
        </w:rPr>
        <w:t xml:space="preserve"> </w:t>
      </w:r>
      <w:r w:rsidRPr="005C21CD">
        <w:rPr>
          <w:rtl/>
        </w:rPr>
        <w:t>مؤمنين، فيعلمون خبرهم، هذا قول ابن عباس</w:t>
      </w:r>
      <w:r w:rsidRPr="005C21CD">
        <w:rPr>
          <w:vertAlign w:val="superscript"/>
          <w:rtl/>
        </w:rPr>
        <w:t>(</w:t>
      </w:r>
      <w:r w:rsidRPr="005C21CD">
        <w:rPr>
          <w:vertAlign w:val="superscript"/>
          <w:rtl/>
        </w:rPr>
        <w:footnoteReference w:id="949"/>
      </w:r>
      <w:r w:rsidRPr="005C21CD">
        <w:rPr>
          <w:vertAlign w:val="superscript"/>
          <w:rtl/>
        </w:rPr>
        <w:t>)</w:t>
      </w:r>
      <w:r w:rsidRPr="005C21CD">
        <w:rPr>
          <w:rtl/>
        </w:rPr>
        <w:t>. وقال عبيد بن عمير: فَقَدهم قومهم فطلبوهم، فعمَّى الله عليهم أمرهم، فكتبوا أسماءهم وأنسابهم في لوح: فلان وفلان أبناء ملوكنا فَقَدْنَاهم في شهر كذا، في سنة كذا، في مملكة فلان، ووضعوا اللوح في خزانة الملك، وقالوا: لَيَكُونَنَّ لهذا شأن</w:t>
      </w:r>
      <w:r w:rsidRPr="005C21CD">
        <w:rPr>
          <w:vertAlign w:val="superscript"/>
          <w:rtl/>
        </w:rPr>
        <w:t>(</w:t>
      </w:r>
      <w:r w:rsidRPr="005C21CD">
        <w:rPr>
          <w:vertAlign w:val="superscript"/>
          <w:rtl/>
        </w:rPr>
        <w:footnoteReference w:id="950"/>
      </w:r>
      <w:r w:rsidRPr="005C21CD">
        <w:rPr>
          <w:vertAlign w:val="superscript"/>
          <w:rtl/>
        </w:rPr>
        <w:t>)</w:t>
      </w:r>
      <w:r w:rsidRPr="005C21CD">
        <w:rPr>
          <w:rtl/>
        </w:rPr>
        <w:t xml:space="preserve">. والثاني: أن أحد الحواريِّين جاء إِلى مدينة أصحاب الكهف، فأراد أن يدخلها، فقيل له: إِن على بابها صنماً لا يدخلها أحد إِلا سجد له، فكره أن يدخلها، </w:t>
      </w:r>
      <w:r w:rsidRPr="005C21CD">
        <w:rPr>
          <w:rtl/>
        </w:rPr>
        <w:lastRenderedPageBreak/>
        <w:t>فأتى حمَّاماً</w:t>
      </w:r>
      <w:r w:rsidRPr="005C21CD">
        <w:rPr>
          <w:vertAlign w:val="superscript"/>
          <w:rtl/>
        </w:rPr>
        <w:t>(</w:t>
      </w:r>
      <w:r w:rsidRPr="005C21CD">
        <w:rPr>
          <w:vertAlign w:val="superscript"/>
          <w:rtl/>
        </w:rPr>
        <w:footnoteReference w:id="951"/>
      </w:r>
      <w:r w:rsidRPr="005C21CD">
        <w:rPr>
          <w:vertAlign w:val="superscript"/>
          <w:rtl/>
        </w:rPr>
        <w:t>)</w:t>
      </w:r>
      <w:r w:rsidRPr="005C21CD">
        <w:rPr>
          <w:rtl/>
        </w:rPr>
        <w:t>قريباً من المدينة، فكان يعمل فيه بالأجْر، وعلقه</w:t>
      </w:r>
      <w:r w:rsidRPr="005C21CD">
        <w:rPr>
          <w:vertAlign w:val="superscript"/>
          <w:rtl/>
        </w:rPr>
        <w:t>(</w:t>
      </w:r>
      <w:r w:rsidRPr="005C21CD">
        <w:rPr>
          <w:vertAlign w:val="superscript"/>
          <w:rtl/>
        </w:rPr>
        <w:footnoteReference w:id="952"/>
      </w:r>
      <w:r w:rsidRPr="005C21CD">
        <w:rPr>
          <w:vertAlign w:val="superscript"/>
          <w:rtl/>
        </w:rPr>
        <w:t>)</w:t>
      </w:r>
      <w:r w:rsidRPr="005C21CD">
        <w:rPr>
          <w:rtl/>
        </w:rPr>
        <w:t>فتية من أهل المدينة، فجعل يخبرهم عن خبر السماء والأرض، وخبر الآخرة، فآمنوا به وصدَّقوه، حتى جاء ابن الملك يوماً بامرأة، فدخل معها الحمَّام، فأنكر عليه الحواريُّ ذلك، فسبَّه ودخل، فمات وماتت المرأة في الحمام، فأتى الملك، فقيل له: إِن صاحب الحمام قتل ابنك، فالْتُمِس فهرب، فقال: من كان يصحبه؟ فسُمي له الفتيةُ، فالْتُمِسوا فخرجوا من المدينة، فمروا على صاحب لهم في زرع، وهو على مثل أمرهم، فانطلق معهم ومعه كلب حتى آواهم الليل إلى الكهف، فدخلوه فقالوا: نبيت ها هنا، ثم نصبح إِن شاء الله فتَرَون رأيكم، فضرب الله على آذانهم فناموا وخرج الملك، وأصحابه يتبعونهم، فوجدوهم قد دخلوا الكهف، فكلما أراد رجل أن يدخل الكهف أُرعب، فقال قائل للملك: أليس قلتَ: إِن قدرتُ عليهم قتلتُهم؟ قال: بلى، قال: فابن عليهم باب الكهف حتى يموتوا جوعاً وعطشاً، ففعل، هذا قول وهب بن منبِّه</w:t>
      </w:r>
      <w:r w:rsidRPr="005C21CD">
        <w:rPr>
          <w:vertAlign w:val="superscript"/>
          <w:rtl/>
        </w:rPr>
        <w:t>(</w:t>
      </w:r>
      <w:r w:rsidRPr="005C21CD">
        <w:rPr>
          <w:vertAlign w:val="superscript"/>
          <w:rtl/>
        </w:rPr>
        <w:footnoteReference w:id="953"/>
      </w:r>
      <w:r w:rsidRPr="005C21CD">
        <w:rPr>
          <w:vertAlign w:val="superscript"/>
          <w:rtl/>
        </w:rPr>
        <w:t>)</w:t>
      </w:r>
      <w:r w:rsidRPr="005C21CD">
        <w:rPr>
          <w:rtl/>
        </w:rPr>
        <w:t>. والثالث: أنهم كانوا أبناء عظماء المدينة وأشرافهم، خرجوا فاجتمعوا وراء المدينة على غير ميعاد، فقال رجل منهم: هو أسنهم: إِني لأجد في</w:t>
      </w:r>
      <w:r w:rsidR="009B639B">
        <w:rPr>
          <w:rFonts w:hint="cs"/>
          <w:color w:val="0D0D0D" w:themeColor="text1" w:themeTint="F2"/>
          <w:sz w:val="32"/>
          <w:szCs w:val="32"/>
          <w:rtl/>
        </w:rPr>
        <w:t xml:space="preserve"> </w:t>
      </w:r>
      <w:r w:rsidRPr="005C21CD">
        <w:rPr>
          <w:rtl/>
        </w:rPr>
        <w:t xml:space="preserve">نفسي شيئاً ما أظن أحداً يجده، فقالوا: ما تجد؟ قال: أجد في </w:t>
      </w:r>
      <w:r w:rsidR="009B639B" w:rsidRPr="001277AD">
        <w:rPr>
          <w:rFonts w:hint="cs"/>
          <w:color w:val="0D0D0D" w:themeColor="text1" w:themeTint="F2"/>
          <w:sz w:val="32"/>
          <w:szCs w:val="32"/>
          <w:rtl/>
        </w:rPr>
        <w:t>[</w:t>
      </w:r>
      <w:r w:rsidR="009B639B">
        <w:rPr>
          <w:rFonts w:hint="cs"/>
          <w:color w:val="0D0D0D" w:themeColor="text1" w:themeTint="F2"/>
          <w:sz w:val="32"/>
          <w:szCs w:val="32"/>
          <w:rtl/>
        </w:rPr>
        <w:t>103</w:t>
      </w:r>
      <w:r w:rsidR="009B639B" w:rsidRPr="001277AD">
        <w:rPr>
          <w:rFonts w:hint="cs"/>
          <w:color w:val="0D0D0D" w:themeColor="text1" w:themeTint="F2"/>
          <w:sz w:val="32"/>
          <w:szCs w:val="32"/>
          <w:rtl/>
        </w:rPr>
        <w:t>]</w:t>
      </w:r>
      <w:r w:rsidR="009B639B" w:rsidRPr="00911ED4">
        <w:rPr>
          <w:rFonts w:ascii="Traditional Arabic" w:hAnsi="Traditional Arabic"/>
          <w:rtl/>
        </w:rPr>
        <w:t xml:space="preserve"> </w:t>
      </w:r>
      <w:r w:rsidRPr="005C21CD">
        <w:rPr>
          <w:rtl/>
        </w:rPr>
        <w:t>نفسي أن ربي ربُّ السموات والأرض، فقاموا جميعاً فقالوا: ربُّنا ربُّ السموات والأرض. فأجمعوا أن يدخلوا الكهف، فدخلوا، فلبثوا ما شاء الله، هذا قول مجاهد</w:t>
      </w:r>
      <w:r w:rsidRPr="005C21CD">
        <w:rPr>
          <w:vertAlign w:val="superscript"/>
          <w:rtl/>
        </w:rPr>
        <w:t>(</w:t>
      </w:r>
      <w:r w:rsidRPr="005C21CD">
        <w:rPr>
          <w:vertAlign w:val="superscript"/>
          <w:rtl/>
        </w:rPr>
        <w:footnoteReference w:id="954"/>
      </w:r>
      <w:r w:rsidRPr="005C21CD">
        <w:rPr>
          <w:vertAlign w:val="superscript"/>
          <w:rtl/>
        </w:rPr>
        <w:t>)</w:t>
      </w:r>
      <w:r w:rsidRPr="005C21CD">
        <w:rPr>
          <w:rtl/>
        </w:rPr>
        <w:t>. وقال قتادة:</w:t>
      </w:r>
      <w:r w:rsidRPr="005C21CD">
        <w:rPr>
          <w:rFonts w:hint="cs"/>
          <w:rtl/>
        </w:rPr>
        <w:t xml:space="preserve"> </w:t>
      </w:r>
      <w:r w:rsidRPr="005C21CD">
        <w:rPr>
          <w:rtl/>
        </w:rPr>
        <w:t>كانوا أبناء ملوك الروم، فتفرَّدوا بدينهم في الكهف، فضرب الله على آذانهم</w:t>
      </w:r>
      <w:r w:rsidRPr="005C21CD">
        <w:rPr>
          <w:vertAlign w:val="superscript"/>
          <w:rtl/>
        </w:rPr>
        <w:t>(</w:t>
      </w:r>
      <w:r w:rsidRPr="005C21CD">
        <w:rPr>
          <w:vertAlign w:val="superscript"/>
          <w:rtl/>
        </w:rPr>
        <w:footnoteReference w:id="955"/>
      </w:r>
      <w:r w:rsidRPr="005C21CD">
        <w:rPr>
          <w:vertAlign w:val="superscript"/>
          <w:rtl/>
        </w:rPr>
        <w:t>)</w:t>
      </w:r>
      <w:r w:rsidRPr="005C21CD">
        <w:rPr>
          <w:rtl/>
        </w:rPr>
        <w:t>.</w:t>
      </w:r>
    </w:p>
    <w:p w:rsidR="006C247D" w:rsidRDefault="006C247D" w:rsidP="005C21CD">
      <w:pPr>
        <w:ind w:firstLine="0"/>
        <w:jc w:val="center"/>
        <w:rPr>
          <w:rtl/>
        </w:rPr>
      </w:pPr>
    </w:p>
    <w:p w:rsidR="00556FED" w:rsidRDefault="00556FED" w:rsidP="005C21CD">
      <w:pPr>
        <w:ind w:firstLine="0"/>
        <w:jc w:val="center"/>
        <w:rPr>
          <w:rtl/>
        </w:rPr>
      </w:pPr>
    </w:p>
    <w:p w:rsidR="00556FED" w:rsidRDefault="00556FED" w:rsidP="005C21CD">
      <w:pPr>
        <w:ind w:firstLine="0"/>
        <w:jc w:val="center"/>
        <w:rPr>
          <w:rtl/>
        </w:rPr>
      </w:pPr>
    </w:p>
    <w:p w:rsidR="005C21CD" w:rsidRPr="005C21CD" w:rsidRDefault="005C21CD" w:rsidP="005C21CD">
      <w:pPr>
        <w:ind w:firstLine="0"/>
        <w:jc w:val="center"/>
        <w:rPr>
          <w:rtl/>
        </w:rPr>
      </w:pPr>
      <w:r w:rsidRPr="005C21CD">
        <w:rPr>
          <w:rtl/>
        </w:rPr>
        <w:lastRenderedPageBreak/>
        <w:t>فصل</w:t>
      </w:r>
    </w:p>
    <w:p w:rsidR="005C21CD" w:rsidRPr="005C21CD" w:rsidRDefault="005C21CD" w:rsidP="00C76CC2">
      <w:pPr>
        <w:ind w:firstLine="0"/>
        <w:rPr>
          <w:rtl/>
        </w:rPr>
      </w:pPr>
      <w:r w:rsidRPr="005C21CD">
        <w:rPr>
          <w:rtl/>
        </w:rPr>
        <w:t>فأما سبب بعث أصحاب الكهف من نومهم، فقال عكرمة: جاءت أمّةٌ مسلمةٌ، وكان ملكهم مسلماً، فاختلفوا في الروح والجسد، فقال قائل: يُبعث الروح والجسد. وقال قائل: يبعث الروح وحده، والجسد تأكله الأرض فلا يكون شيئاً، فشق اختلافهم على الملك، فانطلق فلبس الم</w:t>
      </w:r>
      <w:r w:rsidR="003274F7">
        <w:rPr>
          <w:rFonts w:hint="cs"/>
          <w:rtl/>
        </w:rPr>
        <w:t>َ</w:t>
      </w:r>
      <w:r w:rsidRPr="005C21CD">
        <w:rPr>
          <w:rtl/>
        </w:rPr>
        <w:t>سوخ</w:t>
      </w:r>
      <w:r w:rsidR="00DD1859" w:rsidRPr="00DD1859">
        <w:rPr>
          <w:rStyle w:val="ae"/>
          <w:rtl/>
        </w:rPr>
        <w:t>(</w:t>
      </w:r>
      <w:r w:rsidR="00DD1859">
        <w:rPr>
          <w:rStyle w:val="ae"/>
          <w:rtl/>
        </w:rPr>
        <w:footnoteReference w:id="956"/>
      </w:r>
      <w:r w:rsidR="00DD1859" w:rsidRPr="00DD1859">
        <w:rPr>
          <w:rStyle w:val="ae"/>
          <w:rtl/>
        </w:rPr>
        <w:t>)</w:t>
      </w:r>
      <w:r w:rsidRPr="005C21CD">
        <w:rPr>
          <w:rtl/>
        </w:rPr>
        <w:t>، وقعد على الرماد، ودعا الله أن يبعث لهم آية تبين لهم، فبعث الله أصحاب الكهف</w:t>
      </w:r>
      <w:r w:rsidRPr="005C21CD">
        <w:rPr>
          <w:vertAlign w:val="superscript"/>
          <w:rtl/>
        </w:rPr>
        <w:t>(</w:t>
      </w:r>
      <w:r w:rsidRPr="005C21CD">
        <w:rPr>
          <w:vertAlign w:val="superscript"/>
          <w:rtl/>
        </w:rPr>
        <w:footnoteReference w:id="957"/>
      </w:r>
      <w:r w:rsidRPr="005C21CD">
        <w:rPr>
          <w:vertAlign w:val="superscript"/>
          <w:rtl/>
        </w:rPr>
        <w:t>)</w:t>
      </w:r>
      <w:r w:rsidRPr="005C21CD">
        <w:rPr>
          <w:rtl/>
        </w:rPr>
        <w:t>. قال</w:t>
      </w:r>
      <w:r w:rsidRPr="005C21CD">
        <w:rPr>
          <w:rFonts w:hint="cs"/>
          <w:rtl/>
        </w:rPr>
        <w:t xml:space="preserve"> </w:t>
      </w:r>
      <w:r w:rsidRPr="005C21CD">
        <w:rPr>
          <w:rtl/>
        </w:rPr>
        <w:t>وهب بن منبه: جاء راعٍ قد أدركه المطر إِلى الكهف، فقال: لو فتحت هذا الكهف، وأدخلته غنمي من المطر، فلم يزل يعالجه حتى فتحه، ورد الله إِليهم أرواحهم حين أصبحوا من الغد</w:t>
      </w:r>
      <w:r w:rsidRPr="005C21CD">
        <w:rPr>
          <w:vertAlign w:val="superscript"/>
          <w:rtl/>
        </w:rPr>
        <w:t>(</w:t>
      </w:r>
      <w:r w:rsidRPr="005C21CD">
        <w:rPr>
          <w:vertAlign w:val="superscript"/>
          <w:rtl/>
        </w:rPr>
        <w:footnoteReference w:id="958"/>
      </w:r>
      <w:r w:rsidRPr="005C21CD">
        <w:rPr>
          <w:vertAlign w:val="superscript"/>
          <w:rtl/>
        </w:rPr>
        <w:t>)</w:t>
      </w:r>
      <w:r w:rsidRPr="005C21CD">
        <w:rPr>
          <w:rtl/>
        </w:rPr>
        <w:t>. وقال ابن السائب:</w:t>
      </w:r>
      <w:r w:rsidRPr="005C21CD">
        <w:rPr>
          <w:rFonts w:hint="cs"/>
          <w:rtl/>
        </w:rPr>
        <w:t xml:space="preserve"> </w:t>
      </w:r>
      <w:r w:rsidRPr="005C21CD">
        <w:rPr>
          <w:rtl/>
        </w:rPr>
        <w:t>احتاج صاحب الأرض التي فيها الكهف أن يبني حظيرة لغنمه، فهدم ذلك السدَّ، فبنى به، فانفتح باب الكهف</w:t>
      </w:r>
      <w:r w:rsidRPr="005C21CD">
        <w:rPr>
          <w:vertAlign w:val="superscript"/>
          <w:rtl/>
        </w:rPr>
        <w:t>(</w:t>
      </w:r>
      <w:r w:rsidRPr="005C21CD">
        <w:rPr>
          <w:vertAlign w:val="superscript"/>
          <w:rtl/>
        </w:rPr>
        <w:footnoteReference w:id="959"/>
      </w:r>
      <w:r w:rsidRPr="005C21CD">
        <w:rPr>
          <w:vertAlign w:val="superscript"/>
          <w:rtl/>
        </w:rPr>
        <w:t>)</w:t>
      </w:r>
      <w:r w:rsidRPr="005C21CD">
        <w:rPr>
          <w:rtl/>
        </w:rPr>
        <w:t>. وقال ابن إِسحاق</w:t>
      </w:r>
      <w:r w:rsidRPr="005C21CD">
        <w:rPr>
          <w:vertAlign w:val="superscript"/>
          <w:rtl/>
        </w:rPr>
        <w:t>(</w:t>
      </w:r>
      <w:r w:rsidRPr="005C21CD">
        <w:rPr>
          <w:vertAlign w:val="superscript"/>
          <w:rtl/>
        </w:rPr>
        <w:footnoteReference w:id="960"/>
      </w:r>
      <w:r w:rsidRPr="005C21CD">
        <w:rPr>
          <w:vertAlign w:val="superscript"/>
          <w:rtl/>
        </w:rPr>
        <w:t>)</w:t>
      </w:r>
      <w:r w:rsidRPr="005C21CD">
        <w:rPr>
          <w:rtl/>
        </w:rPr>
        <w:t>: ألقى الله في نفس رجل من أهل البلد أن يهدم ذلك البنيان فيبني به حظيرة لغنمه</w:t>
      </w:r>
      <w:r w:rsidRPr="005C21CD">
        <w:rPr>
          <w:vertAlign w:val="superscript"/>
          <w:rtl/>
        </w:rPr>
        <w:t>(</w:t>
      </w:r>
      <w:r w:rsidRPr="005C21CD">
        <w:rPr>
          <w:vertAlign w:val="superscript"/>
          <w:rtl/>
        </w:rPr>
        <w:footnoteReference w:id="961"/>
      </w:r>
      <w:r w:rsidRPr="005C21CD">
        <w:rPr>
          <w:vertAlign w:val="superscript"/>
          <w:rtl/>
        </w:rPr>
        <w:t>)</w:t>
      </w:r>
      <w:r w:rsidRPr="005C21CD">
        <w:rPr>
          <w:rFonts w:hint="cs"/>
          <w:rtl/>
        </w:rPr>
        <w:t>؛</w:t>
      </w:r>
      <w:r w:rsidRPr="005C21CD">
        <w:rPr>
          <w:rtl/>
        </w:rPr>
        <w:t xml:space="preserve"> فاستأجر عاملين ينزعان تلك الحجارة، فنزعاها، وفتحا باب الكهف، فجلسوا فرحين، فسلَّم بعضهم على بعض لا يرون في وجوههم ولا أجسادهم شيئا</w:t>
      </w:r>
      <w:r w:rsidRPr="005C21CD">
        <w:rPr>
          <w:vertAlign w:val="superscript"/>
          <w:rtl/>
        </w:rPr>
        <w:t>(</w:t>
      </w:r>
      <w:r w:rsidRPr="005C21CD">
        <w:rPr>
          <w:vertAlign w:val="superscript"/>
          <w:rtl/>
        </w:rPr>
        <w:footnoteReference w:id="962"/>
      </w:r>
      <w:r w:rsidRPr="005C21CD">
        <w:rPr>
          <w:vertAlign w:val="superscript"/>
          <w:rtl/>
        </w:rPr>
        <w:t>)</w:t>
      </w:r>
      <w:r w:rsidRPr="005C21CD">
        <w:rPr>
          <w:rtl/>
        </w:rPr>
        <w:t>يكرهونه، إنما</w:t>
      </w:r>
      <w:r w:rsidRPr="005C21CD">
        <w:rPr>
          <w:rFonts w:hint="cs"/>
          <w:rtl/>
        </w:rPr>
        <w:t xml:space="preserve"> هم على</w:t>
      </w:r>
      <w:r w:rsidRPr="005C21CD">
        <w:rPr>
          <w:rtl/>
        </w:rPr>
        <w:t xml:space="preserve"> هيئتهم</w:t>
      </w:r>
      <w:r w:rsidRPr="005C21CD">
        <w:rPr>
          <w:vertAlign w:val="superscript"/>
          <w:rtl/>
        </w:rPr>
        <w:t>(</w:t>
      </w:r>
      <w:r w:rsidRPr="005C21CD">
        <w:rPr>
          <w:vertAlign w:val="superscript"/>
          <w:rtl/>
        </w:rPr>
        <w:footnoteReference w:id="963"/>
      </w:r>
      <w:r w:rsidRPr="005C21CD">
        <w:rPr>
          <w:vertAlign w:val="superscript"/>
          <w:rtl/>
        </w:rPr>
        <w:t>)</w:t>
      </w:r>
      <w:r w:rsidRPr="005C21CD">
        <w:rPr>
          <w:rtl/>
        </w:rPr>
        <w:t xml:space="preserve">حين رقدوا وهم يرون أن ملكهم في طلبهم، فصلّوا، وقالوا ليمليخا صاحب نفقتهم: انطلق فاستمع، </w:t>
      </w:r>
      <w:r w:rsidRPr="005C21CD">
        <w:rPr>
          <w:rtl/>
        </w:rPr>
        <w:lastRenderedPageBreak/>
        <w:t xml:space="preserve">ما نُذكَر به، وابتغ لنا طعاماً، فوضع ثيابه، وأخذ الثياب التي كان يتنكر فيها، وخرج فرأى الحجارة قد نزعت عن باب الكهف، فعجب، ثم مَرَّ مستخفياً متخوِّفاً أن يراه أحد فيذهب به إِلى الملك، فلما رأى باب المدينة رأى عليه علامة تكون لأهل الإيمان، فعجب، فخيّل إِليه أنها ليست بالمدينة التي يعرف، ورأى ناساً لا يعرفهم، فجعل يتعجب ويقول: لعلِّي نائم فلما دخلها رأى قوماً يحلفون باسم عيسى، فقام مسنداً ظهره إِلى جدار، وقال في نفسه: والله ما أدري ما هذا، عشية أمس لم يكن على </w:t>
      </w:r>
      <w:r w:rsidR="0031408B">
        <w:rPr>
          <w:rFonts w:hint="cs"/>
          <w:rtl/>
        </w:rPr>
        <w:t>[</w:t>
      </w:r>
      <w:r w:rsidRPr="005C21CD">
        <w:rPr>
          <w:rtl/>
        </w:rPr>
        <w:t>وجه</w:t>
      </w:r>
      <w:r w:rsidR="0031408B">
        <w:rPr>
          <w:rFonts w:hint="cs"/>
          <w:rtl/>
        </w:rPr>
        <w:t>]</w:t>
      </w:r>
      <w:r w:rsidRPr="005C21CD">
        <w:rPr>
          <w:vertAlign w:val="superscript"/>
          <w:rtl/>
        </w:rPr>
        <w:t>(</w:t>
      </w:r>
      <w:r w:rsidRPr="005C21CD">
        <w:rPr>
          <w:vertAlign w:val="superscript"/>
          <w:rtl/>
        </w:rPr>
        <w:footnoteReference w:id="964"/>
      </w:r>
      <w:r w:rsidRPr="005C21CD">
        <w:rPr>
          <w:vertAlign w:val="superscript"/>
          <w:rtl/>
        </w:rPr>
        <w:t>)</w:t>
      </w:r>
      <w:r w:rsidRPr="005C21CD">
        <w:rPr>
          <w:rtl/>
        </w:rPr>
        <w:t>الأرض من يذكر عيسى إِلا قُتل، واليوم أسمعهم يذكرونه، لعل هذه ليست المدينة التي أعرف، والله ما أعرف مدينة قرب مدينتنا فقام كالحيران،</w:t>
      </w:r>
      <w:r w:rsidR="009B639B">
        <w:rPr>
          <w:rFonts w:hint="cs"/>
          <w:color w:val="0D0D0D" w:themeColor="text1" w:themeTint="F2"/>
          <w:sz w:val="32"/>
          <w:szCs w:val="32"/>
          <w:rtl/>
        </w:rPr>
        <w:t xml:space="preserve"> </w:t>
      </w:r>
      <w:r w:rsidR="009B639B" w:rsidRPr="001277AD">
        <w:rPr>
          <w:rFonts w:hint="cs"/>
          <w:color w:val="0D0D0D" w:themeColor="text1" w:themeTint="F2"/>
          <w:sz w:val="32"/>
          <w:szCs w:val="32"/>
          <w:rtl/>
        </w:rPr>
        <w:t>[</w:t>
      </w:r>
      <w:r w:rsidR="009B639B">
        <w:rPr>
          <w:rFonts w:hint="cs"/>
          <w:color w:val="0D0D0D" w:themeColor="text1" w:themeTint="F2"/>
          <w:sz w:val="32"/>
          <w:szCs w:val="32"/>
          <w:rtl/>
        </w:rPr>
        <w:t>104</w:t>
      </w:r>
      <w:r w:rsidR="009B639B" w:rsidRPr="001277AD">
        <w:rPr>
          <w:rFonts w:hint="cs"/>
          <w:color w:val="0D0D0D" w:themeColor="text1" w:themeTint="F2"/>
          <w:sz w:val="32"/>
          <w:szCs w:val="32"/>
          <w:rtl/>
        </w:rPr>
        <w:t>]</w:t>
      </w:r>
      <w:r w:rsidRPr="005C21CD">
        <w:rPr>
          <w:rtl/>
        </w:rPr>
        <w:t xml:space="preserve"> وأخرج ورقا فأعطاه رجلا فقال: بعني طعاماً، فنظر الرجل إِلى نقشه فعجب، ثم ألقاه إِلى آخر، فجعلوا يتطارحونه بينهم، ويتعجبون، ويتشاورون، وقالوا: إِن هذا قد أصاب كنزاً، فَفَرق منهم، وظنَّهم قد عرفوه، فقال: أمسكوا طعامكم فلا حاجة بي إِليه</w:t>
      </w:r>
      <w:r w:rsidRPr="005C21CD">
        <w:rPr>
          <w:vertAlign w:val="superscript"/>
          <w:rtl/>
        </w:rPr>
        <w:t>(</w:t>
      </w:r>
      <w:r w:rsidRPr="005C21CD">
        <w:rPr>
          <w:vertAlign w:val="superscript"/>
          <w:rtl/>
        </w:rPr>
        <w:footnoteReference w:id="965"/>
      </w:r>
      <w:r w:rsidRPr="005C21CD">
        <w:rPr>
          <w:vertAlign w:val="superscript"/>
          <w:rtl/>
        </w:rPr>
        <w:t>)</w:t>
      </w:r>
      <w:r w:rsidRPr="005C21CD">
        <w:rPr>
          <w:rtl/>
        </w:rPr>
        <w:t>، فقالوا له: من أنت يا فتى؟ والله لقد وجدتَ كنزاً وأنت تريد أن تخفيه، شاركنا فيه وإِلا أتينا بك إِلى السلطان فيقتلك.</w:t>
      </w:r>
      <w:r w:rsidRPr="005C21CD">
        <w:rPr>
          <w:rFonts w:hint="cs"/>
          <w:rtl/>
        </w:rPr>
        <w:t xml:space="preserve"> </w:t>
      </w:r>
      <w:r w:rsidRPr="005C21CD">
        <w:rPr>
          <w:rtl/>
        </w:rPr>
        <w:t>فلم يدر ما يقول، فطرحوا كساءه في عنقه وهو يبكي ويقول: فُرِّقَ بيني وبين إِخوتي يا ليتهم يعلمون ما لقيتُ. فأتَوا به إلى رجلين كانا يديران أمر المدينة، فقالا: أين الكنز الذي وجدتَ؟ قال: ما وجدتُ كنزاً، ولكن هذه وَرِق آبائي، ونقش هذه المدينة وضربها، ولكن والله ما أدري ما شأني، ولا ما أقول لكم</w:t>
      </w:r>
      <w:r w:rsidRPr="005C21CD">
        <w:rPr>
          <w:vertAlign w:val="superscript"/>
          <w:rtl/>
        </w:rPr>
        <w:t>(</w:t>
      </w:r>
      <w:r w:rsidRPr="005C21CD">
        <w:rPr>
          <w:vertAlign w:val="superscript"/>
          <w:rtl/>
        </w:rPr>
        <w:footnoteReference w:id="966"/>
      </w:r>
      <w:r w:rsidRPr="005C21CD">
        <w:rPr>
          <w:vertAlign w:val="superscript"/>
          <w:rtl/>
        </w:rPr>
        <w:t>)</w:t>
      </w:r>
      <w:r w:rsidRPr="005C21CD">
        <w:rPr>
          <w:rtl/>
        </w:rPr>
        <w:t>. قال مجاهد: كان وَرِق أصحاب الكهف مثل أخفاف الإِبل، فقالوا: من أنت، وما اسم أبيك؟</w:t>
      </w:r>
      <w:r w:rsidRPr="005C21CD">
        <w:rPr>
          <w:rFonts w:hint="cs"/>
          <w:rtl/>
        </w:rPr>
        <w:t xml:space="preserve"> </w:t>
      </w:r>
      <w:r w:rsidRPr="005C21CD">
        <w:rPr>
          <w:rtl/>
        </w:rPr>
        <w:t>فأخبرهم، فلم يجدوا من يعرفه، فقال له أحدهما: أتظن أنك تسخر مِنّا وخزائن هذه البلدة بأيدينا، وليس عندنا من هذا الضرب درهم ولا دينار؟! إني سآمر بك فتعذَّب عذاباً شديداً، ثم أوثقك حتى تعترف بهذا الكنز، فقال يمليخا: أنبئوني عن شيء أسالكم عنه، فإن فعلتم صَدَقتكم، قالوا: سل، قال: ما فعل الملك دقيانوس؟ قالوا</w:t>
      </w:r>
      <w:r w:rsidRPr="005C21CD">
        <w:rPr>
          <w:vertAlign w:val="superscript"/>
          <w:rtl/>
        </w:rPr>
        <w:t>(</w:t>
      </w:r>
      <w:r w:rsidRPr="005C21CD">
        <w:rPr>
          <w:vertAlign w:val="superscript"/>
          <w:rtl/>
        </w:rPr>
        <w:footnoteReference w:id="967"/>
      </w:r>
      <w:r w:rsidRPr="005C21CD">
        <w:rPr>
          <w:vertAlign w:val="superscript"/>
          <w:rtl/>
        </w:rPr>
        <w:t>)</w:t>
      </w:r>
      <w:r w:rsidRPr="005C21CD">
        <w:rPr>
          <w:rtl/>
        </w:rPr>
        <w:t xml:space="preserve">: لا نعرف اليوم على وجه الأرض مَلِكاً يسمى دقيانوس، وإِنما هذا ملك كان منذ زمان طويل، وهلكت بعده قرون كثيرة، فقال: والله ما يصدِّقني أحد بما أقوله، لقد كُنّا </w:t>
      </w:r>
      <w:r w:rsidRPr="005C21CD">
        <w:rPr>
          <w:rtl/>
        </w:rPr>
        <w:lastRenderedPageBreak/>
        <w:t>فتيةً، وأكرهنا الملكُ على عبادة الأوثان والذبح للطواغيت فهربنا منه عشية أمسِ فنمنا، فلما انتبهنا خرجتُ أشتري لأصحابي طعاماً، فإذا أنا كما ترون، فانطلقوا معي إِلى الكهف أُريكم أصحابي.</w:t>
      </w:r>
      <w:r w:rsidRPr="005C21CD">
        <w:rPr>
          <w:rFonts w:hint="cs"/>
          <w:rtl/>
        </w:rPr>
        <w:t xml:space="preserve"> </w:t>
      </w:r>
      <w:r w:rsidRPr="005C21CD">
        <w:rPr>
          <w:rtl/>
        </w:rPr>
        <w:t>فانطلقوا معه وسائر أهل المدينة، وكان أصحابه قد ظنوا لإِبطائه عليهم أنه قد أُخذ، فبينما هم يتخوّفون ذلك، إِذ سمعوا الأصوات وجلبة الخيل، فظنوا أنهم رُسُل دقيانوس، فقاموا إِلى الصلاة، وسلَّم بعضهم على بعض، فسبق يمليخا إِليهم وهو يبكي، فبكَوا معه، وسألوه عن شأنه، فأخبرهم خبره، وقصّ عليهم النبأَ كلَّه، فعرفوا أنهم كانوا نياماً بأمر الله تعالى، وإنما أوقظوا ليكونوا آية للناس، وتصديقا للبعث، ونظر الناس إلى المسطور الذي فيه أسماؤهم وقصتهم، فعجبوا، وأرسلوا إِلى ملكهم فجاء،</w:t>
      </w:r>
      <w:r w:rsidRPr="005C21CD">
        <w:rPr>
          <w:rFonts w:hint="cs"/>
          <w:rtl/>
        </w:rPr>
        <w:t xml:space="preserve"> </w:t>
      </w:r>
      <w:r w:rsidRPr="005C21CD">
        <w:rPr>
          <w:rtl/>
        </w:rPr>
        <w:t xml:space="preserve">واعتنق القومَ، وبكى، </w:t>
      </w:r>
      <w:r w:rsidR="009B639B" w:rsidRPr="001277AD">
        <w:rPr>
          <w:rFonts w:hint="cs"/>
          <w:color w:val="0D0D0D" w:themeColor="text1" w:themeTint="F2"/>
          <w:sz w:val="32"/>
          <w:szCs w:val="32"/>
          <w:rtl/>
        </w:rPr>
        <w:t>[</w:t>
      </w:r>
      <w:r w:rsidR="009B639B">
        <w:rPr>
          <w:rFonts w:hint="cs"/>
          <w:color w:val="0D0D0D" w:themeColor="text1" w:themeTint="F2"/>
          <w:sz w:val="32"/>
          <w:szCs w:val="32"/>
          <w:rtl/>
        </w:rPr>
        <w:t>105</w:t>
      </w:r>
      <w:r w:rsidR="009B639B" w:rsidRPr="001277AD">
        <w:rPr>
          <w:rFonts w:hint="cs"/>
          <w:color w:val="0D0D0D" w:themeColor="text1" w:themeTint="F2"/>
          <w:sz w:val="32"/>
          <w:szCs w:val="32"/>
          <w:rtl/>
        </w:rPr>
        <w:t>]</w:t>
      </w:r>
      <w:r w:rsidR="009B639B" w:rsidRPr="00911ED4">
        <w:rPr>
          <w:rFonts w:ascii="Traditional Arabic" w:hAnsi="Traditional Arabic"/>
          <w:rtl/>
        </w:rPr>
        <w:t xml:space="preserve"> </w:t>
      </w:r>
      <w:r w:rsidRPr="005C21CD">
        <w:rPr>
          <w:rtl/>
        </w:rPr>
        <w:t>فقالوا له: نستودعك الله ونقرأ عليك السلام، حفظك الله، وحفظ ملكك. فبينا الملك قائم رجعوا إِلى مضاجعهم، وتوفَّى الله عزَّ وجلَّ أنفسهم، فأمر الملك أن يُجعل لكل واحد منهم تابوت من ذهب، فلما أَمْسَواْ رآهم في المنام، فقالوا: إِنا لم نُخلَق من ذهب وفضة، ولكن خُلقنا من تراب، فاتركنا كما كُنّا في الكهف على التّراب حتى يبعثنا الله عزّ وجلّ منه، وحجبهم الله عزّ وجلّ حين خرجوا من عندهم بالرُّعْب، فلم يقدر أحد أن يدخل عليهم، وأمر المَلِك فجُعِل على باب الكهف مسجدٌ يصلَّى فيه، وجعل لهم عيداً عظيماً يؤتَى كلَّ سنة، وقيل: إِنه لما جاء يمليخا ومعه الناس، قال:</w:t>
      </w:r>
      <w:r w:rsidRPr="005C21CD">
        <w:rPr>
          <w:rFonts w:hint="cs"/>
          <w:rtl/>
        </w:rPr>
        <w:t xml:space="preserve"> </w:t>
      </w:r>
      <w:r w:rsidRPr="005C21CD">
        <w:rPr>
          <w:rtl/>
        </w:rPr>
        <w:t>دعو</w:t>
      </w:r>
      <w:r w:rsidR="00DD1859">
        <w:rPr>
          <w:rtl/>
        </w:rPr>
        <w:t>ني أدخل على أصحابي فأبشِّرهم، ف</w:t>
      </w:r>
      <w:r w:rsidR="00DD1859">
        <w:rPr>
          <w:rFonts w:hint="cs"/>
          <w:rtl/>
        </w:rPr>
        <w:t>إ</w:t>
      </w:r>
      <w:r w:rsidRPr="005C21CD">
        <w:rPr>
          <w:rtl/>
        </w:rPr>
        <w:t>نهم إِن رأَوْكم معي أرعبتموهم، فدخل فبشّرهم، وقبض الله روحه وأرواحهم، فدخل الناس، فإذا أجساد لا ينكرون منها شيئاً، غير أنها لا أرواح فيها، فقال الملك: هذه آيةٌ بعثها الله لكم</w:t>
      </w:r>
      <w:r w:rsidRPr="005C21CD">
        <w:rPr>
          <w:vertAlign w:val="superscript"/>
          <w:rtl/>
        </w:rPr>
        <w:t>(</w:t>
      </w:r>
      <w:r w:rsidRPr="005C21CD">
        <w:rPr>
          <w:vertAlign w:val="superscript"/>
          <w:rtl/>
        </w:rPr>
        <w:footnoteReference w:id="968"/>
      </w:r>
      <w:r w:rsidRPr="005C21CD">
        <w:rPr>
          <w:vertAlign w:val="superscript"/>
          <w:rtl/>
        </w:rPr>
        <w:t>)</w:t>
      </w:r>
      <w:r w:rsidRPr="005C21CD">
        <w:rPr>
          <w:rtl/>
        </w:rPr>
        <w:t>.</w:t>
      </w:r>
    </w:p>
    <w:p w:rsidR="005C21CD" w:rsidRPr="005C21CD" w:rsidRDefault="005C21CD" w:rsidP="005C21CD">
      <w:pPr>
        <w:ind w:firstLine="0"/>
        <w:rPr>
          <w:rtl/>
        </w:rPr>
      </w:pPr>
      <w:r w:rsidRPr="005C21CD">
        <w:rPr>
          <w:rtl/>
        </w:rPr>
        <w:t xml:space="preserve">قوله تعالى: </w:t>
      </w:r>
      <w:r w:rsidRPr="005C21CD">
        <w:rPr>
          <w:rFonts w:ascii="QCF_BSML" w:hAnsi="QCF_BSML" w:cs="QCF_BSML"/>
          <w:sz w:val="32"/>
          <w:szCs w:val="32"/>
          <w:rtl/>
          <w:lang w:eastAsia="en-US"/>
        </w:rPr>
        <w:t>ﭽ</w:t>
      </w:r>
      <w:r w:rsidRPr="005C21CD">
        <w:rPr>
          <w:rFonts w:ascii="QCF_P294" w:hAnsi="QCF_P294" w:cs="QCF_P294"/>
          <w:sz w:val="32"/>
          <w:szCs w:val="32"/>
          <w:rtl/>
          <w:lang w:eastAsia="en-US"/>
        </w:rPr>
        <w:t>ﮟ  ﮠ  ﮡ</w:t>
      </w:r>
      <w:r w:rsidRPr="005C21CD">
        <w:rPr>
          <w:rFonts w:ascii="QCF_BSML" w:hAnsi="QCF_BSML" w:cs="QCF_BSML"/>
          <w:sz w:val="32"/>
          <w:szCs w:val="32"/>
          <w:rtl/>
          <w:lang w:eastAsia="en-US"/>
        </w:rPr>
        <w:t xml:space="preserve"> ﭼ</w:t>
      </w:r>
      <w:r w:rsidRPr="005C21CD">
        <w:rPr>
          <w:rFonts w:ascii="QCF_P294" w:hAnsi="QCF_P294" w:cs="QCF_P294"/>
          <w:sz w:val="32"/>
          <w:szCs w:val="32"/>
          <w:rtl/>
          <w:lang w:eastAsia="en-US"/>
        </w:rPr>
        <w:t xml:space="preserve">  </w:t>
      </w:r>
      <w:r w:rsidRPr="005C21CD">
        <w:rPr>
          <w:rtl/>
        </w:rPr>
        <w:t>قال الزجاج: المعنى: أنمناهم ومنعناهم السمع، لأن النائم إِذا سمع انتبه</w:t>
      </w:r>
      <w:r w:rsidRPr="005C21CD">
        <w:rPr>
          <w:rFonts w:hint="cs"/>
          <w:rtl/>
        </w:rPr>
        <w:t>.</w:t>
      </w:r>
      <w:r w:rsidRPr="005C21CD">
        <w:rPr>
          <w:rtl/>
        </w:rPr>
        <w:t xml:space="preserve"> و</w:t>
      </w:r>
      <w:r w:rsidRPr="005C21CD">
        <w:rPr>
          <w:rFonts w:ascii="QCF_BSML" w:hAnsi="QCF_BSML" w:cs="QCF_BSML"/>
          <w:sz w:val="32"/>
          <w:szCs w:val="32"/>
          <w:rtl/>
          <w:lang w:eastAsia="en-US"/>
        </w:rPr>
        <w:t xml:space="preserve"> ﭽ</w:t>
      </w:r>
      <w:r w:rsidRPr="005C21CD">
        <w:rPr>
          <w:rFonts w:ascii="QCF_P294" w:hAnsi="QCF_P294" w:cs="QCF_P294"/>
          <w:sz w:val="32"/>
          <w:szCs w:val="32"/>
          <w:rtl/>
          <w:lang w:eastAsia="en-US"/>
        </w:rPr>
        <w:t xml:space="preserve"> ﮥ</w:t>
      </w:r>
      <w:r w:rsidRPr="005C21CD">
        <w:rPr>
          <w:rFonts w:ascii="QCF_BSML" w:hAnsi="QCF_BSML" w:cs="QCF_BSML"/>
          <w:sz w:val="32"/>
          <w:szCs w:val="32"/>
          <w:rtl/>
          <w:lang w:eastAsia="en-US"/>
        </w:rPr>
        <w:t xml:space="preserve"> ﭼ</w:t>
      </w:r>
      <w:r w:rsidRPr="005C21CD">
        <w:rPr>
          <w:rtl/>
        </w:rPr>
        <w:t xml:space="preserve"> منصوب على ضربين: أحدهما: على المصدر، المعنى: تُعَدُّ عدداً.</w:t>
      </w:r>
      <w:r>
        <w:rPr>
          <w:rFonts w:hint="cs"/>
          <w:rtl/>
        </w:rPr>
        <w:t xml:space="preserve"> </w:t>
      </w:r>
      <w:r w:rsidRPr="005C21CD">
        <w:rPr>
          <w:rtl/>
        </w:rPr>
        <w:t>والثاني: أن يكون نعتاً للسنين، المعنى: سنين ذات عدد، والفائدة في ذِكْر العدد في الشيء المعدود، توكيد كثرة الشيء، لأنه إِذا قَلَّ فُهِم مقداره، وإِذا كَثُر احتيج إِلى أن يُعَدَّ العدد الكثير.</w:t>
      </w:r>
      <w:r w:rsidRPr="005C21CD">
        <w:rPr>
          <w:rFonts w:ascii="QCF_BSML" w:hAnsi="QCF_BSML" w:cs="QCF_BSML"/>
          <w:sz w:val="32"/>
          <w:szCs w:val="32"/>
          <w:rtl/>
          <w:lang w:eastAsia="en-US"/>
        </w:rPr>
        <w:t>ﭽ</w:t>
      </w:r>
      <w:r w:rsidRPr="005C21CD">
        <w:rPr>
          <w:rFonts w:ascii="QCF_P294" w:hAnsi="QCF_P294" w:cs="QCF_P294"/>
          <w:sz w:val="32"/>
          <w:szCs w:val="32"/>
          <w:rtl/>
          <w:lang w:eastAsia="en-US"/>
        </w:rPr>
        <w:t xml:space="preserve"> ﮧ  ﮨ</w:t>
      </w:r>
      <w:r w:rsidRPr="005C21CD">
        <w:rPr>
          <w:rFonts w:ascii="QCF_BSML" w:hAnsi="QCF_BSML" w:cs="QCF_BSML"/>
          <w:sz w:val="32"/>
          <w:szCs w:val="32"/>
          <w:rtl/>
          <w:lang w:eastAsia="en-US"/>
        </w:rPr>
        <w:t xml:space="preserve"> ﭼ</w:t>
      </w:r>
      <w:r w:rsidRPr="005C21CD">
        <w:rPr>
          <w:rFonts w:ascii="QCF_P294" w:hAnsi="QCF_P294" w:cs="QCF_P294" w:hint="cs"/>
          <w:sz w:val="32"/>
          <w:szCs w:val="32"/>
          <w:rtl/>
          <w:lang w:eastAsia="en-US"/>
        </w:rPr>
        <w:t xml:space="preserve"> </w:t>
      </w:r>
      <w:r w:rsidRPr="005C21CD">
        <w:rPr>
          <w:rFonts w:ascii="QCF_P294" w:hAnsi="QCF_P294" w:cs="QCF_P294"/>
          <w:sz w:val="32"/>
          <w:szCs w:val="32"/>
          <w:rtl/>
          <w:lang w:eastAsia="en-US"/>
        </w:rPr>
        <w:t xml:space="preserve">  </w:t>
      </w:r>
      <w:r w:rsidRPr="005C21CD">
        <w:rPr>
          <w:rtl/>
        </w:rPr>
        <w:t xml:space="preserve">من نومهم، يقال لكُلِّ مَنْ خرج من الموت إِلى الحياة، أو من النوم إِلى </w:t>
      </w:r>
      <w:r w:rsidRPr="005C21CD">
        <w:rPr>
          <w:rtl/>
        </w:rPr>
        <w:lastRenderedPageBreak/>
        <w:t>الانتباه: مبعوث، لأنه قد زال عنه ما كان يحبسه عن التصرِّف والانبعاث</w:t>
      </w:r>
      <w:r w:rsidRPr="005C21CD">
        <w:rPr>
          <w:vertAlign w:val="superscript"/>
          <w:rtl/>
        </w:rPr>
        <w:t>(</w:t>
      </w:r>
      <w:r w:rsidRPr="005C21CD">
        <w:rPr>
          <w:vertAlign w:val="superscript"/>
          <w:rtl/>
        </w:rPr>
        <w:footnoteReference w:id="969"/>
      </w:r>
      <w:r w:rsidRPr="005C21CD">
        <w:rPr>
          <w:vertAlign w:val="superscript"/>
          <w:rtl/>
        </w:rPr>
        <w:t>)</w:t>
      </w:r>
      <w:r w:rsidRPr="005C21CD">
        <w:rPr>
          <w:rtl/>
        </w:rPr>
        <w:t xml:space="preserve">. وقيل: معنى </w:t>
      </w:r>
      <w:r w:rsidRPr="005C21CD">
        <w:rPr>
          <w:rFonts w:ascii="QCF_BSML" w:hAnsi="QCF_BSML" w:cs="QCF_BSML"/>
          <w:sz w:val="32"/>
          <w:szCs w:val="32"/>
          <w:rtl/>
          <w:lang w:eastAsia="en-US"/>
        </w:rPr>
        <w:t>ﭽ</w:t>
      </w:r>
      <w:r w:rsidRPr="005C21CD">
        <w:rPr>
          <w:rFonts w:ascii="QCF_P294" w:hAnsi="QCF_P294" w:cs="QCF_P294"/>
          <w:sz w:val="32"/>
          <w:szCs w:val="32"/>
          <w:rtl/>
          <w:lang w:eastAsia="en-US"/>
        </w:rPr>
        <w:t xml:space="preserve">ﮤ  ﮥ  </w:t>
      </w:r>
      <w:r w:rsidRPr="005C21CD">
        <w:rPr>
          <w:rFonts w:ascii="QCF_BSML" w:hAnsi="QCF_BSML" w:cs="QCF_BSML"/>
          <w:sz w:val="32"/>
          <w:szCs w:val="32"/>
          <w:rtl/>
          <w:lang w:eastAsia="en-US"/>
        </w:rPr>
        <w:t>ﭼ</w:t>
      </w:r>
      <w:r w:rsidRPr="005C21CD">
        <w:rPr>
          <w:rtl/>
        </w:rPr>
        <w:t>: أنه لم يكن فيها شهور ولا أيام، إِنما هي كاملة، ذكره الماوردي</w:t>
      </w:r>
      <w:r w:rsidRPr="005C21CD">
        <w:rPr>
          <w:vertAlign w:val="superscript"/>
          <w:rtl/>
        </w:rPr>
        <w:t>(</w:t>
      </w:r>
      <w:r w:rsidRPr="005C21CD">
        <w:rPr>
          <w:vertAlign w:val="superscript"/>
          <w:rtl/>
        </w:rPr>
        <w:footnoteReference w:id="970"/>
      </w:r>
      <w:r w:rsidRPr="005C21CD">
        <w:rPr>
          <w:vertAlign w:val="superscript"/>
          <w:rtl/>
        </w:rPr>
        <w:t>)</w:t>
      </w:r>
      <w:r w:rsidRPr="005C21CD">
        <w:rPr>
          <w:rtl/>
        </w:rPr>
        <w:t xml:space="preserve">. </w:t>
      </w:r>
    </w:p>
    <w:p w:rsidR="005C21CD" w:rsidRPr="005C21CD" w:rsidRDefault="005C21CD" w:rsidP="009B639B">
      <w:pPr>
        <w:ind w:firstLine="0"/>
        <w:rPr>
          <w:rtl/>
        </w:rPr>
      </w:pPr>
      <w:r w:rsidRPr="005C21CD">
        <w:rPr>
          <w:rtl/>
        </w:rPr>
        <w:t xml:space="preserve">قوله تعالى: </w:t>
      </w:r>
      <w:r w:rsidRPr="005C21CD">
        <w:rPr>
          <w:rFonts w:ascii="QCF_BSML" w:hAnsi="QCF_BSML" w:cs="QCF_BSML"/>
          <w:sz w:val="32"/>
          <w:szCs w:val="32"/>
          <w:rtl/>
          <w:lang w:eastAsia="en-US"/>
        </w:rPr>
        <w:t>ﭽ</w:t>
      </w:r>
      <w:r w:rsidRPr="005C21CD">
        <w:rPr>
          <w:rFonts w:ascii="QCF_P294" w:hAnsi="QCF_P294" w:cs="QCF_P294"/>
          <w:sz w:val="32"/>
          <w:szCs w:val="32"/>
          <w:rtl/>
          <w:lang w:eastAsia="en-US"/>
        </w:rPr>
        <w:t xml:space="preserve"> ﮩ  ﮪ  ﮫ</w:t>
      </w:r>
      <w:r w:rsidRPr="005C21CD">
        <w:rPr>
          <w:rFonts w:ascii="QCF_BSML" w:hAnsi="QCF_BSML" w:cs="QCF_BSML"/>
          <w:sz w:val="32"/>
          <w:szCs w:val="32"/>
          <w:rtl/>
          <w:lang w:eastAsia="en-US"/>
        </w:rPr>
        <w:t xml:space="preserve"> ﭼ</w:t>
      </w:r>
      <w:r w:rsidRPr="005C21CD">
        <w:rPr>
          <w:rFonts w:ascii="QCF_P294" w:hAnsi="QCF_P294" w:cs="QCF_P294"/>
          <w:sz w:val="32"/>
          <w:szCs w:val="32"/>
          <w:rtl/>
          <w:lang w:eastAsia="en-US"/>
        </w:rPr>
        <w:t xml:space="preserve">   </w:t>
      </w:r>
      <w:r w:rsidRPr="005C21CD">
        <w:rPr>
          <w:rtl/>
        </w:rPr>
        <w:t>قال المفسرون: أي: لنرى</w:t>
      </w:r>
      <w:r w:rsidRPr="005C21CD">
        <w:rPr>
          <w:vertAlign w:val="superscript"/>
          <w:rtl/>
        </w:rPr>
        <w:t>(</w:t>
      </w:r>
      <w:r w:rsidRPr="005C21CD">
        <w:rPr>
          <w:vertAlign w:val="superscript"/>
          <w:rtl/>
        </w:rPr>
        <w:footnoteReference w:id="971"/>
      </w:r>
      <w:r w:rsidRPr="005C21CD">
        <w:rPr>
          <w:vertAlign w:val="superscript"/>
          <w:rtl/>
        </w:rPr>
        <w:t>)</w:t>
      </w:r>
      <w:r w:rsidRPr="005C21CD">
        <w:rPr>
          <w:rtl/>
        </w:rPr>
        <w:t>. وقال بعضهم: المعنى: لتعلموا أنتم أيّ الحزبين</w:t>
      </w:r>
      <w:r w:rsidRPr="005C21CD">
        <w:rPr>
          <w:vertAlign w:val="superscript"/>
          <w:rtl/>
        </w:rPr>
        <w:t>(</w:t>
      </w:r>
      <w:r w:rsidRPr="005C21CD">
        <w:rPr>
          <w:vertAlign w:val="superscript"/>
          <w:rtl/>
        </w:rPr>
        <w:footnoteReference w:id="972"/>
      </w:r>
      <w:r w:rsidRPr="005C21CD">
        <w:rPr>
          <w:vertAlign w:val="superscript"/>
          <w:rtl/>
        </w:rPr>
        <w:t>)</w:t>
      </w:r>
      <w:r w:rsidRPr="005C21CD">
        <w:rPr>
          <w:rtl/>
        </w:rPr>
        <w:t>. وقرأ أبو الجوزاء، وأبو عمران، والنخعي: «ليُعلَم» بضم الياء، على ما لم يُسمَّ فاعله</w:t>
      </w:r>
      <w:r w:rsidRPr="005C21CD">
        <w:rPr>
          <w:vertAlign w:val="superscript"/>
          <w:rtl/>
        </w:rPr>
        <w:t>(</w:t>
      </w:r>
      <w:r w:rsidRPr="005C21CD">
        <w:rPr>
          <w:vertAlign w:val="superscript"/>
          <w:rtl/>
        </w:rPr>
        <w:footnoteReference w:id="973"/>
      </w:r>
      <w:r w:rsidRPr="005C21CD">
        <w:rPr>
          <w:vertAlign w:val="superscript"/>
          <w:rtl/>
        </w:rPr>
        <w:t>)</w:t>
      </w:r>
      <w:r w:rsidRPr="005C21CD">
        <w:rPr>
          <w:rtl/>
        </w:rPr>
        <w:t xml:space="preserve"> </w:t>
      </w:r>
      <w:r w:rsidR="00612C9C">
        <w:rPr>
          <w:rFonts w:hint="cs"/>
          <w:rtl/>
        </w:rPr>
        <w:t>[</w:t>
      </w:r>
      <w:r w:rsidRPr="005C21CD">
        <w:rPr>
          <w:rtl/>
        </w:rPr>
        <w:t>ويعني</w:t>
      </w:r>
      <w:r w:rsidR="00612C9C">
        <w:rPr>
          <w:rFonts w:hint="cs"/>
          <w:rtl/>
        </w:rPr>
        <w:t>]</w:t>
      </w:r>
      <w:r w:rsidRPr="005C21CD">
        <w:rPr>
          <w:vertAlign w:val="superscript"/>
          <w:rtl/>
        </w:rPr>
        <w:t>(</w:t>
      </w:r>
      <w:r w:rsidRPr="005C21CD">
        <w:rPr>
          <w:vertAlign w:val="superscript"/>
          <w:rtl/>
        </w:rPr>
        <w:footnoteReference w:id="974"/>
      </w:r>
      <w:r w:rsidRPr="005C21CD">
        <w:rPr>
          <w:vertAlign w:val="superscript"/>
          <w:rtl/>
        </w:rPr>
        <w:t>)</w:t>
      </w:r>
      <w:r w:rsidRPr="005C21CD">
        <w:rPr>
          <w:rtl/>
        </w:rPr>
        <w:t xml:space="preserve"> بالحزبين: المؤمنين والكافرين من قوم أصحاب الكهف</w:t>
      </w:r>
      <w:r w:rsidRPr="005C21CD">
        <w:rPr>
          <w:vertAlign w:val="superscript"/>
          <w:rtl/>
        </w:rPr>
        <w:t>(</w:t>
      </w:r>
      <w:r w:rsidRPr="005C21CD">
        <w:rPr>
          <w:vertAlign w:val="superscript"/>
          <w:rtl/>
        </w:rPr>
        <w:footnoteReference w:id="975"/>
      </w:r>
      <w:r w:rsidRPr="005C21CD">
        <w:rPr>
          <w:vertAlign w:val="superscript"/>
          <w:rtl/>
        </w:rPr>
        <w:t>)</w:t>
      </w:r>
      <w:r w:rsidRPr="005C21CD">
        <w:rPr>
          <w:rtl/>
        </w:rPr>
        <w:t>.</w:t>
      </w:r>
      <w:r w:rsidRPr="005C21CD">
        <w:rPr>
          <w:rFonts w:ascii="QCF_BSML" w:hAnsi="QCF_BSML" w:cs="QCF_BSML"/>
          <w:sz w:val="32"/>
          <w:szCs w:val="32"/>
          <w:rtl/>
          <w:lang w:eastAsia="en-US"/>
        </w:rPr>
        <w:t>ﭽ</w:t>
      </w:r>
      <w:r w:rsidRPr="005C21CD">
        <w:rPr>
          <w:rFonts w:ascii="QCF_P294" w:hAnsi="QCF_P294" w:cs="QCF_P294"/>
          <w:sz w:val="32"/>
          <w:szCs w:val="32"/>
          <w:rtl/>
          <w:lang w:eastAsia="en-US"/>
        </w:rPr>
        <w:t xml:space="preserve"> ﮬ  ﮭ  ﮮ</w:t>
      </w:r>
      <w:r w:rsidRPr="005C21CD">
        <w:rPr>
          <w:rFonts w:ascii="QCF_BSML" w:hAnsi="QCF_BSML" w:cs="QCF_BSML"/>
          <w:sz w:val="32"/>
          <w:szCs w:val="32"/>
          <w:rtl/>
          <w:lang w:eastAsia="en-US"/>
        </w:rPr>
        <w:t>ﭼ</w:t>
      </w:r>
      <w:r w:rsidRPr="005C21CD">
        <w:rPr>
          <w:rFonts w:ascii="QCF_P294" w:hAnsi="QCF_P294" w:cs="QCF_P294"/>
          <w:sz w:val="32"/>
          <w:szCs w:val="32"/>
          <w:rtl/>
          <w:lang w:eastAsia="en-US"/>
        </w:rPr>
        <w:t xml:space="preserve">  </w:t>
      </w:r>
      <w:r w:rsidRPr="005C21CD">
        <w:rPr>
          <w:rtl/>
        </w:rPr>
        <w:t>أي:</w:t>
      </w:r>
      <w:r w:rsidR="00A34A43">
        <w:rPr>
          <w:rFonts w:hint="cs"/>
          <w:rtl/>
        </w:rPr>
        <w:t xml:space="preserve"> </w:t>
      </w:r>
      <w:r w:rsidR="00A34A43">
        <w:rPr>
          <w:rtl/>
        </w:rPr>
        <w:t xml:space="preserve">أهؤلاء أحصى </w:t>
      </w:r>
      <w:r w:rsidR="00A34A43">
        <w:rPr>
          <w:rFonts w:hint="cs"/>
          <w:rtl/>
        </w:rPr>
        <w:t>ا</w:t>
      </w:r>
      <w:r w:rsidR="00A34A43">
        <w:rPr>
          <w:rtl/>
        </w:rPr>
        <w:t>لأمد</w:t>
      </w:r>
      <w:r w:rsidRPr="005C21CD">
        <w:rPr>
          <w:vertAlign w:val="superscript"/>
          <w:rtl/>
        </w:rPr>
        <w:t>(</w:t>
      </w:r>
      <w:r w:rsidRPr="005C21CD">
        <w:rPr>
          <w:vertAlign w:val="superscript"/>
          <w:rtl/>
        </w:rPr>
        <w:footnoteReference w:id="976"/>
      </w:r>
      <w:r w:rsidRPr="005C21CD">
        <w:rPr>
          <w:vertAlign w:val="superscript"/>
          <w:rtl/>
        </w:rPr>
        <w:t>)</w:t>
      </w:r>
      <w:r w:rsidR="00A34A43" w:rsidRPr="005C21CD">
        <w:rPr>
          <w:rtl/>
        </w:rPr>
        <w:t>أو هؤلاء</w:t>
      </w:r>
      <w:r w:rsidRPr="005C21CD">
        <w:rPr>
          <w:rtl/>
        </w:rPr>
        <w:t>، فكأنه وقع بينهم تنازع في مدة لبثهم في الكهف بعد خروجهم من بينهم، فبعثهم الله ليبين ذلك ويظهر</w:t>
      </w:r>
      <w:r w:rsidRPr="005C21CD">
        <w:rPr>
          <w:vertAlign w:val="superscript"/>
          <w:rtl/>
        </w:rPr>
        <w:t>(</w:t>
      </w:r>
      <w:r w:rsidRPr="005C21CD">
        <w:rPr>
          <w:vertAlign w:val="superscript"/>
          <w:rtl/>
        </w:rPr>
        <w:footnoteReference w:id="977"/>
      </w:r>
      <w:r w:rsidRPr="005C21CD">
        <w:rPr>
          <w:vertAlign w:val="superscript"/>
          <w:rtl/>
        </w:rPr>
        <w:t>)</w:t>
      </w:r>
      <w:r w:rsidRPr="005C21CD">
        <w:rPr>
          <w:rtl/>
        </w:rPr>
        <w:t>. قال قتادة: لم يكن للفريقين عِلم بلبثهم، لا لمؤمنيهم، ولا لكافريهم</w:t>
      </w:r>
      <w:r w:rsidRPr="005C21CD">
        <w:rPr>
          <w:vertAlign w:val="superscript"/>
          <w:rtl/>
        </w:rPr>
        <w:t>(</w:t>
      </w:r>
      <w:r w:rsidRPr="005C21CD">
        <w:rPr>
          <w:vertAlign w:val="superscript"/>
          <w:rtl/>
        </w:rPr>
        <w:footnoteReference w:id="978"/>
      </w:r>
      <w:r w:rsidRPr="005C21CD">
        <w:rPr>
          <w:vertAlign w:val="superscript"/>
          <w:rtl/>
        </w:rPr>
        <w:t>)</w:t>
      </w:r>
      <w:r w:rsidRPr="005C21CD">
        <w:rPr>
          <w:rtl/>
        </w:rPr>
        <w:t xml:space="preserve">، قال مقاتل: لما بُعثوا زال </w:t>
      </w:r>
      <w:r w:rsidR="009B639B" w:rsidRPr="001277AD">
        <w:rPr>
          <w:rFonts w:hint="cs"/>
          <w:color w:val="0D0D0D" w:themeColor="text1" w:themeTint="F2"/>
          <w:sz w:val="32"/>
          <w:szCs w:val="32"/>
          <w:rtl/>
        </w:rPr>
        <w:t>[</w:t>
      </w:r>
      <w:r w:rsidR="009B639B">
        <w:rPr>
          <w:rFonts w:hint="cs"/>
          <w:color w:val="0D0D0D" w:themeColor="text1" w:themeTint="F2"/>
          <w:sz w:val="32"/>
          <w:szCs w:val="32"/>
          <w:rtl/>
        </w:rPr>
        <w:t>106</w:t>
      </w:r>
      <w:r w:rsidR="009B639B" w:rsidRPr="001277AD">
        <w:rPr>
          <w:rFonts w:hint="cs"/>
          <w:color w:val="0D0D0D" w:themeColor="text1" w:themeTint="F2"/>
          <w:sz w:val="32"/>
          <w:szCs w:val="32"/>
          <w:rtl/>
        </w:rPr>
        <w:t>]</w:t>
      </w:r>
      <w:r w:rsidR="009B639B" w:rsidRPr="00911ED4">
        <w:rPr>
          <w:rFonts w:ascii="Traditional Arabic" w:hAnsi="Traditional Arabic"/>
          <w:rtl/>
        </w:rPr>
        <w:t xml:space="preserve"> </w:t>
      </w:r>
      <w:r w:rsidRPr="005C21CD">
        <w:rPr>
          <w:rtl/>
        </w:rPr>
        <w:t>الشك وعُرفت حقيقة اللبث</w:t>
      </w:r>
      <w:r w:rsidRPr="005C21CD">
        <w:rPr>
          <w:vertAlign w:val="superscript"/>
          <w:rtl/>
        </w:rPr>
        <w:t>(</w:t>
      </w:r>
      <w:r w:rsidRPr="005C21CD">
        <w:rPr>
          <w:vertAlign w:val="superscript"/>
          <w:rtl/>
        </w:rPr>
        <w:footnoteReference w:id="979"/>
      </w:r>
      <w:r w:rsidRPr="005C21CD">
        <w:rPr>
          <w:vertAlign w:val="superscript"/>
          <w:rtl/>
        </w:rPr>
        <w:t>)</w:t>
      </w:r>
      <w:r w:rsidRPr="005C21CD">
        <w:rPr>
          <w:rtl/>
        </w:rPr>
        <w:t>. وقال القاضي أبو يعلى: معنى الكلام: بعثناهم ليظهر المعلوم في اختلاف الحزبين في مدة لبثهم، لما في ذلك من العبرة</w:t>
      </w:r>
      <w:r w:rsidRPr="005C21CD">
        <w:rPr>
          <w:vertAlign w:val="superscript"/>
          <w:rtl/>
        </w:rPr>
        <w:t>(</w:t>
      </w:r>
      <w:r w:rsidRPr="005C21CD">
        <w:rPr>
          <w:vertAlign w:val="superscript"/>
          <w:rtl/>
        </w:rPr>
        <w:footnoteReference w:id="980"/>
      </w:r>
      <w:r w:rsidRPr="005C21CD">
        <w:rPr>
          <w:vertAlign w:val="superscript"/>
          <w:rtl/>
        </w:rPr>
        <w:t>)</w:t>
      </w:r>
      <w:r w:rsidRPr="005C21CD">
        <w:rPr>
          <w:rtl/>
        </w:rPr>
        <w:t>.</w:t>
      </w:r>
    </w:p>
    <w:p w:rsidR="005C21CD" w:rsidRPr="005C21CD" w:rsidRDefault="005C21CD" w:rsidP="005C21CD">
      <w:pPr>
        <w:ind w:firstLine="0"/>
        <w:rPr>
          <w:rFonts w:ascii="Traditional Arabic" w:hAnsi="Traditional Arabic"/>
          <w:color w:val="auto"/>
          <w:rtl/>
        </w:rPr>
      </w:pPr>
      <w:r w:rsidRPr="005C21CD">
        <w:rPr>
          <w:rFonts w:ascii="QCF_BSML" w:hAnsi="QCF_BSML" w:cs="QCF_BSML"/>
          <w:color w:val="auto"/>
          <w:sz w:val="32"/>
          <w:szCs w:val="32"/>
          <w:rtl/>
          <w:lang w:eastAsia="en-US"/>
        </w:rPr>
        <w:t xml:space="preserve">ﭽ </w:t>
      </w:r>
      <w:r w:rsidRPr="005C21CD">
        <w:rPr>
          <w:rFonts w:ascii="QCF_P294" w:hAnsi="QCF_P294" w:cs="QCF_P294"/>
          <w:color w:val="auto"/>
          <w:sz w:val="32"/>
          <w:szCs w:val="32"/>
          <w:rtl/>
          <w:lang w:eastAsia="en-US"/>
        </w:rPr>
        <w:t xml:space="preserve">ﮱ  ﯓ  ﯔ  ﯕ  ﯖﯗ   ﯘ  ﯙ  ﯚ  ﯛ  ﯜ  ﯝ  ﯞ  ﯟ   ﯠ  ﯡ  ﯢ  ﯣ  ﯤ  ﯥ  ﯦ  ﯧ  ﯨ   ﯩ  ﯪ  ﯫ  ﯬ  ﯭﯮ  ﯯ  ﯰ  ﯱ  ﯲ  ﯳ  ﯴ   ﯵ  ﯶ  ﯷ  ﯸ  ﯹﯺ  ﯻ  ﯼ  ﯽ   ﯾ  ﯿﰀ  ﰁ  ﰂ  </w:t>
      </w:r>
      <w:r w:rsidRPr="005C21CD">
        <w:rPr>
          <w:rFonts w:ascii="QCF_P294" w:hAnsi="QCF_P294" w:cs="QCF_P294"/>
          <w:color w:val="auto"/>
          <w:sz w:val="32"/>
          <w:szCs w:val="32"/>
          <w:rtl/>
          <w:lang w:eastAsia="en-US"/>
        </w:rPr>
        <w:lastRenderedPageBreak/>
        <w:t xml:space="preserve">ﰃ  ﰄ  ﰅ  ﰆ  ﰇ        ﰈ   </w:t>
      </w:r>
      <w:r w:rsidRPr="005C21CD">
        <w:rPr>
          <w:rFonts w:ascii="QCF_BSML" w:hAnsi="QCF_BSML" w:cs="QCF_BSML"/>
          <w:color w:val="auto"/>
          <w:sz w:val="32"/>
          <w:szCs w:val="32"/>
          <w:rtl/>
          <w:lang w:eastAsia="en-US"/>
        </w:rPr>
        <w:t>ﭼ</w:t>
      </w:r>
      <w:r w:rsidRPr="005C21CD">
        <w:rPr>
          <w:rFonts w:ascii="Arial" w:hAnsi="Arial" w:cs="Arial"/>
          <w:color w:val="auto"/>
          <w:sz w:val="32"/>
          <w:szCs w:val="32"/>
          <w:rtl/>
          <w:lang w:eastAsia="en-US"/>
        </w:rPr>
        <w:t xml:space="preserve"> </w:t>
      </w:r>
    </w:p>
    <w:p w:rsidR="005C21CD" w:rsidRDefault="005C21CD" w:rsidP="00A34A43">
      <w:pPr>
        <w:ind w:firstLine="0"/>
        <w:rPr>
          <w:rtl/>
        </w:rPr>
      </w:pPr>
      <w:r w:rsidRPr="005C21CD">
        <w:rPr>
          <w:rtl/>
        </w:rPr>
        <w:t xml:space="preserve">قوله تعالى: </w:t>
      </w:r>
      <w:r w:rsidRPr="005C21CD">
        <w:rPr>
          <w:rFonts w:ascii="QCF_BSML" w:hAnsi="QCF_BSML" w:cs="QCF_BSML"/>
          <w:sz w:val="32"/>
          <w:szCs w:val="32"/>
          <w:rtl/>
          <w:lang w:eastAsia="en-US"/>
        </w:rPr>
        <w:t>ﭽ</w:t>
      </w:r>
      <w:r w:rsidRPr="005C21CD">
        <w:rPr>
          <w:rFonts w:ascii="QCF_P294" w:hAnsi="QCF_P294" w:cs="QCF_P294" w:hint="cs"/>
          <w:color w:val="auto"/>
          <w:sz w:val="32"/>
          <w:szCs w:val="32"/>
          <w:rtl/>
          <w:lang w:eastAsia="en-US"/>
        </w:rPr>
        <w:t xml:space="preserve"> </w:t>
      </w:r>
      <w:r w:rsidRPr="005C21CD">
        <w:rPr>
          <w:rFonts w:ascii="QCF_P294" w:hAnsi="QCF_P294" w:cs="QCF_P294"/>
          <w:color w:val="auto"/>
          <w:sz w:val="32"/>
          <w:szCs w:val="32"/>
          <w:rtl/>
          <w:lang w:eastAsia="en-US"/>
        </w:rPr>
        <w:t>ﮱ  ﯓ  ﯔ  ﯕ</w:t>
      </w:r>
      <w:r w:rsidRPr="005C21CD">
        <w:rPr>
          <w:rFonts w:ascii="QCF_BSML" w:hAnsi="QCF_BSML" w:cs="QCF_BSML" w:hint="cs"/>
          <w:sz w:val="32"/>
          <w:szCs w:val="32"/>
          <w:rtl/>
          <w:lang w:eastAsia="en-US"/>
        </w:rPr>
        <w:t xml:space="preserve"> </w:t>
      </w:r>
      <w:r w:rsidRPr="005C21CD">
        <w:rPr>
          <w:rFonts w:ascii="QCF_BSML" w:hAnsi="QCF_BSML" w:cs="QCF_BSML"/>
          <w:sz w:val="32"/>
          <w:szCs w:val="32"/>
          <w:rtl/>
          <w:lang w:eastAsia="en-US"/>
        </w:rPr>
        <w:t>ﭼ</w:t>
      </w:r>
      <w:r w:rsidRPr="005C21CD">
        <w:rPr>
          <w:rtl/>
        </w:rPr>
        <w:t xml:space="preserve"> أي: خبر الفتية</w:t>
      </w:r>
      <w:r w:rsidRPr="005C21CD">
        <w:rPr>
          <w:rFonts w:ascii="QCF_P294" w:hAnsi="QCF_P294" w:cs="QCF_P294"/>
          <w:color w:val="auto"/>
          <w:sz w:val="32"/>
          <w:szCs w:val="32"/>
          <w:rtl/>
          <w:lang w:eastAsia="en-US"/>
        </w:rPr>
        <w:t xml:space="preserve"> </w:t>
      </w:r>
      <w:r w:rsidRPr="005C21CD">
        <w:rPr>
          <w:rFonts w:ascii="QCF_BSML" w:hAnsi="QCF_BSML" w:cs="QCF_BSML"/>
          <w:sz w:val="32"/>
          <w:szCs w:val="32"/>
          <w:rtl/>
          <w:lang w:eastAsia="en-US"/>
        </w:rPr>
        <w:t>ﭽ</w:t>
      </w:r>
      <w:r w:rsidRPr="005C21CD">
        <w:rPr>
          <w:rFonts w:ascii="QCF_BSML" w:hAnsi="QCF_BSML" w:cs="QCF_BSML" w:hint="cs"/>
          <w:sz w:val="32"/>
          <w:szCs w:val="32"/>
          <w:rtl/>
          <w:lang w:eastAsia="en-US"/>
        </w:rPr>
        <w:t xml:space="preserve"> </w:t>
      </w:r>
      <w:r w:rsidRPr="005C21CD">
        <w:rPr>
          <w:rFonts w:ascii="QCF_P294" w:hAnsi="QCF_P294" w:cs="QCF_P294"/>
          <w:color w:val="auto"/>
          <w:sz w:val="32"/>
          <w:szCs w:val="32"/>
          <w:rtl/>
          <w:lang w:eastAsia="en-US"/>
        </w:rPr>
        <w:t xml:space="preserve"> ﯖﯗ   </w:t>
      </w:r>
      <w:r w:rsidRPr="005C21CD">
        <w:rPr>
          <w:rFonts w:ascii="QCF_BSML" w:hAnsi="QCF_BSML" w:cs="QCF_BSML"/>
          <w:sz w:val="32"/>
          <w:szCs w:val="32"/>
          <w:rtl/>
          <w:lang w:eastAsia="en-US"/>
        </w:rPr>
        <w:t>ﭼ</w:t>
      </w:r>
      <w:r w:rsidRPr="005C21CD">
        <w:rPr>
          <w:rtl/>
        </w:rPr>
        <w:t xml:space="preserve"> أي: بالصدق.</w:t>
      </w:r>
      <w:r w:rsidRPr="005C21CD">
        <w:rPr>
          <w:rFonts w:hint="cs"/>
          <w:rtl/>
        </w:rPr>
        <w:t xml:space="preserve"> </w:t>
      </w:r>
      <w:r w:rsidRPr="005C21CD">
        <w:rPr>
          <w:rtl/>
        </w:rPr>
        <w:t xml:space="preserve">قوله تعالى: </w:t>
      </w:r>
      <w:r w:rsidRPr="005C21CD">
        <w:rPr>
          <w:rFonts w:ascii="QCF_BSML" w:hAnsi="QCF_BSML" w:cs="QCF_BSML"/>
          <w:sz w:val="32"/>
          <w:szCs w:val="32"/>
          <w:rtl/>
          <w:lang w:eastAsia="en-US"/>
        </w:rPr>
        <w:t>ﭽ</w:t>
      </w:r>
      <w:r w:rsidRPr="005C21CD">
        <w:rPr>
          <w:rFonts w:ascii="QCF_P294" w:hAnsi="QCF_P294" w:cs="QCF_P294"/>
          <w:color w:val="auto"/>
          <w:sz w:val="32"/>
          <w:szCs w:val="32"/>
          <w:rtl/>
          <w:lang w:eastAsia="en-US"/>
        </w:rPr>
        <w:t xml:space="preserve"> ﯜ  ﯝ</w:t>
      </w:r>
      <w:r w:rsidRPr="005C21CD">
        <w:rPr>
          <w:rFonts w:ascii="QCF_BSML" w:hAnsi="QCF_BSML" w:cs="QCF_BSML" w:hint="cs"/>
          <w:sz w:val="32"/>
          <w:szCs w:val="32"/>
          <w:rtl/>
          <w:lang w:eastAsia="en-US"/>
        </w:rPr>
        <w:t xml:space="preserve"> </w:t>
      </w:r>
      <w:r w:rsidRPr="005C21CD">
        <w:rPr>
          <w:rFonts w:ascii="QCF_BSML" w:hAnsi="QCF_BSML" w:cs="QCF_BSML"/>
          <w:sz w:val="32"/>
          <w:szCs w:val="32"/>
          <w:rtl/>
          <w:lang w:eastAsia="en-US"/>
        </w:rPr>
        <w:t>ﭼ</w:t>
      </w:r>
      <w:r w:rsidRPr="005C21CD">
        <w:rPr>
          <w:rtl/>
        </w:rPr>
        <w:t xml:space="preserve"> أي: ثبَّتناهم على الإِيمان، </w:t>
      </w:r>
      <w:r w:rsidRPr="005C21CD">
        <w:rPr>
          <w:rFonts w:ascii="QCF_BSML" w:hAnsi="QCF_BSML" w:cs="QCF_BSML"/>
          <w:sz w:val="32"/>
          <w:szCs w:val="32"/>
          <w:rtl/>
          <w:lang w:eastAsia="en-US"/>
        </w:rPr>
        <w:t>ﭽ</w:t>
      </w:r>
      <w:r w:rsidRPr="005C21CD">
        <w:rPr>
          <w:rFonts w:ascii="QCF_P294" w:hAnsi="QCF_P294" w:cs="QCF_P294" w:hint="cs"/>
          <w:color w:val="auto"/>
          <w:sz w:val="32"/>
          <w:szCs w:val="32"/>
          <w:rtl/>
          <w:lang w:eastAsia="en-US"/>
        </w:rPr>
        <w:t xml:space="preserve"> </w:t>
      </w:r>
      <w:r w:rsidRPr="005C21CD">
        <w:rPr>
          <w:rFonts w:ascii="QCF_P294" w:hAnsi="QCF_P294" w:cs="QCF_P294"/>
          <w:color w:val="auto"/>
          <w:sz w:val="32"/>
          <w:szCs w:val="32"/>
          <w:rtl/>
          <w:lang w:eastAsia="en-US"/>
        </w:rPr>
        <w:t xml:space="preserve">ﯟ   ﯠ  ﯡ  </w:t>
      </w:r>
      <w:r w:rsidRPr="005C21CD">
        <w:rPr>
          <w:rFonts w:ascii="QCF_BSML" w:hAnsi="QCF_BSML" w:cs="QCF_BSML"/>
          <w:sz w:val="32"/>
          <w:szCs w:val="32"/>
          <w:rtl/>
          <w:lang w:eastAsia="en-US"/>
        </w:rPr>
        <w:t>ﭼ</w:t>
      </w:r>
      <w:r w:rsidRPr="005C21CD">
        <w:rPr>
          <w:rtl/>
        </w:rPr>
        <w:t xml:space="preserve"> أي: ألهمناها الصبر </w:t>
      </w:r>
      <w:r w:rsidRPr="005C21CD">
        <w:rPr>
          <w:rFonts w:ascii="QCF_BSML" w:hAnsi="QCF_BSML" w:cs="QCF_BSML"/>
          <w:sz w:val="32"/>
          <w:szCs w:val="32"/>
          <w:rtl/>
          <w:lang w:eastAsia="en-US"/>
        </w:rPr>
        <w:t>ﭽ</w:t>
      </w:r>
      <w:r w:rsidRPr="005C21CD">
        <w:rPr>
          <w:rtl/>
        </w:rPr>
        <w:t xml:space="preserve"> </w:t>
      </w:r>
      <w:r w:rsidRPr="005C21CD">
        <w:rPr>
          <w:rFonts w:ascii="QCF_P294" w:hAnsi="QCF_P294" w:cs="QCF_P294"/>
          <w:color w:val="auto"/>
          <w:sz w:val="32"/>
          <w:szCs w:val="32"/>
          <w:rtl/>
          <w:lang w:eastAsia="en-US"/>
        </w:rPr>
        <w:t>ﯢ  ﯣ</w:t>
      </w:r>
      <w:r w:rsidRPr="005C21CD">
        <w:rPr>
          <w:rFonts w:ascii="QCF_BSML" w:hAnsi="QCF_BSML" w:cs="QCF_BSML"/>
          <w:sz w:val="32"/>
          <w:szCs w:val="32"/>
          <w:rtl/>
          <w:lang w:eastAsia="en-US"/>
        </w:rPr>
        <w:t xml:space="preserve"> ﭼ</w:t>
      </w:r>
      <w:r w:rsidRPr="005C21CD">
        <w:rPr>
          <w:rtl/>
        </w:rPr>
        <w:t xml:space="preserve"> بين يدي ملكهم دقيانوس </w:t>
      </w:r>
      <w:r w:rsidRPr="005C21CD">
        <w:rPr>
          <w:rFonts w:ascii="QCF_BSML" w:hAnsi="QCF_BSML" w:cs="QCF_BSML"/>
          <w:sz w:val="32"/>
          <w:szCs w:val="32"/>
          <w:rtl/>
          <w:lang w:eastAsia="en-US"/>
        </w:rPr>
        <w:t>ﭽ</w:t>
      </w:r>
      <w:r w:rsidRPr="005C21CD">
        <w:rPr>
          <w:rFonts w:hint="cs"/>
          <w:rtl/>
        </w:rPr>
        <w:t xml:space="preserve"> </w:t>
      </w:r>
      <w:r w:rsidRPr="005C21CD">
        <w:rPr>
          <w:rFonts w:ascii="QCF_P294" w:hAnsi="QCF_P294" w:cs="QCF_P294"/>
          <w:color w:val="auto"/>
          <w:sz w:val="32"/>
          <w:szCs w:val="32"/>
          <w:rtl/>
          <w:lang w:eastAsia="en-US"/>
        </w:rPr>
        <w:t>ﯤ  ﯥ  ﯦ  ﯧ  ﯨ</w:t>
      </w:r>
      <w:r w:rsidRPr="005C21CD">
        <w:rPr>
          <w:rFonts w:ascii="QCF_BSML" w:hAnsi="QCF_BSML" w:cs="QCF_BSML"/>
          <w:sz w:val="32"/>
          <w:szCs w:val="32"/>
          <w:rtl/>
          <w:lang w:eastAsia="en-US"/>
        </w:rPr>
        <w:t>ﭼ</w:t>
      </w:r>
      <w:r w:rsidRPr="005C21CD">
        <w:rPr>
          <w:rtl/>
        </w:rPr>
        <w:t xml:space="preserve"> وذلك أنه كان يدعو الناس إِلى عبادة الأصنام، فعصم الله هؤلاء حتى عصَواْ ملِكهم</w:t>
      </w:r>
      <w:r w:rsidRPr="005C21CD">
        <w:rPr>
          <w:vertAlign w:val="superscript"/>
          <w:rtl/>
        </w:rPr>
        <w:t>(</w:t>
      </w:r>
      <w:r w:rsidRPr="005C21CD">
        <w:rPr>
          <w:vertAlign w:val="superscript"/>
          <w:rtl/>
        </w:rPr>
        <w:footnoteReference w:id="981"/>
      </w:r>
      <w:r w:rsidRPr="005C21CD">
        <w:rPr>
          <w:vertAlign w:val="superscript"/>
          <w:rtl/>
        </w:rPr>
        <w:t>)</w:t>
      </w:r>
      <w:r w:rsidRPr="005C21CD">
        <w:rPr>
          <w:rtl/>
        </w:rPr>
        <w:t>. وقال الحسن: قاموا في قومهم</w:t>
      </w:r>
      <w:r w:rsidRPr="005C21CD">
        <w:rPr>
          <w:rFonts w:hint="cs"/>
          <w:rtl/>
        </w:rPr>
        <w:t xml:space="preserve"> </w:t>
      </w:r>
      <w:r w:rsidRPr="005C21CD">
        <w:rPr>
          <w:rtl/>
        </w:rPr>
        <w:t>فدعَوْهم إِلى التوحيد</w:t>
      </w:r>
      <w:r w:rsidRPr="005C21CD">
        <w:rPr>
          <w:vertAlign w:val="superscript"/>
          <w:rtl/>
        </w:rPr>
        <w:t>(</w:t>
      </w:r>
      <w:r w:rsidRPr="005C21CD">
        <w:rPr>
          <w:vertAlign w:val="superscript"/>
          <w:rtl/>
        </w:rPr>
        <w:footnoteReference w:id="982"/>
      </w:r>
      <w:r w:rsidRPr="005C21CD">
        <w:rPr>
          <w:vertAlign w:val="superscript"/>
          <w:rtl/>
        </w:rPr>
        <w:t>)</w:t>
      </w:r>
      <w:r w:rsidRPr="005C21CD">
        <w:rPr>
          <w:rtl/>
        </w:rPr>
        <w:t>. وقيل: هذا قولهم بينهم لما اجتمعوا خارج المدينة على ما ذكرنا في أول القصة</w:t>
      </w:r>
      <w:r w:rsidRPr="005C21CD">
        <w:rPr>
          <w:vertAlign w:val="superscript"/>
          <w:rtl/>
        </w:rPr>
        <w:t>(</w:t>
      </w:r>
      <w:r w:rsidRPr="005C21CD">
        <w:rPr>
          <w:vertAlign w:val="superscript"/>
          <w:rtl/>
        </w:rPr>
        <w:footnoteReference w:id="983"/>
      </w:r>
      <w:r w:rsidRPr="005C21CD">
        <w:rPr>
          <w:vertAlign w:val="superscript"/>
          <w:rtl/>
        </w:rPr>
        <w:t>)</w:t>
      </w:r>
      <w:r w:rsidRPr="005C21CD">
        <w:rPr>
          <w:rtl/>
        </w:rPr>
        <w:t>.</w:t>
      </w:r>
      <w:r w:rsidRPr="005C21CD">
        <w:rPr>
          <w:rFonts w:hint="cs"/>
          <w:rtl/>
        </w:rPr>
        <w:t xml:space="preserve"> </w:t>
      </w:r>
      <w:r w:rsidRPr="005C21CD">
        <w:rPr>
          <w:rtl/>
        </w:rPr>
        <w:t>فأما الشطط، فهو الجَوْر</w:t>
      </w:r>
      <w:r w:rsidRPr="005C21CD">
        <w:rPr>
          <w:vertAlign w:val="superscript"/>
          <w:rtl/>
        </w:rPr>
        <w:t>(</w:t>
      </w:r>
      <w:r w:rsidRPr="005C21CD">
        <w:rPr>
          <w:vertAlign w:val="superscript"/>
          <w:rtl/>
        </w:rPr>
        <w:footnoteReference w:id="984"/>
      </w:r>
      <w:r w:rsidRPr="005C21CD">
        <w:rPr>
          <w:vertAlign w:val="superscript"/>
          <w:rtl/>
        </w:rPr>
        <w:t>)</w:t>
      </w:r>
      <w:r w:rsidRPr="005C21CD">
        <w:rPr>
          <w:rtl/>
        </w:rPr>
        <w:t>. قال الزّجّاج: يقال: شطّ الرجل، وأشطّ: إذ جار</w:t>
      </w:r>
      <w:r w:rsidRPr="005C21CD">
        <w:rPr>
          <w:vertAlign w:val="superscript"/>
          <w:rtl/>
        </w:rPr>
        <w:t>(</w:t>
      </w:r>
      <w:r w:rsidRPr="005C21CD">
        <w:rPr>
          <w:vertAlign w:val="superscript"/>
          <w:rtl/>
        </w:rPr>
        <w:footnoteReference w:id="985"/>
      </w:r>
      <w:r w:rsidRPr="005C21CD">
        <w:rPr>
          <w:vertAlign w:val="superscript"/>
          <w:rtl/>
        </w:rPr>
        <w:t>)</w:t>
      </w:r>
      <w:r w:rsidRPr="005C21CD">
        <w:rPr>
          <w:rtl/>
        </w:rPr>
        <w:t xml:space="preserve">. ثم قال الفتية: </w:t>
      </w:r>
      <w:r w:rsidRPr="005C21CD">
        <w:rPr>
          <w:rFonts w:ascii="QCF_BSML" w:hAnsi="QCF_BSML" w:cs="QCF_BSML"/>
          <w:sz w:val="32"/>
          <w:szCs w:val="32"/>
          <w:rtl/>
          <w:lang w:eastAsia="en-US"/>
        </w:rPr>
        <w:t>ﭽ</w:t>
      </w:r>
      <w:r w:rsidRPr="005C21CD">
        <w:rPr>
          <w:rFonts w:ascii="QCF_P294" w:hAnsi="QCF_P294" w:cs="QCF_P294" w:hint="cs"/>
          <w:color w:val="auto"/>
          <w:sz w:val="32"/>
          <w:szCs w:val="32"/>
          <w:rtl/>
          <w:lang w:eastAsia="en-US"/>
        </w:rPr>
        <w:t xml:space="preserve"> </w:t>
      </w:r>
      <w:r w:rsidRPr="005C21CD">
        <w:rPr>
          <w:rFonts w:ascii="QCF_P294" w:hAnsi="QCF_P294" w:cs="QCF_P294"/>
          <w:color w:val="auto"/>
          <w:sz w:val="32"/>
          <w:szCs w:val="32"/>
          <w:rtl/>
          <w:lang w:eastAsia="en-US"/>
        </w:rPr>
        <w:t xml:space="preserve">ﯴ   ﯵ  </w:t>
      </w:r>
      <w:r w:rsidRPr="005C21CD">
        <w:rPr>
          <w:rFonts w:ascii="QCF_BSML" w:hAnsi="QCF_BSML" w:cs="QCF_BSML"/>
          <w:sz w:val="32"/>
          <w:szCs w:val="32"/>
          <w:rtl/>
          <w:lang w:eastAsia="en-US"/>
        </w:rPr>
        <w:t>ﭼ</w:t>
      </w:r>
      <w:r w:rsidRPr="005C21CD">
        <w:rPr>
          <w:rtl/>
        </w:rPr>
        <w:t xml:space="preserve"> يعنون الذين كانوا في زمن دقيانوس </w:t>
      </w:r>
      <w:r w:rsidRPr="005C21CD">
        <w:rPr>
          <w:rFonts w:ascii="QCF_BSML" w:hAnsi="QCF_BSML" w:cs="QCF_BSML"/>
          <w:sz w:val="32"/>
          <w:szCs w:val="32"/>
          <w:rtl/>
          <w:lang w:eastAsia="en-US"/>
        </w:rPr>
        <w:t>ﭽ</w:t>
      </w:r>
      <w:r w:rsidRPr="005C21CD">
        <w:rPr>
          <w:rtl/>
        </w:rPr>
        <w:t xml:space="preserve"> </w:t>
      </w:r>
      <w:r w:rsidRPr="005C21CD">
        <w:rPr>
          <w:rFonts w:ascii="QCF_P294" w:hAnsi="QCF_P294" w:cs="QCF_P294"/>
          <w:color w:val="auto"/>
          <w:sz w:val="32"/>
          <w:szCs w:val="32"/>
          <w:rtl/>
          <w:lang w:eastAsia="en-US"/>
        </w:rPr>
        <w:t>ﯶ  ﯷ  ﯸ  ﯹ</w:t>
      </w:r>
      <w:r w:rsidRPr="005C21CD">
        <w:rPr>
          <w:rFonts w:ascii="QCF_BSML" w:hAnsi="QCF_BSML" w:cs="QCF_BSML" w:hint="cs"/>
          <w:sz w:val="32"/>
          <w:szCs w:val="32"/>
          <w:rtl/>
          <w:lang w:eastAsia="en-US"/>
        </w:rPr>
        <w:t xml:space="preserve"> </w:t>
      </w:r>
      <w:r w:rsidRPr="005C21CD">
        <w:rPr>
          <w:rFonts w:ascii="QCF_BSML" w:hAnsi="QCF_BSML" w:cs="QCF_BSML"/>
          <w:sz w:val="32"/>
          <w:szCs w:val="32"/>
          <w:rtl/>
          <w:lang w:eastAsia="en-US"/>
        </w:rPr>
        <w:t>ﭼ</w:t>
      </w:r>
      <w:r w:rsidRPr="005C21CD">
        <w:rPr>
          <w:rtl/>
        </w:rPr>
        <w:t xml:space="preserve"> أي: عبدوا الأصنام </w:t>
      </w:r>
      <w:r w:rsidRPr="005C21CD">
        <w:rPr>
          <w:rFonts w:ascii="QCF_BSML" w:hAnsi="QCF_BSML" w:cs="QCF_BSML"/>
          <w:sz w:val="32"/>
          <w:szCs w:val="32"/>
          <w:rtl/>
          <w:lang w:eastAsia="en-US"/>
        </w:rPr>
        <w:t>ﭽ</w:t>
      </w:r>
      <w:r w:rsidRPr="005C21CD">
        <w:rPr>
          <w:rFonts w:ascii="QCF_P294" w:hAnsi="QCF_P294" w:cs="QCF_P294"/>
          <w:color w:val="auto"/>
          <w:sz w:val="32"/>
          <w:szCs w:val="32"/>
          <w:rtl/>
          <w:lang w:eastAsia="en-US"/>
        </w:rPr>
        <w:t xml:space="preserve"> ﯻ</w:t>
      </w:r>
      <w:r w:rsidRPr="005C21CD">
        <w:rPr>
          <w:rFonts w:ascii="QCF_BSML" w:hAnsi="QCF_BSML" w:cs="QCF_BSML"/>
          <w:sz w:val="32"/>
          <w:szCs w:val="32"/>
          <w:rtl/>
          <w:lang w:eastAsia="en-US"/>
        </w:rPr>
        <w:t xml:space="preserve"> ﭼ</w:t>
      </w:r>
      <w:r w:rsidRPr="005C21CD">
        <w:rPr>
          <w:rtl/>
        </w:rPr>
        <w:t xml:space="preserve"> أي: هلاّ </w:t>
      </w:r>
      <w:r w:rsidRPr="005C21CD">
        <w:rPr>
          <w:rFonts w:ascii="QCF_BSML" w:hAnsi="QCF_BSML" w:cs="QCF_BSML"/>
          <w:sz w:val="32"/>
          <w:szCs w:val="32"/>
          <w:rtl/>
          <w:lang w:eastAsia="en-US"/>
        </w:rPr>
        <w:t>ﭽ</w:t>
      </w:r>
      <w:r w:rsidRPr="005C21CD">
        <w:rPr>
          <w:rtl/>
        </w:rPr>
        <w:t xml:space="preserve"> </w:t>
      </w:r>
      <w:r w:rsidRPr="005C21CD">
        <w:rPr>
          <w:rFonts w:ascii="QCF_P294" w:hAnsi="QCF_P294" w:cs="QCF_P294"/>
          <w:color w:val="auto"/>
          <w:sz w:val="32"/>
          <w:szCs w:val="32"/>
          <w:rtl/>
          <w:lang w:eastAsia="en-US"/>
        </w:rPr>
        <w:t xml:space="preserve">ﯼ  ﯽ   </w:t>
      </w:r>
      <w:r w:rsidRPr="005C21CD">
        <w:rPr>
          <w:rFonts w:ascii="QCF_BSML" w:hAnsi="QCF_BSML" w:cs="QCF_BSML"/>
          <w:sz w:val="32"/>
          <w:szCs w:val="32"/>
          <w:rtl/>
          <w:lang w:eastAsia="en-US"/>
        </w:rPr>
        <w:t>ﭼ</w:t>
      </w:r>
      <w:r w:rsidRPr="005C21CD">
        <w:rPr>
          <w:rtl/>
        </w:rPr>
        <w:t xml:space="preserve"> أي: على عبادة الأصنام </w:t>
      </w:r>
      <w:r w:rsidRPr="005C21CD">
        <w:rPr>
          <w:rFonts w:ascii="QCF_BSML" w:hAnsi="QCF_BSML" w:cs="QCF_BSML"/>
          <w:sz w:val="32"/>
          <w:szCs w:val="32"/>
          <w:rtl/>
          <w:lang w:eastAsia="en-US"/>
        </w:rPr>
        <w:t>ﭽ</w:t>
      </w:r>
      <w:r w:rsidRPr="005C21CD">
        <w:rPr>
          <w:rFonts w:ascii="QCF_P294" w:hAnsi="QCF_P294" w:cs="QCF_P294"/>
          <w:color w:val="auto"/>
          <w:sz w:val="32"/>
          <w:szCs w:val="32"/>
          <w:rtl/>
          <w:lang w:eastAsia="en-US"/>
        </w:rPr>
        <w:t xml:space="preserve"> ﯾ  ﯿﰀ  </w:t>
      </w:r>
      <w:r w:rsidRPr="005C21CD">
        <w:rPr>
          <w:rFonts w:ascii="QCF_BSML" w:hAnsi="QCF_BSML" w:cs="QCF_BSML"/>
          <w:sz w:val="32"/>
          <w:szCs w:val="32"/>
          <w:rtl/>
          <w:lang w:eastAsia="en-US"/>
        </w:rPr>
        <w:t>ﭼ</w:t>
      </w:r>
      <w:r w:rsidRPr="005C21CD">
        <w:rPr>
          <w:rtl/>
        </w:rPr>
        <w:t xml:space="preserve"> أي: بِحُجَّةٍ</w:t>
      </w:r>
      <w:r w:rsidRPr="005C21CD">
        <w:rPr>
          <w:vertAlign w:val="superscript"/>
          <w:rtl/>
        </w:rPr>
        <w:t>(</w:t>
      </w:r>
      <w:r w:rsidRPr="005C21CD">
        <w:rPr>
          <w:vertAlign w:val="superscript"/>
          <w:rtl/>
        </w:rPr>
        <w:footnoteReference w:id="986"/>
      </w:r>
      <w:r w:rsidRPr="005C21CD">
        <w:rPr>
          <w:vertAlign w:val="superscript"/>
          <w:rtl/>
        </w:rPr>
        <w:t>)</w:t>
      </w:r>
      <w:r w:rsidRPr="005C21CD">
        <w:rPr>
          <w:rFonts w:hint="cs"/>
          <w:rtl/>
        </w:rPr>
        <w:t xml:space="preserve">. </w:t>
      </w:r>
      <w:r w:rsidRPr="005C21CD">
        <w:rPr>
          <w:rtl/>
        </w:rPr>
        <w:t>وإِنما قال: عليهم والأصنام مؤنَّثة، لأن الكفار نحلوها العقل والتمييز، فجرت مجرى المذكَّرين من الناس.</w:t>
      </w:r>
      <w:r w:rsidR="00A34A43">
        <w:rPr>
          <w:rFonts w:hint="cs"/>
          <w:rtl/>
        </w:rPr>
        <w:t xml:space="preserve"> </w:t>
      </w:r>
      <w:r w:rsidRPr="005C21CD">
        <w:rPr>
          <w:rtl/>
        </w:rPr>
        <w:t xml:space="preserve">قوله تعالى: </w:t>
      </w:r>
      <w:r w:rsidRPr="005C21CD">
        <w:rPr>
          <w:rFonts w:ascii="QCF_BSML" w:hAnsi="QCF_BSML" w:cs="QCF_BSML"/>
          <w:sz w:val="32"/>
          <w:szCs w:val="32"/>
          <w:rtl/>
          <w:lang w:eastAsia="en-US"/>
        </w:rPr>
        <w:t>ﭽ</w:t>
      </w:r>
      <w:r w:rsidRPr="005C21CD">
        <w:rPr>
          <w:rtl/>
        </w:rPr>
        <w:t xml:space="preserve"> </w:t>
      </w:r>
      <w:r w:rsidRPr="005C21CD">
        <w:rPr>
          <w:rFonts w:ascii="QCF_P294" w:hAnsi="QCF_P294" w:cs="QCF_P294"/>
          <w:color w:val="auto"/>
          <w:sz w:val="32"/>
          <w:szCs w:val="32"/>
          <w:rtl/>
          <w:lang w:eastAsia="en-US"/>
        </w:rPr>
        <w:t>ﰁ  ﰂ  ﰃ  ﰄ  ﰅ  ﰆ  ﰇ</w:t>
      </w:r>
      <w:r w:rsidRPr="005C21CD">
        <w:rPr>
          <w:rFonts w:ascii="QCF_BSML" w:hAnsi="QCF_BSML" w:cs="QCF_BSML"/>
          <w:sz w:val="32"/>
          <w:szCs w:val="32"/>
          <w:rtl/>
          <w:lang w:eastAsia="en-US"/>
        </w:rPr>
        <w:t>ﭼ</w:t>
      </w:r>
      <w:r w:rsidRPr="005C21CD">
        <w:rPr>
          <w:rtl/>
        </w:rPr>
        <w:t xml:space="preserve"> فزعم أنّ له شريكا؟!</w:t>
      </w:r>
    </w:p>
    <w:p w:rsidR="00A34A43" w:rsidRPr="005C21CD" w:rsidRDefault="00A34A43" w:rsidP="00A34A43">
      <w:pPr>
        <w:ind w:firstLine="0"/>
        <w:rPr>
          <w:rtl/>
        </w:rPr>
      </w:pPr>
    </w:p>
    <w:p w:rsidR="005C21CD" w:rsidRPr="005C21CD" w:rsidRDefault="005C21CD" w:rsidP="005C21CD">
      <w:pPr>
        <w:ind w:firstLine="0"/>
        <w:rPr>
          <w:rFonts w:ascii="Traditional Arabic" w:hAnsi="Traditional Arabic"/>
          <w:color w:val="auto"/>
          <w:rtl/>
        </w:rPr>
      </w:pPr>
      <w:r w:rsidRPr="005C21CD">
        <w:rPr>
          <w:rFonts w:ascii="QCF_BSML" w:hAnsi="QCF_BSML" w:cs="QCF_BSML"/>
          <w:sz w:val="32"/>
          <w:szCs w:val="32"/>
          <w:rtl/>
          <w:lang w:eastAsia="en-US"/>
        </w:rPr>
        <w:t>ﭽ</w:t>
      </w:r>
      <w:r w:rsidRPr="005C21CD">
        <w:rPr>
          <w:rFonts w:ascii="QCF_P295" w:hAnsi="QCF_P295" w:cs="QCF_P295"/>
          <w:color w:val="auto"/>
          <w:sz w:val="32"/>
          <w:szCs w:val="32"/>
          <w:rtl/>
          <w:lang w:eastAsia="en-US"/>
        </w:rPr>
        <w:t xml:space="preserve"> ﭑ  ﭒ  ﭓ  ﭔ  ﭕ  ﭖ  ﭗ  ﭘ   ﭙ   ﭚ  ﭛ  ﭜ  ﭝ  ﭞ  ﭟ  ﭠ  ﭡ  ﭢ  ﭣ   ﭤ  ﭥ  ﭦ  ﭧ  ﭨ  ﭩ  ﭪ     ﭫ  ﭬ           ﭭ   ﭮ  ﭯ  ﭰ  ﭱ  ﭲ  ﭳ  ﭴ  ﭵ  ﭶ   ﭷﭸ  ﭹ  ﭺ  ﭻ  ﭼﭽ  ﭾ  ﭿ  ﮀ  ﮁ  ﮂﮃ  ﮄ   </w:t>
      </w:r>
      <w:r w:rsidRPr="005C21CD">
        <w:rPr>
          <w:rFonts w:ascii="QCF_P295" w:hAnsi="QCF_P295" w:cs="QCF_P295"/>
          <w:color w:val="auto"/>
          <w:sz w:val="32"/>
          <w:szCs w:val="32"/>
          <w:rtl/>
          <w:lang w:eastAsia="en-US"/>
        </w:rPr>
        <w:lastRenderedPageBreak/>
        <w:t xml:space="preserve">ﮅ  ﮆ  ﮇ  ﮈ       ﮉ  ﮊ  ﮋ  </w:t>
      </w:r>
      <w:r w:rsidRPr="005C21CD">
        <w:rPr>
          <w:rFonts w:ascii="QCF_BSML" w:hAnsi="QCF_BSML" w:cs="QCF_BSML"/>
          <w:color w:val="auto"/>
          <w:sz w:val="32"/>
          <w:szCs w:val="32"/>
          <w:rtl/>
          <w:lang w:eastAsia="en-US"/>
        </w:rPr>
        <w:t>ﭼ</w:t>
      </w:r>
      <w:r>
        <w:rPr>
          <w:rFonts w:ascii="Traditional Arabic" w:hAnsi="Traditional Arabic" w:hint="cs"/>
          <w:color w:val="auto"/>
          <w:rtl/>
        </w:rPr>
        <w:t xml:space="preserve"> </w:t>
      </w:r>
      <w:r w:rsidRPr="005C21CD">
        <w:rPr>
          <w:rtl/>
        </w:rPr>
        <w:t xml:space="preserve">قوله تعالى: </w:t>
      </w:r>
      <w:r w:rsidRPr="005C21CD">
        <w:rPr>
          <w:rFonts w:ascii="QCF_BSML" w:hAnsi="QCF_BSML" w:cs="QCF_BSML"/>
          <w:sz w:val="32"/>
          <w:szCs w:val="32"/>
          <w:rtl/>
          <w:lang w:eastAsia="en-US"/>
        </w:rPr>
        <w:t>ﭽ</w:t>
      </w:r>
      <w:r w:rsidRPr="005C21CD">
        <w:rPr>
          <w:rFonts w:ascii="QCF_P295" w:hAnsi="QCF_P295" w:cs="QCF_P295"/>
          <w:color w:val="auto"/>
          <w:sz w:val="32"/>
          <w:szCs w:val="32"/>
          <w:rtl/>
          <w:lang w:eastAsia="en-US"/>
        </w:rPr>
        <w:t xml:space="preserve"> ﭑ  ﭒ</w:t>
      </w:r>
      <w:r w:rsidRPr="005C21CD">
        <w:rPr>
          <w:rFonts w:ascii="QCF_BSML" w:hAnsi="QCF_BSML" w:cs="QCF_BSML" w:hint="cs"/>
          <w:sz w:val="32"/>
          <w:szCs w:val="32"/>
          <w:rtl/>
          <w:lang w:eastAsia="en-US"/>
        </w:rPr>
        <w:t xml:space="preserve"> </w:t>
      </w:r>
      <w:r w:rsidRPr="005C21CD">
        <w:rPr>
          <w:rFonts w:ascii="QCF_BSML" w:hAnsi="QCF_BSML" w:cs="QCF_BSML"/>
          <w:sz w:val="32"/>
          <w:szCs w:val="32"/>
          <w:rtl/>
          <w:lang w:eastAsia="en-US"/>
        </w:rPr>
        <w:t>ﭼ</w:t>
      </w:r>
      <w:r w:rsidRPr="005C21CD">
        <w:rPr>
          <w:rtl/>
        </w:rPr>
        <w:t xml:space="preserve"> قال ابن عباس: هذا </w:t>
      </w:r>
      <w:r w:rsidR="00A34A43">
        <w:rPr>
          <w:rFonts w:hint="cs"/>
          <w:rtl/>
        </w:rPr>
        <w:t>[</w:t>
      </w:r>
      <w:r w:rsidRPr="005C21CD">
        <w:rPr>
          <w:rtl/>
        </w:rPr>
        <w:t>قول</w:t>
      </w:r>
      <w:r w:rsidR="00A34A43">
        <w:rPr>
          <w:rFonts w:hint="cs"/>
          <w:rtl/>
        </w:rPr>
        <w:t>]</w:t>
      </w:r>
      <w:r w:rsidRPr="005C21CD">
        <w:rPr>
          <w:vertAlign w:val="superscript"/>
          <w:rtl/>
        </w:rPr>
        <w:t>(</w:t>
      </w:r>
      <w:r w:rsidRPr="005C21CD">
        <w:rPr>
          <w:vertAlign w:val="superscript"/>
          <w:rtl/>
        </w:rPr>
        <w:footnoteReference w:id="987"/>
      </w:r>
      <w:r w:rsidRPr="005C21CD">
        <w:rPr>
          <w:vertAlign w:val="superscript"/>
          <w:rtl/>
        </w:rPr>
        <w:t>)</w:t>
      </w:r>
      <w:r w:rsidRPr="005C21CD">
        <w:rPr>
          <w:rtl/>
        </w:rPr>
        <w:t xml:space="preserve">يمليخا، وهو رئيس أصحاب الكهف، قال لهم: </w:t>
      </w:r>
      <w:r w:rsidRPr="005C21CD">
        <w:rPr>
          <w:rFonts w:ascii="QCF_BSML" w:hAnsi="QCF_BSML" w:cs="QCF_BSML"/>
          <w:sz w:val="32"/>
          <w:szCs w:val="32"/>
          <w:rtl/>
          <w:lang w:eastAsia="en-US"/>
        </w:rPr>
        <w:t>ﭽ</w:t>
      </w:r>
      <w:r w:rsidRPr="005C21CD">
        <w:rPr>
          <w:rFonts w:ascii="QCF_P295" w:hAnsi="QCF_P295" w:cs="QCF_P295"/>
          <w:color w:val="auto"/>
          <w:sz w:val="32"/>
          <w:szCs w:val="32"/>
          <w:rtl/>
          <w:lang w:eastAsia="en-US"/>
        </w:rPr>
        <w:t xml:space="preserve"> ﭑ  ﭒ</w:t>
      </w:r>
      <w:r w:rsidRPr="005C21CD">
        <w:rPr>
          <w:rFonts w:ascii="QCF_BSML" w:hAnsi="QCF_BSML" w:cs="QCF_BSML" w:hint="cs"/>
          <w:sz w:val="32"/>
          <w:szCs w:val="32"/>
          <w:rtl/>
          <w:lang w:eastAsia="en-US"/>
        </w:rPr>
        <w:t xml:space="preserve"> </w:t>
      </w:r>
      <w:r w:rsidRPr="005C21CD">
        <w:rPr>
          <w:rFonts w:ascii="QCF_BSML" w:hAnsi="QCF_BSML" w:cs="QCF_BSML"/>
          <w:sz w:val="32"/>
          <w:szCs w:val="32"/>
          <w:rtl/>
          <w:lang w:eastAsia="en-US"/>
        </w:rPr>
        <w:t>ﭼ</w:t>
      </w:r>
      <w:r w:rsidRPr="005C21CD">
        <w:rPr>
          <w:rtl/>
        </w:rPr>
        <w:t xml:space="preserve"> أي: فارقتموهم، يريد: عبدة الأصنام</w:t>
      </w:r>
      <w:r w:rsidRPr="005C21CD">
        <w:rPr>
          <w:vertAlign w:val="superscript"/>
          <w:rtl/>
        </w:rPr>
        <w:t>(</w:t>
      </w:r>
      <w:r w:rsidRPr="005C21CD">
        <w:rPr>
          <w:vertAlign w:val="superscript"/>
          <w:rtl/>
        </w:rPr>
        <w:footnoteReference w:id="988"/>
      </w:r>
      <w:r w:rsidRPr="005C21CD">
        <w:rPr>
          <w:vertAlign w:val="superscript"/>
          <w:rtl/>
        </w:rPr>
        <w:t>)</w:t>
      </w:r>
      <w:r w:rsidRPr="005C21CD">
        <w:rPr>
          <w:rtl/>
        </w:rPr>
        <w:t>،</w:t>
      </w:r>
      <w:r w:rsidRPr="005C21CD">
        <w:rPr>
          <w:rFonts w:ascii="QCF_BSML" w:hAnsi="QCF_BSML" w:cs="QCF_BSML"/>
          <w:sz w:val="32"/>
          <w:szCs w:val="32"/>
          <w:rtl/>
          <w:lang w:eastAsia="en-US"/>
        </w:rPr>
        <w:t xml:space="preserve"> ﭽ</w:t>
      </w:r>
      <w:r w:rsidRPr="005C21CD">
        <w:rPr>
          <w:rtl/>
        </w:rPr>
        <w:t xml:space="preserve"> </w:t>
      </w:r>
      <w:r w:rsidRPr="005C21CD">
        <w:rPr>
          <w:rFonts w:ascii="QCF_P295" w:hAnsi="QCF_P295" w:cs="QCF_P295"/>
          <w:color w:val="auto"/>
          <w:sz w:val="32"/>
          <w:szCs w:val="32"/>
          <w:rtl/>
          <w:lang w:eastAsia="en-US"/>
        </w:rPr>
        <w:t xml:space="preserve">ﭓ  ﭔ  ﭕ  ﭖ  </w:t>
      </w:r>
      <w:r w:rsidRPr="005C21CD">
        <w:rPr>
          <w:rFonts w:ascii="QCF_BSML" w:hAnsi="QCF_BSML" w:cs="QCF_BSML"/>
          <w:sz w:val="32"/>
          <w:szCs w:val="32"/>
          <w:rtl/>
          <w:lang w:eastAsia="en-US"/>
        </w:rPr>
        <w:t>ﭼ</w:t>
      </w:r>
      <w:r w:rsidRPr="005C21CD">
        <w:rPr>
          <w:rtl/>
        </w:rPr>
        <w:t xml:space="preserve"> فيه قولان:</w:t>
      </w:r>
      <w:r w:rsidRPr="005C21CD">
        <w:rPr>
          <w:rFonts w:hint="cs"/>
          <w:rtl/>
        </w:rPr>
        <w:t xml:space="preserve"> </w:t>
      </w:r>
      <w:r w:rsidRPr="005C21CD">
        <w:rPr>
          <w:rtl/>
        </w:rPr>
        <w:t>أحدهما: واعتزلتم ما يعبدون، إِلا الله، فإن القوم كانوا يعبدون الله ويعبدون معه آلهة، فاعتزل الفتية عبادة الآلهة، ولم يعتزلوا عبادة الله، هذا قول عطاءٍ الخراساني</w:t>
      </w:r>
      <w:r w:rsidRPr="005C21CD">
        <w:rPr>
          <w:vertAlign w:val="superscript"/>
          <w:rtl/>
        </w:rPr>
        <w:t>(</w:t>
      </w:r>
      <w:r w:rsidRPr="005C21CD">
        <w:rPr>
          <w:vertAlign w:val="superscript"/>
          <w:rtl/>
        </w:rPr>
        <w:footnoteReference w:id="989"/>
      </w:r>
      <w:r w:rsidRPr="005C21CD">
        <w:rPr>
          <w:vertAlign w:val="superscript"/>
          <w:rtl/>
        </w:rPr>
        <w:t>)(</w:t>
      </w:r>
      <w:r w:rsidRPr="005C21CD">
        <w:rPr>
          <w:vertAlign w:val="superscript"/>
          <w:rtl/>
        </w:rPr>
        <w:footnoteReference w:id="990"/>
      </w:r>
      <w:r w:rsidRPr="005C21CD">
        <w:rPr>
          <w:vertAlign w:val="superscript"/>
          <w:rtl/>
        </w:rPr>
        <w:t>)</w:t>
      </w:r>
      <w:r w:rsidRPr="005C21CD">
        <w:rPr>
          <w:rtl/>
        </w:rPr>
        <w:t>، والفراء</w:t>
      </w:r>
      <w:r w:rsidRPr="005C21CD">
        <w:rPr>
          <w:vertAlign w:val="superscript"/>
          <w:rtl/>
        </w:rPr>
        <w:t>(</w:t>
      </w:r>
      <w:r w:rsidRPr="005C21CD">
        <w:rPr>
          <w:vertAlign w:val="superscript"/>
          <w:rtl/>
        </w:rPr>
        <w:footnoteReference w:id="991"/>
      </w:r>
      <w:r w:rsidRPr="005C21CD">
        <w:rPr>
          <w:vertAlign w:val="superscript"/>
          <w:rtl/>
        </w:rPr>
        <w:t>)</w:t>
      </w:r>
      <w:r w:rsidRPr="005C21CD">
        <w:rPr>
          <w:rtl/>
        </w:rPr>
        <w:t>. والثاني: وما يعبدون غير الله</w:t>
      </w:r>
      <w:r w:rsidRPr="005C21CD">
        <w:rPr>
          <w:rFonts w:hint="cs"/>
          <w:rtl/>
        </w:rPr>
        <w:t>.</w:t>
      </w:r>
      <w:r w:rsidRPr="005C21CD">
        <w:rPr>
          <w:rtl/>
        </w:rPr>
        <w:t xml:space="preserve"> قال قتادة: هي في مصحف عبد الله</w:t>
      </w:r>
      <w:r w:rsidRPr="005C21CD">
        <w:rPr>
          <w:vertAlign w:val="superscript"/>
          <w:rtl/>
        </w:rPr>
        <w:t>(</w:t>
      </w:r>
      <w:r w:rsidRPr="005C21CD">
        <w:rPr>
          <w:vertAlign w:val="superscript"/>
          <w:rtl/>
        </w:rPr>
        <w:footnoteReference w:id="992"/>
      </w:r>
      <w:r w:rsidRPr="005C21CD">
        <w:rPr>
          <w:vertAlign w:val="superscript"/>
          <w:rtl/>
        </w:rPr>
        <w:t>)</w:t>
      </w:r>
      <w:r w:rsidRPr="005C21CD">
        <w:rPr>
          <w:rtl/>
        </w:rPr>
        <w:t>: «وما يعبدون من دون الله»، وهذا تفسيرها</w:t>
      </w:r>
      <w:r w:rsidRPr="005C21CD">
        <w:rPr>
          <w:vertAlign w:val="superscript"/>
          <w:rtl/>
        </w:rPr>
        <w:t>(</w:t>
      </w:r>
      <w:r w:rsidRPr="005C21CD">
        <w:rPr>
          <w:vertAlign w:val="superscript"/>
          <w:rtl/>
        </w:rPr>
        <w:footnoteReference w:id="993"/>
      </w:r>
      <w:r w:rsidRPr="005C21CD">
        <w:rPr>
          <w:vertAlign w:val="superscript"/>
          <w:rtl/>
        </w:rPr>
        <w:t>)</w:t>
      </w:r>
      <w:r w:rsidRPr="005C21CD">
        <w:rPr>
          <w:rtl/>
        </w:rPr>
        <w:t xml:space="preserve">. </w:t>
      </w:r>
    </w:p>
    <w:p w:rsidR="005C21CD" w:rsidRPr="005C21CD" w:rsidRDefault="005C21CD" w:rsidP="009B639B">
      <w:pPr>
        <w:ind w:firstLine="0"/>
        <w:rPr>
          <w:rtl/>
        </w:rPr>
      </w:pPr>
      <w:r w:rsidRPr="005C21CD">
        <w:rPr>
          <w:rtl/>
        </w:rPr>
        <w:t>قوله تعالى:</w:t>
      </w:r>
      <w:r w:rsidRPr="005C21CD">
        <w:rPr>
          <w:rFonts w:hint="cs"/>
          <w:rtl/>
        </w:rPr>
        <w:t xml:space="preserve"> </w:t>
      </w:r>
      <w:r w:rsidRPr="005C21CD">
        <w:rPr>
          <w:rFonts w:ascii="QCF_BSML" w:hAnsi="QCF_BSML" w:cs="QCF_BSML"/>
          <w:sz w:val="32"/>
          <w:szCs w:val="32"/>
          <w:rtl/>
          <w:lang w:eastAsia="en-US"/>
        </w:rPr>
        <w:t>ﭽ</w:t>
      </w:r>
      <w:r w:rsidRPr="005C21CD">
        <w:rPr>
          <w:rtl/>
        </w:rPr>
        <w:t xml:space="preserve"> </w:t>
      </w:r>
      <w:r w:rsidRPr="005C21CD">
        <w:rPr>
          <w:rFonts w:ascii="QCF_P295" w:hAnsi="QCF_P295" w:cs="QCF_P295"/>
          <w:color w:val="auto"/>
          <w:sz w:val="32"/>
          <w:szCs w:val="32"/>
          <w:rtl/>
          <w:lang w:eastAsia="en-US"/>
        </w:rPr>
        <w:t xml:space="preserve"> ﭗ  ﭘ   ﭙ   </w:t>
      </w:r>
      <w:r w:rsidRPr="005C21CD">
        <w:rPr>
          <w:rFonts w:ascii="QCF_BSML" w:hAnsi="QCF_BSML" w:cs="QCF_BSML"/>
          <w:sz w:val="32"/>
          <w:szCs w:val="32"/>
          <w:rtl/>
          <w:lang w:eastAsia="en-US"/>
        </w:rPr>
        <w:t>ﭼ</w:t>
      </w:r>
      <w:r w:rsidRPr="005C21CD">
        <w:rPr>
          <w:rtl/>
        </w:rPr>
        <w:t xml:space="preserve"> أي: اجعلوه مأواكم، </w:t>
      </w:r>
      <w:r w:rsidRPr="005C21CD">
        <w:rPr>
          <w:rFonts w:ascii="QCF_BSML" w:hAnsi="QCF_BSML" w:cs="QCF_BSML"/>
          <w:sz w:val="32"/>
          <w:szCs w:val="32"/>
          <w:rtl/>
          <w:lang w:eastAsia="en-US"/>
        </w:rPr>
        <w:t>ﭽ</w:t>
      </w:r>
      <w:r w:rsidRPr="005C21CD">
        <w:rPr>
          <w:rtl/>
        </w:rPr>
        <w:t xml:space="preserve"> </w:t>
      </w:r>
      <w:r w:rsidRPr="005C21CD">
        <w:rPr>
          <w:rFonts w:ascii="QCF_P295" w:hAnsi="QCF_P295" w:cs="QCF_P295"/>
          <w:color w:val="auto"/>
          <w:sz w:val="32"/>
          <w:szCs w:val="32"/>
          <w:rtl/>
          <w:lang w:eastAsia="en-US"/>
        </w:rPr>
        <w:t xml:space="preserve">ﭚ  ﭛ  ﭜ  ﭝ  ﭞ  </w:t>
      </w:r>
      <w:r w:rsidRPr="005C21CD">
        <w:rPr>
          <w:rFonts w:ascii="QCF_BSML" w:hAnsi="QCF_BSML" w:cs="QCF_BSML"/>
          <w:sz w:val="32"/>
          <w:szCs w:val="32"/>
          <w:rtl/>
          <w:lang w:eastAsia="en-US"/>
        </w:rPr>
        <w:t>ﭼ</w:t>
      </w:r>
      <w:r w:rsidRPr="005C21CD">
        <w:rPr>
          <w:rtl/>
        </w:rPr>
        <w:t xml:space="preserve"> أي: يبسط عليكم من رزقه</w:t>
      </w:r>
      <w:r w:rsidRPr="005C21CD">
        <w:rPr>
          <w:vertAlign w:val="superscript"/>
          <w:rtl/>
        </w:rPr>
        <w:t>(</w:t>
      </w:r>
      <w:r w:rsidRPr="005C21CD">
        <w:rPr>
          <w:vertAlign w:val="superscript"/>
          <w:rtl/>
        </w:rPr>
        <w:footnoteReference w:id="994"/>
      </w:r>
      <w:r w:rsidRPr="005C21CD">
        <w:rPr>
          <w:vertAlign w:val="superscript"/>
          <w:rtl/>
        </w:rPr>
        <w:t>)</w:t>
      </w:r>
      <w:r w:rsidRPr="005C21CD">
        <w:rPr>
          <w:rtl/>
        </w:rPr>
        <w:t xml:space="preserve">، </w:t>
      </w:r>
      <w:r w:rsidRPr="005C21CD">
        <w:rPr>
          <w:rFonts w:ascii="QCF_BSML" w:hAnsi="QCF_BSML" w:cs="QCF_BSML"/>
          <w:sz w:val="32"/>
          <w:szCs w:val="32"/>
          <w:rtl/>
          <w:lang w:eastAsia="en-US"/>
        </w:rPr>
        <w:t>ﭽ</w:t>
      </w:r>
      <w:r w:rsidRPr="005C21CD">
        <w:rPr>
          <w:rtl/>
        </w:rPr>
        <w:t xml:space="preserve"> </w:t>
      </w:r>
      <w:r w:rsidRPr="005C21CD">
        <w:rPr>
          <w:rFonts w:ascii="QCF_P295" w:hAnsi="QCF_P295" w:cs="QCF_P295"/>
          <w:color w:val="auto"/>
          <w:sz w:val="32"/>
          <w:szCs w:val="32"/>
          <w:rtl/>
          <w:lang w:eastAsia="en-US"/>
        </w:rPr>
        <w:t xml:space="preserve">ﭟ  ﭠ  ﭡ  ﭢ  ﭣ   </w:t>
      </w:r>
      <w:r w:rsidRPr="005C21CD">
        <w:rPr>
          <w:rFonts w:ascii="QCF_BSML" w:hAnsi="QCF_BSML" w:cs="QCF_BSML"/>
          <w:sz w:val="32"/>
          <w:szCs w:val="32"/>
          <w:rtl/>
          <w:lang w:eastAsia="en-US"/>
        </w:rPr>
        <w:t>ﭼ</w:t>
      </w:r>
      <w:r w:rsidRPr="005C21CD">
        <w:rPr>
          <w:rtl/>
        </w:rPr>
        <w:t xml:space="preserve"> قرأ ابن كثير، وابن عامر، وعاصم، وحمزة، والكسائي: «</w:t>
      </w:r>
      <w:r w:rsidRPr="005C21CD">
        <w:rPr>
          <w:rFonts w:ascii="QCF_BSML" w:hAnsi="QCF_BSML" w:cs="QCF_BSML"/>
          <w:sz w:val="32"/>
          <w:szCs w:val="32"/>
          <w:rtl/>
          <w:lang w:eastAsia="en-US"/>
        </w:rPr>
        <w:t xml:space="preserve"> ﭽ</w:t>
      </w:r>
      <w:r w:rsidRPr="005C21CD">
        <w:rPr>
          <w:rFonts w:ascii="QCF_P295" w:hAnsi="QCF_P295" w:cs="QCF_P295"/>
          <w:color w:val="auto"/>
          <w:sz w:val="32"/>
          <w:szCs w:val="32"/>
          <w:rtl/>
          <w:lang w:eastAsia="en-US"/>
        </w:rPr>
        <w:t xml:space="preserve"> ﭣ  </w:t>
      </w:r>
      <w:r w:rsidRPr="005C21CD">
        <w:rPr>
          <w:rFonts w:ascii="QCF_BSML" w:hAnsi="QCF_BSML" w:cs="QCF_BSML"/>
          <w:sz w:val="32"/>
          <w:szCs w:val="32"/>
          <w:rtl/>
          <w:lang w:eastAsia="en-US"/>
        </w:rPr>
        <w:t>ﭼ</w:t>
      </w:r>
      <w:r w:rsidRPr="005C21CD">
        <w:rPr>
          <w:rtl/>
        </w:rPr>
        <w:t xml:space="preserve"> » بكسر الميم، وفتح الفاء</w:t>
      </w:r>
      <w:r w:rsidRPr="005C21CD">
        <w:rPr>
          <w:vertAlign w:val="superscript"/>
          <w:rtl/>
        </w:rPr>
        <w:t>(</w:t>
      </w:r>
      <w:r w:rsidRPr="005C21CD">
        <w:rPr>
          <w:vertAlign w:val="superscript"/>
          <w:rtl/>
        </w:rPr>
        <w:footnoteReference w:id="995"/>
      </w:r>
      <w:r w:rsidRPr="005C21CD">
        <w:rPr>
          <w:vertAlign w:val="superscript"/>
          <w:rtl/>
        </w:rPr>
        <w:t>)</w:t>
      </w:r>
      <w:r w:rsidRPr="005C21CD">
        <w:rPr>
          <w:rtl/>
        </w:rPr>
        <w:t>، وقرأ نافع، وابن عامر: «مَرفِقا» بفتح الميم وكسر الفاء</w:t>
      </w:r>
      <w:r w:rsidRPr="005C21CD">
        <w:rPr>
          <w:vertAlign w:val="superscript"/>
          <w:rtl/>
        </w:rPr>
        <w:t>(</w:t>
      </w:r>
      <w:r w:rsidRPr="005C21CD">
        <w:rPr>
          <w:vertAlign w:val="superscript"/>
          <w:rtl/>
        </w:rPr>
        <w:footnoteReference w:id="996"/>
      </w:r>
      <w:r w:rsidRPr="005C21CD">
        <w:rPr>
          <w:vertAlign w:val="superscript"/>
          <w:rtl/>
        </w:rPr>
        <w:t>)</w:t>
      </w:r>
      <w:r w:rsidRPr="005C21CD">
        <w:rPr>
          <w:rtl/>
        </w:rPr>
        <w:t xml:space="preserve">، قال الفراء: أهل الحجاز يقولون: «مَرفِقاً» بفتح الميم وكسر الفاء في كل مرفق ارتفقت به، ويكسرون مِرفق الإِنسان، والعرب قد يكسرون الميم منهما </w:t>
      </w:r>
      <w:r w:rsidRPr="005C21CD">
        <w:rPr>
          <w:rtl/>
        </w:rPr>
        <w:lastRenderedPageBreak/>
        <w:t>جميعاً</w:t>
      </w:r>
      <w:r w:rsidRPr="005C21CD">
        <w:rPr>
          <w:vertAlign w:val="superscript"/>
          <w:rtl/>
        </w:rPr>
        <w:t>(</w:t>
      </w:r>
      <w:r w:rsidRPr="005C21CD">
        <w:rPr>
          <w:vertAlign w:val="superscript"/>
          <w:rtl/>
        </w:rPr>
        <w:footnoteReference w:id="997"/>
      </w:r>
      <w:r w:rsidRPr="005C21CD">
        <w:rPr>
          <w:vertAlign w:val="superscript"/>
          <w:rtl/>
        </w:rPr>
        <w:t>)</w:t>
      </w:r>
      <w:r w:rsidRPr="005C21CD">
        <w:rPr>
          <w:rtl/>
        </w:rPr>
        <w:t>. قال ابن الأنباري: معنى الآية:</w:t>
      </w:r>
      <w:r w:rsidR="009B639B" w:rsidRPr="009B639B">
        <w:rPr>
          <w:rFonts w:hint="cs"/>
          <w:color w:val="0D0D0D" w:themeColor="text1" w:themeTint="F2"/>
          <w:sz w:val="32"/>
          <w:szCs w:val="32"/>
          <w:rtl/>
        </w:rPr>
        <w:t xml:space="preserve"> </w:t>
      </w:r>
      <w:r w:rsidR="009B639B" w:rsidRPr="001277AD">
        <w:rPr>
          <w:rFonts w:hint="cs"/>
          <w:color w:val="0D0D0D" w:themeColor="text1" w:themeTint="F2"/>
          <w:sz w:val="32"/>
          <w:szCs w:val="32"/>
          <w:rtl/>
        </w:rPr>
        <w:t>[</w:t>
      </w:r>
      <w:r w:rsidR="009B639B">
        <w:rPr>
          <w:rFonts w:hint="cs"/>
          <w:color w:val="0D0D0D" w:themeColor="text1" w:themeTint="F2"/>
          <w:sz w:val="32"/>
          <w:szCs w:val="32"/>
          <w:rtl/>
        </w:rPr>
        <w:t>107</w:t>
      </w:r>
      <w:r w:rsidR="009B639B" w:rsidRPr="001277AD">
        <w:rPr>
          <w:rFonts w:hint="cs"/>
          <w:color w:val="0D0D0D" w:themeColor="text1" w:themeTint="F2"/>
          <w:sz w:val="32"/>
          <w:szCs w:val="32"/>
          <w:rtl/>
        </w:rPr>
        <w:t>]</w:t>
      </w:r>
      <w:r w:rsidR="009B639B" w:rsidRPr="00911ED4">
        <w:rPr>
          <w:rFonts w:ascii="Traditional Arabic" w:hAnsi="Traditional Arabic"/>
          <w:rtl/>
        </w:rPr>
        <w:t xml:space="preserve"> </w:t>
      </w:r>
      <w:r w:rsidRPr="005C21CD">
        <w:rPr>
          <w:rFonts w:ascii="QCF_BSML" w:hAnsi="QCF_BSML" w:cs="QCF_BSML"/>
          <w:sz w:val="32"/>
          <w:szCs w:val="32"/>
          <w:rtl/>
          <w:lang w:eastAsia="en-US"/>
        </w:rPr>
        <w:t>ﭽ</w:t>
      </w:r>
      <w:r w:rsidRPr="005C21CD">
        <w:rPr>
          <w:rtl/>
        </w:rPr>
        <w:t xml:space="preserve"> </w:t>
      </w:r>
      <w:r w:rsidRPr="005C21CD">
        <w:rPr>
          <w:rFonts w:ascii="QCF_P295" w:hAnsi="QCF_P295" w:cs="QCF_P295"/>
          <w:color w:val="auto"/>
          <w:sz w:val="32"/>
          <w:szCs w:val="32"/>
          <w:rtl/>
          <w:lang w:eastAsia="en-US"/>
        </w:rPr>
        <w:t xml:space="preserve">ﭟ  ﭠ  ﭡ  ﭢ  </w:t>
      </w:r>
      <w:r w:rsidRPr="005C21CD">
        <w:rPr>
          <w:rFonts w:ascii="QCF_BSML" w:hAnsi="QCF_BSML" w:cs="QCF_BSML"/>
          <w:sz w:val="32"/>
          <w:szCs w:val="32"/>
          <w:rtl/>
          <w:lang w:eastAsia="en-US"/>
        </w:rPr>
        <w:t>ﭼ</w:t>
      </w:r>
      <w:r w:rsidRPr="005C21CD">
        <w:rPr>
          <w:rtl/>
        </w:rPr>
        <w:t xml:space="preserve"> الصَّعب </w:t>
      </w:r>
      <w:r w:rsidRPr="005C21CD">
        <w:rPr>
          <w:rFonts w:ascii="QCF_BSML" w:hAnsi="QCF_BSML" w:cs="QCF_BSML"/>
          <w:sz w:val="32"/>
          <w:szCs w:val="32"/>
          <w:rtl/>
          <w:lang w:eastAsia="en-US"/>
        </w:rPr>
        <w:t>ﭽ</w:t>
      </w:r>
      <w:r w:rsidRPr="005C21CD">
        <w:rPr>
          <w:rFonts w:ascii="QCF_P295" w:hAnsi="QCF_P295" w:cs="QCF_P295"/>
          <w:color w:val="auto"/>
          <w:sz w:val="32"/>
          <w:szCs w:val="32"/>
          <w:rtl/>
          <w:lang w:eastAsia="en-US"/>
        </w:rPr>
        <w:t>ﭣ</w:t>
      </w:r>
      <w:r w:rsidRPr="005C21CD">
        <w:rPr>
          <w:rFonts w:ascii="QCF_BSML" w:hAnsi="QCF_BSML" w:cs="QCF_BSML"/>
          <w:sz w:val="32"/>
          <w:szCs w:val="32"/>
          <w:rtl/>
          <w:lang w:eastAsia="en-US"/>
        </w:rPr>
        <w:t>ﭼ</w:t>
      </w:r>
      <w:r w:rsidRPr="005C21CD">
        <w:rPr>
          <w:rtl/>
        </w:rPr>
        <w:t>، قال الشاعر:</w:t>
      </w:r>
    </w:p>
    <w:p w:rsidR="005C21CD" w:rsidRPr="005C21CD" w:rsidRDefault="005C21CD" w:rsidP="005C21CD">
      <w:pPr>
        <w:ind w:firstLine="0"/>
        <w:rPr>
          <w:rtl/>
        </w:rPr>
      </w:pPr>
      <w:r w:rsidRPr="005C21CD">
        <w:rPr>
          <w:rtl/>
        </w:rPr>
        <w:t>فليتَ لنا مِنْ ماءِ زَمْزَمَ شَربَةً ... مُبرّدةً باتت على طَهَيانِ</w:t>
      </w:r>
      <w:r w:rsidRPr="005C21CD">
        <w:rPr>
          <w:vertAlign w:val="superscript"/>
          <w:rtl/>
        </w:rPr>
        <w:t>(</w:t>
      </w:r>
      <w:r w:rsidRPr="005C21CD">
        <w:rPr>
          <w:vertAlign w:val="superscript"/>
          <w:rtl/>
        </w:rPr>
        <w:footnoteReference w:id="998"/>
      </w:r>
      <w:r w:rsidRPr="005C21CD">
        <w:rPr>
          <w:vertAlign w:val="superscript"/>
          <w:rtl/>
        </w:rPr>
        <w:t>)(</w:t>
      </w:r>
      <w:r w:rsidRPr="005C21CD">
        <w:rPr>
          <w:vertAlign w:val="superscript"/>
          <w:rtl/>
        </w:rPr>
        <w:footnoteReference w:id="999"/>
      </w:r>
      <w:r w:rsidRPr="005C21CD">
        <w:rPr>
          <w:vertAlign w:val="superscript"/>
          <w:rtl/>
        </w:rPr>
        <w:t>)</w:t>
      </w:r>
    </w:p>
    <w:p w:rsidR="005C21CD" w:rsidRPr="005C21CD" w:rsidRDefault="005C21CD" w:rsidP="005C21CD">
      <w:pPr>
        <w:ind w:firstLine="0"/>
        <w:rPr>
          <w:rtl/>
        </w:rPr>
      </w:pPr>
      <w:r w:rsidRPr="005C21CD">
        <w:rPr>
          <w:rtl/>
        </w:rPr>
        <w:t>معناه: فلَيت لنا بدلاً من ماء زمزم</w:t>
      </w:r>
      <w:r w:rsidRPr="005C21CD">
        <w:rPr>
          <w:vertAlign w:val="superscript"/>
          <w:rtl/>
        </w:rPr>
        <w:t>(</w:t>
      </w:r>
      <w:r w:rsidRPr="005C21CD">
        <w:rPr>
          <w:vertAlign w:val="superscript"/>
          <w:rtl/>
        </w:rPr>
        <w:footnoteReference w:id="1000"/>
      </w:r>
      <w:r w:rsidRPr="005C21CD">
        <w:rPr>
          <w:vertAlign w:val="superscript"/>
          <w:rtl/>
        </w:rPr>
        <w:t>)</w:t>
      </w:r>
      <w:r w:rsidRPr="005C21CD">
        <w:rPr>
          <w:rtl/>
        </w:rPr>
        <w:t xml:space="preserve">. قال ابن عباس: </w:t>
      </w:r>
      <w:r w:rsidRPr="005C21CD">
        <w:rPr>
          <w:rFonts w:ascii="QCF_BSML" w:hAnsi="QCF_BSML" w:cs="QCF_BSML"/>
          <w:sz w:val="32"/>
          <w:szCs w:val="32"/>
          <w:rtl/>
          <w:lang w:eastAsia="en-US"/>
        </w:rPr>
        <w:t>ﭽ</w:t>
      </w:r>
      <w:r w:rsidRPr="005C21CD">
        <w:rPr>
          <w:rtl/>
        </w:rPr>
        <w:t xml:space="preserve"> </w:t>
      </w:r>
      <w:r w:rsidRPr="005C21CD">
        <w:rPr>
          <w:rFonts w:ascii="QCF_P295" w:hAnsi="QCF_P295" w:cs="QCF_P295"/>
          <w:color w:val="auto"/>
          <w:sz w:val="32"/>
          <w:szCs w:val="32"/>
          <w:rtl/>
          <w:lang w:eastAsia="en-US"/>
        </w:rPr>
        <w:t xml:space="preserve">ﭟ  ﭠ  </w:t>
      </w:r>
      <w:r w:rsidRPr="005C21CD">
        <w:rPr>
          <w:rFonts w:ascii="QCF_BSML" w:hAnsi="QCF_BSML" w:cs="QCF_BSML"/>
          <w:sz w:val="32"/>
          <w:szCs w:val="32"/>
          <w:rtl/>
          <w:lang w:eastAsia="en-US"/>
        </w:rPr>
        <w:t>ﭼ</w:t>
      </w:r>
      <w:r w:rsidRPr="005C21CD">
        <w:rPr>
          <w:rtl/>
        </w:rPr>
        <w:t xml:space="preserve"> يسهِّلْ عليكم ما تخافون من الملِك وظلمه ويأتِكم باليُسر والرِّفق واللُّطف</w:t>
      </w:r>
      <w:r w:rsidRPr="005C21CD">
        <w:rPr>
          <w:vertAlign w:val="superscript"/>
          <w:rtl/>
        </w:rPr>
        <w:t>(</w:t>
      </w:r>
      <w:r w:rsidRPr="005C21CD">
        <w:rPr>
          <w:vertAlign w:val="superscript"/>
          <w:rtl/>
        </w:rPr>
        <w:footnoteReference w:id="1001"/>
      </w:r>
      <w:r w:rsidRPr="005C21CD">
        <w:rPr>
          <w:vertAlign w:val="superscript"/>
          <w:rtl/>
        </w:rPr>
        <w:t>)</w:t>
      </w:r>
      <w:r w:rsidRPr="005C21CD">
        <w:rPr>
          <w:rtl/>
        </w:rPr>
        <w:t>.</w:t>
      </w:r>
      <w:r w:rsidRPr="005C21CD">
        <w:rPr>
          <w:rFonts w:hint="cs"/>
          <w:rtl/>
        </w:rPr>
        <w:t xml:space="preserve"> </w:t>
      </w:r>
      <w:r w:rsidRPr="005C21CD">
        <w:rPr>
          <w:rtl/>
        </w:rPr>
        <w:t xml:space="preserve">قوله تعالى: </w:t>
      </w:r>
      <w:r w:rsidRPr="005C21CD">
        <w:rPr>
          <w:rFonts w:ascii="QCF_BSML" w:hAnsi="QCF_BSML" w:cs="QCF_BSML"/>
          <w:sz w:val="32"/>
          <w:szCs w:val="32"/>
          <w:rtl/>
          <w:lang w:eastAsia="en-US"/>
        </w:rPr>
        <w:t>ﭽ</w:t>
      </w:r>
      <w:r w:rsidRPr="005C21CD">
        <w:rPr>
          <w:rFonts w:ascii="QCF_P295" w:hAnsi="QCF_P295" w:cs="QCF_P295"/>
          <w:color w:val="auto"/>
          <w:sz w:val="32"/>
          <w:szCs w:val="32"/>
          <w:rtl/>
          <w:lang w:eastAsia="en-US"/>
        </w:rPr>
        <w:t xml:space="preserve"> ﭦ  ﭧ  ﭨ  ﭩ</w:t>
      </w:r>
      <w:r w:rsidRPr="005C21CD">
        <w:rPr>
          <w:rFonts w:ascii="QCF_BSML" w:hAnsi="QCF_BSML" w:cs="QCF_BSML"/>
          <w:sz w:val="32"/>
          <w:szCs w:val="32"/>
          <w:rtl/>
          <w:lang w:eastAsia="en-US"/>
        </w:rPr>
        <w:t>ﭼ</w:t>
      </w:r>
      <w:r w:rsidRPr="005C21CD">
        <w:rPr>
          <w:rFonts w:ascii="QCF_P295" w:hAnsi="QCF_P295" w:cs="QCF_P295"/>
          <w:color w:val="auto"/>
          <w:sz w:val="32"/>
          <w:szCs w:val="32"/>
          <w:rtl/>
          <w:lang w:eastAsia="en-US"/>
        </w:rPr>
        <w:t xml:space="preserve"> </w:t>
      </w:r>
      <w:r w:rsidRPr="005C21CD">
        <w:rPr>
          <w:rtl/>
        </w:rPr>
        <w:t>المعنى: لو رأيتَها لرأيت ما وصفنا</w:t>
      </w:r>
      <w:r w:rsidRPr="005C21CD">
        <w:rPr>
          <w:vertAlign w:val="superscript"/>
          <w:rtl/>
        </w:rPr>
        <w:t>(</w:t>
      </w:r>
      <w:r w:rsidRPr="005C21CD">
        <w:rPr>
          <w:vertAlign w:val="superscript"/>
          <w:rtl/>
        </w:rPr>
        <w:footnoteReference w:id="1002"/>
      </w:r>
      <w:r w:rsidRPr="005C21CD">
        <w:rPr>
          <w:vertAlign w:val="superscript"/>
          <w:rtl/>
        </w:rPr>
        <w:t>)</w:t>
      </w:r>
      <w:r w:rsidRPr="005C21CD">
        <w:rPr>
          <w:rtl/>
        </w:rPr>
        <w:t>.</w:t>
      </w:r>
      <w:r w:rsidRPr="005C21CD">
        <w:rPr>
          <w:rFonts w:ascii="QCF_BSML" w:hAnsi="QCF_BSML" w:cs="QCF_BSML" w:hint="cs"/>
          <w:sz w:val="32"/>
          <w:szCs w:val="32"/>
          <w:rtl/>
          <w:lang w:eastAsia="en-US"/>
        </w:rPr>
        <w:t xml:space="preserve"> </w:t>
      </w:r>
      <w:r w:rsidRPr="005C21CD">
        <w:rPr>
          <w:rFonts w:ascii="QCF_BSML" w:hAnsi="QCF_BSML" w:cs="QCF_BSML"/>
          <w:sz w:val="32"/>
          <w:szCs w:val="32"/>
          <w:rtl/>
          <w:lang w:eastAsia="en-US"/>
        </w:rPr>
        <w:t>ﭽ</w:t>
      </w:r>
      <w:r w:rsidRPr="005C21CD">
        <w:rPr>
          <w:rFonts w:ascii="QCF_P295" w:hAnsi="QCF_P295" w:cs="QCF_P295"/>
          <w:color w:val="auto"/>
          <w:sz w:val="32"/>
          <w:szCs w:val="32"/>
          <w:rtl/>
          <w:lang w:eastAsia="en-US"/>
        </w:rPr>
        <w:t xml:space="preserve"> ﭪ</w:t>
      </w:r>
      <w:r w:rsidRPr="005C21CD">
        <w:rPr>
          <w:rFonts w:ascii="QCF_BSML" w:hAnsi="QCF_BSML" w:cs="QCF_BSML"/>
          <w:sz w:val="32"/>
          <w:szCs w:val="32"/>
          <w:rtl/>
          <w:lang w:eastAsia="en-US"/>
        </w:rPr>
        <w:t xml:space="preserve"> ﭼ</w:t>
      </w:r>
      <w:r w:rsidRPr="005C21CD">
        <w:rPr>
          <w:rFonts w:ascii="QCF_P295" w:hAnsi="QCF_P295" w:cs="QCF_P295"/>
          <w:color w:val="auto"/>
          <w:sz w:val="32"/>
          <w:szCs w:val="32"/>
          <w:rtl/>
          <w:lang w:eastAsia="en-US"/>
        </w:rPr>
        <w:t xml:space="preserve">   </w:t>
      </w:r>
      <w:r w:rsidRPr="005C21CD">
        <w:rPr>
          <w:rtl/>
        </w:rPr>
        <w:t>قرأ ابن كثير، ونافع، وأبو عمرو: «تَزَّاوَرُ» بتشديد الزاي. وقرأ عاصم، وحمزة، والكسائي: «تَزَاور» خفيفة.</w:t>
      </w:r>
      <w:r w:rsidRPr="005C21CD">
        <w:rPr>
          <w:rFonts w:hint="cs"/>
          <w:rtl/>
        </w:rPr>
        <w:t xml:space="preserve"> </w:t>
      </w:r>
      <w:r w:rsidRPr="005C21CD">
        <w:rPr>
          <w:rtl/>
        </w:rPr>
        <w:t>وقرأ ابن عامر: «تَزْوَرُّ» مثل: «تَحْمَرُّ»</w:t>
      </w:r>
      <w:r w:rsidRPr="005C21CD">
        <w:rPr>
          <w:vertAlign w:val="superscript"/>
          <w:rtl/>
        </w:rPr>
        <w:t>(</w:t>
      </w:r>
      <w:r w:rsidRPr="005C21CD">
        <w:rPr>
          <w:vertAlign w:val="superscript"/>
          <w:rtl/>
        </w:rPr>
        <w:footnoteReference w:id="1003"/>
      </w:r>
      <w:r w:rsidRPr="005C21CD">
        <w:rPr>
          <w:vertAlign w:val="superscript"/>
          <w:rtl/>
        </w:rPr>
        <w:t>)</w:t>
      </w:r>
      <w:r w:rsidRPr="005C21CD">
        <w:rPr>
          <w:rtl/>
        </w:rPr>
        <w:t>. وقرأ أُبيّ بن كعب، وأبو مجلز، وأبو رجاء، والجحدري:</w:t>
      </w:r>
      <w:r w:rsidRPr="005C21CD">
        <w:rPr>
          <w:rFonts w:hint="cs"/>
          <w:rtl/>
        </w:rPr>
        <w:t xml:space="preserve"> </w:t>
      </w:r>
      <w:r w:rsidRPr="005C21CD">
        <w:rPr>
          <w:rtl/>
        </w:rPr>
        <w:t>«تَزْوَارُّ» باسكان الزاي، وبألف ممدودة بعد الواو من غير همزة، مشددة الراء</w:t>
      </w:r>
      <w:r w:rsidRPr="005C21CD">
        <w:rPr>
          <w:vertAlign w:val="superscript"/>
          <w:rtl/>
        </w:rPr>
        <w:t>(</w:t>
      </w:r>
      <w:r w:rsidRPr="005C21CD">
        <w:rPr>
          <w:vertAlign w:val="superscript"/>
          <w:rtl/>
        </w:rPr>
        <w:footnoteReference w:id="1004"/>
      </w:r>
      <w:r w:rsidRPr="005C21CD">
        <w:rPr>
          <w:vertAlign w:val="superscript"/>
          <w:rtl/>
        </w:rPr>
        <w:t>)</w:t>
      </w:r>
      <w:r w:rsidRPr="005C21CD">
        <w:rPr>
          <w:rtl/>
        </w:rPr>
        <w:t>. وقرأ ابن مسعود، وأبو المتوكل، وابن السميفع: «تَزْوَئِرُّ» بهمزة قبل الراء، مثل: «تَزْوَعِرُّ»</w:t>
      </w:r>
      <w:r w:rsidRPr="005C21CD">
        <w:rPr>
          <w:vertAlign w:val="superscript"/>
          <w:rtl/>
        </w:rPr>
        <w:t>(</w:t>
      </w:r>
      <w:r w:rsidRPr="005C21CD">
        <w:rPr>
          <w:vertAlign w:val="superscript"/>
          <w:rtl/>
        </w:rPr>
        <w:footnoteReference w:id="1005"/>
      </w:r>
      <w:r w:rsidRPr="005C21CD">
        <w:rPr>
          <w:vertAlign w:val="superscript"/>
          <w:rtl/>
        </w:rPr>
        <w:t>)</w:t>
      </w:r>
      <w:r w:rsidRPr="005C21CD">
        <w:rPr>
          <w:rtl/>
        </w:rPr>
        <w:t>. وقرأ أبو الجوزاء، وأبو الس</w:t>
      </w:r>
      <w:r w:rsidRPr="005C21CD">
        <w:rPr>
          <w:rFonts w:hint="cs"/>
          <w:rtl/>
        </w:rPr>
        <w:t>َ</w:t>
      </w:r>
      <w:r w:rsidRPr="005C21CD">
        <w:rPr>
          <w:rtl/>
        </w:rPr>
        <w:t>مّال</w:t>
      </w:r>
      <w:r w:rsidRPr="005C21CD">
        <w:rPr>
          <w:vertAlign w:val="superscript"/>
          <w:rtl/>
        </w:rPr>
        <w:t>(</w:t>
      </w:r>
      <w:r w:rsidRPr="005C21CD">
        <w:rPr>
          <w:vertAlign w:val="superscript"/>
          <w:rtl/>
        </w:rPr>
        <w:footnoteReference w:id="1006"/>
      </w:r>
      <w:r w:rsidRPr="005C21CD">
        <w:rPr>
          <w:vertAlign w:val="superscript"/>
          <w:rtl/>
        </w:rPr>
        <w:t>)</w:t>
      </w:r>
      <w:r w:rsidRPr="005C21CD">
        <w:rPr>
          <w:rtl/>
        </w:rPr>
        <w:t>:</w:t>
      </w:r>
      <w:r w:rsidRPr="005C21CD">
        <w:rPr>
          <w:rFonts w:hint="cs"/>
          <w:rtl/>
        </w:rPr>
        <w:t xml:space="preserve"> </w:t>
      </w:r>
      <w:r w:rsidRPr="005C21CD">
        <w:rPr>
          <w:rtl/>
        </w:rPr>
        <w:t xml:space="preserve">«تَزَوَّرُ» بفتح التاء والزاي وتشديد الواو المفتوحة خفيفة الرّاء، مثل: «تكوّر» </w:t>
      </w:r>
      <w:r w:rsidRPr="005C21CD">
        <w:rPr>
          <w:rFonts w:hint="cs"/>
          <w:rtl/>
        </w:rPr>
        <w:lastRenderedPageBreak/>
        <w:t>أي</w:t>
      </w:r>
      <w:r w:rsidRPr="005C21CD">
        <w:rPr>
          <w:vertAlign w:val="superscript"/>
          <w:rtl/>
        </w:rPr>
        <w:t>(</w:t>
      </w:r>
      <w:r w:rsidRPr="005C21CD">
        <w:rPr>
          <w:vertAlign w:val="superscript"/>
          <w:rtl/>
        </w:rPr>
        <w:footnoteReference w:id="1007"/>
      </w:r>
      <w:r w:rsidRPr="005C21CD">
        <w:rPr>
          <w:vertAlign w:val="superscript"/>
          <w:rtl/>
        </w:rPr>
        <w:t>)</w:t>
      </w:r>
      <w:r w:rsidRPr="005C21CD">
        <w:rPr>
          <w:rtl/>
        </w:rPr>
        <w:t>: تميل و تعدل</w:t>
      </w:r>
      <w:r w:rsidRPr="005C21CD">
        <w:rPr>
          <w:vertAlign w:val="superscript"/>
          <w:rtl/>
        </w:rPr>
        <w:t>(</w:t>
      </w:r>
      <w:r w:rsidRPr="005C21CD">
        <w:rPr>
          <w:vertAlign w:val="superscript"/>
          <w:rtl/>
        </w:rPr>
        <w:footnoteReference w:id="1008"/>
      </w:r>
      <w:r w:rsidRPr="005C21CD">
        <w:rPr>
          <w:vertAlign w:val="superscript"/>
          <w:rtl/>
        </w:rPr>
        <w:t>)</w:t>
      </w:r>
      <w:r w:rsidRPr="005C21CD">
        <w:rPr>
          <w:rtl/>
        </w:rPr>
        <w:t>.</w:t>
      </w:r>
      <w:r w:rsidRPr="005C21CD">
        <w:rPr>
          <w:rFonts w:hint="cs"/>
          <w:rtl/>
        </w:rPr>
        <w:t xml:space="preserve"> </w:t>
      </w:r>
      <w:r w:rsidRPr="005C21CD">
        <w:rPr>
          <w:rtl/>
        </w:rPr>
        <w:t>قال الزّجّاج: «تزاور»: تتزاور، فأدغمت التاء في الزاي، و (تقرضهم) أي: تعدل عنهم وتتركهم، وقال ذو الرمة:</w:t>
      </w:r>
    </w:p>
    <w:p w:rsidR="005C21CD" w:rsidRPr="005C21CD" w:rsidRDefault="005C21CD" w:rsidP="005C21CD">
      <w:pPr>
        <w:ind w:firstLine="0"/>
        <w:rPr>
          <w:rtl/>
        </w:rPr>
      </w:pPr>
      <w:r w:rsidRPr="005C21CD">
        <w:rPr>
          <w:rtl/>
        </w:rPr>
        <w:t>إِلى ظُعُنٍ يَقْرِضْنَ أجْوَازَ مُشْرِفٍ ... شِمالاً وعَنْ أيْمانِهِنَّ الفَوَارِسُ</w:t>
      </w:r>
      <w:r w:rsidRPr="005C21CD">
        <w:rPr>
          <w:vertAlign w:val="superscript"/>
          <w:rtl/>
        </w:rPr>
        <w:t>(</w:t>
      </w:r>
      <w:r w:rsidRPr="005C21CD">
        <w:rPr>
          <w:vertAlign w:val="superscript"/>
          <w:rtl/>
        </w:rPr>
        <w:footnoteReference w:id="1009"/>
      </w:r>
      <w:r w:rsidRPr="005C21CD">
        <w:rPr>
          <w:vertAlign w:val="superscript"/>
          <w:rtl/>
        </w:rPr>
        <w:t>)</w:t>
      </w:r>
      <w:r w:rsidR="00824744" w:rsidRPr="00824744">
        <w:rPr>
          <w:rStyle w:val="ae"/>
          <w:rtl/>
        </w:rPr>
        <w:t>(</w:t>
      </w:r>
      <w:r w:rsidR="00824744">
        <w:rPr>
          <w:rStyle w:val="ae"/>
          <w:rtl/>
        </w:rPr>
        <w:footnoteReference w:id="1010"/>
      </w:r>
      <w:r w:rsidR="00824744" w:rsidRPr="00824744">
        <w:rPr>
          <w:rStyle w:val="ae"/>
          <w:rtl/>
        </w:rPr>
        <w:t>)</w:t>
      </w:r>
    </w:p>
    <w:p w:rsidR="005C21CD" w:rsidRPr="005C21CD" w:rsidRDefault="005C21CD" w:rsidP="00A94AF8">
      <w:pPr>
        <w:ind w:firstLine="0"/>
        <w:rPr>
          <w:rtl/>
        </w:rPr>
      </w:pPr>
      <w:r w:rsidRPr="005C21CD">
        <w:rPr>
          <w:rtl/>
        </w:rPr>
        <w:t>يقرضن: يتركن. وأصل القرض: القطع والتّفرقة بين الأشياء، ومنه: أقرِضني درهماً، أي: اقطع لي من مالك درهماً</w:t>
      </w:r>
      <w:r w:rsidRPr="005C21CD">
        <w:rPr>
          <w:vertAlign w:val="superscript"/>
          <w:rtl/>
        </w:rPr>
        <w:t>(</w:t>
      </w:r>
      <w:r w:rsidRPr="005C21CD">
        <w:rPr>
          <w:vertAlign w:val="superscript"/>
          <w:rtl/>
        </w:rPr>
        <w:footnoteReference w:id="1011"/>
      </w:r>
      <w:r w:rsidRPr="005C21CD">
        <w:rPr>
          <w:vertAlign w:val="superscript"/>
          <w:rtl/>
        </w:rPr>
        <w:t>)</w:t>
      </w:r>
      <w:r w:rsidRPr="005C21CD">
        <w:rPr>
          <w:rtl/>
        </w:rPr>
        <w:t>. قال المفسرون: كان كهفهم ب</w:t>
      </w:r>
      <w:r w:rsidRPr="005C21CD">
        <w:rPr>
          <w:rFonts w:hint="cs"/>
          <w:rtl/>
        </w:rPr>
        <w:t>إ</w:t>
      </w:r>
      <w:r w:rsidRPr="005C21CD">
        <w:rPr>
          <w:rtl/>
        </w:rPr>
        <w:t>زاء بنات نعش</w:t>
      </w:r>
      <w:r w:rsidRPr="005C21CD">
        <w:rPr>
          <w:vertAlign w:val="superscript"/>
          <w:rtl/>
        </w:rPr>
        <w:t>(</w:t>
      </w:r>
      <w:r w:rsidRPr="005C21CD">
        <w:rPr>
          <w:vertAlign w:val="superscript"/>
          <w:rtl/>
        </w:rPr>
        <w:footnoteReference w:id="1012"/>
      </w:r>
      <w:r w:rsidRPr="005C21CD">
        <w:rPr>
          <w:vertAlign w:val="superscript"/>
          <w:rtl/>
        </w:rPr>
        <w:t>)</w:t>
      </w:r>
      <w:r w:rsidRPr="005C21CD">
        <w:rPr>
          <w:rtl/>
        </w:rPr>
        <w:t>في أرض الروم، فكانت الشمس تميل عنهم طالعةً وغاربةً لا تدخل عليهم فتؤذيهم بحرِّها وتغير ألوانهم</w:t>
      </w:r>
      <w:r w:rsidRPr="005C21CD">
        <w:rPr>
          <w:vertAlign w:val="superscript"/>
          <w:rtl/>
        </w:rPr>
        <w:t>(</w:t>
      </w:r>
      <w:r w:rsidRPr="005C21CD">
        <w:rPr>
          <w:vertAlign w:val="superscript"/>
          <w:rtl/>
        </w:rPr>
        <w:footnoteReference w:id="1013"/>
      </w:r>
      <w:r w:rsidRPr="005C21CD">
        <w:rPr>
          <w:vertAlign w:val="superscript"/>
          <w:rtl/>
        </w:rPr>
        <w:t>)</w:t>
      </w:r>
      <w:r w:rsidRPr="005C21CD">
        <w:rPr>
          <w:rtl/>
        </w:rPr>
        <w:t>. ثم أخبر أنهم كانوا في متسع من الكهف ينالهم فيه برد الريح، ونسيم الهواء</w:t>
      </w:r>
      <w:r w:rsidRPr="005C21CD">
        <w:rPr>
          <w:vertAlign w:val="superscript"/>
          <w:rtl/>
        </w:rPr>
        <w:t>(</w:t>
      </w:r>
      <w:r w:rsidRPr="005C21CD">
        <w:rPr>
          <w:vertAlign w:val="superscript"/>
          <w:rtl/>
        </w:rPr>
        <w:footnoteReference w:id="1014"/>
      </w:r>
      <w:r w:rsidRPr="005C21CD">
        <w:rPr>
          <w:vertAlign w:val="superscript"/>
          <w:rtl/>
        </w:rPr>
        <w:t>)</w:t>
      </w:r>
      <w:r w:rsidRPr="005C21CD">
        <w:rPr>
          <w:rtl/>
        </w:rPr>
        <w:t xml:space="preserve">، فقال: </w:t>
      </w:r>
      <w:r w:rsidRPr="005C21CD">
        <w:rPr>
          <w:rFonts w:ascii="QCF_BSML" w:hAnsi="QCF_BSML" w:cs="QCF_BSML"/>
          <w:sz w:val="32"/>
          <w:szCs w:val="32"/>
          <w:rtl/>
          <w:lang w:eastAsia="en-US"/>
        </w:rPr>
        <w:t>ﭽ</w:t>
      </w:r>
      <w:r w:rsidRPr="005C21CD">
        <w:rPr>
          <w:rtl/>
        </w:rPr>
        <w:t xml:space="preserve"> </w:t>
      </w:r>
      <w:r w:rsidRPr="005C21CD">
        <w:rPr>
          <w:rFonts w:ascii="QCF_P295" w:hAnsi="QCF_P295" w:cs="QCF_P295"/>
          <w:color w:val="auto"/>
          <w:sz w:val="32"/>
          <w:szCs w:val="32"/>
          <w:rtl/>
          <w:lang w:eastAsia="en-US"/>
        </w:rPr>
        <w:t>ﭴ  ﭵ  ﭶ   ﭷ</w:t>
      </w:r>
      <w:r w:rsidRPr="005C21CD">
        <w:rPr>
          <w:rFonts w:ascii="QCF_BSML" w:hAnsi="QCF_BSML" w:cs="QCF_BSML"/>
          <w:color w:val="auto"/>
          <w:sz w:val="32"/>
          <w:szCs w:val="32"/>
          <w:rtl/>
          <w:lang w:eastAsia="en-US"/>
        </w:rPr>
        <w:t>ﭼ</w:t>
      </w:r>
      <w:r w:rsidR="00A94AF8">
        <w:rPr>
          <w:rtl/>
        </w:rPr>
        <w:t xml:space="preserve"> قال أبو عبيدة: أي:</w:t>
      </w:r>
      <w:r w:rsidR="00A94AF8">
        <w:rPr>
          <w:rFonts w:hint="cs"/>
          <w:rtl/>
        </w:rPr>
        <w:t>[</w:t>
      </w:r>
      <w:r w:rsidR="00A94AF8">
        <w:rPr>
          <w:rtl/>
        </w:rPr>
        <w:t>ف</w:t>
      </w:r>
      <w:r w:rsidR="00A94AF8">
        <w:rPr>
          <w:rFonts w:hint="cs"/>
          <w:rtl/>
        </w:rPr>
        <w:t>ي]</w:t>
      </w:r>
      <w:r w:rsidRPr="005C21CD">
        <w:rPr>
          <w:vertAlign w:val="superscript"/>
          <w:rtl/>
        </w:rPr>
        <w:t>(</w:t>
      </w:r>
      <w:r w:rsidRPr="005C21CD">
        <w:rPr>
          <w:vertAlign w:val="superscript"/>
          <w:rtl/>
        </w:rPr>
        <w:footnoteReference w:id="1015"/>
      </w:r>
      <w:r w:rsidRPr="005C21CD">
        <w:rPr>
          <w:vertAlign w:val="superscript"/>
          <w:rtl/>
        </w:rPr>
        <w:t>)</w:t>
      </w:r>
      <w:r w:rsidRPr="005C21CD">
        <w:rPr>
          <w:rtl/>
        </w:rPr>
        <w:t>مُتَّسَع، والجميع: فَجَوات، وفِجاء، بكسر الفاء</w:t>
      </w:r>
      <w:r w:rsidRPr="005C21CD">
        <w:rPr>
          <w:vertAlign w:val="superscript"/>
          <w:rtl/>
        </w:rPr>
        <w:t>(</w:t>
      </w:r>
      <w:r w:rsidRPr="005C21CD">
        <w:rPr>
          <w:vertAlign w:val="superscript"/>
          <w:rtl/>
        </w:rPr>
        <w:footnoteReference w:id="1016"/>
      </w:r>
      <w:r w:rsidRPr="005C21CD">
        <w:rPr>
          <w:vertAlign w:val="superscript"/>
          <w:rtl/>
        </w:rPr>
        <w:t>)</w:t>
      </w:r>
      <w:r w:rsidRPr="005C21CD">
        <w:rPr>
          <w:rtl/>
        </w:rPr>
        <w:t>. وقال الزجاج: إِنما صَرْفُ الشمس عنهم آيةٌ من الآيات، ولم يرض قول من قال: كان كهفهم ب</w:t>
      </w:r>
      <w:r w:rsidRPr="005C21CD">
        <w:rPr>
          <w:rFonts w:hint="cs"/>
          <w:rtl/>
        </w:rPr>
        <w:t>إ</w:t>
      </w:r>
      <w:r w:rsidRPr="005C21CD">
        <w:rPr>
          <w:rtl/>
        </w:rPr>
        <w:t>زاء بنات نعش</w:t>
      </w:r>
      <w:r w:rsidRPr="005C21CD">
        <w:rPr>
          <w:vertAlign w:val="superscript"/>
          <w:rtl/>
        </w:rPr>
        <w:t>(</w:t>
      </w:r>
      <w:r w:rsidRPr="005C21CD">
        <w:rPr>
          <w:vertAlign w:val="superscript"/>
          <w:rtl/>
        </w:rPr>
        <w:footnoteReference w:id="1017"/>
      </w:r>
      <w:r w:rsidRPr="005C21CD">
        <w:rPr>
          <w:vertAlign w:val="superscript"/>
          <w:rtl/>
        </w:rPr>
        <w:t>)</w:t>
      </w:r>
      <w:r w:rsidRPr="005C21CD">
        <w:rPr>
          <w:rtl/>
        </w:rPr>
        <w:t>.</w:t>
      </w:r>
    </w:p>
    <w:p w:rsidR="005C21CD" w:rsidRPr="005C21CD" w:rsidRDefault="005C21CD" w:rsidP="005C21CD">
      <w:pPr>
        <w:ind w:firstLine="0"/>
        <w:rPr>
          <w:rtl/>
        </w:rPr>
      </w:pPr>
      <w:r w:rsidRPr="005C21CD">
        <w:rPr>
          <w:rtl/>
        </w:rPr>
        <w:t xml:space="preserve">قوله تعالى: </w:t>
      </w:r>
      <w:r w:rsidRPr="005C21CD">
        <w:rPr>
          <w:rFonts w:ascii="QCF_BSML" w:hAnsi="QCF_BSML" w:cs="QCF_BSML"/>
          <w:sz w:val="32"/>
          <w:szCs w:val="32"/>
          <w:rtl/>
          <w:lang w:eastAsia="en-US"/>
        </w:rPr>
        <w:t>ﭽ</w:t>
      </w:r>
      <w:r w:rsidRPr="005C21CD">
        <w:rPr>
          <w:rtl/>
        </w:rPr>
        <w:t xml:space="preserve"> </w:t>
      </w:r>
      <w:r w:rsidRPr="005C21CD">
        <w:rPr>
          <w:rFonts w:ascii="QCF_P295" w:hAnsi="QCF_P295" w:cs="QCF_P295"/>
          <w:color w:val="auto"/>
          <w:sz w:val="32"/>
          <w:szCs w:val="32"/>
          <w:rtl/>
          <w:lang w:eastAsia="en-US"/>
        </w:rPr>
        <w:t>ﭹ  ﭺ  ﭻ  ﭼ</w:t>
      </w:r>
      <w:r w:rsidRPr="005C21CD">
        <w:rPr>
          <w:rFonts w:ascii="QCF_BSML" w:hAnsi="QCF_BSML" w:cs="QCF_BSML"/>
          <w:color w:val="auto"/>
          <w:sz w:val="32"/>
          <w:szCs w:val="32"/>
          <w:rtl/>
          <w:lang w:eastAsia="en-US"/>
        </w:rPr>
        <w:t xml:space="preserve"> ﭼ</w:t>
      </w:r>
      <w:r w:rsidRPr="005C21CD">
        <w:rPr>
          <w:rtl/>
        </w:rPr>
        <w:t xml:space="preserve"> يشير إِلى ما صنعه بهم من اللطف في هدايتهم، وصرف </w:t>
      </w:r>
      <w:r w:rsidRPr="005C21CD">
        <w:rPr>
          <w:rtl/>
        </w:rPr>
        <w:lastRenderedPageBreak/>
        <w:t>أذى الشمس عنهم، والرعب الذي ألقى عليهم حتى لم يقدر الملك الظالم ولا غيره على أذاهم. «</w:t>
      </w:r>
      <w:r w:rsidRPr="005C21CD">
        <w:rPr>
          <w:rFonts w:ascii="QCF_BSML" w:hAnsi="QCF_BSML" w:cs="QCF_BSML"/>
          <w:sz w:val="32"/>
          <w:szCs w:val="32"/>
          <w:rtl/>
          <w:lang w:eastAsia="en-US"/>
        </w:rPr>
        <w:t xml:space="preserve"> ﭽ</w:t>
      </w:r>
      <w:r w:rsidRPr="005C21CD">
        <w:rPr>
          <w:rFonts w:ascii="QCF_P295" w:hAnsi="QCF_P295" w:cs="QCF_P295"/>
          <w:color w:val="auto"/>
          <w:sz w:val="32"/>
          <w:szCs w:val="32"/>
          <w:rtl/>
          <w:lang w:eastAsia="en-US"/>
        </w:rPr>
        <w:t xml:space="preserve"> ﭺ  ﭻ  ﭼ</w:t>
      </w:r>
      <w:r w:rsidRPr="005C21CD">
        <w:rPr>
          <w:rFonts w:ascii="QCF_BSML" w:hAnsi="QCF_BSML" w:cs="QCF_BSML"/>
          <w:color w:val="auto"/>
          <w:sz w:val="32"/>
          <w:szCs w:val="32"/>
          <w:rtl/>
          <w:lang w:eastAsia="en-US"/>
        </w:rPr>
        <w:t xml:space="preserve"> </w:t>
      </w:r>
      <w:r w:rsidRPr="005C21CD">
        <w:rPr>
          <w:rFonts w:ascii="QCF_P295" w:hAnsi="QCF_P295" w:cs="QCF_P295"/>
          <w:color w:val="auto"/>
          <w:sz w:val="32"/>
          <w:szCs w:val="32"/>
          <w:rtl/>
          <w:lang w:eastAsia="en-US"/>
        </w:rPr>
        <w:t xml:space="preserve">ﭽ </w:t>
      </w:r>
      <w:r w:rsidRPr="005C21CD">
        <w:rPr>
          <w:rFonts w:ascii="QCF_BSML" w:hAnsi="QCF_BSML" w:cs="QCF_BSML"/>
          <w:color w:val="auto"/>
          <w:sz w:val="32"/>
          <w:szCs w:val="32"/>
          <w:rtl/>
          <w:lang w:eastAsia="en-US"/>
        </w:rPr>
        <w:t>ﭼ</w:t>
      </w:r>
      <w:r w:rsidRPr="005C21CD">
        <w:rPr>
          <w:rFonts w:ascii="QCF_P295" w:hAnsi="QCF_P295" w:cs="QCF_P295" w:hint="cs"/>
          <w:color w:val="auto"/>
          <w:sz w:val="32"/>
          <w:szCs w:val="32"/>
          <w:rtl/>
          <w:lang w:eastAsia="en-US"/>
        </w:rPr>
        <w:t xml:space="preserve"> </w:t>
      </w:r>
      <w:r w:rsidRPr="005C21CD">
        <w:rPr>
          <w:rFonts w:ascii="QCF_P295" w:hAnsi="QCF_P295" w:cs="QCF_P295"/>
          <w:color w:val="auto"/>
          <w:sz w:val="32"/>
          <w:szCs w:val="32"/>
          <w:rtl/>
          <w:lang w:eastAsia="en-US"/>
        </w:rPr>
        <w:t xml:space="preserve"> </w:t>
      </w:r>
      <w:r w:rsidRPr="005C21CD">
        <w:rPr>
          <w:rtl/>
        </w:rPr>
        <w:t>أي: من دلائله على قدرته ولطفه.</w:t>
      </w:r>
      <w:r w:rsidRPr="005C21CD">
        <w:rPr>
          <w:rFonts w:ascii="QCF_BSML" w:hAnsi="QCF_BSML" w:cs="QCF_BSML"/>
          <w:sz w:val="32"/>
          <w:szCs w:val="32"/>
          <w:rtl/>
          <w:lang w:eastAsia="en-US"/>
        </w:rPr>
        <w:t xml:space="preserve"> ﭽ</w:t>
      </w:r>
      <w:r w:rsidRPr="005C21CD">
        <w:rPr>
          <w:rtl/>
        </w:rPr>
        <w:t xml:space="preserve"> </w:t>
      </w:r>
      <w:r w:rsidRPr="005C21CD">
        <w:rPr>
          <w:rFonts w:ascii="QCF_P295" w:hAnsi="QCF_P295" w:cs="QCF_P295"/>
          <w:color w:val="auto"/>
          <w:sz w:val="32"/>
          <w:szCs w:val="32"/>
          <w:rtl/>
          <w:lang w:eastAsia="en-US"/>
        </w:rPr>
        <w:t xml:space="preserve">ﭾ  ﭿ  ﮀ  ﮁ  ﮂﮃ  </w:t>
      </w:r>
      <w:r w:rsidRPr="005C21CD">
        <w:rPr>
          <w:rFonts w:ascii="QCF_BSML" w:hAnsi="QCF_BSML" w:cs="QCF_BSML"/>
          <w:color w:val="auto"/>
          <w:sz w:val="32"/>
          <w:szCs w:val="32"/>
          <w:rtl/>
          <w:lang w:eastAsia="en-US"/>
        </w:rPr>
        <w:t>ﭼ</w:t>
      </w:r>
      <w:r w:rsidRPr="005C21CD">
        <w:rPr>
          <w:rtl/>
        </w:rPr>
        <w:t xml:space="preserve"> هذا بيان أنه هو الذي تولَّى هداية القوم، ولولا ذلك لم يهتدوا</w:t>
      </w:r>
      <w:r w:rsidRPr="005C21CD">
        <w:rPr>
          <w:vertAlign w:val="superscript"/>
          <w:rtl/>
        </w:rPr>
        <w:t>(</w:t>
      </w:r>
      <w:r w:rsidRPr="005C21CD">
        <w:rPr>
          <w:vertAlign w:val="superscript"/>
          <w:rtl/>
        </w:rPr>
        <w:footnoteReference w:id="1018"/>
      </w:r>
      <w:r w:rsidRPr="005C21CD">
        <w:rPr>
          <w:vertAlign w:val="superscript"/>
          <w:rtl/>
        </w:rPr>
        <w:t>)</w:t>
      </w:r>
      <w:r w:rsidRPr="005C21CD">
        <w:rPr>
          <w:rtl/>
        </w:rPr>
        <w:t>.</w:t>
      </w:r>
    </w:p>
    <w:p w:rsidR="005C21CD" w:rsidRPr="005C21CD" w:rsidRDefault="005C21CD" w:rsidP="005C21CD">
      <w:pPr>
        <w:ind w:firstLine="0"/>
        <w:rPr>
          <w:rtl/>
        </w:rPr>
      </w:pPr>
      <w:r w:rsidRPr="005C21CD">
        <w:rPr>
          <w:rFonts w:ascii="QCF_BSML" w:hAnsi="QCF_BSML" w:cs="QCF_BSML"/>
          <w:color w:val="auto"/>
          <w:sz w:val="32"/>
          <w:szCs w:val="32"/>
          <w:rtl/>
          <w:lang w:eastAsia="en-US"/>
        </w:rPr>
        <w:t xml:space="preserve">ﭽ </w:t>
      </w:r>
      <w:r w:rsidRPr="005C21CD">
        <w:rPr>
          <w:rFonts w:ascii="QCF_P295" w:hAnsi="QCF_P295" w:cs="QCF_P295"/>
          <w:color w:val="auto"/>
          <w:sz w:val="32"/>
          <w:szCs w:val="32"/>
          <w:rtl/>
          <w:lang w:eastAsia="en-US"/>
        </w:rPr>
        <w:t>ﮌ  ﮍ   ﮎ  ﮏﮐ  ﮑ  ﮒ  ﮓ  ﮔ  ﮕﮖ  ﮗ   ﮘ  ﮙ  ﮚ</w:t>
      </w:r>
      <w:r w:rsidRPr="005C21CD">
        <w:rPr>
          <w:rFonts w:ascii="QCF_P295" w:hAnsi="QCF_P295" w:cs="QCF_P295" w:hint="cs"/>
          <w:color w:val="auto"/>
          <w:sz w:val="32"/>
          <w:szCs w:val="32"/>
          <w:rtl/>
          <w:lang w:eastAsia="en-US"/>
        </w:rPr>
        <w:t xml:space="preserve"> </w:t>
      </w:r>
      <w:r w:rsidRPr="005C21CD">
        <w:rPr>
          <w:rFonts w:ascii="QCF_P295" w:hAnsi="QCF_P295" w:cs="QCF_P295"/>
          <w:color w:val="auto"/>
          <w:sz w:val="32"/>
          <w:szCs w:val="32"/>
          <w:rtl/>
          <w:lang w:eastAsia="en-US"/>
        </w:rPr>
        <w:t xml:space="preserve">ﮛ  ﮜ  ﮝ  ﮞ  ﮟ  ﮠ    ﮡ  ﮢ  ﮣ  ﮤ  ﮥ  </w:t>
      </w:r>
      <w:r w:rsidRPr="005C21CD">
        <w:rPr>
          <w:rFonts w:ascii="QCF_BSML" w:hAnsi="QCF_BSML" w:cs="QCF_BSML"/>
          <w:sz w:val="32"/>
          <w:szCs w:val="32"/>
          <w:rtl/>
          <w:lang w:eastAsia="en-US"/>
        </w:rPr>
        <w:t>ﭼ</w:t>
      </w:r>
      <w:r w:rsidRPr="005C21CD">
        <w:rPr>
          <w:rFonts w:ascii="Arial" w:hAnsi="Arial" w:cs="Arial"/>
          <w:sz w:val="32"/>
          <w:szCs w:val="32"/>
          <w:rtl/>
          <w:lang w:eastAsia="en-US"/>
        </w:rPr>
        <w:t xml:space="preserve"> </w:t>
      </w:r>
    </w:p>
    <w:p w:rsidR="005C21CD" w:rsidRPr="005C21CD" w:rsidRDefault="005C21CD" w:rsidP="009F2C1E">
      <w:pPr>
        <w:ind w:firstLine="0"/>
        <w:rPr>
          <w:rtl/>
        </w:rPr>
      </w:pPr>
      <w:r w:rsidRPr="005C21CD">
        <w:rPr>
          <w:rtl/>
        </w:rPr>
        <w:t xml:space="preserve">قوله تعالى: </w:t>
      </w:r>
      <w:r w:rsidRPr="005C21CD">
        <w:rPr>
          <w:rFonts w:ascii="QCF_BSML" w:hAnsi="QCF_BSML" w:cs="QCF_BSML"/>
          <w:color w:val="auto"/>
          <w:sz w:val="32"/>
          <w:szCs w:val="32"/>
          <w:rtl/>
          <w:lang w:eastAsia="en-US"/>
        </w:rPr>
        <w:t xml:space="preserve">ﭽ </w:t>
      </w:r>
      <w:r w:rsidRPr="005C21CD">
        <w:rPr>
          <w:rFonts w:ascii="QCF_P295" w:hAnsi="QCF_P295" w:cs="QCF_P295"/>
          <w:color w:val="auto"/>
          <w:sz w:val="32"/>
          <w:szCs w:val="32"/>
          <w:rtl/>
          <w:lang w:eastAsia="en-US"/>
        </w:rPr>
        <w:t>ﮌ  ﮍ</w:t>
      </w:r>
      <w:r w:rsidRPr="005C21CD">
        <w:rPr>
          <w:rFonts w:ascii="QCF_BSML" w:hAnsi="QCF_BSML" w:cs="QCF_BSML"/>
          <w:sz w:val="32"/>
          <w:szCs w:val="32"/>
          <w:rtl/>
          <w:lang w:eastAsia="en-US"/>
        </w:rPr>
        <w:t xml:space="preserve"> ﭼ</w:t>
      </w:r>
      <w:r w:rsidRPr="005C21CD">
        <w:rPr>
          <w:rFonts w:ascii="QCF_P295" w:hAnsi="QCF_P295" w:cs="QCF_P295"/>
          <w:color w:val="auto"/>
          <w:sz w:val="32"/>
          <w:szCs w:val="32"/>
          <w:rtl/>
          <w:lang w:eastAsia="en-US"/>
        </w:rPr>
        <w:t xml:space="preserve">   </w:t>
      </w:r>
      <w:r w:rsidRPr="005C21CD">
        <w:rPr>
          <w:rtl/>
        </w:rPr>
        <w:t>أي: لو رأيتَهم لحسِبتَهم</w:t>
      </w:r>
      <w:r w:rsidR="009B639B">
        <w:rPr>
          <w:rFonts w:hint="cs"/>
          <w:rtl/>
        </w:rPr>
        <w:t xml:space="preserve"> </w:t>
      </w:r>
      <w:r w:rsidR="009B639B" w:rsidRPr="001277AD">
        <w:rPr>
          <w:rFonts w:hint="cs"/>
          <w:color w:val="0D0D0D" w:themeColor="text1" w:themeTint="F2"/>
          <w:sz w:val="32"/>
          <w:szCs w:val="32"/>
          <w:rtl/>
        </w:rPr>
        <w:t>[</w:t>
      </w:r>
      <w:r w:rsidR="009B639B">
        <w:rPr>
          <w:rFonts w:hint="cs"/>
          <w:color w:val="0D0D0D" w:themeColor="text1" w:themeTint="F2"/>
          <w:sz w:val="32"/>
          <w:szCs w:val="32"/>
          <w:rtl/>
        </w:rPr>
        <w:t>108</w:t>
      </w:r>
      <w:r w:rsidR="009B639B" w:rsidRPr="001277AD">
        <w:rPr>
          <w:rFonts w:hint="cs"/>
          <w:color w:val="0D0D0D" w:themeColor="text1" w:themeTint="F2"/>
          <w:sz w:val="32"/>
          <w:szCs w:val="32"/>
          <w:rtl/>
        </w:rPr>
        <w:t>]</w:t>
      </w:r>
      <w:r w:rsidRPr="005C21CD">
        <w:rPr>
          <w:rtl/>
        </w:rPr>
        <w:t xml:space="preserve"> أيقاظاً</w:t>
      </w:r>
      <w:r w:rsidRPr="005C21CD">
        <w:rPr>
          <w:vertAlign w:val="superscript"/>
          <w:rtl/>
        </w:rPr>
        <w:t>(</w:t>
      </w:r>
      <w:r w:rsidRPr="005C21CD">
        <w:rPr>
          <w:vertAlign w:val="superscript"/>
          <w:rtl/>
        </w:rPr>
        <w:footnoteReference w:id="1019"/>
      </w:r>
      <w:r w:rsidRPr="005C21CD">
        <w:rPr>
          <w:vertAlign w:val="superscript"/>
          <w:rtl/>
        </w:rPr>
        <w:t>)</w:t>
      </w:r>
      <w:r w:rsidRPr="005C21CD">
        <w:rPr>
          <w:rtl/>
        </w:rPr>
        <w:t>. قال الزجاج: الأيقاظ:</w:t>
      </w:r>
      <w:r w:rsidR="009B639B">
        <w:rPr>
          <w:rFonts w:hint="cs"/>
          <w:rtl/>
        </w:rPr>
        <w:t xml:space="preserve"> </w:t>
      </w:r>
      <w:r w:rsidRPr="005C21CD">
        <w:rPr>
          <w:rtl/>
        </w:rPr>
        <w:t>المنتبهون، واحدهم: يقظ، ويقظان، والجميع: أيقاظ والرّقود: النّيام</w:t>
      </w:r>
      <w:r w:rsidRPr="005C21CD">
        <w:rPr>
          <w:vertAlign w:val="superscript"/>
          <w:rtl/>
        </w:rPr>
        <w:t>(</w:t>
      </w:r>
      <w:r w:rsidRPr="005C21CD">
        <w:rPr>
          <w:vertAlign w:val="superscript"/>
          <w:rtl/>
        </w:rPr>
        <w:footnoteReference w:id="1020"/>
      </w:r>
      <w:r w:rsidRPr="005C21CD">
        <w:rPr>
          <w:vertAlign w:val="superscript"/>
          <w:rtl/>
        </w:rPr>
        <w:t>)</w:t>
      </w:r>
      <w:r w:rsidRPr="005C21CD">
        <w:rPr>
          <w:rtl/>
        </w:rPr>
        <w:t>. وقال الفراء: واحد الأيقاظ:</w:t>
      </w:r>
      <w:r w:rsidRPr="005C21CD">
        <w:rPr>
          <w:rFonts w:hint="cs"/>
          <w:rtl/>
        </w:rPr>
        <w:t xml:space="preserve"> </w:t>
      </w:r>
      <w:r w:rsidRPr="005C21CD">
        <w:rPr>
          <w:rtl/>
        </w:rPr>
        <w:t>يَقُظ، ويَقِظ</w:t>
      </w:r>
      <w:r w:rsidRPr="005C21CD">
        <w:rPr>
          <w:vertAlign w:val="superscript"/>
          <w:rtl/>
        </w:rPr>
        <w:t>(</w:t>
      </w:r>
      <w:r w:rsidRPr="005C21CD">
        <w:rPr>
          <w:vertAlign w:val="superscript"/>
          <w:rtl/>
        </w:rPr>
        <w:footnoteReference w:id="1021"/>
      </w:r>
      <w:r w:rsidRPr="005C21CD">
        <w:rPr>
          <w:vertAlign w:val="superscript"/>
          <w:rtl/>
        </w:rPr>
        <w:t>)</w:t>
      </w:r>
      <w:r w:rsidRPr="005C21CD">
        <w:rPr>
          <w:rtl/>
        </w:rPr>
        <w:t>. قال ابن السائب: وإِنما يُحسَبون أيقاظاً، لأن أعينهم مفتَّحة وهم نيام</w:t>
      </w:r>
      <w:r w:rsidRPr="005C21CD">
        <w:rPr>
          <w:vertAlign w:val="superscript"/>
          <w:rtl/>
        </w:rPr>
        <w:t>(</w:t>
      </w:r>
      <w:r w:rsidRPr="005C21CD">
        <w:rPr>
          <w:vertAlign w:val="superscript"/>
          <w:rtl/>
        </w:rPr>
        <w:footnoteReference w:id="1022"/>
      </w:r>
      <w:r w:rsidRPr="005C21CD">
        <w:rPr>
          <w:vertAlign w:val="superscript"/>
          <w:rtl/>
        </w:rPr>
        <w:t>)</w:t>
      </w:r>
      <w:r w:rsidRPr="005C21CD">
        <w:rPr>
          <w:rtl/>
        </w:rPr>
        <w:t>. وقيل: لتقلُّبهم يميناً وشمالاً</w:t>
      </w:r>
      <w:r w:rsidRPr="005C21CD">
        <w:rPr>
          <w:vertAlign w:val="superscript"/>
          <w:rtl/>
        </w:rPr>
        <w:t>(</w:t>
      </w:r>
      <w:r w:rsidRPr="005C21CD">
        <w:rPr>
          <w:vertAlign w:val="superscript"/>
          <w:rtl/>
        </w:rPr>
        <w:footnoteReference w:id="1023"/>
      </w:r>
      <w:r w:rsidRPr="005C21CD">
        <w:rPr>
          <w:vertAlign w:val="superscript"/>
          <w:rtl/>
        </w:rPr>
        <w:t>)</w:t>
      </w:r>
      <w:r w:rsidRPr="005C21CD">
        <w:rPr>
          <w:rtl/>
        </w:rPr>
        <w:t>. وذكر بعض أهل العلم: أن وجه الحكمة في فتح أعينهم، أنه لو دام طَبْقها لذابت</w:t>
      </w:r>
      <w:r w:rsidRPr="005C21CD">
        <w:rPr>
          <w:vertAlign w:val="superscript"/>
          <w:rtl/>
        </w:rPr>
        <w:t>(</w:t>
      </w:r>
      <w:r w:rsidRPr="005C21CD">
        <w:rPr>
          <w:vertAlign w:val="superscript"/>
          <w:rtl/>
        </w:rPr>
        <w:footnoteReference w:id="1024"/>
      </w:r>
      <w:r w:rsidRPr="005C21CD">
        <w:rPr>
          <w:vertAlign w:val="superscript"/>
          <w:rtl/>
        </w:rPr>
        <w:t>)</w:t>
      </w:r>
      <w:r w:rsidRPr="005C21CD">
        <w:rPr>
          <w:rtl/>
        </w:rPr>
        <w:t xml:space="preserve">. قوله تعالى: </w:t>
      </w:r>
      <w:r w:rsidRPr="005C21CD">
        <w:rPr>
          <w:rFonts w:ascii="QCF_BSML" w:hAnsi="QCF_BSML" w:cs="QCF_BSML"/>
          <w:sz w:val="32"/>
          <w:szCs w:val="32"/>
          <w:rtl/>
          <w:lang w:eastAsia="en-US"/>
        </w:rPr>
        <w:t>ﭽ</w:t>
      </w:r>
      <w:r w:rsidRPr="005C21CD">
        <w:rPr>
          <w:rFonts w:ascii="QCF_P295" w:hAnsi="QCF_P295" w:cs="QCF_P295"/>
          <w:color w:val="auto"/>
          <w:sz w:val="32"/>
          <w:szCs w:val="32"/>
          <w:rtl/>
          <w:lang w:eastAsia="en-US"/>
        </w:rPr>
        <w:t xml:space="preserve"> ﮑ</w:t>
      </w:r>
      <w:r w:rsidRPr="005C21CD">
        <w:rPr>
          <w:rFonts w:ascii="QCF_BSML" w:hAnsi="QCF_BSML" w:cs="QCF_BSML"/>
          <w:sz w:val="32"/>
          <w:szCs w:val="32"/>
          <w:rtl/>
          <w:lang w:eastAsia="en-US"/>
        </w:rPr>
        <w:t xml:space="preserve"> ﭼ</w:t>
      </w:r>
      <w:r w:rsidRPr="005C21CD">
        <w:rPr>
          <w:rtl/>
        </w:rPr>
        <w:t xml:space="preserve"> وقرأ الحسن وأبو رجاء: «وتَقْلِبُهم» بتاء مفتوحة، وسكون القاف، وتخفيف اللام المكسورة</w:t>
      </w:r>
      <w:r w:rsidRPr="005C21CD">
        <w:rPr>
          <w:vertAlign w:val="superscript"/>
          <w:rtl/>
        </w:rPr>
        <w:t>(</w:t>
      </w:r>
      <w:r w:rsidRPr="005C21CD">
        <w:rPr>
          <w:vertAlign w:val="superscript"/>
          <w:rtl/>
        </w:rPr>
        <w:footnoteReference w:id="1025"/>
      </w:r>
      <w:r w:rsidRPr="005C21CD">
        <w:rPr>
          <w:vertAlign w:val="superscript"/>
          <w:rtl/>
        </w:rPr>
        <w:t>)</w:t>
      </w:r>
      <w:r w:rsidRPr="005C21CD">
        <w:rPr>
          <w:rtl/>
        </w:rPr>
        <w:t>. وقرأ أبو الجوزاء، وعكرمة: «ونَقْلِبُهم» مثلها، إِلا أنه بالنون</w:t>
      </w:r>
      <w:r w:rsidRPr="005C21CD">
        <w:rPr>
          <w:vertAlign w:val="superscript"/>
          <w:rtl/>
        </w:rPr>
        <w:t>(</w:t>
      </w:r>
      <w:r w:rsidRPr="005C21CD">
        <w:rPr>
          <w:vertAlign w:val="superscript"/>
          <w:rtl/>
        </w:rPr>
        <w:footnoteReference w:id="1026"/>
      </w:r>
      <w:r w:rsidRPr="005C21CD">
        <w:rPr>
          <w:vertAlign w:val="superscript"/>
          <w:rtl/>
        </w:rPr>
        <w:t>)</w:t>
      </w:r>
      <w:r w:rsidRPr="005C21CD">
        <w:rPr>
          <w:rtl/>
        </w:rPr>
        <w:t xml:space="preserve">. </w:t>
      </w:r>
      <w:r w:rsidRPr="005C21CD">
        <w:rPr>
          <w:rFonts w:ascii="QCF_BSML" w:hAnsi="QCF_BSML" w:cs="QCF_BSML"/>
          <w:sz w:val="32"/>
          <w:szCs w:val="32"/>
          <w:rtl/>
          <w:lang w:eastAsia="en-US"/>
        </w:rPr>
        <w:t>ﭽ</w:t>
      </w:r>
      <w:r w:rsidRPr="005C21CD">
        <w:rPr>
          <w:rtl/>
        </w:rPr>
        <w:t xml:space="preserve"> </w:t>
      </w:r>
      <w:r w:rsidRPr="005C21CD">
        <w:rPr>
          <w:rFonts w:ascii="QCF_P295" w:hAnsi="QCF_P295" w:cs="QCF_P295"/>
          <w:color w:val="auto"/>
          <w:sz w:val="32"/>
          <w:szCs w:val="32"/>
          <w:rtl/>
          <w:lang w:eastAsia="en-US"/>
        </w:rPr>
        <w:t xml:space="preserve">ﮒ  ﮓ </w:t>
      </w:r>
      <w:r w:rsidRPr="005C21CD">
        <w:rPr>
          <w:rFonts w:ascii="QCF_BSML" w:hAnsi="QCF_BSML" w:cs="QCF_BSML"/>
          <w:sz w:val="32"/>
          <w:szCs w:val="32"/>
          <w:rtl/>
          <w:lang w:eastAsia="en-US"/>
        </w:rPr>
        <w:t>ﭼ</w:t>
      </w:r>
      <w:r w:rsidRPr="005C21CD">
        <w:rPr>
          <w:rFonts w:ascii="QCF_P295" w:hAnsi="QCF_P295" w:cs="QCF_P295"/>
          <w:color w:val="auto"/>
          <w:sz w:val="32"/>
          <w:szCs w:val="32"/>
          <w:rtl/>
          <w:lang w:eastAsia="en-US"/>
        </w:rPr>
        <w:t xml:space="preserve"> </w:t>
      </w:r>
      <w:r w:rsidRPr="005C21CD">
        <w:rPr>
          <w:rtl/>
        </w:rPr>
        <w:t>أي: على أيْمانهم وعلى شمائلهم. قال ابن عباس: كانوا يُقلَّبون في كل عام مرتين، ستة أشهر على هذا الجنب، وستة أشهر على هذا الجنب، لئلا تأكل الأرض لحومهم</w:t>
      </w:r>
      <w:r w:rsidRPr="005C21CD">
        <w:rPr>
          <w:vertAlign w:val="superscript"/>
          <w:rtl/>
        </w:rPr>
        <w:t>(</w:t>
      </w:r>
      <w:r w:rsidRPr="005C21CD">
        <w:rPr>
          <w:vertAlign w:val="superscript"/>
          <w:rtl/>
        </w:rPr>
        <w:footnoteReference w:id="1027"/>
      </w:r>
      <w:r w:rsidRPr="005C21CD">
        <w:rPr>
          <w:vertAlign w:val="superscript"/>
          <w:rtl/>
        </w:rPr>
        <w:t>)</w:t>
      </w:r>
      <w:r w:rsidRPr="005C21CD">
        <w:rPr>
          <w:rtl/>
        </w:rPr>
        <w:t xml:space="preserve">. وقال مجاهد: كانوا ثلاثمائة عام على </w:t>
      </w:r>
      <w:r w:rsidRPr="005C21CD">
        <w:rPr>
          <w:rtl/>
        </w:rPr>
        <w:lastRenderedPageBreak/>
        <w:t>شِقّ واحد، ثم قُلِّبوا تسع سنين</w:t>
      </w:r>
      <w:r w:rsidRPr="005C21CD">
        <w:rPr>
          <w:vertAlign w:val="superscript"/>
          <w:rtl/>
        </w:rPr>
        <w:t>(</w:t>
      </w:r>
      <w:r w:rsidRPr="005C21CD">
        <w:rPr>
          <w:vertAlign w:val="superscript"/>
          <w:rtl/>
        </w:rPr>
        <w:footnoteReference w:id="1028"/>
      </w:r>
      <w:r w:rsidRPr="005C21CD">
        <w:rPr>
          <w:vertAlign w:val="superscript"/>
          <w:rtl/>
        </w:rPr>
        <w:t>)</w:t>
      </w:r>
      <w:r w:rsidRPr="005C21CD">
        <w:rPr>
          <w:rtl/>
        </w:rPr>
        <w:t>.</w:t>
      </w:r>
      <w:r w:rsidRPr="005C21CD">
        <w:rPr>
          <w:rFonts w:hint="cs"/>
          <w:rtl/>
        </w:rPr>
        <w:t xml:space="preserve"> </w:t>
      </w:r>
      <w:r w:rsidRPr="005C21CD">
        <w:rPr>
          <w:rtl/>
        </w:rPr>
        <w:t xml:space="preserve">قوله تعالى: </w:t>
      </w:r>
      <w:r w:rsidRPr="005C21CD">
        <w:rPr>
          <w:rFonts w:ascii="QCF_BSML" w:hAnsi="QCF_BSML" w:cs="QCF_BSML"/>
          <w:sz w:val="32"/>
          <w:szCs w:val="32"/>
          <w:rtl/>
          <w:lang w:eastAsia="en-US"/>
        </w:rPr>
        <w:t>ﭽ</w:t>
      </w:r>
      <w:r w:rsidRPr="005C21CD">
        <w:rPr>
          <w:rtl/>
        </w:rPr>
        <w:t xml:space="preserve"> </w:t>
      </w:r>
      <w:r w:rsidRPr="005C21CD">
        <w:rPr>
          <w:rFonts w:ascii="QCF_P295" w:hAnsi="QCF_P295" w:cs="QCF_P295"/>
          <w:color w:val="auto"/>
          <w:sz w:val="32"/>
          <w:szCs w:val="32"/>
          <w:rtl/>
          <w:lang w:eastAsia="en-US"/>
        </w:rPr>
        <w:t>ﮗ   ﮘ  ﮙ  ﮚ</w:t>
      </w:r>
      <w:r w:rsidRPr="005C21CD">
        <w:rPr>
          <w:rFonts w:ascii="QCF_BSML" w:hAnsi="QCF_BSML" w:cs="QCF_BSML"/>
          <w:sz w:val="32"/>
          <w:szCs w:val="32"/>
          <w:rtl/>
          <w:lang w:eastAsia="en-US"/>
        </w:rPr>
        <w:t xml:space="preserve"> ﭼ</w:t>
      </w:r>
      <w:r w:rsidRPr="005C21CD">
        <w:rPr>
          <w:rFonts w:ascii="QCF_BSML" w:hAnsi="QCF_BSML" w:cs="QCF_BSML" w:hint="cs"/>
          <w:sz w:val="32"/>
          <w:szCs w:val="32"/>
          <w:rtl/>
          <w:lang w:eastAsia="en-US"/>
        </w:rPr>
        <w:t xml:space="preserve"> </w:t>
      </w:r>
      <w:r w:rsidRPr="005C21CD">
        <w:rPr>
          <w:rFonts w:ascii="QCF_P295" w:hAnsi="QCF_P295" w:cs="QCF_P295" w:hint="cs"/>
          <w:color w:val="auto"/>
          <w:sz w:val="32"/>
          <w:szCs w:val="32"/>
          <w:rtl/>
          <w:lang w:eastAsia="en-US"/>
        </w:rPr>
        <w:t xml:space="preserve"> </w:t>
      </w:r>
      <w:r w:rsidRPr="005C21CD">
        <w:rPr>
          <w:rtl/>
        </w:rPr>
        <w:t>أخبر أن الكلب كان على مثل حالهم في النوم، وهو في رأي العين</w:t>
      </w:r>
      <w:r w:rsidRPr="005C21CD">
        <w:rPr>
          <w:vertAlign w:val="superscript"/>
          <w:rtl/>
        </w:rPr>
        <w:t>(</w:t>
      </w:r>
      <w:r w:rsidRPr="005C21CD">
        <w:rPr>
          <w:vertAlign w:val="superscript"/>
          <w:rtl/>
        </w:rPr>
        <w:footnoteReference w:id="1029"/>
      </w:r>
      <w:r w:rsidRPr="005C21CD">
        <w:rPr>
          <w:vertAlign w:val="superscript"/>
          <w:rtl/>
        </w:rPr>
        <w:t>)</w:t>
      </w:r>
      <w:r w:rsidRPr="005C21CD">
        <w:rPr>
          <w:rtl/>
        </w:rPr>
        <w:t>منتبه</w:t>
      </w:r>
      <w:r w:rsidRPr="005C21CD">
        <w:rPr>
          <w:vertAlign w:val="superscript"/>
          <w:rtl/>
        </w:rPr>
        <w:t>(</w:t>
      </w:r>
      <w:r w:rsidRPr="005C21CD">
        <w:rPr>
          <w:vertAlign w:val="superscript"/>
          <w:rtl/>
        </w:rPr>
        <w:footnoteReference w:id="1030"/>
      </w:r>
      <w:r w:rsidRPr="005C21CD">
        <w:rPr>
          <w:vertAlign w:val="superscript"/>
          <w:rtl/>
        </w:rPr>
        <w:t>)</w:t>
      </w:r>
      <w:r w:rsidRPr="005C21CD">
        <w:rPr>
          <w:rtl/>
        </w:rPr>
        <w:t>. وفي الوصيد أربعة أقوال: أحدها: أنه الفِناء فِناء الكهف، رواه ابن أبي</w:t>
      </w:r>
      <w:r w:rsidRPr="005C21CD">
        <w:rPr>
          <w:rFonts w:hint="cs"/>
          <w:rtl/>
        </w:rPr>
        <w:t xml:space="preserve"> </w:t>
      </w:r>
      <w:r w:rsidRPr="005C21CD">
        <w:rPr>
          <w:rtl/>
        </w:rPr>
        <w:t>طلحة عن ابن عباس</w:t>
      </w:r>
      <w:r w:rsidRPr="005C21CD">
        <w:rPr>
          <w:vertAlign w:val="superscript"/>
          <w:rtl/>
        </w:rPr>
        <w:t>(</w:t>
      </w:r>
      <w:r w:rsidRPr="005C21CD">
        <w:rPr>
          <w:vertAlign w:val="superscript"/>
          <w:rtl/>
        </w:rPr>
        <w:footnoteReference w:id="1031"/>
      </w:r>
      <w:r w:rsidRPr="005C21CD">
        <w:rPr>
          <w:vertAlign w:val="superscript"/>
          <w:rtl/>
        </w:rPr>
        <w:t>)</w:t>
      </w:r>
      <w:r w:rsidRPr="005C21CD">
        <w:rPr>
          <w:rtl/>
        </w:rPr>
        <w:t>، وبه قال سعيد بن جبير</w:t>
      </w:r>
      <w:r w:rsidRPr="005C21CD">
        <w:rPr>
          <w:vertAlign w:val="superscript"/>
          <w:rtl/>
        </w:rPr>
        <w:t>(</w:t>
      </w:r>
      <w:r w:rsidRPr="005C21CD">
        <w:rPr>
          <w:vertAlign w:val="superscript"/>
          <w:rtl/>
        </w:rPr>
        <w:footnoteReference w:id="1032"/>
      </w:r>
      <w:r w:rsidRPr="005C21CD">
        <w:rPr>
          <w:vertAlign w:val="superscript"/>
          <w:rtl/>
        </w:rPr>
        <w:t>)</w:t>
      </w:r>
      <w:r w:rsidRPr="005C21CD">
        <w:rPr>
          <w:rtl/>
        </w:rPr>
        <w:t>، ومجاهد</w:t>
      </w:r>
      <w:r w:rsidRPr="005C21CD">
        <w:rPr>
          <w:vertAlign w:val="superscript"/>
          <w:rtl/>
        </w:rPr>
        <w:t>(</w:t>
      </w:r>
      <w:r w:rsidRPr="005C21CD">
        <w:rPr>
          <w:vertAlign w:val="superscript"/>
          <w:rtl/>
        </w:rPr>
        <w:footnoteReference w:id="1033"/>
      </w:r>
      <w:r w:rsidRPr="005C21CD">
        <w:rPr>
          <w:vertAlign w:val="superscript"/>
          <w:rtl/>
        </w:rPr>
        <w:t>)</w:t>
      </w:r>
      <w:r w:rsidRPr="005C21CD">
        <w:rPr>
          <w:rtl/>
        </w:rPr>
        <w:t>، والضحاك</w:t>
      </w:r>
      <w:r w:rsidRPr="005C21CD">
        <w:rPr>
          <w:vertAlign w:val="superscript"/>
          <w:rtl/>
        </w:rPr>
        <w:t>(</w:t>
      </w:r>
      <w:r w:rsidRPr="005C21CD">
        <w:rPr>
          <w:vertAlign w:val="superscript"/>
          <w:rtl/>
        </w:rPr>
        <w:footnoteReference w:id="1034"/>
      </w:r>
      <w:r w:rsidRPr="005C21CD">
        <w:rPr>
          <w:vertAlign w:val="superscript"/>
          <w:rtl/>
        </w:rPr>
        <w:t>)</w:t>
      </w:r>
      <w:r w:rsidRPr="005C21CD">
        <w:rPr>
          <w:rtl/>
        </w:rPr>
        <w:t>، وقتادة</w:t>
      </w:r>
      <w:r w:rsidRPr="005C21CD">
        <w:rPr>
          <w:vertAlign w:val="superscript"/>
          <w:rtl/>
        </w:rPr>
        <w:t>(</w:t>
      </w:r>
      <w:r w:rsidRPr="005C21CD">
        <w:rPr>
          <w:vertAlign w:val="superscript"/>
          <w:rtl/>
        </w:rPr>
        <w:footnoteReference w:id="1035"/>
      </w:r>
      <w:r w:rsidRPr="005C21CD">
        <w:rPr>
          <w:vertAlign w:val="superscript"/>
          <w:rtl/>
        </w:rPr>
        <w:t>)</w:t>
      </w:r>
      <w:r w:rsidRPr="005C21CD">
        <w:rPr>
          <w:rtl/>
        </w:rPr>
        <w:t>، والفراء. قال الفرّاء:</w:t>
      </w:r>
      <w:r w:rsidRPr="005C21CD">
        <w:rPr>
          <w:rFonts w:hint="cs"/>
          <w:rtl/>
        </w:rPr>
        <w:t xml:space="preserve"> </w:t>
      </w:r>
      <w:r w:rsidRPr="005C21CD">
        <w:rPr>
          <w:rtl/>
        </w:rPr>
        <w:t xml:space="preserve">يقال: الوصيد والأصيد لغتان، مثل </w:t>
      </w:r>
      <w:r w:rsidR="002A556C">
        <w:rPr>
          <w:rFonts w:hint="cs"/>
          <w:rtl/>
        </w:rPr>
        <w:t>[الإك</w:t>
      </w:r>
      <w:r w:rsidRPr="005C21CD">
        <w:rPr>
          <w:rFonts w:hint="cs"/>
          <w:rtl/>
        </w:rPr>
        <w:t>اف</w:t>
      </w:r>
      <w:r w:rsidR="002A556C">
        <w:rPr>
          <w:rFonts w:hint="cs"/>
          <w:rtl/>
        </w:rPr>
        <w:t>]</w:t>
      </w:r>
      <w:r w:rsidRPr="005C21CD">
        <w:rPr>
          <w:vertAlign w:val="superscript"/>
          <w:rtl/>
        </w:rPr>
        <w:t>(</w:t>
      </w:r>
      <w:r w:rsidRPr="005C21CD">
        <w:rPr>
          <w:vertAlign w:val="superscript"/>
          <w:rtl/>
        </w:rPr>
        <w:footnoteReference w:id="1036"/>
      </w:r>
      <w:r w:rsidRPr="005C21CD">
        <w:rPr>
          <w:vertAlign w:val="superscript"/>
          <w:rtl/>
        </w:rPr>
        <w:t>)</w:t>
      </w:r>
      <w:r w:rsidR="009F2C1E" w:rsidRPr="009F2C1E">
        <w:rPr>
          <w:rStyle w:val="ae"/>
          <w:rtl/>
        </w:rPr>
        <w:t>(</w:t>
      </w:r>
      <w:r w:rsidR="009F2C1E">
        <w:rPr>
          <w:rStyle w:val="ae"/>
          <w:rtl/>
        </w:rPr>
        <w:footnoteReference w:id="1037"/>
      </w:r>
      <w:r w:rsidR="009F2C1E" w:rsidRPr="009F2C1E">
        <w:rPr>
          <w:rStyle w:val="ae"/>
          <w:rtl/>
        </w:rPr>
        <w:t>)</w:t>
      </w:r>
      <w:r w:rsidRPr="005C21CD">
        <w:rPr>
          <w:rtl/>
        </w:rPr>
        <w:t>والوكاف. وأرَّخت الكتاب وورَّخت، ووكدت الأمر وأكَّدت وأهل الحجاز يقولون: الوَصيد، وأهل نجد يقولون: الأَصِيد، وهو: الحظيرة والفِناء</w:t>
      </w:r>
      <w:r w:rsidRPr="005C21CD">
        <w:rPr>
          <w:vertAlign w:val="superscript"/>
          <w:rtl/>
        </w:rPr>
        <w:t>(</w:t>
      </w:r>
      <w:r w:rsidRPr="005C21CD">
        <w:rPr>
          <w:vertAlign w:val="superscript"/>
          <w:rtl/>
        </w:rPr>
        <w:footnoteReference w:id="1038"/>
      </w:r>
      <w:r w:rsidRPr="005C21CD">
        <w:rPr>
          <w:vertAlign w:val="superscript"/>
          <w:rtl/>
        </w:rPr>
        <w:t>)</w:t>
      </w:r>
      <w:r w:rsidRPr="005C21CD">
        <w:rPr>
          <w:rtl/>
        </w:rPr>
        <w:t>.</w:t>
      </w:r>
      <w:r w:rsidRPr="005C21CD">
        <w:rPr>
          <w:rFonts w:hint="cs"/>
          <w:rtl/>
        </w:rPr>
        <w:t xml:space="preserve"> </w:t>
      </w:r>
      <w:r w:rsidRPr="005C21CD">
        <w:rPr>
          <w:rtl/>
        </w:rPr>
        <w:t>والثاني: أنه الباب، رواه عكرمة عن ابن عباس</w:t>
      </w:r>
      <w:r w:rsidRPr="005C21CD">
        <w:rPr>
          <w:vertAlign w:val="superscript"/>
          <w:rtl/>
        </w:rPr>
        <w:t>(</w:t>
      </w:r>
      <w:r w:rsidRPr="005C21CD">
        <w:rPr>
          <w:vertAlign w:val="superscript"/>
          <w:rtl/>
        </w:rPr>
        <w:footnoteReference w:id="1039"/>
      </w:r>
      <w:r w:rsidRPr="005C21CD">
        <w:rPr>
          <w:vertAlign w:val="superscript"/>
          <w:rtl/>
        </w:rPr>
        <w:t>)</w:t>
      </w:r>
      <w:r w:rsidRPr="005C21CD">
        <w:rPr>
          <w:rtl/>
        </w:rPr>
        <w:t>، وبه قال السّديّ</w:t>
      </w:r>
      <w:r w:rsidRPr="005C21CD">
        <w:rPr>
          <w:vertAlign w:val="superscript"/>
          <w:rtl/>
        </w:rPr>
        <w:t>(</w:t>
      </w:r>
      <w:r w:rsidRPr="005C21CD">
        <w:rPr>
          <w:vertAlign w:val="superscript"/>
          <w:rtl/>
        </w:rPr>
        <w:footnoteReference w:id="1040"/>
      </w:r>
      <w:r w:rsidRPr="005C21CD">
        <w:rPr>
          <w:vertAlign w:val="superscript"/>
          <w:rtl/>
        </w:rPr>
        <w:t>)</w:t>
      </w:r>
      <w:r w:rsidRPr="005C21CD">
        <w:rPr>
          <w:rtl/>
        </w:rPr>
        <w:t>، قال ابن قتيبة: فيكون المعنى:</w:t>
      </w:r>
      <w:r w:rsidRPr="005C21CD">
        <w:rPr>
          <w:rFonts w:hint="cs"/>
          <w:rtl/>
        </w:rPr>
        <w:t xml:space="preserve"> </w:t>
      </w:r>
      <w:r w:rsidRPr="005C21CD">
        <w:rPr>
          <w:rtl/>
        </w:rPr>
        <w:t>وكلبهم باسط ذراعيه بالباب، قال الشاعر:</w:t>
      </w:r>
    </w:p>
    <w:p w:rsidR="00A94AF8" w:rsidRDefault="005C21CD" w:rsidP="00572765">
      <w:pPr>
        <w:ind w:firstLine="0"/>
        <w:rPr>
          <w:rtl/>
        </w:rPr>
      </w:pPr>
      <w:r w:rsidRPr="005C21CD">
        <w:rPr>
          <w:rtl/>
        </w:rPr>
        <w:t>بِأرْضِ فَضَاءٍ لا يُسَدُّ وَصِيدُها ... عليَّ ومَعْرُوفي بها غيرُ مُنْكَرِ</w:t>
      </w:r>
      <w:r w:rsidRPr="005C21CD">
        <w:rPr>
          <w:vertAlign w:val="superscript"/>
          <w:rtl/>
        </w:rPr>
        <w:t>(</w:t>
      </w:r>
      <w:r w:rsidRPr="005C21CD">
        <w:rPr>
          <w:vertAlign w:val="superscript"/>
          <w:rtl/>
        </w:rPr>
        <w:footnoteReference w:id="1041"/>
      </w:r>
      <w:r w:rsidRPr="005C21CD">
        <w:rPr>
          <w:vertAlign w:val="superscript"/>
          <w:rtl/>
        </w:rPr>
        <w:t>)</w:t>
      </w:r>
    </w:p>
    <w:p w:rsidR="00575F86" w:rsidRDefault="00575F86" w:rsidP="009B639B">
      <w:pPr>
        <w:ind w:firstLine="0"/>
        <w:rPr>
          <w:rtl/>
        </w:rPr>
      </w:pPr>
    </w:p>
    <w:p w:rsidR="005C21CD" w:rsidRPr="00575F86" w:rsidRDefault="005C21CD" w:rsidP="00575F86">
      <w:pPr>
        <w:ind w:firstLine="0"/>
        <w:rPr>
          <w:rtl/>
        </w:rPr>
      </w:pPr>
      <w:r w:rsidRPr="005C21CD">
        <w:rPr>
          <w:rtl/>
        </w:rPr>
        <w:lastRenderedPageBreak/>
        <w:t>والثالث: أنه الصعيد، وهو التراب، رواه العوفي عن ابن عباس</w:t>
      </w:r>
      <w:r w:rsidRPr="005C21CD">
        <w:rPr>
          <w:vertAlign w:val="superscript"/>
          <w:rtl/>
        </w:rPr>
        <w:t>(</w:t>
      </w:r>
      <w:r w:rsidRPr="005C21CD">
        <w:rPr>
          <w:vertAlign w:val="superscript"/>
          <w:rtl/>
        </w:rPr>
        <w:footnoteReference w:id="1042"/>
      </w:r>
      <w:r w:rsidRPr="005C21CD">
        <w:rPr>
          <w:vertAlign w:val="superscript"/>
          <w:rtl/>
        </w:rPr>
        <w:t>)</w:t>
      </w:r>
      <w:r w:rsidRPr="005C21CD">
        <w:rPr>
          <w:rtl/>
        </w:rPr>
        <w:t>، وبه قال سعيد بن جبير، ومجاهد في رواية عنهما</w:t>
      </w:r>
      <w:r w:rsidRPr="005C21CD">
        <w:rPr>
          <w:vertAlign w:val="superscript"/>
          <w:rtl/>
        </w:rPr>
        <w:t>(</w:t>
      </w:r>
      <w:r w:rsidRPr="005C21CD">
        <w:rPr>
          <w:vertAlign w:val="superscript"/>
          <w:rtl/>
        </w:rPr>
        <w:footnoteReference w:id="1043"/>
      </w:r>
      <w:r w:rsidRPr="005C21CD">
        <w:rPr>
          <w:vertAlign w:val="superscript"/>
          <w:rtl/>
        </w:rPr>
        <w:t>)</w:t>
      </w:r>
      <w:r w:rsidRPr="005C21CD">
        <w:rPr>
          <w:rtl/>
        </w:rPr>
        <w:t>. والرابع: أنه عتبة الباب، قاله عطاء</w:t>
      </w:r>
      <w:r w:rsidRPr="005C21CD">
        <w:rPr>
          <w:vertAlign w:val="superscript"/>
          <w:rtl/>
        </w:rPr>
        <w:t>(</w:t>
      </w:r>
      <w:r w:rsidRPr="005C21CD">
        <w:rPr>
          <w:vertAlign w:val="superscript"/>
          <w:rtl/>
        </w:rPr>
        <w:footnoteReference w:id="1044"/>
      </w:r>
      <w:r w:rsidRPr="005C21CD">
        <w:rPr>
          <w:vertAlign w:val="superscript"/>
          <w:rtl/>
        </w:rPr>
        <w:t>)</w:t>
      </w:r>
      <w:r w:rsidRPr="005C21CD">
        <w:rPr>
          <w:rtl/>
        </w:rPr>
        <w:t>. قال ابن قتيبة: وهذا أعجب إليَّ، لأنهم يقولون: أَوصِد بابك، أي: أغلقه، ومنه قوله تعالى:</w:t>
      </w:r>
      <w:r w:rsidRPr="005C21CD">
        <w:rPr>
          <w:rFonts w:ascii="QCF_BSML" w:hAnsi="QCF_BSML" w:cs="QCF_BSML"/>
          <w:sz w:val="47"/>
          <w:szCs w:val="47"/>
          <w:rtl/>
          <w:lang w:eastAsia="en-US"/>
        </w:rPr>
        <w:t xml:space="preserve"> </w:t>
      </w:r>
      <w:r w:rsidRPr="005C21CD">
        <w:rPr>
          <w:rFonts w:ascii="QCF_BSML" w:hAnsi="QCF_BSML" w:cs="QCF_BSML"/>
          <w:sz w:val="32"/>
          <w:szCs w:val="32"/>
          <w:rtl/>
          <w:lang w:eastAsia="en-US"/>
        </w:rPr>
        <w:t xml:space="preserve">ﭽ </w:t>
      </w:r>
      <w:r w:rsidRPr="005C21CD">
        <w:rPr>
          <w:rFonts w:ascii="QCF_P601" w:hAnsi="QCF_P601" w:cs="QCF_P601"/>
          <w:sz w:val="32"/>
          <w:szCs w:val="32"/>
          <w:rtl/>
          <w:lang w:eastAsia="en-US"/>
        </w:rPr>
        <w:t xml:space="preserve">ﮅ  ﮆ  ﮇ   </w:t>
      </w:r>
      <w:r w:rsidRPr="005C21CD">
        <w:rPr>
          <w:rFonts w:ascii="QCF_BSML" w:hAnsi="QCF_BSML" w:cs="QCF_BSML"/>
          <w:sz w:val="32"/>
          <w:szCs w:val="32"/>
          <w:rtl/>
          <w:lang w:eastAsia="en-US"/>
        </w:rPr>
        <w:t>ﭼ</w:t>
      </w:r>
      <w:r w:rsidRPr="005C21CD">
        <w:rPr>
          <w:rFonts w:ascii="Traditional Arabic" w:hAnsi="Traditional Arabic"/>
          <w:color w:val="auto"/>
          <w:sz w:val="32"/>
          <w:szCs w:val="32"/>
          <w:rtl/>
          <w:lang w:eastAsia="en-US"/>
        </w:rPr>
        <w:t xml:space="preserve"> </w:t>
      </w:r>
      <w:r w:rsidRPr="005C21CD">
        <w:rPr>
          <w:rFonts w:ascii="Traditional Arabic" w:hAnsi="Traditional Arabic" w:hint="cs"/>
          <w:color w:val="auto"/>
          <w:sz w:val="32"/>
          <w:szCs w:val="32"/>
          <w:rtl/>
          <w:lang w:eastAsia="en-US"/>
        </w:rPr>
        <w:t>[</w:t>
      </w:r>
      <w:r w:rsidRPr="005C21CD">
        <w:rPr>
          <w:rFonts w:ascii="Traditional Arabic" w:hAnsi="Traditional Arabic"/>
          <w:color w:val="auto"/>
          <w:sz w:val="32"/>
          <w:szCs w:val="32"/>
          <w:rtl/>
          <w:lang w:eastAsia="en-US"/>
        </w:rPr>
        <w:t>الهمزة:٨</w:t>
      </w:r>
      <w:r w:rsidRPr="005C21CD">
        <w:rPr>
          <w:rFonts w:ascii="Traditional Arabic" w:hAnsi="Traditional Arabic" w:hint="cs"/>
          <w:color w:val="auto"/>
          <w:sz w:val="32"/>
          <w:szCs w:val="32"/>
          <w:rtl/>
          <w:lang w:eastAsia="en-US"/>
        </w:rPr>
        <w:t>]</w:t>
      </w:r>
      <w:r w:rsidRPr="005C21CD">
        <w:rPr>
          <w:rtl/>
        </w:rPr>
        <w:t xml:space="preserve"> أي: مطبقة مغلقة، وأصله أن يلصق الباب بالعتبة، إِذا أغلقته، ومما يوضح هذا أنك إِذا جعلت الكلب بالفِناء، كان خارجاً من الكهف، وإِن جعلته بعتبة</w:t>
      </w:r>
      <w:r w:rsidR="009B639B">
        <w:rPr>
          <w:rFonts w:hint="cs"/>
          <w:rtl/>
        </w:rPr>
        <w:t xml:space="preserve"> </w:t>
      </w:r>
      <w:r w:rsidR="009B639B" w:rsidRPr="001277AD">
        <w:rPr>
          <w:rFonts w:hint="cs"/>
          <w:color w:val="0D0D0D" w:themeColor="text1" w:themeTint="F2"/>
          <w:sz w:val="32"/>
          <w:szCs w:val="32"/>
          <w:rtl/>
        </w:rPr>
        <w:t>[</w:t>
      </w:r>
      <w:r w:rsidR="009B639B">
        <w:rPr>
          <w:rFonts w:hint="cs"/>
          <w:color w:val="0D0D0D" w:themeColor="text1" w:themeTint="F2"/>
          <w:sz w:val="32"/>
          <w:szCs w:val="32"/>
          <w:rtl/>
        </w:rPr>
        <w:t>109</w:t>
      </w:r>
      <w:r w:rsidR="009B639B" w:rsidRPr="001277AD">
        <w:rPr>
          <w:rFonts w:hint="cs"/>
          <w:color w:val="0D0D0D" w:themeColor="text1" w:themeTint="F2"/>
          <w:sz w:val="32"/>
          <w:szCs w:val="32"/>
          <w:rtl/>
        </w:rPr>
        <w:t>]</w:t>
      </w:r>
      <w:r w:rsidRPr="005C21CD">
        <w:rPr>
          <w:rtl/>
        </w:rPr>
        <w:t xml:space="preserve"> الباب، أمكن أن يكون داخل الكهف، والكهفُ وإِن لم يكن له باب وعتبة، </w:t>
      </w:r>
      <w:r w:rsidRPr="005C21CD">
        <w:rPr>
          <w:rFonts w:hint="cs"/>
          <w:rtl/>
        </w:rPr>
        <w:t>فإنما</w:t>
      </w:r>
      <w:r w:rsidRPr="005C21CD">
        <w:rPr>
          <w:rtl/>
        </w:rPr>
        <w:t xml:space="preserve"> أراد أن الكلب موضع</w:t>
      </w:r>
      <w:r w:rsidRPr="005C21CD">
        <w:rPr>
          <w:vertAlign w:val="superscript"/>
          <w:rtl/>
        </w:rPr>
        <w:t>(</w:t>
      </w:r>
      <w:r w:rsidRPr="005C21CD">
        <w:rPr>
          <w:vertAlign w:val="superscript"/>
          <w:rtl/>
        </w:rPr>
        <w:footnoteReference w:id="1045"/>
      </w:r>
      <w:r w:rsidRPr="005C21CD">
        <w:rPr>
          <w:vertAlign w:val="superscript"/>
          <w:rtl/>
        </w:rPr>
        <w:t>)</w:t>
      </w:r>
      <w:r w:rsidRPr="005C21CD">
        <w:rPr>
          <w:rtl/>
        </w:rPr>
        <w:t xml:space="preserve"> العتبة من البيت، فاستُعير</w:t>
      </w:r>
      <w:r w:rsidRPr="005C21CD">
        <w:rPr>
          <w:vertAlign w:val="superscript"/>
          <w:rtl/>
        </w:rPr>
        <w:t>(</w:t>
      </w:r>
      <w:r w:rsidRPr="005C21CD">
        <w:rPr>
          <w:vertAlign w:val="superscript"/>
          <w:rtl/>
        </w:rPr>
        <w:footnoteReference w:id="1046"/>
      </w:r>
      <w:r w:rsidRPr="005C21CD">
        <w:rPr>
          <w:vertAlign w:val="superscript"/>
          <w:rtl/>
        </w:rPr>
        <w:t>)</w:t>
      </w:r>
      <w:r w:rsidRPr="005C21CD">
        <w:rPr>
          <w:rtl/>
        </w:rPr>
        <w:t>.</w:t>
      </w:r>
      <w:r w:rsidRPr="005C21CD">
        <w:rPr>
          <w:rFonts w:hint="cs"/>
          <w:rtl/>
        </w:rPr>
        <w:t xml:space="preserve"> </w:t>
      </w:r>
      <w:r w:rsidRPr="005C21CD">
        <w:rPr>
          <w:rtl/>
        </w:rPr>
        <w:t>قوله تعالى:</w:t>
      </w:r>
      <w:r w:rsidRPr="005C21CD">
        <w:rPr>
          <w:rFonts w:ascii="QCF_BSML" w:hAnsi="QCF_BSML" w:cs="QCF_BSML"/>
          <w:color w:val="auto"/>
          <w:sz w:val="32"/>
          <w:szCs w:val="32"/>
          <w:rtl/>
          <w:lang w:eastAsia="en-US"/>
        </w:rPr>
        <w:t xml:space="preserve"> ﭽ</w:t>
      </w:r>
      <w:r w:rsidRPr="005C21CD">
        <w:rPr>
          <w:rtl/>
        </w:rPr>
        <w:t xml:space="preserve"> </w:t>
      </w:r>
      <w:r w:rsidRPr="005C21CD">
        <w:rPr>
          <w:rFonts w:ascii="QCF_P295" w:hAnsi="QCF_P295" w:cs="QCF_P295"/>
          <w:color w:val="auto"/>
          <w:sz w:val="32"/>
          <w:szCs w:val="32"/>
          <w:rtl/>
          <w:lang w:eastAsia="en-US"/>
        </w:rPr>
        <w:t>ﮜ  ﮝ  ﮞ</w:t>
      </w:r>
      <w:r w:rsidRPr="005C21CD">
        <w:rPr>
          <w:rFonts w:ascii="QCF_BSML" w:hAnsi="QCF_BSML" w:cs="QCF_BSML"/>
          <w:sz w:val="32"/>
          <w:szCs w:val="32"/>
          <w:rtl/>
          <w:lang w:eastAsia="en-US"/>
        </w:rPr>
        <w:t xml:space="preserve"> ﭼ</w:t>
      </w:r>
      <w:r w:rsidRPr="005C21CD">
        <w:rPr>
          <w:rFonts w:ascii="QCF_P295" w:hAnsi="QCF_P295" w:cs="QCF_P295"/>
          <w:color w:val="auto"/>
          <w:sz w:val="32"/>
          <w:szCs w:val="32"/>
          <w:rtl/>
          <w:lang w:eastAsia="en-US"/>
        </w:rPr>
        <w:t xml:space="preserve">  </w:t>
      </w:r>
      <w:r w:rsidR="00032CCE">
        <w:rPr>
          <w:rFonts w:hint="cs"/>
          <w:rtl/>
        </w:rPr>
        <w:t xml:space="preserve"> [</w:t>
      </w:r>
      <w:r w:rsidRPr="005C21CD">
        <w:rPr>
          <w:rtl/>
        </w:rPr>
        <w:t>وقرأ الأعمش وأبو حصين</w:t>
      </w:r>
      <w:r w:rsidRPr="005C21CD">
        <w:rPr>
          <w:vertAlign w:val="superscript"/>
          <w:rtl/>
        </w:rPr>
        <w:t>(</w:t>
      </w:r>
      <w:r w:rsidRPr="005C21CD">
        <w:rPr>
          <w:vertAlign w:val="superscript"/>
          <w:rtl/>
        </w:rPr>
        <w:footnoteReference w:id="1047"/>
      </w:r>
      <w:r w:rsidRPr="005C21CD">
        <w:rPr>
          <w:vertAlign w:val="superscript"/>
          <w:rtl/>
        </w:rPr>
        <w:t>)</w:t>
      </w:r>
      <w:r w:rsidRPr="005C21CD">
        <w:rPr>
          <w:rtl/>
        </w:rPr>
        <w:t>: «لوُ اطّلعت» بضمّ الواو</w:t>
      </w:r>
      <w:r w:rsidRPr="005C21CD">
        <w:rPr>
          <w:vertAlign w:val="superscript"/>
          <w:rtl/>
        </w:rPr>
        <w:t>(</w:t>
      </w:r>
      <w:r w:rsidRPr="005C21CD">
        <w:rPr>
          <w:vertAlign w:val="superscript"/>
          <w:rtl/>
        </w:rPr>
        <w:footnoteReference w:id="1048"/>
      </w:r>
      <w:r w:rsidRPr="005C21CD">
        <w:rPr>
          <w:vertAlign w:val="superscript"/>
          <w:rtl/>
        </w:rPr>
        <w:t>)</w:t>
      </w:r>
      <w:r w:rsidRPr="005C21CD">
        <w:rPr>
          <w:rtl/>
        </w:rPr>
        <w:t>، أي لو أشرفت عليهم</w:t>
      </w:r>
      <w:r w:rsidR="00032CCE">
        <w:rPr>
          <w:rFonts w:hint="cs"/>
          <w:rtl/>
        </w:rPr>
        <w:t>]</w:t>
      </w:r>
      <w:r w:rsidRPr="005C21CD">
        <w:rPr>
          <w:vertAlign w:val="superscript"/>
          <w:rtl/>
        </w:rPr>
        <w:t>(</w:t>
      </w:r>
      <w:r w:rsidRPr="005C21CD">
        <w:rPr>
          <w:vertAlign w:val="superscript"/>
          <w:rtl/>
        </w:rPr>
        <w:footnoteReference w:id="1049"/>
      </w:r>
      <w:r w:rsidRPr="005C21CD">
        <w:rPr>
          <w:vertAlign w:val="superscript"/>
          <w:rtl/>
        </w:rPr>
        <w:t>)</w:t>
      </w:r>
      <w:r>
        <w:rPr>
          <w:rFonts w:hint="cs"/>
          <w:rtl/>
        </w:rPr>
        <w:t>.</w:t>
      </w:r>
      <w:r w:rsidR="008265A7">
        <w:rPr>
          <w:rFonts w:ascii="QCF_BSML" w:hAnsi="QCF_BSML" w:cs="QCF_BSML" w:hint="cs"/>
          <w:color w:val="auto"/>
          <w:sz w:val="32"/>
          <w:szCs w:val="32"/>
          <w:rtl/>
          <w:lang w:eastAsia="en-US"/>
        </w:rPr>
        <w:t xml:space="preserve"> </w:t>
      </w:r>
      <w:r w:rsidRPr="005C21CD">
        <w:rPr>
          <w:rFonts w:ascii="QCF_BSML" w:hAnsi="QCF_BSML" w:cs="QCF_BSML"/>
          <w:color w:val="auto"/>
          <w:sz w:val="32"/>
          <w:szCs w:val="32"/>
          <w:rtl/>
          <w:lang w:eastAsia="en-US"/>
        </w:rPr>
        <w:t>ﭽ</w:t>
      </w:r>
      <w:r w:rsidRPr="005C21CD">
        <w:rPr>
          <w:rFonts w:ascii="QCF_P295" w:hAnsi="QCF_P295" w:cs="QCF_P295"/>
          <w:color w:val="auto"/>
          <w:sz w:val="32"/>
          <w:szCs w:val="32"/>
          <w:rtl/>
          <w:lang w:eastAsia="en-US"/>
        </w:rPr>
        <w:t xml:space="preserve"> ﮟ  ﮠ    ﮡ</w:t>
      </w:r>
      <w:r w:rsidRPr="005C21CD">
        <w:rPr>
          <w:rFonts w:ascii="QCF_BSML" w:hAnsi="QCF_BSML" w:cs="QCF_BSML"/>
          <w:sz w:val="32"/>
          <w:szCs w:val="32"/>
          <w:rtl/>
          <w:lang w:eastAsia="en-US"/>
        </w:rPr>
        <w:t xml:space="preserve"> ﭼ</w:t>
      </w:r>
      <w:r w:rsidRPr="005C21CD">
        <w:rPr>
          <w:rFonts w:ascii="QCF_P295" w:hAnsi="QCF_P295" w:cs="QCF_P295"/>
          <w:color w:val="auto"/>
          <w:sz w:val="32"/>
          <w:szCs w:val="32"/>
          <w:rtl/>
          <w:lang w:eastAsia="en-US"/>
        </w:rPr>
        <w:t xml:space="preserve">  </w:t>
      </w:r>
      <w:r w:rsidRPr="005C21CD">
        <w:rPr>
          <w:rtl/>
        </w:rPr>
        <w:t>رهبة لهم</w:t>
      </w:r>
      <w:r w:rsidRPr="005C21CD">
        <w:rPr>
          <w:vertAlign w:val="superscript"/>
          <w:rtl/>
        </w:rPr>
        <w:t>(</w:t>
      </w:r>
      <w:r w:rsidRPr="005C21CD">
        <w:rPr>
          <w:vertAlign w:val="superscript"/>
          <w:rtl/>
        </w:rPr>
        <w:footnoteReference w:id="1050"/>
      </w:r>
      <w:r w:rsidRPr="005C21CD">
        <w:rPr>
          <w:vertAlign w:val="superscript"/>
          <w:rtl/>
        </w:rPr>
        <w:t>)</w:t>
      </w:r>
      <w:r w:rsidRPr="005C21CD">
        <w:rPr>
          <w:rFonts w:hint="cs"/>
          <w:rtl/>
        </w:rPr>
        <w:t xml:space="preserve"> </w:t>
      </w:r>
      <w:r w:rsidRPr="005C21CD">
        <w:rPr>
          <w:rFonts w:ascii="QCF_BSML" w:hAnsi="QCF_BSML" w:cs="QCF_BSML"/>
          <w:color w:val="auto"/>
          <w:sz w:val="32"/>
          <w:szCs w:val="32"/>
          <w:rtl/>
          <w:lang w:eastAsia="en-US"/>
        </w:rPr>
        <w:t>ﭽ</w:t>
      </w:r>
      <w:r w:rsidRPr="005C21CD">
        <w:rPr>
          <w:rFonts w:ascii="QCF_P295" w:hAnsi="QCF_P295" w:cs="QCF_P295"/>
          <w:color w:val="auto"/>
          <w:sz w:val="32"/>
          <w:szCs w:val="32"/>
          <w:rtl/>
          <w:lang w:eastAsia="en-US"/>
        </w:rPr>
        <w:t xml:space="preserve">ﮢ </w:t>
      </w:r>
      <w:r w:rsidRPr="005C21CD">
        <w:rPr>
          <w:rFonts w:ascii="QCF_BSML" w:hAnsi="QCF_BSML" w:cs="QCF_BSML"/>
          <w:sz w:val="32"/>
          <w:szCs w:val="32"/>
          <w:rtl/>
          <w:lang w:eastAsia="en-US"/>
        </w:rPr>
        <w:t>ﭼ</w:t>
      </w:r>
      <w:r w:rsidR="00032CCE">
        <w:rPr>
          <w:rFonts w:ascii="QCF_P295" w:hAnsi="QCF_P295" w:cs="QCF_P295" w:hint="cs"/>
          <w:color w:val="auto"/>
          <w:sz w:val="32"/>
          <w:szCs w:val="32"/>
          <w:rtl/>
          <w:lang w:eastAsia="en-US"/>
        </w:rPr>
        <w:t xml:space="preserve"> </w:t>
      </w:r>
      <w:r w:rsidRPr="005C21CD">
        <w:rPr>
          <w:rFonts w:ascii="QCF_P295" w:hAnsi="QCF_P295" w:cs="QCF_P295"/>
          <w:color w:val="auto"/>
          <w:sz w:val="32"/>
          <w:szCs w:val="32"/>
          <w:rtl/>
          <w:lang w:eastAsia="en-US"/>
        </w:rPr>
        <w:t xml:space="preserve"> </w:t>
      </w:r>
      <w:r w:rsidRPr="005C21CD">
        <w:rPr>
          <w:rtl/>
        </w:rPr>
        <w:t xml:space="preserve">قرأ عاصم وابن عامر وأبو عمرو وحمزة والكسائي: </w:t>
      </w:r>
      <w:r w:rsidRPr="005C21CD">
        <w:rPr>
          <w:rFonts w:ascii="QCF_BSML" w:hAnsi="QCF_BSML" w:cs="QCF_BSML"/>
          <w:color w:val="auto"/>
          <w:sz w:val="32"/>
          <w:szCs w:val="32"/>
          <w:rtl/>
          <w:lang w:eastAsia="en-US"/>
        </w:rPr>
        <w:t>ﭽ</w:t>
      </w:r>
      <w:r w:rsidRPr="005C21CD">
        <w:rPr>
          <w:rFonts w:ascii="QCF_P295" w:hAnsi="QCF_P295" w:cs="QCF_P295"/>
          <w:color w:val="auto"/>
          <w:sz w:val="32"/>
          <w:szCs w:val="32"/>
          <w:rtl/>
          <w:lang w:eastAsia="en-US"/>
        </w:rPr>
        <w:t xml:space="preserve"> ﮢ </w:t>
      </w:r>
      <w:r w:rsidRPr="005C21CD">
        <w:rPr>
          <w:rFonts w:ascii="QCF_BSML" w:hAnsi="QCF_BSML" w:cs="QCF_BSML"/>
          <w:sz w:val="32"/>
          <w:szCs w:val="32"/>
          <w:rtl/>
          <w:lang w:eastAsia="en-US"/>
        </w:rPr>
        <w:t>ﭼ</w:t>
      </w:r>
      <w:r w:rsidRPr="005C21CD">
        <w:rPr>
          <w:rFonts w:ascii="QCF_P295" w:hAnsi="QCF_P295" w:cs="QCF_P295"/>
          <w:color w:val="auto"/>
          <w:sz w:val="32"/>
          <w:szCs w:val="32"/>
          <w:rtl/>
          <w:lang w:eastAsia="en-US"/>
        </w:rPr>
        <w:t xml:space="preserve"> </w:t>
      </w:r>
      <w:r w:rsidR="00032CCE">
        <w:rPr>
          <w:rFonts w:hint="cs"/>
          <w:rtl/>
        </w:rPr>
        <w:t xml:space="preserve"> </w:t>
      </w:r>
      <w:r w:rsidRPr="005C21CD">
        <w:rPr>
          <w:rtl/>
        </w:rPr>
        <w:t>خفيفة مهموزة. وقرأ ابن كثير ونافع: «ولَمُلِّئْتَ» مشددة مهموزة</w:t>
      </w:r>
      <w:r w:rsidRPr="005C21CD">
        <w:rPr>
          <w:vertAlign w:val="superscript"/>
          <w:rtl/>
        </w:rPr>
        <w:t>(</w:t>
      </w:r>
      <w:r w:rsidRPr="005C21CD">
        <w:rPr>
          <w:vertAlign w:val="superscript"/>
          <w:rtl/>
        </w:rPr>
        <w:footnoteReference w:id="1051"/>
      </w:r>
      <w:r w:rsidRPr="005C21CD">
        <w:rPr>
          <w:vertAlign w:val="superscript"/>
          <w:rtl/>
        </w:rPr>
        <w:t>)</w:t>
      </w:r>
      <w:r w:rsidRPr="005C21CD">
        <w:rPr>
          <w:rtl/>
        </w:rPr>
        <w:t>،</w:t>
      </w:r>
      <w:r w:rsidRPr="005C21CD">
        <w:rPr>
          <w:rFonts w:ascii="QCF_P295" w:hAnsi="QCF_P295" w:cs="QCF_P295"/>
          <w:color w:val="auto"/>
          <w:sz w:val="32"/>
          <w:szCs w:val="32"/>
          <w:rtl/>
          <w:lang w:eastAsia="en-US"/>
        </w:rPr>
        <w:t xml:space="preserve">  </w:t>
      </w:r>
      <w:r w:rsidRPr="005C21CD">
        <w:rPr>
          <w:rFonts w:ascii="QCF_BSML" w:hAnsi="QCF_BSML" w:cs="QCF_BSML"/>
          <w:color w:val="auto"/>
          <w:sz w:val="32"/>
          <w:szCs w:val="32"/>
          <w:rtl/>
          <w:lang w:eastAsia="en-US"/>
        </w:rPr>
        <w:t>ﭽ</w:t>
      </w:r>
      <w:r w:rsidRPr="005C21CD">
        <w:rPr>
          <w:rFonts w:ascii="QCF_P295" w:hAnsi="QCF_P295" w:cs="QCF_P295"/>
          <w:color w:val="auto"/>
          <w:sz w:val="32"/>
          <w:szCs w:val="32"/>
          <w:rtl/>
          <w:lang w:eastAsia="en-US"/>
        </w:rPr>
        <w:t xml:space="preserve"> ﮤ</w:t>
      </w:r>
      <w:r w:rsidRPr="005C21CD">
        <w:rPr>
          <w:rFonts w:ascii="QCF_P295" w:hAnsi="QCF_P295" w:cs="QCF_P295" w:hint="cs"/>
          <w:color w:val="auto"/>
          <w:sz w:val="32"/>
          <w:szCs w:val="32"/>
          <w:rtl/>
          <w:lang w:eastAsia="en-US"/>
        </w:rPr>
        <w:t xml:space="preserve"> </w:t>
      </w:r>
      <w:r w:rsidRPr="005C21CD">
        <w:rPr>
          <w:rFonts w:ascii="QCF_BSML" w:hAnsi="QCF_BSML" w:cs="QCF_BSML"/>
          <w:sz w:val="32"/>
          <w:szCs w:val="32"/>
          <w:rtl/>
          <w:lang w:eastAsia="en-US"/>
        </w:rPr>
        <w:t>ﭼ</w:t>
      </w:r>
      <w:r w:rsidRPr="005C21CD">
        <w:rPr>
          <w:rFonts w:ascii="QCF_P295" w:hAnsi="QCF_P295" w:cs="QCF_P295"/>
          <w:color w:val="auto"/>
          <w:sz w:val="32"/>
          <w:szCs w:val="32"/>
          <w:rtl/>
          <w:lang w:eastAsia="en-US"/>
        </w:rPr>
        <w:t xml:space="preserve">  </w:t>
      </w:r>
      <w:r w:rsidR="00032CCE">
        <w:rPr>
          <w:rFonts w:hint="cs"/>
          <w:rtl/>
        </w:rPr>
        <w:t>[</w:t>
      </w:r>
      <w:r w:rsidRPr="005C21CD">
        <w:rPr>
          <w:rtl/>
        </w:rPr>
        <w:t>أي</w:t>
      </w:r>
      <w:r w:rsidR="00032CCE">
        <w:rPr>
          <w:rFonts w:hint="cs"/>
          <w:rtl/>
        </w:rPr>
        <w:t>]</w:t>
      </w:r>
      <w:r w:rsidRPr="005C21CD">
        <w:rPr>
          <w:vertAlign w:val="superscript"/>
          <w:rtl/>
        </w:rPr>
        <w:t>(</w:t>
      </w:r>
      <w:r w:rsidRPr="005C21CD">
        <w:rPr>
          <w:vertAlign w:val="superscript"/>
          <w:rtl/>
        </w:rPr>
        <w:footnoteReference w:id="1052"/>
      </w:r>
      <w:r w:rsidRPr="005C21CD">
        <w:rPr>
          <w:vertAlign w:val="superscript"/>
          <w:rtl/>
        </w:rPr>
        <w:t>)</w:t>
      </w:r>
      <w:r w:rsidRPr="005C21CD">
        <w:rPr>
          <w:rtl/>
        </w:rPr>
        <w:t xml:space="preserve">فزعاً وخوفاً، وذلك أن الله تعالى منعهم بالرعب لئلا يدخل إِليهم أحد. وقيل: إِنهم طالت شعورهم </w:t>
      </w:r>
      <w:r w:rsidRPr="005C21CD">
        <w:rPr>
          <w:rtl/>
        </w:rPr>
        <w:lastRenderedPageBreak/>
        <w:t>وأظفارهم جداً فلذلك كان الرائي لهم لو رآهم هرب مرعوبا، حكاه الزّجّاج</w:t>
      </w:r>
      <w:r w:rsidRPr="005C21CD">
        <w:rPr>
          <w:vertAlign w:val="superscript"/>
          <w:rtl/>
        </w:rPr>
        <w:t>(</w:t>
      </w:r>
      <w:r w:rsidRPr="005C21CD">
        <w:rPr>
          <w:vertAlign w:val="superscript"/>
          <w:rtl/>
        </w:rPr>
        <w:footnoteReference w:id="1053"/>
      </w:r>
      <w:r w:rsidRPr="005C21CD">
        <w:rPr>
          <w:vertAlign w:val="superscript"/>
          <w:rtl/>
        </w:rPr>
        <w:t>)</w:t>
      </w:r>
      <w:r w:rsidRPr="005C21CD">
        <w:rPr>
          <w:rtl/>
        </w:rPr>
        <w:t>.</w:t>
      </w:r>
    </w:p>
    <w:p w:rsidR="005C21CD" w:rsidRPr="005C21CD" w:rsidRDefault="005C21CD" w:rsidP="005C21CD">
      <w:pPr>
        <w:ind w:firstLine="0"/>
        <w:rPr>
          <w:color w:val="auto"/>
          <w:sz w:val="32"/>
          <w:szCs w:val="32"/>
          <w:rtl/>
        </w:rPr>
      </w:pPr>
      <w:r w:rsidRPr="005C21CD">
        <w:rPr>
          <w:rFonts w:ascii="QCF_BSML" w:hAnsi="QCF_BSML" w:cs="QCF_BSML"/>
          <w:color w:val="auto"/>
          <w:sz w:val="32"/>
          <w:szCs w:val="32"/>
          <w:rtl/>
          <w:lang w:eastAsia="en-US"/>
        </w:rPr>
        <w:t>ﭽ</w:t>
      </w:r>
      <w:r w:rsidRPr="005C21CD">
        <w:rPr>
          <w:rFonts w:ascii="QCF_P295" w:hAnsi="QCF_P295" w:cs="QCF_P295"/>
          <w:color w:val="auto"/>
          <w:sz w:val="32"/>
          <w:szCs w:val="32"/>
          <w:rtl/>
          <w:lang w:eastAsia="en-US"/>
        </w:rPr>
        <w:t xml:space="preserve">ﮦ  ﮧ    ﮨ  ﮩﮪ  ﮫ  ﮬ  ﮭ  ﮮ  ﮯﮰ  ﮱ  ﯓ   ﯔ  ﯕ  ﯖ  ﯗﯘ  ﯙ  ﯚ  ﯛ  ﯜ  ﯝ  ﯞ    ﯟ  ﯠ  ﯡ  ﯢ  ﯣ  ﯤ  ﯥ  ﯦ   ﯧ  ﯨ  ﯩ  ﯪ  ﯫ  ﯬ  ﯭ   ﯮ  ﯯ  ﯰ  ﯱ  ﯲ  ﯳ  ﯴ  ﯵ   ﯶ  ﯷ  ﯸ  ﯹ  ﯺ  ﯻ  ﯼ  ﯽ  ﯾ   </w:t>
      </w:r>
      <w:r w:rsidRPr="005C21CD">
        <w:rPr>
          <w:rFonts w:ascii="QCF_BSML" w:hAnsi="QCF_BSML" w:cs="QCF_BSML"/>
          <w:color w:val="auto"/>
          <w:sz w:val="32"/>
          <w:szCs w:val="32"/>
          <w:rtl/>
          <w:lang w:eastAsia="en-US"/>
        </w:rPr>
        <w:t>ﭼ</w:t>
      </w:r>
      <w:r w:rsidRPr="005C21CD">
        <w:rPr>
          <w:rFonts w:ascii="Arial" w:hAnsi="Arial" w:cs="Arial"/>
          <w:color w:val="auto"/>
          <w:sz w:val="32"/>
          <w:szCs w:val="32"/>
          <w:rtl/>
          <w:lang w:eastAsia="en-US"/>
        </w:rPr>
        <w:t xml:space="preserve"> </w:t>
      </w:r>
    </w:p>
    <w:p w:rsidR="005C21CD" w:rsidRPr="005C21CD" w:rsidRDefault="005C21CD" w:rsidP="005C21CD">
      <w:pPr>
        <w:ind w:firstLine="0"/>
        <w:rPr>
          <w:rtl/>
        </w:rPr>
      </w:pPr>
      <w:r w:rsidRPr="005C21CD">
        <w:rPr>
          <w:rtl/>
        </w:rPr>
        <w:t>قوله تعالى:</w:t>
      </w:r>
      <w:r w:rsidRPr="005C21CD">
        <w:rPr>
          <w:rFonts w:ascii="QCF_BSML" w:hAnsi="QCF_BSML" w:cs="QCF_BSML"/>
          <w:sz w:val="32"/>
          <w:szCs w:val="32"/>
          <w:rtl/>
          <w:lang w:eastAsia="en-US"/>
        </w:rPr>
        <w:t xml:space="preserve"> ﭽ</w:t>
      </w:r>
      <w:r w:rsidRPr="005C21CD">
        <w:rPr>
          <w:rFonts w:ascii="QCF_P295" w:hAnsi="QCF_P295" w:cs="QCF_P295"/>
          <w:sz w:val="32"/>
          <w:szCs w:val="32"/>
          <w:rtl/>
          <w:lang w:eastAsia="en-US"/>
        </w:rPr>
        <w:t>ﮦ  ﮧ</w:t>
      </w:r>
      <w:r w:rsidRPr="005C21CD">
        <w:rPr>
          <w:rFonts w:ascii="QCF_BSML" w:hAnsi="QCF_BSML" w:cs="QCF_BSML"/>
          <w:color w:val="auto"/>
          <w:sz w:val="32"/>
          <w:szCs w:val="32"/>
          <w:rtl/>
          <w:lang w:eastAsia="en-US"/>
        </w:rPr>
        <w:t>ﭼ</w:t>
      </w:r>
      <w:r w:rsidRPr="005C21CD">
        <w:rPr>
          <w:rFonts w:ascii="QCF_P295" w:hAnsi="QCF_P295" w:cs="QCF_P295"/>
          <w:sz w:val="32"/>
          <w:szCs w:val="32"/>
          <w:rtl/>
          <w:lang w:eastAsia="en-US"/>
        </w:rPr>
        <w:t xml:space="preserve">    </w:t>
      </w:r>
      <w:r w:rsidRPr="005C21CD">
        <w:rPr>
          <w:rtl/>
        </w:rPr>
        <w:t xml:space="preserve">أي: وكما فعلنا بهم ما ذكرنا، بعثناهم من تلك النومة </w:t>
      </w:r>
      <w:r w:rsidRPr="005C21CD">
        <w:rPr>
          <w:rFonts w:ascii="QCF_BSML" w:hAnsi="QCF_BSML" w:cs="QCF_BSML"/>
          <w:sz w:val="32"/>
          <w:szCs w:val="32"/>
          <w:rtl/>
          <w:lang w:eastAsia="en-US"/>
        </w:rPr>
        <w:t>ﭽ</w:t>
      </w:r>
      <w:r w:rsidRPr="005C21CD">
        <w:rPr>
          <w:rFonts w:ascii="QCF_P295" w:hAnsi="QCF_P295" w:cs="QCF_P295"/>
          <w:sz w:val="32"/>
          <w:szCs w:val="32"/>
          <w:rtl/>
          <w:lang w:eastAsia="en-US"/>
        </w:rPr>
        <w:t>ﮨ</w:t>
      </w:r>
      <w:r w:rsidRPr="005C21CD">
        <w:rPr>
          <w:rFonts w:ascii="QCF_BSML" w:hAnsi="QCF_BSML" w:cs="QCF_BSML"/>
          <w:color w:val="auto"/>
          <w:sz w:val="32"/>
          <w:szCs w:val="32"/>
          <w:rtl/>
          <w:lang w:eastAsia="en-US"/>
        </w:rPr>
        <w:t xml:space="preserve"> ﭼ</w:t>
      </w:r>
      <w:r w:rsidRPr="005C21CD">
        <w:rPr>
          <w:rtl/>
        </w:rPr>
        <w:t xml:space="preserve"> أي: ليكون بينهم تساؤل وتنازع واختلاف في مدة لبثهم، فيفيد تساؤلهم اعتبار المعتبِرين بحالهم</w:t>
      </w:r>
      <w:r w:rsidRPr="005C21CD">
        <w:rPr>
          <w:vertAlign w:val="superscript"/>
          <w:rtl/>
        </w:rPr>
        <w:t>(</w:t>
      </w:r>
      <w:r w:rsidRPr="005C21CD">
        <w:rPr>
          <w:vertAlign w:val="superscript"/>
          <w:rtl/>
        </w:rPr>
        <w:footnoteReference w:id="1054"/>
      </w:r>
      <w:r w:rsidRPr="005C21CD">
        <w:rPr>
          <w:vertAlign w:val="superscript"/>
          <w:rtl/>
        </w:rPr>
        <w:t>)</w:t>
      </w:r>
      <w:r w:rsidRPr="005C21CD">
        <w:rPr>
          <w:rtl/>
        </w:rPr>
        <w:t xml:space="preserve">. </w:t>
      </w:r>
      <w:r w:rsidRPr="005C21CD">
        <w:rPr>
          <w:rFonts w:ascii="QCF_BSML" w:hAnsi="QCF_BSML" w:cs="QCF_BSML"/>
          <w:sz w:val="32"/>
          <w:szCs w:val="32"/>
          <w:rtl/>
          <w:lang w:eastAsia="en-US"/>
        </w:rPr>
        <w:t>ﭽ</w:t>
      </w:r>
      <w:r w:rsidRPr="005C21CD">
        <w:rPr>
          <w:rFonts w:ascii="QCF_P295" w:hAnsi="QCF_P295" w:cs="QCF_P295"/>
          <w:color w:val="auto"/>
          <w:sz w:val="32"/>
          <w:szCs w:val="32"/>
          <w:rtl/>
          <w:lang w:eastAsia="en-US"/>
        </w:rPr>
        <w:t xml:space="preserve"> ﮫ  ﮬ  ﮭ  ﮮ  ﮯ</w:t>
      </w:r>
      <w:r w:rsidRPr="005C21CD">
        <w:rPr>
          <w:rFonts w:ascii="QCF_BSML" w:hAnsi="QCF_BSML" w:cs="QCF_BSML"/>
          <w:color w:val="auto"/>
          <w:sz w:val="32"/>
          <w:szCs w:val="32"/>
          <w:rtl/>
          <w:lang w:eastAsia="en-US"/>
        </w:rPr>
        <w:t>ﭼ</w:t>
      </w:r>
      <w:r w:rsidRPr="005C21CD">
        <w:rPr>
          <w:rtl/>
        </w:rPr>
        <w:t xml:space="preserve"> أي: كم مَرَّ علينا منذ دخلنا هذا الكهف؟ </w:t>
      </w:r>
      <w:r w:rsidRPr="005C21CD">
        <w:rPr>
          <w:rFonts w:ascii="QCF_BSML" w:hAnsi="QCF_BSML" w:cs="QCF_BSML"/>
          <w:sz w:val="32"/>
          <w:szCs w:val="32"/>
          <w:rtl/>
          <w:lang w:eastAsia="en-US"/>
        </w:rPr>
        <w:t>ﭽ</w:t>
      </w:r>
      <w:r w:rsidRPr="005C21CD">
        <w:rPr>
          <w:rFonts w:ascii="QCF_P295" w:hAnsi="QCF_P295" w:cs="QCF_P295"/>
          <w:color w:val="auto"/>
          <w:sz w:val="32"/>
          <w:szCs w:val="32"/>
          <w:rtl/>
          <w:lang w:eastAsia="en-US"/>
        </w:rPr>
        <w:t xml:space="preserve"> ﮱ  ﯓ   ﯔ  ﯕ  ﯖ  ﯗ</w:t>
      </w:r>
      <w:r w:rsidRPr="005C21CD">
        <w:rPr>
          <w:rFonts w:ascii="QCF_BSML" w:hAnsi="QCF_BSML" w:cs="QCF_BSML"/>
          <w:color w:val="auto"/>
          <w:sz w:val="32"/>
          <w:szCs w:val="32"/>
          <w:rtl/>
          <w:lang w:eastAsia="en-US"/>
        </w:rPr>
        <w:t xml:space="preserve"> ﭼ</w:t>
      </w:r>
      <w:r w:rsidRPr="005C21CD">
        <w:rPr>
          <w:rFonts w:ascii="QCF_P295" w:hAnsi="QCF_P295" w:cs="QCF_P295"/>
          <w:color w:val="auto"/>
          <w:sz w:val="32"/>
          <w:szCs w:val="32"/>
          <w:rtl/>
          <w:lang w:eastAsia="en-US"/>
        </w:rPr>
        <w:t xml:space="preserve"> ﯘ  </w:t>
      </w:r>
      <w:r w:rsidRPr="005C21CD">
        <w:rPr>
          <w:rtl/>
        </w:rPr>
        <w:t xml:space="preserve">وذلك أنهم دخلوا غُدوةً، وبعثهم الله في آخر النهار، فلذلك قالوا: </w:t>
      </w:r>
      <w:r w:rsidRPr="005C21CD">
        <w:rPr>
          <w:rFonts w:ascii="QCF_BSML" w:hAnsi="QCF_BSML" w:cs="QCF_BSML"/>
          <w:sz w:val="32"/>
          <w:szCs w:val="32"/>
          <w:rtl/>
          <w:lang w:eastAsia="en-US"/>
        </w:rPr>
        <w:t>ﭽ</w:t>
      </w:r>
      <w:r w:rsidRPr="005C21CD">
        <w:rPr>
          <w:rFonts w:ascii="QCF_P295" w:hAnsi="QCF_P295" w:cs="QCF_P295"/>
          <w:sz w:val="32"/>
          <w:szCs w:val="32"/>
          <w:rtl/>
          <w:lang w:eastAsia="en-US"/>
        </w:rPr>
        <w:t xml:space="preserve"> ﯔ</w:t>
      </w:r>
      <w:r w:rsidRPr="005C21CD">
        <w:rPr>
          <w:rFonts w:ascii="QCF_BSML" w:hAnsi="QCF_BSML" w:cs="QCF_BSML"/>
          <w:color w:val="auto"/>
          <w:sz w:val="32"/>
          <w:szCs w:val="32"/>
          <w:rtl/>
          <w:lang w:eastAsia="en-US"/>
        </w:rPr>
        <w:t xml:space="preserve"> ﭼ</w:t>
      </w:r>
      <w:r w:rsidRPr="005C21CD">
        <w:rPr>
          <w:rtl/>
        </w:rPr>
        <w:t xml:space="preserve"> فلما رأوا الشمس قالوا: </w:t>
      </w:r>
      <w:r w:rsidRPr="005C21CD">
        <w:rPr>
          <w:rFonts w:ascii="QCF_BSML" w:hAnsi="QCF_BSML" w:cs="QCF_BSML"/>
          <w:color w:val="auto"/>
          <w:sz w:val="32"/>
          <w:szCs w:val="32"/>
          <w:rtl/>
          <w:lang w:eastAsia="en-US"/>
        </w:rPr>
        <w:t>ﭽ</w:t>
      </w:r>
      <w:r w:rsidRPr="005C21CD">
        <w:rPr>
          <w:rFonts w:ascii="QCF_P295" w:hAnsi="QCF_P295" w:cs="QCF_P295"/>
          <w:color w:val="auto"/>
          <w:sz w:val="32"/>
          <w:szCs w:val="32"/>
          <w:rtl/>
          <w:lang w:eastAsia="en-US"/>
        </w:rPr>
        <w:t xml:space="preserve"> ﯕ  ﯖ  ﯗﯘ  ﯙ  ﯚ  ﯛ  ﯜ  ﯝ</w:t>
      </w:r>
      <w:r w:rsidRPr="005C21CD">
        <w:rPr>
          <w:rFonts w:ascii="QCF_BSML" w:hAnsi="QCF_BSML" w:cs="QCF_BSML"/>
          <w:color w:val="auto"/>
          <w:sz w:val="32"/>
          <w:szCs w:val="32"/>
          <w:rtl/>
          <w:lang w:eastAsia="en-US"/>
        </w:rPr>
        <w:t>ﭼ</w:t>
      </w:r>
      <w:r w:rsidRPr="005C21CD">
        <w:rPr>
          <w:vertAlign w:val="superscript"/>
          <w:rtl/>
        </w:rPr>
        <w:t>(</w:t>
      </w:r>
      <w:r w:rsidRPr="005C21CD">
        <w:rPr>
          <w:vertAlign w:val="superscript"/>
          <w:rtl/>
        </w:rPr>
        <w:footnoteReference w:id="1055"/>
      </w:r>
      <w:r w:rsidRPr="005C21CD">
        <w:rPr>
          <w:vertAlign w:val="superscript"/>
          <w:rtl/>
        </w:rPr>
        <w:t>)</w:t>
      </w:r>
      <w:r w:rsidRPr="005C21CD">
        <w:rPr>
          <w:rtl/>
        </w:rPr>
        <w:t xml:space="preserve"> قال ابن عباس: القائل لهذا يمليخا رئيسهم، ردَّ عِلْم ذلك إِلى الله تعالى</w:t>
      </w:r>
      <w:r w:rsidRPr="005C21CD">
        <w:rPr>
          <w:vertAlign w:val="superscript"/>
          <w:rtl/>
        </w:rPr>
        <w:t>(</w:t>
      </w:r>
      <w:r w:rsidRPr="005C21CD">
        <w:rPr>
          <w:vertAlign w:val="superscript"/>
          <w:rtl/>
        </w:rPr>
        <w:footnoteReference w:id="1056"/>
      </w:r>
      <w:r w:rsidRPr="005C21CD">
        <w:rPr>
          <w:vertAlign w:val="superscript"/>
          <w:rtl/>
        </w:rPr>
        <w:t>)</w:t>
      </w:r>
      <w:r w:rsidRPr="005C21CD">
        <w:rPr>
          <w:rtl/>
        </w:rPr>
        <w:t>. وقال في رواية أخرى: إِنما قاله مكسلمينا، وهو أكبرهم</w:t>
      </w:r>
      <w:r w:rsidRPr="005C21CD">
        <w:rPr>
          <w:vertAlign w:val="superscript"/>
          <w:rtl/>
        </w:rPr>
        <w:t>(</w:t>
      </w:r>
      <w:r w:rsidRPr="005C21CD">
        <w:rPr>
          <w:vertAlign w:val="superscript"/>
          <w:rtl/>
        </w:rPr>
        <w:footnoteReference w:id="1057"/>
      </w:r>
      <w:r w:rsidRPr="005C21CD">
        <w:rPr>
          <w:vertAlign w:val="superscript"/>
          <w:rtl/>
        </w:rPr>
        <w:t>)</w:t>
      </w:r>
      <w:r w:rsidRPr="005C21CD">
        <w:rPr>
          <w:rtl/>
        </w:rPr>
        <w:t>. قال أبو سليمان:</w:t>
      </w:r>
      <w:r w:rsidRPr="005C21CD">
        <w:rPr>
          <w:rFonts w:hint="cs"/>
          <w:rtl/>
        </w:rPr>
        <w:t xml:space="preserve"> </w:t>
      </w:r>
      <w:r w:rsidRPr="005C21CD">
        <w:rPr>
          <w:rtl/>
        </w:rPr>
        <w:t>وهذا يوجب أن تكون نفوسهم قد حدَّثتْهم أنهم قد لبثوا أكثر مما ذكروا</w:t>
      </w:r>
      <w:r w:rsidRPr="005C21CD">
        <w:rPr>
          <w:vertAlign w:val="superscript"/>
          <w:rtl/>
        </w:rPr>
        <w:t>(</w:t>
      </w:r>
      <w:r w:rsidRPr="005C21CD">
        <w:rPr>
          <w:vertAlign w:val="superscript"/>
          <w:rtl/>
        </w:rPr>
        <w:footnoteReference w:id="1058"/>
      </w:r>
      <w:r w:rsidRPr="005C21CD">
        <w:rPr>
          <w:vertAlign w:val="superscript"/>
          <w:rtl/>
        </w:rPr>
        <w:t>)</w:t>
      </w:r>
      <w:r w:rsidRPr="005C21CD">
        <w:rPr>
          <w:rtl/>
        </w:rPr>
        <w:t>. وقيل: إِنما قالوا ذلك، لأنهم رأوا أظفارهم وأشعارهم قد طالت جداً</w:t>
      </w:r>
      <w:r w:rsidRPr="005C21CD">
        <w:rPr>
          <w:vertAlign w:val="superscript"/>
          <w:rtl/>
        </w:rPr>
        <w:t>(</w:t>
      </w:r>
      <w:r w:rsidRPr="005C21CD">
        <w:rPr>
          <w:vertAlign w:val="superscript"/>
          <w:rtl/>
        </w:rPr>
        <w:footnoteReference w:id="1059"/>
      </w:r>
      <w:r w:rsidRPr="005C21CD">
        <w:rPr>
          <w:vertAlign w:val="superscript"/>
          <w:rtl/>
        </w:rPr>
        <w:t>)</w:t>
      </w:r>
      <w:r w:rsidRPr="005C21CD">
        <w:rPr>
          <w:rtl/>
        </w:rPr>
        <w:t>.</w:t>
      </w:r>
      <w:r w:rsidRPr="005C21CD">
        <w:rPr>
          <w:rFonts w:hint="cs"/>
          <w:rtl/>
        </w:rPr>
        <w:t xml:space="preserve"> </w:t>
      </w:r>
      <w:r w:rsidRPr="005C21CD">
        <w:rPr>
          <w:rtl/>
        </w:rPr>
        <w:t>قوله تعالى:</w:t>
      </w:r>
      <w:r w:rsidRPr="005C21CD">
        <w:rPr>
          <w:rFonts w:ascii="QCF_BSML" w:hAnsi="QCF_BSML" w:cs="QCF_BSML"/>
          <w:color w:val="auto"/>
          <w:sz w:val="32"/>
          <w:szCs w:val="32"/>
          <w:rtl/>
          <w:lang w:eastAsia="en-US"/>
        </w:rPr>
        <w:t xml:space="preserve"> ﭽ</w:t>
      </w:r>
      <w:r w:rsidRPr="005C21CD">
        <w:rPr>
          <w:rtl/>
        </w:rPr>
        <w:t xml:space="preserve"> </w:t>
      </w:r>
      <w:r w:rsidRPr="005C21CD">
        <w:rPr>
          <w:rFonts w:ascii="QCF_P295" w:hAnsi="QCF_P295" w:cs="QCF_P295"/>
          <w:color w:val="auto"/>
          <w:sz w:val="32"/>
          <w:szCs w:val="32"/>
          <w:rtl/>
          <w:lang w:eastAsia="en-US"/>
        </w:rPr>
        <w:t xml:space="preserve">ﯞ    ﯟ  </w:t>
      </w:r>
      <w:r w:rsidRPr="005C21CD">
        <w:rPr>
          <w:rFonts w:ascii="QCF_BSML" w:hAnsi="QCF_BSML" w:cs="QCF_BSML"/>
          <w:color w:val="auto"/>
          <w:sz w:val="32"/>
          <w:szCs w:val="32"/>
          <w:rtl/>
          <w:lang w:eastAsia="en-US"/>
        </w:rPr>
        <w:t>ﭼ</w:t>
      </w:r>
      <w:r w:rsidRPr="005C21CD">
        <w:rPr>
          <w:rtl/>
        </w:rPr>
        <w:t xml:space="preserve"> قال ابن الأنباري: إِنما قال: </w:t>
      </w:r>
      <w:r w:rsidRPr="005C21CD">
        <w:rPr>
          <w:rFonts w:ascii="QCF_BSML" w:hAnsi="QCF_BSML" w:cs="QCF_BSML"/>
          <w:color w:val="auto"/>
          <w:sz w:val="32"/>
          <w:szCs w:val="32"/>
          <w:rtl/>
          <w:lang w:eastAsia="en-US"/>
        </w:rPr>
        <w:t>ﭽ</w:t>
      </w:r>
      <w:r w:rsidRPr="005C21CD">
        <w:rPr>
          <w:rFonts w:ascii="QCF_P295" w:hAnsi="QCF_P295" w:cs="QCF_P295"/>
          <w:color w:val="auto"/>
          <w:sz w:val="32"/>
          <w:szCs w:val="32"/>
          <w:rtl/>
          <w:lang w:eastAsia="en-US"/>
        </w:rPr>
        <w:t xml:space="preserve"> ﯟ</w:t>
      </w:r>
      <w:r w:rsidRPr="005C21CD">
        <w:rPr>
          <w:rFonts w:ascii="QCF_BSML" w:hAnsi="QCF_BSML" w:cs="QCF_BSML"/>
          <w:color w:val="auto"/>
          <w:sz w:val="32"/>
          <w:szCs w:val="32"/>
          <w:rtl/>
          <w:lang w:eastAsia="en-US"/>
        </w:rPr>
        <w:t xml:space="preserve"> ﭼ</w:t>
      </w:r>
      <w:r w:rsidRPr="005C21CD">
        <w:rPr>
          <w:rFonts w:ascii="QCF_P295" w:hAnsi="QCF_P295" w:cs="QCF_P295"/>
          <w:color w:val="auto"/>
          <w:sz w:val="32"/>
          <w:szCs w:val="32"/>
          <w:rtl/>
          <w:lang w:eastAsia="en-US"/>
        </w:rPr>
        <w:t xml:space="preserve">  </w:t>
      </w:r>
      <w:r w:rsidRPr="005C21CD">
        <w:rPr>
          <w:rtl/>
        </w:rPr>
        <w:t xml:space="preserve">، ولم يقل: واحدَكم، لئلا يلتبس البعض بالممدوح المعظَّم، فان العرب </w:t>
      </w:r>
      <w:r w:rsidRPr="005C21CD">
        <w:rPr>
          <w:rtl/>
        </w:rPr>
        <w:lastRenderedPageBreak/>
        <w:t>تقول: رأيت أحد القوم، ولا يقولون: رأيت واحد القوم، إِلا إِذا أرادوا المعظَّم، فأراد بأحدهم: بعضَهم، ولم يُرِد شريفهم</w:t>
      </w:r>
      <w:r w:rsidRPr="005C21CD">
        <w:rPr>
          <w:vertAlign w:val="superscript"/>
          <w:rtl/>
        </w:rPr>
        <w:t>(</w:t>
      </w:r>
      <w:r w:rsidRPr="005C21CD">
        <w:rPr>
          <w:vertAlign w:val="superscript"/>
          <w:rtl/>
        </w:rPr>
        <w:footnoteReference w:id="1060"/>
      </w:r>
      <w:r w:rsidRPr="005C21CD">
        <w:rPr>
          <w:vertAlign w:val="superscript"/>
          <w:rtl/>
        </w:rPr>
        <w:t>)</w:t>
      </w:r>
      <w:r w:rsidRPr="005C21CD">
        <w:rPr>
          <w:rtl/>
        </w:rPr>
        <w:t>.</w:t>
      </w:r>
    </w:p>
    <w:p w:rsidR="005C21CD" w:rsidRPr="005C21CD" w:rsidRDefault="005C21CD" w:rsidP="005C21CD">
      <w:pPr>
        <w:ind w:firstLine="0"/>
        <w:rPr>
          <w:rtl/>
        </w:rPr>
      </w:pPr>
      <w:r w:rsidRPr="005C21CD">
        <w:rPr>
          <w:rtl/>
        </w:rPr>
        <w:t xml:space="preserve">قوله تعالى: </w:t>
      </w:r>
      <w:r w:rsidRPr="005C21CD">
        <w:rPr>
          <w:rFonts w:ascii="QCF_BSML" w:hAnsi="QCF_BSML" w:cs="QCF_BSML"/>
          <w:color w:val="auto"/>
          <w:sz w:val="32"/>
          <w:szCs w:val="32"/>
          <w:rtl/>
          <w:lang w:eastAsia="en-US"/>
        </w:rPr>
        <w:t>ﭽ</w:t>
      </w:r>
      <w:r w:rsidRPr="005C21CD">
        <w:rPr>
          <w:rFonts w:ascii="QCF_P295" w:hAnsi="QCF_P295" w:cs="QCF_P295"/>
          <w:color w:val="auto"/>
          <w:sz w:val="32"/>
          <w:szCs w:val="32"/>
          <w:rtl/>
          <w:lang w:eastAsia="en-US"/>
        </w:rPr>
        <w:t xml:space="preserve"> ﯠ</w:t>
      </w:r>
      <w:r w:rsidRPr="005C21CD">
        <w:rPr>
          <w:rFonts w:ascii="QCF_BSML" w:hAnsi="QCF_BSML" w:cs="QCF_BSML"/>
          <w:color w:val="auto"/>
          <w:sz w:val="32"/>
          <w:szCs w:val="32"/>
          <w:rtl/>
          <w:lang w:eastAsia="en-US"/>
        </w:rPr>
        <w:t xml:space="preserve"> ﭼ</w:t>
      </w:r>
      <w:r w:rsidRPr="005C21CD">
        <w:rPr>
          <w:rtl/>
        </w:rPr>
        <w:t xml:space="preserve"> قرأ ابن كثير، ونافع، وابن عامر، والكسائي، وحفص عن عاصم:</w:t>
      </w:r>
    </w:p>
    <w:p w:rsidR="0037389E" w:rsidRDefault="005C21CD" w:rsidP="0037389E">
      <w:pPr>
        <w:ind w:firstLine="0"/>
        <w:rPr>
          <w:rtl/>
        </w:rPr>
      </w:pPr>
      <w:r w:rsidRPr="005C21CD">
        <w:rPr>
          <w:rFonts w:ascii="QCF_BSML" w:hAnsi="QCF_BSML" w:cs="QCF_BSML"/>
          <w:color w:val="auto"/>
          <w:sz w:val="32"/>
          <w:szCs w:val="32"/>
          <w:rtl/>
          <w:lang w:eastAsia="en-US"/>
        </w:rPr>
        <w:t>ﭽ</w:t>
      </w:r>
      <w:r w:rsidRPr="005C21CD">
        <w:rPr>
          <w:rFonts w:ascii="QCF_P295" w:hAnsi="QCF_P295" w:cs="QCF_P295"/>
          <w:color w:val="auto"/>
          <w:sz w:val="32"/>
          <w:szCs w:val="32"/>
          <w:rtl/>
          <w:lang w:eastAsia="en-US"/>
        </w:rPr>
        <w:t xml:space="preserve"> ﯠ</w:t>
      </w:r>
      <w:r w:rsidRPr="005C21CD">
        <w:rPr>
          <w:rFonts w:ascii="QCF_BSML" w:hAnsi="QCF_BSML" w:cs="QCF_BSML"/>
          <w:color w:val="auto"/>
          <w:sz w:val="32"/>
          <w:szCs w:val="32"/>
          <w:rtl/>
          <w:lang w:eastAsia="en-US"/>
        </w:rPr>
        <w:t xml:space="preserve"> ﭼ</w:t>
      </w:r>
      <w:r w:rsidRPr="005C21CD">
        <w:rPr>
          <w:rFonts w:hint="cs"/>
          <w:rtl/>
        </w:rPr>
        <w:t xml:space="preserve"> </w:t>
      </w:r>
      <w:r w:rsidRPr="005C21CD">
        <w:rPr>
          <w:rtl/>
        </w:rPr>
        <w:t>الراء مكسورة خفيفة. وقرأ أبو عمرو، وحمزة، وأبو بكر عن عاصم ساكنة الراء. وعن أبي عمرو: «بورقكم» مدغمة يُشِمُّها شيئاً من التثقيل</w:t>
      </w:r>
      <w:r w:rsidRPr="005C21CD">
        <w:rPr>
          <w:vertAlign w:val="superscript"/>
          <w:rtl/>
        </w:rPr>
        <w:t>(</w:t>
      </w:r>
      <w:r w:rsidRPr="005C21CD">
        <w:rPr>
          <w:vertAlign w:val="superscript"/>
          <w:rtl/>
        </w:rPr>
        <w:footnoteReference w:id="1061"/>
      </w:r>
      <w:r w:rsidRPr="005C21CD">
        <w:rPr>
          <w:vertAlign w:val="superscript"/>
          <w:rtl/>
        </w:rPr>
        <w:t>)</w:t>
      </w:r>
      <w:r w:rsidRPr="005C21CD">
        <w:rPr>
          <w:rFonts w:hint="cs"/>
          <w:rtl/>
        </w:rPr>
        <w:t>.</w:t>
      </w:r>
      <w:r w:rsidRPr="005C21CD">
        <w:rPr>
          <w:rtl/>
        </w:rPr>
        <w:t xml:space="preserve"> قال الزجاج: تصير كافاً خالصة</w:t>
      </w:r>
      <w:r w:rsidRPr="005C21CD">
        <w:rPr>
          <w:vertAlign w:val="superscript"/>
          <w:rtl/>
        </w:rPr>
        <w:t>(</w:t>
      </w:r>
      <w:r w:rsidRPr="005C21CD">
        <w:rPr>
          <w:vertAlign w:val="superscript"/>
          <w:rtl/>
        </w:rPr>
        <w:footnoteReference w:id="1062"/>
      </w:r>
      <w:r w:rsidRPr="005C21CD">
        <w:rPr>
          <w:vertAlign w:val="superscript"/>
          <w:rtl/>
        </w:rPr>
        <w:t>)</w:t>
      </w:r>
      <w:r w:rsidRPr="005C21CD">
        <w:rPr>
          <w:rtl/>
        </w:rPr>
        <w:t>. قال الفراء: الوَرِق لغة أهل الحجاز، وتميم يقولون: الوَرْق، وبعض العرب يكسرون الواو، فيقولون: الوِرْق</w:t>
      </w:r>
      <w:r w:rsidRPr="005C21CD">
        <w:rPr>
          <w:vertAlign w:val="superscript"/>
          <w:rtl/>
        </w:rPr>
        <w:t>(</w:t>
      </w:r>
      <w:r w:rsidRPr="005C21CD">
        <w:rPr>
          <w:vertAlign w:val="superscript"/>
          <w:rtl/>
        </w:rPr>
        <w:footnoteReference w:id="1063"/>
      </w:r>
      <w:r w:rsidRPr="005C21CD">
        <w:rPr>
          <w:vertAlign w:val="superscript"/>
          <w:rtl/>
        </w:rPr>
        <w:t>)</w:t>
      </w:r>
      <w:r w:rsidRPr="005C21CD">
        <w:rPr>
          <w:rtl/>
        </w:rPr>
        <w:t xml:space="preserve">. قال ابن قتيبة. الوَرِق: الفضة، دراهم كانت </w:t>
      </w:r>
      <w:r w:rsidR="00871255" w:rsidRPr="001277AD">
        <w:rPr>
          <w:rFonts w:hint="cs"/>
          <w:color w:val="0D0D0D" w:themeColor="text1" w:themeTint="F2"/>
          <w:sz w:val="32"/>
          <w:szCs w:val="32"/>
          <w:rtl/>
        </w:rPr>
        <w:t>[</w:t>
      </w:r>
      <w:r w:rsidR="00871255">
        <w:rPr>
          <w:rFonts w:hint="cs"/>
          <w:color w:val="0D0D0D" w:themeColor="text1" w:themeTint="F2"/>
          <w:sz w:val="32"/>
          <w:szCs w:val="32"/>
          <w:rtl/>
        </w:rPr>
        <w:t>110</w:t>
      </w:r>
      <w:r w:rsidR="00871255" w:rsidRPr="001277AD">
        <w:rPr>
          <w:rFonts w:hint="cs"/>
          <w:color w:val="0D0D0D" w:themeColor="text1" w:themeTint="F2"/>
          <w:sz w:val="32"/>
          <w:szCs w:val="32"/>
          <w:rtl/>
        </w:rPr>
        <w:t>]</w:t>
      </w:r>
      <w:r w:rsidR="00871255" w:rsidRPr="00911ED4">
        <w:rPr>
          <w:rFonts w:ascii="Traditional Arabic" w:hAnsi="Traditional Arabic"/>
          <w:rtl/>
        </w:rPr>
        <w:t xml:space="preserve"> </w:t>
      </w:r>
      <w:r w:rsidRPr="005C21CD">
        <w:rPr>
          <w:rtl/>
        </w:rPr>
        <w:t>أو غير دراهم، يدلك على ذلك حديث عَرْفَجَة</w:t>
      </w:r>
      <w:r w:rsidRPr="005C21CD">
        <w:rPr>
          <w:vertAlign w:val="superscript"/>
          <w:rtl/>
        </w:rPr>
        <w:t>(</w:t>
      </w:r>
      <w:r w:rsidRPr="005C21CD">
        <w:rPr>
          <w:vertAlign w:val="superscript"/>
          <w:rtl/>
        </w:rPr>
        <w:footnoteReference w:id="1064"/>
      </w:r>
      <w:r w:rsidRPr="005C21CD">
        <w:rPr>
          <w:vertAlign w:val="superscript"/>
          <w:rtl/>
        </w:rPr>
        <w:t>)</w:t>
      </w:r>
      <w:r w:rsidRPr="005C21CD">
        <w:rPr>
          <w:rtl/>
        </w:rPr>
        <w:t>أنه اتخذ أنفاً من وَرِق</w:t>
      </w:r>
      <w:r w:rsidRPr="005C21CD">
        <w:rPr>
          <w:vertAlign w:val="superscript"/>
          <w:rtl/>
        </w:rPr>
        <w:t>(</w:t>
      </w:r>
      <w:r w:rsidRPr="005C21CD">
        <w:rPr>
          <w:vertAlign w:val="superscript"/>
          <w:rtl/>
        </w:rPr>
        <w:footnoteReference w:id="1065"/>
      </w:r>
      <w:r w:rsidRPr="005C21CD">
        <w:rPr>
          <w:vertAlign w:val="superscript"/>
          <w:rtl/>
        </w:rPr>
        <w:t>)</w:t>
      </w:r>
      <w:r w:rsidRPr="005C21CD">
        <w:rPr>
          <w:rtl/>
        </w:rPr>
        <w:t>. قوله تعالى:</w:t>
      </w:r>
      <w:r w:rsidRPr="005C21CD">
        <w:rPr>
          <w:rFonts w:ascii="QCF_BSML" w:hAnsi="QCF_BSML" w:cs="QCF_BSML"/>
          <w:color w:val="auto"/>
          <w:sz w:val="32"/>
          <w:szCs w:val="32"/>
          <w:rtl/>
          <w:lang w:eastAsia="en-US"/>
        </w:rPr>
        <w:t xml:space="preserve"> ﭽ</w:t>
      </w:r>
      <w:r w:rsidRPr="005C21CD">
        <w:rPr>
          <w:rtl/>
        </w:rPr>
        <w:t xml:space="preserve"> </w:t>
      </w:r>
      <w:r w:rsidRPr="005C21CD">
        <w:rPr>
          <w:rFonts w:ascii="QCF_P295" w:hAnsi="QCF_P295" w:cs="QCF_P295"/>
          <w:color w:val="auto"/>
          <w:sz w:val="32"/>
          <w:szCs w:val="32"/>
          <w:rtl/>
          <w:lang w:eastAsia="en-US"/>
        </w:rPr>
        <w:t>ﯢ  ﯣ</w:t>
      </w:r>
      <w:r w:rsidRPr="005C21CD">
        <w:rPr>
          <w:rFonts w:ascii="QCF_BSML" w:hAnsi="QCF_BSML" w:cs="QCF_BSML"/>
          <w:color w:val="auto"/>
          <w:sz w:val="32"/>
          <w:szCs w:val="32"/>
          <w:rtl/>
          <w:lang w:eastAsia="en-US"/>
        </w:rPr>
        <w:t xml:space="preserve"> ﭼ</w:t>
      </w:r>
      <w:r w:rsidRPr="005C21CD">
        <w:rPr>
          <w:rFonts w:ascii="QCF_P295" w:hAnsi="QCF_P295" w:cs="QCF_P295"/>
          <w:color w:val="auto"/>
          <w:sz w:val="32"/>
          <w:szCs w:val="32"/>
          <w:rtl/>
          <w:lang w:eastAsia="en-US"/>
        </w:rPr>
        <w:t xml:space="preserve">  </w:t>
      </w:r>
      <w:r w:rsidRPr="005C21CD">
        <w:rPr>
          <w:rtl/>
        </w:rPr>
        <w:t>يعنون التي خرجوا منها، واسمها دقسوس، ويقال: هي اليوم طرسوس</w:t>
      </w:r>
      <w:r w:rsidR="00F16D3A" w:rsidRPr="00F16D3A">
        <w:rPr>
          <w:rStyle w:val="ae"/>
          <w:rtl/>
        </w:rPr>
        <w:t>(</w:t>
      </w:r>
      <w:r w:rsidR="00F16D3A">
        <w:rPr>
          <w:rStyle w:val="ae"/>
          <w:rtl/>
        </w:rPr>
        <w:footnoteReference w:id="1066"/>
      </w:r>
      <w:r w:rsidR="00F16D3A" w:rsidRPr="00F16D3A">
        <w:rPr>
          <w:rStyle w:val="ae"/>
          <w:rtl/>
        </w:rPr>
        <w:t>)</w:t>
      </w:r>
      <w:r w:rsidRPr="005C21CD">
        <w:rPr>
          <w:vertAlign w:val="superscript"/>
          <w:rtl/>
        </w:rPr>
        <w:t>(</w:t>
      </w:r>
      <w:r w:rsidRPr="005C21CD">
        <w:rPr>
          <w:vertAlign w:val="superscript"/>
          <w:rtl/>
        </w:rPr>
        <w:footnoteReference w:id="1067"/>
      </w:r>
      <w:r w:rsidRPr="005C21CD">
        <w:rPr>
          <w:vertAlign w:val="superscript"/>
          <w:rtl/>
        </w:rPr>
        <w:t>)</w:t>
      </w:r>
      <w:r w:rsidR="00F16D3A">
        <w:rPr>
          <w:rtl/>
        </w:rPr>
        <w:t>. قوله تعالى:</w:t>
      </w:r>
      <w:r w:rsidR="00F16D3A">
        <w:rPr>
          <w:rFonts w:hint="cs"/>
          <w:rtl/>
        </w:rPr>
        <w:t xml:space="preserve"> </w:t>
      </w:r>
      <w:r w:rsidRPr="005C21CD">
        <w:rPr>
          <w:rFonts w:ascii="QCF_BSML" w:hAnsi="QCF_BSML" w:cs="QCF_BSML"/>
          <w:color w:val="auto"/>
          <w:sz w:val="32"/>
          <w:szCs w:val="32"/>
          <w:rtl/>
          <w:lang w:eastAsia="en-US"/>
        </w:rPr>
        <w:t>ﭽ</w:t>
      </w:r>
      <w:r w:rsidRPr="005C21CD">
        <w:rPr>
          <w:rFonts w:ascii="QCF_P295" w:hAnsi="QCF_P295" w:cs="QCF_P295"/>
          <w:color w:val="auto"/>
          <w:sz w:val="32"/>
          <w:szCs w:val="32"/>
          <w:rtl/>
          <w:lang w:eastAsia="en-US"/>
        </w:rPr>
        <w:t xml:space="preserve"> ﯤ  </w:t>
      </w:r>
      <w:r w:rsidRPr="005C21CD">
        <w:rPr>
          <w:rFonts w:ascii="QCF_P295" w:hAnsi="QCF_P295" w:cs="QCF_P295"/>
          <w:color w:val="auto"/>
          <w:sz w:val="32"/>
          <w:szCs w:val="32"/>
          <w:rtl/>
          <w:lang w:eastAsia="en-US"/>
        </w:rPr>
        <w:lastRenderedPageBreak/>
        <w:t>ﯥ</w:t>
      </w:r>
      <w:r w:rsidRPr="005C21CD">
        <w:rPr>
          <w:rFonts w:ascii="QCF_BSML" w:hAnsi="QCF_BSML" w:cs="QCF_BSML"/>
          <w:color w:val="auto"/>
          <w:sz w:val="32"/>
          <w:szCs w:val="32"/>
          <w:rtl/>
          <w:lang w:eastAsia="en-US"/>
        </w:rPr>
        <w:t>ﭼ</w:t>
      </w:r>
      <w:r w:rsidR="00F16D3A">
        <w:rPr>
          <w:rFonts w:ascii="QCF_BSML" w:hAnsi="QCF_BSML" w:cs="QCF_BSML" w:hint="cs"/>
          <w:color w:val="auto"/>
          <w:sz w:val="32"/>
          <w:szCs w:val="32"/>
          <w:rtl/>
          <w:lang w:eastAsia="en-US"/>
        </w:rPr>
        <w:t xml:space="preserve"> </w:t>
      </w:r>
      <w:r w:rsidRPr="005C21CD">
        <w:rPr>
          <w:rFonts w:ascii="QCF_P295" w:hAnsi="QCF_P295" w:cs="QCF_P295"/>
          <w:color w:val="auto"/>
          <w:sz w:val="32"/>
          <w:szCs w:val="32"/>
          <w:rtl/>
          <w:lang w:eastAsia="en-US"/>
        </w:rPr>
        <w:t xml:space="preserve">  </w:t>
      </w:r>
      <w:r w:rsidRPr="005C21CD">
        <w:rPr>
          <w:rtl/>
        </w:rPr>
        <w:t>قال الزجاج: المعنى: أيُّ أهلها أَزْكى طَعاماً</w:t>
      </w:r>
      <w:r w:rsidRPr="005C21CD">
        <w:rPr>
          <w:vertAlign w:val="superscript"/>
          <w:rtl/>
        </w:rPr>
        <w:t>(</w:t>
      </w:r>
      <w:r w:rsidRPr="005C21CD">
        <w:rPr>
          <w:vertAlign w:val="superscript"/>
          <w:rtl/>
        </w:rPr>
        <w:footnoteReference w:id="1068"/>
      </w:r>
      <w:r w:rsidRPr="005C21CD">
        <w:rPr>
          <w:vertAlign w:val="superscript"/>
          <w:rtl/>
        </w:rPr>
        <w:t>)</w:t>
      </w:r>
      <w:r w:rsidRPr="005C21CD">
        <w:rPr>
          <w:rFonts w:hint="cs"/>
          <w:rtl/>
        </w:rPr>
        <w:t>.</w:t>
      </w:r>
      <w:r w:rsidRPr="005C21CD">
        <w:rPr>
          <w:rtl/>
        </w:rPr>
        <w:t xml:space="preserve"> وللمفسرين في معناه ستة أقوال: أحدها: أَحَلُّ ذبيحة، قاله ابن عباس</w:t>
      </w:r>
      <w:r w:rsidRPr="005C21CD">
        <w:rPr>
          <w:vertAlign w:val="superscript"/>
          <w:rtl/>
        </w:rPr>
        <w:t>(</w:t>
      </w:r>
      <w:r w:rsidRPr="005C21CD">
        <w:rPr>
          <w:vertAlign w:val="superscript"/>
          <w:rtl/>
        </w:rPr>
        <w:footnoteReference w:id="1069"/>
      </w:r>
      <w:r w:rsidRPr="005C21CD">
        <w:rPr>
          <w:vertAlign w:val="superscript"/>
          <w:rtl/>
        </w:rPr>
        <w:t>)</w:t>
      </w:r>
      <w:r w:rsidRPr="005C21CD">
        <w:rPr>
          <w:rtl/>
        </w:rPr>
        <w:t>، وعطاء، وذلك أن عامة أهل بلدهم كانوا كفاراً، فكانوا يذبحون للطواغيت، وكان فيهم قوم يُخفون إِيمانهم</w:t>
      </w:r>
      <w:r w:rsidRPr="005C21CD">
        <w:rPr>
          <w:vertAlign w:val="superscript"/>
          <w:rtl/>
        </w:rPr>
        <w:t>(</w:t>
      </w:r>
      <w:r w:rsidRPr="005C21CD">
        <w:rPr>
          <w:vertAlign w:val="superscript"/>
          <w:rtl/>
        </w:rPr>
        <w:footnoteReference w:id="1070"/>
      </w:r>
      <w:r w:rsidRPr="005C21CD">
        <w:rPr>
          <w:vertAlign w:val="superscript"/>
          <w:rtl/>
        </w:rPr>
        <w:t>)</w:t>
      </w:r>
      <w:r w:rsidRPr="005C21CD">
        <w:rPr>
          <w:rtl/>
        </w:rPr>
        <w:t>. والثاني: أَحَلُّ طعاماً، قاله سعيد بن جبير</w:t>
      </w:r>
      <w:r w:rsidRPr="005C21CD">
        <w:rPr>
          <w:vertAlign w:val="superscript"/>
          <w:rtl/>
        </w:rPr>
        <w:t>(</w:t>
      </w:r>
      <w:r w:rsidRPr="005C21CD">
        <w:rPr>
          <w:vertAlign w:val="superscript"/>
          <w:rtl/>
        </w:rPr>
        <w:footnoteReference w:id="1071"/>
      </w:r>
      <w:r w:rsidRPr="005C21CD">
        <w:rPr>
          <w:vertAlign w:val="superscript"/>
          <w:rtl/>
        </w:rPr>
        <w:t>)</w:t>
      </w:r>
      <w:r w:rsidRPr="005C21CD">
        <w:rPr>
          <w:rtl/>
        </w:rPr>
        <w:t>قال الضّحّاك: وكان أكثر أموالهم غصوباً</w:t>
      </w:r>
      <w:r w:rsidRPr="005C21CD">
        <w:rPr>
          <w:vertAlign w:val="superscript"/>
          <w:rtl/>
        </w:rPr>
        <w:t>(</w:t>
      </w:r>
      <w:r w:rsidRPr="005C21CD">
        <w:rPr>
          <w:vertAlign w:val="superscript"/>
          <w:rtl/>
        </w:rPr>
        <w:footnoteReference w:id="1072"/>
      </w:r>
      <w:r w:rsidRPr="005C21CD">
        <w:rPr>
          <w:vertAlign w:val="superscript"/>
          <w:rtl/>
        </w:rPr>
        <w:t>)</w:t>
      </w:r>
      <w:r w:rsidRPr="005C21CD">
        <w:rPr>
          <w:rtl/>
        </w:rPr>
        <w:t>. وقال مجاهد: قالوا لصاحبهم: لا تبتعْ طعاماً فيه ظلم ولا غصب</w:t>
      </w:r>
      <w:r w:rsidRPr="005C21CD">
        <w:rPr>
          <w:vertAlign w:val="superscript"/>
          <w:rtl/>
        </w:rPr>
        <w:t>(</w:t>
      </w:r>
      <w:r w:rsidRPr="005C21CD">
        <w:rPr>
          <w:vertAlign w:val="superscript"/>
          <w:rtl/>
        </w:rPr>
        <w:footnoteReference w:id="1073"/>
      </w:r>
      <w:r w:rsidRPr="005C21CD">
        <w:rPr>
          <w:vertAlign w:val="superscript"/>
          <w:rtl/>
        </w:rPr>
        <w:t>)</w:t>
      </w:r>
      <w:r w:rsidRPr="005C21CD">
        <w:rPr>
          <w:rtl/>
        </w:rPr>
        <w:t>. والثالث: أكثر، قاله عكرمة</w:t>
      </w:r>
      <w:r w:rsidRPr="005C21CD">
        <w:rPr>
          <w:vertAlign w:val="superscript"/>
          <w:rtl/>
        </w:rPr>
        <w:t>(</w:t>
      </w:r>
      <w:r w:rsidRPr="005C21CD">
        <w:rPr>
          <w:vertAlign w:val="superscript"/>
          <w:rtl/>
        </w:rPr>
        <w:footnoteReference w:id="1074"/>
      </w:r>
      <w:r w:rsidRPr="005C21CD">
        <w:rPr>
          <w:vertAlign w:val="superscript"/>
          <w:rtl/>
        </w:rPr>
        <w:t>)</w:t>
      </w:r>
      <w:r w:rsidRPr="005C21CD">
        <w:rPr>
          <w:rtl/>
        </w:rPr>
        <w:t>. والرابع: خير، أي: أجود، قاله قتادة</w:t>
      </w:r>
      <w:r w:rsidRPr="005C21CD">
        <w:rPr>
          <w:vertAlign w:val="superscript"/>
          <w:rtl/>
        </w:rPr>
        <w:t>(</w:t>
      </w:r>
      <w:r w:rsidRPr="005C21CD">
        <w:rPr>
          <w:vertAlign w:val="superscript"/>
          <w:rtl/>
        </w:rPr>
        <w:footnoteReference w:id="1075"/>
      </w:r>
      <w:r w:rsidRPr="005C21CD">
        <w:rPr>
          <w:vertAlign w:val="superscript"/>
          <w:rtl/>
        </w:rPr>
        <w:t>)</w:t>
      </w:r>
      <w:r w:rsidRPr="005C21CD">
        <w:rPr>
          <w:rtl/>
        </w:rPr>
        <w:t>. والخامس: أطيب، قاله ابن السائب</w:t>
      </w:r>
      <w:r w:rsidRPr="005C21CD">
        <w:rPr>
          <w:vertAlign w:val="superscript"/>
          <w:rtl/>
        </w:rPr>
        <w:t>(</w:t>
      </w:r>
      <w:r w:rsidRPr="005C21CD">
        <w:rPr>
          <w:vertAlign w:val="superscript"/>
          <w:rtl/>
        </w:rPr>
        <w:footnoteReference w:id="1076"/>
      </w:r>
      <w:r w:rsidRPr="005C21CD">
        <w:rPr>
          <w:vertAlign w:val="superscript"/>
          <w:rtl/>
        </w:rPr>
        <w:t>)</w:t>
      </w:r>
      <w:r w:rsidRPr="005C21CD">
        <w:rPr>
          <w:rtl/>
        </w:rPr>
        <w:t>، ومقاتل</w:t>
      </w:r>
      <w:r w:rsidRPr="005C21CD">
        <w:rPr>
          <w:vertAlign w:val="superscript"/>
          <w:rtl/>
        </w:rPr>
        <w:t>(</w:t>
      </w:r>
      <w:r w:rsidRPr="005C21CD">
        <w:rPr>
          <w:vertAlign w:val="superscript"/>
          <w:rtl/>
        </w:rPr>
        <w:footnoteReference w:id="1077"/>
      </w:r>
      <w:r w:rsidRPr="005C21CD">
        <w:rPr>
          <w:vertAlign w:val="superscript"/>
          <w:rtl/>
        </w:rPr>
        <w:t>)</w:t>
      </w:r>
      <w:r w:rsidR="00032CCE">
        <w:rPr>
          <w:rtl/>
        </w:rPr>
        <w:t>. والسادس: أرخص، قاله يمان</w:t>
      </w:r>
      <w:r w:rsidRPr="005C21CD">
        <w:rPr>
          <w:vertAlign w:val="superscript"/>
          <w:rtl/>
        </w:rPr>
        <w:t>(</w:t>
      </w:r>
      <w:r w:rsidRPr="005C21CD">
        <w:rPr>
          <w:vertAlign w:val="superscript"/>
          <w:rtl/>
        </w:rPr>
        <w:footnoteReference w:id="1078"/>
      </w:r>
      <w:r w:rsidRPr="005C21CD">
        <w:rPr>
          <w:vertAlign w:val="superscript"/>
          <w:rtl/>
        </w:rPr>
        <w:t>)</w:t>
      </w:r>
      <w:r w:rsidRPr="005C21CD">
        <w:rPr>
          <w:rtl/>
        </w:rPr>
        <w:t>. قال ابن قتيبة: وأصل الزكاء: النماء والزيادة</w:t>
      </w:r>
      <w:r w:rsidRPr="005C21CD">
        <w:rPr>
          <w:vertAlign w:val="superscript"/>
          <w:rtl/>
        </w:rPr>
        <w:t>(</w:t>
      </w:r>
      <w:r w:rsidRPr="005C21CD">
        <w:rPr>
          <w:vertAlign w:val="superscript"/>
          <w:rtl/>
        </w:rPr>
        <w:footnoteReference w:id="1079"/>
      </w:r>
      <w:r w:rsidRPr="005C21CD">
        <w:rPr>
          <w:vertAlign w:val="superscript"/>
          <w:rtl/>
        </w:rPr>
        <w:t>)</w:t>
      </w:r>
      <w:r w:rsidRPr="005C21CD">
        <w:rPr>
          <w:rtl/>
        </w:rPr>
        <w:t>.</w:t>
      </w:r>
      <w:r w:rsidR="006C247D">
        <w:rPr>
          <w:rFonts w:hint="cs"/>
          <w:rtl/>
        </w:rPr>
        <w:t xml:space="preserve"> </w:t>
      </w:r>
      <w:r w:rsidRPr="005C21CD">
        <w:rPr>
          <w:rtl/>
        </w:rPr>
        <w:t xml:space="preserve">قوله تعالى: </w:t>
      </w:r>
      <w:r w:rsidRPr="005C21CD">
        <w:rPr>
          <w:rFonts w:ascii="QCF_BSML" w:hAnsi="QCF_BSML" w:cs="QCF_BSML"/>
          <w:color w:val="auto"/>
          <w:sz w:val="32"/>
          <w:szCs w:val="32"/>
          <w:rtl/>
          <w:lang w:eastAsia="en-US"/>
        </w:rPr>
        <w:t>ﭽ</w:t>
      </w:r>
      <w:r w:rsidRPr="005C21CD">
        <w:rPr>
          <w:rFonts w:ascii="QCF_P295" w:hAnsi="QCF_P295" w:cs="QCF_P295"/>
          <w:color w:val="auto"/>
          <w:sz w:val="32"/>
          <w:szCs w:val="32"/>
          <w:rtl/>
          <w:lang w:eastAsia="en-US"/>
        </w:rPr>
        <w:t xml:space="preserve"> ﯨ  ﯩ  ﯪ  </w:t>
      </w:r>
      <w:r w:rsidRPr="005C21CD">
        <w:rPr>
          <w:rFonts w:ascii="QCF_BSML" w:hAnsi="QCF_BSML" w:cs="QCF_BSML"/>
          <w:color w:val="auto"/>
          <w:sz w:val="32"/>
          <w:szCs w:val="32"/>
          <w:rtl/>
          <w:lang w:eastAsia="en-US"/>
        </w:rPr>
        <w:t>ﭼ</w:t>
      </w:r>
      <w:r w:rsidRPr="005C21CD">
        <w:rPr>
          <w:rtl/>
        </w:rPr>
        <w:t xml:space="preserve"> أي: بما تأكلونه </w:t>
      </w:r>
      <w:r w:rsidRPr="005C21CD">
        <w:rPr>
          <w:rFonts w:ascii="QCF_BSML" w:hAnsi="QCF_BSML" w:cs="QCF_BSML"/>
          <w:color w:val="auto"/>
          <w:sz w:val="32"/>
          <w:szCs w:val="32"/>
          <w:rtl/>
          <w:lang w:eastAsia="en-US"/>
        </w:rPr>
        <w:t>ﭽ</w:t>
      </w:r>
      <w:r w:rsidRPr="005C21CD">
        <w:rPr>
          <w:rFonts w:ascii="QCF_P295" w:hAnsi="QCF_P295" w:cs="QCF_P295"/>
          <w:color w:val="auto"/>
          <w:sz w:val="32"/>
          <w:szCs w:val="32"/>
          <w:rtl/>
          <w:lang w:eastAsia="en-US"/>
        </w:rPr>
        <w:t xml:space="preserve"> ﯫ</w:t>
      </w:r>
      <w:r w:rsidRPr="005C21CD">
        <w:rPr>
          <w:rFonts w:ascii="QCF_BSML" w:hAnsi="QCF_BSML" w:cs="QCF_BSML"/>
          <w:color w:val="auto"/>
          <w:sz w:val="32"/>
          <w:szCs w:val="32"/>
          <w:rtl/>
          <w:lang w:eastAsia="en-US"/>
        </w:rPr>
        <w:t xml:space="preserve"> ﭼ</w:t>
      </w:r>
      <w:r w:rsidRPr="005C21CD">
        <w:rPr>
          <w:rtl/>
        </w:rPr>
        <w:t xml:space="preserve"> أي: ليدقِّق النظر فيه، وليحتلْ</w:t>
      </w:r>
      <w:r w:rsidRPr="005C21CD">
        <w:rPr>
          <w:vertAlign w:val="superscript"/>
          <w:rtl/>
        </w:rPr>
        <w:t>(</w:t>
      </w:r>
      <w:r w:rsidRPr="005C21CD">
        <w:rPr>
          <w:vertAlign w:val="superscript"/>
          <w:rtl/>
        </w:rPr>
        <w:footnoteReference w:id="1080"/>
      </w:r>
      <w:r w:rsidRPr="005C21CD">
        <w:rPr>
          <w:vertAlign w:val="superscript"/>
          <w:rtl/>
        </w:rPr>
        <w:t>)</w:t>
      </w:r>
      <w:r w:rsidRPr="005C21CD">
        <w:rPr>
          <w:rtl/>
        </w:rPr>
        <w:t xml:space="preserve"> لئلا يُطَّلَع عليه.</w:t>
      </w:r>
      <w:r w:rsidRPr="005C21CD">
        <w:rPr>
          <w:rFonts w:ascii="QCF_BSML" w:hAnsi="QCF_BSML" w:cs="QCF_BSML"/>
          <w:color w:val="auto"/>
          <w:sz w:val="32"/>
          <w:szCs w:val="32"/>
          <w:rtl/>
          <w:lang w:eastAsia="en-US"/>
        </w:rPr>
        <w:t xml:space="preserve"> ﭽ</w:t>
      </w:r>
      <w:r w:rsidRPr="005C21CD">
        <w:rPr>
          <w:rtl/>
        </w:rPr>
        <w:t xml:space="preserve"> </w:t>
      </w:r>
      <w:r w:rsidRPr="005C21CD">
        <w:rPr>
          <w:rFonts w:ascii="QCF_P295" w:hAnsi="QCF_P295" w:cs="QCF_P295"/>
          <w:color w:val="auto"/>
          <w:sz w:val="32"/>
          <w:szCs w:val="32"/>
          <w:rtl/>
          <w:lang w:eastAsia="en-US"/>
        </w:rPr>
        <w:t>ﯬ  ﯭ   ﯮ</w:t>
      </w:r>
      <w:r w:rsidRPr="005C21CD">
        <w:rPr>
          <w:rFonts w:ascii="QCF_BSML" w:hAnsi="QCF_BSML" w:cs="QCF_BSML"/>
          <w:color w:val="auto"/>
          <w:sz w:val="32"/>
          <w:szCs w:val="32"/>
          <w:rtl/>
          <w:lang w:eastAsia="en-US"/>
        </w:rPr>
        <w:t xml:space="preserve"> ﭼ</w:t>
      </w:r>
      <w:r w:rsidRPr="005C21CD">
        <w:rPr>
          <w:rFonts w:ascii="QCF_P295" w:hAnsi="QCF_P295" w:cs="QCF_P295"/>
          <w:color w:val="auto"/>
          <w:sz w:val="32"/>
          <w:szCs w:val="32"/>
          <w:rtl/>
          <w:lang w:eastAsia="en-US"/>
        </w:rPr>
        <w:t xml:space="preserve">  </w:t>
      </w:r>
      <w:r w:rsidRPr="005C21CD">
        <w:rPr>
          <w:rtl/>
        </w:rPr>
        <w:t xml:space="preserve">أي: ولا يُخْبِرَنَّ </w:t>
      </w:r>
      <w:r w:rsidRPr="005C21CD">
        <w:rPr>
          <w:rFonts w:ascii="QCF_BSML" w:hAnsi="QCF_BSML" w:cs="QCF_BSML"/>
          <w:color w:val="auto"/>
          <w:sz w:val="32"/>
          <w:szCs w:val="32"/>
          <w:rtl/>
          <w:lang w:eastAsia="en-US"/>
        </w:rPr>
        <w:t>ﭽ</w:t>
      </w:r>
      <w:r w:rsidRPr="005C21CD">
        <w:rPr>
          <w:rFonts w:ascii="QCF_P295" w:hAnsi="QCF_P295" w:cs="QCF_P295"/>
          <w:color w:val="auto"/>
          <w:sz w:val="32"/>
          <w:szCs w:val="32"/>
          <w:rtl/>
          <w:lang w:eastAsia="en-US"/>
        </w:rPr>
        <w:t xml:space="preserve"> ﯯ</w:t>
      </w:r>
      <w:r w:rsidRPr="005C21CD">
        <w:rPr>
          <w:rFonts w:ascii="QCF_BSML" w:hAnsi="QCF_BSML" w:cs="QCF_BSML"/>
          <w:color w:val="auto"/>
          <w:sz w:val="32"/>
          <w:szCs w:val="32"/>
          <w:rtl/>
          <w:lang w:eastAsia="en-US"/>
        </w:rPr>
        <w:t xml:space="preserve"> ﭼ</w:t>
      </w:r>
      <w:r w:rsidRPr="005C21CD">
        <w:rPr>
          <w:rtl/>
        </w:rPr>
        <w:t xml:space="preserve"> بمكانكم</w:t>
      </w:r>
      <w:r w:rsidRPr="005C21CD">
        <w:rPr>
          <w:vertAlign w:val="superscript"/>
          <w:rtl/>
        </w:rPr>
        <w:t>(</w:t>
      </w:r>
      <w:r w:rsidRPr="005C21CD">
        <w:rPr>
          <w:vertAlign w:val="superscript"/>
          <w:rtl/>
        </w:rPr>
        <w:footnoteReference w:id="1081"/>
      </w:r>
      <w:r w:rsidRPr="005C21CD">
        <w:rPr>
          <w:vertAlign w:val="superscript"/>
          <w:rtl/>
        </w:rPr>
        <w:t>)</w:t>
      </w:r>
      <w:r w:rsidRPr="005C21CD">
        <w:rPr>
          <w:rtl/>
        </w:rPr>
        <w:t xml:space="preserve">. </w:t>
      </w:r>
      <w:r w:rsidRPr="005C21CD">
        <w:rPr>
          <w:rFonts w:ascii="QCF_BSML" w:hAnsi="QCF_BSML" w:cs="QCF_BSML"/>
          <w:color w:val="auto"/>
          <w:sz w:val="32"/>
          <w:szCs w:val="32"/>
          <w:rtl/>
          <w:lang w:eastAsia="en-US"/>
        </w:rPr>
        <w:t>ﭽ</w:t>
      </w:r>
      <w:r w:rsidRPr="005C21CD">
        <w:rPr>
          <w:rFonts w:ascii="QCF_P295" w:hAnsi="QCF_P295" w:cs="QCF_P295"/>
          <w:color w:val="auto"/>
          <w:sz w:val="32"/>
          <w:szCs w:val="32"/>
          <w:rtl/>
          <w:lang w:eastAsia="en-US"/>
        </w:rPr>
        <w:t xml:space="preserve"> ﯱ  ﯲ  ﯳ</w:t>
      </w:r>
      <w:r w:rsidRPr="005C21CD">
        <w:rPr>
          <w:rFonts w:ascii="QCF_BSML" w:hAnsi="QCF_BSML" w:cs="QCF_BSML"/>
          <w:color w:val="auto"/>
          <w:sz w:val="32"/>
          <w:szCs w:val="32"/>
          <w:rtl/>
          <w:lang w:eastAsia="en-US"/>
        </w:rPr>
        <w:t>ﭼ</w:t>
      </w:r>
      <w:r w:rsidR="0037389E">
        <w:rPr>
          <w:rFonts w:ascii="QCF_P295" w:hAnsi="QCF_P295" w:cs="QCF_P295" w:hint="cs"/>
          <w:color w:val="auto"/>
          <w:sz w:val="32"/>
          <w:szCs w:val="32"/>
          <w:rtl/>
          <w:lang w:eastAsia="en-US"/>
        </w:rPr>
        <w:t xml:space="preserve"> </w:t>
      </w:r>
      <w:r w:rsidRPr="005C21CD">
        <w:rPr>
          <w:rFonts w:ascii="QCF_P295" w:hAnsi="QCF_P295" w:cs="QCF_P295"/>
          <w:color w:val="auto"/>
          <w:sz w:val="32"/>
          <w:szCs w:val="32"/>
          <w:rtl/>
          <w:lang w:eastAsia="en-US"/>
        </w:rPr>
        <w:t xml:space="preserve"> </w:t>
      </w:r>
      <w:r w:rsidRPr="005C21CD">
        <w:rPr>
          <w:rtl/>
        </w:rPr>
        <w:t xml:space="preserve">أي: </w:t>
      </w:r>
    </w:p>
    <w:p w:rsidR="0037389E" w:rsidRDefault="0037389E" w:rsidP="00F16D3A">
      <w:pPr>
        <w:ind w:firstLine="0"/>
        <w:rPr>
          <w:rtl/>
        </w:rPr>
      </w:pPr>
    </w:p>
    <w:p w:rsidR="005C21CD" w:rsidRPr="005C21CD" w:rsidRDefault="005C21CD" w:rsidP="0037389E">
      <w:pPr>
        <w:ind w:firstLine="0"/>
        <w:rPr>
          <w:rtl/>
        </w:rPr>
      </w:pPr>
      <w:r w:rsidRPr="005C21CD">
        <w:rPr>
          <w:rtl/>
        </w:rPr>
        <w:lastRenderedPageBreak/>
        <w:t xml:space="preserve">يطَّلعوا ويُشرفوا عليكم، </w:t>
      </w:r>
      <w:r w:rsidRPr="005C21CD">
        <w:rPr>
          <w:rFonts w:ascii="QCF_BSML" w:hAnsi="QCF_BSML" w:cs="QCF_BSML"/>
          <w:color w:val="auto"/>
          <w:sz w:val="32"/>
          <w:szCs w:val="32"/>
          <w:rtl/>
          <w:lang w:eastAsia="en-US"/>
        </w:rPr>
        <w:t>ﭽ</w:t>
      </w:r>
      <w:r w:rsidRPr="005C21CD">
        <w:rPr>
          <w:rFonts w:ascii="QCF_P295" w:hAnsi="QCF_P295" w:cs="QCF_P295"/>
          <w:color w:val="auto"/>
          <w:sz w:val="32"/>
          <w:szCs w:val="32"/>
          <w:rtl/>
          <w:lang w:eastAsia="en-US"/>
        </w:rPr>
        <w:t xml:space="preserve"> ﯵ</w:t>
      </w:r>
      <w:r w:rsidRPr="005C21CD">
        <w:rPr>
          <w:rFonts w:ascii="QCF_BSML" w:hAnsi="QCF_BSML" w:cs="QCF_BSML"/>
          <w:color w:val="auto"/>
          <w:sz w:val="32"/>
          <w:szCs w:val="32"/>
          <w:rtl/>
          <w:lang w:eastAsia="en-US"/>
        </w:rPr>
        <w:t xml:space="preserve"> ﭼ</w:t>
      </w:r>
      <w:r w:rsidRPr="005C21CD">
        <w:rPr>
          <w:rtl/>
        </w:rPr>
        <w:t xml:space="preserve"> وفيه ثلاثة أقوال: أحدها: يقتلوكم، قاله ابن عباس</w:t>
      </w:r>
      <w:r w:rsidRPr="005C21CD">
        <w:rPr>
          <w:vertAlign w:val="superscript"/>
          <w:rtl/>
        </w:rPr>
        <w:t>(</w:t>
      </w:r>
      <w:r w:rsidRPr="005C21CD">
        <w:rPr>
          <w:vertAlign w:val="superscript"/>
          <w:rtl/>
        </w:rPr>
        <w:footnoteReference w:id="1082"/>
      </w:r>
      <w:r w:rsidRPr="005C21CD">
        <w:rPr>
          <w:vertAlign w:val="superscript"/>
          <w:rtl/>
        </w:rPr>
        <w:t>)</w:t>
      </w:r>
      <w:r w:rsidRPr="005C21CD">
        <w:rPr>
          <w:rtl/>
        </w:rPr>
        <w:t>. وقال الزجاج: يقتلوكم بالرجم</w:t>
      </w:r>
      <w:r w:rsidRPr="005C21CD">
        <w:rPr>
          <w:vertAlign w:val="superscript"/>
          <w:rtl/>
        </w:rPr>
        <w:t>(</w:t>
      </w:r>
      <w:r w:rsidRPr="005C21CD">
        <w:rPr>
          <w:vertAlign w:val="superscript"/>
          <w:rtl/>
        </w:rPr>
        <w:footnoteReference w:id="1083"/>
      </w:r>
      <w:r w:rsidRPr="005C21CD">
        <w:rPr>
          <w:vertAlign w:val="superscript"/>
          <w:rtl/>
        </w:rPr>
        <w:t>)</w:t>
      </w:r>
      <w:r w:rsidRPr="005C21CD">
        <w:rPr>
          <w:rtl/>
        </w:rPr>
        <w:t>. والثاني: يرجموكم بأيديهم، استنكاراً لكم، قاله الحسن</w:t>
      </w:r>
      <w:r w:rsidRPr="005C21CD">
        <w:rPr>
          <w:vertAlign w:val="superscript"/>
          <w:rtl/>
        </w:rPr>
        <w:t>(</w:t>
      </w:r>
      <w:r w:rsidRPr="005C21CD">
        <w:rPr>
          <w:vertAlign w:val="superscript"/>
          <w:rtl/>
        </w:rPr>
        <w:footnoteReference w:id="1084"/>
      </w:r>
      <w:r w:rsidRPr="005C21CD">
        <w:rPr>
          <w:vertAlign w:val="superscript"/>
          <w:rtl/>
        </w:rPr>
        <w:t>)</w:t>
      </w:r>
      <w:r w:rsidRPr="005C21CD">
        <w:rPr>
          <w:rtl/>
        </w:rPr>
        <w:t>. والثالث: بألسنتهم شتماً لكم، قاله مجاهد</w:t>
      </w:r>
      <w:r w:rsidRPr="005C21CD">
        <w:rPr>
          <w:vertAlign w:val="superscript"/>
          <w:rtl/>
        </w:rPr>
        <w:t>(</w:t>
      </w:r>
      <w:r w:rsidRPr="005C21CD">
        <w:rPr>
          <w:vertAlign w:val="superscript"/>
          <w:rtl/>
        </w:rPr>
        <w:footnoteReference w:id="1085"/>
      </w:r>
      <w:r w:rsidRPr="005C21CD">
        <w:rPr>
          <w:vertAlign w:val="superscript"/>
          <w:rtl/>
        </w:rPr>
        <w:t>)</w:t>
      </w:r>
      <w:r w:rsidRPr="005C21CD">
        <w:rPr>
          <w:rtl/>
        </w:rPr>
        <w:t>، وابن جريج</w:t>
      </w:r>
      <w:r w:rsidRPr="005C21CD">
        <w:rPr>
          <w:vertAlign w:val="superscript"/>
          <w:rtl/>
        </w:rPr>
        <w:t>(</w:t>
      </w:r>
      <w:r w:rsidRPr="005C21CD">
        <w:rPr>
          <w:vertAlign w:val="superscript"/>
          <w:rtl/>
        </w:rPr>
        <w:footnoteReference w:id="1086"/>
      </w:r>
      <w:r w:rsidRPr="005C21CD">
        <w:rPr>
          <w:vertAlign w:val="superscript"/>
          <w:rtl/>
        </w:rPr>
        <w:t>)</w:t>
      </w:r>
      <w:r w:rsidRPr="005C21CD">
        <w:rPr>
          <w:rtl/>
        </w:rPr>
        <w:t>.</w:t>
      </w:r>
    </w:p>
    <w:p w:rsidR="005C21CD" w:rsidRPr="005C21CD" w:rsidRDefault="005C21CD" w:rsidP="005C21CD">
      <w:pPr>
        <w:ind w:firstLine="0"/>
        <w:rPr>
          <w:rtl/>
        </w:rPr>
      </w:pPr>
      <w:r w:rsidRPr="005C21CD">
        <w:rPr>
          <w:rFonts w:ascii="QCF_P295" w:hAnsi="QCF_P295" w:cs="QCF_P295"/>
          <w:color w:val="auto"/>
          <w:sz w:val="32"/>
          <w:szCs w:val="32"/>
          <w:rtl/>
          <w:lang w:eastAsia="en-US"/>
        </w:rPr>
        <w:t xml:space="preserve">   </w:t>
      </w:r>
      <w:r w:rsidRPr="005C21CD">
        <w:rPr>
          <w:rtl/>
        </w:rPr>
        <w:t>قوله تعالى:</w:t>
      </w:r>
      <w:r w:rsidRPr="005C21CD">
        <w:rPr>
          <w:rFonts w:ascii="QCF_BSML" w:hAnsi="QCF_BSML" w:cs="QCF_BSML"/>
          <w:color w:val="auto"/>
          <w:sz w:val="32"/>
          <w:szCs w:val="32"/>
          <w:rtl/>
          <w:lang w:eastAsia="en-US"/>
        </w:rPr>
        <w:t xml:space="preserve"> ﭽ</w:t>
      </w:r>
      <w:r w:rsidRPr="005C21CD">
        <w:rPr>
          <w:rtl/>
        </w:rPr>
        <w:t xml:space="preserve"> </w:t>
      </w:r>
      <w:r w:rsidRPr="005C21CD">
        <w:rPr>
          <w:rFonts w:ascii="QCF_P295" w:hAnsi="QCF_P295" w:cs="QCF_P295"/>
          <w:color w:val="auto"/>
          <w:sz w:val="32"/>
          <w:szCs w:val="32"/>
          <w:rtl/>
          <w:lang w:eastAsia="en-US"/>
        </w:rPr>
        <w:t>ﯶ  ﯷ  ﯸ  ﯹ</w:t>
      </w:r>
      <w:r w:rsidRPr="005C21CD">
        <w:rPr>
          <w:rFonts w:ascii="QCF_BSML" w:hAnsi="QCF_BSML" w:cs="QCF_BSML"/>
          <w:color w:val="auto"/>
          <w:sz w:val="32"/>
          <w:szCs w:val="32"/>
          <w:rtl/>
          <w:lang w:eastAsia="en-US"/>
        </w:rPr>
        <w:t xml:space="preserve"> ﭼ</w:t>
      </w:r>
      <w:r w:rsidRPr="005C21CD">
        <w:rPr>
          <w:rFonts w:ascii="QCF_P295" w:hAnsi="QCF_P295" w:cs="QCF_P295"/>
          <w:color w:val="auto"/>
          <w:sz w:val="32"/>
          <w:szCs w:val="32"/>
          <w:rtl/>
          <w:lang w:eastAsia="en-US"/>
        </w:rPr>
        <w:t xml:space="preserve">  </w:t>
      </w:r>
      <w:r w:rsidRPr="005C21CD">
        <w:rPr>
          <w:rtl/>
        </w:rPr>
        <w:t xml:space="preserve">أي: يردُّوكم في دينهم، </w:t>
      </w:r>
      <w:r w:rsidRPr="005C21CD">
        <w:rPr>
          <w:rFonts w:ascii="QCF_BSML" w:hAnsi="QCF_BSML" w:cs="QCF_BSML"/>
          <w:color w:val="auto"/>
          <w:sz w:val="32"/>
          <w:szCs w:val="32"/>
          <w:rtl/>
          <w:lang w:eastAsia="en-US"/>
        </w:rPr>
        <w:t>ﭽ</w:t>
      </w:r>
      <w:r w:rsidRPr="005C21CD">
        <w:rPr>
          <w:rFonts w:ascii="QCF_P295" w:hAnsi="QCF_P295" w:cs="QCF_P295"/>
          <w:color w:val="auto"/>
          <w:sz w:val="32"/>
          <w:szCs w:val="32"/>
          <w:rtl/>
          <w:lang w:eastAsia="en-US"/>
        </w:rPr>
        <w:t xml:space="preserve"> ﯺ  ﯻ  ﯼ  ﯽ</w:t>
      </w:r>
      <w:r w:rsidRPr="005C21CD">
        <w:rPr>
          <w:rFonts w:ascii="QCF_BSML" w:hAnsi="QCF_BSML" w:cs="QCF_BSML"/>
          <w:color w:val="auto"/>
          <w:sz w:val="32"/>
          <w:szCs w:val="32"/>
          <w:rtl/>
          <w:lang w:eastAsia="en-US"/>
        </w:rPr>
        <w:t>ﭼ</w:t>
      </w:r>
      <w:r w:rsidRPr="005C21CD">
        <w:rPr>
          <w:rFonts w:ascii="QCF_P295" w:hAnsi="QCF_P295" w:cs="QCF_P295"/>
          <w:color w:val="auto"/>
          <w:sz w:val="32"/>
          <w:szCs w:val="32"/>
          <w:rtl/>
          <w:lang w:eastAsia="en-US"/>
        </w:rPr>
        <w:t xml:space="preserve">  </w:t>
      </w:r>
      <w:r w:rsidRPr="005C21CD">
        <w:rPr>
          <w:rtl/>
        </w:rPr>
        <w:t>أي: إِن رجعتم في دينهم، لم تسعدوا في الدنيا ولا في الآخرة</w:t>
      </w:r>
      <w:r w:rsidRPr="005C21CD">
        <w:rPr>
          <w:vertAlign w:val="superscript"/>
          <w:rtl/>
        </w:rPr>
        <w:t>(</w:t>
      </w:r>
      <w:r w:rsidRPr="005C21CD">
        <w:rPr>
          <w:vertAlign w:val="superscript"/>
          <w:rtl/>
        </w:rPr>
        <w:footnoteReference w:id="1087"/>
      </w:r>
      <w:r w:rsidRPr="005C21CD">
        <w:rPr>
          <w:vertAlign w:val="superscript"/>
          <w:rtl/>
        </w:rPr>
        <w:t>)</w:t>
      </w:r>
      <w:r w:rsidRPr="005C21CD">
        <w:rPr>
          <w:rtl/>
        </w:rPr>
        <w:t>.</w:t>
      </w:r>
    </w:p>
    <w:p w:rsidR="005C21CD" w:rsidRPr="005C21CD" w:rsidRDefault="005C21CD" w:rsidP="005C21CD">
      <w:pPr>
        <w:ind w:firstLine="0"/>
        <w:rPr>
          <w:rFonts w:ascii="Traditional Arabic" w:hAnsi="Traditional Arabic"/>
          <w:color w:val="auto"/>
          <w:sz w:val="32"/>
          <w:szCs w:val="32"/>
          <w:rtl/>
        </w:rPr>
      </w:pPr>
      <w:r w:rsidRPr="005C21CD">
        <w:rPr>
          <w:rFonts w:ascii="QCF_BSML" w:hAnsi="QCF_BSML" w:cs="QCF_BSML"/>
          <w:color w:val="auto"/>
          <w:sz w:val="32"/>
          <w:szCs w:val="32"/>
          <w:rtl/>
          <w:lang w:eastAsia="en-US"/>
        </w:rPr>
        <w:t xml:space="preserve">ﭽ </w:t>
      </w:r>
      <w:r w:rsidRPr="005C21CD">
        <w:rPr>
          <w:rFonts w:ascii="QCF_P296" w:hAnsi="QCF_P296" w:cs="QCF_P296"/>
          <w:color w:val="auto"/>
          <w:sz w:val="32"/>
          <w:szCs w:val="32"/>
          <w:rtl/>
          <w:lang w:eastAsia="en-US"/>
        </w:rPr>
        <w:t xml:space="preserve">ﭑ  ﭒ  ﭓ  ﭔ  ﭕ  ﭖ  ﭗ  ﭘ  ﭙ   ﭚ  ﭛ  ﭜ  ﭝ  ﭞ  ﭟ  ﭠ  ﭡﭢ  ﭣ   ﭤ  ﭥ  ﭦﭧ  ﭨ  ﭩ  ﭪﭫ  ﭬ  ﭭ  ﭮ  ﭯ   ﭰ  ﭱ  ﭲ  ﭳ  ﭴ  </w:t>
      </w:r>
      <w:r w:rsidRPr="005C21CD">
        <w:rPr>
          <w:rFonts w:ascii="QCF_BSML" w:hAnsi="QCF_BSML" w:cs="QCF_BSML"/>
          <w:color w:val="auto"/>
          <w:sz w:val="32"/>
          <w:szCs w:val="32"/>
          <w:rtl/>
          <w:lang w:eastAsia="en-US"/>
        </w:rPr>
        <w:t>ﭼ</w:t>
      </w:r>
      <w:r w:rsidRPr="005C21CD">
        <w:rPr>
          <w:rFonts w:ascii="Arial" w:hAnsi="Arial" w:cs="Arial"/>
          <w:color w:val="auto"/>
          <w:sz w:val="32"/>
          <w:szCs w:val="32"/>
          <w:rtl/>
          <w:lang w:eastAsia="en-US"/>
        </w:rPr>
        <w:t xml:space="preserve"> </w:t>
      </w:r>
    </w:p>
    <w:p w:rsidR="005C21CD" w:rsidRPr="005C21CD" w:rsidRDefault="005C21CD" w:rsidP="00871255">
      <w:pPr>
        <w:ind w:firstLine="0"/>
        <w:rPr>
          <w:rtl/>
        </w:rPr>
      </w:pPr>
      <w:r w:rsidRPr="005C21CD">
        <w:rPr>
          <w:color w:val="auto"/>
          <w:rtl/>
        </w:rPr>
        <w:t xml:space="preserve">قوله تعالى: </w:t>
      </w:r>
      <w:r w:rsidRPr="005C21CD">
        <w:rPr>
          <w:rFonts w:ascii="QCF_BSML" w:hAnsi="QCF_BSML" w:cs="QCF_BSML"/>
          <w:color w:val="auto"/>
          <w:sz w:val="32"/>
          <w:szCs w:val="32"/>
          <w:rtl/>
          <w:lang w:eastAsia="en-US"/>
        </w:rPr>
        <w:t xml:space="preserve">ﭽ </w:t>
      </w:r>
      <w:r w:rsidRPr="005C21CD">
        <w:rPr>
          <w:rFonts w:ascii="QCF_P296" w:hAnsi="QCF_P296" w:cs="QCF_P296"/>
          <w:sz w:val="32"/>
          <w:szCs w:val="32"/>
          <w:rtl/>
          <w:lang w:eastAsia="en-US"/>
        </w:rPr>
        <w:t>ﭑ  ﭒ  ﭓ</w:t>
      </w:r>
      <w:r w:rsidRPr="005C21CD">
        <w:rPr>
          <w:rFonts w:ascii="QCF_BSML" w:hAnsi="QCF_BSML" w:cs="QCF_BSML"/>
          <w:color w:val="auto"/>
          <w:sz w:val="32"/>
          <w:szCs w:val="32"/>
          <w:rtl/>
          <w:lang w:eastAsia="en-US"/>
        </w:rPr>
        <w:t xml:space="preserve"> ﭼ</w:t>
      </w:r>
      <w:r w:rsidRPr="005C21CD">
        <w:rPr>
          <w:rFonts w:ascii="QCF_P296" w:hAnsi="QCF_P296" w:cs="QCF_P296"/>
          <w:sz w:val="32"/>
          <w:szCs w:val="32"/>
          <w:rtl/>
          <w:lang w:eastAsia="en-US"/>
        </w:rPr>
        <w:t xml:space="preserve">  </w:t>
      </w:r>
      <w:r w:rsidRPr="005C21CD">
        <w:rPr>
          <w:rtl/>
        </w:rPr>
        <w:t>أي: وكما أنمناهم وبعثناهم، أطلعنا وأظهرنا عليهم. قال ابن قتيبة: وأصل هذا أن من عَثَر بشيء وهو غافل، نظر إِليه حتى يعرفه، فاستعير العِثار مكان التبيين والظهور، ومنه قول الناس: ما عثرت على فلان بسوءٍ قط، أي: ما ظهرت على ذلك منه</w:t>
      </w:r>
      <w:r w:rsidRPr="005C21CD">
        <w:rPr>
          <w:vertAlign w:val="superscript"/>
          <w:rtl/>
        </w:rPr>
        <w:t>(</w:t>
      </w:r>
      <w:r w:rsidRPr="005C21CD">
        <w:rPr>
          <w:vertAlign w:val="superscript"/>
          <w:rtl/>
        </w:rPr>
        <w:footnoteReference w:id="1088"/>
      </w:r>
      <w:r w:rsidRPr="005C21CD">
        <w:rPr>
          <w:vertAlign w:val="superscript"/>
          <w:rtl/>
        </w:rPr>
        <w:t>)</w:t>
      </w:r>
      <w:r w:rsidRPr="005C21CD">
        <w:rPr>
          <w:rtl/>
        </w:rPr>
        <w:t>. قوله تعالى:</w:t>
      </w:r>
      <w:r w:rsidRPr="005C21CD">
        <w:rPr>
          <w:rFonts w:hint="cs"/>
          <w:rtl/>
        </w:rPr>
        <w:t xml:space="preserve"> </w:t>
      </w:r>
      <w:r w:rsidRPr="005C21CD">
        <w:rPr>
          <w:rFonts w:ascii="QCF_BSML" w:hAnsi="QCF_BSML" w:cs="QCF_BSML"/>
          <w:color w:val="auto"/>
          <w:sz w:val="32"/>
          <w:szCs w:val="32"/>
          <w:rtl/>
          <w:lang w:eastAsia="en-US"/>
        </w:rPr>
        <w:t>ﭽ</w:t>
      </w:r>
      <w:r w:rsidRPr="005C21CD">
        <w:rPr>
          <w:rFonts w:ascii="QCF_P296" w:hAnsi="QCF_P296" w:cs="QCF_P296"/>
          <w:sz w:val="32"/>
          <w:szCs w:val="32"/>
          <w:rtl/>
          <w:lang w:eastAsia="en-US"/>
        </w:rPr>
        <w:t xml:space="preserve"> ﭔ</w:t>
      </w:r>
      <w:r w:rsidRPr="005C21CD">
        <w:rPr>
          <w:rFonts w:ascii="QCF_BSML" w:hAnsi="QCF_BSML" w:cs="QCF_BSML"/>
          <w:color w:val="auto"/>
          <w:sz w:val="32"/>
          <w:szCs w:val="32"/>
          <w:rtl/>
          <w:lang w:eastAsia="en-US"/>
        </w:rPr>
        <w:t xml:space="preserve"> ﭼ</w:t>
      </w:r>
      <w:r w:rsidRPr="005C21CD">
        <w:rPr>
          <w:rtl/>
        </w:rPr>
        <w:t xml:space="preserve"> في المشار إِليهم بهذا العلم قولان: أحدهما: أنهم أهل بلدهم حين اختصموا في البعث، فبعث الله أهل الكهف </w:t>
      </w:r>
      <w:r w:rsidRPr="005C21CD">
        <w:rPr>
          <w:rFonts w:ascii="QCF_BSML" w:hAnsi="QCF_BSML" w:cs="QCF_BSML"/>
          <w:color w:val="auto"/>
          <w:sz w:val="32"/>
          <w:szCs w:val="32"/>
          <w:rtl/>
          <w:lang w:eastAsia="en-US"/>
        </w:rPr>
        <w:t>ﭽ</w:t>
      </w:r>
      <w:r w:rsidRPr="005C21CD">
        <w:rPr>
          <w:rFonts w:ascii="QCF_P296" w:hAnsi="QCF_P296" w:cs="QCF_P296"/>
          <w:sz w:val="32"/>
          <w:szCs w:val="32"/>
          <w:rtl/>
          <w:lang w:eastAsia="en-US"/>
        </w:rPr>
        <w:t xml:space="preserve"> ﭔ  ﭕ  ﭖ  ﭗ</w:t>
      </w:r>
      <w:r w:rsidRPr="005C21CD">
        <w:rPr>
          <w:rFonts w:ascii="QCF_BSML" w:hAnsi="QCF_BSML" w:cs="QCF_BSML"/>
          <w:color w:val="auto"/>
          <w:sz w:val="32"/>
          <w:szCs w:val="32"/>
          <w:rtl/>
          <w:lang w:eastAsia="en-US"/>
        </w:rPr>
        <w:t>ﭼ</w:t>
      </w:r>
      <w:r w:rsidRPr="005C21CD">
        <w:rPr>
          <w:rFonts w:ascii="QCF_P296" w:hAnsi="QCF_P296" w:cs="QCF_P296"/>
          <w:sz w:val="32"/>
          <w:szCs w:val="32"/>
          <w:rtl/>
          <w:lang w:eastAsia="en-US"/>
        </w:rPr>
        <w:t xml:space="preserve"> </w:t>
      </w:r>
      <w:r w:rsidRPr="005C21CD">
        <w:rPr>
          <w:rtl/>
        </w:rPr>
        <w:t xml:space="preserve">بالبعث والجزاء </w:t>
      </w:r>
      <w:r w:rsidRPr="005C21CD">
        <w:rPr>
          <w:rFonts w:ascii="QCF_BSML" w:hAnsi="QCF_BSML" w:cs="QCF_BSML"/>
          <w:color w:val="auto"/>
          <w:sz w:val="32"/>
          <w:szCs w:val="32"/>
          <w:rtl/>
          <w:lang w:eastAsia="en-US"/>
        </w:rPr>
        <w:t>ﭽ</w:t>
      </w:r>
      <w:r w:rsidRPr="005C21CD">
        <w:rPr>
          <w:rFonts w:ascii="QCF_P296" w:hAnsi="QCF_P296" w:cs="QCF_P296"/>
          <w:sz w:val="32"/>
          <w:szCs w:val="32"/>
          <w:rtl/>
          <w:lang w:eastAsia="en-US"/>
        </w:rPr>
        <w:t>ﭘ</w:t>
      </w:r>
      <w:r w:rsidRPr="005C21CD">
        <w:rPr>
          <w:rFonts w:ascii="QCF_BSML" w:hAnsi="QCF_BSML" w:cs="QCF_BSML"/>
          <w:color w:val="auto"/>
          <w:sz w:val="32"/>
          <w:szCs w:val="32"/>
          <w:rtl/>
          <w:lang w:eastAsia="en-US"/>
        </w:rPr>
        <w:t>ﭼ</w:t>
      </w:r>
      <w:r w:rsidRPr="005C21CD">
        <w:rPr>
          <w:rtl/>
        </w:rPr>
        <w:t xml:space="preserve"> وأن القيامة لا شك فيها، هذا قول الأكثرين</w:t>
      </w:r>
      <w:r w:rsidRPr="005C21CD">
        <w:rPr>
          <w:vertAlign w:val="superscript"/>
          <w:rtl/>
        </w:rPr>
        <w:t>(</w:t>
      </w:r>
      <w:r w:rsidRPr="005C21CD">
        <w:rPr>
          <w:vertAlign w:val="superscript"/>
          <w:rtl/>
        </w:rPr>
        <w:footnoteReference w:id="1089"/>
      </w:r>
      <w:r w:rsidRPr="005C21CD">
        <w:rPr>
          <w:vertAlign w:val="superscript"/>
          <w:rtl/>
        </w:rPr>
        <w:t>)</w:t>
      </w:r>
      <w:r w:rsidRPr="005C21CD">
        <w:rPr>
          <w:rtl/>
        </w:rPr>
        <w:t xml:space="preserve">. والثاني: أنهم أهل الكهف، </w:t>
      </w:r>
      <w:r w:rsidRPr="005C21CD">
        <w:rPr>
          <w:rtl/>
        </w:rPr>
        <w:lastRenderedPageBreak/>
        <w:t>بعثناهم ليرَوْا بعد علمهم أن وعد الله حق، ذكره الماوردي</w:t>
      </w:r>
      <w:r w:rsidRPr="005C21CD">
        <w:rPr>
          <w:vertAlign w:val="superscript"/>
          <w:rtl/>
        </w:rPr>
        <w:t>(</w:t>
      </w:r>
      <w:r w:rsidRPr="005C21CD">
        <w:rPr>
          <w:vertAlign w:val="superscript"/>
          <w:rtl/>
        </w:rPr>
        <w:footnoteReference w:id="1090"/>
      </w:r>
      <w:r w:rsidRPr="005C21CD">
        <w:rPr>
          <w:vertAlign w:val="superscript"/>
          <w:rtl/>
        </w:rPr>
        <w:t>)</w:t>
      </w:r>
      <w:r w:rsidRPr="005C21CD">
        <w:rPr>
          <w:rtl/>
        </w:rPr>
        <w:t>. قوله تعالى:</w:t>
      </w:r>
      <w:r w:rsidRPr="005C21CD">
        <w:rPr>
          <w:rFonts w:ascii="QCF_BSML" w:hAnsi="QCF_BSML" w:cs="QCF_BSML"/>
          <w:color w:val="auto"/>
          <w:sz w:val="32"/>
          <w:szCs w:val="32"/>
          <w:rtl/>
          <w:lang w:eastAsia="en-US"/>
        </w:rPr>
        <w:t xml:space="preserve"> ﭽ</w:t>
      </w:r>
      <w:r w:rsidRPr="005C21CD">
        <w:rPr>
          <w:rFonts w:ascii="QCF_P296" w:hAnsi="QCF_P296" w:cs="QCF_P296"/>
          <w:sz w:val="32"/>
          <w:szCs w:val="32"/>
          <w:rtl/>
          <w:lang w:eastAsia="en-US"/>
        </w:rPr>
        <w:t xml:space="preserve">  ﭞ  ﭟ</w:t>
      </w:r>
      <w:r w:rsidRPr="005C21CD">
        <w:rPr>
          <w:rFonts w:ascii="QCF_BSML" w:hAnsi="QCF_BSML" w:cs="QCF_BSML"/>
          <w:color w:val="auto"/>
          <w:sz w:val="32"/>
          <w:szCs w:val="32"/>
          <w:rtl/>
          <w:lang w:eastAsia="en-US"/>
        </w:rPr>
        <w:t xml:space="preserve"> ﭼ</w:t>
      </w:r>
      <w:r w:rsidRPr="005C21CD">
        <w:rPr>
          <w:rFonts w:ascii="QCF_P296" w:hAnsi="QCF_P296" w:cs="QCF_P296"/>
          <w:sz w:val="32"/>
          <w:szCs w:val="32"/>
          <w:rtl/>
          <w:lang w:eastAsia="en-US"/>
        </w:rPr>
        <w:t xml:space="preserve">  </w:t>
      </w:r>
      <w:r w:rsidRPr="005C21CD">
        <w:rPr>
          <w:rtl/>
        </w:rPr>
        <w:t>يعني: أهل ذلك الزمان. قال ابن الأنباري: المعنى: إِذ كانوا يتنازعون، ويجوز أن يكون المعنى: إِذ تنازعوا</w:t>
      </w:r>
      <w:r w:rsidRPr="005C21CD">
        <w:rPr>
          <w:vertAlign w:val="superscript"/>
          <w:rtl/>
        </w:rPr>
        <w:t>(</w:t>
      </w:r>
      <w:r w:rsidRPr="005C21CD">
        <w:rPr>
          <w:vertAlign w:val="superscript"/>
          <w:rtl/>
        </w:rPr>
        <w:footnoteReference w:id="1091"/>
      </w:r>
      <w:r w:rsidRPr="005C21CD">
        <w:rPr>
          <w:vertAlign w:val="superscript"/>
          <w:rtl/>
        </w:rPr>
        <w:t>)</w:t>
      </w:r>
      <w:r w:rsidRPr="005C21CD">
        <w:rPr>
          <w:rtl/>
        </w:rPr>
        <w:t>. وفيما تنازعوا فيه خمسة أقوال: أحدها: أنهم تنازعوا في البنيان،</w:t>
      </w:r>
      <w:r w:rsidR="00871255">
        <w:rPr>
          <w:rFonts w:hint="cs"/>
          <w:rtl/>
        </w:rPr>
        <w:t xml:space="preserve"> </w:t>
      </w:r>
      <w:r w:rsidR="00871255" w:rsidRPr="001277AD">
        <w:rPr>
          <w:rFonts w:hint="cs"/>
          <w:color w:val="0D0D0D" w:themeColor="text1" w:themeTint="F2"/>
          <w:sz w:val="32"/>
          <w:szCs w:val="32"/>
          <w:rtl/>
        </w:rPr>
        <w:t>[</w:t>
      </w:r>
      <w:r w:rsidR="00871255">
        <w:rPr>
          <w:rFonts w:hint="cs"/>
          <w:color w:val="0D0D0D" w:themeColor="text1" w:themeTint="F2"/>
          <w:sz w:val="32"/>
          <w:szCs w:val="32"/>
          <w:rtl/>
        </w:rPr>
        <w:t>111</w:t>
      </w:r>
      <w:r w:rsidR="00871255" w:rsidRPr="001277AD">
        <w:rPr>
          <w:rFonts w:hint="cs"/>
          <w:color w:val="0D0D0D" w:themeColor="text1" w:themeTint="F2"/>
          <w:sz w:val="32"/>
          <w:szCs w:val="32"/>
          <w:rtl/>
        </w:rPr>
        <w:t>]</w:t>
      </w:r>
      <w:r w:rsidR="00871255" w:rsidRPr="00911ED4">
        <w:rPr>
          <w:rFonts w:ascii="Traditional Arabic" w:hAnsi="Traditional Arabic"/>
          <w:rtl/>
        </w:rPr>
        <w:t xml:space="preserve"> </w:t>
      </w:r>
      <w:r w:rsidRPr="005C21CD">
        <w:rPr>
          <w:rtl/>
        </w:rPr>
        <w:t>والمسجد. فقال المسلمون: نبني عليهم مسجداً، لأنهم على ديننا</w:t>
      </w:r>
      <w:r w:rsidR="00871255" w:rsidRPr="00871255">
        <w:rPr>
          <w:rStyle w:val="ae"/>
          <w:rtl/>
        </w:rPr>
        <w:t>(</w:t>
      </w:r>
      <w:r w:rsidR="00871255">
        <w:rPr>
          <w:rStyle w:val="ae"/>
          <w:rtl/>
        </w:rPr>
        <w:footnoteReference w:id="1092"/>
      </w:r>
      <w:r w:rsidR="00871255" w:rsidRPr="00871255">
        <w:rPr>
          <w:rStyle w:val="ae"/>
          <w:rtl/>
        </w:rPr>
        <w:t>)</w:t>
      </w:r>
      <w:r w:rsidR="00871255">
        <w:rPr>
          <w:rFonts w:hint="cs"/>
          <w:rtl/>
        </w:rPr>
        <w:t>,</w:t>
      </w:r>
      <w:r w:rsidRPr="005C21CD">
        <w:rPr>
          <w:rtl/>
        </w:rPr>
        <w:t xml:space="preserve"> وقال المشركون: نبني عليهم بنياناً، لأنهم من أهل سُنَّتنا، قاله ابن عباس</w:t>
      </w:r>
      <w:r w:rsidRPr="005C21CD">
        <w:rPr>
          <w:vertAlign w:val="superscript"/>
          <w:rtl/>
        </w:rPr>
        <w:t>(</w:t>
      </w:r>
      <w:r w:rsidRPr="005C21CD">
        <w:rPr>
          <w:vertAlign w:val="superscript"/>
          <w:rtl/>
        </w:rPr>
        <w:footnoteReference w:id="1093"/>
      </w:r>
      <w:r w:rsidRPr="005C21CD">
        <w:rPr>
          <w:vertAlign w:val="superscript"/>
          <w:rtl/>
        </w:rPr>
        <w:t>)</w:t>
      </w:r>
      <w:r w:rsidRPr="005C21CD">
        <w:rPr>
          <w:rtl/>
        </w:rPr>
        <w:t>. والثاني: أنهم تنازعوا في البعث، فقال المسلمون:</w:t>
      </w:r>
      <w:r w:rsidRPr="005C21CD">
        <w:rPr>
          <w:rFonts w:hint="cs"/>
          <w:rtl/>
        </w:rPr>
        <w:t xml:space="preserve"> </w:t>
      </w:r>
      <w:r w:rsidRPr="005C21CD">
        <w:rPr>
          <w:rtl/>
        </w:rPr>
        <w:t>تُبعث الأجساد والأرواح، وقال بعضهم: تُبعث الأرواح دون الأجساد، فأراهم الله تعالى بعث الأرواح والأجساد ببعثه أهل الكهف، قاله عكرمة</w:t>
      </w:r>
      <w:r w:rsidRPr="005C21CD">
        <w:rPr>
          <w:vertAlign w:val="superscript"/>
          <w:rtl/>
        </w:rPr>
        <w:t>(</w:t>
      </w:r>
      <w:r w:rsidRPr="005C21CD">
        <w:rPr>
          <w:vertAlign w:val="superscript"/>
          <w:rtl/>
        </w:rPr>
        <w:footnoteReference w:id="1094"/>
      </w:r>
      <w:r w:rsidRPr="005C21CD">
        <w:rPr>
          <w:vertAlign w:val="superscript"/>
          <w:rtl/>
        </w:rPr>
        <w:t>)</w:t>
      </w:r>
      <w:r w:rsidRPr="005C21CD">
        <w:rPr>
          <w:rtl/>
        </w:rPr>
        <w:t>. والثالث: أنهم تنازعوا ما يصنعون بالفتية، قاله مقاتل</w:t>
      </w:r>
      <w:r w:rsidRPr="005C21CD">
        <w:rPr>
          <w:vertAlign w:val="superscript"/>
          <w:rtl/>
        </w:rPr>
        <w:t>(</w:t>
      </w:r>
      <w:r w:rsidRPr="005C21CD">
        <w:rPr>
          <w:vertAlign w:val="superscript"/>
          <w:rtl/>
        </w:rPr>
        <w:footnoteReference w:id="1095"/>
      </w:r>
      <w:r w:rsidRPr="005C21CD">
        <w:rPr>
          <w:vertAlign w:val="superscript"/>
          <w:rtl/>
        </w:rPr>
        <w:t>)</w:t>
      </w:r>
      <w:r w:rsidRPr="005C21CD">
        <w:rPr>
          <w:rtl/>
        </w:rPr>
        <w:t>.</w:t>
      </w:r>
      <w:r w:rsidRPr="005C21CD">
        <w:rPr>
          <w:rFonts w:hint="cs"/>
          <w:rtl/>
        </w:rPr>
        <w:t xml:space="preserve"> </w:t>
      </w:r>
      <w:r w:rsidRPr="005C21CD">
        <w:rPr>
          <w:rtl/>
        </w:rPr>
        <w:t>والرابع: أنهم تنازعوا في قدْر مكثهم. والخامس: تنازعوا في عددهم، ذكرهما الثعلبي</w:t>
      </w:r>
      <w:r w:rsidRPr="005C21CD">
        <w:rPr>
          <w:vertAlign w:val="superscript"/>
          <w:rtl/>
        </w:rPr>
        <w:t>(</w:t>
      </w:r>
      <w:r w:rsidRPr="005C21CD">
        <w:rPr>
          <w:vertAlign w:val="superscript"/>
          <w:rtl/>
        </w:rPr>
        <w:footnoteReference w:id="1096"/>
      </w:r>
      <w:r w:rsidRPr="005C21CD">
        <w:rPr>
          <w:vertAlign w:val="superscript"/>
          <w:rtl/>
        </w:rPr>
        <w:t>)</w:t>
      </w:r>
      <w:r w:rsidRPr="005C21CD">
        <w:rPr>
          <w:rtl/>
        </w:rPr>
        <w:t xml:space="preserve">. </w:t>
      </w:r>
    </w:p>
    <w:p w:rsidR="005C21CD" w:rsidRPr="005C21CD" w:rsidRDefault="005C21CD" w:rsidP="005C21CD">
      <w:pPr>
        <w:ind w:firstLine="0"/>
        <w:rPr>
          <w:rtl/>
        </w:rPr>
      </w:pPr>
      <w:r w:rsidRPr="005C21CD">
        <w:rPr>
          <w:rtl/>
        </w:rPr>
        <w:t>قوله تعالى:</w:t>
      </w:r>
      <w:r w:rsidRPr="005C21CD">
        <w:rPr>
          <w:rFonts w:ascii="QCF_P296" w:hAnsi="QCF_P296" w:cs="QCF_P296"/>
          <w:color w:val="auto"/>
          <w:sz w:val="32"/>
          <w:szCs w:val="32"/>
          <w:rtl/>
          <w:lang w:eastAsia="en-US"/>
        </w:rPr>
        <w:t xml:space="preserve"> </w:t>
      </w:r>
      <w:r w:rsidRPr="005C21CD">
        <w:rPr>
          <w:rFonts w:ascii="QCF_BSML" w:hAnsi="QCF_BSML" w:cs="QCF_BSML"/>
          <w:color w:val="auto"/>
          <w:sz w:val="32"/>
          <w:szCs w:val="32"/>
          <w:rtl/>
          <w:lang w:eastAsia="en-US"/>
        </w:rPr>
        <w:t>ﭽ</w:t>
      </w:r>
      <w:r w:rsidRPr="005C21CD">
        <w:rPr>
          <w:rFonts w:ascii="QCF_P296" w:hAnsi="QCF_P296" w:cs="QCF_P296"/>
          <w:color w:val="auto"/>
          <w:sz w:val="32"/>
          <w:szCs w:val="32"/>
          <w:rtl/>
          <w:lang w:eastAsia="en-US"/>
        </w:rPr>
        <w:t xml:space="preserve"> ﭤ  ﭥ  ﭦ</w:t>
      </w:r>
      <w:r w:rsidRPr="005C21CD">
        <w:rPr>
          <w:rFonts w:ascii="QCF_BSML" w:hAnsi="QCF_BSML" w:cs="QCF_BSML"/>
          <w:color w:val="auto"/>
          <w:sz w:val="32"/>
          <w:szCs w:val="32"/>
          <w:rtl/>
          <w:lang w:eastAsia="en-US"/>
        </w:rPr>
        <w:t xml:space="preserve"> ﭼ</w:t>
      </w:r>
      <w:r w:rsidRPr="005C21CD">
        <w:rPr>
          <w:rFonts w:ascii="QCF_BSML" w:hAnsi="QCF_BSML" w:cs="QCF_BSML" w:hint="cs"/>
          <w:color w:val="auto"/>
          <w:sz w:val="32"/>
          <w:szCs w:val="32"/>
          <w:rtl/>
          <w:lang w:eastAsia="en-US"/>
        </w:rPr>
        <w:t xml:space="preserve"> </w:t>
      </w:r>
      <w:r w:rsidRPr="005C21CD">
        <w:rPr>
          <w:rFonts w:ascii="QCF_BSML" w:hAnsi="QCF_BSML" w:cs="QCF_BSML"/>
          <w:color w:val="auto"/>
          <w:sz w:val="32"/>
          <w:szCs w:val="32"/>
          <w:rtl/>
          <w:lang w:eastAsia="en-US"/>
        </w:rPr>
        <w:t xml:space="preserve"> </w:t>
      </w:r>
      <w:r w:rsidRPr="005C21CD">
        <w:rPr>
          <w:rtl/>
        </w:rPr>
        <w:t>أي: استروهم من الناس بأن تجعلوهم وراء ذلك البنيان</w:t>
      </w:r>
      <w:r w:rsidRPr="005C21CD">
        <w:rPr>
          <w:vertAlign w:val="superscript"/>
          <w:rtl/>
        </w:rPr>
        <w:t>(</w:t>
      </w:r>
      <w:r w:rsidRPr="005C21CD">
        <w:rPr>
          <w:vertAlign w:val="superscript"/>
          <w:rtl/>
        </w:rPr>
        <w:footnoteReference w:id="1097"/>
      </w:r>
      <w:r w:rsidRPr="005C21CD">
        <w:rPr>
          <w:vertAlign w:val="superscript"/>
          <w:rtl/>
        </w:rPr>
        <w:t>)</w:t>
      </w:r>
      <w:r w:rsidRPr="005C21CD">
        <w:rPr>
          <w:rtl/>
        </w:rPr>
        <w:t xml:space="preserve">. وفي </w:t>
      </w:r>
      <w:r w:rsidRPr="005C21CD">
        <w:rPr>
          <w:rtl/>
        </w:rPr>
        <w:lastRenderedPageBreak/>
        <w:t>القائلين لَهذا قولان:</w:t>
      </w:r>
      <w:r w:rsidRPr="005C21CD">
        <w:rPr>
          <w:rFonts w:hint="cs"/>
          <w:rtl/>
        </w:rPr>
        <w:t xml:space="preserve"> </w:t>
      </w:r>
      <w:r w:rsidRPr="005C21CD">
        <w:rPr>
          <w:rtl/>
        </w:rPr>
        <w:t>أحدهما: أنهم مشركو ذلك الزمان، وقد ذكرناه عن ابن عباس</w:t>
      </w:r>
      <w:r w:rsidRPr="005C21CD">
        <w:rPr>
          <w:vertAlign w:val="superscript"/>
          <w:rtl/>
        </w:rPr>
        <w:t>(</w:t>
      </w:r>
      <w:r w:rsidRPr="005C21CD">
        <w:rPr>
          <w:vertAlign w:val="superscript"/>
          <w:rtl/>
        </w:rPr>
        <w:footnoteReference w:id="1098"/>
      </w:r>
      <w:r w:rsidRPr="005C21CD">
        <w:rPr>
          <w:vertAlign w:val="superscript"/>
          <w:rtl/>
        </w:rPr>
        <w:t>)</w:t>
      </w:r>
      <w:r w:rsidRPr="005C21CD">
        <w:rPr>
          <w:rtl/>
        </w:rPr>
        <w:t>. والثاني: أنهم الذين أسلموا حين رأوا أهل الكهف، قاله ابن السائب</w:t>
      </w:r>
      <w:r w:rsidRPr="005C21CD">
        <w:rPr>
          <w:vertAlign w:val="superscript"/>
          <w:rtl/>
        </w:rPr>
        <w:t>(</w:t>
      </w:r>
      <w:r w:rsidRPr="005C21CD">
        <w:rPr>
          <w:vertAlign w:val="superscript"/>
          <w:rtl/>
        </w:rPr>
        <w:footnoteReference w:id="1099"/>
      </w:r>
      <w:r w:rsidRPr="005C21CD">
        <w:rPr>
          <w:vertAlign w:val="superscript"/>
          <w:rtl/>
        </w:rPr>
        <w:t>)</w:t>
      </w:r>
      <w:r w:rsidRPr="005C21CD">
        <w:rPr>
          <w:rtl/>
        </w:rPr>
        <w:t>.</w:t>
      </w:r>
    </w:p>
    <w:p w:rsidR="005C21CD" w:rsidRDefault="005C21CD" w:rsidP="005C21CD">
      <w:pPr>
        <w:ind w:firstLine="0"/>
        <w:rPr>
          <w:rtl/>
        </w:rPr>
      </w:pPr>
      <w:r w:rsidRPr="005C21CD">
        <w:rPr>
          <w:rtl/>
        </w:rPr>
        <w:t xml:space="preserve">قوله تعالى: </w:t>
      </w:r>
      <w:r w:rsidRPr="005C21CD">
        <w:rPr>
          <w:rFonts w:ascii="QCF_BSML" w:hAnsi="QCF_BSML" w:cs="QCF_BSML"/>
          <w:color w:val="auto"/>
          <w:sz w:val="32"/>
          <w:szCs w:val="32"/>
          <w:rtl/>
          <w:lang w:eastAsia="en-US"/>
        </w:rPr>
        <w:t>ﭽ</w:t>
      </w:r>
      <w:r w:rsidRPr="005C21CD">
        <w:rPr>
          <w:rFonts w:ascii="QCF_P296" w:hAnsi="QCF_P296" w:cs="QCF_P296"/>
          <w:color w:val="auto"/>
          <w:sz w:val="32"/>
          <w:szCs w:val="32"/>
          <w:rtl/>
          <w:lang w:eastAsia="en-US"/>
        </w:rPr>
        <w:t xml:space="preserve"> ﭬ  ﭭ  ﭮ  ﭯ   ﭰ</w:t>
      </w:r>
      <w:r w:rsidRPr="005C21CD">
        <w:rPr>
          <w:rFonts w:ascii="QCF_BSML" w:hAnsi="QCF_BSML" w:cs="QCF_BSML"/>
          <w:color w:val="auto"/>
          <w:sz w:val="32"/>
          <w:szCs w:val="32"/>
          <w:rtl/>
          <w:lang w:eastAsia="en-US"/>
        </w:rPr>
        <w:t xml:space="preserve"> ﭼ</w:t>
      </w:r>
      <w:r w:rsidRPr="005C21CD">
        <w:rPr>
          <w:rFonts w:ascii="QCF_P296" w:hAnsi="QCF_P296" w:cs="QCF_P296"/>
          <w:color w:val="auto"/>
          <w:sz w:val="32"/>
          <w:szCs w:val="32"/>
          <w:rtl/>
          <w:lang w:eastAsia="en-US"/>
        </w:rPr>
        <w:t xml:space="preserve">  </w:t>
      </w:r>
      <w:r w:rsidRPr="005C21CD">
        <w:rPr>
          <w:rtl/>
        </w:rPr>
        <w:t>قال ابن قتيبة: يعني المطاعين والرؤساء</w:t>
      </w:r>
      <w:r w:rsidRPr="005C21CD">
        <w:rPr>
          <w:vertAlign w:val="superscript"/>
          <w:rtl/>
        </w:rPr>
        <w:t>(</w:t>
      </w:r>
      <w:r w:rsidRPr="005C21CD">
        <w:rPr>
          <w:vertAlign w:val="superscript"/>
          <w:rtl/>
        </w:rPr>
        <w:footnoteReference w:id="1100"/>
      </w:r>
      <w:r w:rsidRPr="005C21CD">
        <w:rPr>
          <w:vertAlign w:val="superscript"/>
          <w:rtl/>
        </w:rPr>
        <w:t>)</w:t>
      </w:r>
      <w:r w:rsidRPr="005C21CD">
        <w:rPr>
          <w:rFonts w:hint="cs"/>
          <w:rtl/>
        </w:rPr>
        <w:t>.</w:t>
      </w:r>
      <w:r w:rsidRPr="005C21CD">
        <w:rPr>
          <w:rtl/>
        </w:rPr>
        <w:t xml:space="preserve"> قال المفسرون: وهم الملك وأصحابه المؤمنين اتخذوا عليهم مسجداً</w:t>
      </w:r>
      <w:r w:rsidRPr="005C21CD">
        <w:rPr>
          <w:vertAlign w:val="superscript"/>
          <w:rtl/>
        </w:rPr>
        <w:t>(</w:t>
      </w:r>
      <w:r w:rsidRPr="005C21CD">
        <w:rPr>
          <w:vertAlign w:val="superscript"/>
          <w:rtl/>
        </w:rPr>
        <w:footnoteReference w:id="1101"/>
      </w:r>
      <w:r w:rsidRPr="005C21CD">
        <w:rPr>
          <w:vertAlign w:val="superscript"/>
          <w:rtl/>
        </w:rPr>
        <w:t>)</w:t>
      </w:r>
      <w:r w:rsidRPr="005C21CD">
        <w:rPr>
          <w:rtl/>
        </w:rPr>
        <w:t>. قال سعيد بن جبير:</w:t>
      </w:r>
      <w:r w:rsidRPr="005C21CD">
        <w:rPr>
          <w:rFonts w:hint="cs"/>
          <w:rtl/>
        </w:rPr>
        <w:t xml:space="preserve"> </w:t>
      </w:r>
      <w:r w:rsidRPr="005C21CD">
        <w:rPr>
          <w:rtl/>
        </w:rPr>
        <w:t>بنى عليهم الملك بيعة</w:t>
      </w:r>
      <w:r w:rsidRPr="005C21CD">
        <w:rPr>
          <w:vertAlign w:val="superscript"/>
          <w:rtl/>
        </w:rPr>
        <w:t>(</w:t>
      </w:r>
      <w:r w:rsidRPr="005C21CD">
        <w:rPr>
          <w:vertAlign w:val="superscript"/>
          <w:rtl/>
        </w:rPr>
        <w:footnoteReference w:id="1102"/>
      </w:r>
      <w:r w:rsidRPr="005C21CD">
        <w:rPr>
          <w:vertAlign w:val="superscript"/>
          <w:rtl/>
        </w:rPr>
        <w:t>)</w:t>
      </w:r>
      <w:r w:rsidR="00727CE5" w:rsidRPr="00727CE5">
        <w:rPr>
          <w:rStyle w:val="ae"/>
          <w:rtl/>
        </w:rPr>
        <w:t>(</w:t>
      </w:r>
      <w:r w:rsidR="00727CE5">
        <w:rPr>
          <w:rStyle w:val="ae"/>
          <w:rtl/>
        </w:rPr>
        <w:footnoteReference w:id="1103"/>
      </w:r>
      <w:r w:rsidR="00727CE5" w:rsidRPr="00727CE5">
        <w:rPr>
          <w:rStyle w:val="ae"/>
          <w:rtl/>
        </w:rPr>
        <w:t>)</w:t>
      </w:r>
      <w:r w:rsidRPr="005C21CD">
        <w:rPr>
          <w:rtl/>
        </w:rPr>
        <w:t>.</w:t>
      </w:r>
    </w:p>
    <w:p w:rsidR="005C21CD" w:rsidRPr="005C21CD" w:rsidRDefault="005C21CD" w:rsidP="005C21CD">
      <w:pPr>
        <w:ind w:firstLine="0"/>
        <w:rPr>
          <w:rtl/>
        </w:rPr>
      </w:pPr>
    </w:p>
    <w:p w:rsidR="005C21CD" w:rsidRPr="005C21CD" w:rsidRDefault="005C21CD" w:rsidP="00727CE5">
      <w:pPr>
        <w:ind w:firstLine="0"/>
        <w:rPr>
          <w:rFonts w:ascii="Traditional Arabic" w:hAnsi="Traditional Arabic"/>
          <w:color w:val="auto"/>
          <w:sz w:val="32"/>
          <w:szCs w:val="32"/>
          <w:rtl/>
        </w:rPr>
      </w:pPr>
      <w:r w:rsidRPr="005C21CD">
        <w:rPr>
          <w:rFonts w:ascii="QCF_BSML" w:hAnsi="QCF_BSML" w:cs="QCF_BSML"/>
          <w:color w:val="auto"/>
          <w:sz w:val="32"/>
          <w:szCs w:val="32"/>
          <w:rtl/>
          <w:lang w:eastAsia="en-US"/>
        </w:rPr>
        <w:t>ﭽ</w:t>
      </w:r>
      <w:r w:rsidRPr="005C21CD">
        <w:rPr>
          <w:rFonts w:ascii="QCF_P296" w:hAnsi="QCF_P296" w:cs="QCF_P296"/>
          <w:color w:val="auto"/>
          <w:sz w:val="32"/>
          <w:szCs w:val="32"/>
          <w:rtl/>
          <w:lang w:eastAsia="en-US"/>
        </w:rPr>
        <w:t>ﭵ  ﭶ</w:t>
      </w:r>
      <w:r w:rsidRPr="005C21CD">
        <w:rPr>
          <w:rFonts w:ascii="QCF_P296" w:hAnsi="QCF_P296" w:cs="QCF_P296" w:hint="cs"/>
          <w:color w:val="auto"/>
          <w:sz w:val="32"/>
          <w:szCs w:val="32"/>
          <w:rtl/>
          <w:lang w:eastAsia="en-US"/>
        </w:rPr>
        <w:t xml:space="preserve"> </w:t>
      </w:r>
      <w:r w:rsidRPr="005C21CD">
        <w:rPr>
          <w:rFonts w:ascii="QCF_P296" w:hAnsi="QCF_P296" w:cs="QCF_P296"/>
          <w:color w:val="auto"/>
          <w:sz w:val="32"/>
          <w:szCs w:val="32"/>
          <w:rtl/>
          <w:lang w:eastAsia="en-US"/>
        </w:rPr>
        <w:t xml:space="preserve"> ﭷ  ﭸ   ﭹ  ﭺ  ﭻ  ﭼ     ﭽ   ﭾﭿ  ﮀ  ﮁ  ﮂ  ﮃﮄ  ﮅ  ﮆ  ﮇ   ﮈ  ﮉ  ﮊ  ﮋ  ﮌﮍ  ﮎ  ﮏ   ﮐ  ﮑ   ﮒ      ﮓ   ﮔ  ﮕ  ﮖ    ﮗ  ﮘ  ﮙ  ﮚ  ﮛ  ﮜ   ﮝ   ﮞ  ﮟ  ﮠ  ﮡ  ﮢ  ﮣ  ﮤ  ﮥﮦ  ﮧ  ﮨ   ﮩ  ﮪ  ﮫ  ﮬ  ﮭ  ﮮ  ﮯ  ﮰ  ﮱ  ﯓ  ﯔ   ﯕ  </w:t>
      </w:r>
      <w:r w:rsidRPr="005C21CD">
        <w:rPr>
          <w:rFonts w:ascii="QCF_BSML" w:hAnsi="QCF_BSML" w:cs="QCF_BSML"/>
          <w:color w:val="auto"/>
          <w:sz w:val="32"/>
          <w:szCs w:val="32"/>
          <w:rtl/>
          <w:lang w:eastAsia="en-US"/>
        </w:rPr>
        <w:t>ﭼ</w:t>
      </w:r>
      <w:r w:rsidRPr="005C21CD">
        <w:rPr>
          <w:rFonts w:ascii="Arial" w:hAnsi="Arial" w:cs="Arial"/>
          <w:color w:val="auto"/>
          <w:sz w:val="32"/>
          <w:szCs w:val="32"/>
          <w:rtl/>
          <w:lang w:eastAsia="en-US"/>
        </w:rPr>
        <w:t xml:space="preserve"> </w:t>
      </w:r>
    </w:p>
    <w:p w:rsidR="005A6369" w:rsidRDefault="005C21CD" w:rsidP="00D126DB">
      <w:pPr>
        <w:ind w:firstLine="0"/>
        <w:rPr>
          <w:rtl/>
        </w:rPr>
      </w:pPr>
      <w:r w:rsidRPr="005C21CD">
        <w:rPr>
          <w:rtl/>
        </w:rPr>
        <w:t xml:space="preserve">قوله تعالى: </w:t>
      </w:r>
      <w:r w:rsidRPr="005C21CD">
        <w:rPr>
          <w:rFonts w:ascii="QCF_BSML" w:hAnsi="QCF_BSML" w:cs="QCF_BSML"/>
          <w:color w:val="auto"/>
          <w:sz w:val="32"/>
          <w:szCs w:val="32"/>
          <w:rtl/>
          <w:lang w:eastAsia="en-US"/>
        </w:rPr>
        <w:t>ﭽ</w:t>
      </w:r>
      <w:r w:rsidRPr="005C21CD">
        <w:rPr>
          <w:rFonts w:ascii="QCF_P296" w:hAnsi="QCF_P296" w:cs="QCF_P296"/>
          <w:color w:val="auto"/>
          <w:sz w:val="32"/>
          <w:szCs w:val="32"/>
          <w:rtl/>
          <w:lang w:eastAsia="en-US"/>
        </w:rPr>
        <w:t xml:space="preserve"> ﭵ  ﭶ</w:t>
      </w:r>
      <w:r w:rsidRPr="005C21CD">
        <w:rPr>
          <w:rFonts w:ascii="QCF_BSML" w:hAnsi="QCF_BSML" w:cs="QCF_BSML"/>
          <w:color w:val="auto"/>
          <w:sz w:val="32"/>
          <w:szCs w:val="32"/>
          <w:rtl/>
          <w:lang w:eastAsia="en-US"/>
        </w:rPr>
        <w:t xml:space="preserve"> ﭼ</w:t>
      </w:r>
      <w:r w:rsidRPr="005C21CD">
        <w:rPr>
          <w:rFonts w:ascii="QCF_P296" w:hAnsi="QCF_P296" w:cs="QCF_P296" w:hint="cs"/>
          <w:color w:val="auto"/>
          <w:sz w:val="32"/>
          <w:szCs w:val="32"/>
          <w:rtl/>
          <w:lang w:eastAsia="en-US"/>
        </w:rPr>
        <w:t xml:space="preserve"> </w:t>
      </w:r>
      <w:r w:rsidRPr="005C21CD">
        <w:rPr>
          <w:rFonts w:ascii="QCF_P296" w:hAnsi="QCF_P296" w:cs="QCF_P296"/>
          <w:color w:val="auto"/>
          <w:sz w:val="32"/>
          <w:szCs w:val="32"/>
          <w:rtl/>
          <w:lang w:eastAsia="en-US"/>
        </w:rPr>
        <w:t xml:space="preserve"> </w:t>
      </w:r>
      <w:r w:rsidRPr="005C21CD">
        <w:rPr>
          <w:rtl/>
        </w:rPr>
        <w:t>قال الزجاج: ثَلاثَةٌ مرفوع بخبر الابتداء، المعنى</w:t>
      </w:r>
      <w:r w:rsidR="00D126DB">
        <w:rPr>
          <w:rtl/>
        </w:rPr>
        <w:t>: سيقول الذين يتنازعون في أمرهم</w:t>
      </w:r>
      <w:r w:rsidR="00D126DB">
        <w:rPr>
          <w:rFonts w:hint="cs"/>
          <w:rtl/>
        </w:rPr>
        <w:t>[</w:t>
      </w:r>
      <w:r w:rsidRPr="005C21CD">
        <w:rPr>
          <w:rtl/>
        </w:rPr>
        <w:t>هم</w:t>
      </w:r>
      <w:r w:rsidR="00D126DB">
        <w:rPr>
          <w:rFonts w:hint="cs"/>
          <w:rtl/>
        </w:rPr>
        <w:t>]</w:t>
      </w:r>
      <w:r w:rsidRPr="005C21CD">
        <w:rPr>
          <w:vertAlign w:val="superscript"/>
          <w:rtl/>
        </w:rPr>
        <w:t>(</w:t>
      </w:r>
      <w:r w:rsidRPr="005C21CD">
        <w:rPr>
          <w:vertAlign w:val="superscript"/>
          <w:rtl/>
        </w:rPr>
        <w:footnoteReference w:id="1104"/>
      </w:r>
      <w:r w:rsidRPr="005C21CD">
        <w:rPr>
          <w:vertAlign w:val="superscript"/>
          <w:rtl/>
        </w:rPr>
        <w:t>)</w:t>
      </w:r>
      <w:r w:rsidRPr="005C21CD">
        <w:rPr>
          <w:rtl/>
        </w:rPr>
        <w:t>ثلاثةٌ</w:t>
      </w:r>
      <w:r w:rsidRPr="005C21CD">
        <w:rPr>
          <w:vertAlign w:val="superscript"/>
          <w:rtl/>
        </w:rPr>
        <w:t>(</w:t>
      </w:r>
      <w:r w:rsidRPr="005C21CD">
        <w:rPr>
          <w:vertAlign w:val="superscript"/>
          <w:rtl/>
        </w:rPr>
        <w:footnoteReference w:id="1105"/>
      </w:r>
      <w:r w:rsidRPr="005C21CD">
        <w:rPr>
          <w:vertAlign w:val="superscript"/>
          <w:rtl/>
        </w:rPr>
        <w:t>)</w:t>
      </w:r>
      <w:r w:rsidRPr="005C21CD">
        <w:rPr>
          <w:rtl/>
        </w:rPr>
        <w:t>.</w:t>
      </w:r>
      <w:r w:rsidRPr="005C21CD">
        <w:rPr>
          <w:rFonts w:hint="cs"/>
          <w:rtl/>
        </w:rPr>
        <w:t xml:space="preserve"> </w:t>
      </w:r>
      <w:r w:rsidRPr="005C21CD">
        <w:rPr>
          <w:rtl/>
        </w:rPr>
        <w:t>وفي هؤلاء القائلين قولان:</w:t>
      </w:r>
      <w:r w:rsidRPr="005C21CD">
        <w:rPr>
          <w:rFonts w:hint="cs"/>
          <w:rtl/>
        </w:rPr>
        <w:t xml:space="preserve"> </w:t>
      </w:r>
      <w:r w:rsidRPr="005C21CD">
        <w:rPr>
          <w:rtl/>
        </w:rPr>
        <w:t>أحدهما: أنهم نصارى نجران</w:t>
      </w:r>
      <w:r w:rsidRPr="005C21CD">
        <w:rPr>
          <w:vertAlign w:val="superscript"/>
          <w:rtl/>
        </w:rPr>
        <w:t>(</w:t>
      </w:r>
      <w:r w:rsidRPr="005C21CD">
        <w:rPr>
          <w:vertAlign w:val="superscript"/>
          <w:rtl/>
        </w:rPr>
        <w:footnoteReference w:id="1106"/>
      </w:r>
      <w:r w:rsidRPr="005C21CD">
        <w:rPr>
          <w:vertAlign w:val="superscript"/>
          <w:rtl/>
        </w:rPr>
        <w:t>)</w:t>
      </w:r>
      <w:r w:rsidRPr="005C21CD">
        <w:rPr>
          <w:rtl/>
        </w:rPr>
        <w:t xml:space="preserve">، </w:t>
      </w:r>
    </w:p>
    <w:p w:rsidR="005A6369" w:rsidRDefault="005A6369" w:rsidP="00D126DB">
      <w:pPr>
        <w:ind w:firstLine="0"/>
        <w:rPr>
          <w:rtl/>
        </w:rPr>
      </w:pPr>
    </w:p>
    <w:p w:rsidR="005C21CD" w:rsidRDefault="005C21CD" w:rsidP="00D126DB">
      <w:pPr>
        <w:ind w:firstLine="0"/>
        <w:rPr>
          <w:rtl/>
        </w:rPr>
      </w:pPr>
      <w:r w:rsidRPr="005C21CD">
        <w:rPr>
          <w:rtl/>
        </w:rPr>
        <w:lastRenderedPageBreak/>
        <w:t xml:space="preserve">ناظروا رسول الله </w:t>
      </w:r>
      <w:r w:rsidRPr="005C21CD">
        <w:sym w:font="AGA Arabesque" w:char="F072"/>
      </w:r>
      <w:r w:rsidRPr="005C21CD">
        <w:rPr>
          <w:rFonts w:hint="cs"/>
          <w:rtl/>
        </w:rPr>
        <w:t xml:space="preserve"> </w:t>
      </w:r>
      <w:r w:rsidRPr="005C21CD">
        <w:rPr>
          <w:rtl/>
        </w:rPr>
        <w:t>في عِدَّة أهل الكهف، فقالت الملكيَّة</w:t>
      </w:r>
      <w:r w:rsidRPr="005C21CD">
        <w:rPr>
          <w:vertAlign w:val="superscript"/>
          <w:rtl/>
        </w:rPr>
        <w:t>(</w:t>
      </w:r>
      <w:r w:rsidRPr="005C21CD">
        <w:rPr>
          <w:vertAlign w:val="superscript"/>
          <w:rtl/>
        </w:rPr>
        <w:footnoteReference w:id="1107"/>
      </w:r>
      <w:r w:rsidRPr="005C21CD">
        <w:rPr>
          <w:vertAlign w:val="superscript"/>
          <w:rtl/>
        </w:rPr>
        <w:t>)</w:t>
      </w:r>
      <w:r w:rsidRPr="005C21CD">
        <w:rPr>
          <w:rtl/>
        </w:rPr>
        <w:t>: هم ثلاثة رابعهم كلبهم، وقالت اليعقوبية</w:t>
      </w:r>
      <w:r w:rsidRPr="005C21CD">
        <w:rPr>
          <w:vertAlign w:val="superscript"/>
          <w:rtl/>
        </w:rPr>
        <w:t>(</w:t>
      </w:r>
      <w:r w:rsidRPr="005C21CD">
        <w:rPr>
          <w:vertAlign w:val="superscript"/>
          <w:rtl/>
        </w:rPr>
        <w:footnoteReference w:id="1108"/>
      </w:r>
      <w:r w:rsidRPr="005C21CD">
        <w:rPr>
          <w:vertAlign w:val="superscript"/>
          <w:rtl/>
        </w:rPr>
        <w:t>)</w:t>
      </w:r>
      <w:r>
        <w:rPr>
          <w:rtl/>
        </w:rPr>
        <w:t>:</w:t>
      </w:r>
      <w:r>
        <w:rPr>
          <w:rFonts w:hint="cs"/>
          <w:rtl/>
        </w:rPr>
        <w:t xml:space="preserve"> </w:t>
      </w:r>
      <w:r w:rsidRPr="005C21CD">
        <w:rPr>
          <w:rtl/>
        </w:rPr>
        <w:t>هم خمسة سادسهم كلبهم، وقالت النسطورية</w:t>
      </w:r>
      <w:r w:rsidRPr="005C21CD">
        <w:rPr>
          <w:vertAlign w:val="superscript"/>
          <w:rtl/>
        </w:rPr>
        <w:t>(</w:t>
      </w:r>
      <w:r w:rsidRPr="005C21CD">
        <w:rPr>
          <w:vertAlign w:val="superscript"/>
          <w:rtl/>
        </w:rPr>
        <w:footnoteReference w:id="1109"/>
      </w:r>
      <w:r w:rsidRPr="005C21CD">
        <w:rPr>
          <w:vertAlign w:val="superscript"/>
          <w:rtl/>
        </w:rPr>
        <w:t>)</w:t>
      </w:r>
      <w:r w:rsidRPr="005C21CD">
        <w:rPr>
          <w:rtl/>
        </w:rPr>
        <w:t>: هم سبعة وثامنهم كلبهم، فنزلت هذه الآية</w:t>
      </w:r>
      <w:r w:rsidRPr="005C21CD">
        <w:rPr>
          <w:rFonts w:hint="cs"/>
          <w:rtl/>
        </w:rPr>
        <w:t>,</w:t>
      </w:r>
      <w:r w:rsidRPr="005C21CD">
        <w:rPr>
          <w:rtl/>
        </w:rPr>
        <w:t xml:space="preserve"> رواه الضحاك عن ابن عباس</w:t>
      </w:r>
      <w:r w:rsidRPr="005C21CD">
        <w:rPr>
          <w:vertAlign w:val="superscript"/>
          <w:rtl/>
        </w:rPr>
        <w:t>(</w:t>
      </w:r>
      <w:r w:rsidRPr="005C21CD">
        <w:rPr>
          <w:vertAlign w:val="superscript"/>
          <w:rtl/>
        </w:rPr>
        <w:footnoteReference w:id="1110"/>
      </w:r>
      <w:r w:rsidRPr="005C21CD">
        <w:rPr>
          <w:vertAlign w:val="superscript"/>
          <w:rtl/>
        </w:rPr>
        <w:t>)</w:t>
      </w:r>
      <w:r w:rsidRPr="005C21CD">
        <w:rPr>
          <w:rtl/>
        </w:rPr>
        <w:t>.</w:t>
      </w:r>
      <w:r w:rsidRPr="005C21CD">
        <w:rPr>
          <w:rFonts w:hint="cs"/>
          <w:rtl/>
        </w:rPr>
        <w:t xml:space="preserve"> </w:t>
      </w:r>
      <w:r w:rsidRPr="005C21CD">
        <w:rPr>
          <w:rtl/>
        </w:rPr>
        <w:t>والثاني: أنهم أهل مدينتهم قبل ظهورهم عليهم، ذكره الماوردي</w:t>
      </w:r>
      <w:r w:rsidRPr="005C21CD">
        <w:rPr>
          <w:vertAlign w:val="superscript"/>
          <w:rtl/>
        </w:rPr>
        <w:t>(</w:t>
      </w:r>
      <w:r w:rsidRPr="005C21CD">
        <w:rPr>
          <w:vertAlign w:val="superscript"/>
          <w:rtl/>
        </w:rPr>
        <w:footnoteReference w:id="1111"/>
      </w:r>
      <w:r w:rsidRPr="005C21CD">
        <w:rPr>
          <w:vertAlign w:val="superscript"/>
          <w:rtl/>
        </w:rPr>
        <w:t>)</w:t>
      </w:r>
      <w:r w:rsidRPr="005C21CD">
        <w:rPr>
          <w:rtl/>
        </w:rPr>
        <w:t>.</w:t>
      </w:r>
    </w:p>
    <w:p w:rsidR="005C21CD" w:rsidRPr="005C21CD" w:rsidRDefault="005C21CD" w:rsidP="005C21CD">
      <w:pPr>
        <w:ind w:firstLine="0"/>
        <w:rPr>
          <w:rtl/>
        </w:rPr>
      </w:pPr>
      <w:r>
        <w:rPr>
          <w:rFonts w:hint="cs"/>
          <w:rtl/>
        </w:rPr>
        <w:t xml:space="preserve"> </w:t>
      </w:r>
      <w:r w:rsidRPr="005C21CD">
        <w:rPr>
          <w:rtl/>
        </w:rPr>
        <w:t>قوله تعالى:</w:t>
      </w:r>
      <w:r w:rsidRPr="005C21CD">
        <w:rPr>
          <w:rFonts w:ascii="QCF_BSML" w:hAnsi="QCF_BSML" w:cs="QCF_BSML"/>
          <w:color w:val="auto"/>
          <w:sz w:val="32"/>
          <w:szCs w:val="32"/>
          <w:rtl/>
          <w:lang w:eastAsia="en-US"/>
        </w:rPr>
        <w:t xml:space="preserve"> ﭽ</w:t>
      </w:r>
      <w:r w:rsidRPr="005C21CD">
        <w:rPr>
          <w:rtl/>
        </w:rPr>
        <w:t xml:space="preserve"> </w:t>
      </w:r>
      <w:r w:rsidRPr="005C21CD">
        <w:rPr>
          <w:rFonts w:ascii="QCF_P296" w:hAnsi="QCF_P296" w:cs="QCF_P296"/>
          <w:color w:val="auto"/>
          <w:sz w:val="32"/>
          <w:szCs w:val="32"/>
          <w:rtl/>
          <w:lang w:eastAsia="en-US"/>
        </w:rPr>
        <w:t xml:space="preserve">ﭽ   ﭾﭿ  </w:t>
      </w:r>
      <w:r w:rsidRPr="005C21CD">
        <w:rPr>
          <w:rFonts w:ascii="QCF_BSML" w:hAnsi="QCF_BSML" w:cs="QCF_BSML"/>
          <w:color w:val="auto"/>
          <w:sz w:val="32"/>
          <w:szCs w:val="32"/>
          <w:rtl/>
          <w:lang w:eastAsia="en-US"/>
        </w:rPr>
        <w:t>ﭼ</w:t>
      </w:r>
      <w:r w:rsidRPr="005C21CD">
        <w:rPr>
          <w:rFonts w:hint="cs"/>
          <w:rtl/>
        </w:rPr>
        <w:t xml:space="preserve"> </w:t>
      </w:r>
      <w:r w:rsidRPr="005C21CD">
        <w:rPr>
          <w:rtl/>
        </w:rPr>
        <w:t>أي: ظنّاً غير يقين، قال زهير</w:t>
      </w:r>
      <w:r w:rsidRPr="005C21CD">
        <w:rPr>
          <w:vertAlign w:val="superscript"/>
          <w:rtl/>
        </w:rPr>
        <w:t>(</w:t>
      </w:r>
      <w:r w:rsidRPr="005C21CD">
        <w:rPr>
          <w:vertAlign w:val="superscript"/>
          <w:rtl/>
        </w:rPr>
        <w:footnoteReference w:id="1112"/>
      </w:r>
      <w:r w:rsidRPr="005C21CD">
        <w:rPr>
          <w:vertAlign w:val="superscript"/>
          <w:rtl/>
        </w:rPr>
        <w:t>)</w:t>
      </w:r>
      <w:r w:rsidRPr="005C21CD">
        <w:rPr>
          <w:rtl/>
        </w:rPr>
        <w:t>:</w:t>
      </w:r>
    </w:p>
    <w:p w:rsidR="005C21CD" w:rsidRPr="005C21CD" w:rsidRDefault="005C21CD" w:rsidP="005C21CD">
      <w:pPr>
        <w:ind w:firstLine="0"/>
        <w:rPr>
          <w:rtl/>
        </w:rPr>
      </w:pPr>
      <w:r w:rsidRPr="005C21CD">
        <w:rPr>
          <w:rtl/>
        </w:rPr>
        <w:t>ومَا الحَرْبُ إِلاَّ ما علمْتُمْ وَذُقْتُمُ ... ومَا هُوَ عَنْهَا بالحَدِيثِ المُرَجَّمِ</w:t>
      </w:r>
      <w:r w:rsidRPr="005C21CD">
        <w:rPr>
          <w:vertAlign w:val="superscript"/>
          <w:rtl/>
        </w:rPr>
        <w:t>(</w:t>
      </w:r>
      <w:r w:rsidRPr="005C21CD">
        <w:rPr>
          <w:vertAlign w:val="superscript"/>
          <w:rtl/>
        </w:rPr>
        <w:footnoteReference w:id="1113"/>
      </w:r>
      <w:r w:rsidRPr="005C21CD">
        <w:rPr>
          <w:vertAlign w:val="superscript"/>
          <w:rtl/>
        </w:rPr>
        <w:t>)</w:t>
      </w:r>
    </w:p>
    <w:p w:rsidR="00BA6446" w:rsidRDefault="005C21CD" w:rsidP="00BA6446">
      <w:pPr>
        <w:ind w:firstLine="0"/>
        <w:rPr>
          <w:rtl/>
        </w:rPr>
      </w:pPr>
      <w:r w:rsidRPr="005C21CD">
        <w:rPr>
          <w:rtl/>
        </w:rPr>
        <w:t>فأما دخول الواو في قوله:</w:t>
      </w:r>
      <w:r w:rsidRPr="005C21CD">
        <w:rPr>
          <w:rFonts w:ascii="QCF_BSML" w:hAnsi="QCF_BSML" w:cs="QCF_BSML"/>
          <w:color w:val="auto"/>
          <w:sz w:val="32"/>
          <w:szCs w:val="32"/>
          <w:rtl/>
          <w:lang w:eastAsia="en-US"/>
        </w:rPr>
        <w:t xml:space="preserve"> ﭽ</w:t>
      </w:r>
      <w:r w:rsidRPr="005C21CD">
        <w:rPr>
          <w:rtl/>
        </w:rPr>
        <w:t xml:space="preserve"> </w:t>
      </w:r>
      <w:r w:rsidRPr="005C21CD">
        <w:rPr>
          <w:rFonts w:ascii="QCF_P296" w:hAnsi="QCF_P296" w:cs="QCF_P296"/>
          <w:color w:val="auto"/>
          <w:sz w:val="32"/>
          <w:szCs w:val="32"/>
          <w:rtl/>
          <w:lang w:eastAsia="en-US"/>
        </w:rPr>
        <w:t>ﮂ  ﮃﮄ</w:t>
      </w:r>
      <w:r w:rsidRPr="005C21CD">
        <w:rPr>
          <w:rFonts w:ascii="QCF_BSML" w:hAnsi="QCF_BSML" w:cs="QCF_BSML"/>
          <w:color w:val="auto"/>
          <w:sz w:val="32"/>
          <w:szCs w:val="32"/>
          <w:rtl/>
          <w:lang w:eastAsia="en-US"/>
        </w:rPr>
        <w:t>ﭼ</w:t>
      </w:r>
      <w:r w:rsidRPr="005C21CD">
        <w:rPr>
          <w:rFonts w:ascii="QCF_P296" w:hAnsi="QCF_P296" w:cs="QCF_P296"/>
          <w:color w:val="auto"/>
          <w:sz w:val="32"/>
          <w:szCs w:val="32"/>
          <w:rtl/>
          <w:lang w:eastAsia="en-US"/>
        </w:rPr>
        <w:t xml:space="preserve">  </w:t>
      </w:r>
      <w:r w:rsidRPr="005C21CD">
        <w:rPr>
          <w:rtl/>
        </w:rPr>
        <w:t>ولم تدخل فيما قبل هذا، ففيه أربعة أقوال:</w:t>
      </w:r>
      <w:r w:rsidRPr="005C21CD">
        <w:rPr>
          <w:rFonts w:hint="cs"/>
          <w:rtl/>
        </w:rPr>
        <w:t xml:space="preserve"> </w:t>
      </w:r>
      <w:r w:rsidRPr="005C21CD">
        <w:rPr>
          <w:rtl/>
        </w:rPr>
        <w:lastRenderedPageBreak/>
        <w:t>أحدها: أن دخولها وخروجها واحد، قاله الزجاج</w:t>
      </w:r>
      <w:r w:rsidRPr="005C21CD">
        <w:rPr>
          <w:vertAlign w:val="superscript"/>
          <w:rtl/>
        </w:rPr>
        <w:t>(</w:t>
      </w:r>
      <w:r w:rsidRPr="005C21CD">
        <w:rPr>
          <w:vertAlign w:val="superscript"/>
          <w:rtl/>
        </w:rPr>
        <w:footnoteReference w:id="1114"/>
      </w:r>
      <w:r w:rsidRPr="005C21CD">
        <w:rPr>
          <w:vertAlign w:val="superscript"/>
          <w:rtl/>
        </w:rPr>
        <w:t>)</w:t>
      </w:r>
      <w:r w:rsidRPr="005C21CD">
        <w:rPr>
          <w:rtl/>
        </w:rPr>
        <w:t>. والثاني: أن ظهور الواو في الجملة الثامنة دلالة على</w:t>
      </w:r>
      <w:r w:rsidRPr="005C21CD">
        <w:rPr>
          <w:rFonts w:hint="cs"/>
          <w:rtl/>
        </w:rPr>
        <w:t xml:space="preserve"> </w:t>
      </w:r>
      <w:r w:rsidRPr="005C21CD">
        <w:rPr>
          <w:rtl/>
        </w:rPr>
        <w:t>أنها مرادة في الجملتين المتقدمتين، فأعلم بذكرها ها هنا أنها مرادة فيما قبل، وإِنما</w:t>
      </w:r>
      <w:r w:rsidRPr="005C21CD">
        <w:rPr>
          <w:rFonts w:hint="cs"/>
          <w:rtl/>
        </w:rPr>
        <w:t xml:space="preserve"> </w:t>
      </w:r>
      <w:r w:rsidRPr="005C21CD">
        <w:rPr>
          <w:rtl/>
        </w:rPr>
        <w:t>حذفت تخفيفاً، ذكره أبو نصر</w:t>
      </w:r>
      <w:r w:rsidRPr="005C21CD">
        <w:rPr>
          <w:rFonts w:hint="cs"/>
          <w:rtl/>
        </w:rPr>
        <w:t xml:space="preserve"> </w:t>
      </w:r>
      <w:r w:rsidR="00D126DB">
        <w:rPr>
          <w:rFonts w:hint="cs"/>
          <w:rtl/>
        </w:rPr>
        <w:t>[المُناشِر]</w:t>
      </w:r>
      <w:r w:rsidRPr="005C21CD">
        <w:rPr>
          <w:vertAlign w:val="superscript"/>
          <w:rtl/>
        </w:rPr>
        <w:t>(</w:t>
      </w:r>
      <w:r w:rsidRPr="005C21CD">
        <w:rPr>
          <w:vertAlign w:val="superscript"/>
          <w:rtl/>
        </w:rPr>
        <w:footnoteReference w:id="1115"/>
      </w:r>
      <w:r w:rsidRPr="005C21CD">
        <w:rPr>
          <w:vertAlign w:val="superscript"/>
          <w:rtl/>
        </w:rPr>
        <w:t>)(</w:t>
      </w:r>
      <w:r w:rsidRPr="005C21CD">
        <w:rPr>
          <w:vertAlign w:val="superscript"/>
          <w:rtl/>
        </w:rPr>
        <w:footnoteReference w:id="1116"/>
      </w:r>
      <w:r w:rsidRPr="005C21CD">
        <w:rPr>
          <w:vertAlign w:val="superscript"/>
          <w:rtl/>
        </w:rPr>
        <w:t>)</w:t>
      </w:r>
      <w:r w:rsidRPr="005C21CD">
        <w:rPr>
          <w:rtl/>
        </w:rPr>
        <w:t>في «شرح اللمع»</w:t>
      </w:r>
      <w:r w:rsidRPr="005C21CD">
        <w:rPr>
          <w:vertAlign w:val="superscript"/>
          <w:rtl/>
        </w:rPr>
        <w:t>(</w:t>
      </w:r>
      <w:r w:rsidRPr="005C21CD">
        <w:rPr>
          <w:vertAlign w:val="superscript"/>
          <w:rtl/>
        </w:rPr>
        <w:footnoteReference w:id="1117"/>
      </w:r>
      <w:r w:rsidRPr="005C21CD">
        <w:rPr>
          <w:vertAlign w:val="superscript"/>
          <w:rtl/>
        </w:rPr>
        <w:t>)</w:t>
      </w:r>
      <w:r w:rsidRPr="005C21CD">
        <w:rPr>
          <w:rtl/>
        </w:rPr>
        <w:t>. والثالث: أن دخولها يدل على انقطاع القصة، وأن الكلام قد تمَّ، ذكره الزجاج أيضاً</w:t>
      </w:r>
      <w:r w:rsidRPr="005C21CD">
        <w:rPr>
          <w:vertAlign w:val="superscript"/>
          <w:rtl/>
        </w:rPr>
        <w:t>(</w:t>
      </w:r>
      <w:r w:rsidRPr="005C21CD">
        <w:rPr>
          <w:vertAlign w:val="superscript"/>
          <w:rtl/>
        </w:rPr>
        <w:footnoteReference w:id="1118"/>
      </w:r>
      <w:r w:rsidRPr="005C21CD">
        <w:rPr>
          <w:vertAlign w:val="superscript"/>
          <w:rtl/>
        </w:rPr>
        <w:t>)</w:t>
      </w:r>
      <w:r w:rsidRPr="005C21CD">
        <w:rPr>
          <w:rtl/>
        </w:rPr>
        <w:t xml:space="preserve">، وهو </w:t>
      </w:r>
      <w:r w:rsidRPr="005C21CD">
        <w:rPr>
          <w:rFonts w:hint="cs"/>
          <w:rtl/>
        </w:rPr>
        <w:t>قول</w:t>
      </w:r>
      <w:r w:rsidRPr="005C21CD">
        <w:rPr>
          <w:vertAlign w:val="superscript"/>
          <w:rtl/>
        </w:rPr>
        <w:t>(</w:t>
      </w:r>
      <w:r w:rsidRPr="005C21CD">
        <w:rPr>
          <w:vertAlign w:val="superscript"/>
          <w:rtl/>
        </w:rPr>
        <w:footnoteReference w:id="1119"/>
      </w:r>
      <w:r w:rsidRPr="005C21CD">
        <w:rPr>
          <w:vertAlign w:val="superscript"/>
          <w:rtl/>
        </w:rPr>
        <w:t>)</w:t>
      </w:r>
      <w:r w:rsidRPr="005C21CD">
        <w:rPr>
          <w:rtl/>
        </w:rPr>
        <w:t xml:space="preserve"> مقاتل بن سليمان، وإن الواو تدل على تمام الكلام قبلها، واستئناف ما بعدها</w:t>
      </w:r>
      <w:r w:rsidRPr="005C21CD">
        <w:rPr>
          <w:vertAlign w:val="superscript"/>
          <w:rtl/>
        </w:rPr>
        <w:t>(</w:t>
      </w:r>
      <w:r w:rsidRPr="005C21CD">
        <w:rPr>
          <w:vertAlign w:val="superscript"/>
          <w:rtl/>
        </w:rPr>
        <w:footnoteReference w:id="1120"/>
      </w:r>
      <w:r w:rsidRPr="005C21CD">
        <w:rPr>
          <w:vertAlign w:val="superscript"/>
          <w:rtl/>
        </w:rPr>
        <w:t>)</w:t>
      </w:r>
      <w:r w:rsidRPr="005C21CD">
        <w:rPr>
          <w:rFonts w:hint="cs"/>
          <w:rtl/>
        </w:rPr>
        <w:t>.</w:t>
      </w:r>
      <w:r w:rsidRPr="005C21CD">
        <w:rPr>
          <w:rtl/>
        </w:rPr>
        <w:t xml:space="preserve"> قال الثعلبي: فهذه واو الحكم والتحقيق، كأن الله تعالى حكى اختلافهم، فتم الكلام عند قوله:</w:t>
      </w:r>
      <w:r w:rsidRPr="005C21CD">
        <w:rPr>
          <w:rFonts w:ascii="QCF_BSML" w:hAnsi="QCF_BSML" w:cs="QCF_BSML"/>
          <w:color w:val="auto"/>
          <w:sz w:val="32"/>
          <w:szCs w:val="32"/>
          <w:rtl/>
          <w:lang w:eastAsia="en-US"/>
        </w:rPr>
        <w:t xml:space="preserve"> </w:t>
      </w:r>
      <w:r w:rsidR="00871255" w:rsidRPr="001277AD">
        <w:rPr>
          <w:rFonts w:hint="cs"/>
          <w:color w:val="0D0D0D" w:themeColor="text1" w:themeTint="F2"/>
          <w:sz w:val="32"/>
          <w:szCs w:val="32"/>
          <w:rtl/>
        </w:rPr>
        <w:t>[</w:t>
      </w:r>
      <w:r w:rsidR="00871255">
        <w:rPr>
          <w:rFonts w:hint="cs"/>
          <w:color w:val="0D0D0D" w:themeColor="text1" w:themeTint="F2"/>
          <w:sz w:val="32"/>
          <w:szCs w:val="32"/>
          <w:rtl/>
        </w:rPr>
        <w:t>112</w:t>
      </w:r>
      <w:r w:rsidR="00871255" w:rsidRPr="001277AD">
        <w:rPr>
          <w:rFonts w:hint="cs"/>
          <w:color w:val="0D0D0D" w:themeColor="text1" w:themeTint="F2"/>
          <w:sz w:val="32"/>
          <w:szCs w:val="32"/>
          <w:rtl/>
        </w:rPr>
        <w:t>]</w:t>
      </w:r>
      <w:r w:rsidR="00871255" w:rsidRPr="00911ED4">
        <w:rPr>
          <w:rFonts w:ascii="Traditional Arabic" w:hAnsi="Traditional Arabic"/>
          <w:rtl/>
        </w:rPr>
        <w:t xml:space="preserve"> </w:t>
      </w:r>
      <w:r w:rsidRPr="005C21CD">
        <w:rPr>
          <w:rFonts w:ascii="QCF_BSML" w:hAnsi="QCF_BSML" w:cs="QCF_BSML"/>
          <w:color w:val="auto"/>
          <w:sz w:val="32"/>
          <w:szCs w:val="32"/>
          <w:rtl/>
          <w:lang w:eastAsia="en-US"/>
        </w:rPr>
        <w:t>ﭽ</w:t>
      </w:r>
      <w:r w:rsidRPr="005C21CD">
        <w:rPr>
          <w:rFonts w:hint="cs"/>
          <w:rtl/>
        </w:rPr>
        <w:t xml:space="preserve"> </w:t>
      </w:r>
      <w:r w:rsidRPr="005C21CD">
        <w:rPr>
          <w:rFonts w:ascii="QCF_P296" w:hAnsi="QCF_P296" w:cs="QCF_P296"/>
          <w:color w:val="auto"/>
          <w:sz w:val="32"/>
          <w:szCs w:val="32"/>
          <w:rtl/>
          <w:lang w:eastAsia="en-US"/>
        </w:rPr>
        <w:t>ﮀ  ﮁ</w:t>
      </w:r>
      <w:r w:rsidRPr="005C21CD">
        <w:rPr>
          <w:rFonts w:ascii="QCF_BSML" w:hAnsi="QCF_BSML" w:cs="QCF_BSML"/>
          <w:color w:val="auto"/>
          <w:sz w:val="32"/>
          <w:szCs w:val="32"/>
          <w:rtl/>
          <w:lang w:eastAsia="en-US"/>
        </w:rPr>
        <w:t>ﭼ</w:t>
      </w:r>
      <w:r w:rsidRPr="005C21CD">
        <w:rPr>
          <w:rFonts w:ascii="QCF_P296" w:hAnsi="QCF_P296" w:cs="QCF_P296"/>
          <w:color w:val="auto"/>
          <w:sz w:val="32"/>
          <w:szCs w:val="32"/>
          <w:rtl/>
          <w:lang w:eastAsia="en-US"/>
        </w:rPr>
        <w:t xml:space="preserve"> </w:t>
      </w:r>
      <w:r w:rsidRPr="005C21CD">
        <w:rPr>
          <w:rtl/>
        </w:rPr>
        <w:t>، ثم حكم أن ثامنهم كلبهم</w:t>
      </w:r>
      <w:r w:rsidRPr="005C21CD">
        <w:rPr>
          <w:vertAlign w:val="superscript"/>
          <w:rtl/>
        </w:rPr>
        <w:t>(</w:t>
      </w:r>
      <w:r w:rsidRPr="005C21CD">
        <w:rPr>
          <w:vertAlign w:val="superscript"/>
          <w:rtl/>
        </w:rPr>
        <w:footnoteReference w:id="1121"/>
      </w:r>
      <w:r w:rsidRPr="005C21CD">
        <w:rPr>
          <w:vertAlign w:val="superscript"/>
          <w:rtl/>
        </w:rPr>
        <w:t>)</w:t>
      </w:r>
      <w:r w:rsidRPr="005C21CD">
        <w:rPr>
          <w:rtl/>
        </w:rPr>
        <w:t>. وجاء في بعض التفسير أن المسلمين قالوا عند اختلاف النصارى: هم سبعة، فحقَّق الله قول المسلمين</w:t>
      </w:r>
      <w:r w:rsidRPr="005C21CD">
        <w:rPr>
          <w:vertAlign w:val="superscript"/>
          <w:rtl/>
        </w:rPr>
        <w:t>(</w:t>
      </w:r>
      <w:r w:rsidRPr="005C21CD">
        <w:rPr>
          <w:vertAlign w:val="superscript"/>
          <w:rtl/>
        </w:rPr>
        <w:footnoteReference w:id="1122"/>
      </w:r>
      <w:r w:rsidRPr="005C21CD">
        <w:rPr>
          <w:vertAlign w:val="superscript"/>
          <w:rtl/>
        </w:rPr>
        <w:t>)</w:t>
      </w:r>
      <w:r w:rsidRPr="005C21CD">
        <w:rPr>
          <w:rtl/>
        </w:rPr>
        <w:t xml:space="preserve">. والرابع: أن العرب تعطف بالواو على السبعة، فيقولون: ستة، سبعة، وثمانية، لأن العقد عندهم سبعة، كقوله: </w:t>
      </w:r>
      <w:r w:rsidRPr="005C21CD">
        <w:rPr>
          <w:rFonts w:ascii="QCF_BSML" w:hAnsi="QCF_BSML" w:cs="QCF_BSML"/>
          <w:sz w:val="32"/>
          <w:szCs w:val="32"/>
          <w:rtl/>
          <w:lang w:eastAsia="en-US"/>
        </w:rPr>
        <w:t xml:space="preserve">ﭽ </w:t>
      </w:r>
      <w:r w:rsidRPr="005C21CD">
        <w:rPr>
          <w:rFonts w:ascii="QCF_P205" w:hAnsi="QCF_P205" w:cs="QCF_P205"/>
          <w:sz w:val="32"/>
          <w:szCs w:val="32"/>
          <w:rtl/>
          <w:lang w:eastAsia="en-US"/>
        </w:rPr>
        <w:t>ﭑ  ﭒ</w:t>
      </w:r>
      <w:r w:rsidRPr="005C21CD">
        <w:rPr>
          <w:rFonts w:ascii="QCF_BSML" w:hAnsi="QCF_BSML" w:cs="QCF_BSML"/>
          <w:sz w:val="32"/>
          <w:szCs w:val="32"/>
          <w:rtl/>
          <w:lang w:eastAsia="en-US"/>
        </w:rPr>
        <w:t>ﭼ</w:t>
      </w:r>
      <w:r w:rsidRPr="005C21CD">
        <w:rPr>
          <w:rtl/>
        </w:rPr>
        <w:t xml:space="preserve">...إِلى أن قال في الصفة الثامنة: </w:t>
      </w:r>
      <w:r w:rsidRPr="005C21CD">
        <w:rPr>
          <w:rFonts w:ascii="QCF_BSML" w:hAnsi="QCF_BSML" w:cs="QCF_BSML"/>
          <w:sz w:val="32"/>
          <w:szCs w:val="32"/>
          <w:rtl/>
          <w:lang w:eastAsia="en-US"/>
        </w:rPr>
        <w:t xml:space="preserve">ﭽ </w:t>
      </w:r>
      <w:r w:rsidRPr="005C21CD">
        <w:rPr>
          <w:rFonts w:ascii="QCF_P205" w:hAnsi="QCF_P205" w:cs="QCF_P205"/>
          <w:sz w:val="32"/>
          <w:szCs w:val="32"/>
          <w:rtl/>
          <w:lang w:eastAsia="en-US"/>
        </w:rPr>
        <w:t>ﭙ  ﭚ  ﭛ</w:t>
      </w:r>
      <w:r w:rsidRPr="005C21CD">
        <w:rPr>
          <w:rFonts w:ascii="QCF_BSML" w:hAnsi="QCF_BSML" w:cs="QCF_BSML"/>
          <w:sz w:val="32"/>
          <w:szCs w:val="32"/>
          <w:rtl/>
          <w:lang w:eastAsia="en-US"/>
        </w:rPr>
        <w:t>ﭼ</w:t>
      </w:r>
      <w:r w:rsidR="00DD12C1">
        <w:rPr>
          <w:rFonts w:ascii="Traditional Arabic" w:hAnsi="Traditional Arabic" w:hint="cs"/>
          <w:sz w:val="32"/>
          <w:szCs w:val="32"/>
          <w:rtl/>
          <w:lang w:eastAsia="en-US"/>
        </w:rPr>
        <w:t xml:space="preserve"> </w:t>
      </w:r>
      <w:r w:rsidRPr="005C21CD">
        <w:rPr>
          <w:rFonts w:ascii="Traditional Arabic" w:hAnsi="Traditional Arabic" w:hint="cs"/>
          <w:sz w:val="32"/>
          <w:szCs w:val="32"/>
          <w:rtl/>
          <w:lang w:eastAsia="en-US"/>
        </w:rPr>
        <w:t>[</w:t>
      </w:r>
      <w:r w:rsidRPr="005C21CD">
        <w:rPr>
          <w:rFonts w:ascii="Traditional Arabic" w:hAnsi="Traditional Arabic"/>
          <w:color w:val="auto"/>
          <w:sz w:val="32"/>
          <w:szCs w:val="32"/>
          <w:rtl/>
          <w:lang w:eastAsia="en-US"/>
        </w:rPr>
        <w:t>التوبة:١١٢</w:t>
      </w:r>
      <w:r w:rsidRPr="005C21CD">
        <w:rPr>
          <w:rFonts w:ascii="Traditional Arabic" w:hAnsi="Traditional Arabic" w:hint="cs"/>
          <w:color w:val="auto"/>
          <w:sz w:val="32"/>
          <w:szCs w:val="32"/>
          <w:rtl/>
          <w:lang w:eastAsia="en-US"/>
        </w:rPr>
        <w:t>]</w:t>
      </w:r>
      <w:r w:rsidRPr="005C21CD">
        <w:rPr>
          <w:rFonts w:ascii="Traditional Arabic" w:hAnsi="Traditional Arabic"/>
          <w:color w:val="auto"/>
          <w:sz w:val="32"/>
          <w:szCs w:val="32"/>
          <w:rtl/>
        </w:rPr>
        <w:t>،</w:t>
      </w:r>
      <w:r w:rsidRPr="005C21CD">
        <w:rPr>
          <w:rtl/>
        </w:rPr>
        <w:t xml:space="preserve"> وقوله في صفة الجنّة:</w:t>
      </w:r>
      <w:r w:rsidRPr="005C21CD">
        <w:rPr>
          <w:rFonts w:ascii="QCF_BSML" w:hAnsi="QCF_BSML" w:cs="QCF_BSML"/>
          <w:sz w:val="32"/>
          <w:szCs w:val="32"/>
          <w:rtl/>
          <w:lang w:eastAsia="en-US"/>
        </w:rPr>
        <w:t xml:space="preserve"> ﭽ</w:t>
      </w:r>
      <w:r w:rsidRPr="005C21CD">
        <w:rPr>
          <w:rFonts w:ascii="QCF_P466" w:hAnsi="QCF_P466" w:cs="QCF_P466"/>
          <w:sz w:val="32"/>
          <w:szCs w:val="32"/>
          <w:rtl/>
          <w:lang w:eastAsia="en-US"/>
        </w:rPr>
        <w:t xml:space="preserve">ﯟ  ﯠ  </w:t>
      </w:r>
      <w:r w:rsidRPr="005C21CD">
        <w:rPr>
          <w:rFonts w:ascii="QCF_BSML" w:hAnsi="QCF_BSML" w:cs="QCF_BSML"/>
          <w:sz w:val="32"/>
          <w:szCs w:val="32"/>
          <w:rtl/>
          <w:lang w:eastAsia="en-US"/>
        </w:rPr>
        <w:t>ﭼ</w:t>
      </w:r>
      <w:r w:rsidRPr="005C21CD">
        <w:rPr>
          <w:rFonts w:ascii="Arial" w:hAnsi="Arial" w:cs="Arial"/>
          <w:sz w:val="32"/>
          <w:szCs w:val="32"/>
          <w:rtl/>
          <w:lang w:eastAsia="en-US"/>
        </w:rPr>
        <w:t xml:space="preserve"> </w:t>
      </w:r>
      <w:r w:rsidRPr="005C21CD">
        <w:rPr>
          <w:rtl/>
        </w:rPr>
        <w:t>وفي صفة النّار:</w:t>
      </w:r>
      <w:r w:rsidRPr="005C21CD">
        <w:rPr>
          <w:rFonts w:ascii="QCF_BSML" w:hAnsi="QCF_BSML" w:cs="QCF_BSML"/>
          <w:sz w:val="47"/>
          <w:szCs w:val="47"/>
          <w:rtl/>
          <w:lang w:eastAsia="en-US"/>
        </w:rPr>
        <w:t xml:space="preserve"> </w:t>
      </w:r>
      <w:r w:rsidRPr="005C21CD">
        <w:rPr>
          <w:rFonts w:ascii="QCF_BSML" w:hAnsi="QCF_BSML" w:cs="QCF_BSML"/>
          <w:sz w:val="32"/>
          <w:szCs w:val="32"/>
          <w:rtl/>
          <w:lang w:eastAsia="en-US"/>
        </w:rPr>
        <w:t>ﭽ</w:t>
      </w:r>
      <w:r w:rsidRPr="005C21CD">
        <w:rPr>
          <w:rFonts w:ascii="QCF_P466" w:hAnsi="QCF_P466" w:cs="QCF_P466"/>
          <w:sz w:val="32"/>
          <w:szCs w:val="32"/>
          <w:rtl/>
          <w:lang w:eastAsia="en-US"/>
        </w:rPr>
        <w:t>ﮍ  ﮎ</w:t>
      </w:r>
      <w:r w:rsidRPr="005C21CD">
        <w:rPr>
          <w:rFonts w:ascii="QCF_BSML" w:hAnsi="QCF_BSML" w:cs="QCF_BSML"/>
          <w:sz w:val="32"/>
          <w:szCs w:val="32"/>
          <w:rtl/>
          <w:lang w:eastAsia="en-US"/>
        </w:rPr>
        <w:t>ﭼ</w:t>
      </w:r>
      <w:r w:rsidRPr="005C21CD">
        <w:rPr>
          <w:rFonts w:ascii="Arial" w:hAnsi="Arial" w:cs="Arial" w:hint="cs"/>
          <w:sz w:val="32"/>
          <w:szCs w:val="32"/>
          <w:rtl/>
          <w:lang w:eastAsia="en-US"/>
        </w:rPr>
        <w:t>[</w:t>
      </w:r>
      <w:r w:rsidRPr="005C21CD">
        <w:rPr>
          <w:rFonts w:ascii="Traditional Arabic" w:hAnsi="Traditional Arabic"/>
          <w:color w:val="auto"/>
          <w:sz w:val="32"/>
          <w:szCs w:val="32"/>
          <w:rtl/>
          <w:lang w:eastAsia="en-US"/>
        </w:rPr>
        <w:t>الزمر:٧١</w:t>
      </w:r>
      <w:r w:rsidRPr="005C21CD">
        <w:rPr>
          <w:rFonts w:ascii="Traditional Arabic" w:hAnsi="Traditional Arabic" w:hint="cs"/>
          <w:color w:val="auto"/>
          <w:sz w:val="32"/>
          <w:szCs w:val="32"/>
          <w:rtl/>
          <w:lang w:eastAsia="en-US"/>
        </w:rPr>
        <w:t>-73]</w:t>
      </w:r>
      <w:r w:rsidRPr="005C21CD">
        <w:rPr>
          <w:rFonts w:ascii="Traditional Arabic" w:hAnsi="Traditional Arabic"/>
          <w:color w:val="auto"/>
          <w:sz w:val="32"/>
          <w:szCs w:val="32"/>
          <w:rtl/>
        </w:rPr>
        <w:t>,</w:t>
      </w:r>
      <w:r w:rsidRPr="005C21CD">
        <w:rPr>
          <w:color w:val="auto"/>
          <w:rtl/>
        </w:rPr>
        <w:t xml:space="preserve"> </w:t>
      </w:r>
      <w:r w:rsidRPr="005C21CD">
        <w:rPr>
          <w:rtl/>
        </w:rPr>
        <w:t xml:space="preserve">لأن أبواب النار سبعة، وأبواب الجنة ثمانية، ذكر هذا المعنى أبو </w:t>
      </w:r>
      <w:r w:rsidRPr="005C21CD">
        <w:rPr>
          <w:rtl/>
        </w:rPr>
        <w:lastRenderedPageBreak/>
        <w:t>إِسحاق الثعلبي</w:t>
      </w:r>
      <w:r w:rsidRPr="005C21CD">
        <w:rPr>
          <w:vertAlign w:val="superscript"/>
          <w:rtl/>
        </w:rPr>
        <w:t>(</w:t>
      </w:r>
      <w:r w:rsidRPr="005C21CD">
        <w:rPr>
          <w:vertAlign w:val="superscript"/>
          <w:rtl/>
        </w:rPr>
        <w:footnoteReference w:id="1123"/>
      </w:r>
      <w:r w:rsidRPr="005C21CD">
        <w:rPr>
          <w:vertAlign w:val="superscript"/>
          <w:rtl/>
        </w:rPr>
        <w:t>)</w:t>
      </w:r>
      <w:r w:rsidRPr="005C21CD">
        <w:rPr>
          <w:rtl/>
        </w:rPr>
        <w:t>.</w:t>
      </w:r>
      <w:r w:rsidRPr="005C21CD">
        <w:rPr>
          <w:rFonts w:hint="cs"/>
          <w:rtl/>
        </w:rPr>
        <w:t xml:space="preserve"> </w:t>
      </w:r>
      <w:r w:rsidRPr="005C21CD">
        <w:rPr>
          <w:rtl/>
        </w:rPr>
        <w:t>وقد اختلف العلماء في عددهم على قولين: أحدهما: أنهم كانوا سبعة، قاله ابن عباس</w:t>
      </w:r>
      <w:r w:rsidRPr="005C21CD">
        <w:rPr>
          <w:vertAlign w:val="superscript"/>
          <w:rtl/>
        </w:rPr>
        <w:t>(</w:t>
      </w:r>
      <w:r w:rsidRPr="005C21CD">
        <w:rPr>
          <w:vertAlign w:val="superscript"/>
          <w:rtl/>
        </w:rPr>
        <w:footnoteReference w:id="1124"/>
      </w:r>
      <w:r w:rsidRPr="005C21CD">
        <w:rPr>
          <w:vertAlign w:val="superscript"/>
          <w:rtl/>
        </w:rPr>
        <w:t>)</w:t>
      </w:r>
      <w:r w:rsidRPr="005C21CD">
        <w:rPr>
          <w:rtl/>
        </w:rPr>
        <w:t>. والثاني:</w:t>
      </w:r>
      <w:r w:rsidRPr="005C21CD">
        <w:rPr>
          <w:rFonts w:hint="cs"/>
          <w:rtl/>
        </w:rPr>
        <w:t xml:space="preserve"> </w:t>
      </w:r>
      <w:r w:rsidRPr="005C21CD">
        <w:rPr>
          <w:rtl/>
        </w:rPr>
        <w:t>ثمانية، قاله ابن جريج</w:t>
      </w:r>
      <w:r w:rsidRPr="005C21CD">
        <w:rPr>
          <w:vertAlign w:val="superscript"/>
          <w:rtl/>
        </w:rPr>
        <w:t>(</w:t>
      </w:r>
      <w:r w:rsidRPr="005C21CD">
        <w:rPr>
          <w:vertAlign w:val="superscript"/>
          <w:rtl/>
        </w:rPr>
        <w:footnoteReference w:id="1125"/>
      </w:r>
      <w:r w:rsidRPr="005C21CD">
        <w:rPr>
          <w:vertAlign w:val="superscript"/>
          <w:rtl/>
        </w:rPr>
        <w:t>)</w:t>
      </w:r>
      <w:r w:rsidRPr="005C21CD">
        <w:rPr>
          <w:rtl/>
        </w:rPr>
        <w:t>، وابن إِسحاق</w:t>
      </w:r>
      <w:r w:rsidRPr="005C21CD">
        <w:rPr>
          <w:vertAlign w:val="superscript"/>
          <w:rtl/>
        </w:rPr>
        <w:t>(</w:t>
      </w:r>
      <w:r w:rsidRPr="005C21CD">
        <w:rPr>
          <w:vertAlign w:val="superscript"/>
          <w:rtl/>
        </w:rPr>
        <w:footnoteReference w:id="1126"/>
      </w:r>
      <w:r w:rsidRPr="005C21CD">
        <w:rPr>
          <w:vertAlign w:val="superscript"/>
          <w:rtl/>
        </w:rPr>
        <w:t>)</w:t>
      </w:r>
      <w:r w:rsidRPr="005C21CD">
        <w:rPr>
          <w:rtl/>
        </w:rPr>
        <w:t xml:space="preserve">. وقال ابن الأنباري: وقيل: معنى قوله: </w:t>
      </w:r>
      <w:r w:rsidRPr="005C21CD">
        <w:rPr>
          <w:rFonts w:ascii="QCF_BSML" w:hAnsi="QCF_BSML" w:cs="QCF_BSML"/>
          <w:color w:val="auto"/>
          <w:sz w:val="32"/>
          <w:szCs w:val="32"/>
          <w:rtl/>
          <w:lang w:eastAsia="en-US"/>
        </w:rPr>
        <w:t>ﭽ</w:t>
      </w:r>
      <w:r w:rsidRPr="005C21CD">
        <w:rPr>
          <w:rFonts w:ascii="QCF_P296" w:hAnsi="QCF_P296" w:cs="QCF_P296"/>
          <w:color w:val="auto"/>
          <w:sz w:val="32"/>
          <w:szCs w:val="32"/>
          <w:rtl/>
          <w:lang w:eastAsia="en-US"/>
        </w:rPr>
        <w:t>ﮂ  ﮃﮄ</w:t>
      </w:r>
      <w:r w:rsidRPr="005C21CD">
        <w:rPr>
          <w:rFonts w:ascii="QCF_BSML" w:hAnsi="QCF_BSML" w:cs="QCF_BSML"/>
          <w:color w:val="auto"/>
          <w:sz w:val="32"/>
          <w:szCs w:val="32"/>
          <w:rtl/>
          <w:lang w:eastAsia="en-US"/>
        </w:rPr>
        <w:t>ﭼ</w:t>
      </w:r>
      <w:r w:rsidRPr="005C21CD">
        <w:rPr>
          <w:rtl/>
        </w:rPr>
        <w:t>:</w:t>
      </w:r>
      <w:r w:rsidRPr="005C21CD">
        <w:rPr>
          <w:rFonts w:hint="cs"/>
          <w:rtl/>
        </w:rPr>
        <w:t xml:space="preserve"> </w:t>
      </w:r>
      <w:r w:rsidRPr="005C21CD">
        <w:rPr>
          <w:rtl/>
        </w:rPr>
        <w:t>صاحب كلبهم، كما يقال: السخاء حاتم</w:t>
      </w:r>
      <w:r w:rsidRPr="005C21CD">
        <w:rPr>
          <w:vertAlign w:val="superscript"/>
          <w:rtl/>
        </w:rPr>
        <w:t>(</w:t>
      </w:r>
      <w:r w:rsidRPr="005C21CD">
        <w:rPr>
          <w:vertAlign w:val="superscript"/>
          <w:rtl/>
        </w:rPr>
        <w:footnoteReference w:id="1127"/>
      </w:r>
      <w:r w:rsidRPr="005C21CD">
        <w:rPr>
          <w:vertAlign w:val="superscript"/>
          <w:rtl/>
        </w:rPr>
        <w:t>)</w:t>
      </w:r>
      <w:r w:rsidRPr="005C21CD">
        <w:rPr>
          <w:rtl/>
        </w:rPr>
        <w:t>، والشِّعر زهير، أي: السخاء سخاء حاتم، والشِّعر شِعر زهير</w:t>
      </w:r>
      <w:r w:rsidRPr="005C21CD">
        <w:rPr>
          <w:vertAlign w:val="superscript"/>
          <w:rtl/>
        </w:rPr>
        <w:t>(</w:t>
      </w:r>
      <w:r w:rsidRPr="005C21CD">
        <w:rPr>
          <w:vertAlign w:val="superscript"/>
          <w:rtl/>
        </w:rPr>
        <w:footnoteReference w:id="1128"/>
      </w:r>
      <w:r w:rsidRPr="005C21CD">
        <w:rPr>
          <w:vertAlign w:val="superscript"/>
          <w:rtl/>
        </w:rPr>
        <w:t>)</w:t>
      </w:r>
      <w:r w:rsidRPr="005C21CD">
        <w:rPr>
          <w:rtl/>
        </w:rPr>
        <w:t>.</w:t>
      </w:r>
      <w:r w:rsidRPr="005C21CD">
        <w:rPr>
          <w:rFonts w:hint="cs"/>
          <w:rtl/>
        </w:rPr>
        <w:t xml:space="preserve"> </w:t>
      </w:r>
      <w:r w:rsidRPr="005C21CD">
        <w:rPr>
          <w:rtl/>
        </w:rPr>
        <w:t>فأمّا أسماؤهم، فقال هُشَيْم</w:t>
      </w:r>
      <w:r w:rsidRPr="005C21CD">
        <w:rPr>
          <w:vertAlign w:val="superscript"/>
          <w:rtl/>
        </w:rPr>
        <w:t>(</w:t>
      </w:r>
      <w:r w:rsidRPr="005C21CD">
        <w:rPr>
          <w:vertAlign w:val="superscript"/>
          <w:rtl/>
        </w:rPr>
        <w:footnoteReference w:id="1129"/>
      </w:r>
      <w:r w:rsidRPr="005C21CD">
        <w:rPr>
          <w:vertAlign w:val="superscript"/>
          <w:rtl/>
        </w:rPr>
        <w:t>)</w:t>
      </w:r>
      <w:r w:rsidRPr="005C21CD">
        <w:rPr>
          <w:rtl/>
        </w:rPr>
        <w:t>: مكسلمينا، ويمليخا، وطَرينوس، وسَدينوس، وسَرينوس، ونَواسس، ويرانوس</w:t>
      </w:r>
      <w:r w:rsidRPr="005C21CD">
        <w:rPr>
          <w:vertAlign w:val="superscript"/>
          <w:rtl/>
        </w:rPr>
        <w:t>(</w:t>
      </w:r>
      <w:r w:rsidRPr="005C21CD">
        <w:rPr>
          <w:vertAlign w:val="superscript"/>
          <w:rtl/>
        </w:rPr>
        <w:footnoteReference w:id="1130"/>
      </w:r>
      <w:r w:rsidRPr="005C21CD">
        <w:rPr>
          <w:vertAlign w:val="superscript"/>
          <w:rtl/>
        </w:rPr>
        <w:t>)</w:t>
      </w:r>
      <w:r w:rsidRPr="005C21CD">
        <w:rPr>
          <w:rtl/>
        </w:rPr>
        <w:t>، وفي التفسير خلاف في أسمائهم فلم أُطل به</w:t>
      </w:r>
      <w:r w:rsidR="00BA6446" w:rsidRPr="00BA6446">
        <w:rPr>
          <w:rStyle w:val="ae"/>
          <w:rtl/>
        </w:rPr>
        <w:t>(</w:t>
      </w:r>
      <w:r w:rsidR="00BA6446">
        <w:rPr>
          <w:rStyle w:val="ae"/>
          <w:rtl/>
        </w:rPr>
        <w:footnoteReference w:id="1131"/>
      </w:r>
      <w:r w:rsidR="00BA6446" w:rsidRPr="00BA6446">
        <w:rPr>
          <w:rStyle w:val="ae"/>
          <w:rtl/>
        </w:rPr>
        <w:t>)</w:t>
      </w:r>
      <w:r w:rsidRPr="005C21CD">
        <w:rPr>
          <w:rtl/>
        </w:rPr>
        <w:t>.</w:t>
      </w:r>
      <w:r w:rsidRPr="005C21CD">
        <w:rPr>
          <w:rFonts w:hint="cs"/>
          <w:rtl/>
        </w:rPr>
        <w:t xml:space="preserve"> </w:t>
      </w:r>
      <w:r w:rsidRPr="005C21CD">
        <w:rPr>
          <w:rtl/>
        </w:rPr>
        <w:t>واختلفوا في كلبهم لمن كان على ثلاثة أقوال: أحدها: أنه كان لراع مَرّوا به فتبعهم الراعي والكلب، قاله ابن عباس</w:t>
      </w:r>
      <w:r w:rsidRPr="005C21CD">
        <w:rPr>
          <w:vertAlign w:val="superscript"/>
          <w:rtl/>
        </w:rPr>
        <w:t>(</w:t>
      </w:r>
      <w:r w:rsidRPr="005C21CD">
        <w:rPr>
          <w:vertAlign w:val="superscript"/>
          <w:rtl/>
        </w:rPr>
        <w:footnoteReference w:id="1132"/>
      </w:r>
      <w:r w:rsidRPr="005C21CD">
        <w:rPr>
          <w:vertAlign w:val="superscript"/>
          <w:rtl/>
        </w:rPr>
        <w:t>)</w:t>
      </w:r>
      <w:r w:rsidRPr="005C21CD">
        <w:rPr>
          <w:rtl/>
        </w:rPr>
        <w:t xml:space="preserve">. والثاني: أنه كان لهم يتصيدون </w:t>
      </w:r>
      <w:r w:rsidRPr="005C21CD">
        <w:rPr>
          <w:rtl/>
        </w:rPr>
        <w:lastRenderedPageBreak/>
        <w:t>عليه، قاله عبيد بن عمير</w:t>
      </w:r>
      <w:r w:rsidRPr="005C21CD">
        <w:rPr>
          <w:vertAlign w:val="superscript"/>
          <w:rtl/>
        </w:rPr>
        <w:t>(</w:t>
      </w:r>
      <w:r w:rsidRPr="005C21CD">
        <w:rPr>
          <w:vertAlign w:val="superscript"/>
          <w:rtl/>
        </w:rPr>
        <w:footnoteReference w:id="1133"/>
      </w:r>
      <w:r w:rsidRPr="005C21CD">
        <w:rPr>
          <w:vertAlign w:val="superscript"/>
          <w:rtl/>
        </w:rPr>
        <w:t>)</w:t>
      </w:r>
      <w:r w:rsidRPr="005C21CD">
        <w:rPr>
          <w:rtl/>
        </w:rPr>
        <w:t>. والثالث: أنهم مَرّوا بكلب فتبعهم، فطردوه، فعاد، ففعلوا ذلك به مراراً، فقال لهم الكلب: ما تريدون مني؟! لا تخشوا جانبي أنا أُحِبُّ أحبّاء الله</w:t>
      </w:r>
      <w:r w:rsidRPr="005C21CD">
        <w:rPr>
          <w:rFonts w:hint="cs"/>
          <w:rtl/>
        </w:rPr>
        <w:t>,</w:t>
      </w:r>
      <w:r w:rsidRPr="005C21CD">
        <w:rPr>
          <w:rtl/>
        </w:rPr>
        <w:t xml:space="preserve"> فناموا حتى أحرسَكم. قاله كعب الأحبار</w:t>
      </w:r>
      <w:r w:rsidRPr="005C21CD">
        <w:rPr>
          <w:vertAlign w:val="superscript"/>
          <w:rtl/>
        </w:rPr>
        <w:t>(</w:t>
      </w:r>
      <w:r w:rsidRPr="005C21CD">
        <w:rPr>
          <w:vertAlign w:val="superscript"/>
          <w:rtl/>
        </w:rPr>
        <w:footnoteReference w:id="1134"/>
      </w:r>
      <w:r w:rsidRPr="005C21CD">
        <w:rPr>
          <w:vertAlign w:val="superscript"/>
          <w:rtl/>
        </w:rPr>
        <w:t>)</w:t>
      </w:r>
      <w:r w:rsidRPr="005C21CD">
        <w:rPr>
          <w:rtl/>
        </w:rPr>
        <w:t>.</w:t>
      </w:r>
      <w:r w:rsidRPr="005C21CD">
        <w:rPr>
          <w:rFonts w:hint="cs"/>
          <w:rtl/>
        </w:rPr>
        <w:t xml:space="preserve"> </w:t>
      </w:r>
      <w:r w:rsidRPr="005C21CD">
        <w:rPr>
          <w:rtl/>
        </w:rPr>
        <w:t>وفي اسم كلبهم أربعة أقوال: أحدها: قطمير، قاله أبو صالح عن ابن عباس</w:t>
      </w:r>
      <w:r w:rsidRPr="005C21CD">
        <w:rPr>
          <w:vertAlign w:val="superscript"/>
          <w:rtl/>
        </w:rPr>
        <w:t>(</w:t>
      </w:r>
      <w:r w:rsidRPr="005C21CD">
        <w:rPr>
          <w:vertAlign w:val="superscript"/>
          <w:rtl/>
        </w:rPr>
        <w:footnoteReference w:id="1135"/>
      </w:r>
      <w:r w:rsidRPr="005C21CD">
        <w:rPr>
          <w:vertAlign w:val="superscript"/>
          <w:rtl/>
        </w:rPr>
        <w:t>)</w:t>
      </w:r>
      <w:r w:rsidRPr="005C21CD">
        <w:rPr>
          <w:rtl/>
        </w:rPr>
        <w:t>. والثاني: إن اسمه الرقيم، وقد ذكرناه عن سعيد بن جبير</w:t>
      </w:r>
      <w:r w:rsidRPr="005C21CD">
        <w:rPr>
          <w:vertAlign w:val="superscript"/>
          <w:rtl/>
        </w:rPr>
        <w:t>(</w:t>
      </w:r>
      <w:r w:rsidRPr="005C21CD">
        <w:rPr>
          <w:vertAlign w:val="superscript"/>
          <w:rtl/>
        </w:rPr>
        <w:footnoteReference w:id="1136"/>
      </w:r>
      <w:r w:rsidRPr="005C21CD">
        <w:rPr>
          <w:vertAlign w:val="superscript"/>
          <w:rtl/>
        </w:rPr>
        <w:t>)</w:t>
      </w:r>
      <w:r w:rsidRPr="005C21CD">
        <w:rPr>
          <w:rtl/>
        </w:rPr>
        <w:t>. والثالث: قطمور، قاله عبد الله بن كثير</w:t>
      </w:r>
      <w:r w:rsidRPr="005C21CD">
        <w:rPr>
          <w:vertAlign w:val="superscript"/>
          <w:rtl/>
        </w:rPr>
        <w:t>(</w:t>
      </w:r>
      <w:r w:rsidRPr="005C21CD">
        <w:rPr>
          <w:vertAlign w:val="superscript"/>
          <w:rtl/>
        </w:rPr>
        <w:footnoteReference w:id="1137"/>
      </w:r>
      <w:r w:rsidRPr="005C21CD">
        <w:rPr>
          <w:vertAlign w:val="superscript"/>
          <w:rtl/>
        </w:rPr>
        <w:t>)</w:t>
      </w:r>
      <w:r w:rsidRPr="005C21CD">
        <w:rPr>
          <w:rtl/>
        </w:rPr>
        <w:t xml:space="preserve">. والرابع: حُمران، قاله شعيب </w:t>
      </w:r>
      <w:r w:rsidRPr="005C21CD">
        <w:rPr>
          <w:rFonts w:ascii="Traditional Arabic" w:hAnsi="Traditional Arabic"/>
          <w:rtl/>
        </w:rPr>
        <w:t>الجبائي</w:t>
      </w:r>
      <w:r w:rsidRPr="005C21CD">
        <w:rPr>
          <w:rFonts w:ascii="Traditional Arabic" w:hAnsi="Traditional Arabic"/>
          <w:vertAlign w:val="superscript"/>
          <w:rtl/>
        </w:rPr>
        <w:t>(</w:t>
      </w:r>
      <w:r w:rsidRPr="005C21CD">
        <w:rPr>
          <w:rFonts w:ascii="Traditional Arabic" w:hAnsi="Traditional Arabic"/>
          <w:vertAlign w:val="superscript"/>
          <w:rtl/>
        </w:rPr>
        <w:footnoteReference w:id="1138"/>
      </w:r>
      <w:r w:rsidRPr="005C21CD">
        <w:rPr>
          <w:rFonts w:ascii="Traditional Arabic" w:hAnsi="Traditional Arabic"/>
          <w:vertAlign w:val="superscript"/>
          <w:rtl/>
        </w:rPr>
        <w:t>)</w:t>
      </w:r>
      <w:r w:rsidRPr="005C21CD">
        <w:rPr>
          <w:rFonts w:ascii="Traditional Arabic" w:hAnsi="Traditional Arabic"/>
          <w:vertAlign w:val="superscript"/>
        </w:rPr>
        <w:t>(</w:t>
      </w:r>
      <w:r w:rsidRPr="005C21CD">
        <w:rPr>
          <w:rFonts w:ascii="Traditional Arabic" w:hAnsi="Traditional Arabic"/>
          <w:vertAlign w:val="superscript"/>
        </w:rPr>
        <w:footnoteReference w:id="1139"/>
      </w:r>
      <w:r w:rsidRPr="005C21CD">
        <w:rPr>
          <w:rFonts w:ascii="Traditional Arabic" w:hAnsi="Traditional Arabic"/>
          <w:vertAlign w:val="superscript"/>
        </w:rPr>
        <w:t>)</w:t>
      </w:r>
      <w:r w:rsidRPr="005C21CD">
        <w:rPr>
          <w:rFonts w:ascii="Traditional Arabic" w:hAnsi="Traditional Arabic"/>
          <w:rtl/>
        </w:rPr>
        <w:t>.</w:t>
      </w:r>
      <w:r w:rsidR="006C247D">
        <w:rPr>
          <w:rFonts w:hint="cs"/>
          <w:rtl/>
        </w:rPr>
        <w:t xml:space="preserve"> </w:t>
      </w:r>
      <w:r w:rsidRPr="005C21CD">
        <w:rPr>
          <w:rtl/>
        </w:rPr>
        <w:t>وفي صفته ثلاثة أقوال: أحدها: أحمر، حكاه الثوري</w:t>
      </w:r>
      <w:r w:rsidRPr="005C21CD">
        <w:rPr>
          <w:vertAlign w:val="superscript"/>
          <w:rtl/>
        </w:rPr>
        <w:t>(</w:t>
      </w:r>
      <w:r w:rsidRPr="005C21CD">
        <w:rPr>
          <w:vertAlign w:val="superscript"/>
          <w:rtl/>
        </w:rPr>
        <w:footnoteReference w:id="1140"/>
      </w:r>
      <w:r w:rsidRPr="005C21CD">
        <w:rPr>
          <w:vertAlign w:val="superscript"/>
          <w:rtl/>
        </w:rPr>
        <w:t>)(</w:t>
      </w:r>
      <w:r w:rsidRPr="005C21CD">
        <w:rPr>
          <w:vertAlign w:val="superscript"/>
          <w:rtl/>
        </w:rPr>
        <w:footnoteReference w:id="1141"/>
      </w:r>
      <w:r w:rsidRPr="005C21CD">
        <w:rPr>
          <w:vertAlign w:val="superscript"/>
          <w:rtl/>
        </w:rPr>
        <w:t>)</w:t>
      </w:r>
      <w:r w:rsidRPr="005C21CD">
        <w:rPr>
          <w:rtl/>
        </w:rPr>
        <w:t>. والثاني: أصفر، حكاه ابن إِسحاق</w:t>
      </w:r>
      <w:r w:rsidRPr="005C21CD">
        <w:rPr>
          <w:vertAlign w:val="superscript"/>
          <w:rtl/>
        </w:rPr>
        <w:t>(</w:t>
      </w:r>
      <w:r w:rsidRPr="005C21CD">
        <w:rPr>
          <w:vertAlign w:val="superscript"/>
          <w:rtl/>
        </w:rPr>
        <w:footnoteReference w:id="1142"/>
      </w:r>
      <w:r w:rsidRPr="005C21CD">
        <w:rPr>
          <w:vertAlign w:val="superscript"/>
          <w:rtl/>
        </w:rPr>
        <w:t>)</w:t>
      </w:r>
      <w:r w:rsidRPr="005C21CD">
        <w:rPr>
          <w:rtl/>
        </w:rPr>
        <w:t>. والثالث:</w:t>
      </w:r>
      <w:r w:rsidRPr="005C21CD">
        <w:rPr>
          <w:rFonts w:hint="cs"/>
          <w:rtl/>
        </w:rPr>
        <w:t xml:space="preserve"> </w:t>
      </w:r>
      <w:r w:rsidRPr="005C21CD">
        <w:rPr>
          <w:rtl/>
        </w:rPr>
        <w:t xml:space="preserve">أحمر </w:t>
      </w:r>
    </w:p>
    <w:p w:rsidR="00BA6446" w:rsidRDefault="00BA6446" w:rsidP="00BA6446">
      <w:pPr>
        <w:ind w:firstLine="0"/>
        <w:rPr>
          <w:rtl/>
        </w:rPr>
      </w:pPr>
    </w:p>
    <w:p w:rsidR="005C21CD" w:rsidRPr="005C21CD" w:rsidRDefault="005C21CD" w:rsidP="00BA6446">
      <w:pPr>
        <w:ind w:firstLine="0"/>
        <w:rPr>
          <w:rtl/>
        </w:rPr>
      </w:pPr>
      <w:r w:rsidRPr="005C21CD">
        <w:rPr>
          <w:rtl/>
        </w:rPr>
        <w:lastRenderedPageBreak/>
        <w:t>الرأس، أسود الظهر، أبيض البطن، أبلق</w:t>
      </w:r>
      <w:r w:rsidR="008548E8" w:rsidRPr="008548E8">
        <w:rPr>
          <w:rStyle w:val="ae"/>
          <w:rtl/>
        </w:rPr>
        <w:t>(</w:t>
      </w:r>
      <w:r w:rsidR="008548E8">
        <w:rPr>
          <w:rStyle w:val="ae"/>
          <w:rtl/>
        </w:rPr>
        <w:footnoteReference w:id="1143"/>
      </w:r>
      <w:r w:rsidR="008548E8" w:rsidRPr="008548E8">
        <w:rPr>
          <w:rStyle w:val="ae"/>
          <w:rtl/>
        </w:rPr>
        <w:t>)</w:t>
      </w:r>
      <w:r w:rsidRPr="005C21CD">
        <w:rPr>
          <w:rtl/>
        </w:rPr>
        <w:t>الذنب، ذكره ابن السائب</w:t>
      </w:r>
      <w:r w:rsidRPr="005C21CD">
        <w:rPr>
          <w:vertAlign w:val="superscript"/>
          <w:rtl/>
        </w:rPr>
        <w:t>(</w:t>
      </w:r>
      <w:r w:rsidRPr="005C21CD">
        <w:rPr>
          <w:vertAlign w:val="superscript"/>
          <w:rtl/>
        </w:rPr>
        <w:footnoteReference w:id="1144"/>
      </w:r>
      <w:r w:rsidRPr="005C21CD">
        <w:rPr>
          <w:vertAlign w:val="superscript"/>
          <w:rtl/>
        </w:rPr>
        <w:t>)</w:t>
      </w:r>
      <w:r w:rsidRPr="005C21CD">
        <w:rPr>
          <w:rtl/>
        </w:rPr>
        <w:t>.</w:t>
      </w:r>
    </w:p>
    <w:p w:rsidR="005C21CD" w:rsidRPr="005C21CD" w:rsidRDefault="005C21CD" w:rsidP="005C21CD">
      <w:pPr>
        <w:ind w:firstLine="0"/>
        <w:rPr>
          <w:rtl/>
        </w:rPr>
      </w:pPr>
      <w:r w:rsidRPr="005C21CD">
        <w:rPr>
          <w:rtl/>
        </w:rPr>
        <w:t>قوله تعالى:</w:t>
      </w:r>
      <w:r w:rsidRPr="005C21CD">
        <w:rPr>
          <w:rFonts w:ascii="QCF_P296" w:hAnsi="QCF_P296" w:cs="QCF_P296"/>
          <w:color w:val="auto"/>
          <w:sz w:val="32"/>
          <w:szCs w:val="32"/>
          <w:rtl/>
          <w:lang w:eastAsia="en-US"/>
        </w:rPr>
        <w:t xml:space="preserve">  </w:t>
      </w:r>
      <w:r w:rsidRPr="005C21CD">
        <w:rPr>
          <w:rFonts w:ascii="QCF_BSML" w:hAnsi="QCF_BSML" w:cs="QCF_BSML"/>
          <w:color w:val="auto"/>
          <w:sz w:val="32"/>
          <w:szCs w:val="32"/>
          <w:rtl/>
          <w:lang w:eastAsia="en-US"/>
        </w:rPr>
        <w:t>ﭽ</w:t>
      </w:r>
      <w:r w:rsidRPr="005C21CD">
        <w:rPr>
          <w:rFonts w:ascii="QCF_P296" w:hAnsi="QCF_P296" w:cs="QCF_P296"/>
          <w:color w:val="auto"/>
          <w:sz w:val="32"/>
          <w:szCs w:val="32"/>
          <w:rtl/>
          <w:lang w:eastAsia="en-US"/>
        </w:rPr>
        <w:t xml:space="preserve"> ﮆ  ﮇ   ﮈ  </w:t>
      </w:r>
      <w:r w:rsidRPr="005C21CD">
        <w:rPr>
          <w:rFonts w:ascii="QCF_BSML" w:hAnsi="QCF_BSML" w:cs="QCF_BSML"/>
          <w:color w:val="auto"/>
          <w:sz w:val="32"/>
          <w:szCs w:val="32"/>
          <w:rtl/>
          <w:lang w:eastAsia="en-US"/>
        </w:rPr>
        <w:t>ﭼ</w:t>
      </w:r>
      <w:r w:rsidRPr="005C21CD">
        <w:rPr>
          <w:rFonts w:ascii="QCF_BSML" w:hAnsi="QCF_BSML" w:cs="QCF_BSML" w:hint="cs"/>
          <w:color w:val="auto"/>
          <w:sz w:val="32"/>
          <w:szCs w:val="32"/>
          <w:rtl/>
          <w:lang w:eastAsia="en-US"/>
        </w:rPr>
        <w:t xml:space="preserve"> </w:t>
      </w:r>
      <w:r w:rsidRPr="005C21CD">
        <w:rPr>
          <w:rtl/>
        </w:rPr>
        <w:t>حرك الياء ابن كثير، ونافع، وأبو عمرو، وأسكنها الباقون</w:t>
      </w:r>
      <w:r w:rsidRPr="005C21CD">
        <w:rPr>
          <w:vertAlign w:val="superscript"/>
          <w:rtl/>
        </w:rPr>
        <w:t>(</w:t>
      </w:r>
      <w:r w:rsidRPr="005C21CD">
        <w:rPr>
          <w:vertAlign w:val="superscript"/>
          <w:rtl/>
        </w:rPr>
        <w:footnoteReference w:id="1145"/>
      </w:r>
      <w:r w:rsidRPr="005C21CD">
        <w:rPr>
          <w:vertAlign w:val="superscript"/>
          <w:rtl/>
        </w:rPr>
        <w:t>)</w:t>
      </w:r>
      <w:r w:rsidRPr="005C21CD">
        <w:rPr>
          <w:rtl/>
        </w:rPr>
        <w:t>.</w:t>
      </w:r>
    </w:p>
    <w:p w:rsidR="00B66B69" w:rsidRDefault="005C21CD" w:rsidP="00B66B69">
      <w:pPr>
        <w:ind w:firstLine="0"/>
        <w:rPr>
          <w:rFonts w:ascii="QCF_P296" w:hAnsi="QCF_P296" w:cs="QCF_P296"/>
          <w:color w:val="auto"/>
          <w:sz w:val="32"/>
          <w:szCs w:val="32"/>
          <w:rtl/>
          <w:lang w:eastAsia="en-US"/>
        </w:rPr>
      </w:pPr>
      <w:r w:rsidRPr="005C21CD">
        <w:rPr>
          <w:rtl/>
        </w:rPr>
        <w:t xml:space="preserve">قوله تعالى: </w:t>
      </w:r>
      <w:r w:rsidRPr="005C21CD">
        <w:rPr>
          <w:rFonts w:ascii="QCF_BSML" w:hAnsi="QCF_BSML" w:cs="QCF_BSML"/>
          <w:color w:val="auto"/>
          <w:sz w:val="32"/>
          <w:szCs w:val="32"/>
          <w:rtl/>
          <w:lang w:eastAsia="en-US"/>
        </w:rPr>
        <w:t>ﭽ</w:t>
      </w:r>
      <w:r w:rsidRPr="005C21CD">
        <w:rPr>
          <w:rFonts w:ascii="QCF_P296" w:hAnsi="QCF_P296" w:cs="QCF_P296"/>
          <w:color w:val="auto"/>
          <w:sz w:val="32"/>
          <w:szCs w:val="32"/>
          <w:rtl/>
          <w:lang w:eastAsia="en-US"/>
        </w:rPr>
        <w:t xml:space="preserve"> ﮉ  ﮊ  ﮋ  </w:t>
      </w:r>
      <w:r w:rsidRPr="006C247D">
        <w:rPr>
          <w:rFonts w:ascii="QCF_P296" w:hAnsi="QCF_P296" w:cs="QCF_P296"/>
          <w:color w:val="auto"/>
          <w:sz w:val="32"/>
          <w:szCs w:val="32"/>
          <w:rtl/>
          <w:lang w:eastAsia="en-US"/>
        </w:rPr>
        <w:t xml:space="preserve">ﮌﮍ  </w:t>
      </w:r>
      <w:r w:rsidRPr="006C247D">
        <w:rPr>
          <w:rFonts w:ascii="QCF_BSML" w:hAnsi="QCF_BSML" w:cs="QCF_BSML"/>
          <w:color w:val="auto"/>
          <w:sz w:val="32"/>
          <w:szCs w:val="32"/>
          <w:rtl/>
          <w:lang w:eastAsia="en-US"/>
        </w:rPr>
        <w:t>ﭼ</w:t>
      </w:r>
      <w:r w:rsidRPr="006C247D">
        <w:rPr>
          <w:rFonts w:hint="cs"/>
          <w:color w:val="auto"/>
          <w:rtl/>
        </w:rPr>
        <w:t xml:space="preserve"> </w:t>
      </w:r>
      <w:r w:rsidRPr="005C21CD">
        <w:rPr>
          <w:rtl/>
        </w:rPr>
        <w:t>أي: ما يعلم عددهم إِلا قليل من الناس. قال عطاء يعني بالقليل: هم سبعة، إِن الله عدَّهم حتى انتهى إِلى السبعة</w:t>
      </w:r>
      <w:r w:rsidRPr="005C21CD">
        <w:rPr>
          <w:vertAlign w:val="superscript"/>
          <w:rtl/>
        </w:rPr>
        <w:t>(</w:t>
      </w:r>
      <w:r w:rsidRPr="005C21CD">
        <w:rPr>
          <w:vertAlign w:val="superscript"/>
          <w:rtl/>
        </w:rPr>
        <w:footnoteReference w:id="1146"/>
      </w:r>
      <w:r w:rsidRPr="005C21CD">
        <w:rPr>
          <w:vertAlign w:val="superscript"/>
          <w:rtl/>
        </w:rPr>
        <w:t>)</w:t>
      </w:r>
      <w:r w:rsidRPr="005C21CD">
        <w:rPr>
          <w:rtl/>
        </w:rPr>
        <w:t>.</w:t>
      </w:r>
      <w:r w:rsidRPr="005C21CD">
        <w:rPr>
          <w:rFonts w:hint="cs"/>
          <w:rtl/>
        </w:rPr>
        <w:t xml:space="preserve"> </w:t>
      </w:r>
      <w:r w:rsidRPr="005C21CD">
        <w:rPr>
          <w:rtl/>
        </w:rPr>
        <w:t>قوله تعالى:</w:t>
      </w:r>
      <w:r w:rsidRPr="005C21CD">
        <w:rPr>
          <w:rFonts w:ascii="QCF_BSML" w:hAnsi="QCF_BSML" w:cs="QCF_BSML"/>
          <w:color w:val="auto"/>
          <w:sz w:val="32"/>
          <w:szCs w:val="32"/>
          <w:rtl/>
          <w:lang w:eastAsia="en-US"/>
        </w:rPr>
        <w:t xml:space="preserve"> ﭽ</w:t>
      </w:r>
      <w:r w:rsidRPr="005C21CD">
        <w:rPr>
          <w:rFonts w:ascii="QCF_P296" w:hAnsi="QCF_P296" w:cs="QCF_P296" w:hint="cs"/>
          <w:color w:val="auto"/>
          <w:sz w:val="32"/>
          <w:szCs w:val="32"/>
          <w:rtl/>
          <w:lang w:eastAsia="en-US"/>
        </w:rPr>
        <w:t xml:space="preserve"> </w:t>
      </w:r>
      <w:r w:rsidRPr="005C21CD">
        <w:rPr>
          <w:rFonts w:ascii="QCF_P296" w:hAnsi="QCF_P296" w:cs="QCF_P296"/>
          <w:color w:val="auto"/>
          <w:sz w:val="32"/>
          <w:szCs w:val="32"/>
          <w:rtl/>
          <w:lang w:eastAsia="en-US"/>
        </w:rPr>
        <w:t xml:space="preserve">ﮎ  ﮏ   ﮐ  ﮑ  ﮒ </w:t>
      </w:r>
      <w:r w:rsidRPr="005C21CD">
        <w:rPr>
          <w:rFonts w:ascii="QCF_P296" w:hAnsi="QCF_P296" w:cs="QCF_P296" w:hint="cs"/>
          <w:color w:val="auto"/>
          <w:sz w:val="32"/>
          <w:szCs w:val="32"/>
          <w:rtl/>
          <w:lang w:eastAsia="en-US"/>
        </w:rPr>
        <w:t xml:space="preserve"> </w:t>
      </w:r>
      <w:r w:rsidRPr="005C21CD">
        <w:rPr>
          <w:rFonts w:ascii="QCF_P296" w:hAnsi="QCF_P296" w:cs="QCF_P296"/>
          <w:color w:val="auto"/>
          <w:sz w:val="32"/>
          <w:szCs w:val="32"/>
          <w:rtl/>
          <w:lang w:eastAsia="en-US"/>
        </w:rPr>
        <w:t xml:space="preserve">ﮓ </w:t>
      </w:r>
      <w:r w:rsidRPr="005C21CD">
        <w:rPr>
          <w:rFonts w:ascii="QCF_BSML" w:hAnsi="QCF_BSML" w:cs="QCF_BSML"/>
          <w:color w:val="auto"/>
          <w:sz w:val="32"/>
          <w:szCs w:val="32"/>
          <w:rtl/>
          <w:lang w:eastAsia="en-US"/>
        </w:rPr>
        <w:t>ﭼ</w:t>
      </w:r>
      <w:r w:rsidRPr="005C21CD">
        <w:rPr>
          <w:rFonts w:ascii="QCF_P296" w:hAnsi="QCF_P296" w:cs="QCF_P296"/>
          <w:color w:val="auto"/>
          <w:sz w:val="32"/>
          <w:szCs w:val="32"/>
          <w:rtl/>
          <w:lang w:eastAsia="en-US"/>
        </w:rPr>
        <w:t xml:space="preserve">  </w:t>
      </w:r>
      <w:r w:rsidRPr="005C21CD">
        <w:rPr>
          <w:rtl/>
        </w:rPr>
        <w:t>قال ابن عباس،</w:t>
      </w:r>
      <w:r w:rsidR="0092639A">
        <w:rPr>
          <w:rFonts w:hint="cs"/>
          <w:rtl/>
        </w:rPr>
        <w:t xml:space="preserve"> </w:t>
      </w:r>
      <w:r w:rsidR="0092639A" w:rsidRPr="001277AD">
        <w:rPr>
          <w:rFonts w:hint="cs"/>
          <w:color w:val="0D0D0D" w:themeColor="text1" w:themeTint="F2"/>
          <w:sz w:val="32"/>
          <w:szCs w:val="32"/>
          <w:rtl/>
        </w:rPr>
        <w:t>[</w:t>
      </w:r>
      <w:r w:rsidR="0092639A">
        <w:rPr>
          <w:rFonts w:hint="cs"/>
          <w:color w:val="0D0D0D" w:themeColor="text1" w:themeTint="F2"/>
          <w:sz w:val="32"/>
          <w:szCs w:val="32"/>
          <w:rtl/>
        </w:rPr>
        <w:t>113</w:t>
      </w:r>
      <w:r w:rsidR="0092639A" w:rsidRPr="001277AD">
        <w:rPr>
          <w:rFonts w:hint="cs"/>
          <w:color w:val="0D0D0D" w:themeColor="text1" w:themeTint="F2"/>
          <w:sz w:val="32"/>
          <w:szCs w:val="32"/>
          <w:rtl/>
        </w:rPr>
        <w:t>]</w:t>
      </w:r>
      <w:r w:rsidR="0092639A" w:rsidRPr="00911ED4">
        <w:rPr>
          <w:rFonts w:ascii="Traditional Arabic" w:hAnsi="Traditional Arabic"/>
          <w:rtl/>
        </w:rPr>
        <w:t xml:space="preserve"> </w:t>
      </w:r>
      <w:r w:rsidRPr="005C21CD">
        <w:rPr>
          <w:rtl/>
        </w:rPr>
        <w:t>وقتادة: لا تُمارِ أحداً، حسبك ما قصصتُ عليكَ من أمرهم</w:t>
      </w:r>
      <w:r w:rsidRPr="005C21CD">
        <w:rPr>
          <w:vertAlign w:val="superscript"/>
          <w:rtl/>
        </w:rPr>
        <w:t>(</w:t>
      </w:r>
      <w:r w:rsidRPr="005C21CD">
        <w:rPr>
          <w:vertAlign w:val="superscript"/>
          <w:rtl/>
        </w:rPr>
        <w:footnoteReference w:id="1147"/>
      </w:r>
      <w:r w:rsidRPr="005C21CD">
        <w:rPr>
          <w:vertAlign w:val="superscript"/>
          <w:rtl/>
        </w:rPr>
        <w:t>)</w:t>
      </w:r>
      <w:r w:rsidRPr="005C21CD">
        <w:rPr>
          <w:rtl/>
        </w:rPr>
        <w:t xml:space="preserve">. وقال ابن زيد: لا تُمارِ في عِدَّتهم </w:t>
      </w:r>
      <w:r w:rsidRPr="005C21CD">
        <w:rPr>
          <w:rFonts w:ascii="QCF_BSML" w:hAnsi="QCF_BSML" w:cs="QCF_BSML"/>
          <w:color w:val="auto"/>
          <w:sz w:val="32"/>
          <w:szCs w:val="32"/>
          <w:rtl/>
          <w:lang w:eastAsia="en-US"/>
        </w:rPr>
        <w:t>ﭽ</w:t>
      </w:r>
      <w:r w:rsidRPr="005C21CD">
        <w:rPr>
          <w:rFonts w:ascii="QCF_P296" w:hAnsi="QCF_P296" w:cs="QCF_P296"/>
          <w:color w:val="auto"/>
          <w:sz w:val="32"/>
          <w:szCs w:val="32"/>
          <w:rtl/>
          <w:lang w:eastAsia="en-US"/>
        </w:rPr>
        <w:t xml:space="preserve"> ﮑ   ﮒ </w:t>
      </w:r>
      <w:r w:rsidRPr="005C21CD">
        <w:rPr>
          <w:rFonts w:ascii="QCF_P296" w:hAnsi="QCF_P296" w:cs="QCF_P296" w:hint="cs"/>
          <w:color w:val="auto"/>
          <w:sz w:val="32"/>
          <w:szCs w:val="32"/>
          <w:rtl/>
          <w:lang w:eastAsia="en-US"/>
        </w:rPr>
        <w:t xml:space="preserve"> </w:t>
      </w:r>
      <w:r w:rsidRPr="005C21CD">
        <w:rPr>
          <w:rFonts w:ascii="QCF_P296" w:hAnsi="QCF_P296" w:cs="QCF_P296"/>
          <w:color w:val="auto"/>
          <w:sz w:val="32"/>
          <w:szCs w:val="32"/>
          <w:rtl/>
          <w:lang w:eastAsia="en-US"/>
        </w:rPr>
        <w:t xml:space="preserve">ﮓ </w:t>
      </w:r>
      <w:r w:rsidRPr="005C21CD">
        <w:rPr>
          <w:rFonts w:ascii="QCF_BSML" w:hAnsi="QCF_BSML" w:cs="QCF_BSML"/>
          <w:color w:val="auto"/>
          <w:sz w:val="32"/>
          <w:szCs w:val="32"/>
          <w:rtl/>
          <w:lang w:eastAsia="en-US"/>
        </w:rPr>
        <w:t>ﭼ</w:t>
      </w:r>
      <w:r w:rsidRPr="005C21CD">
        <w:rPr>
          <w:rFonts w:ascii="QCF_P296" w:hAnsi="QCF_P296" w:cs="QCF_P296"/>
          <w:color w:val="auto"/>
          <w:sz w:val="32"/>
          <w:szCs w:val="32"/>
          <w:rtl/>
          <w:lang w:eastAsia="en-US"/>
        </w:rPr>
        <w:t xml:space="preserve">  </w:t>
      </w:r>
      <w:r w:rsidRPr="005C21CD">
        <w:rPr>
          <w:rtl/>
        </w:rPr>
        <w:t>أن تقول لهم: ليس كما</w:t>
      </w:r>
      <w:r w:rsidRPr="005C21CD">
        <w:rPr>
          <w:rFonts w:hint="cs"/>
          <w:rtl/>
        </w:rPr>
        <w:t xml:space="preserve"> </w:t>
      </w:r>
      <w:r w:rsidRPr="005C21CD">
        <w:rPr>
          <w:rtl/>
        </w:rPr>
        <w:t>تقولون، ليس كما تعلمون</w:t>
      </w:r>
      <w:r w:rsidRPr="005C21CD">
        <w:rPr>
          <w:vertAlign w:val="superscript"/>
          <w:rtl/>
        </w:rPr>
        <w:t>(</w:t>
      </w:r>
      <w:r w:rsidRPr="005C21CD">
        <w:rPr>
          <w:vertAlign w:val="superscript"/>
          <w:rtl/>
        </w:rPr>
        <w:footnoteReference w:id="1148"/>
      </w:r>
      <w:r w:rsidRPr="005C21CD">
        <w:rPr>
          <w:vertAlign w:val="superscript"/>
          <w:rtl/>
        </w:rPr>
        <w:t>)</w:t>
      </w:r>
      <w:r w:rsidRPr="005C21CD">
        <w:rPr>
          <w:rtl/>
        </w:rPr>
        <w:t>. وقيل:</w:t>
      </w:r>
      <w:r w:rsidRPr="005C21CD">
        <w:rPr>
          <w:rFonts w:ascii="QCF_BSML" w:hAnsi="QCF_BSML" w:cs="QCF_BSML"/>
          <w:color w:val="auto"/>
          <w:sz w:val="32"/>
          <w:szCs w:val="32"/>
          <w:rtl/>
          <w:lang w:eastAsia="en-US"/>
        </w:rPr>
        <w:t xml:space="preserve"> ﭽ</w:t>
      </w:r>
      <w:r w:rsidRPr="005C21CD">
        <w:rPr>
          <w:rtl/>
        </w:rPr>
        <w:t xml:space="preserve"> </w:t>
      </w:r>
      <w:r w:rsidRPr="005C21CD">
        <w:rPr>
          <w:rFonts w:ascii="QCF_P296" w:hAnsi="QCF_P296" w:cs="QCF_P296"/>
          <w:color w:val="auto"/>
          <w:sz w:val="32"/>
          <w:szCs w:val="32"/>
          <w:rtl/>
          <w:lang w:eastAsia="en-US"/>
        </w:rPr>
        <w:t xml:space="preserve">ﮑ   ﮒ </w:t>
      </w:r>
      <w:r w:rsidRPr="005C21CD">
        <w:rPr>
          <w:rFonts w:ascii="QCF_P296" w:hAnsi="QCF_P296" w:cs="QCF_P296" w:hint="cs"/>
          <w:color w:val="auto"/>
          <w:sz w:val="32"/>
          <w:szCs w:val="32"/>
          <w:rtl/>
          <w:lang w:eastAsia="en-US"/>
        </w:rPr>
        <w:t xml:space="preserve"> </w:t>
      </w:r>
      <w:r w:rsidRPr="005C21CD">
        <w:rPr>
          <w:rFonts w:ascii="QCF_P296" w:hAnsi="QCF_P296" w:cs="QCF_P296"/>
          <w:color w:val="auto"/>
          <w:sz w:val="32"/>
          <w:szCs w:val="32"/>
          <w:rtl/>
          <w:lang w:eastAsia="en-US"/>
        </w:rPr>
        <w:t xml:space="preserve">ﮓ  </w:t>
      </w:r>
      <w:r w:rsidRPr="005C21CD">
        <w:rPr>
          <w:rFonts w:ascii="QCF_BSML" w:hAnsi="QCF_BSML" w:cs="QCF_BSML"/>
          <w:color w:val="auto"/>
          <w:sz w:val="32"/>
          <w:szCs w:val="32"/>
          <w:rtl/>
          <w:lang w:eastAsia="en-US"/>
        </w:rPr>
        <w:t>ﭼ</w:t>
      </w:r>
      <w:r w:rsidRPr="005C21CD">
        <w:rPr>
          <w:rFonts w:ascii="QCF_P296" w:hAnsi="QCF_P296" w:cs="QCF_P296"/>
          <w:color w:val="auto"/>
          <w:sz w:val="32"/>
          <w:szCs w:val="32"/>
          <w:rtl/>
          <w:lang w:eastAsia="en-US"/>
        </w:rPr>
        <w:t xml:space="preserve"> </w:t>
      </w:r>
      <w:r w:rsidRPr="005C21CD">
        <w:rPr>
          <w:rFonts w:hint="cs"/>
          <w:rtl/>
        </w:rPr>
        <w:t xml:space="preserve"> </w:t>
      </w:r>
      <w:r w:rsidRPr="005C21CD">
        <w:rPr>
          <w:rtl/>
        </w:rPr>
        <w:t>بحجة واضحة، حكاه الماوردي</w:t>
      </w:r>
      <w:r w:rsidRPr="005C21CD">
        <w:rPr>
          <w:vertAlign w:val="superscript"/>
          <w:rtl/>
        </w:rPr>
        <w:t>(</w:t>
      </w:r>
      <w:r w:rsidRPr="005C21CD">
        <w:rPr>
          <w:vertAlign w:val="superscript"/>
          <w:rtl/>
        </w:rPr>
        <w:footnoteReference w:id="1149"/>
      </w:r>
      <w:r w:rsidRPr="005C21CD">
        <w:rPr>
          <w:vertAlign w:val="superscript"/>
          <w:rtl/>
        </w:rPr>
        <w:t>)</w:t>
      </w:r>
      <w:r w:rsidRPr="005C21CD">
        <w:rPr>
          <w:rtl/>
        </w:rPr>
        <w:t>. والمراء في اللغة: الجدال يقال: مارى يُماري مُماراة ومِراءً، أي: جادَل</w:t>
      </w:r>
      <w:r w:rsidRPr="005C21CD">
        <w:rPr>
          <w:vertAlign w:val="superscript"/>
          <w:rtl/>
        </w:rPr>
        <w:t>(</w:t>
      </w:r>
      <w:r w:rsidRPr="005C21CD">
        <w:rPr>
          <w:vertAlign w:val="superscript"/>
          <w:rtl/>
        </w:rPr>
        <w:footnoteReference w:id="1150"/>
      </w:r>
      <w:r w:rsidRPr="005C21CD">
        <w:rPr>
          <w:vertAlign w:val="superscript"/>
          <w:rtl/>
        </w:rPr>
        <w:t>)</w:t>
      </w:r>
      <w:r w:rsidRPr="005C21CD">
        <w:rPr>
          <w:rtl/>
        </w:rPr>
        <w:t>. قال ابن الأنباري: معنى الآية: لا تجادل إِلا جدال متيقِّنٍ عالِم بحقيقة الخبر، إذ الله تعالى ألقى إليك ما لا يشوبه باطل</w:t>
      </w:r>
      <w:r w:rsidRPr="005C21CD">
        <w:rPr>
          <w:vertAlign w:val="superscript"/>
          <w:rtl/>
        </w:rPr>
        <w:t>(</w:t>
      </w:r>
      <w:r w:rsidRPr="005C21CD">
        <w:rPr>
          <w:vertAlign w:val="superscript"/>
          <w:rtl/>
        </w:rPr>
        <w:footnoteReference w:id="1151"/>
      </w:r>
      <w:r w:rsidRPr="005C21CD">
        <w:rPr>
          <w:vertAlign w:val="superscript"/>
          <w:rtl/>
        </w:rPr>
        <w:t>)</w:t>
      </w:r>
      <w:r w:rsidRPr="005C21CD">
        <w:rPr>
          <w:rtl/>
        </w:rPr>
        <w:t>. وتفسير المراء في اللغة: استخراج غ</w:t>
      </w:r>
      <w:r w:rsidRPr="005C21CD">
        <w:rPr>
          <w:rFonts w:hint="cs"/>
          <w:rtl/>
        </w:rPr>
        <w:t>ض</w:t>
      </w:r>
      <w:r w:rsidRPr="005C21CD">
        <w:rPr>
          <w:rtl/>
        </w:rPr>
        <w:t>ب المجادل، من قولهم: مَرَيْتُ الشاة: إِذا استخرجت لبنها</w:t>
      </w:r>
      <w:r w:rsidRPr="005C21CD">
        <w:rPr>
          <w:vertAlign w:val="superscript"/>
          <w:rtl/>
        </w:rPr>
        <w:t>(</w:t>
      </w:r>
      <w:r w:rsidRPr="005C21CD">
        <w:rPr>
          <w:vertAlign w:val="superscript"/>
          <w:rtl/>
        </w:rPr>
        <w:footnoteReference w:id="1152"/>
      </w:r>
      <w:r w:rsidRPr="005C21CD">
        <w:rPr>
          <w:vertAlign w:val="superscript"/>
          <w:rtl/>
        </w:rPr>
        <w:t>)</w:t>
      </w:r>
      <w:r w:rsidRPr="005C21CD">
        <w:rPr>
          <w:rtl/>
        </w:rPr>
        <w:t xml:space="preserve">. </w:t>
      </w:r>
    </w:p>
    <w:p w:rsidR="00B66B69" w:rsidRDefault="00B66B69" w:rsidP="00B66B69">
      <w:pPr>
        <w:ind w:firstLine="0"/>
        <w:rPr>
          <w:rFonts w:ascii="QCF_P296" w:hAnsi="QCF_P296" w:cs="QCF_P296"/>
          <w:color w:val="auto"/>
          <w:sz w:val="32"/>
          <w:szCs w:val="32"/>
          <w:rtl/>
          <w:lang w:eastAsia="en-US"/>
        </w:rPr>
      </w:pPr>
    </w:p>
    <w:p w:rsidR="006C247D" w:rsidRPr="00B66B69" w:rsidRDefault="005C21CD" w:rsidP="00B66B69">
      <w:pPr>
        <w:ind w:firstLine="0"/>
        <w:rPr>
          <w:rFonts w:ascii="QCF_P296" w:hAnsi="QCF_P296" w:cs="QCF_P296"/>
          <w:color w:val="auto"/>
          <w:sz w:val="32"/>
          <w:szCs w:val="32"/>
          <w:rtl/>
          <w:lang w:eastAsia="en-US"/>
        </w:rPr>
      </w:pPr>
      <w:r w:rsidRPr="005C21CD">
        <w:rPr>
          <w:rtl/>
        </w:rPr>
        <w:lastRenderedPageBreak/>
        <w:t xml:space="preserve">قوله تعالى: </w:t>
      </w:r>
      <w:r w:rsidRPr="005C21CD">
        <w:rPr>
          <w:rFonts w:ascii="QCF_BSML" w:hAnsi="QCF_BSML" w:cs="QCF_BSML"/>
          <w:color w:val="auto"/>
          <w:sz w:val="32"/>
          <w:szCs w:val="32"/>
          <w:rtl/>
          <w:lang w:eastAsia="en-US"/>
        </w:rPr>
        <w:t>ﭽ</w:t>
      </w:r>
      <w:r w:rsidRPr="005C21CD">
        <w:rPr>
          <w:rFonts w:ascii="QCF_P296" w:hAnsi="QCF_P296" w:cs="QCF_P296"/>
          <w:color w:val="auto"/>
          <w:sz w:val="32"/>
          <w:szCs w:val="32"/>
          <w:rtl/>
          <w:lang w:eastAsia="en-US"/>
        </w:rPr>
        <w:t xml:space="preserve"> ﮔ  ﮕ  ﮖ  </w:t>
      </w:r>
      <w:r w:rsidRPr="005C21CD">
        <w:rPr>
          <w:rFonts w:ascii="QCF_BSML" w:hAnsi="QCF_BSML" w:cs="QCF_BSML"/>
          <w:color w:val="auto"/>
          <w:sz w:val="32"/>
          <w:szCs w:val="32"/>
          <w:rtl/>
          <w:lang w:eastAsia="en-US"/>
        </w:rPr>
        <w:t>ﭼ</w:t>
      </w:r>
      <w:r w:rsidRPr="005C21CD">
        <w:rPr>
          <w:rFonts w:ascii="QCF_P296" w:hAnsi="QCF_P296" w:cs="QCF_P296"/>
          <w:color w:val="auto"/>
          <w:sz w:val="32"/>
          <w:szCs w:val="32"/>
          <w:rtl/>
          <w:lang w:eastAsia="en-US"/>
        </w:rPr>
        <w:t xml:space="preserve">  </w:t>
      </w:r>
      <w:r w:rsidRPr="005C21CD">
        <w:rPr>
          <w:rtl/>
        </w:rPr>
        <w:t>أي: في أصحاب الكهف،</w:t>
      </w:r>
      <w:r w:rsidRPr="005C21CD">
        <w:rPr>
          <w:rFonts w:ascii="QCF_P296" w:hAnsi="QCF_P296" w:cs="QCF_P296"/>
          <w:color w:val="auto"/>
          <w:sz w:val="32"/>
          <w:szCs w:val="32"/>
          <w:rtl/>
          <w:lang w:eastAsia="en-US"/>
        </w:rPr>
        <w:t xml:space="preserve"> </w:t>
      </w:r>
      <w:r w:rsidRPr="005C21CD">
        <w:rPr>
          <w:rFonts w:ascii="QCF_P296" w:hAnsi="QCF_P296" w:cs="QCF_P296" w:hint="cs"/>
          <w:color w:val="auto"/>
          <w:sz w:val="32"/>
          <w:szCs w:val="32"/>
          <w:rtl/>
          <w:lang w:eastAsia="en-US"/>
        </w:rPr>
        <w:t xml:space="preserve"> </w:t>
      </w:r>
      <w:r w:rsidRPr="005C21CD">
        <w:rPr>
          <w:rFonts w:ascii="QCF_BSML" w:hAnsi="QCF_BSML" w:cs="QCF_BSML"/>
          <w:color w:val="auto"/>
          <w:sz w:val="32"/>
          <w:szCs w:val="32"/>
          <w:rtl/>
          <w:lang w:eastAsia="en-US"/>
        </w:rPr>
        <w:t>ﭽ</w:t>
      </w:r>
      <w:r w:rsidRPr="005C21CD">
        <w:rPr>
          <w:rFonts w:ascii="QCF_P296" w:hAnsi="QCF_P296" w:cs="QCF_P296"/>
          <w:color w:val="auto"/>
          <w:sz w:val="32"/>
          <w:szCs w:val="32"/>
          <w:rtl/>
          <w:lang w:eastAsia="en-US"/>
        </w:rPr>
        <w:t xml:space="preserve"> ﮗ</w:t>
      </w:r>
      <w:r w:rsidRPr="005C21CD">
        <w:rPr>
          <w:rFonts w:ascii="QCF_BSML" w:hAnsi="QCF_BSML" w:cs="QCF_BSML"/>
          <w:color w:val="auto"/>
          <w:sz w:val="32"/>
          <w:szCs w:val="32"/>
          <w:rtl/>
          <w:lang w:eastAsia="en-US"/>
        </w:rPr>
        <w:t>ﭼ</w:t>
      </w:r>
      <w:r w:rsidRPr="005C21CD">
        <w:rPr>
          <w:rFonts w:ascii="QCF_P296" w:hAnsi="QCF_P296" w:cs="QCF_P296"/>
          <w:color w:val="auto"/>
          <w:sz w:val="32"/>
          <w:szCs w:val="32"/>
          <w:rtl/>
          <w:lang w:eastAsia="en-US"/>
        </w:rPr>
        <w:t xml:space="preserve">  </w:t>
      </w:r>
      <w:r w:rsidRPr="005C21CD">
        <w:rPr>
          <w:rtl/>
        </w:rPr>
        <w:t>قال ابن عباس: يعني: من أهل الكتاب</w:t>
      </w:r>
      <w:r w:rsidRPr="005C21CD">
        <w:rPr>
          <w:vertAlign w:val="superscript"/>
          <w:rtl/>
        </w:rPr>
        <w:t>(</w:t>
      </w:r>
      <w:r w:rsidRPr="005C21CD">
        <w:rPr>
          <w:vertAlign w:val="superscript"/>
          <w:rtl/>
        </w:rPr>
        <w:footnoteReference w:id="1153"/>
      </w:r>
      <w:r w:rsidRPr="005C21CD">
        <w:rPr>
          <w:vertAlign w:val="superscript"/>
          <w:rtl/>
        </w:rPr>
        <w:t>)</w:t>
      </w:r>
      <w:r w:rsidRPr="005C21CD">
        <w:rPr>
          <w:rtl/>
        </w:rPr>
        <w:t>. قال الفراء:</w:t>
      </w:r>
      <w:r w:rsidRPr="005C21CD">
        <w:rPr>
          <w:rFonts w:hint="cs"/>
          <w:rtl/>
        </w:rPr>
        <w:t xml:space="preserve"> </w:t>
      </w:r>
      <w:r w:rsidRPr="005C21CD">
        <w:rPr>
          <w:rtl/>
        </w:rPr>
        <w:t xml:space="preserve">أتاه فريقان من النصارى، نسطوري، ويعقوبي، فسألهم النبي </w:t>
      </w:r>
      <w:r w:rsidRPr="005C21CD">
        <w:rPr>
          <w:rFonts w:hint="cs"/>
        </w:rPr>
        <w:sym w:font="AGA Arabesque" w:char="F072"/>
      </w:r>
      <w:r w:rsidRPr="005C21CD">
        <w:rPr>
          <w:rFonts w:hint="cs"/>
          <w:rtl/>
        </w:rPr>
        <w:t xml:space="preserve"> </w:t>
      </w:r>
      <w:r w:rsidRPr="005C21CD">
        <w:rPr>
          <w:rtl/>
        </w:rPr>
        <w:t xml:space="preserve"> عن عددهم، فنُهي عن ذلك</w:t>
      </w:r>
      <w:r w:rsidRPr="005C21CD">
        <w:rPr>
          <w:vertAlign w:val="superscript"/>
          <w:rtl/>
        </w:rPr>
        <w:t>(</w:t>
      </w:r>
      <w:r w:rsidRPr="005C21CD">
        <w:rPr>
          <w:vertAlign w:val="superscript"/>
          <w:rtl/>
        </w:rPr>
        <w:footnoteReference w:id="1154"/>
      </w:r>
      <w:r w:rsidRPr="005C21CD">
        <w:rPr>
          <w:vertAlign w:val="superscript"/>
          <w:rtl/>
        </w:rPr>
        <w:t>)</w:t>
      </w:r>
      <w:r w:rsidRPr="005C21CD">
        <w:rPr>
          <w:rtl/>
        </w:rPr>
        <w:t>.</w:t>
      </w:r>
      <w:r w:rsidRPr="005C21CD">
        <w:rPr>
          <w:rFonts w:hint="cs"/>
          <w:rtl/>
        </w:rPr>
        <w:t xml:space="preserve"> </w:t>
      </w:r>
    </w:p>
    <w:p w:rsidR="005C21CD" w:rsidRPr="005C21CD" w:rsidRDefault="005C21CD" w:rsidP="0092639A">
      <w:pPr>
        <w:ind w:firstLine="0"/>
        <w:rPr>
          <w:rtl/>
        </w:rPr>
      </w:pPr>
      <w:r w:rsidRPr="005C21CD">
        <w:rPr>
          <w:rtl/>
        </w:rPr>
        <w:t xml:space="preserve">قوله تعالى: </w:t>
      </w:r>
      <w:r w:rsidRPr="005C21CD">
        <w:rPr>
          <w:rFonts w:ascii="QCF_BSML" w:hAnsi="QCF_BSML" w:cs="QCF_BSML"/>
          <w:color w:val="auto"/>
          <w:sz w:val="32"/>
          <w:szCs w:val="32"/>
          <w:rtl/>
          <w:lang w:eastAsia="en-US"/>
        </w:rPr>
        <w:t>ﭽ</w:t>
      </w:r>
      <w:r w:rsidRPr="005C21CD">
        <w:rPr>
          <w:rFonts w:ascii="QCF_P296" w:hAnsi="QCF_P296" w:cs="QCF_P296"/>
          <w:color w:val="auto"/>
          <w:sz w:val="32"/>
          <w:szCs w:val="32"/>
          <w:rtl/>
          <w:lang w:eastAsia="en-US"/>
        </w:rPr>
        <w:t xml:space="preserve"> ﮚ  ﮛ  ﮜ   ﮝ   ﮞ  ﮟ  ﮠ  ﮡ  ﮢ  ﮣ  ﮤ  ﮥﮦ  </w:t>
      </w:r>
      <w:r w:rsidRPr="005C21CD">
        <w:rPr>
          <w:rFonts w:ascii="QCF_BSML" w:hAnsi="QCF_BSML" w:cs="QCF_BSML"/>
          <w:color w:val="auto"/>
          <w:sz w:val="32"/>
          <w:szCs w:val="32"/>
          <w:rtl/>
          <w:lang w:eastAsia="en-US"/>
        </w:rPr>
        <w:t>ﭼ</w:t>
      </w:r>
      <w:r w:rsidRPr="005C21CD">
        <w:rPr>
          <w:rFonts w:hint="cs"/>
          <w:rtl/>
        </w:rPr>
        <w:t xml:space="preserve"> </w:t>
      </w:r>
      <w:r w:rsidRPr="005C21CD">
        <w:rPr>
          <w:rtl/>
        </w:rPr>
        <w:t xml:space="preserve">سبب نزولها أن قريشا سألوا النبيّ </w:t>
      </w:r>
      <w:r w:rsidRPr="005C21CD">
        <w:rPr>
          <w:rFonts w:hint="cs"/>
        </w:rPr>
        <w:sym w:font="AGA Arabesque" w:char="F072"/>
      </w:r>
      <w:r w:rsidRPr="005C21CD">
        <w:rPr>
          <w:rFonts w:hint="cs"/>
          <w:rtl/>
        </w:rPr>
        <w:t xml:space="preserve"> </w:t>
      </w:r>
      <w:r w:rsidRPr="005C21CD">
        <w:rPr>
          <w:rtl/>
        </w:rPr>
        <w:t>عن ذي القرنين، وعن الرُّوح، وعن أصحاب الكهف، فقال: غداً أخبركم بذلك، ولم يقل: إِن شاء الله، فأبطأ عليه جبريل خمسة عشر يوماً لتركه الاستثناء، فشقَّ ذلك</w:t>
      </w:r>
      <w:r w:rsidR="0092639A">
        <w:rPr>
          <w:rFonts w:hint="cs"/>
          <w:rtl/>
        </w:rPr>
        <w:t xml:space="preserve"> </w:t>
      </w:r>
      <w:r w:rsidRPr="005C21CD">
        <w:rPr>
          <w:rtl/>
        </w:rPr>
        <w:t>عليه، ثم نزلت هذه الآية، قاله أبو صالح عن ابن عباس</w:t>
      </w:r>
      <w:r w:rsidRPr="005C21CD">
        <w:rPr>
          <w:vertAlign w:val="superscript"/>
          <w:rtl/>
        </w:rPr>
        <w:t>(</w:t>
      </w:r>
      <w:r w:rsidRPr="005C21CD">
        <w:rPr>
          <w:vertAlign w:val="superscript"/>
          <w:rtl/>
        </w:rPr>
        <w:footnoteReference w:id="1155"/>
      </w:r>
      <w:r w:rsidRPr="005C21CD">
        <w:rPr>
          <w:vertAlign w:val="superscript"/>
          <w:rtl/>
        </w:rPr>
        <w:t>)</w:t>
      </w:r>
      <w:r w:rsidRPr="005C21CD">
        <w:rPr>
          <w:rtl/>
        </w:rPr>
        <w:t>. ومعنى الكلام: ولا تقولن لشيء إِني فاعل ذلك غداً، إِلا أن تقول: إِن شاء الله، فحذف القول</w:t>
      </w:r>
      <w:r w:rsidRPr="005C21CD">
        <w:rPr>
          <w:vertAlign w:val="superscript"/>
          <w:rtl/>
        </w:rPr>
        <w:t>(</w:t>
      </w:r>
      <w:r w:rsidRPr="005C21CD">
        <w:rPr>
          <w:vertAlign w:val="superscript"/>
          <w:rtl/>
        </w:rPr>
        <w:footnoteReference w:id="1156"/>
      </w:r>
      <w:r w:rsidRPr="005C21CD">
        <w:rPr>
          <w:vertAlign w:val="superscript"/>
          <w:rtl/>
        </w:rPr>
        <w:t>)</w:t>
      </w:r>
      <w:r w:rsidRPr="005C21CD">
        <w:rPr>
          <w:rtl/>
        </w:rPr>
        <w:t>.</w:t>
      </w:r>
      <w:r w:rsidRPr="005C21CD">
        <w:rPr>
          <w:rFonts w:hint="cs"/>
          <w:rtl/>
        </w:rPr>
        <w:t xml:space="preserve"> </w:t>
      </w:r>
      <w:r w:rsidRPr="005C21CD">
        <w:rPr>
          <w:rtl/>
        </w:rPr>
        <w:t>قوله تعالى:</w:t>
      </w:r>
      <w:r w:rsidRPr="005C21CD">
        <w:rPr>
          <w:rFonts w:ascii="QCF_BSML" w:hAnsi="QCF_BSML" w:cs="QCF_BSML"/>
          <w:color w:val="auto"/>
          <w:sz w:val="32"/>
          <w:szCs w:val="32"/>
          <w:rtl/>
          <w:lang w:eastAsia="en-US"/>
        </w:rPr>
        <w:t xml:space="preserve"> ﭽ</w:t>
      </w:r>
      <w:r w:rsidRPr="005C21CD">
        <w:rPr>
          <w:rtl/>
        </w:rPr>
        <w:t xml:space="preserve"> </w:t>
      </w:r>
      <w:r w:rsidRPr="005C21CD">
        <w:rPr>
          <w:rFonts w:ascii="QCF_P296" w:hAnsi="QCF_P296" w:cs="QCF_P296"/>
          <w:color w:val="auto"/>
          <w:sz w:val="32"/>
          <w:szCs w:val="32"/>
          <w:rtl/>
          <w:lang w:eastAsia="en-US"/>
        </w:rPr>
        <w:t>ﮧ  ﮨ   ﮩ  ﮪ</w:t>
      </w:r>
      <w:r w:rsidRPr="005C21CD">
        <w:rPr>
          <w:rFonts w:ascii="QCF_BSML" w:hAnsi="QCF_BSML" w:cs="QCF_BSML"/>
          <w:color w:val="auto"/>
          <w:sz w:val="32"/>
          <w:szCs w:val="32"/>
          <w:rtl/>
          <w:lang w:eastAsia="en-US"/>
        </w:rPr>
        <w:t>ﭼ</w:t>
      </w:r>
      <w:r w:rsidRPr="005C21CD">
        <w:rPr>
          <w:rFonts w:ascii="QCF_P296" w:hAnsi="QCF_P296" w:cs="QCF_P296"/>
          <w:color w:val="auto"/>
          <w:sz w:val="32"/>
          <w:szCs w:val="32"/>
          <w:rtl/>
          <w:lang w:eastAsia="en-US"/>
        </w:rPr>
        <w:t xml:space="preserve">  </w:t>
      </w:r>
      <w:r w:rsidRPr="005C21CD">
        <w:rPr>
          <w:rtl/>
        </w:rPr>
        <w:t>قال ابن الأنباري: معناه: واذكر ربَّكَ بعد تقضِّي النسيان، كما تقول: اذكر لعبد الله- إِذا صلّى- حاجتك، أي: بعد انقضاء الصلاة</w:t>
      </w:r>
      <w:r w:rsidRPr="005C21CD">
        <w:rPr>
          <w:vertAlign w:val="superscript"/>
          <w:rtl/>
        </w:rPr>
        <w:t>(</w:t>
      </w:r>
      <w:r w:rsidRPr="005C21CD">
        <w:rPr>
          <w:vertAlign w:val="superscript"/>
          <w:rtl/>
        </w:rPr>
        <w:footnoteReference w:id="1157"/>
      </w:r>
      <w:r w:rsidRPr="005C21CD">
        <w:rPr>
          <w:vertAlign w:val="superscript"/>
          <w:rtl/>
        </w:rPr>
        <w:t>)</w:t>
      </w:r>
      <w:r w:rsidRPr="005C21CD">
        <w:rPr>
          <w:rtl/>
        </w:rPr>
        <w:t>.</w:t>
      </w:r>
      <w:r w:rsidRPr="005C21CD">
        <w:rPr>
          <w:rFonts w:hint="cs"/>
          <w:rtl/>
        </w:rPr>
        <w:t xml:space="preserve"> </w:t>
      </w:r>
      <w:r w:rsidRPr="005C21CD">
        <w:rPr>
          <w:rtl/>
        </w:rPr>
        <w:t xml:space="preserve">وللمفسرين في معنى الآية ثلاثة أقوال: أحدها: أن المعنى: </w:t>
      </w:r>
      <w:r w:rsidRPr="005C21CD">
        <w:rPr>
          <w:rFonts w:ascii="QCF_BSML" w:hAnsi="QCF_BSML" w:cs="QCF_BSML"/>
          <w:color w:val="auto"/>
          <w:sz w:val="32"/>
          <w:szCs w:val="32"/>
          <w:rtl/>
          <w:lang w:eastAsia="en-US"/>
        </w:rPr>
        <w:t>ﭽ</w:t>
      </w:r>
      <w:r w:rsidRPr="005C21CD">
        <w:rPr>
          <w:rFonts w:ascii="QCF_P296" w:hAnsi="QCF_P296" w:cs="QCF_P296"/>
          <w:color w:val="auto"/>
          <w:sz w:val="32"/>
          <w:szCs w:val="32"/>
          <w:rtl/>
          <w:lang w:eastAsia="en-US"/>
        </w:rPr>
        <w:t xml:space="preserve"> ﮩ  ﮪ</w:t>
      </w:r>
      <w:r w:rsidRPr="005C21CD">
        <w:rPr>
          <w:rFonts w:ascii="QCF_BSML" w:hAnsi="QCF_BSML" w:cs="QCF_BSML"/>
          <w:color w:val="auto"/>
          <w:sz w:val="32"/>
          <w:szCs w:val="32"/>
          <w:rtl/>
          <w:lang w:eastAsia="en-US"/>
        </w:rPr>
        <w:t>ﭼ</w:t>
      </w:r>
      <w:r w:rsidRPr="005C21CD">
        <w:rPr>
          <w:rFonts w:ascii="QCF_P296" w:hAnsi="QCF_P296" w:cs="QCF_P296"/>
          <w:color w:val="auto"/>
          <w:sz w:val="32"/>
          <w:szCs w:val="32"/>
          <w:rtl/>
          <w:lang w:eastAsia="en-US"/>
        </w:rPr>
        <w:t xml:space="preserve">  </w:t>
      </w:r>
      <w:r w:rsidRPr="005C21CD">
        <w:rPr>
          <w:rtl/>
        </w:rPr>
        <w:t>الاستثناء ثم ذكرت،</w:t>
      </w:r>
      <w:r w:rsidRPr="005C21CD">
        <w:rPr>
          <w:rFonts w:hint="cs"/>
          <w:rtl/>
        </w:rPr>
        <w:t xml:space="preserve"> </w:t>
      </w:r>
      <w:r w:rsidRPr="005C21CD">
        <w:rPr>
          <w:rtl/>
        </w:rPr>
        <w:t>فقل: إِن شاء الله، ولو كان بعد يوم أو شهر أو سنة، قاله سعيد بن جبير</w:t>
      </w:r>
      <w:r w:rsidRPr="005C21CD">
        <w:rPr>
          <w:vertAlign w:val="superscript"/>
          <w:rtl/>
        </w:rPr>
        <w:t>(</w:t>
      </w:r>
      <w:r w:rsidRPr="005C21CD">
        <w:rPr>
          <w:vertAlign w:val="superscript"/>
          <w:rtl/>
        </w:rPr>
        <w:footnoteReference w:id="1158"/>
      </w:r>
      <w:r w:rsidRPr="005C21CD">
        <w:rPr>
          <w:vertAlign w:val="superscript"/>
          <w:rtl/>
        </w:rPr>
        <w:t>)</w:t>
      </w:r>
      <w:r w:rsidRPr="005C21CD">
        <w:rPr>
          <w:rtl/>
        </w:rPr>
        <w:t>، والجمهور</w:t>
      </w:r>
      <w:r w:rsidRPr="005C21CD">
        <w:rPr>
          <w:vertAlign w:val="superscript"/>
          <w:rtl/>
        </w:rPr>
        <w:t>(</w:t>
      </w:r>
      <w:r w:rsidRPr="005C21CD">
        <w:rPr>
          <w:vertAlign w:val="superscript"/>
          <w:rtl/>
        </w:rPr>
        <w:footnoteReference w:id="1159"/>
      </w:r>
      <w:r w:rsidRPr="005C21CD">
        <w:rPr>
          <w:vertAlign w:val="superscript"/>
          <w:rtl/>
        </w:rPr>
        <w:t>)</w:t>
      </w:r>
      <w:r w:rsidRPr="005C21CD">
        <w:rPr>
          <w:rtl/>
        </w:rPr>
        <w:t xml:space="preserve">. والثاني: أن معنى </w:t>
      </w:r>
      <w:r w:rsidRPr="005C21CD">
        <w:rPr>
          <w:rFonts w:ascii="QCF_BSML" w:hAnsi="QCF_BSML" w:cs="QCF_BSML"/>
          <w:color w:val="auto"/>
          <w:sz w:val="32"/>
          <w:szCs w:val="32"/>
          <w:rtl/>
          <w:lang w:eastAsia="en-US"/>
        </w:rPr>
        <w:t>ﭽ</w:t>
      </w:r>
      <w:r w:rsidRPr="005C21CD">
        <w:rPr>
          <w:rFonts w:ascii="QCF_P296" w:hAnsi="QCF_P296" w:cs="QCF_P296"/>
          <w:color w:val="auto"/>
          <w:sz w:val="32"/>
          <w:szCs w:val="32"/>
          <w:rtl/>
          <w:lang w:eastAsia="en-US"/>
        </w:rPr>
        <w:t xml:space="preserve"> ﮩ  ﮪ</w:t>
      </w:r>
      <w:r w:rsidRPr="005C21CD">
        <w:rPr>
          <w:rFonts w:ascii="QCF_BSML" w:hAnsi="QCF_BSML" w:cs="QCF_BSML"/>
          <w:color w:val="auto"/>
          <w:sz w:val="32"/>
          <w:szCs w:val="32"/>
          <w:rtl/>
          <w:lang w:eastAsia="en-US"/>
        </w:rPr>
        <w:t>ﭼ</w:t>
      </w:r>
      <w:r w:rsidRPr="005C21CD">
        <w:rPr>
          <w:rFonts w:ascii="QCF_P296" w:hAnsi="QCF_P296" w:cs="QCF_P296"/>
          <w:color w:val="auto"/>
          <w:sz w:val="32"/>
          <w:szCs w:val="32"/>
          <w:rtl/>
          <w:lang w:eastAsia="en-US"/>
        </w:rPr>
        <w:t xml:space="preserve">  </w:t>
      </w:r>
      <w:r w:rsidRPr="005C21CD">
        <w:rPr>
          <w:rtl/>
        </w:rPr>
        <w:t>: إِذا غضبتَ، قاله عكرمة</w:t>
      </w:r>
      <w:r w:rsidRPr="005C21CD">
        <w:rPr>
          <w:vertAlign w:val="superscript"/>
          <w:rtl/>
        </w:rPr>
        <w:t>(</w:t>
      </w:r>
      <w:r w:rsidRPr="005C21CD">
        <w:rPr>
          <w:vertAlign w:val="superscript"/>
          <w:rtl/>
        </w:rPr>
        <w:footnoteReference w:id="1160"/>
      </w:r>
      <w:r w:rsidRPr="005C21CD">
        <w:rPr>
          <w:vertAlign w:val="superscript"/>
          <w:rtl/>
        </w:rPr>
        <w:t>)</w:t>
      </w:r>
      <w:r w:rsidRPr="005C21CD">
        <w:rPr>
          <w:rtl/>
        </w:rPr>
        <w:t>، قال ابن الأنباري: وليس ببعيد، لأن الغضب يُنتج النسيان</w:t>
      </w:r>
      <w:r w:rsidRPr="005C21CD">
        <w:rPr>
          <w:vertAlign w:val="superscript"/>
          <w:rtl/>
        </w:rPr>
        <w:t>(</w:t>
      </w:r>
      <w:r w:rsidRPr="005C21CD">
        <w:rPr>
          <w:vertAlign w:val="superscript"/>
          <w:rtl/>
        </w:rPr>
        <w:footnoteReference w:id="1161"/>
      </w:r>
      <w:r w:rsidRPr="005C21CD">
        <w:rPr>
          <w:vertAlign w:val="superscript"/>
          <w:rtl/>
        </w:rPr>
        <w:t>)</w:t>
      </w:r>
      <w:r w:rsidRPr="005C21CD">
        <w:rPr>
          <w:rtl/>
        </w:rPr>
        <w:t xml:space="preserve">. </w:t>
      </w:r>
      <w:r w:rsidRPr="005C21CD">
        <w:rPr>
          <w:rtl/>
        </w:rPr>
        <w:lastRenderedPageBreak/>
        <w:t>والثالث: إِذا نسيتَ الشيء فاذكر الله ليذكِّرك إِياه، حكاه الماوردي</w:t>
      </w:r>
      <w:r w:rsidRPr="005C21CD">
        <w:rPr>
          <w:vertAlign w:val="superscript"/>
          <w:rtl/>
        </w:rPr>
        <w:t>(</w:t>
      </w:r>
      <w:r w:rsidRPr="005C21CD">
        <w:rPr>
          <w:vertAlign w:val="superscript"/>
          <w:rtl/>
        </w:rPr>
        <w:footnoteReference w:id="1162"/>
      </w:r>
      <w:r w:rsidRPr="005C21CD">
        <w:rPr>
          <w:vertAlign w:val="superscript"/>
          <w:rtl/>
        </w:rPr>
        <w:t>)</w:t>
      </w:r>
      <w:r w:rsidRPr="005C21CD">
        <w:rPr>
          <w:rtl/>
        </w:rPr>
        <w:t>.</w:t>
      </w:r>
    </w:p>
    <w:p w:rsidR="00D126DB" w:rsidRDefault="00D126DB" w:rsidP="00D126DB">
      <w:pPr>
        <w:ind w:firstLine="0"/>
        <w:rPr>
          <w:rtl/>
        </w:rPr>
      </w:pPr>
    </w:p>
    <w:p w:rsidR="005C21CD" w:rsidRPr="005C21CD" w:rsidRDefault="005C21CD" w:rsidP="005C21CD">
      <w:pPr>
        <w:ind w:firstLine="0"/>
        <w:jc w:val="center"/>
        <w:rPr>
          <w:rtl/>
        </w:rPr>
      </w:pPr>
      <w:r w:rsidRPr="005C21CD">
        <w:rPr>
          <w:rtl/>
        </w:rPr>
        <w:t>فصل:</w:t>
      </w:r>
    </w:p>
    <w:p w:rsidR="00D126DB" w:rsidRDefault="005C21CD" w:rsidP="00711488">
      <w:pPr>
        <w:ind w:firstLine="0"/>
        <w:rPr>
          <w:rtl/>
        </w:rPr>
      </w:pPr>
      <w:r w:rsidRPr="005C21CD">
        <w:rPr>
          <w:rtl/>
        </w:rPr>
        <w:t xml:space="preserve">وفائدة </w:t>
      </w:r>
      <w:r w:rsidRPr="005C21CD">
        <w:rPr>
          <w:rFonts w:hint="cs"/>
          <w:rtl/>
        </w:rPr>
        <w:t>الاستثناء</w:t>
      </w:r>
      <w:r w:rsidRPr="005C21CD">
        <w:rPr>
          <w:rtl/>
        </w:rPr>
        <w:t xml:space="preserve"> أن يخرج الحالف من الكذب إِذا لم يفعل ما حلف عليه، كقوله تعالى في قصة موسى: </w:t>
      </w:r>
      <w:r w:rsidRPr="005C21CD">
        <w:rPr>
          <w:rFonts w:ascii="QCF_BSML" w:hAnsi="QCF_BSML" w:cs="QCF_BSML"/>
          <w:sz w:val="32"/>
          <w:szCs w:val="32"/>
          <w:rtl/>
          <w:lang w:eastAsia="en-US"/>
        </w:rPr>
        <w:t xml:space="preserve">ﭽ </w:t>
      </w:r>
      <w:r w:rsidRPr="005C21CD">
        <w:rPr>
          <w:rFonts w:ascii="QCF_P301" w:hAnsi="QCF_P301" w:cs="QCF_P301"/>
          <w:sz w:val="32"/>
          <w:szCs w:val="32"/>
          <w:rtl/>
          <w:lang w:eastAsia="en-US"/>
        </w:rPr>
        <w:t xml:space="preserve">ﮩ  ﮪ     ﮫ  ﮬ  ﮭ  </w:t>
      </w:r>
      <w:r w:rsidRPr="005C21CD">
        <w:rPr>
          <w:rFonts w:ascii="QCF_BSML" w:hAnsi="QCF_BSML" w:cs="QCF_BSML"/>
          <w:sz w:val="32"/>
          <w:szCs w:val="32"/>
          <w:rtl/>
          <w:lang w:eastAsia="en-US"/>
        </w:rPr>
        <w:t>ﭼ</w:t>
      </w:r>
      <w:r w:rsidRPr="005C21CD">
        <w:rPr>
          <w:rFonts w:ascii="Arial" w:hAnsi="Arial" w:cs="Arial"/>
          <w:color w:val="9DAB0C"/>
          <w:sz w:val="27"/>
          <w:szCs w:val="27"/>
          <w:rtl/>
          <w:lang w:eastAsia="en-US"/>
        </w:rPr>
        <w:t xml:space="preserve"> </w:t>
      </w:r>
      <w:r w:rsidRPr="005C21CD">
        <w:rPr>
          <w:rFonts w:ascii="Traditional Arabic" w:hAnsi="Traditional Arabic" w:hint="cs"/>
          <w:color w:val="auto"/>
          <w:sz w:val="32"/>
          <w:szCs w:val="32"/>
          <w:rtl/>
          <w:lang w:eastAsia="en-US"/>
        </w:rPr>
        <w:t>[</w:t>
      </w:r>
      <w:r w:rsidRPr="005C21CD">
        <w:rPr>
          <w:rFonts w:ascii="Traditional Arabic" w:hAnsi="Traditional Arabic"/>
          <w:color w:val="auto"/>
          <w:sz w:val="32"/>
          <w:szCs w:val="32"/>
          <w:rtl/>
          <w:lang w:eastAsia="en-US"/>
        </w:rPr>
        <w:t>الكهف:٦٩</w:t>
      </w:r>
      <w:r w:rsidRPr="005C21CD">
        <w:rPr>
          <w:rFonts w:ascii="Traditional Arabic" w:hAnsi="Traditional Arabic" w:hint="cs"/>
          <w:color w:val="auto"/>
          <w:sz w:val="32"/>
          <w:szCs w:val="32"/>
          <w:rtl/>
          <w:lang w:eastAsia="en-US"/>
        </w:rPr>
        <w:t>]</w:t>
      </w:r>
      <w:r w:rsidRPr="005C21CD">
        <w:rPr>
          <w:rtl/>
        </w:rPr>
        <w:t xml:space="preserve">، ولم يصبر، فسَلِم من الكذب لوجود </w:t>
      </w:r>
    </w:p>
    <w:p w:rsidR="005C21CD" w:rsidRPr="005C21CD" w:rsidRDefault="005C21CD" w:rsidP="0092639A">
      <w:pPr>
        <w:ind w:firstLine="0"/>
        <w:rPr>
          <w:rtl/>
        </w:rPr>
      </w:pPr>
      <w:r w:rsidRPr="005C21CD">
        <w:rPr>
          <w:rtl/>
        </w:rPr>
        <w:t>الاستثناء في حقه. ولا تختلف الرواية عن أحمد أنه لا يصح الاستثناء في الطلاق والع</w:t>
      </w:r>
      <w:r w:rsidRPr="005C21CD">
        <w:rPr>
          <w:rFonts w:hint="cs"/>
          <w:rtl/>
        </w:rPr>
        <w:t>ِ</w:t>
      </w:r>
      <w:r w:rsidRPr="005C21CD">
        <w:rPr>
          <w:rtl/>
        </w:rPr>
        <w:t>ت</w:t>
      </w:r>
      <w:r w:rsidRPr="005C21CD">
        <w:rPr>
          <w:rFonts w:hint="cs"/>
          <w:rtl/>
        </w:rPr>
        <w:t>َ</w:t>
      </w:r>
      <w:r w:rsidRPr="005C21CD">
        <w:rPr>
          <w:rtl/>
        </w:rPr>
        <w:t>اق</w:t>
      </w:r>
      <w:r w:rsidRPr="005C21CD">
        <w:rPr>
          <w:vertAlign w:val="superscript"/>
          <w:rtl/>
        </w:rPr>
        <w:t>(</w:t>
      </w:r>
      <w:r w:rsidRPr="005C21CD">
        <w:rPr>
          <w:vertAlign w:val="superscript"/>
          <w:rtl/>
        </w:rPr>
        <w:footnoteReference w:id="1163"/>
      </w:r>
      <w:r w:rsidRPr="005C21CD">
        <w:rPr>
          <w:vertAlign w:val="superscript"/>
          <w:rtl/>
        </w:rPr>
        <w:t>)</w:t>
      </w:r>
      <w:r>
        <w:rPr>
          <w:rtl/>
        </w:rPr>
        <w:t>، وأنه</w:t>
      </w:r>
      <w:r>
        <w:rPr>
          <w:rFonts w:hint="cs"/>
          <w:rtl/>
        </w:rPr>
        <w:t xml:space="preserve"> </w:t>
      </w:r>
      <w:r w:rsidRPr="005C21CD">
        <w:rPr>
          <w:rtl/>
        </w:rPr>
        <w:t xml:space="preserve">إِذا قال: أنتِ طالق إِن شاء الله، </w:t>
      </w:r>
      <w:r w:rsidR="0092639A" w:rsidRPr="001277AD">
        <w:rPr>
          <w:rFonts w:hint="cs"/>
          <w:color w:val="0D0D0D" w:themeColor="text1" w:themeTint="F2"/>
          <w:sz w:val="32"/>
          <w:szCs w:val="32"/>
          <w:rtl/>
        </w:rPr>
        <w:t>[</w:t>
      </w:r>
      <w:r w:rsidR="0092639A">
        <w:rPr>
          <w:rFonts w:hint="cs"/>
          <w:color w:val="0D0D0D" w:themeColor="text1" w:themeTint="F2"/>
          <w:sz w:val="32"/>
          <w:szCs w:val="32"/>
          <w:rtl/>
        </w:rPr>
        <w:t>114</w:t>
      </w:r>
      <w:r w:rsidR="0092639A" w:rsidRPr="001277AD">
        <w:rPr>
          <w:rFonts w:hint="cs"/>
          <w:color w:val="0D0D0D" w:themeColor="text1" w:themeTint="F2"/>
          <w:sz w:val="32"/>
          <w:szCs w:val="32"/>
          <w:rtl/>
        </w:rPr>
        <w:t>]</w:t>
      </w:r>
      <w:r w:rsidR="0092639A" w:rsidRPr="00911ED4">
        <w:rPr>
          <w:rFonts w:ascii="Traditional Arabic" w:hAnsi="Traditional Arabic"/>
          <w:rtl/>
        </w:rPr>
        <w:t xml:space="preserve"> </w:t>
      </w:r>
      <w:r w:rsidRPr="005C21CD">
        <w:rPr>
          <w:rtl/>
        </w:rPr>
        <w:t>وأنتَ حُرٌّ إِن شاء الله، أن ذلك يقع، وهو قول مالك</w:t>
      </w:r>
      <w:r w:rsidRPr="005C21CD">
        <w:rPr>
          <w:vertAlign w:val="superscript"/>
          <w:rtl/>
        </w:rPr>
        <w:t>(</w:t>
      </w:r>
      <w:r w:rsidRPr="005C21CD">
        <w:rPr>
          <w:vertAlign w:val="superscript"/>
          <w:rtl/>
        </w:rPr>
        <w:footnoteReference w:id="1164"/>
      </w:r>
      <w:r w:rsidRPr="005C21CD">
        <w:rPr>
          <w:vertAlign w:val="superscript"/>
          <w:rtl/>
        </w:rPr>
        <w:t>)(</w:t>
      </w:r>
      <w:r w:rsidRPr="005C21CD">
        <w:rPr>
          <w:vertAlign w:val="superscript"/>
          <w:rtl/>
        </w:rPr>
        <w:footnoteReference w:id="1165"/>
      </w:r>
      <w:r w:rsidRPr="005C21CD">
        <w:rPr>
          <w:vertAlign w:val="superscript"/>
          <w:rtl/>
        </w:rPr>
        <w:t>)</w:t>
      </w:r>
      <w:r w:rsidRPr="005C21CD">
        <w:rPr>
          <w:rFonts w:hint="cs"/>
          <w:rtl/>
        </w:rPr>
        <w:t>.</w:t>
      </w:r>
      <w:r w:rsidRPr="005C21CD">
        <w:rPr>
          <w:rtl/>
        </w:rPr>
        <w:t xml:space="preserve"> وقال أبو حنيفة</w:t>
      </w:r>
      <w:r w:rsidRPr="005C21CD">
        <w:rPr>
          <w:vertAlign w:val="superscript"/>
          <w:rtl/>
        </w:rPr>
        <w:t>(</w:t>
      </w:r>
      <w:r w:rsidRPr="005C21CD">
        <w:rPr>
          <w:vertAlign w:val="superscript"/>
          <w:rtl/>
        </w:rPr>
        <w:footnoteReference w:id="1166"/>
      </w:r>
      <w:r w:rsidRPr="005C21CD">
        <w:rPr>
          <w:vertAlign w:val="superscript"/>
          <w:rtl/>
        </w:rPr>
        <w:t>)</w:t>
      </w:r>
      <w:r w:rsidRPr="005C21CD">
        <w:rPr>
          <w:rtl/>
        </w:rPr>
        <w:t xml:space="preserve"> والشافعي</w:t>
      </w:r>
      <w:r w:rsidRPr="005C21CD">
        <w:rPr>
          <w:vertAlign w:val="superscript"/>
          <w:rtl/>
        </w:rPr>
        <w:t>(</w:t>
      </w:r>
      <w:r w:rsidRPr="005C21CD">
        <w:rPr>
          <w:vertAlign w:val="superscript"/>
          <w:rtl/>
        </w:rPr>
        <w:footnoteReference w:id="1167"/>
      </w:r>
      <w:r w:rsidRPr="005C21CD">
        <w:rPr>
          <w:vertAlign w:val="superscript"/>
          <w:rtl/>
        </w:rPr>
        <w:t>)</w:t>
      </w:r>
      <w:r w:rsidRPr="005C21CD">
        <w:rPr>
          <w:rtl/>
        </w:rPr>
        <w:t>: لا يقع شيء من ذلك</w:t>
      </w:r>
      <w:r w:rsidRPr="005C21CD">
        <w:rPr>
          <w:vertAlign w:val="superscript"/>
          <w:rtl/>
        </w:rPr>
        <w:t>(</w:t>
      </w:r>
      <w:r w:rsidRPr="005C21CD">
        <w:rPr>
          <w:vertAlign w:val="superscript"/>
          <w:rtl/>
        </w:rPr>
        <w:footnoteReference w:id="1168"/>
      </w:r>
      <w:r w:rsidRPr="005C21CD">
        <w:rPr>
          <w:vertAlign w:val="superscript"/>
          <w:rtl/>
        </w:rPr>
        <w:t>)</w:t>
      </w:r>
      <w:r w:rsidRPr="005C21CD">
        <w:rPr>
          <w:rtl/>
        </w:rPr>
        <w:t xml:space="preserve">. وأما اليمين بالله تعالى، فإن الاستثناء فيها يصح، بخلاف الطلاق، وكذلك الاستثناء في كل ما يكفِّر، كالظهار، والنذر، لأن الطلاق والعتاق لفظه لفظ إِيقاع، وإِذا علَّق به المشيئة، علمنا وجودها، لوجود </w:t>
      </w:r>
      <w:r w:rsidRPr="005C21CD">
        <w:rPr>
          <w:rtl/>
        </w:rPr>
        <w:lastRenderedPageBreak/>
        <w:t>لفظ الإِيقاع من جهته، بخلاف سائر الأيمان، لأنها ليست بموجبات للحكم، وإِنما تتعلق بأفعال مستقبلة. وقد اختُلف في الوقت الذي يصح فيه الاستثناء</w:t>
      </w:r>
      <w:r w:rsidR="00D126DB">
        <w:rPr>
          <w:rtl/>
        </w:rPr>
        <w:t xml:space="preserve"> على ثلاثة أقوال: أحدها: أنه لا</w:t>
      </w:r>
      <w:r w:rsidR="000E1CBB">
        <w:rPr>
          <w:rFonts w:hint="cs"/>
          <w:rtl/>
        </w:rPr>
        <w:t xml:space="preserve"> </w:t>
      </w:r>
      <w:r w:rsidRPr="005C21CD">
        <w:rPr>
          <w:rtl/>
        </w:rPr>
        <w:t>يصح الاستثناء إِلا موصولاً بالكلام، وقد روي عن أحمد نحو هذا</w:t>
      </w:r>
      <w:r w:rsidRPr="005C21CD">
        <w:rPr>
          <w:vertAlign w:val="superscript"/>
          <w:rtl/>
        </w:rPr>
        <w:t>(</w:t>
      </w:r>
      <w:r w:rsidRPr="005C21CD">
        <w:rPr>
          <w:vertAlign w:val="superscript"/>
          <w:rtl/>
        </w:rPr>
        <w:footnoteReference w:id="1169"/>
      </w:r>
      <w:r w:rsidRPr="005C21CD">
        <w:rPr>
          <w:vertAlign w:val="superscript"/>
          <w:rtl/>
        </w:rPr>
        <w:t>)</w:t>
      </w:r>
      <w:r w:rsidRPr="005C21CD">
        <w:rPr>
          <w:rtl/>
        </w:rPr>
        <w:t>، وبه قال أكثر الفقهاء</w:t>
      </w:r>
      <w:r w:rsidRPr="005C21CD">
        <w:rPr>
          <w:vertAlign w:val="superscript"/>
          <w:rtl/>
        </w:rPr>
        <w:t>(</w:t>
      </w:r>
      <w:r w:rsidRPr="005C21CD">
        <w:rPr>
          <w:vertAlign w:val="superscript"/>
          <w:rtl/>
        </w:rPr>
        <w:footnoteReference w:id="1170"/>
      </w:r>
      <w:r w:rsidRPr="005C21CD">
        <w:rPr>
          <w:vertAlign w:val="superscript"/>
          <w:rtl/>
        </w:rPr>
        <w:t>)</w:t>
      </w:r>
      <w:r w:rsidRPr="005C21CD">
        <w:rPr>
          <w:rtl/>
        </w:rPr>
        <w:t>. والثاني: أنه يصح ما دام في المجلس قاله الحسن</w:t>
      </w:r>
      <w:r w:rsidRPr="005C21CD">
        <w:rPr>
          <w:vertAlign w:val="superscript"/>
          <w:rtl/>
        </w:rPr>
        <w:t>(</w:t>
      </w:r>
      <w:r w:rsidRPr="005C21CD">
        <w:rPr>
          <w:vertAlign w:val="superscript"/>
          <w:rtl/>
        </w:rPr>
        <w:footnoteReference w:id="1171"/>
      </w:r>
      <w:r w:rsidRPr="005C21CD">
        <w:rPr>
          <w:vertAlign w:val="superscript"/>
          <w:rtl/>
        </w:rPr>
        <w:t>)</w:t>
      </w:r>
      <w:r w:rsidRPr="005C21CD">
        <w:rPr>
          <w:rFonts w:hint="cs"/>
          <w:rtl/>
        </w:rPr>
        <w:t xml:space="preserve">, </w:t>
      </w:r>
      <w:r w:rsidRPr="005C21CD">
        <w:rPr>
          <w:rtl/>
        </w:rPr>
        <w:t>وطاوس</w:t>
      </w:r>
      <w:r w:rsidRPr="005C21CD">
        <w:rPr>
          <w:vertAlign w:val="superscript"/>
          <w:rtl/>
        </w:rPr>
        <w:t>(</w:t>
      </w:r>
      <w:r w:rsidRPr="005C21CD">
        <w:rPr>
          <w:vertAlign w:val="superscript"/>
          <w:rtl/>
        </w:rPr>
        <w:footnoteReference w:id="1172"/>
      </w:r>
      <w:r w:rsidRPr="005C21CD">
        <w:rPr>
          <w:vertAlign w:val="superscript"/>
          <w:rtl/>
        </w:rPr>
        <w:t>)(</w:t>
      </w:r>
      <w:r w:rsidRPr="005C21CD">
        <w:rPr>
          <w:vertAlign w:val="superscript"/>
          <w:rtl/>
        </w:rPr>
        <w:footnoteReference w:id="1173"/>
      </w:r>
      <w:r w:rsidRPr="005C21CD">
        <w:rPr>
          <w:vertAlign w:val="superscript"/>
          <w:rtl/>
        </w:rPr>
        <w:t>)</w:t>
      </w:r>
      <w:r w:rsidRPr="005C21CD">
        <w:rPr>
          <w:rtl/>
        </w:rPr>
        <w:t>، وعن أحمد نحوه</w:t>
      </w:r>
      <w:r w:rsidRPr="005C21CD">
        <w:rPr>
          <w:vertAlign w:val="superscript"/>
          <w:rtl/>
        </w:rPr>
        <w:t>(</w:t>
      </w:r>
      <w:r w:rsidRPr="005C21CD">
        <w:rPr>
          <w:vertAlign w:val="superscript"/>
          <w:rtl/>
        </w:rPr>
        <w:footnoteReference w:id="1174"/>
      </w:r>
      <w:r w:rsidRPr="005C21CD">
        <w:rPr>
          <w:vertAlign w:val="superscript"/>
          <w:rtl/>
        </w:rPr>
        <w:t>)</w:t>
      </w:r>
      <w:r w:rsidRPr="005C21CD">
        <w:rPr>
          <w:rtl/>
        </w:rPr>
        <w:t>. والثالث: أنه لو استثنى بعد سنة، جاز، قاله ابن عباس</w:t>
      </w:r>
      <w:r w:rsidRPr="005C21CD">
        <w:rPr>
          <w:vertAlign w:val="superscript"/>
          <w:rtl/>
        </w:rPr>
        <w:t>(</w:t>
      </w:r>
      <w:r w:rsidRPr="005C21CD">
        <w:rPr>
          <w:vertAlign w:val="superscript"/>
          <w:rtl/>
        </w:rPr>
        <w:footnoteReference w:id="1175"/>
      </w:r>
      <w:r w:rsidRPr="005C21CD">
        <w:rPr>
          <w:vertAlign w:val="superscript"/>
          <w:rtl/>
        </w:rPr>
        <w:t>)</w:t>
      </w:r>
      <w:r w:rsidRPr="005C21CD">
        <w:rPr>
          <w:rtl/>
        </w:rPr>
        <w:t>، ومجاهد</w:t>
      </w:r>
      <w:r w:rsidRPr="005C21CD">
        <w:rPr>
          <w:vertAlign w:val="superscript"/>
          <w:rtl/>
        </w:rPr>
        <w:t>(</w:t>
      </w:r>
      <w:r w:rsidRPr="005C21CD">
        <w:rPr>
          <w:vertAlign w:val="superscript"/>
          <w:rtl/>
        </w:rPr>
        <w:footnoteReference w:id="1176"/>
      </w:r>
      <w:r w:rsidRPr="005C21CD">
        <w:rPr>
          <w:vertAlign w:val="superscript"/>
          <w:rtl/>
        </w:rPr>
        <w:t>)</w:t>
      </w:r>
      <w:r w:rsidRPr="005C21CD">
        <w:rPr>
          <w:rtl/>
        </w:rPr>
        <w:t>، وسعيد بن جبير</w:t>
      </w:r>
      <w:r w:rsidRPr="005C21CD">
        <w:rPr>
          <w:vertAlign w:val="superscript"/>
          <w:rtl/>
        </w:rPr>
        <w:t>(</w:t>
      </w:r>
      <w:r w:rsidRPr="005C21CD">
        <w:rPr>
          <w:vertAlign w:val="superscript"/>
          <w:rtl/>
        </w:rPr>
        <w:footnoteReference w:id="1177"/>
      </w:r>
      <w:r w:rsidRPr="005C21CD">
        <w:rPr>
          <w:vertAlign w:val="superscript"/>
          <w:rtl/>
        </w:rPr>
        <w:t>)</w:t>
      </w:r>
      <w:r w:rsidRPr="005C21CD">
        <w:rPr>
          <w:rtl/>
        </w:rPr>
        <w:t>، وأبو العالية</w:t>
      </w:r>
      <w:r w:rsidRPr="005C21CD">
        <w:rPr>
          <w:vertAlign w:val="superscript"/>
          <w:rtl/>
        </w:rPr>
        <w:t>(</w:t>
      </w:r>
      <w:r w:rsidRPr="005C21CD">
        <w:rPr>
          <w:vertAlign w:val="superscript"/>
          <w:rtl/>
        </w:rPr>
        <w:footnoteReference w:id="1178"/>
      </w:r>
      <w:r w:rsidRPr="005C21CD">
        <w:rPr>
          <w:vertAlign w:val="superscript"/>
          <w:rtl/>
        </w:rPr>
        <w:t>)</w:t>
      </w:r>
      <w:r w:rsidRPr="005C21CD">
        <w:rPr>
          <w:rtl/>
        </w:rPr>
        <w:t>، وقال ابن جرير الطبري: الصواب للإنسان أن يستثني ولو بعد حنثه في يمينه، فيقول: إِن شاء الله، ليخرج بذلك مما ألزمه اللهُ في هذه الآية، فيسقط عنه الحرج، فأما الكفَّارة فلا تسقط عنه بحال، إِلا أن يكون الاستثناء موصولاً بيمينه، ومن قال: له ثُنْياه ولو بعد سنة، أراد سقوطَ الحرج الذي يلزمه بترك الاستثناء دون الكفَّارة</w:t>
      </w:r>
      <w:r w:rsidRPr="005C21CD">
        <w:rPr>
          <w:vertAlign w:val="superscript"/>
          <w:rtl/>
        </w:rPr>
        <w:t>(</w:t>
      </w:r>
      <w:r w:rsidRPr="005C21CD">
        <w:rPr>
          <w:vertAlign w:val="superscript"/>
          <w:rtl/>
        </w:rPr>
        <w:footnoteReference w:id="1179"/>
      </w:r>
      <w:r w:rsidRPr="005C21CD">
        <w:rPr>
          <w:vertAlign w:val="superscript"/>
          <w:rtl/>
        </w:rPr>
        <w:t>)</w:t>
      </w:r>
      <w:r w:rsidRPr="005C21CD">
        <w:rPr>
          <w:rtl/>
        </w:rPr>
        <w:t>.</w:t>
      </w:r>
    </w:p>
    <w:p w:rsidR="005C21CD" w:rsidRPr="005C21CD" w:rsidRDefault="005C21CD" w:rsidP="005C21CD">
      <w:pPr>
        <w:ind w:firstLine="0"/>
        <w:rPr>
          <w:rtl/>
        </w:rPr>
      </w:pPr>
      <w:r w:rsidRPr="005C21CD">
        <w:rPr>
          <w:rtl/>
        </w:rPr>
        <w:t>قوله تعالى:</w:t>
      </w:r>
      <w:r w:rsidRPr="005C21CD">
        <w:rPr>
          <w:rFonts w:ascii="QCF_BSML" w:hAnsi="QCF_BSML" w:cs="QCF_BSML"/>
          <w:color w:val="auto"/>
          <w:sz w:val="32"/>
          <w:szCs w:val="32"/>
          <w:rtl/>
          <w:lang w:eastAsia="en-US"/>
        </w:rPr>
        <w:t xml:space="preserve"> ﭽ</w:t>
      </w:r>
      <w:r w:rsidRPr="005C21CD">
        <w:rPr>
          <w:rtl/>
        </w:rPr>
        <w:t xml:space="preserve"> </w:t>
      </w:r>
      <w:r w:rsidRPr="005C21CD">
        <w:rPr>
          <w:rFonts w:ascii="QCF_P296" w:hAnsi="QCF_P296" w:cs="QCF_P296"/>
          <w:color w:val="auto"/>
          <w:sz w:val="32"/>
          <w:szCs w:val="32"/>
          <w:rtl/>
          <w:lang w:eastAsia="en-US"/>
        </w:rPr>
        <w:t xml:space="preserve">ﮫ  ﮬ  ﮭ  ﮮ  ﮯ  </w:t>
      </w:r>
      <w:r w:rsidRPr="005C21CD">
        <w:rPr>
          <w:rFonts w:ascii="QCF_BSML" w:hAnsi="QCF_BSML" w:cs="QCF_BSML"/>
          <w:color w:val="auto"/>
          <w:sz w:val="32"/>
          <w:szCs w:val="32"/>
          <w:rtl/>
          <w:lang w:eastAsia="en-US"/>
        </w:rPr>
        <w:t>ﭼ</w:t>
      </w:r>
      <w:r w:rsidRPr="005C21CD">
        <w:rPr>
          <w:rFonts w:ascii="QCF_BSML" w:hAnsi="QCF_BSML" w:cs="QCF_BSML" w:hint="cs"/>
          <w:color w:val="auto"/>
          <w:sz w:val="32"/>
          <w:szCs w:val="32"/>
          <w:rtl/>
          <w:lang w:eastAsia="en-US"/>
        </w:rPr>
        <w:t xml:space="preserve"> </w:t>
      </w:r>
      <w:r w:rsidRPr="005C21CD">
        <w:rPr>
          <w:rtl/>
        </w:rPr>
        <w:t xml:space="preserve">قرأ نافع، وأبو عمرو: «يهديَني ربِّي» </w:t>
      </w:r>
      <w:r w:rsidR="00B66B69">
        <w:rPr>
          <w:rFonts w:hint="cs"/>
          <w:rtl/>
        </w:rPr>
        <w:t>[</w:t>
      </w:r>
      <w:r w:rsidRPr="005C21CD">
        <w:rPr>
          <w:rtl/>
        </w:rPr>
        <w:t xml:space="preserve">بياء في الوصل </w:t>
      </w:r>
      <w:r w:rsidRPr="005C21CD">
        <w:rPr>
          <w:rtl/>
        </w:rPr>
        <w:lastRenderedPageBreak/>
        <w:t>دون الوقف</w:t>
      </w:r>
      <w:r w:rsidR="000E1CBB">
        <w:rPr>
          <w:rFonts w:hint="cs"/>
          <w:rtl/>
        </w:rPr>
        <w:t>]</w:t>
      </w:r>
      <w:r w:rsidRPr="005C21CD">
        <w:rPr>
          <w:vertAlign w:val="superscript"/>
          <w:rtl/>
        </w:rPr>
        <w:t>(</w:t>
      </w:r>
      <w:r w:rsidRPr="005C21CD">
        <w:rPr>
          <w:vertAlign w:val="superscript"/>
          <w:rtl/>
        </w:rPr>
        <w:footnoteReference w:id="1180"/>
      </w:r>
      <w:r w:rsidRPr="005C21CD">
        <w:rPr>
          <w:vertAlign w:val="superscript"/>
          <w:rtl/>
        </w:rPr>
        <w:t>)</w:t>
      </w:r>
      <w:r w:rsidRPr="005C21CD">
        <w:rPr>
          <w:rtl/>
        </w:rPr>
        <w:t>. وقرأ ابن كثير بياء في الحالين. وقرأ ابن عامر، وعاصم، وحمزة، والكسائي بغير ياء في الحالين</w:t>
      </w:r>
      <w:r w:rsidRPr="005C21CD">
        <w:rPr>
          <w:vertAlign w:val="superscript"/>
          <w:rtl/>
        </w:rPr>
        <w:t>(</w:t>
      </w:r>
      <w:r w:rsidRPr="005C21CD">
        <w:rPr>
          <w:vertAlign w:val="superscript"/>
          <w:rtl/>
        </w:rPr>
        <w:footnoteReference w:id="1181"/>
      </w:r>
      <w:r w:rsidRPr="005C21CD">
        <w:rPr>
          <w:vertAlign w:val="superscript"/>
          <w:rtl/>
        </w:rPr>
        <w:t>)</w:t>
      </w:r>
      <w:r w:rsidRPr="005C21CD">
        <w:rPr>
          <w:rtl/>
        </w:rPr>
        <w:t>. وفي معنى الكلام قولان: أحدهما: عسى أن يعطيني ربِّي من الآيات والدلالات على النبوَّ</w:t>
      </w:r>
      <w:r w:rsidRPr="005C21CD">
        <w:rPr>
          <w:rFonts w:hint="cs"/>
          <w:rtl/>
        </w:rPr>
        <w:t>ة</w:t>
      </w:r>
      <w:r w:rsidRPr="005C21CD">
        <w:rPr>
          <w:rtl/>
        </w:rPr>
        <w:t xml:space="preserve"> ما يكون أقرب في الرّشد وأدلَّ من قصّة أصحاب الكهف، ففعل الله له</w:t>
      </w:r>
      <w:r w:rsidRPr="005C21CD">
        <w:rPr>
          <w:vertAlign w:val="superscript"/>
          <w:rtl/>
        </w:rPr>
        <w:t>(</w:t>
      </w:r>
      <w:r w:rsidRPr="005C21CD">
        <w:rPr>
          <w:vertAlign w:val="superscript"/>
          <w:rtl/>
        </w:rPr>
        <w:footnoteReference w:id="1182"/>
      </w:r>
      <w:r w:rsidRPr="005C21CD">
        <w:rPr>
          <w:vertAlign w:val="superscript"/>
          <w:rtl/>
        </w:rPr>
        <w:t>)</w:t>
      </w:r>
      <w:r w:rsidRPr="005C21CD">
        <w:rPr>
          <w:rtl/>
        </w:rPr>
        <w:t xml:space="preserve"> ذلك، وآتاه من عِلْم غيوب المرسَلين ما هو أوضح في الحُجَّة وأقرب إِلى الرَّشد من خبر أصحاب الكهف هذا قول الزجاج</w:t>
      </w:r>
      <w:r w:rsidRPr="005C21CD">
        <w:rPr>
          <w:vertAlign w:val="superscript"/>
          <w:rtl/>
        </w:rPr>
        <w:t>(</w:t>
      </w:r>
      <w:r w:rsidRPr="005C21CD">
        <w:rPr>
          <w:vertAlign w:val="superscript"/>
          <w:rtl/>
        </w:rPr>
        <w:footnoteReference w:id="1183"/>
      </w:r>
      <w:r w:rsidRPr="005C21CD">
        <w:rPr>
          <w:vertAlign w:val="superscript"/>
          <w:rtl/>
        </w:rPr>
        <w:t>)</w:t>
      </w:r>
      <w:r w:rsidRPr="005C21CD">
        <w:rPr>
          <w:rtl/>
        </w:rPr>
        <w:t>.</w:t>
      </w:r>
    </w:p>
    <w:p w:rsidR="005C21CD" w:rsidRPr="005C21CD" w:rsidRDefault="005C21CD" w:rsidP="0092639A">
      <w:pPr>
        <w:ind w:firstLine="0"/>
        <w:rPr>
          <w:rtl/>
        </w:rPr>
      </w:pPr>
      <w:r w:rsidRPr="005C21CD">
        <w:rPr>
          <w:rtl/>
        </w:rPr>
        <w:t>والثاني: أنّ قريشا لمّا سألت رسول الله صلى الله عليه وسلّم أن يخبرهم خبر أصحاب الكهف، قال: «غداً أُخبركم»</w:t>
      </w:r>
      <w:r w:rsidRPr="005C21CD">
        <w:rPr>
          <w:rFonts w:hint="cs"/>
          <w:rtl/>
        </w:rPr>
        <w:t xml:space="preserve"> </w:t>
      </w:r>
      <w:r w:rsidRPr="005C21CD">
        <w:rPr>
          <w:rtl/>
        </w:rPr>
        <w:t>كما شرحنا في سبب نزول الآية</w:t>
      </w:r>
      <w:r w:rsidRPr="005C21CD">
        <w:rPr>
          <w:vertAlign w:val="superscript"/>
          <w:rtl/>
        </w:rPr>
        <w:t>(</w:t>
      </w:r>
      <w:r w:rsidRPr="005C21CD">
        <w:rPr>
          <w:vertAlign w:val="superscript"/>
          <w:rtl/>
        </w:rPr>
        <w:footnoteReference w:id="1184"/>
      </w:r>
      <w:r w:rsidRPr="005C21CD">
        <w:rPr>
          <w:vertAlign w:val="superscript"/>
          <w:rtl/>
        </w:rPr>
        <w:t>)</w:t>
      </w:r>
      <w:r w:rsidRPr="005C21CD">
        <w:rPr>
          <w:rtl/>
        </w:rPr>
        <w:t>، فقال الله تعالى له:</w:t>
      </w:r>
      <w:r w:rsidRPr="005C21CD">
        <w:rPr>
          <w:rFonts w:ascii="QCF_BSML" w:hAnsi="QCF_BSML" w:cs="QCF_BSML"/>
          <w:color w:val="auto"/>
          <w:sz w:val="32"/>
          <w:szCs w:val="32"/>
          <w:rtl/>
          <w:lang w:eastAsia="en-US"/>
        </w:rPr>
        <w:t xml:space="preserve"> ﭽ</w:t>
      </w:r>
      <w:r w:rsidRPr="005C21CD">
        <w:rPr>
          <w:rFonts w:ascii="QCF_P296" w:hAnsi="QCF_P296" w:cs="QCF_P296"/>
          <w:color w:val="auto"/>
          <w:sz w:val="32"/>
          <w:szCs w:val="32"/>
          <w:rtl/>
          <w:lang w:eastAsia="en-US"/>
        </w:rPr>
        <w:t xml:space="preserve"> ﮫ  ﮬ  ﮭ  ﮮ  ﮯ</w:t>
      </w:r>
      <w:r w:rsidRPr="005C21CD">
        <w:rPr>
          <w:rFonts w:ascii="QCF_BSML" w:hAnsi="QCF_BSML" w:cs="QCF_BSML"/>
          <w:color w:val="auto"/>
          <w:sz w:val="32"/>
          <w:szCs w:val="32"/>
          <w:rtl/>
          <w:lang w:eastAsia="en-US"/>
        </w:rPr>
        <w:t>ﭼ</w:t>
      </w:r>
      <w:r w:rsidRPr="005C21CD">
        <w:rPr>
          <w:rFonts w:ascii="QCF_P296" w:hAnsi="QCF_P296" w:cs="QCF_P296"/>
          <w:color w:val="auto"/>
          <w:sz w:val="32"/>
          <w:szCs w:val="32"/>
          <w:rtl/>
          <w:lang w:eastAsia="en-US"/>
        </w:rPr>
        <w:t xml:space="preserve">  </w:t>
      </w:r>
      <w:r w:rsidRPr="005C21CD">
        <w:rPr>
          <w:rtl/>
        </w:rPr>
        <w:t>أي: عسى أن يعرِّفني جواب مسائلكم قبل الوقت الذي حدَّدتُه لكم، ويعجِّل لي من جهته الرشاد، هذا قول ابن الأنباري</w:t>
      </w:r>
      <w:r w:rsidRPr="005C21CD">
        <w:rPr>
          <w:vertAlign w:val="superscript"/>
          <w:rtl/>
        </w:rPr>
        <w:t>(</w:t>
      </w:r>
      <w:r w:rsidRPr="005C21CD">
        <w:rPr>
          <w:vertAlign w:val="superscript"/>
          <w:rtl/>
        </w:rPr>
        <w:footnoteReference w:id="1185"/>
      </w:r>
      <w:r w:rsidRPr="005C21CD">
        <w:rPr>
          <w:vertAlign w:val="superscript"/>
          <w:rtl/>
        </w:rPr>
        <w:t>)</w:t>
      </w:r>
      <w:r w:rsidRPr="005C21CD">
        <w:rPr>
          <w:rtl/>
        </w:rPr>
        <w:t>.</w:t>
      </w:r>
    </w:p>
    <w:p w:rsidR="009F1F17" w:rsidRPr="00597356" w:rsidRDefault="005C21CD" w:rsidP="0092639A">
      <w:pPr>
        <w:ind w:firstLine="0"/>
        <w:rPr>
          <w:color w:val="auto"/>
          <w:rtl/>
        </w:rPr>
      </w:pPr>
      <w:r w:rsidRPr="005C21CD">
        <w:rPr>
          <w:rFonts w:ascii="QCF_BSML" w:hAnsi="QCF_BSML" w:cs="QCF_BSML"/>
          <w:color w:val="auto"/>
          <w:sz w:val="32"/>
          <w:szCs w:val="32"/>
          <w:rtl/>
          <w:lang w:eastAsia="en-US"/>
        </w:rPr>
        <w:t xml:space="preserve">ﭽ </w:t>
      </w:r>
      <w:r w:rsidRPr="005C21CD">
        <w:rPr>
          <w:rFonts w:ascii="QCF_P296" w:hAnsi="QCF_P296" w:cs="QCF_P296"/>
          <w:color w:val="auto"/>
          <w:sz w:val="32"/>
          <w:szCs w:val="32"/>
          <w:rtl/>
          <w:lang w:eastAsia="en-US"/>
        </w:rPr>
        <w:t xml:space="preserve">ﯖ  ﯗ  ﯘ </w:t>
      </w:r>
      <w:r w:rsidRPr="005C21CD">
        <w:rPr>
          <w:rFonts w:ascii="QCF_P296" w:hAnsi="QCF_P296" w:cs="QCF_P296" w:hint="cs"/>
          <w:color w:val="auto"/>
          <w:sz w:val="32"/>
          <w:szCs w:val="32"/>
          <w:rtl/>
          <w:lang w:eastAsia="en-US"/>
        </w:rPr>
        <w:t xml:space="preserve"> </w:t>
      </w:r>
      <w:r w:rsidRPr="005C21CD">
        <w:rPr>
          <w:rFonts w:ascii="QCF_P296" w:hAnsi="QCF_P296" w:cs="QCF_P296"/>
          <w:color w:val="auto"/>
          <w:sz w:val="32"/>
          <w:szCs w:val="32"/>
          <w:rtl/>
          <w:lang w:eastAsia="en-US"/>
        </w:rPr>
        <w:t>ﯙ  ﯚ    ﯛ  ﯜ  ﯝ   ﯞ  ﯟ  ﯠ  ﯡ  ﯢ  ﯣﯤ  ﯥ    ﯦ  ﯧ  ﯨﯩ   ﯪ    ﯫ  ﯬﯭ  ﯮ  ﯯ   ﯰ  ﯱ  ﯲ  ﯳ  ﯴ  ﯵ   ﯶ  ﯷ  ﯸ  ﯹ</w:t>
      </w:r>
      <w:r w:rsidRPr="005C21CD">
        <w:rPr>
          <w:rFonts w:ascii="QCF_BSML" w:hAnsi="QCF_BSML" w:cs="QCF_BSML"/>
          <w:color w:val="auto"/>
          <w:sz w:val="32"/>
          <w:szCs w:val="32"/>
          <w:rtl/>
          <w:lang w:eastAsia="en-US"/>
        </w:rPr>
        <w:t>ﭼ</w:t>
      </w:r>
      <w:r w:rsidRPr="005C21CD">
        <w:rPr>
          <w:color w:val="auto"/>
          <w:rtl/>
        </w:rPr>
        <w:t xml:space="preserve"> </w:t>
      </w:r>
      <w:r w:rsidRPr="005C21CD">
        <w:rPr>
          <w:rtl/>
        </w:rPr>
        <w:t xml:space="preserve">قوله تعالى: </w:t>
      </w:r>
      <w:r w:rsidRPr="005C21CD">
        <w:rPr>
          <w:rFonts w:ascii="QCF_BSML" w:hAnsi="QCF_BSML" w:cs="QCF_BSML"/>
          <w:color w:val="auto"/>
          <w:sz w:val="32"/>
          <w:szCs w:val="32"/>
          <w:rtl/>
          <w:lang w:eastAsia="en-US"/>
        </w:rPr>
        <w:t xml:space="preserve">ﭽ </w:t>
      </w:r>
      <w:r w:rsidRPr="005C21CD">
        <w:rPr>
          <w:rFonts w:ascii="QCF_P296" w:hAnsi="QCF_P296" w:cs="QCF_P296"/>
          <w:color w:val="auto"/>
          <w:sz w:val="32"/>
          <w:szCs w:val="32"/>
          <w:rtl/>
          <w:lang w:eastAsia="en-US"/>
        </w:rPr>
        <w:t xml:space="preserve">ﯖ  ﯗ  ﯘ </w:t>
      </w:r>
      <w:r w:rsidRPr="005C21CD">
        <w:rPr>
          <w:rFonts w:ascii="QCF_P296" w:hAnsi="QCF_P296" w:cs="QCF_P296" w:hint="cs"/>
          <w:color w:val="auto"/>
          <w:sz w:val="32"/>
          <w:szCs w:val="32"/>
          <w:rtl/>
          <w:lang w:eastAsia="en-US"/>
        </w:rPr>
        <w:t xml:space="preserve"> </w:t>
      </w:r>
      <w:r w:rsidRPr="005C21CD">
        <w:rPr>
          <w:rFonts w:ascii="QCF_P296" w:hAnsi="QCF_P296" w:cs="QCF_P296"/>
          <w:color w:val="auto"/>
          <w:sz w:val="32"/>
          <w:szCs w:val="32"/>
          <w:rtl/>
          <w:lang w:eastAsia="en-US"/>
        </w:rPr>
        <w:t>ﯙ  ﯚ    ﯛ</w:t>
      </w:r>
      <w:r w:rsidRPr="005C21CD">
        <w:rPr>
          <w:rFonts w:ascii="QCF_BSML" w:hAnsi="QCF_BSML" w:cs="QCF_BSML"/>
          <w:color w:val="auto"/>
          <w:sz w:val="32"/>
          <w:szCs w:val="32"/>
          <w:rtl/>
          <w:lang w:eastAsia="en-US"/>
        </w:rPr>
        <w:t>ﭼ</w:t>
      </w:r>
      <w:r w:rsidRPr="005C21CD">
        <w:rPr>
          <w:rFonts w:ascii="QCF_P296" w:hAnsi="QCF_P296" w:cs="QCF_P296"/>
          <w:color w:val="auto"/>
          <w:sz w:val="32"/>
          <w:szCs w:val="32"/>
          <w:rtl/>
          <w:lang w:eastAsia="en-US"/>
        </w:rPr>
        <w:t xml:space="preserve">  </w:t>
      </w:r>
      <w:r w:rsidRPr="005C21CD">
        <w:rPr>
          <w:rFonts w:hint="cs"/>
          <w:rtl/>
        </w:rPr>
        <w:t xml:space="preserve"> </w:t>
      </w:r>
      <w:r w:rsidRPr="005C21CD">
        <w:rPr>
          <w:rtl/>
        </w:rPr>
        <w:t>قرأ ابن كثير، ونافع، وأبو عمرو، وعاصم وابن عامر: «ثلاثمائةٍ سنين» منوَّناً</w:t>
      </w:r>
      <w:r w:rsidRPr="005C21CD">
        <w:rPr>
          <w:rFonts w:hint="cs"/>
          <w:rtl/>
        </w:rPr>
        <w:t>,</w:t>
      </w:r>
      <w:r w:rsidRPr="005C21CD">
        <w:rPr>
          <w:rtl/>
        </w:rPr>
        <w:t xml:space="preserve"> وقرأ حمزة والكسائي: «ثلاثمائةِ سنين» مضافاً غير منوَّن</w:t>
      </w:r>
      <w:r w:rsidRPr="005C21CD">
        <w:rPr>
          <w:vertAlign w:val="superscript"/>
          <w:rtl/>
        </w:rPr>
        <w:t>(</w:t>
      </w:r>
      <w:r w:rsidRPr="005C21CD">
        <w:rPr>
          <w:vertAlign w:val="superscript"/>
          <w:rtl/>
        </w:rPr>
        <w:footnoteReference w:id="1186"/>
      </w:r>
      <w:r w:rsidRPr="005C21CD">
        <w:rPr>
          <w:vertAlign w:val="superscript"/>
          <w:rtl/>
        </w:rPr>
        <w:t>)</w:t>
      </w:r>
      <w:r w:rsidRPr="005C21CD">
        <w:rPr>
          <w:rtl/>
        </w:rPr>
        <w:t>. قال أبو</w:t>
      </w:r>
      <w:r w:rsidRPr="005C21CD">
        <w:rPr>
          <w:rFonts w:hint="cs"/>
          <w:rtl/>
        </w:rPr>
        <w:t xml:space="preserve"> </w:t>
      </w:r>
      <w:r w:rsidRPr="005C21CD">
        <w:rPr>
          <w:rtl/>
        </w:rPr>
        <w:t>علي</w:t>
      </w:r>
      <w:r w:rsidRPr="005C21CD">
        <w:rPr>
          <w:vertAlign w:val="superscript"/>
          <w:rtl/>
        </w:rPr>
        <w:t>(</w:t>
      </w:r>
      <w:r w:rsidRPr="005C21CD">
        <w:rPr>
          <w:vertAlign w:val="superscript"/>
          <w:rtl/>
        </w:rPr>
        <w:footnoteReference w:id="1187"/>
      </w:r>
      <w:r w:rsidRPr="005C21CD">
        <w:rPr>
          <w:vertAlign w:val="superscript"/>
          <w:rtl/>
        </w:rPr>
        <w:t>)</w:t>
      </w:r>
      <w:r w:rsidRPr="005C21CD">
        <w:rPr>
          <w:rtl/>
        </w:rPr>
        <w:t>: العدد</w:t>
      </w:r>
      <w:r w:rsidR="0092639A">
        <w:rPr>
          <w:rFonts w:hint="cs"/>
          <w:rtl/>
        </w:rPr>
        <w:t xml:space="preserve"> </w:t>
      </w:r>
      <w:r w:rsidR="0092639A" w:rsidRPr="001277AD">
        <w:rPr>
          <w:rFonts w:hint="cs"/>
          <w:color w:val="0D0D0D" w:themeColor="text1" w:themeTint="F2"/>
          <w:sz w:val="32"/>
          <w:szCs w:val="32"/>
          <w:rtl/>
        </w:rPr>
        <w:t>[</w:t>
      </w:r>
      <w:r w:rsidR="0092639A">
        <w:rPr>
          <w:rFonts w:hint="cs"/>
          <w:color w:val="0D0D0D" w:themeColor="text1" w:themeTint="F2"/>
          <w:sz w:val="32"/>
          <w:szCs w:val="32"/>
          <w:rtl/>
        </w:rPr>
        <w:t>115</w:t>
      </w:r>
      <w:r w:rsidR="0092639A" w:rsidRPr="001277AD">
        <w:rPr>
          <w:rFonts w:hint="cs"/>
          <w:color w:val="0D0D0D" w:themeColor="text1" w:themeTint="F2"/>
          <w:sz w:val="32"/>
          <w:szCs w:val="32"/>
          <w:rtl/>
        </w:rPr>
        <w:t>]</w:t>
      </w:r>
      <w:r w:rsidRPr="005C21CD">
        <w:rPr>
          <w:rtl/>
        </w:rPr>
        <w:t xml:space="preserve"> المضاف إِلى الآحاد قد جاء مضافاً إِلى الجميع، قال الشاعر:</w:t>
      </w:r>
    </w:p>
    <w:p w:rsidR="00641A12" w:rsidRDefault="00641A12" w:rsidP="005C21CD">
      <w:pPr>
        <w:ind w:firstLine="0"/>
        <w:rPr>
          <w:rtl/>
        </w:rPr>
      </w:pPr>
    </w:p>
    <w:p w:rsidR="005C21CD" w:rsidRPr="005C21CD" w:rsidRDefault="005C21CD" w:rsidP="005C21CD">
      <w:pPr>
        <w:ind w:firstLine="0"/>
        <w:rPr>
          <w:rtl/>
        </w:rPr>
      </w:pPr>
      <w:r w:rsidRPr="005C21CD">
        <w:rPr>
          <w:rtl/>
        </w:rPr>
        <w:lastRenderedPageBreak/>
        <w:t>ومَا زَوَّدُوني غير سحق</w:t>
      </w:r>
      <w:r w:rsidRPr="005C21CD">
        <w:rPr>
          <w:vertAlign w:val="superscript"/>
          <w:rtl/>
        </w:rPr>
        <w:t>(</w:t>
      </w:r>
      <w:r w:rsidRPr="005C21CD">
        <w:rPr>
          <w:vertAlign w:val="superscript"/>
          <w:rtl/>
        </w:rPr>
        <w:footnoteReference w:id="1188"/>
      </w:r>
      <w:r w:rsidRPr="005C21CD">
        <w:rPr>
          <w:vertAlign w:val="superscript"/>
          <w:rtl/>
        </w:rPr>
        <w:t>)</w:t>
      </w:r>
      <w:r w:rsidRPr="005C21CD">
        <w:rPr>
          <w:rtl/>
        </w:rPr>
        <w:t>عمامة ... وخمسمئ منها قَسِيٌّ</w:t>
      </w:r>
      <w:r w:rsidRPr="005C21CD">
        <w:rPr>
          <w:vertAlign w:val="superscript"/>
          <w:rtl/>
        </w:rPr>
        <w:t>(</w:t>
      </w:r>
      <w:r w:rsidRPr="005C21CD">
        <w:rPr>
          <w:vertAlign w:val="superscript"/>
          <w:rtl/>
        </w:rPr>
        <w:footnoteReference w:id="1189"/>
      </w:r>
      <w:r w:rsidRPr="005C21CD">
        <w:rPr>
          <w:vertAlign w:val="superscript"/>
          <w:rtl/>
        </w:rPr>
        <w:t>)</w:t>
      </w:r>
      <w:r w:rsidRPr="005C21CD">
        <w:rPr>
          <w:rtl/>
        </w:rPr>
        <w:t>وزائفُ</w:t>
      </w:r>
      <w:r w:rsidRPr="005C21CD">
        <w:rPr>
          <w:vertAlign w:val="superscript"/>
          <w:rtl/>
        </w:rPr>
        <w:t>(</w:t>
      </w:r>
      <w:r w:rsidRPr="005C21CD">
        <w:rPr>
          <w:vertAlign w:val="superscript"/>
          <w:rtl/>
        </w:rPr>
        <w:footnoteReference w:id="1190"/>
      </w:r>
      <w:r w:rsidRPr="005C21CD">
        <w:rPr>
          <w:vertAlign w:val="superscript"/>
          <w:rtl/>
        </w:rPr>
        <w:t>)(</w:t>
      </w:r>
      <w:r w:rsidRPr="005C21CD">
        <w:rPr>
          <w:vertAlign w:val="superscript"/>
          <w:rtl/>
        </w:rPr>
        <w:footnoteReference w:id="1191"/>
      </w:r>
      <w:r w:rsidRPr="005C21CD">
        <w:rPr>
          <w:vertAlign w:val="superscript"/>
          <w:rtl/>
        </w:rPr>
        <w:t>)</w:t>
      </w:r>
    </w:p>
    <w:p w:rsidR="005C21CD" w:rsidRPr="005C21CD" w:rsidRDefault="005C21CD" w:rsidP="008265A7">
      <w:pPr>
        <w:ind w:firstLine="0"/>
        <w:rPr>
          <w:rtl/>
        </w:rPr>
      </w:pPr>
      <w:r w:rsidRPr="005C21CD">
        <w:rPr>
          <w:rtl/>
        </w:rPr>
        <w:t xml:space="preserve">وفي هذا الكلام قولان: أحدهما: أنه حكاية عما قال الناس في حقهم، وليس بمقدار لبثهم، قاله ابن عباس، واستدل عليه فقال: لو كانوا لبثوا ذلك لما قال: </w:t>
      </w:r>
      <w:r w:rsidRPr="005C21CD">
        <w:rPr>
          <w:rFonts w:ascii="QCF_BSML" w:hAnsi="QCF_BSML" w:cs="QCF_BSML"/>
          <w:color w:val="auto"/>
          <w:sz w:val="32"/>
          <w:szCs w:val="32"/>
          <w:rtl/>
          <w:lang w:eastAsia="en-US"/>
        </w:rPr>
        <w:t>ﭽ</w:t>
      </w:r>
      <w:r w:rsidRPr="005C21CD">
        <w:rPr>
          <w:rFonts w:ascii="QCF_P296" w:hAnsi="QCF_P296" w:cs="QCF_P296"/>
          <w:color w:val="auto"/>
          <w:sz w:val="32"/>
          <w:szCs w:val="32"/>
          <w:rtl/>
          <w:lang w:eastAsia="en-US"/>
        </w:rPr>
        <w:t xml:space="preserve"> ﯟ  ﯠ  ﯡ  ﯢ  ﯣﯤ </w:t>
      </w:r>
      <w:r w:rsidRPr="005C21CD">
        <w:rPr>
          <w:rFonts w:ascii="QCF_BSML" w:hAnsi="QCF_BSML" w:cs="QCF_BSML"/>
          <w:color w:val="auto"/>
          <w:sz w:val="32"/>
          <w:szCs w:val="32"/>
          <w:rtl/>
          <w:lang w:eastAsia="en-US"/>
        </w:rPr>
        <w:t>ﭼ</w:t>
      </w:r>
      <w:r w:rsidRPr="005C21CD">
        <w:rPr>
          <w:rFonts w:ascii="QCF_P296" w:hAnsi="QCF_P296" w:cs="QCF_P296"/>
          <w:color w:val="auto"/>
          <w:sz w:val="32"/>
          <w:szCs w:val="32"/>
          <w:rtl/>
          <w:lang w:eastAsia="en-US"/>
        </w:rPr>
        <w:t xml:space="preserve"> </w:t>
      </w:r>
      <w:r w:rsidRPr="005C21CD">
        <w:rPr>
          <w:vertAlign w:val="superscript"/>
          <w:rtl/>
        </w:rPr>
        <w:t>(</w:t>
      </w:r>
      <w:r w:rsidRPr="005C21CD">
        <w:rPr>
          <w:vertAlign w:val="superscript"/>
          <w:rtl/>
        </w:rPr>
        <w:footnoteReference w:id="1192"/>
      </w:r>
      <w:r w:rsidRPr="005C21CD">
        <w:rPr>
          <w:vertAlign w:val="superscript"/>
          <w:rtl/>
        </w:rPr>
        <w:t>)</w:t>
      </w:r>
      <w:r w:rsidRPr="005C21CD">
        <w:rPr>
          <w:rFonts w:hint="cs"/>
          <w:rtl/>
        </w:rPr>
        <w:t xml:space="preserve">, </w:t>
      </w:r>
      <w:r w:rsidRPr="005C21CD">
        <w:rPr>
          <w:rtl/>
        </w:rPr>
        <w:t>وكذلك قال قتاد</w:t>
      </w:r>
      <w:r w:rsidR="00FC4E9A">
        <w:rPr>
          <w:rtl/>
        </w:rPr>
        <w:t>ة</w:t>
      </w:r>
      <w:r w:rsidR="00FC4E9A">
        <w:rPr>
          <w:rFonts w:hint="cs"/>
          <w:rtl/>
        </w:rPr>
        <w:t>:</w:t>
      </w:r>
      <w:r w:rsidRPr="005C21CD">
        <w:rPr>
          <w:rtl/>
        </w:rPr>
        <w:t xml:space="preserve"> هذا قول أهل الكتاب</w:t>
      </w:r>
      <w:r w:rsidRPr="005C21CD">
        <w:rPr>
          <w:vertAlign w:val="superscript"/>
          <w:rtl/>
        </w:rPr>
        <w:t>(</w:t>
      </w:r>
      <w:r w:rsidRPr="005C21CD">
        <w:rPr>
          <w:vertAlign w:val="superscript"/>
          <w:rtl/>
        </w:rPr>
        <w:footnoteReference w:id="1193"/>
      </w:r>
      <w:r w:rsidRPr="005C21CD">
        <w:rPr>
          <w:vertAlign w:val="superscript"/>
          <w:rtl/>
        </w:rPr>
        <w:t>)</w:t>
      </w:r>
      <w:r w:rsidRPr="005C21CD">
        <w:rPr>
          <w:rtl/>
        </w:rPr>
        <w:t>. والثاني: أنه مقدار ما لبثوا، قاله عبيد بن عمير</w:t>
      </w:r>
      <w:r w:rsidRPr="005C21CD">
        <w:rPr>
          <w:vertAlign w:val="superscript"/>
          <w:rtl/>
        </w:rPr>
        <w:t>(</w:t>
      </w:r>
      <w:r w:rsidRPr="005C21CD">
        <w:rPr>
          <w:vertAlign w:val="superscript"/>
          <w:rtl/>
        </w:rPr>
        <w:footnoteReference w:id="1194"/>
      </w:r>
      <w:r w:rsidRPr="005C21CD">
        <w:rPr>
          <w:vertAlign w:val="superscript"/>
          <w:rtl/>
        </w:rPr>
        <w:t>)</w:t>
      </w:r>
      <w:r w:rsidRPr="005C21CD">
        <w:rPr>
          <w:rtl/>
        </w:rPr>
        <w:t>ومجاهد</w:t>
      </w:r>
      <w:r w:rsidRPr="005C21CD">
        <w:rPr>
          <w:vertAlign w:val="superscript"/>
          <w:rtl/>
        </w:rPr>
        <w:t>(</w:t>
      </w:r>
      <w:r w:rsidRPr="005C21CD">
        <w:rPr>
          <w:vertAlign w:val="superscript"/>
          <w:rtl/>
        </w:rPr>
        <w:footnoteReference w:id="1195"/>
      </w:r>
      <w:r w:rsidRPr="005C21CD">
        <w:rPr>
          <w:vertAlign w:val="superscript"/>
          <w:rtl/>
        </w:rPr>
        <w:t>)</w:t>
      </w:r>
      <w:r w:rsidRPr="005C21CD">
        <w:rPr>
          <w:rtl/>
        </w:rPr>
        <w:t>والضحاك</w:t>
      </w:r>
      <w:r w:rsidRPr="005C21CD">
        <w:rPr>
          <w:vertAlign w:val="superscript"/>
          <w:rtl/>
        </w:rPr>
        <w:t>(</w:t>
      </w:r>
      <w:r w:rsidRPr="005C21CD">
        <w:rPr>
          <w:vertAlign w:val="superscript"/>
          <w:rtl/>
        </w:rPr>
        <w:footnoteReference w:id="1196"/>
      </w:r>
      <w:r w:rsidRPr="005C21CD">
        <w:rPr>
          <w:vertAlign w:val="superscript"/>
          <w:rtl/>
        </w:rPr>
        <w:t>)</w:t>
      </w:r>
      <w:r w:rsidRPr="005C21CD">
        <w:rPr>
          <w:rtl/>
        </w:rPr>
        <w:t>وابن زيد</w:t>
      </w:r>
      <w:r w:rsidRPr="005C21CD">
        <w:rPr>
          <w:vertAlign w:val="superscript"/>
          <w:rtl/>
        </w:rPr>
        <w:t>(</w:t>
      </w:r>
      <w:r w:rsidRPr="005C21CD">
        <w:rPr>
          <w:vertAlign w:val="superscript"/>
          <w:rtl/>
        </w:rPr>
        <w:footnoteReference w:id="1197"/>
      </w:r>
      <w:r w:rsidRPr="005C21CD">
        <w:rPr>
          <w:vertAlign w:val="superscript"/>
          <w:rtl/>
        </w:rPr>
        <w:t>)</w:t>
      </w:r>
      <w:r w:rsidRPr="005C21CD">
        <w:rPr>
          <w:rtl/>
        </w:rPr>
        <w:t>والمعنى: لبثوا هذا القدر من يوم دخلوه إِلى أن بعثهم الله وأطلع الخلق عليهم. قوله تعالى:</w:t>
      </w:r>
      <w:r w:rsidRPr="005C21CD">
        <w:rPr>
          <w:rFonts w:ascii="QCF_P296" w:hAnsi="QCF_P296" w:cs="QCF_P296"/>
          <w:color w:val="auto"/>
          <w:sz w:val="32"/>
          <w:szCs w:val="32"/>
          <w:rtl/>
          <w:lang w:eastAsia="en-US"/>
        </w:rPr>
        <w:t xml:space="preserve">   </w:t>
      </w:r>
      <w:r w:rsidRPr="005C21CD">
        <w:rPr>
          <w:rFonts w:ascii="QCF_BSML" w:hAnsi="QCF_BSML" w:cs="QCF_BSML"/>
          <w:color w:val="auto"/>
          <w:sz w:val="32"/>
          <w:szCs w:val="32"/>
          <w:rtl/>
          <w:lang w:eastAsia="en-US"/>
        </w:rPr>
        <w:t>ﭽ</w:t>
      </w:r>
      <w:r w:rsidRPr="005C21CD">
        <w:rPr>
          <w:rFonts w:ascii="QCF_P296" w:hAnsi="QCF_P296" w:cs="QCF_P296"/>
          <w:color w:val="auto"/>
          <w:sz w:val="32"/>
          <w:szCs w:val="32"/>
          <w:rtl/>
          <w:lang w:eastAsia="en-US"/>
        </w:rPr>
        <w:t xml:space="preserve"> ﯛ  </w:t>
      </w:r>
      <w:r w:rsidRPr="005C21CD">
        <w:rPr>
          <w:rFonts w:ascii="QCF_BSML" w:hAnsi="QCF_BSML" w:cs="QCF_BSML"/>
          <w:color w:val="auto"/>
          <w:sz w:val="32"/>
          <w:szCs w:val="32"/>
          <w:rtl/>
          <w:lang w:eastAsia="en-US"/>
        </w:rPr>
        <w:t>ﭼ</w:t>
      </w:r>
      <w:r w:rsidRPr="005C21CD">
        <w:rPr>
          <w:rFonts w:ascii="QCF_BSML" w:hAnsi="QCF_BSML" w:cs="QCF_BSML" w:hint="cs"/>
          <w:color w:val="auto"/>
          <w:sz w:val="32"/>
          <w:szCs w:val="32"/>
          <w:rtl/>
          <w:lang w:eastAsia="en-US"/>
        </w:rPr>
        <w:t xml:space="preserve"> </w:t>
      </w:r>
      <w:r w:rsidRPr="005C21CD">
        <w:rPr>
          <w:rtl/>
        </w:rPr>
        <w:t>قال الفراء</w:t>
      </w:r>
      <w:r w:rsidRPr="005C21CD">
        <w:rPr>
          <w:vertAlign w:val="superscript"/>
          <w:rtl/>
        </w:rPr>
        <w:t>(</w:t>
      </w:r>
      <w:r w:rsidRPr="005C21CD">
        <w:rPr>
          <w:vertAlign w:val="superscript"/>
          <w:rtl/>
        </w:rPr>
        <w:footnoteReference w:id="1198"/>
      </w:r>
      <w:r w:rsidRPr="005C21CD">
        <w:rPr>
          <w:vertAlign w:val="superscript"/>
          <w:rtl/>
        </w:rPr>
        <w:t>)</w:t>
      </w:r>
      <w:r w:rsidRPr="005C21CD">
        <w:rPr>
          <w:rtl/>
        </w:rPr>
        <w:t>وأبو عبيدة</w:t>
      </w:r>
      <w:r w:rsidRPr="005C21CD">
        <w:rPr>
          <w:vertAlign w:val="superscript"/>
          <w:rtl/>
        </w:rPr>
        <w:t>(</w:t>
      </w:r>
      <w:r w:rsidRPr="005C21CD">
        <w:rPr>
          <w:vertAlign w:val="superscript"/>
          <w:rtl/>
        </w:rPr>
        <w:footnoteReference w:id="1199"/>
      </w:r>
      <w:r w:rsidRPr="005C21CD">
        <w:rPr>
          <w:vertAlign w:val="superscript"/>
          <w:rtl/>
        </w:rPr>
        <w:t>)</w:t>
      </w:r>
      <w:r w:rsidRPr="005C21CD">
        <w:rPr>
          <w:rtl/>
        </w:rPr>
        <w:t>والكسائي</w:t>
      </w:r>
      <w:r w:rsidRPr="005C21CD">
        <w:rPr>
          <w:vertAlign w:val="superscript"/>
          <w:rtl/>
        </w:rPr>
        <w:t>(</w:t>
      </w:r>
      <w:r w:rsidRPr="005C21CD">
        <w:rPr>
          <w:vertAlign w:val="superscript"/>
          <w:rtl/>
        </w:rPr>
        <w:footnoteReference w:id="1200"/>
      </w:r>
      <w:r w:rsidRPr="005C21CD">
        <w:rPr>
          <w:vertAlign w:val="superscript"/>
          <w:rtl/>
        </w:rPr>
        <w:t>)</w:t>
      </w:r>
      <w:r w:rsidRPr="005C21CD">
        <w:rPr>
          <w:rtl/>
        </w:rPr>
        <w:t xml:space="preserve"> والزجاج</w:t>
      </w:r>
      <w:r w:rsidRPr="005C21CD">
        <w:rPr>
          <w:vertAlign w:val="superscript"/>
          <w:rtl/>
        </w:rPr>
        <w:t>(</w:t>
      </w:r>
      <w:r w:rsidRPr="005C21CD">
        <w:rPr>
          <w:vertAlign w:val="superscript"/>
          <w:rtl/>
        </w:rPr>
        <w:footnoteReference w:id="1201"/>
      </w:r>
      <w:r w:rsidRPr="005C21CD">
        <w:rPr>
          <w:vertAlign w:val="superscript"/>
          <w:rtl/>
        </w:rPr>
        <w:t>)</w:t>
      </w:r>
      <w:r w:rsidRPr="005C21CD">
        <w:rPr>
          <w:rtl/>
        </w:rPr>
        <w:t>: التقدير: سنين ثلاثمائة. قال ابن قتيبة: المعنى:</w:t>
      </w:r>
      <w:r w:rsidRPr="005C21CD">
        <w:rPr>
          <w:rFonts w:hint="cs"/>
          <w:rtl/>
        </w:rPr>
        <w:t xml:space="preserve"> </w:t>
      </w:r>
      <w:r w:rsidRPr="005C21CD">
        <w:rPr>
          <w:rtl/>
        </w:rPr>
        <w:t xml:space="preserve">أنها لم تكن شهوراً ولا أيّاما، إنما </w:t>
      </w:r>
      <w:r w:rsidRPr="005C21CD">
        <w:rPr>
          <w:rtl/>
        </w:rPr>
        <w:lastRenderedPageBreak/>
        <w:t>كانت سنين</w:t>
      </w:r>
      <w:r w:rsidRPr="005C21CD">
        <w:rPr>
          <w:vertAlign w:val="superscript"/>
          <w:rtl/>
        </w:rPr>
        <w:t>(</w:t>
      </w:r>
      <w:r w:rsidRPr="005C21CD">
        <w:rPr>
          <w:vertAlign w:val="superscript"/>
          <w:rtl/>
        </w:rPr>
        <w:footnoteReference w:id="1202"/>
      </w:r>
      <w:r w:rsidRPr="005C21CD">
        <w:rPr>
          <w:vertAlign w:val="superscript"/>
          <w:rtl/>
        </w:rPr>
        <w:t>)</w:t>
      </w:r>
      <w:r w:rsidRPr="005C21CD">
        <w:rPr>
          <w:rtl/>
        </w:rPr>
        <w:t>. وقال أبو علي الفارسي:</w:t>
      </w:r>
      <w:r w:rsidRPr="005C21CD">
        <w:rPr>
          <w:rFonts w:ascii="QCF_P296" w:hAnsi="QCF_P296" w:cs="QCF_P296"/>
          <w:color w:val="auto"/>
          <w:sz w:val="32"/>
          <w:szCs w:val="32"/>
          <w:rtl/>
          <w:lang w:eastAsia="en-US"/>
        </w:rPr>
        <w:t xml:space="preserve">    </w:t>
      </w:r>
      <w:r w:rsidRPr="005C21CD">
        <w:rPr>
          <w:rFonts w:ascii="QCF_BSML" w:hAnsi="QCF_BSML" w:cs="QCF_BSML"/>
          <w:color w:val="auto"/>
          <w:sz w:val="32"/>
          <w:szCs w:val="32"/>
          <w:rtl/>
          <w:lang w:eastAsia="en-US"/>
        </w:rPr>
        <w:t>ﭽ</w:t>
      </w:r>
      <w:r w:rsidRPr="005C21CD">
        <w:rPr>
          <w:rFonts w:ascii="QCF_P296" w:hAnsi="QCF_P296" w:cs="QCF_P296"/>
          <w:color w:val="auto"/>
          <w:sz w:val="32"/>
          <w:szCs w:val="32"/>
          <w:rtl/>
          <w:lang w:eastAsia="en-US"/>
        </w:rPr>
        <w:t>ﯛ</w:t>
      </w:r>
      <w:r w:rsidRPr="005C21CD">
        <w:rPr>
          <w:rFonts w:ascii="QCF_BSML" w:hAnsi="QCF_BSML" w:cs="QCF_BSML"/>
          <w:color w:val="auto"/>
          <w:sz w:val="32"/>
          <w:szCs w:val="32"/>
          <w:rtl/>
          <w:lang w:eastAsia="en-US"/>
        </w:rPr>
        <w:t>ﭼ</w:t>
      </w:r>
      <w:r w:rsidRPr="005C21CD">
        <w:rPr>
          <w:rFonts w:ascii="QCF_P296" w:hAnsi="QCF_P296" w:cs="QCF_P296"/>
          <w:color w:val="auto"/>
          <w:sz w:val="32"/>
          <w:szCs w:val="32"/>
          <w:rtl/>
          <w:lang w:eastAsia="en-US"/>
        </w:rPr>
        <w:t xml:space="preserve">  </w:t>
      </w:r>
      <w:r w:rsidRPr="005C21CD">
        <w:rPr>
          <w:rtl/>
        </w:rPr>
        <w:t>بدل من قوله:</w:t>
      </w:r>
      <w:r w:rsidRPr="005C21CD">
        <w:rPr>
          <w:rFonts w:hint="cs"/>
          <w:rtl/>
        </w:rPr>
        <w:t xml:space="preserve"> </w:t>
      </w:r>
      <w:r w:rsidRPr="005C21CD">
        <w:rPr>
          <w:rtl/>
        </w:rPr>
        <w:t>«ثلاثمائة»</w:t>
      </w:r>
      <w:r w:rsidRPr="005C21CD">
        <w:rPr>
          <w:vertAlign w:val="superscript"/>
          <w:rtl/>
        </w:rPr>
        <w:t>(</w:t>
      </w:r>
      <w:r w:rsidRPr="005C21CD">
        <w:rPr>
          <w:vertAlign w:val="superscript"/>
          <w:rtl/>
        </w:rPr>
        <w:footnoteReference w:id="1203"/>
      </w:r>
      <w:r w:rsidRPr="005C21CD">
        <w:rPr>
          <w:vertAlign w:val="superscript"/>
          <w:rtl/>
        </w:rPr>
        <w:t>)</w:t>
      </w:r>
      <w:r w:rsidRPr="005C21CD">
        <w:rPr>
          <w:rtl/>
        </w:rPr>
        <w:t xml:space="preserve">. قال الضحاك: نزلت </w:t>
      </w:r>
      <w:r w:rsidRPr="005C21CD">
        <w:rPr>
          <w:rFonts w:ascii="QCF_BSML" w:hAnsi="QCF_BSML" w:cs="QCF_BSML"/>
          <w:color w:val="auto"/>
          <w:sz w:val="32"/>
          <w:szCs w:val="32"/>
          <w:rtl/>
          <w:lang w:eastAsia="en-US"/>
        </w:rPr>
        <w:t>ﭽ</w:t>
      </w:r>
      <w:r w:rsidRPr="005C21CD">
        <w:rPr>
          <w:rFonts w:ascii="QCF_P296" w:hAnsi="QCF_P296" w:cs="QCF_P296"/>
          <w:color w:val="auto"/>
          <w:sz w:val="32"/>
          <w:szCs w:val="32"/>
          <w:rtl/>
          <w:lang w:eastAsia="en-US"/>
        </w:rPr>
        <w:t xml:space="preserve">ﯖ  ﯗ  ﯘ </w:t>
      </w:r>
      <w:r w:rsidRPr="005C21CD">
        <w:rPr>
          <w:rFonts w:ascii="QCF_P296" w:hAnsi="QCF_P296" w:cs="QCF_P296" w:hint="cs"/>
          <w:color w:val="auto"/>
          <w:sz w:val="32"/>
          <w:szCs w:val="32"/>
          <w:rtl/>
          <w:lang w:eastAsia="en-US"/>
        </w:rPr>
        <w:t xml:space="preserve"> </w:t>
      </w:r>
      <w:r w:rsidRPr="005C21CD">
        <w:rPr>
          <w:rFonts w:ascii="QCF_P296" w:hAnsi="QCF_P296" w:cs="QCF_P296"/>
          <w:color w:val="auto"/>
          <w:sz w:val="32"/>
          <w:szCs w:val="32"/>
          <w:rtl/>
          <w:lang w:eastAsia="en-US"/>
        </w:rPr>
        <w:t xml:space="preserve">ﯙ  ﯚ   </w:t>
      </w:r>
      <w:r w:rsidRPr="005C21CD">
        <w:rPr>
          <w:rFonts w:ascii="QCF_BSML" w:hAnsi="QCF_BSML" w:cs="QCF_BSML"/>
          <w:color w:val="auto"/>
          <w:sz w:val="32"/>
          <w:szCs w:val="32"/>
          <w:rtl/>
          <w:lang w:eastAsia="en-US"/>
        </w:rPr>
        <w:t>ﭼ</w:t>
      </w:r>
      <w:r w:rsidRPr="005C21CD">
        <w:rPr>
          <w:rFonts w:ascii="QCF_P296" w:hAnsi="QCF_P296" w:cs="QCF_P296"/>
          <w:color w:val="auto"/>
          <w:sz w:val="32"/>
          <w:szCs w:val="32"/>
          <w:rtl/>
          <w:lang w:eastAsia="en-US"/>
        </w:rPr>
        <w:t xml:space="preserve"> </w:t>
      </w:r>
      <w:r w:rsidRPr="005C21CD">
        <w:rPr>
          <w:rFonts w:ascii="QCF_P296" w:hAnsi="QCF_P296" w:cs="QCF_P296" w:hint="cs"/>
          <w:color w:val="auto"/>
          <w:sz w:val="32"/>
          <w:szCs w:val="32"/>
          <w:rtl/>
          <w:lang w:eastAsia="en-US"/>
        </w:rPr>
        <w:t xml:space="preserve"> </w:t>
      </w:r>
      <w:r w:rsidRPr="005C21CD">
        <w:rPr>
          <w:rtl/>
        </w:rPr>
        <w:t>فقالوا: أياماً أو شهوراً أو سنين؟</w:t>
      </w:r>
      <w:r w:rsidRPr="005C21CD">
        <w:rPr>
          <w:rFonts w:hint="cs"/>
          <w:rtl/>
        </w:rPr>
        <w:t xml:space="preserve"> </w:t>
      </w:r>
      <w:r w:rsidRPr="005C21CD">
        <w:rPr>
          <w:rtl/>
        </w:rPr>
        <w:t>فنزلت:</w:t>
      </w:r>
      <w:r w:rsidRPr="005C21CD">
        <w:rPr>
          <w:rFonts w:ascii="QCF_P296" w:hAnsi="QCF_P296" w:cs="QCF_P296"/>
          <w:color w:val="auto"/>
          <w:sz w:val="32"/>
          <w:szCs w:val="32"/>
          <w:rtl/>
          <w:lang w:eastAsia="en-US"/>
        </w:rPr>
        <w:t xml:space="preserve"> </w:t>
      </w:r>
      <w:r w:rsidRPr="005C21CD">
        <w:rPr>
          <w:rFonts w:ascii="QCF_BSML" w:hAnsi="QCF_BSML" w:cs="QCF_BSML"/>
          <w:color w:val="auto"/>
          <w:sz w:val="32"/>
          <w:szCs w:val="32"/>
          <w:rtl/>
          <w:lang w:eastAsia="en-US"/>
        </w:rPr>
        <w:t>ﭽ</w:t>
      </w:r>
      <w:r w:rsidRPr="005C21CD">
        <w:rPr>
          <w:rFonts w:ascii="QCF_P296" w:hAnsi="QCF_P296" w:cs="QCF_P296"/>
          <w:color w:val="auto"/>
          <w:sz w:val="32"/>
          <w:szCs w:val="32"/>
          <w:rtl/>
          <w:lang w:eastAsia="en-US"/>
        </w:rPr>
        <w:t xml:space="preserve">ﯛ  </w:t>
      </w:r>
      <w:r w:rsidRPr="005C21CD">
        <w:rPr>
          <w:rFonts w:ascii="QCF_BSML" w:hAnsi="QCF_BSML" w:cs="QCF_BSML"/>
          <w:color w:val="auto"/>
          <w:sz w:val="32"/>
          <w:szCs w:val="32"/>
          <w:rtl/>
          <w:lang w:eastAsia="en-US"/>
        </w:rPr>
        <w:t>ﭼ</w:t>
      </w:r>
      <w:r w:rsidRPr="005C21CD">
        <w:rPr>
          <w:rtl/>
        </w:rPr>
        <w:t xml:space="preserve"> فلذلك قال:</w:t>
      </w:r>
      <w:r w:rsidRPr="005C21CD">
        <w:rPr>
          <w:rFonts w:ascii="QCF_P296" w:hAnsi="QCF_P296" w:cs="QCF_P296"/>
          <w:color w:val="auto"/>
          <w:sz w:val="32"/>
          <w:szCs w:val="32"/>
          <w:rtl/>
          <w:lang w:eastAsia="en-US"/>
        </w:rPr>
        <w:t xml:space="preserve">   </w:t>
      </w:r>
      <w:r w:rsidRPr="005C21CD">
        <w:rPr>
          <w:rFonts w:ascii="QCF_BSML" w:hAnsi="QCF_BSML" w:cs="QCF_BSML"/>
          <w:color w:val="auto"/>
          <w:sz w:val="32"/>
          <w:szCs w:val="32"/>
          <w:rtl/>
          <w:lang w:eastAsia="en-US"/>
        </w:rPr>
        <w:t>ﭽ</w:t>
      </w:r>
      <w:r w:rsidRPr="005C21CD">
        <w:rPr>
          <w:rFonts w:ascii="QCF_P296" w:hAnsi="QCF_P296" w:cs="QCF_P296"/>
          <w:color w:val="auto"/>
          <w:sz w:val="32"/>
          <w:szCs w:val="32"/>
          <w:rtl/>
          <w:lang w:eastAsia="en-US"/>
        </w:rPr>
        <w:t>ﯛ</w:t>
      </w:r>
      <w:r w:rsidRPr="005C21CD">
        <w:rPr>
          <w:rFonts w:ascii="QCF_BSML" w:hAnsi="QCF_BSML" w:cs="QCF_BSML"/>
          <w:color w:val="auto"/>
          <w:sz w:val="32"/>
          <w:szCs w:val="32"/>
          <w:rtl/>
          <w:lang w:eastAsia="en-US"/>
        </w:rPr>
        <w:t>ﭼ</w:t>
      </w:r>
      <w:r w:rsidRPr="005C21CD">
        <w:rPr>
          <w:rFonts w:ascii="QCF_P296" w:hAnsi="QCF_P296" w:cs="QCF_P296"/>
          <w:color w:val="auto"/>
          <w:sz w:val="32"/>
          <w:szCs w:val="32"/>
          <w:rtl/>
          <w:lang w:eastAsia="en-US"/>
        </w:rPr>
        <w:t xml:space="preserve">  </w:t>
      </w:r>
      <w:r w:rsidRPr="005C21CD">
        <w:rPr>
          <w:rtl/>
        </w:rPr>
        <w:t>، ولم يقل: سنة</w:t>
      </w:r>
      <w:r w:rsidRPr="005C21CD">
        <w:rPr>
          <w:vertAlign w:val="superscript"/>
          <w:rtl/>
        </w:rPr>
        <w:t>(</w:t>
      </w:r>
      <w:r w:rsidRPr="005C21CD">
        <w:rPr>
          <w:vertAlign w:val="superscript"/>
          <w:rtl/>
        </w:rPr>
        <w:footnoteReference w:id="1204"/>
      </w:r>
      <w:r w:rsidRPr="005C21CD">
        <w:rPr>
          <w:vertAlign w:val="superscript"/>
          <w:rtl/>
        </w:rPr>
        <w:t>)</w:t>
      </w:r>
      <w:r w:rsidRPr="005C21CD">
        <w:rPr>
          <w:rtl/>
        </w:rPr>
        <w:t>.</w:t>
      </w:r>
    </w:p>
    <w:p w:rsidR="005C21CD" w:rsidRPr="005C21CD" w:rsidRDefault="005C21CD" w:rsidP="005C21CD">
      <w:pPr>
        <w:ind w:firstLine="0"/>
        <w:rPr>
          <w:rtl/>
        </w:rPr>
      </w:pPr>
      <w:r w:rsidRPr="005C21CD">
        <w:rPr>
          <w:rtl/>
        </w:rPr>
        <w:t xml:space="preserve">قوله تعالى: </w:t>
      </w:r>
      <w:r w:rsidRPr="005C21CD">
        <w:rPr>
          <w:rFonts w:ascii="QCF_BSML" w:hAnsi="QCF_BSML" w:cs="QCF_BSML"/>
          <w:color w:val="auto"/>
          <w:sz w:val="32"/>
          <w:szCs w:val="32"/>
          <w:rtl/>
          <w:lang w:eastAsia="en-US"/>
        </w:rPr>
        <w:t>ﭽ</w:t>
      </w:r>
      <w:r w:rsidRPr="005C21CD">
        <w:rPr>
          <w:rFonts w:ascii="QCF_P296" w:hAnsi="QCF_P296" w:cs="QCF_P296"/>
          <w:color w:val="auto"/>
          <w:sz w:val="32"/>
          <w:szCs w:val="32"/>
          <w:rtl/>
          <w:lang w:eastAsia="en-US"/>
        </w:rPr>
        <w:t xml:space="preserve"> ﯜ  ﯝ   </w:t>
      </w:r>
      <w:r w:rsidRPr="005C21CD">
        <w:rPr>
          <w:rFonts w:ascii="QCF_BSML" w:hAnsi="QCF_BSML" w:cs="QCF_BSML"/>
          <w:color w:val="auto"/>
          <w:sz w:val="32"/>
          <w:szCs w:val="32"/>
          <w:rtl/>
          <w:lang w:eastAsia="en-US"/>
        </w:rPr>
        <w:t>ﭼ</w:t>
      </w:r>
      <w:r w:rsidRPr="005C21CD">
        <w:rPr>
          <w:rFonts w:ascii="QCF_BSML" w:hAnsi="QCF_BSML" w:cs="QCF_BSML" w:hint="cs"/>
          <w:color w:val="auto"/>
          <w:sz w:val="32"/>
          <w:szCs w:val="32"/>
          <w:rtl/>
          <w:lang w:eastAsia="en-US"/>
        </w:rPr>
        <w:t xml:space="preserve"> </w:t>
      </w:r>
      <w:r w:rsidRPr="005C21CD">
        <w:rPr>
          <w:rtl/>
        </w:rPr>
        <w:t>يعني: تسع سنين، فاستغنى عن ذِكْر السنين بما تقدَّم</w:t>
      </w:r>
      <w:r w:rsidRPr="005C21CD">
        <w:rPr>
          <w:vertAlign w:val="superscript"/>
          <w:rtl/>
        </w:rPr>
        <w:t>(</w:t>
      </w:r>
      <w:r w:rsidRPr="005C21CD">
        <w:rPr>
          <w:vertAlign w:val="superscript"/>
          <w:rtl/>
        </w:rPr>
        <w:footnoteReference w:id="1205"/>
      </w:r>
      <w:r w:rsidRPr="005C21CD">
        <w:rPr>
          <w:vertAlign w:val="superscript"/>
          <w:rtl/>
        </w:rPr>
        <w:t>)</w:t>
      </w:r>
      <w:r w:rsidRPr="005C21CD">
        <w:rPr>
          <w:rtl/>
        </w:rPr>
        <w:t xml:space="preserve">من ذِكْرها. ثم أعلمَ أنه أعلمُ بقدْر مدة لبثهم من أهل الكتاب المختلفين فيها، فقال: </w:t>
      </w:r>
      <w:r w:rsidRPr="005C21CD">
        <w:rPr>
          <w:rFonts w:ascii="QCF_BSML" w:hAnsi="QCF_BSML" w:cs="QCF_BSML"/>
          <w:color w:val="auto"/>
          <w:sz w:val="32"/>
          <w:szCs w:val="32"/>
          <w:rtl/>
          <w:lang w:eastAsia="en-US"/>
        </w:rPr>
        <w:t>ﭽ</w:t>
      </w:r>
      <w:r w:rsidRPr="005C21CD">
        <w:rPr>
          <w:rFonts w:ascii="QCF_P296" w:hAnsi="QCF_P296" w:cs="QCF_P296"/>
          <w:color w:val="auto"/>
          <w:sz w:val="32"/>
          <w:szCs w:val="32"/>
          <w:rtl/>
          <w:lang w:eastAsia="en-US"/>
        </w:rPr>
        <w:t xml:space="preserve"> ﯟ  ﯠ  ﯡ  ﯢ  ﯣﯤ  </w:t>
      </w:r>
      <w:r w:rsidRPr="005C21CD">
        <w:rPr>
          <w:rFonts w:ascii="QCF_BSML" w:hAnsi="QCF_BSML" w:cs="QCF_BSML"/>
          <w:color w:val="auto"/>
          <w:sz w:val="32"/>
          <w:szCs w:val="32"/>
          <w:rtl/>
          <w:lang w:eastAsia="en-US"/>
        </w:rPr>
        <w:t>ﭼ</w:t>
      </w:r>
      <w:r w:rsidRPr="005C21CD">
        <w:rPr>
          <w:vertAlign w:val="superscript"/>
          <w:rtl/>
        </w:rPr>
        <w:t>(</w:t>
      </w:r>
      <w:r w:rsidRPr="005C21CD">
        <w:rPr>
          <w:vertAlign w:val="superscript"/>
          <w:rtl/>
        </w:rPr>
        <w:footnoteReference w:id="1206"/>
      </w:r>
      <w:r w:rsidRPr="005C21CD">
        <w:rPr>
          <w:vertAlign w:val="superscript"/>
          <w:rtl/>
        </w:rPr>
        <w:t>)</w:t>
      </w:r>
      <w:r w:rsidRPr="005C21CD">
        <w:rPr>
          <w:rFonts w:ascii="QCF_BSML" w:hAnsi="QCF_BSML" w:cs="QCF_BSML" w:hint="cs"/>
          <w:color w:val="auto"/>
          <w:sz w:val="32"/>
          <w:szCs w:val="32"/>
          <w:rtl/>
          <w:lang w:eastAsia="en-US"/>
        </w:rPr>
        <w:t xml:space="preserve">  </w:t>
      </w:r>
      <w:r w:rsidRPr="005C21CD">
        <w:rPr>
          <w:rtl/>
        </w:rPr>
        <w:t xml:space="preserve">قال ابن السائب: قالت نصارى نجران: أما الثلاثمائة، فقد عرفناها، وأما التسع، فلا عِلْم لنا بها، فنزل قوله تعالى: </w:t>
      </w:r>
      <w:r w:rsidRPr="005C21CD">
        <w:rPr>
          <w:rFonts w:ascii="QCF_BSML" w:hAnsi="QCF_BSML" w:cs="QCF_BSML"/>
          <w:color w:val="auto"/>
          <w:sz w:val="32"/>
          <w:szCs w:val="32"/>
          <w:rtl/>
          <w:lang w:eastAsia="en-US"/>
        </w:rPr>
        <w:t>ﭽ</w:t>
      </w:r>
      <w:r w:rsidRPr="005C21CD">
        <w:rPr>
          <w:rFonts w:ascii="QCF_P296" w:hAnsi="QCF_P296" w:cs="QCF_P296"/>
          <w:color w:val="auto"/>
          <w:sz w:val="32"/>
          <w:szCs w:val="32"/>
          <w:rtl/>
          <w:lang w:eastAsia="en-US"/>
        </w:rPr>
        <w:t xml:space="preserve"> ﯟ  ﯠ  ﯡ  ﯢ  ﯣﯤ  </w:t>
      </w:r>
      <w:r w:rsidRPr="005C21CD">
        <w:rPr>
          <w:rFonts w:ascii="QCF_BSML" w:hAnsi="QCF_BSML" w:cs="QCF_BSML"/>
          <w:color w:val="auto"/>
          <w:sz w:val="32"/>
          <w:szCs w:val="32"/>
          <w:rtl/>
          <w:lang w:eastAsia="en-US"/>
        </w:rPr>
        <w:t>ﭼ</w:t>
      </w:r>
      <w:r w:rsidRPr="005C21CD">
        <w:rPr>
          <w:vertAlign w:val="superscript"/>
          <w:rtl/>
        </w:rPr>
        <w:t>(</w:t>
      </w:r>
      <w:r w:rsidRPr="005C21CD">
        <w:rPr>
          <w:vertAlign w:val="superscript"/>
          <w:rtl/>
        </w:rPr>
        <w:footnoteReference w:id="1207"/>
      </w:r>
      <w:r w:rsidRPr="005C21CD">
        <w:rPr>
          <w:vertAlign w:val="superscript"/>
          <w:rtl/>
        </w:rPr>
        <w:t>)</w:t>
      </w:r>
      <w:r w:rsidRPr="005C21CD">
        <w:rPr>
          <w:rtl/>
        </w:rPr>
        <w:t xml:space="preserve">وقيل: إِن أهل الكتاب قالوا: إِن </w:t>
      </w:r>
      <w:r w:rsidRPr="005C21CD">
        <w:rPr>
          <w:rFonts w:hint="cs"/>
          <w:rtl/>
        </w:rPr>
        <w:t>ا</w:t>
      </w:r>
      <w:r w:rsidRPr="005C21CD">
        <w:rPr>
          <w:rtl/>
        </w:rPr>
        <w:t>لفتية منذ دخلوا الكهف</w:t>
      </w:r>
      <w:r w:rsidRPr="005C21CD">
        <w:rPr>
          <w:vertAlign w:val="superscript"/>
          <w:rtl/>
        </w:rPr>
        <w:t>(</w:t>
      </w:r>
      <w:r w:rsidRPr="005C21CD">
        <w:rPr>
          <w:vertAlign w:val="superscript"/>
          <w:rtl/>
        </w:rPr>
        <w:footnoteReference w:id="1208"/>
      </w:r>
      <w:r w:rsidRPr="005C21CD">
        <w:rPr>
          <w:vertAlign w:val="superscript"/>
          <w:rtl/>
        </w:rPr>
        <w:t>)</w:t>
      </w:r>
      <w:r w:rsidRPr="005C21CD">
        <w:rPr>
          <w:rtl/>
        </w:rPr>
        <w:t xml:space="preserve">إِلى يومنا هذا ثلاثمائة وتسع سنين، فردّ عليهم ذلك، وقال: </w:t>
      </w:r>
      <w:r w:rsidRPr="005C21CD">
        <w:rPr>
          <w:rFonts w:ascii="QCF_BSML" w:hAnsi="QCF_BSML" w:cs="QCF_BSML"/>
          <w:color w:val="auto"/>
          <w:sz w:val="32"/>
          <w:szCs w:val="32"/>
          <w:rtl/>
          <w:lang w:eastAsia="en-US"/>
        </w:rPr>
        <w:t>ﭽ</w:t>
      </w:r>
      <w:r w:rsidRPr="005C21CD">
        <w:rPr>
          <w:rFonts w:ascii="QCF_P296" w:hAnsi="QCF_P296" w:cs="QCF_P296"/>
          <w:color w:val="auto"/>
          <w:sz w:val="32"/>
          <w:szCs w:val="32"/>
          <w:rtl/>
          <w:lang w:eastAsia="en-US"/>
        </w:rPr>
        <w:t xml:space="preserve"> ﯟ  ﯠ  ﯡ  ﯢ  ﯣﯤ </w:t>
      </w:r>
      <w:r w:rsidRPr="005C21CD">
        <w:rPr>
          <w:rFonts w:ascii="QCF_BSML" w:hAnsi="QCF_BSML" w:cs="QCF_BSML"/>
          <w:color w:val="auto"/>
          <w:sz w:val="32"/>
          <w:szCs w:val="32"/>
          <w:rtl/>
          <w:lang w:eastAsia="en-US"/>
        </w:rPr>
        <w:t>ﭼ</w:t>
      </w:r>
      <w:r w:rsidRPr="005C21CD">
        <w:rPr>
          <w:rtl/>
        </w:rPr>
        <w:t xml:space="preserve"> بعد أن قبض أرواحهم إِلى يومكم هذا، لا يعلم بذلك غيرُ الله</w:t>
      </w:r>
      <w:r w:rsidRPr="005C21CD">
        <w:rPr>
          <w:vertAlign w:val="superscript"/>
          <w:rtl/>
        </w:rPr>
        <w:t>(</w:t>
      </w:r>
      <w:r w:rsidRPr="005C21CD">
        <w:rPr>
          <w:vertAlign w:val="superscript"/>
          <w:rtl/>
        </w:rPr>
        <w:footnoteReference w:id="1209"/>
      </w:r>
      <w:r w:rsidRPr="005C21CD">
        <w:rPr>
          <w:vertAlign w:val="superscript"/>
          <w:rtl/>
        </w:rPr>
        <w:t>)</w:t>
      </w:r>
      <w:r w:rsidRPr="005C21CD">
        <w:rPr>
          <w:rtl/>
        </w:rPr>
        <w:t>. وقيل: إِنما زاد التسع، لأنه تفاوت ما بين السنين الشمسية والسنين القمرية، حكاه الماوردي</w:t>
      </w:r>
      <w:r w:rsidRPr="005C21CD">
        <w:rPr>
          <w:vertAlign w:val="superscript"/>
          <w:rtl/>
        </w:rPr>
        <w:t>(</w:t>
      </w:r>
      <w:r w:rsidRPr="005C21CD">
        <w:rPr>
          <w:vertAlign w:val="superscript"/>
          <w:rtl/>
        </w:rPr>
        <w:footnoteReference w:id="1210"/>
      </w:r>
      <w:r w:rsidRPr="005C21CD">
        <w:rPr>
          <w:vertAlign w:val="superscript"/>
          <w:rtl/>
        </w:rPr>
        <w:t>)</w:t>
      </w:r>
      <w:r w:rsidRPr="005C21CD">
        <w:rPr>
          <w:rtl/>
        </w:rPr>
        <w:t>.</w:t>
      </w:r>
    </w:p>
    <w:p w:rsidR="005C21CD" w:rsidRPr="005C21CD" w:rsidRDefault="005C21CD" w:rsidP="0092639A">
      <w:pPr>
        <w:ind w:firstLine="0"/>
        <w:rPr>
          <w:rtl/>
        </w:rPr>
      </w:pPr>
      <w:r w:rsidRPr="005C21CD">
        <w:rPr>
          <w:rtl/>
        </w:rPr>
        <w:t>قوله تعالى:</w:t>
      </w:r>
      <w:r w:rsidRPr="005C21CD">
        <w:rPr>
          <w:rFonts w:ascii="QCF_BSML" w:hAnsi="QCF_BSML" w:cs="QCF_BSML"/>
          <w:color w:val="auto"/>
          <w:sz w:val="32"/>
          <w:szCs w:val="32"/>
          <w:rtl/>
          <w:lang w:eastAsia="en-US"/>
        </w:rPr>
        <w:t xml:space="preserve"> ﭽ</w:t>
      </w:r>
      <w:r w:rsidRPr="005C21CD">
        <w:rPr>
          <w:rFonts w:ascii="QCF_P296" w:hAnsi="QCF_P296" w:cs="QCF_P296"/>
          <w:color w:val="auto"/>
          <w:sz w:val="32"/>
          <w:szCs w:val="32"/>
          <w:rtl/>
          <w:lang w:eastAsia="en-US"/>
        </w:rPr>
        <w:t xml:space="preserve"> ﯪ    ﯫ  ﯬﯭ </w:t>
      </w:r>
      <w:r w:rsidRPr="005C21CD">
        <w:rPr>
          <w:rFonts w:ascii="QCF_BSML" w:hAnsi="QCF_BSML" w:cs="QCF_BSML"/>
          <w:color w:val="auto"/>
          <w:sz w:val="32"/>
          <w:szCs w:val="32"/>
          <w:rtl/>
          <w:lang w:eastAsia="en-US"/>
        </w:rPr>
        <w:t>ﭼ</w:t>
      </w:r>
      <w:r w:rsidRPr="005C21CD">
        <w:rPr>
          <w:rtl/>
        </w:rPr>
        <w:t xml:space="preserve"> </w:t>
      </w:r>
      <w:r w:rsidR="000E1CBB">
        <w:rPr>
          <w:rFonts w:hint="cs"/>
          <w:rtl/>
        </w:rPr>
        <w:t xml:space="preserve"> </w:t>
      </w:r>
      <w:r w:rsidRPr="005C21CD">
        <w:rPr>
          <w:rtl/>
        </w:rPr>
        <w:t xml:space="preserve">فيه قولان: أحدهما: أنه على مذهب التعجب، فالمعنى: ما أسمع الله وأبصره، أي: هو عالم بقصة أصحاب الكهف وغيرهم، هذا قول الزجاج، وذكر </w:t>
      </w:r>
      <w:r w:rsidRPr="005C21CD">
        <w:rPr>
          <w:rtl/>
        </w:rPr>
        <w:lastRenderedPageBreak/>
        <w:t>أنه إِجماع العلماء</w:t>
      </w:r>
      <w:r w:rsidRPr="005C21CD">
        <w:rPr>
          <w:vertAlign w:val="superscript"/>
          <w:rtl/>
        </w:rPr>
        <w:t>(</w:t>
      </w:r>
      <w:r w:rsidRPr="005C21CD">
        <w:rPr>
          <w:vertAlign w:val="superscript"/>
          <w:rtl/>
        </w:rPr>
        <w:footnoteReference w:id="1211"/>
      </w:r>
      <w:r w:rsidRPr="005C21CD">
        <w:rPr>
          <w:vertAlign w:val="superscript"/>
          <w:rtl/>
        </w:rPr>
        <w:t>)</w:t>
      </w:r>
      <w:r w:rsidRPr="005C21CD">
        <w:rPr>
          <w:rtl/>
        </w:rPr>
        <w:t>. والثاني: أنه في معنى الأمر، فالمعنى: أَبصِر بدين الله وأسمع، أي: أبصر بهدى الله واسمع، فترجع الهاء إِما على الهدى، وإِما على الله عزّ وجلّ، ذكره ابن الأنباري</w:t>
      </w:r>
      <w:r w:rsidRPr="005C21CD">
        <w:rPr>
          <w:vertAlign w:val="superscript"/>
          <w:rtl/>
        </w:rPr>
        <w:t>(</w:t>
      </w:r>
      <w:r w:rsidRPr="005C21CD">
        <w:rPr>
          <w:vertAlign w:val="superscript"/>
          <w:rtl/>
        </w:rPr>
        <w:footnoteReference w:id="1212"/>
      </w:r>
      <w:r w:rsidRPr="005C21CD">
        <w:rPr>
          <w:vertAlign w:val="superscript"/>
          <w:rtl/>
        </w:rPr>
        <w:t>)</w:t>
      </w:r>
      <w:r w:rsidRPr="005C21CD">
        <w:rPr>
          <w:rtl/>
        </w:rPr>
        <w:t xml:space="preserve">. قوله تعالى: </w:t>
      </w:r>
      <w:r w:rsidRPr="005C21CD">
        <w:rPr>
          <w:rFonts w:ascii="QCF_BSML" w:hAnsi="QCF_BSML" w:cs="QCF_BSML"/>
          <w:color w:val="auto"/>
          <w:sz w:val="32"/>
          <w:szCs w:val="32"/>
          <w:rtl/>
          <w:lang w:eastAsia="en-US"/>
        </w:rPr>
        <w:t>ﭽ</w:t>
      </w:r>
      <w:r w:rsidRPr="005C21CD">
        <w:rPr>
          <w:rFonts w:ascii="QCF_BSML" w:hAnsi="QCF_BSML" w:cs="QCF_BSML" w:hint="cs"/>
          <w:color w:val="auto"/>
          <w:sz w:val="32"/>
          <w:szCs w:val="32"/>
          <w:rtl/>
          <w:lang w:eastAsia="en-US"/>
        </w:rPr>
        <w:t xml:space="preserve"> </w:t>
      </w:r>
      <w:r w:rsidRPr="005C21CD">
        <w:rPr>
          <w:rFonts w:ascii="QCF_P296" w:hAnsi="QCF_P296" w:cs="QCF_P296"/>
          <w:color w:val="auto"/>
          <w:sz w:val="32"/>
          <w:szCs w:val="32"/>
          <w:rtl/>
          <w:lang w:eastAsia="en-US"/>
        </w:rPr>
        <w:t xml:space="preserve">ﯮ  ﯯ   ﯰ  ﯱ  </w:t>
      </w:r>
      <w:r w:rsidRPr="005C21CD">
        <w:rPr>
          <w:rFonts w:ascii="QCF_BSML" w:hAnsi="QCF_BSML" w:cs="QCF_BSML"/>
          <w:color w:val="auto"/>
          <w:sz w:val="32"/>
          <w:szCs w:val="32"/>
          <w:rtl/>
          <w:lang w:eastAsia="en-US"/>
        </w:rPr>
        <w:t>ﭼ</w:t>
      </w:r>
      <w:r w:rsidRPr="005C21CD">
        <w:rPr>
          <w:rFonts w:hint="cs"/>
          <w:rtl/>
        </w:rPr>
        <w:t xml:space="preserve"> </w:t>
      </w:r>
      <w:r w:rsidRPr="005C21CD">
        <w:rPr>
          <w:rtl/>
        </w:rPr>
        <w:t xml:space="preserve">أي: ليس لأهل السموات والأرض من دون الله من ناصر، </w:t>
      </w:r>
      <w:r w:rsidRPr="005C21CD">
        <w:rPr>
          <w:rFonts w:ascii="QCF_BSML" w:hAnsi="QCF_BSML" w:cs="QCF_BSML"/>
          <w:color w:val="auto"/>
          <w:sz w:val="32"/>
          <w:szCs w:val="32"/>
          <w:rtl/>
          <w:lang w:eastAsia="en-US"/>
        </w:rPr>
        <w:t>ﭽ</w:t>
      </w:r>
      <w:r w:rsidRPr="005C21CD">
        <w:rPr>
          <w:rFonts w:ascii="QCF_P296" w:hAnsi="QCF_P296" w:cs="QCF_P296"/>
          <w:color w:val="auto"/>
          <w:sz w:val="32"/>
          <w:szCs w:val="32"/>
          <w:rtl/>
          <w:lang w:eastAsia="en-US"/>
        </w:rPr>
        <w:t>ﯴ  ﯵ   ﯶ  ﯷ  ﯸ</w:t>
      </w:r>
      <w:r w:rsidRPr="005C21CD">
        <w:rPr>
          <w:rFonts w:ascii="QCF_P296" w:hAnsi="QCF_P296" w:cs="QCF_P296" w:hint="cs"/>
          <w:color w:val="auto"/>
          <w:sz w:val="32"/>
          <w:szCs w:val="32"/>
          <w:rtl/>
          <w:lang w:eastAsia="en-US"/>
        </w:rPr>
        <w:t xml:space="preserve"> </w:t>
      </w:r>
      <w:r w:rsidRPr="005C21CD">
        <w:rPr>
          <w:rFonts w:ascii="QCF_BSML" w:hAnsi="QCF_BSML" w:cs="QCF_BSML"/>
          <w:color w:val="auto"/>
          <w:sz w:val="32"/>
          <w:szCs w:val="32"/>
          <w:rtl/>
          <w:lang w:eastAsia="en-US"/>
        </w:rPr>
        <w:t>ﭼ</w:t>
      </w:r>
      <w:r w:rsidRPr="005C21CD">
        <w:rPr>
          <w:rFonts w:ascii="QCF_P296" w:hAnsi="QCF_P296" w:cs="QCF_P296"/>
          <w:color w:val="auto"/>
          <w:sz w:val="32"/>
          <w:szCs w:val="32"/>
          <w:rtl/>
          <w:lang w:eastAsia="en-US"/>
        </w:rPr>
        <w:t xml:space="preserve">  </w:t>
      </w:r>
      <w:r w:rsidR="000E1CBB">
        <w:rPr>
          <w:rFonts w:hint="cs"/>
          <w:rtl/>
        </w:rPr>
        <w:t xml:space="preserve"> </w:t>
      </w:r>
      <w:r w:rsidRPr="005C21CD">
        <w:rPr>
          <w:rtl/>
        </w:rPr>
        <w:t>ولا يجوز أن يحكم حاكم بغير ما حكم به، وليس لأحد أن يحكم من ذات نفسه فيكون شريكاً لله عزّ وجلّ في حكمه</w:t>
      </w:r>
      <w:r w:rsidRPr="005C21CD">
        <w:rPr>
          <w:vertAlign w:val="superscript"/>
          <w:rtl/>
        </w:rPr>
        <w:t>(</w:t>
      </w:r>
      <w:r w:rsidRPr="005C21CD">
        <w:rPr>
          <w:vertAlign w:val="superscript"/>
          <w:rtl/>
        </w:rPr>
        <w:footnoteReference w:id="1213"/>
      </w:r>
      <w:r w:rsidRPr="005C21CD">
        <w:rPr>
          <w:vertAlign w:val="superscript"/>
          <w:rtl/>
        </w:rPr>
        <w:t>)</w:t>
      </w:r>
      <w:r w:rsidRPr="005C21CD">
        <w:rPr>
          <w:rtl/>
        </w:rPr>
        <w:t>.</w:t>
      </w:r>
      <w:r w:rsidR="0092639A" w:rsidRPr="001277AD">
        <w:rPr>
          <w:rFonts w:hint="cs"/>
          <w:color w:val="0D0D0D" w:themeColor="text1" w:themeTint="F2"/>
          <w:sz w:val="32"/>
          <w:szCs w:val="32"/>
          <w:rtl/>
        </w:rPr>
        <w:t>[</w:t>
      </w:r>
      <w:r w:rsidR="0092639A">
        <w:rPr>
          <w:rFonts w:hint="cs"/>
          <w:color w:val="0D0D0D" w:themeColor="text1" w:themeTint="F2"/>
          <w:sz w:val="32"/>
          <w:szCs w:val="32"/>
          <w:rtl/>
        </w:rPr>
        <w:t>116</w:t>
      </w:r>
      <w:r w:rsidR="0092639A" w:rsidRPr="001277AD">
        <w:rPr>
          <w:rFonts w:hint="cs"/>
          <w:color w:val="0D0D0D" w:themeColor="text1" w:themeTint="F2"/>
          <w:sz w:val="32"/>
          <w:szCs w:val="32"/>
          <w:rtl/>
        </w:rPr>
        <w:t>]</w:t>
      </w:r>
      <w:r w:rsidR="0092639A" w:rsidRPr="00911ED4">
        <w:rPr>
          <w:rFonts w:ascii="Traditional Arabic" w:hAnsi="Traditional Arabic"/>
          <w:rtl/>
        </w:rPr>
        <w:t xml:space="preserve"> </w:t>
      </w:r>
      <w:r w:rsidRPr="005C21CD">
        <w:rPr>
          <w:rtl/>
        </w:rPr>
        <w:t>وقرأ ابن عامر: «ولا تُشرِكْ» جزماً بالتاء، والمعنى: لا تشرك أيها الإِنسان</w:t>
      </w:r>
      <w:r w:rsidRPr="005C21CD">
        <w:rPr>
          <w:vertAlign w:val="superscript"/>
          <w:rtl/>
        </w:rPr>
        <w:t>(</w:t>
      </w:r>
      <w:r w:rsidRPr="005C21CD">
        <w:rPr>
          <w:vertAlign w:val="superscript"/>
          <w:rtl/>
        </w:rPr>
        <w:footnoteReference w:id="1214"/>
      </w:r>
      <w:r w:rsidRPr="005C21CD">
        <w:rPr>
          <w:vertAlign w:val="superscript"/>
          <w:rtl/>
        </w:rPr>
        <w:t>)</w:t>
      </w:r>
      <w:r w:rsidRPr="005C21CD">
        <w:rPr>
          <w:rtl/>
        </w:rPr>
        <w:t>.</w:t>
      </w:r>
    </w:p>
    <w:p w:rsidR="005C21CD" w:rsidRPr="005C21CD" w:rsidRDefault="005C21CD" w:rsidP="005C21CD">
      <w:pPr>
        <w:ind w:firstLine="0"/>
        <w:rPr>
          <w:rFonts w:ascii="Arial" w:hAnsi="Arial" w:cs="Arial"/>
          <w:color w:val="auto"/>
          <w:sz w:val="32"/>
          <w:szCs w:val="32"/>
          <w:rtl/>
          <w:lang w:eastAsia="en-US"/>
        </w:rPr>
      </w:pPr>
      <w:r w:rsidRPr="005C21CD">
        <w:rPr>
          <w:rFonts w:ascii="QCF_BSML" w:hAnsi="QCF_BSML" w:cs="QCF_BSML"/>
          <w:color w:val="auto"/>
          <w:sz w:val="32"/>
          <w:szCs w:val="32"/>
          <w:rtl/>
          <w:lang w:eastAsia="en-US"/>
        </w:rPr>
        <w:t xml:space="preserve">ﭽ </w:t>
      </w:r>
      <w:r w:rsidRPr="005C21CD">
        <w:rPr>
          <w:rFonts w:ascii="QCF_P296" w:hAnsi="QCF_P296" w:cs="QCF_P296"/>
          <w:color w:val="auto"/>
          <w:sz w:val="32"/>
          <w:szCs w:val="32"/>
          <w:rtl/>
          <w:lang w:eastAsia="en-US"/>
        </w:rPr>
        <w:t xml:space="preserve">ﯺ  ﯻ  ﯼ  ﯽ  ﯾ  ﯿ   ﰀﰁ  ﰂ   ﰃ  ﰄ  ﰅ  ﰆ  ﰇ  ﰈ  ﰉ  ﰊ   </w:t>
      </w:r>
      <w:r w:rsidRPr="005C21CD">
        <w:rPr>
          <w:rFonts w:ascii="QCF_P297" w:hAnsi="QCF_P297" w:cs="QCF_P297"/>
          <w:color w:val="auto"/>
          <w:sz w:val="32"/>
          <w:szCs w:val="32"/>
          <w:rtl/>
          <w:lang w:eastAsia="en-US"/>
        </w:rPr>
        <w:t xml:space="preserve">ﭑ  ﭒ  ﭓ  ﭔ  ﭕ  ﭖ  ﭗ  ﭘ   ﭙ  ﭚﭛ  ﭜ  ﭝ  ﭞ  ﭟ  ﭠ  ﭡ  ﭢ    ﭣﭤ  ﭥ  ﭦ  ﭧ  ﭨ  ﭩ  ﭪ  ﭫ  ﭬ  ﭭ  ﭮ   ﭯ  ﭰ  ﭱ  </w:t>
      </w:r>
      <w:r w:rsidRPr="005C21CD">
        <w:rPr>
          <w:rFonts w:ascii="QCF_BSML" w:hAnsi="QCF_BSML" w:cs="QCF_BSML"/>
          <w:color w:val="auto"/>
          <w:sz w:val="32"/>
          <w:szCs w:val="32"/>
          <w:rtl/>
          <w:lang w:eastAsia="en-US"/>
        </w:rPr>
        <w:t>ﭼ</w:t>
      </w:r>
      <w:r w:rsidRPr="005C21CD">
        <w:rPr>
          <w:rFonts w:ascii="Arial" w:hAnsi="Arial" w:cs="Arial"/>
          <w:color w:val="auto"/>
          <w:sz w:val="32"/>
          <w:szCs w:val="32"/>
          <w:rtl/>
          <w:lang w:eastAsia="en-US"/>
        </w:rPr>
        <w:t xml:space="preserve"> </w:t>
      </w:r>
    </w:p>
    <w:p w:rsidR="005C21CD" w:rsidRPr="005C21CD" w:rsidRDefault="005C21CD" w:rsidP="0092639A">
      <w:pPr>
        <w:widowControl/>
        <w:autoSpaceDE w:val="0"/>
        <w:autoSpaceDN w:val="0"/>
        <w:adjustRightInd w:val="0"/>
        <w:ind w:firstLine="0"/>
        <w:jc w:val="left"/>
        <w:rPr>
          <w:rFonts w:ascii="Traditional Arabic" w:hAnsi="Traditional Arabic"/>
          <w:color w:val="auto"/>
          <w:rtl/>
          <w:lang w:eastAsia="en-US"/>
        </w:rPr>
      </w:pPr>
      <w:r w:rsidRPr="005C21CD">
        <w:rPr>
          <w:rFonts w:ascii="Traditional Arabic" w:hAnsi="Traditional Arabic"/>
          <w:color w:val="auto"/>
          <w:rtl/>
          <w:lang w:eastAsia="en-US"/>
        </w:rPr>
        <w:t xml:space="preserve">قوله تعالى: </w:t>
      </w:r>
      <w:r w:rsidRPr="005C21CD">
        <w:rPr>
          <w:rFonts w:ascii="QCF_BSML" w:hAnsi="QCF_BSML" w:cs="QCF_BSML"/>
          <w:color w:val="auto"/>
          <w:sz w:val="32"/>
          <w:szCs w:val="32"/>
          <w:rtl/>
          <w:lang w:eastAsia="en-US"/>
        </w:rPr>
        <w:t xml:space="preserve">ﭽ </w:t>
      </w:r>
      <w:r w:rsidRPr="005C21CD">
        <w:rPr>
          <w:rFonts w:ascii="QCF_P296" w:hAnsi="QCF_P296" w:cs="QCF_P296"/>
          <w:color w:val="auto"/>
          <w:sz w:val="32"/>
          <w:szCs w:val="32"/>
          <w:rtl/>
          <w:lang w:eastAsia="en-US"/>
        </w:rPr>
        <w:t>ﯺ  ﯻ  ﯼ  ﯽ</w:t>
      </w:r>
      <w:r w:rsidRPr="005C21CD">
        <w:rPr>
          <w:rFonts w:ascii="QCF_BSML" w:hAnsi="QCF_BSML" w:cs="QCF_BSML"/>
          <w:color w:val="auto"/>
          <w:sz w:val="32"/>
          <w:szCs w:val="32"/>
          <w:rtl/>
          <w:lang w:eastAsia="en-US"/>
        </w:rPr>
        <w:t xml:space="preserve"> ﭼ</w:t>
      </w:r>
      <w:r w:rsidRPr="005C21CD">
        <w:rPr>
          <w:rFonts w:ascii="QCF_P296" w:hAnsi="QCF_P296" w:cs="QCF_P296"/>
          <w:color w:val="auto"/>
          <w:sz w:val="32"/>
          <w:szCs w:val="32"/>
          <w:rtl/>
          <w:lang w:eastAsia="en-US"/>
        </w:rPr>
        <w:t xml:space="preserve">  </w:t>
      </w:r>
      <w:r w:rsidRPr="005C21CD">
        <w:rPr>
          <w:rFonts w:ascii="Traditional Arabic" w:hAnsi="Traditional Arabic"/>
          <w:color w:val="auto"/>
          <w:rtl/>
          <w:lang w:eastAsia="en-US"/>
        </w:rPr>
        <w:t>في هذه التلاوة قولان: أحدهما: أنها بمعنى القراءة</w:t>
      </w:r>
      <w:r w:rsidRPr="005C21CD">
        <w:rPr>
          <w:vertAlign w:val="superscript"/>
          <w:rtl/>
        </w:rPr>
        <w:t>(</w:t>
      </w:r>
      <w:r w:rsidRPr="005C21CD">
        <w:rPr>
          <w:vertAlign w:val="superscript"/>
          <w:rtl/>
        </w:rPr>
        <w:footnoteReference w:id="1215"/>
      </w:r>
      <w:r w:rsidRPr="005C21CD">
        <w:rPr>
          <w:vertAlign w:val="superscript"/>
          <w:rtl/>
        </w:rPr>
        <w:t>)</w:t>
      </w:r>
      <w:r w:rsidRPr="005C21CD">
        <w:rPr>
          <w:rFonts w:ascii="Traditional Arabic" w:hAnsi="Traditional Arabic"/>
          <w:color w:val="auto"/>
          <w:rtl/>
          <w:lang w:eastAsia="en-US"/>
        </w:rPr>
        <w:t>. والثاني:</w:t>
      </w:r>
      <w:r w:rsidRPr="005C21CD">
        <w:rPr>
          <w:rFonts w:ascii="Traditional Arabic" w:hAnsi="Traditional Arabic" w:hint="cs"/>
          <w:color w:val="auto"/>
          <w:rtl/>
          <w:lang w:eastAsia="en-US"/>
        </w:rPr>
        <w:t xml:space="preserve"> </w:t>
      </w:r>
      <w:r w:rsidRPr="005C21CD">
        <w:rPr>
          <w:rFonts w:ascii="Traditional Arabic" w:hAnsi="Traditional Arabic"/>
          <w:color w:val="auto"/>
          <w:rtl/>
          <w:lang w:eastAsia="en-US"/>
        </w:rPr>
        <w:t>بمعنى الاتِّباع</w:t>
      </w:r>
      <w:r w:rsidRPr="005C21CD">
        <w:rPr>
          <w:vertAlign w:val="superscript"/>
          <w:rtl/>
        </w:rPr>
        <w:t>(</w:t>
      </w:r>
      <w:r w:rsidRPr="005C21CD">
        <w:rPr>
          <w:vertAlign w:val="superscript"/>
          <w:rtl/>
        </w:rPr>
        <w:footnoteReference w:id="1216"/>
      </w:r>
      <w:r w:rsidRPr="005C21CD">
        <w:rPr>
          <w:vertAlign w:val="superscript"/>
          <w:rtl/>
        </w:rPr>
        <w:t>)</w:t>
      </w:r>
      <w:r w:rsidRPr="005C21CD">
        <w:rPr>
          <w:rFonts w:ascii="Traditional Arabic" w:hAnsi="Traditional Arabic"/>
          <w:color w:val="auto"/>
          <w:rtl/>
          <w:lang w:eastAsia="en-US"/>
        </w:rPr>
        <w:t>. فيكون المعنى على الأول: اقرأ القرآن، وعلى الثاني: اتَّبِعْه واعمل به. وقد شرحنا في سورة الأنعام معنى</w:t>
      </w:r>
      <w:r w:rsidRPr="005C21CD">
        <w:rPr>
          <w:rFonts w:ascii="QCF_BSML" w:hAnsi="QCF_BSML" w:cs="QCF_BSML"/>
          <w:color w:val="auto"/>
          <w:sz w:val="32"/>
          <w:szCs w:val="32"/>
          <w:rtl/>
          <w:lang w:eastAsia="en-US"/>
        </w:rPr>
        <w:t xml:space="preserve"> ﭽ</w:t>
      </w:r>
      <w:r w:rsidRPr="005C21CD">
        <w:rPr>
          <w:rFonts w:ascii="Traditional Arabic" w:hAnsi="Traditional Arabic"/>
          <w:color w:val="auto"/>
          <w:rtl/>
          <w:lang w:eastAsia="en-US"/>
        </w:rPr>
        <w:t xml:space="preserve"> </w:t>
      </w:r>
      <w:r w:rsidRPr="005C21CD">
        <w:rPr>
          <w:rFonts w:ascii="QCF_P296" w:hAnsi="QCF_P296" w:cs="QCF_P296"/>
          <w:color w:val="auto"/>
          <w:sz w:val="32"/>
          <w:szCs w:val="32"/>
          <w:rtl/>
          <w:lang w:eastAsia="en-US"/>
        </w:rPr>
        <w:t>ﰂ   ﰃ  ﰄ</w:t>
      </w:r>
      <w:r w:rsidRPr="005C21CD">
        <w:rPr>
          <w:rFonts w:ascii="QCF_BSML" w:hAnsi="QCF_BSML" w:cs="QCF_BSML"/>
          <w:color w:val="auto"/>
          <w:sz w:val="32"/>
          <w:szCs w:val="32"/>
          <w:rtl/>
          <w:lang w:eastAsia="en-US"/>
        </w:rPr>
        <w:t xml:space="preserve"> ﭼ</w:t>
      </w:r>
      <w:r w:rsidRPr="005C21CD">
        <w:rPr>
          <w:vertAlign w:val="superscript"/>
          <w:rtl/>
        </w:rPr>
        <w:t>(</w:t>
      </w:r>
      <w:r w:rsidRPr="005C21CD">
        <w:rPr>
          <w:vertAlign w:val="superscript"/>
          <w:rtl/>
        </w:rPr>
        <w:footnoteReference w:id="1217"/>
      </w:r>
      <w:r w:rsidRPr="005C21CD">
        <w:rPr>
          <w:vertAlign w:val="superscript"/>
          <w:rtl/>
        </w:rPr>
        <w:t>)</w:t>
      </w:r>
      <w:r w:rsidRPr="005C21CD">
        <w:rPr>
          <w:rFonts w:ascii="Traditional Arabic" w:hAnsi="Traditional Arabic"/>
          <w:color w:val="auto"/>
          <w:rtl/>
          <w:lang w:eastAsia="en-US"/>
        </w:rPr>
        <w:t xml:space="preserve">. قوله تعالى: </w:t>
      </w:r>
      <w:r w:rsidRPr="005C21CD">
        <w:rPr>
          <w:rFonts w:ascii="QCF_BSML" w:hAnsi="QCF_BSML" w:cs="QCF_BSML"/>
          <w:color w:val="auto"/>
          <w:sz w:val="32"/>
          <w:szCs w:val="32"/>
          <w:rtl/>
          <w:lang w:eastAsia="en-US"/>
        </w:rPr>
        <w:t>ﭽ</w:t>
      </w:r>
      <w:r w:rsidRPr="005C21CD">
        <w:rPr>
          <w:rFonts w:ascii="QCF_P296" w:hAnsi="QCF_P296" w:cs="QCF_P296"/>
          <w:color w:val="auto"/>
          <w:sz w:val="32"/>
          <w:szCs w:val="32"/>
          <w:rtl/>
          <w:lang w:eastAsia="en-US"/>
        </w:rPr>
        <w:t xml:space="preserve"> ﰅ  ﰆ  ﰇ  ﰈ  ﰉ  </w:t>
      </w:r>
      <w:r w:rsidRPr="005C21CD">
        <w:rPr>
          <w:rFonts w:ascii="QCF_BSML" w:hAnsi="QCF_BSML" w:cs="QCF_BSML"/>
          <w:color w:val="auto"/>
          <w:sz w:val="32"/>
          <w:szCs w:val="32"/>
          <w:rtl/>
          <w:lang w:eastAsia="en-US"/>
        </w:rPr>
        <w:t>ﭼ</w:t>
      </w:r>
      <w:r w:rsidRPr="005C21CD">
        <w:rPr>
          <w:rFonts w:ascii="Traditional Arabic" w:hAnsi="Traditional Arabic"/>
          <w:color w:val="auto"/>
          <w:rtl/>
          <w:lang w:eastAsia="en-US"/>
        </w:rPr>
        <w:t xml:space="preserve"> قال مجاهد</w:t>
      </w:r>
      <w:r w:rsidRPr="005C21CD">
        <w:rPr>
          <w:vertAlign w:val="superscript"/>
          <w:rtl/>
        </w:rPr>
        <w:t>(</w:t>
      </w:r>
      <w:r w:rsidRPr="005C21CD">
        <w:rPr>
          <w:vertAlign w:val="superscript"/>
          <w:rtl/>
        </w:rPr>
        <w:footnoteReference w:id="1218"/>
      </w:r>
      <w:r w:rsidRPr="005C21CD">
        <w:rPr>
          <w:vertAlign w:val="superscript"/>
          <w:rtl/>
        </w:rPr>
        <w:t>)</w:t>
      </w:r>
      <w:r w:rsidRPr="005C21CD">
        <w:rPr>
          <w:rFonts w:ascii="Traditional Arabic" w:hAnsi="Traditional Arabic"/>
          <w:color w:val="auto"/>
          <w:rtl/>
          <w:lang w:eastAsia="en-US"/>
        </w:rPr>
        <w:t>، والفراء</w:t>
      </w:r>
      <w:r w:rsidRPr="005C21CD">
        <w:rPr>
          <w:vertAlign w:val="superscript"/>
          <w:rtl/>
        </w:rPr>
        <w:t>(</w:t>
      </w:r>
      <w:r w:rsidRPr="005C21CD">
        <w:rPr>
          <w:vertAlign w:val="superscript"/>
          <w:rtl/>
        </w:rPr>
        <w:footnoteReference w:id="1219"/>
      </w:r>
      <w:r w:rsidRPr="005C21CD">
        <w:rPr>
          <w:vertAlign w:val="superscript"/>
          <w:rtl/>
        </w:rPr>
        <w:t>)</w:t>
      </w:r>
      <w:r w:rsidRPr="005C21CD">
        <w:rPr>
          <w:rFonts w:ascii="Traditional Arabic" w:hAnsi="Traditional Arabic"/>
          <w:color w:val="auto"/>
          <w:rtl/>
          <w:lang w:eastAsia="en-US"/>
        </w:rPr>
        <w:t>: مَلجَأً. وقال الزجاج: مَعْدِلاً عن أمره ونهيه</w:t>
      </w:r>
      <w:r w:rsidRPr="005C21CD">
        <w:rPr>
          <w:vertAlign w:val="superscript"/>
          <w:rtl/>
        </w:rPr>
        <w:t>(</w:t>
      </w:r>
      <w:r w:rsidRPr="005C21CD">
        <w:rPr>
          <w:vertAlign w:val="superscript"/>
          <w:rtl/>
        </w:rPr>
        <w:footnoteReference w:id="1220"/>
      </w:r>
      <w:r w:rsidRPr="005C21CD">
        <w:rPr>
          <w:vertAlign w:val="superscript"/>
          <w:rtl/>
        </w:rPr>
        <w:t>)</w:t>
      </w:r>
      <w:r w:rsidRPr="005C21CD">
        <w:rPr>
          <w:rFonts w:ascii="Traditional Arabic" w:hAnsi="Traditional Arabic"/>
          <w:color w:val="auto"/>
          <w:rtl/>
          <w:lang w:eastAsia="en-US"/>
        </w:rPr>
        <w:t xml:space="preserve">. وقال </w:t>
      </w:r>
      <w:r w:rsidRPr="005C21CD">
        <w:rPr>
          <w:rFonts w:ascii="Traditional Arabic" w:hAnsi="Traditional Arabic"/>
          <w:color w:val="auto"/>
          <w:rtl/>
          <w:lang w:eastAsia="en-US"/>
        </w:rPr>
        <w:lastRenderedPageBreak/>
        <w:t>غيرهم: موضعاً تميل إِليه في الالتجاء</w:t>
      </w:r>
      <w:r w:rsidRPr="005C21CD">
        <w:rPr>
          <w:vertAlign w:val="superscript"/>
          <w:rtl/>
        </w:rPr>
        <w:t>(</w:t>
      </w:r>
      <w:r w:rsidRPr="005C21CD">
        <w:rPr>
          <w:vertAlign w:val="superscript"/>
          <w:rtl/>
        </w:rPr>
        <w:footnoteReference w:id="1221"/>
      </w:r>
      <w:r w:rsidRPr="005C21CD">
        <w:rPr>
          <w:vertAlign w:val="superscript"/>
          <w:rtl/>
        </w:rPr>
        <w:t>)</w:t>
      </w:r>
      <w:r w:rsidRPr="005C21CD">
        <w:rPr>
          <w:rFonts w:ascii="Traditional Arabic" w:hAnsi="Traditional Arabic"/>
          <w:color w:val="auto"/>
          <w:rtl/>
          <w:lang w:eastAsia="en-US"/>
        </w:rPr>
        <w:t>.</w:t>
      </w:r>
      <w:r w:rsidR="008265A7">
        <w:rPr>
          <w:rFonts w:ascii="Traditional Arabic" w:hAnsi="Traditional Arabic" w:hint="cs"/>
          <w:color w:val="auto"/>
          <w:rtl/>
          <w:lang w:eastAsia="en-US"/>
        </w:rPr>
        <w:t xml:space="preserve"> </w:t>
      </w:r>
      <w:r w:rsidRPr="005C21CD">
        <w:rPr>
          <w:rFonts w:ascii="Traditional Arabic" w:hAnsi="Traditional Arabic"/>
          <w:color w:val="auto"/>
          <w:rtl/>
          <w:lang w:eastAsia="en-US"/>
        </w:rPr>
        <w:t xml:space="preserve">قوله تعالى: </w:t>
      </w:r>
      <w:r w:rsidRPr="005C21CD">
        <w:rPr>
          <w:rFonts w:ascii="QCF_BSML" w:hAnsi="QCF_BSML" w:cs="QCF_BSML"/>
          <w:color w:val="auto"/>
          <w:sz w:val="32"/>
          <w:szCs w:val="32"/>
          <w:rtl/>
          <w:lang w:eastAsia="en-US"/>
        </w:rPr>
        <w:t>ﭽ</w:t>
      </w:r>
      <w:r w:rsidRPr="005C21CD">
        <w:rPr>
          <w:rFonts w:ascii="QCF_P297" w:hAnsi="QCF_P297" w:cs="QCF_P297"/>
          <w:color w:val="auto"/>
          <w:sz w:val="32"/>
          <w:szCs w:val="32"/>
          <w:rtl/>
          <w:lang w:eastAsia="en-US"/>
        </w:rPr>
        <w:t xml:space="preserve"> ﭑ  ﭒ</w:t>
      </w:r>
      <w:r w:rsidRPr="005C21CD">
        <w:rPr>
          <w:rFonts w:ascii="QCF_BSML" w:hAnsi="QCF_BSML" w:cs="QCF_BSML"/>
          <w:color w:val="auto"/>
          <w:sz w:val="32"/>
          <w:szCs w:val="32"/>
          <w:rtl/>
          <w:lang w:eastAsia="en-US"/>
        </w:rPr>
        <w:t xml:space="preserve"> ﭼ</w:t>
      </w:r>
      <w:r w:rsidRPr="005C21CD">
        <w:rPr>
          <w:rFonts w:ascii="QCF_P297" w:hAnsi="QCF_P297" w:cs="QCF_P297"/>
          <w:color w:val="auto"/>
          <w:sz w:val="32"/>
          <w:szCs w:val="32"/>
          <w:rtl/>
          <w:lang w:eastAsia="en-US"/>
        </w:rPr>
        <w:t xml:space="preserve">  </w:t>
      </w:r>
      <w:r w:rsidRPr="005C21CD">
        <w:rPr>
          <w:rFonts w:ascii="Traditional Arabic" w:hAnsi="Traditional Arabic"/>
          <w:color w:val="auto"/>
          <w:rtl/>
          <w:lang w:eastAsia="en-US"/>
        </w:rPr>
        <w:t>سبب نزولها:</w:t>
      </w:r>
      <w:r w:rsidRPr="005C21CD">
        <w:rPr>
          <w:rFonts w:ascii="Traditional Arabic" w:hAnsi="Traditional Arabic" w:hint="cs"/>
          <w:color w:val="auto"/>
          <w:rtl/>
        </w:rPr>
        <w:t xml:space="preserve"> </w:t>
      </w:r>
      <w:r w:rsidRPr="005C21CD">
        <w:rPr>
          <w:rtl/>
        </w:rPr>
        <w:t>أنّ المؤلّفة قلوبهم جاءوا إلى رسول الله</w:t>
      </w:r>
      <w:r w:rsidRPr="005C21CD">
        <w:rPr>
          <w:rFonts w:hint="cs"/>
          <w:rtl/>
        </w:rPr>
        <w:t xml:space="preserve"> </w:t>
      </w:r>
      <w:r w:rsidRPr="005C21CD">
        <w:sym w:font="AGA Arabesque" w:char="F072"/>
      </w:r>
      <w:r w:rsidRPr="005C21CD">
        <w:rPr>
          <w:rtl/>
        </w:rPr>
        <w:t>: عيينة بن حصن</w:t>
      </w:r>
      <w:r w:rsidRPr="005C21CD">
        <w:rPr>
          <w:vertAlign w:val="superscript"/>
          <w:rtl/>
        </w:rPr>
        <w:t>(</w:t>
      </w:r>
      <w:r w:rsidRPr="005C21CD">
        <w:rPr>
          <w:vertAlign w:val="superscript"/>
          <w:rtl/>
        </w:rPr>
        <w:footnoteReference w:id="1222"/>
      </w:r>
      <w:r w:rsidRPr="005C21CD">
        <w:rPr>
          <w:vertAlign w:val="superscript"/>
          <w:rtl/>
        </w:rPr>
        <w:t>)</w:t>
      </w:r>
      <w:r w:rsidRPr="005C21CD">
        <w:rPr>
          <w:rtl/>
        </w:rPr>
        <w:t>، والأقرع بن حابس</w:t>
      </w:r>
      <w:r w:rsidRPr="005C21CD">
        <w:rPr>
          <w:vertAlign w:val="superscript"/>
          <w:rtl/>
        </w:rPr>
        <w:t>(</w:t>
      </w:r>
      <w:r w:rsidRPr="005C21CD">
        <w:rPr>
          <w:vertAlign w:val="superscript"/>
          <w:rtl/>
        </w:rPr>
        <w:footnoteReference w:id="1223"/>
      </w:r>
      <w:r w:rsidRPr="005C21CD">
        <w:rPr>
          <w:vertAlign w:val="superscript"/>
          <w:rtl/>
        </w:rPr>
        <w:t>)</w:t>
      </w:r>
      <w:r w:rsidRPr="005C21CD">
        <w:rPr>
          <w:rtl/>
        </w:rPr>
        <w:t>، وذووهم، فقالوا: يا رسول الله: لو أنك</w:t>
      </w:r>
      <w:r w:rsidRPr="005C21CD">
        <w:rPr>
          <w:rFonts w:hint="cs"/>
          <w:rtl/>
        </w:rPr>
        <w:t xml:space="preserve"> </w:t>
      </w:r>
      <w:r w:rsidRPr="005C21CD">
        <w:rPr>
          <w:rtl/>
        </w:rPr>
        <w:t>جلست</w:t>
      </w:r>
      <w:r w:rsidRPr="005C21CD">
        <w:rPr>
          <w:vertAlign w:val="superscript"/>
          <w:rtl/>
        </w:rPr>
        <w:t>(</w:t>
      </w:r>
      <w:r w:rsidRPr="005C21CD">
        <w:rPr>
          <w:vertAlign w:val="superscript"/>
          <w:rtl/>
        </w:rPr>
        <w:footnoteReference w:id="1224"/>
      </w:r>
      <w:r w:rsidRPr="005C21CD">
        <w:rPr>
          <w:vertAlign w:val="superscript"/>
          <w:rtl/>
        </w:rPr>
        <w:t>)</w:t>
      </w:r>
      <w:r w:rsidRPr="005C21CD">
        <w:rPr>
          <w:rtl/>
        </w:rPr>
        <w:t>في صدر المجلس، ونحَّيت هؤلاء عنّا، -يعنون سليمان</w:t>
      </w:r>
      <w:r w:rsidRPr="005C21CD">
        <w:rPr>
          <w:rFonts w:hint="cs"/>
          <w:rtl/>
        </w:rPr>
        <w:t>,</w:t>
      </w:r>
      <w:r w:rsidRPr="005C21CD">
        <w:rPr>
          <w:rtl/>
        </w:rPr>
        <w:t xml:space="preserve"> وأبا ذَرٍّ</w:t>
      </w:r>
      <w:r w:rsidRPr="005C21CD">
        <w:rPr>
          <w:rFonts w:hint="cs"/>
          <w:rtl/>
        </w:rPr>
        <w:t>,</w:t>
      </w:r>
      <w:r w:rsidRPr="005C21CD">
        <w:rPr>
          <w:rtl/>
        </w:rPr>
        <w:t xml:space="preserve"> وفقراءَ المسلمين، وكانت عليهم جباب الصوف- جلسنا إِليك، وأخذنا عنك، فنزلت هذه الآية إِلى قوله: </w:t>
      </w:r>
      <w:r w:rsidRPr="005C21CD">
        <w:rPr>
          <w:rFonts w:ascii="QCF_BSML" w:hAnsi="QCF_BSML" w:cs="QCF_BSML"/>
          <w:sz w:val="32"/>
          <w:szCs w:val="32"/>
          <w:rtl/>
          <w:lang w:eastAsia="en-US"/>
        </w:rPr>
        <w:t xml:space="preserve">ﭽ </w:t>
      </w:r>
      <w:r w:rsidRPr="005C21CD">
        <w:rPr>
          <w:rFonts w:ascii="QCF_P297" w:hAnsi="QCF_P297" w:cs="QCF_P297"/>
          <w:sz w:val="32"/>
          <w:szCs w:val="32"/>
          <w:rtl/>
          <w:lang w:eastAsia="en-US"/>
        </w:rPr>
        <w:t xml:space="preserve">ﭾ     ﭿ  ﮀ  ﮁ </w:t>
      </w:r>
      <w:r w:rsidRPr="005C21CD">
        <w:rPr>
          <w:rFonts w:ascii="QCF_BSML" w:hAnsi="QCF_BSML" w:cs="QCF_BSML"/>
          <w:sz w:val="32"/>
          <w:szCs w:val="32"/>
          <w:rtl/>
          <w:lang w:eastAsia="en-US"/>
        </w:rPr>
        <w:t>ﭼ</w:t>
      </w:r>
      <w:r w:rsidRPr="005C21CD">
        <w:rPr>
          <w:rFonts w:ascii="Arial" w:hAnsi="Arial" w:cs="Arial"/>
          <w:sz w:val="32"/>
          <w:szCs w:val="32"/>
          <w:rtl/>
          <w:lang w:eastAsia="en-US"/>
        </w:rPr>
        <w:t xml:space="preserve"> </w:t>
      </w:r>
      <w:r w:rsidRPr="005C21CD">
        <w:rPr>
          <w:rFonts w:ascii="Traditional Arabic" w:hAnsi="Traditional Arabic" w:hint="cs"/>
          <w:color w:val="auto"/>
          <w:sz w:val="32"/>
          <w:szCs w:val="32"/>
          <w:rtl/>
          <w:lang w:eastAsia="en-US"/>
        </w:rPr>
        <w:t>[</w:t>
      </w:r>
      <w:r w:rsidRPr="005C21CD">
        <w:rPr>
          <w:rFonts w:ascii="Traditional Arabic" w:hAnsi="Traditional Arabic"/>
          <w:color w:val="auto"/>
          <w:sz w:val="32"/>
          <w:szCs w:val="32"/>
          <w:rtl/>
          <w:lang w:eastAsia="en-US"/>
        </w:rPr>
        <w:t>الكهف:٢٩</w:t>
      </w:r>
      <w:r w:rsidRPr="005C21CD">
        <w:rPr>
          <w:rFonts w:ascii="Traditional Arabic" w:hAnsi="Traditional Arabic" w:hint="cs"/>
          <w:color w:val="auto"/>
          <w:sz w:val="32"/>
          <w:szCs w:val="32"/>
          <w:rtl/>
          <w:lang w:eastAsia="en-US"/>
        </w:rPr>
        <w:t>]</w:t>
      </w:r>
      <w:r w:rsidRPr="005C21CD">
        <w:rPr>
          <w:rFonts w:hint="cs"/>
          <w:rtl/>
        </w:rPr>
        <w:t>؛</w:t>
      </w:r>
      <w:r w:rsidRPr="005C21CD">
        <w:rPr>
          <w:rtl/>
        </w:rPr>
        <w:t xml:space="preserve"> فقام رسول الله </w:t>
      </w:r>
      <w:r w:rsidRPr="005C21CD">
        <w:sym w:font="AGA Arabesque" w:char="F072"/>
      </w:r>
      <w:r w:rsidRPr="005C21CD">
        <w:rPr>
          <w:rtl/>
        </w:rPr>
        <w:t xml:space="preserve"> يلتمسهم، حتى إِذا</w:t>
      </w:r>
      <w:r w:rsidR="0092639A">
        <w:rPr>
          <w:rFonts w:hint="cs"/>
          <w:rtl/>
        </w:rPr>
        <w:t xml:space="preserve"> </w:t>
      </w:r>
      <w:r w:rsidRPr="005C21CD">
        <w:rPr>
          <w:rtl/>
        </w:rPr>
        <w:t>أصابهم في مؤخَّر المسجد يذكرون الله، قال: «الحمد لله الذي لم يُمتني حتى أمرني أن أصبر نفسي مع رجال من أمَّتي، معكم المحيا ومعكم الممات». هذا قول سلمان الفارسي</w:t>
      </w:r>
      <w:r w:rsidRPr="005C21CD">
        <w:rPr>
          <w:vertAlign w:val="superscript"/>
          <w:rtl/>
        </w:rPr>
        <w:t>(</w:t>
      </w:r>
      <w:r w:rsidRPr="005C21CD">
        <w:rPr>
          <w:vertAlign w:val="superscript"/>
          <w:rtl/>
        </w:rPr>
        <w:footnoteReference w:id="1225"/>
      </w:r>
      <w:r w:rsidRPr="005C21CD">
        <w:rPr>
          <w:vertAlign w:val="superscript"/>
          <w:rtl/>
        </w:rPr>
        <w:t>)</w:t>
      </w:r>
      <w:r w:rsidRPr="005C21CD">
        <w:rPr>
          <w:rtl/>
        </w:rPr>
        <w:t>.</w:t>
      </w:r>
    </w:p>
    <w:p w:rsidR="005C21CD" w:rsidRDefault="005C21CD" w:rsidP="0092639A">
      <w:pPr>
        <w:ind w:firstLine="0"/>
        <w:rPr>
          <w:rtl/>
        </w:rPr>
      </w:pPr>
      <w:r w:rsidRPr="005C21CD">
        <w:rPr>
          <w:rtl/>
        </w:rPr>
        <w:t>ومعنى قوله:</w:t>
      </w:r>
      <w:r w:rsidRPr="005C21CD">
        <w:rPr>
          <w:rFonts w:ascii="QCF_BSML" w:hAnsi="QCF_BSML" w:cs="QCF_BSML"/>
          <w:color w:val="auto"/>
          <w:sz w:val="32"/>
          <w:szCs w:val="32"/>
          <w:rtl/>
          <w:lang w:eastAsia="en-US"/>
        </w:rPr>
        <w:t xml:space="preserve"> ﭽ</w:t>
      </w:r>
      <w:r w:rsidRPr="005C21CD">
        <w:rPr>
          <w:rtl/>
        </w:rPr>
        <w:t xml:space="preserve"> </w:t>
      </w:r>
      <w:r w:rsidRPr="005C21CD">
        <w:rPr>
          <w:rFonts w:ascii="QCF_P297" w:hAnsi="QCF_P297" w:cs="QCF_P297"/>
          <w:color w:val="auto"/>
          <w:sz w:val="32"/>
          <w:szCs w:val="32"/>
          <w:rtl/>
          <w:lang w:eastAsia="en-US"/>
        </w:rPr>
        <w:t xml:space="preserve">ﭑ  ﭒ  ﭓ  ﭔ  ﭕ  ﭖ </w:t>
      </w:r>
      <w:r w:rsidRPr="005C21CD">
        <w:rPr>
          <w:rFonts w:ascii="QCF_BSML" w:hAnsi="QCF_BSML" w:cs="QCF_BSML"/>
          <w:color w:val="auto"/>
          <w:sz w:val="32"/>
          <w:szCs w:val="32"/>
          <w:rtl/>
          <w:lang w:eastAsia="en-US"/>
        </w:rPr>
        <w:t>ﭼ</w:t>
      </w:r>
      <w:r w:rsidRPr="005C21CD">
        <w:rPr>
          <w:rFonts w:ascii="QCF_P297" w:hAnsi="QCF_P297" w:cs="QCF_P297"/>
          <w:color w:val="auto"/>
          <w:sz w:val="32"/>
          <w:szCs w:val="32"/>
          <w:rtl/>
          <w:lang w:eastAsia="en-US"/>
        </w:rPr>
        <w:t xml:space="preserve"> </w:t>
      </w:r>
      <w:r w:rsidRPr="005C21CD">
        <w:rPr>
          <w:rtl/>
        </w:rPr>
        <w:t>أي: احبسها معهم على أداء الصلوات</w:t>
      </w:r>
      <w:r w:rsidRPr="005C21CD">
        <w:rPr>
          <w:vertAlign w:val="superscript"/>
          <w:rtl/>
        </w:rPr>
        <w:t>(</w:t>
      </w:r>
      <w:r w:rsidRPr="005C21CD">
        <w:rPr>
          <w:vertAlign w:val="superscript"/>
          <w:rtl/>
        </w:rPr>
        <w:footnoteReference w:id="1226"/>
      </w:r>
      <w:r w:rsidRPr="005C21CD">
        <w:rPr>
          <w:vertAlign w:val="superscript"/>
          <w:rtl/>
        </w:rPr>
        <w:t>)</w:t>
      </w:r>
      <w:r w:rsidRPr="005C21CD">
        <w:rPr>
          <w:rtl/>
        </w:rPr>
        <w:t xml:space="preserve"> </w:t>
      </w:r>
      <w:r w:rsidRPr="005C21CD">
        <w:rPr>
          <w:rFonts w:ascii="QCF_BSML" w:hAnsi="QCF_BSML" w:cs="QCF_BSML"/>
          <w:color w:val="auto"/>
          <w:sz w:val="32"/>
          <w:szCs w:val="32"/>
          <w:rtl/>
          <w:lang w:eastAsia="en-US"/>
        </w:rPr>
        <w:t>ﭽ</w:t>
      </w:r>
      <w:r w:rsidRPr="005C21CD">
        <w:rPr>
          <w:rFonts w:ascii="QCF_P297" w:hAnsi="QCF_P297" w:cs="QCF_P297"/>
          <w:color w:val="auto"/>
          <w:sz w:val="32"/>
          <w:szCs w:val="32"/>
          <w:rtl/>
          <w:lang w:eastAsia="en-US"/>
        </w:rPr>
        <w:t xml:space="preserve"> ﭗ  ﭘ</w:t>
      </w:r>
      <w:r w:rsidRPr="005C21CD">
        <w:rPr>
          <w:rFonts w:ascii="QCF_BSML" w:hAnsi="QCF_BSML" w:cs="QCF_BSML"/>
          <w:color w:val="auto"/>
          <w:sz w:val="32"/>
          <w:szCs w:val="32"/>
          <w:rtl/>
          <w:lang w:eastAsia="en-US"/>
        </w:rPr>
        <w:t xml:space="preserve"> ﭼ</w:t>
      </w:r>
      <w:r w:rsidRPr="005C21CD">
        <w:rPr>
          <w:rFonts w:ascii="QCF_P297" w:hAnsi="QCF_P297" w:cs="QCF_P297"/>
          <w:color w:val="auto"/>
          <w:sz w:val="32"/>
          <w:szCs w:val="32"/>
          <w:rtl/>
          <w:lang w:eastAsia="en-US"/>
        </w:rPr>
        <w:t xml:space="preserve"> </w:t>
      </w:r>
      <w:r w:rsidRPr="005C21CD">
        <w:rPr>
          <w:rtl/>
        </w:rPr>
        <w:t xml:space="preserve"> وقد فسّرنا هذه الآية في سورة الأنعام</w:t>
      </w:r>
      <w:r w:rsidRPr="005C21CD">
        <w:rPr>
          <w:vertAlign w:val="superscript"/>
          <w:rtl/>
        </w:rPr>
        <w:t>(</w:t>
      </w:r>
      <w:r w:rsidRPr="005C21CD">
        <w:rPr>
          <w:vertAlign w:val="superscript"/>
          <w:rtl/>
        </w:rPr>
        <w:footnoteReference w:id="1227"/>
      </w:r>
      <w:r w:rsidRPr="005C21CD">
        <w:rPr>
          <w:vertAlign w:val="superscript"/>
          <w:rtl/>
        </w:rPr>
        <w:t>)</w:t>
      </w:r>
      <w:r w:rsidRPr="005C21CD">
        <w:rPr>
          <w:rtl/>
        </w:rPr>
        <w:t xml:space="preserve"> إِلى قوله تعالى:</w:t>
      </w:r>
      <w:r w:rsidRPr="005C21CD">
        <w:rPr>
          <w:rFonts w:ascii="QCF_BSML" w:hAnsi="QCF_BSML" w:cs="QCF_BSML"/>
          <w:color w:val="auto"/>
          <w:sz w:val="32"/>
          <w:szCs w:val="32"/>
          <w:rtl/>
          <w:lang w:eastAsia="en-US"/>
        </w:rPr>
        <w:t xml:space="preserve"> </w:t>
      </w:r>
      <w:r w:rsidRPr="005C21CD">
        <w:rPr>
          <w:rFonts w:ascii="QCF_BSML" w:hAnsi="QCF_BSML" w:cs="QCF_BSML"/>
          <w:color w:val="auto"/>
          <w:sz w:val="32"/>
          <w:szCs w:val="32"/>
          <w:rtl/>
          <w:lang w:eastAsia="en-US"/>
        </w:rPr>
        <w:lastRenderedPageBreak/>
        <w:t>ﭽ</w:t>
      </w:r>
      <w:r w:rsidRPr="005C21CD">
        <w:rPr>
          <w:rFonts w:ascii="QCF_P297" w:hAnsi="QCF_P297" w:cs="QCF_P297"/>
          <w:color w:val="auto"/>
          <w:sz w:val="32"/>
          <w:szCs w:val="32"/>
          <w:rtl/>
          <w:lang w:eastAsia="en-US"/>
        </w:rPr>
        <w:t>ﭜ  ﭝ  ﭞ  ﭟ</w:t>
      </w:r>
      <w:r w:rsidRPr="005C21CD">
        <w:rPr>
          <w:rFonts w:ascii="QCF_BSML" w:hAnsi="QCF_BSML" w:cs="QCF_BSML"/>
          <w:color w:val="auto"/>
          <w:sz w:val="32"/>
          <w:szCs w:val="32"/>
          <w:rtl/>
          <w:lang w:eastAsia="en-US"/>
        </w:rPr>
        <w:t xml:space="preserve"> ﭼ</w:t>
      </w:r>
      <w:r w:rsidRPr="005C21CD">
        <w:rPr>
          <w:rFonts w:ascii="QCF_P297" w:hAnsi="QCF_P297" w:cs="QCF_P297"/>
          <w:color w:val="auto"/>
          <w:sz w:val="32"/>
          <w:szCs w:val="32"/>
          <w:rtl/>
          <w:lang w:eastAsia="en-US"/>
        </w:rPr>
        <w:t xml:space="preserve">  </w:t>
      </w:r>
      <w:r w:rsidRPr="005C21CD">
        <w:rPr>
          <w:rtl/>
        </w:rPr>
        <w:t>أي: لا تصرف بصرك إِلى غيرهم من ذوي الغنى والشرف وكان عليه السلام حريصاً على إِيمان الرؤساء ليؤمن أتباعهم، ولم يكن مريداً لزينة الدنيا قطُّ، فأُمر أن يجعل إِقباله على فقراء المؤمنين</w:t>
      </w:r>
      <w:r w:rsidRPr="005C21CD">
        <w:rPr>
          <w:vertAlign w:val="superscript"/>
          <w:rtl/>
        </w:rPr>
        <w:t>(</w:t>
      </w:r>
      <w:r w:rsidRPr="005C21CD">
        <w:rPr>
          <w:vertAlign w:val="superscript"/>
          <w:rtl/>
        </w:rPr>
        <w:footnoteReference w:id="1228"/>
      </w:r>
      <w:r w:rsidRPr="005C21CD">
        <w:rPr>
          <w:vertAlign w:val="superscript"/>
          <w:rtl/>
        </w:rPr>
        <w:t>)</w:t>
      </w:r>
      <w:r w:rsidRPr="005C21CD">
        <w:rPr>
          <w:rtl/>
        </w:rPr>
        <w:t>. قوله تعالى:</w:t>
      </w:r>
      <w:r w:rsidRPr="005C21CD">
        <w:rPr>
          <w:rFonts w:ascii="QCF_BSML" w:hAnsi="QCF_BSML" w:cs="QCF_BSML"/>
          <w:color w:val="auto"/>
          <w:sz w:val="32"/>
          <w:szCs w:val="32"/>
          <w:rtl/>
          <w:lang w:eastAsia="en-US"/>
        </w:rPr>
        <w:t xml:space="preserve"> ﭽ</w:t>
      </w:r>
      <w:r w:rsidRPr="005C21CD">
        <w:rPr>
          <w:rtl/>
        </w:rPr>
        <w:t xml:space="preserve"> </w:t>
      </w:r>
      <w:r w:rsidRPr="005C21CD">
        <w:rPr>
          <w:rFonts w:ascii="QCF_P297" w:hAnsi="QCF_P297" w:cs="QCF_P297"/>
          <w:color w:val="auto"/>
          <w:sz w:val="32"/>
          <w:szCs w:val="32"/>
          <w:rtl/>
          <w:lang w:eastAsia="en-US"/>
        </w:rPr>
        <w:t xml:space="preserve">ﭥ  ﭦ  ﭧ  ﭨ  ﭩ  ﭪ  ﭫ  </w:t>
      </w:r>
      <w:r w:rsidRPr="005C21CD">
        <w:rPr>
          <w:rFonts w:ascii="QCF_BSML" w:hAnsi="QCF_BSML" w:cs="QCF_BSML"/>
          <w:color w:val="auto"/>
          <w:sz w:val="32"/>
          <w:szCs w:val="32"/>
          <w:rtl/>
          <w:lang w:eastAsia="en-US"/>
        </w:rPr>
        <w:t>ﭼ</w:t>
      </w:r>
      <w:r w:rsidRPr="005C21CD">
        <w:rPr>
          <w:rtl/>
        </w:rPr>
        <w:t xml:space="preserve"> سبب نزولها أن أُمية بن </w:t>
      </w:r>
      <w:r w:rsidR="000E1CBB">
        <w:rPr>
          <w:rFonts w:hint="cs"/>
          <w:rtl/>
        </w:rPr>
        <w:t>[</w:t>
      </w:r>
      <w:r w:rsidRPr="005C21CD">
        <w:rPr>
          <w:rtl/>
        </w:rPr>
        <w:t>خلف</w:t>
      </w:r>
      <w:r w:rsidR="000E1CBB">
        <w:rPr>
          <w:rFonts w:hint="cs"/>
          <w:rtl/>
        </w:rPr>
        <w:t>]</w:t>
      </w:r>
      <w:r w:rsidRPr="005C21CD">
        <w:rPr>
          <w:vertAlign w:val="superscript"/>
          <w:rtl/>
        </w:rPr>
        <w:t>(</w:t>
      </w:r>
      <w:r w:rsidRPr="005C21CD">
        <w:rPr>
          <w:vertAlign w:val="superscript"/>
          <w:rtl/>
        </w:rPr>
        <w:footnoteReference w:id="1229"/>
      </w:r>
      <w:r w:rsidRPr="005C21CD">
        <w:rPr>
          <w:vertAlign w:val="superscript"/>
          <w:rtl/>
        </w:rPr>
        <w:t>)</w:t>
      </w:r>
      <w:r w:rsidRPr="005C21CD">
        <w:rPr>
          <w:rtl/>
        </w:rPr>
        <w:t>الجمحي، دعا رسول الله</w:t>
      </w:r>
      <w:r w:rsidRPr="005C21CD">
        <w:rPr>
          <w:rFonts w:hint="cs"/>
          <w:rtl/>
        </w:rPr>
        <w:t xml:space="preserve"> </w:t>
      </w:r>
      <w:r w:rsidRPr="005C21CD">
        <w:sym w:font="AGA Arabesque" w:char="F072"/>
      </w:r>
      <w:r w:rsidRPr="005C21CD">
        <w:rPr>
          <w:rtl/>
        </w:rPr>
        <w:t xml:space="preserve"> إِلى طرد الفقراء عنه، وتقريبِ صناديد أهل مكة، فنزلت هذه الآية، رواه الضحاك عن ابن عباس</w:t>
      </w:r>
      <w:r w:rsidRPr="005C21CD">
        <w:rPr>
          <w:vertAlign w:val="superscript"/>
          <w:rtl/>
        </w:rPr>
        <w:t>(</w:t>
      </w:r>
      <w:r w:rsidRPr="005C21CD">
        <w:rPr>
          <w:vertAlign w:val="superscript"/>
          <w:rtl/>
        </w:rPr>
        <w:footnoteReference w:id="1230"/>
      </w:r>
      <w:r w:rsidRPr="005C21CD">
        <w:rPr>
          <w:vertAlign w:val="superscript"/>
          <w:rtl/>
        </w:rPr>
        <w:t>)</w:t>
      </w:r>
      <w:r w:rsidRPr="005C21CD">
        <w:rPr>
          <w:rtl/>
        </w:rPr>
        <w:t>.</w:t>
      </w:r>
      <w:r w:rsidRPr="005C21CD">
        <w:rPr>
          <w:rFonts w:hint="cs"/>
          <w:rtl/>
        </w:rPr>
        <w:t xml:space="preserve"> </w:t>
      </w:r>
      <w:r w:rsidRPr="005C21CD">
        <w:rPr>
          <w:rtl/>
        </w:rPr>
        <w:t>وفي رواية أخرى عنه أنه قال: هو عيينة وأشباهه</w:t>
      </w:r>
      <w:r w:rsidRPr="005C21CD">
        <w:rPr>
          <w:vertAlign w:val="superscript"/>
          <w:rtl/>
        </w:rPr>
        <w:t>(</w:t>
      </w:r>
      <w:r w:rsidRPr="005C21CD">
        <w:rPr>
          <w:vertAlign w:val="superscript"/>
          <w:rtl/>
        </w:rPr>
        <w:footnoteReference w:id="1231"/>
      </w:r>
      <w:r w:rsidRPr="005C21CD">
        <w:rPr>
          <w:vertAlign w:val="superscript"/>
          <w:rtl/>
        </w:rPr>
        <w:t>)</w:t>
      </w:r>
      <w:r w:rsidRPr="005C21CD">
        <w:rPr>
          <w:rtl/>
        </w:rPr>
        <w:t>. ومعنى</w:t>
      </w:r>
      <w:r w:rsidRPr="005C21CD">
        <w:rPr>
          <w:rFonts w:ascii="QCF_P297" w:hAnsi="QCF_P297" w:cs="QCF_P297"/>
          <w:color w:val="auto"/>
          <w:sz w:val="32"/>
          <w:szCs w:val="32"/>
          <w:rtl/>
          <w:lang w:eastAsia="en-US"/>
        </w:rPr>
        <w:t xml:space="preserve"> </w:t>
      </w:r>
      <w:r w:rsidRPr="005C21CD">
        <w:rPr>
          <w:rFonts w:ascii="QCF_BSML" w:hAnsi="QCF_BSML" w:cs="QCF_BSML"/>
          <w:color w:val="auto"/>
          <w:sz w:val="32"/>
          <w:szCs w:val="32"/>
          <w:rtl/>
          <w:lang w:eastAsia="en-US"/>
        </w:rPr>
        <w:t>ﭽ</w:t>
      </w:r>
      <w:r w:rsidRPr="005C21CD">
        <w:rPr>
          <w:rFonts w:ascii="QCF_P297" w:hAnsi="QCF_P297" w:cs="QCF_P297"/>
          <w:color w:val="auto"/>
          <w:sz w:val="32"/>
          <w:szCs w:val="32"/>
          <w:rtl/>
          <w:lang w:eastAsia="en-US"/>
        </w:rPr>
        <w:t xml:space="preserve"> ﭨ  ﭩ  </w:t>
      </w:r>
      <w:r w:rsidRPr="005C21CD">
        <w:rPr>
          <w:rFonts w:ascii="QCF_BSML" w:hAnsi="QCF_BSML" w:cs="QCF_BSML"/>
          <w:color w:val="auto"/>
          <w:sz w:val="32"/>
          <w:szCs w:val="32"/>
          <w:rtl/>
          <w:lang w:eastAsia="en-US"/>
        </w:rPr>
        <w:t>ﭼ</w:t>
      </w:r>
      <w:r w:rsidRPr="005C21CD">
        <w:rPr>
          <w:rtl/>
        </w:rPr>
        <w:t>: جعلناه غافلا</w:t>
      </w:r>
      <w:r w:rsidRPr="005C21CD">
        <w:rPr>
          <w:vertAlign w:val="superscript"/>
          <w:rtl/>
        </w:rPr>
        <w:t>(</w:t>
      </w:r>
      <w:r w:rsidRPr="005C21CD">
        <w:rPr>
          <w:vertAlign w:val="superscript"/>
          <w:rtl/>
        </w:rPr>
        <w:footnoteReference w:id="1232"/>
      </w:r>
      <w:r w:rsidRPr="005C21CD">
        <w:rPr>
          <w:vertAlign w:val="superscript"/>
          <w:rtl/>
        </w:rPr>
        <w:t>)</w:t>
      </w:r>
      <w:r w:rsidRPr="005C21CD">
        <w:rPr>
          <w:rtl/>
        </w:rPr>
        <w:t>. وقرأ أبو مجلز:</w:t>
      </w:r>
      <w:r w:rsidRPr="005C21CD">
        <w:rPr>
          <w:rFonts w:hint="cs"/>
          <w:rtl/>
        </w:rPr>
        <w:t xml:space="preserve"> </w:t>
      </w:r>
      <w:r w:rsidRPr="005C21CD">
        <w:rPr>
          <w:rtl/>
        </w:rPr>
        <w:t>«ومن أغفلَنا» بفتح اللام، ورفع باء القلب</w:t>
      </w:r>
      <w:r w:rsidRPr="005C21CD">
        <w:rPr>
          <w:vertAlign w:val="superscript"/>
          <w:rtl/>
        </w:rPr>
        <w:t>(</w:t>
      </w:r>
      <w:r w:rsidRPr="005C21CD">
        <w:rPr>
          <w:vertAlign w:val="superscript"/>
          <w:rtl/>
        </w:rPr>
        <w:footnoteReference w:id="1233"/>
      </w:r>
      <w:r w:rsidRPr="005C21CD">
        <w:rPr>
          <w:vertAlign w:val="superscript"/>
          <w:rtl/>
        </w:rPr>
        <w:t>)</w:t>
      </w:r>
      <w:r w:rsidRPr="005C21CD">
        <w:rPr>
          <w:rtl/>
        </w:rPr>
        <w:t>.</w:t>
      </w:r>
      <w:r w:rsidRPr="005C21CD">
        <w:rPr>
          <w:rFonts w:ascii="QCF_BSML" w:hAnsi="QCF_BSML" w:cs="QCF_BSML"/>
          <w:color w:val="auto"/>
          <w:sz w:val="32"/>
          <w:szCs w:val="32"/>
          <w:rtl/>
          <w:lang w:eastAsia="en-US"/>
        </w:rPr>
        <w:t>ﭽ</w:t>
      </w:r>
      <w:r w:rsidRPr="005C21CD">
        <w:rPr>
          <w:rFonts w:ascii="QCF_P297" w:hAnsi="QCF_P297" w:cs="QCF_P297"/>
          <w:color w:val="auto"/>
          <w:sz w:val="32"/>
          <w:szCs w:val="32"/>
          <w:rtl/>
          <w:lang w:eastAsia="en-US"/>
        </w:rPr>
        <w:t xml:space="preserve"> ﭪ  ﭫ  </w:t>
      </w:r>
      <w:r w:rsidRPr="005C21CD">
        <w:rPr>
          <w:rFonts w:ascii="QCF_BSML" w:hAnsi="QCF_BSML" w:cs="QCF_BSML"/>
          <w:color w:val="auto"/>
          <w:sz w:val="32"/>
          <w:szCs w:val="32"/>
          <w:rtl/>
          <w:lang w:eastAsia="en-US"/>
        </w:rPr>
        <w:t>ﭼ</w:t>
      </w:r>
      <w:r w:rsidRPr="005C21CD">
        <w:rPr>
          <w:rtl/>
        </w:rPr>
        <w:t xml:space="preserve">: أي عن التّوحيد والقرآن والإسلام، </w:t>
      </w:r>
      <w:r w:rsidRPr="005C21CD">
        <w:rPr>
          <w:rFonts w:ascii="QCF_BSML" w:hAnsi="QCF_BSML" w:cs="QCF_BSML"/>
          <w:color w:val="auto"/>
          <w:sz w:val="32"/>
          <w:szCs w:val="32"/>
          <w:rtl/>
          <w:lang w:eastAsia="en-US"/>
        </w:rPr>
        <w:t>ﭽ</w:t>
      </w:r>
      <w:r w:rsidRPr="005C21CD">
        <w:rPr>
          <w:rFonts w:ascii="QCF_P297" w:hAnsi="QCF_P297" w:cs="QCF_P297"/>
          <w:color w:val="auto"/>
          <w:sz w:val="32"/>
          <w:szCs w:val="32"/>
          <w:rtl/>
          <w:lang w:eastAsia="en-US"/>
        </w:rPr>
        <w:t xml:space="preserve"> ﭬ  ﭭ</w:t>
      </w:r>
      <w:r w:rsidRPr="005C21CD">
        <w:rPr>
          <w:rFonts w:ascii="QCF_BSML" w:hAnsi="QCF_BSML" w:cs="QCF_BSML"/>
          <w:color w:val="auto"/>
          <w:sz w:val="32"/>
          <w:szCs w:val="32"/>
          <w:rtl/>
          <w:lang w:eastAsia="en-US"/>
        </w:rPr>
        <w:t xml:space="preserve"> ﭼ</w:t>
      </w:r>
      <w:r w:rsidRPr="005C21CD">
        <w:rPr>
          <w:rFonts w:ascii="QCF_P297" w:hAnsi="QCF_P297" w:cs="QCF_P297"/>
          <w:color w:val="auto"/>
          <w:sz w:val="32"/>
          <w:szCs w:val="32"/>
          <w:rtl/>
          <w:lang w:eastAsia="en-US"/>
        </w:rPr>
        <w:t xml:space="preserve">  </w:t>
      </w:r>
      <w:r w:rsidRPr="005C21CD">
        <w:rPr>
          <w:rFonts w:hint="cs"/>
          <w:rtl/>
        </w:rPr>
        <w:t xml:space="preserve"> </w:t>
      </w:r>
      <w:r w:rsidRPr="005C21CD">
        <w:rPr>
          <w:rtl/>
        </w:rPr>
        <w:t>في الشّرك</w:t>
      </w:r>
      <w:r w:rsidRPr="005C21CD">
        <w:rPr>
          <w:vertAlign w:val="superscript"/>
          <w:rtl/>
        </w:rPr>
        <w:t>(</w:t>
      </w:r>
      <w:r w:rsidRPr="005C21CD">
        <w:rPr>
          <w:vertAlign w:val="superscript"/>
          <w:rtl/>
        </w:rPr>
        <w:footnoteReference w:id="1234"/>
      </w:r>
      <w:r w:rsidRPr="005C21CD">
        <w:rPr>
          <w:vertAlign w:val="superscript"/>
          <w:rtl/>
        </w:rPr>
        <w:t>)</w:t>
      </w:r>
      <w:r w:rsidRPr="005C21CD">
        <w:rPr>
          <w:rtl/>
        </w:rPr>
        <w:t>.</w:t>
      </w:r>
      <w:r w:rsidRPr="005C21CD">
        <w:rPr>
          <w:rFonts w:ascii="QCF_BSML" w:hAnsi="QCF_BSML" w:cs="QCF_BSML"/>
          <w:color w:val="auto"/>
          <w:sz w:val="32"/>
          <w:szCs w:val="32"/>
          <w:rtl/>
          <w:lang w:eastAsia="en-US"/>
        </w:rPr>
        <w:t xml:space="preserve"> ﭽ</w:t>
      </w:r>
      <w:r w:rsidRPr="005C21CD">
        <w:rPr>
          <w:rFonts w:ascii="QCF_P297" w:hAnsi="QCF_P297" w:cs="QCF_P297"/>
          <w:color w:val="auto"/>
          <w:sz w:val="32"/>
          <w:szCs w:val="32"/>
          <w:rtl/>
          <w:lang w:eastAsia="en-US"/>
        </w:rPr>
        <w:t>ﭮ   ﭯ  ﭰ</w:t>
      </w:r>
      <w:r w:rsidRPr="005C21CD">
        <w:rPr>
          <w:rFonts w:ascii="QCF_BSML" w:hAnsi="QCF_BSML" w:cs="QCF_BSML"/>
          <w:color w:val="auto"/>
          <w:sz w:val="32"/>
          <w:szCs w:val="32"/>
          <w:rtl/>
          <w:lang w:eastAsia="en-US"/>
        </w:rPr>
        <w:t>ﭼ</w:t>
      </w:r>
      <w:r w:rsidRPr="005C21CD">
        <w:rPr>
          <w:rFonts w:ascii="QCF_P297" w:hAnsi="QCF_P297" w:cs="QCF_P297"/>
          <w:color w:val="auto"/>
          <w:sz w:val="32"/>
          <w:szCs w:val="32"/>
          <w:rtl/>
          <w:lang w:eastAsia="en-US"/>
        </w:rPr>
        <w:t xml:space="preserve">  </w:t>
      </w:r>
      <w:r w:rsidRPr="005C21CD">
        <w:rPr>
          <w:rtl/>
        </w:rPr>
        <w:t>فيه أربعة أقوال: أحدها: أنها أفرط في قوله، لأنه قال: إِنّا رؤوس مضر</w:t>
      </w:r>
      <w:r w:rsidRPr="005C21CD">
        <w:rPr>
          <w:vertAlign w:val="superscript"/>
          <w:rtl/>
        </w:rPr>
        <w:t>(</w:t>
      </w:r>
      <w:r w:rsidRPr="005C21CD">
        <w:rPr>
          <w:vertAlign w:val="superscript"/>
          <w:rtl/>
        </w:rPr>
        <w:footnoteReference w:id="1235"/>
      </w:r>
      <w:r w:rsidRPr="005C21CD">
        <w:rPr>
          <w:vertAlign w:val="superscript"/>
          <w:rtl/>
        </w:rPr>
        <w:t>)</w:t>
      </w:r>
      <w:r w:rsidRPr="005C21CD">
        <w:rPr>
          <w:rtl/>
        </w:rPr>
        <w:t>، وإِن نُسلِم يُسلم الناس بعدنا، قاله أبو صالح عن ابن عباس</w:t>
      </w:r>
      <w:r w:rsidRPr="005C21CD">
        <w:rPr>
          <w:vertAlign w:val="superscript"/>
          <w:rtl/>
        </w:rPr>
        <w:t>(</w:t>
      </w:r>
      <w:r w:rsidRPr="005C21CD">
        <w:rPr>
          <w:vertAlign w:val="superscript"/>
          <w:rtl/>
        </w:rPr>
        <w:footnoteReference w:id="1236"/>
      </w:r>
      <w:r w:rsidRPr="005C21CD">
        <w:rPr>
          <w:vertAlign w:val="superscript"/>
          <w:rtl/>
        </w:rPr>
        <w:t>)</w:t>
      </w:r>
      <w:r w:rsidRPr="005C21CD">
        <w:rPr>
          <w:rtl/>
        </w:rPr>
        <w:t xml:space="preserve">. والثاني: </w:t>
      </w:r>
      <w:r w:rsidRPr="005C21CD">
        <w:rPr>
          <w:rtl/>
        </w:rPr>
        <w:lastRenderedPageBreak/>
        <w:t>ضيَاعاً، قاله مجاهد</w:t>
      </w:r>
      <w:r w:rsidRPr="005C21CD">
        <w:rPr>
          <w:vertAlign w:val="superscript"/>
          <w:rtl/>
        </w:rPr>
        <w:t>(</w:t>
      </w:r>
      <w:r w:rsidRPr="005C21CD">
        <w:rPr>
          <w:vertAlign w:val="superscript"/>
          <w:rtl/>
        </w:rPr>
        <w:footnoteReference w:id="1237"/>
      </w:r>
      <w:r w:rsidRPr="005C21CD">
        <w:rPr>
          <w:vertAlign w:val="superscript"/>
          <w:rtl/>
        </w:rPr>
        <w:t>)</w:t>
      </w:r>
      <w:r w:rsidRPr="005C21CD">
        <w:rPr>
          <w:rtl/>
        </w:rPr>
        <w:t xml:space="preserve">. وقال أبو عبيدة: </w:t>
      </w:r>
      <w:r w:rsidR="0092639A" w:rsidRPr="001277AD">
        <w:rPr>
          <w:rFonts w:hint="cs"/>
          <w:color w:val="0D0D0D" w:themeColor="text1" w:themeTint="F2"/>
          <w:sz w:val="32"/>
          <w:szCs w:val="32"/>
          <w:rtl/>
        </w:rPr>
        <w:t>[</w:t>
      </w:r>
      <w:r w:rsidR="0092639A">
        <w:rPr>
          <w:rFonts w:hint="cs"/>
          <w:color w:val="0D0D0D" w:themeColor="text1" w:themeTint="F2"/>
          <w:sz w:val="32"/>
          <w:szCs w:val="32"/>
          <w:rtl/>
        </w:rPr>
        <w:t>117</w:t>
      </w:r>
      <w:r w:rsidR="0092639A" w:rsidRPr="001277AD">
        <w:rPr>
          <w:rFonts w:hint="cs"/>
          <w:color w:val="0D0D0D" w:themeColor="text1" w:themeTint="F2"/>
          <w:sz w:val="32"/>
          <w:szCs w:val="32"/>
          <w:rtl/>
        </w:rPr>
        <w:t>]</w:t>
      </w:r>
      <w:r w:rsidR="0092639A" w:rsidRPr="00911ED4">
        <w:rPr>
          <w:rFonts w:ascii="Traditional Arabic" w:hAnsi="Traditional Arabic"/>
          <w:rtl/>
        </w:rPr>
        <w:t xml:space="preserve"> </w:t>
      </w:r>
      <w:r w:rsidRPr="005C21CD">
        <w:rPr>
          <w:rtl/>
        </w:rPr>
        <w:t>سَرَفاً وتضييعاً</w:t>
      </w:r>
      <w:r w:rsidRPr="005C21CD">
        <w:rPr>
          <w:vertAlign w:val="superscript"/>
          <w:rtl/>
        </w:rPr>
        <w:t>(</w:t>
      </w:r>
      <w:r w:rsidRPr="005C21CD">
        <w:rPr>
          <w:vertAlign w:val="superscript"/>
          <w:rtl/>
        </w:rPr>
        <w:footnoteReference w:id="1238"/>
      </w:r>
      <w:r w:rsidRPr="005C21CD">
        <w:rPr>
          <w:vertAlign w:val="superscript"/>
          <w:rtl/>
        </w:rPr>
        <w:t>)</w:t>
      </w:r>
      <w:r w:rsidRPr="005C21CD">
        <w:rPr>
          <w:rtl/>
        </w:rPr>
        <w:t>. والثالث: نَدَماً، حكاه ابن قتيبة عن أبي عبيدة</w:t>
      </w:r>
      <w:r w:rsidRPr="005C21CD">
        <w:rPr>
          <w:vertAlign w:val="superscript"/>
          <w:rtl/>
        </w:rPr>
        <w:t>(</w:t>
      </w:r>
      <w:r w:rsidRPr="005C21CD">
        <w:rPr>
          <w:vertAlign w:val="superscript"/>
          <w:rtl/>
        </w:rPr>
        <w:footnoteReference w:id="1239"/>
      </w:r>
      <w:r w:rsidRPr="005C21CD">
        <w:rPr>
          <w:vertAlign w:val="superscript"/>
          <w:rtl/>
        </w:rPr>
        <w:t>)</w:t>
      </w:r>
      <w:r w:rsidRPr="005C21CD">
        <w:rPr>
          <w:rtl/>
        </w:rPr>
        <w:t>. والرابع: كان أمره التفريط، والتفريط: تقديم العجز، قاله الزّجّاج</w:t>
      </w:r>
      <w:r w:rsidRPr="005C21CD">
        <w:rPr>
          <w:vertAlign w:val="superscript"/>
          <w:rtl/>
        </w:rPr>
        <w:t>(</w:t>
      </w:r>
      <w:r w:rsidRPr="005C21CD">
        <w:rPr>
          <w:vertAlign w:val="superscript"/>
          <w:rtl/>
        </w:rPr>
        <w:footnoteReference w:id="1240"/>
      </w:r>
      <w:r w:rsidRPr="005C21CD">
        <w:rPr>
          <w:vertAlign w:val="superscript"/>
          <w:rtl/>
        </w:rPr>
        <w:t>)</w:t>
      </w:r>
      <w:r w:rsidRPr="005C21CD">
        <w:rPr>
          <w:rtl/>
        </w:rPr>
        <w:t>.</w:t>
      </w:r>
    </w:p>
    <w:p w:rsidR="009F1F17" w:rsidRPr="005C21CD" w:rsidRDefault="009F1F17" w:rsidP="008265A7">
      <w:pPr>
        <w:ind w:firstLine="0"/>
        <w:rPr>
          <w:rtl/>
        </w:rPr>
      </w:pPr>
    </w:p>
    <w:p w:rsidR="009F1F17" w:rsidRDefault="005C21CD" w:rsidP="000E1CBB">
      <w:pPr>
        <w:ind w:firstLine="0"/>
        <w:rPr>
          <w:rtl/>
        </w:rPr>
      </w:pPr>
      <w:r w:rsidRPr="005C21CD">
        <w:rPr>
          <w:rFonts w:ascii="QCF_BSML" w:hAnsi="QCF_BSML" w:cs="QCF_BSML"/>
          <w:color w:val="auto"/>
          <w:sz w:val="32"/>
          <w:szCs w:val="32"/>
          <w:rtl/>
          <w:lang w:eastAsia="en-US"/>
        </w:rPr>
        <w:t xml:space="preserve">ﭽ </w:t>
      </w:r>
      <w:r w:rsidRPr="005C21CD">
        <w:rPr>
          <w:rFonts w:ascii="QCF_P297" w:hAnsi="QCF_P297" w:cs="QCF_P297"/>
          <w:color w:val="auto"/>
          <w:sz w:val="32"/>
          <w:szCs w:val="32"/>
          <w:rtl/>
          <w:lang w:eastAsia="en-US"/>
        </w:rPr>
        <w:t>ﭲ  ﭳ  ﭴ  ﭵﭶ  ﭷ  ﭸ  ﭹ  ﭺ   ﭻ  ﭼﭽ  ﭾ     ﭿ  ﮀ  ﮁ  ﮂ  ﮃ  ﮄﮅ   ﮆ  ﮇ  ﮈ  ﮉ  ﮊ        ﮋ  ﮌﮍ  ﮎ     ﮏ  ﮐ  ﮑ  ﮒ</w:t>
      </w:r>
      <w:r w:rsidRPr="005C21CD">
        <w:rPr>
          <w:rFonts w:ascii="QCF_BSML" w:hAnsi="QCF_BSML" w:cs="QCF_BSML"/>
          <w:color w:val="auto"/>
          <w:sz w:val="32"/>
          <w:szCs w:val="32"/>
          <w:rtl/>
          <w:lang w:eastAsia="en-US"/>
        </w:rPr>
        <w:t>ﭼ</w:t>
      </w:r>
      <w:r w:rsidRPr="005C21CD">
        <w:rPr>
          <w:rFonts w:ascii="Arial" w:hAnsi="Arial" w:cs="Arial"/>
          <w:color w:val="auto"/>
          <w:sz w:val="32"/>
          <w:szCs w:val="32"/>
          <w:rtl/>
          <w:lang w:eastAsia="en-US"/>
        </w:rPr>
        <w:t xml:space="preserve"> </w:t>
      </w:r>
      <w:r w:rsidRPr="005C21CD">
        <w:rPr>
          <w:rtl/>
        </w:rPr>
        <w:t xml:space="preserve">قوله تعالى: </w:t>
      </w:r>
      <w:r w:rsidRPr="005C21CD">
        <w:rPr>
          <w:rFonts w:ascii="QCF_BSML" w:hAnsi="QCF_BSML" w:cs="QCF_BSML"/>
          <w:color w:val="auto"/>
          <w:sz w:val="32"/>
          <w:szCs w:val="32"/>
          <w:rtl/>
          <w:lang w:eastAsia="en-US"/>
        </w:rPr>
        <w:t xml:space="preserve">ﭽ </w:t>
      </w:r>
      <w:r w:rsidRPr="005C21CD">
        <w:rPr>
          <w:rFonts w:ascii="QCF_P297" w:hAnsi="QCF_P297" w:cs="QCF_P297"/>
          <w:color w:val="auto"/>
          <w:sz w:val="32"/>
          <w:szCs w:val="32"/>
          <w:rtl/>
          <w:lang w:eastAsia="en-US"/>
        </w:rPr>
        <w:t xml:space="preserve">ﭲ  ﭳ  ﭴ  ﭵﭶ  </w:t>
      </w:r>
      <w:r w:rsidRPr="005C21CD">
        <w:rPr>
          <w:rFonts w:ascii="QCF_BSML" w:hAnsi="QCF_BSML" w:cs="QCF_BSML"/>
          <w:color w:val="auto"/>
          <w:sz w:val="32"/>
          <w:szCs w:val="32"/>
          <w:rtl/>
          <w:lang w:eastAsia="en-US"/>
        </w:rPr>
        <w:t>ﭼ</w:t>
      </w:r>
      <w:r w:rsidRPr="005C21CD">
        <w:rPr>
          <w:rtl/>
        </w:rPr>
        <w:t xml:space="preserve"> قال الزجاج: المعنى: وقل الذي أتيتكم به، الحقُّ من ربِّكم</w:t>
      </w:r>
      <w:r w:rsidRPr="005C21CD">
        <w:rPr>
          <w:vertAlign w:val="superscript"/>
          <w:rtl/>
        </w:rPr>
        <w:t>(</w:t>
      </w:r>
      <w:r w:rsidRPr="005C21CD">
        <w:rPr>
          <w:vertAlign w:val="superscript"/>
          <w:rtl/>
        </w:rPr>
        <w:footnoteReference w:id="1241"/>
      </w:r>
      <w:r w:rsidRPr="005C21CD">
        <w:rPr>
          <w:vertAlign w:val="superscript"/>
          <w:rtl/>
        </w:rPr>
        <w:t>)</w:t>
      </w:r>
      <w:r w:rsidRPr="005C21CD">
        <w:rPr>
          <w:rtl/>
        </w:rPr>
        <w:t>.</w:t>
      </w:r>
      <w:r w:rsidRPr="005C21CD">
        <w:rPr>
          <w:rFonts w:hint="cs"/>
          <w:rtl/>
        </w:rPr>
        <w:t xml:space="preserve"> </w:t>
      </w:r>
      <w:r w:rsidRPr="005C21CD">
        <w:rPr>
          <w:rtl/>
        </w:rPr>
        <w:t>قوله تعالى:</w:t>
      </w:r>
      <w:r w:rsidRPr="005C21CD">
        <w:rPr>
          <w:rFonts w:ascii="QCF_BSML" w:hAnsi="QCF_BSML" w:cs="QCF_BSML"/>
          <w:color w:val="auto"/>
          <w:sz w:val="32"/>
          <w:szCs w:val="32"/>
          <w:rtl/>
          <w:lang w:eastAsia="en-US"/>
        </w:rPr>
        <w:t xml:space="preserve"> ﭽ</w:t>
      </w:r>
      <w:r w:rsidRPr="005C21CD">
        <w:rPr>
          <w:rtl/>
        </w:rPr>
        <w:t xml:space="preserve"> </w:t>
      </w:r>
      <w:r w:rsidRPr="005C21CD">
        <w:rPr>
          <w:rFonts w:ascii="QCF_P297" w:hAnsi="QCF_P297" w:cs="QCF_P297"/>
          <w:color w:val="auto"/>
          <w:sz w:val="32"/>
          <w:szCs w:val="32"/>
          <w:rtl/>
          <w:lang w:eastAsia="en-US"/>
        </w:rPr>
        <w:t>ﭷ  ﭸ  ﭹ  ﭺ   ﭻ  ﭼﭽ</w:t>
      </w:r>
      <w:r w:rsidRPr="005C21CD">
        <w:rPr>
          <w:rFonts w:ascii="QCF_BSML" w:hAnsi="QCF_BSML" w:cs="QCF_BSML"/>
          <w:color w:val="auto"/>
          <w:sz w:val="32"/>
          <w:szCs w:val="32"/>
          <w:rtl/>
          <w:lang w:eastAsia="en-US"/>
        </w:rPr>
        <w:t xml:space="preserve"> ﭼ</w:t>
      </w:r>
      <w:r w:rsidRPr="005C21CD">
        <w:rPr>
          <w:rFonts w:ascii="QCF_P297" w:hAnsi="QCF_P297" w:cs="QCF_P297"/>
          <w:color w:val="auto"/>
          <w:sz w:val="32"/>
          <w:szCs w:val="32"/>
          <w:rtl/>
          <w:lang w:eastAsia="en-US"/>
        </w:rPr>
        <w:t xml:space="preserve">  </w:t>
      </w:r>
      <w:r w:rsidRPr="005C21CD">
        <w:rPr>
          <w:rtl/>
        </w:rPr>
        <w:t>فيه ثلاثة أقوال: أحدها: فمن شاء الله فليؤمن، روي عن ابن عباس</w:t>
      </w:r>
      <w:r w:rsidRPr="005C21CD">
        <w:rPr>
          <w:vertAlign w:val="superscript"/>
          <w:rtl/>
        </w:rPr>
        <w:t>(</w:t>
      </w:r>
      <w:r w:rsidRPr="005C21CD">
        <w:rPr>
          <w:vertAlign w:val="superscript"/>
          <w:rtl/>
        </w:rPr>
        <w:footnoteReference w:id="1242"/>
      </w:r>
      <w:r w:rsidRPr="005C21CD">
        <w:rPr>
          <w:vertAlign w:val="superscript"/>
          <w:rtl/>
        </w:rPr>
        <w:t>)</w:t>
      </w:r>
      <w:r w:rsidRPr="005C21CD">
        <w:rPr>
          <w:rtl/>
        </w:rPr>
        <w:t>. والثاني: أنه وعيد وإِنذار، وليس بأمر، قاله الزجاج</w:t>
      </w:r>
      <w:r w:rsidRPr="005C21CD">
        <w:rPr>
          <w:vertAlign w:val="superscript"/>
          <w:rtl/>
        </w:rPr>
        <w:t>(</w:t>
      </w:r>
      <w:r w:rsidRPr="005C21CD">
        <w:rPr>
          <w:vertAlign w:val="superscript"/>
          <w:rtl/>
        </w:rPr>
        <w:footnoteReference w:id="1243"/>
      </w:r>
      <w:r w:rsidRPr="005C21CD">
        <w:rPr>
          <w:vertAlign w:val="superscript"/>
          <w:rtl/>
        </w:rPr>
        <w:t>)</w:t>
      </w:r>
      <w:r w:rsidRPr="005C21CD">
        <w:rPr>
          <w:rtl/>
        </w:rPr>
        <w:t>. والثالث: أن معناه: لا تنفعون الله بإيمانكم، ولا تضرُونه بكفركم، قاله الماوردي</w:t>
      </w:r>
      <w:r w:rsidRPr="005C21CD">
        <w:rPr>
          <w:vertAlign w:val="superscript"/>
          <w:rtl/>
        </w:rPr>
        <w:t>(</w:t>
      </w:r>
      <w:r w:rsidRPr="005C21CD">
        <w:rPr>
          <w:vertAlign w:val="superscript"/>
          <w:rtl/>
        </w:rPr>
        <w:footnoteReference w:id="1244"/>
      </w:r>
      <w:r w:rsidRPr="005C21CD">
        <w:rPr>
          <w:vertAlign w:val="superscript"/>
          <w:rtl/>
        </w:rPr>
        <w:t>)</w:t>
      </w:r>
      <w:r w:rsidRPr="005C21CD">
        <w:rPr>
          <w:rtl/>
        </w:rPr>
        <w:t>. وقال بعضهم: هذا إِظهار للغنى، لا إِطلاق في الكفر</w:t>
      </w:r>
      <w:r w:rsidRPr="005C21CD">
        <w:rPr>
          <w:vertAlign w:val="superscript"/>
          <w:rtl/>
        </w:rPr>
        <w:t>(</w:t>
      </w:r>
      <w:r w:rsidRPr="005C21CD">
        <w:rPr>
          <w:vertAlign w:val="superscript"/>
          <w:rtl/>
        </w:rPr>
        <w:footnoteReference w:id="1245"/>
      </w:r>
      <w:r w:rsidRPr="005C21CD">
        <w:rPr>
          <w:vertAlign w:val="superscript"/>
          <w:rtl/>
        </w:rPr>
        <w:t>)</w:t>
      </w:r>
      <w:r w:rsidRPr="005C21CD">
        <w:rPr>
          <w:rtl/>
        </w:rPr>
        <w:t>.</w:t>
      </w:r>
      <w:r w:rsidRPr="005C21CD">
        <w:rPr>
          <w:rFonts w:hint="cs"/>
          <w:rtl/>
        </w:rPr>
        <w:t xml:space="preserve"> </w:t>
      </w:r>
      <w:r w:rsidRPr="005C21CD">
        <w:rPr>
          <w:rtl/>
        </w:rPr>
        <w:t xml:space="preserve">قوله تعالى: </w:t>
      </w:r>
      <w:r w:rsidRPr="005C21CD">
        <w:rPr>
          <w:rFonts w:ascii="QCF_BSML" w:hAnsi="QCF_BSML" w:cs="QCF_BSML"/>
          <w:color w:val="auto"/>
          <w:sz w:val="32"/>
          <w:szCs w:val="32"/>
          <w:rtl/>
          <w:lang w:eastAsia="en-US"/>
        </w:rPr>
        <w:t>ﭽ</w:t>
      </w:r>
      <w:r w:rsidRPr="005C21CD">
        <w:rPr>
          <w:rFonts w:ascii="QCF_P297" w:hAnsi="QCF_P297" w:cs="QCF_P297"/>
          <w:color w:val="auto"/>
          <w:sz w:val="32"/>
          <w:szCs w:val="32"/>
          <w:rtl/>
          <w:lang w:eastAsia="en-US"/>
        </w:rPr>
        <w:t xml:space="preserve"> ﭾ ﭿ</w:t>
      </w:r>
      <w:r w:rsidRPr="005C21CD">
        <w:rPr>
          <w:rFonts w:ascii="QCF_BSML" w:hAnsi="QCF_BSML" w:cs="QCF_BSML"/>
          <w:color w:val="auto"/>
          <w:sz w:val="32"/>
          <w:szCs w:val="32"/>
          <w:rtl/>
          <w:lang w:eastAsia="en-US"/>
        </w:rPr>
        <w:t xml:space="preserve"> ﭼ</w:t>
      </w:r>
      <w:r w:rsidR="00E26C90">
        <w:rPr>
          <w:rFonts w:ascii="QCF_BSML" w:hAnsi="QCF_BSML" w:cs="QCF_BSML" w:hint="cs"/>
          <w:color w:val="auto"/>
          <w:sz w:val="32"/>
          <w:szCs w:val="32"/>
          <w:rtl/>
          <w:lang w:eastAsia="en-US"/>
        </w:rPr>
        <w:t xml:space="preserve"> </w:t>
      </w:r>
      <w:r w:rsidRPr="005C21CD">
        <w:rPr>
          <w:rFonts w:ascii="QCF_P297" w:hAnsi="QCF_P297" w:cs="QCF_P297"/>
          <w:color w:val="auto"/>
          <w:sz w:val="32"/>
          <w:szCs w:val="32"/>
          <w:rtl/>
          <w:lang w:eastAsia="en-US"/>
        </w:rPr>
        <w:t xml:space="preserve"> </w:t>
      </w:r>
      <w:r w:rsidR="00E26C90">
        <w:rPr>
          <w:rFonts w:ascii="QCF_P297" w:hAnsi="QCF_P297" w:cs="QCF_P297" w:hint="cs"/>
          <w:color w:val="auto"/>
          <w:sz w:val="32"/>
          <w:szCs w:val="32"/>
          <w:rtl/>
          <w:lang w:eastAsia="en-US"/>
        </w:rPr>
        <w:t xml:space="preserve"> </w:t>
      </w:r>
      <w:r w:rsidRPr="005C21CD">
        <w:rPr>
          <w:rFonts w:ascii="QCF_P297" w:hAnsi="QCF_P297" w:cs="QCF_P297"/>
          <w:color w:val="auto"/>
          <w:sz w:val="32"/>
          <w:szCs w:val="32"/>
          <w:rtl/>
          <w:lang w:eastAsia="en-US"/>
        </w:rPr>
        <w:t xml:space="preserve"> </w:t>
      </w:r>
      <w:r w:rsidRPr="005C21CD">
        <w:rPr>
          <w:rtl/>
        </w:rPr>
        <w:t>أي: هيَّأنا وأعددنا، وقد شرحناه في قوله:</w:t>
      </w:r>
      <w:r w:rsidRPr="005C21CD">
        <w:rPr>
          <w:rFonts w:ascii="QCF_BSML" w:hAnsi="QCF_BSML" w:cs="QCF_BSML"/>
          <w:sz w:val="47"/>
          <w:szCs w:val="47"/>
          <w:rtl/>
          <w:lang w:eastAsia="en-US"/>
        </w:rPr>
        <w:t xml:space="preserve"> </w:t>
      </w:r>
      <w:r w:rsidRPr="005C21CD">
        <w:rPr>
          <w:rFonts w:ascii="QCF_BSML" w:hAnsi="QCF_BSML" w:cs="QCF_BSML"/>
          <w:sz w:val="32"/>
          <w:szCs w:val="32"/>
          <w:rtl/>
          <w:lang w:eastAsia="en-US"/>
        </w:rPr>
        <w:t xml:space="preserve">ﭽ </w:t>
      </w:r>
      <w:r w:rsidRPr="005C21CD">
        <w:rPr>
          <w:rFonts w:ascii="QCF_P239" w:hAnsi="QCF_P239" w:cs="QCF_P239"/>
          <w:sz w:val="32"/>
          <w:szCs w:val="32"/>
          <w:rtl/>
          <w:lang w:eastAsia="en-US"/>
        </w:rPr>
        <w:t xml:space="preserve">ﭖ  ﭗ  ﭘ  </w:t>
      </w:r>
      <w:r w:rsidRPr="005C21CD">
        <w:rPr>
          <w:rFonts w:ascii="QCF_BSML" w:hAnsi="QCF_BSML" w:cs="QCF_BSML"/>
          <w:sz w:val="32"/>
          <w:szCs w:val="32"/>
          <w:rtl/>
          <w:lang w:eastAsia="en-US"/>
        </w:rPr>
        <w:t>ﭼ</w:t>
      </w:r>
      <w:r w:rsidRPr="005C21CD">
        <w:rPr>
          <w:rFonts w:ascii="Arial" w:hAnsi="Arial" w:cs="Arial"/>
          <w:sz w:val="32"/>
          <w:szCs w:val="32"/>
          <w:rtl/>
          <w:lang w:eastAsia="en-US"/>
        </w:rPr>
        <w:t xml:space="preserve"> </w:t>
      </w:r>
      <w:r w:rsidRPr="005C21CD">
        <w:rPr>
          <w:rFonts w:ascii="Traditional Arabic" w:hAnsi="Traditional Arabic" w:hint="cs"/>
          <w:color w:val="auto"/>
          <w:sz w:val="32"/>
          <w:szCs w:val="32"/>
          <w:rtl/>
          <w:lang w:eastAsia="en-US"/>
        </w:rPr>
        <w:t>[</w:t>
      </w:r>
      <w:r w:rsidRPr="005C21CD">
        <w:rPr>
          <w:rFonts w:ascii="Traditional Arabic" w:hAnsi="Traditional Arabic"/>
          <w:color w:val="auto"/>
          <w:sz w:val="32"/>
          <w:szCs w:val="32"/>
          <w:rtl/>
          <w:lang w:eastAsia="en-US"/>
        </w:rPr>
        <w:t>يوسف:٣١</w:t>
      </w:r>
      <w:r w:rsidRPr="005C21CD">
        <w:rPr>
          <w:rFonts w:ascii="Traditional Arabic" w:hAnsi="Traditional Arabic" w:hint="cs"/>
          <w:color w:val="auto"/>
          <w:sz w:val="32"/>
          <w:szCs w:val="32"/>
          <w:rtl/>
          <w:lang w:eastAsia="en-US"/>
        </w:rPr>
        <w:t>]</w:t>
      </w:r>
      <w:r w:rsidRPr="005C21CD">
        <w:rPr>
          <w:vertAlign w:val="superscript"/>
          <w:rtl/>
        </w:rPr>
        <w:t>(</w:t>
      </w:r>
      <w:r w:rsidRPr="005C21CD">
        <w:rPr>
          <w:vertAlign w:val="superscript"/>
          <w:rtl/>
        </w:rPr>
        <w:footnoteReference w:id="1246"/>
      </w:r>
      <w:r w:rsidRPr="005C21CD">
        <w:rPr>
          <w:vertAlign w:val="superscript"/>
          <w:rtl/>
        </w:rPr>
        <w:t>)</w:t>
      </w:r>
      <w:r w:rsidRPr="005C21CD">
        <w:rPr>
          <w:rFonts w:ascii="Traditional Arabic" w:hAnsi="Traditional Arabic" w:hint="cs"/>
          <w:color w:val="auto"/>
          <w:sz w:val="32"/>
          <w:szCs w:val="32"/>
          <w:rtl/>
          <w:lang w:eastAsia="en-US"/>
        </w:rPr>
        <w:t>؛</w:t>
      </w:r>
      <w:r w:rsidRPr="005C21CD">
        <w:rPr>
          <w:rtl/>
        </w:rPr>
        <w:t xml:space="preserve"> فأمّا الظالمون، فقال المفسّرون: هم الكافرون</w:t>
      </w:r>
      <w:r w:rsidRPr="005C21CD">
        <w:rPr>
          <w:vertAlign w:val="superscript"/>
          <w:rtl/>
        </w:rPr>
        <w:t>(</w:t>
      </w:r>
      <w:r w:rsidRPr="005C21CD">
        <w:rPr>
          <w:vertAlign w:val="superscript"/>
          <w:rtl/>
        </w:rPr>
        <w:footnoteReference w:id="1247"/>
      </w:r>
      <w:r w:rsidRPr="005C21CD">
        <w:rPr>
          <w:vertAlign w:val="superscript"/>
          <w:rtl/>
        </w:rPr>
        <w:t>)</w:t>
      </w:r>
      <w:r w:rsidRPr="005C21CD">
        <w:rPr>
          <w:rtl/>
        </w:rPr>
        <w:t>. فأمّا السُّرادِق، فقال الزجاج: السُّرادِق: كلُّ ما أحاط بشيء، نحو الشُّقَّة في المِضْرَب، أو الحائط المشتمل على الشيء</w:t>
      </w:r>
      <w:r w:rsidRPr="005C21CD">
        <w:rPr>
          <w:vertAlign w:val="superscript"/>
          <w:rtl/>
        </w:rPr>
        <w:t>(</w:t>
      </w:r>
      <w:r w:rsidRPr="005C21CD">
        <w:rPr>
          <w:vertAlign w:val="superscript"/>
          <w:rtl/>
        </w:rPr>
        <w:footnoteReference w:id="1248"/>
      </w:r>
      <w:r w:rsidRPr="005C21CD">
        <w:rPr>
          <w:vertAlign w:val="superscript"/>
          <w:rtl/>
        </w:rPr>
        <w:t>)</w:t>
      </w:r>
      <w:r w:rsidRPr="005C21CD">
        <w:rPr>
          <w:rtl/>
        </w:rPr>
        <w:t xml:space="preserve">. وقال ابن قتيبة: السُّرادِق: الحُجرة التي </w:t>
      </w:r>
    </w:p>
    <w:p w:rsidR="005069F6" w:rsidRPr="00205C94" w:rsidRDefault="005C21CD" w:rsidP="00205C94">
      <w:pPr>
        <w:ind w:firstLine="0"/>
        <w:rPr>
          <w:rFonts w:ascii="Traditional Arabic" w:hAnsi="Traditional Arabic"/>
          <w:color w:val="auto"/>
          <w:sz w:val="32"/>
          <w:szCs w:val="32"/>
          <w:rtl/>
        </w:rPr>
      </w:pPr>
      <w:r w:rsidRPr="005C21CD">
        <w:rPr>
          <w:rtl/>
        </w:rPr>
        <w:lastRenderedPageBreak/>
        <w:t>تكون حول الفسطاط</w:t>
      </w:r>
      <w:r w:rsidRPr="005C21CD">
        <w:rPr>
          <w:vertAlign w:val="superscript"/>
          <w:rtl/>
        </w:rPr>
        <w:t>(</w:t>
      </w:r>
      <w:r w:rsidRPr="005C21CD">
        <w:rPr>
          <w:vertAlign w:val="superscript"/>
          <w:rtl/>
        </w:rPr>
        <w:footnoteReference w:id="1249"/>
      </w:r>
      <w:r w:rsidRPr="005C21CD">
        <w:rPr>
          <w:vertAlign w:val="superscript"/>
          <w:rtl/>
        </w:rPr>
        <w:t>)(</w:t>
      </w:r>
      <w:r w:rsidRPr="005C21CD">
        <w:rPr>
          <w:vertAlign w:val="superscript"/>
          <w:rtl/>
        </w:rPr>
        <w:footnoteReference w:id="1250"/>
      </w:r>
      <w:r w:rsidRPr="005C21CD">
        <w:rPr>
          <w:vertAlign w:val="superscript"/>
          <w:rtl/>
        </w:rPr>
        <w:t>)</w:t>
      </w:r>
      <w:r w:rsidRPr="005C21CD">
        <w:rPr>
          <w:rtl/>
        </w:rPr>
        <w:t>. وقرأت على شيخنا أبي منصور اللغوي</w:t>
      </w:r>
      <w:r w:rsidRPr="005C21CD">
        <w:rPr>
          <w:vertAlign w:val="superscript"/>
          <w:rtl/>
        </w:rPr>
        <w:t>(</w:t>
      </w:r>
      <w:r w:rsidRPr="005C21CD">
        <w:rPr>
          <w:vertAlign w:val="superscript"/>
          <w:rtl/>
        </w:rPr>
        <w:footnoteReference w:id="1251"/>
      </w:r>
      <w:r w:rsidRPr="005C21CD">
        <w:rPr>
          <w:vertAlign w:val="superscript"/>
          <w:rtl/>
        </w:rPr>
        <w:t>)</w:t>
      </w:r>
      <w:r w:rsidRPr="005C21CD">
        <w:rPr>
          <w:rtl/>
        </w:rPr>
        <w:t>، قال: السُّرادق فارسي معرَّب، وأصله بالفارسية سَرَادَارْ، وهو الدِّهليز</w:t>
      </w:r>
      <w:r w:rsidRPr="005C21CD">
        <w:rPr>
          <w:vertAlign w:val="superscript"/>
          <w:rtl/>
        </w:rPr>
        <w:t>(</w:t>
      </w:r>
      <w:r w:rsidRPr="005C21CD">
        <w:rPr>
          <w:vertAlign w:val="superscript"/>
          <w:rtl/>
        </w:rPr>
        <w:footnoteReference w:id="1252"/>
      </w:r>
      <w:r w:rsidRPr="005C21CD">
        <w:rPr>
          <w:vertAlign w:val="superscript"/>
          <w:rtl/>
        </w:rPr>
        <w:t>)</w:t>
      </w:r>
      <w:r w:rsidRPr="005C21CD">
        <w:rPr>
          <w:rtl/>
        </w:rPr>
        <w:t>، قال الفرزدق:</w:t>
      </w:r>
    </w:p>
    <w:p w:rsidR="005C21CD" w:rsidRPr="005C21CD" w:rsidRDefault="005C21CD" w:rsidP="005069F6">
      <w:pPr>
        <w:ind w:firstLine="0"/>
        <w:rPr>
          <w:rtl/>
        </w:rPr>
      </w:pPr>
      <w:r w:rsidRPr="005C21CD">
        <w:rPr>
          <w:rtl/>
        </w:rPr>
        <w:t xml:space="preserve">تَمَنَّيْتَهُمْ حتى إِذا ما لَقِيتَهم ... تَركتَ </w:t>
      </w:r>
      <w:r w:rsidR="005069F6">
        <w:rPr>
          <w:rFonts w:hint="cs"/>
          <w:rtl/>
        </w:rPr>
        <w:t>[</w:t>
      </w:r>
      <w:r w:rsidRPr="005C21CD">
        <w:rPr>
          <w:rtl/>
        </w:rPr>
        <w:t>لهم</w:t>
      </w:r>
      <w:r w:rsidR="005069F6">
        <w:rPr>
          <w:rFonts w:hint="cs"/>
          <w:rtl/>
        </w:rPr>
        <w:t>]</w:t>
      </w:r>
      <w:r w:rsidRPr="005C21CD">
        <w:rPr>
          <w:vertAlign w:val="superscript"/>
          <w:rtl/>
        </w:rPr>
        <w:t>(</w:t>
      </w:r>
      <w:r w:rsidRPr="005C21CD">
        <w:rPr>
          <w:vertAlign w:val="superscript"/>
          <w:rtl/>
        </w:rPr>
        <w:footnoteReference w:id="1253"/>
      </w:r>
      <w:r w:rsidRPr="005C21CD">
        <w:rPr>
          <w:vertAlign w:val="superscript"/>
          <w:rtl/>
        </w:rPr>
        <w:t>)</w:t>
      </w:r>
      <w:r w:rsidRPr="005C21CD">
        <w:rPr>
          <w:rtl/>
        </w:rPr>
        <w:t>قبلَ الضِّراب</w:t>
      </w:r>
      <w:r w:rsidRPr="005C21CD">
        <w:rPr>
          <w:rFonts w:hint="cs"/>
          <w:rtl/>
        </w:rPr>
        <w:t xml:space="preserve"> </w:t>
      </w:r>
      <w:r w:rsidRPr="005C21CD">
        <w:rPr>
          <w:rtl/>
        </w:rPr>
        <w:t>السُّرَادِقا</w:t>
      </w:r>
      <w:r w:rsidRPr="005C21CD">
        <w:rPr>
          <w:vertAlign w:val="superscript"/>
          <w:rtl/>
        </w:rPr>
        <w:t>(</w:t>
      </w:r>
      <w:r w:rsidRPr="005C21CD">
        <w:rPr>
          <w:vertAlign w:val="superscript"/>
          <w:rtl/>
        </w:rPr>
        <w:footnoteReference w:id="1254"/>
      </w:r>
      <w:r w:rsidRPr="005C21CD">
        <w:rPr>
          <w:vertAlign w:val="superscript"/>
          <w:rtl/>
        </w:rPr>
        <w:t>)(</w:t>
      </w:r>
      <w:r w:rsidRPr="005C21CD">
        <w:rPr>
          <w:vertAlign w:val="superscript"/>
          <w:rtl/>
        </w:rPr>
        <w:footnoteReference w:id="1255"/>
      </w:r>
      <w:r w:rsidRPr="005C21CD">
        <w:rPr>
          <w:vertAlign w:val="superscript"/>
          <w:rtl/>
        </w:rPr>
        <w:t>)</w:t>
      </w:r>
    </w:p>
    <w:p w:rsidR="009F1F17" w:rsidRDefault="005C21CD" w:rsidP="005069F6">
      <w:pPr>
        <w:ind w:firstLine="0"/>
        <w:rPr>
          <w:rtl/>
        </w:rPr>
      </w:pPr>
      <w:r w:rsidRPr="005C21CD">
        <w:rPr>
          <w:rtl/>
        </w:rPr>
        <w:t>وفي المراد بهذا السُّرادق قولان: أحدهما: أنه سُرادق من نار، قاله ابن عباس</w:t>
      </w:r>
      <w:r w:rsidRPr="005C21CD">
        <w:rPr>
          <w:vertAlign w:val="superscript"/>
          <w:rtl/>
        </w:rPr>
        <w:t>(</w:t>
      </w:r>
      <w:r w:rsidRPr="005C21CD">
        <w:rPr>
          <w:vertAlign w:val="superscript"/>
          <w:rtl/>
        </w:rPr>
        <w:footnoteReference w:id="1256"/>
      </w:r>
      <w:r w:rsidRPr="005C21CD">
        <w:rPr>
          <w:vertAlign w:val="superscript"/>
          <w:rtl/>
        </w:rPr>
        <w:t>)</w:t>
      </w:r>
      <w:r w:rsidRPr="005C21CD">
        <w:rPr>
          <w:rtl/>
        </w:rPr>
        <w:t>.</w:t>
      </w:r>
      <w:r w:rsidRPr="005C21CD">
        <w:rPr>
          <w:rFonts w:hint="cs"/>
          <w:rtl/>
        </w:rPr>
        <w:t xml:space="preserve"> </w:t>
      </w:r>
      <w:r w:rsidRPr="005C21CD">
        <w:rPr>
          <w:rtl/>
        </w:rPr>
        <w:t>روى أبو سعيد الخدري</w:t>
      </w:r>
      <w:r w:rsidRPr="005C21CD">
        <w:rPr>
          <w:vertAlign w:val="superscript"/>
          <w:rtl/>
        </w:rPr>
        <w:t>(</w:t>
      </w:r>
      <w:r w:rsidRPr="005C21CD">
        <w:rPr>
          <w:vertAlign w:val="superscript"/>
          <w:rtl/>
        </w:rPr>
        <w:footnoteReference w:id="1257"/>
      </w:r>
      <w:r w:rsidRPr="005C21CD">
        <w:rPr>
          <w:vertAlign w:val="superscript"/>
          <w:rtl/>
        </w:rPr>
        <w:t>)</w:t>
      </w:r>
      <w:r w:rsidRPr="005C21CD">
        <w:rPr>
          <w:rtl/>
        </w:rPr>
        <w:t>عن رسول الله</w:t>
      </w:r>
      <w:r w:rsidRPr="005C21CD">
        <w:rPr>
          <w:rFonts w:hint="cs"/>
          <w:rtl/>
        </w:rPr>
        <w:t xml:space="preserve"> </w:t>
      </w:r>
      <w:r w:rsidRPr="005C21CD">
        <w:sym w:font="AGA Arabesque" w:char="F072"/>
      </w:r>
      <w:r w:rsidRPr="005C21CD">
        <w:rPr>
          <w:rtl/>
        </w:rPr>
        <w:t xml:space="preserve"> أنه قال: «لِسُرادِق النار أربعةُ </w:t>
      </w:r>
      <w:r w:rsidRPr="005C21CD">
        <w:rPr>
          <w:sz w:val="32"/>
          <w:szCs w:val="32"/>
          <w:rtl/>
        </w:rPr>
        <w:t>جُدُرٍ كُثُفٌ</w:t>
      </w:r>
      <w:r w:rsidRPr="005C21CD">
        <w:rPr>
          <w:rtl/>
        </w:rPr>
        <w:t xml:space="preserve">، كلُّ جدار منها مسيرة </w:t>
      </w:r>
    </w:p>
    <w:p w:rsidR="00205C94" w:rsidRDefault="00205C94" w:rsidP="005C21CD">
      <w:pPr>
        <w:ind w:firstLine="0"/>
        <w:rPr>
          <w:rtl/>
        </w:rPr>
      </w:pPr>
    </w:p>
    <w:p w:rsidR="00205C94" w:rsidRDefault="00205C94" w:rsidP="005C21CD">
      <w:pPr>
        <w:ind w:firstLine="0"/>
        <w:rPr>
          <w:rtl/>
        </w:rPr>
      </w:pPr>
    </w:p>
    <w:p w:rsidR="00205C94" w:rsidRDefault="00205C94" w:rsidP="005C21CD">
      <w:pPr>
        <w:ind w:firstLine="0"/>
        <w:rPr>
          <w:rtl/>
        </w:rPr>
      </w:pPr>
    </w:p>
    <w:p w:rsidR="00205C94" w:rsidRDefault="00205C94" w:rsidP="005C21CD">
      <w:pPr>
        <w:ind w:firstLine="0"/>
        <w:rPr>
          <w:rtl/>
        </w:rPr>
      </w:pPr>
    </w:p>
    <w:p w:rsidR="00E14A40" w:rsidRDefault="005C21CD" w:rsidP="00E14A40">
      <w:pPr>
        <w:ind w:firstLine="0"/>
        <w:rPr>
          <w:rFonts w:ascii="Traditional Arabic" w:hAnsi="Traditional Arabic"/>
          <w:rtl/>
        </w:rPr>
      </w:pPr>
      <w:r w:rsidRPr="005C21CD">
        <w:rPr>
          <w:rtl/>
        </w:rPr>
        <w:lastRenderedPageBreak/>
        <w:t>أربعين سنة»</w:t>
      </w:r>
      <w:r w:rsidRPr="005C21CD">
        <w:rPr>
          <w:vertAlign w:val="superscript"/>
          <w:rtl/>
        </w:rPr>
        <w:t>(</w:t>
      </w:r>
      <w:r w:rsidRPr="005C21CD">
        <w:rPr>
          <w:vertAlign w:val="superscript"/>
          <w:rtl/>
        </w:rPr>
        <w:footnoteReference w:id="1258"/>
      </w:r>
      <w:r w:rsidRPr="005C21CD">
        <w:rPr>
          <w:vertAlign w:val="superscript"/>
          <w:rtl/>
        </w:rPr>
        <w:t>)</w:t>
      </w:r>
      <w:r w:rsidRPr="005C21CD">
        <w:rPr>
          <w:rtl/>
        </w:rPr>
        <w:t>. وفي رواية أبي صالح عن ابن عباس، قال: السرادق: لسان من النار، يخرج من النار فيحيط بهم حتى يفرغ من حسابهم</w:t>
      </w:r>
      <w:r w:rsidRPr="005C21CD">
        <w:rPr>
          <w:vertAlign w:val="superscript"/>
          <w:rtl/>
        </w:rPr>
        <w:t>(</w:t>
      </w:r>
      <w:r w:rsidRPr="005C21CD">
        <w:rPr>
          <w:vertAlign w:val="superscript"/>
          <w:rtl/>
        </w:rPr>
        <w:footnoteReference w:id="1259"/>
      </w:r>
      <w:r w:rsidRPr="005C21CD">
        <w:rPr>
          <w:vertAlign w:val="superscript"/>
          <w:rtl/>
        </w:rPr>
        <w:t>)</w:t>
      </w:r>
      <w:r w:rsidRPr="005C21CD">
        <w:rPr>
          <w:rtl/>
        </w:rPr>
        <w:t>.</w:t>
      </w:r>
      <w:r w:rsidR="00E14A40">
        <w:rPr>
          <w:rFonts w:ascii="Traditional Arabic" w:hAnsi="Traditional Arabic" w:hint="cs"/>
          <w:rtl/>
        </w:rPr>
        <w:t xml:space="preserve"> </w:t>
      </w:r>
      <w:r w:rsidR="00DC21B6" w:rsidRPr="00DC21B6">
        <w:rPr>
          <w:rFonts w:ascii="Traditional Arabic" w:hAnsi="Traditional Arabic"/>
          <w:rtl/>
        </w:rPr>
        <w:t>والثاني: أنه دخان يحيط بالكفار يوم القيامة، وهو الظِّل ذو ثلاث شعب الذي ذكره الله تعالى في المرسلات</w:t>
      </w:r>
      <w:r w:rsidR="00DC21B6" w:rsidRPr="00DC21B6">
        <w:rPr>
          <w:vertAlign w:val="superscript"/>
          <w:rtl/>
        </w:rPr>
        <w:t>(</w:t>
      </w:r>
      <w:r w:rsidR="00DC21B6" w:rsidRPr="00DC21B6">
        <w:rPr>
          <w:vertAlign w:val="superscript"/>
          <w:rtl/>
        </w:rPr>
        <w:footnoteReference w:id="1260"/>
      </w:r>
      <w:r w:rsidR="00DC21B6" w:rsidRPr="00DC21B6">
        <w:rPr>
          <w:vertAlign w:val="superscript"/>
          <w:rtl/>
        </w:rPr>
        <w:t>)</w:t>
      </w:r>
      <w:r w:rsidR="00DC21B6" w:rsidRPr="00DC21B6">
        <w:rPr>
          <w:rFonts w:ascii="Traditional Arabic" w:hAnsi="Traditional Arabic"/>
          <w:rtl/>
        </w:rPr>
        <w:t>، قاله ابن قتيبة</w:t>
      </w:r>
      <w:r w:rsidR="00DC21B6" w:rsidRPr="00DC21B6">
        <w:rPr>
          <w:vertAlign w:val="superscript"/>
          <w:rtl/>
        </w:rPr>
        <w:t>(</w:t>
      </w:r>
      <w:r w:rsidR="00DC21B6" w:rsidRPr="00DC21B6">
        <w:rPr>
          <w:vertAlign w:val="superscript"/>
          <w:rtl/>
        </w:rPr>
        <w:footnoteReference w:id="1261"/>
      </w:r>
      <w:r w:rsidR="00DC21B6" w:rsidRPr="00DC21B6">
        <w:rPr>
          <w:vertAlign w:val="superscript"/>
          <w:rtl/>
        </w:rPr>
        <w:t>)</w:t>
      </w:r>
      <w:r w:rsidR="00DC21B6" w:rsidRPr="00DC21B6">
        <w:rPr>
          <w:rFonts w:ascii="Traditional Arabic" w:hAnsi="Traditional Arabic"/>
          <w:rtl/>
        </w:rPr>
        <w:t>.</w:t>
      </w:r>
      <w:r w:rsidR="00DC21B6" w:rsidRPr="00DC21B6">
        <w:rPr>
          <w:rFonts w:ascii="Traditional Arabic" w:hAnsi="Traditional Arabic" w:hint="cs"/>
          <w:rtl/>
        </w:rPr>
        <w:t xml:space="preserve"> </w:t>
      </w:r>
      <w:r w:rsidR="00DC21B6" w:rsidRPr="00DC21B6">
        <w:rPr>
          <w:rFonts w:ascii="Traditional Arabic" w:hAnsi="Traditional Arabic"/>
          <w:rtl/>
        </w:rPr>
        <w:t xml:space="preserve">قوله تعالى: </w:t>
      </w:r>
      <w:r w:rsidR="00DC21B6" w:rsidRPr="00DC21B6">
        <w:rPr>
          <w:rFonts w:ascii="QCF_BSML" w:hAnsi="QCF_BSML" w:cs="QCF_BSML"/>
          <w:color w:val="auto"/>
          <w:sz w:val="32"/>
          <w:szCs w:val="32"/>
          <w:rtl/>
          <w:lang w:eastAsia="en-US"/>
        </w:rPr>
        <w:t>ﭽ</w:t>
      </w:r>
      <w:r w:rsidR="00DC21B6" w:rsidRPr="00DC21B6">
        <w:rPr>
          <w:rFonts w:ascii="QCF_P297" w:hAnsi="QCF_P297" w:cs="QCF_P297"/>
          <w:color w:val="auto"/>
          <w:sz w:val="32"/>
          <w:szCs w:val="32"/>
          <w:rtl/>
          <w:lang w:eastAsia="en-US"/>
        </w:rPr>
        <w:t>ﮆ  ﮇ</w:t>
      </w:r>
      <w:r w:rsidR="00DC21B6" w:rsidRPr="00DC21B6">
        <w:rPr>
          <w:rFonts w:ascii="QCF_BSML" w:hAnsi="QCF_BSML" w:cs="QCF_BSML"/>
          <w:color w:val="auto"/>
          <w:sz w:val="32"/>
          <w:szCs w:val="32"/>
          <w:rtl/>
          <w:lang w:eastAsia="en-US"/>
        </w:rPr>
        <w:t>ﭼ</w:t>
      </w:r>
      <w:r w:rsidR="00DC21B6" w:rsidRPr="00DC21B6">
        <w:rPr>
          <w:rFonts w:ascii="Traditional Arabic" w:hAnsi="Traditional Arabic"/>
          <w:rtl/>
        </w:rPr>
        <w:t xml:space="preserve"> أي: مما هم فيه من العذاب وشدة العطش</w:t>
      </w:r>
      <w:r w:rsidR="00DC21B6" w:rsidRPr="00DC21B6">
        <w:rPr>
          <w:vertAlign w:val="superscript"/>
          <w:rtl/>
        </w:rPr>
        <w:t>(</w:t>
      </w:r>
      <w:r w:rsidR="00DC21B6" w:rsidRPr="00DC21B6">
        <w:rPr>
          <w:vertAlign w:val="superscript"/>
          <w:rtl/>
        </w:rPr>
        <w:footnoteReference w:id="1262"/>
      </w:r>
      <w:r w:rsidR="00DC21B6" w:rsidRPr="00DC21B6">
        <w:rPr>
          <w:vertAlign w:val="superscript"/>
          <w:rtl/>
        </w:rPr>
        <w:t>)</w:t>
      </w:r>
      <w:r w:rsidR="00DC21B6" w:rsidRPr="00DC21B6">
        <w:rPr>
          <w:rFonts w:ascii="QCF_BSML" w:hAnsi="QCF_BSML" w:cs="QCF_BSML"/>
          <w:color w:val="auto"/>
          <w:sz w:val="32"/>
          <w:szCs w:val="32"/>
          <w:rtl/>
          <w:lang w:eastAsia="en-US"/>
        </w:rPr>
        <w:t xml:space="preserve"> ﭽ</w:t>
      </w:r>
      <w:r w:rsidR="00DC21B6" w:rsidRPr="00DC21B6">
        <w:rPr>
          <w:rFonts w:ascii="QCF_BSML" w:hAnsi="QCF_BSML" w:cs="QCF_BSML" w:hint="cs"/>
          <w:color w:val="auto"/>
          <w:sz w:val="32"/>
          <w:szCs w:val="32"/>
          <w:rtl/>
          <w:lang w:eastAsia="en-US"/>
        </w:rPr>
        <w:t xml:space="preserve"> </w:t>
      </w:r>
      <w:r w:rsidR="00DC21B6" w:rsidRPr="00DC21B6">
        <w:rPr>
          <w:rFonts w:ascii="QCF_P297" w:hAnsi="QCF_P297" w:cs="QCF_P297"/>
          <w:color w:val="auto"/>
          <w:sz w:val="32"/>
          <w:szCs w:val="32"/>
          <w:rtl/>
          <w:lang w:eastAsia="en-US"/>
        </w:rPr>
        <w:t xml:space="preserve">ﮈ  ﮉ  ﮊ </w:t>
      </w:r>
      <w:r w:rsidR="00DC21B6" w:rsidRPr="00DC21B6">
        <w:rPr>
          <w:rFonts w:ascii="QCF_BSML" w:hAnsi="QCF_BSML" w:cs="QCF_BSML"/>
          <w:color w:val="auto"/>
          <w:sz w:val="32"/>
          <w:szCs w:val="32"/>
          <w:rtl/>
          <w:lang w:eastAsia="en-US"/>
        </w:rPr>
        <w:t>ﭼ</w:t>
      </w:r>
      <w:r w:rsidR="00DC21B6" w:rsidRPr="00DC21B6">
        <w:rPr>
          <w:rFonts w:ascii="QCF_P297" w:hAnsi="QCF_P297" w:cs="QCF_P297"/>
          <w:color w:val="auto"/>
          <w:sz w:val="32"/>
          <w:szCs w:val="32"/>
          <w:rtl/>
          <w:lang w:eastAsia="en-US"/>
        </w:rPr>
        <w:t xml:space="preserve">   </w:t>
      </w:r>
      <w:r w:rsidR="00DC21B6" w:rsidRPr="00DC21B6">
        <w:rPr>
          <w:rFonts w:ascii="Traditional Arabic" w:hAnsi="Traditional Arabic"/>
          <w:rtl/>
        </w:rPr>
        <w:t>وفيه سبعة أقوال: أحدها: أنه ماءٌ غليظٌ كدُرْدِيِّ الزيت</w:t>
      </w:r>
      <w:r w:rsidR="00DC21B6" w:rsidRPr="00DC21B6">
        <w:rPr>
          <w:vertAlign w:val="superscript"/>
          <w:rtl/>
        </w:rPr>
        <w:t>(</w:t>
      </w:r>
      <w:r w:rsidR="00DC21B6" w:rsidRPr="00DC21B6">
        <w:rPr>
          <w:vertAlign w:val="superscript"/>
          <w:rtl/>
        </w:rPr>
        <w:footnoteReference w:id="1263"/>
      </w:r>
      <w:r w:rsidR="00DC21B6" w:rsidRPr="00DC21B6">
        <w:rPr>
          <w:vertAlign w:val="superscript"/>
          <w:rtl/>
        </w:rPr>
        <w:t>)</w:t>
      </w:r>
      <w:r w:rsidR="00DC21B6" w:rsidRPr="00DC21B6">
        <w:rPr>
          <w:rFonts w:ascii="Traditional Arabic" w:hAnsi="Traditional Arabic"/>
          <w:rtl/>
        </w:rPr>
        <w:t>، رواه العوفي عن ابن عباس</w:t>
      </w:r>
      <w:r w:rsidR="00DC21B6" w:rsidRPr="00DC21B6">
        <w:rPr>
          <w:vertAlign w:val="superscript"/>
          <w:rtl/>
        </w:rPr>
        <w:t>(</w:t>
      </w:r>
      <w:r w:rsidR="00DC21B6" w:rsidRPr="00DC21B6">
        <w:rPr>
          <w:vertAlign w:val="superscript"/>
          <w:rtl/>
        </w:rPr>
        <w:footnoteReference w:id="1264"/>
      </w:r>
      <w:r w:rsidR="00DC21B6" w:rsidRPr="00DC21B6">
        <w:rPr>
          <w:vertAlign w:val="superscript"/>
          <w:rtl/>
        </w:rPr>
        <w:t>)</w:t>
      </w:r>
      <w:r w:rsidR="00DC21B6" w:rsidRPr="00DC21B6">
        <w:rPr>
          <w:rFonts w:ascii="Traditional Arabic" w:hAnsi="Traditional Arabic"/>
          <w:rtl/>
        </w:rPr>
        <w:t xml:space="preserve">. والثاني: أنه كل شيء أذيب حتى </w:t>
      </w:r>
      <w:r w:rsidR="00DC21B6" w:rsidRPr="00DC21B6">
        <w:rPr>
          <w:rFonts w:ascii="Traditional Arabic" w:hAnsi="Traditional Arabic" w:hint="cs"/>
          <w:rtl/>
        </w:rPr>
        <w:t>[</w:t>
      </w:r>
      <w:r w:rsidR="00DC21B6" w:rsidRPr="00DC21B6">
        <w:rPr>
          <w:rFonts w:ascii="Traditional Arabic" w:hAnsi="Traditional Arabic"/>
          <w:rtl/>
        </w:rPr>
        <w:t>انماع</w:t>
      </w:r>
      <w:r w:rsidR="00DC21B6" w:rsidRPr="00DC21B6">
        <w:rPr>
          <w:rFonts w:ascii="Traditional Arabic" w:hAnsi="Traditional Arabic" w:hint="cs"/>
          <w:rtl/>
        </w:rPr>
        <w:t>]</w:t>
      </w:r>
      <w:r w:rsidR="00DC21B6" w:rsidRPr="00DC21B6">
        <w:rPr>
          <w:rFonts w:ascii="Traditional Arabic" w:hAnsi="Traditional Arabic"/>
          <w:color w:val="auto"/>
          <w:vertAlign w:val="superscript"/>
        </w:rPr>
        <w:t>(</w:t>
      </w:r>
      <w:r w:rsidR="00DC21B6" w:rsidRPr="00DC21B6">
        <w:rPr>
          <w:rFonts w:ascii="Traditional Arabic" w:hAnsi="Traditional Arabic"/>
          <w:color w:val="auto"/>
          <w:vertAlign w:val="superscript"/>
        </w:rPr>
        <w:footnoteReference w:id="1265"/>
      </w:r>
      <w:r w:rsidR="00DC21B6" w:rsidRPr="00DC21B6">
        <w:rPr>
          <w:rFonts w:ascii="Traditional Arabic" w:hAnsi="Traditional Arabic"/>
          <w:color w:val="auto"/>
          <w:vertAlign w:val="superscript"/>
        </w:rPr>
        <w:t>)</w:t>
      </w:r>
      <w:r w:rsidR="00DC21B6" w:rsidRPr="00DC21B6">
        <w:rPr>
          <w:rFonts w:ascii="Traditional Arabic" w:hAnsi="Traditional Arabic"/>
          <w:color w:val="auto"/>
          <w:vertAlign w:val="superscript"/>
          <w:rtl/>
        </w:rPr>
        <w:t>(</w:t>
      </w:r>
      <w:r w:rsidR="00DC21B6" w:rsidRPr="00DC21B6">
        <w:rPr>
          <w:rFonts w:ascii="Traditional Arabic" w:hAnsi="Traditional Arabic"/>
          <w:color w:val="auto"/>
          <w:vertAlign w:val="superscript"/>
          <w:rtl/>
        </w:rPr>
        <w:footnoteReference w:id="1266"/>
      </w:r>
      <w:r w:rsidR="00DC21B6" w:rsidRPr="00DC21B6">
        <w:rPr>
          <w:rFonts w:ascii="Traditional Arabic" w:hAnsi="Traditional Arabic"/>
          <w:color w:val="auto"/>
          <w:vertAlign w:val="superscript"/>
          <w:rtl/>
        </w:rPr>
        <w:t>)</w:t>
      </w:r>
      <w:r w:rsidR="00DC21B6" w:rsidRPr="00DC21B6">
        <w:rPr>
          <w:rFonts w:ascii="Traditional Arabic" w:hAnsi="Traditional Arabic"/>
          <w:rtl/>
        </w:rPr>
        <w:t>، قاله ابن مسعود</w:t>
      </w:r>
      <w:r w:rsidR="00DC21B6" w:rsidRPr="00DC21B6">
        <w:rPr>
          <w:vertAlign w:val="superscript"/>
          <w:rtl/>
        </w:rPr>
        <w:t>(</w:t>
      </w:r>
      <w:r w:rsidR="00DC21B6" w:rsidRPr="00DC21B6">
        <w:rPr>
          <w:vertAlign w:val="superscript"/>
          <w:rtl/>
        </w:rPr>
        <w:footnoteReference w:id="1267"/>
      </w:r>
      <w:r w:rsidR="00DC21B6" w:rsidRPr="00DC21B6">
        <w:rPr>
          <w:vertAlign w:val="superscript"/>
          <w:rtl/>
        </w:rPr>
        <w:t>)</w:t>
      </w:r>
      <w:r w:rsidR="00DC21B6" w:rsidRPr="00DC21B6">
        <w:rPr>
          <w:rFonts w:ascii="Traditional Arabic" w:hAnsi="Traditional Arabic"/>
          <w:rtl/>
        </w:rPr>
        <w:t xml:space="preserve">، وقال أبو عبيدة، والزجّاج: كل شيء </w:t>
      </w:r>
      <w:r w:rsidR="00DC21B6" w:rsidRPr="00DC21B6">
        <w:rPr>
          <w:rFonts w:ascii="Traditional Arabic" w:hAnsi="Traditional Arabic"/>
          <w:rtl/>
        </w:rPr>
        <w:lastRenderedPageBreak/>
        <w:t>أذبته من نحاس أو رصاص أو نحو ذلك، فهو مُهل</w:t>
      </w:r>
      <w:r w:rsidR="00DC21B6" w:rsidRPr="00DC21B6">
        <w:rPr>
          <w:vertAlign w:val="superscript"/>
          <w:rtl/>
        </w:rPr>
        <w:t>(</w:t>
      </w:r>
      <w:r w:rsidR="00DC21B6" w:rsidRPr="00DC21B6">
        <w:rPr>
          <w:vertAlign w:val="superscript"/>
          <w:rtl/>
        </w:rPr>
        <w:footnoteReference w:id="1268"/>
      </w:r>
      <w:r w:rsidR="00DC21B6" w:rsidRPr="00DC21B6">
        <w:rPr>
          <w:vertAlign w:val="superscript"/>
          <w:rtl/>
        </w:rPr>
        <w:t>)</w:t>
      </w:r>
      <w:r w:rsidR="00DC21B6" w:rsidRPr="00DC21B6">
        <w:rPr>
          <w:rFonts w:ascii="Traditional Arabic" w:hAnsi="Traditional Arabic"/>
          <w:rtl/>
        </w:rPr>
        <w:t>. والثالث: قيح ودم أسود كعكر الزيت، قاله مجاهد</w:t>
      </w:r>
      <w:r w:rsidR="00DC21B6" w:rsidRPr="00DC21B6">
        <w:rPr>
          <w:vertAlign w:val="superscript"/>
          <w:rtl/>
        </w:rPr>
        <w:t>(</w:t>
      </w:r>
      <w:r w:rsidR="00DC21B6" w:rsidRPr="00DC21B6">
        <w:rPr>
          <w:vertAlign w:val="superscript"/>
          <w:rtl/>
        </w:rPr>
        <w:footnoteReference w:id="1269"/>
      </w:r>
      <w:r w:rsidR="00DC21B6" w:rsidRPr="00DC21B6">
        <w:rPr>
          <w:vertAlign w:val="superscript"/>
          <w:rtl/>
        </w:rPr>
        <w:t>)</w:t>
      </w:r>
      <w:r w:rsidR="00DC21B6" w:rsidRPr="00DC21B6">
        <w:rPr>
          <w:rFonts w:ascii="Traditional Arabic" w:hAnsi="Traditional Arabic"/>
          <w:rtl/>
        </w:rPr>
        <w:t>. والرابع:</w:t>
      </w:r>
      <w:r w:rsidR="00DC21B6" w:rsidRPr="00DC21B6">
        <w:rPr>
          <w:rFonts w:ascii="Traditional Arabic" w:hAnsi="Traditional Arabic" w:hint="cs"/>
          <w:sz w:val="32"/>
          <w:szCs w:val="32"/>
          <w:rtl/>
        </w:rPr>
        <w:t xml:space="preserve"> [118]</w:t>
      </w:r>
      <w:r w:rsidR="00DC21B6" w:rsidRPr="00DC21B6">
        <w:rPr>
          <w:rFonts w:ascii="Traditional Arabic" w:hAnsi="Traditional Arabic"/>
          <w:rtl/>
        </w:rPr>
        <w:t xml:space="preserve"> أنه الفضة والرصاص يذابان، روي عن مجاهد أيضاً</w:t>
      </w:r>
      <w:r w:rsidR="00DC21B6" w:rsidRPr="00DC21B6">
        <w:rPr>
          <w:vertAlign w:val="superscript"/>
          <w:rtl/>
        </w:rPr>
        <w:t>(</w:t>
      </w:r>
      <w:r w:rsidR="00DC21B6" w:rsidRPr="00DC21B6">
        <w:rPr>
          <w:vertAlign w:val="superscript"/>
          <w:rtl/>
        </w:rPr>
        <w:footnoteReference w:id="1270"/>
      </w:r>
      <w:r w:rsidR="00DC21B6" w:rsidRPr="00DC21B6">
        <w:rPr>
          <w:vertAlign w:val="superscript"/>
          <w:rtl/>
        </w:rPr>
        <w:t>)</w:t>
      </w:r>
      <w:r w:rsidR="00DC21B6" w:rsidRPr="00DC21B6">
        <w:rPr>
          <w:rFonts w:ascii="Traditional Arabic" w:hAnsi="Traditional Arabic"/>
          <w:rtl/>
        </w:rPr>
        <w:t xml:space="preserve">. والخامس: أنه الذي </w:t>
      </w:r>
      <w:r w:rsidR="00DC21B6" w:rsidRPr="00DC21B6">
        <w:rPr>
          <w:rFonts w:ascii="Traditional Arabic" w:hAnsi="Traditional Arabic" w:hint="cs"/>
          <w:rtl/>
        </w:rPr>
        <w:t>[</w:t>
      </w:r>
      <w:r w:rsidR="00DC21B6" w:rsidRPr="00DC21B6">
        <w:rPr>
          <w:rFonts w:ascii="Traditional Arabic" w:hAnsi="Traditional Arabic"/>
          <w:rtl/>
        </w:rPr>
        <w:t>قد</w:t>
      </w:r>
      <w:r w:rsidR="00DC21B6" w:rsidRPr="00DC21B6">
        <w:rPr>
          <w:rFonts w:ascii="Traditional Arabic" w:hAnsi="Traditional Arabic" w:hint="cs"/>
          <w:rtl/>
        </w:rPr>
        <w:t>]</w:t>
      </w:r>
      <w:r w:rsidR="00DC21B6" w:rsidRPr="00DC21B6">
        <w:rPr>
          <w:vertAlign w:val="superscript"/>
          <w:rtl/>
        </w:rPr>
        <w:t>(</w:t>
      </w:r>
      <w:r w:rsidR="00DC21B6" w:rsidRPr="00DC21B6">
        <w:rPr>
          <w:vertAlign w:val="superscript"/>
          <w:rtl/>
        </w:rPr>
        <w:footnoteReference w:id="1271"/>
      </w:r>
      <w:r w:rsidR="00DC21B6" w:rsidRPr="00DC21B6">
        <w:rPr>
          <w:vertAlign w:val="superscript"/>
          <w:rtl/>
        </w:rPr>
        <w:t>)</w:t>
      </w:r>
      <w:r w:rsidR="00DC21B6" w:rsidRPr="00DC21B6">
        <w:rPr>
          <w:rFonts w:ascii="Traditional Arabic" w:hAnsi="Traditional Arabic"/>
          <w:rtl/>
        </w:rPr>
        <w:t>انتهى حَرُّه، قاله سعيد بن جبير</w:t>
      </w:r>
      <w:r w:rsidR="00DC21B6" w:rsidRPr="00DC21B6">
        <w:rPr>
          <w:vertAlign w:val="superscript"/>
          <w:rtl/>
        </w:rPr>
        <w:t>(</w:t>
      </w:r>
      <w:r w:rsidR="00DC21B6" w:rsidRPr="00DC21B6">
        <w:rPr>
          <w:vertAlign w:val="superscript"/>
          <w:rtl/>
        </w:rPr>
        <w:footnoteReference w:id="1272"/>
      </w:r>
      <w:r w:rsidR="00DC21B6" w:rsidRPr="00DC21B6">
        <w:rPr>
          <w:vertAlign w:val="superscript"/>
          <w:rtl/>
        </w:rPr>
        <w:t>)</w:t>
      </w:r>
      <w:r w:rsidR="00DC21B6" w:rsidRPr="00DC21B6">
        <w:rPr>
          <w:rFonts w:ascii="Traditional Arabic" w:hAnsi="Traditional Arabic"/>
          <w:rtl/>
        </w:rPr>
        <w:t>.</w:t>
      </w:r>
      <w:r w:rsidR="00E14A40">
        <w:rPr>
          <w:rFonts w:ascii="Traditional Arabic" w:hAnsi="Traditional Arabic" w:hint="cs"/>
          <w:rtl/>
        </w:rPr>
        <w:t xml:space="preserve"> </w:t>
      </w:r>
      <w:r w:rsidR="00DC21B6" w:rsidRPr="00DC21B6">
        <w:rPr>
          <w:rFonts w:ascii="Traditional Arabic" w:hAnsi="Traditional Arabic"/>
          <w:rtl/>
        </w:rPr>
        <w:t>والسادس: أنه الصَّديد، ذكره ابن الأنباري</w:t>
      </w:r>
      <w:r w:rsidR="00DC21B6" w:rsidRPr="00DC21B6">
        <w:rPr>
          <w:vertAlign w:val="superscript"/>
          <w:rtl/>
        </w:rPr>
        <w:t>(</w:t>
      </w:r>
      <w:r w:rsidR="00DC21B6" w:rsidRPr="00DC21B6">
        <w:rPr>
          <w:vertAlign w:val="superscript"/>
          <w:rtl/>
        </w:rPr>
        <w:footnoteReference w:id="1273"/>
      </w:r>
      <w:r w:rsidR="00DC21B6" w:rsidRPr="00DC21B6">
        <w:rPr>
          <w:vertAlign w:val="superscript"/>
          <w:rtl/>
        </w:rPr>
        <w:t>)</w:t>
      </w:r>
      <w:r w:rsidR="00DC21B6" w:rsidRPr="00DC21B6">
        <w:rPr>
          <w:rFonts w:ascii="Traditional Arabic" w:hAnsi="Traditional Arabic"/>
          <w:rtl/>
        </w:rPr>
        <w:t>. قال مُغيث بن سُمي</w:t>
      </w:r>
      <w:r w:rsidR="00DC21B6" w:rsidRPr="00DC21B6">
        <w:rPr>
          <w:vertAlign w:val="superscript"/>
          <w:rtl/>
        </w:rPr>
        <w:t>(</w:t>
      </w:r>
      <w:r w:rsidR="00DC21B6" w:rsidRPr="00DC21B6">
        <w:rPr>
          <w:vertAlign w:val="superscript"/>
          <w:rtl/>
        </w:rPr>
        <w:footnoteReference w:id="1274"/>
      </w:r>
      <w:r w:rsidR="00DC21B6" w:rsidRPr="00DC21B6">
        <w:rPr>
          <w:vertAlign w:val="superscript"/>
          <w:rtl/>
        </w:rPr>
        <w:t>)</w:t>
      </w:r>
      <w:r w:rsidR="00DC21B6" w:rsidRPr="00DC21B6">
        <w:rPr>
          <w:rFonts w:ascii="Traditional Arabic" w:hAnsi="Traditional Arabic"/>
          <w:rtl/>
        </w:rPr>
        <w:t xml:space="preserve">: هذا الماء هو ما يسيل من عَرَق أهل الموقف في الآخرة وبكائهم، وما </w:t>
      </w:r>
      <w:r w:rsidR="00DC21B6" w:rsidRPr="00DC21B6">
        <w:rPr>
          <w:rFonts w:ascii="Traditional Arabic" w:hAnsi="Traditional Arabic" w:hint="cs"/>
          <w:rtl/>
        </w:rPr>
        <w:t>[يج</w:t>
      </w:r>
      <w:r w:rsidR="00DC21B6" w:rsidRPr="00DC21B6">
        <w:rPr>
          <w:rFonts w:ascii="Traditional Arabic" w:hAnsi="Traditional Arabic"/>
          <w:rtl/>
        </w:rPr>
        <w:t>ري</w:t>
      </w:r>
      <w:r w:rsidR="00DC21B6" w:rsidRPr="00DC21B6">
        <w:rPr>
          <w:rFonts w:ascii="Traditional Arabic" w:hAnsi="Traditional Arabic" w:hint="cs"/>
          <w:rtl/>
        </w:rPr>
        <w:t>]</w:t>
      </w:r>
      <w:r w:rsidR="00DC21B6" w:rsidRPr="00DC21B6">
        <w:rPr>
          <w:vertAlign w:val="superscript"/>
          <w:rtl/>
        </w:rPr>
        <w:t>(</w:t>
      </w:r>
      <w:r w:rsidR="00DC21B6" w:rsidRPr="00DC21B6">
        <w:rPr>
          <w:vertAlign w:val="superscript"/>
          <w:rtl/>
        </w:rPr>
        <w:footnoteReference w:id="1275"/>
      </w:r>
      <w:r w:rsidR="00DC21B6" w:rsidRPr="00DC21B6">
        <w:rPr>
          <w:vertAlign w:val="superscript"/>
          <w:rtl/>
        </w:rPr>
        <w:t>)</w:t>
      </w:r>
      <w:r w:rsidR="00DC21B6" w:rsidRPr="00DC21B6">
        <w:rPr>
          <w:rFonts w:ascii="Traditional Arabic" w:hAnsi="Traditional Arabic"/>
          <w:rtl/>
        </w:rPr>
        <w:t>منهم من دم وقيح، يسيل ذلك إِلى وادٍ في جهنم، فتطبخه جهنم، فيكون أول ما يُغاث به أهل النار</w:t>
      </w:r>
      <w:r w:rsidR="00DC21B6" w:rsidRPr="00DC21B6">
        <w:rPr>
          <w:vertAlign w:val="superscript"/>
          <w:rtl/>
        </w:rPr>
        <w:t>(</w:t>
      </w:r>
      <w:r w:rsidR="00DC21B6" w:rsidRPr="00DC21B6">
        <w:rPr>
          <w:vertAlign w:val="superscript"/>
          <w:rtl/>
        </w:rPr>
        <w:footnoteReference w:id="1276"/>
      </w:r>
      <w:r w:rsidR="00DC21B6" w:rsidRPr="00DC21B6">
        <w:rPr>
          <w:vertAlign w:val="superscript"/>
          <w:rtl/>
        </w:rPr>
        <w:t>)</w:t>
      </w:r>
      <w:r w:rsidR="00DC21B6" w:rsidRPr="00DC21B6">
        <w:rPr>
          <w:rFonts w:ascii="Traditional Arabic" w:hAnsi="Traditional Arabic"/>
          <w:rtl/>
        </w:rPr>
        <w:t>. والسابع: أنّه الرّماد الذي ينفذ عن الخُبزة إِذا خرجت من التَّنُّور</w:t>
      </w:r>
      <w:r w:rsidR="00DC21B6" w:rsidRPr="00DC21B6">
        <w:rPr>
          <w:vertAlign w:val="superscript"/>
          <w:rtl/>
        </w:rPr>
        <w:t>(</w:t>
      </w:r>
      <w:r w:rsidR="00DC21B6" w:rsidRPr="00DC21B6">
        <w:rPr>
          <w:vertAlign w:val="superscript"/>
          <w:rtl/>
        </w:rPr>
        <w:footnoteReference w:id="1277"/>
      </w:r>
      <w:r w:rsidR="00DC21B6" w:rsidRPr="00DC21B6">
        <w:rPr>
          <w:vertAlign w:val="superscript"/>
          <w:rtl/>
        </w:rPr>
        <w:t>)</w:t>
      </w:r>
      <w:r w:rsidR="00DC21B6" w:rsidRPr="00DC21B6">
        <w:rPr>
          <w:rFonts w:ascii="Traditional Arabic" w:hAnsi="Traditional Arabic"/>
          <w:rtl/>
        </w:rPr>
        <w:t>، حكاه ابن الأنباري</w:t>
      </w:r>
      <w:r w:rsidR="00DC21B6" w:rsidRPr="00DC21B6">
        <w:rPr>
          <w:vertAlign w:val="superscript"/>
          <w:rtl/>
        </w:rPr>
        <w:t>(</w:t>
      </w:r>
      <w:r w:rsidR="00DC21B6" w:rsidRPr="00DC21B6">
        <w:rPr>
          <w:vertAlign w:val="superscript"/>
          <w:rtl/>
        </w:rPr>
        <w:footnoteReference w:id="1278"/>
      </w:r>
      <w:r w:rsidR="00DC21B6" w:rsidRPr="00DC21B6">
        <w:rPr>
          <w:vertAlign w:val="superscript"/>
          <w:rtl/>
        </w:rPr>
        <w:t>)</w:t>
      </w:r>
      <w:r w:rsidR="00DC21B6" w:rsidRPr="00DC21B6">
        <w:rPr>
          <w:rFonts w:ascii="Traditional Arabic" w:hAnsi="Traditional Arabic"/>
          <w:rtl/>
        </w:rPr>
        <w:t>.</w:t>
      </w:r>
      <w:r w:rsidR="00DC21B6" w:rsidRPr="00DC21B6">
        <w:rPr>
          <w:rFonts w:ascii="Traditional Arabic" w:hAnsi="Traditional Arabic" w:hint="cs"/>
          <w:rtl/>
        </w:rPr>
        <w:t xml:space="preserve"> </w:t>
      </w:r>
      <w:r w:rsidR="00DC21B6" w:rsidRPr="00DC21B6">
        <w:rPr>
          <w:rFonts w:ascii="Traditional Arabic" w:hAnsi="Traditional Arabic"/>
          <w:rtl/>
        </w:rPr>
        <w:t>قوله تعالى:</w:t>
      </w:r>
      <w:r w:rsidR="00DC21B6" w:rsidRPr="00DC21B6">
        <w:rPr>
          <w:rFonts w:ascii="QCF_BSML" w:hAnsi="QCF_BSML" w:cs="QCF_BSML"/>
          <w:color w:val="auto"/>
          <w:sz w:val="32"/>
          <w:szCs w:val="32"/>
          <w:rtl/>
          <w:lang w:eastAsia="en-US"/>
        </w:rPr>
        <w:t xml:space="preserve"> ﭽ</w:t>
      </w:r>
      <w:r w:rsidR="00DC21B6" w:rsidRPr="00DC21B6">
        <w:rPr>
          <w:rFonts w:ascii="Traditional Arabic" w:hAnsi="Traditional Arabic"/>
          <w:rtl/>
        </w:rPr>
        <w:t xml:space="preserve"> </w:t>
      </w:r>
      <w:r w:rsidR="00DC21B6" w:rsidRPr="00DC21B6">
        <w:rPr>
          <w:rFonts w:ascii="QCF_P297" w:hAnsi="QCF_P297" w:cs="QCF_P297"/>
          <w:color w:val="auto"/>
          <w:sz w:val="32"/>
          <w:szCs w:val="32"/>
          <w:rtl/>
          <w:lang w:eastAsia="en-US"/>
        </w:rPr>
        <w:t xml:space="preserve">ﮋ  ﮌﮍ </w:t>
      </w:r>
      <w:r w:rsidR="00DC21B6" w:rsidRPr="00DC21B6">
        <w:rPr>
          <w:rFonts w:ascii="QCF_BSML" w:hAnsi="QCF_BSML" w:cs="QCF_BSML"/>
          <w:color w:val="auto"/>
          <w:sz w:val="32"/>
          <w:szCs w:val="32"/>
          <w:rtl/>
          <w:lang w:eastAsia="en-US"/>
        </w:rPr>
        <w:t>ﭼ</w:t>
      </w:r>
      <w:r w:rsidR="00DC21B6" w:rsidRPr="00DC21B6">
        <w:rPr>
          <w:rFonts w:ascii="QCF_BSML" w:hAnsi="QCF_BSML" w:cs="QCF_BSML" w:hint="cs"/>
          <w:color w:val="auto"/>
          <w:sz w:val="32"/>
          <w:szCs w:val="32"/>
          <w:rtl/>
          <w:lang w:eastAsia="en-US"/>
        </w:rPr>
        <w:t xml:space="preserve">    </w:t>
      </w:r>
      <w:r w:rsidR="00DC21B6" w:rsidRPr="00DC21B6">
        <w:rPr>
          <w:rFonts w:ascii="Traditional Arabic" w:hAnsi="Traditional Arabic"/>
          <w:rtl/>
        </w:rPr>
        <w:t>قال</w:t>
      </w:r>
      <w:r w:rsidR="00DC21B6" w:rsidRPr="00DC21B6">
        <w:rPr>
          <w:rFonts w:ascii="Traditional Arabic" w:hAnsi="Traditional Arabic" w:hint="cs"/>
          <w:rtl/>
        </w:rPr>
        <w:t xml:space="preserve"> </w:t>
      </w:r>
      <w:r w:rsidR="00DC21B6" w:rsidRPr="00DC21B6">
        <w:rPr>
          <w:rFonts w:ascii="Traditional Arabic" w:hAnsi="Traditional Arabic"/>
          <w:rtl/>
        </w:rPr>
        <w:t xml:space="preserve">المفسرون: إِذا قرَّبه إِليه </w:t>
      </w:r>
    </w:p>
    <w:p w:rsidR="00E14A40" w:rsidRDefault="00E14A40" w:rsidP="00E14A40">
      <w:pPr>
        <w:ind w:firstLine="0"/>
        <w:rPr>
          <w:rFonts w:ascii="Traditional Arabic" w:hAnsi="Traditional Arabic"/>
          <w:rtl/>
        </w:rPr>
      </w:pPr>
    </w:p>
    <w:p w:rsidR="00E14A40" w:rsidRDefault="00E14A40" w:rsidP="00E14A40">
      <w:pPr>
        <w:ind w:firstLine="0"/>
        <w:rPr>
          <w:rFonts w:ascii="Traditional Arabic" w:hAnsi="Traditional Arabic"/>
          <w:rtl/>
        </w:rPr>
      </w:pPr>
    </w:p>
    <w:p w:rsidR="00DC21B6" w:rsidRPr="00DC21B6" w:rsidRDefault="00DC21B6" w:rsidP="00E14A40">
      <w:pPr>
        <w:ind w:firstLine="0"/>
        <w:rPr>
          <w:rFonts w:ascii="Traditional Arabic" w:hAnsi="Traditional Arabic"/>
          <w:rtl/>
        </w:rPr>
      </w:pPr>
      <w:r w:rsidRPr="00DC21B6">
        <w:rPr>
          <w:rFonts w:ascii="Traditional Arabic" w:hAnsi="Traditional Arabic"/>
          <w:rtl/>
        </w:rPr>
        <w:lastRenderedPageBreak/>
        <w:t>سقطت فروة وجهه فيه</w:t>
      </w:r>
      <w:r w:rsidRPr="00DC21B6">
        <w:rPr>
          <w:vertAlign w:val="superscript"/>
          <w:rtl/>
        </w:rPr>
        <w:t>(</w:t>
      </w:r>
      <w:r w:rsidRPr="00DC21B6">
        <w:rPr>
          <w:vertAlign w:val="superscript"/>
          <w:rtl/>
        </w:rPr>
        <w:footnoteReference w:id="1279"/>
      </w:r>
      <w:r w:rsidRPr="00DC21B6">
        <w:rPr>
          <w:vertAlign w:val="superscript"/>
          <w:rtl/>
        </w:rPr>
        <w:t>)</w:t>
      </w:r>
      <w:r w:rsidRPr="00DC21B6">
        <w:rPr>
          <w:rFonts w:ascii="Traditional Arabic" w:hAnsi="Traditional Arabic"/>
          <w:rtl/>
        </w:rPr>
        <w:t>. ثم ذمَّه، فقال</w:t>
      </w:r>
      <w:r w:rsidRPr="00DC21B6">
        <w:rPr>
          <w:rFonts w:ascii="QCF_BSML" w:hAnsi="QCF_BSML" w:cs="QCF_BSML"/>
          <w:color w:val="auto"/>
          <w:sz w:val="32"/>
          <w:szCs w:val="32"/>
          <w:rtl/>
          <w:lang w:eastAsia="en-US"/>
        </w:rPr>
        <w:t xml:space="preserve"> ﭽ</w:t>
      </w:r>
      <w:r w:rsidRPr="00DC21B6">
        <w:rPr>
          <w:rFonts w:ascii="Traditional Arabic" w:hAnsi="Traditional Arabic"/>
          <w:rtl/>
        </w:rPr>
        <w:t xml:space="preserve"> </w:t>
      </w:r>
      <w:r w:rsidRPr="00DC21B6">
        <w:rPr>
          <w:rFonts w:ascii="QCF_P297" w:hAnsi="QCF_P297" w:cs="QCF_P297"/>
          <w:color w:val="auto"/>
          <w:sz w:val="32"/>
          <w:szCs w:val="32"/>
          <w:rtl/>
          <w:lang w:eastAsia="en-US"/>
        </w:rPr>
        <w:t>ﮎ     ﮏ  ﮐ  ﮑ</w:t>
      </w:r>
      <w:r w:rsidRPr="00DC21B6">
        <w:rPr>
          <w:rFonts w:ascii="QCF_BSML" w:hAnsi="QCF_BSML" w:cs="QCF_BSML"/>
          <w:color w:val="auto"/>
          <w:sz w:val="32"/>
          <w:szCs w:val="32"/>
          <w:rtl/>
          <w:lang w:eastAsia="en-US"/>
        </w:rPr>
        <w:t>ﭼ</w:t>
      </w:r>
      <w:r w:rsidRPr="00DC21B6">
        <w:rPr>
          <w:rFonts w:ascii="Arial" w:hAnsi="Arial" w:cs="Arial"/>
          <w:color w:val="auto"/>
          <w:sz w:val="32"/>
          <w:szCs w:val="32"/>
          <w:rtl/>
          <w:lang w:eastAsia="en-US"/>
        </w:rPr>
        <w:t xml:space="preserve"> </w:t>
      </w:r>
      <w:r w:rsidRPr="00DC21B6">
        <w:rPr>
          <w:rFonts w:ascii="Traditional Arabic" w:hAnsi="Traditional Arabic"/>
          <w:rtl/>
        </w:rPr>
        <w:t>وفيه خمسة أقوال: أحدها: منزلاً، قاله ابن عباس</w:t>
      </w:r>
      <w:r w:rsidRPr="00DC21B6">
        <w:rPr>
          <w:vertAlign w:val="superscript"/>
          <w:rtl/>
        </w:rPr>
        <w:t>(</w:t>
      </w:r>
      <w:r w:rsidRPr="00DC21B6">
        <w:rPr>
          <w:vertAlign w:val="superscript"/>
          <w:rtl/>
        </w:rPr>
        <w:footnoteReference w:id="1280"/>
      </w:r>
      <w:r w:rsidRPr="00DC21B6">
        <w:rPr>
          <w:vertAlign w:val="superscript"/>
          <w:rtl/>
        </w:rPr>
        <w:t>)</w:t>
      </w:r>
      <w:r w:rsidRPr="00DC21B6">
        <w:rPr>
          <w:rFonts w:ascii="Traditional Arabic" w:hAnsi="Traditional Arabic"/>
          <w:rtl/>
        </w:rPr>
        <w:t>. والثاني:</w:t>
      </w:r>
      <w:r w:rsidRPr="00DC21B6">
        <w:rPr>
          <w:rFonts w:ascii="Traditional Arabic" w:hAnsi="Traditional Arabic" w:hint="cs"/>
          <w:rtl/>
        </w:rPr>
        <w:t xml:space="preserve"> </w:t>
      </w:r>
      <w:r w:rsidRPr="00DC21B6">
        <w:rPr>
          <w:rFonts w:ascii="Traditional Arabic" w:hAnsi="Traditional Arabic"/>
          <w:rtl/>
        </w:rPr>
        <w:t>مجتمعاً، قاله مجاهد</w:t>
      </w:r>
      <w:r w:rsidRPr="00DC21B6">
        <w:rPr>
          <w:vertAlign w:val="superscript"/>
          <w:rtl/>
        </w:rPr>
        <w:t>(</w:t>
      </w:r>
      <w:r w:rsidRPr="00DC21B6">
        <w:rPr>
          <w:vertAlign w:val="superscript"/>
          <w:rtl/>
        </w:rPr>
        <w:footnoteReference w:id="1281"/>
      </w:r>
      <w:r w:rsidRPr="00DC21B6">
        <w:rPr>
          <w:vertAlign w:val="superscript"/>
          <w:rtl/>
        </w:rPr>
        <w:t>)</w:t>
      </w:r>
      <w:r w:rsidRPr="00DC21B6">
        <w:rPr>
          <w:rFonts w:ascii="Traditional Arabic" w:hAnsi="Traditional Arabic"/>
          <w:rtl/>
        </w:rPr>
        <w:t>. والثالث: متَّكأً، قاله أبو عبيدة، وأنشد لأبي ذؤيب</w:t>
      </w:r>
      <w:r w:rsidRPr="00DC21B6">
        <w:rPr>
          <w:vertAlign w:val="superscript"/>
          <w:rtl/>
        </w:rPr>
        <w:t>(</w:t>
      </w:r>
      <w:r w:rsidRPr="00DC21B6">
        <w:rPr>
          <w:vertAlign w:val="superscript"/>
          <w:rtl/>
        </w:rPr>
        <w:footnoteReference w:id="1282"/>
      </w:r>
      <w:r w:rsidRPr="00DC21B6">
        <w:rPr>
          <w:vertAlign w:val="superscript"/>
          <w:rtl/>
        </w:rPr>
        <w:t>)</w:t>
      </w:r>
      <w:r w:rsidRPr="00DC21B6">
        <w:rPr>
          <w:rFonts w:ascii="Traditional Arabic" w:hAnsi="Traditional Arabic"/>
          <w:rtl/>
        </w:rPr>
        <w:t>:</w:t>
      </w:r>
    </w:p>
    <w:p w:rsidR="00DC21B6" w:rsidRPr="00DC21B6" w:rsidRDefault="00DC21B6" w:rsidP="00DC21B6">
      <w:pPr>
        <w:ind w:firstLine="0"/>
        <w:rPr>
          <w:rFonts w:ascii="Traditional Arabic" w:hAnsi="Traditional Arabic"/>
          <w:rtl/>
        </w:rPr>
      </w:pPr>
      <w:r w:rsidRPr="00DC21B6">
        <w:rPr>
          <w:rFonts w:ascii="Traditional Arabic" w:hAnsi="Traditional Arabic"/>
          <w:rtl/>
        </w:rPr>
        <w:t>إِني أرِقْت فبِتُّ اللَّيْلَ مُرْتَفِقاً ... كأنَّ عَيْنِيَ فِيها الصَّابُ مَذْبُوحُ</w:t>
      </w:r>
      <w:r w:rsidRPr="00DC21B6">
        <w:rPr>
          <w:vertAlign w:val="superscript"/>
          <w:rtl/>
        </w:rPr>
        <w:t>(</w:t>
      </w:r>
      <w:r w:rsidRPr="00DC21B6">
        <w:rPr>
          <w:vertAlign w:val="superscript"/>
          <w:rtl/>
        </w:rPr>
        <w:footnoteReference w:id="1283"/>
      </w:r>
      <w:r w:rsidRPr="00DC21B6">
        <w:rPr>
          <w:vertAlign w:val="superscript"/>
          <w:rtl/>
        </w:rPr>
        <w:t>)</w:t>
      </w:r>
    </w:p>
    <w:p w:rsidR="00DC21B6" w:rsidRPr="00DC21B6" w:rsidRDefault="00DC21B6" w:rsidP="00DC21B6">
      <w:pPr>
        <w:ind w:firstLine="0"/>
        <w:rPr>
          <w:rFonts w:ascii="Traditional Arabic" w:hAnsi="Traditional Arabic"/>
          <w:rtl/>
        </w:rPr>
      </w:pPr>
      <w:r w:rsidRPr="00DC21B6">
        <w:rPr>
          <w:rFonts w:ascii="Traditional Arabic" w:hAnsi="Traditional Arabic"/>
          <w:rtl/>
        </w:rPr>
        <w:t>وذبحه: انفجاره</w:t>
      </w:r>
      <w:r w:rsidRPr="00DC21B6">
        <w:rPr>
          <w:vertAlign w:val="superscript"/>
          <w:rtl/>
        </w:rPr>
        <w:t>(</w:t>
      </w:r>
      <w:r w:rsidRPr="00DC21B6">
        <w:rPr>
          <w:vertAlign w:val="superscript"/>
          <w:rtl/>
        </w:rPr>
        <w:footnoteReference w:id="1284"/>
      </w:r>
      <w:r w:rsidRPr="00DC21B6">
        <w:rPr>
          <w:vertAlign w:val="superscript"/>
          <w:rtl/>
        </w:rPr>
        <w:t>)</w:t>
      </w:r>
      <w:r w:rsidRPr="00DC21B6">
        <w:rPr>
          <w:rFonts w:hint="cs"/>
          <w:rtl/>
        </w:rPr>
        <w:t>.</w:t>
      </w:r>
      <w:r w:rsidRPr="00DC21B6">
        <w:rPr>
          <w:rFonts w:ascii="Traditional Arabic" w:hAnsi="Traditional Arabic"/>
          <w:rtl/>
        </w:rPr>
        <w:t xml:space="preserve">قال الزّجّاج: </w:t>
      </w:r>
      <w:r w:rsidRPr="00DC21B6">
        <w:rPr>
          <w:rFonts w:ascii="QCF_BSML" w:hAnsi="QCF_BSML" w:cs="QCF_BSML"/>
          <w:color w:val="auto"/>
          <w:sz w:val="32"/>
          <w:szCs w:val="32"/>
          <w:rtl/>
          <w:lang w:eastAsia="en-US"/>
        </w:rPr>
        <w:t>ﭽ</w:t>
      </w:r>
      <w:r w:rsidRPr="00DC21B6">
        <w:rPr>
          <w:rFonts w:ascii="QCF_P297" w:hAnsi="QCF_P297" w:cs="QCF_P297"/>
          <w:color w:val="auto"/>
          <w:sz w:val="32"/>
          <w:szCs w:val="32"/>
          <w:rtl/>
          <w:lang w:eastAsia="en-US"/>
        </w:rPr>
        <w:t xml:space="preserve"> ﮑ</w:t>
      </w:r>
      <w:r w:rsidRPr="00DC21B6">
        <w:rPr>
          <w:rFonts w:ascii="QCF_BSML" w:hAnsi="QCF_BSML" w:cs="QCF_BSML"/>
          <w:color w:val="auto"/>
          <w:sz w:val="32"/>
          <w:szCs w:val="32"/>
          <w:rtl/>
          <w:lang w:eastAsia="en-US"/>
        </w:rPr>
        <w:t>ﭼ</w:t>
      </w:r>
      <w:r w:rsidRPr="00DC21B6">
        <w:rPr>
          <w:rFonts w:ascii="Traditional Arabic" w:hAnsi="Traditional Arabic"/>
          <w:rtl/>
        </w:rPr>
        <w:t xml:space="preserve"> منصوب على التّمييز. أي متَّكأً على المِرفق</w:t>
      </w:r>
      <w:r w:rsidRPr="00DC21B6">
        <w:rPr>
          <w:vertAlign w:val="superscript"/>
          <w:rtl/>
        </w:rPr>
        <w:t>(</w:t>
      </w:r>
      <w:r w:rsidRPr="00DC21B6">
        <w:rPr>
          <w:vertAlign w:val="superscript"/>
          <w:rtl/>
        </w:rPr>
        <w:footnoteReference w:id="1285"/>
      </w:r>
      <w:r w:rsidRPr="00DC21B6">
        <w:rPr>
          <w:vertAlign w:val="superscript"/>
          <w:rtl/>
        </w:rPr>
        <w:t>)</w:t>
      </w:r>
      <w:r w:rsidRPr="00DC21B6">
        <w:rPr>
          <w:rFonts w:ascii="Traditional Arabic" w:hAnsi="Traditional Arabic"/>
          <w:rtl/>
        </w:rPr>
        <w:t>.</w:t>
      </w:r>
      <w:r w:rsidRPr="00DC21B6">
        <w:rPr>
          <w:rFonts w:ascii="Traditional Arabic" w:hAnsi="Traditional Arabic" w:hint="cs"/>
          <w:rtl/>
        </w:rPr>
        <w:t xml:space="preserve"> </w:t>
      </w:r>
      <w:r w:rsidRPr="00DC21B6">
        <w:rPr>
          <w:rFonts w:ascii="Traditional Arabic" w:hAnsi="Traditional Arabic"/>
          <w:rtl/>
        </w:rPr>
        <w:t>والرابع: ساءت مجلساً قاله ابن قتيبة</w:t>
      </w:r>
      <w:r w:rsidRPr="00DC21B6">
        <w:rPr>
          <w:vertAlign w:val="superscript"/>
          <w:rtl/>
        </w:rPr>
        <w:t>(</w:t>
      </w:r>
      <w:r w:rsidRPr="00DC21B6">
        <w:rPr>
          <w:vertAlign w:val="superscript"/>
          <w:rtl/>
        </w:rPr>
        <w:footnoteReference w:id="1286"/>
      </w:r>
      <w:r w:rsidRPr="00DC21B6">
        <w:rPr>
          <w:vertAlign w:val="superscript"/>
          <w:rtl/>
        </w:rPr>
        <w:t>)</w:t>
      </w:r>
      <w:r w:rsidRPr="00DC21B6">
        <w:rPr>
          <w:rFonts w:ascii="Traditional Arabic" w:hAnsi="Traditional Arabic"/>
          <w:rtl/>
        </w:rPr>
        <w:t xml:space="preserve">. والخامس: ساءت مطلباً للرفق، لأن من طلب رِفقاً من </w:t>
      </w:r>
      <w:r w:rsidRPr="00DC21B6">
        <w:rPr>
          <w:rFonts w:ascii="Traditional Arabic" w:hAnsi="Traditional Arabic"/>
          <w:rtl/>
        </w:rPr>
        <w:lastRenderedPageBreak/>
        <w:t>جهتها، عَدِمه، ذكره ابن الأنباري</w:t>
      </w:r>
      <w:r w:rsidRPr="00DC21B6">
        <w:rPr>
          <w:vertAlign w:val="superscript"/>
          <w:rtl/>
        </w:rPr>
        <w:t>(</w:t>
      </w:r>
      <w:r w:rsidRPr="00DC21B6">
        <w:rPr>
          <w:vertAlign w:val="superscript"/>
          <w:rtl/>
        </w:rPr>
        <w:footnoteReference w:id="1287"/>
      </w:r>
      <w:r w:rsidRPr="00DC21B6">
        <w:rPr>
          <w:vertAlign w:val="superscript"/>
          <w:rtl/>
        </w:rPr>
        <w:t>)</w:t>
      </w:r>
      <w:r w:rsidRPr="00DC21B6">
        <w:rPr>
          <w:rFonts w:ascii="Traditional Arabic" w:hAnsi="Traditional Arabic"/>
          <w:rtl/>
        </w:rPr>
        <w:t>. ومعاني هذه الأقوال تتقارب</w:t>
      </w:r>
      <w:r w:rsidRPr="00DC21B6">
        <w:rPr>
          <w:rFonts w:ascii="Traditional Arabic" w:hAnsi="Traditional Arabic" w:hint="cs"/>
          <w:rtl/>
        </w:rPr>
        <w:t>,</w:t>
      </w:r>
      <w:r w:rsidRPr="00DC21B6">
        <w:rPr>
          <w:rFonts w:ascii="Traditional Arabic" w:hAnsi="Traditional Arabic"/>
          <w:rtl/>
        </w:rPr>
        <w:t xml:space="preserve"> وأصل المرفق في اللغة: ما يرتفق به</w:t>
      </w:r>
      <w:r w:rsidRPr="00DC21B6">
        <w:rPr>
          <w:vertAlign w:val="superscript"/>
          <w:rtl/>
        </w:rPr>
        <w:t>(</w:t>
      </w:r>
      <w:r w:rsidRPr="00DC21B6">
        <w:rPr>
          <w:vertAlign w:val="superscript"/>
          <w:rtl/>
        </w:rPr>
        <w:footnoteReference w:id="1288"/>
      </w:r>
      <w:r w:rsidRPr="00DC21B6">
        <w:rPr>
          <w:vertAlign w:val="superscript"/>
          <w:rtl/>
        </w:rPr>
        <w:t>)</w:t>
      </w:r>
      <w:r w:rsidRPr="00DC21B6">
        <w:rPr>
          <w:rFonts w:ascii="Traditional Arabic" w:hAnsi="Traditional Arabic"/>
          <w:rtl/>
        </w:rPr>
        <w:t>.</w:t>
      </w:r>
    </w:p>
    <w:p w:rsidR="00DC21B6" w:rsidRPr="00DC21B6" w:rsidRDefault="00DC21B6" w:rsidP="00DC21B6">
      <w:pPr>
        <w:ind w:firstLine="0"/>
        <w:rPr>
          <w:rFonts w:ascii="Traditional Arabic" w:hAnsi="Traditional Arabic"/>
          <w:rtl/>
        </w:rPr>
      </w:pPr>
    </w:p>
    <w:p w:rsidR="00DC21B6" w:rsidRPr="00DC21B6" w:rsidRDefault="00DC21B6" w:rsidP="00DC21B6">
      <w:pPr>
        <w:ind w:firstLine="0"/>
        <w:rPr>
          <w:rFonts w:ascii="Traditional Arabic" w:hAnsi="Traditional Arabic"/>
          <w:color w:val="auto"/>
          <w:sz w:val="32"/>
          <w:szCs w:val="32"/>
          <w:rtl/>
        </w:rPr>
      </w:pPr>
      <w:r w:rsidRPr="00DC21B6">
        <w:rPr>
          <w:rFonts w:ascii="QCF_BSML" w:hAnsi="QCF_BSML" w:cs="QCF_BSML"/>
          <w:color w:val="auto"/>
          <w:sz w:val="32"/>
          <w:szCs w:val="32"/>
          <w:rtl/>
          <w:lang w:eastAsia="en-US"/>
        </w:rPr>
        <w:t xml:space="preserve">ﭽ </w:t>
      </w:r>
      <w:r w:rsidRPr="00DC21B6">
        <w:rPr>
          <w:rFonts w:ascii="QCF_P297" w:hAnsi="QCF_P297" w:cs="QCF_P297"/>
          <w:color w:val="auto"/>
          <w:sz w:val="32"/>
          <w:szCs w:val="32"/>
          <w:rtl/>
          <w:lang w:eastAsia="en-US"/>
        </w:rPr>
        <w:t>ﮓ  ﮔ  ﮕ  ﮖ   ﮗ  ﮘ  ﮙ  ﮚ  ﮛ  ﮜ  ﮝ  ﮞ  ﮟ  ﮠ   ﮡ  ﮢ  ﮣ  ﮤ  ﮥ  ﮦ  ﮧ     ﮨ  ﮩ  ﮪ  ﮫ   ﮬ  ﮭ  ﮮ  ﮯ  ﮰ  ﮱ  ﯓ  ﯔ  ﯕ   ﯖ  ﯗ  ﯘ</w:t>
      </w:r>
      <w:r w:rsidRPr="00DC21B6">
        <w:rPr>
          <w:rFonts w:ascii="QCF_P297" w:hAnsi="QCF_P297" w:cs="QCF_P297" w:hint="cs"/>
          <w:color w:val="auto"/>
          <w:sz w:val="32"/>
          <w:szCs w:val="32"/>
          <w:rtl/>
          <w:lang w:eastAsia="en-US"/>
        </w:rPr>
        <w:t xml:space="preserve"> </w:t>
      </w:r>
      <w:r w:rsidRPr="00DC21B6">
        <w:rPr>
          <w:rFonts w:ascii="QCF_P297" w:hAnsi="QCF_P297" w:cs="QCF_P297"/>
          <w:color w:val="auto"/>
          <w:sz w:val="32"/>
          <w:szCs w:val="32"/>
          <w:rtl/>
          <w:lang w:eastAsia="en-US"/>
        </w:rPr>
        <w:t xml:space="preserve">ﯙ  ﯚ  ﯛ  ﯜ  ﯝ  ﯞ  </w:t>
      </w:r>
      <w:r w:rsidRPr="00DC21B6">
        <w:rPr>
          <w:rFonts w:ascii="QCF_BSML" w:hAnsi="QCF_BSML" w:cs="QCF_BSML"/>
          <w:color w:val="auto"/>
          <w:sz w:val="32"/>
          <w:szCs w:val="32"/>
          <w:rtl/>
          <w:lang w:eastAsia="en-US"/>
        </w:rPr>
        <w:t>ﭼ</w:t>
      </w:r>
      <w:r w:rsidRPr="00DC21B6">
        <w:rPr>
          <w:rFonts w:ascii="Arial" w:hAnsi="Arial" w:cs="Arial"/>
          <w:color w:val="auto"/>
          <w:sz w:val="32"/>
          <w:szCs w:val="32"/>
          <w:rtl/>
          <w:lang w:eastAsia="en-US"/>
        </w:rPr>
        <w:t xml:space="preserve"> </w:t>
      </w:r>
      <w:r w:rsidRPr="00DC21B6">
        <w:rPr>
          <w:rFonts w:ascii="Traditional Arabic" w:hAnsi="Traditional Arabic"/>
          <w:rtl/>
        </w:rPr>
        <w:t xml:space="preserve">قوله تعالى: </w:t>
      </w:r>
      <w:r w:rsidRPr="00DC21B6">
        <w:rPr>
          <w:rFonts w:ascii="QCF_BSML" w:hAnsi="QCF_BSML" w:cs="QCF_BSML"/>
          <w:sz w:val="32"/>
          <w:szCs w:val="32"/>
          <w:rtl/>
          <w:lang w:eastAsia="en-US"/>
        </w:rPr>
        <w:t xml:space="preserve">ﭽ </w:t>
      </w:r>
      <w:r w:rsidRPr="00DC21B6">
        <w:rPr>
          <w:rFonts w:ascii="QCF_P297" w:hAnsi="QCF_P297" w:cs="QCF_P297"/>
          <w:sz w:val="32"/>
          <w:szCs w:val="32"/>
          <w:rtl/>
          <w:lang w:eastAsia="en-US"/>
        </w:rPr>
        <w:t>ﮓ  ﮔ  ﮕ  ﮖ   ﮗ</w:t>
      </w:r>
      <w:r w:rsidRPr="00DC21B6">
        <w:rPr>
          <w:rFonts w:ascii="QCF_BSML" w:hAnsi="QCF_BSML" w:cs="QCF_BSML"/>
          <w:color w:val="auto"/>
          <w:sz w:val="32"/>
          <w:szCs w:val="32"/>
          <w:rtl/>
          <w:lang w:eastAsia="en-US"/>
        </w:rPr>
        <w:t xml:space="preserve"> ﭼ</w:t>
      </w:r>
      <w:r w:rsidRPr="00DC21B6">
        <w:rPr>
          <w:rFonts w:ascii="Traditional Arabic" w:hAnsi="Traditional Arabic"/>
          <w:rtl/>
        </w:rPr>
        <w:t xml:space="preserve"> قال الزّجّاج: خبر </w:t>
      </w:r>
      <w:r w:rsidRPr="00DC21B6">
        <w:rPr>
          <w:rFonts w:ascii="QCF_BSML" w:hAnsi="QCF_BSML" w:cs="QCF_BSML"/>
          <w:sz w:val="32"/>
          <w:szCs w:val="32"/>
          <w:rtl/>
          <w:lang w:eastAsia="en-US"/>
        </w:rPr>
        <w:t xml:space="preserve">ﭽ </w:t>
      </w:r>
      <w:r w:rsidRPr="00DC21B6">
        <w:rPr>
          <w:rFonts w:ascii="QCF_P297" w:hAnsi="QCF_P297" w:cs="QCF_P297"/>
          <w:sz w:val="32"/>
          <w:szCs w:val="32"/>
          <w:rtl/>
          <w:lang w:eastAsia="en-US"/>
        </w:rPr>
        <w:t xml:space="preserve">ﮓ  </w:t>
      </w:r>
      <w:r w:rsidRPr="00DC21B6">
        <w:rPr>
          <w:rFonts w:ascii="QCF_BSML" w:hAnsi="QCF_BSML" w:cs="QCF_BSML"/>
          <w:color w:val="auto"/>
          <w:sz w:val="32"/>
          <w:szCs w:val="32"/>
          <w:rtl/>
          <w:lang w:eastAsia="en-US"/>
        </w:rPr>
        <w:t>ﭼ</w:t>
      </w:r>
      <w:r w:rsidRPr="00DC21B6">
        <w:rPr>
          <w:rFonts w:ascii="Traditional Arabic" w:hAnsi="Traditional Arabic"/>
          <w:rtl/>
        </w:rPr>
        <w:t xml:space="preserve"> ها هنا على ثلاثة</w:t>
      </w:r>
      <w:r w:rsidRPr="00DC21B6">
        <w:rPr>
          <w:rFonts w:ascii="Traditional Arabic" w:hAnsi="Traditional Arabic" w:hint="cs"/>
          <w:sz w:val="28"/>
          <w:szCs w:val="28"/>
          <w:rtl/>
        </w:rPr>
        <w:t xml:space="preserve"> </w:t>
      </w:r>
      <w:r w:rsidRPr="00DC21B6">
        <w:rPr>
          <w:rFonts w:ascii="Traditional Arabic" w:hAnsi="Traditional Arabic"/>
          <w:rtl/>
        </w:rPr>
        <w:t>أوجه: أحدها: أن يكون على إِضمار:</w:t>
      </w:r>
      <w:r w:rsidRPr="00DC21B6">
        <w:rPr>
          <w:rFonts w:ascii="QCF_BSML" w:hAnsi="QCF_BSML" w:cs="QCF_BSML"/>
          <w:color w:val="auto"/>
          <w:sz w:val="32"/>
          <w:szCs w:val="32"/>
          <w:rtl/>
          <w:lang w:eastAsia="en-US"/>
        </w:rPr>
        <w:t xml:space="preserve"> ﭽ</w:t>
      </w:r>
      <w:r w:rsidRPr="00DC21B6">
        <w:rPr>
          <w:rFonts w:ascii="Traditional Arabic" w:hAnsi="Traditional Arabic"/>
          <w:rtl/>
        </w:rPr>
        <w:t xml:space="preserve"> </w:t>
      </w:r>
      <w:r w:rsidRPr="00DC21B6">
        <w:rPr>
          <w:rFonts w:ascii="QCF_P297" w:hAnsi="QCF_P297" w:cs="QCF_P297"/>
          <w:sz w:val="32"/>
          <w:szCs w:val="32"/>
          <w:rtl/>
          <w:lang w:eastAsia="en-US"/>
        </w:rPr>
        <w:t>ﮘ  ﮙ  ﮚ  ﮛ  ﮜ  ﮝ  ﮞ</w:t>
      </w:r>
      <w:r w:rsidRPr="00DC21B6">
        <w:rPr>
          <w:rFonts w:ascii="QCF_BSML" w:hAnsi="QCF_BSML" w:cs="QCF_BSML"/>
          <w:color w:val="auto"/>
          <w:sz w:val="32"/>
          <w:szCs w:val="32"/>
          <w:rtl/>
          <w:lang w:eastAsia="en-US"/>
        </w:rPr>
        <w:t xml:space="preserve"> ﭼ</w:t>
      </w:r>
      <w:r w:rsidRPr="00DC21B6">
        <w:rPr>
          <w:rFonts w:ascii="QCF_P297" w:hAnsi="QCF_P297" w:cs="QCF_P297"/>
          <w:sz w:val="32"/>
          <w:szCs w:val="32"/>
          <w:rtl/>
          <w:lang w:eastAsia="en-US"/>
        </w:rPr>
        <w:t xml:space="preserve">  </w:t>
      </w:r>
      <w:r w:rsidRPr="00DC21B6">
        <w:rPr>
          <w:rFonts w:ascii="Traditional Arabic" w:hAnsi="Traditional Arabic"/>
          <w:rtl/>
        </w:rPr>
        <w:t xml:space="preserve">منهم، ولم يحتج إِلى ذكر «منهم» لأن الله تعالى قد أعلَمنا أنه محبطٌ عملَ غير المؤمنين. والثاني: أن يكون خبر «إِن» : </w:t>
      </w:r>
      <w:r w:rsidRPr="00DC21B6">
        <w:rPr>
          <w:rFonts w:ascii="QCF_BSML" w:hAnsi="QCF_BSML" w:cs="QCF_BSML"/>
          <w:color w:val="auto"/>
          <w:sz w:val="32"/>
          <w:szCs w:val="32"/>
          <w:rtl/>
          <w:lang w:eastAsia="en-US"/>
        </w:rPr>
        <w:t>ﭽ</w:t>
      </w:r>
      <w:r w:rsidRPr="00DC21B6">
        <w:rPr>
          <w:rFonts w:ascii="QCF_P297" w:hAnsi="QCF_P297" w:cs="QCF_P297"/>
          <w:sz w:val="32"/>
          <w:szCs w:val="32"/>
          <w:rtl/>
          <w:lang w:eastAsia="en-US"/>
        </w:rPr>
        <w:t xml:space="preserve"> ﮠ   ﮡ  ﮢ  ﮣ</w:t>
      </w:r>
      <w:r w:rsidRPr="00DC21B6">
        <w:rPr>
          <w:rFonts w:ascii="QCF_BSML" w:hAnsi="QCF_BSML" w:cs="QCF_BSML"/>
          <w:color w:val="auto"/>
          <w:sz w:val="32"/>
          <w:szCs w:val="32"/>
          <w:rtl/>
          <w:lang w:eastAsia="en-US"/>
        </w:rPr>
        <w:t>ﭼ</w:t>
      </w:r>
      <w:r w:rsidRPr="00DC21B6">
        <w:rPr>
          <w:rFonts w:ascii="QCF_P297" w:hAnsi="QCF_P297" w:cs="QCF_P297"/>
          <w:sz w:val="32"/>
          <w:szCs w:val="32"/>
          <w:rtl/>
          <w:lang w:eastAsia="en-US"/>
        </w:rPr>
        <w:t xml:space="preserve">  </w:t>
      </w:r>
      <w:r w:rsidRPr="00DC21B6">
        <w:rPr>
          <w:rFonts w:ascii="Traditional Arabic" w:hAnsi="Traditional Arabic"/>
          <w:rtl/>
        </w:rPr>
        <w:t>، ويكون قوله:</w:t>
      </w:r>
      <w:r w:rsidRPr="00DC21B6">
        <w:rPr>
          <w:rFonts w:ascii="QCF_BSML" w:hAnsi="QCF_BSML" w:cs="QCF_BSML"/>
          <w:color w:val="auto"/>
          <w:sz w:val="32"/>
          <w:szCs w:val="32"/>
          <w:rtl/>
          <w:lang w:eastAsia="en-US"/>
        </w:rPr>
        <w:t xml:space="preserve"> ﭽ</w:t>
      </w:r>
      <w:r w:rsidRPr="00DC21B6">
        <w:rPr>
          <w:rFonts w:ascii="Traditional Arabic" w:hAnsi="Traditional Arabic"/>
          <w:rtl/>
        </w:rPr>
        <w:t xml:space="preserve"> </w:t>
      </w:r>
      <w:r w:rsidRPr="00DC21B6">
        <w:rPr>
          <w:rFonts w:ascii="QCF_P297" w:hAnsi="QCF_P297" w:cs="QCF_P297"/>
          <w:sz w:val="32"/>
          <w:szCs w:val="32"/>
          <w:rtl/>
          <w:lang w:eastAsia="en-US"/>
        </w:rPr>
        <w:t xml:space="preserve">ﮘ  ﮙ  ﮚ </w:t>
      </w:r>
      <w:r w:rsidRPr="00DC21B6">
        <w:rPr>
          <w:rFonts w:ascii="QCF_BSML" w:hAnsi="QCF_BSML" w:cs="QCF_BSML"/>
          <w:color w:val="auto"/>
          <w:sz w:val="32"/>
          <w:szCs w:val="32"/>
          <w:rtl/>
          <w:lang w:eastAsia="en-US"/>
        </w:rPr>
        <w:t>ﭼ</w:t>
      </w:r>
      <w:r w:rsidRPr="00DC21B6">
        <w:rPr>
          <w:rFonts w:ascii="QCF_P297" w:hAnsi="QCF_P297" w:cs="QCF_P297"/>
          <w:sz w:val="32"/>
          <w:szCs w:val="32"/>
          <w:rtl/>
          <w:lang w:eastAsia="en-US"/>
        </w:rPr>
        <w:t xml:space="preserve"> </w:t>
      </w:r>
      <w:r w:rsidRPr="00DC21B6">
        <w:rPr>
          <w:rFonts w:ascii="Traditional Arabic" w:hAnsi="Traditional Arabic"/>
          <w:rtl/>
        </w:rPr>
        <w:t>قد فصل به بين الاسم وخبره، لأنه يحتوي على معنى الكلام الأول، لأن من أحسن عملاً بمنزلة الذين آمنوا. والثالث: أن يكون الخبر:</w:t>
      </w:r>
      <w:r w:rsidRPr="00DC21B6">
        <w:rPr>
          <w:rFonts w:ascii="QCF_BSML" w:hAnsi="QCF_BSML" w:cs="QCF_BSML"/>
          <w:color w:val="auto"/>
          <w:sz w:val="32"/>
          <w:szCs w:val="32"/>
          <w:rtl/>
          <w:lang w:eastAsia="en-US"/>
        </w:rPr>
        <w:t xml:space="preserve"> ﭽ</w:t>
      </w:r>
      <w:r w:rsidRPr="00DC21B6">
        <w:rPr>
          <w:rFonts w:ascii="Traditional Arabic" w:hAnsi="Traditional Arabic"/>
          <w:rtl/>
        </w:rPr>
        <w:t xml:space="preserve"> </w:t>
      </w:r>
      <w:r w:rsidRPr="00DC21B6">
        <w:rPr>
          <w:rFonts w:ascii="QCF_P297" w:hAnsi="QCF_P297" w:cs="QCF_P297"/>
          <w:sz w:val="32"/>
          <w:szCs w:val="32"/>
          <w:rtl/>
          <w:lang w:eastAsia="en-US"/>
        </w:rPr>
        <w:t>ﮘ  ﮙ  ﮚ  ﮛ  ﮜ  ﮝ  ﮞ</w:t>
      </w:r>
      <w:r w:rsidRPr="00DC21B6">
        <w:rPr>
          <w:rFonts w:ascii="QCF_BSML" w:hAnsi="QCF_BSML" w:cs="QCF_BSML"/>
          <w:color w:val="auto"/>
          <w:sz w:val="32"/>
          <w:szCs w:val="32"/>
          <w:rtl/>
          <w:lang w:eastAsia="en-US"/>
        </w:rPr>
        <w:t xml:space="preserve"> ﭼ</w:t>
      </w:r>
      <w:r w:rsidRPr="00DC21B6">
        <w:rPr>
          <w:rFonts w:ascii="QCF_P297" w:hAnsi="QCF_P297" w:cs="QCF_P297"/>
          <w:sz w:val="32"/>
          <w:szCs w:val="32"/>
          <w:rtl/>
          <w:lang w:eastAsia="en-US"/>
        </w:rPr>
        <w:t xml:space="preserve"> </w:t>
      </w:r>
      <w:r w:rsidRPr="00DC21B6">
        <w:rPr>
          <w:rFonts w:ascii="Traditional Arabic" w:hAnsi="Traditional Arabic"/>
          <w:rtl/>
        </w:rPr>
        <w:t xml:space="preserve"> بمعنى: إِنّا لا نُضيع أجرهم</w:t>
      </w:r>
      <w:r w:rsidRPr="00DC21B6">
        <w:rPr>
          <w:vertAlign w:val="superscript"/>
          <w:rtl/>
        </w:rPr>
        <w:t>(</w:t>
      </w:r>
      <w:r w:rsidRPr="00DC21B6">
        <w:rPr>
          <w:vertAlign w:val="superscript"/>
          <w:rtl/>
        </w:rPr>
        <w:footnoteReference w:id="1289"/>
      </w:r>
      <w:r w:rsidRPr="00DC21B6">
        <w:rPr>
          <w:vertAlign w:val="superscript"/>
          <w:rtl/>
        </w:rPr>
        <w:t>)</w:t>
      </w:r>
      <w:r w:rsidRPr="00DC21B6">
        <w:rPr>
          <w:rFonts w:ascii="Traditional Arabic" w:hAnsi="Traditional Arabic"/>
          <w:rtl/>
        </w:rPr>
        <w:t>.</w:t>
      </w:r>
      <w:r w:rsidRPr="00DC21B6">
        <w:rPr>
          <w:rFonts w:ascii="Traditional Arabic" w:hAnsi="Traditional Arabic" w:hint="cs"/>
          <w:rtl/>
        </w:rPr>
        <w:t xml:space="preserve"> </w:t>
      </w:r>
      <w:r w:rsidRPr="00DC21B6">
        <w:rPr>
          <w:rFonts w:ascii="Traditional Arabic" w:hAnsi="Traditional Arabic"/>
          <w:rtl/>
        </w:rPr>
        <w:t xml:space="preserve">قال المفسرون: ومعنى </w:t>
      </w:r>
      <w:r w:rsidRPr="00DC21B6">
        <w:rPr>
          <w:rFonts w:ascii="QCF_BSML" w:hAnsi="QCF_BSML" w:cs="QCF_BSML"/>
          <w:color w:val="auto"/>
          <w:sz w:val="32"/>
          <w:szCs w:val="32"/>
          <w:rtl/>
          <w:lang w:eastAsia="en-US"/>
        </w:rPr>
        <w:t>ﭽ</w:t>
      </w:r>
      <w:r w:rsidRPr="00DC21B6">
        <w:rPr>
          <w:rFonts w:ascii="QCF_P297" w:hAnsi="QCF_P297" w:cs="QCF_P297"/>
          <w:sz w:val="32"/>
          <w:szCs w:val="32"/>
          <w:rtl/>
          <w:lang w:eastAsia="en-US"/>
        </w:rPr>
        <w:t xml:space="preserve"> ﮙ  ﮚ  ﮛ  ﮜ  ﮝ  ﮞ</w:t>
      </w:r>
      <w:r w:rsidRPr="00DC21B6">
        <w:rPr>
          <w:rFonts w:ascii="QCF_BSML" w:hAnsi="QCF_BSML" w:cs="QCF_BSML"/>
          <w:color w:val="auto"/>
          <w:sz w:val="32"/>
          <w:szCs w:val="32"/>
          <w:rtl/>
          <w:lang w:eastAsia="en-US"/>
        </w:rPr>
        <w:t xml:space="preserve"> ﭼ</w:t>
      </w:r>
      <w:r w:rsidRPr="00DC21B6">
        <w:rPr>
          <w:rFonts w:ascii="QCF_P297" w:hAnsi="QCF_P297" w:cs="QCF_P297"/>
          <w:sz w:val="32"/>
          <w:szCs w:val="32"/>
          <w:rtl/>
          <w:lang w:eastAsia="en-US"/>
        </w:rPr>
        <w:t xml:space="preserve">  </w:t>
      </w:r>
      <w:r w:rsidRPr="00DC21B6">
        <w:rPr>
          <w:rFonts w:ascii="Traditional Arabic" w:hAnsi="Traditional Arabic"/>
          <w:rtl/>
        </w:rPr>
        <w:t>أي: لا نترك أعماله تذهب ضَياعاً، بل نُجازيه عليها بالثواب</w:t>
      </w:r>
      <w:r w:rsidRPr="00DC21B6">
        <w:rPr>
          <w:vertAlign w:val="superscript"/>
          <w:rtl/>
        </w:rPr>
        <w:t>(</w:t>
      </w:r>
      <w:r w:rsidRPr="00DC21B6">
        <w:rPr>
          <w:vertAlign w:val="superscript"/>
          <w:rtl/>
        </w:rPr>
        <w:footnoteReference w:id="1290"/>
      </w:r>
      <w:r w:rsidRPr="00DC21B6">
        <w:rPr>
          <w:vertAlign w:val="superscript"/>
          <w:rtl/>
        </w:rPr>
        <w:t>)</w:t>
      </w:r>
      <w:r w:rsidRPr="00DC21B6">
        <w:rPr>
          <w:rFonts w:ascii="Traditional Arabic" w:hAnsi="Traditional Arabic"/>
          <w:rtl/>
        </w:rPr>
        <w:t>. فأما الأَساور، فقال الفراء: في الواحد منها ثلاث لغات:</w:t>
      </w:r>
      <w:r w:rsidRPr="00DC21B6">
        <w:rPr>
          <w:rFonts w:ascii="Traditional Arabic" w:hAnsi="Traditional Arabic"/>
          <w:sz w:val="44"/>
          <w:szCs w:val="44"/>
          <w:rtl/>
          <w:lang w:eastAsia="en-US"/>
        </w:rPr>
        <w:t xml:space="preserve"> </w:t>
      </w:r>
      <w:r w:rsidRPr="00DC21B6">
        <w:rPr>
          <w:rFonts w:ascii="Traditional Arabic" w:hAnsi="Traditional Arabic"/>
          <w:rtl/>
        </w:rPr>
        <w:t>إِسْوَارٌ، وسِوَارٌ، وسُوَارٌ</w:t>
      </w:r>
      <w:r w:rsidRPr="00DC21B6">
        <w:rPr>
          <w:rFonts w:ascii="Traditional Arabic" w:hAnsi="Traditional Arabic" w:hint="cs"/>
          <w:rtl/>
        </w:rPr>
        <w:t xml:space="preserve">؛ </w:t>
      </w:r>
      <w:r w:rsidRPr="00DC21B6">
        <w:rPr>
          <w:rFonts w:ascii="Traditional Arabic" w:hAnsi="Traditional Arabic"/>
          <w:rtl/>
        </w:rPr>
        <w:t xml:space="preserve">فمن قال: إِسْوَارٌ، </w:t>
      </w:r>
      <w:r w:rsidRPr="00DC21B6">
        <w:rPr>
          <w:rFonts w:ascii="Traditional Arabic" w:hAnsi="Traditional Arabic"/>
          <w:color w:val="auto"/>
          <w:rtl/>
          <w:lang w:eastAsia="en-US"/>
        </w:rPr>
        <w:t>جَمَعَه: أَسَاوِرُ،</w:t>
      </w:r>
      <w:r w:rsidRPr="00DC21B6">
        <w:rPr>
          <w:rFonts w:ascii="Traditional Arabic" w:hAnsi="Traditional Arabic"/>
          <w:rtl/>
        </w:rPr>
        <w:t xml:space="preserve"> ومن قال: وسِوَارٌ </w:t>
      </w:r>
      <w:r w:rsidRPr="00DC21B6">
        <w:rPr>
          <w:rFonts w:ascii="Traditional Arabic" w:hAnsi="Traditional Arabic" w:hint="cs"/>
          <w:rtl/>
        </w:rPr>
        <w:t>أ</w:t>
      </w:r>
      <w:r w:rsidRPr="00DC21B6">
        <w:rPr>
          <w:rFonts w:ascii="Traditional Arabic" w:hAnsi="Traditional Arabic"/>
          <w:rtl/>
        </w:rPr>
        <w:t>و</w:t>
      </w:r>
      <w:r w:rsidRPr="00DC21B6">
        <w:rPr>
          <w:rFonts w:ascii="Traditional Arabic" w:hAnsi="Traditional Arabic" w:hint="cs"/>
          <w:rtl/>
        </w:rPr>
        <w:t xml:space="preserve"> </w:t>
      </w:r>
      <w:r w:rsidRPr="00DC21B6">
        <w:rPr>
          <w:rFonts w:ascii="Traditional Arabic" w:hAnsi="Traditional Arabic"/>
          <w:rtl/>
        </w:rPr>
        <w:t>سُوَارٌ</w:t>
      </w:r>
      <w:r w:rsidRPr="00DC21B6">
        <w:rPr>
          <w:rFonts w:ascii="Traditional Arabic" w:hAnsi="Traditional Arabic" w:hint="cs"/>
          <w:rtl/>
        </w:rPr>
        <w:t>,</w:t>
      </w:r>
      <w:r w:rsidRPr="00DC21B6">
        <w:rPr>
          <w:rFonts w:ascii="Traditional Arabic" w:hAnsi="Traditional Arabic"/>
          <w:rtl/>
        </w:rPr>
        <w:t xml:space="preserve"> جمعَه أَسْوِرَةً، وقد يجوز أن يكون واحد </w:t>
      </w:r>
      <w:r w:rsidRPr="00DC21B6">
        <w:rPr>
          <w:rFonts w:ascii="Traditional Arabic" w:hAnsi="Traditional Arabic"/>
          <w:rtl/>
          <w:lang w:eastAsia="en-US"/>
        </w:rPr>
        <w:t>أَسَاوِرَةٌ</w:t>
      </w:r>
      <w:r w:rsidRPr="00DC21B6">
        <w:rPr>
          <w:rFonts w:ascii="Traditional Arabic" w:hAnsi="Traditional Arabic"/>
          <w:rtl/>
        </w:rPr>
        <w:t xml:space="preserve"> وأَسَاوِرُ: سِوَارٌ</w:t>
      </w:r>
      <w:r w:rsidRPr="00DC21B6">
        <w:rPr>
          <w:vertAlign w:val="superscript"/>
          <w:rtl/>
        </w:rPr>
        <w:t>(</w:t>
      </w:r>
      <w:r w:rsidRPr="00DC21B6">
        <w:rPr>
          <w:vertAlign w:val="superscript"/>
          <w:rtl/>
        </w:rPr>
        <w:footnoteReference w:id="1291"/>
      </w:r>
      <w:r w:rsidRPr="00DC21B6">
        <w:rPr>
          <w:vertAlign w:val="superscript"/>
          <w:rtl/>
        </w:rPr>
        <w:t>)</w:t>
      </w:r>
      <w:r w:rsidRPr="00DC21B6">
        <w:rPr>
          <w:rFonts w:ascii="Traditional Arabic" w:hAnsi="Traditional Arabic" w:hint="cs"/>
          <w:rtl/>
        </w:rPr>
        <w:t>.</w:t>
      </w:r>
      <w:r w:rsidRPr="00DC21B6">
        <w:rPr>
          <w:rFonts w:ascii="Traditional Arabic" w:hAnsi="Traditional Arabic"/>
          <w:rtl/>
        </w:rPr>
        <w:t xml:space="preserve"> وقال الزجاج: الأَساور جمع أَسْوِرَة، وأَسْوِرَة جمع سِوَار، يقال:</w:t>
      </w:r>
      <w:r w:rsidRPr="00DC21B6">
        <w:rPr>
          <w:rFonts w:ascii="Traditional Arabic" w:hAnsi="Traditional Arabic" w:hint="cs"/>
          <w:rtl/>
        </w:rPr>
        <w:t xml:space="preserve"> </w:t>
      </w:r>
      <w:r w:rsidRPr="00DC21B6">
        <w:rPr>
          <w:rFonts w:ascii="Traditional Arabic" w:hAnsi="Traditional Arabic"/>
          <w:rtl/>
        </w:rPr>
        <w:t>سوار اليد، بالكسرة، وقد حكي: سُوار</w:t>
      </w:r>
      <w:r w:rsidRPr="00DC21B6">
        <w:rPr>
          <w:vertAlign w:val="superscript"/>
          <w:rtl/>
        </w:rPr>
        <w:t>(</w:t>
      </w:r>
      <w:r w:rsidRPr="00DC21B6">
        <w:rPr>
          <w:vertAlign w:val="superscript"/>
          <w:rtl/>
        </w:rPr>
        <w:footnoteReference w:id="1292"/>
      </w:r>
      <w:r w:rsidRPr="00DC21B6">
        <w:rPr>
          <w:vertAlign w:val="superscript"/>
          <w:rtl/>
        </w:rPr>
        <w:t>)</w:t>
      </w:r>
      <w:r w:rsidRPr="00DC21B6">
        <w:rPr>
          <w:rFonts w:ascii="Traditional Arabic" w:hAnsi="Traditional Arabic"/>
          <w:rtl/>
        </w:rPr>
        <w:t>. قال المفسرون: لما كانت</w:t>
      </w:r>
      <w:r w:rsidRPr="00DC21B6">
        <w:rPr>
          <w:rFonts w:ascii="Traditional Arabic" w:hAnsi="Traditional Arabic" w:hint="cs"/>
          <w:rtl/>
        </w:rPr>
        <w:t xml:space="preserve"> </w:t>
      </w:r>
      <w:r w:rsidRPr="00DC21B6">
        <w:rPr>
          <w:rFonts w:ascii="Traditional Arabic" w:hAnsi="Traditional Arabic" w:hint="cs"/>
          <w:sz w:val="32"/>
          <w:szCs w:val="32"/>
          <w:rtl/>
        </w:rPr>
        <w:t>[119]</w:t>
      </w:r>
      <w:r w:rsidRPr="00DC21B6">
        <w:rPr>
          <w:rFonts w:ascii="Traditional Arabic" w:hAnsi="Traditional Arabic"/>
          <w:rtl/>
        </w:rPr>
        <w:t xml:space="preserve"> الملوك تلبَس في الدنيا الأساور </w:t>
      </w:r>
      <w:r w:rsidRPr="00DC21B6">
        <w:rPr>
          <w:rFonts w:ascii="Traditional Arabic" w:hAnsi="Traditional Arabic"/>
          <w:rtl/>
        </w:rPr>
        <w:lastRenderedPageBreak/>
        <w:t>في اليد والتّيجان على الرّؤوس، جعل الله تعالى ذلك لأهل الجنة</w:t>
      </w:r>
      <w:r w:rsidRPr="00DC21B6">
        <w:rPr>
          <w:vertAlign w:val="superscript"/>
          <w:rtl/>
        </w:rPr>
        <w:t>(</w:t>
      </w:r>
      <w:r w:rsidRPr="00DC21B6">
        <w:rPr>
          <w:vertAlign w:val="superscript"/>
          <w:rtl/>
        </w:rPr>
        <w:footnoteReference w:id="1293"/>
      </w:r>
      <w:r w:rsidRPr="00DC21B6">
        <w:rPr>
          <w:vertAlign w:val="superscript"/>
          <w:rtl/>
        </w:rPr>
        <w:t>)</w:t>
      </w:r>
      <w:r w:rsidRPr="00DC21B6">
        <w:rPr>
          <w:rFonts w:ascii="Traditional Arabic" w:hAnsi="Traditional Arabic"/>
          <w:rtl/>
        </w:rPr>
        <w:t>. قال سعيد بن جبير: يُحلَّى كلُّ واحد منهم بثلاثة من الأساور، واحدٍ من فضة، وواحدٍ من ذهب، وواحدٍ من لؤلؤ ويواقيت</w:t>
      </w:r>
      <w:r w:rsidRPr="00DC21B6">
        <w:rPr>
          <w:vertAlign w:val="superscript"/>
          <w:rtl/>
        </w:rPr>
        <w:t>(</w:t>
      </w:r>
      <w:r w:rsidRPr="00DC21B6">
        <w:rPr>
          <w:vertAlign w:val="superscript"/>
          <w:rtl/>
        </w:rPr>
        <w:footnoteReference w:id="1294"/>
      </w:r>
      <w:r w:rsidRPr="00DC21B6">
        <w:rPr>
          <w:vertAlign w:val="superscript"/>
          <w:rtl/>
        </w:rPr>
        <w:t>)</w:t>
      </w:r>
      <w:r w:rsidRPr="00DC21B6">
        <w:rPr>
          <w:rFonts w:ascii="Traditional Arabic" w:hAnsi="Traditional Arabic"/>
          <w:rtl/>
        </w:rPr>
        <w:t>. فأما «السُّنْدُسُ» و «الإِستبرق» ، فقال ابن قتيبة: السُّندس: رقيق الديباج</w:t>
      </w:r>
      <w:r w:rsidRPr="00DC21B6">
        <w:rPr>
          <w:vertAlign w:val="superscript"/>
          <w:rtl/>
        </w:rPr>
        <w:t>(</w:t>
      </w:r>
      <w:r w:rsidRPr="00DC21B6">
        <w:rPr>
          <w:vertAlign w:val="superscript"/>
          <w:rtl/>
        </w:rPr>
        <w:footnoteReference w:id="1295"/>
      </w:r>
      <w:r w:rsidRPr="00DC21B6">
        <w:rPr>
          <w:vertAlign w:val="superscript"/>
          <w:rtl/>
        </w:rPr>
        <w:t>)</w:t>
      </w:r>
      <w:r w:rsidRPr="00DC21B6">
        <w:rPr>
          <w:rFonts w:ascii="Traditional Arabic" w:hAnsi="Traditional Arabic"/>
          <w:rtl/>
        </w:rPr>
        <w:t>، والإِستبرق ثخينه</w:t>
      </w:r>
      <w:r w:rsidRPr="00DC21B6">
        <w:rPr>
          <w:vertAlign w:val="superscript"/>
          <w:rtl/>
        </w:rPr>
        <w:t>(</w:t>
      </w:r>
      <w:r w:rsidRPr="00DC21B6">
        <w:rPr>
          <w:vertAlign w:val="superscript"/>
          <w:rtl/>
        </w:rPr>
        <w:footnoteReference w:id="1296"/>
      </w:r>
      <w:r w:rsidRPr="00DC21B6">
        <w:rPr>
          <w:vertAlign w:val="superscript"/>
          <w:rtl/>
        </w:rPr>
        <w:t>)</w:t>
      </w:r>
      <w:r w:rsidRPr="00DC21B6">
        <w:rPr>
          <w:rFonts w:ascii="Traditional Arabic" w:hAnsi="Traditional Arabic"/>
          <w:rtl/>
        </w:rPr>
        <w:t>. وقرأت على شيخنا أبي منصور اللغوي، قال: السندس: رقيق الديباج</w:t>
      </w:r>
      <w:r w:rsidRPr="00DC21B6">
        <w:rPr>
          <w:vertAlign w:val="superscript"/>
          <w:rtl/>
        </w:rPr>
        <w:t>(</w:t>
      </w:r>
      <w:r w:rsidRPr="00DC21B6">
        <w:rPr>
          <w:vertAlign w:val="superscript"/>
          <w:rtl/>
        </w:rPr>
        <w:footnoteReference w:id="1297"/>
      </w:r>
      <w:r w:rsidRPr="00DC21B6">
        <w:rPr>
          <w:vertAlign w:val="superscript"/>
          <w:rtl/>
        </w:rPr>
        <w:t>)</w:t>
      </w:r>
      <w:r w:rsidRPr="00DC21B6">
        <w:rPr>
          <w:rFonts w:ascii="Traditional Arabic" w:hAnsi="Traditional Arabic"/>
          <w:rtl/>
        </w:rPr>
        <w:t>، لم يختلف أهل اللغة في أنه معرَّب، قال الراجز:</w:t>
      </w:r>
    </w:p>
    <w:p w:rsidR="00DC21B6" w:rsidRPr="00DC21B6" w:rsidRDefault="00DC21B6" w:rsidP="00DC21B6">
      <w:pPr>
        <w:ind w:firstLine="0"/>
        <w:rPr>
          <w:rFonts w:ascii="Traditional Arabic" w:hAnsi="Traditional Arabic"/>
          <w:rtl/>
        </w:rPr>
      </w:pPr>
      <w:r w:rsidRPr="00DC21B6">
        <w:rPr>
          <w:rFonts w:ascii="Traditional Arabic" w:hAnsi="Traditional Arabic"/>
          <w:rtl/>
        </w:rPr>
        <w:t>وليلة</w:t>
      </w:r>
      <w:r w:rsidRPr="00DC21B6">
        <w:rPr>
          <w:rFonts w:ascii="Traditional Arabic" w:hAnsi="Traditional Arabic" w:hint="cs"/>
          <w:rtl/>
        </w:rPr>
        <w:t>ٍ</w:t>
      </w:r>
      <w:r w:rsidRPr="00DC21B6">
        <w:rPr>
          <w:rFonts w:ascii="Traditional Arabic" w:hAnsi="Traditional Arabic"/>
          <w:rtl/>
        </w:rPr>
        <w:t xml:space="preserve"> من الليالي </w:t>
      </w:r>
      <w:r w:rsidRPr="00DC21B6">
        <w:rPr>
          <w:rFonts w:ascii="Traditional Arabic" w:hAnsi="Traditional Arabic" w:hint="cs"/>
          <w:rtl/>
        </w:rPr>
        <w:t>حِ</w:t>
      </w:r>
      <w:r w:rsidRPr="00DC21B6">
        <w:rPr>
          <w:rFonts w:ascii="Traditional Arabic" w:hAnsi="Traditional Arabic"/>
          <w:rtl/>
        </w:rPr>
        <w:t>ن</w:t>
      </w:r>
      <w:r w:rsidRPr="00DC21B6">
        <w:rPr>
          <w:rFonts w:ascii="Traditional Arabic" w:hAnsi="Traditional Arabic" w:hint="cs"/>
          <w:rtl/>
        </w:rPr>
        <w:t>ْ</w:t>
      </w:r>
      <w:r w:rsidRPr="00DC21B6">
        <w:rPr>
          <w:rFonts w:ascii="Traditional Arabic" w:hAnsi="Traditional Arabic"/>
          <w:rtl/>
        </w:rPr>
        <w:t>دس</w:t>
      </w:r>
      <w:r w:rsidRPr="00DC21B6">
        <w:rPr>
          <w:rFonts w:ascii="Traditional Arabic" w:hAnsi="Traditional Arabic" w:hint="cs"/>
          <w:rtl/>
        </w:rPr>
        <w:t>ِ</w:t>
      </w:r>
      <w:r w:rsidRPr="00DC21B6">
        <w:rPr>
          <w:vertAlign w:val="superscript"/>
          <w:rtl/>
        </w:rPr>
        <w:t>(</w:t>
      </w:r>
      <w:r w:rsidRPr="00DC21B6">
        <w:rPr>
          <w:vertAlign w:val="superscript"/>
          <w:rtl/>
        </w:rPr>
        <w:footnoteReference w:id="1298"/>
      </w:r>
      <w:r w:rsidRPr="00DC21B6">
        <w:rPr>
          <w:vertAlign w:val="superscript"/>
          <w:rtl/>
        </w:rPr>
        <w:t>)</w:t>
      </w:r>
      <w:r w:rsidRPr="00DC21B6">
        <w:rPr>
          <w:rFonts w:ascii="Traditional Arabic" w:hAnsi="Traditional Arabic"/>
          <w:rtl/>
        </w:rPr>
        <w:t xml:space="preserve"> ... ل</w:t>
      </w:r>
      <w:r w:rsidRPr="00DC21B6">
        <w:rPr>
          <w:rFonts w:ascii="Traditional Arabic" w:hAnsi="Traditional Arabic" w:hint="cs"/>
          <w:rtl/>
        </w:rPr>
        <w:t>َ</w:t>
      </w:r>
      <w:r w:rsidRPr="00DC21B6">
        <w:rPr>
          <w:rFonts w:ascii="Traditional Arabic" w:hAnsi="Traditional Arabic"/>
          <w:rtl/>
        </w:rPr>
        <w:t>و</w:t>
      </w:r>
      <w:r w:rsidRPr="00DC21B6">
        <w:rPr>
          <w:rFonts w:ascii="Traditional Arabic" w:hAnsi="Traditional Arabic" w:hint="cs"/>
          <w:rtl/>
        </w:rPr>
        <w:t>ْ</w:t>
      </w:r>
      <w:r w:rsidRPr="00DC21B6">
        <w:rPr>
          <w:rFonts w:ascii="Traditional Arabic" w:hAnsi="Traditional Arabic"/>
          <w:rtl/>
        </w:rPr>
        <w:t>ن</w:t>
      </w:r>
      <w:r w:rsidRPr="00DC21B6">
        <w:rPr>
          <w:rFonts w:ascii="Traditional Arabic" w:hAnsi="Traditional Arabic" w:hint="cs"/>
          <w:rtl/>
        </w:rPr>
        <w:t>ُ</w:t>
      </w:r>
      <w:r w:rsidRPr="00DC21B6">
        <w:rPr>
          <w:rFonts w:ascii="Traditional Arabic" w:hAnsi="Traditional Arabic"/>
          <w:rtl/>
        </w:rPr>
        <w:t xml:space="preserve"> حواش</w:t>
      </w:r>
      <w:r w:rsidRPr="00DC21B6">
        <w:rPr>
          <w:rFonts w:ascii="Traditional Arabic" w:hAnsi="Traditional Arabic" w:hint="cs"/>
          <w:rtl/>
        </w:rPr>
        <w:t>ِ</w:t>
      </w:r>
      <w:r w:rsidRPr="00DC21B6">
        <w:rPr>
          <w:rFonts w:ascii="Traditional Arabic" w:hAnsi="Traditional Arabic"/>
          <w:rtl/>
        </w:rPr>
        <w:t>يها ك</w:t>
      </w:r>
      <w:r w:rsidRPr="00DC21B6">
        <w:rPr>
          <w:rFonts w:ascii="Traditional Arabic" w:hAnsi="Traditional Arabic" w:hint="cs"/>
          <w:rtl/>
        </w:rPr>
        <w:t>َ</w:t>
      </w:r>
      <w:r w:rsidRPr="00DC21B6">
        <w:rPr>
          <w:rFonts w:ascii="Traditional Arabic" w:hAnsi="Traditional Arabic"/>
          <w:rtl/>
        </w:rPr>
        <w:t>ل</w:t>
      </w:r>
      <w:r w:rsidRPr="00DC21B6">
        <w:rPr>
          <w:rFonts w:ascii="Traditional Arabic" w:hAnsi="Traditional Arabic" w:hint="cs"/>
          <w:rtl/>
        </w:rPr>
        <w:t>َ</w:t>
      </w:r>
      <w:r w:rsidRPr="00DC21B6">
        <w:rPr>
          <w:rFonts w:ascii="Traditional Arabic" w:hAnsi="Traditional Arabic"/>
          <w:rtl/>
        </w:rPr>
        <w:t>و</w:t>
      </w:r>
      <w:r w:rsidRPr="00DC21B6">
        <w:rPr>
          <w:rFonts w:ascii="Traditional Arabic" w:hAnsi="Traditional Arabic" w:hint="cs"/>
          <w:rtl/>
        </w:rPr>
        <w:t>ْ</w:t>
      </w:r>
      <w:r w:rsidRPr="00DC21B6">
        <w:rPr>
          <w:rFonts w:ascii="Traditional Arabic" w:hAnsi="Traditional Arabic"/>
          <w:rtl/>
        </w:rPr>
        <w:t>ن</w:t>
      </w:r>
      <w:r w:rsidRPr="00DC21B6">
        <w:rPr>
          <w:rFonts w:ascii="Traditional Arabic" w:hAnsi="Traditional Arabic" w:hint="cs"/>
          <w:rtl/>
        </w:rPr>
        <w:t>ِ</w:t>
      </w:r>
      <w:r w:rsidRPr="00DC21B6">
        <w:rPr>
          <w:rFonts w:ascii="Traditional Arabic" w:hAnsi="Traditional Arabic"/>
          <w:rtl/>
        </w:rPr>
        <w:t xml:space="preserve"> الس</w:t>
      </w:r>
      <w:r w:rsidRPr="00DC21B6">
        <w:rPr>
          <w:rFonts w:ascii="Traditional Arabic" w:hAnsi="Traditional Arabic" w:hint="cs"/>
          <w:rtl/>
        </w:rPr>
        <w:t>ُّ</w:t>
      </w:r>
      <w:r w:rsidRPr="00DC21B6">
        <w:rPr>
          <w:rFonts w:ascii="Traditional Arabic" w:hAnsi="Traditional Arabic"/>
          <w:rtl/>
        </w:rPr>
        <w:t>ن</w:t>
      </w:r>
      <w:r w:rsidRPr="00DC21B6">
        <w:rPr>
          <w:rFonts w:ascii="Traditional Arabic" w:hAnsi="Traditional Arabic" w:hint="cs"/>
          <w:rtl/>
        </w:rPr>
        <w:t>ْ</w:t>
      </w:r>
      <w:r w:rsidRPr="00DC21B6">
        <w:rPr>
          <w:rFonts w:ascii="Traditional Arabic" w:hAnsi="Traditional Arabic"/>
          <w:rtl/>
        </w:rPr>
        <w:t>د</w:t>
      </w:r>
      <w:r w:rsidRPr="00DC21B6">
        <w:rPr>
          <w:rFonts w:ascii="Traditional Arabic" w:hAnsi="Traditional Arabic" w:hint="cs"/>
          <w:rtl/>
        </w:rPr>
        <w:t>ُ</w:t>
      </w:r>
      <w:r w:rsidRPr="00DC21B6">
        <w:rPr>
          <w:rFonts w:ascii="Traditional Arabic" w:hAnsi="Traditional Arabic"/>
          <w:rtl/>
        </w:rPr>
        <w:t>س</w:t>
      </w:r>
      <w:r w:rsidRPr="00DC21B6">
        <w:rPr>
          <w:rFonts w:ascii="Traditional Arabic" w:hAnsi="Traditional Arabic" w:hint="cs"/>
          <w:rtl/>
        </w:rPr>
        <w:t>ِ</w:t>
      </w:r>
      <w:r w:rsidRPr="00DC21B6">
        <w:rPr>
          <w:vertAlign w:val="superscript"/>
          <w:rtl/>
        </w:rPr>
        <w:t>(</w:t>
      </w:r>
      <w:r w:rsidRPr="00DC21B6">
        <w:rPr>
          <w:vertAlign w:val="superscript"/>
          <w:rtl/>
        </w:rPr>
        <w:footnoteReference w:id="1299"/>
      </w:r>
      <w:r w:rsidRPr="00DC21B6">
        <w:rPr>
          <w:vertAlign w:val="superscript"/>
          <w:rtl/>
        </w:rPr>
        <w:t>)</w:t>
      </w:r>
    </w:p>
    <w:p w:rsidR="00251FC4" w:rsidRDefault="00DC21B6" w:rsidP="00251FC4">
      <w:pPr>
        <w:ind w:firstLine="0"/>
        <w:rPr>
          <w:rFonts w:ascii="Traditional Arabic" w:hAnsi="Traditional Arabic"/>
          <w:rtl/>
        </w:rPr>
      </w:pPr>
      <w:r w:rsidRPr="00DC21B6">
        <w:rPr>
          <w:rFonts w:ascii="Traditional Arabic" w:hAnsi="Traditional Arabic"/>
          <w:rtl/>
        </w:rPr>
        <w:t>والاستبرق: غليظ الديباج، فارسي معرَّب، وأصله إِسْتفْرَهْ</w:t>
      </w:r>
      <w:r w:rsidRPr="00DC21B6">
        <w:rPr>
          <w:vertAlign w:val="superscript"/>
          <w:rtl/>
        </w:rPr>
        <w:t>(</w:t>
      </w:r>
      <w:r w:rsidRPr="00DC21B6">
        <w:rPr>
          <w:vertAlign w:val="superscript"/>
          <w:rtl/>
        </w:rPr>
        <w:footnoteReference w:id="1300"/>
      </w:r>
      <w:r w:rsidRPr="00DC21B6">
        <w:rPr>
          <w:vertAlign w:val="superscript"/>
          <w:rtl/>
        </w:rPr>
        <w:t>)</w:t>
      </w:r>
      <w:r w:rsidRPr="00DC21B6">
        <w:rPr>
          <w:rFonts w:ascii="Traditional Arabic" w:hAnsi="Traditional Arabic"/>
          <w:rtl/>
        </w:rPr>
        <w:t>. وقال ابن دريد</w:t>
      </w:r>
      <w:r w:rsidRPr="00DC21B6">
        <w:rPr>
          <w:vertAlign w:val="superscript"/>
          <w:rtl/>
        </w:rPr>
        <w:t>(</w:t>
      </w:r>
      <w:r w:rsidRPr="00DC21B6">
        <w:rPr>
          <w:vertAlign w:val="superscript"/>
          <w:rtl/>
        </w:rPr>
        <w:footnoteReference w:id="1301"/>
      </w:r>
      <w:r w:rsidRPr="00DC21B6">
        <w:rPr>
          <w:vertAlign w:val="superscript"/>
          <w:rtl/>
        </w:rPr>
        <w:t>)</w:t>
      </w:r>
      <w:r w:rsidRPr="00DC21B6">
        <w:rPr>
          <w:rFonts w:ascii="Traditional Arabic" w:hAnsi="Traditional Arabic"/>
          <w:rtl/>
        </w:rPr>
        <w:t>:إسْتَرْوَهْ، ونقل من العجميّة إلى العربية، فلو حُقِّر «إِستبرق» ، أو كُسِّر، لكان في التحقير «أُبَيْرِق» ، وفي التكسير «أبارق» بحذف السين، والتاء جميعاً</w:t>
      </w:r>
      <w:r w:rsidRPr="00DC21B6">
        <w:rPr>
          <w:vertAlign w:val="superscript"/>
          <w:rtl/>
        </w:rPr>
        <w:t>(</w:t>
      </w:r>
      <w:r w:rsidRPr="00DC21B6">
        <w:rPr>
          <w:vertAlign w:val="superscript"/>
          <w:rtl/>
        </w:rPr>
        <w:footnoteReference w:id="1302"/>
      </w:r>
      <w:r w:rsidRPr="00DC21B6">
        <w:rPr>
          <w:vertAlign w:val="superscript"/>
          <w:rtl/>
        </w:rPr>
        <w:t>)</w:t>
      </w:r>
      <w:r w:rsidRPr="00DC21B6">
        <w:rPr>
          <w:rFonts w:ascii="Traditional Arabic" w:hAnsi="Traditional Arabic"/>
          <w:rtl/>
        </w:rPr>
        <w:t xml:space="preserve">. قوله تعالى: </w:t>
      </w:r>
      <w:r w:rsidRPr="00DC21B6">
        <w:rPr>
          <w:rFonts w:ascii="QCF_BSML" w:hAnsi="QCF_BSML" w:cs="QCF_BSML"/>
          <w:color w:val="auto"/>
          <w:sz w:val="32"/>
          <w:szCs w:val="32"/>
          <w:rtl/>
          <w:lang w:eastAsia="en-US"/>
        </w:rPr>
        <w:t>ﭽ</w:t>
      </w:r>
      <w:r w:rsidRPr="00DC21B6">
        <w:rPr>
          <w:rFonts w:ascii="QCF_P297" w:hAnsi="QCF_P297" w:cs="QCF_P297"/>
          <w:color w:val="auto"/>
          <w:sz w:val="32"/>
          <w:szCs w:val="32"/>
          <w:rtl/>
          <w:lang w:eastAsia="en-US"/>
        </w:rPr>
        <w:t xml:space="preserve"> ﯕ   ﯖ </w:t>
      </w:r>
      <w:r w:rsidRPr="00DC21B6">
        <w:rPr>
          <w:rFonts w:ascii="QCF_BSML" w:hAnsi="QCF_BSML" w:cs="QCF_BSML"/>
          <w:color w:val="auto"/>
          <w:sz w:val="32"/>
          <w:szCs w:val="32"/>
          <w:rtl/>
          <w:lang w:eastAsia="en-US"/>
        </w:rPr>
        <w:t>ﭼ</w:t>
      </w:r>
      <w:r w:rsidRPr="00DC21B6">
        <w:rPr>
          <w:rFonts w:ascii="QCF_P297" w:hAnsi="QCF_P297" w:cs="QCF_P297"/>
          <w:color w:val="auto"/>
          <w:sz w:val="32"/>
          <w:szCs w:val="32"/>
          <w:rtl/>
          <w:lang w:eastAsia="en-US"/>
        </w:rPr>
        <w:t xml:space="preserve"> </w:t>
      </w:r>
      <w:r w:rsidRPr="00DC21B6">
        <w:rPr>
          <w:rFonts w:ascii="Traditional Arabic" w:hAnsi="Traditional Arabic" w:hint="cs"/>
          <w:rtl/>
        </w:rPr>
        <w:t xml:space="preserve"> الاتّكاء</w:t>
      </w:r>
      <w:r w:rsidRPr="00DC21B6">
        <w:rPr>
          <w:rFonts w:ascii="Traditional Arabic" w:hAnsi="Traditional Arabic"/>
          <w:rtl/>
        </w:rPr>
        <w:t>: التحامل على الشيء</w:t>
      </w:r>
      <w:r w:rsidRPr="00DC21B6">
        <w:rPr>
          <w:vertAlign w:val="superscript"/>
          <w:rtl/>
        </w:rPr>
        <w:t>(</w:t>
      </w:r>
      <w:r w:rsidRPr="00DC21B6">
        <w:rPr>
          <w:vertAlign w:val="superscript"/>
          <w:rtl/>
        </w:rPr>
        <w:footnoteReference w:id="1303"/>
      </w:r>
      <w:r w:rsidRPr="00DC21B6">
        <w:rPr>
          <w:vertAlign w:val="superscript"/>
          <w:rtl/>
        </w:rPr>
        <w:t>)</w:t>
      </w:r>
      <w:r w:rsidRPr="00DC21B6">
        <w:rPr>
          <w:rFonts w:ascii="Traditional Arabic" w:hAnsi="Traditional Arabic"/>
          <w:rtl/>
        </w:rPr>
        <w:t>. قال أبو عبيدة:</w:t>
      </w:r>
      <w:r w:rsidRPr="00DC21B6">
        <w:rPr>
          <w:rFonts w:ascii="Traditional Arabic" w:hAnsi="Traditional Arabic" w:hint="cs"/>
          <w:rtl/>
        </w:rPr>
        <w:t xml:space="preserve"> </w:t>
      </w:r>
      <w:r w:rsidRPr="00DC21B6">
        <w:rPr>
          <w:rFonts w:ascii="Traditional Arabic" w:hAnsi="Traditional Arabic"/>
          <w:rtl/>
        </w:rPr>
        <w:t>و</w:t>
      </w:r>
      <w:r w:rsidRPr="00DC21B6">
        <w:rPr>
          <w:rFonts w:ascii="QCF_BSML" w:hAnsi="QCF_BSML" w:cs="QCF_BSML"/>
          <w:color w:val="auto"/>
          <w:sz w:val="32"/>
          <w:szCs w:val="32"/>
          <w:rtl/>
          <w:lang w:eastAsia="en-US"/>
        </w:rPr>
        <w:t xml:space="preserve"> ﭽ</w:t>
      </w:r>
      <w:r w:rsidRPr="00DC21B6">
        <w:rPr>
          <w:rFonts w:ascii="QCF_P297" w:hAnsi="QCF_P297" w:cs="QCF_P297"/>
          <w:color w:val="auto"/>
          <w:sz w:val="32"/>
          <w:szCs w:val="32"/>
          <w:rtl/>
          <w:lang w:eastAsia="en-US"/>
        </w:rPr>
        <w:t xml:space="preserve"> ﯘﯙ</w:t>
      </w:r>
      <w:r w:rsidRPr="00DC21B6">
        <w:rPr>
          <w:rFonts w:ascii="QCF_BSML" w:hAnsi="QCF_BSML" w:cs="QCF_BSML" w:hint="cs"/>
          <w:color w:val="auto"/>
          <w:sz w:val="32"/>
          <w:szCs w:val="32"/>
          <w:rtl/>
          <w:lang w:eastAsia="en-US"/>
        </w:rPr>
        <w:t xml:space="preserve"> </w:t>
      </w:r>
      <w:r w:rsidRPr="00DC21B6">
        <w:rPr>
          <w:rFonts w:ascii="QCF_BSML" w:hAnsi="QCF_BSML" w:cs="QCF_BSML"/>
          <w:color w:val="auto"/>
          <w:sz w:val="32"/>
          <w:szCs w:val="32"/>
          <w:rtl/>
          <w:lang w:eastAsia="en-US"/>
        </w:rPr>
        <w:t>ﭼ</w:t>
      </w:r>
      <w:r w:rsidRPr="00DC21B6">
        <w:rPr>
          <w:rFonts w:ascii="Traditional Arabic" w:hAnsi="Traditional Arabic"/>
          <w:rtl/>
        </w:rPr>
        <w:t>: الفُرُش في الحِجَال، ولا تكون الأريكة إِلا بحَجَلة وسرير</w:t>
      </w:r>
      <w:r w:rsidRPr="00DC21B6">
        <w:rPr>
          <w:vertAlign w:val="superscript"/>
          <w:rtl/>
        </w:rPr>
        <w:t>(</w:t>
      </w:r>
      <w:r w:rsidRPr="00DC21B6">
        <w:rPr>
          <w:vertAlign w:val="superscript"/>
          <w:rtl/>
        </w:rPr>
        <w:footnoteReference w:id="1304"/>
      </w:r>
      <w:r w:rsidRPr="00DC21B6">
        <w:rPr>
          <w:vertAlign w:val="superscript"/>
          <w:rtl/>
        </w:rPr>
        <w:t>)</w:t>
      </w:r>
      <w:r w:rsidRPr="00DC21B6">
        <w:rPr>
          <w:rFonts w:ascii="Traditional Arabic" w:hAnsi="Traditional Arabic"/>
          <w:rtl/>
        </w:rPr>
        <w:t xml:space="preserve">. </w:t>
      </w:r>
    </w:p>
    <w:p w:rsidR="00DC21B6" w:rsidRPr="00DC21B6" w:rsidRDefault="00DC21B6" w:rsidP="00251FC4">
      <w:pPr>
        <w:ind w:firstLine="0"/>
        <w:rPr>
          <w:rFonts w:ascii="Traditional Arabic" w:hAnsi="Traditional Arabic"/>
          <w:rtl/>
        </w:rPr>
      </w:pPr>
      <w:r w:rsidRPr="00DC21B6">
        <w:rPr>
          <w:rFonts w:ascii="Traditional Arabic" w:hAnsi="Traditional Arabic"/>
          <w:rtl/>
        </w:rPr>
        <w:lastRenderedPageBreak/>
        <w:t>وقال ابن قتيبة: الأرائك: السُّرُر في الحِجال، واحدها: أريكة</w:t>
      </w:r>
      <w:r w:rsidRPr="00DC21B6">
        <w:rPr>
          <w:vertAlign w:val="superscript"/>
          <w:rtl/>
        </w:rPr>
        <w:t>(</w:t>
      </w:r>
      <w:r w:rsidRPr="00DC21B6">
        <w:rPr>
          <w:vertAlign w:val="superscript"/>
          <w:rtl/>
        </w:rPr>
        <w:footnoteReference w:id="1305"/>
      </w:r>
      <w:r w:rsidRPr="00DC21B6">
        <w:rPr>
          <w:vertAlign w:val="superscript"/>
          <w:rtl/>
        </w:rPr>
        <w:t>)</w:t>
      </w:r>
      <w:r w:rsidRPr="00DC21B6">
        <w:rPr>
          <w:rFonts w:ascii="Traditional Arabic" w:hAnsi="Traditional Arabic"/>
          <w:rtl/>
        </w:rPr>
        <w:t>. وقال ثعلب: لا تكون الأريكة إِلا سريراً في قُبَّة عليه شَواره</w:t>
      </w:r>
      <w:r w:rsidRPr="00DC21B6">
        <w:rPr>
          <w:rFonts w:hint="cs"/>
          <w:rtl/>
        </w:rPr>
        <w:t xml:space="preserve"> </w:t>
      </w:r>
      <w:r w:rsidRPr="00DC21B6">
        <w:rPr>
          <w:rFonts w:ascii="Traditional Arabic" w:hAnsi="Traditional Arabic"/>
          <w:rtl/>
        </w:rPr>
        <w:t>ومتاعه</w:t>
      </w:r>
      <w:r w:rsidRPr="00DC21B6">
        <w:rPr>
          <w:vertAlign w:val="superscript"/>
          <w:rtl/>
        </w:rPr>
        <w:t>(</w:t>
      </w:r>
      <w:r w:rsidRPr="00DC21B6">
        <w:rPr>
          <w:vertAlign w:val="superscript"/>
          <w:rtl/>
        </w:rPr>
        <w:footnoteReference w:id="1306"/>
      </w:r>
      <w:r w:rsidRPr="00DC21B6">
        <w:rPr>
          <w:vertAlign w:val="superscript"/>
          <w:rtl/>
        </w:rPr>
        <w:t>)</w:t>
      </w:r>
      <w:r w:rsidRPr="00DC21B6">
        <w:rPr>
          <w:rFonts w:ascii="Traditional Arabic" w:hAnsi="Traditional Arabic" w:hint="cs"/>
          <w:rtl/>
        </w:rPr>
        <w:t>.</w:t>
      </w:r>
      <w:r w:rsidRPr="00DC21B6">
        <w:rPr>
          <w:rFonts w:ascii="Traditional Arabic" w:hAnsi="Traditional Arabic"/>
          <w:rtl/>
        </w:rPr>
        <w:t xml:space="preserve"> قال ابن قتيبة: الشَّوار، مفتوح الشين، وهو متاع البيت</w:t>
      </w:r>
      <w:r w:rsidRPr="00DC21B6">
        <w:rPr>
          <w:vertAlign w:val="superscript"/>
          <w:rtl/>
        </w:rPr>
        <w:t>(</w:t>
      </w:r>
      <w:r w:rsidRPr="00DC21B6">
        <w:rPr>
          <w:vertAlign w:val="superscript"/>
          <w:rtl/>
        </w:rPr>
        <w:footnoteReference w:id="1307"/>
      </w:r>
      <w:r w:rsidRPr="00DC21B6">
        <w:rPr>
          <w:vertAlign w:val="superscript"/>
          <w:rtl/>
        </w:rPr>
        <w:t>)</w:t>
      </w:r>
      <w:r w:rsidRPr="00DC21B6">
        <w:rPr>
          <w:rFonts w:ascii="Traditional Arabic" w:hAnsi="Traditional Arabic"/>
          <w:rtl/>
        </w:rPr>
        <w:t>. وقال الزجاج: الأرائك: الفُرُش في الحِجال. قال:</w:t>
      </w:r>
      <w:r w:rsidRPr="00DC21B6">
        <w:rPr>
          <w:rFonts w:ascii="Traditional Arabic" w:hAnsi="Traditional Arabic" w:hint="cs"/>
          <w:rtl/>
        </w:rPr>
        <w:t xml:space="preserve"> </w:t>
      </w:r>
      <w:r w:rsidRPr="00DC21B6">
        <w:rPr>
          <w:rFonts w:ascii="Traditional Arabic" w:hAnsi="Traditional Arabic"/>
          <w:rtl/>
        </w:rPr>
        <w:t>وقيل: إِنها الفُرُش، وقيل إنها الأسِرَّة، وهي على الحقيقة: الفُرُش كانت في حجال لهم</w:t>
      </w:r>
      <w:r w:rsidRPr="00DC21B6">
        <w:rPr>
          <w:vertAlign w:val="superscript"/>
          <w:rtl/>
        </w:rPr>
        <w:t>(</w:t>
      </w:r>
      <w:r w:rsidRPr="00DC21B6">
        <w:rPr>
          <w:vertAlign w:val="superscript"/>
          <w:rtl/>
        </w:rPr>
        <w:footnoteReference w:id="1308"/>
      </w:r>
      <w:r w:rsidRPr="00DC21B6">
        <w:rPr>
          <w:vertAlign w:val="superscript"/>
          <w:rtl/>
        </w:rPr>
        <w:t>)</w:t>
      </w:r>
      <w:r w:rsidRPr="00DC21B6">
        <w:rPr>
          <w:rFonts w:ascii="Traditional Arabic" w:hAnsi="Traditional Arabic"/>
          <w:rtl/>
        </w:rPr>
        <w:t>.</w:t>
      </w:r>
    </w:p>
    <w:p w:rsidR="00DC21B6" w:rsidRPr="00DC21B6" w:rsidRDefault="00DC21B6" w:rsidP="00DC21B6">
      <w:pPr>
        <w:ind w:firstLine="0"/>
        <w:rPr>
          <w:rFonts w:ascii="Traditional Arabic" w:hAnsi="Traditional Arabic"/>
          <w:rtl/>
        </w:rPr>
      </w:pPr>
    </w:p>
    <w:p w:rsidR="00DC21B6" w:rsidRPr="00DC21B6" w:rsidRDefault="00DC21B6" w:rsidP="00251FC4">
      <w:pPr>
        <w:ind w:firstLine="0"/>
        <w:rPr>
          <w:rFonts w:ascii="Traditional Arabic" w:hAnsi="Traditional Arabic"/>
          <w:rtl/>
        </w:rPr>
      </w:pPr>
      <w:r w:rsidRPr="00DC21B6">
        <w:rPr>
          <w:rFonts w:ascii="QCF_BSML" w:hAnsi="QCF_BSML" w:cs="QCF_BSML"/>
          <w:color w:val="auto"/>
          <w:sz w:val="32"/>
          <w:szCs w:val="32"/>
          <w:rtl/>
          <w:lang w:eastAsia="en-US"/>
        </w:rPr>
        <w:t>ﭽ</w:t>
      </w:r>
      <w:r w:rsidRPr="00DC21B6">
        <w:rPr>
          <w:rFonts w:ascii="QCF_P297" w:hAnsi="QCF_P297" w:cs="QCF_P297"/>
          <w:color w:val="auto"/>
          <w:sz w:val="32"/>
          <w:szCs w:val="32"/>
          <w:rtl/>
          <w:lang w:eastAsia="en-US"/>
        </w:rPr>
        <w:t xml:space="preserve">  ﯠ   ﯡ  ﯢ  ﯣ  ﯤ  ﯥ  ﯦ  ﯧ  ﯨ  ﯩ   ﯪ  ﯫ  ﯬ  ﯭ  ﯮ  ﯯ  ﯰ  ﯱ  ﯲ  ﯳ   ﯴ   ﯵ  ﯶ</w:t>
      </w:r>
      <w:r w:rsidRPr="00DC21B6">
        <w:rPr>
          <w:rFonts w:ascii="QCF_P297" w:hAnsi="QCF_P297" w:cs="QCF_P297" w:hint="cs"/>
          <w:color w:val="auto"/>
          <w:sz w:val="32"/>
          <w:szCs w:val="32"/>
          <w:rtl/>
          <w:lang w:eastAsia="en-US"/>
        </w:rPr>
        <w:t xml:space="preserve"> </w:t>
      </w:r>
      <w:r w:rsidRPr="00DC21B6">
        <w:rPr>
          <w:rFonts w:ascii="QCF_P297" w:hAnsi="QCF_P297" w:cs="QCF_P297"/>
          <w:color w:val="auto"/>
          <w:sz w:val="32"/>
          <w:szCs w:val="32"/>
          <w:rtl/>
          <w:lang w:eastAsia="en-US"/>
        </w:rPr>
        <w:t xml:space="preserve">ﯷ  ﯸ  ﯹ  ﯺ  ﯻ  ﯼ  ﯽ  ﯾ  ﯿ       ﰀ  ﰁ    ﰂ  ﰃ  ﰄ   ﰅ  ﰆ  ﰇ  ﰈ  ﰉ   </w:t>
      </w:r>
      <w:r w:rsidRPr="00DC21B6">
        <w:rPr>
          <w:rFonts w:ascii="QCF_P298" w:hAnsi="QCF_P298" w:cs="QCF_P298"/>
          <w:color w:val="auto"/>
          <w:sz w:val="32"/>
          <w:szCs w:val="32"/>
          <w:rtl/>
          <w:lang w:eastAsia="en-US"/>
        </w:rPr>
        <w:t xml:space="preserve">ﭑ  ﭒ  ﭓ  ﭔ  ﭕ    ﭖ  ﭗ  ﭘ  ﭙ  ﭚ  ﭛ   ﭜ  ﭝ  ﭞ  ﭟ  ﭠ </w:t>
      </w:r>
      <w:r w:rsidR="00251FC4">
        <w:rPr>
          <w:rFonts w:ascii="QCF_P298" w:hAnsi="QCF_P298" w:cs="QCF_P298"/>
          <w:color w:val="auto"/>
          <w:sz w:val="32"/>
          <w:szCs w:val="32"/>
          <w:rtl/>
          <w:lang w:eastAsia="en-US"/>
        </w:rPr>
        <w:t xml:space="preserve"> ﭡ  ﭢ  ﭣ  ﭤ   ﭥ   ﭦ  ﭧ  ﭨ  ﭩ  ﭪ</w:t>
      </w:r>
      <w:r w:rsidRPr="00DC21B6">
        <w:rPr>
          <w:rFonts w:ascii="QCF_BSML" w:hAnsi="QCF_BSML" w:cs="QCF_BSML"/>
          <w:color w:val="auto"/>
          <w:sz w:val="32"/>
          <w:szCs w:val="32"/>
          <w:rtl/>
          <w:lang w:eastAsia="en-US"/>
        </w:rPr>
        <w:t>ﭼ</w:t>
      </w:r>
      <w:r w:rsidRPr="00DC21B6">
        <w:rPr>
          <w:rFonts w:ascii="Arial" w:hAnsi="Arial" w:cs="Arial"/>
          <w:color w:val="auto"/>
          <w:sz w:val="32"/>
          <w:szCs w:val="32"/>
          <w:rtl/>
          <w:lang w:eastAsia="en-US"/>
        </w:rPr>
        <w:t xml:space="preserve"> </w:t>
      </w:r>
    </w:p>
    <w:p w:rsidR="00DC21B6" w:rsidRPr="00DC21B6" w:rsidRDefault="00DC21B6" w:rsidP="00DC21B6">
      <w:pPr>
        <w:ind w:firstLine="0"/>
        <w:rPr>
          <w:rFonts w:ascii="Traditional Arabic" w:hAnsi="Traditional Arabic"/>
          <w:rtl/>
        </w:rPr>
      </w:pPr>
      <w:r w:rsidRPr="00DC21B6">
        <w:rPr>
          <w:rFonts w:ascii="Traditional Arabic" w:hAnsi="Traditional Arabic"/>
          <w:rtl/>
        </w:rPr>
        <w:t xml:space="preserve">قوله تعالى: </w:t>
      </w:r>
      <w:r w:rsidRPr="00DC21B6">
        <w:rPr>
          <w:rFonts w:ascii="QCF_BSML" w:hAnsi="QCF_BSML" w:cs="QCF_BSML"/>
          <w:color w:val="auto"/>
          <w:sz w:val="32"/>
          <w:szCs w:val="32"/>
          <w:rtl/>
          <w:lang w:eastAsia="en-US"/>
        </w:rPr>
        <w:t>ﭽ</w:t>
      </w:r>
      <w:r w:rsidRPr="00DC21B6">
        <w:rPr>
          <w:rFonts w:ascii="QCF_P297" w:hAnsi="QCF_P297" w:cs="QCF_P297"/>
          <w:color w:val="auto"/>
          <w:sz w:val="32"/>
          <w:szCs w:val="32"/>
          <w:rtl/>
          <w:lang w:eastAsia="en-US"/>
        </w:rPr>
        <w:t xml:space="preserve">  ﯠ   ﯡ  ﯢ  ﯣ</w:t>
      </w:r>
      <w:r w:rsidRPr="00DC21B6">
        <w:rPr>
          <w:rFonts w:ascii="QCF_BSML" w:hAnsi="QCF_BSML" w:cs="QCF_BSML"/>
          <w:color w:val="auto"/>
          <w:sz w:val="32"/>
          <w:szCs w:val="32"/>
          <w:rtl/>
          <w:lang w:eastAsia="en-US"/>
        </w:rPr>
        <w:t xml:space="preserve"> ﭼ</w:t>
      </w:r>
      <w:r w:rsidRPr="00DC21B6">
        <w:rPr>
          <w:rFonts w:ascii="Traditional Arabic" w:hAnsi="Traditional Arabic"/>
          <w:rtl/>
        </w:rPr>
        <w:t xml:space="preserve"> روى عطاء عن ابن عباس، قال: هما ابنا ملك كان في بني إِسرائيل توفِّي وتركهما، فاتخذ أحدهما الجِنان والقصور، وكان الآخر زاهداً في الدنيا، فكان إِذا عمل أخوه شيئاً من زينة الدنيا، أخذ مثل ذلك فقدَّمه لآخرته، حتى نفد ماله، فضربهما الله عزّ وجلّ مثلا</w:t>
      </w:r>
      <w:r w:rsidRPr="00DC21B6">
        <w:rPr>
          <w:rFonts w:ascii="Traditional Arabic" w:hAnsi="Traditional Arabic" w:hint="cs"/>
          <w:rtl/>
        </w:rPr>
        <w:t xml:space="preserve"> </w:t>
      </w:r>
      <w:r w:rsidRPr="00DC21B6">
        <w:rPr>
          <w:rFonts w:ascii="Traditional Arabic" w:hAnsi="Traditional Arabic"/>
          <w:rtl/>
        </w:rPr>
        <w:t>للمؤمن والكافر الذي أبطرته النعمة</w:t>
      </w:r>
      <w:r w:rsidRPr="00DC21B6">
        <w:rPr>
          <w:vertAlign w:val="superscript"/>
          <w:rtl/>
        </w:rPr>
        <w:t>(</w:t>
      </w:r>
      <w:r w:rsidRPr="00DC21B6">
        <w:rPr>
          <w:vertAlign w:val="superscript"/>
          <w:rtl/>
        </w:rPr>
        <w:footnoteReference w:id="1309"/>
      </w:r>
      <w:r w:rsidRPr="00DC21B6">
        <w:rPr>
          <w:vertAlign w:val="superscript"/>
          <w:rtl/>
        </w:rPr>
        <w:t>)</w:t>
      </w:r>
      <w:r w:rsidRPr="00DC21B6">
        <w:rPr>
          <w:rFonts w:ascii="Traditional Arabic" w:hAnsi="Traditional Arabic"/>
          <w:rtl/>
        </w:rPr>
        <w:t>. وروى أبو صالح عن ابن عباس: أن المسلم لما احتاج، تعرَّض لأخيه الكافر، فقال الكافر: أين ما ورثتَ عن أبيك؟ فقال: أنفقتُه في سبيل الله، فقال الكافر: لكنّي ابتعت منه جِناناً وغنماً، وبقراً، والله لا أعطيتك شيئاً أبداً حتى تتبع ديني، ثم أخذ بيد المسلِم فأدخله جِنانه يطوف به فيها، ويرغِّبه في دينه</w:t>
      </w:r>
      <w:r w:rsidRPr="00DC21B6">
        <w:rPr>
          <w:vertAlign w:val="superscript"/>
          <w:rtl/>
        </w:rPr>
        <w:t>(</w:t>
      </w:r>
      <w:r w:rsidRPr="00DC21B6">
        <w:rPr>
          <w:vertAlign w:val="superscript"/>
          <w:rtl/>
        </w:rPr>
        <w:footnoteReference w:id="1310"/>
      </w:r>
      <w:r w:rsidRPr="00DC21B6">
        <w:rPr>
          <w:vertAlign w:val="superscript"/>
          <w:rtl/>
        </w:rPr>
        <w:t>)</w:t>
      </w:r>
      <w:r w:rsidRPr="00DC21B6">
        <w:rPr>
          <w:rFonts w:ascii="Traditional Arabic" w:hAnsi="Traditional Arabic"/>
          <w:rtl/>
        </w:rPr>
        <w:t xml:space="preserve">. وقال مقاتل: </w:t>
      </w:r>
      <w:r w:rsidRPr="00DC21B6">
        <w:rPr>
          <w:rFonts w:ascii="Traditional Arabic" w:hAnsi="Traditional Arabic"/>
          <w:rtl/>
        </w:rPr>
        <w:lastRenderedPageBreak/>
        <w:t>اسم المؤمن يمليخا، واسم الكافر فرطس، وقيل:</w:t>
      </w:r>
      <w:r w:rsidRPr="00DC21B6">
        <w:rPr>
          <w:rFonts w:ascii="Traditional Arabic" w:hAnsi="Traditional Arabic" w:hint="cs"/>
          <w:rtl/>
        </w:rPr>
        <w:t xml:space="preserve"> </w:t>
      </w:r>
      <w:r w:rsidRPr="00DC21B6">
        <w:rPr>
          <w:rFonts w:ascii="Traditional Arabic" w:hAnsi="Traditional Arabic"/>
          <w:rtl/>
        </w:rPr>
        <w:t>فطرس</w:t>
      </w:r>
      <w:r w:rsidRPr="00DC21B6">
        <w:rPr>
          <w:vertAlign w:val="superscript"/>
          <w:rtl/>
        </w:rPr>
        <w:t>(</w:t>
      </w:r>
      <w:r w:rsidRPr="00DC21B6">
        <w:rPr>
          <w:vertAlign w:val="superscript"/>
          <w:rtl/>
        </w:rPr>
        <w:footnoteReference w:id="1311"/>
      </w:r>
      <w:r w:rsidRPr="00DC21B6">
        <w:rPr>
          <w:vertAlign w:val="superscript"/>
          <w:rtl/>
        </w:rPr>
        <w:t>)</w:t>
      </w:r>
      <w:r w:rsidRPr="00DC21B6">
        <w:rPr>
          <w:rFonts w:ascii="Traditional Arabic" w:hAnsi="Traditional Arabic" w:hint="cs"/>
          <w:rtl/>
        </w:rPr>
        <w:t xml:space="preserve">. </w:t>
      </w:r>
      <w:r w:rsidRPr="00DC21B6">
        <w:rPr>
          <w:rFonts w:ascii="Traditional Arabic" w:hAnsi="Traditional Arabic"/>
          <w:rtl/>
        </w:rPr>
        <w:t>وقيل: هذا المَثَل لعيينة</w:t>
      </w:r>
      <w:r w:rsidRPr="00DC21B6">
        <w:rPr>
          <w:vertAlign w:val="superscript"/>
          <w:rtl/>
        </w:rPr>
        <w:t>(</w:t>
      </w:r>
      <w:r w:rsidRPr="00DC21B6">
        <w:rPr>
          <w:vertAlign w:val="superscript"/>
          <w:rtl/>
        </w:rPr>
        <w:footnoteReference w:id="1312"/>
      </w:r>
      <w:r w:rsidRPr="00DC21B6">
        <w:rPr>
          <w:vertAlign w:val="superscript"/>
          <w:rtl/>
        </w:rPr>
        <w:t>)</w:t>
      </w:r>
      <w:r w:rsidRPr="00DC21B6">
        <w:rPr>
          <w:rFonts w:ascii="Traditional Arabic" w:hAnsi="Traditional Arabic"/>
          <w:rtl/>
        </w:rPr>
        <w:t xml:space="preserve"> بن حصن وأصحابه، ولسلمان وأصحابه</w:t>
      </w:r>
      <w:r w:rsidRPr="00DC21B6">
        <w:rPr>
          <w:vertAlign w:val="superscript"/>
          <w:rtl/>
        </w:rPr>
        <w:t>(</w:t>
      </w:r>
      <w:r w:rsidRPr="00DC21B6">
        <w:rPr>
          <w:vertAlign w:val="superscript"/>
          <w:rtl/>
        </w:rPr>
        <w:footnoteReference w:id="1313"/>
      </w:r>
      <w:r w:rsidRPr="00DC21B6">
        <w:rPr>
          <w:vertAlign w:val="superscript"/>
          <w:rtl/>
        </w:rPr>
        <w:t>)</w:t>
      </w:r>
      <w:r w:rsidRPr="00DC21B6">
        <w:rPr>
          <w:rFonts w:ascii="Traditional Arabic" w:hAnsi="Traditional Arabic"/>
          <w:rtl/>
        </w:rPr>
        <w:t xml:space="preserve">. </w:t>
      </w:r>
    </w:p>
    <w:p w:rsidR="00DC21B6" w:rsidRPr="00DC21B6" w:rsidRDefault="00DC21B6" w:rsidP="00DC21B6">
      <w:pPr>
        <w:ind w:firstLine="0"/>
        <w:rPr>
          <w:rFonts w:ascii="Traditional Arabic" w:hAnsi="Traditional Arabic"/>
          <w:rtl/>
        </w:rPr>
      </w:pPr>
      <w:r w:rsidRPr="00DC21B6">
        <w:rPr>
          <w:rFonts w:ascii="Traditional Arabic" w:hAnsi="Traditional Arabic"/>
          <w:rtl/>
        </w:rPr>
        <w:t>قوله تعالى:</w:t>
      </w:r>
      <w:r w:rsidRPr="00DC21B6">
        <w:rPr>
          <w:rFonts w:ascii="Traditional Arabic" w:hAnsi="Traditional Arabic" w:hint="cs"/>
          <w:rtl/>
        </w:rPr>
        <w:t xml:space="preserve"> </w:t>
      </w:r>
      <w:r w:rsidRPr="00DC21B6">
        <w:rPr>
          <w:rFonts w:ascii="QCF_BSML" w:hAnsi="QCF_BSML" w:cs="QCF_BSML"/>
          <w:color w:val="auto"/>
          <w:sz w:val="32"/>
          <w:szCs w:val="32"/>
          <w:rtl/>
          <w:lang w:eastAsia="en-US"/>
        </w:rPr>
        <w:t>ﭽ</w:t>
      </w:r>
      <w:r w:rsidRPr="00DC21B6">
        <w:rPr>
          <w:rFonts w:ascii="QCF_P297" w:hAnsi="QCF_P297" w:cs="QCF_P297"/>
          <w:color w:val="auto"/>
          <w:sz w:val="32"/>
          <w:szCs w:val="32"/>
          <w:rtl/>
          <w:lang w:eastAsia="en-US"/>
        </w:rPr>
        <w:t>ﯩ   ﯪ</w:t>
      </w:r>
      <w:r w:rsidRPr="00DC21B6">
        <w:rPr>
          <w:rFonts w:ascii="QCF_BSML" w:hAnsi="QCF_BSML" w:cs="QCF_BSML" w:hint="cs"/>
          <w:color w:val="auto"/>
          <w:sz w:val="32"/>
          <w:szCs w:val="32"/>
          <w:rtl/>
          <w:lang w:eastAsia="en-US"/>
        </w:rPr>
        <w:t xml:space="preserve"> </w:t>
      </w:r>
      <w:r w:rsidRPr="00DC21B6">
        <w:rPr>
          <w:rFonts w:ascii="QCF_BSML" w:hAnsi="QCF_BSML" w:cs="QCF_BSML"/>
          <w:color w:val="auto"/>
          <w:sz w:val="32"/>
          <w:szCs w:val="32"/>
          <w:rtl/>
          <w:lang w:eastAsia="en-US"/>
        </w:rPr>
        <w:t>ﭼ</w:t>
      </w:r>
      <w:r w:rsidRPr="00DC21B6">
        <w:rPr>
          <w:rFonts w:ascii="Traditional Arabic" w:hAnsi="Traditional Arabic"/>
          <w:rtl/>
        </w:rPr>
        <w:t xml:space="preserve"> الحفّ: الإحاطة بالشيء، ومنه قوله تعالى: </w:t>
      </w:r>
      <w:r w:rsidRPr="00DC21B6">
        <w:rPr>
          <w:rFonts w:ascii="QCF_BSML" w:hAnsi="QCF_BSML" w:cs="QCF_BSML"/>
          <w:sz w:val="32"/>
          <w:szCs w:val="32"/>
          <w:rtl/>
          <w:lang w:eastAsia="en-US"/>
        </w:rPr>
        <w:t xml:space="preserve">ﭽ </w:t>
      </w:r>
      <w:r w:rsidRPr="00DC21B6">
        <w:rPr>
          <w:rFonts w:ascii="QCF_P467" w:hAnsi="QCF_P467" w:cs="QCF_P467"/>
          <w:sz w:val="32"/>
          <w:szCs w:val="32"/>
          <w:rtl/>
          <w:lang w:eastAsia="en-US"/>
        </w:rPr>
        <w:t xml:space="preserve">ﭓ  ﭔ  ﭕ  ﭖ  </w:t>
      </w:r>
      <w:r w:rsidRPr="00DC21B6">
        <w:rPr>
          <w:rFonts w:ascii="QCF_BSML" w:hAnsi="QCF_BSML" w:cs="QCF_BSML"/>
          <w:sz w:val="32"/>
          <w:szCs w:val="32"/>
          <w:rtl/>
          <w:lang w:eastAsia="en-US"/>
        </w:rPr>
        <w:t>ﭼ</w:t>
      </w:r>
      <w:r w:rsidRPr="00DC21B6">
        <w:rPr>
          <w:rFonts w:ascii="Arial" w:hAnsi="Arial" w:cs="Arial"/>
          <w:sz w:val="18"/>
          <w:szCs w:val="18"/>
          <w:rtl/>
          <w:lang w:eastAsia="en-US"/>
        </w:rPr>
        <w:t xml:space="preserve"> </w:t>
      </w:r>
      <w:r w:rsidRPr="00DC21B6">
        <w:rPr>
          <w:rFonts w:ascii="Traditional Arabic" w:hAnsi="Traditional Arabic" w:hint="cs"/>
          <w:rtl/>
        </w:rPr>
        <w:t>[</w:t>
      </w:r>
      <w:r w:rsidRPr="00DC21B6">
        <w:rPr>
          <w:rFonts w:ascii="Traditional Arabic" w:hAnsi="Traditional Arabic"/>
          <w:sz w:val="28"/>
          <w:szCs w:val="28"/>
          <w:rtl/>
        </w:rPr>
        <w:t>سورة الزمر:7</w:t>
      </w:r>
      <w:r w:rsidRPr="00DC21B6">
        <w:rPr>
          <w:rFonts w:ascii="Traditional Arabic" w:hAnsi="Traditional Arabic" w:hint="cs"/>
          <w:sz w:val="28"/>
          <w:szCs w:val="28"/>
          <w:rtl/>
        </w:rPr>
        <w:t>5]</w:t>
      </w:r>
      <w:r w:rsidRPr="00DC21B6">
        <w:rPr>
          <w:rFonts w:ascii="Traditional Arabic" w:hAnsi="Traditional Arabic"/>
          <w:rtl/>
        </w:rPr>
        <w:t xml:space="preserve"> </w:t>
      </w:r>
      <w:r w:rsidRPr="00DC21B6">
        <w:rPr>
          <w:rFonts w:ascii="Traditional Arabic" w:hAnsi="Traditional Arabic" w:hint="cs"/>
          <w:sz w:val="32"/>
          <w:szCs w:val="32"/>
          <w:rtl/>
        </w:rPr>
        <w:t>[120]</w:t>
      </w:r>
      <w:r w:rsidRPr="00DC21B6">
        <w:rPr>
          <w:rFonts w:ascii="Traditional Arabic" w:hAnsi="Traditional Arabic"/>
          <w:sz w:val="32"/>
          <w:szCs w:val="32"/>
          <w:rtl/>
        </w:rPr>
        <w:t xml:space="preserve"> </w:t>
      </w:r>
      <w:r w:rsidRPr="00DC21B6">
        <w:rPr>
          <w:rFonts w:ascii="Traditional Arabic" w:hAnsi="Traditional Arabic" w:hint="cs"/>
          <w:rtl/>
        </w:rPr>
        <w:t>و</w:t>
      </w:r>
      <w:r w:rsidRPr="00DC21B6">
        <w:rPr>
          <w:rFonts w:ascii="Traditional Arabic" w:hAnsi="Traditional Arabic"/>
          <w:rtl/>
        </w:rPr>
        <w:t>المعنى:</w:t>
      </w:r>
      <w:r w:rsidRPr="00DC21B6">
        <w:rPr>
          <w:rFonts w:ascii="Traditional Arabic" w:hAnsi="Traditional Arabic" w:hint="cs"/>
          <w:rtl/>
        </w:rPr>
        <w:t xml:space="preserve"> </w:t>
      </w:r>
      <w:r w:rsidRPr="00DC21B6">
        <w:rPr>
          <w:rFonts w:ascii="Traditional Arabic" w:hAnsi="Traditional Arabic"/>
          <w:rtl/>
        </w:rPr>
        <w:t>جعلنا النّخل مُطِيفاً</w:t>
      </w:r>
      <w:r w:rsidRPr="00DC21B6">
        <w:rPr>
          <w:vertAlign w:val="superscript"/>
          <w:rtl/>
        </w:rPr>
        <w:t>(</w:t>
      </w:r>
      <w:r w:rsidRPr="00DC21B6">
        <w:rPr>
          <w:vertAlign w:val="superscript"/>
          <w:rtl/>
        </w:rPr>
        <w:footnoteReference w:id="1314"/>
      </w:r>
      <w:r w:rsidRPr="00DC21B6">
        <w:rPr>
          <w:vertAlign w:val="superscript"/>
          <w:rtl/>
        </w:rPr>
        <w:t>)</w:t>
      </w:r>
      <w:r w:rsidRPr="00DC21B6">
        <w:rPr>
          <w:rFonts w:ascii="Traditional Arabic" w:hAnsi="Traditional Arabic"/>
          <w:rtl/>
        </w:rPr>
        <w:t xml:space="preserve">. وقوله تعالى: </w:t>
      </w:r>
      <w:r w:rsidRPr="00DC21B6">
        <w:rPr>
          <w:rFonts w:ascii="QCF_BSML" w:hAnsi="QCF_BSML" w:cs="QCF_BSML"/>
          <w:color w:val="auto"/>
          <w:sz w:val="32"/>
          <w:szCs w:val="32"/>
          <w:rtl/>
          <w:lang w:eastAsia="en-US"/>
        </w:rPr>
        <w:t>ﭽ</w:t>
      </w:r>
      <w:r w:rsidRPr="00DC21B6">
        <w:rPr>
          <w:rFonts w:ascii="QCF_P297" w:hAnsi="QCF_P297" w:cs="QCF_P297"/>
          <w:color w:val="auto"/>
          <w:sz w:val="32"/>
          <w:szCs w:val="32"/>
          <w:rtl/>
          <w:lang w:eastAsia="en-US"/>
        </w:rPr>
        <w:t>ﯫ  ﯬ  ﯭ</w:t>
      </w:r>
      <w:r w:rsidRPr="00DC21B6">
        <w:rPr>
          <w:rFonts w:ascii="QCF_BSML" w:hAnsi="QCF_BSML" w:cs="QCF_BSML"/>
          <w:color w:val="auto"/>
          <w:sz w:val="32"/>
          <w:szCs w:val="32"/>
          <w:rtl/>
          <w:lang w:eastAsia="en-US"/>
        </w:rPr>
        <w:t xml:space="preserve"> ﭼ</w:t>
      </w:r>
      <w:r w:rsidRPr="00DC21B6">
        <w:rPr>
          <w:rFonts w:ascii="QCF_BSML" w:hAnsi="QCF_BSML" w:cs="QCF_BSML" w:hint="cs"/>
          <w:color w:val="auto"/>
          <w:sz w:val="32"/>
          <w:szCs w:val="32"/>
          <w:rtl/>
          <w:lang w:eastAsia="en-US"/>
        </w:rPr>
        <w:t xml:space="preserve"> </w:t>
      </w:r>
      <w:r w:rsidRPr="00DC21B6">
        <w:rPr>
          <w:rFonts w:ascii="QCF_P297" w:hAnsi="QCF_P297" w:cs="QCF_P297"/>
          <w:color w:val="auto"/>
          <w:sz w:val="32"/>
          <w:szCs w:val="32"/>
          <w:rtl/>
          <w:lang w:eastAsia="en-US"/>
        </w:rPr>
        <w:t xml:space="preserve">  </w:t>
      </w:r>
      <w:r w:rsidRPr="00DC21B6">
        <w:rPr>
          <w:rFonts w:ascii="Traditional Arabic" w:hAnsi="Traditional Arabic"/>
          <w:rtl/>
        </w:rPr>
        <w:t>إِعلام أن عمارتهما كاملة</w:t>
      </w:r>
      <w:r w:rsidRPr="00DC21B6">
        <w:rPr>
          <w:vertAlign w:val="superscript"/>
          <w:rtl/>
        </w:rPr>
        <w:t>(</w:t>
      </w:r>
      <w:r w:rsidRPr="00DC21B6">
        <w:rPr>
          <w:vertAlign w:val="superscript"/>
          <w:rtl/>
        </w:rPr>
        <w:footnoteReference w:id="1315"/>
      </w:r>
      <w:r w:rsidRPr="00DC21B6">
        <w:rPr>
          <w:vertAlign w:val="superscript"/>
          <w:rtl/>
        </w:rPr>
        <w:t>)</w:t>
      </w:r>
      <w:r w:rsidRPr="00DC21B6">
        <w:rPr>
          <w:rFonts w:ascii="Traditional Arabic" w:hAnsi="Traditional Arabic"/>
          <w:rtl/>
        </w:rPr>
        <w:t>.</w:t>
      </w:r>
      <w:r w:rsidRPr="00DC21B6">
        <w:rPr>
          <w:rFonts w:ascii="Traditional Arabic" w:hAnsi="Traditional Arabic" w:hint="cs"/>
          <w:rtl/>
        </w:rPr>
        <w:t xml:space="preserve"> </w:t>
      </w:r>
      <w:r w:rsidRPr="00DC21B6">
        <w:rPr>
          <w:rFonts w:ascii="Traditional Arabic" w:hAnsi="Traditional Arabic"/>
          <w:rtl/>
        </w:rPr>
        <w:t xml:space="preserve">قوله تعالى: </w:t>
      </w:r>
      <w:r w:rsidRPr="00DC21B6">
        <w:rPr>
          <w:rFonts w:ascii="QCF_BSML" w:hAnsi="QCF_BSML" w:cs="QCF_BSML"/>
          <w:color w:val="auto"/>
          <w:sz w:val="32"/>
          <w:szCs w:val="32"/>
          <w:rtl/>
          <w:lang w:eastAsia="en-US"/>
        </w:rPr>
        <w:t>ﭽ</w:t>
      </w:r>
      <w:r w:rsidRPr="00DC21B6">
        <w:rPr>
          <w:rFonts w:ascii="QCF_P297" w:hAnsi="QCF_P297" w:cs="QCF_P297"/>
          <w:color w:val="auto"/>
          <w:sz w:val="32"/>
          <w:szCs w:val="32"/>
          <w:rtl/>
          <w:lang w:eastAsia="en-US"/>
        </w:rPr>
        <w:t xml:space="preserve"> ﯯ  ﯰ  ﯱ  ﯲ</w:t>
      </w:r>
      <w:r w:rsidRPr="00DC21B6">
        <w:rPr>
          <w:rFonts w:ascii="QCF_P297" w:hAnsi="QCF_P297" w:cs="QCF_P297" w:hint="cs"/>
          <w:color w:val="auto"/>
          <w:sz w:val="32"/>
          <w:szCs w:val="32"/>
          <w:rtl/>
          <w:lang w:eastAsia="en-US"/>
        </w:rPr>
        <w:t xml:space="preserve"> </w:t>
      </w:r>
      <w:r w:rsidRPr="00DC21B6">
        <w:rPr>
          <w:rFonts w:ascii="QCF_BSML" w:hAnsi="QCF_BSML" w:cs="QCF_BSML"/>
          <w:color w:val="auto"/>
          <w:sz w:val="32"/>
          <w:szCs w:val="32"/>
          <w:rtl/>
          <w:lang w:eastAsia="en-US"/>
        </w:rPr>
        <w:t>ﭼ</w:t>
      </w:r>
      <w:r w:rsidRPr="00DC21B6">
        <w:rPr>
          <w:rFonts w:ascii="QCF_P297" w:hAnsi="QCF_P297" w:cs="QCF_P297" w:hint="cs"/>
          <w:color w:val="auto"/>
          <w:sz w:val="32"/>
          <w:szCs w:val="32"/>
          <w:rtl/>
          <w:lang w:eastAsia="en-US"/>
        </w:rPr>
        <w:t xml:space="preserve"> </w:t>
      </w:r>
      <w:r w:rsidRPr="00DC21B6">
        <w:rPr>
          <w:rFonts w:ascii="QCF_P297" w:hAnsi="QCF_P297" w:cs="QCF_P297"/>
          <w:color w:val="auto"/>
          <w:sz w:val="32"/>
          <w:szCs w:val="32"/>
          <w:rtl/>
          <w:lang w:eastAsia="en-US"/>
        </w:rPr>
        <w:t xml:space="preserve"> </w:t>
      </w:r>
      <w:r w:rsidRPr="00DC21B6">
        <w:rPr>
          <w:rFonts w:ascii="Traditional Arabic" w:hAnsi="Traditional Arabic"/>
          <w:rtl/>
        </w:rPr>
        <w:t>قال الفرّاء: لم يقل تعالى: آتتا، لأن «كِلْتَا» ثنتان لا تُفرد واحدتُهما، وأصله: «كُلٌّ» ، كما تقول للثلاثة: كُلٌّ</w:t>
      </w:r>
      <w:r w:rsidRPr="00DC21B6">
        <w:rPr>
          <w:rFonts w:ascii="Traditional Arabic" w:hAnsi="Traditional Arabic" w:hint="cs"/>
          <w:rtl/>
        </w:rPr>
        <w:t>؛</w:t>
      </w:r>
      <w:r w:rsidRPr="00DC21B6">
        <w:rPr>
          <w:rFonts w:ascii="Traditional Arabic" w:hAnsi="Traditional Arabic"/>
          <w:rtl/>
        </w:rPr>
        <w:t xml:space="preserve"> فكان القضاء أن يكون للثنتين ما كان للجمع، وجاز توحيده على مذهب كُلّ، وتأنيثه جائز للتأنيث الذي ظهر في كلتا، وكذلك فافعل بكلا وكلتا وكُلّ إِذا أضفتَهُنَّ إِلى مَعْرِفة وجاء الفعل بعدهن فوحِّد واجمع</w:t>
      </w:r>
      <w:r w:rsidRPr="00DC21B6">
        <w:rPr>
          <w:rFonts w:ascii="Traditional Arabic" w:hAnsi="Traditional Arabic" w:hint="cs"/>
          <w:rtl/>
        </w:rPr>
        <w:t>؛</w:t>
      </w:r>
      <w:r w:rsidRPr="00DC21B6">
        <w:rPr>
          <w:rFonts w:ascii="Traditional Arabic" w:hAnsi="Traditional Arabic"/>
          <w:rtl/>
        </w:rPr>
        <w:t xml:space="preserve"> فمن التوحيد</w:t>
      </w:r>
      <w:r w:rsidRPr="00DC21B6">
        <w:rPr>
          <w:rFonts w:hint="cs"/>
          <w:vertAlign w:val="superscript"/>
          <w:rtl/>
        </w:rPr>
        <w:t xml:space="preserve"> </w:t>
      </w:r>
      <w:r w:rsidRPr="00DC21B6">
        <w:rPr>
          <w:rFonts w:ascii="Traditional Arabic" w:hAnsi="Traditional Arabic"/>
          <w:rtl/>
        </w:rPr>
        <w:t>قوله تعالى:</w:t>
      </w:r>
      <w:r w:rsidRPr="00DC21B6">
        <w:rPr>
          <w:rFonts w:ascii="QCF_BSML" w:hAnsi="QCF_BSML" w:cs="QCF_BSML" w:hint="cs"/>
          <w:color w:val="auto"/>
          <w:sz w:val="32"/>
          <w:szCs w:val="32"/>
          <w:rtl/>
          <w:lang w:eastAsia="en-US"/>
        </w:rPr>
        <w:t xml:space="preserve">  </w:t>
      </w:r>
      <w:r w:rsidRPr="00DC21B6">
        <w:rPr>
          <w:rFonts w:ascii="QCF_BSML" w:hAnsi="QCF_BSML" w:cs="QCF_BSML"/>
          <w:sz w:val="47"/>
          <w:szCs w:val="47"/>
          <w:rtl/>
          <w:lang w:eastAsia="en-US"/>
        </w:rPr>
        <w:t xml:space="preserve"> </w:t>
      </w:r>
      <w:r w:rsidRPr="00DC21B6">
        <w:rPr>
          <w:rFonts w:ascii="QCF_BSML" w:hAnsi="QCF_BSML" w:cs="QCF_BSML"/>
          <w:sz w:val="32"/>
          <w:szCs w:val="32"/>
          <w:rtl/>
          <w:lang w:eastAsia="en-US"/>
        </w:rPr>
        <w:t xml:space="preserve">ﭽ </w:t>
      </w:r>
      <w:r w:rsidRPr="00DC21B6">
        <w:rPr>
          <w:rFonts w:ascii="QCF_P311" w:hAnsi="QCF_P311" w:cs="QCF_P311"/>
          <w:sz w:val="32"/>
          <w:szCs w:val="32"/>
          <w:rtl/>
          <w:lang w:eastAsia="en-US"/>
        </w:rPr>
        <w:t xml:space="preserve">ﯿ  ﰀ  ﰁ  ﰂ  ﰃ  </w:t>
      </w:r>
      <w:r w:rsidRPr="00DC21B6">
        <w:rPr>
          <w:rFonts w:ascii="QCF_BSML" w:hAnsi="QCF_BSML" w:cs="QCF_BSML"/>
          <w:sz w:val="32"/>
          <w:szCs w:val="32"/>
          <w:rtl/>
          <w:lang w:eastAsia="en-US"/>
        </w:rPr>
        <w:t>ﭼ</w:t>
      </w:r>
      <w:r w:rsidRPr="00DC21B6">
        <w:rPr>
          <w:rFonts w:ascii="Arial" w:hAnsi="Arial" w:cs="Arial"/>
          <w:sz w:val="18"/>
          <w:szCs w:val="18"/>
          <w:rtl/>
          <w:lang w:eastAsia="en-US"/>
        </w:rPr>
        <w:t xml:space="preserve"> </w:t>
      </w:r>
      <w:r w:rsidRPr="00DC21B6">
        <w:rPr>
          <w:rFonts w:ascii="Traditional Arabic" w:hAnsi="Traditional Arabic" w:hint="cs"/>
          <w:rtl/>
        </w:rPr>
        <w:t>[</w:t>
      </w:r>
      <w:r w:rsidRPr="00DC21B6">
        <w:rPr>
          <w:rFonts w:ascii="Traditional Arabic" w:hAnsi="Traditional Arabic"/>
          <w:sz w:val="28"/>
          <w:szCs w:val="28"/>
          <w:rtl/>
        </w:rPr>
        <w:t>سورة مريم:95</w:t>
      </w:r>
      <w:r w:rsidRPr="00DC21B6">
        <w:rPr>
          <w:rFonts w:ascii="Traditional Arabic" w:hAnsi="Traditional Arabic" w:hint="cs"/>
          <w:sz w:val="28"/>
          <w:szCs w:val="28"/>
          <w:rtl/>
        </w:rPr>
        <w:t>]</w:t>
      </w:r>
      <w:r w:rsidRPr="00DC21B6">
        <w:rPr>
          <w:rFonts w:ascii="Traditional Arabic" w:hAnsi="Traditional Arabic"/>
          <w:rtl/>
        </w:rPr>
        <w:t xml:space="preserve">، ومن الجمع: </w:t>
      </w:r>
      <w:r w:rsidRPr="00DC21B6">
        <w:rPr>
          <w:rFonts w:ascii="QCF_BSML" w:hAnsi="QCF_BSML" w:cs="QCF_BSML"/>
          <w:sz w:val="32"/>
          <w:szCs w:val="32"/>
          <w:rtl/>
          <w:lang w:eastAsia="en-US"/>
        </w:rPr>
        <w:t xml:space="preserve">ﭽ </w:t>
      </w:r>
      <w:r w:rsidRPr="00DC21B6">
        <w:rPr>
          <w:rFonts w:ascii="QCF_P384" w:hAnsi="QCF_P384" w:cs="QCF_P384"/>
          <w:sz w:val="32"/>
          <w:szCs w:val="32"/>
          <w:rtl/>
          <w:lang w:eastAsia="en-US"/>
        </w:rPr>
        <w:t xml:space="preserve">ﯼ  ﯽ    ﯾ  </w:t>
      </w:r>
      <w:r w:rsidRPr="00DC21B6">
        <w:rPr>
          <w:rFonts w:ascii="QCF_BSML" w:hAnsi="QCF_BSML" w:cs="QCF_BSML"/>
          <w:sz w:val="32"/>
          <w:szCs w:val="32"/>
          <w:rtl/>
          <w:lang w:eastAsia="en-US"/>
        </w:rPr>
        <w:t>ﭼ</w:t>
      </w:r>
      <w:r w:rsidRPr="00DC21B6">
        <w:rPr>
          <w:rFonts w:ascii="Arial" w:hAnsi="Arial" w:cs="Arial"/>
          <w:sz w:val="18"/>
          <w:szCs w:val="18"/>
          <w:rtl/>
          <w:lang w:eastAsia="en-US"/>
        </w:rPr>
        <w:t xml:space="preserve"> </w:t>
      </w:r>
      <w:r w:rsidRPr="00DC21B6">
        <w:rPr>
          <w:rFonts w:ascii="Traditional Arabic" w:hAnsi="Traditional Arabic" w:hint="cs"/>
          <w:rtl/>
        </w:rPr>
        <w:t>[</w:t>
      </w:r>
      <w:r w:rsidRPr="00DC21B6">
        <w:rPr>
          <w:rFonts w:ascii="Traditional Arabic" w:hAnsi="Traditional Arabic"/>
          <w:sz w:val="28"/>
          <w:szCs w:val="28"/>
          <w:rtl/>
        </w:rPr>
        <w:t>سورة النمل:87</w:t>
      </w:r>
      <w:r w:rsidRPr="00DC21B6">
        <w:rPr>
          <w:rFonts w:ascii="Traditional Arabic" w:hAnsi="Traditional Arabic" w:hint="cs"/>
          <w:sz w:val="28"/>
          <w:szCs w:val="28"/>
          <w:rtl/>
        </w:rPr>
        <w:t>]</w:t>
      </w:r>
      <w:r w:rsidRPr="00DC21B6">
        <w:rPr>
          <w:rFonts w:ascii="Traditional Arabic" w:hAnsi="Traditional Arabic"/>
          <w:rtl/>
        </w:rPr>
        <w:t xml:space="preserve">، والعرب قد تفعل ذلك أيضاً في «أي» فيؤنّثون ويذكِّرون، قال الله تعالى: </w:t>
      </w:r>
      <w:r w:rsidRPr="00DC21B6">
        <w:rPr>
          <w:rFonts w:ascii="QCF_BSML" w:hAnsi="QCF_BSML" w:cs="QCF_BSML"/>
          <w:sz w:val="32"/>
          <w:szCs w:val="32"/>
          <w:rtl/>
          <w:lang w:eastAsia="en-US"/>
        </w:rPr>
        <w:t xml:space="preserve">ﭽ </w:t>
      </w:r>
      <w:r w:rsidRPr="00DC21B6">
        <w:rPr>
          <w:rFonts w:ascii="QCF_P414" w:hAnsi="QCF_P414" w:cs="QCF_P414"/>
          <w:sz w:val="32"/>
          <w:szCs w:val="32"/>
          <w:rtl/>
          <w:lang w:eastAsia="en-US"/>
        </w:rPr>
        <w:t>ﯾ  ﯿ  ﰀ  ﰁ  ﰂ  ﰃ</w:t>
      </w:r>
      <w:r w:rsidRPr="00DC21B6">
        <w:rPr>
          <w:rFonts w:ascii="QCF_BSML" w:hAnsi="QCF_BSML" w:cs="QCF_BSML"/>
          <w:sz w:val="32"/>
          <w:szCs w:val="32"/>
          <w:rtl/>
          <w:lang w:eastAsia="en-US"/>
        </w:rPr>
        <w:t xml:space="preserve">ﭼ </w:t>
      </w:r>
      <w:r w:rsidRPr="00DC21B6">
        <w:rPr>
          <w:rFonts w:ascii="Traditional Arabic" w:hAnsi="Traditional Arabic" w:hint="cs"/>
          <w:rtl/>
        </w:rPr>
        <w:t>[</w:t>
      </w:r>
      <w:r w:rsidRPr="00DC21B6">
        <w:rPr>
          <w:rFonts w:ascii="Traditional Arabic" w:hAnsi="Traditional Arabic"/>
          <w:sz w:val="28"/>
          <w:szCs w:val="28"/>
          <w:rtl/>
        </w:rPr>
        <w:t>سورة لقمان:34</w:t>
      </w:r>
      <w:r w:rsidRPr="00DC21B6">
        <w:rPr>
          <w:rFonts w:ascii="Traditional Arabic" w:hAnsi="Traditional Arabic" w:hint="cs"/>
          <w:sz w:val="28"/>
          <w:szCs w:val="28"/>
          <w:rtl/>
        </w:rPr>
        <w:t>]</w:t>
      </w:r>
      <w:r w:rsidRPr="00DC21B6">
        <w:rPr>
          <w:rFonts w:ascii="Traditional Arabic" w:hAnsi="Traditional Arabic"/>
          <w:rtl/>
        </w:rPr>
        <w:t xml:space="preserve">، ويجوز في الكلام «بأية أرض»، وكذلك </w:t>
      </w:r>
      <w:r w:rsidRPr="00DC21B6">
        <w:rPr>
          <w:rFonts w:ascii="QCF_BSML" w:hAnsi="QCF_BSML" w:cs="QCF_BSML"/>
          <w:sz w:val="32"/>
          <w:szCs w:val="32"/>
          <w:rtl/>
          <w:lang w:eastAsia="en-US"/>
        </w:rPr>
        <w:t xml:space="preserve">ﭽ </w:t>
      </w:r>
      <w:r w:rsidRPr="00DC21B6">
        <w:rPr>
          <w:rFonts w:ascii="QCF_P587" w:hAnsi="QCF_P587" w:cs="QCF_P587"/>
          <w:sz w:val="32"/>
          <w:szCs w:val="32"/>
          <w:rtl/>
          <w:lang w:eastAsia="en-US"/>
        </w:rPr>
        <w:t>ﭳ  ﭴ  ﭵ  ﭶ  ﭷ  ﭸ</w:t>
      </w:r>
      <w:r w:rsidRPr="00DC21B6">
        <w:rPr>
          <w:rFonts w:ascii="QCF_BSML" w:hAnsi="QCF_BSML" w:cs="QCF_BSML"/>
          <w:sz w:val="32"/>
          <w:szCs w:val="32"/>
          <w:rtl/>
          <w:lang w:eastAsia="en-US"/>
        </w:rPr>
        <w:t>ﭼ</w:t>
      </w:r>
      <w:r w:rsidRPr="00DC21B6">
        <w:rPr>
          <w:rFonts w:ascii="Traditional Arabic" w:hAnsi="Traditional Arabic" w:hint="cs"/>
          <w:rtl/>
        </w:rPr>
        <w:t>[</w:t>
      </w:r>
      <w:r w:rsidRPr="00DC21B6">
        <w:rPr>
          <w:rFonts w:ascii="Traditional Arabic" w:hAnsi="Traditional Arabic"/>
          <w:sz w:val="28"/>
          <w:szCs w:val="28"/>
          <w:rtl/>
        </w:rPr>
        <w:t>سورة الانفطار:8</w:t>
      </w:r>
      <w:r w:rsidRPr="00DC21B6">
        <w:rPr>
          <w:rFonts w:ascii="Traditional Arabic" w:hAnsi="Traditional Arabic" w:hint="cs"/>
          <w:sz w:val="28"/>
          <w:szCs w:val="28"/>
          <w:rtl/>
        </w:rPr>
        <w:t>]</w:t>
      </w:r>
      <w:r w:rsidRPr="00DC21B6">
        <w:rPr>
          <w:rFonts w:ascii="Traditional Arabic" w:hAnsi="Traditional Arabic"/>
          <w:rtl/>
        </w:rPr>
        <w:t>، ويجوز في الكلام «في أيّة»، قال الشاعر:</w:t>
      </w:r>
    </w:p>
    <w:p w:rsidR="00DC21B6" w:rsidRPr="00DC21B6" w:rsidRDefault="00DC21B6" w:rsidP="00DC21B6">
      <w:pPr>
        <w:ind w:firstLine="0"/>
        <w:rPr>
          <w:rFonts w:ascii="Traditional Arabic" w:hAnsi="Traditional Arabic"/>
          <w:rtl/>
        </w:rPr>
      </w:pPr>
      <w:r w:rsidRPr="00DC21B6">
        <w:rPr>
          <w:rFonts w:ascii="Traditional Arabic" w:hAnsi="Traditional Arabic"/>
          <w:rtl/>
        </w:rPr>
        <w:t>بأي بلاءٍ أم بأيَّة نعمةٍ ... تقدَّم قبلي مسلمٌ والمهلَّب</w:t>
      </w:r>
      <w:r w:rsidRPr="00DC21B6">
        <w:rPr>
          <w:vertAlign w:val="superscript"/>
          <w:rtl/>
        </w:rPr>
        <w:t>(</w:t>
      </w:r>
      <w:r w:rsidRPr="00DC21B6">
        <w:rPr>
          <w:vertAlign w:val="superscript"/>
          <w:rtl/>
        </w:rPr>
        <w:footnoteReference w:id="1316"/>
      </w:r>
      <w:r w:rsidRPr="00DC21B6">
        <w:rPr>
          <w:vertAlign w:val="superscript"/>
          <w:rtl/>
        </w:rPr>
        <w:t>)(</w:t>
      </w:r>
      <w:r w:rsidRPr="00DC21B6">
        <w:rPr>
          <w:vertAlign w:val="superscript"/>
          <w:rtl/>
        </w:rPr>
        <w:footnoteReference w:id="1317"/>
      </w:r>
      <w:r w:rsidRPr="00DC21B6">
        <w:rPr>
          <w:vertAlign w:val="superscript"/>
          <w:rtl/>
        </w:rPr>
        <w:t>)</w:t>
      </w:r>
    </w:p>
    <w:p w:rsidR="00DC21B6" w:rsidRPr="00DC21B6" w:rsidRDefault="00DC21B6" w:rsidP="00DC21B6">
      <w:pPr>
        <w:ind w:firstLine="0"/>
        <w:rPr>
          <w:rFonts w:ascii="Traditional Arabic" w:hAnsi="Traditional Arabic"/>
          <w:rtl/>
        </w:rPr>
      </w:pPr>
      <w:r w:rsidRPr="00DC21B6">
        <w:rPr>
          <w:rFonts w:ascii="Traditional Arabic" w:hAnsi="Traditional Arabic"/>
          <w:rtl/>
        </w:rPr>
        <w:t xml:space="preserve">قال ابن الأنباري: «كلتا» وإِن كان واقعاً في المعنى على اثنتين، فإن لفظه لفظ واحدة مؤنثة، فغلب اللفظ، ولم يستعمل المعنى ثقةً بمعرفة المخاطَب به ومن العرب من يؤثر المعنى على اللفظ، </w:t>
      </w:r>
      <w:r w:rsidRPr="00DC21B6">
        <w:rPr>
          <w:rFonts w:ascii="Traditional Arabic" w:hAnsi="Traditional Arabic"/>
          <w:rtl/>
        </w:rPr>
        <w:lastRenderedPageBreak/>
        <w:t>فيقول: «كلتا الجنتين آتتا أُكُلَها</w:t>
      </w:r>
      <w:r w:rsidRPr="00DC21B6">
        <w:rPr>
          <w:vertAlign w:val="superscript"/>
          <w:rtl/>
        </w:rPr>
        <w:t>(</w:t>
      </w:r>
      <w:r w:rsidRPr="00DC21B6">
        <w:rPr>
          <w:vertAlign w:val="superscript"/>
          <w:rtl/>
        </w:rPr>
        <w:footnoteReference w:id="1318"/>
      </w:r>
      <w:r w:rsidRPr="00DC21B6">
        <w:rPr>
          <w:vertAlign w:val="superscript"/>
          <w:rtl/>
        </w:rPr>
        <w:t>)</w:t>
      </w:r>
      <w:r w:rsidRPr="00DC21B6">
        <w:rPr>
          <w:rFonts w:ascii="Traditional Arabic" w:hAnsi="Traditional Arabic"/>
          <w:rtl/>
        </w:rPr>
        <w:t>»، ويقول آخرون: «كلتا الجنتين آتى أُكُلَه» ، لأن «كلتا» تفيد معنى «كُلّ» ، قال الشاعر:</w:t>
      </w:r>
    </w:p>
    <w:p w:rsidR="00DC21B6" w:rsidRPr="00DC21B6" w:rsidRDefault="00DC21B6" w:rsidP="00DC21B6">
      <w:pPr>
        <w:ind w:firstLine="0"/>
        <w:rPr>
          <w:rFonts w:ascii="Traditional Arabic" w:hAnsi="Traditional Arabic"/>
          <w:rtl/>
        </w:rPr>
      </w:pPr>
      <w:r w:rsidRPr="00DC21B6">
        <w:rPr>
          <w:rFonts w:ascii="Traditional Arabic" w:hAnsi="Traditional Arabic"/>
          <w:rtl/>
        </w:rPr>
        <w:t>وكلتاهما قد خطَّ لي في صَحيفتي ... فلا الموت أهواه ولا العيش أروح</w:t>
      </w:r>
      <w:r w:rsidRPr="00DC21B6">
        <w:rPr>
          <w:vertAlign w:val="superscript"/>
          <w:rtl/>
        </w:rPr>
        <w:t>(</w:t>
      </w:r>
      <w:r w:rsidRPr="00DC21B6">
        <w:rPr>
          <w:vertAlign w:val="superscript"/>
          <w:rtl/>
        </w:rPr>
        <w:footnoteReference w:id="1319"/>
      </w:r>
      <w:r w:rsidRPr="00DC21B6">
        <w:rPr>
          <w:vertAlign w:val="superscript"/>
          <w:rtl/>
        </w:rPr>
        <w:t>)</w:t>
      </w:r>
    </w:p>
    <w:p w:rsidR="00DC21B6" w:rsidRPr="00DC21B6" w:rsidRDefault="00DC21B6" w:rsidP="00DC21B6">
      <w:pPr>
        <w:ind w:firstLine="0"/>
        <w:rPr>
          <w:rFonts w:ascii="Traditional Arabic" w:hAnsi="Traditional Arabic"/>
          <w:rtl/>
        </w:rPr>
      </w:pPr>
      <w:r w:rsidRPr="00DC21B6">
        <w:rPr>
          <w:rFonts w:ascii="Traditional Arabic" w:hAnsi="Traditional Arabic"/>
          <w:rtl/>
        </w:rPr>
        <w:t>يعني: وكلُّهما قد خط لي، وقد قالت العرب: كل</w:t>
      </w:r>
      <w:r w:rsidRPr="00DC21B6">
        <w:rPr>
          <w:rFonts w:ascii="Traditional Arabic" w:hAnsi="Traditional Arabic" w:hint="cs"/>
          <w:rtl/>
        </w:rPr>
        <w:t>ه</w:t>
      </w:r>
      <w:r w:rsidRPr="00DC21B6">
        <w:rPr>
          <w:rFonts w:ascii="Traditional Arabic" w:hAnsi="Traditional Arabic"/>
          <w:rtl/>
        </w:rPr>
        <w:t>م ذاهب</w:t>
      </w:r>
      <w:r w:rsidRPr="00DC21B6">
        <w:rPr>
          <w:vertAlign w:val="superscript"/>
          <w:rtl/>
        </w:rPr>
        <w:t>(</w:t>
      </w:r>
      <w:r w:rsidRPr="00DC21B6">
        <w:rPr>
          <w:vertAlign w:val="superscript"/>
          <w:rtl/>
        </w:rPr>
        <w:footnoteReference w:id="1320"/>
      </w:r>
      <w:r w:rsidRPr="00DC21B6">
        <w:rPr>
          <w:vertAlign w:val="superscript"/>
          <w:rtl/>
        </w:rPr>
        <w:t>)</w:t>
      </w:r>
      <w:r w:rsidRPr="00DC21B6">
        <w:rPr>
          <w:rFonts w:ascii="Traditional Arabic" w:hAnsi="Traditional Arabic"/>
          <w:rtl/>
        </w:rPr>
        <w:t>، وكلكم ذاهبون</w:t>
      </w:r>
      <w:r w:rsidRPr="00DC21B6">
        <w:rPr>
          <w:rFonts w:ascii="Traditional Arabic" w:hAnsi="Traditional Arabic" w:hint="cs"/>
          <w:rtl/>
        </w:rPr>
        <w:t>,</w:t>
      </w:r>
      <w:r w:rsidRPr="00DC21B6">
        <w:rPr>
          <w:rFonts w:ascii="Traditional Arabic" w:hAnsi="Traditional Arabic"/>
          <w:rtl/>
        </w:rPr>
        <w:t xml:space="preserve"> فوحَّدوا لِلَفظ «كُلّ» وجمعوا لتأويلها</w:t>
      </w:r>
      <w:r w:rsidRPr="00DC21B6">
        <w:rPr>
          <w:vertAlign w:val="superscript"/>
          <w:rtl/>
        </w:rPr>
        <w:t>(</w:t>
      </w:r>
      <w:r w:rsidRPr="00DC21B6">
        <w:rPr>
          <w:vertAlign w:val="superscript"/>
          <w:rtl/>
        </w:rPr>
        <w:footnoteReference w:id="1321"/>
      </w:r>
      <w:r w:rsidRPr="00DC21B6">
        <w:rPr>
          <w:vertAlign w:val="superscript"/>
          <w:rtl/>
        </w:rPr>
        <w:t>)</w:t>
      </w:r>
      <w:r w:rsidRPr="00DC21B6">
        <w:rPr>
          <w:rFonts w:ascii="Traditional Arabic" w:hAnsi="Traditional Arabic"/>
          <w:rtl/>
        </w:rPr>
        <w:t>. وقال الزّجّاج: إنّما لم يقل: «آتتا»، لأن لفظ «كلتا» لفظ واحدة، والمعنى: كل واحدة منهما آتت أكلها</w:t>
      </w:r>
      <w:r w:rsidRPr="00DC21B6">
        <w:rPr>
          <w:rFonts w:ascii="Traditional Arabic" w:hAnsi="Traditional Arabic" w:hint="cs"/>
          <w:rtl/>
        </w:rPr>
        <w:t>.</w:t>
      </w:r>
      <w:r w:rsidRPr="00DC21B6">
        <w:rPr>
          <w:rFonts w:ascii="Traditional Arabic" w:hAnsi="Traditional Arabic"/>
          <w:rtl/>
        </w:rPr>
        <w:t xml:space="preserve"> </w:t>
      </w:r>
      <w:r w:rsidRPr="00DC21B6">
        <w:rPr>
          <w:rFonts w:ascii="QCF_BSML" w:hAnsi="QCF_BSML" w:cs="QCF_BSML"/>
          <w:color w:val="auto"/>
          <w:sz w:val="32"/>
          <w:szCs w:val="32"/>
          <w:rtl/>
          <w:lang w:eastAsia="en-US"/>
        </w:rPr>
        <w:t>ﭽ</w:t>
      </w:r>
      <w:r w:rsidRPr="00DC21B6">
        <w:rPr>
          <w:rFonts w:ascii="QCF_P297" w:hAnsi="QCF_P297" w:cs="QCF_P297"/>
          <w:color w:val="auto"/>
          <w:sz w:val="32"/>
          <w:szCs w:val="32"/>
          <w:rtl/>
          <w:lang w:eastAsia="en-US"/>
        </w:rPr>
        <w:t xml:space="preserve"> ﯳ   ﯴ</w:t>
      </w:r>
      <w:r w:rsidRPr="00DC21B6">
        <w:rPr>
          <w:rFonts w:ascii="QCF_P297" w:hAnsi="QCF_P297" w:cs="QCF_P297" w:hint="cs"/>
          <w:color w:val="auto"/>
          <w:sz w:val="32"/>
          <w:szCs w:val="32"/>
          <w:rtl/>
          <w:lang w:eastAsia="en-US"/>
        </w:rPr>
        <w:t xml:space="preserve"> </w:t>
      </w:r>
      <w:r w:rsidRPr="00DC21B6">
        <w:rPr>
          <w:rFonts w:ascii="QCF_BSML" w:hAnsi="QCF_BSML" w:cs="QCF_BSML"/>
          <w:color w:val="auto"/>
          <w:sz w:val="32"/>
          <w:szCs w:val="32"/>
          <w:rtl/>
          <w:lang w:eastAsia="en-US"/>
        </w:rPr>
        <w:t>ﭼ</w:t>
      </w:r>
      <w:r w:rsidRPr="00DC21B6">
        <w:rPr>
          <w:rFonts w:ascii="QCF_P297" w:hAnsi="QCF_P297" w:cs="QCF_P297"/>
          <w:color w:val="auto"/>
          <w:sz w:val="32"/>
          <w:szCs w:val="32"/>
          <w:rtl/>
          <w:lang w:eastAsia="en-US"/>
        </w:rPr>
        <w:t xml:space="preserve">   </w:t>
      </w:r>
      <w:r w:rsidRPr="00DC21B6">
        <w:rPr>
          <w:rFonts w:ascii="Traditional Arabic" w:hAnsi="Traditional Arabic"/>
          <w:rtl/>
        </w:rPr>
        <w:t xml:space="preserve">أي: لم تنقص </w:t>
      </w:r>
      <w:r w:rsidRPr="00DC21B6">
        <w:rPr>
          <w:rFonts w:ascii="QCF_BSML" w:hAnsi="QCF_BSML" w:cs="QCF_BSML"/>
          <w:color w:val="auto"/>
          <w:sz w:val="32"/>
          <w:szCs w:val="32"/>
          <w:rtl/>
          <w:lang w:eastAsia="en-US"/>
        </w:rPr>
        <w:t>ﭽ</w:t>
      </w:r>
      <w:r w:rsidRPr="00DC21B6">
        <w:rPr>
          <w:rFonts w:ascii="QCF_P297" w:hAnsi="QCF_P297" w:cs="QCF_P297"/>
          <w:color w:val="auto"/>
          <w:sz w:val="32"/>
          <w:szCs w:val="32"/>
          <w:rtl/>
          <w:lang w:eastAsia="en-US"/>
        </w:rPr>
        <w:t xml:space="preserve"> ﯵ  ﯶﯷ  ﯸ  ﯹ  ﯺ  </w:t>
      </w:r>
      <w:r w:rsidRPr="00DC21B6">
        <w:rPr>
          <w:rFonts w:ascii="QCF_BSML" w:hAnsi="QCF_BSML" w:cs="QCF_BSML"/>
          <w:color w:val="auto"/>
          <w:sz w:val="32"/>
          <w:szCs w:val="32"/>
          <w:rtl/>
          <w:lang w:eastAsia="en-US"/>
        </w:rPr>
        <w:t>ﭼ</w:t>
      </w:r>
      <w:r w:rsidRPr="00DC21B6">
        <w:rPr>
          <w:rFonts w:ascii="QCF_BSML" w:hAnsi="QCF_BSML" w:cs="QCF_BSML" w:hint="cs"/>
          <w:color w:val="auto"/>
          <w:sz w:val="32"/>
          <w:szCs w:val="32"/>
          <w:rtl/>
          <w:lang w:eastAsia="en-US"/>
        </w:rPr>
        <w:t xml:space="preserve">   </w:t>
      </w:r>
      <w:r w:rsidRPr="00DC21B6">
        <w:rPr>
          <w:rFonts w:ascii="Traditional Arabic" w:hAnsi="Traditional Arabic"/>
          <w:rtl/>
        </w:rPr>
        <w:t>فأعلمَنَا أن شربهما كان من ماء نهر، وهو من أغزر الشرب</w:t>
      </w:r>
      <w:r w:rsidRPr="00DC21B6">
        <w:rPr>
          <w:vertAlign w:val="superscript"/>
          <w:rtl/>
        </w:rPr>
        <w:t>(</w:t>
      </w:r>
      <w:r w:rsidRPr="00DC21B6">
        <w:rPr>
          <w:vertAlign w:val="superscript"/>
          <w:rtl/>
        </w:rPr>
        <w:footnoteReference w:id="1322"/>
      </w:r>
      <w:r w:rsidRPr="00DC21B6">
        <w:rPr>
          <w:vertAlign w:val="superscript"/>
          <w:rtl/>
        </w:rPr>
        <w:t>)</w:t>
      </w:r>
      <w:r w:rsidRPr="00DC21B6">
        <w:rPr>
          <w:rFonts w:ascii="Traditional Arabic" w:hAnsi="Traditional Arabic"/>
          <w:rtl/>
        </w:rPr>
        <w:t>. وقال الفراء: إِنما قال: «فجَّرنا» بالتشديد، وهو نَهَر واحد، لأن النهر يمتد، فكان التفجُّر فيه كلِّه</w:t>
      </w:r>
      <w:r w:rsidRPr="00DC21B6">
        <w:rPr>
          <w:vertAlign w:val="superscript"/>
          <w:rtl/>
        </w:rPr>
        <w:t>(</w:t>
      </w:r>
      <w:r w:rsidRPr="00DC21B6">
        <w:rPr>
          <w:vertAlign w:val="superscript"/>
          <w:rtl/>
        </w:rPr>
        <w:footnoteReference w:id="1323"/>
      </w:r>
      <w:r w:rsidRPr="00DC21B6">
        <w:rPr>
          <w:vertAlign w:val="superscript"/>
          <w:rtl/>
        </w:rPr>
        <w:t>)</w:t>
      </w:r>
      <w:r w:rsidRPr="00DC21B6">
        <w:rPr>
          <w:rFonts w:ascii="Traditional Arabic" w:hAnsi="Traditional Arabic"/>
          <w:rtl/>
        </w:rPr>
        <w:t>. قرأ أبو رزين، وأبو مجلز، وأبو العالية، وابن يعمر، وابن أبي عبلة: «وفَجَرْنا» بالتخفيف</w:t>
      </w:r>
      <w:r w:rsidRPr="00DC21B6">
        <w:rPr>
          <w:vertAlign w:val="superscript"/>
          <w:rtl/>
        </w:rPr>
        <w:t>(</w:t>
      </w:r>
      <w:r w:rsidRPr="00DC21B6">
        <w:rPr>
          <w:vertAlign w:val="superscript"/>
          <w:rtl/>
        </w:rPr>
        <w:footnoteReference w:id="1324"/>
      </w:r>
      <w:r w:rsidRPr="00DC21B6">
        <w:rPr>
          <w:vertAlign w:val="superscript"/>
          <w:rtl/>
        </w:rPr>
        <w:t>)</w:t>
      </w:r>
      <w:r w:rsidRPr="00DC21B6">
        <w:rPr>
          <w:rFonts w:ascii="Traditional Arabic" w:hAnsi="Traditional Arabic"/>
          <w:rtl/>
        </w:rPr>
        <w:t>. وقرأ أبو مجلز، وأبو المتوكل: «خلِلهما»</w:t>
      </w:r>
      <w:r w:rsidRPr="00DC21B6">
        <w:rPr>
          <w:vertAlign w:val="superscript"/>
          <w:rtl/>
        </w:rPr>
        <w:t>(</w:t>
      </w:r>
      <w:r w:rsidRPr="00DC21B6">
        <w:rPr>
          <w:vertAlign w:val="superscript"/>
          <w:rtl/>
        </w:rPr>
        <w:footnoteReference w:id="1325"/>
      </w:r>
      <w:r w:rsidRPr="00DC21B6">
        <w:rPr>
          <w:vertAlign w:val="superscript"/>
          <w:rtl/>
        </w:rPr>
        <w:t>)</w:t>
      </w:r>
      <w:r w:rsidRPr="00DC21B6">
        <w:rPr>
          <w:rFonts w:ascii="Traditional Arabic" w:hAnsi="Traditional Arabic"/>
          <w:rtl/>
        </w:rPr>
        <w:t>. وقرأ أبو العالية، وأبو عمران:</w:t>
      </w:r>
      <w:r w:rsidRPr="00DC21B6">
        <w:rPr>
          <w:rFonts w:ascii="Traditional Arabic" w:hAnsi="Traditional Arabic" w:hint="cs"/>
          <w:rtl/>
        </w:rPr>
        <w:t xml:space="preserve"> </w:t>
      </w:r>
      <w:r w:rsidRPr="00DC21B6">
        <w:rPr>
          <w:rFonts w:ascii="Traditional Arabic" w:hAnsi="Traditional Arabic"/>
          <w:rtl/>
        </w:rPr>
        <w:t>«نهْراً» بسكون الهاء</w:t>
      </w:r>
      <w:r w:rsidRPr="00DC21B6">
        <w:rPr>
          <w:vertAlign w:val="superscript"/>
          <w:rtl/>
        </w:rPr>
        <w:t>(</w:t>
      </w:r>
      <w:r w:rsidRPr="00DC21B6">
        <w:rPr>
          <w:vertAlign w:val="superscript"/>
          <w:rtl/>
        </w:rPr>
        <w:footnoteReference w:id="1326"/>
      </w:r>
      <w:r w:rsidRPr="00DC21B6">
        <w:rPr>
          <w:vertAlign w:val="superscript"/>
          <w:rtl/>
        </w:rPr>
        <w:t>)</w:t>
      </w:r>
      <w:r w:rsidRPr="00DC21B6">
        <w:rPr>
          <w:rFonts w:ascii="Traditional Arabic" w:hAnsi="Traditional Arabic"/>
          <w:rtl/>
        </w:rPr>
        <w:t>.</w:t>
      </w:r>
    </w:p>
    <w:p w:rsidR="00251FC4" w:rsidRDefault="00DC21B6" w:rsidP="00DC21B6">
      <w:pPr>
        <w:ind w:firstLine="0"/>
        <w:rPr>
          <w:rFonts w:ascii="Traditional Arabic" w:hAnsi="Traditional Arabic"/>
          <w:rtl/>
        </w:rPr>
      </w:pPr>
      <w:r w:rsidRPr="00DC21B6">
        <w:rPr>
          <w:rFonts w:ascii="Traditional Arabic" w:hAnsi="Traditional Arabic"/>
          <w:rtl/>
        </w:rPr>
        <w:t xml:space="preserve">قوله تعالى: </w:t>
      </w:r>
      <w:r w:rsidRPr="00DC21B6">
        <w:rPr>
          <w:rFonts w:ascii="QCF_BSML" w:hAnsi="QCF_BSML" w:cs="QCF_BSML"/>
          <w:color w:val="auto"/>
          <w:sz w:val="32"/>
          <w:szCs w:val="32"/>
          <w:rtl/>
          <w:lang w:eastAsia="en-US"/>
        </w:rPr>
        <w:t>ﭽ</w:t>
      </w:r>
      <w:r w:rsidRPr="00DC21B6">
        <w:rPr>
          <w:rFonts w:ascii="QCF_P297" w:hAnsi="QCF_P297" w:cs="QCF_P297"/>
          <w:color w:val="auto"/>
          <w:sz w:val="32"/>
          <w:szCs w:val="32"/>
          <w:rtl/>
          <w:lang w:eastAsia="en-US"/>
        </w:rPr>
        <w:t xml:space="preserve"> ﯼ  ﯽ</w:t>
      </w:r>
      <w:r w:rsidRPr="00DC21B6">
        <w:rPr>
          <w:rFonts w:ascii="Traditional Arabic" w:hAnsi="Traditional Arabic"/>
          <w:rtl/>
        </w:rPr>
        <w:t xml:space="preserve"> </w:t>
      </w:r>
      <w:r w:rsidRPr="00DC21B6">
        <w:rPr>
          <w:rFonts w:ascii="QCF_BSML" w:hAnsi="QCF_BSML" w:cs="QCF_BSML"/>
          <w:color w:val="auto"/>
          <w:sz w:val="32"/>
          <w:szCs w:val="32"/>
          <w:rtl/>
          <w:lang w:eastAsia="en-US"/>
        </w:rPr>
        <w:t>ﭼ</w:t>
      </w:r>
      <w:r w:rsidRPr="00DC21B6">
        <w:rPr>
          <w:rFonts w:ascii="QCF_BSML" w:hAnsi="QCF_BSML" w:cs="QCF_BSML" w:hint="cs"/>
          <w:color w:val="auto"/>
          <w:sz w:val="32"/>
          <w:szCs w:val="32"/>
          <w:rtl/>
          <w:lang w:eastAsia="en-US"/>
        </w:rPr>
        <w:t xml:space="preserve">      </w:t>
      </w:r>
      <w:r w:rsidRPr="00DC21B6">
        <w:rPr>
          <w:rFonts w:ascii="Traditional Arabic" w:hAnsi="Traditional Arabic"/>
          <w:rtl/>
        </w:rPr>
        <w:t xml:space="preserve">يعني: للأخ الكافر </w:t>
      </w:r>
      <w:r w:rsidRPr="00DC21B6">
        <w:rPr>
          <w:rFonts w:ascii="QCF_BSML" w:hAnsi="QCF_BSML" w:cs="QCF_BSML"/>
          <w:color w:val="auto"/>
          <w:sz w:val="32"/>
          <w:szCs w:val="32"/>
          <w:rtl/>
          <w:lang w:eastAsia="en-US"/>
        </w:rPr>
        <w:t>ﭽ</w:t>
      </w:r>
      <w:r w:rsidRPr="00DC21B6">
        <w:rPr>
          <w:rFonts w:ascii="QCF_P297" w:hAnsi="QCF_P297" w:cs="QCF_P297"/>
          <w:color w:val="auto"/>
          <w:sz w:val="32"/>
          <w:szCs w:val="32"/>
          <w:rtl/>
          <w:lang w:eastAsia="en-US"/>
        </w:rPr>
        <w:t xml:space="preserve"> ﯾ</w:t>
      </w:r>
      <w:r w:rsidRPr="00DC21B6">
        <w:rPr>
          <w:rFonts w:ascii="QCF_BSML" w:hAnsi="QCF_BSML" w:cs="QCF_BSML" w:hint="cs"/>
          <w:color w:val="auto"/>
          <w:sz w:val="32"/>
          <w:szCs w:val="32"/>
          <w:rtl/>
          <w:lang w:eastAsia="en-US"/>
        </w:rPr>
        <w:t xml:space="preserve"> </w:t>
      </w:r>
      <w:r w:rsidRPr="00DC21B6">
        <w:rPr>
          <w:rFonts w:ascii="QCF_BSML" w:hAnsi="QCF_BSML" w:cs="QCF_BSML"/>
          <w:color w:val="auto"/>
          <w:sz w:val="32"/>
          <w:szCs w:val="32"/>
          <w:rtl/>
          <w:lang w:eastAsia="en-US"/>
        </w:rPr>
        <w:t>ﭼ</w:t>
      </w:r>
      <w:r w:rsidRPr="00DC21B6">
        <w:rPr>
          <w:rFonts w:ascii="Traditional Arabic" w:hAnsi="Traditional Arabic"/>
          <w:rtl/>
        </w:rPr>
        <w:t xml:space="preserve"> </w:t>
      </w:r>
      <w:r w:rsidRPr="00DC21B6">
        <w:rPr>
          <w:rFonts w:ascii="Traditional Arabic" w:hAnsi="Traditional Arabic" w:hint="cs"/>
          <w:rtl/>
        </w:rPr>
        <w:t xml:space="preserve"> </w:t>
      </w:r>
      <w:r w:rsidRPr="00DC21B6">
        <w:rPr>
          <w:rFonts w:ascii="Traditional Arabic" w:hAnsi="Traditional Arabic"/>
          <w:rtl/>
        </w:rPr>
        <w:t>قرأ ابن كثير، ونافع، وابن عامر، وحمزة، والكسائي: «وكان له ثُمُر»، «وأُحيط بثُمُره» بضمتين. وقرأ عاصم: «وكان له ثمر» ، «وأحيط بثمره»</w:t>
      </w:r>
      <w:r w:rsidRPr="00DC21B6">
        <w:rPr>
          <w:rFonts w:ascii="Traditional Arabic" w:hAnsi="Traditional Arabic" w:hint="cs"/>
          <w:rtl/>
        </w:rPr>
        <w:t xml:space="preserve"> </w:t>
      </w:r>
      <w:r w:rsidRPr="00DC21B6">
        <w:rPr>
          <w:rFonts w:ascii="Traditional Arabic" w:hAnsi="Traditional Arabic"/>
          <w:rtl/>
        </w:rPr>
        <w:t>بفتح التاء والميم فيهما. وقرأ أبو عمرو: «ثُمْر» و «بثُمْره» بضمة واحدة وسكون الميم</w:t>
      </w:r>
      <w:r w:rsidRPr="00DC21B6">
        <w:rPr>
          <w:vertAlign w:val="superscript"/>
          <w:rtl/>
        </w:rPr>
        <w:t>(</w:t>
      </w:r>
      <w:r w:rsidRPr="00DC21B6">
        <w:rPr>
          <w:vertAlign w:val="superscript"/>
          <w:rtl/>
        </w:rPr>
        <w:footnoteReference w:id="1327"/>
      </w:r>
      <w:r w:rsidRPr="00DC21B6">
        <w:rPr>
          <w:vertAlign w:val="superscript"/>
          <w:rtl/>
        </w:rPr>
        <w:t>)</w:t>
      </w:r>
      <w:r w:rsidRPr="00DC21B6">
        <w:rPr>
          <w:rFonts w:ascii="Traditional Arabic" w:hAnsi="Traditional Arabic"/>
          <w:rtl/>
        </w:rPr>
        <w:t xml:space="preserve">. </w:t>
      </w:r>
    </w:p>
    <w:p w:rsidR="00DC21B6" w:rsidRPr="00DC21B6" w:rsidRDefault="00DC21B6" w:rsidP="00DC21B6">
      <w:pPr>
        <w:ind w:firstLine="0"/>
        <w:rPr>
          <w:rFonts w:ascii="Traditional Arabic" w:hAnsi="Traditional Arabic"/>
          <w:rtl/>
        </w:rPr>
      </w:pPr>
      <w:r w:rsidRPr="00DC21B6">
        <w:rPr>
          <w:rFonts w:ascii="Traditional Arabic" w:hAnsi="Traditional Arabic"/>
          <w:rtl/>
        </w:rPr>
        <w:lastRenderedPageBreak/>
        <w:t>قال الفراء:</w:t>
      </w:r>
      <w:r w:rsidRPr="00DC21B6">
        <w:rPr>
          <w:rFonts w:ascii="Traditional Arabic" w:hAnsi="Traditional Arabic" w:hint="cs"/>
          <w:rtl/>
        </w:rPr>
        <w:t xml:space="preserve"> </w:t>
      </w:r>
      <w:r w:rsidRPr="00DC21B6">
        <w:rPr>
          <w:rFonts w:ascii="Traditional Arabic" w:hAnsi="Traditional Arabic" w:hint="cs"/>
          <w:sz w:val="32"/>
          <w:szCs w:val="32"/>
          <w:rtl/>
        </w:rPr>
        <w:t>[121]</w:t>
      </w:r>
      <w:r w:rsidRPr="00DC21B6">
        <w:rPr>
          <w:rFonts w:ascii="Traditional Arabic" w:hAnsi="Traditional Arabic"/>
          <w:rtl/>
        </w:rPr>
        <w:t xml:space="preserve"> الثَّمَر، بفتح الثاء والميم: المأكول، وبضمها: المال</w:t>
      </w:r>
      <w:r w:rsidRPr="00DC21B6">
        <w:rPr>
          <w:vertAlign w:val="superscript"/>
          <w:rtl/>
        </w:rPr>
        <w:t>(</w:t>
      </w:r>
      <w:r w:rsidRPr="00DC21B6">
        <w:rPr>
          <w:vertAlign w:val="superscript"/>
          <w:rtl/>
        </w:rPr>
        <w:footnoteReference w:id="1328"/>
      </w:r>
      <w:r w:rsidRPr="00DC21B6">
        <w:rPr>
          <w:vertAlign w:val="superscript"/>
          <w:rtl/>
        </w:rPr>
        <w:t>)</w:t>
      </w:r>
      <w:r w:rsidRPr="00DC21B6">
        <w:rPr>
          <w:rFonts w:ascii="Traditional Arabic" w:hAnsi="Traditional Arabic" w:hint="cs"/>
          <w:rtl/>
        </w:rPr>
        <w:t>.</w:t>
      </w:r>
      <w:r w:rsidRPr="00DC21B6">
        <w:rPr>
          <w:rFonts w:ascii="Traditional Arabic" w:hAnsi="Traditional Arabic"/>
          <w:rtl/>
        </w:rPr>
        <w:t xml:space="preserve"> وقال ابن الأنباري: الثَّمر، بالفتح: الجمع الأول، والثُّمُر، بالضم: جمع الثَّمَر، يقال: ثَمَر، وثُمُر، كما يقال: أسَد، وأُسُد، ويصلح أن يكون الثُّمُر جمع الثِّمار، كما يقال: حِمار وحُمُر، وكِتاب وكُتُب، فمن ضَمَّ، قال: الثُّمُر أعم، لأنها تحتمل الثمار المأكولة، والأموال المجموعة</w:t>
      </w:r>
      <w:r w:rsidRPr="00DC21B6">
        <w:rPr>
          <w:vertAlign w:val="superscript"/>
          <w:rtl/>
        </w:rPr>
        <w:t>(</w:t>
      </w:r>
      <w:r w:rsidRPr="00DC21B6">
        <w:rPr>
          <w:vertAlign w:val="superscript"/>
          <w:rtl/>
        </w:rPr>
        <w:footnoteReference w:id="1329"/>
      </w:r>
      <w:r w:rsidRPr="00DC21B6">
        <w:rPr>
          <w:vertAlign w:val="superscript"/>
          <w:rtl/>
        </w:rPr>
        <w:t>)</w:t>
      </w:r>
      <w:r w:rsidRPr="00DC21B6">
        <w:rPr>
          <w:rFonts w:ascii="Traditional Arabic" w:hAnsi="Traditional Arabic"/>
          <w:rtl/>
        </w:rPr>
        <w:t>. قال أبو علي الفارسي: وقراءة أبي عمرو: «ثُمُر» يجوز أن تكون جمع ثمار، ككتاب، وكُتُب، فتخفف، فيقال: كُتْب، ويجوز أن يكون «ثُمْر» جمع ثَمَرة، كبَدَنة وبُدْن، وخَشَبة، وخُشْب. ويجوز أن يكون (ثُمُر) واحداً، كعُنُق، وطُنُب</w:t>
      </w:r>
      <w:r w:rsidRPr="00DC21B6">
        <w:rPr>
          <w:vertAlign w:val="superscript"/>
          <w:rtl/>
        </w:rPr>
        <w:t>(</w:t>
      </w:r>
      <w:r w:rsidRPr="00DC21B6">
        <w:rPr>
          <w:vertAlign w:val="superscript"/>
          <w:rtl/>
        </w:rPr>
        <w:footnoteReference w:id="1330"/>
      </w:r>
      <w:r w:rsidRPr="00DC21B6">
        <w:rPr>
          <w:vertAlign w:val="superscript"/>
          <w:rtl/>
        </w:rPr>
        <w:t>)</w:t>
      </w:r>
      <w:r w:rsidRPr="00DC21B6">
        <w:rPr>
          <w:rFonts w:ascii="Traditional Arabic" w:hAnsi="Traditional Arabic"/>
          <w:rtl/>
        </w:rPr>
        <w:t>. وقد ذكر المفسرون في قراءة من ضم ثلاثة أقوال: أحدها: أنه المال الكثير من صنوف الأموال، قاله ابن عباس</w:t>
      </w:r>
      <w:r w:rsidRPr="00DC21B6">
        <w:rPr>
          <w:vertAlign w:val="superscript"/>
          <w:rtl/>
        </w:rPr>
        <w:t>(</w:t>
      </w:r>
      <w:r w:rsidRPr="00DC21B6">
        <w:rPr>
          <w:vertAlign w:val="superscript"/>
          <w:rtl/>
        </w:rPr>
        <w:footnoteReference w:id="1331"/>
      </w:r>
      <w:r w:rsidRPr="00DC21B6">
        <w:rPr>
          <w:vertAlign w:val="superscript"/>
          <w:rtl/>
        </w:rPr>
        <w:t>)</w:t>
      </w:r>
      <w:r w:rsidRPr="00DC21B6">
        <w:rPr>
          <w:rFonts w:ascii="Traditional Arabic" w:hAnsi="Traditional Arabic"/>
          <w:rtl/>
        </w:rPr>
        <w:t>. والثاني: أنه الذهب، والفضة، قاله مجاهد</w:t>
      </w:r>
      <w:r w:rsidRPr="00DC21B6">
        <w:rPr>
          <w:vertAlign w:val="superscript"/>
          <w:rtl/>
        </w:rPr>
        <w:t>(</w:t>
      </w:r>
      <w:r w:rsidRPr="00DC21B6">
        <w:rPr>
          <w:vertAlign w:val="superscript"/>
          <w:rtl/>
        </w:rPr>
        <w:footnoteReference w:id="1332"/>
      </w:r>
      <w:r w:rsidRPr="00DC21B6">
        <w:rPr>
          <w:vertAlign w:val="superscript"/>
          <w:rtl/>
        </w:rPr>
        <w:t>)</w:t>
      </w:r>
      <w:r w:rsidRPr="00DC21B6">
        <w:rPr>
          <w:rFonts w:ascii="Traditional Arabic" w:hAnsi="Traditional Arabic"/>
          <w:rtl/>
        </w:rPr>
        <w:t>. والثالث: أنه جمع ثمرة، قال الزجاج: يقال: ثَمَرة، وثِمار، وثمر</w:t>
      </w:r>
      <w:r w:rsidRPr="00DC21B6">
        <w:rPr>
          <w:vertAlign w:val="superscript"/>
          <w:rtl/>
        </w:rPr>
        <w:t>(</w:t>
      </w:r>
      <w:r w:rsidRPr="00DC21B6">
        <w:rPr>
          <w:vertAlign w:val="superscript"/>
          <w:rtl/>
        </w:rPr>
        <w:footnoteReference w:id="1333"/>
      </w:r>
      <w:r w:rsidRPr="00DC21B6">
        <w:rPr>
          <w:vertAlign w:val="superscript"/>
          <w:rtl/>
        </w:rPr>
        <w:t>)</w:t>
      </w:r>
      <w:r w:rsidRPr="00DC21B6">
        <w:rPr>
          <w:rFonts w:ascii="Traditional Arabic" w:hAnsi="Traditional Arabic"/>
          <w:rtl/>
        </w:rPr>
        <w:t>. فإن قيل: ما الفائدة في ذِكْر الثّمر بعد ذِكْر الجنَّتين، وقد عُلم أن صاحب الجنة لا يخلو من ثمر؟ فعنه ثلاثة أجوبة:</w:t>
      </w:r>
      <w:r w:rsidRPr="00DC21B6">
        <w:rPr>
          <w:rFonts w:ascii="Traditional Arabic" w:hAnsi="Traditional Arabic" w:hint="cs"/>
          <w:rtl/>
        </w:rPr>
        <w:t xml:space="preserve"> </w:t>
      </w:r>
      <w:r w:rsidRPr="00DC21B6">
        <w:rPr>
          <w:rFonts w:ascii="Traditional Arabic" w:hAnsi="Traditional Arabic"/>
          <w:rtl/>
        </w:rPr>
        <w:t>أحدها: أنه لم يكن أصل الأرض ملكاً له، وإِنما كانت له الثمار، قاله ابن عباس</w:t>
      </w:r>
      <w:r w:rsidRPr="00DC21B6">
        <w:rPr>
          <w:vertAlign w:val="superscript"/>
          <w:rtl/>
        </w:rPr>
        <w:t>(</w:t>
      </w:r>
      <w:r w:rsidRPr="00DC21B6">
        <w:rPr>
          <w:vertAlign w:val="superscript"/>
          <w:rtl/>
        </w:rPr>
        <w:footnoteReference w:id="1334"/>
      </w:r>
      <w:r w:rsidRPr="00DC21B6">
        <w:rPr>
          <w:vertAlign w:val="superscript"/>
          <w:rtl/>
        </w:rPr>
        <w:t>)</w:t>
      </w:r>
      <w:r w:rsidRPr="00DC21B6">
        <w:rPr>
          <w:rFonts w:ascii="Traditional Arabic" w:hAnsi="Traditional Arabic"/>
          <w:rtl/>
        </w:rPr>
        <w:t>. والثاني: أن ذِكْر الثّمر دليل على كثرة ما يملك من الثمار في الجنّتين وغيرهما، ذكره</w:t>
      </w:r>
      <w:r w:rsidRPr="00DC21B6">
        <w:rPr>
          <w:vertAlign w:val="superscript"/>
          <w:rtl/>
        </w:rPr>
        <w:t>(</w:t>
      </w:r>
      <w:r w:rsidRPr="00DC21B6">
        <w:rPr>
          <w:vertAlign w:val="superscript"/>
          <w:rtl/>
        </w:rPr>
        <w:footnoteReference w:id="1335"/>
      </w:r>
      <w:r w:rsidRPr="00DC21B6">
        <w:rPr>
          <w:vertAlign w:val="superscript"/>
          <w:rtl/>
        </w:rPr>
        <w:t>)</w:t>
      </w:r>
      <w:r w:rsidRPr="00DC21B6">
        <w:rPr>
          <w:rFonts w:ascii="Traditional Arabic" w:hAnsi="Traditional Arabic"/>
          <w:rtl/>
        </w:rPr>
        <w:t>ابن الأنباري</w:t>
      </w:r>
      <w:r w:rsidRPr="00DC21B6">
        <w:rPr>
          <w:vertAlign w:val="superscript"/>
          <w:rtl/>
        </w:rPr>
        <w:t>(</w:t>
      </w:r>
      <w:r w:rsidRPr="00DC21B6">
        <w:rPr>
          <w:vertAlign w:val="superscript"/>
          <w:rtl/>
        </w:rPr>
        <w:footnoteReference w:id="1336"/>
      </w:r>
      <w:r w:rsidRPr="00DC21B6">
        <w:rPr>
          <w:vertAlign w:val="superscript"/>
          <w:rtl/>
        </w:rPr>
        <w:t>)</w:t>
      </w:r>
      <w:r w:rsidRPr="00DC21B6">
        <w:rPr>
          <w:rFonts w:ascii="Traditional Arabic" w:hAnsi="Traditional Arabic"/>
          <w:rtl/>
        </w:rPr>
        <w:t>. والثالث: قد ذكرنا أن المراد بالثمر الأموال من الأنواع وذكرنا أنها الذهب، والفضّة، وذلك يخالف الثمر المأكول</w:t>
      </w:r>
      <w:r w:rsidRPr="00DC21B6">
        <w:rPr>
          <w:rFonts w:ascii="Traditional Arabic" w:hAnsi="Traditional Arabic" w:hint="cs"/>
          <w:rtl/>
        </w:rPr>
        <w:t>.</w:t>
      </w:r>
      <w:r w:rsidRPr="00DC21B6">
        <w:rPr>
          <w:rFonts w:ascii="Traditional Arabic" w:hAnsi="Traditional Arabic"/>
          <w:rtl/>
        </w:rPr>
        <w:t xml:space="preserve"> قال أبو علي الفارسي: من قال: هو الذهب، والوَرِق، فإنما قيل لذلك: ثُمُر على التفاؤل، لأن الثمر نماء في ذي الثّمر، وكونه ها هنا بالجنى أشبه بالذّهب والفضة. ويقوي </w:t>
      </w:r>
      <w:r w:rsidRPr="00DC21B6">
        <w:rPr>
          <w:rFonts w:ascii="Traditional Arabic" w:hAnsi="Traditional Arabic"/>
          <w:rtl/>
        </w:rPr>
        <w:lastRenderedPageBreak/>
        <w:t>ذلك:</w:t>
      </w:r>
      <w:r w:rsidRPr="00DC21B6">
        <w:rPr>
          <w:rFonts w:ascii="QCF_BSML" w:hAnsi="QCF_BSML" w:cs="QCF_BSML"/>
          <w:sz w:val="47"/>
          <w:szCs w:val="47"/>
          <w:rtl/>
          <w:lang w:eastAsia="en-US"/>
        </w:rPr>
        <w:t xml:space="preserve"> </w:t>
      </w:r>
      <w:r w:rsidRPr="00DC21B6">
        <w:rPr>
          <w:rFonts w:ascii="QCF_BSML" w:hAnsi="QCF_BSML" w:cs="QCF_BSML"/>
          <w:sz w:val="32"/>
          <w:szCs w:val="32"/>
          <w:rtl/>
          <w:lang w:eastAsia="en-US"/>
        </w:rPr>
        <w:t xml:space="preserve">ﭽ </w:t>
      </w:r>
      <w:r w:rsidRPr="00DC21B6">
        <w:rPr>
          <w:rFonts w:ascii="QCF_P298" w:hAnsi="QCF_P298" w:cs="QCF_P298"/>
          <w:sz w:val="32"/>
          <w:szCs w:val="32"/>
          <w:rtl/>
          <w:lang w:eastAsia="en-US"/>
        </w:rPr>
        <w:t xml:space="preserve">ﯔ  ﯕ  ﯖ  ﯗ  ﯘ ﯙ  ﯚ  ﯛ  ﯜ  </w:t>
      </w:r>
      <w:r w:rsidRPr="00DC21B6">
        <w:rPr>
          <w:rFonts w:ascii="QCF_BSML" w:hAnsi="QCF_BSML" w:cs="QCF_BSML"/>
          <w:sz w:val="32"/>
          <w:szCs w:val="32"/>
          <w:rtl/>
          <w:lang w:eastAsia="en-US"/>
        </w:rPr>
        <w:t>ﭼ</w:t>
      </w:r>
      <w:r w:rsidRPr="00DC21B6">
        <w:rPr>
          <w:rFonts w:ascii="Traditional Arabic" w:hAnsi="Traditional Arabic" w:hint="cs"/>
          <w:rtl/>
        </w:rPr>
        <w:t xml:space="preserve"> </w:t>
      </w:r>
      <w:r w:rsidRPr="00DC21B6">
        <w:rPr>
          <w:rFonts w:ascii="Traditional Arabic" w:hAnsi="Traditional Arabic"/>
          <w:rtl/>
        </w:rPr>
        <w:t>والإِنفاق من الوَرِق، لا من الشجر</w:t>
      </w:r>
      <w:r w:rsidRPr="00DC21B6">
        <w:rPr>
          <w:vertAlign w:val="superscript"/>
          <w:rtl/>
        </w:rPr>
        <w:t>(</w:t>
      </w:r>
      <w:r w:rsidRPr="00DC21B6">
        <w:rPr>
          <w:vertAlign w:val="superscript"/>
          <w:rtl/>
        </w:rPr>
        <w:footnoteReference w:id="1337"/>
      </w:r>
      <w:r w:rsidRPr="00DC21B6">
        <w:rPr>
          <w:vertAlign w:val="superscript"/>
          <w:rtl/>
        </w:rPr>
        <w:t>)</w:t>
      </w:r>
      <w:r w:rsidRPr="00DC21B6">
        <w:rPr>
          <w:rFonts w:ascii="Traditional Arabic" w:hAnsi="Traditional Arabic"/>
          <w:rtl/>
        </w:rPr>
        <w:t>.</w:t>
      </w:r>
    </w:p>
    <w:p w:rsidR="00DC21B6" w:rsidRPr="00DC21B6" w:rsidRDefault="00DC21B6" w:rsidP="00DC21B6">
      <w:pPr>
        <w:ind w:firstLine="0"/>
        <w:rPr>
          <w:rFonts w:ascii="Traditional Arabic" w:hAnsi="Traditional Arabic"/>
          <w:rtl/>
        </w:rPr>
      </w:pPr>
      <w:r w:rsidRPr="00DC21B6">
        <w:rPr>
          <w:rFonts w:ascii="Traditional Arabic" w:hAnsi="Traditional Arabic"/>
          <w:rtl/>
        </w:rPr>
        <w:t xml:space="preserve">قوله تعالى: </w:t>
      </w:r>
      <w:r w:rsidRPr="00DC21B6">
        <w:rPr>
          <w:rFonts w:ascii="QCF_BSML" w:hAnsi="QCF_BSML" w:cs="QCF_BSML"/>
          <w:sz w:val="32"/>
          <w:szCs w:val="32"/>
          <w:rtl/>
          <w:lang w:eastAsia="en-US"/>
        </w:rPr>
        <w:t>ﭽ</w:t>
      </w:r>
      <w:r w:rsidRPr="00DC21B6">
        <w:rPr>
          <w:rFonts w:ascii="Traditional Arabic" w:hAnsi="Traditional Arabic"/>
          <w:rtl/>
        </w:rPr>
        <w:t xml:space="preserve"> </w:t>
      </w:r>
      <w:r w:rsidRPr="00DC21B6">
        <w:rPr>
          <w:rFonts w:ascii="QCF_P297" w:hAnsi="QCF_P297" w:cs="QCF_P297"/>
          <w:color w:val="auto"/>
          <w:sz w:val="32"/>
          <w:szCs w:val="32"/>
          <w:rtl/>
          <w:lang w:eastAsia="en-US"/>
        </w:rPr>
        <w:t>ﯿ</w:t>
      </w:r>
      <w:r w:rsidRPr="00DC21B6">
        <w:rPr>
          <w:rFonts w:ascii="QCF_BSML" w:hAnsi="QCF_BSML" w:cs="QCF_BSML"/>
          <w:sz w:val="32"/>
          <w:szCs w:val="32"/>
          <w:rtl/>
          <w:lang w:eastAsia="en-US"/>
        </w:rPr>
        <w:t xml:space="preserve"> ﭼ</w:t>
      </w:r>
      <w:r w:rsidRPr="00DC21B6">
        <w:rPr>
          <w:rFonts w:ascii="Traditional Arabic" w:hAnsi="Traditional Arabic"/>
          <w:rtl/>
        </w:rPr>
        <w:t xml:space="preserve"> يعني الكافر</w:t>
      </w:r>
      <w:r w:rsidRPr="00DC21B6">
        <w:rPr>
          <w:rFonts w:ascii="Traditional Arabic" w:hAnsi="Traditional Arabic" w:hint="cs"/>
          <w:rtl/>
        </w:rPr>
        <w:t xml:space="preserve"> </w:t>
      </w:r>
      <w:r w:rsidRPr="00DC21B6">
        <w:rPr>
          <w:rFonts w:ascii="QCF_BSML" w:hAnsi="QCF_BSML" w:cs="QCF_BSML"/>
          <w:sz w:val="32"/>
          <w:szCs w:val="32"/>
          <w:rtl/>
          <w:lang w:eastAsia="en-US"/>
        </w:rPr>
        <w:t xml:space="preserve"> ﭽ</w:t>
      </w:r>
      <w:r w:rsidRPr="00DC21B6">
        <w:rPr>
          <w:rFonts w:ascii="Traditional Arabic" w:hAnsi="Traditional Arabic"/>
          <w:rtl/>
        </w:rPr>
        <w:t xml:space="preserve"> </w:t>
      </w:r>
      <w:r w:rsidRPr="00DC21B6">
        <w:rPr>
          <w:rFonts w:ascii="QCF_P297" w:hAnsi="QCF_P297" w:cs="QCF_P297"/>
          <w:color w:val="auto"/>
          <w:sz w:val="32"/>
          <w:szCs w:val="32"/>
          <w:rtl/>
          <w:lang w:eastAsia="en-US"/>
        </w:rPr>
        <w:t>ﰀ</w:t>
      </w:r>
      <w:r w:rsidRPr="00DC21B6">
        <w:rPr>
          <w:rFonts w:ascii="QCF_BSML" w:hAnsi="QCF_BSML" w:cs="QCF_BSML"/>
          <w:sz w:val="32"/>
          <w:szCs w:val="32"/>
          <w:rtl/>
          <w:lang w:eastAsia="en-US"/>
        </w:rPr>
        <w:t xml:space="preserve"> ﭼ</w:t>
      </w:r>
      <w:r w:rsidRPr="00DC21B6">
        <w:rPr>
          <w:rFonts w:ascii="Traditional Arabic" w:hAnsi="Traditional Arabic"/>
          <w:rtl/>
        </w:rPr>
        <w:t xml:space="preserve"> المؤمن </w:t>
      </w:r>
      <w:r w:rsidRPr="00DC21B6">
        <w:rPr>
          <w:rFonts w:ascii="QCF_BSML" w:hAnsi="QCF_BSML" w:cs="QCF_BSML"/>
          <w:sz w:val="32"/>
          <w:szCs w:val="32"/>
          <w:rtl/>
          <w:lang w:eastAsia="en-US"/>
        </w:rPr>
        <w:t>ﭽ</w:t>
      </w:r>
      <w:r w:rsidRPr="00DC21B6">
        <w:rPr>
          <w:rFonts w:ascii="Traditional Arabic" w:hAnsi="Traditional Arabic"/>
          <w:rtl/>
        </w:rPr>
        <w:t xml:space="preserve"> </w:t>
      </w:r>
      <w:r w:rsidRPr="00DC21B6">
        <w:rPr>
          <w:rFonts w:ascii="QCF_P297" w:hAnsi="QCF_P297" w:cs="QCF_P297"/>
          <w:color w:val="auto"/>
          <w:sz w:val="32"/>
          <w:szCs w:val="32"/>
          <w:rtl/>
          <w:lang w:eastAsia="en-US"/>
        </w:rPr>
        <w:t>ﰁ    ﰂ</w:t>
      </w:r>
      <w:r w:rsidRPr="00DC21B6">
        <w:rPr>
          <w:rFonts w:ascii="QCF_BSML" w:hAnsi="QCF_BSML" w:cs="QCF_BSML"/>
          <w:sz w:val="32"/>
          <w:szCs w:val="32"/>
          <w:rtl/>
          <w:lang w:eastAsia="en-US"/>
        </w:rPr>
        <w:t xml:space="preserve"> ﭼ</w:t>
      </w:r>
      <w:r w:rsidRPr="00DC21B6">
        <w:rPr>
          <w:rFonts w:ascii="Traditional Arabic" w:hAnsi="Traditional Arabic"/>
          <w:rtl/>
        </w:rPr>
        <w:t xml:space="preserve"> أي: يراجعه الكلام ويجاوبه</w:t>
      </w:r>
      <w:r w:rsidRPr="00DC21B6">
        <w:rPr>
          <w:vertAlign w:val="superscript"/>
          <w:rtl/>
        </w:rPr>
        <w:t>(</w:t>
      </w:r>
      <w:r w:rsidRPr="00DC21B6">
        <w:rPr>
          <w:vertAlign w:val="superscript"/>
          <w:rtl/>
        </w:rPr>
        <w:footnoteReference w:id="1338"/>
      </w:r>
      <w:r w:rsidRPr="00DC21B6">
        <w:rPr>
          <w:vertAlign w:val="superscript"/>
          <w:rtl/>
        </w:rPr>
        <w:t>)</w:t>
      </w:r>
      <w:r w:rsidRPr="00DC21B6">
        <w:rPr>
          <w:rFonts w:ascii="Traditional Arabic" w:hAnsi="Traditional Arabic"/>
          <w:rtl/>
        </w:rPr>
        <w:t>. وفيما تحاورا فيه قولان: أحدهما: أنه الإِيمان والكفر. والثاني: طلب الدنيا، وطلب الآخرة</w:t>
      </w:r>
      <w:r w:rsidRPr="00DC21B6">
        <w:rPr>
          <w:vertAlign w:val="superscript"/>
          <w:rtl/>
        </w:rPr>
        <w:t>(</w:t>
      </w:r>
      <w:r w:rsidRPr="00DC21B6">
        <w:rPr>
          <w:vertAlign w:val="superscript"/>
          <w:rtl/>
        </w:rPr>
        <w:footnoteReference w:id="1339"/>
      </w:r>
      <w:r w:rsidRPr="00DC21B6">
        <w:rPr>
          <w:vertAlign w:val="superscript"/>
          <w:rtl/>
        </w:rPr>
        <w:t>)</w:t>
      </w:r>
      <w:r w:rsidRPr="00DC21B6">
        <w:rPr>
          <w:rFonts w:ascii="Traditional Arabic" w:hAnsi="Traditional Arabic"/>
          <w:rtl/>
        </w:rPr>
        <w:t>. فأما «النفر» فهم الجماعة، ومثلهم: القوم والرهط ولا واحد لهذه الألفاظ من لفظها</w:t>
      </w:r>
      <w:r w:rsidRPr="00DC21B6">
        <w:rPr>
          <w:vertAlign w:val="superscript"/>
          <w:rtl/>
        </w:rPr>
        <w:t>(</w:t>
      </w:r>
      <w:r w:rsidRPr="00DC21B6">
        <w:rPr>
          <w:vertAlign w:val="superscript"/>
          <w:rtl/>
        </w:rPr>
        <w:footnoteReference w:id="1340"/>
      </w:r>
      <w:r w:rsidRPr="00DC21B6">
        <w:rPr>
          <w:vertAlign w:val="superscript"/>
          <w:rtl/>
        </w:rPr>
        <w:t>)</w:t>
      </w:r>
      <w:r w:rsidRPr="00DC21B6">
        <w:rPr>
          <w:rFonts w:ascii="Traditional Arabic" w:hAnsi="Traditional Arabic"/>
          <w:rtl/>
        </w:rPr>
        <w:t>. وقال ابن فارس اللغوي</w:t>
      </w:r>
      <w:r w:rsidRPr="00DC21B6">
        <w:rPr>
          <w:vertAlign w:val="superscript"/>
          <w:rtl/>
        </w:rPr>
        <w:t>(</w:t>
      </w:r>
      <w:r w:rsidRPr="00DC21B6">
        <w:rPr>
          <w:vertAlign w:val="superscript"/>
          <w:rtl/>
        </w:rPr>
        <w:footnoteReference w:id="1341"/>
      </w:r>
      <w:r w:rsidRPr="00DC21B6">
        <w:rPr>
          <w:vertAlign w:val="superscript"/>
          <w:rtl/>
        </w:rPr>
        <w:t>)</w:t>
      </w:r>
      <w:r w:rsidRPr="00DC21B6">
        <w:rPr>
          <w:rFonts w:ascii="Traditional Arabic" w:hAnsi="Traditional Arabic"/>
          <w:rtl/>
        </w:rPr>
        <w:t>: النفر: عدة رجال من ثلاثة إِلى العشرة</w:t>
      </w:r>
      <w:r w:rsidRPr="00DC21B6">
        <w:rPr>
          <w:vertAlign w:val="superscript"/>
          <w:rtl/>
        </w:rPr>
        <w:t>(</w:t>
      </w:r>
      <w:r w:rsidRPr="00DC21B6">
        <w:rPr>
          <w:vertAlign w:val="superscript"/>
          <w:rtl/>
        </w:rPr>
        <w:footnoteReference w:id="1342"/>
      </w:r>
      <w:r w:rsidRPr="00DC21B6">
        <w:rPr>
          <w:vertAlign w:val="superscript"/>
          <w:rtl/>
        </w:rPr>
        <w:t>)</w:t>
      </w:r>
      <w:r w:rsidRPr="00DC21B6">
        <w:rPr>
          <w:rFonts w:ascii="Traditional Arabic" w:hAnsi="Traditional Arabic"/>
          <w:rtl/>
        </w:rPr>
        <w:t>.</w:t>
      </w:r>
      <w:r w:rsidRPr="00DC21B6">
        <w:rPr>
          <w:rFonts w:ascii="Traditional Arabic" w:hAnsi="Traditional Arabic" w:hint="cs"/>
          <w:rtl/>
        </w:rPr>
        <w:t xml:space="preserve"> </w:t>
      </w:r>
      <w:r w:rsidRPr="00DC21B6">
        <w:rPr>
          <w:rFonts w:ascii="Traditional Arabic" w:hAnsi="Traditional Arabic"/>
          <w:rtl/>
        </w:rPr>
        <w:t>وفيمن أراد بنَفَره ثلاثة أقوال: أحدها: عبيده، قاله ابن عباس</w:t>
      </w:r>
      <w:r w:rsidRPr="00DC21B6">
        <w:rPr>
          <w:vertAlign w:val="superscript"/>
          <w:rtl/>
        </w:rPr>
        <w:t>(</w:t>
      </w:r>
      <w:r w:rsidRPr="00DC21B6">
        <w:rPr>
          <w:vertAlign w:val="superscript"/>
          <w:rtl/>
        </w:rPr>
        <w:footnoteReference w:id="1343"/>
      </w:r>
      <w:r w:rsidRPr="00DC21B6">
        <w:rPr>
          <w:vertAlign w:val="superscript"/>
          <w:rtl/>
        </w:rPr>
        <w:t>)</w:t>
      </w:r>
      <w:r w:rsidRPr="00DC21B6">
        <w:rPr>
          <w:rFonts w:ascii="Traditional Arabic" w:hAnsi="Traditional Arabic"/>
          <w:rtl/>
        </w:rPr>
        <w:t>. والثاني: ولده، قاله مقاتل</w:t>
      </w:r>
      <w:r w:rsidRPr="00DC21B6">
        <w:rPr>
          <w:vertAlign w:val="superscript"/>
          <w:rtl/>
        </w:rPr>
        <w:t>(</w:t>
      </w:r>
      <w:r w:rsidRPr="00DC21B6">
        <w:rPr>
          <w:vertAlign w:val="superscript"/>
          <w:rtl/>
        </w:rPr>
        <w:footnoteReference w:id="1344"/>
      </w:r>
      <w:r w:rsidRPr="00DC21B6">
        <w:rPr>
          <w:vertAlign w:val="superscript"/>
          <w:rtl/>
        </w:rPr>
        <w:t>)</w:t>
      </w:r>
      <w:r w:rsidRPr="00DC21B6">
        <w:rPr>
          <w:rFonts w:ascii="Traditional Arabic" w:hAnsi="Traditional Arabic"/>
          <w:rtl/>
        </w:rPr>
        <w:t>.</w:t>
      </w:r>
      <w:r w:rsidRPr="00DC21B6">
        <w:rPr>
          <w:rFonts w:ascii="Traditional Arabic" w:hAnsi="Traditional Arabic" w:hint="cs"/>
          <w:rtl/>
        </w:rPr>
        <w:t xml:space="preserve"> </w:t>
      </w:r>
      <w:r w:rsidRPr="00DC21B6">
        <w:rPr>
          <w:rFonts w:ascii="Traditional Arabic" w:hAnsi="Traditional Arabic"/>
          <w:rtl/>
        </w:rPr>
        <w:t>والثالث: عشيرته ورهطه، قاله أبو سليمان</w:t>
      </w:r>
      <w:r w:rsidRPr="00DC21B6">
        <w:rPr>
          <w:vertAlign w:val="superscript"/>
          <w:rtl/>
        </w:rPr>
        <w:t>(</w:t>
      </w:r>
      <w:r w:rsidRPr="00DC21B6">
        <w:rPr>
          <w:vertAlign w:val="superscript"/>
          <w:rtl/>
        </w:rPr>
        <w:footnoteReference w:id="1345"/>
      </w:r>
      <w:r w:rsidRPr="00DC21B6">
        <w:rPr>
          <w:vertAlign w:val="superscript"/>
          <w:rtl/>
        </w:rPr>
        <w:t>)</w:t>
      </w:r>
      <w:r w:rsidRPr="00DC21B6">
        <w:rPr>
          <w:rFonts w:ascii="Traditional Arabic" w:hAnsi="Traditional Arabic"/>
          <w:rtl/>
        </w:rPr>
        <w:t>.</w:t>
      </w:r>
    </w:p>
    <w:p w:rsidR="00DC21B6" w:rsidRPr="00DC21B6" w:rsidRDefault="00DC21B6" w:rsidP="00DC21B6">
      <w:pPr>
        <w:ind w:firstLine="0"/>
        <w:rPr>
          <w:rFonts w:ascii="Traditional Arabic" w:hAnsi="Traditional Arabic"/>
          <w:rtl/>
        </w:rPr>
      </w:pPr>
      <w:r w:rsidRPr="00DC21B6">
        <w:rPr>
          <w:rFonts w:ascii="Traditional Arabic" w:hAnsi="Traditional Arabic"/>
          <w:rtl/>
        </w:rPr>
        <w:t xml:space="preserve">قوله تعالى: </w:t>
      </w:r>
      <w:r w:rsidRPr="00DC21B6">
        <w:rPr>
          <w:rFonts w:ascii="QCF_BSML" w:hAnsi="QCF_BSML" w:cs="QCF_BSML"/>
          <w:sz w:val="32"/>
          <w:szCs w:val="32"/>
          <w:rtl/>
          <w:lang w:eastAsia="en-US"/>
        </w:rPr>
        <w:t>ﭽ</w:t>
      </w:r>
      <w:r w:rsidRPr="00DC21B6">
        <w:rPr>
          <w:rFonts w:ascii="Traditional Arabic" w:hAnsi="Traditional Arabic"/>
          <w:rtl/>
        </w:rPr>
        <w:t xml:space="preserve"> </w:t>
      </w:r>
      <w:r w:rsidRPr="00DC21B6">
        <w:rPr>
          <w:rFonts w:ascii="QCF_P298" w:hAnsi="QCF_P298" w:cs="QCF_P298"/>
          <w:color w:val="auto"/>
          <w:sz w:val="32"/>
          <w:szCs w:val="32"/>
          <w:rtl/>
          <w:lang w:eastAsia="en-US"/>
        </w:rPr>
        <w:t xml:space="preserve">ﭑ  ﭒ  </w:t>
      </w:r>
      <w:r w:rsidRPr="00DC21B6">
        <w:rPr>
          <w:rFonts w:ascii="QCF_BSML" w:hAnsi="QCF_BSML" w:cs="QCF_BSML"/>
          <w:sz w:val="32"/>
          <w:szCs w:val="32"/>
          <w:rtl/>
          <w:lang w:eastAsia="en-US"/>
        </w:rPr>
        <w:t>ﭼ</w:t>
      </w:r>
      <w:r w:rsidRPr="00DC21B6">
        <w:rPr>
          <w:rFonts w:ascii="Traditional Arabic" w:hAnsi="Traditional Arabic"/>
          <w:rtl/>
        </w:rPr>
        <w:t xml:space="preserve"> يعني: الكافر </w:t>
      </w:r>
      <w:r w:rsidRPr="00DC21B6">
        <w:rPr>
          <w:rFonts w:ascii="QCF_BSML" w:hAnsi="QCF_BSML" w:cs="QCF_BSML"/>
          <w:sz w:val="32"/>
          <w:szCs w:val="32"/>
          <w:rtl/>
          <w:lang w:eastAsia="en-US"/>
        </w:rPr>
        <w:t>ﭽ</w:t>
      </w:r>
      <w:r w:rsidRPr="00DC21B6">
        <w:rPr>
          <w:rFonts w:ascii="Traditional Arabic" w:hAnsi="Traditional Arabic"/>
          <w:rtl/>
        </w:rPr>
        <w:t xml:space="preserve"> </w:t>
      </w:r>
      <w:r w:rsidRPr="00DC21B6">
        <w:rPr>
          <w:rFonts w:ascii="QCF_P298" w:hAnsi="QCF_P298" w:cs="QCF_P298"/>
          <w:color w:val="auto"/>
          <w:sz w:val="32"/>
          <w:szCs w:val="32"/>
          <w:rtl/>
          <w:lang w:eastAsia="en-US"/>
        </w:rPr>
        <w:t xml:space="preserve">ﭓ  ﭔ  ﭕ    </w:t>
      </w:r>
      <w:r w:rsidRPr="00DC21B6">
        <w:rPr>
          <w:rFonts w:ascii="QCF_BSML" w:hAnsi="QCF_BSML" w:cs="QCF_BSML"/>
          <w:sz w:val="32"/>
          <w:szCs w:val="32"/>
          <w:rtl/>
          <w:lang w:eastAsia="en-US"/>
        </w:rPr>
        <w:t>ﭼ</w:t>
      </w:r>
      <w:r w:rsidRPr="00DC21B6">
        <w:rPr>
          <w:rFonts w:ascii="Traditional Arabic" w:hAnsi="Traditional Arabic"/>
          <w:rtl/>
        </w:rPr>
        <w:t xml:space="preserve"> بالكفر </w:t>
      </w:r>
      <w:r w:rsidRPr="00DC21B6">
        <w:rPr>
          <w:rFonts w:ascii="Traditional Arabic" w:hAnsi="Traditional Arabic" w:hint="cs"/>
          <w:rtl/>
        </w:rPr>
        <w:t>وقد كان</w:t>
      </w:r>
      <w:r w:rsidRPr="00DC21B6">
        <w:rPr>
          <w:rFonts w:ascii="Traditional Arabic" w:hAnsi="Traditional Arabic"/>
          <w:rtl/>
        </w:rPr>
        <w:t xml:space="preserve"> أخذ</w:t>
      </w:r>
      <w:r w:rsidRPr="00DC21B6">
        <w:rPr>
          <w:vertAlign w:val="superscript"/>
          <w:rtl/>
        </w:rPr>
        <w:t>(</w:t>
      </w:r>
      <w:r w:rsidRPr="00DC21B6">
        <w:rPr>
          <w:vertAlign w:val="superscript"/>
          <w:rtl/>
        </w:rPr>
        <w:footnoteReference w:id="1346"/>
      </w:r>
      <w:r w:rsidRPr="00DC21B6">
        <w:rPr>
          <w:vertAlign w:val="superscript"/>
          <w:rtl/>
        </w:rPr>
        <w:t>)</w:t>
      </w:r>
      <w:r w:rsidRPr="00DC21B6">
        <w:rPr>
          <w:rFonts w:ascii="Traditional Arabic" w:hAnsi="Traditional Arabic"/>
          <w:rtl/>
        </w:rPr>
        <w:t xml:space="preserve"> بيد أخيه فأدخله معه: </w:t>
      </w:r>
      <w:r w:rsidRPr="00DC21B6">
        <w:rPr>
          <w:rFonts w:ascii="QCF_BSML" w:hAnsi="QCF_BSML" w:cs="QCF_BSML"/>
          <w:sz w:val="32"/>
          <w:szCs w:val="32"/>
          <w:rtl/>
          <w:lang w:eastAsia="en-US"/>
        </w:rPr>
        <w:t>ﭽ</w:t>
      </w:r>
      <w:r w:rsidRPr="00DC21B6">
        <w:rPr>
          <w:rFonts w:ascii="Traditional Arabic" w:hAnsi="Traditional Arabic"/>
          <w:rtl/>
        </w:rPr>
        <w:t xml:space="preserve"> </w:t>
      </w:r>
      <w:r w:rsidRPr="00DC21B6">
        <w:rPr>
          <w:rFonts w:ascii="QCF_P298" w:hAnsi="QCF_P298" w:cs="QCF_P298"/>
          <w:color w:val="auto"/>
          <w:sz w:val="32"/>
          <w:szCs w:val="32"/>
          <w:rtl/>
          <w:lang w:eastAsia="en-US"/>
        </w:rPr>
        <w:t xml:space="preserve">ﭖ  ﭗ  ﭘ  ﭙ  ﭚ  ﭛ   ﭜ  </w:t>
      </w:r>
      <w:r w:rsidRPr="00DC21B6">
        <w:rPr>
          <w:rFonts w:ascii="QCF_BSML" w:hAnsi="QCF_BSML" w:cs="QCF_BSML"/>
          <w:sz w:val="32"/>
          <w:szCs w:val="32"/>
          <w:rtl/>
          <w:lang w:eastAsia="en-US"/>
        </w:rPr>
        <w:t>ﭼ</w:t>
      </w:r>
      <w:r w:rsidRPr="00DC21B6">
        <w:rPr>
          <w:rFonts w:ascii="Traditional Arabic" w:hAnsi="Traditional Arabic"/>
          <w:rtl/>
        </w:rPr>
        <w:t xml:space="preserve"> أنكر ف</w:t>
      </w:r>
      <w:r w:rsidRPr="00DC21B6">
        <w:rPr>
          <w:rFonts w:ascii="Traditional Arabic" w:hAnsi="Traditional Arabic" w:hint="cs"/>
          <w:rtl/>
        </w:rPr>
        <w:t>ن</w:t>
      </w:r>
      <w:r w:rsidRPr="00DC21B6">
        <w:rPr>
          <w:rFonts w:ascii="Traditional Arabic" w:hAnsi="Traditional Arabic"/>
          <w:rtl/>
        </w:rPr>
        <w:t xml:space="preserve">اء الدنيا، وفَناء جنته، وأنكر البعث والجزاء بقوله تعالى: </w:t>
      </w:r>
      <w:r w:rsidRPr="00DC21B6">
        <w:rPr>
          <w:rFonts w:ascii="QCF_BSML" w:hAnsi="QCF_BSML" w:cs="QCF_BSML"/>
          <w:sz w:val="32"/>
          <w:szCs w:val="32"/>
          <w:rtl/>
          <w:lang w:eastAsia="en-US"/>
        </w:rPr>
        <w:t>ﭽ</w:t>
      </w:r>
      <w:r w:rsidRPr="00DC21B6">
        <w:rPr>
          <w:rFonts w:ascii="QCF_P298" w:hAnsi="QCF_P298" w:cs="QCF_P298" w:hint="cs"/>
          <w:color w:val="auto"/>
          <w:sz w:val="32"/>
          <w:szCs w:val="32"/>
          <w:rtl/>
          <w:lang w:eastAsia="en-US"/>
        </w:rPr>
        <w:t xml:space="preserve"> </w:t>
      </w:r>
      <w:r w:rsidRPr="00DC21B6">
        <w:rPr>
          <w:rFonts w:ascii="QCF_P298" w:hAnsi="QCF_P298" w:cs="QCF_P298"/>
          <w:color w:val="auto"/>
          <w:sz w:val="32"/>
          <w:szCs w:val="32"/>
          <w:rtl/>
          <w:lang w:eastAsia="en-US"/>
        </w:rPr>
        <w:t xml:space="preserve">ﭞ  ﭟ  ﭠ  ﭡ  </w:t>
      </w:r>
      <w:r w:rsidRPr="00DC21B6">
        <w:rPr>
          <w:rFonts w:ascii="QCF_BSML" w:hAnsi="QCF_BSML" w:cs="QCF_BSML"/>
          <w:sz w:val="32"/>
          <w:szCs w:val="32"/>
          <w:rtl/>
          <w:lang w:eastAsia="en-US"/>
        </w:rPr>
        <w:t>ﭼ</w:t>
      </w:r>
      <w:r w:rsidRPr="00DC21B6">
        <w:rPr>
          <w:rFonts w:ascii="QCF_BSML" w:hAnsi="QCF_BSML" w:cs="QCF_BSML" w:hint="cs"/>
          <w:sz w:val="32"/>
          <w:szCs w:val="32"/>
          <w:rtl/>
          <w:lang w:eastAsia="en-US"/>
        </w:rPr>
        <w:t xml:space="preserve"> </w:t>
      </w:r>
      <w:r w:rsidRPr="00DC21B6">
        <w:rPr>
          <w:rFonts w:ascii="Traditional Arabic" w:hAnsi="Traditional Arabic" w:hint="cs"/>
          <w:sz w:val="32"/>
          <w:szCs w:val="32"/>
          <w:rtl/>
        </w:rPr>
        <w:t>[122]</w:t>
      </w:r>
      <w:r w:rsidRPr="00DC21B6">
        <w:rPr>
          <w:rFonts w:ascii="Traditional Arabic" w:hAnsi="Traditional Arabic"/>
          <w:rtl/>
        </w:rPr>
        <w:t xml:space="preserve"> وهذا شك في </w:t>
      </w:r>
      <w:r w:rsidRPr="00DC21B6">
        <w:rPr>
          <w:rFonts w:ascii="Traditional Arabic" w:hAnsi="Traditional Arabic"/>
          <w:rtl/>
        </w:rPr>
        <w:lastRenderedPageBreak/>
        <w:t>البعث</w:t>
      </w:r>
      <w:r w:rsidRPr="00DC21B6">
        <w:rPr>
          <w:vertAlign w:val="superscript"/>
          <w:rtl/>
        </w:rPr>
        <w:t>(</w:t>
      </w:r>
      <w:r w:rsidRPr="00DC21B6">
        <w:rPr>
          <w:vertAlign w:val="superscript"/>
          <w:rtl/>
        </w:rPr>
        <w:footnoteReference w:id="1347"/>
      </w:r>
      <w:r w:rsidRPr="00DC21B6">
        <w:rPr>
          <w:vertAlign w:val="superscript"/>
          <w:rtl/>
        </w:rPr>
        <w:t>)</w:t>
      </w:r>
      <w:r w:rsidRPr="00DC21B6">
        <w:rPr>
          <w:rFonts w:ascii="Traditional Arabic" w:hAnsi="Traditional Arabic"/>
          <w:rtl/>
        </w:rPr>
        <w:t xml:space="preserve">، ثم قال: </w:t>
      </w:r>
      <w:r w:rsidRPr="00DC21B6">
        <w:rPr>
          <w:rFonts w:ascii="QCF_BSML" w:hAnsi="QCF_BSML" w:cs="QCF_BSML"/>
          <w:sz w:val="32"/>
          <w:szCs w:val="32"/>
          <w:rtl/>
          <w:lang w:eastAsia="en-US"/>
        </w:rPr>
        <w:t>ﭽ</w:t>
      </w:r>
      <w:r w:rsidRPr="00DC21B6">
        <w:rPr>
          <w:rFonts w:ascii="QCF_P298" w:hAnsi="QCF_P298" w:cs="QCF_P298"/>
          <w:color w:val="auto"/>
          <w:sz w:val="32"/>
          <w:szCs w:val="32"/>
          <w:rtl/>
          <w:lang w:eastAsia="en-US"/>
        </w:rPr>
        <w:t xml:space="preserve">ﭢ  ﭣ  ﭤ   ﭥ </w:t>
      </w:r>
      <w:r w:rsidRPr="00DC21B6">
        <w:rPr>
          <w:rFonts w:ascii="QCF_BSML" w:hAnsi="QCF_BSML" w:cs="QCF_BSML"/>
          <w:sz w:val="32"/>
          <w:szCs w:val="32"/>
          <w:rtl/>
          <w:lang w:eastAsia="en-US"/>
        </w:rPr>
        <w:t>ﭼ</w:t>
      </w:r>
      <w:r w:rsidRPr="00DC21B6">
        <w:rPr>
          <w:rFonts w:ascii="Traditional Arabic" w:hAnsi="Traditional Arabic"/>
          <w:rtl/>
        </w:rPr>
        <w:t xml:space="preserve"> أي: كما تزعُم أنت. قال </w:t>
      </w:r>
      <w:r w:rsidRPr="00DC21B6">
        <w:rPr>
          <w:rFonts w:ascii="Traditional Arabic" w:hAnsi="Traditional Arabic" w:hint="cs"/>
          <w:rtl/>
        </w:rPr>
        <w:t>[</w:t>
      </w:r>
      <w:r w:rsidRPr="00DC21B6">
        <w:rPr>
          <w:rFonts w:ascii="Traditional Arabic" w:hAnsi="Traditional Arabic"/>
          <w:rtl/>
        </w:rPr>
        <w:t>ابن عباس</w:t>
      </w:r>
      <w:r w:rsidRPr="00DC21B6">
        <w:rPr>
          <w:rFonts w:ascii="Traditional Arabic" w:hAnsi="Traditional Arabic" w:hint="cs"/>
          <w:rtl/>
        </w:rPr>
        <w:t>]</w:t>
      </w:r>
      <w:r w:rsidRPr="00DC21B6">
        <w:rPr>
          <w:vertAlign w:val="superscript"/>
          <w:rtl/>
        </w:rPr>
        <w:t>(</w:t>
      </w:r>
      <w:r w:rsidRPr="00DC21B6">
        <w:rPr>
          <w:vertAlign w:val="superscript"/>
          <w:rtl/>
        </w:rPr>
        <w:footnoteReference w:id="1348"/>
      </w:r>
      <w:r w:rsidRPr="00DC21B6">
        <w:rPr>
          <w:vertAlign w:val="superscript"/>
          <w:rtl/>
        </w:rPr>
        <w:t>)</w:t>
      </w:r>
      <w:r w:rsidRPr="00DC21B6">
        <w:rPr>
          <w:rFonts w:ascii="Traditional Arabic" w:hAnsi="Traditional Arabic"/>
          <w:rtl/>
        </w:rPr>
        <w:t>: يقول إِن كان البعث حقاً</w:t>
      </w:r>
      <w:r w:rsidRPr="00DC21B6">
        <w:rPr>
          <w:vertAlign w:val="superscript"/>
          <w:rtl/>
        </w:rPr>
        <w:t>(</w:t>
      </w:r>
      <w:r w:rsidRPr="00DC21B6">
        <w:rPr>
          <w:vertAlign w:val="superscript"/>
          <w:rtl/>
        </w:rPr>
        <w:footnoteReference w:id="1349"/>
      </w:r>
      <w:r w:rsidRPr="00DC21B6">
        <w:rPr>
          <w:vertAlign w:val="superscript"/>
          <w:rtl/>
        </w:rPr>
        <w:t>)</w:t>
      </w:r>
      <w:r w:rsidRPr="00DC21B6">
        <w:rPr>
          <w:rFonts w:ascii="Traditional Arabic" w:hAnsi="Traditional Arabic"/>
          <w:rtl/>
        </w:rPr>
        <w:t xml:space="preserve"> </w:t>
      </w:r>
      <w:r w:rsidRPr="00DC21B6">
        <w:rPr>
          <w:rFonts w:ascii="QCF_BSML" w:hAnsi="QCF_BSML" w:cs="QCF_BSML"/>
          <w:sz w:val="32"/>
          <w:szCs w:val="32"/>
          <w:rtl/>
          <w:lang w:eastAsia="en-US"/>
        </w:rPr>
        <w:t>ﭽ</w:t>
      </w:r>
      <w:r w:rsidRPr="00DC21B6">
        <w:rPr>
          <w:rFonts w:ascii="QCF_P298" w:hAnsi="QCF_P298" w:cs="QCF_P298"/>
          <w:color w:val="auto"/>
          <w:sz w:val="32"/>
          <w:szCs w:val="32"/>
          <w:rtl/>
          <w:lang w:eastAsia="en-US"/>
        </w:rPr>
        <w:t>ﭦ  ﭧ  ﭨ</w:t>
      </w:r>
      <w:r w:rsidRPr="00DC21B6">
        <w:rPr>
          <w:rFonts w:ascii="QCF_BSML" w:hAnsi="QCF_BSML" w:cs="QCF_BSML"/>
          <w:sz w:val="32"/>
          <w:szCs w:val="32"/>
          <w:rtl/>
          <w:lang w:eastAsia="en-US"/>
        </w:rPr>
        <w:t xml:space="preserve"> ﭼ</w:t>
      </w:r>
      <w:r w:rsidRPr="00DC21B6">
        <w:rPr>
          <w:rFonts w:ascii="QCF_P298" w:hAnsi="QCF_P298" w:cs="QCF_P298"/>
          <w:color w:val="auto"/>
          <w:sz w:val="32"/>
          <w:szCs w:val="32"/>
          <w:rtl/>
          <w:lang w:eastAsia="en-US"/>
        </w:rPr>
        <w:t xml:space="preserve">  </w:t>
      </w:r>
      <w:r w:rsidRPr="00DC21B6">
        <w:rPr>
          <w:rFonts w:ascii="Traditional Arabic" w:hAnsi="Traditional Arabic" w:hint="cs"/>
          <w:rtl/>
        </w:rPr>
        <w:t xml:space="preserve"> </w:t>
      </w:r>
      <w:r w:rsidRPr="00DC21B6">
        <w:rPr>
          <w:rFonts w:ascii="Traditional Arabic" w:hAnsi="Traditional Arabic"/>
          <w:rtl/>
        </w:rPr>
        <w:t>قرأ أبو عمرو، وعاصم، وحمزة، والكسائي:</w:t>
      </w:r>
      <w:r w:rsidRPr="00DC21B6">
        <w:rPr>
          <w:rFonts w:ascii="QCF_BSML" w:hAnsi="QCF_BSML" w:cs="QCF_BSML"/>
          <w:sz w:val="32"/>
          <w:szCs w:val="32"/>
          <w:rtl/>
          <w:lang w:eastAsia="en-US"/>
        </w:rPr>
        <w:t xml:space="preserve"> ﭽ</w:t>
      </w:r>
      <w:r w:rsidRPr="00DC21B6">
        <w:rPr>
          <w:rFonts w:ascii="QCF_P298" w:hAnsi="QCF_P298" w:cs="QCF_P298"/>
          <w:color w:val="auto"/>
          <w:sz w:val="32"/>
          <w:szCs w:val="32"/>
          <w:rtl/>
          <w:lang w:eastAsia="en-US"/>
        </w:rPr>
        <w:t>ﭧ  ﭨ</w:t>
      </w:r>
      <w:r w:rsidRPr="00DC21B6">
        <w:rPr>
          <w:rFonts w:ascii="QCF_BSML" w:hAnsi="QCF_BSML" w:cs="QCF_BSML"/>
          <w:sz w:val="32"/>
          <w:szCs w:val="32"/>
          <w:rtl/>
          <w:lang w:eastAsia="en-US"/>
        </w:rPr>
        <w:t xml:space="preserve"> ﭼ</w:t>
      </w:r>
      <w:r w:rsidRPr="00DC21B6">
        <w:rPr>
          <w:rFonts w:ascii="QCF_P298" w:hAnsi="QCF_P298" w:cs="QCF_P298"/>
          <w:color w:val="auto"/>
          <w:sz w:val="32"/>
          <w:szCs w:val="32"/>
          <w:rtl/>
          <w:lang w:eastAsia="en-US"/>
        </w:rPr>
        <w:t xml:space="preserve">  </w:t>
      </w:r>
      <w:r w:rsidRPr="00DC21B6">
        <w:rPr>
          <w:rFonts w:ascii="Traditional Arabic" w:hAnsi="Traditional Arabic"/>
          <w:rtl/>
        </w:rPr>
        <w:t>، وكذلك هي في مصاحف أهل البصرة والكوفة. وقرأ ابن كثير، ونافع، وابن عامر: «خيراً منهما» بزيادة ميم على التّثنية، وكذلك هي في مصاحب أهل مكة والمدينة والشام</w:t>
      </w:r>
      <w:r w:rsidRPr="00DC21B6">
        <w:rPr>
          <w:vertAlign w:val="superscript"/>
          <w:rtl/>
        </w:rPr>
        <w:t>(</w:t>
      </w:r>
      <w:r w:rsidRPr="00DC21B6">
        <w:rPr>
          <w:vertAlign w:val="superscript"/>
          <w:rtl/>
        </w:rPr>
        <w:footnoteReference w:id="1350"/>
      </w:r>
      <w:r w:rsidRPr="00DC21B6">
        <w:rPr>
          <w:vertAlign w:val="superscript"/>
          <w:rtl/>
        </w:rPr>
        <w:t>)</w:t>
      </w:r>
      <w:r w:rsidRPr="00DC21B6">
        <w:rPr>
          <w:rFonts w:ascii="Traditional Arabic" w:hAnsi="Traditional Arabic"/>
          <w:rtl/>
        </w:rPr>
        <w:t xml:space="preserve">. قال أبو علي: الإِفراد أولى، لأنه أقرب إِلى الجَنَّة المفردة في قوله: </w:t>
      </w:r>
      <w:r w:rsidRPr="00DC21B6">
        <w:rPr>
          <w:rFonts w:ascii="QCF_BSML" w:hAnsi="QCF_BSML" w:cs="QCF_BSML"/>
          <w:sz w:val="32"/>
          <w:szCs w:val="32"/>
          <w:rtl/>
          <w:lang w:eastAsia="en-US"/>
        </w:rPr>
        <w:t>ﭽ</w:t>
      </w:r>
      <w:r w:rsidRPr="00DC21B6">
        <w:rPr>
          <w:rFonts w:ascii="QCF_P298" w:hAnsi="QCF_P298" w:cs="QCF_P298"/>
          <w:color w:val="auto"/>
          <w:sz w:val="32"/>
          <w:szCs w:val="32"/>
          <w:rtl/>
          <w:lang w:eastAsia="en-US"/>
        </w:rPr>
        <w:t xml:space="preserve">ﭑ  ﭒ  </w:t>
      </w:r>
      <w:r w:rsidRPr="00DC21B6">
        <w:rPr>
          <w:rFonts w:ascii="QCF_BSML" w:hAnsi="QCF_BSML" w:cs="QCF_BSML"/>
          <w:sz w:val="32"/>
          <w:szCs w:val="32"/>
          <w:rtl/>
          <w:lang w:eastAsia="en-US"/>
        </w:rPr>
        <w:t>ﭼ</w:t>
      </w:r>
      <w:r w:rsidRPr="00DC21B6">
        <w:rPr>
          <w:rFonts w:ascii="Traditional Arabic" w:hAnsi="Traditional Arabic"/>
          <w:rtl/>
        </w:rPr>
        <w:t xml:space="preserve"> والتثنية لا تمتنع، لتقدم ذِكْر الجَنَّتين</w:t>
      </w:r>
      <w:r w:rsidRPr="00DC21B6">
        <w:rPr>
          <w:vertAlign w:val="superscript"/>
          <w:rtl/>
        </w:rPr>
        <w:t>(</w:t>
      </w:r>
      <w:r w:rsidRPr="00DC21B6">
        <w:rPr>
          <w:vertAlign w:val="superscript"/>
          <w:rtl/>
        </w:rPr>
        <w:footnoteReference w:id="1351"/>
      </w:r>
      <w:r w:rsidRPr="00DC21B6">
        <w:rPr>
          <w:vertAlign w:val="superscript"/>
          <w:rtl/>
        </w:rPr>
        <w:t>)</w:t>
      </w:r>
      <w:r w:rsidRPr="00DC21B6">
        <w:rPr>
          <w:rFonts w:ascii="Traditional Arabic" w:hAnsi="Traditional Arabic"/>
          <w:rtl/>
        </w:rPr>
        <w:t>.</w:t>
      </w:r>
      <w:r w:rsidRPr="00DC21B6">
        <w:rPr>
          <w:rFonts w:ascii="Traditional Arabic" w:hAnsi="Traditional Arabic" w:hint="cs"/>
          <w:rtl/>
        </w:rPr>
        <w:t xml:space="preserve"> </w:t>
      </w:r>
      <w:r w:rsidRPr="00DC21B6">
        <w:rPr>
          <w:rFonts w:ascii="Traditional Arabic" w:hAnsi="Traditional Arabic"/>
          <w:rtl/>
        </w:rPr>
        <w:t xml:space="preserve">قوله تعالى: </w:t>
      </w:r>
      <w:r w:rsidRPr="00DC21B6">
        <w:rPr>
          <w:rFonts w:ascii="QCF_BSML" w:hAnsi="QCF_BSML" w:cs="QCF_BSML"/>
          <w:sz w:val="32"/>
          <w:szCs w:val="32"/>
          <w:rtl/>
          <w:lang w:eastAsia="en-US"/>
        </w:rPr>
        <w:t>ﭽ</w:t>
      </w:r>
      <w:r w:rsidRPr="00DC21B6">
        <w:rPr>
          <w:rFonts w:ascii="Traditional Arabic" w:hAnsi="Traditional Arabic"/>
          <w:rtl/>
        </w:rPr>
        <w:t xml:space="preserve"> </w:t>
      </w:r>
      <w:r w:rsidRPr="00DC21B6">
        <w:rPr>
          <w:rFonts w:ascii="QCF_P298" w:hAnsi="QCF_P298" w:cs="QCF_P298"/>
          <w:color w:val="auto"/>
          <w:sz w:val="32"/>
          <w:szCs w:val="32"/>
          <w:rtl/>
          <w:lang w:eastAsia="en-US"/>
        </w:rPr>
        <w:t xml:space="preserve">ﭩ </w:t>
      </w:r>
      <w:r w:rsidRPr="00DC21B6">
        <w:rPr>
          <w:rFonts w:ascii="QCF_BSML" w:hAnsi="QCF_BSML" w:cs="QCF_BSML"/>
          <w:sz w:val="32"/>
          <w:szCs w:val="32"/>
          <w:rtl/>
          <w:lang w:eastAsia="en-US"/>
        </w:rPr>
        <w:t>ﭼ</w:t>
      </w:r>
      <w:r w:rsidRPr="00DC21B6">
        <w:rPr>
          <w:rFonts w:ascii="Traditional Arabic" w:hAnsi="Traditional Arabic"/>
          <w:rtl/>
        </w:rPr>
        <w:t xml:space="preserve"> أي: كما أعطاني هذ</w:t>
      </w:r>
      <w:r w:rsidRPr="00DC21B6">
        <w:rPr>
          <w:rFonts w:ascii="Traditional Arabic" w:hAnsi="Traditional Arabic" w:hint="cs"/>
          <w:rtl/>
        </w:rPr>
        <w:t>ا</w:t>
      </w:r>
      <w:r w:rsidRPr="00DC21B6">
        <w:rPr>
          <w:rFonts w:ascii="Traditional Arabic" w:hAnsi="Traditional Arabic"/>
          <w:rtl/>
        </w:rPr>
        <w:t xml:space="preserve"> في الدنيا، سيعطيني في الآخرة أفضل منه</w:t>
      </w:r>
      <w:r w:rsidRPr="00DC21B6">
        <w:rPr>
          <w:vertAlign w:val="superscript"/>
          <w:rtl/>
        </w:rPr>
        <w:t>(</w:t>
      </w:r>
      <w:r w:rsidRPr="00DC21B6">
        <w:rPr>
          <w:vertAlign w:val="superscript"/>
          <w:rtl/>
        </w:rPr>
        <w:footnoteReference w:id="1352"/>
      </w:r>
      <w:r w:rsidRPr="00DC21B6">
        <w:rPr>
          <w:vertAlign w:val="superscript"/>
          <w:rtl/>
        </w:rPr>
        <w:t>)</w:t>
      </w:r>
      <w:r w:rsidRPr="00DC21B6">
        <w:rPr>
          <w:rFonts w:ascii="Traditional Arabic" w:hAnsi="Traditional Arabic"/>
          <w:rtl/>
        </w:rPr>
        <w:t>.</w:t>
      </w:r>
    </w:p>
    <w:p w:rsidR="00DC21B6" w:rsidRPr="00DC21B6" w:rsidRDefault="00DC21B6" w:rsidP="00DC21B6">
      <w:pPr>
        <w:ind w:firstLine="0"/>
        <w:rPr>
          <w:rFonts w:ascii="Traditional Arabic" w:hAnsi="Traditional Arabic"/>
          <w:rtl/>
        </w:rPr>
      </w:pPr>
    </w:p>
    <w:p w:rsidR="00DC21B6" w:rsidRPr="00251FC4" w:rsidRDefault="00DC21B6" w:rsidP="00251FC4">
      <w:pPr>
        <w:ind w:firstLine="0"/>
        <w:rPr>
          <w:rFonts w:ascii="Traditional Arabic" w:hAnsi="Traditional Arabic"/>
          <w:color w:val="auto"/>
          <w:rtl/>
        </w:rPr>
      </w:pPr>
      <w:r w:rsidRPr="00DC21B6">
        <w:rPr>
          <w:rFonts w:ascii="QCF_BSML" w:hAnsi="QCF_BSML" w:cs="QCF_BSML"/>
          <w:color w:val="auto"/>
          <w:sz w:val="32"/>
          <w:szCs w:val="32"/>
          <w:rtl/>
          <w:lang w:eastAsia="en-US"/>
        </w:rPr>
        <w:t xml:space="preserve">ﭽ </w:t>
      </w:r>
      <w:r w:rsidRPr="00DC21B6">
        <w:rPr>
          <w:rFonts w:ascii="QCF_P298" w:hAnsi="QCF_P298" w:cs="QCF_P298"/>
          <w:color w:val="auto"/>
          <w:sz w:val="32"/>
          <w:szCs w:val="32"/>
          <w:rtl/>
          <w:lang w:eastAsia="en-US"/>
        </w:rPr>
        <w:t xml:space="preserve">ﭫ  ﭬ    ﭭ  ﭮ   ﭯ     ﭰ  ﭱ  ﭲ  ﭳ  ﭴ  ﭵ  ﭶ  ﭷ  ﭸ  ﭹ  ﭺ   ﭻ  ﭼ  ﭽ   ﭾ  ﭿ  ﮀ  ﮁ  ﮂ   ﮃ  ﮄ  ﮅ  ﮆ      ﮇ  ﮈ  ﮉ  ﮊ  ﮋ  ﮌ  ﮍ  ﮎ  ﮏ  ﮐﮑ  ﮒ  ﮓ  ﮔ   ﮕ  ﮖ  ﮗ  ﮘ  ﮙ  ﮚ  ﮛ  ﮜ  ﮝ  ﮞ  ﮟ   ﮠ  ﮡ  ﮢ  ﮣ  ﮤ  ﮥ  ﮦ  ﮧ   ﮨ  ﮩ  ﮪ  ﮫ  ﮬ  ﮭ  ﮮ  ﮯ  ﮰ  ﮱ  ﯓ   </w:t>
      </w:r>
      <w:r w:rsidRPr="00DC21B6">
        <w:rPr>
          <w:rFonts w:ascii="QCF_BSML" w:hAnsi="QCF_BSML" w:cs="QCF_BSML"/>
          <w:color w:val="auto"/>
          <w:sz w:val="32"/>
          <w:szCs w:val="32"/>
          <w:rtl/>
          <w:lang w:eastAsia="en-US"/>
        </w:rPr>
        <w:t>ﭼ</w:t>
      </w:r>
      <w:r w:rsidRPr="00DC21B6">
        <w:rPr>
          <w:rFonts w:ascii="Arial" w:hAnsi="Arial" w:cs="Arial"/>
          <w:color w:val="auto"/>
          <w:sz w:val="32"/>
          <w:szCs w:val="32"/>
          <w:rtl/>
          <w:lang w:eastAsia="en-US"/>
        </w:rPr>
        <w:t xml:space="preserve"> </w:t>
      </w:r>
      <w:r w:rsidRPr="00DC21B6">
        <w:rPr>
          <w:rFonts w:ascii="Traditional Arabic" w:hAnsi="Traditional Arabic"/>
          <w:rtl/>
        </w:rPr>
        <w:t xml:space="preserve">قوله تعالى: </w:t>
      </w:r>
      <w:r w:rsidRPr="00DC21B6">
        <w:rPr>
          <w:rFonts w:ascii="QCF_BSML" w:hAnsi="QCF_BSML" w:cs="QCF_BSML"/>
          <w:sz w:val="32"/>
          <w:szCs w:val="32"/>
          <w:rtl/>
          <w:lang w:eastAsia="en-US"/>
        </w:rPr>
        <w:t>ﭽ</w:t>
      </w:r>
      <w:r w:rsidRPr="00DC21B6">
        <w:rPr>
          <w:rFonts w:ascii="QCF_P298" w:hAnsi="QCF_P298" w:cs="QCF_P298"/>
          <w:sz w:val="32"/>
          <w:szCs w:val="32"/>
          <w:rtl/>
          <w:lang w:eastAsia="en-US"/>
        </w:rPr>
        <w:t xml:space="preserve">ﭫ  ﭬ    ﭭ </w:t>
      </w:r>
      <w:r w:rsidRPr="00DC21B6">
        <w:rPr>
          <w:rFonts w:ascii="QCF_BSML" w:hAnsi="QCF_BSML" w:cs="QCF_BSML"/>
          <w:sz w:val="32"/>
          <w:szCs w:val="32"/>
          <w:rtl/>
          <w:lang w:eastAsia="en-US"/>
        </w:rPr>
        <w:t>ﭼ</w:t>
      </w:r>
      <w:r w:rsidRPr="00DC21B6">
        <w:rPr>
          <w:rFonts w:ascii="Traditional Arabic" w:hAnsi="Traditional Arabic"/>
          <w:rtl/>
        </w:rPr>
        <w:t xml:space="preserve"> يعني: المؤمن </w:t>
      </w:r>
      <w:r w:rsidRPr="00DC21B6">
        <w:rPr>
          <w:rFonts w:ascii="QCF_BSML" w:hAnsi="QCF_BSML" w:cs="QCF_BSML"/>
          <w:sz w:val="32"/>
          <w:szCs w:val="32"/>
          <w:rtl/>
          <w:lang w:eastAsia="en-US"/>
        </w:rPr>
        <w:t>ﭽ</w:t>
      </w:r>
      <w:r w:rsidRPr="00DC21B6">
        <w:rPr>
          <w:rFonts w:ascii="QCF_P298" w:hAnsi="QCF_P298" w:cs="QCF_P298"/>
          <w:sz w:val="32"/>
          <w:szCs w:val="32"/>
          <w:rtl/>
          <w:lang w:eastAsia="en-US"/>
        </w:rPr>
        <w:t>ﭮ   ﭯ     ﭰ  ﭱ  ﭲ  ﭳ  ﭴ</w:t>
      </w:r>
      <w:r w:rsidRPr="00DC21B6">
        <w:rPr>
          <w:rFonts w:ascii="QCF_BSML" w:hAnsi="QCF_BSML" w:cs="QCF_BSML"/>
          <w:sz w:val="32"/>
          <w:szCs w:val="32"/>
          <w:rtl/>
          <w:lang w:eastAsia="en-US"/>
        </w:rPr>
        <w:t xml:space="preserve"> ﭼ</w:t>
      </w:r>
      <w:r w:rsidRPr="00DC21B6">
        <w:rPr>
          <w:rFonts w:ascii="QCF_P298" w:hAnsi="QCF_P298" w:cs="QCF_P298"/>
          <w:sz w:val="32"/>
          <w:szCs w:val="32"/>
          <w:rtl/>
          <w:lang w:eastAsia="en-US"/>
        </w:rPr>
        <w:t xml:space="preserve">  </w:t>
      </w:r>
      <w:r w:rsidRPr="00DC21B6">
        <w:rPr>
          <w:rFonts w:ascii="Traditional Arabic" w:hAnsi="Traditional Arabic"/>
          <w:rtl/>
        </w:rPr>
        <w:t>يعني:</w:t>
      </w:r>
      <w:r w:rsidRPr="00DC21B6">
        <w:rPr>
          <w:rFonts w:ascii="Traditional Arabic" w:hAnsi="Traditional Arabic" w:hint="cs"/>
          <w:rtl/>
        </w:rPr>
        <w:t xml:space="preserve"> </w:t>
      </w:r>
      <w:r w:rsidRPr="00DC21B6">
        <w:rPr>
          <w:rFonts w:ascii="Traditional Arabic" w:hAnsi="Traditional Arabic"/>
          <w:rtl/>
        </w:rPr>
        <w:t xml:space="preserve">خلق أباك آدم </w:t>
      </w:r>
      <w:r w:rsidRPr="00DC21B6">
        <w:rPr>
          <w:rFonts w:ascii="QCF_BSML" w:hAnsi="QCF_BSML" w:cs="QCF_BSML"/>
          <w:sz w:val="32"/>
          <w:szCs w:val="32"/>
          <w:rtl/>
          <w:lang w:eastAsia="en-US"/>
        </w:rPr>
        <w:t>ﭽ</w:t>
      </w:r>
      <w:r w:rsidRPr="00DC21B6">
        <w:rPr>
          <w:rFonts w:ascii="QCF_P298" w:hAnsi="QCF_P298" w:cs="QCF_P298"/>
          <w:sz w:val="32"/>
          <w:szCs w:val="32"/>
          <w:rtl/>
          <w:lang w:eastAsia="en-US"/>
        </w:rPr>
        <w:t xml:space="preserve"> ﭵ  ﭶ  ﭷ </w:t>
      </w:r>
      <w:r w:rsidRPr="00DC21B6">
        <w:rPr>
          <w:rFonts w:ascii="QCF_BSML" w:hAnsi="QCF_BSML" w:cs="QCF_BSML"/>
          <w:sz w:val="32"/>
          <w:szCs w:val="32"/>
          <w:rtl/>
          <w:lang w:eastAsia="en-US"/>
        </w:rPr>
        <w:t>ﭼ</w:t>
      </w:r>
      <w:r w:rsidRPr="00DC21B6">
        <w:rPr>
          <w:rFonts w:ascii="QCF_BSML" w:hAnsi="QCF_BSML" w:cs="QCF_BSML" w:hint="cs"/>
          <w:sz w:val="32"/>
          <w:szCs w:val="32"/>
          <w:rtl/>
          <w:lang w:eastAsia="en-US"/>
        </w:rPr>
        <w:t xml:space="preserve">   </w:t>
      </w:r>
      <w:r w:rsidRPr="00DC21B6">
        <w:rPr>
          <w:rFonts w:ascii="QCF_P298" w:hAnsi="QCF_P298" w:cs="QCF_P298"/>
          <w:sz w:val="32"/>
          <w:szCs w:val="32"/>
          <w:rtl/>
          <w:lang w:eastAsia="en-US"/>
        </w:rPr>
        <w:t xml:space="preserve"> </w:t>
      </w:r>
      <w:r w:rsidRPr="00DC21B6">
        <w:rPr>
          <w:rFonts w:ascii="Traditional Arabic" w:hAnsi="Traditional Arabic"/>
          <w:rtl/>
        </w:rPr>
        <w:t>يعني: ما أنشئ هو منه، فلما شَكَّ في البعث كان كافراً</w:t>
      </w:r>
      <w:r w:rsidRPr="00DC21B6">
        <w:rPr>
          <w:vertAlign w:val="superscript"/>
          <w:rtl/>
        </w:rPr>
        <w:t>(</w:t>
      </w:r>
      <w:r w:rsidRPr="00DC21B6">
        <w:rPr>
          <w:vertAlign w:val="superscript"/>
          <w:rtl/>
        </w:rPr>
        <w:footnoteReference w:id="1353"/>
      </w:r>
      <w:r w:rsidRPr="00DC21B6">
        <w:rPr>
          <w:vertAlign w:val="superscript"/>
          <w:rtl/>
        </w:rPr>
        <w:t>)</w:t>
      </w:r>
      <w:r w:rsidRPr="00DC21B6">
        <w:rPr>
          <w:rFonts w:ascii="Traditional Arabic" w:hAnsi="Traditional Arabic"/>
          <w:rtl/>
        </w:rPr>
        <w:t>.</w:t>
      </w:r>
      <w:r w:rsidR="00251FC4">
        <w:rPr>
          <w:rFonts w:ascii="Traditional Arabic" w:hAnsi="Traditional Arabic" w:hint="cs"/>
          <w:rtl/>
        </w:rPr>
        <w:t xml:space="preserve"> </w:t>
      </w:r>
      <w:r w:rsidRPr="00DC21B6">
        <w:rPr>
          <w:rFonts w:ascii="Traditional Arabic" w:hAnsi="Traditional Arabic"/>
          <w:rtl/>
        </w:rPr>
        <w:t xml:space="preserve">قوله تعالى: </w:t>
      </w:r>
      <w:r w:rsidRPr="00DC21B6">
        <w:rPr>
          <w:rFonts w:ascii="QCF_BSML" w:hAnsi="QCF_BSML" w:cs="QCF_BSML"/>
          <w:sz w:val="32"/>
          <w:szCs w:val="32"/>
          <w:rtl/>
          <w:lang w:eastAsia="en-US"/>
        </w:rPr>
        <w:t>ﭽ</w:t>
      </w:r>
      <w:r w:rsidRPr="00DC21B6">
        <w:rPr>
          <w:rFonts w:ascii="QCF_P298" w:hAnsi="QCF_P298" w:cs="QCF_P298"/>
          <w:color w:val="auto"/>
          <w:sz w:val="32"/>
          <w:szCs w:val="32"/>
          <w:rtl/>
          <w:lang w:eastAsia="en-US"/>
        </w:rPr>
        <w:t xml:space="preserve">  ﭼ  ﭽ   ﭾ  ﭿ  </w:t>
      </w:r>
      <w:r w:rsidRPr="00DC21B6">
        <w:rPr>
          <w:rFonts w:ascii="QCF_BSML" w:hAnsi="QCF_BSML" w:cs="QCF_BSML"/>
          <w:sz w:val="32"/>
          <w:szCs w:val="32"/>
          <w:rtl/>
          <w:lang w:eastAsia="en-US"/>
        </w:rPr>
        <w:t>ﭼ</w:t>
      </w:r>
      <w:r w:rsidRPr="00DC21B6">
        <w:rPr>
          <w:rFonts w:ascii="Traditional Arabic" w:hAnsi="Traditional Arabic"/>
          <w:rtl/>
        </w:rPr>
        <w:t xml:space="preserve"> قرأ ابن كثير وأبو عمرو وعاصم وحمزة والكسائي، وقالون عن نافع: «لكِنَّا هُوَ اللَّهُ رَبِّي»، </w:t>
      </w:r>
      <w:r w:rsidRPr="00DC21B6">
        <w:rPr>
          <w:rFonts w:ascii="Traditional Arabic" w:hAnsi="Traditional Arabic" w:hint="cs"/>
          <w:rtl/>
        </w:rPr>
        <w:t>بإسقاط</w:t>
      </w:r>
      <w:r w:rsidRPr="00DC21B6">
        <w:rPr>
          <w:rFonts w:ascii="Traditional Arabic" w:hAnsi="Traditional Arabic"/>
          <w:rtl/>
        </w:rPr>
        <w:t xml:space="preserve"> الألف في الوصل، وإِثباتها في الوقف. وقرأ </w:t>
      </w:r>
      <w:r w:rsidRPr="00DC21B6">
        <w:rPr>
          <w:rFonts w:ascii="Traditional Arabic" w:hAnsi="Traditional Arabic"/>
          <w:rtl/>
        </w:rPr>
        <w:lastRenderedPageBreak/>
        <w:t>نافع في رواية المُسَيّبي</w:t>
      </w:r>
      <w:r w:rsidRPr="00DC21B6">
        <w:rPr>
          <w:vertAlign w:val="superscript"/>
          <w:rtl/>
        </w:rPr>
        <w:t>(</w:t>
      </w:r>
      <w:r w:rsidRPr="00DC21B6">
        <w:rPr>
          <w:vertAlign w:val="superscript"/>
          <w:rtl/>
        </w:rPr>
        <w:footnoteReference w:id="1354"/>
      </w:r>
      <w:r w:rsidRPr="00DC21B6">
        <w:rPr>
          <w:vertAlign w:val="superscript"/>
          <w:rtl/>
        </w:rPr>
        <w:t>)</w:t>
      </w:r>
      <w:r w:rsidRPr="00DC21B6">
        <w:rPr>
          <w:rFonts w:ascii="Traditional Arabic" w:hAnsi="Traditional Arabic"/>
          <w:rtl/>
        </w:rPr>
        <w:t>بإثبات الألف وصلاً ووقفاً. وأثبت الألف ابن عامر في الحالين</w:t>
      </w:r>
      <w:r w:rsidRPr="00DC21B6">
        <w:rPr>
          <w:vertAlign w:val="superscript"/>
          <w:rtl/>
        </w:rPr>
        <w:t>(</w:t>
      </w:r>
      <w:r w:rsidRPr="00DC21B6">
        <w:rPr>
          <w:vertAlign w:val="superscript"/>
          <w:rtl/>
        </w:rPr>
        <w:footnoteReference w:id="1355"/>
      </w:r>
      <w:r w:rsidRPr="00DC21B6">
        <w:rPr>
          <w:vertAlign w:val="superscript"/>
          <w:rtl/>
        </w:rPr>
        <w:t>)</w:t>
      </w:r>
      <w:r w:rsidRPr="00DC21B6">
        <w:rPr>
          <w:rFonts w:ascii="Traditional Arabic" w:hAnsi="Traditional Arabic"/>
          <w:rtl/>
        </w:rPr>
        <w:t>.</w:t>
      </w:r>
      <w:r w:rsidRPr="00DC21B6">
        <w:rPr>
          <w:rFonts w:ascii="Traditional Arabic" w:hAnsi="Traditional Arabic" w:hint="cs"/>
          <w:rtl/>
        </w:rPr>
        <w:t xml:space="preserve"> </w:t>
      </w:r>
      <w:r w:rsidRPr="00DC21B6">
        <w:rPr>
          <w:rFonts w:ascii="Traditional Arabic" w:hAnsi="Traditional Arabic"/>
          <w:rtl/>
        </w:rPr>
        <w:t>وقرأ أبو رجاء: «لكنْ» بإسكان النون خفيفة من غير ألف في الحالين</w:t>
      </w:r>
      <w:r w:rsidRPr="00DC21B6">
        <w:rPr>
          <w:vertAlign w:val="superscript"/>
          <w:rtl/>
        </w:rPr>
        <w:t>(</w:t>
      </w:r>
      <w:r w:rsidRPr="00DC21B6">
        <w:rPr>
          <w:vertAlign w:val="superscript"/>
          <w:rtl/>
        </w:rPr>
        <w:footnoteReference w:id="1356"/>
      </w:r>
      <w:r w:rsidRPr="00DC21B6">
        <w:rPr>
          <w:vertAlign w:val="superscript"/>
          <w:rtl/>
        </w:rPr>
        <w:t>)(</w:t>
      </w:r>
      <w:r w:rsidRPr="00DC21B6">
        <w:rPr>
          <w:vertAlign w:val="superscript"/>
          <w:rtl/>
        </w:rPr>
        <w:footnoteReference w:id="1357"/>
      </w:r>
      <w:r w:rsidRPr="00DC21B6">
        <w:rPr>
          <w:vertAlign w:val="superscript"/>
          <w:rtl/>
        </w:rPr>
        <w:t>)</w:t>
      </w:r>
      <w:r w:rsidRPr="00DC21B6">
        <w:rPr>
          <w:rFonts w:ascii="Traditional Arabic" w:hAnsi="Traditional Arabic"/>
          <w:rtl/>
        </w:rPr>
        <w:t>. وقرأ ابن يعمر «لكنَّ» بتشديد النون من غير ألف في الحالين</w:t>
      </w:r>
      <w:r w:rsidRPr="00DC21B6">
        <w:rPr>
          <w:vertAlign w:val="superscript"/>
          <w:rtl/>
        </w:rPr>
        <w:t>(</w:t>
      </w:r>
      <w:r w:rsidRPr="00DC21B6">
        <w:rPr>
          <w:vertAlign w:val="superscript"/>
          <w:rtl/>
        </w:rPr>
        <w:footnoteReference w:id="1358"/>
      </w:r>
      <w:r w:rsidRPr="00DC21B6">
        <w:rPr>
          <w:vertAlign w:val="superscript"/>
          <w:rtl/>
        </w:rPr>
        <w:t>)</w:t>
      </w:r>
      <w:r w:rsidRPr="00DC21B6">
        <w:rPr>
          <w:rFonts w:ascii="Traditional Arabic" w:hAnsi="Traditional Arabic"/>
          <w:rtl/>
        </w:rPr>
        <w:t xml:space="preserve">. وقرأ الحسن: «لكنْ أنا هو اللهُ ربِّي» </w:t>
      </w:r>
      <w:r w:rsidRPr="00DC21B6">
        <w:rPr>
          <w:rFonts w:ascii="Traditional Arabic" w:hAnsi="Traditional Arabic" w:hint="cs"/>
          <w:rtl/>
        </w:rPr>
        <w:t>بإسكان</w:t>
      </w:r>
      <w:r w:rsidRPr="00DC21B6">
        <w:rPr>
          <w:rFonts w:ascii="Traditional Arabic" w:hAnsi="Traditional Arabic"/>
          <w:rtl/>
        </w:rPr>
        <w:t xml:space="preserve"> نون «لكنْ» وإِثبات «أنا»</w:t>
      </w:r>
      <w:r w:rsidRPr="00DC21B6">
        <w:rPr>
          <w:vertAlign w:val="superscript"/>
          <w:rtl/>
        </w:rPr>
        <w:t>(</w:t>
      </w:r>
      <w:r w:rsidRPr="00DC21B6">
        <w:rPr>
          <w:vertAlign w:val="superscript"/>
          <w:rtl/>
        </w:rPr>
        <w:footnoteReference w:id="1359"/>
      </w:r>
      <w:r w:rsidRPr="00DC21B6">
        <w:rPr>
          <w:vertAlign w:val="superscript"/>
          <w:rtl/>
        </w:rPr>
        <w:t>)</w:t>
      </w:r>
      <w:r w:rsidRPr="00DC21B6">
        <w:rPr>
          <w:rFonts w:ascii="Traditional Arabic" w:hAnsi="Traditional Arabic"/>
          <w:rtl/>
        </w:rPr>
        <w:t>. قال الفراء: فيها ثلاث لغات: لكنّا، ولكنّ، ولكنَّه بالهاء، أنشدني أبو ثروان</w:t>
      </w:r>
      <w:r w:rsidRPr="00DC21B6">
        <w:rPr>
          <w:vertAlign w:val="superscript"/>
          <w:rtl/>
        </w:rPr>
        <w:t>(</w:t>
      </w:r>
      <w:r w:rsidRPr="00DC21B6">
        <w:rPr>
          <w:vertAlign w:val="superscript"/>
          <w:rtl/>
        </w:rPr>
        <w:footnoteReference w:id="1360"/>
      </w:r>
      <w:r w:rsidRPr="00DC21B6">
        <w:rPr>
          <w:vertAlign w:val="superscript"/>
          <w:rtl/>
        </w:rPr>
        <w:t>)</w:t>
      </w:r>
      <w:r w:rsidRPr="00DC21B6">
        <w:rPr>
          <w:rFonts w:ascii="Traditional Arabic" w:hAnsi="Traditional Arabic"/>
          <w:rtl/>
        </w:rPr>
        <w:t>:</w:t>
      </w:r>
    </w:p>
    <w:p w:rsidR="00DC21B6" w:rsidRPr="00DC21B6" w:rsidRDefault="00DC21B6" w:rsidP="00DC21B6">
      <w:pPr>
        <w:ind w:firstLine="0"/>
        <w:rPr>
          <w:rFonts w:ascii="Traditional Arabic" w:hAnsi="Traditional Arabic"/>
          <w:rtl/>
        </w:rPr>
      </w:pPr>
      <w:r w:rsidRPr="00DC21B6">
        <w:rPr>
          <w:rFonts w:ascii="Traditional Arabic" w:hAnsi="Traditional Arabic"/>
          <w:rtl/>
        </w:rPr>
        <w:t>وترْمينني بالطَّرْف أي أنت مذنب ... وتَقْلِيَننِي لكنّ إِيّاكِ لاَ أَقْلِي</w:t>
      </w:r>
      <w:r w:rsidRPr="00DC21B6">
        <w:rPr>
          <w:vertAlign w:val="superscript"/>
          <w:rtl/>
        </w:rPr>
        <w:t>(</w:t>
      </w:r>
      <w:r w:rsidRPr="00DC21B6">
        <w:rPr>
          <w:vertAlign w:val="superscript"/>
          <w:rtl/>
        </w:rPr>
        <w:footnoteReference w:id="1361"/>
      </w:r>
      <w:r w:rsidRPr="00DC21B6">
        <w:rPr>
          <w:vertAlign w:val="superscript"/>
          <w:rtl/>
        </w:rPr>
        <w:t>)</w:t>
      </w:r>
    </w:p>
    <w:p w:rsidR="00251FC4" w:rsidRDefault="00DC21B6" w:rsidP="00251FC4">
      <w:pPr>
        <w:ind w:firstLine="0"/>
        <w:rPr>
          <w:rFonts w:ascii="Traditional Arabic" w:hAnsi="Traditional Arabic"/>
          <w:rtl/>
        </w:rPr>
      </w:pPr>
      <w:r w:rsidRPr="00DC21B6">
        <w:rPr>
          <w:rFonts w:ascii="Traditional Arabic" w:hAnsi="Traditional Arabic"/>
          <w:rtl/>
        </w:rPr>
        <w:t>وقال أبو عبيدة: مجازه: لكن أنا هو الله ربي، ثم حُذفت الألف الأولى، وأُدغمت إِحدى النونين في الأخرى فشدِّدت</w:t>
      </w:r>
      <w:r w:rsidRPr="00DC21B6">
        <w:rPr>
          <w:vertAlign w:val="superscript"/>
          <w:rtl/>
        </w:rPr>
        <w:t>(</w:t>
      </w:r>
      <w:r w:rsidRPr="00DC21B6">
        <w:rPr>
          <w:vertAlign w:val="superscript"/>
          <w:rtl/>
        </w:rPr>
        <w:footnoteReference w:id="1362"/>
      </w:r>
      <w:r w:rsidRPr="00DC21B6">
        <w:rPr>
          <w:vertAlign w:val="superscript"/>
          <w:rtl/>
        </w:rPr>
        <w:t>)</w:t>
      </w:r>
      <w:r w:rsidRPr="00DC21B6">
        <w:rPr>
          <w:rFonts w:ascii="Traditional Arabic" w:hAnsi="Traditional Arabic"/>
          <w:rtl/>
        </w:rPr>
        <w:t xml:space="preserve">. قال الزجاج: وهذه </w:t>
      </w:r>
      <w:r w:rsidRPr="00DC21B6">
        <w:rPr>
          <w:rFonts w:ascii="Traditional Arabic" w:hAnsi="Traditional Arabic" w:hint="cs"/>
          <w:rtl/>
        </w:rPr>
        <w:t>ا</w:t>
      </w:r>
      <w:r w:rsidRPr="00DC21B6">
        <w:rPr>
          <w:rFonts w:ascii="Traditional Arabic" w:hAnsi="Traditional Arabic"/>
          <w:rtl/>
        </w:rPr>
        <w:t xml:space="preserve">لألفُ تُحذف في الوصل، وتُثبت في الوقف، فأما من أثبتها في الوصل كما تثبت في الوقف، فهو على لغة من يقول: أنا قمتُ، فأثبت الألف، </w:t>
      </w:r>
    </w:p>
    <w:p w:rsidR="00251FC4" w:rsidRDefault="00251FC4" w:rsidP="00251FC4">
      <w:pPr>
        <w:ind w:firstLine="0"/>
        <w:rPr>
          <w:rFonts w:ascii="Traditional Arabic" w:hAnsi="Traditional Arabic"/>
          <w:rtl/>
        </w:rPr>
      </w:pPr>
    </w:p>
    <w:p w:rsidR="00251FC4" w:rsidRDefault="00251FC4" w:rsidP="00251FC4">
      <w:pPr>
        <w:ind w:firstLine="0"/>
        <w:rPr>
          <w:rFonts w:ascii="Traditional Arabic" w:hAnsi="Traditional Arabic"/>
          <w:rtl/>
        </w:rPr>
      </w:pPr>
    </w:p>
    <w:p w:rsidR="00251FC4" w:rsidRDefault="00251FC4" w:rsidP="00251FC4">
      <w:pPr>
        <w:ind w:firstLine="0"/>
        <w:rPr>
          <w:rFonts w:ascii="Traditional Arabic" w:hAnsi="Traditional Arabic"/>
          <w:rtl/>
        </w:rPr>
      </w:pPr>
    </w:p>
    <w:p w:rsidR="00251FC4" w:rsidRDefault="00DC21B6" w:rsidP="00251FC4">
      <w:pPr>
        <w:ind w:firstLine="0"/>
        <w:rPr>
          <w:rFonts w:ascii="Traditional Arabic" w:hAnsi="Traditional Arabic"/>
          <w:rtl/>
        </w:rPr>
      </w:pPr>
      <w:r w:rsidRPr="00DC21B6">
        <w:rPr>
          <w:rFonts w:ascii="Traditional Arabic" w:hAnsi="Traditional Arabic"/>
          <w:rtl/>
        </w:rPr>
        <w:lastRenderedPageBreak/>
        <w:t>قال الشاعر:</w:t>
      </w:r>
    </w:p>
    <w:p w:rsidR="00DC21B6" w:rsidRPr="00DC21B6" w:rsidRDefault="00DC21B6" w:rsidP="00DC21B6">
      <w:pPr>
        <w:ind w:firstLine="0"/>
        <w:rPr>
          <w:rFonts w:ascii="Traditional Arabic" w:hAnsi="Traditional Arabic"/>
          <w:rtl/>
        </w:rPr>
      </w:pPr>
      <w:r w:rsidRPr="00DC21B6">
        <w:rPr>
          <w:rFonts w:ascii="Traditional Arabic" w:hAnsi="Traditional Arabic"/>
          <w:rtl/>
        </w:rPr>
        <w:t>أنا سَيْفُ العشيرة فاعرفوني</w:t>
      </w:r>
      <w:r w:rsidRPr="00DC21B6">
        <w:rPr>
          <w:vertAlign w:val="superscript"/>
          <w:rtl/>
        </w:rPr>
        <w:t>(</w:t>
      </w:r>
      <w:r w:rsidRPr="00DC21B6">
        <w:rPr>
          <w:vertAlign w:val="superscript"/>
          <w:rtl/>
        </w:rPr>
        <w:footnoteReference w:id="1363"/>
      </w:r>
      <w:r w:rsidRPr="00DC21B6">
        <w:rPr>
          <w:vertAlign w:val="superscript"/>
          <w:rtl/>
        </w:rPr>
        <w:t>)</w:t>
      </w:r>
      <w:r w:rsidRPr="00DC21B6">
        <w:rPr>
          <w:rFonts w:ascii="Traditional Arabic" w:hAnsi="Traditional Arabic" w:hint="cs"/>
          <w:rtl/>
        </w:rPr>
        <w:t xml:space="preserve"> </w:t>
      </w:r>
    </w:p>
    <w:p w:rsidR="00DC21B6" w:rsidRPr="00DC21B6" w:rsidRDefault="00DC21B6" w:rsidP="00DC21B6">
      <w:pPr>
        <w:ind w:firstLine="0"/>
        <w:rPr>
          <w:rFonts w:ascii="Traditional Arabic" w:hAnsi="Traditional Arabic"/>
          <w:sz w:val="28"/>
          <w:szCs w:val="28"/>
          <w:rtl/>
        </w:rPr>
      </w:pPr>
      <w:r w:rsidRPr="00DC21B6">
        <w:rPr>
          <w:rFonts w:ascii="Traditional Arabic" w:hAnsi="Traditional Arabic"/>
          <w:rtl/>
        </w:rPr>
        <w:t>وهذه القراءة جيدة، لأن الهمزة قد حذفت من «أنا» ، فصار إِثبات الألف عوضاً من الهمزة.</w:t>
      </w:r>
      <w:r w:rsidRPr="00DC21B6">
        <w:rPr>
          <w:rFonts w:ascii="Traditional Arabic" w:hAnsi="Traditional Arabic" w:hint="cs"/>
          <w:rtl/>
        </w:rPr>
        <w:t xml:space="preserve"> </w:t>
      </w:r>
      <w:r w:rsidRPr="00DC21B6">
        <w:rPr>
          <w:rFonts w:ascii="Traditional Arabic" w:hAnsi="Traditional Arabic"/>
          <w:rtl/>
        </w:rPr>
        <w:t xml:space="preserve">قوله تعالى: </w:t>
      </w:r>
      <w:r w:rsidRPr="00DC21B6">
        <w:rPr>
          <w:rFonts w:ascii="QCF_BSML" w:hAnsi="QCF_BSML" w:cs="QCF_BSML"/>
          <w:sz w:val="32"/>
          <w:szCs w:val="32"/>
          <w:rtl/>
          <w:lang w:eastAsia="en-US"/>
        </w:rPr>
        <w:t>ﭽ</w:t>
      </w:r>
      <w:r w:rsidRPr="00DC21B6">
        <w:rPr>
          <w:rFonts w:ascii="QCF_P298" w:hAnsi="QCF_P298" w:cs="QCF_P298"/>
          <w:color w:val="auto"/>
          <w:sz w:val="32"/>
          <w:szCs w:val="32"/>
          <w:rtl/>
          <w:lang w:eastAsia="en-US"/>
        </w:rPr>
        <w:t xml:space="preserve">ﮅ  ﮆ      ﮇ  ﮈ  </w:t>
      </w:r>
      <w:r w:rsidRPr="00DC21B6">
        <w:rPr>
          <w:rFonts w:ascii="QCF_BSML" w:hAnsi="QCF_BSML" w:cs="QCF_BSML"/>
          <w:sz w:val="32"/>
          <w:szCs w:val="32"/>
          <w:rtl/>
          <w:lang w:eastAsia="en-US"/>
        </w:rPr>
        <w:t>ﭼ</w:t>
      </w:r>
      <w:r w:rsidRPr="00DC21B6">
        <w:rPr>
          <w:rFonts w:ascii="Traditional Arabic" w:hAnsi="Traditional Arabic"/>
          <w:rtl/>
        </w:rPr>
        <w:t xml:space="preserve"> أي: وهلاّ ومعنى الكلام التوبيخ</w:t>
      </w:r>
      <w:r w:rsidRPr="00DC21B6">
        <w:rPr>
          <w:vertAlign w:val="superscript"/>
          <w:rtl/>
        </w:rPr>
        <w:t>(</w:t>
      </w:r>
      <w:r w:rsidRPr="00DC21B6">
        <w:rPr>
          <w:vertAlign w:val="superscript"/>
          <w:rtl/>
        </w:rPr>
        <w:footnoteReference w:id="1364"/>
      </w:r>
      <w:r w:rsidRPr="00DC21B6">
        <w:rPr>
          <w:vertAlign w:val="superscript"/>
          <w:rtl/>
        </w:rPr>
        <w:t>)</w:t>
      </w:r>
      <w:r w:rsidRPr="00DC21B6">
        <w:rPr>
          <w:rFonts w:ascii="Traditional Arabic" w:hAnsi="Traditional Arabic"/>
          <w:rtl/>
        </w:rPr>
        <w:t xml:space="preserve">. قال الفراء: </w:t>
      </w:r>
      <w:r w:rsidRPr="00DC21B6">
        <w:rPr>
          <w:rFonts w:ascii="QCF_BSML" w:hAnsi="QCF_BSML" w:cs="QCF_BSML"/>
          <w:sz w:val="32"/>
          <w:szCs w:val="32"/>
          <w:rtl/>
          <w:lang w:eastAsia="en-US"/>
        </w:rPr>
        <w:t>ﭽ</w:t>
      </w:r>
      <w:r w:rsidRPr="00DC21B6">
        <w:rPr>
          <w:rFonts w:ascii="Traditional Arabic" w:hAnsi="Traditional Arabic"/>
          <w:rtl/>
        </w:rPr>
        <w:t xml:space="preserve"> </w:t>
      </w:r>
      <w:r w:rsidRPr="00DC21B6">
        <w:rPr>
          <w:rFonts w:ascii="QCF_P298" w:hAnsi="QCF_P298" w:cs="QCF_P298"/>
          <w:color w:val="auto"/>
          <w:sz w:val="32"/>
          <w:szCs w:val="32"/>
          <w:rtl/>
          <w:lang w:eastAsia="en-US"/>
        </w:rPr>
        <w:t>ﮊ  ﮋ  ﮌ</w:t>
      </w:r>
      <w:r w:rsidRPr="00DC21B6">
        <w:rPr>
          <w:rFonts w:ascii="QCF_BSML" w:hAnsi="QCF_BSML" w:cs="QCF_BSML"/>
          <w:sz w:val="32"/>
          <w:szCs w:val="32"/>
          <w:rtl/>
          <w:lang w:eastAsia="en-US"/>
        </w:rPr>
        <w:t>ﭼ</w:t>
      </w:r>
      <w:r w:rsidRPr="00DC21B6">
        <w:rPr>
          <w:rFonts w:ascii="Traditional Arabic" w:hAnsi="Traditional Arabic"/>
          <w:rtl/>
        </w:rPr>
        <w:t xml:space="preserve"> في موضع رفع، إِن شئت </w:t>
      </w:r>
      <w:r w:rsidRPr="00DC21B6">
        <w:rPr>
          <w:rFonts w:ascii="Traditional Arabic" w:hAnsi="Traditional Arabic" w:hint="cs"/>
          <w:sz w:val="32"/>
          <w:szCs w:val="32"/>
          <w:rtl/>
        </w:rPr>
        <w:t>[123]</w:t>
      </w:r>
      <w:r w:rsidRPr="00DC21B6">
        <w:rPr>
          <w:rFonts w:ascii="Traditional Arabic" w:hAnsi="Traditional Arabic"/>
          <w:rtl/>
        </w:rPr>
        <w:t xml:space="preserve"> رفعته بإضمار «هو» يريد: </w:t>
      </w:r>
      <w:r w:rsidRPr="00DC21B6">
        <w:rPr>
          <w:rFonts w:ascii="Traditional Arabic" w:hAnsi="Traditional Arabic" w:hint="cs"/>
          <w:rtl/>
        </w:rPr>
        <w:t>[</w:t>
      </w:r>
      <w:r w:rsidRPr="00DC21B6">
        <w:rPr>
          <w:rFonts w:ascii="Traditional Arabic" w:hAnsi="Traditional Arabic"/>
          <w:rtl/>
        </w:rPr>
        <w:t>هو</w:t>
      </w:r>
      <w:r w:rsidRPr="00DC21B6">
        <w:rPr>
          <w:rFonts w:ascii="Traditional Arabic" w:hAnsi="Traditional Arabic" w:hint="cs"/>
          <w:rtl/>
        </w:rPr>
        <w:t>]</w:t>
      </w:r>
      <w:r w:rsidRPr="00DC21B6">
        <w:rPr>
          <w:vertAlign w:val="superscript"/>
          <w:rtl/>
        </w:rPr>
        <w:t>(</w:t>
      </w:r>
      <w:r w:rsidRPr="00DC21B6">
        <w:rPr>
          <w:vertAlign w:val="superscript"/>
          <w:rtl/>
        </w:rPr>
        <w:footnoteReference w:id="1365"/>
      </w:r>
      <w:r w:rsidRPr="00DC21B6">
        <w:rPr>
          <w:vertAlign w:val="superscript"/>
          <w:rtl/>
        </w:rPr>
        <w:t>)</w:t>
      </w:r>
      <w:r w:rsidRPr="00DC21B6">
        <w:rPr>
          <w:rFonts w:ascii="Traditional Arabic" w:hAnsi="Traditional Arabic"/>
          <w:rtl/>
        </w:rPr>
        <w:t>ما شاء الله</w:t>
      </w:r>
      <w:r w:rsidRPr="00DC21B6">
        <w:rPr>
          <w:rFonts w:ascii="Traditional Arabic" w:hAnsi="Traditional Arabic" w:hint="cs"/>
          <w:rtl/>
        </w:rPr>
        <w:t>.</w:t>
      </w:r>
      <w:r w:rsidRPr="00DC21B6">
        <w:rPr>
          <w:rFonts w:ascii="Traditional Arabic" w:hAnsi="Traditional Arabic"/>
          <w:rtl/>
        </w:rPr>
        <w:t xml:space="preserve"> وإن شئتَ أضمرتَ فيه: ما شاء الله كان</w:t>
      </w:r>
      <w:r w:rsidRPr="00DC21B6">
        <w:rPr>
          <w:rFonts w:ascii="Traditional Arabic" w:hAnsi="Traditional Arabic" w:hint="cs"/>
          <w:rtl/>
        </w:rPr>
        <w:t>,</w:t>
      </w:r>
      <w:r w:rsidRPr="00DC21B6">
        <w:rPr>
          <w:rFonts w:ascii="Traditional Arabic" w:hAnsi="Traditional Arabic"/>
          <w:rtl/>
        </w:rPr>
        <w:t xml:space="preserve"> وجاز طرح جواب الجزاء، كما جاز في قوله: </w:t>
      </w:r>
      <w:r w:rsidRPr="00DC21B6">
        <w:rPr>
          <w:rFonts w:ascii="QCF_BSML" w:hAnsi="QCF_BSML" w:cs="QCF_BSML"/>
          <w:sz w:val="32"/>
          <w:szCs w:val="32"/>
          <w:rtl/>
          <w:lang w:eastAsia="en-US"/>
        </w:rPr>
        <w:t xml:space="preserve">ﭽ </w:t>
      </w:r>
      <w:r w:rsidRPr="00DC21B6">
        <w:rPr>
          <w:rFonts w:ascii="QCF_P131" w:hAnsi="QCF_P131" w:cs="QCF_P131"/>
          <w:sz w:val="32"/>
          <w:szCs w:val="32"/>
          <w:rtl/>
          <w:lang w:eastAsia="en-US"/>
        </w:rPr>
        <w:t xml:space="preserve">ﰀ  ﰁ  ﰂ  ﰃ ﰄ  ﰅ  ﰆ  </w:t>
      </w:r>
      <w:r w:rsidRPr="00DC21B6">
        <w:rPr>
          <w:rFonts w:ascii="QCF_BSML" w:hAnsi="QCF_BSML" w:cs="QCF_BSML"/>
          <w:sz w:val="32"/>
          <w:szCs w:val="32"/>
          <w:rtl/>
          <w:lang w:eastAsia="en-US"/>
        </w:rPr>
        <w:t>ﭼ</w:t>
      </w:r>
      <w:r w:rsidRPr="00DC21B6">
        <w:rPr>
          <w:rFonts w:ascii="Traditional Arabic" w:hAnsi="Traditional Arabic" w:hint="cs"/>
          <w:sz w:val="28"/>
          <w:szCs w:val="28"/>
          <w:rtl/>
        </w:rPr>
        <w:t>[</w:t>
      </w:r>
      <w:r w:rsidRPr="00DC21B6">
        <w:rPr>
          <w:rFonts w:ascii="Traditional Arabic" w:hAnsi="Traditional Arabic"/>
          <w:sz w:val="28"/>
          <w:szCs w:val="28"/>
          <w:rtl/>
        </w:rPr>
        <w:t>سورة الأنعام:35</w:t>
      </w:r>
      <w:r w:rsidRPr="00DC21B6">
        <w:rPr>
          <w:rFonts w:ascii="Traditional Arabic" w:hAnsi="Traditional Arabic" w:hint="cs"/>
          <w:sz w:val="28"/>
          <w:szCs w:val="28"/>
          <w:rtl/>
        </w:rPr>
        <w:t>]</w:t>
      </w:r>
      <w:r w:rsidRPr="00DC21B6">
        <w:rPr>
          <w:rFonts w:ascii="Traditional Arabic" w:hAnsi="Traditional Arabic"/>
          <w:rtl/>
        </w:rPr>
        <w:t xml:space="preserve"> ليس له جواب، لأنه معروف</w:t>
      </w:r>
      <w:r w:rsidRPr="00DC21B6">
        <w:rPr>
          <w:vertAlign w:val="superscript"/>
          <w:rtl/>
        </w:rPr>
        <w:t>(</w:t>
      </w:r>
      <w:r w:rsidRPr="00DC21B6">
        <w:rPr>
          <w:vertAlign w:val="superscript"/>
          <w:rtl/>
        </w:rPr>
        <w:footnoteReference w:id="1366"/>
      </w:r>
      <w:r w:rsidRPr="00DC21B6">
        <w:rPr>
          <w:vertAlign w:val="superscript"/>
          <w:rtl/>
        </w:rPr>
        <w:t>)</w:t>
      </w:r>
      <w:r w:rsidRPr="00DC21B6">
        <w:rPr>
          <w:rFonts w:ascii="Traditional Arabic" w:hAnsi="Traditional Arabic" w:hint="cs"/>
          <w:rtl/>
        </w:rPr>
        <w:t>.</w:t>
      </w:r>
      <w:r w:rsidRPr="00DC21B6">
        <w:rPr>
          <w:rFonts w:ascii="Traditional Arabic" w:hAnsi="Traditional Arabic"/>
          <w:rtl/>
        </w:rPr>
        <w:t xml:space="preserve"> قال الزجاج: وقوله: </w:t>
      </w:r>
      <w:r w:rsidRPr="00DC21B6">
        <w:rPr>
          <w:rFonts w:ascii="QCF_BSML" w:hAnsi="QCF_BSML" w:cs="QCF_BSML"/>
          <w:sz w:val="32"/>
          <w:szCs w:val="32"/>
          <w:rtl/>
          <w:lang w:eastAsia="en-US"/>
        </w:rPr>
        <w:t>ﭽ</w:t>
      </w:r>
      <w:r w:rsidRPr="00DC21B6">
        <w:rPr>
          <w:rFonts w:ascii="QCF_P298" w:hAnsi="QCF_P298" w:cs="QCF_P298"/>
          <w:color w:val="auto"/>
          <w:sz w:val="32"/>
          <w:szCs w:val="32"/>
          <w:rtl/>
          <w:lang w:eastAsia="en-US"/>
        </w:rPr>
        <w:t xml:space="preserve">ﮍ  ﮎ  ﮏ  ﮐﮑ  </w:t>
      </w:r>
      <w:r w:rsidRPr="00DC21B6">
        <w:rPr>
          <w:rFonts w:ascii="QCF_BSML" w:hAnsi="QCF_BSML" w:cs="QCF_BSML"/>
          <w:sz w:val="32"/>
          <w:szCs w:val="32"/>
          <w:rtl/>
          <w:lang w:eastAsia="en-US"/>
        </w:rPr>
        <w:t>ﭼ</w:t>
      </w:r>
      <w:r w:rsidRPr="00DC21B6">
        <w:rPr>
          <w:rFonts w:ascii="Traditional Arabic" w:hAnsi="Traditional Arabic"/>
          <w:rtl/>
        </w:rPr>
        <w:t xml:space="preserve"> الاختيار النصب بغير تنوين على النفي، كقوله: </w:t>
      </w:r>
      <w:r w:rsidRPr="00DC21B6">
        <w:rPr>
          <w:rFonts w:ascii="QCF_BSML" w:hAnsi="QCF_BSML" w:cs="QCF_BSML"/>
          <w:sz w:val="32"/>
          <w:szCs w:val="32"/>
          <w:rtl/>
          <w:lang w:eastAsia="en-US"/>
        </w:rPr>
        <w:t xml:space="preserve">ﭽ </w:t>
      </w:r>
      <w:r w:rsidRPr="00DC21B6">
        <w:rPr>
          <w:rFonts w:ascii="QCF_P296" w:hAnsi="QCF_P296" w:cs="QCF_P296"/>
          <w:sz w:val="32"/>
          <w:szCs w:val="32"/>
          <w:rtl/>
          <w:lang w:eastAsia="en-US"/>
        </w:rPr>
        <w:t>ﭛ  ﭜ  ﭝ</w:t>
      </w:r>
      <w:r w:rsidRPr="00DC21B6">
        <w:rPr>
          <w:rFonts w:ascii="QCF_P296" w:hAnsi="QCF_P296" w:cs="QCF_P296" w:hint="cs"/>
          <w:sz w:val="32"/>
          <w:szCs w:val="32"/>
          <w:rtl/>
          <w:lang w:eastAsia="en-US"/>
        </w:rPr>
        <w:t xml:space="preserve"> </w:t>
      </w:r>
      <w:r w:rsidRPr="00DC21B6">
        <w:rPr>
          <w:rFonts w:ascii="QCF_BSML" w:hAnsi="QCF_BSML" w:cs="QCF_BSML"/>
          <w:sz w:val="32"/>
          <w:szCs w:val="32"/>
          <w:rtl/>
          <w:lang w:eastAsia="en-US"/>
        </w:rPr>
        <w:t>ﭼ</w:t>
      </w:r>
      <w:r w:rsidRPr="00DC21B6">
        <w:rPr>
          <w:rFonts w:ascii="Arial" w:hAnsi="Arial" w:cs="Arial"/>
          <w:sz w:val="18"/>
          <w:szCs w:val="18"/>
          <w:rtl/>
          <w:lang w:eastAsia="en-US"/>
        </w:rPr>
        <w:t xml:space="preserve"> </w:t>
      </w:r>
      <w:r w:rsidRPr="00DC21B6">
        <w:rPr>
          <w:rFonts w:ascii="Traditional Arabic" w:hAnsi="Traditional Arabic" w:hint="cs"/>
          <w:rtl/>
        </w:rPr>
        <w:t>[</w:t>
      </w:r>
      <w:r w:rsidRPr="00DC21B6">
        <w:rPr>
          <w:rFonts w:ascii="Traditional Arabic" w:hAnsi="Traditional Arabic"/>
          <w:sz w:val="28"/>
          <w:szCs w:val="28"/>
          <w:rtl/>
        </w:rPr>
        <w:t>سورة الكهف:21</w:t>
      </w:r>
      <w:r w:rsidRPr="00DC21B6">
        <w:rPr>
          <w:rFonts w:ascii="Traditional Arabic" w:hAnsi="Traditional Arabic" w:hint="cs"/>
          <w:sz w:val="28"/>
          <w:szCs w:val="28"/>
          <w:rtl/>
        </w:rPr>
        <w:t>]</w:t>
      </w:r>
      <w:r w:rsidRPr="00DC21B6">
        <w:rPr>
          <w:rFonts w:ascii="Traditional Arabic" w:hAnsi="Traditional Arabic"/>
          <w:sz w:val="28"/>
          <w:szCs w:val="28"/>
          <w:rtl/>
        </w:rPr>
        <w:t>.</w:t>
      </w:r>
      <w:r w:rsidRPr="00DC21B6">
        <w:rPr>
          <w:rFonts w:ascii="Traditional Arabic" w:hAnsi="Traditional Arabic" w:hint="cs"/>
          <w:sz w:val="28"/>
          <w:szCs w:val="28"/>
          <w:rtl/>
        </w:rPr>
        <w:t xml:space="preserve"> </w:t>
      </w:r>
      <w:r w:rsidRPr="00DC21B6">
        <w:rPr>
          <w:rFonts w:ascii="Traditional Arabic" w:hAnsi="Traditional Arabic"/>
          <w:rtl/>
        </w:rPr>
        <w:t>ويجوز: «لا قوة إِلا بالله» على الرفع بالابتداء، والخبر «بالله» المعنى: لا يقوى أحد في بدنه ولا في ملك يده إِلا الله تعالى، ولا يكون له إِلا ما شاء الله</w:t>
      </w:r>
      <w:r w:rsidRPr="00DC21B6">
        <w:rPr>
          <w:vertAlign w:val="superscript"/>
          <w:rtl/>
        </w:rPr>
        <w:t>(</w:t>
      </w:r>
      <w:r w:rsidRPr="00DC21B6">
        <w:rPr>
          <w:vertAlign w:val="superscript"/>
          <w:rtl/>
        </w:rPr>
        <w:footnoteReference w:id="1367"/>
      </w:r>
      <w:r w:rsidRPr="00DC21B6">
        <w:rPr>
          <w:vertAlign w:val="superscript"/>
          <w:rtl/>
        </w:rPr>
        <w:t>)</w:t>
      </w:r>
      <w:r w:rsidRPr="00DC21B6">
        <w:rPr>
          <w:rFonts w:ascii="Traditional Arabic" w:hAnsi="Traditional Arabic"/>
          <w:rtl/>
        </w:rPr>
        <w:t>.</w:t>
      </w:r>
      <w:r w:rsidRPr="00DC21B6">
        <w:rPr>
          <w:rFonts w:ascii="Traditional Arabic" w:hAnsi="Traditional Arabic" w:hint="cs"/>
          <w:rtl/>
        </w:rPr>
        <w:t xml:space="preserve"> </w:t>
      </w:r>
      <w:r w:rsidRPr="00DC21B6">
        <w:rPr>
          <w:rFonts w:ascii="Traditional Arabic" w:hAnsi="Traditional Arabic"/>
          <w:rtl/>
        </w:rPr>
        <w:t xml:space="preserve">قوله تعالى: </w:t>
      </w:r>
      <w:r w:rsidRPr="00DC21B6">
        <w:rPr>
          <w:rFonts w:ascii="QCF_BSML" w:hAnsi="QCF_BSML" w:cs="QCF_BSML"/>
          <w:sz w:val="32"/>
          <w:szCs w:val="32"/>
          <w:rtl/>
          <w:lang w:eastAsia="en-US"/>
        </w:rPr>
        <w:t>ﭽ</w:t>
      </w:r>
      <w:r w:rsidRPr="00DC21B6">
        <w:rPr>
          <w:rFonts w:ascii="Traditional Arabic" w:hAnsi="Traditional Arabic"/>
          <w:rtl/>
        </w:rPr>
        <w:t xml:space="preserve"> </w:t>
      </w:r>
      <w:r w:rsidRPr="00DC21B6">
        <w:rPr>
          <w:rFonts w:ascii="QCF_P298" w:hAnsi="QCF_P298" w:cs="QCF_P298"/>
          <w:color w:val="auto"/>
          <w:sz w:val="32"/>
          <w:szCs w:val="32"/>
          <w:rtl/>
          <w:lang w:eastAsia="en-US"/>
        </w:rPr>
        <w:t>ﮒ  ﮓ</w:t>
      </w:r>
      <w:r w:rsidRPr="00DC21B6">
        <w:rPr>
          <w:rFonts w:ascii="QCF_BSML" w:hAnsi="QCF_BSML" w:cs="QCF_BSML"/>
          <w:sz w:val="32"/>
          <w:szCs w:val="32"/>
          <w:rtl/>
          <w:lang w:eastAsia="en-US"/>
        </w:rPr>
        <w:t>ﭼ</w:t>
      </w:r>
      <w:r w:rsidRPr="00DC21B6">
        <w:rPr>
          <w:rFonts w:ascii="Traditional Arabic" w:hAnsi="Traditional Arabic"/>
          <w:rtl/>
        </w:rPr>
        <w:t xml:space="preserve"> قرأ ابن كثير: «إِن ترني أنا» و «يؤتيني </w:t>
      </w:r>
      <w:r w:rsidRPr="00DC21B6">
        <w:rPr>
          <w:rFonts w:ascii="Traditional Arabic" w:hAnsi="Traditional Arabic" w:hint="cs"/>
          <w:rtl/>
        </w:rPr>
        <w:t>[</w:t>
      </w:r>
      <w:r w:rsidRPr="00DC21B6">
        <w:rPr>
          <w:rFonts w:ascii="Traditional Arabic" w:hAnsi="Traditional Arabic"/>
          <w:rtl/>
        </w:rPr>
        <w:t>خيراً</w:t>
      </w:r>
      <w:r w:rsidRPr="00DC21B6">
        <w:rPr>
          <w:rFonts w:ascii="Traditional Arabic" w:hAnsi="Traditional Arabic" w:hint="cs"/>
          <w:rtl/>
        </w:rPr>
        <w:t>]</w:t>
      </w:r>
      <w:r w:rsidRPr="00DC21B6">
        <w:rPr>
          <w:vertAlign w:val="superscript"/>
          <w:rtl/>
        </w:rPr>
        <w:t>(</w:t>
      </w:r>
      <w:r w:rsidRPr="00DC21B6">
        <w:rPr>
          <w:vertAlign w:val="superscript"/>
          <w:rtl/>
        </w:rPr>
        <w:footnoteReference w:id="1368"/>
      </w:r>
      <w:r w:rsidRPr="00DC21B6">
        <w:rPr>
          <w:vertAlign w:val="superscript"/>
          <w:rtl/>
        </w:rPr>
        <w:t>)</w:t>
      </w:r>
      <w:r w:rsidRPr="00DC21B6">
        <w:rPr>
          <w:rFonts w:ascii="Traditional Arabic" w:hAnsi="Traditional Arabic"/>
          <w:rtl/>
        </w:rPr>
        <w:t>» بياء في الوصل والوقف.</w:t>
      </w:r>
      <w:r w:rsidRPr="00DC21B6">
        <w:rPr>
          <w:rFonts w:ascii="Traditional Arabic" w:hAnsi="Traditional Arabic" w:hint="cs"/>
          <w:rtl/>
        </w:rPr>
        <w:t xml:space="preserve"> </w:t>
      </w:r>
      <w:r w:rsidRPr="00DC21B6">
        <w:rPr>
          <w:rFonts w:ascii="Traditional Arabic" w:hAnsi="Traditional Arabic"/>
          <w:rtl/>
        </w:rPr>
        <w:t>وقرأ نافع، وأبو عمرو بياء في الوصل. وقرأ ابن عامر، وعاصم، وحمزة بحذف الياء فيهما وصلاً ووقفاً</w:t>
      </w:r>
      <w:r w:rsidRPr="00DC21B6">
        <w:rPr>
          <w:vertAlign w:val="superscript"/>
          <w:rtl/>
        </w:rPr>
        <w:t>(</w:t>
      </w:r>
      <w:r w:rsidRPr="00DC21B6">
        <w:rPr>
          <w:vertAlign w:val="superscript"/>
          <w:rtl/>
        </w:rPr>
        <w:footnoteReference w:id="1369"/>
      </w:r>
      <w:r w:rsidRPr="00DC21B6">
        <w:rPr>
          <w:vertAlign w:val="superscript"/>
          <w:rtl/>
        </w:rPr>
        <w:t>)</w:t>
      </w:r>
      <w:r w:rsidRPr="00DC21B6">
        <w:rPr>
          <w:rFonts w:ascii="Traditional Arabic" w:hAnsi="Traditional Arabic"/>
          <w:rtl/>
        </w:rPr>
        <w:t xml:space="preserve">. </w:t>
      </w:r>
      <w:r w:rsidRPr="00DC21B6">
        <w:rPr>
          <w:rFonts w:ascii="QCF_BSML" w:hAnsi="QCF_BSML" w:cs="QCF_BSML"/>
          <w:sz w:val="32"/>
          <w:szCs w:val="32"/>
          <w:rtl/>
          <w:lang w:eastAsia="en-US"/>
        </w:rPr>
        <w:t>ﭽ</w:t>
      </w:r>
      <w:r w:rsidRPr="00DC21B6">
        <w:rPr>
          <w:rFonts w:ascii="QCF_P298" w:hAnsi="QCF_P298" w:cs="QCF_P298"/>
          <w:color w:val="auto"/>
          <w:sz w:val="32"/>
          <w:szCs w:val="32"/>
          <w:rtl/>
          <w:lang w:eastAsia="en-US"/>
        </w:rPr>
        <w:t>ﮔ   ﮕ</w:t>
      </w:r>
      <w:r w:rsidRPr="00DC21B6">
        <w:rPr>
          <w:rFonts w:ascii="QCF_BSML" w:hAnsi="QCF_BSML" w:cs="QCF_BSML"/>
          <w:sz w:val="32"/>
          <w:szCs w:val="32"/>
          <w:rtl/>
          <w:lang w:eastAsia="en-US"/>
        </w:rPr>
        <w:t>ﭼ</w:t>
      </w:r>
      <w:r w:rsidRPr="00DC21B6">
        <w:rPr>
          <w:rFonts w:ascii="Traditional Arabic" w:hAnsi="Traditional Arabic"/>
          <w:rtl/>
        </w:rPr>
        <w:t xml:space="preserve"> وقرأ ابن أبي عبلة: «أنا أقل</w:t>
      </w:r>
      <w:r w:rsidRPr="00DC21B6">
        <w:rPr>
          <w:rFonts w:ascii="Traditional Arabic" w:hAnsi="Traditional Arabic" w:hint="cs"/>
          <w:rtl/>
        </w:rPr>
        <w:t>ُّ</w:t>
      </w:r>
      <w:r w:rsidRPr="00DC21B6">
        <w:rPr>
          <w:rFonts w:ascii="Traditional Arabic" w:hAnsi="Traditional Arabic"/>
          <w:rtl/>
        </w:rPr>
        <w:t>»</w:t>
      </w:r>
      <w:r w:rsidRPr="00DC21B6">
        <w:rPr>
          <w:vertAlign w:val="superscript"/>
          <w:rtl/>
        </w:rPr>
        <w:t>(</w:t>
      </w:r>
      <w:r w:rsidRPr="00DC21B6">
        <w:rPr>
          <w:vertAlign w:val="superscript"/>
          <w:rtl/>
        </w:rPr>
        <w:footnoteReference w:id="1370"/>
      </w:r>
      <w:r w:rsidRPr="00DC21B6">
        <w:rPr>
          <w:vertAlign w:val="superscript"/>
          <w:rtl/>
        </w:rPr>
        <w:t>)</w:t>
      </w:r>
      <w:r w:rsidRPr="00DC21B6">
        <w:rPr>
          <w:rFonts w:ascii="Traditional Arabic" w:hAnsi="Traditional Arabic"/>
          <w:rtl/>
        </w:rPr>
        <w:t>برفع اللام</w:t>
      </w:r>
      <w:r w:rsidRPr="00DC21B6">
        <w:rPr>
          <w:vertAlign w:val="superscript"/>
          <w:rtl/>
        </w:rPr>
        <w:t>(</w:t>
      </w:r>
      <w:r w:rsidRPr="00DC21B6">
        <w:rPr>
          <w:vertAlign w:val="superscript"/>
          <w:rtl/>
        </w:rPr>
        <w:footnoteReference w:id="1371"/>
      </w:r>
      <w:r w:rsidRPr="00DC21B6">
        <w:rPr>
          <w:vertAlign w:val="superscript"/>
          <w:rtl/>
        </w:rPr>
        <w:t>)</w:t>
      </w:r>
      <w:r w:rsidRPr="00DC21B6">
        <w:rPr>
          <w:rFonts w:ascii="Traditional Arabic" w:hAnsi="Traditional Arabic"/>
          <w:rtl/>
        </w:rPr>
        <w:t>. قال الفرّاء: «أنا» ها هنا عماد إِن نصبتَ «أقلَّ» ، واسم إِذا رفعت «أقلُّ»، والقراءة بهما جائز</w:t>
      </w:r>
      <w:r w:rsidRPr="00DC21B6">
        <w:rPr>
          <w:vertAlign w:val="superscript"/>
          <w:rtl/>
        </w:rPr>
        <w:t>(</w:t>
      </w:r>
      <w:r w:rsidRPr="00DC21B6">
        <w:rPr>
          <w:vertAlign w:val="superscript"/>
          <w:rtl/>
        </w:rPr>
        <w:footnoteReference w:id="1372"/>
      </w:r>
      <w:r w:rsidRPr="00DC21B6">
        <w:rPr>
          <w:vertAlign w:val="superscript"/>
          <w:rtl/>
        </w:rPr>
        <w:t>)</w:t>
      </w:r>
      <w:r w:rsidRPr="00DC21B6">
        <w:rPr>
          <w:rFonts w:ascii="Traditional Arabic" w:hAnsi="Traditional Arabic"/>
          <w:rtl/>
        </w:rPr>
        <w:t>.</w:t>
      </w:r>
      <w:r w:rsidRPr="00DC21B6">
        <w:rPr>
          <w:rFonts w:ascii="Traditional Arabic" w:hAnsi="Traditional Arabic" w:hint="cs"/>
          <w:rtl/>
        </w:rPr>
        <w:t xml:space="preserve"> </w:t>
      </w:r>
      <w:r w:rsidRPr="00DC21B6">
        <w:rPr>
          <w:rFonts w:ascii="Traditional Arabic" w:hAnsi="Traditional Arabic"/>
          <w:rtl/>
        </w:rPr>
        <w:t xml:space="preserve">قوله </w:t>
      </w:r>
      <w:r w:rsidRPr="00DC21B6">
        <w:rPr>
          <w:rFonts w:ascii="Traditional Arabic" w:hAnsi="Traditional Arabic"/>
          <w:rtl/>
        </w:rPr>
        <w:lastRenderedPageBreak/>
        <w:t xml:space="preserve">تعالى: </w:t>
      </w:r>
      <w:r w:rsidRPr="00DC21B6">
        <w:rPr>
          <w:rFonts w:ascii="QCF_BSML" w:hAnsi="QCF_BSML" w:cs="QCF_BSML"/>
          <w:sz w:val="32"/>
          <w:szCs w:val="32"/>
          <w:rtl/>
          <w:lang w:eastAsia="en-US"/>
        </w:rPr>
        <w:t>ﭽ</w:t>
      </w:r>
      <w:r w:rsidRPr="00DC21B6">
        <w:rPr>
          <w:rFonts w:ascii="QCF_P298" w:hAnsi="QCF_P298" w:cs="QCF_P298"/>
          <w:color w:val="auto"/>
          <w:sz w:val="32"/>
          <w:szCs w:val="32"/>
          <w:rtl/>
          <w:lang w:eastAsia="en-US"/>
        </w:rPr>
        <w:t xml:space="preserve">ﮚ  ﮛ  ﮜ  ﮝ  ﮞ  ﮟ   ﮠ  </w:t>
      </w:r>
      <w:r w:rsidRPr="00DC21B6">
        <w:rPr>
          <w:rFonts w:ascii="QCF_BSML" w:hAnsi="QCF_BSML" w:cs="QCF_BSML"/>
          <w:sz w:val="32"/>
          <w:szCs w:val="32"/>
          <w:rtl/>
          <w:lang w:eastAsia="en-US"/>
        </w:rPr>
        <w:t>ﭼ</w:t>
      </w:r>
      <w:r w:rsidRPr="00DC21B6">
        <w:rPr>
          <w:rFonts w:ascii="Traditional Arabic" w:hAnsi="Traditional Arabic"/>
          <w:rtl/>
        </w:rPr>
        <w:t xml:space="preserve"> أي: في الآخرة، </w:t>
      </w:r>
      <w:r w:rsidRPr="00DC21B6">
        <w:rPr>
          <w:rFonts w:ascii="QCF_BSML" w:hAnsi="QCF_BSML" w:cs="QCF_BSML"/>
          <w:sz w:val="32"/>
          <w:szCs w:val="32"/>
          <w:rtl/>
          <w:lang w:eastAsia="en-US"/>
        </w:rPr>
        <w:t>ﭽ</w:t>
      </w:r>
      <w:r w:rsidRPr="00DC21B6">
        <w:rPr>
          <w:rFonts w:ascii="QCF_P298" w:hAnsi="QCF_P298" w:cs="QCF_P298"/>
          <w:color w:val="auto"/>
          <w:sz w:val="32"/>
          <w:szCs w:val="32"/>
          <w:rtl/>
          <w:lang w:eastAsia="en-US"/>
        </w:rPr>
        <w:t xml:space="preserve">ﮡ  ﮢ  ﮣ  </w:t>
      </w:r>
      <w:r w:rsidRPr="00DC21B6">
        <w:rPr>
          <w:rFonts w:ascii="QCF_BSML" w:hAnsi="QCF_BSML" w:cs="QCF_BSML"/>
          <w:sz w:val="32"/>
          <w:szCs w:val="32"/>
          <w:rtl/>
          <w:lang w:eastAsia="en-US"/>
        </w:rPr>
        <w:t>ﭼ</w:t>
      </w:r>
      <w:r w:rsidRPr="00DC21B6">
        <w:rPr>
          <w:rFonts w:ascii="Traditional Arabic" w:hAnsi="Traditional Arabic"/>
          <w:rtl/>
        </w:rPr>
        <w:t xml:space="preserve"> وفيه</w:t>
      </w:r>
      <w:r w:rsidRPr="00DC21B6">
        <w:rPr>
          <w:rFonts w:ascii="Traditional Arabic" w:hAnsi="Traditional Arabic" w:hint="cs"/>
          <w:rtl/>
        </w:rPr>
        <w:t xml:space="preserve"> </w:t>
      </w:r>
      <w:r w:rsidRPr="00DC21B6">
        <w:rPr>
          <w:rFonts w:ascii="Traditional Arabic" w:hAnsi="Traditional Arabic"/>
          <w:rtl/>
        </w:rPr>
        <w:t>أربعة أقوال: أحدها: أنه العذاب، رواه العوفي عن ابن عباس</w:t>
      </w:r>
      <w:r w:rsidRPr="00DC21B6">
        <w:rPr>
          <w:vertAlign w:val="superscript"/>
          <w:rtl/>
        </w:rPr>
        <w:t>(</w:t>
      </w:r>
      <w:r w:rsidRPr="00DC21B6">
        <w:rPr>
          <w:vertAlign w:val="superscript"/>
          <w:rtl/>
        </w:rPr>
        <w:footnoteReference w:id="1373"/>
      </w:r>
      <w:r w:rsidRPr="00DC21B6">
        <w:rPr>
          <w:vertAlign w:val="superscript"/>
          <w:rtl/>
        </w:rPr>
        <w:t>)</w:t>
      </w:r>
      <w:r w:rsidRPr="00DC21B6">
        <w:rPr>
          <w:rFonts w:ascii="Traditional Arabic" w:hAnsi="Traditional Arabic"/>
          <w:rtl/>
        </w:rPr>
        <w:t>، وبه قال قتادة</w:t>
      </w:r>
      <w:r w:rsidRPr="00DC21B6">
        <w:rPr>
          <w:vertAlign w:val="superscript"/>
          <w:rtl/>
        </w:rPr>
        <w:t>(</w:t>
      </w:r>
      <w:r w:rsidRPr="00DC21B6">
        <w:rPr>
          <w:vertAlign w:val="superscript"/>
          <w:rtl/>
        </w:rPr>
        <w:footnoteReference w:id="1374"/>
      </w:r>
      <w:r w:rsidRPr="00DC21B6">
        <w:rPr>
          <w:vertAlign w:val="superscript"/>
          <w:rtl/>
        </w:rPr>
        <w:t>)</w:t>
      </w:r>
      <w:r w:rsidRPr="00DC21B6">
        <w:rPr>
          <w:rFonts w:ascii="Traditional Arabic" w:hAnsi="Traditional Arabic"/>
          <w:rtl/>
        </w:rPr>
        <w:t>، والضحاك</w:t>
      </w:r>
      <w:r w:rsidRPr="00DC21B6">
        <w:rPr>
          <w:vertAlign w:val="superscript"/>
          <w:rtl/>
        </w:rPr>
        <w:t>(</w:t>
      </w:r>
      <w:r w:rsidRPr="00DC21B6">
        <w:rPr>
          <w:vertAlign w:val="superscript"/>
          <w:rtl/>
        </w:rPr>
        <w:footnoteReference w:id="1375"/>
      </w:r>
      <w:r w:rsidRPr="00DC21B6">
        <w:rPr>
          <w:vertAlign w:val="superscript"/>
          <w:rtl/>
        </w:rPr>
        <w:t>)</w:t>
      </w:r>
      <w:r w:rsidRPr="00DC21B6">
        <w:rPr>
          <w:rFonts w:ascii="Traditional Arabic" w:hAnsi="Traditional Arabic"/>
          <w:rtl/>
        </w:rPr>
        <w:t>، وقال أبو صالح عن ابن عباس: ناراً من السماء</w:t>
      </w:r>
      <w:r w:rsidRPr="00DC21B6">
        <w:rPr>
          <w:vertAlign w:val="superscript"/>
          <w:rtl/>
        </w:rPr>
        <w:t>(</w:t>
      </w:r>
      <w:r w:rsidRPr="00DC21B6">
        <w:rPr>
          <w:vertAlign w:val="superscript"/>
          <w:rtl/>
        </w:rPr>
        <w:footnoteReference w:id="1376"/>
      </w:r>
      <w:r w:rsidRPr="00DC21B6">
        <w:rPr>
          <w:vertAlign w:val="superscript"/>
          <w:rtl/>
        </w:rPr>
        <w:t>)</w:t>
      </w:r>
      <w:r w:rsidRPr="00DC21B6">
        <w:rPr>
          <w:rFonts w:ascii="Traditional Arabic" w:hAnsi="Traditional Arabic"/>
          <w:rtl/>
        </w:rPr>
        <w:t>. والثاني: قضاءً من الله يقضيه، قاله ابن زيد</w:t>
      </w:r>
      <w:r w:rsidRPr="00DC21B6">
        <w:rPr>
          <w:vertAlign w:val="superscript"/>
          <w:rtl/>
        </w:rPr>
        <w:t>(</w:t>
      </w:r>
      <w:r w:rsidRPr="00DC21B6">
        <w:rPr>
          <w:vertAlign w:val="superscript"/>
          <w:rtl/>
        </w:rPr>
        <w:footnoteReference w:id="1377"/>
      </w:r>
      <w:r w:rsidRPr="00DC21B6">
        <w:rPr>
          <w:vertAlign w:val="superscript"/>
          <w:rtl/>
        </w:rPr>
        <w:t>)</w:t>
      </w:r>
      <w:r w:rsidRPr="00DC21B6">
        <w:rPr>
          <w:rFonts w:ascii="Traditional Arabic" w:hAnsi="Traditional Arabic"/>
          <w:rtl/>
        </w:rPr>
        <w:t>. والثالث: مراميَ من السماء، واحدها: حسبانة، قاله أبو عبيدة، وابن قتيبة</w:t>
      </w:r>
      <w:r w:rsidRPr="00DC21B6">
        <w:rPr>
          <w:vertAlign w:val="superscript"/>
          <w:rtl/>
        </w:rPr>
        <w:t>(</w:t>
      </w:r>
      <w:r w:rsidRPr="00DC21B6">
        <w:rPr>
          <w:vertAlign w:val="superscript"/>
          <w:rtl/>
        </w:rPr>
        <w:footnoteReference w:id="1378"/>
      </w:r>
      <w:r w:rsidRPr="00DC21B6">
        <w:rPr>
          <w:vertAlign w:val="superscript"/>
          <w:rtl/>
        </w:rPr>
        <w:t>)</w:t>
      </w:r>
      <w:r w:rsidRPr="00DC21B6">
        <w:rPr>
          <w:rFonts w:ascii="Traditional Arabic" w:hAnsi="Traditional Arabic"/>
          <w:rtl/>
        </w:rPr>
        <w:t>. قال النّضر بن شُمَيل</w:t>
      </w:r>
      <w:r w:rsidRPr="00DC21B6">
        <w:rPr>
          <w:vertAlign w:val="superscript"/>
          <w:rtl/>
        </w:rPr>
        <w:t>(</w:t>
      </w:r>
      <w:r w:rsidRPr="00DC21B6">
        <w:rPr>
          <w:vertAlign w:val="superscript"/>
          <w:rtl/>
        </w:rPr>
        <w:footnoteReference w:id="1379"/>
      </w:r>
      <w:r w:rsidRPr="00DC21B6">
        <w:rPr>
          <w:vertAlign w:val="superscript"/>
          <w:rtl/>
        </w:rPr>
        <w:t>)</w:t>
      </w:r>
      <w:r w:rsidRPr="00DC21B6">
        <w:rPr>
          <w:rFonts w:ascii="Traditional Arabic" w:hAnsi="Traditional Arabic"/>
          <w:rtl/>
        </w:rPr>
        <w:t>: الحُسبان: سهام يرمي بها الرجل في جوف قصبة تُنزع في القوس، ثم يرمي بعشرين منها دفعة، فعلى هذا القول يكون المعنى: ويرسل عليها مراميَ من عذابه، إِما حجارة أو بَرَداً أو غيرهما مما يشاء من أنواع العذاب</w:t>
      </w:r>
      <w:r w:rsidRPr="00DC21B6">
        <w:rPr>
          <w:vertAlign w:val="superscript"/>
          <w:rtl/>
        </w:rPr>
        <w:t>(</w:t>
      </w:r>
      <w:r w:rsidRPr="00DC21B6">
        <w:rPr>
          <w:vertAlign w:val="superscript"/>
          <w:rtl/>
        </w:rPr>
        <w:footnoteReference w:id="1380"/>
      </w:r>
      <w:r w:rsidRPr="00DC21B6">
        <w:rPr>
          <w:vertAlign w:val="superscript"/>
          <w:rtl/>
        </w:rPr>
        <w:t>)</w:t>
      </w:r>
      <w:r w:rsidRPr="00DC21B6">
        <w:rPr>
          <w:rFonts w:ascii="Traditional Arabic" w:hAnsi="Traditional Arabic"/>
          <w:rtl/>
        </w:rPr>
        <w:t>.</w:t>
      </w:r>
      <w:r w:rsidRPr="00DC21B6">
        <w:rPr>
          <w:rFonts w:ascii="Traditional Arabic" w:hAnsi="Traditional Arabic" w:hint="cs"/>
          <w:rtl/>
        </w:rPr>
        <w:t xml:space="preserve"> </w:t>
      </w:r>
      <w:r w:rsidRPr="00DC21B6">
        <w:rPr>
          <w:rFonts w:ascii="Traditional Arabic" w:hAnsi="Traditional Arabic"/>
          <w:rtl/>
        </w:rPr>
        <w:t xml:space="preserve">والرابع: أن الحسبان: الحساب، كقوله: </w:t>
      </w:r>
      <w:r w:rsidRPr="00DC21B6">
        <w:rPr>
          <w:rFonts w:ascii="QCF_BSML" w:hAnsi="QCF_BSML" w:cs="QCF_BSML"/>
          <w:sz w:val="32"/>
          <w:szCs w:val="32"/>
          <w:rtl/>
          <w:lang w:eastAsia="en-US"/>
        </w:rPr>
        <w:t xml:space="preserve">ﭽ </w:t>
      </w:r>
      <w:r w:rsidRPr="00DC21B6">
        <w:rPr>
          <w:rFonts w:ascii="QCF_P531" w:hAnsi="QCF_P531" w:cs="QCF_P531"/>
          <w:sz w:val="32"/>
          <w:szCs w:val="32"/>
          <w:rtl/>
          <w:lang w:eastAsia="en-US"/>
        </w:rPr>
        <w:t>ﮂ  ﮃ   ﮄ</w:t>
      </w:r>
      <w:r w:rsidRPr="00DC21B6">
        <w:rPr>
          <w:rFonts w:ascii="QCF_BSML" w:hAnsi="QCF_BSML" w:cs="QCF_BSML"/>
          <w:sz w:val="32"/>
          <w:szCs w:val="32"/>
          <w:rtl/>
          <w:lang w:eastAsia="en-US"/>
        </w:rPr>
        <w:t>ﭼ</w:t>
      </w:r>
      <w:r w:rsidRPr="00DC21B6">
        <w:rPr>
          <w:rFonts w:ascii="Arial" w:hAnsi="Arial" w:cs="Arial"/>
          <w:sz w:val="32"/>
          <w:szCs w:val="32"/>
          <w:rtl/>
          <w:lang w:eastAsia="en-US"/>
        </w:rPr>
        <w:t xml:space="preserve"> </w:t>
      </w:r>
      <w:r w:rsidRPr="00DC21B6">
        <w:rPr>
          <w:rFonts w:ascii="Traditional Arabic" w:hAnsi="Traditional Arabic" w:hint="cs"/>
          <w:sz w:val="28"/>
          <w:szCs w:val="28"/>
          <w:rtl/>
        </w:rPr>
        <w:t>[</w:t>
      </w:r>
      <w:r w:rsidRPr="00DC21B6">
        <w:rPr>
          <w:rFonts w:ascii="Traditional Arabic" w:hAnsi="Traditional Arabic"/>
          <w:sz w:val="28"/>
          <w:szCs w:val="28"/>
          <w:rtl/>
        </w:rPr>
        <w:t>سورة</w:t>
      </w:r>
      <w:r w:rsidRPr="00DC21B6">
        <w:rPr>
          <w:rFonts w:ascii="Traditional Arabic" w:hAnsi="Traditional Arabic" w:hint="cs"/>
          <w:sz w:val="28"/>
          <w:szCs w:val="28"/>
          <w:rtl/>
        </w:rPr>
        <w:t xml:space="preserve"> </w:t>
      </w:r>
      <w:r w:rsidRPr="00DC21B6">
        <w:rPr>
          <w:rFonts w:ascii="Traditional Arabic" w:hAnsi="Traditional Arabic"/>
          <w:sz w:val="28"/>
          <w:szCs w:val="28"/>
          <w:rtl/>
        </w:rPr>
        <w:t>الرحمن:5</w:t>
      </w:r>
      <w:r w:rsidRPr="00DC21B6">
        <w:rPr>
          <w:rFonts w:ascii="Traditional Arabic" w:hAnsi="Traditional Arabic" w:hint="cs"/>
          <w:sz w:val="28"/>
          <w:szCs w:val="28"/>
          <w:rtl/>
        </w:rPr>
        <w:t>]</w:t>
      </w:r>
      <w:r w:rsidRPr="00DC21B6">
        <w:rPr>
          <w:rFonts w:ascii="Traditional Arabic" w:hAnsi="Traditional Arabic"/>
          <w:sz w:val="28"/>
          <w:szCs w:val="28"/>
          <w:rtl/>
        </w:rPr>
        <w:t>.</w:t>
      </w:r>
      <w:r w:rsidRPr="00DC21B6">
        <w:rPr>
          <w:rFonts w:ascii="Traditional Arabic" w:hAnsi="Traditional Arabic"/>
          <w:rtl/>
        </w:rPr>
        <w:t xml:space="preserve"> أي: بحساب، فيكون المعنى:</w:t>
      </w:r>
      <w:r w:rsidRPr="00DC21B6">
        <w:rPr>
          <w:rFonts w:ascii="Traditional Arabic" w:hAnsi="Traditional Arabic" w:hint="cs"/>
          <w:rtl/>
        </w:rPr>
        <w:t xml:space="preserve"> </w:t>
      </w:r>
      <w:r w:rsidRPr="00DC21B6">
        <w:rPr>
          <w:rFonts w:ascii="Traditional Arabic" w:hAnsi="Traditional Arabic"/>
          <w:rtl/>
        </w:rPr>
        <w:t>ويرسل عليها عذابَ حسابِ ما كسبت يداه، هذا قول الزجاج</w:t>
      </w:r>
      <w:r w:rsidRPr="00DC21B6">
        <w:rPr>
          <w:vertAlign w:val="superscript"/>
          <w:rtl/>
        </w:rPr>
        <w:t>(</w:t>
      </w:r>
      <w:r w:rsidRPr="00DC21B6">
        <w:rPr>
          <w:vertAlign w:val="superscript"/>
          <w:rtl/>
        </w:rPr>
        <w:footnoteReference w:id="1381"/>
      </w:r>
      <w:r w:rsidRPr="00DC21B6">
        <w:rPr>
          <w:vertAlign w:val="superscript"/>
          <w:rtl/>
        </w:rPr>
        <w:t>)</w:t>
      </w:r>
      <w:r w:rsidRPr="00DC21B6">
        <w:rPr>
          <w:rFonts w:ascii="Traditional Arabic" w:hAnsi="Traditional Arabic"/>
          <w:rtl/>
        </w:rPr>
        <w:t>.</w:t>
      </w:r>
    </w:p>
    <w:p w:rsidR="00DC21B6" w:rsidRPr="00DC21B6" w:rsidRDefault="00DC21B6" w:rsidP="00DC21B6">
      <w:pPr>
        <w:ind w:firstLine="0"/>
        <w:rPr>
          <w:rFonts w:ascii="Traditional Arabic" w:hAnsi="Traditional Arabic"/>
          <w:rtl/>
        </w:rPr>
      </w:pPr>
      <w:r w:rsidRPr="00DC21B6">
        <w:rPr>
          <w:rFonts w:ascii="Traditional Arabic" w:hAnsi="Traditional Arabic"/>
          <w:rtl/>
        </w:rPr>
        <w:t xml:space="preserve">قوله تعالى: </w:t>
      </w:r>
      <w:r w:rsidRPr="00DC21B6">
        <w:rPr>
          <w:rFonts w:ascii="QCF_BSML" w:hAnsi="QCF_BSML" w:cs="QCF_BSML"/>
          <w:sz w:val="32"/>
          <w:szCs w:val="32"/>
          <w:rtl/>
          <w:lang w:eastAsia="en-US"/>
        </w:rPr>
        <w:t>ﭽ</w:t>
      </w:r>
      <w:r w:rsidRPr="00DC21B6">
        <w:rPr>
          <w:rFonts w:ascii="Traditional Arabic" w:hAnsi="Traditional Arabic"/>
          <w:rtl/>
        </w:rPr>
        <w:t xml:space="preserve"> </w:t>
      </w:r>
      <w:r w:rsidRPr="00DC21B6">
        <w:rPr>
          <w:rFonts w:ascii="QCF_P298" w:hAnsi="QCF_P298" w:cs="QCF_P298"/>
          <w:color w:val="auto"/>
          <w:sz w:val="32"/>
          <w:szCs w:val="32"/>
          <w:rtl/>
          <w:lang w:eastAsia="en-US"/>
        </w:rPr>
        <w:t xml:space="preserve">ﮦ  ﮧ   ﮨ  ﮩ  ﮪ  ﮫ  ﮬ  ﮭ  </w:t>
      </w:r>
      <w:r w:rsidRPr="00DC21B6">
        <w:rPr>
          <w:rFonts w:ascii="QCF_BSML" w:hAnsi="QCF_BSML" w:cs="QCF_BSML"/>
          <w:sz w:val="32"/>
          <w:szCs w:val="32"/>
          <w:rtl/>
          <w:lang w:eastAsia="en-US"/>
        </w:rPr>
        <w:t>ﭼ</w:t>
      </w:r>
      <w:r w:rsidRPr="00DC21B6">
        <w:rPr>
          <w:rFonts w:ascii="Traditional Arabic" w:hAnsi="Traditional Arabic"/>
          <w:rtl/>
        </w:rPr>
        <w:t xml:space="preserve"> قال ابن قتيبة: الصعيد: الأملس المستوي، والزَّلَق: الذي تَزِلُّ عنه الأقدام، والغَور: الغائر، فجعل المصدر صفة، يقال: ماءٌ غَوْر، ومياه غَوْرٌ، ولا يثنَّى، ولا يجمع، ولا يؤنَّث، كما يقال: رجلٌ نَوْمٌ، ورجلٌ صَوْمٌ، ورجلٌ فِطْر، ورجالٌ نَوْمُ، ونساءٌ نَوْمٌ، ونساءٌ صَوْمٌ. ويقال للنساء إِذا نُحْنَ: نَوْح، والمعنى: يذهب ماؤها غائراً </w:t>
      </w:r>
      <w:r w:rsidRPr="00DC21B6">
        <w:rPr>
          <w:rFonts w:ascii="Traditional Arabic" w:hAnsi="Traditional Arabic"/>
          <w:rtl/>
        </w:rPr>
        <w:lastRenderedPageBreak/>
        <w:t>في الأرض، أي: ذاهبا فيها</w:t>
      </w:r>
      <w:r w:rsidRPr="00DC21B6">
        <w:rPr>
          <w:vertAlign w:val="superscript"/>
          <w:rtl/>
        </w:rPr>
        <w:t>(</w:t>
      </w:r>
      <w:r w:rsidRPr="00DC21B6">
        <w:rPr>
          <w:vertAlign w:val="superscript"/>
          <w:rtl/>
        </w:rPr>
        <w:footnoteReference w:id="1382"/>
      </w:r>
      <w:r w:rsidRPr="00DC21B6">
        <w:rPr>
          <w:vertAlign w:val="superscript"/>
          <w:rtl/>
        </w:rPr>
        <w:t>)</w:t>
      </w:r>
      <w:r w:rsidRPr="00DC21B6">
        <w:rPr>
          <w:rFonts w:ascii="Traditional Arabic" w:hAnsi="Traditional Arabic"/>
          <w:rtl/>
        </w:rPr>
        <w:t xml:space="preserve">. </w:t>
      </w:r>
      <w:r w:rsidRPr="00DC21B6">
        <w:rPr>
          <w:rFonts w:ascii="QCF_BSML" w:hAnsi="QCF_BSML" w:cs="QCF_BSML"/>
          <w:sz w:val="32"/>
          <w:szCs w:val="32"/>
          <w:rtl/>
          <w:lang w:eastAsia="en-US"/>
        </w:rPr>
        <w:t>ﭽ</w:t>
      </w:r>
      <w:r w:rsidRPr="00DC21B6">
        <w:rPr>
          <w:rFonts w:ascii="QCF_BSML" w:hAnsi="QCF_BSML" w:cs="QCF_BSML" w:hint="cs"/>
          <w:sz w:val="32"/>
          <w:szCs w:val="32"/>
          <w:rtl/>
          <w:lang w:eastAsia="en-US"/>
        </w:rPr>
        <w:t xml:space="preserve"> </w:t>
      </w:r>
      <w:r w:rsidRPr="00DC21B6">
        <w:rPr>
          <w:rFonts w:ascii="QCF_P298" w:hAnsi="QCF_P298" w:cs="QCF_P298"/>
          <w:color w:val="auto"/>
          <w:sz w:val="32"/>
          <w:szCs w:val="32"/>
          <w:rtl/>
          <w:lang w:eastAsia="en-US"/>
        </w:rPr>
        <w:t xml:space="preserve">ﮮ  ﮯ  ﮰ  ﮱ  </w:t>
      </w:r>
      <w:r w:rsidRPr="00DC21B6">
        <w:rPr>
          <w:rFonts w:ascii="QCF_BSML" w:hAnsi="QCF_BSML" w:cs="QCF_BSML"/>
          <w:sz w:val="32"/>
          <w:szCs w:val="32"/>
          <w:rtl/>
          <w:lang w:eastAsia="en-US"/>
        </w:rPr>
        <w:t>ﭼ</w:t>
      </w:r>
      <w:r w:rsidRPr="00DC21B6">
        <w:rPr>
          <w:rFonts w:ascii="Traditional Arabic" w:hAnsi="Traditional Arabic"/>
          <w:rtl/>
        </w:rPr>
        <w:t xml:space="preserve"> فلا يبقى له أثر تطلبه به، ولا تناله</w:t>
      </w:r>
      <w:r w:rsidRPr="00DC21B6">
        <w:rPr>
          <w:vertAlign w:val="superscript"/>
          <w:rtl/>
        </w:rPr>
        <w:t>(</w:t>
      </w:r>
      <w:r w:rsidRPr="00DC21B6">
        <w:rPr>
          <w:vertAlign w:val="superscript"/>
          <w:rtl/>
        </w:rPr>
        <w:footnoteReference w:id="1383"/>
      </w:r>
      <w:r w:rsidRPr="00DC21B6">
        <w:rPr>
          <w:vertAlign w:val="superscript"/>
          <w:rtl/>
        </w:rPr>
        <w:t>)</w:t>
      </w:r>
      <w:r w:rsidRPr="00DC21B6">
        <w:rPr>
          <w:rFonts w:ascii="Traditional Arabic" w:hAnsi="Traditional Arabic"/>
          <w:rtl/>
        </w:rPr>
        <w:t xml:space="preserve"> الأيدي ولا الأَرْشية</w:t>
      </w:r>
      <w:r w:rsidRPr="00DC21B6">
        <w:rPr>
          <w:vertAlign w:val="superscript"/>
          <w:rtl/>
        </w:rPr>
        <w:t>(</w:t>
      </w:r>
      <w:r w:rsidRPr="00DC21B6">
        <w:rPr>
          <w:vertAlign w:val="superscript"/>
          <w:rtl/>
        </w:rPr>
        <w:footnoteReference w:id="1384"/>
      </w:r>
      <w:r w:rsidRPr="00DC21B6">
        <w:rPr>
          <w:vertAlign w:val="superscript"/>
          <w:rtl/>
        </w:rPr>
        <w:t>)</w:t>
      </w:r>
      <w:r w:rsidRPr="00DC21B6">
        <w:rPr>
          <w:rFonts w:ascii="Traditional Arabic" w:hAnsi="Traditional Arabic"/>
          <w:rtl/>
        </w:rPr>
        <w:t xml:space="preserve">. وقال ابن الأنباري: </w:t>
      </w:r>
      <w:r w:rsidRPr="00DC21B6">
        <w:rPr>
          <w:rFonts w:ascii="QCF_BSML" w:hAnsi="QCF_BSML" w:cs="QCF_BSML"/>
          <w:sz w:val="32"/>
          <w:szCs w:val="32"/>
          <w:rtl/>
          <w:lang w:eastAsia="en-US"/>
        </w:rPr>
        <w:t>ﭽ</w:t>
      </w:r>
      <w:r w:rsidRPr="00DC21B6">
        <w:rPr>
          <w:rFonts w:ascii="QCF_P298" w:hAnsi="QCF_P298" w:cs="QCF_P298"/>
          <w:color w:val="auto"/>
          <w:sz w:val="32"/>
          <w:szCs w:val="32"/>
          <w:rtl/>
          <w:lang w:eastAsia="en-US"/>
        </w:rPr>
        <w:t xml:space="preserve">ﮭ </w:t>
      </w:r>
      <w:r w:rsidRPr="00DC21B6">
        <w:rPr>
          <w:rFonts w:ascii="QCF_BSML" w:hAnsi="QCF_BSML" w:cs="QCF_BSML"/>
          <w:sz w:val="32"/>
          <w:szCs w:val="32"/>
          <w:rtl/>
          <w:lang w:eastAsia="en-US"/>
        </w:rPr>
        <w:t>ﭼ</w:t>
      </w:r>
      <w:r w:rsidRPr="00DC21B6">
        <w:rPr>
          <w:rFonts w:ascii="Traditional Arabic" w:hAnsi="Traditional Arabic" w:hint="cs"/>
          <w:rtl/>
        </w:rPr>
        <w:t>:</w:t>
      </w:r>
      <w:r w:rsidRPr="00DC21B6">
        <w:rPr>
          <w:rFonts w:ascii="Traditional Arabic" w:hAnsi="Traditional Arabic"/>
          <w:rtl/>
        </w:rPr>
        <w:t xml:space="preserve"> إِذا غوَّر</w:t>
      </w:r>
      <w:r w:rsidRPr="00DC21B6">
        <w:rPr>
          <w:vertAlign w:val="superscript"/>
          <w:rtl/>
        </w:rPr>
        <w:t>(</w:t>
      </w:r>
      <w:r w:rsidRPr="00DC21B6">
        <w:rPr>
          <w:vertAlign w:val="superscript"/>
          <w:rtl/>
        </w:rPr>
        <w:footnoteReference w:id="1385"/>
      </w:r>
      <w:r w:rsidRPr="00DC21B6">
        <w:rPr>
          <w:vertAlign w:val="superscript"/>
          <w:rtl/>
        </w:rPr>
        <w:t>)</w:t>
      </w:r>
      <w:r w:rsidRPr="00DC21B6">
        <w:rPr>
          <w:rFonts w:ascii="Traditional Arabic" w:hAnsi="Traditional Arabic"/>
          <w:rtl/>
        </w:rPr>
        <w:t xml:space="preserve">، فسقط المضاف، وخلفه المضاف إليه، والمراد بالطّلب </w:t>
      </w:r>
      <w:r w:rsidRPr="00DC21B6">
        <w:rPr>
          <w:rFonts w:ascii="Traditional Arabic" w:hAnsi="Traditional Arabic" w:hint="cs"/>
          <w:sz w:val="32"/>
          <w:szCs w:val="32"/>
          <w:rtl/>
        </w:rPr>
        <w:t>[124]</w:t>
      </w:r>
      <w:r w:rsidRPr="00DC21B6">
        <w:rPr>
          <w:rFonts w:ascii="Traditional Arabic" w:hAnsi="Traditional Arabic"/>
          <w:rtl/>
        </w:rPr>
        <w:t xml:space="preserve"> ها هنا: الوصول، فقام الطلب مقامه لأنه سببه</w:t>
      </w:r>
      <w:r w:rsidRPr="00DC21B6">
        <w:rPr>
          <w:vertAlign w:val="superscript"/>
          <w:rtl/>
        </w:rPr>
        <w:t>(</w:t>
      </w:r>
      <w:r w:rsidRPr="00DC21B6">
        <w:rPr>
          <w:vertAlign w:val="superscript"/>
          <w:rtl/>
        </w:rPr>
        <w:footnoteReference w:id="1386"/>
      </w:r>
      <w:r w:rsidRPr="00DC21B6">
        <w:rPr>
          <w:vertAlign w:val="superscript"/>
          <w:rtl/>
        </w:rPr>
        <w:t>)</w:t>
      </w:r>
      <w:r w:rsidRPr="00DC21B6">
        <w:rPr>
          <w:rFonts w:ascii="Traditional Arabic" w:hAnsi="Traditional Arabic"/>
          <w:rtl/>
        </w:rPr>
        <w:t xml:space="preserve">. وقرأ أبو الجوزاء </w:t>
      </w:r>
      <w:r w:rsidRPr="00DC21B6">
        <w:rPr>
          <w:rFonts w:ascii="Traditional Arabic" w:hAnsi="Traditional Arabic" w:hint="cs"/>
          <w:rtl/>
        </w:rPr>
        <w:t>و</w:t>
      </w:r>
      <w:r w:rsidRPr="00DC21B6">
        <w:rPr>
          <w:rFonts w:ascii="Traditional Arabic" w:hAnsi="Traditional Arabic"/>
          <w:rtl/>
        </w:rPr>
        <w:t>أبو المتوكّل</w:t>
      </w:r>
      <w:r w:rsidRPr="00DC21B6">
        <w:rPr>
          <w:vertAlign w:val="superscript"/>
          <w:rtl/>
        </w:rPr>
        <w:t>(</w:t>
      </w:r>
      <w:r w:rsidRPr="00DC21B6">
        <w:rPr>
          <w:vertAlign w:val="superscript"/>
          <w:rtl/>
        </w:rPr>
        <w:footnoteReference w:id="1387"/>
      </w:r>
      <w:r w:rsidRPr="00DC21B6">
        <w:rPr>
          <w:vertAlign w:val="superscript"/>
          <w:rtl/>
        </w:rPr>
        <w:t>)</w:t>
      </w:r>
      <w:r w:rsidRPr="00DC21B6">
        <w:rPr>
          <w:rFonts w:ascii="Traditional Arabic" w:hAnsi="Traditional Arabic"/>
          <w:rtl/>
        </w:rPr>
        <w:t>:</w:t>
      </w:r>
      <w:r w:rsidRPr="00DC21B6">
        <w:rPr>
          <w:rFonts w:ascii="Traditional Arabic" w:hAnsi="Traditional Arabic" w:hint="cs"/>
          <w:rtl/>
        </w:rPr>
        <w:t>[</w:t>
      </w:r>
      <w:r w:rsidRPr="00DC21B6">
        <w:rPr>
          <w:rFonts w:ascii="Traditional Arabic" w:hAnsi="Traditional Arabic"/>
          <w:rtl/>
        </w:rPr>
        <w:t>«غُؤُورَاً» برفع الغين والواو الأولى جميعاً وواو بعدها</w:t>
      </w:r>
      <w:r w:rsidRPr="00DC21B6">
        <w:rPr>
          <w:rFonts w:ascii="Traditional Arabic" w:hAnsi="Traditional Arabic" w:hint="cs"/>
          <w:rtl/>
        </w:rPr>
        <w:t>]</w:t>
      </w:r>
      <w:r w:rsidRPr="00DC21B6">
        <w:rPr>
          <w:rFonts w:ascii="Traditional Arabic" w:hAnsi="Traditional Arabic"/>
          <w:vertAlign w:val="superscript"/>
        </w:rPr>
        <w:t>(</w:t>
      </w:r>
      <w:r w:rsidRPr="00DC21B6">
        <w:rPr>
          <w:rFonts w:ascii="Traditional Arabic" w:hAnsi="Traditional Arabic"/>
          <w:vertAlign w:val="superscript"/>
        </w:rPr>
        <w:footnoteReference w:id="1388"/>
      </w:r>
      <w:r w:rsidRPr="00DC21B6">
        <w:rPr>
          <w:rFonts w:ascii="Traditional Arabic" w:hAnsi="Traditional Arabic"/>
          <w:vertAlign w:val="superscript"/>
        </w:rPr>
        <w:t>)</w:t>
      </w:r>
      <w:r w:rsidRPr="00DC21B6">
        <w:rPr>
          <w:rFonts w:ascii="Traditional Arabic" w:hAnsi="Traditional Arabic"/>
          <w:vertAlign w:val="superscript"/>
          <w:rtl/>
        </w:rPr>
        <w:t>(</w:t>
      </w:r>
      <w:r w:rsidRPr="00DC21B6">
        <w:rPr>
          <w:rFonts w:ascii="Traditional Arabic" w:hAnsi="Traditional Arabic"/>
          <w:vertAlign w:val="superscript"/>
          <w:rtl/>
        </w:rPr>
        <w:footnoteReference w:id="1389"/>
      </w:r>
      <w:r w:rsidRPr="00DC21B6">
        <w:rPr>
          <w:rFonts w:ascii="Traditional Arabic" w:hAnsi="Traditional Arabic"/>
          <w:vertAlign w:val="superscript"/>
          <w:rtl/>
        </w:rPr>
        <w:t>)</w:t>
      </w:r>
      <w:r w:rsidRPr="00DC21B6">
        <w:rPr>
          <w:rFonts w:ascii="Traditional Arabic" w:hAnsi="Traditional Arabic"/>
          <w:rtl/>
        </w:rPr>
        <w:t>.</w:t>
      </w:r>
    </w:p>
    <w:p w:rsidR="00DC21B6" w:rsidRPr="00DC21B6" w:rsidRDefault="00DC21B6" w:rsidP="00DC21B6">
      <w:pPr>
        <w:ind w:firstLine="0"/>
        <w:rPr>
          <w:rFonts w:ascii="Traditional Arabic" w:hAnsi="Traditional Arabic"/>
          <w:rtl/>
        </w:rPr>
      </w:pPr>
    </w:p>
    <w:p w:rsidR="00DC21B6" w:rsidRPr="00DC21B6" w:rsidRDefault="00DC21B6" w:rsidP="00DC21B6">
      <w:pPr>
        <w:ind w:firstLine="0"/>
        <w:rPr>
          <w:rFonts w:ascii="Traditional Arabic" w:hAnsi="Traditional Arabic"/>
          <w:color w:val="auto"/>
          <w:rtl/>
        </w:rPr>
      </w:pPr>
      <w:r w:rsidRPr="00DC21B6">
        <w:rPr>
          <w:rFonts w:ascii="QCF_BSML" w:hAnsi="QCF_BSML" w:cs="QCF_BSML"/>
          <w:color w:val="auto"/>
          <w:sz w:val="32"/>
          <w:szCs w:val="32"/>
          <w:rtl/>
          <w:lang w:eastAsia="en-US"/>
        </w:rPr>
        <w:t xml:space="preserve">ﭽ </w:t>
      </w:r>
      <w:r w:rsidRPr="00DC21B6">
        <w:rPr>
          <w:rFonts w:ascii="QCF_P298" w:hAnsi="QCF_P298" w:cs="QCF_P298"/>
          <w:color w:val="auto"/>
          <w:sz w:val="32"/>
          <w:szCs w:val="32"/>
          <w:rtl/>
          <w:lang w:eastAsia="en-US"/>
        </w:rPr>
        <w:t xml:space="preserve">ﯔ  ﯕ  ﯖ  ﯗ  ﯘ  ﯙ  ﯚ  ﯛ  ﯜ  ﯝ  ﯞ   ﯟ  ﯠ  ﯡ  ﯢ  ﯣ   ﯤ  ﯥ      ﯦ  ﯧ  ﯨ  ﯩ  ﯪ   ﯫ  ﯬ  ﯭ  ﯮ  ﯯ  ﯰ  ﯱ       ﯲ  ﯳ  ﯴ  ﯵ    ﯶ  ﯷﯸ  ﯹ   ﯺ  ﯻ  ﯼ  ﯽ  ﯾ  </w:t>
      </w:r>
      <w:r w:rsidRPr="00DC21B6">
        <w:rPr>
          <w:rFonts w:ascii="QCF_BSML" w:hAnsi="QCF_BSML" w:cs="QCF_BSML"/>
          <w:color w:val="auto"/>
          <w:sz w:val="32"/>
          <w:szCs w:val="32"/>
          <w:rtl/>
          <w:lang w:eastAsia="en-US"/>
        </w:rPr>
        <w:t>ﭼ</w:t>
      </w:r>
      <w:r w:rsidRPr="00DC21B6">
        <w:rPr>
          <w:rFonts w:ascii="Arial" w:hAnsi="Arial" w:cs="Arial"/>
          <w:color w:val="auto"/>
          <w:sz w:val="32"/>
          <w:szCs w:val="32"/>
          <w:rtl/>
          <w:lang w:eastAsia="en-US"/>
        </w:rPr>
        <w:t xml:space="preserve"> </w:t>
      </w:r>
    </w:p>
    <w:p w:rsidR="00DC21B6" w:rsidRPr="00DC21B6" w:rsidRDefault="00DC21B6" w:rsidP="00DC21B6">
      <w:pPr>
        <w:ind w:firstLine="0"/>
        <w:rPr>
          <w:rFonts w:ascii="Traditional Arabic" w:hAnsi="Traditional Arabic"/>
          <w:rtl/>
        </w:rPr>
      </w:pPr>
      <w:r w:rsidRPr="00DC21B6">
        <w:rPr>
          <w:rFonts w:ascii="Traditional Arabic" w:hAnsi="Traditional Arabic"/>
          <w:rtl/>
        </w:rPr>
        <w:t xml:space="preserve">قوله تعالى: </w:t>
      </w:r>
      <w:r w:rsidRPr="00DC21B6">
        <w:rPr>
          <w:rFonts w:ascii="QCF_BSML" w:hAnsi="QCF_BSML" w:cs="QCF_BSML"/>
          <w:sz w:val="32"/>
          <w:szCs w:val="32"/>
          <w:rtl/>
          <w:lang w:eastAsia="en-US"/>
        </w:rPr>
        <w:t>ﭽ</w:t>
      </w:r>
      <w:r w:rsidRPr="00DC21B6">
        <w:rPr>
          <w:rFonts w:ascii="QCF_BSML" w:hAnsi="QCF_BSML" w:cs="QCF_BSML" w:hint="cs"/>
          <w:sz w:val="32"/>
          <w:szCs w:val="32"/>
          <w:rtl/>
          <w:lang w:eastAsia="en-US"/>
        </w:rPr>
        <w:t xml:space="preserve"> </w:t>
      </w:r>
      <w:r w:rsidRPr="00DC21B6">
        <w:rPr>
          <w:rFonts w:ascii="QCF_P298" w:hAnsi="QCF_P298" w:cs="QCF_P298"/>
          <w:sz w:val="32"/>
          <w:szCs w:val="32"/>
          <w:rtl/>
          <w:lang w:eastAsia="en-US"/>
        </w:rPr>
        <w:t>ﯔ ﯕ</w:t>
      </w:r>
      <w:r w:rsidRPr="00DC21B6">
        <w:rPr>
          <w:rFonts w:ascii="QCF_BSML" w:hAnsi="QCF_BSML" w:cs="QCF_BSML"/>
          <w:sz w:val="32"/>
          <w:szCs w:val="32"/>
          <w:rtl/>
          <w:lang w:eastAsia="en-US"/>
        </w:rPr>
        <w:t>ﭼ</w:t>
      </w:r>
      <w:r w:rsidRPr="00DC21B6">
        <w:rPr>
          <w:rFonts w:ascii="Traditional Arabic" w:hAnsi="Traditional Arabic"/>
          <w:rtl/>
        </w:rPr>
        <w:t xml:space="preserve"> أي: أحاط اللهُ العذابَ بثمره، وقد سبق معنى الثمر</w:t>
      </w:r>
      <w:r w:rsidRPr="00DC21B6">
        <w:rPr>
          <w:vertAlign w:val="superscript"/>
          <w:rtl/>
        </w:rPr>
        <w:t>(</w:t>
      </w:r>
      <w:r w:rsidRPr="00DC21B6">
        <w:rPr>
          <w:vertAlign w:val="superscript"/>
          <w:rtl/>
        </w:rPr>
        <w:footnoteReference w:id="1390"/>
      </w:r>
      <w:r w:rsidRPr="00DC21B6">
        <w:rPr>
          <w:vertAlign w:val="superscript"/>
          <w:rtl/>
        </w:rPr>
        <w:t>)</w:t>
      </w:r>
      <w:r w:rsidRPr="00DC21B6">
        <w:rPr>
          <w:rFonts w:ascii="Traditional Arabic" w:hAnsi="Traditional Arabic"/>
          <w:rtl/>
        </w:rPr>
        <w:t xml:space="preserve">. </w:t>
      </w:r>
      <w:r w:rsidRPr="00DC21B6">
        <w:rPr>
          <w:rFonts w:ascii="QCF_BSML" w:hAnsi="QCF_BSML" w:cs="QCF_BSML"/>
          <w:sz w:val="32"/>
          <w:szCs w:val="32"/>
          <w:rtl/>
          <w:lang w:eastAsia="en-US"/>
        </w:rPr>
        <w:t>ﭽ</w:t>
      </w:r>
      <w:r w:rsidRPr="00DC21B6">
        <w:rPr>
          <w:rFonts w:ascii="QCF_P298" w:hAnsi="QCF_P298" w:cs="QCF_P298"/>
          <w:sz w:val="32"/>
          <w:szCs w:val="32"/>
          <w:rtl/>
          <w:lang w:eastAsia="en-US"/>
        </w:rPr>
        <w:t>ﯖ  ﯗ  ﯘ</w:t>
      </w:r>
      <w:r w:rsidRPr="00DC21B6">
        <w:rPr>
          <w:rFonts w:ascii="QCF_BSML" w:hAnsi="QCF_BSML" w:cs="QCF_BSML"/>
          <w:sz w:val="32"/>
          <w:szCs w:val="32"/>
          <w:rtl/>
          <w:lang w:eastAsia="en-US"/>
        </w:rPr>
        <w:t>ﭼ</w:t>
      </w:r>
      <w:r w:rsidRPr="00DC21B6">
        <w:rPr>
          <w:rFonts w:ascii="Traditional Arabic" w:hAnsi="Traditional Arabic"/>
          <w:rtl/>
        </w:rPr>
        <w:t xml:space="preserve"> أي: يضرب بيد على يد، وهذا فعل النادم، </w:t>
      </w:r>
      <w:r w:rsidRPr="00DC21B6">
        <w:rPr>
          <w:rFonts w:ascii="QCF_BSML" w:hAnsi="QCF_BSML" w:cs="QCF_BSML"/>
          <w:sz w:val="32"/>
          <w:szCs w:val="32"/>
          <w:rtl/>
          <w:lang w:eastAsia="en-US"/>
        </w:rPr>
        <w:t>ﭽ</w:t>
      </w:r>
      <w:r w:rsidRPr="00DC21B6">
        <w:rPr>
          <w:rFonts w:ascii="QCF_P298" w:hAnsi="QCF_P298" w:cs="QCF_P298"/>
          <w:sz w:val="32"/>
          <w:szCs w:val="32"/>
          <w:rtl/>
          <w:lang w:eastAsia="en-US"/>
        </w:rPr>
        <w:t>ﯙ  ﯚ  ﯛ  ﯜ</w:t>
      </w:r>
      <w:r w:rsidRPr="00DC21B6">
        <w:rPr>
          <w:rFonts w:ascii="QCF_BSML" w:hAnsi="QCF_BSML" w:cs="QCF_BSML"/>
          <w:sz w:val="32"/>
          <w:szCs w:val="32"/>
          <w:rtl/>
          <w:lang w:eastAsia="en-US"/>
        </w:rPr>
        <w:t xml:space="preserve"> ﭼ</w:t>
      </w:r>
      <w:r w:rsidRPr="00DC21B6">
        <w:rPr>
          <w:rFonts w:ascii="QCF_BSML" w:hAnsi="QCF_BSML" w:cs="QCF_BSML" w:hint="cs"/>
          <w:sz w:val="32"/>
          <w:szCs w:val="32"/>
          <w:rtl/>
          <w:lang w:eastAsia="en-US"/>
        </w:rPr>
        <w:t xml:space="preserve">   </w:t>
      </w:r>
      <w:r w:rsidRPr="00DC21B6">
        <w:rPr>
          <w:rFonts w:ascii="QCF_P298" w:hAnsi="QCF_P298" w:cs="QCF_P298"/>
          <w:sz w:val="32"/>
          <w:szCs w:val="32"/>
          <w:rtl/>
          <w:lang w:eastAsia="en-US"/>
        </w:rPr>
        <w:t xml:space="preserve">  </w:t>
      </w:r>
      <w:r w:rsidRPr="00DC21B6">
        <w:rPr>
          <w:rFonts w:ascii="Traditional Arabic" w:hAnsi="Traditional Arabic"/>
          <w:rtl/>
        </w:rPr>
        <w:t>أي: في جنّته، و«في» ها هنا بمعنى «على»</w:t>
      </w:r>
      <w:r w:rsidRPr="00DC21B6">
        <w:rPr>
          <w:vertAlign w:val="superscript"/>
          <w:rtl/>
        </w:rPr>
        <w:t>(</w:t>
      </w:r>
      <w:r w:rsidRPr="00DC21B6">
        <w:rPr>
          <w:vertAlign w:val="superscript"/>
          <w:rtl/>
        </w:rPr>
        <w:footnoteReference w:id="1391"/>
      </w:r>
      <w:r w:rsidRPr="00DC21B6">
        <w:rPr>
          <w:vertAlign w:val="superscript"/>
          <w:rtl/>
        </w:rPr>
        <w:t>)</w:t>
      </w:r>
      <w:r w:rsidRPr="00DC21B6">
        <w:rPr>
          <w:rFonts w:ascii="Traditional Arabic" w:hAnsi="Traditional Arabic"/>
          <w:rtl/>
        </w:rPr>
        <w:t xml:space="preserve">. </w:t>
      </w:r>
      <w:r w:rsidRPr="00DC21B6">
        <w:rPr>
          <w:rFonts w:ascii="QCF_BSML" w:hAnsi="QCF_BSML" w:cs="QCF_BSML"/>
          <w:sz w:val="32"/>
          <w:szCs w:val="32"/>
          <w:rtl/>
          <w:lang w:eastAsia="en-US"/>
        </w:rPr>
        <w:t>ﭽ</w:t>
      </w:r>
      <w:r w:rsidRPr="00DC21B6">
        <w:rPr>
          <w:rFonts w:ascii="QCF_P298" w:hAnsi="QCF_P298" w:cs="QCF_P298"/>
          <w:sz w:val="32"/>
          <w:szCs w:val="32"/>
          <w:rtl/>
          <w:lang w:eastAsia="en-US"/>
        </w:rPr>
        <w:t xml:space="preserve">ﯝ  ﯞ  </w:t>
      </w:r>
      <w:r w:rsidRPr="00DC21B6">
        <w:rPr>
          <w:rFonts w:ascii="QCF_BSML" w:hAnsi="QCF_BSML" w:cs="QCF_BSML"/>
          <w:sz w:val="32"/>
          <w:szCs w:val="32"/>
          <w:rtl/>
          <w:lang w:eastAsia="en-US"/>
        </w:rPr>
        <w:t>ﭼ</w:t>
      </w:r>
      <w:r w:rsidRPr="00DC21B6">
        <w:rPr>
          <w:rFonts w:ascii="Traditional Arabic" w:hAnsi="Traditional Arabic"/>
          <w:rtl/>
        </w:rPr>
        <w:t xml:space="preserve"> أي: خالية ساقطة </w:t>
      </w:r>
      <w:r w:rsidRPr="00DC21B6">
        <w:rPr>
          <w:rFonts w:ascii="QCF_BSML" w:hAnsi="QCF_BSML" w:cs="QCF_BSML"/>
          <w:sz w:val="32"/>
          <w:szCs w:val="32"/>
          <w:rtl/>
          <w:lang w:eastAsia="en-US"/>
        </w:rPr>
        <w:t>ﭽ</w:t>
      </w:r>
      <w:r w:rsidRPr="00DC21B6">
        <w:rPr>
          <w:rFonts w:ascii="QCF_P298" w:hAnsi="QCF_P298" w:cs="QCF_P298"/>
          <w:sz w:val="32"/>
          <w:szCs w:val="32"/>
          <w:rtl/>
          <w:lang w:eastAsia="en-US"/>
        </w:rPr>
        <w:t xml:space="preserve"> ﯟ  ﯠ  </w:t>
      </w:r>
      <w:r w:rsidRPr="00DC21B6">
        <w:rPr>
          <w:rFonts w:ascii="QCF_BSML" w:hAnsi="QCF_BSML" w:cs="QCF_BSML"/>
          <w:sz w:val="32"/>
          <w:szCs w:val="32"/>
          <w:rtl/>
          <w:lang w:eastAsia="en-US"/>
        </w:rPr>
        <w:t>ﭼ</w:t>
      </w:r>
      <w:r w:rsidRPr="00DC21B6">
        <w:rPr>
          <w:rFonts w:ascii="Traditional Arabic" w:hAnsi="Traditional Arabic"/>
          <w:rtl/>
        </w:rPr>
        <w:t xml:space="preserve"> والعُروش: السقوف والمعنى: أن حيطانها قائمة والسقوف قد تهدَّمت فصارت في قرارها، </w:t>
      </w:r>
      <w:r w:rsidRPr="00DC21B6">
        <w:rPr>
          <w:rFonts w:ascii="Traditional Arabic" w:hAnsi="Traditional Arabic"/>
          <w:rtl/>
        </w:rPr>
        <w:lastRenderedPageBreak/>
        <w:t xml:space="preserve">فصارت الحيطان كأنها على السقوف. </w:t>
      </w:r>
      <w:r w:rsidRPr="00DC21B6">
        <w:rPr>
          <w:rFonts w:ascii="QCF_BSML" w:hAnsi="QCF_BSML" w:cs="QCF_BSML"/>
          <w:sz w:val="32"/>
          <w:szCs w:val="32"/>
          <w:rtl/>
          <w:lang w:eastAsia="en-US"/>
        </w:rPr>
        <w:t>ﭽ</w:t>
      </w:r>
      <w:r w:rsidRPr="00DC21B6">
        <w:rPr>
          <w:rFonts w:ascii="Traditional Arabic" w:hAnsi="Traditional Arabic"/>
          <w:rtl/>
        </w:rPr>
        <w:t xml:space="preserve"> </w:t>
      </w:r>
      <w:r w:rsidRPr="00DC21B6">
        <w:rPr>
          <w:rFonts w:ascii="QCF_P298" w:hAnsi="QCF_P298" w:cs="QCF_P298"/>
          <w:sz w:val="32"/>
          <w:szCs w:val="32"/>
          <w:rtl/>
          <w:lang w:eastAsia="en-US"/>
        </w:rPr>
        <w:t xml:space="preserve">ﯡ  ﯢ  ﯣ   ﯤ  ﯥ      ﯦ  </w:t>
      </w:r>
      <w:r w:rsidRPr="00DC21B6">
        <w:rPr>
          <w:rFonts w:ascii="QCF_BSML" w:hAnsi="QCF_BSML" w:cs="QCF_BSML"/>
          <w:sz w:val="32"/>
          <w:szCs w:val="32"/>
          <w:rtl/>
          <w:lang w:eastAsia="en-US"/>
        </w:rPr>
        <w:t>ﭼ</w:t>
      </w:r>
      <w:r w:rsidRPr="00DC21B6">
        <w:rPr>
          <w:rFonts w:ascii="Traditional Arabic" w:hAnsi="Traditional Arabic"/>
          <w:rtl/>
        </w:rPr>
        <w:t xml:space="preserve"> فأخبر الله تعالى أنه لما سلبه ما أنعم به عليه، وحقق ما أنذره أخوه</w:t>
      </w:r>
      <w:r w:rsidRPr="00DC21B6">
        <w:rPr>
          <w:vertAlign w:val="superscript"/>
          <w:rtl/>
        </w:rPr>
        <w:t>(</w:t>
      </w:r>
      <w:r w:rsidRPr="00DC21B6">
        <w:rPr>
          <w:vertAlign w:val="superscript"/>
          <w:rtl/>
        </w:rPr>
        <w:footnoteReference w:id="1392"/>
      </w:r>
      <w:r w:rsidRPr="00DC21B6">
        <w:rPr>
          <w:vertAlign w:val="superscript"/>
          <w:rtl/>
        </w:rPr>
        <w:t>)</w:t>
      </w:r>
      <w:r w:rsidRPr="00DC21B6">
        <w:rPr>
          <w:rFonts w:ascii="Traditional Arabic" w:hAnsi="Traditional Arabic"/>
          <w:rtl/>
        </w:rPr>
        <w:t>في الدنيا، ندم على شِركه حين لا تنفعة الندامة</w:t>
      </w:r>
      <w:r w:rsidRPr="00DC21B6">
        <w:rPr>
          <w:vertAlign w:val="superscript"/>
          <w:rtl/>
        </w:rPr>
        <w:t>(</w:t>
      </w:r>
      <w:r w:rsidRPr="00DC21B6">
        <w:rPr>
          <w:vertAlign w:val="superscript"/>
          <w:rtl/>
        </w:rPr>
        <w:footnoteReference w:id="1393"/>
      </w:r>
      <w:r w:rsidRPr="00DC21B6">
        <w:rPr>
          <w:vertAlign w:val="superscript"/>
          <w:rtl/>
        </w:rPr>
        <w:t>)</w:t>
      </w:r>
      <w:r w:rsidRPr="00DC21B6">
        <w:rPr>
          <w:rFonts w:ascii="Traditional Arabic" w:hAnsi="Traditional Arabic"/>
          <w:rtl/>
        </w:rPr>
        <w:t>. وقيل: إِنما يقول هذا في</w:t>
      </w:r>
      <w:r w:rsidRPr="00DC21B6">
        <w:rPr>
          <w:vertAlign w:val="superscript"/>
          <w:rtl/>
        </w:rPr>
        <w:t>(</w:t>
      </w:r>
      <w:r w:rsidRPr="00DC21B6">
        <w:rPr>
          <w:vertAlign w:val="superscript"/>
          <w:rtl/>
        </w:rPr>
        <w:footnoteReference w:id="1394"/>
      </w:r>
      <w:r w:rsidRPr="00DC21B6">
        <w:rPr>
          <w:vertAlign w:val="superscript"/>
          <w:rtl/>
        </w:rPr>
        <w:t>)</w:t>
      </w:r>
      <w:r w:rsidRPr="00DC21B6">
        <w:rPr>
          <w:rFonts w:ascii="Traditional Arabic" w:hAnsi="Traditional Arabic"/>
          <w:rtl/>
        </w:rPr>
        <w:t>القيامة</w:t>
      </w:r>
      <w:r w:rsidRPr="00DC21B6">
        <w:rPr>
          <w:vertAlign w:val="superscript"/>
          <w:rtl/>
        </w:rPr>
        <w:t>(</w:t>
      </w:r>
      <w:r w:rsidRPr="00DC21B6">
        <w:rPr>
          <w:vertAlign w:val="superscript"/>
          <w:rtl/>
        </w:rPr>
        <w:footnoteReference w:id="1395"/>
      </w:r>
      <w:r w:rsidRPr="00DC21B6">
        <w:rPr>
          <w:vertAlign w:val="superscript"/>
          <w:rtl/>
        </w:rPr>
        <w:t>)</w:t>
      </w:r>
      <w:r w:rsidRPr="00DC21B6">
        <w:rPr>
          <w:rFonts w:ascii="Traditional Arabic" w:hAnsi="Traditional Arabic"/>
          <w:rtl/>
        </w:rPr>
        <w:t xml:space="preserve">. </w:t>
      </w:r>
      <w:r w:rsidRPr="00DC21B6">
        <w:rPr>
          <w:rFonts w:ascii="QCF_BSML" w:hAnsi="QCF_BSML" w:cs="QCF_BSML"/>
          <w:sz w:val="32"/>
          <w:szCs w:val="32"/>
          <w:rtl/>
          <w:lang w:eastAsia="en-US"/>
        </w:rPr>
        <w:t>ﭽ</w:t>
      </w:r>
      <w:r w:rsidRPr="00DC21B6">
        <w:rPr>
          <w:rFonts w:ascii="Traditional Arabic" w:hAnsi="Traditional Arabic"/>
          <w:rtl/>
        </w:rPr>
        <w:t xml:space="preserve"> </w:t>
      </w:r>
      <w:r w:rsidRPr="00DC21B6">
        <w:rPr>
          <w:rFonts w:ascii="QCF_P298" w:hAnsi="QCF_P298" w:cs="QCF_P298"/>
          <w:sz w:val="32"/>
          <w:szCs w:val="32"/>
          <w:rtl/>
          <w:lang w:eastAsia="en-US"/>
        </w:rPr>
        <w:t xml:space="preserve">ﯨ  ﯩ  ﯪ   ﯫ  </w:t>
      </w:r>
      <w:r w:rsidRPr="00DC21B6">
        <w:rPr>
          <w:rFonts w:ascii="QCF_BSML" w:hAnsi="QCF_BSML" w:cs="QCF_BSML"/>
          <w:sz w:val="32"/>
          <w:szCs w:val="32"/>
          <w:rtl/>
          <w:lang w:eastAsia="en-US"/>
        </w:rPr>
        <w:t>ﭼ</w:t>
      </w:r>
      <w:r w:rsidRPr="00DC21B6">
        <w:rPr>
          <w:rFonts w:ascii="Traditional Arabic" w:hAnsi="Traditional Arabic"/>
          <w:rtl/>
        </w:rPr>
        <w:t xml:space="preserve"> قرأ ابن كثير، ونافع، وأبو عمرو، وعاصم: </w:t>
      </w:r>
      <w:r w:rsidRPr="00DC21B6">
        <w:rPr>
          <w:rFonts w:ascii="QCF_BSML" w:hAnsi="QCF_BSML" w:cs="QCF_BSML"/>
          <w:sz w:val="32"/>
          <w:szCs w:val="32"/>
          <w:rtl/>
          <w:lang w:eastAsia="en-US"/>
        </w:rPr>
        <w:t>ﭽ</w:t>
      </w:r>
      <w:r w:rsidRPr="00DC21B6">
        <w:rPr>
          <w:rFonts w:ascii="QCF_P298" w:hAnsi="QCF_P298" w:cs="QCF_P298"/>
          <w:sz w:val="32"/>
          <w:szCs w:val="32"/>
          <w:rtl/>
          <w:lang w:eastAsia="en-US"/>
        </w:rPr>
        <w:t xml:space="preserve">ﯨ  ﯩ </w:t>
      </w:r>
      <w:r w:rsidRPr="00DC21B6">
        <w:rPr>
          <w:rFonts w:ascii="QCF_BSML" w:hAnsi="QCF_BSML" w:cs="QCF_BSML"/>
          <w:sz w:val="32"/>
          <w:szCs w:val="32"/>
          <w:rtl/>
          <w:lang w:eastAsia="en-US"/>
        </w:rPr>
        <w:t>ﭼ</w:t>
      </w:r>
      <w:r w:rsidRPr="00DC21B6">
        <w:rPr>
          <w:rFonts w:ascii="QCF_P298" w:hAnsi="QCF_P298" w:cs="QCF_P298"/>
          <w:sz w:val="32"/>
          <w:szCs w:val="32"/>
          <w:rtl/>
          <w:lang w:eastAsia="en-US"/>
        </w:rPr>
        <w:t xml:space="preserve"> </w:t>
      </w:r>
      <w:r w:rsidRPr="00DC21B6">
        <w:rPr>
          <w:rFonts w:ascii="Traditional Arabic" w:hAnsi="Traditional Arabic"/>
          <w:rtl/>
        </w:rPr>
        <w:t>بالتاء. وقرأ حمزة، والكسائي، وخلف: «ولم يكن» بالياء</w:t>
      </w:r>
      <w:r w:rsidRPr="00DC21B6">
        <w:rPr>
          <w:vertAlign w:val="superscript"/>
          <w:rtl/>
        </w:rPr>
        <w:t>(</w:t>
      </w:r>
      <w:r w:rsidRPr="00DC21B6">
        <w:rPr>
          <w:vertAlign w:val="superscript"/>
          <w:rtl/>
        </w:rPr>
        <w:footnoteReference w:id="1396"/>
      </w:r>
      <w:r w:rsidRPr="00DC21B6">
        <w:rPr>
          <w:vertAlign w:val="superscript"/>
          <w:rtl/>
        </w:rPr>
        <w:t>)</w:t>
      </w:r>
      <w:r w:rsidRPr="00DC21B6">
        <w:rPr>
          <w:rFonts w:ascii="Traditional Arabic" w:hAnsi="Traditional Arabic"/>
          <w:rtl/>
        </w:rPr>
        <w:t xml:space="preserve">. والفئة: الجماعة </w:t>
      </w:r>
      <w:r w:rsidRPr="00DC21B6">
        <w:rPr>
          <w:rFonts w:ascii="QCF_BSML" w:hAnsi="QCF_BSML" w:cs="QCF_BSML"/>
          <w:sz w:val="32"/>
          <w:szCs w:val="32"/>
          <w:rtl/>
          <w:lang w:eastAsia="en-US"/>
        </w:rPr>
        <w:t>ﭽ</w:t>
      </w:r>
      <w:r w:rsidRPr="00DC21B6">
        <w:rPr>
          <w:rFonts w:ascii="QCF_P298" w:hAnsi="QCF_P298" w:cs="QCF_P298"/>
          <w:color w:val="auto"/>
          <w:sz w:val="32"/>
          <w:szCs w:val="32"/>
          <w:rtl/>
          <w:lang w:eastAsia="en-US"/>
        </w:rPr>
        <w:t xml:space="preserve"> ﯬ</w:t>
      </w:r>
      <w:r w:rsidRPr="00DC21B6">
        <w:rPr>
          <w:rFonts w:ascii="QCF_BSML" w:hAnsi="QCF_BSML" w:cs="QCF_BSML"/>
          <w:sz w:val="32"/>
          <w:szCs w:val="32"/>
          <w:rtl/>
          <w:lang w:eastAsia="en-US"/>
        </w:rPr>
        <w:t xml:space="preserve"> ﭼ</w:t>
      </w:r>
      <w:r w:rsidRPr="00DC21B6">
        <w:rPr>
          <w:rFonts w:ascii="Traditional Arabic" w:hAnsi="Traditional Arabic"/>
          <w:rtl/>
        </w:rPr>
        <w:t xml:space="preserve"> أي: يمنعونه من عذاب الله</w:t>
      </w:r>
      <w:r w:rsidRPr="00DC21B6">
        <w:rPr>
          <w:vertAlign w:val="superscript"/>
          <w:rtl/>
        </w:rPr>
        <w:t>(</w:t>
      </w:r>
      <w:r w:rsidRPr="00DC21B6">
        <w:rPr>
          <w:vertAlign w:val="superscript"/>
          <w:rtl/>
        </w:rPr>
        <w:footnoteReference w:id="1397"/>
      </w:r>
      <w:r w:rsidRPr="00DC21B6">
        <w:rPr>
          <w:vertAlign w:val="superscript"/>
          <w:rtl/>
        </w:rPr>
        <w:t>)</w:t>
      </w:r>
      <w:r w:rsidRPr="00DC21B6">
        <w:rPr>
          <w:rFonts w:ascii="Traditional Arabic" w:hAnsi="Traditional Arabic"/>
          <w:rtl/>
        </w:rPr>
        <w:t>.</w:t>
      </w:r>
      <w:r w:rsidRPr="00DC21B6">
        <w:rPr>
          <w:rFonts w:ascii="Traditional Arabic" w:hAnsi="Traditional Arabic" w:hint="cs"/>
          <w:rtl/>
        </w:rPr>
        <w:t xml:space="preserve"> </w:t>
      </w:r>
      <w:r w:rsidRPr="00DC21B6">
        <w:rPr>
          <w:rFonts w:ascii="Traditional Arabic" w:hAnsi="Traditional Arabic"/>
          <w:rtl/>
        </w:rPr>
        <w:t xml:space="preserve">قوله تعالى: </w:t>
      </w:r>
      <w:r w:rsidRPr="00DC21B6">
        <w:rPr>
          <w:rFonts w:ascii="QCF_BSML" w:hAnsi="QCF_BSML" w:cs="QCF_BSML"/>
          <w:sz w:val="32"/>
          <w:szCs w:val="32"/>
          <w:rtl/>
          <w:lang w:eastAsia="en-US"/>
        </w:rPr>
        <w:t>ﭽ</w:t>
      </w:r>
      <w:r w:rsidRPr="00DC21B6">
        <w:rPr>
          <w:rFonts w:ascii="QCF_P298" w:hAnsi="QCF_P298" w:cs="QCF_P298"/>
          <w:sz w:val="32"/>
          <w:szCs w:val="32"/>
          <w:rtl/>
          <w:lang w:eastAsia="en-US"/>
        </w:rPr>
        <w:t xml:space="preserve">ﯴ  ﯵ  </w:t>
      </w:r>
      <w:r w:rsidRPr="00DC21B6">
        <w:rPr>
          <w:rFonts w:ascii="QCF_BSML" w:hAnsi="QCF_BSML" w:cs="QCF_BSML"/>
          <w:sz w:val="32"/>
          <w:szCs w:val="32"/>
          <w:rtl/>
          <w:lang w:eastAsia="en-US"/>
        </w:rPr>
        <w:t>ﭼ</w:t>
      </w:r>
      <w:r w:rsidRPr="00DC21B6">
        <w:rPr>
          <w:rFonts w:ascii="Traditional Arabic" w:hAnsi="Traditional Arabic"/>
          <w:rtl/>
        </w:rPr>
        <w:t xml:space="preserve"> قرأ ابن كثير، ونافع، وابن عامر، وعاصم: «الوَلاية» بفتح الواو، و «لله الحقِّ» بكسر القاف أيضاً. وقرأ حمزة «الولاية» بكسر الواو، و«الحقِّ» بكسر القاف أيضاً. وقرأ أبو عمرو بفتح واو الولاية، ورفع «الحقُّ»، ووافقه الكسائيُّ في رفع القاف، لكنه كسر «الوِلاية»</w:t>
      </w:r>
      <w:r w:rsidRPr="00DC21B6">
        <w:rPr>
          <w:vertAlign w:val="superscript"/>
          <w:rtl/>
        </w:rPr>
        <w:t>(</w:t>
      </w:r>
      <w:r w:rsidRPr="00DC21B6">
        <w:rPr>
          <w:vertAlign w:val="superscript"/>
          <w:rtl/>
        </w:rPr>
        <w:footnoteReference w:id="1398"/>
      </w:r>
      <w:r w:rsidRPr="00DC21B6">
        <w:rPr>
          <w:vertAlign w:val="superscript"/>
          <w:rtl/>
        </w:rPr>
        <w:t>)</w:t>
      </w:r>
      <w:r w:rsidRPr="00DC21B6">
        <w:rPr>
          <w:rFonts w:ascii="Traditional Arabic" w:hAnsi="Traditional Arabic" w:hint="cs"/>
          <w:rtl/>
        </w:rPr>
        <w:t>.</w:t>
      </w:r>
      <w:r w:rsidRPr="00DC21B6">
        <w:rPr>
          <w:rFonts w:ascii="Traditional Arabic" w:hAnsi="Traditional Arabic"/>
          <w:rtl/>
        </w:rPr>
        <w:t xml:space="preserve"> قال الزجاج: معنى الولاية في </w:t>
      </w:r>
      <w:r w:rsidRPr="00DC21B6">
        <w:rPr>
          <w:rFonts w:ascii="Traditional Arabic" w:hAnsi="Traditional Arabic" w:hint="cs"/>
          <w:rtl/>
        </w:rPr>
        <w:t>[</w:t>
      </w:r>
      <w:r w:rsidRPr="00DC21B6">
        <w:rPr>
          <w:rFonts w:ascii="Traditional Arabic" w:hAnsi="Traditional Arabic"/>
          <w:rtl/>
        </w:rPr>
        <w:t>مثل</w:t>
      </w:r>
      <w:r w:rsidRPr="00DC21B6">
        <w:rPr>
          <w:rFonts w:ascii="Traditional Arabic" w:hAnsi="Traditional Arabic" w:hint="cs"/>
          <w:rtl/>
        </w:rPr>
        <w:t>]</w:t>
      </w:r>
      <w:r w:rsidRPr="00DC21B6">
        <w:rPr>
          <w:vertAlign w:val="superscript"/>
          <w:rtl/>
        </w:rPr>
        <w:t>(</w:t>
      </w:r>
      <w:r w:rsidRPr="00DC21B6">
        <w:rPr>
          <w:vertAlign w:val="superscript"/>
          <w:rtl/>
        </w:rPr>
        <w:footnoteReference w:id="1399"/>
      </w:r>
      <w:r w:rsidRPr="00DC21B6">
        <w:rPr>
          <w:vertAlign w:val="superscript"/>
          <w:rtl/>
        </w:rPr>
        <w:t>)</w:t>
      </w:r>
      <w:r w:rsidRPr="00DC21B6">
        <w:rPr>
          <w:rFonts w:ascii="Traditional Arabic" w:hAnsi="Traditional Arabic"/>
          <w:rtl/>
        </w:rPr>
        <w:t>تلك الحال: تبيين نَصْرُهُ وليِّ الله</w:t>
      </w:r>
      <w:r w:rsidRPr="00DC21B6">
        <w:rPr>
          <w:vertAlign w:val="superscript"/>
          <w:rtl/>
        </w:rPr>
        <w:t>(</w:t>
      </w:r>
      <w:r w:rsidRPr="00DC21B6">
        <w:rPr>
          <w:vertAlign w:val="superscript"/>
          <w:rtl/>
        </w:rPr>
        <w:footnoteReference w:id="1400"/>
      </w:r>
      <w:r w:rsidRPr="00DC21B6">
        <w:rPr>
          <w:vertAlign w:val="superscript"/>
          <w:rtl/>
        </w:rPr>
        <w:t>)</w:t>
      </w:r>
      <w:r w:rsidRPr="00DC21B6">
        <w:rPr>
          <w:rFonts w:ascii="Traditional Arabic" w:hAnsi="Traditional Arabic"/>
          <w:rtl/>
        </w:rPr>
        <w:t>. وقال غيره: هذا الكلام عائد إِلى ما</w:t>
      </w:r>
      <w:r w:rsidRPr="00DC21B6">
        <w:rPr>
          <w:rFonts w:ascii="Traditional Arabic" w:hAnsi="Traditional Arabic" w:hint="cs"/>
          <w:rtl/>
        </w:rPr>
        <w:t xml:space="preserve"> </w:t>
      </w:r>
      <w:r w:rsidRPr="00DC21B6">
        <w:rPr>
          <w:rFonts w:ascii="Traditional Arabic" w:hAnsi="Traditional Arabic"/>
          <w:rtl/>
        </w:rPr>
        <w:t>قبل قصة الرجلين</w:t>
      </w:r>
      <w:r w:rsidRPr="00DC21B6">
        <w:rPr>
          <w:vertAlign w:val="superscript"/>
          <w:rtl/>
        </w:rPr>
        <w:t>(</w:t>
      </w:r>
      <w:r w:rsidRPr="00DC21B6">
        <w:rPr>
          <w:vertAlign w:val="superscript"/>
          <w:rtl/>
        </w:rPr>
        <w:footnoteReference w:id="1401"/>
      </w:r>
      <w:r w:rsidRPr="00DC21B6">
        <w:rPr>
          <w:vertAlign w:val="superscript"/>
          <w:rtl/>
        </w:rPr>
        <w:t>)</w:t>
      </w:r>
      <w:r w:rsidRPr="00DC21B6">
        <w:rPr>
          <w:rFonts w:ascii="Traditional Arabic" w:hAnsi="Traditional Arabic"/>
          <w:rtl/>
        </w:rPr>
        <w:t>. فأما من فتح واو «الوَلاية» فإنه أراد الموالاة والنصرة، ومن كسر، أراد السلطان والملك على ما شرحنا في آخر الأنفال</w:t>
      </w:r>
      <w:r w:rsidRPr="00DC21B6">
        <w:rPr>
          <w:vertAlign w:val="superscript"/>
          <w:rtl/>
        </w:rPr>
        <w:t>(</w:t>
      </w:r>
      <w:r w:rsidRPr="00DC21B6">
        <w:rPr>
          <w:vertAlign w:val="superscript"/>
          <w:rtl/>
        </w:rPr>
        <w:footnoteReference w:id="1402"/>
      </w:r>
      <w:r w:rsidRPr="00DC21B6">
        <w:rPr>
          <w:vertAlign w:val="superscript"/>
          <w:rtl/>
        </w:rPr>
        <w:t>)</w:t>
      </w:r>
      <w:r w:rsidRPr="00DC21B6">
        <w:rPr>
          <w:rFonts w:ascii="Traditional Arabic" w:hAnsi="Traditional Arabic"/>
          <w:rtl/>
        </w:rPr>
        <w:t xml:space="preserve">. فعلى قراءة الفتح، في معنى الكلام قولان: أحدهما: أنهم يتوَلَّون الله تعالى في القيامة، ويؤمنون به، ويتبرَّؤون مما كانوا </w:t>
      </w:r>
      <w:r w:rsidRPr="00DC21B6">
        <w:rPr>
          <w:rFonts w:ascii="Traditional Arabic" w:hAnsi="Traditional Arabic"/>
          <w:rtl/>
        </w:rPr>
        <w:lastRenderedPageBreak/>
        <w:t>يعبدون، قاله ابن قتيبة</w:t>
      </w:r>
      <w:r w:rsidRPr="00DC21B6">
        <w:rPr>
          <w:vertAlign w:val="superscript"/>
          <w:rtl/>
        </w:rPr>
        <w:t>(</w:t>
      </w:r>
      <w:r w:rsidRPr="00DC21B6">
        <w:rPr>
          <w:vertAlign w:val="superscript"/>
          <w:rtl/>
        </w:rPr>
        <w:footnoteReference w:id="1403"/>
      </w:r>
      <w:r w:rsidRPr="00DC21B6">
        <w:rPr>
          <w:vertAlign w:val="superscript"/>
          <w:rtl/>
        </w:rPr>
        <w:t>)</w:t>
      </w:r>
      <w:r w:rsidRPr="00DC21B6">
        <w:rPr>
          <w:rFonts w:ascii="Traditional Arabic" w:hAnsi="Traditional Arabic"/>
          <w:rtl/>
        </w:rPr>
        <w:t>. والثاني: هنالك يتولَّى اللهُ أمرَ الخلائق، فينصر المؤمنين ويخذل الكافرين</w:t>
      </w:r>
      <w:r w:rsidRPr="00DC21B6">
        <w:rPr>
          <w:vertAlign w:val="superscript"/>
          <w:rtl/>
        </w:rPr>
        <w:t>(</w:t>
      </w:r>
      <w:r w:rsidRPr="00DC21B6">
        <w:rPr>
          <w:vertAlign w:val="superscript"/>
          <w:rtl/>
        </w:rPr>
        <w:footnoteReference w:id="1404"/>
      </w:r>
      <w:r w:rsidRPr="00DC21B6">
        <w:rPr>
          <w:vertAlign w:val="superscript"/>
          <w:rtl/>
        </w:rPr>
        <w:t>)</w:t>
      </w:r>
      <w:r w:rsidRPr="00DC21B6">
        <w:rPr>
          <w:rFonts w:ascii="Traditional Arabic" w:hAnsi="Traditional Arabic"/>
          <w:rtl/>
        </w:rPr>
        <w:t>. وعلى قراءة الكسر، يكون المعنى: هنالك السُّلطان لله. قال أبو علي: من كسر قاف «الحقِّ» ، جعله من وصف الله عزَّ وجلَّ، ومن رفعه جعله صفة للولاية</w:t>
      </w:r>
      <w:r w:rsidRPr="00DC21B6">
        <w:rPr>
          <w:vertAlign w:val="superscript"/>
          <w:rtl/>
        </w:rPr>
        <w:t>(</w:t>
      </w:r>
      <w:r w:rsidRPr="00DC21B6">
        <w:rPr>
          <w:vertAlign w:val="superscript"/>
          <w:rtl/>
        </w:rPr>
        <w:footnoteReference w:id="1405"/>
      </w:r>
      <w:r w:rsidRPr="00DC21B6">
        <w:rPr>
          <w:vertAlign w:val="superscript"/>
          <w:rtl/>
        </w:rPr>
        <w:t>)</w:t>
      </w:r>
      <w:r w:rsidRPr="00DC21B6">
        <w:rPr>
          <w:rFonts w:ascii="Traditional Arabic" w:hAnsi="Traditional Arabic"/>
          <w:rtl/>
        </w:rPr>
        <w:t>. فإن قيل: لم نُعتت الولاية وهي مؤنثة بالحقِّ وهو مصدر</w:t>
      </w:r>
      <w:r w:rsidRPr="00DC21B6">
        <w:rPr>
          <w:vertAlign w:val="superscript"/>
          <w:rtl/>
        </w:rPr>
        <w:t>(</w:t>
      </w:r>
      <w:r w:rsidRPr="00DC21B6">
        <w:rPr>
          <w:vertAlign w:val="superscript"/>
          <w:rtl/>
        </w:rPr>
        <w:footnoteReference w:id="1406"/>
      </w:r>
      <w:r w:rsidRPr="00DC21B6">
        <w:rPr>
          <w:vertAlign w:val="superscript"/>
          <w:rtl/>
        </w:rPr>
        <w:t>)</w:t>
      </w:r>
      <w:r w:rsidRPr="00DC21B6">
        <w:rPr>
          <w:rFonts w:ascii="Traditional Arabic" w:hAnsi="Traditional Arabic"/>
          <w:rtl/>
        </w:rPr>
        <w:t>؟ فعنه جوابان ذكرهما ابن الأنباري: أحدهما: أن تأنيثها ليس حقيقياً، فحُملت على معنى النصر والتقدير: هنالك النصر لله الحقُّ، كما حُملت الصيحة على معنى الصياح في قوله</w:t>
      </w:r>
      <w:r w:rsidRPr="00DC21B6">
        <w:rPr>
          <w:rFonts w:ascii="Traditional Arabic" w:hAnsi="Traditional Arabic"/>
          <w:sz w:val="32"/>
          <w:szCs w:val="32"/>
          <w:rtl/>
        </w:rPr>
        <w:t>:</w:t>
      </w:r>
      <w:r w:rsidRPr="00DC21B6">
        <w:rPr>
          <w:rFonts w:ascii="QCF_BSML" w:hAnsi="QCF_BSML" w:cs="QCF_BSML"/>
          <w:sz w:val="32"/>
          <w:szCs w:val="32"/>
          <w:rtl/>
          <w:lang w:eastAsia="en-US"/>
        </w:rPr>
        <w:t xml:space="preserve"> ﭽ</w:t>
      </w:r>
      <w:r w:rsidRPr="00DC21B6">
        <w:rPr>
          <w:rFonts w:ascii="QCF_P229" w:hAnsi="QCF_P229" w:cs="QCF_P229"/>
          <w:sz w:val="32"/>
          <w:szCs w:val="32"/>
          <w:rtl/>
          <w:lang w:eastAsia="en-US"/>
        </w:rPr>
        <w:t>ﮜ   ﮝ  ﮞ  ﮟ</w:t>
      </w:r>
      <w:r w:rsidRPr="00DC21B6">
        <w:rPr>
          <w:rFonts w:ascii="QCF_BSML" w:hAnsi="QCF_BSML" w:cs="QCF_BSML"/>
          <w:sz w:val="32"/>
          <w:szCs w:val="32"/>
          <w:rtl/>
          <w:lang w:eastAsia="en-US"/>
        </w:rPr>
        <w:t>ﭼ</w:t>
      </w:r>
      <w:r w:rsidRPr="00DC21B6">
        <w:rPr>
          <w:rFonts w:ascii="Arial" w:hAnsi="Arial" w:cs="Arial"/>
          <w:sz w:val="32"/>
          <w:szCs w:val="32"/>
          <w:rtl/>
          <w:lang w:eastAsia="en-US"/>
        </w:rPr>
        <w:t xml:space="preserve"> </w:t>
      </w:r>
      <w:r w:rsidRPr="00DC21B6">
        <w:rPr>
          <w:rFonts w:ascii="Traditional Arabic" w:hAnsi="Traditional Arabic" w:hint="cs"/>
          <w:sz w:val="32"/>
          <w:szCs w:val="32"/>
          <w:rtl/>
        </w:rPr>
        <w:t>[</w:t>
      </w:r>
      <w:r w:rsidRPr="00DC21B6">
        <w:rPr>
          <w:rFonts w:ascii="Traditional Arabic" w:hAnsi="Traditional Arabic"/>
          <w:sz w:val="32"/>
          <w:szCs w:val="32"/>
          <w:rtl/>
        </w:rPr>
        <w:t>سورة هود:67</w:t>
      </w:r>
      <w:r w:rsidRPr="00DC21B6">
        <w:rPr>
          <w:rFonts w:ascii="Traditional Arabic" w:hAnsi="Traditional Arabic" w:hint="cs"/>
          <w:sz w:val="32"/>
          <w:szCs w:val="32"/>
          <w:rtl/>
        </w:rPr>
        <w:t>]</w:t>
      </w:r>
      <w:r w:rsidRPr="00DC21B6">
        <w:rPr>
          <w:rFonts w:ascii="Traditional Arabic" w:hAnsi="Traditional Arabic"/>
          <w:rtl/>
        </w:rPr>
        <w:t xml:space="preserve">. والثاني: أن الحقَّ مصدر يستوي في لفظه المذكَّر والمؤنث والاثنان والجمع، فيقال: قولك حق، </w:t>
      </w:r>
      <w:r w:rsidRPr="00DC21B6">
        <w:rPr>
          <w:rFonts w:ascii="Traditional Arabic" w:hAnsi="Traditional Arabic" w:hint="cs"/>
          <w:sz w:val="32"/>
          <w:szCs w:val="32"/>
          <w:rtl/>
        </w:rPr>
        <w:t>[125]</w:t>
      </w:r>
      <w:r w:rsidRPr="00DC21B6">
        <w:rPr>
          <w:rFonts w:ascii="Traditional Arabic" w:hAnsi="Traditional Arabic"/>
          <w:rtl/>
        </w:rPr>
        <w:t xml:space="preserve"> وكلمتك حق، وأقوالكم حق. ويجوز ارتفاع الحق على المدح للولاية، وعلى المدح لله تعالى بإضمار «هو»</w:t>
      </w:r>
      <w:r w:rsidRPr="00DC21B6">
        <w:rPr>
          <w:vertAlign w:val="superscript"/>
          <w:rtl/>
        </w:rPr>
        <w:t>(</w:t>
      </w:r>
      <w:r w:rsidRPr="00DC21B6">
        <w:rPr>
          <w:vertAlign w:val="superscript"/>
          <w:rtl/>
        </w:rPr>
        <w:footnoteReference w:id="1407"/>
      </w:r>
      <w:r w:rsidRPr="00DC21B6">
        <w:rPr>
          <w:vertAlign w:val="superscript"/>
          <w:rtl/>
        </w:rPr>
        <w:t>)</w:t>
      </w:r>
      <w:r w:rsidRPr="00DC21B6">
        <w:rPr>
          <w:rFonts w:ascii="Traditional Arabic" w:hAnsi="Traditional Arabic"/>
          <w:rtl/>
        </w:rPr>
        <w:t>.</w:t>
      </w:r>
    </w:p>
    <w:p w:rsidR="00DC21B6" w:rsidRPr="00DC21B6" w:rsidRDefault="00DC21B6" w:rsidP="00DC21B6">
      <w:pPr>
        <w:ind w:firstLine="0"/>
        <w:rPr>
          <w:rFonts w:ascii="Traditional Arabic" w:hAnsi="Traditional Arabic"/>
          <w:rtl/>
        </w:rPr>
      </w:pPr>
      <w:r w:rsidRPr="00DC21B6">
        <w:rPr>
          <w:rFonts w:ascii="QCF_P298" w:hAnsi="QCF_P298" w:cs="QCF_P298"/>
          <w:color w:val="auto"/>
          <w:sz w:val="32"/>
          <w:szCs w:val="32"/>
          <w:rtl/>
          <w:lang w:eastAsia="en-US"/>
        </w:rPr>
        <w:t xml:space="preserve"> </w:t>
      </w:r>
      <w:r w:rsidRPr="00DC21B6">
        <w:rPr>
          <w:rFonts w:ascii="Traditional Arabic" w:hAnsi="Traditional Arabic"/>
          <w:rtl/>
        </w:rPr>
        <w:t xml:space="preserve">قوله تعالى: </w:t>
      </w:r>
      <w:r w:rsidRPr="00DC21B6">
        <w:rPr>
          <w:rFonts w:ascii="QCF_BSML" w:hAnsi="QCF_BSML" w:cs="QCF_BSML"/>
          <w:sz w:val="32"/>
          <w:szCs w:val="32"/>
          <w:rtl/>
          <w:lang w:eastAsia="en-US"/>
        </w:rPr>
        <w:t>ﭽ</w:t>
      </w:r>
      <w:r w:rsidRPr="00DC21B6">
        <w:rPr>
          <w:rFonts w:ascii="QCF_P298" w:hAnsi="QCF_P298" w:cs="QCF_P298"/>
          <w:color w:val="auto"/>
          <w:sz w:val="32"/>
          <w:szCs w:val="32"/>
          <w:rtl/>
          <w:lang w:eastAsia="en-US"/>
        </w:rPr>
        <w:t>ﯹ   ﯺ  ﯻ</w:t>
      </w:r>
      <w:r w:rsidRPr="00DC21B6">
        <w:rPr>
          <w:rFonts w:ascii="QCF_BSML" w:hAnsi="QCF_BSML" w:cs="QCF_BSML"/>
          <w:sz w:val="32"/>
          <w:szCs w:val="32"/>
          <w:rtl/>
          <w:lang w:eastAsia="en-US"/>
        </w:rPr>
        <w:t>ﭼ</w:t>
      </w:r>
      <w:r w:rsidRPr="00DC21B6">
        <w:rPr>
          <w:rFonts w:ascii="Traditional Arabic" w:hAnsi="Traditional Arabic"/>
          <w:rtl/>
        </w:rPr>
        <w:t xml:space="preserve"> أي: هو أفضل ثواباً ممن يُرجى ثوابه، وهذا على تقدير أنه لو كان غيره يثيب لكان ثوابه أفضل</w:t>
      </w:r>
      <w:r w:rsidRPr="00DC21B6">
        <w:rPr>
          <w:vertAlign w:val="superscript"/>
          <w:rtl/>
        </w:rPr>
        <w:t>(</w:t>
      </w:r>
      <w:r w:rsidRPr="00DC21B6">
        <w:rPr>
          <w:vertAlign w:val="superscript"/>
          <w:rtl/>
        </w:rPr>
        <w:footnoteReference w:id="1408"/>
      </w:r>
      <w:r w:rsidRPr="00DC21B6">
        <w:rPr>
          <w:vertAlign w:val="superscript"/>
          <w:rtl/>
        </w:rPr>
        <w:t>)</w:t>
      </w:r>
      <w:r w:rsidRPr="00DC21B6">
        <w:rPr>
          <w:rFonts w:ascii="Traditional Arabic" w:hAnsi="Traditional Arabic"/>
          <w:rtl/>
        </w:rPr>
        <w:t xml:space="preserve">. قوله تعالى: </w:t>
      </w:r>
      <w:r w:rsidRPr="00DC21B6">
        <w:rPr>
          <w:rFonts w:ascii="QCF_BSML" w:hAnsi="QCF_BSML" w:cs="QCF_BSML"/>
          <w:sz w:val="32"/>
          <w:szCs w:val="32"/>
          <w:rtl/>
          <w:lang w:eastAsia="en-US"/>
        </w:rPr>
        <w:t>ﭽ</w:t>
      </w:r>
      <w:r w:rsidRPr="00DC21B6">
        <w:rPr>
          <w:rFonts w:ascii="QCF_P298" w:hAnsi="QCF_P298" w:cs="QCF_P298"/>
          <w:color w:val="auto"/>
          <w:sz w:val="32"/>
          <w:szCs w:val="32"/>
          <w:rtl/>
          <w:lang w:eastAsia="en-US"/>
        </w:rPr>
        <w:t>ﯼ  ﯽ</w:t>
      </w:r>
      <w:r w:rsidRPr="00DC21B6">
        <w:rPr>
          <w:rFonts w:ascii="QCF_BSML" w:hAnsi="QCF_BSML" w:cs="QCF_BSML"/>
          <w:sz w:val="32"/>
          <w:szCs w:val="32"/>
          <w:rtl/>
          <w:lang w:eastAsia="en-US"/>
        </w:rPr>
        <w:t>ﭼ</w:t>
      </w:r>
      <w:r w:rsidRPr="00DC21B6">
        <w:rPr>
          <w:rFonts w:ascii="Traditional Arabic" w:hAnsi="Traditional Arabic"/>
          <w:rtl/>
        </w:rPr>
        <w:t xml:space="preserve"> قرأ ابن كثير ونافع وأبو عمرو وابن عامر والكسائي: «عُقُباً» مضمومة القاف. وقرأ عاصم وحمزة: «عُقْباً» ساكنة القاف</w:t>
      </w:r>
      <w:r w:rsidRPr="00DC21B6">
        <w:rPr>
          <w:vertAlign w:val="superscript"/>
          <w:rtl/>
        </w:rPr>
        <w:t>(</w:t>
      </w:r>
      <w:r w:rsidRPr="00DC21B6">
        <w:rPr>
          <w:vertAlign w:val="superscript"/>
          <w:rtl/>
        </w:rPr>
        <w:footnoteReference w:id="1409"/>
      </w:r>
      <w:r w:rsidRPr="00DC21B6">
        <w:rPr>
          <w:vertAlign w:val="superscript"/>
          <w:rtl/>
        </w:rPr>
        <w:t>)</w:t>
      </w:r>
      <w:r w:rsidRPr="00DC21B6">
        <w:rPr>
          <w:rFonts w:ascii="Traditional Arabic" w:hAnsi="Traditional Arabic"/>
          <w:rtl/>
        </w:rPr>
        <w:t xml:space="preserve">. قال أبو علي: ما كان </w:t>
      </w:r>
      <w:r w:rsidRPr="00DC21B6">
        <w:rPr>
          <w:rFonts w:ascii="Traditional Arabic" w:hAnsi="Traditional Arabic" w:hint="cs"/>
          <w:rtl/>
        </w:rPr>
        <w:t>[</w:t>
      </w:r>
      <w:r w:rsidRPr="00DC21B6">
        <w:rPr>
          <w:rFonts w:ascii="Traditional Arabic" w:hAnsi="Traditional Arabic"/>
          <w:rtl/>
        </w:rPr>
        <w:t>على</w:t>
      </w:r>
      <w:r w:rsidRPr="00DC21B6">
        <w:rPr>
          <w:rFonts w:ascii="Traditional Arabic" w:hAnsi="Traditional Arabic" w:hint="cs"/>
          <w:rtl/>
        </w:rPr>
        <w:t>]</w:t>
      </w:r>
      <w:r w:rsidRPr="00DC21B6">
        <w:rPr>
          <w:vertAlign w:val="superscript"/>
          <w:rtl/>
        </w:rPr>
        <w:t>(</w:t>
      </w:r>
      <w:r w:rsidRPr="00DC21B6">
        <w:rPr>
          <w:vertAlign w:val="superscript"/>
          <w:rtl/>
        </w:rPr>
        <w:footnoteReference w:id="1410"/>
      </w:r>
      <w:r w:rsidRPr="00DC21B6">
        <w:rPr>
          <w:vertAlign w:val="superscript"/>
          <w:rtl/>
        </w:rPr>
        <w:t>)</w:t>
      </w:r>
      <w:r w:rsidRPr="00DC21B6">
        <w:rPr>
          <w:rFonts w:ascii="Traditional Arabic" w:hAnsi="Traditional Arabic"/>
          <w:rtl/>
        </w:rPr>
        <w:t>«فُعُل» جاز تخفيفه، كالعُنُق والطُّنُب</w:t>
      </w:r>
      <w:r w:rsidRPr="00DC21B6">
        <w:rPr>
          <w:vertAlign w:val="superscript"/>
          <w:rtl/>
        </w:rPr>
        <w:t>(</w:t>
      </w:r>
      <w:r w:rsidRPr="00DC21B6">
        <w:rPr>
          <w:vertAlign w:val="superscript"/>
          <w:rtl/>
        </w:rPr>
        <w:footnoteReference w:id="1411"/>
      </w:r>
      <w:r w:rsidRPr="00DC21B6">
        <w:rPr>
          <w:vertAlign w:val="superscript"/>
          <w:rtl/>
        </w:rPr>
        <w:t>)</w:t>
      </w:r>
      <w:r w:rsidRPr="00DC21B6">
        <w:rPr>
          <w:rFonts w:ascii="Traditional Arabic" w:hAnsi="Traditional Arabic"/>
          <w:rtl/>
        </w:rPr>
        <w:t>. قال أبو عبيدة: العُقُب والعُقْب والعُقْبى والعاقبة، بمعنى:</w:t>
      </w:r>
      <w:r w:rsidRPr="00DC21B6">
        <w:rPr>
          <w:rFonts w:ascii="Traditional Arabic" w:hAnsi="Traditional Arabic" w:hint="cs"/>
          <w:rtl/>
        </w:rPr>
        <w:t xml:space="preserve"> </w:t>
      </w:r>
      <w:r w:rsidRPr="00DC21B6">
        <w:rPr>
          <w:rFonts w:ascii="Traditional Arabic" w:hAnsi="Traditional Arabic"/>
          <w:rtl/>
        </w:rPr>
        <w:t>وهي الآخرة، والمعنى عاقبة طاعة الله خير من عاقبة طاعة غيره</w:t>
      </w:r>
      <w:r w:rsidRPr="00DC21B6">
        <w:rPr>
          <w:vertAlign w:val="superscript"/>
          <w:rtl/>
        </w:rPr>
        <w:t>(</w:t>
      </w:r>
      <w:r w:rsidRPr="00DC21B6">
        <w:rPr>
          <w:vertAlign w:val="superscript"/>
          <w:rtl/>
        </w:rPr>
        <w:footnoteReference w:id="1412"/>
      </w:r>
      <w:r w:rsidRPr="00DC21B6">
        <w:rPr>
          <w:vertAlign w:val="superscript"/>
          <w:rtl/>
        </w:rPr>
        <w:t>)</w:t>
      </w:r>
      <w:r w:rsidRPr="00DC21B6">
        <w:rPr>
          <w:rFonts w:ascii="Traditional Arabic" w:hAnsi="Traditional Arabic"/>
          <w:rtl/>
        </w:rPr>
        <w:t>.</w:t>
      </w:r>
    </w:p>
    <w:p w:rsidR="00DC21B6" w:rsidRPr="00DC21B6" w:rsidRDefault="00DC21B6" w:rsidP="00DC21B6">
      <w:pPr>
        <w:ind w:firstLine="0"/>
        <w:rPr>
          <w:rFonts w:ascii="Traditional Arabic" w:hAnsi="Traditional Arabic"/>
          <w:rtl/>
        </w:rPr>
      </w:pPr>
      <w:r w:rsidRPr="00DC21B6">
        <w:rPr>
          <w:rFonts w:ascii="QCF_BSML" w:hAnsi="QCF_BSML" w:cs="QCF_BSML"/>
          <w:sz w:val="32"/>
          <w:szCs w:val="32"/>
          <w:rtl/>
          <w:lang w:eastAsia="en-US"/>
        </w:rPr>
        <w:lastRenderedPageBreak/>
        <w:t xml:space="preserve">ﭽ </w:t>
      </w:r>
      <w:r w:rsidRPr="00DC21B6">
        <w:rPr>
          <w:rFonts w:ascii="QCF_P298" w:hAnsi="QCF_P298" w:cs="QCF_P298"/>
          <w:sz w:val="32"/>
          <w:szCs w:val="32"/>
          <w:rtl/>
          <w:lang w:eastAsia="en-US"/>
        </w:rPr>
        <w:t xml:space="preserve">ﯿ  ﰀ  ﰁ  ﰂ    ﰃ  ﰄ    ﰅ  ﰆ  ﰇ  ﰈ  ﰉ  ﰊ  ﰋ   ﰌ  ﰍ  </w:t>
      </w:r>
      <w:r w:rsidRPr="00DC21B6">
        <w:rPr>
          <w:rFonts w:ascii="QCF_P298" w:hAnsi="QCF_P298" w:cs="QCF_P298"/>
          <w:color w:val="auto"/>
          <w:sz w:val="32"/>
          <w:szCs w:val="32"/>
          <w:rtl/>
          <w:lang w:eastAsia="en-US"/>
        </w:rPr>
        <w:t>ﰎ  ﰏﰐ</w:t>
      </w:r>
      <w:r w:rsidRPr="00DC21B6">
        <w:rPr>
          <w:rFonts w:ascii="QCF_P298" w:hAnsi="QCF_P298" w:cs="QCF_P298"/>
          <w:sz w:val="32"/>
          <w:szCs w:val="32"/>
          <w:rtl/>
          <w:lang w:eastAsia="en-US"/>
        </w:rPr>
        <w:t xml:space="preserve">  ﰑ  ﰒ  ﰓ  ﰔ   ﰕ  ﰖ  ﰗ   </w:t>
      </w:r>
      <w:r w:rsidRPr="00DC21B6">
        <w:rPr>
          <w:rFonts w:ascii="QCF_BSML" w:hAnsi="QCF_BSML" w:cs="QCF_BSML"/>
          <w:sz w:val="32"/>
          <w:szCs w:val="32"/>
          <w:rtl/>
          <w:lang w:eastAsia="en-US"/>
        </w:rPr>
        <w:t>ﭼ</w:t>
      </w:r>
      <w:r w:rsidRPr="00DC21B6">
        <w:rPr>
          <w:rFonts w:ascii="Arial" w:hAnsi="Arial" w:cs="Arial"/>
          <w:sz w:val="18"/>
          <w:szCs w:val="18"/>
          <w:rtl/>
          <w:lang w:eastAsia="en-US"/>
        </w:rPr>
        <w:t xml:space="preserve"> </w:t>
      </w:r>
      <w:r w:rsidRPr="00DC21B6">
        <w:rPr>
          <w:rFonts w:ascii="Traditional Arabic" w:hAnsi="Traditional Arabic"/>
          <w:rtl/>
        </w:rPr>
        <w:t xml:space="preserve">قوله تعالى: </w:t>
      </w:r>
      <w:r w:rsidRPr="00DC21B6">
        <w:rPr>
          <w:rFonts w:ascii="QCF_BSML" w:hAnsi="QCF_BSML" w:cs="QCF_BSML"/>
          <w:sz w:val="32"/>
          <w:szCs w:val="32"/>
          <w:rtl/>
          <w:lang w:eastAsia="en-US"/>
        </w:rPr>
        <w:t xml:space="preserve">ﭽ </w:t>
      </w:r>
      <w:r w:rsidRPr="00DC21B6">
        <w:rPr>
          <w:rFonts w:ascii="QCF_P298" w:hAnsi="QCF_P298" w:cs="QCF_P298"/>
          <w:sz w:val="32"/>
          <w:szCs w:val="32"/>
          <w:rtl/>
          <w:lang w:eastAsia="en-US"/>
        </w:rPr>
        <w:t>ﯿ  ﰀ  ﰁ  ﰂ    ﰃ</w:t>
      </w:r>
      <w:r w:rsidRPr="00DC21B6">
        <w:rPr>
          <w:rFonts w:ascii="QCF_BSML" w:hAnsi="QCF_BSML" w:cs="QCF_BSML"/>
          <w:sz w:val="32"/>
          <w:szCs w:val="32"/>
          <w:rtl/>
          <w:lang w:eastAsia="en-US"/>
        </w:rPr>
        <w:t xml:space="preserve"> ﭼ</w:t>
      </w:r>
      <w:r w:rsidRPr="00DC21B6">
        <w:rPr>
          <w:rFonts w:ascii="QCF_P298" w:hAnsi="QCF_P298" w:cs="QCF_P298"/>
          <w:sz w:val="32"/>
          <w:szCs w:val="32"/>
          <w:rtl/>
          <w:lang w:eastAsia="en-US"/>
        </w:rPr>
        <w:t xml:space="preserve">  </w:t>
      </w:r>
      <w:r w:rsidRPr="00DC21B6">
        <w:rPr>
          <w:rFonts w:ascii="Traditional Arabic" w:hAnsi="Traditional Arabic"/>
          <w:rtl/>
        </w:rPr>
        <w:t>أي: في سرعة نفادها وذهابها، وقيل: في تصرُّف أحوالها، إِذ مع كلِّ فرحة تَرْحة</w:t>
      </w:r>
      <w:r w:rsidRPr="00DC21B6">
        <w:rPr>
          <w:vertAlign w:val="superscript"/>
          <w:rtl/>
        </w:rPr>
        <w:t>(</w:t>
      </w:r>
      <w:r w:rsidRPr="00DC21B6">
        <w:rPr>
          <w:vertAlign w:val="superscript"/>
          <w:rtl/>
        </w:rPr>
        <w:footnoteReference w:id="1413"/>
      </w:r>
      <w:r w:rsidRPr="00DC21B6">
        <w:rPr>
          <w:vertAlign w:val="superscript"/>
          <w:rtl/>
        </w:rPr>
        <w:t>)</w:t>
      </w:r>
      <w:r w:rsidRPr="00DC21B6">
        <w:rPr>
          <w:rFonts w:ascii="Traditional Arabic" w:hAnsi="Traditional Arabic"/>
          <w:rtl/>
        </w:rPr>
        <w:t>، وهذا مفسر في سورة يونس</w:t>
      </w:r>
      <w:r w:rsidRPr="00DC21B6">
        <w:rPr>
          <w:vertAlign w:val="superscript"/>
          <w:rtl/>
        </w:rPr>
        <w:t>(</w:t>
      </w:r>
      <w:r w:rsidRPr="00DC21B6">
        <w:rPr>
          <w:vertAlign w:val="superscript"/>
          <w:rtl/>
        </w:rPr>
        <w:footnoteReference w:id="1414"/>
      </w:r>
      <w:r w:rsidRPr="00DC21B6">
        <w:rPr>
          <w:vertAlign w:val="superscript"/>
          <w:rtl/>
        </w:rPr>
        <w:t>)</w:t>
      </w:r>
      <w:r w:rsidRPr="00DC21B6">
        <w:rPr>
          <w:rFonts w:ascii="Traditional Arabic" w:hAnsi="Traditional Arabic"/>
          <w:rtl/>
        </w:rPr>
        <w:t>إِلى قوله:</w:t>
      </w:r>
      <w:r w:rsidRPr="00DC21B6">
        <w:rPr>
          <w:rFonts w:ascii="QCF_BSML" w:hAnsi="QCF_BSML" w:cs="QCF_BSML"/>
          <w:sz w:val="32"/>
          <w:szCs w:val="32"/>
          <w:rtl/>
          <w:lang w:eastAsia="en-US"/>
        </w:rPr>
        <w:t xml:space="preserve"> ﭽ</w:t>
      </w:r>
      <w:r w:rsidRPr="00DC21B6">
        <w:rPr>
          <w:rFonts w:ascii="Traditional Arabic" w:hAnsi="Traditional Arabic"/>
          <w:rtl/>
        </w:rPr>
        <w:t xml:space="preserve"> </w:t>
      </w:r>
      <w:r w:rsidRPr="00DC21B6">
        <w:rPr>
          <w:rFonts w:ascii="QCF_P298" w:hAnsi="QCF_P298" w:cs="QCF_P298"/>
          <w:sz w:val="32"/>
          <w:szCs w:val="32"/>
          <w:rtl/>
          <w:lang w:eastAsia="en-US"/>
        </w:rPr>
        <w:t>ﰌ  ﰍ</w:t>
      </w:r>
      <w:r w:rsidRPr="00DC21B6">
        <w:rPr>
          <w:rFonts w:ascii="QCF_BSML" w:hAnsi="QCF_BSML" w:cs="QCF_BSML"/>
          <w:sz w:val="32"/>
          <w:szCs w:val="32"/>
          <w:rtl/>
          <w:lang w:eastAsia="en-US"/>
        </w:rPr>
        <w:t xml:space="preserve"> ﭼ</w:t>
      </w:r>
      <w:r w:rsidRPr="00DC21B6">
        <w:rPr>
          <w:rFonts w:ascii="Traditional Arabic" w:hAnsi="Traditional Arabic" w:hint="cs"/>
          <w:rtl/>
          <w:lang w:eastAsia="en-US"/>
        </w:rPr>
        <w:t>.</w:t>
      </w:r>
      <w:r w:rsidRPr="00DC21B6">
        <w:rPr>
          <w:rFonts w:ascii="Traditional Arabic" w:hAnsi="Traditional Arabic"/>
          <w:rtl/>
        </w:rPr>
        <w:t xml:space="preserve"> قال الفراء: الهشيم: كل شيء كان رطباً فيبس</w:t>
      </w:r>
      <w:r w:rsidRPr="00DC21B6">
        <w:rPr>
          <w:vertAlign w:val="superscript"/>
          <w:rtl/>
        </w:rPr>
        <w:t>(</w:t>
      </w:r>
      <w:r w:rsidRPr="00DC21B6">
        <w:rPr>
          <w:vertAlign w:val="superscript"/>
          <w:rtl/>
        </w:rPr>
        <w:footnoteReference w:id="1415"/>
      </w:r>
      <w:r w:rsidRPr="00DC21B6">
        <w:rPr>
          <w:vertAlign w:val="superscript"/>
          <w:rtl/>
        </w:rPr>
        <w:t>)</w:t>
      </w:r>
      <w:r w:rsidRPr="00DC21B6">
        <w:rPr>
          <w:rFonts w:ascii="Traditional Arabic" w:hAnsi="Traditional Arabic"/>
          <w:rtl/>
        </w:rPr>
        <w:t>. وقال الزجاج: الهشيم: النبات الجافّ</w:t>
      </w:r>
      <w:r w:rsidRPr="00DC21B6">
        <w:rPr>
          <w:vertAlign w:val="superscript"/>
          <w:rtl/>
        </w:rPr>
        <w:t>(</w:t>
      </w:r>
      <w:r w:rsidRPr="00DC21B6">
        <w:rPr>
          <w:vertAlign w:val="superscript"/>
          <w:rtl/>
        </w:rPr>
        <w:footnoteReference w:id="1416"/>
      </w:r>
      <w:r w:rsidRPr="00DC21B6">
        <w:rPr>
          <w:vertAlign w:val="superscript"/>
          <w:rtl/>
        </w:rPr>
        <w:t>)</w:t>
      </w:r>
      <w:r w:rsidRPr="00DC21B6">
        <w:rPr>
          <w:rFonts w:ascii="Traditional Arabic" w:hAnsi="Traditional Arabic"/>
          <w:rtl/>
        </w:rPr>
        <w:t>. وقال ابن قتيبة:</w:t>
      </w:r>
      <w:r w:rsidRPr="00DC21B6">
        <w:rPr>
          <w:rFonts w:ascii="Traditional Arabic" w:hAnsi="Traditional Arabic" w:hint="cs"/>
          <w:rtl/>
        </w:rPr>
        <w:t xml:space="preserve"> </w:t>
      </w:r>
      <w:r w:rsidRPr="00DC21B6">
        <w:rPr>
          <w:rFonts w:ascii="Traditional Arabic" w:hAnsi="Traditional Arabic"/>
          <w:rtl/>
        </w:rPr>
        <w:t>الهشيم من النبت المتفتِّت، وأصله من هَشَمْتُ الشيء: إِذا كسرتَه، ومنه سمّي الرجل هاشما.</w:t>
      </w:r>
      <w:r w:rsidRPr="00DC21B6">
        <w:rPr>
          <w:rFonts w:ascii="Traditional Arabic" w:hAnsi="Traditional Arabic" w:hint="cs"/>
          <w:rtl/>
        </w:rPr>
        <w:t xml:space="preserve"> </w:t>
      </w:r>
      <w:r w:rsidRPr="00DC21B6">
        <w:rPr>
          <w:rFonts w:ascii="QCF_BSML" w:hAnsi="QCF_BSML" w:cs="QCF_BSML"/>
          <w:sz w:val="32"/>
          <w:szCs w:val="32"/>
          <w:rtl/>
          <w:lang w:eastAsia="en-US"/>
        </w:rPr>
        <w:t>ﭽ</w:t>
      </w:r>
      <w:r w:rsidRPr="00DC21B6">
        <w:rPr>
          <w:rFonts w:ascii="QCF_P298" w:hAnsi="QCF_P298" w:cs="QCF_P298"/>
          <w:color w:val="auto"/>
          <w:sz w:val="32"/>
          <w:szCs w:val="32"/>
          <w:rtl/>
          <w:lang w:eastAsia="en-US"/>
        </w:rPr>
        <w:t xml:space="preserve"> ﰎ  ﰏﰐ</w:t>
      </w:r>
      <w:r w:rsidRPr="00DC21B6">
        <w:rPr>
          <w:rFonts w:ascii="QCF_BSML" w:hAnsi="QCF_BSML" w:cs="QCF_BSML"/>
          <w:sz w:val="32"/>
          <w:szCs w:val="32"/>
          <w:rtl/>
          <w:lang w:eastAsia="en-US"/>
        </w:rPr>
        <w:t xml:space="preserve"> ﭼ</w:t>
      </w:r>
      <w:r w:rsidRPr="00DC21B6">
        <w:rPr>
          <w:rFonts w:ascii="QCF_P298" w:hAnsi="QCF_P298" w:cs="QCF_P298"/>
          <w:sz w:val="32"/>
          <w:szCs w:val="32"/>
          <w:rtl/>
          <w:lang w:eastAsia="en-US"/>
        </w:rPr>
        <w:t xml:space="preserve">    </w:t>
      </w:r>
      <w:r w:rsidRPr="00DC21B6">
        <w:rPr>
          <w:rFonts w:ascii="Traditional Arabic" w:hAnsi="Traditional Arabic"/>
          <w:rtl/>
        </w:rPr>
        <w:t>تنسفه</w:t>
      </w:r>
      <w:r w:rsidRPr="00DC21B6">
        <w:rPr>
          <w:vertAlign w:val="superscript"/>
          <w:rtl/>
        </w:rPr>
        <w:t>(</w:t>
      </w:r>
      <w:r w:rsidRPr="00DC21B6">
        <w:rPr>
          <w:vertAlign w:val="superscript"/>
          <w:rtl/>
        </w:rPr>
        <w:footnoteReference w:id="1417"/>
      </w:r>
      <w:r w:rsidRPr="00DC21B6">
        <w:rPr>
          <w:vertAlign w:val="superscript"/>
          <w:rtl/>
        </w:rPr>
        <w:t>)</w:t>
      </w:r>
      <w:r w:rsidRPr="00DC21B6">
        <w:rPr>
          <w:rFonts w:ascii="Traditional Arabic" w:hAnsi="Traditional Arabic"/>
          <w:rtl/>
        </w:rPr>
        <w:t>. وقرأ أُبيّ وابن عباس وابن أبي عبلة: «تُذْرِيْهِ» برفع التاء وكسر الراء بعدها ياء ساكنة وهاء مكسورة</w:t>
      </w:r>
      <w:r w:rsidRPr="00DC21B6">
        <w:rPr>
          <w:vertAlign w:val="superscript"/>
          <w:rtl/>
        </w:rPr>
        <w:t>(</w:t>
      </w:r>
      <w:r w:rsidRPr="00DC21B6">
        <w:rPr>
          <w:vertAlign w:val="superscript"/>
          <w:rtl/>
        </w:rPr>
        <w:footnoteReference w:id="1418"/>
      </w:r>
      <w:r w:rsidRPr="00DC21B6">
        <w:rPr>
          <w:vertAlign w:val="superscript"/>
          <w:rtl/>
        </w:rPr>
        <w:t>)</w:t>
      </w:r>
      <w:r w:rsidRPr="00DC21B6">
        <w:rPr>
          <w:rFonts w:ascii="Traditional Arabic" w:hAnsi="Traditional Arabic"/>
          <w:rtl/>
        </w:rPr>
        <w:t>. وقرأ ابن مسعود كذلك، إِلا أنه فتح التاء</w:t>
      </w:r>
      <w:r w:rsidRPr="00DC21B6">
        <w:rPr>
          <w:vertAlign w:val="superscript"/>
          <w:rtl/>
        </w:rPr>
        <w:t>(</w:t>
      </w:r>
      <w:r w:rsidRPr="00DC21B6">
        <w:rPr>
          <w:vertAlign w:val="superscript"/>
          <w:rtl/>
        </w:rPr>
        <w:footnoteReference w:id="1419"/>
      </w:r>
      <w:r w:rsidRPr="00DC21B6">
        <w:rPr>
          <w:vertAlign w:val="superscript"/>
          <w:rtl/>
        </w:rPr>
        <w:t>)</w:t>
      </w:r>
      <w:r w:rsidRPr="00DC21B6">
        <w:rPr>
          <w:rFonts w:ascii="Traditional Arabic" w:hAnsi="Traditional Arabic"/>
          <w:rtl/>
        </w:rPr>
        <w:t xml:space="preserve">. والمقْتَدِر: مُفْتَعِل من قَدَرْتُ. قال المفسرون: </w:t>
      </w:r>
      <w:r w:rsidRPr="00DC21B6">
        <w:rPr>
          <w:rFonts w:ascii="QCF_BSML" w:hAnsi="QCF_BSML" w:cs="QCF_BSML"/>
          <w:sz w:val="32"/>
          <w:szCs w:val="32"/>
          <w:rtl/>
          <w:lang w:eastAsia="en-US"/>
        </w:rPr>
        <w:t>ﭽ</w:t>
      </w:r>
      <w:r w:rsidRPr="00DC21B6">
        <w:rPr>
          <w:rFonts w:ascii="QCF_P298" w:hAnsi="QCF_P298" w:cs="QCF_P298"/>
          <w:sz w:val="32"/>
          <w:szCs w:val="32"/>
          <w:rtl/>
          <w:lang w:eastAsia="en-US"/>
        </w:rPr>
        <w:t xml:space="preserve"> ﰑ  ﰒ  ﰓ  ﰔ   ﰕ </w:t>
      </w:r>
      <w:r w:rsidRPr="00DC21B6">
        <w:rPr>
          <w:rFonts w:ascii="QCF_BSML" w:hAnsi="QCF_BSML" w:cs="QCF_BSML"/>
          <w:sz w:val="32"/>
          <w:szCs w:val="32"/>
          <w:rtl/>
          <w:lang w:eastAsia="en-US"/>
        </w:rPr>
        <w:t>ﭼ</w:t>
      </w:r>
      <w:r w:rsidRPr="00DC21B6">
        <w:rPr>
          <w:rFonts w:ascii="QCF_P298" w:hAnsi="QCF_P298" w:cs="QCF_P298"/>
          <w:sz w:val="32"/>
          <w:szCs w:val="32"/>
          <w:rtl/>
          <w:lang w:eastAsia="en-US"/>
        </w:rPr>
        <w:t xml:space="preserve"> </w:t>
      </w:r>
      <w:r w:rsidRPr="00DC21B6">
        <w:rPr>
          <w:rFonts w:ascii="Traditional Arabic" w:hAnsi="Traditional Arabic" w:hint="cs"/>
          <w:rtl/>
        </w:rPr>
        <w:t xml:space="preserve"> </w:t>
      </w:r>
      <w:r w:rsidRPr="00DC21B6">
        <w:rPr>
          <w:rFonts w:ascii="Traditional Arabic" w:hAnsi="Traditional Arabic"/>
          <w:rtl/>
        </w:rPr>
        <w:t xml:space="preserve">من الإِنشاء والإِفناء </w:t>
      </w:r>
      <w:r w:rsidRPr="00DC21B6">
        <w:rPr>
          <w:rFonts w:ascii="QCF_BSML" w:hAnsi="QCF_BSML" w:cs="QCF_BSML"/>
          <w:sz w:val="32"/>
          <w:szCs w:val="32"/>
          <w:rtl/>
          <w:lang w:eastAsia="en-US"/>
        </w:rPr>
        <w:t>ﭽ</w:t>
      </w:r>
      <w:r w:rsidRPr="00DC21B6">
        <w:rPr>
          <w:rFonts w:ascii="QCF_P298" w:hAnsi="QCF_P298" w:cs="QCF_P298"/>
          <w:sz w:val="32"/>
          <w:szCs w:val="32"/>
          <w:rtl/>
          <w:lang w:eastAsia="en-US"/>
        </w:rPr>
        <w:t xml:space="preserve"> ﰖ</w:t>
      </w:r>
      <w:r w:rsidRPr="00DC21B6">
        <w:rPr>
          <w:rFonts w:ascii="QCF_BSML" w:hAnsi="QCF_BSML" w:cs="QCF_BSML"/>
          <w:sz w:val="32"/>
          <w:szCs w:val="32"/>
          <w:rtl/>
          <w:lang w:eastAsia="en-US"/>
        </w:rPr>
        <w:t xml:space="preserve"> ﭼ</w:t>
      </w:r>
      <w:r w:rsidRPr="00DC21B6">
        <w:rPr>
          <w:vertAlign w:val="superscript"/>
          <w:rtl/>
        </w:rPr>
        <w:t>(</w:t>
      </w:r>
      <w:r w:rsidRPr="00DC21B6">
        <w:rPr>
          <w:vertAlign w:val="superscript"/>
          <w:rtl/>
        </w:rPr>
        <w:footnoteReference w:id="1420"/>
      </w:r>
      <w:r w:rsidRPr="00DC21B6">
        <w:rPr>
          <w:vertAlign w:val="superscript"/>
          <w:rtl/>
        </w:rPr>
        <w:t>)</w:t>
      </w:r>
      <w:r w:rsidRPr="00DC21B6">
        <w:rPr>
          <w:rFonts w:ascii="Traditional Arabic" w:hAnsi="Traditional Arabic" w:hint="cs"/>
          <w:rtl/>
          <w:lang w:eastAsia="en-US"/>
        </w:rPr>
        <w:t>.</w:t>
      </w:r>
    </w:p>
    <w:p w:rsidR="00DC21B6" w:rsidRPr="00DC21B6" w:rsidRDefault="00DC21B6" w:rsidP="00DC21B6">
      <w:pPr>
        <w:ind w:firstLine="0"/>
        <w:rPr>
          <w:rFonts w:ascii="Traditional Arabic" w:hAnsi="Traditional Arabic"/>
          <w:rtl/>
        </w:rPr>
      </w:pPr>
      <w:r w:rsidRPr="00DC21B6">
        <w:rPr>
          <w:rFonts w:ascii="QCF_BSML" w:hAnsi="QCF_BSML" w:cs="QCF_BSML"/>
          <w:color w:val="auto"/>
          <w:sz w:val="32"/>
          <w:szCs w:val="32"/>
          <w:rtl/>
          <w:lang w:eastAsia="en-US"/>
        </w:rPr>
        <w:t xml:space="preserve">ﭽ </w:t>
      </w:r>
      <w:r w:rsidRPr="00DC21B6">
        <w:rPr>
          <w:rFonts w:ascii="QCF_P299" w:hAnsi="QCF_P299" w:cs="QCF_P299"/>
          <w:color w:val="auto"/>
          <w:sz w:val="32"/>
          <w:szCs w:val="32"/>
          <w:rtl/>
          <w:lang w:eastAsia="en-US"/>
        </w:rPr>
        <w:t xml:space="preserve">ﭑ  ﭒ  ﭓ  ﭔ  ﭕﭖ  ﭗ  ﭘ   ﭙ  ﭚ   ﭛ  ﭜ  ﭝ  ﭞ  ﭟ  </w:t>
      </w:r>
      <w:r w:rsidRPr="00DC21B6">
        <w:rPr>
          <w:rFonts w:ascii="QCF_BSML" w:hAnsi="QCF_BSML" w:cs="QCF_BSML"/>
          <w:color w:val="auto"/>
          <w:sz w:val="32"/>
          <w:szCs w:val="32"/>
          <w:rtl/>
          <w:lang w:eastAsia="en-US"/>
        </w:rPr>
        <w:t>ﭼ</w:t>
      </w:r>
      <w:r w:rsidRPr="00DC21B6">
        <w:rPr>
          <w:rFonts w:ascii="Arial" w:hAnsi="Arial" w:cs="Arial"/>
          <w:color w:val="auto"/>
          <w:sz w:val="32"/>
          <w:szCs w:val="32"/>
          <w:rtl/>
          <w:lang w:eastAsia="en-US"/>
        </w:rPr>
        <w:t xml:space="preserve"> </w:t>
      </w:r>
    </w:p>
    <w:p w:rsidR="00DC21B6" w:rsidRPr="00DC21B6" w:rsidRDefault="00DC21B6" w:rsidP="00DC21B6">
      <w:pPr>
        <w:ind w:firstLine="0"/>
        <w:rPr>
          <w:rFonts w:ascii="Traditional Arabic" w:hAnsi="Traditional Arabic"/>
          <w:rtl/>
        </w:rPr>
      </w:pPr>
      <w:r w:rsidRPr="00DC21B6">
        <w:rPr>
          <w:rFonts w:ascii="Traditional Arabic" w:hAnsi="Traditional Arabic"/>
          <w:rtl/>
        </w:rPr>
        <w:t xml:space="preserve">قوله تعالى: </w:t>
      </w:r>
      <w:r w:rsidRPr="00DC21B6">
        <w:rPr>
          <w:rFonts w:ascii="QCF_BSML" w:hAnsi="QCF_BSML" w:cs="QCF_BSML"/>
          <w:color w:val="auto"/>
          <w:sz w:val="32"/>
          <w:szCs w:val="32"/>
          <w:rtl/>
          <w:lang w:eastAsia="en-US"/>
        </w:rPr>
        <w:t xml:space="preserve">ﭽ </w:t>
      </w:r>
      <w:r w:rsidRPr="00DC21B6">
        <w:rPr>
          <w:rFonts w:ascii="QCF_P299" w:hAnsi="QCF_P299" w:cs="QCF_P299"/>
          <w:color w:val="auto"/>
          <w:sz w:val="32"/>
          <w:szCs w:val="32"/>
          <w:rtl/>
          <w:lang w:eastAsia="en-US"/>
        </w:rPr>
        <w:t>ﭑ  ﭒ  ﭓ  ﭔ  ﭕ</w:t>
      </w:r>
      <w:r w:rsidRPr="00DC21B6">
        <w:rPr>
          <w:rFonts w:ascii="QCF_BSML" w:hAnsi="QCF_BSML" w:cs="QCF_BSML"/>
          <w:color w:val="auto"/>
          <w:sz w:val="32"/>
          <w:szCs w:val="32"/>
          <w:rtl/>
          <w:lang w:eastAsia="en-US"/>
        </w:rPr>
        <w:t xml:space="preserve"> </w:t>
      </w:r>
      <w:r w:rsidRPr="00DC21B6">
        <w:rPr>
          <w:rFonts w:ascii="QCF_P299" w:hAnsi="QCF_P299" w:cs="QCF_P299"/>
          <w:color w:val="auto"/>
          <w:sz w:val="32"/>
          <w:szCs w:val="32"/>
          <w:rtl/>
          <w:lang w:eastAsia="en-US"/>
        </w:rPr>
        <w:t>ﭖ</w:t>
      </w:r>
      <w:r w:rsidRPr="00DC21B6">
        <w:rPr>
          <w:rFonts w:ascii="QCF_BSML" w:hAnsi="QCF_BSML" w:cs="QCF_BSML"/>
          <w:color w:val="auto"/>
          <w:sz w:val="32"/>
          <w:szCs w:val="32"/>
          <w:rtl/>
          <w:lang w:eastAsia="en-US"/>
        </w:rPr>
        <w:t>ﭼ</w:t>
      </w:r>
      <w:r w:rsidRPr="00DC21B6">
        <w:rPr>
          <w:rFonts w:ascii="Traditional Arabic" w:hAnsi="Traditional Arabic"/>
          <w:rtl/>
        </w:rPr>
        <w:t xml:space="preserve"> هذا ردٌّ على المشركين الذين كانوا يفتخرون بالأموال والأولاد، فأخبر الله تعالى أن ذلك مما يُتزيَّن به في الدنيا،</w:t>
      </w:r>
      <w:r w:rsidRPr="00DC21B6">
        <w:rPr>
          <w:rFonts w:ascii="Traditional Arabic" w:hAnsi="Traditional Arabic" w:hint="cs"/>
          <w:rtl/>
        </w:rPr>
        <w:t xml:space="preserve"> </w:t>
      </w:r>
      <w:r w:rsidRPr="00DC21B6">
        <w:rPr>
          <w:rFonts w:ascii="Traditional Arabic" w:hAnsi="Traditional Arabic"/>
          <w:rtl/>
        </w:rPr>
        <w:t xml:space="preserve">مما </w:t>
      </w:r>
      <w:r w:rsidRPr="00DC21B6">
        <w:rPr>
          <w:rFonts w:ascii="Traditional Arabic" w:hAnsi="Traditional Arabic" w:hint="cs"/>
          <w:rtl/>
        </w:rPr>
        <w:t xml:space="preserve">لا </w:t>
      </w:r>
      <w:r w:rsidRPr="00DC21B6">
        <w:rPr>
          <w:rFonts w:ascii="Traditional Arabic" w:hAnsi="Traditional Arabic"/>
          <w:rtl/>
        </w:rPr>
        <w:t>ينفع</w:t>
      </w:r>
      <w:r w:rsidRPr="00DC21B6">
        <w:rPr>
          <w:vertAlign w:val="superscript"/>
          <w:rtl/>
        </w:rPr>
        <w:t>(</w:t>
      </w:r>
      <w:r w:rsidRPr="00DC21B6">
        <w:rPr>
          <w:vertAlign w:val="superscript"/>
          <w:rtl/>
        </w:rPr>
        <w:footnoteReference w:id="1421"/>
      </w:r>
      <w:r w:rsidRPr="00DC21B6">
        <w:rPr>
          <w:vertAlign w:val="superscript"/>
          <w:rtl/>
        </w:rPr>
        <w:t>)</w:t>
      </w:r>
      <w:r w:rsidRPr="00DC21B6">
        <w:rPr>
          <w:rFonts w:ascii="Traditional Arabic" w:hAnsi="Traditional Arabic"/>
          <w:rtl/>
        </w:rPr>
        <w:t xml:space="preserve"> في الآخرة</w:t>
      </w:r>
      <w:r w:rsidRPr="00DC21B6">
        <w:rPr>
          <w:vertAlign w:val="superscript"/>
          <w:rtl/>
        </w:rPr>
        <w:t>(</w:t>
      </w:r>
      <w:r w:rsidRPr="00DC21B6">
        <w:rPr>
          <w:vertAlign w:val="superscript"/>
          <w:rtl/>
        </w:rPr>
        <w:footnoteReference w:id="1422"/>
      </w:r>
      <w:r w:rsidRPr="00DC21B6">
        <w:rPr>
          <w:vertAlign w:val="superscript"/>
          <w:rtl/>
        </w:rPr>
        <w:t>)</w:t>
      </w:r>
      <w:r w:rsidRPr="00DC21B6">
        <w:rPr>
          <w:rFonts w:ascii="Traditional Arabic" w:hAnsi="Traditional Arabic"/>
          <w:rtl/>
        </w:rPr>
        <w:t xml:space="preserve">. قوله تعالى: </w:t>
      </w:r>
      <w:r w:rsidRPr="00DC21B6">
        <w:rPr>
          <w:rFonts w:ascii="QCF_BSML" w:hAnsi="QCF_BSML" w:cs="QCF_BSML"/>
          <w:color w:val="auto"/>
          <w:sz w:val="32"/>
          <w:szCs w:val="32"/>
          <w:rtl/>
          <w:lang w:eastAsia="en-US"/>
        </w:rPr>
        <w:t>ﭽ</w:t>
      </w:r>
      <w:r w:rsidRPr="00DC21B6">
        <w:rPr>
          <w:rFonts w:ascii="QCF_P299" w:hAnsi="QCF_P299" w:cs="QCF_P299"/>
          <w:color w:val="auto"/>
          <w:sz w:val="32"/>
          <w:szCs w:val="32"/>
          <w:rtl/>
          <w:lang w:eastAsia="en-US"/>
        </w:rPr>
        <w:t xml:space="preserve"> ﭗ  ﭘ</w:t>
      </w:r>
      <w:r w:rsidRPr="00DC21B6">
        <w:rPr>
          <w:rFonts w:ascii="QCF_BSML" w:hAnsi="QCF_BSML" w:cs="QCF_BSML"/>
          <w:color w:val="auto"/>
          <w:sz w:val="32"/>
          <w:szCs w:val="32"/>
          <w:rtl/>
          <w:lang w:eastAsia="en-US"/>
        </w:rPr>
        <w:t xml:space="preserve"> ﭼ</w:t>
      </w:r>
      <w:r w:rsidRPr="00DC21B6">
        <w:rPr>
          <w:rFonts w:ascii="QCF_P299" w:hAnsi="QCF_P299" w:cs="QCF_P299"/>
          <w:color w:val="auto"/>
          <w:sz w:val="32"/>
          <w:szCs w:val="32"/>
          <w:rtl/>
          <w:lang w:eastAsia="en-US"/>
        </w:rPr>
        <w:t xml:space="preserve">   </w:t>
      </w:r>
      <w:r w:rsidRPr="00DC21B6">
        <w:rPr>
          <w:rFonts w:ascii="Traditional Arabic" w:hAnsi="Traditional Arabic"/>
          <w:rtl/>
        </w:rPr>
        <w:t xml:space="preserve">فيها خمسة أقوال: أحدها: أنها «سبحان الله، والحمد لله، </w:t>
      </w:r>
      <w:r w:rsidRPr="00DC21B6">
        <w:rPr>
          <w:rFonts w:ascii="Traditional Arabic" w:hAnsi="Traditional Arabic"/>
          <w:rtl/>
        </w:rPr>
        <w:lastRenderedPageBreak/>
        <w:t>ولا إِله إِلا</w:t>
      </w:r>
      <w:r w:rsidRPr="00DC21B6">
        <w:rPr>
          <w:rFonts w:ascii="Traditional Arabic" w:hAnsi="Traditional Arabic" w:hint="cs"/>
          <w:rtl/>
        </w:rPr>
        <w:t xml:space="preserve"> </w:t>
      </w:r>
      <w:r w:rsidRPr="00DC21B6">
        <w:rPr>
          <w:rFonts w:ascii="Traditional Arabic" w:hAnsi="Traditional Arabic"/>
          <w:rtl/>
        </w:rPr>
        <w:t>الله، والله أكبر»</w:t>
      </w:r>
      <w:r w:rsidRPr="00DC21B6">
        <w:rPr>
          <w:vertAlign w:val="superscript"/>
          <w:rtl/>
        </w:rPr>
        <w:t>(</w:t>
      </w:r>
      <w:r w:rsidRPr="00DC21B6">
        <w:rPr>
          <w:vertAlign w:val="superscript"/>
          <w:rtl/>
        </w:rPr>
        <w:footnoteReference w:id="1423"/>
      </w:r>
      <w:r w:rsidRPr="00DC21B6">
        <w:rPr>
          <w:vertAlign w:val="superscript"/>
          <w:rtl/>
        </w:rPr>
        <w:t>)</w:t>
      </w:r>
      <w:r w:rsidRPr="00DC21B6">
        <w:rPr>
          <w:rFonts w:ascii="Traditional Arabic" w:hAnsi="Traditional Arabic" w:hint="cs"/>
          <w:rtl/>
        </w:rPr>
        <w:t xml:space="preserve">. </w:t>
      </w:r>
      <w:r w:rsidRPr="00DC21B6">
        <w:rPr>
          <w:rFonts w:ascii="Traditional Arabic" w:hAnsi="Traditional Arabic"/>
          <w:rtl/>
        </w:rPr>
        <w:t xml:space="preserve">روى أبو هريرة عن رسول الله </w:t>
      </w:r>
      <w:r w:rsidRPr="00DC21B6">
        <w:rPr>
          <w:rFonts w:ascii="Traditional Arabic" w:hAnsi="Traditional Arabic"/>
        </w:rPr>
        <w:t xml:space="preserve"> </w:t>
      </w:r>
      <w:r w:rsidRPr="00DC21B6">
        <w:rPr>
          <w:rFonts w:ascii="Traditional Arabic" w:hAnsi="Traditional Arabic"/>
        </w:rPr>
        <w:sym w:font="AGA Arabesque" w:char="F072"/>
      </w:r>
      <w:r w:rsidRPr="00DC21B6">
        <w:rPr>
          <w:rFonts w:ascii="Traditional Arabic" w:hAnsi="Traditional Arabic"/>
          <w:rtl/>
        </w:rPr>
        <w:t>أنه قال: «إِن عجزتم عن الليل، أن  تكابدوه، وعن العدوِّ أن تجاهدوه، فلا تعجِزوا عن قول: «سبحان الله، والحمد لله، ولا إِله إِلا الله، والله أكبر، فقولوها، فإنَّهن الباقيات الصالحات»</w:t>
      </w:r>
      <w:r w:rsidRPr="00DC21B6">
        <w:rPr>
          <w:vertAlign w:val="superscript"/>
          <w:rtl/>
        </w:rPr>
        <w:t>(</w:t>
      </w:r>
      <w:r w:rsidRPr="00DC21B6">
        <w:rPr>
          <w:vertAlign w:val="superscript"/>
          <w:rtl/>
        </w:rPr>
        <w:footnoteReference w:id="1424"/>
      </w:r>
      <w:r w:rsidRPr="00DC21B6">
        <w:rPr>
          <w:vertAlign w:val="superscript"/>
          <w:rtl/>
        </w:rPr>
        <w:t>)</w:t>
      </w:r>
      <w:r w:rsidRPr="00DC21B6">
        <w:rPr>
          <w:rFonts w:ascii="Traditional Arabic" w:hAnsi="Traditional Arabic" w:hint="cs"/>
          <w:rtl/>
        </w:rPr>
        <w:t>.</w:t>
      </w:r>
      <w:r w:rsidRPr="00DC21B6">
        <w:rPr>
          <w:rFonts w:ascii="Traditional Arabic" w:hAnsi="Traditional Arabic"/>
          <w:rtl/>
        </w:rPr>
        <w:t xml:space="preserve"> </w:t>
      </w:r>
    </w:p>
    <w:p w:rsidR="00DC21B6" w:rsidRPr="00DC21B6" w:rsidRDefault="00DC21B6" w:rsidP="00DC21B6">
      <w:pPr>
        <w:ind w:firstLine="0"/>
        <w:rPr>
          <w:rFonts w:ascii="Traditional Arabic" w:hAnsi="Traditional Arabic"/>
          <w:rtl/>
        </w:rPr>
      </w:pPr>
      <w:r w:rsidRPr="00DC21B6">
        <w:rPr>
          <w:rFonts w:ascii="Traditional Arabic" w:hAnsi="Traditional Arabic"/>
          <w:rtl/>
        </w:rPr>
        <w:t>وهذا قول ابن عباس في رواية عطاء</w:t>
      </w:r>
      <w:r w:rsidRPr="00DC21B6">
        <w:rPr>
          <w:vertAlign w:val="superscript"/>
          <w:rtl/>
        </w:rPr>
        <w:t>(</w:t>
      </w:r>
      <w:r w:rsidRPr="00DC21B6">
        <w:rPr>
          <w:vertAlign w:val="superscript"/>
          <w:rtl/>
        </w:rPr>
        <w:footnoteReference w:id="1425"/>
      </w:r>
      <w:r w:rsidRPr="00DC21B6">
        <w:rPr>
          <w:vertAlign w:val="superscript"/>
          <w:rtl/>
        </w:rPr>
        <w:t>)</w:t>
      </w:r>
      <w:r w:rsidRPr="00DC21B6">
        <w:rPr>
          <w:rFonts w:ascii="Traditional Arabic" w:hAnsi="Traditional Arabic"/>
          <w:rtl/>
        </w:rPr>
        <w:t>، وبه قال مجاهد</w:t>
      </w:r>
      <w:r w:rsidRPr="00DC21B6">
        <w:rPr>
          <w:vertAlign w:val="superscript"/>
          <w:rtl/>
        </w:rPr>
        <w:t>(</w:t>
      </w:r>
      <w:r w:rsidRPr="00DC21B6">
        <w:rPr>
          <w:vertAlign w:val="superscript"/>
          <w:rtl/>
        </w:rPr>
        <w:footnoteReference w:id="1426"/>
      </w:r>
      <w:r w:rsidRPr="00DC21B6">
        <w:rPr>
          <w:vertAlign w:val="superscript"/>
          <w:rtl/>
        </w:rPr>
        <w:t>)</w:t>
      </w:r>
      <w:r w:rsidRPr="00DC21B6">
        <w:rPr>
          <w:rFonts w:ascii="Traditional Arabic" w:hAnsi="Traditional Arabic"/>
          <w:rtl/>
        </w:rPr>
        <w:t>، وعطاء، وعكرمة، والضّحّاك</w:t>
      </w:r>
      <w:r w:rsidRPr="00DC21B6">
        <w:rPr>
          <w:vertAlign w:val="superscript"/>
          <w:rtl/>
        </w:rPr>
        <w:t>(</w:t>
      </w:r>
      <w:r w:rsidRPr="00DC21B6">
        <w:rPr>
          <w:vertAlign w:val="superscript"/>
          <w:rtl/>
        </w:rPr>
        <w:footnoteReference w:id="1427"/>
      </w:r>
      <w:r w:rsidRPr="00DC21B6">
        <w:rPr>
          <w:vertAlign w:val="superscript"/>
          <w:rtl/>
        </w:rPr>
        <w:t>)</w:t>
      </w:r>
      <w:r w:rsidRPr="00DC21B6">
        <w:rPr>
          <w:rFonts w:ascii="Traditional Arabic" w:hAnsi="Traditional Arabic"/>
          <w:rtl/>
        </w:rPr>
        <w:t>. وسئل عثمان بن عفّان</w:t>
      </w:r>
      <w:r w:rsidRPr="00DC21B6">
        <w:rPr>
          <w:vertAlign w:val="superscript"/>
          <w:rtl/>
        </w:rPr>
        <w:t>(</w:t>
      </w:r>
      <w:r w:rsidRPr="00DC21B6">
        <w:rPr>
          <w:vertAlign w:val="superscript"/>
          <w:rtl/>
        </w:rPr>
        <w:footnoteReference w:id="1428"/>
      </w:r>
      <w:r w:rsidRPr="00DC21B6">
        <w:rPr>
          <w:vertAlign w:val="superscript"/>
          <w:rtl/>
        </w:rPr>
        <w:t>)</w:t>
      </w:r>
      <w:r w:rsidRPr="00DC21B6">
        <w:rPr>
          <w:rFonts w:ascii="Traditional Arabic" w:hAnsi="Traditional Arabic"/>
          <w:rtl/>
        </w:rPr>
        <w:t xml:space="preserve"> عن الباقيات الصالحات، فقال هذه الكلمات، وزاد فيها:</w:t>
      </w:r>
      <w:r w:rsidRPr="00DC21B6">
        <w:rPr>
          <w:rFonts w:ascii="Traditional Arabic" w:hAnsi="Traditional Arabic" w:hint="cs"/>
          <w:rtl/>
        </w:rPr>
        <w:t xml:space="preserve"> </w:t>
      </w:r>
      <w:r w:rsidRPr="00DC21B6">
        <w:rPr>
          <w:rFonts w:ascii="Traditional Arabic" w:hAnsi="Traditional Arabic"/>
          <w:rtl/>
        </w:rPr>
        <w:t>«ولا حول ولا قوَّة إِلا بالله»</w:t>
      </w:r>
      <w:r w:rsidRPr="00DC21B6">
        <w:rPr>
          <w:vertAlign w:val="superscript"/>
          <w:rtl/>
        </w:rPr>
        <w:t>(</w:t>
      </w:r>
      <w:r w:rsidRPr="00DC21B6">
        <w:rPr>
          <w:vertAlign w:val="superscript"/>
          <w:rtl/>
        </w:rPr>
        <w:footnoteReference w:id="1429"/>
      </w:r>
      <w:r w:rsidRPr="00DC21B6">
        <w:rPr>
          <w:vertAlign w:val="superscript"/>
          <w:rtl/>
        </w:rPr>
        <w:t>)</w:t>
      </w:r>
      <w:r w:rsidRPr="00DC21B6">
        <w:rPr>
          <w:rFonts w:ascii="Traditional Arabic" w:hAnsi="Traditional Arabic" w:hint="cs"/>
          <w:rtl/>
        </w:rPr>
        <w:t>.</w:t>
      </w:r>
      <w:r w:rsidRPr="00DC21B6">
        <w:rPr>
          <w:rFonts w:ascii="Traditional Arabic" w:hAnsi="Traditional Arabic"/>
          <w:rtl/>
        </w:rPr>
        <w:t xml:space="preserve"> </w:t>
      </w:r>
    </w:p>
    <w:p w:rsidR="00DC21B6" w:rsidRPr="00DC21B6" w:rsidRDefault="00DC21B6" w:rsidP="00DC21B6">
      <w:pPr>
        <w:ind w:firstLine="0"/>
        <w:rPr>
          <w:rFonts w:ascii="Traditional Arabic" w:hAnsi="Traditional Arabic"/>
          <w:rtl/>
        </w:rPr>
      </w:pPr>
      <w:r w:rsidRPr="00DC21B6">
        <w:rPr>
          <w:rFonts w:ascii="Traditional Arabic" w:hAnsi="Traditional Arabic"/>
          <w:rtl/>
        </w:rPr>
        <w:t>وقال سعيد بن المسيب، ومحمد بن كعب القرظي مثله سواء</w:t>
      </w:r>
      <w:r w:rsidRPr="00DC21B6">
        <w:rPr>
          <w:vertAlign w:val="superscript"/>
          <w:rtl/>
        </w:rPr>
        <w:t>(</w:t>
      </w:r>
      <w:r w:rsidRPr="00DC21B6">
        <w:rPr>
          <w:vertAlign w:val="superscript"/>
          <w:rtl/>
        </w:rPr>
        <w:footnoteReference w:id="1430"/>
      </w:r>
      <w:r w:rsidRPr="00DC21B6">
        <w:rPr>
          <w:vertAlign w:val="superscript"/>
          <w:rtl/>
        </w:rPr>
        <w:t>)</w:t>
      </w:r>
      <w:r w:rsidRPr="00DC21B6">
        <w:rPr>
          <w:rFonts w:ascii="Traditional Arabic" w:hAnsi="Traditional Arabic"/>
          <w:rtl/>
        </w:rPr>
        <w:t>.</w:t>
      </w:r>
      <w:r w:rsidRPr="00DC21B6">
        <w:rPr>
          <w:rFonts w:ascii="Traditional Arabic" w:hAnsi="Traditional Arabic" w:hint="cs"/>
          <w:rtl/>
        </w:rPr>
        <w:t xml:space="preserve"> </w:t>
      </w:r>
      <w:r w:rsidRPr="00DC21B6">
        <w:rPr>
          <w:rFonts w:ascii="Traditional Arabic" w:hAnsi="Traditional Arabic"/>
          <w:rtl/>
        </w:rPr>
        <w:t>والثاني: أنها «لا إِله إِلا الله، والله أكبر، والحمد لله</w:t>
      </w:r>
      <w:r w:rsidRPr="00DC21B6">
        <w:rPr>
          <w:vertAlign w:val="superscript"/>
          <w:rtl/>
        </w:rPr>
        <w:t>(</w:t>
      </w:r>
      <w:r w:rsidRPr="00DC21B6">
        <w:rPr>
          <w:vertAlign w:val="superscript"/>
          <w:rtl/>
        </w:rPr>
        <w:footnoteReference w:id="1431"/>
      </w:r>
      <w:r w:rsidRPr="00DC21B6">
        <w:rPr>
          <w:vertAlign w:val="superscript"/>
          <w:rtl/>
        </w:rPr>
        <w:t>)</w:t>
      </w:r>
      <w:r w:rsidRPr="00DC21B6">
        <w:rPr>
          <w:rFonts w:ascii="Traditional Arabic" w:hAnsi="Traditional Arabic"/>
          <w:rtl/>
        </w:rPr>
        <w:t xml:space="preserve">ولا قوة إِلا بالله» </w:t>
      </w:r>
      <w:r w:rsidRPr="00DC21B6">
        <w:rPr>
          <w:rFonts w:ascii="Traditional Arabic" w:hAnsi="Traditional Arabic" w:hint="cs"/>
          <w:sz w:val="32"/>
          <w:szCs w:val="32"/>
          <w:rtl/>
        </w:rPr>
        <w:t>[126]</w:t>
      </w:r>
      <w:r w:rsidRPr="00DC21B6">
        <w:rPr>
          <w:rFonts w:ascii="Traditional Arabic" w:hAnsi="Traditional Arabic"/>
          <w:rtl/>
        </w:rPr>
        <w:t xml:space="preserve"> رواه علي بن أبي طالب عن رسول الله </w:t>
      </w:r>
      <w:r w:rsidRPr="00DC21B6">
        <w:rPr>
          <w:rFonts w:ascii="Traditional Arabic" w:hAnsi="Traditional Arabic"/>
        </w:rPr>
        <w:sym w:font="AGA Arabesque" w:char="F072"/>
      </w:r>
      <w:r w:rsidRPr="00DC21B6">
        <w:rPr>
          <w:vertAlign w:val="superscript"/>
          <w:rtl/>
        </w:rPr>
        <w:t xml:space="preserve"> (</w:t>
      </w:r>
      <w:r w:rsidRPr="00DC21B6">
        <w:rPr>
          <w:vertAlign w:val="superscript"/>
          <w:rtl/>
        </w:rPr>
        <w:footnoteReference w:id="1432"/>
      </w:r>
      <w:r w:rsidRPr="00DC21B6">
        <w:rPr>
          <w:vertAlign w:val="superscript"/>
          <w:rtl/>
        </w:rPr>
        <w:t>)</w:t>
      </w:r>
      <w:r w:rsidRPr="00DC21B6">
        <w:rPr>
          <w:rFonts w:ascii="Traditional Arabic" w:hAnsi="Traditional Arabic"/>
          <w:rtl/>
        </w:rPr>
        <w:t>.</w:t>
      </w:r>
      <w:r w:rsidRPr="00DC21B6">
        <w:rPr>
          <w:rFonts w:ascii="Traditional Arabic" w:hAnsi="Traditional Arabic" w:hint="cs"/>
          <w:rtl/>
        </w:rPr>
        <w:t xml:space="preserve"> </w:t>
      </w:r>
      <w:r w:rsidRPr="00DC21B6">
        <w:rPr>
          <w:rFonts w:ascii="Traditional Arabic" w:hAnsi="Traditional Arabic"/>
          <w:rtl/>
        </w:rPr>
        <w:t>والثالث: الصلوات الخمس، رواه سعيد بن جبير عن ابن عباس</w:t>
      </w:r>
      <w:r w:rsidRPr="00DC21B6">
        <w:rPr>
          <w:vertAlign w:val="superscript"/>
          <w:rtl/>
        </w:rPr>
        <w:t>(</w:t>
      </w:r>
      <w:r w:rsidRPr="00DC21B6">
        <w:rPr>
          <w:vertAlign w:val="superscript"/>
          <w:rtl/>
        </w:rPr>
        <w:footnoteReference w:id="1433"/>
      </w:r>
      <w:r w:rsidRPr="00DC21B6">
        <w:rPr>
          <w:vertAlign w:val="superscript"/>
          <w:rtl/>
        </w:rPr>
        <w:t>)</w:t>
      </w:r>
      <w:r w:rsidRPr="00DC21B6">
        <w:rPr>
          <w:rFonts w:ascii="Traditional Arabic" w:hAnsi="Traditional Arabic"/>
          <w:rtl/>
        </w:rPr>
        <w:t xml:space="preserve">، وبه قال ابن مسعود، </w:t>
      </w:r>
      <w:r w:rsidRPr="00DC21B6">
        <w:rPr>
          <w:rFonts w:ascii="Traditional Arabic" w:hAnsi="Traditional Arabic"/>
          <w:rtl/>
        </w:rPr>
        <w:lastRenderedPageBreak/>
        <w:t>ومسروق، وإبراهيم</w:t>
      </w:r>
      <w:r w:rsidRPr="00DC21B6">
        <w:rPr>
          <w:vertAlign w:val="superscript"/>
          <w:rtl/>
        </w:rPr>
        <w:t>(</w:t>
      </w:r>
      <w:r w:rsidRPr="00DC21B6">
        <w:rPr>
          <w:vertAlign w:val="superscript"/>
          <w:rtl/>
        </w:rPr>
        <w:footnoteReference w:id="1434"/>
      </w:r>
      <w:r w:rsidRPr="00DC21B6">
        <w:rPr>
          <w:vertAlign w:val="superscript"/>
          <w:rtl/>
        </w:rPr>
        <w:t>)</w:t>
      </w:r>
      <w:r w:rsidRPr="00DC21B6">
        <w:rPr>
          <w:rFonts w:ascii="Traditional Arabic" w:hAnsi="Traditional Arabic"/>
          <w:rtl/>
        </w:rPr>
        <w:t>. والرابع: الكلام الطيِّب، رواه العوفي عن ابن عباس</w:t>
      </w:r>
      <w:r w:rsidRPr="00DC21B6">
        <w:rPr>
          <w:vertAlign w:val="superscript"/>
          <w:rtl/>
        </w:rPr>
        <w:t>(</w:t>
      </w:r>
      <w:r w:rsidRPr="00DC21B6">
        <w:rPr>
          <w:vertAlign w:val="superscript"/>
          <w:rtl/>
        </w:rPr>
        <w:footnoteReference w:id="1435"/>
      </w:r>
      <w:r w:rsidRPr="00DC21B6">
        <w:rPr>
          <w:vertAlign w:val="superscript"/>
          <w:rtl/>
        </w:rPr>
        <w:t>)</w:t>
      </w:r>
      <w:r w:rsidRPr="00DC21B6">
        <w:rPr>
          <w:rFonts w:ascii="Traditional Arabic" w:hAnsi="Traditional Arabic"/>
          <w:rtl/>
        </w:rPr>
        <w:t>. والخامس: هي جميع أعمال الحسنات، رواه ابن أبي طلحة عن ابن عباس، وبه قال قتادة، وابن زيد</w:t>
      </w:r>
      <w:r w:rsidRPr="00DC21B6">
        <w:rPr>
          <w:vertAlign w:val="superscript"/>
          <w:rtl/>
        </w:rPr>
        <w:t>(</w:t>
      </w:r>
      <w:r w:rsidRPr="00DC21B6">
        <w:rPr>
          <w:vertAlign w:val="superscript"/>
          <w:rtl/>
        </w:rPr>
        <w:footnoteReference w:id="1436"/>
      </w:r>
      <w:r w:rsidRPr="00DC21B6">
        <w:rPr>
          <w:vertAlign w:val="superscript"/>
          <w:rtl/>
        </w:rPr>
        <w:t>)</w:t>
      </w:r>
      <w:r w:rsidRPr="00DC21B6">
        <w:rPr>
          <w:rFonts w:ascii="Traditional Arabic" w:hAnsi="Traditional Arabic"/>
          <w:rtl/>
        </w:rPr>
        <w:t>.</w:t>
      </w:r>
    </w:p>
    <w:p w:rsidR="00DC21B6" w:rsidRPr="00DC21B6" w:rsidRDefault="00DC21B6" w:rsidP="00DC21B6">
      <w:pPr>
        <w:ind w:firstLine="0"/>
        <w:rPr>
          <w:rFonts w:ascii="Traditional Arabic" w:hAnsi="Traditional Arabic"/>
          <w:rtl/>
        </w:rPr>
      </w:pPr>
      <w:r w:rsidRPr="00DC21B6">
        <w:rPr>
          <w:rFonts w:ascii="Traditional Arabic" w:hAnsi="Traditional Arabic"/>
          <w:rtl/>
        </w:rPr>
        <w:t xml:space="preserve">قوله تعالى: </w:t>
      </w:r>
      <w:r w:rsidRPr="00DC21B6">
        <w:rPr>
          <w:rFonts w:ascii="QCF_BSML" w:hAnsi="QCF_BSML" w:cs="QCF_BSML"/>
          <w:color w:val="auto"/>
          <w:sz w:val="32"/>
          <w:szCs w:val="32"/>
          <w:rtl/>
          <w:lang w:eastAsia="en-US"/>
        </w:rPr>
        <w:t>ﭽ</w:t>
      </w:r>
      <w:r w:rsidRPr="00DC21B6">
        <w:rPr>
          <w:rFonts w:ascii="QCF_P299" w:hAnsi="QCF_P299" w:cs="QCF_P299"/>
          <w:color w:val="auto"/>
          <w:sz w:val="32"/>
          <w:szCs w:val="32"/>
          <w:rtl/>
          <w:lang w:eastAsia="en-US"/>
        </w:rPr>
        <w:t xml:space="preserve"> ﭙ  ﭚ   ﭛ  ﭜ</w:t>
      </w:r>
      <w:r w:rsidRPr="00DC21B6">
        <w:rPr>
          <w:rFonts w:ascii="QCF_BSML" w:hAnsi="QCF_BSML" w:cs="QCF_BSML"/>
          <w:color w:val="auto"/>
          <w:sz w:val="32"/>
          <w:szCs w:val="32"/>
          <w:rtl/>
          <w:lang w:eastAsia="en-US"/>
        </w:rPr>
        <w:t>ﭼ</w:t>
      </w:r>
      <w:r w:rsidRPr="00DC21B6">
        <w:rPr>
          <w:rFonts w:ascii="QCF_P299" w:hAnsi="QCF_P299" w:cs="QCF_P299"/>
          <w:color w:val="auto"/>
          <w:sz w:val="32"/>
          <w:szCs w:val="32"/>
          <w:rtl/>
          <w:lang w:eastAsia="en-US"/>
        </w:rPr>
        <w:t xml:space="preserve">  </w:t>
      </w:r>
      <w:r w:rsidRPr="00DC21B6">
        <w:rPr>
          <w:rFonts w:ascii="Traditional Arabic" w:hAnsi="Traditional Arabic"/>
          <w:rtl/>
        </w:rPr>
        <w:t>أي: أفضل جزاءً</w:t>
      </w:r>
      <w:r w:rsidRPr="00DC21B6">
        <w:rPr>
          <w:rFonts w:ascii="QCF_BSML" w:hAnsi="QCF_BSML" w:cs="QCF_BSML"/>
          <w:color w:val="auto"/>
          <w:sz w:val="32"/>
          <w:szCs w:val="32"/>
          <w:rtl/>
          <w:lang w:eastAsia="en-US"/>
        </w:rPr>
        <w:t xml:space="preserve"> </w:t>
      </w:r>
      <w:r w:rsidRPr="00DC21B6">
        <w:rPr>
          <w:rFonts w:ascii="QCF_BSML" w:hAnsi="QCF_BSML" w:cs="QCF_BSML" w:hint="cs"/>
          <w:color w:val="auto"/>
          <w:sz w:val="32"/>
          <w:szCs w:val="32"/>
          <w:rtl/>
          <w:lang w:eastAsia="en-US"/>
        </w:rPr>
        <w:t xml:space="preserve">   </w:t>
      </w:r>
      <w:r w:rsidRPr="00DC21B6">
        <w:rPr>
          <w:rFonts w:ascii="QCF_BSML" w:hAnsi="QCF_BSML" w:cs="QCF_BSML"/>
          <w:color w:val="auto"/>
          <w:sz w:val="32"/>
          <w:szCs w:val="32"/>
          <w:rtl/>
          <w:lang w:eastAsia="en-US"/>
        </w:rPr>
        <w:t>ﭽ</w:t>
      </w:r>
      <w:r w:rsidRPr="00DC21B6">
        <w:rPr>
          <w:rFonts w:ascii="QCF_P299" w:hAnsi="QCF_P299" w:cs="QCF_P299"/>
          <w:color w:val="auto"/>
          <w:sz w:val="32"/>
          <w:szCs w:val="32"/>
          <w:rtl/>
          <w:lang w:eastAsia="en-US"/>
        </w:rPr>
        <w:t xml:space="preserve">ﭝ  ﭞ </w:t>
      </w:r>
      <w:r w:rsidRPr="00DC21B6">
        <w:rPr>
          <w:rFonts w:ascii="QCF_BSML" w:hAnsi="QCF_BSML" w:cs="QCF_BSML"/>
          <w:color w:val="auto"/>
          <w:sz w:val="32"/>
          <w:szCs w:val="32"/>
          <w:rtl/>
          <w:lang w:eastAsia="en-US"/>
        </w:rPr>
        <w:t>ﭼ</w:t>
      </w:r>
      <w:r w:rsidRPr="00DC21B6">
        <w:rPr>
          <w:rFonts w:ascii="QCF_P299" w:hAnsi="QCF_P299" w:cs="QCF_P299"/>
          <w:color w:val="auto"/>
          <w:sz w:val="32"/>
          <w:szCs w:val="32"/>
          <w:rtl/>
          <w:lang w:eastAsia="en-US"/>
        </w:rPr>
        <w:t xml:space="preserve"> </w:t>
      </w:r>
      <w:r w:rsidRPr="00DC21B6">
        <w:rPr>
          <w:rFonts w:ascii="Traditional Arabic" w:hAnsi="Traditional Arabic"/>
          <w:rtl/>
        </w:rPr>
        <w:t>أي: خير مما تؤمِّلون، لأن آمالكم كواذب، وهذا أمل لا يكذب</w:t>
      </w:r>
      <w:r w:rsidRPr="00DC21B6">
        <w:rPr>
          <w:vertAlign w:val="superscript"/>
          <w:rtl/>
        </w:rPr>
        <w:t>(</w:t>
      </w:r>
      <w:r w:rsidRPr="00DC21B6">
        <w:rPr>
          <w:vertAlign w:val="superscript"/>
          <w:rtl/>
        </w:rPr>
        <w:footnoteReference w:id="1437"/>
      </w:r>
      <w:r w:rsidRPr="00DC21B6">
        <w:rPr>
          <w:vertAlign w:val="superscript"/>
          <w:rtl/>
        </w:rPr>
        <w:t>)</w:t>
      </w:r>
      <w:r w:rsidRPr="00DC21B6">
        <w:rPr>
          <w:rFonts w:ascii="Traditional Arabic" w:hAnsi="Traditional Arabic"/>
          <w:rtl/>
        </w:rPr>
        <w:t>.</w:t>
      </w:r>
    </w:p>
    <w:p w:rsidR="00E14A40" w:rsidRPr="00E14A40" w:rsidRDefault="00E14A40" w:rsidP="00E14A40">
      <w:pPr>
        <w:ind w:firstLine="0"/>
        <w:rPr>
          <w:rFonts w:ascii="Traditional Arabic" w:hAnsi="Traditional Arabic"/>
          <w:color w:val="auto"/>
          <w:rtl/>
        </w:rPr>
      </w:pPr>
      <w:r w:rsidRPr="00E14A40">
        <w:rPr>
          <w:rFonts w:ascii="QCF_BSML" w:hAnsi="QCF_BSML" w:cs="QCF_BSML"/>
          <w:color w:val="auto"/>
          <w:sz w:val="32"/>
          <w:szCs w:val="32"/>
          <w:rtl/>
          <w:lang w:eastAsia="en-US"/>
        </w:rPr>
        <w:t xml:space="preserve">ﭽ </w:t>
      </w:r>
      <w:r w:rsidRPr="00E14A40">
        <w:rPr>
          <w:rFonts w:ascii="QCF_P299" w:hAnsi="QCF_P299" w:cs="QCF_P299"/>
          <w:color w:val="auto"/>
          <w:sz w:val="32"/>
          <w:szCs w:val="32"/>
          <w:rtl/>
          <w:lang w:eastAsia="en-US"/>
        </w:rPr>
        <w:t xml:space="preserve">ﭠ  ﭡ  ﭢ  ﭣ   ﭤ  ﭥ    ﭦ  ﭧ  ﭨ  ﭩ  ﭪ  ﭫ  ﭬ   ﭭ  ﭮ  ﭯ  ﭰ  ﭱ  ﭲ   ﭳ  ﭴ  ﭵﭶ  ﭷ  ﭸ   ﭹ  ﭺ  ﭻ  ﭼ  ﭽ  ﭾ  ﭿ    ﮀ  ﮁ     ﮂ  ﮃ  ﮄ  ﮅ  ﮆ  ﮇ  ﮈ  ﮉ   ﮊ  ﮋ  ﮌ  ﮍ  ﮎ      ﮏ  ﮐﮑ  ﮒ  ﮓ  ﮔ   ﮕﮖ  ﮗ  ﮘ   ﮙ  ﮚ  ﮛ  ﮜ  ﮝ  ﮞ    ﮟ   ﮠ   ﮡ  ﮢ    ﮣ     ﮤ        ﮥ  ﮦ  ﮧ  ﮨ  ﮩ     ﮪﮫ   ﮬ  ﮭ  ﮮ  ﮯ  ﮰ  ﮱ  ﯓ  ﯔﯕ   ﯖ  ﯗ  ﯘ  ﯙ  ﯚ  ﯛ  ﯜ  ﯝ  ﯞ   ﯟ  ﯠ   ﯡ  ﯢ  ﯣ  ﯤ          ﯥ  ﯦ  ﯧ   ﯨ  </w:t>
      </w:r>
      <w:r w:rsidRPr="00E14A40">
        <w:rPr>
          <w:rFonts w:ascii="QCF_BSML" w:hAnsi="QCF_BSML" w:cs="QCF_BSML"/>
          <w:color w:val="auto"/>
          <w:sz w:val="32"/>
          <w:szCs w:val="32"/>
          <w:rtl/>
          <w:lang w:eastAsia="en-US"/>
        </w:rPr>
        <w:t>ﭼ</w:t>
      </w:r>
      <w:r w:rsidRPr="00E14A40">
        <w:rPr>
          <w:rFonts w:ascii="Arial" w:hAnsi="Arial" w:cs="Arial"/>
          <w:color w:val="auto"/>
          <w:sz w:val="32"/>
          <w:szCs w:val="32"/>
          <w:rtl/>
          <w:lang w:eastAsia="en-US"/>
        </w:rPr>
        <w:t xml:space="preserve"> </w:t>
      </w:r>
    </w:p>
    <w:p w:rsidR="00E14A40" w:rsidRPr="00E14A40" w:rsidRDefault="00E14A40" w:rsidP="00E14A40">
      <w:pPr>
        <w:ind w:firstLine="0"/>
        <w:rPr>
          <w:rFonts w:ascii="Traditional Arabic" w:hAnsi="Traditional Arabic"/>
          <w:rtl/>
        </w:rPr>
      </w:pPr>
      <w:r w:rsidRPr="00E14A40">
        <w:rPr>
          <w:rFonts w:ascii="Traditional Arabic" w:hAnsi="Traditional Arabic"/>
          <w:rtl/>
        </w:rPr>
        <w:t xml:space="preserve">قوله تعالى: </w:t>
      </w:r>
      <w:r w:rsidRPr="00E14A40">
        <w:rPr>
          <w:rFonts w:ascii="QCF_BSML" w:hAnsi="QCF_BSML" w:cs="QCF_BSML"/>
          <w:color w:val="auto"/>
          <w:sz w:val="32"/>
          <w:szCs w:val="32"/>
          <w:rtl/>
          <w:lang w:eastAsia="en-US"/>
        </w:rPr>
        <w:t>ﭽ</w:t>
      </w:r>
      <w:r w:rsidRPr="00E14A40">
        <w:rPr>
          <w:rFonts w:ascii="QCF_P299" w:hAnsi="QCF_P299" w:cs="QCF_P299"/>
          <w:color w:val="auto"/>
          <w:sz w:val="32"/>
          <w:szCs w:val="32"/>
          <w:rtl/>
          <w:lang w:eastAsia="en-US"/>
        </w:rPr>
        <w:t>ﭠ  ﭡ  ﭢ</w:t>
      </w:r>
      <w:r w:rsidRPr="00E14A40">
        <w:rPr>
          <w:rFonts w:ascii="QCF_BSML" w:hAnsi="QCF_BSML" w:cs="QCF_BSML"/>
          <w:color w:val="auto"/>
          <w:sz w:val="32"/>
          <w:szCs w:val="32"/>
          <w:rtl/>
          <w:lang w:eastAsia="en-US"/>
        </w:rPr>
        <w:t>ﭼ</w:t>
      </w:r>
      <w:r w:rsidRPr="00E14A40">
        <w:rPr>
          <w:rFonts w:ascii="QCF_BSML" w:hAnsi="QCF_BSML" w:cs="QCF_BSML" w:hint="cs"/>
          <w:color w:val="auto"/>
          <w:sz w:val="32"/>
          <w:szCs w:val="32"/>
          <w:rtl/>
          <w:lang w:eastAsia="en-US"/>
        </w:rPr>
        <w:t xml:space="preserve">   </w:t>
      </w:r>
      <w:r w:rsidRPr="00E14A40">
        <w:rPr>
          <w:rFonts w:ascii="QCF_P299" w:hAnsi="QCF_P299" w:cs="QCF_P299"/>
          <w:color w:val="auto"/>
          <w:sz w:val="32"/>
          <w:szCs w:val="32"/>
          <w:rtl/>
          <w:lang w:eastAsia="en-US"/>
        </w:rPr>
        <w:t xml:space="preserve"> </w:t>
      </w:r>
      <w:r w:rsidRPr="00E14A40">
        <w:rPr>
          <w:rFonts w:ascii="Traditional Arabic" w:hAnsi="Traditional Arabic"/>
          <w:rtl/>
        </w:rPr>
        <w:t>قرأ ابن كثير، وأبو عمرو، وابن عامر: «ويوم تُسَيَّر» بالتاء «الجبالُ» رفعاً. وقرأ نافع، وعاصم، وحمزة، والكسائي: «نُسَيِّرُ» بالنون «الجبالَ» نصباً</w:t>
      </w:r>
      <w:r w:rsidRPr="00E14A40">
        <w:rPr>
          <w:vertAlign w:val="superscript"/>
          <w:rtl/>
        </w:rPr>
        <w:t>(</w:t>
      </w:r>
      <w:r w:rsidRPr="00E14A40">
        <w:rPr>
          <w:vertAlign w:val="superscript"/>
          <w:rtl/>
        </w:rPr>
        <w:footnoteReference w:id="1438"/>
      </w:r>
      <w:r w:rsidRPr="00E14A40">
        <w:rPr>
          <w:vertAlign w:val="superscript"/>
          <w:rtl/>
        </w:rPr>
        <w:t>)</w:t>
      </w:r>
      <w:r w:rsidRPr="00E14A40">
        <w:rPr>
          <w:rFonts w:ascii="Traditional Arabic" w:hAnsi="Traditional Arabic"/>
          <w:rtl/>
        </w:rPr>
        <w:t>. وقرأ ابن محيصن: «ويوم تَسِيْرُ» بفتح التاء وكسر السين وتسكين الياء «الجبالُ» بالرفع</w:t>
      </w:r>
      <w:r w:rsidRPr="00E14A40">
        <w:rPr>
          <w:vertAlign w:val="superscript"/>
          <w:rtl/>
        </w:rPr>
        <w:t>(</w:t>
      </w:r>
      <w:r w:rsidRPr="00E14A40">
        <w:rPr>
          <w:vertAlign w:val="superscript"/>
          <w:rtl/>
        </w:rPr>
        <w:footnoteReference w:id="1439"/>
      </w:r>
      <w:r w:rsidRPr="00E14A40">
        <w:rPr>
          <w:vertAlign w:val="superscript"/>
          <w:rtl/>
        </w:rPr>
        <w:t>)</w:t>
      </w:r>
      <w:r w:rsidRPr="00E14A40">
        <w:rPr>
          <w:rFonts w:ascii="Traditional Arabic" w:hAnsi="Traditional Arabic"/>
          <w:rtl/>
        </w:rPr>
        <w:t xml:space="preserve">. قال </w:t>
      </w:r>
      <w:r w:rsidRPr="00E14A40">
        <w:rPr>
          <w:rFonts w:ascii="Traditional Arabic" w:hAnsi="Traditional Arabic" w:hint="cs"/>
          <w:rtl/>
        </w:rPr>
        <w:t>[</w:t>
      </w:r>
      <w:r w:rsidRPr="00E14A40">
        <w:rPr>
          <w:rFonts w:ascii="Traditional Arabic" w:hAnsi="Traditional Arabic"/>
          <w:rtl/>
        </w:rPr>
        <w:t>الزجاج</w:t>
      </w:r>
      <w:r w:rsidRPr="00E14A40">
        <w:rPr>
          <w:rFonts w:ascii="Traditional Arabic" w:hAnsi="Traditional Arabic" w:hint="cs"/>
          <w:rtl/>
        </w:rPr>
        <w:t>]</w:t>
      </w:r>
      <w:r w:rsidRPr="00E14A40">
        <w:rPr>
          <w:vertAlign w:val="superscript"/>
          <w:rtl/>
        </w:rPr>
        <w:t>(</w:t>
      </w:r>
      <w:r w:rsidRPr="00E14A40">
        <w:rPr>
          <w:vertAlign w:val="superscript"/>
          <w:rtl/>
        </w:rPr>
        <w:footnoteReference w:id="1440"/>
      </w:r>
      <w:r w:rsidRPr="00E14A40">
        <w:rPr>
          <w:vertAlign w:val="superscript"/>
          <w:rtl/>
        </w:rPr>
        <w:t>)</w:t>
      </w:r>
      <w:r w:rsidRPr="00E14A40">
        <w:rPr>
          <w:rFonts w:ascii="Traditional Arabic" w:hAnsi="Traditional Arabic"/>
          <w:rtl/>
        </w:rPr>
        <w:t>: «ويوم» منصوب على معنى اذكر، ويجوز أن يكون منصوباً على: والباقيات الصالحات خير يومَ تَسِيرُ الجبال</w:t>
      </w:r>
      <w:r w:rsidRPr="00E14A40">
        <w:rPr>
          <w:vertAlign w:val="superscript"/>
          <w:rtl/>
        </w:rPr>
        <w:t>(</w:t>
      </w:r>
      <w:r w:rsidRPr="00E14A40">
        <w:rPr>
          <w:vertAlign w:val="superscript"/>
          <w:rtl/>
        </w:rPr>
        <w:footnoteReference w:id="1441"/>
      </w:r>
      <w:r w:rsidRPr="00E14A40">
        <w:rPr>
          <w:vertAlign w:val="superscript"/>
          <w:rtl/>
        </w:rPr>
        <w:t>)</w:t>
      </w:r>
      <w:r w:rsidRPr="00E14A40">
        <w:rPr>
          <w:rFonts w:ascii="Traditional Arabic" w:hAnsi="Traditional Arabic"/>
          <w:rtl/>
        </w:rPr>
        <w:t>.</w:t>
      </w:r>
      <w:r w:rsidRPr="00E14A40">
        <w:rPr>
          <w:rFonts w:ascii="Traditional Arabic" w:hAnsi="Traditional Arabic" w:hint="cs"/>
          <w:rtl/>
        </w:rPr>
        <w:t xml:space="preserve"> </w:t>
      </w:r>
      <w:r w:rsidRPr="00E14A40">
        <w:rPr>
          <w:rFonts w:ascii="Traditional Arabic" w:hAnsi="Traditional Arabic"/>
          <w:rtl/>
        </w:rPr>
        <w:t xml:space="preserve">قال ابن عباس: تُسيَّر الجبال عن وجه الأرض، كما يُسيَّر </w:t>
      </w:r>
      <w:r w:rsidRPr="00E14A40">
        <w:rPr>
          <w:rFonts w:ascii="Traditional Arabic" w:hAnsi="Traditional Arabic"/>
          <w:rtl/>
        </w:rPr>
        <w:lastRenderedPageBreak/>
        <w:t>السحاب في الدنيا، ثم تكسّر فتكون في</w:t>
      </w:r>
      <w:r w:rsidRPr="00E14A40">
        <w:rPr>
          <w:rFonts w:ascii="Traditional Arabic" w:hAnsi="Traditional Arabic" w:hint="cs"/>
          <w:rtl/>
        </w:rPr>
        <w:t xml:space="preserve"> </w:t>
      </w:r>
      <w:r w:rsidRPr="00E14A40">
        <w:rPr>
          <w:rFonts w:ascii="Traditional Arabic" w:hAnsi="Traditional Arabic"/>
          <w:rtl/>
        </w:rPr>
        <w:t>الأرض كما خرجت منها</w:t>
      </w:r>
      <w:r w:rsidRPr="00E14A40">
        <w:rPr>
          <w:vertAlign w:val="superscript"/>
          <w:rtl/>
        </w:rPr>
        <w:t>(</w:t>
      </w:r>
      <w:r w:rsidRPr="00E14A40">
        <w:rPr>
          <w:vertAlign w:val="superscript"/>
          <w:rtl/>
        </w:rPr>
        <w:footnoteReference w:id="1442"/>
      </w:r>
      <w:r w:rsidRPr="00E14A40">
        <w:rPr>
          <w:vertAlign w:val="superscript"/>
          <w:rtl/>
        </w:rPr>
        <w:t>)</w:t>
      </w:r>
      <w:r w:rsidRPr="00E14A40">
        <w:rPr>
          <w:rFonts w:ascii="Traditional Arabic" w:hAnsi="Traditional Arabic"/>
          <w:rtl/>
        </w:rPr>
        <w:t xml:space="preserve">. قوله تعالى: </w:t>
      </w:r>
      <w:r w:rsidRPr="00E14A40">
        <w:rPr>
          <w:rFonts w:ascii="QCF_BSML" w:hAnsi="QCF_BSML" w:cs="QCF_BSML"/>
          <w:color w:val="auto"/>
          <w:sz w:val="32"/>
          <w:szCs w:val="32"/>
          <w:rtl/>
          <w:lang w:eastAsia="en-US"/>
        </w:rPr>
        <w:t>ﭽ</w:t>
      </w:r>
      <w:r w:rsidRPr="00E14A40">
        <w:rPr>
          <w:rFonts w:ascii="QCF_P299" w:hAnsi="QCF_P299" w:cs="QCF_P299"/>
          <w:color w:val="auto"/>
          <w:sz w:val="32"/>
          <w:szCs w:val="32"/>
          <w:rtl/>
          <w:lang w:eastAsia="en-US"/>
        </w:rPr>
        <w:t xml:space="preserve"> ﭣ   ﭤ  ﭥ</w:t>
      </w:r>
      <w:r w:rsidRPr="00E14A40">
        <w:rPr>
          <w:rFonts w:ascii="QCF_BSML" w:hAnsi="QCF_BSML" w:cs="QCF_BSML"/>
          <w:color w:val="auto"/>
          <w:sz w:val="32"/>
          <w:szCs w:val="32"/>
          <w:rtl/>
          <w:lang w:eastAsia="en-US"/>
        </w:rPr>
        <w:t xml:space="preserve"> ﭼ</w:t>
      </w:r>
      <w:r w:rsidRPr="00E14A40">
        <w:rPr>
          <w:rFonts w:ascii="QCF_BSML" w:hAnsi="QCF_BSML" w:cs="QCF_BSML" w:hint="cs"/>
          <w:color w:val="auto"/>
          <w:sz w:val="32"/>
          <w:szCs w:val="32"/>
          <w:rtl/>
          <w:lang w:eastAsia="en-US"/>
        </w:rPr>
        <w:t xml:space="preserve">   </w:t>
      </w:r>
      <w:r w:rsidRPr="00E14A40">
        <w:rPr>
          <w:rFonts w:ascii="QCF_P299" w:hAnsi="QCF_P299" w:cs="QCF_P299"/>
          <w:color w:val="auto"/>
          <w:sz w:val="32"/>
          <w:szCs w:val="32"/>
          <w:rtl/>
          <w:lang w:eastAsia="en-US"/>
        </w:rPr>
        <w:t xml:space="preserve">    </w:t>
      </w:r>
      <w:r w:rsidRPr="00E14A40">
        <w:rPr>
          <w:rFonts w:ascii="Traditional Arabic" w:hAnsi="Traditional Arabic"/>
          <w:rtl/>
        </w:rPr>
        <w:t>وقرأ عمرو بن العاص</w:t>
      </w:r>
      <w:r w:rsidRPr="00E14A40">
        <w:rPr>
          <w:vertAlign w:val="superscript"/>
          <w:rtl/>
        </w:rPr>
        <w:t>(</w:t>
      </w:r>
      <w:r w:rsidRPr="00E14A40">
        <w:rPr>
          <w:vertAlign w:val="superscript"/>
          <w:rtl/>
        </w:rPr>
        <w:footnoteReference w:id="1443"/>
      </w:r>
      <w:r w:rsidRPr="00E14A40">
        <w:rPr>
          <w:vertAlign w:val="superscript"/>
          <w:rtl/>
        </w:rPr>
        <w:t>)</w:t>
      </w:r>
      <w:r w:rsidRPr="00E14A40">
        <w:rPr>
          <w:rFonts w:ascii="Traditional Arabic" w:hAnsi="Traditional Arabic"/>
          <w:rtl/>
        </w:rPr>
        <w:t>، وابن السّميفع، وأبو العالية: «وت</w:t>
      </w:r>
      <w:r w:rsidRPr="00E14A40">
        <w:rPr>
          <w:rFonts w:ascii="Traditional Arabic" w:hAnsi="Traditional Arabic" w:hint="cs"/>
          <w:rtl/>
        </w:rPr>
        <w:t>ُ</w:t>
      </w:r>
      <w:r w:rsidRPr="00E14A40">
        <w:rPr>
          <w:rFonts w:ascii="Traditional Arabic" w:hAnsi="Traditional Arabic"/>
          <w:rtl/>
        </w:rPr>
        <w:t>رى الأرض</w:t>
      </w:r>
      <w:r w:rsidRPr="00E14A40">
        <w:rPr>
          <w:rFonts w:ascii="Traditional Arabic" w:hAnsi="Traditional Arabic" w:hint="cs"/>
          <w:rtl/>
        </w:rPr>
        <w:t>ُ</w:t>
      </w:r>
      <w:r w:rsidRPr="00E14A40">
        <w:rPr>
          <w:rFonts w:ascii="Traditional Arabic" w:hAnsi="Traditional Arabic"/>
          <w:rtl/>
        </w:rPr>
        <w:t>» برفع التاء والضاد</w:t>
      </w:r>
      <w:r w:rsidRPr="00E14A40">
        <w:rPr>
          <w:vertAlign w:val="superscript"/>
          <w:rtl/>
        </w:rPr>
        <w:t>(</w:t>
      </w:r>
      <w:r w:rsidRPr="00E14A40">
        <w:rPr>
          <w:vertAlign w:val="superscript"/>
          <w:rtl/>
        </w:rPr>
        <w:footnoteReference w:id="1444"/>
      </w:r>
      <w:r w:rsidRPr="00E14A40">
        <w:rPr>
          <w:vertAlign w:val="superscript"/>
          <w:rtl/>
        </w:rPr>
        <w:t>)</w:t>
      </w:r>
      <w:r w:rsidRPr="00E14A40">
        <w:rPr>
          <w:rFonts w:ascii="Traditional Arabic" w:hAnsi="Traditional Arabic"/>
          <w:rtl/>
        </w:rPr>
        <w:t>. وقرأ أبو رجاء العطاردي كذلك، إِلا أنه فتح ضاد «الأرضَ»</w:t>
      </w:r>
      <w:r w:rsidRPr="00E14A40">
        <w:rPr>
          <w:vertAlign w:val="superscript"/>
          <w:rtl/>
        </w:rPr>
        <w:t>(</w:t>
      </w:r>
      <w:r w:rsidRPr="00E14A40">
        <w:rPr>
          <w:vertAlign w:val="superscript"/>
          <w:rtl/>
        </w:rPr>
        <w:footnoteReference w:id="1445"/>
      </w:r>
      <w:r w:rsidRPr="00E14A40">
        <w:rPr>
          <w:vertAlign w:val="superscript"/>
          <w:rtl/>
        </w:rPr>
        <w:t>)</w:t>
      </w:r>
      <w:r w:rsidRPr="00E14A40">
        <w:rPr>
          <w:rFonts w:ascii="Traditional Arabic" w:hAnsi="Traditional Arabic"/>
          <w:rtl/>
        </w:rPr>
        <w:t xml:space="preserve">. وفي معنى «بارزة» قولان: أحدهما: </w:t>
      </w:r>
      <w:r w:rsidRPr="00E14A40">
        <w:rPr>
          <w:rFonts w:ascii="Traditional Arabic" w:hAnsi="Traditional Arabic" w:hint="cs"/>
          <w:rtl/>
        </w:rPr>
        <w:t>[</w:t>
      </w:r>
      <w:r w:rsidRPr="00E14A40">
        <w:rPr>
          <w:rFonts w:ascii="Traditional Arabic" w:hAnsi="Traditional Arabic"/>
          <w:rtl/>
        </w:rPr>
        <w:t>ظاهرة</w:t>
      </w:r>
      <w:r w:rsidRPr="00E14A40">
        <w:rPr>
          <w:rFonts w:ascii="Traditional Arabic" w:hAnsi="Traditional Arabic" w:hint="cs"/>
          <w:rtl/>
        </w:rPr>
        <w:t>]</w:t>
      </w:r>
      <w:r w:rsidRPr="00E14A40">
        <w:rPr>
          <w:vertAlign w:val="superscript"/>
          <w:rtl/>
        </w:rPr>
        <w:t>(</w:t>
      </w:r>
      <w:r w:rsidRPr="00E14A40">
        <w:rPr>
          <w:vertAlign w:val="superscript"/>
          <w:rtl/>
        </w:rPr>
        <w:footnoteReference w:id="1446"/>
      </w:r>
      <w:r w:rsidRPr="00E14A40">
        <w:rPr>
          <w:vertAlign w:val="superscript"/>
          <w:rtl/>
        </w:rPr>
        <w:t>)</w:t>
      </w:r>
      <w:r w:rsidRPr="00E14A40">
        <w:rPr>
          <w:rFonts w:ascii="Traditional Arabic" w:hAnsi="Traditional Arabic"/>
          <w:rtl/>
        </w:rPr>
        <w:t>فليس عليها شيء من جبل أو شجر أو بناءٍ</w:t>
      </w:r>
      <w:r w:rsidRPr="00E14A40">
        <w:rPr>
          <w:vertAlign w:val="superscript"/>
          <w:rtl/>
        </w:rPr>
        <w:t>(</w:t>
      </w:r>
      <w:r w:rsidRPr="00E14A40">
        <w:rPr>
          <w:vertAlign w:val="superscript"/>
          <w:rtl/>
        </w:rPr>
        <w:footnoteReference w:id="1447"/>
      </w:r>
      <w:r w:rsidRPr="00E14A40">
        <w:rPr>
          <w:vertAlign w:val="superscript"/>
          <w:rtl/>
        </w:rPr>
        <w:t>)</w:t>
      </w:r>
      <w:r w:rsidRPr="00E14A40">
        <w:rPr>
          <w:rFonts w:ascii="Traditional Arabic" w:hAnsi="Traditional Arabic"/>
          <w:rtl/>
        </w:rPr>
        <w:t>، قاله الأكثرون</w:t>
      </w:r>
      <w:r w:rsidRPr="00E14A40">
        <w:rPr>
          <w:vertAlign w:val="superscript"/>
          <w:rtl/>
        </w:rPr>
        <w:t>(</w:t>
      </w:r>
      <w:r w:rsidRPr="00E14A40">
        <w:rPr>
          <w:vertAlign w:val="superscript"/>
          <w:rtl/>
        </w:rPr>
        <w:footnoteReference w:id="1448"/>
      </w:r>
      <w:r w:rsidRPr="00E14A40">
        <w:rPr>
          <w:vertAlign w:val="superscript"/>
          <w:rtl/>
        </w:rPr>
        <w:t>)</w:t>
      </w:r>
      <w:r w:rsidRPr="00E14A40">
        <w:rPr>
          <w:rFonts w:ascii="Traditional Arabic" w:hAnsi="Traditional Arabic"/>
          <w:rtl/>
        </w:rPr>
        <w:t>. والثاني: بارزاً أهلها من بطنها، قاله الفراء</w:t>
      </w:r>
      <w:r w:rsidRPr="00E14A40">
        <w:rPr>
          <w:vertAlign w:val="superscript"/>
          <w:rtl/>
        </w:rPr>
        <w:t>(</w:t>
      </w:r>
      <w:r w:rsidRPr="00E14A40">
        <w:rPr>
          <w:vertAlign w:val="superscript"/>
          <w:rtl/>
        </w:rPr>
        <w:footnoteReference w:id="1449"/>
      </w:r>
      <w:r w:rsidRPr="00E14A40">
        <w:rPr>
          <w:vertAlign w:val="superscript"/>
          <w:rtl/>
        </w:rPr>
        <w:t>)</w:t>
      </w:r>
      <w:r w:rsidRPr="00E14A40">
        <w:rPr>
          <w:rFonts w:ascii="Traditional Arabic" w:hAnsi="Traditional Arabic"/>
          <w:rtl/>
        </w:rPr>
        <w:t>.</w:t>
      </w:r>
      <w:r w:rsidRPr="00E14A40">
        <w:rPr>
          <w:rFonts w:ascii="Traditional Arabic" w:hAnsi="Traditional Arabic" w:hint="cs"/>
          <w:rtl/>
        </w:rPr>
        <w:t xml:space="preserve"> </w:t>
      </w:r>
      <w:r w:rsidRPr="00E14A40">
        <w:rPr>
          <w:rFonts w:ascii="Traditional Arabic" w:hAnsi="Traditional Arabic"/>
          <w:rtl/>
        </w:rPr>
        <w:t>قوله تعالى:</w:t>
      </w:r>
      <w:r w:rsidRPr="00E14A40">
        <w:rPr>
          <w:rFonts w:ascii="QCF_BSML" w:hAnsi="QCF_BSML" w:cs="QCF_BSML"/>
          <w:color w:val="auto"/>
          <w:sz w:val="32"/>
          <w:szCs w:val="32"/>
          <w:rtl/>
          <w:lang w:eastAsia="en-US"/>
        </w:rPr>
        <w:t xml:space="preserve"> ﭽ</w:t>
      </w:r>
      <w:r w:rsidRPr="00E14A40">
        <w:rPr>
          <w:rFonts w:ascii="Traditional Arabic" w:hAnsi="Traditional Arabic"/>
          <w:rtl/>
        </w:rPr>
        <w:t xml:space="preserve"> </w:t>
      </w:r>
      <w:r w:rsidRPr="00E14A40">
        <w:rPr>
          <w:rFonts w:ascii="QCF_P299" w:hAnsi="QCF_P299" w:cs="QCF_P299"/>
          <w:color w:val="auto"/>
          <w:sz w:val="32"/>
          <w:szCs w:val="32"/>
          <w:rtl/>
          <w:lang w:eastAsia="en-US"/>
        </w:rPr>
        <w:t>ﭦ</w:t>
      </w:r>
      <w:r w:rsidRPr="00E14A40">
        <w:rPr>
          <w:rFonts w:ascii="QCF_BSML" w:hAnsi="QCF_BSML" w:cs="QCF_BSML"/>
          <w:color w:val="auto"/>
          <w:sz w:val="32"/>
          <w:szCs w:val="32"/>
          <w:rtl/>
          <w:lang w:eastAsia="en-US"/>
        </w:rPr>
        <w:t xml:space="preserve"> ﭼ</w:t>
      </w:r>
      <w:r w:rsidRPr="00E14A40">
        <w:rPr>
          <w:rFonts w:ascii="Traditional Arabic" w:hAnsi="Traditional Arabic"/>
          <w:rtl/>
        </w:rPr>
        <w:t xml:space="preserve"> يعني المؤمنين والكافرين </w:t>
      </w:r>
      <w:r w:rsidRPr="00E14A40">
        <w:rPr>
          <w:rFonts w:ascii="QCF_BSML" w:hAnsi="QCF_BSML" w:cs="QCF_BSML"/>
          <w:color w:val="auto"/>
          <w:sz w:val="32"/>
          <w:szCs w:val="32"/>
          <w:rtl/>
          <w:lang w:eastAsia="en-US"/>
        </w:rPr>
        <w:t>ﭽ</w:t>
      </w:r>
      <w:r w:rsidRPr="00E14A40">
        <w:rPr>
          <w:rFonts w:ascii="QCF_P299" w:hAnsi="QCF_P299" w:cs="QCF_P299"/>
          <w:color w:val="auto"/>
          <w:sz w:val="32"/>
          <w:szCs w:val="32"/>
          <w:rtl/>
          <w:lang w:eastAsia="en-US"/>
        </w:rPr>
        <w:t xml:space="preserve"> ﭧ  ﭨ</w:t>
      </w:r>
      <w:r w:rsidRPr="00E14A40">
        <w:rPr>
          <w:rFonts w:ascii="QCF_BSML" w:hAnsi="QCF_BSML" w:cs="QCF_BSML"/>
          <w:color w:val="auto"/>
          <w:sz w:val="32"/>
          <w:szCs w:val="32"/>
          <w:rtl/>
          <w:lang w:eastAsia="en-US"/>
        </w:rPr>
        <w:t xml:space="preserve"> ﭼ</w:t>
      </w:r>
      <w:r w:rsidRPr="00E14A40">
        <w:rPr>
          <w:rFonts w:ascii="QCF_P299" w:hAnsi="QCF_P299" w:cs="QCF_P299"/>
          <w:color w:val="auto"/>
          <w:sz w:val="32"/>
          <w:szCs w:val="32"/>
          <w:rtl/>
          <w:lang w:eastAsia="en-US"/>
        </w:rPr>
        <w:t xml:space="preserve">  </w:t>
      </w:r>
      <w:r w:rsidRPr="00E14A40">
        <w:rPr>
          <w:rFonts w:ascii="Traditional Arabic" w:hAnsi="Traditional Arabic"/>
          <w:rtl/>
        </w:rPr>
        <w:t>قال ابن قتيبة: أي: فلم نُخَلِّف، يقال: غادرتُ كذا: إِذا خلّفته، ومنه سمي الغَدِير، لأنه ماءٌ تُخَلِّفُه السيول</w:t>
      </w:r>
      <w:r w:rsidRPr="00E14A40">
        <w:rPr>
          <w:vertAlign w:val="superscript"/>
          <w:rtl/>
        </w:rPr>
        <w:t>(</w:t>
      </w:r>
      <w:r w:rsidRPr="00E14A40">
        <w:rPr>
          <w:vertAlign w:val="superscript"/>
          <w:rtl/>
        </w:rPr>
        <w:footnoteReference w:id="1450"/>
      </w:r>
      <w:r w:rsidRPr="00E14A40">
        <w:rPr>
          <w:vertAlign w:val="superscript"/>
          <w:rtl/>
        </w:rPr>
        <w:t>)</w:t>
      </w:r>
      <w:r w:rsidRPr="00E14A40">
        <w:rPr>
          <w:rFonts w:ascii="Traditional Arabic" w:hAnsi="Traditional Arabic"/>
          <w:rtl/>
        </w:rPr>
        <w:t>. وروى أبان: «فلم تغادر» بالتاء</w:t>
      </w:r>
      <w:r w:rsidRPr="00E14A40">
        <w:rPr>
          <w:vertAlign w:val="superscript"/>
          <w:rtl/>
        </w:rPr>
        <w:t>(</w:t>
      </w:r>
      <w:r w:rsidRPr="00E14A40">
        <w:rPr>
          <w:vertAlign w:val="superscript"/>
          <w:rtl/>
        </w:rPr>
        <w:footnoteReference w:id="1451"/>
      </w:r>
      <w:r w:rsidRPr="00E14A40">
        <w:rPr>
          <w:vertAlign w:val="superscript"/>
          <w:rtl/>
        </w:rPr>
        <w:t>)</w:t>
      </w:r>
      <w:r w:rsidRPr="00E14A40">
        <w:rPr>
          <w:rFonts w:ascii="Traditional Arabic" w:hAnsi="Traditional Arabic"/>
          <w:rtl/>
        </w:rPr>
        <w:t xml:space="preserve">. قوله تعالى: </w:t>
      </w:r>
      <w:r w:rsidRPr="00E14A40">
        <w:rPr>
          <w:rFonts w:ascii="QCF_BSML" w:hAnsi="QCF_BSML" w:cs="QCF_BSML"/>
          <w:color w:val="auto"/>
          <w:sz w:val="32"/>
          <w:szCs w:val="32"/>
          <w:rtl/>
          <w:lang w:eastAsia="en-US"/>
        </w:rPr>
        <w:t>ﭽ</w:t>
      </w:r>
      <w:r w:rsidRPr="00E14A40">
        <w:rPr>
          <w:rFonts w:ascii="QCF_P299" w:hAnsi="QCF_P299" w:cs="QCF_P299"/>
          <w:color w:val="auto"/>
          <w:sz w:val="32"/>
          <w:szCs w:val="32"/>
          <w:rtl/>
          <w:lang w:eastAsia="en-US"/>
        </w:rPr>
        <w:t>ﭬ   ﭭ  ﭮ  ﭯ</w:t>
      </w:r>
      <w:r w:rsidRPr="00E14A40">
        <w:rPr>
          <w:rFonts w:ascii="QCF_BSML" w:hAnsi="QCF_BSML" w:cs="QCF_BSML"/>
          <w:color w:val="auto"/>
          <w:sz w:val="32"/>
          <w:szCs w:val="32"/>
          <w:rtl/>
          <w:lang w:eastAsia="en-US"/>
        </w:rPr>
        <w:t xml:space="preserve"> ﭼ</w:t>
      </w:r>
      <w:r w:rsidRPr="00E14A40">
        <w:rPr>
          <w:rFonts w:ascii="QCF_P299" w:hAnsi="QCF_P299" w:cs="QCF_P299"/>
          <w:color w:val="auto"/>
          <w:sz w:val="32"/>
          <w:szCs w:val="32"/>
          <w:rtl/>
          <w:lang w:eastAsia="en-US"/>
        </w:rPr>
        <w:t xml:space="preserve">  </w:t>
      </w:r>
      <w:r w:rsidRPr="00E14A40">
        <w:rPr>
          <w:rFonts w:ascii="Traditional Arabic" w:hAnsi="Traditional Arabic" w:hint="cs"/>
          <w:rtl/>
        </w:rPr>
        <w:t xml:space="preserve"> </w:t>
      </w:r>
      <w:r w:rsidRPr="00E14A40">
        <w:rPr>
          <w:rFonts w:ascii="Traditional Arabic" w:hAnsi="Traditional Arabic"/>
          <w:rtl/>
        </w:rPr>
        <w:t>إِن قيل: هذا أمر مستقبل، فكيف عُبِّر بالماضي</w:t>
      </w:r>
      <w:r w:rsidRPr="00E14A40">
        <w:rPr>
          <w:vertAlign w:val="superscript"/>
          <w:rtl/>
        </w:rPr>
        <w:t>(</w:t>
      </w:r>
      <w:r w:rsidRPr="00E14A40">
        <w:rPr>
          <w:vertAlign w:val="superscript"/>
          <w:rtl/>
        </w:rPr>
        <w:footnoteReference w:id="1452"/>
      </w:r>
      <w:r w:rsidRPr="00E14A40">
        <w:rPr>
          <w:vertAlign w:val="superscript"/>
          <w:rtl/>
        </w:rPr>
        <w:t>)</w:t>
      </w:r>
      <w:r w:rsidRPr="00E14A40">
        <w:rPr>
          <w:rFonts w:ascii="Traditional Arabic" w:hAnsi="Traditional Arabic"/>
          <w:rtl/>
        </w:rPr>
        <w:t>؟</w:t>
      </w:r>
      <w:r w:rsidRPr="00E14A40">
        <w:rPr>
          <w:rFonts w:ascii="Traditional Arabic" w:hAnsi="Traditional Arabic" w:hint="cs"/>
          <w:rtl/>
        </w:rPr>
        <w:t xml:space="preserve"> </w:t>
      </w:r>
      <w:r w:rsidRPr="00E14A40">
        <w:rPr>
          <w:rFonts w:ascii="Traditional Arabic" w:hAnsi="Traditional Arabic"/>
          <w:rtl/>
        </w:rPr>
        <w:t xml:space="preserve">فالجواب: أن ما قد علم الله وقوعه، يجري مجرى المعاين، كقوله تعالى: </w:t>
      </w:r>
      <w:r w:rsidRPr="00E14A40">
        <w:rPr>
          <w:rFonts w:ascii="QCF_BSML" w:hAnsi="QCF_BSML" w:cs="QCF_BSML"/>
          <w:sz w:val="32"/>
          <w:szCs w:val="32"/>
          <w:rtl/>
          <w:lang w:eastAsia="en-US"/>
        </w:rPr>
        <w:t>ﭽ</w:t>
      </w:r>
      <w:r w:rsidRPr="00E14A40">
        <w:rPr>
          <w:rFonts w:ascii="QCF_P156" w:hAnsi="QCF_P156" w:cs="QCF_P156"/>
          <w:sz w:val="32"/>
          <w:szCs w:val="32"/>
          <w:rtl/>
          <w:lang w:eastAsia="en-US"/>
        </w:rPr>
        <w:t>ﭑ  ﭒ  ﭓ</w:t>
      </w:r>
      <w:r w:rsidRPr="00E14A40">
        <w:rPr>
          <w:rFonts w:ascii="QCF_BSML" w:hAnsi="QCF_BSML" w:cs="QCF_BSML"/>
          <w:sz w:val="32"/>
          <w:szCs w:val="32"/>
          <w:rtl/>
          <w:lang w:eastAsia="en-US"/>
        </w:rPr>
        <w:t>ﭼ</w:t>
      </w:r>
      <w:r w:rsidRPr="00E14A40">
        <w:rPr>
          <w:rFonts w:ascii="Traditional Arabic" w:hAnsi="Traditional Arabic" w:hint="cs"/>
          <w:color w:val="auto"/>
          <w:sz w:val="32"/>
          <w:szCs w:val="32"/>
          <w:rtl/>
          <w:lang w:eastAsia="en-US"/>
        </w:rPr>
        <w:t>[</w:t>
      </w:r>
      <w:r w:rsidRPr="00E14A40">
        <w:rPr>
          <w:rFonts w:ascii="Traditional Arabic" w:hAnsi="Traditional Arabic"/>
          <w:color w:val="auto"/>
          <w:sz w:val="32"/>
          <w:szCs w:val="32"/>
          <w:rtl/>
          <w:lang w:eastAsia="en-US"/>
        </w:rPr>
        <w:t>سورة الأعراف:4</w:t>
      </w:r>
      <w:r w:rsidRPr="00E14A40">
        <w:rPr>
          <w:rFonts w:ascii="Traditional Arabic" w:hAnsi="Traditional Arabic" w:hint="cs"/>
          <w:color w:val="auto"/>
          <w:sz w:val="32"/>
          <w:szCs w:val="32"/>
          <w:rtl/>
          <w:lang w:eastAsia="en-US"/>
        </w:rPr>
        <w:t>4]</w:t>
      </w:r>
      <w:r w:rsidRPr="00E14A40">
        <w:rPr>
          <w:rFonts w:ascii="Traditional Arabic" w:hAnsi="Traditional Arabic"/>
          <w:sz w:val="32"/>
          <w:szCs w:val="32"/>
          <w:rtl/>
        </w:rPr>
        <w:t>.</w:t>
      </w:r>
      <w:r w:rsidRPr="00E14A40">
        <w:rPr>
          <w:rFonts w:ascii="Traditional Arabic" w:hAnsi="Traditional Arabic" w:hint="cs"/>
          <w:sz w:val="32"/>
          <w:szCs w:val="32"/>
          <w:rtl/>
        </w:rPr>
        <w:t xml:space="preserve"> </w:t>
      </w:r>
      <w:r w:rsidRPr="00E14A40">
        <w:rPr>
          <w:rFonts w:ascii="Traditional Arabic" w:hAnsi="Traditional Arabic"/>
          <w:rtl/>
        </w:rPr>
        <w:t xml:space="preserve">وفي معنى قوله: </w:t>
      </w:r>
      <w:r w:rsidRPr="00E14A40">
        <w:rPr>
          <w:rFonts w:ascii="QCF_BSML" w:hAnsi="QCF_BSML" w:cs="QCF_BSML"/>
          <w:color w:val="auto"/>
          <w:sz w:val="32"/>
          <w:szCs w:val="32"/>
          <w:rtl/>
          <w:lang w:eastAsia="en-US"/>
        </w:rPr>
        <w:t>ﭽ</w:t>
      </w:r>
      <w:r w:rsidRPr="00E14A40">
        <w:rPr>
          <w:rFonts w:ascii="QCF_P299" w:hAnsi="QCF_P299" w:cs="QCF_P299"/>
          <w:color w:val="auto"/>
          <w:sz w:val="32"/>
          <w:szCs w:val="32"/>
          <w:rtl/>
          <w:lang w:eastAsia="en-US"/>
        </w:rPr>
        <w:t>ﭯ</w:t>
      </w:r>
      <w:r w:rsidRPr="00E14A40">
        <w:rPr>
          <w:rFonts w:ascii="QCF_BSML" w:hAnsi="QCF_BSML" w:cs="QCF_BSML"/>
          <w:color w:val="auto"/>
          <w:sz w:val="32"/>
          <w:szCs w:val="32"/>
          <w:rtl/>
          <w:lang w:eastAsia="en-US"/>
        </w:rPr>
        <w:t xml:space="preserve"> ﭼ</w:t>
      </w:r>
      <w:r w:rsidRPr="00E14A40">
        <w:rPr>
          <w:rFonts w:ascii="Traditional Arabic" w:hAnsi="Traditional Arabic" w:hint="cs"/>
          <w:rtl/>
        </w:rPr>
        <w:t xml:space="preserve"> </w:t>
      </w:r>
      <w:r w:rsidRPr="00E14A40">
        <w:rPr>
          <w:rFonts w:ascii="Traditional Arabic" w:hAnsi="Traditional Arabic"/>
          <w:rtl/>
        </w:rPr>
        <w:t xml:space="preserve">أربعة أقوال: أحدها: أنه بمعنى جميعاً، كقوله: </w:t>
      </w:r>
      <w:r w:rsidRPr="00E14A40">
        <w:rPr>
          <w:rFonts w:ascii="QCF_BSML" w:hAnsi="QCF_BSML" w:cs="QCF_BSML"/>
          <w:sz w:val="32"/>
          <w:szCs w:val="32"/>
          <w:rtl/>
          <w:lang w:eastAsia="en-US"/>
        </w:rPr>
        <w:t>ﭽ</w:t>
      </w:r>
      <w:r w:rsidRPr="00E14A40">
        <w:rPr>
          <w:rFonts w:ascii="QCF_P315" w:hAnsi="QCF_P315" w:cs="QCF_P315"/>
          <w:sz w:val="32"/>
          <w:szCs w:val="32"/>
          <w:rtl/>
          <w:lang w:eastAsia="en-US"/>
        </w:rPr>
        <w:t>ﯽ  ﯾ  ﯿ</w:t>
      </w:r>
      <w:r w:rsidRPr="00E14A40">
        <w:rPr>
          <w:rFonts w:ascii="QCF_BSML" w:hAnsi="QCF_BSML" w:cs="QCF_BSML"/>
          <w:sz w:val="32"/>
          <w:szCs w:val="32"/>
          <w:rtl/>
          <w:lang w:eastAsia="en-US"/>
        </w:rPr>
        <w:t>ﭼ</w:t>
      </w:r>
      <w:r w:rsidRPr="00E14A40">
        <w:rPr>
          <w:rFonts w:ascii="QCF_BSML" w:hAnsi="QCF_BSML" w:cs="QCF_BSML" w:hint="cs"/>
          <w:sz w:val="32"/>
          <w:szCs w:val="32"/>
          <w:rtl/>
          <w:lang w:eastAsia="en-US"/>
        </w:rPr>
        <w:t xml:space="preserve"> </w:t>
      </w:r>
      <w:r w:rsidRPr="00E14A40">
        <w:rPr>
          <w:rFonts w:ascii="QCF_BSML" w:hAnsi="QCF_BSML" w:cs="QCF_BSML"/>
          <w:sz w:val="47"/>
          <w:szCs w:val="47"/>
          <w:rtl/>
          <w:lang w:eastAsia="en-US"/>
        </w:rPr>
        <w:t xml:space="preserve"> </w:t>
      </w:r>
      <w:r w:rsidRPr="00E14A40">
        <w:rPr>
          <w:rFonts w:ascii="Traditional Arabic" w:hAnsi="Traditional Arabic" w:hint="cs"/>
          <w:sz w:val="32"/>
          <w:szCs w:val="32"/>
          <w:rtl/>
        </w:rPr>
        <w:t>[</w:t>
      </w:r>
      <w:r w:rsidRPr="00E14A40">
        <w:rPr>
          <w:rFonts w:ascii="Traditional Arabic" w:hAnsi="Traditional Arabic"/>
          <w:sz w:val="32"/>
          <w:szCs w:val="32"/>
          <w:rtl/>
        </w:rPr>
        <w:t>سورة طه:64</w:t>
      </w:r>
      <w:r w:rsidRPr="00E14A40">
        <w:rPr>
          <w:rFonts w:ascii="Traditional Arabic" w:hAnsi="Traditional Arabic" w:hint="cs"/>
          <w:sz w:val="32"/>
          <w:szCs w:val="32"/>
          <w:rtl/>
        </w:rPr>
        <w:t>]</w:t>
      </w:r>
      <w:r w:rsidRPr="00E14A40">
        <w:rPr>
          <w:rFonts w:ascii="Traditional Arabic" w:hAnsi="Traditional Arabic"/>
          <w:rtl/>
        </w:rPr>
        <w:t xml:space="preserve"> قاله مقاتل</w:t>
      </w:r>
      <w:r w:rsidRPr="00E14A40">
        <w:rPr>
          <w:vertAlign w:val="superscript"/>
          <w:rtl/>
        </w:rPr>
        <w:t>(</w:t>
      </w:r>
      <w:r w:rsidRPr="00E14A40">
        <w:rPr>
          <w:vertAlign w:val="superscript"/>
          <w:rtl/>
        </w:rPr>
        <w:footnoteReference w:id="1453"/>
      </w:r>
      <w:r w:rsidRPr="00E14A40">
        <w:rPr>
          <w:vertAlign w:val="superscript"/>
          <w:rtl/>
        </w:rPr>
        <w:t>)</w:t>
      </w:r>
      <w:r w:rsidRPr="00E14A40">
        <w:rPr>
          <w:rFonts w:ascii="Traditional Arabic" w:hAnsi="Traditional Arabic"/>
          <w:rtl/>
        </w:rPr>
        <w:t xml:space="preserve">. والثاني: أن المعنى: وعُرضوا على ربِّك مصفوفين، </w:t>
      </w:r>
      <w:r w:rsidRPr="00E14A40">
        <w:rPr>
          <w:rFonts w:ascii="Traditional Arabic" w:hAnsi="Traditional Arabic"/>
          <w:rtl/>
        </w:rPr>
        <w:lastRenderedPageBreak/>
        <w:t>هذا مذهب البَصريين</w:t>
      </w:r>
      <w:r w:rsidRPr="00E14A40">
        <w:rPr>
          <w:vertAlign w:val="superscript"/>
          <w:rtl/>
        </w:rPr>
        <w:t>(</w:t>
      </w:r>
      <w:r w:rsidRPr="00E14A40">
        <w:rPr>
          <w:vertAlign w:val="superscript"/>
          <w:rtl/>
        </w:rPr>
        <w:footnoteReference w:id="1454"/>
      </w:r>
      <w:r w:rsidRPr="00E14A40">
        <w:rPr>
          <w:vertAlign w:val="superscript"/>
          <w:rtl/>
        </w:rPr>
        <w:t>)</w:t>
      </w:r>
      <w:r w:rsidRPr="00E14A40">
        <w:rPr>
          <w:rFonts w:ascii="Traditional Arabic" w:hAnsi="Traditional Arabic"/>
          <w:rtl/>
        </w:rPr>
        <w:t xml:space="preserve">. والثالث: أن المعنى: وعُرضوا على ربِّك صفوفاً، فناب الواحد عن الجميع، كقوله: </w:t>
      </w:r>
      <w:r w:rsidRPr="00E14A40">
        <w:rPr>
          <w:rFonts w:ascii="QCF_BSML" w:hAnsi="QCF_BSML" w:cs="QCF_BSML"/>
          <w:sz w:val="32"/>
          <w:szCs w:val="32"/>
          <w:rtl/>
          <w:lang w:eastAsia="en-US"/>
        </w:rPr>
        <w:t xml:space="preserve">ﭽ </w:t>
      </w:r>
      <w:r w:rsidRPr="00E14A40">
        <w:rPr>
          <w:rFonts w:ascii="QCF_P332" w:hAnsi="QCF_P332" w:cs="QCF_P332"/>
          <w:sz w:val="32"/>
          <w:szCs w:val="32"/>
          <w:rtl/>
          <w:lang w:eastAsia="en-US"/>
        </w:rPr>
        <w:t>ﮯ  ﮰ   ﮱ</w:t>
      </w:r>
      <w:r w:rsidRPr="00E14A40">
        <w:rPr>
          <w:rFonts w:ascii="QCF_BSML" w:hAnsi="QCF_BSML" w:cs="QCF_BSML"/>
          <w:sz w:val="32"/>
          <w:szCs w:val="32"/>
          <w:rtl/>
          <w:lang w:eastAsia="en-US"/>
        </w:rPr>
        <w:t>ﭼ</w:t>
      </w:r>
      <w:r w:rsidRPr="00E14A40">
        <w:rPr>
          <w:rFonts w:ascii="Arial" w:hAnsi="Arial" w:cs="Arial"/>
          <w:sz w:val="18"/>
          <w:szCs w:val="18"/>
          <w:rtl/>
          <w:lang w:eastAsia="en-US"/>
        </w:rPr>
        <w:t xml:space="preserve"> </w:t>
      </w:r>
      <w:r w:rsidRPr="00E14A40">
        <w:rPr>
          <w:rFonts w:ascii="Traditional Arabic" w:hAnsi="Traditional Arabic" w:hint="cs"/>
          <w:sz w:val="28"/>
          <w:szCs w:val="28"/>
          <w:rtl/>
        </w:rPr>
        <w:t>[</w:t>
      </w:r>
      <w:r w:rsidRPr="00E14A40">
        <w:rPr>
          <w:rFonts w:ascii="Traditional Arabic" w:hAnsi="Traditional Arabic"/>
          <w:sz w:val="28"/>
          <w:szCs w:val="28"/>
          <w:rtl/>
        </w:rPr>
        <w:t>سورة الحج:5</w:t>
      </w:r>
      <w:r w:rsidRPr="00E14A40">
        <w:rPr>
          <w:rFonts w:ascii="Traditional Arabic" w:hAnsi="Traditional Arabic" w:hint="cs"/>
          <w:sz w:val="28"/>
          <w:szCs w:val="28"/>
          <w:rtl/>
        </w:rPr>
        <w:t>]</w:t>
      </w:r>
      <w:r w:rsidRPr="00E14A40">
        <w:rPr>
          <w:rFonts w:ascii="Traditional Arabic" w:hAnsi="Traditional Arabic"/>
          <w:rtl/>
        </w:rPr>
        <w:t>.</w:t>
      </w:r>
      <w:r w:rsidRPr="00E14A40">
        <w:rPr>
          <w:rFonts w:ascii="Traditional Arabic" w:hAnsi="Traditional Arabic" w:hint="cs"/>
          <w:rtl/>
        </w:rPr>
        <w:t xml:space="preserve"> </w:t>
      </w:r>
      <w:r w:rsidRPr="00E14A40">
        <w:rPr>
          <w:rFonts w:ascii="Traditional Arabic" w:hAnsi="Traditional Arabic"/>
          <w:rtl/>
        </w:rPr>
        <w:t xml:space="preserve">والرابع: أنه لم يَغِبْ </w:t>
      </w:r>
      <w:r w:rsidRPr="00E14A40">
        <w:rPr>
          <w:rFonts w:ascii="Traditional Arabic" w:hAnsi="Traditional Arabic" w:hint="cs"/>
          <w:sz w:val="32"/>
          <w:szCs w:val="32"/>
          <w:rtl/>
        </w:rPr>
        <w:t>[127]</w:t>
      </w:r>
      <w:r w:rsidRPr="00E14A40">
        <w:rPr>
          <w:rFonts w:ascii="Traditional Arabic" w:hAnsi="Traditional Arabic"/>
          <w:rtl/>
        </w:rPr>
        <w:t xml:space="preserve"> عن الله منهم أحد</w:t>
      </w:r>
      <w:r w:rsidRPr="00E14A40">
        <w:rPr>
          <w:vertAlign w:val="superscript"/>
          <w:rtl/>
        </w:rPr>
        <w:t>(</w:t>
      </w:r>
      <w:r w:rsidRPr="00E14A40">
        <w:rPr>
          <w:vertAlign w:val="superscript"/>
          <w:rtl/>
        </w:rPr>
        <w:footnoteReference w:id="1455"/>
      </w:r>
      <w:r w:rsidRPr="00E14A40">
        <w:rPr>
          <w:vertAlign w:val="superscript"/>
          <w:rtl/>
        </w:rPr>
        <w:t>)</w:t>
      </w:r>
      <w:r w:rsidRPr="00E14A40">
        <w:rPr>
          <w:rFonts w:ascii="Traditional Arabic" w:hAnsi="Traditional Arabic"/>
          <w:rtl/>
        </w:rPr>
        <w:t>، فكانوا كالصف الذي تسهل الإِحاطة بجملته، ذكر هذه الأقوال ابن الأنباري</w:t>
      </w:r>
      <w:r w:rsidRPr="00E14A40">
        <w:rPr>
          <w:vertAlign w:val="superscript"/>
          <w:rtl/>
        </w:rPr>
        <w:t>(</w:t>
      </w:r>
      <w:r w:rsidRPr="00E14A40">
        <w:rPr>
          <w:vertAlign w:val="superscript"/>
          <w:rtl/>
        </w:rPr>
        <w:footnoteReference w:id="1456"/>
      </w:r>
      <w:r w:rsidRPr="00E14A40">
        <w:rPr>
          <w:vertAlign w:val="superscript"/>
          <w:rtl/>
        </w:rPr>
        <w:t>)</w:t>
      </w:r>
      <w:r w:rsidRPr="00E14A40">
        <w:rPr>
          <w:rFonts w:ascii="Traditional Arabic" w:hAnsi="Traditional Arabic"/>
          <w:rtl/>
        </w:rPr>
        <w:t>، وقد قيل: إِن كلَّ أمة وزمرة صفٌّ</w:t>
      </w:r>
      <w:r w:rsidRPr="00E14A40">
        <w:rPr>
          <w:vertAlign w:val="superscript"/>
          <w:rtl/>
        </w:rPr>
        <w:t>(</w:t>
      </w:r>
      <w:r w:rsidRPr="00E14A40">
        <w:rPr>
          <w:vertAlign w:val="superscript"/>
          <w:rtl/>
        </w:rPr>
        <w:footnoteReference w:id="1457"/>
      </w:r>
      <w:r w:rsidRPr="00E14A40">
        <w:rPr>
          <w:vertAlign w:val="superscript"/>
          <w:rtl/>
        </w:rPr>
        <w:t>)</w:t>
      </w:r>
      <w:r w:rsidRPr="00E14A40">
        <w:rPr>
          <w:rFonts w:ascii="Traditional Arabic" w:hAnsi="Traditional Arabic"/>
          <w:rtl/>
        </w:rPr>
        <w:t>.</w:t>
      </w:r>
      <w:r w:rsidRPr="00E14A40">
        <w:rPr>
          <w:rFonts w:ascii="Traditional Arabic" w:hAnsi="Traditional Arabic" w:hint="cs"/>
          <w:rtl/>
        </w:rPr>
        <w:t xml:space="preserve"> </w:t>
      </w:r>
    </w:p>
    <w:p w:rsidR="00E14A40" w:rsidRPr="00E14A40" w:rsidRDefault="00E14A40" w:rsidP="00E14A40">
      <w:pPr>
        <w:ind w:firstLine="0"/>
        <w:rPr>
          <w:rFonts w:ascii="Traditional Arabic" w:hAnsi="Traditional Arabic"/>
          <w:rtl/>
        </w:rPr>
      </w:pPr>
      <w:r w:rsidRPr="00E14A40">
        <w:rPr>
          <w:rFonts w:ascii="Traditional Arabic" w:hAnsi="Traditional Arabic"/>
          <w:rtl/>
        </w:rPr>
        <w:t xml:space="preserve">قوله تعالى: </w:t>
      </w:r>
      <w:r w:rsidRPr="00E14A40">
        <w:rPr>
          <w:rFonts w:ascii="QCF_BSML" w:hAnsi="QCF_BSML" w:cs="QCF_BSML"/>
          <w:color w:val="auto"/>
          <w:sz w:val="32"/>
          <w:szCs w:val="32"/>
          <w:rtl/>
          <w:lang w:eastAsia="en-US"/>
        </w:rPr>
        <w:t>ﭽ</w:t>
      </w:r>
      <w:r w:rsidRPr="00E14A40">
        <w:rPr>
          <w:rFonts w:ascii="Traditional Arabic" w:hAnsi="Traditional Arabic"/>
          <w:rtl/>
        </w:rPr>
        <w:t xml:space="preserve"> </w:t>
      </w:r>
      <w:r w:rsidRPr="00E14A40">
        <w:rPr>
          <w:rFonts w:ascii="QCF_P299" w:hAnsi="QCF_P299" w:cs="QCF_P299"/>
          <w:color w:val="auto"/>
          <w:sz w:val="32"/>
          <w:szCs w:val="32"/>
          <w:rtl/>
          <w:lang w:eastAsia="en-US"/>
        </w:rPr>
        <w:t>ﭰ  ﭱ</w:t>
      </w:r>
      <w:r w:rsidRPr="00E14A40">
        <w:rPr>
          <w:rFonts w:ascii="QCF_BSML" w:hAnsi="QCF_BSML" w:cs="QCF_BSML"/>
          <w:color w:val="auto"/>
          <w:sz w:val="32"/>
          <w:szCs w:val="32"/>
          <w:rtl/>
          <w:lang w:eastAsia="en-US"/>
        </w:rPr>
        <w:t>ﭼ</w:t>
      </w:r>
      <w:r w:rsidRPr="00E14A40">
        <w:rPr>
          <w:rFonts w:ascii="QCF_P299" w:hAnsi="QCF_P299" w:cs="QCF_P299" w:hint="cs"/>
          <w:color w:val="auto"/>
          <w:sz w:val="32"/>
          <w:szCs w:val="32"/>
          <w:rtl/>
          <w:lang w:eastAsia="en-US"/>
        </w:rPr>
        <w:t xml:space="preserve">    </w:t>
      </w:r>
      <w:r w:rsidRPr="00E14A40">
        <w:rPr>
          <w:rFonts w:ascii="QCF_P299" w:hAnsi="QCF_P299" w:cs="QCF_P299"/>
          <w:color w:val="auto"/>
          <w:sz w:val="32"/>
          <w:szCs w:val="32"/>
          <w:rtl/>
          <w:lang w:eastAsia="en-US"/>
        </w:rPr>
        <w:t xml:space="preserve"> </w:t>
      </w:r>
      <w:r w:rsidRPr="00E14A40">
        <w:rPr>
          <w:rFonts w:ascii="Traditional Arabic" w:hAnsi="Traditional Arabic"/>
          <w:rtl/>
        </w:rPr>
        <w:t>فيه إضمار «ف</w:t>
      </w:r>
      <w:r w:rsidRPr="00E14A40">
        <w:rPr>
          <w:rFonts w:ascii="Traditional Arabic" w:hAnsi="Traditional Arabic" w:hint="cs"/>
          <w:rtl/>
        </w:rPr>
        <w:t>ي</w:t>
      </w:r>
      <w:r w:rsidRPr="00E14A40">
        <w:rPr>
          <w:rFonts w:ascii="Traditional Arabic" w:hAnsi="Traditional Arabic"/>
          <w:rtl/>
        </w:rPr>
        <w:t>قال لهم». وفي المخاطبين بهذا قولان: أحدهما:</w:t>
      </w:r>
      <w:r w:rsidRPr="00E14A40">
        <w:rPr>
          <w:rFonts w:ascii="Traditional Arabic" w:hAnsi="Traditional Arabic" w:hint="cs"/>
          <w:rtl/>
        </w:rPr>
        <w:t xml:space="preserve"> </w:t>
      </w:r>
      <w:r w:rsidRPr="00E14A40">
        <w:rPr>
          <w:rFonts w:ascii="Traditional Arabic" w:hAnsi="Traditional Arabic"/>
          <w:rtl/>
        </w:rPr>
        <w:t>أنهم الكُلّ</w:t>
      </w:r>
      <w:r w:rsidRPr="00E14A40">
        <w:rPr>
          <w:vertAlign w:val="superscript"/>
          <w:rtl/>
        </w:rPr>
        <w:t>(</w:t>
      </w:r>
      <w:r w:rsidRPr="00E14A40">
        <w:rPr>
          <w:vertAlign w:val="superscript"/>
          <w:rtl/>
        </w:rPr>
        <w:footnoteReference w:id="1458"/>
      </w:r>
      <w:r w:rsidRPr="00E14A40">
        <w:rPr>
          <w:vertAlign w:val="superscript"/>
          <w:rtl/>
        </w:rPr>
        <w:t>)</w:t>
      </w:r>
      <w:r w:rsidRPr="00E14A40">
        <w:rPr>
          <w:rFonts w:ascii="Traditional Arabic" w:hAnsi="Traditional Arabic"/>
          <w:rtl/>
        </w:rPr>
        <w:t>. والثاني: الكُفار، فيكون اللفظ عامّاً، والمعنى خاصّا</w:t>
      </w:r>
      <w:r w:rsidRPr="00E14A40">
        <w:rPr>
          <w:vertAlign w:val="superscript"/>
          <w:rtl/>
        </w:rPr>
        <w:t>(</w:t>
      </w:r>
      <w:r w:rsidRPr="00E14A40">
        <w:rPr>
          <w:vertAlign w:val="superscript"/>
          <w:rtl/>
        </w:rPr>
        <w:footnoteReference w:id="1459"/>
      </w:r>
      <w:r w:rsidRPr="00E14A40">
        <w:rPr>
          <w:vertAlign w:val="superscript"/>
          <w:rtl/>
        </w:rPr>
        <w:t>)</w:t>
      </w:r>
      <w:r w:rsidRPr="00E14A40">
        <w:rPr>
          <w:rFonts w:ascii="Traditional Arabic" w:hAnsi="Traditional Arabic"/>
          <w:rtl/>
        </w:rPr>
        <w:t xml:space="preserve">. وقوله: </w:t>
      </w:r>
      <w:r w:rsidRPr="00E14A40">
        <w:rPr>
          <w:rFonts w:ascii="QCF_BSML" w:hAnsi="QCF_BSML" w:cs="QCF_BSML"/>
          <w:color w:val="auto"/>
          <w:sz w:val="32"/>
          <w:szCs w:val="32"/>
          <w:rtl/>
          <w:lang w:eastAsia="en-US"/>
        </w:rPr>
        <w:t>ﭽ</w:t>
      </w:r>
      <w:r w:rsidRPr="00E14A40">
        <w:rPr>
          <w:rFonts w:ascii="QCF_P299" w:hAnsi="QCF_P299" w:cs="QCF_P299"/>
          <w:color w:val="auto"/>
          <w:sz w:val="32"/>
          <w:szCs w:val="32"/>
          <w:rtl/>
          <w:lang w:eastAsia="en-US"/>
        </w:rPr>
        <w:t xml:space="preserve"> ﭲ  ﭳ  ﭴ  ﭵﭶ  </w:t>
      </w:r>
      <w:r w:rsidRPr="00E14A40">
        <w:rPr>
          <w:rFonts w:ascii="QCF_BSML" w:hAnsi="QCF_BSML" w:cs="QCF_BSML"/>
          <w:color w:val="auto"/>
          <w:sz w:val="32"/>
          <w:szCs w:val="32"/>
          <w:rtl/>
          <w:lang w:eastAsia="en-US"/>
        </w:rPr>
        <w:t>ﭼ</w:t>
      </w:r>
      <w:r w:rsidRPr="00E14A40">
        <w:rPr>
          <w:rFonts w:ascii="Traditional Arabic" w:hAnsi="Traditional Arabic"/>
          <w:rtl/>
        </w:rPr>
        <w:t xml:space="preserve"> مفسر في الأنعام</w:t>
      </w:r>
      <w:r w:rsidRPr="00E14A40">
        <w:rPr>
          <w:vertAlign w:val="superscript"/>
          <w:rtl/>
        </w:rPr>
        <w:t>(</w:t>
      </w:r>
      <w:r w:rsidRPr="00E14A40">
        <w:rPr>
          <w:vertAlign w:val="superscript"/>
          <w:rtl/>
        </w:rPr>
        <w:footnoteReference w:id="1460"/>
      </w:r>
      <w:r w:rsidRPr="00E14A40">
        <w:rPr>
          <w:vertAlign w:val="superscript"/>
          <w:rtl/>
        </w:rPr>
        <w:t>)</w:t>
      </w:r>
      <w:r w:rsidRPr="00E14A40">
        <w:rPr>
          <w:rFonts w:ascii="Traditional Arabic" w:hAnsi="Traditional Arabic"/>
          <w:rtl/>
        </w:rPr>
        <w:t>. وقوله:</w:t>
      </w:r>
      <w:r w:rsidRPr="00E14A40">
        <w:rPr>
          <w:rFonts w:ascii="QCF_BSML" w:hAnsi="QCF_BSML" w:cs="QCF_BSML"/>
          <w:color w:val="auto"/>
          <w:sz w:val="32"/>
          <w:szCs w:val="32"/>
          <w:rtl/>
          <w:lang w:eastAsia="en-US"/>
        </w:rPr>
        <w:t xml:space="preserve"> ﭽ</w:t>
      </w:r>
      <w:r w:rsidRPr="00E14A40">
        <w:rPr>
          <w:rFonts w:ascii="Traditional Arabic" w:hAnsi="Traditional Arabic"/>
          <w:rtl/>
        </w:rPr>
        <w:t xml:space="preserve"> </w:t>
      </w:r>
      <w:r w:rsidRPr="00E14A40">
        <w:rPr>
          <w:rFonts w:ascii="QCF_P299" w:hAnsi="QCF_P299" w:cs="QCF_P299"/>
          <w:color w:val="auto"/>
          <w:sz w:val="32"/>
          <w:szCs w:val="32"/>
          <w:rtl/>
          <w:lang w:eastAsia="en-US"/>
        </w:rPr>
        <w:t>ﭷ  ﭸ</w:t>
      </w:r>
      <w:r w:rsidRPr="00E14A40">
        <w:rPr>
          <w:rFonts w:ascii="QCF_BSML" w:hAnsi="QCF_BSML" w:cs="QCF_BSML"/>
          <w:color w:val="auto"/>
          <w:sz w:val="32"/>
          <w:szCs w:val="32"/>
          <w:rtl/>
          <w:lang w:eastAsia="en-US"/>
        </w:rPr>
        <w:t xml:space="preserve"> ﭼ</w:t>
      </w:r>
      <w:r w:rsidRPr="00E14A40">
        <w:rPr>
          <w:rFonts w:ascii="QCF_P299" w:hAnsi="QCF_P299" w:cs="QCF_P299"/>
          <w:color w:val="auto"/>
          <w:sz w:val="32"/>
          <w:szCs w:val="32"/>
          <w:rtl/>
          <w:lang w:eastAsia="en-US"/>
        </w:rPr>
        <w:t xml:space="preserve">   </w:t>
      </w:r>
      <w:r w:rsidRPr="00E14A40">
        <w:rPr>
          <w:rFonts w:ascii="Traditional Arabic" w:hAnsi="Traditional Arabic"/>
          <w:rtl/>
        </w:rPr>
        <w:t>خطاب للكفّار خاصّة، والمعنى: زعمتم في الدني</w:t>
      </w:r>
      <w:r w:rsidRPr="00E14A40">
        <w:rPr>
          <w:rFonts w:ascii="Traditional Arabic" w:hAnsi="Traditional Arabic" w:hint="cs"/>
          <w:rtl/>
        </w:rPr>
        <w:t xml:space="preserve">ا </w:t>
      </w:r>
      <w:r w:rsidRPr="00E14A40">
        <w:rPr>
          <w:rFonts w:ascii="QCF_BSML" w:hAnsi="QCF_BSML" w:cs="QCF_BSML"/>
          <w:color w:val="auto"/>
          <w:sz w:val="32"/>
          <w:szCs w:val="32"/>
          <w:rtl/>
          <w:lang w:eastAsia="en-US"/>
        </w:rPr>
        <w:t>ﭽ</w:t>
      </w:r>
      <w:r w:rsidRPr="00E14A40">
        <w:rPr>
          <w:rFonts w:ascii="QCF_P299" w:hAnsi="QCF_P299" w:cs="QCF_P299"/>
          <w:color w:val="auto"/>
          <w:sz w:val="32"/>
          <w:szCs w:val="32"/>
          <w:rtl/>
          <w:lang w:eastAsia="en-US"/>
        </w:rPr>
        <w:t>ﭹ  ﭺ  ﭻ  ﭼ</w:t>
      </w:r>
      <w:r w:rsidRPr="00E14A40">
        <w:rPr>
          <w:rFonts w:ascii="QCF_BSML" w:hAnsi="QCF_BSML" w:cs="QCF_BSML"/>
          <w:color w:val="auto"/>
          <w:sz w:val="32"/>
          <w:szCs w:val="32"/>
          <w:rtl/>
          <w:lang w:eastAsia="en-US"/>
        </w:rPr>
        <w:t xml:space="preserve"> ﭼ</w:t>
      </w:r>
      <w:r w:rsidRPr="00E14A40">
        <w:rPr>
          <w:rFonts w:ascii="QCF_BSML" w:hAnsi="QCF_BSML" w:cs="QCF_BSML" w:hint="cs"/>
          <w:color w:val="auto"/>
          <w:sz w:val="32"/>
          <w:szCs w:val="32"/>
          <w:rtl/>
          <w:lang w:eastAsia="en-US"/>
        </w:rPr>
        <w:t xml:space="preserve">   </w:t>
      </w:r>
      <w:r w:rsidRPr="00E14A40">
        <w:rPr>
          <w:rFonts w:ascii="QCF_P299" w:hAnsi="QCF_P299" w:cs="QCF_P299"/>
          <w:color w:val="auto"/>
          <w:sz w:val="32"/>
          <w:szCs w:val="32"/>
          <w:rtl/>
          <w:lang w:eastAsia="en-US"/>
        </w:rPr>
        <w:t xml:space="preserve">  </w:t>
      </w:r>
      <w:r w:rsidRPr="00E14A40">
        <w:rPr>
          <w:rFonts w:ascii="Traditional Arabic" w:hAnsi="Traditional Arabic"/>
          <w:rtl/>
        </w:rPr>
        <w:t>للبعث، والجزاء</w:t>
      </w:r>
      <w:r w:rsidRPr="00E14A40">
        <w:rPr>
          <w:vertAlign w:val="superscript"/>
          <w:rtl/>
        </w:rPr>
        <w:t>(</w:t>
      </w:r>
      <w:r w:rsidRPr="00E14A40">
        <w:rPr>
          <w:vertAlign w:val="superscript"/>
          <w:rtl/>
        </w:rPr>
        <w:footnoteReference w:id="1461"/>
      </w:r>
      <w:r w:rsidRPr="00E14A40">
        <w:rPr>
          <w:vertAlign w:val="superscript"/>
          <w:rtl/>
        </w:rPr>
        <w:t>)</w:t>
      </w:r>
      <w:r w:rsidRPr="00E14A40">
        <w:rPr>
          <w:rFonts w:ascii="Traditional Arabic" w:hAnsi="Traditional Arabic"/>
          <w:rtl/>
        </w:rPr>
        <w:t>.</w:t>
      </w:r>
    </w:p>
    <w:p w:rsidR="00E14A40" w:rsidRPr="00E14A40" w:rsidRDefault="00E14A40" w:rsidP="00E14A40">
      <w:pPr>
        <w:ind w:firstLine="0"/>
        <w:rPr>
          <w:rFonts w:ascii="Traditional Arabic" w:hAnsi="Traditional Arabic"/>
          <w:rtl/>
        </w:rPr>
      </w:pPr>
      <w:r w:rsidRPr="00E14A40">
        <w:rPr>
          <w:rFonts w:ascii="Traditional Arabic" w:hAnsi="Traditional Arabic"/>
          <w:rtl/>
        </w:rPr>
        <w:t xml:space="preserve">قوله تعالى: </w:t>
      </w:r>
      <w:r w:rsidRPr="00E14A40">
        <w:rPr>
          <w:rFonts w:ascii="QCF_BSML" w:hAnsi="QCF_BSML" w:cs="QCF_BSML"/>
          <w:color w:val="auto"/>
          <w:sz w:val="32"/>
          <w:szCs w:val="32"/>
          <w:rtl/>
          <w:lang w:eastAsia="en-US"/>
        </w:rPr>
        <w:t>ﭽ</w:t>
      </w:r>
      <w:r w:rsidRPr="00E14A40">
        <w:rPr>
          <w:rFonts w:ascii="QCF_P299" w:hAnsi="QCF_P299" w:cs="QCF_P299"/>
          <w:color w:val="auto"/>
          <w:sz w:val="32"/>
          <w:szCs w:val="32"/>
          <w:rtl/>
          <w:lang w:eastAsia="en-US"/>
        </w:rPr>
        <w:t>ﭾ  ﭿ</w:t>
      </w:r>
      <w:r w:rsidRPr="00E14A40">
        <w:rPr>
          <w:rFonts w:ascii="QCF_BSML" w:hAnsi="QCF_BSML" w:cs="QCF_BSML"/>
          <w:color w:val="auto"/>
          <w:sz w:val="32"/>
          <w:szCs w:val="32"/>
          <w:rtl/>
          <w:lang w:eastAsia="en-US"/>
        </w:rPr>
        <w:t>ﭼ</w:t>
      </w:r>
      <w:r w:rsidRPr="00E14A40">
        <w:rPr>
          <w:rFonts w:ascii="Traditional Arabic" w:hAnsi="Traditional Arabic"/>
          <w:rtl/>
        </w:rPr>
        <w:t xml:space="preserve"> فيه ثلاثة أقوال: أحدها: أنه الكتاب الذي سُطِر فيه ما تعمل الخلائق قبل وجودهم، قاله ابن عباس</w:t>
      </w:r>
      <w:r w:rsidRPr="00E14A40">
        <w:rPr>
          <w:vertAlign w:val="superscript"/>
          <w:rtl/>
        </w:rPr>
        <w:t>(</w:t>
      </w:r>
      <w:r w:rsidRPr="00E14A40">
        <w:rPr>
          <w:vertAlign w:val="superscript"/>
          <w:rtl/>
        </w:rPr>
        <w:footnoteReference w:id="1462"/>
      </w:r>
      <w:r w:rsidRPr="00E14A40">
        <w:rPr>
          <w:vertAlign w:val="superscript"/>
          <w:rtl/>
        </w:rPr>
        <w:t>)</w:t>
      </w:r>
      <w:r w:rsidRPr="00E14A40">
        <w:rPr>
          <w:rFonts w:ascii="Traditional Arabic" w:hAnsi="Traditional Arabic"/>
          <w:rtl/>
        </w:rPr>
        <w:t>. والثاني: أنه الحساب، قاله ابن السائب</w:t>
      </w:r>
      <w:r w:rsidRPr="00E14A40">
        <w:rPr>
          <w:vertAlign w:val="superscript"/>
          <w:rtl/>
        </w:rPr>
        <w:t>(</w:t>
      </w:r>
      <w:r w:rsidRPr="00E14A40">
        <w:rPr>
          <w:vertAlign w:val="superscript"/>
          <w:rtl/>
        </w:rPr>
        <w:footnoteReference w:id="1463"/>
      </w:r>
      <w:r w:rsidRPr="00E14A40">
        <w:rPr>
          <w:vertAlign w:val="superscript"/>
          <w:rtl/>
        </w:rPr>
        <w:t>)</w:t>
      </w:r>
      <w:r w:rsidRPr="00E14A40">
        <w:rPr>
          <w:rFonts w:ascii="Traditional Arabic" w:hAnsi="Traditional Arabic"/>
          <w:rtl/>
        </w:rPr>
        <w:t>. والثالث: كتاب الأعمال، قاله مقاتل</w:t>
      </w:r>
      <w:r w:rsidRPr="00E14A40">
        <w:rPr>
          <w:vertAlign w:val="superscript"/>
          <w:rtl/>
        </w:rPr>
        <w:t>(</w:t>
      </w:r>
      <w:r w:rsidRPr="00E14A40">
        <w:rPr>
          <w:vertAlign w:val="superscript"/>
          <w:rtl/>
        </w:rPr>
        <w:footnoteReference w:id="1464"/>
      </w:r>
      <w:r w:rsidRPr="00E14A40">
        <w:rPr>
          <w:vertAlign w:val="superscript"/>
          <w:rtl/>
        </w:rPr>
        <w:t>)</w:t>
      </w:r>
      <w:r w:rsidRPr="00E14A40">
        <w:rPr>
          <w:rFonts w:ascii="Traditional Arabic" w:hAnsi="Traditional Arabic"/>
          <w:rtl/>
        </w:rPr>
        <w:t>. وقال ابن جرير: وُضع كتاب أعمال العباد في أيديهم، فعلى هذا</w:t>
      </w:r>
      <w:r w:rsidRPr="00E14A40">
        <w:rPr>
          <w:rFonts w:ascii="Traditional Arabic" w:hAnsi="Traditional Arabic" w:hint="cs"/>
          <w:rtl/>
        </w:rPr>
        <w:t>,</w:t>
      </w:r>
      <w:r w:rsidRPr="00E14A40">
        <w:rPr>
          <w:rFonts w:ascii="Traditional Arabic" w:hAnsi="Traditional Arabic"/>
          <w:rtl/>
        </w:rPr>
        <w:t xml:space="preserve"> الكتاب اسم جنس</w:t>
      </w:r>
      <w:r w:rsidRPr="00E14A40">
        <w:rPr>
          <w:vertAlign w:val="superscript"/>
          <w:rtl/>
        </w:rPr>
        <w:t>(</w:t>
      </w:r>
      <w:r w:rsidRPr="00E14A40">
        <w:rPr>
          <w:vertAlign w:val="superscript"/>
          <w:rtl/>
        </w:rPr>
        <w:footnoteReference w:id="1465"/>
      </w:r>
      <w:r w:rsidRPr="00E14A40">
        <w:rPr>
          <w:vertAlign w:val="superscript"/>
          <w:rtl/>
        </w:rPr>
        <w:t>)</w:t>
      </w:r>
      <w:r w:rsidRPr="00E14A40">
        <w:rPr>
          <w:rFonts w:ascii="Traditional Arabic" w:hAnsi="Traditional Arabic"/>
          <w:rtl/>
        </w:rPr>
        <w:t xml:space="preserve">. قوله تعالى: </w:t>
      </w:r>
      <w:r w:rsidRPr="00E14A40">
        <w:rPr>
          <w:rFonts w:ascii="QCF_BSML" w:hAnsi="QCF_BSML" w:cs="QCF_BSML"/>
          <w:color w:val="auto"/>
          <w:sz w:val="32"/>
          <w:szCs w:val="32"/>
          <w:rtl/>
          <w:lang w:eastAsia="en-US"/>
        </w:rPr>
        <w:t>ﭽ</w:t>
      </w:r>
      <w:r w:rsidRPr="00E14A40">
        <w:rPr>
          <w:rFonts w:ascii="Traditional Arabic" w:hAnsi="Traditional Arabic"/>
          <w:rtl/>
        </w:rPr>
        <w:t xml:space="preserve"> </w:t>
      </w:r>
      <w:r w:rsidRPr="00E14A40">
        <w:rPr>
          <w:rFonts w:ascii="QCF_P299" w:hAnsi="QCF_P299" w:cs="QCF_P299"/>
          <w:color w:val="auto"/>
          <w:sz w:val="32"/>
          <w:szCs w:val="32"/>
          <w:rtl/>
          <w:lang w:eastAsia="en-US"/>
        </w:rPr>
        <w:t xml:space="preserve">ﮀ  ﮁ </w:t>
      </w:r>
      <w:r w:rsidRPr="00E14A40">
        <w:rPr>
          <w:rFonts w:ascii="QCF_BSML" w:hAnsi="QCF_BSML" w:cs="QCF_BSML"/>
          <w:color w:val="auto"/>
          <w:sz w:val="32"/>
          <w:szCs w:val="32"/>
          <w:rtl/>
          <w:lang w:eastAsia="en-US"/>
        </w:rPr>
        <w:t>ﭼ</w:t>
      </w:r>
      <w:r w:rsidRPr="00E14A40">
        <w:rPr>
          <w:rFonts w:ascii="Traditional Arabic" w:hAnsi="Traditional Arabic"/>
          <w:rtl/>
        </w:rPr>
        <w:t xml:space="preserve"> قال مجاهد: الكافرون</w:t>
      </w:r>
      <w:r w:rsidRPr="00E14A40">
        <w:rPr>
          <w:vertAlign w:val="superscript"/>
          <w:rtl/>
        </w:rPr>
        <w:t>(</w:t>
      </w:r>
      <w:r w:rsidRPr="00E14A40">
        <w:rPr>
          <w:vertAlign w:val="superscript"/>
          <w:rtl/>
        </w:rPr>
        <w:footnoteReference w:id="1466"/>
      </w:r>
      <w:r w:rsidRPr="00E14A40">
        <w:rPr>
          <w:vertAlign w:val="superscript"/>
          <w:rtl/>
        </w:rPr>
        <w:t>)</w:t>
      </w:r>
      <w:r w:rsidRPr="00E14A40">
        <w:rPr>
          <w:rFonts w:ascii="Traditional Arabic" w:hAnsi="Traditional Arabic" w:hint="cs"/>
          <w:rtl/>
        </w:rPr>
        <w:t>.</w:t>
      </w:r>
      <w:r w:rsidRPr="00E14A40">
        <w:rPr>
          <w:rFonts w:ascii="Traditional Arabic" w:hAnsi="Traditional Arabic"/>
          <w:rtl/>
        </w:rPr>
        <w:t xml:space="preserve"> </w:t>
      </w:r>
      <w:r w:rsidRPr="00E14A40">
        <w:rPr>
          <w:rFonts w:ascii="Traditional Arabic" w:hAnsi="Traditional Arabic"/>
          <w:rtl/>
        </w:rPr>
        <w:lastRenderedPageBreak/>
        <w:t>وذكر بعض أهل العلم أن كل مجرم ذُكر في القرآن، فالمراد به: الكافر</w:t>
      </w:r>
      <w:r w:rsidRPr="00E14A40">
        <w:rPr>
          <w:vertAlign w:val="superscript"/>
          <w:rtl/>
        </w:rPr>
        <w:t>(</w:t>
      </w:r>
      <w:r w:rsidRPr="00E14A40">
        <w:rPr>
          <w:vertAlign w:val="superscript"/>
          <w:rtl/>
        </w:rPr>
        <w:footnoteReference w:id="1467"/>
      </w:r>
      <w:r w:rsidRPr="00E14A40">
        <w:rPr>
          <w:vertAlign w:val="superscript"/>
          <w:rtl/>
        </w:rPr>
        <w:t>)</w:t>
      </w:r>
      <w:r w:rsidRPr="00E14A40">
        <w:rPr>
          <w:rFonts w:ascii="Traditional Arabic" w:hAnsi="Traditional Arabic"/>
          <w:rtl/>
        </w:rPr>
        <w:t xml:space="preserve">. قوله تعالى: </w:t>
      </w:r>
      <w:r w:rsidRPr="00E14A40">
        <w:rPr>
          <w:rFonts w:ascii="QCF_BSML" w:hAnsi="QCF_BSML" w:cs="QCF_BSML"/>
          <w:color w:val="auto"/>
          <w:sz w:val="32"/>
          <w:szCs w:val="32"/>
          <w:rtl/>
          <w:lang w:eastAsia="en-US"/>
        </w:rPr>
        <w:t>ﭽ</w:t>
      </w:r>
      <w:r w:rsidRPr="00E14A40">
        <w:rPr>
          <w:rFonts w:ascii="QCF_P299" w:hAnsi="QCF_P299" w:cs="QCF_P299"/>
          <w:color w:val="auto"/>
          <w:sz w:val="32"/>
          <w:szCs w:val="32"/>
          <w:rtl/>
          <w:lang w:eastAsia="en-US"/>
        </w:rPr>
        <w:t>ﮂ</w:t>
      </w:r>
      <w:r w:rsidRPr="00E14A40">
        <w:rPr>
          <w:rFonts w:ascii="QCF_BSML" w:hAnsi="QCF_BSML" w:cs="QCF_BSML"/>
          <w:color w:val="auto"/>
          <w:sz w:val="32"/>
          <w:szCs w:val="32"/>
          <w:rtl/>
          <w:lang w:eastAsia="en-US"/>
        </w:rPr>
        <w:t xml:space="preserve"> ﭼ</w:t>
      </w:r>
      <w:r w:rsidRPr="00E14A40">
        <w:rPr>
          <w:rFonts w:ascii="Traditional Arabic" w:hAnsi="Traditional Arabic"/>
          <w:rtl/>
        </w:rPr>
        <w:t xml:space="preserve"> أي: خائفين مِمَّا فِيهِ من الأعمال السيئة </w:t>
      </w:r>
      <w:r w:rsidRPr="00E14A40">
        <w:rPr>
          <w:rFonts w:ascii="QCF_BSML" w:hAnsi="QCF_BSML" w:cs="QCF_BSML"/>
          <w:color w:val="auto"/>
          <w:sz w:val="32"/>
          <w:szCs w:val="32"/>
          <w:rtl/>
          <w:lang w:eastAsia="en-US"/>
        </w:rPr>
        <w:t>ﭽ</w:t>
      </w:r>
      <w:r w:rsidRPr="00E14A40">
        <w:rPr>
          <w:rFonts w:ascii="Traditional Arabic" w:hAnsi="Traditional Arabic"/>
          <w:rtl/>
        </w:rPr>
        <w:t xml:space="preserve"> </w:t>
      </w:r>
      <w:r w:rsidRPr="00E14A40">
        <w:rPr>
          <w:rFonts w:ascii="QCF_P299" w:hAnsi="QCF_P299" w:cs="QCF_P299"/>
          <w:color w:val="auto"/>
          <w:sz w:val="32"/>
          <w:szCs w:val="32"/>
          <w:rtl/>
          <w:lang w:eastAsia="en-US"/>
        </w:rPr>
        <w:t xml:space="preserve">ﮅ  ﮆ  </w:t>
      </w:r>
      <w:r w:rsidRPr="00E14A40">
        <w:rPr>
          <w:rFonts w:ascii="QCF_BSML" w:hAnsi="QCF_BSML" w:cs="QCF_BSML"/>
          <w:color w:val="auto"/>
          <w:sz w:val="32"/>
          <w:szCs w:val="32"/>
          <w:rtl/>
          <w:lang w:eastAsia="en-US"/>
        </w:rPr>
        <w:t>ﭼ</w:t>
      </w:r>
      <w:r w:rsidRPr="00E14A40">
        <w:rPr>
          <w:rFonts w:ascii="Traditional Arabic" w:hAnsi="Traditional Arabic"/>
          <w:rtl/>
        </w:rPr>
        <w:t xml:space="preserve"> هذا قول كل واقع في هَلَكة</w:t>
      </w:r>
      <w:r w:rsidRPr="00E14A40">
        <w:rPr>
          <w:vertAlign w:val="superscript"/>
          <w:rtl/>
        </w:rPr>
        <w:t>(</w:t>
      </w:r>
      <w:r w:rsidRPr="00E14A40">
        <w:rPr>
          <w:vertAlign w:val="superscript"/>
          <w:rtl/>
        </w:rPr>
        <w:footnoteReference w:id="1468"/>
      </w:r>
      <w:r w:rsidRPr="00E14A40">
        <w:rPr>
          <w:vertAlign w:val="superscript"/>
          <w:rtl/>
        </w:rPr>
        <w:t>)</w:t>
      </w:r>
      <w:r w:rsidRPr="00E14A40">
        <w:rPr>
          <w:rFonts w:ascii="Traditional Arabic" w:hAnsi="Traditional Arabic"/>
          <w:rtl/>
        </w:rPr>
        <w:t>.</w:t>
      </w:r>
      <w:r w:rsidRPr="00E14A40">
        <w:rPr>
          <w:rFonts w:ascii="Traditional Arabic" w:hAnsi="Traditional Arabic" w:hint="cs"/>
          <w:rtl/>
        </w:rPr>
        <w:t xml:space="preserve"> </w:t>
      </w:r>
      <w:r w:rsidRPr="00E14A40">
        <w:rPr>
          <w:rFonts w:ascii="Traditional Arabic" w:hAnsi="Traditional Arabic"/>
          <w:rtl/>
        </w:rPr>
        <w:t>وقد شرحنا هذا المعنى في قوله:</w:t>
      </w:r>
      <w:r w:rsidRPr="00E14A40">
        <w:rPr>
          <w:rFonts w:ascii="Traditional Arabic" w:hAnsi="Traditional Arabic" w:hint="cs"/>
          <w:rtl/>
        </w:rPr>
        <w:t xml:space="preserve"> </w:t>
      </w:r>
      <w:r w:rsidRPr="00E14A40">
        <w:rPr>
          <w:rFonts w:ascii="QCF_BSML" w:hAnsi="QCF_BSML" w:cs="QCF_BSML"/>
          <w:sz w:val="32"/>
          <w:szCs w:val="32"/>
          <w:rtl/>
          <w:lang w:eastAsia="en-US"/>
        </w:rPr>
        <w:t xml:space="preserve">ﭽ </w:t>
      </w:r>
      <w:r w:rsidRPr="00E14A40">
        <w:rPr>
          <w:rFonts w:ascii="QCF_P131" w:hAnsi="QCF_P131" w:cs="QCF_P131"/>
          <w:sz w:val="32"/>
          <w:szCs w:val="32"/>
          <w:rtl/>
          <w:lang w:eastAsia="en-US"/>
        </w:rPr>
        <w:t>ﮑ</w:t>
      </w:r>
      <w:r w:rsidRPr="00E14A40">
        <w:rPr>
          <w:rFonts w:ascii="QCF_BSML" w:hAnsi="QCF_BSML" w:cs="QCF_BSML"/>
          <w:sz w:val="32"/>
          <w:szCs w:val="32"/>
          <w:rtl/>
          <w:lang w:eastAsia="en-US"/>
        </w:rPr>
        <w:t>ﭼ</w:t>
      </w:r>
      <w:r w:rsidRPr="00E14A40">
        <w:rPr>
          <w:rFonts w:ascii="Arial" w:hAnsi="Arial" w:cs="Arial"/>
          <w:sz w:val="18"/>
          <w:szCs w:val="18"/>
          <w:rtl/>
          <w:lang w:eastAsia="en-US"/>
        </w:rPr>
        <w:t xml:space="preserve"> </w:t>
      </w:r>
      <w:r w:rsidRPr="00E14A40">
        <w:rPr>
          <w:rFonts w:ascii="Traditional Arabic" w:hAnsi="Traditional Arabic" w:hint="cs"/>
          <w:sz w:val="32"/>
          <w:szCs w:val="32"/>
          <w:rtl/>
        </w:rPr>
        <w:t>[</w:t>
      </w:r>
      <w:r w:rsidRPr="00E14A40">
        <w:rPr>
          <w:rFonts w:ascii="Traditional Arabic" w:hAnsi="Traditional Arabic"/>
          <w:sz w:val="32"/>
          <w:szCs w:val="32"/>
          <w:rtl/>
        </w:rPr>
        <w:t>سورة الأنعام:31</w:t>
      </w:r>
      <w:r w:rsidRPr="00E14A40">
        <w:rPr>
          <w:rFonts w:ascii="Traditional Arabic" w:hAnsi="Traditional Arabic" w:hint="cs"/>
          <w:sz w:val="32"/>
          <w:szCs w:val="32"/>
          <w:rtl/>
        </w:rPr>
        <w:t>]</w:t>
      </w:r>
      <w:r w:rsidRPr="00E14A40">
        <w:rPr>
          <w:vertAlign w:val="superscript"/>
          <w:rtl/>
        </w:rPr>
        <w:t>(</w:t>
      </w:r>
      <w:r w:rsidRPr="00E14A40">
        <w:rPr>
          <w:vertAlign w:val="superscript"/>
          <w:rtl/>
        </w:rPr>
        <w:footnoteReference w:id="1469"/>
      </w:r>
      <w:r w:rsidRPr="00E14A40">
        <w:rPr>
          <w:vertAlign w:val="superscript"/>
          <w:rtl/>
        </w:rPr>
        <w:t>)</w:t>
      </w:r>
      <w:r w:rsidRPr="00E14A40">
        <w:rPr>
          <w:rFonts w:ascii="Traditional Arabic" w:hAnsi="Traditional Arabic" w:hint="cs"/>
          <w:rtl/>
        </w:rPr>
        <w:t>.</w:t>
      </w:r>
    </w:p>
    <w:p w:rsidR="00E14A40" w:rsidRPr="00E14A40" w:rsidRDefault="00E14A40" w:rsidP="00E14A40">
      <w:pPr>
        <w:ind w:firstLine="0"/>
        <w:rPr>
          <w:rFonts w:ascii="Traditional Arabic" w:hAnsi="Traditional Arabic"/>
          <w:rtl/>
        </w:rPr>
      </w:pPr>
      <w:r w:rsidRPr="00E14A40">
        <w:rPr>
          <w:rFonts w:ascii="Traditional Arabic" w:hAnsi="Traditional Arabic"/>
          <w:rtl/>
        </w:rPr>
        <w:t xml:space="preserve">قوله تعالى: </w:t>
      </w:r>
      <w:r w:rsidRPr="00E14A40">
        <w:rPr>
          <w:rFonts w:ascii="QCF_BSML" w:hAnsi="QCF_BSML" w:cs="QCF_BSML"/>
          <w:color w:val="auto"/>
          <w:sz w:val="32"/>
          <w:szCs w:val="32"/>
          <w:rtl/>
          <w:lang w:eastAsia="en-US"/>
        </w:rPr>
        <w:t>ﭽ</w:t>
      </w:r>
      <w:r w:rsidRPr="00E14A40">
        <w:rPr>
          <w:rFonts w:ascii="QCF_P299" w:hAnsi="QCF_P299" w:cs="QCF_P299"/>
          <w:color w:val="auto"/>
          <w:sz w:val="32"/>
          <w:szCs w:val="32"/>
          <w:rtl/>
          <w:lang w:eastAsia="en-US"/>
        </w:rPr>
        <w:t>ﮊ  ﮋ  ﮌ  ﮍ  ﮎ ﮏ  ﮐﮑ</w:t>
      </w:r>
      <w:r w:rsidRPr="00E14A40">
        <w:rPr>
          <w:rFonts w:ascii="QCF_BSML" w:hAnsi="QCF_BSML" w:cs="QCF_BSML"/>
          <w:color w:val="auto"/>
          <w:sz w:val="32"/>
          <w:szCs w:val="32"/>
          <w:rtl/>
          <w:lang w:eastAsia="en-US"/>
        </w:rPr>
        <w:t>ﭼ</w:t>
      </w:r>
      <w:r w:rsidRPr="00E14A40">
        <w:rPr>
          <w:rFonts w:ascii="Traditional Arabic" w:hAnsi="Traditional Arabic"/>
          <w:rtl/>
        </w:rPr>
        <w:t xml:space="preserve"> هذا على ظاهره في صغير الأمور وكبيرها وقد روى عكرمة عن ابن عباس قال: الصغيرة: التبسم، والكبيرة: القهقهة</w:t>
      </w:r>
      <w:r w:rsidRPr="00E14A40">
        <w:rPr>
          <w:vertAlign w:val="superscript"/>
          <w:rtl/>
        </w:rPr>
        <w:t>(</w:t>
      </w:r>
      <w:r w:rsidRPr="00E14A40">
        <w:rPr>
          <w:vertAlign w:val="superscript"/>
          <w:rtl/>
        </w:rPr>
        <w:footnoteReference w:id="1470"/>
      </w:r>
      <w:r w:rsidRPr="00E14A40">
        <w:rPr>
          <w:vertAlign w:val="superscript"/>
          <w:rtl/>
        </w:rPr>
        <w:t>)</w:t>
      </w:r>
      <w:r w:rsidRPr="00E14A40">
        <w:rPr>
          <w:rFonts w:ascii="Traditional Arabic" w:hAnsi="Traditional Arabic"/>
          <w:rtl/>
        </w:rPr>
        <w:t>، وقد يُتوهَّم أن المراد بذلك صغائر الذنوب وكبائرها، وليس كذلك، إذ ليس الضّحك والتّبسّم، بمجرّدهما من الذنوب، وإِنما المراد أن التبسم من صغار الأفعال، والضحك فعل كبير، وقد روى الضحاك عن ابن عباس قال:</w:t>
      </w:r>
      <w:r w:rsidRPr="00E14A40">
        <w:rPr>
          <w:rFonts w:ascii="Traditional Arabic" w:hAnsi="Traditional Arabic" w:hint="cs"/>
          <w:rtl/>
        </w:rPr>
        <w:t xml:space="preserve"> </w:t>
      </w:r>
      <w:r w:rsidRPr="00E14A40">
        <w:rPr>
          <w:rFonts w:ascii="Traditional Arabic" w:hAnsi="Traditional Arabic"/>
          <w:rtl/>
        </w:rPr>
        <w:t>الصغيرة: التبسم والاستهزاء بالمؤمنين</w:t>
      </w:r>
      <w:r w:rsidRPr="00E14A40">
        <w:rPr>
          <w:vertAlign w:val="superscript"/>
          <w:rtl/>
        </w:rPr>
        <w:t>(</w:t>
      </w:r>
      <w:r w:rsidRPr="00E14A40">
        <w:rPr>
          <w:vertAlign w:val="superscript"/>
          <w:rtl/>
        </w:rPr>
        <w:footnoteReference w:id="1471"/>
      </w:r>
      <w:r w:rsidRPr="00E14A40">
        <w:rPr>
          <w:vertAlign w:val="superscript"/>
          <w:rtl/>
        </w:rPr>
        <w:t>)</w:t>
      </w:r>
      <w:r w:rsidRPr="00E14A40">
        <w:rPr>
          <w:rFonts w:ascii="Traditional Arabic" w:hAnsi="Traditional Arabic"/>
          <w:rtl/>
        </w:rPr>
        <w:t>، والكبيرة: القهقهة بذلك</w:t>
      </w:r>
      <w:r w:rsidRPr="00E14A40">
        <w:rPr>
          <w:vertAlign w:val="superscript"/>
          <w:rtl/>
        </w:rPr>
        <w:t>(</w:t>
      </w:r>
      <w:r w:rsidRPr="00E14A40">
        <w:rPr>
          <w:vertAlign w:val="superscript"/>
          <w:rtl/>
        </w:rPr>
        <w:footnoteReference w:id="1472"/>
      </w:r>
      <w:r w:rsidRPr="00E14A40">
        <w:rPr>
          <w:vertAlign w:val="superscript"/>
          <w:rtl/>
        </w:rPr>
        <w:t>)</w:t>
      </w:r>
      <w:r w:rsidRPr="00E14A40">
        <w:rPr>
          <w:rFonts w:ascii="Traditional Arabic" w:hAnsi="Traditional Arabic" w:hint="cs"/>
          <w:rtl/>
        </w:rPr>
        <w:t>؛</w:t>
      </w:r>
      <w:r w:rsidRPr="00E14A40">
        <w:rPr>
          <w:rFonts w:ascii="Traditional Arabic" w:hAnsi="Traditional Arabic"/>
          <w:rtl/>
        </w:rPr>
        <w:t xml:space="preserve"> فعلى هذا يكون ذنباً من الذنوب لمقصود فاعله، لا لنفسه</w:t>
      </w:r>
      <w:r w:rsidRPr="00E14A40">
        <w:rPr>
          <w:vertAlign w:val="superscript"/>
          <w:rtl/>
        </w:rPr>
        <w:t>(</w:t>
      </w:r>
      <w:r w:rsidRPr="00E14A40">
        <w:rPr>
          <w:vertAlign w:val="superscript"/>
          <w:rtl/>
        </w:rPr>
        <w:footnoteReference w:id="1473"/>
      </w:r>
      <w:r w:rsidRPr="00E14A40">
        <w:rPr>
          <w:vertAlign w:val="superscript"/>
          <w:rtl/>
        </w:rPr>
        <w:t>)</w:t>
      </w:r>
      <w:r w:rsidRPr="00E14A40">
        <w:rPr>
          <w:rFonts w:ascii="Traditional Arabic" w:hAnsi="Traditional Arabic"/>
          <w:rtl/>
        </w:rPr>
        <w:t>. ومعنى</w:t>
      </w:r>
      <w:r w:rsidRPr="00E14A40">
        <w:rPr>
          <w:rFonts w:ascii="Traditional Arabic" w:hAnsi="Traditional Arabic" w:hint="cs"/>
          <w:rtl/>
        </w:rPr>
        <w:t xml:space="preserve"> </w:t>
      </w:r>
      <w:r w:rsidRPr="00E14A40">
        <w:rPr>
          <w:rFonts w:ascii="QCF_BSML" w:hAnsi="QCF_BSML" w:cs="QCF_BSML"/>
          <w:color w:val="auto"/>
          <w:sz w:val="32"/>
          <w:szCs w:val="32"/>
          <w:rtl/>
          <w:lang w:eastAsia="en-US"/>
        </w:rPr>
        <w:t>ﭽ</w:t>
      </w:r>
      <w:r w:rsidRPr="00E14A40">
        <w:rPr>
          <w:rFonts w:ascii="QCF_P299" w:hAnsi="QCF_P299" w:cs="QCF_P299"/>
          <w:color w:val="auto"/>
          <w:sz w:val="32"/>
          <w:szCs w:val="32"/>
          <w:rtl/>
          <w:lang w:eastAsia="en-US"/>
        </w:rPr>
        <w:t>ﮐ</w:t>
      </w:r>
      <w:r w:rsidRPr="00E14A40">
        <w:rPr>
          <w:rFonts w:ascii="QCF_BSML" w:hAnsi="QCF_BSML" w:cs="QCF_BSML"/>
          <w:color w:val="auto"/>
          <w:sz w:val="32"/>
          <w:szCs w:val="32"/>
          <w:rtl/>
          <w:lang w:eastAsia="en-US"/>
        </w:rPr>
        <w:t>ﭼ</w:t>
      </w:r>
      <w:r w:rsidRPr="00E14A40">
        <w:rPr>
          <w:rFonts w:ascii="Traditional Arabic" w:hAnsi="Traditional Arabic" w:hint="cs"/>
          <w:rtl/>
        </w:rPr>
        <w:t xml:space="preserve"> </w:t>
      </w:r>
      <w:r w:rsidRPr="00E14A40">
        <w:rPr>
          <w:rFonts w:ascii="Traditional Arabic" w:hAnsi="Traditional Arabic"/>
          <w:rtl/>
        </w:rPr>
        <w:t>عدَّها وأثبتها، والمعنى: وُجدتْ محصاة</w:t>
      </w:r>
      <w:r w:rsidRPr="00E14A40">
        <w:rPr>
          <w:vertAlign w:val="superscript"/>
          <w:rtl/>
        </w:rPr>
        <w:t>(</w:t>
      </w:r>
      <w:r w:rsidRPr="00E14A40">
        <w:rPr>
          <w:vertAlign w:val="superscript"/>
          <w:rtl/>
        </w:rPr>
        <w:footnoteReference w:id="1474"/>
      </w:r>
      <w:r w:rsidRPr="00E14A40">
        <w:rPr>
          <w:vertAlign w:val="superscript"/>
          <w:rtl/>
        </w:rPr>
        <w:t>)</w:t>
      </w:r>
      <w:r w:rsidRPr="00E14A40">
        <w:rPr>
          <w:rFonts w:ascii="Traditional Arabic" w:hAnsi="Traditional Arabic"/>
          <w:rtl/>
        </w:rPr>
        <w:t xml:space="preserve">. </w:t>
      </w:r>
    </w:p>
    <w:p w:rsidR="00225EA4" w:rsidRDefault="00E14A40" w:rsidP="00E14A40">
      <w:pPr>
        <w:ind w:firstLine="0"/>
        <w:rPr>
          <w:rFonts w:ascii="Traditional Arabic" w:hAnsi="Traditional Arabic"/>
          <w:rtl/>
        </w:rPr>
      </w:pPr>
      <w:r w:rsidRPr="00E14A40">
        <w:rPr>
          <w:rFonts w:ascii="QCF_BSML" w:hAnsi="QCF_BSML" w:cs="QCF_BSML"/>
          <w:color w:val="auto"/>
          <w:sz w:val="32"/>
          <w:szCs w:val="32"/>
          <w:rtl/>
          <w:lang w:eastAsia="en-US"/>
        </w:rPr>
        <w:t>ﭽ</w:t>
      </w:r>
      <w:r w:rsidRPr="00E14A40">
        <w:rPr>
          <w:rFonts w:ascii="QCF_P299" w:hAnsi="QCF_P299" w:cs="QCF_P299"/>
          <w:color w:val="auto"/>
          <w:sz w:val="32"/>
          <w:szCs w:val="32"/>
          <w:rtl/>
          <w:lang w:eastAsia="en-US"/>
        </w:rPr>
        <w:t xml:space="preserve">ﮒ  ﮓ  ﮔ   ﮕﮖ  </w:t>
      </w:r>
      <w:r w:rsidRPr="00E14A40">
        <w:rPr>
          <w:rFonts w:ascii="QCF_BSML" w:hAnsi="QCF_BSML" w:cs="QCF_BSML"/>
          <w:color w:val="auto"/>
          <w:sz w:val="32"/>
          <w:szCs w:val="32"/>
          <w:rtl/>
          <w:lang w:eastAsia="en-US"/>
        </w:rPr>
        <w:t>ﭼ</w:t>
      </w:r>
      <w:r w:rsidRPr="00E14A40">
        <w:rPr>
          <w:rFonts w:ascii="Traditional Arabic" w:hAnsi="Traditional Arabic" w:hint="cs"/>
          <w:sz w:val="28"/>
          <w:szCs w:val="28"/>
          <w:rtl/>
        </w:rPr>
        <w:t xml:space="preserve"> </w:t>
      </w:r>
      <w:r w:rsidRPr="00E14A40">
        <w:rPr>
          <w:rFonts w:ascii="Traditional Arabic" w:hAnsi="Traditional Arabic"/>
          <w:rtl/>
        </w:rPr>
        <w:t>أي: مكتوباً مُثْبَتاً في الكتاب، وقيل: رأوا جزاءه حاضراً</w:t>
      </w:r>
      <w:r w:rsidRPr="00E14A40">
        <w:rPr>
          <w:vertAlign w:val="superscript"/>
          <w:rtl/>
        </w:rPr>
        <w:t>(</w:t>
      </w:r>
      <w:r w:rsidRPr="00E14A40">
        <w:rPr>
          <w:vertAlign w:val="superscript"/>
          <w:rtl/>
        </w:rPr>
        <w:footnoteReference w:id="1475"/>
      </w:r>
      <w:r w:rsidRPr="00E14A40">
        <w:rPr>
          <w:vertAlign w:val="superscript"/>
          <w:rtl/>
        </w:rPr>
        <w:t>)</w:t>
      </w:r>
      <w:r w:rsidRPr="00E14A40">
        <w:rPr>
          <w:rFonts w:ascii="Traditional Arabic" w:hAnsi="Traditional Arabic"/>
          <w:rtl/>
        </w:rPr>
        <w:t>. وقال أبو سليمان: الصحيح عند المحققين أن صغائر المؤمنين الذين وُعدوا العفو عنها إِذا اجتنبوا الكبائر، إِنما يعفى عنها في الآخرة بعد أن يراها صاحبها.</w:t>
      </w:r>
      <w:r w:rsidRPr="00E14A40">
        <w:rPr>
          <w:rFonts w:ascii="Traditional Arabic" w:hAnsi="Traditional Arabic" w:hint="cs"/>
          <w:sz w:val="28"/>
          <w:szCs w:val="28"/>
          <w:rtl/>
        </w:rPr>
        <w:t xml:space="preserve"> </w:t>
      </w:r>
      <w:r w:rsidRPr="00E14A40">
        <w:rPr>
          <w:rFonts w:ascii="Traditional Arabic" w:hAnsi="Traditional Arabic"/>
          <w:rtl/>
        </w:rPr>
        <w:t xml:space="preserve">قوله تعالى: </w:t>
      </w:r>
      <w:r w:rsidRPr="00E14A40">
        <w:rPr>
          <w:rFonts w:ascii="QCF_BSML" w:hAnsi="QCF_BSML" w:cs="QCF_BSML"/>
          <w:color w:val="auto"/>
          <w:sz w:val="32"/>
          <w:szCs w:val="32"/>
          <w:rtl/>
          <w:lang w:eastAsia="en-US"/>
        </w:rPr>
        <w:t>ﭽ</w:t>
      </w:r>
      <w:r w:rsidRPr="00E14A40">
        <w:rPr>
          <w:rFonts w:ascii="Traditional Arabic" w:hAnsi="Traditional Arabic"/>
          <w:rtl/>
        </w:rPr>
        <w:t xml:space="preserve"> </w:t>
      </w:r>
      <w:r w:rsidRPr="00E14A40">
        <w:rPr>
          <w:rFonts w:ascii="QCF_P299" w:hAnsi="QCF_P299" w:cs="QCF_P299"/>
          <w:color w:val="auto"/>
          <w:sz w:val="32"/>
          <w:szCs w:val="32"/>
          <w:rtl/>
          <w:lang w:eastAsia="en-US"/>
        </w:rPr>
        <w:t>ﮗ  ﮘ   ﮙ  ﮚ</w:t>
      </w:r>
      <w:r w:rsidRPr="00E14A40">
        <w:rPr>
          <w:rFonts w:ascii="QCF_BSML" w:hAnsi="QCF_BSML" w:cs="QCF_BSML"/>
          <w:color w:val="auto"/>
          <w:sz w:val="32"/>
          <w:szCs w:val="32"/>
          <w:rtl/>
          <w:lang w:eastAsia="en-US"/>
        </w:rPr>
        <w:t>ﭼ</w:t>
      </w:r>
      <w:r w:rsidRPr="00E14A40">
        <w:rPr>
          <w:rFonts w:ascii="Traditional Arabic" w:hAnsi="Traditional Arabic"/>
          <w:rtl/>
        </w:rPr>
        <w:t xml:space="preserve"> </w:t>
      </w:r>
      <w:r w:rsidRPr="00E14A40">
        <w:rPr>
          <w:rFonts w:ascii="Traditional Arabic" w:hAnsi="Traditional Arabic"/>
          <w:rtl/>
        </w:rPr>
        <w:lastRenderedPageBreak/>
        <w:t>قال أبو سليمان: لا تنقص حسنات المؤمن، ولا يزاد في سيئات الكافر</w:t>
      </w:r>
      <w:r w:rsidRPr="00E14A40">
        <w:rPr>
          <w:vertAlign w:val="superscript"/>
          <w:rtl/>
        </w:rPr>
        <w:t>(</w:t>
      </w:r>
      <w:r w:rsidRPr="00E14A40">
        <w:rPr>
          <w:vertAlign w:val="superscript"/>
          <w:rtl/>
        </w:rPr>
        <w:footnoteReference w:id="1476"/>
      </w:r>
      <w:r w:rsidRPr="00E14A40">
        <w:rPr>
          <w:vertAlign w:val="superscript"/>
          <w:rtl/>
        </w:rPr>
        <w:t>)</w:t>
      </w:r>
      <w:r w:rsidRPr="00E14A40">
        <w:rPr>
          <w:rFonts w:ascii="Traditional Arabic" w:hAnsi="Traditional Arabic"/>
          <w:rtl/>
        </w:rPr>
        <w:t xml:space="preserve">. وقيل: إِن كان للكافر فِعل خير، كعتق رقبة، </w:t>
      </w:r>
      <w:r w:rsidRPr="00E14A40">
        <w:rPr>
          <w:rFonts w:ascii="Traditional Arabic" w:hAnsi="Traditional Arabic" w:hint="cs"/>
          <w:sz w:val="32"/>
          <w:szCs w:val="32"/>
          <w:rtl/>
        </w:rPr>
        <w:t>[128]</w:t>
      </w:r>
      <w:r w:rsidRPr="00E14A40">
        <w:rPr>
          <w:rFonts w:ascii="Traditional Arabic" w:hAnsi="Traditional Arabic"/>
          <w:rtl/>
        </w:rPr>
        <w:t xml:space="preserve"> وصدقة، خُفِّف عنه به من عذابه، وإِن ظلمه مسلم، أخذ الله من المسلم، فصار الحق لله.</w:t>
      </w:r>
      <w:r w:rsidRPr="00E14A40">
        <w:rPr>
          <w:rFonts w:ascii="Traditional Arabic" w:hAnsi="Traditional Arabic" w:hint="cs"/>
          <w:sz w:val="28"/>
          <w:szCs w:val="28"/>
          <w:rtl/>
        </w:rPr>
        <w:t xml:space="preserve"> </w:t>
      </w:r>
      <w:r w:rsidRPr="00E14A40">
        <w:rPr>
          <w:rFonts w:ascii="Traditional Arabic" w:hAnsi="Traditional Arabic"/>
          <w:rtl/>
        </w:rPr>
        <w:t xml:space="preserve">ثم إنّ الله تعالى أمر نبيّه </w:t>
      </w:r>
      <w:r w:rsidRPr="00E14A40">
        <w:rPr>
          <w:rFonts w:ascii="Traditional Arabic" w:hAnsi="Traditional Arabic"/>
        </w:rPr>
        <w:sym w:font="AGA Arabesque" w:char="F072"/>
      </w:r>
      <w:r w:rsidRPr="00E14A40">
        <w:rPr>
          <w:rFonts w:ascii="Traditional Arabic" w:hAnsi="Traditional Arabic"/>
          <w:rtl/>
        </w:rPr>
        <w:t xml:space="preserve"> أن يذكِّر هؤلاء المتكبِّرين عن مجالسة الفقراء قصةَ إِبليس وما أورثه الكِبْر، فقال: </w:t>
      </w:r>
      <w:r w:rsidRPr="00E14A40">
        <w:rPr>
          <w:rFonts w:ascii="QCF_BSML" w:hAnsi="QCF_BSML" w:cs="QCF_BSML"/>
          <w:color w:val="auto"/>
          <w:sz w:val="32"/>
          <w:szCs w:val="32"/>
          <w:rtl/>
          <w:lang w:eastAsia="en-US"/>
        </w:rPr>
        <w:t>ﭽ</w:t>
      </w:r>
      <w:r w:rsidRPr="00E14A40">
        <w:rPr>
          <w:rFonts w:ascii="QCF_P299" w:hAnsi="QCF_P299" w:cs="QCF_P299"/>
          <w:color w:val="auto"/>
          <w:sz w:val="32"/>
          <w:szCs w:val="32"/>
          <w:rtl/>
          <w:lang w:eastAsia="en-US"/>
        </w:rPr>
        <w:t xml:space="preserve">ﮜ  ﮝ </w:t>
      </w:r>
      <w:r w:rsidRPr="00E14A40">
        <w:rPr>
          <w:rFonts w:ascii="QCF_BSML" w:hAnsi="QCF_BSML" w:cs="QCF_BSML"/>
          <w:color w:val="auto"/>
          <w:sz w:val="32"/>
          <w:szCs w:val="32"/>
          <w:rtl/>
          <w:lang w:eastAsia="en-US"/>
        </w:rPr>
        <w:t>ﭼ</w:t>
      </w:r>
      <w:r w:rsidRPr="00E14A40">
        <w:rPr>
          <w:rFonts w:ascii="Traditional Arabic" w:hAnsi="Traditional Arabic"/>
          <w:rtl/>
        </w:rPr>
        <w:t xml:space="preserve"> أي: اذكر ذلك</w:t>
      </w:r>
      <w:r w:rsidRPr="00E14A40">
        <w:rPr>
          <w:vertAlign w:val="superscript"/>
          <w:rtl/>
        </w:rPr>
        <w:t>(</w:t>
      </w:r>
      <w:r w:rsidRPr="00E14A40">
        <w:rPr>
          <w:vertAlign w:val="superscript"/>
          <w:rtl/>
        </w:rPr>
        <w:footnoteReference w:id="1477"/>
      </w:r>
      <w:r w:rsidRPr="00E14A40">
        <w:rPr>
          <w:vertAlign w:val="superscript"/>
          <w:rtl/>
        </w:rPr>
        <w:t>)</w:t>
      </w:r>
      <w:r w:rsidRPr="00E14A40">
        <w:rPr>
          <w:rFonts w:ascii="Traditional Arabic" w:hAnsi="Traditional Arabic"/>
          <w:rtl/>
        </w:rPr>
        <w:t>.</w:t>
      </w:r>
      <w:r w:rsidRPr="00E14A40">
        <w:rPr>
          <w:rFonts w:ascii="Traditional Arabic" w:hAnsi="Traditional Arabic" w:hint="cs"/>
          <w:sz w:val="28"/>
          <w:szCs w:val="28"/>
          <w:rtl/>
        </w:rPr>
        <w:t xml:space="preserve"> </w:t>
      </w:r>
      <w:r w:rsidRPr="00E14A40">
        <w:rPr>
          <w:rFonts w:ascii="Traditional Arabic" w:hAnsi="Traditional Arabic"/>
          <w:rtl/>
        </w:rPr>
        <w:t xml:space="preserve">وفي قوله: </w:t>
      </w:r>
      <w:r w:rsidRPr="00E14A40">
        <w:rPr>
          <w:rFonts w:ascii="QCF_BSML" w:hAnsi="QCF_BSML" w:cs="QCF_BSML"/>
          <w:color w:val="auto"/>
          <w:sz w:val="32"/>
          <w:szCs w:val="32"/>
          <w:rtl/>
          <w:lang w:eastAsia="en-US"/>
        </w:rPr>
        <w:t>ﭽ</w:t>
      </w:r>
      <w:r w:rsidRPr="00E14A40">
        <w:rPr>
          <w:rFonts w:ascii="QCF_P299" w:hAnsi="QCF_P299" w:cs="QCF_P299"/>
          <w:color w:val="auto"/>
          <w:sz w:val="32"/>
          <w:szCs w:val="32"/>
          <w:rtl/>
          <w:lang w:eastAsia="en-US"/>
        </w:rPr>
        <w:t xml:space="preserve"> ﮤ ﮥ  ﮦ</w:t>
      </w:r>
      <w:r w:rsidRPr="00E14A40">
        <w:rPr>
          <w:rFonts w:ascii="QCF_BSML" w:hAnsi="QCF_BSML" w:cs="QCF_BSML"/>
          <w:color w:val="auto"/>
          <w:sz w:val="32"/>
          <w:szCs w:val="32"/>
          <w:rtl/>
          <w:lang w:eastAsia="en-US"/>
        </w:rPr>
        <w:t>ﭼ</w:t>
      </w:r>
      <w:r w:rsidRPr="00E14A40">
        <w:rPr>
          <w:rFonts w:ascii="Traditional Arabic" w:hAnsi="Traditional Arabic"/>
          <w:rtl/>
        </w:rPr>
        <w:t xml:space="preserve"> قولان: أحدهما: أنه من الجن حقيقة، لهذا النص واحتج قائلو هذا بأن له ذريةً- وليس للملائكة ذريةٌ- وأنه كَفَرَ، والملائكة رسل الله، فهم معصومون من الكفر</w:t>
      </w:r>
      <w:r w:rsidRPr="00E14A40">
        <w:rPr>
          <w:vertAlign w:val="superscript"/>
          <w:rtl/>
        </w:rPr>
        <w:t>(</w:t>
      </w:r>
      <w:r w:rsidRPr="00E14A40">
        <w:rPr>
          <w:vertAlign w:val="superscript"/>
          <w:rtl/>
        </w:rPr>
        <w:footnoteReference w:id="1478"/>
      </w:r>
      <w:r w:rsidRPr="00E14A40">
        <w:rPr>
          <w:vertAlign w:val="superscript"/>
          <w:rtl/>
        </w:rPr>
        <w:t>)</w:t>
      </w:r>
      <w:r w:rsidRPr="00E14A40">
        <w:rPr>
          <w:rFonts w:ascii="Traditional Arabic" w:hAnsi="Traditional Arabic"/>
          <w:rtl/>
        </w:rPr>
        <w:t>.</w:t>
      </w:r>
      <w:r w:rsidRPr="00E14A40">
        <w:rPr>
          <w:rFonts w:ascii="Traditional Arabic" w:hAnsi="Traditional Arabic" w:hint="cs"/>
          <w:sz w:val="28"/>
          <w:szCs w:val="28"/>
          <w:rtl/>
        </w:rPr>
        <w:t xml:space="preserve"> </w:t>
      </w:r>
      <w:r w:rsidRPr="00E14A40">
        <w:rPr>
          <w:rFonts w:ascii="Traditional Arabic" w:hAnsi="Traditional Arabic"/>
          <w:rtl/>
        </w:rPr>
        <w:t xml:space="preserve">والثاني: أنه كان من الملائكة، وإِنما قيل: </w:t>
      </w:r>
      <w:r w:rsidRPr="00E14A40">
        <w:rPr>
          <w:rFonts w:ascii="QCF_BSML" w:hAnsi="QCF_BSML" w:cs="QCF_BSML"/>
          <w:color w:val="auto"/>
          <w:sz w:val="32"/>
          <w:szCs w:val="32"/>
          <w:rtl/>
          <w:lang w:eastAsia="en-US"/>
        </w:rPr>
        <w:t>ﭽ</w:t>
      </w:r>
      <w:r w:rsidRPr="00E14A40">
        <w:rPr>
          <w:rFonts w:ascii="QCF_P299" w:hAnsi="QCF_P299" w:cs="QCF_P299"/>
          <w:color w:val="auto"/>
          <w:sz w:val="32"/>
          <w:szCs w:val="32"/>
          <w:rtl/>
          <w:lang w:eastAsia="en-US"/>
        </w:rPr>
        <w:t>ﮥ  ﮦ</w:t>
      </w:r>
      <w:r w:rsidRPr="00E14A40">
        <w:rPr>
          <w:rFonts w:ascii="QCF_BSML" w:hAnsi="QCF_BSML" w:cs="QCF_BSML"/>
          <w:color w:val="auto"/>
          <w:sz w:val="32"/>
          <w:szCs w:val="32"/>
          <w:rtl/>
          <w:lang w:eastAsia="en-US"/>
        </w:rPr>
        <w:t>ﭼ</w:t>
      </w:r>
      <w:r w:rsidRPr="00E14A40">
        <w:rPr>
          <w:rFonts w:ascii="Traditional Arabic" w:hAnsi="Traditional Arabic"/>
          <w:rtl/>
        </w:rPr>
        <w:t xml:space="preserve"> لأنه كان من قَبِيلٍ من الملائكة يقال لهم:</w:t>
      </w:r>
      <w:r w:rsidRPr="00E14A40">
        <w:rPr>
          <w:rFonts w:ascii="Traditional Arabic" w:hAnsi="Traditional Arabic" w:hint="cs"/>
          <w:rtl/>
        </w:rPr>
        <w:t xml:space="preserve"> </w:t>
      </w:r>
      <w:r w:rsidRPr="00E14A40">
        <w:rPr>
          <w:rFonts w:ascii="Traditional Arabic" w:hAnsi="Traditional Arabic"/>
          <w:rtl/>
        </w:rPr>
        <w:t>الجن، قاله ابن عباس</w:t>
      </w:r>
      <w:r w:rsidRPr="00E14A40">
        <w:rPr>
          <w:vertAlign w:val="superscript"/>
          <w:rtl/>
        </w:rPr>
        <w:t>(</w:t>
      </w:r>
      <w:r w:rsidRPr="00E14A40">
        <w:rPr>
          <w:vertAlign w:val="superscript"/>
          <w:rtl/>
        </w:rPr>
        <w:footnoteReference w:id="1479"/>
      </w:r>
      <w:r w:rsidRPr="00E14A40">
        <w:rPr>
          <w:vertAlign w:val="superscript"/>
          <w:rtl/>
        </w:rPr>
        <w:t>)</w:t>
      </w:r>
      <w:r w:rsidRPr="00E14A40">
        <w:rPr>
          <w:rFonts w:ascii="Traditional Arabic" w:hAnsi="Traditional Arabic" w:hint="cs"/>
          <w:rtl/>
        </w:rPr>
        <w:t>,</w:t>
      </w:r>
      <w:r w:rsidRPr="00E14A40">
        <w:rPr>
          <w:rFonts w:ascii="Traditional Arabic" w:hAnsi="Traditional Arabic"/>
          <w:rtl/>
        </w:rPr>
        <w:t xml:space="preserve"> وقد شرحنا هذا في سورة البقرة</w:t>
      </w:r>
      <w:r w:rsidRPr="00E14A40">
        <w:rPr>
          <w:vertAlign w:val="superscript"/>
          <w:rtl/>
        </w:rPr>
        <w:t>(</w:t>
      </w:r>
      <w:r w:rsidRPr="00E14A40">
        <w:rPr>
          <w:vertAlign w:val="superscript"/>
          <w:rtl/>
        </w:rPr>
        <w:footnoteReference w:id="1480"/>
      </w:r>
      <w:r w:rsidRPr="00E14A40">
        <w:rPr>
          <w:vertAlign w:val="superscript"/>
          <w:rtl/>
        </w:rPr>
        <w:t>)</w:t>
      </w:r>
      <w:r w:rsidRPr="00E14A40">
        <w:rPr>
          <w:rFonts w:ascii="Traditional Arabic" w:hAnsi="Traditional Arabic"/>
          <w:rtl/>
        </w:rPr>
        <w:t>.</w:t>
      </w:r>
      <w:r w:rsidRPr="00E14A40">
        <w:rPr>
          <w:rFonts w:ascii="Traditional Arabic" w:hAnsi="Traditional Arabic" w:hint="cs"/>
          <w:rtl/>
        </w:rPr>
        <w:t xml:space="preserve"> </w:t>
      </w:r>
      <w:r w:rsidRPr="00E14A40">
        <w:rPr>
          <w:rFonts w:ascii="Traditional Arabic" w:hAnsi="Traditional Arabic"/>
          <w:rtl/>
        </w:rPr>
        <w:t xml:space="preserve">قوله تعالى: </w:t>
      </w:r>
      <w:r w:rsidRPr="00E14A40">
        <w:rPr>
          <w:rFonts w:ascii="QCF_BSML" w:hAnsi="QCF_BSML" w:cs="QCF_BSML"/>
          <w:color w:val="auto"/>
          <w:sz w:val="32"/>
          <w:szCs w:val="32"/>
          <w:rtl/>
          <w:lang w:eastAsia="en-US"/>
        </w:rPr>
        <w:t>ﭽ</w:t>
      </w:r>
      <w:r w:rsidRPr="00E14A40">
        <w:rPr>
          <w:rFonts w:ascii="QCF_P299" w:hAnsi="QCF_P299" w:cs="QCF_P299"/>
          <w:color w:val="auto"/>
          <w:sz w:val="32"/>
          <w:szCs w:val="32"/>
          <w:rtl/>
          <w:lang w:eastAsia="en-US"/>
        </w:rPr>
        <w:t>ﮧ  ﮨ  ﮩ     ﮪﮫ</w:t>
      </w:r>
      <w:r w:rsidRPr="00E14A40">
        <w:rPr>
          <w:rFonts w:ascii="QCF_BSML" w:hAnsi="QCF_BSML" w:cs="QCF_BSML"/>
          <w:color w:val="auto"/>
          <w:sz w:val="32"/>
          <w:szCs w:val="32"/>
          <w:rtl/>
          <w:lang w:eastAsia="en-US"/>
        </w:rPr>
        <w:t>ﭼ</w:t>
      </w:r>
      <w:r w:rsidRPr="00E14A40">
        <w:rPr>
          <w:rFonts w:ascii="Traditional Arabic" w:hAnsi="Traditional Arabic"/>
          <w:rtl/>
        </w:rPr>
        <w:t xml:space="preserve"> </w:t>
      </w:r>
      <w:r w:rsidRPr="00E14A40">
        <w:rPr>
          <w:rFonts w:ascii="Traditional Arabic" w:hAnsi="Traditional Arabic" w:hint="cs"/>
          <w:rtl/>
        </w:rPr>
        <w:t xml:space="preserve"> </w:t>
      </w:r>
      <w:r w:rsidRPr="00E14A40">
        <w:rPr>
          <w:rFonts w:ascii="Traditional Arabic" w:hAnsi="Traditional Arabic"/>
          <w:rtl/>
        </w:rPr>
        <w:t>فيه ثلاثة أقوال: أحدها: خرج عن طاعة ربه، تقول العرب:</w:t>
      </w:r>
      <w:r w:rsidRPr="00E14A40">
        <w:rPr>
          <w:rFonts w:ascii="Traditional Arabic" w:hAnsi="Traditional Arabic" w:hint="cs"/>
          <w:rtl/>
        </w:rPr>
        <w:t xml:space="preserve"> </w:t>
      </w:r>
      <w:r w:rsidRPr="00E14A40">
        <w:rPr>
          <w:rFonts w:ascii="Traditional Arabic" w:hAnsi="Traditional Arabic"/>
          <w:rtl/>
        </w:rPr>
        <w:t>فسَقت الرُّطَبة من قشرها: إِذا خرجت منه، قاله الفراء، وابن قتيبة</w:t>
      </w:r>
      <w:r w:rsidRPr="00E14A40">
        <w:rPr>
          <w:vertAlign w:val="superscript"/>
          <w:rtl/>
        </w:rPr>
        <w:t>(</w:t>
      </w:r>
      <w:r w:rsidRPr="00E14A40">
        <w:rPr>
          <w:vertAlign w:val="superscript"/>
          <w:rtl/>
        </w:rPr>
        <w:footnoteReference w:id="1481"/>
      </w:r>
      <w:r w:rsidRPr="00E14A40">
        <w:rPr>
          <w:vertAlign w:val="superscript"/>
          <w:rtl/>
        </w:rPr>
        <w:t>)</w:t>
      </w:r>
      <w:r w:rsidRPr="00E14A40">
        <w:rPr>
          <w:rFonts w:ascii="Traditional Arabic" w:hAnsi="Traditional Arabic"/>
          <w:rtl/>
        </w:rPr>
        <w:t xml:space="preserve">. والثاني: أتاه الفسق لما أُمر فعصى، فكان سبب </w:t>
      </w:r>
    </w:p>
    <w:p w:rsidR="00225EA4" w:rsidRDefault="00225EA4" w:rsidP="00E14A40">
      <w:pPr>
        <w:ind w:firstLine="0"/>
        <w:rPr>
          <w:rFonts w:ascii="Traditional Arabic" w:hAnsi="Traditional Arabic"/>
          <w:rtl/>
        </w:rPr>
      </w:pPr>
    </w:p>
    <w:p w:rsidR="00225EA4" w:rsidRDefault="00225EA4" w:rsidP="00E14A40">
      <w:pPr>
        <w:ind w:firstLine="0"/>
        <w:rPr>
          <w:rFonts w:ascii="Traditional Arabic" w:hAnsi="Traditional Arabic"/>
          <w:rtl/>
        </w:rPr>
      </w:pPr>
    </w:p>
    <w:p w:rsidR="00225EA4" w:rsidRDefault="00225EA4" w:rsidP="00E14A40">
      <w:pPr>
        <w:ind w:firstLine="0"/>
        <w:rPr>
          <w:rFonts w:ascii="Traditional Arabic" w:hAnsi="Traditional Arabic"/>
          <w:rtl/>
        </w:rPr>
      </w:pPr>
    </w:p>
    <w:p w:rsidR="00225EA4" w:rsidRDefault="00225EA4" w:rsidP="00E14A40">
      <w:pPr>
        <w:ind w:firstLine="0"/>
        <w:rPr>
          <w:rFonts w:ascii="Traditional Arabic" w:hAnsi="Traditional Arabic"/>
          <w:rtl/>
        </w:rPr>
      </w:pPr>
    </w:p>
    <w:p w:rsidR="00225EA4" w:rsidRDefault="00225EA4" w:rsidP="00E14A40">
      <w:pPr>
        <w:ind w:firstLine="0"/>
        <w:rPr>
          <w:rFonts w:ascii="Traditional Arabic" w:hAnsi="Traditional Arabic"/>
          <w:rtl/>
        </w:rPr>
      </w:pPr>
    </w:p>
    <w:p w:rsidR="00225EA4" w:rsidRDefault="00225EA4" w:rsidP="00E14A40">
      <w:pPr>
        <w:ind w:firstLine="0"/>
        <w:rPr>
          <w:rFonts w:ascii="Traditional Arabic" w:hAnsi="Traditional Arabic"/>
          <w:rtl/>
        </w:rPr>
      </w:pPr>
    </w:p>
    <w:p w:rsidR="00225EA4" w:rsidRDefault="00225EA4" w:rsidP="00E14A40">
      <w:pPr>
        <w:ind w:firstLine="0"/>
        <w:rPr>
          <w:rFonts w:ascii="Traditional Arabic" w:hAnsi="Traditional Arabic"/>
          <w:rtl/>
        </w:rPr>
      </w:pPr>
    </w:p>
    <w:p w:rsidR="00E14A40" w:rsidRPr="00E14A40" w:rsidRDefault="00E14A40" w:rsidP="00225EA4">
      <w:pPr>
        <w:ind w:firstLine="0"/>
        <w:rPr>
          <w:rFonts w:ascii="Traditional Arabic" w:hAnsi="Traditional Arabic"/>
          <w:rtl/>
        </w:rPr>
      </w:pPr>
      <w:r w:rsidRPr="00E14A40">
        <w:rPr>
          <w:rFonts w:ascii="Traditional Arabic" w:hAnsi="Traditional Arabic"/>
          <w:rtl/>
        </w:rPr>
        <w:lastRenderedPageBreak/>
        <w:t xml:space="preserve">فسقه عن أمر ربه، </w:t>
      </w:r>
      <w:r w:rsidRPr="00E14A40">
        <w:rPr>
          <w:rFonts w:ascii="Traditional Arabic" w:hAnsi="Traditional Arabic" w:hint="cs"/>
          <w:rtl/>
        </w:rPr>
        <w:t>[</w:t>
      </w:r>
      <w:r w:rsidRPr="00E14A40">
        <w:rPr>
          <w:rFonts w:ascii="Traditional Arabic" w:hAnsi="Traditional Arabic"/>
          <w:rtl/>
        </w:rPr>
        <w:t>قال</w:t>
      </w:r>
      <w:r w:rsidRPr="00E14A40">
        <w:rPr>
          <w:rFonts w:ascii="Traditional Arabic" w:hAnsi="Traditional Arabic" w:hint="cs"/>
          <w:rtl/>
        </w:rPr>
        <w:t>]</w:t>
      </w:r>
      <w:r w:rsidRPr="00E14A40">
        <w:rPr>
          <w:vertAlign w:val="superscript"/>
          <w:rtl/>
        </w:rPr>
        <w:t>(</w:t>
      </w:r>
      <w:r w:rsidRPr="00E14A40">
        <w:rPr>
          <w:vertAlign w:val="superscript"/>
          <w:rtl/>
        </w:rPr>
        <w:footnoteReference w:id="1482"/>
      </w:r>
      <w:r w:rsidRPr="00E14A40">
        <w:rPr>
          <w:vertAlign w:val="superscript"/>
          <w:rtl/>
        </w:rPr>
        <w:t>)</w:t>
      </w:r>
      <w:r w:rsidRPr="00E14A40">
        <w:rPr>
          <w:rFonts w:ascii="Traditional Arabic" w:hAnsi="Traditional Arabic"/>
          <w:rtl/>
        </w:rPr>
        <w:t>الزجاج: وهذا مذهب الخليل</w:t>
      </w:r>
      <w:r w:rsidRPr="00E14A40">
        <w:rPr>
          <w:vertAlign w:val="superscript"/>
          <w:rtl/>
        </w:rPr>
        <w:t>(</w:t>
      </w:r>
      <w:r w:rsidRPr="00E14A40">
        <w:rPr>
          <w:vertAlign w:val="superscript"/>
          <w:rtl/>
        </w:rPr>
        <w:footnoteReference w:id="1483"/>
      </w:r>
      <w:r w:rsidRPr="00E14A40">
        <w:rPr>
          <w:vertAlign w:val="superscript"/>
          <w:rtl/>
        </w:rPr>
        <w:t>)</w:t>
      </w:r>
      <w:r w:rsidRPr="00E14A40">
        <w:rPr>
          <w:rFonts w:ascii="Traditional Arabic" w:hAnsi="Traditional Arabic"/>
          <w:rtl/>
        </w:rPr>
        <w:t>وسيبويه</w:t>
      </w:r>
      <w:r w:rsidRPr="00E14A40">
        <w:rPr>
          <w:vertAlign w:val="superscript"/>
          <w:rtl/>
        </w:rPr>
        <w:t>(</w:t>
      </w:r>
      <w:r w:rsidRPr="00E14A40">
        <w:rPr>
          <w:vertAlign w:val="superscript"/>
          <w:rtl/>
        </w:rPr>
        <w:footnoteReference w:id="1484"/>
      </w:r>
      <w:r w:rsidRPr="00E14A40">
        <w:rPr>
          <w:vertAlign w:val="superscript"/>
          <w:rtl/>
        </w:rPr>
        <w:t>)</w:t>
      </w:r>
      <w:r w:rsidRPr="00E14A40">
        <w:rPr>
          <w:rFonts w:ascii="Traditional Arabic" w:hAnsi="Traditional Arabic"/>
          <w:rtl/>
        </w:rPr>
        <w:t>، وهو الحق عندنا</w:t>
      </w:r>
      <w:r w:rsidRPr="00E14A40">
        <w:rPr>
          <w:vertAlign w:val="superscript"/>
          <w:rtl/>
        </w:rPr>
        <w:t>(</w:t>
      </w:r>
      <w:r w:rsidRPr="00E14A40">
        <w:rPr>
          <w:vertAlign w:val="superscript"/>
          <w:rtl/>
        </w:rPr>
        <w:footnoteReference w:id="1485"/>
      </w:r>
      <w:r w:rsidRPr="00E14A40">
        <w:rPr>
          <w:vertAlign w:val="superscript"/>
          <w:rtl/>
        </w:rPr>
        <w:t>)</w:t>
      </w:r>
      <w:r w:rsidRPr="00E14A40">
        <w:rPr>
          <w:rFonts w:ascii="Traditional Arabic" w:hAnsi="Traditional Arabic"/>
          <w:rtl/>
        </w:rPr>
        <w:t xml:space="preserve">. </w:t>
      </w:r>
      <w:r w:rsidRPr="00E14A40">
        <w:rPr>
          <w:rFonts w:ascii="Traditional Arabic" w:hAnsi="Traditional Arabic" w:hint="cs"/>
          <w:rtl/>
        </w:rPr>
        <w:t>و</w:t>
      </w:r>
      <w:r w:rsidRPr="00E14A40">
        <w:rPr>
          <w:rFonts w:ascii="Traditional Arabic" w:hAnsi="Traditional Arabic"/>
          <w:rtl/>
        </w:rPr>
        <w:t>الثالث:</w:t>
      </w:r>
      <w:r w:rsidRPr="00E14A40">
        <w:rPr>
          <w:rFonts w:ascii="Traditional Arabic" w:hAnsi="Traditional Arabic" w:hint="cs"/>
          <w:rtl/>
        </w:rPr>
        <w:t xml:space="preserve"> </w:t>
      </w:r>
      <w:r w:rsidRPr="00E14A40">
        <w:rPr>
          <w:rFonts w:ascii="Traditional Arabic" w:hAnsi="Traditional Arabic"/>
          <w:rtl/>
        </w:rPr>
        <w:t>ففسق عن ردِّ أمر</w:t>
      </w:r>
      <w:r w:rsidRPr="00E14A40">
        <w:rPr>
          <w:rFonts w:ascii="Traditional Arabic" w:hAnsi="Traditional Arabic" w:hint="cs"/>
          <w:rtl/>
        </w:rPr>
        <w:t xml:space="preserve"> </w:t>
      </w:r>
      <w:r w:rsidRPr="00E14A40">
        <w:rPr>
          <w:rFonts w:ascii="Traditional Arabic" w:hAnsi="Traditional Arabic"/>
          <w:rtl/>
        </w:rPr>
        <w:t>ربِّه، حكاه الزجاج عن قطرب</w:t>
      </w:r>
      <w:r w:rsidRPr="00E14A40">
        <w:rPr>
          <w:vertAlign w:val="superscript"/>
          <w:rtl/>
        </w:rPr>
        <w:t>(</w:t>
      </w:r>
      <w:r w:rsidRPr="00E14A40">
        <w:rPr>
          <w:vertAlign w:val="superscript"/>
          <w:rtl/>
        </w:rPr>
        <w:footnoteReference w:id="1486"/>
      </w:r>
      <w:r w:rsidRPr="00E14A40">
        <w:rPr>
          <w:vertAlign w:val="superscript"/>
          <w:rtl/>
        </w:rPr>
        <w:t>)(</w:t>
      </w:r>
      <w:r w:rsidRPr="00E14A40">
        <w:rPr>
          <w:vertAlign w:val="superscript"/>
          <w:rtl/>
        </w:rPr>
        <w:footnoteReference w:id="1487"/>
      </w:r>
      <w:r w:rsidRPr="00E14A40">
        <w:rPr>
          <w:vertAlign w:val="superscript"/>
          <w:rtl/>
        </w:rPr>
        <w:t>)</w:t>
      </w:r>
      <w:r w:rsidRPr="00E14A40">
        <w:rPr>
          <w:rFonts w:ascii="Traditional Arabic" w:hAnsi="Traditional Arabic"/>
          <w:rtl/>
        </w:rPr>
        <w:t>.</w:t>
      </w:r>
    </w:p>
    <w:p w:rsidR="00E14A40" w:rsidRPr="00E14A40" w:rsidRDefault="00E14A40" w:rsidP="00225EA4">
      <w:pPr>
        <w:ind w:firstLine="0"/>
        <w:rPr>
          <w:rFonts w:ascii="Traditional Arabic" w:hAnsi="Traditional Arabic"/>
          <w:rtl/>
        </w:rPr>
      </w:pPr>
      <w:r w:rsidRPr="00E14A40">
        <w:rPr>
          <w:rFonts w:ascii="Traditional Arabic" w:hAnsi="Traditional Arabic"/>
          <w:rtl/>
        </w:rPr>
        <w:t xml:space="preserve">قوله تعالى: </w:t>
      </w:r>
      <w:r w:rsidRPr="00E14A40">
        <w:rPr>
          <w:rFonts w:ascii="QCF_BSML" w:hAnsi="QCF_BSML" w:cs="QCF_BSML"/>
          <w:color w:val="auto"/>
          <w:sz w:val="32"/>
          <w:szCs w:val="32"/>
          <w:rtl/>
          <w:lang w:eastAsia="en-US"/>
        </w:rPr>
        <w:t>ﭽ</w:t>
      </w:r>
      <w:r w:rsidRPr="00E14A40">
        <w:rPr>
          <w:rFonts w:ascii="QCF_P299" w:hAnsi="QCF_P299" w:cs="QCF_P299"/>
          <w:color w:val="auto"/>
          <w:sz w:val="32"/>
          <w:szCs w:val="32"/>
          <w:rtl/>
          <w:lang w:eastAsia="en-US"/>
        </w:rPr>
        <w:t>ﮬ  ﮭ  ﮮ  ﮯ  ﮰ</w:t>
      </w:r>
      <w:r w:rsidRPr="00E14A40">
        <w:rPr>
          <w:rFonts w:ascii="QCF_BSML" w:hAnsi="QCF_BSML" w:cs="QCF_BSML"/>
          <w:color w:val="auto"/>
          <w:sz w:val="32"/>
          <w:szCs w:val="32"/>
          <w:rtl/>
          <w:lang w:eastAsia="en-US"/>
        </w:rPr>
        <w:t>ﭼ</w:t>
      </w:r>
      <w:r w:rsidRPr="00E14A40">
        <w:rPr>
          <w:rFonts w:ascii="Traditional Arabic" w:hAnsi="Traditional Arabic"/>
          <w:rtl/>
        </w:rPr>
        <w:t xml:space="preserve"> أي: توالونهم بالاستجابة لهم؟! قال الحسن، وقتادة: ذريته: أولاده، وهم يتوالدون كما يتوالد بنو آدم</w:t>
      </w:r>
      <w:r w:rsidRPr="00E14A40">
        <w:rPr>
          <w:vertAlign w:val="superscript"/>
          <w:rtl/>
        </w:rPr>
        <w:t>(</w:t>
      </w:r>
      <w:r w:rsidRPr="00E14A40">
        <w:rPr>
          <w:vertAlign w:val="superscript"/>
          <w:rtl/>
        </w:rPr>
        <w:footnoteReference w:id="1488"/>
      </w:r>
      <w:r w:rsidRPr="00E14A40">
        <w:rPr>
          <w:vertAlign w:val="superscript"/>
          <w:rtl/>
        </w:rPr>
        <w:t>)</w:t>
      </w:r>
      <w:r w:rsidRPr="00E14A40">
        <w:rPr>
          <w:rFonts w:ascii="Traditional Arabic" w:hAnsi="Traditional Arabic"/>
          <w:rtl/>
        </w:rPr>
        <w:t>. قال مجاهد: ذريته الشياطين، ومن ذريته زَلَنْبُور صاحب راية إِبليس بكل سوق، وثبْر، وهو صاحب المصائب، والأعور صاحب الرياء، ومِسْوَط صاحب الأخبار يأتي بها فيطرحها على أفواه الناس، فلا يوجد لها أصل، وداسم صاحب الإِنسان إِذا دخل بيته ولم يسلِّم ولم يذكر اسم الله، فهو يأكل معه إِذا أكل</w:t>
      </w:r>
      <w:r w:rsidRPr="00E14A40">
        <w:rPr>
          <w:vertAlign w:val="superscript"/>
          <w:rtl/>
        </w:rPr>
        <w:t>(</w:t>
      </w:r>
      <w:r w:rsidRPr="00E14A40">
        <w:rPr>
          <w:vertAlign w:val="superscript"/>
          <w:rtl/>
        </w:rPr>
        <w:footnoteReference w:id="1489"/>
      </w:r>
      <w:r w:rsidRPr="00E14A40">
        <w:rPr>
          <w:vertAlign w:val="superscript"/>
          <w:rtl/>
        </w:rPr>
        <w:t>)</w:t>
      </w:r>
      <w:r w:rsidRPr="00E14A40">
        <w:rPr>
          <w:rFonts w:ascii="Traditional Arabic" w:hAnsi="Traditional Arabic"/>
          <w:rtl/>
        </w:rPr>
        <w:t xml:space="preserve">. قال بعض أهل العلم: إِذا كانت خطيئة الإِنسان في كِبْر فلا تَرْجُه، وإِن كانت في </w:t>
      </w:r>
      <w:r w:rsidRPr="00E14A40">
        <w:rPr>
          <w:rFonts w:ascii="Traditional Arabic" w:hAnsi="Traditional Arabic"/>
          <w:rtl/>
        </w:rPr>
        <w:lastRenderedPageBreak/>
        <w:t>شهوة فارجه، فإن معصية إِبليس كانت بالكِبْر، ومعصية آدم بالشهوة</w:t>
      </w:r>
      <w:r w:rsidRPr="00E14A40">
        <w:rPr>
          <w:vertAlign w:val="superscript"/>
          <w:rtl/>
        </w:rPr>
        <w:t>(</w:t>
      </w:r>
      <w:r w:rsidRPr="00E14A40">
        <w:rPr>
          <w:vertAlign w:val="superscript"/>
          <w:rtl/>
        </w:rPr>
        <w:footnoteReference w:id="1490"/>
      </w:r>
      <w:r w:rsidRPr="00E14A40">
        <w:rPr>
          <w:vertAlign w:val="superscript"/>
          <w:rtl/>
        </w:rPr>
        <w:t>)</w:t>
      </w:r>
      <w:r w:rsidRPr="00E14A40">
        <w:rPr>
          <w:rFonts w:ascii="Traditional Arabic" w:hAnsi="Traditional Arabic"/>
          <w:rtl/>
        </w:rPr>
        <w:t>.</w:t>
      </w:r>
      <w:r w:rsidRPr="00E14A40">
        <w:rPr>
          <w:rFonts w:ascii="Traditional Arabic" w:hAnsi="Traditional Arabic" w:hint="cs"/>
          <w:rtl/>
        </w:rPr>
        <w:t xml:space="preserve"> </w:t>
      </w:r>
      <w:r w:rsidRPr="00E14A40">
        <w:rPr>
          <w:rFonts w:ascii="Traditional Arabic" w:hAnsi="Traditional Arabic"/>
          <w:rtl/>
        </w:rPr>
        <w:t xml:space="preserve">قوله تعالى: </w:t>
      </w:r>
      <w:r w:rsidRPr="00E14A40">
        <w:rPr>
          <w:rFonts w:ascii="QCF_BSML" w:hAnsi="QCF_BSML" w:cs="QCF_BSML"/>
          <w:color w:val="auto"/>
          <w:sz w:val="32"/>
          <w:szCs w:val="32"/>
          <w:rtl/>
          <w:lang w:eastAsia="en-US"/>
        </w:rPr>
        <w:t>ﭽ</w:t>
      </w:r>
      <w:r w:rsidRPr="00E14A40">
        <w:rPr>
          <w:rFonts w:ascii="Traditional Arabic" w:hAnsi="Traditional Arabic"/>
          <w:rtl/>
        </w:rPr>
        <w:t xml:space="preserve"> </w:t>
      </w:r>
      <w:r w:rsidRPr="00E14A40">
        <w:rPr>
          <w:rFonts w:ascii="QCF_P299" w:hAnsi="QCF_P299" w:cs="QCF_P299"/>
          <w:color w:val="auto"/>
          <w:sz w:val="32"/>
          <w:szCs w:val="32"/>
          <w:rtl/>
          <w:lang w:eastAsia="en-US"/>
        </w:rPr>
        <w:t>ﯖ  ﯗ  ﯘ</w:t>
      </w:r>
      <w:r w:rsidRPr="00E14A40">
        <w:rPr>
          <w:rFonts w:ascii="QCF_BSML" w:hAnsi="QCF_BSML" w:cs="QCF_BSML"/>
          <w:color w:val="auto"/>
          <w:sz w:val="32"/>
          <w:szCs w:val="32"/>
          <w:rtl/>
          <w:lang w:eastAsia="en-US"/>
        </w:rPr>
        <w:t>ﭼ</w:t>
      </w:r>
      <w:r w:rsidRPr="00E14A40">
        <w:rPr>
          <w:rFonts w:ascii="Traditional Arabic" w:hAnsi="Traditional Arabic"/>
          <w:rtl/>
        </w:rPr>
        <w:t xml:space="preserve"> فيه ثلاثة أقوال: أحدها: بئس الاتخاذ للظالمين بدلاً. والثاني:</w:t>
      </w:r>
      <w:r w:rsidRPr="00E14A40">
        <w:rPr>
          <w:rFonts w:ascii="Traditional Arabic" w:hAnsi="Traditional Arabic" w:hint="cs"/>
          <w:rtl/>
        </w:rPr>
        <w:t xml:space="preserve"> </w:t>
      </w:r>
      <w:r w:rsidRPr="00E14A40">
        <w:rPr>
          <w:rFonts w:ascii="Traditional Arabic" w:hAnsi="Traditional Arabic"/>
          <w:rtl/>
        </w:rPr>
        <w:t>بئس الشيطان. والثالث: بئس الشيطان والذرِّيَّة، ذكرهنَّ ابن الأنباري</w:t>
      </w:r>
      <w:r w:rsidRPr="00E14A40">
        <w:rPr>
          <w:vertAlign w:val="superscript"/>
          <w:rtl/>
        </w:rPr>
        <w:t>(</w:t>
      </w:r>
      <w:r w:rsidRPr="00E14A40">
        <w:rPr>
          <w:vertAlign w:val="superscript"/>
          <w:rtl/>
        </w:rPr>
        <w:footnoteReference w:id="1491"/>
      </w:r>
      <w:r w:rsidRPr="00E14A40">
        <w:rPr>
          <w:vertAlign w:val="superscript"/>
          <w:rtl/>
        </w:rPr>
        <w:t>)</w:t>
      </w:r>
      <w:r w:rsidRPr="00E14A40">
        <w:rPr>
          <w:rFonts w:ascii="Traditional Arabic" w:hAnsi="Traditional Arabic"/>
          <w:rtl/>
        </w:rPr>
        <w:t>.</w:t>
      </w:r>
      <w:r w:rsidRPr="00E14A40">
        <w:rPr>
          <w:rFonts w:ascii="Traditional Arabic" w:hAnsi="Traditional Arabic" w:hint="cs"/>
          <w:rtl/>
        </w:rPr>
        <w:t xml:space="preserve"> </w:t>
      </w:r>
      <w:r w:rsidRPr="00E14A40">
        <w:rPr>
          <w:rFonts w:ascii="Traditional Arabic" w:hAnsi="Traditional Arabic"/>
          <w:rtl/>
        </w:rPr>
        <w:t xml:space="preserve">قوله تعالى: </w:t>
      </w:r>
      <w:r w:rsidRPr="00E14A40">
        <w:rPr>
          <w:rFonts w:ascii="QCF_BSML" w:hAnsi="QCF_BSML" w:cs="QCF_BSML"/>
          <w:color w:val="auto"/>
          <w:sz w:val="32"/>
          <w:szCs w:val="32"/>
          <w:rtl/>
          <w:lang w:eastAsia="en-US"/>
        </w:rPr>
        <w:t>ﭽ</w:t>
      </w:r>
      <w:r w:rsidRPr="00E14A40">
        <w:rPr>
          <w:rFonts w:ascii="QCF_P299" w:hAnsi="QCF_P299" w:cs="QCF_P299"/>
          <w:color w:val="auto"/>
          <w:sz w:val="32"/>
          <w:szCs w:val="32"/>
          <w:rtl/>
          <w:lang w:eastAsia="en-US"/>
        </w:rPr>
        <w:t xml:space="preserve"> ﯛ  ﯜ  ﯝ  ﯞ   ﯟ</w:t>
      </w:r>
      <w:r w:rsidRPr="00E14A40">
        <w:rPr>
          <w:rFonts w:ascii="QCF_BSML" w:hAnsi="QCF_BSML" w:cs="QCF_BSML"/>
          <w:color w:val="auto"/>
          <w:sz w:val="32"/>
          <w:szCs w:val="32"/>
          <w:rtl/>
          <w:lang w:eastAsia="en-US"/>
        </w:rPr>
        <w:t>ﭼ</w:t>
      </w:r>
      <w:r w:rsidRPr="00E14A40">
        <w:rPr>
          <w:rFonts w:ascii="Traditional Arabic" w:hAnsi="Traditional Arabic"/>
          <w:rtl/>
        </w:rPr>
        <w:t xml:space="preserve"> وقرأ أبو جعفر، وشيبة: «ما أشهدناهم» بالنون والألف</w:t>
      </w:r>
      <w:r w:rsidRPr="00E14A40">
        <w:rPr>
          <w:vertAlign w:val="superscript"/>
          <w:rtl/>
        </w:rPr>
        <w:t>(</w:t>
      </w:r>
      <w:r w:rsidRPr="00E14A40">
        <w:rPr>
          <w:vertAlign w:val="superscript"/>
          <w:rtl/>
        </w:rPr>
        <w:footnoteReference w:id="1492"/>
      </w:r>
      <w:r w:rsidRPr="00E14A40">
        <w:rPr>
          <w:vertAlign w:val="superscript"/>
          <w:rtl/>
        </w:rPr>
        <w:t>)</w:t>
      </w:r>
      <w:r w:rsidRPr="00E14A40">
        <w:rPr>
          <w:rFonts w:ascii="Traditional Arabic" w:hAnsi="Traditional Arabic"/>
          <w:rtl/>
        </w:rPr>
        <w:t>. وفي المشار إِليهم أربعة أقوال: أحدها: إِبليس وذريته</w:t>
      </w:r>
      <w:r w:rsidRPr="00E14A40">
        <w:rPr>
          <w:vertAlign w:val="superscript"/>
          <w:rtl/>
        </w:rPr>
        <w:t>(</w:t>
      </w:r>
      <w:r w:rsidRPr="00E14A40">
        <w:rPr>
          <w:vertAlign w:val="superscript"/>
          <w:rtl/>
        </w:rPr>
        <w:footnoteReference w:id="1493"/>
      </w:r>
      <w:r w:rsidRPr="00E14A40">
        <w:rPr>
          <w:vertAlign w:val="superscript"/>
          <w:rtl/>
        </w:rPr>
        <w:t>)</w:t>
      </w:r>
      <w:r w:rsidRPr="00E14A40">
        <w:rPr>
          <w:rFonts w:ascii="Traditional Arabic" w:hAnsi="Traditional Arabic"/>
          <w:rtl/>
        </w:rPr>
        <w:t>. والثاني: الملائكة. والثالث: جميع الكفار</w:t>
      </w:r>
      <w:r w:rsidRPr="00E14A40">
        <w:rPr>
          <w:vertAlign w:val="superscript"/>
          <w:rtl/>
        </w:rPr>
        <w:t>(</w:t>
      </w:r>
      <w:r w:rsidRPr="00E14A40">
        <w:rPr>
          <w:vertAlign w:val="superscript"/>
          <w:rtl/>
        </w:rPr>
        <w:footnoteReference w:id="1494"/>
      </w:r>
      <w:r w:rsidRPr="00E14A40">
        <w:rPr>
          <w:vertAlign w:val="superscript"/>
          <w:rtl/>
        </w:rPr>
        <w:t>)</w:t>
      </w:r>
      <w:r w:rsidRPr="00E14A40">
        <w:rPr>
          <w:rFonts w:ascii="Traditional Arabic" w:hAnsi="Traditional Arabic"/>
          <w:rtl/>
        </w:rPr>
        <w:t xml:space="preserve">. والرابع: جميع </w:t>
      </w:r>
      <w:r w:rsidRPr="00E14A40">
        <w:rPr>
          <w:rFonts w:ascii="Traditional Arabic" w:hAnsi="Traditional Arabic" w:hint="cs"/>
          <w:sz w:val="32"/>
          <w:szCs w:val="32"/>
          <w:rtl/>
        </w:rPr>
        <w:t>[129]</w:t>
      </w:r>
      <w:r w:rsidRPr="00E14A40">
        <w:rPr>
          <w:rFonts w:ascii="Traditional Arabic" w:hAnsi="Traditional Arabic"/>
          <w:rtl/>
        </w:rPr>
        <w:t xml:space="preserve"> الخلق</w:t>
      </w:r>
      <w:r w:rsidRPr="00E14A40">
        <w:rPr>
          <w:vertAlign w:val="superscript"/>
          <w:rtl/>
        </w:rPr>
        <w:t>(</w:t>
      </w:r>
      <w:r w:rsidRPr="00E14A40">
        <w:rPr>
          <w:vertAlign w:val="superscript"/>
          <w:rtl/>
        </w:rPr>
        <w:footnoteReference w:id="1495"/>
      </w:r>
      <w:r w:rsidRPr="00E14A40">
        <w:rPr>
          <w:vertAlign w:val="superscript"/>
          <w:rtl/>
        </w:rPr>
        <w:t>)</w:t>
      </w:r>
      <w:r w:rsidRPr="00E14A40">
        <w:rPr>
          <w:rFonts w:ascii="Traditional Arabic" w:hAnsi="Traditional Arabic" w:hint="cs"/>
          <w:rtl/>
        </w:rPr>
        <w:t>.</w:t>
      </w:r>
      <w:r w:rsidRPr="00E14A40">
        <w:rPr>
          <w:rFonts w:ascii="Traditional Arabic" w:hAnsi="Traditional Arabic"/>
          <w:rtl/>
        </w:rPr>
        <w:t xml:space="preserve"> والمعنى: إِني لم </w:t>
      </w:r>
      <w:r w:rsidRPr="00E14A40">
        <w:rPr>
          <w:rFonts w:ascii="Traditional Arabic" w:hAnsi="Traditional Arabic" w:hint="cs"/>
          <w:rtl/>
        </w:rPr>
        <w:t>[</w:t>
      </w:r>
      <w:r w:rsidRPr="00E14A40">
        <w:rPr>
          <w:rFonts w:ascii="Traditional Arabic" w:hAnsi="Traditional Arabic"/>
          <w:rtl/>
        </w:rPr>
        <w:t>أشاورهم</w:t>
      </w:r>
      <w:r w:rsidRPr="00E14A40">
        <w:rPr>
          <w:rFonts w:ascii="Traditional Arabic" w:hAnsi="Traditional Arabic" w:hint="cs"/>
          <w:rtl/>
        </w:rPr>
        <w:t>]</w:t>
      </w:r>
      <w:r w:rsidRPr="00E14A40">
        <w:rPr>
          <w:vertAlign w:val="superscript"/>
          <w:rtl/>
        </w:rPr>
        <w:t>(</w:t>
      </w:r>
      <w:r w:rsidRPr="00E14A40">
        <w:rPr>
          <w:vertAlign w:val="superscript"/>
          <w:rtl/>
        </w:rPr>
        <w:footnoteReference w:id="1496"/>
      </w:r>
      <w:r w:rsidRPr="00E14A40">
        <w:rPr>
          <w:vertAlign w:val="superscript"/>
          <w:rtl/>
        </w:rPr>
        <w:t>)</w:t>
      </w:r>
      <w:r w:rsidRPr="00E14A40">
        <w:rPr>
          <w:rFonts w:ascii="Traditional Arabic" w:hAnsi="Traditional Arabic"/>
          <w:rtl/>
        </w:rPr>
        <w:t>في خلقهن وفي هذا بيان للغَناء عن الأعوان، وإِظهار كمال القدرة</w:t>
      </w:r>
      <w:r w:rsidRPr="00E14A40">
        <w:rPr>
          <w:vertAlign w:val="superscript"/>
          <w:rtl/>
        </w:rPr>
        <w:t>(</w:t>
      </w:r>
      <w:r w:rsidRPr="00E14A40">
        <w:rPr>
          <w:vertAlign w:val="superscript"/>
          <w:rtl/>
        </w:rPr>
        <w:footnoteReference w:id="1497"/>
      </w:r>
      <w:r w:rsidRPr="00E14A40">
        <w:rPr>
          <w:vertAlign w:val="superscript"/>
          <w:rtl/>
        </w:rPr>
        <w:t>)</w:t>
      </w:r>
      <w:r w:rsidRPr="00E14A40">
        <w:rPr>
          <w:rFonts w:ascii="Traditional Arabic" w:hAnsi="Traditional Arabic"/>
          <w:rtl/>
        </w:rPr>
        <w:t xml:space="preserve">. قوله تعالى: </w:t>
      </w:r>
      <w:r w:rsidRPr="00E14A40">
        <w:rPr>
          <w:rFonts w:ascii="QCF_BSML" w:hAnsi="QCF_BSML" w:cs="QCF_BSML"/>
          <w:color w:val="auto"/>
          <w:sz w:val="32"/>
          <w:szCs w:val="32"/>
          <w:rtl/>
          <w:lang w:eastAsia="en-US"/>
        </w:rPr>
        <w:t>ﭽ</w:t>
      </w:r>
      <w:r w:rsidRPr="00E14A40">
        <w:rPr>
          <w:rFonts w:ascii="QCF_P299" w:hAnsi="QCF_P299" w:cs="QCF_P299"/>
          <w:color w:val="auto"/>
          <w:sz w:val="32"/>
          <w:szCs w:val="32"/>
          <w:rtl/>
          <w:lang w:eastAsia="en-US"/>
        </w:rPr>
        <w:t>ﯠ   ﯡ  ﯢ</w:t>
      </w:r>
      <w:r w:rsidRPr="00E14A40">
        <w:rPr>
          <w:rFonts w:ascii="QCF_BSML" w:hAnsi="QCF_BSML" w:cs="QCF_BSML"/>
          <w:color w:val="auto"/>
          <w:sz w:val="32"/>
          <w:szCs w:val="32"/>
          <w:rtl/>
          <w:lang w:eastAsia="en-US"/>
        </w:rPr>
        <w:t>ﭼ</w:t>
      </w:r>
      <w:r w:rsidRPr="00E14A40">
        <w:rPr>
          <w:rFonts w:ascii="Traditional Arabic" w:hAnsi="Traditional Arabic"/>
          <w:rtl/>
        </w:rPr>
        <w:t xml:space="preserve"> أي: ما أشهدت بعضَهم خَلْقَ بعض، ولا استعنت ببعضهم على إِيجاد بعض</w:t>
      </w:r>
      <w:r w:rsidRPr="00E14A40">
        <w:rPr>
          <w:vertAlign w:val="superscript"/>
          <w:rtl/>
        </w:rPr>
        <w:t>(</w:t>
      </w:r>
      <w:r w:rsidRPr="00E14A40">
        <w:rPr>
          <w:vertAlign w:val="superscript"/>
          <w:rtl/>
        </w:rPr>
        <w:footnoteReference w:id="1498"/>
      </w:r>
      <w:r w:rsidRPr="00E14A40">
        <w:rPr>
          <w:vertAlign w:val="superscript"/>
          <w:rtl/>
        </w:rPr>
        <w:t>)</w:t>
      </w:r>
      <w:r w:rsidRPr="00E14A40">
        <w:rPr>
          <w:rFonts w:ascii="Traditional Arabic" w:hAnsi="Traditional Arabic"/>
          <w:rtl/>
        </w:rPr>
        <w:t>.</w:t>
      </w:r>
      <w:r w:rsidRPr="00E14A40">
        <w:rPr>
          <w:rFonts w:ascii="Traditional Arabic" w:hAnsi="Traditional Arabic" w:hint="cs"/>
          <w:rtl/>
        </w:rPr>
        <w:t xml:space="preserve"> </w:t>
      </w:r>
      <w:r w:rsidRPr="00E14A40">
        <w:rPr>
          <w:rFonts w:ascii="Traditional Arabic" w:hAnsi="Traditional Arabic"/>
          <w:rtl/>
        </w:rPr>
        <w:t xml:space="preserve">قوله تعالى: </w:t>
      </w:r>
      <w:r w:rsidRPr="00E14A40">
        <w:rPr>
          <w:rFonts w:ascii="QCF_BSML" w:hAnsi="QCF_BSML" w:cs="QCF_BSML"/>
          <w:color w:val="auto"/>
          <w:sz w:val="32"/>
          <w:szCs w:val="32"/>
          <w:rtl/>
          <w:lang w:eastAsia="en-US"/>
        </w:rPr>
        <w:t>ﭽ</w:t>
      </w:r>
      <w:r w:rsidRPr="00E14A40">
        <w:rPr>
          <w:rFonts w:ascii="QCF_P299" w:hAnsi="QCF_P299" w:cs="QCF_P299"/>
          <w:color w:val="auto"/>
          <w:sz w:val="32"/>
          <w:szCs w:val="32"/>
          <w:rtl/>
          <w:lang w:eastAsia="en-US"/>
        </w:rPr>
        <w:t>ﯣ  ﯤ ﯥ  ﯦ</w:t>
      </w:r>
      <w:r w:rsidRPr="00E14A40">
        <w:rPr>
          <w:rFonts w:ascii="QCF_BSML" w:hAnsi="QCF_BSML" w:cs="QCF_BSML"/>
          <w:color w:val="auto"/>
          <w:sz w:val="32"/>
          <w:szCs w:val="32"/>
          <w:rtl/>
          <w:lang w:eastAsia="en-US"/>
        </w:rPr>
        <w:t>ﭼ</w:t>
      </w:r>
      <w:r w:rsidRPr="00E14A40">
        <w:rPr>
          <w:rFonts w:ascii="Traditional Arabic" w:hAnsi="Traditional Arabic"/>
          <w:rtl/>
        </w:rPr>
        <w:t xml:space="preserve"> </w:t>
      </w:r>
      <w:r w:rsidRPr="00E14A40">
        <w:rPr>
          <w:rFonts w:ascii="Traditional Arabic" w:hAnsi="Traditional Arabic" w:hint="cs"/>
          <w:rtl/>
        </w:rPr>
        <w:t>[</w:t>
      </w:r>
      <w:r w:rsidRPr="00E14A40">
        <w:rPr>
          <w:rFonts w:ascii="Traditional Arabic" w:hAnsi="Traditional Arabic"/>
          <w:rtl/>
        </w:rPr>
        <w:t>يعني: الشياطين</w:t>
      </w:r>
      <w:r w:rsidRPr="00E14A40">
        <w:rPr>
          <w:rFonts w:ascii="QCF_BSML" w:hAnsi="QCF_BSML" w:cs="QCF_BSML" w:hint="cs"/>
          <w:color w:val="auto"/>
          <w:sz w:val="32"/>
          <w:szCs w:val="32"/>
          <w:rtl/>
          <w:lang w:eastAsia="en-US"/>
        </w:rPr>
        <w:t xml:space="preserve"> </w:t>
      </w:r>
      <w:r w:rsidRPr="00E14A40">
        <w:rPr>
          <w:rFonts w:ascii="Traditional Arabic" w:hAnsi="Traditional Arabic" w:hint="cs"/>
          <w:color w:val="auto"/>
          <w:rtl/>
          <w:lang w:eastAsia="en-US"/>
        </w:rPr>
        <w:t>]</w:t>
      </w:r>
      <w:r w:rsidRPr="00E14A40">
        <w:rPr>
          <w:vertAlign w:val="superscript"/>
          <w:rtl/>
        </w:rPr>
        <w:t>(</w:t>
      </w:r>
      <w:r w:rsidRPr="00E14A40">
        <w:rPr>
          <w:vertAlign w:val="superscript"/>
          <w:rtl/>
        </w:rPr>
        <w:footnoteReference w:id="1499"/>
      </w:r>
      <w:r w:rsidRPr="00E14A40">
        <w:rPr>
          <w:vertAlign w:val="superscript"/>
          <w:rtl/>
        </w:rPr>
        <w:t>)</w:t>
      </w:r>
      <w:r w:rsidRPr="00E14A40">
        <w:rPr>
          <w:rFonts w:ascii="QCF_BSML" w:hAnsi="QCF_BSML" w:cs="QCF_BSML" w:hint="cs"/>
          <w:color w:val="auto"/>
          <w:sz w:val="32"/>
          <w:szCs w:val="32"/>
          <w:rtl/>
          <w:lang w:eastAsia="en-US"/>
        </w:rPr>
        <w:t xml:space="preserve"> </w:t>
      </w:r>
      <w:r w:rsidRPr="00E14A40">
        <w:rPr>
          <w:rFonts w:ascii="QCF_BSML" w:hAnsi="QCF_BSML" w:cs="QCF_BSML"/>
          <w:color w:val="auto"/>
          <w:sz w:val="32"/>
          <w:szCs w:val="32"/>
          <w:rtl/>
          <w:lang w:eastAsia="en-US"/>
        </w:rPr>
        <w:t>ﭽ</w:t>
      </w:r>
      <w:r w:rsidRPr="00E14A40">
        <w:rPr>
          <w:rFonts w:ascii="QCF_P299" w:hAnsi="QCF_P299" w:cs="QCF_P299"/>
          <w:color w:val="auto"/>
          <w:sz w:val="32"/>
          <w:szCs w:val="32"/>
          <w:rtl/>
          <w:lang w:eastAsia="en-US"/>
        </w:rPr>
        <w:t xml:space="preserve"> ﯧ</w:t>
      </w:r>
      <w:r w:rsidRPr="00E14A40">
        <w:rPr>
          <w:rFonts w:ascii="QCF_BSML" w:hAnsi="QCF_BSML" w:cs="QCF_BSML"/>
          <w:color w:val="auto"/>
          <w:sz w:val="32"/>
          <w:szCs w:val="32"/>
          <w:rtl/>
          <w:lang w:eastAsia="en-US"/>
        </w:rPr>
        <w:t>ﭼ</w:t>
      </w:r>
      <w:r w:rsidRPr="00E14A40">
        <w:rPr>
          <w:rFonts w:ascii="Traditional Arabic" w:hAnsi="Traditional Arabic"/>
          <w:rtl/>
        </w:rPr>
        <w:t xml:space="preserve"> أي: أنصاراً وأعواناً. والعَضُد يستعمل كثيراً في معنى العون، لأنه قِوام ال</w:t>
      </w:r>
      <w:r w:rsidRPr="00E14A40">
        <w:rPr>
          <w:rFonts w:ascii="Traditional Arabic" w:hAnsi="Traditional Arabic" w:hint="cs"/>
          <w:rtl/>
        </w:rPr>
        <w:t>ب</w:t>
      </w:r>
      <w:r w:rsidRPr="00E14A40">
        <w:rPr>
          <w:rFonts w:ascii="Traditional Arabic" w:hAnsi="Traditional Arabic"/>
          <w:rtl/>
        </w:rPr>
        <w:t>د</w:t>
      </w:r>
      <w:r w:rsidRPr="00E14A40">
        <w:rPr>
          <w:rFonts w:ascii="Traditional Arabic" w:hAnsi="Traditional Arabic" w:hint="cs"/>
          <w:rtl/>
        </w:rPr>
        <w:t>ن</w:t>
      </w:r>
      <w:r w:rsidRPr="00E14A40">
        <w:rPr>
          <w:vertAlign w:val="superscript"/>
          <w:rtl/>
        </w:rPr>
        <w:t>(</w:t>
      </w:r>
      <w:r w:rsidRPr="00E14A40">
        <w:rPr>
          <w:vertAlign w:val="superscript"/>
          <w:rtl/>
        </w:rPr>
        <w:footnoteReference w:id="1500"/>
      </w:r>
      <w:r w:rsidRPr="00E14A40">
        <w:rPr>
          <w:vertAlign w:val="superscript"/>
          <w:rtl/>
        </w:rPr>
        <w:t>)</w:t>
      </w:r>
      <w:r w:rsidRPr="00E14A40">
        <w:rPr>
          <w:rFonts w:ascii="Traditional Arabic" w:hAnsi="Traditional Arabic"/>
          <w:rtl/>
        </w:rPr>
        <w:t>، قال الزجاج: والاعتضاد: التقوِّي وطلب المعونة، يقال:</w:t>
      </w:r>
      <w:r w:rsidRPr="00E14A40">
        <w:rPr>
          <w:rFonts w:ascii="Traditional Arabic" w:hAnsi="Traditional Arabic" w:hint="cs"/>
          <w:rtl/>
        </w:rPr>
        <w:t xml:space="preserve"> </w:t>
      </w:r>
      <w:r w:rsidRPr="00E14A40">
        <w:rPr>
          <w:rFonts w:ascii="Traditional Arabic" w:hAnsi="Traditional Arabic"/>
          <w:rtl/>
        </w:rPr>
        <w:t>اعتضدت بفلان، أي: استعنت به</w:t>
      </w:r>
      <w:r w:rsidRPr="00E14A40">
        <w:rPr>
          <w:vertAlign w:val="superscript"/>
          <w:rtl/>
        </w:rPr>
        <w:t>(</w:t>
      </w:r>
      <w:r w:rsidRPr="00E14A40">
        <w:rPr>
          <w:vertAlign w:val="superscript"/>
          <w:rtl/>
        </w:rPr>
        <w:footnoteReference w:id="1501"/>
      </w:r>
      <w:r w:rsidRPr="00E14A40">
        <w:rPr>
          <w:vertAlign w:val="superscript"/>
          <w:rtl/>
        </w:rPr>
        <w:t>)</w:t>
      </w:r>
      <w:r w:rsidRPr="00E14A40">
        <w:rPr>
          <w:rFonts w:ascii="Traditional Arabic" w:hAnsi="Traditional Arabic"/>
          <w:rtl/>
        </w:rPr>
        <w:t xml:space="preserve">. وفي ما نفى اتخاذهم عضداً فيه قولان: أحدهما: أنه </w:t>
      </w:r>
      <w:r w:rsidRPr="00E14A40">
        <w:rPr>
          <w:rFonts w:ascii="Traditional Arabic" w:hAnsi="Traditional Arabic"/>
          <w:rtl/>
        </w:rPr>
        <w:lastRenderedPageBreak/>
        <w:t xml:space="preserve">الولايات، فالمعنى: ما كنت </w:t>
      </w:r>
      <w:r w:rsidRPr="00E14A40">
        <w:rPr>
          <w:rFonts w:ascii="Traditional Arabic" w:hAnsi="Traditional Arabic" w:hint="cs"/>
          <w:rtl/>
        </w:rPr>
        <w:t>لأُوَلّى</w:t>
      </w:r>
      <w:r w:rsidRPr="00E14A40">
        <w:rPr>
          <w:rFonts w:ascii="Traditional Arabic" w:hAnsi="Traditional Arabic"/>
          <w:rtl/>
        </w:rPr>
        <w:t xml:space="preserve"> المضلِّين، قاله مجاهد</w:t>
      </w:r>
      <w:r w:rsidRPr="00E14A40">
        <w:rPr>
          <w:vertAlign w:val="superscript"/>
          <w:rtl/>
        </w:rPr>
        <w:t>(</w:t>
      </w:r>
      <w:r w:rsidRPr="00E14A40">
        <w:rPr>
          <w:vertAlign w:val="superscript"/>
          <w:rtl/>
        </w:rPr>
        <w:footnoteReference w:id="1502"/>
      </w:r>
      <w:r w:rsidRPr="00E14A40">
        <w:rPr>
          <w:vertAlign w:val="superscript"/>
          <w:rtl/>
        </w:rPr>
        <w:t>)</w:t>
      </w:r>
      <w:r w:rsidRPr="00E14A40">
        <w:rPr>
          <w:rFonts w:ascii="Traditional Arabic" w:hAnsi="Traditional Arabic"/>
          <w:rtl/>
        </w:rPr>
        <w:t>. والثاني: أنه خَلْق السموات والأرض، قاله مقاتل</w:t>
      </w:r>
      <w:r w:rsidRPr="00E14A40">
        <w:rPr>
          <w:vertAlign w:val="superscript"/>
          <w:rtl/>
        </w:rPr>
        <w:t>(</w:t>
      </w:r>
      <w:r w:rsidRPr="00E14A40">
        <w:rPr>
          <w:vertAlign w:val="superscript"/>
          <w:rtl/>
        </w:rPr>
        <w:footnoteReference w:id="1503"/>
      </w:r>
      <w:r w:rsidRPr="00E14A40">
        <w:rPr>
          <w:vertAlign w:val="superscript"/>
          <w:rtl/>
        </w:rPr>
        <w:t>)</w:t>
      </w:r>
      <w:r w:rsidRPr="00E14A40">
        <w:rPr>
          <w:rFonts w:ascii="Traditional Arabic" w:hAnsi="Traditional Arabic"/>
          <w:rtl/>
        </w:rPr>
        <w:t>.</w:t>
      </w:r>
      <w:r w:rsidRPr="00E14A40">
        <w:rPr>
          <w:rFonts w:ascii="Traditional Arabic" w:hAnsi="Traditional Arabic" w:hint="cs"/>
          <w:rtl/>
        </w:rPr>
        <w:t xml:space="preserve"> </w:t>
      </w:r>
      <w:r w:rsidRPr="00E14A40">
        <w:rPr>
          <w:rFonts w:ascii="Traditional Arabic" w:hAnsi="Traditional Arabic"/>
          <w:rtl/>
        </w:rPr>
        <w:t>وقرأ الحسن، والجحدري، وأبو جعفر: «وما كنت» بفتح التاء</w:t>
      </w:r>
      <w:r w:rsidRPr="00E14A40">
        <w:rPr>
          <w:vertAlign w:val="superscript"/>
          <w:rtl/>
        </w:rPr>
        <w:t>(</w:t>
      </w:r>
      <w:r w:rsidRPr="00E14A40">
        <w:rPr>
          <w:vertAlign w:val="superscript"/>
          <w:rtl/>
        </w:rPr>
        <w:footnoteReference w:id="1504"/>
      </w:r>
      <w:r w:rsidRPr="00E14A40">
        <w:rPr>
          <w:vertAlign w:val="superscript"/>
          <w:rtl/>
        </w:rPr>
        <w:t>)</w:t>
      </w:r>
      <w:r w:rsidRPr="00E14A40">
        <w:rPr>
          <w:rFonts w:ascii="Traditional Arabic" w:hAnsi="Traditional Arabic"/>
          <w:rtl/>
        </w:rPr>
        <w:t>.</w:t>
      </w:r>
    </w:p>
    <w:p w:rsidR="00E14A40" w:rsidRPr="00E14A40" w:rsidRDefault="00E14A40" w:rsidP="00E14A40">
      <w:pPr>
        <w:ind w:firstLine="0"/>
        <w:rPr>
          <w:rFonts w:ascii="Traditional Arabic" w:hAnsi="Traditional Arabic"/>
          <w:rtl/>
        </w:rPr>
      </w:pPr>
    </w:p>
    <w:p w:rsidR="00E14A40" w:rsidRPr="00E14A40" w:rsidRDefault="00E14A40" w:rsidP="00E14A40">
      <w:pPr>
        <w:ind w:firstLine="0"/>
        <w:rPr>
          <w:rFonts w:ascii="Traditional Arabic" w:hAnsi="Traditional Arabic"/>
          <w:rtl/>
        </w:rPr>
      </w:pPr>
      <w:r w:rsidRPr="00E14A40">
        <w:rPr>
          <w:rFonts w:ascii="QCF_BSML" w:hAnsi="QCF_BSML" w:cs="QCF_BSML"/>
          <w:sz w:val="32"/>
          <w:szCs w:val="32"/>
          <w:rtl/>
          <w:lang w:eastAsia="en-US"/>
        </w:rPr>
        <w:t xml:space="preserve">ﭽ </w:t>
      </w:r>
      <w:r w:rsidRPr="00E14A40">
        <w:rPr>
          <w:rFonts w:ascii="QCF_P299" w:hAnsi="QCF_P299" w:cs="QCF_P299"/>
          <w:sz w:val="32"/>
          <w:szCs w:val="32"/>
          <w:rtl/>
          <w:lang w:eastAsia="en-US"/>
        </w:rPr>
        <w:t xml:space="preserve">ﯩ  ﯪ  ﯫ  ﯬ  ﯭ  ﯮ  ﯯ   ﯰ   ﯱ  ﯲ  ﯳ  ﯴ  ﯵ  ﯶ  ﯷ  ﯸ   ﯹ  ﯺ  ﯻ  ﯼ  ﯽ  ﯾ  ﯿ  ﰀ  ﰁ   </w:t>
      </w:r>
      <w:r w:rsidRPr="00E14A40">
        <w:rPr>
          <w:rFonts w:ascii="QCF_BSML" w:hAnsi="QCF_BSML" w:cs="QCF_BSML"/>
          <w:sz w:val="32"/>
          <w:szCs w:val="32"/>
          <w:rtl/>
          <w:lang w:eastAsia="en-US"/>
        </w:rPr>
        <w:t>ﭼ</w:t>
      </w:r>
    </w:p>
    <w:p w:rsidR="00E14A40" w:rsidRPr="00E14A40" w:rsidRDefault="00E14A40" w:rsidP="008B64F4">
      <w:pPr>
        <w:ind w:firstLine="0"/>
        <w:rPr>
          <w:rFonts w:ascii="Traditional Arabic" w:hAnsi="Traditional Arabic"/>
          <w:rtl/>
        </w:rPr>
      </w:pPr>
      <w:r w:rsidRPr="00E14A40">
        <w:rPr>
          <w:rFonts w:ascii="Traditional Arabic" w:hAnsi="Traditional Arabic"/>
          <w:rtl/>
        </w:rPr>
        <w:t xml:space="preserve">قوله تعالى: </w:t>
      </w:r>
      <w:r w:rsidRPr="00E14A40">
        <w:rPr>
          <w:rFonts w:ascii="QCF_BSML" w:hAnsi="QCF_BSML" w:cs="QCF_BSML"/>
          <w:color w:val="auto"/>
          <w:sz w:val="32"/>
          <w:szCs w:val="32"/>
          <w:rtl/>
          <w:lang w:eastAsia="en-US"/>
        </w:rPr>
        <w:t>ﭽ</w:t>
      </w:r>
      <w:r w:rsidRPr="00E14A40">
        <w:rPr>
          <w:rFonts w:ascii="QCF_P299" w:hAnsi="QCF_P299" w:cs="QCF_P299"/>
          <w:sz w:val="32"/>
          <w:szCs w:val="32"/>
          <w:rtl/>
          <w:lang w:eastAsia="en-US"/>
        </w:rPr>
        <w:t>ﯩ  ﯪ</w:t>
      </w:r>
      <w:r w:rsidRPr="00E14A40">
        <w:rPr>
          <w:rFonts w:ascii="QCF_BSML" w:hAnsi="QCF_BSML" w:cs="QCF_BSML"/>
          <w:color w:val="auto"/>
          <w:sz w:val="32"/>
          <w:szCs w:val="32"/>
          <w:rtl/>
          <w:lang w:eastAsia="en-US"/>
        </w:rPr>
        <w:t xml:space="preserve"> ﭼ</w:t>
      </w:r>
      <w:r w:rsidRPr="00E14A40">
        <w:rPr>
          <w:rFonts w:ascii="Traditional Arabic" w:hAnsi="Traditional Arabic"/>
          <w:rtl/>
        </w:rPr>
        <w:t xml:space="preserve"> وقرأ حمزة: «نقول» بالنون، يعني: يوم القيامة</w:t>
      </w:r>
      <w:r w:rsidRPr="00E14A40">
        <w:rPr>
          <w:vertAlign w:val="superscript"/>
          <w:rtl/>
        </w:rPr>
        <w:t>(</w:t>
      </w:r>
      <w:r w:rsidRPr="00E14A40">
        <w:rPr>
          <w:vertAlign w:val="superscript"/>
          <w:rtl/>
        </w:rPr>
        <w:footnoteReference w:id="1505"/>
      </w:r>
      <w:r w:rsidRPr="00E14A40">
        <w:rPr>
          <w:vertAlign w:val="superscript"/>
          <w:rtl/>
        </w:rPr>
        <w:t>)</w:t>
      </w:r>
      <w:r w:rsidRPr="00E14A40">
        <w:rPr>
          <w:rFonts w:ascii="Traditional Arabic" w:hAnsi="Traditional Arabic" w:hint="cs"/>
          <w:rtl/>
        </w:rPr>
        <w:t>.</w:t>
      </w:r>
      <w:r w:rsidRPr="00E14A40">
        <w:rPr>
          <w:rFonts w:ascii="Traditional Arabic" w:hAnsi="Traditional Arabic"/>
          <w:rtl/>
        </w:rPr>
        <w:t xml:space="preserve"> </w:t>
      </w:r>
      <w:r w:rsidRPr="00E14A40">
        <w:rPr>
          <w:rFonts w:ascii="QCF_BSML" w:hAnsi="QCF_BSML" w:cs="QCF_BSML"/>
          <w:color w:val="auto"/>
          <w:sz w:val="32"/>
          <w:szCs w:val="32"/>
          <w:rtl/>
          <w:lang w:eastAsia="en-US"/>
        </w:rPr>
        <w:t>ﭽ</w:t>
      </w:r>
      <w:r w:rsidRPr="00E14A40">
        <w:rPr>
          <w:rFonts w:ascii="QCF_P299" w:hAnsi="QCF_P299" w:cs="QCF_P299"/>
          <w:sz w:val="32"/>
          <w:szCs w:val="32"/>
          <w:rtl/>
          <w:lang w:eastAsia="en-US"/>
        </w:rPr>
        <w:t>ﯫ  ﯬ</w:t>
      </w:r>
      <w:r w:rsidRPr="00E14A40">
        <w:rPr>
          <w:rFonts w:ascii="QCF_BSML" w:hAnsi="QCF_BSML" w:cs="QCF_BSML"/>
          <w:color w:val="auto"/>
          <w:sz w:val="32"/>
          <w:szCs w:val="32"/>
          <w:rtl/>
          <w:lang w:eastAsia="en-US"/>
        </w:rPr>
        <w:t>ﭼ</w:t>
      </w:r>
      <w:r w:rsidRPr="00E14A40">
        <w:rPr>
          <w:rFonts w:ascii="Traditional Arabic" w:hAnsi="Traditional Arabic"/>
          <w:rtl/>
        </w:rPr>
        <w:t xml:space="preserve"> أضاف الشركاء إِليه على زعمهم، والمراد: نادوهم لدفع العذاب عنكم، أو الشفاعة لكم، </w:t>
      </w:r>
      <w:r w:rsidRPr="00E14A40">
        <w:rPr>
          <w:rFonts w:ascii="QCF_BSML" w:hAnsi="QCF_BSML" w:cs="QCF_BSML"/>
          <w:color w:val="auto"/>
          <w:sz w:val="32"/>
          <w:szCs w:val="32"/>
          <w:rtl/>
          <w:lang w:eastAsia="en-US"/>
        </w:rPr>
        <w:t>ﭽ</w:t>
      </w:r>
      <w:r w:rsidRPr="00E14A40">
        <w:rPr>
          <w:rFonts w:ascii="QCF_P299" w:hAnsi="QCF_P299" w:cs="QCF_P299"/>
          <w:sz w:val="32"/>
          <w:szCs w:val="32"/>
          <w:rtl/>
          <w:lang w:eastAsia="en-US"/>
        </w:rPr>
        <w:t xml:space="preserve">ﯭ  ﯮ  </w:t>
      </w:r>
      <w:r w:rsidRPr="00E14A40">
        <w:rPr>
          <w:rFonts w:ascii="QCF_BSML" w:hAnsi="QCF_BSML" w:cs="QCF_BSML"/>
          <w:color w:val="auto"/>
          <w:sz w:val="32"/>
          <w:szCs w:val="32"/>
          <w:rtl/>
          <w:lang w:eastAsia="en-US"/>
        </w:rPr>
        <w:t>ﭼ</w:t>
      </w:r>
      <w:r w:rsidRPr="00E14A40">
        <w:rPr>
          <w:rFonts w:ascii="Traditional Arabic" w:hAnsi="Traditional Arabic"/>
          <w:rtl/>
        </w:rPr>
        <w:t xml:space="preserve"> أي: زعمتموهم شركاء </w:t>
      </w:r>
      <w:r w:rsidRPr="00E14A40">
        <w:rPr>
          <w:rFonts w:ascii="QCF_BSML" w:hAnsi="QCF_BSML" w:cs="QCF_BSML"/>
          <w:color w:val="auto"/>
          <w:sz w:val="32"/>
          <w:szCs w:val="32"/>
          <w:rtl/>
          <w:lang w:eastAsia="en-US"/>
        </w:rPr>
        <w:t>ﭽ</w:t>
      </w:r>
      <w:r w:rsidRPr="00E14A40">
        <w:rPr>
          <w:rFonts w:ascii="Traditional Arabic" w:hAnsi="Traditional Arabic"/>
          <w:rtl/>
        </w:rPr>
        <w:t xml:space="preserve"> </w:t>
      </w:r>
      <w:r w:rsidRPr="00E14A40">
        <w:rPr>
          <w:rFonts w:ascii="QCF_P299" w:hAnsi="QCF_P299" w:cs="QCF_P299"/>
          <w:sz w:val="32"/>
          <w:szCs w:val="32"/>
          <w:rtl/>
          <w:lang w:eastAsia="en-US"/>
        </w:rPr>
        <w:t xml:space="preserve">ﯯ   ﯰ   ﯱ  </w:t>
      </w:r>
      <w:r w:rsidRPr="00E14A40">
        <w:rPr>
          <w:rFonts w:ascii="QCF_BSML" w:hAnsi="QCF_BSML" w:cs="QCF_BSML"/>
          <w:color w:val="auto"/>
          <w:sz w:val="32"/>
          <w:szCs w:val="32"/>
          <w:rtl/>
          <w:lang w:eastAsia="en-US"/>
        </w:rPr>
        <w:t>ﭼ</w:t>
      </w:r>
      <w:r w:rsidRPr="00E14A40">
        <w:rPr>
          <w:rFonts w:ascii="Traditional Arabic" w:hAnsi="Traditional Arabic"/>
          <w:rtl/>
        </w:rPr>
        <w:t xml:space="preserve"> لَهُمْ أي: لم يجيبوهم، </w:t>
      </w:r>
      <w:r w:rsidRPr="00E14A40">
        <w:rPr>
          <w:rFonts w:ascii="QCF_BSML" w:hAnsi="QCF_BSML" w:cs="QCF_BSML"/>
          <w:color w:val="auto"/>
          <w:sz w:val="32"/>
          <w:szCs w:val="32"/>
          <w:rtl/>
          <w:lang w:eastAsia="en-US"/>
        </w:rPr>
        <w:t>ﭽ</w:t>
      </w:r>
      <w:r w:rsidRPr="00E14A40">
        <w:rPr>
          <w:rFonts w:ascii="QCF_P299" w:hAnsi="QCF_P299" w:cs="QCF_P299"/>
          <w:sz w:val="32"/>
          <w:szCs w:val="32"/>
          <w:rtl/>
          <w:lang w:eastAsia="en-US"/>
        </w:rPr>
        <w:t>ﯳ  ﯴ</w:t>
      </w:r>
      <w:r w:rsidRPr="00E14A40">
        <w:rPr>
          <w:rFonts w:ascii="QCF_BSML" w:hAnsi="QCF_BSML" w:cs="QCF_BSML"/>
          <w:color w:val="auto"/>
          <w:sz w:val="32"/>
          <w:szCs w:val="32"/>
          <w:rtl/>
          <w:lang w:eastAsia="en-US"/>
        </w:rPr>
        <w:t>ﭼ</w:t>
      </w:r>
      <w:r w:rsidRPr="00E14A40">
        <w:rPr>
          <w:rFonts w:ascii="Traditional Arabic" w:hAnsi="Traditional Arabic"/>
          <w:rtl/>
        </w:rPr>
        <w:t xml:space="preserve"> في المشار إِليهم قولان: أحدهما: أنهم المشركون والشركاء</w:t>
      </w:r>
      <w:r w:rsidRPr="00E14A40">
        <w:rPr>
          <w:vertAlign w:val="superscript"/>
          <w:rtl/>
        </w:rPr>
        <w:t>(</w:t>
      </w:r>
      <w:r w:rsidRPr="00E14A40">
        <w:rPr>
          <w:vertAlign w:val="superscript"/>
          <w:rtl/>
        </w:rPr>
        <w:footnoteReference w:id="1506"/>
      </w:r>
      <w:r w:rsidRPr="00E14A40">
        <w:rPr>
          <w:vertAlign w:val="superscript"/>
          <w:rtl/>
        </w:rPr>
        <w:t>)</w:t>
      </w:r>
      <w:r w:rsidRPr="00E14A40">
        <w:rPr>
          <w:rFonts w:ascii="Traditional Arabic" w:hAnsi="Traditional Arabic"/>
          <w:rtl/>
        </w:rPr>
        <w:t>. والثاني: أهل الهدى وأهل الضلالة</w:t>
      </w:r>
      <w:r w:rsidRPr="00E14A40">
        <w:rPr>
          <w:vertAlign w:val="superscript"/>
          <w:rtl/>
        </w:rPr>
        <w:t>(</w:t>
      </w:r>
      <w:r w:rsidRPr="00E14A40">
        <w:rPr>
          <w:vertAlign w:val="superscript"/>
          <w:rtl/>
        </w:rPr>
        <w:footnoteReference w:id="1507"/>
      </w:r>
      <w:r w:rsidRPr="00E14A40">
        <w:rPr>
          <w:vertAlign w:val="superscript"/>
          <w:rtl/>
        </w:rPr>
        <w:t>)</w:t>
      </w:r>
      <w:r w:rsidRPr="00E14A40">
        <w:rPr>
          <w:rFonts w:ascii="Traditional Arabic" w:hAnsi="Traditional Arabic"/>
          <w:rtl/>
        </w:rPr>
        <w:t xml:space="preserve"> وفي معنى</w:t>
      </w:r>
      <w:r w:rsidRPr="00E14A40">
        <w:rPr>
          <w:rFonts w:ascii="Traditional Arabic" w:hAnsi="Traditional Arabic" w:hint="cs"/>
          <w:rtl/>
        </w:rPr>
        <w:t xml:space="preserve"> </w:t>
      </w:r>
      <w:r w:rsidRPr="00E14A40">
        <w:rPr>
          <w:rFonts w:ascii="QCF_BSML" w:hAnsi="QCF_BSML" w:cs="QCF_BSML"/>
          <w:color w:val="auto"/>
          <w:sz w:val="32"/>
          <w:szCs w:val="32"/>
          <w:rtl/>
          <w:lang w:eastAsia="en-US"/>
        </w:rPr>
        <w:t>ﭽ</w:t>
      </w:r>
      <w:r w:rsidRPr="00E14A40">
        <w:rPr>
          <w:rFonts w:ascii="QCF_P299" w:hAnsi="QCF_P299" w:cs="QCF_P299"/>
          <w:sz w:val="32"/>
          <w:szCs w:val="32"/>
          <w:rtl/>
          <w:lang w:eastAsia="en-US"/>
        </w:rPr>
        <w:t>ﯵ</w:t>
      </w:r>
      <w:r w:rsidRPr="00E14A40">
        <w:rPr>
          <w:rFonts w:ascii="QCF_BSML" w:hAnsi="QCF_BSML" w:cs="QCF_BSML"/>
          <w:color w:val="auto"/>
          <w:sz w:val="32"/>
          <w:szCs w:val="32"/>
          <w:rtl/>
          <w:lang w:eastAsia="en-US"/>
        </w:rPr>
        <w:t>ﭼ</w:t>
      </w:r>
      <w:r w:rsidRPr="00E14A40">
        <w:rPr>
          <w:rFonts w:ascii="Traditional Arabic" w:hAnsi="Traditional Arabic"/>
          <w:rtl/>
        </w:rPr>
        <w:t xml:space="preserve"> ستة أقوال: أحدها: مَهْلِكاً، قاله ابن عباس</w:t>
      </w:r>
      <w:r w:rsidRPr="00E14A40">
        <w:rPr>
          <w:vertAlign w:val="superscript"/>
          <w:rtl/>
        </w:rPr>
        <w:t>(</w:t>
      </w:r>
      <w:r w:rsidRPr="00E14A40">
        <w:rPr>
          <w:vertAlign w:val="superscript"/>
          <w:rtl/>
        </w:rPr>
        <w:footnoteReference w:id="1508"/>
      </w:r>
      <w:r w:rsidRPr="00E14A40">
        <w:rPr>
          <w:vertAlign w:val="superscript"/>
          <w:rtl/>
        </w:rPr>
        <w:t>)</w:t>
      </w:r>
      <w:r w:rsidRPr="00E14A40">
        <w:rPr>
          <w:rFonts w:ascii="Traditional Arabic" w:hAnsi="Traditional Arabic"/>
          <w:rtl/>
        </w:rPr>
        <w:t>، وقتادة</w:t>
      </w:r>
      <w:r w:rsidRPr="00E14A40">
        <w:rPr>
          <w:vertAlign w:val="superscript"/>
          <w:rtl/>
        </w:rPr>
        <w:t>(</w:t>
      </w:r>
      <w:r w:rsidRPr="00E14A40">
        <w:rPr>
          <w:vertAlign w:val="superscript"/>
          <w:rtl/>
        </w:rPr>
        <w:footnoteReference w:id="1509"/>
      </w:r>
      <w:r w:rsidRPr="00E14A40">
        <w:rPr>
          <w:vertAlign w:val="superscript"/>
          <w:rtl/>
        </w:rPr>
        <w:t>)</w:t>
      </w:r>
      <w:r w:rsidRPr="00E14A40">
        <w:rPr>
          <w:rFonts w:ascii="Traditional Arabic" w:hAnsi="Traditional Arabic"/>
          <w:rtl/>
        </w:rPr>
        <w:t>، والضحاك</w:t>
      </w:r>
      <w:r w:rsidRPr="00E14A40">
        <w:rPr>
          <w:vertAlign w:val="superscript"/>
          <w:rtl/>
        </w:rPr>
        <w:t>(</w:t>
      </w:r>
      <w:r w:rsidRPr="00E14A40">
        <w:rPr>
          <w:vertAlign w:val="superscript"/>
          <w:rtl/>
        </w:rPr>
        <w:footnoteReference w:id="1510"/>
      </w:r>
      <w:r w:rsidRPr="00E14A40">
        <w:rPr>
          <w:vertAlign w:val="superscript"/>
          <w:rtl/>
        </w:rPr>
        <w:t>)</w:t>
      </w:r>
      <w:r w:rsidRPr="00E14A40">
        <w:rPr>
          <w:rFonts w:ascii="Traditional Arabic" w:hAnsi="Traditional Arabic"/>
          <w:rtl/>
        </w:rPr>
        <w:t>، وقال ابن قتيبة:</w:t>
      </w:r>
      <w:r w:rsidRPr="00E14A40">
        <w:rPr>
          <w:rFonts w:ascii="Traditional Arabic" w:hAnsi="Traditional Arabic" w:hint="cs"/>
          <w:rtl/>
        </w:rPr>
        <w:t xml:space="preserve"> </w:t>
      </w:r>
      <w:r w:rsidRPr="00E14A40">
        <w:rPr>
          <w:rFonts w:ascii="Traditional Arabic" w:hAnsi="Traditional Arabic"/>
          <w:rtl/>
        </w:rPr>
        <w:t xml:space="preserve">مَهْلِكاً بينهم وبين </w:t>
      </w:r>
      <w:r w:rsidRPr="00E14A40">
        <w:rPr>
          <w:rFonts w:ascii="Traditional Arabic" w:hAnsi="Traditional Arabic" w:hint="cs"/>
          <w:rtl/>
        </w:rPr>
        <w:t>[</w:t>
      </w:r>
      <w:r w:rsidRPr="00E14A40">
        <w:rPr>
          <w:rFonts w:ascii="Traditional Arabic" w:hAnsi="Traditional Arabic"/>
          <w:rtl/>
        </w:rPr>
        <w:t>آلهتهم</w:t>
      </w:r>
      <w:r w:rsidRPr="00E14A40">
        <w:rPr>
          <w:rFonts w:ascii="Traditional Arabic" w:hAnsi="Traditional Arabic" w:hint="cs"/>
          <w:rtl/>
        </w:rPr>
        <w:t>]</w:t>
      </w:r>
      <w:r w:rsidRPr="00E14A40">
        <w:rPr>
          <w:vertAlign w:val="superscript"/>
          <w:rtl/>
        </w:rPr>
        <w:t>(</w:t>
      </w:r>
      <w:r w:rsidRPr="00E14A40">
        <w:rPr>
          <w:vertAlign w:val="superscript"/>
          <w:rtl/>
        </w:rPr>
        <w:footnoteReference w:id="1511"/>
      </w:r>
      <w:r w:rsidRPr="00E14A40">
        <w:rPr>
          <w:vertAlign w:val="superscript"/>
          <w:rtl/>
        </w:rPr>
        <w:t>)</w:t>
      </w:r>
      <w:r w:rsidRPr="00E14A40">
        <w:rPr>
          <w:rFonts w:ascii="Traditional Arabic" w:hAnsi="Traditional Arabic"/>
          <w:rtl/>
        </w:rPr>
        <w:t>في جهنم، ومنه يقال: أَوْبَقَتْهُ ذنوبُه</w:t>
      </w:r>
      <w:r w:rsidRPr="00E14A40">
        <w:rPr>
          <w:rFonts w:ascii="Traditional Arabic" w:hAnsi="Traditional Arabic" w:hint="cs"/>
          <w:rtl/>
        </w:rPr>
        <w:t>:</w:t>
      </w:r>
      <w:r w:rsidRPr="00E14A40">
        <w:rPr>
          <w:rFonts w:ascii="Traditional Arabic" w:hAnsi="Traditional Arabic"/>
          <w:rtl/>
        </w:rPr>
        <w:t xml:space="preserve"> </w:t>
      </w:r>
      <w:r w:rsidRPr="00E14A40">
        <w:rPr>
          <w:rFonts w:ascii="Traditional Arabic" w:hAnsi="Traditional Arabic" w:hint="cs"/>
          <w:rtl/>
        </w:rPr>
        <w:t>[</w:t>
      </w:r>
      <w:r w:rsidRPr="00E14A40">
        <w:rPr>
          <w:rFonts w:ascii="Traditional Arabic" w:hAnsi="Traditional Arabic"/>
          <w:rtl/>
        </w:rPr>
        <w:t>أي أهلكته</w:t>
      </w:r>
      <w:r w:rsidRPr="00E14A40">
        <w:rPr>
          <w:rFonts w:ascii="Traditional Arabic" w:hAnsi="Traditional Arabic" w:hint="cs"/>
          <w:rtl/>
        </w:rPr>
        <w:t>]</w:t>
      </w:r>
      <w:r w:rsidRPr="00E14A40">
        <w:rPr>
          <w:vertAlign w:val="superscript"/>
          <w:rtl/>
        </w:rPr>
        <w:t>(</w:t>
      </w:r>
      <w:r w:rsidRPr="00E14A40">
        <w:rPr>
          <w:vertAlign w:val="superscript"/>
          <w:rtl/>
        </w:rPr>
        <w:footnoteReference w:id="1512"/>
      </w:r>
      <w:r w:rsidRPr="00E14A40">
        <w:rPr>
          <w:vertAlign w:val="superscript"/>
          <w:rtl/>
        </w:rPr>
        <w:t>)(</w:t>
      </w:r>
      <w:r w:rsidRPr="00E14A40">
        <w:rPr>
          <w:vertAlign w:val="superscript"/>
          <w:rtl/>
        </w:rPr>
        <w:footnoteReference w:id="1513"/>
      </w:r>
      <w:r w:rsidRPr="00E14A40">
        <w:rPr>
          <w:vertAlign w:val="superscript"/>
          <w:rtl/>
        </w:rPr>
        <w:t>)</w:t>
      </w:r>
      <w:r w:rsidRPr="00E14A40">
        <w:rPr>
          <w:rFonts w:ascii="Traditional Arabic" w:hAnsi="Traditional Arabic" w:hint="cs"/>
          <w:rtl/>
        </w:rPr>
        <w:t>.</w:t>
      </w:r>
      <w:r w:rsidRPr="00E14A40">
        <w:rPr>
          <w:rFonts w:ascii="Traditional Arabic" w:hAnsi="Traditional Arabic"/>
          <w:rtl/>
        </w:rPr>
        <w:t xml:space="preserve"> وقال الزجاج: جعلنا</w:t>
      </w:r>
      <w:r w:rsidRPr="00E14A40">
        <w:rPr>
          <w:rFonts w:hint="cs"/>
          <w:rtl/>
        </w:rPr>
        <w:t xml:space="preserve"> </w:t>
      </w:r>
      <w:r w:rsidRPr="00E14A40">
        <w:rPr>
          <w:rFonts w:ascii="Traditional Arabic" w:hAnsi="Traditional Arabic"/>
          <w:rtl/>
        </w:rPr>
        <w:t xml:space="preserve">بينهم من العذاب مَا </w:t>
      </w:r>
      <w:r w:rsidRPr="00E14A40">
        <w:rPr>
          <w:rFonts w:ascii="Traditional Arabic" w:hAnsi="Traditional Arabic"/>
          <w:rtl/>
        </w:rPr>
        <w:lastRenderedPageBreak/>
        <w:t>يُوبِقُهم</w:t>
      </w:r>
      <w:r w:rsidRPr="00E14A40">
        <w:rPr>
          <w:vertAlign w:val="superscript"/>
          <w:rtl/>
        </w:rPr>
        <w:t>(</w:t>
      </w:r>
      <w:r w:rsidRPr="00E14A40">
        <w:rPr>
          <w:vertAlign w:val="superscript"/>
          <w:rtl/>
        </w:rPr>
        <w:footnoteReference w:id="1514"/>
      </w:r>
      <w:r w:rsidRPr="00E14A40">
        <w:rPr>
          <w:vertAlign w:val="superscript"/>
          <w:rtl/>
        </w:rPr>
        <w:t>)</w:t>
      </w:r>
      <w:r w:rsidRPr="00E14A40">
        <w:rPr>
          <w:rFonts w:ascii="Traditional Arabic" w:hAnsi="Traditional Arabic"/>
          <w:rtl/>
        </w:rPr>
        <w:t xml:space="preserve">، أي يُهْلِكُهمْ، </w:t>
      </w:r>
      <w:r w:rsidRPr="00E14A40">
        <w:rPr>
          <w:rFonts w:ascii="Traditional Arabic" w:hAnsi="Traditional Arabic" w:hint="cs"/>
          <w:rtl/>
        </w:rPr>
        <w:t>ف</w:t>
      </w:r>
      <w:r w:rsidRPr="00E14A40">
        <w:rPr>
          <w:rFonts w:ascii="Traditional Arabic" w:hAnsi="Traditional Arabic"/>
          <w:rtl/>
        </w:rPr>
        <w:t>المَوْبِقُ</w:t>
      </w:r>
      <w:r w:rsidRPr="00E14A40">
        <w:rPr>
          <w:rFonts w:ascii="Traditional Arabic" w:hAnsi="Traditional Arabic" w:hint="cs"/>
          <w:rtl/>
        </w:rPr>
        <w:t>:</w:t>
      </w:r>
      <w:r w:rsidRPr="00E14A40">
        <w:rPr>
          <w:rFonts w:ascii="Traditional Arabic" w:hAnsi="Traditional Arabic"/>
          <w:rtl/>
        </w:rPr>
        <w:t xml:space="preserve"> المَهْلِكُ، يقال: وَبِق، يَيْبَقُ ويابَق، وبَقاً، ووَبَق، يَبِق، وُبُوقاً، فهو وَابِقٌ</w:t>
      </w:r>
      <w:r w:rsidRPr="00E14A40">
        <w:rPr>
          <w:vertAlign w:val="superscript"/>
          <w:rtl/>
        </w:rPr>
        <w:t>(</w:t>
      </w:r>
      <w:r w:rsidRPr="00E14A40">
        <w:rPr>
          <w:vertAlign w:val="superscript"/>
          <w:rtl/>
        </w:rPr>
        <w:footnoteReference w:id="1515"/>
      </w:r>
      <w:r w:rsidRPr="00E14A40">
        <w:rPr>
          <w:vertAlign w:val="superscript"/>
          <w:rtl/>
        </w:rPr>
        <w:t>)</w:t>
      </w:r>
      <w:r w:rsidRPr="00E14A40">
        <w:rPr>
          <w:rFonts w:ascii="Traditional Arabic" w:hAnsi="Traditional Arabic" w:hint="cs"/>
          <w:rtl/>
        </w:rPr>
        <w:t>.</w:t>
      </w:r>
      <w:r w:rsidRPr="00E14A40">
        <w:rPr>
          <w:rFonts w:ascii="Traditional Arabic" w:hAnsi="Traditional Arabic"/>
          <w:rtl/>
        </w:rPr>
        <w:t xml:space="preserve"> وقال الفراء: جعلنا تواصُلهم في الدنيا مَوْبِقاً، أي: مَهْلِكاً لهم في الآخرة</w:t>
      </w:r>
      <w:r w:rsidRPr="00E14A40">
        <w:rPr>
          <w:vertAlign w:val="superscript"/>
          <w:rtl/>
        </w:rPr>
        <w:t>(</w:t>
      </w:r>
      <w:r w:rsidRPr="00E14A40">
        <w:rPr>
          <w:vertAlign w:val="superscript"/>
          <w:rtl/>
        </w:rPr>
        <w:footnoteReference w:id="1516"/>
      </w:r>
      <w:r w:rsidRPr="00E14A40">
        <w:rPr>
          <w:vertAlign w:val="superscript"/>
          <w:rtl/>
        </w:rPr>
        <w:t>)</w:t>
      </w:r>
      <w:r w:rsidRPr="00E14A40">
        <w:rPr>
          <w:rFonts w:ascii="Traditional Arabic" w:hAnsi="Traditional Arabic"/>
          <w:rtl/>
        </w:rPr>
        <w:t>، فالبَيْن على هذا القول بمعنى التواصل، كقوله تعالى:</w:t>
      </w:r>
      <w:r w:rsidRPr="00E14A40">
        <w:rPr>
          <w:rFonts w:ascii="Traditional Arabic" w:hAnsi="Traditional Arabic" w:hint="cs"/>
          <w:rtl/>
        </w:rPr>
        <w:t xml:space="preserve"> </w:t>
      </w:r>
      <w:r w:rsidRPr="00E14A40">
        <w:rPr>
          <w:rFonts w:ascii="QCF_BSML" w:hAnsi="QCF_BSML" w:cs="QCF_BSML"/>
          <w:sz w:val="32"/>
          <w:szCs w:val="32"/>
          <w:rtl/>
          <w:lang w:eastAsia="en-US"/>
        </w:rPr>
        <w:t xml:space="preserve">ﭽ </w:t>
      </w:r>
      <w:r w:rsidRPr="00E14A40">
        <w:rPr>
          <w:rFonts w:ascii="QCF_P139" w:hAnsi="QCF_P139" w:cs="QCF_P139"/>
          <w:sz w:val="32"/>
          <w:szCs w:val="32"/>
          <w:rtl/>
          <w:lang w:eastAsia="en-US"/>
        </w:rPr>
        <w:t xml:space="preserve">ﰈ  ﰉ  ﰊ  </w:t>
      </w:r>
      <w:r w:rsidRPr="00E14A40">
        <w:rPr>
          <w:rFonts w:ascii="QCF_BSML" w:hAnsi="QCF_BSML" w:cs="QCF_BSML"/>
          <w:sz w:val="32"/>
          <w:szCs w:val="32"/>
          <w:rtl/>
          <w:lang w:eastAsia="en-US"/>
        </w:rPr>
        <w:t>ﭼ</w:t>
      </w:r>
      <w:r w:rsidRPr="00E14A40">
        <w:rPr>
          <w:rFonts w:ascii="Arial" w:hAnsi="Arial" w:cs="Arial" w:hint="cs"/>
          <w:sz w:val="18"/>
          <w:szCs w:val="18"/>
          <w:rtl/>
          <w:lang w:eastAsia="en-US"/>
        </w:rPr>
        <w:t xml:space="preserve"> </w:t>
      </w:r>
      <w:r w:rsidRPr="00E14A40">
        <w:rPr>
          <w:rFonts w:ascii="Traditional Arabic" w:hAnsi="Traditional Arabic" w:hint="cs"/>
          <w:sz w:val="32"/>
          <w:szCs w:val="32"/>
          <w:rtl/>
        </w:rPr>
        <w:t>[</w:t>
      </w:r>
      <w:r w:rsidRPr="00E14A40">
        <w:rPr>
          <w:rFonts w:ascii="Traditional Arabic" w:hAnsi="Traditional Arabic"/>
          <w:sz w:val="32"/>
          <w:szCs w:val="32"/>
          <w:rtl/>
        </w:rPr>
        <w:t>سورة الأنعام:94</w:t>
      </w:r>
      <w:r w:rsidRPr="00E14A40">
        <w:rPr>
          <w:rFonts w:ascii="Traditional Arabic" w:hAnsi="Traditional Arabic" w:hint="cs"/>
          <w:sz w:val="32"/>
          <w:szCs w:val="32"/>
          <w:rtl/>
        </w:rPr>
        <w:t>]</w:t>
      </w:r>
      <w:r w:rsidRPr="00E14A40">
        <w:rPr>
          <w:rFonts w:ascii="Traditional Arabic" w:hAnsi="Traditional Arabic"/>
          <w:rtl/>
        </w:rPr>
        <w:t xml:space="preserve"> على قراءة من ضمّ النون</w:t>
      </w:r>
      <w:r w:rsidRPr="00E14A40">
        <w:rPr>
          <w:vertAlign w:val="superscript"/>
          <w:rtl/>
        </w:rPr>
        <w:t>(</w:t>
      </w:r>
      <w:r w:rsidRPr="00E14A40">
        <w:rPr>
          <w:vertAlign w:val="superscript"/>
          <w:rtl/>
        </w:rPr>
        <w:footnoteReference w:id="1517"/>
      </w:r>
      <w:r w:rsidRPr="00E14A40">
        <w:rPr>
          <w:vertAlign w:val="superscript"/>
          <w:rtl/>
        </w:rPr>
        <w:t>)</w:t>
      </w:r>
      <w:r w:rsidRPr="00E14A40">
        <w:rPr>
          <w:rFonts w:ascii="Traditional Arabic" w:hAnsi="Traditional Arabic"/>
          <w:rtl/>
        </w:rPr>
        <w:t>. والثاني: أن المَوْبِق: وادٍ عميق يُفرَّق به بين أهل الضلالة وأهل الهدى، قاله عبد الله بن عمرو</w:t>
      </w:r>
      <w:r w:rsidRPr="00E14A40">
        <w:rPr>
          <w:vertAlign w:val="superscript"/>
          <w:rtl/>
        </w:rPr>
        <w:t>(</w:t>
      </w:r>
      <w:r w:rsidRPr="00E14A40">
        <w:rPr>
          <w:vertAlign w:val="superscript"/>
          <w:rtl/>
        </w:rPr>
        <w:footnoteReference w:id="1518"/>
      </w:r>
      <w:r w:rsidRPr="00E14A40">
        <w:rPr>
          <w:vertAlign w:val="superscript"/>
          <w:rtl/>
        </w:rPr>
        <w:t>)</w:t>
      </w:r>
      <w:r w:rsidRPr="00E14A40">
        <w:rPr>
          <w:rFonts w:ascii="Traditional Arabic" w:hAnsi="Traditional Arabic"/>
          <w:rtl/>
        </w:rPr>
        <w:t>. والثالث: أنه وادٍ في جهنم، قاله أنس بن مالك</w:t>
      </w:r>
      <w:r w:rsidRPr="00E14A40">
        <w:rPr>
          <w:vertAlign w:val="superscript"/>
          <w:rtl/>
        </w:rPr>
        <w:t>(</w:t>
      </w:r>
      <w:r w:rsidRPr="00E14A40">
        <w:rPr>
          <w:vertAlign w:val="superscript"/>
          <w:rtl/>
        </w:rPr>
        <w:footnoteReference w:id="1519"/>
      </w:r>
      <w:r w:rsidRPr="00E14A40">
        <w:rPr>
          <w:vertAlign w:val="superscript"/>
          <w:rtl/>
        </w:rPr>
        <w:t>)</w:t>
      </w:r>
      <w:r w:rsidRPr="00E14A40">
        <w:rPr>
          <w:rFonts w:ascii="Traditional Arabic" w:hAnsi="Traditional Arabic"/>
          <w:rtl/>
        </w:rPr>
        <w:t>ومجاهد</w:t>
      </w:r>
      <w:r w:rsidRPr="00E14A40">
        <w:rPr>
          <w:vertAlign w:val="superscript"/>
          <w:rtl/>
        </w:rPr>
        <w:t>(</w:t>
      </w:r>
      <w:r w:rsidRPr="00E14A40">
        <w:rPr>
          <w:vertAlign w:val="superscript"/>
          <w:rtl/>
        </w:rPr>
        <w:footnoteReference w:id="1520"/>
      </w:r>
      <w:r w:rsidRPr="00E14A40">
        <w:rPr>
          <w:vertAlign w:val="superscript"/>
          <w:rtl/>
        </w:rPr>
        <w:t>)</w:t>
      </w:r>
      <w:r w:rsidRPr="00E14A40">
        <w:rPr>
          <w:rFonts w:ascii="Traditional Arabic" w:hAnsi="Traditional Arabic"/>
          <w:rtl/>
        </w:rPr>
        <w:t>. والرابع: أنّ معنى الموبق: العداوة، قاله الحسن</w:t>
      </w:r>
      <w:r w:rsidRPr="00E14A40">
        <w:rPr>
          <w:vertAlign w:val="superscript"/>
          <w:rtl/>
        </w:rPr>
        <w:t>(</w:t>
      </w:r>
      <w:r w:rsidRPr="00E14A40">
        <w:rPr>
          <w:vertAlign w:val="superscript"/>
          <w:rtl/>
        </w:rPr>
        <w:footnoteReference w:id="1521"/>
      </w:r>
      <w:r w:rsidRPr="00E14A40">
        <w:rPr>
          <w:vertAlign w:val="superscript"/>
          <w:rtl/>
        </w:rPr>
        <w:t>)</w:t>
      </w:r>
      <w:r w:rsidRPr="00E14A40">
        <w:rPr>
          <w:rFonts w:ascii="Traditional Arabic" w:hAnsi="Traditional Arabic"/>
          <w:rtl/>
        </w:rPr>
        <w:t>.</w:t>
      </w:r>
      <w:r w:rsidR="00225EA4">
        <w:rPr>
          <w:rFonts w:ascii="Traditional Arabic" w:hAnsi="Traditional Arabic" w:hint="cs"/>
          <w:rtl/>
        </w:rPr>
        <w:t xml:space="preserve"> </w:t>
      </w:r>
      <w:r w:rsidRPr="00E14A40">
        <w:rPr>
          <w:rFonts w:ascii="Traditional Arabic" w:hAnsi="Traditional Arabic"/>
          <w:rtl/>
        </w:rPr>
        <w:t>والخامس: أنه المحْبِس، قاله الربيع بن أنس</w:t>
      </w:r>
      <w:r w:rsidRPr="00E14A40">
        <w:rPr>
          <w:vertAlign w:val="superscript"/>
          <w:rtl/>
        </w:rPr>
        <w:t>(</w:t>
      </w:r>
      <w:r w:rsidRPr="00E14A40">
        <w:rPr>
          <w:vertAlign w:val="superscript"/>
          <w:rtl/>
        </w:rPr>
        <w:footnoteReference w:id="1522"/>
      </w:r>
      <w:r w:rsidRPr="00E14A40">
        <w:rPr>
          <w:vertAlign w:val="superscript"/>
          <w:rtl/>
        </w:rPr>
        <w:t>)</w:t>
      </w:r>
      <w:r w:rsidRPr="00E14A40">
        <w:rPr>
          <w:rFonts w:ascii="Traditional Arabic" w:hAnsi="Traditional Arabic"/>
          <w:rtl/>
        </w:rPr>
        <w:t>. والسادس: أنه المَوْعِد، قاله أبو عبيدة</w:t>
      </w:r>
      <w:r w:rsidRPr="00E14A40">
        <w:rPr>
          <w:vertAlign w:val="superscript"/>
          <w:rtl/>
        </w:rPr>
        <w:t>(</w:t>
      </w:r>
      <w:r w:rsidRPr="00E14A40">
        <w:rPr>
          <w:vertAlign w:val="superscript"/>
          <w:rtl/>
        </w:rPr>
        <w:footnoteReference w:id="1523"/>
      </w:r>
      <w:r w:rsidRPr="00E14A40">
        <w:rPr>
          <w:vertAlign w:val="superscript"/>
          <w:rtl/>
        </w:rPr>
        <w:t>)</w:t>
      </w:r>
      <w:r w:rsidRPr="00E14A40">
        <w:rPr>
          <w:rFonts w:ascii="Traditional Arabic" w:hAnsi="Traditional Arabic"/>
          <w:rtl/>
        </w:rPr>
        <w:t>.</w:t>
      </w:r>
      <w:r w:rsidRPr="00E14A40">
        <w:rPr>
          <w:rFonts w:ascii="Traditional Arabic" w:hAnsi="Traditional Arabic" w:hint="cs"/>
          <w:b/>
          <w:bCs/>
          <w:rtl/>
        </w:rPr>
        <w:t xml:space="preserve"> </w:t>
      </w:r>
      <w:r w:rsidRPr="00E14A40">
        <w:rPr>
          <w:rFonts w:ascii="Traditional Arabic" w:hAnsi="Traditional Arabic"/>
          <w:rtl/>
        </w:rPr>
        <w:t>قال ابن الأنباري: إِن قيل: لم قال: «مَوْبِقاً» ولم يقل: «مُوبِقاً» ، بضم الميم، إِذ كان معناه عذاباً مُوبقاً؟ فالجواب: أنه اسم موضوع لمَحْبِس في النار، والأسماء لا تؤخذ بالقياس، فيُعلم أن «مَوْبِقاً»:</w:t>
      </w:r>
      <w:r w:rsidRPr="00E14A40">
        <w:rPr>
          <w:rFonts w:ascii="Traditional Arabic" w:hAnsi="Traditional Arabic" w:hint="cs"/>
          <w:rtl/>
        </w:rPr>
        <w:t xml:space="preserve"> </w:t>
      </w:r>
      <w:r w:rsidRPr="00E14A40">
        <w:rPr>
          <w:rFonts w:ascii="Traditional Arabic" w:hAnsi="Traditional Arabic"/>
          <w:rtl/>
        </w:rPr>
        <w:t xml:space="preserve">مَفْعِل، من أوبقه الله: إذا أهلكه، فتنفتح ميمه كما تنفتح في </w:t>
      </w:r>
      <w:r w:rsidRPr="00E14A40">
        <w:rPr>
          <w:rFonts w:ascii="Traditional Arabic" w:hAnsi="Traditional Arabic" w:hint="cs"/>
          <w:sz w:val="32"/>
          <w:szCs w:val="32"/>
          <w:rtl/>
        </w:rPr>
        <w:t>[130]</w:t>
      </w:r>
      <w:r w:rsidRPr="00E14A40">
        <w:rPr>
          <w:rFonts w:ascii="Traditional Arabic" w:hAnsi="Traditional Arabic"/>
          <w:rtl/>
        </w:rPr>
        <w:t xml:space="preserve"> موعد ومولد ومحتد إذ سمّيت الشخوص بهنَّ</w:t>
      </w:r>
      <w:r w:rsidRPr="00E14A40">
        <w:rPr>
          <w:vertAlign w:val="superscript"/>
          <w:rtl/>
        </w:rPr>
        <w:t>(</w:t>
      </w:r>
      <w:r w:rsidRPr="00E14A40">
        <w:rPr>
          <w:vertAlign w:val="superscript"/>
          <w:rtl/>
        </w:rPr>
        <w:footnoteReference w:id="1524"/>
      </w:r>
      <w:r w:rsidRPr="00E14A40">
        <w:rPr>
          <w:vertAlign w:val="superscript"/>
          <w:rtl/>
        </w:rPr>
        <w:t>)</w:t>
      </w:r>
      <w:r w:rsidRPr="00E14A40">
        <w:rPr>
          <w:rFonts w:ascii="Traditional Arabic" w:hAnsi="Traditional Arabic"/>
          <w:rtl/>
        </w:rPr>
        <w:t>.</w:t>
      </w:r>
      <w:r w:rsidRPr="00E14A40">
        <w:rPr>
          <w:rFonts w:ascii="Traditional Arabic" w:hAnsi="Traditional Arabic" w:hint="cs"/>
          <w:b/>
          <w:bCs/>
          <w:rtl/>
        </w:rPr>
        <w:t xml:space="preserve"> </w:t>
      </w:r>
      <w:r w:rsidRPr="00E14A40">
        <w:rPr>
          <w:rFonts w:ascii="Traditional Arabic" w:hAnsi="Traditional Arabic"/>
          <w:rtl/>
        </w:rPr>
        <w:t xml:space="preserve">قوله تعالى: </w:t>
      </w:r>
      <w:r w:rsidRPr="00E14A40">
        <w:rPr>
          <w:rFonts w:ascii="QCF_BSML" w:hAnsi="QCF_BSML" w:cs="QCF_BSML"/>
          <w:color w:val="auto"/>
          <w:sz w:val="32"/>
          <w:szCs w:val="32"/>
          <w:rtl/>
          <w:lang w:eastAsia="en-US"/>
        </w:rPr>
        <w:t>ﭽ</w:t>
      </w:r>
      <w:r w:rsidRPr="00E14A40">
        <w:rPr>
          <w:rFonts w:ascii="QCF_P299" w:hAnsi="QCF_P299" w:cs="QCF_P299"/>
          <w:sz w:val="32"/>
          <w:szCs w:val="32"/>
          <w:rtl/>
          <w:lang w:eastAsia="en-US"/>
        </w:rPr>
        <w:t xml:space="preserve">ﯷ  ﯸ   ﯹ </w:t>
      </w:r>
      <w:r w:rsidRPr="00E14A40">
        <w:rPr>
          <w:rFonts w:ascii="QCF_BSML" w:hAnsi="QCF_BSML" w:cs="QCF_BSML"/>
          <w:color w:val="auto"/>
          <w:sz w:val="32"/>
          <w:szCs w:val="32"/>
          <w:rtl/>
          <w:lang w:eastAsia="en-US"/>
        </w:rPr>
        <w:t>ﭼ</w:t>
      </w:r>
      <w:r w:rsidRPr="00E14A40">
        <w:rPr>
          <w:rFonts w:ascii="Traditional Arabic" w:hAnsi="Traditional Arabic"/>
          <w:rtl/>
        </w:rPr>
        <w:t xml:space="preserve"> أي: عاينوها وهي تتغيَّظ حنقاً عليهم. والمراد بالمجرمين:</w:t>
      </w:r>
      <w:r w:rsidRPr="00E14A40">
        <w:rPr>
          <w:rFonts w:ascii="Traditional Arabic" w:hAnsi="Traditional Arabic" w:hint="cs"/>
          <w:b/>
          <w:bCs/>
          <w:rtl/>
        </w:rPr>
        <w:t xml:space="preserve"> </w:t>
      </w:r>
      <w:r w:rsidRPr="00E14A40">
        <w:rPr>
          <w:rFonts w:ascii="Traditional Arabic" w:hAnsi="Traditional Arabic"/>
          <w:rtl/>
        </w:rPr>
        <w:t xml:space="preserve">الكفار. </w:t>
      </w:r>
      <w:r w:rsidRPr="00E14A40">
        <w:rPr>
          <w:rFonts w:ascii="QCF_BSML" w:hAnsi="QCF_BSML" w:cs="QCF_BSML"/>
          <w:color w:val="auto"/>
          <w:sz w:val="32"/>
          <w:szCs w:val="32"/>
          <w:rtl/>
          <w:lang w:eastAsia="en-US"/>
        </w:rPr>
        <w:lastRenderedPageBreak/>
        <w:t>ﭽ</w:t>
      </w:r>
      <w:r w:rsidRPr="00E14A40">
        <w:rPr>
          <w:rFonts w:ascii="QCF_P299" w:hAnsi="QCF_P299" w:cs="QCF_P299"/>
          <w:sz w:val="32"/>
          <w:szCs w:val="32"/>
          <w:rtl/>
          <w:lang w:eastAsia="en-US"/>
        </w:rPr>
        <w:t>ﯺ</w:t>
      </w:r>
      <w:r w:rsidRPr="00E14A40">
        <w:rPr>
          <w:rFonts w:ascii="QCF_BSML" w:hAnsi="QCF_BSML" w:cs="QCF_BSML"/>
          <w:color w:val="auto"/>
          <w:sz w:val="32"/>
          <w:szCs w:val="32"/>
          <w:rtl/>
          <w:lang w:eastAsia="en-US"/>
        </w:rPr>
        <w:t>ﭼ</w:t>
      </w:r>
      <w:r w:rsidRPr="00E14A40">
        <w:rPr>
          <w:rFonts w:ascii="Traditional Arabic" w:hAnsi="Traditional Arabic"/>
          <w:rtl/>
        </w:rPr>
        <w:t xml:space="preserve"> أي: أيقنوا </w:t>
      </w:r>
      <w:r w:rsidRPr="00E14A40">
        <w:rPr>
          <w:rFonts w:ascii="QCF_BSML" w:hAnsi="QCF_BSML" w:cs="QCF_BSML"/>
          <w:color w:val="auto"/>
          <w:sz w:val="32"/>
          <w:szCs w:val="32"/>
          <w:rtl/>
          <w:lang w:eastAsia="en-US"/>
        </w:rPr>
        <w:t>ﭽ</w:t>
      </w:r>
      <w:r w:rsidRPr="00E14A40">
        <w:rPr>
          <w:rFonts w:ascii="QCF_P299" w:hAnsi="QCF_P299" w:cs="QCF_P299"/>
          <w:sz w:val="32"/>
          <w:szCs w:val="32"/>
          <w:rtl/>
          <w:lang w:eastAsia="en-US"/>
        </w:rPr>
        <w:t xml:space="preserve"> ﯻ  ﯼ</w:t>
      </w:r>
      <w:r w:rsidRPr="00E14A40">
        <w:rPr>
          <w:rFonts w:ascii="QCF_BSML" w:hAnsi="QCF_BSML" w:cs="QCF_BSML"/>
          <w:color w:val="auto"/>
          <w:sz w:val="32"/>
          <w:szCs w:val="32"/>
          <w:rtl/>
          <w:lang w:eastAsia="en-US"/>
        </w:rPr>
        <w:t>ﭼ</w:t>
      </w:r>
      <w:r w:rsidRPr="00E14A40">
        <w:rPr>
          <w:rFonts w:ascii="Traditional Arabic" w:hAnsi="Traditional Arabic"/>
          <w:rtl/>
        </w:rPr>
        <w:t xml:space="preserve"> أي: داخلوها</w:t>
      </w:r>
      <w:r w:rsidRPr="00E14A40">
        <w:rPr>
          <w:vertAlign w:val="superscript"/>
          <w:rtl/>
        </w:rPr>
        <w:t>(</w:t>
      </w:r>
      <w:r w:rsidRPr="00E14A40">
        <w:rPr>
          <w:vertAlign w:val="superscript"/>
          <w:rtl/>
        </w:rPr>
        <w:footnoteReference w:id="1525"/>
      </w:r>
      <w:r w:rsidRPr="00E14A40">
        <w:rPr>
          <w:vertAlign w:val="superscript"/>
          <w:rtl/>
        </w:rPr>
        <w:t>)</w:t>
      </w:r>
      <w:r w:rsidRPr="00E14A40">
        <w:rPr>
          <w:rFonts w:ascii="Traditional Arabic" w:hAnsi="Traditional Arabic"/>
          <w:rtl/>
        </w:rPr>
        <w:t xml:space="preserve">. ومعنى المواقعة: ملابسة الشيء بشدَّة </w:t>
      </w:r>
      <w:r w:rsidRPr="00E14A40">
        <w:rPr>
          <w:rFonts w:ascii="QCF_BSML" w:hAnsi="QCF_BSML" w:cs="QCF_BSML"/>
          <w:color w:val="auto"/>
          <w:sz w:val="32"/>
          <w:szCs w:val="32"/>
          <w:rtl/>
          <w:lang w:eastAsia="en-US"/>
        </w:rPr>
        <w:t>ﭽ</w:t>
      </w:r>
      <w:r w:rsidRPr="00E14A40">
        <w:rPr>
          <w:rFonts w:ascii="QCF_P299" w:hAnsi="QCF_P299" w:cs="QCF_P299"/>
          <w:sz w:val="32"/>
          <w:szCs w:val="32"/>
          <w:rtl/>
          <w:lang w:eastAsia="en-US"/>
        </w:rPr>
        <w:t xml:space="preserve">ﯽ  ﯾ  ﯿ  ﰀ </w:t>
      </w:r>
      <w:r w:rsidRPr="00E14A40">
        <w:rPr>
          <w:rFonts w:ascii="QCF_BSML" w:hAnsi="QCF_BSML" w:cs="QCF_BSML"/>
          <w:color w:val="auto"/>
          <w:sz w:val="32"/>
          <w:szCs w:val="32"/>
          <w:rtl/>
          <w:lang w:eastAsia="en-US"/>
        </w:rPr>
        <w:t>ﭼ</w:t>
      </w:r>
      <w:r w:rsidRPr="00E14A40">
        <w:rPr>
          <w:rFonts w:ascii="Traditional Arabic" w:hAnsi="Traditional Arabic"/>
          <w:rtl/>
        </w:rPr>
        <w:t xml:space="preserve"> أي: مَعْدِلاً والمَصْرِف: الموضع الذي يُصْرَف إِليه، وذلك أنها أحاطت بهم من كل جانب، فلم يقدروا على الهرب</w:t>
      </w:r>
      <w:r w:rsidRPr="00E14A40">
        <w:rPr>
          <w:vertAlign w:val="superscript"/>
          <w:rtl/>
        </w:rPr>
        <w:t>(</w:t>
      </w:r>
      <w:r w:rsidRPr="00E14A40">
        <w:rPr>
          <w:vertAlign w:val="superscript"/>
          <w:rtl/>
        </w:rPr>
        <w:footnoteReference w:id="1526"/>
      </w:r>
      <w:r w:rsidRPr="00E14A40">
        <w:rPr>
          <w:vertAlign w:val="superscript"/>
          <w:rtl/>
        </w:rPr>
        <w:t>)</w:t>
      </w:r>
      <w:r w:rsidRPr="00E14A40">
        <w:rPr>
          <w:rFonts w:ascii="Traditional Arabic" w:hAnsi="Traditional Arabic"/>
          <w:rtl/>
        </w:rPr>
        <w:t>.</w:t>
      </w:r>
    </w:p>
    <w:p w:rsidR="00E14A40" w:rsidRPr="00E14A40" w:rsidRDefault="00E14A40" w:rsidP="00E14A40">
      <w:pPr>
        <w:ind w:firstLine="0"/>
        <w:rPr>
          <w:rFonts w:ascii="Traditional Arabic" w:hAnsi="Traditional Arabic"/>
          <w:rtl/>
        </w:rPr>
      </w:pPr>
    </w:p>
    <w:p w:rsidR="00E14A40" w:rsidRPr="00E14A40" w:rsidRDefault="00E14A40" w:rsidP="00E14A40">
      <w:pPr>
        <w:ind w:firstLine="0"/>
        <w:rPr>
          <w:rFonts w:ascii="Traditional Arabic" w:hAnsi="Traditional Arabic"/>
          <w:sz w:val="32"/>
          <w:szCs w:val="32"/>
          <w:rtl/>
        </w:rPr>
      </w:pPr>
      <w:r w:rsidRPr="00E14A40">
        <w:rPr>
          <w:rFonts w:ascii="QCF_BSML" w:hAnsi="QCF_BSML" w:cs="QCF_BSML"/>
          <w:sz w:val="32"/>
          <w:szCs w:val="32"/>
          <w:rtl/>
          <w:lang w:eastAsia="en-US"/>
        </w:rPr>
        <w:t xml:space="preserve">ﭽ </w:t>
      </w:r>
      <w:r w:rsidRPr="00E14A40">
        <w:rPr>
          <w:rFonts w:ascii="QCF_P300" w:hAnsi="QCF_P300" w:cs="QCF_P300"/>
          <w:sz w:val="32"/>
          <w:szCs w:val="32"/>
          <w:rtl/>
          <w:lang w:eastAsia="en-US"/>
        </w:rPr>
        <w:t xml:space="preserve">ﭑ  ﭒ  ﭓ  ﭔ  ﭕ  </w:t>
      </w:r>
      <w:r w:rsidRPr="00E14A40">
        <w:rPr>
          <w:rFonts w:ascii="QCF_P300" w:hAnsi="QCF_P300" w:cs="QCF_P300"/>
          <w:color w:val="auto"/>
          <w:sz w:val="32"/>
          <w:szCs w:val="32"/>
          <w:rtl/>
          <w:lang w:eastAsia="en-US"/>
        </w:rPr>
        <w:t xml:space="preserve">ﭖ  ﭗ  ﭘ  ﭙﭚ  ﭛ   ﭜ  </w:t>
      </w:r>
      <w:r w:rsidRPr="00E14A40">
        <w:rPr>
          <w:rFonts w:ascii="QCF_P300" w:hAnsi="QCF_P300" w:cs="QCF_P300"/>
          <w:sz w:val="32"/>
          <w:szCs w:val="32"/>
          <w:rtl/>
          <w:lang w:eastAsia="en-US"/>
        </w:rPr>
        <w:t xml:space="preserve">ﭝ   ﭞ  ﭟ  ﭠ  ﭡ  ﭢ  ﭣ   ﭤ  ﭥ    ﭦ   ﭧ  ﭨ  ﭩ  ﭪ  ﭫ   ﭬ  ﭭ  ﭮ   ﭯ  ﭰ    ﭱ  ﭲ  ﭳ  ﭴ  </w:t>
      </w:r>
      <w:r w:rsidRPr="00E14A40">
        <w:rPr>
          <w:rFonts w:ascii="QCF_BSML" w:hAnsi="QCF_BSML" w:cs="QCF_BSML"/>
          <w:sz w:val="32"/>
          <w:szCs w:val="32"/>
          <w:rtl/>
          <w:lang w:eastAsia="en-US"/>
        </w:rPr>
        <w:t>ﭼ</w:t>
      </w:r>
      <w:r w:rsidRPr="00E14A40">
        <w:rPr>
          <w:rFonts w:ascii="Arial" w:hAnsi="Arial" w:cs="Arial"/>
          <w:sz w:val="32"/>
          <w:szCs w:val="32"/>
          <w:rtl/>
          <w:lang w:eastAsia="en-US"/>
        </w:rPr>
        <w:t xml:space="preserve"> </w:t>
      </w:r>
    </w:p>
    <w:p w:rsidR="00E14A40" w:rsidRPr="00E14A40" w:rsidRDefault="00E14A40" w:rsidP="00E14A40">
      <w:pPr>
        <w:ind w:firstLine="0"/>
        <w:rPr>
          <w:rFonts w:ascii="Traditional Arabic" w:hAnsi="Traditional Arabic"/>
          <w:rtl/>
        </w:rPr>
      </w:pPr>
      <w:r w:rsidRPr="00E14A40">
        <w:rPr>
          <w:rFonts w:ascii="Traditional Arabic" w:hAnsi="Traditional Arabic"/>
          <w:rtl/>
        </w:rPr>
        <w:t xml:space="preserve">قوله تعالى: </w:t>
      </w:r>
      <w:r w:rsidRPr="00E14A40">
        <w:rPr>
          <w:rFonts w:ascii="QCF_BSML" w:hAnsi="QCF_BSML" w:cs="QCF_BSML"/>
          <w:color w:val="auto"/>
          <w:sz w:val="32"/>
          <w:szCs w:val="32"/>
          <w:rtl/>
          <w:lang w:eastAsia="en-US"/>
        </w:rPr>
        <w:t>ﭽ</w:t>
      </w:r>
      <w:r w:rsidRPr="00E14A40">
        <w:rPr>
          <w:rFonts w:ascii="QCF_P300" w:hAnsi="QCF_P300" w:cs="QCF_P300" w:hint="cs"/>
          <w:sz w:val="32"/>
          <w:szCs w:val="32"/>
          <w:rtl/>
          <w:lang w:eastAsia="en-US"/>
        </w:rPr>
        <w:t xml:space="preserve"> </w:t>
      </w:r>
      <w:r w:rsidRPr="00E14A40">
        <w:rPr>
          <w:rFonts w:ascii="QCF_P300" w:hAnsi="QCF_P300" w:cs="QCF_P300"/>
          <w:sz w:val="32"/>
          <w:szCs w:val="32"/>
          <w:rtl/>
          <w:lang w:eastAsia="en-US"/>
        </w:rPr>
        <w:t>ﭑ  ﭒ  ﭓ  ﭔ  ﭕ</w:t>
      </w:r>
      <w:r w:rsidRPr="00E14A40">
        <w:rPr>
          <w:rFonts w:ascii="QCF_P300" w:hAnsi="QCF_P300" w:cs="QCF_P300" w:hint="cs"/>
          <w:sz w:val="32"/>
          <w:szCs w:val="32"/>
          <w:rtl/>
          <w:lang w:eastAsia="en-US"/>
        </w:rPr>
        <w:t xml:space="preserve"> </w:t>
      </w:r>
      <w:r w:rsidRPr="00E14A40">
        <w:rPr>
          <w:rFonts w:ascii="QCF_BSML" w:hAnsi="QCF_BSML" w:cs="QCF_BSML"/>
          <w:color w:val="auto"/>
          <w:sz w:val="32"/>
          <w:szCs w:val="32"/>
          <w:rtl/>
          <w:lang w:eastAsia="en-US"/>
        </w:rPr>
        <w:t>ﭼ</w:t>
      </w:r>
      <w:r w:rsidRPr="00E14A40">
        <w:rPr>
          <w:rFonts w:ascii="Traditional Arabic" w:hAnsi="Traditional Arabic"/>
          <w:rtl/>
        </w:rPr>
        <w:t xml:space="preserve"> قد فسّرناه في سورة بني إِسرائيل</w:t>
      </w:r>
      <w:r w:rsidRPr="00E14A40">
        <w:rPr>
          <w:vertAlign w:val="superscript"/>
          <w:rtl/>
        </w:rPr>
        <w:t>(</w:t>
      </w:r>
      <w:r w:rsidRPr="00E14A40">
        <w:rPr>
          <w:vertAlign w:val="superscript"/>
          <w:rtl/>
        </w:rPr>
        <w:footnoteReference w:id="1527"/>
      </w:r>
      <w:r w:rsidRPr="00E14A40">
        <w:rPr>
          <w:vertAlign w:val="superscript"/>
          <w:rtl/>
        </w:rPr>
        <w:t>)</w:t>
      </w:r>
      <w:r w:rsidRPr="00E14A40">
        <w:rPr>
          <w:rFonts w:ascii="Traditional Arabic" w:hAnsi="Traditional Arabic"/>
          <w:rtl/>
        </w:rPr>
        <w:t>.</w:t>
      </w:r>
      <w:r w:rsidRPr="00E14A40">
        <w:rPr>
          <w:rFonts w:ascii="Traditional Arabic" w:hAnsi="Traditional Arabic" w:hint="cs"/>
          <w:rtl/>
        </w:rPr>
        <w:t xml:space="preserve"> </w:t>
      </w:r>
    </w:p>
    <w:p w:rsidR="00E14A40" w:rsidRPr="00E14A40" w:rsidRDefault="00E14A40" w:rsidP="00E14A40">
      <w:pPr>
        <w:ind w:firstLine="0"/>
        <w:rPr>
          <w:rFonts w:ascii="Traditional Arabic" w:hAnsi="Traditional Arabic"/>
          <w:rtl/>
        </w:rPr>
      </w:pPr>
      <w:r w:rsidRPr="00E14A40">
        <w:rPr>
          <w:rFonts w:ascii="Traditional Arabic" w:hAnsi="Traditional Arabic"/>
          <w:rtl/>
        </w:rPr>
        <w:t>قوله تعالى:</w:t>
      </w:r>
      <w:r w:rsidRPr="00E14A40">
        <w:rPr>
          <w:rFonts w:ascii="QCF_BSML" w:hAnsi="QCF_BSML" w:cs="QCF_BSML"/>
          <w:color w:val="auto"/>
          <w:sz w:val="32"/>
          <w:szCs w:val="32"/>
          <w:rtl/>
          <w:lang w:eastAsia="en-US"/>
        </w:rPr>
        <w:t xml:space="preserve"> ﭽ</w:t>
      </w:r>
      <w:r w:rsidRPr="00E14A40">
        <w:rPr>
          <w:rFonts w:ascii="QCF_P300" w:hAnsi="QCF_P300" w:cs="QCF_P300" w:hint="cs"/>
          <w:sz w:val="32"/>
          <w:szCs w:val="32"/>
          <w:rtl/>
          <w:lang w:eastAsia="en-US"/>
        </w:rPr>
        <w:t xml:space="preserve"> </w:t>
      </w:r>
      <w:r w:rsidRPr="00E14A40">
        <w:rPr>
          <w:rFonts w:ascii="QCF_P300" w:hAnsi="QCF_P300" w:cs="QCF_P300"/>
          <w:sz w:val="32"/>
          <w:szCs w:val="32"/>
          <w:rtl/>
          <w:lang w:eastAsia="en-US"/>
        </w:rPr>
        <w:t>ﭛ   ﭜ  ﭝ   ﭞ  ﭟ</w:t>
      </w:r>
      <w:r w:rsidRPr="00E14A40">
        <w:rPr>
          <w:rFonts w:ascii="QCF_BSML" w:hAnsi="QCF_BSML" w:cs="QCF_BSML" w:hint="cs"/>
          <w:color w:val="auto"/>
          <w:sz w:val="32"/>
          <w:szCs w:val="32"/>
          <w:rtl/>
          <w:lang w:eastAsia="en-US"/>
        </w:rPr>
        <w:t xml:space="preserve"> </w:t>
      </w:r>
      <w:r w:rsidRPr="00E14A40">
        <w:rPr>
          <w:rFonts w:ascii="QCF_BSML" w:hAnsi="QCF_BSML" w:cs="QCF_BSML"/>
          <w:color w:val="auto"/>
          <w:sz w:val="32"/>
          <w:szCs w:val="32"/>
          <w:rtl/>
          <w:lang w:eastAsia="en-US"/>
        </w:rPr>
        <w:t>ﭼ</w:t>
      </w:r>
      <w:r w:rsidRPr="00E14A40">
        <w:rPr>
          <w:rFonts w:ascii="Traditional Arabic" w:hAnsi="Traditional Arabic"/>
          <w:rtl/>
        </w:rPr>
        <w:t xml:space="preserve"> فيمن نزلت</w:t>
      </w:r>
      <w:r w:rsidRPr="00E14A40">
        <w:rPr>
          <w:rFonts w:ascii="Traditional Arabic" w:hAnsi="Traditional Arabic" w:hint="cs"/>
          <w:rtl/>
        </w:rPr>
        <w:t xml:space="preserve"> </w:t>
      </w:r>
      <w:r w:rsidRPr="00E14A40">
        <w:rPr>
          <w:rFonts w:ascii="Traditional Arabic" w:hAnsi="Traditional Arabic"/>
          <w:rtl/>
        </w:rPr>
        <w:t>قولان</w:t>
      </w:r>
      <w:r w:rsidRPr="00E14A40">
        <w:rPr>
          <w:vertAlign w:val="superscript"/>
          <w:rtl/>
        </w:rPr>
        <w:t>(</w:t>
      </w:r>
      <w:r w:rsidRPr="00E14A40">
        <w:rPr>
          <w:vertAlign w:val="superscript"/>
          <w:rtl/>
        </w:rPr>
        <w:footnoteReference w:id="1528"/>
      </w:r>
      <w:r w:rsidRPr="00E14A40">
        <w:rPr>
          <w:vertAlign w:val="superscript"/>
          <w:rtl/>
        </w:rPr>
        <w:t>)</w:t>
      </w:r>
      <w:r w:rsidRPr="00E14A40">
        <w:rPr>
          <w:rFonts w:ascii="Traditional Arabic" w:hAnsi="Traditional Arabic"/>
          <w:rtl/>
        </w:rPr>
        <w:t>: أحدهما: أنه النَّضْر بن الحارث، وكان جِداله في القرآن، قاله ابن عباس</w:t>
      </w:r>
      <w:r w:rsidRPr="00E14A40">
        <w:rPr>
          <w:vertAlign w:val="superscript"/>
          <w:rtl/>
        </w:rPr>
        <w:t>(</w:t>
      </w:r>
      <w:r w:rsidRPr="00E14A40">
        <w:rPr>
          <w:vertAlign w:val="superscript"/>
          <w:rtl/>
        </w:rPr>
        <w:footnoteReference w:id="1529"/>
      </w:r>
      <w:r w:rsidRPr="00E14A40">
        <w:rPr>
          <w:vertAlign w:val="superscript"/>
          <w:rtl/>
        </w:rPr>
        <w:t>)</w:t>
      </w:r>
      <w:r w:rsidRPr="00E14A40">
        <w:rPr>
          <w:rFonts w:ascii="Traditional Arabic" w:hAnsi="Traditional Arabic"/>
          <w:rtl/>
        </w:rPr>
        <w:t>. والثاني: أُبيّ بن خلف، وكان جِداله في البعث حين أتى بعظم قد رَمَّ، فقال: أيقدر الله على إِعادة هذا؟! قاله ابن السائب</w:t>
      </w:r>
      <w:r w:rsidRPr="00E14A40">
        <w:rPr>
          <w:vertAlign w:val="superscript"/>
          <w:rtl/>
        </w:rPr>
        <w:t>(</w:t>
      </w:r>
      <w:r w:rsidRPr="00E14A40">
        <w:rPr>
          <w:vertAlign w:val="superscript"/>
          <w:rtl/>
        </w:rPr>
        <w:footnoteReference w:id="1530"/>
      </w:r>
      <w:r w:rsidRPr="00E14A40">
        <w:rPr>
          <w:vertAlign w:val="superscript"/>
          <w:rtl/>
        </w:rPr>
        <w:t>)</w:t>
      </w:r>
      <w:r w:rsidRPr="00E14A40">
        <w:rPr>
          <w:rFonts w:ascii="Traditional Arabic" w:hAnsi="Traditional Arabic"/>
          <w:rtl/>
        </w:rPr>
        <w:t>. قال الزجاج: كل ما يعقل من الملائكة والجن يجادل، والإِنسان أكثر هذه الأشياء جدلاً</w:t>
      </w:r>
      <w:r w:rsidRPr="00E14A40">
        <w:rPr>
          <w:vertAlign w:val="superscript"/>
          <w:rtl/>
        </w:rPr>
        <w:t>(</w:t>
      </w:r>
      <w:r w:rsidRPr="00E14A40">
        <w:rPr>
          <w:vertAlign w:val="superscript"/>
          <w:rtl/>
        </w:rPr>
        <w:footnoteReference w:id="1531"/>
      </w:r>
      <w:r w:rsidRPr="00E14A40">
        <w:rPr>
          <w:vertAlign w:val="superscript"/>
          <w:rtl/>
        </w:rPr>
        <w:t>)</w:t>
      </w:r>
      <w:r w:rsidRPr="00E14A40">
        <w:rPr>
          <w:rFonts w:ascii="Traditional Arabic" w:hAnsi="Traditional Arabic"/>
          <w:rtl/>
        </w:rPr>
        <w:t>.</w:t>
      </w:r>
    </w:p>
    <w:p w:rsidR="00E14A40" w:rsidRPr="00E14A40" w:rsidRDefault="00E14A40" w:rsidP="00225EA4">
      <w:pPr>
        <w:ind w:firstLine="0"/>
        <w:rPr>
          <w:rFonts w:ascii="Traditional Arabic" w:hAnsi="Traditional Arabic"/>
          <w:rtl/>
        </w:rPr>
      </w:pPr>
      <w:r w:rsidRPr="00E14A40">
        <w:rPr>
          <w:rFonts w:ascii="Traditional Arabic" w:hAnsi="Traditional Arabic"/>
          <w:rtl/>
        </w:rPr>
        <w:t xml:space="preserve">قوله تعالى: </w:t>
      </w:r>
      <w:r w:rsidRPr="00E14A40">
        <w:rPr>
          <w:rFonts w:ascii="QCF_BSML" w:hAnsi="QCF_BSML" w:cs="QCF_BSML"/>
          <w:color w:val="auto"/>
          <w:sz w:val="32"/>
          <w:szCs w:val="32"/>
          <w:rtl/>
          <w:lang w:eastAsia="en-US"/>
        </w:rPr>
        <w:t>ﭽ</w:t>
      </w:r>
      <w:r w:rsidRPr="00E14A40">
        <w:rPr>
          <w:rFonts w:ascii="QCF_P300" w:hAnsi="QCF_P300" w:cs="QCF_P300"/>
          <w:sz w:val="32"/>
          <w:szCs w:val="32"/>
          <w:rtl/>
          <w:lang w:eastAsia="en-US"/>
        </w:rPr>
        <w:t xml:space="preserve">ﭡ  ﭢ  ﭣ   ﭤ  ﭥ    </w:t>
      </w:r>
      <w:r w:rsidRPr="00E14A40">
        <w:rPr>
          <w:rFonts w:ascii="QCF_BSML" w:hAnsi="QCF_BSML" w:cs="QCF_BSML"/>
          <w:color w:val="auto"/>
          <w:sz w:val="32"/>
          <w:szCs w:val="32"/>
          <w:rtl/>
          <w:lang w:eastAsia="en-US"/>
        </w:rPr>
        <w:t>ﭼ</w:t>
      </w:r>
      <w:r w:rsidRPr="00E14A40">
        <w:rPr>
          <w:rFonts w:ascii="Traditional Arabic" w:hAnsi="Traditional Arabic"/>
          <w:rtl/>
        </w:rPr>
        <w:t xml:space="preserve"> قال المفسرون: يعني: أهل مكة </w:t>
      </w:r>
      <w:r w:rsidRPr="00E14A40">
        <w:rPr>
          <w:rFonts w:ascii="QCF_BSML" w:hAnsi="QCF_BSML" w:cs="QCF_BSML"/>
          <w:color w:val="auto"/>
          <w:sz w:val="32"/>
          <w:szCs w:val="32"/>
          <w:rtl/>
          <w:lang w:eastAsia="en-US"/>
        </w:rPr>
        <w:t>ﭽ</w:t>
      </w:r>
      <w:r w:rsidRPr="00E14A40">
        <w:rPr>
          <w:rFonts w:ascii="QCF_P300" w:hAnsi="QCF_P300" w:cs="QCF_P300"/>
          <w:sz w:val="32"/>
          <w:szCs w:val="32"/>
          <w:rtl/>
          <w:lang w:eastAsia="en-US"/>
        </w:rPr>
        <w:t xml:space="preserve"> ﭦ   ﭧ  ﭨ</w:t>
      </w:r>
      <w:r w:rsidRPr="00E14A40">
        <w:rPr>
          <w:rFonts w:ascii="QCF_BSML" w:hAnsi="QCF_BSML" w:cs="QCF_BSML"/>
          <w:color w:val="auto"/>
          <w:sz w:val="32"/>
          <w:szCs w:val="32"/>
          <w:rtl/>
          <w:lang w:eastAsia="en-US"/>
        </w:rPr>
        <w:t>ﭼ</w:t>
      </w:r>
      <w:r w:rsidR="00225EA4">
        <w:rPr>
          <w:rFonts w:ascii="QCF_BSML" w:hAnsi="QCF_BSML" w:cs="QCF_BSML" w:hint="cs"/>
          <w:color w:val="auto"/>
          <w:sz w:val="32"/>
          <w:szCs w:val="32"/>
          <w:rtl/>
          <w:lang w:eastAsia="en-US"/>
        </w:rPr>
        <w:t xml:space="preserve"> </w:t>
      </w:r>
      <w:r w:rsidRPr="00E14A40">
        <w:rPr>
          <w:rFonts w:ascii="QCF_P300" w:hAnsi="QCF_P300" w:cs="QCF_P300"/>
          <w:sz w:val="32"/>
          <w:szCs w:val="32"/>
          <w:rtl/>
          <w:lang w:eastAsia="en-US"/>
        </w:rPr>
        <w:t xml:space="preserve">  </w:t>
      </w:r>
      <w:r w:rsidRPr="00E14A40">
        <w:rPr>
          <w:rFonts w:ascii="Traditional Arabic" w:hAnsi="Traditional Arabic"/>
          <w:rtl/>
        </w:rPr>
        <w:t xml:space="preserve">وهو محمد </w:t>
      </w:r>
      <w:r w:rsidRPr="00E14A40">
        <w:rPr>
          <w:rFonts w:ascii="Traditional Arabic" w:hAnsi="Traditional Arabic"/>
        </w:rPr>
        <w:sym w:font="AGA Arabesque" w:char="F072"/>
      </w:r>
      <w:r w:rsidRPr="00E14A40">
        <w:rPr>
          <w:rFonts w:ascii="Traditional Arabic" w:hAnsi="Traditional Arabic"/>
          <w:rtl/>
        </w:rPr>
        <w:t xml:space="preserve">، والقرآن، والإِسلام </w:t>
      </w:r>
      <w:r w:rsidRPr="00E14A40">
        <w:rPr>
          <w:rFonts w:ascii="QCF_BSML" w:hAnsi="QCF_BSML" w:cs="QCF_BSML"/>
          <w:color w:val="auto"/>
          <w:sz w:val="32"/>
          <w:szCs w:val="32"/>
          <w:rtl/>
          <w:lang w:eastAsia="en-US"/>
        </w:rPr>
        <w:t>ﭽ</w:t>
      </w:r>
      <w:r w:rsidRPr="00E14A40">
        <w:rPr>
          <w:rFonts w:ascii="QCF_P300" w:hAnsi="QCF_P300" w:cs="QCF_P300"/>
          <w:sz w:val="32"/>
          <w:szCs w:val="32"/>
          <w:rtl/>
          <w:lang w:eastAsia="en-US"/>
        </w:rPr>
        <w:t xml:space="preserve">  ﭫ   ﭬ  ﭭ  ﭮ   ﭯ  </w:t>
      </w:r>
      <w:r w:rsidRPr="00E14A40">
        <w:rPr>
          <w:rFonts w:ascii="QCF_BSML" w:hAnsi="QCF_BSML" w:cs="QCF_BSML"/>
          <w:color w:val="auto"/>
          <w:sz w:val="32"/>
          <w:szCs w:val="32"/>
          <w:rtl/>
          <w:lang w:eastAsia="en-US"/>
        </w:rPr>
        <w:t>ﭼ</w:t>
      </w:r>
      <w:r w:rsidRPr="00E14A40">
        <w:rPr>
          <w:rFonts w:ascii="Traditional Arabic" w:hAnsi="Traditional Arabic"/>
          <w:rtl/>
        </w:rPr>
        <w:t xml:space="preserve"> وهو أنهم إِذا لم يؤمنوا عذِّبوا</w:t>
      </w:r>
      <w:r w:rsidRPr="00E14A40">
        <w:rPr>
          <w:vertAlign w:val="superscript"/>
          <w:rtl/>
        </w:rPr>
        <w:t>(</w:t>
      </w:r>
      <w:r w:rsidRPr="00E14A40">
        <w:rPr>
          <w:vertAlign w:val="superscript"/>
          <w:rtl/>
        </w:rPr>
        <w:footnoteReference w:id="1532"/>
      </w:r>
      <w:r w:rsidRPr="00E14A40">
        <w:rPr>
          <w:vertAlign w:val="superscript"/>
          <w:rtl/>
        </w:rPr>
        <w:t>)</w:t>
      </w:r>
      <w:r w:rsidRPr="00E14A40">
        <w:rPr>
          <w:rFonts w:ascii="Traditional Arabic" w:hAnsi="Traditional Arabic"/>
          <w:rtl/>
        </w:rPr>
        <w:t xml:space="preserve">. وفي معنى الكلام ثلاثة أقوال: أحدها: ما منعهم من الإيمان إِلا طلب أن </w:t>
      </w:r>
      <w:r w:rsidRPr="00E14A40">
        <w:rPr>
          <w:rFonts w:ascii="Traditional Arabic" w:hAnsi="Traditional Arabic"/>
          <w:rtl/>
        </w:rPr>
        <w:lastRenderedPageBreak/>
        <w:t>تأتيهم سُنَّة الأولين، قاله الزجاج</w:t>
      </w:r>
      <w:r w:rsidRPr="00E14A40">
        <w:rPr>
          <w:vertAlign w:val="superscript"/>
          <w:rtl/>
        </w:rPr>
        <w:t>(</w:t>
      </w:r>
      <w:r w:rsidRPr="00E14A40">
        <w:rPr>
          <w:vertAlign w:val="superscript"/>
          <w:rtl/>
        </w:rPr>
        <w:footnoteReference w:id="1533"/>
      </w:r>
      <w:r w:rsidRPr="00E14A40">
        <w:rPr>
          <w:vertAlign w:val="superscript"/>
          <w:rtl/>
        </w:rPr>
        <w:t>)</w:t>
      </w:r>
      <w:r w:rsidRPr="00E14A40">
        <w:rPr>
          <w:rFonts w:ascii="Traditional Arabic" w:hAnsi="Traditional Arabic"/>
          <w:rtl/>
        </w:rPr>
        <w:t>.</w:t>
      </w:r>
      <w:r w:rsidRPr="00E14A40">
        <w:rPr>
          <w:rFonts w:ascii="Traditional Arabic" w:hAnsi="Traditional Arabic" w:hint="cs"/>
          <w:rtl/>
        </w:rPr>
        <w:t xml:space="preserve"> </w:t>
      </w:r>
      <w:r w:rsidRPr="00E14A40">
        <w:rPr>
          <w:rFonts w:ascii="Traditional Arabic" w:hAnsi="Traditional Arabic"/>
          <w:rtl/>
        </w:rPr>
        <w:t>والثاني: وما منع الشيطانُ الناس أن يؤمنوا إِلا لأَن تأتيهم سُنَّة الأولين، أي: منعهم رُشْدَهُم لكي يقع العذاب بهم، ذكره ابن الأنباري</w:t>
      </w:r>
      <w:r w:rsidRPr="00E14A40">
        <w:rPr>
          <w:vertAlign w:val="superscript"/>
          <w:rtl/>
        </w:rPr>
        <w:t>(</w:t>
      </w:r>
      <w:r w:rsidRPr="00E14A40">
        <w:rPr>
          <w:vertAlign w:val="superscript"/>
          <w:rtl/>
        </w:rPr>
        <w:footnoteReference w:id="1534"/>
      </w:r>
      <w:r w:rsidRPr="00E14A40">
        <w:rPr>
          <w:vertAlign w:val="superscript"/>
          <w:rtl/>
        </w:rPr>
        <w:t>)</w:t>
      </w:r>
      <w:r w:rsidRPr="00E14A40">
        <w:rPr>
          <w:rFonts w:ascii="Traditional Arabic" w:hAnsi="Traditional Arabic"/>
          <w:rtl/>
        </w:rPr>
        <w:t>. والثالث: ما منعهم إِلا أنِّي قد قدَّرت عليهم العذاب. وهذه الآية فيمن قُتل ببدر وأُحُد من المشركين، قاله الواحدي</w:t>
      </w:r>
      <w:r w:rsidRPr="00E14A40">
        <w:rPr>
          <w:vertAlign w:val="superscript"/>
          <w:rtl/>
        </w:rPr>
        <w:t>(</w:t>
      </w:r>
      <w:r w:rsidRPr="00E14A40">
        <w:rPr>
          <w:vertAlign w:val="superscript"/>
          <w:rtl/>
        </w:rPr>
        <w:footnoteReference w:id="1535"/>
      </w:r>
      <w:r w:rsidRPr="00E14A40">
        <w:rPr>
          <w:vertAlign w:val="superscript"/>
          <w:rtl/>
        </w:rPr>
        <w:t>)</w:t>
      </w:r>
      <w:r w:rsidRPr="00E14A40">
        <w:rPr>
          <w:rFonts w:ascii="Traditional Arabic" w:hAnsi="Traditional Arabic"/>
          <w:rtl/>
        </w:rPr>
        <w:t>.</w:t>
      </w:r>
    </w:p>
    <w:p w:rsidR="00E14A40" w:rsidRPr="00E14A40" w:rsidRDefault="00E14A40" w:rsidP="00E14A40">
      <w:pPr>
        <w:ind w:firstLine="0"/>
        <w:rPr>
          <w:rFonts w:ascii="Traditional Arabic" w:hAnsi="Traditional Arabic"/>
          <w:color w:val="auto"/>
          <w:sz w:val="32"/>
          <w:szCs w:val="32"/>
          <w:rtl/>
        </w:rPr>
      </w:pPr>
      <w:r w:rsidRPr="00E14A40">
        <w:rPr>
          <w:rFonts w:ascii="Traditional Arabic" w:hAnsi="Traditional Arabic"/>
          <w:rtl/>
        </w:rPr>
        <w:t xml:space="preserve">قوله تعالى: </w:t>
      </w:r>
      <w:r w:rsidRPr="00E14A40">
        <w:rPr>
          <w:rFonts w:ascii="QCF_BSML" w:hAnsi="QCF_BSML" w:cs="QCF_BSML"/>
          <w:color w:val="auto"/>
          <w:sz w:val="32"/>
          <w:szCs w:val="32"/>
          <w:rtl/>
          <w:lang w:eastAsia="en-US"/>
        </w:rPr>
        <w:t>ﭽ</w:t>
      </w:r>
      <w:r w:rsidRPr="00E14A40">
        <w:rPr>
          <w:rFonts w:ascii="Traditional Arabic" w:hAnsi="Traditional Arabic"/>
          <w:rtl/>
        </w:rPr>
        <w:t xml:space="preserve"> </w:t>
      </w:r>
      <w:r w:rsidRPr="00E14A40">
        <w:rPr>
          <w:rFonts w:ascii="QCF_P300" w:hAnsi="QCF_P300" w:cs="QCF_P300"/>
          <w:sz w:val="32"/>
          <w:szCs w:val="32"/>
          <w:rtl/>
          <w:lang w:eastAsia="en-US"/>
        </w:rPr>
        <w:t xml:space="preserve">ﭰ    ﭱ  ﭲ  </w:t>
      </w:r>
      <w:r w:rsidRPr="00E14A40">
        <w:rPr>
          <w:rFonts w:ascii="QCF_BSML" w:hAnsi="QCF_BSML" w:cs="QCF_BSML"/>
          <w:color w:val="auto"/>
          <w:sz w:val="32"/>
          <w:szCs w:val="32"/>
          <w:rtl/>
          <w:lang w:eastAsia="en-US"/>
        </w:rPr>
        <w:t>ﭼ</w:t>
      </w:r>
      <w:r w:rsidRPr="00E14A40">
        <w:rPr>
          <w:rFonts w:ascii="Traditional Arabic" w:hAnsi="Traditional Arabic"/>
          <w:rtl/>
        </w:rPr>
        <w:t xml:space="preserve"> ذكر ابن الأنباري في «أَوْ»</w:t>
      </w:r>
      <w:r w:rsidRPr="00E14A40">
        <w:rPr>
          <w:rFonts w:ascii="Traditional Arabic" w:hAnsi="Traditional Arabic" w:hint="cs"/>
          <w:rtl/>
        </w:rPr>
        <w:t xml:space="preserve"> </w:t>
      </w:r>
      <w:r w:rsidRPr="00E14A40">
        <w:rPr>
          <w:rFonts w:ascii="Traditional Arabic" w:hAnsi="Traditional Arabic"/>
          <w:rtl/>
        </w:rPr>
        <w:t xml:space="preserve">ثلاثة أقوال: أحدها: أنها بمعنى الواو. والثاني: أنها لوقوع أحد الشيئين، إِذ لا فائدة في بيانه. والثالث: أنها دخلت للتبعيض، أي: أنّ بعضهم يقع به هذا </w:t>
      </w:r>
      <w:r w:rsidRPr="00E14A40">
        <w:rPr>
          <w:rFonts w:ascii="Traditional Arabic" w:hAnsi="Traditional Arabic" w:hint="cs"/>
          <w:rtl/>
        </w:rPr>
        <w:t>[</w:t>
      </w:r>
      <w:r w:rsidRPr="00E14A40">
        <w:rPr>
          <w:rFonts w:ascii="Traditional Arabic" w:hAnsi="Traditional Arabic"/>
          <w:rtl/>
        </w:rPr>
        <w:t>وبعضهم يقع به هذا</w:t>
      </w:r>
      <w:r w:rsidRPr="00E14A40">
        <w:rPr>
          <w:rFonts w:ascii="Traditional Arabic" w:hAnsi="Traditional Arabic" w:hint="cs"/>
          <w:rtl/>
        </w:rPr>
        <w:t>]</w:t>
      </w:r>
      <w:r w:rsidRPr="00E14A40">
        <w:rPr>
          <w:vertAlign w:val="superscript"/>
          <w:rtl/>
        </w:rPr>
        <w:t>(</w:t>
      </w:r>
      <w:r w:rsidRPr="00E14A40">
        <w:rPr>
          <w:vertAlign w:val="superscript"/>
          <w:rtl/>
        </w:rPr>
        <w:footnoteReference w:id="1536"/>
      </w:r>
      <w:r w:rsidRPr="00E14A40">
        <w:rPr>
          <w:vertAlign w:val="superscript"/>
          <w:rtl/>
        </w:rPr>
        <w:t>)</w:t>
      </w:r>
      <w:r w:rsidRPr="00E14A40">
        <w:rPr>
          <w:rFonts w:ascii="Traditional Arabic" w:hAnsi="Traditional Arabic" w:hint="cs"/>
          <w:rtl/>
        </w:rPr>
        <w:t>,</w:t>
      </w:r>
      <w:r w:rsidRPr="00E14A40">
        <w:rPr>
          <w:rFonts w:ascii="Traditional Arabic" w:hAnsi="Traditional Arabic"/>
          <w:rtl/>
        </w:rPr>
        <w:t xml:space="preserve"> وهذه الأقوال الثلاثة قد أسلفنا بيانها في قوله تعالى:</w:t>
      </w:r>
      <w:r w:rsidRPr="00E14A40">
        <w:rPr>
          <w:rFonts w:ascii="Traditional Arabic" w:hAnsi="Traditional Arabic" w:hint="cs"/>
          <w:rtl/>
        </w:rPr>
        <w:t xml:space="preserve"> </w:t>
      </w:r>
      <w:r w:rsidRPr="00E14A40">
        <w:rPr>
          <w:rFonts w:ascii="QCF_BSML" w:hAnsi="QCF_BSML" w:cs="QCF_BSML"/>
          <w:sz w:val="32"/>
          <w:szCs w:val="32"/>
          <w:rtl/>
          <w:lang w:eastAsia="en-US"/>
        </w:rPr>
        <w:t>ﭽ</w:t>
      </w:r>
      <w:r w:rsidRPr="00E14A40">
        <w:rPr>
          <w:rFonts w:ascii="QCF_P004" w:hAnsi="QCF_P004" w:cs="QCF_P004"/>
          <w:sz w:val="32"/>
          <w:szCs w:val="32"/>
          <w:rtl/>
          <w:lang w:eastAsia="en-US"/>
        </w:rPr>
        <w:t xml:space="preserve">ﭪ  ﭫ     ﭬ  ﭭ  </w:t>
      </w:r>
      <w:r w:rsidRPr="00E14A40">
        <w:rPr>
          <w:rFonts w:ascii="QCF_BSML" w:hAnsi="QCF_BSML" w:cs="QCF_BSML"/>
          <w:sz w:val="32"/>
          <w:szCs w:val="32"/>
          <w:rtl/>
          <w:lang w:eastAsia="en-US"/>
        </w:rPr>
        <w:t>ﭼ</w:t>
      </w:r>
      <w:r w:rsidRPr="00E14A40">
        <w:rPr>
          <w:rFonts w:ascii="Traditional Arabic" w:hAnsi="Traditional Arabic"/>
          <w:color w:val="auto"/>
          <w:sz w:val="32"/>
          <w:szCs w:val="32"/>
          <w:rtl/>
          <w:lang w:eastAsia="en-US"/>
        </w:rPr>
        <w:t xml:space="preserve"> [البقرة:١٩]</w:t>
      </w:r>
      <w:r w:rsidRPr="00E14A40">
        <w:rPr>
          <w:vertAlign w:val="superscript"/>
          <w:rtl/>
        </w:rPr>
        <w:t>(</w:t>
      </w:r>
      <w:r w:rsidRPr="00E14A40">
        <w:rPr>
          <w:vertAlign w:val="superscript"/>
          <w:rtl/>
        </w:rPr>
        <w:footnoteReference w:id="1537"/>
      </w:r>
      <w:r w:rsidRPr="00E14A40">
        <w:rPr>
          <w:vertAlign w:val="superscript"/>
          <w:rtl/>
        </w:rPr>
        <w:t>)</w:t>
      </w:r>
      <w:r w:rsidRPr="00E14A40">
        <w:rPr>
          <w:rFonts w:ascii="Traditional Arabic" w:hAnsi="Traditional Arabic"/>
          <w:color w:val="auto"/>
          <w:sz w:val="32"/>
          <w:szCs w:val="32"/>
          <w:rtl/>
        </w:rPr>
        <w:t xml:space="preserve">. </w:t>
      </w:r>
      <w:r w:rsidRPr="00E14A40">
        <w:rPr>
          <w:rFonts w:ascii="Traditional Arabic" w:hAnsi="Traditional Arabic"/>
          <w:rtl/>
        </w:rPr>
        <w:t xml:space="preserve">قوله تعالى: </w:t>
      </w:r>
      <w:r w:rsidRPr="00E14A40">
        <w:rPr>
          <w:rFonts w:ascii="QCF_BSML" w:hAnsi="QCF_BSML" w:cs="QCF_BSML"/>
          <w:color w:val="auto"/>
          <w:sz w:val="32"/>
          <w:szCs w:val="32"/>
          <w:rtl/>
          <w:lang w:eastAsia="en-US"/>
        </w:rPr>
        <w:t>ﭽ</w:t>
      </w:r>
      <w:r w:rsidRPr="00E14A40">
        <w:rPr>
          <w:rFonts w:ascii="QCF_P300" w:hAnsi="QCF_P300" w:cs="QCF_P300"/>
          <w:sz w:val="32"/>
          <w:szCs w:val="32"/>
          <w:rtl/>
          <w:lang w:eastAsia="en-US"/>
        </w:rPr>
        <w:t xml:space="preserve"> ﭳ</w:t>
      </w:r>
      <w:r w:rsidRPr="00E14A40">
        <w:rPr>
          <w:rFonts w:ascii="QCF_BSML" w:hAnsi="QCF_BSML" w:cs="QCF_BSML"/>
          <w:color w:val="auto"/>
          <w:sz w:val="32"/>
          <w:szCs w:val="32"/>
          <w:rtl/>
          <w:lang w:eastAsia="en-US"/>
        </w:rPr>
        <w:t>ﭼ</w:t>
      </w:r>
      <w:r w:rsidRPr="00E14A40">
        <w:rPr>
          <w:rFonts w:ascii="Traditional Arabic" w:hAnsi="Traditional Arabic"/>
          <w:rtl/>
        </w:rPr>
        <w:t xml:space="preserve"> قرأ ابن كثير، ونافع، وأبو عمرو، وابن عامر: «قِبَلاً» بكسر القاف وفتح الباء. وقرأ عاصم، وحمزة، والكسائي: «قُبُلاً» بضم القاف والباء</w:t>
      </w:r>
      <w:r w:rsidRPr="00E14A40">
        <w:rPr>
          <w:vertAlign w:val="superscript"/>
          <w:rtl/>
        </w:rPr>
        <w:t>(</w:t>
      </w:r>
      <w:r w:rsidRPr="00E14A40">
        <w:rPr>
          <w:vertAlign w:val="superscript"/>
          <w:rtl/>
        </w:rPr>
        <w:footnoteReference w:id="1538"/>
      </w:r>
      <w:r w:rsidRPr="00E14A40">
        <w:rPr>
          <w:vertAlign w:val="superscript"/>
          <w:rtl/>
        </w:rPr>
        <w:t>)</w:t>
      </w:r>
      <w:r w:rsidRPr="00E14A40">
        <w:rPr>
          <w:rFonts w:ascii="Traditional Arabic" w:hAnsi="Traditional Arabic"/>
          <w:rtl/>
        </w:rPr>
        <w:t>. وقد بيَّنّا عِلَّة القراءتين في سورة الأنعام</w:t>
      </w:r>
      <w:r w:rsidRPr="00E14A40">
        <w:rPr>
          <w:vertAlign w:val="superscript"/>
          <w:rtl/>
        </w:rPr>
        <w:t>(</w:t>
      </w:r>
      <w:r w:rsidRPr="00E14A40">
        <w:rPr>
          <w:vertAlign w:val="superscript"/>
          <w:rtl/>
        </w:rPr>
        <w:footnoteReference w:id="1539"/>
      </w:r>
      <w:r w:rsidRPr="00E14A40">
        <w:rPr>
          <w:vertAlign w:val="superscript"/>
          <w:rtl/>
        </w:rPr>
        <w:t>)</w:t>
      </w:r>
      <w:r w:rsidRPr="00E14A40">
        <w:rPr>
          <w:rFonts w:ascii="Traditional Arabic" w:hAnsi="Traditional Arabic"/>
          <w:rtl/>
        </w:rPr>
        <w:t>. وقرأ أبيّ بن كعب وابن مسْعود «قَبِيلاً» بوزن فَعِيل</w:t>
      </w:r>
      <w:r w:rsidRPr="00E14A40">
        <w:rPr>
          <w:vertAlign w:val="superscript"/>
          <w:rtl/>
        </w:rPr>
        <w:t>(</w:t>
      </w:r>
      <w:r w:rsidRPr="00E14A40">
        <w:rPr>
          <w:vertAlign w:val="superscript"/>
          <w:rtl/>
        </w:rPr>
        <w:footnoteReference w:id="1540"/>
      </w:r>
      <w:r w:rsidRPr="00E14A40">
        <w:rPr>
          <w:vertAlign w:val="superscript"/>
          <w:rtl/>
        </w:rPr>
        <w:t>)</w:t>
      </w:r>
      <w:r w:rsidRPr="00E14A40">
        <w:rPr>
          <w:rFonts w:ascii="Traditional Arabic" w:hAnsi="Traditional Arabic"/>
          <w:rtl/>
        </w:rPr>
        <w:t>. وقرأ أبو الجوزاء، وأبو المتوكل «قَبَلاً» بفتح القاف من غير ياء</w:t>
      </w:r>
      <w:r w:rsidRPr="00E14A40">
        <w:rPr>
          <w:vertAlign w:val="superscript"/>
          <w:rtl/>
        </w:rPr>
        <w:t>(</w:t>
      </w:r>
      <w:r w:rsidRPr="00E14A40">
        <w:rPr>
          <w:vertAlign w:val="superscript"/>
          <w:rtl/>
        </w:rPr>
        <w:footnoteReference w:id="1541"/>
      </w:r>
      <w:r w:rsidRPr="00E14A40">
        <w:rPr>
          <w:vertAlign w:val="superscript"/>
          <w:rtl/>
        </w:rPr>
        <w:t>)</w:t>
      </w:r>
      <w:r w:rsidRPr="00E14A40">
        <w:rPr>
          <w:rFonts w:ascii="Traditional Arabic" w:hAnsi="Traditional Arabic" w:hint="cs"/>
          <w:rtl/>
        </w:rPr>
        <w:t>.</w:t>
      </w:r>
      <w:r w:rsidRPr="00E14A40">
        <w:rPr>
          <w:rFonts w:ascii="Traditional Arabic" w:hAnsi="Traditional Arabic"/>
          <w:rtl/>
        </w:rPr>
        <w:t xml:space="preserve"> قال ابن قتيبة: أراد استئنافاً. فإن قيل: إِذا كان المراد بسُنَّة </w:t>
      </w:r>
      <w:r w:rsidRPr="00E14A40">
        <w:rPr>
          <w:rFonts w:ascii="Traditional Arabic" w:hAnsi="Traditional Arabic" w:hint="cs"/>
          <w:sz w:val="32"/>
          <w:szCs w:val="32"/>
          <w:rtl/>
        </w:rPr>
        <w:t>[131]</w:t>
      </w:r>
      <w:r w:rsidRPr="00E14A40">
        <w:rPr>
          <w:rFonts w:ascii="Traditional Arabic" w:hAnsi="Traditional Arabic"/>
          <w:rtl/>
        </w:rPr>
        <w:t xml:space="preserve"> الأولين العذاب، فما فائدة التكرار بقوله: </w:t>
      </w:r>
      <w:r w:rsidRPr="00E14A40">
        <w:rPr>
          <w:rFonts w:ascii="QCF_BSML" w:hAnsi="QCF_BSML" w:cs="QCF_BSML"/>
          <w:color w:val="auto"/>
          <w:sz w:val="32"/>
          <w:szCs w:val="32"/>
          <w:rtl/>
          <w:lang w:eastAsia="en-US"/>
        </w:rPr>
        <w:t>ﭽ</w:t>
      </w:r>
      <w:r w:rsidRPr="00E14A40">
        <w:rPr>
          <w:rFonts w:ascii="QCF_P300" w:hAnsi="QCF_P300" w:cs="QCF_P300"/>
          <w:sz w:val="32"/>
          <w:szCs w:val="32"/>
          <w:rtl/>
          <w:lang w:eastAsia="en-US"/>
        </w:rPr>
        <w:t xml:space="preserve"> ﭰ    ﭱ  ﭲ</w:t>
      </w:r>
      <w:r w:rsidRPr="00E14A40">
        <w:rPr>
          <w:rFonts w:ascii="QCF_BSML" w:hAnsi="QCF_BSML" w:cs="QCF_BSML"/>
          <w:color w:val="auto"/>
          <w:sz w:val="32"/>
          <w:szCs w:val="32"/>
          <w:rtl/>
          <w:lang w:eastAsia="en-US"/>
        </w:rPr>
        <w:t>ﭼ</w:t>
      </w:r>
      <w:r w:rsidRPr="00E14A40">
        <w:rPr>
          <w:rFonts w:ascii="Traditional Arabic" w:hAnsi="Traditional Arabic"/>
          <w:rtl/>
        </w:rPr>
        <w:t xml:space="preserve"> ؟</w:t>
      </w:r>
      <w:r w:rsidRPr="00E14A40">
        <w:rPr>
          <w:rFonts w:ascii="Traditional Arabic" w:hAnsi="Traditional Arabic" w:hint="cs"/>
          <w:rtl/>
        </w:rPr>
        <w:t xml:space="preserve"> </w:t>
      </w:r>
      <w:r w:rsidRPr="00E14A40">
        <w:rPr>
          <w:rFonts w:ascii="Traditional Arabic" w:hAnsi="Traditional Arabic"/>
          <w:rtl/>
        </w:rPr>
        <w:t>فالجواب: أن سُنَّة الأولين أفادت عذابا مبهما يمكن أن يتراخى وقته، وتخلّف أنواعه، وإِتيان العذاب قُبُلاً أفاد القتل يوم بدر</w:t>
      </w:r>
      <w:r w:rsidRPr="00E14A40">
        <w:rPr>
          <w:vertAlign w:val="superscript"/>
          <w:rtl/>
        </w:rPr>
        <w:t>(</w:t>
      </w:r>
      <w:r w:rsidRPr="00E14A40">
        <w:rPr>
          <w:vertAlign w:val="superscript"/>
          <w:rtl/>
        </w:rPr>
        <w:footnoteReference w:id="1542"/>
      </w:r>
      <w:r w:rsidRPr="00E14A40">
        <w:rPr>
          <w:vertAlign w:val="superscript"/>
          <w:rtl/>
        </w:rPr>
        <w:t>)</w:t>
      </w:r>
      <w:r w:rsidRPr="00E14A40">
        <w:rPr>
          <w:rFonts w:ascii="Traditional Arabic" w:hAnsi="Traditional Arabic"/>
          <w:rtl/>
        </w:rPr>
        <w:t xml:space="preserve">. </w:t>
      </w:r>
      <w:r w:rsidRPr="00E14A40">
        <w:rPr>
          <w:rFonts w:ascii="Traditional Arabic" w:hAnsi="Traditional Arabic"/>
          <w:rtl/>
        </w:rPr>
        <w:lastRenderedPageBreak/>
        <w:t xml:space="preserve">قال مقاتل: </w:t>
      </w:r>
      <w:r w:rsidRPr="00E14A40">
        <w:rPr>
          <w:rFonts w:ascii="QCF_BSML" w:hAnsi="QCF_BSML" w:cs="QCF_BSML"/>
          <w:color w:val="auto"/>
          <w:sz w:val="32"/>
          <w:szCs w:val="32"/>
          <w:rtl/>
          <w:lang w:eastAsia="en-US"/>
        </w:rPr>
        <w:t>ﭽ</w:t>
      </w:r>
      <w:r w:rsidRPr="00E14A40">
        <w:rPr>
          <w:rFonts w:ascii="QCF_P300" w:hAnsi="QCF_P300" w:cs="QCF_P300"/>
          <w:sz w:val="32"/>
          <w:szCs w:val="32"/>
          <w:rtl/>
          <w:lang w:eastAsia="en-US"/>
        </w:rPr>
        <w:t xml:space="preserve"> ﭮ   ﭯ</w:t>
      </w:r>
      <w:r w:rsidRPr="00E14A40">
        <w:rPr>
          <w:rFonts w:ascii="QCF_BSML" w:hAnsi="QCF_BSML" w:cs="QCF_BSML"/>
          <w:color w:val="auto"/>
          <w:sz w:val="32"/>
          <w:szCs w:val="32"/>
          <w:rtl/>
          <w:lang w:eastAsia="en-US"/>
        </w:rPr>
        <w:t>ﭼ</w:t>
      </w:r>
      <w:r w:rsidRPr="00E14A40">
        <w:rPr>
          <w:rFonts w:ascii="Traditional Arabic" w:hAnsi="Traditional Arabic"/>
          <w:rtl/>
        </w:rPr>
        <w:t xml:space="preserve">: عذاب الأمم السالفة، </w:t>
      </w:r>
      <w:r w:rsidRPr="00E14A40">
        <w:rPr>
          <w:rFonts w:ascii="QCF_BSML" w:hAnsi="QCF_BSML" w:cs="QCF_BSML"/>
          <w:color w:val="auto"/>
          <w:sz w:val="32"/>
          <w:szCs w:val="32"/>
          <w:rtl/>
          <w:lang w:eastAsia="en-US"/>
        </w:rPr>
        <w:t>ﭽ</w:t>
      </w:r>
      <w:r w:rsidRPr="00E14A40">
        <w:rPr>
          <w:rFonts w:ascii="QCF_P300" w:hAnsi="QCF_P300" w:cs="QCF_P300"/>
          <w:sz w:val="32"/>
          <w:szCs w:val="32"/>
          <w:rtl/>
          <w:lang w:eastAsia="en-US"/>
        </w:rPr>
        <w:t xml:space="preserve"> ﭰ ﭱ  ﭲ  ﭳ</w:t>
      </w:r>
      <w:r w:rsidRPr="00E14A40">
        <w:rPr>
          <w:rFonts w:ascii="QCF_BSML" w:hAnsi="QCF_BSML" w:cs="QCF_BSML"/>
          <w:color w:val="auto"/>
          <w:sz w:val="32"/>
          <w:szCs w:val="32"/>
          <w:rtl/>
          <w:lang w:eastAsia="en-US"/>
        </w:rPr>
        <w:t>ﭼ</w:t>
      </w:r>
      <w:r w:rsidRPr="00E14A40">
        <w:rPr>
          <w:rFonts w:ascii="Traditional Arabic" w:hAnsi="Traditional Arabic"/>
          <w:rtl/>
        </w:rPr>
        <w:t xml:space="preserve"> أي: عِياناً قتلا بالسيف يوم بدر</w:t>
      </w:r>
      <w:r w:rsidRPr="00E14A40">
        <w:rPr>
          <w:vertAlign w:val="superscript"/>
          <w:rtl/>
        </w:rPr>
        <w:t>(</w:t>
      </w:r>
      <w:r w:rsidRPr="00E14A40">
        <w:rPr>
          <w:vertAlign w:val="superscript"/>
          <w:rtl/>
        </w:rPr>
        <w:footnoteReference w:id="1543"/>
      </w:r>
      <w:r w:rsidRPr="00E14A40">
        <w:rPr>
          <w:vertAlign w:val="superscript"/>
          <w:rtl/>
        </w:rPr>
        <w:t>)</w:t>
      </w:r>
      <w:r w:rsidRPr="00E14A40">
        <w:rPr>
          <w:rFonts w:ascii="Traditional Arabic" w:hAnsi="Traditional Arabic"/>
          <w:rtl/>
        </w:rPr>
        <w:t>.</w:t>
      </w:r>
    </w:p>
    <w:p w:rsidR="00E14A40" w:rsidRPr="00E14A40" w:rsidRDefault="00E14A40" w:rsidP="00E14A40">
      <w:pPr>
        <w:ind w:firstLine="0"/>
        <w:rPr>
          <w:rFonts w:ascii="Traditional Arabic" w:hAnsi="Traditional Arabic"/>
          <w:rtl/>
        </w:rPr>
      </w:pPr>
    </w:p>
    <w:p w:rsidR="00E14A40" w:rsidRPr="00E14A40" w:rsidRDefault="00E14A40" w:rsidP="00E14A40">
      <w:pPr>
        <w:ind w:firstLine="0"/>
        <w:rPr>
          <w:rFonts w:ascii="Traditional Arabic" w:hAnsi="Traditional Arabic"/>
          <w:color w:val="auto"/>
          <w:sz w:val="32"/>
          <w:szCs w:val="32"/>
          <w:rtl/>
        </w:rPr>
      </w:pPr>
      <w:r w:rsidRPr="00E14A40">
        <w:rPr>
          <w:rFonts w:ascii="QCF_BSML" w:hAnsi="QCF_BSML" w:cs="QCF_BSML"/>
          <w:color w:val="auto"/>
          <w:sz w:val="32"/>
          <w:szCs w:val="32"/>
          <w:rtl/>
          <w:lang w:eastAsia="en-US"/>
        </w:rPr>
        <w:t xml:space="preserve">ﭽ </w:t>
      </w:r>
      <w:r w:rsidRPr="00E14A40">
        <w:rPr>
          <w:rFonts w:ascii="QCF_P300" w:hAnsi="QCF_P300" w:cs="QCF_P300"/>
          <w:color w:val="auto"/>
          <w:sz w:val="32"/>
          <w:szCs w:val="32"/>
          <w:rtl/>
          <w:lang w:eastAsia="en-US"/>
        </w:rPr>
        <w:t>ﭵ  ﭶ  ﭷ     ﭸ   ﭹ  ﭺﭻ  ﭼ  ﭽ  ﭾ  ﭿ      ﮀ   ﮁ   ﮂﮃ  ﮄ  ﮅ  ﮆ  ﮇ  ﮈ  ﮉ  ﮊ   ﮋ   ﮌ  ﮍ  ﮎ  ﮏ  ﮐ  ﮑ  ﮒ  ﮓ  ﮔ  ﮕﮖ   ﮗ    ﮘ  ﮙ  ﮚ  ﮛ  ﮜ  ﮝ  ﮞ  ﮟ  ﮠﮡ   ﮢ  ﮣ  ﮤ  ﮥ  ﮦ  ﮧ  ﮨ  ﮩ  ﮪ  ﮫ   ﮬ  ﮭ  ﮮﮯ  ﮰ  ﮱ  ﯓ  ﯔ  ﯕ  ﯖ   ﯗﯘ  ﯙ  ﯚ  ﯛ  ﯜ  ﯝ  ﯞ  ﯟ  ﯠ  ﯡ   ﯢ  ﯣ  ﯤ  ﯥ  ﯦ  ﯧ  ﯨ      ﯩ  ﯪ</w:t>
      </w:r>
      <w:r w:rsidRPr="00E14A40">
        <w:rPr>
          <w:rFonts w:ascii="QCF_BSML" w:hAnsi="QCF_BSML" w:cs="QCF_BSML"/>
          <w:color w:val="auto"/>
          <w:sz w:val="32"/>
          <w:szCs w:val="32"/>
          <w:rtl/>
          <w:lang w:eastAsia="en-US"/>
        </w:rPr>
        <w:t>ﭼ</w:t>
      </w:r>
      <w:r w:rsidRPr="00E14A40">
        <w:rPr>
          <w:rFonts w:ascii="Arial" w:hAnsi="Arial" w:cs="Arial"/>
          <w:color w:val="auto"/>
          <w:sz w:val="32"/>
          <w:szCs w:val="32"/>
          <w:rtl/>
          <w:lang w:eastAsia="en-US"/>
        </w:rPr>
        <w:t xml:space="preserve"> </w:t>
      </w:r>
    </w:p>
    <w:p w:rsidR="00E14A40" w:rsidRPr="00E14A40" w:rsidRDefault="00E14A40" w:rsidP="00225EA4">
      <w:pPr>
        <w:ind w:firstLine="0"/>
        <w:rPr>
          <w:rFonts w:ascii="Traditional Arabic" w:hAnsi="Traditional Arabic"/>
          <w:rtl/>
        </w:rPr>
      </w:pPr>
      <w:r w:rsidRPr="00E14A40">
        <w:rPr>
          <w:rFonts w:ascii="Traditional Arabic" w:hAnsi="Traditional Arabic"/>
          <w:rtl/>
        </w:rPr>
        <w:t xml:space="preserve">قوله تعالى: </w:t>
      </w:r>
      <w:r w:rsidRPr="00E14A40">
        <w:rPr>
          <w:rFonts w:ascii="QCF_BSML" w:hAnsi="QCF_BSML" w:cs="QCF_BSML"/>
          <w:color w:val="auto"/>
          <w:sz w:val="32"/>
          <w:szCs w:val="32"/>
          <w:rtl/>
          <w:lang w:eastAsia="en-US"/>
        </w:rPr>
        <w:t>ﭽ</w:t>
      </w:r>
      <w:r w:rsidRPr="00E14A40">
        <w:rPr>
          <w:rFonts w:ascii="QCF_P300" w:hAnsi="QCF_P300" w:cs="QCF_P300"/>
          <w:color w:val="auto"/>
          <w:sz w:val="32"/>
          <w:szCs w:val="32"/>
          <w:rtl/>
          <w:lang w:eastAsia="en-US"/>
        </w:rPr>
        <w:t xml:space="preserve"> ﭼ  ﭽ  ﭾ  ﭿ </w:t>
      </w:r>
      <w:r w:rsidRPr="00E14A40">
        <w:rPr>
          <w:rFonts w:ascii="QCF_BSML" w:hAnsi="QCF_BSML" w:cs="QCF_BSML"/>
          <w:color w:val="auto"/>
          <w:sz w:val="32"/>
          <w:szCs w:val="32"/>
          <w:rtl/>
          <w:lang w:eastAsia="en-US"/>
        </w:rPr>
        <w:t>ﭼ</w:t>
      </w:r>
      <w:r w:rsidRPr="00E14A40">
        <w:rPr>
          <w:rFonts w:ascii="Traditional Arabic" w:hAnsi="Traditional Arabic"/>
          <w:rtl/>
        </w:rPr>
        <w:t xml:space="preserve"> قال ابن عباس: يريد: المستهزئين والمقتسمين وأتباعهم</w:t>
      </w:r>
      <w:r w:rsidRPr="00E14A40">
        <w:rPr>
          <w:vertAlign w:val="superscript"/>
          <w:rtl/>
        </w:rPr>
        <w:t>(</w:t>
      </w:r>
      <w:r w:rsidRPr="00E14A40">
        <w:rPr>
          <w:vertAlign w:val="superscript"/>
          <w:rtl/>
        </w:rPr>
        <w:footnoteReference w:id="1544"/>
      </w:r>
      <w:r w:rsidRPr="00E14A40">
        <w:rPr>
          <w:vertAlign w:val="superscript"/>
          <w:rtl/>
        </w:rPr>
        <w:t>)</w:t>
      </w:r>
      <w:r w:rsidRPr="00E14A40">
        <w:rPr>
          <w:rFonts w:ascii="Traditional Arabic" w:hAnsi="Traditional Arabic"/>
          <w:rtl/>
        </w:rPr>
        <w:t xml:space="preserve">. وجدالُهم بالباطل: أنهم ألزموه أن يأتيَ بالآيات على أهوائهم </w:t>
      </w:r>
      <w:r w:rsidRPr="00E14A40">
        <w:rPr>
          <w:rFonts w:ascii="QCF_BSML" w:hAnsi="QCF_BSML" w:cs="QCF_BSML"/>
          <w:color w:val="auto"/>
          <w:sz w:val="32"/>
          <w:szCs w:val="32"/>
          <w:rtl/>
          <w:lang w:eastAsia="en-US"/>
        </w:rPr>
        <w:t>ﭽ</w:t>
      </w:r>
      <w:r w:rsidRPr="00E14A40">
        <w:rPr>
          <w:rFonts w:ascii="QCF_P300" w:hAnsi="QCF_P300" w:cs="QCF_P300"/>
          <w:color w:val="auto"/>
          <w:sz w:val="32"/>
          <w:szCs w:val="32"/>
          <w:rtl/>
          <w:lang w:eastAsia="en-US"/>
        </w:rPr>
        <w:t xml:space="preserve"> ﮀ   ﮁ   ﮂ</w:t>
      </w:r>
      <w:r w:rsidRPr="00E14A40">
        <w:rPr>
          <w:rFonts w:ascii="QCF_BSML" w:hAnsi="QCF_BSML" w:cs="QCF_BSML"/>
          <w:color w:val="auto"/>
          <w:sz w:val="32"/>
          <w:szCs w:val="32"/>
          <w:rtl/>
          <w:lang w:eastAsia="en-US"/>
        </w:rPr>
        <w:t>ﭼ</w:t>
      </w:r>
      <w:r w:rsidRPr="00E14A40">
        <w:rPr>
          <w:rFonts w:ascii="Traditional Arabic" w:hAnsi="Traditional Arabic"/>
          <w:rtl/>
        </w:rPr>
        <w:t xml:space="preserve"> أي:</w:t>
      </w:r>
      <w:r w:rsidRPr="00E14A40">
        <w:rPr>
          <w:rFonts w:ascii="Traditional Arabic" w:hAnsi="Traditional Arabic" w:hint="cs"/>
          <w:rtl/>
        </w:rPr>
        <w:t xml:space="preserve"> </w:t>
      </w:r>
      <w:r w:rsidRPr="00E14A40">
        <w:rPr>
          <w:rFonts w:ascii="Traditional Arabic" w:hAnsi="Traditional Arabic"/>
          <w:rtl/>
        </w:rPr>
        <w:t xml:space="preserve">ليُبْطِلوا ما جاء به محمّد </w:t>
      </w:r>
      <w:r w:rsidRPr="00E14A40">
        <w:rPr>
          <w:rFonts w:ascii="Traditional Arabic" w:hAnsi="Traditional Arabic"/>
        </w:rPr>
        <w:sym w:font="AGA Arabesque" w:char="F072"/>
      </w:r>
      <w:r w:rsidRPr="00E14A40">
        <w:rPr>
          <w:vertAlign w:val="superscript"/>
          <w:rtl/>
        </w:rPr>
        <w:t>(</w:t>
      </w:r>
      <w:r w:rsidRPr="00E14A40">
        <w:rPr>
          <w:vertAlign w:val="superscript"/>
          <w:rtl/>
        </w:rPr>
        <w:footnoteReference w:id="1545"/>
      </w:r>
      <w:r w:rsidRPr="00E14A40">
        <w:rPr>
          <w:vertAlign w:val="superscript"/>
          <w:rtl/>
        </w:rPr>
        <w:t>)</w:t>
      </w:r>
      <w:r w:rsidRPr="00E14A40">
        <w:rPr>
          <w:rFonts w:ascii="Traditional Arabic" w:hAnsi="Traditional Arabic" w:hint="cs"/>
          <w:rtl/>
        </w:rPr>
        <w:t xml:space="preserve">, </w:t>
      </w:r>
      <w:r w:rsidRPr="00E14A40">
        <w:rPr>
          <w:rFonts w:ascii="Traditional Arabic" w:hAnsi="Traditional Arabic"/>
          <w:rtl/>
        </w:rPr>
        <w:t xml:space="preserve">وقيل: جدالُهم: قولُهم: </w:t>
      </w:r>
      <w:r w:rsidRPr="00E14A40">
        <w:rPr>
          <w:rFonts w:ascii="QCF_BSML" w:hAnsi="QCF_BSML" w:cs="QCF_BSML"/>
          <w:sz w:val="32"/>
          <w:szCs w:val="32"/>
          <w:rtl/>
          <w:lang w:eastAsia="en-US"/>
        </w:rPr>
        <w:t xml:space="preserve">ﭽ </w:t>
      </w:r>
      <w:r w:rsidRPr="00E14A40">
        <w:rPr>
          <w:rFonts w:ascii="QCF_P286" w:hAnsi="QCF_P286" w:cs="QCF_P286"/>
          <w:sz w:val="32"/>
          <w:szCs w:val="32"/>
          <w:rtl/>
          <w:lang w:eastAsia="en-US"/>
        </w:rPr>
        <w:t>ﰌ  ﰍ ﰎ  ﰏ</w:t>
      </w:r>
      <w:r w:rsidRPr="00E14A40">
        <w:rPr>
          <w:rFonts w:ascii="QCF_BSML" w:hAnsi="QCF_BSML" w:cs="QCF_BSML"/>
          <w:sz w:val="32"/>
          <w:szCs w:val="32"/>
          <w:rtl/>
          <w:lang w:eastAsia="en-US"/>
        </w:rPr>
        <w:t>ﭼ</w:t>
      </w:r>
      <w:r w:rsidRPr="00E14A40">
        <w:rPr>
          <w:rFonts w:ascii="Arial" w:hAnsi="Arial" w:cs="Arial"/>
          <w:sz w:val="18"/>
          <w:szCs w:val="18"/>
          <w:rtl/>
          <w:lang w:eastAsia="en-US"/>
        </w:rPr>
        <w:t xml:space="preserve"> </w:t>
      </w:r>
      <w:r w:rsidRPr="00E14A40">
        <w:rPr>
          <w:rFonts w:ascii="Traditional Arabic" w:hAnsi="Traditional Arabic" w:hint="cs"/>
          <w:sz w:val="28"/>
          <w:szCs w:val="28"/>
          <w:rtl/>
        </w:rPr>
        <w:t>[</w:t>
      </w:r>
      <w:r w:rsidRPr="00E14A40">
        <w:rPr>
          <w:rFonts w:ascii="Traditional Arabic" w:hAnsi="Traditional Arabic"/>
          <w:sz w:val="28"/>
          <w:szCs w:val="28"/>
          <w:rtl/>
        </w:rPr>
        <w:t>سورة الإسراء:49</w:t>
      </w:r>
      <w:r w:rsidRPr="00E14A40">
        <w:rPr>
          <w:rFonts w:ascii="Traditional Arabic" w:hAnsi="Traditional Arabic" w:hint="cs"/>
          <w:sz w:val="28"/>
          <w:szCs w:val="28"/>
          <w:rtl/>
        </w:rPr>
        <w:t>]</w:t>
      </w:r>
      <w:r w:rsidRPr="00E14A40">
        <w:rPr>
          <w:rFonts w:ascii="Traditional Arabic" w:hAnsi="Traditional Arabic"/>
          <w:sz w:val="28"/>
          <w:szCs w:val="28"/>
          <w:rtl/>
        </w:rPr>
        <w:t>.</w:t>
      </w:r>
      <w:r w:rsidRPr="00E14A40">
        <w:rPr>
          <w:vertAlign w:val="superscript"/>
          <w:rtl/>
        </w:rPr>
        <w:t xml:space="preserve"> </w:t>
      </w:r>
      <w:r w:rsidRPr="00E14A40">
        <w:rPr>
          <w:rFonts w:ascii="QCF_BSML" w:hAnsi="QCF_BSML" w:cs="QCF_BSML"/>
          <w:sz w:val="32"/>
          <w:szCs w:val="32"/>
          <w:rtl/>
          <w:lang w:eastAsia="en-US"/>
        </w:rPr>
        <w:t xml:space="preserve">ﭽ </w:t>
      </w:r>
      <w:r w:rsidRPr="00E14A40">
        <w:rPr>
          <w:rFonts w:ascii="QCF_P415" w:hAnsi="QCF_P415" w:cs="QCF_P415"/>
          <w:sz w:val="32"/>
          <w:szCs w:val="32"/>
          <w:rtl/>
          <w:lang w:eastAsia="en-US"/>
        </w:rPr>
        <w:t xml:space="preserve">ﯬ  ﯭ  ﯮ  ﯯ     </w:t>
      </w:r>
      <w:r w:rsidRPr="00E14A40">
        <w:rPr>
          <w:rFonts w:ascii="QCF_BSML" w:hAnsi="QCF_BSML" w:cs="QCF_BSML"/>
          <w:sz w:val="32"/>
          <w:szCs w:val="32"/>
          <w:rtl/>
          <w:lang w:eastAsia="en-US"/>
        </w:rPr>
        <w:t>ﭼ</w:t>
      </w:r>
      <w:r w:rsidRPr="00E14A40">
        <w:rPr>
          <w:rFonts w:ascii="Arial" w:hAnsi="Arial" w:cs="Arial"/>
          <w:sz w:val="18"/>
          <w:szCs w:val="18"/>
          <w:rtl/>
          <w:lang w:eastAsia="en-US"/>
        </w:rPr>
        <w:t xml:space="preserve"> </w:t>
      </w:r>
      <w:r w:rsidRPr="00E14A40">
        <w:rPr>
          <w:rFonts w:ascii="Traditional Arabic" w:hAnsi="Traditional Arabic" w:hint="cs"/>
          <w:sz w:val="28"/>
          <w:szCs w:val="28"/>
          <w:rtl/>
        </w:rPr>
        <w:t>[</w:t>
      </w:r>
      <w:r w:rsidRPr="00E14A40">
        <w:rPr>
          <w:rFonts w:ascii="Traditional Arabic" w:hAnsi="Traditional Arabic"/>
          <w:sz w:val="28"/>
          <w:szCs w:val="28"/>
          <w:rtl/>
        </w:rPr>
        <w:t>السجدة:10</w:t>
      </w:r>
      <w:r w:rsidRPr="00E14A40">
        <w:rPr>
          <w:rFonts w:ascii="Traditional Arabic" w:hAnsi="Traditional Arabic" w:hint="cs"/>
          <w:sz w:val="28"/>
          <w:szCs w:val="28"/>
          <w:rtl/>
        </w:rPr>
        <w:t>]</w:t>
      </w:r>
      <w:r w:rsidRPr="00E14A40">
        <w:rPr>
          <w:rFonts w:ascii="Traditional Arabic" w:hAnsi="Traditional Arabic"/>
          <w:rtl/>
        </w:rPr>
        <w:t xml:space="preserve">، ونحو ذلك ليبطلوا به ما جاء في القرآن من ذِكْر البعث والجزاء. قال أبو عبيدة: ومعنى </w:t>
      </w:r>
      <w:r w:rsidRPr="00E14A40">
        <w:rPr>
          <w:rFonts w:ascii="QCF_BSML" w:hAnsi="QCF_BSML" w:cs="QCF_BSML"/>
          <w:color w:val="auto"/>
          <w:sz w:val="32"/>
          <w:szCs w:val="32"/>
          <w:rtl/>
          <w:lang w:eastAsia="en-US"/>
        </w:rPr>
        <w:t>ﭽ</w:t>
      </w:r>
      <w:r w:rsidRPr="00E14A40">
        <w:rPr>
          <w:rFonts w:ascii="QCF_P300" w:hAnsi="QCF_P300" w:cs="QCF_P300"/>
          <w:color w:val="auto"/>
          <w:sz w:val="32"/>
          <w:szCs w:val="32"/>
          <w:rtl/>
          <w:lang w:eastAsia="en-US"/>
        </w:rPr>
        <w:t xml:space="preserve"> ﮀ</w:t>
      </w:r>
      <w:r w:rsidRPr="00E14A40">
        <w:rPr>
          <w:rFonts w:ascii="QCF_BSML" w:hAnsi="QCF_BSML" w:cs="QCF_BSML"/>
          <w:color w:val="auto"/>
          <w:sz w:val="32"/>
          <w:szCs w:val="32"/>
          <w:rtl/>
          <w:lang w:eastAsia="en-US"/>
        </w:rPr>
        <w:t xml:space="preserve"> ﭼ</w:t>
      </w:r>
      <w:r w:rsidRPr="00E14A40">
        <w:rPr>
          <w:rFonts w:ascii="Traditional Arabic" w:hAnsi="Traditional Arabic"/>
          <w:rtl/>
        </w:rPr>
        <w:t>: ليُزِيلوا ويذهبوا، يقال: مكان دَحْض، أي: مَزَلٌّ لا يثبت فيه قدم ولا حافر</w:t>
      </w:r>
      <w:r w:rsidRPr="00E14A40">
        <w:rPr>
          <w:vertAlign w:val="superscript"/>
          <w:rtl/>
        </w:rPr>
        <w:t>(</w:t>
      </w:r>
      <w:r w:rsidRPr="00E14A40">
        <w:rPr>
          <w:vertAlign w:val="superscript"/>
          <w:rtl/>
        </w:rPr>
        <w:footnoteReference w:id="1546"/>
      </w:r>
      <w:r w:rsidRPr="00E14A40">
        <w:rPr>
          <w:vertAlign w:val="superscript"/>
          <w:rtl/>
        </w:rPr>
        <w:t>)</w:t>
      </w:r>
      <w:r w:rsidRPr="00E14A40">
        <w:rPr>
          <w:rFonts w:ascii="Traditional Arabic" w:hAnsi="Traditional Arabic"/>
          <w:rtl/>
        </w:rPr>
        <w:t xml:space="preserve">. </w:t>
      </w:r>
    </w:p>
    <w:p w:rsidR="00E14A40" w:rsidRPr="00E14A40" w:rsidRDefault="00E14A40" w:rsidP="00225EA4">
      <w:pPr>
        <w:ind w:firstLine="0"/>
        <w:rPr>
          <w:rFonts w:ascii="Traditional Arabic" w:hAnsi="Traditional Arabic"/>
          <w:rtl/>
        </w:rPr>
      </w:pPr>
      <w:r w:rsidRPr="00E14A40">
        <w:rPr>
          <w:rFonts w:ascii="Traditional Arabic" w:hAnsi="Traditional Arabic"/>
          <w:rtl/>
        </w:rPr>
        <w:t>قوله تعالى:</w:t>
      </w:r>
      <w:r w:rsidRPr="00E14A40">
        <w:rPr>
          <w:rFonts w:ascii="Traditional Arabic" w:hAnsi="Traditional Arabic" w:hint="cs"/>
          <w:rtl/>
        </w:rPr>
        <w:t xml:space="preserve"> </w:t>
      </w:r>
      <w:r w:rsidRPr="00E14A40">
        <w:rPr>
          <w:rFonts w:ascii="QCF_BSML" w:hAnsi="QCF_BSML" w:cs="QCF_BSML"/>
          <w:color w:val="auto"/>
          <w:sz w:val="32"/>
          <w:szCs w:val="32"/>
          <w:rtl/>
          <w:lang w:eastAsia="en-US"/>
        </w:rPr>
        <w:t>ﭽ</w:t>
      </w:r>
      <w:r w:rsidRPr="00E14A40">
        <w:rPr>
          <w:rFonts w:ascii="QCF_P300" w:hAnsi="QCF_P300" w:cs="QCF_P300"/>
          <w:color w:val="auto"/>
          <w:sz w:val="32"/>
          <w:szCs w:val="32"/>
          <w:rtl/>
          <w:lang w:eastAsia="en-US"/>
        </w:rPr>
        <w:t xml:space="preserve"> ﮄ  ﮅ</w:t>
      </w:r>
      <w:r w:rsidRPr="00E14A40">
        <w:rPr>
          <w:rFonts w:ascii="QCF_BSML" w:hAnsi="QCF_BSML" w:cs="QCF_BSML"/>
          <w:color w:val="auto"/>
          <w:sz w:val="32"/>
          <w:szCs w:val="32"/>
          <w:rtl/>
          <w:lang w:eastAsia="en-US"/>
        </w:rPr>
        <w:t xml:space="preserve"> ﭼ</w:t>
      </w:r>
      <w:r w:rsidRPr="00E14A40">
        <w:rPr>
          <w:rFonts w:ascii="Traditional Arabic" w:hAnsi="Traditional Arabic"/>
          <w:rtl/>
        </w:rPr>
        <w:t xml:space="preserve"> يعني القرآن. </w:t>
      </w:r>
      <w:r w:rsidRPr="00E14A40">
        <w:rPr>
          <w:rFonts w:ascii="QCF_BSML" w:hAnsi="QCF_BSML" w:cs="QCF_BSML"/>
          <w:color w:val="auto"/>
          <w:sz w:val="32"/>
          <w:szCs w:val="32"/>
          <w:rtl/>
          <w:lang w:eastAsia="en-US"/>
        </w:rPr>
        <w:t>ﭽ</w:t>
      </w:r>
      <w:r w:rsidRPr="00E14A40">
        <w:rPr>
          <w:rFonts w:ascii="QCF_P300" w:hAnsi="QCF_P300" w:cs="QCF_P300"/>
          <w:color w:val="auto"/>
          <w:sz w:val="32"/>
          <w:szCs w:val="32"/>
          <w:rtl/>
          <w:lang w:eastAsia="en-US"/>
        </w:rPr>
        <w:t xml:space="preserve"> ﮆ  ﮇ</w:t>
      </w:r>
      <w:r w:rsidRPr="00E14A40">
        <w:rPr>
          <w:rFonts w:ascii="QCF_BSML" w:hAnsi="QCF_BSML" w:cs="QCF_BSML"/>
          <w:color w:val="auto"/>
          <w:sz w:val="32"/>
          <w:szCs w:val="32"/>
          <w:rtl/>
          <w:lang w:eastAsia="en-US"/>
        </w:rPr>
        <w:t>ﭼ</w:t>
      </w:r>
      <w:r w:rsidRPr="00E14A40">
        <w:rPr>
          <w:rFonts w:ascii="Traditional Arabic" w:hAnsi="Traditional Arabic"/>
          <w:rtl/>
        </w:rPr>
        <w:t xml:space="preserve"> أي: خُوِّفوا به من النار والقيامة </w:t>
      </w:r>
      <w:r w:rsidRPr="00E14A40">
        <w:rPr>
          <w:rFonts w:ascii="QCF_BSML" w:hAnsi="QCF_BSML" w:cs="QCF_BSML"/>
          <w:color w:val="auto"/>
          <w:sz w:val="32"/>
          <w:szCs w:val="32"/>
          <w:rtl/>
          <w:lang w:eastAsia="en-US"/>
        </w:rPr>
        <w:t>ﭽ</w:t>
      </w:r>
      <w:r w:rsidRPr="00E14A40">
        <w:rPr>
          <w:rFonts w:ascii="QCF_P300" w:hAnsi="QCF_P300" w:cs="QCF_P300"/>
          <w:color w:val="auto"/>
          <w:sz w:val="32"/>
          <w:szCs w:val="32"/>
          <w:rtl/>
          <w:lang w:eastAsia="en-US"/>
        </w:rPr>
        <w:t>ﮈ</w:t>
      </w:r>
      <w:r w:rsidRPr="00E14A40">
        <w:rPr>
          <w:rFonts w:ascii="QCF_BSML" w:hAnsi="QCF_BSML" w:cs="QCF_BSML"/>
          <w:color w:val="auto"/>
          <w:sz w:val="32"/>
          <w:szCs w:val="32"/>
          <w:rtl/>
          <w:lang w:eastAsia="en-US"/>
        </w:rPr>
        <w:t xml:space="preserve"> ﭼ</w:t>
      </w:r>
      <w:r w:rsidRPr="00E14A40">
        <w:rPr>
          <w:rFonts w:ascii="Traditional Arabic" w:hAnsi="Traditional Arabic"/>
          <w:rtl/>
        </w:rPr>
        <w:t xml:space="preserve"> أي: مهزوءاً به</w:t>
      </w:r>
      <w:r w:rsidRPr="00E14A40">
        <w:rPr>
          <w:vertAlign w:val="superscript"/>
          <w:rtl/>
        </w:rPr>
        <w:t>(</w:t>
      </w:r>
      <w:r w:rsidRPr="00E14A40">
        <w:rPr>
          <w:vertAlign w:val="superscript"/>
          <w:rtl/>
        </w:rPr>
        <w:footnoteReference w:id="1547"/>
      </w:r>
      <w:r w:rsidRPr="00E14A40">
        <w:rPr>
          <w:vertAlign w:val="superscript"/>
          <w:rtl/>
        </w:rPr>
        <w:t>)</w:t>
      </w:r>
      <w:r w:rsidRPr="00E14A40">
        <w:rPr>
          <w:rFonts w:ascii="Traditional Arabic" w:hAnsi="Traditional Arabic"/>
          <w:rtl/>
        </w:rPr>
        <w:t>.</w:t>
      </w:r>
      <w:r w:rsidRPr="00E14A40">
        <w:rPr>
          <w:rFonts w:ascii="Traditional Arabic" w:hAnsi="Traditional Arabic" w:hint="cs"/>
          <w:rtl/>
        </w:rPr>
        <w:t xml:space="preserve"> </w:t>
      </w:r>
      <w:r w:rsidRPr="00E14A40">
        <w:rPr>
          <w:rFonts w:ascii="QCF_P300" w:hAnsi="QCF_P300" w:cs="QCF_P300"/>
          <w:color w:val="auto"/>
          <w:sz w:val="32"/>
          <w:szCs w:val="32"/>
          <w:rtl/>
          <w:lang w:eastAsia="en-US"/>
        </w:rPr>
        <w:t xml:space="preserve">  </w:t>
      </w:r>
      <w:r w:rsidRPr="00E14A40">
        <w:rPr>
          <w:rFonts w:ascii="Traditional Arabic" w:hAnsi="Traditional Arabic"/>
          <w:rtl/>
        </w:rPr>
        <w:t>قوله تعالى:</w:t>
      </w:r>
      <w:r w:rsidRPr="00E14A40">
        <w:rPr>
          <w:rFonts w:ascii="QCF_BSML" w:hAnsi="QCF_BSML" w:cs="QCF_BSML"/>
          <w:color w:val="auto"/>
          <w:sz w:val="32"/>
          <w:szCs w:val="32"/>
          <w:rtl/>
          <w:lang w:eastAsia="en-US"/>
        </w:rPr>
        <w:t xml:space="preserve"> ﭽ</w:t>
      </w:r>
      <w:r w:rsidRPr="00E14A40">
        <w:rPr>
          <w:rFonts w:ascii="QCF_P300" w:hAnsi="QCF_P300" w:cs="QCF_P300"/>
          <w:color w:val="auto"/>
          <w:sz w:val="32"/>
          <w:szCs w:val="32"/>
          <w:rtl/>
          <w:lang w:eastAsia="en-US"/>
        </w:rPr>
        <w:t>ﮊ   ﮋ</w:t>
      </w:r>
      <w:r w:rsidRPr="00E14A40">
        <w:rPr>
          <w:rFonts w:ascii="QCF_BSML" w:hAnsi="QCF_BSML" w:cs="QCF_BSML"/>
          <w:color w:val="auto"/>
          <w:sz w:val="32"/>
          <w:szCs w:val="32"/>
          <w:rtl/>
          <w:lang w:eastAsia="en-US"/>
        </w:rPr>
        <w:t xml:space="preserve"> ﭼ</w:t>
      </w:r>
      <w:r w:rsidRPr="00E14A40">
        <w:rPr>
          <w:rFonts w:ascii="Traditional Arabic" w:hAnsi="Traditional Arabic"/>
          <w:rtl/>
        </w:rPr>
        <w:t xml:space="preserve"> قد شرحنا هذه الكلمة في البقرة</w:t>
      </w:r>
      <w:r w:rsidRPr="00E14A40">
        <w:rPr>
          <w:vertAlign w:val="superscript"/>
          <w:rtl/>
        </w:rPr>
        <w:t>(</w:t>
      </w:r>
      <w:r w:rsidRPr="00E14A40">
        <w:rPr>
          <w:vertAlign w:val="superscript"/>
          <w:rtl/>
        </w:rPr>
        <w:footnoteReference w:id="1548"/>
      </w:r>
      <w:r w:rsidRPr="00E14A40">
        <w:rPr>
          <w:vertAlign w:val="superscript"/>
          <w:rtl/>
        </w:rPr>
        <w:t>)</w:t>
      </w:r>
      <w:r w:rsidRPr="00E14A40">
        <w:rPr>
          <w:rFonts w:ascii="Traditional Arabic" w:hAnsi="Traditional Arabic" w:hint="cs"/>
          <w:rtl/>
        </w:rPr>
        <w:t xml:space="preserve">. </w:t>
      </w:r>
      <w:r w:rsidRPr="00E14A40">
        <w:rPr>
          <w:rFonts w:ascii="Traditional Arabic" w:hAnsi="Traditional Arabic"/>
          <w:rtl/>
        </w:rPr>
        <w:lastRenderedPageBreak/>
        <w:t>و</w:t>
      </w:r>
      <w:r w:rsidRPr="00E14A40">
        <w:rPr>
          <w:rFonts w:ascii="QCF_BSML" w:hAnsi="QCF_BSML" w:cs="QCF_BSML"/>
          <w:color w:val="auto"/>
          <w:sz w:val="32"/>
          <w:szCs w:val="32"/>
          <w:rtl/>
          <w:lang w:eastAsia="en-US"/>
        </w:rPr>
        <w:t>ﭽ</w:t>
      </w:r>
      <w:r w:rsidRPr="00E14A40">
        <w:rPr>
          <w:rFonts w:ascii="QCF_P300" w:hAnsi="QCF_P300" w:cs="QCF_P300"/>
          <w:color w:val="auto"/>
          <w:sz w:val="32"/>
          <w:szCs w:val="32"/>
          <w:rtl/>
          <w:lang w:eastAsia="en-US"/>
        </w:rPr>
        <w:t>ﮍ</w:t>
      </w:r>
      <w:r w:rsidRPr="00E14A40">
        <w:rPr>
          <w:rFonts w:ascii="QCF_BSML" w:hAnsi="QCF_BSML" w:cs="QCF_BSML"/>
          <w:color w:val="auto"/>
          <w:sz w:val="32"/>
          <w:szCs w:val="32"/>
          <w:rtl/>
          <w:lang w:eastAsia="en-US"/>
        </w:rPr>
        <w:t>ﭼ</w:t>
      </w:r>
      <w:r w:rsidRPr="00E14A40">
        <w:rPr>
          <w:rFonts w:ascii="Traditional Arabic" w:hAnsi="Traditional Arabic"/>
          <w:rtl/>
        </w:rPr>
        <w:t xml:space="preserve"> بمعنى: وُعِظ. وآياتُ ربِّه:</w:t>
      </w:r>
      <w:r w:rsidRPr="00E14A40">
        <w:rPr>
          <w:rFonts w:ascii="Traditional Arabic" w:hAnsi="Traditional Arabic" w:hint="cs"/>
          <w:rtl/>
        </w:rPr>
        <w:t xml:space="preserve"> </w:t>
      </w:r>
      <w:r w:rsidRPr="00E14A40">
        <w:rPr>
          <w:rFonts w:ascii="Traditional Arabic" w:hAnsi="Traditional Arabic"/>
          <w:rtl/>
        </w:rPr>
        <w:t xml:space="preserve">القرآن، وإِعراضُه عنها: تهاونُه بها. </w:t>
      </w:r>
      <w:r w:rsidRPr="00E14A40">
        <w:rPr>
          <w:rFonts w:ascii="QCF_BSML" w:hAnsi="QCF_BSML" w:cs="QCF_BSML"/>
          <w:color w:val="auto"/>
          <w:sz w:val="32"/>
          <w:szCs w:val="32"/>
          <w:rtl/>
          <w:lang w:eastAsia="en-US"/>
        </w:rPr>
        <w:t>ﭽ</w:t>
      </w:r>
      <w:r w:rsidRPr="00E14A40">
        <w:rPr>
          <w:rFonts w:ascii="QCF_P300" w:hAnsi="QCF_P300" w:cs="QCF_P300"/>
          <w:color w:val="auto"/>
          <w:sz w:val="32"/>
          <w:szCs w:val="32"/>
          <w:rtl/>
          <w:lang w:eastAsia="en-US"/>
        </w:rPr>
        <w:t xml:space="preserve"> ﮒ  ﮓ  ﮔ  ﮕ</w:t>
      </w:r>
      <w:r w:rsidRPr="00E14A40">
        <w:rPr>
          <w:rFonts w:ascii="QCF_BSML" w:hAnsi="QCF_BSML" w:cs="QCF_BSML"/>
          <w:color w:val="auto"/>
          <w:sz w:val="32"/>
          <w:szCs w:val="32"/>
          <w:rtl/>
          <w:lang w:eastAsia="en-US"/>
        </w:rPr>
        <w:t>ﭼ</w:t>
      </w:r>
      <w:r w:rsidRPr="00E14A40">
        <w:rPr>
          <w:rFonts w:ascii="Traditional Arabic" w:hAnsi="Traditional Arabic"/>
          <w:rtl/>
        </w:rPr>
        <w:t xml:space="preserve"> أي: ما سلف من ذنوبه</w:t>
      </w:r>
      <w:r w:rsidRPr="00E14A40">
        <w:rPr>
          <w:vertAlign w:val="superscript"/>
          <w:rtl/>
        </w:rPr>
        <w:t>(</w:t>
      </w:r>
      <w:r w:rsidRPr="00E14A40">
        <w:rPr>
          <w:vertAlign w:val="superscript"/>
          <w:rtl/>
        </w:rPr>
        <w:footnoteReference w:id="1549"/>
      </w:r>
      <w:r w:rsidRPr="00E14A40">
        <w:rPr>
          <w:vertAlign w:val="superscript"/>
          <w:rtl/>
        </w:rPr>
        <w:t>)</w:t>
      </w:r>
      <w:r w:rsidRPr="00E14A40">
        <w:rPr>
          <w:rFonts w:ascii="Traditional Arabic" w:hAnsi="Traditional Arabic" w:hint="cs"/>
          <w:rtl/>
        </w:rPr>
        <w:t>,</w:t>
      </w:r>
      <w:r w:rsidRPr="00E14A40">
        <w:rPr>
          <w:rFonts w:ascii="Traditional Arabic" w:hAnsi="Traditional Arabic"/>
          <w:rtl/>
        </w:rPr>
        <w:t xml:space="preserve"> وقد شرحنا ما بعد هذا في الأنعام</w:t>
      </w:r>
      <w:r w:rsidRPr="00E14A40">
        <w:rPr>
          <w:vertAlign w:val="superscript"/>
          <w:rtl/>
        </w:rPr>
        <w:t>(</w:t>
      </w:r>
      <w:r w:rsidRPr="00E14A40">
        <w:rPr>
          <w:vertAlign w:val="superscript"/>
          <w:rtl/>
        </w:rPr>
        <w:footnoteReference w:id="1550"/>
      </w:r>
      <w:r w:rsidRPr="00E14A40">
        <w:rPr>
          <w:vertAlign w:val="superscript"/>
          <w:rtl/>
        </w:rPr>
        <w:t>)</w:t>
      </w:r>
      <w:r w:rsidRPr="00E14A40">
        <w:rPr>
          <w:rFonts w:ascii="Traditional Arabic" w:hAnsi="Traditional Arabic"/>
          <w:rtl/>
        </w:rPr>
        <w:t xml:space="preserve">إِلى قوله: </w:t>
      </w:r>
      <w:r w:rsidRPr="00E14A40">
        <w:rPr>
          <w:rFonts w:ascii="QCF_BSML" w:hAnsi="QCF_BSML" w:cs="QCF_BSML"/>
          <w:color w:val="auto"/>
          <w:sz w:val="32"/>
          <w:szCs w:val="32"/>
          <w:rtl/>
          <w:lang w:eastAsia="en-US"/>
        </w:rPr>
        <w:t>ﭽ</w:t>
      </w:r>
      <w:r w:rsidRPr="00E14A40">
        <w:rPr>
          <w:rFonts w:ascii="QCF_P300" w:hAnsi="QCF_P300" w:cs="QCF_P300"/>
          <w:color w:val="auto"/>
          <w:sz w:val="32"/>
          <w:szCs w:val="32"/>
          <w:rtl/>
          <w:lang w:eastAsia="en-US"/>
        </w:rPr>
        <w:t xml:space="preserve"> ﮢ  ﮣ  ﮤ  ﮥ</w:t>
      </w:r>
      <w:r w:rsidRPr="00E14A40">
        <w:rPr>
          <w:rFonts w:ascii="QCF_P300" w:hAnsi="QCF_P300" w:cs="QCF_P300" w:hint="cs"/>
          <w:color w:val="auto"/>
          <w:sz w:val="32"/>
          <w:szCs w:val="32"/>
          <w:rtl/>
          <w:lang w:eastAsia="en-US"/>
        </w:rPr>
        <w:t xml:space="preserve"> </w:t>
      </w:r>
      <w:r w:rsidRPr="00E14A40">
        <w:rPr>
          <w:rFonts w:ascii="QCF_BSML" w:hAnsi="QCF_BSML" w:cs="QCF_BSML"/>
          <w:color w:val="auto"/>
          <w:sz w:val="32"/>
          <w:szCs w:val="32"/>
          <w:rtl/>
          <w:lang w:eastAsia="en-US"/>
        </w:rPr>
        <w:t>ﭼ</w:t>
      </w:r>
      <w:r w:rsidRPr="00E14A40">
        <w:rPr>
          <w:rFonts w:ascii="Traditional Arabic" w:hAnsi="Traditional Arabic"/>
          <w:rtl/>
        </w:rPr>
        <w:t xml:space="preserve"> وهو: الإِيمان والقرآن </w:t>
      </w:r>
      <w:r w:rsidRPr="00E14A40">
        <w:rPr>
          <w:rFonts w:ascii="QCF_BSML" w:hAnsi="QCF_BSML" w:cs="QCF_BSML"/>
          <w:color w:val="auto"/>
          <w:sz w:val="32"/>
          <w:szCs w:val="32"/>
          <w:rtl/>
          <w:lang w:eastAsia="en-US"/>
        </w:rPr>
        <w:t>ﭽ</w:t>
      </w:r>
      <w:r w:rsidRPr="00E14A40">
        <w:rPr>
          <w:rFonts w:ascii="QCF_P300" w:hAnsi="QCF_P300" w:cs="QCF_P300"/>
          <w:color w:val="auto"/>
          <w:sz w:val="32"/>
          <w:szCs w:val="32"/>
          <w:rtl/>
          <w:lang w:eastAsia="en-US"/>
        </w:rPr>
        <w:t>ﮦ  ﮧ</w:t>
      </w:r>
      <w:r w:rsidRPr="00E14A40">
        <w:rPr>
          <w:rFonts w:ascii="QCF_BSML" w:hAnsi="QCF_BSML" w:cs="QCF_BSML"/>
          <w:color w:val="auto"/>
          <w:sz w:val="32"/>
          <w:szCs w:val="32"/>
          <w:rtl/>
          <w:lang w:eastAsia="en-US"/>
        </w:rPr>
        <w:t>ﭼ</w:t>
      </w:r>
      <w:r w:rsidRPr="00E14A40">
        <w:rPr>
          <w:rFonts w:ascii="Traditional Arabic" w:hAnsi="Traditional Arabic"/>
          <w:rtl/>
        </w:rPr>
        <w:t xml:space="preserve"> هذا إِخبار عن عِلْمه فيهم. </w:t>
      </w:r>
    </w:p>
    <w:p w:rsidR="00E14A40" w:rsidRPr="00E14A40" w:rsidRDefault="00E14A40" w:rsidP="00E14A40">
      <w:pPr>
        <w:ind w:firstLine="0"/>
        <w:rPr>
          <w:rFonts w:ascii="Traditional Arabic" w:hAnsi="Traditional Arabic"/>
          <w:rtl/>
        </w:rPr>
      </w:pPr>
      <w:r w:rsidRPr="00E14A40">
        <w:rPr>
          <w:rFonts w:ascii="Traditional Arabic" w:hAnsi="Traditional Arabic"/>
          <w:rtl/>
        </w:rPr>
        <w:t xml:space="preserve">قوله تعالى: </w:t>
      </w:r>
      <w:r w:rsidRPr="00E14A40">
        <w:rPr>
          <w:rFonts w:ascii="QCF_BSML" w:hAnsi="QCF_BSML" w:cs="QCF_BSML"/>
          <w:color w:val="auto"/>
          <w:sz w:val="32"/>
          <w:szCs w:val="32"/>
          <w:rtl/>
          <w:lang w:eastAsia="en-US"/>
        </w:rPr>
        <w:t>ﭽ</w:t>
      </w:r>
      <w:r w:rsidRPr="00E14A40">
        <w:rPr>
          <w:rFonts w:ascii="QCF_P300" w:hAnsi="QCF_P300" w:cs="QCF_P300"/>
          <w:color w:val="auto"/>
          <w:sz w:val="32"/>
          <w:szCs w:val="32"/>
          <w:rtl/>
          <w:lang w:eastAsia="en-US"/>
        </w:rPr>
        <w:t xml:space="preserve">ﮬ  ﮭ  ﮮﮯ  </w:t>
      </w:r>
      <w:r w:rsidRPr="00E14A40">
        <w:rPr>
          <w:rFonts w:ascii="QCF_BSML" w:hAnsi="QCF_BSML" w:cs="QCF_BSML"/>
          <w:color w:val="auto"/>
          <w:sz w:val="32"/>
          <w:szCs w:val="32"/>
          <w:rtl/>
          <w:lang w:eastAsia="en-US"/>
        </w:rPr>
        <w:t>ﭼ</w:t>
      </w:r>
      <w:r w:rsidRPr="00E14A40">
        <w:rPr>
          <w:rFonts w:ascii="Traditional Arabic" w:hAnsi="Traditional Arabic"/>
          <w:rtl/>
        </w:rPr>
        <w:t xml:space="preserve"> إِذ لم يعاجلهم بالعقوبة. </w:t>
      </w:r>
      <w:r w:rsidRPr="00E14A40">
        <w:rPr>
          <w:rFonts w:ascii="QCF_BSML" w:hAnsi="QCF_BSML" w:cs="QCF_BSML"/>
          <w:color w:val="auto"/>
          <w:sz w:val="32"/>
          <w:szCs w:val="32"/>
          <w:rtl/>
          <w:lang w:eastAsia="en-US"/>
        </w:rPr>
        <w:t>ﭽ</w:t>
      </w:r>
      <w:r w:rsidRPr="00E14A40">
        <w:rPr>
          <w:rFonts w:ascii="QCF_P300" w:hAnsi="QCF_P300" w:cs="QCF_P300"/>
          <w:color w:val="auto"/>
          <w:sz w:val="32"/>
          <w:szCs w:val="32"/>
          <w:rtl/>
          <w:lang w:eastAsia="en-US"/>
        </w:rPr>
        <w:t xml:space="preserve"> ﯙ  ﯚ  ﯛ</w:t>
      </w:r>
      <w:r w:rsidRPr="00E14A40">
        <w:rPr>
          <w:rFonts w:ascii="QCF_BSML" w:hAnsi="QCF_BSML" w:cs="QCF_BSML"/>
          <w:color w:val="auto"/>
          <w:sz w:val="32"/>
          <w:szCs w:val="32"/>
          <w:rtl/>
          <w:lang w:eastAsia="en-US"/>
        </w:rPr>
        <w:t>ﭼ</w:t>
      </w:r>
      <w:r w:rsidRPr="00E14A40">
        <w:rPr>
          <w:rFonts w:ascii="QCF_P300" w:hAnsi="QCF_P300" w:cs="QCF_P300"/>
          <w:color w:val="auto"/>
          <w:sz w:val="32"/>
          <w:szCs w:val="32"/>
          <w:rtl/>
          <w:lang w:eastAsia="en-US"/>
        </w:rPr>
        <w:t xml:space="preserve">  </w:t>
      </w:r>
      <w:r w:rsidRPr="00E14A40">
        <w:rPr>
          <w:rFonts w:ascii="Traditional Arabic" w:hAnsi="Traditional Arabic"/>
          <w:rtl/>
        </w:rPr>
        <w:t>للبعث والجزاء</w:t>
      </w:r>
      <w:r w:rsidRPr="00E14A40">
        <w:rPr>
          <w:vertAlign w:val="superscript"/>
          <w:rtl/>
        </w:rPr>
        <w:t>(</w:t>
      </w:r>
      <w:r w:rsidRPr="00E14A40">
        <w:rPr>
          <w:vertAlign w:val="superscript"/>
          <w:rtl/>
        </w:rPr>
        <w:footnoteReference w:id="1551"/>
      </w:r>
      <w:r w:rsidRPr="00E14A40">
        <w:rPr>
          <w:vertAlign w:val="superscript"/>
          <w:rtl/>
        </w:rPr>
        <w:t>)</w:t>
      </w:r>
      <w:r w:rsidRPr="00E14A40">
        <w:rPr>
          <w:rFonts w:ascii="Traditional Arabic" w:hAnsi="Traditional Arabic" w:hint="cs"/>
          <w:rtl/>
        </w:rPr>
        <w:t>.</w:t>
      </w:r>
      <w:r w:rsidRPr="00E14A40">
        <w:rPr>
          <w:rFonts w:ascii="Traditional Arabic" w:hAnsi="Traditional Arabic"/>
          <w:rtl/>
        </w:rPr>
        <w:t xml:space="preserve"> </w:t>
      </w:r>
      <w:r w:rsidRPr="00E14A40">
        <w:rPr>
          <w:rFonts w:ascii="QCF_BSML" w:hAnsi="QCF_BSML" w:cs="QCF_BSML"/>
          <w:color w:val="auto"/>
          <w:sz w:val="32"/>
          <w:szCs w:val="32"/>
          <w:rtl/>
          <w:lang w:eastAsia="en-US"/>
        </w:rPr>
        <w:t>ﭽ</w:t>
      </w:r>
      <w:r w:rsidRPr="00E14A40">
        <w:rPr>
          <w:rFonts w:ascii="QCF_P300" w:hAnsi="QCF_P300" w:cs="QCF_P300"/>
          <w:color w:val="auto"/>
          <w:sz w:val="32"/>
          <w:szCs w:val="32"/>
          <w:rtl/>
          <w:lang w:eastAsia="en-US"/>
        </w:rPr>
        <w:t xml:space="preserve"> ﯜ  ﯝ  ﯞ  ﯟ  ﯠ</w:t>
      </w:r>
      <w:r w:rsidRPr="00E14A40">
        <w:rPr>
          <w:rFonts w:ascii="QCF_BSML" w:hAnsi="QCF_BSML" w:cs="QCF_BSML"/>
          <w:color w:val="auto"/>
          <w:sz w:val="32"/>
          <w:szCs w:val="32"/>
          <w:rtl/>
          <w:lang w:eastAsia="en-US"/>
        </w:rPr>
        <w:t>ﭼ</w:t>
      </w:r>
      <w:r w:rsidRPr="00E14A40">
        <w:rPr>
          <w:rFonts w:ascii="Traditional Arabic" w:hAnsi="Traditional Arabic"/>
          <w:rtl/>
        </w:rPr>
        <w:t xml:space="preserve"> قال الفراء: الموئل: المنجى، وهو الملجأ في المعنى، لأن المنجى ملجأٌ، والعرب تقول: إِنه لَيُوائل إِلى موضعه، أي: يذهب إِلى موضعه، قال الشاعر:</w:t>
      </w:r>
    </w:p>
    <w:p w:rsidR="00E14A40" w:rsidRPr="00E14A40" w:rsidRDefault="00E14A40" w:rsidP="00E14A40">
      <w:pPr>
        <w:ind w:firstLine="0"/>
        <w:rPr>
          <w:rFonts w:ascii="Traditional Arabic" w:hAnsi="Traditional Arabic"/>
          <w:rtl/>
        </w:rPr>
      </w:pPr>
      <w:r w:rsidRPr="00E14A40">
        <w:rPr>
          <w:rFonts w:ascii="Traditional Arabic" w:hAnsi="Traditional Arabic"/>
          <w:rtl/>
        </w:rPr>
        <w:t>لَا وَاءَلَتْ نَفْسُكَ خَلَّيْتَها ... للعامِرِيّيْن، وَلمْ تُكْلَمِ</w:t>
      </w:r>
      <w:r w:rsidRPr="00E14A40">
        <w:rPr>
          <w:vertAlign w:val="superscript"/>
          <w:rtl/>
        </w:rPr>
        <w:t>(</w:t>
      </w:r>
      <w:r w:rsidRPr="00E14A40">
        <w:rPr>
          <w:vertAlign w:val="superscript"/>
          <w:rtl/>
        </w:rPr>
        <w:footnoteReference w:id="1552"/>
      </w:r>
      <w:r w:rsidRPr="00E14A40">
        <w:rPr>
          <w:vertAlign w:val="superscript"/>
          <w:rtl/>
        </w:rPr>
        <w:t>)</w:t>
      </w:r>
    </w:p>
    <w:p w:rsidR="00E14A40" w:rsidRPr="00E14A40" w:rsidRDefault="00E14A40" w:rsidP="00E14A40">
      <w:pPr>
        <w:ind w:firstLine="0"/>
        <w:rPr>
          <w:rFonts w:ascii="Traditional Arabic" w:hAnsi="Traditional Arabic"/>
          <w:rtl/>
        </w:rPr>
      </w:pPr>
      <w:r w:rsidRPr="00E14A40">
        <w:rPr>
          <w:rFonts w:ascii="Traditional Arabic" w:hAnsi="Traditional Arabic"/>
          <w:rtl/>
        </w:rPr>
        <w:t>يريد: لا نجت نفسك، وأنشد أبو عبيدة للأعشى:</w:t>
      </w:r>
    </w:p>
    <w:p w:rsidR="00E14A40" w:rsidRPr="00E14A40" w:rsidRDefault="00E14A40" w:rsidP="00E14A40">
      <w:pPr>
        <w:ind w:firstLine="0"/>
        <w:rPr>
          <w:rFonts w:ascii="Traditional Arabic" w:hAnsi="Traditional Arabic"/>
          <w:rtl/>
        </w:rPr>
      </w:pPr>
      <w:r w:rsidRPr="00E14A40">
        <w:rPr>
          <w:rFonts w:ascii="Traditional Arabic" w:hAnsi="Traditional Arabic"/>
          <w:rtl/>
        </w:rPr>
        <w:t>وَقَدْ أُخالِسُ</w:t>
      </w:r>
      <w:r w:rsidRPr="00E14A40">
        <w:rPr>
          <w:vertAlign w:val="superscript"/>
          <w:rtl/>
        </w:rPr>
        <w:t>(</w:t>
      </w:r>
      <w:r w:rsidRPr="00E14A40">
        <w:rPr>
          <w:vertAlign w:val="superscript"/>
          <w:rtl/>
        </w:rPr>
        <w:footnoteReference w:id="1553"/>
      </w:r>
      <w:r w:rsidRPr="00E14A40">
        <w:rPr>
          <w:vertAlign w:val="superscript"/>
          <w:rtl/>
        </w:rPr>
        <w:t>)</w:t>
      </w:r>
      <w:r w:rsidRPr="00E14A40">
        <w:rPr>
          <w:rFonts w:ascii="Traditional Arabic" w:hAnsi="Traditional Arabic"/>
          <w:rtl/>
        </w:rPr>
        <w:t>رَبَّ البَيْتِ غَفْلَتَهُ ... وقَدْ يُحاذِرُ مِنِّي ث</w:t>
      </w:r>
      <w:r w:rsidRPr="00E14A40">
        <w:rPr>
          <w:rFonts w:ascii="Traditional Arabic" w:hAnsi="Traditional Arabic" w:hint="cs"/>
          <w:rtl/>
        </w:rPr>
        <w:t>ُ</w:t>
      </w:r>
      <w:r w:rsidRPr="00E14A40">
        <w:rPr>
          <w:rFonts w:ascii="Traditional Arabic" w:hAnsi="Traditional Arabic"/>
          <w:rtl/>
        </w:rPr>
        <w:t>م</w:t>
      </w:r>
      <w:r w:rsidRPr="00E14A40">
        <w:rPr>
          <w:rFonts w:ascii="Traditional Arabic" w:hAnsi="Traditional Arabic" w:hint="cs"/>
          <w:rtl/>
        </w:rPr>
        <w:t>َ</w:t>
      </w:r>
      <w:r w:rsidRPr="00E14A40">
        <w:rPr>
          <w:rFonts w:ascii="Traditional Arabic" w:hAnsi="Traditional Arabic"/>
          <w:rtl/>
        </w:rPr>
        <w:t>ّ ما ي</w:t>
      </w:r>
      <w:r w:rsidRPr="00E14A40">
        <w:rPr>
          <w:rFonts w:ascii="Traditional Arabic" w:hAnsi="Traditional Arabic" w:hint="cs"/>
          <w:rtl/>
        </w:rPr>
        <w:t>َ</w:t>
      </w:r>
      <w:r w:rsidRPr="00E14A40">
        <w:rPr>
          <w:rFonts w:ascii="Traditional Arabic" w:hAnsi="Traditional Arabic"/>
          <w:rtl/>
        </w:rPr>
        <w:t>ئ</w:t>
      </w:r>
      <w:r w:rsidRPr="00E14A40">
        <w:rPr>
          <w:rFonts w:ascii="Traditional Arabic" w:hAnsi="Traditional Arabic" w:hint="cs"/>
          <w:rtl/>
        </w:rPr>
        <w:t>ِ</w:t>
      </w:r>
      <w:r w:rsidRPr="00E14A40">
        <w:rPr>
          <w:rFonts w:ascii="Traditional Arabic" w:hAnsi="Traditional Arabic"/>
          <w:rtl/>
        </w:rPr>
        <w:t>ل</w:t>
      </w:r>
      <w:r w:rsidRPr="00E14A40">
        <w:rPr>
          <w:rFonts w:ascii="Traditional Arabic" w:hAnsi="Traditional Arabic" w:hint="cs"/>
          <w:rtl/>
        </w:rPr>
        <w:t>ُ</w:t>
      </w:r>
      <w:r w:rsidRPr="00E14A40">
        <w:rPr>
          <w:vertAlign w:val="superscript"/>
          <w:rtl/>
        </w:rPr>
        <w:t>(</w:t>
      </w:r>
      <w:r w:rsidRPr="00E14A40">
        <w:rPr>
          <w:vertAlign w:val="superscript"/>
          <w:rtl/>
        </w:rPr>
        <w:footnoteReference w:id="1554"/>
      </w:r>
      <w:r w:rsidRPr="00E14A40">
        <w:rPr>
          <w:vertAlign w:val="superscript"/>
          <w:rtl/>
        </w:rPr>
        <w:t>)</w:t>
      </w:r>
    </w:p>
    <w:p w:rsidR="00E14A40" w:rsidRPr="00E14A40" w:rsidRDefault="00E14A40" w:rsidP="00980C36">
      <w:pPr>
        <w:ind w:firstLine="0"/>
        <w:rPr>
          <w:rFonts w:ascii="Traditional Arabic" w:hAnsi="Traditional Arabic"/>
          <w:rtl/>
        </w:rPr>
      </w:pPr>
      <w:r w:rsidRPr="00E14A40">
        <w:rPr>
          <w:rFonts w:ascii="Traditional Arabic" w:hAnsi="Traditional Arabic"/>
          <w:rtl/>
        </w:rPr>
        <w:t>أي: ما ينجو</w:t>
      </w:r>
      <w:r w:rsidRPr="00E14A40">
        <w:rPr>
          <w:vertAlign w:val="superscript"/>
          <w:rtl/>
        </w:rPr>
        <w:t>(</w:t>
      </w:r>
      <w:r w:rsidRPr="00E14A40">
        <w:rPr>
          <w:vertAlign w:val="superscript"/>
          <w:rtl/>
        </w:rPr>
        <w:footnoteReference w:id="1555"/>
      </w:r>
      <w:r w:rsidRPr="00E14A40">
        <w:rPr>
          <w:vertAlign w:val="superscript"/>
          <w:rtl/>
        </w:rPr>
        <w:t>)</w:t>
      </w:r>
      <w:r w:rsidRPr="00E14A40">
        <w:rPr>
          <w:rFonts w:ascii="Traditional Arabic" w:hAnsi="Traditional Arabic"/>
          <w:rtl/>
        </w:rPr>
        <w:t>. وقال ابن قتيبة: الموئل: الملجِأ. يقال: وأل فلان إِلى كذا: إِذا لجأ</w:t>
      </w:r>
      <w:r w:rsidRPr="00E14A40">
        <w:rPr>
          <w:vertAlign w:val="superscript"/>
          <w:rtl/>
        </w:rPr>
        <w:t>(</w:t>
      </w:r>
      <w:r w:rsidRPr="00E14A40">
        <w:rPr>
          <w:vertAlign w:val="superscript"/>
          <w:rtl/>
        </w:rPr>
        <w:footnoteReference w:id="1556"/>
      </w:r>
      <w:r w:rsidRPr="00E14A40">
        <w:rPr>
          <w:vertAlign w:val="superscript"/>
          <w:rtl/>
        </w:rPr>
        <w:t>)</w:t>
      </w:r>
      <w:r w:rsidRPr="00E14A40">
        <w:rPr>
          <w:rFonts w:ascii="Traditional Arabic" w:hAnsi="Traditional Arabic"/>
          <w:rtl/>
        </w:rPr>
        <w:t>.</w:t>
      </w:r>
      <w:r w:rsidRPr="00E14A40">
        <w:rPr>
          <w:rFonts w:ascii="Traditional Arabic" w:hAnsi="Traditional Arabic" w:hint="cs"/>
          <w:rtl/>
        </w:rPr>
        <w:t xml:space="preserve"> </w:t>
      </w:r>
      <w:r w:rsidRPr="00E14A40">
        <w:rPr>
          <w:rFonts w:ascii="Traditional Arabic" w:hAnsi="Traditional Arabic"/>
          <w:rtl/>
        </w:rPr>
        <w:t>فإن قيل: ظاهر هذه الآية يقتضي أن تأخير العذاب عن الكفار برحمة الله، ومعلوم أنه لا نصيب لهم في رحمته</w:t>
      </w:r>
      <w:r w:rsidRPr="00E14A40">
        <w:rPr>
          <w:rFonts w:ascii="Traditional Arabic" w:hAnsi="Traditional Arabic" w:hint="cs"/>
          <w:rtl/>
        </w:rPr>
        <w:t>؟</w:t>
      </w:r>
      <w:r w:rsidRPr="00E14A40">
        <w:rPr>
          <w:rFonts w:ascii="Traditional Arabic" w:hAnsi="Traditional Arabic"/>
          <w:rtl/>
        </w:rPr>
        <w:t xml:space="preserve"> فعنه </w:t>
      </w:r>
      <w:r w:rsidRPr="00E14A40">
        <w:rPr>
          <w:rFonts w:ascii="Traditional Arabic" w:hAnsi="Traditional Arabic" w:hint="cs"/>
          <w:sz w:val="32"/>
          <w:szCs w:val="32"/>
          <w:rtl/>
        </w:rPr>
        <w:t>[132]</w:t>
      </w:r>
      <w:r w:rsidRPr="00E14A40">
        <w:rPr>
          <w:rFonts w:ascii="Traditional Arabic" w:hAnsi="Traditional Arabic"/>
          <w:rtl/>
        </w:rPr>
        <w:t xml:space="preserve"> جوابان: أحدهما: الرّحمة ها هنا بمعنى النعمة</w:t>
      </w:r>
      <w:r w:rsidRPr="00E14A40">
        <w:rPr>
          <w:vertAlign w:val="superscript"/>
          <w:rtl/>
        </w:rPr>
        <w:t>(</w:t>
      </w:r>
      <w:r w:rsidRPr="00E14A40">
        <w:rPr>
          <w:vertAlign w:val="superscript"/>
          <w:rtl/>
        </w:rPr>
        <w:footnoteReference w:id="1557"/>
      </w:r>
      <w:r w:rsidRPr="00E14A40">
        <w:rPr>
          <w:vertAlign w:val="superscript"/>
          <w:rtl/>
        </w:rPr>
        <w:t>)</w:t>
      </w:r>
      <w:r w:rsidRPr="00E14A40">
        <w:rPr>
          <w:rFonts w:ascii="Traditional Arabic" w:hAnsi="Traditional Arabic"/>
          <w:rtl/>
        </w:rPr>
        <w:t xml:space="preserve">، ونعمة الله لا يخلو منها مؤمن ولا كافر. فأما الرحمة التي هي الغفران والرضى، فليس للكافر فيها نصيب. والثاني: أن </w:t>
      </w:r>
      <w:r w:rsidRPr="00E14A40">
        <w:rPr>
          <w:rFonts w:ascii="Traditional Arabic" w:hAnsi="Traditional Arabic"/>
          <w:rtl/>
        </w:rPr>
        <w:lastRenderedPageBreak/>
        <w:t>رحمة الله محظورة على الكفار يوم القيامة، فأما في الدنيا، فإنهم ينالون منها العافية والرزق</w:t>
      </w:r>
      <w:r w:rsidRPr="00E14A40">
        <w:rPr>
          <w:vertAlign w:val="superscript"/>
          <w:rtl/>
        </w:rPr>
        <w:t>(</w:t>
      </w:r>
      <w:r w:rsidRPr="00E14A40">
        <w:rPr>
          <w:vertAlign w:val="superscript"/>
          <w:rtl/>
        </w:rPr>
        <w:footnoteReference w:id="1558"/>
      </w:r>
      <w:r w:rsidRPr="00E14A40">
        <w:rPr>
          <w:vertAlign w:val="superscript"/>
          <w:rtl/>
        </w:rPr>
        <w:t>)</w:t>
      </w:r>
      <w:r w:rsidRPr="00E14A40">
        <w:rPr>
          <w:rFonts w:ascii="Traditional Arabic" w:hAnsi="Traditional Arabic"/>
          <w:rtl/>
        </w:rPr>
        <w:t>.</w:t>
      </w:r>
    </w:p>
    <w:p w:rsidR="00E14A40" w:rsidRDefault="00E14A40" w:rsidP="00E14A40">
      <w:pPr>
        <w:ind w:firstLine="0"/>
        <w:rPr>
          <w:rFonts w:ascii="Traditional Arabic" w:hAnsi="Traditional Arabic"/>
          <w:rtl/>
        </w:rPr>
      </w:pPr>
      <w:r w:rsidRPr="00E14A40">
        <w:rPr>
          <w:rFonts w:ascii="Traditional Arabic" w:hAnsi="Traditional Arabic"/>
          <w:rtl/>
        </w:rPr>
        <w:t xml:space="preserve">قوله تعالى: </w:t>
      </w:r>
      <w:r w:rsidRPr="00E14A40">
        <w:rPr>
          <w:rFonts w:ascii="QCF_BSML" w:hAnsi="QCF_BSML" w:cs="QCF_BSML"/>
          <w:color w:val="auto"/>
          <w:sz w:val="32"/>
          <w:szCs w:val="32"/>
          <w:rtl/>
          <w:lang w:eastAsia="en-US"/>
        </w:rPr>
        <w:t>ﭽ</w:t>
      </w:r>
      <w:r w:rsidRPr="00E14A40">
        <w:rPr>
          <w:rFonts w:ascii="QCF_P300" w:hAnsi="QCF_P300" w:cs="QCF_P300"/>
          <w:color w:val="auto"/>
          <w:sz w:val="32"/>
          <w:szCs w:val="32"/>
          <w:rtl/>
          <w:lang w:eastAsia="en-US"/>
        </w:rPr>
        <w:t xml:space="preserve"> ﯢ  ﯣ</w:t>
      </w:r>
      <w:r w:rsidRPr="00E14A40">
        <w:rPr>
          <w:rFonts w:ascii="QCF_BSML" w:hAnsi="QCF_BSML" w:cs="QCF_BSML"/>
          <w:color w:val="auto"/>
          <w:sz w:val="32"/>
          <w:szCs w:val="32"/>
          <w:rtl/>
          <w:lang w:eastAsia="en-US"/>
        </w:rPr>
        <w:t xml:space="preserve"> ﭼ</w:t>
      </w:r>
      <w:r w:rsidRPr="00E14A40">
        <w:rPr>
          <w:rFonts w:ascii="Traditional Arabic" w:hAnsi="Traditional Arabic"/>
          <w:rtl/>
        </w:rPr>
        <w:t xml:space="preserve"> يريد: التي قصصنا عليكَ ذِكْرها، والمراد: أهلها، ولذلك قال</w:t>
      </w:r>
      <w:r w:rsidRPr="00E14A40">
        <w:rPr>
          <w:vertAlign w:val="superscript"/>
          <w:rtl/>
        </w:rPr>
        <w:t>(</w:t>
      </w:r>
      <w:r w:rsidRPr="00E14A40">
        <w:rPr>
          <w:vertAlign w:val="superscript"/>
          <w:rtl/>
        </w:rPr>
        <w:footnoteReference w:id="1559"/>
      </w:r>
      <w:r w:rsidRPr="00E14A40">
        <w:rPr>
          <w:vertAlign w:val="superscript"/>
          <w:rtl/>
        </w:rPr>
        <w:t>)</w:t>
      </w:r>
      <w:r w:rsidRPr="00E14A40">
        <w:rPr>
          <w:rFonts w:ascii="Traditional Arabic" w:hAnsi="Traditional Arabic"/>
          <w:rtl/>
        </w:rPr>
        <w:t>:</w:t>
      </w:r>
      <w:r w:rsidRPr="00E14A40">
        <w:rPr>
          <w:rFonts w:ascii="Traditional Arabic" w:hAnsi="Traditional Arabic" w:hint="cs"/>
          <w:rtl/>
        </w:rPr>
        <w:t xml:space="preserve"> </w:t>
      </w:r>
      <w:r w:rsidRPr="00E14A40">
        <w:rPr>
          <w:rFonts w:ascii="QCF_BSML" w:hAnsi="QCF_BSML" w:cs="QCF_BSML"/>
          <w:color w:val="auto"/>
          <w:sz w:val="32"/>
          <w:szCs w:val="32"/>
          <w:rtl/>
          <w:lang w:eastAsia="en-US"/>
        </w:rPr>
        <w:t>ﭽ</w:t>
      </w:r>
      <w:r w:rsidRPr="00E14A40">
        <w:rPr>
          <w:rFonts w:ascii="QCF_P300" w:hAnsi="QCF_P300" w:cs="QCF_P300"/>
          <w:color w:val="auto"/>
          <w:sz w:val="32"/>
          <w:szCs w:val="32"/>
          <w:rtl/>
          <w:lang w:eastAsia="en-US"/>
        </w:rPr>
        <w:t xml:space="preserve">  ﯤ</w:t>
      </w:r>
      <w:r w:rsidRPr="00E14A40">
        <w:rPr>
          <w:rFonts w:ascii="QCF_BSML" w:hAnsi="QCF_BSML" w:cs="QCF_BSML"/>
          <w:color w:val="auto"/>
          <w:sz w:val="32"/>
          <w:szCs w:val="32"/>
          <w:rtl/>
          <w:lang w:eastAsia="en-US"/>
        </w:rPr>
        <w:t xml:space="preserve"> ﭼ</w:t>
      </w:r>
      <w:r w:rsidRPr="00E14A40">
        <w:rPr>
          <w:rFonts w:ascii="Traditional Arabic" w:hAnsi="Traditional Arabic"/>
          <w:rtl/>
        </w:rPr>
        <w:t xml:space="preserve"> والمراد: قوم هود، وصالح، ولوط، وشعيب</w:t>
      </w:r>
      <w:r w:rsidRPr="00E14A40">
        <w:rPr>
          <w:vertAlign w:val="superscript"/>
          <w:rtl/>
        </w:rPr>
        <w:t>(</w:t>
      </w:r>
      <w:r w:rsidRPr="00E14A40">
        <w:rPr>
          <w:vertAlign w:val="superscript"/>
          <w:rtl/>
        </w:rPr>
        <w:footnoteReference w:id="1560"/>
      </w:r>
      <w:r w:rsidRPr="00E14A40">
        <w:rPr>
          <w:vertAlign w:val="superscript"/>
          <w:rtl/>
        </w:rPr>
        <w:t>)(</w:t>
      </w:r>
      <w:r w:rsidRPr="00E14A40">
        <w:rPr>
          <w:vertAlign w:val="superscript"/>
          <w:rtl/>
        </w:rPr>
        <w:footnoteReference w:id="1561"/>
      </w:r>
      <w:r w:rsidRPr="00E14A40">
        <w:rPr>
          <w:vertAlign w:val="superscript"/>
          <w:rtl/>
        </w:rPr>
        <w:t>)</w:t>
      </w:r>
      <w:r w:rsidRPr="00E14A40">
        <w:rPr>
          <w:rFonts w:ascii="Traditional Arabic" w:hAnsi="Traditional Arabic"/>
          <w:rtl/>
        </w:rPr>
        <w:t>. قال الفرّاء: وقوله:</w:t>
      </w:r>
      <w:r w:rsidRPr="00E14A40">
        <w:rPr>
          <w:rFonts w:ascii="QCF_BSML" w:hAnsi="QCF_BSML" w:cs="QCF_BSML" w:hint="cs"/>
          <w:color w:val="auto"/>
          <w:sz w:val="32"/>
          <w:szCs w:val="32"/>
          <w:rtl/>
          <w:lang w:eastAsia="en-US"/>
        </w:rPr>
        <w:t xml:space="preserve">  </w:t>
      </w:r>
      <w:r w:rsidRPr="00E14A40">
        <w:rPr>
          <w:rFonts w:ascii="QCF_BSML" w:hAnsi="QCF_BSML" w:cs="QCF_BSML"/>
          <w:color w:val="auto"/>
          <w:sz w:val="32"/>
          <w:szCs w:val="32"/>
          <w:rtl/>
          <w:lang w:eastAsia="en-US"/>
        </w:rPr>
        <w:t xml:space="preserve"> ﭽ</w:t>
      </w:r>
      <w:r w:rsidRPr="00E14A40">
        <w:rPr>
          <w:rFonts w:ascii="QCF_P300" w:hAnsi="QCF_P300" w:cs="QCF_P300"/>
          <w:color w:val="auto"/>
          <w:sz w:val="32"/>
          <w:szCs w:val="32"/>
          <w:rtl/>
          <w:lang w:eastAsia="en-US"/>
        </w:rPr>
        <w:t>ﯥ  ﯦ</w:t>
      </w:r>
      <w:r w:rsidRPr="00E14A40">
        <w:rPr>
          <w:rFonts w:ascii="QCF_BSML" w:hAnsi="QCF_BSML" w:cs="QCF_BSML"/>
          <w:color w:val="auto"/>
          <w:sz w:val="32"/>
          <w:szCs w:val="32"/>
          <w:rtl/>
          <w:lang w:eastAsia="en-US"/>
        </w:rPr>
        <w:t xml:space="preserve"> ﭼ</w:t>
      </w:r>
      <w:r w:rsidRPr="00E14A40">
        <w:rPr>
          <w:rFonts w:ascii="Traditional Arabic" w:hAnsi="Traditional Arabic"/>
          <w:rtl/>
        </w:rPr>
        <w:t xml:space="preserve"> معناه:</w:t>
      </w:r>
      <w:r w:rsidRPr="00E14A40">
        <w:rPr>
          <w:rFonts w:ascii="Traditional Arabic" w:hAnsi="Traditional Arabic" w:hint="cs"/>
          <w:rtl/>
        </w:rPr>
        <w:t xml:space="preserve"> </w:t>
      </w:r>
      <w:r w:rsidRPr="00E14A40">
        <w:rPr>
          <w:rFonts w:ascii="Traditional Arabic" w:hAnsi="Traditional Arabic"/>
          <w:rtl/>
        </w:rPr>
        <w:t>بعد ما ظَلَموا</w:t>
      </w:r>
      <w:r w:rsidRPr="00E14A40">
        <w:rPr>
          <w:vertAlign w:val="superscript"/>
          <w:rtl/>
        </w:rPr>
        <w:t>(</w:t>
      </w:r>
      <w:r w:rsidRPr="00E14A40">
        <w:rPr>
          <w:vertAlign w:val="superscript"/>
          <w:rtl/>
        </w:rPr>
        <w:footnoteReference w:id="1562"/>
      </w:r>
      <w:r w:rsidRPr="00E14A40">
        <w:rPr>
          <w:vertAlign w:val="superscript"/>
          <w:rtl/>
        </w:rPr>
        <w:t>)</w:t>
      </w:r>
      <w:r w:rsidRPr="00E14A40">
        <w:rPr>
          <w:rFonts w:ascii="Traditional Arabic" w:hAnsi="Traditional Arabic"/>
          <w:rtl/>
        </w:rPr>
        <w:t xml:space="preserve">. قوله تعالى: </w:t>
      </w:r>
      <w:r w:rsidRPr="00E14A40">
        <w:rPr>
          <w:rFonts w:ascii="QCF_BSML" w:hAnsi="QCF_BSML" w:cs="QCF_BSML"/>
          <w:color w:val="auto"/>
          <w:sz w:val="32"/>
          <w:szCs w:val="32"/>
          <w:rtl/>
          <w:lang w:eastAsia="en-US"/>
        </w:rPr>
        <w:t>ﭽ</w:t>
      </w:r>
      <w:r w:rsidRPr="00E14A40">
        <w:rPr>
          <w:rFonts w:ascii="QCF_P300" w:hAnsi="QCF_P300" w:cs="QCF_P300"/>
          <w:color w:val="auto"/>
          <w:sz w:val="32"/>
          <w:szCs w:val="32"/>
          <w:rtl/>
          <w:lang w:eastAsia="en-US"/>
        </w:rPr>
        <w:t xml:space="preserve">   ﯧ  ﯨ  </w:t>
      </w:r>
      <w:r w:rsidRPr="00E14A40">
        <w:rPr>
          <w:rFonts w:ascii="QCF_BSML" w:hAnsi="QCF_BSML" w:cs="QCF_BSML"/>
          <w:color w:val="auto"/>
          <w:sz w:val="32"/>
          <w:szCs w:val="32"/>
          <w:rtl/>
          <w:lang w:eastAsia="en-US"/>
        </w:rPr>
        <w:t>ﭼ</w:t>
      </w:r>
      <w:r w:rsidRPr="00E14A40">
        <w:rPr>
          <w:rFonts w:ascii="Traditional Arabic" w:hAnsi="Traditional Arabic"/>
          <w:rtl/>
        </w:rPr>
        <w:t xml:space="preserve"> قرأ الأكثرون بضم الميم وفتح اللام</w:t>
      </w:r>
      <w:r w:rsidRPr="00E14A40">
        <w:rPr>
          <w:vertAlign w:val="superscript"/>
          <w:rtl/>
        </w:rPr>
        <w:t>(</w:t>
      </w:r>
      <w:r w:rsidRPr="00E14A40">
        <w:rPr>
          <w:vertAlign w:val="superscript"/>
          <w:rtl/>
        </w:rPr>
        <w:footnoteReference w:id="1563"/>
      </w:r>
      <w:r w:rsidRPr="00E14A40">
        <w:rPr>
          <w:vertAlign w:val="superscript"/>
          <w:rtl/>
        </w:rPr>
        <w:t>)</w:t>
      </w:r>
      <w:r w:rsidRPr="00E14A40">
        <w:rPr>
          <w:rFonts w:ascii="Traditional Arabic" w:hAnsi="Traditional Arabic" w:hint="cs"/>
          <w:rtl/>
        </w:rPr>
        <w:t>.</w:t>
      </w:r>
      <w:r w:rsidRPr="00E14A40">
        <w:rPr>
          <w:rFonts w:ascii="Traditional Arabic" w:hAnsi="Traditional Arabic"/>
          <w:rtl/>
        </w:rPr>
        <w:t xml:space="preserve"> قال الزجاج: وفيه</w:t>
      </w:r>
      <w:r w:rsidRPr="00E14A40">
        <w:rPr>
          <w:rFonts w:ascii="Traditional Arabic" w:hAnsi="Traditional Arabic" w:hint="cs"/>
          <w:rtl/>
        </w:rPr>
        <w:t xml:space="preserve"> </w:t>
      </w:r>
      <w:r w:rsidRPr="00E14A40">
        <w:rPr>
          <w:rFonts w:ascii="Traditional Arabic" w:hAnsi="Traditional Arabic"/>
          <w:rtl/>
        </w:rPr>
        <w:t>وجهان: أحدهما: أن يكون مصدراً، فيكون المعنى: وجعلنا لإِهلاكهم. والثاني: أن يكون وقتاً، فالمعنى: لوقت هلاكهم</w:t>
      </w:r>
      <w:r w:rsidRPr="00E14A40">
        <w:rPr>
          <w:vertAlign w:val="superscript"/>
          <w:rtl/>
        </w:rPr>
        <w:t>(</w:t>
      </w:r>
      <w:r w:rsidRPr="00E14A40">
        <w:rPr>
          <w:vertAlign w:val="superscript"/>
          <w:rtl/>
        </w:rPr>
        <w:footnoteReference w:id="1564"/>
      </w:r>
      <w:r w:rsidRPr="00E14A40">
        <w:rPr>
          <w:vertAlign w:val="superscript"/>
          <w:rtl/>
        </w:rPr>
        <w:t>)</w:t>
      </w:r>
      <w:r w:rsidRPr="00E14A40">
        <w:rPr>
          <w:rFonts w:ascii="Traditional Arabic" w:hAnsi="Traditional Arabic"/>
          <w:rtl/>
        </w:rPr>
        <w:t>. وقرأ أبو بكر عن عاصم بفتح الميم واللام، وهو مصدر مثل الهلاك. وقرأ حفص عن عاصم بفتح الميم وكسر اللام، ومعناه: لوقت إهلاكهم</w:t>
      </w:r>
      <w:r w:rsidRPr="00E14A40">
        <w:rPr>
          <w:vertAlign w:val="superscript"/>
          <w:rtl/>
        </w:rPr>
        <w:t>(</w:t>
      </w:r>
      <w:r w:rsidRPr="00E14A40">
        <w:rPr>
          <w:vertAlign w:val="superscript"/>
          <w:rtl/>
        </w:rPr>
        <w:footnoteReference w:id="1565"/>
      </w:r>
      <w:r w:rsidRPr="00E14A40">
        <w:rPr>
          <w:vertAlign w:val="superscript"/>
          <w:rtl/>
        </w:rPr>
        <w:t>)</w:t>
      </w:r>
      <w:r w:rsidRPr="00E14A40">
        <w:rPr>
          <w:rFonts w:ascii="Traditional Arabic" w:hAnsi="Traditional Arabic"/>
          <w:rtl/>
        </w:rPr>
        <w:t>.</w:t>
      </w:r>
    </w:p>
    <w:p w:rsidR="00885058" w:rsidRPr="00E14A40" w:rsidRDefault="00885058" w:rsidP="00E14A40">
      <w:pPr>
        <w:ind w:firstLine="0"/>
        <w:rPr>
          <w:rFonts w:ascii="Traditional Arabic" w:hAnsi="Traditional Arabic"/>
        </w:rPr>
      </w:pPr>
    </w:p>
    <w:p w:rsidR="00885058" w:rsidRPr="00885058" w:rsidRDefault="00885058" w:rsidP="00885058">
      <w:pPr>
        <w:ind w:firstLine="0"/>
        <w:rPr>
          <w:rFonts w:ascii="Traditional Arabic" w:hAnsi="Traditional Arabic"/>
          <w:color w:val="auto"/>
          <w:rtl/>
        </w:rPr>
      </w:pPr>
      <w:r w:rsidRPr="00885058">
        <w:rPr>
          <w:rFonts w:ascii="QCF_BSML" w:hAnsi="QCF_BSML" w:cs="QCF_BSML"/>
          <w:color w:val="auto"/>
          <w:sz w:val="32"/>
          <w:szCs w:val="32"/>
          <w:rtl/>
          <w:lang w:eastAsia="en-US"/>
        </w:rPr>
        <w:t xml:space="preserve">ﭽ </w:t>
      </w:r>
      <w:r w:rsidRPr="00885058">
        <w:rPr>
          <w:rFonts w:ascii="QCF_P300" w:hAnsi="QCF_P300" w:cs="QCF_P300"/>
          <w:color w:val="auto"/>
          <w:sz w:val="32"/>
          <w:szCs w:val="32"/>
          <w:rtl/>
          <w:lang w:eastAsia="en-US"/>
        </w:rPr>
        <w:t xml:space="preserve">ﯫ  ﯬ  ﯭ  ﯮ  ﯯ  ﯰ  ﯱ   ﯲ  ﯳ  ﯴ  ﯵ    ﯶ  ﯷ  ﯸ  ﯹ  ﯺ   ﯻ  ﯼ   ﯽ  ﯾ  ﯿ  ﰀ  ﰁ  ﰂ    ﰃ  ﰄ   </w:t>
      </w:r>
      <w:r w:rsidRPr="00885058">
        <w:rPr>
          <w:rFonts w:ascii="QCF_P301" w:hAnsi="QCF_P301" w:cs="QCF_P301"/>
          <w:color w:val="auto"/>
          <w:sz w:val="32"/>
          <w:szCs w:val="32"/>
          <w:rtl/>
          <w:lang w:eastAsia="en-US"/>
        </w:rPr>
        <w:t>ﭑ  ﭒ  ﭓ  ﭔ  ﭕ  ﭖ  ﭗ  ﭘ  ﭙ  ﭚ   ﭛ  ﭜ  ﭝ  ﭞ  ﭟ  ﭠ  ﭡ  ﭢ     ﭣ  ﭤ  ﭥ   ﭦ  ﭧ  ﭨ  ﭩ  ﭪ  ﭫ  ﭬﭭ  ﭮ  ﭯ   ﭰ  ﭱ         ﭲ  ﭳ  ﭴ  ﭵ  ﭶ  ﭷ             ﭸﭹ  ﭺ  ﭻ  ﭼ   ﭽ  ﭾ  ﭿ  ﮀ  ﮁ  ﮂ   ﮃ  ﮄ  ﮅ   ﮆ  ﮇ  ﮈ  ﮉ  ﮊ  ﮋ</w:t>
      </w:r>
      <w:r w:rsidRPr="00885058">
        <w:rPr>
          <w:rFonts w:ascii="QCF_BSML" w:hAnsi="QCF_BSML" w:cs="QCF_BSML"/>
          <w:color w:val="auto"/>
          <w:sz w:val="32"/>
          <w:szCs w:val="32"/>
          <w:rtl/>
          <w:lang w:eastAsia="en-US"/>
        </w:rPr>
        <w:t xml:space="preserve"> </w:t>
      </w:r>
      <w:r w:rsidRPr="00885058">
        <w:rPr>
          <w:rFonts w:ascii="QCF_P301" w:hAnsi="QCF_P301" w:cs="QCF_P301"/>
          <w:color w:val="auto"/>
          <w:sz w:val="32"/>
          <w:szCs w:val="32"/>
          <w:rtl/>
          <w:lang w:eastAsia="en-US"/>
        </w:rPr>
        <w:t xml:space="preserve">ﮌ  ﮍ  ﮎ  ﮏ  ﮐ   ﮑ  ﮒ  ﮓ  ﮔ  ﮕ  ﮖ  ﮗ  ﮘ  ﮙ    ﮚ  ﮛ   ﮜ  ﮝ  ﮞ  ﮟ  ﮠ        ﮡ   ﮢ  ﮣ  ﮤ  ﮥ        ﮦ  ﮧ  ﮨ   ﮩ  ﮪ     ﮫ  ﮬ  ﮭ  ﮮ  ﮯ  ﮰ  ﮱ  ﯓ  ﯔ   ﯕ  </w:t>
      </w:r>
      <w:r w:rsidRPr="00885058">
        <w:rPr>
          <w:rFonts w:ascii="QCF_P301" w:hAnsi="QCF_P301" w:cs="QCF_P301"/>
          <w:color w:val="auto"/>
          <w:sz w:val="32"/>
          <w:szCs w:val="32"/>
          <w:rtl/>
          <w:lang w:eastAsia="en-US"/>
        </w:rPr>
        <w:lastRenderedPageBreak/>
        <w:t xml:space="preserve">ﯖ  ﯗ  ﯘ  ﯙ  ﯚ  ﯛ  ﯜ  ﯝ  ﯞ  ﯟ   ﯠ  </w:t>
      </w:r>
      <w:r w:rsidRPr="00885058">
        <w:rPr>
          <w:rFonts w:ascii="QCF_BSML" w:hAnsi="QCF_BSML" w:cs="QCF_BSML"/>
          <w:color w:val="auto"/>
          <w:sz w:val="32"/>
          <w:szCs w:val="32"/>
          <w:rtl/>
          <w:lang w:eastAsia="en-US"/>
        </w:rPr>
        <w:t xml:space="preserve"> </w:t>
      </w:r>
      <w:r w:rsidRPr="00885058">
        <w:rPr>
          <w:rFonts w:ascii="QCF_P301" w:hAnsi="QCF_P301" w:cs="QCF_P301"/>
          <w:color w:val="auto"/>
          <w:sz w:val="32"/>
          <w:szCs w:val="32"/>
          <w:rtl/>
          <w:lang w:eastAsia="en-US"/>
        </w:rPr>
        <w:t xml:space="preserve">ﯡ  ﯢ  ﯣ   ﯤ  ﯥ  ﯦ  ﯧﯨ  ﯩ  ﯪ   ﯫ  ﯬ  ﯭ  ﯮ  ﯯ  ﯰ   ﯱ  ﯲ  ﯳ  ﯴ  ﯵ    ﯶ  ﯷ  ﯸ  ﯹ  ﯺ  ﯻ  ﯼ  ﯽ  ﯾ  ﯿ  ﰀ     ﰁ  ﰂ  ﰃ  ﰄ  ﰅ  ﰆ  ﰇ  ﰈ  ﰉ  ﰊ  ﰋ   ﰌ  ﰍ  ﰎ  ﰏ  ﰐ        ﰑ  ﰒ  ﰓ  ﰔ  ﰕ  ﰖ </w:t>
      </w:r>
      <w:r w:rsidRPr="00885058">
        <w:rPr>
          <w:rFonts w:ascii="QCF_P302" w:hAnsi="QCF_P302" w:cs="QCF_P302"/>
          <w:color w:val="auto"/>
          <w:sz w:val="32"/>
          <w:szCs w:val="32"/>
          <w:rtl/>
          <w:lang w:eastAsia="en-US"/>
        </w:rPr>
        <w:t xml:space="preserve">ﭒ  ﭓ  ﭔ  ﭕ  ﭖ  ﭗ  ﭘ  ﭙ  ﭚ  ﭛ  ﭜ  ﭝ        ﭞ  ﭟ  ﭠ  ﭡ  ﭢ  ﭣﭤ  ﭥ  ﭦ  ﭧ  ﭨ  ﭩ    ﭪ  ﭫ  ﭬ  ﭭ     ﭮ  ﭯ  ﭰ  ﭱ  ﭲ  ﭳ    ﭴ  ﭵ  ﭶ  ﭷ      ﭸ  ﭹ  ﭺ  ﭻ   ﭼﭽ   ﭾ  ﭿ    ﮀ  ﮁ  ﮂ  ﮃ  ﮄ  ﮅ  ﮆ  ﮇ  ﮈ    ﮉﮊ  ﮋ  ﮌ     ﮍ  ﮎ       ﮏ  ﮐ  ﮑ  ﮒ  </w:t>
      </w:r>
      <w:r w:rsidRPr="00885058">
        <w:rPr>
          <w:rFonts w:ascii="QCF_BSML" w:hAnsi="QCF_BSML" w:cs="QCF_BSML"/>
          <w:color w:val="auto"/>
          <w:sz w:val="32"/>
          <w:szCs w:val="32"/>
          <w:rtl/>
          <w:lang w:eastAsia="en-US"/>
        </w:rPr>
        <w:t>ﭼ</w:t>
      </w:r>
      <w:r w:rsidRPr="00885058">
        <w:rPr>
          <w:rFonts w:ascii="Arial" w:hAnsi="Arial" w:cs="Arial"/>
          <w:color w:val="auto"/>
          <w:sz w:val="18"/>
          <w:szCs w:val="18"/>
          <w:rtl/>
          <w:lang w:eastAsia="en-US"/>
        </w:rPr>
        <w:t xml:space="preserve"> </w:t>
      </w:r>
    </w:p>
    <w:p w:rsidR="00885058" w:rsidRPr="00885058" w:rsidRDefault="00885058" w:rsidP="00885058">
      <w:pPr>
        <w:ind w:firstLine="0"/>
        <w:rPr>
          <w:rFonts w:ascii="Traditional Arabic" w:hAnsi="Traditional Arabic"/>
          <w:color w:val="auto"/>
          <w:rtl/>
        </w:rPr>
      </w:pPr>
    </w:p>
    <w:p w:rsidR="00885058" w:rsidRPr="00885058" w:rsidRDefault="00885058" w:rsidP="00885058">
      <w:pPr>
        <w:ind w:firstLine="0"/>
        <w:rPr>
          <w:rFonts w:ascii="Traditional Arabic" w:hAnsi="Traditional Arabic"/>
          <w:color w:val="auto"/>
          <w:rtl/>
        </w:rPr>
      </w:pPr>
      <w:r w:rsidRPr="00885058">
        <w:rPr>
          <w:rFonts w:ascii="Traditional Arabic" w:hAnsi="Traditional Arabic"/>
          <w:color w:val="auto"/>
          <w:rtl/>
        </w:rPr>
        <w:t xml:space="preserve">قوله تعالى: </w:t>
      </w:r>
      <w:r w:rsidRPr="00885058">
        <w:rPr>
          <w:rFonts w:ascii="QCF_BSML" w:hAnsi="QCF_BSML" w:cs="QCF_BSML"/>
          <w:color w:val="auto"/>
          <w:sz w:val="32"/>
          <w:szCs w:val="32"/>
          <w:rtl/>
          <w:lang w:eastAsia="en-US"/>
        </w:rPr>
        <w:t>ﭽ</w:t>
      </w:r>
      <w:r w:rsidRPr="00885058">
        <w:rPr>
          <w:rFonts w:ascii="QCF_P300" w:hAnsi="QCF_P300" w:cs="QCF_P300"/>
          <w:color w:val="auto"/>
          <w:sz w:val="32"/>
          <w:szCs w:val="32"/>
          <w:rtl/>
          <w:lang w:eastAsia="en-US"/>
        </w:rPr>
        <w:t>ﯫ  ﯬ  ﯭ  ﯮ</w:t>
      </w:r>
      <w:r w:rsidRPr="00885058">
        <w:rPr>
          <w:rFonts w:ascii="QCF_BSML" w:hAnsi="QCF_BSML" w:cs="QCF_BSML"/>
          <w:color w:val="auto"/>
          <w:sz w:val="32"/>
          <w:szCs w:val="32"/>
          <w:rtl/>
          <w:lang w:eastAsia="en-US"/>
        </w:rPr>
        <w:t>ﭼ</w:t>
      </w:r>
      <w:r w:rsidRPr="00885058">
        <w:rPr>
          <w:rFonts w:ascii="Traditional Arabic" w:hAnsi="Traditional Arabic"/>
          <w:color w:val="auto"/>
          <w:rtl/>
        </w:rPr>
        <w:t xml:space="preserve"> ... الآية.</w:t>
      </w:r>
    </w:p>
    <w:p w:rsidR="00885058" w:rsidRPr="00885058" w:rsidRDefault="00885058" w:rsidP="00237681">
      <w:pPr>
        <w:ind w:firstLine="0"/>
        <w:rPr>
          <w:rFonts w:ascii="Traditional Arabic" w:hAnsi="Traditional Arabic"/>
          <w:rtl/>
        </w:rPr>
      </w:pPr>
      <w:r w:rsidRPr="00885058">
        <w:rPr>
          <w:rFonts w:ascii="Traditional Arabic" w:hAnsi="Traditional Arabic"/>
          <w:color w:val="auto"/>
          <w:rtl/>
        </w:rPr>
        <w:t xml:space="preserve">سبب خروج موسى عليه السلام في هذا </w:t>
      </w:r>
      <w:r w:rsidRPr="00885058">
        <w:rPr>
          <w:rFonts w:ascii="Traditional Arabic" w:hAnsi="Traditional Arabic"/>
          <w:rtl/>
        </w:rPr>
        <w:t>السفر، ما روى ابن عباس عن أُبيّ بن كعب عن رسول الله</w:t>
      </w:r>
      <w:r w:rsidRPr="00885058">
        <w:rPr>
          <w:rFonts w:ascii="Traditional Arabic" w:hAnsi="Traditional Arabic" w:hint="cs"/>
          <w:rtl/>
        </w:rPr>
        <w:t xml:space="preserve"> </w:t>
      </w:r>
      <w:r w:rsidRPr="00885058">
        <w:rPr>
          <w:rFonts w:ascii="Traditional Arabic" w:hAnsi="Traditional Arabic"/>
        </w:rPr>
        <w:t xml:space="preserve"> </w:t>
      </w:r>
      <w:r w:rsidRPr="00885058">
        <w:rPr>
          <w:rFonts w:ascii="Traditional Arabic" w:hAnsi="Traditional Arabic"/>
        </w:rPr>
        <w:sym w:font="AGA Arabesque" w:char="F072"/>
      </w:r>
      <w:r w:rsidRPr="00885058">
        <w:rPr>
          <w:rFonts w:ascii="Traditional Arabic" w:hAnsi="Traditional Arabic"/>
          <w:rtl/>
        </w:rPr>
        <w:t>قال: «إِن موسى قام خطيباً في بني إِسرائيل، فس</w:t>
      </w:r>
      <w:r w:rsidRPr="00885058">
        <w:rPr>
          <w:rFonts w:ascii="Traditional Arabic" w:hAnsi="Traditional Arabic" w:hint="cs"/>
          <w:rtl/>
        </w:rPr>
        <w:t>ُ</w:t>
      </w:r>
      <w:r w:rsidRPr="00885058">
        <w:rPr>
          <w:rFonts w:ascii="Traditional Arabic" w:hAnsi="Traditional Arabic"/>
          <w:rtl/>
        </w:rPr>
        <w:t>ئ</w:t>
      </w:r>
      <w:r w:rsidRPr="00885058">
        <w:rPr>
          <w:rFonts w:ascii="Traditional Arabic" w:hAnsi="Traditional Arabic" w:hint="cs"/>
          <w:rtl/>
        </w:rPr>
        <w:t>ِ</w:t>
      </w:r>
      <w:r w:rsidRPr="00885058">
        <w:rPr>
          <w:rFonts w:ascii="Traditional Arabic" w:hAnsi="Traditional Arabic"/>
          <w:rtl/>
        </w:rPr>
        <w:t>ل</w:t>
      </w:r>
      <w:r w:rsidRPr="00885058">
        <w:rPr>
          <w:rFonts w:ascii="Traditional Arabic" w:hAnsi="Traditional Arabic" w:hint="cs"/>
          <w:rtl/>
        </w:rPr>
        <w:t>َ</w:t>
      </w:r>
      <w:r w:rsidRPr="00885058">
        <w:rPr>
          <w:rFonts w:ascii="Traditional Arabic" w:hAnsi="Traditional Arabic"/>
          <w:rtl/>
        </w:rPr>
        <w:t>: أي الناس أعلم؟ فقال:     أنا، فعتب الله تعالى عليه إِذ لم يَرُدَّ العِلْم إِليه، فأوحى الله إِليه أن لي عبداً بمجمع البحرين هو أعلم منك قال موسى: يا رب فكيف لي به؟ قال: تأخذ معك حوتاً فتجعله في مِكتل</w:t>
      </w:r>
      <w:r w:rsidRPr="00885058">
        <w:rPr>
          <w:vertAlign w:val="superscript"/>
          <w:rtl/>
        </w:rPr>
        <w:t>(</w:t>
      </w:r>
      <w:r w:rsidRPr="00885058">
        <w:rPr>
          <w:vertAlign w:val="superscript"/>
          <w:rtl/>
        </w:rPr>
        <w:footnoteReference w:id="1566"/>
      </w:r>
      <w:r w:rsidRPr="00885058">
        <w:rPr>
          <w:vertAlign w:val="superscript"/>
          <w:rtl/>
        </w:rPr>
        <w:t>)</w:t>
      </w:r>
      <w:r w:rsidRPr="00885058">
        <w:rPr>
          <w:rFonts w:ascii="Traditional Arabic" w:hAnsi="Traditional Arabic"/>
          <w:rtl/>
        </w:rPr>
        <w:t>، فحيثما فقَدتَ الحوت فهو ثَمَّ</w:t>
      </w:r>
      <w:r w:rsidRPr="00885058">
        <w:rPr>
          <w:rFonts w:ascii="Traditional Arabic" w:hAnsi="Traditional Arabic" w:hint="cs"/>
          <w:rtl/>
        </w:rPr>
        <w:t xml:space="preserve">؛ </w:t>
      </w:r>
      <w:r w:rsidRPr="00885058">
        <w:rPr>
          <w:rFonts w:ascii="Traditional Arabic" w:hAnsi="Traditional Arabic"/>
          <w:rtl/>
        </w:rPr>
        <w:t>فانطلق معه فتاه يوشع بن نون، حتى إذا أتيا الصّخرة، وضعا رؤوسهما فناما، واضطرب أي الحوت في المِكْتَل فخرج منه فسقط في البحر، فاتخذ سبيله في البحر سَرَباً، وأمسك الله عن الحوت جِرْيَةَ الماء، فصار عليه مثل الطاق</w:t>
      </w:r>
      <w:r w:rsidRPr="00885058">
        <w:rPr>
          <w:vertAlign w:val="superscript"/>
          <w:rtl/>
        </w:rPr>
        <w:t>(</w:t>
      </w:r>
      <w:r w:rsidRPr="00885058">
        <w:rPr>
          <w:vertAlign w:val="superscript"/>
          <w:rtl/>
        </w:rPr>
        <w:footnoteReference w:id="1567"/>
      </w:r>
      <w:r w:rsidRPr="00885058">
        <w:rPr>
          <w:vertAlign w:val="superscript"/>
          <w:rtl/>
        </w:rPr>
        <w:t>)</w:t>
      </w:r>
      <w:r w:rsidRPr="00885058">
        <w:rPr>
          <w:rFonts w:ascii="Traditional Arabic" w:hAnsi="Traditional Arabic"/>
          <w:rtl/>
        </w:rPr>
        <w:t xml:space="preserve">. فلما استيقظ نسي صاحبُه أن يخبره بالحوت، فانطلقا بقية يومهما وليلتهما، حتى إِذا كان من الغد قال موسى </w:t>
      </w:r>
      <w:r w:rsidRPr="00885058">
        <w:rPr>
          <w:rFonts w:ascii="QCF_BSML" w:hAnsi="QCF_BSML" w:cs="QCF_BSML"/>
          <w:color w:val="auto"/>
          <w:sz w:val="32"/>
          <w:szCs w:val="32"/>
          <w:rtl/>
          <w:lang w:eastAsia="en-US"/>
        </w:rPr>
        <w:lastRenderedPageBreak/>
        <w:t>ﭽ</w:t>
      </w:r>
      <w:r w:rsidRPr="00885058">
        <w:rPr>
          <w:rFonts w:ascii="QCF_P301" w:hAnsi="QCF_P301" w:cs="QCF_P301"/>
          <w:color w:val="auto"/>
          <w:sz w:val="32"/>
          <w:szCs w:val="32"/>
          <w:rtl/>
          <w:lang w:eastAsia="en-US"/>
        </w:rPr>
        <w:t>ﭔ  ﭕ  ﭖ  ﭗ  ﭘ  ﭙ  ﭚ   ﭛ  ﭜ</w:t>
      </w:r>
      <w:r w:rsidRPr="00885058">
        <w:rPr>
          <w:rFonts w:ascii="QCF_BSML" w:hAnsi="QCF_BSML" w:cs="QCF_BSML"/>
          <w:color w:val="auto"/>
          <w:sz w:val="32"/>
          <w:szCs w:val="32"/>
          <w:rtl/>
          <w:lang w:eastAsia="en-US"/>
        </w:rPr>
        <w:t xml:space="preserve"> ﭼ</w:t>
      </w:r>
      <w:r w:rsidRPr="00885058">
        <w:rPr>
          <w:rFonts w:ascii="QCF_P301" w:hAnsi="QCF_P301" w:cs="QCF_P301"/>
          <w:color w:val="auto"/>
          <w:sz w:val="32"/>
          <w:szCs w:val="32"/>
          <w:rtl/>
          <w:lang w:eastAsia="en-US"/>
        </w:rPr>
        <w:t xml:space="preserve">  </w:t>
      </w:r>
      <w:r w:rsidRPr="00885058">
        <w:rPr>
          <w:rFonts w:ascii="Traditional Arabic" w:hAnsi="Traditional Arabic"/>
          <w:rtl/>
        </w:rPr>
        <w:t xml:space="preserve"> قال: ولم يجد موسى النَّصَب حتى جاوز المكان الذي أمره الله به، فقال فتاه: </w:t>
      </w:r>
      <w:r w:rsidRPr="00885058">
        <w:rPr>
          <w:rFonts w:ascii="QCF_BSML" w:hAnsi="QCF_BSML" w:cs="QCF_BSML"/>
          <w:color w:val="auto"/>
          <w:sz w:val="32"/>
          <w:szCs w:val="32"/>
          <w:rtl/>
          <w:lang w:eastAsia="en-US"/>
        </w:rPr>
        <w:t>ﭽ</w:t>
      </w:r>
      <w:r w:rsidRPr="00885058">
        <w:rPr>
          <w:rFonts w:ascii="QCF_P301" w:hAnsi="QCF_P301" w:cs="QCF_P301"/>
          <w:sz w:val="32"/>
          <w:szCs w:val="32"/>
          <w:rtl/>
          <w:lang w:eastAsia="en-US"/>
        </w:rPr>
        <w:t xml:space="preserve"> ﭟ  ﭠ  ﭡ  </w:t>
      </w:r>
      <w:r w:rsidRPr="00885058">
        <w:rPr>
          <w:rFonts w:ascii="QCF_BSML" w:hAnsi="QCF_BSML" w:cs="QCF_BSML"/>
          <w:color w:val="auto"/>
          <w:sz w:val="32"/>
          <w:szCs w:val="32"/>
          <w:rtl/>
          <w:lang w:eastAsia="en-US"/>
        </w:rPr>
        <w:t>ﭼ</w:t>
      </w:r>
      <w:r w:rsidRPr="00885058">
        <w:rPr>
          <w:rFonts w:ascii="Traditional Arabic" w:hAnsi="Traditional Arabic"/>
          <w:rtl/>
        </w:rPr>
        <w:t xml:space="preserve"> إِلى قوله: </w:t>
      </w:r>
      <w:r w:rsidRPr="00885058">
        <w:rPr>
          <w:rFonts w:ascii="QCF_BSML" w:hAnsi="QCF_BSML" w:cs="QCF_BSML"/>
          <w:color w:val="auto"/>
          <w:sz w:val="32"/>
          <w:szCs w:val="32"/>
          <w:rtl/>
          <w:lang w:eastAsia="en-US"/>
        </w:rPr>
        <w:t>ﭽ</w:t>
      </w:r>
      <w:r w:rsidRPr="00885058">
        <w:rPr>
          <w:rFonts w:ascii="QCF_P301" w:hAnsi="QCF_P301" w:cs="QCF_P301"/>
          <w:sz w:val="32"/>
          <w:szCs w:val="32"/>
          <w:rtl/>
          <w:lang w:eastAsia="en-US"/>
        </w:rPr>
        <w:t xml:space="preserve"> ﭲ</w:t>
      </w:r>
      <w:r w:rsidRPr="00885058">
        <w:rPr>
          <w:rFonts w:ascii="QCF_BSML" w:hAnsi="QCF_BSML" w:cs="QCF_BSML"/>
          <w:color w:val="auto"/>
          <w:sz w:val="32"/>
          <w:szCs w:val="32"/>
          <w:rtl/>
          <w:lang w:eastAsia="en-US"/>
        </w:rPr>
        <w:t xml:space="preserve"> ﭼ</w:t>
      </w:r>
      <w:r w:rsidRPr="00885058">
        <w:rPr>
          <w:rFonts w:ascii="Traditional Arabic" w:hAnsi="Traditional Arabic"/>
          <w:rtl/>
        </w:rPr>
        <w:t xml:space="preserve"> قال:</w:t>
      </w:r>
      <w:r w:rsidRPr="00885058">
        <w:rPr>
          <w:rFonts w:ascii="Traditional Arabic" w:hAnsi="Traditional Arabic" w:hint="cs"/>
          <w:rtl/>
        </w:rPr>
        <w:t xml:space="preserve"> </w:t>
      </w:r>
      <w:r w:rsidRPr="00885058">
        <w:rPr>
          <w:rFonts w:ascii="Traditional Arabic" w:hAnsi="Traditional Arabic"/>
          <w:rtl/>
        </w:rPr>
        <w:t xml:space="preserve">فكان للحوت سَرَباً، ولموسى ولفتاه عجباً، فقال موسى: </w:t>
      </w:r>
      <w:r w:rsidRPr="00885058">
        <w:rPr>
          <w:rFonts w:ascii="QCF_BSML" w:hAnsi="QCF_BSML" w:cs="QCF_BSML"/>
          <w:color w:val="auto"/>
          <w:sz w:val="32"/>
          <w:szCs w:val="32"/>
          <w:rtl/>
          <w:lang w:eastAsia="en-US"/>
        </w:rPr>
        <w:t>ﭽ</w:t>
      </w:r>
      <w:r w:rsidRPr="00885058">
        <w:rPr>
          <w:rFonts w:ascii="QCF_P301" w:hAnsi="QCF_P301" w:cs="QCF_P301"/>
          <w:color w:val="auto"/>
          <w:sz w:val="32"/>
          <w:szCs w:val="32"/>
          <w:rtl/>
          <w:lang w:eastAsia="en-US"/>
        </w:rPr>
        <w:t xml:space="preserve"> ﭵ  ﭶ  ﭷ     ﭸﭹ  ﭺ  ﭻ  ﭼ   ﭽ</w:t>
      </w:r>
      <w:r w:rsidRPr="00885058">
        <w:rPr>
          <w:rFonts w:ascii="QCF_BSML" w:hAnsi="QCF_BSML" w:cs="QCF_BSML"/>
          <w:color w:val="auto"/>
          <w:sz w:val="32"/>
          <w:szCs w:val="32"/>
          <w:rtl/>
          <w:lang w:eastAsia="en-US"/>
        </w:rPr>
        <w:t>ﭼ</w:t>
      </w:r>
      <w:r w:rsidRPr="00885058">
        <w:rPr>
          <w:rFonts w:ascii="Traditional Arabic" w:hAnsi="Traditional Arabic"/>
          <w:rtl/>
        </w:rPr>
        <w:t xml:space="preserve"> قال: رجعا يقصّان آثارهما حتى انتهيا إِلى الصخرة، فاذا هو مسجَّىً بثوب، فسلَّم </w:t>
      </w:r>
      <w:r w:rsidRPr="00885058">
        <w:rPr>
          <w:rFonts w:ascii="Traditional Arabic" w:hAnsi="Traditional Arabic"/>
          <w:sz w:val="32"/>
          <w:szCs w:val="32"/>
          <w:rtl/>
        </w:rPr>
        <w:t>[</w:t>
      </w:r>
      <w:r w:rsidRPr="00885058">
        <w:rPr>
          <w:rFonts w:ascii="Traditional Arabic" w:hAnsi="Traditional Arabic" w:hint="cs"/>
          <w:sz w:val="32"/>
          <w:szCs w:val="32"/>
          <w:rtl/>
        </w:rPr>
        <w:t>133</w:t>
      </w:r>
      <w:r w:rsidRPr="00885058">
        <w:rPr>
          <w:rFonts w:ascii="Traditional Arabic" w:hAnsi="Traditional Arabic"/>
          <w:sz w:val="32"/>
          <w:szCs w:val="32"/>
          <w:rtl/>
        </w:rPr>
        <w:t>]</w:t>
      </w:r>
      <w:r w:rsidRPr="00885058">
        <w:rPr>
          <w:rFonts w:ascii="Traditional Arabic" w:hAnsi="Traditional Arabic"/>
          <w:rtl/>
        </w:rPr>
        <w:t xml:space="preserve"> عليه موسى، فقال الخضر: وأنّى بأرضك السلام! مَنْ أنت؟ قال: أنا موسى، قال: موسى بني إِسرائيل؟ قال: نعم أتيتك لتعلِّمني </w:t>
      </w:r>
      <w:r w:rsidRPr="00885058">
        <w:rPr>
          <w:rFonts w:ascii="QCF_BSML" w:hAnsi="QCF_BSML" w:cs="QCF_BSML"/>
          <w:color w:val="auto"/>
          <w:sz w:val="32"/>
          <w:szCs w:val="32"/>
          <w:rtl/>
          <w:lang w:eastAsia="en-US"/>
        </w:rPr>
        <w:t>ﭽ</w:t>
      </w:r>
      <w:r w:rsidRPr="00885058">
        <w:rPr>
          <w:rFonts w:ascii="QCF_P301" w:hAnsi="QCF_P301" w:cs="QCF_P301"/>
          <w:sz w:val="32"/>
          <w:szCs w:val="32"/>
          <w:rtl/>
          <w:lang w:eastAsia="en-US"/>
        </w:rPr>
        <w:t xml:space="preserve"> ﮔ  ﮕ  ﮖ  ﮗ  ﮘ  ﮙ    ﮚ  ﮛ   ﮜ  ﮝ  </w:t>
      </w:r>
      <w:r w:rsidRPr="00885058">
        <w:rPr>
          <w:rFonts w:ascii="QCF_BSML" w:hAnsi="QCF_BSML" w:cs="QCF_BSML"/>
          <w:color w:val="auto"/>
          <w:sz w:val="32"/>
          <w:szCs w:val="32"/>
          <w:rtl/>
          <w:lang w:eastAsia="en-US"/>
        </w:rPr>
        <w:t>ﭼ</w:t>
      </w:r>
      <w:r w:rsidRPr="00885058">
        <w:rPr>
          <w:rFonts w:ascii="Traditional Arabic" w:hAnsi="Traditional Arabic"/>
          <w:rtl/>
        </w:rPr>
        <w:t xml:space="preserve"> يا موسى، إِني على عِلْم مِنْ عِلْم الله لا تعلمُه علَّمَنِيه، وأنت على عِلْم من عِلْم الله علَّمَكهُ لا أعلمه فقال موسى: </w:t>
      </w:r>
      <w:r w:rsidRPr="00885058">
        <w:rPr>
          <w:rFonts w:ascii="QCF_BSML" w:hAnsi="QCF_BSML" w:cs="QCF_BSML"/>
          <w:color w:val="auto"/>
          <w:sz w:val="32"/>
          <w:szCs w:val="32"/>
          <w:rtl/>
          <w:lang w:eastAsia="en-US"/>
        </w:rPr>
        <w:t>ﭽ</w:t>
      </w:r>
      <w:r w:rsidRPr="00885058">
        <w:rPr>
          <w:rFonts w:ascii="QCF_P301" w:hAnsi="QCF_P301" w:cs="QCF_P301"/>
          <w:sz w:val="32"/>
          <w:szCs w:val="32"/>
          <w:rtl/>
          <w:lang w:eastAsia="en-US"/>
        </w:rPr>
        <w:t xml:space="preserve"> ﮩ  ﮪ     ﮫ  ﮬ  ﮭ </w:t>
      </w:r>
      <w:r w:rsidRPr="00885058">
        <w:rPr>
          <w:rFonts w:ascii="QCF_P301" w:hAnsi="QCF_P301" w:cs="QCF_P301" w:hint="cs"/>
          <w:sz w:val="32"/>
          <w:szCs w:val="32"/>
          <w:rtl/>
          <w:lang w:eastAsia="en-US"/>
        </w:rPr>
        <w:t xml:space="preserve"> </w:t>
      </w:r>
      <w:r w:rsidRPr="00885058">
        <w:rPr>
          <w:rFonts w:ascii="QCF_P301" w:hAnsi="QCF_P301" w:cs="QCF_P301"/>
          <w:sz w:val="32"/>
          <w:szCs w:val="32"/>
          <w:rtl/>
          <w:lang w:eastAsia="en-US"/>
        </w:rPr>
        <w:t xml:space="preserve"> ﮮ  ﮯ  ﮰ  ﮱ</w:t>
      </w:r>
      <w:r w:rsidRPr="00885058">
        <w:rPr>
          <w:rFonts w:ascii="QCF_BSML" w:hAnsi="QCF_BSML" w:cs="QCF_BSML"/>
          <w:color w:val="auto"/>
          <w:sz w:val="32"/>
          <w:szCs w:val="32"/>
          <w:rtl/>
          <w:lang w:eastAsia="en-US"/>
        </w:rPr>
        <w:t>ﭼ</w:t>
      </w:r>
      <w:r w:rsidRPr="00885058">
        <w:rPr>
          <w:rFonts w:ascii="QCF_P301" w:hAnsi="QCF_P301" w:cs="QCF_P301"/>
          <w:sz w:val="32"/>
          <w:szCs w:val="32"/>
          <w:rtl/>
          <w:lang w:eastAsia="en-US"/>
        </w:rPr>
        <w:t xml:space="preserve"> </w:t>
      </w:r>
      <w:r w:rsidRPr="00885058">
        <w:rPr>
          <w:rFonts w:ascii="QCF_P301" w:hAnsi="QCF_P301" w:cs="QCF_P301" w:hint="cs"/>
          <w:sz w:val="32"/>
          <w:szCs w:val="32"/>
          <w:rtl/>
          <w:lang w:eastAsia="en-US"/>
        </w:rPr>
        <w:t xml:space="preserve">   </w:t>
      </w:r>
      <w:r w:rsidRPr="00885058">
        <w:rPr>
          <w:rFonts w:ascii="QCF_P301" w:hAnsi="QCF_P301" w:cs="QCF_P301"/>
          <w:sz w:val="32"/>
          <w:szCs w:val="32"/>
          <w:rtl/>
          <w:lang w:eastAsia="en-US"/>
        </w:rPr>
        <w:t xml:space="preserve"> </w:t>
      </w:r>
      <w:r w:rsidRPr="00885058">
        <w:rPr>
          <w:rFonts w:ascii="Traditional Arabic" w:hAnsi="Traditional Arabic"/>
          <w:rtl/>
        </w:rPr>
        <w:t xml:space="preserve">فقال له الخضر: </w:t>
      </w:r>
      <w:r w:rsidRPr="00885058">
        <w:rPr>
          <w:rFonts w:ascii="QCF_BSML" w:hAnsi="QCF_BSML" w:cs="QCF_BSML"/>
          <w:color w:val="auto"/>
          <w:sz w:val="32"/>
          <w:szCs w:val="32"/>
          <w:rtl/>
          <w:lang w:eastAsia="en-US"/>
        </w:rPr>
        <w:t>ﭽ</w:t>
      </w:r>
      <w:r w:rsidRPr="00885058">
        <w:rPr>
          <w:rFonts w:ascii="QCF_P301" w:hAnsi="QCF_P301" w:cs="QCF_P301"/>
          <w:sz w:val="32"/>
          <w:szCs w:val="32"/>
          <w:rtl/>
          <w:lang w:eastAsia="en-US"/>
        </w:rPr>
        <w:t xml:space="preserve">ﯕ  ﯖ  ﯗ  ﯘ  ﯙ  ﯚ  ﯛ  ﯜ  ﯝ  ﯞ  ﯟ   ﯠ  </w:t>
      </w:r>
      <w:r w:rsidRPr="00885058">
        <w:rPr>
          <w:rFonts w:ascii="QCF_BSML" w:hAnsi="QCF_BSML" w:cs="QCF_BSML"/>
          <w:sz w:val="32"/>
          <w:szCs w:val="32"/>
          <w:rtl/>
          <w:lang w:eastAsia="en-US"/>
        </w:rPr>
        <w:t xml:space="preserve"> </w:t>
      </w:r>
      <w:r w:rsidRPr="00885058">
        <w:rPr>
          <w:rFonts w:ascii="QCF_P301" w:hAnsi="QCF_P301" w:cs="QCF_P301"/>
          <w:sz w:val="32"/>
          <w:szCs w:val="32"/>
          <w:rtl/>
          <w:lang w:eastAsia="en-US"/>
        </w:rPr>
        <w:t xml:space="preserve">ﯡ  </w:t>
      </w:r>
      <w:r w:rsidRPr="00885058">
        <w:rPr>
          <w:rFonts w:ascii="QCF_BSML" w:hAnsi="QCF_BSML" w:cs="QCF_BSML"/>
          <w:color w:val="auto"/>
          <w:sz w:val="32"/>
          <w:szCs w:val="32"/>
          <w:rtl/>
          <w:lang w:eastAsia="en-US"/>
        </w:rPr>
        <w:t>ﭼ</w:t>
      </w:r>
      <w:r w:rsidRPr="00885058">
        <w:rPr>
          <w:rFonts w:ascii="Traditional Arabic" w:hAnsi="Traditional Arabic"/>
          <w:rtl/>
        </w:rPr>
        <w:t xml:space="preserve"> يمشيان على الساحل، فمرَّت سفينة فكلَّموهم أن يحملوهم، فعرفوا الخضر فحملوه بغير نَوْلٍ</w:t>
      </w:r>
      <w:r w:rsidRPr="00885058">
        <w:rPr>
          <w:vertAlign w:val="superscript"/>
          <w:rtl/>
        </w:rPr>
        <w:t>(</w:t>
      </w:r>
      <w:r w:rsidRPr="00885058">
        <w:rPr>
          <w:vertAlign w:val="superscript"/>
          <w:rtl/>
        </w:rPr>
        <w:footnoteReference w:id="1568"/>
      </w:r>
      <w:r w:rsidRPr="00885058">
        <w:rPr>
          <w:vertAlign w:val="superscript"/>
          <w:rtl/>
        </w:rPr>
        <w:t>)</w:t>
      </w:r>
      <w:r w:rsidRPr="00885058">
        <w:rPr>
          <w:rFonts w:ascii="Traditional Arabic" w:hAnsi="Traditional Arabic"/>
          <w:rtl/>
        </w:rPr>
        <w:t>فلما ركبا في السفينة لم يفجأ إِلا والخضر قد قلع لوحاً من ألواح السفينة بالقَدوم</w:t>
      </w:r>
      <w:r w:rsidRPr="00885058">
        <w:rPr>
          <w:vertAlign w:val="superscript"/>
          <w:rtl/>
        </w:rPr>
        <w:t>(</w:t>
      </w:r>
      <w:r w:rsidRPr="00885058">
        <w:rPr>
          <w:vertAlign w:val="superscript"/>
          <w:rtl/>
        </w:rPr>
        <w:footnoteReference w:id="1569"/>
      </w:r>
      <w:r w:rsidRPr="00885058">
        <w:rPr>
          <w:vertAlign w:val="superscript"/>
          <w:rtl/>
        </w:rPr>
        <w:t>)</w:t>
      </w:r>
      <w:r w:rsidRPr="00885058">
        <w:rPr>
          <w:rFonts w:ascii="Traditional Arabic" w:hAnsi="Traditional Arabic"/>
          <w:rtl/>
        </w:rPr>
        <w:t xml:space="preserve">، فقال له موسى: قوم قد حملونا بغير نَوْل عمدتَ إِلى سفينتهم فخرقتها </w:t>
      </w:r>
      <w:r w:rsidRPr="00885058">
        <w:rPr>
          <w:rFonts w:ascii="QCF_BSML" w:hAnsi="QCF_BSML" w:cs="QCF_BSML"/>
          <w:color w:val="auto"/>
          <w:sz w:val="32"/>
          <w:szCs w:val="32"/>
          <w:rtl/>
          <w:lang w:eastAsia="en-US"/>
        </w:rPr>
        <w:t>ﭽ</w:t>
      </w:r>
      <w:r w:rsidRPr="00885058">
        <w:rPr>
          <w:rFonts w:ascii="QCF_P301" w:hAnsi="QCF_P301" w:cs="QCF_P301"/>
          <w:color w:val="auto"/>
          <w:sz w:val="32"/>
          <w:szCs w:val="32"/>
          <w:rtl/>
          <w:lang w:eastAsia="en-US"/>
        </w:rPr>
        <w:t xml:space="preserve">ﯫ  ﯬ  </w:t>
      </w:r>
      <w:r w:rsidRPr="00885058">
        <w:rPr>
          <w:rFonts w:ascii="QCF_BSML" w:hAnsi="QCF_BSML" w:cs="QCF_BSML"/>
          <w:color w:val="auto"/>
          <w:sz w:val="32"/>
          <w:szCs w:val="32"/>
          <w:rtl/>
          <w:lang w:eastAsia="en-US"/>
        </w:rPr>
        <w:t>ﭼ</w:t>
      </w:r>
      <w:r w:rsidRPr="00885058">
        <w:rPr>
          <w:rFonts w:ascii="Traditional Arabic" w:hAnsi="Traditional Arabic"/>
          <w:rtl/>
        </w:rPr>
        <w:t xml:space="preserve"> ... إِلى قوله: </w:t>
      </w:r>
      <w:r w:rsidRPr="00885058">
        <w:rPr>
          <w:rFonts w:ascii="QCF_BSML" w:hAnsi="QCF_BSML" w:cs="QCF_BSML"/>
          <w:color w:val="auto"/>
          <w:sz w:val="32"/>
          <w:szCs w:val="32"/>
          <w:rtl/>
          <w:lang w:eastAsia="en-US"/>
        </w:rPr>
        <w:t>ﭽ</w:t>
      </w:r>
      <w:r w:rsidRPr="00885058">
        <w:rPr>
          <w:rFonts w:ascii="QCF_P301" w:hAnsi="QCF_P301" w:cs="QCF_P301"/>
          <w:color w:val="auto"/>
          <w:sz w:val="32"/>
          <w:szCs w:val="32"/>
          <w:rtl/>
          <w:lang w:eastAsia="en-US"/>
        </w:rPr>
        <w:t xml:space="preserve"> ﰄ </w:t>
      </w:r>
      <w:r w:rsidRPr="00885058">
        <w:rPr>
          <w:rFonts w:ascii="QCF_BSML" w:hAnsi="QCF_BSML" w:cs="QCF_BSML"/>
          <w:color w:val="auto"/>
          <w:sz w:val="32"/>
          <w:szCs w:val="32"/>
          <w:rtl/>
          <w:lang w:eastAsia="en-US"/>
        </w:rPr>
        <w:t>ﭼ</w:t>
      </w:r>
      <w:r w:rsidRPr="00885058">
        <w:rPr>
          <w:rFonts w:ascii="Traditional Arabic" w:hAnsi="Traditional Arabic"/>
          <w:rtl/>
        </w:rPr>
        <w:t xml:space="preserve"> ؟! قال: وقال رسول الله</w:t>
      </w:r>
      <w:r w:rsidRPr="00885058">
        <w:rPr>
          <w:rFonts w:ascii="Traditional Arabic" w:hAnsi="Traditional Arabic" w:hint="cs"/>
          <w:rtl/>
        </w:rPr>
        <w:t xml:space="preserve"> </w:t>
      </w:r>
      <w:r w:rsidRPr="00885058">
        <w:rPr>
          <w:rFonts w:ascii="Traditional Arabic" w:hAnsi="Traditional Arabic"/>
        </w:rPr>
        <w:t xml:space="preserve"> :</w:t>
      </w:r>
      <w:r w:rsidRPr="00885058">
        <w:rPr>
          <w:rFonts w:ascii="Traditional Arabic" w:hAnsi="Traditional Arabic"/>
        </w:rPr>
        <w:sym w:font="AGA Arabesque" w:char="F072"/>
      </w:r>
      <w:r w:rsidRPr="00885058">
        <w:rPr>
          <w:rFonts w:ascii="Traditional Arabic" w:hAnsi="Traditional Arabic"/>
          <w:rtl/>
        </w:rPr>
        <w:t>«كانت الأولى من موسى نسيانا» قال: وجاء عصفور فوقع على حرف</w:t>
      </w:r>
      <w:r w:rsidRPr="00885058">
        <w:rPr>
          <w:vertAlign w:val="superscript"/>
          <w:rtl/>
        </w:rPr>
        <w:t>(</w:t>
      </w:r>
      <w:r w:rsidRPr="00885058">
        <w:rPr>
          <w:vertAlign w:val="superscript"/>
          <w:rtl/>
        </w:rPr>
        <w:footnoteReference w:id="1570"/>
      </w:r>
      <w:r w:rsidRPr="00885058">
        <w:rPr>
          <w:vertAlign w:val="superscript"/>
          <w:rtl/>
        </w:rPr>
        <w:t>)</w:t>
      </w:r>
      <w:r w:rsidRPr="00885058">
        <w:rPr>
          <w:rFonts w:ascii="Traditional Arabic" w:hAnsi="Traditional Arabic"/>
          <w:rtl/>
        </w:rPr>
        <w:t xml:space="preserve">السفينة، فنقر في البحر نقرة، فقال له الخضر: ما علمي وعلمك من علم الله عزّ وجلّ إِلا مثل ما نقص هذا العصفور من هذا البحر، ثم خرجا من السفينة، فبينما هما يمشيان على الساحل، إِذ أبصر الخضر غلاماً يلعب مع الغلمان، فأخذ الخضر رأسه </w:t>
      </w:r>
      <w:r w:rsidRPr="00885058">
        <w:rPr>
          <w:rFonts w:ascii="Traditional Arabic" w:hAnsi="Traditional Arabic" w:hint="cs"/>
          <w:rtl/>
        </w:rPr>
        <w:t>[</w:t>
      </w:r>
      <w:r w:rsidRPr="00885058">
        <w:rPr>
          <w:rFonts w:ascii="Traditional Arabic" w:hAnsi="Traditional Arabic"/>
          <w:rtl/>
        </w:rPr>
        <w:t>بيده</w:t>
      </w:r>
      <w:r w:rsidRPr="00885058">
        <w:rPr>
          <w:rFonts w:ascii="Traditional Arabic" w:hAnsi="Traditional Arabic"/>
          <w:color w:val="auto"/>
          <w:rtl/>
        </w:rPr>
        <w:t>]</w:t>
      </w:r>
      <w:r w:rsidRPr="00885058">
        <w:rPr>
          <w:rFonts w:ascii="Traditional Arabic" w:hAnsi="Traditional Arabic"/>
          <w:color w:val="auto"/>
          <w:vertAlign w:val="superscript"/>
        </w:rPr>
        <w:t>(</w:t>
      </w:r>
      <w:r w:rsidRPr="00885058">
        <w:rPr>
          <w:rFonts w:ascii="Traditional Arabic" w:hAnsi="Traditional Arabic"/>
          <w:color w:val="auto"/>
          <w:vertAlign w:val="superscript"/>
        </w:rPr>
        <w:footnoteReference w:id="1571"/>
      </w:r>
      <w:r w:rsidRPr="00885058">
        <w:rPr>
          <w:rFonts w:ascii="Traditional Arabic" w:hAnsi="Traditional Arabic"/>
          <w:color w:val="auto"/>
          <w:vertAlign w:val="superscript"/>
        </w:rPr>
        <w:t>)</w:t>
      </w:r>
      <w:r w:rsidRPr="00885058">
        <w:rPr>
          <w:rFonts w:ascii="Traditional Arabic" w:hAnsi="Traditional Arabic"/>
          <w:rtl/>
        </w:rPr>
        <w:t xml:space="preserve">فاقتلعه فقتله، فقال له موسى: </w:t>
      </w:r>
      <w:r w:rsidRPr="00885058">
        <w:rPr>
          <w:rFonts w:ascii="QCF_BSML" w:hAnsi="QCF_BSML" w:cs="QCF_BSML"/>
          <w:color w:val="auto"/>
          <w:sz w:val="32"/>
          <w:szCs w:val="32"/>
          <w:rtl/>
          <w:lang w:eastAsia="en-US"/>
        </w:rPr>
        <w:t>ﭽ</w:t>
      </w:r>
      <w:r w:rsidRPr="00885058">
        <w:rPr>
          <w:rFonts w:ascii="QCF_P301" w:hAnsi="QCF_P301" w:cs="QCF_P301"/>
          <w:color w:val="auto"/>
          <w:sz w:val="32"/>
          <w:szCs w:val="32"/>
          <w:rtl/>
          <w:lang w:eastAsia="en-US"/>
        </w:rPr>
        <w:t>ﰍ  ﰎ  ﰏ</w:t>
      </w:r>
      <w:r w:rsidRPr="00885058">
        <w:rPr>
          <w:rFonts w:ascii="QCF_BSML" w:hAnsi="QCF_BSML" w:cs="QCF_BSML"/>
          <w:color w:val="auto"/>
          <w:sz w:val="32"/>
          <w:szCs w:val="32"/>
          <w:rtl/>
          <w:lang w:eastAsia="en-US"/>
        </w:rPr>
        <w:t>ﭼ</w:t>
      </w:r>
      <w:r w:rsidRPr="00885058">
        <w:rPr>
          <w:rFonts w:ascii="Traditional Arabic" w:hAnsi="Traditional Arabic" w:hint="cs"/>
          <w:rtl/>
        </w:rPr>
        <w:t xml:space="preserve"> </w:t>
      </w:r>
      <w:r w:rsidRPr="00885058">
        <w:rPr>
          <w:rFonts w:ascii="Traditional Arabic" w:hAnsi="Traditional Arabic"/>
          <w:rtl/>
        </w:rPr>
        <w:t>إِلى قوله</w:t>
      </w:r>
      <w:r w:rsidRPr="00885058">
        <w:rPr>
          <w:vertAlign w:val="superscript"/>
          <w:rtl/>
        </w:rPr>
        <w:t>(</w:t>
      </w:r>
      <w:r w:rsidRPr="00885058">
        <w:rPr>
          <w:vertAlign w:val="superscript"/>
          <w:rtl/>
        </w:rPr>
        <w:footnoteReference w:id="1572"/>
      </w:r>
      <w:r w:rsidRPr="00885058">
        <w:rPr>
          <w:vertAlign w:val="superscript"/>
          <w:rtl/>
        </w:rPr>
        <w:t>)</w:t>
      </w:r>
      <w:r w:rsidRPr="00885058">
        <w:rPr>
          <w:rFonts w:ascii="Traditional Arabic" w:hAnsi="Traditional Arabic"/>
          <w:rtl/>
        </w:rPr>
        <w:t xml:space="preserve">: </w:t>
      </w:r>
      <w:r w:rsidRPr="00885058">
        <w:rPr>
          <w:rFonts w:ascii="QCF_BSML" w:hAnsi="QCF_BSML" w:cs="QCF_BSML"/>
          <w:color w:val="auto"/>
          <w:sz w:val="32"/>
          <w:szCs w:val="32"/>
          <w:rtl/>
          <w:lang w:eastAsia="en-US"/>
        </w:rPr>
        <w:t>ﭽ</w:t>
      </w:r>
      <w:r w:rsidRPr="00885058">
        <w:rPr>
          <w:rFonts w:ascii="QCF_P302" w:hAnsi="QCF_P302" w:cs="QCF_P302"/>
          <w:color w:val="auto"/>
          <w:sz w:val="32"/>
          <w:szCs w:val="32"/>
          <w:rtl/>
          <w:lang w:eastAsia="en-US"/>
        </w:rPr>
        <w:t xml:space="preserve"> ﭹ  ﭺ  ﭻ</w:t>
      </w:r>
      <w:r w:rsidRPr="00885058">
        <w:rPr>
          <w:rFonts w:ascii="QCF_BSML" w:hAnsi="QCF_BSML" w:cs="QCF_BSML"/>
          <w:color w:val="auto"/>
          <w:sz w:val="32"/>
          <w:szCs w:val="32"/>
          <w:rtl/>
          <w:lang w:eastAsia="en-US"/>
        </w:rPr>
        <w:t>ﭼ</w:t>
      </w:r>
      <w:r w:rsidRPr="00885058">
        <w:rPr>
          <w:rFonts w:ascii="Traditional Arabic" w:hAnsi="Traditional Arabic"/>
          <w:rtl/>
        </w:rPr>
        <w:t xml:space="preserve"> فقال الخضر بيده </w:t>
      </w:r>
      <w:r w:rsidRPr="00885058">
        <w:rPr>
          <w:rFonts w:ascii="Traditional Arabic" w:hAnsi="Traditional Arabic"/>
          <w:rtl/>
        </w:rPr>
        <w:lastRenderedPageBreak/>
        <w:t>هكذا</w:t>
      </w:r>
      <w:r w:rsidRPr="00885058">
        <w:rPr>
          <w:vertAlign w:val="superscript"/>
          <w:rtl/>
        </w:rPr>
        <w:t>(</w:t>
      </w:r>
      <w:r w:rsidRPr="00885058">
        <w:rPr>
          <w:vertAlign w:val="superscript"/>
          <w:rtl/>
        </w:rPr>
        <w:footnoteReference w:id="1573"/>
      </w:r>
      <w:r w:rsidRPr="00885058">
        <w:rPr>
          <w:vertAlign w:val="superscript"/>
          <w:rtl/>
        </w:rPr>
        <w:t>)</w:t>
      </w:r>
      <w:r w:rsidRPr="00885058">
        <w:rPr>
          <w:rFonts w:ascii="Traditional Arabic" w:hAnsi="Traditional Arabic"/>
          <w:rtl/>
        </w:rPr>
        <w:t xml:space="preserve">، </w:t>
      </w:r>
      <w:r w:rsidRPr="00885058">
        <w:rPr>
          <w:rFonts w:ascii="QCF_BSML" w:hAnsi="QCF_BSML" w:cs="QCF_BSML"/>
          <w:color w:val="auto"/>
          <w:sz w:val="32"/>
          <w:szCs w:val="32"/>
          <w:rtl/>
          <w:lang w:eastAsia="en-US"/>
        </w:rPr>
        <w:t>ﭽ</w:t>
      </w:r>
      <w:r w:rsidRPr="00885058">
        <w:rPr>
          <w:rFonts w:ascii="QCF_P302" w:hAnsi="QCF_P302" w:cs="QCF_P302"/>
          <w:color w:val="auto"/>
          <w:sz w:val="32"/>
          <w:szCs w:val="32"/>
          <w:rtl/>
          <w:lang w:eastAsia="en-US"/>
        </w:rPr>
        <w:t>ﭼ</w:t>
      </w:r>
      <w:r w:rsidRPr="00885058">
        <w:rPr>
          <w:rFonts w:ascii="QCF_BSML" w:hAnsi="QCF_BSML" w:cs="QCF_BSML"/>
          <w:color w:val="auto"/>
          <w:sz w:val="32"/>
          <w:szCs w:val="32"/>
          <w:rtl/>
          <w:lang w:eastAsia="en-US"/>
        </w:rPr>
        <w:t>ﭼ</w:t>
      </w:r>
      <w:r w:rsidRPr="00885058">
        <w:rPr>
          <w:rFonts w:ascii="Traditional Arabic" w:hAnsi="Traditional Arabic"/>
          <w:rtl/>
        </w:rPr>
        <w:t xml:space="preserve"> فقال موسى: قوم أتيناهم فلم يطعمونا، ولم يضيِّفونا </w:t>
      </w:r>
      <w:r w:rsidRPr="00885058">
        <w:rPr>
          <w:rFonts w:ascii="QCF_BSML" w:hAnsi="QCF_BSML" w:cs="QCF_BSML"/>
          <w:color w:val="auto"/>
          <w:sz w:val="32"/>
          <w:szCs w:val="32"/>
          <w:rtl/>
          <w:lang w:eastAsia="en-US"/>
        </w:rPr>
        <w:t>ﭽ</w:t>
      </w:r>
      <w:r w:rsidRPr="00885058">
        <w:rPr>
          <w:rFonts w:ascii="QCF_P302" w:hAnsi="QCF_P302" w:cs="QCF_P302"/>
          <w:color w:val="auto"/>
          <w:sz w:val="32"/>
          <w:szCs w:val="32"/>
          <w:rtl/>
          <w:lang w:eastAsia="en-US"/>
        </w:rPr>
        <w:t xml:space="preserve">  ﭿ    ﮀ  ﮁ  ﮂ  ﮃ  ﮄ  ﮅ  ﮆ  ﮇ  ﮈ    ﮉ</w:t>
      </w:r>
      <w:r w:rsidRPr="00885058">
        <w:rPr>
          <w:rFonts w:ascii="QCF_BSML" w:hAnsi="QCF_BSML" w:cs="QCF_BSML"/>
          <w:color w:val="auto"/>
          <w:sz w:val="32"/>
          <w:szCs w:val="32"/>
          <w:rtl/>
          <w:lang w:eastAsia="en-US"/>
        </w:rPr>
        <w:t>ﭼ</w:t>
      </w:r>
      <w:r w:rsidRPr="00885058">
        <w:rPr>
          <w:rFonts w:ascii="Traditional Arabic" w:hAnsi="Traditional Arabic"/>
          <w:rtl/>
        </w:rPr>
        <w:t xml:space="preserve"> الآية». هذا حديث صحيح أخرجه البخاري ومسلم في «الصحيحين»</w:t>
      </w:r>
      <w:r w:rsidRPr="00885058">
        <w:rPr>
          <w:vertAlign w:val="superscript"/>
          <w:rtl/>
        </w:rPr>
        <w:t>(</w:t>
      </w:r>
      <w:r w:rsidRPr="00885058">
        <w:rPr>
          <w:vertAlign w:val="superscript"/>
          <w:rtl/>
        </w:rPr>
        <w:footnoteReference w:id="1574"/>
      </w:r>
      <w:r w:rsidRPr="00885058">
        <w:rPr>
          <w:vertAlign w:val="superscript"/>
          <w:rtl/>
        </w:rPr>
        <w:t>)</w:t>
      </w:r>
      <w:r w:rsidRPr="00885058">
        <w:rPr>
          <w:rFonts w:ascii="Traditional Arabic" w:hAnsi="Traditional Arabic"/>
          <w:rtl/>
        </w:rPr>
        <w:t>، وقد ذكرنا إِسناده في كتاب «الحدائق»</w:t>
      </w:r>
      <w:r w:rsidRPr="00885058">
        <w:rPr>
          <w:vertAlign w:val="superscript"/>
          <w:rtl/>
        </w:rPr>
        <w:t>(</w:t>
      </w:r>
      <w:r w:rsidRPr="00885058">
        <w:rPr>
          <w:vertAlign w:val="superscript"/>
          <w:rtl/>
        </w:rPr>
        <w:footnoteReference w:id="1575"/>
      </w:r>
      <w:r w:rsidRPr="00885058">
        <w:rPr>
          <w:vertAlign w:val="superscript"/>
          <w:rtl/>
        </w:rPr>
        <w:t>)</w:t>
      </w:r>
      <w:r w:rsidRPr="00885058">
        <w:rPr>
          <w:rFonts w:ascii="Traditional Arabic" w:hAnsi="Traditional Arabic"/>
          <w:rtl/>
        </w:rPr>
        <w:t>فآثرنا الاختصار ها هنا.</w:t>
      </w:r>
      <w:r w:rsidRPr="00885058">
        <w:rPr>
          <w:rFonts w:ascii="Traditional Arabic" w:hAnsi="Traditional Arabic" w:hint="cs"/>
          <w:rtl/>
        </w:rPr>
        <w:t xml:space="preserve"> </w:t>
      </w:r>
    </w:p>
    <w:p w:rsidR="00885058" w:rsidRPr="00885058" w:rsidRDefault="00885058" w:rsidP="00885058">
      <w:pPr>
        <w:ind w:firstLine="0"/>
        <w:rPr>
          <w:rFonts w:ascii="Traditional Arabic" w:hAnsi="Traditional Arabic"/>
          <w:rtl/>
        </w:rPr>
      </w:pPr>
      <w:r w:rsidRPr="00885058">
        <w:rPr>
          <w:rFonts w:ascii="Traditional Arabic" w:hAnsi="Traditional Arabic"/>
          <w:rtl/>
        </w:rPr>
        <w:t xml:space="preserve">فأما التفسير، فقوله تعالى: </w:t>
      </w:r>
      <w:r w:rsidRPr="00885058">
        <w:rPr>
          <w:rFonts w:ascii="QCF_BSML" w:hAnsi="QCF_BSML" w:cs="QCF_BSML"/>
          <w:color w:val="auto"/>
          <w:sz w:val="32"/>
          <w:szCs w:val="32"/>
          <w:rtl/>
          <w:lang w:eastAsia="en-US"/>
        </w:rPr>
        <w:t>ﭽ</w:t>
      </w:r>
      <w:r w:rsidRPr="00885058">
        <w:rPr>
          <w:rFonts w:ascii="QCF_P300" w:hAnsi="QCF_P300" w:cs="QCF_P300"/>
          <w:color w:val="auto"/>
          <w:sz w:val="32"/>
          <w:szCs w:val="32"/>
          <w:rtl/>
          <w:lang w:eastAsia="en-US"/>
        </w:rPr>
        <w:t>ﯫ  ﯬ  ﯭ</w:t>
      </w:r>
      <w:r w:rsidRPr="00885058">
        <w:rPr>
          <w:rFonts w:ascii="QCF_BSML" w:hAnsi="QCF_BSML" w:cs="QCF_BSML"/>
          <w:color w:val="auto"/>
          <w:sz w:val="32"/>
          <w:szCs w:val="32"/>
          <w:rtl/>
          <w:lang w:eastAsia="en-US"/>
        </w:rPr>
        <w:t>ﭼ</w:t>
      </w:r>
      <w:r w:rsidRPr="00885058">
        <w:rPr>
          <w:rFonts w:ascii="Traditional Arabic" w:hAnsi="Traditional Arabic"/>
          <w:rtl/>
        </w:rPr>
        <w:t xml:space="preserve"> المعنى: واذكر ذلك. وفي موسى قولان:</w:t>
      </w:r>
      <w:r w:rsidRPr="00885058">
        <w:rPr>
          <w:rFonts w:ascii="Traditional Arabic" w:hAnsi="Traditional Arabic" w:hint="cs"/>
          <w:rtl/>
        </w:rPr>
        <w:t xml:space="preserve"> </w:t>
      </w:r>
      <w:r w:rsidRPr="00885058">
        <w:rPr>
          <w:rFonts w:ascii="Traditional Arabic" w:hAnsi="Traditional Arabic"/>
          <w:rtl/>
        </w:rPr>
        <w:t>أحدهما: أنه موسى بن عمران، قاله الأكثرون</w:t>
      </w:r>
      <w:r w:rsidRPr="00885058">
        <w:rPr>
          <w:vertAlign w:val="superscript"/>
          <w:rtl/>
        </w:rPr>
        <w:t>(</w:t>
      </w:r>
      <w:r w:rsidRPr="00885058">
        <w:rPr>
          <w:vertAlign w:val="superscript"/>
          <w:rtl/>
        </w:rPr>
        <w:footnoteReference w:id="1576"/>
      </w:r>
      <w:r w:rsidRPr="00885058">
        <w:rPr>
          <w:vertAlign w:val="superscript"/>
          <w:rtl/>
        </w:rPr>
        <w:t>)</w:t>
      </w:r>
      <w:r w:rsidRPr="00885058">
        <w:rPr>
          <w:rFonts w:ascii="Traditional Arabic" w:hAnsi="Traditional Arabic"/>
          <w:rtl/>
        </w:rPr>
        <w:t>. ويدل عليه. ما روي في «الصحيحين» من حديث سعيد بن جبير قال:</w:t>
      </w:r>
      <w:r w:rsidRPr="00885058">
        <w:rPr>
          <w:rFonts w:ascii="Traditional Arabic" w:hAnsi="Traditional Arabic" w:hint="cs"/>
          <w:rtl/>
        </w:rPr>
        <w:t xml:space="preserve"> </w:t>
      </w:r>
      <w:r w:rsidRPr="00885058">
        <w:rPr>
          <w:rFonts w:ascii="Traditional Arabic" w:hAnsi="Traditional Arabic"/>
          <w:rtl/>
        </w:rPr>
        <w:t>قلت لابن عباس: إِن نَوْفاً البِكاليّ</w:t>
      </w:r>
      <w:r w:rsidRPr="00885058">
        <w:rPr>
          <w:vertAlign w:val="superscript"/>
          <w:rtl/>
        </w:rPr>
        <w:t>(</w:t>
      </w:r>
      <w:r w:rsidRPr="00885058">
        <w:rPr>
          <w:vertAlign w:val="superscript"/>
          <w:rtl/>
        </w:rPr>
        <w:footnoteReference w:id="1577"/>
      </w:r>
      <w:r w:rsidRPr="00885058">
        <w:rPr>
          <w:vertAlign w:val="superscript"/>
          <w:rtl/>
        </w:rPr>
        <w:t>)</w:t>
      </w:r>
      <w:r w:rsidRPr="00885058">
        <w:rPr>
          <w:rFonts w:ascii="Traditional Arabic" w:hAnsi="Traditional Arabic"/>
          <w:rtl/>
        </w:rPr>
        <w:t>يزعم أن موسى بني إسرائيل ليس هو موسى صاحب الخضر، قال: كذب عدو الله، أخبرني أُبيّ بن كعب.. فذكر الحديث الذي قدمناه آنفاً</w:t>
      </w:r>
      <w:r w:rsidRPr="00885058">
        <w:rPr>
          <w:vertAlign w:val="superscript"/>
          <w:rtl/>
        </w:rPr>
        <w:t>(</w:t>
      </w:r>
      <w:r w:rsidRPr="00885058">
        <w:rPr>
          <w:vertAlign w:val="superscript"/>
          <w:rtl/>
        </w:rPr>
        <w:footnoteReference w:id="1578"/>
      </w:r>
      <w:r w:rsidRPr="00885058">
        <w:rPr>
          <w:vertAlign w:val="superscript"/>
          <w:rtl/>
        </w:rPr>
        <w:t>)</w:t>
      </w:r>
      <w:r w:rsidRPr="00885058">
        <w:rPr>
          <w:rFonts w:ascii="Traditional Arabic" w:hAnsi="Traditional Arabic"/>
          <w:rtl/>
        </w:rPr>
        <w:t>.</w:t>
      </w:r>
      <w:r w:rsidRPr="00885058">
        <w:rPr>
          <w:rFonts w:ascii="Traditional Arabic" w:hAnsi="Traditional Arabic" w:hint="cs"/>
          <w:rtl/>
        </w:rPr>
        <w:t xml:space="preserve"> </w:t>
      </w:r>
    </w:p>
    <w:p w:rsidR="00885058" w:rsidRPr="00885058" w:rsidRDefault="00885058" w:rsidP="00885058">
      <w:pPr>
        <w:ind w:firstLine="0"/>
        <w:rPr>
          <w:rFonts w:ascii="Traditional Arabic" w:hAnsi="Traditional Arabic"/>
          <w:rtl/>
        </w:rPr>
      </w:pPr>
      <w:r w:rsidRPr="00885058">
        <w:rPr>
          <w:rFonts w:ascii="Traditional Arabic" w:hAnsi="Traditional Arabic"/>
          <w:rtl/>
        </w:rPr>
        <w:t>والثاني: أنه موسى بن ميشا، قاله ابن إِسحاق</w:t>
      </w:r>
      <w:r w:rsidRPr="00885058">
        <w:rPr>
          <w:vertAlign w:val="superscript"/>
          <w:rtl/>
        </w:rPr>
        <w:t>(</w:t>
      </w:r>
      <w:r w:rsidRPr="00885058">
        <w:rPr>
          <w:vertAlign w:val="superscript"/>
          <w:rtl/>
        </w:rPr>
        <w:footnoteReference w:id="1579"/>
      </w:r>
      <w:r w:rsidRPr="00885058">
        <w:rPr>
          <w:vertAlign w:val="superscript"/>
          <w:rtl/>
        </w:rPr>
        <w:t>)</w:t>
      </w:r>
      <w:r w:rsidRPr="00885058">
        <w:rPr>
          <w:rFonts w:ascii="Traditional Arabic" w:hAnsi="Traditional Arabic"/>
          <w:rtl/>
        </w:rPr>
        <w:t xml:space="preserve">، وليس بشيء، للحديث الصحيح الذي ذكرناه فأما فتاه فهو يوشع بن نون من غير خلاف. </w:t>
      </w:r>
      <w:r w:rsidRPr="00885058">
        <w:rPr>
          <w:rFonts w:ascii="Traditional Arabic" w:hAnsi="Traditional Arabic"/>
          <w:sz w:val="32"/>
          <w:szCs w:val="32"/>
          <w:rtl/>
        </w:rPr>
        <w:t>[</w:t>
      </w:r>
      <w:r w:rsidRPr="00885058">
        <w:rPr>
          <w:rFonts w:ascii="Traditional Arabic" w:hAnsi="Traditional Arabic" w:hint="cs"/>
          <w:sz w:val="32"/>
          <w:szCs w:val="32"/>
          <w:rtl/>
        </w:rPr>
        <w:t>134</w:t>
      </w:r>
      <w:r w:rsidRPr="00885058">
        <w:rPr>
          <w:rFonts w:ascii="Traditional Arabic" w:hAnsi="Traditional Arabic"/>
          <w:sz w:val="32"/>
          <w:szCs w:val="32"/>
          <w:rtl/>
        </w:rPr>
        <w:t>]</w:t>
      </w:r>
      <w:r w:rsidRPr="00885058">
        <w:rPr>
          <w:rFonts w:ascii="Traditional Arabic" w:hAnsi="Traditional Arabic"/>
          <w:rtl/>
        </w:rPr>
        <w:t xml:space="preserve"> وإِنما سمي فتاه، لأنه كان يلازمه، ويأخذ عنه العلم، ويخدمه</w:t>
      </w:r>
      <w:r w:rsidRPr="00885058">
        <w:rPr>
          <w:vertAlign w:val="superscript"/>
          <w:rtl/>
        </w:rPr>
        <w:t>(</w:t>
      </w:r>
      <w:r w:rsidRPr="00885058">
        <w:rPr>
          <w:vertAlign w:val="superscript"/>
          <w:rtl/>
        </w:rPr>
        <w:footnoteReference w:id="1580"/>
      </w:r>
      <w:r w:rsidRPr="00885058">
        <w:rPr>
          <w:vertAlign w:val="superscript"/>
          <w:rtl/>
        </w:rPr>
        <w:t>)</w:t>
      </w:r>
      <w:r w:rsidRPr="00885058">
        <w:rPr>
          <w:rFonts w:ascii="Traditional Arabic" w:hAnsi="Traditional Arabic"/>
          <w:rtl/>
        </w:rPr>
        <w:t>.</w:t>
      </w:r>
      <w:r w:rsidRPr="00885058">
        <w:rPr>
          <w:rFonts w:ascii="Traditional Arabic" w:hAnsi="Traditional Arabic" w:hint="cs"/>
          <w:rtl/>
        </w:rPr>
        <w:t xml:space="preserve"> </w:t>
      </w:r>
      <w:r w:rsidRPr="00885058">
        <w:rPr>
          <w:rFonts w:ascii="Traditional Arabic" w:hAnsi="Traditional Arabic"/>
          <w:rtl/>
        </w:rPr>
        <w:t xml:space="preserve">ومعنى </w:t>
      </w:r>
      <w:r w:rsidRPr="00885058">
        <w:rPr>
          <w:rFonts w:ascii="QCF_BSML" w:hAnsi="QCF_BSML" w:cs="QCF_BSML"/>
          <w:color w:val="auto"/>
          <w:sz w:val="32"/>
          <w:szCs w:val="32"/>
          <w:rtl/>
          <w:lang w:eastAsia="en-US"/>
        </w:rPr>
        <w:t>ﭽ</w:t>
      </w:r>
      <w:r w:rsidRPr="00885058">
        <w:rPr>
          <w:rFonts w:ascii="QCF_P300" w:hAnsi="QCF_P300" w:cs="QCF_P300"/>
          <w:color w:val="auto"/>
          <w:sz w:val="32"/>
          <w:szCs w:val="32"/>
          <w:rtl/>
          <w:lang w:eastAsia="en-US"/>
        </w:rPr>
        <w:t xml:space="preserve"> ﯯ  ﯰ  </w:t>
      </w:r>
      <w:r w:rsidRPr="00885058">
        <w:rPr>
          <w:rFonts w:ascii="QCF_BSML" w:hAnsi="QCF_BSML" w:cs="QCF_BSML"/>
          <w:color w:val="auto"/>
          <w:sz w:val="32"/>
          <w:szCs w:val="32"/>
          <w:rtl/>
          <w:lang w:eastAsia="en-US"/>
        </w:rPr>
        <w:t>ﭼ</w:t>
      </w:r>
      <w:r w:rsidRPr="00885058">
        <w:rPr>
          <w:rFonts w:ascii="Traditional Arabic" w:hAnsi="Traditional Arabic"/>
          <w:rtl/>
        </w:rPr>
        <w:t xml:space="preserve">: لا أزال. وليس المراد به: لا أزول، لأنه إِذا </w:t>
      </w:r>
      <w:r w:rsidRPr="00885058">
        <w:rPr>
          <w:rFonts w:ascii="Traditional Arabic" w:hAnsi="Traditional Arabic"/>
          <w:rtl/>
        </w:rPr>
        <w:lastRenderedPageBreak/>
        <w:t>لم يُزل لم يقطع أرضاً، فهو مثل قولك: ما برحت أناظر عبد الله أي: ما زلت، قال الشاعر:</w:t>
      </w:r>
    </w:p>
    <w:p w:rsidR="00885058" w:rsidRPr="00885058" w:rsidRDefault="00885058" w:rsidP="00885058">
      <w:pPr>
        <w:ind w:firstLine="0"/>
        <w:rPr>
          <w:rFonts w:ascii="Traditional Arabic" w:hAnsi="Traditional Arabic"/>
          <w:rtl/>
        </w:rPr>
      </w:pPr>
      <w:r w:rsidRPr="00885058">
        <w:rPr>
          <w:rFonts w:ascii="Traditional Arabic" w:hAnsi="Traditional Arabic"/>
          <w:rtl/>
        </w:rPr>
        <w:t>إِذا أنتَ لم تبرحْ تؤدِّي أمانَةً ... وتحملُ أخرى أفرحتْك الودائعُ</w:t>
      </w:r>
      <w:r w:rsidRPr="00885058">
        <w:rPr>
          <w:vertAlign w:val="superscript"/>
          <w:rtl/>
        </w:rPr>
        <w:t>(</w:t>
      </w:r>
      <w:r w:rsidRPr="00885058">
        <w:rPr>
          <w:vertAlign w:val="superscript"/>
          <w:rtl/>
        </w:rPr>
        <w:footnoteReference w:id="1581"/>
      </w:r>
      <w:r w:rsidRPr="00885058">
        <w:rPr>
          <w:vertAlign w:val="superscript"/>
          <w:rtl/>
        </w:rPr>
        <w:t>)</w:t>
      </w:r>
    </w:p>
    <w:p w:rsidR="00885058" w:rsidRPr="00885058" w:rsidRDefault="00885058" w:rsidP="00885058">
      <w:pPr>
        <w:ind w:firstLine="0"/>
        <w:rPr>
          <w:rFonts w:ascii="Traditional Arabic" w:hAnsi="Traditional Arabic"/>
          <w:rtl/>
        </w:rPr>
      </w:pPr>
      <w:r w:rsidRPr="00885058">
        <w:rPr>
          <w:rFonts w:ascii="Traditional Arabic" w:hAnsi="Traditional Arabic"/>
          <w:rtl/>
        </w:rPr>
        <w:t xml:space="preserve">أي: أثقلتك، والمعنى: لا أزال أسير </w:t>
      </w:r>
      <w:r w:rsidRPr="00885058">
        <w:rPr>
          <w:rFonts w:ascii="QCF_BSML" w:hAnsi="QCF_BSML" w:cs="QCF_BSML"/>
          <w:color w:val="auto"/>
          <w:sz w:val="32"/>
          <w:szCs w:val="32"/>
          <w:rtl/>
          <w:lang w:eastAsia="en-US"/>
        </w:rPr>
        <w:t>ﭽ</w:t>
      </w:r>
      <w:r w:rsidRPr="00885058">
        <w:rPr>
          <w:rFonts w:ascii="QCF_P300" w:hAnsi="QCF_P300" w:cs="QCF_P300"/>
          <w:color w:val="auto"/>
          <w:sz w:val="32"/>
          <w:szCs w:val="32"/>
          <w:rtl/>
          <w:lang w:eastAsia="en-US"/>
        </w:rPr>
        <w:t>ﯱ   ﯲ  ﯳ  ﯴ</w:t>
      </w:r>
      <w:r w:rsidRPr="00885058">
        <w:rPr>
          <w:rFonts w:ascii="QCF_BSML" w:hAnsi="QCF_BSML" w:cs="QCF_BSML"/>
          <w:color w:val="auto"/>
          <w:sz w:val="32"/>
          <w:szCs w:val="32"/>
          <w:rtl/>
          <w:lang w:eastAsia="en-US"/>
        </w:rPr>
        <w:t xml:space="preserve"> ﭼ</w:t>
      </w:r>
      <w:r w:rsidRPr="00885058">
        <w:rPr>
          <w:rFonts w:ascii="Traditional Arabic" w:hAnsi="Traditional Arabic" w:hint="cs"/>
          <w:rtl/>
        </w:rPr>
        <w:t xml:space="preserve"> </w:t>
      </w:r>
      <w:r w:rsidRPr="00885058">
        <w:rPr>
          <w:rFonts w:ascii="Traditional Arabic" w:hAnsi="Traditional Arabic"/>
          <w:rtl/>
        </w:rPr>
        <w:t xml:space="preserve">أي: ملتقاهما، وهو الموضع الذي وعده الله بلقاء الخَضِر فيه، </w:t>
      </w:r>
      <w:r w:rsidRPr="00885058">
        <w:rPr>
          <w:rFonts w:ascii="Traditional Arabic" w:hAnsi="Traditional Arabic" w:hint="cs"/>
          <w:rtl/>
        </w:rPr>
        <w:t>[</w:t>
      </w:r>
      <w:r w:rsidRPr="00885058">
        <w:rPr>
          <w:rFonts w:ascii="Traditional Arabic" w:hAnsi="Traditional Arabic"/>
          <w:rtl/>
        </w:rPr>
        <w:t>قال</w:t>
      </w:r>
      <w:r w:rsidRPr="00885058">
        <w:rPr>
          <w:rFonts w:ascii="Traditional Arabic" w:hAnsi="Traditional Arabic" w:hint="cs"/>
          <w:rtl/>
        </w:rPr>
        <w:t>]</w:t>
      </w:r>
      <w:r w:rsidRPr="00885058">
        <w:rPr>
          <w:vertAlign w:val="superscript"/>
          <w:rtl/>
        </w:rPr>
        <w:t>(</w:t>
      </w:r>
      <w:r w:rsidRPr="00885058">
        <w:rPr>
          <w:vertAlign w:val="superscript"/>
          <w:rtl/>
        </w:rPr>
        <w:footnoteReference w:id="1582"/>
      </w:r>
      <w:r w:rsidRPr="00885058">
        <w:rPr>
          <w:vertAlign w:val="superscript"/>
          <w:rtl/>
        </w:rPr>
        <w:t>)</w:t>
      </w:r>
      <w:r w:rsidRPr="00885058">
        <w:rPr>
          <w:rFonts w:ascii="Traditional Arabic" w:hAnsi="Traditional Arabic"/>
          <w:rtl/>
        </w:rPr>
        <w:t>قتادة: بحر فارس، وبحر الروم، فبحر الروم نحو المغرب، وبحر فارس نحو المشرق</w:t>
      </w:r>
      <w:r w:rsidRPr="00885058">
        <w:rPr>
          <w:vertAlign w:val="superscript"/>
          <w:rtl/>
        </w:rPr>
        <w:t>(</w:t>
      </w:r>
      <w:r w:rsidRPr="00885058">
        <w:rPr>
          <w:vertAlign w:val="superscript"/>
          <w:rtl/>
        </w:rPr>
        <w:footnoteReference w:id="1583"/>
      </w:r>
      <w:r w:rsidRPr="00885058">
        <w:rPr>
          <w:vertAlign w:val="superscript"/>
          <w:rtl/>
        </w:rPr>
        <w:t>)</w:t>
      </w:r>
      <w:r w:rsidRPr="00885058">
        <w:rPr>
          <w:rFonts w:ascii="Traditional Arabic" w:hAnsi="Traditional Arabic"/>
          <w:rtl/>
        </w:rPr>
        <w:t>. وفي اسم البلد الذي بمجمع البحرين قولان: أحدهما: أنه إِفريقية، قاله أُبيّ بن كعب</w:t>
      </w:r>
      <w:r w:rsidRPr="00885058">
        <w:rPr>
          <w:vertAlign w:val="superscript"/>
          <w:rtl/>
        </w:rPr>
        <w:t>(</w:t>
      </w:r>
      <w:r w:rsidRPr="00885058">
        <w:rPr>
          <w:vertAlign w:val="superscript"/>
          <w:rtl/>
        </w:rPr>
        <w:footnoteReference w:id="1584"/>
      </w:r>
      <w:r w:rsidRPr="00885058">
        <w:rPr>
          <w:vertAlign w:val="superscript"/>
          <w:rtl/>
        </w:rPr>
        <w:t>)</w:t>
      </w:r>
      <w:r w:rsidRPr="00885058">
        <w:rPr>
          <w:rFonts w:ascii="Traditional Arabic" w:hAnsi="Traditional Arabic"/>
          <w:rtl/>
        </w:rPr>
        <w:t>. والثاني: طنجة، قاله محمد بن كعب القرظي</w:t>
      </w:r>
      <w:r w:rsidRPr="00885058">
        <w:rPr>
          <w:vertAlign w:val="superscript"/>
          <w:rtl/>
        </w:rPr>
        <w:t>(</w:t>
      </w:r>
      <w:r w:rsidRPr="00885058">
        <w:rPr>
          <w:vertAlign w:val="superscript"/>
          <w:rtl/>
        </w:rPr>
        <w:footnoteReference w:id="1585"/>
      </w:r>
      <w:r w:rsidRPr="00885058">
        <w:rPr>
          <w:vertAlign w:val="superscript"/>
          <w:rtl/>
        </w:rPr>
        <w:t>)</w:t>
      </w:r>
      <w:r w:rsidRPr="00885058">
        <w:rPr>
          <w:rFonts w:ascii="Traditional Arabic" w:hAnsi="Traditional Arabic"/>
          <w:rtl/>
        </w:rPr>
        <w:t>.</w:t>
      </w:r>
      <w:r w:rsidRPr="00885058">
        <w:rPr>
          <w:rFonts w:ascii="Traditional Arabic" w:hAnsi="Traditional Arabic" w:hint="cs"/>
          <w:rtl/>
        </w:rPr>
        <w:t xml:space="preserve"> </w:t>
      </w:r>
      <w:r w:rsidRPr="00885058">
        <w:rPr>
          <w:rFonts w:ascii="Traditional Arabic" w:hAnsi="Traditional Arabic"/>
          <w:rtl/>
        </w:rPr>
        <w:t xml:space="preserve">قوله تعالى: </w:t>
      </w:r>
      <w:r w:rsidRPr="00885058">
        <w:rPr>
          <w:rFonts w:ascii="QCF_BSML" w:hAnsi="QCF_BSML" w:cs="QCF_BSML"/>
          <w:color w:val="auto"/>
          <w:sz w:val="32"/>
          <w:szCs w:val="32"/>
          <w:rtl/>
          <w:lang w:eastAsia="en-US"/>
        </w:rPr>
        <w:t>ﭽ</w:t>
      </w:r>
      <w:r w:rsidRPr="00885058">
        <w:rPr>
          <w:rFonts w:ascii="QCF_P300" w:hAnsi="QCF_P300" w:cs="QCF_P300"/>
          <w:color w:val="auto"/>
          <w:sz w:val="32"/>
          <w:szCs w:val="32"/>
          <w:rtl/>
          <w:lang w:eastAsia="en-US"/>
        </w:rPr>
        <w:t xml:space="preserve"> ﯵ    ﯶ  ﯷ</w:t>
      </w:r>
      <w:r w:rsidRPr="00885058">
        <w:rPr>
          <w:rFonts w:ascii="QCF_BSML" w:hAnsi="QCF_BSML" w:cs="QCF_BSML"/>
          <w:color w:val="auto"/>
          <w:sz w:val="32"/>
          <w:szCs w:val="32"/>
          <w:rtl/>
          <w:lang w:eastAsia="en-US"/>
        </w:rPr>
        <w:t>ﭼ</w:t>
      </w:r>
      <w:r w:rsidRPr="00885058">
        <w:rPr>
          <w:rFonts w:ascii="Traditional Arabic" w:hAnsi="Traditional Arabic"/>
          <w:rtl/>
        </w:rPr>
        <w:t xml:space="preserve"> وقرأ أبو رزين، والحسن، وأبو مجلز، وقتادة، والجحدريّ،</w:t>
      </w:r>
      <w:r w:rsidRPr="00885058">
        <w:rPr>
          <w:rFonts w:ascii="Traditional Arabic" w:hAnsi="Traditional Arabic" w:hint="cs"/>
          <w:rtl/>
        </w:rPr>
        <w:t xml:space="preserve"> </w:t>
      </w:r>
      <w:r w:rsidRPr="00885058">
        <w:rPr>
          <w:rFonts w:ascii="Traditional Arabic" w:hAnsi="Traditional Arabic"/>
          <w:rtl/>
        </w:rPr>
        <w:t>وابن يعمر: «حُقْباً» بإسكان ال</w:t>
      </w:r>
      <w:r w:rsidRPr="00885058">
        <w:rPr>
          <w:rFonts w:ascii="Traditional Arabic" w:hAnsi="Traditional Arabic" w:hint="cs"/>
          <w:rtl/>
        </w:rPr>
        <w:t>ق</w:t>
      </w:r>
      <w:r w:rsidRPr="00885058">
        <w:rPr>
          <w:rFonts w:ascii="Traditional Arabic" w:hAnsi="Traditional Arabic"/>
          <w:rtl/>
        </w:rPr>
        <w:t>اف</w:t>
      </w:r>
      <w:r w:rsidRPr="00885058">
        <w:rPr>
          <w:vertAlign w:val="superscript"/>
          <w:rtl/>
        </w:rPr>
        <w:t>(</w:t>
      </w:r>
      <w:r w:rsidRPr="00885058">
        <w:rPr>
          <w:vertAlign w:val="superscript"/>
          <w:rtl/>
        </w:rPr>
        <w:footnoteReference w:id="1586"/>
      </w:r>
      <w:r w:rsidRPr="00885058">
        <w:rPr>
          <w:vertAlign w:val="superscript"/>
          <w:rtl/>
        </w:rPr>
        <w:t>)</w:t>
      </w:r>
      <w:r w:rsidRPr="00885058">
        <w:rPr>
          <w:rFonts w:ascii="Traditional Arabic" w:hAnsi="Traditional Arabic"/>
          <w:rtl/>
        </w:rPr>
        <w:t>. قال ابن قتيبة: الحُقُب: الدَّهر، والحِقَب: السِّنون، واحدتها حِقْبة</w:t>
      </w:r>
      <w:r w:rsidRPr="00885058">
        <w:rPr>
          <w:vertAlign w:val="superscript"/>
          <w:rtl/>
        </w:rPr>
        <w:t>(</w:t>
      </w:r>
      <w:r w:rsidRPr="00885058">
        <w:rPr>
          <w:vertAlign w:val="superscript"/>
          <w:rtl/>
        </w:rPr>
        <w:footnoteReference w:id="1587"/>
      </w:r>
      <w:r w:rsidRPr="00885058">
        <w:rPr>
          <w:vertAlign w:val="superscript"/>
          <w:rtl/>
        </w:rPr>
        <w:t>)</w:t>
      </w:r>
      <w:r w:rsidRPr="00885058">
        <w:rPr>
          <w:rFonts w:ascii="Traditional Arabic" w:hAnsi="Traditional Arabic"/>
          <w:rtl/>
        </w:rPr>
        <w:t>، ويقال: حُقْبٌ وحُقُب كما يقال: قُفْل وقُفُل، وهزو وهُزُؤ، وكُفْؤ وكُفُؤ، وأُكْل وأُكُل، وسُحْت وسُحُت، ورُعْب ورُعُب، ونُكْر ونُكُر، وأُذْن وأُذُن، وسُحْق وسُحُق، وبُعْد وبُعُد، وشُغْل وشُغُل، وثُلْث وثُلُث، وعُذْر وعُذُر، ونُذْر ونُذُر، وعُمْر وعُمُرُ. وللمفسرين في المراد بالحقب ها هنا ثمانية أقوال: أحدها: أنه الدَّهر، قاله ابن عباس</w:t>
      </w:r>
      <w:r w:rsidRPr="00885058">
        <w:rPr>
          <w:vertAlign w:val="superscript"/>
          <w:rtl/>
        </w:rPr>
        <w:t>(</w:t>
      </w:r>
      <w:r w:rsidRPr="00885058">
        <w:rPr>
          <w:vertAlign w:val="superscript"/>
          <w:rtl/>
        </w:rPr>
        <w:footnoteReference w:id="1588"/>
      </w:r>
      <w:r w:rsidRPr="00885058">
        <w:rPr>
          <w:vertAlign w:val="superscript"/>
          <w:rtl/>
        </w:rPr>
        <w:t>)</w:t>
      </w:r>
      <w:r w:rsidRPr="00885058">
        <w:rPr>
          <w:rFonts w:ascii="Traditional Arabic" w:hAnsi="Traditional Arabic"/>
          <w:rtl/>
        </w:rPr>
        <w:t>. والثاني: ثمانون سنة، قاله عبد الله بن عمرو</w:t>
      </w:r>
      <w:r w:rsidRPr="00885058">
        <w:rPr>
          <w:vertAlign w:val="superscript"/>
          <w:rtl/>
        </w:rPr>
        <w:t>(</w:t>
      </w:r>
      <w:r w:rsidRPr="00885058">
        <w:rPr>
          <w:vertAlign w:val="superscript"/>
          <w:rtl/>
        </w:rPr>
        <w:footnoteReference w:id="1589"/>
      </w:r>
      <w:r w:rsidRPr="00885058">
        <w:rPr>
          <w:vertAlign w:val="superscript"/>
          <w:rtl/>
        </w:rPr>
        <w:t>)</w:t>
      </w:r>
      <w:r w:rsidRPr="00885058">
        <w:rPr>
          <w:rFonts w:ascii="Traditional Arabic" w:hAnsi="Traditional Arabic"/>
          <w:rtl/>
        </w:rPr>
        <w:t>وأبو هريرة</w:t>
      </w:r>
      <w:r w:rsidRPr="00885058">
        <w:rPr>
          <w:vertAlign w:val="superscript"/>
          <w:rtl/>
        </w:rPr>
        <w:t>(</w:t>
      </w:r>
      <w:r w:rsidRPr="00885058">
        <w:rPr>
          <w:vertAlign w:val="superscript"/>
          <w:rtl/>
        </w:rPr>
        <w:footnoteReference w:id="1590"/>
      </w:r>
      <w:r w:rsidRPr="00885058">
        <w:rPr>
          <w:vertAlign w:val="superscript"/>
          <w:rtl/>
        </w:rPr>
        <w:t>)</w:t>
      </w:r>
      <w:r w:rsidRPr="00885058">
        <w:rPr>
          <w:rFonts w:ascii="Traditional Arabic" w:hAnsi="Traditional Arabic"/>
          <w:rtl/>
        </w:rPr>
        <w:t>.</w:t>
      </w:r>
      <w:r w:rsidRPr="00885058">
        <w:rPr>
          <w:rFonts w:ascii="Traditional Arabic" w:hAnsi="Traditional Arabic" w:hint="cs"/>
          <w:rtl/>
        </w:rPr>
        <w:t xml:space="preserve"> </w:t>
      </w:r>
      <w:r w:rsidRPr="00885058">
        <w:rPr>
          <w:rFonts w:ascii="Traditional Arabic" w:hAnsi="Traditional Arabic"/>
          <w:rtl/>
        </w:rPr>
        <w:t>والثالث: سبعون ألف سنة، قاله الحسن</w:t>
      </w:r>
      <w:r w:rsidRPr="00885058">
        <w:rPr>
          <w:vertAlign w:val="superscript"/>
          <w:rtl/>
        </w:rPr>
        <w:t>(</w:t>
      </w:r>
      <w:r w:rsidRPr="00885058">
        <w:rPr>
          <w:vertAlign w:val="superscript"/>
          <w:rtl/>
        </w:rPr>
        <w:footnoteReference w:id="1591"/>
      </w:r>
      <w:r w:rsidRPr="00885058">
        <w:rPr>
          <w:vertAlign w:val="superscript"/>
          <w:rtl/>
        </w:rPr>
        <w:t>)</w:t>
      </w:r>
      <w:r w:rsidRPr="00885058">
        <w:rPr>
          <w:rFonts w:ascii="Traditional Arabic" w:hAnsi="Traditional Arabic"/>
          <w:rtl/>
        </w:rPr>
        <w:t xml:space="preserve">. والرابع: سبعون سنة، قاله </w:t>
      </w:r>
      <w:r w:rsidRPr="00885058">
        <w:rPr>
          <w:rFonts w:ascii="Traditional Arabic" w:hAnsi="Traditional Arabic"/>
          <w:rtl/>
        </w:rPr>
        <w:lastRenderedPageBreak/>
        <w:t>مجاهد</w:t>
      </w:r>
      <w:r w:rsidRPr="00885058">
        <w:rPr>
          <w:vertAlign w:val="superscript"/>
          <w:rtl/>
        </w:rPr>
        <w:t>(</w:t>
      </w:r>
      <w:r w:rsidRPr="00885058">
        <w:rPr>
          <w:vertAlign w:val="superscript"/>
          <w:rtl/>
        </w:rPr>
        <w:footnoteReference w:id="1592"/>
      </w:r>
      <w:r w:rsidRPr="00885058">
        <w:rPr>
          <w:vertAlign w:val="superscript"/>
          <w:rtl/>
        </w:rPr>
        <w:t>)</w:t>
      </w:r>
      <w:r w:rsidRPr="00885058">
        <w:rPr>
          <w:rFonts w:ascii="Traditional Arabic" w:hAnsi="Traditional Arabic"/>
          <w:rtl/>
        </w:rPr>
        <w:t>. والخامس: سبعة عشر ألف سنة</w:t>
      </w:r>
      <w:r w:rsidRPr="00885058">
        <w:rPr>
          <w:vertAlign w:val="superscript"/>
          <w:rtl/>
        </w:rPr>
        <w:t>(</w:t>
      </w:r>
      <w:r w:rsidRPr="00885058">
        <w:rPr>
          <w:vertAlign w:val="superscript"/>
          <w:rtl/>
        </w:rPr>
        <w:footnoteReference w:id="1593"/>
      </w:r>
      <w:r w:rsidRPr="00885058">
        <w:rPr>
          <w:vertAlign w:val="superscript"/>
          <w:rtl/>
        </w:rPr>
        <w:t>)</w:t>
      </w:r>
      <w:r w:rsidRPr="00885058">
        <w:rPr>
          <w:rFonts w:ascii="Traditional Arabic" w:hAnsi="Traditional Arabic"/>
          <w:rtl/>
        </w:rPr>
        <w:t>، قاله مقاتل بن حيّان</w:t>
      </w:r>
      <w:r w:rsidRPr="00885058">
        <w:rPr>
          <w:vertAlign w:val="superscript"/>
          <w:rtl/>
        </w:rPr>
        <w:t>(</w:t>
      </w:r>
      <w:r w:rsidRPr="00885058">
        <w:rPr>
          <w:vertAlign w:val="superscript"/>
          <w:rtl/>
        </w:rPr>
        <w:footnoteReference w:id="1594"/>
      </w:r>
      <w:r w:rsidRPr="00885058">
        <w:rPr>
          <w:vertAlign w:val="superscript"/>
          <w:rtl/>
        </w:rPr>
        <w:t>)</w:t>
      </w:r>
      <w:r w:rsidRPr="00885058">
        <w:rPr>
          <w:rFonts w:ascii="Traditional Arabic" w:hAnsi="Traditional Arabic"/>
          <w:rtl/>
        </w:rPr>
        <w:t>. والسادس: أنه ثمانون سنة، كل يوم ألف سنة من عدد الدنيا. والسابع:</w:t>
      </w:r>
      <w:r w:rsidRPr="00885058">
        <w:rPr>
          <w:rFonts w:ascii="Traditional Arabic" w:hAnsi="Traditional Arabic" w:hint="cs"/>
          <w:rtl/>
        </w:rPr>
        <w:t xml:space="preserve"> </w:t>
      </w:r>
      <w:r w:rsidRPr="00885058">
        <w:rPr>
          <w:rFonts w:ascii="Traditional Arabic" w:hAnsi="Traditional Arabic"/>
          <w:rtl/>
        </w:rPr>
        <w:t>أنه سنة بلغة قيس، ذكرهما الفراء</w:t>
      </w:r>
      <w:r w:rsidRPr="00885058">
        <w:rPr>
          <w:vertAlign w:val="superscript"/>
          <w:rtl/>
        </w:rPr>
        <w:t>(</w:t>
      </w:r>
      <w:r w:rsidRPr="00885058">
        <w:rPr>
          <w:vertAlign w:val="superscript"/>
          <w:rtl/>
        </w:rPr>
        <w:footnoteReference w:id="1595"/>
      </w:r>
      <w:r w:rsidRPr="00885058">
        <w:rPr>
          <w:vertAlign w:val="superscript"/>
          <w:rtl/>
        </w:rPr>
        <w:t>)</w:t>
      </w:r>
      <w:r w:rsidRPr="00885058">
        <w:rPr>
          <w:rFonts w:ascii="Traditional Arabic" w:hAnsi="Traditional Arabic"/>
          <w:rtl/>
        </w:rPr>
        <w:t>. والثامن: الحُقُب عند العرب وقت غير محدود، قاله أبو عبيدة</w:t>
      </w:r>
      <w:r w:rsidRPr="00885058">
        <w:rPr>
          <w:vertAlign w:val="superscript"/>
          <w:rtl/>
        </w:rPr>
        <w:t>(</w:t>
      </w:r>
      <w:r w:rsidRPr="00885058">
        <w:rPr>
          <w:vertAlign w:val="superscript"/>
          <w:rtl/>
        </w:rPr>
        <w:footnoteReference w:id="1596"/>
      </w:r>
      <w:r w:rsidRPr="00885058">
        <w:rPr>
          <w:vertAlign w:val="superscript"/>
          <w:rtl/>
        </w:rPr>
        <w:t>)</w:t>
      </w:r>
      <w:r w:rsidRPr="00885058">
        <w:rPr>
          <w:rFonts w:ascii="Traditional Arabic" w:hAnsi="Traditional Arabic"/>
          <w:rtl/>
        </w:rPr>
        <w:t>.</w:t>
      </w:r>
      <w:r w:rsidRPr="00885058">
        <w:rPr>
          <w:rFonts w:ascii="Traditional Arabic" w:hAnsi="Traditional Arabic" w:hint="cs"/>
          <w:rtl/>
        </w:rPr>
        <w:t xml:space="preserve"> </w:t>
      </w:r>
      <w:r w:rsidRPr="00885058">
        <w:rPr>
          <w:rFonts w:ascii="Traditional Arabic" w:hAnsi="Traditional Arabic"/>
          <w:rtl/>
        </w:rPr>
        <w:t>ومعنى الكلام: لا أزال أَسيرُ، ولو احتجت أن أسير حُقُباً</w:t>
      </w:r>
      <w:r w:rsidRPr="00885058">
        <w:rPr>
          <w:vertAlign w:val="superscript"/>
          <w:rtl/>
        </w:rPr>
        <w:t>(</w:t>
      </w:r>
      <w:r w:rsidRPr="00885058">
        <w:rPr>
          <w:vertAlign w:val="superscript"/>
          <w:rtl/>
        </w:rPr>
        <w:footnoteReference w:id="1597"/>
      </w:r>
      <w:r w:rsidRPr="00885058">
        <w:rPr>
          <w:vertAlign w:val="superscript"/>
          <w:rtl/>
        </w:rPr>
        <w:t>)</w:t>
      </w:r>
      <w:r w:rsidRPr="00885058">
        <w:rPr>
          <w:rFonts w:ascii="Traditional Arabic" w:hAnsi="Traditional Arabic"/>
          <w:rtl/>
        </w:rPr>
        <w:t>.</w:t>
      </w:r>
      <w:r w:rsidRPr="00885058">
        <w:rPr>
          <w:rFonts w:ascii="QCF_BSML" w:hAnsi="QCF_BSML" w:cs="QCF_BSML"/>
          <w:color w:val="auto"/>
          <w:sz w:val="32"/>
          <w:szCs w:val="32"/>
          <w:rtl/>
          <w:lang w:eastAsia="en-US"/>
        </w:rPr>
        <w:t xml:space="preserve"> </w:t>
      </w:r>
    </w:p>
    <w:p w:rsidR="00885058" w:rsidRPr="00885058" w:rsidRDefault="00885058" w:rsidP="000A5F55">
      <w:pPr>
        <w:ind w:firstLine="0"/>
        <w:rPr>
          <w:rFonts w:ascii="Traditional Arabic" w:hAnsi="Traditional Arabic"/>
          <w:rtl/>
        </w:rPr>
      </w:pPr>
      <w:r w:rsidRPr="00885058">
        <w:rPr>
          <w:rFonts w:ascii="Traditional Arabic" w:hAnsi="Traditional Arabic"/>
          <w:rtl/>
        </w:rPr>
        <w:t xml:space="preserve">قوله تعالى: </w:t>
      </w:r>
      <w:r w:rsidRPr="00885058">
        <w:rPr>
          <w:rFonts w:ascii="QCF_BSML" w:hAnsi="QCF_BSML" w:cs="QCF_BSML"/>
          <w:color w:val="auto"/>
          <w:sz w:val="32"/>
          <w:szCs w:val="32"/>
          <w:rtl/>
          <w:lang w:eastAsia="en-US"/>
        </w:rPr>
        <w:t>ﭽ</w:t>
      </w:r>
      <w:r w:rsidRPr="00885058">
        <w:rPr>
          <w:rFonts w:ascii="QCF_P300" w:hAnsi="QCF_P300" w:cs="QCF_P300"/>
          <w:color w:val="auto"/>
          <w:sz w:val="32"/>
          <w:szCs w:val="32"/>
          <w:rtl/>
          <w:lang w:eastAsia="en-US"/>
        </w:rPr>
        <w:t>ﯹ  ﯺ</w:t>
      </w:r>
      <w:r w:rsidRPr="00885058">
        <w:rPr>
          <w:rFonts w:ascii="QCF_BSML" w:hAnsi="QCF_BSML" w:cs="QCF_BSML"/>
          <w:color w:val="auto"/>
          <w:sz w:val="32"/>
          <w:szCs w:val="32"/>
          <w:rtl/>
          <w:lang w:eastAsia="en-US"/>
        </w:rPr>
        <w:t>ﭼ</w:t>
      </w:r>
      <w:r w:rsidRPr="00885058">
        <w:rPr>
          <w:rFonts w:ascii="QCF_BSML" w:hAnsi="QCF_BSML" w:cs="QCF_BSML" w:hint="cs"/>
          <w:color w:val="auto"/>
          <w:sz w:val="32"/>
          <w:szCs w:val="32"/>
          <w:rtl/>
          <w:lang w:eastAsia="en-US"/>
        </w:rPr>
        <w:t xml:space="preserve"> </w:t>
      </w:r>
      <w:r w:rsidRPr="00885058">
        <w:rPr>
          <w:rFonts w:ascii="Traditional Arabic" w:hAnsi="Traditional Arabic"/>
          <w:rtl/>
        </w:rPr>
        <w:t xml:space="preserve">يعني: موسى وفتاه </w:t>
      </w:r>
      <w:r w:rsidRPr="00885058">
        <w:rPr>
          <w:rFonts w:ascii="QCF_BSML" w:hAnsi="QCF_BSML" w:cs="QCF_BSML"/>
          <w:color w:val="auto"/>
          <w:sz w:val="32"/>
          <w:szCs w:val="32"/>
          <w:rtl/>
          <w:lang w:eastAsia="en-US"/>
        </w:rPr>
        <w:t>ﭽ</w:t>
      </w:r>
      <w:r w:rsidRPr="00885058">
        <w:rPr>
          <w:rFonts w:ascii="QCF_P300" w:hAnsi="QCF_P300" w:cs="QCF_P300"/>
          <w:color w:val="auto"/>
          <w:sz w:val="32"/>
          <w:szCs w:val="32"/>
          <w:rtl/>
          <w:lang w:eastAsia="en-US"/>
        </w:rPr>
        <w:t xml:space="preserve"> ﯻ  ﯼ</w:t>
      </w:r>
      <w:r w:rsidRPr="00885058">
        <w:rPr>
          <w:rFonts w:ascii="QCF_BSML" w:hAnsi="QCF_BSML" w:cs="QCF_BSML"/>
          <w:color w:val="auto"/>
          <w:sz w:val="32"/>
          <w:szCs w:val="32"/>
          <w:rtl/>
          <w:lang w:eastAsia="en-US"/>
        </w:rPr>
        <w:t>ﭼ</w:t>
      </w:r>
      <w:r w:rsidRPr="00885058">
        <w:rPr>
          <w:rFonts w:ascii="QCF_BSML" w:hAnsi="QCF_BSML" w:cs="QCF_BSML" w:hint="cs"/>
          <w:color w:val="auto"/>
          <w:sz w:val="32"/>
          <w:szCs w:val="32"/>
          <w:rtl/>
          <w:lang w:eastAsia="en-US"/>
        </w:rPr>
        <w:t xml:space="preserve"> </w:t>
      </w:r>
      <w:r w:rsidRPr="00885058">
        <w:rPr>
          <w:rFonts w:ascii="QCF_P300" w:hAnsi="QCF_P300" w:cs="QCF_P300"/>
          <w:color w:val="auto"/>
          <w:sz w:val="32"/>
          <w:szCs w:val="32"/>
          <w:rtl/>
          <w:lang w:eastAsia="en-US"/>
        </w:rPr>
        <w:t xml:space="preserve">  </w:t>
      </w:r>
      <w:r w:rsidRPr="00885058">
        <w:rPr>
          <w:rFonts w:ascii="Traditional Arabic" w:hAnsi="Traditional Arabic"/>
          <w:rtl/>
        </w:rPr>
        <w:t>يعني: البحرين</w:t>
      </w:r>
      <w:r w:rsidRPr="00885058">
        <w:rPr>
          <w:rFonts w:ascii="Traditional Arabic" w:hAnsi="Traditional Arabic" w:hint="cs"/>
          <w:rtl/>
        </w:rPr>
        <w:t xml:space="preserve"> </w:t>
      </w:r>
      <w:r w:rsidRPr="00885058">
        <w:rPr>
          <w:rFonts w:ascii="QCF_BSML" w:hAnsi="QCF_BSML" w:cs="QCF_BSML"/>
          <w:color w:val="auto"/>
          <w:sz w:val="32"/>
          <w:szCs w:val="32"/>
          <w:rtl/>
          <w:lang w:eastAsia="en-US"/>
        </w:rPr>
        <w:t>ﭽ</w:t>
      </w:r>
      <w:r w:rsidRPr="00885058">
        <w:rPr>
          <w:rFonts w:ascii="QCF_P300" w:hAnsi="QCF_P300" w:cs="QCF_P300"/>
          <w:color w:val="auto"/>
          <w:sz w:val="32"/>
          <w:szCs w:val="32"/>
          <w:rtl/>
          <w:lang w:eastAsia="en-US"/>
        </w:rPr>
        <w:t>ﯽ  ﯾ</w:t>
      </w:r>
      <w:r w:rsidRPr="00885058">
        <w:rPr>
          <w:rFonts w:ascii="QCF_BSML" w:hAnsi="QCF_BSML" w:cs="QCF_BSML"/>
          <w:sz w:val="32"/>
          <w:szCs w:val="32"/>
          <w:rtl/>
          <w:lang w:eastAsia="en-US"/>
        </w:rPr>
        <w:t>ﭼ</w:t>
      </w:r>
      <w:r w:rsidRPr="00885058">
        <w:rPr>
          <w:rFonts w:ascii="Traditional Arabic" w:hAnsi="Traditional Arabic"/>
          <w:rtl/>
        </w:rPr>
        <w:t xml:space="preserve"> وكانا قد تزوَّدا حوتاً مالحاً في زَبيل</w:t>
      </w:r>
      <w:r w:rsidRPr="00885058">
        <w:rPr>
          <w:vertAlign w:val="superscript"/>
          <w:rtl/>
        </w:rPr>
        <w:t>(</w:t>
      </w:r>
      <w:r w:rsidRPr="00885058">
        <w:rPr>
          <w:vertAlign w:val="superscript"/>
          <w:rtl/>
        </w:rPr>
        <w:footnoteReference w:id="1598"/>
      </w:r>
      <w:r w:rsidRPr="00885058">
        <w:rPr>
          <w:vertAlign w:val="superscript"/>
          <w:rtl/>
        </w:rPr>
        <w:t>)</w:t>
      </w:r>
      <w:r w:rsidRPr="00885058">
        <w:rPr>
          <w:rFonts w:ascii="Traditional Arabic" w:hAnsi="Traditional Arabic"/>
          <w:rtl/>
        </w:rPr>
        <w:t>فكانا يصيبان منه عند الغداء والعشاء، فلما انتهيا إِلى الصخرة على ساحل البحر وضع فتاه المكتلَ، فأصاب الحوتَ بللُ البحر</w:t>
      </w:r>
      <w:r w:rsidRPr="00885058">
        <w:rPr>
          <w:vertAlign w:val="superscript"/>
          <w:rtl/>
        </w:rPr>
        <w:t>(</w:t>
      </w:r>
      <w:r w:rsidRPr="00885058">
        <w:rPr>
          <w:vertAlign w:val="superscript"/>
          <w:rtl/>
        </w:rPr>
        <w:footnoteReference w:id="1599"/>
      </w:r>
      <w:r w:rsidRPr="00885058">
        <w:rPr>
          <w:vertAlign w:val="superscript"/>
          <w:rtl/>
        </w:rPr>
        <w:t>)</w:t>
      </w:r>
      <w:r w:rsidRPr="00885058">
        <w:rPr>
          <w:rFonts w:ascii="Traditional Arabic" w:hAnsi="Traditional Arabic"/>
          <w:rtl/>
        </w:rPr>
        <w:t xml:space="preserve">. وقيل: توضأ يوشع من عين الحياة فانتضح على الحوت الماءُ، فعاش، فتحرك في المِكْتَل، فانسرب في البحر، وقد كان قيل لموسى: تزوَّدْ حوتاً مالحاً، فاذا فقَدته وجدتَ الرجل. وكان موسى حين ذهب الحوت في البحر قد مضى لحاجة فعزم فتاه أن يخبره </w:t>
      </w:r>
      <w:r w:rsidRPr="00885058">
        <w:rPr>
          <w:rFonts w:ascii="Traditional Arabic" w:hAnsi="Traditional Arabic"/>
          <w:sz w:val="32"/>
          <w:szCs w:val="32"/>
          <w:rtl/>
        </w:rPr>
        <w:t>[</w:t>
      </w:r>
      <w:r w:rsidRPr="00885058">
        <w:rPr>
          <w:rFonts w:ascii="Traditional Arabic" w:hAnsi="Traditional Arabic" w:hint="cs"/>
          <w:sz w:val="32"/>
          <w:szCs w:val="32"/>
          <w:rtl/>
        </w:rPr>
        <w:t>135</w:t>
      </w:r>
      <w:r w:rsidRPr="00885058">
        <w:rPr>
          <w:rFonts w:ascii="Traditional Arabic" w:hAnsi="Traditional Arabic"/>
          <w:sz w:val="32"/>
          <w:szCs w:val="32"/>
          <w:rtl/>
        </w:rPr>
        <w:t>]</w:t>
      </w:r>
      <w:r w:rsidRPr="00885058">
        <w:rPr>
          <w:rFonts w:ascii="Traditional Arabic" w:hAnsi="Traditional Arabic"/>
          <w:rtl/>
        </w:rPr>
        <w:t xml:space="preserve"> بما جرى فنسي</w:t>
      </w:r>
      <w:r w:rsidRPr="00885058">
        <w:rPr>
          <w:vertAlign w:val="superscript"/>
          <w:rtl/>
        </w:rPr>
        <w:t>(</w:t>
      </w:r>
      <w:r w:rsidRPr="00885058">
        <w:rPr>
          <w:vertAlign w:val="superscript"/>
          <w:rtl/>
        </w:rPr>
        <w:footnoteReference w:id="1600"/>
      </w:r>
      <w:r w:rsidRPr="00885058">
        <w:rPr>
          <w:vertAlign w:val="superscript"/>
          <w:rtl/>
        </w:rPr>
        <w:t>)</w:t>
      </w:r>
      <w:r w:rsidRPr="00885058">
        <w:rPr>
          <w:rFonts w:ascii="Traditional Arabic" w:hAnsi="Traditional Arabic"/>
          <w:rtl/>
        </w:rPr>
        <w:t>. وإِنما قيل:</w:t>
      </w:r>
      <w:r w:rsidRPr="00885058">
        <w:rPr>
          <w:rFonts w:ascii="QCF_BSML" w:hAnsi="QCF_BSML" w:cs="QCF_BSML"/>
          <w:color w:val="auto"/>
          <w:sz w:val="32"/>
          <w:szCs w:val="32"/>
          <w:rtl/>
          <w:lang w:eastAsia="en-US"/>
        </w:rPr>
        <w:t xml:space="preserve"> ﭽ</w:t>
      </w:r>
      <w:r w:rsidRPr="00885058">
        <w:rPr>
          <w:rFonts w:ascii="QCF_P300" w:hAnsi="QCF_P300" w:cs="QCF_P300"/>
          <w:color w:val="auto"/>
          <w:sz w:val="32"/>
          <w:szCs w:val="32"/>
          <w:rtl/>
          <w:lang w:eastAsia="en-US"/>
        </w:rPr>
        <w:t xml:space="preserve">ﯽ  </w:t>
      </w:r>
      <w:r w:rsidRPr="00885058">
        <w:rPr>
          <w:rFonts w:ascii="QCF_BSML" w:hAnsi="QCF_BSML" w:cs="QCF_BSML"/>
          <w:color w:val="auto"/>
          <w:sz w:val="32"/>
          <w:szCs w:val="32"/>
          <w:rtl/>
          <w:lang w:eastAsia="en-US"/>
        </w:rPr>
        <w:t>ﭽ</w:t>
      </w:r>
      <w:r w:rsidRPr="00885058">
        <w:rPr>
          <w:rFonts w:ascii="QCF_P300" w:hAnsi="QCF_P300" w:cs="QCF_P300"/>
          <w:color w:val="auto"/>
          <w:sz w:val="32"/>
          <w:szCs w:val="32"/>
          <w:rtl/>
          <w:lang w:eastAsia="en-US"/>
        </w:rPr>
        <w:t>ﯾ</w:t>
      </w:r>
      <w:r w:rsidRPr="00885058">
        <w:rPr>
          <w:rFonts w:ascii="QCF_BSML" w:hAnsi="QCF_BSML" w:cs="QCF_BSML"/>
          <w:sz w:val="32"/>
          <w:szCs w:val="32"/>
          <w:rtl/>
          <w:lang w:eastAsia="en-US"/>
        </w:rPr>
        <w:t>ﭼ</w:t>
      </w:r>
      <w:r w:rsidRPr="00885058">
        <w:rPr>
          <w:rFonts w:ascii="Traditional Arabic" w:hAnsi="Traditional Arabic"/>
          <w:rtl/>
        </w:rPr>
        <w:t xml:space="preserve"> توسعاً في الكلام، لأنهما جميعاً تزوَّداه، كما يقال: نسي القوم زادهم، وإِنما نسيه أحدهم</w:t>
      </w:r>
      <w:r w:rsidRPr="00885058">
        <w:rPr>
          <w:vertAlign w:val="superscript"/>
          <w:rtl/>
        </w:rPr>
        <w:t>(</w:t>
      </w:r>
      <w:r w:rsidRPr="00885058">
        <w:rPr>
          <w:vertAlign w:val="superscript"/>
          <w:rtl/>
        </w:rPr>
        <w:footnoteReference w:id="1601"/>
      </w:r>
      <w:r w:rsidRPr="00885058">
        <w:rPr>
          <w:vertAlign w:val="superscript"/>
          <w:rtl/>
        </w:rPr>
        <w:t>)</w:t>
      </w:r>
      <w:r w:rsidRPr="00885058">
        <w:rPr>
          <w:rFonts w:ascii="Traditional Arabic" w:hAnsi="Traditional Arabic"/>
          <w:rtl/>
        </w:rPr>
        <w:t xml:space="preserve">. قال الفراء: ومثله قوله: </w:t>
      </w:r>
      <w:r w:rsidRPr="00885058">
        <w:rPr>
          <w:rFonts w:ascii="QCF_BSML" w:hAnsi="QCF_BSML" w:cs="QCF_BSML"/>
          <w:sz w:val="32"/>
          <w:szCs w:val="32"/>
          <w:rtl/>
          <w:lang w:eastAsia="en-US"/>
        </w:rPr>
        <w:t xml:space="preserve">ﭽ </w:t>
      </w:r>
      <w:r w:rsidRPr="00885058">
        <w:rPr>
          <w:rFonts w:ascii="QCF_P532" w:hAnsi="QCF_P532" w:cs="QCF_P532"/>
          <w:sz w:val="32"/>
          <w:szCs w:val="32"/>
          <w:rtl/>
          <w:lang w:eastAsia="en-US"/>
        </w:rPr>
        <w:t>ﭩ  ﭪ  ﭫ      ﭬ</w:t>
      </w:r>
      <w:r w:rsidRPr="00885058">
        <w:rPr>
          <w:rFonts w:ascii="QCF_BSML" w:hAnsi="QCF_BSML" w:cs="QCF_BSML"/>
          <w:sz w:val="32"/>
          <w:szCs w:val="32"/>
          <w:rtl/>
          <w:lang w:eastAsia="en-US"/>
        </w:rPr>
        <w:t>ﭼ</w:t>
      </w:r>
      <w:r w:rsidRPr="00885058">
        <w:rPr>
          <w:rFonts w:ascii="Arial" w:hAnsi="Arial" w:cs="Arial"/>
          <w:sz w:val="18"/>
          <w:szCs w:val="18"/>
          <w:rtl/>
          <w:lang w:eastAsia="en-US"/>
        </w:rPr>
        <w:t xml:space="preserve"> </w:t>
      </w:r>
      <w:r w:rsidRPr="00885058">
        <w:rPr>
          <w:rFonts w:ascii="Traditional Arabic" w:hAnsi="Traditional Arabic"/>
          <w:color w:val="auto"/>
          <w:sz w:val="32"/>
          <w:szCs w:val="32"/>
          <w:rtl/>
          <w:lang w:eastAsia="en-US"/>
        </w:rPr>
        <w:t>[الرحمن:٢٢]</w:t>
      </w:r>
      <w:r w:rsidRPr="00885058">
        <w:rPr>
          <w:rFonts w:ascii="Arial" w:hAnsi="Arial" w:cs="Arial"/>
          <w:color w:val="auto"/>
          <w:sz w:val="27"/>
          <w:szCs w:val="27"/>
          <w:lang w:eastAsia="en-US"/>
        </w:rPr>
        <w:t xml:space="preserve"> </w:t>
      </w:r>
      <w:r w:rsidRPr="00885058">
        <w:rPr>
          <w:rFonts w:ascii="Traditional Arabic" w:hAnsi="Traditional Arabic"/>
          <w:rtl/>
        </w:rPr>
        <w:t>وإنما يخرج ذلك من المالح، لا من العذب</w:t>
      </w:r>
      <w:r w:rsidRPr="00885058">
        <w:rPr>
          <w:vertAlign w:val="superscript"/>
          <w:rtl/>
        </w:rPr>
        <w:t>(</w:t>
      </w:r>
      <w:r w:rsidRPr="00885058">
        <w:rPr>
          <w:vertAlign w:val="superscript"/>
          <w:rtl/>
        </w:rPr>
        <w:footnoteReference w:id="1602"/>
      </w:r>
      <w:r w:rsidRPr="00885058">
        <w:rPr>
          <w:vertAlign w:val="superscript"/>
          <w:rtl/>
        </w:rPr>
        <w:t>)</w:t>
      </w:r>
      <w:r w:rsidRPr="00885058">
        <w:rPr>
          <w:rFonts w:ascii="Traditional Arabic" w:hAnsi="Traditional Arabic"/>
          <w:rtl/>
        </w:rPr>
        <w:t xml:space="preserve">. وقيل: نسي يوشع أن يحمل الحوت، ونسي </w:t>
      </w:r>
      <w:r w:rsidRPr="00885058">
        <w:rPr>
          <w:rFonts w:ascii="Traditional Arabic" w:hAnsi="Traditional Arabic"/>
          <w:rtl/>
        </w:rPr>
        <w:lastRenderedPageBreak/>
        <w:t>موسى أن يأمره فيه بشيء، فلذلك أُضيف النسيان، إِليهما</w:t>
      </w:r>
      <w:r w:rsidRPr="00885058">
        <w:rPr>
          <w:vertAlign w:val="superscript"/>
          <w:rtl/>
        </w:rPr>
        <w:t>(</w:t>
      </w:r>
      <w:r w:rsidRPr="00885058">
        <w:rPr>
          <w:vertAlign w:val="superscript"/>
          <w:rtl/>
        </w:rPr>
        <w:footnoteReference w:id="1603"/>
      </w:r>
      <w:r w:rsidRPr="00885058">
        <w:rPr>
          <w:vertAlign w:val="superscript"/>
          <w:rtl/>
        </w:rPr>
        <w:t>)</w:t>
      </w:r>
      <w:r w:rsidRPr="00885058">
        <w:rPr>
          <w:rFonts w:ascii="Traditional Arabic" w:hAnsi="Traditional Arabic"/>
          <w:rtl/>
        </w:rPr>
        <w:t>.</w:t>
      </w:r>
    </w:p>
    <w:p w:rsidR="00237681" w:rsidRDefault="00885058" w:rsidP="00237681">
      <w:pPr>
        <w:ind w:firstLine="0"/>
        <w:rPr>
          <w:rFonts w:ascii="Traditional Arabic" w:hAnsi="Traditional Arabic"/>
          <w:rtl/>
        </w:rPr>
      </w:pPr>
      <w:r w:rsidRPr="00885058">
        <w:rPr>
          <w:rFonts w:ascii="Traditional Arabic" w:hAnsi="Traditional Arabic"/>
          <w:rtl/>
        </w:rPr>
        <w:t xml:space="preserve">قوله تعالى: </w:t>
      </w:r>
      <w:r w:rsidRPr="00885058">
        <w:rPr>
          <w:rFonts w:ascii="QCF_BSML" w:hAnsi="QCF_BSML" w:cs="QCF_BSML"/>
          <w:color w:val="auto"/>
          <w:sz w:val="32"/>
          <w:szCs w:val="32"/>
          <w:rtl/>
          <w:lang w:eastAsia="en-US"/>
        </w:rPr>
        <w:t>ﭽ</w:t>
      </w:r>
      <w:r w:rsidRPr="00885058">
        <w:rPr>
          <w:rFonts w:ascii="QCF_P300" w:hAnsi="QCF_P300" w:cs="QCF_P300"/>
          <w:color w:val="auto"/>
          <w:sz w:val="32"/>
          <w:szCs w:val="32"/>
          <w:rtl/>
          <w:lang w:eastAsia="en-US"/>
        </w:rPr>
        <w:t xml:space="preserve"> ﯿ  ﰀ  ﰁ  ﰂ    ﰃ  </w:t>
      </w:r>
      <w:r w:rsidRPr="00885058">
        <w:rPr>
          <w:rFonts w:ascii="QCF_BSML" w:hAnsi="QCF_BSML" w:cs="QCF_BSML"/>
          <w:sz w:val="32"/>
          <w:szCs w:val="32"/>
          <w:rtl/>
          <w:lang w:eastAsia="en-US"/>
        </w:rPr>
        <w:t>ﭼ</w:t>
      </w:r>
      <w:r w:rsidRPr="00885058">
        <w:rPr>
          <w:rFonts w:ascii="QCF_BSML" w:hAnsi="QCF_BSML" w:cs="QCF_BSML" w:hint="cs"/>
          <w:sz w:val="32"/>
          <w:szCs w:val="32"/>
          <w:rtl/>
          <w:lang w:eastAsia="en-US"/>
        </w:rPr>
        <w:t xml:space="preserve">    </w:t>
      </w:r>
      <w:r w:rsidRPr="00885058">
        <w:rPr>
          <w:rFonts w:ascii="Traditional Arabic" w:hAnsi="Traditional Arabic"/>
          <w:rtl/>
        </w:rPr>
        <w:t>أي: مسلكاً ومذهباً. قال ابن عباس: جعل الحوت لا يمسُّ شيئاً من البحر إِلا يبس حتى يكون صخرة. وقال قتادة: جعل لا يسلك طريقاً إِلا صار الماء جامداً</w:t>
      </w:r>
      <w:r w:rsidRPr="00885058">
        <w:rPr>
          <w:vertAlign w:val="superscript"/>
          <w:rtl/>
        </w:rPr>
        <w:t>(</w:t>
      </w:r>
      <w:r w:rsidRPr="00885058">
        <w:rPr>
          <w:vertAlign w:val="superscript"/>
          <w:rtl/>
        </w:rPr>
        <w:footnoteReference w:id="1604"/>
      </w:r>
      <w:r w:rsidRPr="00885058">
        <w:rPr>
          <w:vertAlign w:val="superscript"/>
          <w:rtl/>
        </w:rPr>
        <w:t>)</w:t>
      </w:r>
      <w:r w:rsidRPr="00885058">
        <w:rPr>
          <w:rFonts w:ascii="Traditional Arabic" w:hAnsi="Traditional Arabic"/>
          <w:rtl/>
        </w:rPr>
        <w:t>. وقد ذكرنا في حديث أُبيّ بن كعب أن الماء صار مثل الطاق على الحوت</w:t>
      </w:r>
      <w:r w:rsidRPr="00885058">
        <w:rPr>
          <w:vertAlign w:val="superscript"/>
          <w:rtl/>
        </w:rPr>
        <w:t>(</w:t>
      </w:r>
      <w:r w:rsidRPr="00885058">
        <w:rPr>
          <w:vertAlign w:val="superscript"/>
          <w:rtl/>
        </w:rPr>
        <w:footnoteReference w:id="1605"/>
      </w:r>
      <w:r w:rsidRPr="00885058">
        <w:rPr>
          <w:vertAlign w:val="superscript"/>
          <w:rtl/>
        </w:rPr>
        <w:t>)</w:t>
      </w:r>
      <w:r w:rsidRPr="00885058">
        <w:rPr>
          <w:rFonts w:ascii="Traditional Arabic" w:hAnsi="Traditional Arabic"/>
          <w:rtl/>
        </w:rPr>
        <w:t>.</w:t>
      </w:r>
      <w:r w:rsidRPr="00885058">
        <w:rPr>
          <w:rFonts w:ascii="Traditional Arabic" w:hAnsi="Traditional Arabic" w:hint="cs"/>
          <w:rtl/>
        </w:rPr>
        <w:t xml:space="preserve"> </w:t>
      </w:r>
      <w:r w:rsidRPr="00885058">
        <w:rPr>
          <w:rFonts w:ascii="Traditional Arabic" w:hAnsi="Traditional Arabic"/>
          <w:rtl/>
        </w:rPr>
        <w:t xml:space="preserve">قوله تعالى: </w:t>
      </w:r>
      <w:r w:rsidRPr="00885058">
        <w:rPr>
          <w:rFonts w:ascii="QCF_BSML" w:hAnsi="QCF_BSML" w:cs="QCF_BSML"/>
          <w:color w:val="auto"/>
          <w:sz w:val="32"/>
          <w:szCs w:val="32"/>
          <w:rtl/>
          <w:lang w:eastAsia="en-US"/>
        </w:rPr>
        <w:t>ﭽ</w:t>
      </w:r>
      <w:r w:rsidRPr="00885058">
        <w:rPr>
          <w:rFonts w:ascii="QCF_P301" w:hAnsi="QCF_P301" w:cs="QCF_P301"/>
          <w:color w:val="auto"/>
          <w:sz w:val="32"/>
          <w:szCs w:val="32"/>
          <w:rtl/>
          <w:lang w:eastAsia="en-US"/>
        </w:rPr>
        <w:t xml:space="preserve"> ﭑ  ﭒ</w:t>
      </w:r>
      <w:r w:rsidRPr="00885058">
        <w:rPr>
          <w:rFonts w:ascii="QCF_BSML" w:hAnsi="QCF_BSML" w:cs="QCF_BSML"/>
          <w:sz w:val="32"/>
          <w:szCs w:val="32"/>
          <w:rtl/>
          <w:lang w:eastAsia="en-US"/>
        </w:rPr>
        <w:t>ﭼ</w:t>
      </w:r>
      <w:r w:rsidRPr="00885058">
        <w:rPr>
          <w:rFonts w:ascii="QCF_BSML" w:hAnsi="QCF_BSML" w:cs="QCF_BSML" w:hint="cs"/>
          <w:sz w:val="32"/>
          <w:szCs w:val="32"/>
          <w:rtl/>
          <w:lang w:eastAsia="en-US"/>
        </w:rPr>
        <w:t xml:space="preserve">  </w:t>
      </w:r>
      <w:r w:rsidRPr="00885058">
        <w:rPr>
          <w:rFonts w:ascii="Traditional Arabic" w:hAnsi="Traditional Arabic"/>
          <w:rtl/>
        </w:rPr>
        <w:t xml:space="preserve">ذلك المكان الذي ذهب فيه الحوت، أصابهما ما يصيب المسافر من النَّصَب، فدعا موسى بالطعام، فقال: </w:t>
      </w:r>
      <w:r w:rsidRPr="00885058">
        <w:rPr>
          <w:rFonts w:ascii="QCF_BSML" w:hAnsi="QCF_BSML" w:cs="QCF_BSML"/>
          <w:color w:val="auto"/>
          <w:sz w:val="32"/>
          <w:szCs w:val="32"/>
          <w:rtl/>
          <w:lang w:eastAsia="en-US"/>
        </w:rPr>
        <w:t>ﭽ</w:t>
      </w:r>
      <w:r w:rsidRPr="00885058">
        <w:rPr>
          <w:rFonts w:ascii="QCF_P301" w:hAnsi="QCF_P301" w:cs="QCF_P301"/>
          <w:color w:val="auto"/>
          <w:sz w:val="32"/>
          <w:szCs w:val="32"/>
          <w:rtl/>
          <w:lang w:eastAsia="en-US"/>
        </w:rPr>
        <w:t xml:space="preserve">ﭕ  ﭖ </w:t>
      </w:r>
      <w:r w:rsidRPr="00885058">
        <w:rPr>
          <w:rFonts w:ascii="QCF_BSML" w:hAnsi="QCF_BSML" w:cs="QCF_BSML"/>
          <w:sz w:val="32"/>
          <w:szCs w:val="32"/>
          <w:rtl/>
          <w:lang w:eastAsia="en-US"/>
        </w:rPr>
        <w:t>ﭼ</w:t>
      </w:r>
      <w:r w:rsidRPr="00885058">
        <w:rPr>
          <w:rFonts w:ascii="QCF_P301" w:hAnsi="QCF_P301" w:cs="QCF_P301"/>
          <w:color w:val="auto"/>
          <w:sz w:val="32"/>
          <w:szCs w:val="32"/>
          <w:rtl/>
          <w:lang w:eastAsia="en-US"/>
        </w:rPr>
        <w:t xml:space="preserve"> </w:t>
      </w:r>
      <w:r w:rsidRPr="00885058">
        <w:rPr>
          <w:rFonts w:ascii="Traditional Arabic" w:hAnsi="Traditional Arabic"/>
          <w:rtl/>
        </w:rPr>
        <w:t>وهو الطعام الذي يؤكل بالغداة. والنَّصَب:</w:t>
      </w:r>
      <w:r w:rsidRPr="00885058">
        <w:rPr>
          <w:rFonts w:ascii="Traditional Arabic" w:hAnsi="Traditional Arabic" w:hint="cs"/>
          <w:rtl/>
        </w:rPr>
        <w:t xml:space="preserve"> </w:t>
      </w:r>
      <w:r w:rsidRPr="00885058">
        <w:rPr>
          <w:rFonts w:ascii="Traditional Arabic" w:hAnsi="Traditional Arabic"/>
          <w:rtl/>
        </w:rPr>
        <w:t>الإِعياءِ</w:t>
      </w:r>
      <w:r w:rsidRPr="00885058">
        <w:rPr>
          <w:vertAlign w:val="superscript"/>
          <w:rtl/>
        </w:rPr>
        <w:t>(</w:t>
      </w:r>
      <w:r w:rsidRPr="00885058">
        <w:rPr>
          <w:vertAlign w:val="superscript"/>
          <w:rtl/>
        </w:rPr>
        <w:footnoteReference w:id="1606"/>
      </w:r>
      <w:r w:rsidRPr="00885058">
        <w:rPr>
          <w:vertAlign w:val="superscript"/>
          <w:rtl/>
        </w:rPr>
        <w:t>)</w:t>
      </w:r>
      <w:r w:rsidRPr="00885058">
        <w:rPr>
          <w:rFonts w:ascii="Traditional Arabic" w:hAnsi="Traditional Arabic"/>
          <w:rtl/>
        </w:rPr>
        <w:t>. وهذا يدل على إِباحة إِظهار مثل هذا القول عند ما يلحق الإِنسانَ من الأذى والتعب، ولا يكون ذلك شكوى</w:t>
      </w:r>
      <w:r w:rsidRPr="00885058">
        <w:rPr>
          <w:vertAlign w:val="superscript"/>
          <w:rtl/>
        </w:rPr>
        <w:t>(</w:t>
      </w:r>
      <w:r w:rsidRPr="00885058">
        <w:rPr>
          <w:vertAlign w:val="superscript"/>
          <w:rtl/>
        </w:rPr>
        <w:footnoteReference w:id="1607"/>
      </w:r>
      <w:r w:rsidRPr="00885058">
        <w:rPr>
          <w:vertAlign w:val="superscript"/>
          <w:rtl/>
        </w:rPr>
        <w:t>)</w:t>
      </w:r>
      <w:r w:rsidRPr="00885058">
        <w:rPr>
          <w:rFonts w:ascii="Traditional Arabic" w:hAnsi="Traditional Arabic"/>
          <w:rtl/>
        </w:rPr>
        <w:t xml:space="preserve">. قالَ يوشع لموسى </w:t>
      </w:r>
      <w:r w:rsidRPr="00885058">
        <w:rPr>
          <w:rFonts w:ascii="QCF_BSML" w:hAnsi="QCF_BSML" w:cs="QCF_BSML"/>
          <w:color w:val="auto"/>
          <w:sz w:val="32"/>
          <w:szCs w:val="32"/>
          <w:rtl/>
          <w:lang w:eastAsia="en-US"/>
        </w:rPr>
        <w:t>ﭽ</w:t>
      </w:r>
      <w:r w:rsidRPr="00885058">
        <w:rPr>
          <w:rFonts w:ascii="QCF_P301" w:hAnsi="QCF_P301" w:cs="QCF_P301"/>
          <w:color w:val="auto"/>
          <w:sz w:val="32"/>
          <w:szCs w:val="32"/>
          <w:rtl/>
          <w:lang w:eastAsia="en-US"/>
        </w:rPr>
        <w:t xml:space="preserve"> ﭟ  ﭠ  ﭡ  ﭢ     ﭣ</w:t>
      </w:r>
      <w:r w:rsidRPr="00885058">
        <w:rPr>
          <w:rFonts w:ascii="QCF_BSML" w:hAnsi="QCF_BSML" w:cs="QCF_BSML"/>
          <w:sz w:val="32"/>
          <w:szCs w:val="32"/>
          <w:rtl/>
          <w:lang w:eastAsia="en-US"/>
        </w:rPr>
        <w:t>ﭼ</w:t>
      </w:r>
      <w:r w:rsidRPr="00885058">
        <w:rPr>
          <w:rFonts w:ascii="QCF_P301" w:hAnsi="QCF_P301" w:cs="QCF_P301"/>
          <w:color w:val="auto"/>
          <w:sz w:val="32"/>
          <w:szCs w:val="32"/>
          <w:rtl/>
          <w:lang w:eastAsia="en-US"/>
        </w:rPr>
        <w:t xml:space="preserve">  </w:t>
      </w:r>
      <w:r w:rsidRPr="00885058">
        <w:rPr>
          <w:rFonts w:ascii="Traditional Arabic" w:hAnsi="Traditional Arabic"/>
          <w:rtl/>
        </w:rPr>
        <w:t xml:space="preserve">أي: حين نزلنا هناك </w:t>
      </w:r>
      <w:r w:rsidRPr="00885058">
        <w:rPr>
          <w:rFonts w:ascii="QCF_BSML" w:hAnsi="QCF_BSML" w:cs="QCF_BSML"/>
          <w:color w:val="auto"/>
          <w:sz w:val="32"/>
          <w:szCs w:val="32"/>
          <w:rtl/>
          <w:lang w:eastAsia="en-US"/>
        </w:rPr>
        <w:t>ﭽ</w:t>
      </w:r>
      <w:r w:rsidRPr="00885058">
        <w:rPr>
          <w:rFonts w:ascii="QCF_P301" w:hAnsi="QCF_P301" w:cs="QCF_P301"/>
          <w:color w:val="auto"/>
          <w:sz w:val="32"/>
          <w:szCs w:val="32"/>
          <w:rtl/>
          <w:lang w:eastAsia="en-US"/>
        </w:rPr>
        <w:t xml:space="preserve"> ﭤ  ﭥ   ﭦ</w:t>
      </w:r>
      <w:r w:rsidRPr="00885058">
        <w:rPr>
          <w:rFonts w:ascii="QCF_P301" w:hAnsi="QCF_P301" w:cs="QCF_P301" w:hint="cs"/>
          <w:color w:val="auto"/>
          <w:sz w:val="32"/>
          <w:szCs w:val="32"/>
          <w:rtl/>
          <w:lang w:eastAsia="en-US"/>
        </w:rPr>
        <w:t xml:space="preserve"> </w:t>
      </w:r>
      <w:r w:rsidRPr="00885058">
        <w:rPr>
          <w:rFonts w:ascii="QCF_BSML" w:hAnsi="QCF_BSML" w:cs="QCF_BSML"/>
          <w:sz w:val="32"/>
          <w:szCs w:val="32"/>
          <w:rtl/>
          <w:lang w:eastAsia="en-US"/>
        </w:rPr>
        <w:t>ﭼ</w:t>
      </w:r>
      <w:r w:rsidRPr="00885058">
        <w:rPr>
          <w:rFonts w:ascii="QCF_BSML" w:hAnsi="QCF_BSML" w:cs="QCF_BSML" w:hint="cs"/>
          <w:sz w:val="32"/>
          <w:szCs w:val="32"/>
          <w:rtl/>
          <w:lang w:eastAsia="en-US"/>
        </w:rPr>
        <w:t xml:space="preserve">     </w:t>
      </w:r>
      <w:r w:rsidRPr="00885058">
        <w:rPr>
          <w:rFonts w:ascii="QCF_P301" w:hAnsi="QCF_P301" w:cs="QCF_P301"/>
          <w:color w:val="auto"/>
          <w:sz w:val="32"/>
          <w:szCs w:val="32"/>
          <w:rtl/>
          <w:lang w:eastAsia="en-US"/>
        </w:rPr>
        <w:t xml:space="preserve"> </w:t>
      </w:r>
      <w:r w:rsidRPr="00885058">
        <w:rPr>
          <w:rFonts w:ascii="Traditional Arabic" w:hAnsi="Traditional Arabic"/>
          <w:rtl/>
        </w:rPr>
        <w:t>فيه قولان: أحدهما: نسيتُ أن أخبرك خبر الحوت. والثاني: نسيت حمل الحوت</w:t>
      </w:r>
      <w:r w:rsidRPr="00885058">
        <w:rPr>
          <w:vertAlign w:val="superscript"/>
          <w:rtl/>
        </w:rPr>
        <w:t>(</w:t>
      </w:r>
      <w:r w:rsidRPr="00885058">
        <w:rPr>
          <w:vertAlign w:val="superscript"/>
          <w:rtl/>
        </w:rPr>
        <w:footnoteReference w:id="1608"/>
      </w:r>
      <w:r w:rsidRPr="00885058">
        <w:rPr>
          <w:vertAlign w:val="superscript"/>
          <w:rtl/>
        </w:rPr>
        <w:t>)</w:t>
      </w:r>
      <w:r w:rsidRPr="00885058">
        <w:rPr>
          <w:rFonts w:ascii="Traditional Arabic" w:hAnsi="Traditional Arabic"/>
          <w:rtl/>
        </w:rPr>
        <w:t xml:space="preserve">. قوله تعالى: </w:t>
      </w:r>
      <w:r w:rsidRPr="00885058">
        <w:rPr>
          <w:rFonts w:ascii="QCF_BSML" w:hAnsi="QCF_BSML" w:cs="QCF_BSML"/>
          <w:color w:val="auto"/>
          <w:sz w:val="32"/>
          <w:szCs w:val="32"/>
          <w:rtl/>
          <w:lang w:eastAsia="en-US"/>
        </w:rPr>
        <w:t>ﭽ</w:t>
      </w:r>
      <w:r w:rsidRPr="00885058">
        <w:rPr>
          <w:rFonts w:ascii="QCF_P301" w:hAnsi="QCF_P301" w:cs="QCF_P301"/>
          <w:color w:val="auto"/>
          <w:sz w:val="32"/>
          <w:szCs w:val="32"/>
          <w:rtl/>
          <w:lang w:eastAsia="en-US"/>
        </w:rPr>
        <w:t xml:space="preserve"> ﭧ  ﭨ </w:t>
      </w:r>
      <w:r w:rsidRPr="00885058">
        <w:rPr>
          <w:rFonts w:ascii="QCF_BSML" w:hAnsi="QCF_BSML" w:cs="QCF_BSML"/>
          <w:sz w:val="32"/>
          <w:szCs w:val="32"/>
          <w:rtl/>
          <w:lang w:eastAsia="en-US"/>
        </w:rPr>
        <w:t>ﭼ</w:t>
      </w:r>
      <w:r w:rsidRPr="00885058">
        <w:rPr>
          <w:rFonts w:ascii="QCF_BSML" w:hAnsi="QCF_BSML" w:cs="QCF_BSML" w:hint="cs"/>
          <w:sz w:val="32"/>
          <w:szCs w:val="32"/>
          <w:rtl/>
          <w:lang w:eastAsia="en-US"/>
        </w:rPr>
        <w:t xml:space="preserve">   </w:t>
      </w:r>
      <w:r w:rsidRPr="00885058">
        <w:rPr>
          <w:rFonts w:ascii="QCF_P301" w:hAnsi="QCF_P301" w:cs="QCF_P301"/>
          <w:color w:val="auto"/>
          <w:sz w:val="32"/>
          <w:szCs w:val="32"/>
          <w:rtl/>
          <w:lang w:eastAsia="en-US"/>
        </w:rPr>
        <w:t xml:space="preserve"> </w:t>
      </w:r>
      <w:r w:rsidRPr="00885058">
        <w:rPr>
          <w:rFonts w:ascii="Traditional Arabic" w:hAnsi="Traditional Arabic"/>
          <w:rtl/>
        </w:rPr>
        <w:t>قرأ الكسائي: «أنسانيه» ب</w:t>
      </w:r>
      <w:r w:rsidRPr="00885058">
        <w:rPr>
          <w:rFonts w:ascii="Traditional Arabic" w:hAnsi="Traditional Arabic" w:hint="cs"/>
          <w:rtl/>
        </w:rPr>
        <w:t>إ</w:t>
      </w:r>
      <w:r w:rsidRPr="00885058">
        <w:rPr>
          <w:rFonts w:ascii="Traditional Arabic" w:hAnsi="Traditional Arabic"/>
          <w:rtl/>
        </w:rPr>
        <w:t>مال</w:t>
      </w:r>
      <w:r w:rsidRPr="00885058">
        <w:rPr>
          <w:rFonts w:ascii="Traditional Arabic" w:hAnsi="Traditional Arabic" w:hint="cs"/>
          <w:rtl/>
        </w:rPr>
        <w:t>ة</w:t>
      </w:r>
      <w:r w:rsidRPr="00885058">
        <w:rPr>
          <w:rFonts w:ascii="Traditional Arabic" w:hAnsi="Traditional Arabic"/>
          <w:rtl/>
        </w:rPr>
        <w:t xml:space="preserve"> السين مع كسر الهاء. وقرأ ابن كثير: «أنسانيهي» بإثبات ياء في الوصل بعد الهاء وروى حفص عن عاصم: «أنسانيهُ إِلا» بضم الهاء في الوصل</w:t>
      </w:r>
      <w:r w:rsidRPr="00885058">
        <w:rPr>
          <w:vertAlign w:val="superscript"/>
          <w:rtl/>
        </w:rPr>
        <w:t>(</w:t>
      </w:r>
      <w:r w:rsidRPr="00885058">
        <w:rPr>
          <w:vertAlign w:val="superscript"/>
          <w:rtl/>
        </w:rPr>
        <w:footnoteReference w:id="1609"/>
      </w:r>
      <w:r w:rsidRPr="00885058">
        <w:rPr>
          <w:vertAlign w:val="superscript"/>
          <w:rtl/>
        </w:rPr>
        <w:t>)</w:t>
      </w:r>
      <w:r w:rsidRPr="00885058">
        <w:rPr>
          <w:rFonts w:ascii="Traditional Arabic" w:hAnsi="Traditional Arabic"/>
          <w:rtl/>
        </w:rPr>
        <w:t>.</w:t>
      </w:r>
      <w:r w:rsidRPr="00885058">
        <w:rPr>
          <w:rFonts w:ascii="Traditional Arabic" w:hAnsi="Traditional Arabic" w:hint="cs"/>
          <w:rtl/>
        </w:rPr>
        <w:t xml:space="preserve"> </w:t>
      </w:r>
      <w:r w:rsidRPr="00885058">
        <w:rPr>
          <w:rFonts w:ascii="Traditional Arabic" w:hAnsi="Traditional Arabic"/>
          <w:rtl/>
        </w:rPr>
        <w:t xml:space="preserve">قوله تعالى: </w:t>
      </w:r>
      <w:r w:rsidRPr="00885058">
        <w:rPr>
          <w:rFonts w:ascii="QCF_BSML" w:hAnsi="QCF_BSML" w:cs="QCF_BSML"/>
          <w:color w:val="auto"/>
          <w:sz w:val="32"/>
          <w:szCs w:val="32"/>
          <w:rtl/>
          <w:lang w:eastAsia="en-US"/>
        </w:rPr>
        <w:t>ﭽ</w:t>
      </w:r>
      <w:r w:rsidRPr="00885058">
        <w:rPr>
          <w:rFonts w:ascii="QCF_P301" w:hAnsi="QCF_P301" w:cs="QCF_P301"/>
          <w:color w:val="auto"/>
          <w:sz w:val="32"/>
          <w:szCs w:val="32"/>
          <w:rtl/>
          <w:lang w:eastAsia="en-US"/>
        </w:rPr>
        <w:t xml:space="preserve"> ﭮ  ﭯ  ﭰ  ﭱ   ﭲ</w:t>
      </w:r>
      <w:r w:rsidRPr="00885058">
        <w:rPr>
          <w:rFonts w:ascii="QCF_BSML" w:hAnsi="QCF_BSML" w:cs="QCF_BSML"/>
          <w:sz w:val="32"/>
          <w:szCs w:val="32"/>
          <w:rtl/>
          <w:lang w:eastAsia="en-US"/>
        </w:rPr>
        <w:t>ﭼ</w:t>
      </w:r>
      <w:r w:rsidRPr="00885058">
        <w:rPr>
          <w:rFonts w:ascii="QCF_BSML" w:hAnsi="QCF_BSML" w:cs="QCF_BSML" w:hint="cs"/>
          <w:sz w:val="32"/>
          <w:szCs w:val="32"/>
          <w:rtl/>
          <w:lang w:eastAsia="en-US"/>
        </w:rPr>
        <w:t xml:space="preserve">   </w:t>
      </w:r>
      <w:r w:rsidRPr="00885058">
        <w:rPr>
          <w:rFonts w:ascii="Traditional Arabic" w:hAnsi="Traditional Arabic"/>
          <w:rtl/>
        </w:rPr>
        <w:t>الهاء في السبيل ترجع إِلى الحوت. وفي المُتَّخِذ قولان: أحدهما: أنه الحوت</w:t>
      </w:r>
      <w:r w:rsidRPr="00885058">
        <w:rPr>
          <w:vertAlign w:val="superscript"/>
          <w:rtl/>
        </w:rPr>
        <w:t>(</w:t>
      </w:r>
      <w:r w:rsidRPr="00885058">
        <w:rPr>
          <w:vertAlign w:val="superscript"/>
          <w:rtl/>
        </w:rPr>
        <w:footnoteReference w:id="1610"/>
      </w:r>
      <w:r w:rsidRPr="00885058">
        <w:rPr>
          <w:vertAlign w:val="superscript"/>
          <w:rtl/>
        </w:rPr>
        <w:t>)</w:t>
      </w:r>
      <w:r w:rsidRPr="00885058">
        <w:rPr>
          <w:rFonts w:ascii="Traditional Arabic" w:hAnsi="Traditional Arabic"/>
          <w:rtl/>
        </w:rPr>
        <w:t>، ثم في المخبر عنه قولان: أحدهما: أنه الله عزّ وجلّ، ثم في معنى</w:t>
      </w:r>
      <w:r w:rsidRPr="00885058">
        <w:rPr>
          <w:rFonts w:ascii="Traditional Arabic" w:hAnsi="Traditional Arabic" w:hint="cs"/>
          <w:rtl/>
        </w:rPr>
        <w:t xml:space="preserve"> </w:t>
      </w:r>
      <w:r w:rsidRPr="00885058">
        <w:rPr>
          <w:rFonts w:ascii="Traditional Arabic" w:hAnsi="Traditional Arabic"/>
          <w:rtl/>
        </w:rPr>
        <w:t xml:space="preserve">الكلام ثلاثة أقوال: أحدها: فاتخذ سبيله في البحر يُري عجباً، ويُحدث عجباً. والثاني: أنه لما قال الله تعالى: </w:t>
      </w:r>
      <w:r w:rsidRPr="00885058">
        <w:rPr>
          <w:rFonts w:ascii="QCF_BSML" w:hAnsi="QCF_BSML" w:cs="QCF_BSML"/>
          <w:color w:val="auto"/>
          <w:sz w:val="32"/>
          <w:szCs w:val="32"/>
          <w:rtl/>
          <w:lang w:eastAsia="en-US"/>
        </w:rPr>
        <w:t>ﭽ</w:t>
      </w:r>
      <w:r w:rsidRPr="00885058">
        <w:rPr>
          <w:rFonts w:ascii="QCF_P301" w:hAnsi="QCF_P301" w:cs="QCF_P301"/>
          <w:color w:val="auto"/>
          <w:sz w:val="32"/>
          <w:szCs w:val="32"/>
          <w:rtl/>
          <w:lang w:eastAsia="en-US"/>
        </w:rPr>
        <w:t xml:space="preserve">ﭮ  ﭯ   ﭰ  </w:t>
      </w:r>
      <w:r w:rsidRPr="00885058">
        <w:rPr>
          <w:rFonts w:ascii="QCF_P301" w:hAnsi="QCF_P301" w:cs="QCF_P301"/>
          <w:color w:val="auto"/>
          <w:sz w:val="32"/>
          <w:szCs w:val="32"/>
          <w:rtl/>
          <w:lang w:eastAsia="en-US"/>
        </w:rPr>
        <w:lastRenderedPageBreak/>
        <w:t xml:space="preserve">ﭱ </w:t>
      </w:r>
      <w:r w:rsidRPr="00885058">
        <w:rPr>
          <w:rFonts w:ascii="QCF_BSML" w:hAnsi="QCF_BSML" w:cs="QCF_BSML"/>
          <w:sz w:val="32"/>
          <w:szCs w:val="32"/>
          <w:rtl/>
          <w:lang w:eastAsia="en-US"/>
        </w:rPr>
        <w:t>ﭼ</w:t>
      </w:r>
      <w:r w:rsidRPr="00885058">
        <w:rPr>
          <w:rFonts w:ascii="QCF_P301" w:hAnsi="QCF_P301" w:cs="QCF_P301"/>
          <w:color w:val="auto"/>
          <w:sz w:val="32"/>
          <w:szCs w:val="32"/>
          <w:rtl/>
          <w:lang w:eastAsia="en-US"/>
        </w:rPr>
        <w:t xml:space="preserve">        </w:t>
      </w:r>
      <w:r w:rsidRPr="00885058">
        <w:rPr>
          <w:rFonts w:ascii="Traditional Arabic" w:hAnsi="Traditional Arabic"/>
          <w:rtl/>
        </w:rPr>
        <w:t>قال: اعجبوا لذلك عجباً، وتنَّبهوا لهذه الآية. والثالث: أن إِخبار الله تعالى انقطع عند قوله: «في البحر» فقال موسى: عجباً، لِما شوهد من الحوت. ذكر هذه الأقوال ابن الأنباري</w:t>
      </w:r>
      <w:r w:rsidRPr="00885058">
        <w:rPr>
          <w:vertAlign w:val="superscript"/>
          <w:rtl/>
        </w:rPr>
        <w:t>(</w:t>
      </w:r>
      <w:r w:rsidRPr="00885058">
        <w:rPr>
          <w:vertAlign w:val="superscript"/>
          <w:rtl/>
        </w:rPr>
        <w:footnoteReference w:id="1611"/>
      </w:r>
      <w:r w:rsidRPr="00885058">
        <w:rPr>
          <w:vertAlign w:val="superscript"/>
          <w:rtl/>
        </w:rPr>
        <w:t>)</w:t>
      </w:r>
      <w:r w:rsidRPr="00885058">
        <w:rPr>
          <w:rFonts w:ascii="Traditional Arabic" w:hAnsi="Traditional Arabic"/>
          <w:rtl/>
        </w:rPr>
        <w:t>.</w:t>
      </w:r>
      <w:r w:rsidRPr="00885058">
        <w:rPr>
          <w:rFonts w:ascii="Traditional Arabic" w:hAnsi="Traditional Arabic" w:hint="cs"/>
          <w:rtl/>
        </w:rPr>
        <w:t xml:space="preserve"> والثاني: المخبر عن الحوت يوشع</w:t>
      </w:r>
      <w:r w:rsidRPr="00885058">
        <w:rPr>
          <w:vertAlign w:val="superscript"/>
          <w:rtl/>
        </w:rPr>
        <w:t>(</w:t>
      </w:r>
      <w:r w:rsidRPr="00885058">
        <w:rPr>
          <w:vertAlign w:val="superscript"/>
          <w:rtl/>
        </w:rPr>
        <w:footnoteReference w:id="1612"/>
      </w:r>
      <w:r w:rsidRPr="00885058">
        <w:rPr>
          <w:vertAlign w:val="superscript"/>
          <w:rtl/>
        </w:rPr>
        <w:t>)</w:t>
      </w:r>
      <w:r w:rsidRPr="00885058">
        <w:rPr>
          <w:rFonts w:ascii="Traditional Arabic" w:hAnsi="Traditional Arabic"/>
          <w:rtl/>
        </w:rPr>
        <w:t>، وصف لموسى ما فعل الحوت</w:t>
      </w:r>
      <w:r w:rsidRPr="00885058">
        <w:rPr>
          <w:vertAlign w:val="superscript"/>
          <w:rtl/>
        </w:rPr>
        <w:t>(</w:t>
      </w:r>
      <w:r w:rsidRPr="00885058">
        <w:rPr>
          <w:vertAlign w:val="superscript"/>
          <w:rtl/>
        </w:rPr>
        <w:footnoteReference w:id="1613"/>
      </w:r>
      <w:r w:rsidRPr="00885058">
        <w:rPr>
          <w:vertAlign w:val="superscript"/>
          <w:rtl/>
        </w:rPr>
        <w:t>)</w:t>
      </w:r>
      <w:r w:rsidRPr="00885058">
        <w:rPr>
          <w:rFonts w:ascii="Traditional Arabic" w:hAnsi="Traditional Arabic"/>
          <w:rtl/>
        </w:rPr>
        <w:t xml:space="preserve">. والقول الثاني: أن المتخِذ موسى، اتخذ سبيل الحوت في البحر عجباً، فدخل في المكان الذي مَرَّ فيه الحوت، فرأى الخَضِر. وروى عطية عن ابن عباس قال: رجع موسى </w:t>
      </w:r>
      <w:r w:rsidRPr="00885058">
        <w:rPr>
          <w:rFonts w:ascii="Traditional Arabic" w:hAnsi="Traditional Arabic"/>
          <w:sz w:val="32"/>
          <w:szCs w:val="32"/>
          <w:rtl/>
        </w:rPr>
        <w:t>[</w:t>
      </w:r>
      <w:r w:rsidRPr="00885058">
        <w:rPr>
          <w:rFonts w:ascii="Traditional Arabic" w:hAnsi="Traditional Arabic" w:hint="cs"/>
          <w:sz w:val="32"/>
          <w:szCs w:val="32"/>
          <w:rtl/>
        </w:rPr>
        <w:t>136</w:t>
      </w:r>
      <w:r w:rsidRPr="00885058">
        <w:rPr>
          <w:rFonts w:ascii="Traditional Arabic" w:hAnsi="Traditional Arabic"/>
          <w:sz w:val="32"/>
          <w:szCs w:val="32"/>
          <w:rtl/>
        </w:rPr>
        <w:t>]</w:t>
      </w:r>
      <w:r w:rsidRPr="00885058">
        <w:rPr>
          <w:rFonts w:ascii="Traditional Arabic" w:hAnsi="Traditional Arabic"/>
          <w:rtl/>
        </w:rPr>
        <w:t xml:space="preserve"> إِلى الصخرة فوجد الحوت، فجعل الحوت يضرب في البحر، ويتبعه موسى، حتى انتهى به إِلى جزيرة من جزائر البحر، فلقي الخضر</w:t>
      </w:r>
      <w:r w:rsidRPr="00885058">
        <w:rPr>
          <w:vertAlign w:val="superscript"/>
          <w:rtl/>
        </w:rPr>
        <w:t>(</w:t>
      </w:r>
      <w:r w:rsidRPr="00885058">
        <w:rPr>
          <w:vertAlign w:val="superscript"/>
          <w:rtl/>
        </w:rPr>
        <w:footnoteReference w:id="1614"/>
      </w:r>
      <w:r w:rsidRPr="00885058">
        <w:rPr>
          <w:vertAlign w:val="superscript"/>
          <w:rtl/>
        </w:rPr>
        <w:t>)</w:t>
      </w:r>
      <w:r w:rsidRPr="00885058">
        <w:rPr>
          <w:rFonts w:ascii="Traditional Arabic" w:hAnsi="Traditional Arabic"/>
          <w:rtl/>
        </w:rPr>
        <w:t>.</w:t>
      </w:r>
      <w:r w:rsidRPr="00885058">
        <w:rPr>
          <w:rFonts w:ascii="QCF_P301" w:hAnsi="QCF_P301" w:cs="QCF_P301"/>
          <w:color w:val="auto"/>
          <w:sz w:val="32"/>
          <w:szCs w:val="32"/>
          <w:rtl/>
          <w:lang w:eastAsia="en-US"/>
        </w:rPr>
        <w:t xml:space="preserve">  </w:t>
      </w:r>
      <w:r w:rsidRPr="00885058">
        <w:rPr>
          <w:rFonts w:ascii="Traditional Arabic" w:hAnsi="Traditional Arabic"/>
          <w:rtl/>
        </w:rPr>
        <w:t xml:space="preserve">قوله تعالى: </w:t>
      </w:r>
      <w:r w:rsidRPr="00885058">
        <w:rPr>
          <w:rFonts w:ascii="QCF_BSML" w:hAnsi="QCF_BSML" w:cs="QCF_BSML"/>
          <w:color w:val="auto"/>
          <w:sz w:val="32"/>
          <w:szCs w:val="32"/>
          <w:rtl/>
          <w:lang w:eastAsia="en-US"/>
        </w:rPr>
        <w:t>ﭽ</w:t>
      </w:r>
      <w:r w:rsidRPr="00885058">
        <w:rPr>
          <w:rFonts w:ascii="QCF_P301" w:hAnsi="QCF_P301" w:cs="QCF_P301"/>
          <w:color w:val="auto"/>
          <w:sz w:val="32"/>
          <w:szCs w:val="32"/>
          <w:rtl/>
          <w:lang w:eastAsia="en-US"/>
        </w:rPr>
        <w:t xml:space="preserve"> ﭴ</w:t>
      </w:r>
      <w:r w:rsidRPr="00885058">
        <w:rPr>
          <w:rFonts w:ascii="QCF_BSML" w:hAnsi="QCF_BSML" w:cs="QCF_BSML"/>
          <w:sz w:val="32"/>
          <w:szCs w:val="32"/>
          <w:rtl/>
          <w:lang w:eastAsia="en-US"/>
        </w:rPr>
        <w:t>ﭼ</w:t>
      </w:r>
      <w:r w:rsidRPr="00885058">
        <w:rPr>
          <w:rFonts w:ascii="Traditional Arabic" w:hAnsi="Traditional Arabic"/>
          <w:rtl/>
        </w:rPr>
        <w:t xml:space="preserve"> يعني: موسى </w:t>
      </w:r>
      <w:r w:rsidRPr="00885058">
        <w:rPr>
          <w:rFonts w:ascii="QCF_BSML" w:hAnsi="QCF_BSML" w:cs="QCF_BSML"/>
          <w:color w:val="auto"/>
          <w:sz w:val="32"/>
          <w:szCs w:val="32"/>
          <w:rtl/>
          <w:lang w:eastAsia="en-US"/>
        </w:rPr>
        <w:t>ﭽ</w:t>
      </w:r>
      <w:r w:rsidRPr="00885058">
        <w:rPr>
          <w:rFonts w:ascii="QCF_P301" w:hAnsi="QCF_P301" w:cs="QCF_P301"/>
          <w:color w:val="auto"/>
          <w:sz w:val="32"/>
          <w:szCs w:val="32"/>
          <w:rtl/>
          <w:lang w:eastAsia="en-US"/>
        </w:rPr>
        <w:t xml:space="preserve"> ﭵ  ﭶ  ﭷ  ﭸﭹ  </w:t>
      </w:r>
      <w:r w:rsidRPr="00885058">
        <w:rPr>
          <w:rFonts w:ascii="QCF_BSML" w:hAnsi="QCF_BSML" w:cs="QCF_BSML"/>
          <w:sz w:val="32"/>
          <w:szCs w:val="32"/>
          <w:rtl/>
          <w:lang w:eastAsia="en-US"/>
        </w:rPr>
        <w:t>ﭼ</w:t>
      </w:r>
      <w:r w:rsidRPr="00885058">
        <w:rPr>
          <w:rFonts w:ascii="Traditional Arabic" w:hAnsi="Traditional Arabic" w:hint="cs"/>
          <w:rtl/>
        </w:rPr>
        <w:t xml:space="preserve"> </w:t>
      </w:r>
      <w:r w:rsidRPr="00885058">
        <w:rPr>
          <w:rFonts w:ascii="Traditional Arabic" w:hAnsi="Traditional Arabic"/>
          <w:rtl/>
        </w:rPr>
        <w:t>أي: ذلك الذي نطلب من العلامة الدَّالة على مطلوبنا. قرأ ابن كثير «نبغي» بياء في الوصل والوقف. وقرأ نافع، وأبو عمرو، والكسائيّ، بياء في الوقف. وقرأ ابن عامر، وعاصم، وحمزة، بحذف الياء في الحالين</w:t>
      </w:r>
      <w:r w:rsidRPr="00885058">
        <w:rPr>
          <w:vertAlign w:val="superscript"/>
          <w:rtl/>
        </w:rPr>
        <w:t>(</w:t>
      </w:r>
      <w:r w:rsidRPr="00885058">
        <w:rPr>
          <w:vertAlign w:val="superscript"/>
          <w:rtl/>
        </w:rPr>
        <w:footnoteReference w:id="1615"/>
      </w:r>
      <w:r w:rsidRPr="00885058">
        <w:rPr>
          <w:vertAlign w:val="superscript"/>
          <w:rtl/>
        </w:rPr>
        <w:t>)</w:t>
      </w:r>
      <w:r w:rsidRPr="00885058">
        <w:rPr>
          <w:rFonts w:ascii="Traditional Arabic" w:hAnsi="Traditional Arabic"/>
          <w:rtl/>
        </w:rPr>
        <w:t>.</w:t>
      </w:r>
      <w:r w:rsidR="00237681">
        <w:rPr>
          <w:rFonts w:ascii="Traditional Arabic" w:hAnsi="Traditional Arabic" w:hint="cs"/>
          <w:rtl/>
        </w:rPr>
        <w:t xml:space="preserve"> </w:t>
      </w:r>
      <w:r w:rsidRPr="00885058">
        <w:rPr>
          <w:rFonts w:ascii="Traditional Arabic" w:hAnsi="Traditional Arabic"/>
          <w:rtl/>
        </w:rPr>
        <w:t xml:space="preserve">قوله تعالى: </w:t>
      </w:r>
      <w:r w:rsidRPr="00885058">
        <w:rPr>
          <w:rFonts w:ascii="QCF_BSML" w:hAnsi="QCF_BSML" w:cs="QCF_BSML"/>
          <w:color w:val="auto"/>
          <w:sz w:val="32"/>
          <w:szCs w:val="32"/>
          <w:rtl/>
          <w:lang w:eastAsia="en-US"/>
        </w:rPr>
        <w:t>ﭽ</w:t>
      </w:r>
      <w:r w:rsidRPr="00885058">
        <w:rPr>
          <w:rFonts w:ascii="QCF_P301" w:hAnsi="QCF_P301" w:cs="QCF_P301"/>
          <w:color w:val="auto"/>
          <w:sz w:val="32"/>
          <w:szCs w:val="32"/>
          <w:rtl/>
          <w:lang w:eastAsia="en-US"/>
        </w:rPr>
        <w:t xml:space="preserve"> ﭺ  ﭻ  ﭼ   </w:t>
      </w:r>
      <w:r w:rsidRPr="00885058">
        <w:rPr>
          <w:rFonts w:ascii="QCF_BSML" w:hAnsi="QCF_BSML" w:cs="QCF_BSML"/>
          <w:sz w:val="32"/>
          <w:szCs w:val="32"/>
          <w:rtl/>
          <w:lang w:eastAsia="en-US"/>
        </w:rPr>
        <w:t>ﭼ</w:t>
      </w:r>
      <w:r w:rsidRPr="00885058">
        <w:rPr>
          <w:rFonts w:ascii="QCF_BSML" w:hAnsi="QCF_BSML" w:cs="QCF_BSML" w:hint="cs"/>
          <w:sz w:val="32"/>
          <w:szCs w:val="32"/>
          <w:rtl/>
          <w:lang w:eastAsia="en-US"/>
        </w:rPr>
        <w:t xml:space="preserve">    </w:t>
      </w:r>
      <w:r w:rsidRPr="00885058">
        <w:rPr>
          <w:rFonts w:ascii="Traditional Arabic" w:hAnsi="Traditional Arabic"/>
          <w:rtl/>
        </w:rPr>
        <w:t>قال الزجاج: أي: رجعا في الطريق الذي سلكاه، يقصَّان الأثر. والقَصَص: اتِّباع الأثر</w:t>
      </w:r>
      <w:r w:rsidRPr="00885058">
        <w:rPr>
          <w:vertAlign w:val="superscript"/>
          <w:rtl/>
        </w:rPr>
        <w:t>(</w:t>
      </w:r>
      <w:r w:rsidRPr="00885058">
        <w:rPr>
          <w:vertAlign w:val="superscript"/>
          <w:rtl/>
        </w:rPr>
        <w:footnoteReference w:id="1616"/>
      </w:r>
      <w:r w:rsidRPr="00885058">
        <w:rPr>
          <w:vertAlign w:val="superscript"/>
          <w:rtl/>
        </w:rPr>
        <w:t>)</w:t>
      </w:r>
      <w:r w:rsidRPr="00885058">
        <w:rPr>
          <w:rFonts w:ascii="Traditional Arabic" w:hAnsi="Traditional Arabic"/>
          <w:rtl/>
        </w:rPr>
        <w:t xml:space="preserve">. قوله تعالى: </w:t>
      </w:r>
      <w:r w:rsidRPr="00885058">
        <w:rPr>
          <w:rFonts w:ascii="QCF_BSML" w:hAnsi="QCF_BSML" w:cs="QCF_BSML"/>
          <w:color w:val="auto"/>
          <w:sz w:val="32"/>
          <w:szCs w:val="32"/>
          <w:rtl/>
          <w:lang w:eastAsia="en-US"/>
        </w:rPr>
        <w:t>ﭽ</w:t>
      </w:r>
      <w:r w:rsidRPr="00885058">
        <w:rPr>
          <w:rFonts w:ascii="QCF_P301" w:hAnsi="QCF_P301" w:cs="QCF_P301"/>
          <w:color w:val="auto"/>
          <w:sz w:val="32"/>
          <w:szCs w:val="32"/>
          <w:rtl/>
          <w:lang w:eastAsia="en-US"/>
        </w:rPr>
        <w:t xml:space="preserve"> ﭿ  ﮀ  ﮁ  ﮂ  </w:t>
      </w:r>
      <w:r w:rsidRPr="00885058">
        <w:rPr>
          <w:rFonts w:ascii="QCF_BSML" w:hAnsi="QCF_BSML" w:cs="QCF_BSML"/>
          <w:sz w:val="32"/>
          <w:szCs w:val="32"/>
          <w:rtl/>
          <w:lang w:eastAsia="en-US"/>
        </w:rPr>
        <w:t>ﭼ</w:t>
      </w:r>
      <w:r w:rsidRPr="00885058">
        <w:rPr>
          <w:rFonts w:ascii="QCF_BSML" w:hAnsi="QCF_BSML" w:cs="QCF_BSML" w:hint="cs"/>
          <w:sz w:val="32"/>
          <w:szCs w:val="32"/>
          <w:rtl/>
          <w:lang w:eastAsia="en-US"/>
        </w:rPr>
        <w:t xml:space="preserve">   </w:t>
      </w:r>
      <w:r w:rsidRPr="00885058">
        <w:rPr>
          <w:rFonts w:ascii="Traditional Arabic" w:hAnsi="Traditional Arabic"/>
          <w:rtl/>
        </w:rPr>
        <w:t>يعني: الخضر.</w:t>
      </w:r>
      <w:r w:rsidRPr="00885058">
        <w:rPr>
          <w:rFonts w:ascii="Traditional Arabic" w:hAnsi="Traditional Arabic" w:hint="cs"/>
          <w:rtl/>
        </w:rPr>
        <w:t xml:space="preserve"> </w:t>
      </w:r>
      <w:r w:rsidRPr="00885058">
        <w:rPr>
          <w:rFonts w:ascii="Traditional Arabic" w:hAnsi="Traditional Arabic"/>
          <w:rtl/>
        </w:rPr>
        <w:t>وفي اسمه أربعة أقوال: أحدها: اليسع، قاله وهب</w:t>
      </w:r>
      <w:r w:rsidRPr="00885058">
        <w:rPr>
          <w:vertAlign w:val="superscript"/>
          <w:rtl/>
        </w:rPr>
        <w:t>(</w:t>
      </w:r>
      <w:r w:rsidRPr="00885058">
        <w:rPr>
          <w:vertAlign w:val="superscript"/>
          <w:rtl/>
        </w:rPr>
        <w:footnoteReference w:id="1617"/>
      </w:r>
      <w:r w:rsidRPr="00885058">
        <w:rPr>
          <w:vertAlign w:val="superscript"/>
          <w:rtl/>
        </w:rPr>
        <w:t>)</w:t>
      </w:r>
      <w:r w:rsidRPr="00885058">
        <w:rPr>
          <w:rFonts w:ascii="Traditional Arabic" w:hAnsi="Traditional Arabic"/>
          <w:rtl/>
        </w:rPr>
        <w:t>، ومقاتل</w:t>
      </w:r>
      <w:r w:rsidRPr="00885058">
        <w:rPr>
          <w:vertAlign w:val="superscript"/>
          <w:rtl/>
        </w:rPr>
        <w:t>(</w:t>
      </w:r>
      <w:r w:rsidRPr="00885058">
        <w:rPr>
          <w:vertAlign w:val="superscript"/>
          <w:rtl/>
        </w:rPr>
        <w:footnoteReference w:id="1618"/>
      </w:r>
      <w:r w:rsidRPr="00885058">
        <w:rPr>
          <w:vertAlign w:val="superscript"/>
          <w:rtl/>
        </w:rPr>
        <w:t>)</w:t>
      </w:r>
      <w:r w:rsidRPr="00885058">
        <w:rPr>
          <w:rFonts w:ascii="Traditional Arabic" w:hAnsi="Traditional Arabic"/>
          <w:rtl/>
        </w:rPr>
        <w:t>. والثاني: الخَضِر بن عاميا.</w:t>
      </w:r>
      <w:r w:rsidRPr="00885058">
        <w:rPr>
          <w:rFonts w:ascii="Traditional Arabic" w:hAnsi="Traditional Arabic" w:hint="cs"/>
          <w:rtl/>
        </w:rPr>
        <w:t xml:space="preserve"> </w:t>
      </w:r>
      <w:r w:rsidRPr="00885058">
        <w:rPr>
          <w:rFonts w:ascii="Traditional Arabic" w:hAnsi="Traditional Arabic"/>
          <w:rtl/>
        </w:rPr>
        <w:t>والثالث: أرميا بن حلقيا، ذكرهما ابن المنادي</w:t>
      </w:r>
      <w:r w:rsidRPr="00885058">
        <w:rPr>
          <w:vertAlign w:val="superscript"/>
          <w:rtl/>
        </w:rPr>
        <w:t>(</w:t>
      </w:r>
      <w:r w:rsidRPr="00885058">
        <w:rPr>
          <w:vertAlign w:val="superscript"/>
          <w:rtl/>
        </w:rPr>
        <w:footnoteReference w:id="1619"/>
      </w:r>
      <w:r w:rsidRPr="00885058">
        <w:rPr>
          <w:vertAlign w:val="superscript"/>
          <w:rtl/>
        </w:rPr>
        <w:t>)(</w:t>
      </w:r>
      <w:r w:rsidRPr="00885058">
        <w:rPr>
          <w:vertAlign w:val="superscript"/>
          <w:rtl/>
        </w:rPr>
        <w:footnoteReference w:id="1620"/>
      </w:r>
      <w:r w:rsidRPr="00885058">
        <w:rPr>
          <w:vertAlign w:val="superscript"/>
          <w:rtl/>
        </w:rPr>
        <w:t>)</w:t>
      </w:r>
      <w:r w:rsidRPr="00885058">
        <w:rPr>
          <w:rFonts w:ascii="Traditional Arabic" w:hAnsi="Traditional Arabic"/>
          <w:rtl/>
        </w:rPr>
        <w:t xml:space="preserve">. والرابع: </w:t>
      </w:r>
      <w:r w:rsidRPr="00885058">
        <w:rPr>
          <w:rFonts w:ascii="Traditional Arabic" w:hAnsi="Traditional Arabic" w:hint="cs"/>
          <w:rtl/>
        </w:rPr>
        <w:t>بليا</w:t>
      </w:r>
      <w:r w:rsidRPr="00885058">
        <w:rPr>
          <w:rFonts w:ascii="Traditional Arabic" w:hAnsi="Traditional Arabic"/>
          <w:rtl/>
        </w:rPr>
        <w:t xml:space="preserve"> بن ملكان، ذكره </w:t>
      </w:r>
      <w:r w:rsidRPr="00885058">
        <w:rPr>
          <w:rFonts w:ascii="Traditional Arabic" w:hAnsi="Traditional Arabic"/>
          <w:rtl/>
        </w:rPr>
        <w:lastRenderedPageBreak/>
        <w:t>علي بن أحمد النيسابوري</w:t>
      </w:r>
      <w:r w:rsidRPr="00885058">
        <w:rPr>
          <w:vertAlign w:val="superscript"/>
          <w:rtl/>
        </w:rPr>
        <w:t>(</w:t>
      </w:r>
      <w:r w:rsidRPr="00885058">
        <w:rPr>
          <w:vertAlign w:val="superscript"/>
          <w:rtl/>
        </w:rPr>
        <w:footnoteReference w:id="1621"/>
      </w:r>
      <w:r w:rsidRPr="00885058">
        <w:rPr>
          <w:vertAlign w:val="superscript"/>
          <w:rtl/>
        </w:rPr>
        <w:t>)</w:t>
      </w:r>
      <w:r w:rsidRPr="00885058">
        <w:rPr>
          <w:rFonts w:ascii="Traditional Arabic" w:hAnsi="Traditional Arabic"/>
          <w:rtl/>
        </w:rPr>
        <w:t>. فأما تسميته بالخضر، ففيه قولان:</w:t>
      </w:r>
      <w:r w:rsidRPr="00885058">
        <w:rPr>
          <w:rFonts w:ascii="Traditional Arabic" w:hAnsi="Traditional Arabic" w:hint="cs"/>
          <w:rtl/>
        </w:rPr>
        <w:t xml:space="preserve"> </w:t>
      </w:r>
      <w:r w:rsidRPr="00885058">
        <w:rPr>
          <w:rFonts w:ascii="Traditional Arabic" w:hAnsi="Traditional Arabic"/>
          <w:rtl/>
        </w:rPr>
        <w:t xml:space="preserve">أحدهما: أنه جلس في فروة بيضاء فاخضرَّت، رواه أبو هريرة عن رسول الله </w:t>
      </w:r>
      <w:r w:rsidRPr="00885058">
        <w:rPr>
          <w:rFonts w:ascii="Traditional Arabic" w:hAnsi="Traditional Arabic"/>
        </w:rPr>
        <w:sym w:font="AGA Arabesque" w:char="F072"/>
      </w:r>
      <w:r w:rsidRPr="00885058">
        <w:rPr>
          <w:vertAlign w:val="superscript"/>
          <w:rtl/>
        </w:rPr>
        <w:t>(</w:t>
      </w:r>
      <w:r w:rsidRPr="00885058">
        <w:rPr>
          <w:vertAlign w:val="superscript"/>
          <w:rtl/>
        </w:rPr>
        <w:footnoteReference w:id="1622"/>
      </w:r>
      <w:r w:rsidRPr="00885058">
        <w:rPr>
          <w:vertAlign w:val="superscript"/>
          <w:rtl/>
        </w:rPr>
        <w:t>)</w:t>
      </w:r>
      <w:r w:rsidRPr="00885058">
        <w:rPr>
          <w:rFonts w:ascii="Traditional Arabic" w:hAnsi="Traditional Arabic"/>
          <w:rtl/>
        </w:rPr>
        <w:t>.</w:t>
      </w:r>
      <w:r w:rsidRPr="00885058">
        <w:rPr>
          <w:rFonts w:ascii="Traditional Arabic" w:hAnsi="Traditional Arabic" w:hint="cs"/>
          <w:rtl/>
        </w:rPr>
        <w:t xml:space="preserve"> </w:t>
      </w:r>
      <w:r w:rsidRPr="00885058">
        <w:rPr>
          <w:rFonts w:ascii="Traditional Arabic" w:hAnsi="Traditional Arabic"/>
          <w:rtl/>
        </w:rPr>
        <w:t>والفروة: الأرض اليابسة</w:t>
      </w:r>
      <w:r w:rsidRPr="00885058">
        <w:rPr>
          <w:vertAlign w:val="superscript"/>
          <w:rtl/>
        </w:rPr>
        <w:t>(</w:t>
      </w:r>
      <w:r w:rsidRPr="00885058">
        <w:rPr>
          <w:vertAlign w:val="superscript"/>
          <w:rtl/>
        </w:rPr>
        <w:footnoteReference w:id="1623"/>
      </w:r>
      <w:r w:rsidRPr="00885058">
        <w:rPr>
          <w:vertAlign w:val="superscript"/>
          <w:rtl/>
        </w:rPr>
        <w:t>)</w:t>
      </w:r>
      <w:r w:rsidRPr="00885058">
        <w:rPr>
          <w:rFonts w:ascii="Traditional Arabic" w:hAnsi="Traditional Arabic"/>
          <w:rtl/>
        </w:rPr>
        <w:t>.</w:t>
      </w:r>
      <w:r w:rsidRPr="00885058">
        <w:rPr>
          <w:rFonts w:ascii="Traditional Arabic" w:hAnsi="Traditional Arabic" w:hint="cs"/>
          <w:rtl/>
        </w:rPr>
        <w:t xml:space="preserve"> </w:t>
      </w:r>
      <w:r w:rsidRPr="00885058">
        <w:rPr>
          <w:rFonts w:ascii="Traditional Arabic" w:hAnsi="Traditional Arabic"/>
          <w:rtl/>
        </w:rPr>
        <w:t>والثاني: أنه كان إِذا جلس اخضرَّ ما حوله، قاله عكرمة</w:t>
      </w:r>
      <w:r w:rsidRPr="00885058">
        <w:rPr>
          <w:vertAlign w:val="superscript"/>
          <w:rtl/>
        </w:rPr>
        <w:t>(</w:t>
      </w:r>
      <w:r w:rsidRPr="00885058">
        <w:rPr>
          <w:vertAlign w:val="superscript"/>
          <w:rtl/>
        </w:rPr>
        <w:footnoteReference w:id="1624"/>
      </w:r>
      <w:r w:rsidRPr="00885058">
        <w:rPr>
          <w:vertAlign w:val="superscript"/>
          <w:rtl/>
        </w:rPr>
        <w:t>)</w:t>
      </w:r>
      <w:r w:rsidRPr="00885058">
        <w:rPr>
          <w:rFonts w:ascii="Traditional Arabic" w:hAnsi="Traditional Arabic"/>
          <w:rtl/>
        </w:rPr>
        <w:t>. وقال مجاهد: كان إِذا صلى اخضرَّ ما حوله</w:t>
      </w:r>
      <w:r w:rsidRPr="00885058">
        <w:rPr>
          <w:vertAlign w:val="superscript"/>
          <w:rtl/>
        </w:rPr>
        <w:t>(</w:t>
      </w:r>
      <w:r w:rsidRPr="00885058">
        <w:rPr>
          <w:vertAlign w:val="superscript"/>
          <w:rtl/>
        </w:rPr>
        <w:footnoteReference w:id="1625"/>
      </w:r>
      <w:r w:rsidRPr="00885058">
        <w:rPr>
          <w:vertAlign w:val="superscript"/>
          <w:rtl/>
        </w:rPr>
        <w:t>)</w:t>
      </w:r>
      <w:r w:rsidRPr="00885058">
        <w:rPr>
          <w:rFonts w:ascii="Traditional Arabic" w:hAnsi="Traditional Arabic"/>
          <w:rtl/>
        </w:rPr>
        <w:t>. وهل كان الخضر نبياً، أم لا؟ فيه قولان: ذكرهما أبو بكر بن الأنباري، وقال: كثير من الناس يذهب إِلى أنه كان نبيّاً، وبعضهم يقول: كان عبداً صالحاً</w:t>
      </w:r>
      <w:r w:rsidRPr="00885058">
        <w:rPr>
          <w:vertAlign w:val="superscript"/>
          <w:rtl/>
        </w:rPr>
        <w:t>(</w:t>
      </w:r>
      <w:r w:rsidRPr="00885058">
        <w:rPr>
          <w:vertAlign w:val="superscript"/>
          <w:rtl/>
        </w:rPr>
        <w:footnoteReference w:id="1626"/>
      </w:r>
      <w:r w:rsidRPr="00885058">
        <w:rPr>
          <w:vertAlign w:val="superscript"/>
          <w:rtl/>
        </w:rPr>
        <w:t>)</w:t>
      </w:r>
      <w:r w:rsidRPr="00885058">
        <w:rPr>
          <w:rFonts w:ascii="Traditional Arabic" w:hAnsi="Traditional Arabic"/>
          <w:rtl/>
        </w:rPr>
        <w:t>. واختلف العلماء هل هو باقٍ إِلى يومنا هذا، على قولين حكاهما الماوردي</w:t>
      </w:r>
      <w:r w:rsidRPr="00885058">
        <w:rPr>
          <w:vertAlign w:val="superscript"/>
          <w:rtl/>
        </w:rPr>
        <w:t>(</w:t>
      </w:r>
      <w:r w:rsidRPr="00885058">
        <w:rPr>
          <w:vertAlign w:val="superscript"/>
          <w:rtl/>
        </w:rPr>
        <w:footnoteReference w:id="1627"/>
      </w:r>
      <w:r w:rsidRPr="00885058">
        <w:rPr>
          <w:vertAlign w:val="superscript"/>
          <w:rtl/>
        </w:rPr>
        <w:t>)</w:t>
      </w:r>
      <w:r w:rsidRPr="00885058">
        <w:rPr>
          <w:rFonts w:ascii="Traditional Arabic" w:hAnsi="Traditional Arabic"/>
          <w:rtl/>
        </w:rPr>
        <w:t>، وكان الحسن يذهب إِلى أنه مات</w:t>
      </w:r>
      <w:r w:rsidRPr="00885058">
        <w:rPr>
          <w:vertAlign w:val="superscript"/>
          <w:rtl/>
        </w:rPr>
        <w:t>(</w:t>
      </w:r>
      <w:r w:rsidRPr="00885058">
        <w:rPr>
          <w:vertAlign w:val="superscript"/>
          <w:rtl/>
        </w:rPr>
        <w:footnoteReference w:id="1628"/>
      </w:r>
      <w:r w:rsidRPr="00885058">
        <w:rPr>
          <w:vertAlign w:val="superscript"/>
          <w:rtl/>
        </w:rPr>
        <w:t>)</w:t>
      </w:r>
      <w:r w:rsidRPr="00885058">
        <w:rPr>
          <w:rFonts w:ascii="Traditional Arabic" w:hAnsi="Traditional Arabic"/>
          <w:rtl/>
        </w:rPr>
        <w:t>، وكذلك كان ابن المنادي من أصحابنا يقول</w:t>
      </w:r>
      <w:r w:rsidRPr="00885058">
        <w:rPr>
          <w:rFonts w:ascii="Traditional Arabic" w:hAnsi="Traditional Arabic" w:hint="cs"/>
          <w:rtl/>
        </w:rPr>
        <w:t>:</w:t>
      </w:r>
      <w:r w:rsidRPr="00885058">
        <w:rPr>
          <w:rFonts w:ascii="Traditional Arabic" w:hAnsi="Traditional Arabic"/>
          <w:rtl/>
        </w:rPr>
        <w:t xml:space="preserve"> ويقبِّح قول من يرى بقاءه، ويقول: لا يثبت حديث في بقائه</w:t>
      </w:r>
      <w:r w:rsidRPr="00885058">
        <w:rPr>
          <w:vertAlign w:val="superscript"/>
          <w:rtl/>
        </w:rPr>
        <w:t>(</w:t>
      </w:r>
      <w:r w:rsidRPr="00885058">
        <w:rPr>
          <w:vertAlign w:val="superscript"/>
          <w:rtl/>
        </w:rPr>
        <w:footnoteReference w:id="1629"/>
      </w:r>
      <w:r w:rsidRPr="00885058">
        <w:rPr>
          <w:vertAlign w:val="superscript"/>
          <w:rtl/>
        </w:rPr>
        <w:t>)</w:t>
      </w:r>
      <w:r w:rsidRPr="00885058">
        <w:rPr>
          <w:rFonts w:ascii="Traditional Arabic" w:hAnsi="Traditional Arabic"/>
          <w:rtl/>
        </w:rPr>
        <w:t>.</w:t>
      </w:r>
      <w:r w:rsidR="00237681">
        <w:rPr>
          <w:rFonts w:ascii="Traditional Arabic" w:hAnsi="Traditional Arabic" w:hint="cs"/>
          <w:rtl/>
        </w:rPr>
        <w:t xml:space="preserve"> </w:t>
      </w:r>
      <w:r w:rsidRPr="00885058">
        <w:rPr>
          <w:rFonts w:ascii="Traditional Arabic" w:hAnsi="Traditional Arabic"/>
          <w:rtl/>
        </w:rPr>
        <w:t>وروى أبو بكر النقاش</w:t>
      </w:r>
      <w:r w:rsidRPr="00885058">
        <w:rPr>
          <w:vertAlign w:val="superscript"/>
          <w:rtl/>
        </w:rPr>
        <w:t>(</w:t>
      </w:r>
      <w:r w:rsidRPr="00885058">
        <w:rPr>
          <w:vertAlign w:val="superscript"/>
          <w:rtl/>
        </w:rPr>
        <w:footnoteReference w:id="1630"/>
      </w:r>
      <w:r w:rsidRPr="00885058">
        <w:rPr>
          <w:vertAlign w:val="superscript"/>
          <w:rtl/>
        </w:rPr>
        <w:t>)</w:t>
      </w:r>
      <w:r w:rsidRPr="00885058">
        <w:rPr>
          <w:rFonts w:ascii="Traditional Arabic" w:hAnsi="Traditional Arabic"/>
          <w:rtl/>
        </w:rPr>
        <w:t>أن محمد بن إِسماعيل البخاري سئل عن الخضر وإِلياس: هل هما في الأحياء؟ فقال: كيف يكون ذلك</w:t>
      </w:r>
      <w:r w:rsidRPr="00885058">
        <w:rPr>
          <w:rFonts w:ascii="Traditional Arabic" w:hAnsi="Traditional Arabic" w:hint="cs"/>
          <w:rtl/>
        </w:rPr>
        <w:t xml:space="preserve">. </w:t>
      </w:r>
      <w:r w:rsidRPr="00885058">
        <w:rPr>
          <w:rFonts w:ascii="Traditional Arabic" w:hAnsi="Traditional Arabic"/>
          <w:rtl/>
        </w:rPr>
        <w:t xml:space="preserve">وقد قال النبيّ </w:t>
      </w:r>
      <w:r w:rsidRPr="00885058">
        <w:rPr>
          <w:rFonts w:ascii="Traditional Arabic" w:hAnsi="Traditional Arabic"/>
        </w:rPr>
        <w:sym w:font="AGA Arabesque" w:char="F072"/>
      </w:r>
      <w:r w:rsidRPr="00885058">
        <w:rPr>
          <w:rFonts w:ascii="Traditional Arabic" w:hAnsi="Traditional Arabic"/>
          <w:rtl/>
        </w:rPr>
        <w:t>:</w:t>
      </w:r>
      <w:r w:rsidRPr="00885058">
        <w:rPr>
          <w:rFonts w:ascii="Traditional Arabic" w:hAnsi="Traditional Arabic" w:hint="cs"/>
          <w:rtl/>
        </w:rPr>
        <w:t xml:space="preserve"> </w:t>
      </w:r>
      <w:r w:rsidRPr="00885058">
        <w:rPr>
          <w:rFonts w:ascii="Traditional Arabic" w:hAnsi="Traditional Arabic"/>
          <w:rtl/>
        </w:rPr>
        <w:t xml:space="preserve">«لا يبقى على رأس </w:t>
      </w:r>
    </w:p>
    <w:p w:rsidR="00237681" w:rsidRDefault="00237681" w:rsidP="00237681">
      <w:pPr>
        <w:ind w:firstLine="0"/>
        <w:rPr>
          <w:rFonts w:ascii="Traditional Arabic" w:hAnsi="Traditional Arabic"/>
          <w:rtl/>
        </w:rPr>
      </w:pPr>
    </w:p>
    <w:p w:rsidR="00885058" w:rsidRPr="00885058" w:rsidRDefault="00885058" w:rsidP="00237681">
      <w:pPr>
        <w:ind w:firstLine="0"/>
        <w:rPr>
          <w:rFonts w:ascii="Traditional Arabic" w:hAnsi="Traditional Arabic"/>
          <w:rtl/>
        </w:rPr>
      </w:pPr>
      <w:r w:rsidRPr="00885058">
        <w:rPr>
          <w:rFonts w:ascii="Traditional Arabic" w:hAnsi="Traditional Arabic"/>
          <w:rtl/>
        </w:rPr>
        <w:lastRenderedPageBreak/>
        <w:t>مائة سنة ممن هو اليوم على ظهر الأرض أحد»؟!</w:t>
      </w:r>
      <w:r w:rsidRPr="00885058">
        <w:rPr>
          <w:vertAlign w:val="superscript"/>
          <w:rtl/>
        </w:rPr>
        <w:t>(</w:t>
      </w:r>
      <w:r w:rsidRPr="00885058">
        <w:rPr>
          <w:vertAlign w:val="superscript"/>
          <w:rtl/>
        </w:rPr>
        <w:footnoteReference w:id="1631"/>
      </w:r>
      <w:r w:rsidRPr="00885058">
        <w:rPr>
          <w:vertAlign w:val="superscript"/>
          <w:rtl/>
        </w:rPr>
        <w:t>)</w:t>
      </w:r>
      <w:r w:rsidRPr="00885058">
        <w:rPr>
          <w:rFonts w:ascii="Traditional Arabic" w:hAnsi="Traditional Arabic" w:hint="cs"/>
          <w:rtl/>
        </w:rPr>
        <w:t>.</w:t>
      </w:r>
      <w:r w:rsidRPr="00885058">
        <w:rPr>
          <w:rFonts w:ascii="Traditional Arabic" w:hAnsi="Traditional Arabic"/>
          <w:rtl/>
        </w:rPr>
        <w:t xml:space="preserve"> </w:t>
      </w:r>
    </w:p>
    <w:p w:rsidR="00885058" w:rsidRPr="00885058" w:rsidRDefault="00885058" w:rsidP="00885058">
      <w:pPr>
        <w:ind w:firstLine="0"/>
        <w:rPr>
          <w:rFonts w:ascii="Traditional Arabic" w:hAnsi="Traditional Arabic"/>
          <w:rtl/>
        </w:rPr>
      </w:pPr>
      <w:r w:rsidRPr="00885058">
        <w:rPr>
          <w:rFonts w:ascii="Traditional Arabic" w:hAnsi="Traditional Arabic"/>
          <w:rtl/>
        </w:rPr>
        <w:t xml:space="preserve">قوله تعالى: </w:t>
      </w:r>
      <w:r w:rsidRPr="00885058">
        <w:rPr>
          <w:rFonts w:ascii="QCF_BSML" w:hAnsi="QCF_BSML" w:cs="QCF_BSML"/>
          <w:color w:val="auto"/>
          <w:sz w:val="32"/>
          <w:szCs w:val="32"/>
          <w:rtl/>
          <w:lang w:eastAsia="en-US"/>
        </w:rPr>
        <w:t>ﭽ</w:t>
      </w:r>
      <w:r w:rsidRPr="00885058">
        <w:rPr>
          <w:rFonts w:ascii="QCF_P301" w:hAnsi="QCF_P301" w:cs="QCF_P301"/>
          <w:color w:val="auto"/>
          <w:sz w:val="32"/>
          <w:szCs w:val="32"/>
          <w:rtl/>
          <w:lang w:eastAsia="en-US"/>
        </w:rPr>
        <w:t xml:space="preserve"> ﮃ  ﮄ  ﮅ   ﮆ</w:t>
      </w:r>
      <w:r w:rsidRPr="00885058">
        <w:rPr>
          <w:rFonts w:ascii="QCF_BSML" w:hAnsi="QCF_BSML" w:cs="QCF_BSML"/>
          <w:sz w:val="32"/>
          <w:szCs w:val="32"/>
          <w:rtl/>
          <w:lang w:eastAsia="en-US"/>
        </w:rPr>
        <w:t>ﭼ</w:t>
      </w:r>
      <w:r w:rsidRPr="00885058">
        <w:rPr>
          <w:rFonts w:ascii="QCF_P301" w:hAnsi="QCF_P301" w:cs="QCF_P301"/>
          <w:color w:val="auto"/>
          <w:sz w:val="32"/>
          <w:szCs w:val="32"/>
          <w:rtl/>
          <w:lang w:eastAsia="en-US"/>
        </w:rPr>
        <w:t xml:space="preserve">  </w:t>
      </w:r>
      <w:r w:rsidRPr="00885058">
        <w:rPr>
          <w:rFonts w:ascii="Traditional Arabic" w:hAnsi="Traditional Arabic" w:hint="cs"/>
          <w:rtl/>
        </w:rPr>
        <w:t xml:space="preserve"> </w:t>
      </w:r>
      <w:r w:rsidRPr="00885058">
        <w:rPr>
          <w:rFonts w:ascii="Traditional Arabic" w:hAnsi="Traditional Arabic"/>
          <w:rtl/>
        </w:rPr>
        <w:t>في هذه الرحمة ثلاثة أقوال: أحدها: أنها النبوَّة، قاله</w:t>
      </w:r>
    </w:p>
    <w:p w:rsidR="00885058" w:rsidRPr="00885058" w:rsidRDefault="00885058" w:rsidP="00885058">
      <w:pPr>
        <w:ind w:firstLine="0"/>
        <w:rPr>
          <w:rFonts w:ascii="Traditional Arabic" w:hAnsi="Traditional Arabic"/>
          <w:rtl/>
        </w:rPr>
      </w:pPr>
      <w:r w:rsidRPr="00885058">
        <w:rPr>
          <w:rFonts w:ascii="Traditional Arabic" w:hAnsi="Traditional Arabic"/>
          <w:rtl/>
        </w:rPr>
        <w:t>مقاتل</w:t>
      </w:r>
      <w:r w:rsidRPr="00885058">
        <w:rPr>
          <w:vertAlign w:val="superscript"/>
          <w:rtl/>
        </w:rPr>
        <w:t>(</w:t>
      </w:r>
      <w:r w:rsidRPr="00885058">
        <w:rPr>
          <w:vertAlign w:val="superscript"/>
          <w:rtl/>
        </w:rPr>
        <w:footnoteReference w:id="1632"/>
      </w:r>
      <w:r w:rsidRPr="00885058">
        <w:rPr>
          <w:vertAlign w:val="superscript"/>
          <w:rtl/>
        </w:rPr>
        <w:t>)</w:t>
      </w:r>
      <w:r w:rsidRPr="00885058">
        <w:rPr>
          <w:rFonts w:ascii="Traditional Arabic" w:hAnsi="Traditional Arabic"/>
          <w:rtl/>
        </w:rPr>
        <w:t>. والثاني: الرِّقة والحُنُوُّ على من يستحقه، ذكره ابن الأنباري</w:t>
      </w:r>
      <w:r w:rsidRPr="00885058">
        <w:rPr>
          <w:vertAlign w:val="superscript"/>
          <w:rtl/>
        </w:rPr>
        <w:t>(</w:t>
      </w:r>
      <w:r w:rsidRPr="00885058">
        <w:rPr>
          <w:vertAlign w:val="superscript"/>
          <w:rtl/>
        </w:rPr>
        <w:footnoteReference w:id="1633"/>
      </w:r>
      <w:r w:rsidRPr="00885058">
        <w:rPr>
          <w:vertAlign w:val="superscript"/>
          <w:rtl/>
        </w:rPr>
        <w:t>)</w:t>
      </w:r>
      <w:r w:rsidRPr="00885058">
        <w:rPr>
          <w:rFonts w:ascii="Traditional Arabic" w:hAnsi="Traditional Arabic"/>
          <w:rtl/>
        </w:rPr>
        <w:t>. والثالث: النِّعمة، قاله أبو سليمان الدمشقي</w:t>
      </w:r>
      <w:r w:rsidRPr="00885058">
        <w:rPr>
          <w:vertAlign w:val="superscript"/>
          <w:rtl/>
        </w:rPr>
        <w:t>(</w:t>
      </w:r>
      <w:r w:rsidRPr="00885058">
        <w:rPr>
          <w:vertAlign w:val="superscript"/>
          <w:rtl/>
        </w:rPr>
        <w:footnoteReference w:id="1634"/>
      </w:r>
      <w:r w:rsidRPr="00885058">
        <w:rPr>
          <w:vertAlign w:val="superscript"/>
          <w:rtl/>
        </w:rPr>
        <w:t>)</w:t>
      </w:r>
      <w:r w:rsidRPr="00885058">
        <w:rPr>
          <w:rFonts w:ascii="Traditional Arabic" w:hAnsi="Traditional Arabic"/>
          <w:rtl/>
        </w:rPr>
        <w:t xml:space="preserve">. قوله تعالى: </w:t>
      </w:r>
      <w:r w:rsidRPr="00885058">
        <w:rPr>
          <w:rFonts w:ascii="QCF_BSML" w:hAnsi="QCF_BSML" w:cs="QCF_BSML"/>
          <w:color w:val="auto"/>
          <w:sz w:val="32"/>
          <w:szCs w:val="32"/>
          <w:rtl/>
          <w:lang w:eastAsia="en-US"/>
        </w:rPr>
        <w:t>ﭽ</w:t>
      </w:r>
      <w:r w:rsidRPr="00885058">
        <w:rPr>
          <w:rFonts w:ascii="QCF_P301" w:hAnsi="QCF_P301" w:cs="QCF_P301"/>
          <w:color w:val="auto"/>
          <w:sz w:val="32"/>
          <w:szCs w:val="32"/>
          <w:rtl/>
          <w:lang w:eastAsia="en-US"/>
        </w:rPr>
        <w:t>ﮇ  ﮈ  ﮉ</w:t>
      </w:r>
      <w:r w:rsidRPr="00885058">
        <w:rPr>
          <w:rFonts w:ascii="QCF_BSML" w:hAnsi="QCF_BSML" w:cs="QCF_BSML"/>
          <w:sz w:val="32"/>
          <w:szCs w:val="32"/>
          <w:rtl/>
          <w:lang w:eastAsia="en-US"/>
        </w:rPr>
        <w:t>ﭼ</w:t>
      </w:r>
      <w:r w:rsidRPr="00885058">
        <w:rPr>
          <w:rFonts w:ascii="QCF_P301" w:hAnsi="QCF_P301" w:cs="QCF_P301"/>
          <w:color w:val="auto"/>
          <w:sz w:val="32"/>
          <w:szCs w:val="32"/>
          <w:rtl/>
          <w:lang w:eastAsia="en-US"/>
        </w:rPr>
        <w:t xml:space="preserve">  </w:t>
      </w:r>
      <w:r w:rsidRPr="00885058">
        <w:rPr>
          <w:rFonts w:ascii="Traditional Arabic" w:hAnsi="Traditional Arabic"/>
          <w:rtl/>
        </w:rPr>
        <w:t xml:space="preserve">أي: من عندنا </w:t>
      </w:r>
      <w:r w:rsidRPr="00885058">
        <w:rPr>
          <w:rFonts w:ascii="QCF_P301" w:hAnsi="QCF_P301" w:cs="QCF_P301"/>
          <w:color w:val="auto"/>
          <w:sz w:val="32"/>
          <w:szCs w:val="32"/>
          <w:rtl/>
          <w:lang w:eastAsia="en-US"/>
        </w:rPr>
        <w:t xml:space="preserve"> </w:t>
      </w:r>
      <w:r w:rsidRPr="00885058">
        <w:rPr>
          <w:rFonts w:ascii="QCF_BSML" w:hAnsi="QCF_BSML" w:cs="QCF_BSML"/>
          <w:color w:val="auto"/>
          <w:sz w:val="32"/>
          <w:szCs w:val="32"/>
          <w:rtl/>
          <w:lang w:eastAsia="en-US"/>
        </w:rPr>
        <w:t>ﭽ</w:t>
      </w:r>
      <w:r w:rsidRPr="00885058">
        <w:rPr>
          <w:rFonts w:ascii="QCF_P301" w:hAnsi="QCF_P301" w:cs="QCF_P301"/>
          <w:color w:val="auto"/>
          <w:sz w:val="32"/>
          <w:szCs w:val="32"/>
          <w:rtl/>
          <w:lang w:eastAsia="en-US"/>
        </w:rPr>
        <w:t xml:space="preserve"> ﮊ</w:t>
      </w:r>
      <w:r w:rsidRPr="00885058">
        <w:rPr>
          <w:rFonts w:ascii="QCF_BSML" w:hAnsi="QCF_BSML" w:cs="QCF_BSML"/>
          <w:sz w:val="32"/>
          <w:szCs w:val="32"/>
          <w:rtl/>
          <w:lang w:eastAsia="en-US"/>
        </w:rPr>
        <w:t>ﭼ</w:t>
      </w:r>
      <w:r w:rsidRPr="00885058">
        <w:rPr>
          <w:rFonts w:ascii="Traditional Arabic" w:hAnsi="Traditional Arabic"/>
          <w:rtl/>
        </w:rPr>
        <w:t xml:space="preserve"> قال ابن عباس: أعطاه علما من علم الغيب</w:t>
      </w:r>
      <w:r w:rsidRPr="00885058">
        <w:rPr>
          <w:vertAlign w:val="superscript"/>
          <w:rtl/>
        </w:rPr>
        <w:t>(</w:t>
      </w:r>
      <w:r w:rsidRPr="00885058">
        <w:rPr>
          <w:vertAlign w:val="superscript"/>
          <w:rtl/>
        </w:rPr>
        <w:footnoteReference w:id="1635"/>
      </w:r>
      <w:r w:rsidRPr="00885058">
        <w:rPr>
          <w:vertAlign w:val="superscript"/>
          <w:rtl/>
        </w:rPr>
        <w:t>)</w:t>
      </w:r>
      <w:r w:rsidRPr="00885058">
        <w:rPr>
          <w:rFonts w:ascii="Traditional Arabic" w:hAnsi="Traditional Arabic"/>
          <w:rtl/>
        </w:rPr>
        <w:t>.</w:t>
      </w:r>
    </w:p>
    <w:p w:rsidR="00885058" w:rsidRPr="00885058" w:rsidRDefault="00885058" w:rsidP="00885058">
      <w:pPr>
        <w:ind w:firstLine="0"/>
        <w:rPr>
          <w:rFonts w:ascii="Traditional Arabic" w:hAnsi="Traditional Arabic"/>
          <w:rtl/>
        </w:rPr>
      </w:pPr>
      <w:r w:rsidRPr="00885058">
        <w:rPr>
          <w:rFonts w:ascii="Traditional Arabic" w:hAnsi="Traditional Arabic"/>
          <w:rtl/>
        </w:rPr>
        <w:t xml:space="preserve">قوله تعالى: </w:t>
      </w:r>
      <w:r w:rsidRPr="00885058">
        <w:rPr>
          <w:rFonts w:ascii="QCF_BSML" w:hAnsi="QCF_BSML" w:cs="QCF_BSML"/>
          <w:color w:val="auto"/>
          <w:sz w:val="32"/>
          <w:szCs w:val="32"/>
          <w:rtl/>
          <w:lang w:eastAsia="en-US"/>
        </w:rPr>
        <w:t>ﭽ</w:t>
      </w:r>
      <w:r w:rsidRPr="00885058">
        <w:rPr>
          <w:rFonts w:ascii="QCF_P301" w:hAnsi="QCF_P301" w:cs="QCF_P301"/>
          <w:color w:val="auto"/>
          <w:sz w:val="32"/>
          <w:szCs w:val="32"/>
          <w:rtl/>
          <w:lang w:eastAsia="en-US"/>
        </w:rPr>
        <w:t xml:space="preserve"> ﮒ  ﮓ</w:t>
      </w:r>
      <w:r w:rsidRPr="00885058">
        <w:rPr>
          <w:rFonts w:ascii="QCF_BSML" w:hAnsi="QCF_BSML" w:cs="QCF_BSML"/>
          <w:sz w:val="32"/>
          <w:szCs w:val="32"/>
          <w:rtl/>
          <w:lang w:eastAsia="en-US"/>
        </w:rPr>
        <w:t>ﭼ</w:t>
      </w:r>
      <w:r w:rsidRPr="00885058">
        <w:rPr>
          <w:rFonts w:ascii="QCF_P301" w:hAnsi="QCF_P301" w:cs="QCF_P301"/>
          <w:color w:val="auto"/>
          <w:sz w:val="32"/>
          <w:szCs w:val="32"/>
          <w:rtl/>
          <w:lang w:eastAsia="en-US"/>
        </w:rPr>
        <w:t xml:space="preserve">  </w:t>
      </w:r>
      <w:r w:rsidRPr="00885058">
        <w:rPr>
          <w:rFonts w:ascii="Traditional Arabic" w:hAnsi="Traditional Arabic"/>
          <w:rtl/>
        </w:rPr>
        <w:t>قرأ ابن كثير: «تعلمني مما» بإثبات الياء في الوصل والوقف. وقرأ نافع، وأبو عمرو بياء في الوصل. وقرأ ابن عامر، وعاصم بحذف الياء في الحالين.</w:t>
      </w:r>
      <w:r w:rsidRPr="00885058">
        <w:rPr>
          <w:rFonts w:ascii="Traditional Arabic" w:hAnsi="Traditional Arabic" w:hint="cs"/>
          <w:rtl/>
        </w:rPr>
        <w:t xml:space="preserve"> </w:t>
      </w:r>
      <w:r w:rsidRPr="00885058">
        <w:rPr>
          <w:rFonts w:ascii="Traditional Arabic" w:hAnsi="Traditional Arabic"/>
          <w:rtl/>
        </w:rPr>
        <w:t xml:space="preserve">قوله تعالى: </w:t>
      </w:r>
      <w:r w:rsidRPr="00885058">
        <w:rPr>
          <w:rFonts w:ascii="QCF_BSML" w:hAnsi="QCF_BSML" w:cs="QCF_BSML"/>
          <w:color w:val="auto"/>
          <w:sz w:val="32"/>
          <w:szCs w:val="32"/>
          <w:rtl/>
          <w:lang w:eastAsia="en-US"/>
        </w:rPr>
        <w:t>ﭽ</w:t>
      </w:r>
      <w:r w:rsidRPr="00885058">
        <w:rPr>
          <w:rFonts w:ascii="QCF_P301" w:hAnsi="QCF_P301" w:cs="QCF_P301"/>
          <w:color w:val="auto"/>
          <w:sz w:val="32"/>
          <w:szCs w:val="32"/>
          <w:rtl/>
          <w:lang w:eastAsia="en-US"/>
        </w:rPr>
        <w:t xml:space="preserve"> ﮔ  ﮕ  ﮖ</w:t>
      </w:r>
      <w:r w:rsidRPr="00885058">
        <w:rPr>
          <w:rFonts w:ascii="QCF_BSML" w:hAnsi="QCF_BSML" w:cs="QCF_BSML"/>
          <w:sz w:val="32"/>
          <w:szCs w:val="32"/>
          <w:rtl/>
          <w:lang w:eastAsia="en-US"/>
        </w:rPr>
        <w:t>ﭼ</w:t>
      </w:r>
      <w:r w:rsidRPr="00885058">
        <w:rPr>
          <w:rFonts w:ascii="QCF_P301" w:hAnsi="QCF_P301" w:cs="QCF_P301"/>
          <w:color w:val="auto"/>
          <w:sz w:val="32"/>
          <w:szCs w:val="32"/>
          <w:rtl/>
          <w:lang w:eastAsia="en-US"/>
        </w:rPr>
        <w:t xml:space="preserve">  </w:t>
      </w:r>
      <w:r w:rsidRPr="00885058">
        <w:rPr>
          <w:rFonts w:ascii="Traditional Arabic" w:hAnsi="Traditional Arabic"/>
          <w:rtl/>
        </w:rPr>
        <w:t xml:space="preserve">قرأ ابن كثير، ونافع، وعاصم، وحمزة، والكسائي: «رُشداً» بضم الراء، وَإسكان الشين </w:t>
      </w:r>
      <w:r w:rsidRPr="00885058">
        <w:rPr>
          <w:rFonts w:ascii="Traditional Arabic" w:hAnsi="Traditional Arabic" w:hint="cs"/>
          <w:rtl/>
        </w:rPr>
        <w:t>[</w:t>
      </w:r>
      <w:r w:rsidRPr="00885058">
        <w:rPr>
          <w:rFonts w:ascii="Traditional Arabic" w:hAnsi="Traditional Arabic"/>
          <w:rtl/>
        </w:rPr>
        <w:t>خفيفة</w:t>
      </w:r>
      <w:r w:rsidRPr="00885058">
        <w:rPr>
          <w:rFonts w:ascii="Traditional Arabic" w:hAnsi="Traditional Arabic" w:hint="cs"/>
          <w:rtl/>
        </w:rPr>
        <w:t>ً]</w:t>
      </w:r>
      <w:r w:rsidRPr="00885058">
        <w:rPr>
          <w:vertAlign w:val="superscript"/>
          <w:rtl/>
        </w:rPr>
        <w:t>(</w:t>
      </w:r>
      <w:r w:rsidRPr="00885058">
        <w:rPr>
          <w:vertAlign w:val="superscript"/>
          <w:rtl/>
        </w:rPr>
        <w:footnoteReference w:id="1636"/>
      </w:r>
      <w:r w:rsidRPr="00885058">
        <w:rPr>
          <w:vertAlign w:val="superscript"/>
          <w:rtl/>
        </w:rPr>
        <w:t>)</w:t>
      </w:r>
      <w:r w:rsidRPr="00885058">
        <w:rPr>
          <w:rFonts w:ascii="Traditional Arabic" w:hAnsi="Traditional Arabic"/>
          <w:rtl/>
        </w:rPr>
        <w:t xml:space="preserve">. وقرأ أبو عمرو: «رَشَداً» بفتح الراء والشين. وعن </w:t>
      </w:r>
      <w:r w:rsidRPr="00885058">
        <w:rPr>
          <w:rFonts w:ascii="Traditional Arabic" w:hAnsi="Traditional Arabic"/>
          <w:sz w:val="32"/>
          <w:szCs w:val="32"/>
          <w:rtl/>
        </w:rPr>
        <w:t>[</w:t>
      </w:r>
      <w:r w:rsidRPr="00885058">
        <w:rPr>
          <w:rFonts w:ascii="Traditional Arabic" w:hAnsi="Traditional Arabic" w:hint="cs"/>
          <w:sz w:val="32"/>
          <w:szCs w:val="32"/>
          <w:rtl/>
        </w:rPr>
        <w:t>137</w:t>
      </w:r>
      <w:r w:rsidRPr="00885058">
        <w:rPr>
          <w:rFonts w:ascii="Traditional Arabic" w:hAnsi="Traditional Arabic"/>
          <w:sz w:val="32"/>
          <w:szCs w:val="32"/>
          <w:rtl/>
        </w:rPr>
        <w:t>]</w:t>
      </w:r>
      <w:r w:rsidRPr="00885058">
        <w:rPr>
          <w:rFonts w:ascii="Traditional Arabic" w:hAnsi="Traditional Arabic"/>
          <w:rtl/>
        </w:rPr>
        <w:t xml:space="preserve"> ابن عامر بضمهما</w:t>
      </w:r>
      <w:r w:rsidRPr="00885058">
        <w:rPr>
          <w:vertAlign w:val="superscript"/>
          <w:rtl/>
        </w:rPr>
        <w:t>(</w:t>
      </w:r>
      <w:r w:rsidRPr="00885058">
        <w:rPr>
          <w:vertAlign w:val="superscript"/>
          <w:rtl/>
        </w:rPr>
        <w:footnoteReference w:id="1637"/>
      </w:r>
      <w:r w:rsidRPr="00885058">
        <w:rPr>
          <w:vertAlign w:val="superscript"/>
          <w:rtl/>
        </w:rPr>
        <w:t>)</w:t>
      </w:r>
      <w:r w:rsidRPr="00885058">
        <w:rPr>
          <w:rFonts w:ascii="Traditional Arabic" w:hAnsi="Traditional Arabic"/>
          <w:rtl/>
        </w:rPr>
        <w:t>. والرُّشْد، والرَّشَد: لغتان، كالبخل والبخل، والعُجْم والعَجَم، والعُرْب والعَرَب، والمعنى:</w:t>
      </w:r>
      <w:r w:rsidRPr="00885058">
        <w:rPr>
          <w:rFonts w:ascii="Traditional Arabic" w:hAnsi="Traditional Arabic" w:hint="cs"/>
          <w:rtl/>
        </w:rPr>
        <w:t xml:space="preserve"> </w:t>
      </w:r>
      <w:r w:rsidRPr="00885058">
        <w:rPr>
          <w:rFonts w:ascii="Traditional Arabic" w:hAnsi="Traditional Arabic"/>
          <w:rtl/>
        </w:rPr>
        <w:t>أن تعلمني عِلْماً ذا رشد</w:t>
      </w:r>
      <w:r w:rsidRPr="00885058">
        <w:rPr>
          <w:vertAlign w:val="superscript"/>
          <w:rtl/>
        </w:rPr>
        <w:t>(</w:t>
      </w:r>
      <w:r w:rsidRPr="00885058">
        <w:rPr>
          <w:vertAlign w:val="superscript"/>
          <w:rtl/>
        </w:rPr>
        <w:footnoteReference w:id="1638"/>
      </w:r>
      <w:r w:rsidRPr="00885058">
        <w:rPr>
          <w:vertAlign w:val="superscript"/>
          <w:rtl/>
        </w:rPr>
        <w:t>)</w:t>
      </w:r>
      <w:r w:rsidRPr="00885058">
        <w:rPr>
          <w:rFonts w:ascii="Traditional Arabic" w:hAnsi="Traditional Arabic"/>
          <w:rtl/>
        </w:rPr>
        <w:t>. وهذه القصة قد حرَّضت على الرحلة في طلب العلم، واتِّباع المفضول للفاضل طلباً للفضل، وحثَّت على الأدب والتواضع للمصحوب</w:t>
      </w:r>
      <w:r w:rsidRPr="00885058">
        <w:rPr>
          <w:vertAlign w:val="superscript"/>
          <w:rtl/>
        </w:rPr>
        <w:t>(</w:t>
      </w:r>
      <w:r w:rsidRPr="00885058">
        <w:rPr>
          <w:vertAlign w:val="superscript"/>
          <w:rtl/>
        </w:rPr>
        <w:footnoteReference w:id="1639"/>
      </w:r>
      <w:r w:rsidRPr="00885058">
        <w:rPr>
          <w:vertAlign w:val="superscript"/>
          <w:rtl/>
        </w:rPr>
        <w:t>)</w:t>
      </w:r>
      <w:r w:rsidRPr="00885058">
        <w:rPr>
          <w:rFonts w:ascii="Traditional Arabic" w:hAnsi="Traditional Arabic"/>
          <w:rtl/>
        </w:rPr>
        <w:t>.</w:t>
      </w:r>
      <w:r w:rsidRPr="00885058">
        <w:rPr>
          <w:rFonts w:ascii="Traditional Arabic" w:hAnsi="Traditional Arabic" w:hint="cs"/>
          <w:rtl/>
        </w:rPr>
        <w:t xml:space="preserve"> </w:t>
      </w:r>
      <w:r w:rsidRPr="00885058">
        <w:rPr>
          <w:rFonts w:ascii="Traditional Arabic" w:hAnsi="Traditional Arabic"/>
          <w:rtl/>
        </w:rPr>
        <w:t xml:space="preserve">قوله تعالى: </w:t>
      </w:r>
      <w:r w:rsidRPr="00885058">
        <w:rPr>
          <w:rFonts w:ascii="QCF_BSML" w:hAnsi="QCF_BSML" w:cs="QCF_BSML"/>
          <w:color w:val="auto"/>
          <w:sz w:val="32"/>
          <w:szCs w:val="32"/>
          <w:rtl/>
          <w:lang w:eastAsia="en-US"/>
        </w:rPr>
        <w:t>ﭽ</w:t>
      </w:r>
      <w:r w:rsidRPr="00885058">
        <w:rPr>
          <w:rFonts w:ascii="QCF_P301" w:hAnsi="QCF_P301" w:cs="QCF_P301"/>
          <w:color w:val="auto"/>
          <w:sz w:val="32"/>
          <w:szCs w:val="32"/>
          <w:rtl/>
          <w:lang w:eastAsia="en-US"/>
        </w:rPr>
        <w:t xml:space="preserve"> ﮙ    ﮚ  ﮛ   ﮜ  ﮝ</w:t>
      </w:r>
      <w:r w:rsidRPr="00885058">
        <w:rPr>
          <w:rFonts w:ascii="QCF_BSML" w:hAnsi="QCF_BSML" w:cs="QCF_BSML"/>
          <w:sz w:val="32"/>
          <w:szCs w:val="32"/>
          <w:rtl/>
          <w:lang w:eastAsia="en-US"/>
        </w:rPr>
        <w:t>ﭼ</w:t>
      </w:r>
      <w:r w:rsidRPr="00885058">
        <w:rPr>
          <w:rFonts w:ascii="QCF_BSML" w:hAnsi="QCF_BSML" w:cs="QCF_BSML" w:hint="cs"/>
          <w:sz w:val="32"/>
          <w:szCs w:val="32"/>
          <w:rtl/>
          <w:lang w:eastAsia="en-US"/>
        </w:rPr>
        <w:t xml:space="preserve">     </w:t>
      </w:r>
      <w:r w:rsidRPr="00885058">
        <w:rPr>
          <w:rFonts w:ascii="QCF_P301" w:hAnsi="QCF_P301" w:cs="QCF_P301"/>
          <w:color w:val="auto"/>
          <w:sz w:val="32"/>
          <w:szCs w:val="32"/>
          <w:rtl/>
          <w:lang w:eastAsia="en-US"/>
        </w:rPr>
        <w:t xml:space="preserve">  </w:t>
      </w:r>
      <w:r w:rsidRPr="00885058">
        <w:rPr>
          <w:rFonts w:ascii="Traditional Arabic" w:hAnsi="Traditional Arabic"/>
          <w:rtl/>
        </w:rPr>
        <w:t xml:space="preserve">قال ابن عباس: لن تصبر على صنعي، لأني علمت من غيب </w:t>
      </w:r>
      <w:r w:rsidRPr="00885058">
        <w:rPr>
          <w:rFonts w:ascii="Traditional Arabic" w:hAnsi="Traditional Arabic"/>
          <w:rtl/>
        </w:rPr>
        <w:lastRenderedPageBreak/>
        <w:t>علم ربي</w:t>
      </w:r>
      <w:r w:rsidRPr="00885058">
        <w:rPr>
          <w:vertAlign w:val="superscript"/>
          <w:rtl/>
        </w:rPr>
        <w:t>(</w:t>
      </w:r>
      <w:r w:rsidRPr="00885058">
        <w:rPr>
          <w:vertAlign w:val="superscript"/>
          <w:rtl/>
        </w:rPr>
        <w:footnoteReference w:id="1640"/>
      </w:r>
      <w:r w:rsidRPr="00885058">
        <w:rPr>
          <w:vertAlign w:val="superscript"/>
          <w:rtl/>
        </w:rPr>
        <w:t>)</w:t>
      </w:r>
      <w:r w:rsidRPr="00885058">
        <w:rPr>
          <w:rFonts w:ascii="Traditional Arabic" w:hAnsi="Traditional Arabic"/>
          <w:rtl/>
        </w:rPr>
        <w:t xml:space="preserve">. </w:t>
      </w:r>
    </w:p>
    <w:p w:rsidR="00885058" w:rsidRPr="00885058" w:rsidRDefault="00885058" w:rsidP="00885058">
      <w:pPr>
        <w:ind w:firstLine="0"/>
        <w:rPr>
          <w:rFonts w:ascii="Traditional Arabic" w:hAnsi="Traditional Arabic"/>
          <w:rtl/>
        </w:rPr>
      </w:pPr>
      <w:r w:rsidRPr="00885058">
        <w:rPr>
          <w:rFonts w:ascii="Traditional Arabic" w:hAnsi="Traditional Arabic"/>
          <w:rtl/>
        </w:rPr>
        <w:t>وفي هذا الصّبر وجهان: أحدهما: عن الإِنكار. والثاني: عن السؤال</w:t>
      </w:r>
      <w:r w:rsidRPr="00885058">
        <w:rPr>
          <w:vertAlign w:val="superscript"/>
          <w:rtl/>
        </w:rPr>
        <w:t>(</w:t>
      </w:r>
      <w:r w:rsidRPr="00885058">
        <w:rPr>
          <w:vertAlign w:val="superscript"/>
          <w:rtl/>
        </w:rPr>
        <w:footnoteReference w:id="1641"/>
      </w:r>
      <w:r w:rsidRPr="00885058">
        <w:rPr>
          <w:vertAlign w:val="superscript"/>
          <w:rtl/>
        </w:rPr>
        <w:t>)</w:t>
      </w:r>
      <w:r w:rsidRPr="00885058">
        <w:rPr>
          <w:rFonts w:ascii="Traditional Arabic" w:hAnsi="Traditional Arabic"/>
          <w:rtl/>
        </w:rPr>
        <w:t>.</w:t>
      </w:r>
    </w:p>
    <w:p w:rsidR="00885058" w:rsidRPr="00885058" w:rsidRDefault="00885058" w:rsidP="00B40209">
      <w:pPr>
        <w:ind w:firstLine="0"/>
        <w:rPr>
          <w:rFonts w:ascii="Traditional Arabic" w:hAnsi="Traditional Arabic"/>
          <w:rtl/>
        </w:rPr>
      </w:pPr>
      <w:r w:rsidRPr="00885058">
        <w:rPr>
          <w:rFonts w:ascii="Traditional Arabic" w:hAnsi="Traditional Arabic"/>
          <w:rtl/>
        </w:rPr>
        <w:t>قوله تعالى:</w:t>
      </w:r>
      <w:r w:rsidRPr="00885058">
        <w:rPr>
          <w:rFonts w:ascii="QCF_P301" w:hAnsi="QCF_P301" w:cs="QCF_P301"/>
          <w:color w:val="auto"/>
          <w:sz w:val="32"/>
          <w:szCs w:val="32"/>
          <w:rtl/>
          <w:lang w:eastAsia="en-US"/>
        </w:rPr>
        <w:t xml:space="preserve">  </w:t>
      </w:r>
      <w:r w:rsidRPr="00885058">
        <w:rPr>
          <w:rFonts w:ascii="QCF_BSML" w:hAnsi="QCF_BSML" w:cs="QCF_BSML"/>
          <w:color w:val="auto"/>
          <w:sz w:val="32"/>
          <w:szCs w:val="32"/>
          <w:rtl/>
          <w:lang w:eastAsia="en-US"/>
        </w:rPr>
        <w:t>ﭽ</w:t>
      </w:r>
      <w:r w:rsidRPr="00885058">
        <w:rPr>
          <w:rFonts w:ascii="QCF_P301" w:hAnsi="QCF_P301" w:cs="QCF_P301"/>
          <w:color w:val="auto"/>
          <w:sz w:val="32"/>
          <w:szCs w:val="32"/>
          <w:rtl/>
          <w:lang w:eastAsia="en-US"/>
        </w:rPr>
        <w:t xml:space="preserve"> ﮟ  ﮠ        ﮡ   ﮢ  ﮣ  ﮤ  ﮥ        ﮦ </w:t>
      </w:r>
      <w:r w:rsidRPr="00885058">
        <w:rPr>
          <w:rFonts w:ascii="QCF_BSML" w:hAnsi="QCF_BSML" w:cs="QCF_BSML"/>
          <w:sz w:val="32"/>
          <w:szCs w:val="32"/>
          <w:rtl/>
          <w:lang w:eastAsia="en-US"/>
        </w:rPr>
        <w:t>ﭼ</w:t>
      </w:r>
      <w:r w:rsidRPr="00885058">
        <w:rPr>
          <w:rFonts w:ascii="QCF_BSML" w:hAnsi="QCF_BSML" w:cs="QCF_BSML" w:hint="cs"/>
          <w:sz w:val="32"/>
          <w:szCs w:val="32"/>
          <w:rtl/>
          <w:lang w:eastAsia="en-US"/>
        </w:rPr>
        <w:t xml:space="preserve">    </w:t>
      </w:r>
      <w:r w:rsidRPr="00885058">
        <w:rPr>
          <w:rFonts w:ascii="QCF_P301" w:hAnsi="QCF_P301" w:cs="QCF_P301"/>
          <w:color w:val="auto"/>
          <w:sz w:val="32"/>
          <w:szCs w:val="32"/>
          <w:rtl/>
          <w:lang w:eastAsia="en-US"/>
        </w:rPr>
        <w:t xml:space="preserve"> </w:t>
      </w:r>
      <w:r w:rsidRPr="00885058">
        <w:rPr>
          <w:rFonts w:ascii="Traditional Arabic" w:hAnsi="Traditional Arabic"/>
          <w:rtl/>
        </w:rPr>
        <w:t>الخُبْر: عِلْمك بالشيء والمعنى: كيف تصبر على أمر ظاهره مُنْكر، وأنت لا تعلم باطنه</w:t>
      </w:r>
      <w:r w:rsidRPr="00885058">
        <w:rPr>
          <w:vertAlign w:val="superscript"/>
          <w:rtl/>
        </w:rPr>
        <w:t>(</w:t>
      </w:r>
      <w:r w:rsidRPr="00885058">
        <w:rPr>
          <w:vertAlign w:val="superscript"/>
          <w:rtl/>
        </w:rPr>
        <w:footnoteReference w:id="1642"/>
      </w:r>
      <w:r w:rsidRPr="00885058">
        <w:rPr>
          <w:vertAlign w:val="superscript"/>
          <w:rtl/>
        </w:rPr>
        <w:t>)</w:t>
      </w:r>
      <w:r w:rsidRPr="00885058">
        <w:rPr>
          <w:rFonts w:ascii="Traditional Arabic" w:hAnsi="Traditional Arabic"/>
          <w:rtl/>
        </w:rPr>
        <w:t xml:space="preserve">؟! قوله تعالى: </w:t>
      </w:r>
      <w:r w:rsidRPr="00885058">
        <w:rPr>
          <w:rFonts w:ascii="QCF_P301" w:hAnsi="QCF_P301" w:cs="QCF_P301"/>
          <w:color w:val="auto"/>
          <w:sz w:val="32"/>
          <w:szCs w:val="32"/>
          <w:rtl/>
          <w:lang w:eastAsia="en-US"/>
        </w:rPr>
        <w:t xml:space="preserve"> </w:t>
      </w:r>
      <w:r w:rsidRPr="00885058">
        <w:rPr>
          <w:rFonts w:ascii="QCF_BSML" w:hAnsi="QCF_BSML" w:cs="QCF_BSML"/>
          <w:color w:val="auto"/>
          <w:sz w:val="32"/>
          <w:szCs w:val="32"/>
          <w:rtl/>
          <w:lang w:eastAsia="en-US"/>
        </w:rPr>
        <w:t>ﭽ</w:t>
      </w:r>
      <w:r w:rsidRPr="00885058">
        <w:rPr>
          <w:rFonts w:ascii="QCF_P301" w:hAnsi="QCF_P301" w:cs="QCF_P301"/>
          <w:color w:val="auto"/>
          <w:sz w:val="32"/>
          <w:szCs w:val="32"/>
          <w:rtl/>
          <w:lang w:eastAsia="en-US"/>
        </w:rPr>
        <w:t xml:space="preserve"> ﮩ  ﮪ     ﮫ  ﮬ  ﮭ  ﮮ  ﮯ  ﮰ  ﮱ</w:t>
      </w:r>
      <w:r w:rsidRPr="00885058">
        <w:rPr>
          <w:rFonts w:ascii="QCF_BSML" w:hAnsi="QCF_BSML" w:cs="QCF_BSML"/>
          <w:sz w:val="32"/>
          <w:szCs w:val="32"/>
          <w:rtl/>
          <w:lang w:eastAsia="en-US"/>
        </w:rPr>
        <w:t>ﭼ</w:t>
      </w:r>
      <w:r w:rsidRPr="00885058">
        <w:rPr>
          <w:rFonts w:ascii="QCF_P301" w:hAnsi="QCF_P301" w:cs="QCF_P301"/>
          <w:color w:val="auto"/>
          <w:sz w:val="32"/>
          <w:szCs w:val="32"/>
          <w:rtl/>
          <w:lang w:eastAsia="en-US"/>
        </w:rPr>
        <w:t xml:space="preserve">  </w:t>
      </w:r>
      <w:r w:rsidRPr="00885058">
        <w:rPr>
          <w:rFonts w:ascii="Traditional Arabic" w:hAnsi="Traditional Arabic"/>
          <w:rtl/>
        </w:rPr>
        <w:t>قال ابن الأنباري: نفي ا</w:t>
      </w:r>
      <w:r w:rsidR="00B40209">
        <w:rPr>
          <w:rFonts w:ascii="Traditional Arabic" w:hAnsi="Traditional Arabic"/>
          <w:rtl/>
        </w:rPr>
        <w:t>لعصيان منسوق على الصبر</w:t>
      </w:r>
      <w:r w:rsidR="00B40209">
        <w:rPr>
          <w:rFonts w:ascii="Traditional Arabic" w:hAnsi="Traditional Arabic" w:hint="cs"/>
          <w:rtl/>
        </w:rPr>
        <w:t>,</w:t>
      </w:r>
      <w:r w:rsidRPr="00885058">
        <w:rPr>
          <w:rFonts w:ascii="Traditional Arabic" w:hAnsi="Traditional Arabic"/>
          <w:rtl/>
        </w:rPr>
        <w:t xml:space="preserve"> والمعنى: ستجدني صابرا</w:t>
      </w:r>
      <w:r w:rsidR="00B40209">
        <w:rPr>
          <w:rFonts w:ascii="Traditional Arabic" w:hAnsi="Traditional Arabic" w:hint="cs"/>
          <w:rtl/>
        </w:rPr>
        <w:t>ً</w:t>
      </w:r>
      <w:r w:rsidRPr="00885058">
        <w:rPr>
          <w:rFonts w:ascii="Traditional Arabic" w:hAnsi="Traditional Arabic"/>
          <w:rtl/>
        </w:rPr>
        <w:t xml:space="preserve"> ولا أعصي إن شاء الله</w:t>
      </w:r>
      <w:r w:rsidRPr="00885058">
        <w:rPr>
          <w:vertAlign w:val="superscript"/>
          <w:rtl/>
        </w:rPr>
        <w:t>(</w:t>
      </w:r>
      <w:r w:rsidRPr="00885058">
        <w:rPr>
          <w:vertAlign w:val="superscript"/>
          <w:rtl/>
        </w:rPr>
        <w:footnoteReference w:id="1643"/>
      </w:r>
      <w:r w:rsidRPr="00885058">
        <w:rPr>
          <w:vertAlign w:val="superscript"/>
          <w:rtl/>
        </w:rPr>
        <w:t>)</w:t>
      </w:r>
      <w:r w:rsidRPr="00885058">
        <w:rPr>
          <w:rFonts w:ascii="Traditional Arabic" w:hAnsi="Traditional Arabic"/>
          <w:rtl/>
        </w:rPr>
        <w:t>.</w:t>
      </w:r>
      <w:r w:rsidRPr="00885058">
        <w:rPr>
          <w:rFonts w:ascii="Traditional Arabic" w:hAnsi="Traditional Arabic" w:hint="cs"/>
          <w:rtl/>
        </w:rPr>
        <w:t xml:space="preserve"> </w:t>
      </w:r>
      <w:r w:rsidRPr="00885058">
        <w:rPr>
          <w:rFonts w:ascii="Traditional Arabic" w:hAnsi="Traditional Arabic"/>
          <w:rtl/>
        </w:rPr>
        <w:t xml:space="preserve">قوله تعالى: </w:t>
      </w:r>
      <w:r w:rsidRPr="00885058">
        <w:rPr>
          <w:rFonts w:ascii="QCF_BSML" w:hAnsi="QCF_BSML" w:cs="QCF_BSML"/>
          <w:color w:val="auto"/>
          <w:sz w:val="32"/>
          <w:szCs w:val="32"/>
          <w:rtl/>
          <w:lang w:eastAsia="en-US"/>
        </w:rPr>
        <w:t>ﭽ</w:t>
      </w:r>
      <w:r w:rsidRPr="00885058">
        <w:rPr>
          <w:rFonts w:ascii="QCF_P301" w:hAnsi="QCF_P301" w:cs="QCF_P301"/>
          <w:color w:val="auto"/>
          <w:sz w:val="32"/>
          <w:szCs w:val="32"/>
          <w:rtl/>
          <w:lang w:eastAsia="en-US"/>
        </w:rPr>
        <w:t xml:space="preserve"> ﯗ  ﯘ</w:t>
      </w:r>
      <w:r w:rsidRPr="00885058">
        <w:rPr>
          <w:rFonts w:ascii="QCF_BSML" w:hAnsi="QCF_BSML" w:cs="QCF_BSML"/>
          <w:color w:val="auto"/>
          <w:sz w:val="32"/>
          <w:szCs w:val="32"/>
          <w:rtl/>
          <w:lang w:eastAsia="en-US"/>
        </w:rPr>
        <w:t xml:space="preserve"> ﭼ</w:t>
      </w:r>
      <w:r w:rsidRPr="00885058">
        <w:rPr>
          <w:rFonts w:ascii="QCF_BSML" w:hAnsi="QCF_BSML" w:cs="QCF_BSML" w:hint="cs"/>
          <w:color w:val="auto"/>
          <w:sz w:val="32"/>
          <w:szCs w:val="32"/>
          <w:rtl/>
          <w:lang w:eastAsia="en-US"/>
        </w:rPr>
        <w:t xml:space="preserve">     </w:t>
      </w:r>
      <w:r w:rsidRPr="00885058">
        <w:rPr>
          <w:rFonts w:ascii="QCF_P301" w:hAnsi="QCF_P301" w:cs="QCF_P301"/>
          <w:color w:val="auto"/>
          <w:sz w:val="32"/>
          <w:szCs w:val="32"/>
          <w:rtl/>
          <w:lang w:eastAsia="en-US"/>
        </w:rPr>
        <w:t xml:space="preserve">  </w:t>
      </w:r>
      <w:r w:rsidRPr="00885058">
        <w:rPr>
          <w:rFonts w:ascii="Traditional Arabic" w:hAnsi="Traditional Arabic"/>
          <w:rtl/>
        </w:rPr>
        <w:t>قرأ ابن كثير، وأبو عمرو، وعاصم، وحمزة، والكسائي: «فلا تسألْني» ساكنة اللام. وقرأ نافع: «</w:t>
      </w:r>
      <w:r w:rsidRPr="00885058">
        <w:rPr>
          <w:rFonts w:ascii="Traditional Arabic" w:hAnsi="Traditional Arabic" w:hint="cs"/>
          <w:rtl/>
        </w:rPr>
        <w:t xml:space="preserve">فلا </w:t>
      </w:r>
      <w:r w:rsidRPr="00885058">
        <w:rPr>
          <w:rFonts w:ascii="Traditional Arabic" w:hAnsi="Traditional Arabic"/>
          <w:rtl/>
        </w:rPr>
        <w:t>تسأَلَنِّي»</w:t>
      </w:r>
      <w:r w:rsidRPr="00885058">
        <w:rPr>
          <w:vertAlign w:val="superscript"/>
          <w:rtl/>
        </w:rPr>
        <w:t>(</w:t>
      </w:r>
      <w:r w:rsidRPr="00885058">
        <w:rPr>
          <w:vertAlign w:val="superscript"/>
          <w:rtl/>
        </w:rPr>
        <w:footnoteReference w:id="1644"/>
      </w:r>
      <w:r w:rsidRPr="00885058">
        <w:rPr>
          <w:vertAlign w:val="superscript"/>
          <w:rtl/>
        </w:rPr>
        <w:t>)</w:t>
      </w:r>
      <w:r w:rsidRPr="00885058">
        <w:rPr>
          <w:rFonts w:ascii="Traditional Arabic" w:hAnsi="Traditional Arabic"/>
          <w:rtl/>
        </w:rPr>
        <w:t xml:space="preserve"> مفتوحة اللام مشددة النون. وقرأ ابن عامر في رواية الداج</w:t>
      </w:r>
      <w:r w:rsidRPr="00885058">
        <w:rPr>
          <w:rFonts w:ascii="Traditional Arabic" w:hAnsi="Traditional Arabic" w:hint="cs"/>
          <w:rtl/>
        </w:rPr>
        <w:t>َ</w:t>
      </w:r>
      <w:r w:rsidRPr="00885058">
        <w:rPr>
          <w:rFonts w:ascii="Traditional Arabic" w:hAnsi="Traditional Arabic"/>
          <w:rtl/>
        </w:rPr>
        <w:t>وني</w:t>
      </w:r>
      <w:r w:rsidRPr="00885058">
        <w:rPr>
          <w:vertAlign w:val="superscript"/>
          <w:rtl/>
        </w:rPr>
        <w:t>(</w:t>
      </w:r>
      <w:r w:rsidRPr="00885058">
        <w:rPr>
          <w:vertAlign w:val="superscript"/>
          <w:rtl/>
        </w:rPr>
        <w:footnoteReference w:id="1645"/>
      </w:r>
      <w:r w:rsidRPr="00885058">
        <w:rPr>
          <w:vertAlign w:val="superscript"/>
          <w:rtl/>
        </w:rPr>
        <w:t>)</w:t>
      </w:r>
      <w:r w:rsidRPr="00885058">
        <w:rPr>
          <w:rFonts w:ascii="Traditional Arabic" w:hAnsi="Traditional Arabic"/>
          <w:rtl/>
        </w:rPr>
        <w:t>: «فلا تسألَنِّ عن شيء» بتحريك اللام من غير ياء، والنون مكسورة</w:t>
      </w:r>
      <w:r w:rsidRPr="00885058">
        <w:rPr>
          <w:vertAlign w:val="superscript"/>
          <w:rtl/>
        </w:rPr>
        <w:t>(</w:t>
      </w:r>
      <w:r w:rsidRPr="00885058">
        <w:rPr>
          <w:vertAlign w:val="superscript"/>
          <w:rtl/>
        </w:rPr>
        <w:footnoteReference w:id="1646"/>
      </w:r>
      <w:r w:rsidRPr="00885058">
        <w:rPr>
          <w:vertAlign w:val="superscript"/>
          <w:rtl/>
        </w:rPr>
        <w:t>)</w:t>
      </w:r>
      <w:r w:rsidRPr="00885058">
        <w:rPr>
          <w:rFonts w:ascii="Traditional Arabic" w:hAnsi="Traditional Arabic"/>
          <w:rtl/>
        </w:rPr>
        <w:t xml:space="preserve">. والمعنى: لا تسألني عن شيء مما أفعله </w:t>
      </w:r>
      <w:r w:rsidRPr="00885058">
        <w:rPr>
          <w:rFonts w:ascii="QCF_BSML" w:hAnsi="QCF_BSML" w:cs="QCF_BSML"/>
          <w:color w:val="auto"/>
          <w:sz w:val="32"/>
          <w:szCs w:val="32"/>
          <w:rtl/>
          <w:lang w:eastAsia="en-US"/>
        </w:rPr>
        <w:t>ﭽ</w:t>
      </w:r>
      <w:r w:rsidRPr="00885058">
        <w:rPr>
          <w:rFonts w:ascii="QCF_P301" w:hAnsi="QCF_P301" w:cs="QCF_P301"/>
          <w:color w:val="auto"/>
          <w:sz w:val="32"/>
          <w:szCs w:val="32"/>
          <w:rtl/>
          <w:lang w:eastAsia="en-US"/>
        </w:rPr>
        <w:t>ﯛ  ﯜ  ﯝ  ﯞ  ﯟ</w:t>
      </w:r>
      <w:r w:rsidRPr="00885058">
        <w:rPr>
          <w:rFonts w:ascii="QCF_BSML" w:hAnsi="QCF_BSML" w:cs="QCF_BSML"/>
          <w:sz w:val="32"/>
          <w:szCs w:val="32"/>
          <w:rtl/>
          <w:lang w:eastAsia="en-US"/>
        </w:rPr>
        <w:t>ﭼ</w:t>
      </w:r>
      <w:r w:rsidRPr="00885058">
        <w:rPr>
          <w:rFonts w:ascii="QCF_BSML" w:hAnsi="QCF_BSML" w:cs="QCF_BSML" w:hint="cs"/>
          <w:sz w:val="32"/>
          <w:szCs w:val="32"/>
          <w:rtl/>
          <w:lang w:eastAsia="en-US"/>
        </w:rPr>
        <w:t xml:space="preserve"> </w:t>
      </w:r>
      <w:r w:rsidRPr="00885058">
        <w:rPr>
          <w:rFonts w:ascii="QCF_P301" w:hAnsi="QCF_P301" w:cs="QCF_P301"/>
          <w:color w:val="auto"/>
          <w:sz w:val="32"/>
          <w:szCs w:val="32"/>
          <w:rtl/>
          <w:lang w:eastAsia="en-US"/>
        </w:rPr>
        <w:t xml:space="preserve">  </w:t>
      </w:r>
      <w:r w:rsidRPr="00885058">
        <w:rPr>
          <w:rFonts w:ascii="Traditional Arabic" w:hAnsi="Traditional Arabic"/>
          <w:rtl/>
        </w:rPr>
        <w:t>أي: حتى أكون أنا الذي أُبيِّنه لك، لأن عِلْمه قد غاب عنك</w:t>
      </w:r>
      <w:r w:rsidRPr="00885058">
        <w:rPr>
          <w:vertAlign w:val="superscript"/>
          <w:rtl/>
        </w:rPr>
        <w:t>(</w:t>
      </w:r>
      <w:r w:rsidRPr="00885058">
        <w:rPr>
          <w:vertAlign w:val="superscript"/>
          <w:rtl/>
        </w:rPr>
        <w:footnoteReference w:id="1647"/>
      </w:r>
      <w:r w:rsidRPr="00885058">
        <w:rPr>
          <w:vertAlign w:val="superscript"/>
          <w:rtl/>
        </w:rPr>
        <w:t>)</w:t>
      </w:r>
      <w:r w:rsidRPr="00885058">
        <w:rPr>
          <w:rFonts w:ascii="Traditional Arabic" w:hAnsi="Traditional Arabic"/>
          <w:rtl/>
        </w:rPr>
        <w:t>.</w:t>
      </w:r>
      <w:r w:rsidRPr="00885058">
        <w:rPr>
          <w:rFonts w:ascii="Traditional Arabic" w:hAnsi="Traditional Arabic" w:hint="cs"/>
          <w:rtl/>
        </w:rPr>
        <w:t xml:space="preserve"> </w:t>
      </w:r>
      <w:r w:rsidRPr="00885058">
        <w:rPr>
          <w:rFonts w:ascii="Traditional Arabic" w:hAnsi="Traditional Arabic"/>
          <w:rtl/>
        </w:rPr>
        <w:t xml:space="preserve">قوله تعالى: </w:t>
      </w:r>
      <w:r w:rsidRPr="00885058">
        <w:rPr>
          <w:rFonts w:ascii="QCF_BSML" w:hAnsi="QCF_BSML" w:cs="QCF_BSML"/>
          <w:color w:val="auto"/>
          <w:sz w:val="32"/>
          <w:szCs w:val="32"/>
          <w:rtl/>
          <w:lang w:eastAsia="en-US"/>
        </w:rPr>
        <w:t>ﭽ</w:t>
      </w:r>
      <w:r w:rsidRPr="00885058">
        <w:rPr>
          <w:rFonts w:ascii="QCF_P301" w:hAnsi="QCF_P301" w:cs="QCF_P301"/>
          <w:color w:val="auto"/>
          <w:sz w:val="32"/>
          <w:szCs w:val="32"/>
          <w:rtl/>
          <w:lang w:eastAsia="en-US"/>
        </w:rPr>
        <w:t>ﯧ</w:t>
      </w:r>
      <w:r w:rsidRPr="00885058">
        <w:rPr>
          <w:rFonts w:ascii="QCF_BSML" w:hAnsi="QCF_BSML" w:cs="QCF_BSML"/>
          <w:sz w:val="32"/>
          <w:szCs w:val="32"/>
          <w:rtl/>
          <w:lang w:eastAsia="en-US"/>
        </w:rPr>
        <w:t>ﭼ</w:t>
      </w:r>
      <w:r w:rsidRPr="00885058">
        <w:rPr>
          <w:rFonts w:ascii="Traditional Arabic" w:hAnsi="Traditional Arabic" w:hint="cs"/>
          <w:rtl/>
        </w:rPr>
        <w:t xml:space="preserve"> </w:t>
      </w:r>
      <w:r w:rsidRPr="00885058">
        <w:rPr>
          <w:rFonts w:ascii="Traditional Arabic" w:hAnsi="Traditional Arabic"/>
          <w:rtl/>
        </w:rPr>
        <w:t>أي: شقَّها. قال المفسرون: قلع منها لوحاً، وقيل: لوحين مما يلي الماء، فحشاها موسى بثوبه وأنكر عليه ما فعل</w:t>
      </w:r>
      <w:r w:rsidRPr="00885058">
        <w:rPr>
          <w:vertAlign w:val="superscript"/>
          <w:rtl/>
        </w:rPr>
        <w:t>(</w:t>
      </w:r>
      <w:r w:rsidRPr="00885058">
        <w:rPr>
          <w:vertAlign w:val="superscript"/>
          <w:rtl/>
        </w:rPr>
        <w:footnoteReference w:id="1648"/>
      </w:r>
      <w:r w:rsidRPr="00885058">
        <w:rPr>
          <w:vertAlign w:val="superscript"/>
          <w:rtl/>
        </w:rPr>
        <w:t>)</w:t>
      </w:r>
      <w:r w:rsidRPr="00885058">
        <w:rPr>
          <w:rFonts w:ascii="Traditional Arabic" w:hAnsi="Traditional Arabic"/>
          <w:rtl/>
        </w:rPr>
        <w:t xml:space="preserve">بقوله: </w:t>
      </w:r>
      <w:r w:rsidRPr="00885058">
        <w:rPr>
          <w:rFonts w:ascii="QCF_BSML" w:hAnsi="QCF_BSML" w:cs="QCF_BSML"/>
          <w:color w:val="auto"/>
          <w:sz w:val="32"/>
          <w:szCs w:val="32"/>
          <w:rtl/>
          <w:lang w:eastAsia="en-US"/>
        </w:rPr>
        <w:t>ﭽ</w:t>
      </w:r>
      <w:r w:rsidRPr="00885058">
        <w:rPr>
          <w:rFonts w:ascii="QCF_P301" w:hAnsi="QCF_P301" w:cs="QCF_P301"/>
          <w:color w:val="auto"/>
          <w:sz w:val="32"/>
          <w:szCs w:val="32"/>
          <w:rtl/>
          <w:lang w:eastAsia="en-US"/>
        </w:rPr>
        <w:t>ﯪ   ﯫ  ﯬ</w:t>
      </w:r>
      <w:r w:rsidRPr="00885058">
        <w:rPr>
          <w:rFonts w:ascii="QCF_BSML" w:hAnsi="QCF_BSML" w:cs="QCF_BSML"/>
          <w:sz w:val="32"/>
          <w:szCs w:val="32"/>
          <w:rtl/>
          <w:lang w:eastAsia="en-US"/>
        </w:rPr>
        <w:t>ﭼ</w:t>
      </w:r>
      <w:r w:rsidRPr="00885058">
        <w:rPr>
          <w:rFonts w:ascii="QCF_P301" w:hAnsi="QCF_P301" w:cs="QCF_P301"/>
          <w:color w:val="auto"/>
          <w:sz w:val="32"/>
          <w:szCs w:val="32"/>
          <w:rtl/>
          <w:lang w:eastAsia="en-US"/>
        </w:rPr>
        <w:t xml:space="preserve"> </w:t>
      </w:r>
      <w:r w:rsidRPr="00885058">
        <w:rPr>
          <w:rFonts w:ascii="QCF_P301" w:hAnsi="QCF_P301" w:cs="QCF_P301" w:hint="cs"/>
          <w:color w:val="auto"/>
          <w:sz w:val="32"/>
          <w:szCs w:val="32"/>
          <w:rtl/>
          <w:lang w:eastAsia="en-US"/>
        </w:rPr>
        <w:t xml:space="preserve">  </w:t>
      </w:r>
      <w:r w:rsidRPr="00885058">
        <w:rPr>
          <w:rFonts w:ascii="QCF_P301" w:hAnsi="QCF_P301" w:cs="QCF_P301"/>
          <w:color w:val="auto"/>
          <w:sz w:val="32"/>
          <w:szCs w:val="32"/>
          <w:rtl/>
          <w:lang w:eastAsia="en-US"/>
        </w:rPr>
        <w:t xml:space="preserve"> </w:t>
      </w:r>
      <w:r w:rsidRPr="00885058">
        <w:rPr>
          <w:rFonts w:ascii="Traditional Arabic" w:hAnsi="Traditional Arabic"/>
          <w:rtl/>
        </w:rPr>
        <w:t>قرأ ابن كثير، ونافع، وأبو عمرو، وعاصم، وابن عامر:</w:t>
      </w:r>
      <w:r w:rsidR="00B40209">
        <w:rPr>
          <w:rFonts w:ascii="QCF_BSML" w:hAnsi="QCF_BSML" w:cs="QCF_BSML" w:hint="cs"/>
          <w:color w:val="auto"/>
          <w:sz w:val="32"/>
          <w:szCs w:val="32"/>
          <w:rtl/>
          <w:lang w:eastAsia="en-US"/>
        </w:rPr>
        <w:t xml:space="preserve"> </w:t>
      </w:r>
      <w:r w:rsidRPr="00885058">
        <w:rPr>
          <w:rFonts w:ascii="QCF_BSML" w:hAnsi="QCF_BSML" w:cs="QCF_BSML"/>
          <w:color w:val="auto"/>
          <w:sz w:val="32"/>
          <w:szCs w:val="32"/>
          <w:rtl/>
          <w:lang w:eastAsia="en-US"/>
        </w:rPr>
        <w:t>ﭽ</w:t>
      </w:r>
      <w:r w:rsidRPr="00885058">
        <w:rPr>
          <w:rFonts w:ascii="QCF_P301" w:hAnsi="QCF_P301" w:cs="QCF_P301"/>
          <w:color w:val="auto"/>
          <w:sz w:val="32"/>
          <w:szCs w:val="32"/>
          <w:rtl/>
          <w:lang w:eastAsia="en-US"/>
        </w:rPr>
        <w:t>ﯫ</w:t>
      </w:r>
      <w:r w:rsidRPr="00885058">
        <w:rPr>
          <w:rFonts w:ascii="QCF_BSML" w:hAnsi="QCF_BSML" w:cs="QCF_BSML"/>
          <w:sz w:val="32"/>
          <w:szCs w:val="32"/>
          <w:rtl/>
          <w:lang w:eastAsia="en-US"/>
        </w:rPr>
        <w:t>ﭼ</w:t>
      </w:r>
      <w:r w:rsidRPr="00885058">
        <w:rPr>
          <w:rFonts w:ascii="Traditional Arabic" w:hAnsi="Traditional Arabic"/>
          <w:rtl/>
        </w:rPr>
        <w:t xml:space="preserve"> بالتاء</w:t>
      </w:r>
      <w:r w:rsidR="00B40209">
        <w:rPr>
          <w:rFonts w:ascii="QCF_BSML" w:hAnsi="QCF_BSML" w:cs="QCF_BSML" w:hint="cs"/>
          <w:color w:val="auto"/>
          <w:sz w:val="32"/>
          <w:szCs w:val="32"/>
          <w:rtl/>
          <w:lang w:eastAsia="en-US"/>
        </w:rPr>
        <w:t xml:space="preserve"> </w:t>
      </w:r>
      <w:r w:rsidRPr="00885058">
        <w:rPr>
          <w:rFonts w:ascii="QCF_BSML" w:hAnsi="QCF_BSML" w:cs="QCF_BSML"/>
          <w:color w:val="auto"/>
          <w:sz w:val="32"/>
          <w:szCs w:val="32"/>
          <w:rtl/>
          <w:lang w:eastAsia="en-US"/>
        </w:rPr>
        <w:t>ﭽ</w:t>
      </w:r>
      <w:r w:rsidRPr="00885058">
        <w:rPr>
          <w:rFonts w:ascii="QCF_P301" w:hAnsi="QCF_P301" w:cs="QCF_P301"/>
          <w:color w:val="auto"/>
          <w:sz w:val="32"/>
          <w:szCs w:val="32"/>
          <w:rtl/>
          <w:lang w:eastAsia="en-US"/>
        </w:rPr>
        <w:t>ﯬ</w:t>
      </w:r>
      <w:r w:rsidRPr="00885058">
        <w:rPr>
          <w:rFonts w:ascii="QCF_BSML" w:hAnsi="QCF_BSML" w:cs="QCF_BSML"/>
          <w:sz w:val="32"/>
          <w:szCs w:val="32"/>
          <w:rtl/>
          <w:lang w:eastAsia="en-US"/>
        </w:rPr>
        <w:t>ﭼ</w:t>
      </w:r>
      <w:r w:rsidR="00B40209">
        <w:rPr>
          <w:rFonts w:ascii="Traditional Arabic" w:hAnsi="Traditional Arabic"/>
          <w:rtl/>
        </w:rPr>
        <w:t xml:space="preserve"> بالنصب</w:t>
      </w:r>
      <w:r w:rsidR="00B40209">
        <w:rPr>
          <w:rFonts w:ascii="Traditional Arabic" w:hAnsi="Traditional Arabic" w:hint="cs"/>
          <w:rtl/>
        </w:rPr>
        <w:t>,</w:t>
      </w:r>
      <w:r w:rsidRPr="00885058">
        <w:rPr>
          <w:rFonts w:ascii="Traditional Arabic" w:hAnsi="Traditional Arabic"/>
          <w:rtl/>
        </w:rPr>
        <w:t xml:space="preserve"> وقرأ حمزة، والكسائي:</w:t>
      </w:r>
      <w:r w:rsidR="00B40209">
        <w:rPr>
          <w:rFonts w:ascii="Traditional Arabic" w:hAnsi="Traditional Arabic" w:hint="cs"/>
          <w:rtl/>
        </w:rPr>
        <w:t xml:space="preserve"> </w:t>
      </w:r>
      <w:r w:rsidRPr="00885058">
        <w:rPr>
          <w:rFonts w:ascii="Traditional Arabic" w:hAnsi="Traditional Arabic"/>
          <w:rtl/>
        </w:rPr>
        <w:t>«لي</w:t>
      </w:r>
      <w:r w:rsidR="00B40209">
        <w:rPr>
          <w:rFonts w:ascii="Traditional Arabic" w:hAnsi="Traditional Arabic" w:hint="cs"/>
          <w:rtl/>
        </w:rPr>
        <w:t>َ</w:t>
      </w:r>
      <w:r w:rsidRPr="00885058">
        <w:rPr>
          <w:rFonts w:ascii="Traditional Arabic" w:hAnsi="Traditional Arabic"/>
          <w:rtl/>
        </w:rPr>
        <w:t>غ</w:t>
      </w:r>
      <w:r w:rsidR="00B40209">
        <w:rPr>
          <w:rFonts w:ascii="Traditional Arabic" w:hAnsi="Traditional Arabic" w:hint="cs"/>
          <w:rtl/>
        </w:rPr>
        <w:t>ْ</w:t>
      </w:r>
      <w:r w:rsidRPr="00885058">
        <w:rPr>
          <w:rFonts w:ascii="Traditional Arabic" w:hAnsi="Traditional Arabic"/>
          <w:rtl/>
        </w:rPr>
        <w:t>ر</w:t>
      </w:r>
      <w:r w:rsidR="00B40209">
        <w:rPr>
          <w:rFonts w:ascii="Traditional Arabic" w:hAnsi="Traditional Arabic" w:hint="cs"/>
          <w:rtl/>
        </w:rPr>
        <w:t>َ</w:t>
      </w:r>
      <w:r w:rsidRPr="00885058">
        <w:rPr>
          <w:rFonts w:ascii="Traditional Arabic" w:hAnsi="Traditional Arabic"/>
          <w:rtl/>
        </w:rPr>
        <w:t>ق</w:t>
      </w:r>
      <w:r w:rsidR="00B40209">
        <w:rPr>
          <w:rFonts w:ascii="Traditional Arabic" w:hAnsi="Traditional Arabic" w:hint="cs"/>
          <w:rtl/>
        </w:rPr>
        <w:t>َ</w:t>
      </w:r>
      <w:r w:rsidR="00B40209">
        <w:rPr>
          <w:rFonts w:ascii="Traditional Arabic" w:hAnsi="Traditional Arabic"/>
          <w:rtl/>
        </w:rPr>
        <w:t>»</w:t>
      </w:r>
      <w:r w:rsidR="00B40209">
        <w:rPr>
          <w:rFonts w:ascii="Traditional Arabic" w:hAnsi="Traditional Arabic" w:hint="cs"/>
          <w:rtl/>
        </w:rPr>
        <w:t xml:space="preserve"> </w:t>
      </w:r>
      <w:r w:rsidR="00B40209">
        <w:rPr>
          <w:rFonts w:ascii="Traditional Arabic" w:hAnsi="Traditional Arabic"/>
          <w:rtl/>
        </w:rPr>
        <w:t>بالياء</w:t>
      </w:r>
      <w:r w:rsidRPr="00885058">
        <w:rPr>
          <w:rFonts w:ascii="Traditional Arabic" w:hAnsi="Traditional Arabic"/>
          <w:rtl/>
        </w:rPr>
        <w:t xml:space="preserve"> </w:t>
      </w:r>
      <w:r w:rsidR="00B40209" w:rsidRPr="00885058">
        <w:rPr>
          <w:rFonts w:ascii="Traditional Arabic" w:hAnsi="Traditional Arabic"/>
          <w:rtl/>
        </w:rPr>
        <w:t>«</w:t>
      </w:r>
      <w:r w:rsidRPr="00885058">
        <w:rPr>
          <w:rFonts w:ascii="Traditional Arabic" w:hAnsi="Traditional Arabic"/>
          <w:rtl/>
        </w:rPr>
        <w:t>أهل</w:t>
      </w:r>
      <w:r w:rsidR="00B40209">
        <w:rPr>
          <w:rFonts w:ascii="Traditional Arabic" w:hAnsi="Traditional Arabic" w:hint="cs"/>
          <w:rtl/>
        </w:rPr>
        <w:t>ُ</w:t>
      </w:r>
      <w:r w:rsidRPr="00885058">
        <w:rPr>
          <w:rFonts w:ascii="Traditional Arabic" w:hAnsi="Traditional Arabic"/>
          <w:rtl/>
        </w:rPr>
        <w:t>ها</w:t>
      </w:r>
      <w:r w:rsidR="00B40209" w:rsidRPr="00885058">
        <w:rPr>
          <w:rFonts w:ascii="Traditional Arabic" w:hAnsi="Traditional Arabic"/>
          <w:rtl/>
        </w:rPr>
        <w:t>»</w:t>
      </w:r>
      <w:r w:rsidRPr="00885058">
        <w:rPr>
          <w:rFonts w:ascii="Traditional Arabic" w:hAnsi="Traditional Arabic"/>
          <w:rtl/>
        </w:rPr>
        <w:t xml:space="preserve"> </w:t>
      </w:r>
      <w:r w:rsidRPr="00885058">
        <w:rPr>
          <w:rFonts w:ascii="Traditional Arabic" w:hAnsi="Traditional Arabic"/>
          <w:rtl/>
        </w:rPr>
        <w:lastRenderedPageBreak/>
        <w:t>برفع اللام</w:t>
      </w:r>
      <w:r w:rsidRPr="00885058">
        <w:rPr>
          <w:vertAlign w:val="superscript"/>
          <w:rtl/>
        </w:rPr>
        <w:t>(</w:t>
      </w:r>
      <w:r w:rsidRPr="00885058">
        <w:rPr>
          <w:vertAlign w:val="superscript"/>
          <w:rtl/>
        </w:rPr>
        <w:footnoteReference w:id="1649"/>
      </w:r>
      <w:r w:rsidRPr="00885058">
        <w:rPr>
          <w:vertAlign w:val="superscript"/>
          <w:rtl/>
        </w:rPr>
        <w:t>)(</w:t>
      </w:r>
      <w:r w:rsidRPr="00885058">
        <w:rPr>
          <w:vertAlign w:val="superscript"/>
          <w:rtl/>
        </w:rPr>
        <w:footnoteReference w:id="1650"/>
      </w:r>
      <w:r w:rsidRPr="00885058">
        <w:rPr>
          <w:vertAlign w:val="superscript"/>
          <w:rtl/>
        </w:rPr>
        <w:t>)</w:t>
      </w:r>
      <w:r w:rsidRPr="00885058">
        <w:rPr>
          <w:rFonts w:ascii="Traditional Arabic" w:hAnsi="Traditional Arabic"/>
          <w:rtl/>
        </w:rPr>
        <w:t xml:space="preserve">. قوله تعالى: </w:t>
      </w:r>
      <w:r w:rsidRPr="00885058">
        <w:rPr>
          <w:rFonts w:ascii="QCF_BSML" w:hAnsi="QCF_BSML" w:cs="QCF_BSML"/>
          <w:color w:val="auto"/>
          <w:sz w:val="32"/>
          <w:szCs w:val="32"/>
          <w:rtl/>
          <w:lang w:eastAsia="en-US"/>
        </w:rPr>
        <w:t>ﭽ</w:t>
      </w:r>
      <w:r w:rsidRPr="00885058">
        <w:rPr>
          <w:rFonts w:ascii="QCF_BSML" w:hAnsi="QCF_BSML" w:cs="QCF_BSML" w:hint="cs"/>
          <w:color w:val="auto"/>
          <w:sz w:val="32"/>
          <w:szCs w:val="32"/>
          <w:rtl/>
          <w:lang w:eastAsia="en-US"/>
        </w:rPr>
        <w:t xml:space="preserve"> </w:t>
      </w:r>
      <w:r w:rsidRPr="00885058">
        <w:rPr>
          <w:rFonts w:ascii="QCF_P301" w:hAnsi="QCF_P301" w:cs="QCF_P301"/>
          <w:color w:val="auto"/>
          <w:sz w:val="32"/>
          <w:szCs w:val="32"/>
          <w:rtl/>
          <w:lang w:eastAsia="en-US"/>
        </w:rPr>
        <w:t>ﯭ  ﯮ  ﯯ  ﯰ</w:t>
      </w:r>
      <w:r w:rsidRPr="00885058">
        <w:rPr>
          <w:rFonts w:ascii="QCF_P301" w:hAnsi="QCF_P301" w:cs="QCF_P301" w:hint="cs"/>
          <w:color w:val="auto"/>
          <w:sz w:val="32"/>
          <w:szCs w:val="32"/>
          <w:rtl/>
          <w:lang w:eastAsia="en-US"/>
        </w:rPr>
        <w:t xml:space="preserve"> </w:t>
      </w:r>
      <w:r w:rsidRPr="00885058">
        <w:rPr>
          <w:rFonts w:ascii="QCF_BSML" w:hAnsi="QCF_BSML" w:cs="QCF_BSML"/>
          <w:sz w:val="32"/>
          <w:szCs w:val="32"/>
          <w:rtl/>
          <w:lang w:eastAsia="en-US"/>
        </w:rPr>
        <w:t>ﭼ</w:t>
      </w:r>
      <w:r w:rsidRPr="00885058">
        <w:rPr>
          <w:rFonts w:ascii="QCF_BSML" w:hAnsi="QCF_BSML" w:cs="QCF_BSML" w:hint="cs"/>
          <w:sz w:val="32"/>
          <w:szCs w:val="32"/>
          <w:rtl/>
          <w:lang w:eastAsia="en-US"/>
        </w:rPr>
        <w:t xml:space="preserve">      </w:t>
      </w:r>
      <w:r w:rsidRPr="00885058">
        <w:rPr>
          <w:rFonts w:ascii="QCF_P301" w:hAnsi="QCF_P301" w:cs="QCF_P301"/>
          <w:color w:val="auto"/>
          <w:sz w:val="32"/>
          <w:szCs w:val="32"/>
          <w:rtl/>
          <w:lang w:eastAsia="en-US"/>
        </w:rPr>
        <w:t xml:space="preserve">   </w:t>
      </w:r>
      <w:r w:rsidRPr="00885058">
        <w:rPr>
          <w:rFonts w:ascii="Traditional Arabic" w:hAnsi="Traditional Arabic"/>
          <w:rtl/>
        </w:rPr>
        <w:t>وفيه ثلاثة أقوال: أحدها: منكراً، قاله مجاهد</w:t>
      </w:r>
      <w:r w:rsidRPr="00885058">
        <w:rPr>
          <w:vertAlign w:val="superscript"/>
          <w:rtl/>
        </w:rPr>
        <w:t>(</w:t>
      </w:r>
      <w:r w:rsidRPr="00885058">
        <w:rPr>
          <w:vertAlign w:val="superscript"/>
          <w:rtl/>
        </w:rPr>
        <w:footnoteReference w:id="1651"/>
      </w:r>
      <w:r w:rsidRPr="00885058">
        <w:rPr>
          <w:vertAlign w:val="superscript"/>
          <w:rtl/>
        </w:rPr>
        <w:t>)</w:t>
      </w:r>
      <w:r w:rsidRPr="00885058">
        <w:rPr>
          <w:rFonts w:ascii="Traditional Arabic" w:hAnsi="Traditional Arabic"/>
          <w:rtl/>
        </w:rPr>
        <w:t>.</w:t>
      </w:r>
      <w:r w:rsidRPr="00885058">
        <w:rPr>
          <w:rFonts w:ascii="Traditional Arabic" w:hAnsi="Traditional Arabic" w:hint="cs"/>
          <w:rtl/>
        </w:rPr>
        <w:t xml:space="preserve"> </w:t>
      </w:r>
      <w:r w:rsidRPr="00885058">
        <w:rPr>
          <w:rFonts w:ascii="Traditional Arabic" w:hAnsi="Traditional Arabic"/>
          <w:rtl/>
        </w:rPr>
        <w:t>وقال الزجاج: عظيماً من المنكر</w:t>
      </w:r>
      <w:r w:rsidRPr="00885058">
        <w:rPr>
          <w:vertAlign w:val="superscript"/>
          <w:rtl/>
        </w:rPr>
        <w:t>(</w:t>
      </w:r>
      <w:r w:rsidRPr="00885058">
        <w:rPr>
          <w:vertAlign w:val="superscript"/>
          <w:rtl/>
        </w:rPr>
        <w:footnoteReference w:id="1652"/>
      </w:r>
      <w:r w:rsidRPr="00885058">
        <w:rPr>
          <w:vertAlign w:val="superscript"/>
          <w:rtl/>
        </w:rPr>
        <w:t>)</w:t>
      </w:r>
      <w:r w:rsidRPr="00885058">
        <w:rPr>
          <w:rFonts w:ascii="Traditional Arabic" w:hAnsi="Traditional Arabic"/>
          <w:rtl/>
        </w:rPr>
        <w:t>. والثاني: عجباً، قاله قتادة، وابن قتيبة</w:t>
      </w:r>
      <w:r w:rsidRPr="00885058">
        <w:rPr>
          <w:vertAlign w:val="superscript"/>
          <w:rtl/>
        </w:rPr>
        <w:t>(</w:t>
      </w:r>
      <w:r w:rsidRPr="00885058">
        <w:rPr>
          <w:vertAlign w:val="superscript"/>
          <w:rtl/>
        </w:rPr>
        <w:footnoteReference w:id="1653"/>
      </w:r>
      <w:r w:rsidRPr="00885058">
        <w:rPr>
          <w:vertAlign w:val="superscript"/>
          <w:rtl/>
        </w:rPr>
        <w:t>)</w:t>
      </w:r>
      <w:r w:rsidRPr="00885058">
        <w:rPr>
          <w:rFonts w:ascii="Traditional Arabic" w:hAnsi="Traditional Arabic"/>
          <w:rtl/>
        </w:rPr>
        <w:t>. والثالث: داهية، قاله أبو عبيدة</w:t>
      </w:r>
      <w:r w:rsidRPr="00885058">
        <w:rPr>
          <w:vertAlign w:val="superscript"/>
          <w:rtl/>
        </w:rPr>
        <w:t>(</w:t>
      </w:r>
      <w:r w:rsidRPr="00885058">
        <w:rPr>
          <w:vertAlign w:val="superscript"/>
          <w:rtl/>
        </w:rPr>
        <w:footnoteReference w:id="1654"/>
      </w:r>
      <w:r w:rsidRPr="00885058">
        <w:rPr>
          <w:vertAlign w:val="superscript"/>
          <w:rtl/>
        </w:rPr>
        <w:t>)</w:t>
      </w:r>
      <w:r w:rsidRPr="00885058">
        <w:rPr>
          <w:rFonts w:ascii="Traditional Arabic" w:hAnsi="Traditional Arabic"/>
          <w:rtl/>
        </w:rPr>
        <w:t xml:space="preserve">. قوله تعالى: </w:t>
      </w:r>
      <w:r w:rsidRPr="00885058">
        <w:rPr>
          <w:rFonts w:ascii="QCF_BSML" w:hAnsi="QCF_BSML" w:cs="QCF_BSML"/>
          <w:color w:val="auto"/>
          <w:sz w:val="32"/>
          <w:szCs w:val="32"/>
          <w:rtl/>
          <w:lang w:eastAsia="en-US"/>
        </w:rPr>
        <w:t>ﭽ</w:t>
      </w:r>
      <w:r w:rsidRPr="00885058">
        <w:rPr>
          <w:rFonts w:ascii="QCF_P301" w:hAnsi="QCF_P301" w:cs="QCF_P301"/>
          <w:color w:val="auto"/>
          <w:sz w:val="32"/>
          <w:szCs w:val="32"/>
          <w:rtl/>
          <w:lang w:eastAsia="en-US"/>
        </w:rPr>
        <w:t xml:space="preserve">ﯼ  ﯽ  ﯾ  ﯿ </w:t>
      </w:r>
      <w:r w:rsidRPr="00885058">
        <w:rPr>
          <w:rFonts w:ascii="QCF_BSML" w:hAnsi="QCF_BSML" w:cs="QCF_BSML"/>
          <w:sz w:val="32"/>
          <w:szCs w:val="32"/>
          <w:rtl/>
          <w:lang w:eastAsia="en-US"/>
        </w:rPr>
        <w:t>ﭼ</w:t>
      </w:r>
      <w:r w:rsidRPr="00885058">
        <w:rPr>
          <w:rFonts w:ascii="QCF_P301" w:hAnsi="QCF_P301" w:cs="QCF_P301"/>
          <w:color w:val="auto"/>
          <w:sz w:val="32"/>
          <w:szCs w:val="32"/>
          <w:rtl/>
          <w:lang w:eastAsia="en-US"/>
        </w:rPr>
        <w:t xml:space="preserve"> </w:t>
      </w:r>
      <w:r w:rsidRPr="00885058">
        <w:rPr>
          <w:rFonts w:ascii="Traditional Arabic" w:hAnsi="Traditional Arabic"/>
          <w:rtl/>
        </w:rPr>
        <w:t>في هذا النسيان ثلاثة أقوال: أحدها: أنه على حقيقته، وأنه نسي.</w:t>
      </w:r>
      <w:r w:rsidRPr="00885058">
        <w:rPr>
          <w:rFonts w:ascii="Traditional Arabic" w:hAnsi="Traditional Arabic" w:hint="cs"/>
          <w:rtl/>
        </w:rPr>
        <w:t xml:space="preserve"> </w:t>
      </w:r>
      <w:r w:rsidRPr="00885058">
        <w:rPr>
          <w:rFonts w:ascii="Traditional Arabic" w:hAnsi="Traditional Arabic"/>
          <w:rtl/>
        </w:rPr>
        <w:t xml:space="preserve">روى ابن عباس عن رسول الله </w:t>
      </w:r>
      <w:r w:rsidRPr="00885058">
        <w:rPr>
          <w:rFonts w:ascii="Traditional Arabic" w:hAnsi="Traditional Arabic"/>
        </w:rPr>
        <w:sym w:font="AGA Arabesque" w:char="F072"/>
      </w:r>
      <w:r w:rsidRPr="00885058">
        <w:rPr>
          <w:rFonts w:ascii="Traditional Arabic" w:hAnsi="Traditional Arabic"/>
          <w:rtl/>
        </w:rPr>
        <w:t>: «أن الأولى كانت نسياناً من موسى»</w:t>
      </w:r>
      <w:r w:rsidRPr="00885058">
        <w:rPr>
          <w:vertAlign w:val="superscript"/>
          <w:rtl/>
        </w:rPr>
        <w:t>(</w:t>
      </w:r>
      <w:r w:rsidRPr="00885058">
        <w:rPr>
          <w:vertAlign w:val="superscript"/>
          <w:rtl/>
        </w:rPr>
        <w:footnoteReference w:id="1655"/>
      </w:r>
      <w:r w:rsidRPr="00885058">
        <w:rPr>
          <w:vertAlign w:val="superscript"/>
          <w:rtl/>
        </w:rPr>
        <w:t>)</w:t>
      </w:r>
      <w:r w:rsidRPr="00885058">
        <w:rPr>
          <w:rFonts w:ascii="Traditional Arabic" w:hAnsi="Traditional Arabic"/>
          <w:rtl/>
        </w:rPr>
        <w:t>.</w:t>
      </w:r>
      <w:r w:rsidRPr="00885058">
        <w:rPr>
          <w:rFonts w:ascii="Traditional Arabic" w:hAnsi="Traditional Arabic" w:hint="cs"/>
          <w:rtl/>
        </w:rPr>
        <w:t xml:space="preserve"> </w:t>
      </w:r>
      <w:r w:rsidRPr="00885058">
        <w:rPr>
          <w:rFonts w:ascii="Traditional Arabic" w:hAnsi="Traditional Arabic"/>
          <w:rtl/>
        </w:rPr>
        <w:t>والثاني: أنه لم ينس، ولكنه من معاريض الكلام، قاله أُبيّ بن كعب</w:t>
      </w:r>
      <w:r w:rsidRPr="00885058">
        <w:rPr>
          <w:vertAlign w:val="superscript"/>
          <w:rtl/>
        </w:rPr>
        <w:t>(</w:t>
      </w:r>
      <w:r w:rsidRPr="00885058">
        <w:rPr>
          <w:vertAlign w:val="superscript"/>
          <w:rtl/>
        </w:rPr>
        <w:footnoteReference w:id="1656"/>
      </w:r>
      <w:r w:rsidRPr="00885058">
        <w:rPr>
          <w:vertAlign w:val="superscript"/>
          <w:rtl/>
        </w:rPr>
        <w:t>)</w:t>
      </w:r>
      <w:r w:rsidRPr="00885058">
        <w:rPr>
          <w:rFonts w:ascii="Traditional Arabic" w:hAnsi="Traditional Arabic"/>
          <w:rtl/>
        </w:rPr>
        <w:t>، وابن عباس</w:t>
      </w:r>
      <w:r w:rsidRPr="00885058">
        <w:rPr>
          <w:vertAlign w:val="superscript"/>
          <w:rtl/>
        </w:rPr>
        <w:t>(</w:t>
      </w:r>
      <w:r w:rsidRPr="00885058">
        <w:rPr>
          <w:vertAlign w:val="superscript"/>
          <w:rtl/>
        </w:rPr>
        <w:footnoteReference w:id="1657"/>
      </w:r>
      <w:r w:rsidRPr="00885058">
        <w:rPr>
          <w:vertAlign w:val="superscript"/>
          <w:rtl/>
        </w:rPr>
        <w:t>)</w:t>
      </w:r>
      <w:r w:rsidRPr="00885058">
        <w:rPr>
          <w:rFonts w:ascii="Traditional Arabic" w:hAnsi="Traditional Arabic"/>
          <w:rtl/>
        </w:rPr>
        <w:t>. والثالث: أنه بمعنى التَّرك. فالمعنى: لا تؤاخذني بما تركته مما عاهدتك عليه، ذكره ابن الأنباري</w:t>
      </w:r>
      <w:r w:rsidRPr="00885058">
        <w:rPr>
          <w:vertAlign w:val="superscript"/>
          <w:rtl/>
        </w:rPr>
        <w:t>(</w:t>
      </w:r>
      <w:r w:rsidRPr="00885058">
        <w:rPr>
          <w:vertAlign w:val="superscript"/>
          <w:rtl/>
        </w:rPr>
        <w:footnoteReference w:id="1658"/>
      </w:r>
      <w:r w:rsidRPr="00885058">
        <w:rPr>
          <w:vertAlign w:val="superscript"/>
          <w:rtl/>
        </w:rPr>
        <w:t>)</w:t>
      </w:r>
      <w:r w:rsidRPr="00885058">
        <w:rPr>
          <w:rFonts w:ascii="Traditional Arabic" w:hAnsi="Traditional Arabic"/>
          <w:rtl/>
        </w:rPr>
        <w:t>.</w:t>
      </w:r>
      <w:r w:rsidRPr="00885058">
        <w:rPr>
          <w:rFonts w:ascii="Traditional Arabic" w:hAnsi="Traditional Arabic" w:hint="cs"/>
          <w:rtl/>
        </w:rPr>
        <w:t xml:space="preserve"> </w:t>
      </w:r>
      <w:r w:rsidRPr="00885058">
        <w:rPr>
          <w:rFonts w:ascii="Traditional Arabic" w:hAnsi="Traditional Arabic"/>
          <w:rtl/>
        </w:rPr>
        <w:t xml:space="preserve">قوله تعالى: </w:t>
      </w:r>
      <w:r w:rsidRPr="00885058">
        <w:rPr>
          <w:rFonts w:ascii="QCF_BSML" w:hAnsi="QCF_BSML" w:cs="QCF_BSML"/>
          <w:color w:val="auto"/>
          <w:sz w:val="32"/>
          <w:szCs w:val="32"/>
          <w:rtl/>
          <w:lang w:eastAsia="en-US"/>
        </w:rPr>
        <w:t>ﭽ</w:t>
      </w:r>
      <w:r w:rsidRPr="00885058">
        <w:rPr>
          <w:rFonts w:ascii="QCF_P301" w:hAnsi="QCF_P301" w:cs="QCF_P301"/>
          <w:color w:val="auto"/>
          <w:sz w:val="32"/>
          <w:szCs w:val="32"/>
          <w:rtl/>
          <w:lang w:eastAsia="en-US"/>
        </w:rPr>
        <w:t xml:space="preserve">ﰀ     ﰁ </w:t>
      </w:r>
      <w:r w:rsidRPr="00885058">
        <w:rPr>
          <w:rFonts w:ascii="QCF_BSML" w:hAnsi="QCF_BSML" w:cs="QCF_BSML"/>
          <w:sz w:val="32"/>
          <w:szCs w:val="32"/>
          <w:rtl/>
          <w:lang w:eastAsia="en-US"/>
        </w:rPr>
        <w:t>ﭼ</w:t>
      </w:r>
      <w:r w:rsidRPr="00885058">
        <w:rPr>
          <w:rFonts w:ascii="QCF_P301" w:hAnsi="QCF_P301" w:cs="QCF_P301"/>
          <w:color w:val="auto"/>
          <w:sz w:val="32"/>
          <w:szCs w:val="32"/>
          <w:rtl/>
          <w:lang w:eastAsia="en-US"/>
        </w:rPr>
        <w:t xml:space="preserve"> </w:t>
      </w:r>
      <w:r w:rsidRPr="00885058">
        <w:rPr>
          <w:rFonts w:ascii="Traditional Arabic" w:hAnsi="Traditional Arabic" w:hint="cs"/>
          <w:rtl/>
        </w:rPr>
        <w:t xml:space="preserve"> </w:t>
      </w:r>
      <w:r w:rsidRPr="00885058">
        <w:rPr>
          <w:rFonts w:ascii="Traditional Arabic" w:hAnsi="Traditional Arabic"/>
          <w:rtl/>
        </w:rPr>
        <w:t>قال الفراء: لا تُعجلني</w:t>
      </w:r>
      <w:r w:rsidRPr="00885058">
        <w:rPr>
          <w:vertAlign w:val="superscript"/>
          <w:rtl/>
        </w:rPr>
        <w:t>(</w:t>
      </w:r>
      <w:r w:rsidRPr="00885058">
        <w:rPr>
          <w:vertAlign w:val="superscript"/>
          <w:rtl/>
        </w:rPr>
        <w:footnoteReference w:id="1659"/>
      </w:r>
      <w:r w:rsidRPr="00885058">
        <w:rPr>
          <w:vertAlign w:val="superscript"/>
          <w:rtl/>
        </w:rPr>
        <w:t>)</w:t>
      </w:r>
      <w:r w:rsidRPr="00885058">
        <w:rPr>
          <w:rFonts w:ascii="Traditional Arabic" w:hAnsi="Traditional Arabic"/>
          <w:rtl/>
        </w:rPr>
        <w:t xml:space="preserve">. وقال أبو عبيدة، وابن قتيبة، </w:t>
      </w:r>
      <w:r w:rsidRPr="00885058">
        <w:rPr>
          <w:rFonts w:ascii="Traditional Arabic" w:hAnsi="Traditional Arabic"/>
          <w:sz w:val="32"/>
          <w:szCs w:val="32"/>
          <w:rtl/>
        </w:rPr>
        <w:t>[</w:t>
      </w:r>
      <w:r w:rsidRPr="00885058">
        <w:rPr>
          <w:rFonts w:ascii="Traditional Arabic" w:hAnsi="Traditional Arabic" w:hint="cs"/>
          <w:sz w:val="32"/>
          <w:szCs w:val="32"/>
          <w:rtl/>
        </w:rPr>
        <w:t>138</w:t>
      </w:r>
      <w:r w:rsidRPr="00885058">
        <w:rPr>
          <w:rFonts w:ascii="Traditional Arabic" w:hAnsi="Traditional Arabic"/>
          <w:sz w:val="32"/>
          <w:szCs w:val="32"/>
          <w:rtl/>
        </w:rPr>
        <w:t>]</w:t>
      </w:r>
      <w:r w:rsidRPr="00885058">
        <w:rPr>
          <w:rFonts w:ascii="Traditional Arabic" w:hAnsi="Traditional Arabic"/>
          <w:rtl/>
        </w:rPr>
        <w:t xml:space="preserve"> والزجاج: لا تُغْشِني</w:t>
      </w:r>
      <w:r w:rsidRPr="00885058">
        <w:rPr>
          <w:vertAlign w:val="superscript"/>
          <w:rtl/>
        </w:rPr>
        <w:t>(</w:t>
      </w:r>
      <w:r w:rsidRPr="00885058">
        <w:rPr>
          <w:vertAlign w:val="superscript"/>
          <w:rtl/>
        </w:rPr>
        <w:footnoteReference w:id="1660"/>
      </w:r>
      <w:r w:rsidRPr="00885058">
        <w:rPr>
          <w:vertAlign w:val="superscript"/>
          <w:rtl/>
        </w:rPr>
        <w:t>)</w:t>
      </w:r>
      <w:r w:rsidRPr="00885058">
        <w:rPr>
          <w:rFonts w:ascii="Traditional Arabic" w:hAnsi="Traditional Arabic"/>
          <w:rtl/>
        </w:rPr>
        <w:t>. قال أبو زيد: يقال: أرهقتُه عسراً: إِذا كلفتَه ذلك</w:t>
      </w:r>
      <w:r w:rsidRPr="00885058">
        <w:rPr>
          <w:vertAlign w:val="superscript"/>
          <w:rtl/>
        </w:rPr>
        <w:t>(</w:t>
      </w:r>
      <w:r w:rsidRPr="00885058">
        <w:rPr>
          <w:vertAlign w:val="superscript"/>
          <w:rtl/>
        </w:rPr>
        <w:footnoteReference w:id="1661"/>
      </w:r>
      <w:r w:rsidRPr="00885058">
        <w:rPr>
          <w:vertAlign w:val="superscript"/>
          <w:rtl/>
        </w:rPr>
        <w:t>)</w:t>
      </w:r>
      <w:r w:rsidRPr="00885058">
        <w:rPr>
          <w:rFonts w:ascii="Traditional Arabic" w:hAnsi="Traditional Arabic"/>
          <w:rtl/>
        </w:rPr>
        <w:t>. قال الزجاج: والمعنى: عاملني باليُسْرِ، لا بالعُسْرِ</w:t>
      </w:r>
      <w:r w:rsidRPr="00885058">
        <w:rPr>
          <w:vertAlign w:val="superscript"/>
          <w:rtl/>
        </w:rPr>
        <w:t>(</w:t>
      </w:r>
      <w:r w:rsidRPr="00885058">
        <w:rPr>
          <w:vertAlign w:val="superscript"/>
          <w:rtl/>
        </w:rPr>
        <w:footnoteReference w:id="1662"/>
      </w:r>
      <w:r w:rsidRPr="00885058">
        <w:rPr>
          <w:vertAlign w:val="superscript"/>
          <w:rtl/>
        </w:rPr>
        <w:t>)</w:t>
      </w:r>
      <w:r w:rsidRPr="00885058">
        <w:rPr>
          <w:rFonts w:ascii="Traditional Arabic" w:hAnsi="Traditional Arabic"/>
          <w:rtl/>
        </w:rPr>
        <w:t xml:space="preserve">. قوله تعالى: </w:t>
      </w:r>
      <w:r w:rsidRPr="00885058">
        <w:rPr>
          <w:rFonts w:ascii="QCF_BSML" w:hAnsi="QCF_BSML" w:cs="QCF_BSML"/>
          <w:color w:val="auto"/>
          <w:sz w:val="32"/>
          <w:szCs w:val="32"/>
          <w:rtl/>
          <w:lang w:eastAsia="en-US"/>
        </w:rPr>
        <w:t>ﭽ</w:t>
      </w:r>
      <w:r w:rsidRPr="00885058">
        <w:rPr>
          <w:rFonts w:ascii="QCF_P301" w:hAnsi="QCF_P301" w:cs="QCF_P301"/>
          <w:color w:val="auto"/>
          <w:sz w:val="32"/>
          <w:szCs w:val="32"/>
          <w:rtl/>
          <w:lang w:eastAsia="en-US"/>
        </w:rPr>
        <w:t xml:space="preserve">ﰆ </w:t>
      </w:r>
      <w:r w:rsidRPr="00885058">
        <w:rPr>
          <w:rFonts w:ascii="QCF_BSML" w:hAnsi="QCF_BSML" w:cs="QCF_BSML"/>
          <w:sz w:val="32"/>
          <w:szCs w:val="32"/>
          <w:rtl/>
          <w:lang w:eastAsia="en-US"/>
        </w:rPr>
        <w:t>ﭼ</w:t>
      </w:r>
      <w:r w:rsidRPr="00885058">
        <w:rPr>
          <w:rFonts w:ascii="QCF_P301" w:hAnsi="QCF_P301" w:cs="QCF_P301"/>
          <w:color w:val="auto"/>
          <w:sz w:val="32"/>
          <w:szCs w:val="32"/>
          <w:rtl/>
          <w:lang w:eastAsia="en-US"/>
        </w:rPr>
        <w:t xml:space="preserve"> </w:t>
      </w:r>
      <w:r w:rsidRPr="00885058">
        <w:rPr>
          <w:rFonts w:ascii="Traditional Arabic" w:hAnsi="Traditional Arabic"/>
          <w:rtl/>
        </w:rPr>
        <w:t xml:space="preserve">يعني: موسى والخضر. قال الماوردي: يحتمل أن يوشع تأخر عنهما، لأن الإِخبار عن اثنين، ويحتمل </w:t>
      </w:r>
      <w:r w:rsidRPr="00885058">
        <w:rPr>
          <w:rFonts w:ascii="Traditional Arabic" w:hAnsi="Traditional Arabic"/>
          <w:rtl/>
        </w:rPr>
        <w:lastRenderedPageBreak/>
        <w:t>أن يكون معهما ولم يذكر لأنه تَبَعٌ لموسى، فاقتصر على حكم المتبوع</w:t>
      </w:r>
      <w:r w:rsidRPr="00885058">
        <w:rPr>
          <w:vertAlign w:val="superscript"/>
          <w:rtl/>
        </w:rPr>
        <w:t>(</w:t>
      </w:r>
      <w:r w:rsidRPr="00885058">
        <w:rPr>
          <w:vertAlign w:val="superscript"/>
          <w:rtl/>
        </w:rPr>
        <w:footnoteReference w:id="1663"/>
      </w:r>
      <w:r w:rsidRPr="00885058">
        <w:rPr>
          <w:vertAlign w:val="superscript"/>
          <w:rtl/>
        </w:rPr>
        <w:t>)</w:t>
      </w:r>
      <w:r w:rsidRPr="00885058">
        <w:rPr>
          <w:rFonts w:ascii="Traditional Arabic" w:hAnsi="Traditional Arabic"/>
          <w:rtl/>
        </w:rPr>
        <w:t>.</w:t>
      </w:r>
    </w:p>
    <w:p w:rsidR="00885058" w:rsidRPr="00885058" w:rsidRDefault="00885058" w:rsidP="00885058">
      <w:pPr>
        <w:ind w:firstLine="0"/>
        <w:rPr>
          <w:rFonts w:ascii="Traditional Arabic" w:hAnsi="Traditional Arabic"/>
          <w:rtl/>
        </w:rPr>
      </w:pPr>
      <w:r w:rsidRPr="00885058">
        <w:rPr>
          <w:rFonts w:ascii="Traditional Arabic" w:hAnsi="Traditional Arabic"/>
          <w:rtl/>
        </w:rPr>
        <w:t xml:space="preserve">قوله تعالى: </w:t>
      </w:r>
      <w:r w:rsidRPr="00885058">
        <w:rPr>
          <w:rFonts w:ascii="QCF_BSML" w:hAnsi="QCF_BSML" w:cs="QCF_BSML"/>
          <w:color w:val="auto"/>
          <w:sz w:val="32"/>
          <w:szCs w:val="32"/>
          <w:rtl/>
          <w:lang w:eastAsia="en-US"/>
        </w:rPr>
        <w:t>ﭽ</w:t>
      </w:r>
      <w:r w:rsidRPr="00885058">
        <w:rPr>
          <w:rFonts w:ascii="QCF_P301" w:hAnsi="QCF_P301" w:cs="QCF_P301"/>
          <w:color w:val="auto"/>
          <w:sz w:val="32"/>
          <w:szCs w:val="32"/>
          <w:rtl/>
          <w:lang w:eastAsia="en-US"/>
        </w:rPr>
        <w:t>ﰇ  ﰈ  ﰉ  ﰊ</w:t>
      </w:r>
      <w:r w:rsidRPr="00885058">
        <w:rPr>
          <w:rFonts w:ascii="QCF_BSML" w:hAnsi="QCF_BSML" w:cs="QCF_BSML"/>
          <w:sz w:val="32"/>
          <w:szCs w:val="32"/>
          <w:rtl/>
          <w:lang w:eastAsia="en-US"/>
        </w:rPr>
        <w:t>ﭼ</w:t>
      </w:r>
      <w:r w:rsidRPr="00885058">
        <w:rPr>
          <w:rFonts w:ascii="QCF_P301" w:hAnsi="QCF_P301" w:cs="QCF_P301"/>
          <w:color w:val="auto"/>
          <w:sz w:val="32"/>
          <w:szCs w:val="32"/>
          <w:rtl/>
          <w:lang w:eastAsia="en-US"/>
        </w:rPr>
        <w:t xml:space="preserve">  </w:t>
      </w:r>
      <w:r w:rsidRPr="00885058">
        <w:rPr>
          <w:rFonts w:ascii="Traditional Arabic" w:hAnsi="Traditional Arabic"/>
          <w:rtl/>
        </w:rPr>
        <w:t>اختلفوا في هذا الغلام هل كان بالغاً، أم لا؟ على قولين: أحدهما: أنه لم يكن بالغاً، قاله ابن عباس، ومجاهد، والأكثرون</w:t>
      </w:r>
      <w:r w:rsidRPr="00885058">
        <w:rPr>
          <w:vertAlign w:val="superscript"/>
          <w:rtl/>
        </w:rPr>
        <w:t>(</w:t>
      </w:r>
      <w:r w:rsidRPr="00885058">
        <w:rPr>
          <w:vertAlign w:val="superscript"/>
          <w:rtl/>
        </w:rPr>
        <w:footnoteReference w:id="1664"/>
      </w:r>
      <w:r w:rsidRPr="00885058">
        <w:rPr>
          <w:vertAlign w:val="superscript"/>
          <w:rtl/>
        </w:rPr>
        <w:t>)</w:t>
      </w:r>
      <w:r w:rsidRPr="00885058">
        <w:rPr>
          <w:rFonts w:ascii="Traditional Arabic" w:hAnsi="Traditional Arabic"/>
          <w:rtl/>
        </w:rPr>
        <w:t>. والثاني: أنه كان شابّاً قد قبض على لحيته، حكاه الماوردي عن ابن عباس أيضاً، واحتج بأن غير البالغ لم يجر عليه قلم، فلا يستحق القتل</w:t>
      </w:r>
      <w:r w:rsidRPr="00885058">
        <w:rPr>
          <w:rFonts w:ascii="Traditional Arabic" w:hAnsi="Traditional Arabic" w:hint="cs"/>
          <w:rtl/>
        </w:rPr>
        <w:t>,</w:t>
      </w:r>
      <w:r w:rsidRPr="00885058">
        <w:rPr>
          <w:rFonts w:ascii="Traditional Arabic" w:hAnsi="Traditional Arabic"/>
          <w:rtl/>
        </w:rPr>
        <w:t xml:space="preserve"> وقد يُسمَّى الرجلُ غلاماً، قالت ليلى الأخيلية</w:t>
      </w:r>
      <w:r w:rsidRPr="00885058">
        <w:rPr>
          <w:vertAlign w:val="superscript"/>
          <w:rtl/>
        </w:rPr>
        <w:t>(</w:t>
      </w:r>
      <w:r w:rsidRPr="00885058">
        <w:rPr>
          <w:vertAlign w:val="superscript"/>
          <w:rtl/>
        </w:rPr>
        <w:footnoteReference w:id="1665"/>
      </w:r>
      <w:r w:rsidRPr="00885058">
        <w:rPr>
          <w:vertAlign w:val="superscript"/>
          <w:rtl/>
        </w:rPr>
        <w:t>)</w:t>
      </w:r>
      <w:r w:rsidRPr="00885058">
        <w:rPr>
          <w:rFonts w:ascii="Traditional Arabic" w:hAnsi="Traditional Arabic"/>
          <w:rtl/>
        </w:rPr>
        <w:t>تمدح الحجاج</w:t>
      </w:r>
      <w:r w:rsidRPr="00885058">
        <w:rPr>
          <w:vertAlign w:val="superscript"/>
          <w:rtl/>
        </w:rPr>
        <w:t>(</w:t>
      </w:r>
      <w:r w:rsidRPr="00885058">
        <w:rPr>
          <w:vertAlign w:val="superscript"/>
          <w:rtl/>
        </w:rPr>
        <w:footnoteReference w:id="1666"/>
      </w:r>
      <w:r w:rsidRPr="00885058">
        <w:rPr>
          <w:vertAlign w:val="superscript"/>
          <w:rtl/>
        </w:rPr>
        <w:t>)</w:t>
      </w:r>
      <w:r w:rsidRPr="00885058">
        <w:rPr>
          <w:rFonts w:ascii="Traditional Arabic" w:hAnsi="Traditional Arabic"/>
          <w:rtl/>
        </w:rPr>
        <w:t>:</w:t>
      </w:r>
      <w:r w:rsidRPr="00885058">
        <w:rPr>
          <w:rFonts w:ascii="Traditional Arabic" w:hAnsi="Traditional Arabic" w:hint="cs"/>
          <w:rtl/>
        </w:rPr>
        <w:t xml:space="preserve"> </w:t>
      </w:r>
    </w:p>
    <w:p w:rsidR="00885058" w:rsidRPr="00885058" w:rsidRDefault="00885058" w:rsidP="00885058">
      <w:pPr>
        <w:ind w:firstLine="0"/>
        <w:rPr>
          <w:rFonts w:ascii="Arial" w:hAnsi="Arial" w:cs="Arial"/>
          <w:color w:val="auto"/>
          <w:sz w:val="18"/>
          <w:szCs w:val="18"/>
          <w:rtl/>
          <w:lang w:eastAsia="en-US"/>
        </w:rPr>
      </w:pPr>
      <w:r w:rsidRPr="00885058">
        <w:rPr>
          <w:rFonts w:ascii="Traditional Arabic" w:hAnsi="Traditional Arabic"/>
          <w:rtl/>
        </w:rPr>
        <w:t>شَفَاها من الدَّاءِ العضال الذي بها</w:t>
      </w:r>
      <w:r w:rsidRPr="00885058">
        <w:rPr>
          <w:vertAlign w:val="superscript"/>
          <w:rtl/>
        </w:rPr>
        <w:t>(</w:t>
      </w:r>
      <w:r w:rsidRPr="00885058">
        <w:rPr>
          <w:vertAlign w:val="superscript"/>
          <w:rtl/>
        </w:rPr>
        <w:footnoteReference w:id="1667"/>
      </w:r>
      <w:r w:rsidRPr="00885058">
        <w:rPr>
          <w:vertAlign w:val="superscript"/>
          <w:rtl/>
        </w:rPr>
        <w:t>)(</w:t>
      </w:r>
      <w:r w:rsidRPr="00885058">
        <w:rPr>
          <w:vertAlign w:val="superscript"/>
          <w:rtl/>
        </w:rPr>
        <w:footnoteReference w:id="1668"/>
      </w:r>
      <w:r w:rsidRPr="00885058">
        <w:rPr>
          <w:vertAlign w:val="superscript"/>
          <w:rtl/>
        </w:rPr>
        <w:t>)</w:t>
      </w:r>
      <w:r w:rsidRPr="00885058">
        <w:rPr>
          <w:rFonts w:hint="cs"/>
          <w:rtl/>
        </w:rPr>
        <w:t>.</w:t>
      </w:r>
    </w:p>
    <w:p w:rsidR="00885058" w:rsidRPr="00885058" w:rsidRDefault="00885058" w:rsidP="00885058">
      <w:pPr>
        <w:ind w:firstLine="0"/>
        <w:rPr>
          <w:rFonts w:ascii="Traditional Arabic" w:hAnsi="Traditional Arabic"/>
          <w:rtl/>
        </w:rPr>
      </w:pPr>
      <w:r w:rsidRPr="00885058">
        <w:rPr>
          <w:rFonts w:ascii="Arial" w:hAnsi="Arial" w:cs="Arial"/>
          <w:color w:val="auto"/>
          <w:sz w:val="18"/>
          <w:szCs w:val="18"/>
          <w:rtl/>
          <w:lang w:eastAsia="en-US"/>
        </w:rPr>
        <w:t xml:space="preserve"> </w:t>
      </w:r>
      <w:r w:rsidRPr="00885058">
        <w:rPr>
          <w:rFonts w:ascii="Traditional Arabic" w:hAnsi="Traditional Arabic"/>
          <w:rtl/>
        </w:rPr>
        <w:t>وفي صفة قتله له ثلاثة أقوال: أحدها: أنه اقتلع رأسه، وقد ذكرناه في حديث أبيّ</w:t>
      </w:r>
      <w:r w:rsidRPr="00885058">
        <w:rPr>
          <w:vertAlign w:val="superscript"/>
          <w:rtl/>
        </w:rPr>
        <w:t>(</w:t>
      </w:r>
      <w:r w:rsidRPr="00885058">
        <w:rPr>
          <w:vertAlign w:val="superscript"/>
          <w:rtl/>
        </w:rPr>
        <w:footnoteReference w:id="1669"/>
      </w:r>
      <w:r w:rsidRPr="00885058">
        <w:rPr>
          <w:vertAlign w:val="superscript"/>
          <w:rtl/>
        </w:rPr>
        <w:t>)</w:t>
      </w:r>
      <w:r w:rsidRPr="00885058">
        <w:rPr>
          <w:rFonts w:ascii="Traditional Arabic" w:hAnsi="Traditional Arabic"/>
          <w:rtl/>
        </w:rPr>
        <w:t xml:space="preserve">. والثاني: كسر عنقه، قاله ابن </w:t>
      </w:r>
      <w:r w:rsidRPr="00885058">
        <w:rPr>
          <w:rFonts w:ascii="Traditional Arabic" w:hAnsi="Traditional Arabic" w:hint="cs"/>
          <w:rtl/>
        </w:rPr>
        <w:t>ع</w:t>
      </w:r>
      <w:r w:rsidRPr="00885058">
        <w:rPr>
          <w:rFonts w:ascii="Traditional Arabic" w:hAnsi="Traditional Arabic"/>
          <w:rtl/>
        </w:rPr>
        <w:t>باس</w:t>
      </w:r>
      <w:r w:rsidRPr="00885058">
        <w:rPr>
          <w:vertAlign w:val="superscript"/>
          <w:rtl/>
        </w:rPr>
        <w:t>(</w:t>
      </w:r>
      <w:r w:rsidRPr="00885058">
        <w:rPr>
          <w:vertAlign w:val="superscript"/>
          <w:rtl/>
        </w:rPr>
        <w:footnoteReference w:id="1670"/>
      </w:r>
      <w:r w:rsidRPr="00885058">
        <w:rPr>
          <w:vertAlign w:val="superscript"/>
          <w:rtl/>
        </w:rPr>
        <w:t>)</w:t>
      </w:r>
      <w:r w:rsidRPr="00885058">
        <w:rPr>
          <w:rFonts w:ascii="Traditional Arabic" w:hAnsi="Traditional Arabic"/>
          <w:rtl/>
        </w:rPr>
        <w:t>. والثالث: أضجعة وذبحه بالسكين، قاله سعيد بن جبير</w:t>
      </w:r>
      <w:r w:rsidRPr="00885058">
        <w:rPr>
          <w:vertAlign w:val="superscript"/>
          <w:rtl/>
        </w:rPr>
        <w:t>(</w:t>
      </w:r>
      <w:r w:rsidRPr="00885058">
        <w:rPr>
          <w:vertAlign w:val="superscript"/>
          <w:rtl/>
        </w:rPr>
        <w:footnoteReference w:id="1671"/>
      </w:r>
      <w:r w:rsidRPr="00885058">
        <w:rPr>
          <w:vertAlign w:val="superscript"/>
          <w:rtl/>
        </w:rPr>
        <w:t>)</w:t>
      </w:r>
      <w:r w:rsidRPr="00885058">
        <w:rPr>
          <w:rFonts w:ascii="Traditional Arabic" w:hAnsi="Traditional Arabic"/>
          <w:rtl/>
        </w:rPr>
        <w:t>.</w:t>
      </w:r>
      <w:r w:rsidRPr="00885058">
        <w:rPr>
          <w:rFonts w:ascii="Traditional Arabic" w:hAnsi="Traditional Arabic" w:hint="cs"/>
          <w:rtl/>
        </w:rPr>
        <w:t xml:space="preserve"> </w:t>
      </w:r>
      <w:r w:rsidRPr="00885058">
        <w:rPr>
          <w:rFonts w:ascii="Traditional Arabic" w:hAnsi="Traditional Arabic"/>
          <w:rtl/>
        </w:rPr>
        <w:t xml:space="preserve">قوله تعالى: </w:t>
      </w:r>
      <w:r w:rsidRPr="00885058">
        <w:rPr>
          <w:rFonts w:ascii="QCF_BSML" w:hAnsi="QCF_BSML" w:cs="QCF_BSML"/>
          <w:color w:val="auto"/>
          <w:sz w:val="32"/>
          <w:szCs w:val="32"/>
          <w:rtl/>
          <w:lang w:eastAsia="en-US"/>
        </w:rPr>
        <w:t>ﭽ</w:t>
      </w:r>
      <w:r w:rsidRPr="00885058">
        <w:rPr>
          <w:rFonts w:ascii="QCF_P301" w:hAnsi="QCF_P301" w:cs="QCF_P301"/>
          <w:color w:val="auto"/>
          <w:sz w:val="32"/>
          <w:szCs w:val="32"/>
          <w:rtl/>
          <w:lang w:eastAsia="en-US"/>
        </w:rPr>
        <w:t xml:space="preserve">  ﰍ  ﰎ  ﰏ </w:t>
      </w:r>
      <w:r w:rsidRPr="00885058">
        <w:rPr>
          <w:rFonts w:ascii="QCF_BSML" w:hAnsi="QCF_BSML" w:cs="QCF_BSML"/>
          <w:sz w:val="32"/>
          <w:szCs w:val="32"/>
          <w:rtl/>
          <w:lang w:eastAsia="en-US"/>
        </w:rPr>
        <w:t>ﭼ</w:t>
      </w:r>
      <w:r w:rsidRPr="00885058">
        <w:rPr>
          <w:rFonts w:ascii="QCF_P301" w:hAnsi="QCF_P301" w:cs="QCF_P301" w:hint="cs"/>
          <w:color w:val="auto"/>
          <w:sz w:val="32"/>
          <w:szCs w:val="32"/>
          <w:rtl/>
          <w:lang w:eastAsia="en-US"/>
        </w:rPr>
        <w:t xml:space="preserve">   </w:t>
      </w:r>
      <w:r w:rsidRPr="00885058">
        <w:rPr>
          <w:rFonts w:ascii="QCF_P301" w:hAnsi="QCF_P301" w:cs="QCF_P301"/>
          <w:color w:val="auto"/>
          <w:sz w:val="32"/>
          <w:szCs w:val="32"/>
          <w:rtl/>
          <w:lang w:eastAsia="en-US"/>
        </w:rPr>
        <w:t xml:space="preserve"> </w:t>
      </w:r>
      <w:r w:rsidRPr="00885058">
        <w:rPr>
          <w:rFonts w:ascii="Traditional Arabic" w:hAnsi="Traditional Arabic"/>
          <w:rtl/>
        </w:rPr>
        <w:t xml:space="preserve">قرأ الكوفيون، وابن عامر: </w:t>
      </w:r>
      <w:r w:rsidRPr="00885058">
        <w:rPr>
          <w:rFonts w:ascii="QCF_BSML" w:hAnsi="QCF_BSML" w:cs="QCF_BSML"/>
          <w:color w:val="auto"/>
          <w:sz w:val="32"/>
          <w:szCs w:val="32"/>
          <w:rtl/>
          <w:lang w:eastAsia="en-US"/>
        </w:rPr>
        <w:t>ﭽ</w:t>
      </w:r>
      <w:r w:rsidRPr="00885058">
        <w:rPr>
          <w:rFonts w:ascii="QCF_P301" w:hAnsi="QCF_P301" w:cs="QCF_P301"/>
          <w:color w:val="auto"/>
          <w:sz w:val="32"/>
          <w:szCs w:val="32"/>
          <w:rtl/>
          <w:lang w:eastAsia="en-US"/>
        </w:rPr>
        <w:t>ﰏ</w:t>
      </w:r>
      <w:r w:rsidRPr="00885058">
        <w:rPr>
          <w:rFonts w:ascii="QCF_BSML" w:hAnsi="QCF_BSML" w:cs="QCF_BSML"/>
          <w:sz w:val="32"/>
          <w:szCs w:val="32"/>
          <w:rtl/>
          <w:lang w:eastAsia="en-US"/>
        </w:rPr>
        <w:t>ﭼ</w:t>
      </w:r>
      <w:r w:rsidRPr="00885058">
        <w:rPr>
          <w:rFonts w:ascii="Traditional Arabic" w:hAnsi="Traditional Arabic"/>
          <w:rtl/>
        </w:rPr>
        <w:t xml:space="preserve"> بغير ألف، والياء مشددة.</w:t>
      </w:r>
      <w:r w:rsidRPr="00885058">
        <w:rPr>
          <w:rFonts w:ascii="Traditional Arabic" w:hAnsi="Traditional Arabic" w:hint="cs"/>
          <w:rtl/>
        </w:rPr>
        <w:t xml:space="preserve"> </w:t>
      </w:r>
      <w:r w:rsidRPr="00885058">
        <w:rPr>
          <w:rFonts w:ascii="Traditional Arabic" w:hAnsi="Traditional Arabic"/>
          <w:rtl/>
        </w:rPr>
        <w:t>وقرأ الباقون بالألف من غير تشديد. قال الكسائي: هما لغتان بمعنى واحد، وهما بمنزلة القاسية، والقَسيّة</w:t>
      </w:r>
      <w:r w:rsidRPr="00885058">
        <w:rPr>
          <w:vertAlign w:val="superscript"/>
          <w:rtl/>
        </w:rPr>
        <w:t>(</w:t>
      </w:r>
      <w:r w:rsidRPr="00885058">
        <w:rPr>
          <w:vertAlign w:val="superscript"/>
          <w:rtl/>
        </w:rPr>
        <w:footnoteReference w:id="1672"/>
      </w:r>
      <w:r w:rsidRPr="00885058">
        <w:rPr>
          <w:vertAlign w:val="superscript"/>
          <w:rtl/>
        </w:rPr>
        <w:t>)</w:t>
      </w:r>
      <w:r w:rsidRPr="00885058">
        <w:rPr>
          <w:rFonts w:ascii="Traditional Arabic" w:hAnsi="Traditional Arabic"/>
          <w:rtl/>
        </w:rPr>
        <w:t xml:space="preserve">. وللمفسرين فيها ستة أقوال: أحدها: أنها التائبة، روي عن ابن عباس أنه قال: </w:t>
      </w:r>
      <w:r w:rsidRPr="00885058">
        <w:rPr>
          <w:rFonts w:ascii="Traditional Arabic" w:hAnsi="Traditional Arabic"/>
          <w:rtl/>
        </w:rPr>
        <w:lastRenderedPageBreak/>
        <w:t>الزكية: التائبة</w:t>
      </w:r>
      <w:r w:rsidRPr="00885058">
        <w:rPr>
          <w:vertAlign w:val="superscript"/>
          <w:rtl/>
        </w:rPr>
        <w:t>(</w:t>
      </w:r>
      <w:r w:rsidRPr="00885058">
        <w:rPr>
          <w:vertAlign w:val="superscript"/>
          <w:rtl/>
        </w:rPr>
        <w:footnoteReference w:id="1673"/>
      </w:r>
      <w:r w:rsidRPr="00885058">
        <w:rPr>
          <w:vertAlign w:val="superscript"/>
          <w:rtl/>
        </w:rPr>
        <w:t>)</w:t>
      </w:r>
      <w:r w:rsidRPr="00885058">
        <w:rPr>
          <w:rFonts w:ascii="Traditional Arabic" w:hAnsi="Traditional Arabic"/>
          <w:rtl/>
        </w:rPr>
        <w:t xml:space="preserve">، </w:t>
      </w:r>
      <w:r w:rsidRPr="00885058">
        <w:rPr>
          <w:rFonts w:ascii="Traditional Arabic" w:hAnsi="Traditional Arabic" w:hint="cs"/>
          <w:rtl/>
        </w:rPr>
        <w:t>[</w:t>
      </w:r>
      <w:r w:rsidRPr="00885058">
        <w:rPr>
          <w:rFonts w:ascii="Traditional Arabic" w:hAnsi="Traditional Arabic"/>
          <w:rtl/>
        </w:rPr>
        <w:t>وبه</w:t>
      </w:r>
      <w:r w:rsidRPr="00885058">
        <w:rPr>
          <w:rFonts w:ascii="Traditional Arabic" w:hAnsi="Traditional Arabic" w:hint="cs"/>
          <w:rtl/>
        </w:rPr>
        <w:t>]</w:t>
      </w:r>
      <w:r w:rsidRPr="00885058">
        <w:rPr>
          <w:vertAlign w:val="superscript"/>
          <w:rtl/>
        </w:rPr>
        <w:t>(</w:t>
      </w:r>
      <w:r w:rsidRPr="00885058">
        <w:rPr>
          <w:vertAlign w:val="superscript"/>
          <w:rtl/>
        </w:rPr>
        <w:footnoteReference w:id="1674"/>
      </w:r>
      <w:r w:rsidRPr="00885058">
        <w:rPr>
          <w:vertAlign w:val="superscript"/>
          <w:rtl/>
        </w:rPr>
        <w:t>)</w:t>
      </w:r>
      <w:r w:rsidRPr="00885058">
        <w:rPr>
          <w:rFonts w:ascii="Traditional Arabic" w:hAnsi="Traditional Arabic"/>
          <w:rtl/>
        </w:rPr>
        <w:t>قال الضحاك</w:t>
      </w:r>
      <w:r w:rsidRPr="00885058">
        <w:rPr>
          <w:vertAlign w:val="superscript"/>
          <w:rtl/>
        </w:rPr>
        <w:t>(</w:t>
      </w:r>
      <w:r w:rsidRPr="00885058">
        <w:rPr>
          <w:vertAlign w:val="superscript"/>
          <w:rtl/>
        </w:rPr>
        <w:footnoteReference w:id="1675"/>
      </w:r>
      <w:r w:rsidRPr="00885058">
        <w:rPr>
          <w:vertAlign w:val="superscript"/>
          <w:rtl/>
        </w:rPr>
        <w:t>)</w:t>
      </w:r>
      <w:r w:rsidRPr="00885058">
        <w:rPr>
          <w:rFonts w:ascii="Traditional Arabic" w:hAnsi="Traditional Arabic"/>
          <w:rtl/>
        </w:rPr>
        <w:t>. والثاني: أنها المسلمة، روي عن ابن عباس أيضاً</w:t>
      </w:r>
      <w:r w:rsidRPr="00885058">
        <w:rPr>
          <w:vertAlign w:val="superscript"/>
          <w:rtl/>
        </w:rPr>
        <w:t>(</w:t>
      </w:r>
      <w:r w:rsidRPr="00885058">
        <w:rPr>
          <w:vertAlign w:val="superscript"/>
          <w:rtl/>
        </w:rPr>
        <w:footnoteReference w:id="1676"/>
      </w:r>
      <w:r w:rsidRPr="00885058">
        <w:rPr>
          <w:vertAlign w:val="superscript"/>
          <w:rtl/>
        </w:rPr>
        <w:t>)</w:t>
      </w:r>
      <w:r w:rsidRPr="00885058">
        <w:rPr>
          <w:rFonts w:ascii="Traditional Arabic" w:hAnsi="Traditional Arabic"/>
          <w:rtl/>
        </w:rPr>
        <w:t>. والثالث: أنها الزكية التي لم تبلغ الخطايا، قاله سعيد بن جبير</w:t>
      </w:r>
      <w:r w:rsidRPr="00885058">
        <w:rPr>
          <w:vertAlign w:val="superscript"/>
          <w:rtl/>
        </w:rPr>
        <w:t>(</w:t>
      </w:r>
      <w:r w:rsidRPr="00885058">
        <w:rPr>
          <w:vertAlign w:val="superscript"/>
          <w:rtl/>
        </w:rPr>
        <w:footnoteReference w:id="1677"/>
      </w:r>
      <w:r w:rsidRPr="00885058">
        <w:rPr>
          <w:vertAlign w:val="superscript"/>
          <w:rtl/>
        </w:rPr>
        <w:t>)</w:t>
      </w:r>
      <w:r w:rsidRPr="00885058">
        <w:rPr>
          <w:rFonts w:ascii="Traditional Arabic" w:hAnsi="Traditional Arabic"/>
          <w:rtl/>
        </w:rPr>
        <w:t>. والرابع: أنها الزكية النامية، قاله قتادة</w:t>
      </w:r>
      <w:r w:rsidRPr="00885058">
        <w:rPr>
          <w:vertAlign w:val="superscript"/>
          <w:rtl/>
        </w:rPr>
        <w:t>(</w:t>
      </w:r>
      <w:r w:rsidRPr="00885058">
        <w:rPr>
          <w:vertAlign w:val="superscript"/>
          <w:rtl/>
        </w:rPr>
        <w:footnoteReference w:id="1678"/>
      </w:r>
      <w:r w:rsidRPr="00885058">
        <w:rPr>
          <w:vertAlign w:val="superscript"/>
          <w:rtl/>
        </w:rPr>
        <w:t>)</w:t>
      </w:r>
      <w:r w:rsidRPr="00885058">
        <w:rPr>
          <w:rFonts w:ascii="Traditional Arabic" w:hAnsi="Traditional Arabic"/>
          <w:rtl/>
        </w:rPr>
        <w:t>. وقال ابن الأنباري: القويمة في تزكيتها</w:t>
      </w:r>
      <w:r w:rsidRPr="00885058">
        <w:rPr>
          <w:vertAlign w:val="superscript"/>
          <w:rtl/>
        </w:rPr>
        <w:t>(</w:t>
      </w:r>
      <w:r w:rsidRPr="00885058">
        <w:rPr>
          <w:vertAlign w:val="superscript"/>
          <w:rtl/>
        </w:rPr>
        <w:footnoteReference w:id="1679"/>
      </w:r>
      <w:r w:rsidRPr="00885058">
        <w:rPr>
          <w:vertAlign w:val="superscript"/>
          <w:rtl/>
        </w:rPr>
        <w:t>)</w:t>
      </w:r>
      <w:r w:rsidRPr="00885058">
        <w:rPr>
          <w:rFonts w:ascii="Traditional Arabic" w:hAnsi="Traditional Arabic"/>
          <w:rtl/>
        </w:rPr>
        <w:t>. والخامس: أن الزكية: المطهرة، قاله أبو عبيدة</w:t>
      </w:r>
      <w:r w:rsidRPr="00885058">
        <w:rPr>
          <w:vertAlign w:val="superscript"/>
          <w:rtl/>
        </w:rPr>
        <w:t>(</w:t>
      </w:r>
      <w:r w:rsidRPr="00885058">
        <w:rPr>
          <w:vertAlign w:val="superscript"/>
          <w:rtl/>
        </w:rPr>
        <w:footnoteReference w:id="1680"/>
      </w:r>
      <w:r w:rsidRPr="00885058">
        <w:rPr>
          <w:vertAlign w:val="superscript"/>
          <w:rtl/>
        </w:rPr>
        <w:t>)</w:t>
      </w:r>
      <w:r w:rsidRPr="00885058">
        <w:rPr>
          <w:rFonts w:ascii="Traditional Arabic" w:hAnsi="Traditional Arabic"/>
          <w:rtl/>
        </w:rPr>
        <w:t>. والسادس: أن الزكية: البريئة التي لم يظهر ما</w:t>
      </w:r>
      <w:r w:rsidRPr="00885058">
        <w:rPr>
          <w:rFonts w:ascii="Traditional Arabic" w:hAnsi="Traditional Arabic" w:hint="cs"/>
          <w:rtl/>
        </w:rPr>
        <w:t xml:space="preserve"> </w:t>
      </w:r>
      <w:r w:rsidRPr="00885058">
        <w:rPr>
          <w:rFonts w:ascii="Traditional Arabic" w:hAnsi="Traditional Arabic"/>
          <w:rtl/>
        </w:rPr>
        <w:t>يوجب قتلها، قاله الزجاج</w:t>
      </w:r>
      <w:r w:rsidRPr="00885058">
        <w:rPr>
          <w:vertAlign w:val="superscript"/>
          <w:rtl/>
        </w:rPr>
        <w:t>(</w:t>
      </w:r>
      <w:r w:rsidRPr="00885058">
        <w:rPr>
          <w:vertAlign w:val="superscript"/>
          <w:rtl/>
        </w:rPr>
        <w:footnoteReference w:id="1681"/>
      </w:r>
      <w:r w:rsidRPr="00885058">
        <w:rPr>
          <w:vertAlign w:val="superscript"/>
          <w:rtl/>
        </w:rPr>
        <w:t>)</w:t>
      </w:r>
      <w:r w:rsidRPr="00885058">
        <w:rPr>
          <w:rFonts w:ascii="Traditional Arabic" w:hAnsi="Traditional Arabic"/>
          <w:rtl/>
        </w:rPr>
        <w:t>. وقد فَرَّق بعضهم بين الزاكية، والزكيَّة، فروي عن أبي عمرو بن العلاء</w:t>
      </w:r>
      <w:r w:rsidRPr="00885058">
        <w:rPr>
          <w:rFonts w:hint="cs"/>
          <w:rtl/>
        </w:rPr>
        <w:t xml:space="preserve"> </w:t>
      </w:r>
      <w:r w:rsidRPr="00885058">
        <w:rPr>
          <w:rFonts w:ascii="Traditional Arabic" w:hAnsi="Traditional Arabic"/>
          <w:rtl/>
        </w:rPr>
        <w:t>أنه قال: الزاكية: التي لم تذنب قطُّ، والزكية: التي أذنبت ثم تابت</w:t>
      </w:r>
      <w:r w:rsidRPr="00885058">
        <w:rPr>
          <w:vertAlign w:val="superscript"/>
          <w:rtl/>
        </w:rPr>
        <w:t>(</w:t>
      </w:r>
      <w:r w:rsidRPr="00885058">
        <w:rPr>
          <w:vertAlign w:val="superscript"/>
          <w:rtl/>
        </w:rPr>
        <w:footnoteReference w:id="1682"/>
      </w:r>
      <w:r w:rsidRPr="00885058">
        <w:rPr>
          <w:vertAlign w:val="superscript"/>
          <w:rtl/>
        </w:rPr>
        <w:t>)</w:t>
      </w:r>
      <w:r w:rsidRPr="00885058">
        <w:rPr>
          <w:rFonts w:ascii="Traditional Arabic" w:hAnsi="Traditional Arabic"/>
          <w:rtl/>
        </w:rPr>
        <w:t>. وروي عن أبي عبيدة أنه قال: الزاكية في البدن، والزكية في الدِّين</w:t>
      </w:r>
      <w:r w:rsidRPr="00885058">
        <w:rPr>
          <w:vertAlign w:val="superscript"/>
          <w:rtl/>
        </w:rPr>
        <w:t>(</w:t>
      </w:r>
      <w:r w:rsidRPr="00885058">
        <w:rPr>
          <w:vertAlign w:val="superscript"/>
          <w:rtl/>
        </w:rPr>
        <w:footnoteReference w:id="1683"/>
      </w:r>
      <w:r w:rsidRPr="00885058">
        <w:rPr>
          <w:vertAlign w:val="superscript"/>
          <w:rtl/>
        </w:rPr>
        <w:t>)</w:t>
      </w:r>
      <w:r w:rsidRPr="00885058">
        <w:rPr>
          <w:rFonts w:ascii="Traditional Arabic" w:hAnsi="Traditional Arabic"/>
          <w:rtl/>
        </w:rPr>
        <w:t>.</w:t>
      </w:r>
    </w:p>
    <w:p w:rsidR="00885058" w:rsidRPr="00885058" w:rsidRDefault="00885058" w:rsidP="00B40209">
      <w:pPr>
        <w:ind w:firstLine="0"/>
        <w:rPr>
          <w:rFonts w:ascii="Traditional Arabic" w:hAnsi="Traditional Arabic"/>
          <w:rtl/>
        </w:rPr>
      </w:pPr>
      <w:r w:rsidRPr="00885058">
        <w:rPr>
          <w:rFonts w:ascii="Traditional Arabic" w:hAnsi="Traditional Arabic"/>
          <w:rtl/>
        </w:rPr>
        <w:t>قوله تعالى:</w:t>
      </w:r>
      <w:r w:rsidRPr="00885058">
        <w:rPr>
          <w:rFonts w:ascii="QCF_BSML" w:hAnsi="QCF_BSML" w:cs="QCF_BSML"/>
          <w:color w:val="auto"/>
          <w:sz w:val="32"/>
          <w:szCs w:val="32"/>
          <w:rtl/>
          <w:lang w:eastAsia="en-US"/>
        </w:rPr>
        <w:t xml:space="preserve"> ﭽ</w:t>
      </w:r>
      <w:r w:rsidRPr="00885058">
        <w:rPr>
          <w:rFonts w:ascii="QCF_P301" w:hAnsi="QCF_P301" w:cs="QCF_P301"/>
          <w:color w:val="auto"/>
          <w:sz w:val="32"/>
          <w:szCs w:val="32"/>
          <w:rtl/>
          <w:lang w:eastAsia="en-US"/>
        </w:rPr>
        <w:t xml:space="preserve"> ﰐ        ﰑ</w:t>
      </w:r>
      <w:r w:rsidRPr="00885058">
        <w:rPr>
          <w:rFonts w:ascii="QCF_P301" w:hAnsi="QCF_P301" w:cs="QCF_P301" w:hint="cs"/>
          <w:color w:val="auto"/>
          <w:sz w:val="32"/>
          <w:szCs w:val="32"/>
          <w:rtl/>
          <w:lang w:eastAsia="en-US"/>
        </w:rPr>
        <w:t xml:space="preserve"> </w:t>
      </w:r>
      <w:r w:rsidRPr="00885058">
        <w:rPr>
          <w:rFonts w:ascii="QCF_BSML" w:hAnsi="QCF_BSML" w:cs="QCF_BSML"/>
          <w:sz w:val="32"/>
          <w:szCs w:val="32"/>
          <w:rtl/>
          <w:lang w:eastAsia="en-US"/>
        </w:rPr>
        <w:t>ﭼ</w:t>
      </w:r>
      <w:r w:rsidRPr="00885058">
        <w:rPr>
          <w:rFonts w:ascii="QCF_BSML" w:hAnsi="QCF_BSML" w:cs="QCF_BSML" w:hint="cs"/>
          <w:sz w:val="32"/>
          <w:szCs w:val="32"/>
          <w:rtl/>
          <w:lang w:eastAsia="en-US"/>
        </w:rPr>
        <w:t xml:space="preserve">  </w:t>
      </w:r>
      <w:r w:rsidRPr="00885058">
        <w:rPr>
          <w:rFonts w:ascii="QCF_P301" w:hAnsi="QCF_P301" w:cs="QCF_P301"/>
          <w:color w:val="auto"/>
          <w:sz w:val="32"/>
          <w:szCs w:val="32"/>
          <w:rtl/>
          <w:lang w:eastAsia="en-US"/>
        </w:rPr>
        <w:t xml:space="preserve">  </w:t>
      </w:r>
      <w:r w:rsidRPr="00885058">
        <w:rPr>
          <w:rFonts w:ascii="Traditional Arabic" w:hAnsi="Traditional Arabic"/>
          <w:rtl/>
        </w:rPr>
        <w:t xml:space="preserve">أي: بغير قتل نفس </w:t>
      </w:r>
      <w:r w:rsidRPr="00885058">
        <w:rPr>
          <w:rFonts w:ascii="QCF_BSML" w:hAnsi="QCF_BSML" w:cs="QCF_BSML"/>
          <w:color w:val="auto"/>
          <w:sz w:val="32"/>
          <w:szCs w:val="32"/>
          <w:rtl/>
          <w:lang w:eastAsia="en-US"/>
        </w:rPr>
        <w:t>ﭽ</w:t>
      </w:r>
      <w:r w:rsidRPr="00885058">
        <w:rPr>
          <w:rFonts w:ascii="QCF_BSML" w:hAnsi="QCF_BSML" w:cs="QCF_BSML" w:hint="cs"/>
          <w:color w:val="auto"/>
          <w:sz w:val="32"/>
          <w:szCs w:val="32"/>
          <w:rtl/>
          <w:lang w:eastAsia="en-US"/>
        </w:rPr>
        <w:t xml:space="preserve"> </w:t>
      </w:r>
      <w:r w:rsidRPr="00885058">
        <w:rPr>
          <w:rFonts w:ascii="QCF_P301" w:hAnsi="QCF_P301" w:cs="QCF_P301"/>
          <w:color w:val="auto"/>
          <w:sz w:val="32"/>
          <w:szCs w:val="32"/>
          <w:rtl/>
          <w:lang w:eastAsia="en-US"/>
        </w:rPr>
        <w:t xml:space="preserve">ﰒ  ﰓ  ﰔ  ﰕ  </w:t>
      </w:r>
      <w:r w:rsidRPr="00885058">
        <w:rPr>
          <w:rFonts w:ascii="QCF_BSML" w:hAnsi="QCF_BSML" w:cs="QCF_BSML"/>
          <w:sz w:val="32"/>
          <w:szCs w:val="32"/>
          <w:rtl/>
          <w:lang w:eastAsia="en-US"/>
        </w:rPr>
        <w:t>ﭼ</w:t>
      </w:r>
      <w:r w:rsidRPr="00885058">
        <w:rPr>
          <w:rFonts w:ascii="QCF_BSML" w:hAnsi="QCF_BSML" w:cs="QCF_BSML" w:hint="cs"/>
          <w:sz w:val="32"/>
          <w:szCs w:val="32"/>
          <w:rtl/>
          <w:lang w:eastAsia="en-US"/>
        </w:rPr>
        <w:t xml:space="preserve">   </w:t>
      </w:r>
      <w:r w:rsidRPr="00885058">
        <w:rPr>
          <w:rFonts w:ascii="Traditional Arabic" w:hAnsi="Traditional Arabic"/>
          <w:rtl/>
        </w:rPr>
        <w:t>قرأ ابن كثير، وأبو عمرو، وحمزة، والكسائي: نكْراً خفيفة في كل القرآن، إلّا قوله:</w:t>
      </w:r>
      <w:r w:rsidRPr="00885058">
        <w:rPr>
          <w:rFonts w:ascii="QCF_BSML" w:hAnsi="QCF_BSML" w:cs="QCF_BSML"/>
          <w:sz w:val="47"/>
          <w:szCs w:val="47"/>
          <w:rtl/>
          <w:lang w:eastAsia="en-US"/>
        </w:rPr>
        <w:t xml:space="preserve"> </w:t>
      </w:r>
      <w:r w:rsidRPr="00885058">
        <w:rPr>
          <w:rFonts w:ascii="QCF_BSML" w:hAnsi="QCF_BSML" w:cs="QCF_BSML"/>
          <w:sz w:val="32"/>
          <w:szCs w:val="32"/>
          <w:rtl/>
          <w:lang w:eastAsia="en-US"/>
        </w:rPr>
        <w:t xml:space="preserve">ﭽ </w:t>
      </w:r>
      <w:r w:rsidRPr="00885058">
        <w:rPr>
          <w:rFonts w:ascii="QCF_P528" w:hAnsi="QCF_P528" w:cs="QCF_P528"/>
          <w:sz w:val="32"/>
          <w:szCs w:val="32"/>
          <w:rtl/>
          <w:lang w:eastAsia="en-US"/>
        </w:rPr>
        <w:t xml:space="preserve">ﯷ  ﯸ  ﯹ  </w:t>
      </w:r>
      <w:r w:rsidRPr="00885058">
        <w:rPr>
          <w:rFonts w:ascii="QCF_BSML" w:hAnsi="QCF_BSML" w:cs="QCF_BSML"/>
          <w:sz w:val="32"/>
          <w:szCs w:val="32"/>
          <w:rtl/>
          <w:lang w:eastAsia="en-US"/>
        </w:rPr>
        <w:t>ﭼ</w:t>
      </w:r>
      <w:r w:rsidRPr="00885058">
        <w:rPr>
          <w:rFonts w:ascii="Arial" w:hAnsi="Arial" w:cs="Arial"/>
          <w:sz w:val="18"/>
          <w:szCs w:val="18"/>
          <w:rtl/>
          <w:lang w:eastAsia="en-US"/>
        </w:rPr>
        <w:t xml:space="preserve"> </w:t>
      </w:r>
      <w:r w:rsidRPr="00885058">
        <w:rPr>
          <w:rFonts w:ascii="Traditional Arabic" w:hAnsi="Traditional Arabic" w:hint="cs"/>
          <w:sz w:val="32"/>
          <w:szCs w:val="32"/>
          <w:rtl/>
        </w:rPr>
        <w:t>[</w:t>
      </w:r>
      <w:r w:rsidRPr="00885058">
        <w:rPr>
          <w:rFonts w:ascii="Traditional Arabic" w:hAnsi="Traditional Arabic"/>
          <w:sz w:val="32"/>
          <w:szCs w:val="32"/>
          <w:rtl/>
        </w:rPr>
        <w:t>سورة القمر:6</w:t>
      </w:r>
      <w:r w:rsidRPr="00885058">
        <w:rPr>
          <w:rFonts w:ascii="Traditional Arabic" w:hAnsi="Traditional Arabic" w:hint="cs"/>
          <w:sz w:val="32"/>
          <w:szCs w:val="32"/>
          <w:rtl/>
        </w:rPr>
        <w:t>]</w:t>
      </w:r>
      <w:r w:rsidRPr="00885058">
        <w:rPr>
          <w:rFonts w:ascii="Traditional Arabic" w:hAnsi="Traditional Arabic"/>
          <w:sz w:val="32"/>
          <w:szCs w:val="32"/>
          <w:rtl/>
        </w:rPr>
        <w:t>.</w:t>
      </w:r>
      <w:r w:rsidRPr="00885058">
        <w:rPr>
          <w:rFonts w:ascii="Traditional Arabic" w:hAnsi="Traditional Arabic"/>
          <w:rtl/>
        </w:rPr>
        <w:t xml:space="preserve"> وخفف ابن كثير أيضاً «إِلى شيء نُكْر». وقرأ ابن عامر، وأبو بكر عن عاصم: «نُكُراً» و «إِلى شيء نُكْر». مثقل</w:t>
      </w:r>
      <w:r w:rsidRPr="00885058">
        <w:rPr>
          <w:rFonts w:ascii="Traditional Arabic" w:hAnsi="Traditional Arabic" w:hint="cs"/>
          <w:rtl/>
        </w:rPr>
        <w:t>,</w:t>
      </w:r>
      <w:r w:rsidRPr="00885058">
        <w:rPr>
          <w:rFonts w:ascii="Traditional Arabic" w:hAnsi="Traditional Arabic"/>
          <w:rtl/>
        </w:rPr>
        <w:t xml:space="preserve"> والمخفف إِنما هو من المثقل، كالعُنْق، والعُنُق، والنُكْر، والنُكُر</w:t>
      </w:r>
      <w:r w:rsidRPr="00885058">
        <w:rPr>
          <w:vertAlign w:val="superscript"/>
          <w:rtl/>
        </w:rPr>
        <w:t>(</w:t>
      </w:r>
      <w:r w:rsidRPr="00885058">
        <w:rPr>
          <w:vertAlign w:val="superscript"/>
          <w:rtl/>
        </w:rPr>
        <w:footnoteReference w:id="1684"/>
      </w:r>
      <w:r w:rsidRPr="00885058">
        <w:rPr>
          <w:vertAlign w:val="superscript"/>
          <w:rtl/>
        </w:rPr>
        <w:t>)</w:t>
      </w:r>
      <w:r w:rsidRPr="00885058">
        <w:rPr>
          <w:rFonts w:ascii="Traditional Arabic" w:hAnsi="Traditional Arabic"/>
          <w:rtl/>
        </w:rPr>
        <w:t>. قال الزجاج: والمعنى: لقد أتيت شيئاً نكراً.</w:t>
      </w:r>
      <w:r w:rsidRPr="00885058">
        <w:rPr>
          <w:rFonts w:ascii="Traditional Arabic" w:hAnsi="Traditional Arabic" w:hint="cs"/>
          <w:rtl/>
        </w:rPr>
        <w:t xml:space="preserve"> </w:t>
      </w:r>
      <w:r w:rsidRPr="00885058">
        <w:rPr>
          <w:rFonts w:ascii="Traditional Arabic" w:hAnsi="Traditional Arabic"/>
          <w:sz w:val="32"/>
          <w:szCs w:val="32"/>
          <w:rtl/>
        </w:rPr>
        <w:t>[</w:t>
      </w:r>
      <w:r w:rsidRPr="00885058">
        <w:rPr>
          <w:rFonts w:ascii="Traditional Arabic" w:hAnsi="Traditional Arabic" w:hint="cs"/>
          <w:sz w:val="32"/>
          <w:szCs w:val="32"/>
          <w:rtl/>
        </w:rPr>
        <w:t>139</w:t>
      </w:r>
      <w:r w:rsidRPr="00885058">
        <w:rPr>
          <w:rFonts w:ascii="Traditional Arabic" w:hAnsi="Traditional Arabic"/>
          <w:sz w:val="32"/>
          <w:szCs w:val="32"/>
          <w:rtl/>
        </w:rPr>
        <w:t>]</w:t>
      </w:r>
      <w:r w:rsidRPr="00885058">
        <w:rPr>
          <w:rFonts w:ascii="Traditional Arabic" w:hAnsi="Traditional Arabic"/>
          <w:rtl/>
        </w:rPr>
        <w:t xml:space="preserve"> ويجوز أن يكون معناه: جئت بشيء نكر، فلما حذف الباء، أفضى الفعل فنصب نكرا، ونكرا أقل منكراً من قوله:</w:t>
      </w:r>
      <w:r w:rsidR="00B40209" w:rsidRPr="00B40209">
        <w:rPr>
          <w:rFonts w:ascii="QCF_BSML" w:hAnsi="QCF_BSML" w:cs="QCF_BSML"/>
          <w:color w:val="auto"/>
          <w:sz w:val="32"/>
          <w:szCs w:val="32"/>
          <w:rtl/>
          <w:lang w:eastAsia="en-US"/>
        </w:rPr>
        <w:t xml:space="preserve"> </w:t>
      </w:r>
      <w:r w:rsidR="00B40209" w:rsidRPr="00885058">
        <w:rPr>
          <w:rFonts w:ascii="QCF_BSML" w:hAnsi="QCF_BSML" w:cs="QCF_BSML"/>
          <w:color w:val="auto"/>
          <w:sz w:val="32"/>
          <w:szCs w:val="32"/>
          <w:rtl/>
          <w:lang w:eastAsia="en-US"/>
        </w:rPr>
        <w:t>ﭽ</w:t>
      </w:r>
      <w:r w:rsidR="00B40209" w:rsidRPr="00885058">
        <w:rPr>
          <w:rFonts w:ascii="QCF_P301" w:hAnsi="QCF_P301" w:cs="QCF_P301"/>
          <w:color w:val="auto"/>
          <w:sz w:val="32"/>
          <w:szCs w:val="32"/>
          <w:rtl/>
          <w:lang w:eastAsia="en-US"/>
        </w:rPr>
        <w:t>ﯰ</w:t>
      </w:r>
      <w:r w:rsidR="00B40209" w:rsidRPr="00885058">
        <w:rPr>
          <w:rFonts w:ascii="QCF_P301" w:hAnsi="QCF_P301" w:cs="QCF_P301" w:hint="cs"/>
          <w:color w:val="auto"/>
          <w:sz w:val="32"/>
          <w:szCs w:val="32"/>
          <w:rtl/>
          <w:lang w:eastAsia="en-US"/>
        </w:rPr>
        <w:t xml:space="preserve"> </w:t>
      </w:r>
      <w:r w:rsidR="00B40209" w:rsidRPr="00885058">
        <w:rPr>
          <w:rFonts w:ascii="QCF_BSML" w:hAnsi="QCF_BSML" w:cs="QCF_BSML"/>
          <w:sz w:val="32"/>
          <w:szCs w:val="32"/>
          <w:rtl/>
          <w:lang w:eastAsia="en-US"/>
        </w:rPr>
        <w:t>ﭼ</w:t>
      </w:r>
      <w:r w:rsidR="00B40209" w:rsidRPr="00885058">
        <w:rPr>
          <w:rFonts w:ascii="Traditional Arabic" w:hAnsi="Traditional Arabic"/>
          <w:rtl/>
        </w:rPr>
        <w:t xml:space="preserve"> </w:t>
      </w:r>
      <w:r w:rsidRPr="00885058">
        <w:rPr>
          <w:rFonts w:ascii="Traditional Arabic" w:hAnsi="Traditional Arabic"/>
          <w:rtl/>
        </w:rPr>
        <w:lastRenderedPageBreak/>
        <w:t>لأن تغريق مَنْ في السفينة كان عنده أنكر من قتل نفس واحدة</w:t>
      </w:r>
      <w:r w:rsidRPr="00885058">
        <w:rPr>
          <w:vertAlign w:val="superscript"/>
          <w:rtl/>
        </w:rPr>
        <w:t>(</w:t>
      </w:r>
      <w:r w:rsidRPr="00885058">
        <w:rPr>
          <w:vertAlign w:val="superscript"/>
          <w:rtl/>
        </w:rPr>
        <w:footnoteReference w:id="1685"/>
      </w:r>
      <w:r w:rsidRPr="00885058">
        <w:rPr>
          <w:vertAlign w:val="superscript"/>
          <w:rtl/>
        </w:rPr>
        <w:t>)</w:t>
      </w:r>
      <w:r w:rsidRPr="00885058">
        <w:rPr>
          <w:rFonts w:ascii="Traditional Arabic" w:hAnsi="Traditional Arabic"/>
          <w:rtl/>
        </w:rPr>
        <w:t>.</w:t>
      </w:r>
    </w:p>
    <w:p w:rsidR="00885058" w:rsidRPr="00885058" w:rsidRDefault="00885058" w:rsidP="00885058">
      <w:pPr>
        <w:ind w:firstLine="0"/>
        <w:rPr>
          <w:rFonts w:ascii="Traditional Arabic" w:hAnsi="Traditional Arabic"/>
          <w:rtl/>
        </w:rPr>
      </w:pPr>
      <w:r w:rsidRPr="00885058">
        <w:rPr>
          <w:rFonts w:ascii="Traditional Arabic" w:hAnsi="Traditional Arabic"/>
          <w:rtl/>
        </w:rPr>
        <w:t xml:space="preserve">قوله تعالى: </w:t>
      </w:r>
      <w:r w:rsidRPr="00885058">
        <w:rPr>
          <w:rFonts w:ascii="QCF_BSML" w:hAnsi="QCF_BSML" w:cs="QCF_BSML"/>
          <w:color w:val="auto"/>
          <w:sz w:val="32"/>
          <w:szCs w:val="32"/>
          <w:rtl/>
          <w:lang w:eastAsia="en-US"/>
        </w:rPr>
        <w:t>ﭽ</w:t>
      </w:r>
      <w:r w:rsidRPr="00885058">
        <w:rPr>
          <w:rFonts w:ascii="QCF_P302" w:hAnsi="QCF_P302" w:cs="QCF_P302" w:hint="cs"/>
          <w:color w:val="auto"/>
          <w:sz w:val="32"/>
          <w:szCs w:val="32"/>
          <w:rtl/>
          <w:lang w:eastAsia="en-US"/>
        </w:rPr>
        <w:t xml:space="preserve"> </w:t>
      </w:r>
      <w:r w:rsidRPr="00885058">
        <w:rPr>
          <w:rFonts w:ascii="QCF_P302" w:hAnsi="QCF_P302" w:cs="QCF_P302"/>
          <w:color w:val="auto"/>
          <w:sz w:val="32"/>
          <w:szCs w:val="32"/>
          <w:rtl/>
          <w:lang w:eastAsia="en-US"/>
        </w:rPr>
        <w:t>ﭒ  ﭓ  ﭔ  ﭕ</w:t>
      </w:r>
      <w:r w:rsidRPr="00885058">
        <w:rPr>
          <w:rFonts w:ascii="QCF_P302" w:hAnsi="QCF_P302" w:cs="QCF_P302" w:hint="cs"/>
          <w:color w:val="auto"/>
          <w:sz w:val="32"/>
          <w:szCs w:val="32"/>
          <w:rtl/>
          <w:lang w:eastAsia="en-US"/>
        </w:rPr>
        <w:t xml:space="preserve"> </w:t>
      </w:r>
      <w:r w:rsidRPr="00885058">
        <w:rPr>
          <w:rFonts w:ascii="QCF_BSML" w:hAnsi="QCF_BSML" w:cs="QCF_BSML"/>
          <w:sz w:val="32"/>
          <w:szCs w:val="32"/>
          <w:rtl/>
          <w:lang w:eastAsia="en-US"/>
        </w:rPr>
        <w:t>ﭼ</w:t>
      </w:r>
      <w:r w:rsidRPr="00885058">
        <w:rPr>
          <w:rFonts w:ascii="QCF_P302" w:hAnsi="QCF_P302" w:cs="QCF_P302"/>
          <w:color w:val="auto"/>
          <w:sz w:val="32"/>
          <w:szCs w:val="32"/>
          <w:rtl/>
          <w:lang w:eastAsia="en-US"/>
        </w:rPr>
        <w:t xml:space="preserve">  </w:t>
      </w:r>
      <w:r w:rsidRPr="00885058">
        <w:rPr>
          <w:rFonts w:ascii="Traditional Arabic" w:hAnsi="Traditional Arabic"/>
          <w:rtl/>
        </w:rPr>
        <w:t xml:space="preserve"> إِن قيل: لم ذكر لَكَ ها هنا، واختزله من الموضع الذي قبله؟</w:t>
      </w:r>
    </w:p>
    <w:p w:rsidR="00885058" w:rsidRPr="00885058" w:rsidRDefault="00885058" w:rsidP="00885058">
      <w:pPr>
        <w:ind w:firstLine="0"/>
        <w:rPr>
          <w:rFonts w:ascii="Traditional Arabic" w:hAnsi="Traditional Arabic"/>
          <w:rtl/>
        </w:rPr>
      </w:pPr>
      <w:r w:rsidRPr="00885058">
        <w:rPr>
          <w:rFonts w:ascii="Traditional Arabic" w:hAnsi="Traditional Arabic"/>
          <w:rtl/>
        </w:rPr>
        <w:t>فالجواب: أن إثباته للتّوكيد، واختزاله له لوضوح المعنى، وكلاهما معروف عند الفصحاء</w:t>
      </w:r>
      <w:r w:rsidRPr="00885058">
        <w:rPr>
          <w:vertAlign w:val="superscript"/>
          <w:rtl/>
        </w:rPr>
        <w:t>(</w:t>
      </w:r>
      <w:r w:rsidRPr="00885058">
        <w:rPr>
          <w:vertAlign w:val="superscript"/>
          <w:rtl/>
        </w:rPr>
        <w:footnoteReference w:id="1686"/>
      </w:r>
      <w:r w:rsidRPr="00885058">
        <w:rPr>
          <w:vertAlign w:val="superscript"/>
          <w:rtl/>
        </w:rPr>
        <w:t>)</w:t>
      </w:r>
      <w:r w:rsidRPr="00885058">
        <w:rPr>
          <w:rFonts w:ascii="Traditional Arabic" w:hAnsi="Traditional Arabic"/>
          <w:rtl/>
        </w:rPr>
        <w:t>. تقول العرب: قد قلت لك: اتق الله. وقد قلت لك: يا فلان اتق الله، وأنشد ثعلب:</w:t>
      </w:r>
    </w:p>
    <w:p w:rsidR="00885058" w:rsidRPr="00885058" w:rsidRDefault="00885058" w:rsidP="00885058">
      <w:pPr>
        <w:ind w:firstLine="0"/>
        <w:rPr>
          <w:rFonts w:ascii="Traditional Arabic" w:hAnsi="Traditional Arabic"/>
          <w:rtl/>
        </w:rPr>
      </w:pPr>
      <w:r w:rsidRPr="00885058">
        <w:rPr>
          <w:rFonts w:ascii="Traditional Arabic" w:hAnsi="Traditional Arabic"/>
          <w:rtl/>
        </w:rPr>
        <w:t>قد كنتُ حَذَّرْتُكَ آلَ المصْطَلِقْ</w:t>
      </w:r>
      <w:r w:rsidR="006B013D" w:rsidRPr="006B013D">
        <w:rPr>
          <w:rStyle w:val="ae"/>
          <w:rtl/>
        </w:rPr>
        <w:t>(</w:t>
      </w:r>
      <w:r w:rsidR="006B013D">
        <w:rPr>
          <w:rStyle w:val="ae"/>
          <w:rtl/>
        </w:rPr>
        <w:footnoteReference w:id="1687"/>
      </w:r>
      <w:r w:rsidR="006B013D" w:rsidRPr="006B013D">
        <w:rPr>
          <w:rStyle w:val="ae"/>
          <w:rtl/>
        </w:rPr>
        <w:t>)</w:t>
      </w:r>
      <w:r w:rsidRPr="00885058">
        <w:rPr>
          <w:rFonts w:ascii="Traditional Arabic" w:hAnsi="Traditional Arabic"/>
          <w:rtl/>
        </w:rPr>
        <w:t>... وقلتُ: يا هَذا أَطِعْنِي وَانْطَلِقْ</w:t>
      </w:r>
      <w:r w:rsidRPr="00885058">
        <w:rPr>
          <w:vertAlign w:val="superscript"/>
          <w:rtl/>
        </w:rPr>
        <w:t>(</w:t>
      </w:r>
      <w:r w:rsidRPr="00885058">
        <w:rPr>
          <w:vertAlign w:val="superscript"/>
          <w:rtl/>
        </w:rPr>
        <w:footnoteReference w:id="1688"/>
      </w:r>
      <w:r w:rsidRPr="00885058">
        <w:rPr>
          <w:vertAlign w:val="superscript"/>
          <w:rtl/>
        </w:rPr>
        <w:t>)</w:t>
      </w:r>
    </w:p>
    <w:p w:rsidR="00885058" w:rsidRPr="00885058" w:rsidRDefault="00885058" w:rsidP="00885058">
      <w:pPr>
        <w:ind w:firstLine="0"/>
        <w:rPr>
          <w:rFonts w:ascii="Traditional Arabic" w:hAnsi="Traditional Arabic"/>
          <w:rtl/>
        </w:rPr>
      </w:pPr>
      <w:r w:rsidRPr="00885058">
        <w:rPr>
          <w:rFonts w:ascii="Traditional Arabic" w:hAnsi="Traditional Arabic"/>
          <w:rtl/>
        </w:rPr>
        <w:t>فقوله: يا هذا، توكيد لا يختل الكلام بسقوطه. وسمعت الشيخ أبا محمد الخشاب</w:t>
      </w:r>
      <w:r w:rsidRPr="00885058">
        <w:rPr>
          <w:vertAlign w:val="superscript"/>
          <w:rtl/>
        </w:rPr>
        <w:t>(</w:t>
      </w:r>
      <w:r w:rsidRPr="00885058">
        <w:rPr>
          <w:vertAlign w:val="superscript"/>
          <w:rtl/>
        </w:rPr>
        <w:footnoteReference w:id="1689"/>
      </w:r>
      <w:r w:rsidRPr="00885058">
        <w:rPr>
          <w:vertAlign w:val="superscript"/>
          <w:rtl/>
        </w:rPr>
        <w:t>)</w:t>
      </w:r>
      <w:r w:rsidRPr="00885058">
        <w:rPr>
          <w:rFonts w:ascii="Traditional Arabic" w:hAnsi="Traditional Arabic"/>
          <w:rtl/>
        </w:rPr>
        <w:t>يقول: وقَّره في الأول، فلم يواجهه بكاف الخطاب، فلما خالف في الثاني، واجهه بها</w:t>
      </w:r>
      <w:r w:rsidRPr="00885058">
        <w:rPr>
          <w:vertAlign w:val="superscript"/>
          <w:rtl/>
        </w:rPr>
        <w:t>(</w:t>
      </w:r>
      <w:r w:rsidRPr="00885058">
        <w:rPr>
          <w:vertAlign w:val="superscript"/>
          <w:rtl/>
        </w:rPr>
        <w:footnoteReference w:id="1690"/>
      </w:r>
      <w:r w:rsidRPr="00885058">
        <w:rPr>
          <w:vertAlign w:val="superscript"/>
          <w:rtl/>
        </w:rPr>
        <w:t>)</w:t>
      </w:r>
      <w:r w:rsidRPr="00885058">
        <w:rPr>
          <w:rFonts w:ascii="Traditional Arabic" w:hAnsi="Traditional Arabic"/>
          <w:rtl/>
        </w:rPr>
        <w:t>.</w:t>
      </w:r>
    </w:p>
    <w:p w:rsidR="00885058" w:rsidRPr="00885058" w:rsidRDefault="00885058" w:rsidP="00237681">
      <w:pPr>
        <w:ind w:firstLine="0"/>
        <w:rPr>
          <w:rFonts w:ascii="Traditional Arabic" w:hAnsi="Traditional Arabic"/>
          <w:rtl/>
        </w:rPr>
      </w:pPr>
      <w:r w:rsidRPr="00885058">
        <w:rPr>
          <w:rFonts w:ascii="Traditional Arabic" w:hAnsi="Traditional Arabic"/>
          <w:rtl/>
        </w:rPr>
        <w:t xml:space="preserve">قوله تعالى: </w:t>
      </w:r>
      <w:r w:rsidRPr="00885058">
        <w:rPr>
          <w:rFonts w:ascii="QCF_BSML" w:hAnsi="QCF_BSML" w:cs="QCF_BSML"/>
          <w:color w:val="auto"/>
          <w:sz w:val="32"/>
          <w:szCs w:val="32"/>
          <w:rtl/>
          <w:lang w:eastAsia="en-US"/>
        </w:rPr>
        <w:t>ﭽ</w:t>
      </w:r>
      <w:r w:rsidRPr="00885058">
        <w:rPr>
          <w:rFonts w:ascii="QCF_P302" w:hAnsi="QCF_P302" w:cs="QCF_P302"/>
          <w:color w:val="auto"/>
          <w:sz w:val="32"/>
          <w:szCs w:val="32"/>
          <w:rtl/>
          <w:lang w:eastAsia="en-US"/>
        </w:rPr>
        <w:t>ﭝ  ﭞ  ﭟ  ﭠ</w:t>
      </w:r>
      <w:r w:rsidRPr="00885058">
        <w:rPr>
          <w:rFonts w:ascii="QCF_BSML" w:hAnsi="QCF_BSML" w:cs="QCF_BSML"/>
          <w:sz w:val="32"/>
          <w:szCs w:val="32"/>
          <w:rtl/>
          <w:lang w:eastAsia="en-US"/>
        </w:rPr>
        <w:t>ﭼ</w:t>
      </w:r>
      <w:r w:rsidRPr="00885058">
        <w:rPr>
          <w:rFonts w:ascii="QCF_P302" w:hAnsi="QCF_P302" w:cs="QCF_P302"/>
          <w:color w:val="auto"/>
          <w:sz w:val="32"/>
          <w:szCs w:val="32"/>
          <w:rtl/>
          <w:lang w:eastAsia="en-US"/>
        </w:rPr>
        <w:t xml:space="preserve">  </w:t>
      </w:r>
      <w:r w:rsidRPr="00885058">
        <w:rPr>
          <w:rFonts w:ascii="Traditional Arabic" w:hAnsi="Traditional Arabic"/>
          <w:rtl/>
        </w:rPr>
        <w:t xml:space="preserve">أي: سؤال توبيخ وإِنكار </w:t>
      </w:r>
      <w:r w:rsidRPr="00885058">
        <w:rPr>
          <w:rFonts w:ascii="QCF_BSML" w:hAnsi="QCF_BSML" w:cs="QCF_BSML"/>
          <w:color w:val="auto"/>
          <w:sz w:val="32"/>
          <w:szCs w:val="32"/>
          <w:rtl/>
          <w:lang w:eastAsia="en-US"/>
        </w:rPr>
        <w:t>ﭽ</w:t>
      </w:r>
      <w:r w:rsidRPr="00885058">
        <w:rPr>
          <w:rFonts w:ascii="QCF_P302" w:hAnsi="QCF_P302" w:cs="QCF_P302"/>
          <w:color w:val="auto"/>
          <w:sz w:val="32"/>
          <w:szCs w:val="32"/>
          <w:rtl/>
          <w:lang w:eastAsia="en-US"/>
        </w:rPr>
        <w:t>ﭡ</w:t>
      </w:r>
      <w:r w:rsidRPr="00885058">
        <w:rPr>
          <w:rFonts w:ascii="QCF_BSML" w:hAnsi="QCF_BSML" w:cs="QCF_BSML"/>
          <w:sz w:val="32"/>
          <w:szCs w:val="32"/>
          <w:rtl/>
          <w:lang w:eastAsia="en-US"/>
        </w:rPr>
        <w:t>ﭼ</w:t>
      </w:r>
      <w:r w:rsidRPr="00885058">
        <w:rPr>
          <w:rFonts w:ascii="QCF_P302" w:hAnsi="QCF_P302" w:cs="QCF_P302"/>
          <w:color w:val="auto"/>
          <w:sz w:val="32"/>
          <w:szCs w:val="32"/>
          <w:rtl/>
          <w:lang w:eastAsia="en-US"/>
        </w:rPr>
        <w:t xml:space="preserve"> </w:t>
      </w:r>
      <w:r w:rsidRPr="00885058">
        <w:rPr>
          <w:rFonts w:ascii="Traditional Arabic" w:hAnsi="Traditional Arabic"/>
          <w:rtl/>
        </w:rPr>
        <w:t xml:space="preserve">أي: بعد هذه المسألة </w:t>
      </w:r>
      <w:r w:rsidRPr="00885058">
        <w:rPr>
          <w:rFonts w:ascii="QCF_BSML" w:hAnsi="QCF_BSML" w:cs="QCF_BSML"/>
          <w:color w:val="auto"/>
          <w:sz w:val="32"/>
          <w:szCs w:val="32"/>
          <w:rtl/>
          <w:lang w:eastAsia="en-US"/>
        </w:rPr>
        <w:t>ﭽ</w:t>
      </w:r>
      <w:r w:rsidRPr="00885058">
        <w:rPr>
          <w:rFonts w:ascii="QCF_P302" w:hAnsi="QCF_P302" w:cs="QCF_P302"/>
          <w:color w:val="auto"/>
          <w:sz w:val="32"/>
          <w:szCs w:val="32"/>
          <w:rtl/>
          <w:lang w:eastAsia="en-US"/>
        </w:rPr>
        <w:t xml:space="preserve">ﭢ  ﭣﭤ </w:t>
      </w:r>
      <w:r w:rsidRPr="00885058">
        <w:rPr>
          <w:rFonts w:ascii="QCF_BSML" w:hAnsi="QCF_BSML" w:cs="QCF_BSML"/>
          <w:sz w:val="32"/>
          <w:szCs w:val="32"/>
          <w:rtl/>
          <w:lang w:eastAsia="en-US"/>
        </w:rPr>
        <w:t>ﭼ</w:t>
      </w:r>
      <w:r w:rsidRPr="00885058">
        <w:rPr>
          <w:rFonts w:ascii="QCF_BSML" w:hAnsi="QCF_BSML" w:cs="QCF_BSML" w:hint="cs"/>
          <w:sz w:val="32"/>
          <w:szCs w:val="32"/>
          <w:rtl/>
          <w:lang w:eastAsia="en-US"/>
        </w:rPr>
        <w:t xml:space="preserve">  </w:t>
      </w:r>
      <w:r w:rsidRPr="00885058">
        <w:rPr>
          <w:rFonts w:ascii="QCF_P302" w:hAnsi="QCF_P302" w:cs="QCF_P302"/>
          <w:color w:val="auto"/>
          <w:sz w:val="32"/>
          <w:szCs w:val="32"/>
          <w:rtl/>
          <w:lang w:eastAsia="en-US"/>
        </w:rPr>
        <w:t xml:space="preserve"> </w:t>
      </w:r>
      <w:r w:rsidRPr="00885058">
        <w:rPr>
          <w:rFonts w:ascii="Traditional Arabic" w:hAnsi="Traditional Arabic"/>
          <w:rtl/>
        </w:rPr>
        <w:t>وقرأ كذلك معاذ القارئ، وأبو نهيك</w:t>
      </w:r>
      <w:r w:rsidRPr="00885058">
        <w:rPr>
          <w:vertAlign w:val="superscript"/>
          <w:rtl/>
        </w:rPr>
        <w:t>(</w:t>
      </w:r>
      <w:r w:rsidRPr="00885058">
        <w:rPr>
          <w:vertAlign w:val="superscript"/>
          <w:rtl/>
        </w:rPr>
        <w:footnoteReference w:id="1691"/>
      </w:r>
      <w:r w:rsidRPr="00885058">
        <w:rPr>
          <w:vertAlign w:val="superscript"/>
          <w:rtl/>
        </w:rPr>
        <w:t>)</w:t>
      </w:r>
      <w:r w:rsidRPr="00885058">
        <w:rPr>
          <w:rFonts w:ascii="Traditional Arabic" w:hAnsi="Traditional Arabic"/>
          <w:rtl/>
        </w:rPr>
        <w:t>، وأبو المتوكل، والأعرج، إِلا أنهم شدَّدوا النون</w:t>
      </w:r>
      <w:r w:rsidRPr="00885058">
        <w:rPr>
          <w:vertAlign w:val="superscript"/>
          <w:rtl/>
        </w:rPr>
        <w:t>(</w:t>
      </w:r>
      <w:r w:rsidRPr="00885058">
        <w:rPr>
          <w:vertAlign w:val="superscript"/>
          <w:rtl/>
        </w:rPr>
        <w:footnoteReference w:id="1692"/>
      </w:r>
      <w:r w:rsidRPr="00885058">
        <w:rPr>
          <w:vertAlign w:val="superscript"/>
          <w:rtl/>
        </w:rPr>
        <w:t>)</w:t>
      </w:r>
      <w:r w:rsidRPr="00885058">
        <w:rPr>
          <w:rFonts w:ascii="Traditional Arabic" w:hAnsi="Traditional Arabic"/>
          <w:rtl/>
        </w:rPr>
        <w:t>. قال الزجاج: ومعناه: إِن طلبتُ صحبتك فلا تُتَابعني على ذلك</w:t>
      </w:r>
      <w:r w:rsidRPr="00885058">
        <w:rPr>
          <w:vertAlign w:val="superscript"/>
          <w:rtl/>
        </w:rPr>
        <w:t>(</w:t>
      </w:r>
      <w:r w:rsidRPr="00885058">
        <w:rPr>
          <w:vertAlign w:val="superscript"/>
          <w:rtl/>
        </w:rPr>
        <w:footnoteReference w:id="1693"/>
      </w:r>
      <w:r w:rsidRPr="00885058">
        <w:rPr>
          <w:vertAlign w:val="superscript"/>
          <w:rtl/>
        </w:rPr>
        <w:t>)</w:t>
      </w:r>
      <w:r w:rsidRPr="00885058">
        <w:rPr>
          <w:rFonts w:ascii="Traditional Arabic" w:hAnsi="Traditional Arabic"/>
          <w:rtl/>
        </w:rPr>
        <w:t>. وقرأ أُبيُّ بن كعب، وابن أبي عبلة، ويعقوب: «فلا تَصحبني» بفتح التاء من غير ألف</w:t>
      </w:r>
      <w:r w:rsidRPr="00885058">
        <w:rPr>
          <w:vertAlign w:val="superscript"/>
          <w:rtl/>
        </w:rPr>
        <w:t>(</w:t>
      </w:r>
      <w:r w:rsidRPr="00885058">
        <w:rPr>
          <w:vertAlign w:val="superscript"/>
          <w:rtl/>
        </w:rPr>
        <w:footnoteReference w:id="1694"/>
      </w:r>
      <w:r w:rsidRPr="00885058">
        <w:rPr>
          <w:vertAlign w:val="superscript"/>
          <w:rtl/>
        </w:rPr>
        <w:t>)</w:t>
      </w:r>
      <w:r w:rsidRPr="00885058">
        <w:rPr>
          <w:rFonts w:ascii="Traditional Arabic" w:hAnsi="Traditional Arabic"/>
          <w:rtl/>
        </w:rPr>
        <w:t xml:space="preserve">. وقرأ ابن </w:t>
      </w:r>
      <w:r w:rsidRPr="00885058">
        <w:rPr>
          <w:rFonts w:ascii="Traditional Arabic" w:hAnsi="Traditional Arabic"/>
          <w:rtl/>
        </w:rPr>
        <w:lastRenderedPageBreak/>
        <w:t>مسعود، وأبو العالية، والأعمش كذلك، إِلا أنهم شددوا النون</w:t>
      </w:r>
      <w:r w:rsidRPr="00885058">
        <w:rPr>
          <w:vertAlign w:val="superscript"/>
          <w:rtl/>
        </w:rPr>
        <w:t>(</w:t>
      </w:r>
      <w:r w:rsidRPr="00885058">
        <w:rPr>
          <w:vertAlign w:val="superscript"/>
          <w:rtl/>
        </w:rPr>
        <w:footnoteReference w:id="1695"/>
      </w:r>
      <w:r w:rsidRPr="00885058">
        <w:rPr>
          <w:vertAlign w:val="superscript"/>
          <w:rtl/>
        </w:rPr>
        <w:t>)</w:t>
      </w:r>
      <w:r w:rsidRPr="00885058">
        <w:rPr>
          <w:rFonts w:ascii="Traditional Arabic" w:hAnsi="Traditional Arabic"/>
          <w:rtl/>
        </w:rPr>
        <w:t>. وقرأ أبو رجاء، وأبو عثمان النهدي</w:t>
      </w:r>
      <w:r w:rsidRPr="00885058">
        <w:rPr>
          <w:vertAlign w:val="superscript"/>
          <w:rtl/>
        </w:rPr>
        <w:t>(</w:t>
      </w:r>
      <w:r w:rsidRPr="00885058">
        <w:rPr>
          <w:vertAlign w:val="superscript"/>
          <w:rtl/>
        </w:rPr>
        <w:footnoteReference w:id="1696"/>
      </w:r>
      <w:r w:rsidRPr="00885058">
        <w:rPr>
          <w:vertAlign w:val="superscript"/>
          <w:rtl/>
        </w:rPr>
        <w:t>)</w:t>
      </w:r>
      <w:r w:rsidRPr="00885058">
        <w:rPr>
          <w:rFonts w:ascii="Traditional Arabic" w:hAnsi="Traditional Arabic"/>
          <w:rtl/>
        </w:rPr>
        <w:t>، والنخعي، والجحدري: «تُصْحِبْني» بضم التاء، وكسر الحاء، وسكون الصاد والباء</w:t>
      </w:r>
      <w:r w:rsidRPr="00885058">
        <w:rPr>
          <w:vertAlign w:val="superscript"/>
          <w:rtl/>
        </w:rPr>
        <w:t>(</w:t>
      </w:r>
      <w:r w:rsidRPr="00885058">
        <w:rPr>
          <w:vertAlign w:val="superscript"/>
          <w:rtl/>
        </w:rPr>
        <w:footnoteReference w:id="1697"/>
      </w:r>
      <w:r w:rsidRPr="00885058">
        <w:rPr>
          <w:vertAlign w:val="superscript"/>
          <w:rtl/>
        </w:rPr>
        <w:t>)</w:t>
      </w:r>
      <w:r w:rsidRPr="00885058">
        <w:rPr>
          <w:rFonts w:ascii="Traditional Arabic" w:hAnsi="Traditional Arabic"/>
          <w:rtl/>
        </w:rPr>
        <w:t>. قال الزجاج: فيهما وجهان</w:t>
      </w:r>
      <w:r w:rsidRPr="00885058">
        <w:rPr>
          <w:vertAlign w:val="superscript"/>
          <w:rtl/>
        </w:rPr>
        <w:t>(</w:t>
      </w:r>
      <w:r w:rsidRPr="00885058">
        <w:rPr>
          <w:vertAlign w:val="superscript"/>
          <w:rtl/>
        </w:rPr>
        <w:footnoteReference w:id="1698"/>
      </w:r>
      <w:r w:rsidRPr="00885058">
        <w:rPr>
          <w:vertAlign w:val="superscript"/>
          <w:rtl/>
        </w:rPr>
        <w:t>)</w:t>
      </w:r>
      <w:r w:rsidRPr="00885058">
        <w:rPr>
          <w:rFonts w:ascii="Traditional Arabic" w:hAnsi="Traditional Arabic"/>
          <w:rtl/>
        </w:rPr>
        <w:t>: أحدهما: لا تتابعني في شيء ألتمسه منك. يقال: قد أصحب المهر: إِذا انقاد. والثاني: لا تصحبني علماً من علمك</w:t>
      </w:r>
      <w:r w:rsidRPr="00885058">
        <w:rPr>
          <w:vertAlign w:val="superscript"/>
          <w:rtl/>
        </w:rPr>
        <w:t>(</w:t>
      </w:r>
      <w:r w:rsidRPr="00885058">
        <w:rPr>
          <w:vertAlign w:val="superscript"/>
          <w:rtl/>
        </w:rPr>
        <w:footnoteReference w:id="1699"/>
      </w:r>
      <w:r w:rsidRPr="00885058">
        <w:rPr>
          <w:vertAlign w:val="superscript"/>
          <w:rtl/>
        </w:rPr>
        <w:t>)</w:t>
      </w:r>
      <w:r w:rsidRPr="00885058">
        <w:rPr>
          <w:rFonts w:ascii="Traditional Arabic" w:hAnsi="Traditional Arabic"/>
          <w:rtl/>
        </w:rPr>
        <w:t>.</w:t>
      </w:r>
      <w:r w:rsidRPr="00885058">
        <w:rPr>
          <w:rFonts w:ascii="QCF_BSML" w:hAnsi="QCF_BSML" w:cs="QCF_BSML"/>
          <w:color w:val="auto"/>
          <w:sz w:val="32"/>
          <w:szCs w:val="32"/>
          <w:rtl/>
          <w:lang w:eastAsia="en-US"/>
        </w:rPr>
        <w:t>ﭽ</w:t>
      </w:r>
      <w:r w:rsidRPr="00885058">
        <w:rPr>
          <w:rFonts w:ascii="QCF_BSML" w:hAnsi="QCF_BSML" w:cs="QCF_BSML" w:hint="cs"/>
          <w:color w:val="auto"/>
          <w:sz w:val="32"/>
          <w:szCs w:val="32"/>
          <w:rtl/>
          <w:lang w:eastAsia="en-US"/>
        </w:rPr>
        <w:t xml:space="preserve"> </w:t>
      </w:r>
      <w:r w:rsidRPr="00885058">
        <w:rPr>
          <w:rFonts w:ascii="QCF_P302" w:hAnsi="QCF_P302" w:cs="QCF_P302"/>
          <w:color w:val="auto"/>
          <w:sz w:val="32"/>
          <w:szCs w:val="32"/>
          <w:rtl/>
          <w:lang w:eastAsia="en-US"/>
        </w:rPr>
        <w:t>ﭥ  ﭦ  ﭧ  ﭨ</w:t>
      </w:r>
      <w:r w:rsidRPr="00885058">
        <w:rPr>
          <w:rFonts w:ascii="QCF_P302" w:hAnsi="QCF_P302" w:cs="QCF_P302" w:hint="cs"/>
          <w:color w:val="auto"/>
          <w:sz w:val="32"/>
          <w:szCs w:val="32"/>
          <w:rtl/>
          <w:lang w:eastAsia="en-US"/>
        </w:rPr>
        <w:t xml:space="preserve"> </w:t>
      </w:r>
      <w:r w:rsidRPr="00885058">
        <w:rPr>
          <w:rFonts w:ascii="QCF_BSML" w:hAnsi="QCF_BSML" w:cs="QCF_BSML"/>
          <w:sz w:val="32"/>
          <w:szCs w:val="32"/>
          <w:rtl/>
          <w:lang w:eastAsia="en-US"/>
        </w:rPr>
        <w:t>ﭼ</w:t>
      </w:r>
      <w:r w:rsidRPr="00885058">
        <w:rPr>
          <w:rFonts w:ascii="QCF_BSML" w:hAnsi="QCF_BSML" w:cs="QCF_BSML" w:hint="cs"/>
          <w:sz w:val="32"/>
          <w:szCs w:val="32"/>
          <w:rtl/>
          <w:lang w:eastAsia="en-US"/>
        </w:rPr>
        <w:t xml:space="preserve">  </w:t>
      </w:r>
      <w:r w:rsidRPr="00885058">
        <w:rPr>
          <w:rFonts w:ascii="QCF_P302" w:hAnsi="QCF_P302" w:cs="QCF_P302" w:hint="cs"/>
          <w:color w:val="auto"/>
          <w:sz w:val="32"/>
          <w:szCs w:val="32"/>
          <w:rtl/>
          <w:lang w:eastAsia="en-US"/>
        </w:rPr>
        <w:t xml:space="preserve"> </w:t>
      </w:r>
      <w:r w:rsidRPr="00885058">
        <w:rPr>
          <w:rFonts w:ascii="QCF_P302" w:hAnsi="QCF_P302" w:cs="QCF_P302"/>
          <w:color w:val="auto"/>
          <w:sz w:val="32"/>
          <w:szCs w:val="32"/>
          <w:rtl/>
          <w:lang w:eastAsia="en-US"/>
        </w:rPr>
        <w:t xml:space="preserve">  </w:t>
      </w:r>
      <w:r w:rsidRPr="00885058">
        <w:rPr>
          <w:rFonts w:ascii="Traditional Arabic" w:hAnsi="Traditional Arabic"/>
          <w:rtl/>
        </w:rPr>
        <w:t>قرأ ابن كثير، وأبو عمرو، وابن عامر، وحمزة،</w:t>
      </w:r>
      <w:r w:rsidRPr="00885058">
        <w:rPr>
          <w:rFonts w:ascii="Traditional Arabic" w:hAnsi="Traditional Arabic" w:hint="cs"/>
          <w:rtl/>
        </w:rPr>
        <w:t xml:space="preserve"> </w:t>
      </w:r>
      <w:r w:rsidRPr="00885058">
        <w:rPr>
          <w:rFonts w:ascii="Traditional Arabic" w:hAnsi="Traditional Arabic"/>
          <w:rtl/>
        </w:rPr>
        <w:t>والكسائي: مِنْ لَدُنِّي مثقل. وقرأ نافع: «من لدُني» بضم الدال مع تخفيف النون. وروى أبو بكر عن عاصم: «من لَدْني» بفتح اللام مع تسكين الدال. وفي رواية أخرى عن عاصم: «لُدْني» بضم اللام وتسكين الدال</w:t>
      </w:r>
      <w:r w:rsidRPr="00885058">
        <w:rPr>
          <w:vertAlign w:val="superscript"/>
          <w:rtl/>
        </w:rPr>
        <w:t>(</w:t>
      </w:r>
      <w:r w:rsidRPr="00885058">
        <w:rPr>
          <w:vertAlign w:val="superscript"/>
          <w:rtl/>
        </w:rPr>
        <w:footnoteReference w:id="1700"/>
      </w:r>
      <w:r w:rsidRPr="00885058">
        <w:rPr>
          <w:vertAlign w:val="superscript"/>
          <w:rtl/>
        </w:rPr>
        <w:t>)</w:t>
      </w:r>
      <w:r w:rsidRPr="00885058">
        <w:rPr>
          <w:rFonts w:ascii="Traditional Arabic" w:hAnsi="Traditional Arabic"/>
          <w:rtl/>
        </w:rPr>
        <w:t>. قال الزجاج: وأجودها تشديد النون، لأن أصل «لدن» الإِسكان، فاذا أضفتها إِلى نفسك زدت نوناً، ليسلم سكون النون الأولى، تقول: من لدن زيد، فتسكِّن النون ثم تضيف إِلى نفسك، فتقول: من لدنِّي، كما تقول: عن زيد وعنِّي. فأما إِسكان دال «لَدْني» فإنهم أسكنوها، كما تقول في عضُد: عَضْد، فيحذفون الضم</w:t>
      </w:r>
      <w:r w:rsidRPr="00885058">
        <w:rPr>
          <w:vertAlign w:val="superscript"/>
          <w:rtl/>
        </w:rPr>
        <w:t>(</w:t>
      </w:r>
      <w:r w:rsidRPr="00885058">
        <w:rPr>
          <w:vertAlign w:val="superscript"/>
          <w:rtl/>
        </w:rPr>
        <w:footnoteReference w:id="1701"/>
      </w:r>
      <w:r w:rsidRPr="00885058">
        <w:rPr>
          <w:vertAlign w:val="superscript"/>
          <w:rtl/>
        </w:rPr>
        <w:t>)</w:t>
      </w:r>
      <w:r w:rsidRPr="00885058">
        <w:rPr>
          <w:rFonts w:ascii="Traditional Arabic" w:hAnsi="Traditional Arabic"/>
          <w:rtl/>
        </w:rPr>
        <w:t xml:space="preserve">. قال ابن عباس: يريد: إِنك </w:t>
      </w:r>
      <w:r w:rsidRPr="00885058">
        <w:rPr>
          <w:rFonts w:ascii="Traditional Arabic" w:hAnsi="Traditional Arabic"/>
          <w:sz w:val="32"/>
          <w:szCs w:val="32"/>
          <w:rtl/>
        </w:rPr>
        <w:t>[</w:t>
      </w:r>
      <w:r w:rsidRPr="00885058">
        <w:rPr>
          <w:rFonts w:ascii="Traditional Arabic" w:hAnsi="Traditional Arabic" w:hint="cs"/>
          <w:sz w:val="32"/>
          <w:szCs w:val="32"/>
          <w:rtl/>
        </w:rPr>
        <w:t>140</w:t>
      </w:r>
      <w:r w:rsidRPr="00885058">
        <w:rPr>
          <w:rFonts w:ascii="Traditional Arabic" w:hAnsi="Traditional Arabic"/>
          <w:sz w:val="32"/>
          <w:szCs w:val="32"/>
          <w:rtl/>
        </w:rPr>
        <w:t>]</w:t>
      </w:r>
      <w:r w:rsidRPr="00885058">
        <w:rPr>
          <w:rFonts w:ascii="Traditional Arabic" w:hAnsi="Traditional Arabic"/>
          <w:rtl/>
        </w:rPr>
        <w:t xml:space="preserve"> قد أُعذرت فيما بيني وبينك، يعني: أنك قد أخبرتني أني لا أستطيع معك صبراً</w:t>
      </w:r>
      <w:r w:rsidRPr="00885058">
        <w:rPr>
          <w:vertAlign w:val="superscript"/>
          <w:rtl/>
        </w:rPr>
        <w:t>(</w:t>
      </w:r>
      <w:r w:rsidRPr="00885058">
        <w:rPr>
          <w:vertAlign w:val="superscript"/>
          <w:rtl/>
        </w:rPr>
        <w:footnoteReference w:id="1702"/>
      </w:r>
      <w:r w:rsidRPr="00885058">
        <w:rPr>
          <w:vertAlign w:val="superscript"/>
          <w:rtl/>
        </w:rPr>
        <w:t>)</w:t>
      </w:r>
      <w:r w:rsidRPr="00885058">
        <w:rPr>
          <w:rFonts w:ascii="Traditional Arabic" w:hAnsi="Traditional Arabic"/>
          <w:rtl/>
        </w:rPr>
        <w:t>.</w:t>
      </w:r>
    </w:p>
    <w:p w:rsidR="00885058" w:rsidRPr="00885058" w:rsidRDefault="00885058" w:rsidP="00885058">
      <w:pPr>
        <w:ind w:firstLine="0"/>
        <w:rPr>
          <w:rFonts w:ascii="Traditional Arabic" w:hAnsi="Traditional Arabic"/>
          <w:rtl/>
        </w:rPr>
      </w:pPr>
      <w:r w:rsidRPr="00885058">
        <w:rPr>
          <w:rFonts w:ascii="Traditional Arabic" w:hAnsi="Traditional Arabic"/>
          <w:rtl/>
        </w:rPr>
        <w:t xml:space="preserve">قوله تعالى: </w:t>
      </w:r>
      <w:r w:rsidRPr="00885058">
        <w:rPr>
          <w:rFonts w:ascii="QCF_BSML" w:hAnsi="QCF_BSML" w:cs="QCF_BSML"/>
          <w:color w:val="auto"/>
          <w:sz w:val="32"/>
          <w:szCs w:val="32"/>
          <w:rtl/>
          <w:lang w:eastAsia="en-US"/>
        </w:rPr>
        <w:t>ﭽ</w:t>
      </w:r>
      <w:r w:rsidRPr="00885058">
        <w:rPr>
          <w:rFonts w:ascii="QCF_P302" w:hAnsi="QCF_P302" w:cs="QCF_P302"/>
          <w:color w:val="auto"/>
          <w:sz w:val="32"/>
          <w:szCs w:val="32"/>
          <w:rtl/>
          <w:lang w:eastAsia="en-US"/>
        </w:rPr>
        <w:t>ﭫ  ﭬ  ﭭ     ﭮ  ﭯ  ﭰ</w:t>
      </w:r>
      <w:r w:rsidRPr="00885058">
        <w:rPr>
          <w:rFonts w:ascii="QCF_BSML" w:hAnsi="QCF_BSML" w:cs="QCF_BSML"/>
          <w:sz w:val="32"/>
          <w:szCs w:val="32"/>
          <w:rtl/>
          <w:lang w:eastAsia="en-US"/>
        </w:rPr>
        <w:t>ﭼ</w:t>
      </w:r>
      <w:r w:rsidRPr="00885058">
        <w:rPr>
          <w:rFonts w:ascii="QCF_P302" w:hAnsi="QCF_P302" w:cs="QCF_P302"/>
          <w:color w:val="auto"/>
          <w:sz w:val="32"/>
          <w:szCs w:val="32"/>
          <w:rtl/>
          <w:lang w:eastAsia="en-US"/>
        </w:rPr>
        <w:t xml:space="preserve">  </w:t>
      </w:r>
      <w:r w:rsidRPr="00885058">
        <w:rPr>
          <w:rFonts w:ascii="Traditional Arabic" w:hAnsi="Traditional Arabic" w:hint="cs"/>
          <w:rtl/>
        </w:rPr>
        <w:t xml:space="preserve"> </w:t>
      </w:r>
      <w:r w:rsidRPr="00885058">
        <w:rPr>
          <w:rFonts w:ascii="Traditional Arabic" w:hAnsi="Traditional Arabic"/>
          <w:rtl/>
        </w:rPr>
        <w:t>فيها ثلاثة أقوال: أحدها: أنها أنطاكيّة</w:t>
      </w:r>
      <w:r w:rsidRPr="00885058">
        <w:rPr>
          <w:vertAlign w:val="superscript"/>
          <w:rtl/>
        </w:rPr>
        <w:t>(</w:t>
      </w:r>
      <w:r w:rsidRPr="00885058">
        <w:rPr>
          <w:vertAlign w:val="superscript"/>
          <w:rtl/>
        </w:rPr>
        <w:footnoteReference w:id="1703"/>
      </w:r>
      <w:r w:rsidRPr="00885058">
        <w:rPr>
          <w:vertAlign w:val="superscript"/>
          <w:rtl/>
        </w:rPr>
        <w:t>)</w:t>
      </w:r>
      <w:r w:rsidRPr="00885058">
        <w:rPr>
          <w:rFonts w:ascii="Traditional Arabic" w:hAnsi="Traditional Arabic"/>
          <w:rtl/>
        </w:rPr>
        <w:t xml:space="preserve">، قاله </w:t>
      </w:r>
      <w:r w:rsidRPr="00885058">
        <w:rPr>
          <w:rFonts w:ascii="Traditional Arabic" w:hAnsi="Traditional Arabic"/>
          <w:rtl/>
        </w:rPr>
        <w:lastRenderedPageBreak/>
        <w:t>ابن</w:t>
      </w:r>
      <w:r w:rsidRPr="00885058">
        <w:rPr>
          <w:rFonts w:ascii="Traditional Arabic" w:hAnsi="Traditional Arabic" w:hint="cs"/>
          <w:rtl/>
        </w:rPr>
        <w:t xml:space="preserve"> </w:t>
      </w:r>
      <w:r w:rsidRPr="00885058">
        <w:rPr>
          <w:rFonts w:ascii="Traditional Arabic" w:hAnsi="Traditional Arabic"/>
          <w:rtl/>
        </w:rPr>
        <w:t>عباس</w:t>
      </w:r>
      <w:r w:rsidRPr="00885058">
        <w:rPr>
          <w:vertAlign w:val="superscript"/>
          <w:rtl/>
        </w:rPr>
        <w:t>(</w:t>
      </w:r>
      <w:r w:rsidRPr="00885058">
        <w:rPr>
          <w:vertAlign w:val="superscript"/>
          <w:rtl/>
        </w:rPr>
        <w:footnoteReference w:id="1704"/>
      </w:r>
      <w:r w:rsidRPr="00885058">
        <w:rPr>
          <w:vertAlign w:val="superscript"/>
          <w:rtl/>
        </w:rPr>
        <w:t>)</w:t>
      </w:r>
      <w:r w:rsidRPr="00885058">
        <w:rPr>
          <w:rFonts w:ascii="Traditional Arabic" w:hAnsi="Traditional Arabic"/>
          <w:rtl/>
        </w:rPr>
        <w:t>.</w:t>
      </w:r>
      <w:r w:rsidRPr="00885058">
        <w:rPr>
          <w:rFonts w:ascii="Traditional Arabic" w:hAnsi="Traditional Arabic" w:hint="cs"/>
          <w:rtl/>
        </w:rPr>
        <w:t xml:space="preserve"> </w:t>
      </w:r>
      <w:r w:rsidRPr="00885058">
        <w:rPr>
          <w:rFonts w:ascii="Traditional Arabic" w:hAnsi="Traditional Arabic"/>
          <w:rtl/>
        </w:rPr>
        <w:t>والثاني: الأُبُلَّة</w:t>
      </w:r>
      <w:r w:rsidRPr="00885058">
        <w:rPr>
          <w:vertAlign w:val="superscript"/>
          <w:rtl/>
        </w:rPr>
        <w:t>(</w:t>
      </w:r>
      <w:r w:rsidRPr="00885058">
        <w:rPr>
          <w:vertAlign w:val="superscript"/>
          <w:rtl/>
        </w:rPr>
        <w:footnoteReference w:id="1705"/>
      </w:r>
      <w:r w:rsidRPr="00885058">
        <w:rPr>
          <w:vertAlign w:val="superscript"/>
          <w:rtl/>
        </w:rPr>
        <w:t>)</w:t>
      </w:r>
      <w:r w:rsidRPr="00885058">
        <w:rPr>
          <w:rFonts w:ascii="Traditional Arabic" w:hAnsi="Traditional Arabic"/>
          <w:rtl/>
        </w:rPr>
        <w:t>، قاله ابن سيرين</w:t>
      </w:r>
      <w:r w:rsidRPr="00885058">
        <w:rPr>
          <w:vertAlign w:val="superscript"/>
          <w:rtl/>
        </w:rPr>
        <w:t>(</w:t>
      </w:r>
      <w:r w:rsidRPr="00885058">
        <w:rPr>
          <w:vertAlign w:val="superscript"/>
          <w:rtl/>
        </w:rPr>
        <w:footnoteReference w:id="1706"/>
      </w:r>
      <w:r w:rsidRPr="00885058">
        <w:rPr>
          <w:vertAlign w:val="superscript"/>
          <w:rtl/>
        </w:rPr>
        <w:t>)</w:t>
      </w:r>
      <w:r w:rsidRPr="00885058">
        <w:rPr>
          <w:rFonts w:ascii="Traditional Arabic" w:hAnsi="Traditional Arabic"/>
          <w:rtl/>
        </w:rPr>
        <w:t>. والثالث: باجروان</w:t>
      </w:r>
      <w:r w:rsidRPr="00885058">
        <w:rPr>
          <w:vertAlign w:val="superscript"/>
          <w:rtl/>
        </w:rPr>
        <w:t>(</w:t>
      </w:r>
      <w:r w:rsidRPr="00885058">
        <w:rPr>
          <w:vertAlign w:val="superscript"/>
          <w:rtl/>
        </w:rPr>
        <w:footnoteReference w:id="1707"/>
      </w:r>
      <w:r w:rsidRPr="00885058">
        <w:rPr>
          <w:vertAlign w:val="superscript"/>
          <w:rtl/>
        </w:rPr>
        <w:t>)</w:t>
      </w:r>
      <w:r w:rsidRPr="00885058">
        <w:rPr>
          <w:rFonts w:ascii="Traditional Arabic" w:hAnsi="Traditional Arabic"/>
          <w:rtl/>
        </w:rPr>
        <w:t>، قاله مقاتل</w:t>
      </w:r>
      <w:r w:rsidRPr="00885058">
        <w:rPr>
          <w:vertAlign w:val="superscript"/>
          <w:rtl/>
        </w:rPr>
        <w:t>(</w:t>
      </w:r>
      <w:r w:rsidRPr="00885058">
        <w:rPr>
          <w:vertAlign w:val="superscript"/>
          <w:rtl/>
        </w:rPr>
        <w:footnoteReference w:id="1708"/>
      </w:r>
      <w:r w:rsidRPr="00885058">
        <w:rPr>
          <w:vertAlign w:val="superscript"/>
          <w:rtl/>
        </w:rPr>
        <w:t>)</w:t>
      </w:r>
      <w:r w:rsidRPr="00885058">
        <w:rPr>
          <w:rFonts w:ascii="Traditional Arabic" w:hAnsi="Traditional Arabic"/>
          <w:rtl/>
        </w:rPr>
        <w:t xml:space="preserve">. </w:t>
      </w:r>
    </w:p>
    <w:p w:rsidR="00885058" w:rsidRPr="00885058" w:rsidRDefault="00885058" w:rsidP="00885058">
      <w:pPr>
        <w:ind w:firstLine="0"/>
        <w:rPr>
          <w:rFonts w:ascii="Traditional Arabic" w:hAnsi="Traditional Arabic"/>
          <w:rtl/>
        </w:rPr>
      </w:pPr>
      <w:r w:rsidRPr="00885058">
        <w:rPr>
          <w:rFonts w:ascii="Traditional Arabic" w:hAnsi="Traditional Arabic"/>
          <w:rtl/>
        </w:rPr>
        <w:t xml:space="preserve">قوله تعالى: </w:t>
      </w:r>
      <w:r w:rsidRPr="00885058">
        <w:rPr>
          <w:rFonts w:ascii="QCF_BSML" w:hAnsi="QCF_BSML" w:cs="QCF_BSML"/>
          <w:color w:val="auto"/>
          <w:sz w:val="32"/>
          <w:szCs w:val="32"/>
          <w:rtl/>
          <w:lang w:eastAsia="en-US"/>
        </w:rPr>
        <w:t>ﭽ</w:t>
      </w:r>
      <w:r w:rsidRPr="00885058">
        <w:rPr>
          <w:rFonts w:ascii="QCF_BSML" w:hAnsi="QCF_BSML" w:cs="QCF_BSML" w:hint="cs"/>
          <w:color w:val="auto"/>
          <w:sz w:val="32"/>
          <w:szCs w:val="32"/>
          <w:rtl/>
          <w:lang w:eastAsia="en-US"/>
        </w:rPr>
        <w:t xml:space="preserve"> </w:t>
      </w:r>
      <w:r w:rsidRPr="00885058">
        <w:rPr>
          <w:rFonts w:ascii="QCF_P302" w:hAnsi="QCF_P302" w:cs="QCF_P302"/>
          <w:color w:val="auto"/>
          <w:sz w:val="32"/>
          <w:szCs w:val="32"/>
          <w:rtl/>
          <w:lang w:eastAsia="en-US"/>
        </w:rPr>
        <w:t>ﭱ  ﭲ</w:t>
      </w:r>
      <w:r w:rsidRPr="00885058">
        <w:rPr>
          <w:rFonts w:ascii="QCF_BSML" w:hAnsi="QCF_BSML" w:cs="QCF_BSML" w:hint="cs"/>
          <w:sz w:val="32"/>
          <w:szCs w:val="32"/>
          <w:rtl/>
          <w:lang w:eastAsia="en-US"/>
        </w:rPr>
        <w:t xml:space="preserve"> </w:t>
      </w:r>
      <w:r w:rsidRPr="00885058">
        <w:rPr>
          <w:rFonts w:ascii="QCF_BSML" w:hAnsi="QCF_BSML" w:cs="QCF_BSML"/>
          <w:sz w:val="32"/>
          <w:szCs w:val="32"/>
          <w:rtl/>
          <w:lang w:eastAsia="en-US"/>
        </w:rPr>
        <w:t>ﭼ</w:t>
      </w:r>
      <w:r w:rsidRPr="00885058">
        <w:rPr>
          <w:rFonts w:ascii="QCF_P302" w:hAnsi="QCF_P302" w:cs="QCF_P302"/>
          <w:color w:val="auto"/>
          <w:sz w:val="32"/>
          <w:szCs w:val="32"/>
          <w:rtl/>
          <w:lang w:eastAsia="en-US"/>
        </w:rPr>
        <w:t xml:space="preserve">  </w:t>
      </w:r>
      <w:r w:rsidRPr="00885058">
        <w:rPr>
          <w:rFonts w:ascii="Traditional Arabic" w:hAnsi="Traditional Arabic"/>
          <w:rtl/>
        </w:rPr>
        <w:t xml:space="preserve">أي: سألاهم الضيافة </w:t>
      </w:r>
      <w:r w:rsidRPr="00885058">
        <w:rPr>
          <w:rFonts w:ascii="QCF_BSML" w:hAnsi="QCF_BSML" w:cs="QCF_BSML"/>
          <w:color w:val="auto"/>
          <w:sz w:val="32"/>
          <w:szCs w:val="32"/>
          <w:rtl/>
          <w:lang w:eastAsia="en-US"/>
        </w:rPr>
        <w:t>ﭽ</w:t>
      </w:r>
      <w:r w:rsidRPr="00885058">
        <w:rPr>
          <w:rFonts w:ascii="QCF_BSML" w:hAnsi="QCF_BSML" w:cs="QCF_BSML" w:hint="cs"/>
          <w:color w:val="auto"/>
          <w:sz w:val="32"/>
          <w:szCs w:val="32"/>
          <w:rtl/>
          <w:lang w:eastAsia="en-US"/>
        </w:rPr>
        <w:t xml:space="preserve"> </w:t>
      </w:r>
      <w:r w:rsidRPr="00885058">
        <w:rPr>
          <w:rFonts w:ascii="QCF_P302" w:hAnsi="QCF_P302" w:cs="QCF_P302"/>
          <w:color w:val="auto"/>
          <w:sz w:val="32"/>
          <w:szCs w:val="32"/>
          <w:rtl/>
          <w:lang w:eastAsia="en-US"/>
        </w:rPr>
        <w:t>ﭳ    ﭴ  ﭵ</w:t>
      </w:r>
      <w:r w:rsidRPr="00885058">
        <w:rPr>
          <w:rFonts w:ascii="QCF_P302" w:hAnsi="QCF_P302" w:cs="QCF_P302" w:hint="cs"/>
          <w:color w:val="auto"/>
          <w:sz w:val="32"/>
          <w:szCs w:val="32"/>
          <w:rtl/>
          <w:lang w:eastAsia="en-US"/>
        </w:rPr>
        <w:t xml:space="preserve"> </w:t>
      </w:r>
      <w:r w:rsidRPr="00885058">
        <w:rPr>
          <w:rFonts w:ascii="QCF_BSML" w:hAnsi="QCF_BSML" w:cs="QCF_BSML"/>
          <w:sz w:val="32"/>
          <w:szCs w:val="32"/>
          <w:rtl/>
          <w:lang w:eastAsia="en-US"/>
        </w:rPr>
        <w:t>ﭼ</w:t>
      </w:r>
      <w:r w:rsidRPr="00885058">
        <w:rPr>
          <w:rFonts w:ascii="QCF_P302" w:hAnsi="QCF_P302" w:cs="QCF_P302"/>
          <w:color w:val="auto"/>
          <w:sz w:val="32"/>
          <w:szCs w:val="32"/>
          <w:rtl/>
          <w:lang w:eastAsia="en-US"/>
        </w:rPr>
        <w:t xml:space="preserve"> </w:t>
      </w:r>
      <w:r w:rsidRPr="00885058">
        <w:rPr>
          <w:rFonts w:ascii="QCF_P302" w:hAnsi="QCF_P302" w:cs="QCF_P302" w:hint="cs"/>
          <w:color w:val="auto"/>
          <w:sz w:val="32"/>
          <w:szCs w:val="32"/>
          <w:rtl/>
          <w:lang w:eastAsia="en-US"/>
        </w:rPr>
        <w:t xml:space="preserve">    </w:t>
      </w:r>
      <w:r w:rsidRPr="00885058">
        <w:rPr>
          <w:rFonts w:ascii="QCF_P302" w:hAnsi="QCF_P302" w:cs="QCF_P302"/>
          <w:color w:val="auto"/>
          <w:sz w:val="32"/>
          <w:szCs w:val="32"/>
          <w:rtl/>
          <w:lang w:eastAsia="en-US"/>
        </w:rPr>
        <w:t xml:space="preserve"> </w:t>
      </w:r>
      <w:r w:rsidRPr="00885058">
        <w:rPr>
          <w:rFonts w:ascii="Traditional Arabic" w:hAnsi="Traditional Arabic"/>
          <w:rtl/>
        </w:rPr>
        <w:t>روى المفضل</w:t>
      </w:r>
      <w:r w:rsidRPr="00885058">
        <w:rPr>
          <w:vertAlign w:val="superscript"/>
          <w:rtl/>
        </w:rPr>
        <w:t>(</w:t>
      </w:r>
      <w:r w:rsidRPr="00885058">
        <w:rPr>
          <w:vertAlign w:val="superscript"/>
          <w:rtl/>
        </w:rPr>
        <w:footnoteReference w:id="1709"/>
      </w:r>
      <w:r w:rsidRPr="00885058">
        <w:rPr>
          <w:vertAlign w:val="superscript"/>
          <w:rtl/>
        </w:rPr>
        <w:t>)</w:t>
      </w:r>
      <w:r w:rsidRPr="00885058">
        <w:rPr>
          <w:rFonts w:ascii="Traditional Arabic" w:hAnsi="Traditional Arabic"/>
          <w:rtl/>
        </w:rPr>
        <w:t>عن عاصم: «يُض</w:t>
      </w:r>
      <w:r w:rsidR="00FD75C0">
        <w:rPr>
          <w:rFonts w:ascii="Traditional Arabic" w:hAnsi="Traditional Arabic" w:hint="cs"/>
          <w:rtl/>
        </w:rPr>
        <w:t>ِ</w:t>
      </w:r>
      <w:r w:rsidRPr="00885058">
        <w:rPr>
          <w:rFonts w:ascii="Traditional Arabic" w:hAnsi="Traditional Arabic"/>
          <w:rtl/>
        </w:rPr>
        <w:t>ي</w:t>
      </w:r>
      <w:r w:rsidR="00FD75C0">
        <w:rPr>
          <w:rFonts w:ascii="Traditional Arabic" w:hAnsi="Traditional Arabic" w:hint="cs"/>
          <w:rtl/>
        </w:rPr>
        <w:t>ْ</w:t>
      </w:r>
      <w:r w:rsidRPr="00885058">
        <w:rPr>
          <w:rFonts w:ascii="Traditional Arabic" w:hAnsi="Traditional Arabic"/>
          <w:rtl/>
        </w:rPr>
        <w:t>فوهما» بضم الياء الأولى وكسر الضاد وتخفيف الياء الثانية</w:t>
      </w:r>
      <w:r w:rsidRPr="00885058">
        <w:rPr>
          <w:vertAlign w:val="superscript"/>
          <w:rtl/>
        </w:rPr>
        <w:t>(</w:t>
      </w:r>
      <w:r w:rsidRPr="00885058">
        <w:rPr>
          <w:vertAlign w:val="superscript"/>
          <w:rtl/>
        </w:rPr>
        <w:footnoteReference w:id="1710"/>
      </w:r>
      <w:r w:rsidRPr="00885058">
        <w:rPr>
          <w:vertAlign w:val="superscript"/>
          <w:rtl/>
        </w:rPr>
        <w:t>)</w:t>
      </w:r>
      <w:r w:rsidRPr="00885058">
        <w:rPr>
          <w:rFonts w:ascii="Traditional Arabic" w:hAnsi="Traditional Arabic" w:hint="cs"/>
          <w:rtl/>
        </w:rPr>
        <w:t>,</w:t>
      </w:r>
      <w:r w:rsidRPr="00885058">
        <w:rPr>
          <w:rFonts w:ascii="Traditional Arabic" w:hAnsi="Traditional Arabic"/>
          <w:rtl/>
        </w:rPr>
        <w:t xml:space="preserve"> وقرأ أبو الجوزاء كذلك، إِلا أنه فتح الياء </w:t>
      </w:r>
      <w:r w:rsidRPr="00885058">
        <w:rPr>
          <w:rFonts w:ascii="Traditional Arabic" w:hAnsi="Traditional Arabic" w:hint="cs"/>
          <w:rtl/>
        </w:rPr>
        <w:t>[</w:t>
      </w:r>
      <w:r w:rsidRPr="00885058">
        <w:rPr>
          <w:rFonts w:ascii="Traditional Arabic" w:hAnsi="Traditional Arabic"/>
          <w:rtl/>
        </w:rPr>
        <w:t>الأولى</w:t>
      </w:r>
      <w:r w:rsidRPr="00885058">
        <w:rPr>
          <w:rFonts w:hint="cs"/>
          <w:rtl/>
        </w:rPr>
        <w:t>]</w:t>
      </w:r>
      <w:r w:rsidRPr="00885058">
        <w:rPr>
          <w:vertAlign w:val="superscript"/>
          <w:rtl/>
        </w:rPr>
        <w:t>(</w:t>
      </w:r>
      <w:r w:rsidRPr="00885058">
        <w:rPr>
          <w:vertAlign w:val="superscript"/>
          <w:rtl/>
        </w:rPr>
        <w:footnoteReference w:id="1711"/>
      </w:r>
      <w:r w:rsidRPr="00885058">
        <w:rPr>
          <w:vertAlign w:val="superscript"/>
          <w:rtl/>
        </w:rPr>
        <w:t>)(</w:t>
      </w:r>
      <w:r w:rsidRPr="00885058">
        <w:rPr>
          <w:vertAlign w:val="superscript"/>
          <w:rtl/>
        </w:rPr>
        <w:footnoteReference w:id="1712"/>
      </w:r>
      <w:r w:rsidRPr="00885058">
        <w:rPr>
          <w:vertAlign w:val="superscript"/>
          <w:rtl/>
        </w:rPr>
        <w:t>)</w:t>
      </w:r>
      <w:r w:rsidRPr="00885058">
        <w:rPr>
          <w:rFonts w:ascii="Traditional Arabic" w:hAnsi="Traditional Arabic" w:hint="cs"/>
          <w:rtl/>
        </w:rPr>
        <w:t>,</w:t>
      </w:r>
      <w:r w:rsidRPr="00885058">
        <w:rPr>
          <w:rFonts w:ascii="Traditional Arabic" w:hAnsi="Traditional Arabic"/>
          <w:rtl/>
        </w:rPr>
        <w:t xml:space="preserve"> وقرأ الباقون: «يضيِّفوهما» بفتح الضاد وتشديد الياء الثانية وكسرها</w:t>
      </w:r>
      <w:r w:rsidRPr="00885058">
        <w:rPr>
          <w:vertAlign w:val="superscript"/>
          <w:rtl/>
        </w:rPr>
        <w:t>(</w:t>
      </w:r>
      <w:r w:rsidRPr="00885058">
        <w:rPr>
          <w:vertAlign w:val="superscript"/>
          <w:rtl/>
        </w:rPr>
        <w:footnoteReference w:id="1713"/>
      </w:r>
      <w:r w:rsidRPr="00885058">
        <w:rPr>
          <w:vertAlign w:val="superscript"/>
          <w:rtl/>
        </w:rPr>
        <w:t>)</w:t>
      </w:r>
      <w:r w:rsidRPr="00885058">
        <w:rPr>
          <w:rFonts w:ascii="Traditional Arabic" w:hAnsi="Traditional Arabic"/>
          <w:rtl/>
        </w:rPr>
        <w:t>. قال أبو عبيدة: ومعنى يضيِّفوهما:</w:t>
      </w:r>
      <w:r w:rsidRPr="00885058">
        <w:rPr>
          <w:rFonts w:ascii="Traditional Arabic" w:hAnsi="Traditional Arabic" w:hint="cs"/>
          <w:rtl/>
        </w:rPr>
        <w:t xml:space="preserve"> </w:t>
      </w:r>
      <w:r w:rsidRPr="00885058">
        <w:rPr>
          <w:rFonts w:ascii="Traditional Arabic" w:hAnsi="Traditional Arabic"/>
          <w:rtl/>
        </w:rPr>
        <w:t>ينزلوهما منزل الأضياف، يقال: ضِفت أنا، وأضافني الذي يُنزلني</w:t>
      </w:r>
      <w:r w:rsidRPr="00885058">
        <w:rPr>
          <w:vertAlign w:val="superscript"/>
          <w:rtl/>
        </w:rPr>
        <w:t>(</w:t>
      </w:r>
      <w:r w:rsidRPr="00885058">
        <w:rPr>
          <w:vertAlign w:val="superscript"/>
          <w:rtl/>
        </w:rPr>
        <w:footnoteReference w:id="1714"/>
      </w:r>
      <w:r w:rsidRPr="00885058">
        <w:rPr>
          <w:vertAlign w:val="superscript"/>
          <w:rtl/>
        </w:rPr>
        <w:t>)</w:t>
      </w:r>
      <w:r w:rsidRPr="00885058">
        <w:rPr>
          <w:rFonts w:ascii="Traditional Arabic" w:hAnsi="Traditional Arabic"/>
          <w:rtl/>
        </w:rPr>
        <w:t>. وقال الزجاج: يقال: ضِفتُ الرجل: إِذا نزلت عليه، وأضَفْتُه: إذا أنزلته وقريته</w:t>
      </w:r>
      <w:r w:rsidRPr="00885058">
        <w:rPr>
          <w:vertAlign w:val="superscript"/>
          <w:rtl/>
        </w:rPr>
        <w:t>(</w:t>
      </w:r>
      <w:r w:rsidRPr="00885058">
        <w:rPr>
          <w:vertAlign w:val="superscript"/>
          <w:rtl/>
        </w:rPr>
        <w:footnoteReference w:id="1715"/>
      </w:r>
      <w:r w:rsidRPr="00885058">
        <w:rPr>
          <w:vertAlign w:val="superscript"/>
          <w:rtl/>
        </w:rPr>
        <w:t>)</w:t>
      </w:r>
      <w:r w:rsidRPr="00885058">
        <w:rPr>
          <w:rFonts w:ascii="Traditional Arabic" w:hAnsi="Traditional Arabic"/>
          <w:rtl/>
        </w:rPr>
        <w:t>. قال ابن قتيبة: يقال: ضيفت الرجل: إِذا أنزلتَه منزلة الأضياف، ومنه هذه الآية، وأضفته: أنزلته، وضِفته: نزلت عليه</w:t>
      </w:r>
      <w:r w:rsidRPr="00885058">
        <w:rPr>
          <w:vertAlign w:val="superscript"/>
          <w:rtl/>
        </w:rPr>
        <w:t>(</w:t>
      </w:r>
      <w:r w:rsidRPr="00885058">
        <w:rPr>
          <w:vertAlign w:val="superscript"/>
          <w:rtl/>
        </w:rPr>
        <w:footnoteReference w:id="1716"/>
      </w:r>
      <w:r w:rsidRPr="00885058">
        <w:rPr>
          <w:vertAlign w:val="superscript"/>
          <w:rtl/>
        </w:rPr>
        <w:t>)</w:t>
      </w:r>
      <w:r w:rsidRPr="00885058">
        <w:rPr>
          <w:rFonts w:ascii="Traditional Arabic" w:hAnsi="Traditional Arabic"/>
          <w:rtl/>
        </w:rPr>
        <w:t>.</w:t>
      </w:r>
      <w:r w:rsidRPr="00885058">
        <w:rPr>
          <w:rFonts w:ascii="Traditional Arabic" w:hAnsi="Traditional Arabic" w:hint="cs"/>
          <w:rtl/>
        </w:rPr>
        <w:t xml:space="preserve"> </w:t>
      </w:r>
      <w:r w:rsidRPr="00885058">
        <w:rPr>
          <w:rFonts w:ascii="Traditional Arabic" w:hAnsi="Traditional Arabic"/>
          <w:rtl/>
        </w:rPr>
        <w:t xml:space="preserve">وروى أُبيُّ بن كعب عن </w:t>
      </w:r>
      <w:r w:rsidRPr="00885058">
        <w:rPr>
          <w:rFonts w:ascii="Traditional Arabic" w:hAnsi="Traditional Arabic"/>
          <w:rtl/>
        </w:rPr>
        <w:lastRenderedPageBreak/>
        <w:t xml:space="preserve">رسول الله </w:t>
      </w:r>
      <w:r w:rsidRPr="00885058">
        <w:rPr>
          <w:rFonts w:ascii="Traditional Arabic" w:hAnsi="Traditional Arabic"/>
        </w:rPr>
        <w:sym w:font="AGA Arabesque" w:char="F072"/>
      </w:r>
      <w:r w:rsidRPr="00885058">
        <w:rPr>
          <w:rFonts w:ascii="Traditional Arabic" w:hAnsi="Traditional Arabic" w:hint="cs"/>
          <w:rtl/>
        </w:rPr>
        <w:t xml:space="preserve"> </w:t>
      </w:r>
      <w:r w:rsidRPr="00885058">
        <w:rPr>
          <w:rFonts w:ascii="Traditional Arabic" w:hAnsi="Traditional Arabic"/>
          <w:rtl/>
        </w:rPr>
        <w:t>قال: «كانوا أهل قرية لئاماً»</w:t>
      </w:r>
      <w:r w:rsidRPr="00885058">
        <w:rPr>
          <w:vertAlign w:val="superscript"/>
          <w:rtl/>
        </w:rPr>
        <w:t>(</w:t>
      </w:r>
      <w:r w:rsidRPr="00885058">
        <w:rPr>
          <w:vertAlign w:val="superscript"/>
          <w:rtl/>
        </w:rPr>
        <w:footnoteReference w:id="1717"/>
      </w:r>
      <w:r w:rsidRPr="00885058">
        <w:rPr>
          <w:vertAlign w:val="superscript"/>
          <w:rtl/>
        </w:rPr>
        <w:t>)</w:t>
      </w:r>
      <w:r w:rsidRPr="00885058">
        <w:rPr>
          <w:rFonts w:ascii="Traditional Arabic" w:hAnsi="Traditional Arabic" w:hint="cs"/>
          <w:rtl/>
        </w:rPr>
        <w:t>.</w:t>
      </w:r>
      <w:r w:rsidRPr="00885058">
        <w:rPr>
          <w:rFonts w:ascii="Traditional Arabic" w:hAnsi="Traditional Arabic"/>
          <w:rtl/>
        </w:rPr>
        <w:t xml:space="preserve"> </w:t>
      </w:r>
    </w:p>
    <w:p w:rsidR="00885058" w:rsidRPr="00885058" w:rsidRDefault="00885058" w:rsidP="00885058">
      <w:pPr>
        <w:ind w:firstLine="0"/>
        <w:rPr>
          <w:rFonts w:ascii="Traditional Arabic" w:hAnsi="Traditional Arabic"/>
          <w:rtl/>
        </w:rPr>
      </w:pPr>
      <w:r w:rsidRPr="00885058">
        <w:rPr>
          <w:rFonts w:ascii="Traditional Arabic" w:hAnsi="Traditional Arabic"/>
          <w:rtl/>
        </w:rPr>
        <w:t>قوله تعالى:</w:t>
      </w:r>
      <w:r w:rsidRPr="00885058">
        <w:rPr>
          <w:rFonts w:ascii="QCF_BSML" w:hAnsi="QCF_BSML" w:cs="QCF_BSML"/>
          <w:color w:val="auto"/>
          <w:sz w:val="32"/>
          <w:szCs w:val="32"/>
          <w:rtl/>
          <w:lang w:eastAsia="en-US"/>
        </w:rPr>
        <w:t xml:space="preserve"> ﭽ</w:t>
      </w:r>
      <w:r w:rsidRPr="00885058">
        <w:rPr>
          <w:rFonts w:ascii="QCF_P302" w:hAnsi="QCF_P302" w:cs="QCF_P302"/>
          <w:color w:val="auto"/>
          <w:sz w:val="32"/>
          <w:szCs w:val="32"/>
          <w:rtl/>
          <w:lang w:eastAsia="en-US"/>
        </w:rPr>
        <w:t>ﭶ  ﭷ      ﭸ</w:t>
      </w:r>
      <w:r w:rsidRPr="00885058">
        <w:rPr>
          <w:rFonts w:ascii="QCF_BSML" w:hAnsi="QCF_BSML" w:cs="QCF_BSML"/>
          <w:sz w:val="32"/>
          <w:szCs w:val="32"/>
          <w:rtl/>
          <w:lang w:eastAsia="en-US"/>
        </w:rPr>
        <w:t xml:space="preserve"> ﭼ</w:t>
      </w:r>
      <w:r w:rsidRPr="00885058">
        <w:rPr>
          <w:rFonts w:ascii="QCF_P302" w:hAnsi="QCF_P302" w:cs="QCF_P302"/>
          <w:color w:val="auto"/>
          <w:sz w:val="32"/>
          <w:szCs w:val="32"/>
          <w:rtl/>
          <w:lang w:eastAsia="en-US"/>
        </w:rPr>
        <w:t xml:space="preserve">  </w:t>
      </w:r>
      <w:r w:rsidRPr="00885058">
        <w:rPr>
          <w:rFonts w:ascii="Traditional Arabic" w:hAnsi="Traditional Arabic"/>
          <w:rtl/>
        </w:rPr>
        <w:t>أي: حائطاً. قال ابن فارس: وجمعه جُدُر، والجَدْر: أصل الحائط. ومنه حديث الزبير: «ثم دع الماء يرجع إِلى الجَدْر»</w:t>
      </w:r>
      <w:r w:rsidRPr="00885058">
        <w:rPr>
          <w:vertAlign w:val="superscript"/>
          <w:rtl/>
        </w:rPr>
        <w:t>(</w:t>
      </w:r>
      <w:r w:rsidRPr="00885058">
        <w:rPr>
          <w:vertAlign w:val="superscript"/>
          <w:rtl/>
        </w:rPr>
        <w:footnoteReference w:id="1718"/>
      </w:r>
      <w:r w:rsidRPr="00885058">
        <w:rPr>
          <w:vertAlign w:val="superscript"/>
          <w:rtl/>
        </w:rPr>
        <w:t>)</w:t>
      </w:r>
      <w:r w:rsidRPr="00885058">
        <w:rPr>
          <w:rFonts w:ascii="Traditional Arabic" w:hAnsi="Traditional Arabic"/>
          <w:rtl/>
        </w:rPr>
        <w:t>، والجيدر: القصير</w:t>
      </w:r>
      <w:r w:rsidRPr="00885058">
        <w:rPr>
          <w:vertAlign w:val="superscript"/>
          <w:rtl/>
        </w:rPr>
        <w:t>(</w:t>
      </w:r>
      <w:r w:rsidRPr="00885058">
        <w:rPr>
          <w:vertAlign w:val="superscript"/>
          <w:rtl/>
        </w:rPr>
        <w:footnoteReference w:id="1719"/>
      </w:r>
      <w:r w:rsidRPr="00885058">
        <w:rPr>
          <w:vertAlign w:val="superscript"/>
          <w:rtl/>
        </w:rPr>
        <w:t>)</w:t>
      </w:r>
      <w:r w:rsidRPr="00885058">
        <w:rPr>
          <w:rFonts w:ascii="Traditional Arabic" w:hAnsi="Traditional Arabic"/>
          <w:rtl/>
        </w:rPr>
        <w:t>.</w:t>
      </w:r>
    </w:p>
    <w:p w:rsidR="00885058" w:rsidRPr="00885058" w:rsidRDefault="00885058" w:rsidP="00237681">
      <w:pPr>
        <w:ind w:firstLine="0"/>
        <w:rPr>
          <w:rFonts w:ascii="Traditional Arabic" w:hAnsi="Traditional Arabic"/>
          <w:rtl/>
        </w:rPr>
      </w:pPr>
      <w:r w:rsidRPr="00885058">
        <w:rPr>
          <w:rFonts w:ascii="Traditional Arabic" w:hAnsi="Traditional Arabic"/>
          <w:rtl/>
        </w:rPr>
        <w:t xml:space="preserve">قوله تعالى: </w:t>
      </w:r>
      <w:r w:rsidRPr="00885058">
        <w:rPr>
          <w:rFonts w:ascii="QCF_BSML" w:hAnsi="QCF_BSML" w:cs="QCF_BSML"/>
          <w:color w:val="auto"/>
          <w:sz w:val="32"/>
          <w:szCs w:val="32"/>
          <w:rtl/>
          <w:lang w:eastAsia="en-US"/>
        </w:rPr>
        <w:t>ﭽ</w:t>
      </w:r>
      <w:r w:rsidRPr="00885058">
        <w:rPr>
          <w:rFonts w:ascii="QCF_P302" w:hAnsi="QCF_P302" w:cs="QCF_P302"/>
          <w:color w:val="auto"/>
          <w:sz w:val="32"/>
          <w:szCs w:val="32"/>
          <w:rtl/>
          <w:lang w:eastAsia="en-US"/>
        </w:rPr>
        <w:t>ﭹ  ﭺ  ﭻ</w:t>
      </w:r>
      <w:r w:rsidRPr="00885058">
        <w:rPr>
          <w:rFonts w:ascii="QCF_BSML" w:hAnsi="QCF_BSML" w:cs="QCF_BSML"/>
          <w:sz w:val="32"/>
          <w:szCs w:val="32"/>
          <w:rtl/>
          <w:lang w:eastAsia="en-US"/>
        </w:rPr>
        <w:t xml:space="preserve"> ﭼ</w:t>
      </w:r>
      <w:r w:rsidRPr="00885058">
        <w:rPr>
          <w:rFonts w:ascii="Traditional Arabic" w:hAnsi="Traditional Arabic"/>
          <w:rtl/>
        </w:rPr>
        <w:t xml:space="preserve"> وقرأ أُبيُّ بن كعب، وأبو رجاء: «ينقاض» بألف ممدودة، وضاد معجمة، وقرأ ابن مسعود، وأبو العالية، وأبو عثمان النهدي: «ينقاص» بألف ومدة وصاد غير معجمة، وكلُّه بلا تشديد</w:t>
      </w:r>
      <w:r w:rsidRPr="00885058">
        <w:rPr>
          <w:vertAlign w:val="superscript"/>
          <w:rtl/>
        </w:rPr>
        <w:t>(</w:t>
      </w:r>
      <w:r w:rsidRPr="00885058">
        <w:rPr>
          <w:vertAlign w:val="superscript"/>
          <w:rtl/>
        </w:rPr>
        <w:footnoteReference w:id="1720"/>
      </w:r>
      <w:r w:rsidRPr="00885058">
        <w:rPr>
          <w:vertAlign w:val="superscript"/>
          <w:rtl/>
        </w:rPr>
        <w:t>)</w:t>
      </w:r>
      <w:r w:rsidRPr="00885058">
        <w:rPr>
          <w:rFonts w:ascii="Traditional Arabic" w:hAnsi="Traditional Arabic"/>
          <w:rtl/>
        </w:rPr>
        <w:t>. قال الزجاج: فمعنى: ينقضَّ: يسقط بسرعة، وينقا</w:t>
      </w:r>
      <w:r w:rsidRPr="00885058">
        <w:rPr>
          <w:rFonts w:ascii="Traditional Arabic" w:hAnsi="Traditional Arabic" w:hint="cs"/>
          <w:rtl/>
        </w:rPr>
        <w:t>ض</w:t>
      </w:r>
      <w:r w:rsidRPr="00885058">
        <w:rPr>
          <w:rFonts w:ascii="Traditional Arabic" w:hAnsi="Traditional Arabic"/>
          <w:rtl/>
        </w:rPr>
        <w:t xml:space="preserve">، غير معجمة: ينشق طولاً، يقال: </w:t>
      </w:r>
      <w:r w:rsidRPr="00885058">
        <w:rPr>
          <w:rFonts w:ascii="Traditional Arabic" w:hAnsi="Traditional Arabic" w:hint="cs"/>
          <w:rtl/>
        </w:rPr>
        <w:t>انقاضت</w:t>
      </w:r>
      <w:r w:rsidRPr="00885058">
        <w:rPr>
          <w:vertAlign w:val="superscript"/>
          <w:rtl/>
        </w:rPr>
        <w:t>(</w:t>
      </w:r>
      <w:r w:rsidRPr="00885058">
        <w:rPr>
          <w:vertAlign w:val="superscript"/>
          <w:rtl/>
        </w:rPr>
        <w:footnoteReference w:id="1721"/>
      </w:r>
      <w:r w:rsidRPr="00885058">
        <w:rPr>
          <w:vertAlign w:val="superscript"/>
          <w:rtl/>
        </w:rPr>
        <w:t>)</w:t>
      </w:r>
      <w:r w:rsidRPr="00885058">
        <w:rPr>
          <w:rFonts w:ascii="Traditional Arabic" w:hAnsi="Traditional Arabic"/>
          <w:rtl/>
        </w:rPr>
        <w:t>س</w:t>
      </w:r>
      <w:r w:rsidRPr="00885058">
        <w:rPr>
          <w:rFonts w:ascii="Traditional Arabic" w:hAnsi="Traditional Arabic" w:hint="cs"/>
          <w:rtl/>
        </w:rPr>
        <w:t>ِ</w:t>
      </w:r>
      <w:r w:rsidRPr="00885058">
        <w:rPr>
          <w:rFonts w:ascii="Traditional Arabic" w:hAnsi="Traditional Arabic"/>
          <w:rtl/>
        </w:rPr>
        <w:t>نّه: إذا انشقّت</w:t>
      </w:r>
      <w:r w:rsidRPr="00885058">
        <w:rPr>
          <w:vertAlign w:val="superscript"/>
          <w:rtl/>
        </w:rPr>
        <w:t>(</w:t>
      </w:r>
      <w:r w:rsidRPr="00885058">
        <w:rPr>
          <w:vertAlign w:val="superscript"/>
          <w:rtl/>
        </w:rPr>
        <w:footnoteReference w:id="1722"/>
      </w:r>
      <w:r w:rsidRPr="00885058">
        <w:rPr>
          <w:vertAlign w:val="superscript"/>
          <w:rtl/>
        </w:rPr>
        <w:t>)</w:t>
      </w:r>
      <w:r w:rsidRPr="00885058">
        <w:rPr>
          <w:rFonts w:ascii="Traditional Arabic" w:hAnsi="Traditional Arabic"/>
          <w:rtl/>
        </w:rPr>
        <w:t>. قال ابن مقسم</w:t>
      </w:r>
      <w:r w:rsidRPr="00885058">
        <w:rPr>
          <w:vertAlign w:val="superscript"/>
          <w:rtl/>
        </w:rPr>
        <w:t>(</w:t>
      </w:r>
      <w:r w:rsidRPr="00885058">
        <w:rPr>
          <w:vertAlign w:val="superscript"/>
          <w:rtl/>
        </w:rPr>
        <w:footnoteReference w:id="1723"/>
      </w:r>
      <w:r w:rsidRPr="00885058">
        <w:rPr>
          <w:vertAlign w:val="superscript"/>
          <w:rtl/>
        </w:rPr>
        <w:t>)</w:t>
      </w:r>
      <w:r w:rsidRPr="00885058">
        <w:rPr>
          <w:rFonts w:ascii="Traditional Arabic" w:hAnsi="Traditional Arabic"/>
          <w:rtl/>
        </w:rPr>
        <w:t>: يقال انقاصت سِنُّه، وانقاضت- بالصاد، والضاد- على معنى واحد</w:t>
      </w:r>
      <w:r w:rsidRPr="00885058">
        <w:rPr>
          <w:vertAlign w:val="superscript"/>
          <w:rtl/>
        </w:rPr>
        <w:t>(</w:t>
      </w:r>
      <w:r w:rsidRPr="00885058">
        <w:rPr>
          <w:vertAlign w:val="superscript"/>
          <w:rtl/>
        </w:rPr>
        <w:footnoteReference w:id="1724"/>
      </w:r>
      <w:r w:rsidRPr="00885058">
        <w:rPr>
          <w:vertAlign w:val="superscript"/>
          <w:rtl/>
        </w:rPr>
        <w:t>)</w:t>
      </w:r>
      <w:r w:rsidRPr="00885058">
        <w:rPr>
          <w:rFonts w:ascii="Traditional Arabic" w:hAnsi="Traditional Arabic"/>
          <w:rtl/>
        </w:rPr>
        <w:t>.</w:t>
      </w:r>
      <w:r w:rsidR="00237681">
        <w:rPr>
          <w:rFonts w:ascii="Traditional Arabic" w:hAnsi="Traditional Arabic" w:hint="cs"/>
          <w:rtl/>
        </w:rPr>
        <w:t xml:space="preserve"> </w:t>
      </w:r>
      <w:r w:rsidRPr="00885058">
        <w:rPr>
          <w:rFonts w:ascii="Traditional Arabic" w:hAnsi="Traditional Arabic"/>
          <w:rtl/>
        </w:rPr>
        <w:t>فإن قيل: كيف نسبت الإِرادة إِلى ما لا يعقل؟</w:t>
      </w:r>
      <w:r w:rsidRPr="00885058">
        <w:rPr>
          <w:rFonts w:ascii="Traditional Arabic" w:hAnsi="Traditional Arabic" w:hint="cs"/>
          <w:rtl/>
        </w:rPr>
        <w:t xml:space="preserve"> </w:t>
      </w:r>
      <w:r w:rsidRPr="00885058">
        <w:rPr>
          <w:rFonts w:ascii="Traditional Arabic" w:hAnsi="Traditional Arabic"/>
          <w:rtl/>
        </w:rPr>
        <w:t xml:space="preserve">فالجواب: أن هذا على وجه المجاز تشبيهاً بمن يعقل، ويريد: لأن هيأته في التهيؤ </w:t>
      </w:r>
      <w:r w:rsidRPr="00885058">
        <w:rPr>
          <w:rFonts w:ascii="Traditional Arabic" w:hAnsi="Traditional Arabic"/>
          <w:rtl/>
        </w:rPr>
        <w:lastRenderedPageBreak/>
        <w:t>للوقوع قد ظهرت كما يظهر من أفعال المريدين القاصدين، فوصفت بالإِرادة إِذ كانت الصورتان واحدة، وقد أضافت العرب الأفعال إلى ما لا يعقل تجوّزا، قال الله عزّ وجلّ:</w:t>
      </w:r>
      <w:r w:rsidRPr="00885058">
        <w:rPr>
          <w:rFonts w:ascii="QCF_BSML" w:hAnsi="QCF_BSML" w:cs="QCF_BSML"/>
          <w:sz w:val="47"/>
          <w:szCs w:val="47"/>
          <w:rtl/>
          <w:lang w:eastAsia="en-US"/>
        </w:rPr>
        <w:t xml:space="preserve"> </w:t>
      </w:r>
      <w:r w:rsidRPr="00885058">
        <w:rPr>
          <w:rFonts w:ascii="QCF_BSML" w:hAnsi="QCF_BSML" w:cs="QCF_BSML" w:hint="cs"/>
          <w:sz w:val="32"/>
          <w:szCs w:val="32"/>
          <w:rtl/>
          <w:lang w:eastAsia="en-US"/>
        </w:rPr>
        <w:t xml:space="preserve">  </w:t>
      </w:r>
      <w:r w:rsidRPr="00885058">
        <w:rPr>
          <w:rFonts w:ascii="QCF_BSML" w:hAnsi="QCF_BSML" w:cs="QCF_BSML"/>
          <w:sz w:val="32"/>
          <w:szCs w:val="32"/>
          <w:rtl/>
          <w:lang w:eastAsia="en-US"/>
        </w:rPr>
        <w:t xml:space="preserve">ﭽ </w:t>
      </w:r>
      <w:r w:rsidRPr="00885058">
        <w:rPr>
          <w:rFonts w:ascii="QCF_P169" w:hAnsi="QCF_P169" w:cs="QCF_P169"/>
          <w:sz w:val="32"/>
          <w:szCs w:val="32"/>
          <w:rtl/>
          <w:lang w:eastAsia="en-US"/>
        </w:rPr>
        <w:t xml:space="preserve">ﮩ  ﮪ  ﮫ  ﮬ  </w:t>
      </w:r>
      <w:r w:rsidRPr="00885058">
        <w:rPr>
          <w:rFonts w:ascii="QCF_BSML" w:hAnsi="QCF_BSML" w:cs="QCF_BSML"/>
          <w:sz w:val="32"/>
          <w:szCs w:val="32"/>
          <w:rtl/>
          <w:lang w:eastAsia="en-US"/>
        </w:rPr>
        <w:t>ﭼ</w:t>
      </w:r>
      <w:r w:rsidRPr="00885058">
        <w:rPr>
          <w:rFonts w:ascii="Arial" w:hAnsi="Arial" w:cs="Arial"/>
          <w:sz w:val="18"/>
          <w:szCs w:val="18"/>
          <w:rtl/>
          <w:lang w:eastAsia="en-US"/>
        </w:rPr>
        <w:t xml:space="preserve"> </w:t>
      </w:r>
      <w:r w:rsidRPr="00885058">
        <w:rPr>
          <w:rFonts w:ascii="Traditional Arabic" w:hAnsi="Traditional Arabic" w:hint="cs"/>
          <w:sz w:val="32"/>
          <w:szCs w:val="32"/>
          <w:rtl/>
        </w:rPr>
        <w:t>[</w:t>
      </w:r>
      <w:r w:rsidRPr="00885058">
        <w:rPr>
          <w:rFonts w:ascii="Traditional Arabic" w:hAnsi="Traditional Arabic"/>
          <w:sz w:val="32"/>
          <w:szCs w:val="32"/>
          <w:rtl/>
        </w:rPr>
        <w:t>الأعراف:154</w:t>
      </w:r>
      <w:r w:rsidRPr="00885058">
        <w:rPr>
          <w:rFonts w:ascii="Traditional Arabic" w:hAnsi="Traditional Arabic" w:hint="cs"/>
          <w:sz w:val="32"/>
          <w:szCs w:val="32"/>
          <w:rtl/>
        </w:rPr>
        <w:t>].</w:t>
      </w:r>
      <w:r w:rsidRPr="00885058">
        <w:rPr>
          <w:rFonts w:ascii="Traditional Arabic" w:hAnsi="Traditional Arabic"/>
          <w:sz w:val="32"/>
          <w:szCs w:val="32"/>
          <w:rtl/>
        </w:rPr>
        <w:t xml:space="preserve"> [</w:t>
      </w:r>
      <w:r w:rsidRPr="00885058">
        <w:rPr>
          <w:rFonts w:ascii="Traditional Arabic" w:hAnsi="Traditional Arabic" w:hint="cs"/>
          <w:sz w:val="32"/>
          <w:szCs w:val="32"/>
          <w:rtl/>
        </w:rPr>
        <w:t>141</w:t>
      </w:r>
      <w:r w:rsidRPr="00885058">
        <w:rPr>
          <w:rFonts w:ascii="Traditional Arabic" w:hAnsi="Traditional Arabic"/>
          <w:sz w:val="32"/>
          <w:szCs w:val="32"/>
          <w:rtl/>
        </w:rPr>
        <w:t>]</w:t>
      </w:r>
      <w:r w:rsidRPr="00885058">
        <w:rPr>
          <w:rFonts w:ascii="Traditional Arabic" w:hAnsi="Traditional Arabic"/>
          <w:rtl/>
        </w:rPr>
        <w:t xml:space="preserve"> والغضب لا يسكت، وإِنما س</w:t>
      </w:r>
      <w:r w:rsidRPr="00885058">
        <w:rPr>
          <w:rFonts w:ascii="Traditional Arabic" w:hAnsi="Traditional Arabic" w:hint="cs"/>
          <w:rtl/>
        </w:rPr>
        <w:t>َ</w:t>
      </w:r>
      <w:r w:rsidRPr="00885058">
        <w:rPr>
          <w:rFonts w:ascii="Traditional Arabic" w:hAnsi="Traditional Arabic"/>
          <w:rtl/>
        </w:rPr>
        <w:t>كت</w:t>
      </w:r>
      <w:r w:rsidRPr="00885058">
        <w:rPr>
          <w:vertAlign w:val="superscript"/>
          <w:rtl/>
        </w:rPr>
        <w:t>(</w:t>
      </w:r>
      <w:r w:rsidRPr="00885058">
        <w:rPr>
          <w:vertAlign w:val="superscript"/>
          <w:rtl/>
        </w:rPr>
        <w:footnoteReference w:id="1725"/>
      </w:r>
      <w:r w:rsidRPr="00885058">
        <w:rPr>
          <w:vertAlign w:val="superscript"/>
          <w:rtl/>
        </w:rPr>
        <w:t>)</w:t>
      </w:r>
      <w:r w:rsidRPr="00885058">
        <w:rPr>
          <w:rFonts w:ascii="Traditional Arabic" w:hAnsi="Traditional Arabic"/>
          <w:rtl/>
        </w:rPr>
        <w:t xml:space="preserve">صاحبه، وقال: </w:t>
      </w:r>
      <w:r w:rsidRPr="00885058">
        <w:rPr>
          <w:rFonts w:ascii="QCF_BSML" w:hAnsi="QCF_BSML" w:cs="QCF_BSML"/>
          <w:sz w:val="32"/>
          <w:szCs w:val="32"/>
          <w:rtl/>
          <w:lang w:eastAsia="en-US"/>
        </w:rPr>
        <w:t xml:space="preserve">ﭽ </w:t>
      </w:r>
      <w:r w:rsidRPr="00885058">
        <w:rPr>
          <w:rFonts w:ascii="QCF_P509" w:hAnsi="QCF_P509" w:cs="QCF_P509"/>
          <w:sz w:val="32"/>
          <w:szCs w:val="32"/>
          <w:rtl/>
          <w:lang w:eastAsia="en-US"/>
        </w:rPr>
        <w:t xml:space="preserve">ﭴ  ﭵ  ﭶ     </w:t>
      </w:r>
      <w:r w:rsidRPr="00885058">
        <w:rPr>
          <w:rFonts w:ascii="QCF_BSML" w:hAnsi="QCF_BSML" w:cs="QCF_BSML"/>
          <w:sz w:val="32"/>
          <w:szCs w:val="32"/>
          <w:rtl/>
          <w:lang w:eastAsia="en-US"/>
        </w:rPr>
        <w:t>ﭼ</w:t>
      </w:r>
      <w:r w:rsidRPr="00885058">
        <w:rPr>
          <w:rFonts w:ascii="Arial" w:hAnsi="Arial" w:cs="Arial"/>
          <w:sz w:val="18"/>
          <w:szCs w:val="18"/>
          <w:rtl/>
          <w:lang w:eastAsia="en-US"/>
        </w:rPr>
        <w:t xml:space="preserve"> </w:t>
      </w:r>
      <w:r w:rsidRPr="00885058">
        <w:rPr>
          <w:rFonts w:ascii="Traditional Arabic" w:hAnsi="Traditional Arabic" w:hint="cs"/>
          <w:rtl/>
        </w:rPr>
        <w:t>[</w:t>
      </w:r>
      <w:r w:rsidRPr="00885058">
        <w:rPr>
          <w:rFonts w:ascii="Traditional Arabic" w:hAnsi="Traditional Arabic"/>
          <w:rtl/>
        </w:rPr>
        <w:t>محمد:21</w:t>
      </w:r>
      <w:r w:rsidRPr="00885058">
        <w:rPr>
          <w:rFonts w:ascii="Traditional Arabic" w:hAnsi="Traditional Arabic" w:hint="cs"/>
          <w:rtl/>
        </w:rPr>
        <w:t>]</w:t>
      </w:r>
      <w:r w:rsidRPr="00885058">
        <w:rPr>
          <w:vertAlign w:val="superscript"/>
          <w:rtl/>
        </w:rPr>
        <w:t>(</w:t>
      </w:r>
      <w:r w:rsidRPr="00885058">
        <w:rPr>
          <w:vertAlign w:val="superscript"/>
          <w:rtl/>
        </w:rPr>
        <w:footnoteReference w:id="1726"/>
      </w:r>
      <w:r w:rsidRPr="00885058">
        <w:rPr>
          <w:vertAlign w:val="superscript"/>
          <w:rtl/>
        </w:rPr>
        <w:t>)</w:t>
      </w:r>
      <w:r w:rsidRPr="00885058">
        <w:rPr>
          <w:rFonts w:ascii="Traditional Arabic" w:hAnsi="Traditional Arabic"/>
          <w:rtl/>
        </w:rPr>
        <w:t>. وأنشدوا من ذلك:</w:t>
      </w:r>
    </w:p>
    <w:p w:rsidR="00885058" w:rsidRPr="00885058" w:rsidRDefault="00885058" w:rsidP="00885058">
      <w:pPr>
        <w:ind w:firstLine="0"/>
        <w:rPr>
          <w:rFonts w:ascii="Traditional Arabic" w:hAnsi="Traditional Arabic"/>
          <w:rtl/>
        </w:rPr>
      </w:pPr>
      <w:r w:rsidRPr="00885058">
        <w:rPr>
          <w:rFonts w:ascii="Traditional Arabic" w:hAnsi="Traditional Arabic"/>
          <w:rtl/>
        </w:rPr>
        <w:t>إِنَّ دهْراً يَلُفُّ</w:t>
      </w:r>
      <w:r w:rsidRPr="00885058">
        <w:rPr>
          <w:vertAlign w:val="superscript"/>
          <w:rtl/>
        </w:rPr>
        <w:t>(</w:t>
      </w:r>
      <w:r w:rsidRPr="00885058">
        <w:rPr>
          <w:vertAlign w:val="superscript"/>
          <w:rtl/>
        </w:rPr>
        <w:footnoteReference w:id="1727"/>
      </w:r>
      <w:r w:rsidRPr="00885058">
        <w:rPr>
          <w:vertAlign w:val="superscript"/>
          <w:rtl/>
        </w:rPr>
        <w:t>)</w:t>
      </w:r>
      <w:r w:rsidRPr="00885058">
        <w:rPr>
          <w:rFonts w:ascii="Traditional Arabic" w:hAnsi="Traditional Arabic"/>
          <w:rtl/>
        </w:rPr>
        <w:t>شَمْلِي</w:t>
      </w:r>
      <w:r w:rsidRPr="00885058">
        <w:rPr>
          <w:vertAlign w:val="superscript"/>
          <w:rtl/>
        </w:rPr>
        <w:t>(</w:t>
      </w:r>
      <w:r w:rsidRPr="00885058">
        <w:rPr>
          <w:vertAlign w:val="superscript"/>
          <w:rtl/>
        </w:rPr>
        <w:footnoteReference w:id="1728"/>
      </w:r>
      <w:r w:rsidRPr="00885058">
        <w:rPr>
          <w:vertAlign w:val="superscript"/>
          <w:rtl/>
        </w:rPr>
        <w:t>)</w:t>
      </w:r>
      <w:r w:rsidRPr="00885058">
        <w:rPr>
          <w:rFonts w:ascii="Traditional Arabic" w:hAnsi="Traditional Arabic"/>
          <w:rtl/>
        </w:rPr>
        <w:t>بجمل</w:t>
      </w:r>
      <w:r w:rsidRPr="00885058">
        <w:rPr>
          <w:vertAlign w:val="superscript"/>
          <w:rtl/>
        </w:rPr>
        <w:t>(</w:t>
      </w:r>
      <w:r w:rsidRPr="00885058">
        <w:rPr>
          <w:vertAlign w:val="superscript"/>
          <w:rtl/>
        </w:rPr>
        <w:footnoteReference w:id="1729"/>
      </w:r>
      <w:r w:rsidRPr="00885058">
        <w:rPr>
          <w:vertAlign w:val="superscript"/>
          <w:rtl/>
        </w:rPr>
        <w:t>)</w:t>
      </w:r>
      <w:r w:rsidRPr="00885058">
        <w:rPr>
          <w:rFonts w:ascii="Traditional Arabic" w:hAnsi="Traditional Arabic"/>
          <w:rtl/>
        </w:rPr>
        <w:t>... لزمان</w:t>
      </w:r>
      <w:r w:rsidRPr="00885058">
        <w:rPr>
          <w:rFonts w:ascii="Traditional Arabic" w:hAnsi="Traditional Arabic" w:hint="cs"/>
          <w:rtl/>
        </w:rPr>
        <w:t>ٌ</w:t>
      </w:r>
      <w:r w:rsidRPr="00885058">
        <w:rPr>
          <w:rFonts w:ascii="Traditional Arabic" w:hAnsi="Traditional Arabic"/>
          <w:rtl/>
        </w:rPr>
        <w:t xml:space="preserve"> ي</w:t>
      </w:r>
      <w:r w:rsidRPr="00885058">
        <w:rPr>
          <w:rFonts w:ascii="Traditional Arabic" w:hAnsi="Traditional Arabic" w:hint="cs"/>
          <w:rtl/>
        </w:rPr>
        <w:t>َ</w:t>
      </w:r>
      <w:r w:rsidRPr="00885058">
        <w:rPr>
          <w:rFonts w:ascii="Traditional Arabic" w:hAnsi="Traditional Arabic"/>
          <w:rtl/>
        </w:rPr>
        <w:t>ه</w:t>
      </w:r>
      <w:r w:rsidRPr="00885058">
        <w:rPr>
          <w:rFonts w:ascii="Traditional Arabic" w:hAnsi="Traditional Arabic" w:hint="cs"/>
          <w:rtl/>
        </w:rPr>
        <w:t>ُ</w:t>
      </w:r>
      <w:r w:rsidRPr="00885058">
        <w:rPr>
          <w:rFonts w:ascii="Traditional Arabic" w:hAnsi="Traditional Arabic"/>
          <w:rtl/>
        </w:rPr>
        <w:t>مّ</w:t>
      </w:r>
      <w:r w:rsidRPr="00885058">
        <w:rPr>
          <w:rFonts w:ascii="Traditional Arabic" w:hAnsi="Traditional Arabic" w:hint="cs"/>
          <w:rtl/>
        </w:rPr>
        <w:t>ُ</w:t>
      </w:r>
      <w:r w:rsidRPr="00885058">
        <w:rPr>
          <w:rFonts w:ascii="Traditional Arabic" w:hAnsi="Traditional Arabic"/>
          <w:rtl/>
        </w:rPr>
        <w:t xml:space="preserve"> بالإحسان</w:t>
      </w:r>
      <w:r w:rsidRPr="00885058">
        <w:rPr>
          <w:rFonts w:ascii="Traditional Arabic" w:hAnsi="Traditional Arabic" w:hint="cs"/>
          <w:rtl/>
        </w:rPr>
        <w:t>ِ</w:t>
      </w:r>
      <w:r w:rsidRPr="00885058">
        <w:rPr>
          <w:vertAlign w:val="superscript"/>
          <w:rtl/>
        </w:rPr>
        <w:t>(</w:t>
      </w:r>
      <w:r w:rsidRPr="00885058">
        <w:rPr>
          <w:vertAlign w:val="superscript"/>
          <w:rtl/>
        </w:rPr>
        <w:footnoteReference w:id="1730"/>
      </w:r>
      <w:r w:rsidRPr="00885058">
        <w:rPr>
          <w:vertAlign w:val="superscript"/>
          <w:rtl/>
        </w:rPr>
        <w:t>)</w:t>
      </w:r>
    </w:p>
    <w:p w:rsidR="00885058" w:rsidRPr="00885058" w:rsidRDefault="00885058" w:rsidP="00885058">
      <w:pPr>
        <w:ind w:firstLine="0"/>
        <w:rPr>
          <w:rFonts w:ascii="Traditional Arabic" w:hAnsi="Traditional Arabic"/>
          <w:rtl/>
        </w:rPr>
      </w:pPr>
      <w:r w:rsidRPr="00885058">
        <w:rPr>
          <w:rFonts w:ascii="Traditional Arabic" w:hAnsi="Traditional Arabic"/>
          <w:rtl/>
        </w:rPr>
        <w:t>وقال آخر:</w:t>
      </w:r>
    </w:p>
    <w:p w:rsidR="00885058" w:rsidRPr="00885058" w:rsidRDefault="00885058" w:rsidP="00885058">
      <w:pPr>
        <w:ind w:firstLine="0"/>
        <w:rPr>
          <w:rFonts w:ascii="Traditional Arabic" w:hAnsi="Traditional Arabic"/>
          <w:rtl/>
        </w:rPr>
      </w:pPr>
      <w:r w:rsidRPr="00885058">
        <w:rPr>
          <w:rFonts w:ascii="Traditional Arabic" w:hAnsi="Traditional Arabic"/>
          <w:rtl/>
        </w:rPr>
        <w:t>يُرِيدُ الرُّمْحُ صَدْرَ أَبِي بَرَاءٍ ... ويرغب عن دماء بني عقيل</w:t>
      </w:r>
      <w:r w:rsidRPr="00885058">
        <w:rPr>
          <w:vertAlign w:val="superscript"/>
          <w:rtl/>
        </w:rPr>
        <w:t>(</w:t>
      </w:r>
      <w:r w:rsidRPr="00885058">
        <w:rPr>
          <w:vertAlign w:val="superscript"/>
          <w:rtl/>
        </w:rPr>
        <w:footnoteReference w:id="1731"/>
      </w:r>
      <w:r w:rsidRPr="00885058">
        <w:rPr>
          <w:vertAlign w:val="superscript"/>
          <w:rtl/>
        </w:rPr>
        <w:t>)</w:t>
      </w:r>
    </w:p>
    <w:p w:rsidR="00885058" w:rsidRPr="00885058" w:rsidRDefault="00885058" w:rsidP="00885058">
      <w:pPr>
        <w:ind w:firstLine="0"/>
        <w:rPr>
          <w:rFonts w:ascii="Traditional Arabic" w:hAnsi="Traditional Arabic"/>
          <w:rtl/>
        </w:rPr>
      </w:pPr>
      <w:r w:rsidRPr="00885058">
        <w:rPr>
          <w:rFonts w:ascii="Traditional Arabic" w:hAnsi="Traditional Arabic"/>
          <w:rtl/>
        </w:rPr>
        <w:t>وقال آخر:</w:t>
      </w:r>
    </w:p>
    <w:p w:rsidR="00885058" w:rsidRPr="00885058" w:rsidRDefault="00885058" w:rsidP="00237681">
      <w:pPr>
        <w:ind w:firstLine="0"/>
        <w:rPr>
          <w:rFonts w:ascii="Traditional Arabic" w:hAnsi="Traditional Arabic"/>
        </w:rPr>
      </w:pPr>
      <w:r w:rsidRPr="00885058">
        <w:rPr>
          <w:rFonts w:ascii="Traditional Arabic" w:hAnsi="Traditional Arabic"/>
          <w:rtl/>
        </w:rPr>
        <w:t>ضحكوا والدهرُ عنهم سَاكتٌ ... ثم أبكاهم دما لمّا نطق</w:t>
      </w:r>
      <w:r w:rsidRPr="00885058">
        <w:rPr>
          <w:vertAlign w:val="superscript"/>
          <w:rtl/>
        </w:rPr>
        <w:t>(</w:t>
      </w:r>
      <w:r w:rsidRPr="00885058">
        <w:rPr>
          <w:vertAlign w:val="superscript"/>
          <w:rtl/>
        </w:rPr>
        <w:footnoteReference w:id="1732"/>
      </w:r>
      <w:r w:rsidRPr="00885058">
        <w:rPr>
          <w:vertAlign w:val="superscript"/>
          <w:rtl/>
        </w:rPr>
        <w:t>)(</w:t>
      </w:r>
      <w:r w:rsidRPr="00885058">
        <w:rPr>
          <w:vertAlign w:val="superscript"/>
          <w:rtl/>
        </w:rPr>
        <w:footnoteReference w:id="1733"/>
      </w:r>
      <w:r w:rsidRPr="00885058">
        <w:rPr>
          <w:vertAlign w:val="superscript"/>
          <w:rtl/>
        </w:rPr>
        <w:t>)</w:t>
      </w:r>
    </w:p>
    <w:p w:rsidR="00885058" w:rsidRPr="00885058" w:rsidRDefault="00885058" w:rsidP="00885058">
      <w:pPr>
        <w:ind w:firstLine="0"/>
        <w:rPr>
          <w:rFonts w:ascii="Traditional Arabic" w:hAnsi="Traditional Arabic"/>
          <w:rtl/>
        </w:rPr>
      </w:pPr>
      <w:r w:rsidRPr="00885058">
        <w:rPr>
          <w:rFonts w:ascii="Traditional Arabic" w:hAnsi="Traditional Arabic"/>
          <w:vertAlign w:val="superscript"/>
        </w:rPr>
        <w:t xml:space="preserve"> </w:t>
      </w:r>
      <w:r w:rsidRPr="00885058">
        <w:rPr>
          <w:rFonts w:ascii="Traditional Arabic" w:hAnsi="Traditional Arabic"/>
          <w:rtl/>
        </w:rPr>
        <w:t>وقال آخر:</w:t>
      </w:r>
    </w:p>
    <w:p w:rsidR="00885058" w:rsidRPr="00885058" w:rsidRDefault="00885058" w:rsidP="00885058">
      <w:pPr>
        <w:ind w:firstLine="0"/>
        <w:rPr>
          <w:rFonts w:ascii="Traditional Arabic" w:hAnsi="Traditional Arabic"/>
          <w:rtl/>
        </w:rPr>
      </w:pPr>
      <w:r w:rsidRPr="00885058">
        <w:rPr>
          <w:rFonts w:ascii="Traditional Arabic" w:hAnsi="Traditional Arabic"/>
          <w:rtl/>
        </w:rPr>
        <w:t>يشْكُو إِليَّ جَمَلِي طُولَ السُّرَى</w:t>
      </w:r>
      <w:r w:rsidRPr="00885058">
        <w:rPr>
          <w:vertAlign w:val="superscript"/>
          <w:rtl/>
        </w:rPr>
        <w:t>(</w:t>
      </w:r>
      <w:r w:rsidRPr="00885058">
        <w:rPr>
          <w:vertAlign w:val="superscript"/>
          <w:rtl/>
        </w:rPr>
        <w:footnoteReference w:id="1734"/>
      </w:r>
      <w:r w:rsidRPr="00885058">
        <w:rPr>
          <w:vertAlign w:val="superscript"/>
          <w:rtl/>
        </w:rPr>
        <w:t>)</w:t>
      </w:r>
    </w:p>
    <w:p w:rsidR="00885058" w:rsidRPr="00885058" w:rsidRDefault="00885058" w:rsidP="00885058">
      <w:pPr>
        <w:ind w:firstLine="0"/>
        <w:rPr>
          <w:rFonts w:ascii="Traditional Arabic" w:hAnsi="Traditional Arabic"/>
          <w:rtl/>
        </w:rPr>
      </w:pPr>
      <w:r w:rsidRPr="00885058">
        <w:rPr>
          <w:rFonts w:ascii="Traditional Arabic" w:hAnsi="Traditional Arabic"/>
          <w:rtl/>
        </w:rPr>
        <w:t>وهذا كثير في أشعارهم.</w:t>
      </w:r>
      <w:r w:rsidRPr="00885058">
        <w:rPr>
          <w:rFonts w:ascii="Traditional Arabic" w:hAnsi="Traditional Arabic" w:hint="cs"/>
          <w:rtl/>
        </w:rPr>
        <w:t xml:space="preserve"> </w:t>
      </w:r>
      <w:r w:rsidRPr="00885058">
        <w:rPr>
          <w:rFonts w:ascii="Traditional Arabic" w:hAnsi="Traditional Arabic"/>
          <w:rtl/>
        </w:rPr>
        <w:t xml:space="preserve">قوله تعالى: </w:t>
      </w:r>
      <w:r w:rsidRPr="00885058">
        <w:rPr>
          <w:rFonts w:ascii="QCF_BSML" w:hAnsi="QCF_BSML" w:cs="QCF_BSML"/>
          <w:color w:val="auto"/>
          <w:sz w:val="32"/>
          <w:szCs w:val="32"/>
          <w:rtl/>
          <w:lang w:eastAsia="en-US"/>
        </w:rPr>
        <w:t>ﭽ</w:t>
      </w:r>
      <w:r w:rsidRPr="00885058">
        <w:rPr>
          <w:rFonts w:ascii="QCF_P302" w:hAnsi="QCF_P302" w:cs="QCF_P302"/>
          <w:color w:val="auto"/>
          <w:sz w:val="32"/>
          <w:szCs w:val="32"/>
          <w:rtl/>
          <w:lang w:eastAsia="en-US"/>
        </w:rPr>
        <w:t>ﭼ</w:t>
      </w:r>
      <w:r w:rsidRPr="00885058">
        <w:rPr>
          <w:rFonts w:ascii="QCF_BSML" w:hAnsi="QCF_BSML" w:cs="QCF_BSML"/>
          <w:sz w:val="32"/>
          <w:szCs w:val="32"/>
          <w:rtl/>
          <w:lang w:eastAsia="en-US"/>
        </w:rPr>
        <w:t>ﭼ</w:t>
      </w:r>
      <w:r w:rsidRPr="00885058">
        <w:rPr>
          <w:rFonts w:ascii="Traditional Arabic" w:hAnsi="Traditional Arabic"/>
          <w:rtl/>
        </w:rPr>
        <w:t xml:space="preserve"> أي: سوّاه، لأنه وجده مائلاً. وفي كيفية ما </w:t>
      </w:r>
      <w:r w:rsidRPr="00885058">
        <w:rPr>
          <w:rFonts w:ascii="Traditional Arabic" w:hAnsi="Traditional Arabic"/>
          <w:rtl/>
        </w:rPr>
        <w:lastRenderedPageBreak/>
        <w:t>فعل قولان: أحدهما: أنه دفعه بيده فقام. والثاني: هدمه ثم قعد يبنيه، روي القولان عن ابن عباس</w:t>
      </w:r>
      <w:r w:rsidRPr="00885058">
        <w:rPr>
          <w:vertAlign w:val="superscript"/>
          <w:rtl/>
        </w:rPr>
        <w:t>(</w:t>
      </w:r>
      <w:r w:rsidRPr="00885058">
        <w:rPr>
          <w:vertAlign w:val="superscript"/>
          <w:rtl/>
        </w:rPr>
        <w:footnoteReference w:id="1735"/>
      </w:r>
      <w:r w:rsidRPr="00885058">
        <w:rPr>
          <w:vertAlign w:val="superscript"/>
          <w:rtl/>
        </w:rPr>
        <w:t>)</w:t>
      </w:r>
      <w:r w:rsidRPr="00885058">
        <w:rPr>
          <w:rFonts w:ascii="Traditional Arabic" w:hAnsi="Traditional Arabic"/>
          <w:rtl/>
        </w:rPr>
        <w:t>.</w:t>
      </w:r>
      <w:r w:rsidRPr="00885058">
        <w:rPr>
          <w:rFonts w:ascii="Traditional Arabic" w:hAnsi="Traditional Arabic" w:hint="cs"/>
          <w:rtl/>
        </w:rPr>
        <w:t xml:space="preserve"> </w:t>
      </w:r>
      <w:r w:rsidRPr="00885058">
        <w:rPr>
          <w:rFonts w:ascii="Traditional Arabic" w:hAnsi="Traditional Arabic"/>
          <w:rtl/>
        </w:rPr>
        <w:t xml:space="preserve">قوله تعالى: </w:t>
      </w:r>
      <w:r w:rsidRPr="00885058">
        <w:rPr>
          <w:rFonts w:ascii="QCF_BSML" w:hAnsi="QCF_BSML" w:cs="QCF_BSML"/>
          <w:color w:val="auto"/>
          <w:sz w:val="32"/>
          <w:szCs w:val="32"/>
          <w:rtl/>
          <w:lang w:eastAsia="en-US"/>
        </w:rPr>
        <w:t>ﭽ</w:t>
      </w:r>
      <w:r w:rsidRPr="00885058">
        <w:rPr>
          <w:rFonts w:ascii="QCF_P302" w:hAnsi="QCF_P302" w:cs="QCF_P302"/>
          <w:color w:val="auto"/>
          <w:sz w:val="32"/>
          <w:szCs w:val="32"/>
          <w:rtl/>
          <w:lang w:eastAsia="en-US"/>
        </w:rPr>
        <w:t>ﭿ    ﮀ  ﮁ  ﮂ  ﮃ</w:t>
      </w:r>
      <w:r w:rsidRPr="00885058">
        <w:rPr>
          <w:rFonts w:ascii="QCF_BSML" w:hAnsi="QCF_BSML" w:cs="QCF_BSML"/>
          <w:sz w:val="32"/>
          <w:szCs w:val="32"/>
          <w:rtl/>
          <w:lang w:eastAsia="en-US"/>
        </w:rPr>
        <w:t>ﭼ</w:t>
      </w:r>
      <w:r w:rsidRPr="00885058">
        <w:rPr>
          <w:rFonts w:ascii="QCF_P302" w:hAnsi="QCF_P302" w:cs="QCF_P302"/>
          <w:color w:val="auto"/>
          <w:sz w:val="32"/>
          <w:szCs w:val="32"/>
          <w:rtl/>
          <w:lang w:eastAsia="en-US"/>
        </w:rPr>
        <w:t xml:space="preserve">  </w:t>
      </w:r>
      <w:r w:rsidRPr="00885058">
        <w:rPr>
          <w:rFonts w:ascii="Traditional Arabic" w:hAnsi="Traditional Arabic" w:hint="cs"/>
          <w:rtl/>
        </w:rPr>
        <w:t xml:space="preserve"> </w:t>
      </w:r>
      <w:r w:rsidRPr="00885058">
        <w:rPr>
          <w:rFonts w:ascii="Traditional Arabic" w:hAnsi="Traditional Arabic"/>
          <w:rtl/>
        </w:rPr>
        <w:t>قرأ ابن كثير، وأبو عمرو: «لتخ</w:t>
      </w:r>
      <w:r w:rsidRPr="00885058">
        <w:rPr>
          <w:rFonts w:ascii="Traditional Arabic" w:hAnsi="Traditional Arabic" w:hint="cs"/>
          <w:rtl/>
        </w:rPr>
        <w:t>ِ</w:t>
      </w:r>
      <w:r w:rsidRPr="00885058">
        <w:rPr>
          <w:rFonts w:ascii="Traditional Arabic" w:hAnsi="Traditional Arabic"/>
          <w:rtl/>
        </w:rPr>
        <w:t>ذت» بكسر الخاء، غير أن أبا عمرو كان يدغم الذال، وابن كثير يظهرها. وقرأ نافع، وعاصم، وابن عامر، وحمزة، والكسائي: «لاتَّخَذْتَ» وكلُّهم أدغموا، إِلا حفصاً عن عاصم، فإنه لم يدغم مثل ابن كثير</w:t>
      </w:r>
      <w:r w:rsidRPr="00885058">
        <w:rPr>
          <w:vertAlign w:val="superscript"/>
          <w:rtl/>
        </w:rPr>
        <w:t>(</w:t>
      </w:r>
      <w:r w:rsidRPr="00885058">
        <w:rPr>
          <w:vertAlign w:val="superscript"/>
          <w:rtl/>
        </w:rPr>
        <w:footnoteReference w:id="1736"/>
      </w:r>
      <w:r w:rsidRPr="00885058">
        <w:rPr>
          <w:vertAlign w:val="superscript"/>
          <w:rtl/>
        </w:rPr>
        <w:t>)</w:t>
      </w:r>
      <w:r w:rsidRPr="00885058">
        <w:rPr>
          <w:rFonts w:ascii="Traditional Arabic" w:hAnsi="Traditional Arabic"/>
          <w:rtl/>
        </w:rPr>
        <w:t>. قال الزجاج: يقال: تَخِذ يَتْخَذُ في معنى: اتَّخَذَ يتَّخِذُ. وإنما قال له هذا، لأنهم لم يضيِّفوهما</w:t>
      </w:r>
      <w:r w:rsidRPr="00885058">
        <w:rPr>
          <w:vertAlign w:val="superscript"/>
          <w:rtl/>
        </w:rPr>
        <w:t>(</w:t>
      </w:r>
      <w:r w:rsidRPr="00885058">
        <w:rPr>
          <w:vertAlign w:val="superscript"/>
          <w:rtl/>
        </w:rPr>
        <w:footnoteReference w:id="1737"/>
      </w:r>
      <w:r w:rsidRPr="00885058">
        <w:rPr>
          <w:vertAlign w:val="superscript"/>
          <w:rtl/>
        </w:rPr>
        <w:t>)</w:t>
      </w:r>
      <w:r w:rsidRPr="00885058">
        <w:rPr>
          <w:rFonts w:ascii="Traditional Arabic" w:hAnsi="Traditional Arabic"/>
          <w:rtl/>
        </w:rPr>
        <w:t>. قوله تعالى:</w:t>
      </w:r>
      <w:r w:rsidRPr="00885058">
        <w:rPr>
          <w:rFonts w:ascii="Traditional Arabic" w:hAnsi="Traditional Arabic" w:hint="cs"/>
          <w:rtl/>
        </w:rPr>
        <w:t xml:space="preserve"> </w:t>
      </w:r>
      <w:r w:rsidRPr="00885058">
        <w:rPr>
          <w:rFonts w:ascii="QCF_BSML" w:hAnsi="QCF_BSML" w:cs="QCF_BSML"/>
          <w:color w:val="auto"/>
          <w:sz w:val="32"/>
          <w:szCs w:val="32"/>
          <w:rtl/>
          <w:lang w:eastAsia="en-US"/>
        </w:rPr>
        <w:t>ﭽ</w:t>
      </w:r>
      <w:r w:rsidRPr="00885058">
        <w:rPr>
          <w:rFonts w:ascii="QCF_P302" w:hAnsi="QCF_P302" w:cs="QCF_P302"/>
          <w:color w:val="auto"/>
          <w:sz w:val="32"/>
          <w:szCs w:val="32"/>
          <w:rtl/>
          <w:lang w:eastAsia="en-US"/>
        </w:rPr>
        <w:t>ﮅ</w:t>
      </w:r>
      <w:r w:rsidRPr="00885058">
        <w:rPr>
          <w:rFonts w:ascii="QCF_BSML" w:hAnsi="QCF_BSML" w:cs="QCF_BSML"/>
          <w:sz w:val="32"/>
          <w:szCs w:val="32"/>
          <w:rtl/>
          <w:lang w:eastAsia="en-US"/>
        </w:rPr>
        <w:t>ﭼ</w:t>
      </w:r>
      <w:r w:rsidRPr="00885058">
        <w:rPr>
          <w:rFonts w:ascii="Traditional Arabic" w:hAnsi="Traditional Arabic"/>
          <w:rtl/>
        </w:rPr>
        <w:t xml:space="preserve"> يعني الخضر </w:t>
      </w:r>
      <w:r w:rsidRPr="00885058">
        <w:rPr>
          <w:rFonts w:ascii="QCF_BSML" w:hAnsi="QCF_BSML" w:cs="QCF_BSML"/>
          <w:color w:val="auto"/>
          <w:sz w:val="32"/>
          <w:szCs w:val="32"/>
          <w:rtl/>
          <w:lang w:eastAsia="en-US"/>
        </w:rPr>
        <w:t>ﭽ</w:t>
      </w:r>
      <w:r w:rsidRPr="00885058">
        <w:rPr>
          <w:rFonts w:ascii="QCF_P302" w:hAnsi="QCF_P302" w:cs="QCF_P302"/>
          <w:color w:val="auto"/>
          <w:sz w:val="32"/>
          <w:szCs w:val="32"/>
          <w:rtl/>
          <w:lang w:eastAsia="en-US"/>
        </w:rPr>
        <w:t>ﮆ</w:t>
      </w:r>
      <w:r w:rsidRPr="00885058">
        <w:rPr>
          <w:rFonts w:ascii="QCF_BSML" w:hAnsi="QCF_BSML" w:cs="QCF_BSML"/>
          <w:sz w:val="32"/>
          <w:szCs w:val="32"/>
          <w:rtl/>
          <w:lang w:eastAsia="en-US"/>
        </w:rPr>
        <w:t>ﭼ</w:t>
      </w:r>
      <w:r w:rsidRPr="00885058">
        <w:rPr>
          <w:rFonts w:ascii="Traditional Arabic" w:hAnsi="Traditional Arabic"/>
          <w:rtl/>
        </w:rPr>
        <w:t xml:space="preserve"> يعني الإِنكار عَلَيَّ </w:t>
      </w:r>
      <w:r w:rsidRPr="00885058">
        <w:rPr>
          <w:rFonts w:ascii="QCF_BSML" w:hAnsi="QCF_BSML" w:cs="QCF_BSML"/>
          <w:color w:val="auto"/>
          <w:sz w:val="32"/>
          <w:szCs w:val="32"/>
          <w:rtl/>
          <w:lang w:eastAsia="en-US"/>
        </w:rPr>
        <w:t>ﭽ</w:t>
      </w:r>
      <w:r w:rsidRPr="00885058">
        <w:rPr>
          <w:rFonts w:ascii="QCF_P302" w:hAnsi="QCF_P302" w:cs="QCF_P302"/>
          <w:color w:val="auto"/>
          <w:sz w:val="32"/>
          <w:szCs w:val="32"/>
          <w:rtl/>
          <w:lang w:eastAsia="en-US"/>
        </w:rPr>
        <w:t>ﮇ  ﮈ    ﮉﮊ</w:t>
      </w:r>
      <w:r w:rsidRPr="00885058">
        <w:rPr>
          <w:rFonts w:ascii="QCF_P302" w:hAnsi="QCF_P302" w:cs="QCF_P302" w:hint="cs"/>
          <w:color w:val="auto"/>
          <w:sz w:val="32"/>
          <w:szCs w:val="32"/>
          <w:rtl/>
          <w:lang w:eastAsia="en-US"/>
        </w:rPr>
        <w:t xml:space="preserve"> </w:t>
      </w:r>
      <w:r w:rsidRPr="00885058">
        <w:rPr>
          <w:rFonts w:ascii="QCF_P302" w:hAnsi="QCF_P302" w:cs="QCF_P302"/>
          <w:color w:val="auto"/>
          <w:sz w:val="32"/>
          <w:szCs w:val="32"/>
          <w:rtl/>
          <w:lang w:eastAsia="en-US"/>
        </w:rPr>
        <w:t xml:space="preserve"> </w:t>
      </w:r>
      <w:r w:rsidRPr="00885058">
        <w:rPr>
          <w:rFonts w:ascii="QCF_BSML" w:hAnsi="QCF_BSML" w:cs="QCF_BSML"/>
          <w:sz w:val="32"/>
          <w:szCs w:val="32"/>
          <w:rtl/>
          <w:lang w:eastAsia="en-US"/>
        </w:rPr>
        <w:t>ﭼ</w:t>
      </w:r>
      <w:r w:rsidRPr="00885058">
        <w:rPr>
          <w:rFonts w:ascii="QCF_BSML" w:hAnsi="QCF_BSML" w:cs="QCF_BSML" w:hint="cs"/>
          <w:sz w:val="32"/>
          <w:szCs w:val="32"/>
          <w:rtl/>
          <w:lang w:eastAsia="en-US"/>
        </w:rPr>
        <w:t xml:space="preserve">  </w:t>
      </w:r>
      <w:r w:rsidRPr="00885058">
        <w:rPr>
          <w:rFonts w:ascii="QCF_P302" w:hAnsi="QCF_P302" w:cs="QCF_P302"/>
          <w:color w:val="auto"/>
          <w:sz w:val="32"/>
          <w:szCs w:val="32"/>
          <w:rtl/>
          <w:lang w:eastAsia="en-US"/>
        </w:rPr>
        <w:t xml:space="preserve"> </w:t>
      </w:r>
      <w:r w:rsidRPr="00885058">
        <w:rPr>
          <w:rFonts w:ascii="Traditional Arabic" w:hAnsi="Traditional Arabic"/>
          <w:rtl/>
        </w:rPr>
        <w:t>أي: هو المفرِّق بيننا. قال الزجاج:</w:t>
      </w:r>
      <w:r w:rsidRPr="00885058">
        <w:rPr>
          <w:rFonts w:ascii="Traditional Arabic" w:hAnsi="Traditional Arabic" w:hint="cs"/>
          <w:rtl/>
        </w:rPr>
        <w:t xml:space="preserve"> </w:t>
      </w:r>
      <w:r w:rsidRPr="00885058">
        <w:rPr>
          <w:rFonts w:ascii="Traditional Arabic" w:hAnsi="Traditional Arabic"/>
          <w:rtl/>
        </w:rPr>
        <w:t>المعنى: هذا فراقُ بينِنا، أي: فراق اتصالنا، وكرر «بين» توكيداً، ومثله في الكلام: أخزى اللهُ الكاذب مني ومنك</w:t>
      </w:r>
      <w:r w:rsidRPr="00885058">
        <w:rPr>
          <w:vertAlign w:val="superscript"/>
          <w:rtl/>
        </w:rPr>
        <w:t>(</w:t>
      </w:r>
      <w:r w:rsidRPr="00885058">
        <w:rPr>
          <w:vertAlign w:val="superscript"/>
          <w:rtl/>
        </w:rPr>
        <w:footnoteReference w:id="1738"/>
      </w:r>
      <w:r w:rsidRPr="00885058">
        <w:rPr>
          <w:vertAlign w:val="superscript"/>
          <w:rtl/>
        </w:rPr>
        <w:t>)</w:t>
      </w:r>
      <w:r w:rsidRPr="00885058">
        <w:rPr>
          <w:rFonts w:ascii="Traditional Arabic" w:hAnsi="Traditional Arabic"/>
          <w:rtl/>
        </w:rPr>
        <w:t>. وقرأ أبو رزين، وابن السميفع، وأبو العالية، وابن أبي عبلة: «هذا فِراقٌ» بالتنوين «بيني وبينَك» بنصب النون</w:t>
      </w:r>
      <w:r w:rsidRPr="00885058">
        <w:rPr>
          <w:vertAlign w:val="superscript"/>
          <w:rtl/>
        </w:rPr>
        <w:t>(</w:t>
      </w:r>
      <w:r w:rsidRPr="00885058">
        <w:rPr>
          <w:vertAlign w:val="superscript"/>
          <w:rtl/>
        </w:rPr>
        <w:footnoteReference w:id="1739"/>
      </w:r>
      <w:r w:rsidRPr="00885058">
        <w:rPr>
          <w:vertAlign w:val="superscript"/>
          <w:rtl/>
        </w:rPr>
        <w:t>)</w:t>
      </w:r>
      <w:r w:rsidRPr="00885058">
        <w:rPr>
          <w:rFonts w:ascii="Traditional Arabic" w:hAnsi="Traditional Arabic"/>
          <w:rtl/>
        </w:rPr>
        <w:t xml:space="preserve">. قال ابن عباس: </w:t>
      </w:r>
      <w:r w:rsidR="00FD75C0">
        <w:rPr>
          <w:rFonts w:ascii="Traditional Arabic" w:hAnsi="Traditional Arabic"/>
          <w:rtl/>
        </w:rPr>
        <w:t>كان قول موسى في السفينة والغلام لربِّه، وكان قوله في الجدار</w:t>
      </w:r>
      <w:r w:rsidRPr="00885058">
        <w:rPr>
          <w:rFonts w:ascii="Traditional Arabic" w:hAnsi="Traditional Arabic"/>
          <w:rtl/>
        </w:rPr>
        <w:t xml:space="preserve"> لنفسه لطلب شيء من الدنيا</w:t>
      </w:r>
      <w:r w:rsidRPr="00885058">
        <w:rPr>
          <w:vertAlign w:val="superscript"/>
          <w:rtl/>
        </w:rPr>
        <w:t>(</w:t>
      </w:r>
      <w:r w:rsidRPr="00885058">
        <w:rPr>
          <w:vertAlign w:val="superscript"/>
          <w:rtl/>
        </w:rPr>
        <w:footnoteReference w:id="1740"/>
      </w:r>
      <w:r w:rsidRPr="00885058">
        <w:rPr>
          <w:vertAlign w:val="superscript"/>
          <w:rtl/>
        </w:rPr>
        <w:t>)</w:t>
      </w:r>
      <w:r w:rsidRPr="00885058">
        <w:rPr>
          <w:rFonts w:ascii="Traditional Arabic" w:hAnsi="Traditional Arabic"/>
          <w:rtl/>
        </w:rPr>
        <w:t>.</w:t>
      </w:r>
      <w:r w:rsidRPr="00885058">
        <w:rPr>
          <w:rFonts w:ascii="Traditional Arabic" w:hAnsi="Traditional Arabic" w:hint="cs"/>
          <w:rtl/>
        </w:rPr>
        <w:t xml:space="preserve"> </w:t>
      </w:r>
    </w:p>
    <w:p w:rsidR="00885058" w:rsidRPr="00885058" w:rsidRDefault="00885058" w:rsidP="00885058">
      <w:pPr>
        <w:ind w:firstLine="0"/>
        <w:rPr>
          <w:rFonts w:ascii="Traditional Arabic" w:hAnsi="Traditional Arabic"/>
          <w:rtl/>
        </w:rPr>
      </w:pPr>
    </w:p>
    <w:p w:rsidR="00885058" w:rsidRPr="00885058" w:rsidRDefault="00885058" w:rsidP="00885058">
      <w:pPr>
        <w:ind w:firstLine="0"/>
        <w:rPr>
          <w:rFonts w:ascii="QCF_P302" w:hAnsi="QCF_P302" w:cs="QCF_P302"/>
          <w:color w:val="auto"/>
          <w:sz w:val="32"/>
          <w:szCs w:val="32"/>
          <w:rtl/>
          <w:lang w:eastAsia="en-US"/>
        </w:rPr>
      </w:pPr>
      <w:r w:rsidRPr="00885058">
        <w:rPr>
          <w:rFonts w:ascii="QCF_BSML" w:hAnsi="QCF_BSML" w:cs="QCF_BSML"/>
          <w:color w:val="auto"/>
          <w:sz w:val="32"/>
          <w:szCs w:val="32"/>
          <w:rtl/>
          <w:lang w:eastAsia="en-US"/>
        </w:rPr>
        <w:t>ﭽ</w:t>
      </w:r>
      <w:r w:rsidRPr="00885058">
        <w:rPr>
          <w:rFonts w:ascii="QCF_P302" w:hAnsi="QCF_P302" w:cs="QCF_P302"/>
          <w:color w:val="auto"/>
          <w:sz w:val="32"/>
          <w:szCs w:val="32"/>
          <w:rtl/>
          <w:lang w:eastAsia="en-US"/>
        </w:rPr>
        <w:t xml:space="preserve">ﮓ   ﮔ  ﮕ  ﮖ  ﮗ  ﮘ  ﮙ            ﮚ  ﮛ  ﮜ     ﮝ  ﮞ  ﮟ  ﮠ  ﮡ       ﮢ  ﮣ  ﮤ  ﮥ  ﮦ  ﮧ  ﮨ  ﮩ  ﮪ  ﮫ  ﮬ  ﮭ  ﮮ   ﮯ  ﮰ  ﮱ  ﯓ  ﯔ  ﯕ  ﯖ  ﯗ  ﯘ  ﯙ   ﯚ  ﯛ  ﯜ       ﯝ  ﯞ  ﯟ   ﯠ  ﯡ  ﯢ    ﯣ  ﯤ                ﯥ  ﯦ  ﯧ  ﯨ  ﯩ  ﯪ  ﯫ  ﯬ          ﯭ  ﯮ  ﯯ              ﯰ  ﯱ  ﯲﯳ  ﯴ  ﯵ   ﯶ  ﯷﯸ  ﯹ  ﯺ  ﯻ  ﯼ     ﯽ  ﯾ  ﯿ  ﰀ  </w:t>
      </w:r>
      <w:r w:rsidRPr="00885058">
        <w:rPr>
          <w:rFonts w:ascii="QCF_BSML" w:hAnsi="QCF_BSML" w:cs="QCF_BSML"/>
          <w:color w:val="auto"/>
          <w:sz w:val="32"/>
          <w:szCs w:val="32"/>
          <w:rtl/>
          <w:lang w:eastAsia="en-US"/>
        </w:rPr>
        <w:t>ﭼ</w:t>
      </w:r>
    </w:p>
    <w:p w:rsidR="00885058" w:rsidRPr="00885058" w:rsidRDefault="00885058" w:rsidP="00885058">
      <w:pPr>
        <w:ind w:firstLine="0"/>
        <w:rPr>
          <w:rFonts w:ascii="Traditional Arabic" w:hAnsi="Traditional Arabic"/>
          <w:rtl/>
        </w:rPr>
      </w:pPr>
      <w:r w:rsidRPr="00885058">
        <w:rPr>
          <w:rFonts w:ascii="Traditional Arabic" w:hAnsi="Traditional Arabic"/>
          <w:rtl/>
        </w:rPr>
        <w:t xml:space="preserve">قوله تعالى: </w:t>
      </w:r>
      <w:r w:rsidRPr="00885058">
        <w:rPr>
          <w:rFonts w:ascii="QCF_BSML" w:hAnsi="QCF_BSML" w:cs="QCF_BSML"/>
          <w:color w:val="auto"/>
          <w:sz w:val="32"/>
          <w:szCs w:val="32"/>
          <w:rtl/>
          <w:lang w:eastAsia="en-US"/>
        </w:rPr>
        <w:t>ﭽ</w:t>
      </w:r>
      <w:r w:rsidRPr="00885058">
        <w:rPr>
          <w:rFonts w:ascii="QCF_P302" w:hAnsi="QCF_P302" w:cs="QCF_P302"/>
          <w:color w:val="auto"/>
          <w:sz w:val="32"/>
          <w:szCs w:val="32"/>
          <w:rtl/>
          <w:lang w:eastAsia="en-US"/>
        </w:rPr>
        <w:t>ﮕ  ﮖ</w:t>
      </w:r>
      <w:r w:rsidRPr="00885058">
        <w:rPr>
          <w:rFonts w:ascii="QCF_BSML" w:hAnsi="QCF_BSML" w:cs="QCF_BSML"/>
          <w:sz w:val="32"/>
          <w:szCs w:val="32"/>
          <w:rtl/>
          <w:lang w:eastAsia="en-US"/>
        </w:rPr>
        <w:t>ﭼ</w:t>
      </w:r>
      <w:r w:rsidRPr="00885058">
        <w:rPr>
          <w:rFonts w:ascii="QCF_P302" w:hAnsi="QCF_P302" w:cs="QCF_P302"/>
          <w:color w:val="auto"/>
          <w:sz w:val="32"/>
          <w:szCs w:val="32"/>
          <w:rtl/>
          <w:lang w:eastAsia="en-US"/>
        </w:rPr>
        <w:t xml:space="preserve">  </w:t>
      </w:r>
      <w:r w:rsidRPr="00885058">
        <w:rPr>
          <w:rFonts w:ascii="Traditional Arabic" w:hAnsi="Traditional Arabic"/>
          <w:rtl/>
        </w:rPr>
        <w:t xml:space="preserve">في المراد بمسكنتهم قولان: أحدهما: أنهم كانوا ضعفاءَ في </w:t>
      </w:r>
      <w:r w:rsidRPr="00885058">
        <w:rPr>
          <w:rFonts w:ascii="Traditional Arabic" w:hAnsi="Traditional Arabic"/>
          <w:rtl/>
        </w:rPr>
        <w:lastRenderedPageBreak/>
        <w:t>أكسابهم. والثاني: في أبدانهم</w:t>
      </w:r>
      <w:r w:rsidRPr="00885058">
        <w:rPr>
          <w:vertAlign w:val="superscript"/>
          <w:rtl/>
        </w:rPr>
        <w:t>(</w:t>
      </w:r>
      <w:r w:rsidRPr="00885058">
        <w:rPr>
          <w:vertAlign w:val="superscript"/>
          <w:rtl/>
        </w:rPr>
        <w:footnoteReference w:id="1741"/>
      </w:r>
      <w:r w:rsidRPr="00885058">
        <w:rPr>
          <w:vertAlign w:val="superscript"/>
          <w:rtl/>
        </w:rPr>
        <w:t>)</w:t>
      </w:r>
      <w:r w:rsidRPr="00885058">
        <w:rPr>
          <w:rFonts w:ascii="Traditional Arabic" w:hAnsi="Traditional Arabic"/>
          <w:rtl/>
        </w:rPr>
        <w:t>. وقال كعب: كانت لعشرة إِخوة، خمسةٍ زَمْنَى</w:t>
      </w:r>
      <w:r w:rsidRPr="00885058">
        <w:rPr>
          <w:vertAlign w:val="superscript"/>
          <w:rtl/>
        </w:rPr>
        <w:t>(</w:t>
      </w:r>
      <w:r w:rsidRPr="00885058">
        <w:rPr>
          <w:vertAlign w:val="superscript"/>
          <w:rtl/>
        </w:rPr>
        <w:footnoteReference w:id="1742"/>
      </w:r>
      <w:r w:rsidRPr="00885058">
        <w:rPr>
          <w:vertAlign w:val="superscript"/>
          <w:rtl/>
        </w:rPr>
        <w:t>)</w:t>
      </w:r>
      <w:r w:rsidRPr="00885058">
        <w:rPr>
          <w:rFonts w:ascii="Traditional Arabic" w:hAnsi="Traditional Arabic"/>
          <w:rtl/>
        </w:rPr>
        <w:t>، وخمسةٍ يعملون في البحر</w:t>
      </w:r>
      <w:r w:rsidRPr="00885058">
        <w:rPr>
          <w:vertAlign w:val="superscript"/>
          <w:rtl/>
        </w:rPr>
        <w:t>(</w:t>
      </w:r>
      <w:r w:rsidRPr="00885058">
        <w:rPr>
          <w:vertAlign w:val="superscript"/>
          <w:rtl/>
        </w:rPr>
        <w:footnoteReference w:id="1743"/>
      </w:r>
      <w:r w:rsidRPr="00885058">
        <w:rPr>
          <w:vertAlign w:val="superscript"/>
          <w:rtl/>
        </w:rPr>
        <w:t>)</w:t>
      </w:r>
      <w:r w:rsidRPr="00885058">
        <w:rPr>
          <w:rFonts w:ascii="Traditional Arabic" w:hAnsi="Traditional Arabic"/>
          <w:rtl/>
        </w:rPr>
        <w:t>.</w:t>
      </w:r>
    </w:p>
    <w:p w:rsidR="00885058" w:rsidRPr="00885058" w:rsidRDefault="00885058" w:rsidP="00FF11FE">
      <w:pPr>
        <w:ind w:firstLine="0"/>
        <w:rPr>
          <w:rFonts w:ascii="Traditional Arabic" w:hAnsi="Traditional Arabic"/>
          <w:rtl/>
        </w:rPr>
      </w:pPr>
      <w:r w:rsidRPr="00885058">
        <w:rPr>
          <w:rFonts w:ascii="Traditional Arabic" w:hAnsi="Traditional Arabic"/>
          <w:rtl/>
        </w:rPr>
        <w:t xml:space="preserve">قوله تعالى: </w:t>
      </w:r>
      <w:r w:rsidRPr="00885058">
        <w:rPr>
          <w:rFonts w:ascii="QCF_BSML" w:hAnsi="QCF_BSML" w:cs="QCF_BSML"/>
          <w:color w:val="auto"/>
          <w:sz w:val="32"/>
          <w:szCs w:val="32"/>
          <w:rtl/>
          <w:lang w:eastAsia="en-US"/>
        </w:rPr>
        <w:t>ﭽ</w:t>
      </w:r>
      <w:r w:rsidRPr="00885058">
        <w:rPr>
          <w:rFonts w:ascii="QCF_BSML" w:hAnsi="QCF_BSML" w:cs="QCF_BSML" w:hint="cs"/>
          <w:color w:val="auto"/>
          <w:sz w:val="32"/>
          <w:szCs w:val="32"/>
          <w:rtl/>
          <w:lang w:eastAsia="en-US"/>
        </w:rPr>
        <w:t xml:space="preserve"> </w:t>
      </w:r>
      <w:r w:rsidRPr="00885058">
        <w:rPr>
          <w:rFonts w:ascii="QCF_P302" w:hAnsi="QCF_P302" w:cs="QCF_P302"/>
          <w:color w:val="auto"/>
          <w:sz w:val="32"/>
          <w:szCs w:val="32"/>
          <w:rtl/>
          <w:lang w:eastAsia="en-US"/>
        </w:rPr>
        <w:t xml:space="preserve">ﮚ  ﮛ  ﮜ   </w:t>
      </w:r>
      <w:r w:rsidRPr="00885058">
        <w:rPr>
          <w:rFonts w:ascii="QCF_BSML" w:hAnsi="QCF_BSML" w:cs="QCF_BSML"/>
          <w:sz w:val="32"/>
          <w:szCs w:val="32"/>
          <w:rtl/>
          <w:lang w:eastAsia="en-US"/>
        </w:rPr>
        <w:t>ﭼ</w:t>
      </w:r>
      <w:r w:rsidRPr="00885058">
        <w:rPr>
          <w:rFonts w:ascii="QCF_P302" w:hAnsi="QCF_P302" w:cs="QCF_P302"/>
          <w:color w:val="auto"/>
          <w:sz w:val="32"/>
          <w:szCs w:val="32"/>
          <w:rtl/>
          <w:lang w:eastAsia="en-US"/>
        </w:rPr>
        <w:t xml:space="preserve">  </w:t>
      </w:r>
      <w:r w:rsidRPr="00885058">
        <w:rPr>
          <w:rFonts w:ascii="Traditional Arabic" w:hAnsi="Traditional Arabic"/>
          <w:rtl/>
        </w:rPr>
        <w:t xml:space="preserve">أي: أجعلها ذات عيب، يعني بخرقها، </w:t>
      </w:r>
      <w:r w:rsidRPr="00885058">
        <w:rPr>
          <w:rFonts w:ascii="QCF_BSML" w:hAnsi="QCF_BSML" w:cs="QCF_BSML"/>
          <w:color w:val="auto"/>
          <w:sz w:val="32"/>
          <w:szCs w:val="32"/>
          <w:rtl/>
          <w:lang w:eastAsia="en-US"/>
        </w:rPr>
        <w:t>ﭽ</w:t>
      </w:r>
      <w:r w:rsidRPr="00885058">
        <w:rPr>
          <w:rFonts w:ascii="QCF_BSML" w:hAnsi="QCF_BSML" w:cs="QCF_BSML" w:hint="cs"/>
          <w:color w:val="auto"/>
          <w:sz w:val="32"/>
          <w:szCs w:val="32"/>
          <w:rtl/>
          <w:lang w:eastAsia="en-US"/>
        </w:rPr>
        <w:t xml:space="preserve"> </w:t>
      </w:r>
      <w:r w:rsidRPr="00885058">
        <w:rPr>
          <w:rFonts w:ascii="QCF_P302" w:hAnsi="QCF_P302" w:cs="QCF_P302"/>
          <w:color w:val="auto"/>
          <w:sz w:val="32"/>
          <w:szCs w:val="32"/>
          <w:rtl/>
          <w:lang w:eastAsia="en-US"/>
        </w:rPr>
        <w:t>ﮝ  ﮞ</w:t>
      </w:r>
      <w:r w:rsidRPr="00885058">
        <w:rPr>
          <w:rFonts w:ascii="QCF_P302" w:hAnsi="QCF_P302" w:cs="QCF_P302" w:hint="cs"/>
          <w:color w:val="auto"/>
          <w:sz w:val="32"/>
          <w:szCs w:val="32"/>
          <w:rtl/>
          <w:lang w:eastAsia="en-US"/>
        </w:rPr>
        <w:t xml:space="preserve"> </w:t>
      </w:r>
      <w:r w:rsidRPr="00885058">
        <w:rPr>
          <w:rFonts w:ascii="QCF_BSML" w:hAnsi="QCF_BSML" w:cs="QCF_BSML"/>
          <w:sz w:val="32"/>
          <w:szCs w:val="32"/>
          <w:rtl/>
          <w:lang w:eastAsia="en-US"/>
        </w:rPr>
        <w:t>ﭼ</w:t>
      </w:r>
      <w:r w:rsidRPr="00885058">
        <w:rPr>
          <w:rFonts w:ascii="QCF_BSML" w:hAnsi="QCF_BSML" w:cs="QCF_BSML" w:hint="cs"/>
          <w:sz w:val="32"/>
          <w:szCs w:val="32"/>
          <w:rtl/>
          <w:lang w:eastAsia="en-US"/>
        </w:rPr>
        <w:t xml:space="preserve"> </w:t>
      </w:r>
      <w:r w:rsidRPr="00885058">
        <w:rPr>
          <w:rFonts w:ascii="QCF_P302" w:hAnsi="QCF_P302" w:cs="QCF_P302"/>
          <w:color w:val="auto"/>
          <w:sz w:val="32"/>
          <w:szCs w:val="32"/>
          <w:rtl/>
          <w:lang w:eastAsia="en-US"/>
        </w:rPr>
        <w:t xml:space="preserve">  </w:t>
      </w:r>
      <w:r w:rsidRPr="00885058">
        <w:rPr>
          <w:rFonts w:ascii="Traditional Arabic" w:hAnsi="Traditional Arabic"/>
          <w:rtl/>
        </w:rPr>
        <w:t>فيه قولان:</w:t>
      </w:r>
      <w:r w:rsidRPr="00885058">
        <w:rPr>
          <w:rFonts w:ascii="Traditional Arabic" w:hAnsi="Traditional Arabic" w:hint="cs"/>
          <w:rtl/>
        </w:rPr>
        <w:t xml:space="preserve"> </w:t>
      </w:r>
      <w:r w:rsidRPr="00885058">
        <w:rPr>
          <w:rFonts w:ascii="Traditional Arabic" w:hAnsi="Traditional Arabic"/>
          <w:rtl/>
        </w:rPr>
        <w:t>أحدهما: أمامهم، قاله ابن عباس، وقتادة</w:t>
      </w:r>
      <w:r w:rsidRPr="00885058">
        <w:rPr>
          <w:vertAlign w:val="superscript"/>
          <w:rtl/>
        </w:rPr>
        <w:t>(</w:t>
      </w:r>
      <w:r w:rsidRPr="00885058">
        <w:rPr>
          <w:vertAlign w:val="superscript"/>
          <w:rtl/>
        </w:rPr>
        <w:footnoteReference w:id="1744"/>
      </w:r>
      <w:r w:rsidRPr="00885058">
        <w:rPr>
          <w:vertAlign w:val="superscript"/>
          <w:rtl/>
        </w:rPr>
        <w:t>)</w:t>
      </w:r>
      <w:r w:rsidRPr="00885058">
        <w:rPr>
          <w:rFonts w:ascii="Traditional Arabic" w:hAnsi="Traditional Arabic"/>
          <w:rtl/>
        </w:rPr>
        <w:t>، وأبو عبيدة</w:t>
      </w:r>
      <w:r w:rsidRPr="00885058">
        <w:rPr>
          <w:vertAlign w:val="superscript"/>
          <w:rtl/>
        </w:rPr>
        <w:t>(</w:t>
      </w:r>
      <w:r w:rsidRPr="00885058">
        <w:rPr>
          <w:vertAlign w:val="superscript"/>
          <w:rtl/>
        </w:rPr>
        <w:footnoteReference w:id="1745"/>
      </w:r>
      <w:r w:rsidRPr="00885058">
        <w:rPr>
          <w:vertAlign w:val="superscript"/>
          <w:rtl/>
        </w:rPr>
        <w:t>)</w:t>
      </w:r>
      <w:r w:rsidRPr="00885058">
        <w:rPr>
          <w:rFonts w:ascii="Traditional Arabic" w:hAnsi="Traditional Arabic"/>
          <w:rtl/>
        </w:rPr>
        <w:t>، وابن قتيبة</w:t>
      </w:r>
      <w:r w:rsidRPr="00885058">
        <w:rPr>
          <w:vertAlign w:val="superscript"/>
          <w:rtl/>
        </w:rPr>
        <w:t>(</w:t>
      </w:r>
      <w:r w:rsidRPr="00885058">
        <w:rPr>
          <w:vertAlign w:val="superscript"/>
          <w:rtl/>
        </w:rPr>
        <w:footnoteReference w:id="1746"/>
      </w:r>
      <w:r w:rsidRPr="00885058">
        <w:rPr>
          <w:vertAlign w:val="superscript"/>
          <w:rtl/>
        </w:rPr>
        <w:t>)</w:t>
      </w:r>
      <w:r w:rsidRPr="00885058">
        <w:rPr>
          <w:rFonts w:ascii="Traditional Arabic" w:hAnsi="Traditional Arabic"/>
          <w:rtl/>
        </w:rPr>
        <w:t>. وقرأ أُبيُّ بن كعب، وابن مسعود:</w:t>
      </w:r>
      <w:r w:rsidRPr="00885058">
        <w:rPr>
          <w:rFonts w:ascii="Traditional Arabic" w:hAnsi="Traditional Arabic" w:hint="cs"/>
          <w:rtl/>
        </w:rPr>
        <w:t xml:space="preserve"> </w:t>
      </w:r>
      <w:r w:rsidRPr="00885058">
        <w:rPr>
          <w:rFonts w:ascii="Traditional Arabic" w:hAnsi="Traditional Arabic"/>
          <w:rtl/>
        </w:rPr>
        <w:t>«وكان أمامَهم مَلِك»</w:t>
      </w:r>
      <w:r w:rsidRPr="00885058">
        <w:rPr>
          <w:vertAlign w:val="superscript"/>
          <w:rtl/>
        </w:rPr>
        <w:t>(</w:t>
      </w:r>
      <w:r w:rsidRPr="00885058">
        <w:rPr>
          <w:vertAlign w:val="superscript"/>
          <w:rtl/>
        </w:rPr>
        <w:footnoteReference w:id="1747"/>
      </w:r>
      <w:r w:rsidRPr="00885058">
        <w:rPr>
          <w:vertAlign w:val="superscript"/>
          <w:rtl/>
        </w:rPr>
        <w:t>)</w:t>
      </w:r>
      <w:r w:rsidRPr="00885058">
        <w:rPr>
          <w:rFonts w:ascii="Traditional Arabic" w:hAnsi="Traditional Arabic"/>
          <w:rtl/>
        </w:rPr>
        <w:t xml:space="preserve">. والثاني: خلفهم </w:t>
      </w:r>
      <w:r w:rsidRPr="00885058">
        <w:rPr>
          <w:rFonts w:ascii="Traditional Arabic" w:hAnsi="Traditional Arabic"/>
          <w:sz w:val="32"/>
          <w:szCs w:val="32"/>
          <w:rtl/>
        </w:rPr>
        <w:t>[</w:t>
      </w:r>
      <w:r w:rsidRPr="00885058">
        <w:rPr>
          <w:rFonts w:ascii="Traditional Arabic" w:hAnsi="Traditional Arabic" w:hint="cs"/>
          <w:sz w:val="32"/>
          <w:szCs w:val="32"/>
          <w:rtl/>
        </w:rPr>
        <w:t>142</w:t>
      </w:r>
      <w:r w:rsidRPr="00885058">
        <w:rPr>
          <w:rFonts w:ascii="Traditional Arabic" w:hAnsi="Traditional Arabic"/>
          <w:sz w:val="32"/>
          <w:szCs w:val="32"/>
          <w:rtl/>
        </w:rPr>
        <w:t>]</w:t>
      </w:r>
      <w:r w:rsidRPr="00885058">
        <w:rPr>
          <w:rFonts w:ascii="Traditional Arabic" w:hAnsi="Traditional Arabic"/>
          <w:rtl/>
        </w:rPr>
        <w:t xml:space="preserve"> قال الزجاج: وهو أجود الوجهين. فيجوز أن يكون رجوعهم في طريقهم كان عليه، ولم يعلموا بخبره، فأعلم الله تعالى الخضرَ خَبَرَه</w:t>
      </w:r>
      <w:r w:rsidRPr="00885058">
        <w:rPr>
          <w:vertAlign w:val="superscript"/>
          <w:rtl/>
        </w:rPr>
        <w:t>(</w:t>
      </w:r>
      <w:r w:rsidRPr="00885058">
        <w:rPr>
          <w:vertAlign w:val="superscript"/>
          <w:rtl/>
        </w:rPr>
        <w:footnoteReference w:id="1748"/>
      </w:r>
      <w:r w:rsidRPr="00885058">
        <w:rPr>
          <w:vertAlign w:val="superscript"/>
          <w:rtl/>
        </w:rPr>
        <w:t>)</w:t>
      </w:r>
      <w:r w:rsidRPr="00885058">
        <w:rPr>
          <w:rFonts w:ascii="Traditional Arabic" w:hAnsi="Traditional Arabic"/>
          <w:rtl/>
        </w:rPr>
        <w:t>. قوله تعالى:</w:t>
      </w:r>
      <w:r w:rsidRPr="00885058">
        <w:rPr>
          <w:rFonts w:ascii="QCF_P302" w:hAnsi="QCF_P302" w:cs="QCF_P302"/>
          <w:color w:val="auto"/>
          <w:sz w:val="32"/>
          <w:szCs w:val="32"/>
          <w:rtl/>
          <w:lang w:eastAsia="en-US"/>
        </w:rPr>
        <w:t xml:space="preserve">  </w:t>
      </w:r>
      <w:r w:rsidRPr="00885058">
        <w:rPr>
          <w:rFonts w:ascii="QCF_BSML" w:hAnsi="QCF_BSML" w:cs="QCF_BSML"/>
          <w:color w:val="auto"/>
          <w:sz w:val="32"/>
          <w:szCs w:val="32"/>
          <w:rtl/>
          <w:lang w:eastAsia="en-US"/>
        </w:rPr>
        <w:t>ﭽ</w:t>
      </w:r>
      <w:r w:rsidRPr="00885058">
        <w:rPr>
          <w:rFonts w:ascii="QCF_P302" w:hAnsi="QCF_P302" w:cs="QCF_P302"/>
          <w:color w:val="auto"/>
          <w:sz w:val="32"/>
          <w:szCs w:val="32"/>
          <w:rtl/>
          <w:lang w:eastAsia="en-US"/>
        </w:rPr>
        <w:t xml:space="preserve">ﮠ  ﮡ       ﮢ  ﮣ </w:t>
      </w:r>
      <w:r w:rsidRPr="00885058">
        <w:rPr>
          <w:rFonts w:ascii="QCF_BSML" w:hAnsi="QCF_BSML" w:cs="QCF_BSML"/>
          <w:sz w:val="32"/>
          <w:szCs w:val="32"/>
          <w:rtl/>
          <w:lang w:eastAsia="en-US"/>
        </w:rPr>
        <w:t>ﭼ</w:t>
      </w:r>
      <w:r w:rsidRPr="00885058">
        <w:rPr>
          <w:rFonts w:ascii="QCF_P302" w:hAnsi="QCF_P302" w:cs="QCF_P302"/>
          <w:color w:val="auto"/>
          <w:sz w:val="32"/>
          <w:szCs w:val="32"/>
          <w:rtl/>
          <w:lang w:eastAsia="en-US"/>
        </w:rPr>
        <w:t xml:space="preserve"> </w:t>
      </w:r>
      <w:r w:rsidRPr="00885058">
        <w:rPr>
          <w:rFonts w:ascii="Traditional Arabic" w:hAnsi="Traditional Arabic"/>
          <w:rtl/>
        </w:rPr>
        <w:t>أي: كل سفينة صالحة. وفي قراءة أُبيِّ بن كعب: «كلَّ سفينة صحيحة»</w:t>
      </w:r>
      <w:r w:rsidRPr="00885058">
        <w:rPr>
          <w:vertAlign w:val="superscript"/>
          <w:rtl/>
        </w:rPr>
        <w:t>(</w:t>
      </w:r>
      <w:r w:rsidRPr="00885058">
        <w:rPr>
          <w:vertAlign w:val="superscript"/>
          <w:rtl/>
        </w:rPr>
        <w:footnoteReference w:id="1749"/>
      </w:r>
      <w:r w:rsidRPr="00885058">
        <w:rPr>
          <w:vertAlign w:val="superscript"/>
          <w:rtl/>
        </w:rPr>
        <w:t>)</w:t>
      </w:r>
      <w:r w:rsidRPr="00885058">
        <w:rPr>
          <w:rFonts w:ascii="Traditional Arabic" w:hAnsi="Traditional Arabic" w:hint="cs"/>
          <w:rtl/>
        </w:rPr>
        <w:t>.</w:t>
      </w:r>
      <w:r w:rsidRPr="00885058">
        <w:rPr>
          <w:rFonts w:ascii="Traditional Arabic" w:hAnsi="Traditional Arabic"/>
          <w:rtl/>
        </w:rPr>
        <w:t xml:space="preserve"> قال الخضر: إِنما خرقتها، لأن الملك إِذا رآها منخرقة تركها ورقعها أهلُها فانتفعوا بها</w:t>
      </w:r>
      <w:r w:rsidRPr="00885058">
        <w:rPr>
          <w:vertAlign w:val="superscript"/>
          <w:rtl/>
        </w:rPr>
        <w:t>(</w:t>
      </w:r>
      <w:r w:rsidRPr="00885058">
        <w:rPr>
          <w:vertAlign w:val="superscript"/>
          <w:rtl/>
        </w:rPr>
        <w:footnoteReference w:id="1750"/>
      </w:r>
      <w:r w:rsidRPr="00885058">
        <w:rPr>
          <w:vertAlign w:val="superscript"/>
          <w:rtl/>
        </w:rPr>
        <w:t>)</w:t>
      </w:r>
      <w:r w:rsidRPr="00885058">
        <w:rPr>
          <w:rFonts w:ascii="Traditional Arabic" w:hAnsi="Traditional Arabic"/>
          <w:rtl/>
        </w:rPr>
        <w:t xml:space="preserve">. قوله تعالى: </w:t>
      </w:r>
      <w:r w:rsidRPr="00885058">
        <w:rPr>
          <w:rFonts w:ascii="QCF_BSML" w:hAnsi="QCF_BSML" w:cs="QCF_BSML"/>
          <w:color w:val="auto"/>
          <w:sz w:val="32"/>
          <w:szCs w:val="32"/>
          <w:rtl/>
          <w:lang w:eastAsia="en-US"/>
        </w:rPr>
        <w:t>ﭽ</w:t>
      </w:r>
      <w:r w:rsidRPr="00885058">
        <w:rPr>
          <w:rFonts w:ascii="QCF_P302" w:hAnsi="QCF_P302" w:cs="QCF_P302"/>
          <w:color w:val="auto"/>
          <w:sz w:val="32"/>
          <w:szCs w:val="32"/>
          <w:rtl/>
          <w:lang w:eastAsia="en-US"/>
        </w:rPr>
        <w:t>ﮥ  ﮦ</w:t>
      </w:r>
      <w:r w:rsidRPr="00885058">
        <w:rPr>
          <w:rFonts w:ascii="QCF_BSML" w:hAnsi="QCF_BSML" w:cs="QCF_BSML"/>
          <w:sz w:val="32"/>
          <w:szCs w:val="32"/>
          <w:rtl/>
          <w:lang w:eastAsia="en-US"/>
        </w:rPr>
        <w:t>ﭼ</w:t>
      </w:r>
      <w:r w:rsidRPr="00885058">
        <w:rPr>
          <w:rFonts w:ascii="QCF_P302" w:hAnsi="QCF_P302" w:cs="QCF_P302"/>
          <w:color w:val="auto"/>
          <w:sz w:val="32"/>
          <w:szCs w:val="32"/>
          <w:rtl/>
          <w:lang w:eastAsia="en-US"/>
        </w:rPr>
        <w:t xml:space="preserve">  </w:t>
      </w:r>
      <w:r w:rsidRPr="00885058">
        <w:rPr>
          <w:rFonts w:ascii="Traditional Arabic" w:hAnsi="Traditional Arabic" w:hint="cs"/>
          <w:rtl/>
        </w:rPr>
        <w:t xml:space="preserve"> </w:t>
      </w:r>
      <w:r w:rsidRPr="00885058">
        <w:rPr>
          <w:rFonts w:ascii="Traditional Arabic" w:hAnsi="Traditional Arabic"/>
          <w:rtl/>
        </w:rPr>
        <w:t>روي عن ابن عباس أنه كان يقرأ: «وأما الغلام فكان كافرا»</w:t>
      </w:r>
      <w:r w:rsidRPr="00885058">
        <w:rPr>
          <w:vertAlign w:val="superscript"/>
          <w:rtl/>
        </w:rPr>
        <w:t>(</w:t>
      </w:r>
      <w:r w:rsidRPr="00885058">
        <w:rPr>
          <w:vertAlign w:val="superscript"/>
          <w:rtl/>
        </w:rPr>
        <w:footnoteReference w:id="1751"/>
      </w:r>
      <w:r w:rsidRPr="00885058">
        <w:rPr>
          <w:vertAlign w:val="superscript"/>
          <w:rtl/>
        </w:rPr>
        <w:t>)</w:t>
      </w:r>
      <w:r w:rsidRPr="00885058">
        <w:rPr>
          <w:rFonts w:ascii="Traditional Arabic" w:hAnsi="Traditional Arabic"/>
          <w:rtl/>
        </w:rPr>
        <w:t>.</w:t>
      </w:r>
      <w:r w:rsidRPr="00885058">
        <w:rPr>
          <w:rFonts w:ascii="Traditional Arabic" w:hAnsi="Traditional Arabic" w:hint="cs"/>
          <w:rtl/>
        </w:rPr>
        <w:t xml:space="preserve"> </w:t>
      </w:r>
      <w:r w:rsidRPr="00885058">
        <w:rPr>
          <w:rFonts w:ascii="Traditional Arabic" w:hAnsi="Traditional Arabic"/>
          <w:rtl/>
        </w:rPr>
        <w:t xml:space="preserve">وروى أُبيُّ بن كعب عن رسول الله </w:t>
      </w:r>
      <w:r w:rsidRPr="00885058">
        <w:rPr>
          <w:rFonts w:ascii="Traditional Arabic" w:hAnsi="Traditional Arabic"/>
        </w:rPr>
        <w:sym w:font="AGA Arabesque" w:char="F072"/>
      </w:r>
      <w:r w:rsidRPr="00885058">
        <w:rPr>
          <w:rFonts w:ascii="Traditional Arabic" w:hAnsi="Traditional Arabic" w:hint="cs"/>
          <w:rtl/>
        </w:rPr>
        <w:t xml:space="preserve"> </w:t>
      </w:r>
      <w:r w:rsidRPr="00885058">
        <w:rPr>
          <w:rFonts w:ascii="Traditional Arabic" w:hAnsi="Traditional Arabic"/>
          <w:rtl/>
        </w:rPr>
        <w:t>أنه قال: «إِن الغلام الذي قتله الخضر طُبع كافراً، ولو عاش لأرهق أبويه طغياناً وكفراً»</w:t>
      </w:r>
      <w:r w:rsidRPr="00885058">
        <w:rPr>
          <w:vertAlign w:val="superscript"/>
          <w:rtl/>
        </w:rPr>
        <w:t>(</w:t>
      </w:r>
      <w:r w:rsidRPr="00885058">
        <w:rPr>
          <w:vertAlign w:val="superscript"/>
          <w:rtl/>
        </w:rPr>
        <w:footnoteReference w:id="1752"/>
      </w:r>
      <w:r w:rsidRPr="00885058">
        <w:rPr>
          <w:vertAlign w:val="superscript"/>
          <w:rtl/>
        </w:rPr>
        <w:t>)</w:t>
      </w:r>
      <w:r w:rsidRPr="00885058">
        <w:rPr>
          <w:rFonts w:ascii="Traditional Arabic" w:hAnsi="Traditional Arabic"/>
          <w:rtl/>
        </w:rPr>
        <w:t xml:space="preserve">. قال الربيع بن </w:t>
      </w:r>
      <w:r w:rsidRPr="00885058">
        <w:rPr>
          <w:rFonts w:ascii="Traditional Arabic" w:hAnsi="Traditional Arabic"/>
          <w:rtl/>
        </w:rPr>
        <w:lastRenderedPageBreak/>
        <w:t>أنس: كان الغلام على الطريق لا يمرُّ به أحدٌ إِلا قتلَه وغصبه</w:t>
      </w:r>
      <w:r w:rsidRPr="00885058">
        <w:rPr>
          <w:vertAlign w:val="superscript"/>
          <w:rtl/>
        </w:rPr>
        <w:t>(</w:t>
      </w:r>
      <w:r w:rsidRPr="00885058">
        <w:rPr>
          <w:vertAlign w:val="superscript"/>
          <w:rtl/>
        </w:rPr>
        <w:footnoteReference w:id="1753"/>
      </w:r>
      <w:r w:rsidRPr="00885058">
        <w:rPr>
          <w:vertAlign w:val="superscript"/>
          <w:rtl/>
        </w:rPr>
        <w:t>)</w:t>
      </w:r>
      <w:r w:rsidRPr="00885058">
        <w:rPr>
          <w:rFonts w:ascii="Traditional Arabic" w:hAnsi="Traditional Arabic"/>
          <w:rtl/>
        </w:rPr>
        <w:t>، فيدعو ذلك عليه وعلى أبويه</w:t>
      </w:r>
      <w:r w:rsidRPr="00885058">
        <w:rPr>
          <w:vertAlign w:val="superscript"/>
          <w:rtl/>
        </w:rPr>
        <w:t>(</w:t>
      </w:r>
      <w:r w:rsidRPr="00885058">
        <w:rPr>
          <w:vertAlign w:val="superscript"/>
          <w:rtl/>
        </w:rPr>
        <w:footnoteReference w:id="1754"/>
      </w:r>
      <w:r w:rsidRPr="00885058">
        <w:rPr>
          <w:vertAlign w:val="superscript"/>
          <w:rtl/>
        </w:rPr>
        <w:t>)</w:t>
      </w:r>
      <w:r w:rsidRPr="00885058">
        <w:rPr>
          <w:rFonts w:ascii="Traditional Arabic" w:hAnsi="Traditional Arabic"/>
          <w:rtl/>
        </w:rPr>
        <w:t>. وقال ابن السائب: كان الغلام لصّاً، فإذا جاء من يطلبه حلف أبواه أنه لم يفعل</w:t>
      </w:r>
      <w:r w:rsidRPr="00885058">
        <w:rPr>
          <w:vertAlign w:val="superscript"/>
          <w:rtl/>
        </w:rPr>
        <w:t>(</w:t>
      </w:r>
      <w:r w:rsidRPr="00885058">
        <w:rPr>
          <w:vertAlign w:val="superscript"/>
          <w:rtl/>
        </w:rPr>
        <w:footnoteReference w:id="1755"/>
      </w:r>
      <w:r w:rsidRPr="00885058">
        <w:rPr>
          <w:vertAlign w:val="superscript"/>
          <w:rtl/>
        </w:rPr>
        <w:t>)</w:t>
      </w:r>
      <w:r w:rsidRPr="00885058">
        <w:rPr>
          <w:rFonts w:ascii="Traditional Arabic" w:hAnsi="Traditional Arabic"/>
          <w:rtl/>
        </w:rPr>
        <w:t>.</w:t>
      </w:r>
    </w:p>
    <w:p w:rsidR="00885058" w:rsidRPr="00885058" w:rsidRDefault="00885058" w:rsidP="00885058">
      <w:pPr>
        <w:ind w:firstLine="0"/>
        <w:rPr>
          <w:rFonts w:ascii="Traditional Arabic" w:hAnsi="Traditional Arabic"/>
          <w:rtl/>
        </w:rPr>
      </w:pPr>
      <w:r w:rsidRPr="00885058">
        <w:rPr>
          <w:rFonts w:ascii="Traditional Arabic" w:hAnsi="Traditional Arabic"/>
          <w:rtl/>
        </w:rPr>
        <w:t>قوله تعالى:</w:t>
      </w:r>
      <w:r w:rsidRPr="00885058">
        <w:rPr>
          <w:rFonts w:ascii="QCF_BSML" w:hAnsi="QCF_BSML" w:cs="QCF_BSML"/>
          <w:color w:val="auto"/>
          <w:sz w:val="32"/>
          <w:szCs w:val="32"/>
          <w:rtl/>
          <w:lang w:eastAsia="en-US"/>
        </w:rPr>
        <w:t xml:space="preserve"> ﭽ</w:t>
      </w:r>
      <w:r w:rsidRPr="00885058">
        <w:rPr>
          <w:rFonts w:ascii="QCF_P302" w:hAnsi="QCF_P302" w:cs="QCF_P302"/>
          <w:color w:val="auto"/>
          <w:sz w:val="32"/>
          <w:szCs w:val="32"/>
          <w:rtl/>
          <w:lang w:eastAsia="en-US"/>
        </w:rPr>
        <w:t xml:space="preserve"> ﮪ </w:t>
      </w:r>
      <w:r w:rsidRPr="00885058">
        <w:rPr>
          <w:rFonts w:ascii="QCF_BSML" w:hAnsi="QCF_BSML" w:cs="QCF_BSML"/>
          <w:sz w:val="32"/>
          <w:szCs w:val="32"/>
          <w:rtl/>
          <w:lang w:eastAsia="en-US"/>
        </w:rPr>
        <w:t>ﭼ</w:t>
      </w:r>
      <w:r w:rsidR="00AA5B08">
        <w:rPr>
          <w:rFonts w:ascii="Traditional Arabic" w:hAnsi="Traditional Arabic" w:hint="cs"/>
          <w:rtl/>
        </w:rPr>
        <w:t xml:space="preserve"> </w:t>
      </w:r>
      <w:r w:rsidRPr="00885058">
        <w:rPr>
          <w:rFonts w:ascii="Traditional Arabic" w:hAnsi="Traditional Arabic"/>
          <w:rtl/>
        </w:rPr>
        <w:t>في القائل لهذا قولان: أحدهما: الله عزّ وجلّ</w:t>
      </w:r>
      <w:r w:rsidRPr="00885058">
        <w:rPr>
          <w:vertAlign w:val="superscript"/>
          <w:rtl/>
        </w:rPr>
        <w:t>(</w:t>
      </w:r>
      <w:r w:rsidRPr="00885058">
        <w:rPr>
          <w:vertAlign w:val="superscript"/>
          <w:rtl/>
        </w:rPr>
        <w:footnoteReference w:id="1756"/>
      </w:r>
      <w:r w:rsidRPr="00885058">
        <w:rPr>
          <w:vertAlign w:val="superscript"/>
          <w:rtl/>
        </w:rPr>
        <w:t>)</w:t>
      </w:r>
      <w:r w:rsidRPr="00885058">
        <w:rPr>
          <w:rFonts w:ascii="Traditional Arabic" w:hAnsi="Traditional Arabic"/>
          <w:rtl/>
        </w:rPr>
        <w:t>. ثم في معنى الخشية المضافة إِليه قولان: أحدهما: أنها بمعنى: العلم. قال الفراء: معناه: فعلمنا</w:t>
      </w:r>
      <w:r w:rsidRPr="00885058">
        <w:rPr>
          <w:vertAlign w:val="superscript"/>
          <w:rtl/>
        </w:rPr>
        <w:t>(</w:t>
      </w:r>
      <w:r w:rsidRPr="00885058">
        <w:rPr>
          <w:vertAlign w:val="superscript"/>
          <w:rtl/>
        </w:rPr>
        <w:footnoteReference w:id="1757"/>
      </w:r>
      <w:r w:rsidRPr="00885058">
        <w:rPr>
          <w:vertAlign w:val="superscript"/>
          <w:rtl/>
        </w:rPr>
        <w:t>)</w:t>
      </w:r>
      <w:r w:rsidRPr="00885058">
        <w:rPr>
          <w:rFonts w:ascii="Traditional Arabic" w:hAnsi="Traditional Arabic"/>
          <w:rtl/>
        </w:rPr>
        <w:t>. والثاني: الكراهة، قاله الأخفش</w:t>
      </w:r>
      <w:r w:rsidRPr="00885058">
        <w:rPr>
          <w:vertAlign w:val="superscript"/>
          <w:rtl/>
        </w:rPr>
        <w:t>(</w:t>
      </w:r>
      <w:r w:rsidRPr="00885058">
        <w:rPr>
          <w:vertAlign w:val="superscript"/>
          <w:rtl/>
        </w:rPr>
        <w:footnoteReference w:id="1758"/>
      </w:r>
      <w:r w:rsidRPr="00885058">
        <w:rPr>
          <w:vertAlign w:val="superscript"/>
          <w:rtl/>
        </w:rPr>
        <w:t>)</w:t>
      </w:r>
      <w:r w:rsidRPr="00885058">
        <w:rPr>
          <w:rFonts w:ascii="Traditional Arabic" w:hAnsi="Traditional Arabic"/>
          <w:rtl/>
        </w:rPr>
        <w:t>، والزّجّاج</w:t>
      </w:r>
      <w:r w:rsidRPr="00885058">
        <w:rPr>
          <w:vertAlign w:val="superscript"/>
          <w:rtl/>
        </w:rPr>
        <w:t>(</w:t>
      </w:r>
      <w:r w:rsidRPr="00885058">
        <w:rPr>
          <w:vertAlign w:val="superscript"/>
          <w:rtl/>
        </w:rPr>
        <w:footnoteReference w:id="1759"/>
      </w:r>
      <w:r w:rsidRPr="00885058">
        <w:rPr>
          <w:vertAlign w:val="superscript"/>
          <w:rtl/>
        </w:rPr>
        <w:t>)</w:t>
      </w:r>
      <w:r w:rsidRPr="00885058">
        <w:rPr>
          <w:rFonts w:ascii="Traditional Arabic" w:hAnsi="Traditional Arabic"/>
          <w:rtl/>
        </w:rPr>
        <w:t>، وقال ابن عقيل</w:t>
      </w:r>
      <w:r w:rsidRPr="00885058">
        <w:rPr>
          <w:vertAlign w:val="superscript"/>
          <w:rtl/>
        </w:rPr>
        <w:t>(</w:t>
      </w:r>
      <w:r w:rsidRPr="00885058">
        <w:rPr>
          <w:vertAlign w:val="superscript"/>
          <w:rtl/>
        </w:rPr>
        <w:footnoteReference w:id="1760"/>
      </w:r>
      <w:r w:rsidRPr="00885058">
        <w:rPr>
          <w:vertAlign w:val="superscript"/>
          <w:rtl/>
        </w:rPr>
        <w:t>)</w:t>
      </w:r>
      <w:r w:rsidRPr="00885058">
        <w:rPr>
          <w:rFonts w:ascii="Traditional Arabic" w:hAnsi="Traditional Arabic"/>
          <w:rtl/>
        </w:rPr>
        <w:t>: المعنى: فعلنا فعل الخاشي</w:t>
      </w:r>
      <w:r w:rsidRPr="00885058">
        <w:rPr>
          <w:vertAlign w:val="superscript"/>
          <w:rtl/>
        </w:rPr>
        <w:t>(</w:t>
      </w:r>
      <w:r w:rsidRPr="00885058">
        <w:rPr>
          <w:vertAlign w:val="superscript"/>
          <w:rtl/>
        </w:rPr>
        <w:footnoteReference w:id="1761"/>
      </w:r>
      <w:r w:rsidRPr="00885058">
        <w:rPr>
          <w:vertAlign w:val="superscript"/>
          <w:rtl/>
        </w:rPr>
        <w:t>)</w:t>
      </w:r>
      <w:r w:rsidRPr="00885058">
        <w:rPr>
          <w:rFonts w:ascii="Traditional Arabic" w:hAnsi="Traditional Arabic"/>
          <w:rtl/>
        </w:rPr>
        <w:t>. والثاني: أنه الخضر، فتكون الخشية بمعنى الخوف للأمر المتوهم، قاله ابن الأنباري</w:t>
      </w:r>
      <w:r w:rsidRPr="00885058">
        <w:rPr>
          <w:vertAlign w:val="superscript"/>
          <w:rtl/>
        </w:rPr>
        <w:t>(</w:t>
      </w:r>
      <w:r w:rsidRPr="00885058">
        <w:rPr>
          <w:vertAlign w:val="superscript"/>
          <w:rtl/>
        </w:rPr>
        <w:footnoteReference w:id="1762"/>
      </w:r>
      <w:r w:rsidRPr="00885058">
        <w:rPr>
          <w:vertAlign w:val="superscript"/>
          <w:rtl/>
        </w:rPr>
        <w:t>)</w:t>
      </w:r>
      <w:r w:rsidRPr="00885058">
        <w:rPr>
          <w:rFonts w:ascii="Traditional Arabic" w:hAnsi="Traditional Arabic"/>
          <w:rtl/>
        </w:rPr>
        <w:t>. وقد استدل بعضهم على أنه من كلام الخضر بقوله:</w:t>
      </w:r>
      <w:r w:rsidRPr="00885058">
        <w:rPr>
          <w:rFonts w:ascii="Traditional Arabic" w:hAnsi="Traditional Arabic" w:hint="cs"/>
          <w:rtl/>
        </w:rPr>
        <w:t xml:space="preserve"> </w:t>
      </w:r>
      <w:r w:rsidRPr="00885058">
        <w:rPr>
          <w:rFonts w:ascii="QCF_BSML" w:hAnsi="QCF_BSML" w:cs="QCF_BSML"/>
          <w:color w:val="auto"/>
          <w:sz w:val="32"/>
          <w:szCs w:val="32"/>
          <w:rtl/>
          <w:lang w:eastAsia="en-US"/>
        </w:rPr>
        <w:t>ﭽ</w:t>
      </w:r>
      <w:r w:rsidRPr="00885058">
        <w:rPr>
          <w:rFonts w:ascii="QCF_P302" w:hAnsi="QCF_P302" w:cs="QCF_P302"/>
          <w:color w:val="auto"/>
          <w:sz w:val="32"/>
          <w:szCs w:val="32"/>
          <w:rtl/>
          <w:lang w:eastAsia="en-US"/>
        </w:rPr>
        <w:t>ﮰ  ﮱ  ﯓ  ﯔ</w:t>
      </w:r>
      <w:r w:rsidRPr="00885058">
        <w:rPr>
          <w:rFonts w:ascii="QCF_BSML" w:hAnsi="QCF_BSML" w:cs="QCF_BSML"/>
          <w:sz w:val="32"/>
          <w:szCs w:val="32"/>
          <w:rtl/>
          <w:lang w:eastAsia="en-US"/>
        </w:rPr>
        <w:t>ﭼ</w:t>
      </w:r>
      <w:r w:rsidRPr="00885058">
        <w:rPr>
          <w:rFonts w:ascii="QCF_P302" w:hAnsi="QCF_P302" w:cs="QCF_P302"/>
          <w:color w:val="auto"/>
          <w:sz w:val="32"/>
          <w:szCs w:val="32"/>
          <w:rtl/>
          <w:lang w:eastAsia="en-US"/>
        </w:rPr>
        <w:t xml:space="preserve">  </w:t>
      </w:r>
      <w:r w:rsidRPr="00885058">
        <w:rPr>
          <w:rFonts w:ascii="Traditional Arabic" w:hAnsi="Traditional Arabic"/>
          <w:rtl/>
        </w:rPr>
        <w:t>. قال الزجاج: المعنى: فأراد الله، لأن لفظ الخبر عن الله تعالى هكذا أكثر من أن يحصى</w:t>
      </w:r>
      <w:r w:rsidRPr="00885058">
        <w:rPr>
          <w:vertAlign w:val="superscript"/>
          <w:rtl/>
        </w:rPr>
        <w:t>(</w:t>
      </w:r>
      <w:r w:rsidRPr="00885058">
        <w:rPr>
          <w:vertAlign w:val="superscript"/>
          <w:rtl/>
        </w:rPr>
        <w:footnoteReference w:id="1763"/>
      </w:r>
      <w:r w:rsidRPr="00885058">
        <w:rPr>
          <w:vertAlign w:val="superscript"/>
          <w:rtl/>
        </w:rPr>
        <w:t>)</w:t>
      </w:r>
      <w:r w:rsidRPr="00885058">
        <w:rPr>
          <w:rFonts w:ascii="Traditional Arabic" w:hAnsi="Traditional Arabic"/>
          <w:rtl/>
        </w:rPr>
        <w:t xml:space="preserve">. ومعنى </w:t>
      </w:r>
      <w:r w:rsidRPr="00885058">
        <w:rPr>
          <w:rFonts w:ascii="QCF_BSML" w:hAnsi="QCF_BSML" w:cs="QCF_BSML"/>
          <w:color w:val="auto"/>
          <w:sz w:val="32"/>
          <w:szCs w:val="32"/>
          <w:rtl/>
          <w:lang w:eastAsia="en-US"/>
        </w:rPr>
        <w:t>ﭽ</w:t>
      </w:r>
      <w:r w:rsidRPr="00885058">
        <w:rPr>
          <w:rFonts w:ascii="QCF_P302" w:hAnsi="QCF_P302" w:cs="QCF_P302"/>
          <w:color w:val="auto"/>
          <w:sz w:val="32"/>
          <w:szCs w:val="32"/>
          <w:rtl/>
          <w:lang w:eastAsia="en-US"/>
        </w:rPr>
        <w:t>ﮬ</w:t>
      </w:r>
      <w:r w:rsidRPr="00885058">
        <w:rPr>
          <w:rFonts w:ascii="QCF_BSML" w:hAnsi="QCF_BSML" w:cs="QCF_BSML"/>
          <w:sz w:val="32"/>
          <w:szCs w:val="32"/>
          <w:rtl/>
          <w:lang w:eastAsia="en-US"/>
        </w:rPr>
        <w:t>ﭼ</w:t>
      </w:r>
      <w:r w:rsidRPr="00885058">
        <w:rPr>
          <w:rFonts w:ascii="Traditional Arabic" w:hAnsi="Traditional Arabic"/>
          <w:rtl/>
        </w:rPr>
        <w:t>: يحملهما على الرَّهَق، وهو الجهل. قال أبو عبيدة: «يُرْهِقَهُما» :</w:t>
      </w:r>
      <w:r w:rsidRPr="00885058">
        <w:rPr>
          <w:rFonts w:ascii="Traditional Arabic" w:hAnsi="Traditional Arabic" w:hint="cs"/>
          <w:rtl/>
        </w:rPr>
        <w:t xml:space="preserve"> </w:t>
      </w:r>
      <w:r w:rsidRPr="00885058">
        <w:rPr>
          <w:rFonts w:ascii="Traditional Arabic" w:hAnsi="Traditional Arabic"/>
          <w:rtl/>
        </w:rPr>
        <w:t>يغشِيَهما</w:t>
      </w:r>
      <w:r w:rsidRPr="00885058">
        <w:rPr>
          <w:vertAlign w:val="superscript"/>
          <w:rtl/>
        </w:rPr>
        <w:t>(</w:t>
      </w:r>
      <w:r w:rsidRPr="00885058">
        <w:rPr>
          <w:vertAlign w:val="superscript"/>
          <w:rtl/>
        </w:rPr>
        <w:footnoteReference w:id="1764"/>
      </w:r>
      <w:r w:rsidRPr="00885058">
        <w:rPr>
          <w:vertAlign w:val="superscript"/>
          <w:rtl/>
        </w:rPr>
        <w:t>)</w:t>
      </w:r>
      <w:r w:rsidRPr="00885058">
        <w:rPr>
          <w:rFonts w:ascii="Traditional Arabic" w:hAnsi="Traditional Arabic"/>
          <w:rtl/>
        </w:rPr>
        <w:t>. قال سعيد بن جبير: خشينا أن يحملَهما حُبُّه على أن يدخلا في دينه</w:t>
      </w:r>
      <w:r w:rsidRPr="00885058">
        <w:rPr>
          <w:vertAlign w:val="superscript"/>
          <w:rtl/>
        </w:rPr>
        <w:t>(</w:t>
      </w:r>
      <w:r w:rsidRPr="00885058">
        <w:rPr>
          <w:vertAlign w:val="superscript"/>
          <w:rtl/>
        </w:rPr>
        <w:footnoteReference w:id="1765"/>
      </w:r>
      <w:r w:rsidRPr="00885058">
        <w:rPr>
          <w:vertAlign w:val="superscript"/>
          <w:rtl/>
        </w:rPr>
        <w:t>)</w:t>
      </w:r>
      <w:r w:rsidRPr="00885058">
        <w:rPr>
          <w:rFonts w:ascii="Traditional Arabic" w:hAnsi="Traditional Arabic"/>
          <w:rtl/>
        </w:rPr>
        <w:t xml:space="preserve">. وقال </w:t>
      </w:r>
      <w:r w:rsidRPr="00885058">
        <w:rPr>
          <w:rFonts w:ascii="Traditional Arabic" w:hAnsi="Traditional Arabic" w:hint="cs"/>
          <w:rtl/>
        </w:rPr>
        <w:t>[قتادة]</w:t>
      </w:r>
      <w:r w:rsidRPr="00885058">
        <w:rPr>
          <w:vertAlign w:val="superscript"/>
          <w:rtl/>
        </w:rPr>
        <w:t>(</w:t>
      </w:r>
      <w:r w:rsidRPr="00885058">
        <w:rPr>
          <w:vertAlign w:val="superscript"/>
          <w:rtl/>
        </w:rPr>
        <w:footnoteReference w:id="1766"/>
      </w:r>
      <w:r w:rsidRPr="00885058">
        <w:rPr>
          <w:vertAlign w:val="superscript"/>
          <w:rtl/>
        </w:rPr>
        <w:t>)</w:t>
      </w:r>
      <w:r w:rsidRPr="00885058">
        <w:rPr>
          <w:rFonts w:ascii="Traditional Arabic" w:hAnsi="Traditional Arabic"/>
          <w:rtl/>
        </w:rPr>
        <w:t xml:space="preserve">: فرحا به حين ولد، </w:t>
      </w:r>
      <w:r w:rsidRPr="00885058">
        <w:rPr>
          <w:rFonts w:ascii="Traditional Arabic" w:hAnsi="Traditional Arabic"/>
          <w:rtl/>
        </w:rPr>
        <w:lastRenderedPageBreak/>
        <w:t>وحزنا عليه حين قتل، ولو بقي كان فيه هلاكهما، فرضي امرؤ</w:t>
      </w:r>
      <w:r w:rsidR="008C634B">
        <w:rPr>
          <w:rFonts w:ascii="Traditional Arabic" w:hAnsi="Traditional Arabic" w:hint="cs"/>
          <w:rtl/>
        </w:rPr>
        <w:t>ٌ</w:t>
      </w:r>
      <w:r w:rsidRPr="00885058">
        <w:rPr>
          <w:rFonts w:ascii="Traditional Arabic" w:hAnsi="Traditional Arabic"/>
          <w:rtl/>
        </w:rPr>
        <w:t xml:space="preserve"> بقضاء الله، فإن قضاء الله للمؤمن فيما يكره، خير له من قضائه فيما يحب</w:t>
      </w:r>
      <w:r w:rsidRPr="00885058">
        <w:rPr>
          <w:vertAlign w:val="superscript"/>
          <w:rtl/>
        </w:rPr>
        <w:t>(</w:t>
      </w:r>
      <w:r w:rsidRPr="00885058">
        <w:rPr>
          <w:vertAlign w:val="superscript"/>
          <w:rtl/>
        </w:rPr>
        <w:footnoteReference w:id="1767"/>
      </w:r>
      <w:r w:rsidRPr="00885058">
        <w:rPr>
          <w:vertAlign w:val="superscript"/>
          <w:rtl/>
        </w:rPr>
        <w:t>)</w:t>
      </w:r>
      <w:r w:rsidRPr="00885058">
        <w:rPr>
          <w:rFonts w:ascii="Traditional Arabic" w:hAnsi="Traditional Arabic"/>
          <w:rtl/>
        </w:rPr>
        <w:t xml:space="preserve">. قوله تعالى: </w:t>
      </w:r>
      <w:r w:rsidRPr="00885058">
        <w:rPr>
          <w:rFonts w:ascii="QCF_BSML" w:hAnsi="QCF_BSML" w:cs="QCF_BSML"/>
          <w:color w:val="auto"/>
          <w:sz w:val="32"/>
          <w:szCs w:val="32"/>
          <w:rtl/>
          <w:lang w:eastAsia="en-US"/>
        </w:rPr>
        <w:t>ﭽ</w:t>
      </w:r>
      <w:r w:rsidRPr="00885058">
        <w:rPr>
          <w:rFonts w:ascii="QCF_P302" w:hAnsi="QCF_P302" w:cs="QCF_P302"/>
          <w:color w:val="auto"/>
          <w:sz w:val="32"/>
          <w:szCs w:val="32"/>
          <w:rtl/>
          <w:lang w:eastAsia="en-US"/>
        </w:rPr>
        <w:t xml:space="preserve">ﮰ  ﮱ  ﯓ  ﯔ </w:t>
      </w:r>
      <w:r w:rsidRPr="00885058">
        <w:rPr>
          <w:rFonts w:ascii="QCF_BSML" w:hAnsi="QCF_BSML" w:cs="QCF_BSML"/>
          <w:sz w:val="32"/>
          <w:szCs w:val="32"/>
          <w:rtl/>
          <w:lang w:eastAsia="en-US"/>
        </w:rPr>
        <w:t>ﭼ</w:t>
      </w:r>
      <w:r w:rsidRPr="00885058">
        <w:rPr>
          <w:rFonts w:ascii="QCF_P302" w:hAnsi="QCF_P302" w:cs="QCF_P302"/>
          <w:color w:val="auto"/>
          <w:sz w:val="32"/>
          <w:szCs w:val="32"/>
          <w:rtl/>
          <w:lang w:eastAsia="en-US"/>
        </w:rPr>
        <w:t xml:space="preserve"> </w:t>
      </w:r>
      <w:r w:rsidRPr="00885058">
        <w:rPr>
          <w:rFonts w:ascii="Traditional Arabic" w:hAnsi="Traditional Arabic"/>
          <w:rtl/>
        </w:rPr>
        <w:t>قرأ ابن كثير، وأبو بكر عن عاصم: «أن يُبْدِلَهُما» بالتخفيف. وقرأ نافع، وأبو عمرو بالتشديد</w:t>
      </w:r>
      <w:r w:rsidRPr="00885058">
        <w:rPr>
          <w:vertAlign w:val="superscript"/>
          <w:rtl/>
        </w:rPr>
        <w:t>(</w:t>
      </w:r>
      <w:r w:rsidRPr="00885058">
        <w:rPr>
          <w:vertAlign w:val="superscript"/>
          <w:rtl/>
        </w:rPr>
        <w:footnoteReference w:id="1768"/>
      </w:r>
      <w:r w:rsidRPr="00885058">
        <w:rPr>
          <w:vertAlign w:val="superscript"/>
          <w:rtl/>
        </w:rPr>
        <w:t>)</w:t>
      </w:r>
      <w:r w:rsidRPr="00885058">
        <w:rPr>
          <w:rFonts w:ascii="Traditional Arabic" w:hAnsi="Traditional Arabic"/>
          <w:rtl/>
        </w:rPr>
        <w:t xml:space="preserve">. </w:t>
      </w:r>
    </w:p>
    <w:p w:rsidR="00885058" w:rsidRPr="00885058" w:rsidRDefault="00885058" w:rsidP="00885058">
      <w:pPr>
        <w:ind w:firstLine="0"/>
        <w:rPr>
          <w:rFonts w:ascii="Traditional Arabic" w:hAnsi="Traditional Arabic"/>
          <w:rtl/>
        </w:rPr>
      </w:pPr>
      <w:r w:rsidRPr="00885058">
        <w:rPr>
          <w:rFonts w:ascii="Traditional Arabic" w:hAnsi="Traditional Arabic"/>
          <w:rtl/>
        </w:rPr>
        <w:t xml:space="preserve">قوله تعالى: </w:t>
      </w:r>
      <w:r w:rsidRPr="00885058">
        <w:rPr>
          <w:rFonts w:ascii="QCF_BSML" w:hAnsi="QCF_BSML" w:cs="QCF_BSML"/>
          <w:color w:val="auto"/>
          <w:sz w:val="32"/>
          <w:szCs w:val="32"/>
          <w:rtl/>
          <w:lang w:eastAsia="en-US"/>
        </w:rPr>
        <w:t>ﭽ</w:t>
      </w:r>
      <w:r w:rsidRPr="00885058">
        <w:rPr>
          <w:rFonts w:ascii="QCF_P302" w:hAnsi="QCF_P302" w:cs="QCF_P302"/>
          <w:color w:val="auto"/>
          <w:sz w:val="32"/>
          <w:szCs w:val="32"/>
          <w:rtl/>
          <w:lang w:eastAsia="en-US"/>
        </w:rPr>
        <w:t>ﯕ  ﯖ  ﯗ</w:t>
      </w:r>
      <w:r w:rsidRPr="00885058">
        <w:rPr>
          <w:rFonts w:ascii="QCF_BSML" w:hAnsi="QCF_BSML" w:cs="QCF_BSML"/>
          <w:sz w:val="32"/>
          <w:szCs w:val="32"/>
          <w:rtl/>
          <w:lang w:eastAsia="en-US"/>
        </w:rPr>
        <w:t>ﭼ</w:t>
      </w:r>
      <w:r w:rsidRPr="00885058">
        <w:rPr>
          <w:rFonts w:ascii="QCF_P302" w:hAnsi="QCF_P302" w:cs="QCF_P302"/>
          <w:color w:val="auto"/>
          <w:sz w:val="32"/>
          <w:szCs w:val="32"/>
          <w:rtl/>
          <w:lang w:eastAsia="en-US"/>
        </w:rPr>
        <w:t xml:space="preserve">  </w:t>
      </w:r>
      <w:r w:rsidRPr="00885058">
        <w:rPr>
          <w:rFonts w:ascii="Traditional Arabic" w:hAnsi="Traditional Arabic"/>
          <w:rtl/>
        </w:rPr>
        <w:t>فيه ثلاثة أقوال: أحدها: ديناً، قاله ابن عباس</w:t>
      </w:r>
      <w:r w:rsidRPr="00885058">
        <w:rPr>
          <w:vertAlign w:val="superscript"/>
          <w:rtl/>
        </w:rPr>
        <w:t>(</w:t>
      </w:r>
      <w:r w:rsidRPr="00885058">
        <w:rPr>
          <w:vertAlign w:val="superscript"/>
          <w:rtl/>
        </w:rPr>
        <w:footnoteReference w:id="1769"/>
      </w:r>
      <w:r w:rsidRPr="00885058">
        <w:rPr>
          <w:vertAlign w:val="superscript"/>
          <w:rtl/>
        </w:rPr>
        <w:t>)</w:t>
      </w:r>
      <w:r w:rsidRPr="00885058">
        <w:rPr>
          <w:rFonts w:ascii="Traditional Arabic" w:hAnsi="Traditional Arabic"/>
          <w:rtl/>
        </w:rPr>
        <w:t>. والثاني: عملاً، قاله مقاتل</w:t>
      </w:r>
      <w:r w:rsidRPr="00885058">
        <w:rPr>
          <w:vertAlign w:val="superscript"/>
          <w:rtl/>
        </w:rPr>
        <w:t>(</w:t>
      </w:r>
      <w:r w:rsidRPr="00885058">
        <w:rPr>
          <w:vertAlign w:val="superscript"/>
          <w:rtl/>
        </w:rPr>
        <w:footnoteReference w:id="1770"/>
      </w:r>
      <w:r w:rsidRPr="00885058">
        <w:rPr>
          <w:vertAlign w:val="superscript"/>
          <w:rtl/>
        </w:rPr>
        <w:t>)</w:t>
      </w:r>
      <w:r w:rsidRPr="00885058">
        <w:rPr>
          <w:rFonts w:ascii="Traditional Arabic" w:hAnsi="Traditional Arabic"/>
          <w:rtl/>
        </w:rPr>
        <w:t>. والثالث: صلاحاً، قاله الفراء</w:t>
      </w:r>
      <w:r w:rsidRPr="00885058">
        <w:rPr>
          <w:vertAlign w:val="superscript"/>
          <w:rtl/>
        </w:rPr>
        <w:t>(</w:t>
      </w:r>
      <w:r w:rsidRPr="00885058">
        <w:rPr>
          <w:vertAlign w:val="superscript"/>
          <w:rtl/>
        </w:rPr>
        <w:footnoteReference w:id="1771"/>
      </w:r>
      <w:r w:rsidRPr="00885058">
        <w:rPr>
          <w:vertAlign w:val="superscript"/>
          <w:rtl/>
        </w:rPr>
        <w:t>)</w:t>
      </w:r>
      <w:r w:rsidRPr="00885058">
        <w:rPr>
          <w:rFonts w:ascii="Traditional Arabic" w:hAnsi="Traditional Arabic"/>
          <w:rtl/>
        </w:rPr>
        <w:t xml:space="preserve">. قوله تعالى: </w:t>
      </w:r>
      <w:r w:rsidRPr="00885058">
        <w:rPr>
          <w:rFonts w:ascii="QCF_BSML" w:hAnsi="QCF_BSML" w:cs="QCF_BSML"/>
          <w:color w:val="auto"/>
          <w:sz w:val="32"/>
          <w:szCs w:val="32"/>
          <w:rtl/>
          <w:lang w:eastAsia="en-US"/>
        </w:rPr>
        <w:t>ﭽ</w:t>
      </w:r>
      <w:r w:rsidRPr="00885058">
        <w:rPr>
          <w:rFonts w:ascii="QCF_P302" w:hAnsi="QCF_P302" w:cs="QCF_P302"/>
          <w:color w:val="auto"/>
          <w:sz w:val="32"/>
          <w:szCs w:val="32"/>
          <w:rtl/>
          <w:lang w:eastAsia="en-US"/>
        </w:rPr>
        <w:t>ﯘ  ﯙ</w:t>
      </w:r>
      <w:r w:rsidRPr="00885058">
        <w:rPr>
          <w:rFonts w:ascii="QCF_BSML" w:hAnsi="QCF_BSML" w:cs="QCF_BSML"/>
          <w:sz w:val="32"/>
          <w:szCs w:val="32"/>
          <w:rtl/>
          <w:lang w:eastAsia="en-US"/>
        </w:rPr>
        <w:t>ﭼ</w:t>
      </w:r>
      <w:r w:rsidRPr="00885058">
        <w:rPr>
          <w:rFonts w:ascii="QCF_P302" w:hAnsi="QCF_P302" w:cs="QCF_P302"/>
          <w:color w:val="auto"/>
          <w:sz w:val="32"/>
          <w:szCs w:val="32"/>
          <w:rtl/>
          <w:lang w:eastAsia="en-US"/>
        </w:rPr>
        <w:t xml:space="preserve">   </w:t>
      </w:r>
      <w:r w:rsidRPr="00885058">
        <w:rPr>
          <w:rFonts w:ascii="Traditional Arabic" w:hAnsi="Traditional Arabic"/>
          <w:rtl/>
        </w:rPr>
        <w:t>قرأ ابن كثير، ونافع، وعاصم، وحمزة، والكسائي: «رُحْماً» ساكنة الحاء، وقرأ ابن عامر: «رُحُماً» مثقلة. وعن أبي عمرو كالقراءتين</w:t>
      </w:r>
      <w:r w:rsidRPr="00885058">
        <w:rPr>
          <w:vertAlign w:val="superscript"/>
          <w:rtl/>
        </w:rPr>
        <w:t>(</w:t>
      </w:r>
      <w:r w:rsidRPr="00885058">
        <w:rPr>
          <w:vertAlign w:val="superscript"/>
          <w:rtl/>
        </w:rPr>
        <w:footnoteReference w:id="1772"/>
      </w:r>
      <w:r w:rsidRPr="00885058">
        <w:rPr>
          <w:vertAlign w:val="superscript"/>
          <w:rtl/>
        </w:rPr>
        <w:t>)</w:t>
      </w:r>
      <w:r w:rsidRPr="00885058">
        <w:rPr>
          <w:rFonts w:ascii="Traditional Arabic" w:hAnsi="Traditional Arabic"/>
          <w:rtl/>
        </w:rPr>
        <w:t xml:space="preserve">. وقرأ ابن عباس، وابن جبير، وأبو رجاء: «رَحِماً» </w:t>
      </w:r>
      <w:r w:rsidRPr="00885058">
        <w:rPr>
          <w:rFonts w:ascii="Traditional Arabic" w:hAnsi="Traditional Arabic"/>
          <w:sz w:val="32"/>
          <w:szCs w:val="32"/>
          <w:rtl/>
        </w:rPr>
        <w:t>[</w:t>
      </w:r>
      <w:r w:rsidRPr="00885058">
        <w:rPr>
          <w:rFonts w:ascii="Traditional Arabic" w:hAnsi="Traditional Arabic" w:hint="cs"/>
          <w:sz w:val="32"/>
          <w:szCs w:val="32"/>
          <w:rtl/>
        </w:rPr>
        <w:t>143</w:t>
      </w:r>
      <w:r w:rsidRPr="00885058">
        <w:rPr>
          <w:rFonts w:ascii="Traditional Arabic" w:hAnsi="Traditional Arabic"/>
          <w:sz w:val="32"/>
          <w:szCs w:val="32"/>
          <w:rtl/>
        </w:rPr>
        <w:t>]</w:t>
      </w:r>
      <w:r w:rsidRPr="00885058">
        <w:rPr>
          <w:rFonts w:ascii="Traditional Arabic" w:hAnsi="Traditional Arabic"/>
          <w:rtl/>
        </w:rPr>
        <w:t xml:space="preserve"> بفتح الراء، وكسر الحاء</w:t>
      </w:r>
      <w:r w:rsidRPr="00885058">
        <w:rPr>
          <w:vertAlign w:val="superscript"/>
          <w:rtl/>
        </w:rPr>
        <w:t>(</w:t>
      </w:r>
      <w:r w:rsidRPr="00885058">
        <w:rPr>
          <w:vertAlign w:val="superscript"/>
          <w:rtl/>
        </w:rPr>
        <w:footnoteReference w:id="1773"/>
      </w:r>
      <w:r w:rsidRPr="00885058">
        <w:rPr>
          <w:vertAlign w:val="superscript"/>
          <w:rtl/>
        </w:rPr>
        <w:t>)</w:t>
      </w:r>
      <w:r w:rsidRPr="00885058">
        <w:rPr>
          <w:rFonts w:ascii="Traditional Arabic" w:hAnsi="Traditional Arabic"/>
          <w:rtl/>
        </w:rPr>
        <w:t>. وفي معنى الكلام قولان: أحدهما: أوصل للرحم وأبَرّ للوالدين، قاله ابن عباس</w:t>
      </w:r>
      <w:r w:rsidRPr="00885058">
        <w:rPr>
          <w:vertAlign w:val="superscript"/>
          <w:rtl/>
        </w:rPr>
        <w:t>(</w:t>
      </w:r>
      <w:r w:rsidRPr="00885058">
        <w:rPr>
          <w:vertAlign w:val="superscript"/>
          <w:rtl/>
        </w:rPr>
        <w:footnoteReference w:id="1774"/>
      </w:r>
      <w:r w:rsidRPr="00885058">
        <w:rPr>
          <w:vertAlign w:val="superscript"/>
          <w:rtl/>
        </w:rPr>
        <w:t>)</w:t>
      </w:r>
      <w:r w:rsidRPr="00885058">
        <w:rPr>
          <w:rFonts w:ascii="Traditional Arabic" w:hAnsi="Traditional Arabic"/>
          <w:rtl/>
        </w:rPr>
        <w:t>، وقتادة</w:t>
      </w:r>
      <w:r w:rsidRPr="00885058">
        <w:rPr>
          <w:vertAlign w:val="superscript"/>
          <w:rtl/>
        </w:rPr>
        <w:t>(</w:t>
      </w:r>
      <w:r w:rsidRPr="00885058">
        <w:rPr>
          <w:vertAlign w:val="superscript"/>
          <w:rtl/>
        </w:rPr>
        <w:footnoteReference w:id="1775"/>
      </w:r>
      <w:r w:rsidRPr="00885058">
        <w:rPr>
          <w:vertAlign w:val="superscript"/>
          <w:rtl/>
        </w:rPr>
        <w:t>)</w:t>
      </w:r>
      <w:r w:rsidRPr="00885058">
        <w:rPr>
          <w:rFonts w:ascii="Traditional Arabic" w:hAnsi="Traditional Arabic"/>
          <w:rtl/>
        </w:rPr>
        <w:t>. وقال الزجاج: أقرب عطفاً وأمسّ بالقرابة. ومعنى الرُّحْم والرُّحُم في اللغة: العطف والرحمة، قال الشاعر:</w:t>
      </w:r>
    </w:p>
    <w:p w:rsidR="00885058" w:rsidRPr="00885058" w:rsidRDefault="00885058" w:rsidP="00885058">
      <w:pPr>
        <w:ind w:firstLine="0"/>
        <w:rPr>
          <w:rFonts w:ascii="Traditional Arabic" w:hAnsi="Traditional Arabic"/>
          <w:rtl/>
        </w:rPr>
      </w:pPr>
      <w:r w:rsidRPr="00885058">
        <w:rPr>
          <w:rFonts w:ascii="Traditional Arabic" w:hAnsi="Traditional Arabic"/>
          <w:rtl/>
        </w:rPr>
        <w:t>وكيف بظلم جَاريةٍ ... ومنها اللِّينُ والرُّحُم</w:t>
      </w:r>
      <w:r w:rsidRPr="00885058">
        <w:rPr>
          <w:vertAlign w:val="superscript"/>
          <w:rtl/>
        </w:rPr>
        <w:t xml:space="preserve"> (</w:t>
      </w:r>
      <w:r w:rsidRPr="00885058">
        <w:rPr>
          <w:vertAlign w:val="superscript"/>
          <w:rtl/>
        </w:rPr>
        <w:footnoteReference w:id="1776"/>
      </w:r>
      <w:r w:rsidRPr="00885058">
        <w:rPr>
          <w:vertAlign w:val="superscript"/>
          <w:rtl/>
        </w:rPr>
        <w:t>)</w:t>
      </w:r>
    </w:p>
    <w:p w:rsidR="00237681" w:rsidRDefault="00237681" w:rsidP="00885058">
      <w:pPr>
        <w:ind w:firstLine="0"/>
        <w:rPr>
          <w:rFonts w:ascii="Traditional Arabic" w:hAnsi="Traditional Arabic"/>
          <w:rtl/>
        </w:rPr>
      </w:pPr>
    </w:p>
    <w:p w:rsidR="00885058" w:rsidRPr="00885058" w:rsidRDefault="00885058" w:rsidP="00600D63">
      <w:pPr>
        <w:ind w:firstLine="0"/>
        <w:rPr>
          <w:rFonts w:ascii="Traditional Arabic" w:hAnsi="Traditional Arabic"/>
          <w:rtl/>
        </w:rPr>
      </w:pPr>
      <w:r w:rsidRPr="00885058">
        <w:rPr>
          <w:rFonts w:ascii="Traditional Arabic" w:hAnsi="Traditional Arabic"/>
          <w:rtl/>
        </w:rPr>
        <w:lastRenderedPageBreak/>
        <w:t>والثاني</w:t>
      </w:r>
      <w:r w:rsidRPr="00885058">
        <w:rPr>
          <w:rFonts w:ascii="Traditional Arabic" w:hAnsi="Traditional Arabic" w:hint="cs"/>
          <w:rtl/>
        </w:rPr>
        <w:t>:</w:t>
      </w:r>
      <w:r w:rsidRPr="00885058">
        <w:rPr>
          <w:rFonts w:ascii="Traditional Arabic" w:hAnsi="Traditional Arabic"/>
          <w:rtl/>
        </w:rPr>
        <w:t xml:space="preserve"> أقرب أن يُرحَما به، قاله الفراء</w:t>
      </w:r>
      <w:r w:rsidRPr="00885058">
        <w:rPr>
          <w:vertAlign w:val="superscript"/>
          <w:rtl/>
        </w:rPr>
        <w:t>(</w:t>
      </w:r>
      <w:r w:rsidRPr="00885058">
        <w:rPr>
          <w:vertAlign w:val="superscript"/>
          <w:rtl/>
        </w:rPr>
        <w:footnoteReference w:id="1777"/>
      </w:r>
      <w:r w:rsidRPr="00885058">
        <w:rPr>
          <w:vertAlign w:val="superscript"/>
          <w:rtl/>
        </w:rPr>
        <w:t>)</w:t>
      </w:r>
      <w:r w:rsidRPr="00885058">
        <w:rPr>
          <w:rFonts w:ascii="Traditional Arabic" w:hAnsi="Traditional Arabic"/>
          <w:rtl/>
        </w:rPr>
        <w:t>، وفيما بُدِّلا به قولان: أحدهما: جارية، قاله الأكثرون</w:t>
      </w:r>
      <w:r w:rsidRPr="00885058">
        <w:rPr>
          <w:vertAlign w:val="superscript"/>
          <w:rtl/>
        </w:rPr>
        <w:t>(</w:t>
      </w:r>
      <w:r w:rsidRPr="00885058">
        <w:rPr>
          <w:vertAlign w:val="superscript"/>
          <w:rtl/>
        </w:rPr>
        <w:footnoteReference w:id="1778"/>
      </w:r>
      <w:r w:rsidRPr="00885058">
        <w:rPr>
          <w:vertAlign w:val="superscript"/>
          <w:rtl/>
        </w:rPr>
        <w:t>)</w:t>
      </w:r>
      <w:r w:rsidRPr="00885058">
        <w:rPr>
          <w:rFonts w:ascii="Traditional Arabic" w:hAnsi="Traditional Arabic"/>
          <w:rtl/>
        </w:rPr>
        <w:t>.</w:t>
      </w:r>
      <w:r w:rsidRPr="00885058">
        <w:rPr>
          <w:rFonts w:ascii="Traditional Arabic" w:hAnsi="Traditional Arabic" w:hint="cs"/>
          <w:rtl/>
        </w:rPr>
        <w:t xml:space="preserve"> </w:t>
      </w:r>
      <w:r w:rsidRPr="00885058">
        <w:rPr>
          <w:rFonts w:ascii="Traditional Arabic" w:hAnsi="Traditional Arabic"/>
          <w:rtl/>
        </w:rPr>
        <w:t>وروى عطاء عن ابن عباس، قال: أبدلهما به جارية ولدت سبعين نبيّاً</w:t>
      </w:r>
      <w:r w:rsidRPr="00885058">
        <w:rPr>
          <w:vertAlign w:val="superscript"/>
          <w:rtl/>
        </w:rPr>
        <w:t>(</w:t>
      </w:r>
      <w:r w:rsidRPr="00885058">
        <w:rPr>
          <w:vertAlign w:val="superscript"/>
          <w:rtl/>
        </w:rPr>
        <w:footnoteReference w:id="1779"/>
      </w:r>
      <w:r w:rsidRPr="00885058">
        <w:rPr>
          <w:vertAlign w:val="superscript"/>
          <w:rtl/>
        </w:rPr>
        <w:t>)</w:t>
      </w:r>
      <w:r w:rsidRPr="00885058">
        <w:rPr>
          <w:rFonts w:ascii="Traditional Arabic" w:hAnsi="Traditional Arabic"/>
          <w:rtl/>
        </w:rPr>
        <w:t>. والثاني: غلام مسلم، قاله ابن جريج</w:t>
      </w:r>
      <w:r w:rsidRPr="00885058">
        <w:rPr>
          <w:vertAlign w:val="superscript"/>
          <w:rtl/>
        </w:rPr>
        <w:t>(</w:t>
      </w:r>
      <w:r w:rsidRPr="00885058">
        <w:rPr>
          <w:vertAlign w:val="superscript"/>
          <w:rtl/>
        </w:rPr>
        <w:footnoteReference w:id="1780"/>
      </w:r>
      <w:r w:rsidRPr="00885058">
        <w:rPr>
          <w:vertAlign w:val="superscript"/>
          <w:rtl/>
        </w:rPr>
        <w:t>)</w:t>
      </w:r>
      <w:r w:rsidRPr="00885058">
        <w:rPr>
          <w:rFonts w:ascii="Traditional Arabic" w:hAnsi="Traditional Arabic"/>
          <w:rtl/>
        </w:rPr>
        <w:t>.</w:t>
      </w:r>
      <w:r w:rsidRPr="00885058">
        <w:rPr>
          <w:rFonts w:ascii="Traditional Arabic" w:hAnsi="Traditional Arabic" w:hint="cs"/>
          <w:rtl/>
        </w:rPr>
        <w:t xml:space="preserve"> </w:t>
      </w:r>
      <w:r w:rsidRPr="00885058">
        <w:rPr>
          <w:rFonts w:ascii="Traditional Arabic" w:hAnsi="Traditional Arabic"/>
          <w:rtl/>
        </w:rPr>
        <w:t xml:space="preserve">قوله تعالى: </w:t>
      </w:r>
      <w:r w:rsidRPr="00885058">
        <w:rPr>
          <w:rFonts w:ascii="QCF_BSML" w:hAnsi="QCF_BSML" w:cs="QCF_BSML"/>
          <w:color w:val="auto"/>
          <w:sz w:val="32"/>
          <w:szCs w:val="32"/>
          <w:rtl/>
          <w:lang w:eastAsia="en-US"/>
        </w:rPr>
        <w:t>ﭽ</w:t>
      </w:r>
      <w:r w:rsidRPr="00885058">
        <w:rPr>
          <w:rFonts w:ascii="QCF_BSML" w:hAnsi="QCF_BSML" w:cs="QCF_BSML" w:hint="cs"/>
          <w:color w:val="auto"/>
          <w:sz w:val="32"/>
          <w:szCs w:val="32"/>
          <w:rtl/>
          <w:lang w:eastAsia="en-US"/>
        </w:rPr>
        <w:t xml:space="preserve"> </w:t>
      </w:r>
      <w:r w:rsidRPr="00885058">
        <w:rPr>
          <w:rFonts w:ascii="QCF_P302" w:hAnsi="QCF_P302" w:cs="QCF_P302"/>
          <w:color w:val="auto"/>
          <w:sz w:val="32"/>
          <w:szCs w:val="32"/>
          <w:rtl/>
          <w:lang w:eastAsia="en-US"/>
        </w:rPr>
        <w:t>ﯛ  ﯜ   ﯝ  ﯞ  ﯟ   ﯠ  ﯡ</w:t>
      </w:r>
      <w:r w:rsidRPr="00885058">
        <w:rPr>
          <w:rFonts w:ascii="QCF_P302" w:hAnsi="QCF_P302" w:cs="QCF_P302" w:hint="cs"/>
          <w:color w:val="auto"/>
          <w:sz w:val="32"/>
          <w:szCs w:val="32"/>
          <w:rtl/>
          <w:lang w:eastAsia="en-US"/>
        </w:rPr>
        <w:t xml:space="preserve"> </w:t>
      </w:r>
      <w:r w:rsidRPr="00885058">
        <w:rPr>
          <w:rFonts w:ascii="QCF_BSML" w:hAnsi="QCF_BSML" w:cs="QCF_BSML"/>
          <w:sz w:val="32"/>
          <w:szCs w:val="32"/>
          <w:rtl/>
          <w:lang w:eastAsia="en-US"/>
        </w:rPr>
        <w:t>ﭼ</w:t>
      </w:r>
      <w:r w:rsidRPr="00885058">
        <w:rPr>
          <w:rFonts w:ascii="QCF_P302" w:hAnsi="QCF_P302" w:cs="QCF_P302"/>
          <w:color w:val="auto"/>
          <w:sz w:val="32"/>
          <w:szCs w:val="32"/>
          <w:rtl/>
          <w:lang w:eastAsia="en-US"/>
        </w:rPr>
        <w:t xml:space="preserve">  </w:t>
      </w:r>
      <w:r w:rsidRPr="00885058">
        <w:rPr>
          <w:rFonts w:ascii="Traditional Arabic" w:hAnsi="Traditional Arabic"/>
          <w:rtl/>
        </w:rPr>
        <w:t>يعني: القرية المذكورة في قوله تعالى:</w:t>
      </w:r>
      <w:r w:rsidRPr="00885058">
        <w:rPr>
          <w:rFonts w:ascii="Traditional Arabic" w:hAnsi="Traditional Arabic" w:hint="cs"/>
          <w:rtl/>
        </w:rPr>
        <w:t xml:space="preserve"> </w:t>
      </w:r>
      <w:r w:rsidRPr="00885058">
        <w:rPr>
          <w:rFonts w:ascii="QCF_BSML" w:hAnsi="QCF_BSML" w:cs="QCF_BSML"/>
          <w:color w:val="auto"/>
          <w:sz w:val="32"/>
          <w:szCs w:val="32"/>
          <w:rtl/>
          <w:lang w:eastAsia="en-US"/>
        </w:rPr>
        <w:t>ﭽ</w:t>
      </w:r>
      <w:r w:rsidRPr="00885058">
        <w:rPr>
          <w:rFonts w:ascii="QCF_BSML" w:hAnsi="QCF_BSML" w:cs="QCF_BSML" w:hint="cs"/>
          <w:color w:val="auto"/>
          <w:sz w:val="32"/>
          <w:szCs w:val="32"/>
          <w:rtl/>
          <w:lang w:eastAsia="en-US"/>
        </w:rPr>
        <w:t xml:space="preserve"> </w:t>
      </w:r>
      <w:r w:rsidRPr="00885058">
        <w:rPr>
          <w:rFonts w:ascii="QCF_P302" w:hAnsi="QCF_P302" w:cs="QCF_P302"/>
          <w:color w:val="auto"/>
          <w:sz w:val="32"/>
          <w:szCs w:val="32"/>
          <w:rtl/>
          <w:lang w:eastAsia="en-US"/>
        </w:rPr>
        <w:t>ﭮ  ﭯ  ﭰ</w:t>
      </w:r>
      <w:r w:rsidRPr="00885058">
        <w:rPr>
          <w:rFonts w:ascii="QCF_BSML" w:hAnsi="QCF_BSML" w:cs="QCF_BSML" w:hint="cs"/>
          <w:sz w:val="32"/>
          <w:szCs w:val="32"/>
          <w:rtl/>
          <w:lang w:eastAsia="en-US"/>
        </w:rPr>
        <w:t xml:space="preserve"> </w:t>
      </w:r>
      <w:r w:rsidRPr="00885058">
        <w:rPr>
          <w:rFonts w:ascii="QCF_BSML" w:hAnsi="QCF_BSML" w:cs="QCF_BSML"/>
          <w:sz w:val="32"/>
          <w:szCs w:val="32"/>
          <w:rtl/>
          <w:lang w:eastAsia="en-US"/>
        </w:rPr>
        <w:t>ﭼ</w:t>
      </w:r>
      <w:r w:rsidRPr="00885058">
        <w:rPr>
          <w:rFonts w:ascii="Traditional Arabic" w:hAnsi="Traditional Arabic"/>
          <w:rtl/>
        </w:rPr>
        <w:t xml:space="preserve"> قال مقاتل: واسمهما: أصرم، وصريم</w:t>
      </w:r>
      <w:r w:rsidRPr="00885058">
        <w:rPr>
          <w:vertAlign w:val="superscript"/>
          <w:rtl/>
        </w:rPr>
        <w:t>(</w:t>
      </w:r>
      <w:r w:rsidRPr="00885058">
        <w:rPr>
          <w:vertAlign w:val="superscript"/>
          <w:rtl/>
        </w:rPr>
        <w:footnoteReference w:id="1781"/>
      </w:r>
      <w:r w:rsidRPr="00885058">
        <w:rPr>
          <w:vertAlign w:val="superscript"/>
          <w:rtl/>
        </w:rPr>
        <w:t>)</w:t>
      </w:r>
      <w:r w:rsidRPr="00885058">
        <w:rPr>
          <w:rFonts w:ascii="Traditional Arabic" w:hAnsi="Traditional Arabic"/>
          <w:rtl/>
        </w:rPr>
        <w:t>.</w:t>
      </w:r>
      <w:r w:rsidRPr="00885058">
        <w:rPr>
          <w:rFonts w:ascii="Traditional Arabic" w:hAnsi="Traditional Arabic" w:hint="cs"/>
          <w:rtl/>
        </w:rPr>
        <w:t xml:space="preserve"> </w:t>
      </w:r>
      <w:r w:rsidRPr="00885058">
        <w:rPr>
          <w:rFonts w:ascii="Traditional Arabic" w:hAnsi="Traditional Arabic"/>
          <w:rtl/>
        </w:rPr>
        <w:t xml:space="preserve">قوله تعالى: </w:t>
      </w:r>
      <w:r w:rsidRPr="00885058">
        <w:rPr>
          <w:rFonts w:ascii="QCF_BSML" w:hAnsi="QCF_BSML" w:cs="QCF_BSML"/>
          <w:color w:val="auto"/>
          <w:sz w:val="32"/>
          <w:szCs w:val="32"/>
          <w:rtl/>
          <w:lang w:eastAsia="en-US"/>
        </w:rPr>
        <w:t>ﭽ</w:t>
      </w:r>
      <w:r w:rsidRPr="00885058">
        <w:rPr>
          <w:rFonts w:ascii="QCF_P302" w:hAnsi="QCF_P302" w:cs="QCF_P302"/>
          <w:color w:val="auto"/>
          <w:sz w:val="32"/>
          <w:szCs w:val="32"/>
          <w:rtl/>
          <w:lang w:eastAsia="en-US"/>
        </w:rPr>
        <w:t>ﯢ    ﯣ  ﯤ     ﯥ</w:t>
      </w:r>
      <w:r w:rsidRPr="00885058">
        <w:rPr>
          <w:rFonts w:ascii="QCF_BSML" w:hAnsi="QCF_BSML" w:cs="QCF_BSML"/>
          <w:sz w:val="32"/>
          <w:szCs w:val="32"/>
          <w:rtl/>
          <w:lang w:eastAsia="en-US"/>
        </w:rPr>
        <w:t>ﭼ</w:t>
      </w:r>
      <w:r w:rsidRPr="00885058">
        <w:rPr>
          <w:rFonts w:ascii="QCF_P302" w:hAnsi="QCF_P302" w:cs="QCF_P302"/>
          <w:color w:val="auto"/>
          <w:sz w:val="32"/>
          <w:szCs w:val="32"/>
          <w:rtl/>
          <w:lang w:eastAsia="en-US"/>
        </w:rPr>
        <w:t xml:space="preserve">        </w:t>
      </w:r>
      <w:r w:rsidRPr="00885058">
        <w:rPr>
          <w:rFonts w:ascii="Traditional Arabic" w:hAnsi="Traditional Arabic"/>
          <w:rtl/>
        </w:rPr>
        <w:t xml:space="preserve">فيه ثلاثة أقوال: أحدها: أنه كان ذهباً وفضة، رواه أبو الدّرداء عن رسول الله </w:t>
      </w:r>
      <w:r w:rsidRPr="00885058">
        <w:rPr>
          <w:rFonts w:ascii="Traditional Arabic" w:hAnsi="Traditional Arabic"/>
        </w:rPr>
        <w:sym w:font="AGA Arabesque" w:char="F072"/>
      </w:r>
      <w:r w:rsidRPr="00885058">
        <w:rPr>
          <w:vertAlign w:val="superscript"/>
          <w:rtl/>
        </w:rPr>
        <w:t xml:space="preserve"> (</w:t>
      </w:r>
      <w:r w:rsidRPr="00885058">
        <w:rPr>
          <w:vertAlign w:val="superscript"/>
          <w:rtl/>
        </w:rPr>
        <w:footnoteReference w:id="1782"/>
      </w:r>
      <w:r w:rsidRPr="00885058">
        <w:rPr>
          <w:vertAlign w:val="superscript"/>
          <w:rtl/>
        </w:rPr>
        <w:t>)</w:t>
      </w:r>
      <w:r w:rsidRPr="00885058">
        <w:rPr>
          <w:rFonts w:ascii="Traditional Arabic" w:hAnsi="Traditional Arabic"/>
          <w:rtl/>
        </w:rPr>
        <w:t>. وقال الحسن، وعكرمة، وقتادة: كان مالاً</w:t>
      </w:r>
      <w:r w:rsidRPr="00885058">
        <w:rPr>
          <w:vertAlign w:val="superscript"/>
          <w:rtl/>
        </w:rPr>
        <w:t>(</w:t>
      </w:r>
      <w:r w:rsidRPr="00885058">
        <w:rPr>
          <w:vertAlign w:val="superscript"/>
          <w:rtl/>
        </w:rPr>
        <w:footnoteReference w:id="1783"/>
      </w:r>
      <w:r w:rsidRPr="00885058">
        <w:rPr>
          <w:vertAlign w:val="superscript"/>
          <w:rtl/>
        </w:rPr>
        <w:t>)</w:t>
      </w:r>
      <w:r w:rsidRPr="00885058">
        <w:rPr>
          <w:rFonts w:ascii="Traditional Arabic" w:hAnsi="Traditional Arabic"/>
          <w:rtl/>
        </w:rPr>
        <w:t>. والثاني: أنه كان لوحاً من ذهب، فيه مكتوب: عجباً لمن أيقن بالقدر ثم هو يَنْصَب، عجباً لمن أيقن بالنار كيف يضحك</w:t>
      </w:r>
      <w:r w:rsidRPr="00885058">
        <w:rPr>
          <w:vertAlign w:val="superscript"/>
          <w:rtl/>
        </w:rPr>
        <w:t>(</w:t>
      </w:r>
      <w:r w:rsidRPr="00885058">
        <w:rPr>
          <w:vertAlign w:val="superscript"/>
          <w:rtl/>
        </w:rPr>
        <w:footnoteReference w:id="1784"/>
      </w:r>
      <w:r w:rsidRPr="00885058">
        <w:rPr>
          <w:vertAlign w:val="superscript"/>
          <w:rtl/>
        </w:rPr>
        <w:t>)</w:t>
      </w:r>
      <w:r w:rsidRPr="00885058">
        <w:rPr>
          <w:rFonts w:ascii="Traditional Arabic" w:hAnsi="Traditional Arabic"/>
          <w:rtl/>
        </w:rPr>
        <w:t xml:space="preserve">، عجباً لمن يؤمن بالموت كيف يفرح، عجباً لمن يوقن بالرزق كيف يتعب، عجباً لمن يؤمن بالحساب كيف يغفُل، عجباً لمن رأى الدنيا وتقلُّبَها بأهلها كيف يطمئن إِليها، أنا الله الذي لا إِله إِلا أنا، محمد عبدي ورسولي وفي الشِّق الآخر: أنا الله لا إِله إِلا أنا وحدي لا شريك لي، خلقتُ الخير والشَّر، فطوبى لمن خلقتُه للخير وأجريته على يديه، والويل لمن </w:t>
      </w:r>
      <w:r w:rsidRPr="00885058">
        <w:rPr>
          <w:rFonts w:ascii="Traditional Arabic" w:hAnsi="Traditional Arabic"/>
          <w:rtl/>
        </w:rPr>
        <w:lastRenderedPageBreak/>
        <w:t>خلقته لمن خلقتُه للشر وأجريتُه على يديه، رواه عطاء عن ابن عباس</w:t>
      </w:r>
      <w:r w:rsidRPr="00885058">
        <w:rPr>
          <w:vertAlign w:val="superscript"/>
          <w:rtl/>
        </w:rPr>
        <w:t>(</w:t>
      </w:r>
      <w:r w:rsidRPr="00885058">
        <w:rPr>
          <w:vertAlign w:val="superscript"/>
          <w:rtl/>
        </w:rPr>
        <w:footnoteReference w:id="1785"/>
      </w:r>
      <w:r w:rsidRPr="00885058">
        <w:rPr>
          <w:vertAlign w:val="superscript"/>
          <w:rtl/>
        </w:rPr>
        <w:t>)</w:t>
      </w:r>
      <w:r w:rsidRPr="00885058">
        <w:rPr>
          <w:rFonts w:ascii="Traditional Arabic" w:hAnsi="Traditional Arabic"/>
          <w:rtl/>
        </w:rPr>
        <w:t>. قال ابن الأنباري: فسُمِّي كنزاً من جهة الذَّهب، وجعل اسمه هو المغلَّب</w:t>
      </w:r>
      <w:r w:rsidRPr="00885058">
        <w:rPr>
          <w:vertAlign w:val="superscript"/>
          <w:rtl/>
        </w:rPr>
        <w:t>(</w:t>
      </w:r>
      <w:r w:rsidRPr="00885058">
        <w:rPr>
          <w:vertAlign w:val="superscript"/>
          <w:rtl/>
        </w:rPr>
        <w:footnoteReference w:id="1786"/>
      </w:r>
      <w:r w:rsidRPr="00885058">
        <w:rPr>
          <w:vertAlign w:val="superscript"/>
          <w:rtl/>
        </w:rPr>
        <w:t>)</w:t>
      </w:r>
      <w:r w:rsidRPr="00885058">
        <w:rPr>
          <w:rFonts w:ascii="Traditional Arabic" w:hAnsi="Traditional Arabic"/>
          <w:rtl/>
        </w:rPr>
        <w:t>. والثالث: كنز علم، رواه العوفي عن ابن عباس</w:t>
      </w:r>
      <w:r w:rsidRPr="00885058">
        <w:rPr>
          <w:vertAlign w:val="superscript"/>
          <w:rtl/>
        </w:rPr>
        <w:t>(</w:t>
      </w:r>
      <w:r w:rsidRPr="00885058">
        <w:rPr>
          <w:vertAlign w:val="superscript"/>
          <w:rtl/>
        </w:rPr>
        <w:footnoteReference w:id="1787"/>
      </w:r>
      <w:r w:rsidRPr="00885058">
        <w:rPr>
          <w:vertAlign w:val="superscript"/>
          <w:rtl/>
        </w:rPr>
        <w:t>)</w:t>
      </w:r>
      <w:r w:rsidRPr="00885058">
        <w:rPr>
          <w:rFonts w:ascii="Traditional Arabic" w:hAnsi="Traditional Arabic"/>
          <w:rtl/>
        </w:rPr>
        <w:t>. وقال مجاهد: صُحُف فيها عِلْم</w:t>
      </w:r>
      <w:r w:rsidRPr="00885058">
        <w:rPr>
          <w:vertAlign w:val="superscript"/>
          <w:rtl/>
        </w:rPr>
        <w:t>(</w:t>
      </w:r>
      <w:r w:rsidRPr="00885058">
        <w:rPr>
          <w:vertAlign w:val="superscript"/>
          <w:rtl/>
        </w:rPr>
        <w:footnoteReference w:id="1788"/>
      </w:r>
      <w:r w:rsidRPr="00885058">
        <w:rPr>
          <w:vertAlign w:val="superscript"/>
          <w:rtl/>
        </w:rPr>
        <w:t>)</w:t>
      </w:r>
      <w:r w:rsidRPr="00885058">
        <w:rPr>
          <w:rFonts w:ascii="Traditional Arabic" w:hAnsi="Traditional Arabic" w:hint="cs"/>
          <w:rtl/>
        </w:rPr>
        <w:t>,</w:t>
      </w:r>
      <w:r w:rsidRPr="00885058">
        <w:rPr>
          <w:rFonts w:ascii="Traditional Arabic" w:hAnsi="Traditional Arabic"/>
          <w:rtl/>
        </w:rPr>
        <w:t xml:space="preserve"> وبه قال سعيد بن جبير</w:t>
      </w:r>
      <w:r w:rsidRPr="00885058">
        <w:rPr>
          <w:vertAlign w:val="superscript"/>
          <w:rtl/>
        </w:rPr>
        <w:t>(</w:t>
      </w:r>
      <w:r w:rsidRPr="00885058">
        <w:rPr>
          <w:vertAlign w:val="superscript"/>
          <w:rtl/>
        </w:rPr>
        <w:footnoteReference w:id="1789"/>
      </w:r>
      <w:r w:rsidRPr="00885058">
        <w:rPr>
          <w:vertAlign w:val="superscript"/>
          <w:rtl/>
        </w:rPr>
        <w:t>)</w:t>
      </w:r>
      <w:r w:rsidRPr="00885058">
        <w:rPr>
          <w:rFonts w:ascii="Traditional Arabic" w:hAnsi="Traditional Arabic"/>
          <w:rtl/>
        </w:rPr>
        <w:t>، والسدي</w:t>
      </w:r>
      <w:r w:rsidRPr="00885058">
        <w:rPr>
          <w:vertAlign w:val="superscript"/>
          <w:rtl/>
        </w:rPr>
        <w:t>(</w:t>
      </w:r>
      <w:r w:rsidRPr="00885058">
        <w:rPr>
          <w:vertAlign w:val="superscript"/>
          <w:rtl/>
        </w:rPr>
        <w:footnoteReference w:id="1790"/>
      </w:r>
      <w:r w:rsidRPr="00885058">
        <w:rPr>
          <w:vertAlign w:val="superscript"/>
          <w:rtl/>
        </w:rPr>
        <w:t>)</w:t>
      </w:r>
      <w:r w:rsidRPr="00885058">
        <w:rPr>
          <w:rFonts w:ascii="Traditional Arabic" w:hAnsi="Traditional Arabic"/>
          <w:rtl/>
        </w:rPr>
        <w:t>. قال ابن الأنباري: فيكون المعنى على هذا القول: كان تحته مثل الكنز، لأنه يُتعجَّل من نفعه أفضل مما يُنال من الأموال</w:t>
      </w:r>
      <w:r w:rsidRPr="00885058">
        <w:rPr>
          <w:vertAlign w:val="superscript"/>
          <w:rtl/>
        </w:rPr>
        <w:t>(</w:t>
      </w:r>
      <w:r w:rsidRPr="00885058">
        <w:rPr>
          <w:vertAlign w:val="superscript"/>
          <w:rtl/>
        </w:rPr>
        <w:footnoteReference w:id="1791"/>
      </w:r>
      <w:r w:rsidRPr="00885058">
        <w:rPr>
          <w:vertAlign w:val="superscript"/>
          <w:rtl/>
        </w:rPr>
        <w:t>)</w:t>
      </w:r>
      <w:r w:rsidRPr="00885058">
        <w:rPr>
          <w:rFonts w:ascii="Traditional Arabic" w:hAnsi="Traditional Arabic"/>
          <w:rtl/>
        </w:rPr>
        <w:t>. قال الزجاج: والمعروف في اللغة: أن الكنز إِذا أُفرد، فمعناه: المال المدفون المدَّخَر، فاذا لم يكن المال، قيل: عنده كنز علم، وله كنز فهم، والكنز ها هنا بالمال أشبه، وجائز أن يكون الكنز كان مالاً، مكتوب فيه علم، على ما روي، فهو مال وعِلْم عظيم</w:t>
      </w:r>
      <w:r w:rsidRPr="00885058">
        <w:rPr>
          <w:vertAlign w:val="superscript"/>
          <w:rtl/>
        </w:rPr>
        <w:t>(</w:t>
      </w:r>
      <w:r w:rsidRPr="00885058">
        <w:rPr>
          <w:vertAlign w:val="superscript"/>
          <w:rtl/>
        </w:rPr>
        <w:footnoteReference w:id="1792"/>
      </w:r>
      <w:r w:rsidRPr="00885058">
        <w:rPr>
          <w:vertAlign w:val="superscript"/>
          <w:rtl/>
        </w:rPr>
        <w:t>)</w:t>
      </w:r>
      <w:r w:rsidRPr="00885058">
        <w:rPr>
          <w:rFonts w:ascii="Traditional Arabic" w:hAnsi="Traditional Arabic"/>
          <w:rtl/>
        </w:rPr>
        <w:t>.</w:t>
      </w:r>
      <w:r w:rsidRPr="00885058">
        <w:rPr>
          <w:rFonts w:ascii="QCF_P302" w:hAnsi="QCF_P302" w:cs="QCF_P302"/>
          <w:color w:val="auto"/>
          <w:sz w:val="32"/>
          <w:szCs w:val="32"/>
          <w:rtl/>
          <w:lang w:eastAsia="en-US"/>
        </w:rPr>
        <w:t xml:space="preserve"> </w:t>
      </w:r>
    </w:p>
    <w:p w:rsidR="00885058" w:rsidRDefault="00885058" w:rsidP="00885058">
      <w:pPr>
        <w:ind w:firstLine="0"/>
        <w:rPr>
          <w:rFonts w:ascii="Traditional Arabic" w:hAnsi="Traditional Arabic"/>
          <w:rtl/>
        </w:rPr>
      </w:pPr>
      <w:r w:rsidRPr="00885058">
        <w:rPr>
          <w:rFonts w:ascii="Traditional Arabic" w:hAnsi="Traditional Arabic"/>
          <w:rtl/>
        </w:rPr>
        <w:t xml:space="preserve">قوله تعالى: </w:t>
      </w:r>
      <w:r w:rsidRPr="00885058">
        <w:rPr>
          <w:rFonts w:ascii="QCF_BSML" w:hAnsi="QCF_BSML" w:cs="QCF_BSML"/>
          <w:color w:val="auto"/>
          <w:sz w:val="32"/>
          <w:szCs w:val="32"/>
          <w:rtl/>
          <w:lang w:eastAsia="en-US"/>
        </w:rPr>
        <w:t>ﭽ</w:t>
      </w:r>
      <w:r w:rsidRPr="00885058">
        <w:rPr>
          <w:rFonts w:ascii="QCF_P302" w:hAnsi="QCF_P302" w:cs="QCF_P302"/>
          <w:color w:val="auto"/>
          <w:sz w:val="32"/>
          <w:szCs w:val="32"/>
          <w:rtl/>
          <w:lang w:eastAsia="en-US"/>
        </w:rPr>
        <w:t>ﯦ  ﯧ  ﯨ</w:t>
      </w:r>
      <w:r w:rsidRPr="00885058">
        <w:rPr>
          <w:rFonts w:ascii="QCF_BSML" w:hAnsi="QCF_BSML" w:cs="QCF_BSML"/>
          <w:sz w:val="32"/>
          <w:szCs w:val="32"/>
          <w:rtl/>
          <w:lang w:eastAsia="en-US"/>
        </w:rPr>
        <w:t>ﭼ</w:t>
      </w:r>
      <w:r w:rsidRPr="00885058">
        <w:rPr>
          <w:rFonts w:ascii="QCF_P302" w:hAnsi="QCF_P302" w:cs="QCF_P302"/>
          <w:color w:val="auto"/>
          <w:sz w:val="32"/>
          <w:szCs w:val="32"/>
          <w:rtl/>
          <w:lang w:eastAsia="en-US"/>
        </w:rPr>
        <w:t xml:space="preserve">  </w:t>
      </w:r>
      <w:r w:rsidRPr="00885058">
        <w:rPr>
          <w:rFonts w:ascii="Traditional Arabic" w:hAnsi="Traditional Arabic"/>
          <w:rtl/>
        </w:rPr>
        <w:t>قال ابن عباس: حُفِظا بصلاح أبيهما، ولم يذكر منهما صلاحاً</w:t>
      </w:r>
      <w:r w:rsidRPr="00885058">
        <w:rPr>
          <w:vertAlign w:val="superscript"/>
          <w:rtl/>
        </w:rPr>
        <w:t>(</w:t>
      </w:r>
      <w:r w:rsidRPr="00885058">
        <w:rPr>
          <w:vertAlign w:val="superscript"/>
          <w:rtl/>
        </w:rPr>
        <w:footnoteReference w:id="1793"/>
      </w:r>
      <w:r w:rsidRPr="00885058">
        <w:rPr>
          <w:vertAlign w:val="superscript"/>
          <w:rtl/>
        </w:rPr>
        <w:t>)</w:t>
      </w:r>
      <w:r w:rsidRPr="00885058">
        <w:rPr>
          <w:rFonts w:ascii="Traditional Arabic" w:hAnsi="Traditional Arabic"/>
          <w:rtl/>
        </w:rPr>
        <w:t>. وقال جعفر بن محمّد</w:t>
      </w:r>
      <w:r w:rsidRPr="00885058">
        <w:rPr>
          <w:vertAlign w:val="superscript"/>
          <w:rtl/>
        </w:rPr>
        <w:t>(</w:t>
      </w:r>
      <w:r w:rsidRPr="00885058">
        <w:rPr>
          <w:vertAlign w:val="superscript"/>
          <w:rtl/>
        </w:rPr>
        <w:footnoteReference w:id="1794"/>
      </w:r>
      <w:r w:rsidRPr="00885058">
        <w:rPr>
          <w:vertAlign w:val="superscript"/>
          <w:rtl/>
        </w:rPr>
        <w:t>)</w:t>
      </w:r>
      <w:r w:rsidRPr="00885058">
        <w:rPr>
          <w:rFonts w:ascii="Traditional Arabic" w:hAnsi="Traditional Arabic"/>
          <w:rtl/>
        </w:rPr>
        <w:t>: كان بينهما وبين ذلك الأب الصالح سبعة آباء</w:t>
      </w:r>
      <w:r w:rsidRPr="00885058">
        <w:rPr>
          <w:vertAlign w:val="superscript"/>
          <w:rtl/>
        </w:rPr>
        <w:t>(</w:t>
      </w:r>
      <w:r w:rsidRPr="00885058">
        <w:rPr>
          <w:vertAlign w:val="superscript"/>
          <w:rtl/>
        </w:rPr>
        <w:footnoteReference w:id="1795"/>
      </w:r>
      <w:r w:rsidRPr="00885058">
        <w:rPr>
          <w:vertAlign w:val="superscript"/>
          <w:rtl/>
        </w:rPr>
        <w:t>)</w:t>
      </w:r>
      <w:r w:rsidRPr="00885058">
        <w:rPr>
          <w:rFonts w:ascii="Traditional Arabic" w:hAnsi="Traditional Arabic"/>
          <w:rtl/>
        </w:rPr>
        <w:t>.</w:t>
      </w:r>
      <w:r w:rsidRPr="00885058">
        <w:rPr>
          <w:rFonts w:ascii="Traditional Arabic" w:hAnsi="Traditional Arabic" w:hint="cs"/>
          <w:rtl/>
        </w:rPr>
        <w:t xml:space="preserve"> </w:t>
      </w:r>
      <w:r w:rsidRPr="00885058">
        <w:rPr>
          <w:rFonts w:ascii="Traditional Arabic" w:hAnsi="Traditional Arabic"/>
          <w:sz w:val="32"/>
          <w:szCs w:val="32"/>
          <w:rtl/>
        </w:rPr>
        <w:t>[</w:t>
      </w:r>
      <w:r w:rsidRPr="00885058">
        <w:rPr>
          <w:rFonts w:ascii="Traditional Arabic" w:hAnsi="Traditional Arabic" w:hint="cs"/>
          <w:sz w:val="32"/>
          <w:szCs w:val="32"/>
          <w:rtl/>
        </w:rPr>
        <w:t>144</w:t>
      </w:r>
      <w:r w:rsidRPr="00885058">
        <w:rPr>
          <w:rFonts w:ascii="Traditional Arabic" w:hAnsi="Traditional Arabic"/>
          <w:sz w:val="32"/>
          <w:szCs w:val="32"/>
          <w:rtl/>
        </w:rPr>
        <w:t>]</w:t>
      </w:r>
      <w:r w:rsidRPr="00885058">
        <w:rPr>
          <w:rFonts w:ascii="Traditional Arabic" w:hAnsi="Traditional Arabic"/>
          <w:rtl/>
        </w:rPr>
        <w:t xml:space="preserve"> وقال مقاتل: كان أبوهما ذا أمانة</w:t>
      </w:r>
      <w:r w:rsidRPr="00885058">
        <w:rPr>
          <w:vertAlign w:val="superscript"/>
          <w:rtl/>
        </w:rPr>
        <w:t>(</w:t>
      </w:r>
      <w:r w:rsidRPr="00885058">
        <w:rPr>
          <w:vertAlign w:val="superscript"/>
          <w:rtl/>
        </w:rPr>
        <w:footnoteReference w:id="1796"/>
      </w:r>
      <w:r w:rsidRPr="00885058">
        <w:rPr>
          <w:vertAlign w:val="superscript"/>
          <w:rtl/>
        </w:rPr>
        <w:t>)</w:t>
      </w:r>
      <w:r w:rsidRPr="00885058">
        <w:rPr>
          <w:rFonts w:ascii="Traditional Arabic" w:hAnsi="Traditional Arabic"/>
          <w:rtl/>
        </w:rPr>
        <w:t xml:space="preserve">. قوله تعالى: </w:t>
      </w:r>
      <w:r w:rsidRPr="00885058">
        <w:rPr>
          <w:rFonts w:ascii="QCF_BSML" w:hAnsi="QCF_BSML" w:cs="QCF_BSML"/>
          <w:color w:val="auto"/>
          <w:sz w:val="32"/>
          <w:szCs w:val="32"/>
          <w:rtl/>
          <w:lang w:eastAsia="en-US"/>
        </w:rPr>
        <w:t>ﭽ</w:t>
      </w:r>
      <w:r w:rsidRPr="00885058">
        <w:rPr>
          <w:rFonts w:ascii="QCF_P302" w:hAnsi="QCF_P302" w:cs="QCF_P302"/>
          <w:color w:val="auto"/>
          <w:sz w:val="32"/>
          <w:szCs w:val="32"/>
          <w:rtl/>
          <w:lang w:eastAsia="en-US"/>
        </w:rPr>
        <w:t>ﯩ  ﯪ</w:t>
      </w:r>
      <w:r w:rsidRPr="00885058">
        <w:rPr>
          <w:rFonts w:ascii="QCF_BSML" w:hAnsi="QCF_BSML" w:cs="QCF_BSML"/>
          <w:sz w:val="32"/>
          <w:szCs w:val="32"/>
          <w:rtl/>
          <w:lang w:eastAsia="en-US"/>
        </w:rPr>
        <w:t>ﭼ</w:t>
      </w:r>
      <w:r w:rsidRPr="00885058">
        <w:rPr>
          <w:rFonts w:ascii="QCF_P302" w:hAnsi="QCF_P302" w:cs="QCF_P302"/>
          <w:color w:val="auto"/>
          <w:sz w:val="32"/>
          <w:szCs w:val="32"/>
          <w:rtl/>
          <w:lang w:eastAsia="en-US"/>
        </w:rPr>
        <w:t xml:space="preserve">  </w:t>
      </w:r>
      <w:r w:rsidRPr="00885058">
        <w:rPr>
          <w:rFonts w:ascii="Traditional Arabic" w:hAnsi="Traditional Arabic"/>
          <w:rtl/>
        </w:rPr>
        <w:t xml:space="preserve">قال ابن الأنباري: لمّا كان قوله: «فأردت» «فأردنا» كل واحد منهما يصلح أن يكون خبراً عن الله عزّ وجلّ، وعن </w:t>
      </w:r>
      <w:r w:rsidRPr="00885058">
        <w:rPr>
          <w:rFonts w:ascii="Traditional Arabic" w:hAnsi="Traditional Arabic"/>
          <w:rtl/>
        </w:rPr>
        <w:lastRenderedPageBreak/>
        <w:t>الخضر، أتبعهما بما يحصر الإِرادة عليه، ويزيلها عن غيره، ويكشف البُغية من اللفظتين الأولَيين. وإِنما قال: «فأردتُ» «فأردنا» «فأراد ربُّك» ، لأن العرب تؤثر اختلاف الكلام على اتِّفاقه مع تساوي المعاني، لأنه أعذب على الألسن، وأحسن موقعاً في الأسماع، فيقول الرجل: قال لي فلان كذا، وأنبأني بما كان، وخبَّرني بما نال</w:t>
      </w:r>
      <w:r w:rsidRPr="00885058">
        <w:rPr>
          <w:vertAlign w:val="superscript"/>
          <w:rtl/>
        </w:rPr>
        <w:t>(</w:t>
      </w:r>
      <w:r w:rsidRPr="00885058">
        <w:rPr>
          <w:vertAlign w:val="superscript"/>
          <w:rtl/>
        </w:rPr>
        <w:footnoteReference w:id="1797"/>
      </w:r>
      <w:r w:rsidRPr="00885058">
        <w:rPr>
          <w:vertAlign w:val="superscript"/>
          <w:rtl/>
        </w:rPr>
        <w:t>)</w:t>
      </w:r>
      <w:r w:rsidRPr="00885058">
        <w:rPr>
          <w:rFonts w:ascii="Traditional Arabic" w:hAnsi="Traditional Arabic"/>
          <w:rtl/>
        </w:rPr>
        <w:t>. فأما «الأَشُدُّ» فقد سبق ذكره في مواضع</w:t>
      </w:r>
      <w:r w:rsidRPr="00885058">
        <w:rPr>
          <w:vertAlign w:val="superscript"/>
          <w:rtl/>
        </w:rPr>
        <w:t>(</w:t>
      </w:r>
      <w:r w:rsidRPr="00885058">
        <w:rPr>
          <w:vertAlign w:val="superscript"/>
          <w:rtl/>
        </w:rPr>
        <w:footnoteReference w:id="1798"/>
      </w:r>
      <w:r w:rsidRPr="00885058">
        <w:rPr>
          <w:vertAlign w:val="superscript"/>
          <w:rtl/>
        </w:rPr>
        <w:t>)</w:t>
      </w:r>
      <w:r w:rsidRPr="00885058">
        <w:rPr>
          <w:rFonts w:ascii="Traditional Arabic" w:hAnsi="Traditional Arabic"/>
          <w:rtl/>
        </w:rPr>
        <w:t>. ولو أن الخضر لم يُقِم الحائط لنُقض وأُخِذ ذلك الكنز قبل بلوغهما</w:t>
      </w:r>
      <w:r w:rsidRPr="00885058">
        <w:rPr>
          <w:vertAlign w:val="superscript"/>
          <w:rtl/>
        </w:rPr>
        <w:t>(</w:t>
      </w:r>
      <w:r w:rsidRPr="00885058">
        <w:rPr>
          <w:vertAlign w:val="superscript"/>
          <w:rtl/>
        </w:rPr>
        <w:footnoteReference w:id="1799"/>
      </w:r>
      <w:r w:rsidRPr="00885058">
        <w:rPr>
          <w:vertAlign w:val="superscript"/>
          <w:rtl/>
        </w:rPr>
        <w:t>)</w:t>
      </w:r>
      <w:r w:rsidRPr="00885058">
        <w:rPr>
          <w:rFonts w:ascii="Traditional Arabic" w:hAnsi="Traditional Arabic"/>
          <w:rtl/>
        </w:rPr>
        <w:t>. قوله تعالى:</w:t>
      </w:r>
      <w:r w:rsidRPr="00885058">
        <w:rPr>
          <w:rFonts w:ascii="Traditional Arabic" w:hAnsi="Traditional Arabic" w:hint="cs"/>
          <w:rtl/>
        </w:rPr>
        <w:t xml:space="preserve"> </w:t>
      </w:r>
      <w:r w:rsidRPr="00885058">
        <w:rPr>
          <w:rFonts w:ascii="QCF_BSML" w:hAnsi="QCF_BSML" w:cs="QCF_BSML"/>
          <w:color w:val="auto"/>
          <w:sz w:val="32"/>
          <w:szCs w:val="32"/>
          <w:rtl/>
          <w:lang w:eastAsia="en-US"/>
        </w:rPr>
        <w:t>ﭽ</w:t>
      </w:r>
      <w:r w:rsidRPr="00885058">
        <w:rPr>
          <w:rFonts w:ascii="QCF_P302" w:hAnsi="QCF_P302" w:cs="QCF_P302" w:hint="cs"/>
          <w:color w:val="auto"/>
          <w:sz w:val="32"/>
          <w:szCs w:val="32"/>
          <w:rtl/>
          <w:lang w:eastAsia="en-US"/>
        </w:rPr>
        <w:t xml:space="preserve"> </w:t>
      </w:r>
      <w:r w:rsidRPr="00885058">
        <w:rPr>
          <w:rFonts w:ascii="QCF_P302" w:hAnsi="QCF_P302" w:cs="QCF_P302"/>
          <w:color w:val="auto"/>
          <w:sz w:val="32"/>
          <w:szCs w:val="32"/>
          <w:rtl/>
          <w:lang w:eastAsia="en-US"/>
        </w:rPr>
        <w:t>ﯰ  ﯱ  ﯲ</w:t>
      </w:r>
      <w:r w:rsidRPr="00885058">
        <w:rPr>
          <w:rFonts w:ascii="QCF_BSML" w:hAnsi="QCF_BSML" w:cs="QCF_BSML"/>
          <w:sz w:val="32"/>
          <w:szCs w:val="32"/>
          <w:rtl/>
          <w:lang w:eastAsia="en-US"/>
        </w:rPr>
        <w:t>ﭼ</w:t>
      </w:r>
      <w:r w:rsidRPr="00885058">
        <w:rPr>
          <w:rFonts w:ascii="QCF_P302" w:hAnsi="QCF_P302" w:cs="QCF_P302"/>
          <w:color w:val="auto"/>
          <w:sz w:val="32"/>
          <w:szCs w:val="32"/>
          <w:rtl/>
          <w:lang w:eastAsia="en-US"/>
        </w:rPr>
        <w:t xml:space="preserve">  </w:t>
      </w:r>
      <w:r w:rsidRPr="00885058">
        <w:rPr>
          <w:rFonts w:ascii="Traditional Arabic" w:hAnsi="Traditional Arabic"/>
          <w:rtl/>
        </w:rPr>
        <w:t xml:space="preserve">أي: رحمهما الله بذلك. </w:t>
      </w:r>
      <w:r w:rsidRPr="00885058">
        <w:rPr>
          <w:rFonts w:ascii="QCF_BSML" w:hAnsi="QCF_BSML" w:cs="QCF_BSML"/>
          <w:color w:val="auto"/>
          <w:sz w:val="32"/>
          <w:szCs w:val="32"/>
          <w:rtl/>
          <w:lang w:eastAsia="en-US"/>
        </w:rPr>
        <w:t>ﭽ</w:t>
      </w:r>
      <w:r w:rsidRPr="00885058">
        <w:rPr>
          <w:rFonts w:ascii="QCF_BSML" w:hAnsi="QCF_BSML" w:cs="QCF_BSML" w:hint="cs"/>
          <w:color w:val="auto"/>
          <w:sz w:val="32"/>
          <w:szCs w:val="32"/>
          <w:rtl/>
          <w:lang w:eastAsia="en-US"/>
        </w:rPr>
        <w:t xml:space="preserve"> </w:t>
      </w:r>
      <w:r w:rsidRPr="00885058">
        <w:rPr>
          <w:rFonts w:ascii="QCF_P302" w:hAnsi="QCF_P302" w:cs="QCF_P302"/>
          <w:color w:val="auto"/>
          <w:sz w:val="32"/>
          <w:szCs w:val="32"/>
          <w:rtl/>
          <w:lang w:eastAsia="en-US"/>
        </w:rPr>
        <w:t xml:space="preserve">ﯴ  ﯵ   ﯶ  ﯷﯸ  </w:t>
      </w:r>
      <w:r w:rsidRPr="00885058">
        <w:rPr>
          <w:rFonts w:ascii="QCF_BSML" w:hAnsi="QCF_BSML" w:cs="QCF_BSML" w:hint="cs"/>
          <w:sz w:val="32"/>
          <w:szCs w:val="32"/>
          <w:rtl/>
          <w:lang w:eastAsia="en-US"/>
        </w:rPr>
        <w:t xml:space="preserve"> </w:t>
      </w:r>
      <w:r w:rsidRPr="00885058">
        <w:rPr>
          <w:rFonts w:ascii="QCF_BSML" w:hAnsi="QCF_BSML" w:cs="QCF_BSML"/>
          <w:sz w:val="32"/>
          <w:szCs w:val="32"/>
          <w:rtl/>
          <w:lang w:eastAsia="en-US"/>
        </w:rPr>
        <w:t>ﭼ</w:t>
      </w:r>
      <w:r w:rsidRPr="00885058">
        <w:rPr>
          <w:rFonts w:ascii="Traditional Arabic" w:hAnsi="Traditional Arabic" w:hint="cs"/>
          <w:rtl/>
        </w:rPr>
        <w:t xml:space="preserve"> </w:t>
      </w:r>
      <w:r w:rsidRPr="00885058">
        <w:rPr>
          <w:rFonts w:ascii="Traditional Arabic" w:hAnsi="Traditional Arabic"/>
          <w:rtl/>
        </w:rPr>
        <w:t>قال قتادة: كان عبداً مأموراً</w:t>
      </w:r>
      <w:r w:rsidRPr="00885058">
        <w:rPr>
          <w:vertAlign w:val="superscript"/>
          <w:rtl/>
        </w:rPr>
        <w:t>(</w:t>
      </w:r>
      <w:r w:rsidRPr="00885058">
        <w:rPr>
          <w:vertAlign w:val="superscript"/>
          <w:rtl/>
        </w:rPr>
        <w:footnoteReference w:id="1800"/>
      </w:r>
      <w:r w:rsidRPr="00885058">
        <w:rPr>
          <w:vertAlign w:val="superscript"/>
          <w:rtl/>
        </w:rPr>
        <w:t>)</w:t>
      </w:r>
      <w:r w:rsidRPr="00885058">
        <w:rPr>
          <w:rFonts w:ascii="Traditional Arabic" w:hAnsi="Traditional Arabic"/>
          <w:rtl/>
        </w:rPr>
        <w:t xml:space="preserve">. فأما قوله: </w:t>
      </w:r>
      <w:r w:rsidRPr="00885058">
        <w:rPr>
          <w:rFonts w:ascii="QCF_BSML" w:hAnsi="QCF_BSML" w:cs="QCF_BSML"/>
          <w:color w:val="auto"/>
          <w:sz w:val="32"/>
          <w:szCs w:val="32"/>
          <w:rtl/>
          <w:lang w:eastAsia="en-US"/>
        </w:rPr>
        <w:t>ﭽ</w:t>
      </w:r>
      <w:r w:rsidRPr="00885058">
        <w:rPr>
          <w:rFonts w:ascii="QCF_P302" w:hAnsi="QCF_P302" w:cs="QCF_P302"/>
          <w:color w:val="auto"/>
          <w:sz w:val="32"/>
          <w:szCs w:val="32"/>
          <w:rtl/>
          <w:lang w:eastAsia="en-US"/>
        </w:rPr>
        <w:t>ﯽ</w:t>
      </w:r>
      <w:r w:rsidRPr="00885058">
        <w:rPr>
          <w:rFonts w:ascii="QCF_BSML" w:hAnsi="QCF_BSML" w:cs="QCF_BSML"/>
          <w:sz w:val="32"/>
          <w:szCs w:val="32"/>
          <w:rtl/>
          <w:lang w:eastAsia="en-US"/>
        </w:rPr>
        <w:t>ﭼ</w:t>
      </w:r>
      <w:r w:rsidRPr="00885058">
        <w:rPr>
          <w:rFonts w:ascii="Traditional Arabic" w:hAnsi="Traditional Arabic"/>
          <w:rtl/>
        </w:rPr>
        <w:t xml:space="preserve"> فإن «استطاع» و«اسطاع» بمعنى واحد</w:t>
      </w:r>
      <w:r w:rsidRPr="00885058">
        <w:rPr>
          <w:vertAlign w:val="superscript"/>
          <w:rtl/>
        </w:rPr>
        <w:t>(</w:t>
      </w:r>
      <w:r w:rsidRPr="00885058">
        <w:rPr>
          <w:vertAlign w:val="superscript"/>
          <w:rtl/>
        </w:rPr>
        <w:footnoteReference w:id="1801"/>
      </w:r>
      <w:r w:rsidRPr="00885058">
        <w:rPr>
          <w:vertAlign w:val="superscript"/>
          <w:rtl/>
        </w:rPr>
        <w:t>)</w:t>
      </w:r>
      <w:r w:rsidRPr="00885058">
        <w:rPr>
          <w:rFonts w:ascii="Traditional Arabic" w:hAnsi="Traditional Arabic"/>
          <w:rtl/>
        </w:rPr>
        <w:t>.</w:t>
      </w:r>
    </w:p>
    <w:p w:rsidR="00600D63" w:rsidRPr="00885058" w:rsidRDefault="00600D63" w:rsidP="00885058">
      <w:pPr>
        <w:ind w:firstLine="0"/>
        <w:rPr>
          <w:rFonts w:ascii="Traditional Arabic" w:hAnsi="Traditional Arabic"/>
          <w:rtl/>
        </w:rPr>
      </w:pPr>
    </w:p>
    <w:p w:rsidR="00885058" w:rsidRPr="00885058" w:rsidRDefault="00885058" w:rsidP="00885058">
      <w:pPr>
        <w:ind w:firstLine="0"/>
        <w:rPr>
          <w:rFonts w:ascii="QCF_BSML" w:hAnsi="QCF_BSML" w:cs="QCF_BSML"/>
          <w:color w:val="auto"/>
          <w:sz w:val="32"/>
          <w:szCs w:val="32"/>
          <w:rtl/>
          <w:lang w:eastAsia="en-US"/>
        </w:rPr>
      </w:pPr>
      <w:r w:rsidRPr="00885058">
        <w:rPr>
          <w:rFonts w:ascii="QCF_BSML" w:hAnsi="QCF_BSML" w:cs="QCF_BSML"/>
          <w:color w:val="auto"/>
          <w:sz w:val="32"/>
          <w:szCs w:val="32"/>
          <w:rtl/>
          <w:lang w:eastAsia="en-US"/>
        </w:rPr>
        <w:t xml:space="preserve">ﭽ </w:t>
      </w:r>
      <w:r w:rsidRPr="00885058">
        <w:rPr>
          <w:rFonts w:ascii="QCF_P302" w:hAnsi="QCF_P302" w:cs="QCF_P302"/>
          <w:color w:val="auto"/>
          <w:sz w:val="32"/>
          <w:szCs w:val="32"/>
          <w:rtl/>
          <w:lang w:eastAsia="en-US"/>
        </w:rPr>
        <w:t xml:space="preserve">ﰁ   ﰂ  ﰃ  ﰄﰅ  ﰆ  ﰇ  ﰈ  ﰉ  ﰊ  ﰋ   </w:t>
      </w:r>
      <w:r w:rsidRPr="00885058">
        <w:rPr>
          <w:rFonts w:ascii="QCF_P303" w:hAnsi="QCF_P303" w:cs="QCF_P303"/>
          <w:color w:val="auto"/>
          <w:sz w:val="32"/>
          <w:szCs w:val="32"/>
          <w:rtl/>
          <w:lang w:eastAsia="en-US"/>
        </w:rPr>
        <w:t xml:space="preserve">ﭑ     ﭒ  ﭓ  ﭔ  ﭕ  ﭖ  ﭗ  ﭘ        ﭙ  ﭚ  ﭛ  ﭜ  ﭝ   ﭞ  ﭟ  ﭠ  ﭡ  ﭢ  ﭣ    ﭤ  ﭥ  ﭦ  ﭧ  ﭨ   ﭩ  ﭪ  ﭫﭬ  ﭭ  ﭮ  ﭯ  ﭰ  ﭱ  ﭲ  ﭳ  ﭴ  ﭵ   ﭶ    ﭷ  ﭸ  ﭹ  ﭺ  ﭻ  ﭼ  ﭽ  ﭾ  ﭿ  ﮀ  ﮁ  ﮂ    ﮃ  ﮄ  ﮅ  ﮆ  ﮇ  ﮈ  ﮉ  ﮊ  ﮋ  ﮌ  ﮍ   ﮎﮏ  ﮐ  ﮑ   ﮒ  ﮓ  ﮔ   ﮕ  </w:t>
      </w:r>
      <w:r w:rsidRPr="00885058">
        <w:rPr>
          <w:rFonts w:ascii="QCF_BSML" w:hAnsi="QCF_BSML" w:cs="QCF_BSML"/>
          <w:color w:val="auto"/>
          <w:sz w:val="32"/>
          <w:szCs w:val="32"/>
          <w:rtl/>
          <w:lang w:eastAsia="en-US"/>
        </w:rPr>
        <w:t>ﭼ</w:t>
      </w:r>
      <w:r w:rsidRPr="00885058">
        <w:rPr>
          <w:rFonts w:ascii="Arial" w:hAnsi="Arial" w:cs="Arial"/>
          <w:color w:val="auto"/>
          <w:sz w:val="18"/>
          <w:szCs w:val="18"/>
          <w:rtl/>
          <w:lang w:eastAsia="en-US"/>
        </w:rPr>
        <w:t xml:space="preserve"> </w:t>
      </w:r>
    </w:p>
    <w:p w:rsidR="005A2EB5" w:rsidRDefault="00885058" w:rsidP="00885058">
      <w:pPr>
        <w:ind w:firstLine="0"/>
        <w:rPr>
          <w:rFonts w:ascii="Traditional Arabic" w:hAnsi="Traditional Arabic"/>
          <w:rtl/>
        </w:rPr>
      </w:pPr>
      <w:r w:rsidRPr="00885058">
        <w:rPr>
          <w:rFonts w:ascii="Traditional Arabic" w:hAnsi="Traditional Arabic"/>
          <w:rtl/>
        </w:rPr>
        <w:t>قوله تعالى:</w:t>
      </w:r>
      <w:r w:rsidRPr="00885058">
        <w:rPr>
          <w:rFonts w:ascii="QCF_BSML" w:hAnsi="QCF_BSML" w:cs="QCF_BSML" w:hint="cs"/>
          <w:color w:val="auto"/>
          <w:sz w:val="32"/>
          <w:szCs w:val="32"/>
          <w:rtl/>
          <w:lang w:eastAsia="en-US"/>
        </w:rPr>
        <w:t xml:space="preserve"> </w:t>
      </w:r>
      <w:r w:rsidRPr="00885058">
        <w:rPr>
          <w:rFonts w:ascii="QCF_BSML" w:hAnsi="QCF_BSML" w:cs="QCF_BSML"/>
          <w:color w:val="auto"/>
          <w:sz w:val="32"/>
          <w:szCs w:val="32"/>
          <w:rtl/>
          <w:lang w:eastAsia="en-US"/>
        </w:rPr>
        <w:t>ﭽ</w:t>
      </w:r>
      <w:r w:rsidRPr="00885058">
        <w:rPr>
          <w:rFonts w:ascii="QCF_BSML" w:hAnsi="QCF_BSML" w:cs="QCF_BSML" w:hint="cs"/>
          <w:color w:val="auto"/>
          <w:sz w:val="32"/>
          <w:szCs w:val="32"/>
          <w:rtl/>
          <w:lang w:eastAsia="en-US"/>
        </w:rPr>
        <w:t xml:space="preserve"> </w:t>
      </w:r>
      <w:r w:rsidRPr="00885058">
        <w:rPr>
          <w:rFonts w:ascii="QCF_P302" w:hAnsi="QCF_P302" w:cs="QCF_P302"/>
          <w:color w:val="auto"/>
          <w:sz w:val="32"/>
          <w:szCs w:val="32"/>
          <w:rtl/>
          <w:lang w:eastAsia="en-US"/>
        </w:rPr>
        <w:t>ﰁ</w:t>
      </w:r>
      <w:r w:rsidRPr="00885058">
        <w:rPr>
          <w:rFonts w:ascii="QCF_P302" w:hAnsi="QCF_P302" w:cs="QCF_P302" w:hint="cs"/>
          <w:color w:val="auto"/>
          <w:sz w:val="32"/>
          <w:szCs w:val="32"/>
          <w:rtl/>
          <w:lang w:eastAsia="en-US"/>
        </w:rPr>
        <w:t xml:space="preserve"> </w:t>
      </w:r>
      <w:r w:rsidRPr="00885058">
        <w:rPr>
          <w:rFonts w:ascii="QCF_P302" w:hAnsi="QCF_P302" w:cs="QCF_P302"/>
          <w:color w:val="auto"/>
          <w:sz w:val="32"/>
          <w:szCs w:val="32"/>
          <w:rtl/>
          <w:lang w:eastAsia="en-US"/>
        </w:rPr>
        <w:t>ﰂ</w:t>
      </w:r>
      <w:r w:rsidRPr="00885058">
        <w:rPr>
          <w:rFonts w:ascii="QCF_P302" w:hAnsi="QCF_P302" w:cs="QCF_P302" w:hint="cs"/>
          <w:color w:val="auto"/>
          <w:sz w:val="32"/>
          <w:szCs w:val="32"/>
          <w:rtl/>
          <w:lang w:eastAsia="en-US"/>
        </w:rPr>
        <w:t xml:space="preserve"> </w:t>
      </w:r>
      <w:r w:rsidRPr="00885058">
        <w:rPr>
          <w:rFonts w:ascii="QCF_P302" w:hAnsi="QCF_P302" w:cs="QCF_P302"/>
          <w:color w:val="auto"/>
          <w:sz w:val="32"/>
          <w:szCs w:val="32"/>
          <w:rtl/>
          <w:lang w:eastAsia="en-US"/>
        </w:rPr>
        <w:t>ﰃ</w:t>
      </w:r>
      <w:r w:rsidRPr="00885058">
        <w:rPr>
          <w:rFonts w:ascii="QCF_P302" w:hAnsi="QCF_P302" w:cs="QCF_P302" w:hint="cs"/>
          <w:color w:val="auto"/>
          <w:sz w:val="32"/>
          <w:szCs w:val="32"/>
          <w:rtl/>
          <w:lang w:eastAsia="en-US"/>
        </w:rPr>
        <w:t xml:space="preserve"> </w:t>
      </w:r>
      <w:r w:rsidRPr="00885058">
        <w:rPr>
          <w:rFonts w:ascii="QCF_P302" w:hAnsi="QCF_P302" w:cs="QCF_P302"/>
          <w:color w:val="auto"/>
          <w:sz w:val="32"/>
          <w:szCs w:val="32"/>
          <w:rtl/>
          <w:lang w:eastAsia="en-US"/>
        </w:rPr>
        <w:t>ﰄ</w:t>
      </w:r>
      <w:r w:rsidRPr="00885058">
        <w:rPr>
          <w:rFonts w:ascii="QCF_P302" w:hAnsi="QCF_P302" w:cs="QCF_P302" w:hint="cs"/>
          <w:color w:val="auto"/>
          <w:sz w:val="32"/>
          <w:szCs w:val="32"/>
          <w:rtl/>
          <w:lang w:eastAsia="en-US"/>
        </w:rPr>
        <w:t xml:space="preserve"> </w:t>
      </w:r>
      <w:r w:rsidRPr="00885058">
        <w:rPr>
          <w:rFonts w:ascii="QCF_P302" w:hAnsi="QCF_P302" w:cs="QCF_P302"/>
          <w:color w:val="auto"/>
          <w:sz w:val="32"/>
          <w:szCs w:val="32"/>
          <w:rtl/>
          <w:lang w:eastAsia="en-US"/>
        </w:rPr>
        <w:t>ﰅ</w:t>
      </w:r>
      <w:r w:rsidRPr="00885058">
        <w:rPr>
          <w:rFonts w:ascii="QCF_BSML" w:hAnsi="QCF_BSML" w:cs="QCF_BSML"/>
          <w:sz w:val="32"/>
          <w:szCs w:val="32"/>
          <w:rtl/>
          <w:lang w:eastAsia="en-US"/>
        </w:rPr>
        <w:t>ﭼ</w:t>
      </w:r>
      <w:r w:rsidRPr="00885058">
        <w:rPr>
          <w:rFonts w:ascii="QCF_P302" w:hAnsi="QCF_P302" w:cs="QCF_P302"/>
          <w:color w:val="auto"/>
          <w:sz w:val="32"/>
          <w:szCs w:val="32"/>
          <w:rtl/>
          <w:lang w:eastAsia="en-US"/>
        </w:rPr>
        <w:t xml:space="preserve">  </w:t>
      </w:r>
      <w:r w:rsidRPr="00885058">
        <w:rPr>
          <w:rFonts w:ascii="Traditional Arabic" w:hAnsi="Traditional Arabic"/>
          <w:rtl/>
        </w:rPr>
        <w:t xml:space="preserve">قد ذكرنا سبب نزولها عند قوله تعالى: </w:t>
      </w:r>
      <w:r w:rsidRPr="00885058">
        <w:rPr>
          <w:rFonts w:ascii="QCF_BSML" w:hAnsi="QCF_BSML" w:cs="QCF_BSML"/>
          <w:sz w:val="32"/>
          <w:szCs w:val="32"/>
          <w:rtl/>
          <w:lang w:eastAsia="en-US"/>
        </w:rPr>
        <w:t>ﭽ</w:t>
      </w:r>
      <w:r w:rsidRPr="00885058">
        <w:rPr>
          <w:rFonts w:ascii="QCF_P290" w:hAnsi="QCF_P290" w:cs="QCF_P290"/>
          <w:sz w:val="32"/>
          <w:szCs w:val="32"/>
          <w:rtl/>
          <w:lang w:eastAsia="en-US"/>
        </w:rPr>
        <w:t>ﯮ  ﯯ  ﯰ</w:t>
      </w:r>
      <w:r w:rsidRPr="00885058">
        <w:rPr>
          <w:rFonts w:ascii="Arial" w:hAnsi="Arial" w:cs="Arial"/>
          <w:sz w:val="32"/>
          <w:szCs w:val="32"/>
          <w:rtl/>
          <w:lang w:eastAsia="en-US"/>
        </w:rPr>
        <w:t xml:space="preserve"> </w:t>
      </w:r>
      <w:r w:rsidRPr="00885058">
        <w:rPr>
          <w:rFonts w:ascii="QCF_BSML" w:hAnsi="QCF_BSML" w:cs="QCF_BSML"/>
          <w:color w:val="auto"/>
          <w:sz w:val="32"/>
          <w:szCs w:val="32"/>
          <w:rtl/>
          <w:lang w:eastAsia="en-US"/>
        </w:rPr>
        <w:t>ﭼ</w:t>
      </w:r>
      <w:r w:rsidRPr="00885058">
        <w:rPr>
          <w:rFonts w:ascii="Arial" w:hAnsi="Arial" w:cs="Arial"/>
          <w:color w:val="auto"/>
          <w:sz w:val="27"/>
          <w:szCs w:val="27"/>
          <w:rtl/>
          <w:lang w:eastAsia="en-US"/>
        </w:rPr>
        <w:t xml:space="preserve"> </w:t>
      </w:r>
      <w:r w:rsidRPr="00885058">
        <w:rPr>
          <w:rFonts w:ascii="Traditional Arabic" w:hAnsi="Traditional Arabic"/>
          <w:color w:val="auto"/>
          <w:sz w:val="32"/>
          <w:szCs w:val="32"/>
          <w:rtl/>
          <w:lang w:eastAsia="en-US"/>
        </w:rPr>
        <w:t>[الإسراء:٨٥]</w:t>
      </w:r>
      <w:r w:rsidRPr="00885058">
        <w:rPr>
          <w:vertAlign w:val="superscript"/>
          <w:rtl/>
        </w:rPr>
        <w:t>(</w:t>
      </w:r>
      <w:r w:rsidRPr="00885058">
        <w:rPr>
          <w:vertAlign w:val="superscript"/>
          <w:rtl/>
        </w:rPr>
        <w:footnoteReference w:id="1802"/>
      </w:r>
      <w:r w:rsidRPr="00885058">
        <w:rPr>
          <w:vertAlign w:val="superscript"/>
          <w:rtl/>
        </w:rPr>
        <w:t>)</w:t>
      </w:r>
      <w:r w:rsidRPr="00885058">
        <w:rPr>
          <w:rFonts w:ascii="Traditional Arabic" w:hAnsi="Traditional Arabic"/>
          <w:rtl/>
        </w:rPr>
        <w:t>. واختلفوا في اسم ذي القرنين على أربعة أقوال: أحدها: عبد الله، قاله عليّ رضي الله عنه</w:t>
      </w:r>
      <w:r w:rsidRPr="00885058">
        <w:rPr>
          <w:vertAlign w:val="superscript"/>
          <w:rtl/>
        </w:rPr>
        <w:t>(</w:t>
      </w:r>
      <w:r w:rsidRPr="00885058">
        <w:rPr>
          <w:vertAlign w:val="superscript"/>
          <w:rtl/>
        </w:rPr>
        <w:footnoteReference w:id="1803"/>
      </w:r>
      <w:r w:rsidRPr="00885058">
        <w:rPr>
          <w:vertAlign w:val="superscript"/>
          <w:rtl/>
        </w:rPr>
        <w:t>)</w:t>
      </w:r>
      <w:r w:rsidRPr="00885058">
        <w:rPr>
          <w:rFonts w:ascii="Traditional Arabic" w:hAnsi="Traditional Arabic"/>
          <w:rtl/>
        </w:rPr>
        <w:t>، وروي عن ابن عباس أنه عبد الله بن الضحاك</w:t>
      </w:r>
      <w:r w:rsidRPr="00885058">
        <w:rPr>
          <w:vertAlign w:val="superscript"/>
          <w:rtl/>
        </w:rPr>
        <w:t>(</w:t>
      </w:r>
      <w:r w:rsidRPr="00885058">
        <w:rPr>
          <w:vertAlign w:val="superscript"/>
          <w:rtl/>
        </w:rPr>
        <w:footnoteReference w:id="1804"/>
      </w:r>
      <w:r w:rsidRPr="00885058">
        <w:rPr>
          <w:vertAlign w:val="superscript"/>
          <w:rtl/>
        </w:rPr>
        <w:t>)</w:t>
      </w:r>
      <w:r w:rsidRPr="00885058">
        <w:rPr>
          <w:rFonts w:ascii="Traditional Arabic" w:hAnsi="Traditional Arabic"/>
          <w:rtl/>
        </w:rPr>
        <w:t xml:space="preserve">. </w:t>
      </w:r>
    </w:p>
    <w:p w:rsidR="00885058" w:rsidRPr="00885058" w:rsidRDefault="00885058" w:rsidP="00885058">
      <w:pPr>
        <w:ind w:firstLine="0"/>
        <w:rPr>
          <w:rFonts w:ascii="Traditional Arabic" w:hAnsi="Traditional Arabic"/>
          <w:rtl/>
        </w:rPr>
      </w:pPr>
      <w:r w:rsidRPr="00885058">
        <w:rPr>
          <w:rFonts w:ascii="Traditional Arabic" w:hAnsi="Traditional Arabic"/>
          <w:rtl/>
        </w:rPr>
        <w:lastRenderedPageBreak/>
        <w:t>والثاني: الاسكندر، قاله وهب</w:t>
      </w:r>
      <w:r w:rsidRPr="00885058">
        <w:rPr>
          <w:vertAlign w:val="superscript"/>
          <w:rtl/>
        </w:rPr>
        <w:t>(</w:t>
      </w:r>
      <w:r w:rsidRPr="00885058">
        <w:rPr>
          <w:vertAlign w:val="superscript"/>
          <w:rtl/>
        </w:rPr>
        <w:footnoteReference w:id="1805"/>
      </w:r>
      <w:r w:rsidRPr="00885058">
        <w:rPr>
          <w:vertAlign w:val="superscript"/>
          <w:rtl/>
        </w:rPr>
        <w:t>)</w:t>
      </w:r>
      <w:r w:rsidRPr="00885058">
        <w:rPr>
          <w:rFonts w:ascii="Traditional Arabic" w:hAnsi="Traditional Arabic"/>
          <w:rtl/>
        </w:rPr>
        <w:t>. والثالث: عيِّاش، قاله محمد بن علي بن الحسين</w:t>
      </w:r>
      <w:r w:rsidRPr="00885058">
        <w:rPr>
          <w:vertAlign w:val="superscript"/>
          <w:rtl/>
        </w:rPr>
        <w:t>(</w:t>
      </w:r>
      <w:r w:rsidRPr="00885058">
        <w:rPr>
          <w:vertAlign w:val="superscript"/>
          <w:rtl/>
        </w:rPr>
        <w:footnoteReference w:id="1806"/>
      </w:r>
      <w:r w:rsidRPr="00885058">
        <w:rPr>
          <w:vertAlign w:val="superscript"/>
          <w:rtl/>
        </w:rPr>
        <w:t>)(</w:t>
      </w:r>
      <w:r w:rsidRPr="00885058">
        <w:rPr>
          <w:vertAlign w:val="superscript"/>
          <w:rtl/>
        </w:rPr>
        <w:footnoteReference w:id="1807"/>
      </w:r>
      <w:r w:rsidRPr="00885058">
        <w:rPr>
          <w:vertAlign w:val="superscript"/>
          <w:rtl/>
        </w:rPr>
        <w:t>)</w:t>
      </w:r>
      <w:r w:rsidRPr="00885058">
        <w:rPr>
          <w:rFonts w:ascii="Traditional Arabic" w:hAnsi="Traditional Arabic"/>
          <w:rtl/>
        </w:rPr>
        <w:t>. والرابع: الصعب بن جابر بن القلمس، ذكره ابن أبي خيثمة</w:t>
      </w:r>
      <w:r w:rsidRPr="00885058">
        <w:rPr>
          <w:rFonts w:ascii="Traditional Arabic" w:hAnsi="Traditional Arabic"/>
          <w:vertAlign w:val="superscript"/>
          <w:rtl/>
        </w:rPr>
        <w:t>(</w:t>
      </w:r>
      <w:r w:rsidRPr="00885058">
        <w:rPr>
          <w:rFonts w:ascii="Traditional Arabic" w:hAnsi="Traditional Arabic"/>
          <w:vertAlign w:val="superscript"/>
          <w:rtl/>
        </w:rPr>
        <w:footnoteReference w:id="1808"/>
      </w:r>
      <w:r w:rsidRPr="00885058">
        <w:rPr>
          <w:rFonts w:ascii="Traditional Arabic" w:hAnsi="Traditional Arabic"/>
          <w:vertAlign w:val="superscript"/>
          <w:rtl/>
        </w:rPr>
        <w:t>)</w:t>
      </w:r>
      <w:r w:rsidRPr="00885058">
        <w:rPr>
          <w:rFonts w:ascii="Traditional Arabic" w:hAnsi="Traditional Arabic"/>
          <w:vertAlign w:val="superscript"/>
        </w:rPr>
        <w:t>(</w:t>
      </w:r>
      <w:r w:rsidRPr="00885058">
        <w:rPr>
          <w:rFonts w:ascii="Traditional Arabic" w:hAnsi="Traditional Arabic"/>
          <w:vertAlign w:val="superscript"/>
        </w:rPr>
        <w:footnoteReference w:id="1809"/>
      </w:r>
      <w:r w:rsidRPr="00885058">
        <w:rPr>
          <w:rFonts w:ascii="Traditional Arabic" w:hAnsi="Traditional Arabic"/>
          <w:vertAlign w:val="superscript"/>
        </w:rPr>
        <w:t>)</w:t>
      </w:r>
      <w:r w:rsidRPr="00885058">
        <w:rPr>
          <w:rFonts w:ascii="Traditional Arabic" w:hAnsi="Traditional Arabic"/>
          <w:rtl/>
        </w:rPr>
        <w:t>. وفي علَّة تسميته بذي القرنين عشرة أقوال: أحدها: أنه دعا قومه إِلى الله تعالى، فضربوه على قرنه فهلك، فغبر زماناً، ثم بعثه الله، فدعاهم إِلى الله فضربوه على قرنه الآخر فهلك، فذانك قرناه، قاله عليّ رضي الله عنه</w:t>
      </w:r>
      <w:r w:rsidRPr="00885058">
        <w:rPr>
          <w:vertAlign w:val="superscript"/>
          <w:rtl/>
        </w:rPr>
        <w:t>(</w:t>
      </w:r>
      <w:r w:rsidRPr="00885058">
        <w:rPr>
          <w:vertAlign w:val="superscript"/>
          <w:rtl/>
        </w:rPr>
        <w:footnoteReference w:id="1810"/>
      </w:r>
      <w:r w:rsidRPr="00885058">
        <w:rPr>
          <w:vertAlign w:val="superscript"/>
          <w:rtl/>
        </w:rPr>
        <w:t>)</w:t>
      </w:r>
      <w:r w:rsidRPr="00885058">
        <w:rPr>
          <w:rFonts w:ascii="Traditional Arabic" w:hAnsi="Traditional Arabic"/>
          <w:rtl/>
        </w:rPr>
        <w:t>. والثاني: أنه سمي بذي القرنين، لأنه سار إِلى مغرب الشمس وإِلى مطلعها، رواه أبو صالح عن ابن عباس</w:t>
      </w:r>
      <w:r w:rsidRPr="00885058">
        <w:rPr>
          <w:vertAlign w:val="superscript"/>
          <w:rtl/>
        </w:rPr>
        <w:t>(</w:t>
      </w:r>
      <w:r w:rsidRPr="00885058">
        <w:rPr>
          <w:vertAlign w:val="superscript"/>
          <w:rtl/>
        </w:rPr>
        <w:footnoteReference w:id="1811"/>
      </w:r>
      <w:r w:rsidRPr="00885058">
        <w:rPr>
          <w:vertAlign w:val="superscript"/>
          <w:rtl/>
        </w:rPr>
        <w:t>)</w:t>
      </w:r>
      <w:r w:rsidRPr="00885058">
        <w:rPr>
          <w:rFonts w:ascii="Traditional Arabic" w:hAnsi="Traditional Arabic"/>
          <w:rtl/>
        </w:rPr>
        <w:t>. والثالث: لأن صفحتي رأسه كانتا من نحاس. والرابع: لأنه رأى في المنام كأنه امتد من السماء إِلى الأرض وأخذ بقرني الشمس، فقصَّ ذلك على قومه، فسمِّي بذي القرنين. والخامس: لأنه مَلَك الروم وفارس. والسادس: لأنه كان في رأسه شبه القرنين، رويت هذه الأقوال الأربعة عن وهب بن منبِّه</w:t>
      </w:r>
      <w:r w:rsidRPr="00885058">
        <w:rPr>
          <w:vertAlign w:val="superscript"/>
          <w:rtl/>
        </w:rPr>
        <w:t>(</w:t>
      </w:r>
      <w:r w:rsidRPr="00885058">
        <w:rPr>
          <w:vertAlign w:val="superscript"/>
          <w:rtl/>
        </w:rPr>
        <w:footnoteReference w:id="1812"/>
      </w:r>
      <w:r w:rsidRPr="00885058">
        <w:rPr>
          <w:vertAlign w:val="superscript"/>
          <w:rtl/>
        </w:rPr>
        <w:t>)</w:t>
      </w:r>
      <w:r w:rsidRPr="00885058">
        <w:rPr>
          <w:rFonts w:ascii="Traditional Arabic" w:hAnsi="Traditional Arabic"/>
          <w:rtl/>
        </w:rPr>
        <w:t>. والسابع: لأنه كانت له غديرتان من شعر، قاله الحسن</w:t>
      </w:r>
      <w:r w:rsidRPr="00885058">
        <w:rPr>
          <w:vertAlign w:val="superscript"/>
          <w:rtl/>
        </w:rPr>
        <w:t>(</w:t>
      </w:r>
      <w:r w:rsidRPr="00885058">
        <w:rPr>
          <w:vertAlign w:val="superscript"/>
          <w:rtl/>
        </w:rPr>
        <w:footnoteReference w:id="1813"/>
      </w:r>
      <w:r w:rsidRPr="00885058">
        <w:rPr>
          <w:vertAlign w:val="superscript"/>
          <w:rtl/>
        </w:rPr>
        <w:t>)</w:t>
      </w:r>
      <w:r w:rsidRPr="00885058">
        <w:rPr>
          <w:rFonts w:ascii="Traditional Arabic" w:hAnsi="Traditional Arabic"/>
          <w:rtl/>
        </w:rPr>
        <w:t>. قال ابن الأنباري: والعرب تسمي الضفيرتين من الشعر غديرتين، وجميرتين، وقرنين</w:t>
      </w:r>
      <w:r w:rsidR="0064686B">
        <w:rPr>
          <w:rFonts w:ascii="Traditional Arabic" w:hAnsi="Traditional Arabic" w:hint="cs"/>
          <w:rtl/>
        </w:rPr>
        <w:t>,</w:t>
      </w:r>
      <w:r w:rsidRPr="00885058">
        <w:rPr>
          <w:rFonts w:ascii="Traditional Arabic" w:hAnsi="Traditional Arabic"/>
          <w:rtl/>
        </w:rPr>
        <w:t xml:space="preserve"> قال: ومن قال: سمي بذلك لأنه ملك فارس والروم، قال: لأنهما عاليان على جانبين من </w:t>
      </w:r>
      <w:r w:rsidRPr="00885058">
        <w:rPr>
          <w:rFonts w:ascii="Traditional Arabic" w:hAnsi="Traditional Arabic"/>
          <w:rtl/>
        </w:rPr>
        <w:lastRenderedPageBreak/>
        <w:t>الأرض يقال لهما: قرنان</w:t>
      </w:r>
      <w:r w:rsidRPr="00885058">
        <w:rPr>
          <w:vertAlign w:val="superscript"/>
          <w:rtl/>
        </w:rPr>
        <w:t>(</w:t>
      </w:r>
      <w:r w:rsidRPr="00885058">
        <w:rPr>
          <w:vertAlign w:val="superscript"/>
          <w:rtl/>
        </w:rPr>
        <w:footnoteReference w:id="1814"/>
      </w:r>
      <w:r w:rsidRPr="00885058">
        <w:rPr>
          <w:vertAlign w:val="superscript"/>
          <w:rtl/>
        </w:rPr>
        <w:t>)</w:t>
      </w:r>
      <w:r w:rsidRPr="00885058">
        <w:rPr>
          <w:rFonts w:ascii="Traditional Arabic" w:hAnsi="Traditional Arabic"/>
          <w:rtl/>
        </w:rPr>
        <w:t xml:space="preserve">. والثامن: لأنه كان كريم الطرفين من </w:t>
      </w:r>
      <w:r w:rsidRPr="00885058">
        <w:rPr>
          <w:rFonts w:ascii="Traditional Arabic" w:hAnsi="Traditional Arabic"/>
          <w:sz w:val="32"/>
          <w:szCs w:val="32"/>
          <w:rtl/>
        </w:rPr>
        <w:t>[</w:t>
      </w:r>
      <w:r w:rsidRPr="00885058">
        <w:rPr>
          <w:rFonts w:ascii="Traditional Arabic" w:hAnsi="Traditional Arabic" w:hint="cs"/>
          <w:sz w:val="32"/>
          <w:szCs w:val="32"/>
          <w:rtl/>
        </w:rPr>
        <w:t>145</w:t>
      </w:r>
      <w:r w:rsidRPr="00885058">
        <w:rPr>
          <w:rFonts w:ascii="Traditional Arabic" w:hAnsi="Traditional Arabic"/>
          <w:sz w:val="32"/>
          <w:szCs w:val="32"/>
          <w:rtl/>
        </w:rPr>
        <w:t>]</w:t>
      </w:r>
      <w:r w:rsidRPr="00885058">
        <w:rPr>
          <w:rFonts w:ascii="Traditional Arabic" w:hAnsi="Traditional Arabic"/>
          <w:rtl/>
        </w:rPr>
        <w:t xml:space="preserve"> أهل بيت ذوي شرف. والتاسع: لأنه انقرض في زمانه قرنان من الناس، وهو حيّ.</w:t>
      </w:r>
      <w:r w:rsidRPr="00885058">
        <w:rPr>
          <w:rFonts w:ascii="Traditional Arabic" w:hAnsi="Traditional Arabic" w:hint="cs"/>
          <w:rtl/>
        </w:rPr>
        <w:t xml:space="preserve"> </w:t>
      </w:r>
      <w:r w:rsidRPr="00885058">
        <w:rPr>
          <w:rFonts w:ascii="Traditional Arabic" w:hAnsi="Traditional Arabic"/>
          <w:rtl/>
        </w:rPr>
        <w:t>والعاشر: لأنه سلك الظلمة والنور، ذكر هذه الأقوال الثلاثة أبو إِسحاق الثعلبي</w:t>
      </w:r>
      <w:r w:rsidRPr="00885058">
        <w:rPr>
          <w:vertAlign w:val="superscript"/>
          <w:rtl/>
        </w:rPr>
        <w:t>(</w:t>
      </w:r>
      <w:r w:rsidRPr="00885058">
        <w:rPr>
          <w:vertAlign w:val="superscript"/>
          <w:rtl/>
        </w:rPr>
        <w:footnoteReference w:id="1815"/>
      </w:r>
      <w:r w:rsidRPr="00885058">
        <w:rPr>
          <w:vertAlign w:val="superscript"/>
          <w:rtl/>
        </w:rPr>
        <w:t>)</w:t>
      </w:r>
      <w:r w:rsidRPr="00885058">
        <w:rPr>
          <w:rFonts w:ascii="Traditional Arabic" w:hAnsi="Traditional Arabic"/>
          <w:rtl/>
        </w:rPr>
        <w:t>.</w:t>
      </w:r>
      <w:r w:rsidRPr="00885058">
        <w:rPr>
          <w:rFonts w:ascii="Traditional Arabic" w:hAnsi="Traditional Arabic" w:hint="cs"/>
          <w:rtl/>
        </w:rPr>
        <w:t xml:space="preserve"> </w:t>
      </w:r>
      <w:r w:rsidRPr="00885058">
        <w:rPr>
          <w:rFonts w:ascii="Traditional Arabic" w:hAnsi="Traditional Arabic"/>
          <w:rtl/>
        </w:rPr>
        <w:t>واختلفوا هل كان نبيّاً، أم لا؟ على قولين: أحدهما: أنه كان نبيّاً، قاله عبد الله بن عمرو</w:t>
      </w:r>
      <w:r w:rsidRPr="00885058">
        <w:rPr>
          <w:vertAlign w:val="superscript"/>
          <w:rtl/>
        </w:rPr>
        <w:t>(</w:t>
      </w:r>
      <w:r w:rsidRPr="00885058">
        <w:rPr>
          <w:vertAlign w:val="superscript"/>
          <w:rtl/>
        </w:rPr>
        <w:footnoteReference w:id="1816"/>
      </w:r>
      <w:r w:rsidRPr="00885058">
        <w:rPr>
          <w:vertAlign w:val="superscript"/>
          <w:rtl/>
        </w:rPr>
        <w:t>)</w:t>
      </w:r>
      <w:r w:rsidRPr="00885058">
        <w:rPr>
          <w:rFonts w:ascii="Traditional Arabic" w:hAnsi="Traditional Arabic"/>
          <w:rtl/>
        </w:rPr>
        <w:t>، والضحاك بن مزاحم</w:t>
      </w:r>
      <w:r w:rsidRPr="00885058">
        <w:rPr>
          <w:vertAlign w:val="superscript"/>
          <w:rtl/>
        </w:rPr>
        <w:t>(</w:t>
      </w:r>
      <w:r w:rsidRPr="00885058">
        <w:rPr>
          <w:vertAlign w:val="superscript"/>
          <w:rtl/>
        </w:rPr>
        <w:footnoteReference w:id="1817"/>
      </w:r>
      <w:r w:rsidRPr="00885058">
        <w:rPr>
          <w:vertAlign w:val="superscript"/>
          <w:rtl/>
        </w:rPr>
        <w:t>)</w:t>
      </w:r>
      <w:r w:rsidRPr="00885058">
        <w:rPr>
          <w:rFonts w:ascii="Traditional Arabic" w:hAnsi="Traditional Arabic"/>
          <w:rtl/>
        </w:rPr>
        <w:t>. والثاني: أنه كان عبداً صالحاً، ولم يكن نبيّاً، ولا مَلكاً، قاله عليّ رضي الله تعالى عنه</w:t>
      </w:r>
      <w:r w:rsidRPr="00885058">
        <w:rPr>
          <w:vertAlign w:val="superscript"/>
          <w:rtl/>
        </w:rPr>
        <w:t>(</w:t>
      </w:r>
      <w:r w:rsidRPr="00885058">
        <w:rPr>
          <w:vertAlign w:val="superscript"/>
          <w:rtl/>
        </w:rPr>
        <w:footnoteReference w:id="1818"/>
      </w:r>
      <w:r w:rsidRPr="00885058">
        <w:rPr>
          <w:vertAlign w:val="superscript"/>
          <w:rtl/>
        </w:rPr>
        <w:t>)</w:t>
      </w:r>
      <w:r w:rsidRPr="00885058">
        <w:rPr>
          <w:rFonts w:ascii="Traditional Arabic" w:hAnsi="Traditional Arabic"/>
          <w:rtl/>
        </w:rPr>
        <w:t>. وقال وهب: كان ملكاً، ولم يوح إِليه</w:t>
      </w:r>
      <w:r w:rsidRPr="00885058">
        <w:rPr>
          <w:vertAlign w:val="superscript"/>
          <w:rtl/>
        </w:rPr>
        <w:t>(</w:t>
      </w:r>
      <w:r w:rsidRPr="00885058">
        <w:rPr>
          <w:vertAlign w:val="superscript"/>
          <w:rtl/>
        </w:rPr>
        <w:footnoteReference w:id="1819"/>
      </w:r>
      <w:r w:rsidRPr="00885058">
        <w:rPr>
          <w:vertAlign w:val="superscript"/>
          <w:rtl/>
        </w:rPr>
        <w:t>)</w:t>
      </w:r>
      <w:r w:rsidRPr="00885058">
        <w:rPr>
          <w:rFonts w:ascii="Traditional Arabic" w:hAnsi="Traditional Arabic"/>
          <w:rtl/>
        </w:rPr>
        <w:t>.</w:t>
      </w:r>
      <w:r w:rsidRPr="00885058">
        <w:rPr>
          <w:rFonts w:ascii="Traditional Arabic" w:hAnsi="Traditional Arabic" w:hint="cs"/>
          <w:rtl/>
        </w:rPr>
        <w:t xml:space="preserve"> </w:t>
      </w:r>
      <w:r w:rsidRPr="00885058">
        <w:rPr>
          <w:rFonts w:ascii="Traditional Arabic" w:hAnsi="Traditional Arabic"/>
          <w:rtl/>
        </w:rPr>
        <w:t>وفي زمان كونه ثلاثة أقوال: أحدها: أنه من القرون الأُوَل من ولد يافث بن نوح، قاله عليّ رضي الله تعالى عنه. والثاني: أنه كان بعد ثمود، قاله الحسن. ويقال: كان عمره ألفاً وستمائة سنة. والثالث:</w:t>
      </w:r>
      <w:r w:rsidRPr="00885058">
        <w:rPr>
          <w:rFonts w:ascii="Traditional Arabic" w:hAnsi="Traditional Arabic" w:hint="cs"/>
          <w:rtl/>
        </w:rPr>
        <w:t xml:space="preserve"> [</w:t>
      </w:r>
      <w:r w:rsidRPr="00885058">
        <w:rPr>
          <w:rFonts w:ascii="Traditional Arabic" w:hAnsi="Traditional Arabic"/>
          <w:rtl/>
        </w:rPr>
        <w:t>أنه</w:t>
      </w:r>
      <w:r w:rsidRPr="00885058">
        <w:rPr>
          <w:rFonts w:ascii="Traditional Arabic" w:hAnsi="Traditional Arabic" w:hint="cs"/>
          <w:rtl/>
        </w:rPr>
        <w:t>]</w:t>
      </w:r>
      <w:r w:rsidRPr="00885058">
        <w:rPr>
          <w:vertAlign w:val="superscript"/>
          <w:rtl/>
        </w:rPr>
        <w:t>(</w:t>
      </w:r>
      <w:r w:rsidRPr="00885058">
        <w:rPr>
          <w:vertAlign w:val="superscript"/>
          <w:rtl/>
        </w:rPr>
        <w:footnoteReference w:id="1820"/>
      </w:r>
      <w:r w:rsidRPr="00885058">
        <w:rPr>
          <w:vertAlign w:val="superscript"/>
          <w:rtl/>
        </w:rPr>
        <w:t>)</w:t>
      </w:r>
      <w:r w:rsidRPr="00885058">
        <w:rPr>
          <w:rFonts w:ascii="Traditional Arabic" w:hAnsi="Traditional Arabic"/>
          <w:rtl/>
        </w:rPr>
        <w:t>كان في الفترة بين عيسى ومحمد صلى الله عليهما وسلم، قاله وهب</w:t>
      </w:r>
      <w:r w:rsidRPr="00885058">
        <w:rPr>
          <w:vertAlign w:val="superscript"/>
          <w:rtl/>
        </w:rPr>
        <w:t>(</w:t>
      </w:r>
      <w:r w:rsidRPr="00885058">
        <w:rPr>
          <w:vertAlign w:val="superscript"/>
          <w:rtl/>
        </w:rPr>
        <w:footnoteReference w:id="1821"/>
      </w:r>
      <w:r w:rsidRPr="00885058">
        <w:rPr>
          <w:vertAlign w:val="superscript"/>
          <w:rtl/>
        </w:rPr>
        <w:t>)</w:t>
      </w:r>
      <w:r w:rsidRPr="00885058">
        <w:rPr>
          <w:rFonts w:ascii="Traditional Arabic" w:hAnsi="Traditional Arabic"/>
          <w:rtl/>
        </w:rPr>
        <w:t>.</w:t>
      </w:r>
      <w:r w:rsidRPr="00885058">
        <w:rPr>
          <w:rFonts w:ascii="Traditional Arabic" w:hAnsi="Traditional Arabic" w:hint="cs"/>
          <w:rtl/>
        </w:rPr>
        <w:t xml:space="preserve"> </w:t>
      </w:r>
      <w:r w:rsidRPr="00885058">
        <w:rPr>
          <w:rFonts w:ascii="Traditional Arabic" w:hAnsi="Traditional Arabic"/>
          <w:rtl/>
        </w:rPr>
        <w:t xml:space="preserve">قوله تعالى: </w:t>
      </w:r>
      <w:r w:rsidRPr="00885058">
        <w:rPr>
          <w:rFonts w:ascii="QCF_BSML" w:hAnsi="QCF_BSML" w:cs="QCF_BSML"/>
          <w:color w:val="auto"/>
          <w:sz w:val="32"/>
          <w:szCs w:val="32"/>
          <w:rtl/>
          <w:lang w:eastAsia="en-US"/>
        </w:rPr>
        <w:t>ﭽ</w:t>
      </w:r>
      <w:r w:rsidRPr="00885058">
        <w:rPr>
          <w:rFonts w:ascii="QCF_P302" w:hAnsi="QCF_P302" w:cs="QCF_P302"/>
          <w:color w:val="auto"/>
          <w:sz w:val="32"/>
          <w:szCs w:val="32"/>
          <w:rtl/>
          <w:lang w:eastAsia="en-US"/>
        </w:rPr>
        <w:t xml:space="preserve"> ﰇ  ﰈ  ﰉ  ﰊ  </w:t>
      </w:r>
      <w:r w:rsidRPr="00885058">
        <w:rPr>
          <w:rFonts w:ascii="QCF_BSML" w:hAnsi="QCF_BSML" w:cs="QCF_BSML"/>
          <w:sz w:val="32"/>
          <w:szCs w:val="32"/>
          <w:rtl/>
          <w:lang w:eastAsia="en-US"/>
        </w:rPr>
        <w:t>ﭼ</w:t>
      </w:r>
      <w:r w:rsidRPr="00885058">
        <w:rPr>
          <w:rFonts w:ascii="Traditional Arabic" w:hAnsi="Traditional Arabic" w:hint="cs"/>
          <w:rtl/>
        </w:rPr>
        <w:t xml:space="preserve"> </w:t>
      </w:r>
      <w:r w:rsidRPr="00885058">
        <w:rPr>
          <w:rFonts w:ascii="Traditional Arabic" w:hAnsi="Traditional Arabic"/>
          <w:rtl/>
        </w:rPr>
        <w:t xml:space="preserve">أي: خبراً يتضمن ذِكْره. </w:t>
      </w:r>
      <w:r w:rsidRPr="00885058">
        <w:rPr>
          <w:rFonts w:ascii="QCF_BSML" w:hAnsi="QCF_BSML" w:cs="QCF_BSML"/>
          <w:color w:val="auto"/>
          <w:sz w:val="32"/>
          <w:szCs w:val="32"/>
          <w:rtl/>
          <w:lang w:eastAsia="en-US"/>
        </w:rPr>
        <w:t>ﭽ</w:t>
      </w:r>
      <w:r w:rsidRPr="00885058">
        <w:rPr>
          <w:rFonts w:ascii="QCF_BSML" w:hAnsi="QCF_BSML" w:cs="QCF_BSML" w:hint="cs"/>
          <w:color w:val="auto"/>
          <w:sz w:val="32"/>
          <w:szCs w:val="32"/>
          <w:rtl/>
          <w:lang w:eastAsia="en-US"/>
        </w:rPr>
        <w:t xml:space="preserve"> </w:t>
      </w:r>
      <w:r w:rsidRPr="00885058">
        <w:rPr>
          <w:rFonts w:ascii="QCF_P303" w:hAnsi="QCF_P303" w:cs="QCF_P303"/>
          <w:color w:val="auto"/>
          <w:sz w:val="32"/>
          <w:szCs w:val="32"/>
          <w:rtl/>
          <w:lang w:eastAsia="en-US"/>
        </w:rPr>
        <w:t>ﭑ     ﭒ  ﭓ  ﭔ  ﭕ</w:t>
      </w:r>
      <w:r w:rsidRPr="00885058">
        <w:rPr>
          <w:rFonts w:ascii="QCF_BSML" w:hAnsi="QCF_BSML" w:cs="QCF_BSML"/>
          <w:sz w:val="32"/>
          <w:szCs w:val="32"/>
          <w:rtl/>
          <w:lang w:eastAsia="en-US"/>
        </w:rPr>
        <w:t>ﭼ</w:t>
      </w:r>
      <w:r w:rsidRPr="00885058">
        <w:rPr>
          <w:rFonts w:ascii="QCF_BSML" w:hAnsi="QCF_BSML" w:cs="QCF_BSML" w:hint="cs"/>
          <w:sz w:val="32"/>
          <w:szCs w:val="32"/>
          <w:rtl/>
          <w:lang w:eastAsia="en-US"/>
        </w:rPr>
        <w:t xml:space="preserve"> </w:t>
      </w:r>
      <w:r w:rsidRPr="00885058">
        <w:rPr>
          <w:rFonts w:ascii="Traditional Arabic" w:hAnsi="Traditional Arabic"/>
          <w:rtl/>
        </w:rPr>
        <w:t>أي:</w:t>
      </w:r>
      <w:r w:rsidRPr="00885058">
        <w:rPr>
          <w:rFonts w:ascii="Traditional Arabic" w:hAnsi="Traditional Arabic" w:hint="cs"/>
          <w:rtl/>
        </w:rPr>
        <w:t xml:space="preserve"> </w:t>
      </w:r>
      <w:r w:rsidRPr="00885058">
        <w:rPr>
          <w:rFonts w:ascii="Traditional Arabic" w:hAnsi="Traditional Arabic"/>
          <w:rtl/>
        </w:rPr>
        <w:t>سهَّلْنا عليه السَّير فيها. قال علي رضي الله عنه: إِنه أطاع الله، فسخَّر له السحاب فحمله عليه، ومَدَّ له في الأسباب، وبسط له النُّور، فكان الليل والنهار عليه سواء</w:t>
      </w:r>
      <w:r w:rsidRPr="00885058">
        <w:rPr>
          <w:vertAlign w:val="superscript"/>
          <w:rtl/>
        </w:rPr>
        <w:t>(</w:t>
      </w:r>
      <w:r w:rsidRPr="00885058">
        <w:rPr>
          <w:vertAlign w:val="superscript"/>
          <w:rtl/>
        </w:rPr>
        <w:footnoteReference w:id="1822"/>
      </w:r>
      <w:r w:rsidRPr="00885058">
        <w:rPr>
          <w:vertAlign w:val="superscript"/>
          <w:rtl/>
        </w:rPr>
        <w:t>)</w:t>
      </w:r>
      <w:r w:rsidRPr="00885058">
        <w:rPr>
          <w:rFonts w:ascii="Traditional Arabic" w:hAnsi="Traditional Arabic" w:hint="cs"/>
          <w:rtl/>
        </w:rPr>
        <w:t>.</w:t>
      </w:r>
      <w:r w:rsidRPr="00885058">
        <w:rPr>
          <w:rFonts w:ascii="Traditional Arabic" w:hAnsi="Traditional Arabic"/>
          <w:rtl/>
        </w:rPr>
        <w:t xml:space="preserve"> وقال مجاهد: ملك الأرض أربعة:</w:t>
      </w:r>
      <w:r w:rsidRPr="00885058">
        <w:rPr>
          <w:rFonts w:ascii="Traditional Arabic" w:hAnsi="Traditional Arabic" w:hint="cs"/>
          <w:rtl/>
        </w:rPr>
        <w:t xml:space="preserve"> </w:t>
      </w:r>
      <w:r w:rsidRPr="00885058">
        <w:rPr>
          <w:rFonts w:ascii="Traditional Arabic" w:hAnsi="Traditional Arabic"/>
          <w:rtl/>
        </w:rPr>
        <w:t>مؤمنان، وكافران سليمان بن داود، وذو القرنين والكافران: النّمرود، وبخت نصّر</w:t>
      </w:r>
      <w:r w:rsidRPr="00885058">
        <w:rPr>
          <w:vertAlign w:val="superscript"/>
          <w:rtl/>
        </w:rPr>
        <w:t>(</w:t>
      </w:r>
      <w:r w:rsidRPr="00885058">
        <w:rPr>
          <w:vertAlign w:val="superscript"/>
          <w:rtl/>
        </w:rPr>
        <w:footnoteReference w:id="1823"/>
      </w:r>
      <w:r w:rsidRPr="00885058">
        <w:rPr>
          <w:vertAlign w:val="superscript"/>
          <w:rtl/>
        </w:rPr>
        <w:t>)</w:t>
      </w:r>
      <w:r w:rsidRPr="00885058">
        <w:rPr>
          <w:rFonts w:ascii="Traditional Arabic" w:hAnsi="Traditional Arabic"/>
          <w:rtl/>
        </w:rPr>
        <w:t>. قوله تعالى:</w:t>
      </w:r>
      <w:r w:rsidRPr="00885058">
        <w:rPr>
          <w:rFonts w:ascii="Traditional Arabic" w:hAnsi="Traditional Arabic" w:hint="cs"/>
          <w:rtl/>
        </w:rPr>
        <w:t xml:space="preserve"> </w:t>
      </w:r>
      <w:r w:rsidRPr="00885058">
        <w:rPr>
          <w:rFonts w:ascii="QCF_BSML" w:hAnsi="QCF_BSML" w:cs="QCF_BSML"/>
          <w:color w:val="auto"/>
          <w:sz w:val="32"/>
          <w:szCs w:val="32"/>
          <w:rtl/>
          <w:lang w:eastAsia="en-US"/>
        </w:rPr>
        <w:t>ﭽ</w:t>
      </w:r>
      <w:r w:rsidRPr="00885058">
        <w:rPr>
          <w:rFonts w:ascii="QCF_BSML" w:hAnsi="QCF_BSML" w:cs="QCF_BSML" w:hint="cs"/>
          <w:color w:val="auto"/>
          <w:sz w:val="32"/>
          <w:szCs w:val="32"/>
          <w:rtl/>
          <w:lang w:eastAsia="en-US"/>
        </w:rPr>
        <w:t xml:space="preserve"> </w:t>
      </w:r>
      <w:r w:rsidRPr="00885058">
        <w:rPr>
          <w:rFonts w:ascii="QCF_P303" w:hAnsi="QCF_P303" w:cs="QCF_P303"/>
          <w:color w:val="auto"/>
          <w:sz w:val="32"/>
          <w:szCs w:val="32"/>
          <w:rtl/>
          <w:lang w:eastAsia="en-US"/>
        </w:rPr>
        <w:t>ﭖ  ﭗ  ﭘ</w:t>
      </w:r>
      <w:r w:rsidRPr="00885058">
        <w:rPr>
          <w:rFonts w:ascii="QCF_P303" w:hAnsi="QCF_P303" w:cs="QCF_P303" w:hint="cs"/>
          <w:color w:val="auto"/>
          <w:sz w:val="32"/>
          <w:szCs w:val="32"/>
          <w:rtl/>
          <w:lang w:eastAsia="en-US"/>
        </w:rPr>
        <w:t xml:space="preserve"> </w:t>
      </w:r>
      <w:r w:rsidRPr="00885058">
        <w:rPr>
          <w:rFonts w:ascii="QCF_P303" w:hAnsi="QCF_P303" w:cs="QCF_P303"/>
          <w:color w:val="auto"/>
          <w:sz w:val="32"/>
          <w:szCs w:val="32"/>
          <w:rtl/>
          <w:lang w:eastAsia="en-US"/>
        </w:rPr>
        <w:t xml:space="preserve"> ﭙ  ﭚ  </w:t>
      </w:r>
      <w:r w:rsidRPr="00885058">
        <w:rPr>
          <w:rFonts w:ascii="QCF_BSML" w:hAnsi="QCF_BSML" w:cs="QCF_BSML"/>
          <w:sz w:val="32"/>
          <w:szCs w:val="32"/>
          <w:rtl/>
          <w:lang w:eastAsia="en-US"/>
        </w:rPr>
        <w:t>ﭼ</w:t>
      </w:r>
      <w:r w:rsidRPr="00885058">
        <w:rPr>
          <w:rFonts w:ascii="Traditional Arabic" w:hAnsi="Traditional Arabic"/>
          <w:rtl/>
        </w:rPr>
        <w:t xml:space="preserve"> قال ابن عباس: عِلْماً يتسبب به إِلى ما يريد</w:t>
      </w:r>
      <w:r w:rsidRPr="00885058">
        <w:rPr>
          <w:vertAlign w:val="superscript"/>
          <w:rtl/>
        </w:rPr>
        <w:t>(</w:t>
      </w:r>
      <w:r w:rsidRPr="00885058">
        <w:rPr>
          <w:vertAlign w:val="superscript"/>
          <w:rtl/>
        </w:rPr>
        <w:footnoteReference w:id="1824"/>
      </w:r>
      <w:r w:rsidRPr="00885058">
        <w:rPr>
          <w:vertAlign w:val="superscript"/>
          <w:rtl/>
        </w:rPr>
        <w:t>)</w:t>
      </w:r>
      <w:r w:rsidRPr="00885058">
        <w:rPr>
          <w:rFonts w:ascii="Traditional Arabic" w:hAnsi="Traditional Arabic"/>
          <w:rtl/>
        </w:rPr>
        <w:t xml:space="preserve">. </w:t>
      </w:r>
    </w:p>
    <w:p w:rsidR="0064686B" w:rsidRDefault="00885058" w:rsidP="0064686B">
      <w:pPr>
        <w:ind w:firstLine="0"/>
        <w:rPr>
          <w:rFonts w:ascii="Traditional Arabic" w:hAnsi="Traditional Arabic"/>
          <w:rtl/>
        </w:rPr>
      </w:pPr>
      <w:r w:rsidRPr="00885058">
        <w:rPr>
          <w:rFonts w:ascii="Traditional Arabic" w:hAnsi="Traditional Arabic"/>
          <w:rtl/>
        </w:rPr>
        <w:lastRenderedPageBreak/>
        <w:t>وقيل: هو العِلْم بالطُّرق والمسالك</w:t>
      </w:r>
      <w:r w:rsidRPr="00885058">
        <w:rPr>
          <w:vertAlign w:val="superscript"/>
          <w:rtl/>
        </w:rPr>
        <w:t>(</w:t>
      </w:r>
      <w:r w:rsidRPr="00885058">
        <w:rPr>
          <w:vertAlign w:val="superscript"/>
          <w:rtl/>
        </w:rPr>
        <w:footnoteReference w:id="1825"/>
      </w:r>
      <w:r w:rsidRPr="00885058">
        <w:rPr>
          <w:vertAlign w:val="superscript"/>
          <w:rtl/>
        </w:rPr>
        <w:t>)</w:t>
      </w:r>
      <w:r w:rsidRPr="00885058">
        <w:rPr>
          <w:rFonts w:ascii="Traditional Arabic" w:hAnsi="Traditional Arabic"/>
          <w:rtl/>
        </w:rPr>
        <w:t xml:space="preserve">. قوله تعالى: </w:t>
      </w:r>
      <w:r w:rsidRPr="00885058">
        <w:rPr>
          <w:rFonts w:ascii="QCF_BSML" w:hAnsi="QCF_BSML" w:cs="QCF_BSML"/>
          <w:color w:val="auto"/>
          <w:sz w:val="32"/>
          <w:szCs w:val="32"/>
          <w:rtl/>
          <w:lang w:eastAsia="en-US"/>
        </w:rPr>
        <w:t>ﭽ</w:t>
      </w:r>
      <w:r w:rsidRPr="00885058">
        <w:rPr>
          <w:rFonts w:ascii="QCF_BSML" w:hAnsi="QCF_BSML" w:cs="QCF_BSML" w:hint="cs"/>
          <w:color w:val="auto"/>
          <w:sz w:val="32"/>
          <w:szCs w:val="32"/>
          <w:rtl/>
          <w:lang w:eastAsia="en-US"/>
        </w:rPr>
        <w:t xml:space="preserve"> </w:t>
      </w:r>
      <w:r w:rsidRPr="00885058">
        <w:rPr>
          <w:rFonts w:ascii="QCF_P303" w:hAnsi="QCF_P303" w:cs="QCF_P303"/>
          <w:color w:val="auto"/>
          <w:sz w:val="32"/>
          <w:szCs w:val="32"/>
          <w:rtl/>
          <w:lang w:eastAsia="en-US"/>
        </w:rPr>
        <w:t>ﭜ  ﭝ</w:t>
      </w:r>
      <w:r w:rsidRPr="00885058">
        <w:rPr>
          <w:rFonts w:ascii="QCF_BSML" w:hAnsi="QCF_BSML" w:cs="QCF_BSML"/>
          <w:sz w:val="32"/>
          <w:szCs w:val="32"/>
          <w:rtl/>
          <w:lang w:eastAsia="en-US"/>
        </w:rPr>
        <w:t>ﭼ</w:t>
      </w:r>
      <w:r w:rsidRPr="00885058">
        <w:rPr>
          <w:rFonts w:ascii="Traditional Arabic" w:hAnsi="Traditional Arabic"/>
          <w:rtl/>
        </w:rPr>
        <w:t xml:space="preserve"> قرأ ابن كثير، ونافع، وأبو عمرو: «فاتَّبع سبباً» «ثم اتَّبع سبباً» «ثم اتَّبع سبباً» مشددات التاء. وقرأ عاصم، وابن عامر، وحمزة، والكسائي: «فأتبع سبباً» «ثم أتبع سبباً» «ثم أتبع </w:t>
      </w:r>
      <w:r w:rsidRPr="00885058">
        <w:rPr>
          <w:rFonts w:ascii="Traditional Arabic" w:hAnsi="Traditional Arabic" w:hint="cs"/>
          <w:rtl/>
        </w:rPr>
        <w:t>[</w:t>
      </w:r>
      <w:r w:rsidRPr="00885058">
        <w:rPr>
          <w:rFonts w:ascii="Traditional Arabic" w:hAnsi="Traditional Arabic"/>
          <w:rtl/>
        </w:rPr>
        <w:t>سبباً</w:t>
      </w:r>
      <w:r w:rsidRPr="00885058">
        <w:rPr>
          <w:rFonts w:ascii="Traditional Arabic" w:hAnsi="Traditional Arabic" w:hint="cs"/>
          <w:rtl/>
        </w:rPr>
        <w:t>]</w:t>
      </w:r>
      <w:r w:rsidRPr="00885058">
        <w:rPr>
          <w:vertAlign w:val="superscript"/>
          <w:rtl/>
        </w:rPr>
        <w:t>(</w:t>
      </w:r>
      <w:r w:rsidRPr="00885058">
        <w:rPr>
          <w:vertAlign w:val="superscript"/>
          <w:rtl/>
        </w:rPr>
        <w:footnoteReference w:id="1826"/>
      </w:r>
      <w:r w:rsidRPr="00885058">
        <w:rPr>
          <w:vertAlign w:val="superscript"/>
          <w:rtl/>
        </w:rPr>
        <w:t>)</w:t>
      </w:r>
      <w:r w:rsidRPr="00885058">
        <w:rPr>
          <w:rFonts w:ascii="Traditional Arabic" w:hAnsi="Traditional Arabic"/>
          <w:rtl/>
        </w:rPr>
        <w:t>»</w:t>
      </w:r>
      <w:r w:rsidRPr="00885058">
        <w:rPr>
          <w:rFonts w:ascii="Traditional Arabic" w:hAnsi="Traditional Arabic" w:hint="cs"/>
          <w:rtl/>
        </w:rPr>
        <w:t xml:space="preserve"> </w:t>
      </w:r>
      <w:r w:rsidRPr="00885058">
        <w:rPr>
          <w:rFonts w:ascii="Traditional Arabic" w:hAnsi="Traditional Arabic"/>
          <w:rtl/>
        </w:rPr>
        <w:t>مقطوعات</w:t>
      </w:r>
      <w:r w:rsidRPr="00885058">
        <w:rPr>
          <w:vertAlign w:val="superscript"/>
          <w:rtl/>
        </w:rPr>
        <w:t>(</w:t>
      </w:r>
      <w:r w:rsidRPr="00885058">
        <w:rPr>
          <w:vertAlign w:val="superscript"/>
          <w:rtl/>
        </w:rPr>
        <w:footnoteReference w:id="1827"/>
      </w:r>
      <w:r w:rsidRPr="00885058">
        <w:rPr>
          <w:vertAlign w:val="superscript"/>
          <w:rtl/>
        </w:rPr>
        <w:t>)</w:t>
      </w:r>
      <w:r w:rsidRPr="00885058">
        <w:rPr>
          <w:rFonts w:ascii="Traditional Arabic" w:hAnsi="Traditional Arabic"/>
          <w:rtl/>
        </w:rPr>
        <w:t>. قال ابن الأنباري: من قرأ «فاتَّبع سبباً» فمعناه: قفا الأثر، ومن قرأ «فأتبع» فمعناه: لحق يقال: اتَّبَعَني فلان، أي تَبِعَني، كما يقال: الحقني، بمعنى: لَحِقَني</w:t>
      </w:r>
      <w:r w:rsidRPr="00885058">
        <w:rPr>
          <w:vertAlign w:val="superscript"/>
          <w:rtl/>
        </w:rPr>
        <w:t>(</w:t>
      </w:r>
      <w:r w:rsidRPr="00885058">
        <w:rPr>
          <w:vertAlign w:val="superscript"/>
          <w:rtl/>
        </w:rPr>
        <w:footnoteReference w:id="1828"/>
      </w:r>
      <w:r w:rsidRPr="00885058">
        <w:rPr>
          <w:vertAlign w:val="superscript"/>
          <w:rtl/>
        </w:rPr>
        <w:t>)</w:t>
      </w:r>
      <w:r w:rsidRPr="00885058">
        <w:rPr>
          <w:rFonts w:ascii="Traditional Arabic" w:hAnsi="Traditional Arabic"/>
          <w:rtl/>
        </w:rPr>
        <w:t>. وقال أبو علي:</w:t>
      </w:r>
      <w:r w:rsidRPr="00885058">
        <w:rPr>
          <w:rFonts w:ascii="Traditional Arabic" w:hAnsi="Traditional Arabic" w:hint="cs"/>
          <w:rtl/>
        </w:rPr>
        <w:t xml:space="preserve"> </w:t>
      </w:r>
      <w:r w:rsidRPr="00885058">
        <w:rPr>
          <w:rFonts w:ascii="Traditional Arabic" w:hAnsi="Traditional Arabic"/>
          <w:rtl/>
        </w:rPr>
        <w:t xml:space="preserve">«أتبع» تقديره: أتبع سبباً سبباً، فأتبع ما هو عليه سبباً، والسبب: الطريق، والمعنى: تبع طريقاً يؤدِّيه إِلى </w:t>
      </w:r>
      <w:r w:rsidRPr="00885058">
        <w:rPr>
          <w:rFonts w:ascii="QCF_BSML" w:hAnsi="QCF_BSML" w:cs="QCF_BSML"/>
          <w:color w:val="auto"/>
          <w:sz w:val="32"/>
          <w:szCs w:val="32"/>
          <w:rtl/>
          <w:lang w:eastAsia="en-US"/>
        </w:rPr>
        <w:t>ﭽ</w:t>
      </w:r>
      <w:r w:rsidRPr="00885058">
        <w:rPr>
          <w:rFonts w:ascii="Traditional Arabic" w:hAnsi="Traditional Arabic" w:hint="cs"/>
          <w:rtl/>
        </w:rPr>
        <w:t xml:space="preserve"> </w:t>
      </w:r>
      <w:r w:rsidRPr="00885058">
        <w:rPr>
          <w:rFonts w:ascii="QCF_P303" w:hAnsi="QCF_P303" w:cs="QCF_P303"/>
          <w:color w:val="auto"/>
          <w:sz w:val="32"/>
          <w:szCs w:val="32"/>
          <w:rtl/>
          <w:lang w:eastAsia="en-US"/>
        </w:rPr>
        <w:t>ﭢ  ﭣ</w:t>
      </w:r>
      <w:r w:rsidRPr="00885058">
        <w:rPr>
          <w:rFonts w:ascii="QCF_BSML" w:hAnsi="QCF_BSML" w:cs="QCF_BSML"/>
          <w:sz w:val="32"/>
          <w:szCs w:val="32"/>
          <w:rtl/>
          <w:lang w:eastAsia="en-US"/>
        </w:rPr>
        <w:t>ﭼ</w:t>
      </w:r>
      <w:r w:rsidRPr="00885058">
        <w:rPr>
          <w:rFonts w:ascii="Traditional Arabic" w:hAnsi="Traditional Arabic"/>
          <w:rtl/>
        </w:rPr>
        <w:t>. وكان إِذا ظهر على قوم أخذ منهم جيشاً فسار بهم إِلى غيرهم</w:t>
      </w:r>
      <w:r w:rsidRPr="00885058">
        <w:rPr>
          <w:vertAlign w:val="superscript"/>
          <w:rtl/>
        </w:rPr>
        <w:t>(</w:t>
      </w:r>
      <w:r w:rsidRPr="00885058">
        <w:rPr>
          <w:vertAlign w:val="superscript"/>
          <w:rtl/>
        </w:rPr>
        <w:footnoteReference w:id="1829"/>
      </w:r>
      <w:r w:rsidRPr="00885058">
        <w:rPr>
          <w:vertAlign w:val="superscript"/>
          <w:rtl/>
        </w:rPr>
        <w:t>)</w:t>
      </w:r>
      <w:r w:rsidRPr="00885058">
        <w:rPr>
          <w:rFonts w:ascii="Traditional Arabic" w:hAnsi="Traditional Arabic"/>
          <w:rtl/>
        </w:rPr>
        <w:t>.</w:t>
      </w:r>
      <w:r w:rsidRPr="00885058">
        <w:rPr>
          <w:rFonts w:ascii="Traditional Arabic" w:hAnsi="Traditional Arabic" w:hint="cs"/>
          <w:rtl/>
        </w:rPr>
        <w:t xml:space="preserve"> </w:t>
      </w:r>
      <w:r w:rsidRPr="00885058">
        <w:rPr>
          <w:rFonts w:ascii="Traditional Arabic" w:hAnsi="Traditional Arabic"/>
          <w:rtl/>
        </w:rPr>
        <w:t xml:space="preserve">قوله تعالى: </w:t>
      </w:r>
      <w:r w:rsidRPr="00885058">
        <w:rPr>
          <w:rFonts w:ascii="QCF_BSML" w:hAnsi="QCF_BSML" w:cs="QCF_BSML"/>
          <w:color w:val="auto"/>
          <w:sz w:val="32"/>
          <w:szCs w:val="32"/>
          <w:rtl/>
          <w:lang w:eastAsia="en-US"/>
        </w:rPr>
        <w:t>ﭽ</w:t>
      </w:r>
      <w:r w:rsidRPr="00885058">
        <w:rPr>
          <w:rFonts w:ascii="QCF_P303" w:hAnsi="QCF_P303" w:cs="QCF_P303"/>
          <w:color w:val="auto"/>
          <w:sz w:val="32"/>
          <w:szCs w:val="32"/>
          <w:rtl/>
          <w:lang w:eastAsia="en-US"/>
        </w:rPr>
        <w:t xml:space="preserve">ﭤ  ﭥ  ﭦ  ﭧ  ﭨ </w:t>
      </w:r>
      <w:r w:rsidRPr="00885058">
        <w:rPr>
          <w:rFonts w:ascii="QCF_BSML" w:hAnsi="QCF_BSML" w:cs="QCF_BSML"/>
          <w:sz w:val="32"/>
          <w:szCs w:val="32"/>
          <w:rtl/>
          <w:lang w:eastAsia="en-US"/>
        </w:rPr>
        <w:t>ﭼ</w:t>
      </w:r>
      <w:r w:rsidRPr="00885058">
        <w:rPr>
          <w:vertAlign w:val="superscript"/>
          <w:rtl/>
        </w:rPr>
        <w:t>(</w:t>
      </w:r>
      <w:r w:rsidRPr="00885058">
        <w:rPr>
          <w:vertAlign w:val="superscript"/>
          <w:rtl/>
        </w:rPr>
        <w:footnoteReference w:id="1830"/>
      </w:r>
      <w:r w:rsidRPr="00885058">
        <w:rPr>
          <w:vertAlign w:val="superscript"/>
          <w:rtl/>
        </w:rPr>
        <w:t>)</w:t>
      </w:r>
      <w:r w:rsidRPr="00885058">
        <w:rPr>
          <w:rFonts w:ascii="Traditional Arabic" w:hAnsi="Traditional Arabic"/>
          <w:rtl/>
        </w:rPr>
        <w:t>قرأ ابن كثير، ونافع، وأبو عمرو، وحفص عن عاصم:</w:t>
      </w:r>
      <w:r w:rsidRPr="00885058">
        <w:rPr>
          <w:rFonts w:ascii="Traditional Arabic" w:hAnsi="Traditional Arabic" w:hint="cs"/>
          <w:rtl/>
        </w:rPr>
        <w:t xml:space="preserve"> </w:t>
      </w:r>
      <w:r w:rsidRPr="00885058">
        <w:rPr>
          <w:rFonts w:ascii="Traditional Arabic" w:hAnsi="Traditional Arabic"/>
          <w:rtl/>
        </w:rPr>
        <w:t>«حمئة»</w:t>
      </w:r>
      <w:r w:rsidRPr="00885058">
        <w:rPr>
          <w:vertAlign w:val="superscript"/>
          <w:rtl/>
        </w:rPr>
        <w:t>(</w:t>
      </w:r>
      <w:r w:rsidRPr="00885058">
        <w:rPr>
          <w:vertAlign w:val="superscript"/>
          <w:rtl/>
        </w:rPr>
        <w:footnoteReference w:id="1831"/>
      </w:r>
      <w:r w:rsidRPr="00885058">
        <w:rPr>
          <w:vertAlign w:val="superscript"/>
          <w:rtl/>
        </w:rPr>
        <w:t>)</w:t>
      </w:r>
      <w:r w:rsidRPr="00885058">
        <w:rPr>
          <w:rFonts w:ascii="Traditional Arabic" w:hAnsi="Traditional Arabic"/>
          <w:rtl/>
        </w:rPr>
        <w:t xml:space="preserve">، وهي قراءة </w:t>
      </w:r>
      <w:r w:rsidRPr="00885058">
        <w:rPr>
          <w:rFonts w:ascii="Traditional Arabic" w:hAnsi="Traditional Arabic" w:hint="cs"/>
          <w:rtl/>
        </w:rPr>
        <w:t>[</w:t>
      </w:r>
      <w:r w:rsidRPr="00885058">
        <w:rPr>
          <w:rFonts w:ascii="Traditional Arabic" w:hAnsi="Traditional Arabic"/>
          <w:rtl/>
        </w:rPr>
        <w:t>ابن عباس</w:t>
      </w:r>
      <w:r w:rsidRPr="00885058">
        <w:rPr>
          <w:vertAlign w:val="superscript"/>
          <w:rtl/>
        </w:rPr>
        <w:t>(</w:t>
      </w:r>
      <w:r w:rsidRPr="00885058">
        <w:rPr>
          <w:vertAlign w:val="superscript"/>
          <w:rtl/>
        </w:rPr>
        <w:footnoteReference w:id="1832"/>
      </w:r>
      <w:r w:rsidRPr="00885058">
        <w:rPr>
          <w:vertAlign w:val="superscript"/>
          <w:rtl/>
        </w:rPr>
        <w:t>)</w:t>
      </w:r>
      <w:r w:rsidRPr="00885058">
        <w:rPr>
          <w:rFonts w:ascii="Traditional Arabic" w:hAnsi="Traditional Arabic"/>
          <w:rtl/>
        </w:rPr>
        <w:t>. وقرأ</w:t>
      </w:r>
      <w:r w:rsidRPr="00885058">
        <w:rPr>
          <w:rFonts w:ascii="Traditional Arabic" w:hAnsi="Traditional Arabic" w:hint="cs"/>
          <w:rtl/>
        </w:rPr>
        <w:t>]</w:t>
      </w:r>
      <w:r w:rsidRPr="00885058">
        <w:rPr>
          <w:vertAlign w:val="superscript"/>
          <w:rtl/>
        </w:rPr>
        <w:t>(</w:t>
      </w:r>
      <w:r w:rsidRPr="00885058">
        <w:rPr>
          <w:vertAlign w:val="superscript"/>
          <w:rtl/>
        </w:rPr>
        <w:footnoteReference w:id="1833"/>
      </w:r>
      <w:r w:rsidRPr="00885058">
        <w:rPr>
          <w:vertAlign w:val="superscript"/>
          <w:rtl/>
        </w:rPr>
        <w:t>)</w:t>
      </w:r>
      <w:r w:rsidR="00FD75C0">
        <w:rPr>
          <w:rFonts w:ascii="Traditional Arabic" w:hAnsi="Traditional Arabic" w:hint="cs"/>
          <w:rtl/>
        </w:rPr>
        <w:t>ا</w:t>
      </w:r>
      <w:r w:rsidRPr="00885058">
        <w:rPr>
          <w:rFonts w:ascii="Traditional Arabic" w:hAnsi="Traditional Arabic"/>
          <w:rtl/>
        </w:rPr>
        <w:t>بن عامر، وحمزة، والكسائي، وأبو بكر عن عاصم: «حامية»</w:t>
      </w:r>
      <w:r w:rsidRPr="00885058">
        <w:rPr>
          <w:vertAlign w:val="superscript"/>
          <w:rtl/>
        </w:rPr>
        <w:t>(</w:t>
      </w:r>
      <w:r w:rsidRPr="00885058">
        <w:rPr>
          <w:vertAlign w:val="superscript"/>
          <w:rtl/>
        </w:rPr>
        <w:footnoteReference w:id="1834"/>
      </w:r>
      <w:r w:rsidRPr="00885058">
        <w:rPr>
          <w:vertAlign w:val="superscript"/>
          <w:rtl/>
        </w:rPr>
        <w:t>)</w:t>
      </w:r>
      <w:r w:rsidRPr="00885058">
        <w:rPr>
          <w:rFonts w:ascii="Traditional Arabic" w:hAnsi="Traditional Arabic"/>
          <w:rtl/>
        </w:rPr>
        <w:t xml:space="preserve">، وهي قراءة عمرو، وعلي، وابن مسعود، وابن الزّبير، ومعاوية، وأبي عبد الرحمن، </w:t>
      </w:r>
      <w:r w:rsidRPr="00885058">
        <w:rPr>
          <w:rFonts w:ascii="Traditional Arabic" w:hAnsi="Traditional Arabic"/>
          <w:sz w:val="32"/>
          <w:szCs w:val="32"/>
          <w:rtl/>
        </w:rPr>
        <w:t>[</w:t>
      </w:r>
      <w:r w:rsidRPr="00885058">
        <w:rPr>
          <w:rFonts w:ascii="Traditional Arabic" w:hAnsi="Traditional Arabic" w:hint="cs"/>
          <w:sz w:val="32"/>
          <w:szCs w:val="32"/>
          <w:rtl/>
        </w:rPr>
        <w:t>146</w:t>
      </w:r>
      <w:r w:rsidRPr="00885058">
        <w:rPr>
          <w:rFonts w:ascii="Traditional Arabic" w:hAnsi="Traditional Arabic"/>
          <w:sz w:val="32"/>
          <w:szCs w:val="32"/>
          <w:rtl/>
        </w:rPr>
        <w:t>]</w:t>
      </w:r>
      <w:r w:rsidRPr="00885058">
        <w:rPr>
          <w:rFonts w:ascii="Traditional Arabic" w:hAnsi="Traditional Arabic"/>
          <w:rtl/>
        </w:rPr>
        <w:t xml:space="preserve"> والحسن، وعكرمة، والنخعي، وقتادة، وأبي جعفر، وشيبة، وابن محيصن، والأعمش، كلُّهم لم يهمز</w:t>
      </w:r>
      <w:r w:rsidRPr="00885058">
        <w:rPr>
          <w:vertAlign w:val="superscript"/>
          <w:rtl/>
        </w:rPr>
        <w:t>(</w:t>
      </w:r>
      <w:r w:rsidRPr="00885058">
        <w:rPr>
          <w:vertAlign w:val="superscript"/>
          <w:rtl/>
        </w:rPr>
        <w:footnoteReference w:id="1835"/>
      </w:r>
      <w:r w:rsidRPr="00885058">
        <w:rPr>
          <w:vertAlign w:val="superscript"/>
          <w:rtl/>
        </w:rPr>
        <w:t>)</w:t>
      </w:r>
      <w:r w:rsidRPr="00885058">
        <w:rPr>
          <w:rFonts w:ascii="Traditional Arabic" w:hAnsi="Traditional Arabic"/>
          <w:rtl/>
        </w:rPr>
        <w:t xml:space="preserve">. قال الزجاج: فمن قرأ: «حمئة» أراد في عَيْنٍ ذاتِ حَمْأَة. يقال: حَمَأْتُ البئر: إِذا أخرجتَ حَمْأتَها وأَحْمَأْتُها: إِذا ألقيتَ فيها الحَمْأَة. </w:t>
      </w:r>
      <w:r w:rsidRPr="00885058">
        <w:rPr>
          <w:rFonts w:ascii="Traditional Arabic" w:hAnsi="Traditional Arabic" w:hint="cs"/>
          <w:rtl/>
        </w:rPr>
        <w:t>[</w:t>
      </w:r>
      <w:r w:rsidRPr="00885058">
        <w:rPr>
          <w:rFonts w:ascii="Traditional Arabic" w:hAnsi="Traditional Arabic"/>
          <w:rtl/>
        </w:rPr>
        <w:t>وحمئت</w:t>
      </w:r>
      <w:r w:rsidRPr="00885058">
        <w:rPr>
          <w:rFonts w:ascii="Traditional Arabic" w:hAnsi="Traditional Arabic" w:hint="cs"/>
          <w:rtl/>
        </w:rPr>
        <w:t>]</w:t>
      </w:r>
      <w:r w:rsidRPr="00885058">
        <w:rPr>
          <w:vertAlign w:val="superscript"/>
          <w:rtl/>
        </w:rPr>
        <w:t>(</w:t>
      </w:r>
      <w:r w:rsidRPr="00885058">
        <w:rPr>
          <w:vertAlign w:val="superscript"/>
          <w:rtl/>
        </w:rPr>
        <w:footnoteReference w:id="1836"/>
      </w:r>
      <w:r w:rsidRPr="00885058">
        <w:rPr>
          <w:vertAlign w:val="superscript"/>
          <w:rtl/>
        </w:rPr>
        <w:t>)</w:t>
      </w:r>
      <w:r w:rsidRPr="00885058">
        <w:rPr>
          <w:rFonts w:ascii="Traditional Arabic" w:hAnsi="Traditional Arabic"/>
          <w:rtl/>
        </w:rPr>
        <w:t xml:space="preserve">فهي حمئة: إِذا </w:t>
      </w:r>
      <w:r w:rsidRPr="00885058">
        <w:rPr>
          <w:rFonts w:ascii="Traditional Arabic" w:hAnsi="Traditional Arabic"/>
          <w:rtl/>
        </w:rPr>
        <w:lastRenderedPageBreak/>
        <w:t>صارت فيها الحَمْأَة. ومن قرأ: «حامية» بغير همز أراد: حارّة. وقد تكون حارَّة ذاتَ حَمْأَة</w:t>
      </w:r>
      <w:r w:rsidRPr="00885058">
        <w:rPr>
          <w:vertAlign w:val="superscript"/>
          <w:rtl/>
        </w:rPr>
        <w:t>(</w:t>
      </w:r>
      <w:r w:rsidRPr="00885058">
        <w:rPr>
          <w:vertAlign w:val="superscript"/>
          <w:rtl/>
        </w:rPr>
        <w:footnoteReference w:id="1837"/>
      </w:r>
      <w:r w:rsidRPr="00885058">
        <w:rPr>
          <w:vertAlign w:val="superscript"/>
          <w:rtl/>
        </w:rPr>
        <w:t>)</w:t>
      </w:r>
      <w:r w:rsidRPr="00885058">
        <w:rPr>
          <w:rFonts w:ascii="Traditional Arabic" w:hAnsi="Traditional Arabic"/>
          <w:rtl/>
        </w:rPr>
        <w:t>. وروى قتادة عن الحسن، قال: وجدها تَغْرُب في ماءٍ يغلي كغليان القدور</w:t>
      </w:r>
      <w:r w:rsidRPr="00885058">
        <w:rPr>
          <w:rFonts w:ascii="QCF_P303" w:hAnsi="QCF_P303" w:cs="QCF_P303"/>
          <w:color w:val="auto"/>
          <w:sz w:val="32"/>
          <w:szCs w:val="32"/>
          <w:rtl/>
          <w:lang w:eastAsia="en-US"/>
        </w:rPr>
        <w:t xml:space="preserve">  </w:t>
      </w:r>
      <w:r w:rsidRPr="00885058">
        <w:rPr>
          <w:rFonts w:ascii="QCF_BSML" w:hAnsi="QCF_BSML" w:cs="QCF_BSML" w:hint="cs"/>
          <w:color w:val="auto"/>
          <w:sz w:val="32"/>
          <w:szCs w:val="32"/>
          <w:rtl/>
          <w:lang w:eastAsia="en-US"/>
        </w:rPr>
        <w:t xml:space="preserve"> </w:t>
      </w:r>
      <w:r w:rsidRPr="00885058">
        <w:rPr>
          <w:rFonts w:ascii="QCF_BSML" w:hAnsi="QCF_BSML" w:cs="QCF_BSML"/>
          <w:color w:val="auto"/>
          <w:sz w:val="32"/>
          <w:szCs w:val="32"/>
          <w:rtl/>
          <w:lang w:eastAsia="en-US"/>
        </w:rPr>
        <w:t>ﭽ</w:t>
      </w:r>
      <w:r w:rsidRPr="00885058">
        <w:rPr>
          <w:rFonts w:ascii="QCF_P303" w:hAnsi="QCF_P303" w:cs="QCF_P303"/>
          <w:color w:val="auto"/>
          <w:sz w:val="32"/>
          <w:szCs w:val="32"/>
          <w:rtl/>
          <w:lang w:eastAsia="en-US"/>
        </w:rPr>
        <w:t xml:space="preserve"> ﭩ  ﭪ  ﭫﭬ </w:t>
      </w:r>
      <w:r w:rsidRPr="00885058">
        <w:rPr>
          <w:rFonts w:ascii="QCF_BSML" w:hAnsi="QCF_BSML" w:cs="QCF_BSML"/>
          <w:sz w:val="32"/>
          <w:szCs w:val="32"/>
          <w:rtl/>
          <w:lang w:eastAsia="en-US"/>
        </w:rPr>
        <w:t>ﭼ</w:t>
      </w:r>
      <w:r w:rsidRPr="00885058">
        <w:rPr>
          <w:rFonts w:ascii="QCF_BSML" w:hAnsi="QCF_BSML" w:cs="QCF_BSML" w:hint="cs"/>
          <w:sz w:val="32"/>
          <w:szCs w:val="32"/>
          <w:rtl/>
          <w:lang w:eastAsia="en-US"/>
        </w:rPr>
        <w:t xml:space="preserve"> </w:t>
      </w:r>
      <w:r w:rsidRPr="00885058">
        <w:rPr>
          <w:rFonts w:ascii="QCF_P303" w:hAnsi="QCF_P303" w:cs="QCF_P303" w:hint="cs"/>
          <w:color w:val="auto"/>
          <w:sz w:val="32"/>
          <w:szCs w:val="32"/>
          <w:rtl/>
          <w:lang w:eastAsia="en-US"/>
        </w:rPr>
        <w:t xml:space="preserve">  </w:t>
      </w:r>
      <w:r w:rsidRPr="00885058">
        <w:rPr>
          <w:rFonts w:ascii="QCF_P303" w:hAnsi="QCF_P303" w:cs="QCF_P303"/>
          <w:color w:val="auto"/>
          <w:sz w:val="32"/>
          <w:szCs w:val="32"/>
          <w:rtl/>
          <w:lang w:eastAsia="en-US"/>
        </w:rPr>
        <w:t xml:space="preserve"> </w:t>
      </w:r>
      <w:r w:rsidRPr="00885058">
        <w:rPr>
          <w:rFonts w:ascii="Traditional Arabic" w:hAnsi="Traditional Arabic"/>
          <w:rtl/>
        </w:rPr>
        <w:t>لباسهم جلود السِّباع، وليس لهم طعام إِلا ما أحرقت الشمس من الدوابّ إِذا غربت نحوها، وما لفظت العين من الحيتان إِذا وقعت فيها الشمس</w:t>
      </w:r>
      <w:r w:rsidRPr="00885058">
        <w:rPr>
          <w:vertAlign w:val="superscript"/>
          <w:rtl/>
        </w:rPr>
        <w:t>(</w:t>
      </w:r>
      <w:r w:rsidRPr="00885058">
        <w:rPr>
          <w:vertAlign w:val="superscript"/>
          <w:rtl/>
        </w:rPr>
        <w:footnoteReference w:id="1838"/>
      </w:r>
      <w:r w:rsidRPr="00885058">
        <w:rPr>
          <w:vertAlign w:val="superscript"/>
          <w:rtl/>
        </w:rPr>
        <w:t>)</w:t>
      </w:r>
      <w:r w:rsidRPr="00885058">
        <w:rPr>
          <w:rFonts w:ascii="Traditional Arabic" w:hAnsi="Traditional Arabic"/>
          <w:rtl/>
        </w:rPr>
        <w:t>. وقال ابن السائب:</w:t>
      </w:r>
      <w:r w:rsidRPr="00885058">
        <w:rPr>
          <w:rFonts w:ascii="Traditional Arabic" w:hAnsi="Traditional Arabic" w:hint="cs"/>
          <w:rtl/>
        </w:rPr>
        <w:t xml:space="preserve"> </w:t>
      </w:r>
      <w:r w:rsidRPr="00885058">
        <w:rPr>
          <w:rFonts w:ascii="Traditional Arabic" w:hAnsi="Traditional Arabic"/>
          <w:rtl/>
        </w:rPr>
        <w:t>وجد عندها قوماً مؤمنين وكافرين، يعني عند العين</w:t>
      </w:r>
      <w:r w:rsidRPr="00885058">
        <w:rPr>
          <w:vertAlign w:val="superscript"/>
          <w:rtl/>
        </w:rPr>
        <w:t>(</w:t>
      </w:r>
      <w:r w:rsidRPr="00885058">
        <w:rPr>
          <w:vertAlign w:val="superscript"/>
          <w:rtl/>
        </w:rPr>
        <w:footnoteReference w:id="1839"/>
      </w:r>
      <w:r w:rsidRPr="00885058">
        <w:rPr>
          <w:vertAlign w:val="superscript"/>
          <w:rtl/>
        </w:rPr>
        <w:t>)</w:t>
      </w:r>
      <w:r w:rsidRPr="00885058">
        <w:rPr>
          <w:rFonts w:ascii="Traditional Arabic" w:hAnsi="Traditional Arabic"/>
          <w:rtl/>
        </w:rPr>
        <w:t xml:space="preserve">. وربما توهَّم متوهِّم أن هذه الشمس على عِظَم قدْرها تغوص بذاتها في عين ماءٍ، وليس كذلك. فإنها أكبر من الدنيا مرارا، فكيف </w:t>
      </w:r>
      <w:r w:rsidRPr="00885058">
        <w:rPr>
          <w:rFonts w:ascii="Traditional Arabic" w:hAnsi="Traditional Arabic" w:hint="cs"/>
          <w:rtl/>
        </w:rPr>
        <w:t>ت</w:t>
      </w:r>
      <w:r w:rsidRPr="00885058">
        <w:rPr>
          <w:rFonts w:ascii="Traditional Arabic" w:hAnsi="Traditional Arabic"/>
          <w:rtl/>
        </w:rPr>
        <w:t>سعها</w:t>
      </w:r>
      <w:r w:rsidRPr="00885058">
        <w:rPr>
          <w:vertAlign w:val="superscript"/>
          <w:rtl/>
        </w:rPr>
        <w:t>(</w:t>
      </w:r>
      <w:r w:rsidRPr="00885058">
        <w:rPr>
          <w:vertAlign w:val="superscript"/>
          <w:rtl/>
        </w:rPr>
        <w:footnoteReference w:id="1840"/>
      </w:r>
      <w:r w:rsidRPr="00885058">
        <w:rPr>
          <w:vertAlign w:val="superscript"/>
          <w:rtl/>
        </w:rPr>
        <w:t>)</w:t>
      </w:r>
      <w:r w:rsidRPr="00885058">
        <w:rPr>
          <w:rFonts w:ascii="Traditional Arabic" w:hAnsi="Traditional Arabic"/>
          <w:rtl/>
        </w:rPr>
        <w:t>عين ماء، وإِنما وجدها تغرب في العين كما يرى راكب البحر الذي لا يرى طَرَفه أن الشمس تغيب في</w:t>
      </w:r>
      <w:r w:rsidRPr="00885058">
        <w:rPr>
          <w:vertAlign w:val="superscript"/>
          <w:rtl/>
        </w:rPr>
        <w:t>(</w:t>
      </w:r>
      <w:r w:rsidRPr="00885058">
        <w:rPr>
          <w:vertAlign w:val="superscript"/>
          <w:rtl/>
        </w:rPr>
        <w:footnoteReference w:id="1841"/>
      </w:r>
      <w:r w:rsidRPr="00885058">
        <w:rPr>
          <w:vertAlign w:val="superscript"/>
          <w:rtl/>
        </w:rPr>
        <w:t>)</w:t>
      </w:r>
      <w:r w:rsidRPr="00885058">
        <w:rPr>
          <w:rFonts w:ascii="Traditional Arabic" w:hAnsi="Traditional Arabic"/>
          <w:rtl/>
        </w:rPr>
        <w:t>الماء، وذلك لأن ذا القرنين انتهى إلى آخر البنيان فوجد عيناً حَمِئة ليس بعدها</w:t>
      </w:r>
      <w:r w:rsidRPr="00885058">
        <w:rPr>
          <w:vertAlign w:val="superscript"/>
          <w:rtl/>
        </w:rPr>
        <w:t>(</w:t>
      </w:r>
      <w:r w:rsidRPr="00885058">
        <w:rPr>
          <w:vertAlign w:val="superscript"/>
          <w:rtl/>
        </w:rPr>
        <w:footnoteReference w:id="1842"/>
      </w:r>
      <w:r w:rsidRPr="00885058">
        <w:rPr>
          <w:vertAlign w:val="superscript"/>
          <w:rtl/>
        </w:rPr>
        <w:t>)</w:t>
      </w:r>
      <w:r w:rsidRPr="00885058">
        <w:rPr>
          <w:rFonts w:ascii="Traditional Arabic" w:hAnsi="Traditional Arabic"/>
          <w:rtl/>
        </w:rPr>
        <w:t xml:space="preserve"> أحد</w:t>
      </w:r>
      <w:r w:rsidRPr="00885058">
        <w:rPr>
          <w:vertAlign w:val="superscript"/>
          <w:rtl/>
        </w:rPr>
        <w:t>(</w:t>
      </w:r>
      <w:r w:rsidRPr="00885058">
        <w:rPr>
          <w:vertAlign w:val="superscript"/>
          <w:rtl/>
        </w:rPr>
        <w:footnoteReference w:id="1843"/>
      </w:r>
      <w:r w:rsidRPr="00885058">
        <w:rPr>
          <w:vertAlign w:val="superscript"/>
          <w:rtl/>
        </w:rPr>
        <w:t>)</w:t>
      </w:r>
      <w:r w:rsidRPr="00885058">
        <w:rPr>
          <w:rFonts w:ascii="Traditional Arabic" w:hAnsi="Traditional Arabic"/>
          <w:rtl/>
        </w:rPr>
        <w:t>.</w:t>
      </w:r>
      <w:r w:rsidRPr="00885058">
        <w:rPr>
          <w:rFonts w:ascii="Traditional Arabic" w:hAnsi="Traditional Arabic" w:hint="cs"/>
          <w:rtl/>
        </w:rPr>
        <w:t xml:space="preserve"> </w:t>
      </w:r>
      <w:r w:rsidRPr="00885058">
        <w:rPr>
          <w:rFonts w:ascii="Traditional Arabic" w:hAnsi="Traditional Arabic"/>
          <w:rtl/>
        </w:rPr>
        <w:t xml:space="preserve">قوله تعالى: </w:t>
      </w:r>
      <w:r w:rsidRPr="00885058">
        <w:rPr>
          <w:rFonts w:ascii="QCF_BSML" w:hAnsi="QCF_BSML" w:cs="QCF_BSML"/>
          <w:color w:val="auto"/>
          <w:sz w:val="32"/>
          <w:szCs w:val="32"/>
          <w:rtl/>
          <w:lang w:eastAsia="en-US"/>
        </w:rPr>
        <w:t>ﭽ</w:t>
      </w:r>
      <w:r w:rsidRPr="00885058">
        <w:rPr>
          <w:rFonts w:ascii="QCF_P303" w:hAnsi="QCF_P303" w:cs="QCF_P303"/>
          <w:color w:val="auto"/>
          <w:sz w:val="32"/>
          <w:szCs w:val="32"/>
          <w:rtl/>
          <w:lang w:eastAsia="en-US"/>
        </w:rPr>
        <w:t xml:space="preserve">ﭭ  ﭮ  ﭯ  </w:t>
      </w:r>
      <w:r w:rsidRPr="00885058">
        <w:rPr>
          <w:rFonts w:ascii="QCF_BSML" w:hAnsi="QCF_BSML" w:cs="QCF_BSML"/>
          <w:sz w:val="32"/>
          <w:szCs w:val="32"/>
          <w:rtl/>
          <w:lang w:eastAsia="en-US"/>
        </w:rPr>
        <w:t>ﭼ</w:t>
      </w:r>
      <w:r w:rsidRPr="00885058">
        <w:rPr>
          <w:rFonts w:ascii="Traditional Arabic" w:hAnsi="Traditional Arabic" w:hint="cs"/>
          <w:rtl/>
        </w:rPr>
        <w:t xml:space="preserve"> </w:t>
      </w:r>
      <w:r w:rsidRPr="00885058">
        <w:rPr>
          <w:rFonts w:ascii="Traditional Arabic" w:hAnsi="Traditional Arabic"/>
          <w:rtl/>
        </w:rPr>
        <w:t xml:space="preserve">فمن قال: إِنه نبيّ، قال: هذا القول وحي ومن قال: ليس بنبي، قال: هذا إِلهام. قوله تعالى: </w:t>
      </w:r>
      <w:r w:rsidRPr="00885058">
        <w:rPr>
          <w:rFonts w:ascii="QCF_BSML" w:hAnsi="QCF_BSML" w:cs="QCF_BSML"/>
          <w:color w:val="auto"/>
          <w:sz w:val="32"/>
          <w:szCs w:val="32"/>
          <w:rtl/>
          <w:lang w:eastAsia="en-US"/>
        </w:rPr>
        <w:t>ﭽ</w:t>
      </w:r>
      <w:r w:rsidRPr="00885058">
        <w:rPr>
          <w:rFonts w:ascii="QCF_BSML" w:hAnsi="QCF_BSML" w:cs="QCF_BSML" w:hint="cs"/>
          <w:color w:val="auto"/>
          <w:sz w:val="32"/>
          <w:szCs w:val="32"/>
          <w:rtl/>
          <w:lang w:eastAsia="en-US"/>
        </w:rPr>
        <w:t xml:space="preserve"> </w:t>
      </w:r>
      <w:r w:rsidRPr="00885058">
        <w:rPr>
          <w:rFonts w:ascii="QCF_P303" w:hAnsi="QCF_P303" w:cs="QCF_P303"/>
          <w:color w:val="auto"/>
          <w:sz w:val="32"/>
          <w:szCs w:val="32"/>
          <w:rtl/>
          <w:lang w:eastAsia="en-US"/>
        </w:rPr>
        <w:t xml:space="preserve">ﭰ  ﭱ  ﭲ  </w:t>
      </w:r>
      <w:r w:rsidRPr="00885058">
        <w:rPr>
          <w:rFonts w:ascii="QCF_BSML" w:hAnsi="QCF_BSML" w:cs="QCF_BSML"/>
          <w:sz w:val="32"/>
          <w:szCs w:val="32"/>
          <w:rtl/>
          <w:lang w:eastAsia="en-US"/>
        </w:rPr>
        <w:t>ﭼ</w:t>
      </w:r>
      <w:r w:rsidRPr="00885058">
        <w:rPr>
          <w:rFonts w:ascii="Traditional Arabic" w:hAnsi="Traditional Arabic"/>
          <w:rtl/>
        </w:rPr>
        <w:t xml:space="preserve"> قال المفسرون: إِما أن تقتلَهم إن أبوا ما تدعوهم إليهم، وإِما أن تأسرهم، فتبصِّرهم الرشد. </w:t>
      </w:r>
      <w:r w:rsidRPr="00885058">
        <w:rPr>
          <w:rFonts w:ascii="QCF_BSML" w:hAnsi="QCF_BSML" w:cs="QCF_BSML"/>
          <w:color w:val="auto"/>
          <w:sz w:val="32"/>
          <w:szCs w:val="32"/>
          <w:rtl/>
          <w:lang w:eastAsia="en-US"/>
        </w:rPr>
        <w:t>ﭽ</w:t>
      </w:r>
      <w:r w:rsidRPr="00885058">
        <w:rPr>
          <w:rFonts w:ascii="QCF_P303" w:hAnsi="QCF_P303" w:cs="QCF_P303"/>
          <w:color w:val="auto"/>
          <w:sz w:val="32"/>
          <w:szCs w:val="32"/>
          <w:rtl/>
          <w:lang w:eastAsia="en-US"/>
        </w:rPr>
        <w:t xml:space="preserve"> ﭹ  ﭺ  ﭻ  ﭼ</w:t>
      </w:r>
      <w:r w:rsidRPr="00885058">
        <w:rPr>
          <w:rFonts w:ascii="QCF_BSML" w:hAnsi="QCF_BSML" w:cs="QCF_BSML"/>
          <w:sz w:val="32"/>
          <w:szCs w:val="32"/>
          <w:rtl/>
          <w:lang w:eastAsia="en-US"/>
        </w:rPr>
        <w:t>ﭼ</w:t>
      </w:r>
      <w:r w:rsidRPr="00885058">
        <w:rPr>
          <w:rFonts w:ascii="QCF_P303" w:hAnsi="QCF_P303" w:cs="QCF_P303"/>
          <w:color w:val="auto"/>
          <w:sz w:val="32"/>
          <w:szCs w:val="32"/>
          <w:rtl/>
          <w:lang w:eastAsia="en-US"/>
        </w:rPr>
        <w:t xml:space="preserve">  </w:t>
      </w:r>
      <w:r w:rsidRPr="00885058">
        <w:rPr>
          <w:rFonts w:ascii="Traditional Arabic" w:hAnsi="Traditional Arabic"/>
          <w:rtl/>
        </w:rPr>
        <w:t xml:space="preserve">أي: أشرك </w:t>
      </w:r>
      <w:r w:rsidRPr="00885058">
        <w:rPr>
          <w:rFonts w:ascii="QCF_BSML" w:hAnsi="QCF_BSML" w:cs="QCF_BSML"/>
          <w:color w:val="auto"/>
          <w:sz w:val="32"/>
          <w:szCs w:val="32"/>
          <w:rtl/>
          <w:lang w:eastAsia="en-US"/>
        </w:rPr>
        <w:t>ﭽ</w:t>
      </w:r>
      <w:r w:rsidRPr="00885058">
        <w:rPr>
          <w:rFonts w:ascii="QCF_BSML" w:hAnsi="QCF_BSML" w:cs="QCF_BSML" w:hint="cs"/>
          <w:color w:val="auto"/>
          <w:sz w:val="32"/>
          <w:szCs w:val="32"/>
          <w:rtl/>
          <w:lang w:eastAsia="en-US"/>
        </w:rPr>
        <w:t xml:space="preserve"> </w:t>
      </w:r>
      <w:r w:rsidRPr="00885058">
        <w:rPr>
          <w:rFonts w:ascii="QCF_P303" w:hAnsi="QCF_P303" w:cs="QCF_P303"/>
          <w:color w:val="auto"/>
          <w:sz w:val="32"/>
          <w:szCs w:val="32"/>
          <w:rtl/>
          <w:lang w:eastAsia="en-US"/>
        </w:rPr>
        <w:t xml:space="preserve">ﭽ  ﭾ  </w:t>
      </w:r>
      <w:r w:rsidRPr="00885058">
        <w:rPr>
          <w:rFonts w:ascii="QCF_BSML" w:hAnsi="QCF_BSML" w:cs="QCF_BSML"/>
          <w:sz w:val="32"/>
          <w:szCs w:val="32"/>
          <w:rtl/>
          <w:lang w:eastAsia="en-US"/>
        </w:rPr>
        <w:t>ﭼ</w:t>
      </w:r>
      <w:r w:rsidRPr="00885058">
        <w:rPr>
          <w:rFonts w:ascii="Traditional Arabic" w:hAnsi="Traditional Arabic"/>
          <w:rtl/>
        </w:rPr>
        <w:t xml:space="preserve"> بالقتل إِذا لم يرجع عن الشرك</w:t>
      </w:r>
      <w:r w:rsidRPr="00885058">
        <w:rPr>
          <w:vertAlign w:val="superscript"/>
          <w:rtl/>
        </w:rPr>
        <w:t>(</w:t>
      </w:r>
      <w:r w:rsidRPr="00885058">
        <w:rPr>
          <w:vertAlign w:val="superscript"/>
          <w:rtl/>
        </w:rPr>
        <w:footnoteReference w:id="1844"/>
      </w:r>
      <w:r w:rsidRPr="00885058">
        <w:rPr>
          <w:vertAlign w:val="superscript"/>
          <w:rtl/>
        </w:rPr>
        <w:t>)</w:t>
      </w:r>
      <w:r w:rsidRPr="00885058">
        <w:rPr>
          <w:rFonts w:ascii="Traditional Arabic" w:hAnsi="Traditional Arabic"/>
          <w:rtl/>
        </w:rPr>
        <w:t>. وقال الحسن: كان يطبخهم في القدور</w:t>
      </w:r>
      <w:r w:rsidRPr="00885058">
        <w:rPr>
          <w:vertAlign w:val="superscript"/>
          <w:rtl/>
        </w:rPr>
        <w:t>(</w:t>
      </w:r>
      <w:r w:rsidRPr="00885058">
        <w:rPr>
          <w:vertAlign w:val="superscript"/>
          <w:rtl/>
        </w:rPr>
        <w:footnoteReference w:id="1845"/>
      </w:r>
      <w:r w:rsidRPr="00885058">
        <w:rPr>
          <w:vertAlign w:val="superscript"/>
          <w:rtl/>
        </w:rPr>
        <w:t>)</w:t>
      </w:r>
      <w:r w:rsidRPr="00885058">
        <w:rPr>
          <w:rFonts w:ascii="Traditional Arabic" w:hAnsi="Traditional Arabic" w:hint="cs"/>
          <w:rtl/>
        </w:rPr>
        <w:t>.</w:t>
      </w:r>
      <w:r w:rsidRPr="00885058">
        <w:rPr>
          <w:rFonts w:ascii="Traditional Arabic" w:hAnsi="Traditional Arabic"/>
          <w:rtl/>
        </w:rPr>
        <w:t xml:space="preserve"> </w:t>
      </w:r>
      <w:r w:rsidRPr="00885058">
        <w:rPr>
          <w:rFonts w:ascii="QCF_BSML" w:hAnsi="QCF_BSML" w:cs="QCF_BSML"/>
          <w:color w:val="auto"/>
          <w:sz w:val="32"/>
          <w:szCs w:val="32"/>
          <w:rtl/>
          <w:lang w:eastAsia="en-US"/>
        </w:rPr>
        <w:t>ﭽ</w:t>
      </w:r>
      <w:r w:rsidRPr="00885058">
        <w:rPr>
          <w:rFonts w:ascii="QCF_BSML" w:hAnsi="QCF_BSML" w:cs="QCF_BSML" w:hint="cs"/>
          <w:color w:val="auto"/>
          <w:sz w:val="32"/>
          <w:szCs w:val="32"/>
          <w:rtl/>
          <w:lang w:eastAsia="en-US"/>
        </w:rPr>
        <w:t xml:space="preserve"> </w:t>
      </w:r>
      <w:r w:rsidRPr="00885058">
        <w:rPr>
          <w:rFonts w:ascii="QCF_P303" w:hAnsi="QCF_P303" w:cs="QCF_P303"/>
          <w:color w:val="auto"/>
          <w:sz w:val="32"/>
          <w:szCs w:val="32"/>
          <w:rtl/>
          <w:lang w:eastAsia="en-US"/>
        </w:rPr>
        <w:t>ﭿ  ﮀ  ﮁ  ﮂ</w:t>
      </w:r>
      <w:r w:rsidRPr="00885058">
        <w:rPr>
          <w:rFonts w:ascii="QCF_BSML" w:hAnsi="QCF_BSML" w:cs="QCF_BSML"/>
          <w:sz w:val="32"/>
          <w:szCs w:val="32"/>
          <w:rtl/>
          <w:lang w:eastAsia="en-US"/>
        </w:rPr>
        <w:t>ﭼ</w:t>
      </w:r>
      <w:r w:rsidRPr="00885058">
        <w:rPr>
          <w:rFonts w:ascii="QCF_BSML" w:hAnsi="QCF_BSML" w:cs="QCF_BSML" w:hint="cs"/>
          <w:sz w:val="32"/>
          <w:szCs w:val="32"/>
          <w:rtl/>
          <w:lang w:eastAsia="en-US"/>
        </w:rPr>
        <w:t xml:space="preserve">   </w:t>
      </w:r>
      <w:r w:rsidRPr="00885058">
        <w:rPr>
          <w:rFonts w:ascii="Traditional Arabic" w:hAnsi="Traditional Arabic"/>
          <w:rtl/>
        </w:rPr>
        <w:t xml:space="preserve">بعد العذاب </w:t>
      </w:r>
      <w:r w:rsidRPr="00885058">
        <w:rPr>
          <w:rFonts w:ascii="QCF_BSML" w:hAnsi="QCF_BSML" w:cs="QCF_BSML"/>
          <w:color w:val="auto"/>
          <w:sz w:val="32"/>
          <w:szCs w:val="32"/>
          <w:rtl/>
          <w:lang w:eastAsia="en-US"/>
        </w:rPr>
        <w:t>ﭽ</w:t>
      </w:r>
      <w:r w:rsidRPr="00885058">
        <w:rPr>
          <w:rFonts w:ascii="QCF_P303" w:hAnsi="QCF_P303" w:cs="QCF_P303"/>
          <w:color w:val="auto"/>
          <w:sz w:val="32"/>
          <w:szCs w:val="32"/>
          <w:rtl/>
          <w:lang w:eastAsia="en-US"/>
        </w:rPr>
        <w:t xml:space="preserve">ﮃ  ﮄ  ﮅ  </w:t>
      </w:r>
      <w:r w:rsidRPr="00885058">
        <w:rPr>
          <w:rFonts w:ascii="QCF_BSML" w:hAnsi="QCF_BSML" w:cs="QCF_BSML"/>
          <w:sz w:val="32"/>
          <w:szCs w:val="32"/>
          <w:rtl/>
          <w:lang w:eastAsia="en-US"/>
        </w:rPr>
        <w:t>ﭼ</w:t>
      </w:r>
      <w:r w:rsidRPr="00885058">
        <w:rPr>
          <w:rFonts w:ascii="Traditional Arabic" w:hAnsi="Traditional Arabic" w:hint="cs"/>
          <w:rtl/>
        </w:rPr>
        <w:t xml:space="preserve"> </w:t>
      </w:r>
      <w:r w:rsidRPr="00885058">
        <w:rPr>
          <w:rFonts w:ascii="Traditional Arabic" w:hAnsi="Traditional Arabic"/>
          <w:rtl/>
        </w:rPr>
        <w:t>بالنار.</w:t>
      </w:r>
      <w:r w:rsidRPr="00885058">
        <w:rPr>
          <w:rFonts w:ascii="Traditional Arabic" w:hAnsi="Traditional Arabic" w:hint="cs"/>
          <w:rtl/>
        </w:rPr>
        <w:t xml:space="preserve"> </w:t>
      </w:r>
    </w:p>
    <w:p w:rsidR="00885058" w:rsidRPr="00885058" w:rsidRDefault="00885058" w:rsidP="0064686B">
      <w:pPr>
        <w:ind w:firstLine="0"/>
        <w:rPr>
          <w:rFonts w:ascii="Traditional Arabic" w:hAnsi="Traditional Arabic"/>
          <w:rtl/>
        </w:rPr>
      </w:pPr>
      <w:r w:rsidRPr="00885058">
        <w:rPr>
          <w:rFonts w:ascii="QCF_P302" w:hAnsi="QCF_P302" w:cs="QCF_P302" w:hint="cs"/>
          <w:color w:val="auto"/>
          <w:sz w:val="32"/>
          <w:szCs w:val="32"/>
          <w:rtl/>
          <w:lang w:eastAsia="en-US"/>
        </w:rPr>
        <w:t xml:space="preserve"> </w:t>
      </w:r>
      <w:r w:rsidRPr="00885058">
        <w:rPr>
          <w:rFonts w:ascii="Traditional Arabic" w:hAnsi="Traditional Arabic"/>
          <w:rtl/>
        </w:rPr>
        <w:t xml:space="preserve">قوله تعالى: </w:t>
      </w:r>
      <w:r w:rsidRPr="00885058">
        <w:rPr>
          <w:rFonts w:ascii="QCF_BSML" w:hAnsi="QCF_BSML" w:cs="QCF_BSML"/>
          <w:color w:val="auto"/>
          <w:sz w:val="32"/>
          <w:szCs w:val="32"/>
          <w:rtl/>
          <w:lang w:eastAsia="en-US"/>
        </w:rPr>
        <w:t>ﭽ</w:t>
      </w:r>
      <w:r w:rsidRPr="00885058">
        <w:rPr>
          <w:rFonts w:ascii="Traditional Arabic" w:hAnsi="Traditional Arabic" w:hint="cs"/>
          <w:rtl/>
        </w:rPr>
        <w:t xml:space="preserve"> </w:t>
      </w:r>
      <w:r w:rsidRPr="00885058">
        <w:rPr>
          <w:rFonts w:ascii="QCF_P303" w:hAnsi="QCF_P303" w:cs="QCF_P303"/>
          <w:color w:val="auto"/>
          <w:sz w:val="32"/>
          <w:szCs w:val="32"/>
          <w:rtl/>
          <w:lang w:eastAsia="en-US"/>
        </w:rPr>
        <w:t xml:space="preserve">ﮌ  ﮍ   ﮎﮏ  </w:t>
      </w:r>
      <w:r w:rsidRPr="00885058">
        <w:rPr>
          <w:rFonts w:ascii="QCF_BSML" w:hAnsi="QCF_BSML" w:cs="QCF_BSML"/>
          <w:sz w:val="32"/>
          <w:szCs w:val="32"/>
          <w:rtl/>
          <w:lang w:eastAsia="en-US"/>
        </w:rPr>
        <w:t>ﭼ</w:t>
      </w:r>
      <w:r w:rsidRPr="00885058">
        <w:rPr>
          <w:rFonts w:ascii="Traditional Arabic" w:hAnsi="Traditional Arabic"/>
          <w:rtl/>
        </w:rPr>
        <w:t xml:space="preserve"> قرأ ابن كثير، ونافع، وأبو عمرو، وابن عامر، وأبو بكر عن </w:t>
      </w:r>
      <w:r w:rsidRPr="00885058">
        <w:rPr>
          <w:rFonts w:ascii="Traditional Arabic" w:hAnsi="Traditional Arabic"/>
          <w:rtl/>
        </w:rPr>
        <w:lastRenderedPageBreak/>
        <w:t>عاصم: «جزاءُ الحسنى» برفع مضاف</w:t>
      </w:r>
      <w:r w:rsidRPr="00885058">
        <w:rPr>
          <w:rFonts w:ascii="Traditional Arabic" w:hAnsi="Traditional Arabic"/>
          <w:vertAlign w:val="superscript"/>
        </w:rPr>
        <w:t>(</w:t>
      </w:r>
      <w:r w:rsidRPr="00885058">
        <w:rPr>
          <w:rFonts w:ascii="Traditional Arabic" w:hAnsi="Traditional Arabic"/>
          <w:vertAlign w:val="superscript"/>
        </w:rPr>
        <w:footnoteReference w:id="1846"/>
      </w:r>
      <w:r w:rsidRPr="00885058">
        <w:rPr>
          <w:rFonts w:ascii="Traditional Arabic" w:hAnsi="Traditional Arabic"/>
          <w:vertAlign w:val="superscript"/>
        </w:rPr>
        <w:t>)</w:t>
      </w:r>
      <w:r w:rsidRPr="00885058">
        <w:rPr>
          <w:rFonts w:ascii="Traditional Arabic" w:hAnsi="Traditional Arabic"/>
          <w:vertAlign w:val="superscript"/>
          <w:rtl/>
        </w:rPr>
        <w:t>(</w:t>
      </w:r>
      <w:r w:rsidRPr="00885058">
        <w:rPr>
          <w:rFonts w:ascii="Traditional Arabic" w:hAnsi="Traditional Arabic"/>
          <w:vertAlign w:val="superscript"/>
          <w:rtl/>
        </w:rPr>
        <w:footnoteReference w:id="1847"/>
      </w:r>
      <w:r w:rsidRPr="00885058">
        <w:rPr>
          <w:rFonts w:ascii="Traditional Arabic" w:hAnsi="Traditional Arabic"/>
          <w:vertAlign w:val="superscript"/>
          <w:rtl/>
        </w:rPr>
        <w:t>)</w:t>
      </w:r>
      <w:r w:rsidRPr="00885058">
        <w:rPr>
          <w:rFonts w:ascii="Traditional Arabic" w:hAnsi="Traditional Arabic"/>
          <w:rtl/>
        </w:rPr>
        <w:t xml:space="preserve">. </w:t>
      </w:r>
    </w:p>
    <w:p w:rsidR="00885058" w:rsidRPr="00885058" w:rsidRDefault="00885058" w:rsidP="00885058">
      <w:pPr>
        <w:ind w:firstLine="0"/>
        <w:rPr>
          <w:rFonts w:ascii="Traditional Arabic" w:hAnsi="Traditional Arabic"/>
          <w:rtl/>
        </w:rPr>
      </w:pPr>
      <w:r w:rsidRPr="00885058">
        <w:rPr>
          <w:rFonts w:ascii="Traditional Arabic" w:hAnsi="Traditional Arabic"/>
          <w:rtl/>
        </w:rPr>
        <w:t xml:space="preserve">قال الفراء: «الحسنى» : الجنة، وأضيف الجزاءُ إِليها، وهي الجزاء، كقوله: </w:t>
      </w:r>
      <w:r w:rsidRPr="00885058">
        <w:rPr>
          <w:rFonts w:ascii="QCF_BSML" w:hAnsi="QCF_BSML" w:cs="QCF_BSML"/>
          <w:sz w:val="32"/>
          <w:szCs w:val="32"/>
          <w:rtl/>
          <w:lang w:eastAsia="en-US"/>
        </w:rPr>
        <w:t>ﭽ</w:t>
      </w:r>
      <w:r w:rsidRPr="00885058">
        <w:rPr>
          <w:rFonts w:ascii="QCF_P568" w:hAnsi="QCF_P568" w:cs="QCF_P568"/>
          <w:sz w:val="32"/>
          <w:szCs w:val="32"/>
          <w:rtl/>
          <w:lang w:eastAsia="en-US"/>
        </w:rPr>
        <w:t xml:space="preserve">ﮫ  ﮬ  ﮭ   </w:t>
      </w:r>
      <w:r w:rsidRPr="00885058">
        <w:rPr>
          <w:rFonts w:ascii="QCF_BSML" w:hAnsi="QCF_BSML" w:cs="QCF_BSML"/>
          <w:sz w:val="32"/>
          <w:szCs w:val="32"/>
          <w:rtl/>
          <w:lang w:eastAsia="en-US"/>
        </w:rPr>
        <w:t>ﭼ</w:t>
      </w:r>
      <w:r w:rsidRPr="00885058">
        <w:rPr>
          <w:rFonts w:ascii="QCF_BSML" w:hAnsi="QCF_BSML" w:cs="QCF_BSML" w:hint="cs"/>
          <w:sz w:val="32"/>
          <w:szCs w:val="32"/>
          <w:rtl/>
          <w:lang w:eastAsia="en-US"/>
        </w:rPr>
        <w:t xml:space="preserve"> </w:t>
      </w:r>
      <w:r w:rsidRPr="00885058">
        <w:rPr>
          <w:rFonts w:ascii="Traditional Arabic" w:hAnsi="Traditional Arabic" w:hint="cs"/>
          <w:sz w:val="32"/>
          <w:szCs w:val="32"/>
          <w:rtl/>
        </w:rPr>
        <w:t>[</w:t>
      </w:r>
      <w:r w:rsidRPr="00885058">
        <w:rPr>
          <w:rFonts w:ascii="Traditional Arabic" w:hAnsi="Traditional Arabic"/>
          <w:sz w:val="32"/>
          <w:szCs w:val="32"/>
          <w:rtl/>
        </w:rPr>
        <w:t>الحاقة:51</w:t>
      </w:r>
      <w:r w:rsidRPr="00885058">
        <w:rPr>
          <w:rFonts w:ascii="Traditional Arabic" w:hAnsi="Traditional Arabic" w:hint="cs"/>
          <w:sz w:val="32"/>
          <w:szCs w:val="32"/>
          <w:rtl/>
        </w:rPr>
        <w:t>],</w:t>
      </w:r>
      <w:r w:rsidRPr="00885058">
        <w:rPr>
          <w:rFonts w:ascii="Traditional Arabic" w:hAnsi="Traditional Arabic"/>
          <w:rtl/>
        </w:rPr>
        <w:t xml:space="preserve"> </w:t>
      </w:r>
      <w:r w:rsidRPr="00885058">
        <w:rPr>
          <w:rFonts w:ascii="QCF_BSML" w:hAnsi="QCF_BSML" w:cs="QCF_BSML"/>
          <w:sz w:val="32"/>
          <w:szCs w:val="32"/>
          <w:rtl/>
          <w:lang w:eastAsia="en-US"/>
        </w:rPr>
        <w:t xml:space="preserve">ﭽ </w:t>
      </w:r>
      <w:r w:rsidRPr="00885058">
        <w:rPr>
          <w:rFonts w:ascii="QCF_P598" w:hAnsi="QCF_P598" w:cs="QCF_P598"/>
          <w:sz w:val="32"/>
          <w:szCs w:val="32"/>
          <w:rtl/>
          <w:lang w:eastAsia="en-US"/>
        </w:rPr>
        <w:t xml:space="preserve">ﮧ   ﮨ  </w:t>
      </w:r>
      <w:r w:rsidRPr="00885058">
        <w:rPr>
          <w:rFonts w:ascii="QCF_BSML" w:hAnsi="QCF_BSML" w:cs="QCF_BSML"/>
          <w:sz w:val="32"/>
          <w:szCs w:val="32"/>
          <w:rtl/>
          <w:lang w:eastAsia="en-US"/>
        </w:rPr>
        <w:t>ﭼ</w:t>
      </w:r>
      <w:r w:rsidRPr="00885058">
        <w:rPr>
          <w:rFonts w:ascii="Arial" w:hAnsi="Arial" w:cs="Arial"/>
          <w:sz w:val="18"/>
          <w:szCs w:val="18"/>
          <w:rtl/>
          <w:lang w:eastAsia="en-US"/>
        </w:rPr>
        <w:t xml:space="preserve"> </w:t>
      </w:r>
      <w:r w:rsidRPr="00885058">
        <w:rPr>
          <w:rFonts w:ascii="Traditional Arabic" w:hAnsi="Traditional Arabic" w:hint="cs"/>
          <w:sz w:val="32"/>
          <w:szCs w:val="32"/>
          <w:rtl/>
        </w:rPr>
        <w:t>[البينة:5],</w:t>
      </w:r>
      <w:r w:rsidRPr="00885058">
        <w:rPr>
          <w:rFonts w:ascii="QCF_BSML" w:hAnsi="QCF_BSML" w:cs="QCF_BSML"/>
          <w:sz w:val="47"/>
          <w:szCs w:val="47"/>
          <w:rtl/>
          <w:lang w:eastAsia="en-US"/>
        </w:rPr>
        <w:t xml:space="preserve"> </w:t>
      </w:r>
      <w:r w:rsidRPr="00885058">
        <w:rPr>
          <w:rFonts w:ascii="QCF_BSML" w:hAnsi="QCF_BSML" w:cs="QCF_BSML"/>
          <w:sz w:val="32"/>
          <w:szCs w:val="32"/>
          <w:rtl/>
          <w:lang w:eastAsia="en-US"/>
        </w:rPr>
        <w:t xml:space="preserve">ﭽ </w:t>
      </w:r>
      <w:r w:rsidRPr="00885058">
        <w:rPr>
          <w:rFonts w:ascii="QCF_P270" w:hAnsi="QCF_P270" w:cs="QCF_P270"/>
          <w:sz w:val="32"/>
          <w:szCs w:val="32"/>
          <w:rtl/>
          <w:lang w:eastAsia="en-US"/>
        </w:rPr>
        <w:t xml:space="preserve">ﮚ  ﮛ  </w:t>
      </w:r>
      <w:r w:rsidRPr="00885058">
        <w:rPr>
          <w:rFonts w:ascii="QCF_BSML" w:hAnsi="QCF_BSML" w:cs="QCF_BSML"/>
          <w:sz w:val="32"/>
          <w:szCs w:val="32"/>
          <w:rtl/>
          <w:lang w:eastAsia="en-US"/>
        </w:rPr>
        <w:t>ﭼ</w:t>
      </w:r>
      <w:r w:rsidRPr="00885058">
        <w:rPr>
          <w:rFonts w:ascii="Arial" w:hAnsi="Arial" w:cs="Arial"/>
          <w:sz w:val="32"/>
          <w:szCs w:val="32"/>
          <w:rtl/>
          <w:lang w:eastAsia="en-US"/>
        </w:rPr>
        <w:t xml:space="preserve"> </w:t>
      </w:r>
      <w:r w:rsidRPr="00885058">
        <w:rPr>
          <w:rFonts w:ascii="Traditional Arabic" w:hAnsi="Traditional Arabic" w:hint="cs"/>
          <w:sz w:val="32"/>
          <w:szCs w:val="32"/>
          <w:rtl/>
        </w:rPr>
        <w:t>[</w:t>
      </w:r>
      <w:r w:rsidRPr="00885058">
        <w:rPr>
          <w:rFonts w:ascii="Traditional Arabic" w:hAnsi="Traditional Arabic"/>
          <w:sz w:val="32"/>
          <w:szCs w:val="32"/>
          <w:rtl/>
        </w:rPr>
        <w:t>النحل:30</w:t>
      </w:r>
      <w:r w:rsidRPr="00885058">
        <w:rPr>
          <w:rFonts w:ascii="Traditional Arabic" w:hAnsi="Traditional Arabic" w:hint="cs"/>
          <w:sz w:val="32"/>
          <w:szCs w:val="32"/>
          <w:rtl/>
        </w:rPr>
        <w:t>]</w:t>
      </w:r>
      <w:r w:rsidRPr="00885058">
        <w:rPr>
          <w:vertAlign w:val="superscript"/>
          <w:rtl/>
        </w:rPr>
        <w:t>(</w:t>
      </w:r>
      <w:r w:rsidRPr="00885058">
        <w:rPr>
          <w:vertAlign w:val="superscript"/>
          <w:rtl/>
        </w:rPr>
        <w:footnoteReference w:id="1848"/>
      </w:r>
      <w:r w:rsidRPr="00885058">
        <w:rPr>
          <w:vertAlign w:val="superscript"/>
          <w:rtl/>
        </w:rPr>
        <w:t>)</w:t>
      </w:r>
      <w:r w:rsidRPr="00885058">
        <w:rPr>
          <w:rFonts w:ascii="Traditional Arabic" w:hAnsi="Traditional Arabic" w:hint="cs"/>
          <w:rtl/>
        </w:rPr>
        <w:t>.</w:t>
      </w:r>
      <w:r w:rsidRPr="00885058">
        <w:rPr>
          <w:rFonts w:ascii="Traditional Arabic" w:hAnsi="Traditional Arabic"/>
          <w:rtl/>
        </w:rPr>
        <w:t xml:space="preserve"> قال أبو علي الفارسي:</w:t>
      </w:r>
      <w:r w:rsidRPr="00885058">
        <w:rPr>
          <w:rFonts w:ascii="Traditional Arabic" w:hAnsi="Traditional Arabic" w:hint="cs"/>
          <w:rtl/>
        </w:rPr>
        <w:t xml:space="preserve"> </w:t>
      </w:r>
      <w:r w:rsidRPr="00885058">
        <w:rPr>
          <w:rFonts w:ascii="Traditional Arabic" w:hAnsi="Traditional Arabic"/>
          <w:rtl/>
        </w:rPr>
        <w:t>المعنى: فله جزاء الخلال الحسنى، لأن الإِيمان والعمل الصالح خِلال</w:t>
      </w:r>
      <w:r w:rsidRPr="00885058">
        <w:rPr>
          <w:vertAlign w:val="superscript"/>
          <w:rtl/>
        </w:rPr>
        <w:t>(</w:t>
      </w:r>
      <w:r w:rsidRPr="00885058">
        <w:rPr>
          <w:vertAlign w:val="superscript"/>
          <w:rtl/>
        </w:rPr>
        <w:footnoteReference w:id="1849"/>
      </w:r>
      <w:r w:rsidRPr="00885058">
        <w:rPr>
          <w:vertAlign w:val="superscript"/>
          <w:rtl/>
        </w:rPr>
        <w:t>)</w:t>
      </w:r>
      <w:r w:rsidRPr="00885058">
        <w:rPr>
          <w:rFonts w:ascii="Traditional Arabic" w:hAnsi="Traditional Arabic"/>
          <w:rtl/>
        </w:rPr>
        <w:t>. وقرأ حمزة، والكسائي، وحفص عن عاصم، وخلف، ويعقوب: «جزاءً» بالنصب والتنوين</w:t>
      </w:r>
      <w:r w:rsidRPr="00885058">
        <w:rPr>
          <w:vertAlign w:val="superscript"/>
          <w:rtl/>
        </w:rPr>
        <w:t>(</w:t>
      </w:r>
      <w:r w:rsidRPr="00885058">
        <w:rPr>
          <w:vertAlign w:val="superscript"/>
          <w:rtl/>
        </w:rPr>
        <w:footnoteReference w:id="1850"/>
      </w:r>
      <w:r w:rsidRPr="00885058">
        <w:rPr>
          <w:vertAlign w:val="superscript"/>
          <w:rtl/>
        </w:rPr>
        <w:t>)</w:t>
      </w:r>
      <w:r w:rsidRPr="00885058">
        <w:rPr>
          <w:rFonts w:ascii="Traditional Arabic" w:hAnsi="Traditional Arabic" w:hint="cs"/>
          <w:rtl/>
        </w:rPr>
        <w:t>.</w:t>
      </w:r>
      <w:r w:rsidRPr="00885058">
        <w:rPr>
          <w:rFonts w:ascii="Traditional Arabic" w:hAnsi="Traditional Arabic"/>
          <w:rtl/>
        </w:rPr>
        <w:t xml:space="preserve"> قال الزجاج: وهو مصدر منصوب على الحال، المعنى: فله الحسنى مجزيّا </w:t>
      </w:r>
      <w:r w:rsidRPr="00885058">
        <w:rPr>
          <w:rFonts w:ascii="Traditional Arabic" w:hAnsi="Traditional Arabic" w:hint="cs"/>
          <w:rtl/>
        </w:rPr>
        <w:t>[</w:t>
      </w:r>
      <w:r w:rsidRPr="00885058">
        <w:rPr>
          <w:rFonts w:ascii="Traditional Arabic" w:hAnsi="Traditional Arabic"/>
          <w:rtl/>
        </w:rPr>
        <w:t>بها</w:t>
      </w:r>
      <w:r w:rsidRPr="00885058">
        <w:rPr>
          <w:rFonts w:ascii="Traditional Arabic" w:hAnsi="Traditional Arabic" w:hint="cs"/>
          <w:rtl/>
        </w:rPr>
        <w:t>]</w:t>
      </w:r>
      <w:r w:rsidRPr="00885058">
        <w:rPr>
          <w:vertAlign w:val="superscript"/>
          <w:rtl/>
        </w:rPr>
        <w:t>(</w:t>
      </w:r>
      <w:r w:rsidRPr="00885058">
        <w:rPr>
          <w:vertAlign w:val="superscript"/>
          <w:rtl/>
        </w:rPr>
        <w:footnoteReference w:id="1851"/>
      </w:r>
      <w:r w:rsidRPr="00885058">
        <w:rPr>
          <w:vertAlign w:val="superscript"/>
          <w:rtl/>
        </w:rPr>
        <w:t>)</w:t>
      </w:r>
      <w:r w:rsidRPr="00885058">
        <w:rPr>
          <w:rFonts w:ascii="Traditional Arabic" w:hAnsi="Traditional Arabic"/>
          <w:rtl/>
        </w:rPr>
        <w:t>جزاء</w:t>
      </w:r>
      <w:r w:rsidRPr="00885058">
        <w:rPr>
          <w:vertAlign w:val="superscript"/>
          <w:rtl/>
        </w:rPr>
        <w:t>(</w:t>
      </w:r>
      <w:r w:rsidRPr="00885058">
        <w:rPr>
          <w:vertAlign w:val="superscript"/>
          <w:rtl/>
        </w:rPr>
        <w:footnoteReference w:id="1852"/>
      </w:r>
      <w:r w:rsidRPr="00885058">
        <w:rPr>
          <w:vertAlign w:val="superscript"/>
          <w:rtl/>
        </w:rPr>
        <w:t>)</w:t>
      </w:r>
      <w:r w:rsidRPr="00885058">
        <w:rPr>
          <w:rFonts w:ascii="Traditional Arabic" w:hAnsi="Traditional Arabic"/>
          <w:rtl/>
        </w:rPr>
        <w:t xml:space="preserve">. قال ابن الأنباري: وقد يكون الجزاء غير الحسنى إِذا </w:t>
      </w:r>
      <w:r w:rsidRPr="00885058">
        <w:rPr>
          <w:rFonts w:ascii="Traditional Arabic" w:hAnsi="Traditional Arabic" w:hint="cs"/>
          <w:rtl/>
        </w:rPr>
        <w:t>[</w:t>
      </w:r>
      <w:r w:rsidRPr="00885058">
        <w:rPr>
          <w:rFonts w:ascii="Traditional Arabic" w:hAnsi="Traditional Arabic"/>
          <w:rtl/>
        </w:rPr>
        <w:t>ت</w:t>
      </w:r>
      <w:r w:rsidRPr="00885058">
        <w:rPr>
          <w:rFonts w:ascii="Traditional Arabic" w:hAnsi="Traditional Arabic" w:hint="cs"/>
          <w:rtl/>
        </w:rPr>
        <w:t>ُؤِوِّل]</w:t>
      </w:r>
      <w:r w:rsidRPr="00885058">
        <w:rPr>
          <w:vertAlign w:val="superscript"/>
          <w:rtl/>
        </w:rPr>
        <w:t>(</w:t>
      </w:r>
      <w:r w:rsidRPr="00885058">
        <w:rPr>
          <w:vertAlign w:val="superscript"/>
          <w:rtl/>
        </w:rPr>
        <w:footnoteReference w:id="1853"/>
      </w:r>
      <w:r w:rsidRPr="00885058">
        <w:rPr>
          <w:vertAlign w:val="superscript"/>
          <w:rtl/>
        </w:rPr>
        <w:t>)</w:t>
      </w:r>
      <w:r w:rsidRPr="00885058">
        <w:rPr>
          <w:rFonts w:ascii="Traditional Arabic" w:hAnsi="Traditional Arabic"/>
          <w:rtl/>
        </w:rPr>
        <w:t xml:space="preserve">الجزاء بأنه الثواب والحسنى: الحسنة المكتسبة </w:t>
      </w:r>
      <w:r w:rsidRPr="00885058">
        <w:rPr>
          <w:rFonts w:ascii="Traditional Arabic" w:hAnsi="Traditional Arabic"/>
          <w:sz w:val="32"/>
          <w:szCs w:val="32"/>
          <w:rtl/>
        </w:rPr>
        <w:t>[</w:t>
      </w:r>
      <w:r w:rsidRPr="00885058">
        <w:rPr>
          <w:rFonts w:ascii="Traditional Arabic" w:hAnsi="Traditional Arabic" w:hint="cs"/>
          <w:sz w:val="32"/>
          <w:szCs w:val="32"/>
          <w:rtl/>
        </w:rPr>
        <w:t>147</w:t>
      </w:r>
      <w:r w:rsidRPr="00885058">
        <w:rPr>
          <w:rFonts w:ascii="Traditional Arabic" w:hAnsi="Traditional Arabic"/>
          <w:sz w:val="32"/>
          <w:szCs w:val="32"/>
          <w:rtl/>
        </w:rPr>
        <w:t>]</w:t>
      </w:r>
      <w:r w:rsidRPr="00885058">
        <w:rPr>
          <w:rFonts w:ascii="Traditional Arabic" w:hAnsi="Traditional Arabic"/>
          <w:rtl/>
        </w:rPr>
        <w:t xml:space="preserve"> في الدنيا، فيكون المعنى: فله ثواب ما قدَّم من الحسنات</w:t>
      </w:r>
      <w:r w:rsidRPr="00885058">
        <w:rPr>
          <w:vertAlign w:val="superscript"/>
          <w:rtl/>
        </w:rPr>
        <w:t>(</w:t>
      </w:r>
      <w:r w:rsidRPr="00885058">
        <w:rPr>
          <w:vertAlign w:val="superscript"/>
          <w:rtl/>
        </w:rPr>
        <w:footnoteReference w:id="1854"/>
      </w:r>
      <w:r w:rsidRPr="00885058">
        <w:rPr>
          <w:vertAlign w:val="superscript"/>
          <w:rtl/>
        </w:rPr>
        <w:t>)</w:t>
      </w:r>
      <w:r w:rsidRPr="00885058">
        <w:rPr>
          <w:rFonts w:ascii="Traditional Arabic" w:hAnsi="Traditional Arabic"/>
          <w:rtl/>
        </w:rPr>
        <w:t>.</w:t>
      </w:r>
      <w:r w:rsidRPr="00885058">
        <w:rPr>
          <w:rFonts w:ascii="Traditional Arabic" w:hAnsi="Traditional Arabic" w:hint="cs"/>
          <w:rtl/>
        </w:rPr>
        <w:t xml:space="preserve"> </w:t>
      </w:r>
      <w:r w:rsidRPr="00885058">
        <w:rPr>
          <w:rFonts w:ascii="Traditional Arabic" w:hAnsi="Traditional Arabic"/>
          <w:rtl/>
        </w:rPr>
        <w:t xml:space="preserve">قوله تعالى: </w:t>
      </w:r>
      <w:r w:rsidRPr="00885058">
        <w:rPr>
          <w:rFonts w:ascii="QCF_BSML" w:hAnsi="QCF_BSML" w:cs="QCF_BSML"/>
          <w:color w:val="auto"/>
          <w:sz w:val="32"/>
          <w:szCs w:val="32"/>
          <w:rtl/>
          <w:lang w:eastAsia="en-US"/>
        </w:rPr>
        <w:t>ﭽ</w:t>
      </w:r>
      <w:r w:rsidRPr="00885058">
        <w:rPr>
          <w:rFonts w:ascii="QCF_P303" w:hAnsi="QCF_P303" w:cs="QCF_P303"/>
          <w:color w:val="auto"/>
          <w:sz w:val="32"/>
          <w:szCs w:val="32"/>
          <w:rtl/>
          <w:lang w:eastAsia="en-US"/>
        </w:rPr>
        <w:t xml:space="preserve"> ﮐ  ﮑ   ﮒ  ﮓ  ﮔ</w:t>
      </w:r>
      <w:r w:rsidRPr="00885058">
        <w:rPr>
          <w:rFonts w:ascii="QCF_BSML" w:hAnsi="QCF_BSML" w:cs="QCF_BSML"/>
          <w:sz w:val="32"/>
          <w:szCs w:val="32"/>
          <w:rtl/>
          <w:lang w:eastAsia="en-US"/>
        </w:rPr>
        <w:t>ﭼ</w:t>
      </w:r>
      <w:r w:rsidRPr="00885058">
        <w:rPr>
          <w:rFonts w:ascii="Traditional Arabic" w:hAnsi="Traditional Arabic"/>
          <w:rtl/>
        </w:rPr>
        <w:t xml:space="preserve"> أي: نقول له قولا جميلا.</w:t>
      </w:r>
      <w:r w:rsidRPr="00885058">
        <w:rPr>
          <w:rFonts w:ascii="QCF_P303" w:hAnsi="QCF_P303" w:cs="QCF_P303"/>
          <w:color w:val="auto"/>
          <w:sz w:val="32"/>
          <w:szCs w:val="32"/>
          <w:rtl/>
          <w:lang w:eastAsia="en-US"/>
        </w:rPr>
        <w:t xml:space="preserve"> </w:t>
      </w:r>
    </w:p>
    <w:p w:rsidR="00885058" w:rsidRPr="00885058" w:rsidRDefault="00885058" w:rsidP="00885058">
      <w:pPr>
        <w:ind w:firstLine="0"/>
        <w:rPr>
          <w:rFonts w:ascii="QCF_P302" w:hAnsi="QCF_P302" w:cs="QCF_P302"/>
          <w:color w:val="auto"/>
          <w:sz w:val="32"/>
          <w:szCs w:val="32"/>
          <w:rtl/>
          <w:lang w:eastAsia="en-US"/>
        </w:rPr>
      </w:pPr>
    </w:p>
    <w:p w:rsidR="00885058" w:rsidRDefault="00885058" w:rsidP="006D054D">
      <w:pPr>
        <w:ind w:firstLine="0"/>
        <w:rPr>
          <w:rFonts w:ascii="Traditional Arabic" w:hAnsi="Traditional Arabic"/>
          <w:rtl/>
        </w:rPr>
      </w:pPr>
      <w:r w:rsidRPr="00885058">
        <w:rPr>
          <w:rFonts w:ascii="QCF_BSML" w:hAnsi="QCF_BSML" w:cs="QCF_BSML"/>
          <w:sz w:val="32"/>
          <w:szCs w:val="32"/>
          <w:rtl/>
          <w:lang w:eastAsia="en-US"/>
        </w:rPr>
        <w:t xml:space="preserve">ﭽ </w:t>
      </w:r>
      <w:r w:rsidRPr="00885058">
        <w:rPr>
          <w:rFonts w:ascii="QCF_P303" w:hAnsi="QCF_P303" w:cs="QCF_P303"/>
          <w:sz w:val="32"/>
          <w:szCs w:val="32"/>
          <w:rtl/>
          <w:lang w:eastAsia="en-US"/>
        </w:rPr>
        <w:t xml:space="preserve">ﮖ  ﮗ  ﮘ  ﮙ  ﮚ   ﮛ    ﮜ  ﮝ  ﮞ  ﮟ  ﮠ  ﮡ  ﮢ  ﮣ  ﮤ  ﮥ  ﮦ   ﮧ  ﮨ  ﮩ  ﮪ      ﮫ  ﮬ  ﮭ  ﮮ  ﮯ  ﮰ  </w:t>
      </w:r>
      <w:r w:rsidRPr="00885058">
        <w:rPr>
          <w:rFonts w:ascii="QCF_BSML" w:hAnsi="QCF_BSML" w:cs="QCF_BSML"/>
          <w:sz w:val="32"/>
          <w:szCs w:val="32"/>
          <w:rtl/>
          <w:lang w:eastAsia="en-US"/>
        </w:rPr>
        <w:t>ﭼ</w:t>
      </w:r>
      <w:r w:rsidRPr="00885058">
        <w:rPr>
          <w:rFonts w:ascii="Traditional Arabic" w:hAnsi="Traditional Arabic"/>
          <w:rtl/>
        </w:rPr>
        <w:t xml:space="preserve"> </w:t>
      </w:r>
      <w:r w:rsidRPr="00885058">
        <w:rPr>
          <w:rFonts w:ascii="Traditional Arabic" w:hAnsi="Traditional Arabic" w:hint="cs"/>
          <w:rtl/>
        </w:rPr>
        <w:t xml:space="preserve"> </w:t>
      </w:r>
      <w:r w:rsidRPr="00885058">
        <w:rPr>
          <w:rFonts w:ascii="Traditional Arabic" w:hAnsi="Traditional Arabic"/>
          <w:rtl/>
        </w:rPr>
        <w:t xml:space="preserve">قوله تعالى: </w:t>
      </w:r>
      <w:r w:rsidRPr="00885058">
        <w:rPr>
          <w:rFonts w:ascii="QCF_BSML" w:hAnsi="QCF_BSML" w:cs="QCF_BSML"/>
          <w:color w:val="auto"/>
          <w:sz w:val="32"/>
          <w:szCs w:val="32"/>
          <w:rtl/>
          <w:lang w:eastAsia="en-US"/>
        </w:rPr>
        <w:t>ﭽ</w:t>
      </w:r>
      <w:r w:rsidRPr="00885058">
        <w:rPr>
          <w:rFonts w:ascii="QCF_BSML" w:hAnsi="QCF_BSML" w:cs="QCF_BSML" w:hint="cs"/>
          <w:color w:val="auto"/>
          <w:sz w:val="32"/>
          <w:szCs w:val="32"/>
          <w:rtl/>
          <w:lang w:eastAsia="en-US"/>
        </w:rPr>
        <w:t xml:space="preserve"> </w:t>
      </w:r>
      <w:r w:rsidRPr="00885058">
        <w:rPr>
          <w:rFonts w:ascii="QCF_P303" w:hAnsi="QCF_P303" w:cs="QCF_P303"/>
          <w:sz w:val="32"/>
          <w:szCs w:val="32"/>
          <w:rtl/>
          <w:lang w:eastAsia="en-US"/>
        </w:rPr>
        <w:t xml:space="preserve">ﮖ  ﮗ  ﮘ  </w:t>
      </w:r>
      <w:r w:rsidRPr="00885058">
        <w:rPr>
          <w:rFonts w:ascii="QCF_BSML" w:hAnsi="QCF_BSML" w:cs="QCF_BSML"/>
          <w:sz w:val="32"/>
          <w:szCs w:val="32"/>
          <w:rtl/>
          <w:lang w:eastAsia="en-US"/>
        </w:rPr>
        <w:t>ﭼ</w:t>
      </w:r>
      <w:r w:rsidRPr="00885058">
        <w:rPr>
          <w:rFonts w:ascii="Traditional Arabic" w:hAnsi="Traditional Arabic"/>
          <w:rtl/>
        </w:rPr>
        <w:t xml:space="preserve"> أي: طريقا آخر يوصله إِلى المَشْرِق. قال قتادة: مضى يفتح المدائن ويجمع الكنوز ويقتل الرجال إِلا من آمن حتى أتى مطلع الشمس فأصاب قوماً في أسرابٍ</w:t>
      </w:r>
      <w:r w:rsidRPr="00885058">
        <w:rPr>
          <w:vertAlign w:val="superscript"/>
          <w:rtl/>
        </w:rPr>
        <w:t>(</w:t>
      </w:r>
      <w:r w:rsidRPr="00885058">
        <w:rPr>
          <w:vertAlign w:val="superscript"/>
          <w:rtl/>
        </w:rPr>
        <w:footnoteReference w:id="1855"/>
      </w:r>
      <w:r w:rsidRPr="00885058">
        <w:rPr>
          <w:vertAlign w:val="superscript"/>
          <w:rtl/>
        </w:rPr>
        <w:t>)</w:t>
      </w:r>
      <w:r w:rsidRPr="00885058">
        <w:rPr>
          <w:rFonts w:ascii="Traditional Arabic" w:hAnsi="Traditional Arabic"/>
          <w:rtl/>
        </w:rPr>
        <w:t xml:space="preserve">عراةً، ليس لهم طعام إِلا ما أحرقت الشمس إِذا </w:t>
      </w:r>
      <w:r w:rsidRPr="00885058">
        <w:rPr>
          <w:rFonts w:ascii="Traditional Arabic" w:hAnsi="Traditional Arabic"/>
          <w:rtl/>
        </w:rPr>
        <w:lastRenderedPageBreak/>
        <w:t>طلعت، فإذا توسطت السماء خرجوا من أسرابهم في طلب معايشهم مما أحرقته الشمس. وبلغَنا أنهم كانوا في مكان لا يثبت عليه بنيان، فيقال: إنهم الزّنج</w:t>
      </w:r>
      <w:r w:rsidRPr="00885058">
        <w:rPr>
          <w:vertAlign w:val="superscript"/>
          <w:rtl/>
        </w:rPr>
        <w:t>(</w:t>
      </w:r>
      <w:r w:rsidRPr="00885058">
        <w:rPr>
          <w:vertAlign w:val="superscript"/>
          <w:rtl/>
        </w:rPr>
        <w:footnoteReference w:id="1856"/>
      </w:r>
      <w:r w:rsidRPr="00885058">
        <w:rPr>
          <w:vertAlign w:val="superscript"/>
          <w:rtl/>
        </w:rPr>
        <w:t>)</w:t>
      </w:r>
      <w:r w:rsidRPr="00885058">
        <w:rPr>
          <w:rFonts w:ascii="Traditional Arabic" w:hAnsi="Traditional Arabic"/>
          <w:rtl/>
        </w:rPr>
        <w:t>. وقال الحسن:</w:t>
      </w:r>
      <w:r w:rsidRPr="00885058">
        <w:rPr>
          <w:rFonts w:ascii="Traditional Arabic" w:hAnsi="Traditional Arabic" w:hint="cs"/>
          <w:rtl/>
        </w:rPr>
        <w:t xml:space="preserve"> </w:t>
      </w:r>
      <w:r w:rsidRPr="00885058">
        <w:rPr>
          <w:rFonts w:ascii="Traditional Arabic" w:hAnsi="Traditional Arabic"/>
          <w:rtl/>
        </w:rPr>
        <w:t>إِذا غربت الشمس خرجوا يتراعَون كما يتراعى الوحش</w:t>
      </w:r>
      <w:r w:rsidRPr="00885058">
        <w:rPr>
          <w:vertAlign w:val="superscript"/>
          <w:rtl/>
        </w:rPr>
        <w:t>(</w:t>
      </w:r>
      <w:r w:rsidRPr="00885058">
        <w:rPr>
          <w:vertAlign w:val="superscript"/>
          <w:rtl/>
        </w:rPr>
        <w:footnoteReference w:id="1857"/>
      </w:r>
      <w:r w:rsidRPr="00885058">
        <w:rPr>
          <w:vertAlign w:val="superscript"/>
          <w:rtl/>
        </w:rPr>
        <w:t>)</w:t>
      </w:r>
      <w:r w:rsidRPr="00885058">
        <w:rPr>
          <w:rFonts w:ascii="Traditional Arabic" w:hAnsi="Traditional Arabic"/>
          <w:rtl/>
        </w:rPr>
        <w:t>. وقرأ الحسن، ومجاهد، وأبو مجلز، وأبو رجاء، وابن محيصن: «مَطْلَع الشمس» بفتح اللام</w:t>
      </w:r>
      <w:r w:rsidRPr="00885058">
        <w:rPr>
          <w:vertAlign w:val="superscript"/>
          <w:rtl/>
        </w:rPr>
        <w:t>(</w:t>
      </w:r>
      <w:r w:rsidRPr="00885058">
        <w:rPr>
          <w:vertAlign w:val="superscript"/>
          <w:rtl/>
        </w:rPr>
        <w:footnoteReference w:id="1858"/>
      </w:r>
      <w:r w:rsidRPr="00885058">
        <w:rPr>
          <w:vertAlign w:val="superscript"/>
          <w:rtl/>
        </w:rPr>
        <w:t>)</w:t>
      </w:r>
      <w:r w:rsidRPr="00885058">
        <w:rPr>
          <w:rFonts w:ascii="Traditional Arabic" w:hAnsi="Traditional Arabic"/>
          <w:rtl/>
        </w:rPr>
        <w:t>. قال ابن الأنباري: ولا خلاف بين أهل العربية في أن المَطْلِع، والمَطْلَع كلاهما يعنى بهما المكانُ الذي تطلع منه الشمس. ويقولون: ما كان على فَعَل يَفْعُل، فالمصدر واسم الموضع يأتيان على المَفْعَل، كقولهم: المَدْخَل، للدخول، والموضِع الذي يُدخَل منه، إِلا أحد عشر حرفاً جاءت مكسورة إِذا أريد بها المواضع، وهي: المَطْلِع، والمَسْكِن، والمَنْسِك، والمَشْرِق، والمَغرِب، والمَسْجِد، والمَنْبِت، والمَجْزِر، والمَفْرِق، والمَسْقِط، والمَهْبِل، الموضع الذي تضع فيه الناقة وخمسة من هؤلاء الأحد عشر حرفاً سُمع فيهن الكسر والفتح</w:t>
      </w:r>
      <w:r w:rsidRPr="00885058">
        <w:rPr>
          <w:vertAlign w:val="superscript"/>
          <w:rtl/>
        </w:rPr>
        <w:t>(</w:t>
      </w:r>
      <w:r w:rsidRPr="00885058">
        <w:rPr>
          <w:vertAlign w:val="superscript"/>
          <w:rtl/>
        </w:rPr>
        <w:footnoteReference w:id="1859"/>
      </w:r>
      <w:r w:rsidRPr="00885058">
        <w:rPr>
          <w:vertAlign w:val="superscript"/>
          <w:rtl/>
        </w:rPr>
        <w:t>)</w:t>
      </w:r>
      <w:r w:rsidRPr="00885058">
        <w:rPr>
          <w:rFonts w:ascii="Traditional Arabic" w:hAnsi="Traditional Arabic"/>
          <w:rtl/>
        </w:rPr>
        <w:t>: المَطْلِع، والمَطْلَع. والمَنْسِك، والمَنْسَك. والمَجْزِر، والمَجْزَر. والمَسْكِن، والمَسْكَن. والمَنْبِت، والمَنْبَت فقرأ الحسن على الأصل من احتمال المَفْعل الوجهين الموصوفين، بفتح العين وكسرها وقراءة العامة على اختيار العرب وما كثر على ألسنتها، وخصت المَوْضِع بالكسر، وآثرت المصدر بالفتح</w:t>
      </w:r>
      <w:r w:rsidRPr="00885058">
        <w:rPr>
          <w:vertAlign w:val="superscript"/>
          <w:rtl/>
        </w:rPr>
        <w:t>(</w:t>
      </w:r>
      <w:r w:rsidRPr="00885058">
        <w:rPr>
          <w:vertAlign w:val="superscript"/>
          <w:rtl/>
        </w:rPr>
        <w:footnoteReference w:id="1860"/>
      </w:r>
      <w:r w:rsidRPr="00885058">
        <w:rPr>
          <w:vertAlign w:val="superscript"/>
          <w:rtl/>
        </w:rPr>
        <w:t>)</w:t>
      </w:r>
      <w:r w:rsidRPr="00885058">
        <w:rPr>
          <w:rFonts w:ascii="Traditional Arabic" w:hAnsi="Traditional Arabic"/>
          <w:rtl/>
        </w:rPr>
        <w:t xml:space="preserve">. قال أبو عمرو: المطلِع، بالكسر: الموضع الذي </w:t>
      </w:r>
      <w:r w:rsidRPr="00885058">
        <w:rPr>
          <w:rFonts w:ascii="Traditional Arabic" w:hAnsi="Traditional Arabic" w:hint="cs"/>
          <w:rtl/>
        </w:rPr>
        <w:t>ي</w:t>
      </w:r>
      <w:r w:rsidRPr="00885058">
        <w:rPr>
          <w:rFonts w:ascii="Traditional Arabic" w:hAnsi="Traditional Arabic"/>
          <w:rtl/>
        </w:rPr>
        <w:t>طلع</w:t>
      </w:r>
      <w:r w:rsidRPr="00885058">
        <w:rPr>
          <w:vertAlign w:val="superscript"/>
          <w:rtl/>
        </w:rPr>
        <w:t>(</w:t>
      </w:r>
      <w:r w:rsidRPr="00885058">
        <w:rPr>
          <w:vertAlign w:val="superscript"/>
          <w:rtl/>
        </w:rPr>
        <w:footnoteReference w:id="1861"/>
      </w:r>
      <w:r w:rsidRPr="00885058">
        <w:rPr>
          <w:vertAlign w:val="superscript"/>
          <w:rtl/>
        </w:rPr>
        <w:t>)</w:t>
      </w:r>
      <w:r w:rsidRPr="00885058">
        <w:rPr>
          <w:rFonts w:ascii="Traditional Arabic" w:hAnsi="Traditional Arabic"/>
          <w:rtl/>
        </w:rPr>
        <w:t>فيه</w:t>
      </w:r>
      <w:r w:rsidRPr="00885058">
        <w:rPr>
          <w:rFonts w:ascii="Traditional Arabic" w:hAnsi="Traditional Arabic" w:hint="cs"/>
          <w:rtl/>
        </w:rPr>
        <w:t>,</w:t>
      </w:r>
      <w:r w:rsidRPr="00885058">
        <w:rPr>
          <w:rFonts w:ascii="Traditional Arabic" w:hAnsi="Traditional Arabic"/>
          <w:rtl/>
        </w:rPr>
        <w:t xml:space="preserve"> والمطلَع بالفتح: الطُّلوع</w:t>
      </w:r>
      <w:r w:rsidRPr="00885058">
        <w:rPr>
          <w:vertAlign w:val="superscript"/>
          <w:rtl/>
        </w:rPr>
        <w:t>(</w:t>
      </w:r>
      <w:r w:rsidRPr="00885058">
        <w:rPr>
          <w:vertAlign w:val="superscript"/>
          <w:rtl/>
        </w:rPr>
        <w:footnoteReference w:id="1862"/>
      </w:r>
      <w:r w:rsidRPr="00885058">
        <w:rPr>
          <w:vertAlign w:val="superscript"/>
          <w:rtl/>
        </w:rPr>
        <w:t>)</w:t>
      </w:r>
      <w:r w:rsidRPr="00885058">
        <w:rPr>
          <w:rFonts w:ascii="Traditional Arabic" w:hAnsi="Traditional Arabic" w:hint="cs"/>
          <w:rtl/>
        </w:rPr>
        <w:t>.</w:t>
      </w:r>
      <w:r w:rsidRPr="00885058">
        <w:rPr>
          <w:rFonts w:ascii="Traditional Arabic" w:hAnsi="Traditional Arabic"/>
          <w:rtl/>
        </w:rPr>
        <w:t xml:space="preserve"> قال ابن الأنباري: هذا هو الأصل، ثم إِن العرب تتسع فتجعل الاسم نائباً عن المصدر، فيقرؤون: </w:t>
      </w:r>
      <w:r w:rsidRPr="00885058">
        <w:rPr>
          <w:rFonts w:ascii="QCF_BSML" w:hAnsi="QCF_BSML" w:cs="QCF_BSML"/>
          <w:sz w:val="32"/>
          <w:szCs w:val="32"/>
          <w:rtl/>
          <w:lang w:eastAsia="en-US"/>
        </w:rPr>
        <w:t xml:space="preserve">ﭽ </w:t>
      </w:r>
      <w:r w:rsidRPr="00885058">
        <w:rPr>
          <w:rFonts w:ascii="QCF_P598" w:hAnsi="QCF_P598" w:cs="QCF_P598"/>
          <w:sz w:val="32"/>
          <w:szCs w:val="32"/>
          <w:rtl/>
          <w:lang w:eastAsia="en-US"/>
        </w:rPr>
        <w:t xml:space="preserve">ﭰ  ﭱ  ﭲ   </w:t>
      </w:r>
      <w:r w:rsidRPr="00885058">
        <w:rPr>
          <w:rFonts w:ascii="QCF_BSML" w:hAnsi="QCF_BSML" w:cs="QCF_BSML"/>
          <w:sz w:val="32"/>
          <w:szCs w:val="32"/>
          <w:rtl/>
          <w:lang w:eastAsia="en-US"/>
        </w:rPr>
        <w:t>ﭼ</w:t>
      </w:r>
      <w:r w:rsidRPr="00885058">
        <w:rPr>
          <w:rFonts w:ascii="Arial" w:hAnsi="Arial" w:cs="Arial"/>
          <w:sz w:val="18"/>
          <w:szCs w:val="18"/>
          <w:rtl/>
          <w:lang w:eastAsia="en-US"/>
        </w:rPr>
        <w:t xml:space="preserve"> </w:t>
      </w:r>
      <w:r w:rsidRPr="00885058">
        <w:rPr>
          <w:rFonts w:ascii="Traditional Arabic" w:hAnsi="Traditional Arabic" w:hint="cs"/>
          <w:sz w:val="32"/>
          <w:szCs w:val="32"/>
          <w:rtl/>
        </w:rPr>
        <w:t>[</w:t>
      </w:r>
      <w:r w:rsidRPr="00885058">
        <w:rPr>
          <w:rFonts w:ascii="Traditional Arabic" w:hAnsi="Traditional Arabic"/>
          <w:sz w:val="32"/>
          <w:szCs w:val="32"/>
          <w:rtl/>
        </w:rPr>
        <w:t>سورة القدر:5</w:t>
      </w:r>
      <w:r w:rsidRPr="00885058">
        <w:rPr>
          <w:rFonts w:ascii="Traditional Arabic" w:hAnsi="Traditional Arabic" w:hint="cs"/>
          <w:sz w:val="32"/>
          <w:szCs w:val="32"/>
          <w:rtl/>
        </w:rPr>
        <w:t>]</w:t>
      </w:r>
      <w:r w:rsidRPr="00885058">
        <w:rPr>
          <w:rFonts w:ascii="Traditional Arabic" w:hAnsi="Traditional Arabic"/>
          <w:rtl/>
        </w:rPr>
        <w:t xml:space="preserve"> بالكسر وهم يعنون الطُّلوع ويقرأ من قرأ مَطْلِعَ الشَّمْسِ بالفتح على أنه موضع بمنزلة المدخل الذي هو اسم للموضع الذي يدخل </w:t>
      </w:r>
      <w:r w:rsidRPr="00885058">
        <w:rPr>
          <w:rFonts w:ascii="Traditional Arabic" w:hAnsi="Traditional Arabic"/>
          <w:rtl/>
        </w:rPr>
        <w:lastRenderedPageBreak/>
        <w:t>منه</w:t>
      </w:r>
      <w:r w:rsidRPr="00885058">
        <w:rPr>
          <w:vertAlign w:val="superscript"/>
          <w:rtl/>
        </w:rPr>
        <w:t>(</w:t>
      </w:r>
      <w:r w:rsidRPr="00885058">
        <w:rPr>
          <w:vertAlign w:val="superscript"/>
          <w:rtl/>
        </w:rPr>
        <w:footnoteReference w:id="1863"/>
      </w:r>
      <w:r w:rsidRPr="00885058">
        <w:rPr>
          <w:vertAlign w:val="superscript"/>
          <w:rtl/>
        </w:rPr>
        <w:t>)</w:t>
      </w:r>
      <w:r w:rsidRPr="00885058">
        <w:rPr>
          <w:rFonts w:ascii="Traditional Arabic" w:hAnsi="Traditional Arabic"/>
          <w:rtl/>
        </w:rPr>
        <w:t>.</w:t>
      </w:r>
      <w:r w:rsidRPr="00885058">
        <w:rPr>
          <w:rFonts w:ascii="Traditional Arabic" w:hAnsi="Traditional Arabic" w:hint="cs"/>
          <w:rtl/>
        </w:rPr>
        <w:t xml:space="preserve"> </w:t>
      </w:r>
      <w:r w:rsidRPr="00885058">
        <w:rPr>
          <w:rFonts w:ascii="Traditional Arabic" w:hAnsi="Traditional Arabic"/>
          <w:rtl/>
        </w:rPr>
        <w:t xml:space="preserve">قوله تعالى: </w:t>
      </w:r>
      <w:r w:rsidRPr="00885058">
        <w:rPr>
          <w:rFonts w:ascii="QCF_BSML" w:hAnsi="QCF_BSML" w:cs="QCF_BSML"/>
          <w:color w:val="auto"/>
          <w:sz w:val="32"/>
          <w:szCs w:val="32"/>
          <w:rtl/>
          <w:lang w:eastAsia="en-US"/>
        </w:rPr>
        <w:t>ﭽ</w:t>
      </w:r>
      <w:r w:rsidRPr="00885058">
        <w:rPr>
          <w:rFonts w:ascii="QCF_P303" w:hAnsi="QCF_P303" w:cs="QCF_P303"/>
          <w:sz w:val="32"/>
          <w:szCs w:val="32"/>
          <w:rtl/>
          <w:lang w:eastAsia="en-US"/>
        </w:rPr>
        <w:t xml:space="preserve"> ﮪ</w:t>
      </w:r>
      <w:r w:rsidRPr="00885058">
        <w:rPr>
          <w:rFonts w:ascii="QCF_BSML" w:hAnsi="QCF_BSML" w:cs="QCF_BSML"/>
          <w:sz w:val="32"/>
          <w:szCs w:val="32"/>
          <w:rtl/>
          <w:lang w:eastAsia="en-US"/>
        </w:rPr>
        <w:t xml:space="preserve"> ﭼ</w:t>
      </w:r>
      <w:r w:rsidRPr="00885058">
        <w:rPr>
          <w:rFonts w:ascii="Traditional Arabic" w:hAnsi="Traditional Arabic"/>
          <w:rtl/>
        </w:rPr>
        <w:t xml:space="preserve"> فيه أربعة أقوال: أحدها: كما بلغ مَغْرِب الشمس بلغ مطلعها</w:t>
      </w:r>
      <w:r w:rsidRPr="00885058">
        <w:rPr>
          <w:vertAlign w:val="superscript"/>
          <w:rtl/>
        </w:rPr>
        <w:t>(</w:t>
      </w:r>
      <w:r w:rsidRPr="00885058">
        <w:rPr>
          <w:vertAlign w:val="superscript"/>
          <w:rtl/>
        </w:rPr>
        <w:footnoteReference w:id="1864"/>
      </w:r>
      <w:r w:rsidRPr="00885058">
        <w:rPr>
          <w:vertAlign w:val="superscript"/>
          <w:rtl/>
        </w:rPr>
        <w:t>)</w:t>
      </w:r>
      <w:r w:rsidRPr="00885058">
        <w:rPr>
          <w:rFonts w:ascii="Traditional Arabic" w:hAnsi="Traditional Arabic"/>
          <w:rtl/>
        </w:rPr>
        <w:t>. والثاني:</w:t>
      </w:r>
      <w:r w:rsidRPr="00885058">
        <w:rPr>
          <w:rFonts w:ascii="Traditional Arabic" w:hAnsi="Traditional Arabic" w:hint="cs"/>
          <w:rtl/>
        </w:rPr>
        <w:t xml:space="preserve"> </w:t>
      </w:r>
      <w:r w:rsidRPr="00885058">
        <w:rPr>
          <w:rFonts w:ascii="Traditional Arabic" w:hAnsi="Traditional Arabic"/>
          <w:rtl/>
        </w:rPr>
        <w:t>أتبع سبباً كما أتبع سبباً</w:t>
      </w:r>
      <w:r w:rsidRPr="00885058">
        <w:rPr>
          <w:vertAlign w:val="superscript"/>
          <w:rtl/>
        </w:rPr>
        <w:t>(</w:t>
      </w:r>
      <w:r w:rsidRPr="00885058">
        <w:rPr>
          <w:vertAlign w:val="superscript"/>
          <w:rtl/>
        </w:rPr>
        <w:footnoteReference w:id="1865"/>
      </w:r>
      <w:r w:rsidRPr="00885058">
        <w:rPr>
          <w:vertAlign w:val="superscript"/>
          <w:rtl/>
        </w:rPr>
        <w:t>)</w:t>
      </w:r>
      <w:r w:rsidRPr="00885058">
        <w:rPr>
          <w:rFonts w:ascii="Traditional Arabic" w:hAnsi="Traditional Arabic"/>
          <w:rtl/>
        </w:rPr>
        <w:t xml:space="preserve">. والثالث: كما وجد </w:t>
      </w:r>
      <w:r w:rsidRPr="00885058">
        <w:rPr>
          <w:rFonts w:ascii="Traditional Arabic" w:hAnsi="Traditional Arabic"/>
          <w:sz w:val="32"/>
          <w:szCs w:val="32"/>
          <w:rtl/>
        </w:rPr>
        <w:t>[</w:t>
      </w:r>
      <w:r w:rsidRPr="00885058">
        <w:rPr>
          <w:rFonts w:ascii="Traditional Arabic" w:hAnsi="Traditional Arabic" w:hint="cs"/>
          <w:sz w:val="32"/>
          <w:szCs w:val="32"/>
          <w:rtl/>
        </w:rPr>
        <w:t>148</w:t>
      </w:r>
      <w:r w:rsidRPr="00885058">
        <w:rPr>
          <w:rFonts w:ascii="Traditional Arabic" w:hAnsi="Traditional Arabic"/>
          <w:sz w:val="32"/>
          <w:szCs w:val="32"/>
          <w:rtl/>
        </w:rPr>
        <w:t>]</w:t>
      </w:r>
      <w:r w:rsidRPr="00885058">
        <w:rPr>
          <w:rFonts w:ascii="Traditional Arabic" w:hAnsi="Traditional Arabic"/>
          <w:rtl/>
        </w:rPr>
        <w:t xml:space="preserve"> أولئك عند مَغْرِب الشمس وحكم فيهم، كذلك وجد هؤلاء عند مطلعها وحكم فيهم</w:t>
      </w:r>
      <w:r w:rsidRPr="00885058">
        <w:rPr>
          <w:vertAlign w:val="superscript"/>
          <w:rtl/>
        </w:rPr>
        <w:t>(</w:t>
      </w:r>
      <w:r w:rsidRPr="00885058">
        <w:rPr>
          <w:vertAlign w:val="superscript"/>
          <w:rtl/>
        </w:rPr>
        <w:footnoteReference w:id="1866"/>
      </w:r>
      <w:r w:rsidRPr="00885058">
        <w:rPr>
          <w:vertAlign w:val="superscript"/>
          <w:rtl/>
        </w:rPr>
        <w:t>)</w:t>
      </w:r>
      <w:r w:rsidRPr="00885058">
        <w:rPr>
          <w:rFonts w:ascii="Traditional Arabic" w:hAnsi="Traditional Arabic"/>
          <w:rtl/>
        </w:rPr>
        <w:t>. والرابع: أن المعنى: كذلك أمْرُهم كما قصصنا عليك</w:t>
      </w:r>
      <w:r w:rsidRPr="00885058">
        <w:rPr>
          <w:vertAlign w:val="superscript"/>
          <w:rtl/>
        </w:rPr>
        <w:t>(</w:t>
      </w:r>
      <w:r w:rsidRPr="00885058">
        <w:rPr>
          <w:vertAlign w:val="superscript"/>
          <w:rtl/>
        </w:rPr>
        <w:footnoteReference w:id="1867"/>
      </w:r>
      <w:r w:rsidRPr="00885058">
        <w:rPr>
          <w:vertAlign w:val="superscript"/>
          <w:rtl/>
        </w:rPr>
        <w:t>)</w:t>
      </w:r>
      <w:r w:rsidRPr="00885058">
        <w:rPr>
          <w:rFonts w:ascii="Traditional Arabic" w:hAnsi="Traditional Arabic" w:hint="cs"/>
          <w:rtl/>
        </w:rPr>
        <w:t>.</w:t>
      </w:r>
      <w:r w:rsidRPr="00885058">
        <w:rPr>
          <w:rFonts w:ascii="Traditional Arabic" w:hAnsi="Traditional Arabic"/>
          <w:rtl/>
        </w:rPr>
        <w:t xml:space="preserve"> ثم استأنف فقال:</w:t>
      </w:r>
      <w:r w:rsidRPr="00885058">
        <w:rPr>
          <w:rFonts w:ascii="Traditional Arabic" w:hAnsi="Traditional Arabic" w:hint="cs"/>
          <w:rtl/>
        </w:rPr>
        <w:t xml:space="preserve"> </w:t>
      </w:r>
      <w:r w:rsidRPr="00885058">
        <w:rPr>
          <w:rFonts w:ascii="QCF_BSML" w:hAnsi="QCF_BSML" w:cs="QCF_BSML"/>
          <w:color w:val="auto"/>
          <w:sz w:val="32"/>
          <w:szCs w:val="32"/>
          <w:rtl/>
          <w:lang w:eastAsia="en-US"/>
        </w:rPr>
        <w:t>ﭽ</w:t>
      </w:r>
      <w:r w:rsidRPr="00885058">
        <w:rPr>
          <w:rFonts w:ascii="Traditional Arabic" w:hAnsi="Traditional Arabic" w:hint="cs"/>
          <w:rtl/>
        </w:rPr>
        <w:t xml:space="preserve"> </w:t>
      </w:r>
      <w:r w:rsidRPr="00885058">
        <w:rPr>
          <w:rFonts w:ascii="QCF_P303" w:hAnsi="QCF_P303" w:cs="QCF_P303"/>
          <w:sz w:val="32"/>
          <w:szCs w:val="32"/>
          <w:rtl/>
          <w:lang w:eastAsia="en-US"/>
        </w:rPr>
        <w:t>ﮫ  ﮬ  ﮭ  ﮮ</w:t>
      </w:r>
      <w:r w:rsidRPr="00885058">
        <w:rPr>
          <w:rFonts w:ascii="QCF_BSML" w:hAnsi="QCF_BSML" w:cs="QCF_BSML"/>
          <w:sz w:val="32"/>
          <w:szCs w:val="32"/>
          <w:rtl/>
          <w:lang w:eastAsia="en-US"/>
        </w:rPr>
        <w:t>ﭼ</w:t>
      </w:r>
      <w:r w:rsidRPr="00885058">
        <w:rPr>
          <w:rFonts w:ascii="Traditional Arabic" w:hAnsi="Traditional Arabic"/>
          <w:rtl/>
        </w:rPr>
        <w:t xml:space="preserve"> أي: بما عنده ومعه من الجيوش والعدد. وحكى أبو سليمان</w:t>
      </w:r>
      <w:r w:rsidR="006D054D">
        <w:rPr>
          <w:rFonts w:ascii="Traditional Arabic" w:hAnsi="Traditional Arabic" w:hint="cs"/>
          <w:rtl/>
        </w:rPr>
        <w:t xml:space="preserve"> </w:t>
      </w:r>
      <w:r w:rsidRPr="00885058">
        <w:rPr>
          <w:rFonts w:ascii="Traditional Arabic" w:hAnsi="Traditional Arabic"/>
          <w:rtl/>
        </w:rPr>
        <w:t xml:space="preserve">الدمشقي: </w:t>
      </w:r>
      <w:r w:rsidRPr="00885058">
        <w:rPr>
          <w:rFonts w:ascii="QCF_BSML" w:hAnsi="QCF_BSML" w:cs="QCF_BSML"/>
          <w:color w:val="auto"/>
          <w:sz w:val="32"/>
          <w:szCs w:val="32"/>
          <w:rtl/>
          <w:lang w:eastAsia="en-US"/>
        </w:rPr>
        <w:t>ﭽ</w:t>
      </w:r>
      <w:r w:rsidRPr="00885058">
        <w:rPr>
          <w:rFonts w:ascii="QCF_BSML" w:hAnsi="QCF_BSML" w:cs="QCF_BSML" w:hint="cs"/>
          <w:color w:val="auto"/>
          <w:sz w:val="32"/>
          <w:szCs w:val="32"/>
          <w:rtl/>
          <w:lang w:eastAsia="en-US"/>
        </w:rPr>
        <w:t xml:space="preserve"> </w:t>
      </w:r>
      <w:r w:rsidRPr="00885058">
        <w:rPr>
          <w:rFonts w:ascii="QCF_P303" w:hAnsi="QCF_P303" w:cs="QCF_P303"/>
          <w:sz w:val="32"/>
          <w:szCs w:val="32"/>
          <w:rtl/>
          <w:lang w:eastAsia="en-US"/>
        </w:rPr>
        <w:t xml:space="preserve">ﮭ  ﮮ </w:t>
      </w:r>
      <w:r w:rsidRPr="00885058">
        <w:rPr>
          <w:rFonts w:ascii="QCF_BSML" w:hAnsi="QCF_BSML" w:cs="QCF_BSML"/>
          <w:sz w:val="32"/>
          <w:szCs w:val="32"/>
          <w:rtl/>
          <w:lang w:eastAsia="en-US"/>
        </w:rPr>
        <w:t>ﭼ</w:t>
      </w:r>
      <w:r w:rsidRPr="00885058">
        <w:rPr>
          <w:rFonts w:ascii="Traditional Arabic" w:hAnsi="Traditional Arabic"/>
          <w:rtl/>
        </w:rPr>
        <w:t xml:space="preserve"> أي: بما عند مطلع الشمس</w:t>
      </w:r>
      <w:r w:rsidRPr="00885058">
        <w:rPr>
          <w:vertAlign w:val="superscript"/>
          <w:rtl/>
        </w:rPr>
        <w:t>(</w:t>
      </w:r>
      <w:r w:rsidRPr="00885058">
        <w:rPr>
          <w:vertAlign w:val="superscript"/>
          <w:rtl/>
        </w:rPr>
        <w:footnoteReference w:id="1868"/>
      </w:r>
      <w:r w:rsidRPr="00885058">
        <w:rPr>
          <w:vertAlign w:val="superscript"/>
          <w:rtl/>
        </w:rPr>
        <w:t>)</w:t>
      </w:r>
      <w:r w:rsidRPr="00885058">
        <w:rPr>
          <w:rFonts w:ascii="Traditional Arabic" w:hAnsi="Traditional Arabic"/>
          <w:rtl/>
        </w:rPr>
        <w:t>. وقد سبق معنى الخبر</w:t>
      </w:r>
      <w:r w:rsidRPr="00885058">
        <w:rPr>
          <w:vertAlign w:val="superscript"/>
          <w:rtl/>
        </w:rPr>
        <w:t>(</w:t>
      </w:r>
      <w:r w:rsidRPr="00885058">
        <w:rPr>
          <w:vertAlign w:val="superscript"/>
          <w:rtl/>
        </w:rPr>
        <w:footnoteReference w:id="1869"/>
      </w:r>
      <w:r w:rsidRPr="00885058">
        <w:rPr>
          <w:vertAlign w:val="superscript"/>
          <w:rtl/>
        </w:rPr>
        <w:t>)</w:t>
      </w:r>
      <w:r w:rsidRPr="00885058">
        <w:rPr>
          <w:rFonts w:ascii="Traditional Arabic" w:hAnsi="Traditional Arabic"/>
          <w:rtl/>
        </w:rPr>
        <w:t>.</w:t>
      </w:r>
    </w:p>
    <w:p w:rsidR="007A7F88" w:rsidRPr="00885058" w:rsidRDefault="007A7F88" w:rsidP="0064686B">
      <w:pPr>
        <w:ind w:firstLine="0"/>
        <w:rPr>
          <w:rFonts w:ascii="Traditional Arabic" w:hAnsi="Traditional Arabic"/>
          <w:rtl/>
        </w:rPr>
      </w:pPr>
    </w:p>
    <w:p w:rsidR="008900CA" w:rsidRPr="008900CA" w:rsidRDefault="008900CA" w:rsidP="008900CA">
      <w:pPr>
        <w:ind w:firstLine="0"/>
        <w:rPr>
          <w:rFonts w:ascii="Traditional Arabic" w:hAnsi="Traditional Arabic"/>
          <w:color w:val="auto"/>
          <w:sz w:val="32"/>
          <w:szCs w:val="32"/>
          <w:rtl/>
        </w:rPr>
      </w:pPr>
      <w:r w:rsidRPr="008900CA">
        <w:rPr>
          <w:rFonts w:ascii="QCF_BSML" w:hAnsi="QCF_BSML" w:cs="QCF_BSML"/>
          <w:color w:val="auto"/>
          <w:sz w:val="32"/>
          <w:szCs w:val="32"/>
          <w:rtl/>
          <w:lang w:eastAsia="en-US"/>
        </w:rPr>
        <w:t xml:space="preserve">ﭽ </w:t>
      </w:r>
      <w:r w:rsidRPr="008900CA">
        <w:rPr>
          <w:rFonts w:ascii="QCF_P303" w:hAnsi="QCF_P303" w:cs="QCF_P303"/>
          <w:color w:val="auto"/>
          <w:sz w:val="32"/>
          <w:szCs w:val="32"/>
          <w:rtl/>
          <w:lang w:eastAsia="en-US"/>
        </w:rPr>
        <w:t xml:space="preserve">ﮱ  ﯓ   ﯔ  ﯕ  ﯖ  ﯗ  ﯘ  ﯙ  ﯚ  ﯛ  ﯜ  ﯝ  ﯞ   ﯟ   ﯠ  ﯡ  ﯢ  ﯣ  ﯤ  ﯥ  ﯦ  ﯧ  ﯨ   ﯩ   ﯪ  ﯫ  ﯬ   ﯭ  ﯮ  ﯯ  ﯰ  ﯱ  ﯲ  ﯳ  ﯴ  ﯵ   ﯶ  ﯷ  ﯸ  ﯹ  ﯺ  ﯻ  ﯼ  ﯽ   ﯾ  ﯿ   ﰀ  ﰁ   ﰂ  ﰃ  ﰄ  ﰅ  ﰆ     ﰇﰈ  ﰉ  ﰊ  ﰋ  ﰌ  ﰍ    ﰎ  ﰏﰐ  ﰑ  ﰒ  ﰓ  ﰔ  ﰕ  ﰖ  ﰗ  ﰘ  ﰙ   ﰚ  ﰛ  ﰜ  ﰝ  ﰞ  ﰟ  ﰠ  ﰡ  ﰢ  ﰣ   </w:t>
      </w:r>
      <w:r w:rsidRPr="008900CA">
        <w:rPr>
          <w:rFonts w:ascii="QCF_P304" w:hAnsi="QCF_P304" w:cs="QCF_P304"/>
          <w:color w:val="auto"/>
          <w:sz w:val="32"/>
          <w:szCs w:val="32"/>
          <w:rtl/>
          <w:lang w:eastAsia="en-US"/>
        </w:rPr>
        <w:t xml:space="preserve">ﭑ  ﭒ  ﭓ   ﭔ  ﭕﭖ  ﭗ  ﭘ  ﭙ  ﭚ  ﭛ  ﭜﭝ  ﭞ  ﭟ  ﭠ   ﭡ  ﭢ  </w:t>
      </w:r>
      <w:r w:rsidRPr="008900CA">
        <w:rPr>
          <w:rFonts w:ascii="QCF_BSML" w:hAnsi="QCF_BSML" w:cs="QCF_BSML"/>
          <w:color w:val="auto"/>
          <w:sz w:val="32"/>
          <w:szCs w:val="32"/>
          <w:rtl/>
          <w:lang w:eastAsia="en-US"/>
        </w:rPr>
        <w:t>ﭼ</w:t>
      </w:r>
      <w:r w:rsidRPr="008900CA">
        <w:rPr>
          <w:rFonts w:ascii="Arial" w:hAnsi="Arial" w:cs="Arial"/>
          <w:color w:val="auto"/>
          <w:sz w:val="32"/>
          <w:szCs w:val="32"/>
          <w:rtl/>
          <w:lang w:eastAsia="en-US"/>
        </w:rPr>
        <w:t xml:space="preserve"> </w:t>
      </w:r>
    </w:p>
    <w:p w:rsidR="008900CA" w:rsidRPr="008900CA" w:rsidRDefault="008900CA" w:rsidP="007A7F88">
      <w:pPr>
        <w:ind w:firstLine="0"/>
        <w:rPr>
          <w:rFonts w:ascii="Traditional Arabic" w:hAnsi="Traditional Arabic"/>
          <w:rtl/>
        </w:rPr>
      </w:pPr>
      <w:r w:rsidRPr="008900CA">
        <w:rPr>
          <w:rFonts w:ascii="Traditional Arabic" w:hAnsi="Traditional Arabic"/>
          <w:rtl/>
        </w:rPr>
        <w:t xml:space="preserve">قوله تعالى: </w:t>
      </w:r>
      <w:r w:rsidRPr="008900CA">
        <w:rPr>
          <w:rFonts w:ascii="QCF_BSML" w:hAnsi="QCF_BSML" w:cs="QCF_BSML"/>
          <w:color w:val="auto"/>
          <w:sz w:val="32"/>
          <w:szCs w:val="32"/>
          <w:rtl/>
          <w:lang w:eastAsia="en-US"/>
        </w:rPr>
        <w:t>ﭽ</w:t>
      </w:r>
      <w:r w:rsidRPr="008900CA">
        <w:rPr>
          <w:rFonts w:ascii="QCF_BSML" w:hAnsi="QCF_BSML" w:cs="QCF_BSML" w:hint="cs"/>
          <w:color w:val="auto"/>
          <w:sz w:val="32"/>
          <w:szCs w:val="32"/>
          <w:rtl/>
          <w:lang w:eastAsia="en-US"/>
        </w:rPr>
        <w:t xml:space="preserve"> </w:t>
      </w:r>
      <w:r w:rsidRPr="008900CA">
        <w:rPr>
          <w:rFonts w:ascii="QCF_P303" w:hAnsi="QCF_P303" w:cs="QCF_P303"/>
          <w:color w:val="auto"/>
          <w:sz w:val="32"/>
          <w:szCs w:val="32"/>
          <w:rtl/>
          <w:lang w:eastAsia="en-US"/>
        </w:rPr>
        <w:t>ﮱ  ﯓ   ﯔ</w:t>
      </w:r>
      <w:r w:rsidRPr="008900CA">
        <w:rPr>
          <w:rFonts w:ascii="QCF_P303" w:hAnsi="QCF_P303" w:cs="QCF_P303" w:hint="cs"/>
          <w:color w:val="auto"/>
          <w:sz w:val="32"/>
          <w:szCs w:val="32"/>
          <w:rtl/>
          <w:lang w:eastAsia="en-US"/>
        </w:rPr>
        <w:t xml:space="preserve"> </w:t>
      </w:r>
      <w:r w:rsidRPr="008900CA">
        <w:rPr>
          <w:rFonts w:ascii="QCF_BSML" w:hAnsi="QCF_BSML" w:cs="QCF_BSML"/>
          <w:sz w:val="32"/>
          <w:szCs w:val="32"/>
          <w:rtl/>
          <w:lang w:eastAsia="en-US"/>
        </w:rPr>
        <w:t>ﭼ</w:t>
      </w:r>
      <w:r w:rsidRPr="008900CA">
        <w:rPr>
          <w:rFonts w:ascii="QCF_BSML" w:hAnsi="QCF_BSML" w:cs="QCF_BSML" w:hint="cs"/>
          <w:rtl/>
          <w:lang w:eastAsia="en-US"/>
        </w:rPr>
        <w:t xml:space="preserve"> </w:t>
      </w:r>
      <w:r w:rsidRPr="008900CA">
        <w:rPr>
          <w:rFonts w:ascii="Traditional Arabic" w:hAnsi="Traditional Arabic"/>
          <w:rtl/>
        </w:rPr>
        <w:t xml:space="preserve">أي: طريقا ثالثاً بين المَشْرِق والمَغْرِب </w:t>
      </w:r>
      <w:r w:rsidRPr="008900CA">
        <w:rPr>
          <w:rFonts w:ascii="QCF_BSML" w:hAnsi="QCF_BSML" w:cs="QCF_BSML"/>
          <w:color w:val="auto"/>
          <w:rtl/>
          <w:lang w:eastAsia="en-US"/>
        </w:rPr>
        <w:t>ﭽ</w:t>
      </w:r>
      <w:r w:rsidRPr="008900CA">
        <w:rPr>
          <w:rFonts w:ascii="QCF_BSML" w:hAnsi="QCF_BSML" w:cs="QCF_BSML" w:hint="cs"/>
          <w:color w:val="auto"/>
          <w:rtl/>
          <w:lang w:eastAsia="en-US"/>
        </w:rPr>
        <w:t xml:space="preserve"> </w:t>
      </w:r>
      <w:r w:rsidRPr="008900CA">
        <w:rPr>
          <w:rFonts w:ascii="QCF_P303" w:hAnsi="QCF_P303" w:cs="QCF_P303"/>
          <w:color w:val="auto"/>
          <w:sz w:val="32"/>
          <w:szCs w:val="32"/>
          <w:rtl/>
          <w:lang w:eastAsia="en-US"/>
        </w:rPr>
        <w:t xml:space="preserve">ﯖ  ﯗ  ﯘ  ﯙ  ﯚ  </w:t>
      </w:r>
      <w:r w:rsidRPr="008900CA">
        <w:rPr>
          <w:rFonts w:ascii="QCF_BSML" w:hAnsi="QCF_BSML" w:cs="QCF_BSML"/>
          <w:rtl/>
          <w:lang w:eastAsia="en-US"/>
        </w:rPr>
        <w:t>ﭼ</w:t>
      </w:r>
      <w:r w:rsidRPr="008900CA">
        <w:rPr>
          <w:rFonts w:ascii="Traditional Arabic" w:hAnsi="Traditional Arabic"/>
          <w:rtl/>
        </w:rPr>
        <w:t xml:space="preserve"> قال وهب بن منبه: هما جبلان منيفان في السماء، من ورائهما البحر، ومن أمامهما البلدان، وهما بمنقطَع أرض التُّرك مما يلي بلاد أرمينية</w:t>
      </w:r>
      <w:r w:rsidRPr="008900CA">
        <w:rPr>
          <w:vertAlign w:val="superscript"/>
          <w:rtl/>
        </w:rPr>
        <w:t>(</w:t>
      </w:r>
      <w:r w:rsidRPr="008900CA">
        <w:rPr>
          <w:vertAlign w:val="superscript"/>
          <w:rtl/>
        </w:rPr>
        <w:footnoteReference w:id="1870"/>
      </w:r>
      <w:r w:rsidRPr="008900CA">
        <w:rPr>
          <w:vertAlign w:val="superscript"/>
          <w:rtl/>
        </w:rPr>
        <w:t>)</w:t>
      </w:r>
      <w:r w:rsidRPr="008900CA">
        <w:rPr>
          <w:rFonts w:ascii="Traditional Arabic" w:hAnsi="Traditional Arabic"/>
          <w:rtl/>
        </w:rPr>
        <w:t xml:space="preserve">. وروى عطاء الخراساني عن ابن عباس قال: </w:t>
      </w:r>
      <w:r w:rsidRPr="008900CA">
        <w:rPr>
          <w:rFonts w:ascii="Traditional Arabic" w:hAnsi="Traditional Arabic"/>
          <w:rtl/>
        </w:rPr>
        <w:lastRenderedPageBreak/>
        <w:t>الجبلان من قِبَل أرمينية وأذربيجان</w:t>
      </w:r>
      <w:r w:rsidRPr="008900CA">
        <w:rPr>
          <w:vertAlign w:val="superscript"/>
          <w:rtl/>
        </w:rPr>
        <w:t>(</w:t>
      </w:r>
      <w:r w:rsidRPr="008900CA">
        <w:rPr>
          <w:vertAlign w:val="superscript"/>
          <w:rtl/>
        </w:rPr>
        <w:footnoteReference w:id="1871"/>
      </w:r>
      <w:r w:rsidRPr="008900CA">
        <w:rPr>
          <w:vertAlign w:val="superscript"/>
          <w:rtl/>
        </w:rPr>
        <w:t>)</w:t>
      </w:r>
      <w:r w:rsidRPr="008900CA">
        <w:rPr>
          <w:rFonts w:ascii="Traditional Arabic" w:hAnsi="Traditional Arabic"/>
          <w:rtl/>
        </w:rPr>
        <w:t>. واختلف القراء في «السدّين» فقرأ ابن كثير وأبو عمرو وحفص عن عاصم بفتح السين. وقرأ نافع وابن عامر وأبو بكر عن عاصم وحمزة والكسائي بضمها</w:t>
      </w:r>
      <w:r w:rsidRPr="008900CA">
        <w:rPr>
          <w:vertAlign w:val="superscript"/>
          <w:rtl/>
        </w:rPr>
        <w:t>(</w:t>
      </w:r>
      <w:r w:rsidRPr="008900CA">
        <w:rPr>
          <w:vertAlign w:val="superscript"/>
          <w:rtl/>
        </w:rPr>
        <w:footnoteReference w:id="1872"/>
      </w:r>
      <w:r w:rsidRPr="008900CA">
        <w:rPr>
          <w:vertAlign w:val="superscript"/>
          <w:rtl/>
        </w:rPr>
        <w:t>)</w:t>
      </w:r>
      <w:r w:rsidRPr="008900CA">
        <w:rPr>
          <w:rFonts w:ascii="Traditional Arabic" w:hAnsi="Traditional Arabic"/>
          <w:rtl/>
        </w:rPr>
        <w:t>. وهل المعنى واحد، أم لا؟ فيه قولان:</w:t>
      </w:r>
      <w:r w:rsidRPr="008900CA">
        <w:rPr>
          <w:rFonts w:ascii="Traditional Arabic" w:hAnsi="Traditional Arabic" w:hint="cs"/>
          <w:rtl/>
        </w:rPr>
        <w:t xml:space="preserve"> </w:t>
      </w:r>
      <w:r w:rsidRPr="008900CA">
        <w:rPr>
          <w:rFonts w:ascii="Traditional Arabic" w:hAnsi="Traditional Arabic"/>
          <w:rtl/>
        </w:rPr>
        <w:t>أحدهما: أنه واحد. قال ابن الأعرابي</w:t>
      </w:r>
      <w:r w:rsidRPr="008900CA">
        <w:rPr>
          <w:vertAlign w:val="superscript"/>
          <w:rtl/>
        </w:rPr>
        <w:t>(</w:t>
      </w:r>
      <w:r w:rsidRPr="008900CA">
        <w:rPr>
          <w:vertAlign w:val="superscript"/>
          <w:rtl/>
        </w:rPr>
        <w:footnoteReference w:id="1873"/>
      </w:r>
      <w:r w:rsidRPr="008900CA">
        <w:rPr>
          <w:vertAlign w:val="superscript"/>
          <w:rtl/>
        </w:rPr>
        <w:t>)</w:t>
      </w:r>
      <w:r w:rsidRPr="008900CA">
        <w:rPr>
          <w:rFonts w:ascii="Traditional Arabic" w:hAnsi="Traditional Arabic"/>
          <w:rtl/>
        </w:rPr>
        <w:t>: كل ما قابلك فسَدَّ ما وراءه، فهو سَدٌّ، وسُدٌّ، نحو: الضَّعف والضُّعف، والفَقر والفُقر</w:t>
      </w:r>
      <w:r w:rsidRPr="008900CA">
        <w:rPr>
          <w:vertAlign w:val="superscript"/>
          <w:rtl/>
        </w:rPr>
        <w:t>(</w:t>
      </w:r>
      <w:r w:rsidRPr="008900CA">
        <w:rPr>
          <w:vertAlign w:val="superscript"/>
          <w:rtl/>
        </w:rPr>
        <w:footnoteReference w:id="1874"/>
      </w:r>
      <w:r w:rsidRPr="008900CA">
        <w:rPr>
          <w:vertAlign w:val="superscript"/>
          <w:rtl/>
        </w:rPr>
        <w:t>)</w:t>
      </w:r>
      <w:r w:rsidRPr="008900CA">
        <w:rPr>
          <w:rFonts w:ascii="Traditional Arabic" w:hAnsi="Traditional Arabic"/>
          <w:rtl/>
        </w:rPr>
        <w:t>.</w:t>
      </w:r>
      <w:r w:rsidR="007A7F88">
        <w:rPr>
          <w:rFonts w:ascii="Traditional Arabic" w:hAnsi="Traditional Arabic" w:hint="cs"/>
          <w:rtl/>
        </w:rPr>
        <w:t xml:space="preserve"> </w:t>
      </w:r>
      <w:r w:rsidRPr="008900CA">
        <w:rPr>
          <w:rFonts w:ascii="Traditional Arabic" w:hAnsi="Traditional Arabic"/>
          <w:rtl/>
        </w:rPr>
        <w:t>قال الكسائي</w:t>
      </w:r>
      <w:r w:rsidRPr="008900CA">
        <w:rPr>
          <w:vertAlign w:val="superscript"/>
          <w:rtl/>
        </w:rPr>
        <w:t>(</w:t>
      </w:r>
      <w:r w:rsidRPr="008900CA">
        <w:rPr>
          <w:vertAlign w:val="superscript"/>
          <w:rtl/>
        </w:rPr>
        <w:footnoteReference w:id="1875"/>
      </w:r>
      <w:r w:rsidRPr="008900CA">
        <w:rPr>
          <w:vertAlign w:val="superscript"/>
          <w:rtl/>
        </w:rPr>
        <w:t>)</w:t>
      </w:r>
      <w:r w:rsidRPr="008900CA">
        <w:rPr>
          <w:rFonts w:ascii="Traditional Arabic" w:hAnsi="Traditional Arabic"/>
          <w:rtl/>
        </w:rPr>
        <w:t>، وثعلب</w:t>
      </w:r>
      <w:r w:rsidRPr="008900CA">
        <w:rPr>
          <w:vertAlign w:val="superscript"/>
          <w:rtl/>
        </w:rPr>
        <w:t>(</w:t>
      </w:r>
      <w:r w:rsidRPr="008900CA">
        <w:rPr>
          <w:vertAlign w:val="superscript"/>
          <w:rtl/>
        </w:rPr>
        <w:footnoteReference w:id="1876"/>
      </w:r>
      <w:r w:rsidRPr="008900CA">
        <w:rPr>
          <w:vertAlign w:val="superscript"/>
          <w:rtl/>
        </w:rPr>
        <w:t>)</w:t>
      </w:r>
      <w:r w:rsidRPr="008900CA">
        <w:rPr>
          <w:rFonts w:ascii="Traditional Arabic" w:hAnsi="Traditional Arabic"/>
          <w:rtl/>
        </w:rPr>
        <w:t>: السَّد والسُّد لغتان بمعنى واحد، وهذا مذهب الزجاج</w:t>
      </w:r>
      <w:r w:rsidRPr="008900CA">
        <w:rPr>
          <w:vertAlign w:val="superscript"/>
          <w:rtl/>
        </w:rPr>
        <w:t>(</w:t>
      </w:r>
      <w:r w:rsidRPr="008900CA">
        <w:rPr>
          <w:vertAlign w:val="superscript"/>
          <w:rtl/>
        </w:rPr>
        <w:footnoteReference w:id="1877"/>
      </w:r>
      <w:r w:rsidRPr="008900CA">
        <w:rPr>
          <w:vertAlign w:val="superscript"/>
          <w:rtl/>
        </w:rPr>
        <w:t>)</w:t>
      </w:r>
      <w:r w:rsidRPr="008900CA">
        <w:rPr>
          <w:rFonts w:ascii="Traditional Arabic" w:hAnsi="Traditional Arabic"/>
          <w:rtl/>
        </w:rPr>
        <w:t>. والثاني: أنهما يختلفان.</w:t>
      </w:r>
      <w:r w:rsidRPr="008900CA">
        <w:rPr>
          <w:rFonts w:ascii="Traditional Arabic" w:hAnsi="Traditional Arabic" w:hint="cs"/>
          <w:rtl/>
        </w:rPr>
        <w:t xml:space="preserve"> </w:t>
      </w:r>
      <w:r w:rsidRPr="008900CA">
        <w:rPr>
          <w:rFonts w:ascii="Traditional Arabic" w:hAnsi="Traditional Arabic"/>
          <w:rtl/>
        </w:rPr>
        <w:t>وفي الفرق بينهما قولان: أحدهما: أن ما هو من فعل الله تعالى فهو مضموم، وما هو من فعل الآدميين فهو مفتوح، قاله ابن عباس</w:t>
      </w:r>
      <w:r w:rsidRPr="008900CA">
        <w:rPr>
          <w:vertAlign w:val="superscript"/>
          <w:rtl/>
        </w:rPr>
        <w:t>(</w:t>
      </w:r>
      <w:r w:rsidRPr="008900CA">
        <w:rPr>
          <w:vertAlign w:val="superscript"/>
          <w:rtl/>
        </w:rPr>
        <w:footnoteReference w:id="1878"/>
      </w:r>
      <w:r w:rsidRPr="008900CA">
        <w:rPr>
          <w:vertAlign w:val="superscript"/>
          <w:rtl/>
        </w:rPr>
        <w:t>)</w:t>
      </w:r>
      <w:r w:rsidRPr="008900CA">
        <w:rPr>
          <w:rFonts w:ascii="Traditional Arabic" w:hAnsi="Traditional Arabic"/>
          <w:rtl/>
        </w:rPr>
        <w:t>، وعكرمة</w:t>
      </w:r>
      <w:r w:rsidRPr="008900CA">
        <w:rPr>
          <w:vertAlign w:val="superscript"/>
          <w:rtl/>
        </w:rPr>
        <w:t>(</w:t>
      </w:r>
      <w:r w:rsidRPr="008900CA">
        <w:rPr>
          <w:vertAlign w:val="superscript"/>
          <w:rtl/>
        </w:rPr>
        <w:footnoteReference w:id="1879"/>
      </w:r>
      <w:r w:rsidRPr="008900CA">
        <w:rPr>
          <w:vertAlign w:val="superscript"/>
          <w:rtl/>
        </w:rPr>
        <w:t>)</w:t>
      </w:r>
      <w:r w:rsidRPr="008900CA">
        <w:rPr>
          <w:rFonts w:ascii="Traditional Arabic" w:hAnsi="Traditional Arabic"/>
          <w:rtl/>
        </w:rPr>
        <w:t>، وأبو عبيدة</w:t>
      </w:r>
      <w:r w:rsidRPr="008900CA">
        <w:rPr>
          <w:vertAlign w:val="superscript"/>
          <w:rtl/>
        </w:rPr>
        <w:t>(</w:t>
      </w:r>
      <w:r w:rsidRPr="008900CA">
        <w:rPr>
          <w:vertAlign w:val="superscript"/>
          <w:rtl/>
        </w:rPr>
        <w:footnoteReference w:id="1880"/>
      </w:r>
      <w:r w:rsidRPr="008900CA">
        <w:rPr>
          <w:vertAlign w:val="superscript"/>
          <w:rtl/>
        </w:rPr>
        <w:t>)</w:t>
      </w:r>
      <w:r w:rsidRPr="008900CA">
        <w:rPr>
          <w:rFonts w:ascii="Traditional Arabic" w:hAnsi="Traditional Arabic"/>
          <w:rtl/>
        </w:rPr>
        <w:t>. قال الفراء: وعلى هذا رأيت المشيخة وأهل العلم من النحويين</w:t>
      </w:r>
      <w:r w:rsidRPr="008900CA">
        <w:rPr>
          <w:vertAlign w:val="superscript"/>
          <w:rtl/>
        </w:rPr>
        <w:t>(</w:t>
      </w:r>
      <w:r w:rsidRPr="008900CA">
        <w:rPr>
          <w:vertAlign w:val="superscript"/>
          <w:rtl/>
        </w:rPr>
        <w:footnoteReference w:id="1881"/>
      </w:r>
      <w:r w:rsidRPr="008900CA">
        <w:rPr>
          <w:vertAlign w:val="superscript"/>
          <w:rtl/>
        </w:rPr>
        <w:t>)</w:t>
      </w:r>
      <w:r w:rsidRPr="008900CA">
        <w:rPr>
          <w:rFonts w:ascii="Traditional Arabic" w:hAnsi="Traditional Arabic"/>
          <w:rtl/>
        </w:rPr>
        <w:t>. والثاني: أن السَّد، بفتح السين: الحاجز بين الشيئين، والسُدُّ، بضمها:</w:t>
      </w:r>
      <w:r w:rsidRPr="008900CA">
        <w:rPr>
          <w:rFonts w:ascii="Traditional Arabic" w:hAnsi="Traditional Arabic" w:hint="cs"/>
          <w:rtl/>
        </w:rPr>
        <w:t xml:space="preserve"> </w:t>
      </w:r>
      <w:r w:rsidRPr="008900CA">
        <w:rPr>
          <w:rFonts w:ascii="Traditional Arabic" w:hAnsi="Traditional Arabic"/>
          <w:rtl/>
        </w:rPr>
        <w:t>الغشاوة في العَيْن، قاله أبو عمرو بن العلاء</w:t>
      </w:r>
      <w:r w:rsidRPr="008900CA">
        <w:rPr>
          <w:vertAlign w:val="superscript"/>
          <w:rtl/>
        </w:rPr>
        <w:t>(</w:t>
      </w:r>
      <w:r w:rsidRPr="008900CA">
        <w:rPr>
          <w:vertAlign w:val="superscript"/>
          <w:rtl/>
        </w:rPr>
        <w:footnoteReference w:id="1882"/>
      </w:r>
      <w:r w:rsidRPr="008900CA">
        <w:rPr>
          <w:vertAlign w:val="superscript"/>
          <w:rtl/>
        </w:rPr>
        <w:t>)</w:t>
      </w:r>
      <w:r w:rsidRPr="008900CA">
        <w:rPr>
          <w:rFonts w:ascii="Traditional Arabic" w:hAnsi="Traditional Arabic"/>
          <w:rtl/>
        </w:rPr>
        <w:t>.</w:t>
      </w:r>
    </w:p>
    <w:p w:rsidR="007A7F88" w:rsidRDefault="008900CA" w:rsidP="008900CA">
      <w:pPr>
        <w:ind w:firstLine="0"/>
        <w:rPr>
          <w:rFonts w:ascii="Traditional Arabic" w:hAnsi="Traditional Arabic"/>
          <w:rtl/>
          <w:lang w:eastAsia="en-US"/>
        </w:rPr>
      </w:pPr>
      <w:r w:rsidRPr="008900CA">
        <w:rPr>
          <w:rFonts w:ascii="Traditional Arabic" w:hAnsi="Traditional Arabic"/>
          <w:rtl/>
        </w:rPr>
        <w:lastRenderedPageBreak/>
        <w:t xml:space="preserve">قوله تعالى: </w:t>
      </w:r>
      <w:r w:rsidRPr="008900CA">
        <w:rPr>
          <w:rFonts w:ascii="QCF_BSML" w:hAnsi="QCF_BSML" w:cs="QCF_BSML"/>
          <w:color w:val="auto"/>
          <w:rtl/>
          <w:lang w:eastAsia="en-US"/>
        </w:rPr>
        <w:t>ﭽ</w:t>
      </w:r>
      <w:r w:rsidRPr="008900CA">
        <w:rPr>
          <w:rFonts w:ascii="QCF_BSML" w:hAnsi="QCF_BSML" w:cs="QCF_BSML" w:hint="cs"/>
          <w:color w:val="auto"/>
          <w:rtl/>
          <w:lang w:eastAsia="en-US"/>
        </w:rPr>
        <w:t xml:space="preserve"> </w:t>
      </w:r>
      <w:r w:rsidRPr="008900CA">
        <w:rPr>
          <w:rFonts w:ascii="QCF_P303" w:hAnsi="QCF_P303" w:cs="QCF_P303"/>
          <w:color w:val="auto"/>
          <w:sz w:val="32"/>
          <w:szCs w:val="32"/>
          <w:rtl/>
          <w:lang w:eastAsia="en-US"/>
        </w:rPr>
        <w:t xml:space="preserve">ﯛ  ﯜ  ﯝ  </w:t>
      </w:r>
      <w:r w:rsidRPr="008900CA">
        <w:rPr>
          <w:rFonts w:ascii="QCF_BSML" w:hAnsi="QCF_BSML" w:cs="QCF_BSML"/>
          <w:rtl/>
          <w:lang w:eastAsia="en-US"/>
        </w:rPr>
        <w:t>ﭼ</w:t>
      </w:r>
      <w:r w:rsidRPr="008900CA">
        <w:rPr>
          <w:rFonts w:ascii="Traditional Arabic" w:hAnsi="Traditional Arabic"/>
          <w:rtl/>
        </w:rPr>
        <w:t xml:space="preserve"> يعني: أمام السّدّ </w:t>
      </w:r>
      <w:r w:rsidRPr="008900CA">
        <w:rPr>
          <w:rFonts w:ascii="QCF_BSML" w:hAnsi="QCF_BSML" w:cs="QCF_BSML"/>
          <w:color w:val="auto"/>
          <w:rtl/>
          <w:lang w:eastAsia="en-US"/>
        </w:rPr>
        <w:t>ﭽ</w:t>
      </w:r>
      <w:r w:rsidRPr="008900CA">
        <w:rPr>
          <w:rFonts w:ascii="QCF_BSML" w:hAnsi="QCF_BSML" w:cs="QCF_BSML" w:hint="cs"/>
          <w:color w:val="auto"/>
          <w:rtl/>
          <w:lang w:eastAsia="en-US"/>
        </w:rPr>
        <w:t xml:space="preserve"> </w:t>
      </w:r>
      <w:r w:rsidRPr="008900CA">
        <w:rPr>
          <w:rFonts w:ascii="QCF_P303" w:hAnsi="QCF_P303" w:cs="QCF_P303"/>
          <w:color w:val="auto"/>
          <w:sz w:val="32"/>
          <w:szCs w:val="32"/>
          <w:rtl/>
          <w:lang w:eastAsia="en-US"/>
        </w:rPr>
        <w:t xml:space="preserve">ﯞ   ﯟ   ﯠ  ﯡ  ﯢ  </w:t>
      </w:r>
      <w:r w:rsidRPr="008900CA">
        <w:rPr>
          <w:rFonts w:ascii="QCF_BSML" w:hAnsi="QCF_BSML" w:cs="QCF_BSML"/>
          <w:rtl/>
          <w:lang w:eastAsia="en-US"/>
        </w:rPr>
        <w:t>ﭼ</w:t>
      </w:r>
      <w:r w:rsidRPr="008900CA">
        <w:rPr>
          <w:rFonts w:ascii="Traditional Arabic" w:hAnsi="Traditional Arabic"/>
          <w:rtl/>
        </w:rPr>
        <w:t xml:space="preserve"> قرأ ابن كثير، ونافع، وأبو عمرو، وعاصم، وابن عامر: </w:t>
      </w:r>
      <w:r w:rsidRPr="008900CA">
        <w:rPr>
          <w:rFonts w:ascii="QCF_BSML" w:hAnsi="QCF_BSML" w:cs="QCF_BSML"/>
          <w:color w:val="auto"/>
          <w:rtl/>
          <w:lang w:eastAsia="en-US"/>
        </w:rPr>
        <w:t>ﭽ</w:t>
      </w:r>
      <w:r w:rsidRPr="008900CA">
        <w:rPr>
          <w:rFonts w:ascii="QCF_P303" w:hAnsi="QCF_P303" w:cs="QCF_P303"/>
          <w:color w:val="auto"/>
          <w:sz w:val="32"/>
          <w:szCs w:val="32"/>
          <w:rtl/>
          <w:lang w:eastAsia="en-US"/>
        </w:rPr>
        <w:t xml:space="preserve"> ﯡ  ﯢ  </w:t>
      </w:r>
      <w:r w:rsidRPr="008900CA">
        <w:rPr>
          <w:rFonts w:ascii="QCF_BSML" w:hAnsi="QCF_BSML" w:cs="QCF_BSML"/>
          <w:rtl/>
          <w:lang w:eastAsia="en-US"/>
        </w:rPr>
        <w:t>ﭼ</w:t>
      </w:r>
      <w:r w:rsidRPr="008900CA">
        <w:rPr>
          <w:rFonts w:ascii="Traditional Arabic" w:hAnsi="Traditional Arabic"/>
          <w:rtl/>
        </w:rPr>
        <w:t xml:space="preserve"> بفتح الياء، أي: لا يكادون يفهمونه</w:t>
      </w:r>
      <w:r w:rsidRPr="008900CA">
        <w:rPr>
          <w:vertAlign w:val="superscript"/>
          <w:rtl/>
        </w:rPr>
        <w:t>(</w:t>
      </w:r>
      <w:r w:rsidRPr="008900CA">
        <w:rPr>
          <w:vertAlign w:val="superscript"/>
          <w:rtl/>
        </w:rPr>
        <w:footnoteReference w:id="1883"/>
      </w:r>
      <w:r w:rsidRPr="008900CA">
        <w:rPr>
          <w:vertAlign w:val="superscript"/>
          <w:rtl/>
        </w:rPr>
        <w:t>)(</w:t>
      </w:r>
      <w:r w:rsidRPr="008900CA">
        <w:rPr>
          <w:vertAlign w:val="superscript"/>
          <w:rtl/>
        </w:rPr>
        <w:footnoteReference w:id="1884"/>
      </w:r>
      <w:r w:rsidRPr="008900CA">
        <w:rPr>
          <w:vertAlign w:val="superscript"/>
          <w:rtl/>
        </w:rPr>
        <w:t>)</w:t>
      </w:r>
      <w:r w:rsidRPr="008900CA">
        <w:rPr>
          <w:rFonts w:ascii="Traditional Arabic" w:hAnsi="Traditional Arabic"/>
          <w:rtl/>
        </w:rPr>
        <w:t>. قال ابن الأنباري:</w:t>
      </w:r>
      <w:r w:rsidRPr="008900CA">
        <w:rPr>
          <w:rFonts w:ascii="Traditional Arabic" w:hAnsi="Traditional Arabic" w:hint="cs"/>
          <w:rtl/>
        </w:rPr>
        <w:t xml:space="preserve"> قال اللغويون: معناه أنهم يفهمونه بعد إبطاءٍ وهو</w:t>
      </w:r>
      <w:r w:rsidRPr="008900CA">
        <w:rPr>
          <w:rFonts w:ascii="Traditional Arabic" w:hAnsi="Traditional Arabic"/>
          <w:rtl/>
        </w:rPr>
        <w:t xml:space="preserve"> كقوله تعالى: </w:t>
      </w:r>
      <w:r w:rsidRPr="008900CA">
        <w:rPr>
          <w:rFonts w:ascii="QCF_BSML" w:hAnsi="QCF_BSML" w:cs="QCF_BSML"/>
          <w:sz w:val="32"/>
          <w:szCs w:val="32"/>
          <w:rtl/>
          <w:lang w:eastAsia="en-US"/>
        </w:rPr>
        <w:t xml:space="preserve">ﭽ </w:t>
      </w:r>
      <w:r w:rsidRPr="008900CA">
        <w:rPr>
          <w:rFonts w:ascii="QCF_P011" w:hAnsi="QCF_P011" w:cs="QCF_P011"/>
          <w:sz w:val="32"/>
          <w:szCs w:val="32"/>
          <w:rtl/>
          <w:lang w:eastAsia="en-US"/>
        </w:rPr>
        <w:t xml:space="preserve">ﭺ  ﭻ  ﭼ  </w:t>
      </w:r>
      <w:r w:rsidRPr="008900CA">
        <w:rPr>
          <w:rFonts w:ascii="QCF_BSML" w:hAnsi="QCF_BSML" w:cs="QCF_BSML"/>
          <w:sz w:val="32"/>
          <w:szCs w:val="32"/>
          <w:rtl/>
          <w:lang w:eastAsia="en-US"/>
        </w:rPr>
        <w:t>ﭼ</w:t>
      </w:r>
      <w:r w:rsidRPr="008900CA">
        <w:rPr>
          <w:rFonts w:ascii="Traditional Arabic" w:hAnsi="Traditional Arabic" w:hint="cs"/>
          <w:sz w:val="32"/>
          <w:szCs w:val="32"/>
          <w:rtl/>
        </w:rPr>
        <w:t>[</w:t>
      </w:r>
      <w:r w:rsidRPr="008900CA">
        <w:rPr>
          <w:rFonts w:ascii="Traditional Arabic" w:hAnsi="Traditional Arabic"/>
          <w:sz w:val="32"/>
          <w:szCs w:val="32"/>
          <w:rtl/>
        </w:rPr>
        <w:t>البقرة:71</w:t>
      </w:r>
      <w:r w:rsidRPr="008900CA">
        <w:rPr>
          <w:rFonts w:ascii="Traditional Arabic" w:hAnsi="Traditional Arabic" w:hint="cs"/>
          <w:sz w:val="32"/>
          <w:szCs w:val="32"/>
          <w:rtl/>
        </w:rPr>
        <w:t>]</w:t>
      </w:r>
      <w:r w:rsidRPr="008900CA">
        <w:rPr>
          <w:vertAlign w:val="superscript"/>
          <w:rtl/>
        </w:rPr>
        <w:t>(</w:t>
      </w:r>
      <w:r w:rsidRPr="008900CA">
        <w:rPr>
          <w:vertAlign w:val="superscript"/>
          <w:rtl/>
        </w:rPr>
        <w:footnoteReference w:id="1885"/>
      </w:r>
      <w:r w:rsidRPr="008900CA">
        <w:rPr>
          <w:vertAlign w:val="superscript"/>
          <w:rtl/>
        </w:rPr>
        <w:t>)</w:t>
      </w:r>
      <w:r w:rsidRPr="008900CA">
        <w:rPr>
          <w:rFonts w:ascii="Traditional Arabic" w:hAnsi="Traditional Arabic" w:hint="cs"/>
          <w:rtl/>
        </w:rPr>
        <w:t>.</w:t>
      </w:r>
      <w:r w:rsidRPr="008900CA">
        <w:rPr>
          <w:rFonts w:ascii="Traditional Arabic" w:hAnsi="Traditional Arabic"/>
          <w:rtl/>
        </w:rPr>
        <w:t xml:space="preserve"> قال المفسّرون: وإن كانوا كذلك لأنهم لا يعرفون غير لغتهم</w:t>
      </w:r>
      <w:r w:rsidRPr="008900CA">
        <w:rPr>
          <w:vertAlign w:val="superscript"/>
          <w:rtl/>
        </w:rPr>
        <w:t>(</w:t>
      </w:r>
      <w:r w:rsidRPr="008900CA">
        <w:rPr>
          <w:vertAlign w:val="superscript"/>
          <w:rtl/>
        </w:rPr>
        <w:footnoteReference w:id="1886"/>
      </w:r>
      <w:r w:rsidRPr="008900CA">
        <w:rPr>
          <w:vertAlign w:val="superscript"/>
          <w:rtl/>
        </w:rPr>
        <w:t>)</w:t>
      </w:r>
      <w:r w:rsidRPr="008900CA">
        <w:rPr>
          <w:rFonts w:ascii="Traditional Arabic" w:hAnsi="Traditional Arabic"/>
          <w:rtl/>
        </w:rPr>
        <w:t>. وقرأ حمزة، والكسائي: «يُفْقِهُون» بضم الياء، أراد: يُفْهِمُون غيرهم</w:t>
      </w:r>
      <w:r w:rsidRPr="008900CA">
        <w:rPr>
          <w:vertAlign w:val="superscript"/>
          <w:rtl/>
        </w:rPr>
        <w:t>(</w:t>
      </w:r>
      <w:r w:rsidRPr="008900CA">
        <w:rPr>
          <w:vertAlign w:val="superscript"/>
          <w:rtl/>
        </w:rPr>
        <w:footnoteReference w:id="1887"/>
      </w:r>
      <w:r w:rsidRPr="008900CA">
        <w:rPr>
          <w:vertAlign w:val="superscript"/>
          <w:rtl/>
        </w:rPr>
        <w:t>)</w:t>
      </w:r>
      <w:r w:rsidRPr="008900CA">
        <w:rPr>
          <w:rFonts w:ascii="Traditional Arabic" w:hAnsi="Traditional Arabic"/>
          <w:rtl/>
        </w:rPr>
        <w:t>. وقيل: كلَّم ذا القرنين عنهم مترجِمون ترجموا</w:t>
      </w:r>
      <w:r w:rsidRPr="008900CA">
        <w:rPr>
          <w:vertAlign w:val="superscript"/>
          <w:rtl/>
        </w:rPr>
        <w:t>(</w:t>
      </w:r>
      <w:r w:rsidRPr="008900CA">
        <w:rPr>
          <w:vertAlign w:val="superscript"/>
          <w:rtl/>
        </w:rPr>
        <w:footnoteReference w:id="1888"/>
      </w:r>
      <w:r w:rsidRPr="008900CA">
        <w:rPr>
          <w:vertAlign w:val="superscript"/>
          <w:rtl/>
        </w:rPr>
        <w:t>)</w:t>
      </w:r>
      <w:r w:rsidRPr="008900CA">
        <w:rPr>
          <w:rFonts w:ascii="Traditional Arabic" w:hAnsi="Traditional Arabic"/>
          <w:rtl/>
        </w:rPr>
        <w:t>.</w:t>
      </w:r>
      <w:r w:rsidRPr="008900CA">
        <w:rPr>
          <w:rFonts w:ascii="Traditional Arabic" w:hAnsi="Traditional Arabic" w:hint="cs"/>
          <w:rtl/>
        </w:rPr>
        <w:t xml:space="preserve"> </w:t>
      </w:r>
      <w:r w:rsidRPr="008900CA">
        <w:rPr>
          <w:rFonts w:ascii="Traditional Arabic" w:hAnsi="Traditional Arabic"/>
          <w:rtl/>
        </w:rPr>
        <w:t xml:space="preserve">قوله تعالى: </w:t>
      </w:r>
      <w:r w:rsidRPr="008900CA">
        <w:rPr>
          <w:rFonts w:ascii="QCF_BSML" w:hAnsi="QCF_BSML" w:cs="QCF_BSML"/>
          <w:sz w:val="32"/>
          <w:szCs w:val="32"/>
          <w:rtl/>
          <w:lang w:eastAsia="en-US"/>
        </w:rPr>
        <w:t>ﭽ</w:t>
      </w:r>
      <w:r w:rsidRPr="008900CA">
        <w:rPr>
          <w:rFonts w:ascii="Traditional Arabic" w:hAnsi="Traditional Arabic"/>
          <w:rtl/>
        </w:rPr>
        <w:t xml:space="preserve"> </w:t>
      </w:r>
      <w:r w:rsidRPr="008900CA">
        <w:rPr>
          <w:rFonts w:ascii="QCF_P303" w:hAnsi="QCF_P303" w:cs="QCF_P303"/>
          <w:color w:val="auto"/>
          <w:sz w:val="32"/>
          <w:szCs w:val="32"/>
          <w:rtl/>
          <w:lang w:eastAsia="en-US"/>
        </w:rPr>
        <w:t xml:space="preserve">ﯧ  ﯨ   ﯩ   </w:t>
      </w:r>
      <w:r w:rsidRPr="008900CA">
        <w:rPr>
          <w:rFonts w:ascii="QCF_BSML" w:hAnsi="QCF_BSML" w:cs="QCF_BSML"/>
          <w:sz w:val="32"/>
          <w:szCs w:val="32"/>
          <w:rtl/>
          <w:lang w:eastAsia="en-US"/>
        </w:rPr>
        <w:t>ﭼ</w:t>
      </w:r>
      <w:r w:rsidRPr="008900CA">
        <w:rPr>
          <w:rFonts w:ascii="Traditional Arabic" w:hAnsi="Traditional Arabic"/>
          <w:rtl/>
        </w:rPr>
        <w:t xml:space="preserve"> هما: اسمان أعجميان، وقد همزهما عاصم</w:t>
      </w:r>
      <w:r w:rsidRPr="008900CA">
        <w:rPr>
          <w:vertAlign w:val="superscript"/>
          <w:rtl/>
        </w:rPr>
        <w:t>(</w:t>
      </w:r>
      <w:r w:rsidRPr="008900CA">
        <w:rPr>
          <w:vertAlign w:val="superscript"/>
          <w:rtl/>
        </w:rPr>
        <w:footnoteReference w:id="1889"/>
      </w:r>
      <w:r w:rsidRPr="008900CA">
        <w:rPr>
          <w:vertAlign w:val="superscript"/>
          <w:rtl/>
        </w:rPr>
        <w:t>)</w:t>
      </w:r>
      <w:r w:rsidRPr="008900CA">
        <w:rPr>
          <w:rFonts w:ascii="Traditional Arabic" w:hAnsi="Traditional Arabic"/>
          <w:rtl/>
        </w:rPr>
        <w:t>. قال الليث: الهمز لغة رديئة</w:t>
      </w:r>
      <w:r w:rsidRPr="008900CA">
        <w:rPr>
          <w:vertAlign w:val="superscript"/>
          <w:rtl/>
        </w:rPr>
        <w:t>(</w:t>
      </w:r>
      <w:r w:rsidRPr="008900CA">
        <w:rPr>
          <w:vertAlign w:val="superscript"/>
          <w:rtl/>
        </w:rPr>
        <w:footnoteReference w:id="1890"/>
      </w:r>
      <w:r w:rsidRPr="008900CA">
        <w:rPr>
          <w:vertAlign w:val="superscript"/>
          <w:rtl/>
        </w:rPr>
        <w:t>)</w:t>
      </w:r>
      <w:r w:rsidRPr="008900CA">
        <w:rPr>
          <w:rFonts w:ascii="Traditional Arabic" w:hAnsi="Traditional Arabic"/>
          <w:rtl/>
        </w:rPr>
        <w:t xml:space="preserve">. قال ابن عباس: </w:t>
      </w:r>
      <w:r w:rsidRPr="008900CA">
        <w:rPr>
          <w:rFonts w:ascii="Traditional Arabic" w:hAnsi="Traditional Arabic"/>
          <w:sz w:val="32"/>
          <w:szCs w:val="32"/>
          <w:rtl/>
        </w:rPr>
        <w:t>[</w:t>
      </w:r>
      <w:r w:rsidRPr="008900CA">
        <w:rPr>
          <w:rFonts w:ascii="Traditional Arabic" w:hAnsi="Traditional Arabic" w:hint="cs"/>
          <w:sz w:val="32"/>
          <w:szCs w:val="32"/>
          <w:rtl/>
        </w:rPr>
        <w:t>149</w:t>
      </w:r>
      <w:r w:rsidRPr="008900CA">
        <w:rPr>
          <w:rFonts w:ascii="Traditional Arabic" w:hAnsi="Traditional Arabic"/>
          <w:sz w:val="32"/>
          <w:szCs w:val="32"/>
          <w:rtl/>
        </w:rPr>
        <w:t>]</w:t>
      </w:r>
      <w:r w:rsidRPr="008900CA">
        <w:rPr>
          <w:rFonts w:ascii="Traditional Arabic" w:hAnsi="Traditional Arabic"/>
          <w:rtl/>
        </w:rPr>
        <w:t xml:space="preserve"> يأجوج رجل، </w:t>
      </w:r>
      <w:r w:rsidRPr="008900CA">
        <w:rPr>
          <w:rFonts w:ascii="Traditional Arabic" w:hAnsi="Traditional Arabic" w:hint="cs"/>
          <w:rtl/>
        </w:rPr>
        <w:t xml:space="preserve">ومأجوج رجل, </w:t>
      </w:r>
      <w:r w:rsidRPr="008900CA">
        <w:rPr>
          <w:rFonts w:ascii="Traditional Arabic" w:hAnsi="Traditional Arabic"/>
          <w:rtl/>
        </w:rPr>
        <w:t>وهما ابنا يافث بن نوح عليه السلام، فيأجوج ومأجوج عشرة</w:t>
      </w:r>
      <w:r w:rsidRPr="008900CA">
        <w:rPr>
          <w:rFonts w:ascii="Traditional Arabic" w:hAnsi="Traditional Arabic" w:hint="cs"/>
          <w:rtl/>
        </w:rPr>
        <w:t xml:space="preserve"> </w:t>
      </w:r>
      <w:r w:rsidRPr="008900CA">
        <w:rPr>
          <w:rFonts w:ascii="Traditional Arabic" w:hAnsi="Traditional Arabic"/>
          <w:rtl/>
          <w:lang w:eastAsia="en-US"/>
        </w:rPr>
        <w:t>أجزاء، وولد آدم كلُّهم جزء، وهم شِبْر وشبران وثلاثة أشبار</w:t>
      </w:r>
      <w:r w:rsidRPr="008900CA">
        <w:rPr>
          <w:vertAlign w:val="superscript"/>
          <w:rtl/>
        </w:rPr>
        <w:t>(</w:t>
      </w:r>
      <w:r w:rsidRPr="008900CA">
        <w:rPr>
          <w:vertAlign w:val="superscript"/>
          <w:rtl/>
        </w:rPr>
        <w:footnoteReference w:id="1891"/>
      </w:r>
      <w:r w:rsidRPr="008900CA">
        <w:rPr>
          <w:vertAlign w:val="superscript"/>
          <w:rtl/>
        </w:rPr>
        <w:t>)</w:t>
      </w:r>
      <w:r w:rsidRPr="008900CA">
        <w:rPr>
          <w:rFonts w:ascii="Traditional Arabic" w:hAnsi="Traditional Arabic"/>
          <w:rtl/>
          <w:lang w:eastAsia="en-US"/>
        </w:rPr>
        <w:t>. وقال عليّ رضي الله عنه: منهم مَنْ طوله شِبْر، ومنهم من هو مُفْرِط في الطُّول، ولهم من الشَّعر ما يواريهم من الحَرِّ والبَرْد</w:t>
      </w:r>
      <w:r w:rsidRPr="008900CA">
        <w:rPr>
          <w:vertAlign w:val="superscript"/>
          <w:rtl/>
        </w:rPr>
        <w:t>(</w:t>
      </w:r>
      <w:r w:rsidRPr="008900CA">
        <w:rPr>
          <w:vertAlign w:val="superscript"/>
          <w:rtl/>
        </w:rPr>
        <w:footnoteReference w:id="1892"/>
      </w:r>
      <w:r w:rsidRPr="008900CA">
        <w:rPr>
          <w:vertAlign w:val="superscript"/>
          <w:rtl/>
        </w:rPr>
        <w:t>)</w:t>
      </w:r>
      <w:r w:rsidRPr="008900CA">
        <w:rPr>
          <w:rFonts w:ascii="Traditional Arabic" w:hAnsi="Traditional Arabic"/>
          <w:rtl/>
          <w:lang w:eastAsia="en-US"/>
        </w:rPr>
        <w:t>. وقال الضحاك: هم جيل من التُّرك</w:t>
      </w:r>
      <w:r w:rsidRPr="008900CA">
        <w:rPr>
          <w:vertAlign w:val="superscript"/>
          <w:rtl/>
        </w:rPr>
        <w:t>(</w:t>
      </w:r>
      <w:r w:rsidRPr="008900CA">
        <w:rPr>
          <w:vertAlign w:val="superscript"/>
          <w:rtl/>
        </w:rPr>
        <w:footnoteReference w:id="1893"/>
      </w:r>
      <w:r w:rsidRPr="008900CA">
        <w:rPr>
          <w:vertAlign w:val="superscript"/>
          <w:rtl/>
        </w:rPr>
        <w:t>)</w:t>
      </w:r>
      <w:r w:rsidRPr="008900CA">
        <w:rPr>
          <w:rFonts w:ascii="Traditional Arabic" w:hAnsi="Traditional Arabic"/>
          <w:rtl/>
          <w:lang w:eastAsia="en-US"/>
        </w:rPr>
        <w:t xml:space="preserve">. وقال السدي: التُرك سريّة من يأجوج ومأجوج خرجت </w:t>
      </w:r>
    </w:p>
    <w:p w:rsidR="007A7F88" w:rsidRDefault="007A7F88" w:rsidP="008900CA">
      <w:pPr>
        <w:ind w:firstLine="0"/>
        <w:rPr>
          <w:rFonts w:ascii="Traditional Arabic" w:hAnsi="Traditional Arabic"/>
          <w:rtl/>
          <w:lang w:eastAsia="en-US"/>
        </w:rPr>
      </w:pPr>
    </w:p>
    <w:p w:rsidR="007A7F88" w:rsidRDefault="007A7F88" w:rsidP="008900CA">
      <w:pPr>
        <w:ind w:firstLine="0"/>
        <w:rPr>
          <w:rFonts w:ascii="Traditional Arabic" w:hAnsi="Traditional Arabic"/>
          <w:rtl/>
          <w:lang w:eastAsia="en-US"/>
        </w:rPr>
      </w:pPr>
    </w:p>
    <w:p w:rsidR="007A7F88" w:rsidRDefault="008900CA" w:rsidP="007A7F88">
      <w:pPr>
        <w:ind w:firstLine="0"/>
        <w:rPr>
          <w:rFonts w:ascii="Traditional Arabic" w:hAnsi="Traditional Arabic"/>
          <w:rtl/>
          <w:lang w:eastAsia="en-US"/>
        </w:rPr>
      </w:pPr>
      <w:r w:rsidRPr="008900CA">
        <w:rPr>
          <w:rFonts w:ascii="Traditional Arabic" w:hAnsi="Traditional Arabic"/>
          <w:rtl/>
          <w:lang w:eastAsia="en-US"/>
        </w:rPr>
        <w:lastRenderedPageBreak/>
        <w:t>تُغِير، فجاء ذو القرنين فضرب السَّد، فبقيت خارجه</w:t>
      </w:r>
      <w:r w:rsidRPr="008900CA">
        <w:rPr>
          <w:vertAlign w:val="superscript"/>
          <w:rtl/>
        </w:rPr>
        <w:t>(</w:t>
      </w:r>
      <w:r w:rsidRPr="008900CA">
        <w:rPr>
          <w:vertAlign w:val="superscript"/>
          <w:rtl/>
        </w:rPr>
        <w:footnoteReference w:id="1894"/>
      </w:r>
      <w:r w:rsidRPr="008900CA">
        <w:rPr>
          <w:vertAlign w:val="superscript"/>
          <w:rtl/>
        </w:rPr>
        <w:t>)</w:t>
      </w:r>
      <w:r w:rsidRPr="008900CA">
        <w:rPr>
          <w:rFonts w:ascii="Traditional Arabic" w:hAnsi="Traditional Arabic"/>
          <w:rtl/>
          <w:lang w:eastAsia="en-US"/>
        </w:rPr>
        <w:t>.</w:t>
      </w:r>
      <w:r w:rsidRPr="008900CA">
        <w:rPr>
          <w:rFonts w:ascii="Traditional Arabic" w:hAnsi="Traditional Arabic" w:hint="cs"/>
          <w:rtl/>
          <w:lang w:eastAsia="en-US"/>
        </w:rPr>
        <w:t xml:space="preserve"> </w:t>
      </w:r>
      <w:r w:rsidRPr="008900CA">
        <w:rPr>
          <w:rFonts w:ascii="Traditional Arabic" w:hAnsi="Traditional Arabic"/>
          <w:rtl/>
          <w:lang w:eastAsia="en-US"/>
        </w:rPr>
        <w:t>وروى شقيق</w:t>
      </w:r>
      <w:r w:rsidRPr="008900CA">
        <w:rPr>
          <w:vertAlign w:val="superscript"/>
          <w:rtl/>
        </w:rPr>
        <w:t>(</w:t>
      </w:r>
      <w:r w:rsidRPr="008900CA">
        <w:rPr>
          <w:vertAlign w:val="superscript"/>
          <w:rtl/>
        </w:rPr>
        <w:footnoteReference w:id="1895"/>
      </w:r>
      <w:r w:rsidRPr="008900CA">
        <w:rPr>
          <w:vertAlign w:val="superscript"/>
          <w:rtl/>
        </w:rPr>
        <w:t>)</w:t>
      </w:r>
      <w:r w:rsidRPr="008900CA">
        <w:rPr>
          <w:rFonts w:ascii="Traditional Arabic" w:hAnsi="Traditional Arabic"/>
          <w:rtl/>
          <w:lang w:eastAsia="en-US"/>
        </w:rPr>
        <w:t>عن حذيفة، قال: سألت رسول الله</w:t>
      </w:r>
      <w:r w:rsidRPr="008900CA">
        <w:rPr>
          <w:rFonts w:ascii="Traditional Arabic" w:hAnsi="Traditional Arabic" w:hint="cs"/>
          <w:rtl/>
          <w:lang w:eastAsia="en-US"/>
        </w:rPr>
        <w:t xml:space="preserve"> </w:t>
      </w:r>
      <w:r w:rsidRPr="008900CA">
        <w:rPr>
          <w:rFonts w:ascii="Traditional Arabic" w:hAnsi="Traditional Arabic"/>
          <w:lang w:eastAsia="en-US"/>
        </w:rPr>
        <w:sym w:font="AGA Arabesque" w:char="F072"/>
      </w:r>
      <w:r w:rsidRPr="008900CA">
        <w:rPr>
          <w:rFonts w:ascii="Traditional Arabic" w:hAnsi="Traditional Arabic"/>
          <w:rtl/>
          <w:lang w:eastAsia="en-US"/>
        </w:rPr>
        <w:t xml:space="preserve"> عن يأجوج ومأجوج، فقال:</w:t>
      </w:r>
      <w:r w:rsidRPr="008900CA">
        <w:rPr>
          <w:rFonts w:ascii="Traditional Arabic" w:hAnsi="Traditional Arabic" w:hint="cs"/>
          <w:rtl/>
          <w:lang w:eastAsia="en-US"/>
        </w:rPr>
        <w:t xml:space="preserve"> </w:t>
      </w:r>
      <w:r w:rsidRPr="008900CA">
        <w:rPr>
          <w:rFonts w:ascii="Traditional Arabic" w:hAnsi="Traditional Arabic"/>
          <w:rtl/>
          <w:lang w:eastAsia="en-US"/>
        </w:rPr>
        <w:t>«يأجوج  أُمَّة، ومأجوج أُمَّة، كل أُمَّة أربعمائة ألف أُمَّة، لا يموت الرجُل منهم حتى ينظر إِلى ألف ذَكَر بين يديه من صُلْبه كُلٌّ قد حمل السلاح» قلت: يا رسول الله، صِفْهُم لنا، قال: «هم ثلاثة أصناف، صنف منهم أمثال الأ</w:t>
      </w:r>
      <w:r w:rsidR="00FD75C0">
        <w:rPr>
          <w:rFonts w:ascii="Traditional Arabic" w:hAnsi="Traditional Arabic" w:hint="cs"/>
          <w:rtl/>
          <w:lang w:eastAsia="en-US"/>
        </w:rPr>
        <w:t>َ</w:t>
      </w:r>
      <w:r w:rsidRPr="008900CA">
        <w:rPr>
          <w:rFonts w:ascii="Traditional Arabic" w:hAnsi="Traditional Arabic"/>
          <w:rtl/>
          <w:lang w:eastAsia="en-US"/>
        </w:rPr>
        <w:t>رز» قلت: يا رسول الله: وما الأ</w:t>
      </w:r>
      <w:r w:rsidR="00FD75C0">
        <w:rPr>
          <w:rFonts w:ascii="Traditional Arabic" w:hAnsi="Traditional Arabic" w:hint="cs"/>
          <w:rtl/>
          <w:lang w:eastAsia="en-US"/>
        </w:rPr>
        <w:t>َ</w:t>
      </w:r>
      <w:r w:rsidRPr="008900CA">
        <w:rPr>
          <w:rFonts w:ascii="Traditional Arabic" w:hAnsi="Traditional Arabic"/>
          <w:rtl/>
          <w:lang w:eastAsia="en-US"/>
        </w:rPr>
        <w:t>رز؟ قال: «شجر بالشام، طول الشجرة عشرون ومائة ذراع في السماء وصنف منهم عرضه وطوله سواء، عشرون ومائة ذراع، وهؤلاء الذين لا يقوم لهم جبل ولا حديد، وصنف منهم يفترش أحدهم أذنه، ويلتحف بالأخرى ولا يمرُّون بفيل ولا وحش ولا جمل ولا خنزير إِلا أكلوه، ومن مات منهم أكلوه، مقدّمتهم بالشّام، وساقتهم</w:t>
      </w:r>
      <w:r w:rsidRPr="008900CA">
        <w:rPr>
          <w:rFonts w:ascii="Traditional Arabic" w:hAnsi="Traditional Arabic" w:hint="cs"/>
          <w:rtl/>
          <w:lang w:eastAsia="en-US"/>
        </w:rPr>
        <w:t xml:space="preserve"> </w:t>
      </w:r>
      <w:r w:rsidRPr="008900CA">
        <w:rPr>
          <w:rFonts w:ascii="Traditional Arabic" w:hAnsi="Traditional Arabic"/>
          <w:rtl/>
          <w:lang w:eastAsia="en-US"/>
        </w:rPr>
        <w:t>بخراسان</w:t>
      </w:r>
      <w:r w:rsidRPr="008900CA">
        <w:rPr>
          <w:vertAlign w:val="superscript"/>
          <w:rtl/>
        </w:rPr>
        <w:t>(</w:t>
      </w:r>
      <w:r w:rsidRPr="008900CA">
        <w:rPr>
          <w:vertAlign w:val="superscript"/>
          <w:rtl/>
        </w:rPr>
        <w:footnoteReference w:id="1896"/>
      </w:r>
      <w:r w:rsidRPr="008900CA">
        <w:rPr>
          <w:vertAlign w:val="superscript"/>
          <w:rtl/>
        </w:rPr>
        <w:t>)</w:t>
      </w:r>
      <w:r w:rsidRPr="008900CA">
        <w:rPr>
          <w:rFonts w:ascii="Traditional Arabic" w:hAnsi="Traditional Arabic"/>
          <w:rtl/>
          <w:lang w:eastAsia="en-US"/>
        </w:rPr>
        <w:t>، يشربون أنهار المشرق وبحيرة طبرية</w:t>
      </w:r>
      <w:r w:rsidRPr="008900CA">
        <w:rPr>
          <w:vertAlign w:val="superscript"/>
          <w:rtl/>
        </w:rPr>
        <w:t>(</w:t>
      </w:r>
      <w:r w:rsidRPr="008900CA">
        <w:rPr>
          <w:vertAlign w:val="superscript"/>
          <w:rtl/>
        </w:rPr>
        <w:footnoteReference w:id="1897"/>
      </w:r>
      <w:r w:rsidRPr="008900CA">
        <w:rPr>
          <w:vertAlign w:val="superscript"/>
          <w:rtl/>
        </w:rPr>
        <w:t>)</w:t>
      </w:r>
      <w:r w:rsidRPr="008900CA">
        <w:rPr>
          <w:rFonts w:ascii="Traditional Arabic" w:hAnsi="Traditional Arabic"/>
          <w:rtl/>
          <w:lang w:eastAsia="en-US"/>
        </w:rPr>
        <w:t>»</w:t>
      </w:r>
      <w:r w:rsidRPr="008900CA">
        <w:rPr>
          <w:vertAlign w:val="superscript"/>
          <w:rtl/>
        </w:rPr>
        <w:t>(</w:t>
      </w:r>
      <w:r w:rsidRPr="008900CA">
        <w:rPr>
          <w:vertAlign w:val="superscript"/>
          <w:rtl/>
        </w:rPr>
        <w:footnoteReference w:id="1898"/>
      </w:r>
      <w:r w:rsidRPr="008900CA">
        <w:rPr>
          <w:vertAlign w:val="superscript"/>
          <w:rtl/>
        </w:rPr>
        <w:t>)</w:t>
      </w:r>
      <w:r w:rsidRPr="008900CA">
        <w:rPr>
          <w:rFonts w:ascii="Traditional Arabic" w:hAnsi="Traditional Arabic"/>
          <w:rtl/>
          <w:lang w:eastAsia="en-US"/>
        </w:rPr>
        <w:t>.</w:t>
      </w:r>
      <w:r w:rsidRPr="008900CA">
        <w:rPr>
          <w:rFonts w:ascii="Traditional Arabic" w:hAnsi="Traditional Arabic" w:hint="cs"/>
          <w:rtl/>
          <w:lang w:eastAsia="en-US"/>
        </w:rPr>
        <w:t xml:space="preserve"> </w:t>
      </w:r>
      <w:r w:rsidRPr="008900CA">
        <w:rPr>
          <w:rFonts w:ascii="Traditional Arabic" w:hAnsi="Traditional Arabic"/>
          <w:rtl/>
          <w:lang w:eastAsia="en-US"/>
        </w:rPr>
        <w:t>قوله تعالى:</w:t>
      </w:r>
      <w:r w:rsidRPr="008900CA">
        <w:rPr>
          <w:rFonts w:ascii="QCF_BSML" w:hAnsi="QCF_BSML" w:cs="QCF_BSML"/>
          <w:sz w:val="32"/>
          <w:szCs w:val="32"/>
          <w:rtl/>
          <w:lang w:eastAsia="en-US"/>
        </w:rPr>
        <w:t xml:space="preserve"> ﭽ</w:t>
      </w:r>
      <w:r w:rsidRPr="008900CA">
        <w:rPr>
          <w:rFonts w:ascii="Traditional Arabic" w:hAnsi="Traditional Arabic"/>
          <w:rtl/>
          <w:lang w:eastAsia="en-US"/>
        </w:rPr>
        <w:t xml:space="preserve"> </w:t>
      </w:r>
      <w:r w:rsidRPr="008900CA">
        <w:rPr>
          <w:rFonts w:ascii="QCF_P303" w:hAnsi="QCF_P303" w:cs="QCF_P303"/>
          <w:color w:val="auto"/>
          <w:sz w:val="32"/>
          <w:szCs w:val="32"/>
          <w:rtl/>
          <w:lang w:eastAsia="en-US"/>
        </w:rPr>
        <w:t>ﯪ  ﯫ  ﯬ</w:t>
      </w:r>
      <w:r w:rsidRPr="008900CA">
        <w:rPr>
          <w:rFonts w:ascii="QCF_BSML" w:hAnsi="QCF_BSML" w:cs="QCF_BSML"/>
          <w:color w:val="auto"/>
          <w:sz w:val="32"/>
          <w:szCs w:val="32"/>
          <w:rtl/>
          <w:lang w:eastAsia="en-US"/>
        </w:rPr>
        <w:t xml:space="preserve"> ﭼ</w:t>
      </w:r>
      <w:r w:rsidRPr="008900CA">
        <w:rPr>
          <w:rFonts w:ascii="QCF_P303" w:hAnsi="QCF_P303" w:cs="QCF_P303"/>
          <w:color w:val="auto"/>
          <w:sz w:val="32"/>
          <w:szCs w:val="32"/>
          <w:rtl/>
          <w:lang w:eastAsia="en-US"/>
        </w:rPr>
        <w:t xml:space="preserve">   </w:t>
      </w:r>
      <w:r w:rsidRPr="008900CA">
        <w:rPr>
          <w:rFonts w:ascii="Traditional Arabic" w:hAnsi="Traditional Arabic"/>
          <w:rtl/>
          <w:lang w:eastAsia="en-US"/>
        </w:rPr>
        <w:t>في هذا الفساد أربعة أقوال: أحدها: أنهم كانوا يفعلون فِعْل قوم لوط، قاله وهب بن منبِّه</w:t>
      </w:r>
      <w:r w:rsidRPr="008900CA">
        <w:rPr>
          <w:vertAlign w:val="superscript"/>
          <w:rtl/>
        </w:rPr>
        <w:t>(</w:t>
      </w:r>
      <w:r w:rsidRPr="008900CA">
        <w:rPr>
          <w:vertAlign w:val="superscript"/>
          <w:rtl/>
        </w:rPr>
        <w:footnoteReference w:id="1899"/>
      </w:r>
      <w:r w:rsidRPr="008900CA">
        <w:rPr>
          <w:vertAlign w:val="superscript"/>
          <w:rtl/>
        </w:rPr>
        <w:t>)</w:t>
      </w:r>
      <w:r w:rsidRPr="008900CA">
        <w:rPr>
          <w:rFonts w:ascii="Traditional Arabic" w:hAnsi="Traditional Arabic"/>
          <w:rtl/>
          <w:lang w:eastAsia="en-US"/>
        </w:rPr>
        <w:t xml:space="preserve">. والثاني: </w:t>
      </w:r>
    </w:p>
    <w:p w:rsidR="007A7F88" w:rsidRDefault="007A7F88" w:rsidP="007A7F88">
      <w:pPr>
        <w:ind w:firstLine="0"/>
        <w:rPr>
          <w:rFonts w:ascii="Traditional Arabic" w:hAnsi="Traditional Arabic"/>
          <w:rtl/>
          <w:lang w:eastAsia="en-US"/>
        </w:rPr>
      </w:pPr>
    </w:p>
    <w:p w:rsidR="007A7F88" w:rsidRDefault="007A7F88" w:rsidP="007A7F88">
      <w:pPr>
        <w:ind w:firstLine="0"/>
        <w:rPr>
          <w:rFonts w:ascii="Traditional Arabic" w:hAnsi="Traditional Arabic"/>
          <w:rtl/>
          <w:lang w:eastAsia="en-US"/>
        </w:rPr>
      </w:pPr>
    </w:p>
    <w:p w:rsidR="007A7F88" w:rsidRDefault="007A7F88" w:rsidP="007A7F88">
      <w:pPr>
        <w:ind w:firstLine="0"/>
        <w:rPr>
          <w:rFonts w:ascii="Traditional Arabic" w:hAnsi="Traditional Arabic"/>
          <w:rtl/>
          <w:lang w:eastAsia="en-US"/>
        </w:rPr>
      </w:pPr>
    </w:p>
    <w:p w:rsidR="007A7F88" w:rsidRDefault="008900CA" w:rsidP="007A7F88">
      <w:pPr>
        <w:ind w:firstLine="0"/>
        <w:rPr>
          <w:rFonts w:ascii="Traditional Arabic" w:hAnsi="Traditional Arabic"/>
          <w:rtl/>
          <w:lang w:eastAsia="en-US"/>
        </w:rPr>
      </w:pPr>
      <w:r w:rsidRPr="008900CA">
        <w:rPr>
          <w:rFonts w:ascii="Traditional Arabic" w:hAnsi="Traditional Arabic"/>
          <w:rtl/>
          <w:lang w:eastAsia="en-US"/>
        </w:rPr>
        <w:lastRenderedPageBreak/>
        <w:t>أنهم كانوا يأكلون الناس، قاله سعيد بن عبد العزيز</w:t>
      </w:r>
      <w:r w:rsidRPr="008900CA">
        <w:rPr>
          <w:vertAlign w:val="superscript"/>
          <w:rtl/>
        </w:rPr>
        <w:t>(</w:t>
      </w:r>
      <w:r w:rsidRPr="008900CA">
        <w:rPr>
          <w:vertAlign w:val="superscript"/>
          <w:rtl/>
        </w:rPr>
        <w:footnoteReference w:id="1900"/>
      </w:r>
      <w:r w:rsidRPr="008900CA">
        <w:rPr>
          <w:vertAlign w:val="superscript"/>
          <w:rtl/>
        </w:rPr>
        <w:t>)(</w:t>
      </w:r>
      <w:r w:rsidRPr="008900CA">
        <w:rPr>
          <w:vertAlign w:val="superscript"/>
          <w:rtl/>
        </w:rPr>
        <w:footnoteReference w:id="1901"/>
      </w:r>
      <w:r w:rsidRPr="008900CA">
        <w:rPr>
          <w:vertAlign w:val="superscript"/>
          <w:rtl/>
        </w:rPr>
        <w:t>)</w:t>
      </w:r>
      <w:r w:rsidRPr="008900CA">
        <w:rPr>
          <w:rFonts w:ascii="Traditional Arabic" w:hAnsi="Traditional Arabic"/>
          <w:rtl/>
          <w:lang w:eastAsia="en-US"/>
        </w:rPr>
        <w:t>. والثالث:</w:t>
      </w:r>
      <w:r w:rsidRPr="008900CA">
        <w:rPr>
          <w:rFonts w:ascii="Traditional Arabic" w:hAnsi="Traditional Arabic" w:hint="cs"/>
          <w:rtl/>
          <w:lang w:eastAsia="en-US"/>
        </w:rPr>
        <w:t xml:space="preserve"> </w:t>
      </w:r>
      <w:r w:rsidRPr="008900CA">
        <w:rPr>
          <w:rFonts w:ascii="Traditional Arabic" w:hAnsi="Traditional Arabic"/>
          <w:rtl/>
          <w:lang w:eastAsia="en-US"/>
        </w:rPr>
        <w:t>يُخرِجون إِلى الأرض الذين شَكَوْا منهم أيام الربيع، فلا يَدَعون شيئاً أخضر إِلا أكلوه، ولا يابساً إِلا احتملوه إِلى أرضهم، قاله ابن السائب</w:t>
      </w:r>
      <w:r w:rsidRPr="008900CA">
        <w:rPr>
          <w:vertAlign w:val="superscript"/>
          <w:rtl/>
        </w:rPr>
        <w:t>(</w:t>
      </w:r>
      <w:r w:rsidRPr="008900CA">
        <w:rPr>
          <w:vertAlign w:val="superscript"/>
          <w:rtl/>
        </w:rPr>
        <w:footnoteReference w:id="1902"/>
      </w:r>
      <w:r w:rsidRPr="008900CA">
        <w:rPr>
          <w:vertAlign w:val="superscript"/>
          <w:rtl/>
        </w:rPr>
        <w:t>)</w:t>
      </w:r>
      <w:r w:rsidRPr="008900CA">
        <w:rPr>
          <w:rFonts w:ascii="Traditional Arabic" w:hAnsi="Traditional Arabic"/>
          <w:rtl/>
          <w:lang w:eastAsia="en-US"/>
        </w:rPr>
        <w:t>. والرابع: كانوا يقتلون الناس، قاله مقاتل</w:t>
      </w:r>
      <w:r w:rsidRPr="008900CA">
        <w:rPr>
          <w:vertAlign w:val="superscript"/>
          <w:rtl/>
        </w:rPr>
        <w:t>(</w:t>
      </w:r>
      <w:r w:rsidRPr="008900CA">
        <w:rPr>
          <w:vertAlign w:val="superscript"/>
          <w:rtl/>
        </w:rPr>
        <w:footnoteReference w:id="1903"/>
      </w:r>
      <w:r w:rsidRPr="008900CA">
        <w:rPr>
          <w:vertAlign w:val="superscript"/>
          <w:rtl/>
        </w:rPr>
        <w:t>)</w:t>
      </w:r>
      <w:r w:rsidRPr="008900CA">
        <w:rPr>
          <w:rFonts w:ascii="Traditional Arabic" w:hAnsi="Traditional Arabic"/>
          <w:rtl/>
          <w:lang w:eastAsia="en-US"/>
        </w:rPr>
        <w:t>.</w:t>
      </w:r>
      <w:r w:rsidRPr="008900CA">
        <w:rPr>
          <w:rFonts w:ascii="Traditional Arabic" w:hAnsi="Traditional Arabic" w:hint="cs"/>
          <w:rtl/>
          <w:lang w:eastAsia="en-US"/>
        </w:rPr>
        <w:t xml:space="preserve"> </w:t>
      </w:r>
      <w:r w:rsidRPr="008900CA">
        <w:rPr>
          <w:rFonts w:ascii="Traditional Arabic" w:hAnsi="Traditional Arabic"/>
          <w:rtl/>
          <w:lang w:eastAsia="en-US"/>
        </w:rPr>
        <w:t xml:space="preserve">قوله تعالى: </w:t>
      </w:r>
      <w:r w:rsidRPr="008900CA">
        <w:rPr>
          <w:rFonts w:ascii="QCF_BSML" w:hAnsi="QCF_BSML" w:cs="QCF_BSML"/>
          <w:sz w:val="32"/>
          <w:szCs w:val="32"/>
          <w:rtl/>
          <w:lang w:eastAsia="en-US"/>
        </w:rPr>
        <w:t>ﭽ</w:t>
      </w:r>
      <w:r w:rsidRPr="008900CA">
        <w:rPr>
          <w:rFonts w:ascii="QCF_P303" w:hAnsi="QCF_P303" w:cs="QCF_P303"/>
          <w:color w:val="auto"/>
          <w:sz w:val="32"/>
          <w:szCs w:val="32"/>
          <w:rtl/>
          <w:lang w:eastAsia="en-US"/>
        </w:rPr>
        <w:t xml:space="preserve"> ﯭ  ﯮ  ﯯ  ﯰ</w:t>
      </w:r>
      <w:r w:rsidRPr="008900CA">
        <w:rPr>
          <w:rFonts w:ascii="QCF_BSML" w:hAnsi="QCF_BSML" w:cs="QCF_BSML"/>
          <w:color w:val="auto"/>
          <w:sz w:val="32"/>
          <w:szCs w:val="32"/>
          <w:rtl/>
          <w:lang w:eastAsia="en-US"/>
        </w:rPr>
        <w:t xml:space="preserve"> ﭼ</w:t>
      </w:r>
      <w:r w:rsidRPr="008900CA">
        <w:rPr>
          <w:rFonts w:ascii="QCF_BSML" w:hAnsi="QCF_BSML" w:cs="QCF_BSML" w:hint="cs"/>
          <w:color w:val="auto"/>
          <w:sz w:val="32"/>
          <w:szCs w:val="32"/>
          <w:rtl/>
          <w:lang w:eastAsia="en-US"/>
        </w:rPr>
        <w:t xml:space="preserve"> </w:t>
      </w:r>
      <w:r w:rsidRPr="008900CA">
        <w:rPr>
          <w:rFonts w:ascii="QCF_P303" w:hAnsi="QCF_P303" w:cs="QCF_P303"/>
          <w:color w:val="auto"/>
          <w:sz w:val="32"/>
          <w:szCs w:val="32"/>
          <w:rtl/>
          <w:lang w:eastAsia="en-US"/>
        </w:rPr>
        <w:t xml:space="preserve">  </w:t>
      </w:r>
      <w:r w:rsidRPr="008900CA">
        <w:rPr>
          <w:rFonts w:ascii="Traditional Arabic" w:hAnsi="Traditional Arabic"/>
          <w:rtl/>
          <w:lang w:eastAsia="en-US"/>
        </w:rPr>
        <w:t>قرأ ابن كثير، ونافع، وأبو عمرو، وابن عامر، وعاصم:</w:t>
      </w:r>
      <w:r w:rsidRPr="008900CA">
        <w:rPr>
          <w:rFonts w:ascii="Traditional Arabic" w:hAnsi="Traditional Arabic" w:hint="cs"/>
          <w:rtl/>
          <w:lang w:eastAsia="en-US"/>
        </w:rPr>
        <w:t xml:space="preserve"> </w:t>
      </w:r>
      <w:r w:rsidRPr="008900CA">
        <w:rPr>
          <w:rFonts w:ascii="Traditional Arabic" w:hAnsi="Traditional Arabic"/>
          <w:rtl/>
          <w:lang w:eastAsia="en-US"/>
        </w:rPr>
        <w:t>«خَرجاً» بغير ألف. وقرأ حمزة، والكسائي: «خراجاً» بألف</w:t>
      </w:r>
      <w:r w:rsidRPr="008900CA">
        <w:rPr>
          <w:vertAlign w:val="superscript"/>
          <w:rtl/>
        </w:rPr>
        <w:t>(</w:t>
      </w:r>
      <w:r w:rsidRPr="008900CA">
        <w:rPr>
          <w:vertAlign w:val="superscript"/>
          <w:rtl/>
        </w:rPr>
        <w:footnoteReference w:id="1904"/>
      </w:r>
      <w:r w:rsidRPr="008900CA">
        <w:rPr>
          <w:vertAlign w:val="superscript"/>
          <w:rtl/>
        </w:rPr>
        <w:t>)</w:t>
      </w:r>
      <w:r w:rsidRPr="008900CA">
        <w:rPr>
          <w:rFonts w:ascii="Traditional Arabic" w:hAnsi="Traditional Arabic"/>
          <w:rtl/>
          <w:lang w:eastAsia="en-US"/>
        </w:rPr>
        <w:t>. وهل بينهما فرق؟ فيه قولان: أحدهما:</w:t>
      </w:r>
      <w:r w:rsidRPr="008900CA">
        <w:rPr>
          <w:rFonts w:ascii="Traditional Arabic" w:hAnsi="Traditional Arabic" w:hint="cs"/>
          <w:rtl/>
          <w:lang w:eastAsia="en-US"/>
        </w:rPr>
        <w:t xml:space="preserve"> </w:t>
      </w:r>
      <w:r w:rsidRPr="008900CA">
        <w:rPr>
          <w:rFonts w:ascii="Traditional Arabic" w:hAnsi="Traditional Arabic"/>
          <w:rtl/>
          <w:lang w:eastAsia="en-US"/>
        </w:rPr>
        <w:t xml:space="preserve">أنهما لغتان بمعنى واحد، قاله </w:t>
      </w:r>
      <w:r w:rsidRPr="008900CA">
        <w:rPr>
          <w:rFonts w:ascii="Traditional Arabic" w:hAnsi="Traditional Arabic" w:hint="cs"/>
          <w:rtl/>
          <w:lang w:eastAsia="en-US"/>
        </w:rPr>
        <w:t>[</w:t>
      </w:r>
      <w:r w:rsidRPr="008900CA">
        <w:rPr>
          <w:rFonts w:ascii="Traditional Arabic" w:hAnsi="Traditional Arabic"/>
          <w:rtl/>
          <w:lang w:eastAsia="en-US"/>
        </w:rPr>
        <w:t>أبو عبيد</w:t>
      </w:r>
      <w:r w:rsidRPr="008900CA">
        <w:rPr>
          <w:rFonts w:ascii="Traditional Arabic" w:hAnsi="Traditional Arabic" w:hint="cs"/>
          <w:rtl/>
          <w:lang w:eastAsia="en-US"/>
        </w:rPr>
        <w:t>]</w:t>
      </w:r>
      <w:r w:rsidRPr="008900CA">
        <w:rPr>
          <w:vertAlign w:val="superscript"/>
          <w:rtl/>
        </w:rPr>
        <w:t>(</w:t>
      </w:r>
      <w:r w:rsidRPr="008900CA">
        <w:rPr>
          <w:vertAlign w:val="superscript"/>
          <w:rtl/>
        </w:rPr>
        <w:footnoteReference w:id="1905"/>
      </w:r>
      <w:r w:rsidRPr="008900CA">
        <w:rPr>
          <w:vertAlign w:val="superscript"/>
          <w:rtl/>
        </w:rPr>
        <w:t>)</w:t>
      </w:r>
      <w:r w:rsidRPr="008900CA">
        <w:rPr>
          <w:rFonts w:ascii="Traditional Arabic" w:hAnsi="Traditional Arabic"/>
          <w:rtl/>
          <w:lang w:eastAsia="en-US"/>
        </w:rPr>
        <w:t>، والليث</w:t>
      </w:r>
      <w:r w:rsidRPr="008900CA">
        <w:rPr>
          <w:vertAlign w:val="superscript"/>
          <w:rtl/>
        </w:rPr>
        <w:t>(</w:t>
      </w:r>
      <w:r w:rsidRPr="008900CA">
        <w:rPr>
          <w:vertAlign w:val="superscript"/>
          <w:rtl/>
        </w:rPr>
        <w:footnoteReference w:id="1906"/>
      </w:r>
      <w:r w:rsidRPr="008900CA">
        <w:rPr>
          <w:vertAlign w:val="superscript"/>
          <w:rtl/>
        </w:rPr>
        <w:t>)</w:t>
      </w:r>
      <w:r w:rsidRPr="008900CA">
        <w:rPr>
          <w:rFonts w:ascii="Traditional Arabic" w:hAnsi="Traditional Arabic"/>
          <w:rtl/>
          <w:lang w:eastAsia="en-US"/>
        </w:rPr>
        <w:t>. والثاني: أن الخَرْجَ: ما تبرعت به، والخراج: ما لزمك أداؤه، قاله أبو عمرو بن العلاء</w:t>
      </w:r>
      <w:r w:rsidRPr="008900CA">
        <w:rPr>
          <w:vertAlign w:val="superscript"/>
          <w:rtl/>
        </w:rPr>
        <w:t>(</w:t>
      </w:r>
      <w:r w:rsidRPr="008900CA">
        <w:rPr>
          <w:vertAlign w:val="superscript"/>
          <w:rtl/>
        </w:rPr>
        <w:footnoteReference w:id="1907"/>
      </w:r>
      <w:r w:rsidRPr="008900CA">
        <w:rPr>
          <w:vertAlign w:val="superscript"/>
          <w:rtl/>
        </w:rPr>
        <w:t>)</w:t>
      </w:r>
      <w:r w:rsidRPr="008900CA">
        <w:rPr>
          <w:rFonts w:ascii="Traditional Arabic" w:hAnsi="Traditional Arabic"/>
          <w:rtl/>
          <w:lang w:eastAsia="en-US"/>
        </w:rPr>
        <w:t>. قال المفسرون: المعنى: هل نُخرج إِليك من أموالنا شيئاً كالجُعل لك؟</w:t>
      </w:r>
      <w:r w:rsidRPr="008900CA">
        <w:rPr>
          <w:vertAlign w:val="superscript"/>
          <w:rtl/>
        </w:rPr>
        <w:t>(</w:t>
      </w:r>
      <w:r w:rsidRPr="008900CA">
        <w:rPr>
          <w:vertAlign w:val="superscript"/>
          <w:rtl/>
        </w:rPr>
        <w:footnoteReference w:id="1908"/>
      </w:r>
      <w:r w:rsidRPr="008900CA">
        <w:rPr>
          <w:vertAlign w:val="superscript"/>
          <w:rtl/>
        </w:rPr>
        <w:t>)</w:t>
      </w:r>
      <w:r w:rsidRPr="008900CA">
        <w:rPr>
          <w:rFonts w:ascii="Traditional Arabic" w:hAnsi="Traditional Arabic" w:hint="cs"/>
          <w:rtl/>
          <w:lang w:eastAsia="en-US"/>
        </w:rPr>
        <w:t xml:space="preserve"> </w:t>
      </w:r>
      <w:r w:rsidRPr="008900CA">
        <w:rPr>
          <w:rFonts w:ascii="Traditional Arabic" w:hAnsi="Traditional Arabic"/>
          <w:rtl/>
          <w:lang w:eastAsia="en-US"/>
        </w:rPr>
        <w:t>قوله تعالى:</w:t>
      </w:r>
      <w:r w:rsidRPr="008900CA">
        <w:rPr>
          <w:rFonts w:ascii="QCF_BSML" w:hAnsi="QCF_BSML" w:cs="QCF_BSML"/>
          <w:sz w:val="32"/>
          <w:szCs w:val="32"/>
          <w:rtl/>
          <w:lang w:eastAsia="en-US"/>
        </w:rPr>
        <w:t xml:space="preserve"> ﭽ</w:t>
      </w:r>
      <w:r w:rsidRPr="008900CA">
        <w:rPr>
          <w:rFonts w:ascii="Traditional Arabic" w:hAnsi="Traditional Arabic"/>
          <w:rtl/>
          <w:lang w:eastAsia="en-US"/>
        </w:rPr>
        <w:t xml:space="preserve"> </w:t>
      </w:r>
      <w:r w:rsidRPr="008900CA">
        <w:rPr>
          <w:rFonts w:ascii="QCF_P303" w:hAnsi="QCF_P303" w:cs="QCF_P303"/>
          <w:color w:val="auto"/>
          <w:sz w:val="32"/>
          <w:szCs w:val="32"/>
          <w:rtl/>
          <w:lang w:eastAsia="en-US"/>
        </w:rPr>
        <w:t>ﯹ  ﯺ</w:t>
      </w:r>
      <w:r w:rsidRPr="008900CA">
        <w:rPr>
          <w:rFonts w:ascii="QCF_BSML" w:hAnsi="QCF_BSML" w:cs="QCF_BSML"/>
          <w:color w:val="auto"/>
          <w:sz w:val="32"/>
          <w:szCs w:val="32"/>
          <w:rtl/>
          <w:lang w:eastAsia="en-US"/>
        </w:rPr>
        <w:t xml:space="preserve"> ﭼ</w:t>
      </w:r>
      <w:r w:rsidRPr="008900CA">
        <w:rPr>
          <w:rFonts w:ascii="QCF_BSML" w:hAnsi="QCF_BSML" w:cs="QCF_BSML" w:hint="cs"/>
          <w:color w:val="auto"/>
          <w:sz w:val="32"/>
          <w:szCs w:val="32"/>
          <w:rtl/>
          <w:lang w:eastAsia="en-US"/>
        </w:rPr>
        <w:t xml:space="preserve">    </w:t>
      </w:r>
      <w:r w:rsidRPr="008900CA">
        <w:rPr>
          <w:rFonts w:ascii="QCF_P303" w:hAnsi="QCF_P303" w:cs="QCF_P303"/>
          <w:color w:val="auto"/>
          <w:sz w:val="32"/>
          <w:szCs w:val="32"/>
          <w:rtl/>
          <w:lang w:eastAsia="en-US"/>
        </w:rPr>
        <w:t xml:space="preserve">  </w:t>
      </w:r>
      <w:r w:rsidRPr="008900CA">
        <w:rPr>
          <w:rFonts w:ascii="Traditional Arabic" w:hAnsi="Traditional Arabic"/>
          <w:rtl/>
          <w:lang w:eastAsia="en-US"/>
        </w:rPr>
        <w:t>وقرأ ابن كثير: «مكَّنَني» بنونين، وكذلك هي في مصاحف مكة</w:t>
      </w:r>
      <w:r w:rsidRPr="008900CA">
        <w:rPr>
          <w:vertAlign w:val="superscript"/>
          <w:rtl/>
        </w:rPr>
        <w:t>(</w:t>
      </w:r>
      <w:r w:rsidRPr="008900CA">
        <w:rPr>
          <w:vertAlign w:val="superscript"/>
          <w:rtl/>
        </w:rPr>
        <w:footnoteReference w:id="1909"/>
      </w:r>
      <w:r w:rsidRPr="008900CA">
        <w:rPr>
          <w:vertAlign w:val="superscript"/>
          <w:rtl/>
        </w:rPr>
        <w:t>)</w:t>
      </w:r>
      <w:r w:rsidRPr="008900CA">
        <w:rPr>
          <w:rFonts w:ascii="Traditional Arabic" w:hAnsi="Traditional Arabic"/>
          <w:rtl/>
          <w:lang w:eastAsia="en-US"/>
        </w:rPr>
        <w:t xml:space="preserve">. قال الزجاج: من قرأ: «مكَّنِّي» بالتشديد، </w:t>
      </w:r>
      <w:r w:rsidRPr="008900CA">
        <w:rPr>
          <w:rFonts w:ascii="Traditional Arabic" w:hAnsi="Traditional Arabic"/>
          <w:sz w:val="32"/>
          <w:szCs w:val="32"/>
          <w:rtl/>
        </w:rPr>
        <w:t>[</w:t>
      </w:r>
      <w:r w:rsidRPr="008900CA">
        <w:rPr>
          <w:rFonts w:ascii="Traditional Arabic" w:hAnsi="Traditional Arabic" w:hint="cs"/>
          <w:sz w:val="32"/>
          <w:szCs w:val="32"/>
          <w:rtl/>
        </w:rPr>
        <w:t>150</w:t>
      </w:r>
      <w:r w:rsidRPr="008900CA">
        <w:rPr>
          <w:rFonts w:ascii="Traditional Arabic" w:hAnsi="Traditional Arabic"/>
          <w:sz w:val="32"/>
          <w:szCs w:val="32"/>
          <w:rtl/>
        </w:rPr>
        <w:t>]</w:t>
      </w:r>
      <w:r w:rsidRPr="008900CA">
        <w:rPr>
          <w:rFonts w:ascii="Traditional Arabic" w:hAnsi="Traditional Arabic"/>
          <w:rtl/>
        </w:rPr>
        <w:t xml:space="preserve"> </w:t>
      </w:r>
      <w:r w:rsidRPr="008900CA">
        <w:rPr>
          <w:rFonts w:ascii="Traditional Arabic" w:hAnsi="Traditional Arabic"/>
          <w:rtl/>
          <w:lang w:eastAsia="en-US"/>
        </w:rPr>
        <w:t>أدغم النون في النون لاجتماع النون</w:t>
      </w:r>
      <w:r w:rsidRPr="008900CA">
        <w:rPr>
          <w:rFonts w:ascii="Traditional Arabic" w:hAnsi="Traditional Arabic" w:hint="cs"/>
          <w:rtl/>
          <w:lang w:eastAsia="en-US"/>
        </w:rPr>
        <w:t>ين</w:t>
      </w:r>
      <w:r w:rsidRPr="008900CA">
        <w:rPr>
          <w:rFonts w:ascii="Traditional Arabic" w:hAnsi="Traditional Arabic"/>
          <w:rtl/>
          <w:lang w:eastAsia="en-US"/>
        </w:rPr>
        <w:t xml:space="preserve">. ومن قرأ: «مكَّنني» أظهر النونين، لأنهما من كلمتين، الأولى من الفعل، </w:t>
      </w:r>
      <w:r w:rsidRPr="008900CA">
        <w:rPr>
          <w:rFonts w:ascii="Traditional Arabic" w:hAnsi="Traditional Arabic" w:hint="cs"/>
          <w:rtl/>
          <w:lang w:eastAsia="en-US"/>
        </w:rPr>
        <w:t>[</w:t>
      </w:r>
      <w:r w:rsidRPr="008900CA">
        <w:rPr>
          <w:rFonts w:ascii="Traditional Arabic" w:hAnsi="Traditional Arabic"/>
          <w:rtl/>
          <w:lang w:eastAsia="en-US"/>
        </w:rPr>
        <w:t>والثانية</w:t>
      </w:r>
      <w:r w:rsidRPr="008900CA">
        <w:rPr>
          <w:rFonts w:ascii="Traditional Arabic" w:hAnsi="Traditional Arabic" w:hint="cs"/>
          <w:rtl/>
          <w:lang w:eastAsia="en-US"/>
        </w:rPr>
        <w:t>]</w:t>
      </w:r>
      <w:r w:rsidRPr="008900CA">
        <w:rPr>
          <w:vertAlign w:val="superscript"/>
          <w:rtl/>
        </w:rPr>
        <w:t>(</w:t>
      </w:r>
      <w:r w:rsidRPr="008900CA">
        <w:rPr>
          <w:vertAlign w:val="superscript"/>
          <w:rtl/>
        </w:rPr>
        <w:footnoteReference w:id="1910"/>
      </w:r>
      <w:r w:rsidRPr="008900CA">
        <w:rPr>
          <w:vertAlign w:val="superscript"/>
          <w:rtl/>
        </w:rPr>
        <w:t>)</w:t>
      </w:r>
      <w:r w:rsidRPr="008900CA">
        <w:rPr>
          <w:rFonts w:ascii="Traditional Arabic" w:hAnsi="Traditional Arabic"/>
          <w:rtl/>
          <w:lang w:eastAsia="en-US"/>
        </w:rPr>
        <w:t>تدخل مع الاسم المضمر</w:t>
      </w:r>
      <w:r w:rsidRPr="008900CA">
        <w:rPr>
          <w:vertAlign w:val="superscript"/>
          <w:rtl/>
        </w:rPr>
        <w:t>(</w:t>
      </w:r>
      <w:r w:rsidRPr="008900CA">
        <w:rPr>
          <w:vertAlign w:val="superscript"/>
          <w:rtl/>
        </w:rPr>
        <w:footnoteReference w:id="1911"/>
      </w:r>
      <w:r w:rsidRPr="008900CA">
        <w:rPr>
          <w:vertAlign w:val="superscript"/>
          <w:rtl/>
        </w:rPr>
        <w:t>)</w:t>
      </w:r>
      <w:r w:rsidRPr="008900CA">
        <w:rPr>
          <w:rFonts w:ascii="Traditional Arabic" w:hAnsi="Traditional Arabic"/>
          <w:rtl/>
          <w:lang w:eastAsia="en-US"/>
        </w:rPr>
        <w:t>.</w:t>
      </w:r>
      <w:r w:rsidRPr="008900CA">
        <w:rPr>
          <w:rFonts w:ascii="Traditional Arabic" w:hAnsi="Traditional Arabic" w:hint="cs"/>
          <w:rtl/>
          <w:lang w:eastAsia="en-US"/>
        </w:rPr>
        <w:t xml:space="preserve"> </w:t>
      </w:r>
      <w:r w:rsidRPr="008900CA">
        <w:rPr>
          <w:rFonts w:ascii="Traditional Arabic" w:hAnsi="Traditional Arabic"/>
          <w:rtl/>
          <w:lang w:eastAsia="en-US"/>
        </w:rPr>
        <w:t xml:space="preserve">وفي الذي أراد بتمكينه منه قولان: أحدهما: أنه العِلْم بالله، وطلب ثوابه. </w:t>
      </w:r>
      <w:r w:rsidRPr="008900CA">
        <w:rPr>
          <w:rFonts w:ascii="Traditional Arabic" w:hAnsi="Traditional Arabic"/>
          <w:rtl/>
          <w:lang w:eastAsia="en-US"/>
        </w:rPr>
        <w:lastRenderedPageBreak/>
        <w:t>والثاني: ما ملك من الدنيا. والمعنى: الذي أعطاني الله خير مما تبذلون لي</w:t>
      </w:r>
      <w:r w:rsidRPr="008900CA">
        <w:rPr>
          <w:vertAlign w:val="superscript"/>
          <w:rtl/>
        </w:rPr>
        <w:t>(</w:t>
      </w:r>
      <w:r w:rsidRPr="008900CA">
        <w:rPr>
          <w:vertAlign w:val="superscript"/>
          <w:rtl/>
        </w:rPr>
        <w:footnoteReference w:id="1912"/>
      </w:r>
      <w:r w:rsidRPr="008900CA">
        <w:rPr>
          <w:vertAlign w:val="superscript"/>
          <w:rtl/>
        </w:rPr>
        <w:t>)</w:t>
      </w:r>
      <w:r w:rsidRPr="008900CA">
        <w:rPr>
          <w:rFonts w:ascii="Traditional Arabic" w:hAnsi="Traditional Arabic"/>
          <w:rtl/>
          <w:lang w:eastAsia="en-US"/>
        </w:rPr>
        <w:t>.</w:t>
      </w:r>
      <w:r w:rsidRPr="008900CA">
        <w:rPr>
          <w:rFonts w:ascii="Traditional Arabic" w:hAnsi="Traditional Arabic" w:hint="cs"/>
          <w:rtl/>
          <w:lang w:eastAsia="en-US"/>
        </w:rPr>
        <w:t xml:space="preserve"> </w:t>
      </w:r>
      <w:r w:rsidRPr="008900CA">
        <w:rPr>
          <w:rFonts w:ascii="Traditional Arabic" w:hAnsi="Traditional Arabic"/>
          <w:rtl/>
          <w:lang w:eastAsia="en-US"/>
        </w:rPr>
        <w:t xml:space="preserve">قوله تعالى: </w:t>
      </w:r>
      <w:r w:rsidRPr="008900CA">
        <w:rPr>
          <w:rFonts w:ascii="QCF_BSML" w:hAnsi="QCF_BSML" w:cs="QCF_BSML"/>
          <w:sz w:val="32"/>
          <w:szCs w:val="32"/>
          <w:rtl/>
          <w:lang w:eastAsia="en-US"/>
        </w:rPr>
        <w:t>ﭽ</w:t>
      </w:r>
      <w:r w:rsidRPr="008900CA">
        <w:rPr>
          <w:rFonts w:ascii="QCF_P303" w:hAnsi="QCF_P303" w:cs="QCF_P303"/>
          <w:color w:val="auto"/>
          <w:sz w:val="32"/>
          <w:szCs w:val="32"/>
          <w:rtl/>
          <w:lang w:eastAsia="en-US"/>
        </w:rPr>
        <w:t>ﯾ  ﯿ</w:t>
      </w:r>
      <w:r w:rsidRPr="008900CA">
        <w:rPr>
          <w:rFonts w:ascii="QCF_BSML" w:hAnsi="QCF_BSML" w:cs="QCF_BSML"/>
          <w:color w:val="auto"/>
          <w:sz w:val="32"/>
          <w:szCs w:val="32"/>
          <w:rtl/>
          <w:lang w:eastAsia="en-US"/>
        </w:rPr>
        <w:t xml:space="preserve"> ﭼ</w:t>
      </w:r>
      <w:r w:rsidRPr="008900CA">
        <w:rPr>
          <w:rFonts w:ascii="QCF_P303" w:hAnsi="QCF_P303" w:cs="QCF_P303"/>
          <w:color w:val="auto"/>
          <w:sz w:val="32"/>
          <w:szCs w:val="32"/>
          <w:rtl/>
          <w:lang w:eastAsia="en-US"/>
        </w:rPr>
        <w:t xml:space="preserve">   </w:t>
      </w:r>
      <w:r w:rsidRPr="008900CA">
        <w:rPr>
          <w:rFonts w:ascii="Traditional Arabic" w:hAnsi="Traditional Arabic"/>
          <w:rtl/>
          <w:lang w:eastAsia="en-US"/>
        </w:rPr>
        <w:t>فيها قولان: أحدهما: أنها الرجال، قاله مجاهد</w:t>
      </w:r>
      <w:r w:rsidRPr="008900CA">
        <w:rPr>
          <w:vertAlign w:val="superscript"/>
          <w:rtl/>
        </w:rPr>
        <w:t>(</w:t>
      </w:r>
      <w:r w:rsidRPr="008900CA">
        <w:rPr>
          <w:vertAlign w:val="superscript"/>
          <w:rtl/>
        </w:rPr>
        <w:footnoteReference w:id="1913"/>
      </w:r>
      <w:r w:rsidRPr="008900CA">
        <w:rPr>
          <w:vertAlign w:val="superscript"/>
          <w:rtl/>
        </w:rPr>
        <w:t>)</w:t>
      </w:r>
      <w:r w:rsidRPr="008900CA">
        <w:rPr>
          <w:rFonts w:ascii="Traditional Arabic" w:hAnsi="Traditional Arabic"/>
          <w:rtl/>
          <w:lang w:eastAsia="en-US"/>
        </w:rPr>
        <w:t>، ومقاتل</w:t>
      </w:r>
      <w:r w:rsidRPr="008900CA">
        <w:rPr>
          <w:vertAlign w:val="superscript"/>
          <w:rtl/>
        </w:rPr>
        <w:t>(</w:t>
      </w:r>
      <w:r w:rsidRPr="008900CA">
        <w:rPr>
          <w:vertAlign w:val="superscript"/>
          <w:rtl/>
        </w:rPr>
        <w:footnoteReference w:id="1914"/>
      </w:r>
      <w:r w:rsidRPr="008900CA">
        <w:rPr>
          <w:vertAlign w:val="superscript"/>
          <w:rtl/>
        </w:rPr>
        <w:t>)</w:t>
      </w:r>
      <w:r w:rsidRPr="008900CA">
        <w:rPr>
          <w:rFonts w:ascii="Traditional Arabic" w:hAnsi="Traditional Arabic"/>
          <w:rtl/>
          <w:lang w:eastAsia="en-US"/>
        </w:rPr>
        <w:t>. والثاني:</w:t>
      </w:r>
      <w:r w:rsidRPr="008900CA">
        <w:rPr>
          <w:rFonts w:ascii="Traditional Arabic" w:hAnsi="Traditional Arabic" w:hint="cs"/>
          <w:rtl/>
          <w:lang w:eastAsia="en-US"/>
        </w:rPr>
        <w:t xml:space="preserve"> </w:t>
      </w:r>
      <w:r w:rsidRPr="008900CA">
        <w:rPr>
          <w:rFonts w:ascii="Traditional Arabic" w:hAnsi="Traditional Arabic"/>
          <w:rtl/>
          <w:lang w:eastAsia="en-US"/>
        </w:rPr>
        <w:t>الآلة، قاله ابن السائب</w:t>
      </w:r>
      <w:r w:rsidRPr="008900CA">
        <w:rPr>
          <w:vertAlign w:val="superscript"/>
          <w:rtl/>
        </w:rPr>
        <w:t>(</w:t>
      </w:r>
      <w:r w:rsidRPr="008900CA">
        <w:rPr>
          <w:vertAlign w:val="superscript"/>
          <w:rtl/>
        </w:rPr>
        <w:footnoteReference w:id="1915"/>
      </w:r>
      <w:r w:rsidRPr="008900CA">
        <w:rPr>
          <w:vertAlign w:val="superscript"/>
          <w:rtl/>
        </w:rPr>
        <w:t>)</w:t>
      </w:r>
      <w:r w:rsidRPr="008900CA">
        <w:rPr>
          <w:rFonts w:ascii="Traditional Arabic" w:hAnsi="Traditional Arabic"/>
          <w:rtl/>
          <w:lang w:eastAsia="en-US"/>
        </w:rPr>
        <w:t>. فأما الرَّدْم، فهو: الحاجز قال الزجاج: والرَّدْم في اللغة أكبر من السدِّ، لأن الرَّدْم: ما جُعل بعضه على بعض، يقال: ثوب م</w:t>
      </w:r>
      <w:r w:rsidRPr="008900CA">
        <w:rPr>
          <w:rFonts w:ascii="Traditional Arabic" w:hAnsi="Traditional Arabic" w:hint="cs"/>
          <w:rtl/>
          <w:lang w:eastAsia="en-US"/>
        </w:rPr>
        <w:t>َ</w:t>
      </w:r>
      <w:r w:rsidRPr="008900CA">
        <w:rPr>
          <w:rFonts w:ascii="Traditional Arabic" w:hAnsi="Traditional Arabic"/>
          <w:rtl/>
          <w:lang w:eastAsia="en-US"/>
        </w:rPr>
        <w:t>ر</w:t>
      </w:r>
      <w:r w:rsidRPr="008900CA">
        <w:rPr>
          <w:rFonts w:ascii="Traditional Arabic" w:hAnsi="Traditional Arabic" w:hint="cs"/>
          <w:rtl/>
          <w:lang w:eastAsia="en-US"/>
        </w:rPr>
        <w:t>ّ</w:t>
      </w:r>
      <w:r w:rsidRPr="008900CA">
        <w:rPr>
          <w:rFonts w:ascii="Traditional Arabic" w:hAnsi="Traditional Arabic"/>
          <w:rtl/>
          <w:lang w:eastAsia="en-US"/>
        </w:rPr>
        <w:t>د</w:t>
      </w:r>
      <w:r w:rsidRPr="008900CA">
        <w:rPr>
          <w:rFonts w:ascii="Traditional Arabic" w:hAnsi="Traditional Arabic" w:hint="cs"/>
          <w:rtl/>
          <w:lang w:eastAsia="en-US"/>
        </w:rPr>
        <w:t>ُو</w:t>
      </w:r>
      <w:r w:rsidRPr="008900CA">
        <w:rPr>
          <w:rFonts w:ascii="Traditional Arabic" w:hAnsi="Traditional Arabic"/>
          <w:rtl/>
          <w:lang w:eastAsia="en-US"/>
        </w:rPr>
        <w:t>م: إِذا كان قد رقِّع رقعة فوق رقعة</w:t>
      </w:r>
      <w:r w:rsidRPr="008900CA">
        <w:rPr>
          <w:vertAlign w:val="superscript"/>
          <w:rtl/>
        </w:rPr>
        <w:t>(</w:t>
      </w:r>
      <w:r w:rsidRPr="008900CA">
        <w:rPr>
          <w:vertAlign w:val="superscript"/>
          <w:rtl/>
        </w:rPr>
        <w:footnoteReference w:id="1916"/>
      </w:r>
      <w:r w:rsidRPr="008900CA">
        <w:rPr>
          <w:vertAlign w:val="superscript"/>
          <w:rtl/>
        </w:rPr>
        <w:t>)</w:t>
      </w:r>
      <w:r w:rsidRPr="008900CA">
        <w:rPr>
          <w:rFonts w:ascii="Traditional Arabic" w:hAnsi="Traditional Arabic"/>
          <w:rtl/>
          <w:lang w:eastAsia="en-US"/>
        </w:rPr>
        <w:t>. قوله تعالى:</w:t>
      </w:r>
      <w:r w:rsidRPr="008900CA">
        <w:rPr>
          <w:rFonts w:ascii="Traditional Arabic" w:hAnsi="Traditional Arabic" w:hint="cs"/>
          <w:rtl/>
          <w:lang w:eastAsia="en-US"/>
        </w:rPr>
        <w:t xml:space="preserve"> </w:t>
      </w:r>
      <w:r w:rsidRPr="008900CA">
        <w:rPr>
          <w:rFonts w:ascii="QCF_BSML" w:hAnsi="QCF_BSML" w:cs="QCF_BSML"/>
          <w:sz w:val="32"/>
          <w:szCs w:val="32"/>
          <w:rtl/>
          <w:lang w:eastAsia="en-US"/>
        </w:rPr>
        <w:t>ﭽ</w:t>
      </w:r>
      <w:r w:rsidRPr="008900CA">
        <w:rPr>
          <w:rFonts w:ascii="QCF_P303" w:hAnsi="QCF_P303" w:cs="QCF_P303"/>
          <w:color w:val="auto"/>
          <w:sz w:val="32"/>
          <w:szCs w:val="32"/>
          <w:rtl/>
          <w:lang w:eastAsia="en-US"/>
        </w:rPr>
        <w:t>ﰅ  ﰆ     ﰇ</w:t>
      </w:r>
      <w:r w:rsidRPr="008900CA">
        <w:rPr>
          <w:rFonts w:ascii="QCF_P303" w:hAnsi="QCF_P303" w:cs="QCF_P303" w:hint="cs"/>
          <w:color w:val="auto"/>
          <w:sz w:val="32"/>
          <w:szCs w:val="32"/>
          <w:rtl/>
          <w:lang w:eastAsia="en-US"/>
        </w:rPr>
        <w:t xml:space="preserve"> </w:t>
      </w:r>
      <w:r w:rsidRPr="008900CA">
        <w:rPr>
          <w:rFonts w:ascii="QCF_P303" w:hAnsi="QCF_P303" w:cs="QCF_P303"/>
          <w:color w:val="auto"/>
          <w:sz w:val="32"/>
          <w:szCs w:val="32"/>
          <w:rtl/>
          <w:lang w:eastAsia="en-US"/>
        </w:rPr>
        <w:t xml:space="preserve">ﰈ  </w:t>
      </w:r>
      <w:r w:rsidRPr="008900CA">
        <w:rPr>
          <w:rFonts w:ascii="QCF_BSML" w:hAnsi="QCF_BSML" w:cs="QCF_BSML"/>
          <w:color w:val="auto"/>
          <w:sz w:val="32"/>
          <w:szCs w:val="32"/>
          <w:rtl/>
          <w:lang w:eastAsia="en-US"/>
        </w:rPr>
        <w:t>ﭼ</w:t>
      </w:r>
      <w:r w:rsidRPr="008900CA">
        <w:rPr>
          <w:rFonts w:ascii="Traditional Arabic" w:hAnsi="Traditional Arabic"/>
          <w:rtl/>
          <w:lang w:eastAsia="en-US"/>
        </w:rPr>
        <w:t xml:space="preserve"> قرأ</w:t>
      </w:r>
      <w:r w:rsidRPr="008900CA">
        <w:rPr>
          <w:rFonts w:ascii="Traditional Arabic" w:hAnsi="Traditional Arabic" w:hint="cs"/>
          <w:rtl/>
          <w:lang w:eastAsia="en-US"/>
        </w:rPr>
        <w:t xml:space="preserve"> </w:t>
      </w:r>
      <w:r w:rsidRPr="008900CA">
        <w:rPr>
          <w:rFonts w:ascii="Traditional Arabic" w:hAnsi="Traditional Arabic"/>
          <w:rtl/>
          <w:lang w:eastAsia="en-US"/>
        </w:rPr>
        <w:t>الجمهور: «ردماً آتوني» أي: أعطوني. وروى أبو بكر عن عاصم: «ردم ائتوني» بكسر التنوين، أي: جيئوني بها</w:t>
      </w:r>
      <w:r w:rsidRPr="008900CA">
        <w:rPr>
          <w:vertAlign w:val="superscript"/>
          <w:rtl/>
        </w:rPr>
        <w:t>(</w:t>
      </w:r>
      <w:r w:rsidRPr="008900CA">
        <w:rPr>
          <w:vertAlign w:val="superscript"/>
          <w:rtl/>
        </w:rPr>
        <w:footnoteReference w:id="1917"/>
      </w:r>
      <w:r w:rsidRPr="008900CA">
        <w:rPr>
          <w:vertAlign w:val="superscript"/>
          <w:rtl/>
        </w:rPr>
        <w:t>)</w:t>
      </w:r>
      <w:r w:rsidRPr="008900CA">
        <w:rPr>
          <w:rFonts w:ascii="Traditional Arabic" w:hAnsi="Traditional Arabic"/>
          <w:rtl/>
          <w:lang w:eastAsia="en-US"/>
        </w:rPr>
        <w:t>. قال ابن عباس: احملوها إِليَّ</w:t>
      </w:r>
      <w:r w:rsidRPr="008900CA">
        <w:rPr>
          <w:vertAlign w:val="superscript"/>
          <w:rtl/>
        </w:rPr>
        <w:t>(</w:t>
      </w:r>
      <w:r w:rsidRPr="008900CA">
        <w:rPr>
          <w:vertAlign w:val="superscript"/>
          <w:rtl/>
        </w:rPr>
        <w:footnoteReference w:id="1918"/>
      </w:r>
      <w:r w:rsidRPr="008900CA">
        <w:rPr>
          <w:vertAlign w:val="superscript"/>
          <w:rtl/>
        </w:rPr>
        <w:t>)</w:t>
      </w:r>
      <w:r w:rsidRPr="008900CA">
        <w:rPr>
          <w:rFonts w:ascii="Traditional Arabic" w:hAnsi="Traditional Arabic"/>
          <w:rtl/>
          <w:lang w:eastAsia="en-US"/>
        </w:rPr>
        <w:t>. وقال مقاتل: أعطوني</w:t>
      </w:r>
      <w:r w:rsidRPr="008900CA">
        <w:rPr>
          <w:vertAlign w:val="superscript"/>
          <w:rtl/>
        </w:rPr>
        <w:t>(</w:t>
      </w:r>
      <w:r w:rsidRPr="008900CA">
        <w:rPr>
          <w:vertAlign w:val="superscript"/>
          <w:rtl/>
        </w:rPr>
        <w:footnoteReference w:id="1919"/>
      </w:r>
      <w:r w:rsidRPr="008900CA">
        <w:rPr>
          <w:vertAlign w:val="superscript"/>
          <w:rtl/>
        </w:rPr>
        <w:t>)</w:t>
      </w:r>
      <w:r w:rsidRPr="008900CA">
        <w:rPr>
          <w:rFonts w:ascii="Traditional Arabic" w:hAnsi="Traditional Arabic"/>
          <w:rtl/>
          <w:lang w:eastAsia="en-US"/>
        </w:rPr>
        <w:t>. وقال الفر</w:t>
      </w:r>
      <w:r w:rsidRPr="008900CA">
        <w:rPr>
          <w:rFonts w:ascii="Traditional Arabic" w:hAnsi="Traditional Arabic" w:hint="cs"/>
          <w:rtl/>
          <w:lang w:eastAsia="en-US"/>
        </w:rPr>
        <w:t>اء</w:t>
      </w:r>
      <w:r w:rsidRPr="008900CA">
        <w:rPr>
          <w:rFonts w:ascii="Traditional Arabic" w:hAnsi="Traditional Arabic"/>
          <w:rtl/>
          <w:lang w:eastAsia="en-US"/>
        </w:rPr>
        <w:t>:</w:t>
      </w:r>
      <w:r w:rsidRPr="008900CA">
        <w:rPr>
          <w:rFonts w:ascii="Traditional Arabic" w:hAnsi="Traditional Arabic" w:hint="cs"/>
          <w:rtl/>
          <w:lang w:eastAsia="en-US"/>
        </w:rPr>
        <w:t xml:space="preserve"> </w:t>
      </w:r>
      <w:r w:rsidRPr="008900CA">
        <w:rPr>
          <w:rFonts w:ascii="Traditional Arabic" w:hAnsi="Traditional Arabic"/>
          <w:rtl/>
          <w:lang w:eastAsia="en-US"/>
        </w:rPr>
        <w:t>المعنى: ائتوني بها، فلما ألقيت الياء</w:t>
      </w:r>
      <w:r w:rsidR="007A7F88">
        <w:rPr>
          <w:rFonts w:ascii="Traditional Arabic" w:hAnsi="Traditional Arabic" w:hint="cs"/>
          <w:rtl/>
          <w:lang w:eastAsia="en-US"/>
        </w:rPr>
        <w:t xml:space="preserve"> </w:t>
      </w:r>
      <w:r w:rsidRPr="008900CA">
        <w:rPr>
          <w:rFonts w:ascii="Traditional Arabic" w:hAnsi="Traditional Arabic"/>
          <w:rtl/>
          <w:lang w:eastAsia="en-US"/>
        </w:rPr>
        <w:t>زيدت ألف</w:t>
      </w:r>
      <w:r w:rsidRPr="008900CA">
        <w:rPr>
          <w:vertAlign w:val="superscript"/>
          <w:rtl/>
        </w:rPr>
        <w:t>(</w:t>
      </w:r>
      <w:r w:rsidRPr="008900CA">
        <w:rPr>
          <w:vertAlign w:val="superscript"/>
          <w:rtl/>
        </w:rPr>
        <w:footnoteReference w:id="1920"/>
      </w:r>
      <w:r w:rsidRPr="008900CA">
        <w:rPr>
          <w:vertAlign w:val="superscript"/>
          <w:rtl/>
        </w:rPr>
        <w:t>)</w:t>
      </w:r>
      <w:r w:rsidRPr="008900CA">
        <w:rPr>
          <w:rFonts w:ascii="Traditional Arabic" w:hAnsi="Traditional Arabic"/>
          <w:rtl/>
          <w:lang w:eastAsia="en-US"/>
        </w:rPr>
        <w:t>. فأما الزُّبُر، فهي: القِطَع، واحدتها: زُبْرَة والمعنى:</w:t>
      </w:r>
      <w:r w:rsidRPr="008900CA">
        <w:rPr>
          <w:rFonts w:ascii="Traditional Arabic" w:hAnsi="Traditional Arabic" w:hint="cs"/>
          <w:rtl/>
          <w:lang w:eastAsia="en-US"/>
        </w:rPr>
        <w:t xml:space="preserve"> </w:t>
      </w:r>
      <w:r w:rsidRPr="008900CA">
        <w:rPr>
          <w:rFonts w:ascii="Traditional Arabic" w:hAnsi="Traditional Arabic"/>
          <w:rtl/>
          <w:lang w:eastAsia="en-US"/>
        </w:rPr>
        <w:t xml:space="preserve">فأَتَوه بها فبناه، </w:t>
      </w:r>
      <w:r w:rsidRPr="008900CA">
        <w:rPr>
          <w:rFonts w:ascii="QCF_BSML" w:hAnsi="QCF_BSML" w:cs="QCF_BSML"/>
          <w:sz w:val="32"/>
          <w:szCs w:val="32"/>
          <w:rtl/>
          <w:lang w:eastAsia="en-US"/>
        </w:rPr>
        <w:t>ﭽ</w:t>
      </w:r>
      <w:r w:rsidRPr="008900CA">
        <w:rPr>
          <w:rFonts w:ascii="QCF_P303" w:hAnsi="QCF_P303" w:cs="QCF_P303"/>
          <w:color w:val="auto"/>
          <w:sz w:val="32"/>
          <w:szCs w:val="32"/>
          <w:rtl/>
          <w:lang w:eastAsia="en-US"/>
        </w:rPr>
        <w:t>ﰉ  ﰊ  ﰋ</w:t>
      </w:r>
      <w:r w:rsidRPr="008900CA">
        <w:rPr>
          <w:rFonts w:ascii="QCF_BSML" w:hAnsi="QCF_BSML" w:cs="QCF_BSML"/>
          <w:color w:val="auto"/>
          <w:sz w:val="32"/>
          <w:szCs w:val="32"/>
          <w:rtl/>
          <w:lang w:eastAsia="en-US"/>
        </w:rPr>
        <w:t>ﭼ</w:t>
      </w:r>
      <w:r w:rsidRPr="008900CA">
        <w:rPr>
          <w:rFonts w:ascii="QCF_BSML" w:hAnsi="QCF_BSML" w:cs="QCF_BSML" w:hint="cs"/>
          <w:color w:val="auto"/>
          <w:sz w:val="32"/>
          <w:szCs w:val="32"/>
          <w:rtl/>
          <w:lang w:eastAsia="en-US"/>
        </w:rPr>
        <w:t xml:space="preserve">    </w:t>
      </w:r>
      <w:r w:rsidRPr="008900CA">
        <w:rPr>
          <w:rFonts w:ascii="QCF_P303" w:hAnsi="QCF_P303" w:cs="QCF_P303"/>
          <w:color w:val="auto"/>
          <w:sz w:val="32"/>
          <w:szCs w:val="32"/>
          <w:rtl/>
          <w:lang w:eastAsia="en-US"/>
        </w:rPr>
        <w:t xml:space="preserve">  </w:t>
      </w:r>
      <w:r w:rsidRPr="008900CA">
        <w:rPr>
          <w:rFonts w:ascii="Traditional Arabic" w:hAnsi="Traditional Arabic"/>
          <w:rtl/>
          <w:lang w:eastAsia="en-US"/>
        </w:rPr>
        <w:t>وروى أبان «إِذا سوَّى» بتشديد الواو من غير ألف</w:t>
      </w:r>
      <w:r w:rsidRPr="008900CA">
        <w:rPr>
          <w:vertAlign w:val="superscript"/>
          <w:rtl/>
        </w:rPr>
        <w:t>(</w:t>
      </w:r>
      <w:r w:rsidRPr="008900CA">
        <w:rPr>
          <w:vertAlign w:val="superscript"/>
          <w:rtl/>
        </w:rPr>
        <w:footnoteReference w:id="1921"/>
      </w:r>
      <w:r w:rsidRPr="008900CA">
        <w:rPr>
          <w:vertAlign w:val="superscript"/>
          <w:rtl/>
        </w:rPr>
        <w:t>)</w:t>
      </w:r>
      <w:r w:rsidRPr="008900CA">
        <w:rPr>
          <w:rFonts w:ascii="Traditional Arabic" w:hAnsi="Traditional Arabic"/>
          <w:rtl/>
          <w:lang w:eastAsia="en-US"/>
        </w:rPr>
        <w:t>. قال الفراء: ساوى وسوَّى سواء</w:t>
      </w:r>
      <w:r w:rsidRPr="008900CA">
        <w:rPr>
          <w:vertAlign w:val="superscript"/>
          <w:rtl/>
        </w:rPr>
        <w:t>(</w:t>
      </w:r>
      <w:r w:rsidRPr="008900CA">
        <w:rPr>
          <w:vertAlign w:val="superscript"/>
          <w:rtl/>
        </w:rPr>
        <w:footnoteReference w:id="1922"/>
      </w:r>
      <w:r w:rsidRPr="008900CA">
        <w:rPr>
          <w:vertAlign w:val="superscript"/>
          <w:rtl/>
        </w:rPr>
        <w:t>)</w:t>
      </w:r>
      <w:r w:rsidRPr="008900CA">
        <w:rPr>
          <w:rFonts w:ascii="Traditional Arabic" w:hAnsi="Traditional Arabic"/>
          <w:rtl/>
          <w:lang w:eastAsia="en-US"/>
        </w:rPr>
        <w:t xml:space="preserve">. واختلف القراء في </w:t>
      </w:r>
      <w:r w:rsidRPr="008900CA">
        <w:rPr>
          <w:rFonts w:ascii="QCF_BSML" w:hAnsi="QCF_BSML" w:cs="QCF_BSML"/>
          <w:sz w:val="32"/>
          <w:szCs w:val="32"/>
          <w:rtl/>
          <w:lang w:eastAsia="en-US"/>
        </w:rPr>
        <w:t>ﭽ</w:t>
      </w:r>
      <w:r w:rsidRPr="008900CA">
        <w:rPr>
          <w:rFonts w:ascii="QCF_P303" w:hAnsi="QCF_P303" w:cs="QCF_P303"/>
          <w:color w:val="auto"/>
          <w:sz w:val="32"/>
          <w:szCs w:val="32"/>
          <w:rtl/>
          <w:lang w:eastAsia="en-US"/>
        </w:rPr>
        <w:t>ﰍ</w:t>
      </w:r>
      <w:r w:rsidRPr="008900CA">
        <w:rPr>
          <w:rFonts w:ascii="QCF_BSML" w:hAnsi="QCF_BSML" w:cs="QCF_BSML"/>
          <w:color w:val="auto"/>
          <w:sz w:val="32"/>
          <w:szCs w:val="32"/>
          <w:rtl/>
          <w:lang w:eastAsia="en-US"/>
        </w:rPr>
        <w:t xml:space="preserve"> ﭼ</w:t>
      </w:r>
      <w:r w:rsidRPr="008900CA">
        <w:rPr>
          <w:rFonts w:ascii="Traditional Arabic" w:hAnsi="Traditional Arabic"/>
          <w:rtl/>
          <w:lang w:eastAsia="en-US"/>
        </w:rPr>
        <w:t xml:space="preserve"> فقرأ ابن كثير، وأبو عمرو، وابن عامر: «الصُّدُفَين» بضم الصاد والدال، وهي: لغة حِمْيَر</w:t>
      </w:r>
      <w:r w:rsidRPr="008900CA">
        <w:rPr>
          <w:vertAlign w:val="superscript"/>
          <w:rtl/>
        </w:rPr>
        <w:t>(</w:t>
      </w:r>
      <w:r w:rsidRPr="008900CA">
        <w:rPr>
          <w:vertAlign w:val="superscript"/>
          <w:rtl/>
        </w:rPr>
        <w:footnoteReference w:id="1923"/>
      </w:r>
      <w:r w:rsidRPr="008900CA">
        <w:rPr>
          <w:vertAlign w:val="superscript"/>
          <w:rtl/>
        </w:rPr>
        <w:t>)</w:t>
      </w:r>
      <w:r w:rsidRPr="008900CA">
        <w:rPr>
          <w:rFonts w:ascii="Traditional Arabic" w:hAnsi="Traditional Arabic"/>
          <w:rtl/>
          <w:lang w:eastAsia="en-US"/>
        </w:rPr>
        <w:t xml:space="preserve">. وروى أبو بكر </w:t>
      </w:r>
      <w:r w:rsidRPr="008900CA">
        <w:rPr>
          <w:rFonts w:ascii="Traditional Arabic" w:hAnsi="Traditional Arabic" w:hint="cs"/>
          <w:rtl/>
          <w:lang w:eastAsia="en-US"/>
        </w:rPr>
        <w:t>[</w:t>
      </w:r>
      <w:r w:rsidRPr="008900CA">
        <w:rPr>
          <w:rFonts w:ascii="Traditional Arabic" w:hAnsi="Traditional Arabic"/>
          <w:rtl/>
          <w:lang w:eastAsia="en-US"/>
        </w:rPr>
        <w:t>و</w:t>
      </w:r>
      <w:r w:rsidRPr="008900CA">
        <w:rPr>
          <w:rFonts w:ascii="Traditional Arabic" w:hAnsi="Traditional Arabic" w:hint="cs"/>
          <w:rtl/>
          <w:lang w:eastAsia="en-US"/>
        </w:rPr>
        <w:t>]</w:t>
      </w:r>
      <w:r w:rsidRPr="008900CA">
        <w:rPr>
          <w:vertAlign w:val="superscript"/>
          <w:rtl/>
        </w:rPr>
        <w:t>(</w:t>
      </w:r>
      <w:r w:rsidRPr="008900CA">
        <w:rPr>
          <w:vertAlign w:val="superscript"/>
          <w:rtl/>
        </w:rPr>
        <w:footnoteReference w:id="1924"/>
      </w:r>
      <w:r w:rsidRPr="008900CA">
        <w:rPr>
          <w:vertAlign w:val="superscript"/>
          <w:rtl/>
        </w:rPr>
        <w:t>)</w:t>
      </w:r>
      <w:r w:rsidRPr="008900CA">
        <w:rPr>
          <w:rFonts w:ascii="Traditional Arabic" w:hAnsi="Traditional Arabic"/>
          <w:rtl/>
          <w:lang w:eastAsia="en-US"/>
        </w:rPr>
        <w:t xml:space="preserve">المفضل عن عاصم: «الصُّدْفين» بضم الصاد وتسكين الدال. وقرأ نافع، وحمزة، والكسائي، وحفص عن عاصم، وخلف، بفتح الصاد والدال جميعاً، </w:t>
      </w:r>
      <w:r w:rsidRPr="008900CA">
        <w:rPr>
          <w:rFonts w:ascii="Traditional Arabic" w:hAnsi="Traditional Arabic"/>
          <w:rtl/>
          <w:lang w:eastAsia="en-US"/>
        </w:rPr>
        <w:lastRenderedPageBreak/>
        <w:t>وهي لغة تميم، واختارها ثعلب</w:t>
      </w:r>
      <w:r w:rsidRPr="008900CA">
        <w:rPr>
          <w:vertAlign w:val="superscript"/>
          <w:rtl/>
        </w:rPr>
        <w:t>(</w:t>
      </w:r>
      <w:r w:rsidRPr="008900CA">
        <w:rPr>
          <w:vertAlign w:val="superscript"/>
          <w:rtl/>
        </w:rPr>
        <w:footnoteReference w:id="1925"/>
      </w:r>
      <w:r w:rsidRPr="008900CA">
        <w:rPr>
          <w:vertAlign w:val="superscript"/>
          <w:rtl/>
        </w:rPr>
        <w:t>)</w:t>
      </w:r>
      <w:r w:rsidRPr="008900CA">
        <w:rPr>
          <w:rFonts w:ascii="Traditional Arabic" w:hAnsi="Traditional Arabic"/>
          <w:rtl/>
          <w:lang w:eastAsia="en-US"/>
        </w:rPr>
        <w:t>. وقرأ أبو مجلز، وأبو رجاء وابن يعمر: «الصَّدُفين» بفتح الصاد ورفع الدال. وقرأ أبو الجوزاء، وأبو عمران، والزهري، والجحدري برفع الصاد وفتح الدال</w:t>
      </w:r>
      <w:r w:rsidRPr="008900CA">
        <w:rPr>
          <w:vertAlign w:val="superscript"/>
          <w:rtl/>
        </w:rPr>
        <w:t>(</w:t>
      </w:r>
      <w:r w:rsidRPr="008900CA">
        <w:rPr>
          <w:vertAlign w:val="superscript"/>
          <w:rtl/>
        </w:rPr>
        <w:footnoteReference w:id="1926"/>
      </w:r>
      <w:r w:rsidRPr="008900CA">
        <w:rPr>
          <w:vertAlign w:val="superscript"/>
          <w:rtl/>
        </w:rPr>
        <w:t>)(</w:t>
      </w:r>
      <w:r w:rsidRPr="008900CA">
        <w:rPr>
          <w:vertAlign w:val="superscript"/>
          <w:rtl/>
        </w:rPr>
        <w:footnoteReference w:id="1927"/>
      </w:r>
      <w:r w:rsidRPr="008900CA">
        <w:rPr>
          <w:vertAlign w:val="superscript"/>
          <w:rtl/>
        </w:rPr>
        <w:t>)</w:t>
      </w:r>
      <w:r w:rsidRPr="008900CA">
        <w:rPr>
          <w:rFonts w:ascii="Traditional Arabic" w:hAnsi="Traditional Arabic"/>
          <w:rtl/>
          <w:lang w:eastAsia="en-US"/>
        </w:rPr>
        <w:t>. قال ابن الأنباري: ويقال: صُدَف، على مثال نُغَر، وكل هذه لغات في الكلمة</w:t>
      </w:r>
      <w:r w:rsidRPr="008900CA">
        <w:rPr>
          <w:vertAlign w:val="superscript"/>
          <w:rtl/>
        </w:rPr>
        <w:t>(</w:t>
      </w:r>
      <w:r w:rsidRPr="008900CA">
        <w:rPr>
          <w:vertAlign w:val="superscript"/>
          <w:rtl/>
        </w:rPr>
        <w:footnoteReference w:id="1928"/>
      </w:r>
      <w:r w:rsidRPr="008900CA">
        <w:rPr>
          <w:vertAlign w:val="superscript"/>
          <w:rtl/>
        </w:rPr>
        <w:t>)</w:t>
      </w:r>
      <w:r w:rsidRPr="008900CA">
        <w:rPr>
          <w:rFonts w:ascii="Traditional Arabic" w:hAnsi="Traditional Arabic"/>
          <w:rtl/>
          <w:lang w:eastAsia="en-US"/>
        </w:rPr>
        <w:t>. قال أبو عبيدة: الصَّدَفان: جَنْبا الجبل</w:t>
      </w:r>
      <w:r w:rsidRPr="008900CA">
        <w:rPr>
          <w:vertAlign w:val="superscript"/>
          <w:rtl/>
        </w:rPr>
        <w:t>(</w:t>
      </w:r>
      <w:r w:rsidRPr="008900CA">
        <w:rPr>
          <w:vertAlign w:val="superscript"/>
          <w:rtl/>
        </w:rPr>
        <w:footnoteReference w:id="1929"/>
      </w:r>
      <w:r w:rsidRPr="008900CA">
        <w:rPr>
          <w:vertAlign w:val="superscript"/>
          <w:rtl/>
        </w:rPr>
        <w:t>)</w:t>
      </w:r>
      <w:r w:rsidRPr="008900CA">
        <w:rPr>
          <w:rFonts w:ascii="Traditional Arabic" w:hAnsi="Traditional Arabic"/>
          <w:rtl/>
          <w:lang w:eastAsia="en-US"/>
        </w:rPr>
        <w:t>. قال الأزهري يقال لجانبي الجبل: صَدَفان، إِذا تحاذيا، لتصادفهما، أي: لتلاقيهما</w:t>
      </w:r>
      <w:r w:rsidRPr="008900CA">
        <w:rPr>
          <w:vertAlign w:val="superscript"/>
          <w:rtl/>
        </w:rPr>
        <w:t>(</w:t>
      </w:r>
      <w:r w:rsidRPr="008900CA">
        <w:rPr>
          <w:vertAlign w:val="superscript"/>
          <w:rtl/>
        </w:rPr>
        <w:footnoteReference w:id="1930"/>
      </w:r>
      <w:r w:rsidRPr="008900CA">
        <w:rPr>
          <w:vertAlign w:val="superscript"/>
          <w:rtl/>
        </w:rPr>
        <w:t>)</w:t>
      </w:r>
      <w:r w:rsidRPr="008900CA">
        <w:rPr>
          <w:rFonts w:ascii="Traditional Arabic" w:hAnsi="Traditional Arabic"/>
          <w:rtl/>
          <w:lang w:eastAsia="en-US"/>
        </w:rPr>
        <w:t xml:space="preserve">. قال المفسرون: حشا ما بين الجبلين بالحديد، ونسج بين طبقات الحديد الحطب والفحم، ووضع عليها المنافيخ، ثم </w:t>
      </w:r>
      <w:r w:rsidRPr="008900CA">
        <w:rPr>
          <w:rFonts w:ascii="QCF_P303" w:hAnsi="QCF_P303" w:cs="QCF_P303"/>
          <w:color w:val="auto"/>
          <w:sz w:val="32"/>
          <w:szCs w:val="32"/>
          <w:rtl/>
          <w:lang w:eastAsia="en-US"/>
        </w:rPr>
        <w:t xml:space="preserve">ﰎ  </w:t>
      </w:r>
      <w:r w:rsidRPr="008900CA">
        <w:rPr>
          <w:rFonts w:ascii="QCF_BSML" w:hAnsi="QCF_BSML" w:cs="QCF_BSML"/>
          <w:sz w:val="32"/>
          <w:szCs w:val="32"/>
          <w:rtl/>
          <w:lang w:eastAsia="en-US"/>
        </w:rPr>
        <w:t>ﭽ</w:t>
      </w:r>
      <w:r w:rsidRPr="008900CA">
        <w:rPr>
          <w:rFonts w:ascii="QCF_P303" w:hAnsi="QCF_P303" w:cs="QCF_P303"/>
          <w:color w:val="auto"/>
          <w:sz w:val="32"/>
          <w:szCs w:val="32"/>
          <w:rtl/>
          <w:lang w:eastAsia="en-US"/>
        </w:rPr>
        <w:t xml:space="preserve">ﰏﰐ  </w:t>
      </w:r>
      <w:r w:rsidRPr="008900CA">
        <w:rPr>
          <w:rFonts w:ascii="QCF_BSML" w:hAnsi="QCF_BSML" w:cs="QCF_BSML"/>
          <w:color w:val="auto"/>
          <w:sz w:val="32"/>
          <w:szCs w:val="32"/>
          <w:rtl/>
          <w:lang w:eastAsia="en-US"/>
        </w:rPr>
        <w:t>ﭼ</w:t>
      </w:r>
      <w:r w:rsidRPr="008900CA">
        <w:rPr>
          <w:rFonts w:ascii="Traditional Arabic" w:hAnsi="Traditional Arabic"/>
          <w:rtl/>
          <w:lang w:eastAsia="en-US"/>
        </w:rPr>
        <w:t xml:space="preserve"> فنفخوا </w:t>
      </w:r>
      <w:r w:rsidRPr="008900CA">
        <w:rPr>
          <w:rFonts w:ascii="QCF_BSML" w:hAnsi="QCF_BSML" w:cs="QCF_BSML"/>
          <w:sz w:val="32"/>
          <w:szCs w:val="32"/>
          <w:rtl/>
          <w:lang w:eastAsia="en-US"/>
        </w:rPr>
        <w:t>ﭽ</w:t>
      </w:r>
      <w:r w:rsidRPr="008900CA">
        <w:rPr>
          <w:rFonts w:ascii="QCF_P303" w:hAnsi="QCF_P303" w:cs="QCF_P303"/>
          <w:color w:val="auto"/>
          <w:sz w:val="32"/>
          <w:szCs w:val="32"/>
          <w:rtl/>
          <w:lang w:eastAsia="en-US"/>
        </w:rPr>
        <w:t xml:space="preserve"> ﰑ  ﰒ  ﰓ  </w:t>
      </w:r>
      <w:r w:rsidRPr="008900CA">
        <w:rPr>
          <w:rFonts w:ascii="QCF_BSML" w:hAnsi="QCF_BSML" w:cs="QCF_BSML"/>
          <w:color w:val="auto"/>
          <w:sz w:val="32"/>
          <w:szCs w:val="32"/>
          <w:rtl/>
          <w:lang w:eastAsia="en-US"/>
        </w:rPr>
        <w:t>ﭼ</w:t>
      </w:r>
      <w:r w:rsidRPr="008900CA">
        <w:rPr>
          <w:rFonts w:ascii="Traditional Arabic" w:hAnsi="Traditional Arabic" w:hint="cs"/>
          <w:rtl/>
          <w:lang w:eastAsia="en-US"/>
        </w:rPr>
        <w:t xml:space="preserve"> </w:t>
      </w:r>
      <w:r w:rsidRPr="008900CA">
        <w:rPr>
          <w:rFonts w:ascii="Traditional Arabic" w:hAnsi="Traditional Arabic"/>
          <w:rtl/>
          <w:lang w:eastAsia="en-US"/>
        </w:rPr>
        <w:t xml:space="preserve">يعني: الحديد، وقيل: الهاء ترجع إِلى ما بين الصدفين </w:t>
      </w:r>
      <w:r w:rsidRPr="008900CA">
        <w:rPr>
          <w:rFonts w:ascii="QCF_BSML" w:hAnsi="QCF_BSML" w:cs="QCF_BSML"/>
          <w:sz w:val="32"/>
          <w:szCs w:val="32"/>
          <w:rtl/>
          <w:lang w:eastAsia="en-US"/>
        </w:rPr>
        <w:t>ﭽ</w:t>
      </w:r>
      <w:r w:rsidRPr="008900CA">
        <w:rPr>
          <w:rFonts w:ascii="QCF_P303" w:hAnsi="QCF_P303" w:cs="QCF_P303"/>
          <w:color w:val="auto"/>
          <w:sz w:val="32"/>
          <w:szCs w:val="32"/>
          <w:rtl/>
          <w:lang w:eastAsia="en-US"/>
        </w:rPr>
        <w:t xml:space="preserve"> ﰔ </w:t>
      </w:r>
      <w:r w:rsidRPr="008900CA">
        <w:rPr>
          <w:rFonts w:ascii="QCF_BSML" w:hAnsi="QCF_BSML" w:cs="QCF_BSML"/>
          <w:color w:val="auto"/>
          <w:sz w:val="32"/>
          <w:szCs w:val="32"/>
          <w:rtl/>
          <w:lang w:eastAsia="en-US"/>
        </w:rPr>
        <w:t>ﭼ</w:t>
      </w:r>
      <w:r w:rsidRPr="008900CA">
        <w:rPr>
          <w:rFonts w:ascii="QCF_P303" w:hAnsi="QCF_P303" w:cs="QCF_P303"/>
          <w:color w:val="auto"/>
          <w:sz w:val="32"/>
          <w:szCs w:val="32"/>
          <w:rtl/>
          <w:lang w:eastAsia="en-US"/>
        </w:rPr>
        <w:t xml:space="preserve">  </w:t>
      </w:r>
      <w:r w:rsidRPr="008900CA">
        <w:rPr>
          <w:rFonts w:ascii="Traditional Arabic" w:hAnsi="Traditional Arabic" w:hint="cs"/>
          <w:rtl/>
          <w:lang w:eastAsia="en-US"/>
        </w:rPr>
        <w:t xml:space="preserve"> </w:t>
      </w:r>
      <w:r w:rsidRPr="008900CA">
        <w:rPr>
          <w:rFonts w:ascii="Traditional Arabic" w:hAnsi="Traditional Arabic"/>
          <w:rtl/>
          <w:lang w:eastAsia="en-US"/>
        </w:rPr>
        <w:t>أي: كالنار، لأن الحديد إِذا حمي</w:t>
      </w:r>
      <w:r w:rsidRPr="008900CA">
        <w:rPr>
          <w:vertAlign w:val="superscript"/>
          <w:rtl/>
        </w:rPr>
        <w:t>(</w:t>
      </w:r>
      <w:r w:rsidRPr="008900CA">
        <w:rPr>
          <w:vertAlign w:val="superscript"/>
          <w:rtl/>
        </w:rPr>
        <w:footnoteReference w:id="1931"/>
      </w:r>
      <w:r w:rsidRPr="008900CA">
        <w:rPr>
          <w:vertAlign w:val="superscript"/>
          <w:rtl/>
        </w:rPr>
        <w:t>)</w:t>
      </w:r>
      <w:r w:rsidRPr="008900CA">
        <w:rPr>
          <w:rFonts w:ascii="Traditional Arabic" w:hAnsi="Traditional Arabic"/>
          <w:rtl/>
          <w:lang w:eastAsia="en-US"/>
        </w:rPr>
        <w:t xml:space="preserve"> بالفحم والمنافيخ صار كالنا</w:t>
      </w:r>
      <w:r w:rsidRPr="008900CA">
        <w:rPr>
          <w:rFonts w:ascii="Traditional Arabic" w:hAnsi="Traditional Arabic" w:hint="cs"/>
          <w:rtl/>
          <w:lang w:eastAsia="en-US"/>
        </w:rPr>
        <w:t>ر</w:t>
      </w:r>
      <w:r w:rsidRPr="008900CA">
        <w:rPr>
          <w:vertAlign w:val="superscript"/>
          <w:rtl/>
        </w:rPr>
        <w:t>(</w:t>
      </w:r>
      <w:r w:rsidRPr="008900CA">
        <w:rPr>
          <w:vertAlign w:val="superscript"/>
          <w:rtl/>
        </w:rPr>
        <w:footnoteReference w:id="1932"/>
      </w:r>
      <w:r w:rsidRPr="008900CA">
        <w:rPr>
          <w:vertAlign w:val="superscript"/>
          <w:rtl/>
        </w:rPr>
        <w:t>)</w:t>
      </w:r>
      <w:r w:rsidRPr="008900CA">
        <w:rPr>
          <w:rFonts w:ascii="Traditional Arabic" w:hAnsi="Traditional Arabic"/>
          <w:rtl/>
          <w:lang w:eastAsia="en-US"/>
        </w:rPr>
        <w:t>،</w:t>
      </w:r>
      <w:r w:rsidRPr="008900CA">
        <w:rPr>
          <w:rFonts w:ascii="QCF_BSML" w:hAnsi="QCF_BSML" w:cs="QCF_BSML"/>
          <w:sz w:val="32"/>
          <w:szCs w:val="32"/>
          <w:rtl/>
          <w:lang w:eastAsia="en-US"/>
        </w:rPr>
        <w:t xml:space="preserve"> ﭽ</w:t>
      </w:r>
      <w:r w:rsidRPr="008900CA">
        <w:rPr>
          <w:rFonts w:ascii="Traditional Arabic" w:hAnsi="Traditional Arabic"/>
          <w:rtl/>
          <w:lang w:eastAsia="en-US"/>
        </w:rPr>
        <w:t xml:space="preserve"> </w:t>
      </w:r>
      <w:r w:rsidRPr="008900CA">
        <w:rPr>
          <w:rFonts w:ascii="QCF_P303" w:hAnsi="QCF_P303" w:cs="QCF_P303"/>
          <w:color w:val="auto"/>
          <w:sz w:val="32"/>
          <w:szCs w:val="32"/>
          <w:rtl/>
          <w:lang w:eastAsia="en-US"/>
        </w:rPr>
        <w:t>ﰕ  ﰖ</w:t>
      </w:r>
      <w:r w:rsidRPr="008900CA">
        <w:rPr>
          <w:rFonts w:ascii="QCF_BSML" w:hAnsi="QCF_BSML" w:cs="QCF_BSML"/>
          <w:color w:val="auto"/>
          <w:sz w:val="32"/>
          <w:szCs w:val="32"/>
          <w:rtl/>
          <w:lang w:eastAsia="en-US"/>
        </w:rPr>
        <w:t xml:space="preserve"> ﭼ</w:t>
      </w:r>
      <w:r w:rsidRPr="008900CA">
        <w:rPr>
          <w:rFonts w:ascii="Traditional Arabic" w:hAnsi="Traditional Arabic" w:hint="cs"/>
          <w:rtl/>
          <w:lang w:eastAsia="en-US"/>
        </w:rPr>
        <w:t xml:space="preserve"> </w:t>
      </w:r>
      <w:r w:rsidRPr="008900CA">
        <w:rPr>
          <w:rFonts w:ascii="Traditional Arabic" w:hAnsi="Traditional Arabic"/>
          <w:rtl/>
          <w:lang w:eastAsia="en-US"/>
        </w:rPr>
        <w:t xml:space="preserve">قرأ ابن كثير، ونافع، وأبو عمرو، وابن عامر، والكسائي: «آتوني» ممدودة، والمعنى: </w:t>
      </w:r>
      <w:r w:rsidRPr="008900CA">
        <w:rPr>
          <w:rFonts w:ascii="Traditional Arabic" w:hAnsi="Traditional Arabic"/>
          <w:sz w:val="32"/>
          <w:szCs w:val="32"/>
          <w:rtl/>
        </w:rPr>
        <w:t>[</w:t>
      </w:r>
      <w:r w:rsidRPr="008900CA">
        <w:rPr>
          <w:rFonts w:ascii="Traditional Arabic" w:hAnsi="Traditional Arabic" w:hint="cs"/>
          <w:sz w:val="32"/>
          <w:szCs w:val="32"/>
          <w:rtl/>
        </w:rPr>
        <w:t>151</w:t>
      </w:r>
      <w:r w:rsidRPr="008900CA">
        <w:rPr>
          <w:rFonts w:ascii="Traditional Arabic" w:hAnsi="Traditional Arabic"/>
          <w:sz w:val="32"/>
          <w:szCs w:val="32"/>
          <w:rtl/>
        </w:rPr>
        <w:t>]</w:t>
      </w:r>
      <w:r w:rsidRPr="008900CA">
        <w:rPr>
          <w:rFonts w:ascii="Traditional Arabic" w:hAnsi="Traditional Arabic"/>
          <w:rtl/>
        </w:rPr>
        <w:t xml:space="preserve"> </w:t>
      </w:r>
      <w:r w:rsidRPr="008900CA">
        <w:rPr>
          <w:rFonts w:ascii="Traditional Arabic" w:hAnsi="Traditional Arabic"/>
          <w:rtl/>
          <w:lang w:eastAsia="en-US"/>
        </w:rPr>
        <w:t>أعطوني، وقرأ حمزة، وأبو بكر عن عاصم: «ائتوني» مقصورة والمعنى: جيئوني به أُفرغه عليه</w:t>
      </w:r>
      <w:r w:rsidRPr="008900CA">
        <w:rPr>
          <w:vertAlign w:val="superscript"/>
          <w:rtl/>
        </w:rPr>
        <w:t>(</w:t>
      </w:r>
      <w:r w:rsidRPr="008900CA">
        <w:rPr>
          <w:vertAlign w:val="superscript"/>
          <w:rtl/>
        </w:rPr>
        <w:footnoteReference w:id="1933"/>
      </w:r>
      <w:r w:rsidRPr="008900CA">
        <w:rPr>
          <w:vertAlign w:val="superscript"/>
          <w:rtl/>
        </w:rPr>
        <w:t>)</w:t>
      </w:r>
      <w:r w:rsidRPr="008900CA">
        <w:rPr>
          <w:rFonts w:ascii="Traditional Arabic" w:hAnsi="Traditional Arabic"/>
          <w:rtl/>
          <w:lang w:eastAsia="en-US"/>
        </w:rPr>
        <w:t>.</w:t>
      </w:r>
      <w:r w:rsidRPr="008900CA">
        <w:rPr>
          <w:rFonts w:ascii="Traditional Arabic" w:hAnsi="Traditional Arabic" w:hint="cs"/>
          <w:rtl/>
          <w:lang w:eastAsia="en-US"/>
        </w:rPr>
        <w:t xml:space="preserve"> </w:t>
      </w:r>
      <w:r w:rsidRPr="008900CA">
        <w:rPr>
          <w:rFonts w:ascii="Traditional Arabic" w:hAnsi="Traditional Arabic"/>
          <w:rtl/>
          <w:lang w:eastAsia="en-US"/>
        </w:rPr>
        <w:t>وفي القِطْر أربعة أقوال: أحدها: أنه النحاس، قاله ابن عباس، ومجاهد، وقتادة</w:t>
      </w:r>
      <w:r w:rsidRPr="008900CA">
        <w:rPr>
          <w:vertAlign w:val="superscript"/>
          <w:rtl/>
        </w:rPr>
        <w:t>(</w:t>
      </w:r>
      <w:r w:rsidRPr="008900CA">
        <w:rPr>
          <w:vertAlign w:val="superscript"/>
          <w:rtl/>
        </w:rPr>
        <w:footnoteReference w:id="1934"/>
      </w:r>
      <w:r w:rsidRPr="008900CA">
        <w:rPr>
          <w:vertAlign w:val="superscript"/>
          <w:rtl/>
        </w:rPr>
        <w:t>)</w:t>
      </w:r>
      <w:r w:rsidRPr="008900CA">
        <w:rPr>
          <w:rFonts w:ascii="Traditional Arabic" w:hAnsi="Traditional Arabic"/>
          <w:rtl/>
          <w:lang w:eastAsia="en-US"/>
        </w:rPr>
        <w:t>، والفراء</w:t>
      </w:r>
      <w:r w:rsidRPr="008900CA">
        <w:rPr>
          <w:vertAlign w:val="superscript"/>
          <w:rtl/>
        </w:rPr>
        <w:t>(</w:t>
      </w:r>
      <w:r w:rsidRPr="008900CA">
        <w:rPr>
          <w:vertAlign w:val="superscript"/>
          <w:rtl/>
        </w:rPr>
        <w:footnoteReference w:id="1935"/>
      </w:r>
      <w:r w:rsidRPr="008900CA">
        <w:rPr>
          <w:vertAlign w:val="superscript"/>
          <w:rtl/>
        </w:rPr>
        <w:t>)</w:t>
      </w:r>
      <w:r w:rsidRPr="008900CA">
        <w:rPr>
          <w:rFonts w:ascii="Traditional Arabic" w:hAnsi="Traditional Arabic"/>
          <w:rtl/>
          <w:lang w:eastAsia="en-US"/>
        </w:rPr>
        <w:t>، والزجاج</w:t>
      </w:r>
      <w:r w:rsidRPr="008900CA">
        <w:rPr>
          <w:vertAlign w:val="superscript"/>
          <w:rtl/>
        </w:rPr>
        <w:t>(</w:t>
      </w:r>
      <w:r w:rsidRPr="008900CA">
        <w:rPr>
          <w:vertAlign w:val="superscript"/>
          <w:rtl/>
        </w:rPr>
        <w:footnoteReference w:id="1936"/>
      </w:r>
      <w:r w:rsidRPr="008900CA">
        <w:rPr>
          <w:vertAlign w:val="superscript"/>
          <w:rtl/>
        </w:rPr>
        <w:t>)</w:t>
      </w:r>
      <w:r w:rsidRPr="008900CA">
        <w:rPr>
          <w:rFonts w:ascii="Traditional Arabic" w:hAnsi="Traditional Arabic"/>
          <w:rtl/>
          <w:lang w:eastAsia="en-US"/>
        </w:rPr>
        <w:t xml:space="preserve">. والثاني: أنه </w:t>
      </w:r>
    </w:p>
    <w:p w:rsidR="007A7F88" w:rsidRDefault="007A7F88" w:rsidP="007A7F88">
      <w:pPr>
        <w:ind w:firstLine="0"/>
        <w:rPr>
          <w:rFonts w:ascii="Traditional Arabic" w:hAnsi="Traditional Arabic"/>
          <w:rtl/>
          <w:lang w:eastAsia="en-US"/>
        </w:rPr>
      </w:pPr>
    </w:p>
    <w:p w:rsidR="008900CA" w:rsidRDefault="008900CA" w:rsidP="007A7F88">
      <w:pPr>
        <w:ind w:firstLine="0"/>
        <w:rPr>
          <w:rFonts w:ascii="Traditional Arabic" w:hAnsi="Traditional Arabic"/>
          <w:rtl/>
          <w:lang w:eastAsia="en-US"/>
        </w:rPr>
      </w:pPr>
      <w:r w:rsidRPr="008900CA">
        <w:rPr>
          <w:rFonts w:ascii="Traditional Arabic" w:hAnsi="Traditional Arabic"/>
          <w:rtl/>
          <w:lang w:eastAsia="en-US"/>
        </w:rPr>
        <w:lastRenderedPageBreak/>
        <w:t>الحديد الذائب، قاله أبو عبيدة</w:t>
      </w:r>
      <w:r w:rsidRPr="008900CA">
        <w:rPr>
          <w:vertAlign w:val="superscript"/>
          <w:rtl/>
        </w:rPr>
        <w:t>(</w:t>
      </w:r>
      <w:r w:rsidRPr="008900CA">
        <w:rPr>
          <w:vertAlign w:val="superscript"/>
          <w:rtl/>
        </w:rPr>
        <w:footnoteReference w:id="1937"/>
      </w:r>
      <w:r w:rsidRPr="008900CA">
        <w:rPr>
          <w:vertAlign w:val="superscript"/>
          <w:rtl/>
        </w:rPr>
        <w:t>)</w:t>
      </w:r>
      <w:r w:rsidRPr="008900CA">
        <w:rPr>
          <w:rFonts w:ascii="Traditional Arabic" w:hAnsi="Traditional Arabic"/>
          <w:rtl/>
          <w:lang w:eastAsia="en-US"/>
        </w:rPr>
        <w:t>. والثالث: الصُّفْر المُذاب، قاله</w:t>
      </w:r>
      <w:r w:rsidRPr="008900CA">
        <w:rPr>
          <w:rFonts w:ascii="Traditional Arabic" w:hAnsi="Traditional Arabic" w:hint="cs"/>
          <w:rtl/>
          <w:lang w:eastAsia="en-US"/>
        </w:rPr>
        <w:t xml:space="preserve"> </w:t>
      </w:r>
      <w:r w:rsidRPr="008900CA">
        <w:rPr>
          <w:rFonts w:ascii="Traditional Arabic" w:hAnsi="Traditional Arabic"/>
          <w:rtl/>
          <w:lang w:eastAsia="en-US"/>
        </w:rPr>
        <w:t>مقاتل</w:t>
      </w:r>
      <w:r w:rsidRPr="008900CA">
        <w:rPr>
          <w:vertAlign w:val="superscript"/>
          <w:rtl/>
        </w:rPr>
        <w:t>(</w:t>
      </w:r>
      <w:r w:rsidRPr="008900CA">
        <w:rPr>
          <w:vertAlign w:val="superscript"/>
          <w:rtl/>
        </w:rPr>
        <w:footnoteReference w:id="1938"/>
      </w:r>
      <w:r w:rsidRPr="008900CA">
        <w:rPr>
          <w:vertAlign w:val="superscript"/>
          <w:rtl/>
        </w:rPr>
        <w:t>)</w:t>
      </w:r>
      <w:r w:rsidRPr="008900CA">
        <w:rPr>
          <w:rFonts w:ascii="Traditional Arabic" w:hAnsi="Traditional Arabic"/>
          <w:rtl/>
          <w:lang w:eastAsia="en-US"/>
        </w:rPr>
        <w:t>. والرابع:</w:t>
      </w:r>
      <w:r w:rsidRPr="008900CA">
        <w:rPr>
          <w:rFonts w:ascii="Traditional Arabic" w:hAnsi="Traditional Arabic" w:hint="cs"/>
          <w:rtl/>
          <w:lang w:eastAsia="en-US"/>
        </w:rPr>
        <w:t xml:space="preserve"> </w:t>
      </w:r>
      <w:r w:rsidRPr="008900CA">
        <w:rPr>
          <w:rFonts w:ascii="Traditional Arabic" w:hAnsi="Traditional Arabic"/>
          <w:rtl/>
          <w:lang w:eastAsia="en-US"/>
        </w:rPr>
        <w:t>الرصاص، حكاه ابن الأنباري</w:t>
      </w:r>
      <w:r w:rsidRPr="008900CA">
        <w:rPr>
          <w:vertAlign w:val="superscript"/>
          <w:rtl/>
        </w:rPr>
        <w:t>(</w:t>
      </w:r>
      <w:r w:rsidRPr="008900CA">
        <w:rPr>
          <w:vertAlign w:val="superscript"/>
          <w:rtl/>
        </w:rPr>
        <w:footnoteReference w:id="1939"/>
      </w:r>
      <w:r w:rsidRPr="008900CA">
        <w:rPr>
          <w:vertAlign w:val="superscript"/>
          <w:rtl/>
        </w:rPr>
        <w:t>)</w:t>
      </w:r>
      <w:r w:rsidRPr="008900CA">
        <w:rPr>
          <w:rFonts w:ascii="Traditional Arabic" w:hAnsi="Traditional Arabic"/>
          <w:rtl/>
          <w:lang w:eastAsia="en-US"/>
        </w:rPr>
        <w:t>. قال المفسرون: أذاب القِطْر ثم صبَّه عليه، فاختلط والتصق بعضه ببعض حتى صار جبلاً صلداً من حديد وقِطْر</w:t>
      </w:r>
      <w:r w:rsidRPr="008900CA">
        <w:rPr>
          <w:vertAlign w:val="superscript"/>
          <w:rtl/>
        </w:rPr>
        <w:t>(</w:t>
      </w:r>
      <w:r w:rsidRPr="008900CA">
        <w:rPr>
          <w:vertAlign w:val="superscript"/>
          <w:rtl/>
        </w:rPr>
        <w:footnoteReference w:id="1940"/>
      </w:r>
      <w:r w:rsidRPr="008900CA">
        <w:rPr>
          <w:vertAlign w:val="superscript"/>
          <w:rtl/>
        </w:rPr>
        <w:t>)</w:t>
      </w:r>
      <w:r w:rsidRPr="008900CA">
        <w:rPr>
          <w:rFonts w:ascii="Traditional Arabic" w:hAnsi="Traditional Arabic"/>
          <w:rtl/>
          <w:lang w:eastAsia="en-US"/>
        </w:rPr>
        <w:t>. قال قتادة: فهو كالبرد المحبر، طريقة سوداء وطريقة حمراء</w:t>
      </w:r>
      <w:r w:rsidRPr="008900CA">
        <w:rPr>
          <w:vertAlign w:val="superscript"/>
          <w:rtl/>
        </w:rPr>
        <w:t>(</w:t>
      </w:r>
      <w:r w:rsidRPr="008900CA">
        <w:rPr>
          <w:vertAlign w:val="superscript"/>
          <w:rtl/>
        </w:rPr>
        <w:footnoteReference w:id="1941"/>
      </w:r>
      <w:r w:rsidRPr="008900CA">
        <w:rPr>
          <w:vertAlign w:val="superscript"/>
          <w:rtl/>
        </w:rPr>
        <w:t>)</w:t>
      </w:r>
      <w:r w:rsidRPr="008900CA">
        <w:rPr>
          <w:rFonts w:ascii="Traditional Arabic" w:hAnsi="Traditional Arabic"/>
          <w:rtl/>
          <w:lang w:eastAsia="en-US"/>
        </w:rPr>
        <w:t xml:space="preserve">. قوله تعالى: </w:t>
      </w:r>
      <w:r w:rsidRPr="008900CA">
        <w:rPr>
          <w:rFonts w:ascii="QCF_BSML" w:hAnsi="QCF_BSML" w:cs="QCF_BSML"/>
          <w:sz w:val="32"/>
          <w:szCs w:val="32"/>
          <w:rtl/>
          <w:lang w:eastAsia="en-US"/>
        </w:rPr>
        <w:t>ﭽ</w:t>
      </w:r>
      <w:r w:rsidRPr="008900CA">
        <w:rPr>
          <w:rFonts w:ascii="QCF_P303" w:hAnsi="QCF_P303" w:cs="QCF_P303"/>
          <w:color w:val="auto"/>
          <w:sz w:val="32"/>
          <w:szCs w:val="32"/>
          <w:rtl/>
          <w:lang w:eastAsia="en-US"/>
        </w:rPr>
        <w:t xml:space="preserve">ﰛ  ﰜ  </w:t>
      </w:r>
      <w:r w:rsidRPr="008900CA">
        <w:rPr>
          <w:rFonts w:ascii="QCF_BSML" w:hAnsi="QCF_BSML" w:cs="QCF_BSML"/>
          <w:color w:val="auto"/>
          <w:sz w:val="32"/>
          <w:szCs w:val="32"/>
          <w:rtl/>
          <w:lang w:eastAsia="en-US"/>
        </w:rPr>
        <w:t>ﭼ</w:t>
      </w:r>
      <w:r w:rsidRPr="008900CA">
        <w:rPr>
          <w:rFonts w:ascii="Traditional Arabic" w:hAnsi="Traditional Arabic" w:hint="cs"/>
          <w:rtl/>
          <w:lang w:eastAsia="en-US"/>
        </w:rPr>
        <w:t xml:space="preserve"> </w:t>
      </w:r>
      <w:r w:rsidRPr="008900CA">
        <w:rPr>
          <w:rFonts w:ascii="Traditional Arabic" w:hAnsi="Traditional Arabic"/>
          <w:rtl/>
          <w:lang w:eastAsia="en-US"/>
        </w:rPr>
        <w:t>أصله: فما «استطاعوا» فلما كانت التاء والطاء من مخرج واحد أحبُّوا التخفيف فحذفوا. قال ابن الأنباري: إِنما تقول العرب: اسطاع، تخفيفاً، كما قالوا: سوف يقوم، وسيقوم، فأسقطوا الفاء</w:t>
      </w:r>
      <w:r w:rsidRPr="008900CA">
        <w:rPr>
          <w:vertAlign w:val="superscript"/>
          <w:rtl/>
        </w:rPr>
        <w:t>(</w:t>
      </w:r>
      <w:r w:rsidRPr="008900CA">
        <w:rPr>
          <w:vertAlign w:val="superscript"/>
          <w:rtl/>
        </w:rPr>
        <w:footnoteReference w:id="1942"/>
      </w:r>
      <w:r w:rsidRPr="008900CA">
        <w:rPr>
          <w:vertAlign w:val="superscript"/>
          <w:rtl/>
        </w:rPr>
        <w:t>)</w:t>
      </w:r>
      <w:r w:rsidRPr="008900CA">
        <w:rPr>
          <w:rFonts w:ascii="Traditional Arabic" w:hAnsi="Traditional Arabic"/>
          <w:rtl/>
          <w:lang w:eastAsia="en-US"/>
        </w:rPr>
        <w:t xml:space="preserve">. قوله تعالى: </w:t>
      </w:r>
      <w:r w:rsidRPr="008900CA">
        <w:rPr>
          <w:rFonts w:ascii="QCF_BSML" w:hAnsi="QCF_BSML" w:cs="QCF_BSML"/>
          <w:sz w:val="32"/>
          <w:szCs w:val="32"/>
          <w:rtl/>
          <w:lang w:eastAsia="en-US"/>
        </w:rPr>
        <w:t>ﭽ</w:t>
      </w:r>
      <w:r w:rsidRPr="008900CA">
        <w:rPr>
          <w:rFonts w:ascii="QCF_P303" w:hAnsi="QCF_P303" w:cs="QCF_P303"/>
          <w:color w:val="auto"/>
          <w:sz w:val="32"/>
          <w:szCs w:val="32"/>
          <w:rtl/>
          <w:lang w:eastAsia="en-US"/>
        </w:rPr>
        <w:t xml:space="preserve"> ﰝ  ﰞ  </w:t>
      </w:r>
      <w:r w:rsidRPr="008900CA">
        <w:rPr>
          <w:rFonts w:ascii="QCF_BSML" w:hAnsi="QCF_BSML" w:cs="QCF_BSML"/>
          <w:color w:val="auto"/>
          <w:sz w:val="32"/>
          <w:szCs w:val="32"/>
          <w:rtl/>
          <w:lang w:eastAsia="en-US"/>
        </w:rPr>
        <w:t>ﭼ</w:t>
      </w:r>
      <w:r w:rsidRPr="008900CA">
        <w:rPr>
          <w:rFonts w:ascii="Traditional Arabic" w:hAnsi="Traditional Arabic" w:hint="cs"/>
          <w:rtl/>
          <w:lang w:eastAsia="en-US"/>
        </w:rPr>
        <w:t xml:space="preserve"> </w:t>
      </w:r>
      <w:r w:rsidRPr="008900CA">
        <w:rPr>
          <w:rFonts w:ascii="Traditional Arabic" w:hAnsi="Traditional Arabic"/>
          <w:rtl/>
          <w:lang w:eastAsia="en-US"/>
        </w:rPr>
        <w:t>أي: يعلوه يقال: ظهر فلان فوق البيت: إِذا علاه، والمعنى: ما قدروا أن يعلوه</w:t>
      </w:r>
      <w:r w:rsidRPr="008900CA">
        <w:rPr>
          <w:rFonts w:ascii="Traditional Arabic" w:hAnsi="Traditional Arabic" w:hint="cs"/>
          <w:rtl/>
          <w:lang w:eastAsia="en-US"/>
        </w:rPr>
        <w:t xml:space="preserve"> </w:t>
      </w:r>
      <w:r w:rsidRPr="008900CA">
        <w:rPr>
          <w:rFonts w:ascii="Traditional Arabic" w:hAnsi="Traditional Arabic"/>
          <w:rtl/>
          <w:lang w:eastAsia="en-US"/>
        </w:rPr>
        <w:t>لارتفاعه وامِّلاسه</w:t>
      </w:r>
      <w:r w:rsidRPr="008900CA">
        <w:rPr>
          <w:vertAlign w:val="superscript"/>
          <w:rtl/>
        </w:rPr>
        <w:t>(</w:t>
      </w:r>
      <w:r w:rsidRPr="008900CA">
        <w:rPr>
          <w:vertAlign w:val="superscript"/>
          <w:rtl/>
        </w:rPr>
        <w:footnoteReference w:id="1943"/>
      </w:r>
      <w:r w:rsidRPr="008900CA">
        <w:rPr>
          <w:vertAlign w:val="superscript"/>
          <w:rtl/>
        </w:rPr>
        <w:t>)</w:t>
      </w:r>
      <w:r w:rsidRPr="008900CA">
        <w:rPr>
          <w:rFonts w:ascii="QCF_BSML" w:hAnsi="QCF_BSML" w:cs="QCF_BSML"/>
          <w:sz w:val="32"/>
          <w:szCs w:val="32"/>
          <w:rtl/>
          <w:lang w:eastAsia="en-US"/>
        </w:rPr>
        <w:t>ﭽ</w:t>
      </w:r>
      <w:r w:rsidRPr="008900CA">
        <w:rPr>
          <w:rFonts w:ascii="QCF_P303" w:hAnsi="QCF_P303" w:cs="QCF_P303"/>
          <w:color w:val="auto"/>
          <w:sz w:val="32"/>
          <w:szCs w:val="32"/>
          <w:rtl/>
          <w:lang w:eastAsia="en-US"/>
        </w:rPr>
        <w:t xml:space="preserve"> ﰟ  ﰠ  ﰡ  ﰢ  </w:t>
      </w:r>
      <w:r w:rsidRPr="008900CA">
        <w:rPr>
          <w:rFonts w:ascii="QCF_BSML" w:hAnsi="QCF_BSML" w:cs="QCF_BSML"/>
          <w:color w:val="auto"/>
          <w:sz w:val="32"/>
          <w:szCs w:val="32"/>
          <w:rtl/>
          <w:lang w:eastAsia="en-US"/>
        </w:rPr>
        <w:t>ﭼ</w:t>
      </w:r>
      <w:r w:rsidRPr="008900CA">
        <w:rPr>
          <w:rFonts w:ascii="Traditional Arabic" w:hAnsi="Traditional Arabic" w:hint="cs"/>
          <w:rtl/>
          <w:lang w:eastAsia="en-US"/>
        </w:rPr>
        <w:t xml:space="preserve"> </w:t>
      </w:r>
      <w:r w:rsidRPr="008900CA">
        <w:rPr>
          <w:rFonts w:ascii="Traditional Arabic" w:hAnsi="Traditional Arabic"/>
          <w:rtl/>
          <w:lang w:eastAsia="en-US"/>
        </w:rPr>
        <w:t>من أسفله، لشدته وصلابته</w:t>
      </w:r>
      <w:r w:rsidRPr="008900CA">
        <w:rPr>
          <w:vertAlign w:val="superscript"/>
          <w:rtl/>
        </w:rPr>
        <w:t>(</w:t>
      </w:r>
      <w:r w:rsidRPr="008900CA">
        <w:rPr>
          <w:vertAlign w:val="superscript"/>
          <w:rtl/>
        </w:rPr>
        <w:footnoteReference w:id="1944"/>
      </w:r>
      <w:r w:rsidRPr="008900CA">
        <w:rPr>
          <w:vertAlign w:val="superscript"/>
          <w:rtl/>
        </w:rPr>
        <w:t>)</w:t>
      </w:r>
      <w:r w:rsidRPr="008900CA">
        <w:rPr>
          <w:rFonts w:ascii="Traditional Arabic" w:hAnsi="Traditional Arabic"/>
          <w:rtl/>
          <w:lang w:eastAsia="en-US"/>
        </w:rPr>
        <w:t>.</w:t>
      </w:r>
      <w:r w:rsidRPr="008900CA">
        <w:rPr>
          <w:rFonts w:ascii="Traditional Arabic" w:hAnsi="Traditional Arabic" w:hint="cs"/>
          <w:rtl/>
          <w:lang w:eastAsia="en-US"/>
        </w:rPr>
        <w:t xml:space="preserve"> </w:t>
      </w:r>
      <w:r w:rsidRPr="008900CA">
        <w:rPr>
          <w:rFonts w:ascii="Traditional Arabic" w:hAnsi="Traditional Arabic"/>
          <w:rtl/>
          <w:lang w:eastAsia="en-US"/>
        </w:rPr>
        <w:t>وروى أبو هريرة عن رسول الله</w:t>
      </w:r>
      <w:r w:rsidRPr="008900CA">
        <w:rPr>
          <w:rFonts w:ascii="Traditional Arabic" w:hAnsi="Traditional Arabic" w:hint="cs"/>
          <w:rtl/>
          <w:lang w:eastAsia="en-US"/>
        </w:rPr>
        <w:t xml:space="preserve"> </w:t>
      </w:r>
      <w:r w:rsidRPr="008900CA">
        <w:rPr>
          <w:rFonts w:ascii="Traditional Arabic" w:hAnsi="Traditional Arabic" w:hint="cs"/>
          <w:lang w:eastAsia="en-US"/>
        </w:rPr>
        <w:sym w:font="AGA Arabesque" w:char="F072"/>
      </w:r>
      <w:r w:rsidRPr="008900CA">
        <w:rPr>
          <w:rFonts w:ascii="Traditional Arabic" w:hAnsi="Traditional Arabic"/>
          <w:rtl/>
          <w:lang w:eastAsia="en-US"/>
        </w:rPr>
        <w:t xml:space="preserve"> قال: «إِن يأجوج ومأجوج ليَحفرون السدَّ كل يوم،</w:t>
      </w:r>
      <w:r w:rsidRPr="008900CA">
        <w:rPr>
          <w:rFonts w:ascii="Traditional Arabic" w:hAnsi="Traditional Arabic" w:hint="cs"/>
          <w:rtl/>
          <w:lang w:eastAsia="en-US"/>
        </w:rPr>
        <w:t xml:space="preserve"> </w:t>
      </w:r>
      <w:r w:rsidRPr="008900CA">
        <w:rPr>
          <w:rFonts w:ascii="Traditional Arabic" w:hAnsi="Traditional Arabic"/>
          <w:rtl/>
        </w:rPr>
        <w:t>حتى إِذا كادوا يرون شعاع الشمس، قال الذي عليهم: ارجعوا، فستحفرونه غداً، فيعودون إِليه، فيرونه كأشد ما كان، حتى إِذا بلغت مدّتهم، وأراد الله عزّ وجلّ أن يبعثهم على الناس، حفروا، حتى إِذا كادوا يرون شعاع الشمس، قال الذين عليهم: ارجعوا، فستحفرونه غداً إِن شاء الله، ويستثني، فيعودون إِليه وهو كهيئته</w:t>
      </w:r>
      <w:r w:rsidRPr="008900CA">
        <w:rPr>
          <w:vertAlign w:val="superscript"/>
          <w:rtl/>
        </w:rPr>
        <w:t>(</w:t>
      </w:r>
      <w:r w:rsidRPr="008900CA">
        <w:rPr>
          <w:vertAlign w:val="superscript"/>
          <w:rtl/>
        </w:rPr>
        <w:footnoteReference w:id="1945"/>
      </w:r>
      <w:r w:rsidRPr="008900CA">
        <w:rPr>
          <w:vertAlign w:val="superscript"/>
          <w:rtl/>
        </w:rPr>
        <w:t>)</w:t>
      </w:r>
      <w:r w:rsidRPr="008900CA">
        <w:rPr>
          <w:rFonts w:ascii="Traditional Arabic" w:hAnsi="Traditional Arabic"/>
          <w:rtl/>
        </w:rPr>
        <w:t>حين تركوه، فيحفرونه ويخرجون على الناس» وذكر باقي الحديث</w:t>
      </w:r>
      <w:r w:rsidRPr="008900CA">
        <w:rPr>
          <w:rFonts w:ascii="Traditional Arabic" w:hAnsi="Traditional Arabic" w:hint="cs"/>
          <w:rtl/>
        </w:rPr>
        <w:t>,</w:t>
      </w:r>
      <w:r w:rsidRPr="008900CA">
        <w:rPr>
          <w:rFonts w:ascii="Traditional Arabic" w:hAnsi="Traditional Arabic"/>
          <w:rtl/>
        </w:rPr>
        <w:t xml:space="preserve"> وقد ذكرت هذا الحديث بطوله </w:t>
      </w:r>
      <w:r w:rsidRPr="008900CA">
        <w:rPr>
          <w:rFonts w:ascii="Traditional Arabic" w:hAnsi="Traditional Arabic"/>
          <w:rtl/>
        </w:rPr>
        <w:lastRenderedPageBreak/>
        <w:t>وأشباهه في كتاب «الحدائق» فكرهت التّطويل ها هنا</w:t>
      </w:r>
      <w:r w:rsidRPr="008900CA">
        <w:rPr>
          <w:vertAlign w:val="superscript"/>
          <w:rtl/>
        </w:rPr>
        <w:t>(</w:t>
      </w:r>
      <w:r w:rsidRPr="008900CA">
        <w:rPr>
          <w:vertAlign w:val="superscript"/>
          <w:rtl/>
        </w:rPr>
        <w:footnoteReference w:id="1946"/>
      </w:r>
      <w:r w:rsidRPr="008900CA">
        <w:rPr>
          <w:vertAlign w:val="superscript"/>
          <w:rtl/>
        </w:rPr>
        <w:t>)</w:t>
      </w:r>
      <w:r w:rsidRPr="008900CA">
        <w:rPr>
          <w:rFonts w:ascii="Traditional Arabic" w:hAnsi="Traditional Arabic"/>
          <w:rtl/>
        </w:rPr>
        <w:t>.</w:t>
      </w:r>
      <w:r w:rsidRPr="008900CA">
        <w:rPr>
          <w:rFonts w:ascii="Traditional Arabic" w:hAnsi="Traditional Arabic" w:hint="cs"/>
          <w:rtl/>
          <w:lang w:eastAsia="en-US"/>
        </w:rPr>
        <w:t xml:space="preserve"> </w:t>
      </w:r>
      <w:r w:rsidRPr="008900CA">
        <w:rPr>
          <w:rFonts w:ascii="Traditional Arabic" w:hAnsi="Traditional Arabic"/>
          <w:rtl/>
        </w:rPr>
        <w:t xml:space="preserve">قوله تعالى: </w:t>
      </w:r>
      <w:r w:rsidRPr="008900CA">
        <w:rPr>
          <w:rFonts w:ascii="QCF_BSML" w:hAnsi="QCF_BSML" w:cs="QCF_BSML"/>
          <w:sz w:val="32"/>
          <w:szCs w:val="32"/>
          <w:rtl/>
          <w:lang w:eastAsia="en-US"/>
        </w:rPr>
        <w:t>ﭽ</w:t>
      </w:r>
      <w:r w:rsidRPr="008900CA">
        <w:rPr>
          <w:rFonts w:ascii="QCF_P304" w:hAnsi="QCF_P304" w:cs="QCF_P304"/>
          <w:color w:val="auto"/>
          <w:sz w:val="32"/>
          <w:szCs w:val="32"/>
          <w:rtl/>
          <w:lang w:eastAsia="en-US"/>
        </w:rPr>
        <w:t xml:space="preserve"> ﭑ  ﭒ  ﭓ   ﭔ  ﭕ</w:t>
      </w:r>
      <w:r w:rsidRPr="008900CA">
        <w:rPr>
          <w:rFonts w:ascii="QCF_BSML" w:hAnsi="QCF_BSML" w:cs="QCF_BSML"/>
          <w:color w:val="auto"/>
          <w:sz w:val="32"/>
          <w:szCs w:val="32"/>
          <w:rtl/>
          <w:lang w:eastAsia="en-US"/>
        </w:rPr>
        <w:t xml:space="preserve"> ﭼ</w:t>
      </w:r>
      <w:r w:rsidRPr="008900CA">
        <w:rPr>
          <w:rFonts w:ascii="Traditional Arabic" w:hAnsi="Traditional Arabic" w:hint="cs"/>
          <w:rtl/>
        </w:rPr>
        <w:t xml:space="preserve"> </w:t>
      </w:r>
      <w:r w:rsidRPr="008900CA">
        <w:rPr>
          <w:rFonts w:ascii="Traditional Arabic" w:hAnsi="Traditional Arabic"/>
          <w:rtl/>
        </w:rPr>
        <w:t>لمّا فرغ ذو القرنين من بنيانه قال هذا. وفيما أشار إِليه قولان:</w:t>
      </w:r>
      <w:r w:rsidRPr="008900CA">
        <w:rPr>
          <w:rFonts w:ascii="Traditional Arabic" w:hAnsi="Traditional Arabic" w:hint="cs"/>
          <w:rtl/>
        </w:rPr>
        <w:t xml:space="preserve"> </w:t>
      </w:r>
      <w:r w:rsidRPr="008900CA">
        <w:rPr>
          <w:rFonts w:ascii="Traditional Arabic" w:hAnsi="Traditional Arabic"/>
          <w:rtl/>
        </w:rPr>
        <w:t>أحدهما: أنه الرَّدم، قاله مقاتل قال: فالمعنى: هذا نِعْمة من ربِّي على المسلمين لئلا يخرجوا إِليهم</w:t>
      </w:r>
      <w:r w:rsidRPr="008900CA">
        <w:rPr>
          <w:vertAlign w:val="superscript"/>
          <w:rtl/>
        </w:rPr>
        <w:t>(</w:t>
      </w:r>
      <w:r w:rsidRPr="008900CA">
        <w:rPr>
          <w:vertAlign w:val="superscript"/>
          <w:rtl/>
        </w:rPr>
        <w:footnoteReference w:id="1947"/>
      </w:r>
      <w:r w:rsidRPr="008900CA">
        <w:rPr>
          <w:vertAlign w:val="superscript"/>
          <w:rtl/>
        </w:rPr>
        <w:t>)</w:t>
      </w:r>
      <w:r w:rsidRPr="008900CA">
        <w:rPr>
          <w:rFonts w:ascii="Traditional Arabic" w:hAnsi="Traditional Arabic"/>
          <w:rtl/>
        </w:rPr>
        <w:t>.</w:t>
      </w:r>
      <w:r w:rsidRPr="008900CA">
        <w:rPr>
          <w:rFonts w:ascii="Traditional Arabic" w:hAnsi="Traditional Arabic" w:hint="cs"/>
          <w:rtl/>
        </w:rPr>
        <w:t xml:space="preserve"> </w:t>
      </w:r>
      <w:r w:rsidRPr="008900CA">
        <w:rPr>
          <w:rFonts w:ascii="Traditional Arabic" w:hAnsi="Traditional Arabic"/>
          <w:rtl/>
        </w:rPr>
        <w:t>والثاني: أنه التمكين الذي أدرك به عمل السد، قاله الزجاج</w:t>
      </w:r>
      <w:r w:rsidRPr="008900CA">
        <w:rPr>
          <w:vertAlign w:val="superscript"/>
          <w:rtl/>
        </w:rPr>
        <w:t>(</w:t>
      </w:r>
      <w:r w:rsidRPr="008900CA">
        <w:rPr>
          <w:vertAlign w:val="superscript"/>
          <w:rtl/>
        </w:rPr>
        <w:footnoteReference w:id="1948"/>
      </w:r>
      <w:r w:rsidRPr="008900CA">
        <w:rPr>
          <w:vertAlign w:val="superscript"/>
          <w:rtl/>
        </w:rPr>
        <w:t>)</w:t>
      </w:r>
      <w:r w:rsidRPr="008900CA">
        <w:rPr>
          <w:rFonts w:ascii="Traditional Arabic" w:hAnsi="Traditional Arabic"/>
          <w:rtl/>
        </w:rPr>
        <w:t xml:space="preserve">. قوله تعالى: </w:t>
      </w:r>
      <w:r w:rsidRPr="008900CA">
        <w:rPr>
          <w:rFonts w:ascii="QCF_BSML" w:hAnsi="QCF_BSML" w:cs="QCF_BSML"/>
          <w:sz w:val="32"/>
          <w:szCs w:val="32"/>
          <w:rtl/>
          <w:lang w:eastAsia="en-US"/>
        </w:rPr>
        <w:t>ﭽ</w:t>
      </w:r>
      <w:r w:rsidRPr="008900CA">
        <w:rPr>
          <w:rFonts w:ascii="QCF_P304" w:hAnsi="QCF_P304" w:cs="QCF_P304"/>
          <w:color w:val="auto"/>
          <w:sz w:val="32"/>
          <w:szCs w:val="32"/>
          <w:rtl/>
          <w:lang w:eastAsia="en-US"/>
        </w:rPr>
        <w:t xml:space="preserve"> ﭗ  ﭘ  ﭙ  ﭚ  </w:t>
      </w:r>
      <w:r w:rsidRPr="008900CA">
        <w:rPr>
          <w:rFonts w:ascii="QCF_BSML" w:hAnsi="QCF_BSML" w:cs="QCF_BSML"/>
          <w:color w:val="auto"/>
          <w:sz w:val="32"/>
          <w:szCs w:val="32"/>
          <w:rtl/>
          <w:lang w:eastAsia="en-US"/>
        </w:rPr>
        <w:t>ﭼ</w:t>
      </w:r>
      <w:r w:rsidRPr="008900CA">
        <w:rPr>
          <w:rFonts w:ascii="Traditional Arabic" w:hAnsi="Traditional Arabic"/>
          <w:rtl/>
        </w:rPr>
        <w:t xml:space="preserve"> فيه قولان:</w:t>
      </w:r>
      <w:r w:rsidRPr="008900CA">
        <w:rPr>
          <w:rFonts w:ascii="Traditional Arabic" w:hAnsi="Traditional Arabic" w:hint="cs"/>
          <w:rtl/>
        </w:rPr>
        <w:t xml:space="preserve"> </w:t>
      </w:r>
      <w:r w:rsidRPr="008900CA">
        <w:rPr>
          <w:rFonts w:ascii="Traditional Arabic" w:hAnsi="Traditional Arabic"/>
          <w:rtl/>
        </w:rPr>
        <w:t>أحدهما: القيامة. والثاني: وعده لخروج يأجوج ومأجوج</w:t>
      </w:r>
      <w:r w:rsidRPr="008900CA">
        <w:rPr>
          <w:vertAlign w:val="superscript"/>
          <w:rtl/>
        </w:rPr>
        <w:t>(</w:t>
      </w:r>
      <w:r w:rsidRPr="008900CA">
        <w:rPr>
          <w:vertAlign w:val="superscript"/>
          <w:rtl/>
        </w:rPr>
        <w:footnoteReference w:id="1949"/>
      </w:r>
      <w:r w:rsidRPr="008900CA">
        <w:rPr>
          <w:vertAlign w:val="superscript"/>
          <w:rtl/>
        </w:rPr>
        <w:t>)</w:t>
      </w:r>
      <w:r w:rsidRPr="008900CA">
        <w:rPr>
          <w:rFonts w:ascii="Traditional Arabic" w:hAnsi="Traditional Arabic"/>
          <w:rtl/>
        </w:rPr>
        <w:t>.</w:t>
      </w:r>
      <w:r w:rsidRPr="008900CA">
        <w:rPr>
          <w:rFonts w:ascii="QCF_P303" w:hAnsi="QCF_P303" w:cs="QCF_P303"/>
          <w:color w:val="auto"/>
          <w:sz w:val="32"/>
          <w:szCs w:val="32"/>
          <w:rtl/>
          <w:lang w:eastAsia="en-US"/>
        </w:rPr>
        <w:t xml:space="preserve">  </w:t>
      </w:r>
      <w:r w:rsidRPr="008900CA">
        <w:rPr>
          <w:rFonts w:ascii="Traditional Arabic" w:hAnsi="Traditional Arabic"/>
          <w:rtl/>
        </w:rPr>
        <w:t xml:space="preserve">قوله تعالى: </w:t>
      </w:r>
      <w:r w:rsidRPr="008900CA">
        <w:rPr>
          <w:rFonts w:ascii="QCF_BSML" w:hAnsi="QCF_BSML" w:cs="QCF_BSML"/>
          <w:color w:val="auto"/>
          <w:sz w:val="32"/>
          <w:szCs w:val="32"/>
          <w:rtl/>
          <w:lang w:eastAsia="en-US"/>
        </w:rPr>
        <w:t>ﭽ</w:t>
      </w:r>
      <w:r w:rsidRPr="008900CA">
        <w:rPr>
          <w:rFonts w:ascii="QCF_P304" w:hAnsi="QCF_P304" w:cs="QCF_P304"/>
          <w:color w:val="auto"/>
          <w:sz w:val="32"/>
          <w:szCs w:val="32"/>
          <w:rtl/>
          <w:lang w:eastAsia="en-US"/>
        </w:rPr>
        <w:t xml:space="preserve"> ﭛ  ﭜﭝ </w:t>
      </w:r>
      <w:r w:rsidRPr="008900CA">
        <w:rPr>
          <w:rFonts w:ascii="QCF_BSML" w:hAnsi="QCF_BSML" w:cs="QCF_BSML"/>
          <w:color w:val="auto"/>
          <w:sz w:val="32"/>
          <w:szCs w:val="32"/>
          <w:rtl/>
          <w:lang w:eastAsia="en-US"/>
        </w:rPr>
        <w:t>ﭼ</w:t>
      </w:r>
      <w:r w:rsidRPr="008900CA">
        <w:rPr>
          <w:rFonts w:ascii="QCF_P304" w:hAnsi="QCF_P304" w:cs="QCF_P304"/>
          <w:color w:val="auto"/>
          <w:sz w:val="32"/>
          <w:szCs w:val="32"/>
          <w:rtl/>
          <w:lang w:eastAsia="en-US"/>
        </w:rPr>
        <w:t xml:space="preserve"> </w:t>
      </w:r>
      <w:r w:rsidRPr="008900CA">
        <w:rPr>
          <w:rFonts w:ascii="Traditional Arabic" w:hAnsi="Traditional Arabic" w:hint="cs"/>
          <w:color w:val="auto"/>
          <w:rtl/>
        </w:rPr>
        <w:t xml:space="preserve"> </w:t>
      </w:r>
      <w:r w:rsidRPr="008900CA">
        <w:rPr>
          <w:rFonts w:ascii="Traditional Arabic" w:hAnsi="Traditional Arabic"/>
          <w:rtl/>
        </w:rPr>
        <w:t xml:space="preserve">قرأ ابن كثير، ونافع، وأبو عمرو، وابن عامر: «دكّاً» منوناً غير مهموز ولا ممدود. </w:t>
      </w:r>
      <w:r w:rsidRPr="008900CA">
        <w:rPr>
          <w:rFonts w:ascii="Traditional Arabic" w:hAnsi="Traditional Arabic"/>
          <w:sz w:val="32"/>
          <w:szCs w:val="32"/>
          <w:rtl/>
        </w:rPr>
        <w:t>[</w:t>
      </w:r>
      <w:r w:rsidRPr="008900CA">
        <w:rPr>
          <w:rFonts w:ascii="Traditional Arabic" w:hAnsi="Traditional Arabic" w:hint="cs"/>
          <w:sz w:val="32"/>
          <w:szCs w:val="32"/>
          <w:rtl/>
        </w:rPr>
        <w:t>152</w:t>
      </w:r>
      <w:r w:rsidRPr="008900CA">
        <w:rPr>
          <w:rFonts w:ascii="Traditional Arabic" w:hAnsi="Traditional Arabic"/>
          <w:sz w:val="32"/>
          <w:szCs w:val="32"/>
          <w:rtl/>
        </w:rPr>
        <w:t>]</w:t>
      </w:r>
      <w:r w:rsidRPr="008900CA">
        <w:rPr>
          <w:rFonts w:ascii="Traditional Arabic" w:hAnsi="Traditional Arabic"/>
          <w:rtl/>
        </w:rPr>
        <w:t xml:space="preserve"> وقرأ عاصم، وحمزة، والكسائيّ: دكّاء مهموزة بلا تنوين</w:t>
      </w:r>
      <w:r w:rsidRPr="008900CA">
        <w:rPr>
          <w:vertAlign w:val="superscript"/>
          <w:rtl/>
        </w:rPr>
        <w:t>(</w:t>
      </w:r>
      <w:r w:rsidRPr="008900CA">
        <w:rPr>
          <w:vertAlign w:val="superscript"/>
          <w:rtl/>
        </w:rPr>
        <w:footnoteReference w:id="1950"/>
      </w:r>
      <w:r w:rsidRPr="008900CA">
        <w:rPr>
          <w:vertAlign w:val="superscript"/>
          <w:rtl/>
        </w:rPr>
        <w:t>)</w:t>
      </w:r>
      <w:r w:rsidRPr="008900CA">
        <w:rPr>
          <w:rFonts w:ascii="Traditional Arabic" w:hAnsi="Traditional Arabic"/>
          <w:rtl/>
        </w:rPr>
        <w:t>. وقد شرحنا معنى الكلمة في سورة الأعراف</w:t>
      </w:r>
      <w:r w:rsidRPr="008900CA">
        <w:rPr>
          <w:vertAlign w:val="superscript"/>
          <w:rtl/>
        </w:rPr>
        <w:t>(</w:t>
      </w:r>
      <w:r w:rsidRPr="008900CA">
        <w:rPr>
          <w:vertAlign w:val="superscript"/>
          <w:rtl/>
        </w:rPr>
        <w:footnoteReference w:id="1951"/>
      </w:r>
      <w:r w:rsidRPr="008900CA">
        <w:rPr>
          <w:vertAlign w:val="superscript"/>
          <w:rtl/>
        </w:rPr>
        <w:t>)</w:t>
      </w:r>
      <w:r w:rsidRPr="008900CA">
        <w:rPr>
          <w:rFonts w:ascii="Traditional Arabic" w:hAnsi="Traditional Arabic"/>
          <w:rtl/>
        </w:rPr>
        <w:t xml:space="preserve">. قوله تعالى: </w:t>
      </w:r>
      <w:r w:rsidRPr="008900CA">
        <w:rPr>
          <w:rFonts w:ascii="QCF_BSML" w:hAnsi="QCF_BSML" w:cs="QCF_BSML"/>
          <w:sz w:val="32"/>
          <w:szCs w:val="32"/>
          <w:rtl/>
          <w:lang w:eastAsia="en-US"/>
        </w:rPr>
        <w:t>ﭽ</w:t>
      </w:r>
      <w:r w:rsidRPr="008900CA">
        <w:rPr>
          <w:rFonts w:ascii="QCF_P304" w:hAnsi="QCF_P304" w:cs="QCF_P304"/>
          <w:color w:val="auto"/>
          <w:sz w:val="32"/>
          <w:szCs w:val="32"/>
          <w:rtl/>
          <w:lang w:eastAsia="en-US"/>
        </w:rPr>
        <w:t xml:space="preserve"> ﭞ  ﭟ  ﭠ   ﭡ</w:t>
      </w:r>
      <w:r w:rsidRPr="008900CA">
        <w:rPr>
          <w:rFonts w:ascii="QCF_BSML" w:hAnsi="QCF_BSML" w:cs="QCF_BSML"/>
          <w:color w:val="auto"/>
          <w:sz w:val="32"/>
          <w:szCs w:val="32"/>
          <w:rtl/>
          <w:lang w:eastAsia="en-US"/>
        </w:rPr>
        <w:t xml:space="preserve"> ﭼ</w:t>
      </w:r>
      <w:r w:rsidRPr="008900CA">
        <w:rPr>
          <w:rFonts w:ascii="QCF_P304" w:hAnsi="QCF_P304" w:cs="QCF_P304"/>
          <w:color w:val="auto"/>
          <w:sz w:val="32"/>
          <w:szCs w:val="32"/>
          <w:rtl/>
          <w:lang w:eastAsia="en-US"/>
        </w:rPr>
        <w:t xml:space="preserve">  </w:t>
      </w:r>
      <w:r w:rsidRPr="008900CA">
        <w:rPr>
          <w:rFonts w:ascii="Traditional Arabic" w:hAnsi="Traditional Arabic"/>
          <w:rtl/>
        </w:rPr>
        <w:t>أي: بالثواب والعقاب</w:t>
      </w:r>
      <w:r w:rsidRPr="008900CA">
        <w:rPr>
          <w:rFonts w:ascii="Traditional Arabic" w:hAnsi="Traditional Arabic" w:hint="cs"/>
          <w:rtl/>
        </w:rPr>
        <w:t xml:space="preserve"> حقاً</w:t>
      </w:r>
      <w:r w:rsidRPr="008900CA">
        <w:rPr>
          <w:vertAlign w:val="superscript"/>
          <w:rtl/>
        </w:rPr>
        <w:t>(</w:t>
      </w:r>
      <w:r w:rsidRPr="008900CA">
        <w:rPr>
          <w:vertAlign w:val="superscript"/>
          <w:rtl/>
        </w:rPr>
        <w:footnoteReference w:id="1952"/>
      </w:r>
      <w:r w:rsidRPr="008900CA">
        <w:rPr>
          <w:vertAlign w:val="superscript"/>
          <w:rtl/>
        </w:rPr>
        <w:t>)</w:t>
      </w:r>
      <w:r w:rsidRPr="008900CA">
        <w:rPr>
          <w:rFonts w:ascii="Traditional Arabic" w:hAnsi="Traditional Arabic"/>
          <w:rtl/>
        </w:rPr>
        <w:t>.</w:t>
      </w:r>
    </w:p>
    <w:p w:rsidR="007A7F88" w:rsidRPr="008900CA" w:rsidRDefault="007A7F88" w:rsidP="007A7F88">
      <w:pPr>
        <w:ind w:firstLine="0"/>
        <w:rPr>
          <w:rFonts w:ascii="Traditional Arabic" w:hAnsi="Traditional Arabic"/>
          <w:rtl/>
          <w:lang w:eastAsia="en-US"/>
        </w:rPr>
      </w:pPr>
    </w:p>
    <w:p w:rsidR="008900CA" w:rsidRPr="008900CA" w:rsidRDefault="008900CA" w:rsidP="008900CA">
      <w:pPr>
        <w:ind w:firstLine="0"/>
        <w:rPr>
          <w:rFonts w:ascii="Traditional Arabic" w:hAnsi="Traditional Arabic"/>
          <w:sz w:val="32"/>
          <w:szCs w:val="32"/>
          <w:rtl/>
        </w:rPr>
      </w:pPr>
      <w:r w:rsidRPr="008900CA">
        <w:rPr>
          <w:rFonts w:ascii="QCF_BSML" w:hAnsi="QCF_BSML" w:cs="QCF_BSML"/>
          <w:color w:val="auto"/>
          <w:sz w:val="32"/>
          <w:szCs w:val="32"/>
          <w:rtl/>
          <w:lang w:eastAsia="en-US"/>
        </w:rPr>
        <w:t xml:space="preserve">ﭽ </w:t>
      </w:r>
      <w:r w:rsidRPr="008900CA">
        <w:rPr>
          <w:rFonts w:ascii="QCF_P304" w:hAnsi="QCF_P304" w:cs="QCF_P304"/>
          <w:color w:val="auto"/>
          <w:sz w:val="32"/>
          <w:szCs w:val="32"/>
          <w:rtl/>
          <w:lang w:eastAsia="en-US"/>
        </w:rPr>
        <w:t xml:space="preserve">ﭣ  ﭤ  ﭥ  ﭦ  ﭧ  ﭨ  ﭩﭪ  ﭫ  ﭬ  ﭭ      ﭮ   ﭯ  ﭰ  ﭱ  ﭲ  ﭳ   ﭴ  ﭵ  ﭶ   ﭷ  ﭸ    ﭹ  ﭺ  ﭻ  ﭼ  ﭽ  ﭾ  ﭿ    ﮀ   ﮁ  ﮂ  </w:t>
      </w:r>
      <w:r w:rsidRPr="008900CA">
        <w:rPr>
          <w:rFonts w:ascii="QCF_P304" w:hAnsi="QCF_P304" w:cs="QCF_P304"/>
          <w:sz w:val="32"/>
          <w:szCs w:val="32"/>
          <w:rtl/>
          <w:lang w:eastAsia="en-US"/>
        </w:rPr>
        <w:t xml:space="preserve">ﮃ  ﮄ  ﮅ        ﮆ  ﮇ    ﮈ  ﮉ  </w:t>
      </w:r>
      <w:r w:rsidRPr="008900CA">
        <w:rPr>
          <w:rFonts w:ascii="QCF_P304" w:hAnsi="QCF_P304" w:cs="QCF_P304"/>
          <w:color w:val="auto"/>
          <w:sz w:val="32"/>
          <w:szCs w:val="32"/>
          <w:rtl/>
          <w:lang w:eastAsia="en-US"/>
        </w:rPr>
        <w:t xml:space="preserve">ﮊ    ﮋﮌ  ﮍ      ﮎ  </w:t>
      </w:r>
      <w:r w:rsidRPr="008900CA">
        <w:rPr>
          <w:rFonts w:ascii="QCF_P304" w:hAnsi="QCF_P304" w:cs="QCF_P304"/>
          <w:sz w:val="32"/>
          <w:szCs w:val="32"/>
          <w:rtl/>
          <w:lang w:eastAsia="en-US"/>
        </w:rPr>
        <w:t xml:space="preserve">ﮏ  ﮐ  ﮑ       ﮒ  </w:t>
      </w:r>
      <w:r w:rsidRPr="008900CA">
        <w:rPr>
          <w:rFonts w:ascii="QCF_BSML" w:hAnsi="QCF_BSML" w:cs="QCF_BSML"/>
          <w:sz w:val="32"/>
          <w:szCs w:val="32"/>
          <w:rtl/>
          <w:lang w:eastAsia="en-US"/>
        </w:rPr>
        <w:t>ﭼ</w:t>
      </w:r>
      <w:r w:rsidRPr="008900CA">
        <w:rPr>
          <w:rFonts w:ascii="Arial" w:hAnsi="Arial" w:cs="Arial"/>
          <w:sz w:val="32"/>
          <w:szCs w:val="32"/>
          <w:rtl/>
          <w:lang w:eastAsia="en-US"/>
        </w:rPr>
        <w:t xml:space="preserve"> </w:t>
      </w:r>
    </w:p>
    <w:p w:rsidR="008900CA" w:rsidRPr="008900CA" w:rsidRDefault="008900CA" w:rsidP="008900CA">
      <w:pPr>
        <w:ind w:firstLine="0"/>
        <w:rPr>
          <w:rFonts w:ascii="Traditional Arabic" w:hAnsi="Traditional Arabic"/>
          <w:rtl/>
        </w:rPr>
      </w:pPr>
      <w:r w:rsidRPr="008900CA">
        <w:rPr>
          <w:rFonts w:ascii="Traditional Arabic" w:hAnsi="Traditional Arabic"/>
          <w:rtl/>
        </w:rPr>
        <w:lastRenderedPageBreak/>
        <w:t xml:space="preserve">قوله تعالى: </w:t>
      </w:r>
      <w:r w:rsidRPr="008900CA">
        <w:rPr>
          <w:rFonts w:ascii="QCF_BSML" w:hAnsi="QCF_BSML" w:cs="QCF_BSML"/>
          <w:color w:val="auto"/>
          <w:sz w:val="32"/>
          <w:szCs w:val="32"/>
          <w:rtl/>
          <w:lang w:eastAsia="en-US"/>
        </w:rPr>
        <w:t>ﭽ</w:t>
      </w:r>
      <w:r w:rsidRPr="008900CA">
        <w:rPr>
          <w:rFonts w:ascii="QCF_P304" w:hAnsi="QCF_P304" w:cs="QCF_P304"/>
          <w:color w:val="auto"/>
          <w:sz w:val="32"/>
          <w:szCs w:val="32"/>
          <w:rtl/>
          <w:lang w:eastAsia="en-US"/>
        </w:rPr>
        <w:t xml:space="preserve"> ﭤ  ﭥ  ﭦ  ﭧ  ﭨ  ﭩ</w:t>
      </w:r>
      <w:r w:rsidRPr="008900CA">
        <w:rPr>
          <w:rFonts w:ascii="QCF_BSML" w:hAnsi="QCF_BSML" w:cs="QCF_BSML"/>
          <w:sz w:val="32"/>
          <w:szCs w:val="32"/>
          <w:rtl/>
          <w:lang w:eastAsia="en-US"/>
        </w:rPr>
        <w:t xml:space="preserve"> ﭼ</w:t>
      </w:r>
      <w:r w:rsidRPr="008900CA">
        <w:rPr>
          <w:rFonts w:ascii="QCF_BSML" w:hAnsi="QCF_BSML" w:cs="QCF_BSML" w:hint="cs"/>
          <w:sz w:val="32"/>
          <w:szCs w:val="32"/>
          <w:rtl/>
          <w:lang w:eastAsia="en-US"/>
        </w:rPr>
        <w:t xml:space="preserve"> </w:t>
      </w:r>
      <w:r w:rsidRPr="008900CA">
        <w:rPr>
          <w:rFonts w:ascii="QCF_BSML" w:hAnsi="QCF_BSML" w:cs="QCF_BSML"/>
          <w:sz w:val="32"/>
          <w:szCs w:val="32"/>
          <w:rtl/>
          <w:lang w:eastAsia="en-US"/>
        </w:rPr>
        <w:t xml:space="preserve"> </w:t>
      </w:r>
      <w:r w:rsidRPr="008900CA">
        <w:rPr>
          <w:rFonts w:ascii="Traditional Arabic" w:hAnsi="Traditional Arabic"/>
          <w:rtl/>
        </w:rPr>
        <w:t>في المشار إِليهم ثلاثة أقوال: أحدها: أنهم يأجوج ومأجوج. ثم في المراد ب «يومئذ» قولان: أحدهما: أنه يوم انقضى أمر السدِّ، تُركوا يموج بعضهم في بعض من ورائه مختلطين لكثرتهم وقيل: ماجوا متعجبين من السدِّ</w:t>
      </w:r>
      <w:r w:rsidRPr="008900CA">
        <w:rPr>
          <w:vertAlign w:val="superscript"/>
          <w:rtl/>
        </w:rPr>
        <w:t>(</w:t>
      </w:r>
      <w:r w:rsidRPr="008900CA">
        <w:rPr>
          <w:vertAlign w:val="superscript"/>
          <w:rtl/>
        </w:rPr>
        <w:footnoteReference w:id="1953"/>
      </w:r>
      <w:r w:rsidRPr="008900CA">
        <w:rPr>
          <w:vertAlign w:val="superscript"/>
          <w:rtl/>
        </w:rPr>
        <w:t>)</w:t>
      </w:r>
      <w:r w:rsidRPr="008900CA">
        <w:rPr>
          <w:rFonts w:ascii="Traditional Arabic" w:hAnsi="Traditional Arabic"/>
          <w:rtl/>
        </w:rPr>
        <w:t>. والثاني: أنه يوم يخرجون من السدِّ تُركوا يموج بعضهم في بعض</w:t>
      </w:r>
      <w:r w:rsidRPr="008900CA">
        <w:rPr>
          <w:vertAlign w:val="superscript"/>
          <w:rtl/>
        </w:rPr>
        <w:t>(</w:t>
      </w:r>
      <w:r w:rsidRPr="008900CA">
        <w:rPr>
          <w:vertAlign w:val="superscript"/>
          <w:rtl/>
        </w:rPr>
        <w:footnoteReference w:id="1954"/>
      </w:r>
      <w:r w:rsidRPr="008900CA">
        <w:rPr>
          <w:vertAlign w:val="superscript"/>
          <w:rtl/>
        </w:rPr>
        <w:t>)</w:t>
      </w:r>
      <w:r w:rsidRPr="008900CA">
        <w:rPr>
          <w:rFonts w:ascii="Traditional Arabic" w:hAnsi="Traditional Arabic"/>
          <w:rtl/>
        </w:rPr>
        <w:t>. والثاني: أنهم الكفار</w:t>
      </w:r>
      <w:r w:rsidRPr="008900CA">
        <w:rPr>
          <w:vertAlign w:val="superscript"/>
          <w:rtl/>
        </w:rPr>
        <w:t>(</w:t>
      </w:r>
      <w:r w:rsidRPr="008900CA">
        <w:rPr>
          <w:vertAlign w:val="superscript"/>
          <w:rtl/>
        </w:rPr>
        <w:footnoteReference w:id="1955"/>
      </w:r>
      <w:r w:rsidRPr="008900CA">
        <w:rPr>
          <w:vertAlign w:val="superscript"/>
          <w:rtl/>
        </w:rPr>
        <w:t>)</w:t>
      </w:r>
      <w:r w:rsidRPr="008900CA">
        <w:rPr>
          <w:rFonts w:ascii="Traditional Arabic" w:hAnsi="Traditional Arabic"/>
          <w:rtl/>
        </w:rPr>
        <w:t>. والثالث: أنهم جميع الخلائق: الجن والإِنس يموجون حيارى</w:t>
      </w:r>
      <w:r w:rsidRPr="008900CA">
        <w:rPr>
          <w:vertAlign w:val="superscript"/>
          <w:rtl/>
        </w:rPr>
        <w:t>(</w:t>
      </w:r>
      <w:r w:rsidRPr="008900CA">
        <w:rPr>
          <w:vertAlign w:val="superscript"/>
          <w:rtl/>
        </w:rPr>
        <w:footnoteReference w:id="1956"/>
      </w:r>
      <w:r w:rsidRPr="008900CA">
        <w:rPr>
          <w:vertAlign w:val="superscript"/>
          <w:rtl/>
        </w:rPr>
        <w:t>)</w:t>
      </w:r>
      <w:r w:rsidRPr="008900CA">
        <w:rPr>
          <w:rFonts w:ascii="Traditional Arabic" w:hAnsi="Traditional Arabic"/>
          <w:rtl/>
        </w:rPr>
        <w:t>. فعلى هذين القولين، المراد باليوم المذكور يوم القيامة.</w:t>
      </w:r>
    </w:p>
    <w:p w:rsidR="008900CA" w:rsidRPr="008900CA" w:rsidRDefault="008900CA" w:rsidP="008900CA">
      <w:pPr>
        <w:ind w:firstLine="0"/>
        <w:rPr>
          <w:rFonts w:ascii="Traditional Arabic" w:hAnsi="Traditional Arabic"/>
          <w:rtl/>
        </w:rPr>
      </w:pPr>
      <w:r w:rsidRPr="008900CA">
        <w:rPr>
          <w:rFonts w:ascii="Traditional Arabic" w:hAnsi="Traditional Arabic"/>
          <w:rtl/>
        </w:rPr>
        <w:t xml:space="preserve">قوله تعالى: </w:t>
      </w:r>
      <w:r w:rsidRPr="008900CA">
        <w:rPr>
          <w:rFonts w:ascii="QCF_BSML" w:hAnsi="QCF_BSML" w:cs="QCF_BSML"/>
          <w:color w:val="auto"/>
          <w:sz w:val="32"/>
          <w:szCs w:val="32"/>
          <w:rtl/>
          <w:lang w:eastAsia="en-US"/>
        </w:rPr>
        <w:t>ﭽ</w:t>
      </w:r>
      <w:r w:rsidRPr="008900CA">
        <w:rPr>
          <w:rFonts w:ascii="QCF_P304" w:hAnsi="QCF_P304" w:cs="QCF_P304"/>
          <w:color w:val="auto"/>
          <w:sz w:val="32"/>
          <w:szCs w:val="32"/>
          <w:rtl/>
          <w:lang w:eastAsia="en-US"/>
        </w:rPr>
        <w:t xml:space="preserve"> ﭫ  ﭬ  ﭭ </w:t>
      </w:r>
      <w:r w:rsidRPr="008900CA">
        <w:rPr>
          <w:rFonts w:ascii="QCF_BSML" w:hAnsi="QCF_BSML" w:cs="QCF_BSML"/>
          <w:sz w:val="32"/>
          <w:szCs w:val="32"/>
          <w:rtl/>
          <w:lang w:eastAsia="en-US"/>
        </w:rPr>
        <w:t>ﭼ</w:t>
      </w:r>
      <w:r w:rsidRPr="008900CA">
        <w:rPr>
          <w:rFonts w:ascii="QCF_P304" w:hAnsi="QCF_P304" w:cs="QCF_P304"/>
          <w:color w:val="auto"/>
          <w:sz w:val="32"/>
          <w:szCs w:val="32"/>
          <w:rtl/>
          <w:lang w:eastAsia="en-US"/>
        </w:rPr>
        <w:t xml:space="preserve">  </w:t>
      </w:r>
      <w:r w:rsidRPr="008900CA">
        <w:rPr>
          <w:rFonts w:ascii="Traditional Arabic" w:hAnsi="Traditional Arabic"/>
          <w:rtl/>
        </w:rPr>
        <w:t>هذه نفخة البعث. وقد شرحنا معنى «الصّور» في سورة الأنعام</w:t>
      </w:r>
      <w:r w:rsidRPr="008900CA">
        <w:rPr>
          <w:vertAlign w:val="superscript"/>
          <w:rtl/>
        </w:rPr>
        <w:t>(</w:t>
      </w:r>
      <w:r w:rsidRPr="008900CA">
        <w:rPr>
          <w:vertAlign w:val="superscript"/>
          <w:rtl/>
        </w:rPr>
        <w:footnoteReference w:id="1957"/>
      </w:r>
      <w:r w:rsidRPr="008900CA">
        <w:rPr>
          <w:vertAlign w:val="superscript"/>
          <w:rtl/>
        </w:rPr>
        <w:t>)</w:t>
      </w:r>
      <w:r w:rsidRPr="008900CA">
        <w:rPr>
          <w:rFonts w:ascii="Traditional Arabic" w:hAnsi="Traditional Arabic"/>
          <w:rtl/>
        </w:rPr>
        <w:t>.</w:t>
      </w:r>
      <w:r w:rsidRPr="008900CA">
        <w:rPr>
          <w:rFonts w:ascii="Traditional Arabic" w:hAnsi="Traditional Arabic" w:hint="cs"/>
          <w:rtl/>
        </w:rPr>
        <w:t xml:space="preserve"> </w:t>
      </w:r>
      <w:r w:rsidRPr="008900CA">
        <w:rPr>
          <w:rFonts w:ascii="Traditional Arabic" w:hAnsi="Traditional Arabic"/>
          <w:rtl/>
        </w:rPr>
        <w:t xml:space="preserve">قوله تعالى: </w:t>
      </w:r>
      <w:r w:rsidRPr="008900CA">
        <w:rPr>
          <w:rFonts w:ascii="QCF_BSML" w:hAnsi="QCF_BSML" w:cs="QCF_BSML"/>
          <w:color w:val="auto"/>
          <w:sz w:val="32"/>
          <w:szCs w:val="32"/>
          <w:rtl/>
          <w:lang w:eastAsia="en-US"/>
        </w:rPr>
        <w:t>ﭽ</w:t>
      </w:r>
      <w:r w:rsidRPr="008900CA">
        <w:rPr>
          <w:rFonts w:ascii="QCF_P304" w:hAnsi="QCF_P304" w:cs="QCF_P304"/>
          <w:color w:val="auto"/>
          <w:sz w:val="32"/>
          <w:szCs w:val="32"/>
          <w:rtl/>
          <w:lang w:eastAsia="en-US"/>
        </w:rPr>
        <w:t xml:space="preserve"> ﭱ  ﭲ</w:t>
      </w:r>
      <w:r w:rsidRPr="008900CA">
        <w:rPr>
          <w:rFonts w:ascii="QCF_BSML" w:hAnsi="QCF_BSML" w:cs="QCF_BSML"/>
          <w:sz w:val="32"/>
          <w:szCs w:val="32"/>
          <w:rtl/>
          <w:lang w:eastAsia="en-US"/>
        </w:rPr>
        <w:t xml:space="preserve"> ﭼ</w:t>
      </w:r>
      <w:r w:rsidRPr="008900CA">
        <w:rPr>
          <w:rFonts w:ascii="QCF_P304" w:hAnsi="QCF_P304" w:cs="QCF_P304"/>
          <w:color w:val="auto"/>
          <w:sz w:val="32"/>
          <w:szCs w:val="32"/>
          <w:rtl/>
          <w:lang w:eastAsia="en-US"/>
        </w:rPr>
        <w:t xml:space="preserve">  </w:t>
      </w:r>
      <w:r w:rsidRPr="008900CA">
        <w:rPr>
          <w:rFonts w:ascii="Traditional Arabic" w:hAnsi="Traditional Arabic"/>
          <w:rtl/>
        </w:rPr>
        <w:t xml:space="preserve">أي: أظهرناها لهم حتى شاهدوها. قوله تعالى: </w:t>
      </w:r>
      <w:r w:rsidRPr="008900CA">
        <w:rPr>
          <w:rFonts w:ascii="QCF_BSML" w:hAnsi="QCF_BSML" w:cs="QCF_BSML"/>
          <w:color w:val="auto"/>
          <w:sz w:val="32"/>
          <w:szCs w:val="32"/>
          <w:rtl/>
          <w:lang w:eastAsia="en-US"/>
        </w:rPr>
        <w:t>ﭽ</w:t>
      </w:r>
      <w:r w:rsidRPr="008900CA">
        <w:rPr>
          <w:rFonts w:ascii="QCF_P304" w:hAnsi="QCF_P304" w:cs="QCF_P304"/>
          <w:color w:val="auto"/>
          <w:sz w:val="32"/>
          <w:szCs w:val="32"/>
          <w:rtl/>
          <w:lang w:eastAsia="en-US"/>
        </w:rPr>
        <w:t xml:space="preserve"> ﭷ  ﭸ   ﭹ</w:t>
      </w:r>
      <w:r w:rsidRPr="008900CA">
        <w:rPr>
          <w:rFonts w:ascii="QCF_BSML" w:hAnsi="QCF_BSML" w:cs="QCF_BSML"/>
          <w:sz w:val="32"/>
          <w:szCs w:val="32"/>
          <w:rtl/>
          <w:lang w:eastAsia="en-US"/>
        </w:rPr>
        <w:t xml:space="preserve"> ﭼ</w:t>
      </w:r>
      <w:r w:rsidRPr="008900CA">
        <w:rPr>
          <w:rFonts w:ascii="QCF_P304" w:hAnsi="QCF_P304" w:cs="QCF_P304"/>
          <w:color w:val="auto"/>
          <w:sz w:val="32"/>
          <w:szCs w:val="32"/>
          <w:rtl/>
          <w:lang w:eastAsia="en-US"/>
        </w:rPr>
        <w:t xml:space="preserve">  </w:t>
      </w:r>
      <w:r w:rsidRPr="008900CA">
        <w:rPr>
          <w:rFonts w:ascii="Traditional Arabic" w:hAnsi="Traditional Arabic" w:hint="cs"/>
          <w:rtl/>
        </w:rPr>
        <w:t xml:space="preserve"> </w:t>
      </w:r>
      <w:r w:rsidRPr="008900CA">
        <w:rPr>
          <w:rFonts w:ascii="Traditional Arabic" w:hAnsi="Traditional Arabic"/>
          <w:rtl/>
        </w:rPr>
        <w:t>يعني:</w:t>
      </w:r>
      <w:r w:rsidRPr="008900CA">
        <w:rPr>
          <w:rFonts w:ascii="Traditional Arabic" w:hAnsi="Traditional Arabic" w:hint="cs"/>
          <w:rtl/>
        </w:rPr>
        <w:t xml:space="preserve"> </w:t>
      </w:r>
      <w:r w:rsidRPr="008900CA">
        <w:rPr>
          <w:rFonts w:ascii="Traditional Arabic" w:hAnsi="Traditional Arabic"/>
          <w:rtl/>
        </w:rPr>
        <w:t xml:space="preserve">أعين قلوبهم </w:t>
      </w:r>
      <w:r w:rsidRPr="008900CA">
        <w:rPr>
          <w:rFonts w:ascii="QCF_BSML" w:hAnsi="QCF_BSML" w:cs="QCF_BSML"/>
          <w:color w:val="auto"/>
          <w:sz w:val="32"/>
          <w:szCs w:val="32"/>
          <w:rtl/>
          <w:lang w:eastAsia="en-US"/>
        </w:rPr>
        <w:t>ﭽ</w:t>
      </w:r>
      <w:r w:rsidRPr="008900CA">
        <w:rPr>
          <w:rFonts w:ascii="QCF_P304" w:hAnsi="QCF_P304" w:cs="QCF_P304"/>
          <w:color w:val="auto"/>
          <w:sz w:val="32"/>
          <w:szCs w:val="32"/>
          <w:rtl/>
          <w:lang w:eastAsia="en-US"/>
        </w:rPr>
        <w:t xml:space="preserve"> ﭺ  ﭻ</w:t>
      </w:r>
      <w:r w:rsidRPr="008900CA">
        <w:rPr>
          <w:rFonts w:ascii="QCF_BSML" w:hAnsi="QCF_BSML" w:cs="QCF_BSML"/>
          <w:sz w:val="32"/>
          <w:szCs w:val="32"/>
          <w:rtl/>
          <w:lang w:eastAsia="en-US"/>
        </w:rPr>
        <w:t xml:space="preserve"> ﭼ</w:t>
      </w:r>
      <w:r w:rsidRPr="008900CA">
        <w:rPr>
          <w:rFonts w:ascii="QCF_P304" w:hAnsi="QCF_P304" w:cs="QCF_P304"/>
          <w:color w:val="auto"/>
          <w:sz w:val="32"/>
          <w:szCs w:val="32"/>
          <w:rtl/>
          <w:lang w:eastAsia="en-US"/>
        </w:rPr>
        <w:t xml:space="preserve">  </w:t>
      </w:r>
      <w:r w:rsidRPr="008900CA">
        <w:rPr>
          <w:rFonts w:ascii="Traditional Arabic" w:hAnsi="Traditional Arabic" w:hint="cs"/>
          <w:rtl/>
        </w:rPr>
        <w:t xml:space="preserve"> </w:t>
      </w:r>
      <w:r w:rsidRPr="008900CA">
        <w:rPr>
          <w:rFonts w:ascii="Traditional Arabic" w:hAnsi="Traditional Arabic"/>
          <w:rtl/>
        </w:rPr>
        <w:t xml:space="preserve">أي: في غفلةٍ </w:t>
      </w:r>
      <w:r w:rsidRPr="008900CA">
        <w:rPr>
          <w:rFonts w:ascii="QCF_BSML" w:hAnsi="QCF_BSML" w:cs="QCF_BSML"/>
          <w:color w:val="auto"/>
          <w:sz w:val="32"/>
          <w:szCs w:val="32"/>
          <w:rtl/>
          <w:lang w:eastAsia="en-US"/>
        </w:rPr>
        <w:t>ﭽ</w:t>
      </w:r>
      <w:r w:rsidRPr="008900CA">
        <w:rPr>
          <w:rFonts w:ascii="QCF_P304" w:hAnsi="QCF_P304" w:cs="QCF_P304"/>
          <w:color w:val="auto"/>
          <w:sz w:val="32"/>
          <w:szCs w:val="32"/>
          <w:rtl/>
          <w:lang w:eastAsia="en-US"/>
        </w:rPr>
        <w:t xml:space="preserve"> ﭼ  ﭽ</w:t>
      </w:r>
      <w:r w:rsidRPr="008900CA">
        <w:rPr>
          <w:rFonts w:ascii="QCF_BSML" w:hAnsi="QCF_BSML" w:cs="QCF_BSML"/>
          <w:sz w:val="32"/>
          <w:szCs w:val="32"/>
          <w:rtl/>
          <w:lang w:eastAsia="en-US"/>
        </w:rPr>
        <w:t xml:space="preserve"> ﭼ</w:t>
      </w:r>
      <w:r w:rsidRPr="008900CA">
        <w:rPr>
          <w:rFonts w:ascii="QCF_P304" w:hAnsi="QCF_P304" w:cs="QCF_P304"/>
          <w:color w:val="auto"/>
          <w:sz w:val="32"/>
          <w:szCs w:val="32"/>
          <w:rtl/>
          <w:lang w:eastAsia="en-US"/>
        </w:rPr>
        <w:t xml:space="preserve">  </w:t>
      </w:r>
      <w:r w:rsidRPr="008900CA">
        <w:rPr>
          <w:rFonts w:ascii="Traditional Arabic" w:hAnsi="Traditional Arabic"/>
          <w:rtl/>
        </w:rPr>
        <w:t xml:space="preserve">أي: عن توحيدي والإِيمان بي وبكتابي </w:t>
      </w:r>
      <w:r w:rsidRPr="008900CA">
        <w:rPr>
          <w:rFonts w:ascii="QCF_BSML" w:hAnsi="QCF_BSML" w:cs="QCF_BSML"/>
          <w:color w:val="auto"/>
          <w:sz w:val="32"/>
          <w:szCs w:val="32"/>
          <w:rtl/>
          <w:lang w:eastAsia="en-US"/>
        </w:rPr>
        <w:t>ﭽ</w:t>
      </w:r>
      <w:r w:rsidRPr="008900CA">
        <w:rPr>
          <w:rFonts w:ascii="QCF_P304" w:hAnsi="QCF_P304" w:cs="QCF_P304"/>
          <w:color w:val="auto"/>
          <w:sz w:val="32"/>
          <w:szCs w:val="32"/>
          <w:rtl/>
          <w:lang w:eastAsia="en-US"/>
        </w:rPr>
        <w:t xml:space="preserve"> ﭾ  ﭿ    ﮀ   ﮁ</w:t>
      </w:r>
      <w:r w:rsidRPr="008900CA">
        <w:rPr>
          <w:rFonts w:ascii="QCF_BSML" w:hAnsi="QCF_BSML" w:cs="QCF_BSML"/>
          <w:sz w:val="32"/>
          <w:szCs w:val="32"/>
          <w:rtl/>
          <w:lang w:eastAsia="en-US"/>
        </w:rPr>
        <w:t xml:space="preserve"> ﭼ</w:t>
      </w:r>
      <w:r w:rsidRPr="008900CA">
        <w:rPr>
          <w:rFonts w:ascii="QCF_P304" w:hAnsi="QCF_P304" w:cs="QCF_P304"/>
          <w:color w:val="auto"/>
          <w:sz w:val="32"/>
          <w:szCs w:val="32"/>
          <w:rtl/>
          <w:lang w:eastAsia="en-US"/>
        </w:rPr>
        <w:t xml:space="preserve">  </w:t>
      </w:r>
      <w:r w:rsidRPr="008900CA">
        <w:rPr>
          <w:rFonts w:ascii="Traditional Arabic" w:hAnsi="Traditional Arabic" w:hint="cs"/>
          <w:rtl/>
        </w:rPr>
        <w:t xml:space="preserve"> </w:t>
      </w:r>
      <w:r w:rsidRPr="008900CA">
        <w:rPr>
          <w:rFonts w:ascii="Traditional Arabic" w:hAnsi="Traditional Arabic"/>
          <w:rtl/>
        </w:rPr>
        <w:t>هذا لعداوتهم وعنادهم وكراهتهم ما يُنْذَرون به، كما تقول لمن يكره قولك: ما تقدر أن تسمع كلامي</w:t>
      </w:r>
      <w:r w:rsidRPr="008900CA">
        <w:rPr>
          <w:vertAlign w:val="superscript"/>
          <w:rtl/>
        </w:rPr>
        <w:t>(</w:t>
      </w:r>
      <w:r w:rsidRPr="008900CA">
        <w:rPr>
          <w:vertAlign w:val="superscript"/>
          <w:rtl/>
        </w:rPr>
        <w:footnoteReference w:id="1958"/>
      </w:r>
      <w:r w:rsidRPr="008900CA">
        <w:rPr>
          <w:vertAlign w:val="superscript"/>
          <w:rtl/>
        </w:rPr>
        <w:t>)</w:t>
      </w:r>
      <w:r w:rsidRPr="008900CA">
        <w:rPr>
          <w:rFonts w:ascii="Traditional Arabic" w:hAnsi="Traditional Arabic"/>
          <w:rtl/>
        </w:rPr>
        <w:t>.</w:t>
      </w:r>
    </w:p>
    <w:p w:rsidR="008900CA" w:rsidRPr="008900CA" w:rsidRDefault="008900CA" w:rsidP="008900CA">
      <w:pPr>
        <w:ind w:firstLine="0"/>
        <w:rPr>
          <w:rFonts w:ascii="Traditional Arabic" w:hAnsi="Traditional Arabic"/>
          <w:rtl/>
        </w:rPr>
      </w:pPr>
      <w:r w:rsidRPr="008900CA">
        <w:rPr>
          <w:rFonts w:ascii="Traditional Arabic" w:hAnsi="Traditional Arabic"/>
          <w:rtl/>
        </w:rPr>
        <w:t xml:space="preserve">قوله تعالى: </w:t>
      </w:r>
      <w:r w:rsidRPr="008900CA">
        <w:rPr>
          <w:rFonts w:ascii="QCF_BSML" w:hAnsi="QCF_BSML" w:cs="QCF_BSML"/>
          <w:sz w:val="32"/>
          <w:szCs w:val="32"/>
          <w:rtl/>
          <w:lang w:eastAsia="en-US"/>
        </w:rPr>
        <w:t xml:space="preserve">ﭽ </w:t>
      </w:r>
      <w:r w:rsidRPr="008900CA">
        <w:rPr>
          <w:rFonts w:ascii="QCF_P304" w:hAnsi="QCF_P304" w:cs="QCF_P304"/>
          <w:sz w:val="32"/>
          <w:szCs w:val="32"/>
          <w:rtl/>
          <w:lang w:eastAsia="en-US"/>
        </w:rPr>
        <w:t>ﮃ  ﮄ  ﮅ</w:t>
      </w:r>
      <w:r w:rsidRPr="008900CA">
        <w:rPr>
          <w:rFonts w:ascii="QCF_BSML" w:hAnsi="QCF_BSML" w:cs="QCF_BSML"/>
          <w:sz w:val="32"/>
          <w:szCs w:val="32"/>
          <w:rtl/>
          <w:lang w:eastAsia="en-US"/>
        </w:rPr>
        <w:t xml:space="preserve"> ﭼ</w:t>
      </w:r>
      <w:r w:rsidRPr="008900CA">
        <w:rPr>
          <w:rFonts w:ascii="QCF_P304" w:hAnsi="QCF_P304" w:cs="QCF_P304"/>
          <w:sz w:val="32"/>
          <w:szCs w:val="32"/>
          <w:rtl/>
          <w:lang w:eastAsia="en-US"/>
        </w:rPr>
        <w:t xml:space="preserve">        </w:t>
      </w:r>
      <w:r w:rsidRPr="008900CA">
        <w:rPr>
          <w:rFonts w:ascii="Traditional Arabic" w:hAnsi="Traditional Arabic"/>
          <w:rtl/>
        </w:rPr>
        <w:t>أي: أفَظَنَّ المشركون</w:t>
      </w:r>
      <w:r w:rsidRPr="008900CA">
        <w:rPr>
          <w:rFonts w:ascii="QCF_BSML" w:hAnsi="QCF_BSML" w:cs="QCF_BSML"/>
          <w:sz w:val="32"/>
          <w:szCs w:val="32"/>
          <w:rtl/>
          <w:lang w:eastAsia="en-US"/>
        </w:rPr>
        <w:t xml:space="preserve"> ﭽ</w:t>
      </w:r>
      <w:r w:rsidRPr="008900CA">
        <w:rPr>
          <w:rFonts w:ascii="Traditional Arabic" w:hAnsi="Traditional Arabic"/>
          <w:rtl/>
        </w:rPr>
        <w:t xml:space="preserve"> </w:t>
      </w:r>
      <w:r w:rsidRPr="008900CA">
        <w:rPr>
          <w:rFonts w:ascii="QCF_P304" w:hAnsi="QCF_P304" w:cs="QCF_P304"/>
          <w:sz w:val="32"/>
          <w:szCs w:val="32"/>
          <w:rtl/>
          <w:lang w:eastAsia="en-US"/>
        </w:rPr>
        <w:t xml:space="preserve">ﮆ  ﮇ    ﮈ </w:t>
      </w:r>
      <w:r w:rsidRPr="008900CA">
        <w:rPr>
          <w:rFonts w:ascii="QCF_BSML" w:hAnsi="QCF_BSML" w:cs="QCF_BSML"/>
          <w:sz w:val="32"/>
          <w:szCs w:val="32"/>
          <w:rtl/>
          <w:lang w:eastAsia="en-US"/>
        </w:rPr>
        <w:t>ﭼ</w:t>
      </w:r>
      <w:r w:rsidRPr="008900CA">
        <w:rPr>
          <w:rFonts w:ascii="QCF_P304" w:hAnsi="QCF_P304" w:cs="QCF_P304"/>
          <w:sz w:val="32"/>
          <w:szCs w:val="32"/>
          <w:rtl/>
          <w:lang w:eastAsia="en-US"/>
        </w:rPr>
        <w:t xml:space="preserve"> </w:t>
      </w:r>
      <w:r w:rsidRPr="008900CA">
        <w:rPr>
          <w:rFonts w:ascii="Traditional Arabic" w:hAnsi="Traditional Arabic"/>
          <w:rtl/>
        </w:rPr>
        <w:t>في هؤلاء العباد ثلاثة أقوال: أحدها: أنهم الشياطين، قاله ابن عباس</w:t>
      </w:r>
      <w:r w:rsidRPr="008900CA">
        <w:rPr>
          <w:vertAlign w:val="superscript"/>
          <w:rtl/>
        </w:rPr>
        <w:t>(</w:t>
      </w:r>
      <w:r w:rsidRPr="008900CA">
        <w:rPr>
          <w:vertAlign w:val="superscript"/>
          <w:rtl/>
        </w:rPr>
        <w:footnoteReference w:id="1959"/>
      </w:r>
      <w:r w:rsidRPr="008900CA">
        <w:rPr>
          <w:vertAlign w:val="superscript"/>
          <w:rtl/>
        </w:rPr>
        <w:t>)</w:t>
      </w:r>
      <w:r w:rsidRPr="008900CA">
        <w:rPr>
          <w:rFonts w:ascii="Traditional Arabic" w:hAnsi="Traditional Arabic"/>
          <w:rtl/>
        </w:rPr>
        <w:t>. والثاني: الأصنام، قاله مقاتل</w:t>
      </w:r>
      <w:r w:rsidRPr="008900CA">
        <w:rPr>
          <w:vertAlign w:val="superscript"/>
          <w:rtl/>
        </w:rPr>
        <w:t>(</w:t>
      </w:r>
      <w:r w:rsidRPr="008900CA">
        <w:rPr>
          <w:vertAlign w:val="superscript"/>
          <w:rtl/>
        </w:rPr>
        <w:footnoteReference w:id="1960"/>
      </w:r>
      <w:r w:rsidRPr="008900CA">
        <w:rPr>
          <w:vertAlign w:val="superscript"/>
          <w:rtl/>
        </w:rPr>
        <w:t>)</w:t>
      </w:r>
      <w:r w:rsidRPr="008900CA">
        <w:rPr>
          <w:rFonts w:ascii="Traditional Arabic" w:hAnsi="Traditional Arabic"/>
          <w:rtl/>
        </w:rPr>
        <w:t>. والثالث: الملائكة والمسيح وعزير وسائر المعبودات من دونه، قاله أبو سليمان الدمشقي</w:t>
      </w:r>
      <w:r w:rsidRPr="008900CA">
        <w:rPr>
          <w:vertAlign w:val="superscript"/>
          <w:rtl/>
        </w:rPr>
        <w:t>(</w:t>
      </w:r>
      <w:r w:rsidRPr="008900CA">
        <w:rPr>
          <w:vertAlign w:val="superscript"/>
          <w:rtl/>
        </w:rPr>
        <w:footnoteReference w:id="1961"/>
      </w:r>
      <w:r w:rsidRPr="008900CA">
        <w:rPr>
          <w:vertAlign w:val="superscript"/>
          <w:rtl/>
        </w:rPr>
        <w:t>)</w:t>
      </w:r>
      <w:r w:rsidRPr="008900CA">
        <w:rPr>
          <w:rFonts w:ascii="Traditional Arabic" w:hAnsi="Traditional Arabic"/>
          <w:rtl/>
        </w:rPr>
        <w:t xml:space="preserve">. </w:t>
      </w:r>
    </w:p>
    <w:p w:rsidR="008900CA" w:rsidRPr="008900CA" w:rsidRDefault="008900CA" w:rsidP="008900CA">
      <w:pPr>
        <w:ind w:firstLine="0"/>
        <w:rPr>
          <w:rFonts w:ascii="Traditional Arabic" w:hAnsi="Traditional Arabic"/>
          <w:rtl/>
        </w:rPr>
      </w:pPr>
      <w:r w:rsidRPr="008900CA">
        <w:rPr>
          <w:rFonts w:ascii="Traditional Arabic" w:hAnsi="Traditional Arabic"/>
          <w:rtl/>
        </w:rPr>
        <w:lastRenderedPageBreak/>
        <w:t>قوله تعالى:</w:t>
      </w:r>
      <w:r w:rsidRPr="008900CA">
        <w:rPr>
          <w:rFonts w:ascii="QCF_BSML" w:hAnsi="QCF_BSML" w:cs="QCF_BSML"/>
          <w:sz w:val="32"/>
          <w:szCs w:val="32"/>
          <w:rtl/>
          <w:lang w:eastAsia="en-US"/>
        </w:rPr>
        <w:t xml:space="preserve"> ﭽ</w:t>
      </w:r>
      <w:r w:rsidRPr="008900CA">
        <w:rPr>
          <w:rFonts w:ascii="QCF_P304" w:hAnsi="QCF_P304" w:cs="QCF_P304" w:hint="cs"/>
          <w:sz w:val="32"/>
          <w:szCs w:val="32"/>
          <w:rtl/>
          <w:lang w:eastAsia="en-US"/>
        </w:rPr>
        <w:t xml:space="preserve"> </w:t>
      </w:r>
      <w:r w:rsidRPr="008900CA">
        <w:rPr>
          <w:rFonts w:ascii="QCF_P304" w:hAnsi="QCF_P304" w:cs="QCF_P304"/>
          <w:sz w:val="32"/>
          <w:szCs w:val="32"/>
          <w:rtl/>
          <w:lang w:eastAsia="en-US"/>
        </w:rPr>
        <w:t>ﮉ  ﮊ</w:t>
      </w:r>
      <w:r w:rsidRPr="008900CA">
        <w:rPr>
          <w:rFonts w:ascii="QCF_P304" w:hAnsi="QCF_P304" w:cs="QCF_P304" w:hint="cs"/>
          <w:sz w:val="32"/>
          <w:szCs w:val="32"/>
          <w:rtl/>
          <w:lang w:eastAsia="en-US"/>
        </w:rPr>
        <w:t xml:space="preserve"> </w:t>
      </w:r>
      <w:r w:rsidRPr="008900CA">
        <w:rPr>
          <w:rFonts w:ascii="QCF_BSML" w:hAnsi="QCF_BSML" w:cs="QCF_BSML"/>
          <w:sz w:val="32"/>
          <w:szCs w:val="32"/>
          <w:rtl/>
          <w:lang w:eastAsia="en-US"/>
        </w:rPr>
        <w:t>ﭼ</w:t>
      </w:r>
      <w:r w:rsidRPr="008900CA">
        <w:rPr>
          <w:rFonts w:ascii="Traditional Arabic" w:hAnsi="Traditional Arabic"/>
          <w:rtl/>
        </w:rPr>
        <w:t xml:space="preserve"> فتح هذه الياء نافع، وأبو عمرو</w:t>
      </w:r>
      <w:r w:rsidRPr="008900CA">
        <w:rPr>
          <w:vertAlign w:val="superscript"/>
          <w:rtl/>
        </w:rPr>
        <w:t>(</w:t>
      </w:r>
      <w:r w:rsidRPr="008900CA">
        <w:rPr>
          <w:vertAlign w:val="superscript"/>
          <w:rtl/>
        </w:rPr>
        <w:footnoteReference w:id="1962"/>
      </w:r>
      <w:r w:rsidRPr="008900CA">
        <w:rPr>
          <w:vertAlign w:val="superscript"/>
          <w:rtl/>
        </w:rPr>
        <w:t>)</w:t>
      </w:r>
      <w:r w:rsidRPr="008900CA">
        <w:rPr>
          <w:rFonts w:ascii="Traditional Arabic" w:hAnsi="Traditional Arabic"/>
          <w:rtl/>
        </w:rPr>
        <w:t>. وجواب الاستفهام في هذه الآية محذوف، وفي تقديره قولان: أحدهما:</w:t>
      </w:r>
      <w:r w:rsidRPr="008900CA">
        <w:rPr>
          <w:rFonts w:ascii="Traditional Arabic" w:hAnsi="Traditional Arabic" w:hint="cs"/>
          <w:rtl/>
        </w:rPr>
        <w:t xml:space="preserve"> </w:t>
      </w:r>
      <w:r w:rsidRPr="008900CA">
        <w:rPr>
          <w:rFonts w:ascii="Traditional Arabic" w:hAnsi="Traditional Arabic"/>
          <w:rtl/>
        </w:rPr>
        <w:t>أفحسبوا أن يتخذوهم أولياء، كلا بل هم أعداءٌ لهم يتبرؤون منهم</w:t>
      </w:r>
      <w:r w:rsidRPr="008900CA">
        <w:rPr>
          <w:vertAlign w:val="superscript"/>
          <w:rtl/>
        </w:rPr>
        <w:t>(</w:t>
      </w:r>
      <w:r w:rsidRPr="008900CA">
        <w:rPr>
          <w:vertAlign w:val="superscript"/>
          <w:rtl/>
        </w:rPr>
        <w:footnoteReference w:id="1963"/>
      </w:r>
      <w:r w:rsidRPr="008900CA">
        <w:rPr>
          <w:vertAlign w:val="superscript"/>
          <w:rtl/>
        </w:rPr>
        <w:t>)</w:t>
      </w:r>
      <w:r w:rsidRPr="008900CA">
        <w:rPr>
          <w:rFonts w:ascii="Traditional Arabic" w:hAnsi="Traditional Arabic"/>
          <w:rtl/>
        </w:rPr>
        <w:t>. والثاني: أن يتخذوهم أولياء ولا أغضبُ ولا أعاقُبهم</w:t>
      </w:r>
      <w:r w:rsidRPr="008900CA">
        <w:rPr>
          <w:vertAlign w:val="superscript"/>
          <w:rtl/>
        </w:rPr>
        <w:t>(</w:t>
      </w:r>
      <w:r w:rsidRPr="008900CA">
        <w:rPr>
          <w:vertAlign w:val="superscript"/>
          <w:rtl/>
        </w:rPr>
        <w:footnoteReference w:id="1964"/>
      </w:r>
      <w:r w:rsidRPr="008900CA">
        <w:rPr>
          <w:vertAlign w:val="superscript"/>
          <w:rtl/>
        </w:rPr>
        <w:t>)</w:t>
      </w:r>
      <w:r w:rsidRPr="008900CA">
        <w:rPr>
          <w:rFonts w:ascii="Traditional Arabic" w:hAnsi="Traditional Arabic"/>
          <w:rtl/>
        </w:rPr>
        <w:t>. وروى أبان عن عاصم، وزيد عن يعقوب: «أَفَحَسْبُ» بتسكين السين وضمّ الباء</w:t>
      </w:r>
      <w:r w:rsidRPr="008900CA">
        <w:rPr>
          <w:vertAlign w:val="superscript"/>
          <w:rtl/>
        </w:rPr>
        <w:t>(</w:t>
      </w:r>
      <w:r w:rsidRPr="008900CA">
        <w:rPr>
          <w:vertAlign w:val="superscript"/>
          <w:rtl/>
        </w:rPr>
        <w:footnoteReference w:id="1965"/>
      </w:r>
      <w:r w:rsidRPr="008900CA">
        <w:rPr>
          <w:vertAlign w:val="superscript"/>
          <w:rtl/>
        </w:rPr>
        <w:t>)</w:t>
      </w:r>
      <w:r w:rsidRPr="008900CA">
        <w:rPr>
          <w:rFonts w:ascii="Traditional Arabic" w:hAnsi="Traditional Arabic"/>
          <w:rtl/>
        </w:rPr>
        <w:t>، وهي قراءة عليّ، وابن عباس، وسعيد بن جبير، ومجاهد، وعكرمة، وابن يعمر، وابن محيصن</w:t>
      </w:r>
      <w:r w:rsidRPr="008900CA">
        <w:rPr>
          <w:vertAlign w:val="superscript"/>
          <w:rtl/>
        </w:rPr>
        <w:t>(</w:t>
      </w:r>
      <w:r w:rsidRPr="008900CA">
        <w:rPr>
          <w:vertAlign w:val="superscript"/>
          <w:rtl/>
        </w:rPr>
        <w:footnoteReference w:id="1966"/>
      </w:r>
      <w:r w:rsidRPr="008900CA">
        <w:rPr>
          <w:vertAlign w:val="superscript"/>
          <w:rtl/>
        </w:rPr>
        <w:t>)</w:t>
      </w:r>
      <w:r w:rsidRPr="008900CA">
        <w:rPr>
          <w:rFonts w:ascii="Traditional Arabic" w:hAnsi="Traditional Arabic" w:hint="cs"/>
          <w:rtl/>
        </w:rPr>
        <w:t>,</w:t>
      </w:r>
      <w:r w:rsidRPr="008900CA">
        <w:rPr>
          <w:rFonts w:ascii="Traditional Arabic" w:hAnsi="Traditional Arabic"/>
          <w:rtl/>
        </w:rPr>
        <w:t xml:space="preserve"> ومعناها: أفيكفيهم أن يتخذوهم أولياء؟</w:t>
      </w:r>
      <w:r w:rsidRPr="008900CA">
        <w:rPr>
          <w:vertAlign w:val="superscript"/>
          <w:rtl/>
        </w:rPr>
        <w:t>(</w:t>
      </w:r>
      <w:r w:rsidRPr="008900CA">
        <w:rPr>
          <w:vertAlign w:val="superscript"/>
          <w:rtl/>
        </w:rPr>
        <w:footnoteReference w:id="1967"/>
      </w:r>
      <w:r w:rsidRPr="008900CA">
        <w:rPr>
          <w:vertAlign w:val="superscript"/>
          <w:rtl/>
        </w:rPr>
        <w:t>)</w:t>
      </w:r>
      <w:r w:rsidRPr="008900CA">
        <w:rPr>
          <w:rFonts w:ascii="Traditional Arabic" w:hAnsi="Traditional Arabic"/>
          <w:rtl/>
        </w:rPr>
        <w:t xml:space="preserve"> فأما النُّزُل ففيه قولان: أحدهما: أنه ما يُهيَّأَ للضيف والعسكر، قاله ابن قتيبة</w:t>
      </w:r>
      <w:r w:rsidRPr="008900CA">
        <w:rPr>
          <w:vertAlign w:val="superscript"/>
          <w:rtl/>
        </w:rPr>
        <w:t>(</w:t>
      </w:r>
      <w:r w:rsidRPr="008900CA">
        <w:rPr>
          <w:vertAlign w:val="superscript"/>
          <w:rtl/>
        </w:rPr>
        <w:footnoteReference w:id="1968"/>
      </w:r>
      <w:r w:rsidRPr="008900CA">
        <w:rPr>
          <w:vertAlign w:val="superscript"/>
          <w:rtl/>
        </w:rPr>
        <w:t>)</w:t>
      </w:r>
      <w:r w:rsidRPr="008900CA">
        <w:rPr>
          <w:rFonts w:ascii="Traditional Arabic" w:hAnsi="Traditional Arabic"/>
          <w:rtl/>
        </w:rPr>
        <w:t>. والثاني: أنه المنزل، قاله الزّجّاج</w:t>
      </w:r>
      <w:r w:rsidRPr="008900CA">
        <w:rPr>
          <w:vertAlign w:val="superscript"/>
          <w:rtl/>
        </w:rPr>
        <w:t>(</w:t>
      </w:r>
      <w:r w:rsidRPr="008900CA">
        <w:rPr>
          <w:vertAlign w:val="superscript"/>
          <w:rtl/>
        </w:rPr>
        <w:footnoteReference w:id="1969"/>
      </w:r>
      <w:r w:rsidRPr="008900CA">
        <w:rPr>
          <w:vertAlign w:val="superscript"/>
          <w:rtl/>
        </w:rPr>
        <w:t>)</w:t>
      </w:r>
      <w:r w:rsidRPr="008900CA">
        <w:rPr>
          <w:rFonts w:ascii="Traditional Arabic" w:hAnsi="Traditional Arabic"/>
          <w:rtl/>
        </w:rPr>
        <w:t>.</w:t>
      </w:r>
    </w:p>
    <w:p w:rsidR="008900CA" w:rsidRPr="008900CA" w:rsidRDefault="008900CA" w:rsidP="008900CA">
      <w:pPr>
        <w:ind w:firstLine="0"/>
        <w:rPr>
          <w:rFonts w:ascii="Traditional Arabic" w:hAnsi="Traditional Arabic"/>
          <w:rtl/>
        </w:rPr>
      </w:pPr>
    </w:p>
    <w:p w:rsidR="008900CA" w:rsidRPr="008900CA" w:rsidRDefault="008900CA" w:rsidP="008900CA">
      <w:pPr>
        <w:ind w:firstLine="0"/>
        <w:rPr>
          <w:rFonts w:ascii="Traditional Arabic" w:hAnsi="Traditional Arabic"/>
          <w:rtl/>
        </w:rPr>
      </w:pPr>
      <w:r w:rsidRPr="008900CA">
        <w:rPr>
          <w:rFonts w:ascii="QCF_BSML" w:hAnsi="QCF_BSML" w:cs="QCF_BSML"/>
          <w:sz w:val="32"/>
          <w:szCs w:val="32"/>
          <w:rtl/>
          <w:lang w:eastAsia="en-US"/>
        </w:rPr>
        <w:t xml:space="preserve">ﭽ </w:t>
      </w:r>
      <w:r w:rsidRPr="008900CA">
        <w:rPr>
          <w:rFonts w:ascii="QCF_P304" w:hAnsi="QCF_P304" w:cs="QCF_P304"/>
          <w:sz w:val="32"/>
          <w:szCs w:val="32"/>
          <w:rtl/>
          <w:lang w:eastAsia="en-US"/>
        </w:rPr>
        <w:t xml:space="preserve">ﮓ  ﮔ  ﮕ  ﮖ   ﮗ  ﮘ  ﮙ  ﮚ  ﮛ  ﮜ  ﮝ  ﮞ   ﮟ  ﮠ  ﮡ    ﮢ  ﮣ  ﮤ  ﮥ  ﮦ  ﮧ </w:t>
      </w:r>
      <w:r w:rsidRPr="008900CA">
        <w:rPr>
          <w:rFonts w:ascii="QCF_P304" w:hAnsi="QCF_P304" w:cs="QCF_P304" w:hint="cs"/>
          <w:sz w:val="32"/>
          <w:szCs w:val="32"/>
          <w:rtl/>
          <w:lang w:eastAsia="en-US"/>
        </w:rPr>
        <w:t xml:space="preserve">    </w:t>
      </w:r>
      <w:r w:rsidRPr="008900CA">
        <w:rPr>
          <w:rFonts w:ascii="QCF_P304" w:hAnsi="QCF_P304" w:cs="QCF_P304"/>
          <w:sz w:val="32"/>
          <w:szCs w:val="32"/>
          <w:rtl/>
          <w:lang w:eastAsia="en-US"/>
        </w:rPr>
        <w:t xml:space="preserve">ﮨ  ﮩ  ﮪ   ﮫ  ﮬ  ﮭ  ﮮ  ﮯ  ﮰ  ﮱ   ﯓ  ﯔ  ﯕ  ﯖ    ﯗ  ﯘ  ﯙ              ﯚ  ﯛ  ﯜ  ﯝ  ﯞ  </w:t>
      </w:r>
      <w:r w:rsidRPr="008900CA">
        <w:rPr>
          <w:rFonts w:ascii="QCF_BSML" w:hAnsi="QCF_BSML" w:cs="QCF_BSML"/>
          <w:sz w:val="32"/>
          <w:szCs w:val="32"/>
          <w:rtl/>
          <w:lang w:eastAsia="en-US"/>
        </w:rPr>
        <w:t>ﭼ</w:t>
      </w:r>
      <w:r w:rsidRPr="008900CA">
        <w:rPr>
          <w:rFonts w:ascii="Arial" w:hAnsi="Arial" w:cs="Arial"/>
          <w:sz w:val="18"/>
          <w:szCs w:val="18"/>
          <w:rtl/>
          <w:lang w:eastAsia="en-US"/>
        </w:rPr>
        <w:t xml:space="preserve"> </w:t>
      </w:r>
    </w:p>
    <w:p w:rsidR="008900CA" w:rsidRPr="008900CA" w:rsidRDefault="008900CA" w:rsidP="001E3AB5">
      <w:pPr>
        <w:ind w:firstLine="0"/>
        <w:rPr>
          <w:rFonts w:ascii="Traditional Arabic" w:hAnsi="Traditional Arabic"/>
          <w:rtl/>
        </w:rPr>
      </w:pPr>
      <w:r w:rsidRPr="008900CA">
        <w:rPr>
          <w:rFonts w:ascii="Traditional Arabic" w:hAnsi="Traditional Arabic"/>
          <w:sz w:val="32"/>
          <w:szCs w:val="32"/>
          <w:rtl/>
        </w:rPr>
        <w:t>[</w:t>
      </w:r>
      <w:r w:rsidRPr="008900CA">
        <w:rPr>
          <w:rFonts w:ascii="Traditional Arabic" w:hAnsi="Traditional Arabic" w:hint="cs"/>
          <w:sz w:val="32"/>
          <w:szCs w:val="32"/>
          <w:rtl/>
        </w:rPr>
        <w:t>153</w:t>
      </w:r>
      <w:r w:rsidRPr="008900CA">
        <w:rPr>
          <w:rFonts w:ascii="Traditional Arabic" w:hAnsi="Traditional Arabic"/>
          <w:sz w:val="32"/>
          <w:szCs w:val="32"/>
          <w:rtl/>
        </w:rPr>
        <w:t>]</w:t>
      </w:r>
      <w:r w:rsidRPr="008900CA">
        <w:rPr>
          <w:rFonts w:ascii="Traditional Arabic" w:hAnsi="Traditional Arabic"/>
          <w:rtl/>
        </w:rPr>
        <w:t xml:space="preserve"> قوله تعالى: </w:t>
      </w:r>
      <w:r w:rsidRPr="008900CA">
        <w:rPr>
          <w:rFonts w:ascii="QCF_BSML" w:hAnsi="QCF_BSML" w:cs="QCF_BSML"/>
          <w:sz w:val="32"/>
          <w:szCs w:val="32"/>
          <w:rtl/>
          <w:lang w:eastAsia="en-US"/>
        </w:rPr>
        <w:t xml:space="preserve">ﭽ </w:t>
      </w:r>
      <w:r w:rsidRPr="008900CA">
        <w:rPr>
          <w:rFonts w:ascii="QCF_P304" w:hAnsi="QCF_P304" w:cs="QCF_P304"/>
          <w:sz w:val="32"/>
          <w:szCs w:val="32"/>
          <w:rtl/>
          <w:lang w:eastAsia="en-US"/>
        </w:rPr>
        <w:t>ﮓ  ﮔ  ﮕ  ﮖ   ﮗ</w:t>
      </w:r>
      <w:r w:rsidRPr="008900CA">
        <w:rPr>
          <w:rFonts w:ascii="QCF_BSML" w:hAnsi="QCF_BSML" w:cs="QCF_BSML"/>
          <w:color w:val="auto"/>
          <w:sz w:val="32"/>
          <w:szCs w:val="32"/>
          <w:rtl/>
          <w:lang w:eastAsia="en-US"/>
        </w:rPr>
        <w:t xml:space="preserve"> ﭼ</w:t>
      </w:r>
      <w:r w:rsidRPr="008900CA">
        <w:rPr>
          <w:rFonts w:ascii="QCF_P304" w:hAnsi="QCF_P304" w:cs="QCF_P304"/>
          <w:sz w:val="32"/>
          <w:szCs w:val="32"/>
          <w:rtl/>
          <w:lang w:eastAsia="en-US"/>
        </w:rPr>
        <w:t xml:space="preserve">  </w:t>
      </w:r>
      <w:r w:rsidRPr="008900CA">
        <w:rPr>
          <w:rFonts w:ascii="Traditional Arabic" w:hAnsi="Traditional Arabic"/>
          <w:rtl/>
        </w:rPr>
        <w:t>فيهم قولان: أحدهما: أنهم القسِّيسون والرهبان، قاله عليّ، والضحاك</w:t>
      </w:r>
      <w:r w:rsidRPr="008900CA">
        <w:rPr>
          <w:vertAlign w:val="superscript"/>
          <w:rtl/>
        </w:rPr>
        <w:t>(</w:t>
      </w:r>
      <w:r w:rsidRPr="008900CA">
        <w:rPr>
          <w:vertAlign w:val="superscript"/>
          <w:rtl/>
        </w:rPr>
        <w:footnoteReference w:id="1970"/>
      </w:r>
      <w:r w:rsidRPr="008900CA">
        <w:rPr>
          <w:vertAlign w:val="superscript"/>
          <w:rtl/>
        </w:rPr>
        <w:t>)</w:t>
      </w:r>
      <w:r w:rsidRPr="008900CA">
        <w:rPr>
          <w:rFonts w:ascii="Traditional Arabic" w:hAnsi="Traditional Arabic"/>
          <w:rtl/>
        </w:rPr>
        <w:t>. والثاني: اليهود والنصارى، قاله سعد بن أبي وقاص</w:t>
      </w:r>
      <w:r w:rsidRPr="008900CA">
        <w:rPr>
          <w:vertAlign w:val="superscript"/>
          <w:rtl/>
        </w:rPr>
        <w:t>(</w:t>
      </w:r>
      <w:r w:rsidRPr="008900CA">
        <w:rPr>
          <w:vertAlign w:val="superscript"/>
          <w:rtl/>
        </w:rPr>
        <w:footnoteReference w:id="1971"/>
      </w:r>
      <w:r w:rsidRPr="008900CA">
        <w:rPr>
          <w:vertAlign w:val="superscript"/>
          <w:rtl/>
        </w:rPr>
        <w:t>)</w:t>
      </w:r>
      <w:r w:rsidRPr="008900CA">
        <w:rPr>
          <w:rFonts w:ascii="Traditional Arabic" w:hAnsi="Traditional Arabic"/>
          <w:rtl/>
        </w:rPr>
        <w:t>.</w:t>
      </w:r>
      <w:r w:rsidR="001E3AB5">
        <w:rPr>
          <w:rFonts w:ascii="Traditional Arabic" w:hAnsi="Traditional Arabic" w:hint="cs"/>
          <w:rtl/>
        </w:rPr>
        <w:t xml:space="preserve"> </w:t>
      </w:r>
      <w:r w:rsidRPr="008900CA">
        <w:rPr>
          <w:rFonts w:ascii="Traditional Arabic" w:hAnsi="Traditional Arabic"/>
          <w:rtl/>
        </w:rPr>
        <w:t xml:space="preserve">قوله تعالى: </w:t>
      </w:r>
      <w:r w:rsidRPr="008900CA">
        <w:rPr>
          <w:rFonts w:ascii="QCF_BSML" w:hAnsi="QCF_BSML" w:cs="QCF_BSML"/>
          <w:sz w:val="32"/>
          <w:szCs w:val="32"/>
          <w:rtl/>
          <w:lang w:eastAsia="en-US"/>
        </w:rPr>
        <w:t>ﭽ</w:t>
      </w:r>
      <w:r w:rsidRPr="008900CA">
        <w:rPr>
          <w:rFonts w:ascii="QCF_P304" w:hAnsi="QCF_P304" w:cs="QCF_P304"/>
          <w:sz w:val="32"/>
          <w:szCs w:val="32"/>
          <w:rtl/>
          <w:lang w:eastAsia="en-US"/>
        </w:rPr>
        <w:t xml:space="preserve"> ﮗ</w:t>
      </w:r>
      <w:r w:rsidRPr="008900CA">
        <w:rPr>
          <w:rFonts w:ascii="QCF_BSML" w:hAnsi="QCF_BSML" w:cs="QCF_BSML"/>
          <w:color w:val="auto"/>
          <w:sz w:val="32"/>
          <w:szCs w:val="32"/>
          <w:rtl/>
          <w:lang w:eastAsia="en-US"/>
        </w:rPr>
        <w:t xml:space="preserve"> ﭼ</w:t>
      </w:r>
      <w:r w:rsidRPr="008900CA">
        <w:rPr>
          <w:rFonts w:ascii="Traditional Arabic" w:hAnsi="Traditional Arabic"/>
          <w:rtl/>
        </w:rPr>
        <w:t xml:space="preserve"> منصوب على التمييز، لأنه لما قال: </w:t>
      </w:r>
      <w:r w:rsidRPr="008900CA">
        <w:rPr>
          <w:rFonts w:ascii="QCF_BSML" w:hAnsi="QCF_BSML" w:cs="QCF_BSML"/>
          <w:sz w:val="32"/>
          <w:szCs w:val="32"/>
          <w:rtl/>
          <w:lang w:eastAsia="en-US"/>
        </w:rPr>
        <w:t>ﭽ</w:t>
      </w:r>
      <w:r w:rsidRPr="008900CA">
        <w:rPr>
          <w:rFonts w:ascii="QCF_P304" w:hAnsi="QCF_P304" w:cs="QCF_P304"/>
          <w:sz w:val="32"/>
          <w:szCs w:val="32"/>
          <w:rtl/>
          <w:lang w:eastAsia="en-US"/>
        </w:rPr>
        <w:t xml:space="preserve"> ﮖ</w:t>
      </w:r>
      <w:r w:rsidRPr="008900CA">
        <w:rPr>
          <w:rFonts w:ascii="Traditional Arabic" w:hAnsi="Traditional Arabic"/>
          <w:rtl/>
        </w:rPr>
        <w:t xml:space="preserve"> </w:t>
      </w:r>
      <w:r w:rsidRPr="008900CA">
        <w:rPr>
          <w:rFonts w:ascii="QCF_BSML" w:hAnsi="QCF_BSML" w:cs="QCF_BSML"/>
          <w:color w:val="auto"/>
          <w:sz w:val="32"/>
          <w:szCs w:val="32"/>
          <w:rtl/>
          <w:lang w:eastAsia="en-US"/>
        </w:rPr>
        <w:t>ﭼ</w:t>
      </w:r>
      <w:r w:rsidRPr="008900CA">
        <w:rPr>
          <w:rFonts w:ascii="Traditional Arabic" w:hAnsi="Traditional Arabic"/>
          <w:rtl/>
        </w:rPr>
        <w:t xml:space="preserve"> كان ذلك مبهماً لا يدل </w:t>
      </w:r>
      <w:r w:rsidRPr="008900CA">
        <w:rPr>
          <w:rFonts w:ascii="Traditional Arabic" w:hAnsi="Traditional Arabic"/>
          <w:rtl/>
        </w:rPr>
        <w:lastRenderedPageBreak/>
        <w:t>على ما خسروه، فبيَّن ذلك في أي نوع وقع</w:t>
      </w:r>
      <w:r w:rsidRPr="008900CA">
        <w:rPr>
          <w:vertAlign w:val="superscript"/>
          <w:rtl/>
        </w:rPr>
        <w:t>(</w:t>
      </w:r>
      <w:r w:rsidRPr="008900CA">
        <w:rPr>
          <w:vertAlign w:val="superscript"/>
          <w:rtl/>
        </w:rPr>
        <w:footnoteReference w:id="1972"/>
      </w:r>
      <w:r w:rsidRPr="008900CA">
        <w:rPr>
          <w:vertAlign w:val="superscript"/>
          <w:rtl/>
        </w:rPr>
        <w:t>)</w:t>
      </w:r>
      <w:r w:rsidRPr="008900CA">
        <w:rPr>
          <w:rFonts w:ascii="Traditional Arabic" w:hAnsi="Traditional Arabic"/>
          <w:rtl/>
        </w:rPr>
        <w:t xml:space="preserve">. قوله تعالى: </w:t>
      </w:r>
      <w:r w:rsidRPr="008900CA">
        <w:rPr>
          <w:rFonts w:ascii="QCF_BSML" w:hAnsi="QCF_BSML" w:cs="QCF_BSML"/>
          <w:sz w:val="32"/>
          <w:szCs w:val="32"/>
          <w:rtl/>
          <w:lang w:eastAsia="en-US"/>
        </w:rPr>
        <w:t>ﭽ</w:t>
      </w:r>
      <w:r w:rsidRPr="008900CA">
        <w:rPr>
          <w:rFonts w:ascii="QCF_P304" w:hAnsi="QCF_P304" w:cs="QCF_P304"/>
          <w:sz w:val="32"/>
          <w:szCs w:val="32"/>
          <w:rtl/>
          <w:lang w:eastAsia="en-US"/>
        </w:rPr>
        <w:t xml:space="preserve"> ﮙ  ﮚ  ﮛ</w:t>
      </w:r>
      <w:r w:rsidRPr="008900CA">
        <w:rPr>
          <w:rFonts w:ascii="QCF_BSML" w:hAnsi="QCF_BSML" w:cs="QCF_BSML"/>
          <w:color w:val="auto"/>
          <w:sz w:val="32"/>
          <w:szCs w:val="32"/>
          <w:rtl/>
          <w:lang w:eastAsia="en-US"/>
        </w:rPr>
        <w:t xml:space="preserve"> ﭼ</w:t>
      </w:r>
      <w:r w:rsidRPr="008900CA">
        <w:rPr>
          <w:rFonts w:ascii="QCF_P304" w:hAnsi="QCF_P304" w:cs="QCF_P304"/>
          <w:sz w:val="32"/>
          <w:szCs w:val="32"/>
          <w:rtl/>
          <w:lang w:eastAsia="en-US"/>
        </w:rPr>
        <w:t xml:space="preserve">  </w:t>
      </w:r>
      <w:r w:rsidRPr="008900CA">
        <w:rPr>
          <w:rFonts w:ascii="Traditional Arabic" w:hAnsi="Traditional Arabic"/>
          <w:rtl/>
        </w:rPr>
        <w:t>أي: بطل عملهم واجتهادهم في الدنيا، وهم يظنون أنهم محسنون بأفعالهم. فرؤساؤهم يعلمون الصحيح، ويؤثرون الباطل لبقاء رئاستهم، وأتباعُهم مقلِّدون بغير دليل</w:t>
      </w:r>
      <w:r w:rsidRPr="008900CA">
        <w:rPr>
          <w:vertAlign w:val="superscript"/>
          <w:rtl/>
        </w:rPr>
        <w:t>(</w:t>
      </w:r>
      <w:r w:rsidRPr="008900CA">
        <w:rPr>
          <w:vertAlign w:val="superscript"/>
          <w:rtl/>
        </w:rPr>
        <w:footnoteReference w:id="1973"/>
      </w:r>
      <w:r w:rsidRPr="008900CA">
        <w:rPr>
          <w:vertAlign w:val="superscript"/>
          <w:rtl/>
        </w:rPr>
        <w:t>)</w:t>
      </w:r>
      <w:r w:rsidRPr="008900CA">
        <w:rPr>
          <w:rFonts w:ascii="Traditional Arabic" w:hAnsi="Traditional Arabic"/>
          <w:rtl/>
        </w:rPr>
        <w:t>.</w:t>
      </w:r>
      <w:r w:rsidRPr="008900CA">
        <w:rPr>
          <w:rFonts w:ascii="QCF_BSML" w:hAnsi="QCF_BSML" w:cs="QCF_BSML"/>
          <w:sz w:val="32"/>
          <w:szCs w:val="32"/>
          <w:rtl/>
          <w:lang w:eastAsia="en-US"/>
        </w:rPr>
        <w:t>ﭽ</w:t>
      </w:r>
      <w:r w:rsidRPr="008900CA">
        <w:rPr>
          <w:rFonts w:ascii="QCF_P304" w:hAnsi="QCF_P304" w:cs="QCF_P304"/>
          <w:sz w:val="32"/>
          <w:szCs w:val="32"/>
          <w:rtl/>
          <w:lang w:eastAsia="en-US"/>
        </w:rPr>
        <w:t xml:space="preserve"> ﮥ  ﮦ  ﮧ </w:t>
      </w:r>
      <w:r w:rsidRPr="008900CA">
        <w:rPr>
          <w:rFonts w:ascii="QCF_P304" w:hAnsi="QCF_P304" w:cs="QCF_P304" w:hint="cs"/>
          <w:sz w:val="32"/>
          <w:szCs w:val="32"/>
          <w:rtl/>
          <w:lang w:eastAsia="en-US"/>
        </w:rPr>
        <w:t xml:space="preserve">    </w:t>
      </w:r>
      <w:r w:rsidRPr="008900CA">
        <w:rPr>
          <w:rFonts w:ascii="QCF_P304" w:hAnsi="QCF_P304" w:cs="QCF_P304"/>
          <w:sz w:val="32"/>
          <w:szCs w:val="32"/>
          <w:rtl/>
          <w:lang w:eastAsia="en-US"/>
        </w:rPr>
        <w:t>ﮨ  ﮩ</w:t>
      </w:r>
      <w:r w:rsidRPr="008900CA">
        <w:rPr>
          <w:rFonts w:ascii="QCF_BSML" w:hAnsi="QCF_BSML" w:cs="QCF_BSML"/>
          <w:color w:val="auto"/>
          <w:sz w:val="32"/>
          <w:szCs w:val="32"/>
          <w:rtl/>
          <w:lang w:eastAsia="en-US"/>
        </w:rPr>
        <w:t>ﭼ</w:t>
      </w:r>
      <w:r w:rsidRPr="008900CA">
        <w:rPr>
          <w:rFonts w:ascii="QCF_P304" w:hAnsi="QCF_P304" w:cs="QCF_P304"/>
          <w:sz w:val="32"/>
          <w:szCs w:val="32"/>
          <w:rtl/>
          <w:lang w:eastAsia="en-US"/>
        </w:rPr>
        <w:t xml:space="preserve">  </w:t>
      </w:r>
      <w:r w:rsidRPr="008900CA">
        <w:rPr>
          <w:rFonts w:ascii="Traditional Arabic" w:hAnsi="Traditional Arabic"/>
          <w:rtl/>
        </w:rPr>
        <w:t xml:space="preserve">جحدوا دلائل توحيده، وكفروا بالبعث والجزاء، وذلك أنهم بكفرهم برسول الله </w:t>
      </w:r>
      <w:r w:rsidRPr="008900CA">
        <w:rPr>
          <w:rFonts w:ascii="Traditional Arabic" w:hAnsi="Traditional Arabic"/>
        </w:rPr>
        <w:sym w:font="AGA Arabesque" w:char="F072"/>
      </w:r>
      <w:r w:rsidRPr="008900CA">
        <w:rPr>
          <w:rFonts w:ascii="Traditional Arabic" w:hAnsi="Traditional Arabic" w:hint="cs"/>
          <w:rtl/>
        </w:rPr>
        <w:t xml:space="preserve"> </w:t>
      </w:r>
      <w:r w:rsidRPr="008900CA">
        <w:rPr>
          <w:rFonts w:ascii="Traditional Arabic" w:hAnsi="Traditional Arabic"/>
          <w:rtl/>
        </w:rPr>
        <w:t xml:space="preserve">والقرآن، صاروا  كافرين بهذه الأشياء </w:t>
      </w:r>
      <w:r w:rsidRPr="008900CA">
        <w:rPr>
          <w:rFonts w:ascii="QCF_BSML" w:hAnsi="QCF_BSML" w:cs="QCF_BSML"/>
          <w:sz w:val="32"/>
          <w:szCs w:val="32"/>
          <w:rtl/>
          <w:lang w:eastAsia="en-US"/>
        </w:rPr>
        <w:t>ﭽ</w:t>
      </w:r>
      <w:r w:rsidRPr="008900CA">
        <w:rPr>
          <w:rFonts w:ascii="QCF_P304" w:hAnsi="QCF_P304" w:cs="QCF_P304"/>
          <w:sz w:val="32"/>
          <w:szCs w:val="32"/>
          <w:rtl/>
          <w:lang w:eastAsia="en-US"/>
        </w:rPr>
        <w:t xml:space="preserve"> ﮫ  ﮬ  </w:t>
      </w:r>
      <w:r w:rsidRPr="008900CA">
        <w:rPr>
          <w:rFonts w:ascii="QCF_BSML" w:hAnsi="QCF_BSML" w:cs="QCF_BSML"/>
          <w:color w:val="auto"/>
          <w:sz w:val="32"/>
          <w:szCs w:val="32"/>
          <w:rtl/>
          <w:lang w:eastAsia="en-US"/>
        </w:rPr>
        <w:t>ﭼ</w:t>
      </w:r>
      <w:r w:rsidRPr="008900CA">
        <w:rPr>
          <w:rFonts w:ascii="Traditional Arabic" w:hAnsi="Traditional Arabic"/>
          <w:rtl/>
        </w:rPr>
        <w:t xml:space="preserve"> أي: بطل اجتهادهم، لأنه خلا عن الإِيمان </w:t>
      </w:r>
      <w:r w:rsidRPr="008900CA">
        <w:rPr>
          <w:rFonts w:ascii="QCF_BSML" w:hAnsi="QCF_BSML" w:cs="QCF_BSML"/>
          <w:sz w:val="32"/>
          <w:szCs w:val="32"/>
          <w:rtl/>
          <w:lang w:eastAsia="en-US"/>
        </w:rPr>
        <w:t>ﭽ</w:t>
      </w:r>
      <w:r w:rsidRPr="008900CA">
        <w:rPr>
          <w:rFonts w:ascii="QCF_P304" w:hAnsi="QCF_P304" w:cs="QCF_P304"/>
          <w:sz w:val="32"/>
          <w:szCs w:val="32"/>
          <w:rtl/>
          <w:lang w:eastAsia="en-US"/>
        </w:rPr>
        <w:t xml:space="preserve"> ﮭ  ﮮ  ﮯ  ﮰ  ﮱ   ﯓ  </w:t>
      </w:r>
      <w:r w:rsidRPr="008900CA">
        <w:rPr>
          <w:rFonts w:ascii="QCF_BSML" w:hAnsi="QCF_BSML" w:cs="QCF_BSML"/>
          <w:color w:val="auto"/>
          <w:sz w:val="32"/>
          <w:szCs w:val="32"/>
          <w:rtl/>
          <w:lang w:eastAsia="en-US"/>
        </w:rPr>
        <w:t>ﭼ</w:t>
      </w:r>
      <w:r w:rsidRPr="008900CA">
        <w:rPr>
          <w:rFonts w:ascii="Traditional Arabic" w:hAnsi="Traditional Arabic" w:hint="cs"/>
          <w:rtl/>
        </w:rPr>
        <w:t xml:space="preserve"> </w:t>
      </w:r>
      <w:r w:rsidRPr="008900CA">
        <w:rPr>
          <w:rFonts w:ascii="Traditional Arabic" w:hAnsi="Traditional Arabic"/>
          <w:rtl/>
        </w:rPr>
        <w:t>وقرأ ابن مسعود، والجحدري: «فلا يُقيم» بالياء</w:t>
      </w:r>
      <w:r w:rsidRPr="008900CA">
        <w:rPr>
          <w:vertAlign w:val="superscript"/>
          <w:rtl/>
        </w:rPr>
        <w:t>(</w:t>
      </w:r>
      <w:r w:rsidRPr="008900CA">
        <w:rPr>
          <w:vertAlign w:val="superscript"/>
          <w:rtl/>
        </w:rPr>
        <w:footnoteReference w:id="1974"/>
      </w:r>
      <w:r w:rsidRPr="008900CA">
        <w:rPr>
          <w:vertAlign w:val="superscript"/>
          <w:rtl/>
        </w:rPr>
        <w:t>)</w:t>
      </w:r>
      <w:r w:rsidRPr="008900CA">
        <w:rPr>
          <w:rFonts w:ascii="Traditional Arabic" w:hAnsi="Traditional Arabic"/>
          <w:rtl/>
        </w:rPr>
        <w:t>. وفي معناه ثلاثة أقوال: أحدها: أنه إِنما يثقل الميزان بالطاعة، وإِنما توزن الحسنات والسيئات، والكافر لا طاعة له</w:t>
      </w:r>
      <w:r w:rsidRPr="008900CA">
        <w:rPr>
          <w:vertAlign w:val="superscript"/>
          <w:rtl/>
        </w:rPr>
        <w:t>(</w:t>
      </w:r>
      <w:r w:rsidRPr="008900CA">
        <w:rPr>
          <w:vertAlign w:val="superscript"/>
          <w:rtl/>
        </w:rPr>
        <w:footnoteReference w:id="1975"/>
      </w:r>
      <w:r w:rsidRPr="008900CA">
        <w:rPr>
          <w:vertAlign w:val="superscript"/>
          <w:rtl/>
        </w:rPr>
        <w:t>)</w:t>
      </w:r>
      <w:r w:rsidRPr="008900CA">
        <w:rPr>
          <w:rFonts w:ascii="Traditional Arabic" w:hAnsi="Traditional Arabic"/>
          <w:rtl/>
        </w:rPr>
        <w:t>. والثاني: أن المعنى: لا نُقيم لهم قَدْراً</w:t>
      </w:r>
      <w:r w:rsidRPr="008900CA">
        <w:rPr>
          <w:vertAlign w:val="superscript"/>
          <w:rtl/>
        </w:rPr>
        <w:t>(</w:t>
      </w:r>
      <w:r w:rsidRPr="008900CA">
        <w:rPr>
          <w:vertAlign w:val="superscript"/>
          <w:rtl/>
        </w:rPr>
        <w:footnoteReference w:id="1976"/>
      </w:r>
      <w:r w:rsidRPr="008900CA">
        <w:rPr>
          <w:vertAlign w:val="superscript"/>
          <w:rtl/>
        </w:rPr>
        <w:t>)</w:t>
      </w:r>
      <w:r w:rsidRPr="008900CA">
        <w:rPr>
          <w:rFonts w:ascii="Traditional Arabic" w:hAnsi="Traditional Arabic"/>
          <w:rtl/>
        </w:rPr>
        <w:t>.</w:t>
      </w:r>
      <w:r w:rsidRPr="008900CA">
        <w:rPr>
          <w:rFonts w:ascii="Traditional Arabic" w:hAnsi="Traditional Arabic" w:hint="cs"/>
          <w:rtl/>
        </w:rPr>
        <w:t xml:space="preserve"> </w:t>
      </w:r>
      <w:r w:rsidRPr="008900CA">
        <w:rPr>
          <w:rFonts w:ascii="Traditional Arabic" w:hAnsi="Traditional Arabic"/>
          <w:rtl/>
        </w:rPr>
        <w:t>قال ابن الأعرابي في تفسير هذه الآية: يقال: ما لفلان عندنا وزن، أي: قَدْر، لخسَّته. فالمعنى: أنهم لا يُعتدُّ بهم، ولا يكون لهم عند الله قدر ولا منزلة</w:t>
      </w:r>
      <w:r w:rsidRPr="008900CA">
        <w:rPr>
          <w:vertAlign w:val="superscript"/>
          <w:rtl/>
        </w:rPr>
        <w:t>(</w:t>
      </w:r>
      <w:r w:rsidRPr="008900CA">
        <w:rPr>
          <w:vertAlign w:val="superscript"/>
          <w:rtl/>
        </w:rPr>
        <w:footnoteReference w:id="1977"/>
      </w:r>
      <w:r w:rsidRPr="008900CA">
        <w:rPr>
          <w:vertAlign w:val="superscript"/>
          <w:rtl/>
        </w:rPr>
        <w:t>)</w:t>
      </w:r>
      <w:r w:rsidRPr="008900CA">
        <w:rPr>
          <w:rFonts w:ascii="Traditional Arabic" w:hAnsi="Traditional Arabic"/>
          <w:rtl/>
        </w:rPr>
        <w:t>.</w:t>
      </w:r>
      <w:r w:rsidRPr="008900CA">
        <w:rPr>
          <w:rFonts w:ascii="Traditional Arabic" w:hAnsi="Traditional Arabic" w:hint="cs"/>
          <w:rtl/>
        </w:rPr>
        <w:t xml:space="preserve"> </w:t>
      </w:r>
      <w:r w:rsidRPr="008900CA">
        <w:rPr>
          <w:rFonts w:ascii="Traditional Arabic" w:hAnsi="Traditional Arabic"/>
          <w:rtl/>
        </w:rPr>
        <w:t xml:space="preserve">روى أبو هريرة عن النبيّ </w:t>
      </w:r>
      <w:r w:rsidRPr="008900CA">
        <w:rPr>
          <w:rFonts w:ascii="Traditional Arabic" w:hAnsi="Traditional Arabic"/>
        </w:rPr>
        <w:sym w:font="AGA Arabesque" w:char="F072"/>
      </w:r>
      <w:r w:rsidRPr="008900CA">
        <w:rPr>
          <w:rFonts w:ascii="Traditional Arabic" w:hAnsi="Traditional Arabic" w:hint="cs"/>
          <w:rtl/>
        </w:rPr>
        <w:t xml:space="preserve"> </w:t>
      </w:r>
      <w:r w:rsidRPr="008900CA">
        <w:rPr>
          <w:rFonts w:ascii="Traditional Arabic" w:hAnsi="Traditional Arabic"/>
          <w:rtl/>
        </w:rPr>
        <w:t>أنه قال: «يؤتى بالرجل الطويل الأكول الشروب</w:t>
      </w:r>
      <w:r w:rsidRPr="008900CA">
        <w:rPr>
          <w:rFonts w:hint="cs"/>
          <w:vertAlign w:val="superscript"/>
          <w:rtl/>
        </w:rPr>
        <w:t xml:space="preserve"> </w:t>
      </w:r>
      <w:r w:rsidR="008A472D">
        <w:rPr>
          <w:rFonts w:ascii="Traditional Arabic" w:hAnsi="Traditional Arabic"/>
          <w:rtl/>
        </w:rPr>
        <w:t>فلا يزن جناح بعوضة، اقر</w:t>
      </w:r>
      <w:r w:rsidR="008A472D">
        <w:rPr>
          <w:rFonts w:ascii="Traditional Arabic" w:hAnsi="Traditional Arabic" w:hint="cs"/>
          <w:rtl/>
        </w:rPr>
        <w:t>أ</w:t>
      </w:r>
      <w:r w:rsidRPr="008900CA">
        <w:rPr>
          <w:rFonts w:ascii="Traditional Arabic" w:hAnsi="Traditional Arabic"/>
          <w:rtl/>
        </w:rPr>
        <w:t xml:space="preserve">وا إِن شئتم: </w:t>
      </w:r>
      <w:r w:rsidRPr="008900CA">
        <w:rPr>
          <w:rFonts w:ascii="QCF_BSML" w:hAnsi="QCF_BSML" w:cs="QCF_BSML"/>
          <w:sz w:val="32"/>
          <w:szCs w:val="32"/>
          <w:rtl/>
          <w:lang w:eastAsia="en-US"/>
        </w:rPr>
        <w:t>ﭽ</w:t>
      </w:r>
      <w:r w:rsidRPr="008900CA">
        <w:rPr>
          <w:rFonts w:ascii="QCF_P304" w:hAnsi="QCF_P304" w:cs="QCF_P304"/>
          <w:sz w:val="32"/>
          <w:szCs w:val="32"/>
          <w:rtl/>
          <w:lang w:eastAsia="en-US"/>
        </w:rPr>
        <w:t xml:space="preserve"> ﮭ  ﮮ  ﮯ  ﮰ  ﮱ   ﯓ</w:t>
      </w:r>
      <w:r w:rsidRPr="008900CA">
        <w:rPr>
          <w:rFonts w:ascii="QCF_BSML" w:hAnsi="QCF_BSML" w:cs="QCF_BSML"/>
          <w:color w:val="auto"/>
          <w:sz w:val="32"/>
          <w:szCs w:val="32"/>
          <w:rtl/>
          <w:lang w:eastAsia="en-US"/>
        </w:rPr>
        <w:t xml:space="preserve"> ﭼ</w:t>
      </w:r>
      <w:r w:rsidRPr="008900CA">
        <w:rPr>
          <w:rFonts w:ascii="QCF_P304" w:hAnsi="QCF_P304" w:cs="QCF_P304"/>
          <w:sz w:val="32"/>
          <w:szCs w:val="32"/>
          <w:rtl/>
          <w:lang w:eastAsia="en-US"/>
        </w:rPr>
        <w:t xml:space="preserve">  </w:t>
      </w:r>
      <w:r w:rsidRPr="008900CA">
        <w:rPr>
          <w:rFonts w:ascii="Traditional Arabic" w:hAnsi="Traditional Arabic"/>
          <w:rtl/>
        </w:rPr>
        <w:t>»</w:t>
      </w:r>
      <w:r w:rsidRPr="008900CA">
        <w:rPr>
          <w:vertAlign w:val="superscript"/>
          <w:rtl/>
        </w:rPr>
        <w:t>(</w:t>
      </w:r>
      <w:r w:rsidRPr="008900CA">
        <w:rPr>
          <w:vertAlign w:val="superscript"/>
          <w:rtl/>
        </w:rPr>
        <w:footnoteReference w:id="1978"/>
      </w:r>
      <w:r w:rsidRPr="008900CA">
        <w:rPr>
          <w:vertAlign w:val="superscript"/>
          <w:rtl/>
        </w:rPr>
        <w:t>)</w:t>
      </w:r>
      <w:r w:rsidRPr="008900CA">
        <w:rPr>
          <w:rFonts w:ascii="Traditional Arabic" w:hAnsi="Traditional Arabic"/>
          <w:rtl/>
        </w:rPr>
        <w:t>.</w:t>
      </w:r>
      <w:r w:rsidRPr="008900CA">
        <w:rPr>
          <w:rFonts w:ascii="Traditional Arabic" w:hAnsi="Traditional Arabic" w:hint="cs"/>
          <w:rtl/>
        </w:rPr>
        <w:t xml:space="preserve"> </w:t>
      </w:r>
      <w:r w:rsidRPr="008900CA">
        <w:rPr>
          <w:rFonts w:ascii="Traditional Arabic" w:hAnsi="Traditional Arabic"/>
          <w:rtl/>
        </w:rPr>
        <w:t>والثالث: أنه قال:</w:t>
      </w:r>
      <w:r w:rsidRPr="008900CA">
        <w:rPr>
          <w:rFonts w:ascii="QCF_BSML" w:hAnsi="QCF_BSML" w:cs="QCF_BSML"/>
          <w:sz w:val="32"/>
          <w:szCs w:val="32"/>
          <w:rtl/>
          <w:lang w:eastAsia="en-US"/>
        </w:rPr>
        <w:t xml:space="preserve"> ﭽ</w:t>
      </w:r>
      <w:r w:rsidRPr="008900CA">
        <w:rPr>
          <w:rFonts w:ascii="Traditional Arabic" w:hAnsi="Traditional Arabic" w:hint="cs"/>
          <w:rtl/>
        </w:rPr>
        <w:t xml:space="preserve"> </w:t>
      </w:r>
      <w:r w:rsidRPr="008900CA">
        <w:rPr>
          <w:rFonts w:ascii="Traditional Arabic" w:hAnsi="Traditional Arabic"/>
          <w:rtl/>
        </w:rPr>
        <w:t>فلا نقيم لهم</w:t>
      </w:r>
      <w:r w:rsidRPr="008900CA">
        <w:rPr>
          <w:rFonts w:ascii="QCF_BSML" w:hAnsi="QCF_BSML" w:cs="QCF_BSML"/>
          <w:color w:val="auto"/>
          <w:sz w:val="32"/>
          <w:szCs w:val="32"/>
          <w:rtl/>
          <w:lang w:eastAsia="en-US"/>
        </w:rPr>
        <w:t xml:space="preserve"> ﭼ</w:t>
      </w:r>
      <w:r w:rsidRPr="008900CA">
        <w:rPr>
          <w:rFonts w:ascii="Traditional Arabic" w:hAnsi="Traditional Arabic" w:hint="cs"/>
          <w:rtl/>
        </w:rPr>
        <w:t>.</w:t>
      </w:r>
      <w:r w:rsidRPr="008900CA">
        <w:rPr>
          <w:rFonts w:ascii="Traditional Arabic" w:hAnsi="Traditional Arabic"/>
          <w:rtl/>
        </w:rPr>
        <w:t xml:space="preserve"> لأن الوزن عليهم لا لهم، ذكره ابن الأنباري</w:t>
      </w:r>
      <w:r w:rsidRPr="008900CA">
        <w:rPr>
          <w:vertAlign w:val="superscript"/>
          <w:rtl/>
        </w:rPr>
        <w:t>(</w:t>
      </w:r>
      <w:r w:rsidRPr="008900CA">
        <w:rPr>
          <w:vertAlign w:val="superscript"/>
          <w:rtl/>
        </w:rPr>
        <w:footnoteReference w:id="1979"/>
      </w:r>
      <w:r w:rsidRPr="008900CA">
        <w:rPr>
          <w:vertAlign w:val="superscript"/>
          <w:rtl/>
        </w:rPr>
        <w:t>)</w:t>
      </w:r>
      <w:r w:rsidRPr="008900CA">
        <w:rPr>
          <w:rFonts w:ascii="Traditional Arabic" w:hAnsi="Traditional Arabic"/>
          <w:rtl/>
        </w:rPr>
        <w:t>.</w:t>
      </w:r>
      <w:r w:rsidRPr="008900CA">
        <w:rPr>
          <w:rFonts w:ascii="Traditional Arabic" w:hAnsi="Traditional Arabic" w:hint="cs"/>
          <w:rtl/>
        </w:rPr>
        <w:t xml:space="preserve"> </w:t>
      </w:r>
      <w:r w:rsidRPr="008900CA">
        <w:rPr>
          <w:rFonts w:ascii="Traditional Arabic" w:hAnsi="Traditional Arabic"/>
          <w:rtl/>
        </w:rPr>
        <w:t xml:space="preserve">قوله تعالى: </w:t>
      </w:r>
      <w:r w:rsidRPr="008900CA">
        <w:rPr>
          <w:rFonts w:ascii="QCF_BSML" w:hAnsi="QCF_BSML" w:cs="QCF_BSML"/>
          <w:sz w:val="32"/>
          <w:szCs w:val="32"/>
          <w:rtl/>
          <w:lang w:eastAsia="en-US"/>
        </w:rPr>
        <w:t>ﭽ</w:t>
      </w:r>
      <w:r w:rsidRPr="008900CA">
        <w:rPr>
          <w:rFonts w:ascii="QCF_P304" w:hAnsi="QCF_P304" w:cs="QCF_P304"/>
          <w:sz w:val="32"/>
          <w:szCs w:val="32"/>
          <w:rtl/>
          <w:lang w:eastAsia="en-US"/>
        </w:rPr>
        <w:t xml:space="preserve">ﯕ  ﯖ </w:t>
      </w:r>
      <w:r w:rsidRPr="008900CA">
        <w:rPr>
          <w:rFonts w:ascii="QCF_BSML" w:hAnsi="QCF_BSML" w:cs="QCF_BSML"/>
          <w:color w:val="auto"/>
          <w:sz w:val="32"/>
          <w:szCs w:val="32"/>
          <w:rtl/>
          <w:lang w:eastAsia="en-US"/>
        </w:rPr>
        <w:t>ﭼ</w:t>
      </w:r>
      <w:r w:rsidRPr="008900CA">
        <w:rPr>
          <w:rFonts w:ascii="QCF_BSML" w:hAnsi="QCF_BSML" w:cs="QCF_BSML" w:hint="cs"/>
          <w:color w:val="auto"/>
          <w:sz w:val="32"/>
          <w:szCs w:val="32"/>
          <w:rtl/>
          <w:lang w:eastAsia="en-US"/>
        </w:rPr>
        <w:t xml:space="preserve">  </w:t>
      </w:r>
      <w:r w:rsidRPr="008900CA">
        <w:rPr>
          <w:rFonts w:ascii="QCF_P304" w:hAnsi="QCF_P304" w:cs="QCF_P304"/>
          <w:sz w:val="32"/>
          <w:szCs w:val="32"/>
          <w:rtl/>
          <w:lang w:eastAsia="en-US"/>
        </w:rPr>
        <w:t xml:space="preserve">   </w:t>
      </w:r>
      <w:r w:rsidRPr="008900CA">
        <w:rPr>
          <w:rFonts w:ascii="Traditional Arabic" w:hAnsi="Traditional Arabic"/>
          <w:rtl/>
        </w:rPr>
        <w:t xml:space="preserve">أي: الأمر ذلك الذي ذكرت من بطلان عملهم وخِسَّة قدرهم، ثم ابتدأ فقال: </w:t>
      </w:r>
      <w:r w:rsidRPr="008900CA">
        <w:rPr>
          <w:rFonts w:ascii="QCF_BSML" w:hAnsi="QCF_BSML" w:cs="QCF_BSML"/>
          <w:sz w:val="32"/>
          <w:szCs w:val="32"/>
          <w:rtl/>
          <w:lang w:eastAsia="en-US"/>
        </w:rPr>
        <w:lastRenderedPageBreak/>
        <w:t>ﭽ</w:t>
      </w:r>
      <w:r w:rsidRPr="008900CA">
        <w:rPr>
          <w:rFonts w:ascii="QCF_P304" w:hAnsi="QCF_P304" w:cs="QCF_P304"/>
          <w:sz w:val="32"/>
          <w:szCs w:val="32"/>
          <w:rtl/>
          <w:lang w:eastAsia="en-US"/>
        </w:rPr>
        <w:t>ﯖ   ﯗ</w:t>
      </w:r>
      <w:r w:rsidRPr="008900CA">
        <w:rPr>
          <w:rFonts w:ascii="QCF_BSML" w:hAnsi="QCF_BSML" w:cs="QCF_BSML"/>
          <w:color w:val="auto"/>
          <w:sz w:val="32"/>
          <w:szCs w:val="32"/>
          <w:rtl/>
          <w:lang w:eastAsia="en-US"/>
        </w:rPr>
        <w:t xml:space="preserve"> ﭼ</w:t>
      </w:r>
      <w:r w:rsidRPr="008900CA">
        <w:rPr>
          <w:rFonts w:ascii="QCF_P304" w:hAnsi="QCF_P304" w:cs="QCF_P304"/>
          <w:sz w:val="32"/>
          <w:szCs w:val="32"/>
          <w:rtl/>
          <w:lang w:eastAsia="en-US"/>
        </w:rPr>
        <w:t xml:space="preserve">  </w:t>
      </w:r>
      <w:r w:rsidRPr="008900CA">
        <w:rPr>
          <w:rFonts w:ascii="Traditional Arabic" w:hAnsi="Traditional Arabic" w:hint="cs"/>
          <w:rtl/>
        </w:rPr>
        <w:t xml:space="preserve"> </w:t>
      </w:r>
      <w:r w:rsidRPr="008900CA">
        <w:rPr>
          <w:rFonts w:ascii="Traditional Arabic" w:hAnsi="Traditional Arabic"/>
          <w:rtl/>
        </w:rPr>
        <w:t>وقيل: المعنى: ذلك التصغير لهم، وجزاؤهم جهنم، فأضمرت واو الحال</w:t>
      </w:r>
      <w:r w:rsidRPr="008900CA">
        <w:rPr>
          <w:vertAlign w:val="superscript"/>
          <w:rtl/>
        </w:rPr>
        <w:t>(</w:t>
      </w:r>
      <w:r w:rsidRPr="008900CA">
        <w:rPr>
          <w:vertAlign w:val="superscript"/>
          <w:rtl/>
        </w:rPr>
        <w:footnoteReference w:id="1980"/>
      </w:r>
      <w:r w:rsidRPr="008900CA">
        <w:rPr>
          <w:vertAlign w:val="superscript"/>
          <w:rtl/>
        </w:rPr>
        <w:t>)</w:t>
      </w:r>
      <w:r w:rsidRPr="008900CA">
        <w:rPr>
          <w:rFonts w:ascii="Traditional Arabic" w:hAnsi="Traditional Arabic"/>
          <w:rtl/>
        </w:rPr>
        <w:t>. قوله تعالى:</w:t>
      </w:r>
      <w:r w:rsidRPr="008900CA">
        <w:rPr>
          <w:rFonts w:ascii="QCF_BSML" w:hAnsi="QCF_BSML" w:cs="QCF_BSML"/>
          <w:sz w:val="32"/>
          <w:szCs w:val="32"/>
          <w:rtl/>
          <w:lang w:eastAsia="en-US"/>
        </w:rPr>
        <w:t xml:space="preserve"> ﭽ</w:t>
      </w:r>
      <w:r w:rsidRPr="008900CA">
        <w:rPr>
          <w:rFonts w:ascii="QCF_P304" w:hAnsi="QCF_P304" w:cs="QCF_P304"/>
          <w:sz w:val="32"/>
          <w:szCs w:val="32"/>
          <w:rtl/>
          <w:lang w:eastAsia="en-US"/>
        </w:rPr>
        <w:t xml:space="preserve">  ﯘ  ﯙ</w:t>
      </w:r>
      <w:r w:rsidRPr="008900CA">
        <w:rPr>
          <w:rFonts w:ascii="QCF_BSML" w:hAnsi="QCF_BSML" w:cs="QCF_BSML"/>
          <w:color w:val="auto"/>
          <w:sz w:val="32"/>
          <w:szCs w:val="32"/>
          <w:rtl/>
          <w:lang w:eastAsia="en-US"/>
        </w:rPr>
        <w:t xml:space="preserve"> ﭼ</w:t>
      </w:r>
      <w:r w:rsidRPr="008900CA">
        <w:rPr>
          <w:rFonts w:ascii="QCF_P304" w:hAnsi="QCF_P304" w:cs="QCF_P304"/>
          <w:sz w:val="32"/>
          <w:szCs w:val="32"/>
          <w:rtl/>
          <w:lang w:eastAsia="en-US"/>
        </w:rPr>
        <w:t xml:space="preserve">         </w:t>
      </w:r>
      <w:r w:rsidRPr="008900CA">
        <w:rPr>
          <w:rFonts w:ascii="Traditional Arabic" w:hAnsi="Traditional Arabic"/>
          <w:rtl/>
        </w:rPr>
        <w:t>أي: بكفرهم واتخاذهم</w:t>
      </w:r>
      <w:r w:rsidRPr="008900CA">
        <w:rPr>
          <w:rFonts w:ascii="Traditional Arabic" w:hAnsi="Traditional Arabic" w:hint="cs"/>
          <w:rtl/>
        </w:rPr>
        <w:t xml:space="preserve"> </w:t>
      </w:r>
      <w:r w:rsidRPr="008900CA">
        <w:rPr>
          <w:rFonts w:ascii="QCF_BSML" w:hAnsi="QCF_BSML" w:cs="QCF_BSML"/>
          <w:sz w:val="32"/>
          <w:szCs w:val="32"/>
          <w:rtl/>
          <w:lang w:eastAsia="en-US"/>
        </w:rPr>
        <w:t>ﭽ</w:t>
      </w:r>
      <w:r w:rsidRPr="008900CA">
        <w:rPr>
          <w:rFonts w:ascii="QCF_P304" w:hAnsi="QCF_P304" w:cs="QCF_P304"/>
          <w:sz w:val="32"/>
          <w:szCs w:val="32"/>
          <w:rtl/>
          <w:lang w:eastAsia="en-US"/>
        </w:rPr>
        <w:t xml:space="preserve"> ﯛ</w:t>
      </w:r>
      <w:r w:rsidRPr="008900CA">
        <w:rPr>
          <w:rFonts w:ascii="QCF_BSML" w:hAnsi="QCF_BSML" w:cs="QCF_BSML"/>
          <w:color w:val="auto"/>
          <w:sz w:val="32"/>
          <w:szCs w:val="32"/>
          <w:rtl/>
          <w:lang w:eastAsia="en-US"/>
        </w:rPr>
        <w:t xml:space="preserve"> ﭼ</w:t>
      </w:r>
      <w:r w:rsidRPr="008900CA">
        <w:rPr>
          <w:rFonts w:ascii="Traditional Arabic" w:hAnsi="Traditional Arabic"/>
          <w:rtl/>
        </w:rPr>
        <w:t xml:space="preserve"> التي أنزلتها </w:t>
      </w:r>
      <w:r w:rsidRPr="008900CA">
        <w:rPr>
          <w:rFonts w:ascii="QCF_BSML" w:hAnsi="QCF_BSML" w:cs="QCF_BSML"/>
          <w:sz w:val="32"/>
          <w:szCs w:val="32"/>
          <w:rtl/>
          <w:lang w:eastAsia="en-US"/>
        </w:rPr>
        <w:t>ﭽ</w:t>
      </w:r>
      <w:r w:rsidRPr="008900CA">
        <w:rPr>
          <w:rFonts w:ascii="QCF_P304" w:hAnsi="QCF_P304" w:cs="QCF_P304"/>
          <w:sz w:val="32"/>
          <w:szCs w:val="32"/>
          <w:rtl/>
          <w:lang w:eastAsia="en-US"/>
        </w:rPr>
        <w:t xml:space="preserve"> ﯜ  ﯝ </w:t>
      </w:r>
      <w:r w:rsidRPr="008900CA">
        <w:rPr>
          <w:rFonts w:ascii="QCF_BSML" w:hAnsi="QCF_BSML" w:cs="QCF_BSML"/>
          <w:color w:val="auto"/>
          <w:sz w:val="32"/>
          <w:szCs w:val="32"/>
          <w:rtl/>
          <w:lang w:eastAsia="en-US"/>
        </w:rPr>
        <w:t>ﭼ</w:t>
      </w:r>
      <w:r w:rsidRPr="008900CA">
        <w:rPr>
          <w:rFonts w:ascii="QCF_P304" w:hAnsi="QCF_P304" w:cs="QCF_P304"/>
          <w:sz w:val="32"/>
          <w:szCs w:val="32"/>
          <w:rtl/>
          <w:lang w:eastAsia="en-US"/>
        </w:rPr>
        <w:t xml:space="preserve"> </w:t>
      </w:r>
      <w:r w:rsidRPr="008900CA">
        <w:rPr>
          <w:rFonts w:ascii="Traditional Arabic" w:hAnsi="Traditional Arabic"/>
          <w:rtl/>
        </w:rPr>
        <w:t>أي:</w:t>
      </w:r>
      <w:r w:rsidRPr="008900CA">
        <w:rPr>
          <w:rFonts w:ascii="Traditional Arabic" w:hAnsi="Traditional Arabic" w:hint="cs"/>
          <w:rtl/>
        </w:rPr>
        <w:t xml:space="preserve"> </w:t>
      </w:r>
      <w:r w:rsidRPr="008900CA">
        <w:rPr>
          <w:rFonts w:ascii="Traditional Arabic" w:hAnsi="Traditional Arabic"/>
          <w:rtl/>
        </w:rPr>
        <w:t>مهزوءا به.</w:t>
      </w:r>
    </w:p>
    <w:p w:rsidR="008900CA" w:rsidRPr="008900CA" w:rsidRDefault="008900CA" w:rsidP="008900CA">
      <w:pPr>
        <w:ind w:firstLine="0"/>
        <w:rPr>
          <w:rFonts w:ascii="Traditional Arabic" w:hAnsi="Traditional Arabic"/>
          <w:rtl/>
        </w:rPr>
      </w:pPr>
    </w:p>
    <w:p w:rsidR="008900CA" w:rsidRPr="008900CA" w:rsidRDefault="008900CA" w:rsidP="008900CA">
      <w:pPr>
        <w:ind w:firstLine="0"/>
        <w:rPr>
          <w:rFonts w:ascii="Traditional Arabic" w:hAnsi="Traditional Arabic"/>
          <w:rtl/>
        </w:rPr>
      </w:pPr>
      <w:r w:rsidRPr="008900CA">
        <w:rPr>
          <w:rFonts w:ascii="QCF_BSML" w:hAnsi="QCF_BSML" w:cs="QCF_BSML"/>
          <w:sz w:val="32"/>
          <w:szCs w:val="32"/>
          <w:rtl/>
          <w:lang w:eastAsia="en-US"/>
        </w:rPr>
        <w:t xml:space="preserve">ﭽ </w:t>
      </w:r>
      <w:r w:rsidRPr="008900CA">
        <w:rPr>
          <w:rFonts w:ascii="QCF_P304" w:hAnsi="QCF_P304" w:cs="QCF_P304"/>
          <w:sz w:val="32"/>
          <w:szCs w:val="32"/>
          <w:rtl/>
          <w:lang w:eastAsia="en-US"/>
        </w:rPr>
        <w:t xml:space="preserve">ﯟ  ﯠ   ﯡ   ﯢ  ﯣ  ﯤ </w:t>
      </w:r>
      <w:r w:rsidRPr="008900CA">
        <w:rPr>
          <w:rFonts w:ascii="QCF_P304" w:hAnsi="QCF_P304" w:cs="QCF_P304" w:hint="cs"/>
          <w:sz w:val="32"/>
          <w:szCs w:val="32"/>
          <w:rtl/>
          <w:lang w:eastAsia="en-US"/>
        </w:rPr>
        <w:t xml:space="preserve"> </w:t>
      </w:r>
      <w:r w:rsidRPr="008900CA">
        <w:rPr>
          <w:rFonts w:ascii="QCF_P304" w:hAnsi="QCF_P304" w:cs="QCF_P304"/>
          <w:sz w:val="32"/>
          <w:szCs w:val="32"/>
          <w:rtl/>
          <w:lang w:eastAsia="en-US"/>
        </w:rPr>
        <w:t>ﯥ  ﯦ  ﯧ   ﯨ  ﯩ  ﯪ   ﯫ  ﯬ  ﯭ   ﯮ  ﯯ   ﯰ</w:t>
      </w:r>
      <w:r w:rsidRPr="008900CA">
        <w:rPr>
          <w:rFonts w:ascii="QCF_BSML" w:hAnsi="QCF_BSML" w:cs="QCF_BSML"/>
          <w:sz w:val="32"/>
          <w:szCs w:val="32"/>
          <w:rtl/>
          <w:lang w:eastAsia="en-US"/>
        </w:rPr>
        <w:t>ﭼ</w:t>
      </w:r>
      <w:r w:rsidRPr="008900CA">
        <w:rPr>
          <w:rFonts w:ascii="Arial" w:hAnsi="Arial" w:cs="Arial"/>
          <w:sz w:val="32"/>
          <w:szCs w:val="32"/>
          <w:rtl/>
          <w:lang w:eastAsia="en-US"/>
        </w:rPr>
        <w:t xml:space="preserve"> </w:t>
      </w:r>
    </w:p>
    <w:p w:rsidR="001E3AB5" w:rsidRDefault="008900CA" w:rsidP="001E3AB5">
      <w:pPr>
        <w:ind w:firstLine="0"/>
        <w:rPr>
          <w:rFonts w:ascii="Traditional Arabic" w:hAnsi="Traditional Arabic"/>
          <w:rtl/>
        </w:rPr>
      </w:pPr>
      <w:r w:rsidRPr="008900CA">
        <w:rPr>
          <w:rFonts w:ascii="Traditional Arabic" w:hAnsi="Traditional Arabic"/>
          <w:rtl/>
        </w:rPr>
        <w:t xml:space="preserve">قوله تعالى: </w:t>
      </w:r>
      <w:r w:rsidRPr="008900CA">
        <w:rPr>
          <w:rFonts w:ascii="QCF_BSML" w:hAnsi="QCF_BSML" w:cs="QCF_BSML"/>
          <w:sz w:val="32"/>
          <w:szCs w:val="32"/>
          <w:rtl/>
          <w:lang w:eastAsia="en-US"/>
        </w:rPr>
        <w:t>ﭽ</w:t>
      </w:r>
      <w:r w:rsidRPr="008900CA">
        <w:rPr>
          <w:rFonts w:ascii="Traditional Arabic" w:hAnsi="Traditional Arabic"/>
          <w:rtl/>
        </w:rPr>
        <w:t xml:space="preserve"> </w:t>
      </w:r>
      <w:r w:rsidRPr="008900CA">
        <w:rPr>
          <w:rFonts w:ascii="QCF_P304" w:hAnsi="QCF_P304" w:cs="QCF_P304"/>
          <w:sz w:val="32"/>
          <w:szCs w:val="32"/>
          <w:rtl/>
          <w:lang w:eastAsia="en-US"/>
        </w:rPr>
        <w:t xml:space="preserve">ﯤ </w:t>
      </w:r>
      <w:r w:rsidRPr="008900CA">
        <w:rPr>
          <w:rFonts w:ascii="QCF_P304" w:hAnsi="QCF_P304" w:cs="QCF_P304" w:hint="cs"/>
          <w:sz w:val="32"/>
          <w:szCs w:val="32"/>
          <w:rtl/>
          <w:lang w:eastAsia="en-US"/>
        </w:rPr>
        <w:t xml:space="preserve"> </w:t>
      </w:r>
      <w:r w:rsidRPr="008900CA">
        <w:rPr>
          <w:rFonts w:ascii="QCF_P304" w:hAnsi="QCF_P304" w:cs="QCF_P304"/>
          <w:sz w:val="32"/>
          <w:szCs w:val="32"/>
          <w:rtl/>
          <w:lang w:eastAsia="en-US"/>
        </w:rPr>
        <w:t>ﯥ  ﯦ  ﯧ</w:t>
      </w:r>
      <w:r w:rsidRPr="008900CA">
        <w:rPr>
          <w:rFonts w:ascii="QCF_BSML" w:hAnsi="QCF_BSML" w:cs="QCF_BSML"/>
          <w:color w:val="auto"/>
          <w:sz w:val="32"/>
          <w:szCs w:val="32"/>
          <w:rtl/>
          <w:lang w:eastAsia="en-US"/>
        </w:rPr>
        <w:t xml:space="preserve"> ﭼ</w:t>
      </w:r>
      <w:r w:rsidRPr="008900CA">
        <w:rPr>
          <w:rFonts w:ascii="QCF_P304" w:hAnsi="QCF_P304" w:cs="QCF_P304"/>
          <w:sz w:val="32"/>
          <w:szCs w:val="32"/>
          <w:rtl/>
          <w:lang w:eastAsia="en-US"/>
        </w:rPr>
        <w:t xml:space="preserve">   </w:t>
      </w:r>
      <w:r w:rsidRPr="008900CA">
        <w:rPr>
          <w:rFonts w:ascii="Traditional Arabic" w:hAnsi="Traditional Arabic"/>
          <w:rtl/>
        </w:rPr>
        <w:t>قال ابن الأنباري: كانت لهم في علم الله قبل أن يُخلَقوا</w:t>
      </w:r>
      <w:r w:rsidRPr="008900CA">
        <w:rPr>
          <w:vertAlign w:val="superscript"/>
          <w:rtl/>
        </w:rPr>
        <w:t>(</w:t>
      </w:r>
      <w:r w:rsidRPr="008900CA">
        <w:rPr>
          <w:vertAlign w:val="superscript"/>
          <w:rtl/>
        </w:rPr>
        <w:footnoteReference w:id="1981"/>
      </w:r>
      <w:r w:rsidRPr="008900CA">
        <w:rPr>
          <w:vertAlign w:val="superscript"/>
          <w:rtl/>
        </w:rPr>
        <w:t>)</w:t>
      </w:r>
      <w:r w:rsidRPr="008900CA">
        <w:rPr>
          <w:rFonts w:ascii="Traditional Arabic" w:hAnsi="Traditional Arabic"/>
          <w:rtl/>
        </w:rPr>
        <w:t>.</w:t>
      </w:r>
      <w:r w:rsidRPr="008900CA">
        <w:rPr>
          <w:rFonts w:ascii="Traditional Arabic" w:hAnsi="Traditional Arabic" w:hint="cs"/>
          <w:rtl/>
        </w:rPr>
        <w:t xml:space="preserve"> </w:t>
      </w:r>
      <w:r w:rsidRPr="008900CA">
        <w:rPr>
          <w:rFonts w:ascii="Traditional Arabic" w:hAnsi="Traditional Arabic"/>
          <w:rtl/>
        </w:rPr>
        <w:t>وروى البخاري ومسلم في (الصحيحين) من حديث أبي موسى</w:t>
      </w:r>
      <w:r w:rsidRPr="008900CA">
        <w:rPr>
          <w:vertAlign w:val="superscript"/>
          <w:rtl/>
        </w:rPr>
        <w:t>(</w:t>
      </w:r>
      <w:r w:rsidRPr="008900CA">
        <w:rPr>
          <w:vertAlign w:val="superscript"/>
          <w:rtl/>
        </w:rPr>
        <w:footnoteReference w:id="1982"/>
      </w:r>
      <w:r w:rsidRPr="008900CA">
        <w:rPr>
          <w:vertAlign w:val="superscript"/>
          <w:rtl/>
        </w:rPr>
        <w:t>)</w:t>
      </w:r>
      <w:r w:rsidRPr="008900CA">
        <w:rPr>
          <w:rFonts w:ascii="Traditional Arabic" w:hAnsi="Traditional Arabic"/>
          <w:rtl/>
        </w:rPr>
        <w:t xml:space="preserve">عن النبي </w:t>
      </w:r>
      <w:r w:rsidRPr="008900CA">
        <w:rPr>
          <w:rFonts w:ascii="Traditional Arabic" w:hAnsi="Traditional Arabic"/>
        </w:rPr>
        <w:sym w:font="AGA Arabesque" w:char="F072"/>
      </w:r>
      <w:r w:rsidRPr="008900CA">
        <w:rPr>
          <w:rFonts w:ascii="Traditional Arabic" w:hAnsi="Traditional Arabic" w:hint="cs"/>
          <w:rtl/>
        </w:rPr>
        <w:t xml:space="preserve"> </w:t>
      </w:r>
      <w:r w:rsidRPr="008900CA">
        <w:rPr>
          <w:rFonts w:ascii="Traditional Arabic" w:hAnsi="Traditional Arabic"/>
          <w:rtl/>
        </w:rPr>
        <w:t>أنه قال:</w:t>
      </w:r>
      <w:r w:rsidRPr="008900CA">
        <w:rPr>
          <w:rFonts w:ascii="Traditional Arabic" w:hAnsi="Traditional Arabic" w:hint="cs"/>
          <w:rtl/>
        </w:rPr>
        <w:t xml:space="preserve"> </w:t>
      </w:r>
      <w:r w:rsidRPr="008900CA">
        <w:rPr>
          <w:rFonts w:ascii="Traditional Arabic" w:hAnsi="Traditional Arabic"/>
          <w:rtl/>
        </w:rPr>
        <w:t xml:space="preserve">«جِنانُ الفردوس أربع، ثنتان </w:t>
      </w:r>
      <w:r w:rsidRPr="008900CA">
        <w:rPr>
          <w:rFonts w:ascii="Traditional Arabic" w:hAnsi="Traditional Arabic"/>
          <w:sz w:val="32"/>
          <w:szCs w:val="32"/>
          <w:rtl/>
        </w:rPr>
        <w:t>[</w:t>
      </w:r>
      <w:r w:rsidRPr="008900CA">
        <w:rPr>
          <w:rFonts w:ascii="Traditional Arabic" w:hAnsi="Traditional Arabic" w:hint="cs"/>
          <w:sz w:val="32"/>
          <w:szCs w:val="32"/>
          <w:rtl/>
        </w:rPr>
        <w:t>154</w:t>
      </w:r>
      <w:r w:rsidRPr="008900CA">
        <w:rPr>
          <w:rFonts w:ascii="Traditional Arabic" w:hAnsi="Traditional Arabic"/>
          <w:sz w:val="32"/>
          <w:szCs w:val="32"/>
          <w:rtl/>
        </w:rPr>
        <w:t>]</w:t>
      </w:r>
      <w:r w:rsidRPr="008900CA">
        <w:rPr>
          <w:rFonts w:ascii="Traditional Arabic" w:hAnsi="Traditional Arabic"/>
          <w:rtl/>
        </w:rPr>
        <w:t xml:space="preserve"> من ذهب حليتهما وآنيتهما وما فيهما، وثنتان من فضة حليتهما وآنيتهما وما فيها، وليس بين القوم وبين أن ينظروا إِلى ربهم إِلا رداء الكبرياء على وجهه في جنة عدن»</w:t>
      </w:r>
      <w:r w:rsidRPr="008900CA">
        <w:rPr>
          <w:vertAlign w:val="superscript"/>
          <w:rtl/>
        </w:rPr>
        <w:t>(</w:t>
      </w:r>
      <w:r w:rsidRPr="008900CA">
        <w:rPr>
          <w:vertAlign w:val="superscript"/>
          <w:rtl/>
        </w:rPr>
        <w:footnoteReference w:id="1983"/>
      </w:r>
      <w:r w:rsidRPr="008900CA">
        <w:rPr>
          <w:vertAlign w:val="superscript"/>
          <w:rtl/>
        </w:rPr>
        <w:t>)</w:t>
      </w:r>
      <w:r w:rsidRPr="008900CA">
        <w:rPr>
          <w:rFonts w:ascii="Traditional Arabic" w:hAnsi="Traditional Arabic"/>
          <w:rtl/>
        </w:rPr>
        <w:t>.</w:t>
      </w:r>
      <w:r w:rsidRPr="008900CA">
        <w:rPr>
          <w:rFonts w:ascii="Traditional Arabic" w:hAnsi="Traditional Arabic" w:hint="cs"/>
          <w:rtl/>
        </w:rPr>
        <w:t xml:space="preserve"> </w:t>
      </w:r>
      <w:r w:rsidRPr="008900CA">
        <w:rPr>
          <w:rFonts w:ascii="Traditional Arabic" w:hAnsi="Traditional Arabic"/>
          <w:rtl/>
        </w:rPr>
        <w:t>وروى عبادة بن الصامت</w:t>
      </w:r>
      <w:r w:rsidRPr="008900CA">
        <w:rPr>
          <w:vertAlign w:val="superscript"/>
          <w:rtl/>
        </w:rPr>
        <w:t>(</w:t>
      </w:r>
      <w:r w:rsidRPr="008900CA">
        <w:rPr>
          <w:vertAlign w:val="superscript"/>
          <w:rtl/>
        </w:rPr>
        <w:footnoteReference w:id="1984"/>
      </w:r>
      <w:r w:rsidRPr="008900CA">
        <w:rPr>
          <w:vertAlign w:val="superscript"/>
          <w:rtl/>
        </w:rPr>
        <w:t>)</w:t>
      </w:r>
      <w:r w:rsidRPr="008900CA">
        <w:rPr>
          <w:rFonts w:ascii="Traditional Arabic" w:hAnsi="Traditional Arabic"/>
          <w:rtl/>
        </w:rPr>
        <w:t xml:space="preserve">عن رسول الله </w:t>
      </w:r>
      <w:r w:rsidRPr="008900CA">
        <w:rPr>
          <w:rFonts w:ascii="Traditional Arabic" w:hAnsi="Traditional Arabic"/>
        </w:rPr>
        <w:sym w:font="AGA Arabesque" w:char="F072"/>
      </w:r>
      <w:r w:rsidRPr="008900CA">
        <w:rPr>
          <w:rFonts w:ascii="Traditional Arabic" w:hAnsi="Traditional Arabic" w:hint="cs"/>
          <w:rtl/>
        </w:rPr>
        <w:t xml:space="preserve"> </w:t>
      </w:r>
      <w:r w:rsidRPr="008900CA">
        <w:rPr>
          <w:rFonts w:ascii="Traditional Arabic" w:hAnsi="Traditional Arabic"/>
          <w:rtl/>
        </w:rPr>
        <w:t xml:space="preserve">أنه قال: «الجنة مائة درجة، ما بين كل درجتين كما بين السماء والأرض، الفردوس أعلاها، ومنها تفجَّر أنهار </w:t>
      </w:r>
    </w:p>
    <w:p w:rsidR="001E3AB5" w:rsidRDefault="001E3AB5" w:rsidP="001E3AB5">
      <w:pPr>
        <w:ind w:firstLine="0"/>
        <w:rPr>
          <w:rFonts w:ascii="Traditional Arabic" w:hAnsi="Traditional Arabic"/>
          <w:rtl/>
        </w:rPr>
      </w:pPr>
    </w:p>
    <w:p w:rsidR="001E3AB5" w:rsidRDefault="001E3AB5" w:rsidP="001E3AB5">
      <w:pPr>
        <w:ind w:firstLine="0"/>
        <w:rPr>
          <w:rFonts w:ascii="Traditional Arabic" w:hAnsi="Traditional Arabic"/>
          <w:rtl/>
        </w:rPr>
      </w:pPr>
    </w:p>
    <w:p w:rsidR="008900CA" w:rsidRPr="008900CA" w:rsidRDefault="008900CA" w:rsidP="00BF72D3">
      <w:pPr>
        <w:ind w:firstLine="0"/>
        <w:rPr>
          <w:rFonts w:ascii="Traditional Arabic" w:hAnsi="Traditional Arabic"/>
          <w:rtl/>
        </w:rPr>
      </w:pPr>
      <w:r w:rsidRPr="008900CA">
        <w:rPr>
          <w:rFonts w:ascii="Traditional Arabic" w:hAnsi="Traditional Arabic"/>
          <w:rtl/>
        </w:rPr>
        <w:lastRenderedPageBreak/>
        <w:t>الجنة، فإذا سألتم الله تعالى</w:t>
      </w:r>
      <w:r w:rsidR="001E3AB5">
        <w:rPr>
          <w:rFonts w:ascii="Traditional Arabic" w:hAnsi="Traditional Arabic" w:hint="cs"/>
          <w:rtl/>
        </w:rPr>
        <w:t xml:space="preserve"> </w:t>
      </w:r>
      <w:r w:rsidRPr="008900CA">
        <w:rPr>
          <w:rFonts w:ascii="Traditional Arabic" w:hAnsi="Traditional Arabic"/>
          <w:rtl/>
        </w:rPr>
        <w:t>فاسألوه الفردوس»</w:t>
      </w:r>
      <w:r w:rsidRPr="008900CA">
        <w:rPr>
          <w:vertAlign w:val="superscript"/>
          <w:rtl/>
        </w:rPr>
        <w:t>(</w:t>
      </w:r>
      <w:r w:rsidRPr="008900CA">
        <w:rPr>
          <w:vertAlign w:val="superscript"/>
          <w:rtl/>
        </w:rPr>
        <w:footnoteReference w:id="1985"/>
      </w:r>
      <w:r w:rsidRPr="008900CA">
        <w:rPr>
          <w:vertAlign w:val="superscript"/>
          <w:rtl/>
        </w:rPr>
        <w:t>)</w:t>
      </w:r>
      <w:r w:rsidRPr="008900CA">
        <w:rPr>
          <w:rFonts w:ascii="Traditional Arabic" w:hAnsi="Traditional Arabic"/>
          <w:rtl/>
        </w:rPr>
        <w:t>. قال أبو أمامة: الفردوس سرّة الجنة</w:t>
      </w:r>
      <w:r w:rsidRPr="008900CA">
        <w:rPr>
          <w:vertAlign w:val="superscript"/>
          <w:rtl/>
        </w:rPr>
        <w:t>(</w:t>
      </w:r>
      <w:r w:rsidRPr="008900CA">
        <w:rPr>
          <w:vertAlign w:val="superscript"/>
          <w:rtl/>
        </w:rPr>
        <w:footnoteReference w:id="1986"/>
      </w:r>
      <w:r w:rsidRPr="008900CA">
        <w:rPr>
          <w:vertAlign w:val="superscript"/>
          <w:rtl/>
        </w:rPr>
        <w:t>)</w:t>
      </w:r>
      <w:r w:rsidRPr="008900CA">
        <w:rPr>
          <w:rFonts w:ascii="Traditional Arabic" w:hAnsi="Traditional Arabic"/>
          <w:rtl/>
        </w:rPr>
        <w:t>. قال مجاهد: الفردوس: البستان بالرومية</w:t>
      </w:r>
      <w:r w:rsidRPr="008900CA">
        <w:rPr>
          <w:vertAlign w:val="superscript"/>
          <w:rtl/>
        </w:rPr>
        <w:t>(</w:t>
      </w:r>
      <w:r w:rsidRPr="008900CA">
        <w:rPr>
          <w:vertAlign w:val="superscript"/>
          <w:rtl/>
        </w:rPr>
        <w:footnoteReference w:id="1987"/>
      </w:r>
      <w:r w:rsidRPr="008900CA">
        <w:rPr>
          <w:vertAlign w:val="superscript"/>
          <w:rtl/>
        </w:rPr>
        <w:t>)</w:t>
      </w:r>
      <w:r w:rsidRPr="008900CA">
        <w:rPr>
          <w:rFonts w:ascii="Traditional Arabic" w:hAnsi="Traditional Arabic"/>
          <w:rtl/>
        </w:rPr>
        <w:t>.</w:t>
      </w:r>
      <w:r w:rsidRPr="008900CA">
        <w:rPr>
          <w:rFonts w:ascii="Traditional Arabic" w:hAnsi="Traditional Arabic" w:hint="cs"/>
          <w:rtl/>
        </w:rPr>
        <w:t xml:space="preserve"> </w:t>
      </w:r>
      <w:r w:rsidRPr="008900CA">
        <w:rPr>
          <w:rFonts w:ascii="Traditional Arabic" w:hAnsi="Traditional Arabic"/>
          <w:rtl/>
        </w:rPr>
        <w:t>وقال كعب</w:t>
      </w:r>
      <w:r w:rsidRPr="008900CA">
        <w:rPr>
          <w:vertAlign w:val="superscript"/>
          <w:rtl/>
        </w:rPr>
        <w:t>(</w:t>
      </w:r>
      <w:r w:rsidRPr="008900CA">
        <w:rPr>
          <w:vertAlign w:val="superscript"/>
          <w:rtl/>
        </w:rPr>
        <w:footnoteReference w:id="1988"/>
      </w:r>
      <w:r w:rsidRPr="008900CA">
        <w:rPr>
          <w:vertAlign w:val="superscript"/>
          <w:rtl/>
        </w:rPr>
        <w:t>)</w:t>
      </w:r>
      <w:r w:rsidRPr="008900CA">
        <w:rPr>
          <w:rFonts w:ascii="Traditional Arabic" w:hAnsi="Traditional Arabic"/>
          <w:rtl/>
        </w:rPr>
        <w:t>، والضحاك</w:t>
      </w:r>
      <w:r w:rsidRPr="008900CA">
        <w:rPr>
          <w:vertAlign w:val="superscript"/>
          <w:rtl/>
        </w:rPr>
        <w:t>(</w:t>
      </w:r>
      <w:r w:rsidRPr="008900CA">
        <w:rPr>
          <w:vertAlign w:val="superscript"/>
          <w:rtl/>
        </w:rPr>
        <w:footnoteReference w:id="1989"/>
      </w:r>
      <w:r w:rsidRPr="008900CA">
        <w:rPr>
          <w:vertAlign w:val="superscript"/>
          <w:rtl/>
        </w:rPr>
        <w:t>)</w:t>
      </w:r>
      <w:r w:rsidRPr="008900CA">
        <w:rPr>
          <w:rFonts w:ascii="Traditional Arabic" w:hAnsi="Traditional Arabic"/>
          <w:rtl/>
        </w:rPr>
        <w:t>:</w:t>
      </w:r>
      <w:r w:rsidR="00BF72D3" w:rsidRPr="008900CA">
        <w:rPr>
          <w:rFonts w:ascii="QCF_BSML" w:hAnsi="QCF_BSML" w:cs="QCF_BSML"/>
          <w:sz w:val="32"/>
          <w:szCs w:val="32"/>
          <w:rtl/>
          <w:lang w:eastAsia="en-US"/>
        </w:rPr>
        <w:t>ﭽ</w:t>
      </w:r>
      <w:r w:rsidR="00BF72D3" w:rsidRPr="008900CA">
        <w:rPr>
          <w:rFonts w:ascii="QCF_P304" w:hAnsi="QCF_P304" w:cs="QCF_P304"/>
          <w:sz w:val="32"/>
          <w:szCs w:val="32"/>
          <w:rtl/>
          <w:lang w:eastAsia="en-US"/>
        </w:rPr>
        <w:t xml:space="preserve"> ﯦ  ﯧ</w:t>
      </w:r>
      <w:r w:rsidR="00BF72D3" w:rsidRPr="008900CA">
        <w:rPr>
          <w:rFonts w:ascii="QCF_BSML" w:hAnsi="QCF_BSML" w:cs="QCF_BSML"/>
          <w:sz w:val="32"/>
          <w:szCs w:val="32"/>
          <w:rtl/>
          <w:lang w:eastAsia="en-US"/>
        </w:rPr>
        <w:t>ﭼ</w:t>
      </w:r>
      <w:r w:rsidRPr="008900CA">
        <w:rPr>
          <w:rFonts w:ascii="Traditional Arabic" w:hAnsi="Traditional Arabic"/>
          <w:rtl/>
        </w:rPr>
        <w:t>: جنات الأعناب. قال الكلبي، والفراء</w:t>
      </w:r>
      <w:r w:rsidRPr="008900CA">
        <w:rPr>
          <w:vertAlign w:val="superscript"/>
          <w:rtl/>
        </w:rPr>
        <w:t>(</w:t>
      </w:r>
      <w:r w:rsidRPr="008900CA">
        <w:rPr>
          <w:vertAlign w:val="superscript"/>
          <w:rtl/>
        </w:rPr>
        <w:footnoteReference w:id="1990"/>
      </w:r>
      <w:r w:rsidRPr="008900CA">
        <w:rPr>
          <w:vertAlign w:val="superscript"/>
          <w:rtl/>
        </w:rPr>
        <w:t>)</w:t>
      </w:r>
      <w:r w:rsidRPr="008900CA">
        <w:rPr>
          <w:rFonts w:ascii="Traditional Arabic" w:hAnsi="Traditional Arabic"/>
          <w:rtl/>
        </w:rPr>
        <w:t>: الفردوس: البستان الذي فيه الكرم. وقال المبرد</w:t>
      </w:r>
      <w:r w:rsidRPr="008900CA">
        <w:rPr>
          <w:vertAlign w:val="superscript"/>
          <w:rtl/>
        </w:rPr>
        <w:t>(</w:t>
      </w:r>
      <w:r w:rsidRPr="008900CA">
        <w:rPr>
          <w:vertAlign w:val="superscript"/>
          <w:rtl/>
        </w:rPr>
        <w:footnoteReference w:id="1991"/>
      </w:r>
      <w:r w:rsidRPr="008900CA">
        <w:rPr>
          <w:vertAlign w:val="superscript"/>
          <w:rtl/>
        </w:rPr>
        <w:t>)</w:t>
      </w:r>
      <w:r w:rsidRPr="008900CA">
        <w:rPr>
          <w:rFonts w:ascii="Traditional Arabic" w:hAnsi="Traditional Arabic"/>
          <w:rtl/>
        </w:rPr>
        <w:t>: الفردوس فيما سمعت من كلام العرب: الشجر الملتفّ، والأغلب عليه العنب</w:t>
      </w:r>
      <w:r w:rsidRPr="008900CA">
        <w:rPr>
          <w:vertAlign w:val="superscript"/>
          <w:rtl/>
        </w:rPr>
        <w:t>(</w:t>
      </w:r>
      <w:r w:rsidRPr="008900CA">
        <w:rPr>
          <w:vertAlign w:val="superscript"/>
          <w:rtl/>
        </w:rPr>
        <w:footnoteReference w:id="1992"/>
      </w:r>
      <w:r w:rsidRPr="008900CA">
        <w:rPr>
          <w:vertAlign w:val="superscript"/>
          <w:rtl/>
        </w:rPr>
        <w:t>)</w:t>
      </w:r>
      <w:r w:rsidRPr="008900CA">
        <w:rPr>
          <w:rFonts w:ascii="Traditional Arabic" w:hAnsi="Traditional Arabic"/>
          <w:rtl/>
        </w:rPr>
        <w:t xml:space="preserve">. وقال ثعلب: كل بستان يحوّط عليه فهو </w:t>
      </w:r>
      <w:r w:rsidR="00BD0544">
        <w:rPr>
          <w:rFonts w:ascii="Traditional Arabic" w:hAnsi="Traditional Arabic" w:hint="cs"/>
          <w:rtl/>
        </w:rPr>
        <w:t xml:space="preserve"> </w:t>
      </w:r>
      <w:r w:rsidRPr="008900CA">
        <w:rPr>
          <w:rFonts w:ascii="Traditional Arabic" w:hAnsi="Traditional Arabic"/>
          <w:rtl/>
        </w:rPr>
        <w:t>فردوس</w:t>
      </w:r>
      <w:r w:rsidRPr="008900CA">
        <w:rPr>
          <w:vertAlign w:val="superscript"/>
          <w:rtl/>
        </w:rPr>
        <w:t>(</w:t>
      </w:r>
      <w:r w:rsidRPr="008900CA">
        <w:rPr>
          <w:vertAlign w:val="superscript"/>
          <w:rtl/>
        </w:rPr>
        <w:footnoteReference w:id="1993"/>
      </w:r>
      <w:r w:rsidRPr="008900CA">
        <w:rPr>
          <w:vertAlign w:val="superscript"/>
          <w:rtl/>
        </w:rPr>
        <w:t>)</w:t>
      </w:r>
      <w:r w:rsidRPr="008900CA">
        <w:rPr>
          <w:rFonts w:ascii="Traditional Arabic" w:hAnsi="Traditional Arabic"/>
          <w:rtl/>
        </w:rPr>
        <w:t>، قال عبد الله بن رواحة</w:t>
      </w:r>
      <w:r w:rsidRPr="008900CA">
        <w:rPr>
          <w:vertAlign w:val="superscript"/>
          <w:rtl/>
        </w:rPr>
        <w:t>(</w:t>
      </w:r>
      <w:r w:rsidRPr="008900CA">
        <w:rPr>
          <w:vertAlign w:val="superscript"/>
          <w:rtl/>
        </w:rPr>
        <w:footnoteReference w:id="1994"/>
      </w:r>
      <w:r w:rsidRPr="008900CA">
        <w:rPr>
          <w:vertAlign w:val="superscript"/>
          <w:rtl/>
        </w:rPr>
        <w:t>)</w:t>
      </w:r>
      <w:r w:rsidRPr="008900CA">
        <w:rPr>
          <w:rFonts w:ascii="Traditional Arabic" w:hAnsi="Traditional Arabic"/>
          <w:rtl/>
        </w:rPr>
        <w:t>:</w:t>
      </w:r>
    </w:p>
    <w:p w:rsidR="008900CA" w:rsidRPr="008900CA" w:rsidRDefault="008A472D" w:rsidP="008900CA">
      <w:pPr>
        <w:ind w:firstLine="0"/>
        <w:rPr>
          <w:rFonts w:ascii="Traditional Arabic" w:hAnsi="Traditional Arabic"/>
          <w:rtl/>
        </w:rPr>
      </w:pPr>
      <w:r>
        <w:rPr>
          <w:rFonts w:ascii="Traditional Arabic" w:hAnsi="Traditional Arabic" w:hint="cs"/>
          <w:rtl/>
        </w:rPr>
        <w:t xml:space="preserve">                 </w:t>
      </w:r>
      <w:r w:rsidR="008900CA" w:rsidRPr="008900CA">
        <w:rPr>
          <w:rFonts w:ascii="Traditional Arabic" w:hAnsi="Traditional Arabic"/>
          <w:rtl/>
        </w:rPr>
        <w:t>في جنان الفردوس ليس يخافون ... خروجاً عنها ولا تحويلا</w:t>
      </w:r>
      <w:r w:rsidR="008900CA" w:rsidRPr="008900CA">
        <w:rPr>
          <w:vertAlign w:val="superscript"/>
          <w:rtl/>
        </w:rPr>
        <w:t>(</w:t>
      </w:r>
      <w:r w:rsidR="008900CA" w:rsidRPr="008900CA">
        <w:rPr>
          <w:vertAlign w:val="superscript"/>
          <w:rtl/>
        </w:rPr>
        <w:footnoteReference w:id="1995"/>
      </w:r>
      <w:r w:rsidR="008900CA" w:rsidRPr="008900CA">
        <w:rPr>
          <w:vertAlign w:val="superscript"/>
          <w:rtl/>
        </w:rPr>
        <w:t>)</w:t>
      </w:r>
    </w:p>
    <w:p w:rsidR="00BD0544" w:rsidRDefault="00BD0544" w:rsidP="008900CA">
      <w:pPr>
        <w:ind w:firstLine="0"/>
        <w:rPr>
          <w:rFonts w:ascii="Traditional Arabic" w:hAnsi="Traditional Arabic"/>
          <w:rtl/>
        </w:rPr>
      </w:pPr>
    </w:p>
    <w:p w:rsidR="008900CA" w:rsidRPr="008900CA" w:rsidRDefault="008900CA" w:rsidP="008900CA">
      <w:pPr>
        <w:ind w:firstLine="0"/>
        <w:rPr>
          <w:rFonts w:ascii="Traditional Arabic" w:hAnsi="Traditional Arabic"/>
          <w:rtl/>
        </w:rPr>
      </w:pPr>
      <w:r w:rsidRPr="008900CA">
        <w:rPr>
          <w:rFonts w:ascii="Traditional Arabic" w:hAnsi="Traditional Arabic"/>
          <w:rtl/>
        </w:rPr>
        <w:lastRenderedPageBreak/>
        <w:t>وقرأت على شيخنا أبي منصور اللغوي قال: قال الزجاج: الفردوس أصله رومي أعرب، وهو البستان، كذلك جاء في التفسير، وقد قيل: الفردوس تعرفه العرب، وتسمي الموضع الذي فيه كرم:</w:t>
      </w:r>
      <w:r w:rsidRPr="008900CA">
        <w:rPr>
          <w:rFonts w:ascii="Traditional Arabic" w:hAnsi="Traditional Arabic" w:hint="cs"/>
          <w:rtl/>
        </w:rPr>
        <w:t xml:space="preserve"> </w:t>
      </w:r>
      <w:r w:rsidRPr="008900CA">
        <w:rPr>
          <w:rFonts w:ascii="Traditional Arabic" w:hAnsi="Traditional Arabic"/>
          <w:rtl/>
        </w:rPr>
        <w:t xml:space="preserve">فردوساً. وقال أهل اللغة: الفردوس مذكَّر، وإِنما أنث في قوله تعالى: </w:t>
      </w:r>
      <w:r w:rsidRPr="008900CA">
        <w:rPr>
          <w:rFonts w:ascii="QCF_BSML" w:hAnsi="QCF_BSML" w:cs="QCF_BSML"/>
          <w:sz w:val="32"/>
          <w:szCs w:val="32"/>
          <w:rtl/>
          <w:lang w:eastAsia="en-US"/>
        </w:rPr>
        <w:t xml:space="preserve">ﭽ </w:t>
      </w:r>
      <w:r w:rsidRPr="008900CA">
        <w:rPr>
          <w:rFonts w:ascii="QCF_P342" w:hAnsi="QCF_P342" w:cs="QCF_P342"/>
          <w:sz w:val="32"/>
          <w:szCs w:val="32"/>
          <w:rtl/>
          <w:lang w:eastAsia="en-US"/>
        </w:rPr>
        <w:t xml:space="preserve">ﮏ     ﮐ  ﮑ  ﮒ  ﮓ  </w:t>
      </w:r>
      <w:r w:rsidRPr="008900CA">
        <w:rPr>
          <w:rFonts w:ascii="QCF_BSML" w:hAnsi="QCF_BSML" w:cs="QCF_BSML"/>
          <w:sz w:val="32"/>
          <w:szCs w:val="32"/>
          <w:rtl/>
          <w:lang w:eastAsia="en-US"/>
        </w:rPr>
        <w:t>ﭼ</w:t>
      </w:r>
      <w:r w:rsidRPr="008900CA">
        <w:rPr>
          <w:rFonts w:ascii="Arial" w:hAnsi="Arial" w:cs="Arial"/>
          <w:sz w:val="18"/>
          <w:szCs w:val="18"/>
          <w:rtl/>
          <w:lang w:eastAsia="en-US"/>
        </w:rPr>
        <w:t xml:space="preserve"> </w:t>
      </w:r>
      <w:r w:rsidRPr="008900CA">
        <w:rPr>
          <w:rFonts w:ascii="Traditional Arabic" w:hAnsi="Traditional Arabic" w:hint="cs"/>
          <w:rtl/>
        </w:rPr>
        <w:t>[</w:t>
      </w:r>
      <w:r w:rsidRPr="008900CA">
        <w:rPr>
          <w:rFonts w:ascii="Traditional Arabic" w:hAnsi="Traditional Arabic"/>
          <w:rtl/>
        </w:rPr>
        <w:t>المؤمنون:11</w:t>
      </w:r>
      <w:r w:rsidRPr="008900CA">
        <w:rPr>
          <w:rFonts w:ascii="Traditional Arabic" w:hAnsi="Traditional Arabic" w:hint="cs"/>
          <w:rtl/>
        </w:rPr>
        <w:t>]</w:t>
      </w:r>
      <w:r w:rsidRPr="008900CA">
        <w:rPr>
          <w:rFonts w:ascii="Traditional Arabic" w:hAnsi="Traditional Arabic"/>
          <w:rtl/>
        </w:rPr>
        <w:t>. لأنه عنى به الجنة. وقال الزجاج: وقيل: الفردوس: الأودية التي تنبت ضروباً من النبت، وقيل: هو بالرومية منقول إِلى لفظ العربية، قال: والفردوس أيضاً بالسريانية كذا لفظه: فردوس، قال:</w:t>
      </w:r>
      <w:r w:rsidRPr="008900CA">
        <w:rPr>
          <w:rFonts w:ascii="Traditional Arabic" w:hAnsi="Traditional Arabic" w:hint="cs"/>
          <w:rtl/>
        </w:rPr>
        <w:t xml:space="preserve"> </w:t>
      </w:r>
      <w:r w:rsidRPr="008900CA">
        <w:rPr>
          <w:rFonts w:ascii="Traditional Arabic" w:hAnsi="Traditional Arabic"/>
          <w:rtl/>
        </w:rPr>
        <w:t>ولم نجده في أشعار العرب إِلا في شعر حسان، وحقيقته أنه البستان الذي يجمع كل ما يكون في البساتين، لأنه عند أهل كل لغة كذلك، وبيت حسان</w:t>
      </w:r>
      <w:r w:rsidRPr="008900CA">
        <w:rPr>
          <w:vertAlign w:val="superscript"/>
          <w:rtl/>
        </w:rPr>
        <w:t>(</w:t>
      </w:r>
      <w:r w:rsidRPr="008900CA">
        <w:rPr>
          <w:vertAlign w:val="superscript"/>
          <w:rtl/>
        </w:rPr>
        <w:footnoteReference w:id="1996"/>
      </w:r>
      <w:r w:rsidRPr="008900CA">
        <w:rPr>
          <w:vertAlign w:val="superscript"/>
          <w:rtl/>
        </w:rPr>
        <w:t>)</w:t>
      </w:r>
      <w:r w:rsidRPr="008900CA">
        <w:rPr>
          <w:rFonts w:ascii="Traditional Arabic" w:hAnsi="Traditional Arabic"/>
          <w:rtl/>
        </w:rPr>
        <w:t>:</w:t>
      </w:r>
    </w:p>
    <w:p w:rsidR="008900CA" w:rsidRPr="008900CA" w:rsidRDefault="008900CA" w:rsidP="008900CA">
      <w:pPr>
        <w:ind w:firstLine="0"/>
        <w:rPr>
          <w:rFonts w:ascii="Traditional Arabic" w:hAnsi="Traditional Arabic"/>
          <w:rtl/>
        </w:rPr>
      </w:pPr>
      <w:r w:rsidRPr="008900CA">
        <w:rPr>
          <w:rFonts w:ascii="Traditional Arabic" w:hAnsi="Traditional Arabic"/>
          <w:rtl/>
        </w:rPr>
        <w:t>فَإِنِّ ثَوَابَ اللهِ كلَّ مُوَحِّدٍ ... جِنَانٌ مِنَ الفردوس فيها يخلّد</w:t>
      </w:r>
      <w:r w:rsidRPr="008900CA">
        <w:rPr>
          <w:rFonts w:ascii="Traditional Arabic" w:hAnsi="Traditional Arabic"/>
          <w:vertAlign w:val="superscript"/>
          <w:rtl/>
        </w:rPr>
        <w:t>(</w:t>
      </w:r>
      <w:r w:rsidRPr="008900CA">
        <w:rPr>
          <w:rFonts w:ascii="Traditional Arabic" w:hAnsi="Traditional Arabic"/>
          <w:vertAlign w:val="superscript"/>
          <w:rtl/>
        </w:rPr>
        <w:footnoteReference w:id="1997"/>
      </w:r>
      <w:r w:rsidRPr="008900CA">
        <w:rPr>
          <w:rFonts w:ascii="Traditional Arabic" w:hAnsi="Traditional Arabic"/>
          <w:vertAlign w:val="superscript"/>
          <w:rtl/>
        </w:rPr>
        <w:t>)</w:t>
      </w:r>
      <w:r w:rsidRPr="008900CA">
        <w:rPr>
          <w:rFonts w:ascii="Traditional Arabic" w:hAnsi="Traditional Arabic"/>
          <w:rtl/>
        </w:rPr>
        <w:t xml:space="preserve"> </w:t>
      </w:r>
    </w:p>
    <w:p w:rsidR="008900CA" w:rsidRPr="008900CA" w:rsidRDefault="008900CA" w:rsidP="007A7F88">
      <w:pPr>
        <w:ind w:firstLine="0"/>
        <w:rPr>
          <w:rFonts w:ascii="Traditional Arabic" w:hAnsi="Traditional Arabic"/>
          <w:rtl/>
        </w:rPr>
      </w:pPr>
      <w:r w:rsidRPr="008900CA">
        <w:rPr>
          <w:rFonts w:ascii="Traditional Arabic" w:hAnsi="Traditional Arabic"/>
          <w:rtl/>
        </w:rPr>
        <w:t>وقال ابن الكلبي باسناده: الفردوس: البستان بلغة الروم، وقال الفراء: وهو عربي أيضاً، والعرب تسمي البستان الذي فيه الكرم فردوساً. وقال السدي: الفردوس أصله بالنبطية «فرداسَا». وقال عبد الله بن الحارث</w:t>
      </w:r>
      <w:r w:rsidRPr="008900CA">
        <w:rPr>
          <w:vertAlign w:val="superscript"/>
          <w:rtl/>
        </w:rPr>
        <w:t>(</w:t>
      </w:r>
      <w:r w:rsidRPr="008900CA">
        <w:rPr>
          <w:vertAlign w:val="superscript"/>
          <w:rtl/>
        </w:rPr>
        <w:footnoteReference w:id="1998"/>
      </w:r>
      <w:r w:rsidRPr="008900CA">
        <w:rPr>
          <w:vertAlign w:val="superscript"/>
          <w:rtl/>
        </w:rPr>
        <w:t>)</w:t>
      </w:r>
      <w:r w:rsidRPr="008900CA">
        <w:rPr>
          <w:rFonts w:ascii="Traditional Arabic" w:hAnsi="Traditional Arabic"/>
          <w:rtl/>
        </w:rPr>
        <w:t>: الفردوس: الأعناب</w:t>
      </w:r>
      <w:r w:rsidRPr="008900CA">
        <w:rPr>
          <w:vertAlign w:val="superscript"/>
          <w:rtl/>
        </w:rPr>
        <w:t>(</w:t>
      </w:r>
      <w:r w:rsidRPr="008900CA">
        <w:rPr>
          <w:vertAlign w:val="superscript"/>
          <w:rtl/>
        </w:rPr>
        <w:footnoteReference w:id="1999"/>
      </w:r>
      <w:r w:rsidRPr="008900CA">
        <w:rPr>
          <w:vertAlign w:val="superscript"/>
          <w:rtl/>
        </w:rPr>
        <w:t>)</w:t>
      </w:r>
      <w:r w:rsidRPr="008900CA">
        <w:rPr>
          <w:rFonts w:ascii="Traditional Arabic" w:hAnsi="Traditional Arabic"/>
          <w:rtl/>
        </w:rPr>
        <w:t>.</w:t>
      </w:r>
      <w:r w:rsidR="007A7F88">
        <w:rPr>
          <w:rFonts w:ascii="Traditional Arabic" w:hAnsi="Traditional Arabic" w:hint="cs"/>
          <w:rtl/>
        </w:rPr>
        <w:t xml:space="preserve"> </w:t>
      </w:r>
      <w:r w:rsidRPr="008900CA">
        <w:rPr>
          <w:rFonts w:ascii="Traditional Arabic" w:hAnsi="Traditional Arabic"/>
          <w:rtl/>
        </w:rPr>
        <w:t>وقد شرحنا معنى قوله:</w:t>
      </w:r>
      <w:r w:rsidRPr="008900CA">
        <w:rPr>
          <w:rFonts w:ascii="Traditional Arabic" w:hAnsi="Traditional Arabic" w:hint="cs"/>
          <w:rtl/>
        </w:rPr>
        <w:t xml:space="preserve"> </w:t>
      </w:r>
      <w:r w:rsidRPr="008900CA">
        <w:rPr>
          <w:rFonts w:ascii="QCF_BSML" w:hAnsi="QCF_BSML" w:cs="QCF_BSML"/>
          <w:sz w:val="32"/>
          <w:szCs w:val="32"/>
          <w:rtl/>
          <w:lang w:eastAsia="en-US"/>
        </w:rPr>
        <w:t xml:space="preserve"> ﭽ</w:t>
      </w:r>
      <w:r w:rsidRPr="008900CA">
        <w:rPr>
          <w:rFonts w:ascii="Traditional Arabic" w:hAnsi="Traditional Arabic"/>
          <w:rtl/>
        </w:rPr>
        <w:t>نُزُلاً</w:t>
      </w:r>
      <w:r w:rsidRPr="008900CA">
        <w:rPr>
          <w:rFonts w:ascii="QCF_BSML" w:hAnsi="QCF_BSML" w:cs="QCF_BSML"/>
          <w:color w:val="auto"/>
          <w:sz w:val="32"/>
          <w:szCs w:val="32"/>
          <w:rtl/>
          <w:lang w:eastAsia="en-US"/>
        </w:rPr>
        <w:t>ﭼ</w:t>
      </w:r>
      <w:r w:rsidRPr="008900CA">
        <w:rPr>
          <w:rFonts w:ascii="Traditional Arabic" w:hAnsi="Traditional Arabic"/>
          <w:rtl/>
        </w:rPr>
        <w:t xml:space="preserve"> آنفاً</w:t>
      </w:r>
      <w:r w:rsidRPr="008900CA">
        <w:rPr>
          <w:vertAlign w:val="superscript"/>
          <w:rtl/>
        </w:rPr>
        <w:t>(</w:t>
      </w:r>
      <w:r w:rsidRPr="008900CA">
        <w:rPr>
          <w:vertAlign w:val="superscript"/>
          <w:rtl/>
        </w:rPr>
        <w:footnoteReference w:id="2000"/>
      </w:r>
      <w:r w:rsidRPr="008900CA">
        <w:rPr>
          <w:vertAlign w:val="superscript"/>
          <w:rtl/>
        </w:rPr>
        <w:t>)</w:t>
      </w:r>
      <w:r w:rsidRPr="008900CA">
        <w:rPr>
          <w:rFonts w:ascii="Traditional Arabic" w:hAnsi="Traditional Arabic"/>
          <w:rtl/>
        </w:rPr>
        <w:t>.</w:t>
      </w:r>
      <w:r w:rsidRPr="008900CA">
        <w:rPr>
          <w:rFonts w:ascii="QCF_P304" w:hAnsi="QCF_P304" w:cs="QCF_P304"/>
          <w:sz w:val="32"/>
          <w:szCs w:val="32"/>
          <w:rtl/>
          <w:lang w:eastAsia="en-US"/>
        </w:rPr>
        <w:t xml:space="preserve"> </w:t>
      </w:r>
    </w:p>
    <w:p w:rsidR="008900CA" w:rsidRPr="008900CA" w:rsidRDefault="008900CA" w:rsidP="008900CA">
      <w:pPr>
        <w:ind w:firstLine="0"/>
        <w:rPr>
          <w:rFonts w:ascii="Traditional Arabic" w:hAnsi="Traditional Arabic"/>
          <w:rtl/>
        </w:rPr>
      </w:pPr>
      <w:r w:rsidRPr="008900CA">
        <w:rPr>
          <w:rFonts w:ascii="Traditional Arabic" w:hAnsi="Traditional Arabic"/>
          <w:rtl/>
        </w:rPr>
        <w:t xml:space="preserve">قوله تعالى: </w:t>
      </w:r>
      <w:r w:rsidRPr="008900CA">
        <w:rPr>
          <w:rFonts w:ascii="QCF_BSML" w:hAnsi="QCF_BSML" w:cs="QCF_BSML"/>
          <w:sz w:val="32"/>
          <w:szCs w:val="32"/>
          <w:rtl/>
          <w:lang w:eastAsia="en-US"/>
        </w:rPr>
        <w:t>ﭽ</w:t>
      </w:r>
      <w:r w:rsidRPr="008900CA">
        <w:rPr>
          <w:rFonts w:ascii="QCF_P304" w:hAnsi="QCF_P304" w:cs="QCF_P304"/>
          <w:sz w:val="32"/>
          <w:szCs w:val="32"/>
          <w:rtl/>
          <w:lang w:eastAsia="en-US"/>
        </w:rPr>
        <w:t xml:space="preserve"> ﯬ  ﯭ   ﯮ  ﯯ </w:t>
      </w:r>
      <w:r w:rsidRPr="008900CA">
        <w:rPr>
          <w:rFonts w:ascii="QCF_BSML" w:hAnsi="QCF_BSML" w:cs="QCF_BSML"/>
          <w:color w:val="auto"/>
          <w:sz w:val="32"/>
          <w:szCs w:val="32"/>
          <w:rtl/>
          <w:lang w:eastAsia="en-US"/>
        </w:rPr>
        <w:t>ﭼ</w:t>
      </w:r>
      <w:r w:rsidRPr="008900CA">
        <w:rPr>
          <w:rFonts w:ascii="QCF_P304" w:hAnsi="QCF_P304" w:cs="QCF_P304"/>
          <w:sz w:val="32"/>
          <w:szCs w:val="32"/>
          <w:rtl/>
          <w:lang w:eastAsia="en-US"/>
        </w:rPr>
        <w:t xml:space="preserve">  </w:t>
      </w:r>
      <w:r w:rsidRPr="008900CA">
        <w:rPr>
          <w:rFonts w:ascii="Traditional Arabic" w:hAnsi="Traditional Arabic"/>
          <w:rtl/>
        </w:rPr>
        <w:t xml:space="preserve">قال الزجاج: لا يريدون عنها تحوُّلاً، يقال: قد حال من مكانه </w:t>
      </w:r>
      <w:r w:rsidRPr="008900CA">
        <w:rPr>
          <w:rFonts w:ascii="Traditional Arabic" w:hAnsi="Traditional Arabic"/>
          <w:sz w:val="32"/>
          <w:szCs w:val="32"/>
          <w:rtl/>
        </w:rPr>
        <w:t>[</w:t>
      </w:r>
      <w:r w:rsidRPr="008900CA">
        <w:rPr>
          <w:rFonts w:ascii="Traditional Arabic" w:hAnsi="Traditional Arabic" w:hint="cs"/>
          <w:sz w:val="32"/>
          <w:szCs w:val="32"/>
          <w:rtl/>
        </w:rPr>
        <w:t>155</w:t>
      </w:r>
      <w:r w:rsidRPr="008900CA">
        <w:rPr>
          <w:rFonts w:ascii="Traditional Arabic" w:hAnsi="Traditional Arabic"/>
          <w:sz w:val="32"/>
          <w:szCs w:val="32"/>
          <w:rtl/>
        </w:rPr>
        <w:t>]</w:t>
      </w:r>
      <w:r w:rsidRPr="008900CA">
        <w:rPr>
          <w:rFonts w:ascii="Traditional Arabic" w:hAnsi="Traditional Arabic"/>
          <w:rtl/>
        </w:rPr>
        <w:t xml:space="preserve"> حِوَلاً، كما قالوا في المصادر: صَغُر صِغرَاً، وعَظُم عِظَماً، وعادَني حُبُّها عِوَداً قال: وقد قيل أيضاً:</w:t>
      </w:r>
      <w:r w:rsidRPr="008900CA">
        <w:rPr>
          <w:rFonts w:ascii="Traditional Arabic" w:hAnsi="Traditional Arabic" w:hint="cs"/>
          <w:rtl/>
        </w:rPr>
        <w:t xml:space="preserve"> </w:t>
      </w:r>
      <w:r w:rsidRPr="008900CA">
        <w:rPr>
          <w:rFonts w:ascii="Traditional Arabic" w:hAnsi="Traditional Arabic"/>
          <w:rtl/>
        </w:rPr>
        <w:t>إِن الحِوَل: الحِيلة، فيكون المعنى: لا يحتالون مَنْزِلاً غيرها</w:t>
      </w:r>
      <w:r w:rsidRPr="008900CA">
        <w:rPr>
          <w:vertAlign w:val="superscript"/>
          <w:rtl/>
        </w:rPr>
        <w:t>(</w:t>
      </w:r>
      <w:r w:rsidRPr="008900CA">
        <w:rPr>
          <w:vertAlign w:val="superscript"/>
          <w:rtl/>
        </w:rPr>
        <w:footnoteReference w:id="2001"/>
      </w:r>
      <w:r w:rsidRPr="008900CA">
        <w:rPr>
          <w:vertAlign w:val="superscript"/>
          <w:rtl/>
        </w:rPr>
        <w:t>)</w:t>
      </w:r>
      <w:r w:rsidRPr="008900CA">
        <w:rPr>
          <w:rFonts w:ascii="Traditional Arabic" w:hAnsi="Traditional Arabic"/>
          <w:rtl/>
        </w:rPr>
        <w:t>.</w:t>
      </w:r>
      <w:r w:rsidRPr="008900CA">
        <w:rPr>
          <w:rFonts w:ascii="Traditional Arabic" w:hAnsi="Traditional Arabic" w:hint="cs"/>
          <w:rtl/>
        </w:rPr>
        <w:t xml:space="preserve"> </w:t>
      </w:r>
      <w:r w:rsidRPr="008900CA">
        <w:rPr>
          <w:rFonts w:ascii="Traditional Arabic" w:hAnsi="Traditional Arabic"/>
          <w:rtl/>
        </w:rPr>
        <w:t>فإن قيل: قد عُلم أن الجنة كثيرة الخير، فما وجه مدحها بأنهم لا يبغون عنها حِوَلاً؟</w:t>
      </w:r>
      <w:r w:rsidRPr="008900CA">
        <w:rPr>
          <w:rFonts w:ascii="Traditional Arabic" w:hAnsi="Traditional Arabic" w:hint="cs"/>
          <w:rtl/>
        </w:rPr>
        <w:t xml:space="preserve"> </w:t>
      </w:r>
      <w:r w:rsidRPr="008900CA">
        <w:rPr>
          <w:rFonts w:ascii="Traditional Arabic" w:hAnsi="Traditional Arabic"/>
          <w:rtl/>
        </w:rPr>
        <w:t xml:space="preserve">فالجواب: أن الإِنسان قد يجد في الدار الأنيقة معنى لا يوافقه، فيحب أن ينتقل إِلى دار أخرى، وقد يملّ، والجنّة على </w:t>
      </w:r>
      <w:r w:rsidRPr="008900CA">
        <w:rPr>
          <w:rFonts w:ascii="Traditional Arabic" w:hAnsi="Traditional Arabic"/>
          <w:rtl/>
        </w:rPr>
        <w:lastRenderedPageBreak/>
        <w:t>خلاف ذلك</w:t>
      </w:r>
      <w:r w:rsidRPr="008900CA">
        <w:rPr>
          <w:vertAlign w:val="superscript"/>
          <w:rtl/>
        </w:rPr>
        <w:t>(</w:t>
      </w:r>
      <w:r w:rsidRPr="008900CA">
        <w:rPr>
          <w:vertAlign w:val="superscript"/>
          <w:rtl/>
        </w:rPr>
        <w:footnoteReference w:id="2002"/>
      </w:r>
      <w:r w:rsidRPr="008900CA">
        <w:rPr>
          <w:vertAlign w:val="superscript"/>
          <w:rtl/>
        </w:rPr>
        <w:t>)</w:t>
      </w:r>
      <w:r w:rsidRPr="008900CA">
        <w:rPr>
          <w:rFonts w:ascii="Traditional Arabic" w:hAnsi="Traditional Arabic"/>
          <w:rtl/>
        </w:rPr>
        <w:t>.</w:t>
      </w:r>
    </w:p>
    <w:p w:rsidR="008900CA" w:rsidRPr="008900CA" w:rsidRDefault="008900CA" w:rsidP="008900CA">
      <w:pPr>
        <w:ind w:firstLine="0"/>
        <w:rPr>
          <w:rFonts w:ascii="Traditional Arabic" w:hAnsi="Traditional Arabic"/>
          <w:color w:val="auto"/>
          <w:sz w:val="32"/>
          <w:szCs w:val="32"/>
          <w:rtl/>
        </w:rPr>
      </w:pPr>
      <w:r w:rsidRPr="008900CA">
        <w:rPr>
          <w:rFonts w:ascii="QCF_BSML" w:hAnsi="QCF_BSML" w:cs="QCF_BSML"/>
          <w:color w:val="auto"/>
          <w:sz w:val="32"/>
          <w:szCs w:val="32"/>
          <w:rtl/>
          <w:lang w:eastAsia="en-US"/>
        </w:rPr>
        <w:t xml:space="preserve">ﭽ </w:t>
      </w:r>
      <w:r w:rsidRPr="008900CA">
        <w:rPr>
          <w:rFonts w:ascii="QCF_P304" w:hAnsi="QCF_P304" w:cs="QCF_P304"/>
          <w:color w:val="auto"/>
          <w:sz w:val="32"/>
          <w:szCs w:val="32"/>
          <w:rtl/>
          <w:lang w:eastAsia="en-US"/>
        </w:rPr>
        <w:t xml:space="preserve">ﯱ  ﯲ        ﯳ         ﯴ        ﯵ  ﯶ   ﯷ    ﯸ  ﯹ        ﯺ  ﯻ  ﯼ  ﯽ         ﯾ  ﯿ        ﰀ  ﰁ       ﰂ  ﰃ  </w:t>
      </w:r>
      <w:r w:rsidRPr="008900CA">
        <w:rPr>
          <w:rFonts w:ascii="QCF_BSML" w:hAnsi="QCF_BSML" w:cs="QCF_BSML"/>
          <w:color w:val="auto"/>
          <w:sz w:val="32"/>
          <w:szCs w:val="32"/>
          <w:rtl/>
          <w:lang w:eastAsia="en-US"/>
        </w:rPr>
        <w:t>ﭼ</w:t>
      </w:r>
      <w:r w:rsidRPr="008900CA">
        <w:rPr>
          <w:rFonts w:ascii="Arial" w:hAnsi="Arial" w:cs="Arial"/>
          <w:color w:val="auto"/>
          <w:sz w:val="32"/>
          <w:szCs w:val="32"/>
          <w:rtl/>
          <w:lang w:eastAsia="en-US"/>
        </w:rPr>
        <w:t xml:space="preserve"> </w:t>
      </w:r>
    </w:p>
    <w:p w:rsidR="008900CA" w:rsidRPr="008900CA" w:rsidRDefault="008900CA" w:rsidP="008900CA">
      <w:pPr>
        <w:ind w:firstLine="0"/>
        <w:rPr>
          <w:rFonts w:ascii="Traditional Arabic" w:hAnsi="Traditional Arabic"/>
          <w:rtl/>
        </w:rPr>
      </w:pPr>
      <w:r w:rsidRPr="008900CA">
        <w:rPr>
          <w:rFonts w:ascii="Traditional Arabic" w:hAnsi="Traditional Arabic"/>
          <w:rtl/>
        </w:rPr>
        <w:t xml:space="preserve">قوله تعالى: </w:t>
      </w:r>
      <w:r w:rsidRPr="008900CA">
        <w:rPr>
          <w:rFonts w:ascii="QCF_BSML" w:hAnsi="QCF_BSML" w:cs="QCF_BSML"/>
          <w:color w:val="auto"/>
          <w:sz w:val="32"/>
          <w:szCs w:val="32"/>
          <w:rtl/>
          <w:lang w:eastAsia="en-US"/>
        </w:rPr>
        <w:t xml:space="preserve">ﭽ </w:t>
      </w:r>
      <w:r w:rsidRPr="008900CA">
        <w:rPr>
          <w:rFonts w:ascii="QCF_P304" w:hAnsi="QCF_P304" w:cs="QCF_P304"/>
          <w:color w:val="auto"/>
          <w:sz w:val="32"/>
          <w:szCs w:val="32"/>
          <w:rtl/>
          <w:lang w:eastAsia="en-US"/>
        </w:rPr>
        <w:t>ﯱ  ﯲ        ﯳ         ﯴ        ﯵ  ﯶ   ﯷ</w:t>
      </w:r>
      <w:r w:rsidRPr="008900CA">
        <w:rPr>
          <w:rFonts w:ascii="QCF_BSML" w:hAnsi="QCF_BSML" w:cs="QCF_BSML"/>
          <w:color w:val="auto"/>
          <w:sz w:val="32"/>
          <w:szCs w:val="32"/>
          <w:rtl/>
          <w:lang w:eastAsia="en-US"/>
        </w:rPr>
        <w:t xml:space="preserve"> ﭼ</w:t>
      </w:r>
      <w:r w:rsidRPr="008900CA">
        <w:rPr>
          <w:rFonts w:ascii="QCF_P304" w:hAnsi="QCF_P304" w:cs="QCF_P304"/>
          <w:color w:val="auto"/>
          <w:sz w:val="32"/>
          <w:szCs w:val="32"/>
          <w:rtl/>
          <w:lang w:eastAsia="en-US"/>
        </w:rPr>
        <w:t xml:space="preserve">   </w:t>
      </w:r>
      <w:r w:rsidRPr="008900CA">
        <w:rPr>
          <w:rFonts w:ascii="QCF_P304" w:hAnsi="QCF_P304" w:cs="QCF_P304" w:hint="cs"/>
          <w:color w:val="auto"/>
          <w:sz w:val="32"/>
          <w:szCs w:val="32"/>
          <w:rtl/>
          <w:lang w:eastAsia="en-US"/>
        </w:rPr>
        <w:t xml:space="preserve">  </w:t>
      </w:r>
      <w:r w:rsidRPr="008900CA">
        <w:rPr>
          <w:rFonts w:ascii="QCF_P304" w:hAnsi="QCF_P304" w:cs="QCF_P304"/>
          <w:color w:val="auto"/>
          <w:sz w:val="32"/>
          <w:szCs w:val="32"/>
          <w:rtl/>
          <w:lang w:eastAsia="en-US"/>
        </w:rPr>
        <w:t xml:space="preserve"> </w:t>
      </w:r>
      <w:r w:rsidRPr="008900CA">
        <w:rPr>
          <w:rFonts w:ascii="Traditional Arabic" w:hAnsi="Traditional Arabic"/>
          <w:rtl/>
        </w:rPr>
        <w:t>سبب نزولها</w:t>
      </w:r>
      <w:r w:rsidRPr="008900CA">
        <w:rPr>
          <w:vertAlign w:val="superscript"/>
          <w:rtl/>
        </w:rPr>
        <w:t>(</w:t>
      </w:r>
      <w:r w:rsidRPr="008900CA">
        <w:rPr>
          <w:vertAlign w:val="superscript"/>
          <w:rtl/>
        </w:rPr>
        <w:footnoteReference w:id="2003"/>
      </w:r>
      <w:r w:rsidRPr="008900CA">
        <w:rPr>
          <w:vertAlign w:val="superscript"/>
          <w:rtl/>
        </w:rPr>
        <w:t>)</w:t>
      </w:r>
      <w:r w:rsidRPr="008900CA">
        <w:rPr>
          <w:rFonts w:ascii="Traditional Arabic" w:hAnsi="Traditional Arabic"/>
          <w:rtl/>
        </w:rPr>
        <w:t xml:space="preserve">أنه لما نزل قوله تعالى: </w:t>
      </w:r>
      <w:r w:rsidRPr="008900CA">
        <w:rPr>
          <w:rFonts w:ascii="QCF_BSML" w:hAnsi="QCF_BSML" w:cs="QCF_BSML"/>
          <w:sz w:val="32"/>
          <w:szCs w:val="32"/>
          <w:rtl/>
          <w:lang w:eastAsia="en-US"/>
        </w:rPr>
        <w:t xml:space="preserve">ﭽ </w:t>
      </w:r>
      <w:r w:rsidRPr="008900CA">
        <w:rPr>
          <w:rFonts w:ascii="QCF_P290" w:hAnsi="QCF_P290" w:cs="QCF_P290"/>
          <w:sz w:val="32"/>
          <w:szCs w:val="32"/>
          <w:rtl/>
          <w:lang w:eastAsia="en-US"/>
        </w:rPr>
        <w:t xml:space="preserve">ﯷ  ﯸ  ﯹ  ﯺ  ﯻ  ﯼ  </w:t>
      </w:r>
      <w:r w:rsidRPr="008900CA">
        <w:rPr>
          <w:rFonts w:ascii="QCF_BSML" w:hAnsi="QCF_BSML" w:cs="QCF_BSML"/>
          <w:sz w:val="32"/>
          <w:szCs w:val="32"/>
          <w:rtl/>
          <w:lang w:eastAsia="en-US"/>
        </w:rPr>
        <w:t>ﭼ</w:t>
      </w:r>
      <w:r w:rsidRPr="008900CA">
        <w:rPr>
          <w:rFonts w:ascii="Arial" w:hAnsi="Arial" w:cs="Arial"/>
          <w:sz w:val="32"/>
          <w:szCs w:val="32"/>
          <w:rtl/>
          <w:lang w:eastAsia="en-US"/>
        </w:rPr>
        <w:t xml:space="preserve"> </w:t>
      </w:r>
      <w:r w:rsidRPr="008900CA">
        <w:rPr>
          <w:rFonts w:ascii="Traditional Arabic" w:hAnsi="Traditional Arabic" w:hint="cs"/>
          <w:rtl/>
        </w:rPr>
        <w:t>[</w:t>
      </w:r>
      <w:r w:rsidRPr="008900CA">
        <w:rPr>
          <w:rFonts w:ascii="Traditional Arabic" w:hAnsi="Traditional Arabic"/>
          <w:sz w:val="28"/>
          <w:szCs w:val="28"/>
          <w:rtl/>
        </w:rPr>
        <w:t>الإسراء:85</w:t>
      </w:r>
      <w:r w:rsidRPr="008900CA">
        <w:rPr>
          <w:rFonts w:ascii="Traditional Arabic" w:hAnsi="Traditional Arabic" w:hint="cs"/>
          <w:sz w:val="28"/>
          <w:szCs w:val="28"/>
          <w:rtl/>
        </w:rPr>
        <w:t>]</w:t>
      </w:r>
      <w:r w:rsidRPr="008900CA">
        <w:rPr>
          <w:rFonts w:ascii="Traditional Arabic" w:hAnsi="Traditional Arabic" w:hint="cs"/>
          <w:rtl/>
        </w:rPr>
        <w:t xml:space="preserve"> </w:t>
      </w:r>
      <w:r w:rsidRPr="008900CA">
        <w:rPr>
          <w:rFonts w:ascii="Traditional Arabic" w:hAnsi="Traditional Arabic"/>
          <w:rtl/>
        </w:rPr>
        <w:t>قالت اليهود: كيف وقد أوتينا التوراة وفيها علم كل شيء؟ فنزلت هذه الآية، قاله ابن عباس</w:t>
      </w:r>
      <w:r w:rsidRPr="008900CA">
        <w:rPr>
          <w:vertAlign w:val="superscript"/>
          <w:rtl/>
        </w:rPr>
        <w:t>(</w:t>
      </w:r>
      <w:r w:rsidRPr="008900CA">
        <w:rPr>
          <w:vertAlign w:val="superscript"/>
          <w:rtl/>
        </w:rPr>
        <w:footnoteReference w:id="2004"/>
      </w:r>
      <w:r w:rsidRPr="008900CA">
        <w:rPr>
          <w:vertAlign w:val="superscript"/>
          <w:rtl/>
        </w:rPr>
        <w:t>)</w:t>
      </w:r>
      <w:r w:rsidRPr="008900CA">
        <w:rPr>
          <w:rFonts w:ascii="Traditional Arabic" w:hAnsi="Traditional Arabic"/>
          <w:rtl/>
        </w:rPr>
        <w:t>. ومعنى الآية: لو كان ماء البحر مد</w:t>
      </w:r>
      <w:r w:rsidR="008A472D">
        <w:rPr>
          <w:rFonts w:ascii="Traditional Arabic" w:hAnsi="Traditional Arabic" w:hint="cs"/>
          <w:rtl/>
        </w:rPr>
        <w:t>ا</w:t>
      </w:r>
      <w:r w:rsidRPr="008900CA">
        <w:rPr>
          <w:rFonts w:ascii="Traditional Arabic" w:hAnsi="Traditional Arabic"/>
          <w:rtl/>
        </w:rPr>
        <w:t>دا</w:t>
      </w:r>
      <w:r w:rsidR="008A472D">
        <w:rPr>
          <w:rFonts w:ascii="Traditional Arabic" w:hAnsi="Traditional Arabic" w:hint="cs"/>
          <w:rtl/>
        </w:rPr>
        <w:t>ً</w:t>
      </w:r>
      <w:r w:rsidRPr="008900CA">
        <w:rPr>
          <w:rFonts w:ascii="Traditional Arabic" w:hAnsi="Traditional Arabic"/>
          <w:rtl/>
        </w:rPr>
        <w:t xml:space="preserve"> يُكتَب به. قال مجاهد: لو كان البحر</w:t>
      </w:r>
      <w:r w:rsidRPr="008900CA">
        <w:rPr>
          <w:vertAlign w:val="superscript"/>
          <w:rtl/>
        </w:rPr>
        <w:t>(</w:t>
      </w:r>
      <w:r w:rsidRPr="008900CA">
        <w:rPr>
          <w:vertAlign w:val="superscript"/>
          <w:rtl/>
        </w:rPr>
        <w:footnoteReference w:id="2005"/>
      </w:r>
      <w:r w:rsidRPr="008900CA">
        <w:rPr>
          <w:vertAlign w:val="superscript"/>
          <w:rtl/>
        </w:rPr>
        <w:t>)</w:t>
      </w:r>
      <w:r w:rsidRPr="008900CA">
        <w:rPr>
          <w:rFonts w:ascii="Traditional Arabic" w:hAnsi="Traditional Arabic"/>
          <w:rtl/>
        </w:rPr>
        <w:t xml:space="preserve"> مداداً للقلم، والقلم يكتب</w:t>
      </w:r>
      <w:r w:rsidRPr="008900CA">
        <w:rPr>
          <w:vertAlign w:val="superscript"/>
          <w:rtl/>
        </w:rPr>
        <w:t>(</w:t>
      </w:r>
      <w:r w:rsidRPr="008900CA">
        <w:rPr>
          <w:vertAlign w:val="superscript"/>
          <w:rtl/>
        </w:rPr>
        <w:footnoteReference w:id="2006"/>
      </w:r>
      <w:r w:rsidRPr="008900CA">
        <w:rPr>
          <w:vertAlign w:val="superscript"/>
          <w:rtl/>
        </w:rPr>
        <w:t>)</w:t>
      </w:r>
      <w:r w:rsidRPr="008900CA">
        <w:rPr>
          <w:rFonts w:ascii="Traditional Arabic" w:hAnsi="Traditional Arabic"/>
          <w:rtl/>
        </w:rPr>
        <w:t>. وقال ابن الأنباري: سمي المداد مداداً لإِمداده الكاتب، وأصله من الزيادة ومجيء الشيء بعد الشيء</w:t>
      </w:r>
      <w:r w:rsidRPr="008900CA">
        <w:rPr>
          <w:vertAlign w:val="superscript"/>
          <w:rtl/>
        </w:rPr>
        <w:t>(</w:t>
      </w:r>
      <w:r w:rsidRPr="008900CA">
        <w:rPr>
          <w:vertAlign w:val="superscript"/>
          <w:rtl/>
        </w:rPr>
        <w:footnoteReference w:id="2007"/>
      </w:r>
      <w:r w:rsidRPr="008900CA">
        <w:rPr>
          <w:vertAlign w:val="superscript"/>
          <w:rtl/>
        </w:rPr>
        <w:t>)</w:t>
      </w:r>
      <w:r w:rsidRPr="008900CA">
        <w:rPr>
          <w:rFonts w:ascii="Traditional Arabic" w:hAnsi="Traditional Arabic"/>
          <w:rtl/>
        </w:rPr>
        <w:t>. وقرأ الحسن، والأعمش: «مدداً لكلمات ربِّي» بغير ألف</w:t>
      </w:r>
      <w:r w:rsidRPr="008900CA">
        <w:rPr>
          <w:vertAlign w:val="superscript"/>
          <w:rtl/>
        </w:rPr>
        <w:t>(</w:t>
      </w:r>
      <w:r w:rsidRPr="008900CA">
        <w:rPr>
          <w:vertAlign w:val="superscript"/>
          <w:rtl/>
        </w:rPr>
        <w:footnoteReference w:id="2008"/>
      </w:r>
      <w:r w:rsidRPr="008900CA">
        <w:rPr>
          <w:vertAlign w:val="superscript"/>
          <w:rtl/>
        </w:rPr>
        <w:t>)</w:t>
      </w:r>
      <w:r w:rsidRPr="008900CA">
        <w:rPr>
          <w:rFonts w:ascii="Traditional Arabic" w:hAnsi="Traditional Arabic"/>
          <w:rtl/>
        </w:rPr>
        <w:t>. قوله تعالى:</w:t>
      </w:r>
      <w:r w:rsidRPr="008900CA">
        <w:rPr>
          <w:rFonts w:ascii="Traditional Arabic" w:hAnsi="Traditional Arabic" w:hint="cs"/>
          <w:rtl/>
        </w:rPr>
        <w:t xml:space="preserve"> </w:t>
      </w:r>
      <w:r w:rsidRPr="008900CA">
        <w:rPr>
          <w:rFonts w:ascii="QCF_BSML" w:hAnsi="QCF_BSML" w:cs="QCF_BSML"/>
          <w:sz w:val="32"/>
          <w:szCs w:val="32"/>
          <w:rtl/>
          <w:lang w:eastAsia="en-US"/>
        </w:rPr>
        <w:t>ﭽ</w:t>
      </w:r>
      <w:r w:rsidRPr="008900CA">
        <w:rPr>
          <w:rFonts w:ascii="QCF_P304" w:hAnsi="QCF_P304" w:cs="QCF_P304"/>
          <w:color w:val="auto"/>
          <w:sz w:val="32"/>
          <w:szCs w:val="32"/>
          <w:rtl/>
          <w:lang w:eastAsia="en-US"/>
        </w:rPr>
        <w:t xml:space="preserve"> ﯺ  ﯻ  ﯼ  ﯽ         ﯾ</w:t>
      </w:r>
      <w:r w:rsidRPr="008900CA">
        <w:rPr>
          <w:rFonts w:ascii="QCF_BSML" w:hAnsi="QCF_BSML" w:cs="QCF_BSML"/>
          <w:color w:val="auto"/>
          <w:sz w:val="32"/>
          <w:szCs w:val="32"/>
          <w:rtl/>
          <w:lang w:eastAsia="en-US"/>
        </w:rPr>
        <w:t xml:space="preserve"> ﭼ</w:t>
      </w:r>
      <w:r w:rsidRPr="008900CA">
        <w:rPr>
          <w:rFonts w:ascii="QCF_P304" w:hAnsi="QCF_P304" w:cs="QCF_P304"/>
          <w:color w:val="auto"/>
          <w:sz w:val="32"/>
          <w:szCs w:val="32"/>
          <w:rtl/>
          <w:lang w:eastAsia="en-US"/>
        </w:rPr>
        <w:t xml:space="preserve">  </w:t>
      </w:r>
      <w:r w:rsidRPr="008900CA">
        <w:rPr>
          <w:rFonts w:ascii="Traditional Arabic" w:hAnsi="Traditional Arabic" w:hint="cs"/>
          <w:rtl/>
        </w:rPr>
        <w:t xml:space="preserve"> </w:t>
      </w:r>
      <w:r w:rsidRPr="008900CA">
        <w:rPr>
          <w:rFonts w:ascii="Traditional Arabic" w:hAnsi="Traditional Arabic"/>
          <w:rtl/>
        </w:rPr>
        <w:t>قرأ ابن كثير، ونافع، وأبو عمرو، وعاصم: «تنفد» بالتاء. وقرأ ابن عامر، وحمزة، والكسائي: «ينفد» بالياء</w:t>
      </w:r>
      <w:r w:rsidRPr="008900CA">
        <w:rPr>
          <w:vertAlign w:val="superscript"/>
          <w:rtl/>
        </w:rPr>
        <w:t>(</w:t>
      </w:r>
      <w:r w:rsidRPr="008900CA">
        <w:rPr>
          <w:vertAlign w:val="superscript"/>
          <w:rtl/>
        </w:rPr>
        <w:footnoteReference w:id="2009"/>
      </w:r>
      <w:r w:rsidRPr="008900CA">
        <w:rPr>
          <w:vertAlign w:val="superscript"/>
          <w:rtl/>
        </w:rPr>
        <w:t>)</w:t>
      </w:r>
      <w:r w:rsidRPr="008900CA">
        <w:rPr>
          <w:rFonts w:ascii="Traditional Arabic" w:hAnsi="Traditional Arabic"/>
          <w:rtl/>
        </w:rPr>
        <w:t>. قال أبو علي: التأنيث أحسن، لأن المُسنَد إِليه الفعلُ مؤنث، والتذكير حسن، لأن التأنيث ليس بحقيقي، وإِنما لم تنفد كلمات الله، لأن كلامه صفة من صفات ذاته، ولا يتطرق على صفاته النفاد</w:t>
      </w:r>
      <w:r w:rsidRPr="008900CA">
        <w:rPr>
          <w:vertAlign w:val="superscript"/>
          <w:rtl/>
        </w:rPr>
        <w:t>(</w:t>
      </w:r>
      <w:r w:rsidRPr="008900CA">
        <w:rPr>
          <w:vertAlign w:val="superscript"/>
          <w:rtl/>
        </w:rPr>
        <w:footnoteReference w:id="2010"/>
      </w:r>
      <w:r w:rsidRPr="008900CA">
        <w:rPr>
          <w:vertAlign w:val="superscript"/>
          <w:rtl/>
        </w:rPr>
        <w:t>)</w:t>
      </w:r>
      <w:r w:rsidRPr="008900CA">
        <w:rPr>
          <w:rFonts w:ascii="Traditional Arabic" w:hAnsi="Traditional Arabic"/>
          <w:rtl/>
        </w:rPr>
        <w:t>،</w:t>
      </w:r>
      <w:r w:rsidRPr="008900CA">
        <w:rPr>
          <w:rFonts w:ascii="QCF_BSML" w:hAnsi="QCF_BSML" w:cs="QCF_BSML"/>
          <w:sz w:val="32"/>
          <w:szCs w:val="32"/>
          <w:rtl/>
          <w:lang w:eastAsia="en-US"/>
        </w:rPr>
        <w:t>ﭽ</w:t>
      </w:r>
      <w:r w:rsidRPr="008900CA">
        <w:rPr>
          <w:rFonts w:ascii="QCF_P304" w:hAnsi="QCF_P304" w:cs="QCF_P304"/>
          <w:color w:val="auto"/>
          <w:sz w:val="32"/>
          <w:szCs w:val="32"/>
          <w:rtl/>
          <w:lang w:eastAsia="en-US"/>
        </w:rPr>
        <w:t xml:space="preserve"> ﯿ        ﰀ  ﰁ</w:t>
      </w:r>
      <w:r w:rsidRPr="008900CA">
        <w:rPr>
          <w:rFonts w:ascii="QCF_BSML" w:hAnsi="QCF_BSML" w:cs="QCF_BSML"/>
          <w:color w:val="auto"/>
          <w:sz w:val="32"/>
          <w:szCs w:val="32"/>
          <w:rtl/>
          <w:lang w:eastAsia="en-US"/>
        </w:rPr>
        <w:t xml:space="preserve"> ﭼ</w:t>
      </w:r>
      <w:r w:rsidRPr="008900CA">
        <w:rPr>
          <w:rFonts w:ascii="QCF_P304" w:hAnsi="QCF_P304" w:cs="QCF_P304"/>
          <w:color w:val="auto"/>
          <w:sz w:val="32"/>
          <w:szCs w:val="32"/>
          <w:rtl/>
          <w:lang w:eastAsia="en-US"/>
        </w:rPr>
        <w:t xml:space="preserve">         </w:t>
      </w:r>
      <w:r w:rsidRPr="008900CA">
        <w:rPr>
          <w:rFonts w:ascii="Traditional Arabic" w:hAnsi="Traditional Arabic"/>
          <w:rtl/>
        </w:rPr>
        <w:t>أي: بمثل البحر</w:t>
      </w:r>
      <w:r w:rsidRPr="008900CA">
        <w:rPr>
          <w:rFonts w:ascii="QCF_BSML" w:hAnsi="QCF_BSML" w:cs="QCF_BSML"/>
          <w:sz w:val="32"/>
          <w:szCs w:val="32"/>
          <w:rtl/>
          <w:lang w:eastAsia="en-US"/>
        </w:rPr>
        <w:t xml:space="preserve"> </w:t>
      </w:r>
      <w:r w:rsidRPr="008900CA">
        <w:rPr>
          <w:rFonts w:ascii="QCF_BSML" w:hAnsi="QCF_BSML" w:cs="QCF_BSML" w:hint="cs"/>
          <w:sz w:val="32"/>
          <w:szCs w:val="32"/>
          <w:rtl/>
          <w:lang w:eastAsia="en-US"/>
        </w:rPr>
        <w:t xml:space="preserve">    </w:t>
      </w:r>
      <w:r w:rsidRPr="008900CA">
        <w:rPr>
          <w:rFonts w:ascii="QCF_BSML" w:hAnsi="QCF_BSML" w:cs="QCF_BSML"/>
          <w:sz w:val="32"/>
          <w:szCs w:val="32"/>
          <w:rtl/>
          <w:lang w:eastAsia="en-US"/>
        </w:rPr>
        <w:t>ﭽ</w:t>
      </w:r>
      <w:r w:rsidRPr="008900CA">
        <w:rPr>
          <w:rFonts w:ascii="Traditional Arabic" w:hAnsi="Traditional Arabic"/>
          <w:rtl/>
        </w:rPr>
        <w:t xml:space="preserve"> </w:t>
      </w:r>
      <w:r w:rsidRPr="008900CA">
        <w:rPr>
          <w:rFonts w:ascii="QCF_P304" w:hAnsi="QCF_P304" w:cs="QCF_P304"/>
          <w:color w:val="auto"/>
          <w:sz w:val="32"/>
          <w:szCs w:val="32"/>
          <w:rtl/>
          <w:lang w:eastAsia="en-US"/>
        </w:rPr>
        <w:t>ﰂ</w:t>
      </w:r>
      <w:r w:rsidRPr="008900CA">
        <w:rPr>
          <w:rFonts w:ascii="Traditional Arabic" w:hAnsi="Traditional Arabic"/>
          <w:rtl/>
        </w:rPr>
        <w:t xml:space="preserve"> </w:t>
      </w:r>
      <w:r w:rsidRPr="008900CA">
        <w:rPr>
          <w:rFonts w:ascii="QCF_BSML" w:hAnsi="QCF_BSML" w:cs="QCF_BSML"/>
          <w:color w:val="auto"/>
          <w:sz w:val="32"/>
          <w:szCs w:val="32"/>
          <w:rtl/>
          <w:lang w:eastAsia="en-US"/>
        </w:rPr>
        <w:t>ﭼ</w:t>
      </w:r>
      <w:r w:rsidRPr="008900CA">
        <w:rPr>
          <w:rFonts w:ascii="Traditional Arabic" w:hAnsi="Traditional Arabic"/>
          <w:rtl/>
        </w:rPr>
        <w:t xml:space="preserve"> أي: زيادة والمدد: كل شيء زاد في شيء. فإن قيل: لم قال في أول الآية: </w:t>
      </w:r>
      <w:r w:rsidRPr="008900CA">
        <w:rPr>
          <w:rFonts w:ascii="QCF_BSML" w:hAnsi="QCF_BSML" w:cs="QCF_BSML"/>
          <w:sz w:val="32"/>
          <w:szCs w:val="32"/>
          <w:rtl/>
          <w:lang w:eastAsia="en-US"/>
        </w:rPr>
        <w:t>ﭽ</w:t>
      </w:r>
      <w:r w:rsidRPr="008900CA">
        <w:rPr>
          <w:rFonts w:ascii="QCF_P304" w:hAnsi="QCF_P304" w:cs="QCF_P304"/>
          <w:color w:val="auto"/>
          <w:sz w:val="32"/>
          <w:szCs w:val="32"/>
          <w:rtl/>
          <w:lang w:eastAsia="en-US"/>
        </w:rPr>
        <w:t xml:space="preserve"> ﯵ </w:t>
      </w:r>
      <w:r w:rsidRPr="008900CA">
        <w:rPr>
          <w:rFonts w:ascii="QCF_BSML" w:hAnsi="QCF_BSML" w:cs="QCF_BSML"/>
          <w:color w:val="auto"/>
          <w:sz w:val="32"/>
          <w:szCs w:val="32"/>
          <w:rtl/>
          <w:lang w:eastAsia="en-US"/>
        </w:rPr>
        <w:t>ﭼ</w:t>
      </w:r>
      <w:r w:rsidRPr="008900CA">
        <w:rPr>
          <w:rFonts w:ascii="Traditional Arabic" w:hAnsi="Traditional Arabic"/>
          <w:rtl/>
        </w:rPr>
        <w:t xml:space="preserve"> وفي آخرها: </w:t>
      </w:r>
      <w:r w:rsidRPr="008900CA">
        <w:rPr>
          <w:rFonts w:ascii="QCF_BSML" w:hAnsi="QCF_BSML" w:cs="QCF_BSML"/>
          <w:sz w:val="32"/>
          <w:szCs w:val="32"/>
          <w:rtl/>
          <w:lang w:eastAsia="en-US"/>
        </w:rPr>
        <w:t>ﭽ</w:t>
      </w:r>
      <w:r w:rsidRPr="008900CA">
        <w:rPr>
          <w:rFonts w:ascii="Traditional Arabic" w:hAnsi="Traditional Arabic"/>
          <w:rtl/>
        </w:rPr>
        <w:t xml:space="preserve"> </w:t>
      </w:r>
      <w:r w:rsidRPr="008900CA">
        <w:rPr>
          <w:rFonts w:ascii="QCF_P304" w:hAnsi="QCF_P304" w:cs="QCF_P304"/>
          <w:color w:val="auto"/>
          <w:sz w:val="32"/>
          <w:szCs w:val="32"/>
          <w:rtl/>
          <w:lang w:eastAsia="en-US"/>
        </w:rPr>
        <w:t>ﰂ</w:t>
      </w:r>
      <w:r w:rsidRPr="008900CA">
        <w:rPr>
          <w:rFonts w:ascii="Traditional Arabic" w:hAnsi="Traditional Arabic"/>
          <w:rtl/>
        </w:rPr>
        <w:t xml:space="preserve"> </w:t>
      </w:r>
      <w:r w:rsidRPr="008900CA">
        <w:rPr>
          <w:rFonts w:ascii="QCF_BSML" w:hAnsi="QCF_BSML" w:cs="QCF_BSML"/>
          <w:color w:val="auto"/>
          <w:sz w:val="32"/>
          <w:szCs w:val="32"/>
          <w:rtl/>
          <w:lang w:eastAsia="en-US"/>
        </w:rPr>
        <w:t>ﭼ</w:t>
      </w:r>
      <w:r w:rsidRPr="008900CA">
        <w:rPr>
          <w:rFonts w:ascii="Traditional Arabic" w:hAnsi="Traditional Arabic"/>
          <w:rtl/>
        </w:rPr>
        <w:t xml:space="preserve"> </w:t>
      </w:r>
      <w:r w:rsidRPr="008900CA">
        <w:rPr>
          <w:rFonts w:ascii="Traditional Arabic" w:hAnsi="Traditional Arabic" w:hint="cs"/>
          <w:rtl/>
        </w:rPr>
        <w:t xml:space="preserve"> </w:t>
      </w:r>
      <w:r w:rsidRPr="008900CA">
        <w:rPr>
          <w:rFonts w:ascii="Traditional Arabic" w:hAnsi="Traditional Arabic"/>
          <w:rtl/>
        </w:rPr>
        <w:t xml:space="preserve">وكلاهما بمعنى واحد، واشتقاقهما غير مختلف؟ فقد أجاب عنه ابن الأنباري فقال: لما كان الثاني </w:t>
      </w:r>
      <w:r w:rsidRPr="008900CA">
        <w:rPr>
          <w:rFonts w:ascii="Traditional Arabic" w:hAnsi="Traditional Arabic"/>
          <w:rtl/>
        </w:rPr>
        <w:lastRenderedPageBreak/>
        <w:t xml:space="preserve">آخر آية، وأواخر الآيات ها هنا أتت على الفعل، والفعل، كقوله تعالى: </w:t>
      </w:r>
      <w:r w:rsidRPr="008900CA">
        <w:rPr>
          <w:rFonts w:ascii="QCF_BSML" w:hAnsi="QCF_BSML" w:cs="QCF_BSML"/>
          <w:sz w:val="32"/>
          <w:szCs w:val="32"/>
          <w:rtl/>
          <w:lang w:eastAsia="en-US"/>
        </w:rPr>
        <w:t>ﭽ</w:t>
      </w:r>
      <w:r w:rsidRPr="008900CA">
        <w:rPr>
          <w:rFonts w:ascii="Traditional Arabic" w:hAnsi="Traditional Arabic"/>
          <w:rtl/>
        </w:rPr>
        <w:t>نُزُلاً</w:t>
      </w:r>
      <w:r w:rsidRPr="008900CA">
        <w:rPr>
          <w:rFonts w:ascii="QCF_BSML" w:hAnsi="QCF_BSML" w:cs="QCF_BSML"/>
          <w:color w:val="auto"/>
          <w:sz w:val="32"/>
          <w:szCs w:val="32"/>
          <w:rtl/>
          <w:lang w:eastAsia="en-US"/>
        </w:rPr>
        <w:t>ﭼ</w:t>
      </w:r>
      <w:r w:rsidRPr="008900CA">
        <w:rPr>
          <w:rFonts w:ascii="Traditional Arabic" w:hAnsi="Traditional Arabic"/>
          <w:rtl/>
        </w:rPr>
        <w:t xml:space="preserve"> </w:t>
      </w:r>
      <w:r w:rsidRPr="008900CA">
        <w:rPr>
          <w:rFonts w:ascii="QCF_BSML" w:hAnsi="QCF_BSML" w:cs="QCF_BSML"/>
          <w:sz w:val="32"/>
          <w:szCs w:val="32"/>
          <w:rtl/>
          <w:lang w:eastAsia="en-US"/>
        </w:rPr>
        <w:t>ﭽ</w:t>
      </w:r>
      <w:r w:rsidRPr="008900CA">
        <w:rPr>
          <w:rFonts w:ascii="QCF_P304" w:hAnsi="QCF_P304" w:cs="QCF_P304"/>
          <w:sz w:val="32"/>
          <w:szCs w:val="32"/>
          <w:rtl/>
          <w:lang w:eastAsia="en-US"/>
        </w:rPr>
        <w:t xml:space="preserve">ﯝ </w:t>
      </w:r>
      <w:r w:rsidRPr="008900CA">
        <w:rPr>
          <w:rFonts w:ascii="QCF_BSML" w:hAnsi="QCF_BSML" w:cs="QCF_BSML"/>
          <w:color w:val="auto"/>
          <w:sz w:val="32"/>
          <w:szCs w:val="32"/>
          <w:rtl/>
          <w:lang w:eastAsia="en-US"/>
        </w:rPr>
        <w:t>ﭼ</w:t>
      </w:r>
      <w:r w:rsidRPr="008900CA">
        <w:rPr>
          <w:rFonts w:ascii="QCF_P304" w:hAnsi="QCF_P304" w:cs="QCF_P304"/>
          <w:sz w:val="32"/>
          <w:szCs w:val="32"/>
          <w:rtl/>
          <w:lang w:eastAsia="en-US"/>
        </w:rPr>
        <w:t xml:space="preserve"> </w:t>
      </w:r>
      <w:r w:rsidRPr="008900CA">
        <w:rPr>
          <w:rFonts w:ascii="QCF_BSML" w:hAnsi="QCF_BSML" w:cs="QCF_BSML"/>
          <w:sz w:val="32"/>
          <w:szCs w:val="32"/>
          <w:rtl/>
          <w:lang w:eastAsia="en-US"/>
        </w:rPr>
        <w:t>ﭽ</w:t>
      </w:r>
      <w:r w:rsidRPr="008900CA">
        <w:rPr>
          <w:rFonts w:ascii="QCF_P304" w:hAnsi="QCF_P304" w:cs="QCF_P304"/>
          <w:sz w:val="32"/>
          <w:szCs w:val="32"/>
          <w:rtl/>
          <w:lang w:eastAsia="en-US"/>
        </w:rPr>
        <w:t xml:space="preserve">ﯯ </w:t>
      </w:r>
      <w:r w:rsidRPr="008900CA">
        <w:rPr>
          <w:rFonts w:ascii="QCF_BSML" w:hAnsi="QCF_BSML" w:cs="QCF_BSML"/>
          <w:color w:val="auto"/>
          <w:sz w:val="32"/>
          <w:szCs w:val="32"/>
          <w:rtl/>
          <w:lang w:eastAsia="en-US"/>
        </w:rPr>
        <w:t>ﭼ</w:t>
      </w:r>
      <w:r w:rsidRPr="008900CA">
        <w:rPr>
          <w:rFonts w:ascii="QCF_P304" w:hAnsi="QCF_P304" w:cs="QCF_P304"/>
          <w:sz w:val="32"/>
          <w:szCs w:val="32"/>
          <w:rtl/>
          <w:lang w:eastAsia="en-US"/>
        </w:rPr>
        <w:t xml:space="preserve">  </w:t>
      </w:r>
      <w:r w:rsidRPr="008900CA">
        <w:rPr>
          <w:rFonts w:ascii="Traditional Arabic" w:hAnsi="Traditional Arabic"/>
          <w:rtl/>
        </w:rPr>
        <w:t xml:space="preserve">كان قوله: </w:t>
      </w:r>
      <w:r w:rsidRPr="008900CA">
        <w:rPr>
          <w:rFonts w:ascii="QCF_BSML" w:hAnsi="QCF_BSML" w:cs="QCF_BSML"/>
          <w:sz w:val="32"/>
          <w:szCs w:val="32"/>
          <w:rtl/>
          <w:lang w:eastAsia="en-US"/>
        </w:rPr>
        <w:t>ﭽ</w:t>
      </w:r>
      <w:r w:rsidRPr="008900CA">
        <w:rPr>
          <w:rFonts w:ascii="QCF_P304" w:hAnsi="QCF_P304" w:cs="QCF_P304"/>
          <w:color w:val="auto"/>
          <w:sz w:val="32"/>
          <w:szCs w:val="32"/>
          <w:rtl/>
          <w:lang w:eastAsia="en-US"/>
        </w:rPr>
        <w:t>ﰂ</w:t>
      </w:r>
      <w:r w:rsidRPr="008900CA">
        <w:rPr>
          <w:rFonts w:ascii="QCF_BSML" w:hAnsi="QCF_BSML" w:cs="QCF_BSML"/>
          <w:color w:val="auto"/>
          <w:sz w:val="32"/>
          <w:szCs w:val="32"/>
          <w:rtl/>
          <w:lang w:eastAsia="en-US"/>
        </w:rPr>
        <w:t xml:space="preserve"> ﭼ</w:t>
      </w:r>
      <w:r w:rsidRPr="008900CA">
        <w:rPr>
          <w:rFonts w:ascii="Traditional Arabic" w:hAnsi="Traditional Arabic"/>
          <w:rtl/>
        </w:rPr>
        <w:t xml:space="preserve"> أشبه بهؤلاء الألفاظ من المداد، واتفاقُ المقاطع عند أواخر الآي، وانقضاء الآيات، وتمام السجع والنثر، أخف على الألسن، وأحلى موقعاً في الأسماع، فاختلفت اللفظتان لهذ</w:t>
      </w:r>
      <w:r w:rsidRPr="008900CA">
        <w:rPr>
          <w:rFonts w:ascii="Traditional Arabic" w:hAnsi="Traditional Arabic" w:hint="cs"/>
          <w:rtl/>
        </w:rPr>
        <w:t>ه [</w:t>
      </w:r>
      <w:r w:rsidRPr="008900CA">
        <w:rPr>
          <w:rFonts w:ascii="Traditional Arabic" w:hAnsi="Traditional Arabic"/>
          <w:rtl/>
        </w:rPr>
        <w:t>العلة</w:t>
      </w:r>
      <w:r w:rsidRPr="008900CA">
        <w:rPr>
          <w:rFonts w:ascii="Traditional Arabic" w:hAnsi="Traditional Arabic" w:hint="cs"/>
          <w:rtl/>
        </w:rPr>
        <w:t>]</w:t>
      </w:r>
      <w:r w:rsidRPr="008900CA">
        <w:rPr>
          <w:vertAlign w:val="superscript"/>
          <w:rtl/>
        </w:rPr>
        <w:t>(</w:t>
      </w:r>
      <w:r w:rsidRPr="008900CA">
        <w:rPr>
          <w:vertAlign w:val="superscript"/>
          <w:rtl/>
        </w:rPr>
        <w:footnoteReference w:id="2011"/>
      </w:r>
      <w:r w:rsidRPr="008900CA">
        <w:rPr>
          <w:vertAlign w:val="superscript"/>
          <w:rtl/>
        </w:rPr>
        <w:t>)(</w:t>
      </w:r>
      <w:r w:rsidRPr="008900CA">
        <w:rPr>
          <w:vertAlign w:val="superscript"/>
          <w:rtl/>
        </w:rPr>
        <w:footnoteReference w:id="2012"/>
      </w:r>
      <w:r w:rsidRPr="008900CA">
        <w:rPr>
          <w:vertAlign w:val="superscript"/>
          <w:rtl/>
        </w:rPr>
        <w:t>)</w:t>
      </w:r>
      <w:r w:rsidRPr="008900CA">
        <w:rPr>
          <w:rFonts w:ascii="Traditional Arabic" w:hAnsi="Traditional Arabic"/>
          <w:rtl/>
        </w:rPr>
        <w:t>. وقد قرأ ابن عباس، وسعيد بن جبير، ومجاهد، وأبو رجاء، وقتادة، وابن محيصن: «ولو جئنا بمثله مد</w:t>
      </w:r>
      <w:r w:rsidRPr="008900CA">
        <w:rPr>
          <w:rFonts w:ascii="Traditional Arabic" w:hAnsi="Traditional Arabic" w:hint="cs"/>
          <w:rtl/>
        </w:rPr>
        <w:t>ا</w:t>
      </w:r>
      <w:r w:rsidRPr="008900CA">
        <w:rPr>
          <w:rFonts w:ascii="Traditional Arabic" w:hAnsi="Traditional Arabic"/>
          <w:rtl/>
        </w:rPr>
        <w:t>دا» فحملوها على الأولى، ولم ينظروا إِلى المقاطع</w:t>
      </w:r>
      <w:r w:rsidRPr="008900CA">
        <w:rPr>
          <w:vertAlign w:val="superscript"/>
          <w:rtl/>
        </w:rPr>
        <w:t>(</w:t>
      </w:r>
      <w:r w:rsidRPr="008900CA">
        <w:rPr>
          <w:vertAlign w:val="superscript"/>
          <w:rtl/>
        </w:rPr>
        <w:footnoteReference w:id="2013"/>
      </w:r>
      <w:r w:rsidRPr="008900CA">
        <w:rPr>
          <w:vertAlign w:val="superscript"/>
          <w:rtl/>
        </w:rPr>
        <w:t>)</w:t>
      </w:r>
      <w:r w:rsidRPr="008900CA">
        <w:rPr>
          <w:rFonts w:ascii="Traditional Arabic" w:hAnsi="Traditional Arabic" w:hint="cs"/>
          <w:rtl/>
        </w:rPr>
        <w:t>.</w:t>
      </w:r>
      <w:r w:rsidRPr="008900CA">
        <w:rPr>
          <w:rFonts w:ascii="Traditional Arabic" w:hAnsi="Traditional Arabic"/>
          <w:rtl/>
        </w:rPr>
        <w:t xml:space="preserve"> وقراءة الأوّلين أبين حجّة، وأوضح منهاجا.</w:t>
      </w:r>
      <w:r w:rsidRPr="008900CA">
        <w:rPr>
          <w:rFonts w:ascii="QCF_P304" w:hAnsi="QCF_P304" w:cs="QCF_P304"/>
          <w:color w:val="auto"/>
          <w:sz w:val="32"/>
          <w:szCs w:val="32"/>
          <w:rtl/>
          <w:lang w:eastAsia="en-US"/>
        </w:rPr>
        <w:t xml:space="preserve">    </w:t>
      </w:r>
    </w:p>
    <w:p w:rsidR="008900CA" w:rsidRPr="008900CA" w:rsidRDefault="008900CA" w:rsidP="008900CA">
      <w:pPr>
        <w:ind w:firstLine="0"/>
        <w:rPr>
          <w:rFonts w:ascii="Traditional Arabic" w:hAnsi="Traditional Arabic"/>
          <w:rtl/>
        </w:rPr>
      </w:pPr>
    </w:p>
    <w:p w:rsidR="008900CA" w:rsidRPr="008900CA" w:rsidRDefault="008900CA" w:rsidP="00433168">
      <w:pPr>
        <w:ind w:firstLine="0"/>
        <w:rPr>
          <w:rFonts w:ascii="Traditional Arabic" w:hAnsi="Traditional Arabic"/>
        </w:rPr>
      </w:pPr>
      <w:r w:rsidRPr="008900CA">
        <w:rPr>
          <w:rFonts w:ascii="QCF_BSML" w:hAnsi="QCF_BSML" w:cs="QCF_BSML"/>
          <w:color w:val="auto"/>
          <w:sz w:val="32"/>
          <w:szCs w:val="32"/>
          <w:rtl/>
          <w:lang w:eastAsia="en-US"/>
        </w:rPr>
        <w:t xml:space="preserve">ﭽ </w:t>
      </w:r>
      <w:r w:rsidRPr="008900CA">
        <w:rPr>
          <w:rFonts w:ascii="QCF_P304" w:hAnsi="QCF_P304" w:cs="QCF_P304"/>
          <w:color w:val="auto"/>
          <w:sz w:val="32"/>
          <w:szCs w:val="32"/>
          <w:rtl/>
          <w:lang w:eastAsia="en-US"/>
        </w:rPr>
        <w:t xml:space="preserve">ﰄ   ﰅ      ﰆ  ﰇ      ﰈ  ﰉ  ﰊ  ﰋ  ﰌ    ﰍ      ﰎﰏ  ﰐ  ﰑ            ﰒ    ﰓ   ﰔ  ﰕ    ﰖ  ﰗ  ﰘ  ﰙ  ﰚ    ﰛ  ﰜ  ﰝ   </w:t>
      </w:r>
      <w:r w:rsidRPr="008900CA">
        <w:rPr>
          <w:rFonts w:ascii="QCF_BSML" w:hAnsi="QCF_BSML" w:cs="QCF_BSML"/>
          <w:color w:val="auto"/>
          <w:sz w:val="32"/>
          <w:szCs w:val="32"/>
          <w:rtl/>
          <w:lang w:eastAsia="en-US"/>
        </w:rPr>
        <w:t>ﭼ</w:t>
      </w:r>
      <w:r w:rsidR="00433168">
        <w:rPr>
          <w:rFonts w:ascii="Traditional Arabic" w:hAnsi="Traditional Arabic" w:hint="cs"/>
          <w:rtl/>
        </w:rPr>
        <w:t xml:space="preserve"> </w:t>
      </w:r>
      <w:r w:rsidRPr="008900CA">
        <w:rPr>
          <w:rFonts w:ascii="Traditional Arabic" w:hAnsi="Traditional Arabic"/>
          <w:rtl/>
        </w:rPr>
        <w:t xml:space="preserve">قوله تعالى: </w:t>
      </w:r>
      <w:r w:rsidRPr="008900CA">
        <w:rPr>
          <w:rFonts w:ascii="QCF_BSML" w:hAnsi="QCF_BSML" w:cs="QCF_BSML"/>
          <w:color w:val="auto"/>
          <w:sz w:val="32"/>
          <w:szCs w:val="32"/>
          <w:rtl/>
          <w:lang w:eastAsia="en-US"/>
        </w:rPr>
        <w:t xml:space="preserve">ﭽ </w:t>
      </w:r>
      <w:r w:rsidRPr="008900CA">
        <w:rPr>
          <w:rFonts w:ascii="QCF_P304" w:hAnsi="QCF_P304" w:cs="QCF_P304"/>
          <w:color w:val="auto"/>
          <w:sz w:val="32"/>
          <w:szCs w:val="32"/>
          <w:rtl/>
          <w:lang w:eastAsia="en-US"/>
        </w:rPr>
        <w:t>ﰄ   ﰅ      ﰆ  ﰇ      ﰈ</w:t>
      </w:r>
      <w:r w:rsidRPr="008900CA">
        <w:rPr>
          <w:rFonts w:ascii="QCF_BSML" w:hAnsi="QCF_BSML" w:cs="QCF_BSML"/>
          <w:color w:val="auto"/>
          <w:sz w:val="32"/>
          <w:szCs w:val="32"/>
          <w:rtl/>
          <w:lang w:eastAsia="en-US"/>
        </w:rPr>
        <w:t xml:space="preserve"> ﭼ</w:t>
      </w:r>
      <w:r w:rsidRPr="008900CA">
        <w:rPr>
          <w:rFonts w:ascii="QCF_BSML" w:hAnsi="QCF_BSML" w:cs="QCF_BSML" w:hint="cs"/>
          <w:color w:val="auto"/>
          <w:sz w:val="32"/>
          <w:szCs w:val="32"/>
          <w:rtl/>
          <w:lang w:eastAsia="en-US"/>
        </w:rPr>
        <w:t xml:space="preserve">      </w:t>
      </w:r>
      <w:r w:rsidRPr="008900CA">
        <w:rPr>
          <w:rFonts w:ascii="QCF_P304" w:hAnsi="QCF_P304" w:cs="QCF_P304"/>
          <w:color w:val="auto"/>
          <w:sz w:val="32"/>
          <w:szCs w:val="32"/>
          <w:rtl/>
          <w:lang w:eastAsia="en-US"/>
        </w:rPr>
        <w:t xml:space="preserve">  </w:t>
      </w:r>
      <w:r w:rsidRPr="008900CA">
        <w:rPr>
          <w:rFonts w:ascii="Traditional Arabic" w:hAnsi="Traditional Arabic"/>
          <w:rtl/>
        </w:rPr>
        <w:t xml:space="preserve">قال ابن عباس: علَّم الله تعالى رسوله </w:t>
      </w:r>
      <w:r w:rsidRPr="008900CA">
        <w:rPr>
          <w:rFonts w:ascii="Traditional Arabic" w:hAnsi="Traditional Arabic"/>
          <w:sz w:val="32"/>
          <w:szCs w:val="32"/>
          <w:rtl/>
        </w:rPr>
        <w:t>[</w:t>
      </w:r>
      <w:r w:rsidRPr="008900CA">
        <w:rPr>
          <w:rFonts w:ascii="Traditional Arabic" w:hAnsi="Traditional Arabic" w:hint="cs"/>
          <w:sz w:val="32"/>
          <w:szCs w:val="32"/>
          <w:rtl/>
        </w:rPr>
        <w:t>156</w:t>
      </w:r>
      <w:r w:rsidRPr="008900CA">
        <w:rPr>
          <w:rFonts w:ascii="Traditional Arabic" w:hAnsi="Traditional Arabic"/>
          <w:sz w:val="32"/>
          <w:szCs w:val="32"/>
          <w:rtl/>
        </w:rPr>
        <w:t>]</w:t>
      </w:r>
      <w:r w:rsidRPr="008900CA">
        <w:rPr>
          <w:rFonts w:ascii="Traditional Arabic" w:hAnsi="Traditional Arabic"/>
          <w:rtl/>
        </w:rPr>
        <w:t xml:space="preserve"> التّواضع لئلّا يزهى</w:t>
      </w:r>
      <w:r w:rsidRPr="008900CA">
        <w:rPr>
          <w:rFonts w:ascii="Traditional Arabic" w:hAnsi="Traditional Arabic" w:hint="cs"/>
          <w:rtl/>
        </w:rPr>
        <w:t xml:space="preserve"> </w:t>
      </w:r>
      <w:r w:rsidRPr="008900CA">
        <w:rPr>
          <w:rFonts w:ascii="Traditional Arabic" w:hAnsi="Traditional Arabic"/>
          <w:rtl/>
        </w:rPr>
        <w:t>على خلقه، فأمره أن يُقِرَّ على نفسه بأنه آدمي كغيره، إِلا أنه أُكرم بالوحي</w:t>
      </w:r>
      <w:r w:rsidRPr="008900CA">
        <w:rPr>
          <w:vertAlign w:val="superscript"/>
          <w:rtl/>
        </w:rPr>
        <w:t>(</w:t>
      </w:r>
      <w:r w:rsidRPr="008900CA">
        <w:rPr>
          <w:vertAlign w:val="superscript"/>
          <w:rtl/>
        </w:rPr>
        <w:footnoteReference w:id="2014"/>
      </w:r>
      <w:r w:rsidRPr="008900CA">
        <w:rPr>
          <w:vertAlign w:val="superscript"/>
          <w:rtl/>
        </w:rPr>
        <w:t>)</w:t>
      </w:r>
      <w:r w:rsidRPr="008900CA">
        <w:rPr>
          <w:rFonts w:ascii="Traditional Arabic" w:hAnsi="Traditional Arabic"/>
          <w:rtl/>
        </w:rPr>
        <w:t xml:space="preserve">. قوله تعالى: </w:t>
      </w:r>
      <w:r w:rsidRPr="008900CA">
        <w:rPr>
          <w:rFonts w:ascii="QCF_BSML" w:hAnsi="QCF_BSML" w:cs="QCF_BSML"/>
          <w:sz w:val="32"/>
          <w:szCs w:val="32"/>
          <w:rtl/>
          <w:lang w:eastAsia="en-US"/>
        </w:rPr>
        <w:t>ﭽ</w:t>
      </w:r>
      <w:r w:rsidRPr="008900CA">
        <w:rPr>
          <w:rFonts w:ascii="QCF_P304" w:hAnsi="QCF_P304" w:cs="QCF_P304"/>
          <w:color w:val="auto"/>
          <w:sz w:val="32"/>
          <w:szCs w:val="32"/>
          <w:rtl/>
          <w:lang w:eastAsia="en-US"/>
        </w:rPr>
        <w:t>ﰐ  ﰑ    ﰒ    ﰓ   ﰔ</w:t>
      </w:r>
      <w:r w:rsidRPr="008900CA">
        <w:rPr>
          <w:rFonts w:ascii="QCF_BSML" w:hAnsi="QCF_BSML" w:cs="QCF_BSML"/>
          <w:color w:val="auto"/>
          <w:sz w:val="32"/>
          <w:szCs w:val="32"/>
          <w:rtl/>
          <w:lang w:eastAsia="en-US"/>
        </w:rPr>
        <w:t xml:space="preserve"> ﭼ</w:t>
      </w:r>
      <w:r w:rsidRPr="008900CA">
        <w:rPr>
          <w:rFonts w:ascii="QCF_P304" w:hAnsi="QCF_P304" w:cs="QCF_P304"/>
          <w:color w:val="auto"/>
          <w:sz w:val="32"/>
          <w:szCs w:val="32"/>
          <w:rtl/>
          <w:lang w:eastAsia="en-US"/>
        </w:rPr>
        <w:t xml:space="preserve">  </w:t>
      </w:r>
      <w:r w:rsidRPr="008900CA">
        <w:rPr>
          <w:rFonts w:ascii="Traditional Arabic" w:hAnsi="Traditional Arabic"/>
          <w:rtl/>
        </w:rPr>
        <w:t>سبب نزولها أن جندب بن زهير العامريّ</w:t>
      </w:r>
      <w:r w:rsidRPr="008900CA">
        <w:rPr>
          <w:vertAlign w:val="superscript"/>
          <w:rtl/>
        </w:rPr>
        <w:t>(</w:t>
      </w:r>
      <w:r w:rsidRPr="008900CA">
        <w:rPr>
          <w:vertAlign w:val="superscript"/>
          <w:rtl/>
        </w:rPr>
        <w:footnoteReference w:id="2015"/>
      </w:r>
      <w:r w:rsidRPr="008900CA">
        <w:rPr>
          <w:vertAlign w:val="superscript"/>
          <w:rtl/>
        </w:rPr>
        <w:t>)</w:t>
      </w:r>
      <w:r w:rsidRPr="008900CA">
        <w:rPr>
          <w:rFonts w:ascii="Traditional Arabic" w:hAnsi="Traditional Arabic"/>
          <w:rtl/>
        </w:rPr>
        <w:t xml:space="preserve"> قال لرسول الله </w:t>
      </w:r>
      <w:r w:rsidRPr="008900CA">
        <w:rPr>
          <w:rFonts w:ascii="Traditional Arabic" w:hAnsi="Traditional Arabic"/>
        </w:rPr>
        <w:sym w:font="AGA Arabesque" w:char="F072"/>
      </w:r>
      <w:r w:rsidRPr="008900CA">
        <w:rPr>
          <w:rFonts w:ascii="Traditional Arabic" w:hAnsi="Traditional Arabic"/>
          <w:rtl/>
        </w:rPr>
        <w:t>:</w:t>
      </w:r>
      <w:r w:rsidRPr="008900CA">
        <w:rPr>
          <w:rFonts w:ascii="Traditional Arabic" w:hAnsi="Traditional Arabic" w:hint="cs"/>
          <w:rtl/>
        </w:rPr>
        <w:t xml:space="preserve"> </w:t>
      </w:r>
      <w:r w:rsidRPr="008900CA">
        <w:rPr>
          <w:rFonts w:ascii="Traditional Arabic" w:hAnsi="Traditional Arabic"/>
          <w:rtl/>
        </w:rPr>
        <w:t xml:space="preserve">إِني أعمل العمل لله تعالى فاذا اطُّلع عليه سرّني، فقال رسول الله </w:t>
      </w:r>
      <w:r w:rsidRPr="008900CA">
        <w:rPr>
          <w:rFonts w:ascii="Traditional Arabic" w:hAnsi="Traditional Arabic"/>
        </w:rPr>
        <w:sym w:font="AGA Arabesque" w:char="F072"/>
      </w:r>
      <w:r w:rsidRPr="008900CA">
        <w:rPr>
          <w:rFonts w:ascii="Traditional Arabic" w:hAnsi="Traditional Arabic"/>
          <w:rtl/>
        </w:rPr>
        <w:t>: «إِن الله طَيِّب لا يقبل إِلا الطيِّب، ولا يقبل ما روئي فيه» فنزلت فيه هذه الآية، قاله ابن عباس</w:t>
      </w:r>
      <w:r w:rsidRPr="008900CA">
        <w:rPr>
          <w:vertAlign w:val="superscript"/>
          <w:rtl/>
        </w:rPr>
        <w:t>(</w:t>
      </w:r>
      <w:r w:rsidRPr="008900CA">
        <w:rPr>
          <w:vertAlign w:val="superscript"/>
          <w:rtl/>
        </w:rPr>
        <w:footnoteReference w:id="2016"/>
      </w:r>
      <w:r w:rsidRPr="008900CA">
        <w:rPr>
          <w:vertAlign w:val="superscript"/>
          <w:rtl/>
        </w:rPr>
        <w:t>)</w:t>
      </w:r>
      <w:r w:rsidRPr="008900CA">
        <w:rPr>
          <w:rFonts w:ascii="Traditional Arabic" w:hAnsi="Traditional Arabic"/>
          <w:rtl/>
        </w:rPr>
        <w:t>.</w:t>
      </w:r>
      <w:r w:rsidRPr="008900CA">
        <w:rPr>
          <w:rFonts w:ascii="Traditional Arabic" w:hAnsi="Traditional Arabic" w:hint="cs"/>
          <w:rtl/>
        </w:rPr>
        <w:t xml:space="preserve"> </w:t>
      </w:r>
      <w:r w:rsidRPr="008900CA">
        <w:rPr>
          <w:rFonts w:ascii="Traditional Arabic" w:hAnsi="Traditional Arabic"/>
          <w:rtl/>
        </w:rPr>
        <w:t xml:space="preserve">وقال </w:t>
      </w:r>
      <w:r w:rsidRPr="008900CA">
        <w:rPr>
          <w:rFonts w:ascii="Traditional Arabic" w:hAnsi="Traditional Arabic" w:hint="cs"/>
          <w:rtl/>
        </w:rPr>
        <w:t>طاوو</w:t>
      </w:r>
      <w:r w:rsidRPr="008900CA">
        <w:rPr>
          <w:rFonts w:ascii="Traditional Arabic" w:hAnsi="Traditional Arabic" w:hint="eastAsia"/>
          <w:rtl/>
        </w:rPr>
        <w:t>س</w:t>
      </w:r>
      <w:r w:rsidRPr="008900CA">
        <w:rPr>
          <w:rFonts w:ascii="Traditional Arabic" w:hAnsi="Traditional Arabic"/>
          <w:rtl/>
        </w:rPr>
        <w:t xml:space="preserve">: جاء رجل إلى رسول الله </w:t>
      </w:r>
      <w:r w:rsidRPr="008900CA">
        <w:rPr>
          <w:rFonts w:ascii="Traditional Arabic" w:hAnsi="Traditional Arabic"/>
        </w:rPr>
        <w:sym w:font="AGA Arabesque" w:char="F072"/>
      </w:r>
      <w:r w:rsidRPr="008900CA">
        <w:rPr>
          <w:rFonts w:ascii="Traditional Arabic" w:hAnsi="Traditional Arabic" w:hint="cs"/>
          <w:rtl/>
        </w:rPr>
        <w:t xml:space="preserve"> </w:t>
      </w:r>
      <w:r w:rsidRPr="008900CA">
        <w:rPr>
          <w:rFonts w:ascii="Traditional Arabic" w:hAnsi="Traditional Arabic"/>
          <w:rtl/>
        </w:rPr>
        <w:t xml:space="preserve">فقال: إِني أُحب الجهاد في سبيل الله </w:t>
      </w:r>
      <w:r w:rsidRPr="008900CA">
        <w:rPr>
          <w:rFonts w:ascii="Traditional Arabic" w:hAnsi="Traditional Arabic"/>
          <w:rtl/>
        </w:rPr>
        <w:lastRenderedPageBreak/>
        <w:t>وأُحب أن يُرى مكاني، فنزلت هذه الآية</w:t>
      </w:r>
      <w:r w:rsidRPr="008900CA">
        <w:rPr>
          <w:vertAlign w:val="superscript"/>
          <w:rtl/>
        </w:rPr>
        <w:t>(</w:t>
      </w:r>
      <w:r w:rsidRPr="008900CA">
        <w:rPr>
          <w:vertAlign w:val="superscript"/>
          <w:rtl/>
        </w:rPr>
        <w:footnoteReference w:id="2017"/>
      </w:r>
      <w:r w:rsidRPr="008900CA">
        <w:rPr>
          <w:vertAlign w:val="superscript"/>
          <w:rtl/>
        </w:rPr>
        <w:t>)</w:t>
      </w:r>
      <w:r w:rsidRPr="008900CA">
        <w:rPr>
          <w:rFonts w:ascii="Traditional Arabic" w:hAnsi="Traditional Arabic"/>
          <w:rtl/>
        </w:rPr>
        <w:t>.</w:t>
      </w:r>
      <w:r w:rsidRPr="008900CA">
        <w:rPr>
          <w:rFonts w:ascii="Traditional Arabic" w:hAnsi="Traditional Arabic" w:hint="cs"/>
          <w:rtl/>
        </w:rPr>
        <w:t xml:space="preserve"> </w:t>
      </w:r>
      <w:r w:rsidRPr="008900CA">
        <w:rPr>
          <w:rFonts w:ascii="Traditional Arabic" w:hAnsi="Traditional Arabic"/>
          <w:rtl/>
        </w:rPr>
        <w:t xml:space="preserve">وقال مجاهد: جاء رجل إِلى رسول الله </w:t>
      </w:r>
      <w:r w:rsidRPr="008900CA">
        <w:rPr>
          <w:rFonts w:ascii="Traditional Arabic" w:hAnsi="Traditional Arabic"/>
        </w:rPr>
        <w:sym w:font="AGA Arabesque" w:char="F072"/>
      </w:r>
      <w:r w:rsidRPr="008900CA">
        <w:rPr>
          <w:rFonts w:ascii="Traditional Arabic" w:hAnsi="Traditional Arabic"/>
          <w:rtl/>
        </w:rPr>
        <w:t xml:space="preserve">، فقال: إِني أتصدق، وأصل الرحم، ولا أصنع ذلك إِلا لله تعالى، فيُذكَر ذلك مِنِّي وأُحمَد عليه فيسرُّني ذلك وأُعجَب به، فسكت رسول الله </w:t>
      </w:r>
      <w:r w:rsidRPr="008900CA">
        <w:rPr>
          <w:rFonts w:ascii="Traditional Arabic" w:hAnsi="Traditional Arabic"/>
        </w:rPr>
        <w:sym w:font="AGA Arabesque" w:char="F072"/>
      </w:r>
      <w:r w:rsidRPr="008900CA">
        <w:rPr>
          <w:rFonts w:ascii="Traditional Arabic" w:hAnsi="Traditional Arabic"/>
          <w:rtl/>
        </w:rPr>
        <w:t>، فنزلت هذه الآية</w:t>
      </w:r>
      <w:r w:rsidRPr="008900CA">
        <w:rPr>
          <w:vertAlign w:val="superscript"/>
          <w:rtl/>
        </w:rPr>
        <w:t>(</w:t>
      </w:r>
      <w:r w:rsidRPr="008900CA">
        <w:rPr>
          <w:vertAlign w:val="superscript"/>
          <w:rtl/>
        </w:rPr>
        <w:footnoteReference w:id="2018"/>
      </w:r>
      <w:r w:rsidRPr="008900CA">
        <w:rPr>
          <w:vertAlign w:val="superscript"/>
          <w:rtl/>
        </w:rPr>
        <w:t>)</w:t>
      </w:r>
      <w:r w:rsidRPr="008900CA">
        <w:rPr>
          <w:rFonts w:ascii="Traditional Arabic" w:hAnsi="Traditional Arabic"/>
          <w:rtl/>
        </w:rPr>
        <w:t>.</w:t>
      </w:r>
      <w:r w:rsidRPr="008900CA">
        <w:rPr>
          <w:rFonts w:ascii="Traditional Arabic" w:hAnsi="Traditional Arabic" w:hint="cs"/>
          <w:rtl/>
        </w:rPr>
        <w:t xml:space="preserve"> </w:t>
      </w:r>
      <w:r w:rsidRPr="008900CA">
        <w:rPr>
          <w:rFonts w:ascii="Traditional Arabic" w:hAnsi="Traditional Arabic"/>
          <w:rtl/>
        </w:rPr>
        <w:t xml:space="preserve">وفي قوله: </w:t>
      </w:r>
      <w:r w:rsidRPr="008900CA">
        <w:rPr>
          <w:rFonts w:ascii="QCF_BSML" w:hAnsi="QCF_BSML" w:cs="QCF_BSML"/>
          <w:sz w:val="32"/>
          <w:szCs w:val="32"/>
          <w:rtl/>
          <w:lang w:eastAsia="en-US"/>
        </w:rPr>
        <w:t>ﭽ</w:t>
      </w:r>
      <w:r w:rsidRPr="008900CA">
        <w:rPr>
          <w:rFonts w:ascii="QCF_P304" w:hAnsi="QCF_P304" w:cs="QCF_P304"/>
          <w:color w:val="auto"/>
          <w:sz w:val="32"/>
          <w:szCs w:val="32"/>
          <w:rtl/>
          <w:lang w:eastAsia="en-US"/>
        </w:rPr>
        <w:t xml:space="preserve"> ﰐ  ﰑ </w:t>
      </w:r>
      <w:r w:rsidRPr="008900CA">
        <w:rPr>
          <w:rFonts w:ascii="QCF_P304" w:hAnsi="QCF_P304" w:cs="QCF_P304" w:hint="cs"/>
          <w:color w:val="auto"/>
          <w:sz w:val="32"/>
          <w:szCs w:val="32"/>
          <w:rtl/>
          <w:lang w:eastAsia="en-US"/>
        </w:rPr>
        <w:t xml:space="preserve"> </w:t>
      </w:r>
      <w:r w:rsidRPr="008900CA">
        <w:rPr>
          <w:rFonts w:ascii="QCF_P304" w:hAnsi="QCF_P304" w:cs="QCF_P304"/>
          <w:color w:val="auto"/>
          <w:sz w:val="32"/>
          <w:szCs w:val="32"/>
          <w:rtl/>
          <w:lang w:eastAsia="en-US"/>
        </w:rPr>
        <w:t xml:space="preserve">ﰒ </w:t>
      </w:r>
      <w:r w:rsidRPr="008900CA">
        <w:rPr>
          <w:rFonts w:ascii="QCF_BSML" w:hAnsi="QCF_BSML" w:cs="QCF_BSML"/>
          <w:color w:val="auto"/>
          <w:sz w:val="32"/>
          <w:szCs w:val="32"/>
          <w:rtl/>
          <w:lang w:eastAsia="en-US"/>
        </w:rPr>
        <w:t>ﭼ</w:t>
      </w:r>
      <w:r w:rsidRPr="008900CA">
        <w:rPr>
          <w:rFonts w:ascii="QCF_P304" w:hAnsi="QCF_P304" w:cs="QCF_P304"/>
          <w:color w:val="auto"/>
          <w:sz w:val="32"/>
          <w:szCs w:val="32"/>
          <w:rtl/>
          <w:lang w:eastAsia="en-US"/>
        </w:rPr>
        <w:t xml:space="preserve">   </w:t>
      </w:r>
      <w:r w:rsidRPr="008900CA">
        <w:rPr>
          <w:rFonts w:ascii="Traditional Arabic" w:hAnsi="Traditional Arabic"/>
          <w:rtl/>
        </w:rPr>
        <w:t>قولان: أحدهما: يخاف، قاله ابن قتيبة</w:t>
      </w:r>
      <w:r w:rsidRPr="008900CA">
        <w:rPr>
          <w:vertAlign w:val="superscript"/>
          <w:rtl/>
        </w:rPr>
        <w:t>(</w:t>
      </w:r>
      <w:r w:rsidRPr="008900CA">
        <w:rPr>
          <w:vertAlign w:val="superscript"/>
          <w:rtl/>
        </w:rPr>
        <w:footnoteReference w:id="2019"/>
      </w:r>
      <w:r w:rsidRPr="008900CA">
        <w:rPr>
          <w:vertAlign w:val="superscript"/>
          <w:rtl/>
        </w:rPr>
        <w:t>)</w:t>
      </w:r>
      <w:r w:rsidRPr="008900CA">
        <w:rPr>
          <w:rFonts w:ascii="Traditional Arabic" w:hAnsi="Traditional Arabic"/>
          <w:rtl/>
        </w:rPr>
        <w:t>. والثاني: يأمل، وهو اختيار الزّجّاج</w:t>
      </w:r>
      <w:r w:rsidRPr="008900CA">
        <w:rPr>
          <w:vertAlign w:val="superscript"/>
          <w:rtl/>
        </w:rPr>
        <w:t>(</w:t>
      </w:r>
      <w:r w:rsidRPr="008900CA">
        <w:rPr>
          <w:vertAlign w:val="superscript"/>
          <w:rtl/>
        </w:rPr>
        <w:footnoteReference w:id="2020"/>
      </w:r>
      <w:r w:rsidRPr="008900CA">
        <w:rPr>
          <w:vertAlign w:val="superscript"/>
          <w:rtl/>
        </w:rPr>
        <w:t>)</w:t>
      </w:r>
      <w:r w:rsidRPr="008900CA">
        <w:rPr>
          <w:rFonts w:ascii="Traditional Arabic" w:hAnsi="Traditional Arabic"/>
          <w:rtl/>
        </w:rPr>
        <w:t>. قال ابن الأنباري: المعنى: فمن كان يرجو لقاء ثواب ربِّه</w:t>
      </w:r>
      <w:r w:rsidRPr="008900CA">
        <w:rPr>
          <w:vertAlign w:val="superscript"/>
          <w:rtl/>
        </w:rPr>
        <w:t>(</w:t>
      </w:r>
      <w:r w:rsidRPr="008900CA">
        <w:rPr>
          <w:vertAlign w:val="superscript"/>
          <w:rtl/>
        </w:rPr>
        <w:footnoteReference w:id="2021"/>
      </w:r>
      <w:r w:rsidRPr="008900CA">
        <w:rPr>
          <w:vertAlign w:val="superscript"/>
          <w:rtl/>
        </w:rPr>
        <w:t>)</w:t>
      </w:r>
      <w:r w:rsidRPr="008900CA">
        <w:rPr>
          <w:rFonts w:ascii="Traditional Arabic" w:hAnsi="Traditional Arabic"/>
          <w:rtl/>
        </w:rPr>
        <w:t>. قال المفسرون</w:t>
      </w:r>
      <w:r w:rsidRPr="008900CA">
        <w:rPr>
          <w:rFonts w:ascii="Traditional Arabic" w:hAnsi="Traditional Arabic" w:hint="cs"/>
          <w:rtl/>
        </w:rPr>
        <w:t>:</w:t>
      </w:r>
      <w:r w:rsidRPr="008900CA">
        <w:rPr>
          <w:rFonts w:ascii="Traditional Arabic" w:hAnsi="Traditional Arabic"/>
          <w:rtl/>
        </w:rPr>
        <w:t xml:space="preserve"> وذلك يوم البعث والجزاء</w:t>
      </w:r>
      <w:r w:rsidRPr="008900CA">
        <w:rPr>
          <w:vertAlign w:val="superscript"/>
          <w:rtl/>
        </w:rPr>
        <w:t>(</w:t>
      </w:r>
      <w:r w:rsidRPr="008900CA">
        <w:rPr>
          <w:vertAlign w:val="superscript"/>
          <w:rtl/>
        </w:rPr>
        <w:footnoteReference w:id="2022"/>
      </w:r>
      <w:r w:rsidRPr="008900CA">
        <w:rPr>
          <w:vertAlign w:val="superscript"/>
          <w:rtl/>
        </w:rPr>
        <w:t>)</w:t>
      </w:r>
      <w:r w:rsidRPr="008900CA">
        <w:rPr>
          <w:rFonts w:ascii="Traditional Arabic" w:hAnsi="Traditional Arabic"/>
          <w:rtl/>
        </w:rPr>
        <w:t>.</w:t>
      </w:r>
      <w:r w:rsidRPr="008900CA">
        <w:rPr>
          <w:rFonts w:ascii="QCF_BSML" w:hAnsi="QCF_BSML" w:cs="QCF_BSML"/>
          <w:sz w:val="32"/>
          <w:szCs w:val="32"/>
          <w:rtl/>
          <w:lang w:eastAsia="en-US"/>
        </w:rPr>
        <w:t>ﭽ</w:t>
      </w:r>
      <w:r w:rsidRPr="008900CA">
        <w:rPr>
          <w:rFonts w:ascii="QCF_P304" w:hAnsi="QCF_P304" w:cs="QCF_P304"/>
          <w:color w:val="auto"/>
          <w:sz w:val="32"/>
          <w:szCs w:val="32"/>
          <w:rtl/>
          <w:lang w:eastAsia="en-US"/>
        </w:rPr>
        <w:t xml:space="preserve"> ﰕ    ﰖ  ﰗ</w:t>
      </w:r>
      <w:r w:rsidRPr="008900CA">
        <w:rPr>
          <w:rFonts w:ascii="QCF_BSML" w:hAnsi="QCF_BSML" w:cs="QCF_BSML"/>
          <w:color w:val="auto"/>
          <w:sz w:val="32"/>
          <w:szCs w:val="32"/>
          <w:rtl/>
          <w:lang w:eastAsia="en-US"/>
        </w:rPr>
        <w:t>ﭼ</w:t>
      </w:r>
      <w:r w:rsidRPr="008900CA">
        <w:rPr>
          <w:rFonts w:ascii="QCF_P304" w:hAnsi="QCF_P304" w:cs="QCF_P304"/>
          <w:color w:val="auto"/>
          <w:sz w:val="32"/>
          <w:szCs w:val="32"/>
          <w:rtl/>
          <w:lang w:eastAsia="en-US"/>
        </w:rPr>
        <w:t xml:space="preserve">  </w:t>
      </w:r>
      <w:r w:rsidR="00433168">
        <w:rPr>
          <w:rFonts w:ascii="Traditional Arabic" w:hAnsi="Traditional Arabic" w:hint="cs"/>
          <w:rtl/>
        </w:rPr>
        <w:t xml:space="preserve"> </w:t>
      </w:r>
      <w:r w:rsidRPr="008900CA">
        <w:rPr>
          <w:rFonts w:ascii="Traditional Arabic" w:hAnsi="Traditional Arabic"/>
          <w:rtl/>
        </w:rPr>
        <w:t xml:space="preserve">لا يرائي به </w:t>
      </w:r>
      <w:r w:rsidRPr="008900CA">
        <w:rPr>
          <w:rFonts w:ascii="QCF_BSML" w:hAnsi="QCF_BSML" w:cs="QCF_BSML"/>
          <w:color w:val="auto"/>
          <w:sz w:val="32"/>
          <w:szCs w:val="32"/>
          <w:rtl/>
          <w:lang w:eastAsia="en-US"/>
        </w:rPr>
        <w:t>ﭽ</w:t>
      </w:r>
      <w:r w:rsidRPr="008900CA">
        <w:rPr>
          <w:rFonts w:ascii="QCF_P304" w:hAnsi="QCF_P304" w:cs="QCF_P304"/>
          <w:color w:val="auto"/>
          <w:sz w:val="32"/>
          <w:szCs w:val="32"/>
          <w:rtl/>
          <w:lang w:eastAsia="en-US"/>
        </w:rPr>
        <w:t xml:space="preserve">ﰘ  ﰙ  ﰚ    ﰛ  ﰜ </w:t>
      </w:r>
      <w:r w:rsidRPr="008900CA">
        <w:rPr>
          <w:rFonts w:ascii="QCF_BSML" w:hAnsi="QCF_BSML" w:cs="QCF_BSML"/>
          <w:color w:val="auto"/>
          <w:sz w:val="32"/>
          <w:szCs w:val="32"/>
          <w:rtl/>
          <w:lang w:eastAsia="en-US"/>
        </w:rPr>
        <w:t>ﭼ</w:t>
      </w:r>
      <w:r w:rsidRPr="008900CA">
        <w:rPr>
          <w:rFonts w:ascii="QCF_P304" w:hAnsi="QCF_P304" w:cs="QCF_P304"/>
          <w:color w:val="auto"/>
          <w:sz w:val="32"/>
          <w:szCs w:val="32"/>
          <w:rtl/>
          <w:lang w:eastAsia="en-US"/>
        </w:rPr>
        <w:t xml:space="preserve"> </w:t>
      </w:r>
      <w:r w:rsidRPr="008900CA">
        <w:rPr>
          <w:rFonts w:ascii="Traditional Arabic" w:hAnsi="Traditional Arabic" w:hint="cs"/>
          <w:color w:val="auto"/>
          <w:rtl/>
        </w:rPr>
        <w:t xml:space="preserve"> </w:t>
      </w:r>
      <w:r w:rsidRPr="008900CA">
        <w:rPr>
          <w:rFonts w:ascii="Traditional Arabic" w:hAnsi="Traditional Arabic"/>
          <w:rtl/>
        </w:rPr>
        <w:t>قال سعيد بن جبير: لا يرائي</w:t>
      </w:r>
      <w:r w:rsidRPr="008900CA">
        <w:rPr>
          <w:vertAlign w:val="superscript"/>
          <w:rtl/>
        </w:rPr>
        <w:t>(</w:t>
      </w:r>
      <w:r w:rsidRPr="008900CA">
        <w:rPr>
          <w:vertAlign w:val="superscript"/>
          <w:rtl/>
        </w:rPr>
        <w:footnoteReference w:id="2023"/>
      </w:r>
      <w:r w:rsidRPr="008900CA">
        <w:rPr>
          <w:vertAlign w:val="superscript"/>
          <w:rtl/>
        </w:rPr>
        <w:t>)</w:t>
      </w:r>
      <w:r w:rsidRPr="008900CA">
        <w:rPr>
          <w:rFonts w:ascii="Traditional Arabic" w:hAnsi="Traditional Arabic"/>
          <w:rtl/>
        </w:rPr>
        <w:t>.</w:t>
      </w:r>
      <w:r w:rsidRPr="008900CA">
        <w:rPr>
          <w:rFonts w:ascii="Traditional Arabic" w:hAnsi="Traditional Arabic" w:hint="cs"/>
          <w:rtl/>
        </w:rPr>
        <w:t xml:space="preserve"> </w:t>
      </w:r>
      <w:r w:rsidRPr="008900CA">
        <w:rPr>
          <w:rFonts w:ascii="Traditional Arabic" w:hAnsi="Traditional Arabic"/>
          <w:rtl/>
        </w:rPr>
        <w:t>قال معاوية بن أبي سفيان</w:t>
      </w:r>
      <w:r w:rsidRPr="008900CA">
        <w:rPr>
          <w:vertAlign w:val="superscript"/>
          <w:rtl/>
        </w:rPr>
        <w:t>(</w:t>
      </w:r>
      <w:r w:rsidRPr="008900CA">
        <w:rPr>
          <w:vertAlign w:val="superscript"/>
          <w:rtl/>
        </w:rPr>
        <w:footnoteReference w:id="2024"/>
      </w:r>
      <w:r w:rsidRPr="008900CA">
        <w:rPr>
          <w:vertAlign w:val="superscript"/>
          <w:rtl/>
        </w:rPr>
        <w:t>)</w:t>
      </w:r>
      <w:r w:rsidRPr="008900CA">
        <w:rPr>
          <w:rFonts w:ascii="Traditional Arabic" w:hAnsi="Traditional Arabic"/>
          <w:rtl/>
        </w:rPr>
        <w:t>: هذه آخر آية نزلت من القرآن</w:t>
      </w:r>
      <w:r w:rsidRPr="008900CA">
        <w:rPr>
          <w:vertAlign w:val="superscript"/>
          <w:rtl/>
        </w:rPr>
        <w:t>(</w:t>
      </w:r>
      <w:r w:rsidRPr="008900CA">
        <w:rPr>
          <w:vertAlign w:val="superscript"/>
          <w:rtl/>
        </w:rPr>
        <w:footnoteReference w:id="2025"/>
      </w:r>
      <w:r w:rsidRPr="008900CA">
        <w:rPr>
          <w:vertAlign w:val="superscript"/>
          <w:rtl/>
        </w:rPr>
        <w:t>)</w:t>
      </w:r>
      <w:r w:rsidRPr="008900CA">
        <w:rPr>
          <w:rFonts w:ascii="Traditional Arabic" w:hAnsi="Traditional Arabic"/>
          <w:rtl/>
        </w:rPr>
        <w:t>.</w:t>
      </w:r>
    </w:p>
    <w:p w:rsidR="002E6E7F" w:rsidRDefault="002E6E7F" w:rsidP="00CB78C4">
      <w:pPr>
        <w:widowControl/>
        <w:autoSpaceDE w:val="0"/>
        <w:autoSpaceDN w:val="0"/>
        <w:adjustRightInd w:val="0"/>
        <w:ind w:firstLine="0"/>
        <w:jc w:val="left"/>
        <w:rPr>
          <w:rFonts w:ascii="Traditional Arabic" w:hAnsi="Traditional Arabic"/>
          <w:rtl/>
          <w:lang w:eastAsia="en-US"/>
        </w:rPr>
      </w:pPr>
    </w:p>
    <w:p w:rsidR="002A5318" w:rsidRDefault="002A5318" w:rsidP="00CB78C4">
      <w:pPr>
        <w:widowControl/>
        <w:autoSpaceDE w:val="0"/>
        <w:autoSpaceDN w:val="0"/>
        <w:adjustRightInd w:val="0"/>
        <w:ind w:firstLine="0"/>
        <w:jc w:val="left"/>
        <w:rPr>
          <w:rFonts w:ascii="Traditional Arabic" w:hAnsi="Traditional Arabic"/>
          <w:rtl/>
          <w:lang w:eastAsia="en-US"/>
        </w:rPr>
      </w:pPr>
    </w:p>
    <w:p w:rsidR="0063006E" w:rsidRPr="0063006E" w:rsidRDefault="0063006E" w:rsidP="0063006E">
      <w:pPr>
        <w:ind w:firstLine="0"/>
        <w:jc w:val="center"/>
        <w:rPr>
          <w:rtl/>
        </w:rPr>
      </w:pPr>
      <w:r w:rsidRPr="0063006E">
        <w:rPr>
          <w:rtl/>
        </w:rPr>
        <w:lastRenderedPageBreak/>
        <w:t>سورة مريم</w:t>
      </w:r>
    </w:p>
    <w:p w:rsidR="0063006E" w:rsidRDefault="0063006E" w:rsidP="001212ED">
      <w:pPr>
        <w:ind w:firstLine="0"/>
        <w:rPr>
          <w:rtl/>
        </w:rPr>
      </w:pPr>
      <w:r w:rsidRPr="0063006E">
        <w:rPr>
          <w:rtl/>
        </w:rPr>
        <w:t>وهي مكّيّة بإجماعهم من غير خلاف علمناه</w:t>
      </w:r>
      <w:r w:rsidRPr="0063006E">
        <w:rPr>
          <w:vertAlign w:val="superscript"/>
          <w:rtl/>
        </w:rPr>
        <w:t>(</w:t>
      </w:r>
      <w:r w:rsidRPr="0063006E">
        <w:rPr>
          <w:vertAlign w:val="superscript"/>
          <w:rtl/>
        </w:rPr>
        <w:footnoteReference w:id="2026"/>
      </w:r>
      <w:r w:rsidRPr="0063006E">
        <w:rPr>
          <w:vertAlign w:val="superscript"/>
          <w:rtl/>
        </w:rPr>
        <w:t>)</w:t>
      </w:r>
      <w:r w:rsidRPr="0063006E">
        <w:rPr>
          <w:rtl/>
        </w:rPr>
        <w:t>. وقال مقاتل: هي مكّيّة غير سجدتها، فإنها مدنيّة</w:t>
      </w:r>
      <w:r w:rsidRPr="0063006E">
        <w:rPr>
          <w:vertAlign w:val="superscript"/>
          <w:rtl/>
        </w:rPr>
        <w:t>(</w:t>
      </w:r>
      <w:r w:rsidRPr="0063006E">
        <w:rPr>
          <w:vertAlign w:val="superscript"/>
          <w:rtl/>
        </w:rPr>
        <w:footnoteReference w:id="2027"/>
      </w:r>
      <w:r w:rsidRPr="0063006E">
        <w:rPr>
          <w:vertAlign w:val="superscript"/>
          <w:rtl/>
        </w:rPr>
        <w:t>)</w:t>
      </w:r>
      <w:r w:rsidRPr="0063006E">
        <w:rPr>
          <w:rtl/>
        </w:rPr>
        <w:t>.</w:t>
      </w:r>
      <w:r w:rsidRPr="0063006E">
        <w:rPr>
          <w:rFonts w:hint="cs"/>
          <w:rtl/>
        </w:rPr>
        <w:t xml:space="preserve"> </w:t>
      </w:r>
      <w:r w:rsidRPr="0063006E">
        <w:rPr>
          <w:rtl/>
        </w:rPr>
        <w:t>وقال هبة الله المفسّر</w:t>
      </w:r>
      <w:r w:rsidRPr="0063006E">
        <w:rPr>
          <w:vertAlign w:val="superscript"/>
          <w:rtl/>
        </w:rPr>
        <w:t>(</w:t>
      </w:r>
      <w:r w:rsidRPr="0063006E">
        <w:rPr>
          <w:vertAlign w:val="superscript"/>
          <w:rtl/>
        </w:rPr>
        <w:footnoteReference w:id="2028"/>
      </w:r>
      <w:r w:rsidRPr="0063006E">
        <w:rPr>
          <w:vertAlign w:val="superscript"/>
          <w:rtl/>
        </w:rPr>
        <w:t>)</w:t>
      </w:r>
      <w:r w:rsidRPr="0063006E">
        <w:rPr>
          <w:rtl/>
        </w:rPr>
        <w:t xml:space="preserve">: هي مكّيّة غير آيتين منها، قوله: </w:t>
      </w:r>
      <w:r w:rsidRPr="0063006E">
        <w:rPr>
          <w:rFonts w:ascii="QCF_BSML" w:hAnsi="QCF_BSML" w:cs="QCF_BSML"/>
          <w:color w:val="auto"/>
          <w:sz w:val="32"/>
          <w:szCs w:val="32"/>
          <w:rtl/>
          <w:lang w:eastAsia="en-US"/>
        </w:rPr>
        <w:t xml:space="preserve">ﭽ </w:t>
      </w:r>
      <w:r w:rsidRPr="0063006E">
        <w:rPr>
          <w:rFonts w:ascii="QCF_P309" w:hAnsi="QCF_P309" w:cs="QCF_P309"/>
          <w:color w:val="auto"/>
          <w:sz w:val="32"/>
          <w:szCs w:val="32"/>
          <w:rtl/>
          <w:lang w:eastAsia="en-US"/>
        </w:rPr>
        <w:t>ﮧ  ﮨ  ﮩ     ﮪ</w:t>
      </w:r>
      <w:r w:rsidRPr="0063006E">
        <w:rPr>
          <w:rFonts w:ascii="QCF_BSML" w:hAnsi="QCF_BSML" w:cs="QCF_BSML"/>
          <w:color w:val="auto"/>
          <w:sz w:val="32"/>
          <w:szCs w:val="32"/>
          <w:rtl/>
          <w:lang w:eastAsia="en-US"/>
        </w:rPr>
        <w:t>ﭼ</w:t>
      </w:r>
      <w:r w:rsidRPr="0063006E">
        <w:rPr>
          <w:rFonts w:ascii="Traditional Arabic" w:hAnsi="Traditional Arabic"/>
          <w:color w:val="auto"/>
          <w:sz w:val="32"/>
          <w:szCs w:val="32"/>
          <w:rtl/>
          <w:lang w:eastAsia="en-US"/>
        </w:rPr>
        <w:t>[مريم:٥٩]</w:t>
      </w:r>
      <w:r w:rsidRPr="0063006E">
        <w:rPr>
          <w:rFonts w:hint="cs"/>
          <w:rtl/>
        </w:rPr>
        <w:t>,</w:t>
      </w:r>
      <w:r w:rsidRPr="0063006E">
        <w:rPr>
          <w:rtl/>
        </w:rPr>
        <w:t xml:space="preserve"> والتي تليها</w:t>
      </w:r>
      <w:r w:rsidRPr="0063006E">
        <w:rPr>
          <w:vertAlign w:val="superscript"/>
          <w:rtl/>
        </w:rPr>
        <w:t>(</w:t>
      </w:r>
      <w:r w:rsidRPr="0063006E">
        <w:rPr>
          <w:vertAlign w:val="superscript"/>
          <w:rtl/>
        </w:rPr>
        <w:footnoteReference w:id="2029"/>
      </w:r>
      <w:r w:rsidRPr="0063006E">
        <w:rPr>
          <w:vertAlign w:val="superscript"/>
          <w:rtl/>
        </w:rPr>
        <w:t>)</w:t>
      </w:r>
      <w:r w:rsidRPr="0063006E">
        <w:rPr>
          <w:rtl/>
        </w:rPr>
        <w:t>.</w:t>
      </w:r>
    </w:p>
    <w:p w:rsidR="001212ED" w:rsidRPr="0063006E" w:rsidRDefault="001212ED" w:rsidP="001212ED">
      <w:pPr>
        <w:ind w:firstLine="0"/>
        <w:rPr>
          <w:rtl/>
        </w:rPr>
      </w:pPr>
    </w:p>
    <w:p w:rsidR="0063006E" w:rsidRPr="0063006E" w:rsidRDefault="0063006E" w:rsidP="0063006E">
      <w:pPr>
        <w:ind w:firstLine="0"/>
        <w:jc w:val="center"/>
        <w:rPr>
          <w:rFonts w:ascii="Traditional Arabic" w:hAnsi="Traditional Arabic"/>
          <w:b/>
          <w:bCs/>
          <w:rtl/>
        </w:rPr>
      </w:pPr>
      <w:r w:rsidRPr="0063006E">
        <w:rPr>
          <w:rFonts w:ascii="QCF_BSML" w:hAnsi="QCF_BSML" w:cs="QCF_BSML"/>
          <w:rtl/>
          <w:lang w:eastAsia="en-US"/>
        </w:rPr>
        <w:t xml:space="preserve">ﭽ </w:t>
      </w:r>
      <w:r w:rsidRPr="0063006E">
        <w:rPr>
          <w:rFonts w:ascii="QCF_P001" w:hAnsi="QCF_P001" w:cs="QCF_P001"/>
          <w:rtl/>
          <w:lang w:eastAsia="en-US"/>
        </w:rPr>
        <w:t xml:space="preserve">ﭑ       ﭒ  ﭓ  ﭔ  </w:t>
      </w:r>
      <w:r w:rsidRPr="0063006E">
        <w:rPr>
          <w:rFonts w:ascii="QCF_BSML" w:hAnsi="QCF_BSML" w:cs="QCF_BSML"/>
          <w:rtl/>
          <w:lang w:eastAsia="en-US"/>
        </w:rPr>
        <w:t>ﭼ</w:t>
      </w:r>
      <w:r w:rsidRPr="0063006E">
        <w:rPr>
          <w:rFonts w:ascii="Arial" w:hAnsi="Arial" w:cs="Arial"/>
          <w:rtl/>
          <w:lang w:eastAsia="en-US"/>
        </w:rPr>
        <w:t xml:space="preserve"> </w:t>
      </w:r>
    </w:p>
    <w:p w:rsidR="001212ED" w:rsidRDefault="0063006E" w:rsidP="001212ED">
      <w:pPr>
        <w:ind w:firstLine="0"/>
        <w:rPr>
          <w:rFonts w:ascii="Traditional Arabic" w:hAnsi="Traditional Arabic"/>
          <w:rtl/>
        </w:rPr>
      </w:pPr>
      <w:r w:rsidRPr="0063006E">
        <w:rPr>
          <w:rFonts w:ascii="QCF_BSML" w:hAnsi="QCF_BSML" w:cs="QCF_BSML"/>
          <w:color w:val="auto"/>
          <w:sz w:val="32"/>
          <w:szCs w:val="32"/>
          <w:rtl/>
          <w:lang w:eastAsia="en-US"/>
        </w:rPr>
        <w:t xml:space="preserve">ﭽ </w:t>
      </w:r>
      <w:r w:rsidRPr="0063006E">
        <w:rPr>
          <w:rFonts w:ascii="QCF_P305" w:hAnsi="QCF_P305" w:cs="QCF_P305"/>
          <w:color w:val="auto"/>
          <w:sz w:val="32"/>
          <w:szCs w:val="32"/>
          <w:rtl/>
          <w:lang w:eastAsia="en-US"/>
        </w:rPr>
        <w:t xml:space="preserve">ﭑ  ﭒ  ﭓ   ﭔ  ﭕ  ﭖ  ﭗ   ﭘ   ﭙ  ﭚ   ﭛ  ﭜ  ﭝ  ﭞ  ﭟ  ﭠ  ﭡ    ﭢ  ﭣ   ﭤ  ﭥ  ﭦ  ﭧ  ﭨ  ﭩ  ﭪ  ﭫ   ﭬ  ﭭ  ﭮ  ﭯ  ﭰ  ﭱ  ﭲ  ﭳ   ﭴ  ﭵ  ﭶ  ﭷ  ﭸ  ﭹ  ﭺ  ﭻ  ﭼ  ﭽ   ﭾ  ﭿ  ﮀﮁ  ﮂ  ﮃ  ﮄ  ﮅ  </w:t>
      </w:r>
      <w:r w:rsidRPr="0063006E">
        <w:rPr>
          <w:rFonts w:ascii="QCF_BSML" w:hAnsi="QCF_BSML" w:cs="QCF_BSML"/>
          <w:color w:val="auto"/>
          <w:sz w:val="32"/>
          <w:szCs w:val="32"/>
          <w:rtl/>
          <w:lang w:eastAsia="en-US"/>
        </w:rPr>
        <w:t>ﭼ</w:t>
      </w:r>
      <w:r w:rsidR="001212ED">
        <w:rPr>
          <w:rFonts w:hint="cs"/>
          <w:rtl/>
        </w:rPr>
        <w:t xml:space="preserve"> </w:t>
      </w:r>
      <w:r w:rsidR="001212ED">
        <w:rPr>
          <w:rtl/>
        </w:rPr>
        <w:t>قوله تعالى:</w:t>
      </w:r>
      <w:r w:rsidRPr="0063006E">
        <w:rPr>
          <w:rFonts w:ascii="QCF_BSML" w:hAnsi="QCF_BSML" w:cs="QCF_BSML"/>
          <w:color w:val="auto"/>
          <w:sz w:val="32"/>
          <w:szCs w:val="32"/>
          <w:rtl/>
          <w:lang w:eastAsia="en-US"/>
        </w:rPr>
        <w:t xml:space="preserve">ﭽ </w:t>
      </w:r>
      <w:r w:rsidRPr="0063006E">
        <w:rPr>
          <w:rFonts w:ascii="QCF_P305" w:hAnsi="QCF_P305" w:cs="QCF_P305"/>
          <w:color w:val="auto"/>
          <w:sz w:val="32"/>
          <w:szCs w:val="32"/>
          <w:rtl/>
          <w:lang w:eastAsia="en-US"/>
        </w:rPr>
        <w:t>ﭑ</w:t>
      </w:r>
      <w:r w:rsidRPr="0063006E">
        <w:rPr>
          <w:rFonts w:ascii="QCF_BSML" w:hAnsi="QCF_BSML" w:cs="QCF_BSML"/>
          <w:color w:val="auto"/>
          <w:sz w:val="32"/>
          <w:szCs w:val="32"/>
          <w:rtl/>
          <w:lang w:eastAsia="en-US"/>
        </w:rPr>
        <w:t xml:space="preserve"> ﭼ</w:t>
      </w:r>
      <w:r w:rsidRPr="0063006E">
        <w:rPr>
          <w:rFonts w:ascii="QCF_BSML" w:hAnsi="QCF_BSML" w:cs="QCF_BSML" w:hint="cs"/>
          <w:color w:val="auto"/>
          <w:sz w:val="32"/>
          <w:szCs w:val="32"/>
          <w:rtl/>
          <w:lang w:eastAsia="en-US"/>
        </w:rPr>
        <w:t xml:space="preserve"> </w:t>
      </w:r>
      <w:r w:rsidRPr="0063006E">
        <w:rPr>
          <w:rtl/>
        </w:rPr>
        <w:t xml:space="preserve">قرأ ابن كثير: </w:t>
      </w:r>
      <w:r w:rsidRPr="0063006E">
        <w:rPr>
          <w:rFonts w:ascii="QCF_BSML" w:hAnsi="QCF_BSML" w:cs="QCF_BSML"/>
          <w:color w:val="auto"/>
          <w:sz w:val="32"/>
          <w:szCs w:val="32"/>
          <w:rtl/>
          <w:lang w:eastAsia="en-US"/>
        </w:rPr>
        <w:t>ﭽ</w:t>
      </w:r>
      <w:r w:rsidRPr="0063006E">
        <w:rPr>
          <w:rFonts w:ascii="QCF_P305" w:hAnsi="QCF_P305" w:cs="QCF_P305"/>
          <w:color w:val="auto"/>
          <w:sz w:val="32"/>
          <w:szCs w:val="32"/>
          <w:rtl/>
          <w:lang w:eastAsia="en-US"/>
        </w:rPr>
        <w:t>ﭑ  ﭒ  ﭓ</w:t>
      </w:r>
      <w:r w:rsidRPr="0063006E">
        <w:rPr>
          <w:rFonts w:ascii="QCF_P001" w:hAnsi="QCF_P001" w:cs="QCF_P001"/>
          <w:rtl/>
          <w:lang w:eastAsia="en-US"/>
        </w:rPr>
        <w:t xml:space="preserve">  </w:t>
      </w:r>
      <w:r w:rsidRPr="0063006E">
        <w:rPr>
          <w:rFonts w:ascii="QCF_BSML" w:hAnsi="QCF_BSML" w:cs="QCF_BSML"/>
          <w:rtl/>
          <w:lang w:eastAsia="en-US"/>
        </w:rPr>
        <w:t>ﭼ</w:t>
      </w:r>
      <w:r w:rsidR="001212ED">
        <w:rPr>
          <w:rFonts w:ascii="QCF_BSML" w:hAnsi="QCF_BSML" w:cs="QCF_BSML" w:hint="cs"/>
          <w:rtl/>
          <w:lang w:eastAsia="en-US"/>
        </w:rPr>
        <w:t xml:space="preserve">  </w:t>
      </w:r>
      <w:r w:rsidRPr="0063006E">
        <w:rPr>
          <w:rFonts w:ascii="QCF_P305" w:hAnsi="QCF_P305" w:cs="QCF_P305"/>
          <w:color w:val="auto"/>
          <w:sz w:val="32"/>
          <w:szCs w:val="32"/>
          <w:rtl/>
          <w:lang w:eastAsia="en-US"/>
        </w:rPr>
        <w:t xml:space="preserve"> </w:t>
      </w:r>
      <w:r w:rsidRPr="0063006E">
        <w:rPr>
          <w:rtl/>
        </w:rPr>
        <w:t>بفتح الهاء والياء وتبيين الدال التي في هجاء «صاد». وقرأ أبو عمرو: «كهيعص» بكسر الهاء وفتح الياء ويدغم الدال في الذال، وكان نافع يلفظ بالهاء والياء بين الكسر والفتح، ولا يدغم الدال التي في هجاء</w:t>
      </w:r>
      <w:r w:rsidRPr="0063006E">
        <w:rPr>
          <w:b/>
          <w:bCs/>
          <w:rtl/>
        </w:rPr>
        <w:t xml:space="preserve"> </w:t>
      </w:r>
      <w:r w:rsidR="001212ED">
        <w:rPr>
          <w:rFonts w:ascii="Traditional Arabic" w:hAnsi="Traditional Arabic"/>
          <w:rtl/>
        </w:rPr>
        <w:t>«صاد» في الذال من «ذِكْر»</w:t>
      </w:r>
      <w:r w:rsidRPr="0063006E">
        <w:rPr>
          <w:rFonts w:ascii="Traditional Arabic" w:hAnsi="Traditional Arabic"/>
          <w:rtl/>
        </w:rPr>
        <w:t>. وقرأ أبو بكر عن عاصم، والكسائي، بكسر الهاء والياء. إِلا أن الكسائي لا يبيِّن الدال، وعاصم يُبيِّنها. وقرأ ابن عامر، وحمزة، بفتح الهاء وكسر الياء ويدغمان</w:t>
      </w:r>
      <w:r w:rsidRPr="0063006E">
        <w:rPr>
          <w:vertAlign w:val="superscript"/>
          <w:rtl/>
        </w:rPr>
        <w:t>(</w:t>
      </w:r>
      <w:r w:rsidRPr="0063006E">
        <w:rPr>
          <w:vertAlign w:val="superscript"/>
          <w:rtl/>
        </w:rPr>
        <w:footnoteReference w:id="2030"/>
      </w:r>
      <w:r w:rsidRPr="0063006E">
        <w:rPr>
          <w:vertAlign w:val="superscript"/>
          <w:rtl/>
        </w:rPr>
        <w:t>)</w:t>
      </w:r>
      <w:r w:rsidR="001212ED">
        <w:rPr>
          <w:rFonts w:ascii="Traditional Arabic" w:hAnsi="Traditional Arabic"/>
          <w:rtl/>
        </w:rPr>
        <w:t>. وقرأ أُبيّ بن كعب:</w:t>
      </w:r>
      <w:r w:rsidR="001212ED">
        <w:rPr>
          <w:rFonts w:ascii="Traditional Arabic" w:hAnsi="Traditional Arabic" w:hint="cs"/>
          <w:rtl/>
        </w:rPr>
        <w:t xml:space="preserve"> </w:t>
      </w:r>
      <w:r w:rsidRPr="0063006E">
        <w:rPr>
          <w:rFonts w:ascii="Traditional Arabic" w:hAnsi="Traditional Arabic"/>
          <w:rtl/>
        </w:rPr>
        <w:t>«كهيعص» برفع الهاء</w:t>
      </w:r>
      <w:r w:rsidR="001212ED">
        <w:rPr>
          <w:rFonts w:ascii="Traditional Arabic" w:hAnsi="Traditional Arabic" w:hint="cs"/>
          <w:rtl/>
        </w:rPr>
        <w:t xml:space="preserve"> </w:t>
      </w:r>
      <w:r w:rsidRPr="0063006E">
        <w:rPr>
          <w:rFonts w:ascii="Traditional Arabic" w:hAnsi="Traditional Arabic"/>
          <w:rtl/>
        </w:rPr>
        <w:t xml:space="preserve">وفتح </w:t>
      </w:r>
    </w:p>
    <w:p w:rsidR="001212ED" w:rsidRDefault="001212ED" w:rsidP="001212ED">
      <w:pPr>
        <w:ind w:firstLine="0"/>
        <w:rPr>
          <w:rFonts w:ascii="Traditional Arabic" w:hAnsi="Traditional Arabic"/>
          <w:rtl/>
        </w:rPr>
      </w:pPr>
    </w:p>
    <w:p w:rsidR="0063006E" w:rsidRPr="0063006E" w:rsidRDefault="0063006E" w:rsidP="001212ED">
      <w:pPr>
        <w:ind w:firstLine="0"/>
        <w:rPr>
          <w:rFonts w:ascii="Traditional Arabic" w:hAnsi="Traditional Arabic"/>
          <w:rtl/>
        </w:rPr>
      </w:pPr>
      <w:r w:rsidRPr="0063006E">
        <w:rPr>
          <w:rFonts w:ascii="Traditional Arabic" w:hAnsi="Traditional Arabic"/>
          <w:rtl/>
        </w:rPr>
        <w:lastRenderedPageBreak/>
        <w:t>الياء</w:t>
      </w:r>
      <w:r w:rsidRPr="0063006E">
        <w:rPr>
          <w:vertAlign w:val="superscript"/>
          <w:rtl/>
        </w:rPr>
        <w:t>(</w:t>
      </w:r>
      <w:r w:rsidRPr="0063006E">
        <w:rPr>
          <w:vertAlign w:val="superscript"/>
          <w:rtl/>
        </w:rPr>
        <w:footnoteReference w:id="2031"/>
      </w:r>
      <w:r w:rsidRPr="0063006E">
        <w:rPr>
          <w:vertAlign w:val="superscript"/>
          <w:rtl/>
        </w:rPr>
        <w:t>)</w:t>
      </w:r>
      <w:r w:rsidRPr="0063006E">
        <w:rPr>
          <w:rFonts w:ascii="Traditional Arabic" w:hAnsi="Traditional Arabic"/>
          <w:rtl/>
        </w:rPr>
        <w:t>. وقد ذكرنا في أول «البقرة» ما يشتمل على بيان هذا الجنس</w:t>
      </w:r>
      <w:r w:rsidRPr="0063006E">
        <w:rPr>
          <w:vertAlign w:val="superscript"/>
          <w:rtl/>
        </w:rPr>
        <w:t>(</w:t>
      </w:r>
      <w:r w:rsidRPr="0063006E">
        <w:rPr>
          <w:vertAlign w:val="superscript"/>
          <w:rtl/>
        </w:rPr>
        <w:footnoteReference w:id="2032"/>
      </w:r>
      <w:r w:rsidRPr="0063006E">
        <w:rPr>
          <w:vertAlign w:val="superscript"/>
          <w:rtl/>
        </w:rPr>
        <w:t>)</w:t>
      </w:r>
      <w:r w:rsidRPr="0063006E">
        <w:rPr>
          <w:rFonts w:ascii="Traditional Arabic" w:hAnsi="Traditional Arabic"/>
          <w:rtl/>
        </w:rPr>
        <w:t>. وقد خصَّ المفسرون هذه الحروف المذكورة ها هنا بأربعة أقوال:</w:t>
      </w:r>
      <w:r w:rsidRPr="0063006E">
        <w:rPr>
          <w:rFonts w:ascii="Traditional Arabic" w:hAnsi="Traditional Arabic" w:hint="cs"/>
          <w:rtl/>
        </w:rPr>
        <w:t xml:space="preserve"> </w:t>
      </w:r>
      <w:r w:rsidRPr="0063006E">
        <w:rPr>
          <w:rFonts w:ascii="Traditional Arabic" w:hAnsi="Traditional Arabic"/>
          <w:rtl/>
        </w:rPr>
        <w:t>أحدها: أنها حروف من أسماء الله عزّ وجلّ، قاله الأكثرون</w:t>
      </w:r>
      <w:r w:rsidRPr="0063006E">
        <w:rPr>
          <w:vertAlign w:val="superscript"/>
          <w:rtl/>
        </w:rPr>
        <w:t>(</w:t>
      </w:r>
      <w:r w:rsidRPr="0063006E">
        <w:rPr>
          <w:vertAlign w:val="superscript"/>
          <w:rtl/>
        </w:rPr>
        <w:footnoteReference w:id="2033"/>
      </w:r>
      <w:r w:rsidRPr="0063006E">
        <w:rPr>
          <w:vertAlign w:val="superscript"/>
          <w:rtl/>
        </w:rPr>
        <w:t>)</w:t>
      </w:r>
      <w:r w:rsidRPr="0063006E">
        <w:rPr>
          <w:rFonts w:ascii="Traditional Arabic" w:hAnsi="Traditional Arabic"/>
          <w:rtl/>
        </w:rPr>
        <w:t xml:space="preserve">. ثم اختلف هؤلاء في الكاف من أي اسم هو، على أربعة أقوال. أحدها: أنه من اسم الله الكبير. </w:t>
      </w:r>
      <w:r w:rsidRPr="0063006E">
        <w:rPr>
          <w:rFonts w:ascii="Traditional Arabic" w:hAnsi="Traditional Arabic"/>
          <w:sz w:val="32"/>
          <w:szCs w:val="32"/>
          <w:rtl/>
        </w:rPr>
        <w:t>[</w:t>
      </w:r>
      <w:r w:rsidRPr="0063006E">
        <w:rPr>
          <w:rFonts w:ascii="Traditional Arabic" w:hAnsi="Traditional Arabic" w:hint="cs"/>
          <w:sz w:val="32"/>
          <w:szCs w:val="32"/>
          <w:rtl/>
        </w:rPr>
        <w:t>157</w:t>
      </w:r>
      <w:r w:rsidRPr="0063006E">
        <w:rPr>
          <w:rFonts w:ascii="Traditional Arabic" w:hAnsi="Traditional Arabic"/>
          <w:sz w:val="32"/>
          <w:szCs w:val="32"/>
          <w:rtl/>
        </w:rPr>
        <w:t>]</w:t>
      </w:r>
      <w:r w:rsidRPr="0063006E">
        <w:rPr>
          <w:rFonts w:ascii="Traditional Arabic" w:hAnsi="Traditional Arabic"/>
          <w:rtl/>
        </w:rPr>
        <w:t xml:space="preserve"> والثاني: من الكريم. والثالث: من الكافي، روى هذه الأقوال الثلاثة سعيد بن جبير عن ابن عباس</w:t>
      </w:r>
      <w:r w:rsidRPr="0063006E">
        <w:rPr>
          <w:vertAlign w:val="superscript"/>
          <w:rtl/>
        </w:rPr>
        <w:t>(</w:t>
      </w:r>
      <w:r w:rsidRPr="0063006E">
        <w:rPr>
          <w:vertAlign w:val="superscript"/>
          <w:rtl/>
        </w:rPr>
        <w:footnoteReference w:id="2034"/>
      </w:r>
      <w:r w:rsidRPr="0063006E">
        <w:rPr>
          <w:vertAlign w:val="superscript"/>
          <w:rtl/>
        </w:rPr>
        <w:t>)</w:t>
      </w:r>
      <w:r w:rsidRPr="0063006E">
        <w:rPr>
          <w:rFonts w:ascii="Traditional Arabic" w:hAnsi="Traditional Arabic"/>
          <w:rtl/>
        </w:rPr>
        <w:t>. والرابع: أنه من الملك، قاله محمد بن كعب</w:t>
      </w:r>
      <w:r w:rsidRPr="0063006E">
        <w:rPr>
          <w:vertAlign w:val="superscript"/>
          <w:rtl/>
        </w:rPr>
        <w:t>(</w:t>
      </w:r>
      <w:r w:rsidRPr="0063006E">
        <w:rPr>
          <w:vertAlign w:val="superscript"/>
          <w:rtl/>
        </w:rPr>
        <w:footnoteReference w:id="2035"/>
      </w:r>
      <w:r w:rsidRPr="0063006E">
        <w:rPr>
          <w:vertAlign w:val="superscript"/>
          <w:rtl/>
        </w:rPr>
        <w:t>)</w:t>
      </w:r>
      <w:r w:rsidRPr="0063006E">
        <w:rPr>
          <w:rFonts w:ascii="Traditional Arabic" w:hAnsi="Traditional Arabic"/>
          <w:rtl/>
        </w:rPr>
        <w:t>. فأما الهاء، فكلُّهم قالوا: هي من اسمه الهادي</w:t>
      </w:r>
      <w:r w:rsidRPr="0063006E">
        <w:rPr>
          <w:vertAlign w:val="superscript"/>
          <w:rtl/>
        </w:rPr>
        <w:t>(</w:t>
      </w:r>
      <w:r w:rsidRPr="0063006E">
        <w:rPr>
          <w:vertAlign w:val="superscript"/>
          <w:rtl/>
        </w:rPr>
        <w:footnoteReference w:id="2036"/>
      </w:r>
      <w:r w:rsidRPr="0063006E">
        <w:rPr>
          <w:vertAlign w:val="superscript"/>
          <w:rtl/>
        </w:rPr>
        <w:t>)</w:t>
      </w:r>
      <w:r w:rsidRPr="0063006E">
        <w:rPr>
          <w:rFonts w:ascii="Traditional Arabic" w:hAnsi="Traditional Arabic"/>
          <w:rtl/>
        </w:rPr>
        <w:t>، إِلا القرظي فإنه قال: من اسمه الله</w:t>
      </w:r>
      <w:r w:rsidRPr="0063006E">
        <w:rPr>
          <w:vertAlign w:val="superscript"/>
          <w:rtl/>
        </w:rPr>
        <w:t>(</w:t>
      </w:r>
      <w:r w:rsidRPr="0063006E">
        <w:rPr>
          <w:vertAlign w:val="superscript"/>
          <w:rtl/>
        </w:rPr>
        <w:footnoteReference w:id="2037"/>
      </w:r>
      <w:r w:rsidRPr="0063006E">
        <w:rPr>
          <w:vertAlign w:val="superscript"/>
          <w:rtl/>
        </w:rPr>
        <w:t>)</w:t>
      </w:r>
      <w:r w:rsidRPr="0063006E">
        <w:rPr>
          <w:rFonts w:ascii="Traditional Arabic" w:hAnsi="Traditional Arabic"/>
          <w:rtl/>
        </w:rPr>
        <w:t>. وأما الياء، ففيها ثلاثة أقوال: أحدها: أنها من حكيم. والثاني: من رحيم. والثالث: من أمين، روى هذه الأقوال الثلاثة سعيد بن جبير عن ابن عباس</w:t>
      </w:r>
      <w:r w:rsidRPr="0063006E">
        <w:rPr>
          <w:vertAlign w:val="superscript"/>
          <w:rtl/>
        </w:rPr>
        <w:t>(</w:t>
      </w:r>
      <w:r w:rsidRPr="0063006E">
        <w:rPr>
          <w:vertAlign w:val="superscript"/>
          <w:rtl/>
        </w:rPr>
        <w:footnoteReference w:id="2038"/>
      </w:r>
      <w:r w:rsidRPr="0063006E">
        <w:rPr>
          <w:vertAlign w:val="superscript"/>
          <w:rtl/>
        </w:rPr>
        <w:t>)</w:t>
      </w:r>
      <w:r w:rsidRPr="0063006E">
        <w:rPr>
          <w:rFonts w:ascii="Traditional Arabic" w:hAnsi="Traditional Arabic"/>
          <w:rtl/>
        </w:rPr>
        <w:t>. فأما العين، ففيها أربعة أقوال: أحدها: أنها من عليم. والثاني:</w:t>
      </w:r>
      <w:r w:rsidRPr="0063006E">
        <w:rPr>
          <w:rFonts w:ascii="Traditional Arabic" w:hAnsi="Traditional Arabic" w:hint="cs"/>
          <w:rtl/>
        </w:rPr>
        <w:t xml:space="preserve"> </w:t>
      </w:r>
      <w:r w:rsidRPr="0063006E">
        <w:rPr>
          <w:rFonts w:ascii="Traditional Arabic" w:hAnsi="Traditional Arabic"/>
          <w:rtl/>
        </w:rPr>
        <w:t>من عالم. والثالث: من عزيز، رواها أيضاً سعيد بن جبير عن ابن عباس. والرابع: أنها من عدل، قاله الضحاك</w:t>
      </w:r>
      <w:r w:rsidRPr="0063006E">
        <w:rPr>
          <w:vertAlign w:val="superscript"/>
          <w:rtl/>
        </w:rPr>
        <w:t>(</w:t>
      </w:r>
      <w:r w:rsidRPr="0063006E">
        <w:rPr>
          <w:vertAlign w:val="superscript"/>
          <w:rtl/>
        </w:rPr>
        <w:footnoteReference w:id="2039"/>
      </w:r>
      <w:r w:rsidRPr="0063006E">
        <w:rPr>
          <w:vertAlign w:val="superscript"/>
          <w:rtl/>
        </w:rPr>
        <w:t>)</w:t>
      </w:r>
      <w:r w:rsidRPr="0063006E">
        <w:rPr>
          <w:rFonts w:ascii="Traditional Arabic" w:hAnsi="Traditional Arabic"/>
          <w:rtl/>
        </w:rPr>
        <w:t>.</w:t>
      </w:r>
      <w:r w:rsidRPr="0063006E">
        <w:rPr>
          <w:rFonts w:ascii="Traditional Arabic" w:hAnsi="Traditional Arabic" w:hint="cs"/>
          <w:rtl/>
        </w:rPr>
        <w:t xml:space="preserve"> </w:t>
      </w:r>
      <w:r w:rsidRPr="0063006E">
        <w:rPr>
          <w:rFonts w:ascii="Traditional Arabic" w:hAnsi="Traditional Arabic"/>
          <w:rtl/>
        </w:rPr>
        <w:t>وأما الصاد، ففيها ثلاثة أقوال: أحدها: أنها من صادق. والثاني: من صدوق، رواهما سعيد أيضا عن ابن عباس</w:t>
      </w:r>
      <w:r w:rsidRPr="0063006E">
        <w:rPr>
          <w:vertAlign w:val="superscript"/>
          <w:rtl/>
        </w:rPr>
        <w:t>(</w:t>
      </w:r>
      <w:r w:rsidRPr="0063006E">
        <w:rPr>
          <w:vertAlign w:val="superscript"/>
          <w:rtl/>
        </w:rPr>
        <w:footnoteReference w:id="2040"/>
      </w:r>
      <w:r w:rsidRPr="0063006E">
        <w:rPr>
          <w:vertAlign w:val="superscript"/>
          <w:rtl/>
        </w:rPr>
        <w:t>)</w:t>
      </w:r>
      <w:r w:rsidRPr="0063006E">
        <w:rPr>
          <w:rFonts w:ascii="Traditional Arabic" w:hAnsi="Traditional Arabic"/>
          <w:rtl/>
        </w:rPr>
        <w:t>. والثالث: أنها من الصمد، قاله محمد بن كعب</w:t>
      </w:r>
      <w:r w:rsidRPr="0063006E">
        <w:rPr>
          <w:vertAlign w:val="superscript"/>
          <w:rtl/>
        </w:rPr>
        <w:t>(</w:t>
      </w:r>
      <w:r w:rsidRPr="0063006E">
        <w:rPr>
          <w:vertAlign w:val="superscript"/>
          <w:rtl/>
        </w:rPr>
        <w:footnoteReference w:id="2041"/>
      </w:r>
      <w:r w:rsidRPr="0063006E">
        <w:rPr>
          <w:vertAlign w:val="superscript"/>
          <w:rtl/>
        </w:rPr>
        <w:t>)</w:t>
      </w:r>
      <w:r w:rsidRPr="0063006E">
        <w:rPr>
          <w:rFonts w:ascii="Traditional Arabic" w:hAnsi="Traditional Arabic"/>
          <w:rtl/>
        </w:rPr>
        <w:t>.</w:t>
      </w:r>
      <w:r w:rsidRPr="0063006E">
        <w:rPr>
          <w:rFonts w:ascii="Traditional Arabic" w:hAnsi="Traditional Arabic" w:hint="cs"/>
          <w:rtl/>
        </w:rPr>
        <w:t xml:space="preserve"> </w:t>
      </w:r>
      <w:r w:rsidRPr="0063006E">
        <w:rPr>
          <w:rFonts w:ascii="Traditional Arabic" w:hAnsi="Traditional Arabic"/>
          <w:rtl/>
        </w:rPr>
        <w:t xml:space="preserve">والقول الثاني: أنّ </w:t>
      </w:r>
      <w:r w:rsidRPr="0063006E">
        <w:rPr>
          <w:rFonts w:ascii="QCF_BSML" w:hAnsi="QCF_BSML" w:cs="QCF_BSML"/>
          <w:color w:val="auto"/>
          <w:sz w:val="32"/>
          <w:szCs w:val="32"/>
          <w:rtl/>
          <w:lang w:eastAsia="en-US"/>
        </w:rPr>
        <w:t>ﭽ</w:t>
      </w:r>
      <w:r w:rsidRPr="0063006E">
        <w:rPr>
          <w:rFonts w:ascii="QCF_P305" w:hAnsi="QCF_P305" w:cs="QCF_P305"/>
          <w:color w:val="auto"/>
          <w:sz w:val="32"/>
          <w:szCs w:val="32"/>
          <w:rtl/>
          <w:lang w:eastAsia="en-US"/>
        </w:rPr>
        <w:t>ﭑ</w:t>
      </w:r>
      <w:r w:rsidRPr="0063006E">
        <w:rPr>
          <w:rFonts w:ascii="QCF_BSML" w:hAnsi="QCF_BSML" w:cs="QCF_BSML"/>
          <w:color w:val="auto"/>
          <w:sz w:val="32"/>
          <w:szCs w:val="32"/>
          <w:rtl/>
          <w:lang w:eastAsia="en-US"/>
        </w:rPr>
        <w:t>ﭼ</w:t>
      </w:r>
      <w:r w:rsidRPr="0063006E">
        <w:rPr>
          <w:rFonts w:ascii="QCF_BSML" w:hAnsi="QCF_BSML" w:cs="QCF_BSML" w:hint="cs"/>
          <w:color w:val="auto"/>
          <w:sz w:val="32"/>
          <w:szCs w:val="32"/>
          <w:rtl/>
          <w:lang w:eastAsia="en-US"/>
        </w:rPr>
        <w:t xml:space="preserve"> </w:t>
      </w:r>
      <w:r w:rsidRPr="0063006E">
        <w:rPr>
          <w:rFonts w:ascii="QCF_P305" w:hAnsi="QCF_P305" w:cs="QCF_P305"/>
          <w:color w:val="auto"/>
          <w:sz w:val="32"/>
          <w:szCs w:val="32"/>
          <w:rtl/>
          <w:lang w:eastAsia="en-US"/>
        </w:rPr>
        <w:t xml:space="preserve">  </w:t>
      </w:r>
      <w:r w:rsidRPr="0063006E">
        <w:rPr>
          <w:rFonts w:ascii="Traditional Arabic" w:hAnsi="Traditional Arabic"/>
          <w:rtl/>
        </w:rPr>
        <w:t xml:space="preserve">قسم أقسم الله تعالى به، وهو من أسمائه، رواه </w:t>
      </w:r>
      <w:r w:rsidRPr="0063006E">
        <w:rPr>
          <w:rFonts w:ascii="Traditional Arabic" w:hAnsi="Traditional Arabic"/>
          <w:rtl/>
        </w:rPr>
        <w:lastRenderedPageBreak/>
        <w:t>عليّ بن أبي طلحة عن ابن عباس</w:t>
      </w:r>
      <w:r w:rsidRPr="0063006E">
        <w:rPr>
          <w:vertAlign w:val="superscript"/>
          <w:rtl/>
        </w:rPr>
        <w:t>(</w:t>
      </w:r>
      <w:r w:rsidRPr="0063006E">
        <w:rPr>
          <w:vertAlign w:val="superscript"/>
          <w:rtl/>
        </w:rPr>
        <w:footnoteReference w:id="2042"/>
      </w:r>
      <w:r w:rsidRPr="0063006E">
        <w:rPr>
          <w:vertAlign w:val="superscript"/>
          <w:rtl/>
        </w:rPr>
        <w:t>)</w:t>
      </w:r>
      <w:r w:rsidRPr="0063006E">
        <w:rPr>
          <w:rFonts w:ascii="Traditional Arabic" w:hAnsi="Traditional Arabic"/>
          <w:rtl/>
        </w:rPr>
        <w:t>. وروي عن عليّ رضي الله عنه أنه قال: هو اسم من اسماء الله تعالى</w:t>
      </w:r>
      <w:r w:rsidRPr="0063006E">
        <w:rPr>
          <w:vertAlign w:val="superscript"/>
          <w:rtl/>
        </w:rPr>
        <w:t>(</w:t>
      </w:r>
      <w:r w:rsidRPr="0063006E">
        <w:rPr>
          <w:vertAlign w:val="superscript"/>
          <w:rtl/>
        </w:rPr>
        <w:footnoteReference w:id="2043"/>
      </w:r>
      <w:r w:rsidRPr="0063006E">
        <w:rPr>
          <w:vertAlign w:val="superscript"/>
          <w:rtl/>
        </w:rPr>
        <w:t>)</w:t>
      </w:r>
      <w:r w:rsidRPr="0063006E">
        <w:rPr>
          <w:rFonts w:ascii="Traditional Arabic" w:hAnsi="Traditional Arabic"/>
          <w:rtl/>
        </w:rPr>
        <w:t xml:space="preserve">. وروي عنه أنه كان يقول: </w:t>
      </w:r>
      <w:r w:rsidRPr="0063006E">
        <w:rPr>
          <w:rFonts w:ascii="Traditional Arabic" w:hAnsi="Traditional Arabic" w:hint="cs"/>
          <w:rtl/>
        </w:rPr>
        <w:t>[</w:t>
      </w:r>
      <w:r w:rsidRPr="0063006E">
        <w:rPr>
          <w:rFonts w:ascii="Traditional Arabic" w:hAnsi="Traditional Arabic"/>
          <w:rtl/>
        </w:rPr>
        <w:t>يا</w:t>
      </w:r>
      <w:r w:rsidRPr="0063006E">
        <w:rPr>
          <w:rFonts w:ascii="Traditional Arabic" w:hAnsi="Traditional Arabic" w:hint="cs"/>
          <w:rtl/>
        </w:rPr>
        <w:t>]</w:t>
      </w:r>
      <w:r w:rsidRPr="0063006E">
        <w:rPr>
          <w:vertAlign w:val="superscript"/>
          <w:rtl/>
        </w:rPr>
        <w:t>(</w:t>
      </w:r>
      <w:r w:rsidRPr="0063006E">
        <w:rPr>
          <w:vertAlign w:val="superscript"/>
          <w:rtl/>
        </w:rPr>
        <w:footnoteReference w:id="2044"/>
      </w:r>
      <w:r w:rsidRPr="0063006E">
        <w:rPr>
          <w:vertAlign w:val="superscript"/>
          <w:rtl/>
        </w:rPr>
        <w:t>)</w:t>
      </w:r>
      <w:r w:rsidRPr="0063006E">
        <w:rPr>
          <w:rFonts w:ascii="Traditional Arabic" w:hAnsi="Traditional Arabic"/>
          <w:rtl/>
        </w:rPr>
        <w:t>كهيعص اغفر لي</w:t>
      </w:r>
      <w:r w:rsidRPr="0063006E">
        <w:rPr>
          <w:vertAlign w:val="superscript"/>
          <w:rtl/>
        </w:rPr>
        <w:t>(</w:t>
      </w:r>
      <w:r w:rsidRPr="0063006E">
        <w:rPr>
          <w:vertAlign w:val="superscript"/>
          <w:rtl/>
        </w:rPr>
        <w:footnoteReference w:id="2045"/>
      </w:r>
      <w:r w:rsidRPr="0063006E">
        <w:rPr>
          <w:vertAlign w:val="superscript"/>
          <w:rtl/>
        </w:rPr>
        <w:t>)</w:t>
      </w:r>
      <w:r w:rsidRPr="0063006E">
        <w:rPr>
          <w:rFonts w:ascii="Traditional Arabic" w:hAnsi="Traditional Arabic"/>
          <w:rtl/>
        </w:rPr>
        <w:t>. قال الزجاج: والقَسَم بهذا والدعاء لا يدل على أنه اسم واحد، لأن الداعي إِذا علم أن الدعاء بهذه الحروف يدلّ على صفات الله تعالى فدعا بها، فكأنه قال: يا كافي، يا هادي، يا عالم، يا صادق، وإِذا أقسم بها، فكأنه قال: والكافي الهادي العالم الصادق، وأُسكنت هذه الحروف لأنها حروف تهجٍّ، النيَّة فيها الوقف</w:t>
      </w:r>
      <w:r w:rsidRPr="0063006E">
        <w:rPr>
          <w:vertAlign w:val="superscript"/>
          <w:rtl/>
        </w:rPr>
        <w:t>(</w:t>
      </w:r>
      <w:r w:rsidRPr="0063006E">
        <w:rPr>
          <w:vertAlign w:val="superscript"/>
          <w:rtl/>
        </w:rPr>
        <w:footnoteReference w:id="2046"/>
      </w:r>
      <w:r w:rsidRPr="0063006E">
        <w:rPr>
          <w:vertAlign w:val="superscript"/>
          <w:rtl/>
        </w:rPr>
        <w:t>)</w:t>
      </w:r>
      <w:r w:rsidRPr="0063006E">
        <w:rPr>
          <w:rFonts w:ascii="Traditional Arabic" w:hAnsi="Traditional Arabic"/>
          <w:rtl/>
        </w:rPr>
        <w:t>. والثالث: أنه اسم للسورة، قاله الحسن، ومجاهد</w:t>
      </w:r>
      <w:r w:rsidRPr="0063006E">
        <w:rPr>
          <w:vertAlign w:val="superscript"/>
          <w:rtl/>
        </w:rPr>
        <w:t>(</w:t>
      </w:r>
      <w:r w:rsidRPr="0063006E">
        <w:rPr>
          <w:vertAlign w:val="superscript"/>
          <w:rtl/>
        </w:rPr>
        <w:footnoteReference w:id="2047"/>
      </w:r>
      <w:r w:rsidRPr="0063006E">
        <w:rPr>
          <w:vertAlign w:val="superscript"/>
          <w:rtl/>
        </w:rPr>
        <w:t>)</w:t>
      </w:r>
      <w:r w:rsidRPr="0063006E">
        <w:rPr>
          <w:rFonts w:ascii="Traditional Arabic" w:hAnsi="Traditional Arabic"/>
          <w:rtl/>
        </w:rPr>
        <w:t>. والرابع: اسم من أسماء القرآن، قاله قتادة</w:t>
      </w:r>
      <w:r w:rsidRPr="0063006E">
        <w:rPr>
          <w:vertAlign w:val="superscript"/>
          <w:rtl/>
        </w:rPr>
        <w:t>(</w:t>
      </w:r>
      <w:r w:rsidRPr="0063006E">
        <w:rPr>
          <w:vertAlign w:val="superscript"/>
          <w:rtl/>
        </w:rPr>
        <w:footnoteReference w:id="2048"/>
      </w:r>
      <w:r w:rsidRPr="0063006E">
        <w:rPr>
          <w:vertAlign w:val="superscript"/>
          <w:rtl/>
        </w:rPr>
        <w:t>)</w:t>
      </w:r>
      <w:r w:rsidRPr="0063006E">
        <w:rPr>
          <w:rFonts w:ascii="Traditional Arabic" w:hAnsi="Traditional Arabic"/>
          <w:rtl/>
        </w:rPr>
        <w:t>.</w:t>
      </w:r>
      <w:r w:rsidRPr="0063006E">
        <w:rPr>
          <w:rFonts w:ascii="Traditional Arabic" w:hAnsi="Traditional Arabic" w:hint="cs"/>
          <w:rtl/>
        </w:rPr>
        <w:t xml:space="preserve"> </w:t>
      </w:r>
      <w:r w:rsidRPr="0063006E">
        <w:rPr>
          <w:rFonts w:ascii="Traditional Arabic" w:hAnsi="Traditional Arabic"/>
          <w:rtl/>
        </w:rPr>
        <w:t>فإن قيل: لم قالوا: هايا، ولم يقولوا في الكاف: كا، وفي العين: عا، وفي الصّاد: صا، لتتفق الم</w:t>
      </w:r>
      <w:r w:rsidRPr="0063006E">
        <w:rPr>
          <w:rFonts w:ascii="Traditional Arabic" w:hAnsi="Traditional Arabic" w:hint="cs"/>
          <w:rtl/>
        </w:rPr>
        <w:t>عاني</w:t>
      </w:r>
      <w:r w:rsidRPr="0063006E">
        <w:rPr>
          <w:vertAlign w:val="superscript"/>
          <w:rtl/>
        </w:rPr>
        <w:t>(</w:t>
      </w:r>
      <w:r w:rsidRPr="0063006E">
        <w:rPr>
          <w:vertAlign w:val="superscript"/>
          <w:rtl/>
        </w:rPr>
        <w:footnoteReference w:id="2049"/>
      </w:r>
      <w:r w:rsidRPr="0063006E">
        <w:rPr>
          <w:vertAlign w:val="superscript"/>
          <w:rtl/>
        </w:rPr>
        <w:t>)</w:t>
      </w:r>
      <w:r w:rsidRPr="0063006E">
        <w:rPr>
          <w:rFonts w:ascii="Traditional Arabic" w:hAnsi="Traditional Arabic"/>
          <w:rtl/>
        </w:rPr>
        <w:t xml:space="preserve"> كما اتفقت العلل؟ فقد أجاب عنه ابن الأنباري، فقال: حروف المعجم التسعة والعشرون تجري مجرى الرسالة والخطبة، فيستقبحون فيها اتفاق الألفاظ واستواء الأوزان، كما يستقبحون ذلك في خطبهم ورسائلهم، فيغيِّرون بعض الكِلَم ليختلف الوزن وتتغيَّر المباني، فيكون ذلك أعذب على الألسن وأحلى في الأسماع</w:t>
      </w:r>
      <w:r w:rsidRPr="0063006E">
        <w:rPr>
          <w:vertAlign w:val="superscript"/>
          <w:rtl/>
        </w:rPr>
        <w:t>(</w:t>
      </w:r>
      <w:r w:rsidRPr="0063006E">
        <w:rPr>
          <w:vertAlign w:val="superscript"/>
          <w:rtl/>
        </w:rPr>
        <w:footnoteReference w:id="2050"/>
      </w:r>
      <w:r w:rsidRPr="0063006E">
        <w:rPr>
          <w:vertAlign w:val="superscript"/>
          <w:rtl/>
        </w:rPr>
        <w:t>)</w:t>
      </w:r>
      <w:r w:rsidRPr="0063006E">
        <w:rPr>
          <w:rFonts w:ascii="Traditional Arabic" w:hAnsi="Traditional Arabic"/>
          <w:rtl/>
        </w:rPr>
        <w:t>.</w:t>
      </w:r>
    </w:p>
    <w:p w:rsidR="0063006E" w:rsidRPr="0063006E" w:rsidRDefault="0063006E" w:rsidP="00433168">
      <w:pPr>
        <w:ind w:firstLine="0"/>
        <w:rPr>
          <w:rFonts w:ascii="Traditional Arabic" w:hAnsi="Traditional Arabic"/>
          <w:rtl/>
        </w:rPr>
      </w:pPr>
      <w:r w:rsidRPr="0063006E">
        <w:rPr>
          <w:rFonts w:ascii="Traditional Arabic" w:hAnsi="Traditional Arabic"/>
          <w:rtl/>
        </w:rPr>
        <w:t xml:space="preserve">قوله تعالى: </w:t>
      </w:r>
      <w:r w:rsidRPr="0063006E">
        <w:rPr>
          <w:rFonts w:ascii="QCF_BSML" w:hAnsi="QCF_BSML" w:cs="QCF_BSML"/>
          <w:color w:val="auto"/>
          <w:sz w:val="32"/>
          <w:szCs w:val="32"/>
          <w:rtl/>
          <w:lang w:eastAsia="en-US"/>
        </w:rPr>
        <w:t>ﭽ</w:t>
      </w:r>
      <w:r w:rsidRPr="0063006E">
        <w:rPr>
          <w:rFonts w:ascii="QCF_P305" w:hAnsi="QCF_P305" w:cs="QCF_P305"/>
          <w:color w:val="auto"/>
          <w:sz w:val="32"/>
          <w:szCs w:val="32"/>
          <w:rtl/>
          <w:lang w:eastAsia="en-US"/>
        </w:rPr>
        <w:t xml:space="preserve"> ﭓ   ﭔ  ﭕ</w:t>
      </w:r>
      <w:r w:rsidRPr="0063006E">
        <w:rPr>
          <w:rFonts w:ascii="QCF_BSML" w:hAnsi="QCF_BSML" w:cs="QCF_BSML"/>
          <w:color w:val="auto"/>
          <w:sz w:val="32"/>
          <w:szCs w:val="32"/>
          <w:rtl/>
          <w:lang w:eastAsia="en-US"/>
        </w:rPr>
        <w:t xml:space="preserve"> ﭼ</w:t>
      </w:r>
      <w:r w:rsidRPr="0063006E">
        <w:rPr>
          <w:rFonts w:ascii="Traditional Arabic" w:hAnsi="Traditional Arabic" w:hint="cs"/>
          <w:rtl/>
        </w:rPr>
        <w:t xml:space="preserve"> </w:t>
      </w:r>
      <w:r w:rsidRPr="0063006E">
        <w:rPr>
          <w:rFonts w:ascii="Traditional Arabic" w:hAnsi="Traditional Arabic"/>
          <w:rtl/>
        </w:rPr>
        <w:t xml:space="preserve">قال الزجاج: الذِّكر مرفوع بالمُضمَر، المعنى: هذا الذي نتلو عليك </w:t>
      </w:r>
      <w:r w:rsidRPr="0063006E">
        <w:rPr>
          <w:rFonts w:ascii="QCF_BSML" w:hAnsi="QCF_BSML" w:cs="QCF_BSML"/>
          <w:color w:val="auto"/>
          <w:sz w:val="32"/>
          <w:szCs w:val="32"/>
          <w:rtl/>
          <w:lang w:eastAsia="en-US"/>
        </w:rPr>
        <w:t>ﭽ</w:t>
      </w:r>
      <w:r w:rsidRPr="0063006E">
        <w:rPr>
          <w:rFonts w:ascii="QCF_P305" w:hAnsi="QCF_P305" w:cs="QCF_P305"/>
          <w:color w:val="auto"/>
          <w:sz w:val="32"/>
          <w:szCs w:val="32"/>
          <w:rtl/>
          <w:lang w:eastAsia="en-US"/>
        </w:rPr>
        <w:t xml:space="preserve"> ﭓ   ﭔ  ﭕ  ﭖ</w:t>
      </w:r>
      <w:r w:rsidRPr="0063006E">
        <w:rPr>
          <w:rFonts w:ascii="QCF_BSML" w:hAnsi="QCF_BSML" w:cs="QCF_BSML"/>
          <w:color w:val="auto"/>
          <w:sz w:val="32"/>
          <w:szCs w:val="32"/>
          <w:rtl/>
          <w:lang w:eastAsia="en-US"/>
        </w:rPr>
        <w:t xml:space="preserve"> ﭼ</w:t>
      </w:r>
      <w:r w:rsidRPr="0063006E">
        <w:rPr>
          <w:rFonts w:ascii="QCF_P305" w:hAnsi="QCF_P305" w:cs="QCF_P305"/>
          <w:color w:val="auto"/>
          <w:sz w:val="32"/>
          <w:szCs w:val="32"/>
          <w:rtl/>
          <w:lang w:eastAsia="en-US"/>
        </w:rPr>
        <w:t xml:space="preserve">  </w:t>
      </w:r>
      <w:r w:rsidRPr="0063006E">
        <w:rPr>
          <w:vertAlign w:val="superscript"/>
          <w:rtl/>
        </w:rPr>
        <w:t>(</w:t>
      </w:r>
      <w:r w:rsidRPr="0063006E">
        <w:rPr>
          <w:vertAlign w:val="superscript"/>
          <w:rtl/>
        </w:rPr>
        <w:footnoteReference w:id="2051"/>
      </w:r>
      <w:r w:rsidRPr="0063006E">
        <w:rPr>
          <w:vertAlign w:val="superscript"/>
          <w:rtl/>
        </w:rPr>
        <w:t>)</w:t>
      </w:r>
      <w:r w:rsidRPr="0063006E">
        <w:rPr>
          <w:rFonts w:ascii="Traditional Arabic" w:hAnsi="Traditional Arabic"/>
          <w:rtl/>
        </w:rPr>
        <w:t xml:space="preserve">. قال الفراء: وفي الكلام تقديم وتأخير المعنى: ذِكْر ربِّك </w:t>
      </w:r>
      <w:r w:rsidRPr="0063006E">
        <w:rPr>
          <w:rFonts w:ascii="Traditional Arabic" w:hAnsi="Traditional Arabic"/>
          <w:rtl/>
        </w:rPr>
        <w:lastRenderedPageBreak/>
        <w:t xml:space="preserve">عبده بالرحمة، و </w:t>
      </w:r>
      <w:r w:rsidRPr="0063006E">
        <w:rPr>
          <w:rFonts w:ascii="QCF_BSML" w:hAnsi="QCF_BSML" w:cs="QCF_BSML"/>
          <w:color w:val="auto"/>
          <w:sz w:val="32"/>
          <w:szCs w:val="32"/>
          <w:rtl/>
          <w:lang w:eastAsia="en-US"/>
        </w:rPr>
        <w:t>ﭽ</w:t>
      </w:r>
      <w:r w:rsidRPr="0063006E">
        <w:rPr>
          <w:rFonts w:ascii="QCF_P305" w:hAnsi="QCF_P305" w:cs="QCF_P305"/>
          <w:color w:val="auto"/>
          <w:sz w:val="32"/>
          <w:szCs w:val="32"/>
          <w:rtl/>
          <w:lang w:eastAsia="en-US"/>
        </w:rPr>
        <w:t xml:space="preserve"> ﭗ</w:t>
      </w:r>
      <w:r w:rsidRPr="0063006E">
        <w:rPr>
          <w:rFonts w:ascii="QCF_BSML" w:hAnsi="QCF_BSML" w:cs="QCF_BSML"/>
          <w:color w:val="auto"/>
          <w:sz w:val="32"/>
          <w:szCs w:val="32"/>
          <w:rtl/>
          <w:lang w:eastAsia="en-US"/>
        </w:rPr>
        <w:t xml:space="preserve"> ﭼ</w:t>
      </w:r>
      <w:r w:rsidRPr="0063006E">
        <w:rPr>
          <w:rFonts w:ascii="Traditional Arabic" w:hAnsi="Traditional Arabic"/>
          <w:rtl/>
        </w:rPr>
        <w:t xml:space="preserve"> في موضع نصب</w:t>
      </w:r>
      <w:r w:rsidRPr="0063006E">
        <w:rPr>
          <w:vertAlign w:val="superscript"/>
          <w:rtl/>
        </w:rPr>
        <w:t>(</w:t>
      </w:r>
      <w:r w:rsidRPr="0063006E">
        <w:rPr>
          <w:vertAlign w:val="superscript"/>
          <w:rtl/>
        </w:rPr>
        <w:footnoteReference w:id="2052"/>
      </w:r>
      <w:r w:rsidRPr="0063006E">
        <w:rPr>
          <w:vertAlign w:val="superscript"/>
          <w:rtl/>
        </w:rPr>
        <w:t>)</w:t>
      </w:r>
      <w:r w:rsidRPr="0063006E">
        <w:rPr>
          <w:rFonts w:ascii="Traditional Arabic" w:hAnsi="Traditional Arabic"/>
          <w:rtl/>
        </w:rPr>
        <w:t>.</w:t>
      </w:r>
      <w:r w:rsidRPr="0063006E">
        <w:rPr>
          <w:rFonts w:ascii="Traditional Arabic" w:hAnsi="Traditional Arabic" w:hint="cs"/>
          <w:rtl/>
        </w:rPr>
        <w:t xml:space="preserve"> </w:t>
      </w:r>
      <w:r w:rsidRPr="0063006E">
        <w:rPr>
          <w:rFonts w:ascii="Traditional Arabic" w:hAnsi="Traditional Arabic"/>
          <w:rtl/>
        </w:rPr>
        <w:t xml:space="preserve">قوله تعالى: </w:t>
      </w:r>
      <w:r w:rsidRPr="0063006E">
        <w:rPr>
          <w:rFonts w:ascii="QCF_BSML" w:hAnsi="QCF_BSML" w:cs="QCF_BSML"/>
          <w:color w:val="auto"/>
          <w:sz w:val="32"/>
          <w:szCs w:val="32"/>
          <w:rtl/>
          <w:lang w:eastAsia="en-US"/>
        </w:rPr>
        <w:t>ﭽ</w:t>
      </w:r>
      <w:r w:rsidRPr="0063006E">
        <w:rPr>
          <w:rFonts w:ascii="QCF_P305" w:hAnsi="QCF_P305" w:cs="QCF_P305"/>
          <w:color w:val="auto"/>
          <w:sz w:val="32"/>
          <w:szCs w:val="32"/>
          <w:rtl/>
          <w:lang w:eastAsia="en-US"/>
        </w:rPr>
        <w:t xml:space="preserve"> ﭙ  ﭚ   ﭛ</w:t>
      </w:r>
      <w:r w:rsidRPr="0063006E">
        <w:rPr>
          <w:rFonts w:ascii="QCF_BSML" w:hAnsi="QCF_BSML" w:cs="QCF_BSML"/>
          <w:color w:val="auto"/>
          <w:sz w:val="32"/>
          <w:szCs w:val="32"/>
          <w:rtl/>
          <w:lang w:eastAsia="en-US"/>
        </w:rPr>
        <w:t xml:space="preserve"> ﭼ</w:t>
      </w:r>
      <w:r w:rsidRPr="0063006E">
        <w:rPr>
          <w:rFonts w:ascii="QCF_P305" w:hAnsi="QCF_P305" w:cs="QCF_P305"/>
          <w:color w:val="auto"/>
          <w:sz w:val="32"/>
          <w:szCs w:val="32"/>
          <w:rtl/>
          <w:lang w:eastAsia="en-US"/>
        </w:rPr>
        <w:t xml:space="preserve">  </w:t>
      </w:r>
      <w:r w:rsidRPr="0063006E">
        <w:rPr>
          <w:rFonts w:ascii="Traditional Arabic" w:hAnsi="Traditional Arabic"/>
          <w:rtl/>
        </w:rPr>
        <w:t xml:space="preserve">النداء ها هنا بمعنى </w:t>
      </w:r>
      <w:r w:rsidRPr="0063006E">
        <w:rPr>
          <w:rFonts w:ascii="Traditional Arabic" w:hAnsi="Traditional Arabic"/>
          <w:sz w:val="32"/>
          <w:szCs w:val="32"/>
          <w:rtl/>
        </w:rPr>
        <w:t>[</w:t>
      </w:r>
      <w:r w:rsidRPr="0063006E">
        <w:rPr>
          <w:rFonts w:ascii="Traditional Arabic" w:hAnsi="Traditional Arabic" w:hint="cs"/>
          <w:sz w:val="32"/>
          <w:szCs w:val="32"/>
          <w:rtl/>
        </w:rPr>
        <w:t>158</w:t>
      </w:r>
      <w:r w:rsidRPr="0063006E">
        <w:rPr>
          <w:rFonts w:ascii="Traditional Arabic" w:hAnsi="Traditional Arabic"/>
          <w:sz w:val="32"/>
          <w:szCs w:val="32"/>
          <w:rtl/>
        </w:rPr>
        <w:t>]</w:t>
      </w:r>
      <w:r w:rsidRPr="0063006E">
        <w:rPr>
          <w:rFonts w:ascii="Traditional Arabic" w:hAnsi="Traditional Arabic"/>
          <w:rtl/>
        </w:rPr>
        <w:t xml:space="preserve"> الدعاء. وفي علة إِخفائه لذلك ثلاثة أقوال:</w:t>
      </w:r>
      <w:r w:rsidRPr="0063006E">
        <w:rPr>
          <w:rFonts w:ascii="Traditional Arabic" w:hAnsi="Traditional Arabic" w:hint="cs"/>
          <w:rtl/>
        </w:rPr>
        <w:t xml:space="preserve"> </w:t>
      </w:r>
      <w:r w:rsidRPr="0063006E">
        <w:rPr>
          <w:rFonts w:ascii="Traditional Arabic" w:hAnsi="Traditional Arabic"/>
          <w:rtl/>
        </w:rPr>
        <w:t>أحدها: ليبعد عن الرياء، قاله ابن جريج</w:t>
      </w:r>
      <w:r w:rsidRPr="0063006E">
        <w:rPr>
          <w:vertAlign w:val="superscript"/>
          <w:rtl/>
        </w:rPr>
        <w:t>(</w:t>
      </w:r>
      <w:r w:rsidRPr="0063006E">
        <w:rPr>
          <w:vertAlign w:val="superscript"/>
          <w:rtl/>
        </w:rPr>
        <w:footnoteReference w:id="2053"/>
      </w:r>
      <w:r w:rsidRPr="0063006E">
        <w:rPr>
          <w:vertAlign w:val="superscript"/>
          <w:rtl/>
        </w:rPr>
        <w:t>)</w:t>
      </w:r>
      <w:r w:rsidRPr="0063006E">
        <w:rPr>
          <w:rFonts w:ascii="Traditional Arabic" w:hAnsi="Traditional Arabic"/>
          <w:rtl/>
        </w:rPr>
        <w:t>. والثاني: لئلا يقول الناس: انظروا إِلى هذا الشيخ يسأل الولد على الكِبَر، قاله مقاتل</w:t>
      </w:r>
      <w:r w:rsidRPr="0063006E">
        <w:rPr>
          <w:vertAlign w:val="superscript"/>
          <w:rtl/>
        </w:rPr>
        <w:t>(</w:t>
      </w:r>
      <w:r w:rsidRPr="0063006E">
        <w:rPr>
          <w:vertAlign w:val="superscript"/>
          <w:rtl/>
        </w:rPr>
        <w:footnoteReference w:id="2054"/>
      </w:r>
      <w:r w:rsidRPr="0063006E">
        <w:rPr>
          <w:vertAlign w:val="superscript"/>
          <w:rtl/>
        </w:rPr>
        <w:t>)</w:t>
      </w:r>
      <w:r w:rsidRPr="0063006E">
        <w:rPr>
          <w:rFonts w:ascii="Traditional Arabic" w:hAnsi="Traditional Arabic"/>
          <w:rtl/>
        </w:rPr>
        <w:t>. والثالث: لئلا يعاديه بنو عمه، ويظنوا أنه كره أن يلوا مكانه بعده، ذكره أبو سليمان الدمشقي</w:t>
      </w:r>
      <w:r w:rsidRPr="0063006E">
        <w:rPr>
          <w:vertAlign w:val="superscript"/>
          <w:rtl/>
        </w:rPr>
        <w:t>(</w:t>
      </w:r>
      <w:r w:rsidRPr="0063006E">
        <w:rPr>
          <w:vertAlign w:val="superscript"/>
          <w:rtl/>
        </w:rPr>
        <w:footnoteReference w:id="2055"/>
      </w:r>
      <w:r w:rsidRPr="0063006E">
        <w:rPr>
          <w:vertAlign w:val="superscript"/>
          <w:rtl/>
        </w:rPr>
        <w:t>)</w:t>
      </w:r>
      <w:r w:rsidRPr="0063006E">
        <w:rPr>
          <w:rFonts w:ascii="Traditional Arabic" w:hAnsi="Traditional Arabic"/>
          <w:rtl/>
        </w:rPr>
        <w:t>. وهذه القصة تدل على أن المستحب إِسرار الدعاء، ومنه الحديث: «إِنكم لا تدعون أصمّ»</w:t>
      </w:r>
      <w:r w:rsidRPr="0063006E">
        <w:rPr>
          <w:vertAlign w:val="superscript"/>
          <w:rtl/>
        </w:rPr>
        <w:t>(</w:t>
      </w:r>
      <w:r w:rsidRPr="0063006E">
        <w:rPr>
          <w:vertAlign w:val="superscript"/>
          <w:rtl/>
        </w:rPr>
        <w:footnoteReference w:id="2056"/>
      </w:r>
      <w:r w:rsidRPr="0063006E">
        <w:rPr>
          <w:vertAlign w:val="superscript"/>
          <w:rtl/>
        </w:rPr>
        <w:t>)</w:t>
      </w:r>
      <w:r w:rsidRPr="0063006E">
        <w:rPr>
          <w:rFonts w:ascii="Traditional Arabic" w:hAnsi="Traditional Arabic"/>
          <w:rtl/>
        </w:rPr>
        <w:t xml:space="preserve">. قوله تعالى: </w:t>
      </w:r>
      <w:r w:rsidRPr="0063006E">
        <w:rPr>
          <w:rFonts w:ascii="QCF_BSML" w:hAnsi="QCF_BSML" w:cs="QCF_BSML"/>
          <w:color w:val="auto"/>
          <w:sz w:val="32"/>
          <w:szCs w:val="32"/>
          <w:rtl/>
          <w:lang w:eastAsia="en-US"/>
        </w:rPr>
        <w:t>ﭽ</w:t>
      </w:r>
      <w:r w:rsidRPr="0063006E">
        <w:rPr>
          <w:rFonts w:ascii="QCF_P305" w:hAnsi="QCF_P305" w:cs="QCF_P305"/>
          <w:color w:val="auto"/>
          <w:sz w:val="32"/>
          <w:szCs w:val="32"/>
          <w:rtl/>
          <w:lang w:eastAsia="en-US"/>
        </w:rPr>
        <w:t xml:space="preserve"> ﭟ  ﭠ  ﭡ    ﭢ  ﭣ   ﭤ</w:t>
      </w:r>
      <w:r w:rsidRPr="0063006E">
        <w:rPr>
          <w:rFonts w:ascii="QCF_BSML" w:hAnsi="QCF_BSML" w:cs="QCF_BSML"/>
          <w:sz w:val="32"/>
          <w:szCs w:val="32"/>
          <w:rtl/>
          <w:lang w:eastAsia="en-US"/>
        </w:rPr>
        <w:t xml:space="preserve"> ﭼ</w:t>
      </w:r>
      <w:r w:rsidRPr="0063006E">
        <w:rPr>
          <w:vertAlign w:val="superscript"/>
          <w:rtl/>
        </w:rPr>
        <w:t>(</w:t>
      </w:r>
      <w:r w:rsidRPr="0063006E">
        <w:rPr>
          <w:vertAlign w:val="superscript"/>
          <w:rtl/>
        </w:rPr>
        <w:footnoteReference w:id="2057"/>
      </w:r>
      <w:r w:rsidRPr="0063006E">
        <w:rPr>
          <w:vertAlign w:val="superscript"/>
          <w:rtl/>
        </w:rPr>
        <w:t>)</w:t>
      </w:r>
      <w:r w:rsidRPr="0063006E">
        <w:rPr>
          <w:rFonts w:ascii="QCF_P305" w:hAnsi="QCF_P305" w:cs="QCF_P305"/>
          <w:color w:val="auto"/>
          <w:sz w:val="32"/>
          <w:szCs w:val="32"/>
          <w:rtl/>
          <w:lang w:eastAsia="en-US"/>
        </w:rPr>
        <w:t xml:space="preserve">  </w:t>
      </w:r>
      <w:r w:rsidRPr="0063006E">
        <w:rPr>
          <w:rFonts w:ascii="Traditional Arabic" w:hAnsi="Traditional Arabic"/>
          <w:rtl/>
        </w:rPr>
        <w:t xml:space="preserve">وقرأ معاذ القارئ، والضحاك: </w:t>
      </w:r>
    </w:p>
    <w:p w:rsidR="0063006E" w:rsidRPr="0063006E" w:rsidRDefault="0063006E" w:rsidP="00433168">
      <w:pPr>
        <w:ind w:firstLine="0"/>
        <w:rPr>
          <w:rFonts w:ascii="Traditional Arabic" w:hAnsi="Traditional Arabic"/>
          <w:rtl/>
        </w:rPr>
      </w:pPr>
      <w:r w:rsidRPr="0063006E">
        <w:rPr>
          <w:rFonts w:ascii="Traditional Arabic" w:hAnsi="Traditional Arabic"/>
          <w:rtl/>
        </w:rPr>
        <w:t>«وَهُن» بضم الهاء، أي:</w:t>
      </w:r>
      <w:r w:rsidRPr="0063006E">
        <w:rPr>
          <w:rFonts w:ascii="Traditional Arabic" w:hAnsi="Traditional Arabic" w:hint="cs"/>
          <w:rtl/>
        </w:rPr>
        <w:t xml:space="preserve"> </w:t>
      </w:r>
      <w:r w:rsidRPr="0063006E">
        <w:rPr>
          <w:rFonts w:ascii="Traditional Arabic" w:hAnsi="Traditional Arabic"/>
          <w:rtl/>
        </w:rPr>
        <w:t>ضَعُف</w:t>
      </w:r>
      <w:r w:rsidRPr="0063006E">
        <w:rPr>
          <w:vertAlign w:val="superscript"/>
          <w:rtl/>
        </w:rPr>
        <w:t>(</w:t>
      </w:r>
      <w:r w:rsidRPr="0063006E">
        <w:rPr>
          <w:vertAlign w:val="superscript"/>
          <w:rtl/>
        </w:rPr>
        <w:footnoteReference w:id="2058"/>
      </w:r>
      <w:r w:rsidRPr="0063006E">
        <w:rPr>
          <w:vertAlign w:val="superscript"/>
          <w:rtl/>
        </w:rPr>
        <w:t>)</w:t>
      </w:r>
      <w:r w:rsidRPr="0063006E">
        <w:rPr>
          <w:rFonts w:ascii="Traditional Arabic" w:hAnsi="Traditional Arabic"/>
          <w:rtl/>
        </w:rPr>
        <w:t>. قال الفراء وغيره: وَهَن العظم، ووَهِن، بفتح الهاء وكسرها والمستقبل على الحالين كليهما:</w:t>
      </w:r>
      <w:r w:rsidRPr="0063006E">
        <w:rPr>
          <w:rFonts w:ascii="Traditional Arabic" w:hAnsi="Traditional Arabic" w:hint="cs"/>
          <w:rtl/>
        </w:rPr>
        <w:t xml:space="preserve"> </w:t>
      </w:r>
      <w:r w:rsidRPr="0063006E">
        <w:rPr>
          <w:rFonts w:ascii="Traditional Arabic" w:hAnsi="Traditional Arabic"/>
          <w:rtl/>
        </w:rPr>
        <w:t>يَهِن</w:t>
      </w:r>
      <w:r w:rsidRPr="0063006E">
        <w:rPr>
          <w:vertAlign w:val="superscript"/>
          <w:rtl/>
        </w:rPr>
        <w:t>(</w:t>
      </w:r>
      <w:r w:rsidRPr="0063006E">
        <w:rPr>
          <w:vertAlign w:val="superscript"/>
          <w:rtl/>
        </w:rPr>
        <w:footnoteReference w:id="2059"/>
      </w:r>
      <w:r w:rsidRPr="0063006E">
        <w:rPr>
          <w:vertAlign w:val="superscript"/>
          <w:rtl/>
        </w:rPr>
        <w:t>)</w:t>
      </w:r>
      <w:r w:rsidRPr="0063006E">
        <w:rPr>
          <w:rFonts w:ascii="Traditional Arabic" w:hAnsi="Traditional Arabic"/>
          <w:rtl/>
        </w:rPr>
        <w:t>. وأراد أن قوَّة عظامه قد ذهبت لِكبَره وإِنما خصّ العظم، لأنه الأصل في التركيب</w:t>
      </w:r>
      <w:r w:rsidRPr="0063006E">
        <w:rPr>
          <w:vertAlign w:val="superscript"/>
          <w:rtl/>
        </w:rPr>
        <w:t>(</w:t>
      </w:r>
      <w:r w:rsidRPr="0063006E">
        <w:rPr>
          <w:vertAlign w:val="superscript"/>
          <w:rtl/>
        </w:rPr>
        <w:footnoteReference w:id="2060"/>
      </w:r>
      <w:r w:rsidRPr="0063006E">
        <w:rPr>
          <w:vertAlign w:val="superscript"/>
          <w:rtl/>
        </w:rPr>
        <w:t>)</w:t>
      </w:r>
      <w:r w:rsidRPr="0063006E">
        <w:rPr>
          <w:rFonts w:ascii="Traditional Arabic" w:hAnsi="Traditional Arabic"/>
          <w:rtl/>
        </w:rPr>
        <w:t>. وقال قتادة:</w:t>
      </w:r>
      <w:r w:rsidRPr="0063006E">
        <w:rPr>
          <w:rFonts w:ascii="Traditional Arabic" w:hAnsi="Traditional Arabic" w:hint="cs"/>
          <w:rtl/>
        </w:rPr>
        <w:t xml:space="preserve"> </w:t>
      </w:r>
      <w:r w:rsidRPr="0063006E">
        <w:rPr>
          <w:rFonts w:ascii="Traditional Arabic" w:hAnsi="Traditional Arabic"/>
          <w:rtl/>
        </w:rPr>
        <w:t>شكا ذهاب أضراسه</w:t>
      </w:r>
      <w:r w:rsidRPr="0063006E">
        <w:rPr>
          <w:vertAlign w:val="superscript"/>
          <w:rtl/>
        </w:rPr>
        <w:t>(</w:t>
      </w:r>
      <w:r w:rsidRPr="0063006E">
        <w:rPr>
          <w:vertAlign w:val="superscript"/>
          <w:rtl/>
        </w:rPr>
        <w:footnoteReference w:id="2061"/>
      </w:r>
      <w:r w:rsidRPr="0063006E">
        <w:rPr>
          <w:vertAlign w:val="superscript"/>
          <w:rtl/>
        </w:rPr>
        <w:t>)</w:t>
      </w:r>
      <w:r w:rsidRPr="0063006E">
        <w:rPr>
          <w:rFonts w:ascii="Traditional Arabic" w:hAnsi="Traditional Arabic"/>
          <w:rtl/>
        </w:rPr>
        <w:t>. قوله تعالى:</w:t>
      </w:r>
      <w:r w:rsidRPr="0063006E">
        <w:rPr>
          <w:rFonts w:ascii="QCF_BSML" w:hAnsi="QCF_BSML" w:cs="QCF_BSML"/>
          <w:color w:val="auto"/>
          <w:sz w:val="32"/>
          <w:szCs w:val="32"/>
          <w:rtl/>
          <w:lang w:eastAsia="en-US"/>
        </w:rPr>
        <w:t xml:space="preserve"> ﭽ</w:t>
      </w:r>
      <w:r w:rsidRPr="0063006E">
        <w:rPr>
          <w:rFonts w:ascii="QCF_P305" w:hAnsi="QCF_P305" w:cs="QCF_P305"/>
          <w:color w:val="auto"/>
          <w:sz w:val="32"/>
          <w:szCs w:val="32"/>
          <w:rtl/>
          <w:lang w:eastAsia="en-US"/>
        </w:rPr>
        <w:t>ﭥ  ﭦ  ﭧ</w:t>
      </w:r>
      <w:r w:rsidRPr="0063006E">
        <w:rPr>
          <w:rFonts w:ascii="QCF_BSML" w:hAnsi="QCF_BSML" w:cs="QCF_BSML"/>
          <w:sz w:val="32"/>
          <w:szCs w:val="32"/>
          <w:rtl/>
          <w:lang w:eastAsia="en-US"/>
        </w:rPr>
        <w:t>ﭼ</w:t>
      </w:r>
      <w:r w:rsidRPr="0063006E">
        <w:rPr>
          <w:rFonts w:ascii="QCF_P305" w:hAnsi="QCF_P305" w:cs="QCF_P305"/>
          <w:color w:val="auto"/>
          <w:sz w:val="32"/>
          <w:szCs w:val="32"/>
          <w:rtl/>
          <w:lang w:eastAsia="en-US"/>
        </w:rPr>
        <w:t xml:space="preserve">  </w:t>
      </w:r>
      <w:r w:rsidRPr="0063006E">
        <w:rPr>
          <w:rFonts w:ascii="Traditional Arabic" w:hAnsi="Traditional Arabic"/>
          <w:rtl/>
        </w:rPr>
        <w:t xml:space="preserve">يعني: انتشر الشيب فيه، كما ينتشر شعاع النار في الحطب، وهذا </w:t>
      </w:r>
      <w:r w:rsidRPr="0063006E">
        <w:rPr>
          <w:rFonts w:ascii="Traditional Arabic" w:hAnsi="Traditional Arabic"/>
          <w:rtl/>
        </w:rPr>
        <w:lastRenderedPageBreak/>
        <w:t>من أحسن الاستعارات</w:t>
      </w:r>
      <w:r w:rsidRPr="0063006E">
        <w:rPr>
          <w:vertAlign w:val="superscript"/>
          <w:rtl/>
        </w:rPr>
        <w:t>(</w:t>
      </w:r>
      <w:r w:rsidRPr="0063006E">
        <w:rPr>
          <w:vertAlign w:val="superscript"/>
          <w:rtl/>
        </w:rPr>
        <w:footnoteReference w:id="2062"/>
      </w:r>
      <w:r w:rsidRPr="0063006E">
        <w:rPr>
          <w:vertAlign w:val="superscript"/>
          <w:rtl/>
        </w:rPr>
        <w:t>)</w:t>
      </w:r>
      <w:r w:rsidRPr="0063006E">
        <w:rPr>
          <w:rFonts w:ascii="Traditional Arabic" w:hAnsi="Traditional Arabic"/>
          <w:rtl/>
        </w:rPr>
        <w:t>.</w:t>
      </w:r>
      <w:r w:rsidRPr="0063006E">
        <w:rPr>
          <w:rFonts w:ascii="QCF_BSML" w:hAnsi="QCF_BSML" w:cs="QCF_BSML" w:hint="cs"/>
          <w:color w:val="auto"/>
          <w:sz w:val="32"/>
          <w:szCs w:val="32"/>
          <w:rtl/>
          <w:lang w:eastAsia="en-US"/>
        </w:rPr>
        <w:t xml:space="preserve">    </w:t>
      </w:r>
      <w:r w:rsidRPr="0063006E">
        <w:rPr>
          <w:rFonts w:ascii="QCF_BSML" w:hAnsi="QCF_BSML" w:cs="QCF_BSML"/>
          <w:color w:val="auto"/>
          <w:sz w:val="32"/>
          <w:szCs w:val="32"/>
          <w:rtl/>
          <w:lang w:eastAsia="en-US"/>
        </w:rPr>
        <w:t>ﭽ</w:t>
      </w:r>
      <w:r w:rsidRPr="0063006E">
        <w:rPr>
          <w:rFonts w:ascii="QCF_P305" w:hAnsi="QCF_P305" w:cs="QCF_P305"/>
          <w:color w:val="auto"/>
          <w:sz w:val="32"/>
          <w:szCs w:val="32"/>
          <w:rtl/>
          <w:lang w:eastAsia="en-US"/>
        </w:rPr>
        <w:t xml:space="preserve"> ﭨ  ﭩ  ﭪ</w:t>
      </w:r>
      <w:r w:rsidRPr="0063006E">
        <w:rPr>
          <w:rFonts w:ascii="QCF_BSML" w:hAnsi="QCF_BSML" w:cs="QCF_BSML"/>
          <w:sz w:val="32"/>
          <w:szCs w:val="32"/>
          <w:rtl/>
          <w:lang w:eastAsia="en-US"/>
        </w:rPr>
        <w:t xml:space="preserve"> ﭼ</w:t>
      </w:r>
      <w:r w:rsidRPr="0063006E">
        <w:rPr>
          <w:rFonts w:ascii="QCF_P305" w:hAnsi="QCF_P305" w:cs="QCF_P305"/>
          <w:color w:val="auto"/>
          <w:sz w:val="32"/>
          <w:szCs w:val="32"/>
          <w:rtl/>
          <w:lang w:eastAsia="en-US"/>
        </w:rPr>
        <w:t xml:space="preserve">  </w:t>
      </w:r>
      <w:r w:rsidRPr="0063006E">
        <w:rPr>
          <w:rFonts w:ascii="Traditional Arabic" w:hAnsi="Traditional Arabic"/>
          <w:rtl/>
        </w:rPr>
        <w:t xml:space="preserve">أي: بدعائي إيّاك </w:t>
      </w:r>
      <w:r w:rsidRPr="0063006E">
        <w:rPr>
          <w:rFonts w:ascii="QCF_BSML" w:hAnsi="QCF_BSML" w:cs="QCF_BSML"/>
          <w:color w:val="auto"/>
          <w:sz w:val="32"/>
          <w:szCs w:val="32"/>
          <w:rtl/>
          <w:lang w:eastAsia="en-US"/>
        </w:rPr>
        <w:t>ﭽ</w:t>
      </w:r>
      <w:r w:rsidRPr="0063006E">
        <w:rPr>
          <w:rFonts w:ascii="QCF_P305" w:hAnsi="QCF_P305" w:cs="QCF_P305"/>
          <w:color w:val="auto"/>
          <w:sz w:val="32"/>
          <w:szCs w:val="32"/>
          <w:rtl/>
          <w:lang w:eastAsia="en-US"/>
        </w:rPr>
        <w:t xml:space="preserve"> ﭫ   ﭬ</w:t>
      </w:r>
      <w:r w:rsidRPr="0063006E">
        <w:rPr>
          <w:rFonts w:ascii="QCF_BSML" w:hAnsi="QCF_BSML" w:cs="QCF_BSML"/>
          <w:sz w:val="32"/>
          <w:szCs w:val="32"/>
          <w:rtl/>
          <w:lang w:eastAsia="en-US"/>
        </w:rPr>
        <w:t xml:space="preserve"> ﭼ</w:t>
      </w:r>
      <w:r w:rsidRPr="0063006E">
        <w:rPr>
          <w:rFonts w:ascii="QCF_P305" w:hAnsi="QCF_P305" w:cs="QCF_P305"/>
          <w:color w:val="auto"/>
          <w:sz w:val="32"/>
          <w:szCs w:val="32"/>
          <w:rtl/>
          <w:lang w:eastAsia="en-US"/>
        </w:rPr>
        <w:t xml:space="preserve">  </w:t>
      </w:r>
      <w:r w:rsidRPr="0063006E">
        <w:rPr>
          <w:rFonts w:ascii="Traditional Arabic" w:hAnsi="Traditional Arabic"/>
          <w:rtl/>
        </w:rPr>
        <w:t>أي: لم أكن لأتعب بالدعاء ثم أُخيَّب، لأنك قد عودتَني الإِجابة يقال: شقي فلان بكذا: إِذا تعب بسببه، ولم ينل مراده</w:t>
      </w:r>
      <w:r w:rsidRPr="0063006E">
        <w:rPr>
          <w:vertAlign w:val="superscript"/>
          <w:rtl/>
        </w:rPr>
        <w:t>(</w:t>
      </w:r>
      <w:r w:rsidRPr="0063006E">
        <w:rPr>
          <w:vertAlign w:val="superscript"/>
          <w:rtl/>
        </w:rPr>
        <w:footnoteReference w:id="2063"/>
      </w:r>
      <w:r w:rsidRPr="0063006E">
        <w:rPr>
          <w:vertAlign w:val="superscript"/>
          <w:rtl/>
        </w:rPr>
        <w:t>)</w:t>
      </w:r>
      <w:r w:rsidRPr="0063006E">
        <w:rPr>
          <w:rFonts w:ascii="Traditional Arabic" w:hAnsi="Traditional Arabic"/>
          <w:rtl/>
        </w:rPr>
        <w:t>.</w:t>
      </w:r>
      <w:r w:rsidRPr="0063006E">
        <w:rPr>
          <w:rFonts w:ascii="Traditional Arabic" w:hAnsi="Traditional Arabic" w:hint="cs"/>
          <w:rtl/>
        </w:rPr>
        <w:t xml:space="preserve"> </w:t>
      </w:r>
      <w:r w:rsidRPr="0063006E">
        <w:rPr>
          <w:rFonts w:ascii="Traditional Arabic" w:hAnsi="Traditional Arabic"/>
          <w:rtl/>
        </w:rPr>
        <w:t xml:space="preserve">قوله تعالى: </w:t>
      </w:r>
      <w:r w:rsidRPr="0063006E">
        <w:rPr>
          <w:rFonts w:ascii="QCF_BSML" w:hAnsi="QCF_BSML" w:cs="QCF_BSML"/>
          <w:color w:val="auto"/>
          <w:sz w:val="32"/>
          <w:szCs w:val="32"/>
          <w:rtl/>
          <w:lang w:eastAsia="en-US"/>
        </w:rPr>
        <w:t>ﭽ</w:t>
      </w:r>
      <w:r w:rsidRPr="0063006E">
        <w:rPr>
          <w:rFonts w:ascii="QCF_P305" w:hAnsi="QCF_P305" w:cs="QCF_P305"/>
          <w:color w:val="auto"/>
          <w:sz w:val="32"/>
          <w:szCs w:val="32"/>
          <w:rtl/>
          <w:lang w:eastAsia="en-US"/>
        </w:rPr>
        <w:t xml:space="preserve"> ﭮ  ﭯ  ﭰ</w:t>
      </w:r>
      <w:r w:rsidRPr="0063006E">
        <w:rPr>
          <w:rFonts w:ascii="QCF_BSML" w:hAnsi="QCF_BSML" w:cs="QCF_BSML"/>
          <w:sz w:val="32"/>
          <w:szCs w:val="32"/>
          <w:rtl/>
          <w:lang w:eastAsia="en-US"/>
        </w:rPr>
        <w:t xml:space="preserve"> ﭼ</w:t>
      </w:r>
      <w:r w:rsidRPr="0063006E">
        <w:rPr>
          <w:rFonts w:ascii="QCF_P305" w:hAnsi="QCF_P305" w:cs="QCF_P305"/>
          <w:color w:val="auto"/>
          <w:sz w:val="32"/>
          <w:szCs w:val="32"/>
          <w:rtl/>
          <w:lang w:eastAsia="en-US"/>
        </w:rPr>
        <w:t xml:space="preserve">  </w:t>
      </w:r>
      <w:r w:rsidRPr="0063006E">
        <w:rPr>
          <w:rFonts w:ascii="Traditional Arabic" w:hAnsi="Traditional Arabic"/>
          <w:rtl/>
        </w:rPr>
        <w:t xml:space="preserve">يعني: الذين يلونه في النسب، وهم بنو العم والعَصبة </w:t>
      </w:r>
      <w:r w:rsidRPr="0063006E">
        <w:rPr>
          <w:rFonts w:ascii="QCF_BSML" w:hAnsi="QCF_BSML" w:cs="QCF_BSML"/>
          <w:color w:val="auto"/>
          <w:sz w:val="32"/>
          <w:szCs w:val="32"/>
          <w:rtl/>
          <w:lang w:eastAsia="en-US"/>
        </w:rPr>
        <w:t>ﭽ</w:t>
      </w:r>
      <w:r w:rsidRPr="0063006E">
        <w:rPr>
          <w:rFonts w:ascii="QCF_P305" w:hAnsi="QCF_P305" w:cs="QCF_P305"/>
          <w:color w:val="auto"/>
          <w:sz w:val="32"/>
          <w:szCs w:val="32"/>
          <w:rtl/>
          <w:lang w:eastAsia="en-US"/>
        </w:rPr>
        <w:t xml:space="preserve"> ﭱ  ﭲ</w:t>
      </w:r>
      <w:r w:rsidRPr="0063006E">
        <w:rPr>
          <w:rFonts w:ascii="QCF_BSML" w:hAnsi="QCF_BSML" w:cs="QCF_BSML"/>
          <w:sz w:val="32"/>
          <w:szCs w:val="32"/>
          <w:rtl/>
          <w:lang w:eastAsia="en-US"/>
        </w:rPr>
        <w:t xml:space="preserve"> ﭼ</w:t>
      </w:r>
      <w:r w:rsidRPr="0063006E">
        <w:rPr>
          <w:rFonts w:ascii="QCF_P305" w:hAnsi="QCF_P305" w:cs="QCF_P305"/>
          <w:color w:val="auto"/>
          <w:sz w:val="32"/>
          <w:szCs w:val="32"/>
          <w:rtl/>
          <w:lang w:eastAsia="en-US"/>
        </w:rPr>
        <w:t xml:space="preserve">  </w:t>
      </w:r>
      <w:r w:rsidRPr="0063006E">
        <w:rPr>
          <w:rFonts w:ascii="Traditional Arabic" w:hAnsi="Traditional Arabic"/>
          <w:rtl/>
        </w:rPr>
        <w:t>أي: من بعد موتي</w:t>
      </w:r>
      <w:r w:rsidRPr="0063006E">
        <w:rPr>
          <w:vertAlign w:val="superscript"/>
          <w:rtl/>
        </w:rPr>
        <w:t>(</w:t>
      </w:r>
      <w:r w:rsidRPr="0063006E">
        <w:rPr>
          <w:vertAlign w:val="superscript"/>
          <w:rtl/>
        </w:rPr>
        <w:footnoteReference w:id="2064"/>
      </w:r>
      <w:r w:rsidRPr="0063006E">
        <w:rPr>
          <w:vertAlign w:val="superscript"/>
          <w:rtl/>
        </w:rPr>
        <w:t>)</w:t>
      </w:r>
      <w:r w:rsidRPr="0063006E">
        <w:rPr>
          <w:rFonts w:ascii="Traditional Arabic" w:hAnsi="Traditional Arabic"/>
          <w:rtl/>
        </w:rPr>
        <w:t>. وفي ما خافهم عليه قولان:</w:t>
      </w:r>
      <w:r w:rsidRPr="0063006E">
        <w:rPr>
          <w:rFonts w:ascii="Traditional Arabic" w:hAnsi="Traditional Arabic" w:hint="cs"/>
          <w:rtl/>
        </w:rPr>
        <w:t xml:space="preserve"> </w:t>
      </w:r>
      <w:r w:rsidRPr="0063006E">
        <w:rPr>
          <w:rFonts w:ascii="Traditional Arabic" w:hAnsi="Traditional Arabic"/>
          <w:rtl/>
        </w:rPr>
        <w:t>أحدهما: أنه خاف أن يَرِثوه، قاله ابن عباس</w:t>
      </w:r>
      <w:r w:rsidRPr="0063006E">
        <w:rPr>
          <w:vertAlign w:val="superscript"/>
          <w:rtl/>
        </w:rPr>
        <w:t>(</w:t>
      </w:r>
      <w:r w:rsidRPr="0063006E">
        <w:rPr>
          <w:vertAlign w:val="superscript"/>
          <w:rtl/>
        </w:rPr>
        <w:footnoteReference w:id="2065"/>
      </w:r>
      <w:r w:rsidRPr="0063006E">
        <w:rPr>
          <w:vertAlign w:val="superscript"/>
          <w:rtl/>
        </w:rPr>
        <w:t>)</w:t>
      </w:r>
      <w:r w:rsidRPr="0063006E">
        <w:rPr>
          <w:rFonts w:ascii="Traditional Arabic" w:hAnsi="Traditional Arabic"/>
          <w:rtl/>
        </w:rPr>
        <w:t>. فإن اعترض عليه معترض، فقال: كيف يجوز لنبيّ</w:t>
      </w:r>
      <w:r w:rsidRPr="0063006E">
        <w:rPr>
          <w:rFonts w:ascii="Traditional Arabic" w:hAnsi="Traditional Arabic" w:hint="cs"/>
          <w:rtl/>
        </w:rPr>
        <w:t xml:space="preserve"> </w:t>
      </w:r>
      <w:r w:rsidRPr="0063006E">
        <w:rPr>
          <w:rFonts w:ascii="Traditional Arabic" w:hAnsi="Traditional Arabic"/>
          <w:rtl/>
        </w:rPr>
        <w:t xml:space="preserve">أن يَنْفَس على قراباته بالحقوق المفروضة لهم بعد موته؟ فعنه جوابان: أحدهما: أنه لما كان نبيّاً، والنبيّ لا يورث، </w:t>
      </w:r>
      <w:r w:rsidRPr="0063006E">
        <w:rPr>
          <w:rFonts w:ascii="Traditional Arabic" w:hAnsi="Traditional Arabic" w:hint="cs"/>
          <w:rtl/>
        </w:rPr>
        <w:t>جاز</w:t>
      </w:r>
      <w:r w:rsidRPr="0063006E">
        <w:rPr>
          <w:rFonts w:ascii="Traditional Arabic" w:hAnsi="Traditional Arabic"/>
          <w:rtl/>
        </w:rPr>
        <w:t xml:space="preserve"> أن يرِثوا</w:t>
      </w:r>
      <w:r w:rsidRPr="0063006E">
        <w:rPr>
          <w:rFonts w:hint="cs"/>
          <w:vertAlign w:val="superscript"/>
          <w:rtl/>
        </w:rPr>
        <w:t xml:space="preserve"> </w:t>
      </w:r>
      <w:r w:rsidRPr="0063006E">
        <w:rPr>
          <w:rFonts w:ascii="Traditional Arabic" w:hAnsi="Traditional Arabic"/>
          <w:rtl/>
        </w:rPr>
        <w:t>ماله فيأخذو</w:t>
      </w:r>
      <w:r w:rsidRPr="0063006E">
        <w:rPr>
          <w:rFonts w:ascii="Traditional Arabic" w:hAnsi="Traditional Arabic" w:hint="cs"/>
          <w:rtl/>
        </w:rPr>
        <w:t>ن</w:t>
      </w:r>
      <w:r w:rsidRPr="0063006E">
        <w:rPr>
          <w:rFonts w:ascii="Traditional Arabic" w:hAnsi="Traditional Arabic"/>
          <w:rtl/>
        </w:rPr>
        <w:t xml:space="preserve"> ما لا يجوز لهم</w:t>
      </w:r>
      <w:r w:rsidRPr="0063006E">
        <w:rPr>
          <w:vertAlign w:val="superscript"/>
          <w:rtl/>
        </w:rPr>
        <w:t>(</w:t>
      </w:r>
      <w:r w:rsidRPr="0063006E">
        <w:rPr>
          <w:vertAlign w:val="superscript"/>
          <w:rtl/>
        </w:rPr>
        <w:footnoteReference w:id="2066"/>
      </w:r>
      <w:r w:rsidRPr="0063006E">
        <w:rPr>
          <w:vertAlign w:val="superscript"/>
          <w:rtl/>
        </w:rPr>
        <w:t>)</w:t>
      </w:r>
      <w:r w:rsidRPr="0063006E">
        <w:rPr>
          <w:rFonts w:ascii="Traditional Arabic" w:hAnsi="Traditional Arabic"/>
          <w:rtl/>
        </w:rPr>
        <w:t>. والثاني: أنه غلب عليه طبع البشر، فأحبَّ أن يتولَّى مالَه ولدُه، ذكرهما ابن الأنباري</w:t>
      </w:r>
      <w:r w:rsidRPr="0063006E">
        <w:rPr>
          <w:vertAlign w:val="superscript"/>
          <w:rtl/>
        </w:rPr>
        <w:t>(</w:t>
      </w:r>
      <w:r w:rsidRPr="0063006E">
        <w:rPr>
          <w:vertAlign w:val="superscript"/>
          <w:rtl/>
        </w:rPr>
        <w:footnoteReference w:id="2067"/>
      </w:r>
      <w:r w:rsidRPr="0063006E">
        <w:rPr>
          <w:vertAlign w:val="superscript"/>
          <w:rtl/>
        </w:rPr>
        <w:t>)</w:t>
      </w:r>
      <w:r w:rsidRPr="0063006E">
        <w:rPr>
          <w:rFonts w:ascii="Traditional Arabic" w:hAnsi="Traditional Arabic"/>
          <w:rtl/>
        </w:rPr>
        <w:t xml:space="preserve">. </w:t>
      </w:r>
    </w:p>
    <w:p w:rsidR="00433168" w:rsidRDefault="0063006E" w:rsidP="0063006E">
      <w:pPr>
        <w:ind w:firstLine="0"/>
        <w:rPr>
          <w:rFonts w:ascii="Traditional Arabic" w:hAnsi="Traditional Arabic"/>
          <w:rtl/>
        </w:rPr>
      </w:pPr>
      <w:r w:rsidRPr="0063006E">
        <w:rPr>
          <w:rFonts w:ascii="Traditional Arabic" w:hAnsi="Traditional Arabic" w:hint="cs"/>
          <w:rtl/>
        </w:rPr>
        <w:t>قال المصنف</w:t>
      </w:r>
      <w:r w:rsidRPr="0063006E">
        <w:rPr>
          <w:vertAlign w:val="superscript"/>
          <w:rtl/>
        </w:rPr>
        <w:t>(</w:t>
      </w:r>
      <w:r w:rsidRPr="0063006E">
        <w:rPr>
          <w:vertAlign w:val="superscript"/>
          <w:rtl/>
        </w:rPr>
        <w:footnoteReference w:id="2068"/>
      </w:r>
      <w:r w:rsidRPr="0063006E">
        <w:rPr>
          <w:vertAlign w:val="superscript"/>
          <w:rtl/>
        </w:rPr>
        <w:t>)</w:t>
      </w:r>
      <w:r w:rsidRPr="0063006E">
        <w:rPr>
          <w:rFonts w:ascii="Traditional Arabic" w:hAnsi="Traditional Arabic"/>
          <w:rtl/>
        </w:rPr>
        <w:t>قلت: وبيان هذا أنه لا بد أن يتولّى ماله وإن لم يكن ميراثاً، فأحبَّ أن يتولاه ولده.</w:t>
      </w:r>
      <w:r w:rsidRPr="0063006E">
        <w:rPr>
          <w:rFonts w:ascii="Traditional Arabic" w:hAnsi="Traditional Arabic" w:hint="cs"/>
          <w:rtl/>
        </w:rPr>
        <w:t xml:space="preserve"> </w:t>
      </w:r>
      <w:r w:rsidRPr="0063006E">
        <w:rPr>
          <w:rFonts w:ascii="Traditional Arabic" w:hAnsi="Traditional Arabic"/>
          <w:rtl/>
        </w:rPr>
        <w:t>والقول الثاني: أنه خاف تضييعهم للدِّين ونبذهم إِيّاه، ذكره جماعة من المفسرين</w:t>
      </w:r>
      <w:r w:rsidRPr="0063006E">
        <w:rPr>
          <w:vertAlign w:val="superscript"/>
          <w:rtl/>
        </w:rPr>
        <w:t>(</w:t>
      </w:r>
      <w:r w:rsidRPr="0063006E">
        <w:rPr>
          <w:vertAlign w:val="superscript"/>
          <w:rtl/>
        </w:rPr>
        <w:footnoteReference w:id="2069"/>
      </w:r>
      <w:r w:rsidRPr="0063006E">
        <w:rPr>
          <w:vertAlign w:val="superscript"/>
          <w:rtl/>
        </w:rPr>
        <w:t>)</w:t>
      </w:r>
      <w:r w:rsidRPr="0063006E">
        <w:rPr>
          <w:rFonts w:ascii="Traditional Arabic" w:hAnsi="Traditional Arabic"/>
          <w:rtl/>
        </w:rPr>
        <w:t>.</w:t>
      </w:r>
      <w:r w:rsidRPr="0063006E">
        <w:rPr>
          <w:rFonts w:ascii="Traditional Arabic" w:hAnsi="Traditional Arabic" w:hint="cs"/>
          <w:rtl/>
        </w:rPr>
        <w:t xml:space="preserve"> </w:t>
      </w:r>
      <w:r w:rsidRPr="0063006E">
        <w:rPr>
          <w:rFonts w:ascii="Traditional Arabic" w:hAnsi="Traditional Arabic"/>
          <w:rtl/>
        </w:rPr>
        <w:t xml:space="preserve">وقرأ عثمان، وسعد بن أبي وقاص، وعبد الله بن عمرو، وابن جبير، ومجاهد، وابن أبي </w:t>
      </w:r>
      <w:r w:rsidRPr="0063006E">
        <w:rPr>
          <w:rFonts w:ascii="Traditional Arabic" w:hAnsi="Traditional Arabic" w:hint="cs"/>
          <w:rtl/>
        </w:rPr>
        <w:t>سُري</w:t>
      </w:r>
      <w:r w:rsidRPr="0063006E">
        <w:rPr>
          <w:rFonts w:ascii="Traditional Arabic" w:hAnsi="Traditional Arabic"/>
          <w:rtl/>
        </w:rPr>
        <w:t>ح</w:t>
      </w:r>
      <w:r w:rsidRPr="0063006E">
        <w:rPr>
          <w:vertAlign w:val="superscript"/>
          <w:rtl/>
        </w:rPr>
        <w:t>(</w:t>
      </w:r>
      <w:r w:rsidRPr="0063006E">
        <w:rPr>
          <w:vertAlign w:val="superscript"/>
          <w:rtl/>
        </w:rPr>
        <w:footnoteReference w:id="2070"/>
      </w:r>
      <w:r w:rsidRPr="0063006E">
        <w:rPr>
          <w:vertAlign w:val="superscript"/>
          <w:rtl/>
        </w:rPr>
        <w:t>)</w:t>
      </w:r>
      <w:r w:rsidRPr="0063006E">
        <w:rPr>
          <w:rFonts w:ascii="Traditional Arabic" w:hAnsi="Traditional Arabic"/>
          <w:rtl/>
        </w:rPr>
        <w:t xml:space="preserve">عن الكسائي: «خَفَّت» بفتح الخاء وتشديد الفاء على معنى «قلَّت» فعلى هذا يكون إِنما خاف </w:t>
      </w:r>
    </w:p>
    <w:p w:rsidR="00433168" w:rsidRDefault="00433168" w:rsidP="0063006E">
      <w:pPr>
        <w:ind w:firstLine="0"/>
        <w:rPr>
          <w:rFonts w:ascii="Traditional Arabic" w:hAnsi="Traditional Arabic"/>
          <w:rtl/>
        </w:rPr>
      </w:pPr>
    </w:p>
    <w:p w:rsidR="0063006E" w:rsidRPr="0063006E" w:rsidRDefault="0063006E" w:rsidP="002F0380">
      <w:pPr>
        <w:ind w:firstLine="0"/>
        <w:rPr>
          <w:rFonts w:ascii="Traditional Arabic" w:hAnsi="Traditional Arabic"/>
          <w:rtl/>
        </w:rPr>
      </w:pPr>
      <w:r w:rsidRPr="0063006E">
        <w:rPr>
          <w:rFonts w:ascii="Traditional Arabic" w:hAnsi="Traditional Arabic"/>
          <w:rtl/>
        </w:rPr>
        <w:lastRenderedPageBreak/>
        <w:t>على عِلْمه ونبوَّته ألاَّ يُورَثا فيموت العِلْم</w:t>
      </w:r>
      <w:r w:rsidRPr="0063006E">
        <w:rPr>
          <w:vertAlign w:val="superscript"/>
          <w:rtl/>
        </w:rPr>
        <w:t>(</w:t>
      </w:r>
      <w:r w:rsidRPr="0063006E">
        <w:rPr>
          <w:vertAlign w:val="superscript"/>
          <w:rtl/>
        </w:rPr>
        <w:footnoteReference w:id="2071"/>
      </w:r>
      <w:r w:rsidRPr="0063006E">
        <w:rPr>
          <w:vertAlign w:val="superscript"/>
          <w:rtl/>
        </w:rPr>
        <w:t>)</w:t>
      </w:r>
      <w:r w:rsidRPr="0063006E">
        <w:rPr>
          <w:rFonts w:ascii="Traditional Arabic" w:hAnsi="Traditional Arabic"/>
          <w:rtl/>
        </w:rPr>
        <w:t>. وأسكن ابن شهاب الزهري ياء «المواليْ»</w:t>
      </w:r>
      <w:r w:rsidRPr="0063006E">
        <w:rPr>
          <w:vertAlign w:val="superscript"/>
          <w:rtl/>
        </w:rPr>
        <w:t>(</w:t>
      </w:r>
      <w:r w:rsidRPr="0063006E">
        <w:rPr>
          <w:vertAlign w:val="superscript"/>
          <w:rtl/>
        </w:rPr>
        <w:footnoteReference w:id="2072"/>
      </w:r>
      <w:r w:rsidRPr="0063006E">
        <w:rPr>
          <w:vertAlign w:val="superscript"/>
          <w:rtl/>
        </w:rPr>
        <w:t>)</w:t>
      </w:r>
      <w:r w:rsidRPr="0063006E">
        <w:rPr>
          <w:rFonts w:ascii="Traditional Arabic" w:hAnsi="Traditional Arabic"/>
          <w:rtl/>
        </w:rPr>
        <w:t>.</w:t>
      </w:r>
      <w:r w:rsidRPr="0063006E">
        <w:rPr>
          <w:rFonts w:ascii="Traditional Arabic" w:hAnsi="Traditional Arabic" w:hint="cs"/>
          <w:rtl/>
        </w:rPr>
        <w:t xml:space="preserve"> </w:t>
      </w:r>
      <w:r w:rsidRPr="0063006E">
        <w:rPr>
          <w:rFonts w:ascii="Traditional Arabic" w:hAnsi="Traditional Arabic"/>
          <w:rtl/>
        </w:rPr>
        <w:t xml:space="preserve">قوله تعالى: </w:t>
      </w:r>
      <w:r w:rsidRPr="0063006E">
        <w:rPr>
          <w:rFonts w:ascii="QCF_BSML" w:hAnsi="QCF_BSML" w:cs="QCF_BSML"/>
          <w:color w:val="auto"/>
          <w:sz w:val="32"/>
          <w:szCs w:val="32"/>
          <w:rtl/>
          <w:lang w:eastAsia="en-US"/>
        </w:rPr>
        <w:t>ﭽ</w:t>
      </w:r>
      <w:r w:rsidRPr="0063006E">
        <w:rPr>
          <w:rFonts w:ascii="QCF_P305" w:hAnsi="QCF_P305" w:cs="QCF_P305"/>
          <w:color w:val="auto"/>
          <w:sz w:val="32"/>
          <w:szCs w:val="32"/>
          <w:rtl/>
          <w:lang w:eastAsia="en-US"/>
        </w:rPr>
        <w:t xml:space="preserve"> ﭱ  ﭲ</w:t>
      </w:r>
      <w:r w:rsidRPr="0063006E">
        <w:rPr>
          <w:rFonts w:ascii="QCF_BSML" w:hAnsi="QCF_BSML" w:cs="QCF_BSML"/>
          <w:sz w:val="32"/>
          <w:szCs w:val="32"/>
          <w:rtl/>
          <w:lang w:eastAsia="en-US"/>
        </w:rPr>
        <w:t xml:space="preserve"> ﭼ</w:t>
      </w:r>
      <w:r w:rsidRPr="0063006E">
        <w:rPr>
          <w:rFonts w:ascii="QCF_P305" w:hAnsi="QCF_P305" w:cs="QCF_P305" w:hint="cs"/>
          <w:color w:val="auto"/>
          <w:sz w:val="32"/>
          <w:szCs w:val="32"/>
          <w:rtl/>
          <w:lang w:eastAsia="en-US"/>
        </w:rPr>
        <w:t xml:space="preserve">  </w:t>
      </w:r>
      <w:r w:rsidRPr="0063006E">
        <w:rPr>
          <w:rFonts w:ascii="QCF_P305" w:hAnsi="QCF_P305" w:cs="QCF_P305"/>
          <w:color w:val="auto"/>
          <w:sz w:val="32"/>
          <w:szCs w:val="32"/>
          <w:rtl/>
          <w:lang w:eastAsia="en-US"/>
        </w:rPr>
        <w:t xml:space="preserve">  </w:t>
      </w:r>
      <w:r w:rsidRPr="0063006E">
        <w:rPr>
          <w:rFonts w:ascii="Traditional Arabic" w:hAnsi="Traditional Arabic"/>
          <w:rtl/>
        </w:rPr>
        <w:t xml:space="preserve">أسكن الجمهور هذه الياء، وفتحها ابن كثير في رواية </w:t>
      </w:r>
      <w:r w:rsidRPr="0063006E">
        <w:rPr>
          <w:rFonts w:ascii="Traditional Arabic" w:hAnsi="Traditional Arabic"/>
          <w:sz w:val="32"/>
          <w:szCs w:val="32"/>
          <w:rtl/>
        </w:rPr>
        <w:t>[</w:t>
      </w:r>
      <w:r w:rsidRPr="0063006E">
        <w:rPr>
          <w:rFonts w:ascii="Traditional Arabic" w:hAnsi="Traditional Arabic" w:hint="cs"/>
          <w:sz w:val="32"/>
          <w:szCs w:val="32"/>
          <w:rtl/>
        </w:rPr>
        <w:t>159</w:t>
      </w:r>
      <w:r w:rsidRPr="0063006E">
        <w:rPr>
          <w:rFonts w:ascii="Traditional Arabic" w:hAnsi="Traditional Arabic"/>
          <w:sz w:val="32"/>
          <w:szCs w:val="32"/>
          <w:rtl/>
        </w:rPr>
        <w:t>]</w:t>
      </w:r>
      <w:r w:rsidRPr="0063006E">
        <w:rPr>
          <w:rFonts w:ascii="Traditional Arabic" w:hAnsi="Traditional Arabic"/>
          <w:rtl/>
        </w:rPr>
        <w:t xml:space="preserve"> قنبل</w:t>
      </w:r>
      <w:r w:rsidRPr="0063006E">
        <w:rPr>
          <w:vertAlign w:val="superscript"/>
          <w:rtl/>
        </w:rPr>
        <w:t>(</w:t>
      </w:r>
      <w:r w:rsidRPr="0063006E">
        <w:rPr>
          <w:vertAlign w:val="superscript"/>
          <w:rtl/>
        </w:rPr>
        <w:footnoteReference w:id="2073"/>
      </w:r>
      <w:r w:rsidRPr="0063006E">
        <w:rPr>
          <w:vertAlign w:val="superscript"/>
          <w:rtl/>
        </w:rPr>
        <w:t>)</w:t>
      </w:r>
      <w:r w:rsidRPr="0063006E">
        <w:rPr>
          <w:rFonts w:ascii="Traditional Arabic" w:hAnsi="Traditional Arabic"/>
          <w:rtl/>
        </w:rPr>
        <w:t>. وروى عنه شبل</w:t>
      </w:r>
      <w:r w:rsidRPr="0063006E">
        <w:rPr>
          <w:vertAlign w:val="superscript"/>
          <w:rtl/>
        </w:rPr>
        <w:t>(</w:t>
      </w:r>
      <w:r w:rsidRPr="0063006E">
        <w:rPr>
          <w:vertAlign w:val="superscript"/>
          <w:rtl/>
        </w:rPr>
        <w:footnoteReference w:id="2074"/>
      </w:r>
      <w:r w:rsidRPr="0063006E">
        <w:rPr>
          <w:vertAlign w:val="superscript"/>
          <w:rtl/>
        </w:rPr>
        <w:t>)</w:t>
      </w:r>
      <w:r w:rsidRPr="0063006E">
        <w:rPr>
          <w:rFonts w:ascii="Traditional Arabic" w:hAnsi="Traditional Arabic"/>
          <w:rtl/>
        </w:rPr>
        <w:t>: «ورايْ» مثل «عصايْ»</w:t>
      </w:r>
      <w:r w:rsidRPr="0063006E">
        <w:rPr>
          <w:rFonts w:ascii="Traditional Arabic" w:hAnsi="Traditional Arabic" w:hint="cs"/>
          <w:rtl/>
        </w:rPr>
        <w:t xml:space="preserve"> </w:t>
      </w:r>
      <w:r w:rsidRPr="0063006E">
        <w:rPr>
          <w:rFonts w:ascii="Traditional Arabic" w:hAnsi="Traditional Arabic" w:hint="cs"/>
          <w:sz w:val="32"/>
          <w:szCs w:val="32"/>
          <w:rtl/>
        </w:rPr>
        <w:t>[طه:18]</w:t>
      </w:r>
      <w:r w:rsidRPr="0063006E">
        <w:rPr>
          <w:vertAlign w:val="superscript"/>
          <w:rtl/>
        </w:rPr>
        <w:t>(</w:t>
      </w:r>
      <w:r w:rsidRPr="0063006E">
        <w:rPr>
          <w:vertAlign w:val="superscript"/>
          <w:rtl/>
        </w:rPr>
        <w:footnoteReference w:id="2075"/>
      </w:r>
      <w:r w:rsidRPr="0063006E">
        <w:rPr>
          <w:vertAlign w:val="superscript"/>
          <w:rtl/>
        </w:rPr>
        <w:t>)</w:t>
      </w:r>
      <w:r w:rsidRPr="0063006E">
        <w:rPr>
          <w:rFonts w:ascii="Traditional Arabic" w:hAnsi="Traditional Arabic"/>
          <w:rtl/>
        </w:rPr>
        <w:t>.</w:t>
      </w:r>
      <w:r w:rsidRPr="0063006E">
        <w:rPr>
          <w:rFonts w:ascii="Traditional Arabic" w:hAnsi="Traditional Arabic" w:hint="cs"/>
          <w:rtl/>
        </w:rPr>
        <w:t xml:space="preserve"> </w:t>
      </w:r>
      <w:r w:rsidRPr="0063006E">
        <w:rPr>
          <w:rFonts w:ascii="Traditional Arabic" w:hAnsi="Traditional Arabic"/>
          <w:rtl/>
        </w:rPr>
        <w:t xml:space="preserve">قوله تعالى: </w:t>
      </w:r>
      <w:r w:rsidRPr="0063006E">
        <w:rPr>
          <w:rFonts w:ascii="QCF_BSML" w:hAnsi="QCF_BSML" w:cs="QCF_BSML"/>
          <w:color w:val="auto"/>
          <w:sz w:val="32"/>
          <w:szCs w:val="32"/>
          <w:rtl/>
          <w:lang w:eastAsia="en-US"/>
        </w:rPr>
        <w:t>ﭽ</w:t>
      </w:r>
      <w:r w:rsidRPr="0063006E">
        <w:rPr>
          <w:rFonts w:ascii="QCF_P305" w:hAnsi="QCF_P305" w:cs="QCF_P305"/>
          <w:color w:val="auto"/>
          <w:sz w:val="32"/>
          <w:szCs w:val="32"/>
          <w:rtl/>
          <w:lang w:eastAsia="en-US"/>
        </w:rPr>
        <w:t xml:space="preserve"> ﭶ  ﭷ  ﭸ  ﭹ</w:t>
      </w:r>
      <w:r w:rsidRPr="0063006E">
        <w:rPr>
          <w:rFonts w:ascii="QCF_BSML" w:hAnsi="QCF_BSML" w:cs="QCF_BSML"/>
          <w:sz w:val="32"/>
          <w:szCs w:val="32"/>
          <w:rtl/>
          <w:lang w:eastAsia="en-US"/>
        </w:rPr>
        <w:t>ﭼ</w:t>
      </w:r>
      <w:r w:rsidRPr="0063006E">
        <w:rPr>
          <w:rFonts w:ascii="QCF_BSML" w:hAnsi="QCF_BSML" w:cs="QCF_BSML" w:hint="cs"/>
          <w:sz w:val="32"/>
          <w:szCs w:val="32"/>
          <w:rtl/>
          <w:lang w:eastAsia="en-US"/>
        </w:rPr>
        <w:t xml:space="preserve">    </w:t>
      </w:r>
      <w:r w:rsidRPr="0063006E">
        <w:rPr>
          <w:rFonts w:ascii="QCF_P305" w:hAnsi="QCF_P305" w:cs="QCF_P305"/>
          <w:color w:val="auto"/>
          <w:sz w:val="32"/>
          <w:szCs w:val="32"/>
          <w:rtl/>
          <w:lang w:eastAsia="en-US"/>
        </w:rPr>
        <w:t xml:space="preserve">  </w:t>
      </w:r>
      <w:r w:rsidRPr="0063006E">
        <w:rPr>
          <w:rFonts w:ascii="Traditional Arabic" w:hAnsi="Traditional Arabic"/>
          <w:rtl/>
        </w:rPr>
        <w:t>أي: من عندك</w:t>
      </w:r>
      <w:r w:rsidRPr="0063006E">
        <w:rPr>
          <w:rFonts w:ascii="QCF_P305" w:hAnsi="QCF_P305" w:cs="QCF_P305"/>
          <w:color w:val="auto"/>
          <w:sz w:val="32"/>
          <w:szCs w:val="32"/>
          <w:rtl/>
          <w:lang w:eastAsia="en-US"/>
        </w:rPr>
        <w:t xml:space="preserve"> </w:t>
      </w:r>
      <w:r w:rsidRPr="0063006E">
        <w:rPr>
          <w:rFonts w:ascii="QCF_P305" w:hAnsi="QCF_P305" w:cs="QCF_P305" w:hint="cs"/>
          <w:color w:val="auto"/>
          <w:sz w:val="32"/>
          <w:szCs w:val="32"/>
          <w:rtl/>
          <w:lang w:eastAsia="en-US"/>
        </w:rPr>
        <w:t xml:space="preserve">   </w:t>
      </w:r>
      <w:r w:rsidRPr="0063006E">
        <w:rPr>
          <w:rFonts w:ascii="QCF_BSML" w:hAnsi="QCF_BSML" w:cs="QCF_BSML"/>
          <w:color w:val="auto"/>
          <w:sz w:val="32"/>
          <w:szCs w:val="32"/>
          <w:rtl/>
          <w:lang w:eastAsia="en-US"/>
        </w:rPr>
        <w:t>ﭽ</w:t>
      </w:r>
      <w:r w:rsidRPr="0063006E">
        <w:rPr>
          <w:rFonts w:ascii="QCF_P305" w:hAnsi="QCF_P305" w:cs="QCF_P305"/>
          <w:color w:val="auto"/>
          <w:sz w:val="32"/>
          <w:szCs w:val="32"/>
          <w:rtl/>
          <w:lang w:eastAsia="en-US"/>
        </w:rPr>
        <w:t>ﭺ</w:t>
      </w:r>
      <w:r w:rsidRPr="0063006E">
        <w:rPr>
          <w:rFonts w:ascii="QCF_BSML" w:hAnsi="QCF_BSML" w:cs="QCF_BSML"/>
          <w:sz w:val="32"/>
          <w:szCs w:val="32"/>
          <w:rtl/>
          <w:lang w:eastAsia="en-US"/>
        </w:rPr>
        <w:t xml:space="preserve"> ﭼ</w:t>
      </w:r>
      <w:r w:rsidRPr="0063006E">
        <w:rPr>
          <w:rFonts w:ascii="Traditional Arabic" w:hAnsi="Traditional Arabic"/>
          <w:rtl/>
        </w:rPr>
        <w:t xml:space="preserve"> أي: ولداً صالحاً يتولاَّني.</w:t>
      </w:r>
      <w:r w:rsidRPr="0063006E">
        <w:rPr>
          <w:rFonts w:ascii="Traditional Arabic" w:hAnsi="Traditional Arabic" w:hint="cs"/>
          <w:rtl/>
        </w:rPr>
        <w:t xml:space="preserve"> </w:t>
      </w:r>
      <w:r w:rsidRPr="0063006E">
        <w:rPr>
          <w:rFonts w:ascii="Traditional Arabic" w:hAnsi="Traditional Arabic"/>
          <w:rtl/>
        </w:rPr>
        <w:t xml:space="preserve">قوله تعالى: </w:t>
      </w:r>
      <w:r w:rsidRPr="0063006E">
        <w:rPr>
          <w:rFonts w:ascii="QCF_BSML" w:hAnsi="QCF_BSML" w:cs="QCF_BSML"/>
          <w:color w:val="auto"/>
          <w:sz w:val="32"/>
          <w:szCs w:val="32"/>
          <w:rtl/>
          <w:lang w:eastAsia="en-US"/>
        </w:rPr>
        <w:t>ﭽ</w:t>
      </w:r>
      <w:r w:rsidRPr="0063006E">
        <w:rPr>
          <w:rFonts w:ascii="QCF_P305" w:hAnsi="QCF_P305" w:cs="QCF_P305"/>
          <w:color w:val="auto"/>
          <w:sz w:val="32"/>
          <w:szCs w:val="32"/>
          <w:rtl/>
          <w:lang w:eastAsia="en-US"/>
        </w:rPr>
        <w:t xml:space="preserve"> ﭼ  ﭽ   ﭾ  ﭿ  ﮀ</w:t>
      </w:r>
      <w:r w:rsidRPr="0063006E">
        <w:rPr>
          <w:rFonts w:ascii="QCF_BSML" w:hAnsi="QCF_BSML" w:cs="QCF_BSML"/>
          <w:sz w:val="32"/>
          <w:szCs w:val="32"/>
          <w:rtl/>
          <w:lang w:eastAsia="en-US"/>
        </w:rPr>
        <w:t>ﭼ</w:t>
      </w:r>
      <w:r w:rsidRPr="0063006E">
        <w:rPr>
          <w:rFonts w:ascii="QCF_P305" w:hAnsi="QCF_P305" w:cs="QCF_P305"/>
          <w:color w:val="auto"/>
          <w:sz w:val="32"/>
          <w:szCs w:val="32"/>
          <w:rtl/>
          <w:lang w:eastAsia="en-US"/>
        </w:rPr>
        <w:t xml:space="preserve">  </w:t>
      </w:r>
      <w:r w:rsidRPr="0063006E">
        <w:rPr>
          <w:rFonts w:ascii="Traditional Arabic" w:hAnsi="Traditional Arabic" w:hint="cs"/>
          <w:rtl/>
        </w:rPr>
        <w:t xml:space="preserve"> </w:t>
      </w:r>
      <w:r w:rsidRPr="0063006E">
        <w:rPr>
          <w:rFonts w:ascii="Traditional Arabic" w:hAnsi="Traditional Arabic"/>
          <w:rtl/>
        </w:rPr>
        <w:t>قرأ ابن كثير، ونافع، وعاصم، وابن عامر، وحمزة:</w:t>
      </w:r>
      <w:r w:rsidRPr="0063006E">
        <w:rPr>
          <w:rFonts w:ascii="Traditional Arabic" w:hAnsi="Traditional Arabic" w:hint="cs"/>
          <w:rtl/>
        </w:rPr>
        <w:t xml:space="preserve"> </w:t>
      </w:r>
      <w:r w:rsidRPr="0063006E">
        <w:rPr>
          <w:rFonts w:ascii="Traditional Arabic" w:hAnsi="Traditional Arabic"/>
          <w:rtl/>
        </w:rPr>
        <w:t>«يَرِثُني ويَرِثُ» برفعهما. وقرا أبو عمرو، والكسائي: «يَرِثْني ويَرِثْ» بالجزم فيهما</w:t>
      </w:r>
      <w:r w:rsidRPr="0063006E">
        <w:rPr>
          <w:vertAlign w:val="superscript"/>
          <w:rtl/>
        </w:rPr>
        <w:t>(</w:t>
      </w:r>
      <w:r w:rsidRPr="0063006E">
        <w:rPr>
          <w:vertAlign w:val="superscript"/>
          <w:rtl/>
        </w:rPr>
        <w:footnoteReference w:id="2076"/>
      </w:r>
      <w:r w:rsidRPr="0063006E">
        <w:rPr>
          <w:vertAlign w:val="superscript"/>
          <w:rtl/>
        </w:rPr>
        <w:t>)</w:t>
      </w:r>
      <w:r w:rsidRPr="0063006E">
        <w:rPr>
          <w:rFonts w:ascii="Traditional Arabic" w:hAnsi="Traditional Arabic"/>
          <w:rtl/>
        </w:rPr>
        <w:t>. قال أبو عبيدة: من قرأ بالرفع، فهو على الصفة للوليّ فالمعنى: هب لي وليّاً وارثاً، ومن جزم، فعلى الشرط والجزاء، كقولك: إِن وهبتَه لي ورثني</w:t>
      </w:r>
      <w:r w:rsidRPr="0063006E">
        <w:rPr>
          <w:vertAlign w:val="superscript"/>
          <w:rtl/>
        </w:rPr>
        <w:t>(</w:t>
      </w:r>
      <w:r w:rsidRPr="0063006E">
        <w:rPr>
          <w:vertAlign w:val="superscript"/>
          <w:rtl/>
        </w:rPr>
        <w:footnoteReference w:id="2077"/>
      </w:r>
      <w:r w:rsidRPr="0063006E">
        <w:rPr>
          <w:vertAlign w:val="superscript"/>
          <w:rtl/>
        </w:rPr>
        <w:t>)</w:t>
      </w:r>
      <w:r w:rsidRPr="0063006E">
        <w:rPr>
          <w:rFonts w:ascii="Traditional Arabic" w:hAnsi="Traditional Arabic"/>
          <w:rtl/>
        </w:rPr>
        <w:t>.</w:t>
      </w:r>
      <w:r w:rsidRPr="0063006E">
        <w:rPr>
          <w:rFonts w:ascii="Traditional Arabic" w:hAnsi="Traditional Arabic" w:hint="cs"/>
          <w:rtl/>
        </w:rPr>
        <w:t xml:space="preserve"> </w:t>
      </w:r>
      <w:r w:rsidRPr="0063006E">
        <w:rPr>
          <w:rFonts w:ascii="Traditional Arabic" w:hAnsi="Traditional Arabic"/>
          <w:rtl/>
        </w:rPr>
        <w:t>وفي المراد بهذا الميراث أربعة أقوال: أحدها: يَرِثني مالي، ويرث من آل يعقوب النبوَّة، رواه عكرمة عن ابن عباس</w:t>
      </w:r>
      <w:r w:rsidRPr="0063006E">
        <w:rPr>
          <w:vertAlign w:val="superscript"/>
          <w:rtl/>
        </w:rPr>
        <w:t>(</w:t>
      </w:r>
      <w:r w:rsidRPr="0063006E">
        <w:rPr>
          <w:vertAlign w:val="superscript"/>
          <w:rtl/>
        </w:rPr>
        <w:footnoteReference w:id="2078"/>
      </w:r>
      <w:r w:rsidRPr="0063006E">
        <w:rPr>
          <w:vertAlign w:val="superscript"/>
          <w:rtl/>
        </w:rPr>
        <w:t>)</w:t>
      </w:r>
      <w:r w:rsidRPr="0063006E">
        <w:rPr>
          <w:rFonts w:ascii="Traditional Arabic" w:hAnsi="Traditional Arabic"/>
          <w:rtl/>
        </w:rPr>
        <w:t>، وبه قال أبو صالح</w:t>
      </w:r>
      <w:r w:rsidRPr="0063006E">
        <w:rPr>
          <w:vertAlign w:val="superscript"/>
          <w:rtl/>
        </w:rPr>
        <w:t>(</w:t>
      </w:r>
      <w:r w:rsidRPr="0063006E">
        <w:rPr>
          <w:vertAlign w:val="superscript"/>
          <w:rtl/>
        </w:rPr>
        <w:footnoteReference w:id="2079"/>
      </w:r>
      <w:r w:rsidRPr="0063006E">
        <w:rPr>
          <w:vertAlign w:val="superscript"/>
          <w:rtl/>
        </w:rPr>
        <w:t>)</w:t>
      </w:r>
      <w:r w:rsidRPr="0063006E">
        <w:rPr>
          <w:rFonts w:ascii="Traditional Arabic" w:hAnsi="Traditional Arabic"/>
          <w:rtl/>
        </w:rPr>
        <w:t>. والثاني: يَرِثني العِلْم، ويَرِث من آل يعقوب المُلْكَ، فأجابه الله تعالى إِلى وراثة العِلْم دون المُلْك، وهذا مروي عن ابن عباس أيضا</w:t>
      </w:r>
      <w:r w:rsidRPr="0063006E">
        <w:rPr>
          <w:vertAlign w:val="superscript"/>
          <w:rtl/>
        </w:rPr>
        <w:t>(</w:t>
      </w:r>
      <w:r w:rsidRPr="0063006E">
        <w:rPr>
          <w:vertAlign w:val="superscript"/>
          <w:rtl/>
        </w:rPr>
        <w:footnoteReference w:id="2080"/>
      </w:r>
      <w:r w:rsidRPr="0063006E">
        <w:rPr>
          <w:vertAlign w:val="superscript"/>
          <w:rtl/>
        </w:rPr>
        <w:t>)</w:t>
      </w:r>
      <w:r w:rsidRPr="0063006E">
        <w:rPr>
          <w:rFonts w:ascii="Traditional Arabic" w:hAnsi="Traditional Arabic"/>
          <w:rtl/>
        </w:rPr>
        <w:t xml:space="preserve">. </w:t>
      </w:r>
      <w:r w:rsidRPr="0063006E">
        <w:rPr>
          <w:rFonts w:ascii="Traditional Arabic" w:hAnsi="Traditional Arabic"/>
          <w:rtl/>
        </w:rPr>
        <w:lastRenderedPageBreak/>
        <w:t>والثالث: يَرِثني نبوَّتي وعِلْمي، ويَرِث من آل يعقوب النبوَّة أيضاً، قاله الحسن</w:t>
      </w:r>
      <w:r w:rsidRPr="0063006E">
        <w:rPr>
          <w:vertAlign w:val="superscript"/>
          <w:rtl/>
        </w:rPr>
        <w:t>(</w:t>
      </w:r>
      <w:r w:rsidRPr="0063006E">
        <w:rPr>
          <w:vertAlign w:val="superscript"/>
          <w:rtl/>
        </w:rPr>
        <w:footnoteReference w:id="2081"/>
      </w:r>
      <w:r w:rsidRPr="0063006E">
        <w:rPr>
          <w:vertAlign w:val="superscript"/>
          <w:rtl/>
        </w:rPr>
        <w:t>)</w:t>
      </w:r>
      <w:r w:rsidRPr="0063006E">
        <w:rPr>
          <w:rFonts w:ascii="Traditional Arabic" w:hAnsi="Traditional Arabic"/>
          <w:rtl/>
        </w:rPr>
        <w:t>. والرابع: يَرِثني النبوَّة، ويرث من آل يعقوب الأخلاق، قاله عطاء</w:t>
      </w:r>
      <w:r w:rsidRPr="0063006E">
        <w:rPr>
          <w:vertAlign w:val="superscript"/>
          <w:rtl/>
        </w:rPr>
        <w:t>(</w:t>
      </w:r>
      <w:r w:rsidRPr="0063006E">
        <w:rPr>
          <w:vertAlign w:val="superscript"/>
          <w:rtl/>
        </w:rPr>
        <w:footnoteReference w:id="2082"/>
      </w:r>
      <w:r w:rsidRPr="0063006E">
        <w:rPr>
          <w:vertAlign w:val="superscript"/>
          <w:rtl/>
        </w:rPr>
        <w:t>)</w:t>
      </w:r>
      <w:r w:rsidRPr="0063006E">
        <w:rPr>
          <w:rFonts w:ascii="Traditional Arabic" w:hAnsi="Traditional Arabic" w:hint="cs"/>
          <w:rtl/>
        </w:rPr>
        <w:t>.</w:t>
      </w:r>
      <w:r w:rsidRPr="0063006E">
        <w:rPr>
          <w:rFonts w:ascii="Traditional Arabic" w:hAnsi="Traditional Arabic"/>
          <w:rtl/>
        </w:rPr>
        <w:t xml:space="preserve"> قال مجاهد: كان زكريا</w:t>
      </w:r>
      <w:r w:rsidRPr="0063006E">
        <w:rPr>
          <w:vertAlign w:val="superscript"/>
          <w:rtl/>
        </w:rPr>
        <w:t>(</w:t>
      </w:r>
      <w:r w:rsidRPr="0063006E">
        <w:rPr>
          <w:vertAlign w:val="superscript"/>
          <w:rtl/>
        </w:rPr>
        <w:footnoteReference w:id="2083"/>
      </w:r>
      <w:r w:rsidRPr="0063006E">
        <w:rPr>
          <w:vertAlign w:val="superscript"/>
          <w:rtl/>
        </w:rPr>
        <w:t>)</w:t>
      </w:r>
      <w:r w:rsidRPr="0063006E">
        <w:rPr>
          <w:rFonts w:ascii="Traditional Arabic" w:hAnsi="Traditional Arabic"/>
          <w:rtl/>
        </w:rPr>
        <w:t xml:space="preserve"> من ذرية يعقوب</w:t>
      </w:r>
      <w:r w:rsidRPr="0063006E">
        <w:rPr>
          <w:vertAlign w:val="superscript"/>
          <w:rtl/>
        </w:rPr>
        <w:t>(</w:t>
      </w:r>
      <w:r w:rsidRPr="0063006E">
        <w:rPr>
          <w:vertAlign w:val="superscript"/>
          <w:rtl/>
        </w:rPr>
        <w:footnoteReference w:id="2084"/>
      </w:r>
      <w:r w:rsidRPr="0063006E">
        <w:rPr>
          <w:vertAlign w:val="superscript"/>
          <w:rtl/>
        </w:rPr>
        <w:t>)</w:t>
      </w:r>
      <w:r w:rsidRPr="0063006E">
        <w:rPr>
          <w:rFonts w:ascii="Traditional Arabic" w:hAnsi="Traditional Arabic"/>
          <w:rtl/>
        </w:rPr>
        <w:t>. وزعم الكلبي</w:t>
      </w:r>
      <w:r w:rsidRPr="0063006E">
        <w:rPr>
          <w:vertAlign w:val="superscript"/>
          <w:rtl/>
        </w:rPr>
        <w:t>(</w:t>
      </w:r>
      <w:r w:rsidRPr="0063006E">
        <w:rPr>
          <w:vertAlign w:val="superscript"/>
          <w:rtl/>
        </w:rPr>
        <w:footnoteReference w:id="2085"/>
      </w:r>
      <w:r w:rsidRPr="0063006E">
        <w:rPr>
          <w:vertAlign w:val="superscript"/>
          <w:rtl/>
        </w:rPr>
        <w:t>)</w:t>
      </w:r>
      <w:r w:rsidRPr="0063006E">
        <w:rPr>
          <w:rFonts w:ascii="Traditional Arabic" w:hAnsi="Traditional Arabic"/>
          <w:rtl/>
        </w:rPr>
        <w:t>أن آل يعقوب كانوا أخواله، وأنه ليس بيعقوب أبي يوسف</w:t>
      </w:r>
      <w:r w:rsidRPr="0063006E">
        <w:rPr>
          <w:vertAlign w:val="superscript"/>
          <w:rtl/>
        </w:rPr>
        <w:t>(</w:t>
      </w:r>
      <w:r w:rsidRPr="0063006E">
        <w:rPr>
          <w:vertAlign w:val="superscript"/>
          <w:rtl/>
        </w:rPr>
        <w:footnoteReference w:id="2086"/>
      </w:r>
      <w:r w:rsidRPr="0063006E">
        <w:rPr>
          <w:vertAlign w:val="superscript"/>
          <w:rtl/>
        </w:rPr>
        <w:t>)</w:t>
      </w:r>
      <w:r w:rsidRPr="0063006E">
        <w:rPr>
          <w:rFonts w:ascii="Traditional Arabic" w:hAnsi="Traditional Arabic"/>
          <w:rtl/>
        </w:rPr>
        <w:t>. وقال مقاتل: هو يعقوب بن ماثان، وكان يعقوب هذا وعمران- أبو مريم- أخوين</w:t>
      </w:r>
      <w:r w:rsidRPr="0063006E">
        <w:rPr>
          <w:vertAlign w:val="superscript"/>
          <w:rtl/>
        </w:rPr>
        <w:t>(</w:t>
      </w:r>
      <w:r w:rsidRPr="0063006E">
        <w:rPr>
          <w:vertAlign w:val="superscript"/>
          <w:rtl/>
        </w:rPr>
        <w:footnoteReference w:id="2087"/>
      </w:r>
      <w:r w:rsidRPr="0063006E">
        <w:rPr>
          <w:vertAlign w:val="superscript"/>
          <w:rtl/>
        </w:rPr>
        <w:t>)</w:t>
      </w:r>
      <w:r w:rsidRPr="0063006E">
        <w:rPr>
          <w:rFonts w:ascii="Traditional Arabic" w:hAnsi="Traditional Arabic"/>
          <w:rtl/>
        </w:rPr>
        <w:t xml:space="preserve">. والصحيح: أنه لم يُرِد ميراثَ المال لوجوه: أحدها: أنه قد صحّ عن رسول </w:t>
      </w:r>
      <w:r w:rsidRPr="0063006E">
        <w:rPr>
          <w:rFonts w:ascii="Traditional Arabic" w:hAnsi="Traditional Arabic" w:hint="cs"/>
          <w:rtl/>
        </w:rPr>
        <w:t xml:space="preserve">الله </w:t>
      </w:r>
      <w:r w:rsidRPr="0063006E">
        <w:rPr>
          <w:rFonts w:ascii="Traditional Arabic" w:hAnsi="Traditional Arabic"/>
        </w:rPr>
        <w:t xml:space="preserve">  </w:t>
      </w:r>
      <w:r w:rsidRPr="0063006E">
        <w:rPr>
          <w:rFonts w:ascii="Traditional Arabic" w:hAnsi="Traditional Arabic" w:hint="cs"/>
        </w:rPr>
        <w:sym w:font="AGA Arabesque" w:char="F072"/>
      </w:r>
      <w:r w:rsidRPr="0063006E">
        <w:rPr>
          <w:rFonts w:ascii="Traditional Arabic" w:hAnsi="Traditional Arabic"/>
          <w:rtl/>
        </w:rPr>
        <w:t>أنه قال:</w:t>
      </w:r>
      <w:r w:rsidRPr="0063006E">
        <w:rPr>
          <w:rFonts w:ascii="Traditional Arabic" w:hAnsi="Traditional Arabic" w:hint="cs"/>
          <w:rtl/>
        </w:rPr>
        <w:t xml:space="preserve"> </w:t>
      </w:r>
      <w:r w:rsidRPr="0063006E">
        <w:rPr>
          <w:rFonts w:ascii="Traditional Arabic" w:hAnsi="Traditional Arabic"/>
          <w:rtl/>
        </w:rPr>
        <w:t>«نحن معاشر الأنبياء لا نورَث، ما تركناه صدقة»</w:t>
      </w:r>
      <w:r w:rsidRPr="0063006E">
        <w:rPr>
          <w:vertAlign w:val="superscript"/>
          <w:rtl/>
        </w:rPr>
        <w:t>(</w:t>
      </w:r>
      <w:r w:rsidRPr="0063006E">
        <w:rPr>
          <w:vertAlign w:val="superscript"/>
          <w:rtl/>
        </w:rPr>
        <w:footnoteReference w:id="2088"/>
      </w:r>
      <w:r w:rsidRPr="0063006E">
        <w:rPr>
          <w:vertAlign w:val="superscript"/>
          <w:rtl/>
        </w:rPr>
        <w:t>)</w:t>
      </w:r>
      <w:r w:rsidRPr="0063006E">
        <w:rPr>
          <w:rFonts w:ascii="Traditional Arabic" w:hAnsi="Traditional Arabic"/>
          <w:rtl/>
        </w:rPr>
        <w:t>.</w:t>
      </w:r>
      <w:r w:rsidRPr="0063006E">
        <w:rPr>
          <w:rFonts w:ascii="Traditional Arabic" w:hAnsi="Traditional Arabic" w:hint="cs"/>
          <w:rtl/>
        </w:rPr>
        <w:t xml:space="preserve"> </w:t>
      </w:r>
      <w:r w:rsidRPr="0063006E">
        <w:rPr>
          <w:rFonts w:ascii="Traditional Arabic" w:hAnsi="Traditional Arabic"/>
          <w:rtl/>
        </w:rPr>
        <w:t>والثاني:</w:t>
      </w:r>
      <w:r w:rsidRPr="0063006E">
        <w:rPr>
          <w:rFonts w:ascii="Traditional Arabic" w:hAnsi="Traditional Arabic" w:hint="cs"/>
          <w:rtl/>
        </w:rPr>
        <w:t xml:space="preserve"> </w:t>
      </w:r>
      <w:r w:rsidRPr="0063006E">
        <w:rPr>
          <w:rFonts w:ascii="Traditional Arabic" w:hAnsi="Traditional Arabic"/>
          <w:rtl/>
        </w:rPr>
        <w:t>لا يجوز</w:t>
      </w:r>
      <w:r w:rsidRPr="0063006E">
        <w:rPr>
          <w:vertAlign w:val="superscript"/>
          <w:rtl/>
        </w:rPr>
        <w:t>(</w:t>
      </w:r>
      <w:r w:rsidRPr="0063006E">
        <w:rPr>
          <w:vertAlign w:val="superscript"/>
          <w:rtl/>
        </w:rPr>
        <w:footnoteReference w:id="2089"/>
      </w:r>
      <w:r w:rsidRPr="0063006E">
        <w:rPr>
          <w:vertAlign w:val="superscript"/>
          <w:rtl/>
        </w:rPr>
        <w:t>)</w:t>
      </w:r>
      <w:r w:rsidRPr="0063006E">
        <w:rPr>
          <w:rFonts w:ascii="Traditional Arabic" w:hAnsi="Traditional Arabic"/>
          <w:rtl/>
        </w:rPr>
        <w:t xml:space="preserve"> أن يتأسَّف نبيّ الله على مصير ماله بعد موته إِذا وصل إِلى وارثه المستحق له شرعاً. والثالث: أنه لم يكن ذا مال.</w:t>
      </w:r>
      <w:r w:rsidRPr="0063006E">
        <w:rPr>
          <w:rFonts w:ascii="Traditional Arabic" w:hAnsi="Traditional Arabic" w:hint="cs"/>
          <w:rtl/>
        </w:rPr>
        <w:t xml:space="preserve"> </w:t>
      </w:r>
      <w:r w:rsidRPr="0063006E">
        <w:rPr>
          <w:rFonts w:ascii="Traditional Arabic" w:hAnsi="Traditional Arabic"/>
          <w:rtl/>
        </w:rPr>
        <w:t xml:space="preserve">وقد روى أبو هريرة عن رسول الله </w:t>
      </w:r>
      <w:r w:rsidRPr="0063006E">
        <w:rPr>
          <w:rFonts w:ascii="Traditional Arabic" w:hAnsi="Traditional Arabic" w:hint="cs"/>
        </w:rPr>
        <w:sym w:font="AGA Arabesque" w:char="F072"/>
      </w:r>
      <w:r w:rsidRPr="0063006E">
        <w:rPr>
          <w:rFonts w:ascii="Traditional Arabic" w:hAnsi="Traditional Arabic" w:hint="cs"/>
          <w:rtl/>
        </w:rPr>
        <w:t xml:space="preserve"> </w:t>
      </w:r>
      <w:r w:rsidRPr="0063006E">
        <w:rPr>
          <w:rFonts w:ascii="Traditional Arabic" w:hAnsi="Traditional Arabic"/>
          <w:rtl/>
        </w:rPr>
        <w:t>أن زكريا كان نجاراً</w:t>
      </w:r>
      <w:r w:rsidRPr="0063006E">
        <w:rPr>
          <w:vertAlign w:val="superscript"/>
          <w:rtl/>
        </w:rPr>
        <w:t>(</w:t>
      </w:r>
      <w:r w:rsidRPr="0063006E">
        <w:rPr>
          <w:vertAlign w:val="superscript"/>
          <w:rtl/>
        </w:rPr>
        <w:footnoteReference w:id="2090"/>
      </w:r>
      <w:r w:rsidRPr="0063006E">
        <w:rPr>
          <w:vertAlign w:val="superscript"/>
          <w:rtl/>
        </w:rPr>
        <w:t>)</w:t>
      </w:r>
      <w:r w:rsidRPr="0063006E">
        <w:rPr>
          <w:rFonts w:ascii="Traditional Arabic" w:hAnsi="Traditional Arabic"/>
          <w:rtl/>
        </w:rPr>
        <w:t>.</w:t>
      </w:r>
      <w:r w:rsidRPr="0063006E">
        <w:rPr>
          <w:rFonts w:ascii="Traditional Arabic" w:hAnsi="Traditional Arabic" w:hint="cs"/>
          <w:rtl/>
        </w:rPr>
        <w:t xml:space="preserve"> </w:t>
      </w:r>
      <w:r w:rsidRPr="0063006E">
        <w:rPr>
          <w:rFonts w:ascii="Traditional Arabic" w:hAnsi="Traditional Arabic"/>
          <w:rtl/>
        </w:rPr>
        <w:t xml:space="preserve">قوله تعالى: </w:t>
      </w:r>
      <w:r w:rsidRPr="0063006E">
        <w:rPr>
          <w:rFonts w:ascii="QCF_BSML" w:hAnsi="QCF_BSML" w:cs="QCF_BSML"/>
          <w:color w:val="auto"/>
          <w:sz w:val="32"/>
          <w:szCs w:val="32"/>
          <w:rtl/>
          <w:lang w:eastAsia="en-US"/>
        </w:rPr>
        <w:t>ﭽ</w:t>
      </w:r>
      <w:r w:rsidRPr="0063006E">
        <w:rPr>
          <w:rFonts w:ascii="QCF_P305" w:hAnsi="QCF_P305" w:cs="QCF_P305"/>
          <w:color w:val="auto"/>
          <w:sz w:val="32"/>
          <w:szCs w:val="32"/>
          <w:rtl/>
          <w:lang w:eastAsia="en-US"/>
        </w:rPr>
        <w:t xml:space="preserve">ﮂ  ﮃ  ﮄ </w:t>
      </w:r>
      <w:r w:rsidRPr="0063006E">
        <w:rPr>
          <w:rFonts w:ascii="QCF_BSML" w:hAnsi="QCF_BSML" w:cs="QCF_BSML"/>
          <w:sz w:val="32"/>
          <w:szCs w:val="32"/>
          <w:rtl/>
          <w:lang w:eastAsia="en-US"/>
        </w:rPr>
        <w:t>ﭼ</w:t>
      </w:r>
      <w:r w:rsidRPr="0063006E">
        <w:rPr>
          <w:rFonts w:ascii="QCF_P305" w:hAnsi="QCF_P305" w:cs="QCF_P305" w:hint="cs"/>
          <w:color w:val="auto"/>
          <w:sz w:val="32"/>
          <w:szCs w:val="32"/>
          <w:rtl/>
          <w:lang w:eastAsia="en-US"/>
        </w:rPr>
        <w:t xml:space="preserve">      </w:t>
      </w:r>
      <w:r w:rsidRPr="0063006E">
        <w:rPr>
          <w:rFonts w:ascii="QCF_P305" w:hAnsi="QCF_P305" w:cs="QCF_P305"/>
          <w:color w:val="auto"/>
          <w:sz w:val="32"/>
          <w:szCs w:val="32"/>
          <w:rtl/>
          <w:lang w:eastAsia="en-US"/>
        </w:rPr>
        <w:t xml:space="preserve"> </w:t>
      </w:r>
      <w:r w:rsidRPr="0063006E">
        <w:rPr>
          <w:rFonts w:ascii="Traditional Arabic" w:hAnsi="Traditional Arabic"/>
          <w:rtl/>
        </w:rPr>
        <w:t>قال اللغويون: أي: مرضيّاً، فصُرِف عن مفعول إِلى فَعيل، كما قالوا: مقتول وقتيل</w:t>
      </w:r>
      <w:r w:rsidRPr="0063006E">
        <w:rPr>
          <w:vertAlign w:val="superscript"/>
          <w:rtl/>
        </w:rPr>
        <w:t>(</w:t>
      </w:r>
      <w:r w:rsidRPr="0063006E">
        <w:rPr>
          <w:vertAlign w:val="superscript"/>
          <w:rtl/>
        </w:rPr>
        <w:footnoteReference w:id="2091"/>
      </w:r>
      <w:r w:rsidRPr="0063006E">
        <w:rPr>
          <w:vertAlign w:val="superscript"/>
          <w:rtl/>
        </w:rPr>
        <w:t>)</w:t>
      </w:r>
      <w:r w:rsidRPr="0063006E">
        <w:rPr>
          <w:rFonts w:ascii="Traditional Arabic" w:hAnsi="Traditional Arabic"/>
          <w:rtl/>
        </w:rPr>
        <w:t>.</w:t>
      </w:r>
      <w:r w:rsidRPr="0063006E">
        <w:rPr>
          <w:rFonts w:ascii="QCF_P305" w:hAnsi="QCF_P305" w:cs="QCF_P305"/>
          <w:color w:val="auto"/>
          <w:sz w:val="32"/>
          <w:szCs w:val="32"/>
          <w:rtl/>
          <w:lang w:eastAsia="en-US"/>
        </w:rPr>
        <w:t xml:space="preserve"> </w:t>
      </w:r>
    </w:p>
    <w:p w:rsidR="0063006E" w:rsidRPr="0063006E" w:rsidRDefault="0063006E" w:rsidP="0063006E">
      <w:pPr>
        <w:ind w:firstLine="0"/>
        <w:rPr>
          <w:rFonts w:ascii="Traditional Arabic" w:hAnsi="Traditional Arabic"/>
          <w:rtl/>
        </w:rPr>
      </w:pPr>
    </w:p>
    <w:p w:rsidR="0063006E" w:rsidRPr="0063006E" w:rsidRDefault="0063006E" w:rsidP="0063006E">
      <w:pPr>
        <w:ind w:firstLine="0"/>
        <w:rPr>
          <w:rFonts w:ascii="Traditional Arabic" w:hAnsi="Traditional Arabic"/>
          <w:sz w:val="32"/>
          <w:szCs w:val="32"/>
          <w:rtl/>
        </w:rPr>
      </w:pPr>
      <w:r w:rsidRPr="0063006E">
        <w:rPr>
          <w:rFonts w:ascii="QCF_BSML" w:hAnsi="QCF_BSML" w:cs="QCF_BSML"/>
          <w:sz w:val="32"/>
          <w:szCs w:val="32"/>
          <w:rtl/>
          <w:lang w:eastAsia="en-US"/>
        </w:rPr>
        <w:t xml:space="preserve">ﭽ </w:t>
      </w:r>
      <w:r w:rsidRPr="0063006E">
        <w:rPr>
          <w:rFonts w:ascii="QCF_P305" w:hAnsi="QCF_P305" w:cs="QCF_P305"/>
          <w:sz w:val="32"/>
          <w:szCs w:val="32"/>
          <w:rtl/>
          <w:lang w:eastAsia="en-US"/>
        </w:rPr>
        <w:t xml:space="preserve">ﮆ   ﮇ   ﮈ  ﮉ     ﮊ  ﮋ  ﮌ  ﮍ  ﮎ  ﮏ   ﮐ  ﮑ   ﮒ  ﮓ  ﮔ  ﮕ  ﮖ  ﮗ  ﮘ  ﮙ  ﮚ   ﮛ  ﮜ  ﮝ  ﮞ  ﮟ         ﮠ  ﮡ  ﮢ  ﮣ           ﮤ  ﮥ  ﮦ    </w:t>
      </w:r>
      <w:r w:rsidRPr="0063006E">
        <w:rPr>
          <w:rFonts w:ascii="QCF_P305" w:hAnsi="QCF_P305" w:cs="QCF_P305"/>
          <w:color w:val="auto"/>
          <w:sz w:val="32"/>
          <w:szCs w:val="32"/>
          <w:rtl/>
          <w:lang w:eastAsia="en-US"/>
        </w:rPr>
        <w:lastRenderedPageBreak/>
        <w:t xml:space="preserve">ﮧ  ﮨ  ﮩ  ﮪ  ﮫ  ﮬ  ﮭ  ﮮ   ﮯ  ﮰ  ﮱ  ﯓ  ﯔ   ﯕ  ﯖﯗ  ﯘ  ﯙ  ﯚ   ﯛ  ﯜ  ﯝ  ﯞ  ﯟ  ﯠ  ﯡ  ﯢ  ﯣ   ﯤ  ﯥ  ﯦ  ﯧ  ﯨ  ﯩ  ﯪ  ﯫ  ﯬ   </w:t>
      </w:r>
      <w:r w:rsidRPr="0063006E">
        <w:rPr>
          <w:rFonts w:ascii="QCF_BSML" w:hAnsi="QCF_BSML" w:cs="QCF_BSML"/>
          <w:color w:val="auto"/>
          <w:sz w:val="32"/>
          <w:szCs w:val="32"/>
          <w:rtl/>
          <w:lang w:eastAsia="en-US"/>
        </w:rPr>
        <w:t>ﭼ</w:t>
      </w:r>
      <w:r w:rsidRPr="0063006E">
        <w:rPr>
          <w:rFonts w:ascii="Arial" w:hAnsi="Arial" w:cs="Arial"/>
          <w:color w:val="auto"/>
          <w:sz w:val="32"/>
          <w:szCs w:val="32"/>
          <w:rtl/>
          <w:lang w:eastAsia="en-US"/>
        </w:rPr>
        <w:t xml:space="preserve"> </w:t>
      </w:r>
    </w:p>
    <w:p w:rsidR="0063006E" w:rsidRPr="0063006E" w:rsidRDefault="0063006E" w:rsidP="002F0380">
      <w:pPr>
        <w:ind w:firstLine="0"/>
        <w:rPr>
          <w:rFonts w:ascii="Traditional Arabic" w:hAnsi="Traditional Arabic"/>
          <w:rtl/>
        </w:rPr>
      </w:pPr>
      <w:r w:rsidRPr="0063006E">
        <w:rPr>
          <w:rFonts w:ascii="Traditional Arabic" w:hAnsi="Traditional Arabic"/>
          <w:rtl/>
        </w:rPr>
        <w:t xml:space="preserve">قوله تعالى: </w:t>
      </w:r>
      <w:r w:rsidRPr="0063006E">
        <w:rPr>
          <w:rFonts w:ascii="QCF_BSML" w:hAnsi="QCF_BSML" w:cs="QCF_BSML"/>
          <w:sz w:val="32"/>
          <w:szCs w:val="32"/>
          <w:rtl/>
          <w:lang w:eastAsia="en-US"/>
        </w:rPr>
        <w:t xml:space="preserve">ﭽ </w:t>
      </w:r>
      <w:r w:rsidRPr="0063006E">
        <w:rPr>
          <w:rFonts w:ascii="QCF_P305" w:hAnsi="QCF_P305" w:cs="QCF_P305"/>
          <w:sz w:val="32"/>
          <w:szCs w:val="32"/>
          <w:rtl/>
          <w:lang w:eastAsia="en-US"/>
        </w:rPr>
        <w:t>ﮆ   ﮇ   ﮈ</w:t>
      </w:r>
      <w:r w:rsidRPr="0063006E">
        <w:rPr>
          <w:rFonts w:ascii="QCF_BSML" w:hAnsi="QCF_BSML" w:cs="QCF_BSML"/>
          <w:sz w:val="32"/>
          <w:szCs w:val="32"/>
          <w:rtl/>
          <w:lang w:eastAsia="en-US"/>
        </w:rPr>
        <w:t xml:space="preserve"> ﭼ</w:t>
      </w:r>
      <w:r w:rsidRPr="0063006E">
        <w:rPr>
          <w:rFonts w:ascii="QCF_P305" w:hAnsi="QCF_P305" w:cs="QCF_P305"/>
          <w:sz w:val="32"/>
          <w:szCs w:val="32"/>
          <w:rtl/>
          <w:lang w:eastAsia="en-US"/>
        </w:rPr>
        <w:t xml:space="preserve">  </w:t>
      </w:r>
      <w:r w:rsidRPr="0063006E">
        <w:rPr>
          <w:rFonts w:ascii="Traditional Arabic" w:hAnsi="Traditional Arabic"/>
          <w:rtl/>
        </w:rPr>
        <w:t xml:space="preserve">في الكلام إِضمار، تقديره: فاستجاب الله له فقال: </w:t>
      </w:r>
      <w:r w:rsidRPr="0063006E">
        <w:rPr>
          <w:rFonts w:ascii="QCF_BSML" w:hAnsi="QCF_BSML" w:cs="QCF_BSML"/>
          <w:sz w:val="32"/>
          <w:szCs w:val="32"/>
          <w:rtl/>
          <w:lang w:eastAsia="en-US"/>
        </w:rPr>
        <w:t>ﭽ</w:t>
      </w:r>
      <w:r w:rsidRPr="0063006E">
        <w:rPr>
          <w:rFonts w:ascii="QCF_P305" w:hAnsi="QCF_P305" w:cs="QCF_P305"/>
          <w:sz w:val="32"/>
          <w:szCs w:val="32"/>
          <w:rtl/>
          <w:lang w:eastAsia="en-US"/>
        </w:rPr>
        <w:t>ﮆ   ﮇ   ﮈ</w:t>
      </w:r>
      <w:r w:rsidRPr="0063006E">
        <w:rPr>
          <w:rFonts w:ascii="QCF_BSML" w:hAnsi="QCF_BSML" w:cs="QCF_BSML"/>
          <w:sz w:val="32"/>
          <w:szCs w:val="32"/>
          <w:rtl/>
          <w:lang w:eastAsia="en-US"/>
        </w:rPr>
        <w:t xml:space="preserve"> ﭼ</w:t>
      </w:r>
      <w:r w:rsidRPr="0063006E">
        <w:rPr>
          <w:rFonts w:ascii="QCF_P305" w:hAnsi="QCF_P305" w:cs="QCF_P305"/>
          <w:sz w:val="32"/>
          <w:szCs w:val="32"/>
          <w:rtl/>
          <w:lang w:eastAsia="en-US"/>
        </w:rPr>
        <w:t xml:space="preserve">  </w:t>
      </w:r>
      <w:r w:rsidRPr="0063006E">
        <w:rPr>
          <w:rFonts w:ascii="Traditional Arabic" w:hAnsi="Traditional Arabic"/>
          <w:rtl/>
        </w:rPr>
        <w:t>. وقرأ حمزة: «نَبْشُرك» بالتّخفيف</w:t>
      </w:r>
      <w:r w:rsidRPr="0063006E">
        <w:rPr>
          <w:vertAlign w:val="superscript"/>
          <w:rtl/>
        </w:rPr>
        <w:t>(</w:t>
      </w:r>
      <w:r w:rsidRPr="0063006E">
        <w:rPr>
          <w:vertAlign w:val="superscript"/>
          <w:rtl/>
        </w:rPr>
        <w:footnoteReference w:id="2092"/>
      </w:r>
      <w:r w:rsidRPr="0063006E">
        <w:rPr>
          <w:vertAlign w:val="superscript"/>
          <w:rtl/>
        </w:rPr>
        <w:t>)</w:t>
      </w:r>
      <w:r w:rsidRPr="0063006E">
        <w:rPr>
          <w:rFonts w:ascii="Traditional Arabic" w:hAnsi="Traditional Arabic"/>
          <w:rtl/>
        </w:rPr>
        <w:t>. وقد شرحنا هذا في سورة آل عمران</w:t>
      </w:r>
      <w:r w:rsidRPr="0063006E">
        <w:rPr>
          <w:vertAlign w:val="superscript"/>
          <w:rtl/>
        </w:rPr>
        <w:t>(</w:t>
      </w:r>
      <w:r w:rsidRPr="0063006E">
        <w:rPr>
          <w:vertAlign w:val="superscript"/>
          <w:rtl/>
        </w:rPr>
        <w:footnoteReference w:id="2093"/>
      </w:r>
      <w:r w:rsidRPr="0063006E">
        <w:rPr>
          <w:vertAlign w:val="superscript"/>
          <w:rtl/>
        </w:rPr>
        <w:t>)</w:t>
      </w:r>
      <w:r w:rsidRPr="0063006E">
        <w:rPr>
          <w:rFonts w:ascii="Traditional Arabic" w:hAnsi="Traditional Arabic"/>
          <w:rtl/>
        </w:rPr>
        <w:t>. قوله تعالى:</w:t>
      </w:r>
      <w:r w:rsidRPr="0063006E">
        <w:rPr>
          <w:rFonts w:ascii="Traditional Arabic" w:hAnsi="Traditional Arabic" w:hint="cs"/>
          <w:rtl/>
        </w:rPr>
        <w:t xml:space="preserve"> </w:t>
      </w:r>
      <w:r w:rsidRPr="0063006E">
        <w:rPr>
          <w:rFonts w:ascii="QCF_BSML" w:hAnsi="QCF_BSML" w:cs="QCF_BSML"/>
          <w:color w:val="auto"/>
          <w:sz w:val="32"/>
          <w:szCs w:val="32"/>
          <w:rtl/>
          <w:lang w:eastAsia="en-US"/>
        </w:rPr>
        <w:t>ﭽ</w:t>
      </w:r>
      <w:r w:rsidRPr="0063006E">
        <w:rPr>
          <w:rFonts w:ascii="Traditional Arabic" w:hAnsi="Traditional Arabic"/>
          <w:rtl/>
        </w:rPr>
        <w:t xml:space="preserve"> </w:t>
      </w:r>
      <w:r w:rsidRPr="0063006E">
        <w:rPr>
          <w:rFonts w:ascii="QCF_P305" w:hAnsi="QCF_P305" w:cs="QCF_P305"/>
          <w:sz w:val="32"/>
          <w:szCs w:val="32"/>
          <w:rtl/>
          <w:lang w:eastAsia="en-US"/>
        </w:rPr>
        <w:t xml:space="preserve">ﮌ  ﮍ  ﮎ  ﮏ   ﮐ  ﮑ </w:t>
      </w:r>
      <w:r w:rsidRPr="0063006E">
        <w:rPr>
          <w:rFonts w:ascii="QCF_BSML" w:hAnsi="QCF_BSML" w:cs="QCF_BSML"/>
          <w:sz w:val="32"/>
          <w:szCs w:val="32"/>
          <w:rtl/>
          <w:lang w:eastAsia="en-US"/>
        </w:rPr>
        <w:t>ﭼ</w:t>
      </w:r>
      <w:r w:rsidRPr="0063006E">
        <w:rPr>
          <w:rFonts w:ascii="QCF_P305" w:hAnsi="QCF_P305" w:cs="QCF_P305"/>
          <w:sz w:val="32"/>
          <w:szCs w:val="32"/>
          <w:rtl/>
          <w:lang w:eastAsia="en-US"/>
        </w:rPr>
        <w:t xml:space="preserve">  </w:t>
      </w:r>
      <w:r w:rsidRPr="0063006E">
        <w:rPr>
          <w:rFonts w:ascii="Traditional Arabic" w:hAnsi="Traditional Arabic" w:hint="cs"/>
          <w:rtl/>
        </w:rPr>
        <w:t xml:space="preserve"> </w:t>
      </w:r>
      <w:r w:rsidRPr="0063006E">
        <w:rPr>
          <w:rFonts w:ascii="Traditional Arabic" w:hAnsi="Traditional Arabic"/>
          <w:rtl/>
        </w:rPr>
        <w:t>فيه ثلا</w:t>
      </w:r>
      <w:r w:rsidR="002F0380">
        <w:rPr>
          <w:rFonts w:ascii="Traditional Arabic" w:hAnsi="Traditional Arabic"/>
          <w:rtl/>
        </w:rPr>
        <w:t>ثة أقوال: أحدها: لم يُسمَّ يحيى</w:t>
      </w:r>
      <w:r w:rsidR="002F0380">
        <w:rPr>
          <w:rFonts w:ascii="Traditional Arabic" w:hAnsi="Traditional Arabic" w:hint="cs"/>
          <w:rtl/>
        </w:rPr>
        <w:t xml:space="preserve"> </w:t>
      </w:r>
      <w:r w:rsidRPr="0063006E">
        <w:rPr>
          <w:rFonts w:ascii="Traditional Arabic" w:hAnsi="Traditional Arabic"/>
          <w:rtl/>
        </w:rPr>
        <w:t>قبله، رواه أبو صالح عن ابن عباس، وبه قال عكرمة</w:t>
      </w:r>
      <w:r w:rsidRPr="0063006E">
        <w:rPr>
          <w:vertAlign w:val="superscript"/>
          <w:rtl/>
        </w:rPr>
        <w:t>(</w:t>
      </w:r>
      <w:r w:rsidRPr="0063006E">
        <w:rPr>
          <w:vertAlign w:val="superscript"/>
          <w:rtl/>
        </w:rPr>
        <w:footnoteReference w:id="2094"/>
      </w:r>
      <w:r w:rsidRPr="0063006E">
        <w:rPr>
          <w:vertAlign w:val="superscript"/>
          <w:rtl/>
        </w:rPr>
        <w:t>)</w:t>
      </w:r>
      <w:r w:rsidRPr="0063006E">
        <w:rPr>
          <w:rFonts w:ascii="Traditional Arabic" w:hAnsi="Traditional Arabic"/>
          <w:rtl/>
        </w:rPr>
        <w:t>، وقتادة، وابن زيد</w:t>
      </w:r>
      <w:r w:rsidRPr="0063006E">
        <w:rPr>
          <w:vertAlign w:val="superscript"/>
          <w:rtl/>
        </w:rPr>
        <w:t>(</w:t>
      </w:r>
      <w:r w:rsidRPr="0063006E">
        <w:rPr>
          <w:vertAlign w:val="superscript"/>
          <w:rtl/>
        </w:rPr>
        <w:footnoteReference w:id="2095"/>
      </w:r>
      <w:r w:rsidRPr="0063006E">
        <w:rPr>
          <w:vertAlign w:val="superscript"/>
          <w:rtl/>
        </w:rPr>
        <w:t>)</w:t>
      </w:r>
      <w:r w:rsidRPr="0063006E">
        <w:rPr>
          <w:rFonts w:ascii="Traditional Arabic" w:hAnsi="Traditional Arabic"/>
          <w:rtl/>
        </w:rPr>
        <w:t>، والأكثرون</w:t>
      </w:r>
      <w:r w:rsidRPr="0063006E">
        <w:rPr>
          <w:vertAlign w:val="superscript"/>
          <w:rtl/>
        </w:rPr>
        <w:t>(</w:t>
      </w:r>
      <w:r w:rsidRPr="0063006E">
        <w:rPr>
          <w:vertAlign w:val="superscript"/>
          <w:rtl/>
        </w:rPr>
        <w:footnoteReference w:id="2096"/>
      </w:r>
      <w:r w:rsidRPr="0063006E">
        <w:rPr>
          <w:vertAlign w:val="superscript"/>
          <w:rtl/>
        </w:rPr>
        <w:t>)</w:t>
      </w:r>
      <w:r w:rsidRPr="0063006E">
        <w:rPr>
          <w:rFonts w:ascii="Traditional Arabic" w:hAnsi="Traditional Arabic"/>
          <w:rtl/>
        </w:rPr>
        <w:t xml:space="preserve">. فإن اعترض معترض، فقال: ما وجه المِدْحَة باسم لم يُسمَّ به أحد قبله، ونرى كثيراً من الأسماء لم يُسبَق إِليها؟ فالجواب: أن وجه الفضيلة أن الله تعالى تولَّى </w:t>
      </w:r>
      <w:r w:rsidRPr="0063006E">
        <w:rPr>
          <w:rFonts w:ascii="Traditional Arabic" w:hAnsi="Traditional Arabic"/>
          <w:sz w:val="32"/>
          <w:szCs w:val="32"/>
          <w:rtl/>
        </w:rPr>
        <w:t>[</w:t>
      </w:r>
      <w:r w:rsidRPr="0063006E">
        <w:rPr>
          <w:rFonts w:ascii="Traditional Arabic" w:hAnsi="Traditional Arabic" w:hint="cs"/>
          <w:sz w:val="32"/>
          <w:szCs w:val="32"/>
          <w:rtl/>
        </w:rPr>
        <w:t>160</w:t>
      </w:r>
      <w:r w:rsidRPr="0063006E">
        <w:rPr>
          <w:rFonts w:ascii="Traditional Arabic" w:hAnsi="Traditional Arabic"/>
          <w:sz w:val="32"/>
          <w:szCs w:val="32"/>
          <w:rtl/>
        </w:rPr>
        <w:t>]</w:t>
      </w:r>
      <w:r w:rsidRPr="0063006E">
        <w:rPr>
          <w:rFonts w:ascii="Traditional Arabic" w:hAnsi="Traditional Arabic"/>
          <w:rtl/>
        </w:rPr>
        <w:t xml:space="preserve"> تسميته، ولم يَكِل ذلك إِلى أبويه، فسماه باسم لم يُسبَق إِليه. والثاني: لم تلد العواقر مثله ولداً، رواه ابن أبي طلحة عن ابن عباس</w:t>
      </w:r>
      <w:r w:rsidRPr="0063006E">
        <w:rPr>
          <w:vertAlign w:val="superscript"/>
          <w:rtl/>
        </w:rPr>
        <w:t>(</w:t>
      </w:r>
      <w:r w:rsidRPr="0063006E">
        <w:rPr>
          <w:vertAlign w:val="superscript"/>
          <w:rtl/>
        </w:rPr>
        <w:footnoteReference w:id="2097"/>
      </w:r>
      <w:r w:rsidRPr="0063006E">
        <w:rPr>
          <w:vertAlign w:val="superscript"/>
          <w:rtl/>
        </w:rPr>
        <w:t>)</w:t>
      </w:r>
      <w:r w:rsidRPr="0063006E">
        <w:rPr>
          <w:rFonts w:ascii="Traditional Arabic" w:hAnsi="Traditional Arabic"/>
          <w:rtl/>
        </w:rPr>
        <w:t>. فعلى هذا يكون المعنى: لم نجعل له نظيراً. والثالث: لم نجعل له من قبل مِثْلاً وشِبْهاً، قاله مجاهد</w:t>
      </w:r>
      <w:r w:rsidRPr="0063006E">
        <w:rPr>
          <w:vertAlign w:val="superscript"/>
          <w:rtl/>
        </w:rPr>
        <w:t>(</w:t>
      </w:r>
      <w:r w:rsidRPr="0063006E">
        <w:rPr>
          <w:vertAlign w:val="superscript"/>
          <w:rtl/>
        </w:rPr>
        <w:footnoteReference w:id="2098"/>
      </w:r>
      <w:r w:rsidRPr="0063006E">
        <w:rPr>
          <w:vertAlign w:val="superscript"/>
          <w:rtl/>
        </w:rPr>
        <w:t>)</w:t>
      </w:r>
      <w:r w:rsidRPr="0063006E">
        <w:rPr>
          <w:rFonts w:ascii="Traditional Arabic" w:hAnsi="Traditional Arabic"/>
          <w:rtl/>
        </w:rPr>
        <w:t>. فعلى هذا يكون عدم الشَّبَه من حيث أنه لم يعص ولم يهمّ</w:t>
      </w:r>
      <w:r w:rsidRPr="0063006E">
        <w:rPr>
          <w:rFonts w:ascii="Traditional Arabic" w:hAnsi="Traditional Arabic" w:hint="cs"/>
          <w:rtl/>
        </w:rPr>
        <w:t xml:space="preserve"> </w:t>
      </w:r>
      <w:r w:rsidRPr="0063006E">
        <w:rPr>
          <w:rFonts w:ascii="Traditional Arabic" w:hAnsi="Traditional Arabic"/>
          <w:rtl/>
        </w:rPr>
        <w:t>بمعصية. وما بعد هذا مفسر في آل عمران</w:t>
      </w:r>
      <w:r w:rsidRPr="0063006E">
        <w:rPr>
          <w:vertAlign w:val="superscript"/>
          <w:rtl/>
        </w:rPr>
        <w:t>(</w:t>
      </w:r>
      <w:r w:rsidRPr="0063006E">
        <w:rPr>
          <w:vertAlign w:val="superscript"/>
          <w:rtl/>
        </w:rPr>
        <w:footnoteReference w:id="2099"/>
      </w:r>
      <w:r w:rsidRPr="0063006E">
        <w:rPr>
          <w:vertAlign w:val="superscript"/>
          <w:rtl/>
        </w:rPr>
        <w:t>)</w:t>
      </w:r>
      <w:r w:rsidRPr="0063006E">
        <w:rPr>
          <w:rFonts w:ascii="Traditional Arabic" w:hAnsi="Traditional Arabic"/>
          <w:rtl/>
        </w:rPr>
        <w:t xml:space="preserve">إِلى قوله: </w:t>
      </w:r>
      <w:r w:rsidRPr="0063006E">
        <w:rPr>
          <w:rFonts w:ascii="QCF_BSML" w:hAnsi="QCF_BSML" w:cs="QCF_BSML"/>
          <w:color w:val="auto"/>
          <w:sz w:val="32"/>
          <w:szCs w:val="32"/>
          <w:rtl/>
          <w:lang w:eastAsia="en-US"/>
        </w:rPr>
        <w:t>ﭽ</w:t>
      </w:r>
      <w:r w:rsidRPr="0063006E">
        <w:rPr>
          <w:rFonts w:ascii="QCF_P305" w:hAnsi="QCF_P305" w:cs="QCF_P305"/>
          <w:sz w:val="32"/>
          <w:szCs w:val="32"/>
          <w:rtl/>
          <w:lang w:eastAsia="en-US"/>
        </w:rPr>
        <w:t xml:space="preserve"> ﮙ  ﮚ   ﮛ</w:t>
      </w:r>
      <w:r w:rsidRPr="0063006E">
        <w:rPr>
          <w:rFonts w:ascii="QCF_BSML" w:hAnsi="QCF_BSML" w:cs="QCF_BSML"/>
          <w:sz w:val="32"/>
          <w:szCs w:val="32"/>
          <w:rtl/>
          <w:lang w:eastAsia="en-US"/>
        </w:rPr>
        <w:t xml:space="preserve"> ﭼ</w:t>
      </w:r>
      <w:r w:rsidRPr="0063006E">
        <w:rPr>
          <w:rFonts w:ascii="QCF_P305" w:hAnsi="QCF_P305" w:cs="QCF_P305"/>
          <w:sz w:val="32"/>
          <w:szCs w:val="32"/>
          <w:rtl/>
          <w:lang w:eastAsia="en-US"/>
        </w:rPr>
        <w:t xml:space="preserve"> </w:t>
      </w:r>
      <w:r w:rsidRPr="0063006E">
        <w:rPr>
          <w:rFonts w:ascii="Traditional Arabic" w:hAnsi="Traditional Arabic"/>
          <w:rtl/>
        </w:rPr>
        <w:t xml:space="preserve">. وفي معنى «كانت» قولان: أحدهما: </w:t>
      </w:r>
      <w:r w:rsidRPr="0063006E">
        <w:rPr>
          <w:rFonts w:ascii="Traditional Arabic" w:hAnsi="Traditional Arabic" w:hint="cs"/>
          <w:rtl/>
        </w:rPr>
        <w:t>أ</w:t>
      </w:r>
      <w:r w:rsidRPr="0063006E">
        <w:rPr>
          <w:rFonts w:ascii="Traditional Arabic" w:hAnsi="Traditional Arabic"/>
          <w:rtl/>
        </w:rPr>
        <w:t>نه توكيد للكلام، فالمعنى: وهي عاقر، كقوله:</w:t>
      </w:r>
      <w:r w:rsidRPr="0063006E">
        <w:rPr>
          <w:rFonts w:ascii="QCF_BSML" w:hAnsi="QCF_BSML" w:cs="QCF_BSML"/>
          <w:sz w:val="47"/>
          <w:szCs w:val="47"/>
          <w:rtl/>
          <w:lang w:eastAsia="en-US"/>
        </w:rPr>
        <w:t xml:space="preserve"> </w:t>
      </w:r>
      <w:r w:rsidRPr="0063006E">
        <w:rPr>
          <w:rFonts w:ascii="QCF_BSML" w:hAnsi="QCF_BSML" w:cs="QCF_BSML"/>
          <w:color w:val="auto"/>
          <w:sz w:val="32"/>
          <w:szCs w:val="32"/>
          <w:rtl/>
          <w:lang w:eastAsia="en-US"/>
        </w:rPr>
        <w:t xml:space="preserve">ﭽ </w:t>
      </w:r>
      <w:r w:rsidRPr="0063006E">
        <w:rPr>
          <w:rFonts w:ascii="QCF_P064" w:hAnsi="QCF_P064" w:cs="QCF_P064"/>
          <w:color w:val="auto"/>
          <w:sz w:val="32"/>
          <w:szCs w:val="32"/>
          <w:rtl/>
          <w:lang w:eastAsia="en-US"/>
        </w:rPr>
        <w:t xml:space="preserve">ﭞ  ﭟ  ﭠ  </w:t>
      </w:r>
      <w:r w:rsidRPr="0063006E">
        <w:rPr>
          <w:rFonts w:ascii="QCF_BSML" w:hAnsi="QCF_BSML" w:cs="QCF_BSML"/>
          <w:color w:val="auto"/>
          <w:sz w:val="32"/>
          <w:szCs w:val="32"/>
          <w:rtl/>
          <w:lang w:eastAsia="en-US"/>
        </w:rPr>
        <w:t>ﭼ</w:t>
      </w:r>
      <w:r w:rsidRPr="0063006E">
        <w:rPr>
          <w:rFonts w:ascii="Arial" w:hAnsi="Arial" w:cs="Arial"/>
          <w:color w:val="9DAB0C"/>
          <w:sz w:val="27"/>
          <w:szCs w:val="27"/>
          <w:rtl/>
          <w:lang w:eastAsia="en-US"/>
        </w:rPr>
        <w:t xml:space="preserve"> </w:t>
      </w:r>
      <w:r w:rsidRPr="0063006E">
        <w:rPr>
          <w:rFonts w:ascii="Traditional Arabic" w:hAnsi="Traditional Arabic" w:hint="cs"/>
          <w:sz w:val="32"/>
          <w:szCs w:val="32"/>
          <w:rtl/>
        </w:rPr>
        <w:t>[</w:t>
      </w:r>
      <w:r w:rsidRPr="0063006E">
        <w:rPr>
          <w:rFonts w:ascii="Traditional Arabic" w:hAnsi="Traditional Arabic"/>
          <w:sz w:val="32"/>
          <w:szCs w:val="32"/>
          <w:rtl/>
        </w:rPr>
        <w:t>آل عمران:110</w:t>
      </w:r>
      <w:r w:rsidRPr="0063006E">
        <w:rPr>
          <w:rFonts w:ascii="Traditional Arabic" w:hAnsi="Traditional Arabic" w:hint="cs"/>
          <w:sz w:val="32"/>
          <w:szCs w:val="32"/>
          <w:rtl/>
        </w:rPr>
        <w:t xml:space="preserve">] </w:t>
      </w:r>
      <w:r w:rsidRPr="0063006E">
        <w:rPr>
          <w:rFonts w:ascii="Traditional Arabic" w:hAnsi="Traditional Arabic"/>
          <w:rtl/>
        </w:rPr>
        <w:t>أي: أنتم.</w:t>
      </w:r>
      <w:r w:rsidRPr="0063006E">
        <w:rPr>
          <w:rFonts w:ascii="Traditional Arabic" w:hAnsi="Traditional Arabic" w:hint="cs"/>
          <w:rtl/>
        </w:rPr>
        <w:t xml:space="preserve"> </w:t>
      </w:r>
      <w:r w:rsidRPr="0063006E">
        <w:rPr>
          <w:rFonts w:ascii="Traditional Arabic" w:hAnsi="Traditional Arabic"/>
          <w:rtl/>
        </w:rPr>
        <w:t xml:space="preserve">والثاني: أنها كانت منذ كانت عاقراً، لم يحدُث ذلك بها، ذكرهما ابن </w:t>
      </w:r>
      <w:r w:rsidRPr="0063006E">
        <w:rPr>
          <w:rFonts w:ascii="Traditional Arabic" w:hAnsi="Traditional Arabic"/>
          <w:rtl/>
        </w:rPr>
        <w:lastRenderedPageBreak/>
        <w:t>الأنباري، واختار الأول</w:t>
      </w:r>
      <w:r w:rsidRPr="0063006E">
        <w:rPr>
          <w:vertAlign w:val="superscript"/>
          <w:rtl/>
        </w:rPr>
        <w:t>(</w:t>
      </w:r>
      <w:r w:rsidRPr="0063006E">
        <w:rPr>
          <w:vertAlign w:val="superscript"/>
          <w:rtl/>
        </w:rPr>
        <w:footnoteReference w:id="2100"/>
      </w:r>
      <w:r w:rsidRPr="0063006E">
        <w:rPr>
          <w:vertAlign w:val="superscript"/>
          <w:rtl/>
        </w:rPr>
        <w:t>)</w:t>
      </w:r>
      <w:r w:rsidRPr="0063006E">
        <w:rPr>
          <w:rFonts w:ascii="Traditional Arabic" w:hAnsi="Traditional Arabic"/>
          <w:rtl/>
        </w:rPr>
        <w:t xml:space="preserve">. قوله تعالى: </w:t>
      </w:r>
      <w:r w:rsidRPr="0063006E">
        <w:rPr>
          <w:rFonts w:ascii="QCF_BSML" w:hAnsi="QCF_BSML" w:cs="QCF_BSML"/>
          <w:color w:val="auto"/>
          <w:sz w:val="32"/>
          <w:szCs w:val="32"/>
          <w:rtl/>
          <w:lang w:eastAsia="en-US"/>
        </w:rPr>
        <w:t>ﭽ</w:t>
      </w:r>
      <w:r w:rsidRPr="0063006E">
        <w:rPr>
          <w:rFonts w:ascii="QCF_P305" w:hAnsi="QCF_P305" w:cs="QCF_P305"/>
          <w:sz w:val="32"/>
          <w:szCs w:val="32"/>
          <w:rtl/>
          <w:lang w:eastAsia="en-US"/>
        </w:rPr>
        <w:t xml:space="preserve"> ﮜ  ﮝ  ﮞ  ﮟ  </w:t>
      </w:r>
      <w:r w:rsidRPr="0063006E">
        <w:rPr>
          <w:rFonts w:ascii="QCF_P305" w:hAnsi="QCF_P305" w:cs="QCF_P305" w:hint="cs"/>
          <w:sz w:val="32"/>
          <w:szCs w:val="32"/>
          <w:rtl/>
          <w:lang w:eastAsia="en-US"/>
        </w:rPr>
        <w:t xml:space="preserve">    </w:t>
      </w:r>
      <w:r w:rsidRPr="0063006E">
        <w:rPr>
          <w:rFonts w:ascii="QCF_P305" w:hAnsi="QCF_P305" w:cs="QCF_P305"/>
          <w:sz w:val="32"/>
          <w:szCs w:val="32"/>
          <w:rtl/>
          <w:lang w:eastAsia="en-US"/>
        </w:rPr>
        <w:t xml:space="preserve">ﮠ </w:t>
      </w:r>
      <w:r w:rsidRPr="0063006E">
        <w:rPr>
          <w:rFonts w:ascii="QCF_BSML" w:hAnsi="QCF_BSML" w:cs="QCF_BSML"/>
          <w:sz w:val="32"/>
          <w:szCs w:val="32"/>
          <w:rtl/>
          <w:lang w:eastAsia="en-US"/>
        </w:rPr>
        <w:t>ﭼ</w:t>
      </w:r>
      <w:r w:rsidRPr="0063006E">
        <w:rPr>
          <w:rFonts w:ascii="QCF_P305" w:hAnsi="QCF_P305" w:cs="QCF_P305" w:hint="cs"/>
          <w:sz w:val="32"/>
          <w:szCs w:val="32"/>
          <w:rtl/>
          <w:lang w:eastAsia="en-US"/>
        </w:rPr>
        <w:t xml:space="preserve"> </w:t>
      </w:r>
      <w:r w:rsidRPr="0063006E">
        <w:rPr>
          <w:rFonts w:ascii="QCF_P305" w:hAnsi="QCF_P305" w:cs="QCF_P305"/>
          <w:sz w:val="32"/>
          <w:szCs w:val="32"/>
          <w:rtl/>
          <w:lang w:eastAsia="en-US"/>
        </w:rPr>
        <w:t xml:space="preserve"> </w:t>
      </w:r>
      <w:r w:rsidRPr="0063006E">
        <w:rPr>
          <w:rFonts w:ascii="Traditional Arabic" w:hAnsi="Traditional Arabic"/>
          <w:rtl/>
        </w:rPr>
        <w:t xml:space="preserve">قرأ ابن كثير، ونافع، وأبو عمرو، وابن عامر، وأبو بكر عن عاصم: </w:t>
      </w:r>
      <w:r w:rsidRPr="0063006E">
        <w:rPr>
          <w:rFonts w:ascii="QCF_BSML" w:hAnsi="QCF_BSML" w:cs="QCF_BSML"/>
          <w:color w:val="auto"/>
          <w:sz w:val="32"/>
          <w:szCs w:val="32"/>
          <w:rtl/>
          <w:lang w:eastAsia="en-US"/>
        </w:rPr>
        <w:t xml:space="preserve"> </w:t>
      </w:r>
      <w:r w:rsidRPr="0063006E">
        <w:rPr>
          <w:rFonts w:ascii="Traditional Arabic" w:hAnsi="Traditional Arabic"/>
          <w:rtl/>
        </w:rPr>
        <w:t>«ع</w:t>
      </w:r>
      <w:r w:rsidRPr="0063006E">
        <w:rPr>
          <w:rFonts w:ascii="Traditional Arabic" w:hAnsi="Traditional Arabic" w:hint="cs"/>
          <w:rtl/>
        </w:rPr>
        <w:t>ُ</w:t>
      </w:r>
      <w:r w:rsidRPr="0063006E">
        <w:rPr>
          <w:rFonts w:ascii="Traditional Arabic" w:hAnsi="Traditional Arabic"/>
          <w:rtl/>
        </w:rPr>
        <w:t>تيّا</w:t>
      </w:r>
      <w:r w:rsidRPr="0063006E">
        <w:rPr>
          <w:rFonts w:ascii="QCF_BSML" w:hAnsi="QCF_BSML" w:cs="QCF_BSML"/>
          <w:sz w:val="32"/>
          <w:szCs w:val="32"/>
          <w:rtl/>
          <w:lang w:eastAsia="en-US"/>
        </w:rPr>
        <w:t xml:space="preserve"> </w:t>
      </w:r>
      <w:r w:rsidRPr="0063006E">
        <w:rPr>
          <w:rFonts w:ascii="Traditional Arabic" w:hAnsi="Traditional Arabic"/>
          <w:rtl/>
        </w:rPr>
        <w:t>»</w:t>
      </w:r>
      <w:r w:rsidRPr="0063006E">
        <w:rPr>
          <w:rFonts w:ascii="Traditional Arabic" w:hAnsi="Traditional Arabic" w:hint="cs"/>
          <w:rtl/>
        </w:rPr>
        <w:t xml:space="preserve"> </w:t>
      </w:r>
      <w:r w:rsidRPr="0063006E">
        <w:rPr>
          <w:rFonts w:ascii="Traditional Arabic" w:hAnsi="Traditional Arabic"/>
          <w:rtl/>
        </w:rPr>
        <w:t>و«ب</w:t>
      </w:r>
      <w:r w:rsidRPr="0063006E">
        <w:rPr>
          <w:rFonts w:ascii="Traditional Arabic" w:hAnsi="Traditional Arabic" w:hint="cs"/>
          <w:rtl/>
        </w:rPr>
        <w:t>ُ</w:t>
      </w:r>
      <w:r w:rsidRPr="0063006E">
        <w:rPr>
          <w:rFonts w:ascii="Traditional Arabic" w:hAnsi="Traditional Arabic"/>
          <w:rtl/>
        </w:rPr>
        <w:t>كيّا»</w:t>
      </w:r>
      <w:r w:rsidRPr="0063006E">
        <w:rPr>
          <w:rFonts w:ascii="Traditional Arabic" w:hAnsi="Traditional Arabic" w:hint="cs"/>
          <w:sz w:val="32"/>
          <w:szCs w:val="32"/>
          <w:rtl/>
        </w:rPr>
        <w:t xml:space="preserve"> [</w:t>
      </w:r>
      <w:r w:rsidRPr="0063006E">
        <w:rPr>
          <w:rFonts w:ascii="Traditional Arabic" w:hAnsi="Traditional Arabic"/>
          <w:sz w:val="32"/>
          <w:szCs w:val="32"/>
          <w:rtl/>
        </w:rPr>
        <w:t>مريم:58</w:t>
      </w:r>
      <w:r w:rsidRPr="0063006E">
        <w:rPr>
          <w:rFonts w:ascii="Traditional Arabic" w:hAnsi="Traditional Arabic" w:hint="cs"/>
          <w:sz w:val="32"/>
          <w:szCs w:val="32"/>
          <w:rtl/>
        </w:rPr>
        <w:t>]</w:t>
      </w:r>
      <w:r w:rsidRPr="0063006E">
        <w:rPr>
          <w:rFonts w:ascii="Traditional Arabic" w:hAnsi="Traditional Arabic" w:hint="cs"/>
          <w:rtl/>
        </w:rPr>
        <w:t>,</w:t>
      </w:r>
      <w:r w:rsidRPr="0063006E">
        <w:rPr>
          <w:rFonts w:ascii="Traditional Arabic" w:hAnsi="Traditional Arabic"/>
          <w:rtl/>
        </w:rPr>
        <w:t xml:space="preserve"> و«ص</w:t>
      </w:r>
      <w:r w:rsidRPr="0063006E">
        <w:rPr>
          <w:rFonts w:ascii="Traditional Arabic" w:hAnsi="Traditional Arabic" w:hint="cs"/>
          <w:rtl/>
        </w:rPr>
        <w:t>ُ</w:t>
      </w:r>
      <w:r w:rsidRPr="0063006E">
        <w:rPr>
          <w:rFonts w:ascii="Traditional Arabic" w:hAnsi="Traditional Arabic"/>
          <w:rtl/>
        </w:rPr>
        <w:t>ليّا</w:t>
      </w:r>
      <w:r w:rsidRPr="0063006E">
        <w:rPr>
          <w:rFonts w:ascii="QCF_BSML" w:hAnsi="QCF_BSML" w:cs="QCF_BSML"/>
          <w:sz w:val="32"/>
          <w:szCs w:val="32"/>
          <w:rtl/>
          <w:lang w:eastAsia="en-US"/>
        </w:rPr>
        <w:t xml:space="preserve"> </w:t>
      </w:r>
      <w:r w:rsidRPr="0063006E">
        <w:rPr>
          <w:rFonts w:ascii="Traditional Arabic" w:hAnsi="Traditional Arabic"/>
          <w:rtl/>
        </w:rPr>
        <w:t>»</w:t>
      </w:r>
      <w:r w:rsidRPr="0063006E">
        <w:rPr>
          <w:rFonts w:ascii="Traditional Arabic" w:hAnsi="Traditional Arabic" w:hint="cs"/>
          <w:rtl/>
        </w:rPr>
        <w:t xml:space="preserve"> </w:t>
      </w:r>
      <w:r w:rsidRPr="0063006E">
        <w:rPr>
          <w:rFonts w:ascii="Traditional Arabic" w:hAnsi="Traditional Arabic" w:hint="cs"/>
          <w:sz w:val="32"/>
          <w:szCs w:val="32"/>
          <w:rtl/>
        </w:rPr>
        <w:t>[</w:t>
      </w:r>
      <w:r w:rsidRPr="0063006E">
        <w:rPr>
          <w:rFonts w:ascii="Traditional Arabic" w:hAnsi="Traditional Arabic"/>
          <w:sz w:val="32"/>
          <w:szCs w:val="32"/>
          <w:rtl/>
        </w:rPr>
        <w:t>مريم:70</w:t>
      </w:r>
      <w:r w:rsidRPr="0063006E">
        <w:rPr>
          <w:rFonts w:ascii="Traditional Arabic" w:hAnsi="Traditional Arabic" w:hint="cs"/>
          <w:sz w:val="32"/>
          <w:szCs w:val="32"/>
          <w:rtl/>
        </w:rPr>
        <w:t>]</w:t>
      </w:r>
      <w:r w:rsidRPr="0063006E">
        <w:rPr>
          <w:rFonts w:ascii="Traditional Arabic" w:hAnsi="Traditional Arabic" w:hint="cs"/>
          <w:rtl/>
        </w:rPr>
        <w:t xml:space="preserve"> </w:t>
      </w:r>
      <w:r w:rsidRPr="0063006E">
        <w:rPr>
          <w:rFonts w:ascii="Traditional Arabic" w:hAnsi="Traditional Arabic"/>
          <w:rtl/>
        </w:rPr>
        <w:t>بضم أوائلها. وقرأ حمزة، والكسائي، بكسر أوائلها، وافقهما حفص عن عاصم، إِلا في قوله: «بُكيّاً» فإنه ضم أوله</w:t>
      </w:r>
      <w:r w:rsidRPr="0063006E">
        <w:rPr>
          <w:vertAlign w:val="superscript"/>
          <w:rtl/>
        </w:rPr>
        <w:t>(</w:t>
      </w:r>
      <w:r w:rsidRPr="0063006E">
        <w:rPr>
          <w:vertAlign w:val="superscript"/>
          <w:rtl/>
        </w:rPr>
        <w:footnoteReference w:id="2101"/>
      </w:r>
      <w:r w:rsidRPr="0063006E">
        <w:rPr>
          <w:vertAlign w:val="superscript"/>
          <w:rtl/>
        </w:rPr>
        <w:t>)</w:t>
      </w:r>
      <w:r w:rsidRPr="0063006E">
        <w:rPr>
          <w:rFonts w:ascii="Traditional Arabic" w:hAnsi="Traditional Arabic"/>
          <w:rtl/>
        </w:rPr>
        <w:t>. وقرأ ابن عباس، ومجاهد: «عُسِيّاً» بالسين</w:t>
      </w:r>
      <w:r w:rsidRPr="0063006E">
        <w:rPr>
          <w:vertAlign w:val="superscript"/>
          <w:rtl/>
        </w:rPr>
        <w:t>(</w:t>
      </w:r>
      <w:r w:rsidRPr="0063006E">
        <w:rPr>
          <w:vertAlign w:val="superscript"/>
          <w:rtl/>
        </w:rPr>
        <w:footnoteReference w:id="2102"/>
      </w:r>
      <w:r w:rsidRPr="0063006E">
        <w:rPr>
          <w:vertAlign w:val="superscript"/>
          <w:rtl/>
        </w:rPr>
        <w:t>)</w:t>
      </w:r>
      <w:r w:rsidRPr="0063006E">
        <w:rPr>
          <w:rFonts w:ascii="Traditional Arabic" w:hAnsi="Traditional Arabic" w:hint="cs"/>
          <w:rtl/>
        </w:rPr>
        <w:t>.</w:t>
      </w:r>
      <w:r w:rsidRPr="0063006E">
        <w:rPr>
          <w:rFonts w:ascii="Traditional Arabic" w:hAnsi="Traditional Arabic"/>
          <w:rtl/>
        </w:rPr>
        <w:t xml:space="preserve"> </w:t>
      </w:r>
    </w:p>
    <w:p w:rsidR="0063006E" w:rsidRPr="0063006E" w:rsidRDefault="0063006E" w:rsidP="002F0380">
      <w:pPr>
        <w:ind w:firstLine="0"/>
        <w:rPr>
          <w:rFonts w:ascii="Traditional Arabic" w:hAnsi="Traditional Arabic"/>
          <w:rtl/>
        </w:rPr>
      </w:pPr>
      <w:r w:rsidRPr="0063006E">
        <w:rPr>
          <w:rFonts w:ascii="Traditional Arabic" w:hAnsi="Traditional Arabic"/>
          <w:rtl/>
        </w:rPr>
        <w:t>قال مجاهد: «عتيّاً» هو قُحُول العظم</w:t>
      </w:r>
      <w:r w:rsidRPr="0063006E">
        <w:rPr>
          <w:vertAlign w:val="superscript"/>
          <w:rtl/>
        </w:rPr>
        <w:t>(</w:t>
      </w:r>
      <w:r w:rsidRPr="0063006E">
        <w:rPr>
          <w:vertAlign w:val="superscript"/>
          <w:rtl/>
        </w:rPr>
        <w:footnoteReference w:id="2103"/>
      </w:r>
      <w:r w:rsidRPr="0063006E">
        <w:rPr>
          <w:vertAlign w:val="superscript"/>
          <w:rtl/>
        </w:rPr>
        <w:t>)</w:t>
      </w:r>
      <w:r w:rsidRPr="0063006E">
        <w:rPr>
          <w:rFonts w:ascii="Traditional Arabic" w:hAnsi="Traditional Arabic"/>
          <w:rtl/>
        </w:rPr>
        <w:t>. وقال ابن قتيبة: أي: يُبْساً يقال: عَتَا وعَسَا بمعنى واحد</w:t>
      </w:r>
      <w:r w:rsidRPr="0063006E">
        <w:rPr>
          <w:vertAlign w:val="superscript"/>
          <w:rtl/>
        </w:rPr>
        <w:t>(</w:t>
      </w:r>
      <w:r w:rsidRPr="0063006E">
        <w:rPr>
          <w:vertAlign w:val="superscript"/>
          <w:rtl/>
        </w:rPr>
        <w:footnoteReference w:id="2104"/>
      </w:r>
      <w:r w:rsidRPr="0063006E">
        <w:rPr>
          <w:vertAlign w:val="superscript"/>
          <w:rtl/>
        </w:rPr>
        <w:t>)</w:t>
      </w:r>
      <w:r w:rsidRPr="0063006E">
        <w:rPr>
          <w:rFonts w:ascii="Traditional Arabic" w:hAnsi="Traditional Arabic"/>
          <w:rtl/>
        </w:rPr>
        <w:t>. قال الزجاج: كل شيء انتهى، فقد عَتَا يَعْتُو عِتِيّاً، وعُتُوّاً، وعُسُوّاً، وعُسِيّاً</w:t>
      </w:r>
      <w:r w:rsidRPr="0063006E">
        <w:rPr>
          <w:vertAlign w:val="superscript"/>
          <w:rtl/>
        </w:rPr>
        <w:t>(</w:t>
      </w:r>
      <w:r w:rsidRPr="0063006E">
        <w:rPr>
          <w:vertAlign w:val="superscript"/>
          <w:rtl/>
        </w:rPr>
        <w:footnoteReference w:id="2105"/>
      </w:r>
      <w:r w:rsidRPr="0063006E">
        <w:rPr>
          <w:vertAlign w:val="superscript"/>
          <w:rtl/>
        </w:rPr>
        <w:t>)</w:t>
      </w:r>
      <w:r w:rsidRPr="0063006E">
        <w:rPr>
          <w:rFonts w:ascii="Traditional Arabic" w:hAnsi="Traditional Arabic"/>
          <w:rtl/>
        </w:rPr>
        <w:t>.</w:t>
      </w:r>
      <w:r w:rsidRPr="0063006E">
        <w:rPr>
          <w:rFonts w:ascii="Traditional Arabic" w:hAnsi="Traditional Arabic" w:hint="cs"/>
          <w:rtl/>
        </w:rPr>
        <w:t xml:space="preserve"> </w:t>
      </w:r>
      <w:r w:rsidRPr="0063006E">
        <w:rPr>
          <w:rFonts w:ascii="Traditional Arabic" w:hAnsi="Traditional Arabic"/>
          <w:rtl/>
        </w:rPr>
        <w:t xml:space="preserve">قوله تعالى: </w:t>
      </w:r>
      <w:r w:rsidRPr="0063006E">
        <w:rPr>
          <w:rFonts w:ascii="QCF_BSML" w:hAnsi="QCF_BSML" w:cs="QCF_BSML"/>
          <w:color w:val="auto"/>
          <w:sz w:val="32"/>
          <w:szCs w:val="32"/>
          <w:rtl/>
          <w:lang w:eastAsia="en-US"/>
        </w:rPr>
        <w:t>ﭽ</w:t>
      </w:r>
      <w:r w:rsidRPr="0063006E">
        <w:rPr>
          <w:rFonts w:ascii="QCF_P305" w:hAnsi="QCF_P305" w:cs="QCF_P305"/>
          <w:sz w:val="32"/>
          <w:szCs w:val="32"/>
          <w:rtl/>
          <w:lang w:eastAsia="en-US"/>
        </w:rPr>
        <w:t xml:space="preserve"> ﮢ  ﮣ </w:t>
      </w:r>
      <w:r w:rsidRPr="0063006E">
        <w:rPr>
          <w:rFonts w:ascii="QCF_BSML" w:hAnsi="QCF_BSML" w:cs="QCF_BSML"/>
          <w:sz w:val="32"/>
          <w:szCs w:val="32"/>
          <w:rtl/>
          <w:lang w:eastAsia="en-US"/>
        </w:rPr>
        <w:t>ﭼ</w:t>
      </w:r>
      <w:r w:rsidRPr="0063006E">
        <w:rPr>
          <w:rFonts w:ascii="QCF_P305" w:hAnsi="QCF_P305" w:cs="QCF_P305"/>
          <w:sz w:val="32"/>
          <w:szCs w:val="32"/>
          <w:rtl/>
          <w:lang w:eastAsia="en-US"/>
        </w:rPr>
        <w:t xml:space="preserve">  </w:t>
      </w:r>
      <w:r w:rsidRPr="0063006E">
        <w:rPr>
          <w:rFonts w:ascii="Traditional Arabic" w:hAnsi="Traditional Arabic"/>
          <w:rtl/>
        </w:rPr>
        <w:t xml:space="preserve">أي: الأمر كما قيل لك من هبة الولد على الكِبَر </w:t>
      </w:r>
      <w:r w:rsidRPr="0063006E">
        <w:rPr>
          <w:rFonts w:ascii="QCF_BSML" w:hAnsi="QCF_BSML" w:cs="QCF_BSML"/>
          <w:color w:val="auto"/>
          <w:sz w:val="32"/>
          <w:szCs w:val="32"/>
          <w:rtl/>
          <w:lang w:eastAsia="en-US"/>
        </w:rPr>
        <w:t>ﭽ</w:t>
      </w:r>
      <w:r w:rsidRPr="0063006E">
        <w:rPr>
          <w:rFonts w:ascii="QCF_P305" w:hAnsi="QCF_P305" w:cs="QCF_P305"/>
          <w:sz w:val="32"/>
          <w:szCs w:val="32"/>
          <w:rtl/>
          <w:lang w:eastAsia="en-US"/>
        </w:rPr>
        <w:t xml:space="preserve"> ﮤ  ﮥ  ﮦ    ﮧ  ﮨ</w:t>
      </w:r>
      <w:r w:rsidRPr="0063006E">
        <w:rPr>
          <w:rFonts w:ascii="QCF_BSML" w:hAnsi="QCF_BSML" w:cs="QCF_BSML"/>
          <w:sz w:val="32"/>
          <w:szCs w:val="32"/>
          <w:rtl/>
          <w:lang w:eastAsia="en-US"/>
        </w:rPr>
        <w:t xml:space="preserve"> ﭼ</w:t>
      </w:r>
      <w:r w:rsidRPr="0063006E">
        <w:rPr>
          <w:rFonts w:ascii="QCF_P305" w:hAnsi="QCF_P305" w:cs="QCF_P305"/>
          <w:sz w:val="32"/>
          <w:szCs w:val="32"/>
          <w:rtl/>
          <w:lang w:eastAsia="en-US"/>
        </w:rPr>
        <w:t xml:space="preserve">  </w:t>
      </w:r>
      <w:r w:rsidRPr="0063006E">
        <w:rPr>
          <w:rFonts w:ascii="Traditional Arabic" w:hAnsi="Traditional Arabic"/>
          <w:rtl/>
        </w:rPr>
        <w:t xml:space="preserve">أي: خَلْقُ يحيى عليَّ سَهْل. وقرأ معاذ القارئ، وعاصم الجحدري: «هَيْن» </w:t>
      </w:r>
      <w:r w:rsidRPr="0063006E">
        <w:rPr>
          <w:rFonts w:ascii="Traditional Arabic" w:hAnsi="Traditional Arabic" w:hint="cs"/>
          <w:rtl/>
        </w:rPr>
        <w:t>بإسكان</w:t>
      </w:r>
      <w:r w:rsidRPr="0063006E">
        <w:rPr>
          <w:rFonts w:ascii="Traditional Arabic" w:hAnsi="Traditional Arabic"/>
          <w:rtl/>
        </w:rPr>
        <w:t xml:space="preserve"> الياء</w:t>
      </w:r>
      <w:r w:rsidRPr="0063006E">
        <w:rPr>
          <w:vertAlign w:val="superscript"/>
          <w:rtl/>
        </w:rPr>
        <w:t>(</w:t>
      </w:r>
      <w:r w:rsidRPr="0063006E">
        <w:rPr>
          <w:vertAlign w:val="superscript"/>
          <w:rtl/>
        </w:rPr>
        <w:footnoteReference w:id="2106"/>
      </w:r>
      <w:r w:rsidRPr="0063006E">
        <w:rPr>
          <w:vertAlign w:val="superscript"/>
          <w:rtl/>
        </w:rPr>
        <w:t>)</w:t>
      </w:r>
      <w:r w:rsidRPr="0063006E">
        <w:rPr>
          <w:rFonts w:ascii="Traditional Arabic" w:hAnsi="Traditional Arabic"/>
          <w:rtl/>
        </w:rPr>
        <w:t>.</w:t>
      </w:r>
      <w:r w:rsidRPr="0063006E">
        <w:rPr>
          <w:rFonts w:ascii="QCF_BSML" w:hAnsi="QCF_BSML" w:cs="QCF_BSML"/>
          <w:color w:val="auto"/>
          <w:sz w:val="32"/>
          <w:szCs w:val="32"/>
          <w:rtl/>
          <w:lang w:eastAsia="en-US"/>
        </w:rPr>
        <w:t>ﭽ</w:t>
      </w:r>
      <w:r w:rsidRPr="0063006E">
        <w:rPr>
          <w:rFonts w:ascii="QCF_P305" w:hAnsi="QCF_P305" w:cs="QCF_P305"/>
          <w:sz w:val="32"/>
          <w:szCs w:val="32"/>
          <w:rtl/>
          <w:lang w:eastAsia="en-US"/>
        </w:rPr>
        <w:t xml:space="preserve"> ﮩ  ﮪ  ﮫ  ﮬ</w:t>
      </w:r>
      <w:r w:rsidRPr="0063006E">
        <w:rPr>
          <w:rFonts w:ascii="QCF_BSML" w:hAnsi="QCF_BSML" w:cs="QCF_BSML"/>
          <w:sz w:val="32"/>
          <w:szCs w:val="32"/>
          <w:rtl/>
          <w:lang w:eastAsia="en-US"/>
        </w:rPr>
        <w:t xml:space="preserve"> ﭼ</w:t>
      </w:r>
      <w:r w:rsidRPr="0063006E">
        <w:rPr>
          <w:rFonts w:ascii="QCF_P305" w:hAnsi="QCF_P305" w:cs="QCF_P305"/>
          <w:sz w:val="32"/>
          <w:szCs w:val="32"/>
          <w:rtl/>
          <w:lang w:eastAsia="en-US"/>
        </w:rPr>
        <w:t xml:space="preserve">  </w:t>
      </w:r>
      <w:r w:rsidRPr="0063006E">
        <w:rPr>
          <w:rFonts w:ascii="Traditional Arabic" w:hAnsi="Traditional Arabic"/>
          <w:rtl/>
        </w:rPr>
        <w:t xml:space="preserve">أي: أوجدتُك. قرأ ابن كثير، ونافع، وأبو عمرو، وعاصم، وابن عامر: </w:t>
      </w:r>
      <w:r w:rsidRPr="0063006E">
        <w:rPr>
          <w:rFonts w:ascii="QCF_BSML" w:hAnsi="QCF_BSML" w:cs="QCF_BSML"/>
          <w:color w:val="auto"/>
          <w:sz w:val="32"/>
          <w:szCs w:val="32"/>
          <w:rtl/>
          <w:lang w:eastAsia="en-US"/>
        </w:rPr>
        <w:t>ﭽ</w:t>
      </w:r>
      <w:r w:rsidRPr="0063006E">
        <w:rPr>
          <w:rFonts w:ascii="QCF_P305" w:hAnsi="QCF_P305" w:cs="QCF_P305"/>
          <w:sz w:val="32"/>
          <w:szCs w:val="32"/>
          <w:rtl/>
          <w:lang w:eastAsia="en-US"/>
        </w:rPr>
        <w:t xml:space="preserve"> ﮪ</w:t>
      </w:r>
      <w:r w:rsidRPr="0063006E">
        <w:rPr>
          <w:rFonts w:ascii="QCF_BSML" w:hAnsi="QCF_BSML" w:cs="QCF_BSML"/>
          <w:sz w:val="32"/>
          <w:szCs w:val="32"/>
          <w:rtl/>
          <w:lang w:eastAsia="en-US"/>
        </w:rPr>
        <w:t>ﭼ</w:t>
      </w:r>
      <w:r w:rsidRPr="0063006E">
        <w:rPr>
          <w:rFonts w:ascii="Traditional Arabic" w:hAnsi="Traditional Arabic" w:hint="cs"/>
          <w:rtl/>
        </w:rPr>
        <w:t xml:space="preserve">, </w:t>
      </w:r>
      <w:r w:rsidRPr="0063006E">
        <w:rPr>
          <w:rFonts w:ascii="Traditional Arabic" w:hAnsi="Traditional Arabic"/>
          <w:rtl/>
        </w:rPr>
        <w:t>وقرأ حمزة، والكسائيُّ: «خَلَقْنَاكَ» بالنون والألف</w:t>
      </w:r>
      <w:r w:rsidRPr="0063006E">
        <w:rPr>
          <w:vertAlign w:val="superscript"/>
          <w:rtl/>
        </w:rPr>
        <w:t>(</w:t>
      </w:r>
      <w:r w:rsidRPr="0063006E">
        <w:rPr>
          <w:vertAlign w:val="superscript"/>
          <w:rtl/>
        </w:rPr>
        <w:footnoteReference w:id="2107"/>
      </w:r>
      <w:r w:rsidRPr="0063006E">
        <w:rPr>
          <w:vertAlign w:val="superscript"/>
          <w:rtl/>
        </w:rPr>
        <w:t>)</w:t>
      </w:r>
      <w:r w:rsidRPr="0063006E">
        <w:rPr>
          <w:rFonts w:ascii="Traditional Arabic" w:hAnsi="Traditional Arabic"/>
          <w:rtl/>
        </w:rPr>
        <w:t>.</w:t>
      </w:r>
      <w:r w:rsidRPr="0063006E">
        <w:rPr>
          <w:rFonts w:ascii="QCF_BSML" w:hAnsi="QCF_BSML" w:cs="QCF_BSML"/>
          <w:color w:val="auto"/>
          <w:sz w:val="32"/>
          <w:szCs w:val="32"/>
          <w:rtl/>
          <w:lang w:eastAsia="en-US"/>
        </w:rPr>
        <w:t>ﭽ</w:t>
      </w:r>
      <w:r w:rsidRPr="0063006E">
        <w:rPr>
          <w:rFonts w:ascii="QCF_P305" w:hAnsi="QCF_P305" w:cs="QCF_P305"/>
          <w:sz w:val="32"/>
          <w:szCs w:val="32"/>
          <w:rtl/>
          <w:lang w:eastAsia="en-US"/>
        </w:rPr>
        <w:t xml:space="preserve"> ﮭ  ﮮ   ﮯ</w:t>
      </w:r>
      <w:r w:rsidRPr="0063006E">
        <w:rPr>
          <w:rFonts w:ascii="QCF_BSML" w:hAnsi="QCF_BSML" w:cs="QCF_BSML"/>
          <w:sz w:val="32"/>
          <w:szCs w:val="32"/>
          <w:rtl/>
          <w:lang w:eastAsia="en-US"/>
        </w:rPr>
        <w:t xml:space="preserve"> ﭼ</w:t>
      </w:r>
      <w:r w:rsidRPr="0063006E">
        <w:rPr>
          <w:rFonts w:ascii="QCF_P305" w:hAnsi="QCF_P305" w:cs="QCF_P305"/>
          <w:sz w:val="32"/>
          <w:szCs w:val="32"/>
          <w:rtl/>
          <w:lang w:eastAsia="en-US"/>
        </w:rPr>
        <w:t xml:space="preserve"> </w:t>
      </w:r>
      <w:r w:rsidRPr="0063006E">
        <w:rPr>
          <w:rFonts w:ascii="QCF_P305" w:hAnsi="QCF_P305" w:cs="QCF_P305" w:hint="cs"/>
          <w:sz w:val="32"/>
          <w:szCs w:val="32"/>
          <w:rtl/>
          <w:lang w:eastAsia="en-US"/>
        </w:rPr>
        <w:t xml:space="preserve"> </w:t>
      </w:r>
      <w:r w:rsidRPr="0063006E">
        <w:rPr>
          <w:rFonts w:ascii="QCF_P305" w:hAnsi="QCF_P305" w:cs="QCF_P305"/>
          <w:sz w:val="32"/>
          <w:szCs w:val="32"/>
          <w:rtl/>
          <w:lang w:eastAsia="en-US"/>
        </w:rPr>
        <w:t xml:space="preserve"> </w:t>
      </w:r>
      <w:r w:rsidRPr="0063006E">
        <w:rPr>
          <w:rFonts w:ascii="Traditional Arabic" w:hAnsi="Traditional Arabic"/>
          <w:rtl/>
        </w:rPr>
        <w:t>المعنى: فخلْقُ الولد، كخلقك.</w:t>
      </w:r>
      <w:r w:rsidRPr="0063006E">
        <w:rPr>
          <w:rFonts w:ascii="QCF_P305" w:hAnsi="QCF_P305" w:cs="QCF_P305"/>
          <w:sz w:val="32"/>
          <w:szCs w:val="32"/>
          <w:rtl/>
          <w:lang w:eastAsia="en-US"/>
        </w:rPr>
        <w:t xml:space="preserve"> </w:t>
      </w:r>
      <w:r w:rsidRPr="0063006E">
        <w:rPr>
          <w:rFonts w:ascii="Traditional Arabic" w:hAnsi="Traditional Arabic" w:hint="cs"/>
          <w:rtl/>
        </w:rPr>
        <w:t xml:space="preserve"> </w:t>
      </w:r>
      <w:r w:rsidRPr="0063006E">
        <w:rPr>
          <w:rFonts w:ascii="Traditional Arabic" w:hAnsi="Traditional Arabic"/>
          <w:rtl/>
        </w:rPr>
        <w:t>وما بعد هذا مفسّر في سورة آل عمران</w:t>
      </w:r>
      <w:r w:rsidRPr="0063006E">
        <w:rPr>
          <w:rFonts w:hint="cs"/>
          <w:rtl/>
        </w:rPr>
        <w:t xml:space="preserve"> </w:t>
      </w:r>
      <w:r w:rsidRPr="0063006E">
        <w:rPr>
          <w:rFonts w:ascii="Traditional Arabic" w:hAnsi="Traditional Arabic"/>
          <w:rtl/>
        </w:rPr>
        <w:t xml:space="preserve">إِلى قوله: </w:t>
      </w:r>
      <w:r w:rsidRPr="0063006E">
        <w:rPr>
          <w:rFonts w:ascii="QCF_BSML" w:hAnsi="QCF_BSML" w:cs="QCF_BSML"/>
          <w:color w:val="auto"/>
          <w:sz w:val="32"/>
          <w:szCs w:val="32"/>
          <w:rtl/>
          <w:lang w:eastAsia="en-US"/>
        </w:rPr>
        <w:t>ﭽ</w:t>
      </w:r>
      <w:r w:rsidRPr="0063006E">
        <w:rPr>
          <w:rFonts w:ascii="QCF_P305" w:hAnsi="QCF_P305" w:cs="QCF_P305"/>
          <w:sz w:val="32"/>
          <w:szCs w:val="32"/>
          <w:rtl/>
          <w:lang w:eastAsia="en-US"/>
        </w:rPr>
        <w:t>ﯝ  ﯞ  ﯟ</w:t>
      </w:r>
      <w:r w:rsidRPr="0063006E">
        <w:rPr>
          <w:rFonts w:ascii="QCF_BSML" w:hAnsi="QCF_BSML" w:cs="QCF_BSML"/>
          <w:sz w:val="32"/>
          <w:szCs w:val="32"/>
          <w:rtl/>
          <w:lang w:eastAsia="en-US"/>
        </w:rPr>
        <w:t>ﭼ</w:t>
      </w:r>
      <w:r w:rsidRPr="0063006E">
        <w:rPr>
          <w:vertAlign w:val="superscript"/>
          <w:rtl/>
        </w:rPr>
        <w:t>(</w:t>
      </w:r>
      <w:r w:rsidRPr="0063006E">
        <w:rPr>
          <w:vertAlign w:val="superscript"/>
          <w:rtl/>
        </w:rPr>
        <w:footnoteReference w:id="2108"/>
      </w:r>
      <w:r w:rsidRPr="0063006E">
        <w:rPr>
          <w:vertAlign w:val="superscript"/>
          <w:rtl/>
        </w:rPr>
        <w:t>)</w:t>
      </w:r>
      <w:r w:rsidRPr="0063006E">
        <w:rPr>
          <w:rFonts w:ascii="Traditional Arabic" w:hAnsi="Traditional Arabic" w:hint="cs"/>
          <w:rtl/>
          <w:lang w:eastAsia="en-US"/>
        </w:rPr>
        <w:t>.</w:t>
      </w:r>
      <w:r w:rsidRPr="0063006E">
        <w:rPr>
          <w:rFonts w:ascii="QCF_P305" w:hAnsi="QCF_P305" w:cs="QCF_P305"/>
          <w:sz w:val="32"/>
          <w:szCs w:val="32"/>
          <w:rtl/>
          <w:lang w:eastAsia="en-US"/>
        </w:rPr>
        <w:t xml:space="preserve"> </w:t>
      </w:r>
      <w:r w:rsidRPr="0063006E">
        <w:rPr>
          <w:rFonts w:ascii="Traditional Arabic" w:hAnsi="Traditional Arabic" w:hint="cs"/>
          <w:rtl/>
        </w:rPr>
        <w:t xml:space="preserve"> </w:t>
      </w:r>
      <w:r w:rsidRPr="0063006E">
        <w:rPr>
          <w:rFonts w:ascii="Traditional Arabic" w:hAnsi="Traditional Arabic"/>
          <w:rtl/>
        </w:rPr>
        <w:t xml:space="preserve">قال الزجاج: «سَوِيّاً» منصوب على الحال، والمعنى: تُمْنَع عن الكلام </w:t>
      </w:r>
      <w:r w:rsidRPr="0063006E">
        <w:rPr>
          <w:rFonts w:ascii="Traditional Arabic" w:hAnsi="Traditional Arabic"/>
          <w:rtl/>
        </w:rPr>
        <w:lastRenderedPageBreak/>
        <w:t>وأنت سَوِيّ</w:t>
      </w:r>
      <w:r w:rsidRPr="0063006E">
        <w:rPr>
          <w:vertAlign w:val="superscript"/>
          <w:rtl/>
        </w:rPr>
        <w:t>(</w:t>
      </w:r>
      <w:r w:rsidRPr="0063006E">
        <w:rPr>
          <w:vertAlign w:val="superscript"/>
          <w:rtl/>
        </w:rPr>
        <w:footnoteReference w:id="2109"/>
      </w:r>
      <w:r w:rsidRPr="0063006E">
        <w:rPr>
          <w:vertAlign w:val="superscript"/>
          <w:rtl/>
        </w:rPr>
        <w:t>)</w:t>
      </w:r>
      <w:r w:rsidRPr="0063006E">
        <w:rPr>
          <w:rFonts w:ascii="Traditional Arabic" w:hAnsi="Traditional Arabic"/>
          <w:rtl/>
        </w:rPr>
        <w:t>. قال ابن قتيبة: أي: سليماً غير أخرس</w:t>
      </w:r>
      <w:r w:rsidRPr="0063006E">
        <w:rPr>
          <w:vertAlign w:val="superscript"/>
          <w:rtl/>
        </w:rPr>
        <w:t>(</w:t>
      </w:r>
      <w:r w:rsidRPr="0063006E">
        <w:rPr>
          <w:vertAlign w:val="superscript"/>
          <w:rtl/>
        </w:rPr>
        <w:footnoteReference w:id="2110"/>
      </w:r>
      <w:r w:rsidRPr="0063006E">
        <w:rPr>
          <w:vertAlign w:val="superscript"/>
          <w:rtl/>
        </w:rPr>
        <w:t>)</w:t>
      </w:r>
      <w:r w:rsidRPr="0063006E">
        <w:rPr>
          <w:rFonts w:ascii="Traditional Arabic" w:hAnsi="Traditional Arabic"/>
          <w:rtl/>
        </w:rPr>
        <w:t>.</w:t>
      </w:r>
      <w:r w:rsidRPr="0063006E">
        <w:rPr>
          <w:rFonts w:ascii="Traditional Arabic" w:hAnsi="Traditional Arabic" w:hint="cs"/>
          <w:rtl/>
        </w:rPr>
        <w:t xml:space="preserve"> </w:t>
      </w:r>
      <w:r w:rsidRPr="0063006E">
        <w:rPr>
          <w:rFonts w:ascii="Traditional Arabic" w:hAnsi="Traditional Arabic"/>
          <w:rtl/>
        </w:rPr>
        <w:t xml:space="preserve">قوله تعالى: </w:t>
      </w:r>
      <w:r w:rsidRPr="0063006E">
        <w:rPr>
          <w:rFonts w:ascii="QCF_BSML" w:hAnsi="QCF_BSML" w:cs="QCF_BSML"/>
          <w:color w:val="auto"/>
          <w:sz w:val="32"/>
          <w:szCs w:val="32"/>
          <w:rtl/>
          <w:lang w:eastAsia="en-US"/>
        </w:rPr>
        <w:t>ﭽ</w:t>
      </w:r>
      <w:r w:rsidRPr="0063006E">
        <w:rPr>
          <w:rFonts w:ascii="QCF_P305" w:hAnsi="QCF_P305" w:cs="QCF_P305"/>
          <w:sz w:val="32"/>
          <w:szCs w:val="32"/>
          <w:rtl/>
          <w:lang w:eastAsia="en-US"/>
        </w:rPr>
        <w:t xml:space="preserve"> ﯡ  ﯢ  ﯣ  </w:t>
      </w:r>
      <w:r w:rsidRPr="0063006E">
        <w:rPr>
          <w:rFonts w:ascii="QCF_BSML" w:hAnsi="QCF_BSML" w:cs="QCF_BSML"/>
          <w:sz w:val="32"/>
          <w:szCs w:val="32"/>
          <w:rtl/>
          <w:lang w:eastAsia="en-US"/>
        </w:rPr>
        <w:t>ﭼ</w:t>
      </w:r>
      <w:r w:rsidRPr="0063006E">
        <w:rPr>
          <w:rFonts w:ascii="QCF_P305" w:hAnsi="QCF_P305" w:cs="QCF_P305" w:hint="cs"/>
          <w:sz w:val="32"/>
          <w:szCs w:val="32"/>
          <w:rtl/>
          <w:lang w:eastAsia="en-US"/>
        </w:rPr>
        <w:t xml:space="preserve">    </w:t>
      </w:r>
      <w:r w:rsidRPr="0063006E">
        <w:rPr>
          <w:rFonts w:ascii="QCF_P305" w:hAnsi="QCF_P305" w:cs="QCF_P305"/>
          <w:sz w:val="32"/>
          <w:szCs w:val="32"/>
          <w:rtl/>
          <w:lang w:eastAsia="en-US"/>
        </w:rPr>
        <w:t xml:space="preserve"> </w:t>
      </w:r>
      <w:r w:rsidRPr="0063006E">
        <w:rPr>
          <w:rFonts w:ascii="Traditional Arabic" w:hAnsi="Traditional Arabic"/>
          <w:rtl/>
        </w:rPr>
        <w:t xml:space="preserve">وهذا في صبيحة الليلة التي حملت فيها أمرأته </w:t>
      </w:r>
      <w:r w:rsidRPr="0063006E">
        <w:rPr>
          <w:rFonts w:ascii="QCF_BSML" w:hAnsi="QCF_BSML" w:cs="QCF_BSML"/>
          <w:color w:val="auto"/>
          <w:sz w:val="32"/>
          <w:szCs w:val="32"/>
          <w:rtl/>
          <w:lang w:eastAsia="en-US"/>
        </w:rPr>
        <w:t>ﭽ</w:t>
      </w:r>
      <w:r w:rsidRPr="0063006E">
        <w:rPr>
          <w:rFonts w:ascii="QCF_P305" w:hAnsi="QCF_P305" w:cs="QCF_P305"/>
          <w:sz w:val="32"/>
          <w:szCs w:val="32"/>
          <w:rtl/>
          <w:lang w:eastAsia="en-US"/>
        </w:rPr>
        <w:t xml:space="preserve"> ﯤ  ﯥ</w:t>
      </w:r>
      <w:r w:rsidRPr="0063006E">
        <w:rPr>
          <w:rFonts w:ascii="QCF_BSML" w:hAnsi="QCF_BSML" w:cs="QCF_BSML"/>
          <w:sz w:val="32"/>
          <w:szCs w:val="32"/>
          <w:rtl/>
          <w:lang w:eastAsia="en-US"/>
        </w:rPr>
        <w:t>ﭼ</w:t>
      </w:r>
      <w:r w:rsidRPr="0063006E">
        <w:rPr>
          <w:rFonts w:ascii="QCF_P305" w:hAnsi="QCF_P305" w:cs="QCF_P305"/>
          <w:sz w:val="32"/>
          <w:szCs w:val="32"/>
          <w:rtl/>
          <w:lang w:eastAsia="en-US"/>
        </w:rPr>
        <w:t xml:space="preserve">  </w:t>
      </w:r>
      <w:r w:rsidRPr="0063006E">
        <w:rPr>
          <w:rFonts w:ascii="Traditional Arabic" w:hAnsi="Traditional Arabic"/>
          <w:rtl/>
        </w:rPr>
        <w:t>أي: من مصلّاه، وقد ذكرناه في سورة آل عمران</w:t>
      </w:r>
      <w:r w:rsidRPr="0063006E">
        <w:rPr>
          <w:vertAlign w:val="superscript"/>
          <w:rtl/>
        </w:rPr>
        <w:t>(</w:t>
      </w:r>
      <w:r w:rsidRPr="0063006E">
        <w:rPr>
          <w:vertAlign w:val="superscript"/>
          <w:rtl/>
        </w:rPr>
        <w:footnoteReference w:id="2111"/>
      </w:r>
      <w:r w:rsidRPr="0063006E">
        <w:rPr>
          <w:vertAlign w:val="superscript"/>
          <w:rtl/>
        </w:rPr>
        <w:t>)</w:t>
      </w:r>
      <w:r w:rsidRPr="0063006E">
        <w:rPr>
          <w:rFonts w:ascii="Traditional Arabic" w:hAnsi="Traditional Arabic"/>
          <w:rtl/>
        </w:rPr>
        <w:t xml:space="preserve">. قوله تعالى: </w:t>
      </w:r>
      <w:r w:rsidRPr="0063006E">
        <w:rPr>
          <w:rFonts w:ascii="QCF_BSML" w:hAnsi="QCF_BSML" w:cs="QCF_BSML"/>
          <w:color w:val="auto"/>
          <w:sz w:val="32"/>
          <w:szCs w:val="32"/>
          <w:rtl/>
          <w:lang w:eastAsia="en-US"/>
        </w:rPr>
        <w:t>ﭽ</w:t>
      </w:r>
      <w:r w:rsidRPr="0063006E">
        <w:rPr>
          <w:rFonts w:ascii="QCF_P305" w:hAnsi="QCF_P305" w:cs="QCF_P305"/>
          <w:sz w:val="32"/>
          <w:szCs w:val="32"/>
          <w:rtl/>
          <w:lang w:eastAsia="en-US"/>
        </w:rPr>
        <w:t xml:space="preserve"> ﯦ  ﯧ</w:t>
      </w:r>
      <w:r w:rsidRPr="0063006E">
        <w:rPr>
          <w:rFonts w:ascii="QCF_BSML" w:hAnsi="QCF_BSML" w:cs="QCF_BSML"/>
          <w:sz w:val="32"/>
          <w:szCs w:val="32"/>
          <w:rtl/>
          <w:lang w:eastAsia="en-US"/>
        </w:rPr>
        <w:t xml:space="preserve"> ﭼ</w:t>
      </w:r>
      <w:r w:rsidRPr="0063006E">
        <w:rPr>
          <w:rFonts w:ascii="QCF_P305" w:hAnsi="QCF_P305" w:cs="QCF_P305"/>
          <w:sz w:val="32"/>
          <w:szCs w:val="32"/>
          <w:rtl/>
          <w:lang w:eastAsia="en-US"/>
        </w:rPr>
        <w:t xml:space="preserve">  </w:t>
      </w:r>
      <w:r w:rsidRPr="0063006E">
        <w:rPr>
          <w:rFonts w:ascii="Traditional Arabic" w:hAnsi="Traditional Arabic"/>
          <w:rtl/>
        </w:rPr>
        <w:t>فيه قولان: أحدهما:</w:t>
      </w:r>
      <w:r w:rsidRPr="0063006E">
        <w:rPr>
          <w:rFonts w:ascii="Traditional Arabic" w:hAnsi="Traditional Arabic" w:hint="cs"/>
          <w:rtl/>
        </w:rPr>
        <w:t xml:space="preserve"> </w:t>
      </w:r>
      <w:r w:rsidRPr="0063006E">
        <w:rPr>
          <w:rFonts w:ascii="Traditional Arabic" w:hAnsi="Traditional Arabic"/>
          <w:rtl/>
        </w:rPr>
        <w:t>أنه كتب إِليهم في كتاب، قاله ابن عباس</w:t>
      </w:r>
      <w:r w:rsidRPr="0063006E">
        <w:rPr>
          <w:vertAlign w:val="superscript"/>
          <w:rtl/>
        </w:rPr>
        <w:t>(</w:t>
      </w:r>
      <w:r w:rsidRPr="0063006E">
        <w:rPr>
          <w:vertAlign w:val="superscript"/>
          <w:rtl/>
        </w:rPr>
        <w:footnoteReference w:id="2112"/>
      </w:r>
      <w:r w:rsidRPr="0063006E">
        <w:rPr>
          <w:vertAlign w:val="superscript"/>
          <w:rtl/>
        </w:rPr>
        <w:t>)</w:t>
      </w:r>
      <w:r w:rsidRPr="0063006E">
        <w:rPr>
          <w:rFonts w:ascii="Traditional Arabic" w:hAnsi="Traditional Arabic"/>
          <w:rtl/>
        </w:rPr>
        <w:t>.</w:t>
      </w:r>
      <w:r w:rsidRPr="0063006E">
        <w:rPr>
          <w:rFonts w:ascii="Traditional Arabic" w:hAnsi="Traditional Arabic" w:hint="cs"/>
          <w:rtl/>
        </w:rPr>
        <w:t xml:space="preserve"> </w:t>
      </w:r>
      <w:r w:rsidRPr="0063006E">
        <w:rPr>
          <w:rFonts w:ascii="Traditional Arabic" w:hAnsi="Traditional Arabic"/>
          <w:rtl/>
        </w:rPr>
        <w:t>والثاني: أومأَ برأسه ويديه، قاله مجاهد</w:t>
      </w:r>
      <w:r w:rsidRPr="0063006E">
        <w:rPr>
          <w:vertAlign w:val="superscript"/>
          <w:rtl/>
        </w:rPr>
        <w:t>(</w:t>
      </w:r>
      <w:r w:rsidRPr="0063006E">
        <w:rPr>
          <w:vertAlign w:val="superscript"/>
          <w:rtl/>
        </w:rPr>
        <w:footnoteReference w:id="2113"/>
      </w:r>
      <w:r w:rsidRPr="0063006E">
        <w:rPr>
          <w:vertAlign w:val="superscript"/>
          <w:rtl/>
        </w:rPr>
        <w:t>)</w:t>
      </w:r>
      <w:r w:rsidRPr="0063006E">
        <w:rPr>
          <w:rFonts w:ascii="Traditional Arabic" w:hAnsi="Traditional Arabic"/>
          <w:rtl/>
        </w:rPr>
        <w:t>. قوله تعالى:</w:t>
      </w:r>
      <w:r w:rsidRPr="0063006E">
        <w:rPr>
          <w:rFonts w:ascii="QCF_BSML" w:hAnsi="QCF_BSML" w:cs="QCF_BSML"/>
          <w:color w:val="auto"/>
          <w:sz w:val="32"/>
          <w:szCs w:val="32"/>
          <w:rtl/>
          <w:lang w:eastAsia="en-US"/>
        </w:rPr>
        <w:t xml:space="preserve"> ﭽ</w:t>
      </w:r>
      <w:r w:rsidRPr="0063006E">
        <w:rPr>
          <w:rFonts w:ascii="QCF_BSML" w:hAnsi="QCF_BSML" w:cs="QCF_BSML"/>
          <w:sz w:val="32"/>
          <w:szCs w:val="32"/>
          <w:rtl/>
          <w:lang w:eastAsia="en-US"/>
        </w:rPr>
        <w:t xml:space="preserve"> </w:t>
      </w:r>
      <w:r w:rsidRPr="0063006E">
        <w:rPr>
          <w:rFonts w:ascii="QCF_P305" w:hAnsi="QCF_P305" w:cs="QCF_P305"/>
          <w:sz w:val="32"/>
          <w:szCs w:val="32"/>
          <w:rtl/>
          <w:lang w:eastAsia="en-US"/>
        </w:rPr>
        <w:t>ﯨ  ﯩ</w:t>
      </w:r>
      <w:r w:rsidRPr="0063006E">
        <w:rPr>
          <w:rFonts w:ascii="QCF_BSML" w:hAnsi="QCF_BSML" w:cs="QCF_BSML"/>
          <w:sz w:val="32"/>
          <w:szCs w:val="32"/>
          <w:rtl/>
          <w:lang w:eastAsia="en-US"/>
        </w:rPr>
        <w:t>ﭼ</w:t>
      </w:r>
      <w:r w:rsidR="002F0380">
        <w:rPr>
          <w:rFonts w:ascii="QCF_BSML" w:hAnsi="QCF_BSML" w:cs="QCF_BSML" w:hint="cs"/>
          <w:sz w:val="32"/>
          <w:szCs w:val="32"/>
          <w:rtl/>
          <w:lang w:eastAsia="en-US"/>
        </w:rPr>
        <w:t xml:space="preserve">  </w:t>
      </w:r>
      <w:r w:rsidRPr="0063006E">
        <w:rPr>
          <w:rFonts w:ascii="QCF_P305" w:hAnsi="QCF_P305" w:cs="QCF_P305"/>
          <w:sz w:val="32"/>
          <w:szCs w:val="32"/>
          <w:rtl/>
          <w:lang w:eastAsia="en-US"/>
        </w:rPr>
        <w:t xml:space="preserve"> </w:t>
      </w:r>
      <w:r w:rsidRPr="0063006E">
        <w:rPr>
          <w:rFonts w:ascii="Traditional Arabic" w:hAnsi="Traditional Arabic"/>
          <w:rtl/>
        </w:rPr>
        <w:t xml:space="preserve">أي: صلُّوا </w:t>
      </w:r>
      <w:r w:rsidRPr="0063006E">
        <w:rPr>
          <w:rFonts w:ascii="QCF_BSML" w:hAnsi="QCF_BSML" w:cs="QCF_BSML"/>
          <w:color w:val="auto"/>
          <w:sz w:val="32"/>
          <w:szCs w:val="32"/>
          <w:rtl/>
          <w:lang w:eastAsia="en-US"/>
        </w:rPr>
        <w:t>ﭽ</w:t>
      </w:r>
      <w:r w:rsidRPr="0063006E">
        <w:rPr>
          <w:rFonts w:ascii="QCF_P305" w:hAnsi="QCF_P305" w:cs="QCF_P305"/>
          <w:sz w:val="32"/>
          <w:szCs w:val="32"/>
          <w:rtl/>
          <w:lang w:eastAsia="en-US"/>
        </w:rPr>
        <w:t xml:space="preserve"> ﯪ  ﯫ</w:t>
      </w:r>
      <w:r w:rsidRPr="0063006E">
        <w:rPr>
          <w:rFonts w:ascii="QCF_BSML" w:hAnsi="QCF_BSML" w:cs="QCF_BSML"/>
          <w:sz w:val="32"/>
          <w:szCs w:val="32"/>
          <w:rtl/>
          <w:lang w:eastAsia="en-US"/>
        </w:rPr>
        <w:t>ﭼ</w:t>
      </w:r>
      <w:r w:rsidRPr="0063006E">
        <w:rPr>
          <w:rFonts w:ascii="QCF_P305" w:hAnsi="QCF_P305" w:cs="QCF_P305"/>
          <w:sz w:val="32"/>
          <w:szCs w:val="32"/>
          <w:rtl/>
          <w:lang w:eastAsia="en-US"/>
        </w:rPr>
        <w:t xml:space="preserve">  </w:t>
      </w:r>
      <w:r w:rsidRPr="0063006E">
        <w:rPr>
          <w:rFonts w:ascii="Traditional Arabic" w:hAnsi="Traditional Arabic"/>
          <w:rtl/>
        </w:rPr>
        <w:t>قد شرحناه في آل عمران</w:t>
      </w:r>
      <w:r w:rsidRPr="0063006E">
        <w:rPr>
          <w:vertAlign w:val="superscript"/>
          <w:rtl/>
        </w:rPr>
        <w:t>(</w:t>
      </w:r>
      <w:r w:rsidRPr="0063006E">
        <w:rPr>
          <w:vertAlign w:val="superscript"/>
          <w:rtl/>
        </w:rPr>
        <w:footnoteReference w:id="2114"/>
      </w:r>
      <w:r w:rsidRPr="0063006E">
        <w:rPr>
          <w:vertAlign w:val="superscript"/>
          <w:rtl/>
        </w:rPr>
        <w:t>)</w:t>
      </w:r>
      <w:r w:rsidRPr="0063006E">
        <w:rPr>
          <w:rFonts w:ascii="Traditional Arabic" w:hAnsi="Traditional Arabic"/>
          <w:rtl/>
        </w:rPr>
        <w:t xml:space="preserve">، والمعنى: أنه كان يخرج إِلى قومه فيأمرهم بالصلاة </w:t>
      </w:r>
      <w:r w:rsidRPr="0063006E">
        <w:rPr>
          <w:rFonts w:ascii="QCF_BSML" w:hAnsi="QCF_BSML" w:cs="QCF_BSML"/>
          <w:color w:val="auto"/>
          <w:sz w:val="32"/>
          <w:szCs w:val="32"/>
          <w:rtl/>
          <w:lang w:eastAsia="en-US"/>
        </w:rPr>
        <w:t>ﭽ</w:t>
      </w:r>
      <w:r w:rsidRPr="0063006E">
        <w:rPr>
          <w:rFonts w:ascii="QCF_P305" w:hAnsi="QCF_P305" w:cs="QCF_P305"/>
          <w:sz w:val="32"/>
          <w:szCs w:val="32"/>
          <w:rtl/>
          <w:lang w:eastAsia="en-US"/>
        </w:rPr>
        <w:t xml:space="preserve"> ﯪ  ﯫ </w:t>
      </w:r>
      <w:r w:rsidRPr="0063006E">
        <w:rPr>
          <w:rFonts w:ascii="QCF_BSML" w:hAnsi="QCF_BSML" w:cs="QCF_BSML"/>
          <w:sz w:val="32"/>
          <w:szCs w:val="32"/>
          <w:rtl/>
          <w:lang w:eastAsia="en-US"/>
        </w:rPr>
        <w:t>ﭼ</w:t>
      </w:r>
      <w:r w:rsidRPr="0063006E">
        <w:rPr>
          <w:rFonts w:ascii="QCF_P305" w:hAnsi="QCF_P305" w:cs="QCF_P305"/>
          <w:sz w:val="32"/>
          <w:szCs w:val="32"/>
          <w:rtl/>
          <w:lang w:eastAsia="en-US"/>
        </w:rPr>
        <w:t xml:space="preserve"> </w:t>
      </w:r>
      <w:r w:rsidRPr="0063006E">
        <w:rPr>
          <w:rFonts w:ascii="Traditional Arabic" w:hAnsi="Traditional Arabic"/>
          <w:rtl/>
        </w:rPr>
        <w:t>، فلما حملت امرأته أمرهم بالصّلاة إشارة.</w:t>
      </w:r>
    </w:p>
    <w:p w:rsidR="0063006E" w:rsidRPr="0063006E" w:rsidRDefault="0063006E" w:rsidP="0063006E">
      <w:pPr>
        <w:ind w:firstLine="0"/>
        <w:rPr>
          <w:rFonts w:ascii="Traditional Arabic" w:hAnsi="Traditional Arabic"/>
          <w:rtl/>
        </w:rPr>
      </w:pPr>
    </w:p>
    <w:p w:rsidR="002F0380" w:rsidRDefault="0063006E" w:rsidP="002F0380">
      <w:pPr>
        <w:ind w:firstLine="0"/>
        <w:rPr>
          <w:rFonts w:ascii="Traditional Arabic" w:hAnsi="Traditional Arabic"/>
          <w:rtl/>
        </w:rPr>
      </w:pPr>
      <w:r w:rsidRPr="0063006E">
        <w:rPr>
          <w:rFonts w:ascii="QCF_BSML" w:hAnsi="QCF_BSML" w:cs="QCF_BSML"/>
          <w:color w:val="auto"/>
          <w:sz w:val="32"/>
          <w:szCs w:val="32"/>
          <w:rtl/>
          <w:lang w:eastAsia="en-US"/>
        </w:rPr>
        <w:t xml:space="preserve">ﭽ </w:t>
      </w:r>
      <w:r w:rsidRPr="0063006E">
        <w:rPr>
          <w:rFonts w:ascii="QCF_P306" w:hAnsi="QCF_P306" w:cs="QCF_P306"/>
          <w:color w:val="auto"/>
          <w:sz w:val="32"/>
          <w:szCs w:val="32"/>
          <w:rtl/>
          <w:lang w:eastAsia="en-US"/>
        </w:rPr>
        <w:t xml:space="preserve">ﭑ  ﭒ  ﭓ  ﭔﭕ  ﭖ  ﭗ  ﭘ  ﭙ   ﭚ  ﭛ  ﭜ  ﭝﭞ  ﭟ  ﭠ  ﭡ  ﭢ  ﭣ   ﭤ   ﭥ  ﭦ  ﭧ  ﭨ  ﭩ  ﭪ  ﭫ  ﭬ  ﭭ  ﭮ   ﭯ  ﭰ  ﭱ  ﭲ  </w:t>
      </w:r>
      <w:r w:rsidRPr="0063006E">
        <w:rPr>
          <w:rFonts w:ascii="QCF_BSML" w:hAnsi="QCF_BSML" w:cs="QCF_BSML"/>
          <w:color w:val="auto"/>
          <w:sz w:val="32"/>
          <w:szCs w:val="32"/>
          <w:rtl/>
          <w:lang w:eastAsia="en-US"/>
        </w:rPr>
        <w:t>ﭼ</w:t>
      </w:r>
      <w:r w:rsidR="002F0380">
        <w:rPr>
          <w:rFonts w:ascii="Traditional Arabic" w:hAnsi="Traditional Arabic" w:hint="cs"/>
          <w:rtl/>
        </w:rPr>
        <w:t xml:space="preserve"> </w:t>
      </w:r>
      <w:r w:rsidRPr="0063006E">
        <w:rPr>
          <w:rFonts w:ascii="Traditional Arabic" w:hAnsi="Traditional Arabic"/>
          <w:rtl/>
        </w:rPr>
        <w:t xml:space="preserve">قوله تعالى: </w:t>
      </w:r>
      <w:r w:rsidRPr="0063006E">
        <w:rPr>
          <w:rFonts w:ascii="QCF_BSML" w:hAnsi="QCF_BSML" w:cs="QCF_BSML"/>
          <w:color w:val="auto"/>
          <w:sz w:val="32"/>
          <w:szCs w:val="32"/>
          <w:rtl/>
          <w:lang w:eastAsia="en-US"/>
        </w:rPr>
        <w:t xml:space="preserve">ﭽ </w:t>
      </w:r>
      <w:r w:rsidRPr="0063006E">
        <w:rPr>
          <w:rFonts w:ascii="QCF_P306" w:hAnsi="QCF_P306" w:cs="QCF_P306"/>
          <w:color w:val="auto"/>
          <w:sz w:val="32"/>
          <w:szCs w:val="32"/>
          <w:rtl/>
          <w:lang w:eastAsia="en-US"/>
        </w:rPr>
        <w:t>ﭑ</w:t>
      </w:r>
      <w:r w:rsidRPr="0063006E">
        <w:rPr>
          <w:rFonts w:ascii="QCF_BSML" w:hAnsi="QCF_BSML" w:cs="QCF_BSML"/>
          <w:sz w:val="32"/>
          <w:szCs w:val="32"/>
          <w:rtl/>
          <w:lang w:eastAsia="en-US"/>
        </w:rPr>
        <w:t xml:space="preserve"> ﭼ</w:t>
      </w:r>
      <w:r w:rsidRPr="0063006E">
        <w:rPr>
          <w:rFonts w:ascii="QCF_P306" w:hAnsi="QCF_P306" w:cs="QCF_P306"/>
          <w:color w:val="auto"/>
          <w:sz w:val="32"/>
          <w:szCs w:val="32"/>
          <w:rtl/>
          <w:lang w:eastAsia="en-US"/>
        </w:rPr>
        <w:t xml:space="preserve">  </w:t>
      </w:r>
      <w:r w:rsidRPr="0063006E">
        <w:rPr>
          <w:rFonts w:ascii="Traditional Arabic" w:hAnsi="Traditional Arabic"/>
          <w:rtl/>
        </w:rPr>
        <w:t xml:space="preserve">قال </w:t>
      </w:r>
      <w:r w:rsidRPr="0063006E">
        <w:rPr>
          <w:rFonts w:ascii="Traditional Arabic" w:hAnsi="Traditional Arabic"/>
          <w:sz w:val="32"/>
          <w:szCs w:val="32"/>
          <w:rtl/>
        </w:rPr>
        <w:t>[</w:t>
      </w:r>
      <w:r w:rsidRPr="0063006E">
        <w:rPr>
          <w:rFonts w:ascii="Traditional Arabic" w:hAnsi="Traditional Arabic" w:hint="cs"/>
          <w:sz w:val="32"/>
          <w:szCs w:val="32"/>
          <w:rtl/>
        </w:rPr>
        <w:t>161</w:t>
      </w:r>
      <w:r w:rsidRPr="0063006E">
        <w:rPr>
          <w:rFonts w:ascii="Traditional Arabic" w:hAnsi="Traditional Arabic"/>
          <w:sz w:val="32"/>
          <w:szCs w:val="32"/>
          <w:rtl/>
        </w:rPr>
        <w:t>]</w:t>
      </w:r>
      <w:r w:rsidRPr="0063006E">
        <w:rPr>
          <w:rFonts w:ascii="Traditional Arabic" w:hAnsi="Traditional Arabic"/>
          <w:rtl/>
        </w:rPr>
        <w:t xml:space="preserve"> الزجاج: المعنى: فوهبنا له يحيى، وقلنا له: </w:t>
      </w:r>
      <w:r w:rsidRPr="0063006E">
        <w:rPr>
          <w:rFonts w:ascii="QCF_BSML" w:hAnsi="QCF_BSML" w:cs="QCF_BSML"/>
          <w:color w:val="auto"/>
          <w:sz w:val="32"/>
          <w:szCs w:val="32"/>
          <w:rtl/>
          <w:lang w:eastAsia="en-US"/>
        </w:rPr>
        <w:t xml:space="preserve">ﭽ </w:t>
      </w:r>
      <w:r w:rsidRPr="0063006E">
        <w:rPr>
          <w:rFonts w:ascii="QCF_P306" w:hAnsi="QCF_P306" w:cs="QCF_P306"/>
          <w:color w:val="auto"/>
          <w:sz w:val="32"/>
          <w:szCs w:val="32"/>
          <w:rtl/>
          <w:lang w:eastAsia="en-US"/>
        </w:rPr>
        <w:t>ﭑ  ﭒ  ﭓ</w:t>
      </w:r>
      <w:r w:rsidRPr="0063006E">
        <w:rPr>
          <w:rFonts w:ascii="QCF_BSML" w:hAnsi="QCF_BSML" w:cs="QCF_BSML"/>
          <w:color w:val="auto"/>
          <w:sz w:val="32"/>
          <w:szCs w:val="32"/>
          <w:rtl/>
          <w:lang w:eastAsia="en-US"/>
        </w:rPr>
        <w:t xml:space="preserve"> ﭼ</w:t>
      </w:r>
      <w:r w:rsidRPr="0063006E">
        <w:rPr>
          <w:rFonts w:ascii="QCF_P306" w:hAnsi="QCF_P306" w:cs="QCF_P306"/>
          <w:color w:val="auto"/>
          <w:sz w:val="32"/>
          <w:szCs w:val="32"/>
          <w:rtl/>
          <w:lang w:eastAsia="en-US"/>
        </w:rPr>
        <w:t xml:space="preserve">  </w:t>
      </w:r>
      <w:r w:rsidRPr="0063006E">
        <w:rPr>
          <w:rFonts w:ascii="Traditional Arabic" w:hAnsi="Traditional Arabic"/>
          <w:rtl/>
        </w:rPr>
        <w:t>يعني التوراة، وكان مأموراً بالتمسك بها</w:t>
      </w:r>
      <w:r w:rsidRPr="0063006E">
        <w:rPr>
          <w:vertAlign w:val="superscript"/>
          <w:rtl/>
        </w:rPr>
        <w:t>(</w:t>
      </w:r>
      <w:r w:rsidRPr="0063006E">
        <w:rPr>
          <w:vertAlign w:val="superscript"/>
          <w:rtl/>
        </w:rPr>
        <w:footnoteReference w:id="2115"/>
      </w:r>
      <w:r w:rsidRPr="0063006E">
        <w:rPr>
          <w:vertAlign w:val="superscript"/>
          <w:rtl/>
        </w:rPr>
        <w:t>)</w:t>
      </w:r>
      <w:r w:rsidRPr="0063006E">
        <w:rPr>
          <w:rFonts w:ascii="Traditional Arabic" w:hAnsi="Traditional Arabic"/>
          <w:rtl/>
        </w:rPr>
        <w:t>. وقال ابن الأنباري: المعنى: اقبل كُتُبَ الله كلَّها إِيماناً بها واستعمالاً لأحكامها</w:t>
      </w:r>
      <w:r w:rsidRPr="0063006E">
        <w:rPr>
          <w:vertAlign w:val="superscript"/>
          <w:rtl/>
        </w:rPr>
        <w:t>(</w:t>
      </w:r>
      <w:r w:rsidRPr="0063006E">
        <w:rPr>
          <w:vertAlign w:val="superscript"/>
          <w:rtl/>
        </w:rPr>
        <w:footnoteReference w:id="2116"/>
      </w:r>
      <w:r w:rsidRPr="0063006E">
        <w:rPr>
          <w:vertAlign w:val="superscript"/>
          <w:rtl/>
        </w:rPr>
        <w:t>)</w:t>
      </w:r>
      <w:r w:rsidRPr="0063006E">
        <w:rPr>
          <w:rFonts w:ascii="Traditional Arabic" w:hAnsi="Traditional Arabic"/>
          <w:rtl/>
        </w:rPr>
        <w:t xml:space="preserve">. وقد شرحنا في سورة البقرة: معنى قوله: </w:t>
      </w:r>
      <w:r w:rsidRPr="0063006E">
        <w:rPr>
          <w:rFonts w:ascii="QCF_BSML" w:hAnsi="QCF_BSML" w:cs="QCF_BSML"/>
          <w:color w:val="auto"/>
          <w:sz w:val="32"/>
          <w:szCs w:val="32"/>
          <w:rtl/>
          <w:lang w:eastAsia="en-US"/>
        </w:rPr>
        <w:t>ﭽ</w:t>
      </w:r>
      <w:r w:rsidRPr="0063006E">
        <w:rPr>
          <w:rFonts w:ascii="QCF_P306" w:hAnsi="QCF_P306" w:cs="QCF_P306"/>
          <w:color w:val="auto"/>
          <w:sz w:val="32"/>
          <w:szCs w:val="32"/>
          <w:rtl/>
          <w:lang w:eastAsia="en-US"/>
        </w:rPr>
        <w:t>ﭔﭕ</w:t>
      </w:r>
      <w:r w:rsidRPr="0063006E">
        <w:rPr>
          <w:rFonts w:ascii="QCF_BSML" w:hAnsi="QCF_BSML" w:cs="QCF_BSML"/>
          <w:sz w:val="32"/>
          <w:szCs w:val="32"/>
          <w:rtl/>
          <w:lang w:eastAsia="en-US"/>
        </w:rPr>
        <w:t>ﭼ</w:t>
      </w:r>
      <w:r w:rsidRPr="0063006E">
        <w:rPr>
          <w:vertAlign w:val="superscript"/>
          <w:rtl/>
        </w:rPr>
        <w:t>(</w:t>
      </w:r>
      <w:r w:rsidRPr="0063006E">
        <w:rPr>
          <w:vertAlign w:val="superscript"/>
          <w:rtl/>
        </w:rPr>
        <w:footnoteReference w:id="2117"/>
      </w:r>
      <w:r w:rsidRPr="0063006E">
        <w:rPr>
          <w:vertAlign w:val="superscript"/>
          <w:rtl/>
        </w:rPr>
        <w:t>)</w:t>
      </w:r>
      <w:r w:rsidRPr="0063006E">
        <w:rPr>
          <w:rFonts w:ascii="Traditional Arabic" w:hAnsi="Traditional Arabic"/>
          <w:rtl/>
        </w:rPr>
        <w:t>.</w:t>
      </w:r>
      <w:r w:rsidR="002F0380">
        <w:rPr>
          <w:rFonts w:ascii="Traditional Arabic" w:hAnsi="Traditional Arabic" w:hint="cs"/>
          <w:rtl/>
        </w:rPr>
        <w:t xml:space="preserve"> </w:t>
      </w:r>
    </w:p>
    <w:p w:rsidR="0063006E" w:rsidRPr="0063006E" w:rsidRDefault="0063006E" w:rsidP="002F0380">
      <w:pPr>
        <w:ind w:firstLine="0"/>
        <w:rPr>
          <w:rFonts w:ascii="Traditional Arabic" w:hAnsi="Traditional Arabic"/>
          <w:rtl/>
        </w:rPr>
      </w:pPr>
      <w:r w:rsidRPr="0063006E">
        <w:rPr>
          <w:rFonts w:ascii="Traditional Arabic" w:hAnsi="Traditional Arabic"/>
          <w:rtl/>
        </w:rPr>
        <w:t xml:space="preserve">قوله تعالى: </w:t>
      </w:r>
      <w:r w:rsidRPr="0063006E">
        <w:rPr>
          <w:rFonts w:ascii="QCF_BSML" w:hAnsi="QCF_BSML" w:cs="QCF_BSML"/>
          <w:color w:val="auto"/>
          <w:sz w:val="32"/>
          <w:szCs w:val="32"/>
          <w:rtl/>
          <w:lang w:eastAsia="en-US"/>
        </w:rPr>
        <w:t>ﭽ</w:t>
      </w:r>
      <w:r w:rsidRPr="0063006E">
        <w:rPr>
          <w:rFonts w:ascii="QCF_P306" w:hAnsi="QCF_P306" w:cs="QCF_P306"/>
          <w:color w:val="auto"/>
          <w:sz w:val="32"/>
          <w:szCs w:val="32"/>
          <w:rtl/>
          <w:lang w:eastAsia="en-US"/>
        </w:rPr>
        <w:t xml:space="preserve"> ﭖ  ﭗ</w:t>
      </w:r>
      <w:r w:rsidRPr="0063006E">
        <w:rPr>
          <w:rFonts w:ascii="QCF_BSML" w:hAnsi="QCF_BSML" w:cs="QCF_BSML"/>
          <w:sz w:val="32"/>
          <w:szCs w:val="32"/>
          <w:rtl/>
          <w:lang w:eastAsia="en-US"/>
        </w:rPr>
        <w:t xml:space="preserve"> ﭼ</w:t>
      </w:r>
      <w:r w:rsidRPr="0063006E">
        <w:rPr>
          <w:rFonts w:ascii="QCF_P306" w:hAnsi="QCF_P306" w:cs="QCF_P306" w:hint="cs"/>
          <w:color w:val="auto"/>
          <w:sz w:val="32"/>
          <w:szCs w:val="32"/>
          <w:rtl/>
          <w:lang w:eastAsia="en-US"/>
        </w:rPr>
        <w:t xml:space="preserve"> </w:t>
      </w:r>
      <w:r w:rsidRPr="0063006E">
        <w:rPr>
          <w:rFonts w:ascii="QCF_P306" w:hAnsi="QCF_P306" w:cs="QCF_P306"/>
          <w:color w:val="auto"/>
          <w:sz w:val="32"/>
          <w:szCs w:val="32"/>
          <w:rtl/>
          <w:lang w:eastAsia="en-US"/>
        </w:rPr>
        <w:t xml:space="preserve">  </w:t>
      </w:r>
      <w:r w:rsidRPr="0063006E">
        <w:rPr>
          <w:rFonts w:ascii="Traditional Arabic" w:hAnsi="Traditional Arabic"/>
          <w:rtl/>
        </w:rPr>
        <w:t>فيه أربعة أقوال: أحدها: أنه الفهم، قاله مجاهد</w:t>
      </w:r>
      <w:r w:rsidRPr="0063006E">
        <w:rPr>
          <w:vertAlign w:val="superscript"/>
          <w:rtl/>
        </w:rPr>
        <w:t>(</w:t>
      </w:r>
      <w:r w:rsidRPr="0063006E">
        <w:rPr>
          <w:vertAlign w:val="superscript"/>
          <w:rtl/>
        </w:rPr>
        <w:footnoteReference w:id="2118"/>
      </w:r>
      <w:r w:rsidRPr="0063006E">
        <w:rPr>
          <w:vertAlign w:val="superscript"/>
          <w:rtl/>
        </w:rPr>
        <w:t>)</w:t>
      </w:r>
      <w:r w:rsidRPr="0063006E">
        <w:rPr>
          <w:rFonts w:ascii="Traditional Arabic" w:hAnsi="Traditional Arabic"/>
          <w:rtl/>
        </w:rPr>
        <w:t xml:space="preserve">. والثاني: </w:t>
      </w:r>
      <w:r w:rsidRPr="0063006E">
        <w:rPr>
          <w:rFonts w:ascii="Traditional Arabic" w:hAnsi="Traditional Arabic"/>
          <w:rtl/>
        </w:rPr>
        <w:lastRenderedPageBreak/>
        <w:t>اللُّب، قاله الحسن</w:t>
      </w:r>
      <w:r w:rsidRPr="0063006E">
        <w:rPr>
          <w:vertAlign w:val="superscript"/>
          <w:rtl/>
        </w:rPr>
        <w:t>(</w:t>
      </w:r>
      <w:r w:rsidRPr="0063006E">
        <w:rPr>
          <w:vertAlign w:val="superscript"/>
          <w:rtl/>
        </w:rPr>
        <w:footnoteReference w:id="2119"/>
      </w:r>
      <w:r w:rsidRPr="0063006E">
        <w:rPr>
          <w:vertAlign w:val="superscript"/>
          <w:rtl/>
        </w:rPr>
        <w:t>)</w:t>
      </w:r>
      <w:r w:rsidRPr="0063006E">
        <w:rPr>
          <w:rFonts w:ascii="Traditional Arabic" w:hAnsi="Traditional Arabic"/>
          <w:rtl/>
        </w:rPr>
        <w:t>، وعكرمة</w:t>
      </w:r>
      <w:r w:rsidRPr="0063006E">
        <w:rPr>
          <w:vertAlign w:val="superscript"/>
          <w:rtl/>
        </w:rPr>
        <w:t>(</w:t>
      </w:r>
      <w:r w:rsidRPr="0063006E">
        <w:rPr>
          <w:vertAlign w:val="superscript"/>
          <w:rtl/>
        </w:rPr>
        <w:footnoteReference w:id="2120"/>
      </w:r>
      <w:r w:rsidRPr="0063006E">
        <w:rPr>
          <w:vertAlign w:val="superscript"/>
          <w:rtl/>
        </w:rPr>
        <w:t>)</w:t>
      </w:r>
      <w:r w:rsidRPr="0063006E">
        <w:rPr>
          <w:rFonts w:ascii="Traditional Arabic" w:hAnsi="Traditional Arabic"/>
          <w:rtl/>
        </w:rPr>
        <w:t>. والثالث: العِلْم، قاله ابن السائب. والرابع: حفظ التوراة وعلْمها، قاله أبو سليمان الدمشقي</w:t>
      </w:r>
      <w:r w:rsidRPr="0063006E">
        <w:rPr>
          <w:vertAlign w:val="superscript"/>
          <w:rtl/>
        </w:rPr>
        <w:t>(</w:t>
      </w:r>
      <w:r w:rsidRPr="0063006E">
        <w:rPr>
          <w:vertAlign w:val="superscript"/>
          <w:rtl/>
        </w:rPr>
        <w:footnoteReference w:id="2121"/>
      </w:r>
      <w:r w:rsidRPr="0063006E">
        <w:rPr>
          <w:vertAlign w:val="superscript"/>
          <w:rtl/>
        </w:rPr>
        <w:t>)</w:t>
      </w:r>
      <w:r w:rsidRPr="0063006E">
        <w:rPr>
          <w:rFonts w:ascii="Traditional Arabic" w:hAnsi="Traditional Arabic"/>
          <w:rtl/>
        </w:rPr>
        <w:t>. وقد زدنا هذا شرحاً في سورة يوسف</w:t>
      </w:r>
      <w:r w:rsidRPr="0063006E">
        <w:rPr>
          <w:vertAlign w:val="superscript"/>
          <w:rtl/>
        </w:rPr>
        <w:t>(</w:t>
      </w:r>
      <w:r w:rsidRPr="0063006E">
        <w:rPr>
          <w:vertAlign w:val="superscript"/>
          <w:rtl/>
        </w:rPr>
        <w:footnoteReference w:id="2122"/>
      </w:r>
      <w:r w:rsidRPr="0063006E">
        <w:rPr>
          <w:vertAlign w:val="superscript"/>
          <w:rtl/>
        </w:rPr>
        <w:t>)</w:t>
      </w:r>
      <w:r w:rsidRPr="0063006E">
        <w:rPr>
          <w:rFonts w:ascii="Traditional Arabic" w:hAnsi="Traditional Arabic"/>
          <w:rtl/>
        </w:rPr>
        <w:t>. وروى سعيد بن جبير عن ابن عباس قال:</w:t>
      </w:r>
      <w:r w:rsidRPr="0063006E">
        <w:rPr>
          <w:rFonts w:ascii="QCF_P305" w:hAnsi="QCF_P305" w:cs="QCF_P305"/>
          <w:sz w:val="32"/>
          <w:szCs w:val="32"/>
          <w:rtl/>
          <w:lang w:eastAsia="en-US"/>
        </w:rPr>
        <w:t xml:space="preserve"> </w:t>
      </w:r>
      <w:r w:rsidRPr="0063006E">
        <w:rPr>
          <w:rFonts w:ascii="Traditional Arabic" w:hAnsi="Traditional Arabic"/>
          <w:rtl/>
        </w:rPr>
        <w:t>من قرأ القرآن من قبل أن يحتلم، فهو ممن أُوتيَ الحُكم صبيّاً</w:t>
      </w:r>
      <w:r w:rsidRPr="0063006E">
        <w:rPr>
          <w:vertAlign w:val="superscript"/>
          <w:rtl/>
        </w:rPr>
        <w:t>(</w:t>
      </w:r>
      <w:r w:rsidRPr="0063006E">
        <w:rPr>
          <w:vertAlign w:val="superscript"/>
          <w:rtl/>
        </w:rPr>
        <w:footnoteReference w:id="2123"/>
      </w:r>
      <w:r w:rsidRPr="0063006E">
        <w:rPr>
          <w:vertAlign w:val="superscript"/>
          <w:rtl/>
        </w:rPr>
        <w:t>)</w:t>
      </w:r>
      <w:r w:rsidRPr="0063006E">
        <w:rPr>
          <w:rFonts w:ascii="Traditional Arabic" w:hAnsi="Traditional Arabic"/>
          <w:rtl/>
        </w:rPr>
        <w:t xml:space="preserve">. فأما قوله: </w:t>
      </w:r>
      <w:r w:rsidRPr="0063006E">
        <w:rPr>
          <w:rFonts w:ascii="QCF_BSML" w:hAnsi="QCF_BSML" w:cs="QCF_BSML"/>
          <w:color w:val="auto"/>
          <w:sz w:val="32"/>
          <w:szCs w:val="32"/>
          <w:rtl/>
          <w:lang w:eastAsia="en-US"/>
        </w:rPr>
        <w:t>ﭽ</w:t>
      </w:r>
      <w:r w:rsidRPr="0063006E">
        <w:rPr>
          <w:rFonts w:ascii="QCF_P306" w:hAnsi="QCF_P306" w:cs="QCF_P306"/>
          <w:color w:val="auto"/>
          <w:sz w:val="32"/>
          <w:szCs w:val="32"/>
          <w:rtl/>
          <w:lang w:eastAsia="en-US"/>
        </w:rPr>
        <w:t>ﭘ</w:t>
      </w:r>
      <w:r w:rsidRPr="0063006E">
        <w:rPr>
          <w:rFonts w:ascii="QCF_BSML" w:hAnsi="QCF_BSML" w:cs="QCF_BSML"/>
          <w:sz w:val="32"/>
          <w:szCs w:val="32"/>
          <w:rtl/>
          <w:lang w:eastAsia="en-US"/>
        </w:rPr>
        <w:t xml:space="preserve"> ﭼ</w:t>
      </w:r>
      <w:r w:rsidRPr="0063006E">
        <w:rPr>
          <w:rFonts w:ascii="Traditional Arabic" w:hAnsi="Traditional Arabic"/>
          <w:rtl/>
        </w:rPr>
        <w:t xml:space="preserve"> ففي سنّه يوم أوتي</w:t>
      </w:r>
      <w:r w:rsidRPr="0063006E">
        <w:rPr>
          <w:rFonts w:ascii="Traditional Arabic" w:hAnsi="Traditional Arabic" w:hint="cs"/>
          <w:rtl/>
        </w:rPr>
        <w:t xml:space="preserve"> </w:t>
      </w:r>
      <w:r w:rsidRPr="0063006E">
        <w:rPr>
          <w:rFonts w:ascii="Traditional Arabic" w:hAnsi="Traditional Arabic"/>
          <w:rtl/>
        </w:rPr>
        <w:t>الحُكم قولان:</w:t>
      </w:r>
      <w:r w:rsidRPr="0063006E">
        <w:rPr>
          <w:rFonts w:ascii="Traditional Arabic" w:hAnsi="Traditional Arabic" w:hint="cs"/>
          <w:rtl/>
        </w:rPr>
        <w:t xml:space="preserve"> </w:t>
      </w:r>
      <w:r w:rsidRPr="0063006E">
        <w:rPr>
          <w:rFonts w:ascii="Traditional Arabic" w:hAnsi="Traditional Arabic"/>
          <w:rtl/>
        </w:rPr>
        <w:t xml:space="preserve">أحدهما: أنه سبع سنين، رواه ابن عباس عن رسول الله </w:t>
      </w:r>
      <w:r w:rsidRPr="0063006E">
        <w:rPr>
          <w:rFonts w:ascii="Traditional Arabic" w:hAnsi="Traditional Arabic"/>
          <w:vertAlign w:val="superscript"/>
        </w:rPr>
        <w:t>(</w:t>
      </w:r>
      <w:r w:rsidRPr="0063006E">
        <w:rPr>
          <w:rFonts w:ascii="Traditional Arabic" w:hAnsi="Traditional Arabic"/>
          <w:vertAlign w:val="superscript"/>
        </w:rPr>
        <w:footnoteReference w:id="2124"/>
      </w:r>
      <w:r w:rsidRPr="0063006E">
        <w:rPr>
          <w:rFonts w:ascii="Traditional Arabic" w:hAnsi="Traditional Arabic"/>
          <w:vertAlign w:val="superscript"/>
        </w:rPr>
        <w:t>)</w:t>
      </w:r>
      <w:r w:rsidRPr="0063006E">
        <w:rPr>
          <w:rFonts w:ascii="Traditional Arabic" w:hAnsi="Traditional Arabic" w:hint="cs"/>
        </w:rPr>
        <w:sym w:font="AGA Arabesque" w:char="F072"/>
      </w:r>
      <w:r w:rsidRPr="0063006E">
        <w:rPr>
          <w:rFonts w:ascii="Traditional Arabic" w:hAnsi="Traditional Arabic"/>
          <w:rtl/>
        </w:rPr>
        <w:t>.</w:t>
      </w:r>
      <w:r w:rsidRPr="0063006E">
        <w:rPr>
          <w:rFonts w:ascii="Traditional Arabic" w:hAnsi="Traditional Arabic" w:hint="cs"/>
          <w:rtl/>
        </w:rPr>
        <w:t xml:space="preserve"> </w:t>
      </w:r>
      <w:r w:rsidRPr="0063006E">
        <w:rPr>
          <w:rFonts w:ascii="Traditional Arabic" w:hAnsi="Traditional Arabic"/>
          <w:rtl/>
        </w:rPr>
        <w:t>والثاني: ابن ثلاث سنين. قاله قتادة</w:t>
      </w:r>
      <w:r w:rsidRPr="0063006E">
        <w:rPr>
          <w:vertAlign w:val="superscript"/>
          <w:rtl/>
        </w:rPr>
        <w:t>(</w:t>
      </w:r>
      <w:r w:rsidRPr="0063006E">
        <w:rPr>
          <w:vertAlign w:val="superscript"/>
          <w:rtl/>
        </w:rPr>
        <w:footnoteReference w:id="2125"/>
      </w:r>
      <w:r w:rsidRPr="0063006E">
        <w:rPr>
          <w:vertAlign w:val="superscript"/>
          <w:rtl/>
        </w:rPr>
        <w:t>)</w:t>
      </w:r>
      <w:r w:rsidRPr="0063006E">
        <w:rPr>
          <w:rFonts w:ascii="Traditional Arabic" w:hAnsi="Traditional Arabic"/>
          <w:rtl/>
        </w:rPr>
        <w:t>، ومقاتل</w:t>
      </w:r>
      <w:r w:rsidRPr="0063006E">
        <w:rPr>
          <w:vertAlign w:val="superscript"/>
          <w:rtl/>
        </w:rPr>
        <w:t>(</w:t>
      </w:r>
      <w:r w:rsidRPr="0063006E">
        <w:rPr>
          <w:vertAlign w:val="superscript"/>
          <w:rtl/>
        </w:rPr>
        <w:footnoteReference w:id="2126"/>
      </w:r>
      <w:r w:rsidRPr="0063006E">
        <w:rPr>
          <w:vertAlign w:val="superscript"/>
          <w:rtl/>
        </w:rPr>
        <w:t>)</w:t>
      </w:r>
      <w:r w:rsidRPr="0063006E">
        <w:rPr>
          <w:rFonts w:ascii="Traditional Arabic" w:hAnsi="Traditional Arabic"/>
          <w:rtl/>
        </w:rPr>
        <w:t>.</w:t>
      </w:r>
      <w:r w:rsidRPr="0063006E">
        <w:rPr>
          <w:rFonts w:ascii="Traditional Arabic" w:hAnsi="Traditional Arabic" w:hint="cs"/>
          <w:rtl/>
        </w:rPr>
        <w:t xml:space="preserve"> </w:t>
      </w:r>
      <w:r w:rsidRPr="0063006E">
        <w:rPr>
          <w:rFonts w:ascii="Traditional Arabic" w:hAnsi="Traditional Arabic"/>
          <w:rtl/>
        </w:rPr>
        <w:t xml:space="preserve">قوله تعالى: </w:t>
      </w:r>
      <w:r w:rsidRPr="0063006E">
        <w:rPr>
          <w:rFonts w:ascii="QCF_BSML" w:hAnsi="QCF_BSML" w:cs="QCF_BSML"/>
          <w:color w:val="auto"/>
          <w:sz w:val="32"/>
          <w:szCs w:val="32"/>
          <w:rtl/>
          <w:lang w:eastAsia="en-US"/>
        </w:rPr>
        <w:t>ﭽ</w:t>
      </w:r>
      <w:r w:rsidRPr="0063006E">
        <w:rPr>
          <w:rFonts w:ascii="QCF_P306" w:hAnsi="QCF_P306" w:cs="QCF_P306"/>
          <w:color w:val="auto"/>
          <w:sz w:val="32"/>
          <w:szCs w:val="32"/>
          <w:rtl/>
          <w:lang w:eastAsia="en-US"/>
        </w:rPr>
        <w:t>ﭚ  ﭛ  ﭜ</w:t>
      </w:r>
      <w:r w:rsidRPr="0063006E">
        <w:rPr>
          <w:rFonts w:ascii="QCF_BSML" w:hAnsi="QCF_BSML" w:cs="QCF_BSML"/>
          <w:sz w:val="32"/>
          <w:szCs w:val="32"/>
          <w:rtl/>
          <w:lang w:eastAsia="en-US"/>
        </w:rPr>
        <w:t>ﭼ</w:t>
      </w:r>
      <w:r w:rsidRPr="0063006E">
        <w:rPr>
          <w:rFonts w:ascii="QCF_P306" w:hAnsi="QCF_P306" w:cs="QCF_P306"/>
          <w:color w:val="auto"/>
          <w:sz w:val="32"/>
          <w:szCs w:val="32"/>
          <w:rtl/>
          <w:lang w:eastAsia="en-US"/>
        </w:rPr>
        <w:t xml:space="preserve"> </w:t>
      </w:r>
      <w:r w:rsidRPr="0063006E">
        <w:rPr>
          <w:rFonts w:ascii="Traditional Arabic" w:hAnsi="Traditional Arabic"/>
          <w:rtl/>
        </w:rPr>
        <w:t>قال الزجاج</w:t>
      </w:r>
      <w:r w:rsidRPr="0063006E">
        <w:rPr>
          <w:vertAlign w:val="superscript"/>
          <w:rtl/>
        </w:rPr>
        <w:t>(</w:t>
      </w:r>
      <w:r w:rsidRPr="0063006E">
        <w:rPr>
          <w:vertAlign w:val="superscript"/>
          <w:rtl/>
        </w:rPr>
        <w:footnoteReference w:id="2127"/>
      </w:r>
      <w:r w:rsidRPr="0063006E">
        <w:rPr>
          <w:vertAlign w:val="superscript"/>
          <w:rtl/>
        </w:rPr>
        <w:t>)</w:t>
      </w:r>
      <w:r w:rsidRPr="0063006E">
        <w:rPr>
          <w:rFonts w:ascii="Traditional Arabic" w:hAnsi="Traditional Arabic"/>
          <w:rtl/>
        </w:rPr>
        <w:t>: أي وآتيناه حناناً</w:t>
      </w:r>
      <w:r w:rsidRPr="0063006E">
        <w:rPr>
          <w:vertAlign w:val="superscript"/>
          <w:rtl/>
        </w:rPr>
        <w:t>(</w:t>
      </w:r>
      <w:r w:rsidRPr="0063006E">
        <w:rPr>
          <w:vertAlign w:val="superscript"/>
          <w:rtl/>
        </w:rPr>
        <w:footnoteReference w:id="2128"/>
      </w:r>
      <w:r w:rsidRPr="0063006E">
        <w:rPr>
          <w:vertAlign w:val="superscript"/>
          <w:rtl/>
        </w:rPr>
        <w:t>)</w:t>
      </w:r>
      <w:r w:rsidRPr="0063006E">
        <w:rPr>
          <w:rFonts w:ascii="Traditional Arabic" w:hAnsi="Traditional Arabic"/>
          <w:rtl/>
        </w:rPr>
        <w:t>. وقال ابن الأنباري: المعنى وجعلناه</w:t>
      </w:r>
      <w:r w:rsidRPr="0063006E">
        <w:rPr>
          <w:vertAlign w:val="superscript"/>
          <w:rtl/>
        </w:rPr>
        <w:t>(</w:t>
      </w:r>
      <w:r w:rsidRPr="0063006E">
        <w:rPr>
          <w:vertAlign w:val="superscript"/>
          <w:rtl/>
        </w:rPr>
        <w:footnoteReference w:id="2129"/>
      </w:r>
      <w:r w:rsidRPr="0063006E">
        <w:rPr>
          <w:vertAlign w:val="superscript"/>
          <w:rtl/>
        </w:rPr>
        <w:t>)</w:t>
      </w:r>
      <w:r w:rsidRPr="0063006E">
        <w:rPr>
          <w:rFonts w:ascii="Traditional Arabic" w:hAnsi="Traditional Arabic"/>
          <w:rtl/>
        </w:rPr>
        <w:t>حناناً لأهل زمانه</w:t>
      </w:r>
      <w:r w:rsidRPr="0063006E">
        <w:rPr>
          <w:vertAlign w:val="superscript"/>
          <w:rtl/>
        </w:rPr>
        <w:t>(</w:t>
      </w:r>
      <w:r w:rsidRPr="0063006E">
        <w:rPr>
          <w:vertAlign w:val="superscript"/>
          <w:rtl/>
        </w:rPr>
        <w:footnoteReference w:id="2130"/>
      </w:r>
      <w:r w:rsidRPr="0063006E">
        <w:rPr>
          <w:vertAlign w:val="superscript"/>
          <w:rtl/>
        </w:rPr>
        <w:t>)</w:t>
      </w:r>
      <w:r w:rsidRPr="0063006E">
        <w:rPr>
          <w:rFonts w:ascii="Traditional Arabic" w:hAnsi="Traditional Arabic"/>
          <w:rtl/>
        </w:rPr>
        <w:t>. وفي الحنان ستة أقوال: أحدها: أنه الرحمة، رواه ابن أبي طلحة عن ابن عباس</w:t>
      </w:r>
      <w:r w:rsidRPr="0063006E">
        <w:rPr>
          <w:vertAlign w:val="superscript"/>
          <w:rtl/>
        </w:rPr>
        <w:t>(</w:t>
      </w:r>
      <w:r w:rsidRPr="0063006E">
        <w:rPr>
          <w:vertAlign w:val="superscript"/>
          <w:rtl/>
        </w:rPr>
        <w:footnoteReference w:id="2131"/>
      </w:r>
      <w:r w:rsidRPr="0063006E">
        <w:rPr>
          <w:vertAlign w:val="superscript"/>
          <w:rtl/>
        </w:rPr>
        <w:t>)</w:t>
      </w:r>
      <w:r w:rsidRPr="0063006E">
        <w:rPr>
          <w:rFonts w:ascii="Traditional Arabic" w:hAnsi="Traditional Arabic"/>
          <w:rtl/>
        </w:rPr>
        <w:t>، وبه</w:t>
      </w:r>
      <w:r w:rsidRPr="0063006E">
        <w:rPr>
          <w:rFonts w:ascii="Traditional Arabic" w:hAnsi="Traditional Arabic" w:hint="cs"/>
          <w:rtl/>
        </w:rPr>
        <w:t xml:space="preserve"> </w:t>
      </w:r>
      <w:r w:rsidRPr="0063006E">
        <w:rPr>
          <w:rFonts w:ascii="Traditional Arabic" w:hAnsi="Traditional Arabic"/>
          <w:rtl/>
        </w:rPr>
        <w:t>قال الحسن</w:t>
      </w:r>
      <w:r w:rsidRPr="0063006E">
        <w:rPr>
          <w:vertAlign w:val="superscript"/>
          <w:rtl/>
        </w:rPr>
        <w:t>(</w:t>
      </w:r>
      <w:r w:rsidRPr="0063006E">
        <w:rPr>
          <w:vertAlign w:val="superscript"/>
          <w:rtl/>
        </w:rPr>
        <w:footnoteReference w:id="2132"/>
      </w:r>
      <w:r w:rsidRPr="0063006E">
        <w:rPr>
          <w:vertAlign w:val="superscript"/>
          <w:rtl/>
        </w:rPr>
        <w:t>)</w:t>
      </w:r>
      <w:r w:rsidRPr="0063006E">
        <w:rPr>
          <w:rFonts w:ascii="Traditional Arabic" w:hAnsi="Traditional Arabic"/>
          <w:rtl/>
        </w:rPr>
        <w:t>، وعكرمة، وقتادة، والضحاك</w:t>
      </w:r>
      <w:r w:rsidRPr="0063006E">
        <w:rPr>
          <w:vertAlign w:val="superscript"/>
          <w:rtl/>
        </w:rPr>
        <w:t>(</w:t>
      </w:r>
      <w:r w:rsidRPr="0063006E">
        <w:rPr>
          <w:vertAlign w:val="superscript"/>
          <w:rtl/>
        </w:rPr>
        <w:footnoteReference w:id="2133"/>
      </w:r>
      <w:r w:rsidRPr="0063006E">
        <w:rPr>
          <w:vertAlign w:val="superscript"/>
          <w:rtl/>
        </w:rPr>
        <w:t>)</w:t>
      </w:r>
      <w:r w:rsidRPr="0063006E">
        <w:rPr>
          <w:rFonts w:ascii="Traditional Arabic" w:hAnsi="Traditional Arabic"/>
          <w:rtl/>
        </w:rPr>
        <w:t>، والفراء</w:t>
      </w:r>
      <w:r w:rsidRPr="0063006E">
        <w:rPr>
          <w:vertAlign w:val="superscript"/>
          <w:rtl/>
        </w:rPr>
        <w:t>(</w:t>
      </w:r>
      <w:r w:rsidRPr="0063006E">
        <w:rPr>
          <w:vertAlign w:val="superscript"/>
          <w:rtl/>
        </w:rPr>
        <w:footnoteReference w:id="2134"/>
      </w:r>
      <w:r w:rsidRPr="0063006E">
        <w:rPr>
          <w:vertAlign w:val="superscript"/>
          <w:rtl/>
        </w:rPr>
        <w:t>)</w:t>
      </w:r>
      <w:r w:rsidRPr="0063006E">
        <w:rPr>
          <w:rFonts w:ascii="Traditional Arabic" w:hAnsi="Traditional Arabic"/>
          <w:rtl/>
        </w:rPr>
        <w:t>، وأبو عبيدة، وأنشد:</w:t>
      </w:r>
    </w:p>
    <w:p w:rsidR="0063006E" w:rsidRPr="0063006E" w:rsidRDefault="0063006E" w:rsidP="0063006E">
      <w:pPr>
        <w:ind w:firstLine="0"/>
        <w:rPr>
          <w:rFonts w:ascii="Traditional Arabic" w:hAnsi="Traditional Arabic"/>
          <w:rtl/>
        </w:rPr>
      </w:pPr>
      <w:r w:rsidRPr="0063006E">
        <w:rPr>
          <w:rFonts w:ascii="Traditional Arabic" w:hAnsi="Traditional Arabic"/>
          <w:rtl/>
        </w:rPr>
        <w:lastRenderedPageBreak/>
        <w:t>تَحَنَّنْ عليَّ هَدَاكَ الملِيك ... فإنّ لكلِّ مقامٍ مَقَالاَ</w:t>
      </w:r>
      <w:r w:rsidRPr="0063006E">
        <w:rPr>
          <w:vertAlign w:val="superscript"/>
          <w:rtl/>
        </w:rPr>
        <w:t>(</w:t>
      </w:r>
      <w:r w:rsidRPr="0063006E">
        <w:rPr>
          <w:vertAlign w:val="superscript"/>
          <w:rtl/>
        </w:rPr>
        <w:footnoteReference w:id="2135"/>
      </w:r>
      <w:r w:rsidRPr="0063006E">
        <w:rPr>
          <w:vertAlign w:val="superscript"/>
          <w:rtl/>
        </w:rPr>
        <w:t>)</w:t>
      </w:r>
    </w:p>
    <w:p w:rsidR="0063006E" w:rsidRPr="0063006E" w:rsidRDefault="0063006E" w:rsidP="002F0380">
      <w:pPr>
        <w:ind w:firstLine="0"/>
        <w:rPr>
          <w:rFonts w:ascii="Traditional Arabic" w:hAnsi="Traditional Arabic"/>
          <w:rtl/>
        </w:rPr>
      </w:pPr>
      <w:r w:rsidRPr="0063006E">
        <w:rPr>
          <w:rFonts w:ascii="Traditional Arabic" w:hAnsi="Traditional Arabic"/>
          <w:rtl/>
        </w:rPr>
        <w:t>قال: وعامة ما يُستعمَل في المنطق على لفظ الاثنين، قال طرفة</w:t>
      </w:r>
      <w:r w:rsidRPr="0063006E">
        <w:rPr>
          <w:vertAlign w:val="superscript"/>
          <w:rtl/>
        </w:rPr>
        <w:t>(</w:t>
      </w:r>
      <w:r w:rsidRPr="0063006E">
        <w:rPr>
          <w:vertAlign w:val="superscript"/>
          <w:rtl/>
        </w:rPr>
        <w:footnoteReference w:id="2136"/>
      </w:r>
      <w:r w:rsidRPr="0063006E">
        <w:rPr>
          <w:vertAlign w:val="superscript"/>
          <w:rtl/>
        </w:rPr>
        <w:t>)</w:t>
      </w:r>
      <w:r w:rsidRPr="0063006E">
        <w:rPr>
          <w:rFonts w:ascii="Traditional Arabic" w:hAnsi="Traditional Arabic"/>
          <w:rtl/>
        </w:rPr>
        <w:t>:</w:t>
      </w:r>
    </w:p>
    <w:p w:rsidR="0063006E" w:rsidRPr="0063006E" w:rsidRDefault="0063006E" w:rsidP="0063006E">
      <w:pPr>
        <w:ind w:firstLine="0"/>
        <w:rPr>
          <w:rFonts w:ascii="Traditional Arabic" w:hAnsi="Traditional Arabic"/>
          <w:rtl/>
        </w:rPr>
      </w:pPr>
      <w:r w:rsidRPr="0063006E">
        <w:rPr>
          <w:rFonts w:ascii="Traditional Arabic" w:hAnsi="Traditional Arabic"/>
          <w:rtl/>
        </w:rPr>
        <w:t>أبا مُنْذرٍ أفنيتَ فاستبقِ بَعضَنَا ... حَنَانَيْكَ بعضُ الشَّرِّ أهونُ مِنْ بَعْضِ</w:t>
      </w:r>
      <w:r w:rsidRPr="0063006E">
        <w:rPr>
          <w:vertAlign w:val="superscript"/>
          <w:rtl/>
        </w:rPr>
        <w:t>(</w:t>
      </w:r>
      <w:r w:rsidRPr="0063006E">
        <w:rPr>
          <w:vertAlign w:val="superscript"/>
          <w:rtl/>
        </w:rPr>
        <w:footnoteReference w:id="2137"/>
      </w:r>
      <w:r w:rsidRPr="0063006E">
        <w:rPr>
          <w:vertAlign w:val="superscript"/>
          <w:rtl/>
        </w:rPr>
        <w:t>)(</w:t>
      </w:r>
      <w:r w:rsidRPr="0063006E">
        <w:rPr>
          <w:vertAlign w:val="superscript"/>
          <w:rtl/>
        </w:rPr>
        <w:footnoteReference w:id="2138"/>
      </w:r>
      <w:r w:rsidRPr="0063006E">
        <w:rPr>
          <w:vertAlign w:val="superscript"/>
          <w:rtl/>
        </w:rPr>
        <w:t>)</w:t>
      </w:r>
    </w:p>
    <w:p w:rsidR="0063006E" w:rsidRPr="0063006E" w:rsidRDefault="0063006E" w:rsidP="0052736E">
      <w:pPr>
        <w:ind w:firstLine="0"/>
        <w:rPr>
          <w:rFonts w:ascii="Traditional Arabic" w:hAnsi="Traditional Arabic"/>
          <w:rtl/>
        </w:rPr>
      </w:pPr>
      <w:r w:rsidRPr="0063006E">
        <w:rPr>
          <w:rFonts w:ascii="Traditional Arabic" w:hAnsi="Traditional Arabic"/>
          <w:rtl/>
        </w:rPr>
        <w:t>قال ابن قتيبة: ومنه يقال: تحنَّن عليَّ، وأصله من حنين الناقة على ولدها</w:t>
      </w:r>
      <w:r w:rsidRPr="0063006E">
        <w:rPr>
          <w:vertAlign w:val="superscript"/>
          <w:rtl/>
        </w:rPr>
        <w:t>(</w:t>
      </w:r>
      <w:r w:rsidRPr="0063006E">
        <w:rPr>
          <w:vertAlign w:val="superscript"/>
          <w:rtl/>
        </w:rPr>
        <w:footnoteReference w:id="2139"/>
      </w:r>
      <w:r w:rsidRPr="0063006E">
        <w:rPr>
          <w:vertAlign w:val="superscript"/>
          <w:rtl/>
        </w:rPr>
        <w:t>)</w:t>
      </w:r>
      <w:r w:rsidRPr="0063006E">
        <w:rPr>
          <w:rFonts w:ascii="Traditional Arabic" w:hAnsi="Traditional Arabic"/>
          <w:rtl/>
        </w:rPr>
        <w:t>. وقال ابن الأنباري:لم يختلف اللغويون أن الحنان: الرحمة، والمعنى: فعلنا ذلك رحمةً لأبويه، وتزكيةً له</w:t>
      </w:r>
      <w:r w:rsidRPr="0063006E">
        <w:rPr>
          <w:rFonts w:ascii="Traditional Arabic" w:hAnsi="Traditional Arabic" w:hint="cs"/>
          <w:rtl/>
        </w:rPr>
        <w:t>ا</w:t>
      </w:r>
      <w:r w:rsidRPr="0063006E">
        <w:rPr>
          <w:vertAlign w:val="superscript"/>
          <w:rtl/>
        </w:rPr>
        <w:t>(</w:t>
      </w:r>
      <w:r w:rsidRPr="0063006E">
        <w:rPr>
          <w:vertAlign w:val="superscript"/>
          <w:rtl/>
        </w:rPr>
        <w:footnoteReference w:id="2140"/>
      </w:r>
      <w:r w:rsidRPr="0063006E">
        <w:rPr>
          <w:vertAlign w:val="superscript"/>
          <w:rtl/>
        </w:rPr>
        <w:t>)(</w:t>
      </w:r>
      <w:r w:rsidRPr="0063006E">
        <w:rPr>
          <w:vertAlign w:val="superscript"/>
          <w:rtl/>
        </w:rPr>
        <w:footnoteReference w:id="2141"/>
      </w:r>
      <w:r w:rsidRPr="0063006E">
        <w:rPr>
          <w:vertAlign w:val="superscript"/>
          <w:rtl/>
        </w:rPr>
        <w:t>)</w:t>
      </w:r>
      <w:r w:rsidRPr="0063006E">
        <w:rPr>
          <w:rFonts w:ascii="Traditional Arabic" w:hAnsi="Traditional Arabic"/>
          <w:rtl/>
        </w:rPr>
        <w:t>. والثاني: أنه التعطف من ربِّه عليه، قاله مجاهد</w:t>
      </w:r>
      <w:r w:rsidRPr="0063006E">
        <w:rPr>
          <w:vertAlign w:val="superscript"/>
          <w:rtl/>
        </w:rPr>
        <w:t>(</w:t>
      </w:r>
      <w:r w:rsidRPr="0063006E">
        <w:rPr>
          <w:vertAlign w:val="superscript"/>
          <w:rtl/>
        </w:rPr>
        <w:footnoteReference w:id="2142"/>
      </w:r>
      <w:r w:rsidRPr="0063006E">
        <w:rPr>
          <w:vertAlign w:val="superscript"/>
          <w:rtl/>
        </w:rPr>
        <w:t>)</w:t>
      </w:r>
      <w:r w:rsidRPr="0063006E">
        <w:rPr>
          <w:rFonts w:ascii="Traditional Arabic" w:hAnsi="Traditional Arabic"/>
          <w:rtl/>
        </w:rPr>
        <w:t>. والثالث: أنه اللِّين، قاله سعيد بن جبير</w:t>
      </w:r>
      <w:r w:rsidRPr="0063006E">
        <w:rPr>
          <w:vertAlign w:val="superscript"/>
          <w:rtl/>
        </w:rPr>
        <w:t>(</w:t>
      </w:r>
      <w:r w:rsidRPr="0063006E">
        <w:rPr>
          <w:vertAlign w:val="superscript"/>
          <w:rtl/>
        </w:rPr>
        <w:footnoteReference w:id="2143"/>
      </w:r>
      <w:r w:rsidRPr="0063006E">
        <w:rPr>
          <w:vertAlign w:val="superscript"/>
          <w:rtl/>
        </w:rPr>
        <w:t>)</w:t>
      </w:r>
      <w:r w:rsidRPr="0063006E">
        <w:rPr>
          <w:rFonts w:ascii="Traditional Arabic" w:hAnsi="Traditional Arabic"/>
          <w:rtl/>
        </w:rPr>
        <w:t>. والرابع: البَرَكة، وروي عن ابن جبير أيضاً</w:t>
      </w:r>
      <w:r w:rsidRPr="0063006E">
        <w:rPr>
          <w:vertAlign w:val="superscript"/>
          <w:rtl/>
        </w:rPr>
        <w:t>(</w:t>
      </w:r>
      <w:r w:rsidRPr="0063006E">
        <w:rPr>
          <w:vertAlign w:val="superscript"/>
          <w:rtl/>
        </w:rPr>
        <w:footnoteReference w:id="2144"/>
      </w:r>
      <w:r w:rsidRPr="0063006E">
        <w:rPr>
          <w:vertAlign w:val="superscript"/>
          <w:rtl/>
        </w:rPr>
        <w:t>)</w:t>
      </w:r>
      <w:r w:rsidRPr="0063006E">
        <w:rPr>
          <w:rFonts w:ascii="Traditional Arabic" w:hAnsi="Traditional Arabic"/>
          <w:rtl/>
        </w:rPr>
        <w:t>. والخامس: المَحبَّة، قاله عكرمة، وابن زيد</w:t>
      </w:r>
      <w:r w:rsidRPr="0063006E">
        <w:rPr>
          <w:vertAlign w:val="superscript"/>
          <w:rtl/>
        </w:rPr>
        <w:t>(</w:t>
      </w:r>
      <w:r w:rsidRPr="0063006E">
        <w:rPr>
          <w:vertAlign w:val="superscript"/>
          <w:rtl/>
        </w:rPr>
        <w:footnoteReference w:id="2145"/>
      </w:r>
      <w:r w:rsidRPr="0063006E">
        <w:rPr>
          <w:vertAlign w:val="superscript"/>
          <w:rtl/>
        </w:rPr>
        <w:t>)</w:t>
      </w:r>
      <w:r w:rsidRPr="0063006E">
        <w:rPr>
          <w:rFonts w:ascii="Traditional Arabic" w:hAnsi="Traditional Arabic"/>
          <w:rtl/>
        </w:rPr>
        <w:t>. والسادس: التعظيم، قاله عطاء بن أبي رباح</w:t>
      </w:r>
      <w:r w:rsidRPr="0063006E">
        <w:rPr>
          <w:vertAlign w:val="superscript"/>
          <w:rtl/>
        </w:rPr>
        <w:t>(</w:t>
      </w:r>
      <w:r w:rsidRPr="0063006E">
        <w:rPr>
          <w:vertAlign w:val="superscript"/>
          <w:rtl/>
        </w:rPr>
        <w:footnoteReference w:id="2146"/>
      </w:r>
      <w:r w:rsidRPr="0063006E">
        <w:rPr>
          <w:vertAlign w:val="superscript"/>
          <w:rtl/>
        </w:rPr>
        <w:t>)</w:t>
      </w:r>
      <w:r w:rsidRPr="0063006E">
        <w:rPr>
          <w:rFonts w:ascii="Traditional Arabic" w:hAnsi="Traditional Arabic"/>
          <w:rtl/>
        </w:rPr>
        <w:t>.</w:t>
      </w:r>
      <w:r w:rsidRPr="0063006E">
        <w:rPr>
          <w:rFonts w:ascii="Traditional Arabic" w:hAnsi="Traditional Arabic" w:hint="cs"/>
          <w:rtl/>
        </w:rPr>
        <w:t xml:space="preserve"> </w:t>
      </w:r>
      <w:r w:rsidRPr="0063006E">
        <w:rPr>
          <w:rFonts w:ascii="Traditional Arabic" w:hAnsi="Traditional Arabic"/>
          <w:rtl/>
        </w:rPr>
        <w:t>وفي قوله:</w:t>
      </w:r>
      <w:r w:rsidRPr="0063006E">
        <w:rPr>
          <w:rFonts w:ascii="QCF_BSML" w:hAnsi="QCF_BSML" w:cs="QCF_BSML"/>
          <w:sz w:val="32"/>
          <w:szCs w:val="32"/>
          <w:rtl/>
          <w:lang w:eastAsia="en-US"/>
        </w:rPr>
        <w:t xml:space="preserve"> ﭽ</w:t>
      </w:r>
      <w:r w:rsidRPr="0063006E">
        <w:rPr>
          <w:rFonts w:ascii="Traditional Arabic" w:hAnsi="Traditional Arabic"/>
          <w:rtl/>
        </w:rPr>
        <w:t xml:space="preserve"> </w:t>
      </w:r>
      <w:r w:rsidRPr="0063006E">
        <w:rPr>
          <w:rFonts w:ascii="QCF_P306" w:hAnsi="QCF_P306" w:cs="QCF_P306"/>
          <w:color w:val="auto"/>
          <w:sz w:val="32"/>
          <w:szCs w:val="32"/>
          <w:rtl/>
          <w:lang w:eastAsia="en-US"/>
        </w:rPr>
        <w:t>ﭝ</w:t>
      </w:r>
      <w:r w:rsidRPr="0063006E">
        <w:rPr>
          <w:rFonts w:ascii="QCF_BSML" w:hAnsi="QCF_BSML" w:cs="QCF_BSML"/>
          <w:sz w:val="32"/>
          <w:szCs w:val="32"/>
          <w:rtl/>
          <w:lang w:eastAsia="en-US"/>
        </w:rPr>
        <w:t xml:space="preserve"> ﭼ</w:t>
      </w:r>
      <w:r w:rsidRPr="0063006E">
        <w:rPr>
          <w:rFonts w:ascii="Traditional Arabic" w:hAnsi="Traditional Arabic" w:hint="cs"/>
          <w:rtl/>
        </w:rPr>
        <w:t xml:space="preserve"> </w:t>
      </w:r>
      <w:r w:rsidRPr="0063006E">
        <w:rPr>
          <w:rFonts w:ascii="Traditional Arabic" w:hAnsi="Traditional Arabic"/>
          <w:rtl/>
        </w:rPr>
        <w:t>أربعة أقوال: أحدها: أنها العمل الصالح</w:t>
      </w:r>
      <w:r w:rsidRPr="0063006E">
        <w:rPr>
          <w:vertAlign w:val="superscript"/>
          <w:rtl/>
        </w:rPr>
        <w:t>(</w:t>
      </w:r>
      <w:r w:rsidRPr="0063006E">
        <w:rPr>
          <w:vertAlign w:val="superscript"/>
          <w:rtl/>
        </w:rPr>
        <w:footnoteReference w:id="2147"/>
      </w:r>
      <w:r w:rsidRPr="0063006E">
        <w:rPr>
          <w:vertAlign w:val="superscript"/>
          <w:rtl/>
        </w:rPr>
        <w:t>)</w:t>
      </w:r>
      <w:r w:rsidRPr="0063006E">
        <w:rPr>
          <w:rFonts w:ascii="Traditional Arabic" w:hAnsi="Traditional Arabic"/>
          <w:rtl/>
        </w:rPr>
        <w:t>، قاله الضحاك، وقتادة</w:t>
      </w:r>
      <w:r w:rsidRPr="0063006E">
        <w:rPr>
          <w:vertAlign w:val="superscript"/>
          <w:rtl/>
        </w:rPr>
        <w:t>(</w:t>
      </w:r>
      <w:r w:rsidRPr="0063006E">
        <w:rPr>
          <w:vertAlign w:val="superscript"/>
          <w:rtl/>
        </w:rPr>
        <w:footnoteReference w:id="2148"/>
      </w:r>
      <w:r w:rsidRPr="0063006E">
        <w:rPr>
          <w:vertAlign w:val="superscript"/>
          <w:rtl/>
        </w:rPr>
        <w:t>)</w:t>
      </w:r>
      <w:r w:rsidRPr="0063006E">
        <w:rPr>
          <w:rFonts w:ascii="Traditional Arabic" w:hAnsi="Traditional Arabic"/>
          <w:rtl/>
        </w:rPr>
        <w:t>. والثاني:</w:t>
      </w:r>
      <w:r w:rsidRPr="0063006E">
        <w:rPr>
          <w:rFonts w:ascii="Traditional Arabic" w:hAnsi="Traditional Arabic" w:hint="cs"/>
          <w:rtl/>
        </w:rPr>
        <w:t xml:space="preserve"> </w:t>
      </w:r>
      <w:r w:rsidRPr="0063006E">
        <w:rPr>
          <w:rFonts w:ascii="Traditional Arabic" w:hAnsi="Traditional Arabic"/>
          <w:rtl/>
        </w:rPr>
        <w:t xml:space="preserve">أن معنى الزكاة: الصدقة، فالتقدير: </w:t>
      </w:r>
      <w:r w:rsidRPr="0063006E">
        <w:rPr>
          <w:rFonts w:ascii="Traditional Arabic" w:hAnsi="Traditional Arabic"/>
          <w:rtl/>
        </w:rPr>
        <w:lastRenderedPageBreak/>
        <w:t>إِن الله تعالى جعله صدقة تصدّق بها على أبويه، قاله ابن السائب</w:t>
      </w:r>
      <w:r w:rsidRPr="0063006E">
        <w:rPr>
          <w:vertAlign w:val="superscript"/>
          <w:rtl/>
        </w:rPr>
        <w:t>(</w:t>
      </w:r>
      <w:r w:rsidRPr="0063006E">
        <w:rPr>
          <w:vertAlign w:val="superscript"/>
          <w:rtl/>
        </w:rPr>
        <w:footnoteReference w:id="2149"/>
      </w:r>
      <w:r w:rsidRPr="0063006E">
        <w:rPr>
          <w:vertAlign w:val="superscript"/>
          <w:rtl/>
        </w:rPr>
        <w:t>)</w:t>
      </w:r>
      <w:r w:rsidRPr="0063006E">
        <w:rPr>
          <w:rFonts w:ascii="Traditional Arabic" w:hAnsi="Traditional Arabic"/>
          <w:rtl/>
        </w:rPr>
        <w:t>.</w:t>
      </w:r>
      <w:r w:rsidRPr="0063006E">
        <w:rPr>
          <w:rFonts w:ascii="Traditional Arabic" w:hAnsi="Traditional Arabic" w:hint="cs"/>
          <w:rtl/>
        </w:rPr>
        <w:t xml:space="preserve"> </w:t>
      </w:r>
      <w:r w:rsidRPr="0063006E">
        <w:rPr>
          <w:rFonts w:ascii="Traditional Arabic" w:hAnsi="Traditional Arabic"/>
          <w:rtl/>
        </w:rPr>
        <w:t>والثالث: أن الزكاة: التطهير، قاله الزجاج</w:t>
      </w:r>
      <w:r w:rsidRPr="0063006E">
        <w:rPr>
          <w:vertAlign w:val="superscript"/>
          <w:rtl/>
        </w:rPr>
        <w:t>(</w:t>
      </w:r>
      <w:r w:rsidRPr="0063006E">
        <w:rPr>
          <w:vertAlign w:val="superscript"/>
          <w:rtl/>
        </w:rPr>
        <w:footnoteReference w:id="2150"/>
      </w:r>
      <w:r w:rsidRPr="0063006E">
        <w:rPr>
          <w:vertAlign w:val="superscript"/>
          <w:rtl/>
        </w:rPr>
        <w:t>)</w:t>
      </w:r>
      <w:r w:rsidRPr="0063006E">
        <w:rPr>
          <w:rFonts w:ascii="Traditional Arabic" w:hAnsi="Traditional Arabic"/>
          <w:rtl/>
        </w:rPr>
        <w:t>. والرابع: أن الزكاة: الزيادة، فالمعنى: وآتيناه زيادة في الخير على ما وُصف وذُكِر، قاله ابن الأنباري</w:t>
      </w:r>
      <w:r w:rsidRPr="0063006E">
        <w:rPr>
          <w:vertAlign w:val="superscript"/>
          <w:rtl/>
        </w:rPr>
        <w:t>(</w:t>
      </w:r>
      <w:r w:rsidRPr="0063006E">
        <w:rPr>
          <w:vertAlign w:val="superscript"/>
          <w:rtl/>
        </w:rPr>
        <w:footnoteReference w:id="2151"/>
      </w:r>
      <w:r w:rsidRPr="0063006E">
        <w:rPr>
          <w:vertAlign w:val="superscript"/>
          <w:rtl/>
        </w:rPr>
        <w:t>)</w:t>
      </w:r>
      <w:r w:rsidRPr="0063006E">
        <w:rPr>
          <w:rFonts w:ascii="Traditional Arabic" w:hAnsi="Traditional Arabic"/>
          <w:rtl/>
        </w:rPr>
        <w:t>.</w:t>
      </w:r>
      <w:r w:rsidRPr="0063006E">
        <w:rPr>
          <w:rFonts w:ascii="Traditional Arabic" w:hAnsi="Traditional Arabic" w:hint="cs"/>
          <w:rtl/>
        </w:rPr>
        <w:t xml:space="preserve"> </w:t>
      </w:r>
      <w:r w:rsidRPr="0063006E">
        <w:rPr>
          <w:rFonts w:ascii="Traditional Arabic" w:hAnsi="Traditional Arabic"/>
          <w:rtl/>
        </w:rPr>
        <w:t xml:space="preserve">قوله تعالى: </w:t>
      </w:r>
      <w:r w:rsidRPr="0063006E">
        <w:rPr>
          <w:rFonts w:ascii="QCF_BSML" w:hAnsi="QCF_BSML" w:cs="QCF_BSML"/>
          <w:sz w:val="32"/>
          <w:szCs w:val="32"/>
          <w:rtl/>
          <w:lang w:eastAsia="en-US"/>
        </w:rPr>
        <w:t>ﭽ</w:t>
      </w:r>
      <w:r w:rsidRPr="0063006E">
        <w:rPr>
          <w:rFonts w:ascii="QCF_P306" w:hAnsi="QCF_P306" w:cs="QCF_P306"/>
          <w:color w:val="auto"/>
          <w:sz w:val="32"/>
          <w:szCs w:val="32"/>
          <w:rtl/>
          <w:lang w:eastAsia="en-US"/>
        </w:rPr>
        <w:t xml:space="preserve"> ﭟ  ﭠ  </w:t>
      </w:r>
      <w:r w:rsidRPr="0063006E">
        <w:rPr>
          <w:rFonts w:ascii="QCF_BSML" w:hAnsi="QCF_BSML" w:cs="QCF_BSML"/>
          <w:sz w:val="32"/>
          <w:szCs w:val="32"/>
          <w:rtl/>
          <w:lang w:eastAsia="en-US"/>
        </w:rPr>
        <w:t>ﭼ</w:t>
      </w:r>
      <w:r w:rsidRPr="0063006E">
        <w:rPr>
          <w:rFonts w:ascii="Traditional Arabic" w:hAnsi="Traditional Arabic"/>
          <w:rtl/>
        </w:rPr>
        <w:t xml:space="preserve"> قال ابن عباس: جعلته يتَّقيني، ولا يعدل </w:t>
      </w:r>
      <w:r w:rsidRPr="0063006E">
        <w:rPr>
          <w:rFonts w:ascii="Traditional Arabic" w:hAnsi="Traditional Arabic"/>
          <w:sz w:val="32"/>
          <w:szCs w:val="32"/>
          <w:rtl/>
        </w:rPr>
        <w:t>[</w:t>
      </w:r>
      <w:r w:rsidRPr="0063006E">
        <w:rPr>
          <w:rFonts w:ascii="Traditional Arabic" w:hAnsi="Traditional Arabic" w:hint="cs"/>
          <w:sz w:val="32"/>
          <w:szCs w:val="32"/>
          <w:rtl/>
        </w:rPr>
        <w:t>162</w:t>
      </w:r>
      <w:r w:rsidRPr="0063006E">
        <w:rPr>
          <w:rFonts w:ascii="Traditional Arabic" w:hAnsi="Traditional Arabic"/>
          <w:sz w:val="32"/>
          <w:szCs w:val="32"/>
          <w:rtl/>
        </w:rPr>
        <w:t>]</w:t>
      </w:r>
      <w:r w:rsidRPr="0063006E">
        <w:rPr>
          <w:rFonts w:ascii="Traditional Arabic" w:hAnsi="Traditional Arabic"/>
          <w:rtl/>
        </w:rPr>
        <w:t xml:space="preserve"> بي غيري</w:t>
      </w:r>
      <w:r w:rsidRPr="0063006E">
        <w:rPr>
          <w:vertAlign w:val="superscript"/>
          <w:rtl/>
        </w:rPr>
        <w:t>(</w:t>
      </w:r>
      <w:r w:rsidRPr="0063006E">
        <w:rPr>
          <w:vertAlign w:val="superscript"/>
          <w:rtl/>
        </w:rPr>
        <w:footnoteReference w:id="2152"/>
      </w:r>
      <w:r w:rsidRPr="0063006E">
        <w:rPr>
          <w:vertAlign w:val="superscript"/>
          <w:rtl/>
        </w:rPr>
        <w:t>)</w:t>
      </w:r>
      <w:r w:rsidRPr="0063006E">
        <w:rPr>
          <w:rFonts w:ascii="Traditional Arabic" w:hAnsi="Traditional Arabic"/>
          <w:rtl/>
        </w:rPr>
        <w:t>. قوله تعالى:</w:t>
      </w:r>
      <w:r w:rsidRPr="0063006E">
        <w:rPr>
          <w:rFonts w:ascii="Traditional Arabic" w:hAnsi="Traditional Arabic" w:hint="cs"/>
          <w:rtl/>
        </w:rPr>
        <w:t xml:space="preserve"> </w:t>
      </w:r>
      <w:r w:rsidRPr="0063006E">
        <w:rPr>
          <w:rFonts w:ascii="QCF_BSML" w:hAnsi="QCF_BSML" w:cs="QCF_BSML"/>
          <w:sz w:val="32"/>
          <w:szCs w:val="32"/>
          <w:rtl/>
          <w:lang w:eastAsia="en-US"/>
        </w:rPr>
        <w:t>ﭽ</w:t>
      </w:r>
      <w:r w:rsidRPr="0063006E">
        <w:rPr>
          <w:rFonts w:ascii="QCF_P306" w:hAnsi="QCF_P306" w:cs="QCF_P306"/>
          <w:color w:val="auto"/>
          <w:sz w:val="32"/>
          <w:szCs w:val="32"/>
          <w:rtl/>
          <w:lang w:eastAsia="en-US"/>
        </w:rPr>
        <w:t xml:space="preserve"> ﭢ  ﭣ</w:t>
      </w:r>
      <w:r w:rsidRPr="0063006E">
        <w:rPr>
          <w:rFonts w:ascii="QCF_BSML" w:hAnsi="QCF_BSML" w:cs="QCF_BSML"/>
          <w:sz w:val="32"/>
          <w:szCs w:val="32"/>
          <w:rtl/>
          <w:lang w:eastAsia="en-US"/>
        </w:rPr>
        <w:t xml:space="preserve"> ﭼ</w:t>
      </w:r>
      <w:r w:rsidRPr="0063006E">
        <w:rPr>
          <w:rFonts w:ascii="QCF_P306" w:hAnsi="QCF_P306" w:cs="QCF_P306"/>
          <w:color w:val="auto"/>
          <w:sz w:val="32"/>
          <w:szCs w:val="32"/>
          <w:rtl/>
          <w:lang w:eastAsia="en-US"/>
        </w:rPr>
        <w:t xml:space="preserve">   </w:t>
      </w:r>
      <w:r w:rsidRPr="0063006E">
        <w:rPr>
          <w:rFonts w:ascii="Traditional Arabic" w:hAnsi="Traditional Arabic"/>
          <w:rtl/>
        </w:rPr>
        <w:t>أي: وجعلناه بَرّاً بوالديه، والبَرُّ بمعنى: البارّ والمعنى: لطيفاً بهما، محسناً إِليهما.</w:t>
      </w:r>
      <w:r w:rsidRPr="0063006E">
        <w:rPr>
          <w:rFonts w:ascii="Traditional Arabic" w:hAnsi="Traditional Arabic" w:hint="cs"/>
          <w:rtl/>
        </w:rPr>
        <w:t xml:space="preserve"> </w:t>
      </w:r>
      <w:r w:rsidRPr="0063006E">
        <w:rPr>
          <w:rFonts w:ascii="Traditional Arabic" w:hAnsi="Traditional Arabic"/>
          <w:rtl/>
        </w:rPr>
        <w:t>والعَصِيَّ بمعنى: العاصي. وقد شرحنا معنى الجبّار في سورة هود</w:t>
      </w:r>
      <w:r w:rsidRPr="0063006E">
        <w:rPr>
          <w:vertAlign w:val="superscript"/>
          <w:rtl/>
        </w:rPr>
        <w:t>(</w:t>
      </w:r>
      <w:r w:rsidRPr="0063006E">
        <w:rPr>
          <w:vertAlign w:val="superscript"/>
          <w:rtl/>
        </w:rPr>
        <w:footnoteReference w:id="2153"/>
      </w:r>
      <w:r w:rsidRPr="0063006E">
        <w:rPr>
          <w:vertAlign w:val="superscript"/>
          <w:rtl/>
        </w:rPr>
        <w:t>)</w:t>
      </w:r>
      <w:r w:rsidRPr="0063006E">
        <w:rPr>
          <w:rFonts w:ascii="Traditional Arabic" w:hAnsi="Traditional Arabic"/>
          <w:rtl/>
        </w:rPr>
        <w:t>.</w:t>
      </w:r>
      <w:r w:rsidRPr="0063006E">
        <w:rPr>
          <w:rFonts w:ascii="Traditional Arabic" w:hAnsi="Traditional Arabic" w:hint="cs"/>
          <w:rtl/>
        </w:rPr>
        <w:t xml:space="preserve"> </w:t>
      </w:r>
      <w:r w:rsidRPr="0063006E">
        <w:rPr>
          <w:rFonts w:ascii="Traditional Arabic" w:hAnsi="Traditional Arabic"/>
          <w:rtl/>
        </w:rPr>
        <w:t xml:space="preserve">قوله تعالى: </w:t>
      </w:r>
      <w:r w:rsidRPr="0063006E">
        <w:rPr>
          <w:rFonts w:ascii="QCF_BSML" w:hAnsi="QCF_BSML" w:cs="QCF_BSML"/>
          <w:sz w:val="32"/>
          <w:szCs w:val="32"/>
          <w:rtl/>
          <w:lang w:eastAsia="en-US"/>
        </w:rPr>
        <w:t>ﭽ</w:t>
      </w:r>
      <w:r w:rsidRPr="0063006E">
        <w:rPr>
          <w:rFonts w:ascii="QCF_P306" w:hAnsi="QCF_P306" w:cs="QCF_P306"/>
          <w:color w:val="auto"/>
          <w:sz w:val="32"/>
          <w:szCs w:val="32"/>
          <w:rtl/>
          <w:lang w:eastAsia="en-US"/>
        </w:rPr>
        <w:t xml:space="preserve"> ﭩ  ﭪ</w:t>
      </w:r>
      <w:r w:rsidRPr="0063006E">
        <w:rPr>
          <w:rFonts w:ascii="QCF_BSML" w:hAnsi="QCF_BSML" w:cs="QCF_BSML"/>
          <w:sz w:val="32"/>
          <w:szCs w:val="32"/>
          <w:rtl/>
          <w:lang w:eastAsia="en-US"/>
        </w:rPr>
        <w:t xml:space="preserve"> ﭼ</w:t>
      </w:r>
      <w:r w:rsidRPr="0063006E">
        <w:rPr>
          <w:rFonts w:ascii="QCF_P306" w:hAnsi="QCF_P306" w:cs="QCF_P306"/>
          <w:color w:val="auto"/>
          <w:sz w:val="32"/>
          <w:szCs w:val="32"/>
          <w:rtl/>
          <w:lang w:eastAsia="en-US"/>
        </w:rPr>
        <w:t xml:space="preserve">  </w:t>
      </w:r>
      <w:r w:rsidRPr="0063006E">
        <w:rPr>
          <w:rFonts w:ascii="Traditional Arabic" w:hAnsi="Traditional Arabic" w:hint="cs"/>
          <w:rtl/>
        </w:rPr>
        <w:t xml:space="preserve"> </w:t>
      </w:r>
      <w:r w:rsidRPr="0063006E">
        <w:rPr>
          <w:rFonts w:ascii="Traditional Arabic" w:hAnsi="Traditional Arabic"/>
          <w:rtl/>
        </w:rPr>
        <w:t>فيه قولان: أحدهما: أنه السلام المعروف من الله تعالى، قال عطاء:</w:t>
      </w:r>
      <w:r w:rsidRPr="0063006E">
        <w:rPr>
          <w:rFonts w:ascii="Traditional Arabic" w:hAnsi="Traditional Arabic" w:hint="cs"/>
          <w:rtl/>
        </w:rPr>
        <w:t xml:space="preserve"> </w:t>
      </w:r>
      <w:r w:rsidRPr="0063006E">
        <w:rPr>
          <w:rFonts w:ascii="Traditional Arabic" w:hAnsi="Traditional Arabic"/>
          <w:rtl/>
        </w:rPr>
        <w:t>سلام عليه مِنِّي في هذه الأيام</w:t>
      </w:r>
      <w:r w:rsidRPr="0063006E">
        <w:rPr>
          <w:rFonts w:ascii="Traditional Arabic" w:hAnsi="Traditional Arabic" w:hint="cs"/>
          <w:rtl/>
        </w:rPr>
        <w:t>.</w:t>
      </w:r>
      <w:r w:rsidRPr="0063006E">
        <w:rPr>
          <w:rFonts w:ascii="Traditional Arabic" w:hAnsi="Traditional Arabic"/>
          <w:rtl/>
        </w:rPr>
        <w:t xml:space="preserve"> وهذا اختيار أبي سليمان</w:t>
      </w:r>
      <w:r w:rsidRPr="0063006E">
        <w:rPr>
          <w:vertAlign w:val="superscript"/>
          <w:rtl/>
        </w:rPr>
        <w:t>(</w:t>
      </w:r>
      <w:r w:rsidRPr="0063006E">
        <w:rPr>
          <w:vertAlign w:val="superscript"/>
          <w:rtl/>
        </w:rPr>
        <w:footnoteReference w:id="2154"/>
      </w:r>
      <w:r w:rsidRPr="0063006E">
        <w:rPr>
          <w:vertAlign w:val="superscript"/>
          <w:rtl/>
        </w:rPr>
        <w:t>)</w:t>
      </w:r>
      <w:r w:rsidRPr="0063006E">
        <w:rPr>
          <w:rFonts w:ascii="Traditional Arabic" w:hAnsi="Traditional Arabic"/>
          <w:rtl/>
        </w:rPr>
        <w:t>. والثاني: أنه بمعنى: السلامة، قاله ابن السائب</w:t>
      </w:r>
      <w:r w:rsidRPr="0063006E">
        <w:rPr>
          <w:vertAlign w:val="superscript"/>
          <w:rtl/>
        </w:rPr>
        <w:t>(</w:t>
      </w:r>
      <w:r w:rsidRPr="0063006E">
        <w:rPr>
          <w:vertAlign w:val="superscript"/>
          <w:rtl/>
        </w:rPr>
        <w:footnoteReference w:id="2155"/>
      </w:r>
      <w:r w:rsidRPr="0063006E">
        <w:rPr>
          <w:vertAlign w:val="superscript"/>
          <w:rtl/>
        </w:rPr>
        <w:t>)</w:t>
      </w:r>
      <w:r w:rsidRPr="0063006E">
        <w:rPr>
          <w:rFonts w:ascii="Traditional Arabic" w:hAnsi="Traditional Arabic"/>
          <w:rtl/>
        </w:rPr>
        <w:t>. فإن قيل: كيف خَصَّ التسليم عليه</w:t>
      </w:r>
      <w:r w:rsidRPr="0063006E">
        <w:rPr>
          <w:vertAlign w:val="superscript"/>
          <w:rtl/>
        </w:rPr>
        <w:t>(</w:t>
      </w:r>
      <w:r w:rsidRPr="0063006E">
        <w:rPr>
          <w:vertAlign w:val="superscript"/>
          <w:rtl/>
        </w:rPr>
        <w:footnoteReference w:id="2156"/>
      </w:r>
      <w:r w:rsidRPr="0063006E">
        <w:rPr>
          <w:vertAlign w:val="superscript"/>
          <w:rtl/>
        </w:rPr>
        <w:t>)</w:t>
      </w:r>
      <w:r w:rsidRPr="0063006E">
        <w:rPr>
          <w:rFonts w:ascii="Traditional Arabic" w:hAnsi="Traditional Arabic"/>
          <w:rtl/>
        </w:rPr>
        <w:t>بالأيام وقد يجوز أن يولد ليلاً ويموت ليلاً؟ فالجواب: أن المراد باليوم الحِين والوقت، على ما بيّنا في قوله:</w:t>
      </w:r>
      <w:r w:rsidRPr="0063006E">
        <w:rPr>
          <w:rFonts w:ascii="QCF_BSML" w:hAnsi="QCF_BSML" w:cs="QCF_BSML"/>
          <w:sz w:val="47"/>
          <w:szCs w:val="47"/>
          <w:rtl/>
          <w:lang w:eastAsia="en-US"/>
        </w:rPr>
        <w:t xml:space="preserve"> </w:t>
      </w:r>
      <w:r w:rsidRPr="0063006E">
        <w:rPr>
          <w:rFonts w:ascii="QCF_BSML" w:hAnsi="QCF_BSML" w:cs="QCF_BSML"/>
          <w:sz w:val="32"/>
          <w:szCs w:val="32"/>
          <w:rtl/>
          <w:lang w:eastAsia="en-US"/>
        </w:rPr>
        <w:t>ﭽ</w:t>
      </w:r>
      <w:r w:rsidRPr="0063006E">
        <w:rPr>
          <w:rFonts w:ascii="QCF_P107" w:hAnsi="QCF_P107" w:cs="QCF_P107"/>
          <w:sz w:val="32"/>
          <w:szCs w:val="32"/>
          <w:rtl/>
          <w:lang w:eastAsia="en-US"/>
        </w:rPr>
        <w:t>ﭼﭽ  ﭾ</w:t>
      </w:r>
      <w:r w:rsidRPr="0063006E">
        <w:rPr>
          <w:rFonts w:ascii="QCF_BSML" w:hAnsi="QCF_BSML" w:cs="QCF_BSML"/>
          <w:sz w:val="32"/>
          <w:szCs w:val="32"/>
          <w:rtl/>
          <w:lang w:eastAsia="en-US"/>
        </w:rPr>
        <w:t>ﭼ</w:t>
      </w:r>
      <w:r w:rsidRPr="0063006E">
        <w:rPr>
          <w:rFonts w:ascii="Traditional Arabic" w:hAnsi="Traditional Arabic"/>
          <w:color w:val="auto"/>
          <w:sz w:val="32"/>
          <w:szCs w:val="32"/>
          <w:rtl/>
          <w:lang w:eastAsia="en-US"/>
        </w:rPr>
        <w:t>[المائدة:٣]</w:t>
      </w:r>
      <w:r w:rsidRPr="0063006E">
        <w:rPr>
          <w:vertAlign w:val="superscript"/>
          <w:rtl/>
        </w:rPr>
        <w:t>(</w:t>
      </w:r>
      <w:r w:rsidRPr="0063006E">
        <w:rPr>
          <w:vertAlign w:val="superscript"/>
          <w:rtl/>
        </w:rPr>
        <w:footnoteReference w:id="2157"/>
      </w:r>
      <w:r w:rsidRPr="0063006E">
        <w:rPr>
          <w:vertAlign w:val="superscript"/>
          <w:rtl/>
        </w:rPr>
        <w:t>)</w:t>
      </w:r>
      <w:r w:rsidRPr="0063006E">
        <w:rPr>
          <w:rFonts w:ascii="Arial" w:hAnsi="Arial" w:cs="Arial"/>
          <w:sz w:val="18"/>
          <w:szCs w:val="18"/>
          <w:rtl/>
          <w:lang w:eastAsia="en-US"/>
        </w:rPr>
        <w:t xml:space="preserve"> </w:t>
      </w:r>
      <w:r w:rsidRPr="0063006E">
        <w:rPr>
          <w:vertAlign w:val="superscript"/>
          <w:rtl/>
        </w:rPr>
        <w:t>(</w:t>
      </w:r>
      <w:r w:rsidRPr="0063006E">
        <w:rPr>
          <w:vertAlign w:val="superscript"/>
          <w:rtl/>
        </w:rPr>
        <w:footnoteReference w:id="2158"/>
      </w:r>
      <w:r w:rsidRPr="0063006E">
        <w:rPr>
          <w:vertAlign w:val="superscript"/>
          <w:rtl/>
        </w:rPr>
        <w:t>)</w:t>
      </w:r>
      <w:r w:rsidRPr="0063006E">
        <w:rPr>
          <w:rFonts w:ascii="Traditional Arabic" w:hAnsi="Traditional Arabic"/>
          <w:color w:val="auto"/>
          <w:sz w:val="32"/>
          <w:szCs w:val="32"/>
          <w:rtl/>
        </w:rPr>
        <w:t xml:space="preserve">. </w:t>
      </w:r>
      <w:r w:rsidRPr="0063006E">
        <w:rPr>
          <w:rFonts w:ascii="Traditional Arabic" w:hAnsi="Traditional Arabic"/>
          <w:rtl/>
        </w:rPr>
        <w:t>قال ابن عباس:</w:t>
      </w:r>
      <w:r w:rsidRPr="0063006E">
        <w:rPr>
          <w:rFonts w:ascii="QCF_P306" w:hAnsi="QCF_P306" w:cs="QCF_P306"/>
          <w:color w:val="auto"/>
          <w:sz w:val="32"/>
          <w:szCs w:val="32"/>
          <w:rtl/>
          <w:lang w:eastAsia="en-US"/>
        </w:rPr>
        <w:t xml:space="preserve"> </w:t>
      </w:r>
      <w:r w:rsidRPr="0063006E">
        <w:rPr>
          <w:rFonts w:ascii="Traditional Arabic" w:hAnsi="Traditional Arabic" w:hint="cs"/>
          <w:rtl/>
        </w:rPr>
        <w:t xml:space="preserve"> </w:t>
      </w:r>
      <w:r w:rsidRPr="0063006E">
        <w:rPr>
          <w:rFonts w:ascii="Traditional Arabic" w:hAnsi="Traditional Arabic"/>
          <w:rtl/>
        </w:rPr>
        <w:t>وسلام عليه حين وُلد</w:t>
      </w:r>
      <w:r w:rsidRPr="0063006E">
        <w:rPr>
          <w:vertAlign w:val="superscript"/>
          <w:rtl/>
        </w:rPr>
        <w:t>(</w:t>
      </w:r>
      <w:r w:rsidRPr="0063006E">
        <w:rPr>
          <w:vertAlign w:val="superscript"/>
          <w:rtl/>
        </w:rPr>
        <w:footnoteReference w:id="2159"/>
      </w:r>
      <w:r w:rsidRPr="0063006E">
        <w:rPr>
          <w:vertAlign w:val="superscript"/>
          <w:rtl/>
        </w:rPr>
        <w:t>)</w:t>
      </w:r>
      <w:r w:rsidRPr="0063006E">
        <w:rPr>
          <w:rFonts w:ascii="Traditional Arabic" w:hAnsi="Traditional Arabic"/>
          <w:rtl/>
        </w:rPr>
        <w:t>. وقال الحسن البصري: التقى يحيى وعيسى، فقال يحيى لعيسى: أنتَ خير مني، فقال عيسى ليحيى: بل أنت خير مني، سلَّم الله عليك، وأنا سلَّمتُ على نفسي</w:t>
      </w:r>
      <w:r w:rsidRPr="0063006E">
        <w:rPr>
          <w:vertAlign w:val="superscript"/>
          <w:rtl/>
        </w:rPr>
        <w:t>(</w:t>
      </w:r>
      <w:r w:rsidRPr="0063006E">
        <w:rPr>
          <w:vertAlign w:val="superscript"/>
          <w:rtl/>
        </w:rPr>
        <w:footnoteReference w:id="2160"/>
      </w:r>
      <w:r w:rsidRPr="0063006E">
        <w:rPr>
          <w:vertAlign w:val="superscript"/>
          <w:rtl/>
        </w:rPr>
        <w:t>)</w:t>
      </w:r>
      <w:r w:rsidRPr="0063006E">
        <w:rPr>
          <w:rFonts w:ascii="Traditional Arabic" w:hAnsi="Traditional Arabic"/>
          <w:rtl/>
        </w:rPr>
        <w:t xml:space="preserve">. وقال سعيد بن جبير مثله، إِلا </w:t>
      </w:r>
      <w:r w:rsidRPr="0063006E">
        <w:rPr>
          <w:rFonts w:ascii="Traditional Arabic" w:hAnsi="Traditional Arabic"/>
          <w:rtl/>
        </w:rPr>
        <w:lastRenderedPageBreak/>
        <w:t>أنه قال: أثنى الله عليك، وأنا أثنيت على نفسي</w:t>
      </w:r>
      <w:r w:rsidRPr="0063006E">
        <w:rPr>
          <w:vertAlign w:val="superscript"/>
          <w:rtl/>
        </w:rPr>
        <w:t>(</w:t>
      </w:r>
      <w:r w:rsidRPr="0063006E">
        <w:rPr>
          <w:vertAlign w:val="superscript"/>
          <w:rtl/>
        </w:rPr>
        <w:footnoteReference w:id="2161"/>
      </w:r>
      <w:r w:rsidRPr="0063006E">
        <w:rPr>
          <w:vertAlign w:val="superscript"/>
          <w:rtl/>
        </w:rPr>
        <w:t>)</w:t>
      </w:r>
      <w:r w:rsidRPr="0063006E">
        <w:rPr>
          <w:rFonts w:ascii="Traditional Arabic" w:hAnsi="Traditional Arabic"/>
          <w:rtl/>
        </w:rPr>
        <w:t>.</w:t>
      </w:r>
      <w:r w:rsidR="002F0380">
        <w:rPr>
          <w:rFonts w:ascii="Traditional Arabic" w:hAnsi="Traditional Arabic" w:hint="cs"/>
          <w:rtl/>
        </w:rPr>
        <w:t xml:space="preserve"> </w:t>
      </w:r>
      <w:r w:rsidRPr="0063006E">
        <w:rPr>
          <w:rFonts w:ascii="Traditional Arabic" w:hAnsi="Traditional Arabic"/>
          <w:rtl/>
        </w:rPr>
        <w:t>وقال سفيان بن</w:t>
      </w:r>
      <w:r w:rsidR="0052736E" w:rsidRPr="0052736E">
        <w:rPr>
          <w:rFonts w:ascii="Traditional Arabic" w:hAnsi="Traditional Arabic"/>
          <w:color w:val="auto"/>
          <w:rtl/>
        </w:rPr>
        <w:t xml:space="preserve"> عُيَيْنَةَ</w:t>
      </w:r>
      <w:r w:rsidRPr="0063006E">
        <w:rPr>
          <w:vertAlign w:val="superscript"/>
          <w:rtl/>
        </w:rPr>
        <w:t>(</w:t>
      </w:r>
      <w:r w:rsidRPr="0063006E">
        <w:rPr>
          <w:vertAlign w:val="superscript"/>
          <w:rtl/>
        </w:rPr>
        <w:footnoteReference w:id="2162"/>
      </w:r>
      <w:r w:rsidRPr="0063006E">
        <w:rPr>
          <w:vertAlign w:val="superscript"/>
          <w:rtl/>
        </w:rPr>
        <w:t>)</w:t>
      </w:r>
      <w:r w:rsidRPr="0063006E">
        <w:rPr>
          <w:rFonts w:ascii="Traditional Arabic" w:hAnsi="Traditional Arabic"/>
          <w:rtl/>
        </w:rPr>
        <w:t>: أوحش ما يكون الإِنسان في ثلاثة مواطن، يوم يولد</w:t>
      </w:r>
      <w:r w:rsidRPr="0063006E">
        <w:rPr>
          <w:vertAlign w:val="superscript"/>
          <w:rtl/>
        </w:rPr>
        <w:t>(</w:t>
      </w:r>
      <w:r w:rsidRPr="0063006E">
        <w:rPr>
          <w:vertAlign w:val="superscript"/>
          <w:rtl/>
        </w:rPr>
        <w:footnoteReference w:id="2163"/>
      </w:r>
      <w:r w:rsidRPr="0063006E">
        <w:rPr>
          <w:vertAlign w:val="superscript"/>
          <w:rtl/>
        </w:rPr>
        <w:t>)</w:t>
      </w:r>
      <w:r w:rsidRPr="0063006E">
        <w:rPr>
          <w:rFonts w:ascii="Traditional Arabic" w:hAnsi="Traditional Arabic"/>
          <w:rtl/>
        </w:rPr>
        <w:t>فيرى نفسه خارجاً مما كان فيه، ويوم يموت فيرى قوماً لم يكن عاينهم، ويوم يُبعث فيرى نفسه في محشر لم يره، فخص الله تعالى يحيى فيها بالكرامة والسّلامة في المواطن الثلاثة</w:t>
      </w:r>
      <w:r w:rsidRPr="0063006E">
        <w:rPr>
          <w:vertAlign w:val="superscript"/>
          <w:rtl/>
        </w:rPr>
        <w:t>(</w:t>
      </w:r>
      <w:r w:rsidRPr="0063006E">
        <w:rPr>
          <w:vertAlign w:val="superscript"/>
          <w:rtl/>
        </w:rPr>
        <w:footnoteReference w:id="2164"/>
      </w:r>
      <w:r w:rsidRPr="0063006E">
        <w:rPr>
          <w:vertAlign w:val="superscript"/>
          <w:rtl/>
        </w:rPr>
        <w:t>)</w:t>
      </w:r>
      <w:r w:rsidRPr="0063006E">
        <w:rPr>
          <w:rFonts w:ascii="Traditional Arabic" w:hAnsi="Traditional Arabic"/>
          <w:rtl/>
        </w:rPr>
        <w:t>.</w:t>
      </w:r>
    </w:p>
    <w:p w:rsidR="0063006E" w:rsidRPr="0063006E" w:rsidRDefault="0063006E" w:rsidP="0063006E">
      <w:pPr>
        <w:ind w:firstLine="0"/>
        <w:rPr>
          <w:rFonts w:ascii="Traditional Arabic" w:hAnsi="Traditional Arabic"/>
          <w:rtl/>
        </w:rPr>
      </w:pPr>
    </w:p>
    <w:p w:rsidR="0063006E" w:rsidRPr="0063006E" w:rsidRDefault="0063006E" w:rsidP="0063006E">
      <w:pPr>
        <w:ind w:firstLine="0"/>
        <w:rPr>
          <w:rFonts w:ascii="Traditional Arabic" w:hAnsi="Traditional Arabic"/>
          <w:color w:val="auto"/>
          <w:sz w:val="32"/>
          <w:szCs w:val="32"/>
          <w:rtl/>
        </w:rPr>
      </w:pPr>
      <w:r w:rsidRPr="0063006E">
        <w:rPr>
          <w:rFonts w:ascii="QCF_BSML" w:hAnsi="QCF_BSML" w:cs="QCF_BSML"/>
          <w:color w:val="auto"/>
          <w:sz w:val="32"/>
          <w:szCs w:val="32"/>
          <w:rtl/>
          <w:lang w:eastAsia="en-US"/>
        </w:rPr>
        <w:t xml:space="preserve">ﭽ </w:t>
      </w:r>
      <w:r w:rsidRPr="0063006E">
        <w:rPr>
          <w:rFonts w:ascii="QCF_P306" w:hAnsi="QCF_P306" w:cs="QCF_P306"/>
          <w:color w:val="auto"/>
          <w:sz w:val="32"/>
          <w:szCs w:val="32"/>
          <w:rtl/>
          <w:lang w:eastAsia="en-US"/>
        </w:rPr>
        <w:t xml:space="preserve">ﭳ  ﭴ  ﭵ   ﭶ  ﭷ  ﭸ     ﭹ  ﭺ  ﭻ  ﭼ  ﭽ  ﭾ  ﭿ  ﮀ  ﮁ   ﮂ   ﮃ      ﮄ  ﮅ  ﮆ  ﮇ   ﮈ  ﮉ  ﮊ  ﮋ       ﮌ  ﮍ  ﮎ  ﮏ  ﮐ           ﮑ  ﮒ  ﮓ  ﮔ   ﮕ  ﮖ   ﮗ  ﮘ  ﮙ  ﮚ  ﮛ  ﮜ  ﮝ  ﮞ  ﮟ  ﮠ   ﮡ  ﮢ  ﮣ  ﮤ    ﮥ  ﮦ  ﮧ  ﮨ  ﮩ  ﮪ                ﮫ  ﮬ  ﮭ    ﮮ  ﮯﮰ  ﮱ  ﯓ  ﯔ  ﯕ    ﯖﯗ  ﯘ  ﯙ  ﯚ  ﯛ  </w:t>
      </w:r>
      <w:r w:rsidRPr="0063006E">
        <w:rPr>
          <w:rFonts w:ascii="QCF_BSML" w:hAnsi="QCF_BSML" w:cs="QCF_BSML"/>
          <w:color w:val="auto"/>
          <w:sz w:val="32"/>
          <w:szCs w:val="32"/>
          <w:rtl/>
          <w:lang w:eastAsia="en-US"/>
        </w:rPr>
        <w:t>ﭼ</w:t>
      </w:r>
      <w:r w:rsidRPr="0063006E">
        <w:rPr>
          <w:rFonts w:ascii="Arial" w:hAnsi="Arial" w:cs="Arial"/>
          <w:color w:val="auto"/>
          <w:sz w:val="32"/>
          <w:szCs w:val="32"/>
          <w:rtl/>
          <w:lang w:eastAsia="en-US"/>
        </w:rPr>
        <w:t xml:space="preserve"> </w:t>
      </w:r>
      <w:r w:rsidRPr="0063006E">
        <w:rPr>
          <w:rFonts w:ascii="Traditional Arabic" w:hAnsi="Traditional Arabic"/>
          <w:rtl/>
        </w:rPr>
        <w:t xml:space="preserve">قوله تعالى: </w:t>
      </w:r>
      <w:r w:rsidRPr="0063006E">
        <w:rPr>
          <w:rFonts w:ascii="QCF_BSML" w:hAnsi="QCF_BSML" w:cs="QCF_BSML"/>
          <w:color w:val="auto"/>
          <w:sz w:val="32"/>
          <w:szCs w:val="32"/>
          <w:rtl/>
          <w:lang w:eastAsia="en-US"/>
        </w:rPr>
        <w:t xml:space="preserve">ﭽ </w:t>
      </w:r>
      <w:r w:rsidRPr="0063006E">
        <w:rPr>
          <w:rFonts w:ascii="QCF_P306" w:hAnsi="QCF_P306" w:cs="QCF_P306"/>
          <w:color w:val="auto"/>
          <w:sz w:val="32"/>
          <w:szCs w:val="32"/>
          <w:rtl/>
          <w:lang w:eastAsia="en-US"/>
        </w:rPr>
        <w:t>ﭳ  ﭴ  ﭵ</w:t>
      </w:r>
      <w:r w:rsidRPr="0063006E">
        <w:rPr>
          <w:rFonts w:ascii="QCF_BSML" w:hAnsi="QCF_BSML" w:cs="QCF_BSML"/>
          <w:color w:val="auto"/>
          <w:sz w:val="32"/>
          <w:szCs w:val="32"/>
          <w:rtl/>
          <w:lang w:eastAsia="en-US"/>
        </w:rPr>
        <w:t xml:space="preserve"> ﭼ</w:t>
      </w:r>
      <w:r w:rsidRPr="0063006E">
        <w:rPr>
          <w:rFonts w:ascii="QCF_P306" w:hAnsi="QCF_P306" w:cs="QCF_P306"/>
          <w:color w:val="auto"/>
          <w:sz w:val="32"/>
          <w:szCs w:val="32"/>
          <w:rtl/>
          <w:lang w:eastAsia="en-US"/>
        </w:rPr>
        <w:t xml:space="preserve">   </w:t>
      </w:r>
      <w:r w:rsidRPr="0063006E">
        <w:rPr>
          <w:rFonts w:ascii="Traditional Arabic" w:hAnsi="Traditional Arabic"/>
          <w:rtl/>
        </w:rPr>
        <w:t>يعني: القرآن</w:t>
      </w:r>
      <w:r w:rsidRPr="0063006E">
        <w:rPr>
          <w:rFonts w:ascii="QCF_BSML" w:hAnsi="QCF_BSML" w:cs="QCF_BSML"/>
          <w:color w:val="auto"/>
          <w:sz w:val="32"/>
          <w:szCs w:val="32"/>
          <w:rtl/>
          <w:lang w:eastAsia="en-US"/>
        </w:rPr>
        <w:t xml:space="preserve"> ﭽ</w:t>
      </w:r>
      <w:r w:rsidRPr="0063006E">
        <w:rPr>
          <w:rFonts w:ascii="QCF_P306" w:hAnsi="QCF_P306" w:cs="QCF_P306"/>
          <w:color w:val="auto"/>
          <w:sz w:val="32"/>
          <w:szCs w:val="32"/>
          <w:rtl/>
          <w:lang w:eastAsia="en-US"/>
        </w:rPr>
        <w:t>ﭶ  ﭷ  ﭸ</w:t>
      </w:r>
      <w:r w:rsidRPr="0063006E">
        <w:rPr>
          <w:rFonts w:ascii="QCF_BSML" w:hAnsi="QCF_BSML" w:cs="QCF_BSML"/>
          <w:color w:val="auto"/>
          <w:sz w:val="32"/>
          <w:szCs w:val="32"/>
          <w:rtl/>
          <w:lang w:eastAsia="en-US"/>
        </w:rPr>
        <w:t xml:space="preserve"> ﭼ</w:t>
      </w:r>
      <w:r w:rsidRPr="0063006E">
        <w:rPr>
          <w:rFonts w:ascii="QCF_P306" w:hAnsi="QCF_P306" w:cs="QCF_P306"/>
          <w:color w:val="auto"/>
          <w:sz w:val="32"/>
          <w:szCs w:val="32"/>
          <w:rtl/>
          <w:lang w:eastAsia="en-US"/>
        </w:rPr>
        <w:t xml:space="preserve">     </w:t>
      </w:r>
      <w:r w:rsidRPr="0063006E">
        <w:rPr>
          <w:rFonts w:ascii="Traditional Arabic" w:hAnsi="Traditional Arabic"/>
          <w:rtl/>
        </w:rPr>
        <w:t xml:space="preserve">قال أبو عبيدة: تنحَّت واعتزلت </w:t>
      </w:r>
      <w:r w:rsidRPr="0063006E">
        <w:rPr>
          <w:rFonts w:ascii="QCF_BSML" w:hAnsi="QCF_BSML" w:cs="QCF_BSML"/>
          <w:color w:val="auto"/>
          <w:sz w:val="32"/>
          <w:szCs w:val="32"/>
          <w:rtl/>
          <w:lang w:eastAsia="en-US"/>
        </w:rPr>
        <w:t>ﭽ</w:t>
      </w:r>
      <w:r w:rsidRPr="0063006E">
        <w:rPr>
          <w:rFonts w:ascii="QCF_P306" w:hAnsi="QCF_P306" w:cs="QCF_P306" w:hint="cs"/>
          <w:color w:val="auto"/>
          <w:sz w:val="32"/>
          <w:szCs w:val="32"/>
          <w:rtl/>
          <w:lang w:eastAsia="en-US"/>
        </w:rPr>
        <w:t xml:space="preserve"> </w:t>
      </w:r>
      <w:r w:rsidRPr="0063006E">
        <w:rPr>
          <w:rFonts w:ascii="QCF_P306" w:hAnsi="QCF_P306" w:cs="QCF_P306"/>
          <w:color w:val="auto"/>
          <w:sz w:val="32"/>
          <w:szCs w:val="32"/>
          <w:rtl/>
          <w:lang w:eastAsia="en-US"/>
        </w:rPr>
        <w:t>ﭻ  ﭼ</w:t>
      </w:r>
      <w:r w:rsidRPr="0063006E">
        <w:rPr>
          <w:rFonts w:ascii="QCF_BSML" w:hAnsi="QCF_BSML" w:cs="QCF_BSML"/>
          <w:color w:val="auto"/>
          <w:sz w:val="32"/>
          <w:szCs w:val="32"/>
          <w:rtl/>
          <w:lang w:eastAsia="en-US"/>
        </w:rPr>
        <w:t xml:space="preserve"> ﭼ</w:t>
      </w:r>
      <w:r w:rsidRPr="0063006E">
        <w:rPr>
          <w:rFonts w:ascii="QCF_P306" w:hAnsi="QCF_P306" w:cs="QCF_P306"/>
          <w:color w:val="auto"/>
          <w:sz w:val="32"/>
          <w:szCs w:val="32"/>
          <w:rtl/>
          <w:lang w:eastAsia="en-US"/>
        </w:rPr>
        <w:t xml:space="preserve">  </w:t>
      </w:r>
      <w:r w:rsidRPr="0063006E">
        <w:rPr>
          <w:rFonts w:ascii="Traditional Arabic" w:hAnsi="Traditional Arabic" w:hint="cs"/>
          <w:rtl/>
        </w:rPr>
        <w:t xml:space="preserve"> </w:t>
      </w:r>
      <w:r w:rsidRPr="0063006E">
        <w:rPr>
          <w:rFonts w:ascii="Traditional Arabic" w:hAnsi="Traditional Arabic"/>
          <w:rtl/>
        </w:rPr>
        <w:t>مما يلي المشرق، وهو عند العرب خير من الغربيّ</w:t>
      </w:r>
      <w:r w:rsidRPr="0063006E">
        <w:rPr>
          <w:vertAlign w:val="superscript"/>
          <w:rtl/>
        </w:rPr>
        <w:t>(</w:t>
      </w:r>
      <w:r w:rsidRPr="0063006E">
        <w:rPr>
          <w:vertAlign w:val="superscript"/>
          <w:rtl/>
        </w:rPr>
        <w:footnoteReference w:id="2165"/>
      </w:r>
      <w:r w:rsidRPr="0063006E">
        <w:rPr>
          <w:vertAlign w:val="superscript"/>
          <w:rtl/>
        </w:rPr>
        <w:t>)</w:t>
      </w:r>
      <w:r w:rsidRPr="0063006E">
        <w:rPr>
          <w:rFonts w:ascii="Traditional Arabic" w:hAnsi="Traditional Arabic"/>
          <w:rtl/>
        </w:rPr>
        <w:t xml:space="preserve">. قوله تعالى: </w:t>
      </w:r>
      <w:r w:rsidRPr="0063006E">
        <w:rPr>
          <w:rFonts w:ascii="QCF_BSML" w:hAnsi="QCF_BSML" w:cs="QCF_BSML"/>
          <w:color w:val="auto"/>
          <w:sz w:val="32"/>
          <w:szCs w:val="32"/>
          <w:rtl/>
          <w:lang w:eastAsia="en-US"/>
        </w:rPr>
        <w:t>ﭽ</w:t>
      </w:r>
      <w:r w:rsidRPr="0063006E">
        <w:rPr>
          <w:rFonts w:ascii="QCF_P306" w:hAnsi="QCF_P306" w:cs="QCF_P306"/>
          <w:color w:val="auto"/>
          <w:sz w:val="32"/>
          <w:szCs w:val="32"/>
          <w:rtl/>
          <w:lang w:eastAsia="en-US"/>
        </w:rPr>
        <w:t>ﭾ  ﭿ  ﮀ</w:t>
      </w:r>
      <w:r w:rsidRPr="0063006E">
        <w:rPr>
          <w:rFonts w:ascii="QCF_BSML" w:hAnsi="QCF_BSML" w:cs="QCF_BSML"/>
          <w:color w:val="auto"/>
          <w:sz w:val="32"/>
          <w:szCs w:val="32"/>
          <w:rtl/>
          <w:lang w:eastAsia="en-US"/>
        </w:rPr>
        <w:t xml:space="preserve"> ﭼ</w:t>
      </w:r>
      <w:r w:rsidRPr="0063006E">
        <w:rPr>
          <w:rFonts w:ascii="QCF_P306" w:hAnsi="QCF_P306" w:cs="QCF_P306"/>
          <w:color w:val="auto"/>
          <w:sz w:val="32"/>
          <w:szCs w:val="32"/>
          <w:rtl/>
          <w:lang w:eastAsia="en-US"/>
        </w:rPr>
        <w:t xml:space="preserve">  </w:t>
      </w:r>
      <w:r w:rsidRPr="0063006E">
        <w:rPr>
          <w:rFonts w:ascii="Traditional Arabic" w:hAnsi="Traditional Arabic"/>
          <w:rtl/>
        </w:rPr>
        <w:t xml:space="preserve">يعني أهلها </w:t>
      </w:r>
      <w:r w:rsidRPr="0063006E">
        <w:rPr>
          <w:rFonts w:ascii="QCF_BSML" w:hAnsi="QCF_BSML" w:cs="QCF_BSML"/>
          <w:color w:val="auto"/>
          <w:sz w:val="32"/>
          <w:szCs w:val="32"/>
          <w:rtl/>
          <w:lang w:eastAsia="en-US"/>
        </w:rPr>
        <w:t>ﭽ</w:t>
      </w:r>
      <w:r w:rsidRPr="0063006E">
        <w:rPr>
          <w:rFonts w:ascii="QCF_P306" w:hAnsi="QCF_P306" w:cs="QCF_P306"/>
          <w:color w:val="auto"/>
          <w:sz w:val="32"/>
          <w:szCs w:val="32"/>
          <w:rtl/>
          <w:lang w:eastAsia="en-US"/>
        </w:rPr>
        <w:t xml:space="preserve"> ﮁ </w:t>
      </w:r>
      <w:r w:rsidRPr="0063006E">
        <w:rPr>
          <w:rFonts w:ascii="QCF_BSML" w:hAnsi="QCF_BSML" w:cs="QCF_BSML"/>
          <w:color w:val="auto"/>
          <w:sz w:val="32"/>
          <w:szCs w:val="32"/>
          <w:rtl/>
          <w:lang w:eastAsia="en-US"/>
        </w:rPr>
        <w:t>ﭼ</w:t>
      </w:r>
      <w:r w:rsidRPr="0063006E">
        <w:rPr>
          <w:rFonts w:ascii="QCF_P306" w:hAnsi="QCF_P306" w:cs="QCF_P306"/>
          <w:color w:val="auto"/>
          <w:sz w:val="32"/>
          <w:szCs w:val="32"/>
          <w:rtl/>
          <w:lang w:eastAsia="en-US"/>
        </w:rPr>
        <w:t xml:space="preserve"> </w:t>
      </w:r>
      <w:r w:rsidRPr="0063006E">
        <w:rPr>
          <w:rFonts w:ascii="Traditional Arabic" w:hAnsi="Traditional Arabic"/>
          <w:rtl/>
        </w:rPr>
        <w:t>أي: ستراً وحاجزاً، وفيه ثلاثة أقوال: أحدها: أنها ضربت ستراً، قاله أبو صالح عن ابن عباس</w:t>
      </w:r>
      <w:r w:rsidRPr="0063006E">
        <w:rPr>
          <w:vertAlign w:val="superscript"/>
          <w:rtl/>
        </w:rPr>
        <w:t>(</w:t>
      </w:r>
      <w:r w:rsidRPr="0063006E">
        <w:rPr>
          <w:vertAlign w:val="superscript"/>
          <w:rtl/>
        </w:rPr>
        <w:footnoteReference w:id="2166"/>
      </w:r>
      <w:r w:rsidRPr="0063006E">
        <w:rPr>
          <w:vertAlign w:val="superscript"/>
          <w:rtl/>
        </w:rPr>
        <w:t>)</w:t>
      </w:r>
      <w:r w:rsidRPr="0063006E">
        <w:rPr>
          <w:rFonts w:ascii="Traditional Arabic" w:hAnsi="Traditional Arabic"/>
          <w:rtl/>
        </w:rPr>
        <w:t xml:space="preserve">. والثاني: أن الشمس أظلَّتْها، </w:t>
      </w:r>
      <w:r w:rsidRPr="0063006E">
        <w:rPr>
          <w:rFonts w:ascii="Traditional Arabic" w:hAnsi="Traditional Arabic"/>
          <w:rtl/>
        </w:rPr>
        <w:lastRenderedPageBreak/>
        <w:t>فلم يرها أحد منهم، وذلك مما سترها الله به، وروي هذا المعنى عن ابن عباس أيضاً</w:t>
      </w:r>
      <w:r w:rsidRPr="0063006E">
        <w:rPr>
          <w:vertAlign w:val="superscript"/>
          <w:rtl/>
        </w:rPr>
        <w:t>(</w:t>
      </w:r>
      <w:r w:rsidRPr="0063006E">
        <w:rPr>
          <w:vertAlign w:val="superscript"/>
          <w:rtl/>
        </w:rPr>
        <w:footnoteReference w:id="2167"/>
      </w:r>
      <w:r w:rsidRPr="0063006E">
        <w:rPr>
          <w:vertAlign w:val="superscript"/>
          <w:rtl/>
        </w:rPr>
        <w:t>)</w:t>
      </w:r>
      <w:r w:rsidRPr="0063006E">
        <w:rPr>
          <w:rFonts w:ascii="Traditional Arabic" w:hAnsi="Traditional Arabic"/>
          <w:rtl/>
        </w:rPr>
        <w:t>. والثالث: أنها اتخذت حجاباً من الجدران، قاله السدي عن أشياخه</w:t>
      </w:r>
      <w:r w:rsidRPr="0063006E">
        <w:rPr>
          <w:vertAlign w:val="superscript"/>
          <w:rtl/>
        </w:rPr>
        <w:t>(</w:t>
      </w:r>
      <w:r w:rsidRPr="0063006E">
        <w:rPr>
          <w:vertAlign w:val="superscript"/>
          <w:rtl/>
        </w:rPr>
        <w:footnoteReference w:id="2168"/>
      </w:r>
      <w:r w:rsidRPr="0063006E">
        <w:rPr>
          <w:vertAlign w:val="superscript"/>
          <w:rtl/>
        </w:rPr>
        <w:t>)</w:t>
      </w:r>
      <w:r w:rsidRPr="0063006E">
        <w:rPr>
          <w:rFonts w:ascii="Traditional Arabic" w:hAnsi="Traditional Arabic" w:hint="cs"/>
          <w:rtl/>
        </w:rPr>
        <w:t>,</w:t>
      </w:r>
      <w:r w:rsidRPr="0063006E">
        <w:rPr>
          <w:rFonts w:ascii="Traditional Arabic" w:hAnsi="Traditional Arabic"/>
          <w:rtl/>
        </w:rPr>
        <w:t xml:space="preserve"> وفي سبب انفرادها عنهم قولان: أحدهما: انفردت</w:t>
      </w:r>
      <w:r w:rsidRPr="0063006E">
        <w:rPr>
          <w:vertAlign w:val="superscript"/>
          <w:rtl/>
        </w:rPr>
        <w:t>(</w:t>
      </w:r>
      <w:r w:rsidRPr="0063006E">
        <w:rPr>
          <w:vertAlign w:val="superscript"/>
          <w:rtl/>
        </w:rPr>
        <w:footnoteReference w:id="2169"/>
      </w:r>
      <w:r w:rsidRPr="0063006E">
        <w:rPr>
          <w:vertAlign w:val="superscript"/>
          <w:rtl/>
        </w:rPr>
        <w:t>)</w:t>
      </w:r>
      <w:r w:rsidRPr="0063006E">
        <w:rPr>
          <w:rFonts w:ascii="Traditional Arabic" w:hAnsi="Traditional Arabic"/>
          <w:rtl/>
        </w:rPr>
        <w:t>لتطهر من الحيض وتمتشط، قاله ابن عباس</w:t>
      </w:r>
      <w:r w:rsidRPr="0063006E">
        <w:rPr>
          <w:vertAlign w:val="superscript"/>
          <w:rtl/>
        </w:rPr>
        <w:t>(</w:t>
      </w:r>
      <w:r w:rsidRPr="0063006E">
        <w:rPr>
          <w:vertAlign w:val="superscript"/>
          <w:rtl/>
        </w:rPr>
        <w:footnoteReference w:id="2170"/>
      </w:r>
      <w:r w:rsidRPr="0063006E">
        <w:rPr>
          <w:vertAlign w:val="superscript"/>
          <w:rtl/>
        </w:rPr>
        <w:t>)</w:t>
      </w:r>
      <w:r w:rsidR="0052736E">
        <w:rPr>
          <w:rFonts w:ascii="Traditional Arabic" w:hAnsi="Traditional Arabic"/>
          <w:rtl/>
        </w:rPr>
        <w:t>. والثاني: لتفل</w:t>
      </w:r>
      <w:r w:rsidRPr="0063006E">
        <w:rPr>
          <w:rFonts w:ascii="Traditional Arabic" w:hAnsi="Traditional Arabic"/>
          <w:rtl/>
        </w:rPr>
        <w:t>ي رأسها، قاله عطاء</w:t>
      </w:r>
      <w:r w:rsidRPr="0063006E">
        <w:rPr>
          <w:vertAlign w:val="superscript"/>
          <w:rtl/>
        </w:rPr>
        <w:t>(</w:t>
      </w:r>
      <w:r w:rsidRPr="0063006E">
        <w:rPr>
          <w:vertAlign w:val="superscript"/>
          <w:rtl/>
        </w:rPr>
        <w:footnoteReference w:id="2171"/>
      </w:r>
      <w:r w:rsidRPr="0063006E">
        <w:rPr>
          <w:vertAlign w:val="superscript"/>
          <w:rtl/>
        </w:rPr>
        <w:t>)</w:t>
      </w:r>
      <w:r w:rsidRPr="0063006E">
        <w:rPr>
          <w:rFonts w:ascii="Traditional Arabic" w:hAnsi="Traditional Arabic"/>
          <w:rtl/>
        </w:rPr>
        <w:t>.</w:t>
      </w:r>
      <w:r w:rsidRPr="0063006E">
        <w:rPr>
          <w:rFonts w:ascii="Traditional Arabic" w:hAnsi="Traditional Arabic" w:hint="cs"/>
          <w:rtl/>
        </w:rPr>
        <w:t xml:space="preserve"> </w:t>
      </w:r>
      <w:r w:rsidRPr="0063006E">
        <w:rPr>
          <w:rFonts w:ascii="Traditional Arabic" w:hAnsi="Traditional Arabic"/>
          <w:rtl/>
        </w:rPr>
        <w:t>قوله تعالى:</w:t>
      </w:r>
      <w:r w:rsidRPr="0063006E">
        <w:rPr>
          <w:rFonts w:ascii="QCF_P306" w:hAnsi="QCF_P306" w:cs="QCF_P306"/>
          <w:color w:val="auto"/>
          <w:sz w:val="32"/>
          <w:szCs w:val="32"/>
          <w:rtl/>
          <w:lang w:eastAsia="en-US"/>
        </w:rPr>
        <w:t xml:space="preserve"> </w:t>
      </w:r>
      <w:r w:rsidRPr="0063006E">
        <w:rPr>
          <w:rFonts w:ascii="QCF_BSML" w:hAnsi="QCF_BSML" w:cs="QCF_BSML"/>
          <w:color w:val="auto"/>
          <w:sz w:val="32"/>
          <w:szCs w:val="32"/>
          <w:rtl/>
          <w:lang w:eastAsia="en-US"/>
        </w:rPr>
        <w:t>ﭽ</w:t>
      </w:r>
      <w:r w:rsidRPr="0063006E">
        <w:rPr>
          <w:rFonts w:ascii="QCF_P306" w:hAnsi="QCF_P306" w:cs="QCF_P306"/>
          <w:color w:val="auto"/>
          <w:sz w:val="32"/>
          <w:szCs w:val="32"/>
          <w:rtl/>
          <w:lang w:eastAsia="en-US"/>
        </w:rPr>
        <w:t xml:space="preserve">  ﮂ   ﮃ      ﮄ </w:t>
      </w:r>
      <w:r w:rsidRPr="0063006E">
        <w:rPr>
          <w:rFonts w:ascii="QCF_BSML" w:hAnsi="QCF_BSML" w:cs="QCF_BSML"/>
          <w:color w:val="auto"/>
          <w:sz w:val="32"/>
          <w:szCs w:val="32"/>
          <w:rtl/>
          <w:lang w:eastAsia="en-US"/>
        </w:rPr>
        <w:t>ﭼ</w:t>
      </w:r>
      <w:r w:rsidRPr="0063006E">
        <w:rPr>
          <w:rFonts w:ascii="QCF_P306" w:hAnsi="QCF_P306" w:cs="QCF_P306"/>
          <w:color w:val="auto"/>
          <w:sz w:val="32"/>
          <w:szCs w:val="32"/>
          <w:rtl/>
          <w:lang w:eastAsia="en-US"/>
        </w:rPr>
        <w:t xml:space="preserve"> </w:t>
      </w:r>
      <w:r w:rsidRPr="0063006E">
        <w:rPr>
          <w:rFonts w:ascii="Traditional Arabic" w:hAnsi="Traditional Arabic" w:hint="cs"/>
          <w:rtl/>
        </w:rPr>
        <w:t xml:space="preserve"> </w:t>
      </w:r>
      <w:r w:rsidRPr="0063006E">
        <w:rPr>
          <w:rFonts w:ascii="Traditional Arabic" w:hAnsi="Traditional Arabic"/>
          <w:rtl/>
        </w:rPr>
        <w:t>وهو جبريل في قول الجمهور</w:t>
      </w:r>
      <w:r w:rsidRPr="0063006E">
        <w:rPr>
          <w:vertAlign w:val="superscript"/>
          <w:rtl/>
        </w:rPr>
        <w:t>(</w:t>
      </w:r>
      <w:r w:rsidRPr="0063006E">
        <w:rPr>
          <w:vertAlign w:val="superscript"/>
          <w:rtl/>
        </w:rPr>
        <w:footnoteReference w:id="2172"/>
      </w:r>
      <w:r w:rsidRPr="0063006E">
        <w:rPr>
          <w:vertAlign w:val="superscript"/>
          <w:rtl/>
        </w:rPr>
        <w:t>)</w:t>
      </w:r>
      <w:r w:rsidRPr="0063006E">
        <w:rPr>
          <w:rFonts w:ascii="Traditional Arabic" w:hAnsi="Traditional Arabic"/>
          <w:rtl/>
        </w:rPr>
        <w:t>. وقال ابن الأنباري: صاحب روحنا، وهو جبريل. والرُّوح بمعنى: الرَّوْح والفرح</w:t>
      </w:r>
      <w:r w:rsidRPr="0063006E">
        <w:rPr>
          <w:vertAlign w:val="superscript"/>
          <w:rtl/>
        </w:rPr>
        <w:t>(</w:t>
      </w:r>
      <w:r w:rsidRPr="0063006E">
        <w:rPr>
          <w:vertAlign w:val="superscript"/>
          <w:rtl/>
        </w:rPr>
        <w:footnoteReference w:id="2173"/>
      </w:r>
      <w:r w:rsidRPr="0063006E">
        <w:rPr>
          <w:vertAlign w:val="superscript"/>
          <w:rtl/>
        </w:rPr>
        <w:t>)</w:t>
      </w:r>
      <w:r w:rsidRPr="0063006E">
        <w:rPr>
          <w:rFonts w:ascii="Traditional Arabic" w:hAnsi="Traditional Arabic"/>
          <w:rtl/>
        </w:rPr>
        <w:t xml:space="preserve">، ثم تضم الراء لتحقيق مذهب الاسم، وإِبطال طريق المصدر، </w:t>
      </w:r>
      <w:r w:rsidRPr="0063006E">
        <w:rPr>
          <w:rFonts w:ascii="Traditional Arabic" w:hAnsi="Traditional Arabic"/>
          <w:sz w:val="32"/>
          <w:szCs w:val="32"/>
          <w:rtl/>
        </w:rPr>
        <w:t>[</w:t>
      </w:r>
      <w:r w:rsidRPr="0063006E">
        <w:rPr>
          <w:rFonts w:ascii="Traditional Arabic" w:hAnsi="Traditional Arabic" w:hint="cs"/>
          <w:sz w:val="32"/>
          <w:szCs w:val="32"/>
          <w:rtl/>
        </w:rPr>
        <w:t>163</w:t>
      </w:r>
      <w:r w:rsidRPr="0063006E">
        <w:rPr>
          <w:rFonts w:ascii="Traditional Arabic" w:hAnsi="Traditional Arabic"/>
          <w:sz w:val="32"/>
          <w:szCs w:val="32"/>
          <w:rtl/>
        </w:rPr>
        <w:t>]</w:t>
      </w:r>
      <w:r w:rsidRPr="0063006E">
        <w:rPr>
          <w:rFonts w:ascii="Traditional Arabic" w:hAnsi="Traditional Arabic"/>
          <w:rtl/>
        </w:rPr>
        <w:t xml:space="preserve"> ويجوز أن يُراد بالرُّوح ها هنا: الوحي وجبريل صاحب الوحي</w:t>
      </w:r>
      <w:r w:rsidRPr="0063006E">
        <w:rPr>
          <w:vertAlign w:val="superscript"/>
          <w:rtl/>
        </w:rPr>
        <w:t>(</w:t>
      </w:r>
      <w:r w:rsidRPr="0063006E">
        <w:rPr>
          <w:vertAlign w:val="superscript"/>
          <w:rtl/>
        </w:rPr>
        <w:footnoteReference w:id="2174"/>
      </w:r>
      <w:r w:rsidRPr="0063006E">
        <w:rPr>
          <w:vertAlign w:val="superscript"/>
          <w:rtl/>
        </w:rPr>
        <w:t>)</w:t>
      </w:r>
      <w:r w:rsidRPr="0063006E">
        <w:rPr>
          <w:rFonts w:ascii="Traditional Arabic" w:hAnsi="Traditional Arabic"/>
          <w:rtl/>
        </w:rPr>
        <w:t>.</w:t>
      </w:r>
      <w:r w:rsidRPr="0063006E">
        <w:rPr>
          <w:rFonts w:ascii="Traditional Arabic" w:hAnsi="Traditional Arabic" w:hint="cs"/>
          <w:rtl/>
        </w:rPr>
        <w:t xml:space="preserve"> </w:t>
      </w:r>
      <w:r w:rsidRPr="0063006E">
        <w:rPr>
          <w:rFonts w:ascii="Traditional Arabic" w:hAnsi="Traditional Arabic"/>
          <w:rtl/>
        </w:rPr>
        <w:t>وفي وقت مجيئه إِليها ثلاثة أقوال: أحدها: وهي تغتسل. والثاني: بعد فراغها، ولبسها الثياب</w:t>
      </w:r>
      <w:r w:rsidRPr="0063006E">
        <w:rPr>
          <w:vertAlign w:val="superscript"/>
          <w:rtl/>
        </w:rPr>
        <w:t>(</w:t>
      </w:r>
      <w:r w:rsidRPr="0063006E">
        <w:rPr>
          <w:vertAlign w:val="superscript"/>
          <w:rtl/>
        </w:rPr>
        <w:footnoteReference w:id="2175"/>
      </w:r>
      <w:r w:rsidRPr="0063006E">
        <w:rPr>
          <w:vertAlign w:val="superscript"/>
          <w:rtl/>
        </w:rPr>
        <w:t>)</w:t>
      </w:r>
      <w:r w:rsidRPr="0063006E">
        <w:rPr>
          <w:rFonts w:ascii="Traditional Arabic" w:hAnsi="Traditional Arabic"/>
          <w:rtl/>
        </w:rPr>
        <w:t>.</w:t>
      </w:r>
      <w:r w:rsidRPr="0063006E">
        <w:rPr>
          <w:rFonts w:ascii="Traditional Arabic" w:hAnsi="Traditional Arabic" w:hint="cs"/>
          <w:rtl/>
        </w:rPr>
        <w:t xml:space="preserve"> </w:t>
      </w:r>
      <w:r w:rsidRPr="0063006E">
        <w:rPr>
          <w:rFonts w:ascii="Traditional Arabic" w:hAnsi="Traditional Arabic"/>
          <w:rtl/>
        </w:rPr>
        <w:t>والثالث: بعد دخولها بيتها</w:t>
      </w:r>
      <w:r w:rsidRPr="0063006E">
        <w:rPr>
          <w:vertAlign w:val="superscript"/>
          <w:rtl/>
        </w:rPr>
        <w:t>(</w:t>
      </w:r>
      <w:r w:rsidRPr="0063006E">
        <w:rPr>
          <w:vertAlign w:val="superscript"/>
          <w:rtl/>
        </w:rPr>
        <w:footnoteReference w:id="2176"/>
      </w:r>
      <w:r w:rsidRPr="0063006E">
        <w:rPr>
          <w:vertAlign w:val="superscript"/>
          <w:rtl/>
        </w:rPr>
        <w:t>)</w:t>
      </w:r>
      <w:r w:rsidRPr="0063006E">
        <w:rPr>
          <w:rFonts w:ascii="Traditional Arabic" w:hAnsi="Traditional Arabic"/>
          <w:rtl/>
        </w:rPr>
        <w:t xml:space="preserve">. وقد قيل: المراد بالرّوح ها هنا: </w:t>
      </w:r>
      <w:r w:rsidRPr="0063006E">
        <w:rPr>
          <w:rFonts w:ascii="Traditional Arabic" w:hAnsi="Traditional Arabic" w:hint="cs"/>
          <w:rtl/>
        </w:rPr>
        <w:t>[</w:t>
      </w:r>
      <w:r w:rsidRPr="0063006E">
        <w:rPr>
          <w:rFonts w:ascii="Traditional Arabic" w:hAnsi="Traditional Arabic"/>
          <w:rtl/>
        </w:rPr>
        <w:t>الروح</w:t>
      </w:r>
      <w:r w:rsidRPr="0063006E">
        <w:rPr>
          <w:rFonts w:ascii="Traditional Arabic" w:hAnsi="Traditional Arabic" w:hint="cs"/>
          <w:rtl/>
        </w:rPr>
        <w:t>]</w:t>
      </w:r>
      <w:r w:rsidRPr="0063006E">
        <w:rPr>
          <w:vertAlign w:val="superscript"/>
          <w:rtl/>
        </w:rPr>
        <w:t>(</w:t>
      </w:r>
      <w:r w:rsidRPr="0063006E">
        <w:rPr>
          <w:vertAlign w:val="superscript"/>
          <w:rtl/>
        </w:rPr>
        <w:footnoteReference w:id="2177"/>
      </w:r>
      <w:r w:rsidRPr="0063006E">
        <w:rPr>
          <w:vertAlign w:val="superscript"/>
          <w:rtl/>
        </w:rPr>
        <w:t>)</w:t>
      </w:r>
      <w:r w:rsidRPr="0063006E">
        <w:rPr>
          <w:rFonts w:ascii="Traditional Arabic" w:hAnsi="Traditional Arabic"/>
          <w:rtl/>
        </w:rPr>
        <w:t>الذي خُلق منه عيسى، حكاه الزجاج، والماوردي</w:t>
      </w:r>
      <w:r w:rsidRPr="0063006E">
        <w:rPr>
          <w:vertAlign w:val="superscript"/>
          <w:rtl/>
        </w:rPr>
        <w:t>(</w:t>
      </w:r>
      <w:r w:rsidRPr="0063006E">
        <w:rPr>
          <w:vertAlign w:val="superscript"/>
          <w:rtl/>
        </w:rPr>
        <w:footnoteReference w:id="2178"/>
      </w:r>
      <w:r w:rsidRPr="0063006E">
        <w:rPr>
          <w:vertAlign w:val="superscript"/>
          <w:rtl/>
        </w:rPr>
        <w:t>)</w:t>
      </w:r>
      <w:r w:rsidRPr="0063006E">
        <w:rPr>
          <w:rFonts w:ascii="Traditional Arabic" w:hAnsi="Traditional Arabic"/>
          <w:rtl/>
        </w:rPr>
        <w:t>، وهو مضمون كلام أُبيّ بن كعب فيما سنذكره عند قوله:</w:t>
      </w:r>
      <w:r w:rsidRPr="0063006E">
        <w:rPr>
          <w:rFonts w:ascii="QCF_BSML" w:hAnsi="QCF_BSML" w:cs="QCF_BSML"/>
          <w:color w:val="auto"/>
          <w:sz w:val="32"/>
          <w:szCs w:val="32"/>
          <w:rtl/>
          <w:lang w:eastAsia="en-US"/>
        </w:rPr>
        <w:t xml:space="preserve"> ﭽ</w:t>
      </w:r>
      <w:r w:rsidRPr="0063006E">
        <w:rPr>
          <w:rFonts w:ascii="QCF_P306" w:hAnsi="QCF_P306" w:cs="QCF_P306"/>
          <w:color w:val="auto"/>
          <w:sz w:val="32"/>
          <w:szCs w:val="32"/>
          <w:rtl/>
          <w:lang w:eastAsia="en-US"/>
        </w:rPr>
        <w:t>ﯝ</w:t>
      </w:r>
      <w:r w:rsidRPr="0063006E">
        <w:rPr>
          <w:rFonts w:ascii="QCF_BSML" w:hAnsi="QCF_BSML" w:cs="QCF_BSML"/>
          <w:color w:val="auto"/>
          <w:sz w:val="32"/>
          <w:szCs w:val="32"/>
          <w:rtl/>
          <w:lang w:eastAsia="en-US"/>
        </w:rPr>
        <w:t>ﭼ</w:t>
      </w:r>
      <w:r w:rsidRPr="0063006E">
        <w:rPr>
          <w:rFonts w:ascii="Traditional Arabic" w:hAnsi="Traditional Arabic"/>
          <w:rtl/>
        </w:rPr>
        <w:t xml:space="preserve"> قال ابن الأنباري: وفيه بُعد، لقوله: </w:t>
      </w:r>
      <w:r w:rsidRPr="0063006E">
        <w:rPr>
          <w:rFonts w:ascii="QCF_BSML" w:hAnsi="QCF_BSML" w:cs="QCF_BSML"/>
          <w:color w:val="auto"/>
          <w:sz w:val="32"/>
          <w:szCs w:val="32"/>
          <w:rtl/>
          <w:lang w:eastAsia="en-US"/>
        </w:rPr>
        <w:t>ﭽ</w:t>
      </w:r>
      <w:r w:rsidRPr="0063006E">
        <w:rPr>
          <w:rFonts w:ascii="QCF_P306" w:hAnsi="QCF_P306" w:cs="QCF_P306"/>
          <w:color w:val="auto"/>
          <w:sz w:val="32"/>
          <w:szCs w:val="32"/>
          <w:rtl/>
          <w:lang w:eastAsia="en-US"/>
        </w:rPr>
        <w:t xml:space="preserve"> ﮅ  ﮆ  ﮇ   ﮈ  </w:t>
      </w:r>
      <w:r w:rsidRPr="0063006E">
        <w:rPr>
          <w:rFonts w:ascii="QCF_BSML" w:hAnsi="QCF_BSML" w:cs="QCF_BSML"/>
          <w:color w:val="auto"/>
          <w:sz w:val="32"/>
          <w:szCs w:val="32"/>
          <w:rtl/>
          <w:lang w:eastAsia="en-US"/>
        </w:rPr>
        <w:t>ﭼ</w:t>
      </w:r>
      <w:r w:rsidRPr="0063006E">
        <w:rPr>
          <w:rFonts w:ascii="Traditional Arabic" w:hAnsi="Traditional Arabic"/>
          <w:rtl/>
        </w:rPr>
        <w:t xml:space="preserve"> والمعنى: تصوَّر لها في صورة البَشَر التّامّ</w:t>
      </w:r>
      <w:r w:rsidRPr="0063006E">
        <w:rPr>
          <w:rFonts w:ascii="Traditional Arabic" w:hAnsi="Traditional Arabic" w:hint="cs"/>
          <w:rtl/>
        </w:rPr>
        <w:t xml:space="preserve"> </w:t>
      </w:r>
      <w:r w:rsidRPr="0063006E">
        <w:rPr>
          <w:rFonts w:ascii="Traditional Arabic" w:hAnsi="Traditional Arabic"/>
          <w:rtl/>
        </w:rPr>
        <w:t>الخِلْقة</w:t>
      </w:r>
      <w:r w:rsidRPr="0063006E">
        <w:rPr>
          <w:vertAlign w:val="superscript"/>
          <w:rtl/>
        </w:rPr>
        <w:t>(</w:t>
      </w:r>
      <w:r w:rsidRPr="0063006E">
        <w:rPr>
          <w:vertAlign w:val="superscript"/>
          <w:rtl/>
        </w:rPr>
        <w:footnoteReference w:id="2179"/>
      </w:r>
      <w:r w:rsidRPr="0063006E">
        <w:rPr>
          <w:vertAlign w:val="superscript"/>
          <w:rtl/>
        </w:rPr>
        <w:t>)</w:t>
      </w:r>
      <w:r w:rsidRPr="0063006E">
        <w:rPr>
          <w:rFonts w:ascii="Traditional Arabic" w:hAnsi="Traditional Arabic"/>
          <w:rtl/>
        </w:rPr>
        <w:t xml:space="preserve">. وقال ابن عباس: جاءها في </w:t>
      </w:r>
      <w:r w:rsidRPr="0063006E">
        <w:rPr>
          <w:rFonts w:ascii="Traditional Arabic" w:hAnsi="Traditional Arabic"/>
          <w:rtl/>
        </w:rPr>
        <w:lastRenderedPageBreak/>
        <w:t>صورة شاب أبيض الوجه جعد قطط حين طرَّ شاربه</w:t>
      </w:r>
      <w:r w:rsidRPr="0063006E">
        <w:rPr>
          <w:vertAlign w:val="superscript"/>
          <w:rtl/>
        </w:rPr>
        <w:t>(</w:t>
      </w:r>
      <w:r w:rsidRPr="0063006E">
        <w:rPr>
          <w:vertAlign w:val="superscript"/>
          <w:rtl/>
        </w:rPr>
        <w:footnoteReference w:id="2180"/>
      </w:r>
      <w:r w:rsidRPr="0063006E">
        <w:rPr>
          <w:vertAlign w:val="superscript"/>
          <w:rtl/>
        </w:rPr>
        <w:t>)</w:t>
      </w:r>
      <w:r w:rsidRPr="0063006E">
        <w:rPr>
          <w:rFonts w:ascii="Traditional Arabic" w:hAnsi="Traditional Arabic"/>
          <w:rtl/>
        </w:rPr>
        <w:t xml:space="preserve">. وقرأ أبو نهيك </w:t>
      </w:r>
      <w:r w:rsidRPr="0063006E">
        <w:rPr>
          <w:rFonts w:ascii="Traditional Arabic" w:hAnsi="Traditional Arabic" w:hint="cs"/>
          <w:rtl/>
        </w:rPr>
        <w:t>[</w:t>
      </w:r>
      <w:r w:rsidRPr="0063006E">
        <w:rPr>
          <w:rFonts w:ascii="Traditional Arabic" w:hAnsi="Traditional Arabic"/>
          <w:rtl/>
        </w:rPr>
        <w:t>وأبو حيوة</w:t>
      </w:r>
      <w:r w:rsidRPr="0063006E">
        <w:rPr>
          <w:rFonts w:ascii="Traditional Arabic" w:hAnsi="Traditional Arabic" w:hint="cs"/>
          <w:rtl/>
        </w:rPr>
        <w:t>]</w:t>
      </w:r>
      <w:r w:rsidRPr="0063006E">
        <w:rPr>
          <w:vertAlign w:val="superscript"/>
          <w:rtl/>
        </w:rPr>
        <w:t>(</w:t>
      </w:r>
      <w:r w:rsidRPr="0063006E">
        <w:rPr>
          <w:vertAlign w:val="superscript"/>
          <w:rtl/>
        </w:rPr>
        <w:footnoteReference w:id="2181"/>
      </w:r>
      <w:r w:rsidRPr="0063006E">
        <w:rPr>
          <w:vertAlign w:val="superscript"/>
          <w:rtl/>
        </w:rPr>
        <w:t>)</w:t>
      </w:r>
      <w:r w:rsidRPr="0063006E">
        <w:rPr>
          <w:rFonts w:ascii="Traditional Arabic" w:hAnsi="Traditional Arabic"/>
          <w:rtl/>
        </w:rPr>
        <w:t>: «فأرسلنا إليها روحنا» بفتح الراء</w:t>
      </w:r>
      <w:r w:rsidRPr="0063006E">
        <w:rPr>
          <w:vertAlign w:val="superscript"/>
          <w:rtl/>
        </w:rPr>
        <w:t>(</w:t>
      </w:r>
      <w:r w:rsidRPr="0063006E">
        <w:rPr>
          <w:vertAlign w:val="superscript"/>
          <w:rtl/>
        </w:rPr>
        <w:footnoteReference w:id="2182"/>
      </w:r>
      <w:r w:rsidRPr="0063006E">
        <w:rPr>
          <w:vertAlign w:val="superscript"/>
          <w:rtl/>
        </w:rPr>
        <w:t>)</w:t>
      </w:r>
      <w:r w:rsidRPr="0063006E">
        <w:rPr>
          <w:rFonts w:ascii="Traditional Arabic" w:hAnsi="Traditional Arabic"/>
          <w:rtl/>
        </w:rPr>
        <w:t>.</w:t>
      </w:r>
      <w:r w:rsidRPr="0063006E">
        <w:rPr>
          <w:rFonts w:ascii="Traditional Arabic" w:hAnsi="Traditional Arabic" w:hint="cs"/>
          <w:rtl/>
        </w:rPr>
        <w:t xml:space="preserve"> </w:t>
      </w:r>
      <w:r w:rsidRPr="0063006E">
        <w:rPr>
          <w:rFonts w:ascii="Traditional Arabic" w:hAnsi="Traditional Arabic"/>
          <w:rtl/>
        </w:rPr>
        <w:t xml:space="preserve">قوله تعالى: </w:t>
      </w:r>
      <w:r w:rsidRPr="0063006E">
        <w:rPr>
          <w:rFonts w:ascii="QCF_BSML" w:hAnsi="QCF_BSML" w:cs="QCF_BSML"/>
          <w:color w:val="auto"/>
          <w:sz w:val="32"/>
          <w:szCs w:val="32"/>
          <w:rtl/>
          <w:lang w:eastAsia="en-US"/>
        </w:rPr>
        <w:t>ﭽ</w:t>
      </w:r>
      <w:r w:rsidRPr="0063006E">
        <w:rPr>
          <w:rFonts w:ascii="QCF_P306" w:hAnsi="QCF_P306" w:cs="QCF_P306"/>
          <w:color w:val="auto"/>
          <w:sz w:val="32"/>
          <w:szCs w:val="32"/>
          <w:rtl/>
          <w:lang w:eastAsia="en-US"/>
        </w:rPr>
        <w:t xml:space="preserve"> ﮊ  ﮋ       ﮌ  ﮍ  ﮎ  ﮏ  ﮐ   ﮑ</w:t>
      </w:r>
      <w:r w:rsidRPr="0063006E">
        <w:rPr>
          <w:rFonts w:ascii="QCF_BSML" w:hAnsi="QCF_BSML" w:cs="QCF_BSML"/>
          <w:color w:val="auto"/>
          <w:sz w:val="32"/>
          <w:szCs w:val="32"/>
          <w:rtl/>
          <w:lang w:eastAsia="en-US"/>
        </w:rPr>
        <w:t xml:space="preserve"> ﭼ</w:t>
      </w:r>
      <w:r w:rsidRPr="0063006E">
        <w:rPr>
          <w:rFonts w:ascii="QCF_P306" w:hAnsi="QCF_P306" w:cs="QCF_P306"/>
          <w:color w:val="auto"/>
          <w:sz w:val="32"/>
          <w:szCs w:val="32"/>
          <w:rtl/>
          <w:lang w:eastAsia="en-US"/>
        </w:rPr>
        <w:t xml:space="preserve">  </w:t>
      </w:r>
      <w:r w:rsidRPr="0063006E">
        <w:rPr>
          <w:rFonts w:ascii="Traditional Arabic" w:hAnsi="Traditional Arabic"/>
          <w:rtl/>
        </w:rPr>
        <w:t>المعنى: إِن كنتَ تتَّقي الله، فستنتهي بتعوُّذي منك، هذا القول</w:t>
      </w:r>
      <w:r w:rsidRPr="0063006E">
        <w:rPr>
          <w:vertAlign w:val="superscript"/>
          <w:rtl/>
        </w:rPr>
        <w:t>(</w:t>
      </w:r>
      <w:r w:rsidRPr="0063006E">
        <w:rPr>
          <w:vertAlign w:val="superscript"/>
          <w:rtl/>
        </w:rPr>
        <w:footnoteReference w:id="2183"/>
      </w:r>
      <w:r w:rsidRPr="0063006E">
        <w:rPr>
          <w:vertAlign w:val="superscript"/>
          <w:rtl/>
        </w:rPr>
        <w:t>)</w:t>
      </w:r>
      <w:r w:rsidRPr="0063006E">
        <w:rPr>
          <w:rFonts w:ascii="Traditional Arabic" w:hAnsi="Traditional Arabic"/>
          <w:rtl/>
        </w:rPr>
        <w:t>عند المحققين، وحكي عن ابن عباس أنه كان في زمانها رجل اسمه تقي</w:t>
      </w:r>
      <w:r w:rsidRPr="0063006E">
        <w:rPr>
          <w:vertAlign w:val="superscript"/>
          <w:rtl/>
        </w:rPr>
        <w:t>(</w:t>
      </w:r>
      <w:r w:rsidRPr="0063006E">
        <w:rPr>
          <w:vertAlign w:val="superscript"/>
          <w:rtl/>
        </w:rPr>
        <w:footnoteReference w:id="2184"/>
      </w:r>
      <w:r w:rsidRPr="0063006E">
        <w:rPr>
          <w:vertAlign w:val="superscript"/>
          <w:rtl/>
        </w:rPr>
        <w:t>)</w:t>
      </w:r>
      <w:r w:rsidRPr="0063006E">
        <w:rPr>
          <w:rFonts w:ascii="Traditional Arabic" w:hAnsi="Traditional Arabic"/>
          <w:rtl/>
        </w:rPr>
        <w:t>، وكان فاجراً، فظنتْه إِياه، ذكره ابن الأنباري</w:t>
      </w:r>
      <w:r w:rsidRPr="0063006E">
        <w:rPr>
          <w:vertAlign w:val="superscript"/>
          <w:rtl/>
        </w:rPr>
        <w:t>(</w:t>
      </w:r>
      <w:r w:rsidRPr="0063006E">
        <w:rPr>
          <w:vertAlign w:val="superscript"/>
          <w:rtl/>
        </w:rPr>
        <w:footnoteReference w:id="2185"/>
      </w:r>
      <w:r w:rsidRPr="0063006E">
        <w:rPr>
          <w:vertAlign w:val="superscript"/>
          <w:rtl/>
        </w:rPr>
        <w:t>)</w:t>
      </w:r>
      <w:r w:rsidRPr="0063006E">
        <w:rPr>
          <w:rFonts w:ascii="Traditional Arabic" w:hAnsi="Traditional Arabic"/>
          <w:rtl/>
        </w:rPr>
        <w:t>، والماوردي</w:t>
      </w:r>
      <w:r w:rsidRPr="0063006E">
        <w:rPr>
          <w:vertAlign w:val="superscript"/>
          <w:rtl/>
        </w:rPr>
        <w:t>(</w:t>
      </w:r>
      <w:r w:rsidRPr="0063006E">
        <w:rPr>
          <w:vertAlign w:val="superscript"/>
          <w:rtl/>
        </w:rPr>
        <w:footnoteReference w:id="2186"/>
      </w:r>
      <w:r w:rsidRPr="0063006E">
        <w:rPr>
          <w:vertAlign w:val="superscript"/>
          <w:rtl/>
        </w:rPr>
        <w:t>)</w:t>
      </w:r>
      <w:r w:rsidRPr="0063006E">
        <w:rPr>
          <w:rFonts w:ascii="Traditional Arabic" w:hAnsi="Traditional Arabic"/>
          <w:rtl/>
        </w:rPr>
        <w:t xml:space="preserve">. وفي قراءة عليّ رضي الله عنه، وابن مسعود، وأبي رجاء: «إِلا أن تكون تقيّاً». قوله تعالى: </w:t>
      </w:r>
      <w:r w:rsidRPr="0063006E">
        <w:rPr>
          <w:rFonts w:ascii="QCF_BSML" w:hAnsi="QCF_BSML" w:cs="QCF_BSML"/>
          <w:color w:val="auto"/>
          <w:sz w:val="32"/>
          <w:szCs w:val="32"/>
          <w:rtl/>
          <w:lang w:eastAsia="en-US"/>
        </w:rPr>
        <w:t>ﭽ</w:t>
      </w:r>
      <w:r w:rsidRPr="0063006E">
        <w:rPr>
          <w:rFonts w:ascii="QCF_P306" w:hAnsi="QCF_P306" w:cs="QCF_P306"/>
          <w:color w:val="auto"/>
          <w:sz w:val="32"/>
          <w:szCs w:val="32"/>
          <w:rtl/>
          <w:lang w:eastAsia="en-US"/>
        </w:rPr>
        <w:t xml:space="preserve"> ﮓ  ﮔ   ﮕ  ﮖ   ﮗ</w:t>
      </w:r>
      <w:r w:rsidRPr="0063006E">
        <w:rPr>
          <w:rFonts w:ascii="QCF_BSML" w:hAnsi="QCF_BSML" w:cs="QCF_BSML"/>
          <w:color w:val="auto"/>
          <w:sz w:val="32"/>
          <w:szCs w:val="32"/>
          <w:rtl/>
          <w:lang w:eastAsia="en-US"/>
        </w:rPr>
        <w:t>ﭼ</w:t>
      </w:r>
      <w:r w:rsidRPr="0063006E">
        <w:rPr>
          <w:rFonts w:ascii="Traditional Arabic" w:hAnsi="Traditional Arabic"/>
          <w:rtl/>
        </w:rPr>
        <w:t xml:space="preserve"> أي: فلا تخافي</w:t>
      </w:r>
      <w:r w:rsidRPr="0063006E">
        <w:rPr>
          <w:rFonts w:ascii="QCF_BSML" w:hAnsi="QCF_BSML" w:cs="QCF_BSML"/>
          <w:color w:val="auto"/>
          <w:sz w:val="32"/>
          <w:szCs w:val="32"/>
          <w:rtl/>
          <w:lang w:eastAsia="en-US"/>
        </w:rPr>
        <w:t xml:space="preserve"> ﭽ</w:t>
      </w:r>
      <w:r w:rsidRPr="0063006E">
        <w:rPr>
          <w:rFonts w:ascii="Traditional Arabic" w:hAnsi="Traditional Arabic"/>
          <w:rtl/>
        </w:rPr>
        <w:t xml:space="preserve"> </w:t>
      </w:r>
      <w:r w:rsidRPr="0063006E">
        <w:rPr>
          <w:rFonts w:ascii="QCF_P306" w:hAnsi="QCF_P306" w:cs="QCF_P306"/>
          <w:color w:val="auto"/>
          <w:sz w:val="32"/>
          <w:szCs w:val="32"/>
          <w:rtl/>
          <w:lang w:eastAsia="en-US"/>
        </w:rPr>
        <w:t>ﮘ  ﮙ</w:t>
      </w:r>
      <w:r w:rsidRPr="0063006E">
        <w:rPr>
          <w:rFonts w:ascii="QCF_BSML" w:hAnsi="QCF_BSML" w:cs="QCF_BSML"/>
          <w:color w:val="auto"/>
          <w:sz w:val="32"/>
          <w:szCs w:val="32"/>
          <w:rtl/>
          <w:lang w:eastAsia="en-US"/>
        </w:rPr>
        <w:t xml:space="preserve"> ﭼ</w:t>
      </w:r>
      <w:r w:rsidRPr="0063006E">
        <w:rPr>
          <w:rFonts w:ascii="QCF_P306" w:hAnsi="QCF_P306" w:cs="QCF_P306"/>
          <w:color w:val="auto"/>
          <w:sz w:val="32"/>
          <w:szCs w:val="32"/>
          <w:rtl/>
          <w:lang w:eastAsia="en-US"/>
        </w:rPr>
        <w:t xml:space="preserve">  </w:t>
      </w:r>
      <w:r w:rsidRPr="0063006E">
        <w:rPr>
          <w:rFonts w:ascii="Traditional Arabic" w:hAnsi="Traditional Arabic"/>
          <w:rtl/>
        </w:rPr>
        <w:t>قرأ ابن كثير، ونافع، وعاصم، وابن عامر، وحمزة، والكسائي: «لأهب لك» بالهمز. وقرأ أبو عمرو، وورش عن نافع: «ليهب لك» بغير همز</w:t>
      </w:r>
      <w:r w:rsidRPr="0063006E">
        <w:rPr>
          <w:vertAlign w:val="superscript"/>
          <w:rtl/>
        </w:rPr>
        <w:t>(</w:t>
      </w:r>
      <w:r w:rsidRPr="0063006E">
        <w:rPr>
          <w:vertAlign w:val="superscript"/>
          <w:rtl/>
        </w:rPr>
        <w:footnoteReference w:id="2187"/>
      </w:r>
      <w:r w:rsidRPr="0063006E">
        <w:rPr>
          <w:vertAlign w:val="superscript"/>
          <w:rtl/>
        </w:rPr>
        <w:t>)</w:t>
      </w:r>
      <w:r w:rsidRPr="0063006E">
        <w:rPr>
          <w:rFonts w:ascii="Traditional Arabic" w:hAnsi="Traditional Arabic"/>
          <w:rtl/>
        </w:rPr>
        <w:t>. قال الزجاج: من قرأ «ليهب» فالمعنى: أرسَلني ليهب ومن قرأ «لأهب» فالمعنى أُرسلتُ إِليكِ لأهب لكِ</w:t>
      </w:r>
      <w:r w:rsidRPr="0063006E">
        <w:rPr>
          <w:vertAlign w:val="superscript"/>
          <w:rtl/>
        </w:rPr>
        <w:t>(</w:t>
      </w:r>
      <w:r w:rsidRPr="0063006E">
        <w:rPr>
          <w:vertAlign w:val="superscript"/>
          <w:rtl/>
        </w:rPr>
        <w:footnoteReference w:id="2188"/>
      </w:r>
      <w:r w:rsidRPr="0063006E">
        <w:rPr>
          <w:vertAlign w:val="superscript"/>
          <w:rtl/>
        </w:rPr>
        <w:t>)</w:t>
      </w:r>
      <w:r w:rsidRPr="0063006E">
        <w:rPr>
          <w:rFonts w:ascii="Traditional Arabic" w:hAnsi="Traditional Arabic" w:hint="cs"/>
          <w:rtl/>
        </w:rPr>
        <w:t>.</w:t>
      </w:r>
      <w:r w:rsidRPr="0063006E">
        <w:rPr>
          <w:rFonts w:ascii="Traditional Arabic" w:hAnsi="Traditional Arabic"/>
          <w:rtl/>
        </w:rPr>
        <w:t xml:space="preserve"> وقال ابن الأنباري المعنى: أرسلني يقول لك: أرسلتُ رسولي إِليكِ لأهبَ لكِ</w:t>
      </w:r>
      <w:r w:rsidRPr="0063006E">
        <w:rPr>
          <w:vertAlign w:val="superscript"/>
          <w:rtl/>
        </w:rPr>
        <w:t>(</w:t>
      </w:r>
      <w:r w:rsidRPr="0063006E">
        <w:rPr>
          <w:vertAlign w:val="superscript"/>
          <w:rtl/>
        </w:rPr>
        <w:footnoteReference w:id="2189"/>
      </w:r>
      <w:r w:rsidRPr="0063006E">
        <w:rPr>
          <w:vertAlign w:val="superscript"/>
          <w:rtl/>
        </w:rPr>
        <w:t>)</w:t>
      </w:r>
      <w:r w:rsidRPr="0063006E">
        <w:rPr>
          <w:rFonts w:ascii="Traditional Arabic" w:hAnsi="Traditional Arabic"/>
          <w:rtl/>
        </w:rPr>
        <w:t>.</w:t>
      </w:r>
      <w:r w:rsidRPr="0063006E">
        <w:rPr>
          <w:rFonts w:ascii="Traditional Arabic" w:hAnsi="Traditional Arabic" w:hint="cs"/>
          <w:rtl/>
        </w:rPr>
        <w:t xml:space="preserve"> </w:t>
      </w:r>
      <w:r w:rsidRPr="0063006E">
        <w:rPr>
          <w:rFonts w:ascii="Traditional Arabic" w:hAnsi="Traditional Arabic"/>
          <w:rtl/>
        </w:rPr>
        <w:t xml:space="preserve">قوله تعالى: </w:t>
      </w:r>
      <w:r w:rsidRPr="0063006E">
        <w:rPr>
          <w:rFonts w:ascii="QCF_BSML" w:hAnsi="QCF_BSML" w:cs="QCF_BSML"/>
          <w:color w:val="auto"/>
          <w:sz w:val="32"/>
          <w:szCs w:val="32"/>
          <w:rtl/>
          <w:lang w:eastAsia="en-US"/>
        </w:rPr>
        <w:t>ﭽ</w:t>
      </w:r>
      <w:r w:rsidRPr="0063006E">
        <w:rPr>
          <w:rFonts w:ascii="QCF_P306" w:hAnsi="QCF_P306" w:cs="QCF_P306"/>
          <w:color w:val="auto"/>
          <w:sz w:val="32"/>
          <w:szCs w:val="32"/>
          <w:rtl/>
          <w:lang w:eastAsia="en-US"/>
        </w:rPr>
        <w:t xml:space="preserve"> ﮚ  ﮛ</w:t>
      </w:r>
      <w:r w:rsidRPr="0063006E">
        <w:rPr>
          <w:rFonts w:ascii="QCF_BSML" w:hAnsi="QCF_BSML" w:cs="QCF_BSML"/>
          <w:color w:val="auto"/>
          <w:sz w:val="32"/>
          <w:szCs w:val="32"/>
          <w:rtl/>
          <w:lang w:eastAsia="en-US"/>
        </w:rPr>
        <w:t xml:space="preserve"> ﭼ</w:t>
      </w:r>
      <w:r w:rsidRPr="0063006E">
        <w:rPr>
          <w:rFonts w:ascii="QCF_P306" w:hAnsi="QCF_P306" w:cs="QCF_P306"/>
          <w:color w:val="auto"/>
          <w:sz w:val="32"/>
          <w:szCs w:val="32"/>
          <w:rtl/>
          <w:lang w:eastAsia="en-US"/>
        </w:rPr>
        <w:t xml:space="preserve">  </w:t>
      </w:r>
      <w:r w:rsidRPr="0063006E">
        <w:rPr>
          <w:rFonts w:ascii="Traditional Arabic" w:hAnsi="Traditional Arabic"/>
          <w:rtl/>
        </w:rPr>
        <w:t xml:space="preserve">أي: طاهرا من الذنوب. والبغيّ: الفاجرة والزّانية. قال ابن الأنباري: وإِنما لم يقل: «بغيَّة» لأنه وصف يغلب على </w:t>
      </w:r>
      <w:r w:rsidRPr="0063006E">
        <w:rPr>
          <w:rFonts w:ascii="Traditional Arabic" w:hAnsi="Traditional Arabic"/>
          <w:rtl/>
        </w:rPr>
        <w:lastRenderedPageBreak/>
        <w:t>النساء، فقلَّما تقول العرب: رجل بغيّ، فيجري مجرى حائض، وعاقر</w:t>
      </w:r>
      <w:r w:rsidRPr="0063006E">
        <w:rPr>
          <w:vertAlign w:val="superscript"/>
          <w:rtl/>
        </w:rPr>
        <w:t>(</w:t>
      </w:r>
      <w:r w:rsidRPr="0063006E">
        <w:rPr>
          <w:vertAlign w:val="superscript"/>
          <w:rtl/>
        </w:rPr>
        <w:footnoteReference w:id="2190"/>
      </w:r>
      <w:r w:rsidRPr="0063006E">
        <w:rPr>
          <w:vertAlign w:val="superscript"/>
          <w:rtl/>
        </w:rPr>
        <w:t>)</w:t>
      </w:r>
      <w:r w:rsidRPr="0063006E">
        <w:rPr>
          <w:rFonts w:ascii="Traditional Arabic" w:hAnsi="Traditional Arabic"/>
          <w:rtl/>
        </w:rPr>
        <w:t>. وقال غيره: إِنما لم يقل: «بغيَّة» لأنه مصروف عن وجهه، فهو «فعيل» بمعنى:</w:t>
      </w:r>
      <w:r w:rsidRPr="0063006E">
        <w:rPr>
          <w:rFonts w:ascii="Traditional Arabic" w:hAnsi="Traditional Arabic" w:hint="cs"/>
          <w:rtl/>
        </w:rPr>
        <w:t xml:space="preserve"> </w:t>
      </w:r>
      <w:r w:rsidRPr="0063006E">
        <w:rPr>
          <w:rFonts w:ascii="Traditional Arabic" w:hAnsi="Traditional Arabic"/>
          <w:rtl/>
        </w:rPr>
        <w:t>«فاعل»</w:t>
      </w:r>
      <w:r w:rsidRPr="0063006E">
        <w:rPr>
          <w:vertAlign w:val="superscript"/>
          <w:rtl/>
        </w:rPr>
        <w:t>(</w:t>
      </w:r>
      <w:r w:rsidRPr="0063006E">
        <w:rPr>
          <w:vertAlign w:val="superscript"/>
          <w:rtl/>
        </w:rPr>
        <w:footnoteReference w:id="2191"/>
      </w:r>
      <w:r w:rsidRPr="0063006E">
        <w:rPr>
          <w:vertAlign w:val="superscript"/>
          <w:rtl/>
        </w:rPr>
        <w:t>)</w:t>
      </w:r>
      <w:r w:rsidRPr="0063006E">
        <w:rPr>
          <w:rFonts w:ascii="Traditional Arabic" w:hAnsi="Traditional Arabic"/>
          <w:rtl/>
        </w:rPr>
        <w:t>. ومعنى الآية: ليس لي زوج، ولستُ بزانية، وإِنما يكون الولد من هاتين الجهتين.</w:t>
      </w:r>
      <w:r w:rsidRPr="0063006E">
        <w:rPr>
          <w:rFonts w:ascii="QCF_BSML" w:hAnsi="QCF_BSML" w:cs="QCF_BSML" w:hint="cs"/>
          <w:color w:val="auto"/>
          <w:sz w:val="32"/>
          <w:szCs w:val="32"/>
          <w:rtl/>
          <w:lang w:eastAsia="en-US"/>
        </w:rPr>
        <w:t xml:space="preserve">    </w:t>
      </w:r>
      <w:r w:rsidRPr="0063006E">
        <w:rPr>
          <w:rFonts w:ascii="QCF_BSML" w:hAnsi="QCF_BSML" w:cs="QCF_BSML"/>
          <w:color w:val="auto"/>
          <w:sz w:val="32"/>
          <w:szCs w:val="32"/>
          <w:rtl/>
          <w:lang w:eastAsia="en-US"/>
        </w:rPr>
        <w:t>ﭽ</w:t>
      </w:r>
      <w:r w:rsidRPr="0063006E">
        <w:rPr>
          <w:rFonts w:ascii="QCF_P306" w:hAnsi="QCF_P306" w:cs="QCF_P306"/>
          <w:color w:val="auto"/>
          <w:sz w:val="32"/>
          <w:szCs w:val="32"/>
          <w:rtl/>
          <w:lang w:eastAsia="en-US"/>
        </w:rPr>
        <w:t>ﮩ  ﮪ</w:t>
      </w:r>
      <w:r w:rsidRPr="0063006E">
        <w:rPr>
          <w:rFonts w:ascii="QCF_P306" w:hAnsi="QCF_P306" w:cs="QCF_P306" w:hint="cs"/>
          <w:color w:val="auto"/>
          <w:sz w:val="32"/>
          <w:szCs w:val="32"/>
          <w:rtl/>
          <w:lang w:eastAsia="en-US"/>
        </w:rPr>
        <w:t xml:space="preserve"> </w:t>
      </w:r>
      <w:r w:rsidRPr="0063006E">
        <w:rPr>
          <w:rFonts w:ascii="QCF_P306" w:hAnsi="QCF_P306" w:cs="QCF_P306"/>
          <w:color w:val="auto"/>
          <w:sz w:val="32"/>
          <w:szCs w:val="32"/>
          <w:rtl/>
          <w:lang w:eastAsia="en-US"/>
        </w:rPr>
        <w:t xml:space="preserve">  ﮫ  ﮬ</w:t>
      </w:r>
      <w:r w:rsidRPr="0063006E">
        <w:rPr>
          <w:rFonts w:ascii="QCF_BSML" w:hAnsi="QCF_BSML" w:cs="QCF_BSML"/>
          <w:color w:val="auto"/>
          <w:sz w:val="32"/>
          <w:szCs w:val="32"/>
          <w:rtl/>
          <w:lang w:eastAsia="en-US"/>
        </w:rPr>
        <w:t xml:space="preserve"> ﭼ</w:t>
      </w:r>
      <w:r w:rsidRPr="0063006E">
        <w:rPr>
          <w:rFonts w:ascii="QCF_BSML" w:hAnsi="QCF_BSML" w:cs="QCF_BSML" w:hint="cs"/>
          <w:color w:val="auto"/>
          <w:sz w:val="32"/>
          <w:szCs w:val="32"/>
          <w:rtl/>
          <w:lang w:eastAsia="en-US"/>
        </w:rPr>
        <w:t xml:space="preserve">   </w:t>
      </w:r>
      <w:r w:rsidRPr="0063006E">
        <w:rPr>
          <w:rFonts w:ascii="QCF_P306" w:hAnsi="QCF_P306" w:cs="QCF_P306"/>
          <w:color w:val="auto"/>
          <w:sz w:val="32"/>
          <w:szCs w:val="32"/>
          <w:rtl/>
          <w:lang w:eastAsia="en-US"/>
        </w:rPr>
        <w:t xml:space="preserve">  </w:t>
      </w:r>
      <w:r w:rsidRPr="0063006E">
        <w:rPr>
          <w:rFonts w:ascii="Traditional Arabic" w:hAnsi="Traditional Arabic"/>
          <w:rtl/>
        </w:rPr>
        <w:t>قد شرحناه في قصة زكريا</w:t>
      </w:r>
      <w:r w:rsidRPr="0063006E">
        <w:rPr>
          <w:vertAlign w:val="superscript"/>
          <w:rtl/>
        </w:rPr>
        <w:t>(</w:t>
      </w:r>
      <w:r w:rsidRPr="0063006E">
        <w:rPr>
          <w:vertAlign w:val="superscript"/>
          <w:rtl/>
        </w:rPr>
        <w:footnoteReference w:id="2192"/>
      </w:r>
      <w:r w:rsidRPr="0063006E">
        <w:rPr>
          <w:vertAlign w:val="superscript"/>
          <w:rtl/>
        </w:rPr>
        <w:t>)</w:t>
      </w:r>
      <w:r w:rsidRPr="0063006E">
        <w:rPr>
          <w:rFonts w:ascii="Traditional Arabic" w:hAnsi="Traditional Arabic"/>
          <w:rtl/>
        </w:rPr>
        <w:t xml:space="preserve">، والمعنى: أنه يسيرٌ عليّ أن أهب لكِ غلاماً من غير أب. </w:t>
      </w:r>
      <w:r w:rsidRPr="0063006E">
        <w:rPr>
          <w:rFonts w:ascii="QCF_BSML" w:hAnsi="QCF_BSML" w:cs="QCF_BSML"/>
          <w:color w:val="auto"/>
          <w:sz w:val="32"/>
          <w:szCs w:val="32"/>
          <w:rtl/>
          <w:lang w:eastAsia="en-US"/>
        </w:rPr>
        <w:t>ﭽ</w:t>
      </w:r>
      <w:r w:rsidRPr="0063006E">
        <w:rPr>
          <w:rFonts w:ascii="QCF_P306" w:hAnsi="QCF_P306" w:cs="QCF_P306"/>
          <w:color w:val="auto"/>
          <w:sz w:val="32"/>
          <w:szCs w:val="32"/>
          <w:rtl/>
          <w:lang w:eastAsia="en-US"/>
        </w:rPr>
        <w:t>ﮱ  ﯓ  ﯔ</w:t>
      </w:r>
      <w:r w:rsidRPr="0063006E">
        <w:rPr>
          <w:rFonts w:ascii="QCF_BSML" w:hAnsi="QCF_BSML" w:cs="QCF_BSML"/>
          <w:color w:val="auto"/>
          <w:sz w:val="32"/>
          <w:szCs w:val="32"/>
          <w:rtl/>
          <w:lang w:eastAsia="en-US"/>
        </w:rPr>
        <w:t xml:space="preserve"> ﭼ</w:t>
      </w:r>
      <w:r w:rsidRPr="0063006E">
        <w:rPr>
          <w:rFonts w:ascii="QCF_P306" w:hAnsi="QCF_P306" w:cs="QCF_P306"/>
          <w:color w:val="auto"/>
          <w:sz w:val="32"/>
          <w:szCs w:val="32"/>
          <w:rtl/>
          <w:lang w:eastAsia="en-US"/>
        </w:rPr>
        <w:t xml:space="preserve">  </w:t>
      </w:r>
      <w:r w:rsidRPr="0063006E">
        <w:rPr>
          <w:rFonts w:ascii="Traditional Arabic" w:hAnsi="Traditional Arabic" w:hint="cs"/>
          <w:rtl/>
        </w:rPr>
        <w:t xml:space="preserve"> </w:t>
      </w:r>
      <w:r w:rsidRPr="0063006E">
        <w:rPr>
          <w:rFonts w:ascii="Traditional Arabic" w:hAnsi="Traditional Arabic"/>
          <w:rtl/>
        </w:rPr>
        <w:t xml:space="preserve">أي: دلالة على قدرتنا كونه من غير أب. قال ابن الأنباري: إِنما دخلت الواو في قوله: </w:t>
      </w:r>
      <w:r w:rsidRPr="0063006E">
        <w:rPr>
          <w:rFonts w:ascii="QCF_BSML" w:hAnsi="QCF_BSML" w:cs="QCF_BSML"/>
          <w:color w:val="auto"/>
          <w:sz w:val="32"/>
          <w:szCs w:val="32"/>
          <w:rtl/>
          <w:lang w:eastAsia="en-US"/>
        </w:rPr>
        <w:t>ﭽ</w:t>
      </w:r>
      <w:r w:rsidRPr="0063006E">
        <w:rPr>
          <w:rFonts w:ascii="QCF_P306" w:hAnsi="QCF_P306" w:cs="QCF_P306"/>
          <w:color w:val="auto"/>
          <w:sz w:val="32"/>
          <w:szCs w:val="32"/>
          <w:rtl/>
          <w:lang w:eastAsia="en-US"/>
        </w:rPr>
        <w:t xml:space="preserve"> ﮱ</w:t>
      </w:r>
      <w:r w:rsidRPr="0063006E">
        <w:rPr>
          <w:rFonts w:ascii="QCF_BSML" w:hAnsi="QCF_BSML" w:cs="QCF_BSML"/>
          <w:color w:val="auto"/>
          <w:sz w:val="32"/>
          <w:szCs w:val="32"/>
          <w:rtl/>
          <w:lang w:eastAsia="en-US"/>
        </w:rPr>
        <w:t xml:space="preserve"> ﭼ</w:t>
      </w:r>
      <w:r w:rsidRPr="0063006E">
        <w:rPr>
          <w:rFonts w:ascii="Traditional Arabic" w:hAnsi="Traditional Arabic"/>
          <w:rtl/>
        </w:rPr>
        <w:t xml:space="preserve"> لأنها عاطفة لِما بعدها على كلام مضمر محذوف، تقديره: قال ربُّكِ خَلْقُه عليّ هيِّن </w:t>
      </w:r>
      <w:r w:rsidRPr="0063006E">
        <w:rPr>
          <w:rFonts w:ascii="Traditional Arabic" w:hAnsi="Traditional Arabic"/>
          <w:sz w:val="32"/>
          <w:szCs w:val="32"/>
          <w:rtl/>
        </w:rPr>
        <w:t>[</w:t>
      </w:r>
      <w:r w:rsidRPr="0063006E">
        <w:rPr>
          <w:rFonts w:ascii="Traditional Arabic" w:hAnsi="Traditional Arabic" w:hint="cs"/>
          <w:sz w:val="32"/>
          <w:szCs w:val="32"/>
          <w:rtl/>
        </w:rPr>
        <w:t>164</w:t>
      </w:r>
      <w:r w:rsidRPr="0063006E">
        <w:rPr>
          <w:rFonts w:ascii="Traditional Arabic" w:hAnsi="Traditional Arabic"/>
          <w:sz w:val="32"/>
          <w:szCs w:val="32"/>
          <w:rtl/>
        </w:rPr>
        <w:t>]</w:t>
      </w:r>
      <w:r w:rsidRPr="0063006E">
        <w:rPr>
          <w:rFonts w:ascii="Traditional Arabic" w:hAnsi="Traditional Arabic"/>
          <w:rtl/>
        </w:rPr>
        <w:t xml:space="preserve"> لننفعكِ به، ولنجعلَه عبرة</w:t>
      </w:r>
      <w:r w:rsidRPr="0063006E">
        <w:rPr>
          <w:vertAlign w:val="superscript"/>
          <w:rtl/>
        </w:rPr>
        <w:t>(</w:t>
      </w:r>
      <w:r w:rsidRPr="0063006E">
        <w:rPr>
          <w:vertAlign w:val="superscript"/>
          <w:rtl/>
        </w:rPr>
        <w:footnoteReference w:id="2193"/>
      </w:r>
      <w:r w:rsidRPr="0063006E">
        <w:rPr>
          <w:vertAlign w:val="superscript"/>
          <w:rtl/>
        </w:rPr>
        <w:t>)</w:t>
      </w:r>
      <w:r w:rsidRPr="0063006E">
        <w:rPr>
          <w:rFonts w:ascii="Traditional Arabic" w:hAnsi="Traditional Arabic"/>
          <w:rtl/>
        </w:rPr>
        <w:t>.</w:t>
      </w:r>
      <w:r w:rsidRPr="0063006E">
        <w:rPr>
          <w:rFonts w:ascii="Traditional Arabic" w:hAnsi="Traditional Arabic" w:hint="cs"/>
          <w:rtl/>
        </w:rPr>
        <w:t xml:space="preserve"> </w:t>
      </w:r>
      <w:r w:rsidRPr="0063006E">
        <w:rPr>
          <w:rFonts w:ascii="Traditional Arabic" w:hAnsi="Traditional Arabic"/>
          <w:rtl/>
        </w:rPr>
        <w:t xml:space="preserve">قوله تعالى: </w:t>
      </w:r>
      <w:r w:rsidRPr="0063006E">
        <w:rPr>
          <w:rFonts w:ascii="QCF_BSML" w:hAnsi="QCF_BSML" w:cs="QCF_BSML"/>
          <w:color w:val="auto"/>
          <w:sz w:val="32"/>
          <w:szCs w:val="32"/>
          <w:rtl/>
          <w:lang w:eastAsia="en-US"/>
        </w:rPr>
        <w:t>ﭽ</w:t>
      </w:r>
      <w:r w:rsidRPr="0063006E">
        <w:rPr>
          <w:rFonts w:ascii="QCF_P306" w:hAnsi="QCF_P306" w:cs="QCF_P306"/>
          <w:color w:val="auto"/>
          <w:sz w:val="32"/>
          <w:szCs w:val="32"/>
          <w:rtl/>
          <w:lang w:eastAsia="en-US"/>
        </w:rPr>
        <w:t>ﯕ    ﯖ</w:t>
      </w:r>
      <w:r w:rsidRPr="0063006E">
        <w:rPr>
          <w:rFonts w:ascii="QCF_BSML" w:hAnsi="QCF_BSML" w:cs="QCF_BSML"/>
          <w:color w:val="auto"/>
          <w:sz w:val="32"/>
          <w:szCs w:val="32"/>
          <w:rtl/>
          <w:lang w:eastAsia="en-US"/>
        </w:rPr>
        <w:t xml:space="preserve"> ﭼ</w:t>
      </w:r>
      <w:r w:rsidRPr="0063006E">
        <w:rPr>
          <w:rFonts w:ascii="QCF_BSML" w:hAnsi="QCF_BSML" w:cs="QCF_BSML" w:hint="cs"/>
          <w:color w:val="auto"/>
          <w:sz w:val="32"/>
          <w:szCs w:val="32"/>
          <w:rtl/>
          <w:lang w:eastAsia="en-US"/>
        </w:rPr>
        <w:t xml:space="preserve">  </w:t>
      </w:r>
      <w:r w:rsidRPr="0063006E">
        <w:rPr>
          <w:rFonts w:ascii="QCF_BSML" w:hAnsi="QCF_BSML" w:cs="QCF_BSML"/>
          <w:color w:val="auto"/>
          <w:sz w:val="32"/>
          <w:szCs w:val="32"/>
          <w:rtl/>
          <w:lang w:eastAsia="en-US"/>
        </w:rPr>
        <w:t xml:space="preserve"> </w:t>
      </w:r>
      <w:r w:rsidRPr="0063006E">
        <w:rPr>
          <w:rFonts w:ascii="Traditional Arabic" w:hAnsi="Traditional Arabic"/>
          <w:rtl/>
        </w:rPr>
        <w:t xml:space="preserve">أي: لمن تبعه وآمن به </w:t>
      </w:r>
      <w:r w:rsidRPr="0063006E">
        <w:rPr>
          <w:rFonts w:ascii="QCF_BSML" w:hAnsi="QCF_BSML" w:cs="QCF_BSML"/>
          <w:color w:val="auto"/>
          <w:sz w:val="32"/>
          <w:szCs w:val="32"/>
          <w:rtl/>
          <w:lang w:eastAsia="en-US"/>
        </w:rPr>
        <w:t>ﭽ</w:t>
      </w:r>
      <w:r w:rsidRPr="0063006E">
        <w:rPr>
          <w:rFonts w:ascii="QCF_P306" w:hAnsi="QCF_P306" w:cs="QCF_P306"/>
          <w:color w:val="auto"/>
          <w:sz w:val="32"/>
          <w:szCs w:val="32"/>
          <w:rtl/>
          <w:lang w:eastAsia="en-US"/>
        </w:rPr>
        <w:t>ﯘ  ﯙ  ﯚ</w:t>
      </w:r>
      <w:r w:rsidRPr="0063006E">
        <w:rPr>
          <w:rFonts w:ascii="QCF_BSML" w:hAnsi="QCF_BSML" w:cs="QCF_BSML"/>
          <w:color w:val="auto"/>
          <w:sz w:val="32"/>
          <w:szCs w:val="32"/>
          <w:rtl/>
          <w:lang w:eastAsia="en-US"/>
        </w:rPr>
        <w:t xml:space="preserve"> ﭼ</w:t>
      </w:r>
      <w:r w:rsidRPr="0063006E">
        <w:rPr>
          <w:rFonts w:ascii="QCF_P306" w:hAnsi="QCF_P306" w:cs="QCF_P306"/>
          <w:color w:val="auto"/>
          <w:sz w:val="32"/>
          <w:szCs w:val="32"/>
          <w:rtl/>
          <w:lang w:eastAsia="en-US"/>
        </w:rPr>
        <w:t xml:space="preserve">  </w:t>
      </w:r>
      <w:r w:rsidRPr="0063006E">
        <w:rPr>
          <w:rFonts w:ascii="Traditional Arabic" w:hAnsi="Traditional Arabic"/>
          <w:rtl/>
        </w:rPr>
        <w:t xml:space="preserve">أي: وكان خَلْقُه أمراً </w:t>
      </w:r>
      <w:r w:rsidRPr="0063006E">
        <w:rPr>
          <w:rFonts w:ascii="Traditional Arabic" w:hAnsi="Traditional Arabic"/>
          <w:color w:val="auto"/>
          <w:rtl/>
        </w:rPr>
        <w:t>محكوماً به، مفروغاً عنه، سابقا في علم الله تعالى كونه</w:t>
      </w:r>
      <w:r w:rsidRPr="0063006E">
        <w:rPr>
          <w:vertAlign w:val="superscript"/>
          <w:rtl/>
        </w:rPr>
        <w:t>(</w:t>
      </w:r>
      <w:r w:rsidRPr="0063006E">
        <w:rPr>
          <w:vertAlign w:val="superscript"/>
          <w:rtl/>
        </w:rPr>
        <w:footnoteReference w:id="2194"/>
      </w:r>
      <w:r w:rsidRPr="0063006E">
        <w:rPr>
          <w:vertAlign w:val="superscript"/>
          <w:rtl/>
        </w:rPr>
        <w:t>)</w:t>
      </w:r>
      <w:r w:rsidRPr="0063006E">
        <w:rPr>
          <w:rFonts w:ascii="Traditional Arabic" w:hAnsi="Traditional Arabic"/>
          <w:color w:val="auto"/>
          <w:rtl/>
        </w:rPr>
        <w:t>.</w:t>
      </w:r>
    </w:p>
    <w:p w:rsidR="0063006E" w:rsidRPr="0063006E" w:rsidRDefault="0063006E" w:rsidP="0063006E">
      <w:pPr>
        <w:ind w:firstLine="0"/>
        <w:rPr>
          <w:rFonts w:ascii="Traditional Arabic" w:hAnsi="Traditional Arabic"/>
          <w:color w:val="auto"/>
          <w:rtl/>
        </w:rPr>
      </w:pPr>
    </w:p>
    <w:p w:rsidR="0063006E" w:rsidRPr="0063006E" w:rsidRDefault="0063006E" w:rsidP="0063006E">
      <w:pPr>
        <w:ind w:firstLine="0"/>
        <w:rPr>
          <w:rFonts w:ascii="Traditional Arabic" w:hAnsi="Traditional Arabic"/>
          <w:color w:val="auto"/>
          <w:rtl/>
        </w:rPr>
      </w:pPr>
      <w:r w:rsidRPr="0063006E">
        <w:rPr>
          <w:rFonts w:ascii="QCF_BSML" w:hAnsi="QCF_BSML" w:cs="QCF_BSML"/>
          <w:color w:val="auto"/>
          <w:sz w:val="32"/>
          <w:szCs w:val="32"/>
          <w:rtl/>
          <w:lang w:eastAsia="en-US"/>
        </w:rPr>
        <w:t xml:space="preserve">ﭽ </w:t>
      </w:r>
      <w:r w:rsidRPr="0063006E">
        <w:rPr>
          <w:rFonts w:ascii="QCF_P306" w:hAnsi="QCF_P306" w:cs="QCF_P306"/>
          <w:color w:val="auto"/>
          <w:sz w:val="32"/>
          <w:szCs w:val="32"/>
          <w:rtl/>
          <w:lang w:eastAsia="en-US"/>
        </w:rPr>
        <w:t xml:space="preserve">ﯜ  ﯝ  ﯞ   ﯟ  ﯠ  ﯡ  ﯢ  ﯣ  ﯤ  ﯥ      ﯦ  ﯧ    ﯨ  ﯩ   ﯪ  ﯫ  ﯬ  ﯭ  ﯮ  ﯯ  ﯰ   ﯱ  ﯲ  ﯳ  ﯴ  ﯵ  ﯶ  ﯷ  ﯸ  ﯹ  ﯺ  ﯻ   ﯼ  ﯽ  ﯾ  ﯿ  ﰀ  ﰁ  ﰂ  ﰃ  ﰄ   </w:t>
      </w:r>
      <w:r w:rsidRPr="0063006E">
        <w:rPr>
          <w:rFonts w:ascii="QCF_P307" w:hAnsi="QCF_P307" w:cs="QCF_P307"/>
          <w:color w:val="auto"/>
          <w:sz w:val="32"/>
          <w:szCs w:val="32"/>
          <w:rtl/>
          <w:lang w:eastAsia="en-US"/>
        </w:rPr>
        <w:t xml:space="preserve">ﭑ  ﭒ  ﭓ  ﭔﭕ  ﭖ  ﭗ  ﭘ  ﭙ  ﭚ               ﭛ   ﭜ  ﭝ  ﭞ     ﭟ  ﭠ  ﭡ  ﭢ  ﭣ  ﭤ   </w:t>
      </w:r>
      <w:r w:rsidRPr="0063006E">
        <w:rPr>
          <w:rFonts w:ascii="QCF_BSML" w:hAnsi="QCF_BSML" w:cs="QCF_BSML"/>
          <w:color w:val="auto"/>
          <w:sz w:val="32"/>
          <w:szCs w:val="32"/>
          <w:rtl/>
          <w:lang w:eastAsia="en-US"/>
        </w:rPr>
        <w:t>ﭼ</w:t>
      </w:r>
      <w:r w:rsidRPr="0063006E">
        <w:rPr>
          <w:rFonts w:ascii="Arial" w:hAnsi="Arial" w:cs="Arial"/>
          <w:color w:val="auto"/>
          <w:sz w:val="18"/>
          <w:szCs w:val="18"/>
          <w:rtl/>
          <w:lang w:eastAsia="en-US"/>
        </w:rPr>
        <w:t xml:space="preserve"> </w:t>
      </w:r>
    </w:p>
    <w:p w:rsidR="00D92D3F" w:rsidRDefault="0063006E" w:rsidP="00502F4C">
      <w:pPr>
        <w:ind w:firstLine="0"/>
        <w:rPr>
          <w:rFonts w:ascii="Traditional Arabic" w:hAnsi="Traditional Arabic"/>
          <w:rtl/>
        </w:rPr>
      </w:pPr>
      <w:r w:rsidRPr="0063006E">
        <w:rPr>
          <w:rFonts w:ascii="Traditional Arabic" w:hAnsi="Traditional Arabic"/>
          <w:rtl/>
        </w:rPr>
        <w:t xml:space="preserve">قوله تعالى: </w:t>
      </w:r>
      <w:r w:rsidRPr="0063006E">
        <w:rPr>
          <w:rFonts w:ascii="QCF_BSML" w:hAnsi="QCF_BSML" w:cs="QCF_BSML"/>
          <w:color w:val="auto"/>
          <w:sz w:val="32"/>
          <w:szCs w:val="32"/>
          <w:rtl/>
          <w:lang w:eastAsia="en-US"/>
        </w:rPr>
        <w:t>ﭽ</w:t>
      </w:r>
      <w:r w:rsidRPr="0063006E">
        <w:rPr>
          <w:rFonts w:ascii="QCF_P306" w:hAnsi="QCF_P306" w:cs="QCF_P306"/>
          <w:color w:val="auto"/>
          <w:sz w:val="32"/>
          <w:szCs w:val="32"/>
          <w:rtl/>
          <w:lang w:eastAsia="en-US"/>
        </w:rPr>
        <w:t xml:space="preserve"> ﯝ</w:t>
      </w:r>
      <w:r w:rsidRPr="0063006E">
        <w:rPr>
          <w:rFonts w:ascii="QCF_BSML" w:hAnsi="QCF_BSML" w:cs="QCF_BSML"/>
          <w:color w:val="auto"/>
          <w:sz w:val="32"/>
          <w:szCs w:val="32"/>
          <w:rtl/>
          <w:lang w:eastAsia="en-US"/>
        </w:rPr>
        <w:t xml:space="preserve"> ﭼ</w:t>
      </w:r>
      <w:r w:rsidRPr="0063006E">
        <w:rPr>
          <w:rFonts w:ascii="Traditional Arabic" w:hAnsi="Traditional Arabic"/>
          <w:rtl/>
        </w:rPr>
        <w:t xml:space="preserve"> يعني: عيسى. وفي كيفية حملها له قولان: أحدهما: أن جبريل نفخ في جيب دِرعها، فاستمرَّ بها حملها، رواه سعيد بن جبير عن ابن عباس</w:t>
      </w:r>
      <w:r w:rsidRPr="0063006E">
        <w:rPr>
          <w:vertAlign w:val="superscript"/>
          <w:rtl/>
        </w:rPr>
        <w:t>(</w:t>
      </w:r>
      <w:r w:rsidRPr="0063006E">
        <w:rPr>
          <w:vertAlign w:val="superscript"/>
          <w:rtl/>
        </w:rPr>
        <w:footnoteReference w:id="2195"/>
      </w:r>
      <w:r w:rsidRPr="0063006E">
        <w:rPr>
          <w:vertAlign w:val="superscript"/>
          <w:rtl/>
        </w:rPr>
        <w:t>)</w:t>
      </w:r>
      <w:r w:rsidRPr="0063006E">
        <w:rPr>
          <w:rFonts w:ascii="Traditional Arabic" w:hAnsi="Traditional Arabic"/>
          <w:rtl/>
        </w:rPr>
        <w:t>. قال السدي: نفخ في جيب درعها وكان مشقوقاً من قُدَّامها، فدخلت النفخة في صدرها فحملت من وقتها</w:t>
      </w:r>
      <w:r w:rsidRPr="0063006E">
        <w:rPr>
          <w:vertAlign w:val="superscript"/>
          <w:rtl/>
        </w:rPr>
        <w:t>(</w:t>
      </w:r>
      <w:r w:rsidRPr="0063006E">
        <w:rPr>
          <w:vertAlign w:val="superscript"/>
          <w:rtl/>
        </w:rPr>
        <w:footnoteReference w:id="2196"/>
      </w:r>
      <w:r w:rsidRPr="0063006E">
        <w:rPr>
          <w:vertAlign w:val="superscript"/>
          <w:rtl/>
        </w:rPr>
        <w:t>)</w:t>
      </w:r>
      <w:r w:rsidRPr="0063006E">
        <w:rPr>
          <w:rFonts w:ascii="Traditional Arabic" w:hAnsi="Traditional Arabic"/>
          <w:rtl/>
        </w:rPr>
        <w:t xml:space="preserve">. </w:t>
      </w:r>
      <w:r w:rsidRPr="0063006E">
        <w:rPr>
          <w:rFonts w:ascii="Traditional Arabic" w:hAnsi="Traditional Arabic"/>
          <w:rtl/>
        </w:rPr>
        <w:lastRenderedPageBreak/>
        <w:t>والثاني: أنّ الذي خاطبها هو الذي حملته، ودخل مِنْ فيها، قاله أبيّ بن كعب</w:t>
      </w:r>
      <w:r w:rsidRPr="0063006E">
        <w:rPr>
          <w:vertAlign w:val="superscript"/>
          <w:rtl/>
        </w:rPr>
        <w:t>(</w:t>
      </w:r>
      <w:r w:rsidRPr="0063006E">
        <w:rPr>
          <w:vertAlign w:val="superscript"/>
          <w:rtl/>
        </w:rPr>
        <w:footnoteReference w:id="2197"/>
      </w:r>
      <w:r w:rsidRPr="0063006E">
        <w:rPr>
          <w:vertAlign w:val="superscript"/>
          <w:rtl/>
        </w:rPr>
        <w:t>)</w:t>
      </w:r>
      <w:r w:rsidRPr="0063006E">
        <w:rPr>
          <w:rFonts w:ascii="Traditional Arabic" w:hAnsi="Traditional Arabic"/>
          <w:rtl/>
        </w:rPr>
        <w:t>.</w:t>
      </w:r>
      <w:r w:rsidRPr="0063006E">
        <w:rPr>
          <w:rFonts w:ascii="Traditional Arabic" w:hAnsi="Traditional Arabic" w:hint="cs"/>
          <w:rtl/>
        </w:rPr>
        <w:t xml:space="preserve"> </w:t>
      </w:r>
      <w:r w:rsidRPr="0063006E">
        <w:rPr>
          <w:rFonts w:ascii="Traditional Arabic" w:hAnsi="Traditional Arabic"/>
          <w:rtl/>
        </w:rPr>
        <w:t>وفي مقدار حَمْلها سبعة أقوال: أحدها: أنها حين حملت وضعت، قاله ابن عباس</w:t>
      </w:r>
      <w:r w:rsidRPr="0063006E">
        <w:rPr>
          <w:vertAlign w:val="superscript"/>
          <w:rtl/>
        </w:rPr>
        <w:t>(</w:t>
      </w:r>
      <w:r w:rsidRPr="0063006E">
        <w:rPr>
          <w:vertAlign w:val="superscript"/>
          <w:rtl/>
        </w:rPr>
        <w:footnoteReference w:id="2198"/>
      </w:r>
      <w:r w:rsidRPr="0063006E">
        <w:rPr>
          <w:vertAlign w:val="superscript"/>
          <w:rtl/>
        </w:rPr>
        <w:t>)</w:t>
      </w:r>
      <w:r w:rsidRPr="0063006E">
        <w:rPr>
          <w:rFonts w:ascii="Traditional Arabic" w:hAnsi="Traditional Arabic"/>
          <w:rtl/>
        </w:rPr>
        <w:t xml:space="preserve">، والمعنى: أنه ما طال حملها، وليس المراد أنها وضعته في الحال، لأن الله تعالى يقول: </w:t>
      </w:r>
      <w:r w:rsidRPr="0063006E">
        <w:rPr>
          <w:rFonts w:ascii="QCF_BSML" w:hAnsi="QCF_BSML" w:cs="QCF_BSML"/>
          <w:color w:val="auto"/>
          <w:sz w:val="32"/>
          <w:szCs w:val="32"/>
          <w:rtl/>
          <w:lang w:eastAsia="en-US"/>
        </w:rPr>
        <w:t>ﭽ</w:t>
      </w:r>
      <w:r w:rsidRPr="0063006E">
        <w:rPr>
          <w:rFonts w:ascii="QCF_P306" w:hAnsi="QCF_P306" w:cs="QCF_P306"/>
          <w:color w:val="auto"/>
          <w:sz w:val="32"/>
          <w:szCs w:val="32"/>
          <w:rtl/>
          <w:lang w:eastAsia="en-US"/>
        </w:rPr>
        <w:t xml:space="preserve"> ﯝ  ﯞ   ﯟ</w:t>
      </w:r>
      <w:r w:rsidRPr="0063006E">
        <w:rPr>
          <w:rFonts w:ascii="QCF_BSML" w:hAnsi="QCF_BSML" w:cs="QCF_BSML"/>
          <w:color w:val="auto"/>
          <w:sz w:val="32"/>
          <w:szCs w:val="32"/>
          <w:rtl/>
          <w:lang w:eastAsia="en-US"/>
        </w:rPr>
        <w:t xml:space="preserve"> ﭼ</w:t>
      </w:r>
      <w:r w:rsidRPr="0063006E">
        <w:rPr>
          <w:rFonts w:ascii="QCF_P306" w:hAnsi="QCF_P306" w:cs="QCF_P306"/>
          <w:color w:val="auto"/>
          <w:sz w:val="32"/>
          <w:szCs w:val="32"/>
          <w:rtl/>
          <w:lang w:eastAsia="en-US"/>
        </w:rPr>
        <w:t xml:space="preserve"> </w:t>
      </w:r>
      <w:r w:rsidRPr="0063006E">
        <w:rPr>
          <w:rFonts w:ascii="Traditional Arabic" w:hAnsi="Traditional Arabic"/>
          <w:rtl/>
        </w:rPr>
        <w:t>، وهذا يدل على أن بين الحمل والوضع وقتاً يحتمل الانتباذ به. والثاني: أنها حملته تسع ساعات، ووضعت من يومها، قاله الحسن</w:t>
      </w:r>
      <w:r w:rsidRPr="0063006E">
        <w:rPr>
          <w:vertAlign w:val="superscript"/>
          <w:rtl/>
        </w:rPr>
        <w:t>(</w:t>
      </w:r>
      <w:r w:rsidRPr="0063006E">
        <w:rPr>
          <w:vertAlign w:val="superscript"/>
          <w:rtl/>
        </w:rPr>
        <w:footnoteReference w:id="2199"/>
      </w:r>
      <w:r w:rsidRPr="0063006E">
        <w:rPr>
          <w:vertAlign w:val="superscript"/>
          <w:rtl/>
        </w:rPr>
        <w:t>)</w:t>
      </w:r>
      <w:r w:rsidRPr="0063006E">
        <w:rPr>
          <w:rFonts w:ascii="Traditional Arabic" w:hAnsi="Traditional Arabic"/>
          <w:rtl/>
        </w:rPr>
        <w:t>. والثالث: تسعة أشهر قاله سعيد بن جبير</w:t>
      </w:r>
      <w:r w:rsidRPr="0063006E">
        <w:rPr>
          <w:vertAlign w:val="superscript"/>
          <w:rtl/>
        </w:rPr>
        <w:t>(</w:t>
      </w:r>
      <w:r w:rsidRPr="0063006E">
        <w:rPr>
          <w:vertAlign w:val="superscript"/>
          <w:rtl/>
        </w:rPr>
        <w:footnoteReference w:id="2200"/>
      </w:r>
      <w:r w:rsidRPr="0063006E">
        <w:rPr>
          <w:vertAlign w:val="superscript"/>
          <w:rtl/>
        </w:rPr>
        <w:t>)</w:t>
      </w:r>
      <w:r w:rsidRPr="0063006E">
        <w:rPr>
          <w:rFonts w:ascii="Traditional Arabic" w:hAnsi="Traditional Arabic"/>
          <w:rtl/>
        </w:rPr>
        <w:t>، وابن السائب</w:t>
      </w:r>
      <w:r w:rsidRPr="0063006E">
        <w:rPr>
          <w:vertAlign w:val="superscript"/>
          <w:rtl/>
        </w:rPr>
        <w:t>(</w:t>
      </w:r>
      <w:r w:rsidRPr="0063006E">
        <w:rPr>
          <w:vertAlign w:val="superscript"/>
          <w:rtl/>
        </w:rPr>
        <w:footnoteReference w:id="2201"/>
      </w:r>
      <w:r w:rsidRPr="0063006E">
        <w:rPr>
          <w:vertAlign w:val="superscript"/>
          <w:rtl/>
        </w:rPr>
        <w:t>)</w:t>
      </w:r>
      <w:r w:rsidRPr="0063006E">
        <w:rPr>
          <w:rFonts w:ascii="Traditional Arabic" w:hAnsi="Traditional Arabic"/>
          <w:rtl/>
        </w:rPr>
        <w:t>. والرابع:</w:t>
      </w:r>
      <w:r w:rsidRPr="0063006E">
        <w:rPr>
          <w:rFonts w:ascii="Traditional Arabic" w:hAnsi="Traditional Arabic" w:hint="cs"/>
          <w:rtl/>
        </w:rPr>
        <w:t xml:space="preserve"> </w:t>
      </w:r>
      <w:r w:rsidRPr="0063006E">
        <w:rPr>
          <w:rFonts w:ascii="Traditional Arabic" w:hAnsi="Traditional Arabic"/>
          <w:rtl/>
        </w:rPr>
        <w:t>ثلاث ساعات، حملته في ساعة، وصوِّر في ساعة، ووضعته في ساعة، قاله مقاتل بن سليمان</w:t>
      </w:r>
      <w:r w:rsidRPr="0063006E">
        <w:rPr>
          <w:vertAlign w:val="superscript"/>
          <w:rtl/>
        </w:rPr>
        <w:t>(</w:t>
      </w:r>
      <w:r w:rsidRPr="0063006E">
        <w:rPr>
          <w:vertAlign w:val="superscript"/>
          <w:rtl/>
        </w:rPr>
        <w:footnoteReference w:id="2202"/>
      </w:r>
      <w:r w:rsidRPr="0063006E">
        <w:rPr>
          <w:vertAlign w:val="superscript"/>
          <w:rtl/>
        </w:rPr>
        <w:t>)</w:t>
      </w:r>
      <w:r w:rsidRPr="0063006E">
        <w:rPr>
          <w:rFonts w:ascii="Traditional Arabic" w:hAnsi="Traditional Arabic"/>
          <w:rtl/>
        </w:rPr>
        <w:t>.</w:t>
      </w:r>
      <w:r w:rsidRPr="0063006E">
        <w:rPr>
          <w:rFonts w:ascii="Traditional Arabic" w:hAnsi="Traditional Arabic" w:hint="cs"/>
          <w:rtl/>
        </w:rPr>
        <w:t xml:space="preserve"> </w:t>
      </w:r>
      <w:r w:rsidRPr="0063006E">
        <w:rPr>
          <w:rFonts w:ascii="Traditional Arabic" w:hAnsi="Traditional Arabic"/>
          <w:rtl/>
        </w:rPr>
        <w:t>والخامس: ثمانية أشهر، فعاش، ولم يعش مولود قط لثمانية أشهر</w:t>
      </w:r>
      <w:r w:rsidRPr="0063006E">
        <w:rPr>
          <w:vertAlign w:val="superscript"/>
          <w:rtl/>
        </w:rPr>
        <w:t>(</w:t>
      </w:r>
      <w:r w:rsidRPr="0063006E">
        <w:rPr>
          <w:vertAlign w:val="superscript"/>
          <w:rtl/>
        </w:rPr>
        <w:footnoteReference w:id="2203"/>
      </w:r>
      <w:r w:rsidRPr="0063006E">
        <w:rPr>
          <w:vertAlign w:val="superscript"/>
          <w:rtl/>
        </w:rPr>
        <w:t>)</w:t>
      </w:r>
      <w:r w:rsidRPr="0063006E">
        <w:rPr>
          <w:rFonts w:ascii="Traditional Arabic" w:hAnsi="Traditional Arabic"/>
          <w:rtl/>
        </w:rPr>
        <w:t>، فكان في هذا آية، حكاه الزجاج</w:t>
      </w:r>
      <w:r w:rsidRPr="0063006E">
        <w:rPr>
          <w:vertAlign w:val="superscript"/>
          <w:rtl/>
        </w:rPr>
        <w:t>(</w:t>
      </w:r>
      <w:r w:rsidRPr="0063006E">
        <w:rPr>
          <w:vertAlign w:val="superscript"/>
          <w:rtl/>
        </w:rPr>
        <w:footnoteReference w:id="2204"/>
      </w:r>
      <w:r w:rsidRPr="0063006E">
        <w:rPr>
          <w:vertAlign w:val="superscript"/>
          <w:rtl/>
        </w:rPr>
        <w:t>)</w:t>
      </w:r>
      <w:r w:rsidRPr="0063006E">
        <w:rPr>
          <w:rFonts w:ascii="Traditional Arabic" w:hAnsi="Traditional Arabic"/>
          <w:rtl/>
        </w:rPr>
        <w:t>.</w:t>
      </w:r>
      <w:r w:rsidRPr="0063006E">
        <w:rPr>
          <w:rFonts w:ascii="Traditional Arabic" w:hAnsi="Traditional Arabic" w:hint="cs"/>
          <w:rtl/>
        </w:rPr>
        <w:t xml:space="preserve"> </w:t>
      </w:r>
      <w:r w:rsidRPr="0063006E">
        <w:rPr>
          <w:rFonts w:ascii="Traditional Arabic" w:hAnsi="Traditional Arabic"/>
          <w:rtl/>
        </w:rPr>
        <w:t>والسادس: في ستة أشهر، حكاه الماوردي</w:t>
      </w:r>
      <w:r w:rsidRPr="0063006E">
        <w:rPr>
          <w:vertAlign w:val="superscript"/>
          <w:rtl/>
        </w:rPr>
        <w:t>(</w:t>
      </w:r>
      <w:r w:rsidRPr="0063006E">
        <w:rPr>
          <w:vertAlign w:val="superscript"/>
          <w:rtl/>
        </w:rPr>
        <w:footnoteReference w:id="2205"/>
      </w:r>
      <w:r w:rsidRPr="0063006E">
        <w:rPr>
          <w:vertAlign w:val="superscript"/>
          <w:rtl/>
        </w:rPr>
        <w:t>)</w:t>
      </w:r>
      <w:r w:rsidRPr="0063006E">
        <w:rPr>
          <w:rFonts w:ascii="Traditional Arabic" w:hAnsi="Traditional Arabic"/>
          <w:rtl/>
        </w:rPr>
        <w:t>. والسابع: في ساعة واحدة، حكاه الثعلبي</w:t>
      </w:r>
      <w:r w:rsidRPr="0063006E">
        <w:rPr>
          <w:vertAlign w:val="superscript"/>
          <w:rtl/>
        </w:rPr>
        <w:t>(</w:t>
      </w:r>
      <w:r w:rsidRPr="0063006E">
        <w:rPr>
          <w:vertAlign w:val="superscript"/>
          <w:rtl/>
        </w:rPr>
        <w:footnoteReference w:id="2206"/>
      </w:r>
      <w:r w:rsidRPr="0063006E">
        <w:rPr>
          <w:vertAlign w:val="superscript"/>
          <w:rtl/>
        </w:rPr>
        <w:t>)</w:t>
      </w:r>
      <w:r w:rsidRPr="0063006E">
        <w:rPr>
          <w:rFonts w:ascii="Traditional Arabic" w:hAnsi="Traditional Arabic"/>
          <w:rtl/>
        </w:rPr>
        <w:t>.</w:t>
      </w:r>
      <w:r w:rsidR="00D92D3F">
        <w:rPr>
          <w:rFonts w:ascii="Traditional Arabic" w:hAnsi="Traditional Arabic" w:hint="cs"/>
          <w:rtl/>
        </w:rPr>
        <w:t xml:space="preserve"> </w:t>
      </w:r>
      <w:r w:rsidRPr="0063006E">
        <w:rPr>
          <w:rFonts w:ascii="Traditional Arabic" w:hAnsi="Traditional Arabic"/>
          <w:rtl/>
        </w:rPr>
        <w:t xml:space="preserve">قوله تعالى: </w:t>
      </w:r>
      <w:r w:rsidRPr="0063006E">
        <w:rPr>
          <w:rFonts w:ascii="QCF_BSML" w:hAnsi="QCF_BSML" w:cs="QCF_BSML"/>
          <w:color w:val="auto"/>
          <w:sz w:val="32"/>
          <w:szCs w:val="32"/>
          <w:rtl/>
          <w:lang w:eastAsia="en-US"/>
        </w:rPr>
        <w:t>ﭽ</w:t>
      </w:r>
      <w:r w:rsidRPr="0063006E">
        <w:rPr>
          <w:rFonts w:ascii="QCF_P306" w:hAnsi="QCF_P306" w:cs="QCF_P306"/>
          <w:color w:val="auto"/>
          <w:sz w:val="32"/>
          <w:szCs w:val="32"/>
          <w:rtl/>
          <w:lang w:eastAsia="en-US"/>
        </w:rPr>
        <w:t xml:space="preserve"> ﯞ   ﯟ  </w:t>
      </w:r>
      <w:r w:rsidRPr="0063006E">
        <w:rPr>
          <w:rFonts w:ascii="QCF_BSML" w:hAnsi="QCF_BSML" w:cs="QCF_BSML"/>
          <w:color w:val="auto"/>
          <w:sz w:val="32"/>
          <w:szCs w:val="32"/>
          <w:rtl/>
          <w:lang w:eastAsia="en-US"/>
        </w:rPr>
        <w:t>ﭼ</w:t>
      </w:r>
      <w:r w:rsidRPr="0063006E">
        <w:rPr>
          <w:rFonts w:ascii="Traditional Arabic" w:hAnsi="Traditional Arabic" w:hint="cs"/>
          <w:rtl/>
        </w:rPr>
        <w:t xml:space="preserve"> </w:t>
      </w:r>
      <w:r w:rsidRPr="0063006E">
        <w:rPr>
          <w:rFonts w:ascii="Traditional Arabic" w:hAnsi="Traditional Arabic"/>
          <w:rtl/>
        </w:rPr>
        <w:t xml:space="preserve">يعني بالحَمْل </w:t>
      </w:r>
      <w:r w:rsidRPr="0063006E">
        <w:rPr>
          <w:rFonts w:ascii="QCF_BSML" w:hAnsi="QCF_BSML" w:cs="QCF_BSML"/>
          <w:color w:val="auto"/>
          <w:sz w:val="32"/>
          <w:szCs w:val="32"/>
          <w:rtl/>
          <w:lang w:eastAsia="en-US"/>
        </w:rPr>
        <w:t>ﭽ</w:t>
      </w:r>
      <w:r w:rsidRPr="0063006E">
        <w:rPr>
          <w:rFonts w:ascii="QCF_P306" w:hAnsi="QCF_P306" w:cs="QCF_P306"/>
          <w:color w:val="auto"/>
          <w:sz w:val="32"/>
          <w:szCs w:val="32"/>
          <w:rtl/>
          <w:lang w:eastAsia="en-US"/>
        </w:rPr>
        <w:t xml:space="preserve"> ﯠ  ﯡ</w:t>
      </w:r>
      <w:r w:rsidRPr="0063006E">
        <w:rPr>
          <w:rFonts w:ascii="QCF_BSML" w:hAnsi="QCF_BSML" w:cs="QCF_BSML"/>
          <w:color w:val="auto"/>
          <w:sz w:val="32"/>
          <w:szCs w:val="32"/>
          <w:rtl/>
          <w:lang w:eastAsia="en-US"/>
        </w:rPr>
        <w:t xml:space="preserve"> ﭼ</w:t>
      </w:r>
      <w:r w:rsidRPr="0063006E">
        <w:rPr>
          <w:rFonts w:ascii="QCF_P306" w:hAnsi="QCF_P306" w:cs="QCF_P306"/>
          <w:color w:val="auto"/>
          <w:sz w:val="32"/>
          <w:szCs w:val="32"/>
          <w:rtl/>
          <w:lang w:eastAsia="en-US"/>
        </w:rPr>
        <w:t xml:space="preserve">  </w:t>
      </w:r>
      <w:r w:rsidRPr="0063006E">
        <w:rPr>
          <w:rFonts w:ascii="Traditional Arabic" w:hAnsi="Traditional Arabic"/>
          <w:rtl/>
        </w:rPr>
        <w:t>أي: بعيداً. وقرأ ابن مسعود، وابن أبي عبلة: «قاصياً»</w:t>
      </w:r>
      <w:r w:rsidRPr="0063006E">
        <w:rPr>
          <w:vertAlign w:val="superscript"/>
          <w:rtl/>
        </w:rPr>
        <w:t>(</w:t>
      </w:r>
      <w:r w:rsidRPr="0063006E">
        <w:rPr>
          <w:vertAlign w:val="superscript"/>
          <w:rtl/>
        </w:rPr>
        <w:footnoteReference w:id="2207"/>
      </w:r>
      <w:r w:rsidRPr="0063006E">
        <w:rPr>
          <w:vertAlign w:val="superscript"/>
          <w:rtl/>
        </w:rPr>
        <w:t>)</w:t>
      </w:r>
      <w:r w:rsidRPr="0063006E">
        <w:rPr>
          <w:rFonts w:ascii="Traditional Arabic" w:hAnsi="Traditional Arabic"/>
          <w:rtl/>
        </w:rPr>
        <w:t>. قال ابن إِسحاق: مشت ستة أميال</w:t>
      </w:r>
      <w:r w:rsidRPr="0063006E">
        <w:rPr>
          <w:vertAlign w:val="superscript"/>
          <w:rtl/>
        </w:rPr>
        <w:t>(</w:t>
      </w:r>
      <w:r w:rsidRPr="0063006E">
        <w:rPr>
          <w:vertAlign w:val="superscript"/>
          <w:rtl/>
        </w:rPr>
        <w:footnoteReference w:id="2208"/>
      </w:r>
      <w:r w:rsidRPr="0063006E">
        <w:rPr>
          <w:vertAlign w:val="superscript"/>
          <w:rtl/>
        </w:rPr>
        <w:t>)</w:t>
      </w:r>
      <w:r w:rsidRPr="0063006E">
        <w:rPr>
          <w:rFonts w:ascii="Traditional Arabic" w:hAnsi="Traditional Arabic"/>
          <w:rtl/>
        </w:rPr>
        <w:t>. قال الفراء: القصيّ</w:t>
      </w:r>
      <w:r w:rsidR="00D92D3F">
        <w:rPr>
          <w:rFonts w:ascii="Traditional Arabic" w:hAnsi="Traditional Arabic" w:hint="cs"/>
          <w:rtl/>
        </w:rPr>
        <w:t xml:space="preserve"> </w:t>
      </w:r>
      <w:r w:rsidRPr="0063006E">
        <w:rPr>
          <w:rFonts w:ascii="Traditional Arabic" w:hAnsi="Traditional Arabic"/>
          <w:rtl/>
        </w:rPr>
        <w:t>والقاصي بمعنى واحد</w:t>
      </w:r>
      <w:r w:rsidRPr="0063006E">
        <w:rPr>
          <w:vertAlign w:val="superscript"/>
          <w:rtl/>
        </w:rPr>
        <w:t>(</w:t>
      </w:r>
      <w:r w:rsidRPr="0063006E">
        <w:rPr>
          <w:vertAlign w:val="superscript"/>
          <w:rtl/>
        </w:rPr>
        <w:footnoteReference w:id="2209"/>
      </w:r>
      <w:r w:rsidRPr="0063006E">
        <w:rPr>
          <w:vertAlign w:val="superscript"/>
          <w:rtl/>
        </w:rPr>
        <w:t>)</w:t>
      </w:r>
      <w:r w:rsidRPr="0063006E">
        <w:rPr>
          <w:rFonts w:ascii="Traditional Arabic" w:hAnsi="Traditional Arabic"/>
          <w:rtl/>
        </w:rPr>
        <w:t>.</w:t>
      </w:r>
      <w:r w:rsidRPr="0063006E">
        <w:rPr>
          <w:rFonts w:ascii="Traditional Arabic" w:hAnsi="Traditional Arabic" w:hint="cs"/>
          <w:rtl/>
        </w:rPr>
        <w:t xml:space="preserve"> </w:t>
      </w:r>
      <w:r w:rsidRPr="0063006E">
        <w:rPr>
          <w:rFonts w:ascii="Traditional Arabic" w:hAnsi="Traditional Arabic"/>
          <w:rtl/>
        </w:rPr>
        <w:t xml:space="preserve">وقال غير الفراء: القصيّ والقاصي </w:t>
      </w:r>
      <w:r w:rsidRPr="0063006E">
        <w:rPr>
          <w:rFonts w:ascii="Traditional Arabic" w:hAnsi="Traditional Arabic"/>
          <w:rtl/>
        </w:rPr>
        <w:lastRenderedPageBreak/>
        <w:t>بمنزلة الشهيد والشاهد</w:t>
      </w:r>
      <w:r w:rsidRPr="0063006E">
        <w:rPr>
          <w:vertAlign w:val="superscript"/>
          <w:rtl/>
        </w:rPr>
        <w:t>(</w:t>
      </w:r>
      <w:r w:rsidRPr="0063006E">
        <w:rPr>
          <w:vertAlign w:val="superscript"/>
          <w:rtl/>
        </w:rPr>
        <w:footnoteReference w:id="2210"/>
      </w:r>
      <w:r w:rsidRPr="0063006E">
        <w:rPr>
          <w:vertAlign w:val="superscript"/>
          <w:rtl/>
        </w:rPr>
        <w:t>)</w:t>
      </w:r>
      <w:r w:rsidRPr="0063006E">
        <w:rPr>
          <w:rFonts w:ascii="Traditional Arabic" w:hAnsi="Traditional Arabic"/>
          <w:rtl/>
        </w:rPr>
        <w:t>. وإِنما بَعُدت، فراراً من قومها أن يعيِّروها بولادتها من غير زوج</w:t>
      </w:r>
      <w:r w:rsidRPr="0063006E">
        <w:rPr>
          <w:vertAlign w:val="superscript"/>
          <w:rtl/>
        </w:rPr>
        <w:t>(</w:t>
      </w:r>
      <w:r w:rsidRPr="0063006E">
        <w:rPr>
          <w:vertAlign w:val="superscript"/>
          <w:rtl/>
        </w:rPr>
        <w:footnoteReference w:id="2211"/>
      </w:r>
      <w:r w:rsidRPr="0063006E">
        <w:rPr>
          <w:vertAlign w:val="superscript"/>
          <w:rtl/>
        </w:rPr>
        <w:t>)</w:t>
      </w:r>
      <w:r w:rsidRPr="0063006E">
        <w:rPr>
          <w:rFonts w:ascii="Traditional Arabic" w:hAnsi="Traditional Arabic"/>
          <w:rtl/>
        </w:rPr>
        <w:t>.</w:t>
      </w:r>
      <w:r w:rsidRPr="0063006E">
        <w:rPr>
          <w:rFonts w:ascii="Traditional Arabic" w:hAnsi="Traditional Arabic" w:hint="cs"/>
          <w:rtl/>
        </w:rPr>
        <w:t xml:space="preserve"> </w:t>
      </w:r>
      <w:r w:rsidRPr="0063006E">
        <w:rPr>
          <w:rFonts w:ascii="Traditional Arabic" w:hAnsi="Traditional Arabic"/>
          <w:rtl/>
        </w:rPr>
        <w:t xml:space="preserve">قوله تعالى: </w:t>
      </w:r>
      <w:r w:rsidRPr="0063006E">
        <w:rPr>
          <w:rFonts w:ascii="QCF_BSML" w:hAnsi="QCF_BSML" w:cs="QCF_BSML"/>
          <w:color w:val="auto"/>
          <w:sz w:val="32"/>
          <w:szCs w:val="32"/>
          <w:rtl/>
          <w:lang w:eastAsia="en-US"/>
        </w:rPr>
        <w:t>ﭽ</w:t>
      </w:r>
      <w:r w:rsidRPr="0063006E">
        <w:rPr>
          <w:rFonts w:ascii="QCF_BSML" w:hAnsi="QCF_BSML" w:cs="QCF_BSML" w:hint="cs"/>
          <w:color w:val="auto"/>
          <w:sz w:val="32"/>
          <w:szCs w:val="32"/>
          <w:rtl/>
          <w:lang w:eastAsia="en-US"/>
        </w:rPr>
        <w:t xml:space="preserve"> </w:t>
      </w:r>
      <w:r w:rsidRPr="0063006E">
        <w:rPr>
          <w:rFonts w:ascii="QCF_P306" w:hAnsi="QCF_P306" w:cs="QCF_P306"/>
          <w:color w:val="auto"/>
          <w:sz w:val="32"/>
          <w:szCs w:val="32"/>
          <w:rtl/>
          <w:lang w:eastAsia="en-US"/>
        </w:rPr>
        <w:t>ﯣ ﯤ</w:t>
      </w:r>
      <w:r w:rsidRPr="0063006E">
        <w:rPr>
          <w:rFonts w:ascii="QCF_BSML" w:hAnsi="QCF_BSML" w:cs="QCF_BSML"/>
          <w:color w:val="auto"/>
          <w:sz w:val="32"/>
          <w:szCs w:val="32"/>
          <w:rtl/>
          <w:lang w:eastAsia="en-US"/>
        </w:rPr>
        <w:t>ﭼ</w:t>
      </w:r>
      <w:r w:rsidRPr="0063006E">
        <w:rPr>
          <w:rFonts w:ascii="QCF_P306" w:hAnsi="QCF_P306" w:cs="QCF_P306"/>
          <w:color w:val="auto"/>
          <w:sz w:val="32"/>
          <w:szCs w:val="32"/>
          <w:rtl/>
          <w:lang w:eastAsia="en-US"/>
        </w:rPr>
        <w:t xml:space="preserve">  </w:t>
      </w:r>
      <w:r w:rsidRPr="0063006E">
        <w:rPr>
          <w:rFonts w:ascii="Traditional Arabic" w:hAnsi="Traditional Arabic"/>
          <w:rtl/>
        </w:rPr>
        <w:t>وقرأ عكرمة</w:t>
      </w:r>
      <w:r w:rsidRPr="0063006E">
        <w:rPr>
          <w:vertAlign w:val="superscript"/>
          <w:rtl/>
        </w:rPr>
        <w:t>(</w:t>
      </w:r>
      <w:r w:rsidRPr="0063006E">
        <w:rPr>
          <w:vertAlign w:val="superscript"/>
          <w:rtl/>
        </w:rPr>
        <w:footnoteReference w:id="2212"/>
      </w:r>
      <w:r w:rsidRPr="0063006E">
        <w:rPr>
          <w:vertAlign w:val="superscript"/>
          <w:rtl/>
        </w:rPr>
        <w:t>)</w:t>
      </w:r>
      <w:r w:rsidRPr="0063006E">
        <w:rPr>
          <w:rFonts w:ascii="Traditional Arabic" w:hAnsi="Traditional Arabic"/>
          <w:rtl/>
        </w:rPr>
        <w:t>، وإِبراهيم النخعي، وعاصم الجحدري:</w:t>
      </w:r>
      <w:r w:rsidRPr="0063006E">
        <w:rPr>
          <w:rFonts w:ascii="Traditional Arabic" w:hAnsi="Traditional Arabic" w:hint="cs"/>
          <w:rtl/>
        </w:rPr>
        <w:t xml:space="preserve"> </w:t>
      </w:r>
      <w:r w:rsidRPr="0063006E">
        <w:rPr>
          <w:rFonts w:ascii="Traditional Arabic" w:hAnsi="Traditional Arabic"/>
          <w:rtl/>
        </w:rPr>
        <w:t>«المِخاض» بكسر الميم</w:t>
      </w:r>
      <w:r w:rsidRPr="0063006E">
        <w:rPr>
          <w:vertAlign w:val="superscript"/>
          <w:rtl/>
        </w:rPr>
        <w:t>(</w:t>
      </w:r>
      <w:r w:rsidRPr="0063006E">
        <w:rPr>
          <w:vertAlign w:val="superscript"/>
          <w:rtl/>
        </w:rPr>
        <w:footnoteReference w:id="2213"/>
      </w:r>
      <w:r w:rsidRPr="0063006E">
        <w:rPr>
          <w:vertAlign w:val="superscript"/>
          <w:rtl/>
        </w:rPr>
        <w:t>)</w:t>
      </w:r>
      <w:r w:rsidRPr="0063006E">
        <w:rPr>
          <w:rFonts w:ascii="Traditional Arabic" w:hAnsi="Traditional Arabic"/>
          <w:rtl/>
        </w:rPr>
        <w:t xml:space="preserve">. قال الفراء: المعنى: فجاء بها المخاض، فلما أُلقيت الباء، جُعلت في الفعل ألفاً، ومثله: </w:t>
      </w:r>
      <w:r w:rsidRPr="0063006E">
        <w:rPr>
          <w:rFonts w:ascii="QCF_BSML" w:hAnsi="QCF_BSML" w:cs="QCF_BSML"/>
          <w:sz w:val="32"/>
          <w:szCs w:val="32"/>
          <w:rtl/>
          <w:lang w:eastAsia="en-US"/>
        </w:rPr>
        <w:t xml:space="preserve">ﭽ </w:t>
      </w:r>
      <w:r w:rsidRPr="0063006E">
        <w:rPr>
          <w:rFonts w:ascii="QCF_P301" w:hAnsi="QCF_P301" w:cs="QCF_P301"/>
          <w:sz w:val="32"/>
          <w:szCs w:val="32"/>
          <w:rtl/>
          <w:lang w:eastAsia="en-US"/>
        </w:rPr>
        <w:t>ﭕ  ﭖ</w:t>
      </w:r>
      <w:r w:rsidRPr="0063006E">
        <w:rPr>
          <w:rFonts w:ascii="QCF_BSML" w:hAnsi="QCF_BSML" w:cs="QCF_BSML"/>
          <w:sz w:val="32"/>
          <w:szCs w:val="32"/>
          <w:rtl/>
          <w:lang w:eastAsia="en-US"/>
        </w:rPr>
        <w:t>ﭼ</w:t>
      </w:r>
      <w:r w:rsidRPr="0063006E">
        <w:rPr>
          <w:rFonts w:ascii="Arial" w:hAnsi="Arial" w:cs="Arial"/>
          <w:sz w:val="18"/>
          <w:szCs w:val="18"/>
          <w:rtl/>
          <w:lang w:eastAsia="en-US"/>
        </w:rPr>
        <w:t xml:space="preserve"> </w:t>
      </w:r>
      <w:r w:rsidRPr="0063006E">
        <w:rPr>
          <w:rFonts w:ascii="Traditional Arabic" w:hAnsi="Traditional Arabic"/>
          <w:color w:val="auto"/>
          <w:sz w:val="32"/>
          <w:szCs w:val="32"/>
          <w:rtl/>
          <w:lang w:eastAsia="en-US"/>
        </w:rPr>
        <w:t>[الكهف:٦٢]</w:t>
      </w:r>
      <w:r w:rsidRPr="0063006E">
        <w:rPr>
          <w:rFonts w:ascii="Arial" w:hAnsi="Arial" w:cs="Arial"/>
          <w:color w:val="auto"/>
          <w:sz w:val="27"/>
          <w:szCs w:val="27"/>
          <w:lang w:eastAsia="en-US"/>
        </w:rPr>
        <w:t xml:space="preserve"> </w:t>
      </w:r>
      <w:r w:rsidRPr="0063006E">
        <w:rPr>
          <w:rFonts w:ascii="Traditional Arabic" w:hAnsi="Traditional Arabic"/>
          <w:rtl/>
        </w:rPr>
        <w:t xml:space="preserve">أي: </w:t>
      </w:r>
      <w:r w:rsidRPr="0063006E">
        <w:rPr>
          <w:rFonts w:ascii="Traditional Arabic" w:hAnsi="Traditional Arabic" w:hint="cs"/>
          <w:rtl/>
        </w:rPr>
        <w:t xml:space="preserve">بغدائنا, </w:t>
      </w:r>
      <w:r w:rsidRPr="0063006E">
        <w:rPr>
          <w:rFonts w:ascii="Traditional Arabic" w:hAnsi="Traditional Arabic"/>
          <w:rtl/>
        </w:rPr>
        <w:t xml:space="preserve">ومثله: </w:t>
      </w:r>
      <w:r w:rsidRPr="0063006E">
        <w:rPr>
          <w:rFonts w:ascii="QCF_BSML" w:hAnsi="QCF_BSML" w:cs="QCF_BSML"/>
          <w:color w:val="auto"/>
          <w:sz w:val="32"/>
          <w:szCs w:val="32"/>
          <w:rtl/>
          <w:lang w:eastAsia="en-US"/>
        </w:rPr>
        <w:t xml:space="preserve">ﭽ </w:t>
      </w:r>
      <w:r w:rsidRPr="0063006E">
        <w:rPr>
          <w:rFonts w:ascii="QCF_P303" w:hAnsi="QCF_P303" w:cs="QCF_P303"/>
          <w:color w:val="auto"/>
          <w:sz w:val="32"/>
          <w:szCs w:val="32"/>
          <w:rtl/>
          <w:lang w:eastAsia="en-US"/>
        </w:rPr>
        <w:t>ﰅ  ﰆ     ﰇ</w:t>
      </w:r>
      <w:r w:rsidRPr="0063006E">
        <w:rPr>
          <w:rFonts w:ascii="QCF_BSML" w:hAnsi="QCF_BSML" w:cs="QCF_BSML"/>
          <w:color w:val="auto"/>
          <w:sz w:val="32"/>
          <w:szCs w:val="32"/>
          <w:rtl/>
          <w:lang w:eastAsia="en-US"/>
        </w:rPr>
        <w:t xml:space="preserve">ﭼ </w:t>
      </w:r>
      <w:r w:rsidRPr="0063006E">
        <w:rPr>
          <w:rFonts w:ascii="Traditional Arabic" w:hAnsi="Traditional Arabic"/>
          <w:color w:val="auto"/>
          <w:sz w:val="32"/>
          <w:szCs w:val="32"/>
          <w:rtl/>
          <w:lang w:eastAsia="en-US"/>
        </w:rPr>
        <w:t>[الكهف:</w:t>
      </w:r>
      <w:r w:rsidRPr="0063006E">
        <w:rPr>
          <w:rFonts w:ascii="Traditional Arabic" w:hAnsi="Traditional Arabic" w:hint="cs"/>
          <w:color w:val="auto"/>
          <w:sz w:val="32"/>
          <w:szCs w:val="32"/>
          <w:rtl/>
          <w:lang w:eastAsia="en-US"/>
        </w:rPr>
        <w:t>96</w:t>
      </w:r>
      <w:r w:rsidRPr="0063006E">
        <w:rPr>
          <w:rFonts w:ascii="Traditional Arabic" w:hAnsi="Traditional Arabic"/>
          <w:color w:val="auto"/>
          <w:sz w:val="32"/>
          <w:szCs w:val="32"/>
          <w:rtl/>
          <w:lang w:eastAsia="en-US"/>
        </w:rPr>
        <w:t>]</w:t>
      </w:r>
      <w:r w:rsidRPr="0063006E">
        <w:rPr>
          <w:rFonts w:ascii="Arial" w:hAnsi="Arial" w:cs="Arial"/>
          <w:color w:val="auto"/>
          <w:sz w:val="27"/>
          <w:szCs w:val="27"/>
          <w:lang w:eastAsia="en-US"/>
        </w:rPr>
        <w:t xml:space="preserve"> </w:t>
      </w:r>
      <w:r w:rsidRPr="0063006E">
        <w:rPr>
          <w:rFonts w:ascii="Traditional Arabic" w:hAnsi="Traditional Arabic"/>
          <w:rtl/>
        </w:rPr>
        <w:t>أي: بزبر الحديد</w:t>
      </w:r>
      <w:r w:rsidRPr="0063006E">
        <w:rPr>
          <w:vertAlign w:val="superscript"/>
          <w:rtl/>
        </w:rPr>
        <w:t>(</w:t>
      </w:r>
      <w:r w:rsidRPr="0063006E">
        <w:rPr>
          <w:vertAlign w:val="superscript"/>
          <w:rtl/>
        </w:rPr>
        <w:footnoteReference w:id="2214"/>
      </w:r>
      <w:r w:rsidRPr="0063006E">
        <w:rPr>
          <w:vertAlign w:val="superscript"/>
          <w:rtl/>
        </w:rPr>
        <w:t>)</w:t>
      </w:r>
      <w:r w:rsidRPr="0063006E">
        <w:rPr>
          <w:rFonts w:ascii="Traditional Arabic" w:hAnsi="Traditional Arabic"/>
          <w:rtl/>
        </w:rPr>
        <w:t>. قال أبو عبيدة:</w:t>
      </w:r>
      <w:r w:rsidRPr="0063006E">
        <w:rPr>
          <w:rFonts w:ascii="Traditional Arabic" w:hAnsi="Traditional Arabic" w:hint="cs"/>
          <w:rtl/>
        </w:rPr>
        <w:t xml:space="preserve"> </w:t>
      </w:r>
      <w:r w:rsidRPr="0063006E">
        <w:rPr>
          <w:rFonts w:ascii="Traditional Arabic" w:hAnsi="Traditional Arabic"/>
          <w:rtl/>
        </w:rPr>
        <w:t>أفعلها من</w:t>
      </w:r>
      <w:r w:rsidR="00900717">
        <w:rPr>
          <w:rFonts w:ascii="Traditional Arabic" w:hAnsi="Traditional Arabic" w:hint="cs"/>
          <w:rtl/>
        </w:rPr>
        <w:t>:</w:t>
      </w:r>
      <w:r w:rsidRPr="0063006E">
        <w:rPr>
          <w:rFonts w:ascii="Traditional Arabic" w:hAnsi="Traditional Arabic"/>
          <w:rtl/>
        </w:rPr>
        <w:t xml:space="preserve"> جاءت هي</w:t>
      </w:r>
      <w:r w:rsidR="00900717">
        <w:rPr>
          <w:rFonts w:ascii="Traditional Arabic" w:hAnsi="Traditional Arabic" w:hint="cs"/>
          <w:rtl/>
        </w:rPr>
        <w:t>,</w:t>
      </w:r>
      <w:r w:rsidRPr="0063006E">
        <w:rPr>
          <w:rFonts w:ascii="Traditional Arabic" w:hAnsi="Traditional Arabic"/>
          <w:rtl/>
        </w:rPr>
        <w:t xml:space="preserve"> فأجاءها غير</w:t>
      </w:r>
      <w:r w:rsidR="00900717">
        <w:rPr>
          <w:rFonts w:ascii="Traditional Arabic" w:hAnsi="Traditional Arabic" w:hint="cs"/>
          <w:rtl/>
        </w:rPr>
        <w:t>ُ</w:t>
      </w:r>
      <w:r w:rsidRPr="0063006E">
        <w:rPr>
          <w:rFonts w:ascii="Traditional Arabic" w:hAnsi="Traditional Arabic"/>
          <w:rtl/>
        </w:rPr>
        <w:t>ها</w:t>
      </w:r>
      <w:r w:rsidRPr="0063006E">
        <w:rPr>
          <w:vertAlign w:val="superscript"/>
          <w:rtl/>
        </w:rPr>
        <w:t>(</w:t>
      </w:r>
      <w:r w:rsidRPr="0063006E">
        <w:rPr>
          <w:vertAlign w:val="superscript"/>
          <w:rtl/>
        </w:rPr>
        <w:footnoteReference w:id="2215"/>
      </w:r>
      <w:r w:rsidRPr="0063006E">
        <w:rPr>
          <w:vertAlign w:val="superscript"/>
          <w:rtl/>
        </w:rPr>
        <w:t>)</w:t>
      </w:r>
      <w:r w:rsidRPr="0063006E">
        <w:rPr>
          <w:rFonts w:ascii="Traditional Arabic" w:hAnsi="Traditional Arabic"/>
          <w:rtl/>
        </w:rPr>
        <w:t>. وقال ابن قتيبة: المعنى: جاء بها، وألجأها، وهو من حيث</w:t>
      </w:r>
      <w:r w:rsidRPr="0063006E">
        <w:rPr>
          <w:vertAlign w:val="superscript"/>
          <w:rtl/>
        </w:rPr>
        <w:t>(</w:t>
      </w:r>
      <w:r w:rsidRPr="0063006E">
        <w:rPr>
          <w:vertAlign w:val="superscript"/>
          <w:rtl/>
        </w:rPr>
        <w:footnoteReference w:id="2216"/>
      </w:r>
      <w:r w:rsidRPr="0063006E">
        <w:rPr>
          <w:vertAlign w:val="superscript"/>
          <w:rtl/>
        </w:rPr>
        <w:t>)</w:t>
      </w:r>
      <w:r w:rsidRPr="0063006E">
        <w:rPr>
          <w:rFonts w:ascii="Traditional Arabic" w:hAnsi="Traditional Arabic"/>
          <w:rtl/>
        </w:rPr>
        <w:t>يقال: جاءت بي الحاجة إِليك، وأجاءَتني الحاجة إِليك، والمَخاض: الحمل</w:t>
      </w:r>
      <w:r w:rsidRPr="0063006E">
        <w:rPr>
          <w:vertAlign w:val="superscript"/>
          <w:rtl/>
        </w:rPr>
        <w:t>(</w:t>
      </w:r>
      <w:r w:rsidRPr="0063006E">
        <w:rPr>
          <w:vertAlign w:val="superscript"/>
          <w:rtl/>
        </w:rPr>
        <w:footnoteReference w:id="2217"/>
      </w:r>
      <w:r w:rsidRPr="0063006E">
        <w:rPr>
          <w:vertAlign w:val="superscript"/>
          <w:rtl/>
        </w:rPr>
        <w:t>)</w:t>
      </w:r>
      <w:r w:rsidRPr="0063006E">
        <w:rPr>
          <w:rFonts w:ascii="Traditional Arabic" w:hAnsi="Traditional Arabic"/>
          <w:rtl/>
        </w:rPr>
        <w:t>. وقال غيره: المخاض:</w:t>
      </w:r>
      <w:r w:rsidRPr="0063006E">
        <w:rPr>
          <w:rFonts w:ascii="Traditional Arabic" w:hAnsi="Traditional Arabic" w:hint="cs"/>
          <w:rtl/>
        </w:rPr>
        <w:t xml:space="preserve"> </w:t>
      </w:r>
      <w:r w:rsidRPr="0063006E">
        <w:rPr>
          <w:rFonts w:ascii="Traditional Arabic" w:hAnsi="Traditional Arabic"/>
          <w:rtl/>
        </w:rPr>
        <w:t>وجع الولادة</w:t>
      </w:r>
      <w:r w:rsidRPr="0063006E">
        <w:rPr>
          <w:vertAlign w:val="superscript"/>
          <w:rtl/>
        </w:rPr>
        <w:t>(</w:t>
      </w:r>
      <w:r w:rsidRPr="0063006E">
        <w:rPr>
          <w:vertAlign w:val="superscript"/>
          <w:rtl/>
        </w:rPr>
        <w:footnoteReference w:id="2218"/>
      </w:r>
      <w:r w:rsidRPr="0063006E">
        <w:rPr>
          <w:vertAlign w:val="superscript"/>
          <w:rtl/>
        </w:rPr>
        <w:t>)</w:t>
      </w:r>
      <w:r w:rsidRPr="0063006E">
        <w:rPr>
          <w:rFonts w:ascii="Traditional Arabic" w:hAnsi="Traditional Arabic"/>
          <w:rtl/>
        </w:rPr>
        <w:t>.</w:t>
      </w:r>
      <w:r w:rsidRPr="0063006E">
        <w:rPr>
          <w:rFonts w:ascii="Traditional Arabic" w:hAnsi="Traditional Arabic" w:hint="cs"/>
          <w:rtl/>
        </w:rPr>
        <w:t xml:space="preserve"> </w:t>
      </w:r>
      <w:r w:rsidRPr="0063006E">
        <w:rPr>
          <w:rFonts w:ascii="QCF_BSML" w:hAnsi="QCF_BSML" w:cs="QCF_BSML"/>
          <w:color w:val="auto"/>
          <w:sz w:val="32"/>
          <w:szCs w:val="32"/>
          <w:rtl/>
          <w:lang w:eastAsia="en-US"/>
        </w:rPr>
        <w:t>ﭽ</w:t>
      </w:r>
      <w:r w:rsidRPr="0063006E">
        <w:rPr>
          <w:rFonts w:ascii="QCF_P306" w:hAnsi="QCF_P306" w:cs="QCF_P306"/>
          <w:color w:val="auto"/>
          <w:sz w:val="32"/>
          <w:szCs w:val="32"/>
          <w:rtl/>
          <w:lang w:eastAsia="en-US"/>
        </w:rPr>
        <w:t xml:space="preserve"> ﯥ      ﯦ  ﯧ</w:t>
      </w:r>
      <w:r w:rsidRPr="0063006E">
        <w:rPr>
          <w:rFonts w:ascii="QCF_BSML" w:hAnsi="QCF_BSML" w:cs="QCF_BSML"/>
          <w:color w:val="auto"/>
          <w:sz w:val="32"/>
          <w:szCs w:val="32"/>
          <w:rtl/>
          <w:lang w:eastAsia="en-US"/>
        </w:rPr>
        <w:t xml:space="preserve"> ﭼ</w:t>
      </w:r>
      <w:r w:rsidRPr="0063006E">
        <w:rPr>
          <w:rFonts w:ascii="QCF_P306" w:hAnsi="QCF_P306" w:cs="QCF_P306"/>
          <w:color w:val="auto"/>
          <w:sz w:val="32"/>
          <w:szCs w:val="32"/>
          <w:rtl/>
          <w:lang w:eastAsia="en-US"/>
        </w:rPr>
        <w:t xml:space="preserve">    </w:t>
      </w:r>
      <w:r w:rsidRPr="0063006E">
        <w:rPr>
          <w:rFonts w:ascii="Traditional Arabic" w:hAnsi="Traditional Arabic" w:hint="cs"/>
          <w:rtl/>
        </w:rPr>
        <w:t xml:space="preserve"> </w:t>
      </w:r>
      <w:r w:rsidRPr="0063006E">
        <w:rPr>
          <w:rFonts w:ascii="Traditional Arabic" w:hAnsi="Traditional Arabic"/>
          <w:rtl/>
        </w:rPr>
        <w:t xml:space="preserve">وهو ساق النخلة، وكانت نخلة يابسة في الصحراء، ليس لها رأس </w:t>
      </w:r>
      <w:r w:rsidRPr="0063006E">
        <w:rPr>
          <w:rFonts w:ascii="Traditional Arabic" w:hAnsi="Traditional Arabic"/>
          <w:sz w:val="32"/>
          <w:szCs w:val="32"/>
          <w:rtl/>
        </w:rPr>
        <w:t>[</w:t>
      </w:r>
      <w:r w:rsidRPr="0063006E">
        <w:rPr>
          <w:rFonts w:ascii="Traditional Arabic" w:hAnsi="Traditional Arabic" w:hint="cs"/>
          <w:sz w:val="32"/>
          <w:szCs w:val="32"/>
          <w:rtl/>
        </w:rPr>
        <w:t>165</w:t>
      </w:r>
      <w:r w:rsidRPr="0063006E">
        <w:rPr>
          <w:rFonts w:ascii="Traditional Arabic" w:hAnsi="Traditional Arabic"/>
          <w:sz w:val="32"/>
          <w:szCs w:val="32"/>
          <w:rtl/>
        </w:rPr>
        <w:t>]</w:t>
      </w:r>
      <w:r w:rsidRPr="0063006E">
        <w:rPr>
          <w:rFonts w:ascii="Traditional Arabic" w:hAnsi="Traditional Arabic"/>
          <w:rtl/>
        </w:rPr>
        <w:t xml:space="preserve"> ولا سعف. </w:t>
      </w:r>
      <w:r w:rsidRPr="0063006E">
        <w:rPr>
          <w:rFonts w:ascii="QCF_P306" w:hAnsi="QCF_P306" w:cs="QCF_P306"/>
          <w:color w:val="auto"/>
          <w:sz w:val="32"/>
          <w:szCs w:val="32"/>
          <w:rtl/>
          <w:lang w:eastAsia="en-US"/>
        </w:rPr>
        <w:t xml:space="preserve">ﯨ  </w:t>
      </w:r>
      <w:r w:rsidRPr="0063006E">
        <w:rPr>
          <w:rFonts w:ascii="QCF_BSML" w:hAnsi="QCF_BSML" w:cs="QCF_BSML"/>
          <w:color w:val="auto"/>
          <w:sz w:val="32"/>
          <w:szCs w:val="32"/>
          <w:rtl/>
          <w:lang w:eastAsia="en-US"/>
        </w:rPr>
        <w:t>ﭽ</w:t>
      </w:r>
      <w:r w:rsidRPr="0063006E">
        <w:rPr>
          <w:rFonts w:ascii="QCF_P306" w:hAnsi="QCF_P306" w:cs="QCF_P306"/>
          <w:color w:val="auto"/>
          <w:sz w:val="32"/>
          <w:szCs w:val="32"/>
          <w:rtl/>
          <w:lang w:eastAsia="en-US"/>
        </w:rPr>
        <w:t>ﯩ   ﯪ  ﯫ  ﯬ</w:t>
      </w:r>
      <w:r w:rsidRPr="0063006E">
        <w:rPr>
          <w:rFonts w:ascii="QCF_BSML" w:hAnsi="QCF_BSML" w:cs="QCF_BSML"/>
          <w:color w:val="auto"/>
          <w:sz w:val="32"/>
          <w:szCs w:val="32"/>
          <w:rtl/>
          <w:lang w:eastAsia="en-US"/>
        </w:rPr>
        <w:t>ﭼ</w:t>
      </w:r>
      <w:r w:rsidRPr="0063006E">
        <w:rPr>
          <w:rFonts w:ascii="Traditional Arabic" w:hAnsi="Traditional Arabic" w:hint="cs"/>
          <w:rtl/>
        </w:rPr>
        <w:t xml:space="preserve"> </w:t>
      </w:r>
      <w:r w:rsidRPr="0063006E">
        <w:rPr>
          <w:rFonts w:ascii="Traditional Arabic" w:hAnsi="Traditional Arabic"/>
          <w:rtl/>
        </w:rPr>
        <w:t>اليوم، أو هذا الأمر، وقرأ نافع، وحمزة، والكسائي، وخلف، وحفص</w:t>
      </w:r>
      <w:r w:rsidRPr="0063006E">
        <w:rPr>
          <w:rFonts w:ascii="Traditional Arabic" w:hAnsi="Traditional Arabic" w:hint="cs"/>
          <w:rtl/>
        </w:rPr>
        <w:t xml:space="preserve"> [عن عاصم]</w:t>
      </w:r>
      <w:r w:rsidRPr="0063006E">
        <w:rPr>
          <w:vertAlign w:val="superscript"/>
          <w:rtl/>
        </w:rPr>
        <w:t>(</w:t>
      </w:r>
      <w:r w:rsidRPr="0063006E">
        <w:rPr>
          <w:vertAlign w:val="superscript"/>
          <w:rtl/>
        </w:rPr>
        <w:footnoteReference w:id="2219"/>
      </w:r>
      <w:r w:rsidRPr="0063006E">
        <w:rPr>
          <w:vertAlign w:val="superscript"/>
          <w:rtl/>
        </w:rPr>
        <w:t>)</w:t>
      </w:r>
      <w:r w:rsidRPr="0063006E">
        <w:rPr>
          <w:rFonts w:ascii="Traditional Arabic" w:hAnsi="Traditional Arabic"/>
          <w:rtl/>
        </w:rPr>
        <w:t>: «مِتُّ» بكسر الميم</w:t>
      </w:r>
      <w:r w:rsidRPr="0063006E">
        <w:rPr>
          <w:vertAlign w:val="superscript"/>
          <w:rtl/>
        </w:rPr>
        <w:t>(</w:t>
      </w:r>
      <w:r w:rsidRPr="0063006E">
        <w:rPr>
          <w:vertAlign w:val="superscript"/>
          <w:rtl/>
        </w:rPr>
        <w:footnoteReference w:id="2220"/>
      </w:r>
      <w:r w:rsidRPr="0063006E">
        <w:rPr>
          <w:vertAlign w:val="superscript"/>
          <w:rtl/>
        </w:rPr>
        <w:t>)</w:t>
      </w:r>
      <w:r w:rsidRPr="0063006E">
        <w:rPr>
          <w:rFonts w:ascii="Traditional Arabic" w:hAnsi="Traditional Arabic"/>
          <w:rtl/>
        </w:rPr>
        <w:t>. وفي سبب قولها هذا قولان: أحدهما: أنها قالته حياءً من الناس</w:t>
      </w:r>
      <w:r w:rsidRPr="0063006E">
        <w:rPr>
          <w:vertAlign w:val="superscript"/>
          <w:rtl/>
        </w:rPr>
        <w:t>(</w:t>
      </w:r>
      <w:r w:rsidRPr="0063006E">
        <w:rPr>
          <w:vertAlign w:val="superscript"/>
          <w:rtl/>
        </w:rPr>
        <w:footnoteReference w:id="2221"/>
      </w:r>
      <w:r w:rsidRPr="0063006E">
        <w:rPr>
          <w:vertAlign w:val="superscript"/>
          <w:rtl/>
        </w:rPr>
        <w:t>)</w:t>
      </w:r>
      <w:r w:rsidRPr="0063006E">
        <w:rPr>
          <w:rFonts w:ascii="Traditional Arabic" w:hAnsi="Traditional Arabic"/>
          <w:rtl/>
        </w:rPr>
        <w:t>.</w:t>
      </w:r>
      <w:r w:rsidRPr="0063006E">
        <w:rPr>
          <w:rFonts w:ascii="Traditional Arabic" w:hAnsi="Traditional Arabic" w:hint="cs"/>
          <w:rtl/>
        </w:rPr>
        <w:t xml:space="preserve"> </w:t>
      </w:r>
      <w:r w:rsidRPr="0063006E">
        <w:rPr>
          <w:rFonts w:ascii="Traditional Arabic" w:hAnsi="Traditional Arabic"/>
          <w:rtl/>
        </w:rPr>
        <w:t>والثاني: لئلا يأثموا بقذفها</w:t>
      </w:r>
      <w:r w:rsidRPr="0063006E">
        <w:rPr>
          <w:vertAlign w:val="superscript"/>
          <w:rtl/>
        </w:rPr>
        <w:t>(</w:t>
      </w:r>
      <w:r w:rsidRPr="0063006E">
        <w:rPr>
          <w:vertAlign w:val="superscript"/>
          <w:rtl/>
        </w:rPr>
        <w:footnoteReference w:id="2222"/>
      </w:r>
      <w:r w:rsidRPr="0063006E">
        <w:rPr>
          <w:vertAlign w:val="superscript"/>
          <w:rtl/>
        </w:rPr>
        <w:t>)</w:t>
      </w:r>
      <w:r w:rsidRPr="0063006E">
        <w:rPr>
          <w:rFonts w:ascii="Traditional Arabic" w:hAnsi="Traditional Arabic"/>
          <w:rtl/>
        </w:rPr>
        <w:t>.</w:t>
      </w:r>
      <w:r w:rsidRPr="0063006E">
        <w:rPr>
          <w:rFonts w:ascii="Traditional Arabic" w:hAnsi="Traditional Arabic" w:hint="cs"/>
          <w:rtl/>
        </w:rPr>
        <w:t xml:space="preserve"> </w:t>
      </w:r>
      <w:r w:rsidRPr="0063006E">
        <w:rPr>
          <w:rFonts w:ascii="Traditional Arabic" w:hAnsi="Traditional Arabic"/>
          <w:rtl/>
        </w:rPr>
        <w:t xml:space="preserve">قوله تعالى: </w:t>
      </w:r>
      <w:r w:rsidRPr="0063006E">
        <w:rPr>
          <w:rFonts w:ascii="QCF_BSML" w:hAnsi="QCF_BSML" w:cs="QCF_BSML"/>
          <w:color w:val="auto"/>
          <w:sz w:val="32"/>
          <w:szCs w:val="32"/>
          <w:rtl/>
          <w:lang w:eastAsia="en-US"/>
        </w:rPr>
        <w:t>ﭽ</w:t>
      </w:r>
      <w:r w:rsidRPr="0063006E">
        <w:rPr>
          <w:rFonts w:ascii="QCF_P306" w:hAnsi="QCF_P306" w:cs="QCF_P306"/>
          <w:color w:val="auto"/>
          <w:sz w:val="32"/>
          <w:szCs w:val="32"/>
          <w:rtl/>
          <w:lang w:eastAsia="en-US"/>
        </w:rPr>
        <w:t xml:space="preserve"> ﯭ  ﯮ  </w:t>
      </w:r>
      <w:r w:rsidRPr="0063006E">
        <w:rPr>
          <w:rFonts w:ascii="QCF_P306" w:hAnsi="QCF_P306" w:cs="QCF_P306"/>
          <w:color w:val="auto"/>
          <w:sz w:val="32"/>
          <w:szCs w:val="32"/>
          <w:rtl/>
          <w:lang w:eastAsia="en-US"/>
        </w:rPr>
        <w:lastRenderedPageBreak/>
        <w:t>ﯯ</w:t>
      </w:r>
      <w:r w:rsidRPr="0063006E">
        <w:rPr>
          <w:rFonts w:ascii="QCF_BSML" w:hAnsi="QCF_BSML" w:cs="QCF_BSML"/>
          <w:color w:val="auto"/>
          <w:sz w:val="32"/>
          <w:szCs w:val="32"/>
          <w:rtl/>
          <w:lang w:eastAsia="en-US"/>
        </w:rPr>
        <w:t xml:space="preserve"> ﭼ</w:t>
      </w:r>
      <w:r w:rsidRPr="0063006E">
        <w:rPr>
          <w:rFonts w:ascii="QCF_P306" w:hAnsi="QCF_P306" w:cs="QCF_P306"/>
          <w:color w:val="auto"/>
          <w:sz w:val="32"/>
          <w:szCs w:val="32"/>
          <w:rtl/>
          <w:lang w:eastAsia="en-US"/>
        </w:rPr>
        <w:t xml:space="preserve">  </w:t>
      </w:r>
      <w:r w:rsidRPr="0063006E">
        <w:rPr>
          <w:rFonts w:ascii="Traditional Arabic" w:hAnsi="Traditional Arabic"/>
          <w:rtl/>
        </w:rPr>
        <w:t>قرأ ابن كثير، ونافع، وأبو عمرو، وابن عامر، والكسائي، وأبو بكر عن عاصم، بكسر النون، وقرأ حمزة، وحفص عن عاصم: «نَسياً» بفتح النون</w:t>
      </w:r>
      <w:r w:rsidRPr="0063006E">
        <w:rPr>
          <w:vertAlign w:val="superscript"/>
          <w:rtl/>
        </w:rPr>
        <w:t>(</w:t>
      </w:r>
      <w:r w:rsidRPr="0063006E">
        <w:rPr>
          <w:vertAlign w:val="superscript"/>
          <w:rtl/>
        </w:rPr>
        <w:footnoteReference w:id="2223"/>
      </w:r>
      <w:r w:rsidRPr="0063006E">
        <w:rPr>
          <w:vertAlign w:val="superscript"/>
          <w:rtl/>
        </w:rPr>
        <w:t>)</w:t>
      </w:r>
      <w:r w:rsidRPr="0063006E">
        <w:rPr>
          <w:rFonts w:ascii="Traditional Arabic" w:hAnsi="Traditional Arabic"/>
          <w:rtl/>
        </w:rPr>
        <w:t>، قال الفرّاء:</w:t>
      </w:r>
      <w:r w:rsidRPr="0063006E">
        <w:rPr>
          <w:rFonts w:ascii="Traditional Arabic" w:hAnsi="Traditional Arabic" w:hint="cs"/>
          <w:rtl/>
        </w:rPr>
        <w:t xml:space="preserve"> </w:t>
      </w:r>
      <w:r w:rsidRPr="0063006E">
        <w:rPr>
          <w:rFonts w:ascii="Traditional Arabic" w:hAnsi="Traditional Arabic"/>
          <w:rtl/>
        </w:rPr>
        <w:t>وأصحاب عبد الله يقرءون: «نسيا» بفتح النون وسائر العرب بكسرها، وهما لغتان، مثل الجَسر والجِسر، والوَتر والوِتر، والفتح أحب إِليَّ</w:t>
      </w:r>
      <w:r w:rsidRPr="0063006E">
        <w:rPr>
          <w:vertAlign w:val="superscript"/>
          <w:rtl/>
        </w:rPr>
        <w:t>(</w:t>
      </w:r>
      <w:r w:rsidRPr="0063006E">
        <w:rPr>
          <w:vertAlign w:val="superscript"/>
          <w:rtl/>
        </w:rPr>
        <w:footnoteReference w:id="2224"/>
      </w:r>
      <w:r w:rsidRPr="0063006E">
        <w:rPr>
          <w:vertAlign w:val="superscript"/>
          <w:rtl/>
        </w:rPr>
        <w:t>)</w:t>
      </w:r>
      <w:r w:rsidRPr="0063006E">
        <w:rPr>
          <w:rFonts w:ascii="Traditional Arabic" w:hAnsi="Traditional Arabic" w:hint="cs"/>
          <w:rtl/>
        </w:rPr>
        <w:t>.</w:t>
      </w:r>
      <w:r w:rsidRPr="0063006E">
        <w:rPr>
          <w:rFonts w:ascii="Traditional Arabic" w:hAnsi="Traditional Arabic"/>
          <w:rtl/>
        </w:rPr>
        <w:t xml:space="preserve"> </w:t>
      </w:r>
      <w:r w:rsidRPr="0063006E">
        <w:rPr>
          <w:rFonts w:ascii="Traditional Arabic" w:hAnsi="Traditional Arabic" w:hint="cs"/>
          <w:rtl/>
        </w:rPr>
        <w:t xml:space="preserve"> </w:t>
      </w:r>
      <w:r w:rsidRPr="0063006E">
        <w:rPr>
          <w:rFonts w:ascii="Traditional Arabic" w:hAnsi="Traditional Arabic"/>
          <w:rtl/>
        </w:rPr>
        <w:t xml:space="preserve">قال أبو علي الفارسي: الكسر </w:t>
      </w:r>
      <w:r w:rsidRPr="0063006E">
        <w:rPr>
          <w:rFonts w:ascii="Traditional Arabic" w:hAnsi="Traditional Arabic" w:hint="cs"/>
          <w:rtl/>
        </w:rPr>
        <w:t>[أ</w:t>
      </w:r>
      <w:r w:rsidRPr="0063006E">
        <w:rPr>
          <w:rFonts w:ascii="Traditional Arabic" w:hAnsi="Traditional Arabic"/>
          <w:rtl/>
        </w:rPr>
        <w:t>على</w:t>
      </w:r>
      <w:r w:rsidRPr="0063006E">
        <w:rPr>
          <w:rFonts w:ascii="Traditional Arabic" w:hAnsi="Traditional Arabic" w:hint="cs"/>
          <w:rtl/>
        </w:rPr>
        <w:t>]</w:t>
      </w:r>
      <w:r w:rsidRPr="0063006E">
        <w:rPr>
          <w:vertAlign w:val="superscript"/>
          <w:rtl/>
        </w:rPr>
        <w:t>(</w:t>
      </w:r>
      <w:r w:rsidRPr="0063006E">
        <w:rPr>
          <w:vertAlign w:val="superscript"/>
          <w:rtl/>
        </w:rPr>
        <w:footnoteReference w:id="2225"/>
      </w:r>
      <w:r w:rsidRPr="0063006E">
        <w:rPr>
          <w:vertAlign w:val="superscript"/>
          <w:rtl/>
        </w:rPr>
        <w:t>)</w:t>
      </w:r>
      <w:r w:rsidRPr="0063006E">
        <w:rPr>
          <w:rFonts w:ascii="Traditional Arabic" w:hAnsi="Traditional Arabic"/>
          <w:rtl/>
        </w:rPr>
        <w:t>اللغتين</w:t>
      </w:r>
      <w:r w:rsidRPr="0063006E">
        <w:rPr>
          <w:vertAlign w:val="superscript"/>
          <w:rtl/>
        </w:rPr>
        <w:t>(</w:t>
      </w:r>
      <w:r w:rsidRPr="0063006E">
        <w:rPr>
          <w:vertAlign w:val="superscript"/>
          <w:rtl/>
        </w:rPr>
        <w:footnoteReference w:id="2226"/>
      </w:r>
      <w:r w:rsidRPr="0063006E">
        <w:rPr>
          <w:vertAlign w:val="superscript"/>
          <w:rtl/>
        </w:rPr>
        <w:t>)</w:t>
      </w:r>
      <w:r w:rsidRPr="0063006E">
        <w:rPr>
          <w:rFonts w:ascii="Traditional Arabic" w:hAnsi="Traditional Arabic"/>
          <w:rtl/>
        </w:rPr>
        <w:t>. وقال ابن الأنباري: من كسر النون قال: النِسي: اسم لما يُنسى، بمنزلة البِغض اسم لما يُبْغَض، والسِّب اسم لما يُسَب. والنَسي بفتح النون: اسم لما يُنسى أيضاً على أنه مصدر ناب عن الاسم، كما يقال: الرجل دَنِف، ودَنَف</w:t>
      </w:r>
      <w:r w:rsidR="00502F4C" w:rsidRPr="00502F4C">
        <w:rPr>
          <w:rStyle w:val="ae"/>
          <w:rtl/>
        </w:rPr>
        <w:t>(</w:t>
      </w:r>
      <w:r w:rsidR="00502F4C">
        <w:rPr>
          <w:rStyle w:val="ae"/>
          <w:rtl/>
        </w:rPr>
        <w:footnoteReference w:id="2227"/>
      </w:r>
      <w:r w:rsidR="00502F4C" w:rsidRPr="00502F4C">
        <w:rPr>
          <w:rStyle w:val="ae"/>
          <w:rtl/>
        </w:rPr>
        <w:t>)</w:t>
      </w:r>
      <w:r w:rsidRPr="0063006E">
        <w:rPr>
          <w:rFonts w:ascii="Traditional Arabic" w:hAnsi="Traditional Arabic"/>
          <w:rtl/>
        </w:rPr>
        <w:t>، فالمكسور: هو الوصف الصحيح، والمفتوح: مصدر سدَّ مسدَّ الوصف. ويمكن أن يكون النِسي والنَسي اسمين لمعنىً، كما يقال: الرِّطل والرَّطل</w:t>
      </w:r>
      <w:r w:rsidRPr="0063006E">
        <w:rPr>
          <w:vertAlign w:val="superscript"/>
          <w:rtl/>
        </w:rPr>
        <w:t>(</w:t>
      </w:r>
      <w:r w:rsidRPr="0063006E">
        <w:rPr>
          <w:vertAlign w:val="superscript"/>
          <w:rtl/>
        </w:rPr>
        <w:footnoteReference w:id="2228"/>
      </w:r>
      <w:r w:rsidRPr="0063006E">
        <w:rPr>
          <w:vertAlign w:val="superscript"/>
          <w:rtl/>
        </w:rPr>
        <w:t>)</w:t>
      </w:r>
      <w:r w:rsidRPr="0063006E">
        <w:rPr>
          <w:rFonts w:ascii="Traditional Arabic" w:hAnsi="Traditional Arabic"/>
          <w:rtl/>
        </w:rPr>
        <w:t>.</w:t>
      </w:r>
      <w:r w:rsidRPr="0063006E">
        <w:rPr>
          <w:rFonts w:ascii="Traditional Arabic" w:hAnsi="Traditional Arabic" w:hint="cs"/>
          <w:rtl/>
        </w:rPr>
        <w:t xml:space="preserve"> </w:t>
      </w:r>
      <w:r w:rsidRPr="0063006E">
        <w:rPr>
          <w:rFonts w:ascii="Traditional Arabic" w:hAnsi="Traditional Arabic"/>
          <w:rtl/>
        </w:rPr>
        <w:t xml:space="preserve">وللمفسرين في قوله تعالى: </w:t>
      </w:r>
      <w:r w:rsidRPr="0063006E">
        <w:rPr>
          <w:rFonts w:ascii="QCF_BSML" w:hAnsi="QCF_BSML" w:cs="QCF_BSML"/>
          <w:color w:val="auto"/>
          <w:sz w:val="32"/>
          <w:szCs w:val="32"/>
          <w:rtl/>
          <w:lang w:eastAsia="en-US"/>
        </w:rPr>
        <w:t>ﭽ</w:t>
      </w:r>
      <w:r w:rsidRPr="0063006E">
        <w:rPr>
          <w:rFonts w:ascii="QCF_P306" w:hAnsi="QCF_P306" w:cs="QCF_P306"/>
          <w:color w:val="auto"/>
          <w:sz w:val="32"/>
          <w:szCs w:val="32"/>
          <w:rtl/>
          <w:lang w:eastAsia="en-US"/>
        </w:rPr>
        <w:t xml:space="preserve"> ﯮ  ﯯ</w:t>
      </w:r>
      <w:r w:rsidRPr="0063006E">
        <w:rPr>
          <w:rFonts w:ascii="QCF_P306" w:hAnsi="QCF_P306" w:cs="QCF_P306" w:hint="cs"/>
          <w:color w:val="auto"/>
          <w:sz w:val="32"/>
          <w:szCs w:val="32"/>
          <w:rtl/>
          <w:lang w:eastAsia="en-US"/>
        </w:rPr>
        <w:t xml:space="preserve"> </w:t>
      </w:r>
      <w:r w:rsidRPr="0063006E">
        <w:rPr>
          <w:rFonts w:ascii="QCF_BSML" w:hAnsi="QCF_BSML" w:cs="QCF_BSML"/>
          <w:color w:val="auto"/>
          <w:sz w:val="32"/>
          <w:szCs w:val="32"/>
          <w:rtl/>
          <w:lang w:eastAsia="en-US"/>
        </w:rPr>
        <w:t>ﭼ</w:t>
      </w:r>
      <w:r w:rsidRPr="0063006E">
        <w:rPr>
          <w:rFonts w:ascii="QCF_P306" w:hAnsi="QCF_P306" w:cs="QCF_P306"/>
          <w:color w:val="auto"/>
          <w:sz w:val="32"/>
          <w:szCs w:val="32"/>
          <w:rtl/>
          <w:lang w:eastAsia="en-US"/>
        </w:rPr>
        <w:t xml:space="preserve">  </w:t>
      </w:r>
      <w:r w:rsidRPr="0063006E">
        <w:rPr>
          <w:rFonts w:ascii="Traditional Arabic" w:hAnsi="Traditional Arabic"/>
          <w:rtl/>
        </w:rPr>
        <w:t>خمسة أقوال: أحدها: يا ليتني لم أكن شيئاً، قاله الضحاك عن ابن عباس</w:t>
      </w:r>
      <w:r w:rsidRPr="0063006E">
        <w:rPr>
          <w:rFonts w:ascii="Traditional Arabic" w:hAnsi="Traditional Arabic" w:hint="cs"/>
          <w:rtl/>
        </w:rPr>
        <w:t>,</w:t>
      </w:r>
      <w:r w:rsidRPr="0063006E">
        <w:rPr>
          <w:rFonts w:ascii="Traditional Arabic" w:hAnsi="Traditional Arabic"/>
          <w:rtl/>
        </w:rPr>
        <w:t xml:space="preserve"> وبه قال عطاء وابن زيد</w:t>
      </w:r>
      <w:r w:rsidRPr="0063006E">
        <w:rPr>
          <w:vertAlign w:val="superscript"/>
          <w:rtl/>
        </w:rPr>
        <w:t>(</w:t>
      </w:r>
      <w:r w:rsidRPr="0063006E">
        <w:rPr>
          <w:vertAlign w:val="superscript"/>
          <w:rtl/>
        </w:rPr>
        <w:footnoteReference w:id="2229"/>
      </w:r>
      <w:r w:rsidRPr="0063006E">
        <w:rPr>
          <w:vertAlign w:val="superscript"/>
          <w:rtl/>
        </w:rPr>
        <w:t>)</w:t>
      </w:r>
      <w:r w:rsidRPr="0063006E">
        <w:rPr>
          <w:rFonts w:ascii="Traditional Arabic" w:hAnsi="Traditional Arabic"/>
          <w:rtl/>
        </w:rPr>
        <w:t>. والثاني: «وكنت نسيا منسيّا» أي دم حيضة ملقاة</w:t>
      </w:r>
      <w:r w:rsidRPr="0063006E">
        <w:rPr>
          <w:rFonts w:ascii="Traditional Arabic" w:hAnsi="Traditional Arabic" w:hint="cs"/>
          <w:rtl/>
        </w:rPr>
        <w:t xml:space="preserve">, </w:t>
      </w:r>
      <w:r w:rsidRPr="0063006E">
        <w:rPr>
          <w:rFonts w:ascii="Traditional Arabic" w:hAnsi="Traditional Arabic"/>
          <w:rtl/>
        </w:rPr>
        <w:t>قاله مجاهد</w:t>
      </w:r>
      <w:r w:rsidRPr="0063006E">
        <w:rPr>
          <w:vertAlign w:val="superscript"/>
          <w:rtl/>
        </w:rPr>
        <w:t>(</w:t>
      </w:r>
      <w:r w:rsidRPr="0063006E">
        <w:rPr>
          <w:vertAlign w:val="superscript"/>
          <w:rtl/>
        </w:rPr>
        <w:footnoteReference w:id="2230"/>
      </w:r>
      <w:r w:rsidRPr="0063006E">
        <w:rPr>
          <w:vertAlign w:val="superscript"/>
          <w:rtl/>
        </w:rPr>
        <w:t>)</w:t>
      </w:r>
      <w:r w:rsidRPr="0063006E">
        <w:rPr>
          <w:rFonts w:ascii="Traditional Arabic" w:hAnsi="Traditional Arabic"/>
          <w:rtl/>
        </w:rPr>
        <w:t>، و</w:t>
      </w:r>
      <w:r w:rsidRPr="0063006E">
        <w:rPr>
          <w:rFonts w:ascii="Traditional Arabic" w:hAnsi="Traditional Arabic" w:hint="cs"/>
          <w:rtl/>
        </w:rPr>
        <w:t>س</w:t>
      </w:r>
      <w:r w:rsidRPr="0063006E">
        <w:rPr>
          <w:rFonts w:ascii="Traditional Arabic" w:hAnsi="Traditional Arabic"/>
          <w:rtl/>
        </w:rPr>
        <w:t>عيد بن جبير</w:t>
      </w:r>
      <w:r w:rsidRPr="0063006E">
        <w:rPr>
          <w:vertAlign w:val="superscript"/>
          <w:rtl/>
        </w:rPr>
        <w:t>(</w:t>
      </w:r>
      <w:r w:rsidRPr="0063006E">
        <w:rPr>
          <w:vertAlign w:val="superscript"/>
          <w:rtl/>
        </w:rPr>
        <w:footnoteReference w:id="2231"/>
      </w:r>
      <w:r w:rsidRPr="0063006E">
        <w:rPr>
          <w:vertAlign w:val="superscript"/>
          <w:rtl/>
        </w:rPr>
        <w:t>)</w:t>
      </w:r>
      <w:r w:rsidRPr="0063006E">
        <w:rPr>
          <w:rFonts w:ascii="Traditional Arabic" w:hAnsi="Traditional Arabic"/>
          <w:rtl/>
        </w:rPr>
        <w:t>، و</w:t>
      </w:r>
      <w:r w:rsidRPr="0063006E">
        <w:rPr>
          <w:rFonts w:ascii="Traditional Arabic" w:hAnsi="Traditional Arabic" w:hint="cs"/>
          <w:rtl/>
        </w:rPr>
        <w:t>ع</w:t>
      </w:r>
      <w:r w:rsidRPr="0063006E">
        <w:rPr>
          <w:rFonts w:ascii="Traditional Arabic" w:hAnsi="Traditional Arabic"/>
          <w:rtl/>
        </w:rPr>
        <w:t>كرمة</w:t>
      </w:r>
      <w:r w:rsidRPr="0063006E">
        <w:rPr>
          <w:vertAlign w:val="superscript"/>
          <w:rtl/>
        </w:rPr>
        <w:t>(</w:t>
      </w:r>
      <w:r w:rsidRPr="0063006E">
        <w:rPr>
          <w:vertAlign w:val="superscript"/>
          <w:rtl/>
        </w:rPr>
        <w:footnoteReference w:id="2232"/>
      </w:r>
      <w:r w:rsidRPr="0063006E">
        <w:rPr>
          <w:vertAlign w:val="superscript"/>
          <w:rtl/>
        </w:rPr>
        <w:t>)</w:t>
      </w:r>
      <w:r w:rsidRPr="0063006E">
        <w:rPr>
          <w:rFonts w:ascii="Traditional Arabic" w:hAnsi="Traditional Arabic"/>
          <w:rtl/>
        </w:rPr>
        <w:t>. قال الفراء: النّسي: ما تلقيه المرأة من خرق اعتلالها</w:t>
      </w:r>
      <w:r w:rsidRPr="0063006E">
        <w:rPr>
          <w:vertAlign w:val="superscript"/>
          <w:rtl/>
        </w:rPr>
        <w:t>(</w:t>
      </w:r>
      <w:r w:rsidRPr="0063006E">
        <w:rPr>
          <w:vertAlign w:val="superscript"/>
          <w:rtl/>
        </w:rPr>
        <w:footnoteReference w:id="2233"/>
      </w:r>
      <w:r w:rsidRPr="0063006E">
        <w:rPr>
          <w:vertAlign w:val="superscript"/>
          <w:rtl/>
        </w:rPr>
        <w:t>)</w:t>
      </w:r>
      <w:r w:rsidRPr="0063006E">
        <w:rPr>
          <w:rFonts w:ascii="Traditional Arabic" w:hAnsi="Traditional Arabic"/>
          <w:rtl/>
        </w:rPr>
        <w:t xml:space="preserve">. وقال ابن الأنباري: هي خرق الحيض تلقيها المرأة فلا تطلبها ولا </w:t>
      </w:r>
    </w:p>
    <w:p w:rsidR="00D92D3F" w:rsidRDefault="00D92D3F" w:rsidP="00D92D3F">
      <w:pPr>
        <w:ind w:firstLine="0"/>
        <w:rPr>
          <w:rFonts w:ascii="Traditional Arabic" w:hAnsi="Traditional Arabic"/>
          <w:rtl/>
        </w:rPr>
      </w:pPr>
    </w:p>
    <w:p w:rsidR="00D92D3F" w:rsidRDefault="0063006E" w:rsidP="00D92D3F">
      <w:pPr>
        <w:ind w:firstLine="0"/>
        <w:rPr>
          <w:rFonts w:ascii="Traditional Arabic" w:hAnsi="Traditional Arabic"/>
          <w:rtl/>
        </w:rPr>
      </w:pPr>
      <w:r w:rsidRPr="0063006E">
        <w:rPr>
          <w:rFonts w:ascii="Traditional Arabic" w:hAnsi="Traditional Arabic"/>
          <w:rtl/>
        </w:rPr>
        <w:lastRenderedPageBreak/>
        <w:t>تذكرها</w:t>
      </w:r>
      <w:r w:rsidRPr="0063006E">
        <w:rPr>
          <w:vertAlign w:val="superscript"/>
          <w:rtl/>
        </w:rPr>
        <w:t>(</w:t>
      </w:r>
      <w:r w:rsidRPr="0063006E">
        <w:rPr>
          <w:vertAlign w:val="superscript"/>
          <w:rtl/>
        </w:rPr>
        <w:footnoteReference w:id="2234"/>
      </w:r>
      <w:r w:rsidRPr="0063006E">
        <w:rPr>
          <w:vertAlign w:val="superscript"/>
          <w:rtl/>
        </w:rPr>
        <w:t>)</w:t>
      </w:r>
      <w:r w:rsidRPr="0063006E">
        <w:rPr>
          <w:rFonts w:ascii="Traditional Arabic" w:hAnsi="Traditional Arabic"/>
          <w:rtl/>
        </w:rPr>
        <w:t>.</w:t>
      </w:r>
      <w:r w:rsidR="00D92D3F">
        <w:rPr>
          <w:rFonts w:ascii="Traditional Arabic" w:hAnsi="Traditional Arabic" w:hint="cs"/>
          <w:rtl/>
        </w:rPr>
        <w:t xml:space="preserve"> </w:t>
      </w:r>
      <w:r w:rsidRPr="0063006E">
        <w:rPr>
          <w:rFonts w:ascii="Traditional Arabic" w:hAnsi="Traditional Arabic"/>
          <w:rtl/>
        </w:rPr>
        <w:t>والثالث:</w:t>
      </w:r>
      <w:r w:rsidRPr="0063006E">
        <w:rPr>
          <w:rFonts w:ascii="Traditional Arabic" w:hAnsi="Traditional Arabic" w:hint="cs"/>
          <w:rtl/>
        </w:rPr>
        <w:t xml:space="preserve"> </w:t>
      </w:r>
      <w:r w:rsidRPr="0063006E">
        <w:rPr>
          <w:rFonts w:ascii="Traditional Arabic" w:hAnsi="Traditional Arabic"/>
          <w:rtl/>
        </w:rPr>
        <w:t>السقط</w:t>
      </w:r>
      <w:r w:rsidRPr="0063006E">
        <w:rPr>
          <w:vertAlign w:val="superscript"/>
          <w:rtl/>
        </w:rPr>
        <w:t>(</w:t>
      </w:r>
      <w:r w:rsidRPr="0063006E">
        <w:rPr>
          <w:vertAlign w:val="superscript"/>
          <w:rtl/>
        </w:rPr>
        <w:footnoteReference w:id="2235"/>
      </w:r>
      <w:r w:rsidRPr="0063006E">
        <w:rPr>
          <w:vertAlign w:val="superscript"/>
          <w:rtl/>
        </w:rPr>
        <w:t>)</w:t>
      </w:r>
      <w:r w:rsidRPr="0063006E">
        <w:rPr>
          <w:rFonts w:ascii="Traditional Arabic" w:hAnsi="Traditional Arabic"/>
          <w:rtl/>
        </w:rPr>
        <w:t>، قاله أبو العالية</w:t>
      </w:r>
      <w:r w:rsidRPr="0063006E">
        <w:rPr>
          <w:vertAlign w:val="superscript"/>
          <w:rtl/>
        </w:rPr>
        <w:t>(</w:t>
      </w:r>
      <w:r w:rsidRPr="0063006E">
        <w:rPr>
          <w:vertAlign w:val="superscript"/>
          <w:rtl/>
        </w:rPr>
        <w:footnoteReference w:id="2236"/>
      </w:r>
      <w:r w:rsidRPr="0063006E">
        <w:rPr>
          <w:vertAlign w:val="superscript"/>
          <w:rtl/>
        </w:rPr>
        <w:t>)</w:t>
      </w:r>
      <w:r w:rsidRPr="0063006E">
        <w:rPr>
          <w:rFonts w:ascii="Traditional Arabic" w:hAnsi="Traditional Arabic"/>
          <w:rtl/>
        </w:rPr>
        <w:t>والربيع</w:t>
      </w:r>
      <w:r w:rsidRPr="0063006E">
        <w:rPr>
          <w:vertAlign w:val="superscript"/>
          <w:rtl/>
        </w:rPr>
        <w:t>(</w:t>
      </w:r>
      <w:r w:rsidRPr="0063006E">
        <w:rPr>
          <w:vertAlign w:val="superscript"/>
          <w:rtl/>
        </w:rPr>
        <w:footnoteReference w:id="2237"/>
      </w:r>
      <w:r w:rsidRPr="0063006E">
        <w:rPr>
          <w:vertAlign w:val="superscript"/>
          <w:rtl/>
        </w:rPr>
        <w:t>)</w:t>
      </w:r>
      <w:r w:rsidRPr="0063006E">
        <w:rPr>
          <w:rFonts w:ascii="Traditional Arabic" w:hAnsi="Traditional Arabic"/>
          <w:rtl/>
        </w:rPr>
        <w:t>. والرابع: أن المعنى: ليتني لا يُدرى من أنا، قاله قتادة</w:t>
      </w:r>
      <w:r w:rsidRPr="0063006E">
        <w:rPr>
          <w:vertAlign w:val="superscript"/>
          <w:rtl/>
        </w:rPr>
        <w:t>(</w:t>
      </w:r>
      <w:r w:rsidRPr="0063006E">
        <w:rPr>
          <w:vertAlign w:val="superscript"/>
          <w:rtl/>
        </w:rPr>
        <w:footnoteReference w:id="2238"/>
      </w:r>
      <w:r w:rsidRPr="0063006E">
        <w:rPr>
          <w:vertAlign w:val="superscript"/>
          <w:rtl/>
        </w:rPr>
        <w:t>)</w:t>
      </w:r>
      <w:r w:rsidRPr="0063006E">
        <w:rPr>
          <w:rFonts w:ascii="Traditional Arabic" w:hAnsi="Traditional Arabic"/>
          <w:rtl/>
        </w:rPr>
        <w:t>. والخامس: أنه الشيء التافه يرتحل عنه القوم، فيهون عليهم فلا يرجعون إِليه، قاله ابن السائب</w:t>
      </w:r>
      <w:r w:rsidRPr="0063006E">
        <w:rPr>
          <w:vertAlign w:val="superscript"/>
          <w:rtl/>
        </w:rPr>
        <w:t>(</w:t>
      </w:r>
      <w:r w:rsidRPr="0063006E">
        <w:rPr>
          <w:vertAlign w:val="superscript"/>
          <w:rtl/>
        </w:rPr>
        <w:footnoteReference w:id="2239"/>
      </w:r>
      <w:r w:rsidRPr="0063006E">
        <w:rPr>
          <w:vertAlign w:val="superscript"/>
          <w:rtl/>
        </w:rPr>
        <w:t>)</w:t>
      </w:r>
      <w:r w:rsidRPr="0063006E">
        <w:rPr>
          <w:rFonts w:ascii="Traditional Arabic" w:hAnsi="Traditional Arabic"/>
          <w:rtl/>
        </w:rPr>
        <w:t xml:space="preserve">، وقال أبو عبيدة: النِسي والمنسي: ما ينسى من إِداوة وعصا. يعني أنه ينسى في المنزل فلا يرجع </w:t>
      </w:r>
      <w:r w:rsidRPr="0063006E">
        <w:rPr>
          <w:rFonts w:ascii="Traditional Arabic" w:hAnsi="Traditional Arabic" w:hint="cs"/>
          <w:rtl/>
        </w:rPr>
        <w:t>[</w:t>
      </w:r>
      <w:r w:rsidRPr="0063006E">
        <w:rPr>
          <w:rFonts w:ascii="Traditional Arabic" w:hAnsi="Traditional Arabic"/>
          <w:rtl/>
        </w:rPr>
        <w:t>إِليه</w:t>
      </w:r>
      <w:r w:rsidRPr="0063006E">
        <w:rPr>
          <w:rFonts w:ascii="Traditional Arabic" w:hAnsi="Traditional Arabic" w:hint="cs"/>
          <w:rtl/>
        </w:rPr>
        <w:t>]</w:t>
      </w:r>
      <w:r w:rsidRPr="0063006E">
        <w:rPr>
          <w:vertAlign w:val="superscript"/>
          <w:rtl/>
        </w:rPr>
        <w:t>(</w:t>
      </w:r>
      <w:r w:rsidRPr="0063006E">
        <w:rPr>
          <w:vertAlign w:val="superscript"/>
          <w:rtl/>
        </w:rPr>
        <w:footnoteReference w:id="2240"/>
      </w:r>
      <w:r w:rsidRPr="0063006E">
        <w:rPr>
          <w:vertAlign w:val="superscript"/>
          <w:rtl/>
        </w:rPr>
        <w:t>)</w:t>
      </w:r>
      <w:r w:rsidRPr="0063006E">
        <w:rPr>
          <w:rFonts w:ascii="Traditional Arabic" w:hAnsi="Traditional Arabic"/>
          <w:rtl/>
        </w:rPr>
        <w:t>لاحتقار صاحبه إِياه</w:t>
      </w:r>
      <w:r w:rsidRPr="0063006E">
        <w:rPr>
          <w:vertAlign w:val="superscript"/>
          <w:rtl/>
        </w:rPr>
        <w:t>(</w:t>
      </w:r>
      <w:r w:rsidRPr="0063006E">
        <w:rPr>
          <w:vertAlign w:val="superscript"/>
          <w:rtl/>
        </w:rPr>
        <w:footnoteReference w:id="2241"/>
      </w:r>
      <w:r w:rsidRPr="0063006E">
        <w:rPr>
          <w:vertAlign w:val="superscript"/>
          <w:rtl/>
        </w:rPr>
        <w:t>)</w:t>
      </w:r>
      <w:r w:rsidRPr="0063006E">
        <w:rPr>
          <w:rFonts w:ascii="Traditional Arabic" w:hAnsi="Traditional Arabic"/>
          <w:rtl/>
        </w:rPr>
        <w:t>. وقال الكسائي: معنى الآية ليتني كنت ما إِذا ذُكر لم يُطلب</w:t>
      </w:r>
      <w:r w:rsidRPr="0063006E">
        <w:rPr>
          <w:vertAlign w:val="superscript"/>
          <w:rtl/>
        </w:rPr>
        <w:t>(</w:t>
      </w:r>
      <w:r w:rsidRPr="0063006E">
        <w:rPr>
          <w:vertAlign w:val="superscript"/>
          <w:rtl/>
        </w:rPr>
        <w:footnoteReference w:id="2242"/>
      </w:r>
      <w:r w:rsidRPr="0063006E">
        <w:rPr>
          <w:vertAlign w:val="superscript"/>
          <w:rtl/>
        </w:rPr>
        <w:t>)</w:t>
      </w:r>
      <w:r w:rsidRPr="0063006E">
        <w:rPr>
          <w:rFonts w:ascii="Traditional Arabic" w:hAnsi="Traditional Arabic"/>
          <w:rtl/>
        </w:rPr>
        <w:t>.</w:t>
      </w:r>
      <w:r w:rsidRPr="0063006E">
        <w:rPr>
          <w:rFonts w:ascii="Traditional Arabic" w:hAnsi="Traditional Arabic" w:hint="cs"/>
          <w:rtl/>
        </w:rPr>
        <w:t xml:space="preserve"> </w:t>
      </w:r>
      <w:r w:rsidRPr="0063006E">
        <w:rPr>
          <w:rFonts w:ascii="Traditional Arabic" w:hAnsi="Traditional Arabic"/>
          <w:rtl/>
        </w:rPr>
        <w:t xml:space="preserve">قوله تعالى: </w:t>
      </w:r>
      <w:r w:rsidRPr="0063006E">
        <w:rPr>
          <w:rFonts w:ascii="QCF_BSML" w:hAnsi="QCF_BSML" w:cs="QCF_BSML"/>
          <w:color w:val="auto"/>
          <w:sz w:val="32"/>
          <w:szCs w:val="32"/>
          <w:rtl/>
          <w:lang w:eastAsia="en-US"/>
        </w:rPr>
        <w:t>ﭽ</w:t>
      </w:r>
      <w:r w:rsidRPr="0063006E">
        <w:rPr>
          <w:rFonts w:ascii="QCF_P306" w:hAnsi="QCF_P306" w:cs="QCF_P306"/>
          <w:color w:val="auto"/>
          <w:sz w:val="32"/>
          <w:szCs w:val="32"/>
          <w:rtl/>
          <w:lang w:eastAsia="en-US"/>
        </w:rPr>
        <w:t xml:space="preserve"> ﯱ  ﯲ  ﯳ</w:t>
      </w:r>
      <w:r w:rsidRPr="0063006E">
        <w:rPr>
          <w:rFonts w:ascii="QCF_BSML" w:hAnsi="QCF_BSML" w:cs="QCF_BSML"/>
          <w:sz w:val="32"/>
          <w:szCs w:val="32"/>
          <w:rtl/>
          <w:lang w:eastAsia="en-US"/>
        </w:rPr>
        <w:t>ﭼ</w:t>
      </w:r>
      <w:r w:rsidRPr="0063006E">
        <w:rPr>
          <w:rFonts w:ascii="QCF_P306" w:hAnsi="QCF_P306" w:cs="QCF_P306"/>
          <w:color w:val="auto"/>
          <w:sz w:val="32"/>
          <w:szCs w:val="32"/>
          <w:rtl/>
          <w:lang w:eastAsia="en-US"/>
        </w:rPr>
        <w:t xml:space="preserve">  </w:t>
      </w:r>
      <w:r w:rsidRPr="0063006E">
        <w:rPr>
          <w:rFonts w:ascii="Traditional Arabic" w:hAnsi="Traditional Arabic"/>
          <w:rtl/>
        </w:rPr>
        <w:t xml:space="preserve">قرأ ابن كثير، وأبو عمرو، وابن عامر وأبو بكر عن عاصم: «مَن تحتها» بفتح الميم، والتاء. وقرأ نافع، وحمزة، والكسائي، وحفص عن عاصم: </w:t>
      </w:r>
      <w:r w:rsidRPr="0063006E">
        <w:rPr>
          <w:rFonts w:ascii="QCF_BSML" w:hAnsi="QCF_BSML" w:cs="QCF_BSML"/>
          <w:color w:val="auto"/>
          <w:sz w:val="32"/>
          <w:szCs w:val="32"/>
          <w:rtl/>
          <w:lang w:eastAsia="en-US"/>
        </w:rPr>
        <w:t>ﭽ</w:t>
      </w:r>
      <w:r w:rsidRPr="0063006E">
        <w:rPr>
          <w:rFonts w:ascii="QCF_P306" w:hAnsi="QCF_P306" w:cs="QCF_P306"/>
          <w:color w:val="auto"/>
          <w:sz w:val="32"/>
          <w:szCs w:val="32"/>
          <w:rtl/>
          <w:lang w:eastAsia="en-US"/>
        </w:rPr>
        <w:t xml:space="preserve"> ﯲ  ﯳ </w:t>
      </w:r>
      <w:r w:rsidRPr="0063006E">
        <w:rPr>
          <w:rFonts w:ascii="QCF_BSML" w:hAnsi="QCF_BSML" w:cs="QCF_BSML"/>
          <w:sz w:val="32"/>
          <w:szCs w:val="32"/>
          <w:rtl/>
          <w:lang w:eastAsia="en-US"/>
        </w:rPr>
        <w:t>ﭼ</w:t>
      </w:r>
      <w:r w:rsidRPr="0063006E">
        <w:rPr>
          <w:rFonts w:ascii="QCF_P306" w:hAnsi="QCF_P306" w:cs="QCF_P306"/>
          <w:color w:val="auto"/>
          <w:sz w:val="32"/>
          <w:szCs w:val="32"/>
          <w:rtl/>
          <w:lang w:eastAsia="en-US"/>
        </w:rPr>
        <w:t xml:space="preserve"> </w:t>
      </w:r>
      <w:r w:rsidRPr="0063006E">
        <w:rPr>
          <w:rFonts w:ascii="Traditional Arabic" w:hAnsi="Traditional Arabic" w:hint="cs"/>
          <w:rtl/>
        </w:rPr>
        <w:t xml:space="preserve"> </w:t>
      </w:r>
      <w:r w:rsidRPr="0063006E">
        <w:rPr>
          <w:rFonts w:ascii="Traditional Arabic" w:hAnsi="Traditional Arabic"/>
          <w:rtl/>
        </w:rPr>
        <w:t>بكسر الميم والتاء، فمن قرأ بكسر الميم، ففيه وجهان: أحدهما: ناداها الملك من تحت النخلة. وقيل:</w:t>
      </w:r>
      <w:r w:rsidRPr="0063006E">
        <w:rPr>
          <w:rFonts w:ascii="Traditional Arabic" w:hAnsi="Traditional Arabic" w:hint="cs"/>
          <w:rtl/>
        </w:rPr>
        <w:t xml:space="preserve"> </w:t>
      </w:r>
      <w:r w:rsidRPr="0063006E">
        <w:rPr>
          <w:rFonts w:ascii="Traditional Arabic" w:hAnsi="Traditional Arabic"/>
          <w:rtl/>
        </w:rPr>
        <w:t>كانت على نَشَز، فناداها الملك أسفل منها. والثاني: ناداها عيسى لما خرج من بطنها</w:t>
      </w:r>
      <w:r w:rsidRPr="0063006E">
        <w:rPr>
          <w:vertAlign w:val="superscript"/>
          <w:rtl/>
        </w:rPr>
        <w:t>(</w:t>
      </w:r>
      <w:r w:rsidRPr="0063006E">
        <w:rPr>
          <w:vertAlign w:val="superscript"/>
          <w:rtl/>
        </w:rPr>
        <w:footnoteReference w:id="2243"/>
      </w:r>
      <w:r w:rsidRPr="0063006E">
        <w:rPr>
          <w:vertAlign w:val="superscript"/>
          <w:rtl/>
        </w:rPr>
        <w:t>)</w:t>
      </w:r>
      <w:r w:rsidRPr="0063006E">
        <w:rPr>
          <w:rFonts w:ascii="Traditional Arabic" w:hAnsi="Traditional Arabic"/>
          <w:rtl/>
        </w:rPr>
        <w:t>. قال ابن عباس:</w:t>
      </w:r>
      <w:r w:rsidRPr="0063006E">
        <w:rPr>
          <w:rFonts w:ascii="Traditional Arabic" w:hAnsi="Traditional Arabic" w:hint="cs"/>
          <w:rtl/>
        </w:rPr>
        <w:t xml:space="preserve"> </w:t>
      </w:r>
      <w:r w:rsidRPr="0063006E">
        <w:rPr>
          <w:rFonts w:ascii="Traditional Arabic" w:hAnsi="Traditional Arabic"/>
          <w:rtl/>
        </w:rPr>
        <w:t xml:space="preserve">كلُّ ما رفعت </w:t>
      </w:r>
      <w:r w:rsidRPr="0063006E">
        <w:rPr>
          <w:rFonts w:ascii="Traditional Arabic" w:hAnsi="Traditional Arabic" w:hint="cs"/>
          <w:rtl/>
        </w:rPr>
        <w:t>[</w:t>
      </w:r>
      <w:r w:rsidRPr="0063006E">
        <w:rPr>
          <w:rFonts w:ascii="Traditional Arabic" w:hAnsi="Traditional Arabic"/>
          <w:rtl/>
        </w:rPr>
        <w:t>إِليه</w:t>
      </w:r>
      <w:r w:rsidRPr="0063006E">
        <w:rPr>
          <w:rFonts w:ascii="Traditional Arabic" w:hAnsi="Traditional Arabic" w:hint="cs"/>
          <w:rtl/>
        </w:rPr>
        <w:t>]</w:t>
      </w:r>
      <w:r w:rsidRPr="0063006E">
        <w:rPr>
          <w:vertAlign w:val="superscript"/>
          <w:rtl/>
        </w:rPr>
        <w:t>(</w:t>
      </w:r>
      <w:r w:rsidRPr="0063006E">
        <w:rPr>
          <w:vertAlign w:val="superscript"/>
          <w:rtl/>
        </w:rPr>
        <w:footnoteReference w:id="2244"/>
      </w:r>
      <w:r w:rsidRPr="0063006E">
        <w:rPr>
          <w:vertAlign w:val="superscript"/>
          <w:rtl/>
        </w:rPr>
        <w:t>)</w:t>
      </w:r>
      <w:r w:rsidRPr="0063006E">
        <w:rPr>
          <w:rFonts w:ascii="Traditional Arabic" w:hAnsi="Traditional Arabic"/>
          <w:rtl/>
        </w:rPr>
        <w:t xml:space="preserve">طرفك، فهو </w:t>
      </w:r>
      <w:r w:rsidRPr="0063006E">
        <w:rPr>
          <w:rFonts w:ascii="Traditional Arabic" w:hAnsi="Traditional Arabic"/>
          <w:sz w:val="32"/>
          <w:szCs w:val="32"/>
          <w:rtl/>
        </w:rPr>
        <w:t>[</w:t>
      </w:r>
      <w:r w:rsidRPr="0063006E">
        <w:rPr>
          <w:rFonts w:ascii="Traditional Arabic" w:hAnsi="Traditional Arabic" w:hint="cs"/>
          <w:sz w:val="32"/>
          <w:szCs w:val="32"/>
          <w:rtl/>
        </w:rPr>
        <w:t>166</w:t>
      </w:r>
      <w:r w:rsidRPr="0063006E">
        <w:rPr>
          <w:rFonts w:ascii="Traditional Arabic" w:hAnsi="Traditional Arabic"/>
          <w:sz w:val="32"/>
          <w:szCs w:val="32"/>
          <w:rtl/>
        </w:rPr>
        <w:t>]</w:t>
      </w:r>
      <w:r w:rsidRPr="0063006E">
        <w:rPr>
          <w:rFonts w:ascii="Traditional Arabic" w:hAnsi="Traditional Arabic"/>
          <w:rtl/>
        </w:rPr>
        <w:t xml:space="preserve"> فوقك، وكلُّ ما خفضت إِليه طرفك، فهو تحتك</w:t>
      </w:r>
      <w:r w:rsidRPr="0063006E">
        <w:rPr>
          <w:vertAlign w:val="superscript"/>
          <w:rtl/>
        </w:rPr>
        <w:t>(</w:t>
      </w:r>
      <w:r w:rsidRPr="0063006E">
        <w:rPr>
          <w:vertAlign w:val="superscript"/>
          <w:rtl/>
        </w:rPr>
        <w:footnoteReference w:id="2245"/>
      </w:r>
      <w:r w:rsidRPr="0063006E">
        <w:rPr>
          <w:vertAlign w:val="superscript"/>
          <w:rtl/>
        </w:rPr>
        <w:t>)</w:t>
      </w:r>
      <w:r w:rsidRPr="0063006E">
        <w:rPr>
          <w:rFonts w:ascii="Traditional Arabic" w:hAnsi="Traditional Arabic"/>
          <w:rtl/>
        </w:rPr>
        <w:t>. ومن قرأ بفتح الميم</w:t>
      </w:r>
      <w:r w:rsidRPr="0063006E">
        <w:rPr>
          <w:vertAlign w:val="superscript"/>
          <w:rtl/>
        </w:rPr>
        <w:t>(</w:t>
      </w:r>
      <w:r w:rsidRPr="0063006E">
        <w:rPr>
          <w:vertAlign w:val="superscript"/>
          <w:rtl/>
        </w:rPr>
        <w:footnoteReference w:id="2246"/>
      </w:r>
      <w:r w:rsidRPr="0063006E">
        <w:rPr>
          <w:vertAlign w:val="superscript"/>
          <w:rtl/>
        </w:rPr>
        <w:t>)</w:t>
      </w:r>
      <w:r w:rsidRPr="0063006E">
        <w:rPr>
          <w:rFonts w:ascii="Traditional Arabic" w:hAnsi="Traditional Arabic"/>
          <w:rtl/>
        </w:rPr>
        <w:t xml:space="preserve">، ففيه </w:t>
      </w:r>
    </w:p>
    <w:p w:rsidR="00D92D3F" w:rsidRDefault="00D92D3F" w:rsidP="00D92D3F">
      <w:pPr>
        <w:ind w:firstLine="0"/>
        <w:rPr>
          <w:rFonts w:ascii="Traditional Arabic" w:hAnsi="Traditional Arabic"/>
          <w:rtl/>
        </w:rPr>
      </w:pPr>
    </w:p>
    <w:p w:rsidR="0063006E" w:rsidRPr="0063006E" w:rsidRDefault="0063006E" w:rsidP="00D92D3F">
      <w:pPr>
        <w:ind w:firstLine="0"/>
        <w:rPr>
          <w:rFonts w:ascii="Traditional Arabic" w:hAnsi="Traditional Arabic"/>
          <w:rtl/>
        </w:rPr>
      </w:pPr>
      <w:r w:rsidRPr="0063006E">
        <w:rPr>
          <w:rFonts w:ascii="Traditional Arabic" w:hAnsi="Traditional Arabic"/>
          <w:rtl/>
        </w:rPr>
        <w:lastRenderedPageBreak/>
        <w:t>الوجهان المذكوران</w:t>
      </w:r>
      <w:r w:rsidRPr="0063006E">
        <w:rPr>
          <w:vertAlign w:val="superscript"/>
          <w:rtl/>
        </w:rPr>
        <w:t>(</w:t>
      </w:r>
      <w:r w:rsidRPr="0063006E">
        <w:rPr>
          <w:vertAlign w:val="superscript"/>
          <w:rtl/>
        </w:rPr>
        <w:footnoteReference w:id="2247"/>
      </w:r>
      <w:r w:rsidRPr="0063006E">
        <w:rPr>
          <w:vertAlign w:val="superscript"/>
          <w:rtl/>
        </w:rPr>
        <w:t>)</w:t>
      </w:r>
      <w:r w:rsidRPr="0063006E">
        <w:rPr>
          <w:rFonts w:ascii="Traditional Arabic" w:hAnsi="Traditional Arabic"/>
          <w:rtl/>
        </w:rPr>
        <w:t>، وكان الفراء يقول: ما خاطبها إِلا الملك على القراءتين جميعاً</w:t>
      </w:r>
      <w:r w:rsidRPr="0063006E">
        <w:rPr>
          <w:vertAlign w:val="superscript"/>
          <w:rtl/>
        </w:rPr>
        <w:t>(</w:t>
      </w:r>
      <w:r w:rsidRPr="0063006E">
        <w:rPr>
          <w:vertAlign w:val="superscript"/>
          <w:rtl/>
        </w:rPr>
        <w:footnoteReference w:id="2248"/>
      </w:r>
      <w:r w:rsidRPr="0063006E">
        <w:rPr>
          <w:vertAlign w:val="superscript"/>
          <w:rtl/>
        </w:rPr>
        <w:t>)</w:t>
      </w:r>
      <w:r w:rsidRPr="0063006E">
        <w:rPr>
          <w:rFonts w:ascii="Traditional Arabic" w:hAnsi="Traditional Arabic"/>
          <w:rtl/>
        </w:rPr>
        <w:t>.</w:t>
      </w:r>
      <w:r w:rsidRPr="0063006E">
        <w:rPr>
          <w:rFonts w:ascii="Traditional Arabic" w:hAnsi="Traditional Arabic" w:hint="cs"/>
          <w:rtl/>
        </w:rPr>
        <w:t xml:space="preserve"> ق</w:t>
      </w:r>
      <w:r w:rsidRPr="0063006E">
        <w:rPr>
          <w:rFonts w:ascii="Traditional Arabic" w:hAnsi="Traditional Arabic"/>
          <w:rtl/>
        </w:rPr>
        <w:t xml:space="preserve">وله تعالى: </w:t>
      </w:r>
      <w:r w:rsidRPr="0063006E">
        <w:rPr>
          <w:rFonts w:ascii="QCF_BSML" w:hAnsi="QCF_BSML" w:cs="QCF_BSML"/>
          <w:color w:val="auto"/>
          <w:sz w:val="32"/>
          <w:szCs w:val="32"/>
          <w:rtl/>
          <w:lang w:eastAsia="en-US"/>
        </w:rPr>
        <w:t>ﭽ</w:t>
      </w:r>
      <w:r w:rsidRPr="0063006E">
        <w:rPr>
          <w:rFonts w:ascii="QCF_P306" w:hAnsi="QCF_P306" w:cs="QCF_P306"/>
          <w:color w:val="auto"/>
          <w:sz w:val="32"/>
          <w:szCs w:val="32"/>
          <w:rtl/>
          <w:lang w:eastAsia="en-US"/>
        </w:rPr>
        <w:t xml:space="preserve"> ﯶ  ﯷ  ﯸ  ﯹ  ﯺ</w:t>
      </w:r>
      <w:r w:rsidRPr="0063006E">
        <w:rPr>
          <w:rFonts w:ascii="QCF_BSML" w:hAnsi="QCF_BSML" w:cs="QCF_BSML"/>
          <w:sz w:val="32"/>
          <w:szCs w:val="32"/>
          <w:rtl/>
          <w:lang w:eastAsia="en-US"/>
        </w:rPr>
        <w:t xml:space="preserve"> ﭼ</w:t>
      </w:r>
      <w:r w:rsidRPr="0063006E">
        <w:rPr>
          <w:rFonts w:ascii="QCF_P306" w:hAnsi="QCF_P306" w:cs="QCF_P306" w:hint="cs"/>
          <w:color w:val="auto"/>
          <w:sz w:val="32"/>
          <w:szCs w:val="32"/>
          <w:rtl/>
          <w:lang w:eastAsia="en-US"/>
        </w:rPr>
        <w:t xml:space="preserve">  </w:t>
      </w:r>
      <w:r w:rsidRPr="0063006E">
        <w:rPr>
          <w:rFonts w:ascii="QCF_P306" w:hAnsi="QCF_P306" w:cs="QCF_P306"/>
          <w:color w:val="auto"/>
          <w:sz w:val="32"/>
          <w:szCs w:val="32"/>
          <w:rtl/>
          <w:lang w:eastAsia="en-US"/>
        </w:rPr>
        <w:t xml:space="preserve">  </w:t>
      </w:r>
      <w:r w:rsidRPr="0063006E">
        <w:rPr>
          <w:rFonts w:ascii="Traditional Arabic" w:hAnsi="Traditional Arabic"/>
          <w:rtl/>
        </w:rPr>
        <w:t>فيه قولان: أحدهما: أنه النهر الصغير، قاله جمهور المفسرين</w:t>
      </w:r>
      <w:r w:rsidRPr="0063006E">
        <w:rPr>
          <w:vertAlign w:val="superscript"/>
          <w:rtl/>
        </w:rPr>
        <w:t>(</w:t>
      </w:r>
      <w:r w:rsidRPr="0063006E">
        <w:rPr>
          <w:vertAlign w:val="superscript"/>
          <w:rtl/>
        </w:rPr>
        <w:footnoteReference w:id="2249"/>
      </w:r>
      <w:r w:rsidRPr="0063006E">
        <w:rPr>
          <w:vertAlign w:val="superscript"/>
          <w:rtl/>
        </w:rPr>
        <w:t>)</w:t>
      </w:r>
      <w:r w:rsidRPr="0063006E">
        <w:rPr>
          <w:rFonts w:ascii="Traditional Arabic" w:hAnsi="Traditional Arabic"/>
          <w:rtl/>
        </w:rPr>
        <w:t>، واللغويون</w:t>
      </w:r>
      <w:r w:rsidRPr="0063006E">
        <w:rPr>
          <w:vertAlign w:val="superscript"/>
          <w:rtl/>
        </w:rPr>
        <w:t>(</w:t>
      </w:r>
      <w:r w:rsidRPr="0063006E">
        <w:rPr>
          <w:vertAlign w:val="superscript"/>
          <w:rtl/>
        </w:rPr>
        <w:footnoteReference w:id="2250"/>
      </w:r>
      <w:r w:rsidRPr="0063006E">
        <w:rPr>
          <w:vertAlign w:val="superscript"/>
          <w:rtl/>
        </w:rPr>
        <w:t>)</w:t>
      </w:r>
      <w:r w:rsidRPr="0063006E">
        <w:rPr>
          <w:rFonts w:ascii="Traditional Arabic" w:hAnsi="Traditional Arabic"/>
          <w:rtl/>
        </w:rPr>
        <w:t>، قال أبو صالح، وابن جريج: هو الجدول بالسريانية</w:t>
      </w:r>
      <w:r w:rsidRPr="0063006E">
        <w:rPr>
          <w:vertAlign w:val="superscript"/>
          <w:rtl/>
        </w:rPr>
        <w:t>(</w:t>
      </w:r>
      <w:r w:rsidRPr="0063006E">
        <w:rPr>
          <w:vertAlign w:val="superscript"/>
          <w:rtl/>
        </w:rPr>
        <w:footnoteReference w:id="2251"/>
      </w:r>
      <w:r w:rsidRPr="0063006E">
        <w:rPr>
          <w:vertAlign w:val="superscript"/>
          <w:rtl/>
        </w:rPr>
        <w:t>)</w:t>
      </w:r>
      <w:r w:rsidRPr="0063006E">
        <w:rPr>
          <w:rFonts w:ascii="Traditional Arabic" w:hAnsi="Traditional Arabic"/>
          <w:rtl/>
        </w:rPr>
        <w:t>. والثاني: أنه عيسى كان سرياً من الرجال، قاله الحسن</w:t>
      </w:r>
      <w:r w:rsidRPr="0063006E">
        <w:rPr>
          <w:vertAlign w:val="superscript"/>
          <w:rtl/>
        </w:rPr>
        <w:t>(</w:t>
      </w:r>
      <w:r w:rsidRPr="0063006E">
        <w:rPr>
          <w:vertAlign w:val="superscript"/>
          <w:rtl/>
        </w:rPr>
        <w:footnoteReference w:id="2252"/>
      </w:r>
      <w:r w:rsidRPr="0063006E">
        <w:rPr>
          <w:vertAlign w:val="superscript"/>
          <w:rtl/>
        </w:rPr>
        <w:t>)</w:t>
      </w:r>
      <w:r w:rsidRPr="0063006E">
        <w:rPr>
          <w:rFonts w:ascii="Traditional Arabic" w:hAnsi="Traditional Arabic"/>
          <w:rtl/>
        </w:rPr>
        <w:t>، وعكرمة</w:t>
      </w:r>
      <w:r w:rsidRPr="0063006E">
        <w:rPr>
          <w:vertAlign w:val="superscript"/>
          <w:rtl/>
        </w:rPr>
        <w:t>(</w:t>
      </w:r>
      <w:r w:rsidRPr="0063006E">
        <w:rPr>
          <w:vertAlign w:val="superscript"/>
          <w:rtl/>
        </w:rPr>
        <w:footnoteReference w:id="2253"/>
      </w:r>
      <w:r w:rsidRPr="0063006E">
        <w:rPr>
          <w:vertAlign w:val="superscript"/>
          <w:rtl/>
        </w:rPr>
        <w:t>)</w:t>
      </w:r>
      <w:r w:rsidRPr="0063006E">
        <w:rPr>
          <w:rFonts w:ascii="Traditional Arabic" w:hAnsi="Traditional Arabic"/>
          <w:rtl/>
        </w:rPr>
        <w:t xml:space="preserve">، </w:t>
      </w:r>
      <w:r w:rsidRPr="0063006E">
        <w:rPr>
          <w:rFonts w:ascii="Traditional Arabic" w:hAnsi="Traditional Arabic" w:hint="cs"/>
          <w:rtl/>
        </w:rPr>
        <w:t>[</w:t>
      </w:r>
      <w:r w:rsidRPr="0063006E">
        <w:rPr>
          <w:rFonts w:ascii="Traditional Arabic" w:hAnsi="Traditional Arabic"/>
          <w:rtl/>
        </w:rPr>
        <w:t>وابن زيد</w:t>
      </w:r>
      <w:r w:rsidRPr="0063006E">
        <w:rPr>
          <w:rFonts w:ascii="Traditional Arabic" w:hAnsi="Traditional Arabic" w:hint="cs"/>
          <w:rtl/>
        </w:rPr>
        <w:t>]</w:t>
      </w:r>
      <w:r w:rsidRPr="0063006E">
        <w:rPr>
          <w:vertAlign w:val="superscript"/>
          <w:rtl/>
        </w:rPr>
        <w:t>(</w:t>
      </w:r>
      <w:r w:rsidRPr="0063006E">
        <w:rPr>
          <w:vertAlign w:val="superscript"/>
          <w:rtl/>
        </w:rPr>
        <w:footnoteReference w:id="2254"/>
      </w:r>
      <w:r w:rsidRPr="0063006E">
        <w:rPr>
          <w:vertAlign w:val="superscript"/>
          <w:rtl/>
        </w:rPr>
        <w:t>)(</w:t>
      </w:r>
      <w:r w:rsidRPr="0063006E">
        <w:rPr>
          <w:vertAlign w:val="superscript"/>
          <w:rtl/>
        </w:rPr>
        <w:footnoteReference w:id="2255"/>
      </w:r>
      <w:r w:rsidRPr="0063006E">
        <w:rPr>
          <w:vertAlign w:val="superscript"/>
          <w:rtl/>
        </w:rPr>
        <w:t>)</w:t>
      </w:r>
      <w:r w:rsidRPr="0063006E">
        <w:rPr>
          <w:rFonts w:ascii="Traditional Arabic" w:hAnsi="Traditional Arabic"/>
          <w:rtl/>
        </w:rPr>
        <w:t>، قال ابن الأنباري: وقد رجع الحسن عن هذا القول إِلى القول الأول، ولو كان وصفاً لعيسى، كان غلاماً سريّا أو س</w:t>
      </w:r>
      <w:r w:rsidRPr="0063006E">
        <w:rPr>
          <w:rFonts w:ascii="Traditional Arabic" w:hAnsi="Traditional Arabic" w:hint="cs"/>
          <w:rtl/>
        </w:rPr>
        <w:t>و</w:t>
      </w:r>
      <w:r w:rsidRPr="0063006E">
        <w:rPr>
          <w:rFonts w:ascii="Traditional Arabic" w:hAnsi="Traditional Arabic"/>
          <w:rtl/>
        </w:rPr>
        <w:t>يّا</w:t>
      </w:r>
      <w:r w:rsidRPr="0063006E">
        <w:rPr>
          <w:vertAlign w:val="superscript"/>
          <w:rtl/>
        </w:rPr>
        <w:t>(</w:t>
      </w:r>
      <w:r w:rsidRPr="0063006E">
        <w:rPr>
          <w:vertAlign w:val="superscript"/>
          <w:rtl/>
        </w:rPr>
        <w:footnoteReference w:id="2256"/>
      </w:r>
      <w:r w:rsidRPr="0063006E">
        <w:rPr>
          <w:vertAlign w:val="superscript"/>
          <w:rtl/>
        </w:rPr>
        <w:t>)</w:t>
      </w:r>
      <w:r w:rsidRPr="0063006E">
        <w:rPr>
          <w:rFonts w:ascii="Traditional Arabic" w:hAnsi="Traditional Arabic"/>
          <w:rtl/>
        </w:rPr>
        <w:t>من الغلمان، وقلَّما تقول العرب: رأيت عندك نبيلاً، حتى يقولوا: رجلاً نبيلاً</w:t>
      </w:r>
      <w:r w:rsidRPr="0063006E">
        <w:rPr>
          <w:vertAlign w:val="superscript"/>
          <w:rtl/>
        </w:rPr>
        <w:t>(</w:t>
      </w:r>
      <w:r w:rsidRPr="0063006E">
        <w:rPr>
          <w:vertAlign w:val="superscript"/>
          <w:rtl/>
        </w:rPr>
        <w:footnoteReference w:id="2257"/>
      </w:r>
      <w:r w:rsidRPr="0063006E">
        <w:rPr>
          <w:vertAlign w:val="superscript"/>
          <w:rtl/>
        </w:rPr>
        <w:t>)</w:t>
      </w:r>
      <w:r w:rsidRPr="0063006E">
        <w:rPr>
          <w:rFonts w:ascii="Traditional Arabic" w:hAnsi="Traditional Arabic"/>
          <w:rtl/>
        </w:rPr>
        <w:t>.</w:t>
      </w:r>
      <w:r w:rsidRPr="0063006E">
        <w:rPr>
          <w:rFonts w:ascii="Traditional Arabic" w:hAnsi="Traditional Arabic" w:hint="cs"/>
          <w:rtl/>
        </w:rPr>
        <w:t xml:space="preserve"> </w:t>
      </w:r>
      <w:r w:rsidRPr="0063006E">
        <w:rPr>
          <w:rFonts w:ascii="Traditional Arabic" w:hAnsi="Traditional Arabic"/>
          <w:rtl/>
        </w:rPr>
        <w:t>فإن قيل: كيف ناسب تسليتها أن قيل: لا تحزني، فهذا نهر يجري؟ فالجواب من وجهين:</w:t>
      </w:r>
      <w:r w:rsidRPr="0063006E">
        <w:rPr>
          <w:rFonts w:ascii="Traditional Arabic" w:hAnsi="Traditional Arabic" w:hint="cs"/>
          <w:rtl/>
        </w:rPr>
        <w:t xml:space="preserve"> </w:t>
      </w:r>
      <w:r w:rsidRPr="0063006E">
        <w:rPr>
          <w:rFonts w:ascii="Traditional Arabic" w:hAnsi="Traditional Arabic"/>
          <w:rtl/>
        </w:rPr>
        <w:t>أحدهما: أنها حزنت لجدب مكانها الذي ولدت فيه، وعدم الطعام والشراب والماء الذي يتطهّر به، فقيل: لا تحزني قد أجرينا لك نهراً، وأطلعنا لك رطباً، قاله أبو صالح عن ابن عباس</w:t>
      </w:r>
      <w:r w:rsidRPr="0063006E">
        <w:rPr>
          <w:vertAlign w:val="superscript"/>
          <w:rtl/>
        </w:rPr>
        <w:t>(</w:t>
      </w:r>
      <w:r w:rsidRPr="0063006E">
        <w:rPr>
          <w:vertAlign w:val="superscript"/>
          <w:rtl/>
        </w:rPr>
        <w:footnoteReference w:id="2258"/>
      </w:r>
      <w:r w:rsidRPr="0063006E">
        <w:rPr>
          <w:vertAlign w:val="superscript"/>
          <w:rtl/>
        </w:rPr>
        <w:t>)</w:t>
      </w:r>
      <w:r w:rsidRPr="0063006E">
        <w:rPr>
          <w:rFonts w:ascii="Traditional Arabic" w:hAnsi="Traditional Arabic"/>
          <w:rtl/>
        </w:rPr>
        <w:t xml:space="preserve">. والثاني: أنها حزنت لِما جرى عليها من ولادة ولد </w:t>
      </w:r>
      <w:r w:rsidRPr="0063006E">
        <w:rPr>
          <w:rFonts w:ascii="Traditional Arabic" w:hAnsi="Traditional Arabic" w:hint="cs"/>
          <w:rtl/>
        </w:rPr>
        <w:t>[م</w:t>
      </w:r>
      <w:r w:rsidRPr="0063006E">
        <w:rPr>
          <w:rFonts w:ascii="Traditional Arabic" w:hAnsi="Traditional Arabic"/>
          <w:rtl/>
        </w:rPr>
        <w:t>ن</w:t>
      </w:r>
      <w:r w:rsidRPr="0063006E">
        <w:rPr>
          <w:rFonts w:ascii="Traditional Arabic" w:hAnsi="Traditional Arabic" w:hint="cs"/>
          <w:rtl/>
        </w:rPr>
        <w:t>]</w:t>
      </w:r>
      <w:r w:rsidRPr="0063006E">
        <w:rPr>
          <w:vertAlign w:val="superscript"/>
          <w:rtl/>
        </w:rPr>
        <w:t>(</w:t>
      </w:r>
      <w:r w:rsidRPr="0063006E">
        <w:rPr>
          <w:vertAlign w:val="superscript"/>
          <w:rtl/>
        </w:rPr>
        <w:footnoteReference w:id="2259"/>
      </w:r>
      <w:r w:rsidRPr="0063006E">
        <w:rPr>
          <w:vertAlign w:val="superscript"/>
          <w:rtl/>
        </w:rPr>
        <w:t>)</w:t>
      </w:r>
      <w:r w:rsidRPr="0063006E">
        <w:rPr>
          <w:rFonts w:ascii="Traditional Arabic" w:hAnsi="Traditional Arabic" w:hint="cs"/>
          <w:rtl/>
        </w:rPr>
        <w:t>غير زوج</w:t>
      </w:r>
      <w:r w:rsidRPr="0063006E">
        <w:rPr>
          <w:rFonts w:ascii="Traditional Arabic" w:hAnsi="Traditional Arabic"/>
          <w:rtl/>
        </w:rPr>
        <w:t xml:space="preserve">، فأجرى الله تعالى لها نهراً، فجاءها من الأردنِّ، وأخرج لها الرَّطب من الشجرة اليابسة، فكان ذلك آية تدل على قدرة الله </w:t>
      </w:r>
      <w:r w:rsidRPr="0063006E">
        <w:rPr>
          <w:rFonts w:ascii="Traditional Arabic" w:hAnsi="Traditional Arabic"/>
          <w:rtl/>
        </w:rPr>
        <w:lastRenderedPageBreak/>
        <w:t>عزّ وجلّ في إِيجاد عيسى، قاله مقاتل</w:t>
      </w:r>
      <w:r w:rsidRPr="0063006E">
        <w:rPr>
          <w:vertAlign w:val="superscript"/>
          <w:rtl/>
        </w:rPr>
        <w:t>(</w:t>
      </w:r>
      <w:r w:rsidRPr="0063006E">
        <w:rPr>
          <w:vertAlign w:val="superscript"/>
          <w:rtl/>
        </w:rPr>
        <w:footnoteReference w:id="2260"/>
      </w:r>
      <w:r w:rsidRPr="0063006E">
        <w:rPr>
          <w:vertAlign w:val="superscript"/>
          <w:rtl/>
        </w:rPr>
        <w:t>)</w:t>
      </w:r>
      <w:r w:rsidRPr="0063006E">
        <w:rPr>
          <w:rFonts w:ascii="Traditional Arabic" w:hAnsi="Traditional Arabic"/>
          <w:rtl/>
        </w:rPr>
        <w:t>.</w:t>
      </w:r>
      <w:r w:rsidRPr="0063006E">
        <w:rPr>
          <w:rFonts w:ascii="Traditional Arabic" w:hAnsi="Traditional Arabic" w:hint="cs"/>
          <w:rtl/>
        </w:rPr>
        <w:t xml:space="preserve"> </w:t>
      </w:r>
      <w:r w:rsidRPr="0063006E">
        <w:rPr>
          <w:rFonts w:ascii="Traditional Arabic" w:hAnsi="Traditional Arabic"/>
          <w:rtl/>
        </w:rPr>
        <w:t xml:space="preserve">قوله تعالى: </w:t>
      </w:r>
      <w:r w:rsidRPr="0063006E">
        <w:rPr>
          <w:rFonts w:ascii="QCF_BSML" w:hAnsi="QCF_BSML" w:cs="QCF_BSML"/>
          <w:color w:val="auto"/>
          <w:sz w:val="32"/>
          <w:szCs w:val="32"/>
          <w:rtl/>
          <w:lang w:eastAsia="en-US"/>
        </w:rPr>
        <w:t>ﭽ</w:t>
      </w:r>
      <w:r w:rsidRPr="0063006E">
        <w:rPr>
          <w:rFonts w:ascii="QCF_P306" w:hAnsi="QCF_P306" w:cs="QCF_P306"/>
          <w:color w:val="auto"/>
          <w:sz w:val="32"/>
          <w:szCs w:val="32"/>
          <w:rtl/>
          <w:lang w:eastAsia="en-US"/>
        </w:rPr>
        <w:t xml:space="preserve"> ﯼ  ﯽ</w:t>
      </w:r>
      <w:r w:rsidRPr="0063006E">
        <w:rPr>
          <w:rFonts w:ascii="QCF_BSML" w:hAnsi="QCF_BSML" w:cs="QCF_BSML"/>
          <w:sz w:val="32"/>
          <w:szCs w:val="32"/>
          <w:rtl/>
          <w:lang w:eastAsia="en-US"/>
        </w:rPr>
        <w:t xml:space="preserve"> ﭼ</w:t>
      </w:r>
      <w:r w:rsidRPr="0063006E">
        <w:rPr>
          <w:rFonts w:ascii="QCF_P306" w:hAnsi="QCF_P306" w:cs="QCF_P306"/>
          <w:color w:val="auto"/>
          <w:sz w:val="32"/>
          <w:szCs w:val="32"/>
          <w:rtl/>
          <w:lang w:eastAsia="en-US"/>
        </w:rPr>
        <w:t xml:space="preserve">  </w:t>
      </w:r>
      <w:r w:rsidRPr="0063006E">
        <w:rPr>
          <w:rFonts w:ascii="Traditional Arabic" w:hAnsi="Traditional Arabic"/>
          <w:rtl/>
        </w:rPr>
        <w:t>الهزُّ: التحريك. والباء في قوله تعالى</w:t>
      </w:r>
      <w:r w:rsidRPr="0063006E">
        <w:rPr>
          <w:vertAlign w:val="superscript"/>
          <w:rtl/>
        </w:rPr>
        <w:t>(</w:t>
      </w:r>
      <w:r w:rsidRPr="0063006E">
        <w:rPr>
          <w:vertAlign w:val="superscript"/>
          <w:rtl/>
        </w:rPr>
        <w:footnoteReference w:id="2261"/>
      </w:r>
      <w:r w:rsidRPr="0063006E">
        <w:rPr>
          <w:vertAlign w:val="superscript"/>
          <w:rtl/>
        </w:rPr>
        <w:t>)</w:t>
      </w:r>
      <w:r w:rsidRPr="0063006E">
        <w:rPr>
          <w:rFonts w:ascii="Traditional Arabic" w:hAnsi="Traditional Arabic"/>
          <w:rtl/>
        </w:rPr>
        <w:t xml:space="preserve">: </w:t>
      </w:r>
      <w:r w:rsidRPr="0063006E">
        <w:rPr>
          <w:rFonts w:ascii="QCF_BSML" w:hAnsi="QCF_BSML" w:cs="QCF_BSML"/>
          <w:sz w:val="32"/>
          <w:szCs w:val="32"/>
          <w:rtl/>
          <w:lang w:eastAsia="en-US"/>
        </w:rPr>
        <w:t>ﭽ</w:t>
      </w:r>
      <w:r w:rsidRPr="0063006E">
        <w:rPr>
          <w:rFonts w:ascii="QCF_P306" w:hAnsi="QCF_P306" w:cs="QCF_P306"/>
          <w:color w:val="auto"/>
          <w:sz w:val="32"/>
          <w:szCs w:val="32"/>
          <w:rtl/>
          <w:lang w:eastAsia="en-US"/>
        </w:rPr>
        <w:t xml:space="preserve"> ﯾ  ﯿ</w:t>
      </w:r>
      <w:r w:rsidRPr="0063006E">
        <w:rPr>
          <w:rFonts w:ascii="QCF_BSML" w:hAnsi="QCF_BSML" w:cs="QCF_BSML"/>
          <w:sz w:val="32"/>
          <w:szCs w:val="32"/>
          <w:rtl/>
          <w:lang w:eastAsia="en-US"/>
        </w:rPr>
        <w:t xml:space="preserve"> ﭼ</w:t>
      </w:r>
      <w:r w:rsidRPr="0063006E">
        <w:rPr>
          <w:rFonts w:ascii="QCF_BSML" w:hAnsi="QCF_BSML" w:cs="QCF_BSML" w:hint="cs"/>
          <w:sz w:val="32"/>
          <w:szCs w:val="32"/>
          <w:rtl/>
          <w:lang w:eastAsia="en-US"/>
        </w:rPr>
        <w:t xml:space="preserve"> </w:t>
      </w:r>
      <w:r w:rsidRPr="0063006E">
        <w:rPr>
          <w:rFonts w:ascii="QCF_P306" w:hAnsi="QCF_P306" w:cs="QCF_P306"/>
          <w:color w:val="auto"/>
          <w:sz w:val="32"/>
          <w:szCs w:val="32"/>
          <w:rtl/>
          <w:lang w:eastAsia="en-US"/>
        </w:rPr>
        <w:t xml:space="preserve"> </w:t>
      </w:r>
      <w:r w:rsidR="00900717">
        <w:rPr>
          <w:rFonts w:ascii="Traditional Arabic" w:hAnsi="Traditional Arabic"/>
          <w:rtl/>
        </w:rPr>
        <w:t>فيها ثلاثة أقوال: أحده</w:t>
      </w:r>
      <w:r w:rsidRPr="0063006E">
        <w:rPr>
          <w:rFonts w:ascii="Traditional Arabic" w:hAnsi="Traditional Arabic"/>
          <w:rtl/>
        </w:rPr>
        <w:t xml:space="preserve">ا: أنها زائدة، كقوله تعالى: </w:t>
      </w:r>
      <w:r w:rsidRPr="0063006E">
        <w:rPr>
          <w:rFonts w:ascii="QCF_BSML" w:hAnsi="QCF_BSML" w:cs="QCF_BSML"/>
          <w:sz w:val="32"/>
          <w:szCs w:val="32"/>
          <w:rtl/>
          <w:lang w:eastAsia="en-US"/>
        </w:rPr>
        <w:t>ﭽ</w:t>
      </w:r>
      <w:r w:rsidRPr="0063006E">
        <w:rPr>
          <w:rFonts w:ascii="QCF_P333" w:hAnsi="QCF_P333" w:cs="QCF_P333"/>
          <w:sz w:val="32"/>
          <w:szCs w:val="32"/>
          <w:rtl/>
          <w:lang w:eastAsia="en-US"/>
        </w:rPr>
        <w:t xml:space="preserve">ﰍ  ﰎ  ﰏ    ﰐ  </w:t>
      </w:r>
      <w:r w:rsidRPr="0063006E">
        <w:rPr>
          <w:rFonts w:ascii="QCF_BSML" w:hAnsi="QCF_BSML" w:cs="QCF_BSML"/>
          <w:sz w:val="32"/>
          <w:szCs w:val="32"/>
          <w:rtl/>
          <w:lang w:eastAsia="en-US"/>
        </w:rPr>
        <w:t>ﭼ</w:t>
      </w:r>
      <w:r w:rsidRPr="0063006E">
        <w:rPr>
          <w:rFonts w:ascii="Traditional Arabic" w:hAnsi="Traditional Arabic"/>
          <w:color w:val="auto"/>
          <w:sz w:val="32"/>
          <w:szCs w:val="32"/>
          <w:rtl/>
          <w:lang w:eastAsia="en-US"/>
        </w:rPr>
        <w:t xml:space="preserve"> [الحج:١٥]</w:t>
      </w:r>
      <w:r w:rsidRPr="0063006E">
        <w:rPr>
          <w:rFonts w:ascii="Traditional Arabic" w:hAnsi="Traditional Arabic" w:hint="cs"/>
          <w:color w:val="auto"/>
          <w:sz w:val="32"/>
          <w:szCs w:val="32"/>
          <w:rtl/>
        </w:rPr>
        <w:t>.</w:t>
      </w:r>
      <w:r w:rsidRPr="0063006E">
        <w:rPr>
          <w:rFonts w:ascii="Traditional Arabic" w:hAnsi="Traditional Arabic"/>
          <w:color w:val="auto"/>
          <w:sz w:val="32"/>
          <w:szCs w:val="32"/>
          <w:rtl/>
        </w:rPr>
        <w:t xml:space="preserve"> </w:t>
      </w:r>
      <w:r w:rsidRPr="0063006E">
        <w:rPr>
          <w:rFonts w:ascii="Traditional Arabic" w:hAnsi="Traditional Arabic"/>
          <w:rtl/>
        </w:rPr>
        <w:t>قال الفراء: معناه: فليمدد سبباً.</w:t>
      </w:r>
      <w:r w:rsidRPr="0063006E">
        <w:rPr>
          <w:rFonts w:ascii="Traditional Arabic" w:hAnsi="Traditional Arabic" w:hint="cs"/>
          <w:rtl/>
        </w:rPr>
        <w:t xml:space="preserve"> </w:t>
      </w:r>
      <w:r w:rsidRPr="0063006E">
        <w:rPr>
          <w:rFonts w:ascii="Traditional Arabic" w:hAnsi="Traditional Arabic"/>
          <w:rtl/>
        </w:rPr>
        <w:t>والعرب تقول: هزَّه، وهزَّ به، وخذ الخطام وخذ بالخطام، وتعلّق زيدا وتعلّق به</w:t>
      </w:r>
      <w:r w:rsidRPr="0063006E">
        <w:rPr>
          <w:vertAlign w:val="superscript"/>
          <w:rtl/>
        </w:rPr>
        <w:t>(</w:t>
      </w:r>
      <w:r w:rsidRPr="0063006E">
        <w:rPr>
          <w:vertAlign w:val="superscript"/>
          <w:rtl/>
        </w:rPr>
        <w:footnoteReference w:id="2262"/>
      </w:r>
      <w:r w:rsidRPr="0063006E">
        <w:rPr>
          <w:vertAlign w:val="superscript"/>
          <w:rtl/>
        </w:rPr>
        <w:t>)</w:t>
      </w:r>
      <w:r w:rsidRPr="0063006E">
        <w:rPr>
          <w:rFonts w:ascii="Traditional Arabic" w:hAnsi="Traditional Arabic"/>
          <w:rtl/>
        </w:rPr>
        <w:t>. والثاني: أنها مؤكدة، كقول الشاعر:</w:t>
      </w:r>
    </w:p>
    <w:p w:rsidR="0063006E" w:rsidRPr="0063006E" w:rsidRDefault="0063006E" w:rsidP="0063006E">
      <w:pPr>
        <w:ind w:firstLine="0"/>
        <w:rPr>
          <w:rFonts w:ascii="Traditional Arabic" w:hAnsi="Traditional Arabic"/>
          <w:rtl/>
        </w:rPr>
      </w:pPr>
      <w:r w:rsidRPr="0063006E">
        <w:rPr>
          <w:rFonts w:ascii="Traditional Arabic" w:hAnsi="Traditional Arabic"/>
          <w:rtl/>
        </w:rPr>
        <w:t>نَضْرِبُ بالسَّيفِ ونرجو بالفرَج</w:t>
      </w:r>
      <w:r w:rsidRPr="0063006E">
        <w:rPr>
          <w:vertAlign w:val="superscript"/>
          <w:rtl/>
        </w:rPr>
        <w:t>(</w:t>
      </w:r>
      <w:r w:rsidRPr="0063006E">
        <w:rPr>
          <w:vertAlign w:val="superscript"/>
          <w:rtl/>
        </w:rPr>
        <w:footnoteReference w:id="2263"/>
      </w:r>
      <w:r w:rsidRPr="0063006E">
        <w:rPr>
          <w:vertAlign w:val="superscript"/>
          <w:rtl/>
        </w:rPr>
        <w:t>)</w:t>
      </w:r>
    </w:p>
    <w:p w:rsidR="00D92D3F" w:rsidRDefault="0063006E" w:rsidP="00D92D3F">
      <w:pPr>
        <w:ind w:firstLine="0"/>
        <w:rPr>
          <w:rFonts w:ascii="Traditional Arabic" w:hAnsi="Traditional Arabic"/>
          <w:rtl/>
        </w:rPr>
      </w:pPr>
      <w:r w:rsidRPr="0063006E">
        <w:rPr>
          <w:rFonts w:ascii="Traditional Arabic" w:hAnsi="Traditional Arabic"/>
          <w:rtl/>
        </w:rPr>
        <w:t>هذا مذهب أبي عبيدة</w:t>
      </w:r>
      <w:r w:rsidRPr="0063006E">
        <w:rPr>
          <w:vertAlign w:val="superscript"/>
          <w:rtl/>
        </w:rPr>
        <w:t>(</w:t>
      </w:r>
      <w:r w:rsidRPr="0063006E">
        <w:rPr>
          <w:vertAlign w:val="superscript"/>
          <w:rtl/>
        </w:rPr>
        <w:footnoteReference w:id="2264"/>
      </w:r>
      <w:r w:rsidRPr="0063006E">
        <w:rPr>
          <w:vertAlign w:val="superscript"/>
          <w:rtl/>
        </w:rPr>
        <w:t>)</w:t>
      </w:r>
      <w:r w:rsidRPr="0063006E">
        <w:rPr>
          <w:rFonts w:ascii="Traditional Arabic" w:hAnsi="Traditional Arabic"/>
          <w:rtl/>
        </w:rPr>
        <w:t>.</w:t>
      </w:r>
      <w:r w:rsidRPr="0063006E">
        <w:rPr>
          <w:rFonts w:ascii="Traditional Arabic" w:hAnsi="Traditional Arabic" w:hint="cs"/>
          <w:rtl/>
        </w:rPr>
        <w:t xml:space="preserve"> </w:t>
      </w:r>
      <w:r w:rsidRPr="0063006E">
        <w:rPr>
          <w:rFonts w:ascii="Traditional Arabic" w:hAnsi="Traditional Arabic"/>
          <w:rtl/>
        </w:rPr>
        <w:t xml:space="preserve">والثالث: أنها دخلت على الجذع لتلصقه بالهزِّ، فهي مفيدة </w:t>
      </w:r>
      <w:r w:rsidRPr="0063006E">
        <w:rPr>
          <w:rFonts w:ascii="Traditional Arabic" w:hAnsi="Traditional Arabic" w:hint="cs"/>
          <w:rtl/>
        </w:rPr>
        <w:t>للإلصاق</w:t>
      </w:r>
      <w:r w:rsidRPr="0063006E">
        <w:rPr>
          <w:rFonts w:ascii="Traditional Arabic" w:hAnsi="Traditional Arabic"/>
          <w:rtl/>
        </w:rPr>
        <w:t>، قاله ابن الأنباري</w:t>
      </w:r>
      <w:r w:rsidRPr="0063006E">
        <w:rPr>
          <w:vertAlign w:val="superscript"/>
          <w:rtl/>
        </w:rPr>
        <w:t>(</w:t>
      </w:r>
      <w:r w:rsidRPr="0063006E">
        <w:rPr>
          <w:vertAlign w:val="superscript"/>
          <w:rtl/>
        </w:rPr>
        <w:footnoteReference w:id="2265"/>
      </w:r>
      <w:r w:rsidRPr="0063006E">
        <w:rPr>
          <w:vertAlign w:val="superscript"/>
          <w:rtl/>
        </w:rPr>
        <w:t>)</w:t>
      </w:r>
      <w:r w:rsidRPr="0063006E">
        <w:rPr>
          <w:rFonts w:ascii="Traditional Arabic" w:hAnsi="Traditional Arabic"/>
          <w:rtl/>
        </w:rPr>
        <w:t>.</w:t>
      </w:r>
      <w:r w:rsidRPr="0063006E">
        <w:rPr>
          <w:rFonts w:ascii="Traditional Arabic" w:hAnsi="Traditional Arabic" w:hint="cs"/>
          <w:rtl/>
        </w:rPr>
        <w:t xml:space="preserve"> </w:t>
      </w:r>
      <w:r w:rsidRPr="0063006E">
        <w:rPr>
          <w:rFonts w:ascii="Traditional Arabic" w:hAnsi="Traditional Arabic"/>
          <w:rtl/>
        </w:rPr>
        <w:t xml:space="preserve">قوله تعالى: </w:t>
      </w:r>
      <w:r w:rsidRPr="0063006E">
        <w:rPr>
          <w:rFonts w:ascii="QCF_BSML" w:hAnsi="QCF_BSML" w:cs="QCF_BSML"/>
          <w:color w:val="auto"/>
          <w:sz w:val="32"/>
          <w:szCs w:val="32"/>
          <w:rtl/>
          <w:lang w:eastAsia="en-US"/>
        </w:rPr>
        <w:t>ﭽ</w:t>
      </w:r>
      <w:r w:rsidRPr="0063006E">
        <w:rPr>
          <w:rFonts w:ascii="QCF_P306" w:hAnsi="QCF_P306" w:cs="QCF_P306"/>
          <w:color w:val="auto"/>
          <w:sz w:val="32"/>
          <w:szCs w:val="32"/>
          <w:rtl/>
          <w:lang w:eastAsia="en-US"/>
        </w:rPr>
        <w:t xml:space="preserve"> ﰀ</w:t>
      </w:r>
      <w:r w:rsidRPr="0063006E">
        <w:rPr>
          <w:rFonts w:ascii="QCF_BSML" w:hAnsi="QCF_BSML" w:cs="QCF_BSML"/>
          <w:sz w:val="32"/>
          <w:szCs w:val="32"/>
          <w:rtl/>
          <w:lang w:eastAsia="en-US"/>
        </w:rPr>
        <w:t xml:space="preserve"> ﭼ</w:t>
      </w:r>
      <w:r w:rsidRPr="0063006E">
        <w:rPr>
          <w:rFonts w:ascii="Traditional Arabic" w:hAnsi="Traditional Arabic"/>
          <w:rtl/>
        </w:rPr>
        <w:t xml:space="preserve"> قرأ ابن كثير، ونافع، وأبو عمرو، وابن عامر، والكسائي، وأبو بكر عن عاصم: «تَسَّاقط» بالتاء مشددة السين</w:t>
      </w:r>
      <w:r w:rsidRPr="0063006E">
        <w:rPr>
          <w:vertAlign w:val="superscript"/>
          <w:rtl/>
        </w:rPr>
        <w:t>(</w:t>
      </w:r>
      <w:r w:rsidRPr="0063006E">
        <w:rPr>
          <w:vertAlign w:val="superscript"/>
          <w:rtl/>
        </w:rPr>
        <w:footnoteReference w:id="2266"/>
      </w:r>
      <w:r w:rsidRPr="0063006E">
        <w:rPr>
          <w:vertAlign w:val="superscript"/>
          <w:rtl/>
        </w:rPr>
        <w:t>)</w:t>
      </w:r>
      <w:r w:rsidRPr="0063006E">
        <w:rPr>
          <w:rFonts w:ascii="Traditional Arabic" w:hAnsi="Traditional Arabic"/>
          <w:rtl/>
        </w:rPr>
        <w:t>، وقرأ حمزة، وعبدالوارث</w:t>
      </w:r>
      <w:r w:rsidRPr="0063006E">
        <w:rPr>
          <w:vertAlign w:val="superscript"/>
          <w:rtl/>
        </w:rPr>
        <w:t>(</w:t>
      </w:r>
      <w:r w:rsidRPr="0063006E">
        <w:rPr>
          <w:vertAlign w:val="superscript"/>
          <w:rtl/>
        </w:rPr>
        <w:footnoteReference w:id="2267"/>
      </w:r>
      <w:r w:rsidRPr="0063006E">
        <w:rPr>
          <w:vertAlign w:val="superscript"/>
          <w:rtl/>
        </w:rPr>
        <w:t>)</w:t>
      </w:r>
      <w:r w:rsidRPr="0063006E">
        <w:rPr>
          <w:rFonts w:ascii="Traditional Arabic" w:hAnsi="Traditional Arabic"/>
          <w:rtl/>
        </w:rPr>
        <w:t>: «تَسَاقط» بالتاء مفتوحة مخففة السين</w:t>
      </w:r>
      <w:r w:rsidRPr="0063006E">
        <w:rPr>
          <w:vertAlign w:val="superscript"/>
          <w:rtl/>
        </w:rPr>
        <w:t>(</w:t>
      </w:r>
      <w:r w:rsidRPr="0063006E">
        <w:rPr>
          <w:vertAlign w:val="superscript"/>
          <w:rtl/>
        </w:rPr>
        <w:footnoteReference w:id="2268"/>
      </w:r>
      <w:r w:rsidRPr="0063006E">
        <w:rPr>
          <w:vertAlign w:val="superscript"/>
          <w:rtl/>
        </w:rPr>
        <w:t>)</w:t>
      </w:r>
      <w:r w:rsidRPr="0063006E">
        <w:rPr>
          <w:rFonts w:ascii="Traditional Arabic" w:hAnsi="Traditional Arabic"/>
          <w:rtl/>
        </w:rPr>
        <w:t xml:space="preserve">، وقرأ حفص عن عاصم: «تُساقِط» </w:t>
      </w:r>
    </w:p>
    <w:p w:rsidR="00D92D3F" w:rsidRDefault="00D92D3F" w:rsidP="00D92D3F">
      <w:pPr>
        <w:ind w:firstLine="0"/>
        <w:rPr>
          <w:rFonts w:ascii="Traditional Arabic" w:hAnsi="Traditional Arabic"/>
          <w:rtl/>
        </w:rPr>
      </w:pPr>
    </w:p>
    <w:p w:rsidR="0063006E" w:rsidRPr="0063006E" w:rsidRDefault="0063006E" w:rsidP="00D92D3F">
      <w:pPr>
        <w:ind w:firstLine="0"/>
        <w:rPr>
          <w:rFonts w:ascii="Traditional Arabic" w:hAnsi="Traditional Arabic"/>
          <w:rtl/>
        </w:rPr>
      </w:pPr>
      <w:r w:rsidRPr="0063006E">
        <w:rPr>
          <w:rFonts w:ascii="Traditional Arabic" w:hAnsi="Traditional Arabic"/>
          <w:rtl/>
        </w:rPr>
        <w:lastRenderedPageBreak/>
        <w:t>بضم التاء وكسر القاف مخففة السين</w:t>
      </w:r>
      <w:r w:rsidRPr="0063006E">
        <w:rPr>
          <w:vertAlign w:val="superscript"/>
          <w:rtl/>
        </w:rPr>
        <w:t>(</w:t>
      </w:r>
      <w:r w:rsidRPr="0063006E">
        <w:rPr>
          <w:vertAlign w:val="superscript"/>
          <w:rtl/>
        </w:rPr>
        <w:footnoteReference w:id="2269"/>
      </w:r>
      <w:r w:rsidRPr="0063006E">
        <w:rPr>
          <w:vertAlign w:val="superscript"/>
          <w:rtl/>
        </w:rPr>
        <w:t>)</w:t>
      </w:r>
      <w:r w:rsidRPr="0063006E">
        <w:rPr>
          <w:rFonts w:ascii="Traditional Arabic" w:hAnsi="Traditional Arabic"/>
          <w:rtl/>
        </w:rPr>
        <w:t xml:space="preserve">، وقرأ يعقوب، وأبو زيد </w:t>
      </w:r>
      <w:r w:rsidRPr="0063006E">
        <w:rPr>
          <w:rFonts w:ascii="Traditional Arabic" w:hAnsi="Traditional Arabic"/>
          <w:sz w:val="32"/>
          <w:szCs w:val="32"/>
          <w:rtl/>
        </w:rPr>
        <w:t>[</w:t>
      </w:r>
      <w:r w:rsidRPr="0063006E">
        <w:rPr>
          <w:rFonts w:ascii="Traditional Arabic" w:hAnsi="Traditional Arabic" w:hint="cs"/>
          <w:sz w:val="32"/>
          <w:szCs w:val="32"/>
          <w:rtl/>
        </w:rPr>
        <w:t>167</w:t>
      </w:r>
      <w:r w:rsidRPr="0063006E">
        <w:rPr>
          <w:rFonts w:ascii="Traditional Arabic" w:hAnsi="Traditional Arabic"/>
          <w:sz w:val="32"/>
          <w:szCs w:val="32"/>
          <w:rtl/>
        </w:rPr>
        <w:t>]</w:t>
      </w:r>
      <w:r w:rsidRPr="0063006E">
        <w:rPr>
          <w:rFonts w:ascii="Traditional Arabic" w:hAnsi="Traditional Arabic"/>
          <w:rtl/>
        </w:rPr>
        <w:t xml:space="preserve"> عن المفضّل</w:t>
      </w:r>
      <w:r w:rsidRPr="0063006E">
        <w:rPr>
          <w:vertAlign w:val="superscript"/>
          <w:rtl/>
        </w:rPr>
        <w:t>(</w:t>
      </w:r>
      <w:r w:rsidRPr="0063006E">
        <w:rPr>
          <w:vertAlign w:val="superscript"/>
          <w:rtl/>
        </w:rPr>
        <w:footnoteReference w:id="2270"/>
      </w:r>
      <w:r w:rsidRPr="0063006E">
        <w:rPr>
          <w:vertAlign w:val="superscript"/>
          <w:rtl/>
        </w:rPr>
        <w:t>)</w:t>
      </w:r>
      <w:r w:rsidRPr="0063006E">
        <w:rPr>
          <w:rFonts w:ascii="Traditional Arabic" w:hAnsi="Traditional Arabic"/>
          <w:rtl/>
        </w:rPr>
        <w:t>: «يسّاقط» بالياء مفتوحة وتشديد السين وفتح القاف</w:t>
      </w:r>
      <w:r w:rsidRPr="0063006E">
        <w:rPr>
          <w:vertAlign w:val="superscript"/>
          <w:rtl/>
        </w:rPr>
        <w:t>(</w:t>
      </w:r>
      <w:r w:rsidRPr="0063006E">
        <w:rPr>
          <w:vertAlign w:val="superscript"/>
          <w:rtl/>
        </w:rPr>
        <w:footnoteReference w:id="2271"/>
      </w:r>
      <w:r w:rsidRPr="0063006E">
        <w:rPr>
          <w:vertAlign w:val="superscript"/>
          <w:rtl/>
        </w:rPr>
        <w:t>)</w:t>
      </w:r>
      <w:r w:rsidRPr="0063006E">
        <w:rPr>
          <w:rFonts w:ascii="Traditional Arabic" w:hAnsi="Traditional Arabic"/>
          <w:rtl/>
        </w:rPr>
        <w:t xml:space="preserve">. فهذه القراءات المشاهير. </w:t>
      </w:r>
    </w:p>
    <w:p w:rsidR="0063006E" w:rsidRPr="0063006E" w:rsidRDefault="0063006E" w:rsidP="00D92D3F">
      <w:pPr>
        <w:ind w:firstLine="0"/>
        <w:rPr>
          <w:rFonts w:ascii="Traditional Arabic" w:hAnsi="Traditional Arabic"/>
          <w:rtl/>
        </w:rPr>
      </w:pPr>
      <w:r w:rsidRPr="0063006E">
        <w:rPr>
          <w:rFonts w:ascii="Traditional Arabic" w:hAnsi="Traditional Arabic"/>
          <w:rtl/>
        </w:rPr>
        <w:t xml:space="preserve">وقرأ أُبَيُّ بن كعب، وأبو حيوة: </w:t>
      </w:r>
      <w:r w:rsidRPr="0063006E">
        <w:rPr>
          <w:rFonts w:ascii="Traditional Arabic" w:hAnsi="Traditional Arabic" w:hint="cs"/>
          <w:rtl/>
        </w:rPr>
        <w:t>[</w:t>
      </w:r>
      <w:r w:rsidRPr="0063006E">
        <w:rPr>
          <w:rFonts w:ascii="Traditional Arabic" w:hAnsi="Traditional Arabic"/>
          <w:rtl/>
        </w:rPr>
        <w:t>«ي</w:t>
      </w:r>
      <w:r w:rsidRPr="0063006E">
        <w:rPr>
          <w:rFonts w:ascii="Traditional Arabic" w:hAnsi="Traditional Arabic" w:hint="cs"/>
          <w:rtl/>
        </w:rPr>
        <w:t>َ</w:t>
      </w:r>
      <w:r w:rsidRPr="0063006E">
        <w:rPr>
          <w:rFonts w:ascii="Traditional Arabic" w:hAnsi="Traditional Arabic"/>
          <w:rtl/>
        </w:rPr>
        <w:t>س</w:t>
      </w:r>
      <w:r w:rsidRPr="0063006E">
        <w:rPr>
          <w:rFonts w:ascii="Traditional Arabic" w:hAnsi="Traditional Arabic" w:hint="cs"/>
          <w:rtl/>
        </w:rPr>
        <w:t>ْ</w:t>
      </w:r>
      <w:r w:rsidRPr="0063006E">
        <w:rPr>
          <w:rFonts w:ascii="Traditional Arabic" w:hAnsi="Traditional Arabic"/>
          <w:rtl/>
        </w:rPr>
        <w:t>ق</w:t>
      </w:r>
      <w:r w:rsidRPr="0063006E">
        <w:rPr>
          <w:rFonts w:ascii="Traditional Arabic" w:hAnsi="Traditional Arabic" w:hint="cs"/>
          <w:rtl/>
        </w:rPr>
        <w:t>ُ</w:t>
      </w:r>
      <w:r w:rsidRPr="0063006E">
        <w:rPr>
          <w:rFonts w:ascii="Traditional Arabic" w:hAnsi="Traditional Arabic"/>
          <w:rtl/>
        </w:rPr>
        <w:t>ط» بفتح الياء</w:t>
      </w:r>
      <w:r w:rsidRPr="0063006E">
        <w:rPr>
          <w:rFonts w:ascii="Traditional Arabic" w:hAnsi="Traditional Arabic" w:hint="cs"/>
          <w:rtl/>
        </w:rPr>
        <w:t>]</w:t>
      </w:r>
      <w:r w:rsidRPr="0063006E">
        <w:rPr>
          <w:vertAlign w:val="superscript"/>
          <w:rtl/>
        </w:rPr>
        <w:t>(</w:t>
      </w:r>
      <w:r w:rsidRPr="0063006E">
        <w:rPr>
          <w:vertAlign w:val="superscript"/>
          <w:rtl/>
        </w:rPr>
        <w:footnoteReference w:id="2272"/>
      </w:r>
      <w:r w:rsidRPr="0063006E">
        <w:rPr>
          <w:vertAlign w:val="superscript"/>
          <w:rtl/>
        </w:rPr>
        <w:t>)</w:t>
      </w:r>
      <w:r w:rsidRPr="0063006E">
        <w:rPr>
          <w:rFonts w:ascii="Traditional Arabic" w:hAnsi="Traditional Arabic"/>
          <w:rtl/>
        </w:rPr>
        <w:t>وسكون السين ورفع القاف</w:t>
      </w:r>
      <w:r w:rsidRPr="0063006E">
        <w:rPr>
          <w:vertAlign w:val="superscript"/>
          <w:rtl/>
        </w:rPr>
        <w:t>(</w:t>
      </w:r>
      <w:r w:rsidRPr="0063006E">
        <w:rPr>
          <w:vertAlign w:val="superscript"/>
          <w:rtl/>
        </w:rPr>
        <w:footnoteReference w:id="2273"/>
      </w:r>
      <w:r w:rsidRPr="0063006E">
        <w:rPr>
          <w:vertAlign w:val="superscript"/>
          <w:rtl/>
        </w:rPr>
        <w:t>)</w:t>
      </w:r>
      <w:r w:rsidRPr="0063006E">
        <w:rPr>
          <w:rFonts w:ascii="Traditional Arabic" w:hAnsi="Traditional Arabic"/>
          <w:rtl/>
        </w:rPr>
        <w:t>.</w:t>
      </w:r>
      <w:r w:rsidRPr="0063006E">
        <w:rPr>
          <w:rFonts w:ascii="Traditional Arabic" w:hAnsi="Traditional Arabic" w:hint="cs"/>
          <w:rtl/>
        </w:rPr>
        <w:t xml:space="preserve"> </w:t>
      </w:r>
      <w:r w:rsidRPr="0063006E">
        <w:rPr>
          <w:rFonts w:ascii="Traditional Arabic" w:hAnsi="Traditional Arabic"/>
          <w:rtl/>
        </w:rPr>
        <w:t>وقرأ عبدالله بن عمرو، وعائشة</w:t>
      </w:r>
      <w:r w:rsidRPr="0063006E">
        <w:rPr>
          <w:vertAlign w:val="superscript"/>
          <w:rtl/>
        </w:rPr>
        <w:t>(</w:t>
      </w:r>
      <w:r w:rsidRPr="0063006E">
        <w:rPr>
          <w:vertAlign w:val="superscript"/>
          <w:rtl/>
        </w:rPr>
        <w:footnoteReference w:id="2274"/>
      </w:r>
      <w:r w:rsidRPr="0063006E">
        <w:rPr>
          <w:vertAlign w:val="superscript"/>
          <w:rtl/>
        </w:rPr>
        <w:t>)</w:t>
      </w:r>
      <w:r w:rsidRPr="0063006E">
        <w:rPr>
          <w:rFonts w:ascii="Traditional Arabic" w:hAnsi="Traditional Arabic"/>
          <w:rtl/>
        </w:rPr>
        <w:t>، والحسن: «يُساقِط» بألف وتخفيف السين ورفع الياء وكسر القاف</w:t>
      </w:r>
      <w:r w:rsidRPr="0063006E">
        <w:rPr>
          <w:vertAlign w:val="superscript"/>
          <w:rtl/>
        </w:rPr>
        <w:t>(</w:t>
      </w:r>
      <w:r w:rsidRPr="0063006E">
        <w:rPr>
          <w:vertAlign w:val="superscript"/>
          <w:rtl/>
        </w:rPr>
        <w:footnoteReference w:id="2275"/>
      </w:r>
      <w:r w:rsidRPr="0063006E">
        <w:rPr>
          <w:vertAlign w:val="superscript"/>
          <w:rtl/>
        </w:rPr>
        <w:t>)</w:t>
      </w:r>
      <w:r w:rsidRPr="0063006E">
        <w:rPr>
          <w:rFonts w:ascii="Traditional Arabic" w:hAnsi="Traditional Arabic"/>
          <w:rtl/>
        </w:rPr>
        <w:t>. وقرأ الضحاك، وعمرو بن دينار</w:t>
      </w:r>
      <w:r w:rsidRPr="0063006E">
        <w:rPr>
          <w:vertAlign w:val="superscript"/>
          <w:rtl/>
        </w:rPr>
        <w:t>(</w:t>
      </w:r>
      <w:r w:rsidRPr="0063006E">
        <w:rPr>
          <w:vertAlign w:val="superscript"/>
          <w:rtl/>
        </w:rPr>
        <w:footnoteReference w:id="2276"/>
      </w:r>
      <w:r w:rsidRPr="0063006E">
        <w:rPr>
          <w:vertAlign w:val="superscript"/>
          <w:rtl/>
        </w:rPr>
        <w:t>)</w:t>
      </w:r>
      <w:r w:rsidRPr="0063006E">
        <w:rPr>
          <w:rFonts w:ascii="Traditional Arabic" w:hAnsi="Traditional Arabic"/>
          <w:rtl/>
        </w:rPr>
        <w:t>:</w:t>
      </w:r>
      <w:r w:rsidRPr="0063006E">
        <w:rPr>
          <w:rFonts w:ascii="Traditional Arabic" w:hAnsi="Traditional Arabic" w:hint="cs"/>
          <w:rtl/>
        </w:rPr>
        <w:t xml:space="preserve"> </w:t>
      </w:r>
      <w:r w:rsidRPr="0063006E">
        <w:rPr>
          <w:rFonts w:ascii="Traditional Arabic" w:hAnsi="Traditional Arabic"/>
          <w:rtl/>
        </w:rPr>
        <w:t>«يُسْقِط» برفع الياء وكسر القاف مع سكون السين وعدم الألف</w:t>
      </w:r>
      <w:r w:rsidRPr="0063006E">
        <w:rPr>
          <w:vertAlign w:val="superscript"/>
          <w:rtl/>
        </w:rPr>
        <w:t>(</w:t>
      </w:r>
      <w:r w:rsidRPr="0063006E">
        <w:rPr>
          <w:vertAlign w:val="superscript"/>
          <w:rtl/>
        </w:rPr>
        <w:footnoteReference w:id="2277"/>
      </w:r>
      <w:r w:rsidRPr="0063006E">
        <w:rPr>
          <w:vertAlign w:val="superscript"/>
          <w:rtl/>
        </w:rPr>
        <w:t>)</w:t>
      </w:r>
      <w:r w:rsidRPr="0063006E">
        <w:rPr>
          <w:rFonts w:ascii="Traditional Arabic" w:hAnsi="Traditional Arabic"/>
          <w:rtl/>
        </w:rPr>
        <w:t>. وقرأ عاصم الجحدري، وأبو عمران الجوني مثله، إِلا أنه بالتاء</w:t>
      </w:r>
      <w:r w:rsidRPr="0063006E">
        <w:rPr>
          <w:vertAlign w:val="superscript"/>
          <w:rtl/>
        </w:rPr>
        <w:t>(</w:t>
      </w:r>
      <w:r w:rsidRPr="0063006E">
        <w:rPr>
          <w:vertAlign w:val="superscript"/>
          <w:rtl/>
        </w:rPr>
        <w:footnoteReference w:id="2278"/>
      </w:r>
      <w:r w:rsidRPr="0063006E">
        <w:rPr>
          <w:vertAlign w:val="superscript"/>
          <w:rtl/>
        </w:rPr>
        <w:t>)</w:t>
      </w:r>
      <w:r w:rsidRPr="0063006E">
        <w:rPr>
          <w:rFonts w:ascii="Traditional Arabic" w:hAnsi="Traditional Arabic"/>
          <w:rtl/>
        </w:rPr>
        <w:t xml:space="preserve">. وقرأ </w:t>
      </w:r>
      <w:r w:rsidRPr="0063006E">
        <w:rPr>
          <w:rFonts w:ascii="Traditional Arabic" w:hAnsi="Traditional Arabic"/>
          <w:rtl/>
        </w:rPr>
        <w:lastRenderedPageBreak/>
        <w:t>معاذ القارئ، وابن يعمر مثله، إِلا أنه بالنون</w:t>
      </w:r>
      <w:r w:rsidRPr="0063006E">
        <w:rPr>
          <w:vertAlign w:val="superscript"/>
          <w:rtl/>
        </w:rPr>
        <w:t>(</w:t>
      </w:r>
      <w:r w:rsidRPr="0063006E">
        <w:rPr>
          <w:vertAlign w:val="superscript"/>
          <w:rtl/>
        </w:rPr>
        <w:footnoteReference w:id="2279"/>
      </w:r>
      <w:r w:rsidRPr="0063006E">
        <w:rPr>
          <w:vertAlign w:val="superscript"/>
          <w:rtl/>
        </w:rPr>
        <w:t>)</w:t>
      </w:r>
      <w:r w:rsidRPr="0063006E">
        <w:rPr>
          <w:rFonts w:ascii="Traditional Arabic" w:hAnsi="Traditional Arabic"/>
          <w:rtl/>
        </w:rPr>
        <w:t>. وقرأ أبو رزين</w:t>
      </w:r>
      <w:r w:rsidRPr="0063006E">
        <w:rPr>
          <w:rFonts w:ascii="Traditional Arabic" w:hAnsi="Traditional Arabic" w:hint="cs"/>
          <w:rtl/>
        </w:rPr>
        <w:t xml:space="preserve"> </w:t>
      </w:r>
      <w:r w:rsidRPr="0063006E">
        <w:rPr>
          <w:rFonts w:ascii="Traditional Arabic" w:hAnsi="Traditional Arabic"/>
          <w:rtl/>
        </w:rPr>
        <w:t>العقيلي، وابن أبي عبلة: «</w:t>
      </w:r>
      <w:r w:rsidRPr="0063006E">
        <w:rPr>
          <w:rFonts w:ascii="Traditional Arabic" w:hAnsi="Traditional Arabic" w:hint="cs"/>
          <w:rtl/>
        </w:rPr>
        <w:t>يَ</w:t>
      </w:r>
      <w:r w:rsidRPr="0063006E">
        <w:rPr>
          <w:rFonts w:ascii="Traditional Arabic" w:hAnsi="Traditional Arabic"/>
          <w:rtl/>
        </w:rPr>
        <w:t>س</w:t>
      </w:r>
      <w:r w:rsidRPr="0063006E">
        <w:rPr>
          <w:rFonts w:ascii="Traditional Arabic" w:hAnsi="Traditional Arabic" w:hint="cs"/>
          <w:rtl/>
        </w:rPr>
        <w:t>ْ</w:t>
      </w:r>
      <w:r w:rsidRPr="0063006E">
        <w:rPr>
          <w:rFonts w:ascii="Traditional Arabic" w:hAnsi="Traditional Arabic"/>
          <w:rtl/>
        </w:rPr>
        <w:t>ق</w:t>
      </w:r>
      <w:r w:rsidRPr="0063006E">
        <w:rPr>
          <w:rFonts w:ascii="Traditional Arabic" w:hAnsi="Traditional Arabic" w:hint="cs"/>
          <w:rtl/>
        </w:rPr>
        <w:t>ُ</w:t>
      </w:r>
      <w:r w:rsidRPr="0063006E">
        <w:rPr>
          <w:rFonts w:ascii="Traditional Arabic" w:hAnsi="Traditional Arabic"/>
          <w:rtl/>
        </w:rPr>
        <w:t>ط»</w:t>
      </w:r>
      <w:r w:rsidR="00D92D3F">
        <w:rPr>
          <w:rFonts w:ascii="Traditional Arabic" w:hAnsi="Traditional Arabic" w:hint="cs"/>
          <w:rtl/>
        </w:rPr>
        <w:t xml:space="preserve"> </w:t>
      </w:r>
      <w:r w:rsidRPr="0063006E">
        <w:rPr>
          <w:rFonts w:ascii="Traditional Arabic" w:hAnsi="Traditional Arabic"/>
          <w:rtl/>
        </w:rPr>
        <w:t>بال</w:t>
      </w:r>
      <w:r w:rsidRPr="0063006E">
        <w:rPr>
          <w:rFonts w:ascii="Traditional Arabic" w:hAnsi="Traditional Arabic" w:hint="cs"/>
          <w:rtl/>
        </w:rPr>
        <w:t>ي</w:t>
      </w:r>
      <w:r w:rsidRPr="0063006E">
        <w:rPr>
          <w:rFonts w:ascii="Traditional Arabic" w:hAnsi="Traditional Arabic"/>
          <w:rtl/>
        </w:rPr>
        <w:t>اء</w:t>
      </w:r>
      <w:r w:rsidRPr="0063006E">
        <w:rPr>
          <w:vertAlign w:val="superscript"/>
          <w:rtl/>
        </w:rPr>
        <w:t>(</w:t>
      </w:r>
      <w:r w:rsidRPr="0063006E">
        <w:rPr>
          <w:vertAlign w:val="superscript"/>
          <w:rtl/>
        </w:rPr>
        <w:footnoteReference w:id="2280"/>
      </w:r>
      <w:r w:rsidRPr="0063006E">
        <w:rPr>
          <w:vertAlign w:val="superscript"/>
          <w:rtl/>
        </w:rPr>
        <w:t>)</w:t>
      </w:r>
      <w:r w:rsidRPr="0063006E">
        <w:rPr>
          <w:rFonts w:ascii="Traditional Arabic" w:hAnsi="Traditional Arabic"/>
          <w:rtl/>
        </w:rPr>
        <w:t>مفتوحة مع سكون السين ورفع القاف</w:t>
      </w:r>
      <w:r w:rsidRPr="0063006E">
        <w:rPr>
          <w:vertAlign w:val="superscript"/>
          <w:rtl/>
        </w:rPr>
        <w:t>(</w:t>
      </w:r>
      <w:r w:rsidRPr="0063006E">
        <w:rPr>
          <w:vertAlign w:val="superscript"/>
          <w:rtl/>
        </w:rPr>
        <w:footnoteReference w:id="2281"/>
      </w:r>
      <w:r w:rsidRPr="0063006E">
        <w:rPr>
          <w:vertAlign w:val="superscript"/>
          <w:rtl/>
        </w:rPr>
        <w:t>)</w:t>
      </w:r>
      <w:r w:rsidRPr="0063006E">
        <w:rPr>
          <w:rFonts w:ascii="Traditional Arabic" w:hAnsi="Traditional Arabic"/>
          <w:rtl/>
        </w:rPr>
        <w:t>.</w:t>
      </w:r>
      <w:r w:rsidRPr="0063006E">
        <w:rPr>
          <w:rFonts w:ascii="Traditional Arabic" w:hAnsi="Traditional Arabic" w:hint="cs"/>
          <w:rtl/>
        </w:rPr>
        <w:t xml:space="preserve"> </w:t>
      </w:r>
      <w:r w:rsidRPr="0063006E">
        <w:rPr>
          <w:rFonts w:ascii="Traditional Arabic" w:hAnsi="Traditional Arabic"/>
          <w:rtl/>
        </w:rPr>
        <w:t>وقرأ أبو السّمّال العدويّ، وابن ح</w:t>
      </w:r>
      <w:r w:rsidRPr="0063006E">
        <w:rPr>
          <w:rFonts w:ascii="Traditional Arabic" w:hAnsi="Traditional Arabic" w:hint="cs"/>
          <w:rtl/>
        </w:rPr>
        <w:t>زام</w:t>
      </w:r>
      <w:r w:rsidRPr="0063006E">
        <w:rPr>
          <w:vertAlign w:val="superscript"/>
          <w:rtl/>
        </w:rPr>
        <w:t>(</w:t>
      </w:r>
      <w:r w:rsidRPr="0063006E">
        <w:rPr>
          <w:vertAlign w:val="superscript"/>
          <w:rtl/>
        </w:rPr>
        <w:footnoteReference w:id="2282"/>
      </w:r>
      <w:r w:rsidRPr="0063006E">
        <w:rPr>
          <w:vertAlign w:val="superscript"/>
          <w:rtl/>
        </w:rPr>
        <w:t>)</w:t>
      </w:r>
      <w:r w:rsidRPr="0063006E">
        <w:rPr>
          <w:rFonts w:ascii="Traditional Arabic" w:hAnsi="Traditional Arabic"/>
          <w:rtl/>
        </w:rPr>
        <w:t>: «تتساقط» بتاءين مفتوحين وبألف</w:t>
      </w:r>
      <w:r w:rsidRPr="0063006E">
        <w:rPr>
          <w:vertAlign w:val="superscript"/>
          <w:rtl/>
        </w:rPr>
        <w:t>(</w:t>
      </w:r>
      <w:r w:rsidRPr="0063006E">
        <w:rPr>
          <w:vertAlign w:val="superscript"/>
          <w:rtl/>
        </w:rPr>
        <w:footnoteReference w:id="2283"/>
      </w:r>
      <w:r w:rsidRPr="0063006E">
        <w:rPr>
          <w:vertAlign w:val="superscript"/>
          <w:rtl/>
        </w:rPr>
        <w:t>)</w:t>
      </w:r>
      <w:r w:rsidRPr="0063006E">
        <w:rPr>
          <w:rFonts w:ascii="Traditional Arabic" w:hAnsi="Traditional Arabic"/>
          <w:rtl/>
        </w:rPr>
        <w:t>. وقال الزجاج: من قرأ «يسَّاقط» فالمعنى: يتساقط، فأدغمت التاء في السين. ومن قرأ «تسَّاقط» فكذلك أيضاً، وأنث لأنّ لفظ النّخلة مؤنّث. ومن قرأ «تساقط» بالتاء والتخفيف، فإنه حذف من «تتساقط» اجتماع التاءين. ومن قرأ «يُساقط» ذهب إِلى معنى: يُساقط الجذع عليك. ومن قرأ «نُساقط» بالنون، فالمعنى: نحن نُساقط عليك، فنجعله لك آية، والنحويون يقولون:</w:t>
      </w:r>
      <w:r w:rsidRPr="0063006E">
        <w:rPr>
          <w:rFonts w:ascii="Traditional Arabic" w:hAnsi="Traditional Arabic" w:hint="cs"/>
          <w:rtl/>
        </w:rPr>
        <w:t xml:space="preserve"> </w:t>
      </w:r>
      <w:r w:rsidRPr="0063006E">
        <w:rPr>
          <w:rFonts w:ascii="Traditional Arabic" w:hAnsi="Traditional Arabic"/>
          <w:rtl/>
        </w:rPr>
        <w:t>إِن «رطباً» منصوب على التمييز إِذا قلت: يسَّاقط أو يتساقط، المعنى: يتساقط الجزع رطباً. وإِذا قلت:</w:t>
      </w:r>
      <w:r w:rsidRPr="0063006E">
        <w:rPr>
          <w:rFonts w:ascii="Traditional Arabic" w:hAnsi="Traditional Arabic" w:hint="cs"/>
          <w:rtl/>
        </w:rPr>
        <w:t xml:space="preserve"> </w:t>
      </w:r>
      <w:r w:rsidRPr="0063006E">
        <w:rPr>
          <w:rFonts w:ascii="Traditional Arabic" w:hAnsi="Traditional Arabic"/>
          <w:rtl/>
        </w:rPr>
        <w:t>تسَّاقط بالتاء، فالمعنى: تتساقط النخلة رطباً</w:t>
      </w:r>
      <w:r w:rsidRPr="0063006E">
        <w:rPr>
          <w:vertAlign w:val="superscript"/>
          <w:rtl/>
        </w:rPr>
        <w:t>(</w:t>
      </w:r>
      <w:r w:rsidRPr="0063006E">
        <w:rPr>
          <w:vertAlign w:val="superscript"/>
          <w:rtl/>
        </w:rPr>
        <w:footnoteReference w:id="2284"/>
      </w:r>
      <w:r w:rsidRPr="0063006E">
        <w:rPr>
          <w:vertAlign w:val="superscript"/>
          <w:rtl/>
        </w:rPr>
        <w:t>)</w:t>
      </w:r>
      <w:r w:rsidRPr="0063006E">
        <w:rPr>
          <w:rFonts w:ascii="Traditional Arabic" w:hAnsi="Traditional Arabic"/>
          <w:rtl/>
        </w:rPr>
        <w:t>.</w:t>
      </w:r>
    </w:p>
    <w:p w:rsidR="0063006E" w:rsidRPr="0063006E" w:rsidRDefault="0063006E" w:rsidP="0063006E">
      <w:pPr>
        <w:ind w:firstLine="0"/>
        <w:rPr>
          <w:rFonts w:ascii="Traditional Arabic" w:hAnsi="Traditional Arabic"/>
          <w:rtl/>
        </w:rPr>
      </w:pPr>
      <w:r w:rsidRPr="0063006E">
        <w:rPr>
          <w:rFonts w:ascii="Traditional Arabic" w:hAnsi="Traditional Arabic"/>
          <w:rtl/>
        </w:rPr>
        <w:t xml:space="preserve">قوله تعالى: </w:t>
      </w:r>
      <w:r w:rsidRPr="0063006E">
        <w:rPr>
          <w:rFonts w:ascii="QCF_BSML" w:hAnsi="QCF_BSML" w:cs="QCF_BSML"/>
          <w:color w:val="auto"/>
          <w:sz w:val="32"/>
          <w:szCs w:val="32"/>
          <w:rtl/>
          <w:lang w:eastAsia="en-US"/>
        </w:rPr>
        <w:t>ﭽ</w:t>
      </w:r>
      <w:r w:rsidRPr="0063006E">
        <w:rPr>
          <w:rFonts w:ascii="QCF_P306" w:hAnsi="QCF_P306" w:cs="QCF_P306"/>
          <w:color w:val="auto"/>
          <w:sz w:val="32"/>
          <w:szCs w:val="32"/>
          <w:rtl/>
          <w:lang w:eastAsia="en-US"/>
        </w:rPr>
        <w:t xml:space="preserve"> ﰃ</w:t>
      </w:r>
      <w:r w:rsidRPr="0063006E">
        <w:rPr>
          <w:rFonts w:ascii="QCF_BSML" w:hAnsi="QCF_BSML" w:cs="QCF_BSML"/>
          <w:sz w:val="32"/>
          <w:szCs w:val="32"/>
          <w:rtl/>
          <w:lang w:eastAsia="en-US"/>
        </w:rPr>
        <w:t xml:space="preserve"> ﭼ</w:t>
      </w:r>
      <w:r w:rsidRPr="0063006E">
        <w:rPr>
          <w:rFonts w:ascii="Traditional Arabic" w:hAnsi="Traditional Arabic"/>
          <w:rtl/>
        </w:rPr>
        <w:t xml:space="preserve"> قال الفراء: الجَنِيّ: المجتنى</w:t>
      </w:r>
      <w:r w:rsidRPr="0063006E">
        <w:rPr>
          <w:vertAlign w:val="superscript"/>
          <w:rtl/>
        </w:rPr>
        <w:t>(</w:t>
      </w:r>
      <w:r w:rsidRPr="0063006E">
        <w:rPr>
          <w:vertAlign w:val="superscript"/>
          <w:rtl/>
        </w:rPr>
        <w:footnoteReference w:id="2285"/>
      </w:r>
      <w:r w:rsidRPr="0063006E">
        <w:rPr>
          <w:vertAlign w:val="superscript"/>
          <w:rtl/>
        </w:rPr>
        <w:t>)</w:t>
      </w:r>
      <w:r w:rsidRPr="0063006E">
        <w:rPr>
          <w:rFonts w:ascii="Traditional Arabic" w:hAnsi="Traditional Arabic" w:hint="cs"/>
          <w:rtl/>
        </w:rPr>
        <w:t>.</w:t>
      </w:r>
      <w:r w:rsidRPr="0063006E">
        <w:rPr>
          <w:rFonts w:ascii="Traditional Arabic" w:hAnsi="Traditional Arabic"/>
          <w:rtl/>
        </w:rPr>
        <w:t xml:space="preserve"> وقال ابن الأنباري: هو الطريُّ، والأصل:</w:t>
      </w:r>
      <w:r w:rsidRPr="0063006E">
        <w:rPr>
          <w:rFonts w:ascii="Traditional Arabic" w:hAnsi="Traditional Arabic" w:hint="cs"/>
          <w:rtl/>
        </w:rPr>
        <w:t xml:space="preserve"> </w:t>
      </w:r>
      <w:r w:rsidRPr="0063006E">
        <w:rPr>
          <w:rFonts w:ascii="Traditional Arabic" w:hAnsi="Traditional Arabic"/>
          <w:rtl/>
        </w:rPr>
        <w:t>مجنوٌّ، صُرف من مفعول إِلى فعيل، كما يقال: قديد، وطبيخ</w:t>
      </w:r>
      <w:r w:rsidRPr="0063006E">
        <w:rPr>
          <w:vertAlign w:val="superscript"/>
          <w:rtl/>
        </w:rPr>
        <w:t>(</w:t>
      </w:r>
      <w:r w:rsidRPr="0063006E">
        <w:rPr>
          <w:vertAlign w:val="superscript"/>
          <w:rtl/>
        </w:rPr>
        <w:footnoteReference w:id="2286"/>
      </w:r>
      <w:r w:rsidRPr="0063006E">
        <w:rPr>
          <w:vertAlign w:val="superscript"/>
          <w:rtl/>
        </w:rPr>
        <w:t>)</w:t>
      </w:r>
      <w:r w:rsidRPr="0063006E">
        <w:rPr>
          <w:rFonts w:ascii="Traditional Arabic" w:hAnsi="Traditional Arabic" w:hint="cs"/>
          <w:rtl/>
        </w:rPr>
        <w:t>.</w:t>
      </w:r>
      <w:r w:rsidRPr="0063006E">
        <w:rPr>
          <w:rFonts w:ascii="Traditional Arabic" w:hAnsi="Traditional Arabic"/>
          <w:rtl/>
        </w:rPr>
        <w:t xml:space="preserve"> وقال غيره: هو الطريّ بغباره ولم يكن لتلك النخلة رأس، فأنبته الله تعالى، فلما وضعت يدها عليه، سقط الرطب رَطْباً</w:t>
      </w:r>
      <w:r w:rsidRPr="0063006E">
        <w:rPr>
          <w:vertAlign w:val="superscript"/>
          <w:rtl/>
        </w:rPr>
        <w:t>(</w:t>
      </w:r>
      <w:r w:rsidRPr="0063006E">
        <w:rPr>
          <w:vertAlign w:val="superscript"/>
          <w:rtl/>
        </w:rPr>
        <w:footnoteReference w:id="2287"/>
      </w:r>
      <w:r w:rsidRPr="0063006E">
        <w:rPr>
          <w:vertAlign w:val="superscript"/>
          <w:rtl/>
        </w:rPr>
        <w:t>)</w:t>
      </w:r>
      <w:r w:rsidRPr="0063006E">
        <w:rPr>
          <w:rFonts w:ascii="Traditional Arabic" w:hAnsi="Traditional Arabic" w:hint="cs"/>
          <w:rtl/>
        </w:rPr>
        <w:t>.</w:t>
      </w:r>
      <w:r w:rsidRPr="0063006E">
        <w:rPr>
          <w:rFonts w:ascii="Traditional Arabic" w:hAnsi="Traditional Arabic"/>
          <w:rtl/>
        </w:rPr>
        <w:t xml:space="preserve"> </w:t>
      </w:r>
      <w:r w:rsidRPr="0063006E">
        <w:rPr>
          <w:rFonts w:ascii="Traditional Arabic" w:hAnsi="Traditional Arabic"/>
          <w:rtl/>
        </w:rPr>
        <w:lastRenderedPageBreak/>
        <w:t>وكان السلف يستحبُّون للنفساء الرطب من أجل مريم عليها السلام</w:t>
      </w:r>
      <w:r w:rsidRPr="0063006E">
        <w:rPr>
          <w:vertAlign w:val="superscript"/>
          <w:rtl/>
        </w:rPr>
        <w:t>(</w:t>
      </w:r>
      <w:r w:rsidRPr="0063006E">
        <w:rPr>
          <w:vertAlign w:val="superscript"/>
          <w:rtl/>
        </w:rPr>
        <w:footnoteReference w:id="2288"/>
      </w:r>
      <w:r w:rsidRPr="0063006E">
        <w:rPr>
          <w:vertAlign w:val="superscript"/>
          <w:rtl/>
        </w:rPr>
        <w:t>)</w:t>
      </w:r>
      <w:r w:rsidRPr="0063006E">
        <w:rPr>
          <w:rFonts w:ascii="Traditional Arabic" w:hAnsi="Traditional Arabic"/>
          <w:rtl/>
        </w:rPr>
        <w:t>.</w:t>
      </w:r>
    </w:p>
    <w:p w:rsidR="0063006E" w:rsidRPr="0063006E" w:rsidRDefault="0063006E" w:rsidP="0063006E">
      <w:pPr>
        <w:ind w:firstLine="0"/>
        <w:rPr>
          <w:rFonts w:ascii="Traditional Arabic" w:hAnsi="Traditional Arabic"/>
          <w:rtl/>
        </w:rPr>
      </w:pPr>
      <w:r w:rsidRPr="0063006E">
        <w:rPr>
          <w:rFonts w:ascii="Traditional Arabic" w:hAnsi="Traditional Arabic"/>
          <w:rtl/>
        </w:rPr>
        <w:t xml:space="preserve">قوله تعالى: </w:t>
      </w:r>
      <w:r w:rsidRPr="0063006E">
        <w:rPr>
          <w:rFonts w:ascii="QCF_BSML" w:hAnsi="QCF_BSML" w:cs="QCF_BSML"/>
          <w:color w:val="auto"/>
          <w:sz w:val="32"/>
          <w:szCs w:val="32"/>
          <w:rtl/>
          <w:lang w:eastAsia="en-US"/>
        </w:rPr>
        <w:t>ﭽ</w:t>
      </w:r>
      <w:r w:rsidRPr="0063006E">
        <w:rPr>
          <w:rFonts w:ascii="QCF_P307" w:hAnsi="QCF_P307" w:cs="QCF_P307"/>
          <w:color w:val="auto"/>
          <w:sz w:val="32"/>
          <w:szCs w:val="32"/>
          <w:rtl/>
          <w:lang w:eastAsia="en-US"/>
        </w:rPr>
        <w:t xml:space="preserve"> ﭑ</w:t>
      </w:r>
      <w:r w:rsidRPr="0063006E">
        <w:rPr>
          <w:rFonts w:ascii="QCF_BSML" w:hAnsi="QCF_BSML" w:cs="QCF_BSML"/>
          <w:sz w:val="32"/>
          <w:szCs w:val="32"/>
          <w:rtl/>
          <w:lang w:eastAsia="en-US"/>
        </w:rPr>
        <w:t xml:space="preserve"> ﭼ</w:t>
      </w:r>
      <w:r w:rsidRPr="0063006E">
        <w:rPr>
          <w:rFonts w:ascii="QCF_P307" w:hAnsi="QCF_P307" w:cs="QCF_P307"/>
          <w:color w:val="auto"/>
          <w:sz w:val="32"/>
          <w:szCs w:val="32"/>
          <w:rtl/>
          <w:lang w:eastAsia="en-US"/>
        </w:rPr>
        <w:t xml:space="preserve">  </w:t>
      </w:r>
      <w:r w:rsidRPr="0063006E">
        <w:rPr>
          <w:rFonts w:ascii="Traditional Arabic" w:hAnsi="Traditional Arabic"/>
          <w:rtl/>
        </w:rPr>
        <w:t xml:space="preserve">أي: من الرطب </w:t>
      </w:r>
      <w:r w:rsidRPr="0063006E">
        <w:rPr>
          <w:rFonts w:ascii="QCF_BSML" w:hAnsi="QCF_BSML" w:cs="QCF_BSML"/>
          <w:color w:val="auto"/>
          <w:sz w:val="32"/>
          <w:szCs w:val="32"/>
          <w:rtl/>
          <w:lang w:eastAsia="en-US"/>
        </w:rPr>
        <w:t>ﭽ</w:t>
      </w:r>
      <w:r w:rsidRPr="0063006E">
        <w:rPr>
          <w:rFonts w:ascii="QCF_P307" w:hAnsi="QCF_P307" w:cs="QCF_P307"/>
          <w:color w:val="auto"/>
          <w:sz w:val="32"/>
          <w:szCs w:val="32"/>
          <w:rtl/>
          <w:lang w:eastAsia="en-US"/>
        </w:rPr>
        <w:t xml:space="preserve"> ﭒ</w:t>
      </w:r>
      <w:r w:rsidRPr="0063006E">
        <w:rPr>
          <w:rFonts w:ascii="QCF_BSML" w:hAnsi="QCF_BSML" w:cs="QCF_BSML"/>
          <w:sz w:val="32"/>
          <w:szCs w:val="32"/>
          <w:rtl/>
          <w:lang w:eastAsia="en-US"/>
        </w:rPr>
        <w:t xml:space="preserve"> ﭼ</w:t>
      </w:r>
      <w:r w:rsidRPr="0063006E">
        <w:rPr>
          <w:rFonts w:ascii="Traditional Arabic" w:hAnsi="Traditional Arabic"/>
          <w:rtl/>
        </w:rPr>
        <w:t xml:space="preserve"> من النهر </w:t>
      </w:r>
      <w:r w:rsidRPr="0063006E">
        <w:rPr>
          <w:rFonts w:ascii="QCF_BSML" w:hAnsi="QCF_BSML" w:cs="QCF_BSML"/>
          <w:color w:val="auto"/>
          <w:sz w:val="32"/>
          <w:szCs w:val="32"/>
          <w:rtl/>
          <w:lang w:eastAsia="en-US"/>
        </w:rPr>
        <w:t>ﭽ</w:t>
      </w:r>
      <w:r w:rsidRPr="0063006E">
        <w:rPr>
          <w:rFonts w:ascii="QCF_P307" w:hAnsi="QCF_P307" w:cs="QCF_P307"/>
          <w:color w:val="auto"/>
          <w:sz w:val="32"/>
          <w:szCs w:val="32"/>
          <w:rtl/>
          <w:lang w:eastAsia="en-US"/>
        </w:rPr>
        <w:t xml:space="preserve"> ﭓ  ﭔﭕ </w:t>
      </w:r>
      <w:r w:rsidRPr="0063006E">
        <w:rPr>
          <w:rFonts w:ascii="QCF_BSML" w:hAnsi="QCF_BSML" w:cs="QCF_BSML"/>
          <w:sz w:val="32"/>
          <w:szCs w:val="32"/>
          <w:rtl/>
          <w:lang w:eastAsia="en-US"/>
        </w:rPr>
        <w:t>ﭼ</w:t>
      </w:r>
      <w:r w:rsidRPr="0063006E">
        <w:rPr>
          <w:rFonts w:ascii="QCF_P307" w:hAnsi="QCF_P307" w:cs="QCF_P307" w:hint="cs"/>
          <w:color w:val="auto"/>
          <w:sz w:val="32"/>
          <w:szCs w:val="32"/>
          <w:rtl/>
          <w:lang w:eastAsia="en-US"/>
        </w:rPr>
        <w:t xml:space="preserve">      </w:t>
      </w:r>
      <w:r w:rsidRPr="0063006E">
        <w:rPr>
          <w:rFonts w:ascii="QCF_P307" w:hAnsi="QCF_P307" w:cs="QCF_P307"/>
          <w:color w:val="auto"/>
          <w:sz w:val="32"/>
          <w:szCs w:val="32"/>
          <w:rtl/>
          <w:lang w:eastAsia="en-US"/>
        </w:rPr>
        <w:t xml:space="preserve"> </w:t>
      </w:r>
      <w:r w:rsidRPr="0063006E">
        <w:rPr>
          <w:rFonts w:ascii="Traditional Arabic" w:hAnsi="Traditional Arabic"/>
          <w:rtl/>
        </w:rPr>
        <w:t>بولادة عيسى عليه السلام. قال الزجاج: يقال: قَرِرت به عيناً أقَر، بفتح القاف في المستقبل وقَرِرت في المكان أقر بكسر القاف، «وعينا» : منصوب على التمييز</w:t>
      </w:r>
      <w:r w:rsidRPr="0063006E">
        <w:rPr>
          <w:vertAlign w:val="superscript"/>
          <w:rtl/>
        </w:rPr>
        <w:t>(</w:t>
      </w:r>
      <w:r w:rsidRPr="0063006E">
        <w:rPr>
          <w:vertAlign w:val="superscript"/>
          <w:rtl/>
        </w:rPr>
        <w:footnoteReference w:id="2289"/>
      </w:r>
      <w:r w:rsidRPr="0063006E">
        <w:rPr>
          <w:vertAlign w:val="superscript"/>
          <w:rtl/>
        </w:rPr>
        <w:t>)</w:t>
      </w:r>
      <w:r w:rsidRPr="0063006E">
        <w:rPr>
          <w:rFonts w:ascii="Traditional Arabic" w:hAnsi="Traditional Arabic"/>
          <w:rtl/>
        </w:rPr>
        <w:t xml:space="preserve">. </w:t>
      </w:r>
    </w:p>
    <w:p w:rsidR="0063006E" w:rsidRPr="0063006E" w:rsidRDefault="0063006E" w:rsidP="0063006E">
      <w:pPr>
        <w:ind w:firstLine="0"/>
        <w:rPr>
          <w:rFonts w:ascii="Traditional Arabic" w:hAnsi="Traditional Arabic"/>
          <w:rtl/>
        </w:rPr>
      </w:pPr>
      <w:r w:rsidRPr="0063006E">
        <w:rPr>
          <w:rFonts w:ascii="Traditional Arabic" w:hAnsi="Traditional Arabic"/>
          <w:rtl/>
        </w:rPr>
        <w:t>وروى ابن الأنباري عن الأصمعي</w:t>
      </w:r>
      <w:r w:rsidRPr="0063006E">
        <w:rPr>
          <w:vertAlign w:val="superscript"/>
          <w:rtl/>
        </w:rPr>
        <w:t>(</w:t>
      </w:r>
      <w:r w:rsidRPr="0063006E">
        <w:rPr>
          <w:vertAlign w:val="superscript"/>
          <w:rtl/>
        </w:rPr>
        <w:footnoteReference w:id="2290"/>
      </w:r>
      <w:r w:rsidRPr="0063006E">
        <w:rPr>
          <w:vertAlign w:val="superscript"/>
          <w:rtl/>
        </w:rPr>
        <w:t>)</w:t>
      </w:r>
      <w:r w:rsidRPr="0063006E">
        <w:rPr>
          <w:rFonts w:ascii="Traditional Arabic" w:hAnsi="Traditional Arabic"/>
          <w:rtl/>
        </w:rPr>
        <w:t xml:space="preserve">أنه قال: معنى «وقرِّي عيناً» ولتبرد دمعتك، لأن دمعة الفرح باردة، ودمعة الحزن حارَّة. واشتقاق «قرِّي» من القَرور، وهو الماء </w:t>
      </w:r>
      <w:r w:rsidRPr="0063006E">
        <w:rPr>
          <w:rFonts w:ascii="Traditional Arabic" w:hAnsi="Traditional Arabic"/>
          <w:sz w:val="32"/>
          <w:szCs w:val="32"/>
          <w:rtl/>
        </w:rPr>
        <w:t>[</w:t>
      </w:r>
      <w:r w:rsidRPr="0063006E">
        <w:rPr>
          <w:rFonts w:ascii="Traditional Arabic" w:hAnsi="Traditional Arabic" w:hint="cs"/>
          <w:sz w:val="32"/>
          <w:szCs w:val="32"/>
          <w:rtl/>
        </w:rPr>
        <w:t>168</w:t>
      </w:r>
      <w:r w:rsidRPr="0063006E">
        <w:rPr>
          <w:rFonts w:ascii="Traditional Arabic" w:hAnsi="Traditional Arabic"/>
          <w:sz w:val="32"/>
          <w:szCs w:val="32"/>
          <w:rtl/>
        </w:rPr>
        <w:t>]</w:t>
      </w:r>
      <w:r w:rsidRPr="0063006E">
        <w:rPr>
          <w:rFonts w:ascii="Traditional Arabic" w:hAnsi="Traditional Arabic"/>
          <w:rtl/>
        </w:rPr>
        <w:t xml:space="preserve"> البارد</w:t>
      </w:r>
      <w:r w:rsidRPr="0063006E">
        <w:rPr>
          <w:rFonts w:ascii="Traditional Arabic" w:hAnsi="Traditional Arabic" w:hint="cs"/>
          <w:rtl/>
        </w:rPr>
        <w:t>,</w:t>
      </w:r>
      <w:r w:rsidRPr="0063006E">
        <w:rPr>
          <w:rFonts w:ascii="Traditional Arabic" w:hAnsi="Traditional Arabic"/>
          <w:rtl/>
        </w:rPr>
        <w:t xml:space="preserve"> وقال لنا أحمد بن يحيى</w:t>
      </w:r>
      <w:r w:rsidRPr="0063006E">
        <w:rPr>
          <w:vertAlign w:val="superscript"/>
          <w:rtl/>
        </w:rPr>
        <w:t>(</w:t>
      </w:r>
      <w:r w:rsidRPr="0063006E">
        <w:rPr>
          <w:vertAlign w:val="superscript"/>
          <w:rtl/>
        </w:rPr>
        <w:footnoteReference w:id="2291"/>
      </w:r>
      <w:r w:rsidRPr="0063006E">
        <w:rPr>
          <w:vertAlign w:val="superscript"/>
          <w:rtl/>
        </w:rPr>
        <w:t>)</w:t>
      </w:r>
      <w:r w:rsidRPr="0063006E">
        <w:rPr>
          <w:rFonts w:ascii="Traditional Arabic" w:hAnsi="Traditional Arabic"/>
          <w:rtl/>
        </w:rPr>
        <w:t>: تفسير «قرِّي عيناً» بلغتِ غاية أملك حتى تقرَّ عينك من الاستشراف إِلى غيره. واحتج بقول عمرو بن كلثوم</w:t>
      </w:r>
      <w:r w:rsidRPr="0063006E">
        <w:rPr>
          <w:vertAlign w:val="superscript"/>
          <w:rtl/>
        </w:rPr>
        <w:t>(</w:t>
      </w:r>
      <w:r w:rsidRPr="0063006E">
        <w:rPr>
          <w:vertAlign w:val="superscript"/>
          <w:rtl/>
        </w:rPr>
        <w:footnoteReference w:id="2292"/>
      </w:r>
      <w:r w:rsidRPr="0063006E">
        <w:rPr>
          <w:vertAlign w:val="superscript"/>
          <w:rtl/>
        </w:rPr>
        <w:t>)</w:t>
      </w:r>
      <w:r w:rsidRPr="0063006E">
        <w:rPr>
          <w:rFonts w:ascii="Traditional Arabic" w:hAnsi="Traditional Arabic"/>
          <w:rtl/>
        </w:rPr>
        <w:t>:</w:t>
      </w:r>
    </w:p>
    <w:p w:rsidR="0063006E" w:rsidRPr="0063006E" w:rsidRDefault="0063006E" w:rsidP="0063006E">
      <w:pPr>
        <w:ind w:firstLine="0"/>
        <w:rPr>
          <w:rFonts w:ascii="Traditional Arabic" w:hAnsi="Traditional Arabic"/>
          <w:rtl/>
        </w:rPr>
      </w:pPr>
      <w:r w:rsidRPr="0063006E">
        <w:rPr>
          <w:rFonts w:ascii="Traditional Arabic" w:hAnsi="Traditional Arabic"/>
          <w:rtl/>
        </w:rPr>
        <w:t>بيوم كريهةٍ ضرباً وطعناً ... أقرَّ به مواليك العيونا</w:t>
      </w:r>
      <w:r w:rsidRPr="0063006E">
        <w:rPr>
          <w:vertAlign w:val="superscript"/>
          <w:rtl/>
        </w:rPr>
        <w:t>(</w:t>
      </w:r>
      <w:r w:rsidRPr="0063006E">
        <w:rPr>
          <w:vertAlign w:val="superscript"/>
          <w:rtl/>
        </w:rPr>
        <w:footnoteReference w:id="2293"/>
      </w:r>
      <w:r w:rsidRPr="0063006E">
        <w:rPr>
          <w:vertAlign w:val="superscript"/>
          <w:rtl/>
        </w:rPr>
        <w:t>)</w:t>
      </w:r>
    </w:p>
    <w:p w:rsidR="0063006E" w:rsidRPr="0063006E" w:rsidRDefault="0063006E" w:rsidP="0063006E">
      <w:pPr>
        <w:ind w:firstLine="0"/>
        <w:rPr>
          <w:rFonts w:ascii="Traditional Arabic" w:hAnsi="Traditional Arabic"/>
          <w:rtl/>
        </w:rPr>
      </w:pPr>
      <w:r w:rsidRPr="0063006E">
        <w:rPr>
          <w:rFonts w:ascii="Traditional Arabic" w:hAnsi="Traditional Arabic"/>
          <w:rtl/>
        </w:rPr>
        <w:t>أي ظفروا وبلغوا منتهى أمنيتهم، فقرّت أعينهم من تطلّع إِلى غيره</w:t>
      </w:r>
      <w:r w:rsidRPr="0063006E">
        <w:rPr>
          <w:vertAlign w:val="superscript"/>
          <w:rtl/>
        </w:rPr>
        <w:t>(</w:t>
      </w:r>
      <w:r w:rsidRPr="0063006E">
        <w:rPr>
          <w:vertAlign w:val="superscript"/>
          <w:rtl/>
        </w:rPr>
        <w:footnoteReference w:id="2294"/>
      </w:r>
      <w:r w:rsidRPr="0063006E">
        <w:rPr>
          <w:vertAlign w:val="superscript"/>
          <w:rtl/>
        </w:rPr>
        <w:t>)</w:t>
      </w:r>
      <w:r w:rsidRPr="0063006E">
        <w:rPr>
          <w:rFonts w:ascii="Traditional Arabic" w:hAnsi="Traditional Arabic"/>
          <w:rtl/>
        </w:rPr>
        <w:t>.</w:t>
      </w:r>
      <w:r w:rsidRPr="0063006E">
        <w:rPr>
          <w:rFonts w:ascii="Traditional Arabic" w:hAnsi="Traditional Arabic" w:hint="cs"/>
          <w:rtl/>
        </w:rPr>
        <w:t xml:space="preserve"> </w:t>
      </w:r>
      <w:r w:rsidRPr="0063006E">
        <w:rPr>
          <w:rFonts w:ascii="Traditional Arabic" w:hAnsi="Traditional Arabic"/>
          <w:rtl/>
        </w:rPr>
        <w:t xml:space="preserve">قوله تعالى: </w:t>
      </w:r>
      <w:r w:rsidRPr="0063006E">
        <w:rPr>
          <w:rFonts w:ascii="QCF_BSML" w:hAnsi="QCF_BSML" w:cs="QCF_BSML"/>
          <w:color w:val="auto"/>
          <w:sz w:val="32"/>
          <w:szCs w:val="32"/>
          <w:rtl/>
          <w:lang w:eastAsia="en-US"/>
        </w:rPr>
        <w:t>ﭽ</w:t>
      </w:r>
      <w:r w:rsidRPr="0063006E">
        <w:rPr>
          <w:rFonts w:ascii="QCF_P307" w:hAnsi="QCF_P307" w:cs="QCF_P307"/>
          <w:color w:val="auto"/>
          <w:sz w:val="32"/>
          <w:szCs w:val="32"/>
          <w:rtl/>
          <w:lang w:eastAsia="en-US"/>
        </w:rPr>
        <w:t xml:space="preserve"> ﭖ  ﭗ</w:t>
      </w:r>
      <w:r w:rsidRPr="0063006E">
        <w:rPr>
          <w:rFonts w:ascii="QCF_BSML" w:hAnsi="QCF_BSML" w:cs="QCF_BSML"/>
          <w:sz w:val="32"/>
          <w:szCs w:val="32"/>
          <w:rtl/>
          <w:lang w:eastAsia="en-US"/>
        </w:rPr>
        <w:t>ﭼ</w:t>
      </w:r>
      <w:r w:rsidRPr="0063006E">
        <w:rPr>
          <w:rFonts w:ascii="QCF_P307" w:hAnsi="QCF_P307" w:cs="QCF_P307"/>
          <w:color w:val="auto"/>
          <w:sz w:val="32"/>
          <w:szCs w:val="32"/>
          <w:rtl/>
          <w:lang w:eastAsia="en-US"/>
        </w:rPr>
        <w:t xml:space="preserve"> </w:t>
      </w:r>
      <w:r w:rsidRPr="0063006E">
        <w:rPr>
          <w:rFonts w:ascii="QCF_P307" w:hAnsi="QCF_P307" w:cs="QCF_P307" w:hint="cs"/>
          <w:color w:val="auto"/>
          <w:sz w:val="32"/>
          <w:szCs w:val="32"/>
          <w:rtl/>
          <w:lang w:eastAsia="en-US"/>
        </w:rPr>
        <w:t xml:space="preserve">  </w:t>
      </w:r>
      <w:r w:rsidRPr="0063006E">
        <w:rPr>
          <w:rFonts w:ascii="QCF_P307" w:hAnsi="QCF_P307" w:cs="QCF_P307"/>
          <w:color w:val="auto"/>
          <w:sz w:val="32"/>
          <w:szCs w:val="32"/>
          <w:rtl/>
          <w:lang w:eastAsia="en-US"/>
        </w:rPr>
        <w:t xml:space="preserve"> </w:t>
      </w:r>
      <w:r w:rsidRPr="0063006E">
        <w:rPr>
          <w:rFonts w:ascii="Traditional Arabic" w:hAnsi="Traditional Arabic"/>
          <w:rtl/>
        </w:rPr>
        <w:t>وقرأ ابن عباس، وأبو مجلز، وابن السّميفع، والضّحّاك، وأبو العالية،</w:t>
      </w:r>
      <w:r w:rsidRPr="0063006E">
        <w:rPr>
          <w:rFonts w:ascii="Traditional Arabic" w:hAnsi="Traditional Arabic" w:hint="cs"/>
          <w:rtl/>
        </w:rPr>
        <w:t xml:space="preserve"> </w:t>
      </w:r>
      <w:r w:rsidRPr="0063006E">
        <w:rPr>
          <w:rFonts w:ascii="Traditional Arabic" w:hAnsi="Traditional Arabic"/>
          <w:rtl/>
        </w:rPr>
        <w:t>وعاصم الجحدري: «ترئِنَّ» بهمزة مكسورة من غير ياء</w:t>
      </w:r>
      <w:r w:rsidRPr="0063006E">
        <w:rPr>
          <w:vertAlign w:val="superscript"/>
          <w:rtl/>
        </w:rPr>
        <w:t>(</w:t>
      </w:r>
      <w:r w:rsidRPr="0063006E">
        <w:rPr>
          <w:vertAlign w:val="superscript"/>
          <w:rtl/>
        </w:rPr>
        <w:footnoteReference w:id="2295"/>
      </w:r>
      <w:r w:rsidRPr="0063006E">
        <w:rPr>
          <w:vertAlign w:val="superscript"/>
          <w:rtl/>
        </w:rPr>
        <w:t>)</w:t>
      </w:r>
      <w:r w:rsidRPr="0063006E">
        <w:rPr>
          <w:rFonts w:ascii="Traditional Arabic" w:hAnsi="Traditional Arabic"/>
          <w:rtl/>
        </w:rPr>
        <w:t xml:space="preserve">. أي: إِن رأيتِ </w:t>
      </w:r>
      <w:r w:rsidRPr="0063006E">
        <w:rPr>
          <w:rFonts w:ascii="QCF_BSML" w:hAnsi="QCF_BSML" w:cs="QCF_BSML"/>
          <w:color w:val="auto"/>
          <w:sz w:val="32"/>
          <w:szCs w:val="32"/>
          <w:rtl/>
          <w:lang w:eastAsia="en-US"/>
        </w:rPr>
        <w:t>ﭽ</w:t>
      </w:r>
      <w:r w:rsidRPr="0063006E">
        <w:rPr>
          <w:rFonts w:ascii="QCF_P307" w:hAnsi="QCF_P307" w:cs="QCF_P307"/>
          <w:color w:val="auto"/>
          <w:sz w:val="32"/>
          <w:szCs w:val="32"/>
          <w:rtl/>
          <w:lang w:eastAsia="en-US"/>
        </w:rPr>
        <w:t xml:space="preserve"> ﭘ  ﭙ  ﭚ    </w:t>
      </w:r>
      <w:r w:rsidRPr="0063006E">
        <w:rPr>
          <w:rFonts w:ascii="QCF_P307" w:hAnsi="QCF_P307" w:cs="QCF_P307" w:hint="cs"/>
          <w:color w:val="auto"/>
          <w:sz w:val="32"/>
          <w:szCs w:val="32"/>
          <w:rtl/>
          <w:lang w:eastAsia="en-US"/>
        </w:rPr>
        <w:t xml:space="preserve"> </w:t>
      </w:r>
      <w:r w:rsidRPr="0063006E">
        <w:rPr>
          <w:rFonts w:ascii="QCF_P307" w:hAnsi="QCF_P307" w:cs="QCF_P307"/>
          <w:color w:val="auto"/>
          <w:sz w:val="32"/>
          <w:szCs w:val="32"/>
          <w:rtl/>
          <w:lang w:eastAsia="en-US"/>
        </w:rPr>
        <w:t>ﭛ</w:t>
      </w:r>
      <w:r w:rsidRPr="0063006E">
        <w:rPr>
          <w:rFonts w:ascii="QCF_BSML" w:hAnsi="QCF_BSML" w:cs="QCF_BSML"/>
          <w:sz w:val="32"/>
          <w:szCs w:val="32"/>
          <w:rtl/>
          <w:lang w:eastAsia="en-US"/>
        </w:rPr>
        <w:t>ﭼ</w:t>
      </w:r>
      <w:r w:rsidRPr="0063006E">
        <w:rPr>
          <w:rFonts w:ascii="QCF_BSML" w:hAnsi="QCF_BSML" w:cs="QCF_BSML" w:hint="cs"/>
          <w:sz w:val="32"/>
          <w:szCs w:val="32"/>
          <w:rtl/>
          <w:lang w:eastAsia="en-US"/>
        </w:rPr>
        <w:t xml:space="preserve"> </w:t>
      </w:r>
      <w:r w:rsidRPr="0063006E">
        <w:rPr>
          <w:rFonts w:ascii="QCF_P307" w:hAnsi="QCF_P307" w:cs="QCF_P307"/>
          <w:color w:val="auto"/>
          <w:sz w:val="32"/>
          <w:szCs w:val="32"/>
          <w:rtl/>
          <w:lang w:eastAsia="en-US"/>
        </w:rPr>
        <w:t xml:space="preserve">  </w:t>
      </w:r>
      <w:r w:rsidRPr="0063006E">
        <w:rPr>
          <w:rFonts w:ascii="Traditional Arabic" w:hAnsi="Traditional Arabic"/>
          <w:rtl/>
        </w:rPr>
        <w:t xml:space="preserve">وفيه إِضمار </w:t>
      </w:r>
      <w:r w:rsidRPr="0063006E">
        <w:rPr>
          <w:rFonts w:ascii="Traditional Arabic" w:hAnsi="Traditional Arabic"/>
          <w:rtl/>
        </w:rPr>
        <w:lastRenderedPageBreak/>
        <w:t xml:space="preserve">تقديره: فسألك عن أمر ولدك. </w:t>
      </w:r>
      <w:r w:rsidRPr="0063006E">
        <w:rPr>
          <w:rFonts w:ascii="QCF_BSML" w:hAnsi="QCF_BSML" w:cs="QCF_BSML"/>
          <w:color w:val="auto"/>
          <w:sz w:val="32"/>
          <w:szCs w:val="32"/>
          <w:rtl/>
          <w:lang w:eastAsia="en-US"/>
        </w:rPr>
        <w:t>ﭽ</w:t>
      </w:r>
      <w:r w:rsidRPr="0063006E">
        <w:rPr>
          <w:rFonts w:ascii="QCF_P307" w:hAnsi="QCF_P307" w:cs="QCF_P307"/>
          <w:color w:val="auto"/>
          <w:sz w:val="32"/>
          <w:szCs w:val="32"/>
          <w:rtl/>
          <w:lang w:eastAsia="en-US"/>
        </w:rPr>
        <w:t xml:space="preserve"> ﭛ   ﭜ  ﭝ  ﭞ     ﭟ</w:t>
      </w:r>
      <w:r w:rsidRPr="0063006E">
        <w:rPr>
          <w:rFonts w:ascii="QCF_BSML" w:hAnsi="QCF_BSML" w:cs="QCF_BSML"/>
          <w:sz w:val="32"/>
          <w:szCs w:val="32"/>
          <w:rtl/>
          <w:lang w:eastAsia="en-US"/>
        </w:rPr>
        <w:t xml:space="preserve"> ﭼ</w:t>
      </w:r>
      <w:r w:rsidRPr="0063006E">
        <w:rPr>
          <w:rFonts w:ascii="QCF_P307" w:hAnsi="QCF_P307" w:cs="QCF_P307"/>
          <w:color w:val="auto"/>
          <w:sz w:val="32"/>
          <w:szCs w:val="32"/>
          <w:rtl/>
          <w:lang w:eastAsia="en-US"/>
        </w:rPr>
        <w:t xml:space="preserve">  </w:t>
      </w:r>
      <w:r w:rsidRPr="0063006E">
        <w:rPr>
          <w:rFonts w:ascii="Traditional Arabic" w:hAnsi="Traditional Arabic" w:hint="cs"/>
          <w:rtl/>
        </w:rPr>
        <w:t xml:space="preserve"> </w:t>
      </w:r>
      <w:r w:rsidRPr="0063006E">
        <w:rPr>
          <w:rFonts w:ascii="Traditional Arabic" w:hAnsi="Traditional Arabic"/>
          <w:rtl/>
        </w:rPr>
        <w:t>فيه قولان:</w:t>
      </w:r>
      <w:r w:rsidRPr="0063006E">
        <w:rPr>
          <w:rFonts w:ascii="Traditional Arabic" w:hAnsi="Traditional Arabic" w:hint="cs"/>
          <w:rtl/>
        </w:rPr>
        <w:t xml:space="preserve"> </w:t>
      </w:r>
      <w:r w:rsidRPr="0063006E">
        <w:rPr>
          <w:rFonts w:ascii="Traditional Arabic" w:hAnsi="Traditional Arabic"/>
          <w:rtl/>
        </w:rPr>
        <w:t>أحدهما: صمتاً، قاله ابن عباس، وأنس بن مالك، والضحاك</w:t>
      </w:r>
      <w:r w:rsidRPr="0063006E">
        <w:rPr>
          <w:vertAlign w:val="superscript"/>
          <w:rtl/>
        </w:rPr>
        <w:t>(</w:t>
      </w:r>
      <w:r w:rsidRPr="0063006E">
        <w:rPr>
          <w:vertAlign w:val="superscript"/>
          <w:rtl/>
        </w:rPr>
        <w:footnoteReference w:id="2296"/>
      </w:r>
      <w:r w:rsidRPr="0063006E">
        <w:rPr>
          <w:vertAlign w:val="superscript"/>
          <w:rtl/>
        </w:rPr>
        <w:t>)</w:t>
      </w:r>
      <w:r w:rsidRPr="0063006E">
        <w:rPr>
          <w:rFonts w:ascii="Traditional Arabic" w:hAnsi="Traditional Arabic"/>
          <w:rtl/>
        </w:rPr>
        <w:t xml:space="preserve">. وكذلك قرأ أُبيّ بن كعب وأبو رزين العقيلي: «صمتاً» مكان قوله: </w:t>
      </w:r>
      <w:r w:rsidRPr="0063006E">
        <w:rPr>
          <w:rFonts w:ascii="QCF_BSML" w:hAnsi="QCF_BSML" w:cs="QCF_BSML"/>
          <w:color w:val="auto"/>
          <w:sz w:val="32"/>
          <w:szCs w:val="32"/>
          <w:rtl/>
          <w:lang w:eastAsia="en-US"/>
        </w:rPr>
        <w:t>ﭽ</w:t>
      </w:r>
      <w:r w:rsidRPr="0063006E">
        <w:rPr>
          <w:rFonts w:ascii="QCF_P307" w:hAnsi="QCF_P307" w:cs="QCF_P307"/>
          <w:color w:val="auto"/>
          <w:sz w:val="32"/>
          <w:szCs w:val="32"/>
          <w:rtl/>
          <w:lang w:eastAsia="en-US"/>
        </w:rPr>
        <w:t xml:space="preserve"> ﭟ</w:t>
      </w:r>
      <w:r w:rsidRPr="0063006E">
        <w:rPr>
          <w:rFonts w:ascii="QCF_BSML" w:hAnsi="QCF_BSML" w:cs="QCF_BSML"/>
          <w:sz w:val="32"/>
          <w:szCs w:val="32"/>
          <w:rtl/>
          <w:lang w:eastAsia="en-US"/>
        </w:rPr>
        <w:t xml:space="preserve"> ﭼ</w:t>
      </w:r>
      <w:r w:rsidRPr="0063006E">
        <w:rPr>
          <w:vertAlign w:val="superscript"/>
          <w:rtl/>
        </w:rPr>
        <w:t>(</w:t>
      </w:r>
      <w:r w:rsidRPr="0063006E">
        <w:rPr>
          <w:vertAlign w:val="superscript"/>
          <w:rtl/>
        </w:rPr>
        <w:footnoteReference w:id="2297"/>
      </w:r>
      <w:r w:rsidRPr="0063006E">
        <w:rPr>
          <w:vertAlign w:val="superscript"/>
          <w:rtl/>
        </w:rPr>
        <w:t>)</w:t>
      </w:r>
      <w:r w:rsidRPr="0063006E">
        <w:rPr>
          <w:rFonts w:ascii="Traditional Arabic" w:hAnsi="Traditional Arabic" w:hint="cs"/>
          <w:rtl/>
        </w:rPr>
        <w:t>,</w:t>
      </w:r>
      <w:r w:rsidRPr="0063006E">
        <w:rPr>
          <w:rFonts w:ascii="Traditional Arabic" w:hAnsi="Traditional Arabic"/>
          <w:rtl/>
        </w:rPr>
        <w:t xml:space="preserve"> وقرأ ابن عباس: صياماً</w:t>
      </w:r>
      <w:r w:rsidRPr="0063006E">
        <w:rPr>
          <w:vertAlign w:val="superscript"/>
          <w:rtl/>
        </w:rPr>
        <w:t>(</w:t>
      </w:r>
      <w:r w:rsidRPr="0063006E">
        <w:rPr>
          <w:vertAlign w:val="superscript"/>
          <w:rtl/>
        </w:rPr>
        <w:footnoteReference w:id="2298"/>
      </w:r>
      <w:r w:rsidRPr="0063006E">
        <w:rPr>
          <w:vertAlign w:val="superscript"/>
          <w:rtl/>
        </w:rPr>
        <w:t>)</w:t>
      </w:r>
      <w:r w:rsidRPr="0063006E">
        <w:rPr>
          <w:rFonts w:ascii="Traditional Arabic" w:hAnsi="Traditional Arabic"/>
          <w:rtl/>
        </w:rPr>
        <w:t>. والثاني: صوماً عن الطعام والشراب والكلام، قاله قتادة</w:t>
      </w:r>
      <w:r w:rsidRPr="0063006E">
        <w:rPr>
          <w:vertAlign w:val="superscript"/>
          <w:rtl/>
        </w:rPr>
        <w:t>(</w:t>
      </w:r>
      <w:r w:rsidRPr="0063006E">
        <w:rPr>
          <w:vertAlign w:val="superscript"/>
          <w:rtl/>
        </w:rPr>
        <w:footnoteReference w:id="2299"/>
      </w:r>
      <w:r w:rsidRPr="0063006E">
        <w:rPr>
          <w:vertAlign w:val="superscript"/>
          <w:rtl/>
        </w:rPr>
        <w:t>)</w:t>
      </w:r>
      <w:r w:rsidRPr="0063006E">
        <w:rPr>
          <w:rFonts w:ascii="Traditional Arabic" w:hAnsi="Traditional Arabic"/>
          <w:rtl/>
        </w:rPr>
        <w:t>. وقال ابن زيد: كان المجتهد من بني إِسرائيل يصوم عن الكلام كما يصوم عن الطعام، إِلا من ذكر الله عزّ وجلّ</w:t>
      </w:r>
      <w:r w:rsidRPr="0063006E">
        <w:rPr>
          <w:vertAlign w:val="superscript"/>
          <w:rtl/>
        </w:rPr>
        <w:t>(</w:t>
      </w:r>
      <w:r w:rsidRPr="0063006E">
        <w:rPr>
          <w:vertAlign w:val="superscript"/>
          <w:rtl/>
        </w:rPr>
        <w:footnoteReference w:id="2300"/>
      </w:r>
      <w:r w:rsidRPr="0063006E">
        <w:rPr>
          <w:vertAlign w:val="superscript"/>
          <w:rtl/>
        </w:rPr>
        <w:t>)</w:t>
      </w:r>
      <w:r w:rsidRPr="0063006E">
        <w:rPr>
          <w:rFonts w:ascii="Traditional Arabic" w:hAnsi="Traditional Arabic"/>
          <w:rtl/>
        </w:rPr>
        <w:t>. قال السدي: فأذن لها أن تتكلم بهذا القدر ثم تسكت</w:t>
      </w:r>
      <w:r w:rsidRPr="0063006E">
        <w:rPr>
          <w:vertAlign w:val="superscript"/>
          <w:rtl/>
        </w:rPr>
        <w:t>(</w:t>
      </w:r>
      <w:r w:rsidRPr="0063006E">
        <w:rPr>
          <w:vertAlign w:val="superscript"/>
          <w:rtl/>
        </w:rPr>
        <w:footnoteReference w:id="2301"/>
      </w:r>
      <w:r w:rsidRPr="0063006E">
        <w:rPr>
          <w:vertAlign w:val="superscript"/>
          <w:rtl/>
        </w:rPr>
        <w:t>)</w:t>
      </w:r>
      <w:r w:rsidRPr="0063006E">
        <w:rPr>
          <w:rFonts w:ascii="Traditional Arabic" w:hAnsi="Traditional Arabic"/>
          <w:rtl/>
        </w:rPr>
        <w:t>. قال ابن مسعود: أُمِرتْ بالصمت، لأنها لم تكن لها حُجَّة عند الناس، فأُمرتْ بالكفِّ عن الكلام ليكفيَها كلامَ</w:t>
      </w:r>
      <w:r w:rsidRPr="0063006E">
        <w:rPr>
          <w:vertAlign w:val="superscript"/>
          <w:rtl/>
        </w:rPr>
        <w:t>(</w:t>
      </w:r>
      <w:r w:rsidRPr="0063006E">
        <w:rPr>
          <w:vertAlign w:val="superscript"/>
          <w:rtl/>
        </w:rPr>
        <w:footnoteReference w:id="2302"/>
      </w:r>
      <w:r w:rsidRPr="0063006E">
        <w:rPr>
          <w:vertAlign w:val="superscript"/>
          <w:rtl/>
        </w:rPr>
        <w:t>)</w:t>
      </w:r>
      <w:r w:rsidRPr="0063006E">
        <w:rPr>
          <w:rFonts w:ascii="Traditional Arabic" w:hAnsi="Traditional Arabic"/>
          <w:rtl/>
        </w:rPr>
        <w:t>ولدُها بما يبرئ به ساحتها</w:t>
      </w:r>
      <w:r w:rsidRPr="0063006E">
        <w:rPr>
          <w:vertAlign w:val="superscript"/>
          <w:rtl/>
        </w:rPr>
        <w:t>(</w:t>
      </w:r>
      <w:r w:rsidRPr="0063006E">
        <w:rPr>
          <w:vertAlign w:val="superscript"/>
          <w:rtl/>
        </w:rPr>
        <w:footnoteReference w:id="2303"/>
      </w:r>
      <w:r w:rsidRPr="0063006E">
        <w:rPr>
          <w:vertAlign w:val="superscript"/>
          <w:rtl/>
        </w:rPr>
        <w:t>)</w:t>
      </w:r>
      <w:r w:rsidRPr="0063006E">
        <w:rPr>
          <w:rFonts w:ascii="Traditional Arabic" w:hAnsi="Traditional Arabic"/>
          <w:rtl/>
        </w:rPr>
        <w:t>. وقيل: كانت تُكلِّم الملائكة ولا تكلِّم الإِنس</w:t>
      </w:r>
      <w:r w:rsidRPr="0063006E">
        <w:rPr>
          <w:vertAlign w:val="superscript"/>
          <w:rtl/>
        </w:rPr>
        <w:t>(</w:t>
      </w:r>
      <w:r w:rsidRPr="0063006E">
        <w:rPr>
          <w:vertAlign w:val="superscript"/>
          <w:rtl/>
        </w:rPr>
        <w:footnoteReference w:id="2304"/>
      </w:r>
      <w:r w:rsidRPr="0063006E">
        <w:rPr>
          <w:vertAlign w:val="superscript"/>
          <w:rtl/>
        </w:rPr>
        <w:t>)</w:t>
      </w:r>
      <w:r w:rsidRPr="0063006E">
        <w:rPr>
          <w:rFonts w:ascii="Traditional Arabic" w:hAnsi="Traditional Arabic"/>
          <w:rtl/>
        </w:rPr>
        <w:t xml:space="preserve">. قال ابن الأنباري: الصوم في لغة العرب على أربعة معانٍ، </w:t>
      </w:r>
      <w:r w:rsidRPr="0063006E">
        <w:rPr>
          <w:rFonts w:ascii="Traditional Arabic" w:hAnsi="Traditional Arabic" w:hint="cs"/>
          <w:rtl/>
        </w:rPr>
        <w:t>[</w:t>
      </w:r>
      <w:r w:rsidRPr="0063006E">
        <w:rPr>
          <w:rFonts w:ascii="Traditional Arabic" w:hAnsi="Traditional Arabic"/>
          <w:rtl/>
        </w:rPr>
        <w:t>يقال</w:t>
      </w:r>
      <w:r w:rsidRPr="0063006E">
        <w:rPr>
          <w:rFonts w:ascii="Traditional Arabic" w:hAnsi="Traditional Arabic" w:hint="cs"/>
          <w:rtl/>
        </w:rPr>
        <w:t>]</w:t>
      </w:r>
      <w:r w:rsidRPr="0063006E">
        <w:rPr>
          <w:vertAlign w:val="superscript"/>
          <w:rtl/>
        </w:rPr>
        <w:t>(</w:t>
      </w:r>
      <w:r w:rsidRPr="0063006E">
        <w:rPr>
          <w:vertAlign w:val="superscript"/>
          <w:rtl/>
        </w:rPr>
        <w:footnoteReference w:id="2305"/>
      </w:r>
      <w:r w:rsidRPr="0063006E">
        <w:rPr>
          <w:vertAlign w:val="superscript"/>
          <w:rtl/>
        </w:rPr>
        <w:t>)</w:t>
      </w:r>
      <w:r w:rsidRPr="0063006E">
        <w:rPr>
          <w:rFonts w:ascii="Traditional Arabic" w:hAnsi="Traditional Arabic"/>
          <w:rtl/>
        </w:rPr>
        <w:t>: صوم لترك الطعام الشراب وصوم للصمت، وصوم لضرب من الشجر، وصوم لذَرْق</w:t>
      </w:r>
      <w:r w:rsidRPr="0063006E">
        <w:rPr>
          <w:rFonts w:hint="cs"/>
          <w:rtl/>
        </w:rPr>
        <w:t xml:space="preserve"> </w:t>
      </w:r>
      <w:r w:rsidRPr="0063006E">
        <w:rPr>
          <w:rFonts w:ascii="Traditional Arabic" w:hAnsi="Traditional Arabic"/>
          <w:rtl/>
        </w:rPr>
        <w:t>النعام</w:t>
      </w:r>
      <w:r w:rsidRPr="0063006E">
        <w:rPr>
          <w:rFonts w:ascii="Traditional Arabic" w:hAnsi="Traditional Arabic"/>
          <w:vertAlign w:val="superscript"/>
        </w:rPr>
        <w:t>(</w:t>
      </w:r>
      <w:r w:rsidRPr="0063006E">
        <w:rPr>
          <w:rFonts w:ascii="Traditional Arabic" w:hAnsi="Traditional Arabic"/>
          <w:vertAlign w:val="superscript"/>
        </w:rPr>
        <w:footnoteReference w:id="2306"/>
      </w:r>
      <w:r w:rsidRPr="0063006E">
        <w:rPr>
          <w:rFonts w:ascii="Traditional Arabic" w:hAnsi="Traditional Arabic"/>
          <w:vertAlign w:val="superscript"/>
        </w:rPr>
        <w:t>)</w:t>
      </w:r>
      <w:r w:rsidRPr="0063006E">
        <w:rPr>
          <w:rFonts w:ascii="Traditional Arabic" w:hAnsi="Traditional Arabic"/>
          <w:vertAlign w:val="superscript"/>
          <w:rtl/>
        </w:rPr>
        <w:t>(</w:t>
      </w:r>
      <w:r w:rsidRPr="0063006E">
        <w:rPr>
          <w:rFonts w:ascii="Traditional Arabic" w:hAnsi="Traditional Arabic"/>
          <w:vertAlign w:val="superscript"/>
          <w:rtl/>
        </w:rPr>
        <w:footnoteReference w:id="2307"/>
      </w:r>
      <w:r w:rsidRPr="0063006E">
        <w:rPr>
          <w:rFonts w:ascii="Traditional Arabic" w:hAnsi="Traditional Arabic"/>
          <w:vertAlign w:val="superscript"/>
          <w:rtl/>
        </w:rPr>
        <w:t>)</w:t>
      </w:r>
      <w:r w:rsidRPr="0063006E">
        <w:rPr>
          <w:rFonts w:ascii="Traditional Arabic" w:hAnsi="Traditional Arabic"/>
          <w:rtl/>
        </w:rPr>
        <w:t>.</w:t>
      </w:r>
      <w:r w:rsidRPr="0063006E">
        <w:rPr>
          <w:rFonts w:ascii="Traditional Arabic" w:hAnsi="Traditional Arabic" w:hint="cs"/>
          <w:rtl/>
        </w:rPr>
        <w:t xml:space="preserve"> </w:t>
      </w:r>
      <w:r w:rsidRPr="0063006E">
        <w:rPr>
          <w:rFonts w:ascii="Traditional Arabic" w:hAnsi="Traditional Arabic"/>
          <w:rtl/>
        </w:rPr>
        <w:t xml:space="preserve">واختلف العلماء في مقدار سنِّ مريم يوم ولادتها على ثلاثة أقوال: أحدها: </w:t>
      </w:r>
      <w:r w:rsidRPr="0063006E">
        <w:rPr>
          <w:rFonts w:ascii="Traditional Arabic" w:hAnsi="Traditional Arabic"/>
          <w:rtl/>
        </w:rPr>
        <w:lastRenderedPageBreak/>
        <w:t>أنها وَلَدت وهي بنت خمس عشرة سنة، قاله وهب بن منبِّه</w:t>
      </w:r>
      <w:r w:rsidRPr="0063006E">
        <w:rPr>
          <w:vertAlign w:val="superscript"/>
          <w:rtl/>
        </w:rPr>
        <w:t>(</w:t>
      </w:r>
      <w:r w:rsidRPr="0063006E">
        <w:rPr>
          <w:vertAlign w:val="superscript"/>
          <w:rtl/>
        </w:rPr>
        <w:footnoteReference w:id="2308"/>
      </w:r>
      <w:r w:rsidRPr="0063006E">
        <w:rPr>
          <w:vertAlign w:val="superscript"/>
          <w:rtl/>
        </w:rPr>
        <w:t>)</w:t>
      </w:r>
      <w:r w:rsidRPr="0063006E">
        <w:rPr>
          <w:rFonts w:ascii="Traditional Arabic" w:hAnsi="Traditional Arabic"/>
          <w:rtl/>
        </w:rPr>
        <w:t>. والثاني: بنت اثنتي عشرة، قاله زيد بن أسلم</w:t>
      </w:r>
      <w:r w:rsidRPr="0063006E">
        <w:rPr>
          <w:vertAlign w:val="superscript"/>
          <w:rtl/>
        </w:rPr>
        <w:t>(</w:t>
      </w:r>
      <w:r w:rsidRPr="0063006E">
        <w:rPr>
          <w:vertAlign w:val="superscript"/>
          <w:rtl/>
        </w:rPr>
        <w:footnoteReference w:id="2309"/>
      </w:r>
      <w:r w:rsidRPr="0063006E">
        <w:rPr>
          <w:vertAlign w:val="superscript"/>
          <w:rtl/>
        </w:rPr>
        <w:t>)</w:t>
      </w:r>
      <w:r w:rsidRPr="0063006E">
        <w:rPr>
          <w:rFonts w:ascii="Traditional Arabic" w:hAnsi="Traditional Arabic"/>
          <w:rtl/>
        </w:rPr>
        <w:t>. والثالث: بنت ثلاث عشرة سنة، قاله مقاتل</w:t>
      </w:r>
      <w:r w:rsidRPr="0063006E">
        <w:rPr>
          <w:vertAlign w:val="superscript"/>
          <w:rtl/>
        </w:rPr>
        <w:t>(</w:t>
      </w:r>
      <w:r w:rsidRPr="0063006E">
        <w:rPr>
          <w:vertAlign w:val="superscript"/>
          <w:rtl/>
        </w:rPr>
        <w:footnoteReference w:id="2310"/>
      </w:r>
      <w:r w:rsidRPr="0063006E">
        <w:rPr>
          <w:vertAlign w:val="superscript"/>
          <w:rtl/>
        </w:rPr>
        <w:t>)</w:t>
      </w:r>
      <w:r w:rsidRPr="0063006E">
        <w:rPr>
          <w:rFonts w:ascii="Traditional Arabic" w:hAnsi="Traditional Arabic"/>
          <w:rtl/>
        </w:rPr>
        <w:t>.</w:t>
      </w:r>
    </w:p>
    <w:p w:rsidR="00433168" w:rsidRPr="00433168" w:rsidRDefault="00433168" w:rsidP="00433168">
      <w:pPr>
        <w:ind w:firstLine="0"/>
        <w:rPr>
          <w:rFonts w:ascii="Traditional Arabic" w:hAnsi="Traditional Arabic"/>
          <w:color w:val="auto"/>
          <w:sz w:val="32"/>
          <w:szCs w:val="32"/>
          <w:rtl/>
        </w:rPr>
      </w:pPr>
      <w:r w:rsidRPr="00433168">
        <w:rPr>
          <w:rFonts w:ascii="QCF_BSML" w:hAnsi="QCF_BSML" w:cs="QCF_BSML"/>
          <w:color w:val="auto"/>
          <w:sz w:val="32"/>
          <w:szCs w:val="32"/>
          <w:rtl/>
          <w:lang w:eastAsia="en-US"/>
        </w:rPr>
        <w:t xml:space="preserve">ﭽ </w:t>
      </w:r>
      <w:r w:rsidRPr="00433168">
        <w:rPr>
          <w:rFonts w:ascii="QCF_P307" w:hAnsi="QCF_P307" w:cs="QCF_P307"/>
          <w:color w:val="auto"/>
          <w:sz w:val="32"/>
          <w:szCs w:val="32"/>
          <w:rtl/>
          <w:lang w:eastAsia="en-US"/>
        </w:rPr>
        <w:t xml:space="preserve">ﭥ  ﭦ   ﭧ  ﭨﭩ  ﭪ  ﭫ  ﭬ  ﭭ  ﭮ   ﭯ  ﭰ  ﭱ  ﭲ  ﭳ  ﭴ            ﭵ  ﭶ   ﭷ  ﭸ  ﭹ </w:t>
      </w:r>
      <w:r w:rsidRPr="00433168">
        <w:rPr>
          <w:rFonts w:ascii="QCF_P307" w:hAnsi="QCF_P307" w:cs="QCF_P307" w:hint="cs"/>
          <w:color w:val="auto"/>
          <w:sz w:val="32"/>
          <w:szCs w:val="32"/>
          <w:rtl/>
          <w:lang w:eastAsia="en-US"/>
        </w:rPr>
        <w:t xml:space="preserve"> </w:t>
      </w:r>
      <w:r w:rsidRPr="00433168">
        <w:rPr>
          <w:rFonts w:ascii="QCF_P307" w:hAnsi="QCF_P307" w:cs="QCF_P307"/>
          <w:color w:val="auto"/>
          <w:sz w:val="32"/>
          <w:szCs w:val="32"/>
          <w:rtl/>
          <w:lang w:eastAsia="en-US"/>
        </w:rPr>
        <w:t xml:space="preserve"> ﭺ  ﭻ  ﭼ  ﭽ  ﭾﭿ  ﮀ  ﮁ         ﮂ  ﮃ  ﮄ            ﮅ   ﮆ  ﮇ  ﮈ  ﮉ  ﮊ     ﮋ  ﮌ  ﮍ  ﮎ  ﮏ   ﮐ  ﮑ  ﮒ  ﮓ  ﮔ  ﮕ  ﮖ  ﮗ  ﮘ    ﮙ  ﮚ  ﮛ  ﮜ  ﮝ  ﮞ  ﮟ  ﮠ  ﮡ   ﮢ  ﮣ  ﮤ  ﮥ  ﮦ  ﮧ  ﮨ  ﮩ  ﮪ   ﮫ  ﮬ  ﮭ  ﮮ  </w:t>
      </w:r>
      <w:r w:rsidRPr="00433168">
        <w:rPr>
          <w:rFonts w:ascii="QCF_BSML" w:hAnsi="QCF_BSML" w:cs="QCF_BSML"/>
          <w:color w:val="auto"/>
          <w:sz w:val="32"/>
          <w:szCs w:val="32"/>
          <w:rtl/>
          <w:lang w:eastAsia="en-US"/>
        </w:rPr>
        <w:t>ﭼ</w:t>
      </w:r>
      <w:r w:rsidRPr="00433168">
        <w:rPr>
          <w:rFonts w:ascii="Arial" w:hAnsi="Arial" w:cs="Arial"/>
          <w:color w:val="auto"/>
          <w:sz w:val="32"/>
          <w:szCs w:val="32"/>
          <w:rtl/>
          <w:lang w:eastAsia="en-US"/>
        </w:rPr>
        <w:t xml:space="preserve"> </w:t>
      </w:r>
    </w:p>
    <w:p w:rsidR="00433168" w:rsidRPr="00433168" w:rsidRDefault="00433168" w:rsidP="00433168">
      <w:pPr>
        <w:ind w:firstLine="0"/>
        <w:rPr>
          <w:rFonts w:ascii="Traditional Arabic" w:hAnsi="Traditional Arabic"/>
          <w:rtl/>
        </w:rPr>
      </w:pPr>
      <w:r w:rsidRPr="00433168">
        <w:rPr>
          <w:rFonts w:ascii="Traditional Arabic" w:hAnsi="Traditional Arabic"/>
          <w:rtl/>
        </w:rPr>
        <w:t xml:space="preserve">قوله تعالى: </w:t>
      </w:r>
      <w:r w:rsidRPr="00433168">
        <w:rPr>
          <w:rFonts w:ascii="QCF_BSML" w:hAnsi="QCF_BSML" w:cs="QCF_BSML"/>
          <w:color w:val="auto"/>
          <w:sz w:val="32"/>
          <w:szCs w:val="32"/>
          <w:rtl/>
          <w:lang w:eastAsia="en-US"/>
        </w:rPr>
        <w:t xml:space="preserve">ﭽ </w:t>
      </w:r>
      <w:r w:rsidRPr="00433168">
        <w:rPr>
          <w:rFonts w:ascii="QCF_P307" w:hAnsi="QCF_P307" w:cs="QCF_P307"/>
          <w:color w:val="auto"/>
          <w:sz w:val="32"/>
          <w:szCs w:val="32"/>
          <w:rtl/>
          <w:lang w:eastAsia="en-US"/>
        </w:rPr>
        <w:t xml:space="preserve">ﭥ  ﭦ   ﭧ  ﭨﭩ  </w:t>
      </w:r>
      <w:r w:rsidRPr="00433168">
        <w:rPr>
          <w:rFonts w:ascii="QCF_BSML" w:hAnsi="QCF_BSML" w:cs="QCF_BSML"/>
          <w:color w:val="auto"/>
          <w:sz w:val="32"/>
          <w:szCs w:val="32"/>
          <w:rtl/>
          <w:lang w:eastAsia="en-US"/>
        </w:rPr>
        <w:t>ﭼ</w:t>
      </w:r>
      <w:r w:rsidRPr="00433168">
        <w:rPr>
          <w:rFonts w:ascii="Traditional Arabic" w:hAnsi="Traditional Arabic" w:hint="cs"/>
          <w:rtl/>
        </w:rPr>
        <w:t xml:space="preserve"> </w:t>
      </w:r>
      <w:r w:rsidRPr="00433168">
        <w:rPr>
          <w:rFonts w:ascii="Traditional Arabic" w:hAnsi="Traditional Arabic"/>
          <w:rtl/>
        </w:rPr>
        <w:t>قال ابن عباس في رواية أبي صالح: أتتهم به بعد أربعين يوماً حين طهرت من نفاسها</w:t>
      </w:r>
      <w:r w:rsidRPr="00433168">
        <w:rPr>
          <w:vertAlign w:val="superscript"/>
          <w:rtl/>
        </w:rPr>
        <w:t>(</w:t>
      </w:r>
      <w:r w:rsidRPr="00433168">
        <w:rPr>
          <w:vertAlign w:val="superscript"/>
          <w:rtl/>
        </w:rPr>
        <w:footnoteReference w:id="2311"/>
      </w:r>
      <w:r w:rsidRPr="00433168">
        <w:rPr>
          <w:vertAlign w:val="superscript"/>
          <w:rtl/>
        </w:rPr>
        <w:t>)</w:t>
      </w:r>
      <w:r w:rsidRPr="00433168">
        <w:rPr>
          <w:rFonts w:ascii="Traditional Arabic" w:hAnsi="Traditional Arabic"/>
          <w:rtl/>
        </w:rPr>
        <w:t xml:space="preserve">. وقال في رواية الضحاك: انطلق قومها يطلبونها، فلما رأتْهم حملت عيسى فتلقَّتْهم به، فلذلك قوله عزّ وجلّ: </w:t>
      </w:r>
      <w:r w:rsidRPr="00433168">
        <w:rPr>
          <w:rFonts w:ascii="QCF_BSML" w:hAnsi="QCF_BSML" w:cs="QCF_BSML"/>
          <w:color w:val="auto"/>
          <w:sz w:val="32"/>
          <w:szCs w:val="32"/>
          <w:rtl/>
          <w:lang w:eastAsia="en-US"/>
        </w:rPr>
        <w:t xml:space="preserve">ﭽ </w:t>
      </w:r>
      <w:r w:rsidRPr="00433168">
        <w:rPr>
          <w:rFonts w:ascii="QCF_P307" w:hAnsi="QCF_P307" w:cs="QCF_P307"/>
          <w:color w:val="auto"/>
          <w:sz w:val="32"/>
          <w:szCs w:val="32"/>
          <w:rtl/>
          <w:lang w:eastAsia="en-US"/>
        </w:rPr>
        <w:t>ﭥ  ﭦ   ﭧ  ﭨ</w:t>
      </w:r>
      <w:r w:rsidRPr="00433168">
        <w:rPr>
          <w:rFonts w:ascii="QCF_BSML" w:hAnsi="QCF_BSML" w:cs="QCF_BSML"/>
          <w:color w:val="auto"/>
          <w:sz w:val="32"/>
          <w:szCs w:val="32"/>
          <w:rtl/>
          <w:lang w:eastAsia="en-US"/>
        </w:rPr>
        <w:t xml:space="preserve"> </w:t>
      </w:r>
      <w:r w:rsidRPr="00433168">
        <w:rPr>
          <w:rFonts w:ascii="QCF_P307" w:hAnsi="QCF_P307" w:cs="QCF_P307"/>
          <w:color w:val="auto"/>
          <w:sz w:val="32"/>
          <w:szCs w:val="32"/>
          <w:rtl/>
          <w:lang w:eastAsia="en-US"/>
        </w:rPr>
        <w:t>ﭩ</w:t>
      </w:r>
      <w:r w:rsidRPr="00433168">
        <w:rPr>
          <w:rFonts w:ascii="QCF_BSML" w:hAnsi="QCF_BSML" w:cs="QCF_BSML"/>
          <w:color w:val="auto"/>
          <w:sz w:val="32"/>
          <w:szCs w:val="32"/>
          <w:rtl/>
          <w:lang w:eastAsia="en-US"/>
        </w:rPr>
        <w:t xml:space="preserve"> ﭼ</w:t>
      </w:r>
      <w:r w:rsidRPr="00433168">
        <w:rPr>
          <w:rFonts w:ascii="QCF_P307" w:hAnsi="QCF_P307" w:cs="QCF_P307"/>
          <w:color w:val="auto"/>
          <w:sz w:val="32"/>
          <w:szCs w:val="32"/>
          <w:rtl/>
          <w:lang w:eastAsia="en-US"/>
        </w:rPr>
        <w:t xml:space="preserve">  </w:t>
      </w:r>
      <w:r w:rsidRPr="00433168">
        <w:rPr>
          <w:vertAlign w:val="superscript"/>
          <w:rtl/>
        </w:rPr>
        <w:t>(</w:t>
      </w:r>
      <w:r w:rsidRPr="00433168">
        <w:rPr>
          <w:vertAlign w:val="superscript"/>
          <w:rtl/>
        </w:rPr>
        <w:footnoteReference w:id="2312"/>
      </w:r>
      <w:r w:rsidRPr="00433168">
        <w:rPr>
          <w:vertAlign w:val="superscript"/>
          <w:rtl/>
        </w:rPr>
        <w:t>)</w:t>
      </w:r>
      <w:r w:rsidRPr="00433168">
        <w:rPr>
          <w:rFonts w:ascii="Traditional Arabic" w:hAnsi="Traditional Arabic"/>
          <w:rtl/>
        </w:rPr>
        <w:t>.</w:t>
      </w:r>
      <w:r w:rsidRPr="00433168">
        <w:rPr>
          <w:rFonts w:ascii="Traditional Arabic" w:hAnsi="Traditional Arabic" w:hint="cs"/>
          <w:rtl/>
        </w:rPr>
        <w:t xml:space="preserve"> </w:t>
      </w:r>
    </w:p>
    <w:p w:rsidR="00E33899" w:rsidRDefault="00433168" w:rsidP="00E33899">
      <w:pPr>
        <w:ind w:firstLine="0"/>
        <w:rPr>
          <w:rFonts w:ascii="Traditional Arabic" w:hAnsi="Traditional Arabic"/>
          <w:rtl/>
        </w:rPr>
      </w:pPr>
      <w:r w:rsidRPr="00433168">
        <w:rPr>
          <w:rFonts w:ascii="Traditional Arabic" w:hAnsi="Traditional Arabic"/>
          <w:rtl/>
        </w:rPr>
        <w:t xml:space="preserve">فإن قيل: «أتت به» يغني عن «تحمله» </w:t>
      </w:r>
      <w:r w:rsidRPr="00433168">
        <w:rPr>
          <w:rFonts w:ascii="Traditional Arabic" w:hAnsi="Traditional Arabic" w:hint="cs"/>
          <w:rtl/>
        </w:rPr>
        <w:t>[</w:t>
      </w:r>
      <w:r w:rsidRPr="00433168">
        <w:rPr>
          <w:rFonts w:ascii="Traditional Arabic" w:hAnsi="Traditional Arabic"/>
          <w:rtl/>
        </w:rPr>
        <w:t>ف</w:t>
      </w:r>
      <w:r w:rsidRPr="00433168">
        <w:rPr>
          <w:rFonts w:ascii="Traditional Arabic" w:hAnsi="Traditional Arabic" w:hint="cs"/>
          <w:rtl/>
        </w:rPr>
        <w:t>ما</w:t>
      </w:r>
      <w:r w:rsidRPr="00433168">
        <w:rPr>
          <w:rFonts w:ascii="Traditional Arabic" w:hAnsi="Traditional Arabic"/>
          <w:rtl/>
        </w:rPr>
        <w:t xml:space="preserve"> فائدة </w:t>
      </w:r>
      <w:r w:rsidRPr="00433168">
        <w:rPr>
          <w:rFonts w:ascii="Traditional Arabic" w:hAnsi="Traditional Arabic" w:hint="cs"/>
          <w:rtl/>
        </w:rPr>
        <w:t>ا</w:t>
      </w:r>
      <w:r w:rsidRPr="00433168">
        <w:rPr>
          <w:rFonts w:ascii="Traditional Arabic" w:hAnsi="Traditional Arabic"/>
          <w:rtl/>
        </w:rPr>
        <w:t>لتّكرير</w:t>
      </w:r>
      <w:r w:rsidRPr="00433168">
        <w:rPr>
          <w:rFonts w:ascii="Traditional Arabic" w:hAnsi="Traditional Arabic" w:hint="cs"/>
          <w:rtl/>
        </w:rPr>
        <w:t>؟]</w:t>
      </w:r>
      <w:r w:rsidRPr="00433168">
        <w:rPr>
          <w:vertAlign w:val="superscript"/>
          <w:rtl/>
        </w:rPr>
        <w:t>(</w:t>
      </w:r>
      <w:r w:rsidRPr="00433168">
        <w:rPr>
          <w:vertAlign w:val="superscript"/>
          <w:rtl/>
        </w:rPr>
        <w:footnoteReference w:id="2313"/>
      </w:r>
      <w:r w:rsidRPr="00433168">
        <w:rPr>
          <w:vertAlign w:val="superscript"/>
          <w:rtl/>
        </w:rPr>
        <w:t>)</w:t>
      </w:r>
      <w:r w:rsidRPr="00433168">
        <w:rPr>
          <w:rFonts w:hint="cs"/>
          <w:vertAlign w:val="superscript"/>
          <w:rtl/>
        </w:rPr>
        <w:t xml:space="preserve"> </w:t>
      </w:r>
      <w:r w:rsidRPr="00433168">
        <w:rPr>
          <w:rFonts w:ascii="Traditional Arabic" w:hAnsi="Traditional Arabic"/>
          <w:sz w:val="32"/>
          <w:szCs w:val="32"/>
          <w:rtl/>
        </w:rPr>
        <w:t>[</w:t>
      </w:r>
      <w:r w:rsidRPr="00433168">
        <w:rPr>
          <w:rFonts w:ascii="Traditional Arabic" w:hAnsi="Traditional Arabic" w:hint="cs"/>
          <w:sz w:val="32"/>
          <w:szCs w:val="32"/>
          <w:rtl/>
        </w:rPr>
        <w:t>169</w:t>
      </w:r>
      <w:r w:rsidRPr="00433168">
        <w:rPr>
          <w:rFonts w:ascii="Traditional Arabic" w:hAnsi="Traditional Arabic"/>
          <w:sz w:val="32"/>
          <w:szCs w:val="32"/>
          <w:rtl/>
        </w:rPr>
        <w:t>]</w:t>
      </w:r>
      <w:r w:rsidRPr="00433168">
        <w:rPr>
          <w:rFonts w:ascii="Traditional Arabic" w:hAnsi="Traditional Arabic"/>
          <w:rtl/>
        </w:rPr>
        <w:t xml:space="preserve"> فالجواب: أنه لما ظهرت منه آيات، جاز أن يتوهَّم السامع «فأتت به» أن يكون ساعياً على قدميه، فيكون سعية آيةً كنطقه، فقطع ذلك التوهُّمَ، وأعلم أنه كسائر الأطفال، وهذا مِثْل قول العرب: نظرت إِلى فلان بعيني، فنفَوْا بذلك نظر العطف والرحمة، وأثبتوا أنه نظرُ عَيْنٍ</w:t>
      </w:r>
      <w:r w:rsidRPr="00433168">
        <w:rPr>
          <w:vertAlign w:val="superscript"/>
          <w:rtl/>
        </w:rPr>
        <w:t>(</w:t>
      </w:r>
      <w:r w:rsidRPr="00433168">
        <w:rPr>
          <w:vertAlign w:val="superscript"/>
          <w:rtl/>
        </w:rPr>
        <w:footnoteReference w:id="2314"/>
      </w:r>
      <w:r w:rsidRPr="00433168">
        <w:rPr>
          <w:vertAlign w:val="superscript"/>
          <w:rtl/>
        </w:rPr>
        <w:t>)</w:t>
      </w:r>
      <w:r w:rsidRPr="00433168">
        <w:rPr>
          <w:rFonts w:ascii="Traditional Arabic" w:hAnsi="Traditional Arabic"/>
          <w:rtl/>
        </w:rPr>
        <w:t>. وقال ابن السائب: لما دخلت على قومها بَكَوْا، وكانوا قوماً صالحين و</w:t>
      </w:r>
      <w:r w:rsidRPr="00433168">
        <w:rPr>
          <w:rFonts w:ascii="QCF_BSML" w:hAnsi="QCF_BSML" w:cs="QCF_BSML"/>
          <w:color w:val="auto"/>
          <w:sz w:val="32"/>
          <w:szCs w:val="32"/>
          <w:rtl/>
          <w:lang w:eastAsia="en-US"/>
        </w:rPr>
        <w:t xml:space="preserve"> ﭽ</w:t>
      </w:r>
      <w:r w:rsidRPr="00433168">
        <w:rPr>
          <w:rFonts w:ascii="QCF_P307" w:hAnsi="QCF_P307" w:cs="QCF_P307"/>
          <w:color w:val="auto"/>
          <w:sz w:val="32"/>
          <w:szCs w:val="32"/>
          <w:rtl/>
          <w:lang w:eastAsia="en-US"/>
        </w:rPr>
        <w:t xml:space="preserve"> ﭪ  ﭫ  ﭬ  ﭭ  ﭮ   ﭯ  </w:t>
      </w:r>
      <w:r w:rsidRPr="00433168">
        <w:rPr>
          <w:rFonts w:ascii="QCF_BSML" w:hAnsi="QCF_BSML" w:cs="QCF_BSML"/>
          <w:color w:val="auto"/>
          <w:sz w:val="32"/>
          <w:szCs w:val="32"/>
          <w:rtl/>
          <w:lang w:eastAsia="en-US"/>
        </w:rPr>
        <w:t>ﭼ</w:t>
      </w:r>
      <w:r w:rsidRPr="00433168">
        <w:rPr>
          <w:vertAlign w:val="superscript"/>
          <w:rtl/>
        </w:rPr>
        <w:t>(</w:t>
      </w:r>
      <w:r w:rsidRPr="00433168">
        <w:rPr>
          <w:vertAlign w:val="superscript"/>
          <w:rtl/>
        </w:rPr>
        <w:footnoteReference w:id="2315"/>
      </w:r>
      <w:r w:rsidRPr="00433168">
        <w:rPr>
          <w:vertAlign w:val="superscript"/>
          <w:rtl/>
        </w:rPr>
        <w:t>)</w:t>
      </w:r>
      <w:r w:rsidRPr="00433168">
        <w:rPr>
          <w:rFonts w:ascii="Traditional Arabic" w:hAnsi="Traditional Arabic"/>
          <w:rtl/>
        </w:rPr>
        <w:t xml:space="preserve">وفيه </w:t>
      </w:r>
      <w:r w:rsidRPr="00433168">
        <w:rPr>
          <w:rFonts w:ascii="Traditional Arabic" w:hAnsi="Traditional Arabic"/>
          <w:rtl/>
        </w:rPr>
        <w:lastRenderedPageBreak/>
        <w:t>ثلاثة أقوال: أحدها: شيئاً عظيماً، قاله ابن عباس</w:t>
      </w:r>
      <w:r w:rsidRPr="00433168">
        <w:rPr>
          <w:vertAlign w:val="superscript"/>
          <w:rtl/>
        </w:rPr>
        <w:t>(</w:t>
      </w:r>
      <w:r w:rsidRPr="00433168">
        <w:rPr>
          <w:vertAlign w:val="superscript"/>
          <w:rtl/>
        </w:rPr>
        <w:footnoteReference w:id="2316"/>
      </w:r>
      <w:r w:rsidRPr="00433168">
        <w:rPr>
          <w:vertAlign w:val="superscript"/>
          <w:rtl/>
        </w:rPr>
        <w:t>)</w:t>
      </w:r>
      <w:r w:rsidRPr="00433168">
        <w:rPr>
          <w:rFonts w:ascii="Traditional Arabic" w:hAnsi="Traditional Arabic"/>
          <w:rtl/>
        </w:rPr>
        <w:t>، ومجاهد، وقتادة</w:t>
      </w:r>
      <w:r w:rsidRPr="00433168">
        <w:rPr>
          <w:vertAlign w:val="superscript"/>
          <w:rtl/>
        </w:rPr>
        <w:t>(</w:t>
      </w:r>
      <w:r w:rsidRPr="00433168">
        <w:rPr>
          <w:vertAlign w:val="superscript"/>
          <w:rtl/>
        </w:rPr>
        <w:footnoteReference w:id="2317"/>
      </w:r>
      <w:r w:rsidRPr="00433168">
        <w:rPr>
          <w:vertAlign w:val="superscript"/>
          <w:rtl/>
        </w:rPr>
        <w:t>)</w:t>
      </w:r>
      <w:r w:rsidRPr="00433168">
        <w:rPr>
          <w:rFonts w:ascii="Traditional Arabic" w:hAnsi="Traditional Arabic"/>
          <w:rtl/>
        </w:rPr>
        <w:t>، قال الفراء: الفريُّ: العظيم، والعرب تقول: تركته يفري الفريَّ، إِذا عمل فأجاد العمل فَفَضَلَ الناس، قيل هذا فيه</w:t>
      </w:r>
      <w:r w:rsidRPr="00433168">
        <w:rPr>
          <w:vertAlign w:val="superscript"/>
          <w:rtl/>
        </w:rPr>
        <w:t>(</w:t>
      </w:r>
      <w:r w:rsidRPr="00433168">
        <w:rPr>
          <w:vertAlign w:val="superscript"/>
          <w:rtl/>
        </w:rPr>
        <w:footnoteReference w:id="2318"/>
      </w:r>
      <w:r w:rsidRPr="00433168">
        <w:rPr>
          <w:vertAlign w:val="superscript"/>
          <w:rtl/>
        </w:rPr>
        <w:t>)</w:t>
      </w:r>
      <w:r w:rsidRPr="00433168">
        <w:rPr>
          <w:rFonts w:ascii="Traditional Arabic" w:hAnsi="Traditional Arabic"/>
          <w:rtl/>
        </w:rPr>
        <w:t>.</w:t>
      </w:r>
      <w:r w:rsidRPr="00433168">
        <w:rPr>
          <w:rFonts w:ascii="Traditional Arabic" w:hAnsi="Traditional Arabic" w:hint="cs"/>
          <w:rtl/>
        </w:rPr>
        <w:t xml:space="preserve"> </w:t>
      </w:r>
      <w:r w:rsidRPr="00433168">
        <w:rPr>
          <w:rFonts w:ascii="Traditional Arabic" w:hAnsi="Traditional Arabic"/>
          <w:rtl/>
        </w:rPr>
        <w:t>قال النبيّ</w:t>
      </w:r>
      <w:r w:rsidRPr="00433168">
        <w:rPr>
          <w:rFonts w:ascii="Traditional Arabic" w:hAnsi="Traditional Arabic" w:hint="cs"/>
          <w:rtl/>
        </w:rPr>
        <w:t xml:space="preserve"> </w:t>
      </w:r>
      <w:r w:rsidRPr="00433168">
        <w:rPr>
          <w:rFonts w:ascii="Traditional Arabic" w:hAnsi="Traditional Arabic"/>
          <w:lang w:eastAsia="en-US"/>
        </w:rPr>
        <w:sym w:font="AGA Arabesque" w:char="F072"/>
      </w:r>
      <w:r w:rsidRPr="00433168">
        <w:rPr>
          <w:rFonts w:ascii="Traditional Arabic" w:hAnsi="Traditional Arabic"/>
          <w:rtl/>
        </w:rPr>
        <w:t>: «فما رأيت  عبقريّا يفري فري عمر</w:t>
      </w:r>
      <w:r w:rsidRPr="00433168">
        <w:rPr>
          <w:vertAlign w:val="superscript"/>
          <w:rtl/>
        </w:rPr>
        <w:t>(</w:t>
      </w:r>
      <w:r w:rsidRPr="00433168">
        <w:rPr>
          <w:vertAlign w:val="superscript"/>
          <w:rtl/>
        </w:rPr>
        <w:footnoteReference w:id="2319"/>
      </w:r>
      <w:r w:rsidRPr="00433168">
        <w:rPr>
          <w:vertAlign w:val="superscript"/>
          <w:rtl/>
        </w:rPr>
        <w:t>)</w:t>
      </w:r>
      <w:r w:rsidRPr="00433168">
        <w:rPr>
          <w:rFonts w:ascii="Traditional Arabic" w:hAnsi="Traditional Arabic"/>
          <w:rtl/>
        </w:rPr>
        <w:t>»</w:t>
      </w:r>
      <w:r w:rsidRPr="00433168">
        <w:rPr>
          <w:vertAlign w:val="superscript"/>
          <w:rtl/>
        </w:rPr>
        <w:t>(</w:t>
      </w:r>
      <w:r w:rsidRPr="00433168">
        <w:rPr>
          <w:vertAlign w:val="superscript"/>
          <w:rtl/>
        </w:rPr>
        <w:footnoteReference w:id="2320"/>
      </w:r>
      <w:r w:rsidRPr="00433168">
        <w:rPr>
          <w:vertAlign w:val="superscript"/>
          <w:rtl/>
        </w:rPr>
        <w:t>)</w:t>
      </w:r>
      <w:r w:rsidRPr="00433168">
        <w:rPr>
          <w:rFonts w:ascii="Traditional Arabic" w:hAnsi="Traditional Arabic"/>
          <w:rtl/>
        </w:rPr>
        <w:t>.</w:t>
      </w:r>
      <w:r w:rsidRPr="00433168">
        <w:rPr>
          <w:rFonts w:ascii="Traditional Arabic" w:hAnsi="Traditional Arabic" w:hint="cs"/>
          <w:rtl/>
        </w:rPr>
        <w:t xml:space="preserve"> </w:t>
      </w:r>
      <w:r w:rsidRPr="00433168">
        <w:rPr>
          <w:rFonts w:ascii="Traditional Arabic" w:hAnsi="Traditional Arabic"/>
          <w:rtl/>
        </w:rPr>
        <w:t>والثاني: عَجباً فائقاً، قاله أبو عبيدة</w:t>
      </w:r>
      <w:r w:rsidRPr="00433168">
        <w:rPr>
          <w:vertAlign w:val="superscript"/>
          <w:rtl/>
        </w:rPr>
        <w:t>(</w:t>
      </w:r>
      <w:r w:rsidRPr="00433168">
        <w:rPr>
          <w:vertAlign w:val="superscript"/>
          <w:rtl/>
        </w:rPr>
        <w:footnoteReference w:id="2321"/>
      </w:r>
      <w:r w:rsidRPr="00433168">
        <w:rPr>
          <w:vertAlign w:val="superscript"/>
          <w:rtl/>
        </w:rPr>
        <w:t>)</w:t>
      </w:r>
      <w:r w:rsidRPr="00433168">
        <w:rPr>
          <w:rFonts w:ascii="Traditional Arabic" w:hAnsi="Traditional Arabic"/>
          <w:rtl/>
        </w:rPr>
        <w:t>. والثالث: شيئاً مصنوعاً، ومنه يقال: فريت الكذب، وافتريته، قاله اليزيدي</w:t>
      </w:r>
      <w:r w:rsidRPr="00433168">
        <w:rPr>
          <w:vertAlign w:val="superscript"/>
          <w:rtl/>
        </w:rPr>
        <w:t>(</w:t>
      </w:r>
      <w:r w:rsidRPr="00433168">
        <w:rPr>
          <w:vertAlign w:val="superscript"/>
          <w:rtl/>
        </w:rPr>
        <w:footnoteReference w:id="2322"/>
      </w:r>
      <w:r w:rsidRPr="00433168">
        <w:rPr>
          <w:vertAlign w:val="superscript"/>
          <w:rtl/>
        </w:rPr>
        <w:t>)(</w:t>
      </w:r>
      <w:r w:rsidRPr="00433168">
        <w:rPr>
          <w:vertAlign w:val="superscript"/>
          <w:rtl/>
        </w:rPr>
        <w:footnoteReference w:id="2323"/>
      </w:r>
      <w:r w:rsidRPr="00433168">
        <w:rPr>
          <w:vertAlign w:val="superscript"/>
          <w:rtl/>
        </w:rPr>
        <w:t>)</w:t>
      </w:r>
      <w:r w:rsidRPr="00433168">
        <w:rPr>
          <w:rFonts w:ascii="Traditional Arabic" w:hAnsi="Traditional Arabic"/>
          <w:rtl/>
        </w:rPr>
        <w:t>.</w:t>
      </w:r>
      <w:r w:rsidRPr="00433168">
        <w:rPr>
          <w:rFonts w:ascii="Traditional Arabic" w:hAnsi="Traditional Arabic" w:hint="cs"/>
          <w:rtl/>
        </w:rPr>
        <w:t xml:space="preserve"> </w:t>
      </w:r>
      <w:r w:rsidR="00E33899">
        <w:rPr>
          <w:rFonts w:ascii="Traditional Arabic" w:hAnsi="Traditional Arabic" w:hint="cs"/>
          <w:rtl/>
        </w:rPr>
        <w:t xml:space="preserve"> </w:t>
      </w:r>
      <w:r w:rsidRPr="00433168">
        <w:rPr>
          <w:rFonts w:ascii="Traditional Arabic" w:hAnsi="Traditional Arabic"/>
          <w:rtl/>
        </w:rPr>
        <w:t>قوله تعالى:</w:t>
      </w:r>
      <w:r w:rsidRPr="00433168">
        <w:rPr>
          <w:rFonts w:ascii="QCF_BSML" w:hAnsi="QCF_BSML" w:cs="QCF_BSML"/>
          <w:color w:val="auto"/>
          <w:sz w:val="32"/>
          <w:szCs w:val="32"/>
          <w:rtl/>
          <w:lang w:eastAsia="en-US"/>
        </w:rPr>
        <w:t xml:space="preserve"> </w:t>
      </w:r>
      <w:r w:rsidRPr="00433168">
        <w:rPr>
          <w:rFonts w:ascii="QCF_BSML" w:hAnsi="QCF_BSML" w:cs="QCF_BSML" w:hint="cs"/>
          <w:color w:val="auto"/>
          <w:sz w:val="32"/>
          <w:szCs w:val="32"/>
          <w:rtl/>
          <w:lang w:eastAsia="en-US"/>
        </w:rPr>
        <w:t xml:space="preserve"> </w:t>
      </w:r>
      <w:r w:rsidRPr="00433168">
        <w:rPr>
          <w:rFonts w:ascii="QCF_BSML" w:hAnsi="QCF_BSML" w:cs="QCF_BSML"/>
          <w:color w:val="auto"/>
          <w:sz w:val="32"/>
          <w:szCs w:val="32"/>
          <w:rtl/>
          <w:lang w:eastAsia="en-US"/>
        </w:rPr>
        <w:t>ﭽ</w:t>
      </w:r>
      <w:r w:rsidRPr="00433168">
        <w:rPr>
          <w:rFonts w:ascii="QCF_P307" w:hAnsi="QCF_P307" w:cs="QCF_P307"/>
          <w:color w:val="auto"/>
          <w:sz w:val="32"/>
          <w:szCs w:val="32"/>
          <w:rtl/>
          <w:lang w:eastAsia="en-US"/>
        </w:rPr>
        <w:t>ﭱ  ﭲ</w:t>
      </w:r>
      <w:r w:rsidRPr="00433168">
        <w:rPr>
          <w:rFonts w:ascii="QCF_BSML" w:hAnsi="QCF_BSML" w:cs="QCF_BSML"/>
          <w:color w:val="auto"/>
          <w:sz w:val="32"/>
          <w:szCs w:val="32"/>
          <w:rtl/>
          <w:lang w:eastAsia="en-US"/>
        </w:rPr>
        <w:t xml:space="preserve"> ﭼ</w:t>
      </w:r>
      <w:r w:rsidRPr="00433168">
        <w:rPr>
          <w:rFonts w:ascii="QCF_P307" w:hAnsi="QCF_P307" w:cs="QCF_P307"/>
          <w:color w:val="auto"/>
          <w:sz w:val="32"/>
          <w:szCs w:val="32"/>
          <w:rtl/>
          <w:lang w:eastAsia="en-US"/>
        </w:rPr>
        <w:t xml:space="preserve">  </w:t>
      </w:r>
      <w:r w:rsidRPr="00433168">
        <w:rPr>
          <w:rFonts w:ascii="Traditional Arabic" w:hAnsi="Traditional Arabic"/>
          <w:rtl/>
        </w:rPr>
        <w:t xml:space="preserve">في المراد بهارون هذا خمسة أقوال: أحدها: أنه أخ لها من أُمِّها، </w:t>
      </w:r>
    </w:p>
    <w:p w:rsidR="00E33899" w:rsidRDefault="00E33899" w:rsidP="00E33899">
      <w:pPr>
        <w:ind w:firstLine="0"/>
        <w:rPr>
          <w:rFonts w:ascii="Traditional Arabic" w:hAnsi="Traditional Arabic"/>
          <w:rtl/>
        </w:rPr>
      </w:pPr>
    </w:p>
    <w:p w:rsidR="00E33899" w:rsidRDefault="00E33899" w:rsidP="00E33899">
      <w:pPr>
        <w:ind w:firstLine="0"/>
        <w:rPr>
          <w:rFonts w:ascii="Traditional Arabic" w:hAnsi="Traditional Arabic"/>
          <w:rtl/>
        </w:rPr>
      </w:pPr>
    </w:p>
    <w:p w:rsidR="00E33899" w:rsidRDefault="00433168" w:rsidP="00E33899">
      <w:pPr>
        <w:ind w:firstLine="0"/>
        <w:rPr>
          <w:rFonts w:ascii="Traditional Arabic" w:hAnsi="Traditional Arabic"/>
          <w:rtl/>
        </w:rPr>
      </w:pPr>
      <w:r w:rsidRPr="00433168">
        <w:rPr>
          <w:rFonts w:ascii="Traditional Arabic" w:hAnsi="Traditional Arabic"/>
          <w:rtl/>
        </w:rPr>
        <w:lastRenderedPageBreak/>
        <w:t>وكان من أمثل</w:t>
      </w:r>
      <w:r w:rsidRPr="00433168">
        <w:rPr>
          <w:vertAlign w:val="superscript"/>
          <w:rtl/>
        </w:rPr>
        <w:t>(</w:t>
      </w:r>
      <w:r w:rsidRPr="00433168">
        <w:rPr>
          <w:vertAlign w:val="superscript"/>
          <w:rtl/>
        </w:rPr>
        <w:footnoteReference w:id="2324"/>
      </w:r>
      <w:r w:rsidRPr="00433168">
        <w:rPr>
          <w:vertAlign w:val="superscript"/>
          <w:rtl/>
        </w:rPr>
        <w:t>)</w:t>
      </w:r>
      <w:r w:rsidRPr="00433168">
        <w:rPr>
          <w:rFonts w:ascii="Traditional Arabic" w:hAnsi="Traditional Arabic"/>
          <w:rtl/>
        </w:rPr>
        <w:t>فتى</w:t>
      </w:r>
      <w:r w:rsidRPr="00433168">
        <w:rPr>
          <w:rFonts w:ascii="Traditional Arabic" w:hAnsi="Traditional Arabic" w:hint="cs"/>
          <w:rtl/>
        </w:rPr>
        <w:t>ً</w:t>
      </w:r>
      <w:r w:rsidRPr="00433168">
        <w:rPr>
          <w:rFonts w:hint="cs"/>
          <w:rtl/>
        </w:rPr>
        <w:t xml:space="preserve"> </w:t>
      </w:r>
      <w:r w:rsidRPr="00433168">
        <w:rPr>
          <w:rFonts w:ascii="Traditional Arabic" w:hAnsi="Traditional Arabic"/>
          <w:rtl/>
        </w:rPr>
        <w:t>في بني إِسرائيل، قاله أبو صالح عن ابن عباس</w:t>
      </w:r>
      <w:r w:rsidRPr="00433168">
        <w:rPr>
          <w:vertAlign w:val="superscript"/>
          <w:rtl/>
        </w:rPr>
        <w:t>(</w:t>
      </w:r>
      <w:r w:rsidRPr="00433168">
        <w:rPr>
          <w:vertAlign w:val="superscript"/>
          <w:rtl/>
        </w:rPr>
        <w:footnoteReference w:id="2325"/>
      </w:r>
      <w:r w:rsidRPr="00433168">
        <w:rPr>
          <w:vertAlign w:val="superscript"/>
          <w:rtl/>
        </w:rPr>
        <w:t>)</w:t>
      </w:r>
      <w:r w:rsidRPr="00433168">
        <w:rPr>
          <w:rFonts w:ascii="Traditional Arabic" w:hAnsi="Traditional Arabic"/>
          <w:rtl/>
        </w:rPr>
        <w:t>. وقال الضحاك: كان من أبيها وأُمِّها</w:t>
      </w:r>
      <w:r w:rsidRPr="00433168">
        <w:rPr>
          <w:vertAlign w:val="superscript"/>
          <w:rtl/>
        </w:rPr>
        <w:t>(</w:t>
      </w:r>
      <w:r w:rsidRPr="00433168">
        <w:rPr>
          <w:vertAlign w:val="superscript"/>
          <w:rtl/>
        </w:rPr>
        <w:footnoteReference w:id="2326"/>
      </w:r>
      <w:r w:rsidRPr="00433168">
        <w:rPr>
          <w:vertAlign w:val="superscript"/>
          <w:rtl/>
        </w:rPr>
        <w:t>)</w:t>
      </w:r>
      <w:r w:rsidRPr="00433168">
        <w:rPr>
          <w:rFonts w:ascii="Traditional Arabic" w:hAnsi="Traditional Arabic"/>
          <w:rtl/>
        </w:rPr>
        <w:t>.</w:t>
      </w:r>
      <w:r w:rsidR="00E33899">
        <w:rPr>
          <w:rFonts w:ascii="Traditional Arabic" w:hAnsi="Traditional Arabic" w:hint="cs"/>
          <w:rtl/>
        </w:rPr>
        <w:t xml:space="preserve"> </w:t>
      </w:r>
      <w:r w:rsidRPr="00433168">
        <w:rPr>
          <w:rFonts w:ascii="Traditional Arabic" w:hAnsi="Traditional Arabic"/>
          <w:rtl/>
        </w:rPr>
        <w:t>والثاني: أنها كانت من بني هارون، قاله الضحاك عن ابن عباس</w:t>
      </w:r>
      <w:r w:rsidRPr="00433168">
        <w:rPr>
          <w:vertAlign w:val="superscript"/>
          <w:rtl/>
        </w:rPr>
        <w:t>(</w:t>
      </w:r>
      <w:r w:rsidRPr="00433168">
        <w:rPr>
          <w:vertAlign w:val="superscript"/>
          <w:rtl/>
        </w:rPr>
        <w:footnoteReference w:id="2327"/>
      </w:r>
      <w:r w:rsidRPr="00433168">
        <w:rPr>
          <w:vertAlign w:val="superscript"/>
          <w:rtl/>
        </w:rPr>
        <w:t>)</w:t>
      </w:r>
      <w:r w:rsidRPr="00433168">
        <w:rPr>
          <w:rFonts w:ascii="Traditional Arabic" w:hAnsi="Traditional Arabic"/>
          <w:rtl/>
        </w:rPr>
        <w:t>. وقال السدي</w:t>
      </w:r>
      <w:r w:rsidRPr="00433168">
        <w:rPr>
          <w:vertAlign w:val="superscript"/>
          <w:rtl/>
        </w:rPr>
        <w:t>(</w:t>
      </w:r>
      <w:r w:rsidRPr="00433168">
        <w:rPr>
          <w:vertAlign w:val="superscript"/>
          <w:rtl/>
        </w:rPr>
        <w:footnoteReference w:id="2328"/>
      </w:r>
      <w:r w:rsidRPr="00433168">
        <w:rPr>
          <w:vertAlign w:val="superscript"/>
          <w:rtl/>
        </w:rPr>
        <w:t>)</w:t>
      </w:r>
      <w:r w:rsidRPr="00433168">
        <w:rPr>
          <w:rFonts w:ascii="Traditional Arabic" w:hAnsi="Traditional Arabic"/>
          <w:rtl/>
        </w:rPr>
        <w:t>: كانت من بني هارون أخي موسى عليهما السلام، فنُسبت إِليه، لأنها من ولده</w:t>
      </w:r>
      <w:r w:rsidRPr="00433168">
        <w:rPr>
          <w:vertAlign w:val="superscript"/>
          <w:rtl/>
        </w:rPr>
        <w:t>(</w:t>
      </w:r>
      <w:r w:rsidRPr="00433168">
        <w:rPr>
          <w:vertAlign w:val="superscript"/>
          <w:rtl/>
        </w:rPr>
        <w:footnoteReference w:id="2329"/>
      </w:r>
      <w:r w:rsidRPr="00433168">
        <w:rPr>
          <w:vertAlign w:val="superscript"/>
          <w:rtl/>
        </w:rPr>
        <w:t>)</w:t>
      </w:r>
      <w:r w:rsidRPr="00433168">
        <w:rPr>
          <w:rFonts w:ascii="Traditional Arabic" w:hAnsi="Traditional Arabic"/>
          <w:rtl/>
        </w:rPr>
        <w:t>. والثالث: أنه رجل صالح كان من بني إِسرائيل، فشبَّهوها به في الصلاح، وهذا مروي عن ابن عباس أيضاً</w:t>
      </w:r>
      <w:r w:rsidRPr="00433168">
        <w:rPr>
          <w:vertAlign w:val="superscript"/>
          <w:rtl/>
        </w:rPr>
        <w:t>(</w:t>
      </w:r>
      <w:r w:rsidRPr="00433168">
        <w:rPr>
          <w:vertAlign w:val="superscript"/>
          <w:rtl/>
        </w:rPr>
        <w:footnoteReference w:id="2330"/>
      </w:r>
      <w:r w:rsidRPr="00433168">
        <w:rPr>
          <w:vertAlign w:val="superscript"/>
          <w:rtl/>
        </w:rPr>
        <w:t>)</w:t>
      </w:r>
      <w:r w:rsidRPr="00433168">
        <w:rPr>
          <w:rFonts w:ascii="Traditional Arabic" w:hAnsi="Traditional Arabic"/>
          <w:rtl/>
        </w:rPr>
        <w:t>، وقتادة</w:t>
      </w:r>
      <w:r w:rsidRPr="00433168">
        <w:rPr>
          <w:vertAlign w:val="superscript"/>
          <w:rtl/>
        </w:rPr>
        <w:t>(</w:t>
      </w:r>
      <w:r w:rsidRPr="00433168">
        <w:rPr>
          <w:vertAlign w:val="superscript"/>
          <w:rtl/>
        </w:rPr>
        <w:footnoteReference w:id="2331"/>
      </w:r>
      <w:r w:rsidRPr="00433168">
        <w:rPr>
          <w:vertAlign w:val="superscript"/>
          <w:rtl/>
        </w:rPr>
        <w:t>)</w:t>
      </w:r>
      <w:r w:rsidRPr="00433168">
        <w:rPr>
          <w:rFonts w:ascii="Traditional Arabic" w:hAnsi="Traditional Arabic"/>
          <w:rtl/>
        </w:rPr>
        <w:t>، ويدل عليه ما روى المغيرة بن شعبة</w:t>
      </w:r>
      <w:r w:rsidRPr="00433168">
        <w:rPr>
          <w:vertAlign w:val="superscript"/>
          <w:rtl/>
        </w:rPr>
        <w:t>(</w:t>
      </w:r>
      <w:r w:rsidRPr="00433168">
        <w:rPr>
          <w:vertAlign w:val="superscript"/>
          <w:rtl/>
        </w:rPr>
        <w:footnoteReference w:id="2332"/>
      </w:r>
      <w:r w:rsidRPr="00433168">
        <w:rPr>
          <w:vertAlign w:val="superscript"/>
          <w:rtl/>
        </w:rPr>
        <w:t>)</w:t>
      </w:r>
      <w:r w:rsidRPr="00433168">
        <w:rPr>
          <w:rFonts w:ascii="Traditional Arabic" w:hAnsi="Traditional Arabic"/>
          <w:rtl/>
        </w:rPr>
        <w:t xml:space="preserve"> قال</w:t>
      </w:r>
      <w:r w:rsidRPr="00433168">
        <w:rPr>
          <w:rFonts w:ascii="Traditional Arabic" w:hAnsi="Traditional Arabic" w:hint="cs"/>
          <w:rtl/>
        </w:rPr>
        <w:t xml:space="preserve">: </w:t>
      </w:r>
      <w:r w:rsidRPr="00433168">
        <w:rPr>
          <w:rFonts w:ascii="Traditional Arabic" w:hAnsi="Traditional Arabic"/>
          <w:rtl/>
        </w:rPr>
        <w:t xml:space="preserve">بعثني رسول الله </w:t>
      </w:r>
      <w:r w:rsidRPr="00433168">
        <w:rPr>
          <w:rFonts w:ascii="Traditional Arabic" w:hAnsi="Traditional Arabic"/>
          <w:lang w:eastAsia="en-US"/>
        </w:rPr>
        <w:sym w:font="AGA Arabesque" w:char="F072"/>
      </w:r>
      <w:r w:rsidRPr="00433168">
        <w:rPr>
          <w:rFonts w:ascii="Traditional Arabic" w:hAnsi="Traditional Arabic" w:hint="cs"/>
          <w:rtl/>
        </w:rPr>
        <w:t xml:space="preserve"> </w:t>
      </w:r>
      <w:r w:rsidRPr="00433168">
        <w:rPr>
          <w:rFonts w:ascii="Traditional Arabic" w:hAnsi="Traditional Arabic"/>
          <w:rtl/>
        </w:rPr>
        <w:t>إِلى أهل نجران، فقالوا: ألستم تقرؤون:</w:t>
      </w:r>
      <w:r w:rsidRPr="00433168">
        <w:rPr>
          <w:rFonts w:ascii="QCF_BSML" w:hAnsi="QCF_BSML" w:cs="QCF_BSML"/>
          <w:color w:val="auto"/>
          <w:sz w:val="32"/>
          <w:szCs w:val="32"/>
          <w:rtl/>
          <w:lang w:eastAsia="en-US"/>
        </w:rPr>
        <w:t xml:space="preserve"> ﭽ</w:t>
      </w:r>
      <w:r w:rsidRPr="00433168">
        <w:rPr>
          <w:rFonts w:ascii="QCF_P307" w:hAnsi="QCF_P307" w:cs="QCF_P307"/>
          <w:color w:val="auto"/>
          <w:sz w:val="32"/>
          <w:szCs w:val="32"/>
          <w:rtl/>
          <w:lang w:eastAsia="en-US"/>
        </w:rPr>
        <w:t>ﭱ  ﭲ</w:t>
      </w:r>
      <w:r w:rsidRPr="00433168">
        <w:rPr>
          <w:rFonts w:ascii="QCF_BSML" w:hAnsi="QCF_BSML" w:cs="QCF_BSML"/>
          <w:color w:val="auto"/>
          <w:sz w:val="32"/>
          <w:szCs w:val="32"/>
          <w:rtl/>
          <w:lang w:eastAsia="en-US"/>
        </w:rPr>
        <w:t xml:space="preserve"> ﭼ</w:t>
      </w:r>
      <w:r w:rsidRPr="00433168">
        <w:rPr>
          <w:rFonts w:ascii="QCF_P307" w:hAnsi="QCF_P307" w:cs="QCF_P307"/>
          <w:color w:val="auto"/>
          <w:sz w:val="32"/>
          <w:szCs w:val="32"/>
          <w:rtl/>
          <w:lang w:eastAsia="en-US"/>
        </w:rPr>
        <w:t xml:space="preserve">  </w:t>
      </w:r>
      <w:r w:rsidRPr="00433168">
        <w:rPr>
          <w:rFonts w:ascii="Traditional Arabic" w:hAnsi="Traditional Arabic" w:hint="cs"/>
          <w:rtl/>
        </w:rPr>
        <w:t xml:space="preserve"> </w:t>
      </w:r>
      <w:r w:rsidRPr="00433168">
        <w:rPr>
          <w:rFonts w:ascii="Traditional Arabic" w:hAnsi="Traditional Arabic"/>
          <w:rtl/>
        </w:rPr>
        <w:t xml:space="preserve">وقد علمتم ما كان بين موسى وعيسى؟ فلم أدرِ ما أُجيبهم، فرجعت إلى رسول الله </w:t>
      </w:r>
      <w:r w:rsidRPr="00433168">
        <w:rPr>
          <w:rFonts w:ascii="Traditional Arabic" w:hAnsi="Traditional Arabic"/>
          <w:lang w:eastAsia="en-US"/>
        </w:rPr>
        <w:sym w:font="AGA Arabesque" w:char="F072"/>
      </w:r>
      <w:r w:rsidRPr="00433168">
        <w:rPr>
          <w:rFonts w:ascii="Traditional Arabic" w:hAnsi="Traditional Arabic" w:hint="cs"/>
          <w:rtl/>
        </w:rPr>
        <w:t xml:space="preserve"> </w:t>
      </w:r>
      <w:r w:rsidRPr="00433168">
        <w:rPr>
          <w:rFonts w:ascii="Traditional Arabic" w:hAnsi="Traditional Arabic"/>
          <w:rtl/>
        </w:rPr>
        <w:t>فأخبرتُه، فقال: «ألا أخبرتَهم أنهم كانوا يسمُّون بأنبيائهم والصالحين قبلَهم»</w:t>
      </w:r>
      <w:r w:rsidRPr="00433168">
        <w:rPr>
          <w:vertAlign w:val="superscript"/>
          <w:rtl/>
        </w:rPr>
        <w:t>(</w:t>
      </w:r>
      <w:r w:rsidRPr="00433168">
        <w:rPr>
          <w:vertAlign w:val="superscript"/>
          <w:rtl/>
        </w:rPr>
        <w:footnoteReference w:id="2333"/>
      </w:r>
      <w:r w:rsidRPr="00433168">
        <w:rPr>
          <w:vertAlign w:val="superscript"/>
          <w:rtl/>
        </w:rPr>
        <w:t>)</w:t>
      </w:r>
      <w:r w:rsidRPr="00433168">
        <w:rPr>
          <w:rFonts w:ascii="Traditional Arabic" w:hAnsi="Traditional Arabic"/>
          <w:rtl/>
        </w:rPr>
        <w:t>.</w:t>
      </w:r>
      <w:r w:rsidRPr="00433168">
        <w:rPr>
          <w:rFonts w:ascii="Traditional Arabic" w:hAnsi="Traditional Arabic" w:hint="cs"/>
          <w:rtl/>
        </w:rPr>
        <w:t xml:space="preserve"> </w:t>
      </w:r>
      <w:r w:rsidRPr="00433168">
        <w:rPr>
          <w:rFonts w:ascii="Traditional Arabic" w:hAnsi="Traditional Arabic"/>
          <w:rtl/>
        </w:rPr>
        <w:t>والرابع: أن قوم هارون كان فيهم فُسَّاق وزُنَاةٌ، فنسبوها إِليهم، قاله سعيد بن جبير</w:t>
      </w:r>
      <w:r w:rsidRPr="00433168">
        <w:rPr>
          <w:vertAlign w:val="superscript"/>
          <w:rtl/>
        </w:rPr>
        <w:t>(</w:t>
      </w:r>
      <w:r w:rsidRPr="00433168">
        <w:rPr>
          <w:vertAlign w:val="superscript"/>
          <w:rtl/>
        </w:rPr>
        <w:footnoteReference w:id="2334"/>
      </w:r>
      <w:r w:rsidRPr="00433168">
        <w:rPr>
          <w:vertAlign w:val="superscript"/>
          <w:rtl/>
        </w:rPr>
        <w:t>)</w:t>
      </w:r>
      <w:r w:rsidRPr="00433168">
        <w:rPr>
          <w:rFonts w:ascii="Traditional Arabic" w:hAnsi="Traditional Arabic"/>
          <w:rtl/>
        </w:rPr>
        <w:t>.</w:t>
      </w:r>
      <w:r w:rsidRPr="00433168">
        <w:rPr>
          <w:rFonts w:ascii="Traditional Arabic" w:hAnsi="Traditional Arabic" w:hint="cs"/>
          <w:rtl/>
        </w:rPr>
        <w:t xml:space="preserve"> </w:t>
      </w:r>
      <w:r w:rsidRPr="00433168">
        <w:rPr>
          <w:rFonts w:ascii="Traditional Arabic" w:hAnsi="Traditional Arabic"/>
          <w:rtl/>
        </w:rPr>
        <w:t xml:space="preserve">والخامس: أنه رجل من فُسَّاق بني إِسرائيل شبَّهوها به، قاله وهب بن </w:t>
      </w:r>
      <w:r w:rsidRPr="00433168">
        <w:rPr>
          <w:rFonts w:ascii="Traditional Arabic" w:hAnsi="Traditional Arabic"/>
          <w:rtl/>
        </w:rPr>
        <w:lastRenderedPageBreak/>
        <w:t>منبِّه</w:t>
      </w:r>
      <w:r w:rsidRPr="00433168">
        <w:rPr>
          <w:vertAlign w:val="superscript"/>
          <w:rtl/>
        </w:rPr>
        <w:t>(</w:t>
      </w:r>
      <w:r w:rsidRPr="00433168">
        <w:rPr>
          <w:vertAlign w:val="superscript"/>
          <w:rtl/>
        </w:rPr>
        <w:footnoteReference w:id="2335"/>
      </w:r>
      <w:r w:rsidRPr="00433168">
        <w:rPr>
          <w:vertAlign w:val="superscript"/>
          <w:rtl/>
        </w:rPr>
        <w:t>)</w:t>
      </w:r>
      <w:r w:rsidRPr="00433168">
        <w:rPr>
          <w:rFonts w:ascii="Traditional Arabic" w:hAnsi="Traditional Arabic"/>
          <w:rtl/>
        </w:rPr>
        <w:t>.</w:t>
      </w:r>
      <w:r w:rsidRPr="00433168">
        <w:rPr>
          <w:rFonts w:ascii="Traditional Arabic" w:hAnsi="Traditional Arabic" w:hint="cs"/>
          <w:rtl/>
        </w:rPr>
        <w:t xml:space="preserve"> </w:t>
      </w:r>
      <w:r w:rsidRPr="00433168">
        <w:rPr>
          <w:rFonts w:ascii="Traditional Arabic" w:hAnsi="Traditional Arabic"/>
          <w:rtl/>
        </w:rPr>
        <w:t xml:space="preserve">فعلى هذا يخرج في معنى «الأخت» قولان: أحدهما: أنها الأخت حقيقة. والثاني: المشابهة، لا المناسبة، كقوله تعالى: </w:t>
      </w:r>
      <w:r w:rsidRPr="00433168">
        <w:rPr>
          <w:rFonts w:ascii="QCF_BSML" w:hAnsi="QCF_BSML" w:cs="QCF_BSML"/>
          <w:sz w:val="32"/>
          <w:szCs w:val="32"/>
          <w:rtl/>
          <w:lang w:eastAsia="en-US"/>
        </w:rPr>
        <w:t xml:space="preserve">ﭽ </w:t>
      </w:r>
      <w:r w:rsidRPr="00433168">
        <w:rPr>
          <w:rFonts w:ascii="QCF_P493" w:hAnsi="QCF_P493" w:cs="QCF_P493"/>
          <w:sz w:val="32"/>
          <w:szCs w:val="32"/>
          <w:rtl/>
          <w:lang w:eastAsia="en-US"/>
        </w:rPr>
        <w:t>ﭑ  ﭒ  ﭓ  ﭔ  ﭕ  ﭖ  ﭗ  ﭘ  ﭙ</w:t>
      </w:r>
      <w:r w:rsidRPr="00433168">
        <w:rPr>
          <w:rFonts w:ascii="QCF_BSML" w:hAnsi="QCF_BSML" w:cs="QCF_BSML"/>
          <w:sz w:val="32"/>
          <w:szCs w:val="32"/>
          <w:rtl/>
          <w:lang w:eastAsia="en-US"/>
        </w:rPr>
        <w:t>ﭼ</w:t>
      </w:r>
      <w:r w:rsidRPr="00433168">
        <w:rPr>
          <w:rFonts w:ascii="Traditional Arabic" w:hAnsi="Traditional Arabic"/>
          <w:color w:val="auto"/>
          <w:sz w:val="32"/>
          <w:szCs w:val="32"/>
          <w:rtl/>
          <w:lang w:eastAsia="en-US"/>
        </w:rPr>
        <w:t>[الزخرف:٤٨]</w:t>
      </w:r>
      <w:r w:rsidRPr="00433168">
        <w:rPr>
          <w:vertAlign w:val="superscript"/>
          <w:rtl/>
        </w:rPr>
        <w:t>(</w:t>
      </w:r>
      <w:r w:rsidRPr="00433168">
        <w:rPr>
          <w:vertAlign w:val="superscript"/>
          <w:rtl/>
        </w:rPr>
        <w:footnoteReference w:id="2336"/>
      </w:r>
      <w:r w:rsidRPr="00433168">
        <w:rPr>
          <w:vertAlign w:val="superscript"/>
          <w:rtl/>
        </w:rPr>
        <w:t>)</w:t>
      </w:r>
      <w:r w:rsidRPr="00433168">
        <w:rPr>
          <w:rFonts w:ascii="Traditional Arabic" w:hAnsi="Traditional Arabic"/>
          <w:color w:val="auto"/>
          <w:sz w:val="32"/>
          <w:szCs w:val="32"/>
          <w:rtl/>
        </w:rPr>
        <w:t>.</w:t>
      </w:r>
      <w:r w:rsidR="00E33899">
        <w:rPr>
          <w:rFonts w:ascii="Traditional Arabic" w:hAnsi="Traditional Arabic" w:hint="cs"/>
          <w:rtl/>
        </w:rPr>
        <w:t xml:space="preserve"> </w:t>
      </w:r>
      <w:r w:rsidRPr="00433168">
        <w:rPr>
          <w:rFonts w:ascii="Traditional Arabic" w:hAnsi="Traditional Arabic"/>
          <w:rtl/>
        </w:rPr>
        <w:t xml:space="preserve">قوله تعالى: </w:t>
      </w:r>
      <w:r w:rsidRPr="00433168">
        <w:rPr>
          <w:rFonts w:ascii="QCF_P307" w:hAnsi="QCF_P307" w:cs="QCF_P307"/>
          <w:color w:val="auto"/>
          <w:sz w:val="32"/>
          <w:szCs w:val="32"/>
          <w:rtl/>
          <w:lang w:eastAsia="en-US"/>
        </w:rPr>
        <w:t>ﭳ  ﭴ</w:t>
      </w:r>
      <w:r w:rsidRPr="00433168">
        <w:rPr>
          <w:rFonts w:ascii="QCF_P307" w:hAnsi="QCF_P307" w:cs="QCF_P307" w:hint="cs"/>
          <w:color w:val="auto"/>
          <w:sz w:val="32"/>
          <w:szCs w:val="32"/>
          <w:rtl/>
          <w:lang w:eastAsia="en-US"/>
        </w:rPr>
        <w:t xml:space="preserve"> </w:t>
      </w:r>
      <w:r w:rsidRPr="00433168">
        <w:rPr>
          <w:rFonts w:ascii="QCF_P307" w:hAnsi="QCF_P307" w:cs="QCF_P307"/>
          <w:color w:val="auto"/>
          <w:sz w:val="32"/>
          <w:szCs w:val="32"/>
          <w:rtl/>
          <w:lang w:eastAsia="en-US"/>
        </w:rPr>
        <w:t xml:space="preserve"> ﭵ  </w:t>
      </w:r>
      <w:r w:rsidRPr="00433168">
        <w:rPr>
          <w:rFonts w:ascii="QCF_BSML" w:hAnsi="QCF_BSML" w:cs="QCF_BSML"/>
          <w:color w:val="auto"/>
          <w:sz w:val="32"/>
          <w:szCs w:val="32"/>
          <w:rtl/>
          <w:lang w:eastAsia="en-US"/>
        </w:rPr>
        <w:t>ﭼ</w:t>
      </w:r>
      <w:r w:rsidRPr="00433168">
        <w:rPr>
          <w:rFonts w:ascii="Traditional Arabic" w:hAnsi="Traditional Arabic"/>
          <w:rtl/>
        </w:rPr>
        <w:t xml:space="preserve"> </w:t>
      </w:r>
      <w:r w:rsidRPr="00433168">
        <w:rPr>
          <w:rFonts w:ascii="Traditional Arabic" w:hAnsi="Traditional Arabic" w:hint="cs"/>
          <w:rtl/>
        </w:rPr>
        <w:t xml:space="preserve"> </w:t>
      </w:r>
      <w:r w:rsidRPr="00433168">
        <w:rPr>
          <w:rFonts w:ascii="Traditional Arabic" w:hAnsi="Traditional Arabic"/>
          <w:rtl/>
        </w:rPr>
        <w:t xml:space="preserve">يعنون: عِمران </w:t>
      </w:r>
      <w:r w:rsidRPr="00433168">
        <w:rPr>
          <w:rFonts w:ascii="QCF_BSML" w:hAnsi="QCF_BSML" w:cs="QCF_BSML"/>
          <w:color w:val="auto"/>
          <w:sz w:val="32"/>
          <w:szCs w:val="32"/>
          <w:rtl/>
          <w:lang w:eastAsia="en-US"/>
        </w:rPr>
        <w:t>ﭽ</w:t>
      </w:r>
      <w:r w:rsidRPr="00433168">
        <w:rPr>
          <w:rFonts w:ascii="QCF_P307" w:hAnsi="QCF_P307" w:cs="QCF_P307"/>
          <w:color w:val="auto"/>
          <w:sz w:val="32"/>
          <w:szCs w:val="32"/>
          <w:rtl/>
          <w:lang w:eastAsia="en-US"/>
        </w:rPr>
        <w:t xml:space="preserve"> ﭶ   ﭷ</w:t>
      </w:r>
      <w:r w:rsidRPr="00433168">
        <w:rPr>
          <w:rFonts w:ascii="QCF_BSML" w:hAnsi="QCF_BSML" w:cs="QCF_BSML"/>
          <w:color w:val="auto"/>
          <w:sz w:val="32"/>
          <w:szCs w:val="32"/>
          <w:rtl/>
          <w:lang w:eastAsia="en-US"/>
        </w:rPr>
        <w:t xml:space="preserve"> ﭼ</w:t>
      </w:r>
      <w:r w:rsidRPr="00433168">
        <w:rPr>
          <w:rFonts w:ascii="QCF_P307" w:hAnsi="QCF_P307" w:cs="QCF_P307"/>
          <w:color w:val="auto"/>
          <w:sz w:val="32"/>
          <w:szCs w:val="32"/>
          <w:rtl/>
          <w:lang w:eastAsia="en-US"/>
        </w:rPr>
        <w:t xml:space="preserve">  </w:t>
      </w:r>
      <w:r w:rsidRPr="00433168">
        <w:rPr>
          <w:rFonts w:ascii="Traditional Arabic" w:hAnsi="Traditional Arabic"/>
          <w:rtl/>
        </w:rPr>
        <w:t xml:space="preserve">أي: </w:t>
      </w:r>
      <w:r w:rsidRPr="00433168">
        <w:rPr>
          <w:rFonts w:ascii="Traditional Arabic" w:hAnsi="Traditional Arabic"/>
          <w:sz w:val="32"/>
          <w:szCs w:val="32"/>
          <w:rtl/>
        </w:rPr>
        <w:t>[</w:t>
      </w:r>
      <w:r w:rsidRPr="00433168">
        <w:rPr>
          <w:rFonts w:ascii="Traditional Arabic" w:hAnsi="Traditional Arabic" w:hint="cs"/>
          <w:sz w:val="32"/>
          <w:szCs w:val="32"/>
          <w:rtl/>
        </w:rPr>
        <w:t>170</w:t>
      </w:r>
      <w:r w:rsidRPr="00433168">
        <w:rPr>
          <w:rFonts w:ascii="Traditional Arabic" w:hAnsi="Traditional Arabic"/>
          <w:sz w:val="32"/>
          <w:szCs w:val="32"/>
          <w:rtl/>
        </w:rPr>
        <w:t>]</w:t>
      </w:r>
      <w:r w:rsidRPr="00433168">
        <w:rPr>
          <w:rFonts w:ascii="Traditional Arabic" w:hAnsi="Traditional Arabic"/>
          <w:rtl/>
        </w:rPr>
        <w:t xml:space="preserve"> زانياً </w:t>
      </w:r>
      <w:r w:rsidRPr="00433168">
        <w:rPr>
          <w:rFonts w:ascii="QCF_BSML" w:hAnsi="QCF_BSML" w:cs="QCF_BSML"/>
          <w:color w:val="auto"/>
          <w:sz w:val="32"/>
          <w:szCs w:val="32"/>
          <w:rtl/>
          <w:lang w:eastAsia="en-US"/>
        </w:rPr>
        <w:t>ﭽ</w:t>
      </w:r>
      <w:r w:rsidRPr="00433168">
        <w:rPr>
          <w:rFonts w:ascii="QCF_P307" w:hAnsi="QCF_P307" w:cs="QCF_P307"/>
          <w:color w:val="auto"/>
          <w:sz w:val="32"/>
          <w:szCs w:val="32"/>
          <w:rtl/>
          <w:lang w:eastAsia="en-US"/>
        </w:rPr>
        <w:t xml:space="preserve"> ﭸ  ﭹ           ﭺ</w:t>
      </w:r>
      <w:r w:rsidRPr="00433168">
        <w:rPr>
          <w:rFonts w:ascii="QCF_BSML" w:hAnsi="QCF_BSML" w:cs="QCF_BSML"/>
          <w:color w:val="auto"/>
          <w:sz w:val="32"/>
          <w:szCs w:val="32"/>
          <w:rtl/>
          <w:lang w:eastAsia="en-US"/>
        </w:rPr>
        <w:t>ﭼ</w:t>
      </w:r>
      <w:r w:rsidRPr="00433168">
        <w:rPr>
          <w:rFonts w:ascii="QCF_P307" w:hAnsi="QCF_P307" w:cs="QCF_P307"/>
          <w:color w:val="auto"/>
          <w:sz w:val="32"/>
          <w:szCs w:val="32"/>
          <w:rtl/>
          <w:lang w:eastAsia="en-US"/>
        </w:rPr>
        <w:t xml:space="preserve">    </w:t>
      </w:r>
      <w:r w:rsidRPr="00433168">
        <w:rPr>
          <w:rFonts w:ascii="Traditional Arabic" w:hAnsi="Traditional Arabic"/>
          <w:rtl/>
        </w:rPr>
        <w:t>حنّة</w:t>
      </w:r>
      <w:r w:rsidRPr="00433168">
        <w:rPr>
          <w:rFonts w:ascii="QCF_P307" w:hAnsi="QCF_P307" w:cs="QCF_P307" w:hint="cs"/>
          <w:color w:val="auto"/>
          <w:sz w:val="32"/>
          <w:szCs w:val="32"/>
          <w:rtl/>
          <w:lang w:eastAsia="en-US"/>
        </w:rPr>
        <w:t xml:space="preserve">    </w:t>
      </w:r>
      <w:r w:rsidRPr="00433168">
        <w:rPr>
          <w:rFonts w:ascii="QCF_P307" w:hAnsi="QCF_P307" w:cs="QCF_P307"/>
          <w:color w:val="auto"/>
          <w:sz w:val="32"/>
          <w:szCs w:val="32"/>
          <w:rtl/>
          <w:lang w:eastAsia="en-US"/>
        </w:rPr>
        <w:t xml:space="preserve"> </w:t>
      </w:r>
      <w:r w:rsidRPr="00433168">
        <w:rPr>
          <w:rFonts w:ascii="QCF_BSML" w:hAnsi="QCF_BSML" w:cs="QCF_BSML"/>
          <w:color w:val="auto"/>
          <w:sz w:val="32"/>
          <w:szCs w:val="32"/>
          <w:rtl/>
          <w:lang w:eastAsia="en-US"/>
        </w:rPr>
        <w:t>ﭽ</w:t>
      </w:r>
      <w:r w:rsidRPr="00433168">
        <w:rPr>
          <w:rFonts w:ascii="QCF_P307" w:hAnsi="QCF_P307" w:cs="QCF_P307"/>
          <w:color w:val="auto"/>
          <w:sz w:val="32"/>
          <w:szCs w:val="32"/>
          <w:rtl/>
          <w:lang w:eastAsia="en-US"/>
        </w:rPr>
        <w:t>ﭻ</w:t>
      </w:r>
      <w:r w:rsidRPr="00433168">
        <w:rPr>
          <w:rFonts w:ascii="QCF_BSML" w:hAnsi="QCF_BSML" w:cs="QCF_BSML"/>
          <w:color w:val="auto"/>
          <w:sz w:val="32"/>
          <w:szCs w:val="32"/>
          <w:rtl/>
          <w:lang w:eastAsia="en-US"/>
        </w:rPr>
        <w:t>ﭼ</w:t>
      </w:r>
      <w:r w:rsidRPr="00433168">
        <w:rPr>
          <w:rFonts w:ascii="Traditional Arabic" w:hAnsi="Traditional Arabic"/>
          <w:rtl/>
        </w:rPr>
        <w:t xml:space="preserve"> زانية، فمن أين لكِ هذا الولد؟! قوله تعالى: </w:t>
      </w:r>
      <w:r w:rsidRPr="00433168">
        <w:rPr>
          <w:rFonts w:ascii="QCF_BSML" w:hAnsi="QCF_BSML" w:cs="QCF_BSML"/>
          <w:color w:val="auto"/>
          <w:sz w:val="32"/>
          <w:szCs w:val="32"/>
          <w:rtl/>
          <w:lang w:eastAsia="en-US"/>
        </w:rPr>
        <w:t>ﭽ</w:t>
      </w:r>
      <w:r w:rsidRPr="00433168">
        <w:rPr>
          <w:rFonts w:ascii="QCF_P307" w:hAnsi="QCF_P307" w:cs="QCF_P307"/>
          <w:color w:val="auto"/>
          <w:sz w:val="32"/>
          <w:szCs w:val="32"/>
          <w:rtl/>
          <w:lang w:eastAsia="en-US"/>
        </w:rPr>
        <w:t xml:space="preserve"> ﭽ  ﭿ</w:t>
      </w:r>
      <w:r w:rsidRPr="00433168">
        <w:rPr>
          <w:rFonts w:ascii="QCF_BSML" w:hAnsi="QCF_BSML" w:cs="QCF_BSML"/>
          <w:color w:val="auto"/>
          <w:sz w:val="32"/>
          <w:szCs w:val="32"/>
          <w:rtl/>
          <w:lang w:eastAsia="en-US"/>
        </w:rPr>
        <w:t>ﭼ</w:t>
      </w:r>
      <w:r w:rsidRPr="00433168">
        <w:rPr>
          <w:rFonts w:ascii="QCF_P307" w:hAnsi="QCF_P307" w:cs="QCF_P307"/>
          <w:color w:val="auto"/>
          <w:sz w:val="32"/>
          <w:szCs w:val="32"/>
          <w:rtl/>
          <w:lang w:eastAsia="en-US"/>
        </w:rPr>
        <w:t xml:space="preserve"> </w:t>
      </w:r>
      <w:r w:rsidRPr="00433168">
        <w:rPr>
          <w:rFonts w:ascii="Traditional Arabic" w:hAnsi="Traditional Arabic"/>
          <w:rtl/>
        </w:rPr>
        <w:t xml:space="preserve">أي: أومأت </w:t>
      </w:r>
      <w:r w:rsidRPr="00433168">
        <w:rPr>
          <w:rFonts w:ascii="QCF_BSML" w:hAnsi="QCF_BSML" w:cs="QCF_BSML"/>
          <w:color w:val="auto"/>
          <w:sz w:val="32"/>
          <w:szCs w:val="32"/>
          <w:rtl/>
          <w:lang w:eastAsia="en-US"/>
        </w:rPr>
        <w:t>ﭽ</w:t>
      </w:r>
      <w:r w:rsidRPr="00433168">
        <w:rPr>
          <w:rFonts w:ascii="QCF_P307" w:hAnsi="QCF_P307" w:cs="QCF_P307"/>
          <w:color w:val="auto"/>
          <w:sz w:val="32"/>
          <w:szCs w:val="32"/>
          <w:rtl/>
          <w:lang w:eastAsia="en-US"/>
        </w:rPr>
        <w:t xml:space="preserve"> ﭾ</w:t>
      </w:r>
      <w:r w:rsidRPr="00433168">
        <w:rPr>
          <w:rFonts w:ascii="QCF_BSML" w:hAnsi="QCF_BSML" w:cs="QCF_BSML"/>
          <w:color w:val="auto"/>
          <w:sz w:val="32"/>
          <w:szCs w:val="32"/>
          <w:rtl/>
          <w:lang w:eastAsia="en-US"/>
        </w:rPr>
        <w:t xml:space="preserve"> ﭼ</w:t>
      </w:r>
      <w:r w:rsidRPr="00433168">
        <w:rPr>
          <w:rFonts w:ascii="Traditional Arabic" w:hAnsi="Traditional Arabic"/>
          <w:rtl/>
        </w:rPr>
        <w:t xml:space="preserve"> أي: إِلى عيسى فتكلَّم، وقيل المعنى: أشارت إِليه أنْ كلِّموه</w:t>
      </w:r>
      <w:r w:rsidRPr="00433168">
        <w:rPr>
          <w:vertAlign w:val="superscript"/>
          <w:rtl/>
        </w:rPr>
        <w:t>(</w:t>
      </w:r>
      <w:r w:rsidRPr="00433168">
        <w:rPr>
          <w:vertAlign w:val="superscript"/>
          <w:rtl/>
        </w:rPr>
        <w:footnoteReference w:id="2337"/>
      </w:r>
      <w:r w:rsidRPr="00433168">
        <w:rPr>
          <w:vertAlign w:val="superscript"/>
          <w:rtl/>
        </w:rPr>
        <w:t>)</w:t>
      </w:r>
      <w:r w:rsidRPr="00433168">
        <w:rPr>
          <w:rFonts w:ascii="Traditional Arabic" w:hAnsi="Traditional Arabic"/>
          <w:rtl/>
        </w:rPr>
        <w:t>. وكان عيسى قد كلَّمها حين أتت قومها</w:t>
      </w:r>
      <w:r w:rsidRPr="00433168">
        <w:rPr>
          <w:vertAlign w:val="superscript"/>
          <w:rtl/>
        </w:rPr>
        <w:t>(</w:t>
      </w:r>
      <w:r w:rsidRPr="00433168">
        <w:rPr>
          <w:vertAlign w:val="superscript"/>
          <w:rtl/>
        </w:rPr>
        <w:footnoteReference w:id="2338"/>
      </w:r>
      <w:r w:rsidRPr="00433168">
        <w:rPr>
          <w:vertAlign w:val="superscript"/>
          <w:rtl/>
        </w:rPr>
        <w:t>)</w:t>
      </w:r>
      <w:r w:rsidRPr="00433168">
        <w:rPr>
          <w:rFonts w:ascii="Traditional Arabic" w:hAnsi="Traditional Arabic"/>
          <w:rtl/>
        </w:rPr>
        <w:t>وقال: يا أُماه أبشري فإني عبد الله ومسيحه، فلما أشارت أن كلِّموه، تعجَّبوا من ذلك، و</w:t>
      </w:r>
      <w:r w:rsidRPr="00433168">
        <w:rPr>
          <w:rFonts w:ascii="QCF_BSML" w:hAnsi="QCF_BSML" w:cs="QCF_BSML"/>
          <w:color w:val="auto"/>
          <w:sz w:val="32"/>
          <w:szCs w:val="32"/>
          <w:rtl/>
          <w:lang w:eastAsia="en-US"/>
        </w:rPr>
        <w:t>ﭽ</w:t>
      </w:r>
      <w:r w:rsidRPr="00433168">
        <w:rPr>
          <w:rFonts w:ascii="QCF_P307" w:hAnsi="QCF_P307" w:cs="QCF_P307"/>
          <w:color w:val="auto"/>
          <w:sz w:val="32"/>
          <w:szCs w:val="32"/>
          <w:rtl/>
          <w:lang w:eastAsia="en-US"/>
        </w:rPr>
        <w:t xml:space="preserve"> ﮀ  ﮁ </w:t>
      </w:r>
      <w:r w:rsidRPr="00433168">
        <w:rPr>
          <w:rFonts w:ascii="QCF_P307" w:hAnsi="QCF_P307" w:cs="QCF_P307" w:hint="cs"/>
          <w:color w:val="auto"/>
          <w:sz w:val="32"/>
          <w:szCs w:val="32"/>
          <w:rtl/>
          <w:lang w:eastAsia="en-US"/>
        </w:rPr>
        <w:t xml:space="preserve">   </w:t>
      </w:r>
      <w:r w:rsidRPr="00433168">
        <w:rPr>
          <w:rFonts w:ascii="QCF_P307" w:hAnsi="QCF_P307" w:cs="QCF_P307"/>
          <w:color w:val="auto"/>
          <w:sz w:val="32"/>
          <w:szCs w:val="32"/>
          <w:rtl/>
          <w:lang w:eastAsia="en-US"/>
        </w:rPr>
        <w:t>ﮂ  ﮃ  ﮄ</w:t>
      </w:r>
      <w:r w:rsidRPr="00433168">
        <w:rPr>
          <w:rFonts w:ascii="QCF_BSML" w:hAnsi="QCF_BSML" w:cs="QCF_BSML"/>
          <w:color w:val="auto"/>
          <w:sz w:val="32"/>
          <w:szCs w:val="32"/>
          <w:rtl/>
          <w:lang w:eastAsia="en-US"/>
        </w:rPr>
        <w:t xml:space="preserve"> ﭼ</w:t>
      </w:r>
      <w:r w:rsidRPr="00433168">
        <w:rPr>
          <w:vertAlign w:val="superscript"/>
          <w:rtl/>
        </w:rPr>
        <w:t>(</w:t>
      </w:r>
      <w:r w:rsidRPr="00433168">
        <w:rPr>
          <w:vertAlign w:val="superscript"/>
          <w:rtl/>
        </w:rPr>
        <w:footnoteReference w:id="2339"/>
      </w:r>
      <w:r w:rsidRPr="00433168">
        <w:rPr>
          <w:vertAlign w:val="superscript"/>
          <w:rtl/>
        </w:rPr>
        <w:t>)</w:t>
      </w:r>
      <w:r w:rsidRPr="00433168">
        <w:rPr>
          <w:rFonts w:ascii="QCF_P307" w:hAnsi="QCF_P307" w:cs="QCF_P307"/>
          <w:color w:val="auto"/>
          <w:sz w:val="32"/>
          <w:szCs w:val="32"/>
          <w:rtl/>
          <w:lang w:eastAsia="en-US"/>
        </w:rPr>
        <w:t xml:space="preserve"> </w:t>
      </w:r>
      <w:r w:rsidRPr="00433168">
        <w:rPr>
          <w:rFonts w:ascii="Traditional Arabic" w:hAnsi="Traditional Arabic"/>
          <w:rtl/>
        </w:rPr>
        <w:t>وفيها أربعة أقوال</w:t>
      </w:r>
      <w:r w:rsidRPr="00433168">
        <w:rPr>
          <w:vertAlign w:val="superscript"/>
          <w:rtl/>
        </w:rPr>
        <w:t>(</w:t>
      </w:r>
      <w:r w:rsidRPr="00433168">
        <w:rPr>
          <w:vertAlign w:val="superscript"/>
          <w:rtl/>
        </w:rPr>
        <w:footnoteReference w:id="2340"/>
      </w:r>
      <w:r w:rsidRPr="00433168">
        <w:rPr>
          <w:vertAlign w:val="superscript"/>
          <w:rtl/>
        </w:rPr>
        <w:t>)</w:t>
      </w:r>
      <w:r w:rsidRPr="00433168">
        <w:rPr>
          <w:rFonts w:ascii="Traditional Arabic" w:hAnsi="Traditional Arabic"/>
          <w:rtl/>
        </w:rPr>
        <w:t xml:space="preserve">: أحدها: أنها زائدة، فالمعنى: كيف نكلِّم صبياً في المهد؟! والثاني: أنها في معنى: وقع، وحدث. والثالث: أنها في معنى الشرط والجزاء، فالمعنى: من يكن في المهد صبياً، فكيف نكلِّمه؟ </w:t>
      </w:r>
      <w:r w:rsidRPr="00433168">
        <w:rPr>
          <w:rFonts w:ascii="Traditional Arabic" w:hAnsi="Traditional Arabic" w:hint="cs"/>
          <w:rtl/>
        </w:rPr>
        <w:t>[</w:t>
      </w:r>
      <w:r w:rsidRPr="00433168">
        <w:rPr>
          <w:rFonts w:ascii="Traditional Arabic" w:hAnsi="Traditional Arabic"/>
          <w:rtl/>
        </w:rPr>
        <w:t>حكاها</w:t>
      </w:r>
      <w:r w:rsidRPr="00433168">
        <w:rPr>
          <w:rFonts w:ascii="Traditional Arabic" w:hAnsi="Traditional Arabic" w:hint="cs"/>
          <w:rtl/>
        </w:rPr>
        <w:t>]</w:t>
      </w:r>
      <w:r w:rsidRPr="00433168">
        <w:rPr>
          <w:vertAlign w:val="superscript"/>
          <w:rtl/>
        </w:rPr>
        <w:t>(</w:t>
      </w:r>
      <w:r w:rsidRPr="00433168">
        <w:rPr>
          <w:vertAlign w:val="superscript"/>
          <w:rtl/>
        </w:rPr>
        <w:footnoteReference w:id="2341"/>
      </w:r>
      <w:r w:rsidRPr="00433168">
        <w:rPr>
          <w:vertAlign w:val="superscript"/>
          <w:rtl/>
        </w:rPr>
        <w:t>)</w:t>
      </w:r>
      <w:r w:rsidRPr="00433168">
        <w:rPr>
          <w:rFonts w:ascii="Traditional Arabic" w:hAnsi="Traditional Arabic"/>
          <w:rtl/>
        </w:rPr>
        <w:t>الزجاج واختار الأخير منها</w:t>
      </w:r>
      <w:r w:rsidRPr="00433168">
        <w:rPr>
          <w:vertAlign w:val="superscript"/>
          <w:rtl/>
        </w:rPr>
        <w:t>(</w:t>
      </w:r>
      <w:r w:rsidRPr="00433168">
        <w:rPr>
          <w:vertAlign w:val="superscript"/>
          <w:rtl/>
        </w:rPr>
        <w:footnoteReference w:id="2342"/>
      </w:r>
      <w:r w:rsidRPr="00433168">
        <w:rPr>
          <w:vertAlign w:val="superscript"/>
          <w:rtl/>
        </w:rPr>
        <w:t>)</w:t>
      </w:r>
      <w:r w:rsidRPr="00433168">
        <w:rPr>
          <w:rFonts w:ascii="Traditional Arabic" w:hAnsi="Traditional Arabic"/>
          <w:rtl/>
        </w:rPr>
        <w:t>، قال ابن الأنباري: وهذا كما تقول: كيف أعظ من كان لا يقبل موعظتي؟! أي: من يكن لا يقبل، والماضي يكون بمعنى المستقبل في الجزاء</w:t>
      </w:r>
      <w:r w:rsidRPr="00433168">
        <w:rPr>
          <w:vertAlign w:val="superscript"/>
          <w:rtl/>
        </w:rPr>
        <w:t>(</w:t>
      </w:r>
      <w:r w:rsidRPr="00433168">
        <w:rPr>
          <w:vertAlign w:val="superscript"/>
          <w:rtl/>
        </w:rPr>
        <w:footnoteReference w:id="2343"/>
      </w:r>
      <w:r w:rsidRPr="00433168">
        <w:rPr>
          <w:vertAlign w:val="superscript"/>
          <w:rtl/>
        </w:rPr>
        <w:t>)</w:t>
      </w:r>
      <w:r w:rsidRPr="00433168">
        <w:rPr>
          <w:rFonts w:ascii="Traditional Arabic" w:hAnsi="Traditional Arabic"/>
          <w:rtl/>
        </w:rPr>
        <w:t>. والرابع: أن «كان» بمعنى صار، قاله قطرب</w:t>
      </w:r>
      <w:r w:rsidRPr="00433168">
        <w:rPr>
          <w:vertAlign w:val="superscript"/>
          <w:rtl/>
        </w:rPr>
        <w:t>(</w:t>
      </w:r>
      <w:r w:rsidRPr="00433168">
        <w:rPr>
          <w:vertAlign w:val="superscript"/>
          <w:rtl/>
        </w:rPr>
        <w:footnoteReference w:id="2344"/>
      </w:r>
      <w:r w:rsidRPr="00433168">
        <w:rPr>
          <w:vertAlign w:val="superscript"/>
          <w:rtl/>
        </w:rPr>
        <w:t>)</w:t>
      </w:r>
      <w:r w:rsidRPr="00433168">
        <w:rPr>
          <w:rFonts w:ascii="Traditional Arabic" w:hAnsi="Traditional Arabic"/>
          <w:rtl/>
        </w:rPr>
        <w:t>.</w:t>
      </w:r>
      <w:r w:rsidRPr="00433168">
        <w:rPr>
          <w:rFonts w:ascii="Traditional Arabic" w:hAnsi="Traditional Arabic" w:hint="cs"/>
          <w:rtl/>
        </w:rPr>
        <w:t xml:space="preserve"> </w:t>
      </w:r>
      <w:r w:rsidRPr="00433168">
        <w:rPr>
          <w:rFonts w:ascii="Traditional Arabic" w:hAnsi="Traditional Arabic"/>
          <w:rtl/>
        </w:rPr>
        <w:t xml:space="preserve">وفي المراد بالمهد قولان: أحدهما: </w:t>
      </w:r>
    </w:p>
    <w:p w:rsidR="00E33899" w:rsidRDefault="00E33899" w:rsidP="00E33899">
      <w:pPr>
        <w:ind w:firstLine="0"/>
        <w:rPr>
          <w:rFonts w:ascii="Traditional Arabic" w:hAnsi="Traditional Arabic"/>
          <w:rtl/>
        </w:rPr>
      </w:pPr>
    </w:p>
    <w:p w:rsidR="00E33899" w:rsidRDefault="00E33899" w:rsidP="00E33899">
      <w:pPr>
        <w:ind w:firstLine="0"/>
        <w:rPr>
          <w:rFonts w:ascii="Traditional Arabic" w:hAnsi="Traditional Arabic"/>
          <w:rtl/>
        </w:rPr>
      </w:pPr>
    </w:p>
    <w:p w:rsidR="00433168" w:rsidRPr="00433168" w:rsidRDefault="00433168" w:rsidP="00E33899">
      <w:pPr>
        <w:ind w:firstLine="0"/>
        <w:rPr>
          <w:rFonts w:ascii="Traditional Arabic" w:hAnsi="Traditional Arabic"/>
          <w:rtl/>
        </w:rPr>
      </w:pPr>
      <w:r w:rsidRPr="00433168">
        <w:rPr>
          <w:rFonts w:ascii="Traditional Arabic" w:hAnsi="Traditional Arabic"/>
          <w:rtl/>
        </w:rPr>
        <w:lastRenderedPageBreak/>
        <w:t>حجرها، قال</w:t>
      </w:r>
      <w:r w:rsidRPr="00433168">
        <w:rPr>
          <w:rFonts w:ascii="Traditional Arabic" w:hAnsi="Traditional Arabic" w:hint="cs"/>
          <w:rtl/>
        </w:rPr>
        <w:t>ه</w:t>
      </w:r>
      <w:r w:rsidRPr="00433168">
        <w:rPr>
          <w:rFonts w:ascii="Traditional Arabic" w:hAnsi="Traditional Arabic"/>
          <w:rtl/>
        </w:rPr>
        <w:t xml:space="preserve"> نوف</w:t>
      </w:r>
      <w:r w:rsidRPr="00433168">
        <w:rPr>
          <w:vertAlign w:val="superscript"/>
          <w:rtl/>
        </w:rPr>
        <w:t>(</w:t>
      </w:r>
      <w:r w:rsidRPr="00433168">
        <w:rPr>
          <w:vertAlign w:val="superscript"/>
          <w:rtl/>
        </w:rPr>
        <w:footnoteReference w:id="2345"/>
      </w:r>
      <w:r w:rsidRPr="00433168">
        <w:rPr>
          <w:vertAlign w:val="superscript"/>
          <w:rtl/>
        </w:rPr>
        <w:t>)</w:t>
      </w:r>
      <w:r w:rsidRPr="00433168">
        <w:rPr>
          <w:rFonts w:ascii="Traditional Arabic" w:hAnsi="Traditional Arabic"/>
          <w:rtl/>
        </w:rPr>
        <w:t>، وقتادة</w:t>
      </w:r>
      <w:r w:rsidRPr="00433168">
        <w:rPr>
          <w:vertAlign w:val="superscript"/>
          <w:rtl/>
        </w:rPr>
        <w:t>(</w:t>
      </w:r>
      <w:r w:rsidRPr="00433168">
        <w:rPr>
          <w:vertAlign w:val="superscript"/>
          <w:rtl/>
        </w:rPr>
        <w:footnoteReference w:id="2346"/>
      </w:r>
      <w:r w:rsidRPr="00433168">
        <w:rPr>
          <w:vertAlign w:val="superscript"/>
          <w:rtl/>
        </w:rPr>
        <w:t>)</w:t>
      </w:r>
      <w:r w:rsidRPr="00433168">
        <w:rPr>
          <w:rFonts w:ascii="Traditional Arabic" w:hAnsi="Traditional Arabic"/>
          <w:rtl/>
        </w:rPr>
        <w:t>، والكلبيّ</w:t>
      </w:r>
      <w:r w:rsidRPr="00433168">
        <w:rPr>
          <w:vertAlign w:val="superscript"/>
          <w:rtl/>
        </w:rPr>
        <w:t>(</w:t>
      </w:r>
      <w:r w:rsidRPr="00433168">
        <w:rPr>
          <w:vertAlign w:val="superscript"/>
          <w:rtl/>
        </w:rPr>
        <w:footnoteReference w:id="2347"/>
      </w:r>
      <w:r w:rsidRPr="00433168">
        <w:rPr>
          <w:vertAlign w:val="superscript"/>
          <w:rtl/>
        </w:rPr>
        <w:t>)</w:t>
      </w:r>
      <w:r w:rsidRPr="00433168">
        <w:rPr>
          <w:rFonts w:ascii="Traditional Arabic" w:hAnsi="Traditional Arabic"/>
          <w:rtl/>
        </w:rPr>
        <w:t>. والثاني: سرير الصّبي</w:t>
      </w:r>
      <w:r w:rsidRPr="00433168">
        <w:rPr>
          <w:rFonts w:ascii="Traditional Arabic" w:hAnsi="Traditional Arabic" w:hint="cs"/>
          <w:rtl/>
        </w:rPr>
        <w:t xml:space="preserve"> </w:t>
      </w:r>
      <w:r w:rsidRPr="00433168">
        <w:rPr>
          <w:rFonts w:ascii="Traditional Arabic" w:hAnsi="Traditional Arabic"/>
          <w:rtl/>
        </w:rPr>
        <w:t>المعروف، حكاه الكلبي أيضاً</w:t>
      </w:r>
      <w:r w:rsidRPr="00433168">
        <w:rPr>
          <w:vertAlign w:val="superscript"/>
          <w:rtl/>
        </w:rPr>
        <w:t>(</w:t>
      </w:r>
      <w:r w:rsidRPr="00433168">
        <w:rPr>
          <w:vertAlign w:val="superscript"/>
          <w:rtl/>
        </w:rPr>
        <w:footnoteReference w:id="2348"/>
      </w:r>
      <w:r w:rsidRPr="00433168">
        <w:rPr>
          <w:vertAlign w:val="superscript"/>
          <w:rtl/>
        </w:rPr>
        <w:t>)</w:t>
      </w:r>
      <w:r w:rsidRPr="00433168">
        <w:rPr>
          <w:rFonts w:ascii="Traditional Arabic" w:hAnsi="Traditional Arabic"/>
          <w:rtl/>
        </w:rPr>
        <w:t>.</w:t>
      </w:r>
      <w:r w:rsidRPr="00433168">
        <w:rPr>
          <w:rFonts w:ascii="Traditional Arabic" w:hAnsi="Traditional Arabic" w:hint="cs"/>
          <w:rtl/>
        </w:rPr>
        <w:t xml:space="preserve"> </w:t>
      </w:r>
      <w:r w:rsidRPr="00433168">
        <w:rPr>
          <w:rFonts w:ascii="Traditional Arabic" w:hAnsi="Traditional Arabic"/>
          <w:rtl/>
        </w:rPr>
        <w:t>قال السدي: فلما سمع عيسى كلامهم، لم يزد على أن ترك الرَّضاع، وأقبل عليهم بوجهه</w:t>
      </w:r>
      <w:r w:rsidRPr="00433168">
        <w:rPr>
          <w:vertAlign w:val="superscript"/>
          <w:rtl/>
        </w:rPr>
        <w:t>(</w:t>
      </w:r>
      <w:r w:rsidRPr="00433168">
        <w:rPr>
          <w:vertAlign w:val="superscript"/>
          <w:rtl/>
        </w:rPr>
        <w:footnoteReference w:id="2349"/>
      </w:r>
      <w:r w:rsidRPr="00433168">
        <w:rPr>
          <w:vertAlign w:val="superscript"/>
          <w:rtl/>
        </w:rPr>
        <w:t>)</w:t>
      </w:r>
      <w:r w:rsidRPr="00433168">
        <w:rPr>
          <w:rFonts w:ascii="Traditional Arabic" w:hAnsi="Traditional Arabic"/>
          <w:rtl/>
        </w:rPr>
        <w:t xml:space="preserve">، فقال: </w:t>
      </w:r>
      <w:r w:rsidRPr="00433168">
        <w:rPr>
          <w:rFonts w:ascii="QCF_BSML" w:hAnsi="QCF_BSML" w:cs="QCF_BSML"/>
          <w:color w:val="auto"/>
          <w:sz w:val="32"/>
          <w:szCs w:val="32"/>
          <w:rtl/>
          <w:lang w:eastAsia="en-US"/>
        </w:rPr>
        <w:t>ﭽ</w:t>
      </w:r>
      <w:r w:rsidRPr="00433168">
        <w:rPr>
          <w:rFonts w:ascii="QCF_P307" w:hAnsi="QCF_P307" w:cs="QCF_P307"/>
          <w:color w:val="auto"/>
          <w:sz w:val="32"/>
          <w:szCs w:val="32"/>
          <w:rtl/>
          <w:lang w:eastAsia="en-US"/>
        </w:rPr>
        <w:t xml:space="preserve"> ﮊ</w:t>
      </w:r>
      <w:r w:rsidRPr="00433168">
        <w:rPr>
          <w:rFonts w:ascii="QCF_P307" w:hAnsi="QCF_P307" w:cs="QCF_P307" w:hint="cs"/>
          <w:color w:val="auto"/>
          <w:sz w:val="32"/>
          <w:szCs w:val="32"/>
          <w:rtl/>
          <w:lang w:eastAsia="en-US"/>
        </w:rPr>
        <w:t xml:space="preserve">  </w:t>
      </w:r>
      <w:r w:rsidRPr="00433168">
        <w:rPr>
          <w:rFonts w:ascii="QCF_P307" w:hAnsi="QCF_P307" w:cs="QCF_P307"/>
          <w:color w:val="auto"/>
          <w:sz w:val="32"/>
          <w:szCs w:val="32"/>
          <w:rtl/>
          <w:lang w:eastAsia="en-US"/>
        </w:rPr>
        <w:t xml:space="preserve"> ﮋ  ﮌ</w:t>
      </w:r>
      <w:r w:rsidRPr="00433168">
        <w:rPr>
          <w:rFonts w:ascii="QCF_BSML" w:hAnsi="QCF_BSML" w:cs="QCF_BSML"/>
          <w:color w:val="auto"/>
          <w:sz w:val="32"/>
          <w:szCs w:val="32"/>
          <w:rtl/>
          <w:lang w:eastAsia="en-US"/>
        </w:rPr>
        <w:t xml:space="preserve"> ﭼ</w:t>
      </w:r>
      <w:r w:rsidRPr="00433168">
        <w:rPr>
          <w:rFonts w:ascii="QCF_P307" w:hAnsi="QCF_P307" w:cs="QCF_P307"/>
          <w:color w:val="auto"/>
          <w:sz w:val="32"/>
          <w:szCs w:val="32"/>
          <w:rtl/>
          <w:lang w:eastAsia="en-US"/>
        </w:rPr>
        <w:t xml:space="preserve">  </w:t>
      </w:r>
      <w:r w:rsidRPr="00433168">
        <w:rPr>
          <w:vertAlign w:val="superscript"/>
          <w:rtl/>
        </w:rPr>
        <w:t>(</w:t>
      </w:r>
      <w:r w:rsidRPr="00433168">
        <w:rPr>
          <w:vertAlign w:val="superscript"/>
          <w:rtl/>
        </w:rPr>
        <w:footnoteReference w:id="2350"/>
      </w:r>
      <w:r w:rsidRPr="00433168">
        <w:rPr>
          <w:vertAlign w:val="superscript"/>
          <w:rtl/>
        </w:rPr>
        <w:t>)</w:t>
      </w:r>
      <w:r w:rsidRPr="00433168">
        <w:rPr>
          <w:rFonts w:ascii="Traditional Arabic" w:hAnsi="Traditional Arabic"/>
          <w:rtl/>
        </w:rPr>
        <w:t>، قال المفسرون: إِنما قدَّم ذِكر العبودية، ليُبطلَ قول من ادَّعى فيه الربوبية</w:t>
      </w:r>
      <w:r w:rsidRPr="00433168">
        <w:rPr>
          <w:vertAlign w:val="superscript"/>
          <w:rtl/>
        </w:rPr>
        <w:t>(</w:t>
      </w:r>
      <w:r w:rsidRPr="00433168">
        <w:rPr>
          <w:vertAlign w:val="superscript"/>
          <w:rtl/>
        </w:rPr>
        <w:footnoteReference w:id="2351"/>
      </w:r>
      <w:r w:rsidRPr="00433168">
        <w:rPr>
          <w:vertAlign w:val="superscript"/>
          <w:rtl/>
        </w:rPr>
        <w:t>)</w:t>
      </w:r>
      <w:r w:rsidRPr="00433168">
        <w:rPr>
          <w:rFonts w:ascii="Traditional Arabic" w:hAnsi="Traditional Arabic"/>
          <w:rtl/>
        </w:rPr>
        <w:t>.</w:t>
      </w:r>
      <w:r w:rsidR="00E33899">
        <w:rPr>
          <w:rFonts w:ascii="Traditional Arabic" w:hAnsi="Traditional Arabic" w:hint="cs"/>
          <w:rtl/>
        </w:rPr>
        <w:t xml:space="preserve"> </w:t>
      </w:r>
      <w:r w:rsidRPr="00433168">
        <w:rPr>
          <w:rFonts w:ascii="Traditional Arabic" w:hAnsi="Traditional Arabic"/>
          <w:rtl/>
        </w:rPr>
        <w:t xml:space="preserve">وفي قوله: </w:t>
      </w:r>
      <w:r w:rsidRPr="00433168">
        <w:rPr>
          <w:rFonts w:ascii="QCF_BSML" w:hAnsi="QCF_BSML" w:cs="QCF_BSML"/>
          <w:color w:val="auto"/>
          <w:sz w:val="32"/>
          <w:szCs w:val="32"/>
          <w:rtl/>
          <w:lang w:eastAsia="en-US"/>
        </w:rPr>
        <w:t>ﭽ</w:t>
      </w:r>
      <w:r w:rsidRPr="00433168">
        <w:rPr>
          <w:rFonts w:ascii="QCF_P307" w:hAnsi="QCF_P307" w:cs="QCF_P307"/>
          <w:color w:val="auto"/>
          <w:sz w:val="32"/>
          <w:szCs w:val="32"/>
          <w:rtl/>
          <w:lang w:eastAsia="en-US"/>
        </w:rPr>
        <w:t xml:space="preserve"> ﮍ  ﮎ</w:t>
      </w:r>
      <w:r w:rsidRPr="00433168">
        <w:rPr>
          <w:rFonts w:ascii="QCF_BSML" w:hAnsi="QCF_BSML" w:cs="QCF_BSML"/>
          <w:color w:val="auto"/>
          <w:sz w:val="32"/>
          <w:szCs w:val="32"/>
          <w:rtl/>
          <w:lang w:eastAsia="en-US"/>
        </w:rPr>
        <w:t xml:space="preserve"> ﭼ</w:t>
      </w:r>
      <w:r w:rsidRPr="00433168">
        <w:rPr>
          <w:rFonts w:ascii="QCF_P307" w:hAnsi="QCF_P307" w:cs="QCF_P307"/>
          <w:color w:val="auto"/>
          <w:sz w:val="32"/>
          <w:szCs w:val="32"/>
          <w:rtl/>
          <w:lang w:eastAsia="en-US"/>
        </w:rPr>
        <w:t xml:space="preserve">  </w:t>
      </w:r>
      <w:r w:rsidRPr="00433168">
        <w:rPr>
          <w:rFonts w:ascii="Traditional Arabic" w:hAnsi="Traditional Arabic"/>
          <w:rtl/>
        </w:rPr>
        <w:t>أسكن هذه الياء حمزة</w:t>
      </w:r>
      <w:r w:rsidRPr="00433168">
        <w:rPr>
          <w:vertAlign w:val="superscript"/>
          <w:rtl/>
        </w:rPr>
        <w:t>(</w:t>
      </w:r>
      <w:r w:rsidRPr="00433168">
        <w:rPr>
          <w:vertAlign w:val="superscript"/>
          <w:rtl/>
        </w:rPr>
        <w:footnoteReference w:id="2352"/>
      </w:r>
      <w:r w:rsidRPr="00433168">
        <w:rPr>
          <w:vertAlign w:val="superscript"/>
          <w:rtl/>
        </w:rPr>
        <w:t>)</w:t>
      </w:r>
      <w:r w:rsidRPr="00433168">
        <w:rPr>
          <w:rFonts w:ascii="Traditional Arabic" w:hAnsi="Traditional Arabic"/>
          <w:rtl/>
        </w:rPr>
        <w:t>. وفي معنى الآية قولان: أحدهما: أنه آتاه الكتاب وهو في بطن أُمه، قاله أبو صالح عن ابن عباس</w:t>
      </w:r>
      <w:r w:rsidRPr="00433168">
        <w:rPr>
          <w:vertAlign w:val="superscript"/>
          <w:rtl/>
        </w:rPr>
        <w:t>(</w:t>
      </w:r>
      <w:r w:rsidRPr="00433168">
        <w:rPr>
          <w:vertAlign w:val="superscript"/>
          <w:rtl/>
        </w:rPr>
        <w:footnoteReference w:id="2353"/>
      </w:r>
      <w:r w:rsidRPr="00433168">
        <w:rPr>
          <w:vertAlign w:val="superscript"/>
          <w:rtl/>
        </w:rPr>
        <w:t>)</w:t>
      </w:r>
      <w:r w:rsidRPr="00433168">
        <w:rPr>
          <w:rFonts w:ascii="Traditional Arabic" w:hAnsi="Traditional Arabic"/>
          <w:rtl/>
        </w:rPr>
        <w:t>. وقيل: علم التوراة والإِنجيل وهو في بطن أُمه</w:t>
      </w:r>
      <w:r w:rsidRPr="00433168">
        <w:rPr>
          <w:vertAlign w:val="superscript"/>
          <w:rtl/>
        </w:rPr>
        <w:t>(</w:t>
      </w:r>
      <w:r w:rsidRPr="00433168">
        <w:rPr>
          <w:vertAlign w:val="superscript"/>
          <w:rtl/>
        </w:rPr>
        <w:footnoteReference w:id="2354"/>
      </w:r>
      <w:r w:rsidRPr="00433168">
        <w:rPr>
          <w:vertAlign w:val="superscript"/>
          <w:rtl/>
        </w:rPr>
        <w:t>)</w:t>
      </w:r>
      <w:r w:rsidRPr="00433168">
        <w:rPr>
          <w:rFonts w:ascii="Traditional Arabic" w:hAnsi="Traditional Arabic"/>
          <w:rtl/>
        </w:rPr>
        <w:t>. والثاني: قضى أن يؤتيني الكتاب، قاله عكرمة</w:t>
      </w:r>
      <w:r w:rsidRPr="00433168">
        <w:rPr>
          <w:vertAlign w:val="superscript"/>
          <w:rtl/>
        </w:rPr>
        <w:t>(</w:t>
      </w:r>
      <w:r w:rsidRPr="00433168">
        <w:rPr>
          <w:vertAlign w:val="superscript"/>
          <w:rtl/>
        </w:rPr>
        <w:footnoteReference w:id="2355"/>
      </w:r>
      <w:r w:rsidRPr="00433168">
        <w:rPr>
          <w:vertAlign w:val="superscript"/>
          <w:rtl/>
        </w:rPr>
        <w:t>)</w:t>
      </w:r>
      <w:r w:rsidRPr="00433168">
        <w:rPr>
          <w:rFonts w:ascii="Traditional Arabic" w:hAnsi="Traditional Arabic"/>
          <w:rtl/>
        </w:rPr>
        <w:t>. وفي الكتاب قولان: أحدهما: أنه التوراة</w:t>
      </w:r>
      <w:r w:rsidRPr="00433168">
        <w:rPr>
          <w:vertAlign w:val="superscript"/>
          <w:rtl/>
        </w:rPr>
        <w:t>(</w:t>
      </w:r>
      <w:r w:rsidRPr="00433168">
        <w:rPr>
          <w:vertAlign w:val="superscript"/>
          <w:rtl/>
        </w:rPr>
        <w:footnoteReference w:id="2356"/>
      </w:r>
      <w:r w:rsidRPr="00433168">
        <w:rPr>
          <w:vertAlign w:val="superscript"/>
          <w:rtl/>
        </w:rPr>
        <w:t>)</w:t>
      </w:r>
      <w:r w:rsidRPr="00433168">
        <w:rPr>
          <w:rFonts w:ascii="Traditional Arabic" w:hAnsi="Traditional Arabic"/>
          <w:rtl/>
        </w:rPr>
        <w:t>.</w:t>
      </w:r>
      <w:r w:rsidRPr="00433168">
        <w:rPr>
          <w:rFonts w:ascii="Traditional Arabic" w:hAnsi="Traditional Arabic" w:hint="cs"/>
          <w:rtl/>
        </w:rPr>
        <w:t xml:space="preserve"> </w:t>
      </w:r>
      <w:r w:rsidRPr="00433168">
        <w:rPr>
          <w:rFonts w:ascii="Traditional Arabic" w:hAnsi="Traditional Arabic"/>
          <w:rtl/>
        </w:rPr>
        <w:t>والثاني: الإِنجيل</w:t>
      </w:r>
      <w:r w:rsidRPr="00433168">
        <w:rPr>
          <w:vertAlign w:val="superscript"/>
          <w:rtl/>
        </w:rPr>
        <w:t>(</w:t>
      </w:r>
      <w:r w:rsidRPr="00433168">
        <w:rPr>
          <w:vertAlign w:val="superscript"/>
          <w:rtl/>
        </w:rPr>
        <w:footnoteReference w:id="2357"/>
      </w:r>
      <w:r w:rsidRPr="00433168">
        <w:rPr>
          <w:vertAlign w:val="superscript"/>
          <w:rtl/>
        </w:rPr>
        <w:t>)</w:t>
      </w:r>
      <w:r w:rsidRPr="00433168">
        <w:rPr>
          <w:rFonts w:ascii="Traditional Arabic" w:hAnsi="Traditional Arabic"/>
          <w:rtl/>
        </w:rPr>
        <w:t xml:space="preserve">. قوله تعالى: </w:t>
      </w:r>
      <w:r w:rsidRPr="00433168">
        <w:rPr>
          <w:rFonts w:ascii="QCF_BSML" w:hAnsi="QCF_BSML" w:cs="QCF_BSML"/>
          <w:color w:val="auto"/>
          <w:sz w:val="32"/>
          <w:szCs w:val="32"/>
          <w:rtl/>
          <w:lang w:eastAsia="en-US"/>
        </w:rPr>
        <w:t>ﭽ</w:t>
      </w:r>
      <w:r w:rsidRPr="00433168">
        <w:rPr>
          <w:rFonts w:ascii="QCF_P307" w:hAnsi="QCF_P307" w:cs="QCF_P307"/>
          <w:color w:val="auto"/>
          <w:sz w:val="32"/>
          <w:szCs w:val="32"/>
          <w:rtl/>
          <w:lang w:eastAsia="en-US"/>
        </w:rPr>
        <w:t xml:space="preserve"> ﮏ   ﮐ</w:t>
      </w:r>
      <w:r w:rsidRPr="00433168">
        <w:rPr>
          <w:rFonts w:ascii="QCF_BSML" w:hAnsi="QCF_BSML" w:cs="QCF_BSML"/>
          <w:color w:val="auto"/>
          <w:sz w:val="32"/>
          <w:szCs w:val="32"/>
          <w:rtl/>
          <w:lang w:eastAsia="en-US"/>
        </w:rPr>
        <w:t xml:space="preserve"> ﭼ</w:t>
      </w:r>
      <w:r w:rsidRPr="00433168">
        <w:rPr>
          <w:rFonts w:ascii="QCF_P307" w:hAnsi="QCF_P307" w:cs="QCF_P307"/>
          <w:color w:val="auto"/>
          <w:sz w:val="32"/>
          <w:szCs w:val="32"/>
          <w:rtl/>
          <w:lang w:eastAsia="en-US"/>
        </w:rPr>
        <w:t xml:space="preserve">  </w:t>
      </w:r>
      <w:r w:rsidRPr="00433168">
        <w:rPr>
          <w:rFonts w:ascii="Traditional Arabic" w:hAnsi="Traditional Arabic" w:hint="cs"/>
          <w:rtl/>
        </w:rPr>
        <w:t xml:space="preserve"> </w:t>
      </w:r>
      <w:r w:rsidRPr="00433168">
        <w:rPr>
          <w:rFonts w:ascii="Traditional Arabic" w:hAnsi="Traditional Arabic"/>
          <w:rtl/>
        </w:rPr>
        <w:t xml:space="preserve">هذا وما بعده إِخبار عما قضى الله له وحكم له به ومنحه إِيَّاه مما سيظهر ويكون. وقيل: المعنى: يؤتيني الكتاب ويجعلني نبيّاً إِذا بلغتُ فحلَّ الماضي محلَّ المستقبل، كقوله تعالى: </w:t>
      </w:r>
      <w:r w:rsidRPr="00433168">
        <w:rPr>
          <w:rFonts w:ascii="QCF_BSML" w:hAnsi="QCF_BSML" w:cs="QCF_BSML"/>
          <w:color w:val="auto"/>
          <w:sz w:val="32"/>
          <w:szCs w:val="32"/>
          <w:rtl/>
          <w:lang w:eastAsia="en-US"/>
        </w:rPr>
        <w:t xml:space="preserve">ﭽ </w:t>
      </w:r>
      <w:r w:rsidRPr="00433168">
        <w:rPr>
          <w:rFonts w:ascii="QCF_P127" w:hAnsi="QCF_P127" w:cs="QCF_P127"/>
          <w:color w:val="auto"/>
          <w:sz w:val="32"/>
          <w:szCs w:val="32"/>
          <w:rtl/>
          <w:lang w:eastAsia="en-US"/>
        </w:rPr>
        <w:t>ﭼ  ﭽ  ﭾ  ﭿ</w:t>
      </w:r>
      <w:r w:rsidRPr="00433168">
        <w:rPr>
          <w:rFonts w:ascii="QCF_BSML" w:hAnsi="QCF_BSML" w:cs="QCF_BSML"/>
          <w:color w:val="auto"/>
          <w:sz w:val="32"/>
          <w:szCs w:val="32"/>
          <w:rtl/>
          <w:lang w:eastAsia="en-US"/>
        </w:rPr>
        <w:t>ﭼ</w:t>
      </w:r>
      <w:r w:rsidRPr="00433168">
        <w:rPr>
          <w:rFonts w:ascii="Arial" w:hAnsi="Arial" w:cs="Arial"/>
          <w:color w:val="auto"/>
          <w:sz w:val="18"/>
          <w:szCs w:val="18"/>
          <w:rtl/>
          <w:lang w:eastAsia="en-US"/>
        </w:rPr>
        <w:t xml:space="preserve"> </w:t>
      </w:r>
      <w:r w:rsidRPr="00433168">
        <w:rPr>
          <w:rFonts w:ascii="Traditional Arabic" w:hAnsi="Traditional Arabic"/>
          <w:color w:val="auto"/>
          <w:sz w:val="32"/>
          <w:szCs w:val="32"/>
          <w:rtl/>
          <w:lang w:eastAsia="en-US"/>
        </w:rPr>
        <w:t>[المائدة:١١٦]</w:t>
      </w:r>
      <w:r w:rsidRPr="00433168">
        <w:rPr>
          <w:vertAlign w:val="superscript"/>
          <w:rtl/>
        </w:rPr>
        <w:t>(</w:t>
      </w:r>
      <w:r w:rsidRPr="00433168">
        <w:rPr>
          <w:vertAlign w:val="superscript"/>
          <w:rtl/>
        </w:rPr>
        <w:footnoteReference w:id="2358"/>
      </w:r>
      <w:r w:rsidRPr="00433168">
        <w:rPr>
          <w:vertAlign w:val="superscript"/>
          <w:rtl/>
        </w:rPr>
        <w:t>)</w:t>
      </w:r>
      <w:r w:rsidRPr="00433168">
        <w:rPr>
          <w:rFonts w:ascii="Traditional Arabic" w:hAnsi="Traditional Arabic"/>
          <w:rtl/>
        </w:rPr>
        <w:t xml:space="preserve">. وفي وقت تكليمه لهم قولان: أحدهما: أنه كلَّمهم بعد أربعين يوماً. والثاني: في يومه. وهو مبنيٌّ على ما ذكرنا من الزمان الذي غابت عنهم فيه </w:t>
      </w:r>
      <w:r w:rsidRPr="00433168">
        <w:rPr>
          <w:rFonts w:ascii="Traditional Arabic" w:hAnsi="Traditional Arabic"/>
          <w:rtl/>
        </w:rPr>
        <w:lastRenderedPageBreak/>
        <w:t>مريم</w:t>
      </w:r>
      <w:r w:rsidRPr="00433168">
        <w:rPr>
          <w:vertAlign w:val="superscript"/>
          <w:rtl/>
        </w:rPr>
        <w:t>(</w:t>
      </w:r>
      <w:r w:rsidRPr="00433168">
        <w:rPr>
          <w:vertAlign w:val="superscript"/>
          <w:rtl/>
        </w:rPr>
        <w:footnoteReference w:id="2359"/>
      </w:r>
      <w:r w:rsidRPr="00433168">
        <w:rPr>
          <w:vertAlign w:val="superscript"/>
          <w:rtl/>
        </w:rPr>
        <w:t>)</w:t>
      </w:r>
      <w:r w:rsidRPr="00433168">
        <w:rPr>
          <w:rFonts w:ascii="Traditional Arabic" w:hAnsi="Traditional Arabic"/>
          <w:rtl/>
        </w:rPr>
        <w:t>.</w:t>
      </w:r>
      <w:r w:rsidRPr="00433168">
        <w:rPr>
          <w:rFonts w:ascii="QCF_P307" w:hAnsi="QCF_P307" w:cs="QCF_P307"/>
          <w:color w:val="auto"/>
          <w:sz w:val="32"/>
          <w:szCs w:val="32"/>
          <w:rtl/>
          <w:lang w:eastAsia="en-US"/>
        </w:rPr>
        <w:t xml:space="preserve"> </w:t>
      </w:r>
      <w:r w:rsidRPr="00433168">
        <w:rPr>
          <w:rFonts w:ascii="Traditional Arabic" w:hAnsi="Traditional Arabic" w:hint="cs"/>
          <w:rtl/>
        </w:rPr>
        <w:t xml:space="preserve"> </w:t>
      </w:r>
      <w:r w:rsidRPr="00433168">
        <w:rPr>
          <w:rFonts w:ascii="Traditional Arabic" w:hAnsi="Traditional Arabic"/>
          <w:rtl/>
        </w:rPr>
        <w:t xml:space="preserve">قوله تعالى: </w:t>
      </w:r>
      <w:r w:rsidRPr="00433168">
        <w:rPr>
          <w:rFonts w:ascii="QCF_BSML" w:hAnsi="QCF_BSML" w:cs="QCF_BSML"/>
          <w:color w:val="auto"/>
          <w:sz w:val="32"/>
          <w:szCs w:val="32"/>
          <w:rtl/>
          <w:lang w:eastAsia="en-US"/>
        </w:rPr>
        <w:t>ﭽ</w:t>
      </w:r>
      <w:r w:rsidRPr="00433168">
        <w:rPr>
          <w:rFonts w:ascii="QCF_P307" w:hAnsi="QCF_P307" w:cs="QCF_P307"/>
          <w:color w:val="auto"/>
          <w:sz w:val="32"/>
          <w:szCs w:val="32"/>
          <w:rtl/>
          <w:lang w:eastAsia="en-US"/>
        </w:rPr>
        <w:t xml:space="preserve"> ﮒ  ﮓ  ﮔ  ﮕ  ﮖ</w:t>
      </w:r>
      <w:r w:rsidRPr="00433168">
        <w:rPr>
          <w:rFonts w:ascii="QCF_BSML" w:hAnsi="QCF_BSML" w:cs="QCF_BSML"/>
          <w:color w:val="auto"/>
          <w:sz w:val="32"/>
          <w:szCs w:val="32"/>
          <w:rtl/>
          <w:lang w:eastAsia="en-US"/>
        </w:rPr>
        <w:t xml:space="preserve"> ﭼ</w:t>
      </w:r>
      <w:r w:rsidRPr="00433168">
        <w:rPr>
          <w:rFonts w:ascii="QCF_P307" w:hAnsi="QCF_P307" w:cs="QCF_P307"/>
          <w:color w:val="auto"/>
          <w:sz w:val="32"/>
          <w:szCs w:val="32"/>
          <w:rtl/>
          <w:lang w:eastAsia="en-US"/>
        </w:rPr>
        <w:t xml:space="preserve">  </w:t>
      </w:r>
      <w:r w:rsidRPr="00433168">
        <w:rPr>
          <w:rFonts w:ascii="Traditional Arabic" w:hAnsi="Traditional Arabic" w:hint="cs"/>
          <w:rtl/>
        </w:rPr>
        <w:t xml:space="preserve"> </w:t>
      </w:r>
      <w:r w:rsidRPr="00433168">
        <w:rPr>
          <w:rFonts w:ascii="Traditional Arabic" w:hAnsi="Traditional Arabic"/>
          <w:rtl/>
        </w:rPr>
        <w:t xml:space="preserve">روى أبو هريرة عن رسول الله </w:t>
      </w:r>
      <w:r w:rsidRPr="00433168">
        <w:rPr>
          <w:rFonts w:ascii="Traditional Arabic" w:hAnsi="Traditional Arabic"/>
          <w:lang w:eastAsia="en-US"/>
        </w:rPr>
        <w:sym w:font="AGA Arabesque" w:char="F072"/>
      </w:r>
      <w:r w:rsidRPr="00433168">
        <w:rPr>
          <w:rFonts w:ascii="Traditional Arabic" w:hAnsi="Traditional Arabic" w:hint="cs"/>
          <w:rtl/>
        </w:rPr>
        <w:t xml:space="preserve"> </w:t>
      </w:r>
      <w:r w:rsidRPr="00433168">
        <w:rPr>
          <w:rFonts w:ascii="Traditional Arabic" w:hAnsi="Traditional Arabic"/>
          <w:rtl/>
        </w:rPr>
        <w:t>في هذه الآية قال: «نفّاعاً حيثما توجهت»</w:t>
      </w:r>
      <w:r w:rsidRPr="00433168">
        <w:rPr>
          <w:vertAlign w:val="superscript"/>
          <w:rtl/>
        </w:rPr>
        <w:t>(</w:t>
      </w:r>
      <w:r w:rsidRPr="00433168">
        <w:rPr>
          <w:vertAlign w:val="superscript"/>
          <w:rtl/>
        </w:rPr>
        <w:footnoteReference w:id="2360"/>
      </w:r>
      <w:r w:rsidRPr="00433168">
        <w:rPr>
          <w:vertAlign w:val="superscript"/>
          <w:rtl/>
        </w:rPr>
        <w:t>)</w:t>
      </w:r>
      <w:r w:rsidRPr="00433168">
        <w:rPr>
          <w:rFonts w:ascii="Traditional Arabic" w:hAnsi="Traditional Arabic"/>
          <w:rtl/>
        </w:rPr>
        <w:t>. وقال مجاهد: معلِّماً للخير</w:t>
      </w:r>
      <w:r w:rsidRPr="00433168">
        <w:rPr>
          <w:vertAlign w:val="superscript"/>
          <w:rtl/>
        </w:rPr>
        <w:t>(</w:t>
      </w:r>
      <w:r w:rsidRPr="00433168">
        <w:rPr>
          <w:vertAlign w:val="superscript"/>
          <w:rtl/>
        </w:rPr>
        <w:footnoteReference w:id="2361"/>
      </w:r>
      <w:r w:rsidRPr="00433168">
        <w:rPr>
          <w:vertAlign w:val="superscript"/>
          <w:rtl/>
        </w:rPr>
        <w:t>)</w:t>
      </w:r>
      <w:r w:rsidRPr="00433168">
        <w:rPr>
          <w:rFonts w:ascii="Traditional Arabic" w:hAnsi="Traditional Arabic"/>
          <w:rtl/>
        </w:rPr>
        <w:t>.</w:t>
      </w:r>
      <w:r w:rsidRPr="00433168">
        <w:rPr>
          <w:rFonts w:ascii="Traditional Arabic" w:hAnsi="Traditional Arabic" w:hint="cs"/>
          <w:rtl/>
        </w:rPr>
        <w:t xml:space="preserve"> </w:t>
      </w:r>
      <w:r w:rsidRPr="00433168">
        <w:rPr>
          <w:rFonts w:ascii="Traditional Arabic" w:hAnsi="Traditional Arabic"/>
          <w:rtl/>
        </w:rPr>
        <w:t>وفي المراد «بالزكاة» قولان: أحدهما: زكاة الأموال، قاله ابن السائب</w:t>
      </w:r>
      <w:r w:rsidRPr="00433168">
        <w:rPr>
          <w:vertAlign w:val="superscript"/>
          <w:rtl/>
        </w:rPr>
        <w:t>(</w:t>
      </w:r>
      <w:r w:rsidRPr="00433168">
        <w:rPr>
          <w:vertAlign w:val="superscript"/>
          <w:rtl/>
        </w:rPr>
        <w:footnoteReference w:id="2362"/>
      </w:r>
      <w:r w:rsidRPr="00433168">
        <w:rPr>
          <w:vertAlign w:val="superscript"/>
          <w:rtl/>
        </w:rPr>
        <w:t>)</w:t>
      </w:r>
      <w:r w:rsidRPr="00433168">
        <w:rPr>
          <w:rFonts w:ascii="Traditional Arabic" w:hAnsi="Traditional Arabic"/>
          <w:rtl/>
        </w:rPr>
        <w:t xml:space="preserve">. والثاني: </w:t>
      </w:r>
      <w:r w:rsidRPr="00433168">
        <w:rPr>
          <w:rFonts w:ascii="Traditional Arabic" w:hAnsi="Traditional Arabic"/>
          <w:sz w:val="32"/>
          <w:szCs w:val="32"/>
          <w:rtl/>
        </w:rPr>
        <w:t>[</w:t>
      </w:r>
      <w:r w:rsidRPr="00433168">
        <w:rPr>
          <w:rFonts w:ascii="Traditional Arabic" w:hAnsi="Traditional Arabic" w:hint="cs"/>
          <w:sz w:val="32"/>
          <w:szCs w:val="32"/>
          <w:rtl/>
        </w:rPr>
        <w:t>171</w:t>
      </w:r>
      <w:r w:rsidRPr="00433168">
        <w:rPr>
          <w:rFonts w:ascii="Traditional Arabic" w:hAnsi="Traditional Arabic"/>
          <w:sz w:val="32"/>
          <w:szCs w:val="32"/>
          <w:rtl/>
        </w:rPr>
        <w:t>]</w:t>
      </w:r>
      <w:r w:rsidRPr="00433168">
        <w:rPr>
          <w:rFonts w:ascii="Traditional Arabic" w:hAnsi="Traditional Arabic"/>
          <w:rtl/>
        </w:rPr>
        <w:t xml:space="preserve"> الطهارة</w:t>
      </w:r>
      <w:r w:rsidRPr="00433168">
        <w:rPr>
          <w:rFonts w:ascii="Traditional Arabic" w:hAnsi="Traditional Arabic" w:hint="cs"/>
          <w:rtl/>
        </w:rPr>
        <w:t>,</w:t>
      </w:r>
      <w:r w:rsidRPr="00433168">
        <w:rPr>
          <w:rFonts w:ascii="Traditional Arabic" w:hAnsi="Traditional Arabic"/>
          <w:rtl/>
        </w:rPr>
        <w:t xml:space="preserve"> قاله الزجاج</w:t>
      </w:r>
      <w:r w:rsidRPr="00433168">
        <w:rPr>
          <w:vertAlign w:val="superscript"/>
          <w:rtl/>
        </w:rPr>
        <w:t>(</w:t>
      </w:r>
      <w:r w:rsidRPr="00433168">
        <w:rPr>
          <w:vertAlign w:val="superscript"/>
          <w:rtl/>
        </w:rPr>
        <w:footnoteReference w:id="2363"/>
      </w:r>
      <w:r w:rsidRPr="00433168">
        <w:rPr>
          <w:vertAlign w:val="superscript"/>
          <w:rtl/>
        </w:rPr>
        <w:t>)</w:t>
      </w:r>
      <w:r w:rsidRPr="00433168">
        <w:rPr>
          <w:rFonts w:ascii="Traditional Arabic" w:hAnsi="Traditional Arabic"/>
          <w:rtl/>
        </w:rPr>
        <w:t xml:space="preserve">. قوله تعالى: </w:t>
      </w:r>
      <w:r w:rsidRPr="00433168">
        <w:rPr>
          <w:rFonts w:ascii="QCF_BSML" w:hAnsi="QCF_BSML" w:cs="QCF_BSML"/>
          <w:color w:val="auto"/>
          <w:sz w:val="32"/>
          <w:szCs w:val="32"/>
          <w:rtl/>
          <w:lang w:eastAsia="en-US"/>
        </w:rPr>
        <w:t>ﭽ</w:t>
      </w:r>
      <w:r w:rsidRPr="00433168">
        <w:rPr>
          <w:rFonts w:ascii="QCF_P307" w:hAnsi="QCF_P307" w:cs="QCF_P307"/>
          <w:color w:val="auto"/>
          <w:sz w:val="32"/>
          <w:szCs w:val="32"/>
          <w:rtl/>
          <w:lang w:eastAsia="en-US"/>
        </w:rPr>
        <w:t>ﮞ  ﮟ</w:t>
      </w:r>
      <w:r w:rsidRPr="00433168">
        <w:rPr>
          <w:rFonts w:ascii="QCF_BSML" w:hAnsi="QCF_BSML" w:cs="QCF_BSML"/>
          <w:color w:val="auto"/>
          <w:sz w:val="32"/>
          <w:szCs w:val="32"/>
          <w:rtl/>
          <w:lang w:eastAsia="en-US"/>
        </w:rPr>
        <w:t>ﭼ</w:t>
      </w:r>
      <w:r w:rsidRPr="00433168">
        <w:rPr>
          <w:rFonts w:ascii="QCF_P307" w:hAnsi="QCF_P307" w:cs="QCF_P307"/>
          <w:color w:val="auto"/>
          <w:sz w:val="32"/>
          <w:szCs w:val="32"/>
          <w:rtl/>
          <w:lang w:eastAsia="en-US"/>
        </w:rPr>
        <w:t xml:space="preserve">  </w:t>
      </w:r>
      <w:r w:rsidRPr="00433168">
        <w:rPr>
          <w:rFonts w:ascii="Traditional Arabic" w:hAnsi="Traditional Arabic" w:hint="cs"/>
          <w:rtl/>
        </w:rPr>
        <w:t xml:space="preserve">  </w:t>
      </w:r>
      <w:r w:rsidRPr="00433168">
        <w:rPr>
          <w:rFonts w:ascii="Traditional Arabic" w:hAnsi="Traditional Arabic"/>
          <w:rtl/>
        </w:rPr>
        <w:t>قال ابن عباس: لمَّا قال هذا، ولم يقل: «بوالديّ» علموا أنه وُلد من غير بَشَر</w:t>
      </w:r>
      <w:r w:rsidRPr="00433168">
        <w:rPr>
          <w:vertAlign w:val="superscript"/>
          <w:rtl/>
        </w:rPr>
        <w:t>(</w:t>
      </w:r>
      <w:r w:rsidRPr="00433168">
        <w:rPr>
          <w:vertAlign w:val="superscript"/>
          <w:rtl/>
        </w:rPr>
        <w:footnoteReference w:id="2364"/>
      </w:r>
      <w:r w:rsidRPr="00433168">
        <w:rPr>
          <w:vertAlign w:val="superscript"/>
          <w:rtl/>
        </w:rPr>
        <w:t>)</w:t>
      </w:r>
      <w:r w:rsidRPr="00433168">
        <w:rPr>
          <w:rFonts w:ascii="Traditional Arabic" w:hAnsi="Traditional Arabic"/>
          <w:rtl/>
        </w:rPr>
        <w:t xml:space="preserve">. قوله تعالى: </w:t>
      </w:r>
      <w:r w:rsidRPr="00433168">
        <w:rPr>
          <w:rFonts w:ascii="QCF_BSML" w:hAnsi="QCF_BSML" w:cs="QCF_BSML"/>
          <w:color w:val="auto"/>
          <w:sz w:val="32"/>
          <w:szCs w:val="32"/>
          <w:rtl/>
          <w:lang w:eastAsia="en-US"/>
        </w:rPr>
        <w:t>ﭽ</w:t>
      </w:r>
      <w:r w:rsidRPr="00433168">
        <w:rPr>
          <w:rFonts w:ascii="QCF_P307" w:hAnsi="QCF_P307" w:cs="QCF_P307"/>
          <w:color w:val="auto"/>
          <w:sz w:val="32"/>
          <w:szCs w:val="32"/>
          <w:rtl/>
          <w:lang w:eastAsia="en-US"/>
        </w:rPr>
        <w:t xml:space="preserve"> ﮠ  ﮡ   ﮢ </w:t>
      </w:r>
      <w:r w:rsidRPr="00433168">
        <w:rPr>
          <w:rFonts w:ascii="QCF_BSML" w:hAnsi="QCF_BSML" w:cs="QCF_BSML"/>
          <w:color w:val="auto"/>
          <w:sz w:val="32"/>
          <w:szCs w:val="32"/>
          <w:rtl/>
          <w:lang w:eastAsia="en-US"/>
        </w:rPr>
        <w:t>ﭼ</w:t>
      </w:r>
      <w:r w:rsidRPr="00433168">
        <w:rPr>
          <w:rFonts w:ascii="QCF_P307" w:hAnsi="QCF_P307" w:cs="QCF_P307" w:hint="cs"/>
          <w:color w:val="auto"/>
          <w:sz w:val="32"/>
          <w:szCs w:val="32"/>
          <w:rtl/>
          <w:lang w:eastAsia="en-US"/>
        </w:rPr>
        <w:t xml:space="preserve"> </w:t>
      </w:r>
      <w:r w:rsidRPr="00433168">
        <w:rPr>
          <w:rFonts w:ascii="QCF_P307" w:hAnsi="QCF_P307" w:cs="QCF_P307"/>
          <w:color w:val="auto"/>
          <w:sz w:val="32"/>
          <w:szCs w:val="32"/>
          <w:rtl/>
          <w:lang w:eastAsia="en-US"/>
        </w:rPr>
        <w:t xml:space="preserve"> </w:t>
      </w:r>
      <w:r w:rsidRPr="00433168">
        <w:rPr>
          <w:rFonts w:ascii="Traditional Arabic" w:hAnsi="Traditional Arabic"/>
          <w:rtl/>
        </w:rPr>
        <w:t xml:space="preserve">أي: </w:t>
      </w:r>
      <w:r w:rsidRPr="00433168">
        <w:rPr>
          <w:rFonts w:ascii="Traditional Arabic" w:hAnsi="Traditional Arabic" w:hint="cs"/>
          <w:rtl/>
        </w:rPr>
        <w:t>[</w:t>
      </w:r>
      <w:r w:rsidRPr="00433168">
        <w:rPr>
          <w:rFonts w:ascii="Traditional Arabic" w:hAnsi="Traditional Arabic"/>
          <w:rtl/>
        </w:rPr>
        <w:t>متعظِّماً</w:t>
      </w:r>
      <w:r w:rsidRPr="00433168">
        <w:rPr>
          <w:rFonts w:ascii="Traditional Arabic" w:hAnsi="Traditional Arabic" w:hint="cs"/>
          <w:rtl/>
        </w:rPr>
        <w:t>]</w:t>
      </w:r>
      <w:r w:rsidRPr="00433168">
        <w:rPr>
          <w:vertAlign w:val="superscript"/>
          <w:rtl/>
        </w:rPr>
        <w:t>(</w:t>
      </w:r>
      <w:r w:rsidRPr="00433168">
        <w:rPr>
          <w:vertAlign w:val="superscript"/>
          <w:rtl/>
        </w:rPr>
        <w:footnoteReference w:id="2365"/>
      </w:r>
      <w:r w:rsidRPr="00433168">
        <w:rPr>
          <w:vertAlign w:val="superscript"/>
          <w:rtl/>
        </w:rPr>
        <w:t>)</w:t>
      </w:r>
      <w:r w:rsidRPr="00433168">
        <w:rPr>
          <w:rFonts w:ascii="QCF_BSML" w:hAnsi="QCF_BSML" w:cs="QCF_BSML"/>
          <w:color w:val="auto"/>
          <w:sz w:val="32"/>
          <w:szCs w:val="32"/>
          <w:rtl/>
          <w:lang w:eastAsia="en-US"/>
        </w:rPr>
        <w:t>ﭽ</w:t>
      </w:r>
      <w:r w:rsidRPr="00433168">
        <w:rPr>
          <w:rFonts w:ascii="QCF_P307" w:hAnsi="QCF_P307" w:cs="QCF_P307"/>
          <w:color w:val="auto"/>
          <w:sz w:val="32"/>
          <w:szCs w:val="32"/>
          <w:rtl/>
          <w:lang w:eastAsia="en-US"/>
        </w:rPr>
        <w:t xml:space="preserve"> ﮣ</w:t>
      </w:r>
      <w:r w:rsidRPr="00433168">
        <w:rPr>
          <w:rFonts w:ascii="QCF_BSML" w:hAnsi="QCF_BSML" w:cs="QCF_BSML"/>
          <w:color w:val="auto"/>
          <w:sz w:val="32"/>
          <w:szCs w:val="32"/>
          <w:rtl/>
          <w:lang w:eastAsia="en-US"/>
        </w:rPr>
        <w:t xml:space="preserve"> ﭼ</w:t>
      </w:r>
      <w:r w:rsidRPr="00433168">
        <w:rPr>
          <w:rFonts w:ascii="Traditional Arabic" w:hAnsi="Traditional Arabic"/>
          <w:rtl/>
        </w:rPr>
        <w:t xml:space="preserve"> عاصياً لربه</w:t>
      </w:r>
      <w:r w:rsidRPr="00433168">
        <w:rPr>
          <w:vertAlign w:val="superscript"/>
          <w:rtl/>
        </w:rPr>
        <w:t>(</w:t>
      </w:r>
      <w:r w:rsidRPr="00433168">
        <w:rPr>
          <w:vertAlign w:val="superscript"/>
          <w:rtl/>
        </w:rPr>
        <w:footnoteReference w:id="2366"/>
      </w:r>
      <w:r w:rsidRPr="00433168">
        <w:rPr>
          <w:vertAlign w:val="superscript"/>
          <w:rtl/>
        </w:rPr>
        <w:t>)</w:t>
      </w:r>
      <w:r w:rsidRPr="00433168">
        <w:rPr>
          <w:rFonts w:ascii="Traditional Arabic" w:hAnsi="Traditional Arabic"/>
          <w:rtl/>
        </w:rPr>
        <w:t xml:space="preserve"> </w:t>
      </w:r>
      <w:r w:rsidRPr="00433168">
        <w:rPr>
          <w:rFonts w:ascii="QCF_BSML" w:hAnsi="QCF_BSML" w:cs="QCF_BSML"/>
          <w:color w:val="auto"/>
          <w:sz w:val="32"/>
          <w:szCs w:val="32"/>
          <w:rtl/>
          <w:lang w:eastAsia="en-US"/>
        </w:rPr>
        <w:t>ﭽ</w:t>
      </w:r>
      <w:r w:rsidRPr="00433168">
        <w:rPr>
          <w:rFonts w:ascii="QCF_P307" w:hAnsi="QCF_P307" w:cs="QCF_P307"/>
          <w:color w:val="auto"/>
          <w:sz w:val="32"/>
          <w:szCs w:val="32"/>
          <w:rtl/>
          <w:lang w:eastAsia="en-US"/>
        </w:rPr>
        <w:t>ﮥ  ﮦ  ﮧ  ﮨ</w:t>
      </w:r>
      <w:r w:rsidRPr="00433168">
        <w:rPr>
          <w:rFonts w:ascii="QCF_BSML" w:hAnsi="QCF_BSML" w:cs="QCF_BSML"/>
          <w:color w:val="auto"/>
          <w:sz w:val="32"/>
          <w:szCs w:val="32"/>
          <w:rtl/>
          <w:lang w:eastAsia="en-US"/>
        </w:rPr>
        <w:t xml:space="preserve"> ﭼ</w:t>
      </w:r>
      <w:r w:rsidRPr="00433168">
        <w:rPr>
          <w:rFonts w:ascii="QCF_P307" w:hAnsi="QCF_P307" w:cs="QCF_P307"/>
          <w:color w:val="auto"/>
          <w:sz w:val="32"/>
          <w:szCs w:val="32"/>
          <w:rtl/>
          <w:lang w:eastAsia="en-US"/>
        </w:rPr>
        <w:t xml:space="preserve">  </w:t>
      </w:r>
      <w:r w:rsidRPr="00433168">
        <w:rPr>
          <w:rFonts w:ascii="Traditional Arabic" w:hAnsi="Traditional Arabic"/>
          <w:rtl/>
        </w:rPr>
        <w:t>قال المفسرون: السلامة عليَّ من الله يوم وُلدتُ حتى لم يضرَّني شيطان</w:t>
      </w:r>
      <w:r w:rsidRPr="00433168">
        <w:rPr>
          <w:vertAlign w:val="superscript"/>
          <w:rtl/>
        </w:rPr>
        <w:t>(</w:t>
      </w:r>
      <w:r w:rsidRPr="00433168">
        <w:rPr>
          <w:vertAlign w:val="superscript"/>
          <w:rtl/>
        </w:rPr>
        <w:footnoteReference w:id="2367"/>
      </w:r>
      <w:r w:rsidRPr="00433168">
        <w:rPr>
          <w:vertAlign w:val="superscript"/>
          <w:rtl/>
        </w:rPr>
        <w:t>)</w:t>
      </w:r>
      <w:r w:rsidRPr="00433168">
        <w:rPr>
          <w:rFonts w:ascii="Traditional Arabic" w:hAnsi="Traditional Arabic"/>
          <w:rtl/>
        </w:rPr>
        <w:t>. وقد سبق تفسير الآية</w:t>
      </w:r>
      <w:r w:rsidRPr="00433168">
        <w:rPr>
          <w:vertAlign w:val="superscript"/>
          <w:rtl/>
        </w:rPr>
        <w:t>(</w:t>
      </w:r>
      <w:r w:rsidRPr="00433168">
        <w:rPr>
          <w:vertAlign w:val="superscript"/>
          <w:rtl/>
        </w:rPr>
        <w:footnoteReference w:id="2368"/>
      </w:r>
      <w:r w:rsidRPr="00433168">
        <w:rPr>
          <w:vertAlign w:val="superscript"/>
          <w:rtl/>
        </w:rPr>
        <w:t>)</w:t>
      </w:r>
      <w:r w:rsidRPr="00433168">
        <w:rPr>
          <w:rFonts w:ascii="Traditional Arabic" w:hAnsi="Traditional Arabic"/>
          <w:rtl/>
        </w:rPr>
        <w:t>. فإن قيل: لم ذكر ها هنا «السلام» بألف ولام، وذكره في قصة يحيى بلا ألف ولام؟ فعنه جوابان:</w:t>
      </w:r>
      <w:r w:rsidRPr="00433168">
        <w:rPr>
          <w:rFonts w:ascii="Traditional Arabic" w:hAnsi="Traditional Arabic" w:hint="cs"/>
          <w:rtl/>
        </w:rPr>
        <w:t xml:space="preserve"> </w:t>
      </w:r>
      <w:r w:rsidRPr="00433168">
        <w:rPr>
          <w:rFonts w:ascii="Traditional Arabic" w:hAnsi="Traditional Arabic"/>
          <w:rtl/>
        </w:rPr>
        <w:t>أحدهما: أنه لمّا جرى ذِكر السلام قبل هذا الموضع بغير ألف ولام، كان الأحسن أن يَرِد ثانية بألف ولام، هذا قول الزجاج</w:t>
      </w:r>
      <w:r w:rsidRPr="00433168">
        <w:rPr>
          <w:vertAlign w:val="superscript"/>
          <w:rtl/>
        </w:rPr>
        <w:t>(</w:t>
      </w:r>
      <w:r w:rsidRPr="00433168">
        <w:rPr>
          <w:vertAlign w:val="superscript"/>
          <w:rtl/>
        </w:rPr>
        <w:footnoteReference w:id="2369"/>
      </w:r>
      <w:r w:rsidRPr="00433168">
        <w:rPr>
          <w:vertAlign w:val="superscript"/>
          <w:rtl/>
        </w:rPr>
        <w:t>)</w:t>
      </w:r>
      <w:r w:rsidRPr="00433168">
        <w:rPr>
          <w:rFonts w:ascii="Traditional Arabic" w:hAnsi="Traditional Arabic"/>
          <w:rtl/>
        </w:rPr>
        <w:t xml:space="preserve">. وقد اعتُرِض على هذا القول، فقيل: كيف يجوز أن يعطف هذا وهو قول عيسى، على الأوّل وهو قول الله عزّ وجلّ؟! وقد أجاب عنه ابن الأنباري فقال: عيسى إِنما يتعلَّم من ربِّه، فيجوز أن يكون سمع قول الله في يحيى، فبنى عليه وألصقه بنفسه، ويجوز أن يكون الله عزّ وجلّ عرَّف السلام الثاني </w:t>
      </w:r>
      <w:r w:rsidRPr="00433168">
        <w:rPr>
          <w:rFonts w:ascii="Traditional Arabic" w:hAnsi="Traditional Arabic"/>
          <w:rtl/>
        </w:rPr>
        <w:lastRenderedPageBreak/>
        <w:t>لأنه أتى بعد سلام قد ذكره، وأجراه عليه غير قاصدٍ به إِتباع اللفظ المحكيّ، لأن المتكلِّم، له أن يغيِّر بعض الكلام الذي يحكيه، فيقول: قال عبد الله: أنا رَجُل منصف، يريد: قال لي عبد الله: أنتَ رَجُل منصِف</w:t>
      </w:r>
      <w:r w:rsidRPr="00433168">
        <w:rPr>
          <w:vertAlign w:val="superscript"/>
          <w:rtl/>
        </w:rPr>
        <w:t>(</w:t>
      </w:r>
      <w:r w:rsidRPr="00433168">
        <w:rPr>
          <w:vertAlign w:val="superscript"/>
          <w:rtl/>
        </w:rPr>
        <w:footnoteReference w:id="2370"/>
      </w:r>
      <w:r w:rsidRPr="00433168">
        <w:rPr>
          <w:vertAlign w:val="superscript"/>
          <w:rtl/>
        </w:rPr>
        <w:t>)</w:t>
      </w:r>
      <w:r w:rsidRPr="00433168">
        <w:rPr>
          <w:rFonts w:ascii="Traditional Arabic" w:hAnsi="Traditional Arabic"/>
          <w:rtl/>
        </w:rPr>
        <w:t>. والجواب الثاني: أن سلاماً والسلام لغتان بمعنى واحد، ذكره ابن الأنباري</w:t>
      </w:r>
      <w:r w:rsidRPr="00433168">
        <w:rPr>
          <w:vertAlign w:val="superscript"/>
          <w:rtl/>
        </w:rPr>
        <w:t>(</w:t>
      </w:r>
      <w:r w:rsidRPr="00433168">
        <w:rPr>
          <w:vertAlign w:val="superscript"/>
          <w:rtl/>
        </w:rPr>
        <w:footnoteReference w:id="2371"/>
      </w:r>
      <w:r w:rsidRPr="00433168">
        <w:rPr>
          <w:vertAlign w:val="superscript"/>
          <w:rtl/>
        </w:rPr>
        <w:t>)</w:t>
      </w:r>
      <w:r w:rsidRPr="00433168">
        <w:rPr>
          <w:rFonts w:ascii="Traditional Arabic" w:hAnsi="Traditional Arabic"/>
          <w:rtl/>
        </w:rPr>
        <w:t>.</w:t>
      </w:r>
    </w:p>
    <w:p w:rsidR="00433168" w:rsidRPr="00433168" w:rsidRDefault="00433168" w:rsidP="00433168">
      <w:pPr>
        <w:ind w:firstLine="0"/>
        <w:rPr>
          <w:rFonts w:ascii="Traditional Arabic" w:hAnsi="Traditional Arabic"/>
          <w:rtl/>
        </w:rPr>
      </w:pPr>
    </w:p>
    <w:p w:rsidR="00433168" w:rsidRPr="00433168" w:rsidRDefault="00433168" w:rsidP="00433168">
      <w:pPr>
        <w:ind w:firstLine="0"/>
        <w:rPr>
          <w:rFonts w:ascii="Traditional Arabic" w:hAnsi="Traditional Arabic"/>
          <w:rtl/>
        </w:rPr>
      </w:pPr>
      <w:r w:rsidRPr="00433168">
        <w:rPr>
          <w:rFonts w:ascii="QCF_BSML" w:hAnsi="QCF_BSML" w:cs="QCF_BSML"/>
          <w:color w:val="auto"/>
          <w:sz w:val="32"/>
          <w:szCs w:val="32"/>
          <w:rtl/>
          <w:lang w:eastAsia="en-US"/>
        </w:rPr>
        <w:t xml:space="preserve">ﭽ </w:t>
      </w:r>
      <w:r w:rsidRPr="00433168">
        <w:rPr>
          <w:rFonts w:ascii="QCF_P307" w:hAnsi="QCF_P307" w:cs="QCF_P307"/>
          <w:color w:val="auto"/>
          <w:sz w:val="32"/>
          <w:szCs w:val="32"/>
          <w:rtl/>
          <w:lang w:eastAsia="en-US"/>
        </w:rPr>
        <w:t xml:space="preserve">ﮯ  ﮰ  ﮱ  ﯓﯔ  ﯕ  ﯖ      ﯗ  ﯘ  ﯙ    ﯚ  ﯛ  ﯜ            ﯝ  ﯞ  ﯟ  ﯠ  ﯡﯢ  ﯣﯤ   ﯥ      ﯦ  ﯧ  ﯨ  ﯩ  ﯪ    ﯫ        ﯬ  ﯭ  ﯮ  ﯯ  ﯰ  ﯱ   ﯲﯳ  ﯴ  ﯵ  ﯶ  ﯷ  </w:t>
      </w:r>
      <w:r w:rsidRPr="00433168">
        <w:rPr>
          <w:rFonts w:ascii="QCF_BSML" w:hAnsi="QCF_BSML" w:cs="QCF_BSML"/>
          <w:color w:val="auto"/>
          <w:sz w:val="32"/>
          <w:szCs w:val="32"/>
          <w:rtl/>
          <w:lang w:eastAsia="en-US"/>
        </w:rPr>
        <w:t>ﭼ</w:t>
      </w:r>
      <w:r w:rsidRPr="00433168">
        <w:rPr>
          <w:rFonts w:ascii="Arial" w:hAnsi="Arial" w:cs="Arial"/>
          <w:color w:val="auto"/>
          <w:sz w:val="32"/>
          <w:szCs w:val="32"/>
          <w:rtl/>
          <w:lang w:eastAsia="en-US"/>
        </w:rPr>
        <w:t xml:space="preserve"> </w:t>
      </w:r>
    </w:p>
    <w:p w:rsidR="00FE44F6" w:rsidRDefault="00433168" w:rsidP="00FE44F6">
      <w:pPr>
        <w:ind w:firstLine="0"/>
        <w:rPr>
          <w:rFonts w:ascii="Traditional Arabic" w:hAnsi="Traditional Arabic"/>
          <w:rtl/>
        </w:rPr>
      </w:pPr>
      <w:r w:rsidRPr="00433168">
        <w:rPr>
          <w:rFonts w:ascii="Traditional Arabic" w:hAnsi="Traditional Arabic"/>
          <w:rtl/>
        </w:rPr>
        <w:t xml:space="preserve">قوله تعالى: </w:t>
      </w:r>
      <w:r w:rsidRPr="00433168">
        <w:rPr>
          <w:rFonts w:ascii="QCF_BSML" w:hAnsi="QCF_BSML" w:cs="QCF_BSML"/>
          <w:color w:val="auto"/>
          <w:sz w:val="32"/>
          <w:szCs w:val="32"/>
          <w:rtl/>
          <w:lang w:eastAsia="en-US"/>
        </w:rPr>
        <w:t xml:space="preserve">ﭽ </w:t>
      </w:r>
      <w:r w:rsidRPr="00433168">
        <w:rPr>
          <w:rFonts w:ascii="QCF_P307" w:hAnsi="QCF_P307" w:cs="QCF_P307"/>
          <w:color w:val="auto"/>
          <w:sz w:val="32"/>
          <w:szCs w:val="32"/>
          <w:rtl/>
          <w:lang w:eastAsia="en-US"/>
        </w:rPr>
        <w:t>ﮯ  ﮰ  ﮱ  ﯓﯔ</w:t>
      </w:r>
      <w:r w:rsidRPr="00433168">
        <w:rPr>
          <w:rFonts w:ascii="QCF_BSML" w:hAnsi="QCF_BSML" w:cs="QCF_BSML"/>
          <w:color w:val="auto"/>
          <w:sz w:val="32"/>
          <w:szCs w:val="32"/>
          <w:rtl/>
          <w:lang w:eastAsia="en-US"/>
        </w:rPr>
        <w:t xml:space="preserve"> ﭼ</w:t>
      </w:r>
      <w:r w:rsidRPr="00433168">
        <w:rPr>
          <w:rFonts w:ascii="QCF_P307" w:hAnsi="QCF_P307" w:cs="QCF_P307"/>
          <w:color w:val="auto"/>
          <w:sz w:val="32"/>
          <w:szCs w:val="32"/>
          <w:rtl/>
          <w:lang w:eastAsia="en-US"/>
        </w:rPr>
        <w:t xml:space="preserve">  </w:t>
      </w:r>
      <w:r w:rsidRPr="00433168">
        <w:rPr>
          <w:rFonts w:ascii="Traditional Arabic" w:hAnsi="Traditional Arabic" w:hint="cs"/>
          <w:rtl/>
        </w:rPr>
        <w:t xml:space="preserve"> </w:t>
      </w:r>
      <w:r w:rsidRPr="00433168">
        <w:rPr>
          <w:rFonts w:ascii="Traditional Arabic" w:hAnsi="Traditional Arabic"/>
          <w:rtl/>
        </w:rPr>
        <w:t>قال الزجاج: أي، ذلك الذي قال: إِني عبد الله، هو ابن مريم، لا ما تقول النصارى: إِنه ابن الله، وإِنه إِله</w:t>
      </w:r>
      <w:r w:rsidRPr="00433168">
        <w:rPr>
          <w:vertAlign w:val="superscript"/>
          <w:rtl/>
        </w:rPr>
        <w:t>(</w:t>
      </w:r>
      <w:r w:rsidRPr="00433168">
        <w:rPr>
          <w:vertAlign w:val="superscript"/>
          <w:rtl/>
        </w:rPr>
        <w:footnoteReference w:id="2372"/>
      </w:r>
      <w:r w:rsidRPr="00433168">
        <w:rPr>
          <w:vertAlign w:val="superscript"/>
          <w:rtl/>
        </w:rPr>
        <w:t>)</w:t>
      </w:r>
      <w:r w:rsidRPr="00433168">
        <w:rPr>
          <w:rFonts w:ascii="Traditional Arabic" w:hAnsi="Traditional Arabic"/>
          <w:rtl/>
        </w:rPr>
        <w:t xml:space="preserve">. قوله تعالى: </w:t>
      </w:r>
      <w:r w:rsidRPr="00433168">
        <w:rPr>
          <w:rFonts w:ascii="QCF_BSML" w:hAnsi="QCF_BSML" w:cs="QCF_BSML"/>
          <w:color w:val="auto"/>
          <w:sz w:val="32"/>
          <w:szCs w:val="32"/>
          <w:rtl/>
          <w:lang w:eastAsia="en-US"/>
        </w:rPr>
        <w:t>ﭽ</w:t>
      </w:r>
      <w:r w:rsidRPr="00433168">
        <w:rPr>
          <w:rFonts w:ascii="QCF_P307" w:hAnsi="QCF_P307" w:cs="QCF_P307"/>
          <w:color w:val="auto"/>
          <w:sz w:val="32"/>
          <w:szCs w:val="32"/>
          <w:rtl/>
          <w:lang w:eastAsia="en-US"/>
        </w:rPr>
        <w:t xml:space="preserve"> ﯕ  ﯖ  </w:t>
      </w:r>
      <w:r w:rsidRPr="00433168">
        <w:rPr>
          <w:rFonts w:ascii="QCF_BSML" w:hAnsi="QCF_BSML" w:cs="QCF_BSML"/>
          <w:color w:val="auto"/>
          <w:sz w:val="32"/>
          <w:szCs w:val="32"/>
          <w:rtl/>
          <w:lang w:eastAsia="en-US"/>
        </w:rPr>
        <w:t>ﭼ</w:t>
      </w:r>
      <w:r w:rsidRPr="00433168">
        <w:rPr>
          <w:rFonts w:ascii="QCF_P307" w:hAnsi="QCF_P307" w:cs="QCF_P307"/>
          <w:color w:val="auto"/>
          <w:sz w:val="32"/>
          <w:szCs w:val="32"/>
          <w:rtl/>
          <w:lang w:eastAsia="en-US"/>
        </w:rPr>
        <w:t xml:space="preserve">    </w:t>
      </w:r>
      <w:r w:rsidRPr="00433168">
        <w:rPr>
          <w:rFonts w:ascii="Traditional Arabic" w:hAnsi="Traditional Arabic"/>
          <w:rtl/>
        </w:rPr>
        <w:t>قرأ ابن كثير، وأبو عمرو، ونافع، وحمزة، والكسائي: «قولُ الحق» برفع اللام. وقرأ عاصم، وابن عامر، ويعقوب بنصب اللام</w:t>
      </w:r>
      <w:r w:rsidRPr="00433168">
        <w:rPr>
          <w:vertAlign w:val="superscript"/>
          <w:rtl/>
        </w:rPr>
        <w:t>(</w:t>
      </w:r>
      <w:r w:rsidRPr="00433168">
        <w:rPr>
          <w:vertAlign w:val="superscript"/>
          <w:rtl/>
        </w:rPr>
        <w:footnoteReference w:id="2373"/>
      </w:r>
      <w:r w:rsidRPr="00433168">
        <w:rPr>
          <w:vertAlign w:val="superscript"/>
          <w:rtl/>
        </w:rPr>
        <w:t>)</w:t>
      </w:r>
      <w:r w:rsidRPr="00433168">
        <w:rPr>
          <w:rFonts w:ascii="Traditional Arabic" w:hAnsi="Traditional Arabic"/>
          <w:rtl/>
        </w:rPr>
        <w:t>. قال الزجاج: من رفع «قولُ الحق» فالمعنى: هو قولُ الحق، يعني هذا الكلام ومن نصب، فالمعنى: أقول قول الحقّ</w:t>
      </w:r>
      <w:r w:rsidRPr="00433168">
        <w:rPr>
          <w:vertAlign w:val="superscript"/>
          <w:rtl/>
        </w:rPr>
        <w:t>(</w:t>
      </w:r>
      <w:r w:rsidRPr="00433168">
        <w:rPr>
          <w:vertAlign w:val="superscript"/>
          <w:rtl/>
        </w:rPr>
        <w:footnoteReference w:id="2374"/>
      </w:r>
      <w:r w:rsidRPr="00433168">
        <w:rPr>
          <w:vertAlign w:val="superscript"/>
          <w:rtl/>
        </w:rPr>
        <w:t>)</w:t>
      </w:r>
      <w:r w:rsidRPr="00433168">
        <w:rPr>
          <w:rFonts w:ascii="Traditional Arabic" w:hAnsi="Traditional Arabic"/>
          <w:rtl/>
        </w:rPr>
        <w:t>. وذكر ابن الأنباري في الآية وجهين: أحدهما: أنه لما وُصف بالكلمة جاز أن يُنعت بالقول. والثاني: أن في الكلام إِضماراً، تقديره: ذلك نبأُ عيسى، ذلك النبأ قول الحق</w:t>
      </w:r>
      <w:r w:rsidRPr="00433168">
        <w:rPr>
          <w:vertAlign w:val="superscript"/>
          <w:rtl/>
        </w:rPr>
        <w:t>(</w:t>
      </w:r>
      <w:r w:rsidRPr="00433168">
        <w:rPr>
          <w:vertAlign w:val="superscript"/>
          <w:rtl/>
        </w:rPr>
        <w:footnoteReference w:id="2375"/>
      </w:r>
      <w:r w:rsidRPr="00433168">
        <w:rPr>
          <w:vertAlign w:val="superscript"/>
          <w:rtl/>
        </w:rPr>
        <w:t>)</w:t>
      </w:r>
      <w:r w:rsidRPr="00433168">
        <w:rPr>
          <w:rFonts w:ascii="Traditional Arabic" w:hAnsi="Traditional Arabic"/>
          <w:rtl/>
        </w:rPr>
        <w:t xml:space="preserve">. قوله تعالى: </w:t>
      </w:r>
      <w:r w:rsidRPr="00433168">
        <w:rPr>
          <w:rFonts w:ascii="QCF_BSML" w:hAnsi="QCF_BSML" w:cs="QCF_BSML"/>
          <w:color w:val="auto"/>
          <w:sz w:val="32"/>
          <w:szCs w:val="32"/>
          <w:rtl/>
          <w:lang w:eastAsia="en-US"/>
        </w:rPr>
        <w:t>ﭽ</w:t>
      </w:r>
      <w:r w:rsidRPr="00433168">
        <w:rPr>
          <w:rFonts w:ascii="QCF_P307" w:hAnsi="QCF_P307" w:cs="QCF_P307"/>
          <w:color w:val="auto"/>
          <w:sz w:val="32"/>
          <w:szCs w:val="32"/>
          <w:rtl/>
          <w:lang w:eastAsia="en-US"/>
        </w:rPr>
        <w:t xml:space="preserve"> ﯗ  ﯘ  ﯙ</w:t>
      </w:r>
      <w:r w:rsidRPr="00433168">
        <w:rPr>
          <w:rFonts w:ascii="QCF_BSML" w:hAnsi="QCF_BSML" w:cs="QCF_BSML"/>
          <w:color w:val="auto"/>
          <w:sz w:val="32"/>
          <w:szCs w:val="32"/>
          <w:rtl/>
          <w:lang w:eastAsia="en-US"/>
        </w:rPr>
        <w:t>ﭼ</w:t>
      </w:r>
      <w:r w:rsidRPr="00433168">
        <w:rPr>
          <w:rFonts w:ascii="QCF_BSML" w:hAnsi="QCF_BSML" w:cs="QCF_BSML" w:hint="cs"/>
          <w:color w:val="auto"/>
          <w:sz w:val="32"/>
          <w:szCs w:val="32"/>
          <w:rtl/>
          <w:lang w:eastAsia="en-US"/>
        </w:rPr>
        <w:t xml:space="preserve">   </w:t>
      </w:r>
      <w:r w:rsidRPr="00433168">
        <w:rPr>
          <w:rFonts w:ascii="QCF_P307" w:hAnsi="QCF_P307" w:cs="QCF_P307"/>
          <w:color w:val="auto"/>
          <w:sz w:val="32"/>
          <w:szCs w:val="32"/>
          <w:rtl/>
          <w:lang w:eastAsia="en-US"/>
        </w:rPr>
        <w:t xml:space="preserve"> </w:t>
      </w:r>
      <w:r w:rsidRPr="00433168">
        <w:rPr>
          <w:rFonts w:ascii="Traditional Arabic" w:hAnsi="Traditional Arabic"/>
          <w:rtl/>
        </w:rPr>
        <w:t>أي: يشكُّون. قال قتادة: امترت اليهود فيه والنصارى، فزعم اليهود أنه ساحر، وزعم النصارى أنه ابن الله وثالث ثلاثة</w:t>
      </w:r>
      <w:r w:rsidRPr="00433168">
        <w:rPr>
          <w:vertAlign w:val="superscript"/>
          <w:rtl/>
        </w:rPr>
        <w:t>(</w:t>
      </w:r>
      <w:r w:rsidRPr="00433168">
        <w:rPr>
          <w:vertAlign w:val="superscript"/>
          <w:rtl/>
        </w:rPr>
        <w:footnoteReference w:id="2376"/>
      </w:r>
      <w:r w:rsidRPr="00433168">
        <w:rPr>
          <w:vertAlign w:val="superscript"/>
          <w:rtl/>
        </w:rPr>
        <w:t>)</w:t>
      </w:r>
      <w:r w:rsidRPr="00433168">
        <w:rPr>
          <w:rFonts w:ascii="Traditional Arabic" w:hAnsi="Traditional Arabic"/>
          <w:rtl/>
        </w:rPr>
        <w:t xml:space="preserve">. </w:t>
      </w:r>
    </w:p>
    <w:p w:rsidR="00433168" w:rsidRPr="00433168" w:rsidRDefault="00433168" w:rsidP="00FE44F6">
      <w:pPr>
        <w:ind w:firstLine="0"/>
        <w:rPr>
          <w:rFonts w:ascii="Traditional Arabic" w:hAnsi="Traditional Arabic"/>
          <w:rtl/>
        </w:rPr>
      </w:pPr>
      <w:r w:rsidRPr="00433168">
        <w:rPr>
          <w:rFonts w:ascii="Traditional Arabic" w:hAnsi="Traditional Arabic"/>
          <w:rtl/>
        </w:rPr>
        <w:lastRenderedPageBreak/>
        <w:t>قرأ أبو مجلز</w:t>
      </w:r>
      <w:r w:rsidRPr="00433168">
        <w:rPr>
          <w:vertAlign w:val="superscript"/>
          <w:rtl/>
        </w:rPr>
        <w:t>(</w:t>
      </w:r>
      <w:r w:rsidRPr="00433168">
        <w:rPr>
          <w:vertAlign w:val="superscript"/>
          <w:rtl/>
        </w:rPr>
        <w:footnoteReference w:id="2377"/>
      </w:r>
      <w:r w:rsidRPr="00433168">
        <w:rPr>
          <w:vertAlign w:val="superscript"/>
          <w:rtl/>
        </w:rPr>
        <w:t>)</w:t>
      </w:r>
      <w:r w:rsidRPr="00433168">
        <w:rPr>
          <w:rFonts w:ascii="Traditional Arabic" w:hAnsi="Traditional Arabic"/>
          <w:rtl/>
        </w:rPr>
        <w:t>، ومعاذ القارئ، وابن يعمر، وأبو رجاء:</w:t>
      </w:r>
      <w:r w:rsidRPr="00433168">
        <w:rPr>
          <w:rFonts w:ascii="Traditional Arabic" w:hAnsi="Traditional Arabic" w:hint="cs"/>
          <w:rtl/>
        </w:rPr>
        <w:t xml:space="preserve"> </w:t>
      </w:r>
      <w:r w:rsidRPr="00433168">
        <w:rPr>
          <w:rFonts w:ascii="Traditional Arabic" w:hAnsi="Traditional Arabic"/>
          <w:rtl/>
        </w:rPr>
        <w:t>«تمترون» بالتاء</w:t>
      </w:r>
      <w:r w:rsidRPr="00433168">
        <w:rPr>
          <w:vertAlign w:val="superscript"/>
          <w:rtl/>
        </w:rPr>
        <w:t>(</w:t>
      </w:r>
      <w:r w:rsidRPr="00433168">
        <w:rPr>
          <w:vertAlign w:val="superscript"/>
          <w:rtl/>
        </w:rPr>
        <w:footnoteReference w:id="2378"/>
      </w:r>
      <w:r w:rsidRPr="00433168">
        <w:rPr>
          <w:vertAlign w:val="superscript"/>
          <w:rtl/>
        </w:rPr>
        <w:t>)</w:t>
      </w:r>
      <w:r w:rsidRPr="00433168">
        <w:rPr>
          <w:rFonts w:ascii="Traditional Arabic" w:hAnsi="Traditional Arabic"/>
          <w:rtl/>
        </w:rPr>
        <w:t>.</w:t>
      </w:r>
      <w:r w:rsidRPr="00433168">
        <w:rPr>
          <w:rFonts w:ascii="Traditional Arabic" w:hAnsi="Traditional Arabic" w:hint="cs"/>
          <w:rtl/>
        </w:rPr>
        <w:t xml:space="preserve"> </w:t>
      </w:r>
      <w:r w:rsidRPr="00433168">
        <w:rPr>
          <w:rFonts w:ascii="Traditional Arabic" w:hAnsi="Traditional Arabic"/>
          <w:rtl/>
        </w:rPr>
        <w:t xml:space="preserve">قوله تعالى: </w:t>
      </w:r>
      <w:r w:rsidRPr="00433168">
        <w:rPr>
          <w:rFonts w:ascii="QCF_BSML" w:hAnsi="QCF_BSML" w:cs="QCF_BSML"/>
          <w:color w:val="auto"/>
          <w:sz w:val="32"/>
          <w:szCs w:val="32"/>
          <w:rtl/>
          <w:lang w:eastAsia="en-US"/>
        </w:rPr>
        <w:t>ﭽ</w:t>
      </w:r>
      <w:r w:rsidRPr="00433168">
        <w:rPr>
          <w:rFonts w:ascii="QCF_P307" w:hAnsi="QCF_P307" w:cs="QCF_P307"/>
          <w:color w:val="auto"/>
          <w:sz w:val="32"/>
          <w:szCs w:val="32"/>
          <w:rtl/>
          <w:lang w:eastAsia="en-US"/>
        </w:rPr>
        <w:t xml:space="preserve"> ﯛ  ﯜ</w:t>
      </w:r>
      <w:r w:rsidRPr="00433168">
        <w:rPr>
          <w:rFonts w:ascii="QCF_P307" w:hAnsi="QCF_P307" w:cs="QCF_P307" w:hint="cs"/>
          <w:color w:val="auto"/>
          <w:sz w:val="32"/>
          <w:szCs w:val="32"/>
          <w:rtl/>
          <w:lang w:eastAsia="en-US"/>
        </w:rPr>
        <w:t xml:space="preserve"> </w:t>
      </w:r>
      <w:r w:rsidRPr="00433168">
        <w:rPr>
          <w:rFonts w:ascii="QCF_P307" w:hAnsi="QCF_P307" w:cs="QCF_P307"/>
          <w:color w:val="auto"/>
          <w:sz w:val="32"/>
          <w:szCs w:val="32"/>
          <w:rtl/>
          <w:lang w:eastAsia="en-US"/>
        </w:rPr>
        <w:t xml:space="preserve"> ﯝ  ﯞ  ﯟ  ﯠ  ﯡﯢ</w:t>
      </w:r>
      <w:r w:rsidRPr="00433168">
        <w:rPr>
          <w:rFonts w:ascii="QCF_BSML" w:hAnsi="QCF_BSML" w:cs="QCF_BSML"/>
          <w:color w:val="auto"/>
          <w:sz w:val="32"/>
          <w:szCs w:val="32"/>
          <w:rtl/>
          <w:lang w:eastAsia="en-US"/>
        </w:rPr>
        <w:t>ﭼ</w:t>
      </w:r>
      <w:r w:rsidRPr="00433168">
        <w:rPr>
          <w:rFonts w:ascii="Traditional Arabic" w:hAnsi="Traditional Arabic"/>
          <w:rtl/>
        </w:rPr>
        <w:t xml:space="preserve"> </w:t>
      </w:r>
      <w:r w:rsidRPr="00433168">
        <w:rPr>
          <w:rFonts w:ascii="Traditional Arabic" w:hAnsi="Traditional Arabic"/>
          <w:sz w:val="32"/>
          <w:szCs w:val="32"/>
          <w:rtl/>
        </w:rPr>
        <w:t>[</w:t>
      </w:r>
      <w:r w:rsidRPr="00433168">
        <w:rPr>
          <w:rFonts w:ascii="Traditional Arabic" w:hAnsi="Traditional Arabic" w:hint="cs"/>
          <w:sz w:val="32"/>
          <w:szCs w:val="32"/>
          <w:rtl/>
        </w:rPr>
        <w:t>172</w:t>
      </w:r>
      <w:r w:rsidRPr="00433168">
        <w:rPr>
          <w:rFonts w:ascii="Traditional Arabic" w:hAnsi="Traditional Arabic"/>
          <w:sz w:val="32"/>
          <w:szCs w:val="32"/>
          <w:rtl/>
        </w:rPr>
        <w:t>]</w:t>
      </w:r>
      <w:r w:rsidRPr="00433168">
        <w:rPr>
          <w:rFonts w:ascii="Traditional Arabic" w:hAnsi="Traditional Arabic"/>
          <w:rtl/>
        </w:rPr>
        <w:t xml:space="preserve"> قال الزجاج: المعنى: أن يتخذ ولداً</w:t>
      </w:r>
      <w:r w:rsidRPr="00433168">
        <w:rPr>
          <w:rFonts w:ascii="Traditional Arabic" w:hAnsi="Traditional Arabic" w:hint="cs"/>
          <w:rtl/>
        </w:rPr>
        <w:t>,</w:t>
      </w:r>
      <w:r w:rsidRPr="00433168">
        <w:rPr>
          <w:rFonts w:ascii="Traditional Arabic" w:hAnsi="Traditional Arabic"/>
          <w:rtl/>
        </w:rPr>
        <w:t xml:space="preserve"> و«مِنْ» مؤكِّدة تدل على نفي الواحد والجماعة، لأن للقائل أن يقول: ما اتخذت فرساً، يريد: اتخذت أكثر من ذلك، وله أن يقول: ما اتخذت فرسين ولا أكثر، يريد: اتخذت فرساً واحداً فإذا قال: ما اتخذت من فرس، فقد دلَّ على نفي الواحد والجميع</w:t>
      </w:r>
      <w:r w:rsidRPr="00433168">
        <w:rPr>
          <w:vertAlign w:val="superscript"/>
          <w:rtl/>
        </w:rPr>
        <w:t>(</w:t>
      </w:r>
      <w:r w:rsidRPr="00433168">
        <w:rPr>
          <w:vertAlign w:val="superscript"/>
          <w:rtl/>
        </w:rPr>
        <w:footnoteReference w:id="2379"/>
      </w:r>
      <w:r w:rsidRPr="00433168">
        <w:rPr>
          <w:vertAlign w:val="superscript"/>
          <w:rtl/>
        </w:rPr>
        <w:t>)</w:t>
      </w:r>
      <w:r w:rsidRPr="00433168">
        <w:rPr>
          <w:rFonts w:ascii="Traditional Arabic" w:hAnsi="Traditional Arabic"/>
          <w:rtl/>
        </w:rPr>
        <w:t>. قوله تعالى:</w:t>
      </w:r>
      <w:r w:rsidRPr="00433168">
        <w:rPr>
          <w:rFonts w:ascii="QCF_P307" w:hAnsi="QCF_P307" w:cs="QCF_P307"/>
          <w:color w:val="auto"/>
          <w:sz w:val="32"/>
          <w:szCs w:val="32"/>
          <w:rtl/>
          <w:lang w:eastAsia="en-US"/>
        </w:rPr>
        <w:t xml:space="preserve">   </w:t>
      </w:r>
      <w:r w:rsidRPr="00433168">
        <w:rPr>
          <w:rFonts w:ascii="QCF_BSML" w:hAnsi="QCF_BSML" w:cs="QCF_BSML"/>
          <w:color w:val="auto"/>
          <w:sz w:val="32"/>
          <w:szCs w:val="32"/>
          <w:rtl/>
          <w:lang w:eastAsia="en-US"/>
        </w:rPr>
        <w:t>ﭽ</w:t>
      </w:r>
      <w:r w:rsidRPr="00433168">
        <w:rPr>
          <w:rFonts w:ascii="QCF_P307" w:hAnsi="QCF_P307" w:cs="QCF_P307"/>
          <w:color w:val="auto"/>
          <w:sz w:val="32"/>
          <w:szCs w:val="32"/>
          <w:rtl/>
          <w:lang w:eastAsia="en-US"/>
        </w:rPr>
        <w:t>ﯫ</w:t>
      </w:r>
      <w:r w:rsidRPr="00433168">
        <w:rPr>
          <w:rFonts w:ascii="QCF_P307" w:hAnsi="QCF_P307" w:cs="QCF_P307" w:hint="cs"/>
          <w:color w:val="auto"/>
          <w:sz w:val="32"/>
          <w:szCs w:val="32"/>
          <w:rtl/>
          <w:lang w:eastAsia="en-US"/>
        </w:rPr>
        <w:t xml:space="preserve"> </w:t>
      </w:r>
      <w:r w:rsidRPr="00433168">
        <w:rPr>
          <w:rFonts w:ascii="QCF_P307" w:hAnsi="QCF_P307" w:cs="QCF_P307"/>
          <w:color w:val="auto"/>
          <w:sz w:val="32"/>
          <w:szCs w:val="32"/>
          <w:rtl/>
          <w:lang w:eastAsia="en-US"/>
        </w:rPr>
        <w:t xml:space="preserve"> ﯬ </w:t>
      </w:r>
      <w:r w:rsidRPr="00433168">
        <w:rPr>
          <w:rFonts w:ascii="QCF_BSML" w:hAnsi="QCF_BSML" w:cs="QCF_BSML"/>
          <w:color w:val="auto"/>
          <w:sz w:val="32"/>
          <w:szCs w:val="32"/>
          <w:rtl/>
          <w:lang w:eastAsia="en-US"/>
        </w:rPr>
        <w:t>ﭼ</w:t>
      </w:r>
      <w:r w:rsidRPr="00433168">
        <w:rPr>
          <w:rFonts w:ascii="QCF_P307" w:hAnsi="QCF_P307" w:cs="QCF_P307"/>
          <w:color w:val="auto"/>
          <w:sz w:val="32"/>
          <w:szCs w:val="32"/>
          <w:rtl/>
          <w:lang w:eastAsia="en-US"/>
        </w:rPr>
        <w:t xml:space="preserve"> </w:t>
      </w:r>
      <w:r w:rsidRPr="00433168">
        <w:rPr>
          <w:rFonts w:ascii="Traditional Arabic" w:hAnsi="Traditional Arabic" w:hint="cs"/>
          <w:rtl/>
        </w:rPr>
        <w:t xml:space="preserve"> </w:t>
      </w:r>
      <w:r w:rsidRPr="00433168">
        <w:rPr>
          <w:rFonts w:ascii="Traditional Arabic" w:hAnsi="Traditional Arabic"/>
          <w:rtl/>
        </w:rPr>
        <w:t>وقرأ أبو عمران الجوني، وابن أبي عبلة:</w:t>
      </w:r>
      <w:r w:rsidRPr="00433168">
        <w:rPr>
          <w:rFonts w:ascii="Traditional Arabic" w:hAnsi="Traditional Arabic" w:hint="cs"/>
          <w:rtl/>
        </w:rPr>
        <w:t xml:space="preserve"> </w:t>
      </w:r>
      <w:r w:rsidRPr="00433168">
        <w:rPr>
          <w:rFonts w:ascii="Traditional Arabic" w:hAnsi="Traditional Arabic"/>
          <w:rtl/>
        </w:rPr>
        <w:t>«فيكونَ» النّصب</w:t>
      </w:r>
      <w:r w:rsidRPr="00433168">
        <w:rPr>
          <w:vertAlign w:val="superscript"/>
          <w:rtl/>
        </w:rPr>
        <w:t>(</w:t>
      </w:r>
      <w:r w:rsidRPr="00433168">
        <w:rPr>
          <w:vertAlign w:val="superscript"/>
          <w:rtl/>
        </w:rPr>
        <w:footnoteReference w:id="2380"/>
      </w:r>
      <w:r w:rsidRPr="00433168">
        <w:rPr>
          <w:vertAlign w:val="superscript"/>
          <w:rtl/>
        </w:rPr>
        <w:t>)</w:t>
      </w:r>
      <w:r w:rsidRPr="00433168">
        <w:rPr>
          <w:rFonts w:ascii="Traditional Arabic" w:hAnsi="Traditional Arabic" w:hint="cs"/>
          <w:rtl/>
        </w:rPr>
        <w:t>.</w:t>
      </w:r>
      <w:r w:rsidRPr="00433168">
        <w:rPr>
          <w:rFonts w:ascii="Traditional Arabic" w:hAnsi="Traditional Arabic"/>
          <w:rtl/>
        </w:rPr>
        <w:t xml:space="preserve"> وقد ذكرنا وجهه في سورة البقرة</w:t>
      </w:r>
      <w:r w:rsidRPr="00433168">
        <w:rPr>
          <w:vertAlign w:val="superscript"/>
          <w:rtl/>
        </w:rPr>
        <w:t>(</w:t>
      </w:r>
      <w:r w:rsidRPr="00433168">
        <w:rPr>
          <w:vertAlign w:val="superscript"/>
          <w:rtl/>
        </w:rPr>
        <w:footnoteReference w:id="2381"/>
      </w:r>
      <w:r w:rsidRPr="00433168">
        <w:rPr>
          <w:vertAlign w:val="superscript"/>
          <w:rtl/>
        </w:rPr>
        <w:t>)</w:t>
      </w:r>
      <w:r w:rsidRPr="00433168">
        <w:rPr>
          <w:rFonts w:ascii="Traditional Arabic" w:hAnsi="Traditional Arabic"/>
          <w:rtl/>
        </w:rPr>
        <w:t>.</w:t>
      </w:r>
      <w:r w:rsidRPr="00433168">
        <w:rPr>
          <w:rFonts w:ascii="Traditional Arabic" w:hAnsi="Traditional Arabic" w:hint="cs"/>
          <w:rtl/>
        </w:rPr>
        <w:t xml:space="preserve"> </w:t>
      </w:r>
      <w:r w:rsidRPr="00433168">
        <w:rPr>
          <w:rFonts w:ascii="Traditional Arabic" w:hAnsi="Traditional Arabic"/>
          <w:rtl/>
        </w:rPr>
        <w:t xml:space="preserve">قوله تعالى: </w:t>
      </w:r>
      <w:r w:rsidRPr="00433168">
        <w:rPr>
          <w:rFonts w:ascii="QCF_BSML" w:hAnsi="QCF_BSML" w:cs="QCF_BSML"/>
          <w:color w:val="auto"/>
          <w:sz w:val="32"/>
          <w:szCs w:val="32"/>
          <w:rtl/>
          <w:lang w:eastAsia="en-US"/>
        </w:rPr>
        <w:t>ﭽ</w:t>
      </w:r>
      <w:r w:rsidRPr="00433168">
        <w:rPr>
          <w:rFonts w:ascii="QCF_P307" w:hAnsi="QCF_P307" w:cs="QCF_P307"/>
          <w:color w:val="auto"/>
          <w:sz w:val="32"/>
          <w:szCs w:val="32"/>
          <w:rtl/>
          <w:lang w:eastAsia="en-US"/>
        </w:rPr>
        <w:t xml:space="preserve"> ﯮ  ﯯ  ﯰ  ﯱ</w:t>
      </w:r>
      <w:r w:rsidRPr="00433168">
        <w:rPr>
          <w:rFonts w:ascii="QCF_BSML" w:hAnsi="QCF_BSML" w:cs="QCF_BSML"/>
          <w:color w:val="auto"/>
          <w:sz w:val="32"/>
          <w:szCs w:val="32"/>
          <w:rtl/>
          <w:lang w:eastAsia="en-US"/>
        </w:rPr>
        <w:t xml:space="preserve"> ﭼ</w:t>
      </w:r>
      <w:r w:rsidRPr="00433168">
        <w:rPr>
          <w:rFonts w:ascii="QCF_P307" w:hAnsi="QCF_P307" w:cs="QCF_P307"/>
          <w:color w:val="auto"/>
          <w:sz w:val="32"/>
          <w:szCs w:val="32"/>
          <w:rtl/>
          <w:lang w:eastAsia="en-US"/>
        </w:rPr>
        <w:t xml:space="preserve">   </w:t>
      </w:r>
      <w:r w:rsidRPr="00433168">
        <w:rPr>
          <w:rFonts w:ascii="Traditional Arabic" w:hAnsi="Traditional Arabic" w:hint="cs"/>
          <w:rtl/>
        </w:rPr>
        <w:t xml:space="preserve"> </w:t>
      </w:r>
      <w:r w:rsidRPr="00433168">
        <w:rPr>
          <w:rFonts w:ascii="Traditional Arabic" w:hAnsi="Traditional Arabic"/>
          <w:rtl/>
        </w:rPr>
        <w:t>قرأ ابن كثير، ونافع وأبو عمرو: «وأن الله» بنصب الألف، وقرأ عاصم، وابن عامر، وحمزة، والكسائي: «وإِن الله» بكسر الألف</w:t>
      </w:r>
      <w:r w:rsidRPr="00433168">
        <w:rPr>
          <w:vertAlign w:val="superscript"/>
          <w:rtl/>
        </w:rPr>
        <w:t>(</w:t>
      </w:r>
      <w:r w:rsidRPr="00433168">
        <w:rPr>
          <w:vertAlign w:val="superscript"/>
          <w:rtl/>
        </w:rPr>
        <w:footnoteReference w:id="2382"/>
      </w:r>
      <w:r w:rsidRPr="00433168">
        <w:rPr>
          <w:vertAlign w:val="superscript"/>
          <w:rtl/>
        </w:rPr>
        <w:t>)(</w:t>
      </w:r>
      <w:r w:rsidRPr="00433168">
        <w:rPr>
          <w:vertAlign w:val="superscript"/>
          <w:rtl/>
        </w:rPr>
        <w:footnoteReference w:id="2383"/>
      </w:r>
      <w:r w:rsidRPr="00433168">
        <w:rPr>
          <w:vertAlign w:val="superscript"/>
          <w:rtl/>
        </w:rPr>
        <w:t>)</w:t>
      </w:r>
      <w:r w:rsidRPr="00433168">
        <w:rPr>
          <w:rFonts w:ascii="Traditional Arabic" w:hAnsi="Traditional Arabic"/>
          <w:rtl/>
        </w:rPr>
        <w:t xml:space="preserve">. وهذا من قول عيسى فمن فتح، عطفه على قوله: </w:t>
      </w:r>
      <w:r w:rsidRPr="00433168">
        <w:rPr>
          <w:rFonts w:ascii="QCF_BSML" w:hAnsi="QCF_BSML" w:cs="QCF_BSML"/>
          <w:color w:val="auto"/>
          <w:sz w:val="32"/>
          <w:szCs w:val="32"/>
          <w:rtl/>
          <w:lang w:eastAsia="en-US"/>
        </w:rPr>
        <w:t>ﭽ</w:t>
      </w:r>
      <w:r w:rsidRPr="00433168">
        <w:rPr>
          <w:rFonts w:ascii="QCF_P307" w:hAnsi="QCF_P307" w:cs="QCF_P307"/>
          <w:color w:val="auto"/>
          <w:sz w:val="32"/>
          <w:szCs w:val="32"/>
          <w:rtl/>
          <w:lang w:eastAsia="en-US"/>
        </w:rPr>
        <w:t xml:space="preserve"> ﮗ  ﮘ    ﮙ</w:t>
      </w:r>
      <w:r w:rsidRPr="00433168">
        <w:rPr>
          <w:rFonts w:ascii="QCF_BSML" w:hAnsi="QCF_BSML" w:cs="QCF_BSML"/>
          <w:color w:val="auto"/>
          <w:sz w:val="32"/>
          <w:szCs w:val="32"/>
          <w:rtl/>
          <w:lang w:eastAsia="en-US"/>
        </w:rPr>
        <w:t xml:space="preserve"> ﭼ</w:t>
      </w:r>
      <w:r w:rsidRPr="00433168">
        <w:rPr>
          <w:rFonts w:ascii="QCF_P307" w:hAnsi="QCF_P307" w:cs="QCF_P307"/>
          <w:color w:val="auto"/>
          <w:sz w:val="32"/>
          <w:szCs w:val="32"/>
          <w:rtl/>
          <w:lang w:eastAsia="en-US"/>
        </w:rPr>
        <w:t xml:space="preserve">  </w:t>
      </w:r>
      <w:r w:rsidRPr="00433168">
        <w:rPr>
          <w:rFonts w:ascii="QCF_P307" w:hAnsi="QCF_P307" w:cs="QCF_P307" w:hint="cs"/>
          <w:color w:val="auto"/>
          <w:sz w:val="32"/>
          <w:szCs w:val="32"/>
          <w:rtl/>
          <w:lang w:eastAsia="en-US"/>
        </w:rPr>
        <w:t xml:space="preserve"> </w:t>
      </w:r>
      <w:r w:rsidRPr="00433168">
        <w:rPr>
          <w:rFonts w:ascii="Traditional Arabic" w:hAnsi="Traditional Arabic"/>
          <w:rtl/>
        </w:rPr>
        <w:t>وبأن الله ربّي</w:t>
      </w:r>
      <w:r w:rsidRPr="00433168">
        <w:rPr>
          <w:rFonts w:ascii="Traditional Arabic" w:hAnsi="Traditional Arabic" w:hint="cs"/>
          <w:rtl/>
        </w:rPr>
        <w:t>,</w:t>
      </w:r>
      <w:r w:rsidRPr="00433168">
        <w:rPr>
          <w:rFonts w:ascii="Traditional Arabic" w:hAnsi="Traditional Arabic"/>
          <w:rtl/>
        </w:rPr>
        <w:t xml:space="preserve"> ومن كسر ففيه وجهان: أحدهما:</w:t>
      </w:r>
      <w:r w:rsidRPr="00433168">
        <w:rPr>
          <w:rFonts w:ascii="Traditional Arabic" w:hAnsi="Traditional Arabic" w:hint="cs"/>
          <w:rtl/>
        </w:rPr>
        <w:t xml:space="preserve"> </w:t>
      </w:r>
      <w:r w:rsidRPr="00433168">
        <w:rPr>
          <w:rFonts w:ascii="Traditional Arabic" w:hAnsi="Traditional Arabic"/>
          <w:rtl/>
        </w:rPr>
        <w:t>أن يكون معطوفاً على قوله:</w:t>
      </w:r>
      <w:r w:rsidRPr="00433168">
        <w:rPr>
          <w:rFonts w:ascii="Traditional Arabic" w:hAnsi="Traditional Arabic" w:hint="cs"/>
          <w:rtl/>
        </w:rPr>
        <w:t xml:space="preserve"> </w:t>
      </w:r>
      <w:r w:rsidRPr="00433168">
        <w:rPr>
          <w:rFonts w:ascii="QCF_BSML" w:hAnsi="QCF_BSML" w:cs="QCF_BSML"/>
          <w:color w:val="auto"/>
          <w:sz w:val="32"/>
          <w:szCs w:val="32"/>
          <w:rtl/>
          <w:lang w:eastAsia="en-US"/>
        </w:rPr>
        <w:t>ﭽ</w:t>
      </w:r>
      <w:r w:rsidRPr="00433168">
        <w:rPr>
          <w:rFonts w:ascii="QCF_P307" w:hAnsi="QCF_P307" w:cs="QCF_P307"/>
          <w:color w:val="auto"/>
          <w:sz w:val="32"/>
          <w:szCs w:val="32"/>
          <w:rtl/>
          <w:lang w:eastAsia="en-US"/>
        </w:rPr>
        <w:t>ﮊ ﮋ  ﮌ</w:t>
      </w:r>
      <w:r w:rsidRPr="00433168">
        <w:rPr>
          <w:rFonts w:ascii="QCF_BSML" w:hAnsi="QCF_BSML" w:cs="QCF_BSML"/>
          <w:color w:val="auto"/>
          <w:sz w:val="32"/>
          <w:szCs w:val="32"/>
          <w:rtl/>
          <w:lang w:eastAsia="en-US"/>
        </w:rPr>
        <w:t xml:space="preserve"> ﭼ</w:t>
      </w:r>
      <w:r w:rsidRPr="00433168">
        <w:rPr>
          <w:rFonts w:ascii="Traditional Arabic" w:hAnsi="Traditional Arabic"/>
          <w:rtl/>
        </w:rPr>
        <w:t>. والثاني: أن يكون مستأنفا</w:t>
      </w:r>
      <w:r w:rsidRPr="00433168">
        <w:rPr>
          <w:vertAlign w:val="superscript"/>
          <w:rtl/>
        </w:rPr>
        <w:t>(</w:t>
      </w:r>
      <w:r w:rsidRPr="00433168">
        <w:rPr>
          <w:vertAlign w:val="superscript"/>
          <w:rtl/>
        </w:rPr>
        <w:footnoteReference w:id="2384"/>
      </w:r>
      <w:r w:rsidRPr="00433168">
        <w:rPr>
          <w:vertAlign w:val="superscript"/>
          <w:rtl/>
        </w:rPr>
        <w:t>)</w:t>
      </w:r>
      <w:r w:rsidRPr="00433168">
        <w:rPr>
          <w:rFonts w:ascii="Traditional Arabic" w:hAnsi="Traditional Arabic"/>
          <w:rtl/>
        </w:rPr>
        <w:t>.</w:t>
      </w:r>
    </w:p>
    <w:p w:rsidR="00433168" w:rsidRPr="00433168" w:rsidRDefault="00433168" w:rsidP="00433168">
      <w:pPr>
        <w:ind w:firstLine="0"/>
        <w:rPr>
          <w:rFonts w:ascii="Traditional Arabic" w:hAnsi="Traditional Arabic"/>
          <w:rtl/>
        </w:rPr>
      </w:pPr>
    </w:p>
    <w:p w:rsidR="00433168" w:rsidRPr="00433168" w:rsidRDefault="00433168" w:rsidP="00433168">
      <w:pPr>
        <w:ind w:firstLine="0"/>
        <w:rPr>
          <w:rFonts w:ascii="Traditional Arabic" w:hAnsi="Traditional Arabic"/>
          <w:color w:val="auto"/>
          <w:sz w:val="32"/>
          <w:szCs w:val="32"/>
          <w:rtl/>
        </w:rPr>
      </w:pPr>
      <w:r w:rsidRPr="00433168">
        <w:rPr>
          <w:rFonts w:ascii="QCF_BSML" w:hAnsi="QCF_BSML" w:cs="QCF_BSML"/>
          <w:color w:val="auto"/>
          <w:sz w:val="32"/>
          <w:szCs w:val="32"/>
          <w:rtl/>
          <w:lang w:eastAsia="en-US"/>
        </w:rPr>
        <w:t xml:space="preserve">ﭽ </w:t>
      </w:r>
      <w:r w:rsidRPr="00433168">
        <w:rPr>
          <w:rFonts w:ascii="QCF_P307" w:hAnsi="QCF_P307" w:cs="QCF_P307"/>
          <w:color w:val="auto"/>
          <w:sz w:val="32"/>
          <w:szCs w:val="32"/>
          <w:rtl/>
          <w:lang w:eastAsia="en-US"/>
        </w:rPr>
        <w:t xml:space="preserve">ﯸ  ﯹ  ﯺ   ﯻﯼ  ﯽ  ﯾ  ﯿ          ﰀ  ﰁ  ﰂ        ﰃ  ﰄ  ﰅ  ﰆ   ﰇ      ﰈ  ﰉﰊ  ﰋ  ﰌ   ﰍ  ﰎ  ﰏ  ﰐ  ﰑ   </w:t>
      </w:r>
      <w:r w:rsidRPr="00433168">
        <w:rPr>
          <w:rFonts w:ascii="QCF_P308" w:hAnsi="QCF_P308" w:cs="QCF_P308"/>
          <w:color w:val="auto"/>
          <w:sz w:val="32"/>
          <w:szCs w:val="32"/>
          <w:rtl/>
          <w:lang w:eastAsia="en-US"/>
        </w:rPr>
        <w:t xml:space="preserve">ﭑ  ﭒ  ﭓ  ﭔ  ﭕ  ﭖ      ﭗ  ﭘ  ﭙ  ﭚ  ﭛ  ﭜ   ﭝ  ﭞ  ﭟ  ﭠ  ﭡ  ﭢ  ﭣ  ﭤ  ﭥ  ﭦ  </w:t>
      </w:r>
      <w:r w:rsidRPr="00433168">
        <w:rPr>
          <w:rFonts w:ascii="QCF_BSML" w:hAnsi="QCF_BSML" w:cs="QCF_BSML"/>
          <w:color w:val="auto"/>
          <w:sz w:val="32"/>
          <w:szCs w:val="32"/>
          <w:rtl/>
          <w:lang w:eastAsia="en-US"/>
        </w:rPr>
        <w:t>ﭼ</w:t>
      </w:r>
      <w:r w:rsidRPr="00433168">
        <w:rPr>
          <w:rFonts w:ascii="Arial" w:hAnsi="Arial" w:cs="Arial"/>
          <w:color w:val="auto"/>
          <w:sz w:val="32"/>
          <w:szCs w:val="32"/>
          <w:rtl/>
          <w:lang w:eastAsia="en-US"/>
        </w:rPr>
        <w:t xml:space="preserve"> </w:t>
      </w:r>
    </w:p>
    <w:p w:rsidR="00FE44F6" w:rsidRDefault="00433168" w:rsidP="00C36647">
      <w:pPr>
        <w:ind w:firstLine="0"/>
        <w:rPr>
          <w:rFonts w:ascii="Traditional Arabic" w:hAnsi="Traditional Arabic"/>
          <w:rtl/>
        </w:rPr>
      </w:pPr>
      <w:r w:rsidRPr="00433168">
        <w:rPr>
          <w:rFonts w:ascii="Traditional Arabic" w:hAnsi="Traditional Arabic"/>
          <w:rtl/>
        </w:rPr>
        <w:lastRenderedPageBreak/>
        <w:t xml:space="preserve">قوله تعالى: </w:t>
      </w:r>
      <w:r w:rsidRPr="00433168">
        <w:rPr>
          <w:rFonts w:ascii="QCF_BSML" w:hAnsi="QCF_BSML" w:cs="QCF_BSML"/>
          <w:color w:val="auto"/>
          <w:sz w:val="32"/>
          <w:szCs w:val="32"/>
          <w:rtl/>
          <w:lang w:eastAsia="en-US"/>
        </w:rPr>
        <w:t>ﭽ</w:t>
      </w:r>
      <w:r w:rsidRPr="00433168">
        <w:rPr>
          <w:rFonts w:ascii="QCF_P307" w:hAnsi="QCF_P307" w:cs="QCF_P307"/>
          <w:color w:val="auto"/>
          <w:sz w:val="32"/>
          <w:szCs w:val="32"/>
          <w:rtl/>
          <w:lang w:eastAsia="en-US"/>
        </w:rPr>
        <w:t xml:space="preserve">ﯸ  ﯹ ﯺ   ﯻﯼ  </w:t>
      </w:r>
      <w:r w:rsidRPr="00433168">
        <w:rPr>
          <w:rFonts w:ascii="QCF_BSML" w:hAnsi="QCF_BSML" w:cs="QCF_BSML"/>
          <w:color w:val="auto"/>
          <w:sz w:val="32"/>
          <w:szCs w:val="32"/>
          <w:rtl/>
          <w:lang w:eastAsia="en-US"/>
        </w:rPr>
        <w:t>ﭼ</w:t>
      </w:r>
      <w:r w:rsidRPr="00433168">
        <w:rPr>
          <w:rFonts w:ascii="Traditional Arabic" w:hAnsi="Traditional Arabic"/>
          <w:rtl/>
        </w:rPr>
        <w:t xml:space="preserve"> قال المفسرون: «مِنْ» زائدة، والمعنى: اختلفوا بينهم</w:t>
      </w:r>
      <w:r w:rsidRPr="00433168">
        <w:rPr>
          <w:vertAlign w:val="superscript"/>
          <w:rtl/>
        </w:rPr>
        <w:t>(</w:t>
      </w:r>
      <w:r w:rsidRPr="00433168">
        <w:rPr>
          <w:vertAlign w:val="superscript"/>
          <w:rtl/>
        </w:rPr>
        <w:footnoteReference w:id="2385"/>
      </w:r>
      <w:r w:rsidRPr="00433168">
        <w:rPr>
          <w:vertAlign w:val="superscript"/>
          <w:rtl/>
        </w:rPr>
        <w:t>)</w:t>
      </w:r>
      <w:r w:rsidRPr="00433168">
        <w:rPr>
          <w:rFonts w:ascii="Traditional Arabic" w:hAnsi="Traditional Arabic"/>
          <w:rtl/>
        </w:rPr>
        <w:t>.</w:t>
      </w:r>
      <w:r w:rsidRPr="00433168">
        <w:rPr>
          <w:rFonts w:ascii="Traditional Arabic" w:hAnsi="Traditional Arabic" w:hint="cs"/>
          <w:rtl/>
        </w:rPr>
        <w:t xml:space="preserve"> </w:t>
      </w:r>
      <w:r w:rsidRPr="00433168">
        <w:rPr>
          <w:rFonts w:ascii="Traditional Arabic" w:hAnsi="Traditional Arabic"/>
          <w:rtl/>
        </w:rPr>
        <w:t>وقال ابن الأنباري: لما تمسَّك المؤمنون بالحق، كان اختلاف الأحزاب بين المؤمنين مقصوراً عليهم</w:t>
      </w:r>
      <w:r w:rsidRPr="00433168">
        <w:rPr>
          <w:vertAlign w:val="superscript"/>
          <w:rtl/>
        </w:rPr>
        <w:t>(</w:t>
      </w:r>
      <w:r w:rsidRPr="00433168">
        <w:rPr>
          <w:vertAlign w:val="superscript"/>
          <w:rtl/>
        </w:rPr>
        <w:footnoteReference w:id="2386"/>
      </w:r>
      <w:r w:rsidRPr="00433168">
        <w:rPr>
          <w:vertAlign w:val="superscript"/>
          <w:rtl/>
        </w:rPr>
        <w:t>)</w:t>
      </w:r>
      <w:r w:rsidRPr="00433168">
        <w:rPr>
          <w:rFonts w:ascii="Traditional Arabic" w:hAnsi="Traditional Arabic"/>
          <w:rtl/>
        </w:rPr>
        <w:t>.</w:t>
      </w:r>
      <w:r w:rsidRPr="00433168">
        <w:rPr>
          <w:rFonts w:ascii="Traditional Arabic" w:hAnsi="Traditional Arabic" w:hint="cs"/>
          <w:rtl/>
        </w:rPr>
        <w:t xml:space="preserve"> </w:t>
      </w:r>
      <w:r w:rsidRPr="00433168">
        <w:rPr>
          <w:rFonts w:ascii="Traditional Arabic" w:hAnsi="Traditional Arabic"/>
          <w:rtl/>
        </w:rPr>
        <w:t>وفي</w:t>
      </w:r>
      <w:r w:rsidRPr="00433168">
        <w:rPr>
          <w:rFonts w:ascii="Traditional Arabic" w:hAnsi="Traditional Arabic" w:hint="cs"/>
          <w:rtl/>
        </w:rPr>
        <w:t xml:space="preserve"> </w:t>
      </w:r>
      <w:r w:rsidRPr="00433168">
        <w:rPr>
          <w:rFonts w:ascii="QCF_BSML" w:hAnsi="QCF_BSML" w:cs="QCF_BSML"/>
          <w:color w:val="auto"/>
          <w:sz w:val="32"/>
          <w:szCs w:val="32"/>
          <w:rtl/>
          <w:lang w:eastAsia="en-US"/>
        </w:rPr>
        <w:t>ﭽ</w:t>
      </w:r>
      <w:r w:rsidRPr="00433168">
        <w:rPr>
          <w:rFonts w:ascii="QCF_P307" w:hAnsi="QCF_P307" w:cs="QCF_P307"/>
          <w:color w:val="auto"/>
          <w:sz w:val="32"/>
          <w:szCs w:val="32"/>
          <w:rtl/>
          <w:lang w:eastAsia="en-US"/>
        </w:rPr>
        <w:t xml:space="preserve"> ﯹ</w:t>
      </w:r>
      <w:r w:rsidRPr="00433168">
        <w:rPr>
          <w:rFonts w:ascii="QCF_BSML" w:hAnsi="QCF_BSML" w:cs="QCF_BSML"/>
          <w:color w:val="auto"/>
          <w:sz w:val="32"/>
          <w:szCs w:val="32"/>
          <w:rtl/>
          <w:lang w:eastAsia="en-US"/>
        </w:rPr>
        <w:t xml:space="preserve"> ﭼ</w:t>
      </w:r>
      <w:r w:rsidRPr="00433168">
        <w:rPr>
          <w:rFonts w:ascii="Traditional Arabic" w:hAnsi="Traditional Arabic"/>
          <w:rtl/>
        </w:rPr>
        <w:t xml:space="preserve"> قولان: أحدهما: أنهم اليهود والنصارى، فكانت اليهود تقول: إِنه لغير رِشْدَةٍ</w:t>
      </w:r>
      <w:r w:rsidRPr="00433168">
        <w:rPr>
          <w:vertAlign w:val="superscript"/>
          <w:rtl/>
        </w:rPr>
        <w:t>(</w:t>
      </w:r>
      <w:r w:rsidRPr="00433168">
        <w:rPr>
          <w:vertAlign w:val="superscript"/>
          <w:rtl/>
        </w:rPr>
        <w:footnoteReference w:id="2387"/>
      </w:r>
      <w:r w:rsidRPr="00433168">
        <w:rPr>
          <w:vertAlign w:val="superscript"/>
          <w:rtl/>
        </w:rPr>
        <w:t>)</w:t>
      </w:r>
      <w:r w:rsidRPr="00433168">
        <w:rPr>
          <w:rFonts w:ascii="Traditional Arabic" w:hAnsi="Traditional Arabic"/>
          <w:rtl/>
        </w:rPr>
        <w:t>، والنصارى تدَّعي فيه ما لا يليق به</w:t>
      </w:r>
      <w:r w:rsidRPr="00433168">
        <w:rPr>
          <w:vertAlign w:val="superscript"/>
          <w:rtl/>
        </w:rPr>
        <w:t>(</w:t>
      </w:r>
      <w:r w:rsidRPr="00433168">
        <w:rPr>
          <w:vertAlign w:val="superscript"/>
          <w:rtl/>
        </w:rPr>
        <w:footnoteReference w:id="2388"/>
      </w:r>
      <w:r w:rsidRPr="00433168">
        <w:rPr>
          <w:vertAlign w:val="superscript"/>
          <w:rtl/>
        </w:rPr>
        <w:t>)</w:t>
      </w:r>
      <w:r w:rsidRPr="00433168">
        <w:rPr>
          <w:rFonts w:ascii="Traditional Arabic" w:hAnsi="Traditional Arabic"/>
          <w:rtl/>
        </w:rPr>
        <w:t>. والثاني: أنهم فرق النّصارى، قال بعضهم، يعني اليعقوبيّة: هو الله، وقال بعضهم، يعني النّسطوريّة: ابن الله، وقال بعضهم: ثالث ثلاثة</w:t>
      </w:r>
      <w:r w:rsidRPr="00433168">
        <w:rPr>
          <w:vertAlign w:val="superscript"/>
          <w:rtl/>
        </w:rPr>
        <w:t>(</w:t>
      </w:r>
      <w:r w:rsidRPr="00433168">
        <w:rPr>
          <w:vertAlign w:val="superscript"/>
          <w:rtl/>
        </w:rPr>
        <w:footnoteReference w:id="2389"/>
      </w:r>
      <w:r w:rsidRPr="00433168">
        <w:rPr>
          <w:vertAlign w:val="superscript"/>
          <w:rtl/>
        </w:rPr>
        <w:t>)</w:t>
      </w:r>
      <w:r w:rsidRPr="00433168">
        <w:rPr>
          <w:rFonts w:ascii="Traditional Arabic" w:hAnsi="Traditional Arabic"/>
          <w:rtl/>
        </w:rPr>
        <w:t>.</w:t>
      </w:r>
      <w:r w:rsidR="00FE44F6">
        <w:rPr>
          <w:rFonts w:ascii="Traditional Arabic" w:hAnsi="Traditional Arabic" w:hint="cs"/>
          <w:rtl/>
        </w:rPr>
        <w:t xml:space="preserve"> </w:t>
      </w:r>
      <w:r w:rsidRPr="00433168">
        <w:rPr>
          <w:rFonts w:ascii="Traditional Arabic" w:hAnsi="Traditional Arabic"/>
          <w:rtl/>
        </w:rPr>
        <w:t xml:space="preserve">قوله تعالى: </w:t>
      </w:r>
      <w:r w:rsidRPr="00433168">
        <w:rPr>
          <w:rFonts w:ascii="QCF_BSML" w:hAnsi="QCF_BSML" w:cs="QCF_BSML"/>
          <w:color w:val="auto"/>
          <w:sz w:val="32"/>
          <w:szCs w:val="32"/>
          <w:rtl/>
          <w:lang w:eastAsia="en-US"/>
        </w:rPr>
        <w:t>ﭽ</w:t>
      </w:r>
      <w:r w:rsidRPr="00433168">
        <w:rPr>
          <w:rFonts w:ascii="QCF_P307" w:hAnsi="QCF_P307" w:cs="QCF_P307"/>
          <w:color w:val="auto"/>
          <w:sz w:val="32"/>
          <w:szCs w:val="32"/>
          <w:rtl/>
          <w:lang w:eastAsia="en-US"/>
        </w:rPr>
        <w:t xml:space="preserve"> ﯽ  ﯾ  ﯿ</w:t>
      </w:r>
      <w:r w:rsidRPr="00433168">
        <w:rPr>
          <w:rFonts w:ascii="QCF_BSML" w:hAnsi="QCF_BSML" w:cs="QCF_BSML"/>
          <w:color w:val="auto"/>
          <w:sz w:val="32"/>
          <w:szCs w:val="32"/>
          <w:rtl/>
          <w:lang w:eastAsia="en-US"/>
        </w:rPr>
        <w:t xml:space="preserve"> ﭼ</w:t>
      </w:r>
      <w:r w:rsidRPr="00433168">
        <w:rPr>
          <w:rFonts w:ascii="QCF_P307" w:hAnsi="QCF_P307" w:cs="QCF_P307"/>
          <w:color w:val="auto"/>
          <w:sz w:val="32"/>
          <w:szCs w:val="32"/>
          <w:rtl/>
          <w:lang w:eastAsia="en-US"/>
        </w:rPr>
        <w:t xml:space="preserve">  </w:t>
      </w:r>
      <w:r w:rsidRPr="00433168">
        <w:rPr>
          <w:rFonts w:ascii="Traditional Arabic" w:hAnsi="Traditional Arabic"/>
          <w:rtl/>
        </w:rPr>
        <w:t xml:space="preserve">بقولهم في المسيح </w:t>
      </w:r>
      <w:r w:rsidRPr="00433168">
        <w:rPr>
          <w:rFonts w:ascii="QCF_BSML" w:hAnsi="QCF_BSML" w:cs="QCF_BSML"/>
          <w:color w:val="auto"/>
          <w:sz w:val="32"/>
          <w:szCs w:val="32"/>
          <w:rtl/>
          <w:lang w:eastAsia="en-US"/>
        </w:rPr>
        <w:t>ﭽ</w:t>
      </w:r>
      <w:r w:rsidRPr="00433168">
        <w:rPr>
          <w:rFonts w:ascii="QCF_P307" w:hAnsi="QCF_P307" w:cs="QCF_P307"/>
          <w:color w:val="auto"/>
          <w:sz w:val="32"/>
          <w:szCs w:val="32"/>
          <w:rtl/>
          <w:lang w:eastAsia="en-US"/>
        </w:rPr>
        <w:t xml:space="preserve"> ﰀ  ﰁ  ﰂ </w:t>
      </w:r>
      <w:r w:rsidRPr="00433168">
        <w:rPr>
          <w:rFonts w:ascii="QCF_P307" w:hAnsi="QCF_P307" w:cs="QCF_P307" w:hint="cs"/>
          <w:color w:val="auto"/>
          <w:sz w:val="32"/>
          <w:szCs w:val="32"/>
          <w:rtl/>
          <w:lang w:eastAsia="en-US"/>
        </w:rPr>
        <w:t xml:space="preserve">  </w:t>
      </w:r>
      <w:r w:rsidRPr="00433168">
        <w:rPr>
          <w:rFonts w:ascii="QCF_P307" w:hAnsi="QCF_P307" w:cs="QCF_P307"/>
          <w:color w:val="auto"/>
          <w:sz w:val="32"/>
          <w:szCs w:val="32"/>
          <w:rtl/>
          <w:lang w:eastAsia="en-US"/>
        </w:rPr>
        <w:t>ﰃ</w:t>
      </w:r>
      <w:r w:rsidRPr="00433168">
        <w:rPr>
          <w:rFonts w:ascii="QCF_BSML" w:hAnsi="QCF_BSML" w:cs="QCF_BSML"/>
          <w:color w:val="auto"/>
          <w:sz w:val="32"/>
          <w:szCs w:val="32"/>
          <w:rtl/>
          <w:lang w:eastAsia="en-US"/>
        </w:rPr>
        <w:t xml:space="preserve"> ﭼ</w:t>
      </w:r>
      <w:r w:rsidRPr="00433168">
        <w:rPr>
          <w:rFonts w:ascii="QCF_P307" w:hAnsi="QCF_P307" w:cs="QCF_P307"/>
          <w:color w:val="auto"/>
          <w:sz w:val="32"/>
          <w:szCs w:val="32"/>
          <w:rtl/>
          <w:lang w:eastAsia="en-US"/>
        </w:rPr>
        <w:t xml:space="preserve">  </w:t>
      </w:r>
      <w:r w:rsidRPr="00433168">
        <w:rPr>
          <w:rFonts w:ascii="Traditional Arabic" w:hAnsi="Traditional Arabic"/>
          <w:rtl/>
        </w:rPr>
        <w:t>أي: من حضورهم ذلك اليوم للجزاء.</w:t>
      </w:r>
      <w:r w:rsidRPr="00433168">
        <w:rPr>
          <w:rFonts w:ascii="Traditional Arabic" w:hAnsi="Traditional Arabic" w:hint="cs"/>
          <w:rtl/>
        </w:rPr>
        <w:t xml:space="preserve">  </w:t>
      </w:r>
      <w:r w:rsidRPr="00433168">
        <w:rPr>
          <w:rFonts w:ascii="Traditional Arabic" w:hAnsi="Traditional Arabic"/>
          <w:rtl/>
        </w:rPr>
        <w:t xml:space="preserve">قوله تعالى: </w:t>
      </w:r>
      <w:r w:rsidRPr="00433168">
        <w:rPr>
          <w:rFonts w:ascii="QCF_BSML" w:hAnsi="QCF_BSML" w:cs="QCF_BSML"/>
          <w:color w:val="auto"/>
          <w:sz w:val="32"/>
          <w:szCs w:val="32"/>
          <w:rtl/>
          <w:lang w:eastAsia="en-US"/>
        </w:rPr>
        <w:t>ﭽ</w:t>
      </w:r>
      <w:r w:rsidRPr="00433168">
        <w:rPr>
          <w:rFonts w:ascii="QCF_P307" w:hAnsi="QCF_P307" w:cs="QCF_P307"/>
          <w:color w:val="auto"/>
          <w:sz w:val="32"/>
          <w:szCs w:val="32"/>
          <w:rtl/>
          <w:lang w:eastAsia="en-US"/>
        </w:rPr>
        <w:t xml:space="preserve"> ﰅ  ﰆ   ﰇ</w:t>
      </w:r>
      <w:r w:rsidRPr="00433168">
        <w:rPr>
          <w:rFonts w:ascii="QCF_BSML" w:hAnsi="QCF_BSML" w:cs="QCF_BSML"/>
          <w:color w:val="auto"/>
          <w:sz w:val="32"/>
          <w:szCs w:val="32"/>
          <w:rtl/>
          <w:lang w:eastAsia="en-US"/>
        </w:rPr>
        <w:t xml:space="preserve"> ﭼ</w:t>
      </w:r>
      <w:r w:rsidRPr="00433168">
        <w:rPr>
          <w:rFonts w:ascii="QCF_P307" w:hAnsi="QCF_P307" w:cs="QCF_P307"/>
          <w:color w:val="auto"/>
          <w:sz w:val="32"/>
          <w:szCs w:val="32"/>
          <w:rtl/>
          <w:lang w:eastAsia="en-US"/>
        </w:rPr>
        <w:t xml:space="preserve">      </w:t>
      </w:r>
      <w:r w:rsidRPr="00433168">
        <w:rPr>
          <w:rFonts w:ascii="Traditional Arabic" w:hAnsi="Traditional Arabic"/>
          <w:rtl/>
        </w:rPr>
        <w:t>فيه قولان: أحدهما: أن لفظه لفظ الأمر، ومعناه الخبر</w:t>
      </w:r>
      <w:r w:rsidRPr="00433168">
        <w:rPr>
          <w:rFonts w:ascii="Traditional Arabic" w:hAnsi="Traditional Arabic" w:hint="cs"/>
          <w:rtl/>
        </w:rPr>
        <w:t xml:space="preserve"> </w:t>
      </w:r>
      <w:r w:rsidRPr="00433168">
        <w:rPr>
          <w:rFonts w:ascii="Traditional Arabic" w:hAnsi="Traditional Arabic"/>
          <w:rtl/>
        </w:rPr>
        <w:t>فالمعنى: ما أسمعهم وأبصرهم يوم القيامة، سمعوا وأبصروا حين لم ينفعهم ذلك لأنهم شاهدوا من أمر الله ما لا يحتاجون معه إلى نظر وفكر فعلموا الهدى وأطاعوا، وهذا قول الأكثرين</w:t>
      </w:r>
      <w:r w:rsidRPr="00433168">
        <w:rPr>
          <w:vertAlign w:val="superscript"/>
          <w:rtl/>
        </w:rPr>
        <w:t>(</w:t>
      </w:r>
      <w:r w:rsidRPr="00433168">
        <w:rPr>
          <w:vertAlign w:val="superscript"/>
          <w:rtl/>
        </w:rPr>
        <w:footnoteReference w:id="2390"/>
      </w:r>
      <w:r w:rsidRPr="00433168">
        <w:rPr>
          <w:vertAlign w:val="superscript"/>
          <w:rtl/>
        </w:rPr>
        <w:t>)</w:t>
      </w:r>
      <w:r w:rsidRPr="00433168">
        <w:rPr>
          <w:rFonts w:ascii="Traditional Arabic" w:hAnsi="Traditional Arabic"/>
          <w:rtl/>
        </w:rPr>
        <w:t xml:space="preserve">. والثاني: أَسْمِع بحديثهم اليوم، وأبصِرْ كيف يُصنَع </w:t>
      </w:r>
      <w:r w:rsidRPr="00433168">
        <w:rPr>
          <w:rFonts w:ascii="Traditional Arabic" w:hAnsi="Traditional Arabic" w:hint="cs"/>
          <w:rtl/>
        </w:rPr>
        <w:t>[</w:t>
      </w:r>
      <w:r w:rsidRPr="00433168">
        <w:rPr>
          <w:rFonts w:ascii="Traditional Arabic" w:hAnsi="Traditional Arabic"/>
          <w:rtl/>
        </w:rPr>
        <w:t>بهم</w:t>
      </w:r>
      <w:r w:rsidRPr="00433168">
        <w:rPr>
          <w:rFonts w:ascii="Traditional Arabic" w:hAnsi="Traditional Arabic" w:hint="cs"/>
          <w:rtl/>
        </w:rPr>
        <w:t>]</w:t>
      </w:r>
      <w:r w:rsidRPr="00433168">
        <w:rPr>
          <w:rFonts w:ascii="QCF_P307" w:hAnsi="QCF_P307" w:cs="QCF_P307"/>
          <w:color w:val="auto"/>
          <w:sz w:val="32"/>
          <w:szCs w:val="32"/>
          <w:rtl/>
          <w:lang w:eastAsia="en-US"/>
        </w:rPr>
        <w:t xml:space="preserve"> </w:t>
      </w:r>
      <w:r w:rsidRPr="00433168">
        <w:rPr>
          <w:vertAlign w:val="superscript"/>
          <w:rtl/>
        </w:rPr>
        <w:t>(</w:t>
      </w:r>
      <w:r w:rsidRPr="00433168">
        <w:rPr>
          <w:vertAlign w:val="superscript"/>
          <w:rtl/>
        </w:rPr>
        <w:footnoteReference w:id="2391"/>
      </w:r>
      <w:r w:rsidRPr="00433168">
        <w:rPr>
          <w:vertAlign w:val="superscript"/>
          <w:rtl/>
        </w:rPr>
        <w:t>)</w:t>
      </w:r>
      <w:r w:rsidRPr="00433168">
        <w:rPr>
          <w:rFonts w:ascii="QCF_P307" w:hAnsi="QCF_P307" w:cs="QCF_P307"/>
          <w:color w:val="auto"/>
          <w:sz w:val="32"/>
          <w:szCs w:val="32"/>
          <w:rtl/>
          <w:lang w:eastAsia="en-US"/>
        </w:rPr>
        <w:t xml:space="preserve"> </w:t>
      </w:r>
      <w:r w:rsidRPr="00433168">
        <w:rPr>
          <w:rFonts w:ascii="QCF_BSML" w:hAnsi="QCF_BSML" w:cs="QCF_BSML"/>
          <w:color w:val="auto"/>
          <w:sz w:val="32"/>
          <w:szCs w:val="32"/>
          <w:rtl/>
          <w:lang w:eastAsia="en-US"/>
        </w:rPr>
        <w:t>ﭽ</w:t>
      </w:r>
      <w:r w:rsidRPr="00433168">
        <w:rPr>
          <w:rFonts w:ascii="QCF_P307" w:hAnsi="QCF_P307" w:cs="QCF_P307"/>
          <w:color w:val="auto"/>
          <w:sz w:val="32"/>
          <w:szCs w:val="32"/>
          <w:rtl/>
          <w:lang w:eastAsia="en-US"/>
        </w:rPr>
        <w:t>ﰈ  ﰉ</w:t>
      </w:r>
      <w:r w:rsidRPr="00433168">
        <w:rPr>
          <w:rFonts w:ascii="QCF_BSML" w:hAnsi="QCF_BSML" w:cs="QCF_BSML"/>
          <w:color w:val="auto"/>
          <w:sz w:val="32"/>
          <w:szCs w:val="32"/>
          <w:rtl/>
          <w:lang w:eastAsia="en-US"/>
        </w:rPr>
        <w:t xml:space="preserve"> </w:t>
      </w:r>
      <w:r w:rsidRPr="00433168">
        <w:rPr>
          <w:rFonts w:ascii="QCF_P307" w:hAnsi="QCF_P307" w:cs="QCF_P307"/>
          <w:color w:val="auto"/>
          <w:sz w:val="32"/>
          <w:szCs w:val="32"/>
          <w:rtl/>
          <w:lang w:eastAsia="en-US"/>
        </w:rPr>
        <w:t>ﰊ</w:t>
      </w:r>
      <w:r w:rsidRPr="00433168">
        <w:rPr>
          <w:rFonts w:ascii="QCF_BSML" w:hAnsi="QCF_BSML" w:cs="QCF_BSML"/>
          <w:color w:val="auto"/>
          <w:sz w:val="32"/>
          <w:szCs w:val="32"/>
          <w:rtl/>
          <w:lang w:eastAsia="en-US"/>
        </w:rPr>
        <w:t>ﭼ</w:t>
      </w:r>
      <w:r w:rsidRPr="00433168">
        <w:rPr>
          <w:rFonts w:ascii="Traditional Arabic" w:hAnsi="Traditional Arabic"/>
          <w:rtl/>
        </w:rPr>
        <w:t xml:space="preserve"> قاله أبو</w:t>
      </w:r>
      <w:r w:rsidRPr="00433168">
        <w:rPr>
          <w:rFonts w:ascii="Traditional Arabic" w:hAnsi="Traditional Arabic" w:hint="cs"/>
          <w:rtl/>
        </w:rPr>
        <w:t xml:space="preserve"> </w:t>
      </w:r>
      <w:r w:rsidRPr="00433168">
        <w:rPr>
          <w:rFonts w:ascii="Traditional Arabic" w:hAnsi="Traditional Arabic"/>
          <w:rtl/>
        </w:rPr>
        <w:t>العالية</w:t>
      </w:r>
      <w:r w:rsidRPr="00433168">
        <w:rPr>
          <w:vertAlign w:val="superscript"/>
          <w:rtl/>
        </w:rPr>
        <w:t>(</w:t>
      </w:r>
      <w:r w:rsidRPr="00433168">
        <w:rPr>
          <w:vertAlign w:val="superscript"/>
          <w:rtl/>
        </w:rPr>
        <w:footnoteReference w:id="2392"/>
      </w:r>
      <w:r w:rsidRPr="00433168">
        <w:rPr>
          <w:vertAlign w:val="superscript"/>
          <w:rtl/>
        </w:rPr>
        <w:t>)</w:t>
      </w:r>
      <w:r w:rsidRPr="00433168">
        <w:rPr>
          <w:rFonts w:ascii="Traditional Arabic" w:hAnsi="Traditional Arabic"/>
          <w:rtl/>
        </w:rPr>
        <w:t>. قوله تعالى:</w:t>
      </w:r>
      <w:r w:rsidRPr="00433168">
        <w:rPr>
          <w:rFonts w:ascii="QCF_BSML" w:hAnsi="QCF_BSML" w:cs="QCF_BSML"/>
          <w:color w:val="auto"/>
          <w:sz w:val="32"/>
          <w:szCs w:val="32"/>
          <w:rtl/>
          <w:lang w:eastAsia="en-US"/>
        </w:rPr>
        <w:t xml:space="preserve"> ﭽ</w:t>
      </w:r>
      <w:r w:rsidRPr="00433168">
        <w:rPr>
          <w:rFonts w:ascii="QCF_P307" w:hAnsi="QCF_P307" w:cs="QCF_P307"/>
          <w:color w:val="auto"/>
          <w:sz w:val="32"/>
          <w:szCs w:val="32"/>
          <w:rtl/>
          <w:lang w:eastAsia="en-US"/>
        </w:rPr>
        <w:t>ﰋ  ﰌ</w:t>
      </w:r>
      <w:r w:rsidRPr="00433168">
        <w:rPr>
          <w:rFonts w:ascii="QCF_BSML" w:hAnsi="QCF_BSML" w:cs="QCF_BSML"/>
          <w:color w:val="auto"/>
          <w:sz w:val="32"/>
          <w:szCs w:val="32"/>
          <w:rtl/>
          <w:lang w:eastAsia="en-US"/>
        </w:rPr>
        <w:t xml:space="preserve"> ﭼ</w:t>
      </w:r>
      <w:r w:rsidRPr="00433168">
        <w:rPr>
          <w:rFonts w:ascii="Traditional Arabic" w:hAnsi="Traditional Arabic"/>
          <w:rtl/>
        </w:rPr>
        <w:t xml:space="preserve"> يعني المشركين والكفار</w:t>
      </w:r>
      <w:r w:rsidRPr="00433168">
        <w:rPr>
          <w:rFonts w:ascii="QCF_BSML" w:hAnsi="QCF_BSML" w:cs="QCF_BSML"/>
          <w:color w:val="auto"/>
          <w:sz w:val="32"/>
          <w:szCs w:val="32"/>
          <w:rtl/>
          <w:lang w:eastAsia="en-US"/>
        </w:rPr>
        <w:t xml:space="preserve"> ﭽ</w:t>
      </w:r>
      <w:r w:rsidRPr="00433168">
        <w:rPr>
          <w:rFonts w:ascii="QCF_P307" w:hAnsi="QCF_P307" w:cs="QCF_P307"/>
          <w:color w:val="auto"/>
          <w:sz w:val="32"/>
          <w:szCs w:val="32"/>
          <w:rtl/>
          <w:lang w:eastAsia="en-US"/>
        </w:rPr>
        <w:t>ﰍ</w:t>
      </w:r>
      <w:r w:rsidRPr="00433168">
        <w:rPr>
          <w:rFonts w:ascii="QCF_BSML" w:hAnsi="QCF_BSML" w:cs="QCF_BSML"/>
          <w:color w:val="auto"/>
          <w:sz w:val="32"/>
          <w:szCs w:val="32"/>
          <w:rtl/>
          <w:lang w:eastAsia="en-US"/>
        </w:rPr>
        <w:t>ﭼ</w:t>
      </w:r>
      <w:r w:rsidRPr="00433168">
        <w:rPr>
          <w:rFonts w:ascii="Traditional Arabic" w:hAnsi="Traditional Arabic"/>
          <w:rtl/>
        </w:rPr>
        <w:t xml:space="preserve"> يعني في الدنيا </w:t>
      </w:r>
      <w:r w:rsidRPr="00433168">
        <w:rPr>
          <w:rFonts w:ascii="QCF_BSML" w:hAnsi="QCF_BSML" w:cs="QCF_BSML"/>
          <w:color w:val="auto"/>
          <w:sz w:val="32"/>
          <w:szCs w:val="32"/>
          <w:rtl/>
          <w:lang w:eastAsia="en-US"/>
        </w:rPr>
        <w:t>ﭽ</w:t>
      </w:r>
      <w:r w:rsidRPr="00433168">
        <w:rPr>
          <w:rFonts w:ascii="QCF_P307" w:hAnsi="QCF_P307" w:cs="QCF_P307"/>
          <w:color w:val="auto"/>
          <w:sz w:val="32"/>
          <w:szCs w:val="32"/>
          <w:rtl/>
          <w:lang w:eastAsia="en-US"/>
        </w:rPr>
        <w:t xml:space="preserve"> ﰎ  ﰏ  ﰐ</w:t>
      </w:r>
      <w:r w:rsidRPr="00433168">
        <w:rPr>
          <w:rFonts w:ascii="QCF_BSML" w:hAnsi="QCF_BSML" w:cs="QCF_BSML"/>
          <w:color w:val="auto"/>
          <w:sz w:val="32"/>
          <w:szCs w:val="32"/>
          <w:rtl/>
          <w:lang w:eastAsia="en-US"/>
        </w:rPr>
        <w:t xml:space="preserve"> ﭼ</w:t>
      </w:r>
      <w:r w:rsidRPr="00433168">
        <w:rPr>
          <w:rFonts w:ascii="QCF_P307" w:hAnsi="QCF_P307" w:cs="QCF_P307"/>
          <w:color w:val="auto"/>
          <w:sz w:val="32"/>
          <w:szCs w:val="32"/>
          <w:rtl/>
          <w:lang w:eastAsia="en-US"/>
        </w:rPr>
        <w:t xml:space="preserve"> </w:t>
      </w:r>
      <w:r w:rsidRPr="00433168">
        <w:rPr>
          <w:rFonts w:ascii="Traditional Arabic" w:hAnsi="Traditional Arabic"/>
          <w:rtl/>
        </w:rPr>
        <w:t>.</w:t>
      </w:r>
      <w:r w:rsidRPr="00433168">
        <w:rPr>
          <w:rFonts w:ascii="Traditional Arabic" w:hAnsi="Traditional Arabic" w:hint="cs"/>
          <w:rtl/>
        </w:rPr>
        <w:t xml:space="preserve"> </w:t>
      </w:r>
      <w:r w:rsidRPr="00433168">
        <w:rPr>
          <w:rFonts w:ascii="Traditional Arabic" w:hAnsi="Traditional Arabic"/>
          <w:rtl/>
        </w:rPr>
        <w:t xml:space="preserve">قوله تعالى: </w:t>
      </w:r>
      <w:r w:rsidRPr="00433168">
        <w:rPr>
          <w:rFonts w:ascii="QCF_BSML" w:hAnsi="QCF_BSML" w:cs="QCF_BSML"/>
          <w:color w:val="auto"/>
          <w:sz w:val="32"/>
          <w:szCs w:val="32"/>
          <w:rtl/>
          <w:lang w:eastAsia="en-US"/>
        </w:rPr>
        <w:t>ﭽ</w:t>
      </w:r>
      <w:r w:rsidRPr="00433168">
        <w:rPr>
          <w:rFonts w:ascii="QCF_P308" w:hAnsi="QCF_P308" w:cs="QCF_P308"/>
          <w:color w:val="auto"/>
          <w:sz w:val="32"/>
          <w:szCs w:val="32"/>
          <w:rtl/>
          <w:lang w:eastAsia="en-US"/>
        </w:rPr>
        <w:t xml:space="preserve"> ﭑ</w:t>
      </w:r>
      <w:r w:rsidRPr="00433168">
        <w:rPr>
          <w:rFonts w:ascii="QCF_BSML" w:hAnsi="QCF_BSML" w:cs="QCF_BSML"/>
          <w:color w:val="auto"/>
          <w:sz w:val="32"/>
          <w:szCs w:val="32"/>
          <w:rtl/>
          <w:lang w:eastAsia="en-US"/>
        </w:rPr>
        <w:t xml:space="preserve"> ﭼ</w:t>
      </w:r>
      <w:r w:rsidRPr="00433168">
        <w:rPr>
          <w:rFonts w:ascii="Traditional Arabic" w:hAnsi="Traditional Arabic"/>
          <w:rtl/>
        </w:rPr>
        <w:t xml:space="preserve"> أي: خوِّف كفَّار مكة </w:t>
      </w:r>
      <w:r w:rsidRPr="00433168">
        <w:rPr>
          <w:rFonts w:ascii="QCF_BSML" w:hAnsi="QCF_BSML" w:cs="QCF_BSML"/>
          <w:color w:val="auto"/>
          <w:sz w:val="32"/>
          <w:szCs w:val="32"/>
          <w:rtl/>
          <w:lang w:eastAsia="en-US"/>
        </w:rPr>
        <w:t>ﭽ</w:t>
      </w:r>
      <w:r w:rsidRPr="00433168">
        <w:rPr>
          <w:rFonts w:ascii="QCF_P308" w:hAnsi="QCF_P308" w:cs="QCF_P308"/>
          <w:color w:val="auto"/>
          <w:sz w:val="32"/>
          <w:szCs w:val="32"/>
          <w:rtl/>
          <w:lang w:eastAsia="en-US"/>
        </w:rPr>
        <w:t xml:space="preserve"> ﭒ  ﭓ</w:t>
      </w:r>
      <w:r w:rsidRPr="00433168">
        <w:rPr>
          <w:rFonts w:ascii="QCF_BSML" w:hAnsi="QCF_BSML" w:cs="QCF_BSML"/>
          <w:color w:val="auto"/>
          <w:sz w:val="32"/>
          <w:szCs w:val="32"/>
          <w:rtl/>
          <w:lang w:eastAsia="en-US"/>
        </w:rPr>
        <w:t xml:space="preserve"> ﭼ</w:t>
      </w:r>
      <w:r w:rsidRPr="00433168">
        <w:rPr>
          <w:rFonts w:ascii="QCF_BSML" w:hAnsi="QCF_BSML" w:cs="QCF_BSML" w:hint="cs"/>
          <w:color w:val="auto"/>
          <w:sz w:val="32"/>
          <w:szCs w:val="32"/>
          <w:rtl/>
          <w:lang w:eastAsia="en-US"/>
        </w:rPr>
        <w:t xml:space="preserve"> </w:t>
      </w:r>
      <w:r w:rsidRPr="00433168">
        <w:rPr>
          <w:rFonts w:ascii="QCF_P308" w:hAnsi="QCF_P308" w:cs="QCF_P308"/>
          <w:color w:val="auto"/>
          <w:sz w:val="32"/>
          <w:szCs w:val="32"/>
          <w:rtl/>
          <w:lang w:eastAsia="en-US"/>
        </w:rPr>
        <w:t xml:space="preserve">  </w:t>
      </w:r>
      <w:r w:rsidRPr="00433168">
        <w:rPr>
          <w:rFonts w:ascii="Traditional Arabic" w:hAnsi="Traditional Arabic"/>
          <w:rtl/>
        </w:rPr>
        <w:t>يعني: يوم القيامة يتحسَّر المسيء إذا لم يُحْسِن، والمقصِّر إِذ لم يَزْدَدْ من الخير. وموجبات الحسرة يوم القيامة كثير</w:t>
      </w:r>
      <w:r w:rsidRPr="00433168">
        <w:rPr>
          <w:vertAlign w:val="superscript"/>
          <w:rtl/>
        </w:rPr>
        <w:t>(</w:t>
      </w:r>
      <w:r w:rsidRPr="00433168">
        <w:rPr>
          <w:vertAlign w:val="superscript"/>
          <w:rtl/>
        </w:rPr>
        <w:footnoteReference w:id="2393"/>
      </w:r>
      <w:r w:rsidRPr="00433168">
        <w:rPr>
          <w:vertAlign w:val="superscript"/>
          <w:rtl/>
        </w:rPr>
        <w:t>)</w:t>
      </w:r>
      <w:r w:rsidRPr="00433168">
        <w:rPr>
          <w:rFonts w:ascii="Traditional Arabic" w:hAnsi="Traditional Arabic"/>
          <w:rtl/>
        </w:rPr>
        <w:t xml:space="preserve">، فمن ذلك ما روى أبو سعيد الخدري، </w:t>
      </w:r>
      <w:r w:rsidRPr="00433168">
        <w:rPr>
          <w:rFonts w:ascii="Traditional Arabic" w:hAnsi="Traditional Arabic"/>
          <w:sz w:val="32"/>
          <w:szCs w:val="32"/>
          <w:rtl/>
        </w:rPr>
        <w:t>[</w:t>
      </w:r>
      <w:r w:rsidRPr="00433168">
        <w:rPr>
          <w:rFonts w:ascii="Traditional Arabic" w:hAnsi="Traditional Arabic" w:hint="cs"/>
          <w:sz w:val="32"/>
          <w:szCs w:val="32"/>
          <w:rtl/>
        </w:rPr>
        <w:t>173</w:t>
      </w:r>
      <w:r w:rsidRPr="00433168">
        <w:rPr>
          <w:rFonts w:ascii="Traditional Arabic" w:hAnsi="Traditional Arabic"/>
          <w:sz w:val="32"/>
          <w:szCs w:val="32"/>
          <w:rtl/>
        </w:rPr>
        <w:t>]</w:t>
      </w:r>
      <w:r w:rsidRPr="00433168">
        <w:rPr>
          <w:rFonts w:ascii="Traditional Arabic" w:hAnsi="Traditional Arabic"/>
          <w:rtl/>
        </w:rPr>
        <w:t xml:space="preserve"> عن رسول </w:t>
      </w:r>
      <w:r w:rsidRPr="00433168">
        <w:rPr>
          <w:rFonts w:ascii="Traditional Arabic" w:hAnsi="Traditional Arabic"/>
          <w:rtl/>
        </w:rPr>
        <w:lastRenderedPageBreak/>
        <w:t xml:space="preserve">الله </w:t>
      </w:r>
      <w:r w:rsidRPr="00433168">
        <w:rPr>
          <w:rFonts w:ascii="Traditional Arabic" w:hAnsi="Traditional Arabic"/>
          <w:lang w:eastAsia="en-US"/>
        </w:rPr>
        <w:sym w:font="AGA Arabesque" w:char="F072"/>
      </w:r>
      <w:r w:rsidRPr="00433168">
        <w:rPr>
          <w:rFonts w:ascii="Traditional Arabic" w:hAnsi="Traditional Arabic" w:hint="cs"/>
          <w:rtl/>
        </w:rPr>
        <w:t xml:space="preserve"> </w:t>
      </w:r>
      <w:r w:rsidRPr="00433168">
        <w:rPr>
          <w:rFonts w:ascii="Traditional Arabic" w:hAnsi="Traditional Arabic"/>
          <w:rtl/>
        </w:rPr>
        <w:t>أنه قال: «إِذا دخل أهل الجنة الجنة، وأهل النار النار، قيل: يا أهل الجنة، فيشرئِبُّون</w:t>
      </w:r>
      <w:r w:rsidRPr="00433168">
        <w:rPr>
          <w:vertAlign w:val="superscript"/>
          <w:rtl/>
        </w:rPr>
        <w:t>(</w:t>
      </w:r>
      <w:r w:rsidRPr="00433168">
        <w:rPr>
          <w:vertAlign w:val="superscript"/>
          <w:rtl/>
        </w:rPr>
        <w:footnoteReference w:id="2394"/>
      </w:r>
      <w:r w:rsidRPr="00433168">
        <w:rPr>
          <w:vertAlign w:val="superscript"/>
          <w:rtl/>
        </w:rPr>
        <w:t>)</w:t>
      </w:r>
      <w:r w:rsidRPr="00433168">
        <w:rPr>
          <w:rFonts w:ascii="Traditional Arabic" w:hAnsi="Traditional Arabic"/>
          <w:rtl/>
        </w:rPr>
        <w:t>وينظرون، وقيل: يا أهل النار فيشرئبُّون وينظرون فيُجاء بالموت كأنه كبش أملح</w:t>
      </w:r>
      <w:r w:rsidRPr="00433168">
        <w:rPr>
          <w:vertAlign w:val="superscript"/>
          <w:rtl/>
        </w:rPr>
        <w:t>(</w:t>
      </w:r>
      <w:r w:rsidRPr="00433168">
        <w:rPr>
          <w:vertAlign w:val="superscript"/>
          <w:rtl/>
        </w:rPr>
        <w:footnoteReference w:id="2395"/>
      </w:r>
      <w:r w:rsidRPr="00433168">
        <w:rPr>
          <w:vertAlign w:val="superscript"/>
          <w:rtl/>
        </w:rPr>
        <w:t>)</w:t>
      </w:r>
      <w:r w:rsidRPr="00433168">
        <w:rPr>
          <w:rFonts w:ascii="Traditional Arabic" w:hAnsi="Traditional Arabic"/>
          <w:rtl/>
        </w:rPr>
        <w:t>، فيقال لهم: هل تعرفون هذا؟</w:t>
      </w:r>
      <w:r w:rsidRPr="00433168">
        <w:rPr>
          <w:rFonts w:ascii="Traditional Arabic" w:hAnsi="Traditional Arabic" w:hint="cs"/>
          <w:rtl/>
        </w:rPr>
        <w:t xml:space="preserve"> </w:t>
      </w:r>
      <w:r w:rsidRPr="00433168">
        <w:rPr>
          <w:rFonts w:ascii="Traditional Arabic" w:hAnsi="Traditional Arabic"/>
          <w:rtl/>
        </w:rPr>
        <w:t xml:space="preserve">فيقولون: هذا الموت، فيُذبَح، ثم يقال: يا أهل الجنة خلود فلا موت، ويا أهل النار خلود فلا موت ثم قرأ رسول الله </w:t>
      </w:r>
      <w:r w:rsidRPr="00433168">
        <w:rPr>
          <w:rFonts w:ascii="Traditional Arabic" w:hAnsi="Traditional Arabic"/>
          <w:lang w:eastAsia="en-US"/>
        </w:rPr>
        <w:sym w:font="AGA Arabesque" w:char="F072"/>
      </w:r>
      <w:r w:rsidRPr="00433168">
        <w:rPr>
          <w:rFonts w:ascii="Traditional Arabic" w:hAnsi="Traditional Arabic"/>
          <w:rtl/>
        </w:rPr>
        <w:t xml:space="preserve">: </w:t>
      </w:r>
      <w:r w:rsidRPr="00433168">
        <w:rPr>
          <w:rFonts w:ascii="QCF_BSML" w:hAnsi="QCF_BSML" w:cs="QCF_BSML"/>
          <w:color w:val="auto"/>
          <w:sz w:val="32"/>
          <w:szCs w:val="32"/>
          <w:rtl/>
          <w:lang w:eastAsia="en-US"/>
        </w:rPr>
        <w:t>ﭽ</w:t>
      </w:r>
      <w:r w:rsidRPr="00433168">
        <w:rPr>
          <w:rFonts w:ascii="QCF_P308" w:hAnsi="QCF_P308" w:cs="QCF_P308"/>
          <w:color w:val="auto"/>
          <w:sz w:val="32"/>
          <w:szCs w:val="32"/>
          <w:rtl/>
          <w:lang w:eastAsia="en-US"/>
        </w:rPr>
        <w:t xml:space="preserve"> ﭑ  ﭒ  ﭓ  ﭔ  ﭕ  ﭖ   ﭗ  ﭘ  ﭙ  ﭚ  ﭛ  ﭜ</w:t>
      </w:r>
      <w:r w:rsidRPr="00433168">
        <w:rPr>
          <w:rFonts w:ascii="QCF_BSML" w:hAnsi="QCF_BSML" w:cs="QCF_BSML"/>
          <w:color w:val="auto"/>
          <w:sz w:val="32"/>
          <w:szCs w:val="32"/>
          <w:rtl/>
          <w:lang w:eastAsia="en-US"/>
        </w:rPr>
        <w:t xml:space="preserve"> ﭼ</w:t>
      </w:r>
      <w:r w:rsidRPr="00433168">
        <w:rPr>
          <w:rFonts w:ascii="QCF_P308" w:hAnsi="QCF_P308" w:cs="QCF_P308"/>
          <w:color w:val="auto"/>
          <w:sz w:val="32"/>
          <w:szCs w:val="32"/>
          <w:rtl/>
          <w:lang w:eastAsia="en-US"/>
        </w:rPr>
        <w:t xml:space="preserve">   </w:t>
      </w:r>
      <w:r w:rsidRPr="00433168">
        <w:rPr>
          <w:rFonts w:ascii="Traditional Arabic" w:hAnsi="Traditional Arabic"/>
          <w:rtl/>
        </w:rPr>
        <w:t>»</w:t>
      </w:r>
      <w:r w:rsidRPr="00433168">
        <w:rPr>
          <w:vertAlign w:val="superscript"/>
          <w:rtl/>
        </w:rPr>
        <w:t>(</w:t>
      </w:r>
      <w:r w:rsidRPr="00433168">
        <w:rPr>
          <w:vertAlign w:val="superscript"/>
          <w:rtl/>
        </w:rPr>
        <w:footnoteReference w:id="2396"/>
      </w:r>
      <w:r w:rsidRPr="00433168">
        <w:rPr>
          <w:vertAlign w:val="superscript"/>
          <w:rtl/>
        </w:rPr>
        <w:t>)</w:t>
      </w:r>
      <w:r w:rsidRPr="00433168">
        <w:rPr>
          <w:rFonts w:ascii="Traditional Arabic" w:hAnsi="Traditional Arabic" w:hint="cs"/>
          <w:rtl/>
        </w:rPr>
        <w:t>.</w:t>
      </w:r>
      <w:r w:rsidRPr="00433168">
        <w:rPr>
          <w:rFonts w:ascii="Traditional Arabic" w:hAnsi="Traditional Arabic"/>
          <w:rtl/>
        </w:rPr>
        <w:t xml:space="preserve"> قال المفسرون:</w:t>
      </w:r>
      <w:r w:rsidRPr="00433168">
        <w:rPr>
          <w:rFonts w:ascii="Traditional Arabic" w:hAnsi="Traditional Arabic" w:hint="cs"/>
          <w:rtl/>
        </w:rPr>
        <w:t xml:space="preserve"> </w:t>
      </w:r>
      <w:r w:rsidRPr="00433168">
        <w:rPr>
          <w:rFonts w:ascii="Traditional Arabic" w:hAnsi="Traditional Arabic"/>
          <w:rtl/>
        </w:rPr>
        <w:t>فهذه هي الحسرة إِذا ذُبِح الموت، فلو مات أحد فرحاً مات أهل الجنة، ولو مات أحد حزناً مات أهل النار</w:t>
      </w:r>
      <w:r w:rsidRPr="00433168">
        <w:rPr>
          <w:vertAlign w:val="superscript"/>
          <w:rtl/>
        </w:rPr>
        <w:t>(</w:t>
      </w:r>
      <w:r w:rsidRPr="00433168">
        <w:rPr>
          <w:vertAlign w:val="superscript"/>
          <w:rtl/>
        </w:rPr>
        <w:footnoteReference w:id="2397"/>
      </w:r>
      <w:r w:rsidRPr="00433168">
        <w:rPr>
          <w:vertAlign w:val="superscript"/>
          <w:rtl/>
        </w:rPr>
        <w:t>)</w:t>
      </w:r>
      <w:r w:rsidRPr="00433168">
        <w:rPr>
          <w:rFonts w:ascii="Traditional Arabic" w:hAnsi="Traditional Arabic"/>
          <w:rtl/>
        </w:rPr>
        <w:t>.</w:t>
      </w:r>
      <w:r w:rsidRPr="00433168">
        <w:rPr>
          <w:rFonts w:ascii="Traditional Arabic" w:hAnsi="Traditional Arabic" w:hint="cs"/>
          <w:rtl/>
        </w:rPr>
        <w:t xml:space="preserve"> </w:t>
      </w:r>
      <w:r w:rsidRPr="00433168">
        <w:rPr>
          <w:rFonts w:ascii="Traditional Arabic" w:hAnsi="Traditional Arabic"/>
          <w:rtl/>
        </w:rPr>
        <w:t>ومن موجبات الحسرة ما روى عديُّ بن حاتم</w:t>
      </w:r>
      <w:r w:rsidRPr="00433168">
        <w:rPr>
          <w:vertAlign w:val="superscript"/>
          <w:rtl/>
        </w:rPr>
        <w:t>(</w:t>
      </w:r>
      <w:r w:rsidRPr="00433168">
        <w:rPr>
          <w:vertAlign w:val="superscript"/>
          <w:rtl/>
        </w:rPr>
        <w:footnoteReference w:id="2398"/>
      </w:r>
      <w:r w:rsidRPr="00433168">
        <w:rPr>
          <w:vertAlign w:val="superscript"/>
          <w:rtl/>
        </w:rPr>
        <w:t>)</w:t>
      </w:r>
      <w:r w:rsidRPr="00433168">
        <w:rPr>
          <w:rFonts w:ascii="Traditional Arabic" w:hAnsi="Traditional Arabic"/>
          <w:rtl/>
        </w:rPr>
        <w:t xml:space="preserve">عن رسول الله </w:t>
      </w:r>
      <w:r w:rsidRPr="00433168">
        <w:rPr>
          <w:rFonts w:ascii="Traditional Arabic" w:hAnsi="Traditional Arabic"/>
          <w:lang w:eastAsia="en-US"/>
        </w:rPr>
        <w:sym w:font="AGA Arabesque" w:char="F072"/>
      </w:r>
      <w:r w:rsidRPr="00433168">
        <w:rPr>
          <w:rFonts w:ascii="Traditional Arabic" w:hAnsi="Traditional Arabic" w:hint="cs"/>
          <w:rtl/>
        </w:rPr>
        <w:t xml:space="preserve"> </w:t>
      </w:r>
      <w:r w:rsidRPr="00433168">
        <w:rPr>
          <w:rFonts w:ascii="Traditional Arabic" w:hAnsi="Traditional Arabic"/>
          <w:rtl/>
        </w:rPr>
        <w:t>أنه قال:</w:t>
      </w:r>
      <w:r w:rsidRPr="00433168">
        <w:rPr>
          <w:rFonts w:ascii="Traditional Arabic" w:hAnsi="Traditional Arabic" w:hint="cs"/>
          <w:rtl/>
        </w:rPr>
        <w:t xml:space="preserve"> </w:t>
      </w:r>
      <w:r w:rsidRPr="00433168">
        <w:rPr>
          <w:rFonts w:ascii="Traditional Arabic" w:hAnsi="Traditional Arabic"/>
          <w:rtl/>
        </w:rPr>
        <w:t>«يؤتى يوم القيامة بناسٍ إِلى الجنة، حتى إِذا دَنَوْا منها واستنشقوا ريحها ونظروا إِلى قصورها، نودوا: أن اصرفوهم عنها، لا نصيب لهم فيها، فيرجعون بحسرةٍ مَا رَجَعَ الأوَّلُون بمثلها.</w:t>
      </w:r>
      <w:r w:rsidRPr="00433168">
        <w:rPr>
          <w:rFonts w:ascii="Traditional Arabic" w:hAnsi="Traditional Arabic" w:hint="cs"/>
          <w:rtl/>
        </w:rPr>
        <w:t xml:space="preserve"> </w:t>
      </w:r>
      <w:r w:rsidRPr="00433168">
        <w:rPr>
          <w:rFonts w:ascii="Traditional Arabic" w:hAnsi="Traditional Arabic"/>
          <w:rtl/>
        </w:rPr>
        <w:t>فيقولون: يا ربنا لو أدخلْتَنا النار قبل أن تُرِيَنا ما أريتَنا كان أهون علينا قال: ذلك أردتُ بكم، كنتم إِذا خَلَوْتُمْ بارزتموني بالعظائم، وإِذا لقيتم الناس لقيتموهم مخبتين</w:t>
      </w:r>
      <w:r w:rsidRPr="00433168">
        <w:rPr>
          <w:vertAlign w:val="superscript"/>
          <w:rtl/>
        </w:rPr>
        <w:t>(</w:t>
      </w:r>
      <w:r w:rsidRPr="00433168">
        <w:rPr>
          <w:vertAlign w:val="superscript"/>
          <w:rtl/>
        </w:rPr>
        <w:footnoteReference w:id="2399"/>
      </w:r>
      <w:r w:rsidRPr="00433168">
        <w:rPr>
          <w:vertAlign w:val="superscript"/>
          <w:rtl/>
        </w:rPr>
        <w:t>)</w:t>
      </w:r>
      <w:r w:rsidRPr="00433168">
        <w:rPr>
          <w:rFonts w:ascii="Traditional Arabic" w:hAnsi="Traditional Arabic"/>
          <w:rtl/>
        </w:rPr>
        <w:t>، تراؤون الناس بخلاف ما تعطوني من قلوبكم، هِبْتم</w:t>
      </w:r>
      <w:r w:rsidRPr="00433168">
        <w:rPr>
          <w:vertAlign w:val="superscript"/>
          <w:rtl/>
        </w:rPr>
        <w:t>(</w:t>
      </w:r>
      <w:r w:rsidRPr="00433168">
        <w:rPr>
          <w:vertAlign w:val="superscript"/>
          <w:rtl/>
        </w:rPr>
        <w:footnoteReference w:id="2400"/>
      </w:r>
      <w:r w:rsidRPr="00433168">
        <w:rPr>
          <w:vertAlign w:val="superscript"/>
          <w:rtl/>
        </w:rPr>
        <w:t>)</w:t>
      </w:r>
      <w:r w:rsidRPr="00433168">
        <w:rPr>
          <w:rFonts w:ascii="Traditional Arabic" w:hAnsi="Traditional Arabic"/>
          <w:rtl/>
        </w:rPr>
        <w:t>الناس ولم تهابوني، وأجللتم</w:t>
      </w:r>
      <w:r w:rsidRPr="00433168">
        <w:rPr>
          <w:rFonts w:hint="cs"/>
          <w:rtl/>
        </w:rPr>
        <w:t xml:space="preserve"> </w:t>
      </w:r>
      <w:r w:rsidRPr="00433168">
        <w:rPr>
          <w:rFonts w:ascii="Traditional Arabic" w:hAnsi="Traditional Arabic"/>
          <w:rtl/>
        </w:rPr>
        <w:t xml:space="preserve">الناس ولم تُجِلُّوني، تركتم للناس ولم تتركوا لي، فاليوم أُذيقكم العذاب مع ما حرمتكم من </w:t>
      </w:r>
    </w:p>
    <w:p w:rsidR="00FE44F6" w:rsidRDefault="00FE44F6" w:rsidP="00FE44F6">
      <w:pPr>
        <w:ind w:firstLine="0"/>
        <w:rPr>
          <w:rFonts w:ascii="Traditional Arabic" w:hAnsi="Traditional Arabic"/>
          <w:rtl/>
        </w:rPr>
      </w:pPr>
    </w:p>
    <w:p w:rsidR="00433168" w:rsidRPr="00433168" w:rsidRDefault="00433168" w:rsidP="00FE44F6">
      <w:pPr>
        <w:ind w:firstLine="0"/>
        <w:rPr>
          <w:rFonts w:ascii="Traditional Arabic" w:hAnsi="Traditional Arabic"/>
          <w:rtl/>
        </w:rPr>
      </w:pPr>
      <w:r w:rsidRPr="00433168">
        <w:rPr>
          <w:rFonts w:ascii="Traditional Arabic" w:hAnsi="Traditional Arabic"/>
          <w:rtl/>
        </w:rPr>
        <w:lastRenderedPageBreak/>
        <w:t>الثواب»</w:t>
      </w:r>
      <w:r w:rsidRPr="00433168">
        <w:rPr>
          <w:vertAlign w:val="superscript"/>
          <w:rtl/>
        </w:rPr>
        <w:t>(</w:t>
      </w:r>
      <w:r w:rsidRPr="00433168">
        <w:rPr>
          <w:vertAlign w:val="superscript"/>
          <w:rtl/>
        </w:rPr>
        <w:footnoteReference w:id="2401"/>
      </w:r>
      <w:r w:rsidRPr="00433168">
        <w:rPr>
          <w:vertAlign w:val="superscript"/>
          <w:rtl/>
        </w:rPr>
        <w:t>)</w:t>
      </w:r>
      <w:r w:rsidRPr="00433168">
        <w:rPr>
          <w:rFonts w:ascii="Traditional Arabic" w:hAnsi="Traditional Arabic"/>
          <w:rtl/>
        </w:rPr>
        <w:t>.</w:t>
      </w:r>
      <w:r w:rsidR="00FE44F6">
        <w:rPr>
          <w:rFonts w:ascii="Traditional Arabic" w:hAnsi="Traditional Arabic" w:hint="cs"/>
          <w:rtl/>
        </w:rPr>
        <w:t xml:space="preserve"> </w:t>
      </w:r>
      <w:r w:rsidRPr="00433168">
        <w:rPr>
          <w:rFonts w:ascii="Traditional Arabic" w:hAnsi="Traditional Arabic"/>
          <w:rtl/>
        </w:rPr>
        <w:t>ومن موجبات الحسرة ما روي عن ابن مسعود قال: ليس من نفس يوم القيامة إِلا وهي تنظر إِلى بيت في الجنة، وبيت في النار، ثم يقال: يعني لهؤلاء: لو عملتم، ولأهل الجنة: لولا أن منّ الله</w:t>
      </w:r>
      <w:r w:rsidRPr="00433168">
        <w:rPr>
          <w:rFonts w:ascii="Traditional Arabic" w:hAnsi="Traditional Arabic" w:hint="cs"/>
          <w:rtl/>
        </w:rPr>
        <w:t xml:space="preserve"> </w:t>
      </w:r>
      <w:r w:rsidRPr="00433168">
        <w:rPr>
          <w:rFonts w:ascii="Traditional Arabic" w:hAnsi="Traditional Arabic"/>
          <w:rtl/>
        </w:rPr>
        <w:t>عليكم</w:t>
      </w:r>
      <w:r w:rsidRPr="00433168">
        <w:rPr>
          <w:vertAlign w:val="superscript"/>
          <w:rtl/>
        </w:rPr>
        <w:t>(</w:t>
      </w:r>
      <w:r w:rsidRPr="00433168">
        <w:rPr>
          <w:vertAlign w:val="superscript"/>
          <w:rtl/>
        </w:rPr>
        <w:footnoteReference w:id="2402"/>
      </w:r>
      <w:r w:rsidRPr="00433168">
        <w:rPr>
          <w:vertAlign w:val="superscript"/>
          <w:rtl/>
        </w:rPr>
        <w:t>)</w:t>
      </w:r>
      <w:r w:rsidRPr="00433168">
        <w:rPr>
          <w:rFonts w:ascii="Traditional Arabic" w:hAnsi="Traditional Arabic"/>
          <w:rtl/>
        </w:rPr>
        <w:t>. ومن موجبات الحسرة: قطع الرجاءِ عند إِطباق النار على أهلها.</w:t>
      </w:r>
    </w:p>
    <w:p w:rsidR="00433168" w:rsidRPr="00433168" w:rsidRDefault="00433168" w:rsidP="00433168">
      <w:pPr>
        <w:ind w:firstLine="0"/>
        <w:rPr>
          <w:rFonts w:ascii="Traditional Arabic" w:hAnsi="Traditional Arabic"/>
          <w:rtl/>
        </w:rPr>
      </w:pPr>
      <w:r w:rsidRPr="00433168">
        <w:rPr>
          <w:rFonts w:ascii="Traditional Arabic" w:hAnsi="Traditional Arabic"/>
          <w:rtl/>
        </w:rPr>
        <w:t xml:space="preserve">قوله تعالى: </w:t>
      </w:r>
      <w:r w:rsidRPr="00433168">
        <w:rPr>
          <w:rFonts w:ascii="QCF_BSML" w:hAnsi="QCF_BSML" w:cs="QCF_BSML"/>
          <w:color w:val="auto"/>
          <w:sz w:val="32"/>
          <w:szCs w:val="32"/>
          <w:rtl/>
          <w:lang w:eastAsia="en-US"/>
        </w:rPr>
        <w:t>ﭽ</w:t>
      </w:r>
      <w:r w:rsidRPr="00433168">
        <w:rPr>
          <w:rFonts w:ascii="QCF_P308" w:hAnsi="QCF_P308" w:cs="QCF_P308"/>
          <w:color w:val="auto"/>
          <w:sz w:val="32"/>
          <w:szCs w:val="32"/>
          <w:rtl/>
          <w:lang w:eastAsia="en-US"/>
        </w:rPr>
        <w:t xml:space="preserve"> ﭔ  ﭕ  ﭖ </w:t>
      </w:r>
      <w:r w:rsidRPr="00433168">
        <w:rPr>
          <w:rFonts w:ascii="QCF_BSML" w:hAnsi="QCF_BSML" w:cs="QCF_BSML"/>
          <w:color w:val="auto"/>
          <w:sz w:val="32"/>
          <w:szCs w:val="32"/>
          <w:rtl/>
          <w:lang w:eastAsia="en-US"/>
        </w:rPr>
        <w:t>ﭼ</w:t>
      </w:r>
      <w:r w:rsidRPr="00433168">
        <w:rPr>
          <w:rFonts w:ascii="QCF_P308" w:hAnsi="QCF_P308" w:cs="QCF_P308"/>
          <w:color w:val="auto"/>
          <w:sz w:val="32"/>
          <w:szCs w:val="32"/>
          <w:rtl/>
          <w:lang w:eastAsia="en-US"/>
        </w:rPr>
        <w:t xml:space="preserve">     </w:t>
      </w:r>
      <w:r w:rsidRPr="00433168">
        <w:rPr>
          <w:rFonts w:ascii="Traditional Arabic" w:hAnsi="Traditional Arabic"/>
          <w:rtl/>
        </w:rPr>
        <w:t xml:space="preserve">قال ابن الأنباري: </w:t>
      </w:r>
      <w:r w:rsidRPr="00433168">
        <w:rPr>
          <w:rFonts w:ascii="QCF_BSML" w:hAnsi="QCF_BSML" w:cs="QCF_BSML"/>
          <w:color w:val="auto"/>
          <w:sz w:val="32"/>
          <w:szCs w:val="32"/>
          <w:rtl/>
          <w:lang w:eastAsia="en-US"/>
        </w:rPr>
        <w:t>ﭽ</w:t>
      </w:r>
      <w:r w:rsidRPr="00433168">
        <w:rPr>
          <w:rFonts w:ascii="QCF_P308" w:hAnsi="QCF_P308" w:cs="QCF_P308"/>
          <w:color w:val="auto"/>
          <w:sz w:val="32"/>
          <w:szCs w:val="32"/>
          <w:rtl/>
          <w:lang w:eastAsia="en-US"/>
        </w:rPr>
        <w:t xml:space="preserve"> ﭕ</w:t>
      </w:r>
      <w:r w:rsidRPr="00433168">
        <w:rPr>
          <w:rFonts w:ascii="QCF_BSML" w:hAnsi="QCF_BSML" w:cs="QCF_BSML"/>
          <w:color w:val="auto"/>
          <w:sz w:val="32"/>
          <w:szCs w:val="32"/>
          <w:rtl/>
          <w:lang w:eastAsia="en-US"/>
        </w:rPr>
        <w:t xml:space="preserve"> ﭼ</w:t>
      </w:r>
      <w:r w:rsidRPr="00433168">
        <w:rPr>
          <w:rFonts w:ascii="Traditional Arabic" w:hAnsi="Traditional Arabic"/>
          <w:rtl/>
        </w:rPr>
        <w:t xml:space="preserve"> في اللغة بمعنى: أُتقن وأُحكم، وإِنما سمِّي الحاكم قاضياً، لإِتقانه وإِحكامه ما ينفِّذ. وفي الآية اختصار، والمعنى: إِذ قضي الأمر الذي فيه هلاكهم</w:t>
      </w:r>
      <w:r w:rsidRPr="00433168">
        <w:rPr>
          <w:vertAlign w:val="superscript"/>
          <w:rtl/>
        </w:rPr>
        <w:t>(</w:t>
      </w:r>
      <w:r w:rsidRPr="00433168">
        <w:rPr>
          <w:vertAlign w:val="superscript"/>
          <w:rtl/>
        </w:rPr>
        <w:footnoteReference w:id="2403"/>
      </w:r>
      <w:r w:rsidRPr="00433168">
        <w:rPr>
          <w:vertAlign w:val="superscript"/>
          <w:rtl/>
        </w:rPr>
        <w:t>)</w:t>
      </w:r>
      <w:r w:rsidRPr="00433168">
        <w:rPr>
          <w:rFonts w:ascii="Traditional Arabic" w:hAnsi="Traditional Arabic"/>
          <w:rtl/>
        </w:rPr>
        <w:t>. وللمفسرين في الأمر قولان: أحدهما: أنه ذبح الموت، قاله ابن جريج</w:t>
      </w:r>
      <w:r w:rsidRPr="00433168">
        <w:rPr>
          <w:vertAlign w:val="superscript"/>
          <w:rtl/>
        </w:rPr>
        <w:t>(</w:t>
      </w:r>
      <w:r w:rsidRPr="00433168">
        <w:rPr>
          <w:vertAlign w:val="superscript"/>
          <w:rtl/>
        </w:rPr>
        <w:footnoteReference w:id="2404"/>
      </w:r>
      <w:r w:rsidRPr="00433168">
        <w:rPr>
          <w:vertAlign w:val="superscript"/>
          <w:rtl/>
        </w:rPr>
        <w:t>)</w:t>
      </w:r>
      <w:r w:rsidRPr="00433168">
        <w:rPr>
          <w:rFonts w:ascii="Traditional Arabic" w:hAnsi="Traditional Arabic"/>
          <w:rtl/>
        </w:rPr>
        <w:t>، والسدي</w:t>
      </w:r>
      <w:r w:rsidRPr="00433168">
        <w:rPr>
          <w:vertAlign w:val="superscript"/>
          <w:rtl/>
        </w:rPr>
        <w:t>(</w:t>
      </w:r>
      <w:r w:rsidRPr="00433168">
        <w:rPr>
          <w:vertAlign w:val="superscript"/>
          <w:rtl/>
        </w:rPr>
        <w:footnoteReference w:id="2405"/>
      </w:r>
      <w:r w:rsidRPr="00433168">
        <w:rPr>
          <w:vertAlign w:val="superscript"/>
          <w:rtl/>
        </w:rPr>
        <w:t>)</w:t>
      </w:r>
      <w:r w:rsidRPr="00433168">
        <w:rPr>
          <w:rFonts w:ascii="Traditional Arabic" w:hAnsi="Traditional Arabic"/>
          <w:rtl/>
        </w:rPr>
        <w:t>. والثاني:</w:t>
      </w:r>
      <w:r w:rsidRPr="00433168">
        <w:rPr>
          <w:rFonts w:ascii="Traditional Arabic" w:hAnsi="Traditional Arabic" w:hint="cs"/>
          <w:rtl/>
        </w:rPr>
        <w:t xml:space="preserve"> </w:t>
      </w:r>
      <w:r w:rsidRPr="00433168">
        <w:rPr>
          <w:rFonts w:ascii="Traditional Arabic" w:hAnsi="Traditional Arabic"/>
          <w:rtl/>
        </w:rPr>
        <w:t>أن المعنى: قُضي العذاب لهم، قاله مقاتل</w:t>
      </w:r>
      <w:r w:rsidRPr="00433168">
        <w:rPr>
          <w:vertAlign w:val="superscript"/>
          <w:rtl/>
        </w:rPr>
        <w:t>(</w:t>
      </w:r>
      <w:r w:rsidRPr="00433168">
        <w:rPr>
          <w:vertAlign w:val="superscript"/>
          <w:rtl/>
        </w:rPr>
        <w:footnoteReference w:id="2406"/>
      </w:r>
      <w:r w:rsidRPr="00433168">
        <w:rPr>
          <w:vertAlign w:val="superscript"/>
          <w:rtl/>
        </w:rPr>
        <w:t>)</w:t>
      </w:r>
      <w:r w:rsidRPr="00433168">
        <w:rPr>
          <w:rFonts w:ascii="Traditional Arabic" w:hAnsi="Traditional Arabic"/>
          <w:rtl/>
        </w:rPr>
        <w:t>.</w:t>
      </w:r>
      <w:r w:rsidRPr="00433168">
        <w:rPr>
          <w:rFonts w:ascii="Traditional Arabic" w:hAnsi="Traditional Arabic" w:hint="cs"/>
          <w:rtl/>
        </w:rPr>
        <w:t xml:space="preserve"> </w:t>
      </w:r>
      <w:r w:rsidRPr="00433168">
        <w:rPr>
          <w:rFonts w:ascii="Traditional Arabic" w:hAnsi="Traditional Arabic"/>
          <w:rtl/>
        </w:rPr>
        <w:t xml:space="preserve">قوله تعالى: </w:t>
      </w:r>
      <w:r w:rsidRPr="00433168">
        <w:rPr>
          <w:rFonts w:ascii="QCF_BSML" w:hAnsi="QCF_BSML" w:cs="QCF_BSML"/>
          <w:color w:val="auto"/>
          <w:sz w:val="32"/>
          <w:szCs w:val="32"/>
          <w:rtl/>
          <w:lang w:eastAsia="en-US"/>
        </w:rPr>
        <w:t>ﭽ</w:t>
      </w:r>
      <w:r w:rsidRPr="00433168">
        <w:rPr>
          <w:rFonts w:ascii="QCF_P308" w:hAnsi="QCF_P308" w:cs="QCF_P308"/>
          <w:color w:val="auto"/>
          <w:sz w:val="32"/>
          <w:szCs w:val="32"/>
          <w:rtl/>
          <w:lang w:eastAsia="en-US"/>
        </w:rPr>
        <w:t xml:space="preserve"> ﭗ  ﭘ  ﭙ</w:t>
      </w:r>
      <w:r w:rsidRPr="00433168">
        <w:rPr>
          <w:rFonts w:ascii="QCF_BSML" w:hAnsi="QCF_BSML" w:cs="QCF_BSML"/>
          <w:color w:val="auto"/>
          <w:sz w:val="32"/>
          <w:szCs w:val="32"/>
          <w:rtl/>
          <w:lang w:eastAsia="en-US"/>
        </w:rPr>
        <w:t xml:space="preserve"> ﭼ</w:t>
      </w:r>
      <w:r w:rsidRPr="00433168">
        <w:rPr>
          <w:rFonts w:ascii="QCF_P308" w:hAnsi="QCF_P308" w:cs="QCF_P308"/>
          <w:color w:val="auto"/>
          <w:sz w:val="32"/>
          <w:szCs w:val="32"/>
          <w:rtl/>
          <w:lang w:eastAsia="en-US"/>
        </w:rPr>
        <w:t xml:space="preserve">  </w:t>
      </w:r>
      <w:r w:rsidRPr="00433168">
        <w:rPr>
          <w:rFonts w:ascii="Traditional Arabic" w:hAnsi="Traditional Arabic" w:hint="cs"/>
          <w:rtl/>
        </w:rPr>
        <w:t xml:space="preserve"> </w:t>
      </w:r>
      <w:r w:rsidRPr="00433168">
        <w:rPr>
          <w:rFonts w:ascii="Traditional Arabic" w:hAnsi="Traditional Arabic"/>
          <w:rtl/>
        </w:rPr>
        <w:t xml:space="preserve">هم في الدنيا في غفلة عما يُصنَع بهم ذلك اليوم </w:t>
      </w:r>
      <w:r w:rsidRPr="00433168">
        <w:rPr>
          <w:rFonts w:ascii="QCF_BSML" w:hAnsi="QCF_BSML" w:cs="QCF_BSML"/>
          <w:color w:val="auto"/>
          <w:sz w:val="32"/>
          <w:szCs w:val="32"/>
          <w:rtl/>
          <w:lang w:eastAsia="en-US"/>
        </w:rPr>
        <w:t>ﭽ</w:t>
      </w:r>
      <w:r w:rsidRPr="00433168">
        <w:rPr>
          <w:rFonts w:ascii="QCF_P308" w:hAnsi="QCF_P308" w:cs="QCF_P308"/>
          <w:color w:val="auto"/>
          <w:sz w:val="32"/>
          <w:szCs w:val="32"/>
          <w:rtl/>
          <w:lang w:eastAsia="en-US"/>
        </w:rPr>
        <w:t xml:space="preserve"> ﭚ  ﭛ  ﭜ </w:t>
      </w:r>
      <w:r w:rsidRPr="00433168">
        <w:rPr>
          <w:rFonts w:ascii="QCF_BSML" w:hAnsi="QCF_BSML" w:cs="QCF_BSML"/>
          <w:color w:val="auto"/>
          <w:sz w:val="32"/>
          <w:szCs w:val="32"/>
          <w:rtl/>
          <w:lang w:eastAsia="en-US"/>
        </w:rPr>
        <w:t>ﭼ</w:t>
      </w:r>
      <w:r w:rsidRPr="00433168">
        <w:rPr>
          <w:rFonts w:ascii="QCF_P308" w:hAnsi="QCF_P308" w:cs="QCF_P308"/>
          <w:color w:val="auto"/>
          <w:sz w:val="32"/>
          <w:szCs w:val="32"/>
          <w:rtl/>
          <w:lang w:eastAsia="en-US"/>
        </w:rPr>
        <w:t xml:space="preserve">  </w:t>
      </w:r>
      <w:r w:rsidRPr="00433168">
        <w:rPr>
          <w:rFonts w:ascii="Traditional Arabic" w:hAnsi="Traditional Arabic" w:hint="cs"/>
          <w:rtl/>
        </w:rPr>
        <w:t xml:space="preserve"> </w:t>
      </w:r>
      <w:r w:rsidRPr="00433168">
        <w:rPr>
          <w:rFonts w:ascii="Traditional Arabic" w:hAnsi="Traditional Arabic"/>
          <w:rtl/>
        </w:rPr>
        <w:t>بما يكون في الآخرة.</w:t>
      </w:r>
    </w:p>
    <w:p w:rsidR="00FB15D0" w:rsidRDefault="00433168" w:rsidP="00E77E21">
      <w:pPr>
        <w:ind w:firstLine="0"/>
        <w:rPr>
          <w:rFonts w:ascii="Traditional Arabic" w:hAnsi="Traditional Arabic"/>
          <w:rtl/>
        </w:rPr>
      </w:pPr>
      <w:r w:rsidRPr="00433168">
        <w:rPr>
          <w:rFonts w:ascii="Traditional Arabic" w:hAnsi="Traditional Arabic" w:hint="cs"/>
          <w:rtl/>
        </w:rPr>
        <w:t xml:space="preserve"> </w:t>
      </w:r>
      <w:r w:rsidRPr="00433168">
        <w:rPr>
          <w:rFonts w:ascii="Traditional Arabic" w:hAnsi="Traditional Arabic"/>
          <w:sz w:val="32"/>
          <w:szCs w:val="32"/>
          <w:rtl/>
        </w:rPr>
        <w:t>[</w:t>
      </w:r>
      <w:r w:rsidRPr="00433168">
        <w:rPr>
          <w:rFonts w:ascii="Traditional Arabic" w:hAnsi="Traditional Arabic" w:hint="cs"/>
          <w:sz w:val="32"/>
          <w:szCs w:val="32"/>
          <w:rtl/>
        </w:rPr>
        <w:t>174</w:t>
      </w:r>
      <w:r w:rsidRPr="00433168">
        <w:rPr>
          <w:rFonts w:ascii="Traditional Arabic" w:hAnsi="Traditional Arabic"/>
          <w:sz w:val="32"/>
          <w:szCs w:val="32"/>
          <w:rtl/>
        </w:rPr>
        <w:t>]</w:t>
      </w:r>
      <w:r w:rsidRPr="00433168">
        <w:rPr>
          <w:rFonts w:ascii="Traditional Arabic" w:hAnsi="Traditional Arabic"/>
          <w:rtl/>
        </w:rPr>
        <w:t xml:space="preserve"> قوله تعالى: </w:t>
      </w:r>
      <w:r w:rsidRPr="00433168">
        <w:rPr>
          <w:rFonts w:ascii="QCF_BSML" w:hAnsi="QCF_BSML" w:cs="QCF_BSML"/>
          <w:color w:val="auto"/>
          <w:sz w:val="32"/>
          <w:szCs w:val="32"/>
          <w:rtl/>
          <w:lang w:eastAsia="en-US"/>
        </w:rPr>
        <w:t>ﭽ</w:t>
      </w:r>
      <w:r w:rsidRPr="00433168">
        <w:rPr>
          <w:rFonts w:ascii="QCF_P308" w:hAnsi="QCF_P308" w:cs="QCF_P308"/>
          <w:color w:val="auto"/>
          <w:sz w:val="32"/>
          <w:szCs w:val="32"/>
          <w:rtl/>
          <w:lang w:eastAsia="en-US"/>
        </w:rPr>
        <w:t xml:space="preserve"> ﭞ  ﭟ  ﭠ  ﭡ</w:t>
      </w:r>
      <w:r w:rsidRPr="00433168">
        <w:rPr>
          <w:rFonts w:ascii="QCF_BSML" w:hAnsi="QCF_BSML" w:cs="QCF_BSML"/>
          <w:color w:val="auto"/>
          <w:sz w:val="32"/>
          <w:szCs w:val="32"/>
          <w:rtl/>
          <w:lang w:eastAsia="en-US"/>
        </w:rPr>
        <w:t xml:space="preserve"> ﭼ</w:t>
      </w:r>
      <w:r w:rsidRPr="00433168">
        <w:rPr>
          <w:rFonts w:ascii="QCF_P308" w:hAnsi="QCF_P308" w:cs="QCF_P308"/>
          <w:color w:val="auto"/>
          <w:sz w:val="32"/>
          <w:szCs w:val="32"/>
          <w:rtl/>
          <w:lang w:eastAsia="en-US"/>
        </w:rPr>
        <w:t xml:space="preserve">  </w:t>
      </w:r>
      <w:r w:rsidRPr="00433168">
        <w:rPr>
          <w:rFonts w:ascii="Traditional Arabic" w:hAnsi="Traditional Arabic" w:hint="cs"/>
          <w:rtl/>
        </w:rPr>
        <w:t xml:space="preserve"> </w:t>
      </w:r>
      <w:r w:rsidRPr="00433168">
        <w:rPr>
          <w:rFonts w:ascii="Traditional Arabic" w:hAnsi="Traditional Arabic"/>
          <w:rtl/>
        </w:rPr>
        <w:t xml:space="preserve">أي: نُميت سكَّانها فنرثها </w:t>
      </w:r>
      <w:r w:rsidRPr="00433168">
        <w:rPr>
          <w:rFonts w:ascii="QCF_BSML" w:hAnsi="QCF_BSML" w:cs="QCF_BSML"/>
          <w:color w:val="auto"/>
          <w:sz w:val="32"/>
          <w:szCs w:val="32"/>
          <w:rtl/>
          <w:lang w:eastAsia="en-US"/>
        </w:rPr>
        <w:t>ﭽ</w:t>
      </w:r>
      <w:r w:rsidRPr="00433168">
        <w:rPr>
          <w:rFonts w:ascii="QCF_P308" w:hAnsi="QCF_P308" w:cs="QCF_P308"/>
          <w:color w:val="auto"/>
          <w:sz w:val="32"/>
          <w:szCs w:val="32"/>
          <w:rtl/>
          <w:lang w:eastAsia="en-US"/>
        </w:rPr>
        <w:t xml:space="preserve"> ﭢ  ﭣ  ﭤ  ﭥ</w:t>
      </w:r>
      <w:r w:rsidRPr="00433168">
        <w:rPr>
          <w:rFonts w:ascii="QCF_BSML" w:hAnsi="QCF_BSML" w:cs="QCF_BSML"/>
          <w:color w:val="auto"/>
          <w:sz w:val="32"/>
          <w:szCs w:val="32"/>
          <w:rtl/>
          <w:lang w:eastAsia="en-US"/>
        </w:rPr>
        <w:t>ﭼ</w:t>
      </w:r>
      <w:r w:rsidRPr="00433168">
        <w:rPr>
          <w:rFonts w:ascii="QCF_P308" w:hAnsi="QCF_P308" w:cs="QCF_P308"/>
          <w:color w:val="auto"/>
          <w:sz w:val="32"/>
          <w:szCs w:val="32"/>
          <w:rtl/>
          <w:lang w:eastAsia="en-US"/>
        </w:rPr>
        <w:t xml:space="preserve">  </w:t>
      </w:r>
      <w:r w:rsidRPr="00433168">
        <w:rPr>
          <w:rFonts w:ascii="Traditional Arabic" w:hAnsi="Traditional Arabic" w:hint="cs"/>
          <w:rtl/>
        </w:rPr>
        <w:t xml:space="preserve"> </w:t>
      </w:r>
      <w:r w:rsidRPr="00433168">
        <w:rPr>
          <w:rFonts w:ascii="Traditional Arabic" w:hAnsi="Traditional Arabic"/>
          <w:rtl/>
        </w:rPr>
        <w:t xml:space="preserve">بعد الموت. فإن قيل: ما الفائدة في </w:t>
      </w:r>
      <w:r w:rsidRPr="00433168">
        <w:rPr>
          <w:rFonts w:ascii="QCF_BSML" w:hAnsi="QCF_BSML" w:cs="QCF_BSML"/>
          <w:color w:val="auto"/>
          <w:sz w:val="32"/>
          <w:szCs w:val="32"/>
          <w:rtl/>
          <w:lang w:eastAsia="en-US"/>
        </w:rPr>
        <w:t>ﭽ</w:t>
      </w:r>
      <w:r w:rsidRPr="00433168">
        <w:rPr>
          <w:rFonts w:ascii="QCF_P308" w:hAnsi="QCF_P308" w:cs="QCF_P308"/>
          <w:color w:val="auto"/>
          <w:sz w:val="32"/>
          <w:szCs w:val="32"/>
          <w:rtl/>
          <w:lang w:eastAsia="en-US"/>
        </w:rPr>
        <w:t xml:space="preserve"> ﭟ</w:t>
      </w:r>
      <w:r w:rsidRPr="00433168">
        <w:rPr>
          <w:rFonts w:ascii="QCF_BSML" w:hAnsi="QCF_BSML" w:cs="QCF_BSML"/>
          <w:color w:val="auto"/>
          <w:sz w:val="32"/>
          <w:szCs w:val="32"/>
          <w:rtl/>
          <w:lang w:eastAsia="en-US"/>
        </w:rPr>
        <w:t xml:space="preserve"> ﭼ</w:t>
      </w:r>
      <w:r w:rsidRPr="00433168">
        <w:rPr>
          <w:rFonts w:ascii="Traditional Arabic" w:hAnsi="Traditional Arabic"/>
          <w:rtl/>
        </w:rPr>
        <w:t xml:space="preserve"> وقد كفت عنها </w:t>
      </w:r>
      <w:r w:rsidRPr="00433168">
        <w:rPr>
          <w:rFonts w:ascii="QCF_BSML" w:hAnsi="QCF_BSML" w:cs="QCF_BSML"/>
          <w:color w:val="auto"/>
          <w:sz w:val="32"/>
          <w:szCs w:val="32"/>
          <w:rtl/>
          <w:lang w:eastAsia="en-US"/>
        </w:rPr>
        <w:t>ﭽ</w:t>
      </w:r>
      <w:r w:rsidRPr="00433168">
        <w:rPr>
          <w:rFonts w:ascii="QCF_P308" w:hAnsi="QCF_P308" w:cs="QCF_P308"/>
          <w:color w:val="auto"/>
          <w:sz w:val="32"/>
          <w:szCs w:val="32"/>
          <w:rtl/>
          <w:lang w:eastAsia="en-US"/>
        </w:rPr>
        <w:t xml:space="preserve"> ﭞ</w:t>
      </w:r>
      <w:r w:rsidRPr="00433168">
        <w:rPr>
          <w:rFonts w:ascii="QCF_BSML" w:hAnsi="QCF_BSML" w:cs="QCF_BSML"/>
          <w:color w:val="auto"/>
          <w:sz w:val="32"/>
          <w:szCs w:val="32"/>
          <w:rtl/>
          <w:lang w:eastAsia="en-US"/>
        </w:rPr>
        <w:t xml:space="preserve"> ﭼ</w:t>
      </w:r>
      <w:r w:rsidRPr="00433168">
        <w:rPr>
          <w:rFonts w:ascii="Traditional Arabic" w:hAnsi="Traditional Arabic"/>
          <w:rtl/>
        </w:rPr>
        <w:t xml:space="preserve"> ؟ فالجواب: أنه لما جاز في قول المعظّم: «إنّا نفعل» أن يتوهّم أنّ أتباعه فعلوا، وأبانت </w:t>
      </w:r>
      <w:r w:rsidRPr="00433168">
        <w:rPr>
          <w:rFonts w:ascii="QCF_BSML" w:hAnsi="QCF_BSML" w:cs="QCF_BSML"/>
          <w:color w:val="auto"/>
          <w:sz w:val="32"/>
          <w:szCs w:val="32"/>
          <w:rtl/>
          <w:lang w:eastAsia="en-US"/>
        </w:rPr>
        <w:t>ﭽ</w:t>
      </w:r>
      <w:r w:rsidRPr="00433168">
        <w:rPr>
          <w:rFonts w:ascii="QCF_P308" w:hAnsi="QCF_P308" w:cs="QCF_P308"/>
          <w:color w:val="auto"/>
          <w:sz w:val="32"/>
          <w:szCs w:val="32"/>
          <w:rtl/>
          <w:lang w:eastAsia="en-US"/>
        </w:rPr>
        <w:t xml:space="preserve"> ﭟ</w:t>
      </w:r>
      <w:r w:rsidRPr="00433168">
        <w:rPr>
          <w:rFonts w:ascii="QCF_BSML" w:hAnsi="QCF_BSML" w:cs="QCF_BSML"/>
          <w:color w:val="auto"/>
          <w:sz w:val="32"/>
          <w:szCs w:val="32"/>
          <w:rtl/>
          <w:lang w:eastAsia="en-US"/>
        </w:rPr>
        <w:t xml:space="preserve"> ﭼ</w:t>
      </w:r>
      <w:r w:rsidRPr="00433168">
        <w:rPr>
          <w:rFonts w:ascii="Traditional Arabic" w:hAnsi="Traditional Arabic"/>
          <w:rtl/>
        </w:rPr>
        <w:t xml:space="preserve"> بأن الفعل مضاف إِليه حقيقة. فإن قيل:</w:t>
      </w:r>
      <w:r w:rsidRPr="00433168">
        <w:rPr>
          <w:rFonts w:ascii="Traditional Arabic" w:hAnsi="Traditional Arabic" w:hint="cs"/>
          <w:rtl/>
        </w:rPr>
        <w:t xml:space="preserve"> </w:t>
      </w:r>
      <w:r w:rsidRPr="00433168">
        <w:rPr>
          <w:rFonts w:ascii="Traditional Arabic" w:hAnsi="Traditional Arabic"/>
          <w:rtl/>
        </w:rPr>
        <w:t xml:space="preserve">فلم قال: </w:t>
      </w:r>
      <w:r w:rsidRPr="00433168">
        <w:rPr>
          <w:rFonts w:ascii="QCF_BSML" w:hAnsi="QCF_BSML" w:cs="QCF_BSML"/>
          <w:color w:val="auto"/>
          <w:sz w:val="32"/>
          <w:szCs w:val="32"/>
          <w:rtl/>
          <w:lang w:eastAsia="en-US"/>
        </w:rPr>
        <w:t>ﭽ</w:t>
      </w:r>
      <w:r w:rsidRPr="00433168">
        <w:rPr>
          <w:rFonts w:ascii="QCF_P308" w:hAnsi="QCF_P308" w:cs="QCF_P308"/>
          <w:color w:val="auto"/>
          <w:sz w:val="32"/>
          <w:szCs w:val="32"/>
          <w:rtl/>
          <w:lang w:eastAsia="en-US"/>
        </w:rPr>
        <w:t xml:space="preserve"> ﭢ  ﭣ</w:t>
      </w:r>
      <w:r w:rsidRPr="00433168">
        <w:rPr>
          <w:rFonts w:ascii="QCF_BSML" w:hAnsi="QCF_BSML" w:cs="QCF_BSML"/>
          <w:color w:val="auto"/>
          <w:sz w:val="32"/>
          <w:szCs w:val="32"/>
          <w:rtl/>
          <w:lang w:eastAsia="en-US"/>
        </w:rPr>
        <w:t xml:space="preserve"> ﭼ</w:t>
      </w:r>
      <w:r w:rsidRPr="00433168">
        <w:rPr>
          <w:rFonts w:ascii="Traditional Arabic" w:hAnsi="Traditional Arabic"/>
          <w:rtl/>
        </w:rPr>
        <w:t xml:space="preserve"> وهو يرث الآدميين وغيرهم؟! فالجواب: أن «مَنْ» تختص أهل التمييز، وغيرُ المميِّزين يدخلون في معنى الأرض ويجرون مجراها، ذكر الجوابين عن السؤالين ابن الأنباري</w:t>
      </w:r>
      <w:r w:rsidRPr="00433168">
        <w:rPr>
          <w:vertAlign w:val="superscript"/>
          <w:rtl/>
        </w:rPr>
        <w:t>(</w:t>
      </w:r>
      <w:r w:rsidRPr="00433168">
        <w:rPr>
          <w:vertAlign w:val="superscript"/>
          <w:rtl/>
        </w:rPr>
        <w:footnoteReference w:id="2407"/>
      </w:r>
      <w:r w:rsidRPr="00433168">
        <w:rPr>
          <w:vertAlign w:val="superscript"/>
          <w:rtl/>
        </w:rPr>
        <w:t>)</w:t>
      </w:r>
      <w:r w:rsidRPr="00433168">
        <w:rPr>
          <w:rFonts w:ascii="Traditional Arabic" w:hAnsi="Traditional Arabic"/>
          <w:rtl/>
        </w:rPr>
        <w:t>.</w:t>
      </w:r>
    </w:p>
    <w:p w:rsidR="00AC3467" w:rsidRDefault="00AC3467" w:rsidP="00AC3467">
      <w:pPr>
        <w:ind w:firstLine="0"/>
        <w:rPr>
          <w:rFonts w:ascii="Traditional Arabic" w:hAnsi="Traditional Arabic"/>
          <w:rtl/>
        </w:rPr>
      </w:pPr>
      <w:r w:rsidRPr="00C17B7B">
        <w:rPr>
          <w:b/>
          <w:bCs/>
          <w:smallCaps/>
          <w:noProof/>
          <w:color w:val="FFFFFF" w:themeColor="background1"/>
          <w:kern w:val="32"/>
          <w:szCs w:val="32"/>
          <w:rtl/>
          <w:lang w:eastAsia="en-US"/>
        </w:rPr>
        <w:lastRenderedPageBreak/>
        <w:drawing>
          <wp:anchor distT="0" distB="0" distL="114300" distR="114300" simplePos="0" relativeHeight="251677696" behindDoc="1" locked="0" layoutInCell="1" allowOverlap="1" wp14:anchorId="63796020" wp14:editId="4269AA67">
            <wp:simplePos x="0" y="0"/>
            <wp:positionH relativeFrom="margin">
              <wp:posOffset>785495</wp:posOffset>
            </wp:positionH>
            <wp:positionV relativeFrom="margin">
              <wp:posOffset>1347470</wp:posOffset>
            </wp:positionV>
            <wp:extent cx="4863465" cy="6362700"/>
            <wp:effectExtent l="0" t="0" r="0" b="0"/>
            <wp:wrapNone/>
            <wp:docPr id="26" name="صورة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بدون عنوان-6 نسخ.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863465" cy="6362700"/>
                    </a:xfrm>
                    <a:prstGeom prst="rect">
                      <a:avLst/>
                    </a:prstGeom>
                  </pic:spPr>
                </pic:pic>
              </a:graphicData>
            </a:graphic>
            <wp14:sizeRelV relativeFrom="margin">
              <wp14:pctHeight>0</wp14:pctHeight>
            </wp14:sizeRelV>
          </wp:anchor>
        </w:drawing>
      </w:r>
    </w:p>
    <w:p w:rsidR="00AC3467" w:rsidRDefault="00AC3467" w:rsidP="00E77E21">
      <w:pPr>
        <w:ind w:firstLine="0"/>
        <w:rPr>
          <w:rFonts w:ascii="Traditional Arabic" w:hAnsi="Traditional Arabic"/>
          <w:rtl/>
        </w:rPr>
      </w:pPr>
    </w:p>
    <w:p w:rsidR="00AC3467" w:rsidRDefault="00AC3467" w:rsidP="00E77E21">
      <w:pPr>
        <w:ind w:firstLine="0"/>
        <w:rPr>
          <w:rFonts w:ascii="Traditional Arabic" w:hAnsi="Traditional Arabic"/>
          <w:rtl/>
        </w:rPr>
      </w:pPr>
    </w:p>
    <w:p w:rsidR="00AC3467" w:rsidRDefault="00AC3467" w:rsidP="00E77E21">
      <w:pPr>
        <w:ind w:firstLine="0"/>
        <w:rPr>
          <w:rFonts w:ascii="Traditional Arabic" w:hAnsi="Traditional Arabic"/>
          <w:rtl/>
        </w:rPr>
      </w:pPr>
    </w:p>
    <w:p w:rsidR="00AC3467" w:rsidRDefault="00AC3467" w:rsidP="00E77E21">
      <w:pPr>
        <w:ind w:firstLine="0"/>
        <w:rPr>
          <w:rFonts w:ascii="Traditional Arabic" w:hAnsi="Traditional Arabic"/>
          <w:rtl/>
        </w:rPr>
      </w:pPr>
    </w:p>
    <w:p w:rsidR="003B3091" w:rsidRDefault="003B3091" w:rsidP="00E77E21">
      <w:pPr>
        <w:ind w:firstLine="0"/>
        <w:rPr>
          <w:rFonts w:ascii="Traditional Arabic" w:hAnsi="Traditional Arabic"/>
          <w:rtl/>
        </w:rPr>
      </w:pPr>
    </w:p>
    <w:p w:rsidR="003B3091" w:rsidRDefault="003B3091" w:rsidP="00E77E21">
      <w:pPr>
        <w:ind w:firstLine="0"/>
        <w:rPr>
          <w:rFonts w:ascii="Traditional Arabic" w:hAnsi="Traditional Arabic"/>
          <w:rtl/>
        </w:rPr>
      </w:pPr>
    </w:p>
    <w:p w:rsidR="003B3091" w:rsidRDefault="003B3091" w:rsidP="00E77E21">
      <w:pPr>
        <w:ind w:firstLine="0"/>
        <w:rPr>
          <w:rFonts w:ascii="Traditional Arabic" w:hAnsi="Traditional Arabic"/>
          <w:rtl/>
        </w:rPr>
      </w:pPr>
    </w:p>
    <w:p w:rsidR="003B3091" w:rsidRDefault="003B3091" w:rsidP="00E77E21">
      <w:pPr>
        <w:ind w:firstLine="0"/>
        <w:rPr>
          <w:rFonts w:ascii="Traditional Arabic" w:hAnsi="Traditional Arabic"/>
          <w:rtl/>
        </w:rPr>
      </w:pPr>
    </w:p>
    <w:p w:rsidR="003B3091" w:rsidRDefault="003B3091" w:rsidP="00E77E21">
      <w:pPr>
        <w:ind w:firstLine="0"/>
        <w:rPr>
          <w:rFonts w:ascii="Traditional Arabic" w:hAnsi="Traditional Arabic"/>
          <w:rtl/>
        </w:rPr>
      </w:pPr>
    </w:p>
    <w:p w:rsidR="00AC3467" w:rsidRDefault="00AC3467" w:rsidP="00E77E21">
      <w:pPr>
        <w:ind w:firstLine="0"/>
        <w:rPr>
          <w:rFonts w:ascii="Traditional Arabic" w:hAnsi="Traditional Arabic"/>
          <w:rtl/>
        </w:rPr>
      </w:pPr>
    </w:p>
    <w:p w:rsidR="00AC3467" w:rsidRDefault="00AC3467" w:rsidP="00E77E21">
      <w:pPr>
        <w:ind w:firstLine="0"/>
        <w:rPr>
          <w:rFonts w:ascii="Traditional Arabic" w:hAnsi="Traditional Arabic"/>
          <w:rtl/>
        </w:rPr>
      </w:pPr>
    </w:p>
    <w:p w:rsidR="00AC3467" w:rsidRPr="003B3091" w:rsidRDefault="003B3091" w:rsidP="00E77E21">
      <w:pPr>
        <w:ind w:firstLine="0"/>
        <w:rPr>
          <w:rFonts w:ascii="Traditional Arabic" w:hAnsi="Traditional Arabic"/>
          <w:b/>
          <w:bCs/>
          <w:sz w:val="144"/>
          <w:szCs w:val="144"/>
          <w:rtl/>
        </w:rPr>
      </w:pPr>
      <w:r>
        <w:rPr>
          <w:rFonts w:ascii="Traditional Arabic" w:hAnsi="Traditional Arabic" w:hint="cs"/>
          <w:rtl/>
        </w:rPr>
        <w:t xml:space="preserve">   </w:t>
      </w:r>
      <w:r w:rsidRPr="003B3091">
        <w:rPr>
          <w:rFonts w:ascii="Traditional Arabic" w:hAnsi="Traditional Arabic" w:hint="cs"/>
          <w:b/>
          <w:bCs/>
          <w:sz w:val="160"/>
          <w:szCs w:val="160"/>
          <w:rtl/>
        </w:rPr>
        <w:t xml:space="preserve"> </w:t>
      </w:r>
      <w:r>
        <w:rPr>
          <w:rFonts w:ascii="Traditional Arabic" w:hAnsi="Traditional Arabic" w:hint="cs"/>
          <w:b/>
          <w:bCs/>
          <w:sz w:val="160"/>
          <w:szCs w:val="160"/>
          <w:rtl/>
        </w:rPr>
        <w:t xml:space="preserve">  </w:t>
      </w:r>
      <w:r w:rsidRPr="003B3091">
        <w:rPr>
          <w:rFonts w:ascii="Traditional Arabic" w:hAnsi="Traditional Arabic" w:hint="cs"/>
          <w:b/>
          <w:bCs/>
          <w:sz w:val="160"/>
          <w:szCs w:val="160"/>
          <w:rtl/>
        </w:rPr>
        <w:t>الفهارس</w:t>
      </w:r>
    </w:p>
    <w:p w:rsidR="00AC3467" w:rsidRPr="003B3091" w:rsidRDefault="003B3091" w:rsidP="003B3091">
      <w:pPr>
        <w:ind w:firstLine="0"/>
        <w:rPr>
          <w:rFonts w:ascii="Traditional Arabic" w:hAnsi="Traditional Arabic"/>
          <w:b/>
          <w:bCs/>
          <w:sz w:val="144"/>
          <w:szCs w:val="144"/>
          <w:rtl/>
        </w:rPr>
      </w:pPr>
      <w:r>
        <w:rPr>
          <w:rFonts w:ascii="Traditional Arabic" w:hAnsi="Traditional Arabic" w:hint="cs"/>
          <w:rtl/>
        </w:rPr>
        <w:t xml:space="preserve">                   </w:t>
      </w:r>
    </w:p>
    <w:p w:rsidR="00AC3467" w:rsidRDefault="00AC3467" w:rsidP="00E77E21">
      <w:pPr>
        <w:ind w:firstLine="0"/>
        <w:rPr>
          <w:rFonts w:ascii="Traditional Arabic" w:hAnsi="Traditional Arabic"/>
          <w:rtl/>
        </w:rPr>
      </w:pPr>
    </w:p>
    <w:p w:rsidR="00AC3467" w:rsidRDefault="00AC3467" w:rsidP="00E77E21">
      <w:pPr>
        <w:ind w:firstLine="0"/>
        <w:rPr>
          <w:rFonts w:ascii="Traditional Arabic" w:hAnsi="Traditional Arabic"/>
          <w:rtl/>
        </w:rPr>
      </w:pPr>
    </w:p>
    <w:p w:rsidR="00AC3467" w:rsidRDefault="00AC3467" w:rsidP="00E77E21">
      <w:pPr>
        <w:ind w:firstLine="0"/>
        <w:rPr>
          <w:rFonts w:ascii="Traditional Arabic" w:hAnsi="Traditional Arabic"/>
          <w:rtl/>
        </w:rPr>
      </w:pPr>
    </w:p>
    <w:p w:rsidR="00AC3467" w:rsidRDefault="00AC3467" w:rsidP="00E77E21">
      <w:pPr>
        <w:ind w:firstLine="0"/>
        <w:rPr>
          <w:rFonts w:ascii="Traditional Arabic" w:hAnsi="Traditional Arabic"/>
          <w:rtl/>
        </w:rPr>
      </w:pPr>
    </w:p>
    <w:p w:rsidR="00576551" w:rsidRPr="00576551" w:rsidRDefault="00576551" w:rsidP="00576551">
      <w:pPr>
        <w:ind w:firstLine="0"/>
        <w:jc w:val="center"/>
        <w:rPr>
          <w:b/>
          <w:bCs/>
          <w:sz w:val="40"/>
          <w:szCs w:val="40"/>
        </w:rPr>
      </w:pPr>
      <w:r w:rsidRPr="00576551">
        <w:rPr>
          <w:rFonts w:hint="cs"/>
          <w:b/>
          <w:bCs/>
          <w:sz w:val="40"/>
          <w:szCs w:val="40"/>
          <w:rtl/>
        </w:rPr>
        <w:lastRenderedPageBreak/>
        <w:t>فهرس الآيات القرآنية المستشهد بها</w:t>
      </w:r>
    </w:p>
    <w:tbl>
      <w:tblPr>
        <w:tblStyle w:val="25"/>
        <w:bidiVisual/>
        <w:tblW w:w="9320" w:type="dxa"/>
        <w:tblLook w:val="04A0" w:firstRow="1" w:lastRow="0" w:firstColumn="1" w:lastColumn="0" w:noHBand="0" w:noVBand="1"/>
      </w:tblPr>
      <w:tblGrid>
        <w:gridCol w:w="654"/>
        <w:gridCol w:w="5448"/>
        <w:gridCol w:w="1039"/>
        <w:gridCol w:w="715"/>
        <w:gridCol w:w="1464"/>
      </w:tblGrid>
      <w:tr w:rsidR="00576551" w:rsidRPr="00576551" w:rsidTr="00927865">
        <w:tc>
          <w:tcPr>
            <w:tcW w:w="654" w:type="dxa"/>
          </w:tcPr>
          <w:p w:rsidR="00576551" w:rsidRPr="00576551" w:rsidRDefault="00576551" w:rsidP="00576551">
            <w:pPr>
              <w:ind w:firstLine="0"/>
              <w:rPr>
                <w:rtl/>
              </w:rPr>
            </w:pPr>
            <w:r w:rsidRPr="00576551">
              <w:rPr>
                <w:rFonts w:hint="cs"/>
                <w:rtl/>
              </w:rPr>
              <w:t>م</w:t>
            </w:r>
          </w:p>
        </w:tc>
        <w:tc>
          <w:tcPr>
            <w:tcW w:w="5448" w:type="dxa"/>
          </w:tcPr>
          <w:p w:rsidR="00576551" w:rsidRPr="00576551" w:rsidRDefault="00576551" w:rsidP="00576551">
            <w:pPr>
              <w:ind w:firstLine="0"/>
              <w:rPr>
                <w:rtl/>
              </w:rPr>
            </w:pPr>
            <w:r w:rsidRPr="00576551">
              <w:rPr>
                <w:rFonts w:hint="cs"/>
                <w:rtl/>
              </w:rPr>
              <w:t xml:space="preserve">                   الآية</w:t>
            </w:r>
          </w:p>
        </w:tc>
        <w:tc>
          <w:tcPr>
            <w:tcW w:w="1039" w:type="dxa"/>
          </w:tcPr>
          <w:p w:rsidR="00576551" w:rsidRPr="00576551" w:rsidRDefault="00AE7803" w:rsidP="00576551">
            <w:pPr>
              <w:ind w:firstLine="0"/>
              <w:rPr>
                <w:rtl/>
              </w:rPr>
            </w:pPr>
            <w:r>
              <w:rPr>
                <w:rFonts w:hint="cs"/>
                <w:rtl/>
              </w:rPr>
              <w:t xml:space="preserve"> </w:t>
            </w:r>
            <w:r w:rsidR="00576551" w:rsidRPr="00576551">
              <w:rPr>
                <w:rFonts w:hint="cs"/>
                <w:rtl/>
              </w:rPr>
              <w:t>السورة</w:t>
            </w:r>
          </w:p>
        </w:tc>
        <w:tc>
          <w:tcPr>
            <w:tcW w:w="715" w:type="dxa"/>
          </w:tcPr>
          <w:p w:rsidR="00576551" w:rsidRPr="00576551" w:rsidRDefault="00576551" w:rsidP="00576551">
            <w:pPr>
              <w:ind w:firstLine="0"/>
              <w:rPr>
                <w:rtl/>
              </w:rPr>
            </w:pPr>
            <w:r w:rsidRPr="00576551">
              <w:rPr>
                <w:rFonts w:hint="cs"/>
                <w:rtl/>
              </w:rPr>
              <w:t>رقمها</w:t>
            </w:r>
          </w:p>
        </w:tc>
        <w:tc>
          <w:tcPr>
            <w:tcW w:w="1464" w:type="dxa"/>
          </w:tcPr>
          <w:p w:rsidR="00576551" w:rsidRPr="00576551" w:rsidRDefault="00AE7803" w:rsidP="00576551">
            <w:pPr>
              <w:ind w:firstLine="0"/>
              <w:rPr>
                <w:rtl/>
              </w:rPr>
            </w:pPr>
            <w:r>
              <w:rPr>
                <w:rFonts w:hint="cs"/>
                <w:rtl/>
              </w:rPr>
              <w:t xml:space="preserve"> </w:t>
            </w:r>
            <w:r w:rsidR="00576551" w:rsidRPr="00576551">
              <w:rPr>
                <w:rFonts w:hint="cs"/>
                <w:rtl/>
              </w:rPr>
              <w:t>الصفحة</w:t>
            </w:r>
          </w:p>
        </w:tc>
      </w:tr>
      <w:tr w:rsidR="00576551" w:rsidRPr="00576551" w:rsidTr="00927865">
        <w:tc>
          <w:tcPr>
            <w:tcW w:w="654" w:type="dxa"/>
          </w:tcPr>
          <w:p w:rsidR="00576551" w:rsidRPr="00576551" w:rsidRDefault="00576551" w:rsidP="00576551">
            <w:pPr>
              <w:ind w:firstLine="0"/>
              <w:rPr>
                <w:rtl/>
              </w:rPr>
            </w:pPr>
            <w:r w:rsidRPr="00576551">
              <w:rPr>
                <w:rFonts w:hint="cs"/>
                <w:rtl/>
              </w:rPr>
              <w:t>1</w:t>
            </w:r>
          </w:p>
        </w:tc>
        <w:tc>
          <w:tcPr>
            <w:tcW w:w="5448" w:type="dxa"/>
          </w:tcPr>
          <w:p w:rsidR="00576551" w:rsidRPr="00576551" w:rsidRDefault="00576551" w:rsidP="00576551">
            <w:pPr>
              <w:ind w:firstLine="0"/>
              <w:rPr>
                <w:rFonts w:ascii="Traditional Arabic" w:hAnsi="Traditional Arabic"/>
                <w:sz w:val="28"/>
                <w:szCs w:val="28"/>
                <w:rtl/>
              </w:rPr>
            </w:pPr>
            <w:r w:rsidRPr="00576551">
              <w:rPr>
                <w:rFonts w:ascii="QCF_BSML" w:hAnsi="QCF_BSML" w:cs="QCF_BSML"/>
                <w:sz w:val="28"/>
                <w:szCs w:val="28"/>
                <w:rtl/>
                <w:lang w:eastAsia="en-US"/>
              </w:rPr>
              <w:t>ﭽ</w:t>
            </w:r>
            <w:r w:rsidRPr="00576551">
              <w:rPr>
                <w:rFonts w:ascii="QCF_P004" w:hAnsi="QCF_P004" w:cs="QCF_P004"/>
                <w:sz w:val="28"/>
                <w:szCs w:val="28"/>
                <w:rtl/>
                <w:lang w:eastAsia="en-US"/>
              </w:rPr>
              <w:t xml:space="preserve">ﭪ  ﭫ     ﭬ  ﭭ  </w:t>
            </w:r>
            <w:r w:rsidRPr="00576551">
              <w:rPr>
                <w:rFonts w:ascii="QCF_BSML" w:hAnsi="QCF_BSML" w:cs="QCF_BSML"/>
                <w:sz w:val="28"/>
                <w:szCs w:val="28"/>
                <w:rtl/>
                <w:lang w:eastAsia="en-US"/>
              </w:rPr>
              <w:t>ﭼ</w:t>
            </w:r>
            <w:r w:rsidRPr="00576551">
              <w:rPr>
                <w:rFonts w:ascii="Traditional Arabic" w:hAnsi="Traditional Arabic"/>
                <w:color w:val="auto"/>
                <w:sz w:val="28"/>
                <w:szCs w:val="28"/>
                <w:rtl/>
                <w:lang w:eastAsia="en-US"/>
              </w:rPr>
              <w:t xml:space="preserve"> </w:t>
            </w:r>
          </w:p>
        </w:tc>
        <w:tc>
          <w:tcPr>
            <w:tcW w:w="1039" w:type="dxa"/>
            <w:vMerge w:val="restart"/>
          </w:tcPr>
          <w:p w:rsidR="00576551" w:rsidRPr="00576551" w:rsidRDefault="00576551" w:rsidP="00576551">
            <w:pPr>
              <w:ind w:firstLine="0"/>
              <w:rPr>
                <w:rtl/>
              </w:rPr>
            </w:pPr>
          </w:p>
          <w:p w:rsidR="00576551" w:rsidRPr="00576551" w:rsidRDefault="00576551" w:rsidP="00576551">
            <w:pPr>
              <w:ind w:firstLine="0"/>
              <w:rPr>
                <w:rtl/>
              </w:rPr>
            </w:pPr>
          </w:p>
          <w:p w:rsidR="00576551" w:rsidRPr="00576551" w:rsidRDefault="00576551" w:rsidP="00576551">
            <w:pPr>
              <w:ind w:firstLine="0"/>
              <w:rPr>
                <w:rtl/>
              </w:rPr>
            </w:pPr>
            <w:r w:rsidRPr="00576551">
              <w:rPr>
                <w:rFonts w:hint="cs"/>
                <w:rtl/>
              </w:rPr>
              <w:t xml:space="preserve">  البقرة</w:t>
            </w:r>
          </w:p>
        </w:tc>
        <w:tc>
          <w:tcPr>
            <w:tcW w:w="715" w:type="dxa"/>
          </w:tcPr>
          <w:p w:rsidR="00576551" w:rsidRPr="00576551" w:rsidRDefault="00576551" w:rsidP="00576551">
            <w:pPr>
              <w:ind w:firstLine="0"/>
              <w:rPr>
                <w:rtl/>
              </w:rPr>
            </w:pPr>
            <w:r w:rsidRPr="00576551">
              <w:rPr>
                <w:rFonts w:hint="cs"/>
                <w:rtl/>
              </w:rPr>
              <w:t xml:space="preserve"> 19</w:t>
            </w:r>
          </w:p>
        </w:tc>
        <w:tc>
          <w:tcPr>
            <w:tcW w:w="1464" w:type="dxa"/>
          </w:tcPr>
          <w:p w:rsidR="00576551" w:rsidRPr="00576551" w:rsidRDefault="007925F6" w:rsidP="00576551">
            <w:pPr>
              <w:ind w:firstLine="0"/>
              <w:rPr>
                <w:rtl/>
              </w:rPr>
            </w:pPr>
            <w:r>
              <w:rPr>
                <w:rFonts w:hint="cs"/>
                <w:rtl/>
              </w:rPr>
              <w:t xml:space="preserve"> </w:t>
            </w:r>
            <w:r w:rsidR="00576551" w:rsidRPr="00576551">
              <w:rPr>
                <w:rFonts w:hint="cs"/>
                <w:rtl/>
              </w:rPr>
              <w:t xml:space="preserve"> 237</w:t>
            </w:r>
          </w:p>
        </w:tc>
      </w:tr>
      <w:tr w:rsidR="00576551" w:rsidRPr="00576551" w:rsidTr="00927865">
        <w:tc>
          <w:tcPr>
            <w:tcW w:w="654" w:type="dxa"/>
          </w:tcPr>
          <w:p w:rsidR="00576551" w:rsidRPr="00576551" w:rsidRDefault="00576551" w:rsidP="00576551">
            <w:pPr>
              <w:ind w:firstLine="0"/>
              <w:rPr>
                <w:rtl/>
              </w:rPr>
            </w:pPr>
            <w:r w:rsidRPr="00576551">
              <w:rPr>
                <w:rFonts w:hint="cs"/>
                <w:rtl/>
              </w:rPr>
              <w:t>2</w:t>
            </w:r>
          </w:p>
        </w:tc>
        <w:tc>
          <w:tcPr>
            <w:tcW w:w="5448" w:type="dxa"/>
          </w:tcPr>
          <w:p w:rsidR="00576551" w:rsidRPr="00576551" w:rsidRDefault="00576551" w:rsidP="00576551">
            <w:pPr>
              <w:ind w:firstLine="0"/>
              <w:rPr>
                <w:rFonts w:ascii="Traditional Arabic" w:hAnsi="Traditional Arabic"/>
                <w:sz w:val="28"/>
                <w:szCs w:val="28"/>
                <w:rtl/>
              </w:rPr>
            </w:pPr>
            <w:r w:rsidRPr="00576551">
              <w:rPr>
                <w:rFonts w:ascii="QCF_BSML" w:hAnsi="QCF_BSML" w:cs="QCF_BSML"/>
                <w:color w:val="0D0D0D"/>
                <w:sz w:val="28"/>
                <w:szCs w:val="28"/>
                <w:rtl/>
                <w:lang w:eastAsia="en-US"/>
              </w:rPr>
              <w:t>ﭽ</w:t>
            </w:r>
            <w:r w:rsidRPr="00576551">
              <w:rPr>
                <w:rFonts w:ascii="QCF_P288" w:hAnsi="QCF_P288" w:cs="QCF_P288"/>
                <w:color w:val="0D0D0D"/>
                <w:sz w:val="28"/>
                <w:szCs w:val="28"/>
                <w:rtl/>
                <w:lang w:eastAsia="en-US"/>
              </w:rPr>
              <w:t>ﮅ  ﮆ  ﮇ  ﮈ  ﮉ  ﮊ ﮋ    ﮌ</w:t>
            </w:r>
            <w:r w:rsidRPr="00576551">
              <w:rPr>
                <w:rFonts w:ascii="QCF_BSML" w:hAnsi="QCF_BSML" w:cs="QCF_BSML"/>
                <w:color w:val="0D0D0D"/>
                <w:sz w:val="28"/>
                <w:szCs w:val="28"/>
                <w:rtl/>
                <w:lang w:eastAsia="en-US"/>
              </w:rPr>
              <w:t>ﭼ</w:t>
            </w:r>
            <w:r w:rsidRPr="00576551">
              <w:rPr>
                <w:rFonts w:ascii="QCF_P288" w:hAnsi="QCF_P288" w:cs="QCF_P288"/>
                <w:color w:val="0D0D0D"/>
                <w:sz w:val="28"/>
                <w:szCs w:val="28"/>
                <w:rtl/>
                <w:lang w:eastAsia="en-US"/>
              </w:rPr>
              <w:t xml:space="preserve"> </w:t>
            </w:r>
          </w:p>
        </w:tc>
        <w:tc>
          <w:tcPr>
            <w:tcW w:w="1039" w:type="dxa"/>
            <w:vMerge/>
          </w:tcPr>
          <w:p w:rsidR="00576551" w:rsidRPr="00576551" w:rsidRDefault="00576551" w:rsidP="00576551">
            <w:pPr>
              <w:ind w:firstLine="0"/>
              <w:rPr>
                <w:rtl/>
              </w:rPr>
            </w:pPr>
          </w:p>
        </w:tc>
        <w:tc>
          <w:tcPr>
            <w:tcW w:w="715" w:type="dxa"/>
          </w:tcPr>
          <w:p w:rsidR="00576551" w:rsidRPr="00576551" w:rsidRDefault="00576551" w:rsidP="00576551">
            <w:pPr>
              <w:ind w:firstLine="0"/>
              <w:rPr>
                <w:rtl/>
              </w:rPr>
            </w:pPr>
            <w:r w:rsidRPr="00576551">
              <w:rPr>
                <w:rFonts w:hint="cs"/>
                <w:rtl/>
              </w:rPr>
              <w:t xml:space="preserve"> 34</w:t>
            </w:r>
          </w:p>
        </w:tc>
        <w:tc>
          <w:tcPr>
            <w:tcW w:w="1464" w:type="dxa"/>
          </w:tcPr>
          <w:p w:rsidR="00576551" w:rsidRPr="00576551" w:rsidRDefault="00576551" w:rsidP="00576551">
            <w:pPr>
              <w:ind w:firstLine="0"/>
              <w:rPr>
                <w:rtl/>
              </w:rPr>
            </w:pPr>
            <w:r w:rsidRPr="00576551">
              <w:rPr>
                <w:rFonts w:ascii="Traditional Arabic" w:hAnsi="Traditional Arabic" w:hint="cs"/>
                <w:color w:val="0D0D0D"/>
                <w:sz w:val="32"/>
                <w:szCs w:val="32"/>
                <w:rtl/>
                <w:lang w:eastAsia="en-US"/>
              </w:rPr>
              <w:t xml:space="preserve">  90  </w:t>
            </w:r>
          </w:p>
        </w:tc>
      </w:tr>
      <w:tr w:rsidR="00576551" w:rsidRPr="00576551" w:rsidTr="00927865">
        <w:tc>
          <w:tcPr>
            <w:tcW w:w="654" w:type="dxa"/>
          </w:tcPr>
          <w:p w:rsidR="00576551" w:rsidRPr="00576551" w:rsidRDefault="00576551" w:rsidP="00576551">
            <w:pPr>
              <w:ind w:firstLine="0"/>
              <w:rPr>
                <w:rtl/>
              </w:rPr>
            </w:pPr>
            <w:r w:rsidRPr="00576551">
              <w:rPr>
                <w:rFonts w:hint="cs"/>
                <w:rtl/>
              </w:rPr>
              <w:t>3</w:t>
            </w:r>
          </w:p>
        </w:tc>
        <w:tc>
          <w:tcPr>
            <w:tcW w:w="5448" w:type="dxa"/>
          </w:tcPr>
          <w:p w:rsidR="00576551" w:rsidRPr="00576551" w:rsidRDefault="00576551" w:rsidP="00576551">
            <w:pPr>
              <w:ind w:firstLine="0"/>
              <w:rPr>
                <w:rFonts w:ascii="Traditional Arabic" w:hAnsi="Traditional Arabic"/>
                <w:sz w:val="28"/>
                <w:szCs w:val="28"/>
                <w:rtl/>
              </w:rPr>
            </w:pPr>
            <w:r w:rsidRPr="00576551">
              <w:rPr>
                <w:rFonts w:ascii="QCF_BSML" w:hAnsi="QCF_BSML" w:cs="QCF_BSML"/>
                <w:sz w:val="28"/>
                <w:szCs w:val="28"/>
                <w:rtl/>
                <w:lang w:eastAsia="en-US"/>
              </w:rPr>
              <w:t xml:space="preserve">ﭽ </w:t>
            </w:r>
            <w:r w:rsidRPr="00576551">
              <w:rPr>
                <w:rFonts w:ascii="QCF_P011" w:hAnsi="QCF_P011" w:cs="QCF_P011"/>
                <w:sz w:val="28"/>
                <w:szCs w:val="28"/>
                <w:rtl/>
                <w:lang w:eastAsia="en-US"/>
              </w:rPr>
              <w:t xml:space="preserve">ﭺ  ﭻ  ﭼ  </w:t>
            </w:r>
            <w:r w:rsidRPr="00576551">
              <w:rPr>
                <w:rFonts w:ascii="QCF_BSML" w:hAnsi="QCF_BSML" w:cs="QCF_BSML"/>
                <w:sz w:val="28"/>
                <w:szCs w:val="28"/>
                <w:rtl/>
                <w:lang w:eastAsia="en-US"/>
              </w:rPr>
              <w:t>ﭼ</w:t>
            </w:r>
          </w:p>
        </w:tc>
        <w:tc>
          <w:tcPr>
            <w:tcW w:w="1039" w:type="dxa"/>
            <w:vMerge/>
          </w:tcPr>
          <w:p w:rsidR="00576551" w:rsidRPr="00576551" w:rsidRDefault="00576551" w:rsidP="00576551">
            <w:pPr>
              <w:ind w:firstLine="0"/>
              <w:rPr>
                <w:rtl/>
              </w:rPr>
            </w:pPr>
          </w:p>
        </w:tc>
        <w:tc>
          <w:tcPr>
            <w:tcW w:w="715" w:type="dxa"/>
          </w:tcPr>
          <w:p w:rsidR="00576551" w:rsidRPr="00576551" w:rsidRDefault="00576551" w:rsidP="00576551">
            <w:pPr>
              <w:ind w:firstLine="0"/>
              <w:rPr>
                <w:rtl/>
              </w:rPr>
            </w:pPr>
            <w:r w:rsidRPr="00576551">
              <w:rPr>
                <w:rFonts w:hint="cs"/>
                <w:rtl/>
              </w:rPr>
              <w:t xml:space="preserve"> 71</w:t>
            </w:r>
          </w:p>
        </w:tc>
        <w:tc>
          <w:tcPr>
            <w:tcW w:w="1464" w:type="dxa"/>
          </w:tcPr>
          <w:p w:rsidR="00576551" w:rsidRPr="00576551" w:rsidRDefault="007925F6" w:rsidP="00576551">
            <w:pPr>
              <w:ind w:firstLine="0"/>
              <w:rPr>
                <w:rtl/>
              </w:rPr>
            </w:pPr>
            <w:r>
              <w:rPr>
                <w:rFonts w:hint="cs"/>
                <w:rtl/>
              </w:rPr>
              <w:t xml:space="preserve"> </w:t>
            </w:r>
            <w:r w:rsidR="00576551" w:rsidRPr="00576551">
              <w:rPr>
                <w:rFonts w:hint="cs"/>
                <w:rtl/>
              </w:rPr>
              <w:t xml:space="preserve"> 274  </w:t>
            </w:r>
          </w:p>
        </w:tc>
      </w:tr>
      <w:tr w:rsidR="00576551" w:rsidRPr="00576551" w:rsidTr="00927865">
        <w:tc>
          <w:tcPr>
            <w:tcW w:w="654" w:type="dxa"/>
          </w:tcPr>
          <w:p w:rsidR="00576551" w:rsidRPr="00576551" w:rsidRDefault="00576551" w:rsidP="00576551">
            <w:pPr>
              <w:ind w:firstLine="0"/>
              <w:rPr>
                <w:rtl/>
              </w:rPr>
            </w:pPr>
            <w:r w:rsidRPr="00576551">
              <w:rPr>
                <w:rFonts w:hint="cs"/>
                <w:rtl/>
              </w:rPr>
              <w:t>4</w:t>
            </w:r>
          </w:p>
        </w:tc>
        <w:tc>
          <w:tcPr>
            <w:tcW w:w="5448" w:type="dxa"/>
          </w:tcPr>
          <w:p w:rsidR="00576551" w:rsidRPr="00576551" w:rsidRDefault="00576551" w:rsidP="00576551">
            <w:pPr>
              <w:ind w:firstLine="0"/>
              <w:rPr>
                <w:rFonts w:ascii="Traditional Arabic" w:hAnsi="Traditional Arabic"/>
                <w:sz w:val="28"/>
                <w:szCs w:val="28"/>
                <w:rtl/>
              </w:rPr>
            </w:pPr>
            <w:r w:rsidRPr="00576551">
              <w:rPr>
                <w:rFonts w:ascii="QCF_BSML" w:hAnsi="QCF_BSML" w:cs="QCF_BSML"/>
                <w:sz w:val="28"/>
                <w:szCs w:val="28"/>
                <w:rtl/>
                <w:lang w:eastAsia="en-US"/>
              </w:rPr>
              <w:t xml:space="preserve">ﭽ </w:t>
            </w:r>
            <w:r w:rsidRPr="00576551">
              <w:rPr>
                <w:rFonts w:ascii="QCF_P020" w:hAnsi="QCF_P020" w:cs="QCF_P020"/>
                <w:sz w:val="28"/>
                <w:szCs w:val="28"/>
                <w:rtl/>
                <w:lang w:eastAsia="en-US"/>
              </w:rPr>
              <w:t xml:space="preserve">ﮱ  ﯓ  ﯔ      ﯕ  ﯖ  </w:t>
            </w:r>
            <w:r w:rsidRPr="00576551">
              <w:rPr>
                <w:rFonts w:ascii="QCF_BSML" w:hAnsi="QCF_BSML" w:cs="QCF_BSML"/>
                <w:sz w:val="28"/>
                <w:szCs w:val="28"/>
                <w:rtl/>
                <w:lang w:eastAsia="en-US"/>
              </w:rPr>
              <w:t>ﭼ</w:t>
            </w:r>
            <w:r w:rsidRPr="00576551">
              <w:rPr>
                <w:rFonts w:ascii="QCF_BSML" w:hAnsi="QCF_BSML" w:cs="QCF_BSML" w:hint="cs"/>
                <w:sz w:val="28"/>
                <w:szCs w:val="28"/>
                <w:rtl/>
              </w:rPr>
              <w:t xml:space="preserve"> </w:t>
            </w:r>
          </w:p>
        </w:tc>
        <w:tc>
          <w:tcPr>
            <w:tcW w:w="1039" w:type="dxa"/>
            <w:vMerge/>
          </w:tcPr>
          <w:p w:rsidR="00576551" w:rsidRPr="00576551" w:rsidRDefault="00576551" w:rsidP="00576551">
            <w:pPr>
              <w:ind w:firstLine="0"/>
              <w:rPr>
                <w:rtl/>
              </w:rPr>
            </w:pPr>
          </w:p>
        </w:tc>
        <w:tc>
          <w:tcPr>
            <w:tcW w:w="715" w:type="dxa"/>
          </w:tcPr>
          <w:p w:rsidR="00576551" w:rsidRPr="00576551" w:rsidRDefault="00576551" w:rsidP="00576551">
            <w:pPr>
              <w:ind w:firstLine="0"/>
              <w:rPr>
                <w:rtl/>
              </w:rPr>
            </w:pPr>
            <w:r w:rsidRPr="00576551">
              <w:rPr>
                <w:rFonts w:hint="cs"/>
                <w:rtl/>
              </w:rPr>
              <w:t>132</w:t>
            </w:r>
          </w:p>
        </w:tc>
        <w:tc>
          <w:tcPr>
            <w:tcW w:w="1464" w:type="dxa"/>
          </w:tcPr>
          <w:p w:rsidR="00576551" w:rsidRPr="00576551" w:rsidRDefault="007925F6" w:rsidP="00576551">
            <w:pPr>
              <w:ind w:firstLine="0"/>
              <w:rPr>
                <w:rtl/>
              </w:rPr>
            </w:pPr>
            <w:r>
              <w:rPr>
                <w:rFonts w:hint="cs"/>
                <w:rtl/>
              </w:rPr>
              <w:t xml:space="preserve"> </w:t>
            </w:r>
            <w:r w:rsidR="00576551" w:rsidRPr="00576551">
              <w:rPr>
                <w:rFonts w:hint="cs"/>
                <w:rtl/>
              </w:rPr>
              <w:t xml:space="preserve"> 118</w:t>
            </w:r>
          </w:p>
        </w:tc>
      </w:tr>
      <w:tr w:rsidR="00576551" w:rsidRPr="00576551" w:rsidTr="00927865">
        <w:tc>
          <w:tcPr>
            <w:tcW w:w="654" w:type="dxa"/>
          </w:tcPr>
          <w:p w:rsidR="00576551" w:rsidRPr="00576551" w:rsidRDefault="00576551" w:rsidP="00576551">
            <w:pPr>
              <w:ind w:firstLine="0"/>
              <w:rPr>
                <w:rtl/>
              </w:rPr>
            </w:pPr>
            <w:r w:rsidRPr="00576551">
              <w:rPr>
                <w:rFonts w:hint="cs"/>
                <w:rtl/>
              </w:rPr>
              <w:t>5</w:t>
            </w:r>
          </w:p>
        </w:tc>
        <w:tc>
          <w:tcPr>
            <w:tcW w:w="5448" w:type="dxa"/>
          </w:tcPr>
          <w:p w:rsidR="00576551" w:rsidRPr="00576551" w:rsidRDefault="00576551" w:rsidP="00576551">
            <w:pPr>
              <w:ind w:firstLine="0"/>
              <w:rPr>
                <w:rFonts w:ascii="Traditional Arabic" w:hAnsi="Traditional Arabic"/>
                <w:sz w:val="28"/>
                <w:szCs w:val="28"/>
                <w:rtl/>
              </w:rPr>
            </w:pPr>
            <w:r w:rsidRPr="00576551">
              <w:rPr>
                <w:rFonts w:ascii="QCF_BSML" w:hAnsi="QCF_BSML" w:cs="QCF_BSML"/>
                <w:sz w:val="28"/>
                <w:szCs w:val="28"/>
                <w:rtl/>
                <w:lang w:eastAsia="en-US"/>
              </w:rPr>
              <w:t xml:space="preserve">ﭽ </w:t>
            </w:r>
            <w:r w:rsidRPr="00576551">
              <w:rPr>
                <w:rFonts w:ascii="QCF_P021" w:hAnsi="QCF_P021" w:cs="QCF_P021"/>
                <w:sz w:val="28"/>
                <w:szCs w:val="28"/>
                <w:rtl/>
                <w:lang w:eastAsia="en-US"/>
              </w:rPr>
              <w:t xml:space="preserve">ﮃ  ﮄ  ﮅ  ﮆ  ﮇ  ﮈ  </w:t>
            </w:r>
            <w:r w:rsidRPr="00576551">
              <w:rPr>
                <w:rFonts w:ascii="QCF_BSML" w:hAnsi="QCF_BSML" w:cs="QCF_BSML"/>
                <w:sz w:val="28"/>
                <w:szCs w:val="28"/>
                <w:rtl/>
                <w:lang w:eastAsia="en-US"/>
              </w:rPr>
              <w:t>ﭼ</w:t>
            </w:r>
          </w:p>
        </w:tc>
        <w:tc>
          <w:tcPr>
            <w:tcW w:w="1039" w:type="dxa"/>
            <w:vMerge/>
          </w:tcPr>
          <w:p w:rsidR="00576551" w:rsidRPr="00576551" w:rsidRDefault="00576551" w:rsidP="00576551">
            <w:pPr>
              <w:ind w:firstLine="0"/>
              <w:rPr>
                <w:rtl/>
              </w:rPr>
            </w:pPr>
          </w:p>
        </w:tc>
        <w:tc>
          <w:tcPr>
            <w:tcW w:w="715" w:type="dxa"/>
          </w:tcPr>
          <w:p w:rsidR="00576551" w:rsidRPr="00576551" w:rsidRDefault="00576551" w:rsidP="00576551">
            <w:pPr>
              <w:ind w:firstLine="0"/>
              <w:rPr>
                <w:rtl/>
              </w:rPr>
            </w:pPr>
            <w:r w:rsidRPr="00576551">
              <w:rPr>
                <w:rFonts w:hint="cs"/>
                <w:rtl/>
              </w:rPr>
              <w:t>173</w:t>
            </w:r>
          </w:p>
        </w:tc>
        <w:tc>
          <w:tcPr>
            <w:tcW w:w="1464" w:type="dxa"/>
          </w:tcPr>
          <w:p w:rsidR="00576551" w:rsidRPr="00576551" w:rsidRDefault="007925F6" w:rsidP="00576551">
            <w:pPr>
              <w:ind w:firstLine="0"/>
              <w:rPr>
                <w:rtl/>
              </w:rPr>
            </w:pPr>
            <w:r>
              <w:rPr>
                <w:rFonts w:hint="cs"/>
                <w:rtl/>
              </w:rPr>
              <w:t xml:space="preserve"> </w:t>
            </w:r>
            <w:r w:rsidR="00576551" w:rsidRPr="00576551">
              <w:rPr>
                <w:rFonts w:hint="cs"/>
                <w:rtl/>
              </w:rPr>
              <w:t xml:space="preserve"> 148</w:t>
            </w:r>
          </w:p>
        </w:tc>
      </w:tr>
      <w:tr w:rsidR="00576551" w:rsidRPr="00576551" w:rsidTr="00927865">
        <w:tc>
          <w:tcPr>
            <w:tcW w:w="654" w:type="dxa"/>
          </w:tcPr>
          <w:p w:rsidR="00576551" w:rsidRPr="00576551" w:rsidRDefault="00576551" w:rsidP="00576551">
            <w:pPr>
              <w:ind w:firstLine="0"/>
              <w:rPr>
                <w:rtl/>
              </w:rPr>
            </w:pPr>
            <w:r w:rsidRPr="00576551">
              <w:rPr>
                <w:rFonts w:hint="cs"/>
                <w:rtl/>
              </w:rPr>
              <w:t>6</w:t>
            </w:r>
          </w:p>
        </w:tc>
        <w:tc>
          <w:tcPr>
            <w:tcW w:w="5448" w:type="dxa"/>
          </w:tcPr>
          <w:p w:rsidR="00576551" w:rsidRPr="00576551" w:rsidRDefault="00576551" w:rsidP="00576551">
            <w:pPr>
              <w:ind w:firstLine="0"/>
              <w:rPr>
                <w:rFonts w:ascii="Traditional Arabic" w:hAnsi="Traditional Arabic"/>
                <w:sz w:val="28"/>
                <w:szCs w:val="28"/>
                <w:rtl/>
              </w:rPr>
            </w:pPr>
            <w:r w:rsidRPr="00576551">
              <w:rPr>
                <w:rFonts w:ascii="QCF_BSML" w:hAnsi="QCF_BSML" w:cs="QCF_BSML"/>
                <w:sz w:val="28"/>
                <w:szCs w:val="28"/>
                <w:rtl/>
                <w:lang w:eastAsia="en-US"/>
              </w:rPr>
              <w:t>ﭽ</w:t>
            </w:r>
            <w:r w:rsidRPr="00576551">
              <w:rPr>
                <w:rFonts w:ascii="QCF_P045" w:hAnsi="QCF_P045" w:cs="QCF_P045"/>
                <w:sz w:val="28"/>
                <w:szCs w:val="28"/>
                <w:rtl/>
                <w:lang w:eastAsia="en-US"/>
              </w:rPr>
              <w:t>ﯩ  ﯪ  ﯫ  ﯬ   ﯭ    ﯮ  ﯯ</w:t>
            </w:r>
            <w:r w:rsidRPr="00576551">
              <w:rPr>
                <w:rFonts w:ascii="QCF_BSML" w:hAnsi="QCF_BSML" w:cs="QCF_BSML"/>
                <w:sz w:val="28"/>
                <w:szCs w:val="28"/>
                <w:rtl/>
                <w:lang w:eastAsia="en-US"/>
              </w:rPr>
              <w:t>ﭼ</w:t>
            </w:r>
          </w:p>
        </w:tc>
        <w:tc>
          <w:tcPr>
            <w:tcW w:w="1039" w:type="dxa"/>
            <w:vMerge/>
          </w:tcPr>
          <w:p w:rsidR="00576551" w:rsidRPr="00576551" w:rsidRDefault="00576551" w:rsidP="00576551">
            <w:pPr>
              <w:ind w:firstLine="0"/>
              <w:rPr>
                <w:rtl/>
              </w:rPr>
            </w:pPr>
          </w:p>
        </w:tc>
        <w:tc>
          <w:tcPr>
            <w:tcW w:w="715" w:type="dxa"/>
          </w:tcPr>
          <w:p w:rsidR="00576551" w:rsidRPr="00576551" w:rsidRDefault="00576551" w:rsidP="00576551">
            <w:pPr>
              <w:ind w:firstLine="0"/>
              <w:rPr>
                <w:rtl/>
              </w:rPr>
            </w:pPr>
            <w:r w:rsidRPr="00576551">
              <w:rPr>
                <w:rFonts w:hint="cs"/>
                <w:rtl/>
              </w:rPr>
              <w:t>269</w:t>
            </w:r>
          </w:p>
        </w:tc>
        <w:tc>
          <w:tcPr>
            <w:tcW w:w="1464" w:type="dxa"/>
          </w:tcPr>
          <w:p w:rsidR="00576551" w:rsidRPr="00576551" w:rsidRDefault="00576551" w:rsidP="00900717">
            <w:pPr>
              <w:ind w:firstLine="0"/>
              <w:rPr>
                <w:rtl/>
              </w:rPr>
            </w:pPr>
            <w:r w:rsidRPr="00576551">
              <w:rPr>
                <w:rFonts w:hint="cs"/>
                <w:rtl/>
              </w:rPr>
              <w:t>60</w:t>
            </w:r>
            <w:r w:rsidR="00900717">
              <w:rPr>
                <w:rFonts w:hint="cs"/>
                <w:rtl/>
              </w:rPr>
              <w:t xml:space="preserve">, </w:t>
            </w:r>
            <w:r w:rsidRPr="00576551">
              <w:rPr>
                <w:rFonts w:hint="cs"/>
                <w:rtl/>
              </w:rPr>
              <w:t>138</w:t>
            </w:r>
          </w:p>
        </w:tc>
      </w:tr>
      <w:tr w:rsidR="00576551" w:rsidRPr="00576551" w:rsidTr="00927865">
        <w:tc>
          <w:tcPr>
            <w:tcW w:w="654" w:type="dxa"/>
          </w:tcPr>
          <w:p w:rsidR="00576551" w:rsidRPr="00576551" w:rsidRDefault="00576551" w:rsidP="00576551">
            <w:pPr>
              <w:ind w:firstLine="0"/>
              <w:rPr>
                <w:rtl/>
              </w:rPr>
            </w:pPr>
            <w:r w:rsidRPr="00576551">
              <w:rPr>
                <w:rFonts w:hint="cs"/>
                <w:rtl/>
              </w:rPr>
              <w:t>7</w:t>
            </w:r>
          </w:p>
        </w:tc>
        <w:tc>
          <w:tcPr>
            <w:tcW w:w="5448" w:type="dxa"/>
          </w:tcPr>
          <w:p w:rsidR="00576551" w:rsidRPr="00576551" w:rsidRDefault="00576551" w:rsidP="00576551">
            <w:pPr>
              <w:ind w:firstLine="0"/>
              <w:rPr>
                <w:rFonts w:ascii="Traditional Arabic" w:eastAsia="Calibri" w:hAnsi="Traditional Arabic"/>
                <w:color w:val="auto"/>
                <w:sz w:val="28"/>
                <w:szCs w:val="28"/>
                <w:rtl/>
              </w:rPr>
            </w:pPr>
            <w:r w:rsidRPr="00576551">
              <w:rPr>
                <w:rFonts w:ascii="QCF_BSML" w:hAnsi="QCF_BSML" w:cs="QCF_BSML"/>
                <w:sz w:val="28"/>
                <w:szCs w:val="28"/>
                <w:rtl/>
              </w:rPr>
              <w:t>ﭽ</w:t>
            </w:r>
            <w:r w:rsidRPr="00576551">
              <w:rPr>
                <w:rFonts w:ascii="QCF_BSML" w:hAnsi="QCF_BSML" w:cs="QCF_BSML" w:hint="cs"/>
                <w:sz w:val="28"/>
                <w:szCs w:val="28"/>
                <w:rtl/>
              </w:rPr>
              <w:t xml:space="preserve"> </w:t>
            </w:r>
            <w:r w:rsidRPr="00576551">
              <w:rPr>
                <w:rFonts w:ascii="QCF_P063" w:eastAsia="Calibri" w:hAnsi="QCF_P063" w:cs="QCF_P063"/>
                <w:color w:val="auto"/>
                <w:sz w:val="28"/>
                <w:szCs w:val="28"/>
                <w:rtl/>
              </w:rPr>
              <w:t>ﭤ ﭥ ﭦ ﭧ ﭨ ﭩ ﭪ ﭫ ﭬ ﭭ ﭮ  ﭯ</w:t>
            </w:r>
            <w:r w:rsidRPr="00576551">
              <w:rPr>
                <w:rFonts w:ascii="QCF_BSML" w:hAnsi="QCF_BSML" w:cs="QCF_BSML"/>
                <w:sz w:val="28"/>
                <w:szCs w:val="28"/>
                <w:rtl/>
              </w:rPr>
              <w:t>ﭼ</w:t>
            </w:r>
            <w:r w:rsidRPr="00576551">
              <w:rPr>
                <w:rFonts w:ascii="Traditional Arabic" w:eastAsia="Calibri" w:hAnsi="Traditional Arabic"/>
                <w:color w:val="auto"/>
                <w:sz w:val="28"/>
                <w:szCs w:val="28"/>
                <w:rtl/>
              </w:rPr>
              <w:t xml:space="preserve"> </w:t>
            </w:r>
            <w:r w:rsidRPr="00576551">
              <w:rPr>
                <w:rFonts w:ascii="Traditional Arabic" w:eastAsia="Calibri" w:hAnsi="Traditional Arabic"/>
                <w:color w:val="auto"/>
                <w:sz w:val="28"/>
                <w:szCs w:val="28"/>
                <w:rtl/>
              </w:rPr>
              <w:fldChar w:fldCharType="begin"/>
            </w:r>
            <w:r w:rsidRPr="00576551">
              <w:rPr>
                <w:rFonts w:ascii="Traditional Arabic" w:eastAsia="Calibri" w:hAnsi="Traditional Arabic"/>
                <w:color w:val="auto"/>
                <w:sz w:val="28"/>
                <w:szCs w:val="28"/>
              </w:rPr>
              <w:instrText xml:space="preserve"> XE "</w:instrText>
            </w:r>
            <w:r w:rsidRPr="00576551">
              <w:rPr>
                <w:rFonts w:ascii="Tahoma" w:eastAsia="Calibri" w:hAnsi="Tahoma" w:cs="Tahoma" w:hint="cs"/>
                <w:color w:val="00FF00"/>
                <w:sz w:val="28"/>
                <w:szCs w:val="28"/>
                <w:rtl/>
              </w:rPr>
              <w:instrText>[]-</w:instrText>
            </w:r>
            <w:r w:rsidRPr="00576551">
              <w:rPr>
                <w:rFonts w:ascii="Tahoma" w:eastAsia="Calibri" w:hAnsi="Tahoma" w:cs="Tahoma"/>
                <w:color w:val="FF6600"/>
                <w:sz w:val="28"/>
                <w:szCs w:val="28"/>
                <w:rtl/>
              </w:rPr>
              <w:instrText>[</w:instrText>
            </w:r>
            <w:r w:rsidRPr="00576551">
              <w:rPr>
                <w:rFonts w:ascii="Tahoma" w:eastAsia="Calibri" w:hAnsi="Tahoma" w:cs="Tahoma" w:hint="cs"/>
                <w:color w:val="FF6600"/>
                <w:sz w:val="28"/>
                <w:szCs w:val="28"/>
                <w:rtl/>
              </w:rPr>
              <w:instrText>001</w:instrText>
            </w:r>
            <w:r w:rsidRPr="00576551">
              <w:rPr>
                <w:rFonts w:ascii="Tahoma" w:eastAsia="Calibri" w:hAnsi="Tahoma" w:cs="Tahoma"/>
                <w:color w:val="FF6600"/>
                <w:sz w:val="28"/>
                <w:szCs w:val="28"/>
              </w:rPr>
              <w:instrText>\</w:instrText>
            </w:r>
            <w:r w:rsidRPr="00576551">
              <w:rPr>
                <w:rFonts w:ascii="Tahoma" w:eastAsia="Calibri" w:hAnsi="Tahoma" w:cs="Tahoma" w:hint="cs"/>
                <w:color w:val="FF6600"/>
                <w:sz w:val="28"/>
                <w:szCs w:val="28"/>
                <w:rtl/>
              </w:rPr>
              <w:instrText>:</w:instrText>
            </w:r>
            <w:r w:rsidRPr="00576551">
              <w:rPr>
                <w:rFonts w:ascii="Tahoma" w:eastAsia="Calibri" w:hAnsi="Tahoma" w:cs="Tahoma"/>
                <w:color w:val="FF6600"/>
                <w:sz w:val="28"/>
                <w:szCs w:val="28"/>
                <w:rtl/>
              </w:rPr>
              <w:instrText>]</w:instrText>
            </w:r>
            <w:r w:rsidRPr="00576551">
              <w:rPr>
                <w:rFonts w:ascii="Traditional Arabic" w:eastAsia="Calibri" w:hAnsi="Traditional Arabic" w:hint="cs"/>
                <w:color w:val="FF00FF"/>
                <w:sz w:val="28"/>
                <w:szCs w:val="28"/>
                <w:rtl/>
              </w:rPr>
              <w:instrText>001-</w:instrText>
            </w:r>
            <w:r w:rsidRPr="00576551">
              <w:rPr>
                <w:rFonts w:ascii="Traditional Arabic" w:eastAsia="Calibri" w:hAnsi="Traditional Arabic"/>
                <w:color w:val="auto"/>
                <w:sz w:val="28"/>
                <w:szCs w:val="28"/>
              </w:rPr>
              <w:instrText xml:space="preserve">" </w:instrText>
            </w:r>
            <w:r w:rsidRPr="00576551">
              <w:rPr>
                <w:rFonts w:ascii="Traditional Arabic" w:eastAsia="Calibri" w:hAnsi="Traditional Arabic"/>
                <w:color w:val="auto"/>
                <w:sz w:val="28"/>
                <w:szCs w:val="28"/>
                <w:rtl/>
              </w:rPr>
              <w:fldChar w:fldCharType="end"/>
            </w:r>
            <w:r w:rsidRPr="00576551">
              <w:rPr>
                <w:rFonts w:ascii="Traditional Arabic" w:eastAsia="Calibri" w:hAnsi="Traditional Arabic" w:hint="cs"/>
                <w:color w:val="auto"/>
                <w:sz w:val="28"/>
                <w:szCs w:val="28"/>
                <w:rtl/>
              </w:rPr>
              <w:t xml:space="preserve"> </w:t>
            </w:r>
          </w:p>
        </w:tc>
        <w:tc>
          <w:tcPr>
            <w:tcW w:w="1039" w:type="dxa"/>
            <w:vMerge w:val="restart"/>
          </w:tcPr>
          <w:p w:rsidR="00576551" w:rsidRPr="00576551" w:rsidRDefault="00AE7803" w:rsidP="00576551">
            <w:pPr>
              <w:ind w:firstLine="0"/>
              <w:rPr>
                <w:rtl/>
              </w:rPr>
            </w:pPr>
            <w:r>
              <w:rPr>
                <w:rFonts w:hint="cs"/>
                <w:rtl/>
              </w:rPr>
              <w:t xml:space="preserve">  آل       </w:t>
            </w:r>
            <w:r w:rsidR="00576551" w:rsidRPr="00576551">
              <w:rPr>
                <w:rFonts w:hint="cs"/>
                <w:rtl/>
              </w:rPr>
              <w:t>عمران</w:t>
            </w:r>
          </w:p>
        </w:tc>
        <w:tc>
          <w:tcPr>
            <w:tcW w:w="715" w:type="dxa"/>
          </w:tcPr>
          <w:p w:rsidR="00576551" w:rsidRPr="00576551" w:rsidRDefault="00576551" w:rsidP="00576551">
            <w:pPr>
              <w:ind w:firstLine="0"/>
              <w:rPr>
                <w:rtl/>
              </w:rPr>
            </w:pPr>
            <w:r w:rsidRPr="00576551">
              <w:rPr>
                <w:rFonts w:hint="cs"/>
                <w:rtl/>
              </w:rPr>
              <w:t>102</w:t>
            </w:r>
          </w:p>
        </w:tc>
        <w:tc>
          <w:tcPr>
            <w:tcW w:w="1464" w:type="dxa"/>
          </w:tcPr>
          <w:p w:rsidR="00576551" w:rsidRPr="00576551" w:rsidRDefault="007925F6" w:rsidP="00576551">
            <w:pPr>
              <w:ind w:firstLine="0"/>
              <w:rPr>
                <w:rtl/>
              </w:rPr>
            </w:pPr>
            <w:r>
              <w:rPr>
                <w:rFonts w:hint="cs"/>
                <w:rtl/>
              </w:rPr>
              <w:t xml:space="preserve">   </w:t>
            </w:r>
            <w:r w:rsidR="00576551" w:rsidRPr="00576551">
              <w:rPr>
                <w:rFonts w:hint="cs"/>
                <w:rtl/>
              </w:rPr>
              <w:t>4</w:t>
            </w:r>
          </w:p>
        </w:tc>
      </w:tr>
      <w:tr w:rsidR="00576551" w:rsidRPr="00576551" w:rsidTr="00927865">
        <w:tc>
          <w:tcPr>
            <w:tcW w:w="654" w:type="dxa"/>
          </w:tcPr>
          <w:p w:rsidR="00576551" w:rsidRPr="00576551" w:rsidRDefault="00576551" w:rsidP="00576551">
            <w:pPr>
              <w:ind w:firstLine="0"/>
              <w:rPr>
                <w:rtl/>
              </w:rPr>
            </w:pPr>
            <w:r w:rsidRPr="00576551">
              <w:rPr>
                <w:rFonts w:hint="cs"/>
                <w:rtl/>
              </w:rPr>
              <w:t>8</w:t>
            </w:r>
          </w:p>
        </w:tc>
        <w:tc>
          <w:tcPr>
            <w:tcW w:w="5448" w:type="dxa"/>
          </w:tcPr>
          <w:p w:rsidR="00576551" w:rsidRPr="00576551" w:rsidRDefault="00576551" w:rsidP="00576551">
            <w:pPr>
              <w:ind w:firstLine="0"/>
              <w:rPr>
                <w:rFonts w:ascii="Traditional Arabic" w:eastAsia="Calibri" w:hAnsi="Traditional Arabic"/>
                <w:color w:val="auto"/>
                <w:sz w:val="28"/>
                <w:szCs w:val="28"/>
                <w:rtl/>
              </w:rPr>
            </w:pPr>
            <w:r w:rsidRPr="00576551">
              <w:rPr>
                <w:rFonts w:ascii="QCF_BSML" w:hAnsi="QCF_BSML" w:cs="QCF_BSML"/>
                <w:sz w:val="28"/>
                <w:szCs w:val="28"/>
                <w:rtl/>
                <w:lang w:eastAsia="en-US"/>
              </w:rPr>
              <w:t>ﭽ</w:t>
            </w:r>
            <w:r w:rsidRPr="00576551">
              <w:rPr>
                <w:rFonts w:ascii="QCF_P064" w:hAnsi="QCF_P064" w:cs="QCF_P064"/>
                <w:sz w:val="28"/>
                <w:szCs w:val="28"/>
                <w:rtl/>
                <w:lang w:eastAsia="en-US"/>
              </w:rPr>
              <w:t xml:space="preserve">ﭞ  ﭟ  ﭠ  ﭡ  ﭢ  </w:t>
            </w:r>
            <w:r w:rsidRPr="00576551">
              <w:rPr>
                <w:rFonts w:ascii="QCF_BSML" w:hAnsi="QCF_BSML" w:cs="QCF_BSML"/>
                <w:sz w:val="28"/>
                <w:szCs w:val="28"/>
                <w:rtl/>
                <w:lang w:eastAsia="en-US"/>
              </w:rPr>
              <w:t>ﭼ</w:t>
            </w:r>
            <w:r w:rsidRPr="00576551">
              <w:rPr>
                <w:rFonts w:ascii="Arial" w:hAnsi="Arial" w:cs="Arial"/>
                <w:sz w:val="28"/>
                <w:szCs w:val="28"/>
                <w:rtl/>
                <w:lang w:eastAsia="en-US"/>
              </w:rPr>
              <w:t xml:space="preserve"> </w:t>
            </w:r>
            <w:r w:rsidRPr="00576551">
              <w:rPr>
                <w:rFonts w:ascii="QCF_BSML" w:hAnsi="QCF_BSML" w:cs="QCF_BSML" w:hint="cs"/>
                <w:color w:val="0D0D0D"/>
                <w:sz w:val="28"/>
                <w:szCs w:val="28"/>
                <w:rtl/>
                <w:lang w:eastAsia="en-US"/>
              </w:rPr>
              <w:t xml:space="preserve"> </w:t>
            </w:r>
          </w:p>
        </w:tc>
        <w:tc>
          <w:tcPr>
            <w:tcW w:w="1039" w:type="dxa"/>
            <w:vMerge/>
          </w:tcPr>
          <w:p w:rsidR="00576551" w:rsidRPr="00576551" w:rsidRDefault="00576551" w:rsidP="00576551">
            <w:pPr>
              <w:ind w:firstLine="0"/>
              <w:rPr>
                <w:rtl/>
              </w:rPr>
            </w:pPr>
          </w:p>
        </w:tc>
        <w:tc>
          <w:tcPr>
            <w:tcW w:w="715" w:type="dxa"/>
          </w:tcPr>
          <w:p w:rsidR="00576551" w:rsidRPr="00576551" w:rsidRDefault="00576551" w:rsidP="00576551">
            <w:pPr>
              <w:ind w:firstLine="0"/>
              <w:rPr>
                <w:rtl/>
              </w:rPr>
            </w:pPr>
            <w:r w:rsidRPr="00576551">
              <w:rPr>
                <w:rFonts w:hint="cs"/>
                <w:rtl/>
              </w:rPr>
              <w:t>110</w:t>
            </w:r>
          </w:p>
        </w:tc>
        <w:tc>
          <w:tcPr>
            <w:tcW w:w="1464" w:type="dxa"/>
          </w:tcPr>
          <w:p w:rsidR="00576551" w:rsidRPr="00576551" w:rsidRDefault="00900717" w:rsidP="00576551">
            <w:pPr>
              <w:ind w:firstLine="0"/>
              <w:rPr>
                <w:rtl/>
              </w:rPr>
            </w:pPr>
            <w:r>
              <w:rPr>
                <w:rFonts w:hint="cs"/>
                <w:rtl/>
              </w:rPr>
              <w:t>111, 297</w:t>
            </w:r>
          </w:p>
        </w:tc>
      </w:tr>
      <w:tr w:rsidR="00576551" w:rsidRPr="00576551" w:rsidTr="00927865">
        <w:tc>
          <w:tcPr>
            <w:tcW w:w="654" w:type="dxa"/>
          </w:tcPr>
          <w:p w:rsidR="00576551" w:rsidRPr="00576551" w:rsidRDefault="00576551" w:rsidP="00576551">
            <w:pPr>
              <w:ind w:firstLine="0"/>
              <w:rPr>
                <w:rtl/>
              </w:rPr>
            </w:pPr>
            <w:r w:rsidRPr="00576551">
              <w:rPr>
                <w:rFonts w:hint="cs"/>
                <w:rtl/>
              </w:rPr>
              <w:t>9</w:t>
            </w:r>
          </w:p>
        </w:tc>
        <w:tc>
          <w:tcPr>
            <w:tcW w:w="5448" w:type="dxa"/>
          </w:tcPr>
          <w:p w:rsidR="00576551" w:rsidRPr="00576551" w:rsidRDefault="00576551" w:rsidP="00576551">
            <w:pPr>
              <w:ind w:firstLine="0"/>
              <w:rPr>
                <w:rFonts w:ascii="QCF_BSML" w:hAnsi="QCF_BSML" w:cs="QCF_BSML"/>
                <w:sz w:val="28"/>
                <w:szCs w:val="28"/>
                <w:rtl/>
              </w:rPr>
            </w:pPr>
            <w:r w:rsidRPr="00576551">
              <w:rPr>
                <w:rFonts w:ascii="QCF_BSML" w:hAnsi="QCF_BSML" w:cs="QCF_BSML"/>
                <w:sz w:val="28"/>
                <w:szCs w:val="28"/>
                <w:rtl/>
              </w:rPr>
              <w:t>ﭽ</w:t>
            </w:r>
            <w:r w:rsidRPr="00576551">
              <w:rPr>
                <w:rFonts w:ascii="QCF_P077" w:eastAsia="Calibri" w:hAnsi="QCF_P077" w:cs="QCF_P077"/>
                <w:color w:val="auto"/>
                <w:sz w:val="28"/>
                <w:szCs w:val="28"/>
                <w:rtl/>
              </w:rPr>
              <w:t>ﭑ ﭒ ﭓ ﭔ ﭕ ﭖ ﭗ ﭘ ﭙ ﭚ ﭛ  ﭜ ﭝ ﭞ ﭟ ﭠ ﭡﭢ ﭣ ﭤ</w:t>
            </w:r>
            <w:r w:rsidRPr="00576551">
              <w:rPr>
                <w:rFonts w:ascii="QCF_P077" w:eastAsia="Calibri" w:hAnsi="QCF_P077" w:cs="QCF_P077" w:hint="cs"/>
                <w:color w:val="auto"/>
                <w:sz w:val="28"/>
                <w:szCs w:val="28"/>
                <w:rtl/>
              </w:rPr>
              <w:t xml:space="preserve"> </w:t>
            </w:r>
            <w:r w:rsidRPr="00576551">
              <w:rPr>
                <w:rFonts w:ascii="QCF_P077" w:eastAsia="Calibri" w:hAnsi="QCF_P077" w:cs="QCF_P077"/>
                <w:color w:val="auto"/>
                <w:sz w:val="28"/>
                <w:szCs w:val="28"/>
                <w:rtl/>
              </w:rPr>
              <w:t>ﭥ ﭦ  ﭧ ﭨﭩ ﭪ ﭫ ﭬ ﭭ ﭮ</w:t>
            </w:r>
            <w:r w:rsidRPr="00576551">
              <w:rPr>
                <w:rFonts w:ascii="QCF_BSML" w:hAnsi="QCF_BSML" w:cs="QCF_BSML"/>
                <w:sz w:val="28"/>
                <w:szCs w:val="28"/>
                <w:rtl/>
              </w:rPr>
              <w:t>ﭼ</w:t>
            </w:r>
            <w:r w:rsidRPr="00576551">
              <w:rPr>
                <w:rFonts w:ascii="Traditional Arabic" w:eastAsia="Calibri" w:hAnsi="Traditional Arabic"/>
                <w:color w:val="auto"/>
                <w:sz w:val="28"/>
                <w:szCs w:val="28"/>
                <w:rtl/>
              </w:rPr>
              <w:fldChar w:fldCharType="begin"/>
            </w:r>
            <w:r w:rsidRPr="00576551">
              <w:rPr>
                <w:rFonts w:ascii="Traditional Arabic" w:eastAsia="Calibri" w:hAnsi="Traditional Arabic"/>
                <w:color w:val="auto"/>
                <w:sz w:val="28"/>
                <w:szCs w:val="28"/>
              </w:rPr>
              <w:instrText xml:space="preserve"> XE "</w:instrText>
            </w:r>
            <w:r w:rsidRPr="00576551">
              <w:rPr>
                <w:rFonts w:ascii="Tahoma" w:eastAsia="Calibri" w:hAnsi="Tahoma" w:cs="Tahoma" w:hint="cs"/>
                <w:color w:val="00FF00"/>
                <w:sz w:val="28"/>
                <w:szCs w:val="28"/>
                <w:rtl/>
              </w:rPr>
              <w:instrText>[]-</w:instrText>
            </w:r>
            <w:r w:rsidRPr="00576551">
              <w:rPr>
                <w:rFonts w:ascii="Tahoma" w:eastAsia="Calibri" w:hAnsi="Tahoma" w:cs="Tahoma"/>
                <w:color w:val="FF6600"/>
                <w:sz w:val="28"/>
                <w:szCs w:val="28"/>
                <w:rtl/>
              </w:rPr>
              <w:instrText>[</w:instrText>
            </w:r>
            <w:r w:rsidRPr="00576551">
              <w:rPr>
                <w:rFonts w:ascii="Tahoma" w:eastAsia="Calibri" w:hAnsi="Tahoma" w:cs="Tahoma" w:hint="cs"/>
                <w:color w:val="FF6600"/>
                <w:sz w:val="28"/>
                <w:szCs w:val="28"/>
                <w:rtl/>
              </w:rPr>
              <w:instrText>001</w:instrText>
            </w:r>
            <w:r w:rsidRPr="00576551">
              <w:rPr>
                <w:rFonts w:ascii="Tahoma" w:eastAsia="Calibri" w:hAnsi="Tahoma" w:cs="Tahoma"/>
                <w:color w:val="FF6600"/>
                <w:sz w:val="28"/>
                <w:szCs w:val="28"/>
              </w:rPr>
              <w:instrText>\</w:instrText>
            </w:r>
            <w:r w:rsidRPr="00576551">
              <w:rPr>
                <w:rFonts w:ascii="Tahoma" w:eastAsia="Calibri" w:hAnsi="Tahoma" w:cs="Tahoma" w:hint="cs"/>
                <w:color w:val="FF6600"/>
                <w:sz w:val="28"/>
                <w:szCs w:val="28"/>
                <w:rtl/>
              </w:rPr>
              <w:instrText>:</w:instrText>
            </w:r>
            <w:r w:rsidRPr="00576551">
              <w:rPr>
                <w:rFonts w:ascii="Tahoma" w:eastAsia="Calibri" w:hAnsi="Tahoma" w:cs="Tahoma"/>
                <w:color w:val="FF6600"/>
                <w:sz w:val="28"/>
                <w:szCs w:val="28"/>
                <w:rtl/>
              </w:rPr>
              <w:instrText>]</w:instrText>
            </w:r>
            <w:r w:rsidRPr="00576551">
              <w:rPr>
                <w:rFonts w:ascii="Traditional Arabic" w:eastAsia="Calibri" w:hAnsi="Traditional Arabic" w:hint="cs"/>
                <w:color w:val="FF00FF"/>
                <w:sz w:val="28"/>
                <w:szCs w:val="28"/>
                <w:rtl/>
              </w:rPr>
              <w:instrText>001-</w:instrText>
            </w:r>
            <w:r w:rsidRPr="00576551">
              <w:rPr>
                <w:rFonts w:ascii="Traditional Arabic" w:eastAsia="Calibri" w:hAnsi="Traditional Arabic"/>
                <w:color w:val="auto"/>
                <w:sz w:val="28"/>
                <w:szCs w:val="28"/>
              </w:rPr>
              <w:instrText xml:space="preserve">" </w:instrText>
            </w:r>
            <w:r w:rsidRPr="00576551">
              <w:rPr>
                <w:rFonts w:ascii="Traditional Arabic" w:eastAsia="Calibri" w:hAnsi="Traditional Arabic"/>
                <w:color w:val="auto"/>
                <w:sz w:val="28"/>
                <w:szCs w:val="28"/>
                <w:rtl/>
              </w:rPr>
              <w:fldChar w:fldCharType="end"/>
            </w:r>
            <w:r w:rsidRPr="00576551">
              <w:rPr>
                <w:rFonts w:ascii="Traditional Arabic" w:eastAsia="Calibri" w:hAnsi="Traditional Arabic" w:hint="cs"/>
                <w:color w:val="auto"/>
                <w:sz w:val="28"/>
                <w:szCs w:val="28"/>
                <w:rtl/>
              </w:rPr>
              <w:t xml:space="preserve"> </w:t>
            </w:r>
          </w:p>
        </w:tc>
        <w:tc>
          <w:tcPr>
            <w:tcW w:w="1039" w:type="dxa"/>
            <w:vMerge w:val="restart"/>
          </w:tcPr>
          <w:p w:rsidR="00576551" w:rsidRPr="00576551" w:rsidRDefault="00576551" w:rsidP="00576551">
            <w:pPr>
              <w:ind w:firstLine="0"/>
              <w:rPr>
                <w:rtl/>
              </w:rPr>
            </w:pPr>
          </w:p>
          <w:p w:rsidR="00576551" w:rsidRPr="00576551" w:rsidRDefault="00576551" w:rsidP="00576551">
            <w:pPr>
              <w:ind w:firstLine="0"/>
              <w:rPr>
                <w:rtl/>
              </w:rPr>
            </w:pPr>
          </w:p>
          <w:p w:rsidR="00576551" w:rsidRPr="00576551" w:rsidRDefault="00576551" w:rsidP="00576551">
            <w:pPr>
              <w:ind w:firstLine="0"/>
              <w:rPr>
                <w:rtl/>
              </w:rPr>
            </w:pPr>
          </w:p>
          <w:p w:rsidR="00576551" w:rsidRPr="00576551" w:rsidRDefault="00AE7803" w:rsidP="00576551">
            <w:pPr>
              <w:ind w:firstLine="0"/>
              <w:rPr>
                <w:rtl/>
              </w:rPr>
            </w:pPr>
            <w:r>
              <w:rPr>
                <w:rFonts w:hint="cs"/>
                <w:rtl/>
              </w:rPr>
              <w:t xml:space="preserve"> </w:t>
            </w:r>
            <w:r w:rsidR="00576551" w:rsidRPr="00576551">
              <w:rPr>
                <w:rFonts w:hint="cs"/>
                <w:rtl/>
              </w:rPr>
              <w:t>النساء</w:t>
            </w:r>
          </w:p>
          <w:p w:rsidR="00576551" w:rsidRPr="00576551" w:rsidRDefault="00576551" w:rsidP="00576551">
            <w:pPr>
              <w:rPr>
                <w:rtl/>
              </w:rPr>
            </w:pPr>
          </w:p>
        </w:tc>
        <w:tc>
          <w:tcPr>
            <w:tcW w:w="715" w:type="dxa"/>
          </w:tcPr>
          <w:p w:rsidR="00576551" w:rsidRPr="00576551" w:rsidRDefault="00576551" w:rsidP="00576551">
            <w:pPr>
              <w:ind w:firstLine="0"/>
              <w:rPr>
                <w:rtl/>
              </w:rPr>
            </w:pPr>
          </w:p>
          <w:p w:rsidR="00576551" w:rsidRPr="00576551" w:rsidRDefault="00576551" w:rsidP="00576551">
            <w:pPr>
              <w:ind w:firstLine="0"/>
              <w:rPr>
                <w:rtl/>
              </w:rPr>
            </w:pPr>
          </w:p>
          <w:p w:rsidR="00576551" w:rsidRPr="00576551" w:rsidRDefault="00576551" w:rsidP="00576551">
            <w:pPr>
              <w:ind w:firstLine="0"/>
              <w:rPr>
                <w:rtl/>
              </w:rPr>
            </w:pPr>
            <w:r w:rsidRPr="00576551">
              <w:rPr>
                <w:rFonts w:hint="cs"/>
                <w:rtl/>
              </w:rPr>
              <w:t xml:space="preserve">  1</w:t>
            </w:r>
          </w:p>
        </w:tc>
        <w:tc>
          <w:tcPr>
            <w:tcW w:w="1464" w:type="dxa"/>
          </w:tcPr>
          <w:p w:rsidR="00576551" w:rsidRPr="00576551" w:rsidRDefault="00576551" w:rsidP="00576551">
            <w:pPr>
              <w:ind w:firstLine="0"/>
              <w:rPr>
                <w:rtl/>
              </w:rPr>
            </w:pPr>
          </w:p>
          <w:p w:rsidR="00576551" w:rsidRPr="00576551" w:rsidRDefault="00576551" w:rsidP="00576551">
            <w:pPr>
              <w:ind w:firstLine="0"/>
              <w:rPr>
                <w:rtl/>
              </w:rPr>
            </w:pPr>
          </w:p>
          <w:p w:rsidR="00576551" w:rsidRPr="00576551" w:rsidRDefault="007925F6" w:rsidP="00576551">
            <w:pPr>
              <w:ind w:firstLine="0"/>
              <w:rPr>
                <w:rtl/>
              </w:rPr>
            </w:pPr>
            <w:r>
              <w:rPr>
                <w:rFonts w:hint="cs"/>
                <w:rtl/>
              </w:rPr>
              <w:t xml:space="preserve">  </w:t>
            </w:r>
            <w:r w:rsidR="00576551" w:rsidRPr="00576551">
              <w:rPr>
                <w:rFonts w:hint="cs"/>
                <w:rtl/>
              </w:rPr>
              <w:t xml:space="preserve"> 4</w:t>
            </w:r>
          </w:p>
        </w:tc>
      </w:tr>
      <w:tr w:rsidR="00576551" w:rsidRPr="00576551" w:rsidTr="00927865">
        <w:tc>
          <w:tcPr>
            <w:tcW w:w="654" w:type="dxa"/>
          </w:tcPr>
          <w:p w:rsidR="00576551" w:rsidRPr="00576551" w:rsidRDefault="00576551" w:rsidP="00576551">
            <w:pPr>
              <w:ind w:firstLine="0"/>
              <w:rPr>
                <w:rtl/>
              </w:rPr>
            </w:pPr>
            <w:r w:rsidRPr="00576551">
              <w:rPr>
                <w:rFonts w:hint="cs"/>
                <w:rtl/>
              </w:rPr>
              <w:t>10</w:t>
            </w:r>
          </w:p>
        </w:tc>
        <w:tc>
          <w:tcPr>
            <w:tcW w:w="5448" w:type="dxa"/>
          </w:tcPr>
          <w:p w:rsidR="00576551" w:rsidRPr="00576551" w:rsidRDefault="00576551" w:rsidP="00576551">
            <w:pPr>
              <w:ind w:firstLine="0"/>
              <w:rPr>
                <w:rFonts w:ascii="Traditional Arabic" w:hAnsi="Traditional Arabic"/>
                <w:sz w:val="28"/>
                <w:szCs w:val="28"/>
                <w:rtl/>
              </w:rPr>
            </w:pPr>
            <w:r w:rsidRPr="00576551">
              <w:rPr>
                <w:rFonts w:ascii="QCF_BSML" w:hAnsi="QCF_BSML" w:cs="QCF_BSML"/>
                <w:sz w:val="28"/>
                <w:szCs w:val="28"/>
                <w:rtl/>
                <w:lang w:eastAsia="en-US"/>
              </w:rPr>
              <w:t>ﭽ</w:t>
            </w:r>
            <w:r w:rsidRPr="00576551">
              <w:rPr>
                <w:rFonts w:ascii="QCF_P082" w:hAnsi="QCF_P082" w:cs="QCF_P082"/>
                <w:sz w:val="28"/>
                <w:szCs w:val="28"/>
                <w:rtl/>
                <w:lang w:eastAsia="en-US"/>
              </w:rPr>
              <w:t>ﮏ    ﮐ  ﮑ</w:t>
            </w:r>
            <w:r w:rsidRPr="00576551">
              <w:rPr>
                <w:rFonts w:ascii="QCF_BSML" w:hAnsi="QCF_BSML" w:cs="QCF_BSML"/>
                <w:sz w:val="28"/>
                <w:szCs w:val="28"/>
                <w:rtl/>
                <w:lang w:eastAsia="en-US"/>
              </w:rPr>
              <w:t xml:space="preserve">ﭼ </w:t>
            </w:r>
          </w:p>
        </w:tc>
        <w:tc>
          <w:tcPr>
            <w:tcW w:w="1039" w:type="dxa"/>
            <w:vMerge/>
          </w:tcPr>
          <w:p w:rsidR="00576551" w:rsidRPr="00576551" w:rsidRDefault="00576551" w:rsidP="00576551">
            <w:pPr>
              <w:rPr>
                <w:rtl/>
              </w:rPr>
            </w:pPr>
          </w:p>
        </w:tc>
        <w:tc>
          <w:tcPr>
            <w:tcW w:w="715" w:type="dxa"/>
          </w:tcPr>
          <w:p w:rsidR="00576551" w:rsidRPr="00576551" w:rsidRDefault="00576551" w:rsidP="00576551">
            <w:pPr>
              <w:ind w:firstLine="0"/>
              <w:rPr>
                <w:rtl/>
              </w:rPr>
            </w:pPr>
            <w:r w:rsidRPr="00576551">
              <w:rPr>
                <w:rFonts w:hint="cs"/>
                <w:rtl/>
              </w:rPr>
              <w:t xml:space="preserve"> 25 </w:t>
            </w:r>
          </w:p>
        </w:tc>
        <w:tc>
          <w:tcPr>
            <w:tcW w:w="1464" w:type="dxa"/>
          </w:tcPr>
          <w:p w:rsidR="00576551" w:rsidRPr="00576551" w:rsidRDefault="007925F6" w:rsidP="00576551">
            <w:pPr>
              <w:ind w:firstLine="0"/>
              <w:rPr>
                <w:rtl/>
              </w:rPr>
            </w:pPr>
            <w:r>
              <w:rPr>
                <w:rFonts w:hint="cs"/>
                <w:rtl/>
              </w:rPr>
              <w:t xml:space="preserve"> </w:t>
            </w:r>
            <w:r w:rsidR="00576551" w:rsidRPr="00576551">
              <w:rPr>
                <w:rFonts w:hint="cs"/>
                <w:rtl/>
              </w:rPr>
              <w:t xml:space="preserve"> 172</w:t>
            </w:r>
          </w:p>
        </w:tc>
      </w:tr>
      <w:tr w:rsidR="00576551" w:rsidRPr="00576551" w:rsidTr="00927865">
        <w:trPr>
          <w:trHeight w:val="611"/>
        </w:trPr>
        <w:tc>
          <w:tcPr>
            <w:tcW w:w="654" w:type="dxa"/>
          </w:tcPr>
          <w:p w:rsidR="00576551" w:rsidRPr="00576551" w:rsidRDefault="00576551" w:rsidP="00576551">
            <w:pPr>
              <w:ind w:firstLine="0"/>
              <w:rPr>
                <w:rtl/>
              </w:rPr>
            </w:pPr>
            <w:r w:rsidRPr="00576551">
              <w:rPr>
                <w:rFonts w:hint="cs"/>
                <w:rtl/>
              </w:rPr>
              <w:t>11</w:t>
            </w:r>
          </w:p>
        </w:tc>
        <w:tc>
          <w:tcPr>
            <w:tcW w:w="5448" w:type="dxa"/>
          </w:tcPr>
          <w:p w:rsidR="00576551" w:rsidRPr="00576551" w:rsidRDefault="00576551" w:rsidP="00576551">
            <w:pPr>
              <w:ind w:firstLine="0"/>
              <w:rPr>
                <w:rFonts w:ascii="Traditional Arabic" w:hAnsi="Traditional Arabic"/>
                <w:sz w:val="28"/>
                <w:szCs w:val="28"/>
                <w:rtl/>
              </w:rPr>
            </w:pPr>
            <w:r w:rsidRPr="00576551">
              <w:rPr>
                <w:rFonts w:ascii="QCF_BSML" w:hAnsi="QCF_BSML" w:cs="QCF_BSML"/>
                <w:color w:val="0D0D0D"/>
                <w:sz w:val="28"/>
                <w:szCs w:val="28"/>
                <w:rtl/>
                <w:lang w:eastAsia="en-US"/>
              </w:rPr>
              <w:t>ﭽ</w:t>
            </w:r>
            <w:r w:rsidRPr="00576551">
              <w:rPr>
                <w:rFonts w:ascii="QCF_BSML" w:hAnsi="QCF_BSML" w:cs="QCF_BSML"/>
                <w:sz w:val="28"/>
                <w:szCs w:val="28"/>
                <w:rtl/>
                <w:lang w:eastAsia="en-US"/>
              </w:rPr>
              <w:t xml:space="preserve"> </w:t>
            </w:r>
            <w:r w:rsidRPr="00576551">
              <w:rPr>
                <w:rFonts w:ascii="QCF_P097" w:hAnsi="QCF_P097" w:cs="QCF_P097"/>
                <w:sz w:val="28"/>
                <w:szCs w:val="28"/>
                <w:rtl/>
                <w:lang w:eastAsia="en-US"/>
              </w:rPr>
              <w:t>ﯨ  ﯩ</w:t>
            </w:r>
            <w:r w:rsidRPr="00576551">
              <w:rPr>
                <w:rFonts w:ascii="QCF_BSML" w:hAnsi="QCF_BSML" w:cs="QCF_BSML"/>
                <w:sz w:val="28"/>
                <w:szCs w:val="28"/>
                <w:rtl/>
                <w:lang w:eastAsia="en-US"/>
              </w:rPr>
              <w:t>ﭼ</w:t>
            </w:r>
          </w:p>
        </w:tc>
        <w:tc>
          <w:tcPr>
            <w:tcW w:w="1039" w:type="dxa"/>
            <w:vMerge/>
          </w:tcPr>
          <w:p w:rsidR="00576551" w:rsidRPr="00576551" w:rsidRDefault="00576551" w:rsidP="00576551">
            <w:pPr>
              <w:ind w:firstLine="0"/>
              <w:rPr>
                <w:rtl/>
              </w:rPr>
            </w:pPr>
          </w:p>
        </w:tc>
        <w:tc>
          <w:tcPr>
            <w:tcW w:w="715" w:type="dxa"/>
          </w:tcPr>
          <w:p w:rsidR="00576551" w:rsidRPr="00576551" w:rsidRDefault="00576551" w:rsidP="00576551">
            <w:pPr>
              <w:ind w:firstLine="0"/>
              <w:rPr>
                <w:rtl/>
              </w:rPr>
            </w:pPr>
            <w:r w:rsidRPr="00576551">
              <w:rPr>
                <w:rFonts w:hint="cs"/>
                <w:rtl/>
              </w:rPr>
              <w:t xml:space="preserve">120 </w:t>
            </w:r>
          </w:p>
        </w:tc>
        <w:tc>
          <w:tcPr>
            <w:tcW w:w="1464" w:type="dxa"/>
          </w:tcPr>
          <w:p w:rsidR="00576551" w:rsidRPr="00576551" w:rsidRDefault="00576551" w:rsidP="00576551">
            <w:pPr>
              <w:ind w:firstLine="0"/>
              <w:rPr>
                <w:rtl/>
              </w:rPr>
            </w:pPr>
            <w:r w:rsidRPr="00576551">
              <w:rPr>
                <w:rFonts w:hint="cs"/>
                <w:rtl/>
              </w:rPr>
              <w:t xml:space="preserve">  104</w:t>
            </w:r>
          </w:p>
        </w:tc>
      </w:tr>
      <w:tr w:rsidR="00576551" w:rsidRPr="00576551" w:rsidTr="00927865">
        <w:tc>
          <w:tcPr>
            <w:tcW w:w="654" w:type="dxa"/>
          </w:tcPr>
          <w:p w:rsidR="00576551" w:rsidRPr="00576551" w:rsidRDefault="00576551" w:rsidP="00576551">
            <w:pPr>
              <w:ind w:firstLine="0"/>
              <w:rPr>
                <w:rtl/>
              </w:rPr>
            </w:pPr>
            <w:r w:rsidRPr="00576551">
              <w:rPr>
                <w:rFonts w:hint="cs"/>
                <w:rtl/>
              </w:rPr>
              <w:t>12</w:t>
            </w:r>
          </w:p>
        </w:tc>
        <w:tc>
          <w:tcPr>
            <w:tcW w:w="5448" w:type="dxa"/>
          </w:tcPr>
          <w:p w:rsidR="00576551" w:rsidRPr="00576551" w:rsidRDefault="00576551" w:rsidP="00576551">
            <w:pPr>
              <w:ind w:firstLine="0"/>
              <w:rPr>
                <w:rFonts w:ascii="Traditional Arabic" w:hAnsi="Traditional Arabic"/>
                <w:sz w:val="28"/>
                <w:szCs w:val="28"/>
                <w:rtl/>
              </w:rPr>
            </w:pPr>
            <w:r w:rsidRPr="00576551">
              <w:rPr>
                <w:rFonts w:ascii="QCF_BSML" w:hAnsi="QCF_BSML" w:cs="QCF_BSML"/>
                <w:sz w:val="28"/>
                <w:szCs w:val="28"/>
                <w:rtl/>
                <w:lang w:eastAsia="en-US"/>
              </w:rPr>
              <w:t>ﭽ</w:t>
            </w:r>
            <w:r w:rsidRPr="00576551">
              <w:rPr>
                <w:rFonts w:ascii="QCF_P107" w:hAnsi="QCF_P107" w:cs="QCF_P107"/>
                <w:sz w:val="28"/>
                <w:szCs w:val="28"/>
                <w:rtl/>
                <w:lang w:eastAsia="en-US"/>
              </w:rPr>
              <w:t>ﭼﭽ  ﭾ</w:t>
            </w:r>
            <w:r w:rsidRPr="00576551">
              <w:rPr>
                <w:rFonts w:ascii="QCF_BSML" w:hAnsi="QCF_BSML" w:cs="QCF_BSML"/>
                <w:sz w:val="28"/>
                <w:szCs w:val="28"/>
                <w:rtl/>
                <w:lang w:eastAsia="en-US"/>
              </w:rPr>
              <w:t>ﭼ</w:t>
            </w:r>
          </w:p>
        </w:tc>
        <w:tc>
          <w:tcPr>
            <w:tcW w:w="1039" w:type="dxa"/>
            <w:vMerge w:val="restart"/>
          </w:tcPr>
          <w:p w:rsidR="00576551" w:rsidRPr="00576551" w:rsidRDefault="00576551" w:rsidP="00576551">
            <w:pPr>
              <w:ind w:firstLine="0"/>
              <w:rPr>
                <w:rtl/>
              </w:rPr>
            </w:pPr>
          </w:p>
          <w:p w:rsidR="00576551" w:rsidRPr="00576551" w:rsidRDefault="00AE7803" w:rsidP="00576551">
            <w:pPr>
              <w:ind w:firstLine="0"/>
              <w:rPr>
                <w:rtl/>
              </w:rPr>
            </w:pPr>
            <w:r>
              <w:rPr>
                <w:rFonts w:hint="cs"/>
                <w:rtl/>
              </w:rPr>
              <w:t xml:space="preserve"> </w:t>
            </w:r>
            <w:r w:rsidR="00576551" w:rsidRPr="00576551">
              <w:rPr>
                <w:rFonts w:hint="cs"/>
                <w:rtl/>
              </w:rPr>
              <w:t>المائدة</w:t>
            </w:r>
          </w:p>
        </w:tc>
        <w:tc>
          <w:tcPr>
            <w:tcW w:w="715" w:type="dxa"/>
          </w:tcPr>
          <w:p w:rsidR="00576551" w:rsidRPr="00576551" w:rsidRDefault="00576551" w:rsidP="00576551">
            <w:pPr>
              <w:ind w:firstLine="0"/>
              <w:rPr>
                <w:rtl/>
              </w:rPr>
            </w:pPr>
            <w:r w:rsidRPr="00576551">
              <w:rPr>
                <w:rFonts w:hint="cs"/>
                <w:rtl/>
              </w:rPr>
              <w:t xml:space="preserve">  3</w:t>
            </w:r>
          </w:p>
        </w:tc>
        <w:tc>
          <w:tcPr>
            <w:tcW w:w="1464" w:type="dxa"/>
          </w:tcPr>
          <w:p w:rsidR="00576551" w:rsidRPr="00576551" w:rsidRDefault="00576551" w:rsidP="00576551">
            <w:pPr>
              <w:ind w:firstLine="0"/>
              <w:rPr>
                <w:rtl/>
              </w:rPr>
            </w:pPr>
            <w:r w:rsidRPr="00576551">
              <w:rPr>
                <w:rFonts w:hint="cs"/>
                <w:rtl/>
              </w:rPr>
              <w:t xml:space="preserve">  302</w:t>
            </w:r>
          </w:p>
        </w:tc>
      </w:tr>
      <w:tr w:rsidR="00576551" w:rsidRPr="00576551" w:rsidTr="00927865">
        <w:tc>
          <w:tcPr>
            <w:tcW w:w="654" w:type="dxa"/>
          </w:tcPr>
          <w:p w:rsidR="00576551" w:rsidRPr="00576551" w:rsidRDefault="00576551" w:rsidP="00576551">
            <w:pPr>
              <w:ind w:firstLine="0"/>
              <w:rPr>
                <w:rtl/>
              </w:rPr>
            </w:pPr>
            <w:r w:rsidRPr="00576551">
              <w:rPr>
                <w:rFonts w:hint="cs"/>
                <w:rtl/>
              </w:rPr>
              <w:t>13</w:t>
            </w:r>
          </w:p>
        </w:tc>
        <w:tc>
          <w:tcPr>
            <w:tcW w:w="5448" w:type="dxa"/>
          </w:tcPr>
          <w:p w:rsidR="00576551" w:rsidRPr="00576551" w:rsidRDefault="00576551" w:rsidP="00576551">
            <w:pPr>
              <w:ind w:firstLine="0"/>
              <w:rPr>
                <w:rFonts w:eastAsia="Calibri"/>
                <w:sz w:val="28"/>
                <w:szCs w:val="28"/>
                <w:vertAlign w:val="superscript"/>
                <w:rtl/>
              </w:rPr>
            </w:pPr>
            <w:r w:rsidRPr="00576551">
              <w:rPr>
                <w:rFonts w:ascii="QCF_BSML" w:hAnsi="QCF_BSML" w:cs="QCF_BSML"/>
                <w:sz w:val="28"/>
                <w:szCs w:val="28"/>
                <w:rtl/>
              </w:rPr>
              <w:t>ﭽ</w:t>
            </w:r>
            <w:r w:rsidRPr="00576551">
              <w:rPr>
                <w:rFonts w:ascii="QCF_P110" w:hAnsi="QCF_P110" w:cs="QCF_P110"/>
                <w:sz w:val="28"/>
                <w:szCs w:val="28"/>
                <w:rtl/>
              </w:rPr>
              <w:t>ﮅﮆﮇﮈﮉﮊﮋﮌ</w:t>
            </w:r>
            <w:r w:rsidRPr="00576551">
              <w:rPr>
                <w:rFonts w:ascii="QCF_BSML" w:hAnsi="QCF_BSML" w:cs="QCF_BSML"/>
                <w:sz w:val="28"/>
                <w:szCs w:val="28"/>
                <w:rtl/>
              </w:rPr>
              <w:t>ﭼ</w:t>
            </w:r>
            <w:r w:rsidRPr="00576551">
              <w:rPr>
                <w:rFonts w:ascii="Traditional Arabic" w:hAnsi="Traditional Arabic"/>
                <w:sz w:val="28"/>
                <w:szCs w:val="28"/>
                <w:rtl/>
              </w:rPr>
              <w:t xml:space="preserve"> </w:t>
            </w:r>
          </w:p>
        </w:tc>
        <w:tc>
          <w:tcPr>
            <w:tcW w:w="1039" w:type="dxa"/>
            <w:vMerge/>
          </w:tcPr>
          <w:p w:rsidR="00576551" w:rsidRPr="00576551" w:rsidRDefault="00576551" w:rsidP="00576551">
            <w:pPr>
              <w:ind w:firstLine="0"/>
              <w:rPr>
                <w:rtl/>
              </w:rPr>
            </w:pPr>
          </w:p>
        </w:tc>
        <w:tc>
          <w:tcPr>
            <w:tcW w:w="715" w:type="dxa"/>
          </w:tcPr>
          <w:p w:rsidR="00576551" w:rsidRPr="00576551" w:rsidRDefault="00576551" w:rsidP="00576551">
            <w:pPr>
              <w:ind w:firstLine="0"/>
              <w:rPr>
                <w:rtl/>
              </w:rPr>
            </w:pPr>
            <w:r w:rsidRPr="00576551">
              <w:rPr>
                <w:rFonts w:hint="cs"/>
                <w:rtl/>
              </w:rPr>
              <w:t xml:space="preserve"> 16</w:t>
            </w:r>
          </w:p>
        </w:tc>
        <w:tc>
          <w:tcPr>
            <w:tcW w:w="1464" w:type="dxa"/>
          </w:tcPr>
          <w:p w:rsidR="00576551" w:rsidRPr="00576551" w:rsidRDefault="00576551" w:rsidP="00576551">
            <w:pPr>
              <w:ind w:firstLine="0"/>
              <w:rPr>
                <w:rtl/>
              </w:rPr>
            </w:pPr>
            <w:r w:rsidRPr="00576551">
              <w:rPr>
                <w:rFonts w:hint="cs"/>
                <w:rtl/>
              </w:rPr>
              <w:t xml:space="preserve"> </w:t>
            </w:r>
            <w:r w:rsidR="007925F6">
              <w:rPr>
                <w:rFonts w:hint="cs"/>
                <w:rtl/>
              </w:rPr>
              <w:t xml:space="preserve"> </w:t>
            </w:r>
            <w:r w:rsidRPr="00576551">
              <w:rPr>
                <w:rFonts w:hint="cs"/>
                <w:rtl/>
              </w:rPr>
              <w:t xml:space="preserve"> 5</w:t>
            </w:r>
          </w:p>
        </w:tc>
      </w:tr>
      <w:tr w:rsidR="00576551" w:rsidRPr="00576551" w:rsidTr="00927865">
        <w:tc>
          <w:tcPr>
            <w:tcW w:w="654" w:type="dxa"/>
          </w:tcPr>
          <w:p w:rsidR="00576551" w:rsidRPr="00576551" w:rsidRDefault="00576551" w:rsidP="00576551">
            <w:pPr>
              <w:ind w:firstLine="0"/>
              <w:rPr>
                <w:rtl/>
              </w:rPr>
            </w:pPr>
            <w:r w:rsidRPr="00576551">
              <w:rPr>
                <w:rFonts w:hint="cs"/>
                <w:rtl/>
              </w:rPr>
              <w:t>14</w:t>
            </w:r>
          </w:p>
        </w:tc>
        <w:tc>
          <w:tcPr>
            <w:tcW w:w="5448" w:type="dxa"/>
          </w:tcPr>
          <w:p w:rsidR="00576551" w:rsidRPr="00576551" w:rsidRDefault="00576551" w:rsidP="00576551">
            <w:pPr>
              <w:ind w:firstLine="0"/>
              <w:rPr>
                <w:rFonts w:ascii="Traditional Arabic" w:hAnsi="Traditional Arabic"/>
                <w:sz w:val="28"/>
                <w:szCs w:val="28"/>
                <w:rtl/>
              </w:rPr>
            </w:pPr>
            <w:r w:rsidRPr="00576551">
              <w:rPr>
                <w:rFonts w:ascii="QCF_BSML" w:hAnsi="QCF_BSML" w:cs="QCF_BSML"/>
                <w:color w:val="auto"/>
                <w:sz w:val="28"/>
                <w:szCs w:val="28"/>
                <w:rtl/>
                <w:lang w:eastAsia="en-US"/>
              </w:rPr>
              <w:t xml:space="preserve">ﭽ </w:t>
            </w:r>
            <w:r w:rsidRPr="00576551">
              <w:rPr>
                <w:rFonts w:ascii="QCF_P127" w:hAnsi="QCF_P127" w:cs="QCF_P127"/>
                <w:color w:val="auto"/>
                <w:sz w:val="28"/>
                <w:szCs w:val="28"/>
                <w:rtl/>
                <w:lang w:eastAsia="en-US"/>
              </w:rPr>
              <w:t>ﭼ  ﭽ  ﭾ  ﭿ</w:t>
            </w:r>
            <w:r w:rsidRPr="00576551">
              <w:rPr>
                <w:rFonts w:ascii="QCF_BSML" w:hAnsi="QCF_BSML" w:cs="QCF_BSML"/>
                <w:color w:val="auto"/>
                <w:sz w:val="28"/>
                <w:szCs w:val="28"/>
                <w:rtl/>
                <w:lang w:eastAsia="en-US"/>
              </w:rPr>
              <w:t>ﭼ</w:t>
            </w:r>
            <w:r w:rsidRPr="00576551">
              <w:rPr>
                <w:rFonts w:ascii="Arial" w:hAnsi="Arial" w:cs="Arial"/>
                <w:color w:val="auto"/>
                <w:sz w:val="28"/>
                <w:szCs w:val="28"/>
                <w:rtl/>
                <w:lang w:eastAsia="en-US"/>
              </w:rPr>
              <w:t xml:space="preserve"> </w:t>
            </w:r>
          </w:p>
        </w:tc>
        <w:tc>
          <w:tcPr>
            <w:tcW w:w="1039" w:type="dxa"/>
            <w:vMerge/>
          </w:tcPr>
          <w:p w:rsidR="00576551" w:rsidRPr="00576551" w:rsidRDefault="00576551" w:rsidP="00576551">
            <w:pPr>
              <w:ind w:firstLine="0"/>
              <w:rPr>
                <w:rtl/>
              </w:rPr>
            </w:pPr>
          </w:p>
        </w:tc>
        <w:tc>
          <w:tcPr>
            <w:tcW w:w="715" w:type="dxa"/>
          </w:tcPr>
          <w:p w:rsidR="00576551" w:rsidRPr="00576551" w:rsidRDefault="00576551" w:rsidP="00576551">
            <w:pPr>
              <w:ind w:firstLine="0"/>
              <w:rPr>
                <w:rtl/>
              </w:rPr>
            </w:pPr>
            <w:r w:rsidRPr="00576551">
              <w:rPr>
                <w:rFonts w:hint="cs"/>
                <w:rtl/>
              </w:rPr>
              <w:t>116</w:t>
            </w:r>
          </w:p>
        </w:tc>
        <w:tc>
          <w:tcPr>
            <w:tcW w:w="1464" w:type="dxa"/>
          </w:tcPr>
          <w:p w:rsidR="00576551" w:rsidRPr="00576551" w:rsidRDefault="00576551" w:rsidP="00576551">
            <w:pPr>
              <w:ind w:firstLine="0"/>
              <w:rPr>
                <w:rtl/>
              </w:rPr>
            </w:pPr>
            <w:r w:rsidRPr="00576551">
              <w:rPr>
                <w:rFonts w:hint="cs"/>
                <w:rtl/>
              </w:rPr>
              <w:t xml:space="preserve">  321</w:t>
            </w:r>
          </w:p>
        </w:tc>
      </w:tr>
      <w:tr w:rsidR="00576551" w:rsidRPr="00576551" w:rsidTr="00927865">
        <w:tc>
          <w:tcPr>
            <w:tcW w:w="654" w:type="dxa"/>
          </w:tcPr>
          <w:p w:rsidR="00576551" w:rsidRPr="00576551" w:rsidRDefault="00576551" w:rsidP="00576551">
            <w:pPr>
              <w:ind w:firstLine="0"/>
              <w:rPr>
                <w:rtl/>
              </w:rPr>
            </w:pPr>
            <w:r w:rsidRPr="00576551">
              <w:rPr>
                <w:rFonts w:hint="cs"/>
                <w:rtl/>
              </w:rPr>
              <w:t>15</w:t>
            </w:r>
          </w:p>
        </w:tc>
        <w:tc>
          <w:tcPr>
            <w:tcW w:w="5448" w:type="dxa"/>
          </w:tcPr>
          <w:p w:rsidR="00576551" w:rsidRPr="00576551" w:rsidRDefault="00576551" w:rsidP="00576551">
            <w:pPr>
              <w:ind w:firstLine="0"/>
              <w:rPr>
                <w:sz w:val="28"/>
                <w:szCs w:val="28"/>
                <w:rtl/>
              </w:rPr>
            </w:pPr>
            <w:r w:rsidRPr="00576551">
              <w:rPr>
                <w:rFonts w:ascii="QCF_BSML" w:hAnsi="QCF_BSML" w:cs="QCF_BSML"/>
                <w:sz w:val="28"/>
                <w:szCs w:val="28"/>
                <w:rtl/>
                <w:lang w:eastAsia="en-US"/>
              </w:rPr>
              <w:t xml:space="preserve">ﭽ </w:t>
            </w:r>
            <w:r w:rsidRPr="00576551">
              <w:rPr>
                <w:rFonts w:ascii="QCF_P131" w:hAnsi="QCF_P131" w:cs="QCF_P131"/>
                <w:sz w:val="28"/>
                <w:szCs w:val="28"/>
                <w:rtl/>
                <w:lang w:eastAsia="en-US"/>
              </w:rPr>
              <w:t>ﮑ</w:t>
            </w:r>
            <w:r w:rsidRPr="00576551">
              <w:rPr>
                <w:rFonts w:ascii="QCF_BSML" w:hAnsi="QCF_BSML" w:cs="QCF_BSML"/>
                <w:sz w:val="28"/>
                <w:szCs w:val="28"/>
                <w:rtl/>
                <w:lang w:eastAsia="en-US"/>
              </w:rPr>
              <w:t>ﭼ</w:t>
            </w:r>
            <w:r w:rsidRPr="00576551">
              <w:rPr>
                <w:rFonts w:ascii="Arial" w:hAnsi="Arial" w:cs="Arial"/>
                <w:sz w:val="28"/>
                <w:szCs w:val="28"/>
                <w:rtl/>
                <w:lang w:eastAsia="en-US"/>
              </w:rPr>
              <w:t xml:space="preserve"> </w:t>
            </w:r>
          </w:p>
        </w:tc>
        <w:tc>
          <w:tcPr>
            <w:tcW w:w="1039" w:type="dxa"/>
            <w:vMerge w:val="restart"/>
          </w:tcPr>
          <w:p w:rsidR="00576551" w:rsidRPr="00576551" w:rsidRDefault="00AE7803" w:rsidP="00576551">
            <w:pPr>
              <w:ind w:firstLine="0"/>
              <w:rPr>
                <w:rtl/>
              </w:rPr>
            </w:pPr>
            <w:r>
              <w:rPr>
                <w:rFonts w:hint="cs"/>
                <w:rtl/>
              </w:rPr>
              <w:t xml:space="preserve"> </w:t>
            </w:r>
            <w:r w:rsidR="00576551" w:rsidRPr="00576551">
              <w:rPr>
                <w:rFonts w:hint="cs"/>
                <w:rtl/>
              </w:rPr>
              <w:t>الأنعام</w:t>
            </w:r>
          </w:p>
        </w:tc>
        <w:tc>
          <w:tcPr>
            <w:tcW w:w="715" w:type="dxa"/>
          </w:tcPr>
          <w:p w:rsidR="00576551" w:rsidRPr="00576551" w:rsidRDefault="00576551" w:rsidP="00576551">
            <w:pPr>
              <w:ind w:firstLine="0"/>
              <w:rPr>
                <w:rtl/>
              </w:rPr>
            </w:pPr>
            <w:r w:rsidRPr="00576551">
              <w:rPr>
                <w:rFonts w:hint="cs"/>
                <w:rtl/>
              </w:rPr>
              <w:t xml:space="preserve"> 31</w:t>
            </w:r>
          </w:p>
        </w:tc>
        <w:tc>
          <w:tcPr>
            <w:tcW w:w="1464" w:type="dxa"/>
          </w:tcPr>
          <w:p w:rsidR="00576551" w:rsidRPr="00576551" w:rsidRDefault="00576551" w:rsidP="00576551">
            <w:pPr>
              <w:ind w:firstLine="0"/>
              <w:rPr>
                <w:rtl/>
              </w:rPr>
            </w:pPr>
            <w:r w:rsidRPr="00576551">
              <w:rPr>
                <w:rFonts w:hint="cs"/>
                <w:rtl/>
              </w:rPr>
              <w:t xml:space="preserve">  230</w:t>
            </w:r>
          </w:p>
        </w:tc>
      </w:tr>
      <w:tr w:rsidR="00576551" w:rsidRPr="00576551" w:rsidTr="00927865">
        <w:tc>
          <w:tcPr>
            <w:tcW w:w="654" w:type="dxa"/>
          </w:tcPr>
          <w:p w:rsidR="00576551" w:rsidRPr="00576551" w:rsidRDefault="00576551" w:rsidP="00576551">
            <w:pPr>
              <w:ind w:firstLine="0"/>
              <w:rPr>
                <w:rtl/>
              </w:rPr>
            </w:pPr>
            <w:r w:rsidRPr="00576551">
              <w:rPr>
                <w:rFonts w:hint="cs"/>
                <w:rtl/>
              </w:rPr>
              <w:t>16</w:t>
            </w:r>
          </w:p>
        </w:tc>
        <w:tc>
          <w:tcPr>
            <w:tcW w:w="5448" w:type="dxa"/>
          </w:tcPr>
          <w:p w:rsidR="00576551" w:rsidRPr="00576551" w:rsidRDefault="00576551" w:rsidP="00576551">
            <w:pPr>
              <w:ind w:firstLine="0"/>
              <w:rPr>
                <w:sz w:val="28"/>
                <w:szCs w:val="28"/>
              </w:rPr>
            </w:pPr>
            <w:r w:rsidRPr="00576551">
              <w:rPr>
                <w:rFonts w:ascii="QCF_BSML" w:hAnsi="QCF_BSML" w:cs="QCF_BSML"/>
                <w:sz w:val="28"/>
                <w:szCs w:val="28"/>
                <w:rtl/>
                <w:lang w:eastAsia="en-US"/>
              </w:rPr>
              <w:t xml:space="preserve">ﭽ </w:t>
            </w:r>
            <w:r w:rsidRPr="00576551">
              <w:rPr>
                <w:rFonts w:ascii="QCF_P139" w:hAnsi="QCF_P139" w:cs="QCF_P139"/>
                <w:sz w:val="28"/>
                <w:szCs w:val="28"/>
                <w:rtl/>
                <w:lang w:eastAsia="en-US"/>
              </w:rPr>
              <w:t xml:space="preserve">ﰈ  ﰉ  ﰊ  </w:t>
            </w:r>
            <w:r w:rsidRPr="00576551">
              <w:rPr>
                <w:rFonts w:ascii="QCF_BSML" w:hAnsi="QCF_BSML" w:cs="QCF_BSML"/>
                <w:sz w:val="28"/>
                <w:szCs w:val="28"/>
                <w:rtl/>
                <w:lang w:eastAsia="en-US"/>
              </w:rPr>
              <w:t>ﭼ</w:t>
            </w:r>
          </w:p>
        </w:tc>
        <w:tc>
          <w:tcPr>
            <w:tcW w:w="1039" w:type="dxa"/>
            <w:vMerge/>
          </w:tcPr>
          <w:p w:rsidR="00576551" w:rsidRPr="00576551" w:rsidRDefault="00576551" w:rsidP="00576551">
            <w:pPr>
              <w:ind w:firstLine="0"/>
              <w:rPr>
                <w:rtl/>
              </w:rPr>
            </w:pPr>
          </w:p>
        </w:tc>
        <w:tc>
          <w:tcPr>
            <w:tcW w:w="715" w:type="dxa"/>
          </w:tcPr>
          <w:p w:rsidR="00576551" w:rsidRPr="00576551" w:rsidRDefault="007925F6" w:rsidP="00576551">
            <w:pPr>
              <w:ind w:firstLine="0"/>
              <w:rPr>
                <w:rtl/>
              </w:rPr>
            </w:pPr>
            <w:r>
              <w:rPr>
                <w:rFonts w:hint="cs"/>
                <w:rtl/>
              </w:rPr>
              <w:t xml:space="preserve"> </w:t>
            </w:r>
            <w:r w:rsidR="00576551" w:rsidRPr="00576551">
              <w:rPr>
                <w:rFonts w:hint="cs"/>
                <w:rtl/>
              </w:rPr>
              <w:t>94</w:t>
            </w:r>
          </w:p>
        </w:tc>
        <w:tc>
          <w:tcPr>
            <w:tcW w:w="1464" w:type="dxa"/>
          </w:tcPr>
          <w:p w:rsidR="00576551" w:rsidRPr="00576551" w:rsidRDefault="007925F6" w:rsidP="00576551">
            <w:pPr>
              <w:ind w:firstLine="0"/>
              <w:rPr>
                <w:rtl/>
              </w:rPr>
            </w:pPr>
            <w:r>
              <w:rPr>
                <w:rFonts w:hint="cs"/>
                <w:rtl/>
              </w:rPr>
              <w:t xml:space="preserve">  </w:t>
            </w:r>
            <w:r w:rsidR="00576551" w:rsidRPr="00576551">
              <w:rPr>
                <w:rFonts w:hint="cs"/>
                <w:rtl/>
              </w:rPr>
              <w:t>235</w:t>
            </w:r>
            <w:r>
              <w:rPr>
                <w:rFonts w:hint="cs"/>
                <w:rtl/>
              </w:rPr>
              <w:t xml:space="preserve">  </w:t>
            </w:r>
          </w:p>
        </w:tc>
      </w:tr>
      <w:tr w:rsidR="00576551" w:rsidRPr="00576551" w:rsidTr="00927865">
        <w:tc>
          <w:tcPr>
            <w:tcW w:w="654" w:type="dxa"/>
          </w:tcPr>
          <w:p w:rsidR="00576551" w:rsidRPr="00576551" w:rsidRDefault="00576551" w:rsidP="00576551">
            <w:pPr>
              <w:ind w:firstLine="0"/>
              <w:rPr>
                <w:rtl/>
              </w:rPr>
            </w:pPr>
            <w:r w:rsidRPr="00576551">
              <w:rPr>
                <w:rFonts w:hint="cs"/>
                <w:rtl/>
              </w:rPr>
              <w:t>17</w:t>
            </w:r>
          </w:p>
        </w:tc>
        <w:tc>
          <w:tcPr>
            <w:tcW w:w="5448" w:type="dxa"/>
          </w:tcPr>
          <w:p w:rsidR="00576551" w:rsidRPr="00576551" w:rsidRDefault="00576551" w:rsidP="00576551">
            <w:pPr>
              <w:ind w:firstLine="0"/>
              <w:rPr>
                <w:rFonts w:ascii="Traditional Arabic" w:hAnsi="Traditional Arabic"/>
                <w:sz w:val="28"/>
                <w:szCs w:val="28"/>
                <w:rtl/>
              </w:rPr>
            </w:pPr>
            <w:r w:rsidRPr="00576551">
              <w:rPr>
                <w:rFonts w:ascii="QCF_BSML" w:hAnsi="QCF_BSML" w:cs="QCF_BSML"/>
                <w:sz w:val="28"/>
                <w:szCs w:val="28"/>
                <w:rtl/>
                <w:lang w:eastAsia="en-US"/>
              </w:rPr>
              <w:t>ﭽ</w:t>
            </w:r>
            <w:r w:rsidRPr="00576551">
              <w:rPr>
                <w:rFonts w:ascii="QCF_P156" w:hAnsi="QCF_P156" w:cs="QCF_P156"/>
                <w:sz w:val="28"/>
                <w:szCs w:val="28"/>
                <w:rtl/>
                <w:lang w:eastAsia="en-US"/>
              </w:rPr>
              <w:t>ﭑ  ﭒ  ﭓ</w:t>
            </w:r>
            <w:r w:rsidRPr="00576551">
              <w:rPr>
                <w:rFonts w:ascii="QCF_BSML" w:hAnsi="QCF_BSML" w:cs="QCF_BSML"/>
                <w:sz w:val="28"/>
                <w:szCs w:val="28"/>
                <w:rtl/>
                <w:lang w:eastAsia="en-US"/>
              </w:rPr>
              <w:t>ﭼ</w:t>
            </w:r>
          </w:p>
        </w:tc>
        <w:tc>
          <w:tcPr>
            <w:tcW w:w="1039" w:type="dxa"/>
            <w:vMerge w:val="restart"/>
          </w:tcPr>
          <w:p w:rsidR="00576551" w:rsidRPr="00576551" w:rsidRDefault="00576551" w:rsidP="00576551">
            <w:pPr>
              <w:ind w:firstLine="0"/>
              <w:rPr>
                <w:rtl/>
              </w:rPr>
            </w:pPr>
          </w:p>
          <w:p w:rsidR="00576551" w:rsidRPr="00576551" w:rsidRDefault="00576551" w:rsidP="00576551">
            <w:pPr>
              <w:ind w:firstLine="0"/>
              <w:rPr>
                <w:rtl/>
              </w:rPr>
            </w:pPr>
            <w:r w:rsidRPr="00576551">
              <w:rPr>
                <w:rFonts w:hint="cs"/>
                <w:rtl/>
              </w:rPr>
              <w:t>الأعراف</w:t>
            </w:r>
          </w:p>
        </w:tc>
        <w:tc>
          <w:tcPr>
            <w:tcW w:w="715" w:type="dxa"/>
          </w:tcPr>
          <w:p w:rsidR="00576551" w:rsidRPr="00576551" w:rsidRDefault="00576551" w:rsidP="00576551">
            <w:pPr>
              <w:ind w:firstLine="0"/>
              <w:rPr>
                <w:rtl/>
              </w:rPr>
            </w:pPr>
            <w:r w:rsidRPr="00576551">
              <w:rPr>
                <w:rFonts w:hint="cs"/>
                <w:rtl/>
              </w:rPr>
              <w:t xml:space="preserve"> 44</w:t>
            </w:r>
          </w:p>
        </w:tc>
        <w:tc>
          <w:tcPr>
            <w:tcW w:w="1464" w:type="dxa"/>
          </w:tcPr>
          <w:p w:rsidR="00576551" w:rsidRPr="00576551" w:rsidRDefault="007925F6" w:rsidP="00576551">
            <w:pPr>
              <w:ind w:firstLine="0"/>
              <w:rPr>
                <w:rtl/>
              </w:rPr>
            </w:pPr>
            <w:r>
              <w:rPr>
                <w:rFonts w:hint="cs"/>
                <w:rtl/>
              </w:rPr>
              <w:t xml:space="preserve"> </w:t>
            </w:r>
            <w:r w:rsidR="00576551" w:rsidRPr="00576551">
              <w:rPr>
                <w:rFonts w:hint="cs"/>
                <w:rtl/>
              </w:rPr>
              <w:t xml:space="preserve"> 228</w:t>
            </w:r>
          </w:p>
        </w:tc>
      </w:tr>
      <w:tr w:rsidR="00576551" w:rsidRPr="00576551" w:rsidTr="00927865">
        <w:tc>
          <w:tcPr>
            <w:tcW w:w="654" w:type="dxa"/>
          </w:tcPr>
          <w:p w:rsidR="00576551" w:rsidRPr="00576551" w:rsidRDefault="00576551" w:rsidP="00576551">
            <w:pPr>
              <w:ind w:firstLine="0"/>
              <w:rPr>
                <w:rtl/>
              </w:rPr>
            </w:pPr>
            <w:r w:rsidRPr="00576551">
              <w:rPr>
                <w:rFonts w:hint="cs"/>
                <w:rtl/>
              </w:rPr>
              <w:t>18</w:t>
            </w:r>
          </w:p>
        </w:tc>
        <w:tc>
          <w:tcPr>
            <w:tcW w:w="5448" w:type="dxa"/>
          </w:tcPr>
          <w:p w:rsidR="00576551" w:rsidRPr="00576551" w:rsidRDefault="00576551" w:rsidP="00576551">
            <w:pPr>
              <w:ind w:firstLine="0"/>
              <w:rPr>
                <w:rFonts w:ascii="Traditional Arabic" w:hAnsi="Traditional Arabic"/>
                <w:sz w:val="28"/>
                <w:szCs w:val="28"/>
                <w:rtl/>
              </w:rPr>
            </w:pPr>
            <w:r w:rsidRPr="00576551">
              <w:rPr>
                <w:rFonts w:ascii="QCF_BSML" w:hAnsi="QCF_BSML" w:cs="QCF_BSML"/>
                <w:sz w:val="28"/>
                <w:szCs w:val="28"/>
                <w:rtl/>
                <w:lang w:eastAsia="en-US"/>
              </w:rPr>
              <w:t xml:space="preserve">ﭽ </w:t>
            </w:r>
            <w:r w:rsidRPr="00576551">
              <w:rPr>
                <w:rFonts w:ascii="QCF_P169" w:hAnsi="QCF_P169" w:cs="QCF_P169"/>
                <w:sz w:val="28"/>
                <w:szCs w:val="28"/>
                <w:rtl/>
                <w:lang w:eastAsia="en-US"/>
              </w:rPr>
              <w:t xml:space="preserve">ﮩ  ﮪ  ﮫ  ﮬ  </w:t>
            </w:r>
            <w:r w:rsidRPr="00576551">
              <w:rPr>
                <w:rFonts w:ascii="QCF_BSML" w:hAnsi="QCF_BSML" w:cs="QCF_BSML"/>
                <w:sz w:val="28"/>
                <w:szCs w:val="28"/>
                <w:rtl/>
                <w:lang w:eastAsia="en-US"/>
              </w:rPr>
              <w:t>ﭼ</w:t>
            </w:r>
          </w:p>
        </w:tc>
        <w:tc>
          <w:tcPr>
            <w:tcW w:w="1039" w:type="dxa"/>
            <w:vMerge/>
          </w:tcPr>
          <w:p w:rsidR="00576551" w:rsidRPr="00576551" w:rsidRDefault="00576551" w:rsidP="00576551">
            <w:pPr>
              <w:ind w:firstLine="0"/>
              <w:rPr>
                <w:rtl/>
              </w:rPr>
            </w:pPr>
          </w:p>
        </w:tc>
        <w:tc>
          <w:tcPr>
            <w:tcW w:w="715" w:type="dxa"/>
          </w:tcPr>
          <w:p w:rsidR="00576551" w:rsidRPr="00576551" w:rsidRDefault="00576551" w:rsidP="00576551">
            <w:pPr>
              <w:ind w:firstLine="0"/>
              <w:rPr>
                <w:rtl/>
              </w:rPr>
            </w:pPr>
            <w:r w:rsidRPr="00576551">
              <w:rPr>
                <w:rFonts w:hint="cs"/>
                <w:rtl/>
              </w:rPr>
              <w:t>154</w:t>
            </w:r>
          </w:p>
        </w:tc>
        <w:tc>
          <w:tcPr>
            <w:tcW w:w="1464" w:type="dxa"/>
          </w:tcPr>
          <w:p w:rsidR="00576551" w:rsidRPr="00576551" w:rsidRDefault="007925F6" w:rsidP="00576551">
            <w:pPr>
              <w:ind w:firstLine="0"/>
              <w:rPr>
                <w:rtl/>
              </w:rPr>
            </w:pPr>
            <w:r>
              <w:rPr>
                <w:rFonts w:hint="cs"/>
                <w:rtl/>
              </w:rPr>
              <w:t xml:space="preserve"> </w:t>
            </w:r>
            <w:r w:rsidR="00576551" w:rsidRPr="00576551">
              <w:rPr>
                <w:rFonts w:hint="cs"/>
                <w:rtl/>
              </w:rPr>
              <w:t xml:space="preserve"> 258</w:t>
            </w:r>
          </w:p>
        </w:tc>
      </w:tr>
      <w:tr w:rsidR="00576551" w:rsidRPr="00576551" w:rsidTr="00927865">
        <w:tc>
          <w:tcPr>
            <w:tcW w:w="654" w:type="dxa"/>
          </w:tcPr>
          <w:p w:rsidR="00576551" w:rsidRPr="00576551" w:rsidRDefault="00576551" w:rsidP="00576551">
            <w:pPr>
              <w:ind w:firstLine="0"/>
              <w:rPr>
                <w:rtl/>
              </w:rPr>
            </w:pPr>
            <w:r w:rsidRPr="00576551">
              <w:rPr>
                <w:rFonts w:hint="cs"/>
                <w:rtl/>
              </w:rPr>
              <w:t>19</w:t>
            </w:r>
          </w:p>
        </w:tc>
        <w:tc>
          <w:tcPr>
            <w:tcW w:w="5448" w:type="dxa"/>
          </w:tcPr>
          <w:p w:rsidR="00576551" w:rsidRPr="00576551" w:rsidRDefault="00576551" w:rsidP="00576551">
            <w:pPr>
              <w:ind w:firstLine="0"/>
              <w:rPr>
                <w:sz w:val="28"/>
                <w:szCs w:val="28"/>
                <w:rtl/>
              </w:rPr>
            </w:pPr>
            <w:r w:rsidRPr="00576551">
              <w:rPr>
                <w:rFonts w:ascii="QCF_BSML" w:hAnsi="QCF_BSML" w:cs="QCF_BSML"/>
                <w:sz w:val="28"/>
                <w:szCs w:val="28"/>
                <w:rtl/>
                <w:lang w:eastAsia="en-US"/>
              </w:rPr>
              <w:t xml:space="preserve">ﭽ </w:t>
            </w:r>
            <w:r w:rsidRPr="00576551">
              <w:rPr>
                <w:rFonts w:ascii="QCF_P176" w:hAnsi="QCF_P176" w:cs="QCF_P176"/>
                <w:sz w:val="28"/>
                <w:szCs w:val="28"/>
                <w:rtl/>
                <w:lang w:eastAsia="en-US"/>
              </w:rPr>
              <w:t>ﯢ  ﯣ   ﯤ  ﯥ  ﯦ  ﯧ  ﯨ  ﯩ    ﯪ  ﯫ</w:t>
            </w:r>
            <w:r w:rsidRPr="00576551">
              <w:rPr>
                <w:rFonts w:ascii="QCF_BSML" w:hAnsi="QCF_BSML" w:cs="QCF_BSML"/>
                <w:sz w:val="28"/>
                <w:szCs w:val="28"/>
                <w:rtl/>
                <w:lang w:eastAsia="en-US"/>
              </w:rPr>
              <w:t>ﭼ</w:t>
            </w:r>
          </w:p>
        </w:tc>
        <w:tc>
          <w:tcPr>
            <w:tcW w:w="1039" w:type="dxa"/>
            <w:vMerge/>
          </w:tcPr>
          <w:p w:rsidR="00576551" w:rsidRPr="00576551" w:rsidRDefault="00576551" w:rsidP="00576551">
            <w:pPr>
              <w:ind w:firstLine="0"/>
              <w:rPr>
                <w:rtl/>
              </w:rPr>
            </w:pPr>
          </w:p>
        </w:tc>
        <w:tc>
          <w:tcPr>
            <w:tcW w:w="715" w:type="dxa"/>
          </w:tcPr>
          <w:p w:rsidR="00576551" w:rsidRPr="00576551" w:rsidRDefault="00576551" w:rsidP="00576551">
            <w:pPr>
              <w:ind w:firstLine="0"/>
              <w:rPr>
                <w:rtl/>
              </w:rPr>
            </w:pPr>
            <w:r w:rsidRPr="00576551">
              <w:rPr>
                <w:rFonts w:hint="cs"/>
                <w:rtl/>
              </w:rPr>
              <w:t>205</w:t>
            </w:r>
          </w:p>
        </w:tc>
        <w:tc>
          <w:tcPr>
            <w:tcW w:w="1464" w:type="dxa"/>
          </w:tcPr>
          <w:p w:rsidR="00576551" w:rsidRPr="00576551" w:rsidRDefault="00576551" w:rsidP="00900717">
            <w:pPr>
              <w:ind w:firstLine="0"/>
              <w:rPr>
                <w:rtl/>
              </w:rPr>
            </w:pPr>
            <w:r w:rsidRPr="00576551">
              <w:rPr>
                <w:rFonts w:hint="cs"/>
                <w:rtl/>
              </w:rPr>
              <w:t>69</w:t>
            </w:r>
            <w:r w:rsidR="00900717">
              <w:rPr>
                <w:rFonts w:hint="cs"/>
                <w:rtl/>
              </w:rPr>
              <w:t xml:space="preserve">, </w:t>
            </w:r>
            <w:r w:rsidRPr="00576551">
              <w:rPr>
                <w:rFonts w:hint="cs"/>
                <w:rtl/>
              </w:rPr>
              <w:t>163</w:t>
            </w:r>
          </w:p>
        </w:tc>
      </w:tr>
      <w:tr w:rsidR="00576551" w:rsidRPr="00576551" w:rsidTr="00927865">
        <w:trPr>
          <w:trHeight w:val="585"/>
        </w:trPr>
        <w:tc>
          <w:tcPr>
            <w:tcW w:w="654" w:type="dxa"/>
          </w:tcPr>
          <w:p w:rsidR="00576551" w:rsidRPr="00576551" w:rsidRDefault="00576551" w:rsidP="00576551">
            <w:pPr>
              <w:ind w:firstLine="0"/>
              <w:rPr>
                <w:rtl/>
              </w:rPr>
            </w:pPr>
            <w:r w:rsidRPr="00576551">
              <w:rPr>
                <w:rFonts w:hint="cs"/>
                <w:rtl/>
              </w:rPr>
              <w:t>20</w:t>
            </w:r>
          </w:p>
        </w:tc>
        <w:tc>
          <w:tcPr>
            <w:tcW w:w="5448" w:type="dxa"/>
          </w:tcPr>
          <w:p w:rsidR="00576551" w:rsidRPr="00576551" w:rsidRDefault="00576551" w:rsidP="00576551">
            <w:pPr>
              <w:ind w:firstLine="0"/>
              <w:rPr>
                <w:rFonts w:ascii="QCF_BSML" w:hAnsi="QCF_BSML" w:cs="QCF_BSML"/>
                <w:sz w:val="28"/>
                <w:szCs w:val="28"/>
                <w:rtl/>
                <w:lang w:eastAsia="en-US"/>
              </w:rPr>
            </w:pPr>
            <w:r w:rsidRPr="00576551">
              <w:rPr>
                <w:rFonts w:ascii="QCF_BSML" w:hAnsi="QCF_BSML" w:cs="QCF_BSML"/>
                <w:sz w:val="28"/>
                <w:szCs w:val="28"/>
                <w:rtl/>
                <w:lang w:eastAsia="en-US"/>
              </w:rPr>
              <w:t xml:space="preserve">ﭽ </w:t>
            </w:r>
            <w:r w:rsidRPr="00576551">
              <w:rPr>
                <w:rFonts w:ascii="QCF_P180" w:hAnsi="QCF_P180" w:cs="QCF_P180"/>
                <w:sz w:val="28"/>
                <w:szCs w:val="28"/>
                <w:rtl/>
                <w:lang w:eastAsia="en-US"/>
              </w:rPr>
              <w:t>ﮪ  ﮫ  ﮬ  ﮭ  ﮮ</w:t>
            </w:r>
            <w:r w:rsidRPr="00576551">
              <w:rPr>
                <w:rFonts w:ascii="QCF_BSML" w:hAnsi="QCF_BSML" w:cs="QCF_BSML"/>
                <w:sz w:val="28"/>
                <w:szCs w:val="28"/>
                <w:rtl/>
                <w:lang w:eastAsia="en-US"/>
              </w:rPr>
              <w:t xml:space="preserve">ﭼ </w:t>
            </w:r>
            <w:r w:rsidRPr="00576551">
              <w:rPr>
                <w:rFonts w:ascii="Arial" w:hAnsi="Arial" w:cs="Arial" w:hint="cs"/>
                <w:color w:val="9DAB0C"/>
                <w:sz w:val="28"/>
                <w:szCs w:val="28"/>
                <w:rtl/>
                <w:lang w:eastAsia="en-US"/>
              </w:rPr>
              <w:t xml:space="preserve"> </w:t>
            </w:r>
          </w:p>
        </w:tc>
        <w:tc>
          <w:tcPr>
            <w:tcW w:w="1039" w:type="dxa"/>
          </w:tcPr>
          <w:p w:rsidR="00576551" w:rsidRPr="00576551" w:rsidRDefault="00576551" w:rsidP="00576551">
            <w:pPr>
              <w:ind w:firstLine="0"/>
              <w:rPr>
                <w:rtl/>
              </w:rPr>
            </w:pPr>
            <w:r w:rsidRPr="00576551">
              <w:rPr>
                <w:rFonts w:hint="cs"/>
                <w:rtl/>
              </w:rPr>
              <w:t xml:space="preserve"> الأنفال</w:t>
            </w:r>
          </w:p>
        </w:tc>
        <w:tc>
          <w:tcPr>
            <w:tcW w:w="715" w:type="dxa"/>
          </w:tcPr>
          <w:p w:rsidR="00576551" w:rsidRPr="00576551" w:rsidRDefault="00576551" w:rsidP="00576551">
            <w:pPr>
              <w:ind w:firstLine="0"/>
              <w:rPr>
                <w:rtl/>
              </w:rPr>
            </w:pPr>
            <w:r w:rsidRPr="00576551">
              <w:rPr>
                <w:rFonts w:hint="cs"/>
                <w:rtl/>
              </w:rPr>
              <w:t xml:space="preserve"> 31</w:t>
            </w:r>
          </w:p>
        </w:tc>
        <w:tc>
          <w:tcPr>
            <w:tcW w:w="1464" w:type="dxa"/>
          </w:tcPr>
          <w:p w:rsidR="00576551" w:rsidRPr="00576551" w:rsidRDefault="007925F6" w:rsidP="00576551">
            <w:pPr>
              <w:ind w:firstLine="0"/>
              <w:rPr>
                <w:rtl/>
              </w:rPr>
            </w:pPr>
            <w:r>
              <w:rPr>
                <w:rFonts w:hint="cs"/>
                <w:rtl/>
              </w:rPr>
              <w:t xml:space="preserve">  </w:t>
            </w:r>
            <w:r w:rsidR="00576551" w:rsidRPr="00576551">
              <w:rPr>
                <w:rFonts w:hint="cs"/>
                <w:rtl/>
              </w:rPr>
              <w:t>140</w:t>
            </w:r>
          </w:p>
        </w:tc>
      </w:tr>
      <w:tr w:rsidR="00576551" w:rsidRPr="00576551" w:rsidTr="00927865">
        <w:trPr>
          <w:trHeight w:val="540"/>
        </w:trPr>
        <w:tc>
          <w:tcPr>
            <w:tcW w:w="654" w:type="dxa"/>
          </w:tcPr>
          <w:p w:rsidR="00576551" w:rsidRPr="00576551" w:rsidRDefault="00576551" w:rsidP="00576551">
            <w:pPr>
              <w:ind w:firstLine="0"/>
              <w:rPr>
                <w:rtl/>
              </w:rPr>
            </w:pPr>
            <w:r w:rsidRPr="00576551">
              <w:rPr>
                <w:rFonts w:hint="cs"/>
                <w:rtl/>
              </w:rPr>
              <w:lastRenderedPageBreak/>
              <w:t>م</w:t>
            </w:r>
          </w:p>
        </w:tc>
        <w:tc>
          <w:tcPr>
            <w:tcW w:w="5448" w:type="dxa"/>
          </w:tcPr>
          <w:p w:rsidR="00576551" w:rsidRPr="00576551" w:rsidRDefault="00576551" w:rsidP="00576551">
            <w:pPr>
              <w:ind w:firstLine="0"/>
              <w:rPr>
                <w:rFonts w:ascii="Traditional Arabic" w:hAnsi="Traditional Arabic"/>
                <w:color w:val="auto"/>
                <w:rtl/>
              </w:rPr>
            </w:pPr>
            <w:r w:rsidRPr="00576551">
              <w:rPr>
                <w:rFonts w:ascii="Traditional Arabic" w:hAnsi="Traditional Arabic" w:hint="cs"/>
                <w:color w:val="auto"/>
                <w:rtl/>
              </w:rPr>
              <w:t xml:space="preserve">                      الآية</w:t>
            </w:r>
          </w:p>
        </w:tc>
        <w:tc>
          <w:tcPr>
            <w:tcW w:w="1039" w:type="dxa"/>
          </w:tcPr>
          <w:p w:rsidR="00576551" w:rsidRPr="00576551" w:rsidRDefault="00576551" w:rsidP="00576551">
            <w:pPr>
              <w:ind w:firstLine="0"/>
              <w:rPr>
                <w:rtl/>
              </w:rPr>
            </w:pPr>
            <w:r w:rsidRPr="00576551">
              <w:rPr>
                <w:rFonts w:hint="cs"/>
                <w:rtl/>
              </w:rPr>
              <w:t xml:space="preserve"> السورة</w:t>
            </w:r>
          </w:p>
        </w:tc>
        <w:tc>
          <w:tcPr>
            <w:tcW w:w="715" w:type="dxa"/>
          </w:tcPr>
          <w:p w:rsidR="00576551" w:rsidRPr="00576551" w:rsidRDefault="00576551" w:rsidP="00576551">
            <w:pPr>
              <w:ind w:firstLine="0"/>
              <w:rPr>
                <w:rtl/>
              </w:rPr>
            </w:pPr>
            <w:r w:rsidRPr="00576551">
              <w:rPr>
                <w:rFonts w:hint="cs"/>
                <w:rtl/>
              </w:rPr>
              <w:t xml:space="preserve">رقمها   </w:t>
            </w:r>
          </w:p>
        </w:tc>
        <w:tc>
          <w:tcPr>
            <w:tcW w:w="1464" w:type="dxa"/>
          </w:tcPr>
          <w:p w:rsidR="00576551" w:rsidRPr="00576551" w:rsidRDefault="00576551" w:rsidP="00576551">
            <w:pPr>
              <w:ind w:firstLine="0"/>
              <w:rPr>
                <w:rtl/>
              </w:rPr>
            </w:pPr>
            <w:r w:rsidRPr="00576551">
              <w:rPr>
                <w:rFonts w:hint="cs"/>
                <w:rtl/>
              </w:rPr>
              <w:t xml:space="preserve"> الصفحة</w:t>
            </w:r>
          </w:p>
        </w:tc>
      </w:tr>
      <w:tr w:rsidR="00576551" w:rsidRPr="00576551" w:rsidTr="00927865">
        <w:trPr>
          <w:trHeight w:val="525"/>
        </w:trPr>
        <w:tc>
          <w:tcPr>
            <w:tcW w:w="654" w:type="dxa"/>
          </w:tcPr>
          <w:p w:rsidR="00576551" w:rsidRPr="00576551" w:rsidRDefault="00576551" w:rsidP="00576551">
            <w:pPr>
              <w:ind w:firstLine="0"/>
              <w:rPr>
                <w:rtl/>
              </w:rPr>
            </w:pPr>
            <w:r w:rsidRPr="00576551">
              <w:rPr>
                <w:rFonts w:hint="cs"/>
                <w:rtl/>
              </w:rPr>
              <w:t>21</w:t>
            </w:r>
          </w:p>
        </w:tc>
        <w:tc>
          <w:tcPr>
            <w:tcW w:w="5448" w:type="dxa"/>
          </w:tcPr>
          <w:p w:rsidR="00576551" w:rsidRPr="00576551" w:rsidRDefault="00576551" w:rsidP="00576551">
            <w:pPr>
              <w:ind w:firstLine="0"/>
              <w:rPr>
                <w:rFonts w:ascii="QCF_BSML" w:hAnsi="QCF_BSML" w:cs="QCF_BSML"/>
                <w:sz w:val="28"/>
                <w:szCs w:val="28"/>
                <w:rtl/>
                <w:lang w:eastAsia="en-US"/>
              </w:rPr>
            </w:pPr>
            <w:r w:rsidRPr="00576551">
              <w:rPr>
                <w:rFonts w:ascii="QCF_BSML" w:hAnsi="QCF_BSML" w:cs="QCF_BSML"/>
                <w:sz w:val="28"/>
                <w:szCs w:val="28"/>
                <w:rtl/>
                <w:lang w:eastAsia="en-US"/>
              </w:rPr>
              <w:t>ﭽ</w:t>
            </w:r>
            <w:r w:rsidRPr="00576551">
              <w:rPr>
                <w:rFonts w:ascii="QCF_P187" w:hAnsi="QCF_P187" w:cs="QCF_P187"/>
                <w:sz w:val="28"/>
                <w:szCs w:val="28"/>
                <w:rtl/>
                <w:lang w:eastAsia="en-US"/>
              </w:rPr>
              <w:t xml:space="preserve">ﮬ  ﮭ  ﮮ  ﮯ  </w:t>
            </w:r>
            <w:r w:rsidRPr="00576551">
              <w:rPr>
                <w:rFonts w:ascii="QCF_BSML" w:hAnsi="QCF_BSML" w:cs="QCF_BSML"/>
                <w:sz w:val="28"/>
                <w:szCs w:val="28"/>
                <w:rtl/>
                <w:lang w:eastAsia="en-US"/>
              </w:rPr>
              <w:t>ﭼ</w:t>
            </w:r>
          </w:p>
        </w:tc>
        <w:tc>
          <w:tcPr>
            <w:tcW w:w="1039" w:type="dxa"/>
            <w:vMerge w:val="restart"/>
          </w:tcPr>
          <w:p w:rsidR="00576551" w:rsidRPr="00576551" w:rsidRDefault="00576551" w:rsidP="00576551">
            <w:pPr>
              <w:ind w:firstLine="0"/>
              <w:rPr>
                <w:rtl/>
              </w:rPr>
            </w:pPr>
          </w:p>
          <w:p w:rsidR="00576551" w:rsidRPr="00576551" w:rsidRDefault="00576551" w:rsidP="00576551">
            <w:pPr>
              <w:ind w:firstLine="0"/>
              <w:rPr>
                <w:rtl/>
              </w:rPr>
            </w:pPr>
            <w:r w:rsidRPr="00576551">
              <w:rPr>
                <w:rFonts w:hint="cs"/>
                <w:rtl/>
              </w:rPr>
              <w:t xml:space="preserve">  التوبة</w:t>
            </w:r>
          </w:p>
        </w:tc>
        <w:tc>
          <w:tcPr>
            <w:tcW w:w="715" w:type="dxa"/>
          </w:tcPr>
          <w:p w:rsidR="00576551" w:rsidRPr="00576551" w:rsidRDefault="007925F6" w:rsidP="00576551">
            <w:pPr>
              <w:ind w:firstLine="0"/>
              <w:rPr>
                <w:rtl/>
              </w:rPr>
            </w:pPr>
            <w:r>
              <w:rPr>
                <w:rFonts w:hint="cs"/>
                <w:rtl/>
              </w:rPr>
              <w:t xml:space="preserve"> </w:t>
            </w:r>
            <w:r w:rsidR="00576551" w:rsidRPr="00576551">
              <w:rPr>
                <w:rFonts w:hint="cs"/>
                <w:rtl/>
              </w:rPr>
              <w:t xml:space="preserve"> 5</w:t>
            </w:r>
            <w:r>
              <w:rPr>
                <w:rFonts w:hint="cs"/>
                <w:rtl/>
              </w:rPr>
              <w:t xml:space="preserve"> </w:t>
            </w:r>
          </w:p>
        </w:tc>
        <w:tc>
          <w:tcPr>
            <w:tcW w:w="1464" w:type="dxa"/>
          </w:tcPr>
          <w:p w:rsidR="00576551" w:rsidRPr="00576551" w:rsidRDefault="007925F6" w:rsidP="00576551">
            <w:pPr>
              <w:ind w:firstLine="0"/>
              <w:rPr>
                <w:rtl/>
              </w:rPr>
            </w:pPr>
            <w:r>
              <w:rPr>
                <w:rFonts w:hint="cs"/>
                <w:rtl/>
              </w:rPr>
              <w:t xml:space="preserve"> </w:t>
            </w:r>
            <w:r w:rsidR="00576551" w:rsidRPr="00576551">
              <w:rPr>
                <w:rFonts w:hint="cs"/>
                <w:rtl/>
              </w:rPr>
              <w:t xml:space="preserve"> 136</w:t>
            </w:r>
            <w:r>
              <w:rPr>
                <w:rFonts w:hint="cs"/>
                <w:rtl/>
              </w:rPr>
              <w:t xml:space="preserve"> </w:t>
            </w:r>
          </w:p>
        </w:tc>
      </w:tr>
      <w:tr w:rsidR="00576551" w:rsidRPr="00576551" w:rsidTr="00927865">
        <w:tc>
          <w:tcPr>
            <w:tcW w:w="654" w:type="dxa"/>
          </w:tcPr>
          <w:p w:rsidR="00576551" w:rsidRPr="00576551" w:rsidRDefault="00576551" w:rsidP="00576551">
            <w:pPr>
              <w:ind w:firstLine="0"/>
              <w:rPr>
                <w:rtl/>
              </w:rPr>
            </w:pPr>
            <w:r w:rsidRPr="00576551">
              <w:rPr>
                <w:rFonts w:hint="cs"/>
                <w:rtl/>
              </w:rPr>
              <w:t>22</w:t>
            </w:r>
          </w:p>
        </w:tc>
        <w:tc>
          <w:tcPr>
            <w:tcW w:w="5448" w:type="dxa"/>
          </w:tcPr>
          <w:p w:rsidR="00576551" w:rsidRPr="00576551" w:rsidRDefault="00576551" w:rsidP="00576551">
            <w:pPr>
              <w:ind w:firstLine="0"/>
              <w:rPr>
                <w:sz w:val="28"/>
                <w:szCs w:val="28"/>
                <w:rtl/>
              </w:rPr>
            </w:pPr>
            <w:r w:rsidRPr="00576551">
              <w:rPr>
                <w:rFonts w:ascii="QCF_BSML" w:hAnsi="QCF_BSML" w:cs="QCF_BSML"/>
                <w:sz w:val="28"/>
                <w:szCs w:val="28"/>
                <w:rtl/>
                <w:lang w:eastAsia="en-US"/>
              </w:rPr>
              <w:t xml:space="preserve">ﭽ </w:t>
            </w:r>
            <w:r w:rsidRPr="00576551">
              <w:rPr>
                <w:rFonts w:ascii="QCF_P205" w:hAnsi="QCF_P205" w:cs="QCF_P205"/>
                <w:sz w:val="28"/>
                <w:szCs w:val="28"/>
                <w:rtl/>
                <w:lang w:eastAsia="en-US"/>
              </w:rPr>
              <w:t>ﭑ  ﭒ</w:t>
            </w:r>
            <w:r w:rsidRPr="00576551">
              <w:rPr>
                <w:rFonts w:ascii="QCF_BSML" w:hAnsi="QCF_BSML" w:cs="QCF_BSML"/>
                <w:sz w:val="28"/>
                <w:szCs w:val="28"/>
                <w:rtl/>
                <w:lang w:eastAsia="en-US"/>
              </w:rPr>
              <w:t>ﭼ</w:t>
            </w:r>
          </w:p>
        </w:tc>
        <w:tc>
          <w:tcPr>
            <w:tcW w:w="1039" w:type="dxa"/>
            <w:vMerge/>
          </w:tcPr>
          <w:p w:rsidR="00576551" w:rsidRPr="00576551" w:rsidRDefault="00576551" w:rsidP="00576551">
            <w:pPr>
              <w:ind w:firstLine="0"/>
              <w:rPr>
                <w:rtl/>
              </w:rPr>
            </w:pPr>
          </w:p>
        </w:tc>
        <w:tc>
          <w:tcPr>
            <w:tcW w:w="715" w:type="dxa"/>
          </w:tcPr>
          <w:p w:rsidR="00576551" w:rsidRPr="00576551" w:rsidRDefault="00576551" w:rsidP="00576551">
            <w:pPr>
              <w:ind w:firstLine="0"/>
              <w:rPr>
                <w:rtl/>
              </w:rPr>
            </w:pPr>
            <w:r w:rsidRPr="00576551">
              <w:rPr>
                <w:rFonts w:hint="cs"/>
                <w:rtl/>
              </w:rPr>
              <w:t>112</w:t>
            </w:r>
          </w:p>
        </w:tc>
        <w:tc>
          <w:tcPr>
            <w:tcW w:w="1464" w:type="dxa"/>
          </w:tcPr>
          <w:p w:rsidR="00576551" w:rsidRPr="00576551" w:rsidRDefault="007925F6" w:rsidP="00576551">
            <w:pPr>
              <w:ind w:firstLine="0"/>
              <w:rPr>
                <w:rtl/>
              </w:rPr>
            </w:pPr>
            <w:r>
              <w:rPr>
                <w:rFonts w:hint="cs"/>
                <w:rtl/>
              </w:rPr>
              <w:t xml:space="preserve">  </w:t>
            </w:r>
            <w:r w:rsidR="00576551" w:rsidRPr="00576551">
              <w:rPr>
                <w:rFonts w:hint="cs"/>
                <w:rtl/>
              </w:rPr>
              <w:t>193</w:t>
            </w:r>
          </w:p>
        </w:tc>
      </w:tr>
      <w:tr w:rsidR="00576551" w:rsidRPr="00576551" w:rsidTr="00927865">
        <w:tc>
          <w:tcPr>
            <w:tcW w:w="654" w:type="dxa"/>
          </w:tcPr>
          <w:p w:rsidR="00576551" w:rsidRPr="00576551" w:rsidRDefault="00576551" w:rsidP="00576551">
            <w:pPr>
              <w:ind w:firstLine="0"/>
              <w:rPr>
                <w:rtl/>
              </w:rPr>
            </w:pPr>
            <w:r w:rsidRPr="00576551">
              <w:rPr>
                <w:rFonts w:hint="cs"/>
                <w:rtl/>
              </w:rPr>
              <w:t>23</w:t>
            </w:r>
          </w:p>
        </w:tc>
        <w:tc>
          <w:tcPr>
            <w:tcW w:w="5448" w:type="dxa"/>
          </w:tcPr>
          <w:p w:rsidR="00576551" w:rsidRPr="00576551" w:rsidRDefault="00576551" w:rsidP="00576551">
            <w:pPr>
              <w:ind w:firstLine="0"/>
              <w:rPr>
                <w:sz w:val="28"/>
                <w:szCs w:val="28"/>
                <w:rtl/>
              </w:rPr>
            </w:pPr>
            <w:r w:rsidRPr="00576551">
              <w:rPr>
                <w:rFonts w:ascii="QCF_BSML" w:hAnsi="QCF_BSML" w:cs="QCF_BSML"/>
                <w:sz w:val="28"/>
                <w:szCs w:val="28"/>
                <w:rtl/>
                <w:lang w:eastAsia="en-US"/>
              </w:rPr>
              <w:t xml:space="preserve">ﭽ </w:t>
            </w:r>
            <w:r w:rsidRPr="00576551">
              <w:rPr>
                <w:rFonts w:ascii="QCF_P205" w:hAnsi="QCF_P205" w:cs="QCF_P205"/>
                <w:sz w:val="28"/>
                <w:szCs w:val="28"/>
                <w:rtl/>
                <w:lang w:eastAsia="en-US"/>
              </w:rPr>
              <w:t>ﭙ  ﭚ  ﭛ</w:t>
            </w:r>
            <w:r w:rsidRPr="00576551">
              <w:rPr>
                <w:rFonts w:ascii="QCF_BSML" w:hAnsi="QCF_BSML" w:cs="QCF_BSML"/>
                <w:sz w:val="28"/>
                <w:szCs w:val="28"/>
                <w:rtl/>
                <w:lang w:eastAsia="en-US"/>
              </w:rPr>
              <w:t>ﭼ</w:t>
            </w:r>
            <w:r w:rsidRPr="00576551">
              <w:rPr>
                <w:rFonts w:ascii="Traditional Arabic" w:hAnsi="Traditional Arabic" w:hint="cs"/>
                <w:sz w:val="28"/>
                <w:szCs w:val="28"/>
                <w:rtl/>
                <w:lang w:eastAsia="en-US"/>
              </w:rPr>
              <w:t xml:space="preserve"> </w:t>
            </w:r>
          </w:p>
        </w:tc>
        <w:tc>
          <w:tcPr>
            <w:tcW w:w="1039" w:type="dxa"/>
            <w:vMerge/>
          </w:tcPr>
          <w:p w:rsidR="00576551" w:rsidRPr="00576551" w:rsidRDefault="00576551" w:rsidP="00576551">
            <w:pPr>
              <w:ind w:firstLine="0"/>
              <w:rPr>
                <w:rtl/>
              </w:rPr>
            </w:pPr>
          </w:p>
        </w:tc>
        <w:tc>
          <w:tcPr>
            <w:tcW w:w="715" w:type="dxa"/>
          </w:tcPr>
          <w:p w:rsidR="00576551" w:rsidRPr="00576551" w:rsidRDefault="00576551" w:rsidP="00576551">
            <w:pPr>
              <w:ind w:firstLine="0"/>
              <w:rPr>
                <w:rtl/>
              </w:rPr>
            </w:pPr>
            <w:r w:rsidRPr="00576551">
              <w:rPr>
                <w:rFonts w:hint="cs"/>
                <w:rtl/>
              </w:rPr>
              <w:t>112</w:t>
            </w:r>
          </w:p>
        </w:tc>
        <w:tc>
          <w:tcPr>
            <w:tcW w:w="1464" w:type="dxa"/>
          </w:tcPr>
          <w:p w:rsidR="00576551" w:rsidRPr="00576551" w:rsidRDefault="007925F6" w:rsidP="00576551">
            <w:pPr>
              <w:ind w:firstLine="0"/>
              <w:rPr>
                <w:rtl/>
              </w:rPr>
            </w:pPr>
            <w:r>
              <w:rPr>
                <w:rFonts w:hint="cs"/>
                <w:rtl/>
              </w:rPr>
              <w:t xml:space="preserve">  </w:t>
            </w:r>
            <w:r w:rsidR="00576551" w:rsidRPr="00576551">
              <w:rPr>
                <w:rFonts w:hint="cs"/>
                <w:rtl/>
              </w:rPr>
              <w:t>193</w:t>
            </w:r>
          </w:p>
        </w:tc>
      </w:tr>
      <w:tr w:rsidR="00576551" w:rsidRPr="00576551" w:rsidTr="00927865">
        <w:tc>
          <w:tcPr>
            <w:tcW w:w="654" w:type="dxa"/>
          </w:tcPr>
          <w:p w:rsidR="00576551" w:rsidRPr="00576551" w:rsidRDefault="00576551" w:rsidP="00576551">
            <w:pPr>
              <w:ind w:firstLine="0"/>
              <w:rPr>
                <w:rtl/>
              </w:rPr>
            </w:pPr>
            <w:r w:rsidRPr="00576551">
              <w:rPr>
                <w:rFonts w:hint="cs"/>
                <w:rtl/>
              </w:rPr>
              <w:t>24</w:t>
            </w:r>
          </w:p>
        </w:tc>
        <w:tc>
          <w:tcPr>
            <w:tcW w:w="5448" w:type="dxa"/>
          </w:tcPr>
          <w:p w:rsidR="00576551" w:rsidRPr="00576551" w:rsidRDefault="00576551" w:rsidP="00576551">
            <w:pPr>
              <w:ind w:firstLine="0"/>
              <w:rPr>
                <w:rFonts w:ascii="Traditional Arabic" w:hAnsi="Traditional Arabic"/>
                <w:sz w:val="28"/>
                <w:szCs w:val="28"/>
                <w:rtl/>
              </w:rPr>
            </w:pPr>
            <w:r w:rsidRPr="00576551">
              <w:rPr>
                <w:rFonts w:ascii="QCF_BSML" w:hAnsi="QCF_BSML" w:cs="QCF_BSML"/>
                <w:sz w:val="28"/>
                <w:szCs w:val="28"/>
                <w:rtl/>
                <w:lang w:eastAsia="en-US"/>
              </w:rPr>
              <w:t>ﭽ</w:t>
            </w:r>
            <w:r w:rsidRPr="00576551">
              <w:rPr>
                <w:rFonts w:ascii="QCF_P218" w:hAnsi="QCF_P218" w:cs="QCF_P218"/>
                <w:sz w:val="28"/>
                <w:szCs w:val="28"/>
                <w:rtl/>
                <w:lang w:eastAsia="en-US"/>
              </w:rPr>
              <w:t>ﯺ  ﯻ  ﯼ</w:t>
            </w:r>
            <w:r w:rsidRPr="00576551">
              <w:rPr>
                <w:rFonts w:ascii="QCF_BSML" w:hAnsi="QCF_BSML" w:cs="QCF_BSML"/>
                <w:sz w:val="28"/>
                <w:szCs w:val="28"/>
                <w:rtl/>
                <w:lang w:eastAsia="en-US"/>
              </w:rPr>
              <w:t>ﭼ</w:t>
            </w:r>
            <w:r w:rsidRPr="00576551">
              <w:rPr>
                <w:rFonts w:ascii="Arial" w:hAnsi="Arial" w:cs="Arial"/>
                <w:sz w:val="28"/>
                <w:szCs w:val="28"/>
                <w:rtl/>
                <w:lang w:eastAsia="en-US"/>
              </w:rPr>
              <w:t xml:space="preserve"> </w:t>
            </w:r>
          </w:p>
        </w:tc>
        <w:tc>
          <w:tcPr>
            <w:tcW w:w="1039" w:type="dxa"/>
          </w:tcPr>
          <w:p w:rsidR="00576551" w:rsidRPr="00576551" w:rsidRDefault="00576551" w:rsidP="00576551">
            <w:pPr>
              <w:ind w:firstLine="0"/>
              <w:rPr>
                <w:rtl/>
              </w:rPr>
            </w:pPr>
            <w:r w:rsidRPr="00576551">
              <w:rPr>
                <w:rFonts w:hint="cs"/>
                <w:rtl/>
              </w:rPr>
              <w:t xml:space="preserve"> </w:t>
            </w:r>
            <w:r w:rsidR="00AE7803">
              <w:rPr>
                <w:rFonts w:hint="cs"/>
                <w:rtl/>
              </w:rPr>
              <w:t xml:space="preserve"> </w:t>
            </w:r>
            <w:r w:rsidRPr="00576551">
              <w:rPr>
                <w:rFonts w:hint="cs"/>
                <w:rtl/>
              </w:rPr>
              <w:t>يونس</w:t>
            </w:r>
          </w:p>
        </w:tc>
        <w:tc>
          <w:tcPr>
            <w:tcW w:w="715" w:type="dxa"/>
          </w:tcPr>
          <w:p w:rsidR="00576551" w:rsidRPr="00576551" w:rsidRDefault="00576551" w:rsidP="00576551">
            <w:pPr>
              <w:ind w:firstLine="0"/>
              <w:rPr>
                <w:rtl/>
              </w:rPr>
            </w:pPr>
            <w:r w:rsidRPr="00576551">
              <w:rPr>
                <w:rFonts w:hint="cs"/>
                <w:rtl/>
              </w:rPr>
              <w:t xml:space="preserve"> 88</w:t>
            </w:r>
          </w:p>
        </w:tc>
        <w:tc>
          <w:tcPr>
            <w:tcW w:w="1464" w:type="dxa"/>
          </w:tcPr>
          <w:p w:rsidR="00576551" w:rsidRPr="00576551" w:rsidRDefault="007925F6" w:rsidP="00576551">
            <w:pPr>
              <w:ind w:firstLine="0"/>
              <w:rPr>
                <w:rtl/>
              </w:rPr>
            </w:pPr>
            <w:r>
              <w:rPr>
                <w:rFonts w:hint="cs"/>
                <w:rtl/>
              </w:rPr>
              <w:t xml:space="preserve"> </w:t>
            </w:r>
            <w:r w:rsidR="00576551" w:rsidRPr="00576551">
              <w:rPr>
                <w:rFonts w:hint="cs"/>
                <w:rtl/>
              </w:rPr>
              <w:t xml:space="preserve"> 151</w:t>
            </w:r>
          </w:p>
        </w:tc>
      </w:tr>
      <w:tr w:rsidR="00576551" w:rsidRPr="00576551" w:rsidTr="00927865">
        <w:tc>
          <w:tcPr>
            <w:tcW w:w="654" w:type="dxa"/>
          </w:tcPr>
          <w:p w:rsidR="00576551" w:rsidRPr="00576551" w:rsidRDefault="00576551" w:rsidP="00576551">
            <w:pPr>
              <w:ind w:firstLine="0"/>
              <w:rPr>
                <w:rtl/>
              </w:rPr>
            </w:pPr>
            <w:r w:rsidRPr="00576551">
              <w:rPr>
                <w:rFonts w:hint="cs"/>
                <w:rtl/>
              </w:rPr>
              <w:t>25</w:t>
            </w:r>
          </w:p>
        </w:tc>
        <w:tc>
          <w:tcPr>
            <w:tcW w:w="5448" w:type="dxa"/>
          </w:tcPr>
          <w:p w:rsidR="00576551" w:rsidRPr="00576551" w:rsidRDefault="00576551" w:rsidP="00576551">
            <w:pPr>
              <w:ind w:firstLine="0"/>
              <w:rPr>
                <w:rFonts w:eastAsia="Calibri"/>
                <w:sz w:val="28"/>
                <w:szCs w:val="28"/>
                <w:vertAlign w:val="superscript"/>
                <w:rtl/>
              </w:rPr>
            </w:pPr>
            <w:r w:rsidRPr="00576551">
              <w:rPr>
                <w:rFonts w:ascii="QCF_BSML" w:hAnsi="QCF_BSML" w:cs="QCF_BSML"/>
                <w:sz w:val="28"/>
                <w:szCs w:val="28"/>
                <w:rtl/>
              </w:rPr>
              <w:t>ﭽ</w:t>
            </w:r>
            <w:r w:rsidRPr="00576551">
              <w:rPr>
                <w:rFonts w:ascii="QCF_BSML" w:hAnsi="QCF_BSML" w:cs="QCF_BSML" w:hint="cs"/>
                <w:sz w:val="28"/>
                <w:szCs w:val="28"/>
                <w:rtl/>
              </w:rPr>
              <w:t xml:space="preserve"> </w:t>
            </w:r>
            <w:r w:rsidRPr="00576551">
              <w:rPr>
                <w:rFonts w:ascii="QCF_P221" w:hAnsi="QCF_P221" w:cs="QCF_P221"/>
                <w:sz w:val="28"/>
                <w:szCs w:val="28"/>
                <w:rtl/>
              </w:rPr>
              <w:t>ﮔ</w:t>
            </w:r>
            <w:r w:rsidRPr="00576551">
              <w:rPr>
                <w:rFonts w:ascii="QCF_P221" w:hAnsi="QCF_P221" w:cs="QCF_P221" w:hint="cs"/>
                <w:sz w:val="28"/>
                <w:szCs w:val="28"/>
                <w:rtl/>
              </w:rPr>
              <w:t xml:space="preserve"> </w:t>
            </w:r>
            <w:r w:rsidRPr="00576551">
              <w:rPr>
                <w:rFonts w:ascii="QCF_P221" w:hAnsi="QCF_P221" w:cs="QCF_P221"/>
                <w:sz w:val="28"/>
                <w:szCs w:val="28"/>
                <w:rtl/>
              </w:rPr>
              <w:t>ﮕﮖ</w:t>
            </w:r>
            <w:r w:rsidRPr="00576551">
              <w:rPr>
                <w:rFonts w:ascii="QCF_P221" w:hAnsi="QCF_P221" w:cs="QCF_P221" w:hint="cs"/>
                <w:sz w:val="28"/>
                <w:szCs w:val="28"/>
                <w:rtl/>
              </w:rPr>
              <w:t xml:space="preserve"> </w:t>
            </w:r>
            <w:r w:rsidRPr="00576551">
              <w:rPr>
                <w:rFonts w:ascii="QCF_P221" w:hAnsi="QCF_P221" w:cs="QCF_P221"/>
                <w:sz w:val="28"/>
                <w:szCs w:val="28"/>
                <w:rtl/>
              </w:rPr>
              <w:t>ﮗ</w:t>
            </w:r>
            <w:r w:rsidRPr="00576551">
              <w:rPr>
                <w:rFonts w:ascii="QCF_P221" w:hAnsi="QCF_P221" w:cs="QCF_P221" w:hint="cs"/>
                <w:sz w:val="28"/>
                <w:szCs w:val="28"/>
                <w:rtl/>
              </w:rPr>
              <w:t xml:space="preserve"> </w:t>
            </w:r>
            <w:r w:rsidRPr="00576551">
              <w:rPr>
                <w:rFonts w:ascii="QCF_P221" w:hAnsi="QCF_P221" w:cs="QCF_P221"/>
                <w:sz w:val="28"/>
                <w:szCs w:val="28"/>
                <w:rtl/>
              </w:rPr>
              <w:t>ﮘ</w:t>
            </w:r>
            <w:r w:rsidRPr="00576551">
              <w:rPr>
                <w:rFonts w:ascii="QCF_P221" w:hAnsi="QCF_P221" w:cs="QCF_P221" w:hint="cs"/>
                <w:sz w:val="28"/>
                <w:szCs w:val="28"/>
                <w:rtl/>
              </w:rPr>
              <w:t xml:space="preserve"> </w:t>
            </w:r>
            <w:r w:rsidRPr="00576551">
              <w:rPr>
                <w:rFonts w:ascii="QCF_P221" w:hAnsi="QCF_P221" w:cs="QCF_P221"/>
                <w:sz w:val="28"/>
                <w:szCs w:val="28"/>
                <w:rtl/>
              </w:rPr>
              <w:t>ﮙ</w:t>
            </w:r>
            <w:r w:rsidRPr="00576551">
              <w:rPr>
                <w:rFonts w:ascii="QCF_P221" w:hAnsi="QCF_P221" w:cs="QCF_P221" w:hint="cs"/>
                <w:sz w:val="28"/>
                <w:szCs w:val="28"/>
                <w:rtl/>
              </w:rPr>
              <w:t xml:space="preserve"> </w:t>
            </w:r>
            <w:r w:rsidRPr="00576551">
              <w:rPr>
                <w:rFonts w:ascii="QCF_P221" w:hAnsi="QCF_P221" w:cs="QCF_P221"/>
                <w:sz w:val="28"/>
                <w:szCs w:val="28"/>
                <w:rtl/>
              </w:rPr>
              <w:t>ﮚﮛﮜ</w:t>
            </w:r>
            <w:r w:rsidRPr="00576551">
              <w:rPr>
                <w:rFonts w:ascii="QCF_P221" w:hAnsi="QCF_P221" w:cs="QCF_P221" w:hint="cs"/>
                <w:sz w:val="28"/>
                <w:szCs w:val="28"/>
                <w:rtl/>
              </w:rPr>
              <w:t xml:space="preserve"> </w:t>
            </w:r>
            <w:r w:rsidRPr="00576551">
              <w:rPr>
                <w:rFonts w:ascii="QCF_P221" w:hAnsi="QCF_P221" w:cs="QCF_P221"/>
                <w:sz w:val="28"/>
                <w:szCs w:val="28"/>
                <w:rtl/>
              </w:rPr>
              <w:t>ﮝﮞ</w:t>
            </w:r>
            <w:r w:rsidRPr="00576551">
              <w:rPr>
                <w:rFonts w:ascii="QCF_BSML" w:hAnsi="QCF_BSML" w:cs="QCF_BSML"/>
                <w:sz w:val="28"/>
                <w:szCs w:val="28"/>
                <w:rtl/>
              </w:rPr>
              <w:t>ﭼ</w:t>
            </w:r>
          </w:p>
        </w:tc>
        <w:tc>
          <w:tcPr>
            <w:tcW w:w="1039" w:type="dxa"/>
            <w:vMerge w:val="restart"/>
          </w:tcPr>
          <w:p w:rsidR="00576551" w:rsidRPr="00576551" w:rsidRDefault="00576551" w:rsidP="00576551">
            <w:pPr>
              <w:ind w:firstLine="0"/>
              <w:rPr>
                <w:rtl/>
              </w:rPr>
            </w:pPr>
          </w:p>
          <w:p w:rsidR="00576551" w:rsidRPr="00576551" w:rsidRDefault="00576551" w:rsidP="00576551">
            <w:pPr>
              <w:ind w:firstLine="0"/>
              <w:rPr>
                <w:rtl/>
              </w:rPr>
            </w:pPr>
            <w:r w:rsidRPr="00576551">
              <w:rPr>
                <w:rFonts w:hint="cs"/>
                <w:rtl/>
              </w:rPr>
              <w:t xml:space="preserve"> </w:t>
            </w:r>
            <w:r w:rsidR="00AE7803">
              <w:rPr>
                <w:rFonts w:hint="cs"/>
                <w:rtl/>
              </w:rPr>
              <w:t xml:space="preserve"> </w:t>
            </w:r>
            <w:r w:rsidRPr="00576551">
              <w:rPr>
                <w:rFonts w:hint="cs"/>
                <w:rtl/>
              </w:rPr>
              <w:t>هود</w:t>
            </w:r>
          </w:p>
        </w:tc>
        <w:tc>
          <w:tcPr>
            <w:tcW w:w="715" w:type="dxa"/>
          </w:tcPr>
          <w:p w:rsidR="00576551" w:rsidRPr="00576551" w:rsidRDefault="007925F6" w:rsidP="00576551">
            <w:pPr>
              <w:ind w:firstLine="0"/>
              <w:rPr>
                <w:rtl/>
              </w:rPr>
            </w:pPr>
            <w:r>
              <w:rPr>
                <w:rFonts w:hint="cs"/>
                <w:rtl/>
              </w:rPr>
              <w:t xml:space="preserve">  </w:t>
            </w:r>
            <w:r w:rsidR="00576551" w:rsidRPr="00576551">
              <w:rPr>
                <w:rFonts w:hint="cs"/>
                <w:rtl/>
              </w:rPr>
              <w:t>1</w:t>
            </w:r>
          </w:p>
        </w:tc>
        <w:tc>
          <w:tcPr>
            <w:tcW w:w="1464" w:type="dxa"/>
          </w:tcPr>
          <w:p w:rsidR="00576551" w:rsidRPr="00576551" w:rsidRDefault="007925F6" w:rsidP="00576551">
            <w:pPr>
              <w:ind w:firstLine="0"/>
              <w:rPr>
                <w:rtl/>
              </w:rPr>
            </w:pPr>
            <w:r>
              <w:rPr>
                <w:rFonts w:hint="cs"/>
                <w:rtl/>
              </w:rPr>
              <w:t xml:space="preserve"> </w:t>
            </w:r>
            <w:r w:rsidR="00576551" w:rsidRPr="00576551">
              <w:rPr>
                <w:rFonts w:hint="cs"/>
                <w:rtl/>
              </w:rPr>
              <w:t xml:space="preserve">  5</w:t>
            </w:r>
          </w:p>
        </w:tc>
      </w:tr>
      <w:tr w:rsidR="00576551" w:rsidRPr="00576551" w:rsidTr="00927865">
        <w:tc>
          <w:tcPr>
            <w:tcW w:w="654" w:type="dxa"/>
          </w:tcPr>
          <w:p w:rsidR="00576551" w:rsidRPr="00576551" w:rsidRDefault="00576551" w:rsidP="00576551">
            <w:pPr>
              <w:ind w:firstLine="0"/>
              <w:rPr>
                <w:rtl/>
              </w:rPr>
            </w:pPr>
            <w:r w:rsidRPr="00576551">
              <w:rPr>
                <w:rFonts w:hint="cs"/>
                <w:rtl/>
              </w:rPr>
              <w:t>26</w:t>
            </w:r>
          </w:p>
        </w:tc>
        <w:tc>
          <w:tcPr>
            <w:tcW w:w="5448" w:type="dxa"/>
          </w:tcPr>
          <w:p w:rsidR="00576551" w:rsidRPr="00576551" w:rsidRDefault="00576551" w:rsidP="00576551">
            <w:pPr>
              <w:ind w:firstLine="0"/>
              <w:rPr>
                <w:sz w:val="28"/>
                <w:szCs w:val="28"/>
                <w:rtl/>
              </w:rPr>
            </w:pPr>
            <w:r w:rsidRPr="00576551">
              <w:rPr>
                <w:rFonts w:ascii="QCF_BSML" w:hAnsi="QCF_BSML" w:cs="QCF_BSML"/>
                <w:sz w:val="28"/>
                <w:szCs w:val="28"/>
                <w:rtl/>
                <w:lang w:eastAsia="en-US"/>
              </w:rPr>
              <w:t>ﭽ</w:t>
            </w:r>
            <w:r w:rsidRPr="00576551">
              <w:rPr>
                <w:rFonts w:ascii="QCF_P229" w:hAnsi="QCF_P229" w:cs="QCF_P229"/>
                <w:sz w:val="28"/>
                <w:szCs w:val="28"/>
                <w:rtl/>
                <w:lang w:eastAsia="en-US"/>
              </w:rPr>
              <w:t>ﮜ   ﮝ  ﮞ  ﮟ</w:t>
            </w:r>
            <w:r w:rsidRPr="00576551">
              <w:rPr>
                <w:rFonts w:ascii="QCF_BSML" w:hAnsi="QCF_BSML" w:cs="QCF_BSML"/>
                <w:sz w:val="28"/>
                <w:szCs w:val="28"/>
                <w:rtl/>
                <w:lang w:eastAsia="en-US"/>
              </w:rPr>
              <w:t>ﭼ</w:t>
            </w:r>
            <w:r w:rsidRPr="00576551">
              <w:rPr>
                <w:rFonts w:ascii="Arial" w:hAnsi="Arial" w:cs="Arial"/>
                <w:sz w:val="28"/>
                <w:szCs w:val="28"/>
                <w:rtl/>
                <w:lang w:eastAsia="en-US"/>
              </w:rPr>
              <w:t xml:space="preserve"> </w:t>
            </w:r>
          </w:p>
        </w:tc>
        <w:tc>
          <w:tcPr>
            <w:tcW w:w="1039" w:type="dxa"/>
            <w:vMerge/>
          </w:tcPr>
          <w:p w:rsidR="00576551" w:rsidRPr="00576551" w:rsidRDefault="00576551" w:rsidP="00576551">
            <w:pPr>
              <w:ind w:firstLine="0"/>
              <w:rPr>
                <w:rtl/>
              </w:rPr>
            </w:pPr>
          </w:p>
        </w:tc>
        <w:tc>
          <w:tcPr>
            <w:tcW w:w="715" w:type="dxa"/>
          </w:tcPr>
          <w:p w:rsidR="00576551" w:rsidRPr="00576551" w:rsidRDefault="00576551" w:rsidP="00576551">
            <w:pPr>
              <w:ind w:firstLine="0"/>
              <w:rPr>
                <w:rtl/>
              </w:rPr>
            </w:pPr>
            <w:r w:rsidRPr="00576551">
              <w:rPr>
                <w:rFonts w:hint="cs"/>
                <w:rtl/>
              </w:rPr>
              <w:t xml:space="preserve"> 67</w:t>
            </w:r>
          </w:p>
        </w:tc>
        <w:tc>
          <w:tcPr>
            <w:tcW w:w="1464" w:type="dxa"/>
          </w:tcPr>
          <w:p w:rsidR="00576551" w:rsidRPr="00576551" w:rsidRDefault="007925F6" w:rsidP="00576551">
            <w:pPr>
              <w:ind w:firstLine="0"/>
              <w:rPr>
                <w:rtl/>
              </w:rPr>
            </w:pPr>
            <w:r>
              <w:rPr>
                <w:rFonts w:hint="cs"/>
                <w:rtl/>
              </w:rPr>
              <w:t xml:space="preserve"> </w:t>
            </w:r>
            <w:r w:rsidR="00576551" w:rsidRPr="00576551">
              <w:rPr>
                <w:rFonts w:hint="cs"/>
                <w:rtl/>
              </w:rPr>
              <w:t xml:space="preserve"> 224</w:t>
            </w:r>
          </w:p>
        </w:tc>
      </w:tr>
      <w:tr w:rsidR="00576551" w:rsidRPr="00576551" w:rsidTr="00927865">
        <w:tc>
          <w:tcPr>
            <w:tcW w:w="654" w:type="dxa"/>
          </w:tcPr>
          <w:p w:rsidR="00576551" w:rsidRPr="00576551" w:rsidRDefault="00576551" w:rsidP="00576551">
            <w:pPr>
              <w:ind w:firstLine="0"/>
              <w:rPr>
                <w:rtl/>
              </w:rPr>
            </w:pPr>
            <w:r w:rsidRPr="00576551">
              <w:rPr>
                <w:rFonts w:hint="cs"/>
                <w:rtl/>
              </w:rPr>
              <w:t>27</w:t>
            </w:r>
          </w:p>
        </w:tc>
        <w:tc>
          <w:tcPr>
            <w:tcW w:w="5448" w:type="dxa"/>
          </w:tcPr>
          <w:p w:rsidR="00576551" w:rsidRPr="00576551" w:rsidRDefault="00576551" w:rsidP="00576551">
            <w:pPr>
              <w:ind w:firstLine="0"/>
              <w:rPr>
                <w:sz w:val="28"/>
                <w:szCs w:val="28"/>
                <w:vertAlign w:val="superscript"/>
                <w:rtl/>
              </w:rPr>
            </w:pPr>
            <w:r w:rsidRPr="00576551">
              <w:rPr>
                <w:rFonts w:ascii="QCF_BSML" w:hAnsi="QCF_BSML" w:cs="QCF_BSML"/>
                <w:color w:val="0D0D0D"/>
                <w:sz w:val="28"/>
                <w:szCs w:val="28"/>
                <w:rtl/>
              </w:rPr>
              <w:t>ﭽ</w:t>
            </w:r>
            <w:r w:rsidRPr="00576551">
              <w:rPr>
                <w:rFonts w:ascii="QCF_P253" w:hAnsi="QCF_P253" w:cs="QCF_P253"/>
                <w:color w:val="0D0D0D"/>
                <w:sz w:val="28"/>
                <w:szCs w:val="28"/>
                <w:rtl/>
              </w:rPr>
              <w:t xml:space="preserve">ﭸ ﭹ ﭺ ﭻ ﭼ ﭽ </w:t>
            </w:r>
            <w:r w:rsidRPr="00576551">
              <w:rPr>
                <w:rFonts w:ascii="QCF_BSML" w:hAnsi="QCF_BSML" w:cs="QCF_BSML"/>
                <w:color w:val="0D0D0D"/>
                <w:sz w:val="28"/>
                <w:szCs w:val="28"/>
                <w:rtl/>
              </w:rPr>
              <w:t>ﭼ</w:t>
            </w:r>
            <w:r w:rsidRPr="00576551">
              <w:rPr>
                <w:rFonts w:ascii="Traditional Arabic" w:hAnsi="Traditional Arabic"/>
                <w:color w:val="0D0D0D"/>
                <w:sz w:val="28"/>
                <w:szCs w:val="28"/>
                <w:rtl/>
              </w:rPr>
              <w:t xml:space="preserve"> </w:t>
            </w:r>
          </w:p>
        </w:tc>
        <w:tc>
          <w:tcPr>
            <w:tcW w:w="1039" w:type="dxa"/>
          </w:tcPr>
          <w:p w:rsidR="00576551" w:rsidRPr="00576551" w:rsidRDefault="00576551" w:rsidP="00576551">
            <w:pPr>
              <w:ind w:firstLine="0"/>
              <w:rPr>
                <w:rtl/>
              </w:rPr>
            </w:pPr>
            <w:r w:rsidRPr="00576551">
              <w:rPr>
                <w:rFonts w:hint="cs"/>
                <w:rtl/>
              </w:rPr>
              <w:t xml:space="preserve"> </w:t>
            </w:r>
            <w:r w:rsidR="00AE7803">
              <w:rPr>
                <w:rFonts w:hint="cs"/>
                <w:rtl/>
              </w:rPr>
              <w:t xml:space="preserve"> </w:t>
            </w:r>
            <w:r w:rsidRPr="00576551">
              <w:rPr>
                <w:rFonts w:hint="cs"/>
                <w:rtl/>
              </w:rPr>
              <w:t>الرعد</w:t>
            </w:r>
          </w:p>
        </w:tc>
        <w:tc>
          <w:tcPr>
            <w:tcW w:w="715" w:type="dxa"/>
          </w:tcPr>
          <w:p w:rsidR="00576551" w:rsidRPr="00576551" w:rsidRDefault="00576551" w:rsidP="00576551">
            <w:pPr>
              <w:ind w:firstLine="0"/>
              <w:rPr>
                <w:rtl/>
              </w:rPr>
            </w:pPr>
            <w:r w:rsidRPr="00576551">
              <w:rPr>
                <w:rFonts w:hint="cs"/>
                <w:rtl/>
              </w:rPr>
              <w:t xml:space="preserve"> 31</w:t>
            </w:r>
          </w:p>
        </w:tc>
        <w:tc>
          <w:tcPr>
            <w:tcW w:w="1464" w:type="dxa"/>
          </w:tcPr>
          <w:p w:rsidR="00576551" w:rsidRPr="00576551" w:rsidRDefault="00576551" w:rsidP="00722E32">
            <w:pPr>
              <w:ind w:firstLine="0"/>
              <w:rPr>
                <w:rtl/>
              </w:rPr>
            </w:pPr>
            <w:r w:rsidRPr="00576551">
              <w:rPr>
                <w:rFonts w:hint="cs"/>
                <w:rtl/>
              </w:rPr>
              <w:t>60</w:t>
            </w:r>
            <w:r w:rsidR="00722E32">
              <w:rPr>
                <w:rFonts w:hint="cs"/>
                <w:rtl/>
              </w:rPr>
              <w:t xml:space="preserve">, 68, </w:t>
            </w:r>
            <w:r w:rsidR="007925F6">
              <w:rPr>
                <w:rFonts w:hint="cs"/>
                <w:rtl/>
              </w:rPr>
              <w:t xml:space="preserve"> </w:t>
            </w:r>
            <w:r w:rsidRPr="00576551">
              <w:rPr>
                <w:rFonts w:hint="cs"/>
                <w:rtl/>
              </w:rPr>
              <w:t>90</w:t>
            </w:r>
          </w:p>
        </w:tc>
      </w:tr>
      <w:tr w:rsidR="00576551" w:rsidRPr="00576551" w:rsidTr="00927865">
        <w:tc>
          <w:tcPr>
            <w:tcW w:w="654" w:type="dxa"/>
          </w:tcPr>
          <w:p w:rsidR="00576551" w:rsidRPr="00576551" w:rsidRDefault="00576551" w:rsidP="00576551">
            <w:pPr>
              <w:ind w:firstLine="0"/>
              <w:rPr>
                <w:rtl/>
              </w:rPr>
            </w:pPr>
            <w:r w:rsidRPr="00576551">
              <w:rPr>
                <w:rFonts w:hint="cs"/>
                <w:rtl/>
              </w:rPr>
              <w:t>28</w:t>
            </w:r>
          </w:p>
        </w:tc>
        <w:tc>
          <w:tcPr>
            <w:tcW w:w="5448" w:type="dxa"/>
          </w:tcPr>
          <w:p w:rsidR="00576551" w:rsidRPr="00576551" w:rsidRDefault="00576551" w:rsidP="00576551">
            <w:pPr>
              <w:ind w:firstLine="0"/>
              <w:rPr>
                <w:rFonts w:eastAsia="Calibri"/>
                <w:sz w:val="28"/>
                <w:szCs w:val="28"/>
                <w:vertAlign w:val="superscript"/>
                <w:rtl/>
              </w:rPr>
            </w:pPr>
            <w:r w:rsidRPr="00576551">
              <w:rPr>
                <w:rFonts w:ascii="QCF_BSML" w:hAnsi="QCF_BSML" w:cs="QCF_BSML"/>
                <w:color w:val="0D0D0D"/>
                <w:sz w:val="28"/>
                <w:szCs w:val="28"/>
                <w:rtl/>
              </w:rPr>
              <w:t>ﭽ</w:t>
            </w:r>
            <w:r w:rsidRPr="00576551">
              <w:rPr>
                <w:rFonts w:ascii="QCF_P256" w:hAnsi="QCF_P256" w:cs="QCF_P256"/>
                <w:sz w:val="28"/>
                <w:szCs w:val="28"/>
                <w:rtl/>
              </w:rPr>
              <w:t>ﭭ  ﭮ   ﭯ  ﭰ  ﭱ  ﭲﭳ  ﭴ  ﭵ  ﭶ   ﭷ  ﭸ</w:t>
            </w:r>
            <w:r w:rsidRPr="00576551">
              <w:rPr>
                <w:rFonts w:ascii="QCF_BSML" w:hAnsi="QCF_BSML" w:cs="QCF_BSML"/>
                <w:color w:val="0D0D0D"/>
                <w:sz w:val="28"/>
                <w:szCs w:val="28"/>
                <w:rtl/>
              </w:rPr>
              <w:t xml:space="preserve"> ﭼ</w:t>
            </w:r>
            <w:r w:rsidRPr="00576551">
              <w:rPr>
                <w:rFonts w:ascii="Traditional Arabic" w:hAnsi="Traditional Arabic"/>
                <w:sz w:val="28"/>
                <w:szCs w:val="28"/>
                <w:rtl/>
              </w:rPr>
              <w:t xml:space="preserve"> </w:t>
            </w:r>
          </w:p>
        </w:tc>
        <w:tc>
          <w:tcPr>
            <w:tcW w:w="1039" w:type="dxa"/>
          </w:tcPr>
          <w:p w:rsidR="00576551" w:rsidRPr="00576551" w:rsidRDefault="00576551" w:rsidP="00576551">
            <w:pPr>
              <w:ind w:firstLine="0"/>
              <w:rPr>
                <w:rtl/>
              </w:rPr>
            </w:pPr>
          </w:p>
          <w:p w:rsidR="00576551" w:rsidRPr="00576551" w:rsidRDefault="00AE7803" w:rsidP="00576551">
            <w:pPr>
              <w:ind w:firstLine="0"/>
              <w:rPr>
                <w:rtl/>
              </w:rPr>
            </w:pPr>
            <w:r>
              <w:rPr>
                <w:rFonts w:hint="cs"/>
                <w:rtl/>
              </w:rPr>
              <w:t xml:space="preserve"> </w:t>
            </w:r>
            <w:r w:rsidR="00576551" w:rsidRPr="00576551">
              <w:rPr>
                <w:rFonts w:hint="cs"/>
                <w:rtl/>
              </w:rPr>
              <w:t>إبراهيم</w:t>
            </w:r>
          </w:p>
        </w:tc>
        <w:tc>
          <w:tcPr>
            <w:tcW w:w="715" w:type="dxa"/>
          </w:tcPr>
          <w:p w:rsidR="00576551" w:rsidRPr="00576551" w:rsidRDefault="00576551" w:rsidP="00576551">
            <w:pPr>
              <w:ind w:firstLine="0"/>
              <w:rPr>
                <w:rtl/>
              </w:rPr>
            </w:pPr>
          </w:p>
          <w:p w:rsidR="00576551" w:rsidRPr="00576551" w:rsidRDefault="007925F6" w:rsidP="00576551">
            <w:pPr>
              <w:ind w:firstLine="0"/>
              <w:rPr>
                <w:rtl/>
              </w:rPr>
            </w:pPr>
            <w:r>
              <w:rPr>
                <w:rFonts w:hint="cs"/>
                <w:rtl/>
              </w:rPr>
              <w:t xml:space="preserve"> </w:t>
            </w:r>
            <w:r w:rsidR="00576551" w:rsidRPr="00576551">
              <w:rPr>
                <w:rFonts w:hint="cs"/>
                <w:rtl/>
              </w:rPr>
              <w:t xml:space="preserve"> 7</w:t>
            </w:r>
          </w:p>
        </w:tc>
        <w:tc>
          <w:tcPr>
            <w:tcW w:w="1464" w:type="dxa"/>
          </w:tcPr>
          <w:p w:rsidR="00576551" w:rsidRPr="00576551" w:rsidRDefault="00576551" w:rsidP="00576551">
            <w:pPr>
              <w:ind w:firstLine="0"/>
              <w:rPr>
                <w:rtl/>
              </w:rPr>
            </w:pPr>
          </w:p>
          <w:p w:rsidR="00576551" w:rsidRPr="00576551" w:rsidRDefault="007925F6" w:rsidP="00576551">
            <w:pPr>
              <w:ind w:firstLine="0"/>
              <w:rPr>
                <w:rtl/>
              </w:rPr>
            </w:pPr>
            <w:r>
              <w:rPr>
                <w:rFonts w:hint="cs"/>
                <w:rtl/>
              </w:rPr>
              <w:t xml:space="preserve"> </w:t>
            </w:r>
            <w:r w:rsidR="00576551" w:rsidRPr="00576551">
              <w:rPr>
                <w:rFonts w:hint="cs"/>
                <w:rtl/>
              </w:rPr>
              <w:t xml:space="preserve"> 15</w:t>
            </w:r>
          </w:p>
        </w:tc>
      </w:tr>
      <w:tr w:rsidR="00576551" w:rsidRPr="00576551" w:rsidTr="00927865">
        <w:tc>
          <w:tcPr>
            <w:tcW w:w="654" w:type="dxa"/>
          </w:tcPr>
          <w:p w:rsidR="00576551" w:rsidRPr="00576551" w:rsidRDefault="00576551" w:rsidP="00576551">
            <w:pPr>
              <w:ind w:firstLine="0"/>
              <w:rPr>
                <w:rtl/>
              </w:rPr>
            </w:pPr>
            <w:r w:rsidRPr="00576551">
              <w:rPr>
                <w:rFonts w:hint="cs"/>
                <w:rtl/>
              </w:rPr>
              <w:t>29</w:t>
            </w:r>
          </w:p>
        </w:tc>
        <w:tc>
          <w:tcPr>
            <w:tcW w:w="5448" w:type="dxa"/>
          </w:tcPr>
          <w:p w:rsidR="00576551" w:rsidRPr="00576551" w:rsidRDefault="00576551" w:rsidP="00576551">
            <w:pPr>
              <w:ind w:firstLine="0"/>
              <w:rPr>
                <w:sz w:val="28"/>
                <w:szCs w:val="28"/>
                <w:rtl/>
              </w:rPr>
            </w:pPr>
            <w:r w:rsidRPr="00576551">
              <w:rPr>
                <w:rFonts w:ascii="QCF_BSML" w:hAnsi="QCF_BSML" w:cs="QCF_BSML"/>
                <w:sz w:val="28"/>
                <w:szCs w:val="28"/>
                <w:rtl/>
                <w:lang w:eastAsia="en-US"/>
              </w:rPr>
              <w:t>ﭽ</w:t>
            </w:r>
            <w:r w:rsidRPr="00576551">
              <w:rPr>
                <w:rFonts w:ascii="QCF_BSML" w:hAnsi="QCF_BSML" w:cs="QCF_BSML" w:hint="cs"/>
                <w:sz w:val="28"/>
                <w:szCs w:val="28"/>
                <w:rtl/>
                <w:lang w:eastAsia="en-US"/>
              </w:rPr>
              <w:t xml:space="preserve"> </w:t>
            </w:r>
            <w:r w:rsidRPr="00576551">
              <w:rPr>
                <w:rFonts w:ascii="QCF_P267" w:hAnsi="QCF_P267" w:cs="QCF_P267"/>
                <w:sz w:val="28"/>
                <w:szCs w:val="28"/>
                <w:rtl/>
                <w:lang w:eastAsia="en-US"/>
              </w:rPr>
              <w:t>ﭞ</w:t>
            </w:r>
            <w:r w:rsidRPr="00576551">
              <w:rPr>
                <w:rFonts w:ascii="QCF_P267" w:hAnsi="QCF_P267" w:cs="QCF_P267" w:hint="cs"/>
                <w:sz w:val="28"/>
                <w:szCs w:val="28"/>
                <w:rtl/>
                <w:lang w:eastAsia="en-US"/>
              </w:rPr>
              <w:t xml:space="preserve"> </w:t>
            </w:r>
            <w:r w:rsidRPr="00576551">
              <w:rPr>
                <w:rFonts w:ascii="QCF_P267" w:hAnsi="QCF_P267" w:cs="QCF_P267"/>
                <w:sz w:val="28"/>
                <w:szCs w:val="28"/>
                <w:rtl/>
                <w:lang w:eastAsia="en-US"/>
              </w:rPr>
              <w:t>ﭟ  ﭠ</w:t>
            </w:r>
            <w:r w:rsidRPr="00576551">
              <w:rPr>
                <w:rFonts w:ascii="QCF_BSML" w:hAnsi="QCF_BSML" w:cs="QCF_BSML"/>
                <w:sz w:val="28"/>
                <w:szCs w:val="28"/>
                <w:rtl/>
                <w:lang w:eastAsia="en-US"/>
              </w:rPr>
              <w:t>ﭼ</w:t>
            </w:r>
            <w:r w:rsidRPr="00576551">
              <w:rPr>
                <w:rFonts w:hint="cs"/>
                <w:sz w:val="28"/>
                <w:szCs w:val="28"/>
                <w:rtl/>
              </w:rPr>
              <w:t xml:space="preserve"> </w:t>
            </w:r>
          </w:p>
        </w:tc>
        <w:tc>
          <w:tcPr>
            <w:tcW w:w="1039" w:type="dxa"/>
          </w:tcPr>
          <w:p w:rsidR="00576551" w:rsidRPr="00576551" w:rsidRDefault="00AE7803" w:rsidP="00576551">
            <w:pPr>
              <w:ind w:firstLine="0"/>
              <w:rPr>
                <w:rtl/>
              </w:rPr>
            </w:pPr>
            <w:r>
              <w:rPr>
                <w:rFonts w:hint="cs"/>
                <w:rtl/>
              </w:rPr>
              <w:t xml:space="preserve"> </w:t>
            </w:r>
            <w:r w:rsidR="00576551" w:rsidRPr="00576551">
              <w:rPr>
                <w:rFonts w:hint="cs"/>
                <w:rtl/>
              </w:rPr>
              <w:t>الحجر</w:t>
            </w:r>
          </w:p>
        </w:tc>
        <w:tc>
          <w:tcPr>
            <w:tcW w:w="715" w:type="dxa"/>
          </w:tcPr>
          <w:p w:rsidR="00576551" w:rsidRPr="00576551" w:rsidRDefault="00576551" w:rsidP="00576551">
            <w:pPr>
              <w:ind w:firstLine="0"/>
              <w:rPr>
                <w:rtl/>
              </w:rPr>
            </w:pPr>
            <w:r w:rsidRPr="00576551">
              <w:rPr>
                <w:rFonts w:hint="cs"/>
                <w:rtl/>
              </w:rPr>
              <w:t xml:space="preserve"> 94</w:t>
            </w:r>
          </w:p>
        </w:tc>
        <w:tc>
          <w:tcPr>
            <w:tcW w:w="1464" w:type="dxa"/>
          </w:tcPr>
          <w:p w:rsidR="00576551" w:rsidRPr="00576551" w:rsidRDefault="00576551" w:rsidP="00722E32">
            <w:pPr>
              <w:ind w:firstLine="0"/>
              <w:rPr>
                <w:rtl/>
              </w:rPr>
            </w:pPr>
            <w:r w:rsidRPr="00576551">
              <w:rPr>
                <w:rFonts w:hint="cs"/>
                <w:rtl/>
              </w:rPr>
              <w:t>69</w:t>
            </w:r>
            <w:r w:rsidR="00722E32">
              <w:rPr>
                <w:rFonts w:hint="cs"/>
                <w:rtl/>
              </w:rPr>
              <w:t xml:space="preserve">, </w:t>
            </w:r>
            <w:r w:rsidRPr="00576551">
              <w:rPr>
                <w:rFonts w:hint="cs"/>
                <w:rtl/>
              </w:rPr>
              <w:t>163</w:t>
            </w:r>
          </w:p>
        </w:tc>
      </w:tr>
      <w:tr w:rsidR="00576551" w:rsidRPr="00576551" w:rsidTr="00927865">
        <w:tc>
          <w:tcPr>
            <w:tcW w:w="654" w:type="dxa"/>
          </w:tcPr>
          <w:p w:rsidR="00576551" w:rsidRPr="00576551" w:rsidRDefault="00576551" w:rsidP="00576551">
            <w:pPr>
              <w:ind w:firstLine="0"/>
              <w:rPr>
                <w:rtl/>
              </w:rPr>
            </w:pPr>
            <w:r w:rsidRPr="00576551">
              <w:rPr>
                <w:rFonts w:hint="cs"/>
                <w:rtl/>
              </w:rPr>
              <w:t>30</w:t>
            </w:r>
          </w:p>
        </w:tc>
        <w:tc>
          <w:tcPr>
            <w:tcW w:w="5448" w:type="dxa"/>
          </w:tcPr>
          <w:p w:rsidR="00576551" w:rsidRPr="00576551" w:rsidRDefault="00576551" w:rsidP="00576551">
            <w:pPr>
              <w:ind w:firstLine="0"/>
              <w:rPr>
                <w:sz w:val="28"/>
                <w:szCs w:val="28"/>
                <w:rtl/>
              </w:rPr>
            </w:pPr>
            <w:r w:rsidRPr="00576551">
              <w:rPr>
                <w:rFonts w:ascii="QCF_BSML" w:hAnsi="QCF_BSML" w:cs="QCF_BSML"/>
                <w:sz w:val="28"/>
                <w:szCs w:val="28"/>
                <w:rtl/>
                <w:lang w:eastAsia="en-US"/>
              </w:rPr>
              <w:t xml:space="preserve">ﭽ </w:t>
            </w:r>
            <w:r w:rsidRPr="00576551">
              <w:rPr>
                <w:rFonts w:ascii="QCF_P270" w:hAnsi="QCF_P270" w:cs="QCF_P270"/>
                <w:sz w:val="28"/>
                <w:szCs w:val="28"/>
                <w:rtl/>
                <w:lang w:eastAsia="en-US"/>
              </w:rPr>
              <w:t xml:space="preserve">ﮚ  ﮛ  </w:t>
            </w:r>
            <w:r w:rsidRPr="00576551">
              <w:rPr>
                <w:rFonts w:ascii="QCF_BSML" w:hAnsi="QCF_BSML" w:cs="QCF_BSML"/>
                <w:sz w:val="28"/>
                <w:szCs w:val="28"/>
                <w:rtl/>
                <w:lang w:eastAsia="en-US"/>
              </w:rPr>
              <w:t>ﭼ</w:t>
            </w:r>
            <w:r w:rsidRPr="00576551">
              <w:rPr>
                <w:rFonts w:ascii="Arial" w:hAnsi="Arial" w:cs="Arial"/>
                <w:sz w:val="28"/>
                <w:szCs w:val="28"/>
                <w:rtl/>
                <w:lang w:eastAsia="en-US"/>
              </w:rPr>
              <w:t xml:space="preserve"> </w:t>
            </w:r>
          </w:p>
        </w:tc>
        <w:tc>
          <w:tcPr>
            <w:tcW w:w="1039" w:type="dxa"/>
          </w:tcPr>
          <w:p w:rsidR="00576551" w:rsidRPr="00576551" w:rsidRDefault="00576551" w:rsidP="00576551">
            <w:pPr>
              <w:ind w:firstLine="0"/>
              <w:rPr>
                <w:rtl/>
              </w:rPr>
            </w:pPr>
            <w:r w:rsidRPr="00576551">
              <w:rPr>
                <w:rFonts w:hint="cs"/>
                <w:rtl/>
              </w:rPr>
              <w:t xml:space="preserve"> النحل</w:t>
            </w:r>
          </w:p>
        </w:tc>
        <w:tc>
          <w:tcPr>
            <w:tcW w:w="715" w:type="dxa"/>
          </w:tcPr>
          <w:p w:rsidR="00576551" w:rsidRPr="00576551" w:rsidRDefault="00576551" w:rsidP="00576551">
            <w:pPr>
              <w:ind w:firstLine="0"/>
              <w:rPr>
                <w:rtl/>
              </w:rPr>
            </w:pPr>
            <w:r w:rsidRPr="00576551">
              <w:rPr>
                <w:rFonts w:hint="cs"/>
                <w:rtl/>
              </w:rPr>
              <w:t xml:space="preserve"> 30</w:t>
            </w:r>
          </w:p>
        </w:tc>
        <w:tc>
          <w:tcPr>
            <w:tcW w:w="1464" w:type="dxa"/>
          </w:tcPr>
          <w:p w:rsidR="00576551" w:rsidRPr="00576551" w:rsidRDefault="00576551" w:rsidP="00576551">
            <w:pPr>
              <w:ind w:firstLine="0"/>
              <w:rPr>
                <w:rtl/>
              </w:rPr>
            </w:pPr>
            <w:r w:rsidRPr="00576551">
              <w:rPr>
                <w:rFonts w:hint="cs"/>
                <w:rtl/>
              </w:rPr>
              <w:t xml:space="preserve"> </w:t>
            </w:r>
            <w:r w:rsidR="007925F6">
              <w:rPr>
                <w:rFonts w:hint="cs"/>
                <w:rtl/>
              </w:rPr>
              <w:t xml:space="preserve"> </w:t>
            </w:r>
            <w:r w:rsidRPr="00576551">
              <w:rPr>
                <w:rFonts w:hint="cs"/>
                <w:rtl/>
              </w:rPr>
              <w:t>270</w:t>
            </w:r>
          </w:p>
        </w:tc>
      </w:tr>
      <w:tr w:rsidR="00576551" w:rsidRPr="00576551" w:rsidTr="00927865">
        <w:tc>
          <w:tcPr>
            <w:tcW w:w="654" w:type="dxa"/>
          </w:tcPr>
          <w:p w:rsidR="00576551" w:rsidRPr="00576551" w:rsidRDefault="00576551" w:rsidP="00576551">
            <w:pPr>
              <w:ind w:firstLine="0"/>
              <w:rPr>
                <w:rtl/>
              </w:rPr>
            </w:pPr>
            <w:r w:rsidRPr="00576551">
              <w:rPr>
                <w:rFonts w:hint="cs"/>
                <w:rtl/>
              </w:rPr>
              <w:t>31</w:t>
            </w:r>
          </w:p>
        </w:tc>
        <w:tc>
          <w:tcPr>
            <w:tcW w:w="5448" w:type="dxa"/>
          </w:tcPr>
          <w:p w:rsidR="00576551" w:rsidRPr="00576551" w:rsidRDefault="00576551" w:rsidP="00576551">
            <w:pPr>
              <w:ind w:firstLine="0"/>
              <w:rPr>
                <w:rFonts w:eastAsia="Calibri"/>
                <w:sz w:val="28"/>
                <w:szCs w:val="28"/>
                <w:vertAlign w:val="superscript"/>
                <w:rtl/>
              </w:rPr>
            </w:pPr>
            <w:r w:rsidRPr="00576551">
              <w:rPr>
                <w:rFonts w:ascii="QCF_BSML" w:hAnsi="QCF_BSML" w:cs="QCF_BSML"/>
                <w:sz w:val="28"/>
                <w:szCs w:val="28"/>
                <w:rtl/>
                <w:lang w:eastAsia="en-US"/>
              </w:rPr>
              <w:t>ﭽ</w:t>
            </w:r>
            <w:r w:rsidRPr="00576551">
              <w:rPr>
                <w:rFonts w:ascii="QCF_P286" w:hAnsi="QCF_P286" w:cs="QCF_P286"/>
                <w:sz w:val="28"/>
                <w:szCs w:val="28"/>
                <w:rtl/>
                <w:lang w:eastAsia="en-US"/>
              </w:rPr>
              <w:t>ﰌ  ﰍ ﰎ  ﰏ</w:t>
            </w:r>
            <w:r w:rsidRPr="00576551">
              <w:rPr>
                <w:rFonts w:ascii="QCF_BSML" w:hAnsi="QCF_BSML" w:cs="QCF_BSML"/>
                <w:sz w:val="28"/>
                <w:szCs w:val="28"/>
                <w:rtl/>
                <w:lang w:eastAsia="en-US"/>
              </w:rPr>
              <w:t>ﭼ</w:t>
            </w:r>
            <w:r w:rsidRPr="00576551">
              <w:rPr>
                <w:rFonts w:ascii="Arial" w:hAnsi="Arial" w:cs="Arial"/>
                <w:sz w:val="28"/>
                <w:szCs w:val="28"/>
                <w:rtl/>
                <w:lang w:eastAsia="en-US"/>
              </w:rPr>
              <w:t xml:space="preserve"> </w:t>
            </w:r>
          </w:p>
        </w:tc>
        <w:tc>
          <w:tcPr>
            <w:tcW w:w="1039" w:type="dxa"/>
            <w:vMerge w:val="restart"/>
          </w:tcPr>
          <w:p w:rsidR="00576551" w:rsidRPr="00576551" w:rsidRDefault="00576551" w:rsidP="00576551">
            <w:pPr>
              <w:ind w:firstLine="0"/>
              <w:rPr>
                <w:rtl/>
              </w:rPr>
            </w:pPr>
          </w:p>
          <w:p w:rsidR="00576551" w:rsidRPr="00576551" w:rsidRDefault="00AE7803" w:rsidP="00576551">
            <w:pPr>
              <w:ind w:firstLine="0"/>
              <w:rPr>
                <w:rtl/>
              </w:rPr>
            </w:pPr>
            <w:r>
              <w:rPr>
                <w:rFonts w:hint="cs"/>
                <w:rtl/>
              </w:rPr>
              <w:t xml:space="preserve"> </w:t>
            </w:r>
            <w:r w:rsidR="00576551" w:rsidRPr="00576551">
              <w:rPr>
                <w:rFonts w:hint="cs"/>
                <w:rtl/>
              </w:rPr>
              <w:t>الإسراء</w:t>
            </w:r>
          </w:p>
        </w:tc>
        <w:tc>
          <w:tcPr>
            <w:tcW w:w="715" w:type="dxa"/>
          </w:tcPr>
          <w:p w:rsidR="00576551" w:rsidRPr="00576551" w:rsidRDefault="00576551" w:rsidP="00576551">
            <w:pPr>
              <w:ind w:firstLine="0"/>
              <w:rPr>
                <w:rtl/>
              </w:rPr>
            </w:pPr>
            <w:r w:rsidRPr="00576551">
              <w:rPr>
                <w:rFonts w:hint="cs"/>
                <w:rtl/>
              </w:rPr>
              <w:t xml:space="preserve"> 49</w:t>
            </w:r>
          </w:p>
        </w:tc>
        <w:tc>
          <w:tcPr>
            <w:tcW w:w="1464" w:type="dxa"/>
          </w:tcPr>
          <w:p w:rsidR="00576551" w:rsidRPr="00576551" w:rsidRDefault="00576551" w:rsidP="00722E32">
            <w:pPr>
              <w:ind w:firstLine="0"/>
              <w:rPr>
                <w:rtl/>
              </w:rPr>
            </w:pPr>
            <w:r w:rsidRPr="00576551">
              <w:rPr>
                <w:rFonts w:hint="cs"/>
                <w:rtl/>
              </w:rPr>
              <w:t>54</w:t>
            </w:r>
            <w:r w:rsidR="00722E32">
              <w:rPr>
                <w:rFonts w:hint="cs"/>
                <w:rtl/>
              </w:rPr>
              <w:t xml:space="preserve">, </w:t>
            </w:r>
            <w:r w:rsidRPr="00576551">
              <w:rPr>
                <w:rFonts w:hint="cs"/>
                <w:rtl/>
              </w:rPr>
              <w:t>238</w:t>
            </w:r>
          </w:p>
        </w:tc>
      </w:tr>
      <w:tr w:rsidR="00576551" w:rsidRPr="00576551" w:rsidTr="00927865">
        <w:tc>
          <w:tcPr>
            <w:tcW w:w="654" w:type="dxa"/>
          </w:tcPr>
          <w:p w:rsidR="00576551" w:rsidRPr="00576551" w:rsidRDefault="00576551" w:rsidP="00576551">
            <w:pPr>
              <w:ind w:firstLine="0"/>
              <w:rPr>
                <w:rtl/>
              </w:rPr>
            </w:pPr>
            <w:r w:rsidRPr="00576551">
              <w:rPr>
                <w:rFonts w:hint="cs"/>
                <w:rtl/>
              </w:rPr>
              <w:t>32</w:t>
            </w:r>
          </w:p>
        </w:tc>
        <w:tc>
          <w:tcPr>
            <w:tcW w:w="5448" w:type="dxa"/>
          </w:tcPr>
          <w:p w:rsidR="00576551" w:rsidRPr="00576551" w:rsidRDefault="00576551" w:rsidP="00576551">
            <w:pPr>
              <w:ind w:firstLine="0"/>
              <w:rPr>
                <w:sz w:val="28"/>
                <w:szCs w:val="28"/>
                <w:rtl/>
              </w:rPr>
            </w:pPr>
            <w:r w:rsidRPr="00576551">
              <w:rPr>
                <w:rFonts w:ascii="QCF_BSML" w:hAnsi="QCF_BSML" w:cs="QCF_BSML"/>
                <w:sz w:val="28"/>
                <w:szCs w:val="28"/>
                <w:rtl/>
                <w:lang w:eastAsia="en-US"/>
              </w:rPr>
              <w:t xml:space="preserve">ﭽ </w:t>
            </w:r>
            <w:r w:rsidRPr="00576551">
              <w:rPr>
                <w:rFonts w:ascii="QCF_P290" w:hAnsi="QCF_P290" w:cs="QCF_P290"/>
                <w:sz w:val="28"/>
                <w:szCs w:val="28"/>
                <w:rtl/>
                <w:lang w:eastAsia="en-US"/>
              </w:rPr>
              <w:t>ﯮ  ﯯ  ﯰ</w:t>
            </w:r>
            <w:r w:rsidRPr="00576551">
              <w:rPr>
                <w:rFonts w:ascii="Arial" w:hAnsi="Arial" w:cs="Arial"/>
                <w:sz w:val="28"/>
                <w:szCs w:val="28"/>
                <w:rtl/>
                <w:lang w:eastAsia="en-US"/>
              </w:rPr>
              <w:t xml:space="preserve"> </w:t>
            </w:r>
            <w:r w:rsidRPr="00576551">
              <w:rPr>
                <w:rFonts w:ascii="QCF_BSML" w:hAnsi="QCF_BSML" w:cs="QCF_BSML"/>
                <w:sz w:val="28"/>
                <w:szCs w:val="28"/>
                <w:rtl/>
                <w:lang w:eastAsia="en-US"/>
              </w:rPr>
              <w:t>ﭼ</w:t>
            </w:r>
          </w:p>
        </w:tc>
        <w:tc>
          <w:tcPr>
            <w:tcW w:w="1039" w:type="dxa"/>
            <w:vMerge/>
          </w:tcPr>
          <w:p w:rsidR="00576551" w:rsidRPr="00576551" w:rsidRDefault="00576551" w:rsidP="00576551">
            <w:pPr>
              <w:ind w:firstLine="0"/>
              <w:rPr>
                <w:rtl/>
              </w:rPr>
            </w:pPr>
          </w:p>
        </w:tc>
        <w:tc>
          <w:tcPr>
            <w:tcW w:w="715" w:type="dxa"/>
          </w:tcPr>
          <w:p w:rsidR="00576551" w:rsidRPr="00576551" w:rsidRDefault="00576551" w:rsidP="00576551">
            <w:pPr>
              <w:ind w:firstLine="0"/>
              <w:rPr>
                <w:rtl/>
              </w:rPr>
            </w:pPr>
            <w:r w:rsidRPr="00576551">
              <w:rPr>
                <w:rFonts w:hint="cs"/>
                <w:rtl/>
              </w:rPr>
              <w:t xml:space="preserve"> 85</w:t>
            </w:r>
          </w:p>
        </w:tc>
        <w:tc>
          <w:tcPr>
            <w:tcW w:w="1464" w:type="dxa"/>
          </w:tcPr>
          <w:p w:rsidR="00576551" w:rsidRPr="00576551" w:rsidRDefault="00722E32" w:rsidP="00576551">
            <w:pPr>
              <w:ind w:firstLine="0"/>
              <w:rPr>
                <w:rtl/>
              </w:rPr>
            </w:pPr>
            <w:r>
              <w:rPr>
                <w:rFonts w:hint="cs"/>
                <w:rtl/>
              </w:rPr>
              <w:t>170, 265</w:t>
            </w:r>
          </w:p>
        </w:tc>
      </w:tr>
      <w:tr w:rsidR="00576551" w:rsidRPr="00576551" w:rsidTr="00927865">
        <w:tc>
          <w:tcPr>
            <w:tcW w:w="654" w:type="dxa"/>
          </w:tcPr>
          <w:p w:rsidR="00576551" w:rsidRPr="00576551" w:rsidRDefault="00576551" w:rsidP="00576551">
            <w:pPr>
              <w:ind w:firstLine="0"/>
              <w:rPr>
                <w:rtl/>
              </w:rPr>
            </w:pPr>
            <w:r w:rsidRPr="00576551">
              <w:rPr>
                <w:rFonts w:hint="cs"/>
                <w:rtl/>
              </w:rPr>
              <w:t>33</w:t>
            </w:r>
          </w:p>
        </w:tc>
        <w:tc>
          <w:tcPr>
            <w:tcW w:w="5448" w:type="dxa"/>
          </w:tcPr>
          <w:p w:rsidR="00576551" w:rsidRPr="00576551" w:rsidRDefault="00576551" w:rsidP="00576551">
            <w:pPr>
              <w:ind w:firstLine="0"/>
              <w:rPr>
                <w:sz w:val="28"/>
                <w:szCs w:val="28"/>
                <w:rtl/>
              </w:rPr>
            </w:pPr>
            <w:r w:rsidRPr="00576551">
              <w:rPr>
                <w:rFonts w:ascii="QCF_BSML" w:hAnsi="QCF_BSML" w:cs="QCF_BSML"/>
                <w:sz w:val="28"/>
                <w:szCs w:val="28"/>
                <w:rtl/>
                <w:lang w:eastAsia="en-US"/>
              </w:rPr>
              <w:t xml:space="preserve">ﭽ </w:t>
            </w:r>
            <w:r w:rsidRPr="00576551">
              <w:rPr>
                <w:rFonts w:ascii="QCF_P290" w:hAnsi="QCF_P290" w:cs="QCF_P290"/>
                <w:sz w:val="28"/>
                <w:szCs w:val="28"/>
                <w:rtl/>
                <w:lang w:eastAsia="en-US"/>
              </w:rPr>
              <w:t xml:space="preserve">ﯷ  ﯸ  ﯹ  ﯺ  ﯻ  ﯼ  </w:t>
            </w:r>
            <w:r w:rsidRPr="00576551">
              <w:rPr>
                <w:rFonts w:ascii="QCF_BSML" w:hAnsi="QCF_BSML" w:cs="QCF_BSML"/>
                <w:sz w:val="28"/>
                <w:szCs w:val="28"/>
                <w:rtl/>
                <w:lang w:eastAsia="en-US"/>
              </w:rPr>
              <w:t>ﭼ</w:t>
            </w:r>
          </w:p>
        </w:tc>
        <w:tc>
          <w:tcPr>
            <w:tcW w:w="1039" w:type="dxa"/>
            <w:vMerge/>
          </w:tcPr>
          <w:p w:rsidR="00576551" w:rsidRPr="00576551" w:rsidRDefault="00576551" w:rsidP="00576551">
            <w:pPr>
              <w:ind w:firstLine="0"/>
              <w:rPr>
                <w:rtl/>
              </w:rPr>
            </w:pPr>
          </w:p>
        </w:tc>
        <w:tc>
          <w:tcPr>
            <w:tcW w:w="715" w:type="dxa"/>
          </w:tcPr>
          <w:p w:rsidR="00576551" w:rsidRPr="00576551" w:rsidRDefault="00576551" w:rsidP="00576551">
            <w:pPr>
              <w:ind w:firstLine="0"/>
              <w:rPr>
                <w:rtl/>
              </w:rPr>
            </w:pPr>
            <w:r w:rsidRPr="00576551">
              <w:rPr>
                <w:rFonts w:hint="cs"/>
                <w:rtl/>
              </w:rPr>
              <w:t xml:space="preserve"> 85</w:t>
            </w:r>
          </w:p>
        </w:tc>
        <w:tc>
          <w:tcPr>
            <w:tcW w:w="1464" w:type="dxa"/>
          </w:tcPr>
          <w:p w:rsidR="00576551" w:rsidRPr="00576551" w:rsidRDefault="007925F6" w:rsidP="00576551">
            <w:pPr>
              <w:ind w:firstLine="0"/>
              <w:rPr>
                <w:rtl/>
              </w:rPr>
            </w:pPr>
            <w:r>
              <w:rPr>
                <w:rFonts w:hint="cs"/>
                <w:rtl/>
              </w:rPr>
              <w:t xml:space="preserve"> </w:t>
            </w:r>
            <w:r w:rsidR="00576551" w:rsidRPr="00576551">
              <w:rPr>
                <w:rFonts w:hint="cs"/>
                <w:rtl/>
              </w:rPr>
              <w:t xml:space="preserve"> 287</w:t>
            </w:r>
          </w:p>
        </w:tc>
      </w:tr>
      <w:tr w:rsidR="00576551" w:rsidRPr="00576551" w:rsidTr="00927865">
        <w:tc>
          <w:tcPr>
            <w:tcW w:w="654" w:type="dxa"/>
          </w:tcPr>
          <w:p w:rsidR="00576551" w:rsidRPr="00576551" w:rsidRDefault="00576551" w:rsidP="00576551">
            <w:pPr>
              <w:ind w:firstLine="0"/>
              <w:rPr>
                <w:rtl/>
              </w:rPr>
            </w:pPr>
            <w:r w:rsidRPr="00576551">
              <w:rPr>
                <w:rFonts w:hint="cs"/>
                <w:rtl/>
              </w:rPr>
              <w:t>34</w:t>
            </w:r>
          </w:p>
        </w:tc>
        <w:tc>
          <w:tcPr>
            <w:tcW w:w="5448" w:type="dxa"/>
          </w:tcPr>
          <w:p w:rsidR="00576551" w:rsidRPr="00576551" w:rsidRDefault="00576551" w:rsidP="00576551">
            <w:pPr>
              <w:ind w:firstLine="0"/>
              <w:rPr>
                <w:sz w:val="28"/>
                <w:szCs w:val="28"/>
                <w:rtl/>
              </w:rPr>
            </w:pPr>
            <w:r w:rsidRPr="00576551">
              <w:rPr>
                <w:rFonts w:ascii="QCF_BSML" w:hAnsi="QCF_BSML" w:cs="QCF_BSML"/>
                <w:sz w:val="28"/>
                <w:szCs w:val="28"/>
                <w:rtl/>
                <w:lang w:eastAsia="en-US"/>
              </w:rPr>
              <w:t xml:space="preserve">ﭽ </w:t>
            </w:r>
            <w:r w:rsidRPr="00576551">
              <w:rPr>
                <w:rFonts w:ascii="QCF_P297" w:hAnsi="QCF_P297" w:cs="QCF_P297"/>
                <w:sz w:val="28"/>
                <w:szCs w:val="28"/>
                <w:rtl/>
                <w:lang w:eastAsia="en-US"/>
              </w:rPr>
              <w:t>ﭷ  ﭸ  ﭹ  ﭺ   ﭻ  ﭼ</w:t>
            </w:r>
            <w:r w:rsidRPr="00576551">
              <w:rPr>
                <w:rFonts w:ascii="QCF_BSML" w:hAnsi="QCF_BSML" w:cs="QCF_BSML"/>
                <w:color w:val="0D0D0D"/>
                <w:sz w:val="28"/>
                <w:szCs w:val="28"/>
                <w:rtl/>
                <w:lang w:eastAsia="en-US"/>
              </w:rPr>
              <w:t>ﭼ</w:t>
            </w:r>
            <w:r w:rsidRPr="00576551">
              <w:rPr>
                <w:color w:val="0D0D0D"/>
                <w:sz w:val="28"/>
                <w:szCs w:val="28"/>
                <w:rtl/>
              </w:rPr>
              <w:t xml:space="preserve"> </w:t>
            </w:r>
          </w:p>
        </w:tc>
        <w:tc>
          <w:tcPr>
            <w:tcW w:w="1039" w:type="dxa"/>
            <w:vMerge w:val="restart"/>
          </w:tcPr>
          <w:p w:rsidR="00576551" w:rsidRPr="00576551" w:rsidRDefault="00576551" w:rsidP="00576551">
            <w:pPr>
              <w:ind w:firstLine="0"/>
              <w:rPr>
                <w:rtl/>
              </w:rPr>
            </w:pPr>
          </w:p>
          <w:p w:rsidR="00576551" w:rsidRPr="00576551" w:rsidRDefault="00AE7803" w:rsidP="00576551">
            <w:pPr>
              <w:ind w:firstLine="0"/>
              <w:rPr>
                <w:rtl/>
              </w:rPr>
            </w:pPr>
            <w:r>
              <w:rPr>
                <w:rFonts w:hint="cs"/>
                <w:rtl/>
              </w:rPr>
              <w:t xml:space="preserve"> </w:t>
            </w:r>
            <w:r w:rsidR="00576551" w:rsidRPr="00576551">
              <w:rPr>
                <w:rFonts w:hint="cs"/>
                <w:rtl/>
              </w:rPr>
              <w:t>الكهف</w:t>
            </w:r>
          </w:p>
        </w:tc>
        <w:tc>
          <w:tcPr>
            <w:tcW w:w="715" w:type="dxa"/>
          </w:tcPr>
          <w:p w:rsidR="00576551" w:rsidRPr="00576551" w:rsidRDefault="00576551" w:rsidP="00576551">
            <w:pPr>
              <w:ind w:firstLine="0"/>
              <w:rPr>
                <w:rtl/>
              </w:rPr>
            </w:pPr>
            <w:r w:rsidRPr="00576551">
              <w:rPr>
                <w:rFonts w:hint="cs"/>
                <w:rtl/>
              </w:rPr>
              <w:t xml:space="preserve"> 29</w:t>
            </w:r>
          </w:p>
        </w:tc>
        <w:tc>
          <w:tcPr>
            <w:tcW w:w="1464" w:type="dxa"/>
          </w:tcPr>
          <w:p w:rsidR="00576551" w:rsidRPr="00576551" w:rsidRDefault="007925F6" w:rsidP="00576551">
            <w:pPr>
              <w:ind w:firstLine="0"/>
              <w:rPr>
                <w:rtl/>
              </w:rPr>
            </w:pPr>
            <w:r>
              <w:rPr>
                <w:rFonts w:hint="cs"/>
                <w:rtl/>
              </w:rPr>
              <w:t xml:space="preserve"> </w:t>
            </w:r>
            <w:r w:rsidR="00576551" w:rsidRPr="00576551">
              <w:rPr>
                <w:rFonts w:hint="cs"/>
                <w:rtl/>
              </w:rPr>
              <w:t xml:space="preserve"> 104</w:t>
            </w:r>
          </w:p>
        </w:tc>
      </w:tr>
      <w:tr w:rsidR="00576551" w:rsidRPr="00576551" w:rsidTr="00927865">
        <w:tc>
          <w:tcPr>
            <w:tcW w:w="654" w:type="dxa"/>
          </w:tcPr>
          <w:p w:rsidR="00576551" w:rsidRPr="00576551" w:rsidRDefault="00576551" w:rsidP="00576551">
            <w:pPr>
              <w:ind w:firstLine="0"/>
              <w:rPr>
                <w:rtl/>
              </w:rPr>
            </w:pPr>
            <w:r w:rsidRPr="00576551">
              <w:rPr>
                <w:rFonts w:hint="cs"/>
                <w:rtl/>
              </w:rPr>
              <w:t>35</w:t>
            </w:r>
          </w:p>
        </w:tc>
        <w:tc>
          <w:tcPr>
            <w:tcW w:w="5448" w:type="dxa"/>
          </w:tcPr>
          <w:p w:rsidR="00576551" w:rsidRPr="00576551" w:rsidRDefault="00576551" w:rsidP="00576551">
            <w:pPr>
              <w:ind w:firstLine="0"/>
              <w:rPr>
                <w:rFonts w:ascii="Traditional Arabic" w:hAnsi="Traditional Arabic"/>
                <w:sz w:val="28"/>
                <w:szCs w:val="28"/>
                <w:rtl/>
              </w:rPr>
            </w:pPr>
            <w:r w:rsidRPr="00576551">
              <w:rPr>
                <w:rFonts w:ascii="QCF_BSML" w:hAnsi="QCF_BSML" w:cs="QCF_BSML"/>
                <w:sz w:val="28"/>
                <w:szCs w:val="28"/>
                <w:rtl/>
                <w:lang w:eastAsia="en-US"/>
              </w:rPr>
              <w:t xml:space="preserve">ﭽ </w:t>
            </w:r>
            <w:r w:rsidRPr="00576551">
              <w:rPr>
                <w:rFonts w:ascii="QCF_P301" w:hAnsi="QCF_P301" w:cs="QCF_P301"/>
                <w:sz w:val="28"/>
                <w:szCs w:val="28"/>
                <w:rtl/>
                <w:lang w:eastAsia="en-US"/>
              </w:rPr>
              <w:t>ﭕ  ﭖ</w:t>
            </w:r>
            <w:r w:rsidRPr="00576551">
              <w:rPr>
                <w:rFonts w:ascii="QCF_BSML" w:hAnsi="QCF_BSML" w:cs="QCF_BSML"/>
                <w:sz w:val="28"/>
                <w:szCs w:val="28"/>
                <w:rtl/>
                <w:lang w:eastAsia="en-US"/>
              </w:rPr>
              <w:t>ﭼ</w:t>
            </w:r>
            <w:r w:rsidRPr="00576551">
              <w:rPr>
                <w:rFonts w:ascii="Arial" w:hAnsi="Arial" w:cs="Arial"/>
                <w:sz w:val="28"/>
                <w:szCs w:val="28"/>
                <w:rtl/>
                <w:lang w:eastAsia="en-US"/>
              </w:rPr>
              <w:t xml:space="preserve"> </w:t>
            </w:r>
          </w:p>
        </w:tc>
        <w:tc>
          <w:tcPr>
            <w:tcW w:w="1039" w:type="dxa"/>
            <w:vMerge/>
          </w:tcPr>
          <w:p w:rsidR="00576551" w:rsidRPr="00576551" w:rsidRDefault="00576551" w:rsidP="00576551">
            <w:pPr>
              <w:ind w:firstLine="0"/>
              <w:rPr>
                <w:rtl/>
              </w:rPr>
            </w:pPr>
          </w:p>
        </w:tc>
        <w:tc>
          <w:tcPr>
            <w:tcW w:w="715" w:type="dxa"/>
          </w:tcPr>
          <w:p w:rsidR="00576551" w:rsidRPr="00576551" w:rsidRDefault="00576551" w:rsidP="00576551">
            <w:pPr>
              <w:ind w:firstLine="0"/>
              <w:rPr>
                <w:rtl/>
              </w:rPr>
            </w:pPr>
            <w:r w:rsidRPr="00576551">
              <w:rPr>
                <w:rFonts w:hint="cs"/>
                <w:rtl/>
              </w:rPr>
              <w:t xml:space="preserve"> 62</w:t>
            </w:r>
          </w:p>
        </w:tc>
        <w:tc>
          <w:tcPr>
            <w:tcW w:w="1464" w:type="dxa"/>
          </w:tcPr>
          <w:p w:rsidR="00576551" w:rsidRPr="00576551" w:rsidRDefault="007925F6" w:rsidP="00576551">
            <w:pPr>
              <w:ind w:firstLine="0"/>
              <w:rPr>
                <w:rtl/>
              </w:rPr>
            </w:pPr>
            <w:r>
              <w:rPr>
                <w:rFonts w:hint="cs"/>
                <w:rtl/>
              </w:rPr>
              <w:t xml:space="preserve"> </w:t>
            </w:r>
            <w:r w:rsidR="00576551" w:rsidRPr="00576551">
              <w:rPr>
                <w:rFonts w:hint="cs"/>
                <w:rtl/>
              </w:rPr>
              <w:t xml:space="preserve"> 308</w:t>
            </w:r>
          </w:p>
        </w:tc>
      </w:tr>
      <w:tr w:rsidR="00576551" w:rsidRPr="00576551" w:rsidTr="00927865">
        <w:tc>
          <w:tcPr>
            <w:tcW w:w="654" w:type="dxa"/>
          </w:tcPr>
          <w:p w:rsidR="00576551" w:rsidRPr="00576551" w:rsidRDefault="00576551" w:rsidP="00576551">
            <w:pPr>
              <w:ind w:firstLine="0"/>
              <w:rPr>
                <w:rtl/>
              </w:rPr>
            </w:pPr>
            <w:r w:rsidRPr="00576551">
              <w:rPr>
                <w:rFonts w:hint="cs"/>
                <w:rtl/>
              </w:rPr>
              <w:t>36</w:t>
            </w:r>
          </w:p>
        </w:tc>
        <w:tc>
          <w:tcPr>
            <w:tcW w:w="5448" w:type="dxa"/>
          </w:tcPr>
          <w:p w:rsidR="00576551" w:rsidRPr="00576551" w:rsidRDefault="00576551" w:rsidP="00576551">
            <w:pPr>
              <w:ind w:firstLine="0"/>
              <w:rPr>
                <w:sz w:val="28"/>
                <w:szCs w:val="28"/>
                <w:rtl/>
              </w:rPr>
            </w:pPr>
            <w:r w:rsidRPr="00576551">
              <w:rPr>
                <w:rFonts w:ascii="QCF_BSML" w:hAnsi="QCF_BSML" w:cs="QCF_BSML"/>
                <w:color w:val="auto"/>
                <w:sz w:val="28"/>
                <w:szCs w:val="28"/>
                <w:rtl/>
                <w:lang w:eastAsia="en-US"/>
              </w:rPr>
              <w:t xml:space="preserve">ﭽ </w:t>
            </w:r>
            <w:r w:rsidRPr="00576551">
              <w:rPr>
                <w:rFonts w:ascii="QCF_P303" w:hAnsi="QCF_P303" w:cs="QCF_P303"/>
                <w:color w:val="auto"/>
                <w:sz w:val="28"/>
                <w:szCs w:val="28"/>
                <w:rtl/>
                <w:lang w:eastAsia="en-US"/>
              </w:rPr>
              <w:t>ﰅ  ﰆ     ﰇ</w:t>
            </w:r>
            <w:r w:rsidRPr="00576551">
              <w:rPr>
                <w:rFonts w:ascii="QCF_BSML" w:hAnsi="QCF_BSML" w:cs="QCF_BSML"/>
                <w:color w:val="auto"/>
                <w:sz w:val="28"/>
                <w:szCs w:val="28"/>
                <w:rtl/>
                <w:lang w:eastAsia="en-US"/>
              </w:rPr>
              <w:t>ﭼ</w:t>
            </w:r>
          </w:p>
        </w:tc>
        <w:tc>
          <w:tcPr>
            <w:tcW w:w="1039" w:type="dxa"/>
            <w:vMerge/>
          </w:tcPr>
          <w:p w:rsidR="00576551" w:rsidRPr="00576551" w:rsidRDefault="00576551" w:rsidP="00576551">
            <w:pPr>
              <w:ind w:firstLine="0"/>
              <w:rPr>
                <w:rtl/>
              </w:rPr>
            </w:pPr>
          </w:p>
        </w:tc>
        <w:tc>
          <w:tcPr>
            <w:tcW w:w="715" w:type="dxa"/>
          </w:tcPr>
          <w:p w:rsidR="00576551" w:rsidRPr="00576551" w:rsidRDefault="00576551" w:rsidP="00576551">
            <w:pPr>
              <w:ind w:firstLine="0"/>
              <w:rPr>
                <w:rtl/>
              </w:rPr>
            </w:pPr>
            <w:r w:rsidRPr="00576551">
              <w:rPr>
                <w:rFonts w:hint="cs"/>
                <w:rtl/>
              </w:rPr>
              <w:t xml:space="preserve"> 96</w:t>
            </w:r>
          </w:p>
        </w:tc>
        <w:tc>
          <w:tcPr>
            <w:tcW w:w="1464" w:type="dxa"/>
          </w:tcPr>
          <w:p w:rsidR="00576551" w:rsidRPr="00576551" w:rsidRDefault="007925F6" w:rsidP="00576551">
            <w:pPr>
              <w:ind w:firstLine="0"/>
              <w:rPr>
                <w:rtl/>
              </w:rPr>
            </w:pPr>
            <w:r>
              <w:rPr>
                <w:rFonts w:hint="cs"/>
                <w:rtl/>
              </w:rPr>
              <w:t xml:space="preserve"> </w:t>
            </w:r>
            <w:r w:rsidR="00576551" w:rsidRPr="00576551">
              <w:rPr>
                <w:rFonts w:hint="cs"/>
                <w:rtl/>
              </w:rPr>
              <w:t xml:space="preserve"> 308</w:t>
            </w:r>
          </w:p>
        </w:tc>
      </w:tr>
      <w:tr w:rsidR="00576551" w:rsidRPr="00576551" w:rsidTr="00927865">
        <w:tc>
          <w:tcPr>
            <w:tcW w:w="654" w:type="dxa"/>
          </w:tcPr>
          <w:p w:rsidR="00576551" w:rsidRPr="00576551" w:rsidRDefault="00576551" w:rsidP="00576551">
            <w:pPr>
              <w:ind w:firstLine="0"/>
              <w:rPr>
                <w:rtl/>
              </w:rPr>
            </w:pPr>
            <w:r w:rsidRPr="00576551">
              <w:rPr>
                <w:rFonts w:hint="cs"/>
                <w:rtl/>
              </w:rPr>
              <w:t>37</w:t>
            </w:r>
          </w:p>
        </w:tc>
        <w:tc>
          <w:tcPr>
            <w:tcW w:w="5448" w:type="dxa"/>
          </w:tcPr>
          <w:p w:rsidR="00576551" w:rsidRPr="00576551" w:rsidRDefault="00576551" w:rsidP="00576551">
            <w:pPr>
              <w:ind w:firstLine="0"/>
              <w:rPr>
                <w:sz w:val="28"/>
                <w:szCs w:val="28"/>
                <w:rtl/>
              </w:rPr>
            </w:pPr>
            <w:r w:rsidRPr="00576551">
              <w:rPr>
                <w:rFonts w:ascii="QCF_BSML" w:hAnsi="QCF_BSML" w:cs="QCF_BSML"/>
                <w:color w:val="auto"/>
                <w:sz w:val="28"/>
                <w:szCs w:val="28"/>
                <w:rtl/>
                <w:lang w:eastAsia="en-US"/>
              </w:rPr>
              <w:t xml:space="preserve">ﭽ </w:t>
            </w:r>
            <w:r w:rsidRPr="00576551">
              <w:rPr>
                <w:rFonts w:ascii="QCF_P309" w:hAnsi="QCF_P309" w:cs="QCF_P309"/>
                <w:color w:val="auto"/>
                <w:sz w:val="28"/>
                <w:szCs w:val="28"/>
                <w:rtl/>
                <w:lang w:eastAsia="en-US"/>
              </w:rPr>
              <w:t>ﮧ  ﮨ  ﮩ     ﮪ</w:t>
            </w:r>
            <w:r w:rsidRPr="00576551">
              <w:rPr>
                <w:rFonts w:ascii="QCF_BSML" w:hAnsi="QCF_BSML" w:cs="QCF_BSML"/>
                <w:color w:val="auto"/>
                <w:sz w:val="28"/>
                <w:szCs w:val="28"/>
                <w:rtl/>
                <w:lang w:eastAsia="en-US"/>
              </w:rPr>
              <w:t>ﭼ</w:t>
            </w:r>
          </w:p>
        </w:tc>
        <w:tc>
          <w:tcPr>
            <w:tcW w:w="1039" w:type="dxa"/>
            <w:vMerge w:val="restart"/>
          </w:tcPr>
          <w:p w:rsidR="00576551" w:rsidRPr="00576551" w:rsidRDefault="00576551" w:rsidP="00576551">
            <w:pPr>
              <w:ind w:firstLine="0"/>
              <w:rPr>
                <w:rtl/>
              </w:rPr>
            </w:pPr>
          </w:p>
          <w:p w:rsidR="00576551" w:rsidRPr="00576551" w:rsidRDefault="00576551" w:rsidP="00576551">
            <w:pPr>
              <w:ind w:firstLine="0"/>
              <w:rPr>
                <w:rtl/>
              </w:rPr>
            </w:pPr>
            <w:r w:rsidRPr="00576551">
              <w:rPr>
                <w:rFonts w:hint="cs"/>
                <w:rtl/>
              </w:rPr>
              <w:t xml:space="preserve"> </w:t>
            </w:r>
            <w:r w:rsidR="00AE7803">
              <w:rPr>
                <w:rFonts w:hint="cs"/>
                <w:rtl/>
              </w:rPr>
              <w:t xml:space="preserve"> </w:t>
            </w:r>
            <w:r w:rsidRPr="00576551">
              <w:rPr>
                <w:rFonts w:hint="cs"/>
                <w:rtl/>
              </w:rPr>
              <w:t xml:space="preserve"> مريم</w:t>
            </w:r>
          </w:p>
        </w:tc>
        <w:tc>
          <w:tcPr>
            <w:tcW w:w="715" w:type="dxa"/>
          </w:tcPr>
          <w:p w:rsidR="00576551" w:rsidRPr="00576551" w:rsidRDefault="00576551" w:rsidP="00576551">
            <w:pPr>
              <w:ind w:firstLine="0"/>
              <w:rPr>
                <w:rtl/>
              </w:rPr>
            </w:pPr>
            <w:r w:rsidRPr="00576551">
              <w:rPr>
                <w:rFonts w:hint="cs"/>
                <w:rtl/>
              </w:rPr>
              <w:t xml:space="preserve"> 59</w:t>
            </w:r>
          </w:p>
        </w:tc>
        <w:tc>
          <w:tcPr>
            <w:tcW w:w="1464" w:type="dxa"/>
          </w:tcPr>
          <w:p w:rsidR="00576551" w:rsidRPr="00576551" w:rsidRDefault="007925F6" w:rsidP="00576551">
            <w:pPr>
              <w:ind w:firstLine="0"/>
              <w:rPr>
                <w:rtl/>
              </w:rPr>
            </w:pPr>
            <w:r>
              <w:rPr>
                <w:rFonts w:hint="cs"/>
                <w:rtl/>
              </w:rPr>
              <w:t xml:space="preserve"> </w:t>
            </w:r>
            <w:r w:rsidR="00576551" w:rsidRPr="00576551">
              <w:rPr>
                <w:rFonts w:hint="cs"/>
                <w:rtl/>
              </w:rPr>
              <w:t xml:space="preserve"> 290</w:t>
            </w:r>
          </w:p>
        </w:tc>
      </w:tr>
      <w:tr w:rsidR="00576551" w:rsidRPr="00576551" w:rsidTr="00927865">
        <w:tc>
          <w:tcPr>
            <w:tcW w:w="654" w:type="dxa"/>
          </w:tcPr>
          <w:p w:rsidR="00576551" w:rsidRPr="00576551" w:rsidRDefault="00576551" w:rsidP="00576551">
            <w:pPr>
              <w:ind w:firstLine="0"/>
              <w:rPr>
                <w:rtl/>
              </w:rPr>
            </w:pPr>
            <w:r w:rsidRPr="00576551">
              <w:rPr>
                <w:rFonts w:hint="cs"/>
                <w:rtl/>
              </w:rPr>
              <w:t>38</w:t>
            </w:r>
          </w:p>
        </w:tc>
        <w:tc>
          <w:tcPr>
            <w:tcW w:w="5448" w:type="dxa"/>
          </w:tcPr>
          <w:p w:rsidR="00576551" w:rsidRPr="00576551" w:rsidRDefault="00576551" w:rsidP="00576551">
            <w:pPr>
              <w:ind w:firstLine="0"/>
              <w:rPr>
                <w:sz w:val="28"/>
                <w:szCs w:val="28"/>
                <w:rtl/>
              </w:rPr>
            </w:pPr>
            <w:r w:rsidRPr="00576551">
              <w:rPr>
                <w:rFonts w:ascii="QCF_BSML" w:hAnsi="QCF_BSML" w:cs="QCF_BSML"/>
                <w:sz w:val="28"/>
                <w:szCs w:val="28"/>
                <w:rtl/>
                <w:lang w:eastAsia="en-US"/>
              </w:rPr>
              <w:t xml:space="preserve">ﭽ </w:t>
            </w:r>
            <w:r w:rsidRPr="00576551">
              <w:rPr>
                <w:rFonts w:ascii="QCF_P311" w:hAnsi="QCF_P311" w:cs="QCF_P311"/>
                <w:sz w:val="28"/>
                <w:szCs w:val="28"/>
                <w:rtl/>
                <w:lang w:eastAsia="en-US"/>
              </w:rPr>
              <w:t xml:space="preserve">ﯿ  ﰀ  ﰁ  ﰂ  ﰃ  </w:t>
            </w:r>
            <w:r w:rsidRPr="00576551">
              <w:rPr>
                <w:rFonts w:ascii="QCF_BSML" w:hAnsi="QCF_BSML" w:cs="QCF_BSML"/>
                <w:sz w:val="28"/>
                <w:szCs w:val="28"/>
                <w:rtl/>
                <w:lang w:eastAsia="en-US"/>
              </w:rPr>
              <w:t>ﭼ</w:t>
            </w:r>
          </w:p>
        </w:tc>
        <w:tc>
          <w:tcPr>
            <w:tcW w:w="1039" w:type="dxa"/>
            <w:vMerge/>
          </w:tcPr>
          <w:p w:rsidR="00576551" w:rsidRPr="00576551" w:rsidRDefault="00576551" w:rsidP="00576551">
            <w:pPr>
              <w:ind w:firstLine="0"/>
              <w:rPr>
                <w:rtl/>
              </w:rPr>
            </w:pPr>
          </w:p>
        </w:tc>
        <w:tc>
          <w:tcPr>
            <w:tcW w:w="715" w:type="dxa"/>
          </w:tcPr>
          <w:p w:rsidR="00576551" w:rsidRPr="00576551" w:rsidRDefault="00576551" w:rsidP="00576551">
            <w:pPr>
              <w:ind w:firstLine="0"/>
              <w:rPr>
                <w:rtl/>
              </w:rPr>
            </w:pPr>
            <w:r w:rsidRPr="00576551">
              <w:rPr>
                <w:rFonts w:hint="cs"/>
                <w:rtl/>
              </w:rPr>
              <w:t xml:space="preserve"> 95</w:t>
            </w:r>
          </w:p>
        </w:tc>
        <w:tc>
          <w:tcPr>
            <w:tcW w:w="1464" w:type="dxa"/>
          </w:tcPr>
          <w:p w:rsidR="00576551" w:rsidRPr="00576551" w:rsidRDefault="007925F6" w:rsidP="00576551">
            <w:pPr>
              <w:ind w:firstLine="0"/>
              <w:rPr>
                <w:rtl/>
              </w:rPr>
            </w:pPr>
            <w:r>
              <w:rPr>
                <w:rFonts w:hint="cs"/>
                <w:rtl/>
              </w:rPr>
              <w:t xml:space="preserve"> </w:t>
            </w:r>
            <w:r w:rsidR="00576551" w:rsidRPr="00576551">
              <w:rPr>
                <w:rFonts w:hint="cs"/>
                <w:rtl/>
              </w:rPr>
              <w:t xml:space="preserve"> 214</w:t>
            </w:r>
          </w:p>
        </w:tc>
      </w:tr>
      <w:tr w:rsidR="00576551" w:rsidRPr="00576551" w:rsidTr="00927865">
        <w:tc>
          <w:tcPr>
            <w:tcW w:w="654" w:type="dxa"/>
          </w:tcPr>
          <w:p w:rsidR="00576551" w:rsidRPr="00576551" w:rsidRDefault="00576551" w:rsidP="00576551">
            <w:pPr>
              <w:ind w:firstLine="0"/>
              <w:rPr>
                <w:rtl/>
              </w:rPr>
            </w:pPr>
            <w:r w:rsidRPr="00576551">
              <w:rPr>
                <w:rFonts w:hint="cs"/>
                <w:rtl/>
              </w:rPr>
              <w:t>39</w:t>
            </w:r>
          </w:p>
        </w:tc>
        <w:tc>
          <w:tcPr>
            <w:tcW w:w="5448" w:type="dxa"/>
          </w:tcPr>
          <w:p w:rsidR="00576551" w:rsidRPr="00576551" w:rsidRDefault="00576551" w:rsidP="00576551">
            <w:pPr>
              <w:ind w:firstLine="0"/>
              <w:rPr>
                <w:sz w:val="28"/>
                <w:szCs w:val="28"/>
                <w:rtl/>
              </w:rPr>
            </w:pPr>
            <w:r w:rsidRPr="00576551">
              <w:rPr>
                <w:rFonts w:ascii="QCF_BSML" w:hAnsi="QCF_BSML" w:cs="QCF_BSML"/>
                <w:sz w:val="28"/>
                <w:szCs w:val="28"/>
                <w:rtl/>
                <w:lang w:eastAsia="en-US"/>
              </w:rPr>
              <w:t>ﭽ</w:t>
            </w:r>
            <w:r w:rsidRPr="00576551">
              <w:rPr>
                <w:rFonts w:ascii="QCF_P315" w:hAnsi="QCF_P315" w:cs="QCF_P315"/>
                <w:sz w:val="28"/>
                <w:szCs w:val="28"/>
                <w:rtl/>
                <w:lang w:eastAsia="en-US"/>
              </w:rPr>
              <w:t>ﯽ  ﯾ  ﯿ</w:t>
            </w:r>
            <w:r w:rsidRPr="00576551">
              <w:rPr>
                <w:rFonts w:ascii="QCF_BSML" w:hAnsi="QCF_BSML" w:cs="QCF_BSML"/>
                <w:sz w:val="28"/>
                <w:szCs w:val="28"/>
                <w:rtl/>
                <w:lang w:eastAsia="en-US"/>
              </w:rPr>
              <w:t>ﭼ</w:t>
            </w:r>
            <w:r w:rsidRPr="00576551">
              <w:rPr>
                <w:rFonts w:ascii="QCF_BSML" w:hAnsi="QCF_BSML" w:cs="QCF_BSML" w:hint="cs"/>
                <w:sz w:val="28"/>
                <w:szCs w:val="28"/>
                <w:rtl/>
                <w:lang w:eastAsia="en-US"/>
              </w:rPr>
              <w:t xml:space="preserve"> </w:t>
            </w:r>
          </w:p>
        </w:tc>
        <w:tc>
          <w:tcPr>
            <w:tcW w:w="1039" w:type="dxa"/>
          </w:tcPr>
          <w:p w:rsidR="00576551" w:rsidRPr="00576551" w:rsidRDefault="00576551" w:rsidP="00576551">
            <w:pPr>
              <w:ind w:firstLine="0"/>
              <w:rPr>
                <w:rtl/>
              </w:rPr>
            </w:pPr>
            <w:r w:rsidRPr="00576551">
              <w:rPr>
                <w:rFonts w:hint="cs"/>
                <w:rtl/>
              </w:rPr>
              <w:t xml:space="preserve">   طه</w:t>
            </w:r>
          </w:p>
        </w:tc>
        <w:tc>
          <w:tcPr>
            <w:tcW w:w="715" w:type="dxa"/>
          </w:tcPr>
          <w:p w:rsidR="00576551" w:rsidRPr="00576551" w:rsidRDefault="00576551" w:rsidP="00576551">
            <w:pPr>
              <w:ind w:firstLine="0"/>
              <w:rPr>
                <w:rtl/>
              </w:rPr>
            </w:pPr>
            <w:r w:rsidRPr="00576551">
              <w:rPr>
                <w:rFonts w:hint="cs"/>
                <w:rtl/>
              </w:rPr>
              <w:t xml:space="preserve"> 64</w:t>
            </w:r>
          </w:p>
        </w:tc>
        <w:tc>
          <w:tcPr>
            <w:tcW w:w="1464" w:type="dxa"/>
          </w:tcPr>
          <w:p w:rsidR="00576551" w:rsidRPr="00576551" w:rsidRDefault="007925F6" w:rsidP="00576551">
            <w:pPr>
              <w:ind w:firstLine="0"/>
              <w:rPr>
                <w:rtl/>
              </w:rPr>
            </w:pPr>
            <w:r>
              <w:rPr>
                <w:rFonts w:hint="cs"/>
                <w:rtl/>
              </w:rPr>
              <w:t xml:space="preserve"> </w:t>
            </w:r>
            <w:r w:rsidR="00576551" w:rsidRPr="00576551">
              <w:rPr>
                <w:rFonts w:hint="cs"/>
                <w:rtl/>
              </w:rPr>
              <w:t xml:space="preserve"> 228</w:t>
            </w:r>
          </w:p>
        </w:tc>
      </w:tr>
      <w:tr w:rsidR="00576551" w:rsidRPr="00576551" w:rsidTr="00927865">
        <w:tc>
          <w:tcPr>
            <w:tcW w:w="654" w:type="dxa"/>
          </w:tcPr>
          <w:p w:rsidR="00576551" w:rsidRPr="00576551" w:rsidRDefault="00576551" w:rsidP="00576551">
            <w:pPr>
              <w:ind w:firstLine="0"/>
              <w:rPr>
                <w:rtl/>
              </w:rPr>
            </w:pPr>
            <w:r w:rsidRPr="00576551">
              <w:rPr>
                <w:rFonts w:hint="cs"/>
                <w:rtl/>
              </w:rPr>
              <w:t>40</w:t>
            </w:r>
          </w:p>
        </w:tc>
        <w:tc>
          <w:tcPr>
            <w:tcW w:w="5448" w:type="dxa"/>
          </w:tcPr>
          <w:p w:rsidR="00576551" w:rsidRPr="00576551" w:rsidRDefault="00576551" w:rsidP="00576551">
            <w:pPr>
              <w:ind w:firstLine="0"/>
              <w:rPr>
                <w:rFonts w:ascii="Traditional Arabic" w:hAnsi="Traditional Arabic"/>
                <w:sz w:val="28"/>
                <w:szCs w:val="28"/>
                <w:rtl/>
              </w:rPr>
            </w:pPr>
            <w:r w:rsidRPr="00576551">
              <w:rPr>
                <w:rFonts w:ascii="QCF_BSML" w:hAnsi="QCF_BSML" w:cs="QCF_BSML"/>
                <w:sz w:val="28"/>
                <w:szCs w:val="28"/>
                <w:rtl/>
                <w:lang w:eastAsia="en-US"/>
              </w:rPr>
              <w:t xml:space="preserve">ﭽ </w:t>
            </w:r>
            <w:r w:rsidRPr="00576551">
              <w:rPr>
                <w:rFonts w:ascii="QCF_P332" w:hAnsi="QCF_P332" w:cs="QCF_P332"/>
                <w:sz w:val="28"/>
                <w:szCs w:val="28"/>
                <w:rtl/>
                <w:lang w:eastAsia="en-US"/>
              </w:rPr>
              <w:t>ﮯ  ﮰ   ﮱ</w:t>
            </w:r>
            <w:r w:rsidRPr="00576551">
              <w:rPr>
                <w:rFonts w:ascii="QCF_BSML" w:hAnsi="QCF_BSML" w:cs="QCF_BSML"/>
                <w:sz w:val="28"/>
                <w:szCs w:val="28"/>
                <w:rtl/>
                <w:lang w:eastAsia="en-US"/>
              </w:rPr>
              <w:t>ﭼ</w:t>
            </w:r>
            <w:r w:rsidRPr="00576551">
              <w:rPr>
                <w:rFonts w:ascii="Arial" w:hAnsi="Arial" w:cs="Arial"/>
                <w:sz w:val="28"/>
                <w:szCs w:val="28"/>
                <w:rtl/>
                <w:lang w:eastAsia="en-US"/>
              </w:rPr>
              <w:t xml:space="preserve"> </w:t>
            </w:r>
          </w:p>
        </w:tc>
        <w:tc>
          <w:tcPr>
            <w:tcW w:w="1039" w:type="dxa"/>
            <w:vMerge w:val="restart"/>
          </w:tcPr>
          <w:p w:rsidR="00576551" w:rsidRPr="00576551" w:rsidRDefault="00576551" w:rsidP="00576551">
            <w:pPr>
              <w:ind w:firstLine="0"/>
              <w:rPr>
                <w:rtl/>
              </w:rPr>
            </w:pPr>
            <w:r w:rsidRPr="00576551">
              <w:rPr>
                <w:rFonts w:hint="cs"/>
                <w:rtl/>
              </w:rPr>
              <w:t xml:space="preserve"> </w:t>
            </w:r>
          </w:p>
          <w:p w:rsidR="00576551" w:rsidRPr="00576551" w:rsidRDefault="00576551" w:rsidP="00576551">
            <w:pPr>
              <w:ind w:firstLine="0"/>
              <w:rPr>
                <w:rtl/>
              </w:rPr>
            </w:pPr>
            <w:r w:rsidRPr="00576551">
              <w:rPr>
                <w:rFonts w:hint="cs"/>
                <w:rtl/>
              </w:rPr>
              <w:t xml:space="preserve"> </w:t>
            </w:r>
            <w:r w:rsidR="00AE7803">
              <w:rPr>
                <w:rFonts w:hint="cs"/>
                <w:rtl/>
              </w:rPr>
              <w:t xml:space="preserve"> </w:t>
            </w:r>
            <w:r w:rsidRPr="00576551">
              <w:rPr>
                <w:rFonts w:hint="cs"/>
                <w:rtl/>
              </w:rPr>
              <w:t>الحج</w:t>
            </w:r>
          </w:p>
        </w:tc>
        <w:tc>
          <w:tcPr>
            <w:tcW w:w="715" w:type="dxa"/>
          </w:tcPr>
          <w:p w:rsidR="00576551" w:rsidRPr="00576551" w:rsidRDefault="00576551" w:rsidP="00576551">
            <w:pPr>
              <w:ind w:firstLine="0"/>
              <w:rPr>
                <w:rtl/>
              </w:rPr>
            </w:pPr>
            <w:r w:rsidRPr="00576551">
              <w:rPr>
                <w:rFonts w:hint="cs"/>
                <w:rtl/>
              </w:rPr>
              <w:t xml:space="preserve"> </w:t>
            </w:r>
            <w:r w:rsidR="007925F6">
              <w:rPr>
                <w:rFonts w:hint="cs"/>
                <w:rtl/>
              </w:rPr>
              <w:t xml:space="preserve"> </w:t>
            </w:r>
            <w:r w:rsidRPr="00576551">
              <w:rPr>
                <w:rFonts w:hint="cs"/>
                <w:rtl/>
              </w:rPr>
              <w:t>5</w:t>
            </w:r>
          </w:p>
        </w:tc>
        <w:tc>
          <w:tcPr>
            <w:tcW w:w="1464" w:type="dxa"/>
          </w:tcPr>
          <w:p w:rsidR="00576551" w:rsidRPr="00576551" w:rsidRDefault="007925F6" w:rsidP="00576551">
            <w:pPr>
              <w:ind w:firstLine="0"/>
              <w:rPr>
                <w:rtl/>
              </w:rPr>
            </w:pPr>
            <w:r>
              <w:rPr>
                <w:rFonts w:hint="cs"/>
                <w:rtl/>
              </w:rPr>
              <w:t xml:space="preserve"> </w:t>
            </w:r>
            <w:r w:rsidR="00576551" w:rsidRPr="00576551">
              <w:rPr>
                <w:rFonts w:hint="cs"/>
                <w:rtl/>
              </w:rPr>
              <w:t xml:space="preserve"> 229</w:t>
            </w:r>
          </w:p>
        </w:tc>
      </w:tr>
      <w:tr w:rsidR="00576551" w:rsidRPr="00576551" w:rsidTr="00927865">
        <w:tc>
          <w:tcPr>
            <w:tcW w:w="654" w:type="dxa"/>
          </w:tcPr>
          <w:p w:rsidR="00576551" w:rsidRPr="00576551" w:rsidRDefault="00576551" w:rsidP="00576551">
            <w:pPr>
              <w:ind w:firstLine="0"/>
              <w:rPr>
                <w:rtl/>
              </w:rPr>
            </w:pPr>
            <w:r w:rsidRPr="00576551">
              <w:rPr>
                <w:rFonts w:hint="cs"/>
                <w:rtl/>
              </w:rPr>
              <w:t>41</w:t>
            </w:r>
          </w:p>
        </w:tc>
        <w:tc>
          <w:tcPr>
            <w:tcW w:w="5448" w:type="dxa"/>
          </w:tcPr>
          <w:p w:rsidR="00576551" w:rsidRPr="00576551" w:rsidRDefault="00576551" w:rsidP="00576551">
            <w:pPr>
              <w:ind w:firstLine="0"/>
              <w:rPr>
                <w:sz w:val="28"/>
                <w:szCs w:val="28"/>
                <w:rtl/>
              </w:rPr>
            </w:pPr>
            <w:r w:rsidRPr="00576551">
              <w:rPr>
                <w:rFonts w:ascii="QCF_BSML" w:hAnsi="QCF_BSML" w:cs="QCF_BSML"/>
                <w:sz w:val="28"/>
                <w:szCs w:val="28"/>
                <w:rtl/>
                <w:lang w:eastAsia="en-US"/>
              </w:rPr>
              <w:t>ﭽ</w:t>
            </w:r>
            <w:r w:rsidRPr="00576551">
              <w:rPr>
                <w:rFonts w:ascii="QCF_P333" w:hAnsi="QCF_P333" w:cs="QCF_P333"/>
                <w:sz w:val="28"/>
                <w:szCs w:val="28"/>
                <w:rtl/>
                <w:lang w:eastAsia="en-US"/>
              </w:rPr>
              <w:t xml:space="preserve">ﰍ  ﰎ  ﰏ    ﰐ  </w:t>
            </w:r>
            <w:r w:rsidRPr="00576551">
              <w:rPr>
                <w:rFonts w:ascii="QCF_BSML" w:hAnsi="QCF_BSML" w:cs="QCF_BSML"/>
                <w:sz w:val="28"/>
                <w:szCs w:val="28"/>
                <w:rtl/>
                <w:lang w:eastAsia="en-US"/>
              </w:rPr>
              <w:t>ﭼ</w:t>
            </w:r>
          </w:p>
        </w:tc>
        <w:tc>
          <w:tcPr>
            <w:tcW w:w="1039" w:type="dxa"/>
            <w:vMerge/>
          </w:tcPr>
          <w:p w:rsidR="00576551" w:rsidRPr="00576551" w:rsidRDefault="00576551" w:rsidP="00576551">
            <w:pPr>
              <w:ind w:firstLine="0"/>
              <w:rPr>
                <w:rtl/>
              </w:rPr>
            </w:pPr>
          </w:p>
        </w:tc>
        <w:tc>
          <w:tcPr>
            <w:tcW w:w="715" w:type="dxa"/>
          </w:tcPr>
          <w:p w:rsidR="00576551" w:rsidRPr="00576551" w:rsidRDefault="00576551" w:rsidP="00576551">
            <w:pPr>
              <w:ind w:firstLine="0"/>
              <w:rPr>
                <w:rtl/>
              </w:rPr>
            </w:pPr>
            <w:r w:rsidRPr="00576551">
              <w:rPr>
                <w:rFonts w:hint="cs"/>
                <w:rtl/>
              </w:rPr>
              <w:t xml:space="preserve"> 15</w:t>
            </w:r>
          </w:p>
        </w:tc>
        <w:tc>
          <w:tcPr>
            <w:tcW w:w="1464" w:type="dxa"/>
          </w:tcPr>
          <w:p w:rsidR="00576551" w:rsidRPr="00576551" w:rsidRDefault="007925F6" w:rsidP="00576551">
            <w:pPr>
              <w:ind w:firstLine="0"/>
              <w:rPr>
                <w:rtl/>
              </w:rPr>
            </w:pPr>
            <w:r>
              <w:rPr>
                <w:rFonts w:hint="cs"/>
                <w:rtl/>
              </w:rPr>
              <w:t xml:space="preserve"> </w:t>
            </w:r>
            <w:r w:rsidR="00576551" w:rsidRPr="00576551">
              <w:rPr>
                <w:rFonts w:hint="cs"/>
                <w:rtl/>
              </w:rPr>
              <w:t xml:space="preserve"> 312</w:t>
            </w:r>
          </w:p>
        </w:tc>
      </w:tr>
      <w:tr w:rsidR="00576551" w:rsidRPr="00576551" w:rsidTr="00927865">
        <w:trPr>
          <w:trHeight w:val="495"/>
        </w:trPr>
        <w:tc>
          <w:tcPr>
            <w:tcW w:w="654" w:type="dxa"/>
          </w:tcPr>
          <w:p w:rsidR="00576551" w:rsidRPr="00576551" w:rsidRDefault="00576551" w:rsidP="00576551">
            <w:pPr>
              <w:ind w:firstLine="0"/>
              <w:rPr>
                <w:rtl/>
              </w:rPr>
            </w:pPr>
            <w:r w:rsidRPr="00576551">
              <w:rPr>
                <w:rFonts w:hint="cs"/>
                <w:rtl/>
              </w:rPr>
              <w:t>42</w:t>
            </w:r>
          </w:p>
        </w:tc>
        <w:tc>
          <w:tcPr>
            <w:tcW w:w="5448" w:type="dxa"/>
          </w:tcPr>
          <w:p w:rsidR="00576551" w:rsidRPr="00576551" w:rsidRDefault="00576551" w:rsidP="007925F6">
            <w:pPr>
              <w:ind w:firstLine="0"/>
              <w:rPr>
                <w:rFonts w:ascii="QCF_BSML" w:hAnsi="QCF_BSML" w:cs="QCF_BSML"/>
                <w:sz w:val="28"/>
                <w:szCs w:val="28"/>
                <w:rtl/>
                <w:lang w:eastAsia="en-US"/>
              </w:rPr>
            </w:pPr>
            <w:r w:rsidRPr="00576551">
              <w:rPr>
                <w:rFonts w:ascii="QCF_BSML" w:hAnsi="QCF_BSML" w:cs="QCF_BSML"/>
                <w:sz w:val="28"/>
                <w:szCs w:val="28"/>
                <w:rtl/>
                <w:lang w:eastAsia="en-US"/>
              </w:rPr>
              <w:t xml:space="preserve">ﭽ </w:t>
            </w:r>
            <w:r w:rsidRPr="00576551">
              <w:rPr>
                <w:rFonts w:ascii="QCF_P342" w:hAnsi="QCF_P342" w:cs="QCF_P342"/>
                <w:sz w:val="28"/>
                <w:szCs w:val="28"/>
                <w:rtl/>
                <w:lang w:eastAsia="en-US"/>
              </w:rPr>
              <w:t xml:space="preserve">ﮏ     ﮐ  ﮑ  ﮒ  ﮓ  </w:t>
            </w:r>
            <w:r w:rsidRPr="00576551">
              <w:rPr>
                <w:rFonts w:ascii="QCF_BSML" w:hAnsi="QCF_BSML" w:cs="QCF_BSML"/>
                <w:sz w:val="28"/>
                <w:szCs w:val="28"/>
                <w:rtl/>
                <w:lang w:eastAsia="en-US"/>
              </w:rPr>
              <w:t>ﭼ</w:t>
            </w:r>
            <w:r w:rsidRPr="00576551">
              <w:rPr>
                <w:rFonts w:ascii="Arial" w:hAnsi="Arial" w:cs="Arial"/>
                <w:sz w:val="28"/>
                <w:szCs w:val="28"/>
                <w:rtl/>
                <w:lang w:eastAsia="en-US"/>
              </w:rPr>
              <w:t xml:space="preserve"> </w:t>
            </w:r>
          </w:p>
        </w:tc>
        <w:tc>
          <w:tcPr>
            <w:tcW w:w="1039" w:type="dxa"/>
            <w:vMerge w:val="restart"/>
          </w:tcPr>
          <w:p w:rsidR="00576551" w:rsidRPr="00576551" w:rsidRDefault="00576551" w:rsidP="00576551">
            <w:pPr>
              <w:ind w:firstLine="0"/>
              <w:rPr>
                <w:rtl/>
              </w:rPr>
            </w:pPr>
            <w:r w:rsidRPr="00576551">
              <w:rPr>
                <w:rFonts w:hint="cs"/>
                <w:rtl/>
              </w:rPr>
              <w:t xml:space="preserve"> المؤمنون</w:t>
            </w:r>
          </w:p>
          <w:p w:rsidR="00576551" w:rsidRPr="00576551" w:rsidRDefault="007925F6" w:rsidP="00576551">
            <w:pPr>
              <w:ind w:firstLine="0"/>
              <w:rPr>
                <w:rtl/>
              </w:rPr>
            </w:pPr>
            <w:r>
              <w:rPr>
                <w:rFonts w:hint="cs"/>
                <w:rtl/>
              </w:rPr>
              <w:lastRenderedPageBreak/>
              <w:t xml:space="preserve"> </w:t>
            </w:r>
            <w:r w:rsidR="00576551" w:rsidRPr="00576551">
              <w:rPr>
                <w:rFonts w:hint="cs"/>
                <w:rtl/>
              </w:rPr>
              <w:t>السورة</w:t>
            </w:r>
          </w:p>
        </w:tc>
        <w:tc>
          <w:tcPr>
            <w:tcW w:w="715" w:type="dxa"/>
          </w:tcPr>
          <w:p w:rsidR="00576551" w:rsidRPr="00576551" w:rsidRDefault="007925F6" w:rsidP="00576551">
            <w:pPr>
              <w:ind w:firstLine="0"/>
              <w:rPr>
                <w:rtl/>
              </w:rPr>
            </w:pPr>
            <w:r>
              <w:rPr>
                <w:rFonts w:hint="cs"/>
                <w:rtl/>
              </w:rPr>
              <w:lastRenderedPageBreak/>
              <w:t xml:space="preserve"> </w:t>
            </w:r>
            <w:r w:rsidR="00576551" w:rsidRPr="00576551">
              <w:rPr>
                <w:rFonts w:hint="cs"/>
                <w:rtl/>
              </w:rPr>
              <w:t>11</w:t>
            </w:r>
          </w:p>
        </w:tc>
        <w:tc>
          <w:tcPr>
            <w:tcW w:w="1464" w:type="dxa"/>
          </w:tcPr>
          <w:p w:rsidR="00576551" w:rsidRPr="00576551" w:rsidRDefault="007925F6" w:rsidP="00576551">
            <w:pPr>
              <w:ind w:firstLine="0"/>
              <w:rPr>
                <w:rtl/>
              </w:rPr>
            </w:pPr>
            <w:r>
              <w:rPr>
                <w:rFonts w:hint="cs"/>
                <w:rtl/>
              </w:rPr>
              <w:t xml:space="preserve"> </w:t>
            </w:r>
            <w:r w:rsidR="00576551" w:rsidRPr="00576551">
              <w:rPr>
                <w:rFonts w:hint="cs"/>
                <w:rtl/>
              </w:rPr>
              <w:t xml:space="preserve"> 286</w:t>
            </w:r>
          </w:p>
        </w:tc>
      </w:tr>
      <w:tr w:rsidR="00576551" w:rsidRPr="00576551" w:rsidTr="00927865">
        <w:trPr>
          <w:trHeight w:val="615"/>
        </w:trPr>
        <w:tc>
          <w:tcPr>
            <w:tcW w:w="654" w:type="dxa"/>
          </w:tcPr>
          <w:p w:rsidR="00576551" w:rsidRPr="00576551" w:rsidRDefault="00576551" w:rsidP="00576551">
            <w:pPr>
              <w:ind w:firstLine="0"/>
              <w:rPr>
                <w:rtl/>
              </w:rPr>
            </w:pPr>
            <w:r w:rsidRPr="00576551">
              <w:rPr>
                <w:rFonts w:hint="cs"/>
                <w:rtl/>
              </w:rPr>
              <w:lastRenderedPageBreak/>
              <w:t>م</w:t>
            </w:r>
          </w:p>
        </w:tc>
        <w:tc>
          <w:tcPr>
            <w:tcW w:w="5448" w:type="dxa"/>
          </w:tcPr>
          <w:p w:rsidR="00576551" w:rsidRPr="00576551" w:rsidRDefault="00576551" w:rsidP="00576551">
            <w:pPr>
              <w:ind w:firstLine="0"/>
              <w:rPr>
                <w:rtl/>
              </w:rPr>
            </w:pPr>
            <w:r w:rsidRPr="00576551">
              <w:rPr>
                <w:rFonts w:hint="cs"/>
                <w:rtl/>
              </w:rPr>
              <w:t xml:space="preserve">   </w:t>
            </w:r>
            <w:r w:rsidR="007925F6">
              <w:rPr>
                <w:rFonts w:hint="cs"/>
                <w:rtl/>
              </w:rPr>
              <w:t xml:space="preserve">                 </w:t>
            </w:r>
            <w:r w:rsidRPr="00576551">
              <w:rPr>
                <w:rFonts w:hint="cs"/>
                <w:rtl/>
              </w:rPr>
              <w:t xml:space="preserve"> الآية</w:t>
            </w:r>
          </w:p>
        </w:tc>
        <w:tc>
          <w:tcPr>
            <w:tcW w:w="1039" w:type="dxa"/>
            <w:vMerge/>
          </w:tcPr>
          <w:p w:rsidR="00576551" w:rsidRPr="00576551" w:rsidRDefault="00576551" w:rsidP="00576551">
            <w:pPr>
              <w:ind w:firstLine="0"/>
              <w:rPr>
                <w:rtl/>
              </w:rPr>
            </w:pPr>
          </w:p>
        </w:tc>
        <w:tc>
          <w:tcPr>
            <w:tcW w:w="715" w:type="dxa"/>
          </w:tcPr>
          <w:p w:rsidR="00576551" w:rsidRPr="00576551" w:rsidRDefault="00576551" w:rsidP="00576551">
            <w:pPr>
              <w:ind w:firstLine="0"/>
              <w:rPr>
                <w:rtl/>
              </w:rPr>
            </w:pPr>
            <w:r w:rsidRPr="00576551">
              <w:rPr>
                <w:rFonts w:hint="cs"/>
                <w:rtl/>
              </w:rPr>
              <w:t>رقمها</w:t>
            </w:r>
          </w:p>
        </w:tc>
        <w:tc>
          <w:tcPr>
            <w:tcW w:w="1464" w:type="dxa"/>
          </w:tcPr>
          <w:p w:rsidR="00576551" w:rsidRPr="00576551" w:rsidRDefault="00AE7803" w:rsidP="00576551">
            <w:pPr>
              <w:ind w:firstLine="0"/>
              <w:rPr>
                <w:rtl/>
              </w:rPr>
            </w:pPr>
            <w:r>
              <w:rPr>
                <w:rFonts w:hint="cs"/>
                <w:rtl/>
              </w:rPr>
              <w:t xml:space="preserve"> </w:t>
            </w:r>
            <w:r w:rsidR="00576551" w:rsidRPr="00576551">
              <w:rPr>
                <w:rFonts w:hint="cs"/>
                <w:rtl/>
              </w:rPr>
              <w:t>الصفحة</w:t>
            </w:r>
          </w:p>
        </w:tc>
      </w:tr>
      <w:tr w:rsidR="00576551" w:rsidRPr="00576551" w:rsidTr="00927865">
        <w:trPr>
          <w:trHeight w:val="450"/>
        </w:trPr>
        <w:tc>
          <w:tcPr>
            <w:tcW w:w="654" w:type="dxa"/>
          </w:tcPr>
          <w:p w:rsidR="00576551" w:rsidRPr="00576551" w:rsidRDefault="00576551" w:rsidP="00576551">
            <w:pPr>
              <w:ind w:firstLine="0"/>
              <w:rPr>
                <w:rtl/>
              </w:rPr>
            </w:pPr>
            <w:r w:rsidRPr="00576551">
              <w:rPr>
                <w:rFonts w:hint="cs"/>
                <w:rtl/>
              </w:rPr>
              <w:lastRenderedPageBreak/>
              <w:t>43</w:t>
            </w:r>
          </w:p>
        </w:tc>
        <w:tc>
          <w:tcPr>
            <w:tcW w:w="5448" w:type="dxa"/>
          </w:tcPr>
          <w:p w:rsidR="00576551" w:rsidRPr="00576551" w:rsidRDefault="00576551" w:rsidP="00576551">
            <w:pPr>
              <w:ind w:firstLine="0"/>
              <w:rPr>
                <w:rFonts w:ascii="QCF_BSML" w:hAnsi="QCF_BSML" w:cs="QCF_BSML"/>
                <w:sz w:val="28"/>
                <w:szCs w:val="28"/>
                <w:rtl/>
                <w:lang w:eastAsia="en-US"/>
              </w:rPr>
            </w:pPr>
            <w:r w:rsidRPr="00576551">
              <w:rPr>
                <w:rFonts w:ascii="QCF_BSML" w:hAnsi="QCF_BSML" w:cs="QCF_BSML"/>
                <w:sz w:val="28"/>
                <w:szCs w:val="28"/>
                <w:rtl/>
                <w:lang w:eastAsia="en-US"/>
              </w:rPr>
              <w:t xml:space="preserve">ﭽ </w:t>
            </w:r>
            <w:r w:rsidRPr="00576551">
              <w:rPr>
                <w:rFonts w:ascii="QCF_P344" w:hAnsi="QCF_P344" w:cs="QCF_P344"/>
                <w:sz w:val="28"/>
                <w:szCs w:val="28"/>
                <w:rtl/>
                <w:lang w:eastAsia="en-US"/>
              </w:rPr>
              <w:t>ﯺ  ﯻ  ﯼ    ﯽ   ﯾ</w:t>
            </w:r>
            <w:r w:rsidRPr="00576551">
              <w:rPr>
                <w:rFonts w:ascii="QCF_BSML" w:hAnsi="QCF_BSML" w:cs="QCF_BSML" w:hint="cs"/>
                <w:sz w:val="28"/>
                <w:szCs w:val="28"/>
                <w:rtl/>
                <w:lang w:eastAsia="en-US"/>
              </w:rPr>
              <w:t xml:space="preserve"> </w:t>
            </w:r>
            <w:r w:rsidRPr="00576551">
              <w:rPr>
                <w:rFonts w:ascii="QCF_BSML" w:hAnsi="QCF_BSML" w:cs="QCF_BSML"/>
                <w:sz w:val="28"/>
                <w:szCs w:val="28"/>
                <w:rtl/>
                <w:lang w:eastAsia="en-US"/>
              </w:rPr>
              <w:t>ﭼ</w:t>
            </w:r>
            <w:r w:rsidRPr="00576551">
              <w:rPr>
                <w:rFonts w:ascii="Arial" w:hAnsi="Arial" w:cs="Arial"/>
                <w:sz w:val="28"/>
                <w:szCs w:val="28"/>
                <w:rtl/>
                <w:lang w:eastAsia="en-US"/>
              </w:rPr>
              <w:t xml:space="preserve"> </w:t>
            </w:r>
          </w:p>
        </w:tc>
        <w:tc>
          <w:tcPr>
            <w:tcW w:w="1039" w:type="dxa"/>
            <w:vMerge w:val="restart"/>
          </w:tcPr>
          <w:p w:rsidR="00576551" w:rsidRPr="00576551" w:rsidRDefault="007925F6" w:rsidP="00576551">
            <w:pPr>
              <w:ind w:firstLine="0"/>
              <w:rPr>
                <w:rtl/>
              </w:rPr>
            </w:pPr>
            <w:r>
              <w:rPr>
                <w:rFonts w:hint="cs"/>
                <w:rtl/>
              </w:rPr>
              <w:t xml:space="preserve"> </w:t>
            </w:r>
            <w:r w:rsidR="00576551" w:rsidRPr="00576551">
              <w:rPr>
                <w:rFonts w:hint="cs"/>
                <w:rtl/>
              </w:rPr>
              <w:t>المؤمنون</w:t>
            </w:r>
          </w:p>
        </w:tc>
        <w:tc>
          <w:tcPr>
            <w:tcW w:w="715" w:type="dxa"/>
          </w:tcPr>
          <w:p w:rsidR="00576551" w:rsidRPr="00576551" w:rsidRDefault="007925F6" w:rsidP="00576551">
            <w:pPr>
              <w:ind w:firstLine="0"/>
              <w:rPr>
                <w:rtl/>
              </w:rPr>
            </w:pPr>
            <w:r>
              <w:rPr>
                <w:rFonts w:hint="cs"/>
                <w:rtl/>
              </w:rPr>
              <w:t xml:space="preserve"> </w:t>
            </w:r>
            <w:r w:rsidR="00576551" w:rsidRPr="00576551">
              <w:rPr>
                <w:rFonts w:hint="cs"/>
                <w:rtl/>
              </w:rPr>
              <w:t>40</w:t>
            </w:r>
          </w:p>
        </w:tc>
        <w:tc>
          <w:tcPr>
            <w:tcW w:w="1464" w:type="dxa"/>
          </w:tcPr>
          <w:p w:rsidR="00576551" w:rsidRPr="00576551" w:rsidRDefault="007925F6" w:rsidP="00576551">
            <w:pPr>
              <w:ind w:firstLine="0"/>
              <w:rPr>
                <w:rtl/>
              </w:rPr>
            </w:pPr>
            <w:r>
              <w:rPr>
                <w:rFonts w:hint="cs"/>
                <w:rtl/>
              </w:rPr>
              <w:t xml:space="preserve">  </w:t>
            </w:r>
            <w:r w:rsidR="00576551" w:rsidRPr="00576551">
              <w:rPr>
                <w:rFonts w:hint="cs"/>
                <w:rtl/>
              </w:rPr>
              <w:t>161</w:t>
            </w:r>
          </w:p>
        </w:tc>
      </w:tr>
      <w:tr w:rsidR="00576551" w:rsidRPr="00576551" w:rsidTr="00927865">
        <w:tc>
          <w:tcPr>
            <w:tcW w:w="654" w:type="dxa"/>
          </w:tcPr>
          <w:p w:rsidR="00576551" w:rsidRPr="00576551" w:rsidRDefault="00576551" w:rsidP="00576551">
            <w:pPr>
              <w:ind w:firstLine="0"/>
              <w:rPr>
                <w:rtl/>
              </w:rPr>
            </w:pPr>
            <w:r w:rsidRPr="00576551">
              <w:rPr>
                <w:rFonts w:hint="cs"/>
                <w:rtl/>
              </w:rPr>
              <w:t>44</w:t>
            </w:r>
          </w:p>
        </w:tc>
        <w:tc>
          <w:tcPr>
            <w:tcW w:w="5448" w:type="dxa"/>
          </w:tcPr>
          <w:p w:rsidR="00576551" w:rsidRPr="00576551" w:rsidRDefault="00576551" w:rsidP="00576551">
            <w:pPr>
              <w:ind w:firstLine="0"/>
              <w:rPr>
                <w:sz w:val="28"/>
                <w:szCs w:val="28"/>
                <w:rtl/>
              </w:rPr>
            </w:pPr>
            <w:r w:rsidRPr="00576551">
              <w:rPr>
                <w:rFonts w:ascii="QCF_BSML" w:hAnsi="QCF_BSML" w:cs="QCF_BSML"/>
                <w:sz w:val="28"/>
                <w:szCs w:val="28"/>
                <w:rtl/>
                <w:lang w:eastAsia="en-US"/>
              </w:rPr>
              <w:t xml:space="preserve">ﭽ </w:t>
            </w:r>
            <w:r w:rsidRPr="00576551">
              <w:rPr>
                <w:rFonts w:ascii="QCF_P349" w:hAnsi="QCF_P349" w:cs="QCF_P349"/>
                <w:sz w:val="28"/>
                <w:szCs w:val="28"/>
                <w:rtl/>
                <w:lang w:eastAsia="en-US"/>
              </w:rPr>
              <w:t>ﭬ  ﭭ</w:t>
            </w:r>
            <w:r w:rsidRPr="00576551">
              <w:rPr>
                <w:rFonts w:ascii="QCF_BSML" w:hAnsi="QCF_BSML" w:cs="QCF_BSML" w:hint="cs"/>
                <w:sz w:val="28"/>
                <w:szCs w:val="28"/>
                <w:rtl/>
                <w:lang w:eastAsia="en-US"/>
              </w:rPr>
              <w:t xml:space="preserve"> </w:t>
            </w:r>
            <w:r w:rsidRPr="00576551">
              <w:rPr>
                <w:rFonts w:ascii="QCF_BSML" w:hAnsi="QCF_BSML" w:cs="QCF_BSML"/>
                <w:sz w:val="28"/>
                <w:szCs w:val="28"/>
                <w:rtl/>
                <w:lang w:eastAsia="en-US"/>
              </w:rPr>
              <w:t>ﭼ</w:t>
            </w:r>
            <w:r w:rsidRPr="00576551">
              <w:rPr>
                <w:rFonts w:ascii="Arial" w:hAnsi="Arial" w:cs="Arial"/>
                <w:sz w:val="28"/>
                <w:szCs w:val="28"/>
                <w:rtl/>
                <w:lang w:eastAsia="en-US"/>
              </w:rPr>
              <w:t xml:space="preserve"> </w:t>
            </w:r>
          </w:p>
        </w:tc>
        <w:tc>
          <w:tcPr>
            <w:tcW w:w="1039" w:type="dxa"/>
            <w:vMerge/>
          </w:tcPr>
          <w:p w:rsidR="00576551" w:rsidRPr="00576551" w:rsidRDefault="00576551" w:rsidP="00576551">
            <w:pPr>
              <w:ind w:firstLine="0"/>
              <w:rPr>
                <w:rtl/>
              </w:rPr>
            </w:pPr>
          </w:p>
        </w:tc>
        <w:tc>
          <w:tcPr>
            <w:tcW w:w="715" w:type="dxa"/>
          </w:tcPr>
          <w:p w:rsidR="00576551" w:rsidRPr="00576551" w:rsidRDefault="00576551" w:rsidP="00576551">
            <w:pPr>
              <w:ind w:firstLine="0"/>
              <w:rPr>
                <w:rtl/>
              </w:rPr>
            </w:pPr>
            <w:r w:rsidRPr="00576551">
              <w:rPr>
                <w:rFonts w:hint="cs"/>
                <w:rtl/>
              </w:rPr>
              <w:t>108</w:t>
            </w:r>
          </w:p>
        </w:tc>
        <w:tc>
          <w:tcPr>
            <w:tcW w:w="1464" w:type="dxa"/>
          </w:tcPr>
          <w:p w:rsidR="00576551" w:rsidRPr="00576551" w:rsidRDefault="007925F6" w:rsidP="00576551">
            <w:pPr>
              <w:ind w:firstLine="0"/>
              <w:rPr>
                <w:rtl/>
              </w:rPr>
            </w:pPr>
            <w:r>
              <w:rPr>
                <w:rFonts w:hint="cs"/>
                <w:rtl/>
              </w:rPr>
              <w:t xml:space="preserve"> </w:t>
            </w:r>
            <w:r w:rsidR="00576551" w:rsidRPr="00576551">
              <w:rPr>
                <w:rFonts w:hint="cs"/>
                <w:rtl/>
              </w:rPr>
              <w:t xml:space="preserve"> 148</w:t>
            </w:r>
            <w:r>
              <w:rPr>
                <w:rFonts w:hint="cs"/>
                <w:rtl/>
              </w:rPr>
              <w:t xml:space="preserve"> </w:t>
            </w:r>
          </w:p>
        </w:tc>
      </w:tr>
      <w:tr w:rsidR="00576551" w:rsidRPr="00576551" w:rsidTr="00927865">
        <w:tc>
          <w:tcPr>
            <w:tcW w:w="654" w:type="dxa"/>
          </w:tcPr>
          <w:p w:rsidR="00576551" w:rsidRPr="00576551" w:rsidRDefault="00576551" w:rsidP="00576551">
            <w:pPr>
              <w:ind w:firstLine="0"/>
              <w:rPr>
                <w:rtl/>
              </w:rPr>
            </w:pPr>
            <w:r w:rsidRPr="00576551">
              <w:rPr>
                <w:rFonts w:hint="cs"/>
                <w:rtl/>
              </w:rPr>
              <w:t>45</w:t>
            </w:r>
          </w:p>
        </w:tc>
        <w:tc>
          <w:tcPr>
            <w:tcW w:w="5448" w:type="dxa"/>
          </w:tcPr>
          <w:p w:rsidR="00576551" w:rsidRPr="00576551" w:rsidRDefault="00576551" w:rsidP="00576551">
            <w:pPr>
              <w:ind w:firstLine="0"/>
              <w:rPr>
                <w:rFonts w:eastAsia="Calibri"/>
                <w:sz w:val="28"/>
                <w:szCs w:val="28"/>
                <w:vertAlign w:val="superscript"/>
                <w:rtl/>
              </w:rPr>
            </w:pPr>
            <w:r w:rsidRPr="00576551">
              <w:rPr>
                <w:rFonts w:ascii="QCF_BSML" w:hAnsi="QCF_BSML" w:cs="QCF_BSML"/>
                <w:sz w:val="28"/>
                <w:szCs w:val="28"/>
                <w:rtl/>
                <w:lang w:eastAsia="en-US"/>
              </w:rPr>
              <w:t xml:space="preserve">ﭽ </w:t>
            </w:r>
            <w:r w:rsidRPr="00576551">
              <w:rPr>
                <w:rFonts w:ascii="QCF_P376" w:hAnsi="QCF_P376" w:cs="QCF_P376"/>
                <w:sz w:val="28"/>
                <w:szCs w:val="28"/>
                <w:rtl/>
                <w:lang w:eastAsia="en-US"/>
              </w:rPr>
              <w:t>ﯓ  ﯔ  ﯕ  ﯖ</w:t>
            </w:r>
            <w:r w:rsidRPr="00576551">
              <w:rPr>
                <w:rFonts w:ascii="QCF_BSML" w:hAnsi="QCF_BSML" w:cs="QCF_BSML" w:hint="cs"/>
                <w:sz w:val="28"/>
                <w:szCs w:val="28"/>
                <w:rtl/>
                <w:lang w:eastAsia="en-US"/>
              </w:rPr>
              <w:t xml:space="preserve"> </w:t>
            </w:r>
            <w:r w:rsidRPr="00576551">
              <w:rPr>
                <w:rFonts w:ascii="QCF_BSML" w:hAnsi="QCF_BSML" w:cs="QCF_BSML"/>
                <w:sz w:val="28"/>
                <w:szCs w:val="28"/>
                <w:rtl/>
                <w:lang w:eastAsia="en-US"/>
              </w:rPr>
              <w:t>ﭼ</w:t>
            </w:r>
          </w:p>
        </w:tc>
        <w:tc>
          <w:tcPr>
            <w:tcW w:w="1039" w:type="dxa"/>
          </w:tcPr>
          <w:p w:rsidR="00576551" w:rsidRPr="00576551" w:rsidRDefault="00576551" w:rsidP="00576551">
            <w:pPr>
              <w:ind w:firstLine="0"/>
              <w:rPr>
                <w:rtl/>
              </w:rPr>
            </w:pPr>
            <w:r w:rsidRPr="00576551">
              <w:rPr>
                <w:rFonts w:hint="cs"/>
                <w:rtl/>
              </w:rPr>
              <w:t xml:space="preserve"> الشعراء</w:t>
            </w:r>
          </w:p>
        </w:tc>
        <w:tc>
          <w:tcPr>
            <w:tcW w:w="715" w:type="dxa"/>
          </w:tcPr>
          <w:p w:rsidR="00576551" w:rsidRPr="00576551" w:rsidRDefault="00576551" w:rsidP="00576551">
            <w:pPr>
              <w:ind w:firstLine="0"/>
              <w:rPr>
                <w:rtl/>
              </w:rPr>
            </w:pPr>
            <w:r w:rsidRPr="00576551">
              <w:rPr>
                <w:rFonts w:hint="cs"/>
                <w:rtl/>
              </w:rPr>
              <w:t>223</w:t>
            </w:r>
          </w:p>
        </w:tc>
        <w:tc>
          <w:tcPr>
            <w:tcW w:w="1464" w:type="dxa"/>
          </w:tcPr>
          <w:p w:rsidR="00576551" w:rsidRPr="00576551" w:rsidRDefault="007925F6" w:rsidP="00576551">
            <w:pPr>
              <w:ind w:firstLine="0"/>
              <w:rPr>
                <w:rtl/>
              </w:rPr>
            </w:pPr>
            <w:r>
              <w:rPr>
                <w:rFonts w:hint="cs"/>
                <w:rtl/>
              </w:rPr>
              <w:t xml:space="preserve"> </w:t>
            </w:r>
            <w:r w:rsidR="00576551" w:rsidRPr="00576551">
              <w:rPr>
                <w:rFonts w:hint="cs"/>
                <w:rtl/>
              </w:rPr>
              <w:t xml:space="preserve"> 112</w:t>
            </w:r>
          </w:p>
        </w:tc>
      </w:tr>
      <w:tr w:rsidR="00576551" w:rsidRPr="00576551" w:rsidTr="00927865">
        <w:tc>
          <w:tcPr>
            <w:tcW w:w="654" w:type="dxa"/>
          </w:tcPr>
          <w:p w:rsidR="00576551" w:rsidRPr="00576551" w:rsidRDefault="00576551" w:rsidP="00576551">
            <w:pPr>
              <w:ind w:firstLine="0"/>
              <w:rPr>
                <w:rtl/>
              </w:rPr>
            </w:pPr>
            <w:r w:rsidRPr="00576551">
              <w:rPr>
                <w:rFonts w:hint="cs"/>
                <w:rtl/>
              </w:rPr>
              <w:t>46</w:t>
            </w:r>
          </w:p>
        </w:tc>
        <w:tc>
          <w:tcPr>
            <w:tcW w:w="5448" w:type="dxa"/>
          </w:tcPr>
          <w:p w:rsidR="00576551" w:rsidRPr="00576551" w:rsidRDefault="00576551" w:rsidP="00576551">
            <w:pPr>
              <w:ind w:firstLine="0"/>
              <w:rPr>
                <w:sz w:val="28"/>
                <w:szCs w:val="28"/>
                <w:rtl/>
              </w:rPr>
            </w:pPr>
            <w:r w:rsidRPr="00576551">
              <w:rPr>
                <w:rFonts w:ascii="QCF_BSML" w:hAnsi="QCF_BSML" w:cs="QCF_BSML"/>
                <w:sz w:val="28"/>
                <w:szCs w:val="28"/>
                <w:rtl/>
                <w:lang w:eastAsia="en-US"/>
              </w:rPr>
              <w:t>ﭽ</w:t>
            </w:r>
            <w:r w:rsidRPr="00576551">
              <w:rPr>
                <w:rFonts w:ascii="QCF_P378" w:hAnsi="QCF_P378" w:cs="QCF_P378" w:hint="cs"/>
                <w:sz w:val="28"/>
                <w:szCs w:val="28"/>
                <w:rtl/>
                <w:lang w:eastAsia="en-US"/>
              </w:rPr>
              <w:t xml:space="preserve"> </w:t>
            </w:r>
            <w:r w:rsidRPr="00576551">
              <w:rPr>
                <w:rFonts w:ascii="QCF_P378" w:hAnsi="QCF_P378" w:cs="QCF_P378"/>
                <w:sz w:val="28"/>
                <w:szCs w:val="28"/>
                <w:rtl/>
                <w:lang w:eastAsia="en-US"/>
              </w:rPr>
              <w:t>ﭑ</w:t>
            </w:r>
            <w:r w:rsidRPr="00576551">
              <w:rPr>
                <w:rFonts w:ascii="QCF_P378" w:hAnsi="QCF_P378" w:cs="QCF_P378" w:hint="cs"/>
                <w:sz w:val="28"/>
                <w:szCs w:val="28"/>
                <w:rtl/>
                <w:lang w:eastAsia="en-US"/>
              </w:rPr>
              <w:t xml:space="preserve">  </w:t>
            </w:r>
            <w:r w:rsidRPr="00576551">
              <w:rPr>
                <w:rFonts w:ascii="QCF_P378" w:hAnsi="QCF_P378" w:cs="QCF_P378"/>
                <w:sz w:val="28"/>
                <w:szCs w:val="28"/>
                <w:rtl/>
                <w:lang w:eastAsia="en-US"/>
              </w:rPr>
              <w:t>ﭒ</w:t>
            </w:r>
            <w:r w:rsidRPr="00576551">
              <w:rPr>
                <w:rFonts w:ascii="QCF_P378" w:hAnsi="QCF_P378" w:cs="QCF_P378" w:hint="cs"/>
                <w:sz w:val="28"/>
                <w:szCs w:val="28"/>
                <w:rtl/>
                <w:lang w:eastAsia="en-US"/>
              </w:rPr>
              <w:t xml:space="preserve"> </w:t>
            </w:r>
            <w:r w:rsidRPr="00576551">
              <w:rPr>
                <w:rFonts w:ascii="QCF_P378" w:hAnsi="QCF_P378" w:cs="QCF_P378"/>
                <w:sz w:val="28"/>
                <w:szCs w:val="28"/>
                <w:rtl/>
                <w:lang w:eastAsia="en-US"/>
              </w:rPr>
              <w:t>ﭓ</w:t>
            </w:r>
            <w:r w:rsidRPr="00576551">
              <w:rPr>
                <w:rFonts w:ascii="QCF_P378" w:hAnsi="QCF_P378" w:cs="QCF_P378" w:hint="cs"/>
                <w:sz w:val="28"/>
                <w:szCs w:val="28"/>
                <w:rtl/>
                <w:lang w:eastAsia="en-US"/>
              </w:rPr>
              <w:t xml:space="preserve">  </w:t>
            </w:r>
            <w:r w:rsidRPr="00576551">
              <w:rPr>
                <w:rFonts w:ascii="QCF_P378" w:hAnsi="QCF_P378" w:cs="QCF_P378"/>
                <w:sz w:val="28"/>
                <w:szCs w:val="28"/>
                <w:rtl/>
                <w:lang w:eastAsia="en-US"/>
              </w:rPr>
              <w:t>ﭔ</w:t>
            </w:r>
            <w:r w:rsidRPr="00576551">
              <w:rPr>
                <w:rFonts w:ascii="QCF_BSML" w:hAnsi="QCF_BSML" w:cs="QCF_BSML" w:hint="cs"/>
                <w:sz w:val="28"/>
                <w:szCs w:val="28"/>
                <w:rtl/>
                <w:lang w:eastAsia="en-US"/>
              </w:rPr>
              <w:t xml:space="preserve"> </w:t>
            </w:r>
            <w:r w:rsidRPr="00576551">
              <w:rPr>
                <w:rFonts w:ascii="QCF_BSML" w:hAnsi="QCF_BSML" w:cs="QCF_BSML"/>
                <w:sz w:val="28"/>
                <w:szCs w:val="28"/>
                <w:rtl/>
                <w:lang w:eastAsia="en-US"/>
              </w:rPr>
              <w:t>ﭼ</w:t>
            </w:r>
            <w:r w:rsidRPr="00576551">
              <w:rPr>
                <w:rFonts w:ascii="QCF_BSML" w:hAnsi="QCF_BSML" w:cs="QCF_BSML" w:hint="cs"/>
                <w:sz w:val="28"/>
                <w:szCs w:val="28"/>
                <w:rtl/>
                <w:lang w:eastAsia="en-US"/>
              </w:rPr>
              <w:t xml:space="preserve"> </w:t>
            </w:r>
          </w:p>
        </w:tc>
        <w:tc>
          <w:tcPr>
            <w:tcW w:w="1039" w:type="dxa"/>
            <w:vMerge w:val="restart"/>
          </w:tcPr>
          <w:p w:rsidR="00576551" w:rsidRPr="00576551" w:rsidRDefault="00576551" w:rsidP="00576551">
            <w:pPr>
              <w:ind w:firstLine="0"/>
              <w:rPr>
                <w:rtl/>
              </w:rPr>
            </w:pPr>
            <w:r w:rsidRPr="00576551">
              <w:rPr>
                <w:rFonts w:hint="cs"/>
                <w:rtl/>
              </w:rPr>
              <w:t xml:space="preserve"> </w:t>
            </w:r>
          </w:p>
          <w:p w:rsidR="00576551" w:rsidRPr="00576551" w:rsidRDefault="00576551" w:rsidP="00576551">
            <w:pPr>
              <w:ind w:firstLine="0"/>
              <w:rPr>
                <w:rtl/>
              </w:rPr>
            </w:pPr>
          </w:p>
          <w:p w:rsidR="00576551" w:rsidRPr="00576551" w:rsidRDefault="00576551" w:rsidP="00576551">
            <w:pPr>
              <w:ind w:firstLine="0"/>
              <w:rPr>
                <w:rtl/>
              </w:rPr>
            </w:pPr>
            <w:r w:rsidRPr="00576551">
              <w:rPr>
                <w:rFonts w:hint="cs"/>
                <w:rtl/>
              </w:rPr>
              <w:t xml:space="preserve"> النمل</w:t>
            </w:r>
          </w:p>
        </w:tc>
        <w:tc>
          <w:tcPr>
            <w:tcW w:w="715" w:type="dxa"/>
          </w:tcPr>
          <w:p w:rsidR="00576551" w:rsidRPr="00576551" w:rsidRDefault="00576551" w:rsidP="00576551">
            <w:pPr>
              <w:ind w:firstLine="0"/>
              <w:rPr>
                <w:rtl/>
              </w:rPr>
            </w:pPr>
            <w:r w:rsidRPr="00576551">
              <w:rPr>
                <w:rFonts w:hint="cs"/>
                <w:rtl/>
              </w:rPr>
              <w:t xml:space="preserve"> 14</w:t>
            </w:r>
          </w:p>
        </w:tc>
        <w:tc>
          <w:tcPr>
            <w:tcW w:w="1464" w:type="dxa"/>
          </w:tcPr>
          <w:p w:rsidR="00576551" w:rsidRPr="00576551" w:rsidRDefault="00576551" w:rsidP="00722E32">
            <w:pPr>
              <w:ind w:firstLine="0"/>
              <w:rPr>
                <w:rtl/>
              </w:rPr>
            </w:pPr>
            <w:r w:rsidRPr="00576551">
              <w:rPr>
                <w:rFonts w:hint="cs"/>
                <w:rtl/>
              </w:rPr>
              <w:t>67</w:t>
            </w:r>
            <w:r w:rsidR="00722E32">
              <w:rPr>
                <w:rFonts w:hint="cs"/>
                <w:rtl/>
              </w:rPr>
              <w:t>, 153</w:t>
            </w:r>
          </w:p>
        </w:tc>
      </w:tr>
      <w:tr w:rsidR="00576551" w:rsidRPr="00576551" w:rsidTr="00927865">
        <w:tc>
          <w:tcPr>
            <w:tcW w:w="654" w:type="dxa"/>
          </w:tcPr>
          <w:p w:rsidR="00576551" w:rsidRPr="00576551" w:rsidRDefault="00576551" w:rsidP="00576551">
            <w:pPr>
              <w:ind w:firstLine="0"/>
              <w:rPr>
                <w:rtl/>
              </w:rPr>
            </w:pPr>
            <w:r w:rsidRPr="00576551">
              <w:rPr>
                <w:rFonts w:hint="cs"/>
                <w:rtl/>
              </w:rPr>
              <w:t>47</w:t>
            </w:r>
          </w:p>
        </w:tc>
        <w:tc>
          <w:tcPr>
            <w:tcW w:w="5448" w:type="dxa"/>
          </w:tcPr>
          <w:p w:rsidR="00576551" w:rsidRPr="00576551" w:rsidRDefault="00576551" w:rsidP="00576551">
            <w:pPr>
              <w:ind w:firstLine="0"/>
              <w:rPr>
                <w:sz w:val="28"/>
                <w:szCs w:val="28"/>
                <w:rtl/>
              </w:rPr>
            </w:pPr>
            <w:r w:rsidRPr="00576551">
              <w:rPr>
                <w:rFonts w:ascii="QCF_BSML" w:hAnsi="QCF_BSML" w:cs="QCF_BSML"/>
                <w:sz w:val="28"/>
                <w:szCs w:val="28"/>
                <w:rtl/>
                <w:lang w:eastAsia="en-US"/>
              </w:rPr>
              <w:t xml:space="preserve">ﭽ </w:t>
            </w:r>
            <w:r w:rsidRPr="00576551">
              <w:rPr>
                <w:rFonts w:ascii="QCF_P379" w:hAnsi="QCF_P379" w:cs="QCF_P379"/>
                <w:sz w:val="28"/>
                <w:szCs w:val="28"/>
                <w:rtl/>
                <w:lang w:eastAsia="en-US"/>
              </w:rPr>
              <w:t>ﮦ  ﮧ  ﮨ  ﮩ  ﮪ     ﮫ  ﮬ   ﮭ</w:t>
            </w:r>
            <w:r w:rsidRPr="00576551">
              <w:rPr>
                <w:rFonts w:ascii="QCF_BSML" w:hAnsi="QCF_BSML" w:cs="QCF_BSML" w:hint="cs"/>
                <w:color w:val="auto"/>
                <w:sz w:val="28"/>
                <w:szCs w:val="28"/>
                <w:rtl/>
                <w:lang w:eastAsia="en-US"/>
              </w:rPr>
              <w:t xml:space="preserve"> </w:t>
            </w:r>
            <w:r w:rsidRPr="00576551">
              <w:rPr>
                <w:rFonts w:ascii="QCF_BSML" w:hAnsi="QCF_BSML" w:cs="QCF_BSML"/>
                <w:color w:val="auto"/>
                <w:sz w:val="28"/>
                <w:szCs w:val="28"/>
                <w:rtl/>
                <w:lang w:eastAsia="en-US"/>
              </w:rPr>
              <w:t>ﭼ</w:t>
            </w:r>
            <w:r w:rsidRPr="00576551">
              <w:rPr>
                <w:rFonts w:ascii="Traditional Arabic" w:hAnsi="Traditional Arabic"/>
                <w:color w:val="auto"/>
                <w:sz w:val="28"/>
                <w:szCs w:val="28"/>
                <w:rtl/>
                <w:lang w:eastAsia="en-US"/>
              </w:rPr>
              <w:t xml:space="preserve"> </w:t>
            </w:r>
          </w:p>
        </w:tc>
        <w:tc>
          <w:tcPr>
            <w:tcW w:w="1039" w:type="dxa"/>
            <w:vMerge/>
          </w:tcPr>
          <w:p w:rsidR="00576551" w:rsidRPr="00576551" w:rsidRDefault="00576551" w:rsidP="00576551">
            <w:pPr>
              <w:ind w:firstLine="0"/>
              <w:rPr>
                <w:rtl/>
              </w:rPr>
            </w:pPr>
          </w:p>
        </w:tc>
        <w:tc>
          <w:tcPr>
            <w:tcW w:w="715" w:type="dxa"/>
          </w:tcPr>
          <w:p w:rsidR="00576551" w:rsidRPr="00576551" w:rsidRDefault="00576551" w:rsidP="00576551">
            <w:pPr>
              <w:ind w:firstLine="0"/>
              <w:rPr>
                <w:rtl/>
              </w:rPr>
            </w:pPr>
            <w:r w:rsidRPr="00576551">
              <w:rPr>
                <w:rFonts w:hint="cs"/>
                <w:rtl/>
              </w:rPr>
              <w:t xml:space="preserve"> 30</w:t>
            </w:r>
          </w:p>
        </w:tc>
        <w:tc>
          <w:tcPr>
            <w:tcW w:w="1464" w:type="dxa"/>
          </w:tcPr>
          <w:p w:rsidR="00576551" w:rsidRPr="00576551" w:rsidRDefault="007925F6" w:rsidP="00576551">
            <w:pPr>
              <w:ind w:firstLine="0"/>
              <w:rPr>
                <w:rtl/>
              </w:rPr>
            </w:pPr>
            <w:r>
              <w:rPr>
                <w:rFonts w:hint="cs"/>
                <w:rtl/>
              </w:rPr>
              <w:t xml:space="preserve"> </w:t>
            </w:r>
            <w:r w:rsidR="00576551" w:rsidRPr="00576551">
              <w:rPr>
                <w:rFonts w:hint="cs"/>
                <w:rtl/>
              </w:rPr>
              <w:t xml:space="preserve"> 160</w:t>
            </w:r>
          </w:p>
        </w:tc>
      </w:tr>
      <w:tr w:rsidR="00576551" w:rsidRPr="00576551" w:rsidTr="00927865">
        <w:tc>
          <w:tcPr>
            <w:tcW w:w="654" w:type="dxa"/>
          </w:tcPr>
          <w:p w:rsidR="00576551" w:rsidRPr="00576551" w:rsidRDefault="00576551" w:rsidP="00576551">
            <w:pPr>
              <w:ind w:firstLine="0"/>
              <w:rPr>
                <w:rtl/>
              </w:rPr>
            </w:pPr>
            <w:r w:rsidRPr="00576551">
              <w:rPr>
                <w:rFonts w:hint="cs"/>
                <w:rtl/>
              </w:rPr>
              <w:t>48</w:t>
            </w:r>
          </w:p>
        </w:tc>
        <w:tc>
          <w:tcPr>
            <w:tcW w:w="5448" w:type="dxa"/>
          </w:tcPr>
          <w:p w:rsidR="00576551" w:rsidRPr="00576551" w:rsidRDefault="00576551" w:rsidP="00576551">
            <w:pPr>
              <w:ind w:firstLine="0"/>
              <w:rPr>
                <w:sz w:val="28"/>
                <w:szCs w:val="28"/>
                <w:rtl/>
              </w:rPr>
            </w:pPr>
            <w:r w:rsidRPr="00576551">
              <w:rPr>
                <w:rFonts w:ascii="QCF_BSML" w:hAnsi="QCF_BSML" w:cs="QCF_BSML"/>
                <w:sz w:val="28"/>
                <w:szCs w:val="28"/>
                <w:rtl/>
                <w:lang w:eastAsia="en-US"/>
              </w:rPr>
              <w:t xml:space="preserve">ﭽ </w:t>
            </w:r>
            <w:r w:rsidRPr="00576551">
              <w:rPr>
                <w:rFonts w:ascii="QCF_P383" w:hAnsi="QCF_P383" w:cs="QCF_P383"/>
                <w:sz w:val="28"/>
                <w:szCs w:val="28"/>
                <w:rtl/>
                <w:lang w:eastAsia="en-US"/>
              </w:rPr>
              <w:t>ﯠ  ﯡ</w:t>
            </w:r>
            <w:r w:rsidRPr="00576551">
              <w:rPr>
                <w:rFonts w:ascii="QCF_BSML" w:hAnsi="QCF_BSML" w:cs="QCF_BSML" w:hint="cs"/>
                <w:sz w:val="28"/>
                <w:szCs w:val="28"/>
                <w:rtl/>
                <w:lang w:eastAsia="en-US"/>
              </w:rPr>
              <w:t xml:space="preserve"> </w:t>
            </w:r>
            <w:r w:rsidRPr="00576551">
              <w:rPr>
                <w:rFonts w:ascii="QCF_BSML" w:hAnsi="QCF_BSML" w:cs="QCF_BSML"/>
                <w:sz w:val="28"/>
                <w:szCs w:val="28"/>
                <w:rtl/>
                <w:lang w:eastAsia="en-US"/>
              </w:rPr>
              <w:t>ﭼ</w:t>
            </w:r>
          </w:p>
        </w:tc>
        <w:tc>
          <w:tcPr>
            <w:tcW w:w="1039" w:type="dxa"/>
            <w:vMerge/>
          </w:tcPr>
          <w:p w:rsidR="00576551" w:rsidRPr="00576551" w:rsidRDefault="00576551" w:rsidP="00576551">
            <w:pPr>
              <w:ind w:firstLine="0"/>
              <w:rPr>
                <w:rtl/>
              </w:rPr>
            </w:pPr>
          </w:p>
        </w:tc>
        <w:tc>
          <w:tcPr>
            <w:tcW w:w="715" w:type="dxa"/>
          </w:tcPr>
          <w:p w:rsidR="00576551" w:rsidRPr="00576551" w:rsidRDefault="00576551" w:rsidP="00576551">
            <w:pPr>
              <w:ind w:firstLine="0"/>
              <w:rPr>
                <w:rtl/>
              </w:rPr>
            </w:pPr>
            <w:r w:rsidRPr="00576551">
              <w:rPr>
                <w:rFonts w:hint="cs"/>
                <w:rtl/>
              </w:rPr>
              <w:t xml:space="preserve"> 72</w:t>
            </w:r>
          </w:p>
        </w:tc>
        <w:tc>
          <w:tcPr>
            <w:tcW w:w="1464" w:type="dxa"/>
          </w:tcPr>
          <w:p w:rsidR="00576551" w:rsidRPr="00576551" w:rsidRDefault="007925F6" w:rsidP="00576551">
            <w:pPr>
              <w:ind w:firstLine="0"/>
              <w:rPr>
                <w:rtl/>
              </w:rPr>
            </w:pPr>
            <w:r>
              <w:rPr>
                <w:rFonts w:hint="cs"/>
                <w:rtl/>
              </w:rPr>
              <w:t xml:space="preserve"> </w:t>
            </w:r>
            <w:r w:rsidR="00576551" w:rsidRPr="00576551">
              <w:rPr>
                <w:rFonts w:hint="cs"/>
                <w:rtl/>
              </w:rPr>
              <w:t xml:space="preserve"> 121</w:t>
            </w:r>
          </w:p>
        </w:tc>
      </w:tr>
      <w:tr w:rsidR="00576551" w:rsidRPr="00576551" w:rsidTr="00927865">
        <w:tc>
          <w:tcPr>
            <w:tcW w:w="654" w:type="dxa"/>
          </w:tcPr>
          <w:p w:rsidR="00576551" w:rsidRPr="00576551" w:rsidRDefault="00576551" w:rsidP="00576551">
            <w:pPr>
              <w:ind w:firstLine="0"/>
              <w:rPr>
                <w:rtl/>
              </w:rPr>
            </w:pPr>
            <w:r w:rsidRPr="00576551">
              <w:rPr>
                <w:rFonts w:hint="cs"/>
                <w:rtl/>
              </w:rPr>
              <w:t>49</w:t>
            </w:r>
          </w:p>
        </w:tc>
        <w:tc>
          <w:tcPr>
            <w:tcW w:w="5448" w:type="dxa"/>
          </w:tcPr>
          <w:p w:rsidR="00576551" w:rsidRPr="00576551" w:rsidRDefault="00576551" w:rsidP="00576551">
            <w:pPr>
              <w:ind w:firstLine="0"/>
              <w:rPr>
                <w:sz w:val="28"/>
                <w:szCs w:val="28"/>
                <w:rtl/>
              </w:rPr>
            </w:pPr>
            <w:r w:rsidRPr="00576551">
              <w:rPr>
                <w:rFonts w:ascii="QCF_BSML" w:hAnsi="QCF_BSML" w:cs="QCF_BSML"/>
                <w:sz w:val="28"/>
                <w:szCs w:val="28"/>
                <w:rtl/>
                <w:lang w:eastAsia="en-US"/>
              </w:rPr>
              <w:t xml:space="preserve">ﭽ </w:t>
            </w:r>
            <w:r w:rsidRPr="00576551">
              <w:rPr>
                <w:rFonts w:ascii="QCF_P384" w:hAnsi="QCF_P384" w:cs="QCF_P384"/>
                <w:sz w:val="28"/>
                <w:szCs w:val="28"/>
                <w:rtl/>
                <w:lang w:eastAsia="en-US"/>
              </w:rPr>
              <w:t xml:space="preserve">ﯼ  ﯽ    ﯾ  </w:t>
            </w:r>
            <w:r w:rsidRPr="00576551">
              <w:rPr>
                <w:rFonts w:ascii="QCF_BSML" w:hAnsi="QCF_BSML" w:cs="QCF_BSML"/>
                <w:sz w:val="28"/>
                <w:szCs w:val="28"/>
                <w:rtl/>
                <w:lang w:eastAsia="en-US"/>
              </w:rPr>
              <w:t>ﭼ</w:t>
            </w:r>
          </w:p>
        </w:tc>
        <w:tc>
          <w:tcPr>
            <w:tcW w:w="1039" w:type="dxa"/>
            <w:vMerge/>
          </w:tcPr>
          <w:p w:rsidR="00576551" w:rsidRPr="00576551" w:rsidRDefault="00576551" w:rsidP="00576551">
            <w:pPr>
              <w:ind w:firstLine="0"/>
              <w:rPr>
                <w:rtl/>
              </w:rPr>
            </w:pPr>
          </w:p>
        </w:tc>
        <w:tc>
          <w:tcPr>
            <w:tcW w:w="715" w:type="dxa"/>
          </w:tcPr>
          <w:p w:rsidR="00576551" w:rsidRPr="00576551" w:rsidRDefault="00576551" w:rsidP="00576551">
            <w:pPr>
              <w:ind w:firstLine="0"/>
              <w:rPr>
                <w:rtl/>
              </w:rPr>
            </w:pPr>
            <w:r w:rsidRPr="00576551">
              <w:rPr>
                <w:rFonts w:hint="cs"/>
                <w:rtl/>
              </w:rPr>
              <w:t xml:space="preserve"> 87</w:t>
            </w:r>
          </w:p>
        </w:tc>
        <w:tc>
          <w:tcPr>
            <w:tcW w:w="1464" w:type="dxa"/>
          </w:tcPr>
          <w:p w:rsidR="00576551" w:rsidRPr="00576551" w:rsidRDefault="007925F6" w:rsidP="00576551">
            <w:pPr>
              <w:ind w:firstLine="0"/>
              <w:rPr>
                <w:rtl/>
              </w:rPr>
            </w:pPr>
            <w:r>
              <w:rPr>
                <w:rFonts w:hint="cs"/>
                <w:rtl/>
              </w:rPr>
              <w:t xml:space="preserve"> </w:t>
            </w:r>
            <w:r w:rsidR="00576551" w:rsidRPr="00576551">
              <w:rPr>
                <w:rFonts w:hint="cs"/>
                <w:rtl/>
              </w:rPr>
              <w:t xml:space="preserve"> 214</w:t>
            </w:r>
          </w:p>
        </w:tc>
      </w:tr>
      <w:tr w:rsidR="00576551" w:rsidRPr="00576551" w:rsidTr="00927865">
        <w:tc>
          <w:tcPr>
            <w:tcW w:w="654" w:type="dxa"/>
          </w:tcPr>
          <w:p w:rsidR="00576551" w:rsidRPr="00576551" w:rsidRDefault="00576551" w:rsidP="00576551">
            <w:pPr>
              <w:ind w:firstLine="0"/>
              <w:rPr>
                <w:rtl/>
              </w:rPr>
            </w:pPr>
            <w:r w:rsidRPr="00576551">
              <w:rPr>
                <w:rFonts w:hint="cs"/>
                <w:rtl/>
              </w:rPr>
              <w:t>50</w:t>
            </w:r>
          </w:p>
        </w:tc>
        <w:tc>
          <w:tcPr>
            <w:tcW w:w="5448" w:type="dxa"/>
          </w:tcPr>
          <w:p w:rsidR="00576551" w:rsidRPr="00576551" w:rsidRDefault="00576551" w:rsidP="00576551">
            <w:pPr>
              <w:ind w:firstLine="0"/>
              <w:rPr>
                <w:sz w:val="28"/>
                <w:szCs w:val="28"/>
                <w:rtl/>
              </w:rPr>
            </w:pPr>
            <w:r w:rsidRPr="00576551">
              <w:rPr>
                <w:rFonts w:ascii="QCF_BSML" w:hAnsi="QCF_BSML" w:cs="QCF_BSML"/>
                <w:sz w:val="28"/>
                <w:szCs w:val="28"/>
                <w:rtl/>
                <w:lang w:eastAsia="en-US"/>
              </w:rPr>
              <w:t xml:space="preserve">ﭽ </w:t>
            </w:r>
            <w:r w:rsidRPr="00576551">
              <w:rPr>
                <w:rFonts w:ascii="QCF_P414" w:hAnsi="QCF_P414" w:cs="QCF_P414"/>
                <w:sz w:val="28"/>
                <w:szCs w:val="28"/>
                <w:rtl/>
                <w:lang w:eastAsia="en-US"/>
              </w:rPr>
              <w:t>ﯾ  ﯿ  ﰀ  ﰁ  ﰂ  ﰃ</w:t>
            </w:r>
            <w:r w:rsidRPr="00576551">
              <w:rPr>
                <w:rFonts w:ascii="QCF_P414" w:hAnsi="QCF_P414" w:cs="QCF_P414" w:hint="cs"/>
                <w:sz w:val="28"/>
                <w:szCs w:val="28"/>
                <w:rtl/>
                <w:lang w:eastAsia="en-US"/>
              </w:rPr>
              <w:t xml:space="preserve"> </w:t>
            </w:r>
            <w:r w:rsidRPr="00576551">
              <w:rPr>
                <w:rFonts w:ascii="QCF_BSML" w:hAnsi="QCF_BSML" w:cs="QCF_BSML"/>
                <w:sz w:val="28"/>
                <w:szCs w:val="28"/>
                <w:rtl/>
                <w:lang w:eastAsia="en-US"/>
              </w:rPr>
              <w:t xml:space="preserve">ﭼ </w:t>
            </w:r>
          </w:p>
        </w:tc>
        <w:tc>
          <w:tcPr>
            <w:tcW w:w="1039" w:type="dxa"/>
          </w:tcPr>
          <w:p w:rsidR="00576551" w:rsidRPr="00576551" w:rsidRDefault="00576551" w:rsidP="00576551">
            <w:pPr>
              <w:ind w:firstLine="0"/>
              <w:rPr>
                <w:rtl/>
              </w:rPr>
            </w:pPr>
            <w:r w:rsidRPr="00576551">
              <w:rPr>
                <w:rFonts w:hint="cs"/>
                <w:rtl/>
              </w:rPr>
              <w:t xml:space="preserve"> لقمان</w:t>
            </w:r>
          </w:p>
        </w:tc>
        <w:tc>
          <w:tcPr>
            <w:tcW w:w="715" w:type="dxa"/>
          </w:tcPr>
          <w:p w:rsidR="00576551" w:rsidRPr="00576551" w:rsidRDefault="00576551" w:rsidP="00576551">
            <w:pPr>
              <w:ind w:firstLine="0"/>
              <w:rPr>
                <w:rtl/>
              </w:rPr>
            </w:pPr>
            <w:r w:rsidRPr="00576551">
              <w:rPr>
                <w:rFonts w:hint="cs"/>
                <w:rtl/>
              </w:rPr>
              <w:t xml:space="preserve"> 34</w:t>
            </w:r>
          </w:p>
        </w:tc>
        <w:tc>
          <w:tcPr>
            <w:tcW w:w="1464" w:type="dxa"/>
          </w:tcPr>
          <w:p w:rsidR="00576551" w:rsidRPr="00576551" w:rsidRDefault="007925F6" w:rsidP="00576551">
            <w:pPr>
              <w:ind w:firstLine="0"/>
              <w:rPr>
                <w:rtl/>
              </w:rPr>
            </w:pPr>
            <w:r>
              <w:rPr>
                <w:rFonts w:hint="cs"/>
                <w:rtl/>
              </w:rPr>
              <w:t xml:space="preserve"> </w:t>
            </w:r>
            <w:r w:rsidR="00576551" w:rsidRPr="00576551">
              <w:rPr>
                <w:rFonts w:hint="cs"/>
                <w:rtl/>
              </w:rPr>
              <w:t xml:space="preserve"> 214</w:t>
            </w:r>
          </w:p>
        </w:tc>
      </w:tr>
      <w:tr w:rsidR="00576551" w:rsidRPr="00576551" w:rsidTr="00927865">
        <w:tc>
          <w:tcPr>
            <w:tcW w:w="654" w:type="dxa"/>
          </w:tcPr>
          <w:p w:rsidR="00576551" w:rsidRPr="00576551" w:rsidRDefault="00576551" w:rsidP="00576551">
            <w:pPr>
              <w:ind w:firstLine="0"/>
              <w:rPr>
                <w:rtl/>
              </w:rPr>
            </w:pPr>
            <w:r w:rsidRPr="00576551">
              <w:rPr>
                <w:rFonts w:hint="cs"/>
                <w:rtl/>
              </w:rPr>
              <w:t>51</w:t>
            </w:r>
          </w:p>
        </w:tc>
        <w:tc>
          <w:tcPr>
            <w:tcW w:w="5448" w:type="dxa"/>
          </w:tcPr>
          <w:p w:rsidR="00576551" w:rsidRPr="00576551" w:rsidRDefault="00576551" w:rsidP="00576551">
            <w:pPr>
              <w:ind w:firstLine="0"/>
              <w:rPr>
                <w:rFonts w:eastAsia="Calibri"/>
                <w:sz w:val="28"/>
                <w:szCs w:val="28"/>
                <w:vertAlign w:val="superscript"/>
                <w:rtl/>
              </w:rPr>
            </w:pPr>
            <w:r w:rsidRPr="00576551">
              <w:rPr>
                <w:rFonts w:ascii="QCF_BSML" w:hAnsi="QCF_BSML" w:cs="QCF_BSML"/>
                <w:sz w:val="28"/>
                <w:szCs w:val="28"/>
                <w:rtl/>
                <w:lang w:eastAsia="en-US"/>
              </w:rPr>
              <w:t xml:space="preserve">ﭽ </w:t>
            </w:r>
            <w:r w:rsidRPr="00576551">
              <w:rPr>
                <w:rFonts w:ascii="QCF_P415" w:hAnsi="QCF_P415" w:cs="QCF_P415"/>
                <w:sz w:val="28"/>
                <w:szCs w:val="28"/>
                <w:rtl/>
                <w:lang w:eastAsia="en-US"/>
              </w:rPr>
              <w:t xml:space="preserve">ﯬ  ﯭ  ﯮ  ﯯ     </w:t>
            </w:r>
            <w:r w:rsidRPr="00576551">
              <w:rPr>
                <w:rFonts w:ascii="QCF_BSML" w:hAnsi="QCF_BSML" w:cs="QCF_BSML"/>
                <w:sz w:val="28"/>
                <w:szCs w:val="28"/>
                <w:rtl/>
                <w:lang w:eastAsia="en-US"/>
              </w:rPr>
              <w:t>ﭼ</w:t>
            </w:r>
            <w:r w:rsidRPr="00576551">
              <w:rPr>
                <w:rFonts w:ascii="Arial" w:hAnsi="Arial" w:cs="Arial"/>
                <w:sz w:val="28"/>
                <w:szCs w:val="28"/>
                <w:rtl/>
                <w:lang w:eastAsia="en-US"/>
              </w:rPr>
              <w:t xml:space="preserve"> </w:t>
            </w:r>
          </w:p>
        </w:tc>
        <w:tc>
          <w:tcPr>
            <w:tcW w:w="1039" w:type="dxa"/>
          </w:tcPr>
          <w:p w:rsidR="00576551" w:rsidRPr="00576551" w:rsidRDefault="00576551" w:rsidP="00576551">
            <w:pPr>
              <w:ind w:firstLine="0"/>
              <w:rPr>
                <w:rtl/>
              </w:rPr>
            </w:pPr>
            <w:r w:rsidRPr="00576551">
              <w:rPr>
                <w:rFonts w:hint="cs"/>
                <w:rtl/>
              </w:rPr>
              <w:t>السجدة</w:t>
            </w:r>
          </w:p>
        </w:tc>
        <w:tc>
          <w:tcPr>
            <w:tcW w:w="715" w:type="dxa"/>
          </w:tcPr>
          <w:p w:rsidR="00576551" w:rsidRPr="00576551" w:rsidRDefault="00576551" w:rsidP="00576551">
            <w:pPr>
              <w:ind w:firstLine="0"/>
              <w:rPr>
                <w:rtl/>
              </w:rPr>
            </w:pPr>
            <w:r w:rsidRPr="00576551">
              <w:rPr>
                <w:rFonts w:hint="cs"/>
                <w:rtl/>
              </w:rPr>
              <w:t xml:space="preserve"> 10</w:t>
            </w:r>
          </w:p>
        </w:tc>
        <w:tc>
          <w:tcPr>
            <w:tcW w:w="1464" w:type="dxa"/>
          </w:tcPr>
          <w:p w:rsidR="00576551" w:rsidRPr="00576551" w:rsidRDefault="00576551" w:rsidP="00722E32">
            <w:pPr>
              <w:ind w:firstLine="0"/>
              <w:rPr>
                <w:rtl/>
              </w:rPr>
            </w:pPr>
            <w:r w:rsidRPr="00576551">
              <w:rPr>
                <w:rFonts w:hint="cs"/>
                <w:rtl/>
              </w:rPr>
              <w:t xml:space="preserve"> </w:t>
            </w:r>
            <w:r w:rsidR="00722E32">
              <w:rPr>
                <w:rFonts w:hint="cs"/>
                <w:rtl/>
              </w:rPr>
              <w:t>54, 238</w:t>
            </w:r>
          </w:p>
        </w:tc>
      </w:tr>
      <w:tr w:rsidR="00576551" w:rsidRPr="00576551" w:rsidTr="00927865">
        <w:trPr>
          <w:trHeight w:val="501"/>
        </w:trPr>
        <w:tc>
          <w:tcPr>
            <w:tcW w:w="654" w:type="dxa"/>
          </w:tcPr>
          <w:p w:rsidR="00576551" w:rsidRPr="00576551" w:rsidRDefault="00576551" w:rsidP="00576551">
            <w:pPr>
              <w:ind w:firstLine="0"/>
              <w:rPr>
                <w:rtl/>
              </w:rPr>
            </w:pPr>
            <w:r w:rsidRPr="00576551">
              <w:rPr>
                <w:rFonts w:hint="cs"/>
                <w:rtl/>
              </w:rPr>
              <w:t>52</w:t>
            </w:r>
          </w:p>
        </w:tc>
        <w:tc>
          <w:tcPr>
            <w:tcW w:w="5448" w:type="dxa"/>
          </w:tcPr>
          <w:p w:rsidR="00576551" w:rsidRPr="00576551" w:rsidRDefault="00576551" w:rsidP="00576551">
            <w:pPr>
              <w:ind w:firstLine="0"/>
              <w:rPr>
                <w:rFonts w:eastAsia="Calibri"/>
                <w:sz w:val="28"/>
                <w:szCs w:val="28"/>
                <w:vertAlign w:val="superscript"/>
                <w:rtl/>
              </w:rPr>
            </w:pPr>
            <w:r w:rsidRPr="00576551">
              <w:rPr>
                <w:rFonts w:ascii="QCF_BSML" w:hAnsi="QCF_BSML" w:cs="QCF_BSML"/>
                <w:sz w:val="28"/>
                <w:szCs w:val="28"/>
                <w:rtl/>
              </w:rPr>
              <w:t>ﭽ</w:t>
            </w:r>
            <w:r w:rsidRPr="00576551">
              <w:rPr>
                <w:rFonts w:ascii="QCF_BSML" w:hAnsi="QCF_BSML" w:cs="QCF_BSML" w:hint="cs"/>
                <w:sz w:val="28"/>
                <w:szCs w:val="28"/>
                <w:rtl/>
              </w:rPr>
              <w:t xml:space="preserve"> </w:t>
            </w:r>
            <w:r w:rsidRPr="00576551">
              <w:rPr>
                <w:rFonts w:ascii="QCF_P427" w:eastAsia="Calibri" w:hAnsi="QCF_P427" w:cs="QCF_P427"/>
                <w:color w:val="auto"/>
                <w:sz w:val="28"/>
                <w:szCs w:val="28"/>
                <w:rtl/>
              </w:rPr>
              <w:t>ﮥ ﮦ ﮧ ﮨ ﮩ ﮪ ﮫ ﮬ ﮭ</w:t>
            </w:r>
            <w:r w:rsidRPr="00576551">
              <w:rPr>
                <w:rFonts w:ascii="Traditional Arabic" w:eastAsia="Calibri" w:hAnsi="Traditional Arabic"/>
                <w:color w:val="auto"/>
                <w:sz w:val="28"/>
                <w:szCs w:val="28"/>
                <w:rtl/>
              </w:rPr>
              <w:fldChar w:fldCharType="begin"/>
            </w:r>
            <w:r w:rsidRPr="00576551">
              <w:rPr>
                <w:rFonts w:ascii="Traditional Arabic" w:eastAsia="Calibri" w:hAnsi="Traditional Arabic"/>
                <w:color w:val="auto"/>
                <w:sz w:val="28"/>
                <w:szCs w:val="28"/>
              </w:rPr>
              <w:instrText xml:space="preserve"> XE "</w:instrText>
            </w:r>
            <w:r w:rsidRPr="00576551">
              <w:rPr>
                <w:rFonts w:ascii="Tahoma" w:eastAsia="Calibri" w:hAnsi="Tahoma" w:cs="Tahoma" w:hint="cs"/>
                <w:color w:val="00FF00"/>
                <w:sz w:val="28"/>
                <w:szCs w:val="28"/>
                <w:rtl/>
              </w:rPr>
              <w:instrText>[]-</w:instrText>
            </w:r>
            <w:r w:rsidRPr="00576551">
              <w:rPr>
                <w:rFonts w:ascii="Tahoma" w:eastAsia="Calibri" w:hAnsi="Tahoma" w:cs="Tahoma"/>
                <w:color w:val="FF6600"/>
                <w:sz w:val="28"/>
                <w:szCs w:val="28"/>
                <w:rtl/>
              </w:rPr>
              <w:instrText>[</w:instrText>
            </w:r>
            <w:r w:rsidRPr="00576551">
              <w:rPr>
                <w:rFonts w:ascii="Tahoma" w:eastAsia="Calibri" w:hAnsi="Tahoma" w:cs="Tahoma" w:hint="cs"/>
                <w:color w:val="FF6600"/>
                <w:sz w:val="28"/>
                <w:szCs w:val="28"/>
                <w:rtl/>
              </w:rPr>
              <w:instrText>001</w:instrText>
            </w:r>
            <w:r w:rsidRPr="00576551">
              <w:rPr>
                <w:rFonts w:ascii="Tahoma" w:eastAsia="Calibri" w:hAnsi="Tahoma" w:cs="Tahoma"/>
                <w:color w:val="FF6600"/>
                <w:sz w:val="28"/>
                <w:szCs w:val="28"/>
              </w:rPr>
              <w:instrText>\</w:instrText>
            </w:r>
            <w:r w:rsidRPr="00576551">
              <w:rPr>
                <w:rFonts w:ascii="Tahoma" w:eastAsia="Calibri" w:hAnsi="Tahoma" w:cs="Tahoma" w:hint="cs"/>
                <w:color w:val="FF6600"/>
                <w:sz w:val="28"/>
                <w:szCs w:val="28"/>
                <w:rtl/>
              </w:rPr>
              <w:instrText>:</w:instrText>
            </w:r>
            <w:r w:rsidRPr="00576551">
              <w:rPr>
                <w:rFonts w:ascii="Tahoma" w:eastAsia="Calibri" w:hAnsi="Tahoma" w:cs="Tahoma"/>
                <w:color w:val="FF6600"/>
                <w:sz w:val="28"/>
                <w:szCs w:val="28"/>
                <w:rtl/>
              </w:rPr>
              <w:instrText>]</w:instrText>
            </w:r>
            <w:r w:rsidRPr="00576551">
              <w:rPr>
                <w:rFonts w:ascii="Traditional Arabic" w:eastAsia="Calibri" w:hAnsi="Traditional Arabic" w:hint="cs"/>
                <w:color w:val="FF00FF"/>
                <w:sz w:val="28"/>
                <w:szCs w:val="28"/>
                <w:rtl/>
              </w:rPr>
              <w:instrText>001-</w:instrText>
            </w:r>
            <w:r w:rsidRPr="00576551">
              <w:rPr>
                <w:rFonts w:ascii="Traditional Arabic" w:eastAsia="Calibri" w:hAnsi="Traditional Arabic"/>
                <w:color w:val="auto"/>
                <w:sz w:val="28"/>
                <w:szCs w:val="28"/>
              </w:rPr>
              <w:instrText xml:space="preserve">" </w:instrText>
            </w:r>
            <w:r w:rsidRPr="00576551">
              <w:rPr>
                <w:rFonts w:ascii="Traditional Arabic" w:eastAsia="Calibri" w:hAnsi="Traditional Arabic"/>
                <w:color w:val="auto"/>
                <w:sz w:val="28"/>
                <w:szCs w:val="28"/>
                <w:rtl/>
              </w:rPr>
              <w:fldChar w:fldCharType="end"/>
            </w:r>
            <w:r w:rsidRPr="00576551">
              <w:rPr>
                <w:rFonts w:ascii="QCF_P427" w:eastAsia="Calibri" w:hAnsi="QCF_P427" w:cs="QCF_P427"/>
                <w:color w:val="auto"/>
                <w:sz w:val="28"/>
                <w:szCs w:val="28"/>
                <w:rtl/>
              </w:rPr>
              <w:t xml:space="preserve"> ﮮ  ﮯ ﮰ ﮱ ﯓ  ﯔﯕ ﯖ ﯗ ﯘ ﯙ  ﯚ ﯛ  ﯜ ﯝ</w:t>
            </w:r>
            <w:r w:rsidRPr="00576551">
              <w:rPr>
                <w:rFonts w:ascii="QCF_BSML" w:hAnsi="QCF_BSML" w:cs="QCF_BSML"/>
                <w:sz w:val="28"/>
                <w:szCs w:val="28"/>
                <w:rtl/>
              </w:rPr>
              <w:t>ﭼ</w:t>
            </w:r>
            <w:r w:rsidRPr="00576551">
              <w:rPr>
                <w:rFonts w:ascii="Traditional Arabic" w:hAnsi="Traditional Arabic" w:hint="cs"/>
                <w:sz w:val="28"/>
                <w:szCs w:val="28"/>
                <w:rtl/>
              </w:rPr>
              <w:t xml:space="preserve"> </w:t>
            </w:r>
          </w:p>
        </w:tc>
        <w:tc>
          <w:tcPr>
            <w:tcW w:w="1039" w:type="dxa"/>
          </w:tcPr>
          <w:p w:rsidR="00576551" w:rsidRPr="00576551" w:rsidRDefault="00576551" w:rsidP="00576551">
            <w:pPr>
              <w:ind w:firstLine="0"/>
              <w:rPr>
                <w:rtl/>
              </w:rPr>
            </w:pPr>
            <w:r w:rsidRPr="00576551">
              <w:rPr>
                <w:rFonts w:hint="cs"/>
                <w:rtl/>
              </w:rPr>
              <w:t>الأحزاب</w:t>
            </w:r>
          </w:p>
        </w:tc>
        <w:tc>
          <w:tcPr>
            <w:tcW w:w="715" w:type="dxa"/>
          </w:tcPr>
          <w:p w:rsidR="00576551" w:rsidRPr="00576551" w:rsidRDefault="00576551" w:rsidP="00722E32">
            <w:pPr>
              <w:ind w:firstLine="0"/>
              <w:rPr>
                <w:rtl/>
              </w:rPr>
            </w:pPr>
            <w:r w:rsidRPr="00576551">
              <w:rPr>
                <w:rFonts w:hint="cs"/>
                <w:rtl/>
              </w:rPr>
              <w:t>70</w:t>
            </w:r>
            <w:r w:rsidR="00722E32">
              <w:rPr>
                <w:rFonts w:hint="cs"/>
                <w:rtl/>
              </w:rPr>
              <w:t xml:space="preserve">, </w:t>
            </w:r>
            <w:r w:rsidRPr="00576551">
              <w:rPr>
                <w:rFonts w:hint="cs"/>
                <w:rtl/>
              </w:rPr>
              <w:t>71</w:t>
            </w:r>
          </w:p>
        </w:tc>
        <w:tc>
          <w:tcPr>
            <w:tcW w:w="1464" w:type="dxa"/>
          </w:tcPr>
          <w:p w:rsidR="00576551" w:rsidRPr="00576551" w:rsidRDefault="007925F6" w:rsidP="00576551">
            <w:pPr>
              <w:ind w:firstLine="0"/>
              <w:rPr>
                <w:rtl/>
              </w:rPr>
            </w:pPr>
            <w:r>
              <w:rPr>
                <w:rFonts w:hint="cs"/>
                <w:rtl/>
              </w:rPr>
              <w:t xml:space="preserve"> </w:t>
            </w:r>
            <w:r w:rsidR="00576551" w:rsidRPr="00576551">
              <w:rPr>
                <w:rFonts w:hint="cs"/>
                <w:rtl/>
              </w:rPr>
              <w:t xml:space="preserve">  4</w:t>
            </w:r>
          </w:p>
        </w:tc>
      </w:tr>
      <w:tr w:rsidR="00576551" w:rsidRPr="00576551" w:rsidTr="00927865">
        <w:tc>
          <w:tcPr>
            <w:tcW w:w="654" w:type="dxa"/>
          </w:tcPr>
          <w:p w:rsidR="00576551" w:rsidRPr="00576551" w:rsidRDefault="00576551" w:rsidP="00576551">
            <w:pPr>
              <w:ind w:firstLine="0"/>
              <w:rPr>
                <w:rtl/>
              </w:rPr>
            </w:pPr>
            <w:r w:rsidRPr="00576551">
              <w:rPr>
                <w:rFonts w:hint="cs"/>
                <w:rtl/>
              </w:rPr>
              <w:t>53</w:t>
            </w:r>
          </w:p>
        </w:tc>
        <w:tc>
          <w:tcPr>
            <w:tcW w:w="5448" w:type="dxa"/>
          </w:tcPr>
          <w:p w:rsidR="00576551" w:rsidRPr="00576551" w:rsidRDefault="00576551" w:rsidP="00576551">
            <w:pPr>
              <w:ind w:firstLine="0"/>
              <w:rPr>
                <w:sz w:val="28"/>
                <w:szCs w:val="28"/>
                <w:rtl/>
              </w:rPr>
            </w:pPr>
            <w:r w:rsidRPr="00576551">
              <w:rPr>
                <w:rFonts w:ascii="QCF_BSML" w:hAnsi="QCF_BSML" w:cs="QCF_BSML"/>
                <w:sz w:val="28"/>
                <w:szCs w:val="28"/>
                <w:rtl/>
                <w:lang w:eastAsia="en-US"/>
              </w:rPr>
              <w:t>ﭽ</w:t>
            </w:r>
            <w:r w:rsidRPr="00576551">
              <w:rPr>
                <w:rFonts w:ascii="QCF_P466" w:hAnsi="QCF_P466" w:cs="QCF_P466"/>
                <w:sz w:val="28"/>
                <w:szCs w:val="28"/>
                <w:rtl/>
                <w:lang w:eastAsia="en-US"/>
              </w:rPr>
              <w:t>ﮍ  ﮎ</w:t>
            </w:r>
            <w:r w:rsidRPr="00576551">
              <w:rPr>
                <w:rFonts w:ascii="QCF_BSML" w:hAnsi="QCF_BSML" w:cs="QCF_BSML"/>
                <w:sz w:val="28"/>
                <w:szCs w:val="28"/>
                <w:rtl/>
                <w:lang w:eastAsia="en-US"/>
              </w:rPr>
              <w:t>ﭼ</w:t>
            </w:r>
          </w:p>
        </w:tc>
        <w:tc>
          <w:tcPr>
            <w:tcW w:w="1039" w:type="dxa"/>
            <w:vMerge w:val="restart"/>
          </w:tcPr>
          <w:p w:rsidR="00576551" w:rsidRPr="00576551" w:rsidRDefault="00576551" w:rsidP="00576551">
            <w:pPr>
              <w:ind w:firstLine="0"/>
              <w:rPr>
                <w:rtl/>
              </w:rPr>
            </w:pPr>
          </w:p>
          <w:p w:rsidR="00576551" w:rsidRPr="00576551" w:rsidRDefault="00576551" w:rsidP="00576551">
            <w:pPr>
              <w:ind w:firstLine="0"/>
              <w:rPr>
                <w:rtl/>
              </w:rPr>
            </w:pPr>
            <w:r w:rsidRPr="00576551">
              <w:rPr>
                <w:rFonts w:hint="cs"/>
                <w:rtl/>
              </w:rPr>
              <w:t xml:space="preserve">  الزمر</w:t>
            </w:r>
          </w:p>
        </w:tc>
        <w:tc>
          <w:tcPr>
            <w:tcW w:w="715" w:type="dxa"/>
          </w:tcPr>
          <w:p w:rsidR="00576551" w:rsidRPr="00576551" w:rsidRDefault="00576551" w:rsidP="00576551">
            <w:pPr>
              <w:ind w:firstLine="0"/>
              <w:rPr>
                <w:rtl/>
              </w:rPr>
            </w:pPr>
            <w:r w:rsidRPr="00576551">
              <w:rPr>
                <w:rFonts w:hint="cs"/>
                <w:rtl/>
              </w:rPr>
              <w:t xml:space="preserve"> 71</w:t>
            </w:r>
          </w:p>
        </w:tc>
        <w:tc>
          <w:tcPr>
            <w:tcW w:w="1464" w:type="dxa"/>
          </w:tcPr>
          <w:p w:rsidR="00576551" w:rsidRPr="00576551" w:rsidRDefault="007925F6" w:rsidP="00576551">
            <w:pPr>
              <w:ind w:firstLine="0"/>
              <w:rPr>
                <w:rtl/>
              </w:rPr>
            </w:pPr>
            <w:r>
              <w:rPr>
                <w:rFonts w:hint="cs"/>
                <w:rtl/>
              </w:rPr>
              <w:t xml:space="preserve"> </w:t>
            </w:r>
            <w:r w:rsidR="00576551" w:rsidRPr="00576551">
              <w:rPr>
                <w:rFonts w:hint="cs"/>
                <w:rtl/>
              </w:rPr>
              <w:t xml:space="preserve"> 193</w:t>
            </w:r>
          </w:p>
        </w:tc>
      </w:tr>
      <w:tr w:rsidR="00576551" w:rsidRPr="00576551" w:rsidTr="00927865">
        <w:tc>
          <w:tcPr>
            <w:tcW w:w="654" w:type="dxa"/>
          </w:tcPr>
          <w:p w:rsidR="00576551" w:rsidRPr="00576551" w:rsidRDefault="00576551" w:rsidP="00576551">
            <w:pPr>
              <w:ind w:firstLine="0"/>
              <w:rPr>
                <w:rtl/>
              </w:rPr>
            </w:pPr>
            <w:r w:rsidRPr="00576551">
              <w:rPr>
                <w:rFonts w:hint="cs"/>
                <w:rtl/>
              </w:rPr>
              <w:t>54</w:t>
            </w:r>
          </w:p>
        </w:tc>
        <w:tc>
          <w:tcPr>
            <w:tcW w:w="5448" w:type="dxa"/>
          </w:tcPr>
          <w:p w:rsidR="00576551" w:rsidRPr="00576551" w:rsidRDefault="00576551" w:rsidP="00576551">
            <w:pPr>
              <w:ind w:firstLine="0"/>
              <w:rPr>
                <w:sz w:val="28"/>
                <w:szCs w:val="28"/>
                <w:rtl/>
              </w:rPr>
            </w:pPr>
            <w:r w:rsidRPr="00576551">
              <w:rPr>
                <w:rFonts w:ascii="QCF_BSML" w:hAnsi="QCF_BSML" w:cs="QCF_BSML"/>
                <w:sz w:val="28"/>
                <w:szCs w:val="28"/>
                <w:rtl/>
                <w:lang w:eastAsia="en-US"/>
              </w:rPr>
              <w:t>ﭽ</w:t>
            </w:r>
            <w:r w:rsidRPr="00576551">
              <w:rPr>
                <w:rFonts w:ascii="QCF_P466" w:hAnsi="QCF_P466" w:cs="QCF_P466"/>
                <w:sz w:val="28"/>
                <w:szCs w:val="28"/>
                <w:rtl/>
                <w:lang w:eastAsia="en-US"/>
              </w:rPr>
              <w:t xml:space="preserve">ﯟ  ﯠ  </w:t>
            </w:r>
            <w:r w:rsidRPr="00576551">
              <w:rPr>
                <w:rFonts w:ascii="QCF_BSML" w:hAnsi="QCF_BSML" w:cs="QCF_BSML"/>
                <w:sz w:val="28"/>
                <w:szCs w:val="28"/>
                <w:rtl/>
                <w:lang w:eastAsia="en-US"/>
              </w:rPr>
              <w:t>ﭼ</w:t>
            </w:r>
          </w:p>
        </w:tc>
        <w:tc>
          <w:tcPr>
            <w:tcW w:w="1039" w:type="dxa"/>
            <w:vMerge/>
          </w:tcPr>
          <w:p w:rsidR="00576551" w:rsidRPr="00576551" w:rsidRDefault="00576551" w:rsidP="00576551">
            <w:pPr>
              <w:ind w:firstLine="0"/>
              <w:rPr>
                <w:rtl/>
              </w:rPr>
            </w:pPr>
          </w:p>
        </w:tc>
        <w:tc>
          <w:tcPr>
            <w:tcW w:w="715" w:type="dxa"/>
          </w:tcPr>
          <w:p w:rsidR="00576551" w:rsidRPr="00576551" w:rsidRDefault="00576551" w:rsidP="00576551">
            <w:pPr>
              <w:ind w:firstLine="0"/>
              <w:rPr>
                <w:rtl/>
              </w:rPr>
            </w:pPr>
            <w:r w:rsidRPr="00576551">
              <w:rPr>
                <w:rFonts w:hint="cs"/>
                <w:rtl/>
              </w:rPr>
              <w:t xml:space="preserve"> 73</w:t>
            </w:r>
          </w:p>
        </w:tc>
        <w:tc>
          <w:tcPr>
            <w:tcW w:w="1464" w:type="dxa"/>
          </w:tcPr>
          <w:p w:rsidR="00576551" w:rsidRPr="00576551" w:rsidRDefault="007925F6" w:rsidP="00576551">
            <w:pPr>
              <w:ind w:firstLine="0"/>
              <w:rPr>
                <w:rtl/>
              </w:rPr>
            </w:pPr>
            <w:r>
              <w:rPr>
                <w:rFonts w:hint="cs"/>
                <w:rtl/>
              </w:rPr>
              <w:t xml:space="preserve"> </w:t>
            </w:r>
            <w:r w:rsidR="00576551" w:rsidRPr="00576551">
              <w:rPr>
                <w:rFonts w:hint="cs"/>
                <w:rtl/>
              </w:rPr>
              <w:t xml:space="preserve"> 193</w:t>
            </w:r>
          </w:p>
        </w:tc>
      </w:tr>
      <w:tr w:rsidR="00576551" w:rsidRPr="00576551" w:rsidTr="00927865">
        <w:tc>
          <w:tcPr>
            <w:tcW w:w="654" w:type="dxa"/>
          </w:tcPr>
          <w:p w:rsidR="00576551" w:rsidRPr="00576551" w:rsidRDefault="00576551" w:rsidP="00576551">
            <w:pPr>
              <w:ind w:firstLine="0"/>
              <w:rPr>
                <w:rtl/>
              </w:rPr>
            </w:pPr>
            <w:r w:rsidRPr="00576551">
              <w:rPr>
                <w:rFonts w:hint="cs"/>
                <w:rtl/>
              </w:rPr>
              <w:t>55</w:t>
            </w:r>
          </w:p>
        </w:tc>
        <w:tc>
          <w:tcPr>
            <w:tcW w:w="5448" w:type="dxa"/>
          </w:tcPr>
          <w:p w:rsidR="00576551" w:rsidRPr="00576551" w:rsidRDefault="00576551" w:rsidP="00576551">
            <w:pPr>
              <w:ind w:firstLine="0"/>
              <w:rPr>
                <w:sz w:val="28"/>
                <w:szCs w:val="28"/>
                <w:rtl/>
              </w:rPr>
            </w:pPr>
            <w:r w:rsidRPr="00576551">
              <w:rPr>
                <w:rFonts w:ascii="QCF_BSML" w:hAnsi="QCF_BSML" w:cs="QCF_BSML"/>
                <w:sz w:val="28"/>
                <w:szCs w:val="28"/>
                <w:rtl/>
                <w:lang w:eastAsia="en-US"/>
              </w:rPr>
              <w:t xml:space="preserve">ﭽ </w:t>
            </w:r>
            <w:r w:rsidRPr="00576551">
              <w:rPr>
                <w:rFonts w:ascii="QCF_P467" w:hAnsi="QCF_P467" w:cs="QCF_P467"/>
                <w:sz w:val="28"/>
                <w:szCs w:val="28"/>
                <w:rtl/>
                <w:lang w:eastAsia="en-US"/>
              </w:rPr>
              <w:t xml:space="preserve">ﭓ  ﭔ  ﭕ  ﭖ  </w:t>
            </w:r>
            <w:r w:rsidRPr="00576551">
              <w:rPr>
                <w:rFonts w:ascii="QCF_BSML" w:hAnsi="QCF_BSML" w:cs="QCF_BSML"/>
                <w:sz w:val="28"/>
                <w:szCs w:val="28"/>
                <w:rtl/>
                <w:lang w:eastAsia="en-US"/>
              </w:rPr>
              <w:t>ﭼ</w:t>
            </w:r>
            <w:r w:rsidRPr="00576551">
              <w:rPr>
                <w:rFonts w:ascii="Arial" w:hAnsi="Arial" w:cs="Arial"/>
                <w:sz w:val="28"/>
                <w:szCs w:val="28"/>
                <w:rtl/>
                <w:lang w:eastAsia="en-US"/>
              </w:rPr>
              <w:t xml:space="preserve"> </w:t>
            </w:r>
          </w:p>
        </w:tc>
        <w:tc>
          <w:tcPr>
            <w:tcW w:w="1039" w:type="dxa"/>
            <w:vMerge/>
          </w:tcPr>
          <w:p w:rsidR="00576551" w:rsidRPr="00576551" w:rsidRDefault="00576551" w:rsidP="00576551">
            <w:pPr>
              <w:ind w:firstLine="0"/>
              <w:rPr>
                <w:rtl/>
              </w:rPr>
            </w:pPr>
          </w:p>
        </w:tc>
        <w:tc>
          <w:tcPr>
            <w:tcW w:w="715" w:type="dxa"/>
          </w:tcPr>
          <w:p w:rsidR="00576551" w:rsidRPr="00576551" w:rsidRDefault="00576551" w:rsidP="00576551">
            <w:pPr>
              <w:ind w:firstLine="0"/>
              <w:rPr>
                <w:rtl/>
              </w:rPr>
            </w:pPr>
            <w:r w:rsidRPr="00576551">
              <w:rPr>
                <w:rFonts w:hint="cs"/>
                <w:rtl/>
              </w:rPr>
              <w:t xml:space="preserve"> 75</w:t>
            </w:r>
          </w:p>
        </w:tc>
        <w:tc>
          <w:tcPr>
            <w:tcW w:w="1464" w:type="dxa"/>
          </w:tcPr>
          <w:p w:rsidR="00576551" w:rsidRPr="00576551" w:rsidRDefault="007925F6" w:rsidP="00576551">
            <w:pPr>
              <w:ind w:firstLine="0"/>
              <w:rPr>
                <w:rtl/>
              </w:rPr>
            </w:pPr>
            <w:r>
              <w:rPr>
                <w:rFonts w:hint="cs"/>
                <w:rtl/>
              </w:rPr>
              <w:t xml:space="preserve"> </w:t>
            </w:r>
            <w:r w:rsidR="00576551" w:rsidRPr="00576551">
              <w:rPr>
                <w:rFonts w:hint="cs"/>
                <w:rtl/>
              </w:rPr>
              <w:t xml:space="preserve"> 214</w:t>
            </w:r>
          </w:p>
        </w:tc>
      </w:tr>
      <w:tr w:rsidR="00576551" w:rsidRPr="00576551" w:rsidTr="00927865">
        <w:tc>
          <w:tcPr>
            <w:tcW w:w="654" w:type="dxa"/>
          </w:tcPr>
          <w:p w:rsidR="00576551" w:rsidRPr="00576551" w:rsidRDefault="00576551" w:rsidP="00576551">
            <w:pPr>
              <w:ind w:firstLine="0"/>
              <w:rPr>
                <w:rtl/>
              </w:rPr>
            </w:pPr>
            <w:r w:rsidRPr="00576551">
              <w:rPr>
                <w:rFonts w:hint="cs"/>
                <w:rtl/>
              </w:rPr>
              <w:t>56</w:t>
            </w:r>
          </w:p>
        </w:tc>
        <w:tc>
          <w:tcPr>
            <w:tcW w:w="5448" w:type="dxa"/>
          </w:tcPr>
          <w:p w:rsidR="00576551" w:rsidRPr="00576551" w:rsidRDefault="00576551" w:rsidP="00576551">
            <w:pPr>
              <w:ind w:firstLine="0"/>
              <w:rPr>
                <w:sz w:val="28"/>
                <w:szCs w:val="28"/>
                <w:rtl/>
              </w:rPr>
            </w:pPr>
            <w:r w:rsidRPr="00576551">
              <w:rPr>
                <w:rFonts w:ascii="QCF_BSML" w:hAnsi="QCF_BSML" w:cs="QCF_BSML"/>
                <w:sz w:val="28"/>
                <w:szCs w:val="28"/>
                <w:rtl/>
                <w:lang w:eastAsia="en-US"/>
              </w:rPr>
              <w:t xml:space="preserve">ﭽ </w:t>
            </w:r>
            <w:r w:rsidRPr="00576551">
              <w:rPr>
                <w:rFonts w:ascii="QCF_P481" w:hAnsi="QCF_P481" w:cs="QCF_P481"/>
                <w:sz w:val="28"/>
                <w:szCs w:val="28"/>
                <w:rtl/>
                <w:lang w:eastAsia="en-US"/>
              </w:rPr>
              <w:t>ﭿ  ﮀ  ﮁ</w:t>
            </w:r>
            <w:r w:rsidRPr="00576551">
              <w:rPr>
                <w:rFonts w:ascii="QCF_BSML" w:hAnsi="QCF_BSML" w:cs="QCF_BSML"/>
                <w:sz w:val="28"/>
                <w:szCs w:val="28"/>
                <w:rtl/>
                <w:lang w:eastAsia="en-US"/>
              </w:rPr>
              <w:t>ﭼ</w:t>
            </w:r>
            <w:r w:rsidRPr="00576551">
              <w:rPr>
                <w:color w:val="0D0D0D"/>
                <w:sz w:val="28"/>
                <w:szCs w:val="28"/>
                <w:rtl/>
              </w:rPr>
              <w:t xml:space="preserve"> </w:t>
            </w:r>
          </w:p>
        </w:tc>
        <w:tc>
          <w:tcPr>
            <w:tcW w:w="1039" w:type="dxa"/>
          </w:tcPr>
          <w:p w:rsidR="00576551" w:rsidRPr="00576551" w:rsidRDefault="00576551" w:rsidP="00576551">
            <w:pPr>
              <w:ind w:firstLine="0"/>
              <w:rPr>
                <w:rtl/>
              </w:rPr>
            </w:pPr>
            <w:r w:rsidRPr="00576551">
              <w:rPr>
                <w:rFonts w:hint="cs"/>
                <w:rtl/>
              </w:rPr>
              <w:t xml:space="preserve"> فصلت</w:t>
            </w:r>
          </w:p>
        </w:tc>
        <w:tc>
          <w:tcPr>
            <w:tcW w:w="715" w:type="dxa"/>
          </w:tcPr>
          <w:p w:rsidR="00576551" w:rsidRPr="00576551" w:rsidRDefault="00576551" w:rsidP="00576551">
            <w:pPr>
              <w:ind w:firstLine="0"/>
              <w:rPr>
                <w:rtl/>
              </w:rPr>
            </w:pPr>
            <w:r w:rsidRPr="00576551">
              <w:rPr>
                <w:rFonts w:hint="cs"/>
                <w:rtl/>
              </w:rPr>
              <w:t xml:space="preserve"> 40</w:t>
            </w:r>
          </w:p>
        </w:tc>
        <w:tc>
          <w:tcPr>
            <w:tcW w:w="1464" w:type="dxa"/>
          </w:tcPr>
          <w:p w:rsidR="00576551" w:rsidRPr="00576551" w:rsidRDefault="007925F6" w:rsidP="00576551">
            <w:pPr>
              <w:ind w:firstLine="0"/>
              <w:rPr>
                <w:rtl/>
              </w:rPr>
            </w:pPr>
            <w:r>
              <w:rPr>
                <w:rFonts w:hint="cs"/>
                <w:rtl/>
              </w:rPr>
              <w:t xml:space="preserve"> </w:t>
            </w:r>
            <w:r w:rsidR="00576551" w:rsidRPr="00576551">
              <w:rPr>
                <w:rFonts w:hint="cs"/>
                <w:rtl/>
              </w:rPr>
              <w:t xml:space="preserve"> 104</w:t>
            </w:r>
          </w:p>
        </w:tc>
      </w:tr>
      <w:tr w:rsidR="00576551" w:rsidRPr="00576551" w:rsidTr="00927865">
        <w:tc>
          <w:tcPr>
            <w:tcW w:w="654" w:type="dxa"/>
          </w:tcPr>
          <w:p w:rsidR="00576551" w:rsidRPr="00576551" w:rsidRDefault="00576551" w:rsidP="00576551">
            <w:pPr>
              <w:ind w:firstLine="0"/>
              <w:rPr>
                <w:rtl/>
              </w:rPr>
            </w:pPr>
            <w:r w:rsidRPr="00576551">
              <w:rPr>
                <w:rFonts w:hint="cs"/>
                <w:rtl/>
              </w:rPr>
              <w:t>57</w:t>
            </w:r>
          </w:p>
        </w:tc>
        <w:tc>
          <w:tcPr>
            <w:tcW w:w="5448" w:type="dxa"/>
          </w:tcPr>
          <w:p w:rsidR="00576551" w:rsidRPr="00576551" w:rsidRDefault="00576551" w:rsidP="00576551">
            <w:pPr>
              <w:ind w:firstLine="0"/>
              <w:rPr>
                <w:sz w:val="28"/>
                <w:szCs w:val="28"/>
                <w:rtl/>
              </w:rPr>
            </w:pPr>
            <w:r w:rsidRPr="00576551">
              <w:rPr>
                <w:rFonts w:ascii="QCF_BSML" w:hAnsi="QCF_BSML" w:cs="QCF_BSML"/>
                <w:sz w:val="28"/>
                <w:szCs w:val="28"/>
                <w:rtl/>
                <w:lang w:eastAsia="en-US"/>
              </w:rPr>
              <w:t xml:space="preserve">ﭽ </w:t>
            </w:r>
            <w:r w:rsidRPr="00576551">
              <w:rPr>
                <w:rFonts w:ascii="QCF_P493" w:hAnsi="QCF_P493" w:cs="QCF_P493"/>
                <w:sz w:val="28"/>
                <w:szCs w:val="28"/>
                <w:rtl/>
                <w:lang w:eastAsia="en-US"/>
              </w:rPr>
              <w:t>ﭑ  ﭒ  ﭓ  ﭔ  ﭕ  ﭖ  ﭗ  ﭘ  ﭙ</w:t>
            </w:r>
            <w:r w:rsidRPr="00576551">
              <w:rPr>
                <w:rFonts w:ascii="QCF_BSML" w:hAnsi="QCF_BSML" w:cs="QCF_BSML"/>
                <w:sz w:val="28"/>
                <w:szCs w:val="28"/>
                <w:rtl/>
                <w:lang w:eastAsia="en-US"/>
              </w:rPr>
              <w:t>ﭼ</w:t>
            </w:r>
          </w:p>
        </w:tc>
        <w:tc>
          <w:tcPr>
            <w:tcW w:w="1039" w:type="dxa"/>
          </w:tcPr>
          <w:p w:rsidR="00576551" w:rsidRPr="00576551" w:rsidRDefault="00576551" w:rsidP="00576551">
            <w:pPr>
              <w:ind w:firstLine="0"/>
              <w:rPr>
                <w:rtl/>
              </w:rPr>
            </w:pPr>
            <w:r w:rsidRPr="00576551">
              <w:rPr>
                <w:rFonts w:hint="cs"/>
                <w:rtl/>
              </w:rPr>
              <w:t xml:space="preserve"> الزخرف</w:t>
            </w:r>
          </w:p>
        </w:tc>
        <w:tc>
          <w:tcPr>
            <w:tcW w:w="715" w:type="dxa"/>
          </w:tcPr>
          <w:p w:rsidR="00576551" w:rsidRPr="00576551" w:rsidRDefault="00576551" w:rsidP="00576551">
            <w:pPr>
              <w:ind w:firstLine="0"/>
              <w:rPr>
                <w:rtl/>
              </w:rPr>
            </w:pPr>
            <w:r w:rsidRPr="00576551">
              <w:rPr>
                <w:rFonts w:hint="cs"/>
                <w:rtl/>
              </w:rPr>
              <w:t xml:space="preserve"> 48</w:t>
            </w:r>
          </w:p>
        </w:tc>
        <w:tc>
          <w:tcPr>
            <w:tcW w:w="1464" w:type="dxa"/>
          </w:tcPr>
          <w:p w:rsidR="00576551" w:rsidRPr="00576551" w:rsidRDefault="007925F6" w:rsidP="00576551">
            <w:pPr>
              <w:ind w:firstLine="0"/>
              <w:rPr>
                <w:rtl/>
              </w:rPr>
            </w:pPr>
            <w:r>
              <w:rPr>
                <w:rFonts w:hint="cs"/>
                <w:rtl/>
              </w:rPr>
              <w:t xml:space="preserve"> </w:t>
            </w:r>
            <w:r w:rsidR="00576551" w:rsidRPr="00576551">
              <w:rPr>
                <w:rFonts w:hint="cs"/>
                <w:rtl/>
              </w:rPr>
              <w:t xml:space="preserve"> 320</w:t>
            </w:r>
          </w:p>
        </w:tc>
      </w:tr>
      <w:tr w:rsidR="00576551" w:rsidRPr="00576551" w:rsidTr="00927865">
        <w:tc>
          <w:tcPr>
            <w:tcW w:w="654" w:type="dxa"/>
          </w:tcPr>
          <w:p w:rsidR="00576551" w:rsidRPr="00576551" w:rsidRDefault="00576551" w:rsidP="00576551">
            <w:pPr>
              <w:ind w:firstLine="0"/>
              <w:rPr>
                <w:rtl/>
              </w:rPr>
            </w:pPr>
            <w:r w:rsidRPr="00576551">
              <w:rPr>
                <w:rFonts w:hint="cs"/>
                <w:rtl/>
              </w:rPr>
              <w:t>58</w:t>
            </w:r>
          </w:p>
        </w:tc>
        <w:tc>
          <w:tcPr>
            <w:tcW w:w="5448" w:type="dxa"/>
          </w:tcPr>
          <w:p w:rsidR="00576551" w:rsidRPr="00576551" w:rsidRDefault="00576551" w:rsidP="00576551">
            <w:pPr>
              <w:ind w:firstLine="0"/>
              <w:rPr>
                <w:rFonts w:eastAsia="Calibri"/>
                <w:sz w:val="28"/>
                <w:szCs w:val="28"/>
                <w:vertAlign w:val="superscript"/>
                <w:rtl/>
              </w:rPr>
            </w:pPr>
            <w:r w:rsidRPr="00576551">
              <w:rPr>
                <w:rFonts w:ascii="QCF_BSML" w:hAnsi="QCF_BSML" w:cs="QCF_BSML"/>
                <w:sz w:val="28"/>
                <w:szCs w:val="28"/>
                <w:rtl/>
                <w:lang w:eastAsia="en-US"/>
              </w:rPr>
              <w:t xml:space="preserve">ﭽ </w:t>
            </w:r>
            <w:r w:rsidRPr="00576551">
              <w:rPr>
                <w:rFonts w:ascii="QCF_P496" w:hAnsi="QCF_P496" w:cs="QCF_P496"/>
                <w:sz w:val="28"/>
                <w:szCs w:val="28"/>
                <w:rtl/>
                <w:lang w:eastAsia="en-US"/>
              </w:rPr>
              <w:t xml:space="preserve">ﭠ  ﭡ  ﭢ     ﭣ  ﭤ  </w:t>
            </w:r>
            <w:r w:rsidRPr="00576551">
              <w:rPr>
                <w:rFonts w:ascii="QCF_BSML" w:hAnsi="QCF_BSML" w:cs="QCF_BSML"/>
                <w:sz w:val="28"/>
                <w:szCs w:val="28"/>
                <w:rtl/>
                <w:lang w:eastAsia="en-US"/>
              </w:rPr>
              <w:t>ﭼ</w:t>
            </w:r>
            <w:r w:rsidRPr="00576551">
              <w:rPr>
                <w:rFonts w:ascii="Arial" w:hAnsi="Arial" w:cs="Arial"/>
                <w:sz w:val="28"/>
                <w:szCs w:val="28"/>
                <w:rtl/>
                <w:lang w:eastAsia="en-US"/>
              </w:rPr>
              <w:t xml:space="preserve"> </w:t>
            </w:r>
          </w:p>
        </w:tc>
        <w:tc>
          <w:tcPr>
            <w:tcW w:w="1039" w:type="dxa"/>
            <w:vMerge w:val="restart"/>
          </w:tcPr>
          <w:p w:rsidR="00576551" w:rsidRPr="00576551" w:rsidRDefault="00576551" w:rsidP="00576551">
            <w:pPr>
              <w:ind w:firstLine="0"/>
              <w:rPr>
                <w:rtl/>
              </w:rPr>
            </w:pPr>
            <w:r w:rsidRPr="00576551">
              <w:rPr>
                <w:rFonts w:hint="cs"/>
                <w:rtl/>
              </w:rPr>
              <w:t xml:space="preserve"> الدخان</w:t>
            </w:r>
          </w:p>
        </w:tc>
        <w:tc>
          <w:tcPr>
            <w:tcW w:w="715" w:type="dxa"/>
          </w:tcPr>
          <w:p w:rsidR="00576551" w:rsidRPr="00576551" w:rsidRDefault="007925F6" w:rsidP="00576551">
            <w:pPr>
              <w:ind w:firstLine="0"/>
              <w:rPr>
                <w:rtl/>
              </w:rPr>
            </w:pPr>
            <w:r>
              <w:rPr>
                <w:rFonts w:hint="cs"/>
                <w:rtl/>
              </w:rPr>
              <w:t xml:space="preserve"> </w:t>
            </w:r>
            <w:r w:rsidR="00576551" w:rsidRPr="00576551">
              <w:rPr>
                <w:rFonts w:hint="cs"/>
                <w:rtl/>
              </w:rPr>
              <w:t xml:space="preserve"> 4</w:t>
            </w:r>
          </w:p>
        </w:tc>
        <w:tc>
          <w:tcPr>
            <w:tcW w:w="1464" w:type="dxa"/>
          </w:tcPr>
          <w:p w:rsidR="00576551" w:rsidRPr="00576551" w:rsidRDefault="007925F6" w:rsidP="00576551">
            <w:pPr>
              <w:ind w:firstLine="0"/>
              <w:rPr>
                <w:rtl/>
              </w:rPr>
            </w:pPr>
            <w:r>
              <w:rPr>
                <w:rFonts w:hint="cs"/>
                <w:rtl/>
              </w:rPr>
              <w:t xml:space="preserve"> </w:t>
            </w:r>
            <w:r w:rsidR="00576551" w:rsidRPr="00576551">
              <w:rPr>
                <w:rFonts w:hint="cs"/>
                <w:rtl/>
              </w:rPr>
              <w:t xml:space="preserve"> 157</w:t>
            </w:r>
          </w:p>
        </w:tc>
      </w:tr>
      <w:tr w:rsidR="00576551" w:rsidRPr="00576551" w:rsidTr="00927865">
        <w:tc>
          <w:tcPr>
            <w:tcW w:w="654" w:type="dxa"/>
          </w:tcPr>
          <w:p w:rsidR="00576551" w:rsidRPr="00576551" w:rsidRDefault="00576551" w:rsidP="00576551">
            <w:pPr>
              <w:ind w:firstLine="0"/>
              <w:rPr>
                <w:rtl/>
              </w:rPr>
            </w:pPr>
            <w:r w:rsidRPr="00576551">
              <w:rPr>
                <w:rFonts w:hint="cs"/>
                <w:rtl/>
              </w:rPr>
              <w:t>59</w:t>
            </w:r>
          </w:p>
        </w:tc>
        <w:tc>
          <w:tcPr>
            <w:tcW w:w="5448" w:type="dxa"/>
          </w:tcPr>
          <w:p w:rsidR="00576551" w:rsidRPr="00576551" w:rsidRDefault="00576551" w:rsidP="00576551">
            <w:pPr>
              <w:ind w:firstLine="0"/>
              <w:rPr>
                <w:rFonts w:eastAsia="Calibri"/>
                <w:sz w:val="28"/>
                <w:szCs w:val="28"/>
                <w:vertAlign w:val="superscript"/>
                <w:rtl/>
              </w:rPr>
            </w:pPr>
            <w:r w:rsidRPr="00576551">
              <w:rPr>
                <w:rFonts w:ascii="QCF_BSML" w:hAnsi="QCF_BSML" w:cs="QCF_BSML"/>
                <w:color w:val="0D0D0D"/>
                <w:sz w:val="28"/>
                <w:szCs w:val="28"/>
                <w:rtl/>
                <w:lang w:eastAsia="en-US"/>
              </w:rPr>
              <w:t>ﭽ</w:t>
            </w:r>
            <w:r w:rsidRPr="00576551">
              <w:rPr>
                <w:rFonts w:ascii="QCF_P498" w:hAnsi="QCF_P498" w:cs="QCF_P498"/>
                <w:color w:val="0D0D0D"/>
                <w:sz w:val="28"/>
                <w:szCs w:val="28"/>
                <w:rtl/>
                <w:lang w:eastAsia="en-US"/>
              </w:rPr>
              <w:t>ﭬ ﭭ ﭮ  ﭯ ﭰ ﭱﭲ</w:t>
            </w:r>
            <w:r w:rsidRPr="00576551">
              <w:rPr>
                <w:rFonts w:ascii="QCF_BSML" w:hAnsi="QCF_BSML" w:cs="QCF_BSML"/>
                <w:color w:val="0D0D0D"/>
                <w:sz w:val="28"/>
                <w:szCs w:val="28"/>
                <w:rtl/>
                <w:lang w:eastAsia="en-US"/>
              </w:rPr>
              <w:t>ﭼ</w:t>
            </w:r>
          </w:p>
        </w:tc>
        <w:tc>
          <w:tcPr>
            <w:tcW w:w="1039" w:type="dxa"/>
            <w:vMerge/>
          </w:tcPr>
          <w:p w:rsidR="00576551" w:rsidRPr="00576551" w:rsidRDefault="00576551" w:rsidP="00576551">
            <w:pPr>
              <w:ind w:firstLine="0"/>
              <w:rPr>
                <w:rtl/>
              </w:rPr>
            </w:pPr>
          </w:p>
        </w:tc>
        <w:tc>
          <w:tcPr>
            <w:tcW w:w="715" w:type="dxa"/>
          </w:tcPr>
          <w:p w:rsidR="00576551" w:rsidRPr="00576551" w:rsidRDefault="00576551" w:rsidP="00722E32">
            <w:pPr>
              <w:ind w:firstLine="0"/>
              <w:rPr>
                <w:rtl/>
              </w:rPr>
            </w:pPr>
            <w:r w:rsidRPr="00576551">
              <w:rPr>
                <w:rFonts w:hint="cs"/>
                <w:rtl/>
              </w:rPr>
              <w:t>43</w:t>
            </w:r>
            <w:r w:rsidR="00722E32">
              <w:rPr>
                <w:rFonts w:hint="cs"/>
                <w:rtl/>
              </w:rPr>
              <w:t xml:space="preserve">, </w:t>
            </w:r>
            <w:r w:rsidRPr="00576551">
              <w:rPr>
                <w:rFonts w:hint="cs"/>
                <w:rtl/>
              </w:rPr>
              <w:t>44</w:t>
            </w:r>
          </w:p>
        </w:tc>
        <w:tc>
          <w:tcPr>
            <w:tcW w:w="1464" w:type="dxa"/>
          </w:tcPr>
          <w:p w:rsidR="00576551" w:rsidRPr="00576551" w:rsidRDefault="00576551" w:rsidP="00722E32">
            <w:pPr>
              <w:ind w:firstLine="0"/>
              <w:rPr>
                <w:rtl/>
              </w:rPr>
            </w:pPr>
            <w:r w:rsidRPr="00576551">
              <w:rPr>
                <w:rFonts w:hint="cs"/>
                <w:rtl/>
              </w:rPr>
              <w:t>54</w:t>
            </w:r>
            <w:r w:rsidR="00722E32">
              <w:rPr>
                <w:rFonts w:hint="cs"/>
                <w:rtl/>
              </w:rPr>
              <w:t xml:space="preserve">, </w:t>
            </w:r>
            <w:r w:rsidRPr="00576551">
              <w:rPr>
                <w:rFonts w:hint="cs"/>
                <w:rtl/>
              </w:rPr>
              <w:t>64</w:t>
            </w:r>
            <w:r w:rsidR="00722E32">
              <w:rPr>
                <w:rFonts w:hint="cs"/>
                <w:rtl/>
              </w:rPr>
              <w:t xml:space="preserve">, </w:t>
            </w:r>
            <w:r w:rsidRPr="00576551">
              <w:rPr>
                <w:rFonts w:hint="cs"/>
                <w:rtl/>
              </w:rPr>
              <w:t>98</w:t>
            </w:r>
          </w:p>
        </w:tc>
      </w:tr>
      <w:tr w:rsidR="00576551" w:rsidRPr="00576551" w:rsidTr="00927865">
        <w:tc>
          <w:tcPr>
            <w:tcW w:w="654" w:type="dxa"/>
          </w:tcPr>
          <w:p w:rsidR="00576551" w:rsidRPr="00576551" w:rsidRDefault="00576551" w:rsidP="00576551">
            <w:pPr>
              <w:ind w:firstLine="0"/>
              <w:rPr>
                <w:rtl/>
              </w:rPr>
            </w:pPr>
            <w:r w:rsidRPr="00576551">
              <w:rPr>
                <w:rFonts w:hint="cs"/>
                <w:rtl/>
              </w:rPr>
              <w:t>60</w:t>
            </w:r>
          </w:p>
        </w:tc>
        <w:tc>
          <w:tcPr>
            <w:tcW w:w="5448" w:type="dxa"/>
          </w:tcPr>
          <w:p w:rsidR="00576551" w:rsidRPr="00576551" w:rsidRDefault="00576551" w:rsidP="00576551">
            <w:pPr>
              <w:ind w:firstLine="0"/>
              <w:rPr>
                <w:sz w:val="28"/>
                <w:szCs w:val="28"/>
                <w:rtl/>
              </w:rPr>
            </w:pPr>
            <w:r w:rsidRPr="00576551">
              <w:rPr>
                <w:rFonts w:ascii="QCF_BSML" w:hAnsi="QCF_BSML" w:cs="QCF_BSML"/>
                <w:sz w:val="28"/>
                <w:szCs w:val="28"/>
                <w:rtl/>
                <w:lang w:eastAsia="en-US"/>
              </w:rPr>
              <w:t xml:space="preserve">ﭽ </w:t>
            </w:r>
            <w:r w:rsidRPr="00576551">
              <w:rPr>
                <w:rFonts w:ascii="QCF_P509" w:hAnsi="QCF_P509" w:cs="QCF_P509"/>
                <w:sz w:val="28"/>
                <w:szCs w:val="28"/>
                <w:rtl/>
                <w:lang w:eastAsia="en-US"/>
              </w:rPr>
              <w:t xml:space="preserve">ﭴ  ﭵ  ﭶ     </w:t>
            </w:r>
            <w:r w:rsidRPr="00576551">
              <w:rPr>
                <w:rFonts w:ascii="QCF_BSML" w:hAnsi="QCF_BSML" w:cs="QCF_BSML"/>
                <w:sz w:val="28"/>
                <w:szCs w:val="28"/>
                <w:rtl/>
                <w:lang w:eastAsia="en-US"/>
              </w:rPr>
              <w:t>ﭼ</w:t>
            </w:r>
            <w:r w:rsidRPr="00576551">
              <w:rPr>
                <w:rFonts w:ascii="Arial" w:hAnsi="Arial" w:cs="Arial"/>
                <w:sz w:val="28"/>
                <w:szCs w:val="28"/>
                <w:rtl/>
                <w:lang w:eastAsia="en-US"/>
              </w:rPr>
              <w:t xml:space="preserve"> </w:t>
            </w:r>
          </w:p>
        </w:tc>
        <w:tc>
          <w:tcPr>
            <w:tcW w:w="1039" w:type="dxa"/>
          </w:tcPr>
          <w:p w:rsidR="00576551" w:rsidRPr="00576551" w:rsidRDefault="00576551" w:rsidP="00576551">
            <w:pPr>
              <w:ind w:firstLine="0"/>
              <w:rPr>
                <w:rtl/>
              </w:rPr>
            </w:pPr>
            <w:r w:rsidRPr="00576551">
              <w:rPr>
                <w:rFonts w:hint="cs"/>
                <w:rtl/>
              </w:rPr>
              <w:t xml:space="preserve"> </w:t>
            </w:r>
            <w:r w:rsidR="007925F6">
              <w:rPr>
                <w:rFonts w:hint="cs"/>
                <w:rtl/>
              </w:rPr>
              <w:t xml:space="preserve"> </w:t>
            </w:r>
            <w:r w:rsidRPr="00576551">
              <w:rPr>
                <w:rFonts w:hint="cs"/>
                <w:rtl/>
              </w:rPr>
              <w:t>محمد</w:t>
            </w:r>
          </w:p>
        </w:tc>
        <w:tc>
          <w:tcPr>
            <w:tcW w:w="715" w:type="dxa"/>
          </w:tcPr>
          <w:p w:rsidR="00576551" w:rsidRPr="00576551" w:rsidRDefault="00576551" w:rsidP="00576551">
            <w:pPr>
              <w:ind w:firstLine="0"/>
              <w:rPr>
                <w:rtl/>
              </w:rPr>
            </w:pPr>
            <w:r w:rsidRPr="00576551">
              <w:rPr>
                <w:rFonts w:hint="cs"/>
                <w:rtl/>
              </w:rPr>
              <w:t xml:space="preserve"> 21</w:t>
            </w:r>
          </w:p>
        </w:tc>
        <w:tc>
          <w:tcPr>
            <w:tcW w:w="1464" w:type="dxa"/>
          </w:tcPr>
          <w:p w:rsidR="00576551" w:rsidRPr="00576551" w:rsidRDefault="007925F6" w:rsidP="00576551">
            <w:pPr>
              <w:ind w:firstLine="0"/>
              <w:rPr>
                <w:rtl/>
              </w:rPr>
            </w:pPr>
            <w:r>
              <w:rPr>
                <w:rFonts w:hint="cs"/>
                <w:rtl/>
              </w:rPr>
              <w:t xml:space="preserve"> </w:t>
            </w:r>
            <w:r w:rsidR="00576551" w:rsidRPr="00576551">
              <w:rPr>
                <w:rFonts w:hint="cs"/>
                <w:rtl/>
              </w:rPr>
              <w:t xml:space="preserve"> 258</w:t>
            </w:r>
          </w:p>
        </w:tc>
      </w:tr>
      <w:tr w:rsidR="00576551" w:rsidRPr="00576551" w:rsidTr="00927865">
        <w:tc>
          <w:tcPr>
            <w:tcW w:w="654" w:type="dxa"/>
          </w:tcPr>
          <w:p w:rsidR="00576551" w:rsidRPr="00576551" w:rsidRDefault="00576551" w:rsidP="00576551">
            <w:pPr>
              <w:ind w:firstLine="0"/>
              <w:rPr>
                <w:rtl/>
              </w:rPr>
            </w:pPr>
            <w:r w:rsidRPr="00576551">
              <w:rPr>
                <w:rFonts w:hint="cs"/>
                <w:rtl/>
              </w:rPr>
              <w:t>61</w:t>
            </w:r>
          </w:p>
        </w:tc>
        <w:tc>
          <w:tcPr>
            <w:tcW w:w="5448" w:type="dxa"/>
          </w:tcPr>
          <w:p w:rsidR="00576551" w:rsidRPr="00576551" w:rsidRDefault="00576551" w:rsidP="00576551">
            <w:pPr>
              <w:ind w:firstLine="0"/>
              <w:rPr>
                <w:sz w:val="28"/>
                <w:szCs w:val="28"/>
                <w:rtl/>
              </w:rPr>
            </w:pPr>
            <w:r w:rsidRPr="00576551">
              <w:rPr>
                <w:rFonts w:ascii="QCF_BSML" w:hAnsi="QCF_BSML" w:cs="QCF_BSML"/>
                <w:sz w:val="28"/>
                <w:szCs w:val="28"/>
                <w:rtl/>
                <w:lang w:eastAsia="en-US"/>
              </w:rPr>
              <w:t xml:space="preserve">ﭽ </w:t>
            </w:r>
            <w:r w:rsidRPr="00576551">
              <w:rPr>
                <w:rFonts w:ascii="QCF_P528" w:hAnsi="QCF_P528" w:cs="QCF_P528"/>
                <w:sz w:val="28"/>
                <w:szCs w:val="28"/>
                <w:rtl/>
                <w:lang w:eastAsia="en-US"/>
              </w:rPr>
              <w:t xml:space="preserve">ﯷ  ﯸ  ﯹ  </w:t>
            </w:r>
            <w:r w:rsidRPr="00576551">
              <w:rPr>
                <w:rFonts w:ascii="QCF_BSML" w:hAnsi="QCF_BSML" w:cs="QCF_BSML"/>
                <w:sz w:val="28"/>
                <w:szCs w:val="28"/>
                <w:rtl/>
                <w:lang w:eastAsia="en-US"/>
              </w:rPr>
              <w:t>ﭼ</w:t>
            </w:r>
          </w:p>
        </w:tc>
        <w:tc>
          <w:tcPr>
            <w:tcW w:w="1039" w:type="dxa"/>
          </w:tcPr>
          <w:p w:rsidR="00576551" w:rsidRPr="00576551" w:rsidRDefault="00576551" w:rsidP="00576551">
            <w:pPr>
              <w:ind w:firstLine="0"/>
              <w:rPr>
                <w:rtl/>
              </w:rPr>
            </w:pPr>
            <w:r w:rsidRPr="00576551">
              <w:rPr>
                <w:rFonts w:hint="cs"/>
                <w:rtl/>
              </w:rPr>
              <w:t xml:space="preserve"> </w:t>
            </w:r>
            <w:r w:rsidR="007925F6">
              <w:rPr>
                <w:rFonts w:hint="cs"/>
                <w:rtl/>
              </w:rPr>
              <w:t xml:space="preserve"> </w:t>
            </w:r>
            <w:r w:rsidRPr="00576551">
              <w:rPr>
                <w:rFonts w:hint="cs"/>
                <w:rtl/>
              </w:rPr>
              <w:t>القمر</w:t>
            </w:r>
          </w:p>
        </w:tc>
        <w:tc>
          <w:tcPr>
            <w:tcW w:w="715" w:type="dxa"/>
          </w:tcPr>
          <w:p w:rsidR="00576551" w:rsidRPr="00576551" w:rsidRDefault="007925F6" w:rsidP="00576551">
            <w:pPr>
              <w:ind w:firstLine="0"/>
              <w:rPr>
                <w:rtl/>
              </w:rPr>
            </w:pPr>
            <w:r>
              <w:rPr>
                <w:rFonts w:hint="cs"/>
                <w:rtl/>
              </w:rPr>
              <w:t xml:space="preserve"> </w:t>
            </w:r>
            <w:r w:rsidR="00576551" w:rsidRPr="00576551">
              <w:rPr>
                <w:rFonts w:hint="cs"/>
                <w:rtl/>
              </w:rPr>
              <w:t xml:space="preserve"> 6</w:t>
            </w:r>
          </w:p>
        </w:tc>
        <w:tc>
          <w:tcPr>
            <w:tcW w:w="1464" w:type="dxa"/>
          </w:tcPr>
          <w:p w:rsidR="00576551" w:rsidRPr="00576551" w:rsidRDefault="007925F6" w:rsidP="00576551">
            <w:pPr>
              <w:ind w:firstLine="0"/>
              <w:rPr>
                <w:rtl/>
              </w:rPr>
            </w:pPr>
            <w:r>
              <w:rPr>
                <w:rFonts w:hint="cs"/>
                <w:rtl/>
              </w:rPr>
              <w:t xml:space="preserve"> </w:t>
            </w:r>
            <w:r w:rsidR="00576551" w:rsidRPr="00576551">
              <w:rPr>
                <w:rFonts w:hint="cs"/>
                <w:rtl/>
              </w:rPr>
              <w:t xml:space="preserve"> 253</w:t>
            </w:r>
          </w:p>
        </w:tc>
      </w:tr>
      <w:tr w:rsidR="00576551" w:rsidRPr="00576551" w:rsidTr="00927865">
        <w:tc>
          <w:tcPr>
            <w:tcW w:w="654" w:type="dxa"/>
          </w:tcPr>
          <w:p w:rsidR="00576551" w:rsidRPr="00576551" w:rsidRDefault="00576551" w:rsidP="00576551">
            <w:pPr>
              <w:ind w:firstLine="0"/>
              <w:rPr>
                <w:rtl/>
              </w:rPr>
            </w:pPr>
            <w:r w:rsidRPr="00576551">
              <w:rPr>
                <w:rFonts w:hint="cs"/>
                <w:rtl/>
              </w:rPr>
              <w:t>62</w:t>
            </w:r>
          </w:p>
        </w:tc>
        <w:tc>
          <w:tcPr>
            <w:tcW w:w="5448" w:type="dxa"/>
          </w:tcPr>
          <w:p w:rsidR="00576551" w:rsidRPr="00576551" w:rsidRDefault="00576551" w:rsidP="00576551">
            <w:pPr>
              <w:ind w:firstLine="0"/>
              <w:rPr>
                <w:sz w:val="28"/>
                <w:szCs w:val="28"/>
                <w:rtl/>
              </w:rPr>
            </w:pPr>
            <w:r w:rsidRPr="00576551">
              <w:rPr>
                <w:rFonts w:ascii="QCF_BSML" w:hAnsi="QCF_BSML" w:cs="QCF_BSML"/>
                <w:sz w:val="28"/>
                <w:szCs w:val="28"/>
                <w:rtl/>
                <w:lang w:eastAsia="en-US"/>
              </w:rPr>
              <w:t xml:space="preserve">ﭽ </w:t>
            </w:r>
            <w:r w:rsidRPr="00576551">
              <w:rPr>
                <w:rFonts w:ascii="QCF_P531" w:hAnsi="QCF_P531" w:cs="QCF_P531"/>
                <w:sz w:val="28"/>
                <w:szCs w:val="28"/>
                <w:rtl/>
                <w:lang w:eastAsia="en-US"/>
              </w:rPr>
              <w:t>ﮂ  ﮃ   ﮄ</w:t>
            </w:r>
            <w:r w:rsidRPr="00576551">
              <w:rPr>
                <w:rFonts w:ascii="QCF_BSML" w:hAnsi="QCF_BSML" w:cs="QCF_BSML"/>
                <w:sz w:val="28"/>
                <w:szCs w:val="28"/>
                <w:rtl/>
                <w:lang w:eastAsia="en-US"/>
              </w:rPr>
              <w:t>ﭼ</w:t>
            </w:r>
            <w:r w:rsidRPr="00576551">
              <w:rPr>
                <w:rFonts w:ascii="Arial" w:hAnsi="Arial" w:cs="Arial"/>
                <w:sz w:val="28"/>
                <w:szCs w:val="28"/>
                <w:rtl/>
                <w:lang w:eastAsia="en-US"/>
              </w:rPr>
              <w:t xml:space="preserve"> </w:t>
            </w:r>
          </w:p>
        </w:tc>
        <w:tc>
          <w:tcPr>
            <w:tcW w:w="1039" w:type="dxa"/>
            <w:vMerge w:val="restart"/>
          </w:tcPr>
          <w:p w:rsidR="00576551" w:rsidRPr="00576551" w:rsidRDefault="00576551" w:rsidP="00576551">
            <w:pPr>
              <w:ind w:firstLine="0"/>
              <w:rPr>
                <w:rtl/>
              </w:rPr>
            </w:pPr>
            <w:r w:rsidRPr="00576551">
              <w:rPr>
                <w:rFonts w:hint="cs"/>
                <w:rtl/>
              </w:rPr>
              <w:t xml:space="preserve"> </w:t>
            </w:r>
            <w:r w:rsidR="007925F6">
              <w:rPr>
                <w:rFonts w:hint="cs"/>
                <w:rtl/>
              </w:rPr>
              <w:t xml:space="preserve"> </w:t>
            </w:r>
            <w:r w:rsidRPr="00576551">
              <w:rPr>
                <w:rFonts w:hint="cs"/>
                <w:rtl/>
              </w:rPr>
              <w:t>الرحمن</w:t>
            </w:r>
          </w:p>
        </w:tc>
        <w:tc>
          <w:tcPr>
            <w:tcW w:w="715" w:type="dxa"/>
          </w:tcPr>
          <w:p w:rsidR="00576551" w:rsidRPr="00576551" w:rsidRDefault="007925F6" w:rsidP="00576551">
            <w:pPr>
              <w:ind w:firstLine="0"/>
              <w:rPr>
                <w:rtl/>
              </w:rPr>
            </w:pPr>
            <w:r>
              <w:rPr>
                <w:rFonts w:hint="cs"/>
                <w:rtl/>
              </w:rPr>
              <w:t xml:space="preserve"> </w:t>
            </w:r>
            <w:r w:rsidR="00576551" w:rsidRPr="00576551">
              <w:rPr>
                <w:rFonts w:hint="cs"/>
                <w:rtl/>
              </w:rPr>
              <w:t xml:space="preserve"> 5</w:t>
            </w:r>
          </w:p>
        </w:tc>
        <w:tc>
          <w:tcPr>
            <w:tcW w:w="1464" w:type="dxa"/>
          </w:tcPr>
          <w:p w:rsidR="00576551" w:rsidRPr="00576551" w:rsidRDefault="007925F6" w:rsidP="00576551">
            <w:pPr>
              <w:ind w:firstLine="0"/>
              <w:rPr>
                <w:rtl/>
              </w:rPr>
            </w:pPr>
            <w:r>
              <w:rPr>
                <w:rFonts w:hint="cs"/>
                <w:rtl/>
              </w:rPr>
              <w:t xml:space="preserve"> </w:t>
            </w:r>
            <w:r w:rsidR="00576551" w:rsidRPr="00576551">
              <w:rPr>
                <w:rFonts w:hint="cs"/>
                <w:rtl/>
              </w:rPr>
              <w:t xml:space="preserve"> 221</w:t>
            </w:r>
          </w:p>
        </w:tc>
      </w:tr>
      <w:tr w:rsidR="00576551" w:rsidRPr="00576551" w:rsidTr="00927865">
        <w:trPr>
          <w:trHeight w:val="480"/>
        </w:trPr>
        <w:tc>
          <w:tcPr>
            <w:tcW w:w="654" w:type="dxa"/>
          </w:tcPr>
          <w:p w:rsidR="00576551" w:rsidRPr="00576551" w:rsidRDefault="00576551" w:rsidP="00576551">
            <w:pPr>
              <w:ind w:firstLine="0"/>
              <w:rPr>
                <w:rtl/>
              </w:rPr>
            </w:pPr>
            <w:r w:rsidRPr="00576551">
              <w:rPr>
                <w:rFonts w:hint="cs"/>
                <w:rtl/>
              </w:rPr>
              <w:t>63</w:t>
            </w:r>
          </w:p>
        </w:tc>
        <w:tc>
          <w:tcPr>
            <w:tcW w:w="5448" w:type="dxa"/>
          </w:tcPr>
          <w:p w:rsidR="00576551" w:rsidRPr="00576551" w:rsidRDefault="00576551" w:rsidP="00576551">
            <w:pPr>
              <w:ind w:firstLine="0"/>
              <w:rPr>
                <w:rFonts w:ascii="QCF_BSML" w:hAnsi="QCF_BSML" w:cs="QCF_BSML"/>
                <w:sz w:val="28"/>
                <w:szCs w:val="28"/>
                <w:rtl/>
                <w:lang w:eastAsia="en-US"/>
              </w:rPr>
            </w:pPr>
            <w:r w:rsidRPr="00576551">
              <w:rPr>
                <w:rFonts w:ascii="QCF_BSML" w:hAnsi="QCF_BSML" w:cs="QCF_BSML"/>
                <w:sz w:val="28"/>
                <w:szCs w:val="28"/>
                <w:rtl/>
                <w:lang w:eastAsia="en-US"/>
              </w:rPr>
              <w:t xml:space="preserve">ﭽ </w:t>
            </w:r>
            <w:r w:rsidRPr="00576551">
              <w:rPr>
                <w:rFonts w:ascii="QCF_P532" w:hAnsi="QCF_P532" w:cs="QCF_P532"/>
                <w:sz w:val="28"/>
                <w:szCs w:val="28"/>
                <w:rtl/>
                <w:lang w:eastAsia="en-US"/>
              </w:rPr>
              <w:t>ﭩ  ﭪ  ﭫ      ﭬ</w:t>
            </w:r>
            <w:r w:rsidRPr="00576551">
              <w:rPr>
                <w:rFonts w:ascii="QCF_BSML" w:hAnsi="QCF_BSML" w:cs="QCF_BSML"/>
                <w:sz w:val="28"/>
                <w:szCs w:val="28"/>
                <w:rtl/>
                <w:lang w:eastAsia="en-US"/>
              </w:rPr>
              <w:t>ﭼ</w:t>
            </w:r>
            <w:r w:rsidRPr="00576551">
              <w:rPr>
                <w:rFonts w:ascii="Arial" w:hAnsi="Arial" w:cs="Arial"/>
                <w:sz w:val="28"/>
                <w:szCs w:val="28"/>
                <w:rtl/>
                <w:lang w:eastAsia="en-US"/>
              </w:rPr>
              <w:t xml:space="preserve"> </w:t>
            </w:r>
          </w:p>
        </w:tc>
        <w:tc>
          <w:tcPr>
            <w:tcW w:w="1039" w:type="dxa"/>
            <w:vMerge/>
          </w:tcPr>
          <w:p w:rsidR="00576551" w:rsidRPr="00576551" w:rsidRDefault="00576551" w:rsidP="00576551">
            <w:pPr>
              <w:ind w:firstLine="0"/>
              <w:rPr>
                <w:rtl/>
              </w:rPr>
            </w:pPr>
          </w:p>
        </w:tc>
        <w:tc>
          <w:tcPr>
            <w:tcW w:w="715" w:type="dxa"/>
          </w:tcPr>
          <w:p w:rsidR="00576551" w:rsidRPr="00576551" w:rsidRDefault="00576551" w:rsidP="00576551">
            <w:pPr>
              <w:ind w:firstLine="0"/>
              <w:rPr>
                <w:rtl/>
              </w:rPr>
            </w:pPr>
            <w:r w:rsidRPr="00576551">
              <w:rPr>
                <w:rFonts w:hint="cs"/>
                <w:rtl/>
              </w:rPr>
              <w:t xml:space="preserve"> 22</w:t>
            </w:r>
          </w:p>
        </w:tc>
        <w:tc>
          <w:tcPr>
            <w:tcW w:w="1464" w:type="dxa"/>
          </w:tcPr>
          <w:p w:rsidR="00576551" w:rsidRPr="00576551" w:rsidRDefault="007925F6" w:rsidP="00576551">
            <w:pPr>
              <w:ind w:firstLine="0"/>
              <w:rPr>
                <w:rtl/>
              </w:rPr>
            </w:pPr>
            <w:r>
              <w:rPr>
                <w:rFonts w:hint="cs"/>
                <w:rtl/>
              </w:rPr>
              <w:t xml:space="preserve"> </w:t>
            </w:r>
            <w:r w:rsidR="00576551" w:rsidRPr="00576551">
              <w:rPr>
                <w:rFonts w:hint="cs"/>
                <w:rtl/>
              </w:rPr>
              <w:t xml:space="preserve"> 245</w:t>
            </w:r>
          </w:p>
        </w:tc>
      </w:tr>
      <w:tr w:rsidR="00576551" w:rsidRPr="00576551" w:rsidTr="00927865">
        <w:trPr>
          <w:trHeight w:val="525"/>
        </w:trPr>
        <w:tc>
          <w:tcPr>
            <w:tcW w:w="654" w:type="dxa"/>
          </w:tcPr>
          <w:p w:rsidR="00576551" w:rsidRPr="00576551" w:rsidRDefault="00576551" w:rsidP="00576551">
            <w:pPr>
              <w:ind w:firstLine="0"/>
              <w:rPr>
                <w:rtl/>
              </w:rPr>
            </w:pPr>
            <w:r w:rsidRPr="00576551">
              <w:rPr>
                <w:rFonts w:hint="cs"/>
                <w:rtl/>
              </w:rPr>
              <w:lastRenderedPageBreak/>
              <w:t>م</w:t>
            </w:r>
          </w:p>
        </w:tc>
        <w:tc>
          <w:tcPr>
            <w:tcW w:w="5448" w:type="dxa"/>
          </w:tcPr>
          <w:p w:rsidR="00576551" w:rsidRPr="00576551" w:rsidRDefault="00576551" w:rsidP="00576551">
            <w:pPr>
              <w:ind w:firstLine="0"/>
              <w:rPr>
                <w:rFonts w:ascii="Traditional Arabic" w:hAnsi="Traditional Arabic"/>
                <w:sz w:val="32"/>
                <w:szCs w:val="32"/>
                <w:rtl/>
                <w:lang w:eastAsia="en-US"/>
              </w:rPr>
            </w:pPr>
            <w:r w:rsidRPr="00576551">
              <w:rPr>
                <w:rFonts w:ascii="QCF_BSML" w:hAnsi="QCF_BSML" w:cs="QCF_BSML" w:hint="cs"/>
                <w:sz w:val="28"/>
                <w:szCs w:val="28"/>
                <w:rtl/>
                <w:lang w:eastAsia="en-US"/>
              </w:rPr>
              <w:t xml:space="preserve">             </w:t>
            </w:r>
            <w:r w:rsidRPr="00576551">
              <w:rPr>
                <w:rFonts w:ascii="Traditional Arabic" w:hAnsi="Traditional Arabic" w:hint="cs"/>
                <w:sz w:val="32"/>
                <w:szCs w:val="32"/>
                <w:rtl/>
                <w:lang w:eastAsia="en-US"/>
              </w:rPr>
              <w:t xml:space="preserve"> الآية</w:t>
            </w:r>
          </w:p>
        </w:tc>
        <w:tc>
          <w:tcPr>
            <w:tcW w:w="1039" w:type="dxa"/>
          </w:tcPr>
          <w:p w:rsidR="00576551" w:rsidRPr="00576551" w:rsidRDefault="00AE7803" w:rsidP="00576551">
            <w:pPr>
              <w:ind w:firstLine="0"/>
              <w:rPr>
                <w:rtl/>
              </w:rPr>
            </w:pPr>
            <w:r>
              <w:rPr>
                <w:rFonts w:hint="cs"/>
                <w:rtl/>
              </w:rPr>
              <w:t xml:space="preserve"> </w:t>
            </w:r>
            <w:r w:rsidR="00576551" w:rsidRPr="00576551">
              <w:rPr>
                <w:rFonts w:hint="cs"/>
                <w:rtl/>
              </w:rPr>
              <w:t xml:space="preserve">السورة </w:t>
            </w:r>
          </w:p>
        </w:tc>
        <w:tc>
          <w:tcPr>
            <w:tcW w:w="715" w:type="dxa"/>
          </w:tcPr>
          <w:p w:rsidR="00576551" w:rsidRPr="00576551" w:rsidRDefault="00576551" w:rsidP="00576551">
            <w:pPr>
              <w:ind w:firstLine="0"/>
              <w:rPr>
                <w:rtl/>
              </w:rPr>
            </w:pPr>
            <w:r w:rsidRPr="00576551">
              <w:rPr>
                <w:rFonts w:hint="cs"/>
                <w:rtl/>
              </w:rPr>
              <w:t>رقمها</w:t>
            </w:r>
          </w:p>
        </w:tc>
        <w:tc>
          <w:tcPr>
            <w:tcW w:w="1464" w:type="dxa"/>
          </w:tcPr>
          <w:p w:rsidR="00576551" w:rsidRPr="00576551" w:rsidRDefault="00576551" w:rsidP="00576551">
            <w:pPr>
              <w:ind w:firstLine="0"/>
              <w:rPr>
                <w:rtl/>
              </w:rPr>
            </w:pPr>
            <w:r w:rsidRPr="00576551">
              <w:rPr>
                <w:rFonts w:hint="cs"/>
                <w:rtl/>
              </w:rPr>
              <w:t xml:space="preserve"> الصفحة </w:t>
            </w:r>
          </w:p>
        </w:tc>
      </w:tr>
      <w:tr w:rsidR="00576551" w:rsidRPr="00576551" w:rsidTr="00927865">
        <w:trPr>
          <w:trHeight w:val="432"/>
        </w:trPr>
        <w:tc>
          <w:tcPr>
            <w:tcW w:w="654" w:type="dxa"/>
          </w:tcPr>
          <w:p w:rsidR="00576551" w:rsidRPr="00576551" w:rsidRDefault="00576551" w:rsidP="00576551">
            <w:pPr>
              <w:ind w:firstLine="0"/>
              <w:rPr>
                <w:rtl/>
              </w:rPr>
            </w:pPr>
            <w:r w:rsidRPr="00576551">
              <w:rPr>
                <w:rFonts w:hint="cs"/>
                <w:rtl/>
              </w:rPr>
              <w:t>64</w:t>
            </w:r>
          </w:p>
        </w:tc>
        <w:tc>
          <w:tcPr>
            <w:tcW w:w="5448" w:type="dxa"/>
          </w:tcPr>
          <w:p w:rsidR="00576551" w:rsidRPr="00AE7803" w:rsidRDefault="00576551" w:rsidP="00576551">
            <w:pPr>
              <w:ind w:firstLine="0"/>
              <w:rPr>
                <w:rFonts w:ascii="QCF_BSML" w:hAnsi="QCF_BSML" w:cs="QCF_BSML"/>
                <w:sz w:val="28"/>
                <w:szCs w:val="28"/>
                <w:rtl/>
                <w:lang w:eastAsia="en-US"/>
              </w:rPr>
            </w:pPr>
            <w:r w:rsidRPr="00AE7803">
              <w:rPr>
                <w:rFonts w:ascii="QCF_BSML" w:hAnsi="QCF_BSML" w:cs="QCF_BSML"/>
                <w:sz w:val="28"/>
                <w:szCs w:val="28"/>
                <w:rtl/>
                <w:lang w:eastAsia="en-US"/>
              </w:rPr>
              <w:t>ﭽ</w:t>
            </w:r>
            <w:r w:rsidRPr="00AE7803">
              <w:rPr>
                <w:rFonts w:ascii="QCF_P568" w:hAnsi="QCF_P568" w:cs="QCF_P568"/>
                <w:sz w:val="28"/>
                <w:szCs w:val="28"/>
                <w:rtl/>
                <w:lang w:eastAsia="en-US"/>
              </w:rPr>
              <w:t xml:space="preserve">ﮫ  ﮬ  ﮭ   </w:t>
            </w:r>
            <w:r w:rsidRPr="00AE7803">
              <w:rPr>
                <w:rFonts w:ascii="QCF_BSML" w:hAnsi="QCF_BSML" w:cs="QCF_BSML"/>
                <w:sz w:val="28"/>
                <w:szCs w:val="28"/>
                <w:rtl/>
                <w:lang w:eastAsia="en-US"/>
              </w:rPr>
              <w:t>ﭼ</w:t>
            </w:r>
            <w:r w:rsidRPr="00AE7803">
              <w:rPr>
                <w:rFonts w:ascii="QCF_BSML" w:hAnsi="QCF_BSML" w:cs="QCF_BSML" w:hint="cs"/>
                <w:sz w:val="28"/>
                <w:szCs w:val="28"/>
                <w:rtl/>
                <w:lang w:eastAsia="en-US"/>
              </w:rPr>
              <w:t xml:space="preserve"> </w:t>
            </w:r>
          </w:p>
        </w:tc>
        <w:tc>
          <w:tcPr>
            <w:tcW w:w="1039" w:type="dxa"/>
          </w:tcPr>
          <w:p w:rsidR="00576551" w:rsidRPr="00576551" w:rsidRDefault="007925F6" w:rsidP="00576551">
            <w:pPr>
              <w:ind w:firstLine="0"/>
              <w:rPr>
                <w:rtl/>
              </w:rPr>
            </w:pPr>
            <w:r>
              <w:rPr>
                <w:rFonts w:hint="cs"/>
                <w:rtl/>
              </w:rPr>
              <w:t xml:space="preserve"> </w:t>
            </w:r>
            <w:r w:rsidR="00576551" w:rsidRPr="00576551">
              <w:rPr>
                <w:rFonts w:hint="cs"/>
                <w:rtl/>
              </w:rPr>
              <w:t>الحاقة</w:t>
            </w:r>
            <w:r>
              <w:rPr>
                <w:rFonts w:hint="cs"/>
                <w:rtl/>
              </w:rPr>
              <w:t xml:space="preserve"> </w:t>
            </w:r>
          </w:p>
        </w:tc>
        <w:tc>
          <w:tcPr>
            <w:tcW w:w="715" w:type="dxa"/>
          </w:tcPr>
          <w:p w:rsidR="00576551" w:rsidRPr="00576551" w:rsidRDefault="007925F6" w:rsidP="00576551">
            <w:pPr>
              <w:ind w:firstLine="0"/>
              <w:rPr>
                <w:rtl/>
              </w:rPr>
            </w:pPr>
            <w:r>
              <w:rPr>
                <w:rFonts w:hint="cs"/>
                <w:rtl/>
              </w:rPr>
              <w:t xml:space="preserve"> </w:t>
            </w:r>
            <w:r w:rsidR="00576551" w:rsidRPr="00576551">
              <w:rPr>
                <w:rFonts w:hint="cs"/>
                <w:rtl/>
              </w:rPr>
              <w:t>51</w:t>
            </w:r>
          </w:p>
        </w:tc>
        <w:tc>
          <w:tcPr>
            <w:tcW w:w="1464" w:type="dxa"/>
          </w:tcPr>
          <w:p w:rsidR="00576551" w:rsidRPr="00576551" w:rsidRDefault="007925F6" w:rsidP="00576551">
            <w:pPr>
              <w:ind w:firstLine="0"/>
              <w:rPr>
                <w:rtl/>
              </w:rPr>
            </w:pPr>
            <w:r>
              <w:rPr>
                <w:rFonts w:hint="cs"/>
                <w:rtl/>
              </w:rPr>
              <w:t xml:space="preserve"> </w:t>
            </w:r>
            <w:r w:rsidR="00576551" w:rsidRPr="00576551">
              <w:rPr>
                <w:rFonts w:hint="cs"/>
                <w:rtl/>
              </w:rPr>
              <w:t xml:space="preserve"> 270</w:t>
            </w:r>
          </w:p>
        </w:tc>
      </w:tr>
      <w:tr w:rsidR="00576551" w:rsidRPr="00576551" w:rsidTr="00927865">
        <w:trPr>
          <w:trHeight w:val="585"/>
        </w:trPr>
        <w:tc>
          <w:tcPr>
            <w:tcW w:w="654" w:type="dxa"/>
          </w:tcPr>
          <w:p w:rsidR="00576551" w:rsidRPr="00576551" w:rsidRDefault="00576551" w:rsidP="00576551">
            <w:pPr>
              <w:ind w:firstLine="0"/>
              <w:rPr>
                <w:rtl/>
              </w:rPr>
            </w:pPr>
            <w:r w:rsidRPr="00576551">
              <w:rPr>
                <w:rFonts w:hint="cs"/>
                <w:rtl/>
              </w:rPr>
              <w:t>65</w:t>
            </w:r>
          </w:p>
        </w:tc>
        <w:tc>
          <w:tcPr>
            <w:tcW w:w="5448" w:type="dxa"/>
          </w:tcPr>
          <w:p w:rsidR="00576551" w:rsidRPr="00AE7803" w:rsidRDefault="00576551" w:rsidP="00576551">
            <w:pPr>
              <w:ind w:firstLine="0"/>
              <w:rPr>
                <w:rFonts w:ascii="Traditional Arabic" w:hAnsi="Traditional Arabic"/>
                <w:sz w:val="28"/>
                <w:szCs w:val="28"/>
                <w:rtl/>
              </w:rPr>
            </w:pPr>
            <w:r w:rsidRPr="00AE7803">
              <w:rPr>
                <w:rFonts w:ascii="QCF_BSML" w:hAnsi="QCF_BSML" w:cs="QCF_BSML"/>
                <w:sz w:val="28"/>
                <w:szCs w:val="28"/>
                <w:rtl/>
                <w:lang w:eastAsia="en-US"/>
              </w:rPr>
              <w:t xml:space="preserve">ﭽ </w:t>
            </w:r>
            <w:r w:rsidRPr="00AE7803">
              <w:rPr>
                <w:rFonts w:ascii="QCF_P587" w:hAnsi="QCF_P587" w:cs="QCF_P587"/>
                <w:sz w:val="28"/>
                <w:szCs w:val="28"/>
                <w:rtl/>
                <w:lang w:eastAsia="en-US"/>
              </w:rPr>
              <w:t>ﭳ  ﭴ  ﭵ  ﭶ  ﭷ  ﭸ</w:t>
            </w:r>
            <w:r w:rsidRPr="00AE7803">
              <w:rPr>
                <w:rFonts w:ascii="QCF_BSML" w:hAnsi="QCF_BSML" w:cs="QCF_BSML"/>
                <w:sz w:val="28"/>
                <w:szCs w:val="28"/>
                <w:rtl/>
                <w:lang w:eastAsia="en-US"/>
              </w:rPr>
              <w:t>ﭼ</w:t>
            </w:r>
          </w:p>
        </w:tc>
        <w:tc>
          <w:tcPr>
            <w:tcW w:w="1039" w:type="dxa"/>
          </w:tcPr>
          <w:p w:rsidR="00576551" w:rsidRPr="00576551" w:rsidRDefault="00576551" w:rsidP="00576551">
            <w:pPr>
              <w:ind w:firstLine="0"/>
              <w:rPr>
                <w:rtl/>
              </w:rPr>
            </w:pPr>
            <w:r w:rsidRPr="00576551">
              <w:rPr>
                <w:rFonts w:hint="cs"/>
                <w:rtl/>
              </w:rPr>
              <w:t>الانفطار</w:t>
            </w:r>
          </w:p>
        </w:tc>
        <w:tc>
          <w:tcPr>
            <w:tcW w:w="715" w:type="dxa"/>
          </w:tcPr>
          <w:p w:rsidR="00576551" w:rsidRPr="00576551" w:rsidRDefault="007925F6" w:rsidP="00576551">
            <w:pPr>
              <w:ind w:firstLine="0"/>
              <w:rPr>
                <w:rtl/>
              </w:rPr>
            </w:pPr>
            <w:r>
              <w:rPr>
                <w:rFonts w:hint="cs"/>
                <w:rtl/>
              </w:rPr>
              <w:t xml:space="preserve"> </w:t>
            </w:r>
            <w:r w:rsidR="00576551" w:rsidRPr="00576551">
              <w:rPr>
                <w:rFonts w:hint="cs"/>
                <w:rtl/>
              </w:rPr>
              <w:t xml:space="preserve"> 8</w:t>
            </w:r>
          </w:p>
        </w:tc>
        <w:tc>
          <w:tcPr>
            <w:tcW w:w="1464" w:type="dxa"/>
          </w:tcPr>
          <w:p w:rsidR="00576551" w:rsidRPr="00576551" w:rsidRDefault="007925F6" w:rsidP="00576551">
            <w:pPr>
              <w:ind w:firstLine="0"/>
              <w:rPr>
                <w:rtl/>
              </w:rPr>
            </w:pPr>
            <w:r>
              <w:rPr>
                <w:rFonts w:hint="cs"/>
                <w:rtl/>
              </w:rPr>
              <w:t xml:space="preserve"> </w:t>
            </w:r>
            <w:r w:rsidR="00576551" w:rsidRPr="00576551">
              <w:rPr>
                <w:rFonts w:hint="cs"/>
                <w:rtl/>
              </w:rPr>
              <w:t xml:space="preserve"> 214</w:t>
            </w:r>
          </w:p>
        </w:tc>
      </w:tr>
      <w:tr w:rsidR="00576551" w:rsidRPr="00576551" w:rsidTr="00927865">
        <w:trPr>
          <w:trHeight w:val="490"/>
        </w:trPr>
        <w:tc>
          <w:tcPr>
            <w:tcW w:w="654" w:type="dxa"/>
          </w:tcPr>
          <w:p w:rsidR="00576551" w:rsidRPr="00576551" w:rsidRDefault="00576551" w:rsidP="00576551">
            <w:pPr>
              <w:ind w:firstLine="0"/>
              <w:rPr>
                <w:sz w:val="32"/>
                <w:szCs w:val="32"/>
                <w:rtl/>
              </w:rPr>
            </w:pPr>
            <w:r w:rsidRPr="00576551">
              <w:rPr>
                <w:rFonts w:hint="cs"/>
                <w:sz w:val="32"/>
                <w:szCs w:val="32"/>
                <w:rtl/>
              </w:rPr>
              <w:t>66</w:t>
            </w:r>
          </w:p>
        </w:tc>
        <w:tc>
          <w:tcPr>
            <w:tcW w:w="5448" w:type="dxa"/>
          </w:tcPr>
          <w:p w:rsidR="00576551" w:rsidRPr="00AE7803" w:rsidRDefault="00576551" w:rsidP="00576551">
            <w:pPr>
              <w:ind w:firstLine="0"/>
              <w:rPr>
                <w:rFonts w:ascii="QCF_BSML" w:hAnsi="QCF_BSML" w:cs="QCF_BSML"/>
                <w:sz w:val="28"/>
                <w:szCs w:val="28"/>
                <w:rtl/>
                <w:lang w:eastAsia="en-US"/>
              </w:rPr>
            </w:pPr>
            <w:r w:rsidRPr="00AE7803">
              <w:rPr>
                <w:rFonts w:ascii="QCF_BSML" w:hAnsi="QCF_BSML" w:cs="QCF_BSML"/>
                <w:sz w:val="28"/>
                <w:szCs w:val="28"/>
                <w:rtl/>
                <w:lang w:eastAsia="en-US"/>
              </w:rPr>
              <w:t xml:space="preserve">ﭽ </w:t>
            </w:r>
            <w:r w:rsidRPr="00AE7803">
              <w:rPr>
                <w:rFonts w:ascii="QCF_P598" w:hAnsi="QCF_P598" w:cs="QCF_P598"/>
                <w:sz w:val="28"/>
                <w:szCs w:val="28"/>
                <w:rtl/>
                <w:lang w:eastAsia="en-US"/>
              </w:rPr>
              <w:t xml:space="preserve">ﮧ   ﮨ  </w:t>
            </w:r>
            <w:r w:rsidRPr="00AE7803">
              <w:rPr>
                <w:rFonts w:ascii="QCF_BSML" w:hAnsi="QCF_BSML" w:cs="QCF_BSML"/>
                <w:sz w:val="28"/>
                <w:szCs w:val="28"/>
                <w:rtl/>
                <w:lang w:eastAsia="en-US"/>
              </w:rPr>
              <w:t>ﭼ</w:t>
            </w:r>
            <w:r w:rsidRPr="00AE7803">
              <w:rPr>
                <w:rFonts w:ascii="Arial" w:hAnsi="Arial" w:cs="Arial"/>
                <w:sz w:val="28"/>
                <w:szCs w:val="28"/>
                <w:rtl/>
                <w:lang w:eastAsia="en-US"/>
              </w:rPr>
              <w:t xml:space="preserve"> </w:t>
            </w:r>
          </w:p>
        </w:tc>
        <w:tc>
          <w:tcPr>
            <w:tcW w:w="1039" w:type="dxa"/>
          </w:tcPr>
          <w:p w:rsidR="00576551" w:rsidRPr="00576551" w:rsidRDefault="00576551" w:rsidP="00576551">
            <w:pPr>
              <w:ind w:firstLine="0"/>
              <w:rPr>
                <w:rtl/>
              </w:rPr>
            </w:pPr>
            <w:r w:rsidRPr="00576551">
              <w:rPr>
                <w:rFonts w:hint="cs"/>
                <w:rtl/>
              </w:rPr>
              <w:t xml:space="preserve"> البينة</w:t>
            </w:r>
          </w:p>
        </w:tc>
        <w:tc>
          <w:tcPr>
            <w:tcW w:w="715" w:type="dxa"/>
          </w:tcPr>
          <w:p w:rsidR="00576551" w:rsidRPr="00576551" w:rsidRDefault="007925F6" w:rsidP="00576551">
            <w:pPr>
              <w:ind w:firstLine="0"/>
              <w:rPr>
                <w:rtl/>
              </w:rPr>
            </w:pPr>
            <w:r>
              <w:rPr>
                <w:rFonts w:hint="cs"/>
                <w:rtl/>
              </w:rPr>
              <w:t xml:space="preserve"> </w:t>
            </w:r>
            <w:r w:rsidR="00576551" w:rsidRPr="00576551">
              <w:rPr>
                <w:rFonts w:hint="cs"/>
                <w:rtl/>
              </w:rPr>
              <w:t xml:space="preserve"> 5 </w:t>
            </w:r>
          </w:p>
        </w:tc>
        <w:tc>
          <w:tcPr>
            <w:tcW w:w="1464" w:type="dxa"/>
          </w:tcPr>
          <w:p w:rsidR="00576551" w:rsidRPr="00576551" w:rsidRDefault="007925F6" w:rsidP="00576551">
            <w:pPr>
              <w:ind w:firstLine="0"/>
              <w:rPr>
                <w:rtl/>
              </w:rPr>
            </w:pPr>
            <w:r>
              <w:rPr>
                <w:rFonts w:hint="cs"/>
                <w:rtl/>
              </w:rPr>
              <w:t xml:space="preserve"> </w:t>
            </w:r>
            <w:r w:rsidR="00576551" w:rsidRPr="00576551">
              <w:rPr>
                <w:rFonts w:hint="cs"/>
                <w:rtl/>
              </w:rPr>
              <w:t xml:space="preserve"> 270</w:t>
            </w:r>
          </w:p>
        </w:tc>
      </w:tr>
      <w:tr w:rsidR="00576551" w:rsidRPr="00576551" w:rsidTr="00927865">
        <w:trPr>
          <w:trHeight w:val="645"/>
        </w:trPr>
        <w:tc>
          <w:tcPr>
            <w:tcW w:w="654" w:type="dxa"/>
          </w:tcPr>
          <w:p w:rsidR="00576551" w:rsidRPr="00576551" w:rsidRDefault="00576551" w:rsidP="00576551">
            <w:pPr>
              <w:ind w:firstLine="0"/>
              <w:rPr>
                <w:rtl/>
              </w:rPr>
            </w:pPr>
            <w:r w:rsidRPr="00576551">
              <w:rPr>
                <w:rFonts w:hint="cs"/>
                <w:rtl/>
              </w:rPr>
              <w:t>67</w:t>
            </w:r>
          </w:p>
        </w:tc>
        <w:tc>
          <w:tcPr>
            <w:tcW w:w="5448" w:type="dxa"/>
          </w:tcPr>
          <w:p w:rsidR="00576551" w:rsidRPr="00AE7803" w:rsidRDefault="00576551" w:rsidP="00576551">
            <w:pPr>
              <w:ind w:firstLine="0"/>
              <w:rPr>
                <w:sz w:val="28"/>
                <w:szCs w:val="28"/>
                <w:rtl/>
              </w:rPr>
            </w:pPr>
            <w:r w:rsidRPr="00AE7803">
              <w:rPr>
                <w:rFonts w:ascii="QCF_BSML" w:hAnsi="QCF_BSML" w:cs="QCF_BSML"/>
                <w:sz w:val="28"/>
                <w:szCs w:val="28"/>
                <w:rtl/>
                <w:lang w:eastAsia="en-US"/>
              </w:rPr>
              <w:t xml:space="preserve">ﭽ </w:t>
            </w:r>
            <w:r w:rsidRPr="00AE7803">
              <w:rPr>
                <w:rFonts w:ascii="QCF_P598" w:hAnsi="QCF_P598" w:cs="QCF_P598"/>
                <w:sz w:val="28"/>
                <w:szCs w:val="28"/>
                <w:rtl/>
                <w:lang w:eastAsia="en-US"/>
              </w:rPr>
              <w:t xml:space="preserve">ﭰ  ﭱ  ﭲ   </w:t>
            </w:r>
            <w:r w:rsidRPr="00AE7803">
              <w:rPr>
                <w:rFonts w:ascii="QCF_BSML" w:hAnsi="QCF_BSML" w:cs="QCF_BSML"/>
                <w:sz w:val="28"/>
                <w:szCs w:val="28"/>
                <w:rtl/>
                <w:lang w:eastAsia="en-US"/>
              </w:rPr>
              <w:t>ﭼ</w:t>
            </w:r>
            <w:r w:rsidRPr="00AE7803">
              <w:rPr>
                <w:rFonts w:ascii="Arial" w:hAnsi="Arial" w:cs="Arial"/>
                <w:sz w:val="28"/>
                <w:szCs w:val="28"/>
                <w:rtl/>
                <w:lang w:eastAsia="en-US"/>
              </w:rPr>
              <w:t xml:space="preserve"> </w:t>
            </w:r>
          </w:p>
        </w:tc>
        <w:tc>
          <w:tcPr>
            <w:tcW w:w="1039" w:type="dxa"/>
          </w:tcPr>
          <w:p w:rsidR="00576551" w:rsidRPr="00576551" w:rsidRDefault="00576551" w:rsidP="00576551">
            <w:pPr>
              <w:ind w:firstLine="0"/>
              <w:rPr>
                <w:rtl/>
              </w:rPr>
            </w:pPr>
            <w:r w:rsidRPr="00576551">
              <w:rPr>
                <w:rFonts w:hint="cs"/>
                <w:rtl/>
              </w:rPr>
              <w:t xml:space="preserve"> القدر</w:t>
            </w:r>
          </w:p>
        </w:tc>
        <w:tc>
          <w:tcPr>
            <w:tcW w:w="715" w:type="dxa"/>
          </w:tcPr>
          <w:p w:rsidR="00576551" w:rsidRPr="00576551" w:rsidRDefault="007925F6" w:rsidP="00576551">
            <w:pPr>
              <w:ind w:firstLine="0"/>
              <w:rPr>
                <w:rtl/>
              </w:rPr>
            </w:pPr>
            <w:r>
              <w:rPr>
                <w:rFonts w:hint="cs"/>
                <w:rtl/>
              </w:rPr>
              <w:t xml:space="preserve"> </w:t>
            </w:r>
            <w:r w:rsidR="00576551" w:rsidRPr="00576551">
              <w:rPr>
                <w:rFonts w:hint="cs"/>
                <w:rtl/>
              </w:rPr>
              <w:t xml:space="preserve"> 5</w:t>
            </w:r>
          </w:p>
        </w:tc>
        <w:tc>
          <w:tcPr>
            <w:tcW w:w="1464" w:type="dxa"/>
          </w:tcPr>
          <w:p w:rsidR="00576551" w:rsidRPr="00576551" w:rsidRDefault="007925F6" w:rsidP="00576551">
            <w:pPr>
              <w:ind w:firstLine="0"/>
              <w:rPr>
                <w:rtl/>
              </w:rPr>
            </w:pPr>
            <w:r>
              <w:rPr>
                <w:rFonts w:hint="cs"/>
                <w:rtl/>
              </w:rPr>
              <w:t xml:space="preserve"> </w:t>
            </w:r>
            <w:r w:rsidR="00576551" w:rsidRPr="00576551">
              <w:rPr>
                <w:rFonts w:hint="cs"/>
                <w:rtl/>
              </w:rPr>
              <w:t xml:space="preserve"> 271</w:t>
            </w:r>
          </w:p>
        </w:tc>
      </w:tr>
    </w:tbl>
    <w:p w:rsidR="00137074" w:rsidRDefault="00137074" w:rsidP="00137074">
      <w:pPr>
        <w:ind w:firstLine="0"/>
        <w:rPr>
          <w:rFonts w:ascii="Traditional Arabic" w:hAnsi="Traditional Arabic"/>
          <w:rtl/>
        </w:rPr>
      </w:pPr>
    </w:p>
    <w:p w:rsidR="00576551" w:rsidRDefault="00576551" w:rsidP="00137074">
      <w:pPr>
        <w:ind w:firstLine="0"/>
        <w:rPr>
          <w:rFonts w:ascii="Traditional Arabic" w:hAnsi="Traditional Arabic"/>
          <w:rtl/>
        </w:rPr>
      </w:pPr>
    </w:p>
    <w:p w:rsidR="00953A3E" w:rsidRDefault="00953A3E" w:rsidP="00137074">
      <w:pPr>
        <w:ind w:firstLine="0"/>
        <w:rPr>
          <w:rFonts w:ascii="Traditional Arabic" w:hAnsi="Traditional Arabic"/>
          <w:rtl/>
        </w:rPr>
      </w:pPr>
    </w:p>
    <w:p w:rsidR="00953A3E" w:rsidRDefault="00953A3E" w:rsidP="00137074">
      <w:pPr>
        <w:ind w:firstLine="0"/>
        <w:rPr>
          <w:rFonts w:ascii="Traditional Arabic" w:hAnsi="Traditional Arabic"/>
          <w:rtl/>
        </w:rPr>
      </w:pPr>
    </w:p>
    <w:p w:rsidR="00953A3E" w:rsidRDefault="00953A3E" w:rsidP="00137074">
      <w:pPr>
        <w:ind w:firstLine="0"/>
        <w:rPr>
          <w:rFonts w:ascii="Traditional Arabic" w:hAnsi="Traditional Arabic"/>
          <w:rtl/>
        </w:rPr>
      </w:pPr>
    </w:p>
    <w:p w:rsidR="00953A3E" w:rsidRDefault="00953A3E" w:rsidP="00137074">
      <w:pPr>
        <w:ind w:firstLine="0"/>
        <w:rPr>
          <w:rFonts w:ascii="Traditional Arabic" w:hAnsi="Traditional Arabic"/>
          <w:rtl/>
        </w:rPr>
      </w:pPr>
    </w:p>
    <w:p w:rsidR="00953A3E" w:rsidRDefault="00953A3E" w:rsidP="00137074">
      <w:pPr>
        <w:ind w:firstLine="0"/>
        <w:rPr>
          <w:rFonts w:ascii="Traditional Arabic" w:hAnsi="Traditional Arabic"/>
          <w:rtl/>
        </w:rPr>
      </w:pPr>
    </w:p>
    <w:p w:rsidR="00953A3E" w:rsidRDefault="00953A3E" w:rsidP="00137074">
      <w:pPr>
        <w:ind w:firstLine="0"/>
        <w:rPr>
          <w:rFonts w:ascii="Traditional Arabic" w:hAnsi="Traditional Arabic"/>
          <w:rtl/>
        </w:rPr>
      </w:pPr>
    </w:p>
    <w:p w:rsidR="00953A3E" w:rsidRDefault="00953A3E" w:rsidP="00137074">
      <w:pPr>
        <w:ind w:firstLine="0"/>
        <w:rPr>
          <w:rFonts w:ascii="Traditional Arabic" w:hAnsi="Traditional Arabic"/>
          <w:rtl/>
        </w:rPr>
      </w:pPr>
    </w:p>
    <w:p w:rsidR="00953A3E" w:rsidRDefault="00953A3E" w:rsidP="00137074">
      <w:pPr>
        <w:ind w:firstLine="0"/>
        <w:rPr>
          <w:rFonts w:ascii="Traditional Arabic" w:hAnsi="Traditional Arabic"/>
          <w:rtl/>
        </w:rPr>
      </w:pPr>
    </w:p>
    <w:p w:rsidR="00953A3E" w:rsidRDefault="00953A3E" w:rsidP="00137074">
      <w:pPr>
        <w:ind w:firstLine="0"/>
        <w:rPr>
          <w:rFonts w:ascii="Traditional Arabic" w:hAnsi="Traditional Arabic"/>
          <w:rtl/>
        </w:rPr>
      </w:pPr>
    </w:p>
    <w:p w:rsidR="00953A3E" w:rsidRDefault="00953A3E" w:rsidP="00137074">
      <w:pPr>
        <w:ind w:firstLine="0"/>
        <w:rPr>
          <w:rFonts w:ascii="Traditional Arabic" w:hAnsi="Traditional Arabic"/>
          <w:rtl/>
        </w:rPr>
      </w:pPr>
    </w:p>
    <w:p w:rsidR="00953A3E" w:rsidRDefault="00953A3E" w:rsidP="00137074">
      <w:pPr>
        <w:ind w:firstLine="0"/>
        <w:rPr>
          <w:rFonts w:ascii="Traditional Arabic" w:hAnsi="Traditional Arabic"/>
          <w:rtl/>
        </w:rPr>
      </w:pPr>
    </w:p>
    <w:p w:rsidR="00953A3E" w:rsidRDefault="00953A3E" w:rsidP="00137074">
      <w:pPr>
        <w:ind w:firstLine="0"/>
        <w:rPr>
          <w:rFonts w:ascii="Traditional Arabic" w:hAnsi="Traditional Arabic"/>
          <w:rtl/>
        </w:rPr>
      </w:pPr>
    </w:p>
    <w:p w:rsidR="00953A3E" w:rsidRDefault="00953A3E" w:rsidP="00137074">
      <w:pPr>
        <w:ind w:firstLine="0"/>
        <w:rPr>
          <w:rFonts w:ascii="Traditional Arabic" w:hAnsi="Traditional Arabic"/>
          <w:rtl/>
        </w:rPr>
      </w:pPr>
    </w:p>
    <w:p w:rsidR="00953A3E" w:rsidRDefault="00953A3E" w:rsidP="00137074">
      <w:pPr>
        <w:ind w:firstLine="0"/>
        <w:rPr>
          <w:rFonts w:ascii="Traditional Arabic" w:hAnsi="Traditional Arabic"/>
          <w:rtl/>
        </w:rPr>
      </w:pPr>
    </w:p>
    <w:p w:rsidR="00953A3E" w:rsidRDefault="00953A3E" w:rsidP="00137074">
      <w:pPr>
        <w:ind w:firstLine="0"/>
        <w:rPr>
          <w:rFonts w:ascii="Traditional Arabic" w:hAnsi="Traditional Arabic"/>
          <w:rtl/>
        </w:rPr>
      </w:pPr>
    </w:p>
    <w:p w:rsidR="00953A3E" w:rsidRDefault="00953A3E" w:rsidP="00137074">
      <w:pPr>
        <w:ind w:firstLine="0"/>
        <w:rPr>
          <w:rFonts w:ascii="Traditional Arabic" w:hAnsi="Traditional Arabic"/>
          <w:rtl/>
        </w:rPr>
      </w:pPr>
    </w:p>
    <w:p w:rsidR="00953A3E" w:rsidRDefault="00953A3E" w:rsidP="00137074">
      <w:pPr>
        <w:ind w:firstLine="0"/>
        <w:rPr>
          <w:rFonts w:ascii="Traditional Arabic" w:hAnsi="Traditional Arabic"/>
          <w:rtl/>
        </w:rPr>
      </w:pPr>
    </w:p>
    <w:p w:rsidR="00953A3E" w:rsidRDefault="00953A3E" w:rsidP="00137074">
      <w:pPr>
        <w:ind w:firstLine="0"/>
        <w:rPr>
          <w:rFonts w:ascii="Traditional Arabic" w:hAnsi="Traditional Arabic"/>
          <w:rtl/>
        </w:rPr>
      </w:pPr>
    </w:p>
    <w:p w:rsidR="00953A3E" w:rsidRPr="00953A3E" w:rsidRDefault="00953A3E" w:rsidP="00953A3E">
      <w:pPr>
        <w:ind w:firstLine="0"/>
        <w:jc w:val="center"/>
        <w:rPr>
          <w:b/>
          <w:bCs/>
          <w:sz w:val="44"/>
          <w:szCs w:val="44"/>
        </w:rPr>
      </w:pPr>
      <w:r w:rsidRPr="00953A3E">
        <w:rPr>
          <w:b/>
          <w:bCs/>
          <w:sz w:val="44"/>
          <w:szCs w:val="44"/>
          <w:rtl/>
        </w:rPr>
        <w:lastRenderedPageBreak/>
        <w:t>فهرس الأحاديث النبوية</w:t>
      </w:r>
    </w:p>
    <w:p w:rsidR="00953A3E" w:rsidRPr="00953A3E" w:rsidRDefault="00953A3E" w:rsidP="00953A3E">
      <w:pPr>
        <w:ind w:firstLine="0"/>
        <w:jc w:val="left"/>
        <w:rPr>
          <w:rFonts w:ascii="Traditional Arabic" w:hAnsi="Traditional Arabic"/>
          <w:b/>
          <w:bCs/>
          <w:rtl/>
        </w:rPr>
      </w:pPr>
      <w:r w:rsidRPr="00953A3E">
        <w:rPr>
          <w:rFonts w:ascii="Traditional Arabic" w:hAnsi="Traditional Arabic"/>
          <w:rtl/>
        </w:rPr>
        <w:t xml:space="preserve">      </w:t>
      </w:r>
      <w:r w:rsidRPr="00953A3E">
        <w:rPr>
          <w:rFonts w:ascii="Traditional Arabic" w:hAnsi="Traditional Arabic"/>
          <w:b/>
          <w:bCs/>
          <w:rtl/>
        </w:rPr>
        <w:t xml:space="preserve"> الحديث                                                    </w:t>
      </w:r>
      <w:r w:rsidR="006750FA">
        <w:rPr>
          <w:rFonts w:ascii="Traditional Arabic" w:hAnsi="Traditional Arabic" w:hint="cs"/>
          <w:b/>
          <w:bCs/>
          <w:rtl/>
        </w:rPr>
        <w:t xml:space="preserve">      </w:t>
      </w:r>
      <w:r w:rsidRPr="00953A3E">
        <w:rPr>
          <w:rFonts w:ascii="Traditional Arabic" w:hAnsi="Traditional Arabic"/>
          <w:b/>
          <w:bCs/>
          <w:rtl/>
        </w:rPr>
        <w:t xml:space="preserve">             الصفحة</w:t>
      </w:r>
    </w:p>
    <w:p w:rsidR="00953A3E" w:rsidRPr="00953A3E" w:rsidRDefault="00953A3E" w:rsidP="006750FA">
      <w:pPr>
        <w:ind w:firstLine="0"/>
        <w:rPr>
          <w:rFonts w:ascii="Traditional Arabic" w:hAnsi="Traditional Arabic"/>
          <w:rtl/>
        </w:rPr>
      </w:pPr>
      <w:r w:rsidRPr="00953A3E">
        <w:rPr>
          <w:rFonts w:ascii="Traditional Arabic" w:hAnsi="Traditional Arabic"/>
          <w:rtl/>
          <w:lang w:eastAsia="en-US"/>
        </w:rPr>
        <w:t>اخرج يا أبا بكر فهذا حين  دلكت الشمس</w:t>
      </w:r>
      <w:r w:rsidRPr="00953A3E">
        <w:rPr>
          <w:rFonts w:ascii="Traditional Arabic" w:hAnsi="Traditional Arabic"/>
          <w:rtl/>
        </w:rPr>
        <w:t>....................................... 122</w:t>
      </w:r>
    </w:p>
    <w:p w:rsidR="00953A3E" w:rsidRPr="00953A3E" w:rsidRDefault="00953A3E" w:rsidP="006750FA">
      <w:pPr>
        <w:ind w:firstLine="0"/>
        <w:rPr>
          <w:rFonts w:ascii="Traditional Arabic" w:hAnsi="Traditional Arabic"/>
          <w:rtl/>
        </w:rPr>
      </w:pPr>
      <w:r w:rsidRPr="00953A3E">
        <w:rPr>
          <w:rFonts w:ascii="Traditional Arabic" w:hAnsi="Traditional Arabic"/>
          <w:rtl/>
        </w:rPr>
        <w:t>إِذا دخل أهل الجنة الجنة، وأهل النار النار....................</w:t>
      </w:r>
      <w:r w:rsidR="006750FA">
        <w:rPr>
          <w:rFonts w:ascii="Traditional Arabic" w:hAnsi="Traditional Arabic" w:hint="cs"/>
          <w:rtl/>
        </w:rPr>
        <w:t>..</w:t>
      </w:r>
      <w:r w:rsidRPr="00953A3E">
        <w:rPr>
          <w:rFonts w:ascii="Traditional Arabic" w:hAnsi="Traditional Arabic"/>
          <w:rtl/>
        </w:rPr>
        <w:t>......</w:t>
      </w:r>
      <w:r w:rsidR="003B4175">
        <w:rPr>
          <w:rFonts w:ascii="Traditional Arabic" w:hAnsi="Traditional Arabic" w:hint="cs"/>
          <w:rtl/>
        </w:rPr>
        <w:t>.</w:t>
      </w:r>
      <w:r w:rsidRPr="00953A3E">
        <w:rPr>
          <w:rFonts w:ascii="Traditional Arabic" w:hAnsi="Traditional Arabic"/>
          <w:rtl/>
        </w:rPr>
        <w:t>.............326</w:t>
      </w:r>
    </w:p>
    <w:p w:rsidR="00953A3E" w:rsidRPr="00953A3E" w:rsidRDefault="00953A3E" w:rsidP="006750FA">
      <w:pPr>
        <w:ind w:firstLine="0"/>
        <w:rPr>
          <w:rFonts w:ascii="Traditional Arabic" w:hAnsi="Traditional Arabic"/>
          <w:rtl/>
        </w:rPr>
      </w:pPr>
      <w:r w:rsidRPr="00953A3E">
        <w:rPr>
          <w:rFonts w:ascii="Traditional Arabic" w:hAnsi="Traditional Arabic"/>
          <w:rtl/>
        </w:rPr>
        <w:t>ألا أخبرتَهم أنهم كانوا يسمُّون بأنبيائهم والصالحين قبلَهم..........</w:t>
      </w:r>
      <w:r w:rsidR="006750FA">
        <w:rPr>
          <w:rFonts w:ascii="Traditional Arabic" w:hAnsi="Traditional Arabic" w:hint="cs"/>
          <w:rtl/>
        </w:rPr>
        <w:t>..</w:t>
      </w:r>
      <w:r w:rsidRPr="00953A3E">
        <w:rPr>
          <w:rFonts w:ascii="Traditional Arabic" w:hAnsi="Traditional Arabic"/>
          <w:rtl/>
        </w:rPr>
        <w:t>................. 319</w:t>
      </w:r>
    </w:p>
    <w:p w:rsidR="00953A3E" w:rsidRPr="00953A3E" w:rsidRDefault="00953A3E" w:rsidP="006750FA">
      <w:pPr>
        <w:ind w:firstLine="0"/>
        <w:rPr>
          <w:rFonts w:ascii="Traditional Arabic" w:hAnsi="Traditional Arabic"/>
          <w:rtl/>
        </w:rPr>
      </w:pPr>
      <w:r w:rsidRPr="00953A3E">
        <w:rPr>
          <w:rFonts w:ascii="Traditional Arabic" w:hAnsi="Traditional Arabic"/>
          <w:rtl/>
        </w:rPr>
        <w:t>إِن أشراف قومك قد اجتمعوا ليكلِّموك، فجاءهم سريعاً............................. 142</w:t>
      </w:r>
    </w:p>
    <w:p w:rsidR="00953A3E" w:rsidRPr="00953A3E" w:rsidRDefault="00953A3E" w:rsidP="006750FA">
      <w:pPr>
        <w:ind w:firstLine="0"/>
        <w:rPr>
          <w:rFonts w:ascii="Traditional Arabic" w:hAnsi="Traditional Arabic"/>
          <w:rtl/>
        </w:rPr>
      </w:pPr>
      <w:r w:rsidRPr="00953A3E">
        <w:rPr>
          <w:rFonts w:ascii="Traditional Arabic" w:hAnsi="Traditional Arabic"/>
          <w:rtl/>
        </w:rPr>
        <w:t>أن الأولى كانت نسياناً من موسى...............................</w:t>
      </w:r>
      <w:r w:rsidR="006750FA">
        <w:rPr>
          <w:rFonts w:ascii="Traditional Arabic" w:hAnsi="Traditional Arabic" w:hint="cs"/>
          <w:rtl/>
        </w:rPr>
        <w:t>.</w:t>
      </w:r>
      <w:r w:rsidRPr="00953A3E">
        <w:rPr>
          <w:rFonts w:ascii="Traditional Arabic" w:hAnsi="Traditional Arabic"/>
          <w:rtl/>
        </w:rPr>
        <w:t>................ 251</w:t>
      </w:r>
    </w:p>
    <w:p w:rsidR="00953A3E" w:rsidRPr="00953A3E" w:rsidRDefault="00953A3E" w:rsidP="006750FA">
      <w:pPr>
        <w:ind w:firstLine="0"/>
        <w:rPr>
          <w:rFonts w:ascii="Traditional Arabic" w:hAnsi="Traditional Arabic"/>
          <w:rtl/>
        </w:rPr>
      </w:pPr>
      <w:r w:rsidRPr="00953A3E">
        <w:rPr>
          <w:rFonts w:ascii="Traditional Arabic" w:hAnsi="Traditional Arabic"/>
          <w:rtl/>
        </w:rPr>
        <w:t>إِن الغلام الذي قتله الخضر طُبع كافراً............................</w:t>
      </w:r>
      <w:r w:rsidR="006750FA">
        <w:rPr>
          <w:rFonts w:ascii="Traditional Arabic" w:hAnsi="Traditional Arabic" w:hint="cs"/>
          <w:rtl/>
        </w:rPr>
        <w:t>.</w:t>
      </w:r>
      <w:r w:rsidRPr="00953A3E">
        <w:rPr>
          <w:rFonts w:ascii="Traditional Arabic" w:hAnsi="Traditional Arabic"/>
          <w:rtl/>
        </w:rPr>
        <w:t>................ 260</w:t>
      </w:r>
    </w:p>
    <w:p w:rsidR="00953A3E" w:rsidRPr="00953A3E" w:rsidRDefault="00953A3E" w:rsidP="006750FA">
      <w:pPr>
        <w:ind w:firstLine="0"/>
        <w:rPr>
          <w:rFonts w:ascii="Traditional Arabic" w:hAnsi="Traditional Arabic"/>
          <w:rtl/>
        </w:rPr>
      </w:pPr>
      <w:r w:rsidRPr="00953A3E">
        <w:rPr>
          <w:rFonts w:ascii="Traditional Arabic" w:hAnsi="Traditional Arabic"/>
          <w:rtl/>
        </w:rPr>
        <w:t>إِن الله طَيِّب لا يقبل إِلا الطيِّب.................................</w:t>
      </w:r>
      <w:r w:rsidR="006750FA">
        <w:rPr>
          <w:rFonts w:ascii="Traditional Arabic" w:hAnsi="Traditional Arabic" w:hint="cs"/>
          <w:rtl/>
        </w:rPr>
        <w:t>..</w:t>
      </w:r>
      <w:r w:rsidRPr="00953A3E">
        <w:rPr>
          <w:rFonts w:ascii="Traditional Arabic" w:hAnsi="Traditional Arabic"/>
          <w:rtl/>
        </w:rPr>
        <w:t>............... 288</w:t>
      </w:r>
    </w:p>
    <w:p w:rsidR="00953A3E" w:rsidRPr="00953A3E" w:rsidRDefault="00953A3E" w:rsidP="006750FA">
      <w:pPr>
        <w:ind w:firstLine="0"/>
        <w:rPr>
          <w:rFonts w:ascii="Traditional Arabic" w:hAnsi="Traditional Arabic"/>
          <w:rtl/>
        </w:rPr>
      </w:pPr>
      <w:r w:rsidRPr="00953A3E">
        <w:rPr>
          <w:rFonts w:ascii="Traditional Arabic" w:hAnsi="Traditional Arabic"/>
          <w:rtl/>
        </w:rPr>
        <w:t>إِن الله لا يقبض العلم انتزاعاً..................................................... 139</w:t>
      </w:r>
    </w:p>
    <w:p w:rsidR="00953A3E" w:rsidRPr="00953A3E" w:rsidRDefault="00722E32" w:rsidP="006750FA">
      <w:pPr>
        <w:ind w:firstLine="0"/>
        <w:rPr>
          <w:rFonts w:ascii="Traditional Arabic" w:hAnsi="Traditional Arabic"/>
          <w:rtl/>
        </w:rPr>
      </w:pPr>
      <w:r>
        <w:rPr>
          <w:rFonts w:ascii="Traditional Arabic" w:hAnsi="Traditional Arabic" w:hint="cs"/>
          <w:rtl/>
          <w:lang w:eastAsia="en-US"/>
        </w:rPr>
        <w:t>ما علَيَّ لو فعلت والله يعلم إني لكاره.....................</w:t>
      </w:r>
      <w:r w:rsidR="00953A3E" w:rsidRPr="00953A3E">
        <w:rPr>
          <w:rFonts w:ascii="Traditional Arabic" w:hAnsi="Traditional Arabic"/>
          <w:rtl/>
        </w:rPr>
        <w:t>........................ 117</w:t>
      </w:r>
    </w:p>
    <w:p w:rsidR="00953A3E" w:rsidRPr="00953A3E" w:rsidRDefault="00722E32" w:rsidP="006750FA">
      <w:pPr>
        <w:ind w:firstLine="0"/>
        <w:rPr>
          <w:rFonts w:ascii="Traditional Arabic" w:hAnsi="Traditional Arabic"/>
          <w:rtl/>
        </w:rPr>
      </w:pPr>
      <w:r>
        <w:rPr>
          <w:rFonts w:ascii="Traditional Arabic" w:hAnsi="Traditional Arabic" w:hint="cs"/>
          <w:rtl/>
        </w:rPr>
        <w:t>الحمد لله الذي لم يمتني حتى أمرني أن أصبر نفسي</w:t>
      </w:r>
      <w:r>
        <w:rPr>
          <w:rFonts w:ascii="Traditional Arabic" w:hAnsi="Traditional Arabic"/>
          <w:rtl/>
        </w:rPr>
        <w:t>.........</w:t>
      </w:r>
      <w:r w:rsidR="00953A3E" w:rsidRPr="00953A3E">
        <w:rPr>
          <w:rFonts w:ascii="Traditional Arabic" w:hAnsi="Traditional Arabic"/>
          <w:rtl/>
        </w:rPr>
        <w:t>......................... 204</w:t>
      </w:r>
    </w:p>
    <w:p w:rsidR="00953A3E" w:rsidRPr="00953A3E" w:rsidRDefault="00013768" w:rsidP="006750FA">
      <w:pPr>
        <w:ind w:firstLine="0"/>
        <w:rPr>
          <w:rFonts w:ascii="Traditional Arabic" w:hAnsi="Traditional Arabic"/>
          <w:rtl/>
        </w:rPr>
      </w:pPr>
      <w:r>
        <w:rPr>
          <w:rFonts w:ascii="Traditional Arabic" w:hAnsi="Traditional Arabic" w:hint="cs"/>
          <w:color w:val="0D0D0D"/>
          <w:rtl/>
        </w:rPr>
        <w:t>لا بل أستأني بهم.....................................</w:t>
      </w:r>
      <w:r w:rsidR="00953A3E" w:rsidRPr="00953A3E">
        <w:rPr>
          <w:rFonts w:ascii="Traditional Arabic" w:hAnsi="Traditional Arabic"/>
          <w:rtl/>
        </w:rPr>
        <w:t>.................. 60, 68, 89</w:t>
      </w:r>
    </w:p>
    <w:p w:rsidR="00953A3E" w:rsidRPr="00953A3E" w:rsidRDefault="00013768" w:rsidP="006750FA">
      <w:pPr>
        <w:ind w:firstLine="0"/>
        <w:rPr>
          <w:rFonts w:ascii="Traditional Arabic" w:hAnsi="Traditional Arabic"/>
          <w:rtl/>
        </w:rPr>
      </w:pPr>
      <w:r>
        <w:rPr>
          <w:rFonts w:ascii="Traditional Arabic" w:hAnsi="Traditional Arabic" w:hint="cs"/>
          <w:rtl/>
        </w:rPr>
        <w:t>إن الذي أمشاه على رجليه في الدنيا ...................</w:t>
      </w:r>
      <w:r w:rsidR="00953A3E" w:rsidRPr="00953A3E">
        <w:rPr>
          <w:rFonts w:ascii="Traditional Arabic" w:hAnsi="Traditional Arabic"/>
          <w:rtl/>
        </w:rPr>
        <w:t>......................76, 147</w:t>
      </w:r>
    </w:p>
    <w:p w:rsidR="00953A3E" w:rsidRPr="00953A3E" w:rsidRDefault="00013768" w:rsidP="00013768">
      <w:pPr>
        <w:ind w:firstLine="0"/>
        <w:rPr>
          <w:rFonts w:ascii="Traditional Arabic" w:hAnsi="Traditional Arabic"/>
          <w:rtl/>
        </w:rPr>
      </w:pPr>
      <w:r>
        <w:rPr>
          <w:rFonts w:ascii="Traditional Arabic" w:hAnsi="Traditional Arabic" w:hint="cs"/>
          <w:rtl/>
        </w:rPr>
        <w:t>جاء الحق وزهق الباطل.................................................</w:t>
      </w:r>
      <w:r w:rsidR="00953A3E" w:rsidRPr="00953A3E">
        <w:rPr>
          <w:rFonts w:ascii="Traditional Arabic" w:hAnsi="Traditional Arabic"/>
          <w:rtl/>
        </w:rPr>
        <w:t>........ 13</w:t>
      </w:r>
      <w:r>
        <w:rPr>
          <w:rFonts w:ascii="Traditional Arabic" w:hAnsi="Traditional Arabic" w:hint="cs"/>
          <w:rtl/>
        </w:rPr>
        <w:t>3</w:t>
      </w:r>
    </w:p>
    <w:p w:rsidR="00953A3E" w:rsidRPr="00953A3E" w:rsidRDefault="00953A3E" w:rsidP="006750FA">
      <w:pPr>
        <w:ind w:firstLine="0"/>
        <w:rPr>
          <w:rFonts w:ascii="Traditional Arabic" w:hAnsi="Traditional Arabic"/>
          <w:rtl/>
        </w:rPr>
      </w:pPr>
      <w:r w:rsidRPr="00953A3E">
        <w:rPr>
          <w:rFonts w:ascii="Traditional Arabic" w:hAnsi="Traditional Arabic"/>
          <w:rtl/>
        </w:rPr>
        <w:t xml:space="preserve">أن رسول الله </w:t>
      </w:r>
      <w:r w:rsidRPr="00953A3E">
        <w:rPr>
          <w:rFonts w:ascii="Traditional Arabic" w:hAnsi="Traditional Arabic"/>
        </w:rPr>
        <w:sym w:font="AGA Arabesque" w:char="F072"/>
      </w:r>
      <w:r w:rsidRPr="00953A3E">
        <w:rPr>
          <w:rFonts w:ascii="Traditional Arabic" w:hAnsi="Traditional Arabic"/>
          <w:rtl/>
        </w:rPr>
        <w:t>كان يكتب في أول ما أوحي إِليه: باسمك اللهم..........</w:t>
      </w:r>
      <w:r w:rsidR="006750FA">
        <w:rPr>
          <w:rFonts w:ascii="Traditional Arabic" w:hAnsi="Traditional Arabic" w:hint="cs"/>
          <w:rtl/>
        </w:rPr>
        <w:t>.</w:t>
      </w:r>
      <w:r w:rsidRPr="00953A3E">
        <w:rPr>
          <w:rFonts w:ascii="Traditional Arabic" w:hAnsi="Traditional Arabic"/>
          <w:rtl/>
        </w:rPr>
        <w:t>.......... 160</w:t>
      </w:r>
    </w:p>
    <w:p w:rsidR="00953A3E" w:rsidRPr="00953A3E" w:rsidRDefault="00953A3E" w:rsidP="006750FA">
      <w:pPr>
        <w:ind w:firstLine="0"/>
        <w:rPr>
          <w:rFonts w:ascii="Traditional Arabic" w:hAnsi="Traditional Arabic"/>
          <w:rtl/>
        </w:rPr>
      </w:pPr>
      <w:r w:rsidRPr="00953A3E">
        <w:rPr>
          <w:rFonts w:ascii="Traditional Arabic" w:hAnsi="Traditional Arabic"/>
          <w:rtl/>
        </w:rPr>
        <w:t>أن رسول الله تهجَّد ذات ليلة بمكة، فجعل يقول في سجوده: يا رحمن، يا رحيم....</w:t>
      </w:r>
      <w:r w:rsidR="006750FA">
        <w:rPr>
          <w:rFonts w:ascii="Traditional Arabic" w:hAnsi="Traditional Arabic" w:hint="cs"/>
          <w:rtl/>
        </w:rPr>
        <w:t>.</w:t>
      </w:r>
      <w:r w:rsidRPr="00953A3E">
        <w:rPr>
          <w:rFonts w:ascii="Traditional Arabic" w:hAnsi="Traditional Arabic"/>
          <w:rtl/>
        </w:rPr>
        <w:t>... 159</w:t>
      </w:r>
    </w:p>
    <w:p w:rsidR="00953A3E" w:rsidRPr="00953A3E" w:rsidRDefault="00953A3E" w:rsidP="006750FA">
      <w:pPr>
        <w:ind w:firstLine="0"/>
        <w:rPr>
          <w:rFonts w:ascii="Traditional Arabic" w:hAnsi="Traditional Arabic"/>
          <w:rtl/>
        </w:rPr>
      </w:pPr>
      <w:r w:rsidRPr="00953A3E">
        <w:rPr>
          <w:rFonts w:ascii="Traditional Arabic" w:hAnsi="Traditional Arabic"/>
          <w:rtl/>
        </w:rPr>
        <w:t xml:space="preserve">أن رسول الله </w:t>
      </w:r>
      <w:r w:rsidRPr="00953A3E">
        <w:rPr>
          <w:rFonts w:ascii="Traditional Arabic" w:hAnsi="Traditional Arabic"/>
        </w:rPr>
        <w:sym w:font="AGA Arabesque" w:char="F072"/>
      </w:r>
      <w:r w:rsidRPr="00953A3E">
        <w:rPr>
          <w:rFonts w:ascii="Traditional Arabic" w:hAnsi="Traditional Arabic"/>
          <w:rtl/>
        </w:rPr>
        <w:t xml:space="preserve"> كان يرفع صوته بالقرآن...................</w:t>
      </w:r>
      <w:r w:rsidR="006750FA">
        <w:rPr>
          <w:rFonts w:ascii="Traditional Arabic" w:hAnsi="Traditional Arabic" w:hint="cs"/>
          <w:rtl/>
        </w:rPr>
        <w:t>.</w:t>
      </w:r>
      <w:r w:rsidRPr="00953A3E">
        <w:rPr>
          <w:rFonts w:ascii="Traditional Arabic" w:hAnsi="Traditional Arabic"/>
          <w:rtl/>
        </w:rPr>
        <w:t>...................... 160</w:t>
      </w:r>
    </w:p>
    <w:p w:rsidR="00953A3E" w:rsidRPr="00953A3E" w:rsidRDefault="00953A3E" w:rsidP="006750FA">
      <w:pPr>
        <w:ind w:firstLine="0"/>
        <w:rPr>
          <w:rFonts w:ascii="Traditional Arabic" w:hAnsi="Traditional Arabic"/>
          <w:rtl/>
        </w:rPr>
      </w:pPr>
      <w:r w:rsidRPr="00953A3E">
        <w:rPr>
          <w:rFonts w:ascii="Traditional Arabic" w:hAnsi="Traditional Arabic"/>
          <w:color w:val="0D0D0D"/>
          <w:rtl/>
          <w:lang w:eastAsia="en-US"/>
        </w:rPr>
        <w:t>أن رسول الله</w:t>
      </w:r>
      <w:r w:rsidRPr="00953A3E">
        <w:rPr>
          <w:rFonts w:ascii="Traditional Arabic" w:hAnsi="Traditional Arabic"/>
        </w:rPr>
        <w:sym w:font="AGA Arabesque" w:char="F072"/>
      </w:r>
      <w:r w:rsidRPr="00953A3E">
        <w:rPr>
          <w:rFonts w:ascii="Traditional Arabic" w:hAnsi="Traditional Arabic"/>
        </w:rPr>
        <w:t xml:space="preserve"> </w:t>
      </w:r>
      <w:r w:rsidRPr="00953A3E">
        <w:rPr>
          <w:rFonts w:ascii="Traditional Arabic" w:hAnsi="Traditional Arabic"/>
          <w:color w:val="0D0D0D"/>
          <w:rtl/>
          <w:lang w:eastAsia="en-US"/>
        </w:rPr>
        <w:t xml:space="preserve"> كان قد أُرِيَ أنه يدخل مكة</w:t>
      </w:r>
      <w:r w:rsidRPr="00953A3E">
        <w:rPr>
          <w:rFonts w:ascii="Traditional Arabic" w:hAnsi="Traditional Arabic"/>
          <w:rtl/>
        </w:rPr>
        <w:t>............</w:t>
      </w:r>
      <w:r w:rsidR="006750FA">
        <w:rPr>
          <w:rFonts w:ascii="Traditional Arabic" w:hAnsi="Traditional Arabic" w:hint="cs"/>
          <w:rtl/>
        </w:rPr>
        <w:t>.</w:t>
      </w:r>
      <w:r w:rsidRPr="00953A3E">
        <w:rPr>
          <w:rFonts w:ascii="Traditional Arabic" w:hAnsi="Traditional Arabic"/>
          <w:rtl/>
        </w:rPr>
        <w:t>.....................  59, 94</w:t>
      </w:r>
    </w:p>
    <w:p w:rsidR="00953A3E" w:rsidRPr="00953A3E" w:rsidRDefault="00953A3E" w:rsidP="006750FA">
      <w:pPr>
        <w:ind w:firstLine="0"/>
        <w:rPr>
          <w:rFonts w:ascii="Traditional Arabic" w:hAnsi="Traditional Arabic"/>
          <w:rtl/>
        </w:rPr>
      </w:pPr>
      <w:r w:rsidRPr="00953A3E">
        <w:rPr>
          <w:rFonts w:ascii="Traditional Arabic" w:hAnsi="Traditional Arabic"/>
          <w:rtl/>
        </w:rPr>
        <w:t>أن زكريا كان نجاراً............................................</w:t>
      </w:r>
      <w:r w:rsidR="006750FA">
        <w:rPr>
          <w:rFonts w:ascii="Traditional Arabic" w:hAnsi="Traditional Arabic" w:hint="cs"/>
          <w:rtl/>
        </w:rPr>
        <w:t>.</w:t>
      </w:r>
      <w:r w:rsidRPr="00953A3E">
        <w:rPr>
          <w:rFonts w:ascii="Traditional Arabic" w:hAnsi="Traditional Arabic"/>
          <w:rtl/>
        </w:rPr>
        <w:t>.........</w:t>
      </w:r>
      <w:r w:rsidR="003B4175">
        <w:rPr>
          <w:rFonts w:ascii="Traditional Arabic" w:hAnsi="Traditional Arabic" w:hint="cs"/>
          <w:rtl/>
        </w:rPr>
        <w:t>.</w:t>
      </w:r>
      <w:r w:rsidRPr="00953A3E">
        <w:rPr>
          <w:rFonts w:ascii="Traditional Arabic" w:hAnsi="Traditional Arabic"/>
          <w:rtl/>
        </w:rPr>
        <w:t>........ 296</w:t>
      </w:r>
    </w:p>
    <w:p w:rsidR="00953A3E" w:rsidRPr="00953A3E" w:rsidRDefault="00953A3E" w:rsidP="006750FA">
      <w:pPr>
        <w:ind w:firstLine="0"/>
        <w:rPr>
          <w:rFonts w:ascii="Traditional Arabic" w:hAnsi="Traditional Arabic"/>
          <w:rtl/>
        </w:rPr>
      </w:pPr>
      <w:r w:rsidRPr="00953A3E">
        <w:rPr>
          <w:rFonts w:ascii="Traditional Arabic" w:hAnsi="Traditional Arabic"/>
          <w:rtl/>
        </w:rPr>
        <w:t>إِن عجزتم عن الليل، أن  تكابدوه................................................. 226</w:t>
      </w:r>
    </w:p>
    <w:p w:rsidR="00953A3E" w:rsidRPr="00953A3E" w:rsidRDefault="00013768" w:rsidP="006750FA">
      <w:pPr>
        <w:ind w:firstLine="0"/>
        <w:rPr>
          <w:rFonts w:ascii="Traditional Arabic" w:hAnsi="Traditional Arabic"/>
          <w:rtl/>
        </w:rPr>
      </w:pPr>
      <w:r>
        <w:rPr>
          <w:rFonts w:ascii="Traditional Arabic" w:hAnsi="Traditional Arabic" w:hint="cs"/>
          <w:rtl/>
        </w:rPr>
        <w:t>غداً أخبركم بذلك</w:t>
      </w:r>
      <w:r w:rsidR="00A05011">
        <w:rPr>
          <w:rFonts w:ascii="Traditional Arabic" w:hAnsi="Traditional Arabic" w:hint="cs"/>
          <w:rtl/>
        </w:rPr>
        <w:t xml:space="preserve"> ...</w:t>
      </w:r>
      <w:r w:rsidR="00953A3E" w:rsidRPr="00953A3E">
        <w:rPr>
          <w:rFonts w:ascii="Traditional Arabic" w:hAnsi="Traditional Arabic"/>
          <w:rtl/>
        </w:rPr>
        <w:t>...............</w:t>
      </w:r>
      <w:r w:rsidR="00A05011">
        <w:rPr>
          <w:rFonts w:ascii="Traditional Arabic" w:hAnsi="Traditional Arabic" w:hint="cs"/>
          <w:rtl/>
        </w:rPr>
        <w:t>...............</w:t>
      </w:r>
      <w:r w:rsidR="00953A3E" w:rsidRPr="00953A3E">
        <w:rPr>
          <w:rFonts w:ascii="Traditional Arabic" w:hAnsi="Traditional Arabic"/>
          <w:rtl/>
        </w:rPr>
        <w:t>............................ 197</w:t>
      </w:r>
    </w:p>
    <w:p w:rsidR="00953A3E" w:rsidRPr="00953A3E" w:rsidRDefault="00953A3E" w:rsidP="006750FA">
      <w:pPr>
        <w:ind w:firstLine="0"/>
        <w:rPr>
          <w:rFonts w:ascii="Traditional Arabic" w:hAnsi="Traditional Arabic"/>
          <w:rtl/>
        </w:rPr>
      </w:pPr>
      <w:r w:rsidRPr="00953A3E">
        <w:rPr>
          <w:rFonts w:ascii="Traditional Arabic" w:hAnsi="Traditional Arabic"/>
          <w:rtl/>
        </w:rPr>
        <w:t>إِن موسى قام خطيباً في بني إِسرائيل..................................  56, 241, 243</w:t>
      </w:r>
    </w:p>
    <w:p w:rsidR="00953A3E" w:rsidRPr="00953A3E" w:rsidRDefault="00953A3E" w:rsidP="006750FA">
      <w:pPr>
        <w:ind w:firstLine="0"/>
        <w:rPr>
          <w:rFonts w:ascii="Traditional Arabic" w:hAnsi="Traditional Arabic"/>
          <w:b/>
          <w:bCs/>
          <w:rtl/>
        </w:rPr>
      </w:pPr>
      <w:r w:rsidRPr="00953A3E">
        <w:rPr>
          <w:rFonts w:ascii="Traditional Arabic" w:hAnsi="Traditional Arabic"/>
          <w:rtl/>
          <w:lang w:eastAsia="en-US"/>
        </w:rPr>
        <w:t>إِن يأجوج ومأجوج ليَحفرون السدَّ كل يوم ................................... 55, 279</w:t>
      </w:r>
    </w:p>
    <w:p w:rsidR="00953A3E" w:rsidRPr="00953A3E" w:rsidRDefault="00A05011" w:rsidP="006750FA">
      <w:pPr>
        <w:ind w:firstLine="0"/>
        <w:rPr>
          <w:rFonts w:ascii="Traditional Arabic" w:hAnsi="Traditional Arabic"/>
          <w:rtl/>
        </w:rPr>
      </w:pPr>
      <w:r>
        <w:rPr>
          <w:rFonts w:ascii="Traditional Arabic" w:hAnsi="Traditional Arabic" w:hint="cs"/>
          <w:rtl/>
        </w:rPr>
        <w:t xml:space="preserve">لا تشركوا بالله شيئاً </w:t>
      </w:r>
      <w:r w:rsidR="00953A3E" w:rsidRPr="00953A3E">
        <w:rPr>
          <w:rFonts w:ascii="Traditional Arabic" w:hAnsi="Traditional Arabic"/>
          <w:rtl/>
        </w:rPr>
        <w:t>........</w:t>
      </w:r>
      <w:r>
        <w:rPr>
          <w:rFonts w:ascii="Traditional Arabic" w:hAnsi="Traditional Arabic" w:hint="cs"/>
          <w:rtl/>
        </w:rPr>
        <w:t>............................</w:t>
      </w:r>
      <w:r w:rsidR="00953A3E" w:rsidRPr="00953A3E">
        <w:rPr>
          <w:rFonts w:ascii="Traditional Arabic" w:hAnsi="Traditional Arabic"/>
          <w:rtl/>
        </w:rPr>
        <w:t>......................... 151</w:t>
      </w:r>
    </w:p>
    <w:p w:rsidR="00953A3E" w:rsidRPr="00953A3E" w:rsidRDefault="00953A3E" w:rsidP="006750FA">
      <w:pPr>
        <w:ind w:firstLine="0"/>
        <w:rPr>
          <w:rFonts w:ascii="Traditional Arabic" w:hAnsi="Traditional Arabic"/>
          <w:rtl/>
        </w:rPr>
      </w:pPr>
      <w:r w:rsidRPr="00953A3E">
        <w:rPr>
          <w:rFonts w:ascii="Traditional Arabic" w:hAnsi="Traditional Arabic"/>
          <w:rtl/>
        </w:rPr>
        <w:lastRenderedPageBreak/>
        <w:t>إِنكم لا تدعون أصمّ...............................................</w:t>
      </w:r>
      <w:r w:rsidR="003B4175">
        <w:rPr>
          <w:rFonts w:ascii="Traditional Arabic" w:hAnsi="Traditional Arabic" w:hint="cs"/>
          <w:rtl/>
        </w:rPr>
        <w:t>..</w:t>
      </w:r>
      <w:r w:rsidRPr="00953A3E">
        <w:rPr>
          <w:rFonts w:ascii="Traditional Arabic" w:hAnsi="Traditional Arabic"/>
          <w:rtl/>
        </w:rPr>
        <w:t>........... 293</w:t>
      </w:r>
    </w:p>
    <w:p w:rsidR="00953A3E" w:rsidRPr="00953A3E" w:rsidRDefault="00953A3E" w:rsidP="006750FA">
      <w:pPr>
        <w:widowControl/>
        <w:bidi w:val="0"/>
        <w:ind w:firstLine="0"/>
        <w:rPr>
          <w:rFonts w:ascii="Traditional Arabic" w:hAnsi="Traditional Arabic"/>
          <w:rtl/>
        </w:rPr>
      </w:pPr>
      <w:r w:rsidRPr="00953A3E">
        <w:rPr>
          <w:rFonts w:ascii="Traditional Arabic" w:hAnsi="Traditional Arabic"/>
          <w:rtl/>
        </w:rPr>
        <w:t>أنه جلس في فروة بيضاء فاخضرَّت................................................ 248</w:t>
      </w:r>
    </w:p>
    <w:p w:rsidR="00953A3E" w:rsidRPr="00953A3E" w:rsidRDefault="00953A3E" w:rsidP="006750FA">
      <w:pPr>
        <w:ind w:firstLine="0"/>
        <w:rPr>
          <w:rFonts w:ascii="Traditional Arabic" w:hAnsi="Traditional Arabic"/>
          <w:rtl/>
        </w:rPr>
      </w:pPr>
      <w:r w:rsidRPr="00953A3E">
        <w:rPr>
          <w:rFonts w:ascii="Traditional Arabic" w:hAnsi="Traditional Arabic"/>
          <w:rtl/>
        </w:rPr>
        <w:t>أنه سبع سنين...........................................</w:t>
      </w:r>
      <w:r w:rsidR="003B4175">
        <w:rPr>
          <w:rFonts w:ascii="Traditional Arabic" w:hAnsi="Traditional Arabic" w:hint="cs"/>
          <w:rtl/>
        </w:rPr>
        <w:t>..</w:t>
      </w:r>
      <w:r w:rsidRPr="00953A3E">
        <w:rPr>
          <w:rFonts w:ascii="Traditional Arabic" w:hAnsi="Traditional Arabic"/>
          <w:rtl/>
        </w:rPr>
        <w:t>..................... 300</w:t>
      </w:r>
    </w:p>
    <w:p w:rsidR="00953A3E" w:rsidRPr="00953A3E" w:rsidRDefault="00953A3E" w:rsidP="006750FA">
      <w:pPr>
        <w:ind w:firstLine="0"/>
        <w:rPr>
          <w:rFonts w:ascii="Traditional Arabic" w:hAnsi="Traditional Arabic"/>
          <w:rtl/>
        </w:rPr>
      </w:pPr>
      <w:r w:rsidRPr="00953A3E">
        <w:rPr>
          <w:rFonts w:ascii="Traditional Arabic" w:hAnsi="Traditional Arabic"/>
          <w:rtl/>
        </w:rPr>
        <w:t>أنه كان ذهباً وفضة..............................................</w:t>
      </w:r>
      <w:r w:rsidR="006750FA">
        <w:rPr>
          <w:rFonts w:ascii="Traditional Arabic" w:hAnsi="Traditional Arabic" w:hint="cs"/>
          <w:rtl/>
        </w:rPr>
        <w:t>.</w:t>
      </w:r>
      <w:r w:rsidRPr="00953A3E">
        <w:rPr>
          <w:rFonts w:ascii="Traditional Arabic" w:hAnsi="Traditional Arabic"/>
          <w:rtl/>
        </w:rPr>
        <w:t>....</w:t>
      </w:r>
      <w:r w:rsidR="003B4175">
        <w:rPr>
          <w:rFonts w:ascii="Traditional Arabic" w:hAnsi="Traditional Arabic" w:hint="cs"/>
          <w:rtl/>
        </w:rPr>
        <w:t>.</w:t>
      </w:r>
      <w:r w:rsidRPr="00953A3E">
        <w:rPr>
          <w:rFonts w:ascii="Traditional Arabic" w:hAnsi="Traditional Arabic"/>
          <w:rtl/>
        </w:rPr>
        <w:t>.......... 263</w:t>
      </w:r>
    </w:p>
    <w:p w:rsidR="00953A3E" w:rsidRPr="00953A3E" w:rsidRDefault="00953A3E" w:rsidP="006750FA">
      <w:pPr>
        <w:ind w:firstLine="0"/>
        <w:rPr>
          <w:rFonts w:ascii="Traditional Arabic" w:hAnsi="Traditional Arabic"/>
          <w:rtl/>
          <w:lang w:eastAsia="en-US"/>
        </w:rPr>
      </w:pPr>
      <w:r w:rsidRPr="00953A3E">
        <w:rPr>
          <w:rFonts w:ascii="Traditional Arabic" w:hAnsi="Traditional Arabic"/>
          <w:rtl/>
          <w:lang w:eastAsia="en-US"/>
        </w:rPr>
        <w:t>تشهده ملائكة  الليل، وملائكة النهار............................................ 126</w:t>
      </w:r>
    </w:p>
    <w:p w:rsidR="00953A3E" w:rsidRPr="00953A3E" w:rsidRDefault="00953A3E" w:rsidP="006750FA">
      <w:pPr>
        <w:ind w:firstLine="0"/>
        <w:rPr>
          <w:rFonts w:ascii="Traditional Arabic" w:hAnsi="Traditional Arabic"/>
          <w:rtl/>
        </w:rPr>
      </w:pPr>
      <w:r w:rsidRPr="00953A3E">
        <w:rPr>
          <w:rFonts w:ascii="Traditional Arabic" w:hAnsi="Traditional Arabic"/>
          <w:rtl/>
        </w:rPr>
        <w:t>ثم دع الماء يرجع إِلى الجَدْر........................................</w:t>
      </w:r>
      <w:r w:rsidR="006750FA">
        <w:rPr>
          <w:rFonts w:ascii="Traditional Arabic" w:hAnsi="Traditional Arabic" w:hint="cs"/>
          <w:rtl/>
        </w:rPr>
        <w:t>.</w:t>
      </w:r>
      <w:r w:rsidRPr="00953A3E">
        <w:rPr>
          <w:rFonts w:ascii="Traditional Arabic" w:hAnsi="Traditional Arabic"/>
          <w:rtl/>
        </w:rPr>
        <w:t>......</w:t>
      </w:r>
      <w:r w:rsidR="003B4175">
        <w:rPr>
          <w:rFonts w:ascii="Traditional Arabic" w:hAnsi="Traditional Arabic" w:hint="cs"/>
          <w:rtl/>
        </w:rPr>
        <w:t>.</w:t>
      </w:r>
      <w:r w:rsidRPr="00953A3E">
        <w:rPr>
          <w:rFonts w:ascii="Traditional Arabic" w:hAnsi="Traditional Arabic"/>
          <w:rtl/>
        </w:rPr>
        <w:t>....... 257</w:t>
      </w:r>
    </w:p>
    <w:p w:rsidR="00953A3E" w:rsidRPr="00953A3E" w:rsidRDefault="00953A3E" w:rsidP="006750FA">
      <w:pPr>
        <w:ind w:firstLine="0"/>
        <w:rPr>
          <w:rFonts w:ascii="Traditional Arabic" w:hAnsi="Traditional Arabic"/>
          <w:rtl/>
        </w:rPr>
      </w:pPr>
      <w:r w:rsidRPr="00953A3E">
        <w:rPr>
          <w:rFonts w:ascii="Traditional Arabic" w:hAnsi="Traditional Arabic"/>
          <w:rtl/>
        </w:rPr>
        <w:t>جِنانُ الفردوس أربع</w:t>
      </w:r>
      <w:r w:rsidRPr="00953A3E">
        <w:rPr>
          <w:rFonts w:ascii="Traditional Arabic" w:hAnsi="Traditional Arabic"/>
          <w:b/>
          <w:bCs/>
          <w:rtl/>
        </w:rPr>
        <w:t xml:space="preserve">........................................................ </w:t>
      </w:r>
      <w:r w:rsidRPr="00953A3E">
        <w:rPr>
          <w:rFonts w:ascii="Traditional Arabic" w:hAnsi="Traditional Arabic"/>
          <w:rtl/>
        </w:rPr>
        <w:t>56, 284</w:t>
      </w:r>
    </w:p>
    <w:p w:rsidR="00953A3E" w:rsidRPr="00953A3E" w:rsidRDefault="00953A3E" w:rsidP="006750FA">
      <w:pPr>
        <w:ind w:firstLine="0"/>
        <w:rPr>
          <w:rFonts w:ascii="Traditional Arabic" w:hAnsi="Traditional Arabic"/>
          <w:rtl/>
        </w:rPr>
      </w:pPr>
      <w:r w:rsidRPr="00953A3E">
        <w:rPr>
          <w:rFonts w:ascii="Traditional Arabic" w:hAnsi="Traditional Arabic"/>
          <w:rtl/>
        </w:rPr>
        <w:t>الجنة مائة درجة، ما بين كل درجتين كما بين السماء والأرض....................... 284</w:t>
      </w:r>
    </w:p>
    <w:p w:rsidR="00953A3E" w:rsidRPr="00953A3E" w:rsidRDefault="00953A3E" w:rsidP="006750FA">
      <w:pPr>
        <w:ind w:firstLine="0"/>
        <w:rPr>
          <w:rFonts w:ascii="Traditional Arabic" w:hAnsi="Traditional Arabic"/>
          <w:rtl/>
        </w:rPr>
      </w:pPr>
      <w:r w:rsidRPr="00953A3E">
        <w:rPr>
          <w:rFonts w:ascii="Traditional Arabic" w:hAnsi="Traditional Arabic"/>
          <w:rtl/>
          <w:lang w:eastAsia="en-US"/>
        </w:rPr>
        <w:t>يأجوج</w:t>
      </w:r>
      <w:r w:rsidR="00A05011">
        <w:rPr>
          <w:rFonts w:ascii="Traditional Arabic" w:hAnsi="Traditional Arabic" w:hint="cs"/>
          <w:rtl/>
          <w:lang w:eastAsia="en-US"/>
        </w:rPr>
        <w:t xml:space="preserve"> أُمة,</w:t>
      </w:r>
      <w:r w:rsidRPr="00953A3E">
        <w:rPr>
          <w:rFonts w:ascii="Traditional Arabic" w:hAnsi="Traditional Arabic"/>
          <w:rtl/>
          <w:lang w:eastAsia="en-US"/>
        </w:rPr>
        <w:t xml:space="preserve"> ومأجوج</w:t>
      </w:r>
      <w:r w:rsidR="00A05011">
        <w:rPr>
          <w:rFonts w:ascii="Traditional Arabic" w:hAnsi="Traditional Arabic" w:hint="cs"/>
          <w:rtl/>
        </w:rPr>
        <w:t xml:space="preserve"> أُمة...............</w:t>
      </w:r>
      <w:r w:rsidRPr="00953A3E">
        <w:rPr>
          <w:rFonts w:ascii="Traditional Arabic" w:hAnsi="Traditional Arabic"/>
          <w:rtl/>
        </w:rPr>
        <w:t>.............................</w:t>
      </w:r>
      <w:r w:rsidR="003B4175">
        <w:rPr>
          <w:rFonts w:ascii="Traditional Arabic" w:hAnsi="Traditional Arabic" w:hint="cs"/>
          <w:rtl/>
        </w:rPr>
        <w:t>.</w:t>
      </w:r>
      <w:r w:rsidRPr="00953A3E">
        <w:rPr>
          <w:rFonts w:ascii="Traditional Arabic" w:hAnsi="Traditional Arabic"/>
          <w:rtl/>
        </w:rPr>
        <w:t>............ 275</w:t>
      </w:r>
    </w:p>
    <w:p w:rsidR="00953A3E" w:rsidRPr="00953A3E" w:rsidRDefault="00A05011" w:rsidP="006750FA">
      <w:pPr>
        <w:ind w:firstLine="0"/>
        <w:rPr>
          <w:rFonts w:ascii="Traditional Arabic" w:hAnsi="Traditional Arabic"/>
          <w:rtl/>
        </w:rPr>
      </w:pPr>
      <w:r>
        <w:rPr>
          <w:rFonts w:ascii="Traditional Arabic" w:hAnsi="Traditional Arabic"/>
          <w:rtl/>
        </w:rPr>
        <w:t>فما رأيت</w:t>
      </w:r>
      <w:r w:rsidR="00953A3E" w:rsidRPr="00953A3E">
        <w:rPr>
          <w:rFonts w:ascii="Traditional Arabic" w:hAnsi="Traditional Arabic"/>
          <w:rtl/>
        </w:rPr>
        <w:t xml:space="preserve"> عبقريّا يفري فري عمر....................................</w:t>
      </w:r>
      <w:r w:rsidR="003B4175">
        <w:rPr>
          <w:rFonts w:ascii="Traditional Arabic" w:hAnsi="Traditional Arabic" w:hint="cs"/>
          <w:rtl/>
        </w:rPr>
        <w:t>..</w:t>
      </w:r>
      <w:r w:rsidR="00953A3E" w:rsidRPr="00953A3E">
        <w:rPr>
          <w:rFonts w:ascii="Traditional Arabic" w:hAnsi="Traditional Arabic"/>
          <w:rtl/>
        </w:rPr>
        <w:t>........... 318</w:t>
      </w:r>
    </w:p>
    <w:p w:rsidR="00953A3E" w:rsidRPr="00953A3E" w:rsidRDefault="00953A3E" w:rsidP="006750FA">
      <w:pPr>
        <w:ind w:firstLine="0"/>
        <w:rPr>
          <w:rFonts w:ascii="Traditional Arabic" w:hAnsi="Traditional Arabic"/>
          <w:rtl/>
        </w:rPr>
      </w:pPr>
      <w:r w:rsidRPr="00953A3E">
        <w:rPr>
          <w:rFonts w:ascii="Traditional Arabic" w:hAnsi="Traditional Arabic"/>
          <w:rtl/>
        </w:rPr>
        <w:t>كانوا أهل قرية لئاماً................................................</w:t>
      </w:r>
      <w:r w:rsidR="003B4175">
        <w:rPr>
          <w:rFonts w:ascii="Traditional Arabic" w:hAnsi="Traditional Arabic" w:hint="cs"/>
          <w:rtl/>
        </w:rPr>
        <w:t>..</w:t>
      </w:r>
      <w:r w:rsidRPr="00953A3E">
        <w:rPr>
          <w:rFonts w:ascii="Traditional Arabic" w:hAnsi="Traditional Arabic"/>
          <w:rtl/>
        </w:rPr>
        <w:t>........... 257</w:t>
      </w:r>
    </w:p>
    <w:p w:rsidR="00953A3E" w:rsidRPr="00953A3E" w:rsidRDefault="00953A3E" w:rsidP="006750FA">
      <w:pPr>
        <w:widowControl/>
        <w:bidi w:val="0"/>
        <w:ind w:firstLine="0"/>
        <w:rPr>
          <w:rFonts w:ascii="Traditional Arabic" w:hAnsi="Traditional Arabic"/>
          <w:color w:val="auto"/>
          <w:rtl/>
          <w:lang w:eastAsia="en-US"/>
        </w:rPr>
      </w:pPr>
      <w:r w:rsidRPr="00953A3E">
        <w:rPr>
          <w:rFonts w:ascii="Traditional Arabic" w:hAnsi="Traditional Arabic"/>
          <w:rtl/>
        </w:rPr>
        <w:t>لا إِله إِلا الله، والله أكبر، والحمد لله ولا قوة إِلا بالله</w:t>
      </w:r>
      <w:r w:rsidRPr="00953A3E">
        <w:rPr>
          <w:rFonts w:ascii="Traditional Arabic" w:hAnsi="Traditional Arabic"/>
          <w:color w:val="auto"/>
          <w:rtl/>
          <w:lang w:eastAsia="en-US"/>
        </w:rPr>
        <w:t>................................ 226</w:t>
      </w:r>
    </w:p>
    <w:p w:rsidR="00953A3E" w:rsidRPr="00953A3E" w:rsidRDefault="00953A3E" w:rsidP="006750FA">
      <w:pPr>
        <w:ind w:firstLine="0"/>
        <w:rPr>
          <w:rFonts w:ascii="Traditional Arabic" w:hAnsi="Traditional Arabic"/>
          <w:rtl/>
        </w:rPr>
      </w:pPr>
      <w:r w:rsidRPr="00953A3E">
        <w:rPr>
          <w:rFonts w:ascii="Traditional Arabic" w:hAnsi="Traditional Arabic"/>
          <w:rtl/>
        </w:rPr>
        <w:t>لا يبقى على رأس مائة سنة ممن هو اليوم على ظهر الأرض أحد..................... 248</w:t>
      </w:r>
    </w:p>
    <w:p w:rsidR="00953A3E" w:rsidRPr="00953A3E" w:rsidRDefault="00953A3E" w:rsidP="006750FA">
      <w:pPr>
        <w:ind w:firstLine="0"/>
        <w:rPr>
          <w:rFonts w:ascii="Traditional Arabic" w:hAnsi="Traditional Arabic"/>
          <w:rtl/>
        </w:rPr>
      </w:pPr>
      <w:r w:rsidRPr="00953A3E">
        <w:rPr>
          <w:rFonts w:ascii="Traditional Arabic" w:hAnsi="Traditional Arabic"/>
          <w:rtl/>
        </w:rPr>
        <w:t>لِسُرادِق النار أربعةُ جُدُرٍ كُثُفٌ</w:t>
      </w:r>
      <w:r w:rsidR="00604338">
        <w:rPr>
          <w:rFonts w:ascii="Traditional Arabic" w:hAnsi="Traditional Arabic"/>
          <w:rtl/>
        </w:rPr>
        <w:t>...............................</w:t>
      </w:r>
      <w:r w:rsidRPr="00953A3E">
        <w:rPr>
          <w:rFonts w:ascii="Traditional Arabic" w:hAnsi="Traditional Arabic"/>
          <w:rtl/>
        </w:rPr>
        <w:t>.................... 207</w:t>
      </w:r>
    </w:p>
    <w:p w:rsidR="00953A3E" w:rsidRPr="00953A3E" w:rsidRDefault="00953A3E" w:rsidP="006750FA">
      <w:pPr>
        <w:ind w:firstLine="0"/>
        <w:rPr>
          <w:rFonts w:ascii="Traditional Arabic" w:hAnsi="Traditional Arabic"/>
          <w:rtl/>
        </w:rPr>
      </w:pPr>
      <w:r w:rsidRPr="00953A3E">
        <w:rPr>
          <w:rFonts w:ascii="Traditional Arabic" w:hAnsi="Traditional Arabic"/>
          <w:rtl/>
        </w:rPr>
        <w:t>من حفظ عشر آيات من أوّ</w:t>
      </w:r>
      <w:r w:rsidR="00604338">
        <w:rPr>
          <w:rFonts w:ascii="Traditional Arabic" w:hAnsi="Traditional Arabic"/>
          <w:rtl/>
        </w:rPr>
        <w:t>ل سورة الكهف...................</w:t>
      </w:r>
      <w:r w:rsidRPr="00953A3E">
        <w:rPr>
          <w:rFonts w:ascii="Traditional Arabic" w:hAnsi="Traditional Arabic"/>
          <w:rtl/>
        </w:rPr>
        <w:t>................... 164</w:t>
      </w:r>
    </w:p>
    <w:p w:rsidR="00953A3E" w:rsidRPr="00953A3E" w:rsidRDefault="00953A3E" w:rsidP="006750FA">
      <w:pPr>
        <w:ind w:firstLine="0"/>
        <w:rPr>
          <w:rFonts w:ascii="Traditional Arabic" w:hAnsi="Traditional Arabic"/>
          <w:rtl/>
        </w:rPr>
      </w:pPr>
      <w:r w:rsidRPr="00953A3E">
        <w:rPr>
          <w:rFonts w:ascii="Traditional Arabic" w:hAnsi="Traditional Arabic"/>
          <w:color w:val="auto"/>
          <w:rtl/>
          <w:lang w:eastAsia="en-US"/>
        </w:rPr>
        <w:t>المؤمن أكرم  على الله عزّ وجلّ من الملائكة الذين عنده</w:t>
      </w:r>
      <w:r w:rsidR="00604338">
        <w:rPr>
          <w:rFonts w:ascii="Traditional Arabic" w:hAnsi="Traditional Arabic"/>
          <w:rtl/>
        </w:rPr>
        <w:t>..........</w:t>
      </w:r>
      <w:r w:rsidRPr="00953A3E">
        <w:rPr>
          <w:rFonts w:ascii="Traditional Arabic" w:hAnsi="Traditional Arabic"/>
          <w:rtl/>
        </w:rPr>
        <w:t>.................. 112</w:t>
      </w:r>
    </w:p>
    <w:p w:rsidR="00953A3E" w:rsidRPr="00953A3E" w:rsidRDefault="00953A3E" w:rsidP="006750FA">
      <w:pPr>
        <w:ind w:firstLine="0"/>
        <w:rPr>
          <w:rFonts w:ascii="Traditional Arabic" w:hAnsi="Traditional Arabic"/>
          <w:rtl/>
        </w:rPr>
      </w:pPr>
      <w:r w:rsidRPr="00953A3E">
        <w:rPr>
          <w:rFonts w:ascii="Traditional Arabic" w:hAnsi="Traditional Arabic"/>
          <w:rtl/>
        </w:rPr>
        <w:t>نحن معاشر الأنبياء لا نورَث....</w:t>
      </w:r>
      <w:r w:rsidR="00604338">
        <w:rPr>
          <w:rFonts w:ascii="Traditional Arabic" w:hAnsi="Traditional Arabic"/>
          <w:rtl/>
        </w:rPr>
        <w:t>...............................</w:t>
      </w:r>
      <w:r w:rsidRPr="00953A3E">
        <w:rPr>
          <w:rFonts w:ascii="Traditional Arabic" w:hAnsi="Traditional Arabic"/>
          <w:rtl/>
        </w:rPr>
        <w:t>............  56, 296</w:t>
      </w:r>
    </w:p>
    <w:p w:rsidR="00953A3E" w:rsidRPr="00953A3E" w:rsidRDefault="00953A3E" w:rsidP="006750FA">
      <w:pPr>
        <w:ind w:firstLine="0"/>
        <w:rPr>
          <w:rFonts w:ascii="Traditional Arabic" w:hAnsi="Traditional Arabic"/>
          <w:rtl/>
        </w:rPr>
      </w:pPr>
      <w:r w:rsidRPr="00953A3E">
        <w:rPr>
          <w:rFonts w:ascii="Traditional Arabic" w:hAnsi="Traditional Arabic"/>
          <w:rtl/>
        </w:rPr>
        <w:t>نفّاعاً حيثما توجهت..........</w:t>
      </w:r>
      <w:r w:rsidR="00604338">
        <w:rPr>
          <w:rFonts w:ascii="Traditional Arabic" w:hAnsi="Traditional Arabic"/>
          <w:rtl/>
        </w:rPr>
        <w:t>...........</w:t>
      </w:r>
      <w:r w:rsidR="006750FA">
        <w:rPr>
          <w:rFonts w:ascii="Traditional Arabic" w:hAnsi="Traditional Arabic" w:hint="cs"/>
          <w:rtl/>
        </w:rPr>
        <w:t>..</w:t>
      </w:r>
      <w:r w:rsidR="00604338">
        <w:rPr>
          <w:rFonts w:ascii="Traditional Arabic" w:hAnsi="Traditional Arabic"/>
          <w:rtl/>
        </w:rPr>
        <w:t>....................</w:t>
      </w:r>
      <w:r w:rsidRPr="00953A3E">
        <w:rPr>
          <w:rFonts w:ascii="Traditional Arabic" w:hAnsi="Traditional Arabic"/>
          <w:rtl/>
        </w:rPr>
        <w:t>................ 322</w:t>
      </w:r>
    </w:p>
    <w:p w:rsidR="00953A3E" w:rsidRPr="00953A3E" w:rsidRDefault="00953A3E" w:rsidP="006750FA">
      <w:pPr>
        <w:ind w:firstLine="0"/>
        <w:rPr>
          <w:rFonts w:ascii="Traditional Arabic" w:hAnsi="Traditional Arabic"/>
          <w:rtl/>
        </w:rPr>
      </w:pPr>
      <w:r w:rsidRPr="00953A3E">
        <w:rPr>
          <w:rFonts w:ascii="Traditional Arabic" w:hAnsi="Traditional Arabic"/>
          <w:rtl/>
        </w:rPr>
        <w:t>يؤتى بالرجل الطويل الأكول الشروب</w:t>
      </w:r>
      <w:r w:rsidRPr="00953A3E">
        <w:rPr>
          <w:rFonts w:ascii="Traditional Arabic" w:hAnsi="Traditional Arabic"/>
          <w:b/>
          <w:bCs/>
          <w:rtl/>
        </w:rPr>
        <w:t>........................................</w:t>
      </w:r>
      <w:r w:rsidRPr="00953A3E">
        <w:rPr>
          <w:rFonts w:ascii="Traditional Arabic" w:hAnsi="Traditional Arabic"/>
          <w:rtl/>
        </w:rPr>
        <w:t xml:space="preserve"> 55, 283</w:t>
      </w:r>
    </w:p>
    <w:p w:rsidR="00953A3E" w:rsidRPr="00953A3E" w:rsidRDefault="00953A3E" w:rsidP="006750FA">
      <w:pPr>
        <w:ind w:firstLine="0"/>
        <w:rPr>
          <w:rFonts w:ascii="Traditional Arabic" w:hAnsi="Traditional Arabic"/>
          <w:rtl/>
        </w:rPr>
      </w:pPr>
      <w:r w:rsidRPr="00953A3E">
        <w:rPr>
          <w:rFonts w:ascii="Traditional Arabic" w:hAnsi="Traditional Arabic"/>
          <w:rtl/>
        </w:rPr>
        <w:t>يؤتى يوم القيامة بناسٍ إِلى الجنة</w:t>
      </w:r>
      <w:r w:rsidR="00604338">
        <w:rPr>
          <w:rFonts w:ascii="Traditional Arabic" w:hAnsi="Traditional Arabic"/>
          <w:rtl/>
        </w:rPr>
        <w:t>..............</w:t>
      </w:r>
      <w:r w:rsidR="006750FA">
        <w:rPr>
          <w:rFonts w:ascii="Traditional Arabic" w:hAnsi="Traditional Arabic" w:hint="cs"/>
          <w:rtl/>
        </w:rPr>
        <w:t>..</w:t>
      </w:r>
      <w:r w:rsidR="00604338">
        <w:rPr>
          <w:rFonts w:ascii="Traditional Arabic" w:hAnsi="Traditional Arabic"/>
          <w:rtl/>
        </w:rPr>
        <w:t>.................</w:t>
      </w:r>
      <w:r w:rsidRPr="00953A3E">
        <w:rPr>
          <w:rFonts w:ascii="Traditional Arabic" w:hAnsi="Traditional Arabic"/>
          <w:rtl/>
        </w:rPr>
        <w:t>................. 326</w:t>
      </w:r>
    </w:p>
    <w:p w:rsidR="00953A3E" w:rsidRDefault="00953A3E" w:rsidP="00137074">
      <w:pPr>
        <w:ind w:firstLine="0"/>
        <w:rPr>
          <w:rFonts w:ascii="Traditional Arabic" w:hAnsi="Traditional Arabic"/>
          <w:rtl/>
        </w:rPr>
      </w:pPr>
    </w:p>
    <w:p w:rsidR="00576551" w:rsidRDefault="00576551" w:rsidP="00137074">
      <w:pPr>
        <w:ind w:firstLine="0"/>
        <w:rPr>
          <w:rFonts w:ascii="Traditional Arabic" w:hAnsi="Traditional Arabic"/>
          <w:rtl/>
        </w:rPr>
      </w:pPr>
    </w:p>
    <w:p w:rsidR="00576551" w:rsidRDefault="00576551" w:rsidP="00137074">
      <w:pPr>
        <w:ind w:firstLine="0"/>
        <w:rPr>
          <w:rFonts w:ascii="Traditional Arabic" w:hAnsi="Traditional Arabic"/>
          <w:rtl/>
        </w:rPr>
      </w:pPr>
    </w:p>
    <w:p w:rsidR="00576551" w:rsidRDefault="00576551" w:rsidP="00137074">
      <w:pPr>
        <w:ind w:firstLine="0"/>
        <w:rPr>
          <w:rFonts w:ascii="Traditional Arabic" w:hAnsi="Traditional Arabic"/>
          <w:rtl/>
        </w:rPr>
      </w:pPr>
    </w:p>
    <w:p w:rsidR="00A05011" w:rsidRDefault="00A05011" w:rsidP="00A05011">
      <w:pPr>
        <w:ind w:firstLine="0"/>
        <w:rPr>
          <w:rFonts w:ascii="Traditional Arabic" w:hAnsi="Traditional Arabic"/>
          <w:rtl/>
        </w:rPr>
      </w:pPr>
    </w:p>
    <w:p w:rsidR="006750FA" w:rsidRPr="006750FA" w:rsidRDefault="006750FA" w:rsidP="00A05011">
      <w:pPr>
        <w:ind w:firstLine="0"/>
        <w:jc w:val="center"/>
        <w:rPr>
          <w:b/>
          <w:bCs/>
          <w:sz w:val="44"/>
          <w:szCs w:val="44"/>
          <w:rtl/>
        </w:rPr>
      </w:pPr>
      <w:r w:rsidRPr="006750FA">
        <w:rPr>
          <w:rFonts w:hint="cs"/>
          <w:b/>
          <w:bCs/>
          <w:sz w:val="44"/>
          <w:szCs w:val="44"/>
          <w:rtl/>
        </w:rPr>
        <w:lastRenderedPageBreak/>
        <w:t>فهرس الآثار</w:t>
      </w:r>
    </w:p>
    <w:p w:rsidR="006750FA" w:rsidRPr="006750FA" w:rsidRDefault="006750FA" w:rsidP="006750FA">
      <w:pPr>
        <w:ind w:firstLine="0"/>
        <w:jc w:val="left"/>
        <w:rPr>
          <w:rFonts w:ascii="Traditional Arabic" w:hAnsi="Traditional Arabic"/>
          <w:b/>
          <w:bCs/>
          <w:rtl/>
        </w:rPr>
      </w:pPr>
      <w:r w:rsidRPr="006750FA">
        <w:rPr>
          <w:rFonts w:ascii="Traditional Arabic" w:hAnsi="Traditional Arabic"/>
          <w:rtl/>
        </w:rPr>
        <w:t xml:space="preserve"> </w:t>
      </w:r>
      <w:r w:rsidRPr="006750FA">
        <w:rPr>
          <w:rFonts w:ascii="Traditional Arabic" w:hAnsi="Traditional Arabic"/>
          <w:b/>
          <w:bCs/>
          <w:rtl/>
        </w:rPr>
        <w:t xml:space="preserve"> ال</w:t>
      </w:r>
      <w:r w:rsidRPr="006750FA">
        <w:rPr>
          <w:rFonts w:ascii="Traditional Arabic" w:hAnsi="Traditional Arabic" w:hint="cs"/>
          <w:b/>
          <w:bCs/>
          <w:rtl/>
        </w:rPr>
        <w:t>أثر</w:t>
      </w:r>
      <w:r w:rsidRPr="006750FA">
        <w:rPr>
          <w:rFonts w:ascii="Traditional Arabic" w:hAnsi="Traditional Arabic"/>
          <w:b/>
          <w:bCs/>
          <w:rtl/>
        </w:rPr>
        <w:t xml:space="preserve">                                             </w:t>
      </w:r>
      <w:r w:rsidRPr="006750FA">
        <w:rPr>
          <w:rFonts w:ascii="Traditional Arabic" w:hAnsi="Traditional Arabic" w:hint="cs"/>
          <w:b/>
          <w:bCs/>
          <w:rtl/>
        </w:rPr>
        <w:t xml:space="preserve">                                  </w:t>
      </w:r>
      <w:r w:rsidRPr="006750FA">
        <w:rPr>
          <w:rFonts w:ascii="Traditional Arabic" w:hAnsi="Traditional Arabic"/>
          <w:b/>
          <w:bCs/>
          <w:rtl/>
        </w:rPr>
        <w:t xml:space="preserve"> الصفحة</w:t>
      </w:r>
    </w:p>
    <w:p w:rsidR="006750FA" w:rsidRPr="006750FA" w:rsidRDefault="006750FA" w:rsidP="00925DD8">
      <w:pPr>
        <w:ind w:firstLine="0"/>
        <w:rPr>
          <w:rFonts w:ascii="Traditional Arabic" w:hAnsi="Traditional Arabic"/>
          <w:rtl/>
        </w:rPr>
      </w:pPr>
      <w:r w:rsidRPr="006750FA">
        <w:rPr>
          <w:rFonts w:ascii="Traditional Arabic" w:hAnsi="Traditional Arabic"/>
          <w:rtl/>
        </w:rPr>
        <w:t>أبدلهما به جارية ولدت سبعين نبيّاً</w:t>
      </w:r>
      <w:r w:rsidRPr="006750FA">
        <w:rPr>
          <w:rFonts w:ascii="Traditional Arabic" w:hAnsi="Traditional Arabic" w:hint="cs"/>
          <w:rtl/>
        </w:rPr>
        <w:t>........................................</w:t>
      </w:r>
      <w:r w:rsidR="003B4175">
        <w:rPr>
          <w:rFonts w:ascii="Traditional Arabic" w:hAnsi="Traditional Arabic" w:hint="cs"/>
          <w:rtl/>
        </w:rPr>
        <w:t>.</w:t>
      </w:r>
      <w:r w:rsidRPr="006750FA">
        <w:rPr>
          <w:rFonts w:ascii="Traditional Arabic" w:hAnsi="Traditional Arabic" w:hint="cs"/>
          <w:rtl/>
        </w:rPr>
        <w:t>....... 263</w:t>
      </w:r>
    </w:p>
    <w:p w:rsidR="006750FA" w:rsidRPr="006750FA" w:rsidRDefault="006750FA" w:rsidP="00925DD8">
      <w:pPr>
        <w:ind w:firstLine="0"/>
        <w:rPr>
          <w:rFonts w:ascii="Traditional Arabic" w:hAnsi="Traditional Arabic"/>
          <w:rtl/>
        </w:rPr>
      </w:pPr>
      <w:r w:rsidRPr="006750FA">
        <w:rPr>
          <w:rFonts w:ascii="Traditional Arabic" w:hAnsi="Traditional Arabic"/>
          <w:rtl/>
        </w:rPr>
        <w:t>أتتهم به بعد أربعين يوماً حين طهرت من نفاسها</w:t>
      </w:r>
      <w:r w:rsidRPr="006750FA">
        <w:rPr>
          <w:rFonts w:ascii="Traditional Arabic" w:hAnsi="Traditional Arabic" w:hint="cs"/>
          <w:rtl/>
        </w:rPr>
        <w:t>................................... 317</w:t>
      </w:r>
    </w:p>
    <w:p w:rsidR="006750FA" w:rsidRPr="006750FA" w:rsidRDefault="006750FA" w:rsidP="00925DD8">
      <w:pPr>
        <w:ind w:firstLine="0"/>
        <w:rPr>
          <w:rFonts w:ascii="Traditional Arabic" w:hAnsi="Traditional Arabic"/>
          <w:rtl/>
        </w:rPr>
      </w:pPr>
      <w:r w:rsidRPr="006750FA">
        <w:rPr>
          <w:rFonts w:ascii="Traditional Arabic" w:hAnsi="Traditional Arabic"/>
          <w:rtl/>
        </w:rPr>
        <w:t>أثنى الله عليك، وأنا أثنيت على نفسي</w:t>
      </w:r>
      <w:r w:rsidRPr="006750FA">
        <w:rPr>
          <w:rFonts w:ascii="Traditional Arabic" w:hAnsi="Traditional Arabic" w:hint="cs"/>
          <w:rtl/>
        </w:rPr>
        <w:t>....................................</w:t>
      </w:r>
      <w:r w:rsidR="003B4175">
        <w:rPr>
          <w:rFonts w:ascii="Traditional Arabic" w:hAnsi="Traditional Arabic" w:hint="cs"/>
          <w:rtl/>
        </w:rPr>
        <w:t>.</w:t>
      </w:r>
      <w:r w:rsidRPr="006750FA">
        <w:rPr>
          <w:rFonts w:ascii="Traditional Arabic" w:hAnsi="Traditional Arabic" w:hint="cs"/>
          <w:rtl/>
        </w:rPr>
        <w:t>....... 303</w:t>
      </w:r>
    </w:p>
    <w:p w:rsidR="006750FA" w:rsidRPr="006750FA" w:rsidRDefault="006750FA" w:rsidP="00925DD8">
      <w:pPr>
        <w:ind w:firstLine="0"/>
        <w:rPr>
          <w:rFonts w:ascii="Traditional Arabic" w:hAnsi="Traditional Arabic"/>
          <w:rtl/>
        </w:rPr>
      </w:pPr>
      <w:r w:rsidRPr="006750FA">
        <w:rPr>
          <w:rFonts w:ascii="Traditional Arabic" w:hAnsi="Traditional Arabic"/>
          <w:rtl/>
          <w:lang w:eastAsia="en-US"/>
        </w:rPr>
        <w:t>احملوها إِليَّ</w:t>
      </w:r>
      <w:r w:rsidRPr="006750FA">
        <w:rPr>
          <w:rFonts w:ascii="Traditional Arabic" w:hAnsi="Traditional Arabic" w:hint="cs"/>
          <w:rtl/>
        </w:rPr>
        <w:t>..........................................................</w:t>
      </w:r>
      <w:r w:rsidR="003B4175">
        <w:rPr>
          <w:rFonts w:ascii="Traditional Arabic" w:hAnsi="Traditional Arabic" w:hint="cs"/>
          <w:rtl/>
        </w:rPr>
        <w:t>...</w:t>
      </w:r>
      <w:r w:rsidRPr="006750FA">
        <w:rPr>
          <w:rFonts w:ascii="Traditional Arabic" w:hAnsi="Traditional Arabic" w:hint="cs"/>
          <w:rtl/>
        </w:rPr>
        <w:t>........ 277</w:t>
      </w:r>
    </w:p>
    <w:p w:rsidR="006750FA" w:rsidRPr="006750FA" w:rsidRDefault="006750FA" w:rsidP="00925DD8">
      <w:pPr>
        <w:ind w:firstLine="0"/>
        <w:rPr>
          <w:rFonts w:ascii="Traditional Arabic" w:hAnsi="Traditional Arabic"/>
          <w:rtl/>
        </w:rPr>
      </w:pPr>
      <w:r w:rsidRPr="006750FA">
        <w:rPr>
          <w:rFonts w:ascii="Traditional Arabic" w:hAnsi="Traditional Arabic"/>
          <w:rtl/>
        </w:rPr>
        <w:t>إِذا غربت الشمس خرجوا يتراعَون</w:t>
      </w:r>
      <w:r w:rsidRPr="006750FA">
        <w:rPr>
          <w:rFonts w:ascii="Traditional Arabic" w:hAnsi="Traditional Arabic" w:hint="cs"/>
          <w:rtl/>
        </w:rPr>
        <w:t>....................................</w:t>
      </w:r>
      <w:r w:rsidR="003B4175">
        <w:rPr>
          <w:rFonts w:ascii="Traditional Arabic" w:hAnsi="Traditional Arabic" w:hint="cs"/>
          <w:rtl/>
        </w:rPr>
        <w:t>..</w:t>
      </w:r>
      <w:r w:rsidRPr="006750FA">
        <w:rPr>
          <w:rFonts w:ascii="Traditional Arabic" w:hAnsi="Traditional Arabic" w:hint="cs"/>
          <w:rtl/>
        </w:rPr>
        <w:t>........... 271</w:t>
      </w:r>
    </w:p>
    <w:p w:rsidR="006750FA" w:rsidRPr="006750FA" w:rsidRDefault="006750FA" w:rsidP="00925DD8">
      <w:pPr>
        <w:ind w:firstLine="0"/>
        <w:rPr>
          <w:rFonts w:ascii="Traditional Arabic" w:hAnsi="Traditional Arabic"/>
          <w:rtl/>
        </w:rPr>
      </w:pPr>
      <w:r w:rsidRPr="006750FA">
        <w:rPr>
          <w:rFonts w:ascii="Traditional Arabic" w:hAnsi="Traditional Arabic"/>
          <w:rtl/>
        </w:rPr>
        <w:t>أعطاه علما من علم الغيب</w:t>
      </w:r>
      <w:r w:rsidRPr="006750FA">
        <w:rPr>
          <w:rFonts w:ascii="Traditional Arabic" w:hAnsi="Traditional Arabic" w:hint="cs"/>
          <w:rtl/>
        </w:rPr>
        <w:t>.......................................</w:t>
      </w:r>
      <w:r w:rsidR="003B4175">
        <w:rPr>
          <w:rFonts w:ascii="Traditional Arabic" w:hAnsi="Traditional Arabic" w:hint="cs"/>
          <w:rtl/>
        </w:rPr>
        <w:t>..</w:t>
      </w:r>
      <w:r w:rsidRPr="006750FA">
        <w:rPr>
          <w:rFonts w:ascii="Traditional Arabic" w:hAnsi="Traditional Arabic" w:hint="cs"/>
          <w:rtl/>
        </w:rPr>
        <w:t>............. 249</w:t>
      </w:r>
    </w:p>
    <w:p w:rsidR="006750FA" w:rsidRPr="006750FA" w:rsidRDefault="006750FA" w:rsidP="00925DD8">
      <w:pPr>
        <w:ind w:firstLine="0"/>
        <w:rPr>
          <w:rFonts w:ascii="Traditional Arabic" w:hAnsi="Traditional Arabic"/>
          <w:rtl/>
        </w:rPr>
      </w:pPr>
      <w:r w:rsidRPr="006750FA">
        <w:rPr>
          <w:rFonts w:ascii="Traditional Arabic" w:hAnsi="Traditional Arabic"/>
          <w:rtl/>
        </w:rPr>
        <w:t>إِلا أن تكون تقيّاً</w:t>
      </w:r>
      <w:r w:rsidRPr="006750FA">
        <w:rPr>
          <w:rFonts w:ascii="Traditional Arabic" w:hAnsi="Traditional Arabic" w:hint="cs"/>
          <w:rtl/>
        </w:rPr>
        <w:t>...............................................</w:t>
      </w:r>
      <w:r w:rsidR="003B4175">
        <w:rPr>
          <w:rFonts w:ascii="Traditional Arabic" w:hAnsi="Traditional Arabic" w:hint="cs"/>
          <w:rtl/>
        </w:rPr>
        <w:t>..</w:t>
      </w:r>
      <w:r w:rsidRPr="006750FA">
        <w:rPr>
          <w:rFonts w:ascii="Traditional Arabic" w:hAnsi="Traditional Arabic" w:hint="cs"/>
          <w:rtl/>
        </w:rPr>
        <w:t>............... 305</w:t>
      </w:r>
    </w:p>
    <w:p w:rsidR="006750FA" w:rsidRPr="006750FA" w:rsidRDefault="006750FA" w:rsidP="00925DD8">
      <w:pPr>
        <w:ind w:firstLine="0"/>
        <w:rPr>
          <w:rFonts w:ascii="Traditional Arabic" w:hAnsi="Traditional Arabic"/>
          <w:rtl/>
        </w:rPr>
      </w:pPr>
      <w:r w:rsidRPr="006750FA">
        <w:rPr>
          <w:rtl/>
        </w:rPr>
        <w:t>ألقى الله في نفس رجل من أهل البلد أن يهدم ذلك البنيان</w:t>
      </w:r>
      <w:r w:rsidRPr="006750FA">
        <w:rPr>
          <w:rFonts w:ascii="Traditional Arabic" w:hAnsi="Traditional Arabic" w:hint="cs"/>
          <w:rtl/>
        </w:rPr>
        <w:t>.......................... 175</w:t>
      </w:r>
    </w:p>
    <w:p w:rsidR="006750FA" w:rsidRPr="006750FA" w:rsidRDefault="006750FA" w:rsidP="00925DD8">
      <w:pPr>
        <w:ind w:firstLine="0"/>
        <w:rPr>
          <w:rFonts w:ascii="Traditional Arabic" w:hAnsi="Traditional Arabic"/>
          <w:rtl/>
        </w:rPr>
      </w:pPr>
      <w:r w:rsidRPr="006750FA">
        <w:rPr>
          <w:rFonts w:ascii="Traditional Arabic" w:hAnsi="Traditional Arabic"/>
          <w:color w:val="auto"/>
          <w:rtl/>
          <w:lang w:eastAsia="en-US"/>
        </w:rPr>
        <w:t>إِمام هدى، أو إِمام ضلالة</w:t>
      </w:r>
      <w:r w:rsidRPr="006750FA">
        <w:rPr>
          <w:rFonts w:ascii="Traditional Arabic" w:hAnsi="Traditional Arabic" w:hint="cs"/>
          <w:rtl/>
        </w:rPr>
        <w:t>....................................................... 113</w:t>
      </w:r>
    </w:p>
    <w:p w:rsidR="006750FA" w:rsidRPr="006750FA" w:rsidRDefault="006750FA" w:rsidP="00925DD8">
      <w:pPr>
        <w:ind w:firstLine="0"/>
        <w:rPr>
          <w:rFonts w:ascii="Traditional Arabic" w:hAnsi="Traditional Arabic"/>
          <w:rtl/>
        </w:rPr>
      </w:pPr>
      <w:r w:rsidRPr="006750FA">
        <w:rPr>
          <w:rFonts w:ascii="Traditional Arabic" w:hAnsi="Traditional Arabic"/>
          <w:rtl/>
        </w:rPr>
        <w:t>امترت اليهود فيه والنصارى</w:t>
      </w:r>
      <w:r w:rsidRPr="006750FA">
        <w:rPr>
          <w:rFonts w:ascii="Traditional Arabic" w:hAnsi="Traditional Arabic" w:hint="cs"/>
          <w:rtl/>
        </w:rPr>
        <w:t>..............................................</w:t>
      </w:r>
      <w:r w:rsidR="003B4175">
        <w:rPr>
          <w:rFonts w:ascii="Traditional Arabic" w:hAnsi="Traditional Arabic" w:hint="cs"/>
          <w:rtl/>
        </w:rPr>
        <w:t>..</w:t>
      </w:r>
      <w:r w:rsidRPr="006750FA">
        <w:rPr>
          <w:rFonts w:ascii="Traditional Arabic" w:hAnsi="Traditional Arabic" w:hint="cs"/>
          <w:rtl/>
        </w:rPr>
        <w:t>....... 323</w:t>
      </w:r>
    </w:p>
    <w:p w:rsidR="006750FA" w:rsidRPr="006750FA" w:rsidRDefault="006750FA" w:rsidP="00925DD8">
      <w:pPr>
        <w:ind w:firstLine="0"/>
        <w:rPr>
          <w:rFonts w:ascii="Traditional Arabic" w:hAnsi="Traditional Arabic"/>
          <w:rtl/>
        </w:rPr>
      </w:pPr>
      <w:r w:rsidRPr="006750FA">
        <w:rPr>
          <w:rFonts w:ascii="Traditional Arabic" w:hAnsi="Traditional Arabic"/>
          <w:rtl/>
        </w:rPr>
        <w:t>أُمِرتْ بالصمت، لأنها لم تكن لها حُجَّة عند الناس</w:t>
      </w:r>
      <w:r w:rsidRPr="006750FA">
        <w:rPr>
          <w:rFonts w:ascii="Traditional Arabic" w:hAnsi="Traditional Arabic" w:hint="cs"/>
          <w:rtl/>
        </w:rPr>
        <w:t>................................. 316</w:t>
      </w:r>
    </w:p>
    <w:p w:rsidR="006750FA" w:rsidRPr="006750FA" w:rsidRDefault="006750FA" w:rsidP="00925DD8">
      <w:pPr>
        <w:ind w:firstLine="0"/>
        <w:rPr>
          <w:rFonts w:ascii="Traditional Arabic" w:hAnsi="Traditional Arabic"/>
          <w:rtl/>
        </w:rPr>
      </w:pPr>
      <w:r w:rsidRPr="006750FA">
        <w:rPr>
          <w:rFonts w:ascii="Traditional Arabic" w:hAnsi="Traditional Arabic"/>
          <w:rtl/>
        </w:rPr>
        <w:t>أن المسلم لما احتاج، تعرَّض لأخيه الكافر</w:t>
      </w:r>
      <w:r w:rsidRPr="006750FA">
        <w:rPr>
          <w:rFonts w:ascii="Traditional Arabic" w:hAnsi="Traditional Arabic" w:hint="cs"/>
          <w:rtl/>
        </w:rPr>
        <w:t>.......................................... 213</w:t>
      </w:r>
    </w:p>
    <w:p w:rsidR="006750FA" w:rsidRPr="006750FA" w:rsidRDefault="006750FA" w:rsidP="00925DD8">
      <w:pPr>
        <w:ind w:firstLine="0"/>
        <w:rPr>
          <w:rFonts w:ascii="Traditional Arabic" w:hAnsi="Traditional Arabic"/>
          <w:rtl/>
        </w:rPr>
      </w:pPr>
      <w:r w:rsidRPr="006750FA">
        <w:rPr>
          <w:rFonts w:ascii="Traditional Arabic" w:hAnsi="Traditional Arabic"/>
          <w:color w:val="0D0D0D"/>
          <w:rtl/>
          <w:lang w:eastAsia="en-US"/>
        </w:rPr>
        <w:t>إِن له خيلاً ورَجْلاً من الجن والإِنس</w:t>
      </w:r>
      <w:r w:rsidRPr="006750FA">
        <w:rPr>
          <w:rFonts w:ascii="Traditional Arabic" w:hAnsi="Traditional Arabic" w:hint="cs"/>
          <w:rtl/>
        </w:rPr>
        <w:t>............................................... 101</w:t>
      </w:r>
    </w:p>
    <w:p w:rsidR="006750FA" w:rsidRPr="006750FA" w:rsidRDefault="006750FA" w:rsidP="00925DD8">
      <w:pPr>
        <w:ind w:firstLine="0"/>
        <w:rPr>
          <w:rFonts w:ascii="Traditional Arabic" w:hAnsi="Traditional Arabic"/>
          <w:rtl/>
          <w:lang w:eastAsia="en-US"/>
        </w:rPr>
      </w:pPr>
      <w:r w:rsidRPr="006750FA">
        <w:rPr>
          <w:rFonts w:ascii="Traditional Arabic" w:hAnsi="Traditional Arabic"/>
          <w:rtl/>
        </w:rPr>
        <w:t>ان هذه الآية منسوخة بقوله تعالى:</w:t>
      </w:r>
      <w:r w:rsidRPr="006750FA">
        <w:rPr>
          <w:rFonts w:ascii="Traditional Arabic" w:hAnsi="Traditional Arabic" w:hint="cs"/>
          <w:rtl/>
        </w:rPr>
        <w:t xml:space="preserve"> </w:t>
      </w:r>
      <w:r w:rsidRPr="006750FA">
        <w:rPr>
          <w:rFonts w:ascii="QCF_BSML" w:hAnsi="QCF_BSML" w:cs="QCF_BSML"/>
          <w:sz w:val="28"/>
          <w:szCs w:val="28"/>
          <w:rtl/>
          <w:lang w:eastAsia="en-US"/>
        </w:rPr>
        <w:t>ﭽ</w:t>
      </w:r>
      <w:r w:rsidRPr="006750FA">
        <w:rPr>
          <w:rFonts w:ascii="QCF_P187" w:hAnsi="QCF_P187" w:cs="QCF_P187"/>
          <w:sz w:val="28"/>
          <w:szCs w:val="28"/>
          <w:rtl/>
          <w:lang w:eastAsia="en-US"/>
        </w:rPr>
        <w:t xml:space="preserve">ﮬ  ﮭ  ﮮ  ﮯ  </w:t>
      </w:r>
      <w:r w:rsidRPr="006750FA">
        <w:rPr>
          <w:rFonts w:ascii="QCF_BSML" w:hAnsi="QCF_BSML" w:cs="QCF_BSML"/>
          <w:sz w:val="28"/>
          <w:szCs w:val="28"/>
          <w:rtl/>
          <w:lang w:eastAsia="en-US"/>
        </w:rPr>
        <w:t>ﭼ</w:t>
      </w:r>
      <w:r w:rsidRPr="006750FA">
        <w:rPr>
          <w:rFonts w:ascii="Traditional Arabic" w:hAnsi="Traditional Arabic" w:hint="cs"/>
          <w:rtl/>
          <w:lang w:eastAsia="en-US"/>
        </w:rPr>
        <w:t>................ 136</w:t>
      </w:r>
    </w:p>
    <w:p w:rsidR="006750FA" w:rsidRPr="006750FA" w:rsidRDefault="006750FA" w:rsidP="00925DD8">
      <w:pPr>
        <w:ind w:firstLine="0"/>
        <w:rPr>
          <w:rFonts w:ascii="Traditional Arabic" w:hAnsi="Traditional Arabic"/>
          <w:rtl/>
        </w:rPr>
      </w:pPr>
      <w:r w:rsidRPr="006750FA">
        <w:rPr>
          <w:rFonts w:ascii="Traditional Arabic" w:hAnsi="Traditional Arabic"/>
          <w:rtl/>
        </w:rPr>
        <w:t>الإنسان ها هنا: الكافر، والمراد به الوليد بن المغيرة</w:t>
      </w:r>
      <w:r w:rsidRPr="006750FA">
        <w:rPr>
          <w:rFonts w:ascii="Traditional Arabic" w:hAnsi="Traditional Arabic" w:hint="cs"/>
          <w:rtl/>
        </w:rPr>
        <w:t>.................................. 133</w:t>
      </w:r>
    </w:p>
    <w:p w:rsidR="006750FA" w:rsidRPr="006750FA" w:rsidRDefault="006750FA" w:rsidP="00925DD8">
      <w:pPr>
        <w:ind w:firstLine="0"/>
        <w:rPr>
          <w:rFonts w:ascii="Traditional Arabic" w:hAnsi="Traditional Arabic"/>
          <w:rtl/>
        </w:rPr>
      </w:pPr>
      <w:r w:rsidRPr="006750FA">
        <w:rPr>
          <w:rFonts w:ascii="Traditional Arabic" w:hAnsi="Traditional Arabic"/>
          <w:rtl/>
        </w:rPr>
        <w:t>انطلق قومها يطلبونها، فلما رأتْهم حملت عيسى فتلقَّتْهم به</w:t>
      </w:r>
      <w:r w:rsidRPr="006750FA">
        <w:rPr>
          <w:rFonts w:ascii="Traditional Arabic" w:hAnsi="Traditional Arabic" w:hint="cs"/>
          <w:rtl/>
        </w:rPr>
        <w:t>........................... 317</w:t>
      </w:r>
    </w:p>
    <w:p w:rsidR="006750FA" w:rsidRPr="006750FA" w:rsidRDefault="006750FA" w:rsidP="00925DD8">
      <w:pPr>
        <w:ind w:firstLine="0"/>
        <w:rPr>
          <w:rFonts w:ascii="Traditional Arabic" w:hAnsi="Traditional Arabic"/>
          <w:rtl/>
        </w:rPr>
      </w:pPr>
      <w:r w:rsidRPr="006750FA">
        <w:rPr>
          <w:rtl/>
        </w:rPr>
        <w:t xml:space="preserve">إنما النّافلة للنبيّ </w:t>
      </w:r>
      <w:r w:rsidRPr="006750FA">
        <w:rPr>
          <w:rFonts w:ascii="Traditional Arabic" w:hAnsi="Traditional Arabic"/>
          <w:lang w:eastAsia="en-US"/>
        </w:rPr>
        <w:t xml:space="preserve"> </w:t>
      </w:r>
      <w:r w:rsidRPr="006750FA">
        <w:rPr>
          <w:rFonts w:ascii="Traditional Arabic" w:hAnsi="Traditional Arabic"/>
          <w:lang w:eastAsia="en-US"/>
        </w:rPr>
        <w:sym w:font="AGA Arabesque" w:char="F072"/>
      </w:r>
      <w:r w:rsidRPr="006750FA">
        <w:rPr>
          <w:rtl/>
        </w:rPr>
        <w:t>خاصة</w:t>
      </w:r>
      <w:r w:rsidRPr="006750FA">
        <w:rPr>
          <w:rFonts w:ascii="Traditional Arabic" w:hAnsi="Traditional Arabic" w:hint="cs"/>
          <w:rtl/>
        </w:rPr>
        <w:t>.</w:t>
      </w:r>
      <w:r>
        <w:rPr>
          <w:rFonts w:ascii="Traditional Arabic" w:hAnsi="Traditional Arabic" w:hint="cs"/>
          <w:rtl/>
        </w:rPr>
        <w:t>..............</w:t>
      </w:r>
      <w:r w:rsidRPr="006750FA">
        <w:rPr>
          <w:rFonts w:ascii="Traditional Arabic" w:hAnsi="Traditional Arabic" w:hint="cs"/>
          <w:rtl/>
        </w:rPr>
        <w:t>.............................</w:t>
      </w:r>
      <w:r w:rsidR="003B4175">
        <w:rPr>
          <w:rFonts w:ascii="Traditional Arabic" w:hAnsi="Traditional Arabic" w:hint="cs"/>
          <w:rtl/>
        </w:rPr>
        <w:t>.</w:t>
      </w:r>
      <w:r w:rsidRPr="006750FA">
        <w:rPr>
          <w:rFonts w:ascii="Traditional Arabic" w:hAnsi="Traditional Arabic" w:hint="cs"/>
          <w:rtl/>
        </w:rPr>
        <w:t>..... 66, 128</w:t>
      </w:r>
    </w:p>
    <w:p w:rsidR="006750FA" w:rsidRPr="006750FA" w:rsidRDefault="006750FA" w:rsidP="00925DD8">
      <w:pPr>
        <w:ind w:firstLine="0"/>
        <w:rPr>
          <w:rFonts w:ascii="Traditional Arabic" w:hAnsi="Traditional Arabic"/>
          <w:rtl/>
        </w:rPr>
      </w:pPr>
      <w:r w:rsidRPr="006750FA">
        <w:rPr>
          <w:rtl/>
        </w:rPr>
        <w:t>إِنما قاله مكسلمينا، وهو أكبرهم</w:t>
      </w:r>
      <w:r w:rsidRPr="006750FA">
        <w:rPr>
          <w:rFonts w:ascii="Traditional Arabic" w:hAnsi="Traditional Arabic" w:hint="cs"/>
          <w:rtl/>
        </w:rPr>
        <w:t>.................................................. 186</w:t>
      </w:r>
    </w:p>
    <w:p w:rsidR="006750FA" w:rsidRPr="006750FA" w:rsidRDefault="006750FA" w:rsidP="00925DD8">
      <w:pPr>
        <w:ind w:firstLine="0"/>
        <w:rPr>
          <w:rFonts w:ascii="Traditional Arabic" w:hAnsi="Traditional Arabic"/>
          <w:rtl/>
        </w:rPr>
      </w:pPr>
      <w:r w:rsidRPr="006750FA">
        <w:rPr>
          <w:rFonts w:ascii="Traditional Arabic" w:hAnsi="Traditional Arabic"/>
          <w:rtl/>
        </w:rPr>
        <w:t>إِنه أطاع الله، فسخَّر له السحاب فحمله عليه، ومَدَّ له في الأسباب</w:t>
      </w:r>
      <w:r w:rsidRPr="006750FA">
        <w:rPr>
          <w:rFonts w:ascii="Traditional Arabic" w:hAnsi="Traditional Arabic" w:hint="cs"/>
          <w:rtl/>
        </w:rPr>
        <w:t>.................. 267</w:t>
      </w:r>
    </w:p>
    <w:p w:rsidR="006750FA" w:rsidRPr="006750FA" w:rsidRDefault="006750FA" w:rsidP="00925DD8">
      <w:pPr>
        <w:ind w:firstLine="0"/>
        <w:rPr>
          <w:rFonts w:ascii="Traditional Arabic" w:hAnsi="Traditional Arabic"/>
          <w:rtl/>
        </w:rPr>
      </w:pPr>
      <w:r w:rsidRPr="006750FA">
        <w:rPr>
          <w:rFonts w:ascii="Traditional Arabic" w:hAnsi="Traditional Arabic"/>
          <w:rtl/>
        </w:rPr>
        <w:t>أنه كان في زمانها رجل اسمه تقي</w:t>
      </w:r>
      <w:r w:rsidRPr="006750FA">
        <w:rPr>
          <w:rFonts w:ascii="Traditional Arabic" w:hAnsi="Traditional Arabic" w:hint="cs"/>
          <w:rtl/>
        </w:rPr>
        <w:t>........................................</w:t>
      </w:r>
      <w:r w:rsidR="003B4175">
        <w:rPr>
          <w:rFonts w:ascii="Traditional Arabic" w:hAnsi="Traditional Arabic" w:hint="cs"/>
          <w:rtl/>
        </w:rPr>
        <w:t>.</w:t>
      </w:r>
      <w:r w:rsidRPr="006750FA">
        <w:rPr>
          <w:rFonts w:ascii="Traditional Arabic" w:hAnsi="Traditional Arabic" w:hint="cs"/>
          <w:rtl/>
        </w:rPr>
        <w:t>......... 305</w:t>
      </w:r>
    </w:p>
    <w:p w:rsidR="006750FA" w:rsidRPr="006750FA" w:rsidRDefault="006750FA" w:rsidP="00925DD8">
      <w:pPr>
        <w:ind w:firstLine="0"/>
        <w:rPr>
          <w:rFonts w:ascii="Traditional Arabic" w:hAnsi="Traditional Arabic"/>
          <w:rtl/>
        </w:rPr>
      </w:pPr>
      <w:r w:rsidRPr="006750FA">
        <w:rPr>
          <w:rFonts w:ascii="Traditional Arabic" w:hAnsi="Traditional Arabic"/>
          <w:rtl/>
          <w:lang w:eastAsia="en-US"/>
        </w:rPr>
        <w:t>أنهم قالوا: أجِّلنا سنة، ثم نُسلم ونكسر أصنامنا</w:t>
      </w:r>
      <w:r w:rsidRPr="006750FA">
        <w:rPr>
          <w:rFonts w:ascii="Traditional Arabic" w:hAnsi="Traditional Arabic" w:hint="cs"/>
          <w:rtl/>
        </w:rPr>
        <w:t>.................................... 117</w:t>
      </w:r>
    </w:p>
    <w:p w:rsidR="006750FA" w:rsidRPr="006750FA" w:rsidRDefault="006750FA" w:rsidP="00925DD8">
      <w:pPr>
        <w:ind w:firstLine="0"/>
        <w:rPr>
          <w:rFonts w:ascii="Traditional Arabic" w:hAnsi="Traditional Arabic"/>
          <w:rtl/>
        </w:rPr>
      </w:pPr>
      <w:r w:rsidRPr="006750FA">
        <w:rPr>
          <w:rFonts w:ascii="Traditional Arabic" w:hAnsi="Traditional Arabic"/>
          <w:rtl/>
        </w:rPr>
        <w:t>أوحش ما يكون الإِنسان في ثلاثة مواطن</w:t>
      </w:r>
      <w:r w:rsidRPr="006750FA">
        <w:rPr>
          <w:rFonts w:ascii="Traditional Arabic" w:hAnsi="Traditional Arabic" w:hint="cs"/>
          <w:rtl/>
        </w:rPr>
        <w:t>.......................................... 303</w:t>
      </w:r>
    </w:p>
    <w:p w:rsidR="006750FA" w:rsidRPr="006750FA" w:rsidRDefault="006750FA" w:rsidP="00925DD8">
      <w:pPr>
        <w:ind w:firstLine="0"/>
        <w:rPr>
          <w:rFonts w:ascii="Traditional Arabic" w:hAnsi="Traditional Arabic"/>
          <w:rtl/>
        </w:rPr>
      </w:pPr>
      <w:r w:rsidRPr="006750FA">
        <w:rPr>
          <w:rtl/>
        </w:rPr>
        <w:t>أيُّهم أزهد في الدنيا</w:t>
      </w:r>
      <w:r w:rsidRPr="006750FA">
        <w:rPr>
          <w:rFonts w:ascii="Traditional Arabic" w:hAnsi="Traditional Arabic" w:hint="cs"/>
          <w:rtl/>
        </w:rPr>
        <w:t>................................................</w:t>
      </w:r>
      <w:r w:rsidR="003B4175">
        <w:rPr>
          <w:rFonts w:ascii="Traditional Arabic" w:hAnsi="Traditional Arabic" w:hint="cs"/>
          <w:rtl/>
        </w:rPr>
        <w:t>.</w:t>
      </w:r>
      <w:r w:rsidRPr="006750FA">
        <w:rPr>
          <w:rFonts w:ascii="Traditional Arabic" w:hAnsi="Traditional Arabic" w:hint="cs"/>
          <w:rtl/>
        </w:rPr>
        <w:t>............. 169</w:t>
      </w:r>
    </w:p>
    <w:p w:rsidR="006750FA" w:rsidRPr="006750FA" w:rsidRDefault="006750FA" w:rsidP="006750FA">
      <w:pPr>
        <w:ind w:firstLine="0"/>
        <w:rPr>
          <w:rFonts w:ascii="Traditional Arabic" w:hAnsi="Traditional Arabic"/>
          <w:rtl/>
        </w:rPr>
      </w:pPr>
      <w:r w:rsidRPr="006750FA">
        <w:rPr>
          <w:rFonts w:ascii="Traditional Arabic" w:hAnsi="Traditional Arabic"/>
          <w:rtl/>
        </w:rPr>
        <w:lastRenderedPageBreak/>
        <w:t>بحر فارس، وبحر الروم</w:t>
      </w:r>
      <w:r w:rsidRPr="006750FA">
        <w:rPr>
          <w:rFonts w:ascii="Traditional Arabic" w:hAnsi="Traditional Arabic" w:hint="cs"/>
          <w:rtl/>
        </w:rPr>
        <w:t>.............................................</w:t>
      </w:r>
      <w:r w:rsidR="003B4175">
        <w:rPr>
          <w:rFonts w:ascii="Traditional Arabic" w:hAnsi="Traditional Arabic" w:hint="cs"/>
          <w:rtl/>
        </w:rPr>
        <w:t>..</w:t>
      </w:r>
      <w:r w:rsidRPr="006750FA">
        <w:rPr>
          <w:rFonts w:ascii="Traditional Arabic" w:hAnsi="Traditional Arabic" w:hint="cs"/>
          <w:rtl/>
        </w:rPr>
        <w:t>............. 244</w:t>
      </w:r>
    </w:p>
    <w:p w:rsidR="006750FA" w:rsidRPr="006750FA" w:rsidRDefault="006750FA" w:rsidP="006750FA">
      <w:pPr>
        <w:ind w:firstLine="0"/>
        <w:rPr>
          <w:rFonts w:ascii="Traditional Arabic" w:hAnsi="Traditional Arabic"/>
          <w:rtl/>
        </w:rPr>
      </w:pPr>
      <w:r w:rsidRPr="006750FA">
        <w:rPr>
          <w:rtl/>
        </w:rPr>
        <w:t>بنى عليهم الملك بيعة</w:t>
      </w:r>
      <w:r w:rsidRPr="006750FA">
        <w:rPr>
          <w:rFonts w:ascii="Traditional Arabic" w:hAnsi="Traditional Arabic" w:hint="cs"/>
          <w:rtl/>
        </w:rPr>
        <w:t>..............................................</w:t>
      </w:r>
      <w:r w:rsidR="003B4175">
        <w:rPr>
          <w:rFonts w:ascii="Traditional Arabic" w:hAnsi="Traditional Arabic" w:hint="cs"/>
          <w:rtl/>
        </w:rPr>
        <w:t>..</w:t>
      </w:r>
      <w:r w:rsidRPr="006750FA">
        <w:rPr>
          <w:rFonts w:ascii="Traditional Arabic" w:hAnsi="Traditional Arabic" w:hint="cs"/>
          <w:rtl/>
        </w:rPr>
        <w:t>............ 191</w:t>
      </w:r>
    </w:p>
    <w:p w:rsidR="006750FA" w:rsidRPr="006750FA" w:rsidRDefault="006750FA" w:rsidP="006750FA">
      <w:pPr>
        <w:ind w:firstLine="0"/>
        <w:rPr>
          <w:rFonts w:ascii="Traditional Arabic" w:hAnsi="Traditional Arabic"/>
          <w:rtl/>
        </w:rPr>
      </w:pPr>
      <w:r w:rsidRPr="006750FA">
        <w:rPr>
          <w:rFonts w:ascii="Traditional Arabic" w:hAnsi="Traditional Arabic"/>
          <w:rtl/>
        </w:rPr>
        <w:t>تُسيَّر الجبال عن وجه الأرض، كما يُسيَّر السحاب في الدنيا</w:t>
      </w:r>
      <w:r w:rsidRPr="006750FA">
        <w:rPr>
          <w:rFonts w:ascii="Traditional Arabic" w:hAnsi="Traditional Arabic" w:hint="cs"/>
          <w:rtl/>
        </w:rPr>
        <w:t>.......................... 227</w:t>
      </w:r>
    </w:p>
    <w:p w:rsidR="006750FA" w:rsidRPr="006750FA" w:rsidRDefault="006750FA" w:rsidP="006750FA">
      <w:pPr>
        <w:ind w:firstLine="0"/>
        <w:rPr>
          <w:rFonts w:ascii="Traditional Arabic" w:hAnsi="Traditional Arabic"/>
          <w:rtl/>
        </w:rPr>
      </w:pPr>
      <w:r w:rsidRPr="006750FA">
        <w:rPr>
          <w:rFonts w:ascii="Traditional Arabic" w:hAnsi="Traditional Arabic"/>
          <w:rtl/>
        </w:rPr>
        <w:t>التقى يحيى وعيسى، فقال يحيى لعيسى: أنتَ خير مني</w:t>
      </w:r>
      <w:r w:rsidRPr="006750FA">
        <w:rPr>
          <w:rFonts w:ascii="Traditional Arabic" w:hAnsi="Traditional Arabic" w:hint="cs"/>
          <w:rtl/>
        </w:rPr>
        <w:t>............................... 302</w:t>
      </w:r>
    </w:p>
    <w:p w:rsidR="006750FA" w:rsidRPr="006750FA" w:rsidRDefault="006750FA" w:rsidP="006750FA">
      <w:pPr>
        <w:ind w:firstLine="0"/>
        <w:rPr>
          <w:rFonts w:ascii="Traditional Arabic" w:hAnsi="Traditional Arabic"/>
          <w:rtl/>
        </w:rPr>
      </w:pPr>
      <w:r w:rsidRPr="006750FA">
        <w:rPr>
          <w:rFonts w:ascii="Traditional Arabic" w:hAnsi="Traditional Arabic"/>
          <w:rtl/>
        </w:rPr>
        <w:t>التهجُّد بعد النوم</w:t>
      </w:r>
      <w:r w:rsidRPr="006750FA">
        <w:rPr>
          <w:rFonts w:ascii="Traditional Arabic" w:hAnsi="Traditional Arabic" w:hint="cs"/>
          <w:rtl/>
        </w:rPr>
        <w:t>.......................................................... 61, 126</w:t>
      </w:r>
    </w:p>
    <w:p w:rsidR="006750FA" w:rsidRPr="006750FA" w:rsidRDefault="006750FA" w:rsidP="006750FA">
      <w:pPr>
        <w:ind w:firstLine="0"/>
        <w:rPr>
          <w:rFonts w:ascii="Traditional Arabic" w:hAnsi="Traditional Arabic"/>
          <w:rtl/>
        </w:rPr>
      </w:pPr>
      <w:r w:rsidRPr="006750FA">
        <w:rPr>
          <w:rtl/>
        </w:rPr>
        <w:t>جاء راعٍ قد أدركه المطر إِلى الكهف</w:t>
      </w:r>
      <w:r w:rsidRPr="006750FA">
        <w:rPr>
          <w:rFonts w:ascii="Traditional Arabic" w:hAnsi="Traditional Arabic" w:hint="cs"/>
          <w:rtl/>
        </w:rPr>
        <w:t>..................................</w:t>
      </w:r>
      <w:r w:rsidR="003B4175">
        <w:rPr>
          <w:rFonts w:ascii="Traditional Arabic" w:hAnsi="Traditional Arabic" w:hint="cs"/>
          <w:rtl/>
        </w:rPr>
        <w:t>..</w:t>
      </w:r>
      <w:r w:rsidRPr="006750FA">
        <w:rPr>
          <w:rFonts w:ascii="Traditional Arabic" w:hAnsi="Traditional Arabic" w:hint="cs"/>
          <w:rtl/>
        </w:rPr>
        <w:t>........... 175</w:t>
      </w:r>
    </w:p>
    <w:p w:rsidR="006750FA" w:rsidRPr="006750FA" w:rsidRDefault="006750FA" w:rsidP="006750FA">
      <w:pPr>
        <w:ind w:firstLine="0"/>
        <w:rPr>
          <w:rFonts w:ascii="Traditional Arabic" w:hAnsi="Traditional Arabic"/>
          <w:rtl/>
        </w:rPr>
      </w:pPr>
      <w:r w:rsidRPr="006750FA">
        <w:rPr>
          <w:rtl/>
        </w:rPr>
        <w:t>جاءت أمّةٌ مسلمةٌ، وكان ملكهم مسلماً</w:t>
      </w:r>
      <w:r w:rsidRPr="006750FA">
        <w:rPr>
          <w:rFonts w:ascii="Traditional Arabic" w:hAnsi="Traditional Arabic" w:hint="cs"/>
          <w:rtl/>
        </w:rPr>
        <w:t>............................</w:t>
      </w:r>
      <w:r w:rsidR="00243354">
        <w:rPr>
          <w:rFonts w:ascii="Traditional Arabic" w:hAnsi="Traditional Arabic" w:hint="cs"/>
          <w:rtl/>
        </w:rPr>
        <w:t>.</w:t>
      </w:r>
      <w:r w:rsidRPr="006750FA">
        <w:rPr>
          <w:rFonts w:ascii="Traditional Arabic" w:hAnsi="Traditional Arabic" w:hint="cs"/>
          <w:rtl/>
        </w:rPr>
        <w:t>............. 175</w:t>
      </w:r>
    </w:p>
    <w:p w:rsidR="006750FA" w:rsidRPr="006750FA" w:rsidRDefault="006750FA" w:rsidP="006750FA">
      <w:pPr>
        <w:ind w:firstLine="0"/>
        <w:rPr>
          <w:rFonts w:ascii="Traditional Arabic" w:hAnsi="Traditional Arabic"/>
          <w:rtl/>
        </w:rPr>
      </w:pPr>
      <w:r w:rsidRPr="006750FA">
        <w:rPr>
          <w:rFonts w:ascii="Traditional Arabic" w:hAnsi="Traditional Arabic"/>
          <w:rtl/>
        </w:rPr>
        <w:t>جاءها في صورة شاب أبيض الوجه</w:t>
      </w:r>
      <w:r w:rsidRPr="006750FA">
        <w:rPr>
          <w:rFonts w:ascii="Traditional Arabic" w:hAnsi="Traditional Arabic" w:hint="cs"/>
          <w:rtl/>
        </w:rPr>
        <w:t>............................................... 304</w:t>
      </w:r>
    </w:p>
    <w:p w:rsidR="006750FA" w:rsidRPr="006750FA" w:rsidRDefault="006750FA" w:rsidP="006750FA">
      <w:pPr>
        <w:ind w:firstLine="0"/>
        <w:rPr>
          <w:rFonts w:ascii="Traditional Arabic" w:hAnsi="Traditional Arabic"/>
          <w:rtl/>
        </w:rPr>
      </w:pPr>
      <w:r w:rsidRPr="006750FA">
        <w:rPr>
          <w:rFonts w:ascii="Traditional Arabic" w:hAnsi="Traditional Arabic"/>
          <w:rtl/>
        </w:rPr>
        <w:t>الجبلان من قِبَل أرمينية وأذربيجان</w:t>
      </w:r>
      <w:r w:rsidRPr="006750FA">
        <w:rPr>
          <w:rFonts w:ascii="Traditional Arabic" w:hAnsi="Traditional Arabic" w:hint="cs"/>
          <w:rtl/>
        </w:rPr>
        <w:t>..................................</w:t>
      </w:r>
      <w:r w:rsidR="003B4175">
        <w:rPr>
          <w:rFonts w:ascii="Traditional Arabic" w:hAnsi="Traditional Arabic" w:hint="cs"/>
          <w:rtl/>
        </w:rPr>
        <w:t>..</w:t>
      </w:r>
      <w:r w:rsidRPr="006750FA">
        <w:rPr>
          <w:rFonts w:ascii="Traditional Arabic" w:hAnsi="Traditional Arabic" w:hint="cs"/>
          <w:rtl/>
        </w:rPr>
        <w:t>............. 273</w:t>
      </w:r>
    </w:p>
    <w:p w:rsidR="006750FA" w:rsidRPr="006750FA" w:rsidRDefault="006750FA" w:rsidP="006750FA">
      <w:pPr>
        <w:ind w:firstLine="0"/>
        <w:rPr>
          <w:rFonts w:ascii="Traditional Arabic" w:hAnsi="Traditional Arabic"/>
          <w:rtl/>
        </w:rPr>
      </w:pPr>
      <w:r w:rsidRPr="006750FA">
        <w:rPr>
          <w:rFonts w:ascii="Traditional Arabic" w:hAnsi="Traditional Arabic"/>
          <w:rtl/>
        </w:rPr>
        <w:t>جعل الحوت لا يمسُّ شيئاً من البحر إِلا يبس</w:t>
      </w:r>
      <w:r w:rsidRPr="006750FA">
        <w:rPr>
          <w:rFonts w:ascii="Traditional Arabic" w:hAnsi="Traditional Arabic" w:hint="cs"/>
          <w:rtl/>
        </w:rPr>
        <w:t>...................................... 246</w:t>
      </w:r>
    </w:p>
    <w:p w:rsidR="006750FA" w:rsidRPr="006750FA" w:rsidRDefault="006750FA" w:rsidP="006750FA">
      <w:pPr>
        <w:ind w:firstLine="0"/>
        <w:rPr>
          <w:rFonts w:ascii="Traditional Arabic" w:hAnsi="Traditional Arabic"/>
          <w:rtl/>
        </w:rPr>
      </w:pPr>
      <w:r w:rsidRPr="006750FA">
        <w:rPr>
          <w:rFonts w:ascii="Traditional Arabic" w:hAnsi="Traditional Arabic"/>
          <w:rtl/>
        </w:rPr>
        <w:t>جعل لا يسلك طريقاً إِلا صار الماء جامداً</w:t>
      </w:r>
      <w:r w:rsidRPr="006750FA">
        <w:rPr>
          <w:rFonts w:ascii="Traditional Arabic" w:hAnsi="Traditional Arabic" w:hint="cs"/>
          <w:rtl/>
        </w:rPr>
        <w:t>.......................</w:t>
      </w:r>
      <w:r w:rsidR="00243354">
        <w:rPr>
          <w:rFonts w:ascii="Traditional Arabic" w:hAnsi="Traditional Arabic" w:hint="cs"/>
          <w:rtl/>
        </w:rPr>
        <w:t>.</w:t>
      </w:r>
      <w:r w:rsidRPr="006750FA">
        <w:rPr>
          <w:rFonts w:ascii="Traditional Arabic" w:hAnsi="Traditional Arabic" w:hint="cs"/>
          <w:rtl/>
        </w:rPr>
        <w:t>................. 246</w:t>
      </w:r>
    </w:p>
    <w:p w:rsidR="006750FA" w:rsidRPr="006750FA" w:rsidRDefault="006750FA" w:rsidP="006750FA">
      <w:pPr>
        <w:ind w:firstLine="0"/>
        <w:rPr>
          <w:rFonts w:ascii="Traditional Arabic" w:hAnsi="Traditional Arabic"/>
          <w:rtl/>
        </w:rPr>
      </w:pPr>
      <w:r w:rsidRPr="006750FA">
        <w:rPr>
          <w:rFonts w:ascii="Traditional Arabic" w:hAnsi="Traditional Arabic"/>
          <w:rtl/>
        </w:rPr>
        <w:t>جعلته يتَّقيني، ولا يعدل</w:t>
      </w:r>
      <w:r w:rsidRPr="006750FA">
        <w:rPr>
          <w:rFonts w:ascii="Traditional Arabic" w:hAnsi="Traditional Arabic" w:hint="cs"/>
          <w:rtl/>
        </w:rPr>
        <w:t xml:space="preserve"> </w:t>
      </w:r>
      <w:r w:rsidRPr="006750FA">
        <w:rPr>
          <w:rFonts w:ascii="Traditional Arabic" w:hAnsi="Traditional Arabic"/>
          <w:rtl/>
        </w:rPr>
        <w:t>بي غيري</w:t>
      </w:r>
      <w:r w:rsidRPr="006750FA">
        <w:rPr>
          <w:rFonts w:ascii="Traditional Arabic" w:hAnsi="Traditional Arabic" w:hint="cs"/>
          <w:rtl/>
        </w:rPr>
        <w:t>...............................</w:t>
      </w:r>
      <w:r w:rsidR="003B4175">
        <w:rPr>
          <w:rFonts w:ascii="Traditional Arabic" w:hAnsi="Traditional Arabic" w:hint="cs"/>
          <w:rtl/>
        </w:rPr>
        <w:t>.</w:t>
      </w:r>
      <w:r w:rsidRPr="006750FA">
        <w:rPr>
          <w:rFonts w:ascii="Traditional Arabic" w:hAnsi="Traditional Arabic" w:hint="cs"/>
          <w:rtl/>
        </w:rPr>
        <w:t>................. 302</w:t>
      </w:r>
    </w:p>
    <w:p w:rsidR="006750FA" w:rsidRPr="006750FA" w:rsidRDefault="006750FA" w:rsidP="006750FA">
      <w:pPr>
        <w:ind w:firstLine="0"/>
        <w:rPr>
          <w:rFonts w:ascii="Traditional Arabic" w:hAnsi="Traditional Arabic"/>
          <w:rtl/>
        </w:rPr>
      </w:pPr>
      <w:r w:rsidRPr="006750FA">
        <w:rPr>
          <w:rFonts w:ascii="Traditional Arabic" w:hAnsi="Traditional Arabic"/>
          <w:rtl/>
        </w:rPr>
        <w:t>جنات الأعناب</w:t>
      </w:r>
      <w:r w:rsidRPr="006750FA">
        <w:rPr>
          <w:rFonts w:ascii="Traditional Arabic" w:hAnsi="Traditional Arabic" w:hint="cs"/>
          <w:rtl/>
        </w:rPr>
        <w:t>......................................................</w:t>
      </w:r>
      <w:r w:rsidR="003B4175">
        <w:rPr>
          <w:rFonts w:ascii="Traditional Arabic" w:hAnsi="Traditional Arabic" w:hint="cs"/>
          <w:rtl/>
        </w:rPr>
        <w:t>..</w:t>
      </w:r>
      <w:r w:rsidRPr="006750FA">
        <w:rPr>
          <w:rFonts w:ascii="Traditional Arabic" w:hAnsi="Traditional Arabic" w:hint="cs"/>
          <w:rtl/>
        </w:rPr>
        <w:t>......... 285</w:t>
      </w:r>
    </w:p>
    <w:p w:rsidR="006750FA" w:rsidRPr="006750FA" w:rsidRDefault="006750FA" w:rsidP="006750FA">
      <w:pPr>
        <w:ind w:firstLine="0"/>
        <w:rPr>
          <w:rFonts w:ascii="Traditional Arabic" w:hAnsi="Traditional Arabic"/>
          <w:rtl/>
        </w:rPr>
      </w:pPr>
      <w:r w:rsidRPr="006750FA">
        <w:rPr>
          <w:rFonts w:ascii="Traditional Arabic" w:hAnsi="Traditional Arabic"/>
          <w:rtl/>
        </w:rPr>
        <w:t>حُفِظا بصلاح أبيهما، ولم يذكر منهما صلاحاً</w:t>
      </w:r>
      <w:r w:rsidRPr="006750FA">
        <w:rPr>
          <w:rFonts w:ascii="Traditional Arabic" w:hAnsi="Traditional Arabic" w:hint="cs"/>
          <w:rtl/>
        </w:rPr>
        <w:t>.................</w:t>
      </w:r>
      <w:r w:rsidR="00243354">
        <w:rPr>
          <w:rFonts w:ascii="Traditional Arabic" w:hAnsi="Traditional Arabic" w:hint="cs"/>
          <w:rtl/>
        </w:rPr>
        <w:t>.</w:t>
      </w:r>
      <w:r w:rsidRPr="006750FA">
        <w:rPr>
          <w:rFonts w:ascii="Traditional Arabic" w:hAnsi="Traditional Arabic" w:hint="cs"/>
          <w:rtl/>
        </w:rPr>
        <w:t>................... 264</w:t>
      </w:r>
    </w:p>
    <w:p w:rsidR="006750FA" w:rsidRPr="006750FA" w:rsidRDefault="006750FA" w:rsidP="006750FA">
      <w:pPr>
        <w:ind w:firstLine="0"/>
        <w:rPr>
          <w:rFonts w:ascii="Traditional Arabic" w:hAnsi="Traditional Arabic"/>
          <w:rtl/>
        </w:rPr>
      </w:pPr>
      <w:r w:rsidRPr="006750FA">
        <w:rPr>
          <w:rFonts w:ascii="Traditional Arabic" w:hAnsi="Traditional Arabic"/>
          <w:rtl/>
        </w:rPr>
        <w:t>خشينا أن يحملَهما حُبُّه على أن يدخلا في دينه</w:t>
      </w:r>
      <w:r w:rsidRPr="006750FA">
        <w:rPr>
          <w:rFonts w:ascii="Traditional Arabic" w:hAnsi="Traditional Arabic" w:hint="cs"/>
          <w:rtl/>
        </w:rPr>
        <w:t>.................................... 262</w:t>
      </w:r>
    </w:p>
    <w:p w:rsidR="006750FA" w:rsidRPr="006750FA" w:rsidRDefault="006750FA" w:rsidP="006750FA">
      <w:pPr>
        <w:ind w:firstLine="0"/>
        <w:rPr>
          <w:rFonts w:ascii="Traditional Arabic" w:hAnsi="Traditional Arabic"/>
          <w:rtl/>
        </w:rPr>
      </w:pPr>
      <w:r w:rsidRPr="006750FA">
        <w:rPr>
          <w:rFonts w:ascii="Traditional Arabic" w:hAnsi="Traditional Arabic"/>
          <w:rtl/>
        </w:rPr>
        <w:t>ذريته</w:t>
      </w:r>
      <w:r w:rsidRPr="006750FA">
        <w:rPr>
          <w:rFonts w:ascii="Traditional Arabic" w:hAnsi="Traditional Arabic" w:hint="cs"/>
          <w:rtl/>
        </w:rPr>
        <w:t>:</w:t>
      </w:r>
      <w:r w:rsidRPr="006750FA">
        <w:rPr>
          <w:rFonts w:ascii="Traditional Arabic" w:hAnsi="Traditional Arabic"/>
          <w:rtl/>
        </w:rPr>
        <w:t xml:space="preserve"> الشياطين، ومن ذريته زَلَنْبُور</w:t>
      </w:r>
      <w:r w:rsidRPr="006750FA">
        <w:rPr>
          <w:rFonts w:ascii="Traditional Arabic" w:hAnsi="Traditional Arabic" w:hint="cs"/>
          <w:rtl/>
        </w:rPr>
        <w:t>....................................</w:t>
      </w:r>
      <w:r w:rsidR="003B4175">
        <w:rPr>
          <w:rFonts w:ascii="Traditional Arabic" w:hAnsi="Traditional Arabic" w:hint="cs"/>
          <w:rtl/>
        </w:rPr>
        <w:t>.</w:t>
      </w:r>
      <w:r w:rsidRPr="006750FA">
        <w:rPr>
          <w:rFonts w:ascii="Traditional Arabic" w:hAnsi="Traditional Arabic" w:hint="cs"/>
          <w:rtl/>
        </w:rPr>
        <w:t>........... 232</w:t>
      </w:r>
    </w:p>
    <w:p w:rsidR="006750FA" w:rsidRPr="006750FA" w:rsidRDefault="006750FA" w:rsidP="006750FA">
      <w:pPr>
        <w:ind w:firstLine="0"/>
        <w:rPr>
          <w:rFonts w:ascii="Traditional Arabic" w:hAnsi="Traditional Arabic"/>
          <w:rtl/>
        </w:rPr>
      </w:pPr>
      <w:r w:rsidRPr="006750FA">
        <w:rPr>
          <w:rFonts w:ascii="Traditional Arabic" w:hAnsi="Traditional Arabic"/>
          <w:rtl/>
        </w:rPr>
        <w:t>ذريته: أولاده، وهم يتوالدون كما يتوالد بنو آدم</w:t>
      </w:r>
      <w:r w:rsidRPr="006750FA">
        <w:rPr>
          <w:rFonts w:ascii="Traditional Arabic" w:hAnsi="Traditional Arabic" w:hint="cs"/>
          <w:rtl/>
        </w:rPr>
        <w:t>..................................... 232</w:t>
      </w:r>
    </w:p>
    <w:p w:rsidR="006750FA" w:rsidRPr="006750FA" w:rsidRDefault="006750FA" w:rsidP="006750FA">
      <w:pPr>
        <w:ind w:firstLine="0"/>
        <w:rPr>
          <w:rFonts w:ascii="Traditional Arabic" w:hAnsi="Traditional Arabic"/>
          <w:rtl/>
        </w:rPr>
      </w:pPr>
      <w:r w:rsidRPr="006750FA">
        <w:rPr>
          <w:rtl/>
        </w:rPr>
        <w:t>الذي آتيتك من الكتاب والسنَّة والعلم، أفضل من شأنهم</w:t>
      </w:r>
      <w:r w:rsidRPr="006750FA">
        <w:rPr>
          <w:rFonts w:ascii="Traditional Arabic" w:hAnsi="Traditional Arabic" w:hint="cs"/>
          <w:rtl/>
        </w:rPr>
        <w:t>........................... 172</w:t>
      </w:r>
    </w:p>
    <w:p w:rsidR="006750FA" w:rsidRPr="006750FA" w:rsidRDefault="006750FA" w:rsidP="006750FA">
      <w:pPr>
        <w:ind w:firstLine="0"/>
        <w:rPr>
          <w:rFonts w:ascii="Traditional Arabic" w:hAnsi="Traditional Arabic"/>
          <w:rtl/>
        </w:rPr>
      </w:pPr>
      <w:r w:rsidRPr="006750FA">
        <w:rPr>
          <w:rFonts w:ascii="Traditional Arabic" w:hAnsi="Traditional Arabic"/>
          <w:rtl/>
        </w:rPr>
        <w:t>رجع موسى إِلى الصخرة فوجد الحوت</w:t>
      </w:r>
      <w:r w:rsidRPr="006750FA">
        <w:rPr>
          <w:rFonts w:ascii="Traditional Arabic" w:hAnsi="Traditional Arabic" w:hint="cs"/>
          <w:rtl/>
        </w:rPr>
        <w:t>............................................. 247</w:t>
      </w:r>
    </w:p>
    <w:p w:rsidR="006750FA" w:rsidRPr="006750FA" w:rsidRDefault="006750FA" w:rsidP="006750FA">
      <w:pPr>
        <w:ind w:firstLine="0"/>
        <w:rPr>
          <w:rFonts w:ascii="Traditional Arabic" w:hAnsi="Traditional Arabic"/>
          <w:rtl/>
        </w:rPr>
      </w:pPr>
      <w:r w:rsidRPr="006750FA">
        <w:rPr>
          <w:rtl/>
        </w:rPr>
        <w:t>الرقيم: صخرة كُتب فيها أسماء الفتية</w:t>
      </w:r>
      <w:r w:rsidRPr="006750FA">
        <w:rPr>
          <w:rFonts w:ascii="Traditional Arabic" w:hAnsi="Traditional Arabic" w:hint="cs"/>
          <w:rtl/>
        </w:rPr>
        <w:t>.............................................. 171</w:t>
      </w:r>
    </w:p>
    <w:p w:rsidR="006750FA" w:rsidRPr="006750FA" w:rsidRDefault="006750FA" w:rsidP="006750FA">
      <w:pPr>
        <w:ind w:firstLine="0"/>
        <w:rPr>
          <w:rFonts w:ascii="Traditional Arabic" w:hAnsi="Traditional Arabic"/>
          <w:rtl/>
        </w:rPr>
      </w:pPr>
      <w:r w:rsidRPr="006750FA">
        <w:rPr>
          <w:rFonts w:ascii="Traditional Arabic" w:hAnsi="Traditional Arabic"/>
          <w:color w:val="0D0D0D"/>
          <w:rtl/>
          <w:lang w:eastAsia="en-US"/>
        </w:rPr>
        <w:t>ريح العذاب أربع، اثنتان في البر، واثنتان في البحر</w:t>
      </w:r>
      <w:r w:rsidRPr="006750FA">
        <w:rPr>
          <w:rFonts w:ascii="Traditional Arabic" w:hAnsi="Traditional Arabic" w:hint="cs"/>
          <w:rtl/>
        </w:rPr>
        <w:t>.................................. 108</w:t>
      </w:r>
    </w:p>
    <w:p w:rsidR="006750FA" w:rsidRPr="006750FA" w:rsidRDefault="006750FA" w:rsidP="006750FA">
      <w:pPr>
        <w:ind w:firstLine="0"/>
        <w:rPr>
          <w:rFonts w:ascii="Traditional Arabic" w:hAnsi="Traditional Arabic"/>
          <w:rtl/>
        </w:rPr>
      </w:pPr>
      <w:r w:rsidRPr="006750FA">
        <w:rPr>
          <w:rFonts w:ascii="Traditional Arabic" w:hAnsi="Traditional Arabic"/>
          <w:rtl/>
        </w:rPr>
        <w:t>الزكية: التائبة</w:t>
      </w:r>
      <w:r w:rsidRPr="006750FA">
        <w:rPr>
          <w:rFonts w:ascii="Traditional Arabic" w:hAnsi="Traditional Arabic" w:hint="cs"/>
          <w:rtl/>
        </w:rPr>
        <w:t>..............................................</w:t>
      </w:r>
      <w:r w:rsidR="003B4175">
        <w:rPr>
          <w:rFonts w:ascii="Traditional Arabic" w:hAnsi="Traditional Arabic" w:hint="cs"/>
          <w:rtl/>
        </w:rPr>
        <w:t>..</w:t>
      </w:r>
      <w:r w:rsidRPr="006750FA">
        <w:rPr>
          <w:rFonts w:ascii="Traditional Arabic" w:hAnsi="Traditional Arabic" w:hint="cs"/>
          <w:rtl/>
        </w:rPr>
        <w:t>................... 253</w:t>
      </w:r>
    </w:p>
    <w:p w:rsidR="006750FA" w:rsidRPr="006750FA" w:rsidRDefault="006750FA" w:rsidP="006750FA">
      <w:pPr>
        <w:ind w:firstLine="0"/>
        <w:rPr>
          <w:rtl/>
        </w:rPr>
      </w:pPr>
      <w:r w:rsidRPr="006750FA">
        <w:rPr>
          <w:rtl/>
        </w:rPr>
        <w:t>السرادق: لسان من النار، يخرج من النار</w:t>
      </w:r>
      <w:r w:rsidRPr="006750FA">
        <w:rPr>
          <w:rFonts w:hint="cs"/>
          <w:rtl/>
        </w:rPr>
        <w:t>.........................</w:t>
      </w:r>
      <w:r w:rsidR="003B4175">
        <w:rPr>
          <w:rFonts w:hint="cs"/>
          <w:rtl/>
        </w:rPr>
        <w:t>.</w:t>
      </w:r>
      <w:r w:rsidRPr="006750FA">
        <w:rPr>
          <w:rFonts w:hint="cs"/>
          <w:rtl/>
        </w:rPr>
        <w:t>................. 208</w:t>
      </w:r>
    </w:p>
    <w:p w:rsidR="006750FA" w:rsidRPr="006750FA" w:rsidRDefault="006750FA" w:rsidP="006750FA">
      <w:pPr>
        <w:ind w:firstLine="0"/>
        <w:rPr>
          <w:rFonts w:ascii="Traditional Arabic" w:hAnsi="Traditional Arabic"/>
          <w:rtl/>
        </w:rPr>
      </w:pPr>
      <w:r w:rsidRPr="006750FA">
        <w:rPr>
          <w:rFonts w:ascii="Traditional Arabic" w:hAnsi="Traditional Arabic"/>
          <w:rtl/>
        </w:rPr>
        <w:t>سلام عليه مِنِّي في هذه الأيام</w:t>
      </w:r>
      <w:r w:rsidRPr="006750FA">
        <w:rPr>
          <w:rFonts w:ascii="Traditional Arabic" w:hAnsi="Traditional Arabic" w:hint="cs"/>
          <w:rtl/>
        </w:rPr>
        <w:t>..................................</w:t>
      </w:r>
      <w:r w:rsidR="003B4175">
        <w:rPr>
          <w:rFonts w:ascii="Traditional Arabic" w:hAnsi="Traditional Arabic" w:hint="cs"/>
          <w:rtl/>
        </w:rPr>
        <w:t>.</w:t>
      </w:r>
      <w:r w:rsidRPr="006750FA">
        <w:rPr>
          <w:rFonts w:ascii="Traditional Arabic" w:hAnsi="Traditional Arabic" w:hint="cs"/>
          <w:rtl/>
        </w:rPr>
        <w:t>.</w:t>
      </w:r>
      <w:r w:rsidR="00243354">
        <w:rPr>
          <w:rFonts w:ascii="Traditional Arabic" w:hAnsi="Traditional Arabic" w:hint="cs"/>
          <w:rtl/>
        </w:rPr>
        <w:t>.</w:t>
      </w:r>
      <w:r w:rsidRPr="006750FA">
        <w:rPr>
          <w:rFonts w:ascii="Traditional Arabic" w:hAnsi="Traditional Arabic" w:hint="cs"/>
          <w:rtl/>
        </w:rPr>
        <w:t>................ 302</w:t>
      </w:r>
    </w:p>
    <w:p w:rsidR="006750FA" w:rsidRPr="006750FA" w:rsidRDefault="006750FA" w:rsidP="006750FA">
      <w:pPr>
        <w:ind w:firstLine="0"/>
        <w:rPr>
          <w:rFonts w:ascii="Traditional Arabic" w:hAnsi="Traditional Arabic"/>
          <w:rtl/>
        </w:rPr>
      </w:pPr>
      <w:r w:rsidRPr="006750FA">
        <w:rPr>
          <w:rtl/>
        </w:rPr>
        <w:t>السِّنون ونقص الثمرات آية واحدة</w:t>
      </w:r>
      <w:r w:rsidRPr="006750FA">
        <w:rPr>
          <w:rFonts w:ascii="Traditional Arabic" w:hAnsi="Traditional Arabic" w:hint="cs"/>
          <w:rtl/>
        </w:rPr>
        <w:t>.............................</w:t>
      </w:r>
      <w:r w:rsidR="003B4175">
        <w:rPr>
          <w:rFonts w:ascii="Traditional Arabic" w:hAnsi="Traditional Arabic" w:hint="cs"/>
          <w:rtl/>
        </w:rPr>
        <w:t>.</w:t>
      </w:r>
      <w:r w:rsidRPr="006750FA">
        <w:rPr>
          <w:rFonts w:ascii="Traditional Arabic" w:hAnsi="Traditional Arabic" w:hint="cs"/>
          <w:rtl/>
        </w:rPr>
        <w:t>.................. 150</w:t>
      </w:r>
    </w:p>
    <w:p w:rsidR="006750FA" w:rsidRPr="006750FA" w:rsidRDefault="006750FA" w:rsidP="006750FA">
      <w:pPr>
        <w:ind w:firstLine="0"/>
        <w:rPr>
          <w:rFonts w:ascii="Traditional Arabic" w:hAnsi="Traditional Arabic"/>
          <w:rtl/>
        </w:rPr>
      </w:pPr>
      <w:r w:rsidRPr="006750FA">
        <w:rPr>
          <w:rFonts w:ascii="Traditional Arabic" w:hAnsi="Traditional Arabic"/>
          <w:rtl/>
        </w:rPr>
        <w:lastRenderedPageBreak/>
        <w:t>شكا ذهاب أضراسه</w:t>
      </w:r>
      <w:r w:rsidRPr="006750FA">
        <w:rPr>
          <w:rFonts w:ascii="Traditional Arabic" w:hAnsi="Traditional Arabic" w:hint="cs"/>
          <w:rtl/>
        </w:rPr>
        <w:t>................................................</w:t>
      </w:r>
      <w:r w:rsidR="003B4175">
        <w:rPr>
          <w:rFonts w:ascii="Traditional Arabic" w:hAnsi="Traditional Arabic" w:hint="cs"/>
          <w:rtl/>
        </w:rPr>
        <w:t>.</w:t>
      </w:r>
      <w:r w:rsidRPr="006750FA">
        <w:rPr>
          <w:rFonts w:ascii="Traditional Arabic" w:hAnsi="Traditional Arabic" w:hint="cs"/>
          <w:rtl/>
        </w:rPr>
        <w:t>........... 293</w:t>
      </w:r>
    </w:p>
    <w:p w:rsidR="006750FA" w:rsidRPr="006750FA" w:rsidRDefault="006750FA" w:rsidP="006750FA">
      <w:pPr>
        <w:ind w:firstLine="0"/>
        <w:rPr>
          <w:rFonts w:ascii="Traditional Arabic" w:hAnsi="Traditional Arabic"/>
          <w:rtl/>
        </w:rPr>
      </w:pPr>
      <w:r w:rsidRPr="006750FA">
        <w:rPr>
          <w:rFonts w:ascii="Traditional Arabic" w:hAnsi="Traditional Arabic"/>
          <w:rtl/>
        </w:rPr>
        <w:t>صُحُف فيها عِلْم</w:t>
      </w:r>
      <w:r w:rsidRPr="006750FA">
        <w:rPr>
          <w:rFonts w:ascii="Traditional Arabic" w:hAnsi="Traditional Arabic" w:hint="cs"/>
          <w:rtl/>
        </w:rPr>
        <w:t>.................................................</w:t>
      </w:r>
      <w:r w:rsidR="003B4175">
        <w:rPr>
          <w:rFonts w:ascii="Traditional Arabic" w:hAnsi="Traditional Arabic" w:hint="cs"/>
          <w:rtl/>
        </w:rPr>
        <w:t>..</w:t>
      </w:r>
      <w:r w:rsidRPr="006750FA">
        <w:rPr>
          <w:rFonts w:ascii="Traditional Arabic" w:hAnsi="Traditional Arabic" w:hint="cs"/>
          <w:rtl/>
        </w:rPr>
        <w:t>............ 264</w:t>
      </w:r>
    </w:p>
    <w:p w:rsidR="006750FA" w:rsidRPr="006750FA" w:rsidRDefault="006750FA" w:rsidP="006750FA">
      <w:pPr>
        <w:ind w:firstLine="0"/>
        <w:rPr>
          <w:rFonts w:ascii="Traditional Arabic" w:hAnsi="Traditional Arabic"/>
          <w:rtl/>
        </w:rPr>
      </w:pPr>
      <w:r w:rsidRPr="006750FA">
        <w:rPr>
          <w:rFonts w:ascii="Traditional Arabic" w:hAnsi="Traditional Arabic"/>
          <w:rtl/>
        </w:rPr>
        <w:t>الصغيرة: التبسم والاستهزاء بالمؤمنين، والكبيرة: القهقهة بذلك</w:t>
      </w:r>
      <w:r w:rsidRPr="006750FA">
        <w:rPr>
          <w:rFonts w:ascii="Traditional Arabic" w:hAnsi="Traditional Arabic" w:hint="cs"/>
          <w:rtl/>
        </w:rPr>
        <w:t>....................... 230</w:t>
      </w:r>
    </w:p>
    <w:p w:rsidR="006750FA" w:rsidRPr="006750FA" w:rsidRDefault="006750FA" w:rsidP="006750FA">
      <w:pPr>
        <w:ind w:firstLine="0"/>
        <w:rPr>
          <w:rFonts w:ascii="Traditional Arabic" w:hAnsi="Traditional Arabic"/>
          <w:rtl/>
        </w:rPr>
      </w:pPr>
      <w:r w:rsidRPr="006750FA">
        <w:rPr>
          <w:rFonts w:ascii="Traditional Arabic" w:hAnsi="Traditional Arabic"/>
          <w:rtl/>
        </w:rPr>
        <w:t>الصغيرة: التبسم، والكبيرة: القهقهة</w:t>
      </w:r>
      <w:r w:rsidRPr="006750FA">
        <w:rPr>
          <w:rFonts w:ascii="Traditional Arabic" w:hAnsi="Traditional Arabic" w:hint="cs"/>
          <w:rtl/>
        </w:rPr>
        <w:t>..........................</w:t>
      </w:r>
      <w:r w:rsidR="00243354">
        <w:rPr>
          <w:rFonts w:ascii="Traditional Arabic" w:hAnsi="Traditional Arabic" w:hint="cs"/>
          <w:rtl/>
        </w:rPr>
        <w:t>.</w:t>
      </w:r>
      <w:r w:rsidRPr="006750FA">
        <w:rPr>
          <w:rFonts w:ascii="Traditional Arabic" w:hAnsi="Traditional Arabic" w:hint="cs"/>
          <w:rtl/>
        </w:rPr>
        <w:t>.................... 230</w:t>
      </w:r>
    </w:p>
    <w:p w:rsidR="006750FA" w:rsidRPr="006750FA" w:rsidRDefault="006750FA" w:rsidP="006750FA">
      <w:pPr>
        <w:ind w:firstLine="0"/>
        <w:rPr>
          <w:rFonts w:ascii="Traditional Arabic" w:hAnsi="Traditional Arabic"/>
          <w:rtl/>
        </w:rPr>
      </w:pPr>
      <w:r w:rsidRPr="006750FA">
        <w:rPr>
          <w:rFonts w:ascii="Traditional Arabic" w:hAnsi="Traditional Arabic"/>
          <w:rtl/>
          <w:lang w:eastAsia="en-US"/>
        </w:rPr>
        <w:t>ضِعْفَ عذاب الدنيا والآخرة</w:t>
      </w:r>
      <w:r w:rsidRPr="006750FA">
        <w:rPr>
          <w:rFonts w:ascii="Traditional Arabic" w:hAnsi="Traditional Arabic" w:hint="cs"/>
          <w:rtl/>
        </w:rPr>
        <w:t>..................................................... 119</w:t>
      </w:r>
    </w:p>
    <w:p w:rsidR="006750FA" w:rsidRPr="006750FA" w:rsidRDefault="006750FA" w:rsidP="006750FA">
      <w:pPr>
        <w:ind w:firstLine="0"/>
        <w:rPr>
          <w:rFonts w:ascii="Traditional Arabic" w:hAnsi="Traditional Arabic"/>
          <w:rtl/>
        </w:rPr>
      </w:pPr>
      <w:r w:rsidRPr="006750FA">
        <w:rPr>
          <w:rFonts w:ascii="Traditional Arabic" w:hAnsi="Traditional Arabic"/>
          <w:rtl/>
        </w:rPr>
        <w:t>علَّم الله تعالى رسوله التّواضع لئلّا يزهى</w:t>
      </w:r>
      <w:r w:rsidRPr="006750FA">
        <w:rPr>
          <w:rFonts w:ascii="Traditional Arabic" w:hAnsi="Traditional Arabic" w:hint="cs"/>
          <w:rtl/>
        </w:rPr>
        <w:t xml:space="preserve"> </w:t>
      </w:r>
      <w:r w:rsidRPr="006750FA">
        <w:rPr>
          <w:rFonts w:ascii="Traditional Arabic" w:hAnsi="Traditional Arabic"/>
          <w:rtl/>
        </w:rPr>
        <w:t>على خلقه</w:t>
      </w:r>
      <w:r w:rsidRPr="006750FA">
        <w:rPr>
          <w:rFonts w:ascii="Traditional Arabic" w:hAnsi="Traditional Arabic" w:hint="cs"/>
          <w:rtl/>
        </w:rPr>
        <w:t>............</w:t>
      </w:r>
      <w:r w:rsidR="00243354">
        <w:rPr>
          <w:rFonts w:ascii="Traditional Arabic" w:hAnsi="Traditional Arabic" w:hint="cs"/>
          <w:rtl/>
        </w:rPr>
        <w:t>.</w:t>
      </w:r>
      <w:r w:rsidRPr="006750FA">
        <w:rPr>
          <w:rFonts w:ascii="Traditional Arabic" w:hAnsi="Traditional Arabic" w:hint="cs"/>
          <w:rtl/>
        </w:rPr>
        <w:t>..................... 288</w:t>
      </w:r>
    </w:p>
    <w:p w:rsidR="006750FA" w:rsidRPr="006750FA" w:rsidRDefault="006750FA" w:rsidP="006750FA">
      <w:pPr>
        <w:ind w:firstLine="0"/>
        <w:rPr>
          <w:rFonts w:ascii="Traditional Arabic" w:hAnsi="Traditional Arabic"/>
          <w:rtl/>
        </w:rPr>
      </w:pPr>
      <w:r w:rsidRPr="006750FA">
        <w:rPr>
          <w:rFonts w:ascii="Traditional Arabic" w:hAnsi="Traditional Arabic"/>
          <w:rtl/>
        </w:rPr>
        <w:t>عِلْماً يتسبب به إِلى ما يريد</w:t>
      </w:r>
      <w:r w:rsidRPr="006750FA">
        <w:rPr>
          <w:rFonts w:ascii="Traditional Arabic" w:hAnsi="Traditional Arabic" w:hint="cs"/>
          <w:rtl/>
        </w:rPr>
        <w:t>...............................</w:t>
      </w:r>
      <w:r w:rsidR="003B4175">
        <w:rPr>
          <w:rFonts w:ascii="Traditional Arabic" w:hAnsi="Traditional Arabic" w:hint="cs"/>
          <w:rtl/>
        </w:rPr>
        <w:t>.</w:t>
      </w:r>
      <w:r w:rsidRPr="006750FA">
        <w:rPr>
          <w:rFonts w:ascii="Traditional Arabic" w:hAnsi="Traditional Arabic" w:hint="cs"/>
          <w:rtl/>
        </w:rPr>
        <w:t>...................... 267</w:t>
      </w:r>
    </w:p>
    <w:p w:rsidR="006750FA" w:rsidRPr="006750FA" w:rsidRDefault="006750FA" w:rsidP="006750FA">
      <w:pPr>
        <w:ind w:firstLine="0"/>
        <w:rPr>
          <w:rFonts w:ascii="Traditional Arabic" w:hAnsi="Traditional Arabic"/>
          <w:rtl/>
        </w:rPr>
      </w:pPr>
      <w:r w:rsidRPr="006750FA">
        <w:rPr>
          <w:rFonts w:ascii="Traditional Arabic" w:hAnsi="Traditional Arabic"/>
          <w:rtl/>
        </w:rPr>
        <w:t>عمياً عن النظر إِلى ما جعل الله تعالى لأوليائه</w:t>
      </w:r>
      <w:r w:rsidRPr="006750FA">
        <w:rPr>
          <w:rFonts w:ascii="Traditional Arabic" w:hAnsi="Traditional Arabic" w:hint="cs"/>
          <w:rtl/>
        </w:rPr>
        <w:t>...................................... 148</w:t>
      </w:r>
    </w:p>
    <w:p w:rsidR="006750FA" w:rsidRPr="006750FA" w:rsidRDefault="006750FA" w:rsidP="006750FA">
      <w:pPr>
        <w:ind w:firstLine="0"/>
        <w:rPr>
          <w:rFonts w:ascii="Traditional Arabic" w:hAnsi="Traditional Arabic"/>
          <w:rtl/>
        </w:rPr>
      </w:pPr>
      <w:r w:rsidRPr="006750FA">
        <w:rPr>
          <w:rFonts w:ascii="Traditional Arabic" w:hAnsi="Traditional Arabic"/>
          <w:rtl/>
        </w:rPr>
        <w:t>فَإِنِّ ثَوَابَ اللهِ كلَّ مُوَحِّدٍ</w:t>
      </w:r>
      <w:r w:rsidRPr="006750FA">
        <w:rPr>
          <w:rFonts w:ascii="Traditional Arabic" w:hAnsi="Traditional Arabic" w:hint="cs"/>
          <w:rtl/>
        </w:rPr>
        <w:t>................................</w:t>
      </w:r>
      <w:r w:rsidR="003B4175">
        <w:rPr>
          <w:rFonts w:ascii="Traditional Arabic" w:hAnsi="Traditional Arabic" w:hint="cs"/>
          <w:rtl/>
        </w:rPr>
        <w:t>..</w:t>
      </w:r>
      <w:r w:rsidRPr="006750FA">
        <w:rPr>
          <w:rFonts w:ascii="Traditional Arabic" w:hAnsi="Traditional Arabic" w:hint="cs"/>
          <w:rtl/>
        </w:rPr>
        <w:t>....................... 286</w:t>
      </w:r>
    </w:p>
    <w:p w:rsidR="006750FA" w:rsidRPr="006750FA" w:rsidRDefault="006750FA" w:rsidP="006750FA">
      <w:pPr>
        <w:ind w:firstLine="0"/>
        <w:rPr>
          <w:rFonts w:ascii="Traditional Arabic" w:hAnsi="Traditional Arabic"/>
          <w:rtl/>
        </w:rPr>
      </w:pPr>
      <w:r w:rsidRPr="006750FA">
        <w:rPr>
          <w:rFonts w:ascii="Traditional Arabic" w:hAnsi="Traditional Arabic" w:hint="cs"/>
          <w:color w:val="0D0D0D"/>
          <w:rtl/>
          <w:lang w:eastAsia="en-US"/>
        </w:rPr>
        <w:t xml:space="preserve"> </w:t>
      </w:r>
      <w:r w:rsidRPr="006750FA">
        <w:rPr>
          <w:rFonts w:ascii="Traditional Arabic" w:hAnsi="Traditional Arabic"/>
          <w:color w:val="0D0D0D"/>
          <w:rtl/>
          <w:lang w:eastAsia="en-US"/>
        </w:rPr>
        <w:t>فجحدوا بها</w:t>
      </w:r>
      <w:r w:rsidRPr="006750FA">
        <w:rPr>
          <w:rFonts w:ascii="Traditional Arabic" w:hAnsi="Traditional Arabic" w:hint="cs"/>
          <w:color w:val="0D0D0D"/>
          <w:rtl/>
          <w:lang w:eastAsia="en-US"/>
        </w:rPr>
        <w:t>.......................................</w:t>
      </w:r>
      <w:r w:rsidR="003B4175">
        <w:rPr>
          <w:rFonts w:ascii="Traditional Arabic" w:hAnsi="Traditional Arabic" w:hint="cs"/>
          <w:color w:val="0D0D0D"/>
          <w:rtl/>
          <w:lang w:eastAsia="en-US"/>
        </w:rPr>
        <w:t>.</w:t>
      </w:r>
      <w:r w:rsidRPr="006750FA">
        <w:rPr>
          <w:rFonts w:ascii="Traditional Arabic" w:hAnsi="Traditional Arabic" w:hint="cs"/>
          <w:color w:val="0D0D0D"/>
          <w:rtl/>
          <w:lang w:eastAsia="en-US"/>
        </w:rPr>
        <w:t>........................</w:t>
      </w:r>
      <w:r w:rsidRPr="006750FA">
        <w:rPr>
          <w:rFonts w:ascii="Traditional Arabic" w:hAnsi="Traditional Arabic" w:hint="cs"/>
          <w:rtl/>
        </w:rPr>
        <w:t xml:space="preserve"> 58, 91</w:t>
      </w:r>
    </w:p>
    <w:p w:rsidR="006750FA" w:rsidRPr="006750FA" w:rsidRDefault="006750FA" w:rsidP="006750FA">
      <w:pPr>
        <w:ind w:firstLine="0"/>
        <w:rPr>
          <w:rFonts w:ascii="Traditional Arabic" w:hAnsi="Traditional Arabic"/>
          <w:rtl/>
        </w:rPr>
      </w:pPr>
      <w:r w:rsidRPr="006750FA">
        <w:rPr>
          <w:rFonts w:ascii="Traditional Arabic" w:hAnsi="Traditional Arabic"/>
          <w:rtl/>
        </w:rPr>
        <w:t>فرحا به حين ولد، وحزنا عليه حين قتل</w:t>
      </w:r>
      <w:r w:rsidRPr="006750FA">
        <w:rPr>
          <w:rFonts w:ascii="Traditional Arabic" w:hAnsi="Traditional Arabic" w:hint="cs"/>
          <w:rtl/>
        </w:rPr>
        <w:t>........................................... 262</w:t>
      </w:r>
    </w:p>
    <w:p w:rsidR="006750FA" w:rsidRPr="006750FA" w:rsidRDefault="006750FA" w:rsidP="006750FA">
      <w:pPr>
        <w:ind w:firstLine="0"/>
        <w:rPr>
          <w:rFonts w:ascii="Traditional Arabic" w:hAnsi="Traditional Arabic"/>
          <w:rtl/>
        </w:rPr>
      </w:pPr>
      <w:r w:rsidRPr="006750FA">
        <w:rPr>
          <w:rFonts w:ascii="Traditional Arabic" w:hAnsi="Traditional Arabic"/>
          <w:rtl/>
        </w:rPr>
        <w:t>الفردوس سرّة الجنة</w:t>
      </w:r>
      <w:r w:rsidRPr="006750FA">
        <w:rPr>
          <w:rFonts w:ascii="Traditional Arabic" w:hAnsi="Traditional Arabic" w:hint="cs"/>
          <w:rtl/>
        </w:rPr>
        <w:t>.................................................</w:t>
      </w:r>
      <w:r w:rsidR="003B4175">
        <w:rPr>
          <w:rFonts w:ascii="Traditional Arabic" w:hAnsi="Traditional Arabic" w:hint="cs"/>
          <w:rtl/>
        </w:rPr>
        <w:t>.</w:t>
      </w:r>
      <w:r w:rsidRPr="006750FA">
        <w:rPr>
          <w:rFonts w:ascii="Traditional Arabic" w:hAnsi="Traditional Arabic" w:hint="cs"/>
          <w:rtl/>
        </w:rPr>
        <w:t>............ 285</w:t>
      </w:r>
    </w:p>
    <w:p w:rsidR="006750FA" w:rsidRPr="006750FA" w:rsidRDefault="006750FA" w:rsidP="006750FA">
      <w:pPr>
        <w:ind w:firstLine="0"/>
        <w:rPr>
          <w:rFonts w:ascii="Traditional Arabic" w:hAnsi="Traditional Arabic"/>
          <w:rtl/>
        </w:rPr>
      </w:pPr>
      <w:r w:rsidRPr="006750FA">
        <w:rPr>
          <w:rFonts w:ascii="Traditional Arabic" w:hAnsi="Traditional Arabic"/>
          <w:rtl/>
        </w:rPr>
        <w:t>الفردوس: الأعناب</w:t>
      </w:r>
      <w:r w:rsidRPr="006750FA">
        <w:rPr>
          <w:rFonts w:ascii="Traditional Arabic" w:hAnsi="Traditional Arabic" w:hint="cs"/>
          <w:rtl/>
        </w:rPr>
        <w:t>................................................</w:t>
      </w:r>
      <w:r w:rsidR="003B4175">
        <w:rPr>
          <w:rFonts w:ascii="Traditional Arabic" w:hAnsi="Traditional Arabic" w:hint="cs"/>
          <w:rtl/>
        </w:rPr>
        <w:t>.</w:t>
      </w:r>
      <w:r w:rsidRPr="006750FA">
        <w:rPr>
          <w:rFonts w:ascii="Traditional Arabic" w:hAnsi="Traditional Arabic" w:hint="cs"/>
          <w:rtl/>
        </w:rPr>
        <w:t>............. 286</w:t>
      </w:r>
    </w:p>
    <w:p w:rsidR="006750FA" w:rsidRPr="006750FA" w:rsidRDefault="006750FA" w:rsidP="006750FA">
      <w:pPr>
        <w:ind w:firstLine="0"/>
        <w:rPr>
          <w:rFonts w:ascii="Traditional Arabic" w:hAnsi="Traditional Arabic"/>
          <w:rtl/>
        </w:rPr>
      </w:pPr>
      <w:r w:rsidRPr="006750FA">
        <w:rPr>
          <w:rFonts w:ascii="Traditional Arabic" w:hAnsi="Traditional Arabic"/>
          <w:rtl/>
        </w:rPr>
        <w:t>الفردوس: البستان بالرومية</w:t>
      </w:r>
      <w:r w:rsidRPr="006750FA">
        <w:rPr>
          <w:rFonts w:ascii="Traditional Arabic" w:hAnsi="Traditional Arabic" w:hint="cs"/>
          <w:rtl/>
        </w:rPr>
        <w:t>........................................</w:t>
      </w:r>
      <w:r w:rsidR="003B4175">
        <w:rPr>
          <w:rFonts w:ascii="Traditional Arabic" w:hAnsi="Traditional Arabic" w:hint="cs"/>
          <w:rtl/>
        </w:rPr>
        <w:t>.</w:t>
      </w:r>
      <w:r w:rsidRPr="006750FA">
        <w:rPr>
          <w:rFonts w:ascii="Traditional Arabic" w:hAnsi="Traditional Arabic" w:hint="cs"/>
          <w:rtl/>
        </w:rPr>
        <w:t>.............. 285</w:t>
      </w:r>
    </w:p>
    <w:p w:rsidR="006750FA" w:rsidRPr="006750FA" w:rsidRDefault="006750FA" w:rsidP="003B4175">
      <w:pPr>
        <w:ind w:firstLine="0"/>
        <w:rPr>
          <w:rtl/>
        </w:rPr>
      </w:pPr>
      <w:r w:rsidRPr="006750FA">
        <w:rPr>
          <w:rtl/>
        </w:rPr>
        <w:t>فَسَأَلَ بني إِسرائيل</w:t>
      </w:r>
      <w:r w:rsidRPr="006750FA">
        <w:rPr>
          <w:rFonts w:hint="cs"/>
          <w:rtl/>
        </w:rPr>
        <w:t>..............................................</w:t>
      </w:r>
      <w:r w:rsidR="003B4175">
        <w:rPr>
          <w:rFonts w:hint="cs"/>
          <w:rtl/>
        </w:rPr>
        <w:t>..</w:t>
      </w:r>
      <w:r w:rsidRPr="006750FA">
        <w:rPr>
          <w:rFonts w:hint="cs"/>
          <w:rtl/>
        </w:rPr>
        <w:t>............... 152</w:t>
      </w:r>
    </w:p>
    <w:p w:rsidR="006750FA" w:rsidRPr="006750FA" w:rsidRDefault="006750FA" w:rsidP="006750FA">
      <w:pPr>
        <w:ind w:firstLine="0"/>
        <w:rPr>
          <w:rFonts w:ascii="Traditional Arabic" w:hAnsi="Traditional Arabic"/>
          <w:rtl/>
        </w:rPr>
      </w:pPr>
      <w:r w:rsidRPr="006750FA">
        <w:rPr>
          <w:rFonts w:ascii="Traditional Arabic" w:hAnsi="Traditional Arabic"/>
          <w:rtl/>
        </w:rPr>
        <w:t>فَصَلِّ بالقرآن</w:t>
      </w:r>
      <w:r w:rsidRPr="006750FA">
        <w:rPr>
          <w:rFonts w:ascii="Traditional Arabic" w:hAnsi="Traditional Arabic" w:hint="cs"/>
          <w:rtl/>
        </w:rPr>
        <w:t>.............................................................. 61, 126</w:t>
      </w:r>
    </w:p>
    <w:p w:rsidR="006750FA" w:rsidRPr="006750FA" w:rsidRDefault="006750FA" w:rsidP="006750FA">
      <w:pPr>
        <w:ind w:firstLine="0"/>
        <w:rPr>
          <w:rFonts w:ascii="Traditional Arabic" w:hAnsi="Traditional Arabic"/>
          <w:rtl/>
        </w:rPr>
      </w:pPr>
      <w:r w:rsidRPr="006750FA">
        <w:rPr>
          <w:rFonts w:ascii="Traditional Arabic" w:hAnsi="Traditional Arabic"/>
          <w:rtl/>
        </w:rPr>
        <w:t>فقال هذه الكلمات، وزاد فيها:</w:t>
      </w:r>
      <w:r w:rsidRPr="006750FA">
        <w:rPr>
          <w:rFonts w:ascii="Traditional Arabic" w:hAnsi="Traditional Arabic" w:hint="cs"/>
          <w:rtl/>
        </w:rPr>
        <w:t xml:space="preserve"> </w:t>
      </w:r>
      <w:r w:rsidRPr="006750FA">
        <w:rPr>
          <w:rFonts w:ascii="Traditional Arabic" w:hAnsi="Traditional Arabic"/>
          <w:rtl/>
        </w:rPr>
        <w:t>«ولا حول ولا قوَّة إِلا بالله»</w:t>
      </w:r>
      <w:r w:rsidRPr="006750FA">
        <w:rPr>
          <w:rFonts w:ascii="Traditional Arabic" w:hAnsi="Traditional Arabic" w:hint="cs"/>
          <w:rtl/>
        </w:rPr>
        <w:t>........................ 226</w:t>
      </w:r>
    </w:p>
    <w:p w:rsidR="006750FA" w:rsidRPr="006750FA" w:rsidRDefault="006750FA" w:rsidP="006750FA">
      <w:pPr>
        <w:ind w:firstLine="0"/>
        <w:rPr>
          <w:rFonts w:ascii="Traditional Arabic" w:hAnsi="Traditional Arabic"/>
          <w:rtl/>
        </w:rPr>
      </w:pPr>
      <w:r w:rsidRPr="006750FA">
        <w:rPr>
          <w:rtl/>
        </w:rPr>
        <w:t>فَقَدهم قومهم فطلبوهم، فعمَّى الله عليهم أمرهم</w:t>
      </w:r>
      <w:r w:rsidRPr="006750FA">
        <w:rPr>
          <w:rFonts w:ascii="Traditional Arabic" w:hAnsi="Traditional Arabic" w:hint="cs"/>
          <w:rtl/>
        </w:rPr>
        <w:t>................................... 173</w:t>
      </w:r>
    </w:p>
    <w:p w:rsidR="006750FA" w:rsidRPr="006750FA" w:rsidRDefault="006750FA" w:rsidP="006750FA">
      <w:pPr>
        <w:ind w:firstLine="0"/>
        <w:rPr>
          <w:rFonts w:ascii="Traditional Arabic" w:hAnsi="Traditional Arabic"/>
          <w:rtl/>
        </w:rPr>
      </w:pPr>
      <w:r w:rsidRPr="006750FA">
        <w:rPr>
          <w:rFonts w:ascii="Traditional Arabic" w:hAnsi="Traditional Arabic"/>
          <w:rtl/>
          <w:lang w:eastAsia="en-US"/>
        </w:rPr>
        <w:t>فهو كالبرد المحبر، طريقة سوداء وطريقة حمراء</w:t>
      </w:r>
      <w:r w:rsidRPr="006750FA">
        <w:rPr>
          <w:rFonts w:ascii="Traditional Arabic" w:hAnsi="Traditional Arabic" w:hint="cs"/>
          <w:rtl/>
        </w:rPr>
        <w:t>.......................</w:t>
      </w:r>
      <w:r w:rsidR="003B4175">
        <w:rPr>
          <w:rFonts w:ascii="Traditional Arabic" w:hAnsi="Traditional Arabic" w:hint="cs"/>
          <w:rtl/>
        </w:rPr>
        <w:t>.</w:t>
      </w:r>
      <w:r w:rsidRPr="006750FA">
        <w:rPr>
          <w:rFonts w:ascii="Traditional Arabic" w:hAnsi="Traditional Arabic" w:hint="cs"/>
          <w:rtl/>
        </w:rPr>
        <w:t>............... 279</w:t>
      </w:r>
    </w:p>
    <w:p w:rsidR="006750FA" w:rsidRPr="006750FA" w:rsidRDefault="006750FA" w:rsidP="006750FA">
      <w:pPr>
        <w:ind w:firstLine="0"/>
        <w:rPr>
          <w:rFonts w:ascii="Traditional Arabic" w:hAnsi="Traditional Arabic"/>
          <w:rtl/>
        </w:rPr>
      </w:pPr>
      <w:r w:rsidRPr="006750FA">
        <w:rPr>
          <w:rFonts w:ascii="Traditional Arabic" w:hAnsi="Traditional Arabic"/>
          <w:rtl/>
        </w:rPr>
        <w:t>في جنان الفردوس ليس يخافون</w:t>
      </w:r>
      <w:r w:rsidRPr="006750FA">
        <w:rPr>
          <w:rFonts w:ascii="Traditional Arabic" w:hAnsi="Traditional Arabic" w:hint="cs"/>
          <w:rtl/>
        </w:rPr>
        <w:t>................................................... 285</w:t>
      </w:r>
    </w:p>
    <w:p w:rsidR="006750FA" w:rsidRPr="006750FA" w:rsidRDefault="006750FA" w:rsidP="006750FA">
      <w:pPr>
        <w:ind w:firstLine="0"/>
        <w:rPr>
          <w:rtl/>
        </w:rPr>
      </w:pPr>
      <w:r w:rsidRPr="006750FA">
        <w:rPr>
          <w:rtl/>
        </w:rPr>
        <w:t>قالوا لصاحبهم: لا تبتعْ طعاماً فيه ظلم ولا غصب</w:t>
      </w:r>
      <w:r w:rsidRPr="006750FA">
        <w:rPr>
          <w:rFonts w:hint="cs"/>
          <w:rtl/>
        </w:rPr>
        <w:t>.................................  188</w:t>
      </w:r>
    </w:p>
    <w:p w:rsidR="006750FA" w:rsidRPr="006750FA" w:rsidRDefault="006750FA" w:rsidP="006750FA">
      <w:pPr>
        <w:ind w:firstLine="0"/>
        <w:rPr>
          <w:rFonts w:ascii="Traditional Arabic" w:hAnsi="Traditional Arabic"/>
          <w:rtl/>
        </w:rPr>
      </w:pPr>
      <w:r w:rsidRPr="006750FA">
        <w:rPr>
          <w:rtl/>
        </w:rPr>
        <w:t>قاموا في قومهم</w:t>
      </w:r>
      <w:r w:rsidRPr="006750FA">
        <w:rPr>
          <w:rFonts w:hint="cs"/>
          <w:rtl/>
        </w:rPr>
        <w:t xml:space="preserve"> </w:t>
      </w:r>
      <w:r w:rsidRPr="006750FA">
        <w:rPr>
          <w:rtl/>
        </w:rPr>
        <w:t>فدعَوْهم إِلى التوحيد</w:t>
      </w:r>
      <w:r w:rsidRPr="006750FA">
        <w:rPr>
          <w:rFonts w:ascii="Traditional Arabic" w:hAnsi="Traditional Arabic" w:hint="cs"/>
          <w:rtl/>
        </w:rPr>
        <w:t>........................</w:t>
      </w:r>
      <w:r w:rsidR="00243354">
        <w:rPr>
          <w:rFonts w:ascii="Traditional Arabic" w:hAnsi="Traditional Arabic" w:hint="cs"/>
          <w:rtl/>
        </w:rPr>
        <w:t>.</w:t>
      </w:r>
      <w:r w:rsidRPr="006750FA">
        <w:rPr>
          <w:rFonts w:ascii="Traditional Arabic" w:hAnsi="Traditional Arabic" w:hint="cs"/>
          <w:rtl/>
        </w:rPr>
        <w:t>...................... 179</w:t>
      </w:r>
    </w:p>
    <w:p w:rsidR="006750FA" w:rsidRPr="006750FA" w:rsidRDefault="006750FA" w:rsidP="006750FA">
      <w:pPr>
        <w:ind w:firstLine="0"/>
        <w:rPr>
          <w:rFonts w:ascii="Traditional Arabic" w:hAnsi="Traditional Arabic"/>
          <w:rtl/>
        </w:rPr>
      </w:pPr>
      <w:r w:rsidRPr="006750FA">
        <w:rPr>
          <w:rtl/>
        </w:rPr>
        <w:t>القائل لهذا يمليخا رئيسهم، ردَّ عِلْم ذلك إِلى الله تعالى</w:t>
      </w:r>
      <w:r w:rsidRPr="006750FA">
        <w:rPr>
          <w:rFonts w:ascii="Traditional Arabic" w:hAnsi="Traditional Arabic" w:hint="cs"/>
          <w:rtl/>
        </w:rPr>
        <w:t>.........</w:t>
      </w:r>
      <w:r w:rsidR="00243354">
        <w:rPr>
          <w:rFonts w:ascii="Traditional Arabic" w:hAnsi="Traditional Arabic" w:hint="cs"/>
          <w:rtl/>
        </w:rPr>
        <w:t>.</w:t>
      </w:r>
      <w:r w:rsidRPr="006750FA">
        <w:rPr>
          <w:rFonts w:ascii="Traditional Arabic" w:hAnsi="Traditional Arabic" w:hint="cs"/>
          <w:rtl/>
        </w:rPr>
        <w:t>..................... 186</w:t>
      </w:r>
    </w:p>
    <w:p w:rsidR="006750FA" w:rsidRPr="006750FA" w:rsidRDefault="006750FA" w:rsidP="006750FA">
      <w:pPr>
        <w:ind w:firstLine="0"/>
        <w:rPr>
          <w:rFonts w:ascii="Traditional Arabic" w:hAnsi="Traditional Arabic"/>
          <w:rtl/>
        </w:rPr>
      </w:pPr>
      <w:r w:rsidRPr="006750FA">
        <w:rPr>
          <w:rFonts w:ascii="Traditional Arabic" w:hAnsi="Traditional Arabic"/>
          <w:rtl/>
        </w:rPr>
        <w:t>كان إِذا صلى اخضرَّ ما حوله</w:t>
      </w:r>
      <w:r w:rsidRPr="006750FA">
        <w:rPr>
          <w:rFonts w:ascii="Traditional Arabic" w:hAnsi="Traditional Arabic" w:hint="cs"/>
          <w:rtl/>
        </w:rPr>
        <w:t>...................................</w:t>
      </w:r>
      <w:r w:rsidR="003B4175">
        <w:rPr>
          <w:rFonts w:ascii="Traditional Arabic" w:hAnsi="Traditional Arabic" w:hint="cs"/>
          <w:rtl/>
        </w:rPr>
        <w:t>..</w:t>
      </w:r>
      <w:r w:rsidRPr="006750FA">
        <w:rPr>
          <w:rFonts w:ascii="Traditional Arabic" w:hAnsi="Traditional Arabic" w:hint="cs"/>
          <w:rtl/>
        </w:rPr>
        <w:t>............... 248</w:t>
      </w:r>
    </w:p>
    <w:p w:rsidR="006750FA" w:rsidRPr="006750FA" w:rsidRDefault="006750FA" w:rsidP="006750FA">
      <w:pPr>
        <w:ind w:firstLine="0"/>
        <w:rPr>
          <w:rFonts w:ascii="Traditional Arabic" w:hAnsi="Traditional Arabic"/>
          <w:rtl/>
        </w:rPr>
      </w:pPr>
      <w:r w:rsidRPr="006750FA">
        <w:rPr>
          <w:rFonts w:ascii="Traditional Arabic" w:hAnsi="Traditional Arabic"/>
          <w:rtl/>
        </w:rPr>
        <w:t>كان الغلام على الطريق لا يمرُّ به أحدٌ إِلا قتلَه وغصبه</w:t>
      </w:r>
      <w:r w:rsidRPr="006750FA">
        <w:rPr>
          <w:rFonts w:ascii="Traditional Arabic" w:hAnsi="Traditional Arabic" w:hint="cs"/>
          <w:rtl/>
        </w:rPr>
        <w:t>.............................. 261</w:t>
      </w:r>
    </w:p>
    <w:p w:rsidR="006750FA" w:rsidRPr="006750FA" w:rsidRDefault="006750FA" w:rsidP="006750FA">
      <w:pPr>
        <w:ind w:firstLine="0"/>
        <w:rPr>
          <w:rFonts w:ascii="Traditional Arabic" w:hAnsi="Traditional Arabic"/>
          <w:rtl/>
        </w:rPr>
      </w:pPr>
      <w:r w:rsidRPr="006750FA">
        <w:rPr>
          <w:rFonts w:ascii="Traditional Arabic" w:hAnsi="Traditional Arabic"/>
          <w:rtl/>
        </w:rPr>
        <w:lastRenderedPageBreak/>
        <w:t>كان المجتهد من بني إِسرائيل يصوم عن الكلام</w:t>
      </w:r>
      <w:r w:rsidRPr="006750FA">
        <w:rPr>
          <w:rFonts w:ascii="Traditional Arabic" w:hAnsi="Traditional Arabic" w:hint="cs"/>
          <w:rtl/>
        </w:rPr>
        <w:t>...................................... 316</w:t>
      </w:r>
    </w:p>
    <w:p w:rsidR="006750FA" w:rsidRPr="006750FA" w:rsidRDefault="006750FA" w:rsidP="006750FA">
      <w:pPr>
        <w:ind w:firstLine="0"/>
        <w:rPr>
          <w:rFonts w:ascii="Traditional Arabic" w:hAnsi="Traditional Arabic"/>
          <w:rtl/>
        </w:rPr>
      </w:pPr>
      <w:r w:rsidRPr="006750FA">
        <w:rPr>
          <w:rFonts w:ascii="Traditional Arabic" w:hAnsi="Traditional Arabic"/>
          <w:rtl/>
        </w:rPr>
        <w:t>كان بينهما وبين ذلك الأب الصالح سبعة آباء</w:t>
      </w:r>
      <w:r w:rsidRPr="006750FA">
        <w:rPr>
          <w:rFonts w:ascii="Traditional Arabic" w:hAnsi="Traditional Arabic" w:hint="cs"/>
          <w:rtl/>
        </w:rPr>
        <w:t>.......</w:t>
      </w:r>
      <w:r w:rsidR="00243354">
        <w:rPr>
          <w:rFonts w:ascii="Traditional Arabic" w:hAnsi="Traditional Arabic" w:hint="cs"/>
          <w:rtl/>
        </w:rPr>
        <w:t>.</w:t>
      </w:r>
      <w:r w:rsidRPr="006750FA">
        <w:rPr>
          <w:rFonts w:ascii="Traditional Arabic" w:hAnsi="Traditional Arabic" w:hint="cs"/>
          <w:rtl/>
        </w:rPr>
        <w:t>............................. 264</w:t>
      </w:r>
    </w:p>
    <w:p w:rsidR="006750FA" w:rsidRPr="006750FA" w:rsidRDefault="006750FA" w:rsidP="006750FA">
      <w:pPr>
        <w:ind w:firstLine="0"/>
        <w:rPr>
          <w:rFonts w:ascii="Traditional Arabic" w:hAnsi="Traditional Arabic"/>
          <w:rtl/>
        </w:rPr>
      </w:pPr>
      <w:r w:rsidRPr="006750FA">
        <w:rPr>
          <w:rtl/>
        </w:rPr>
        <w:t>كان رسول الله</w:t>
      </w:r>
      <w:r w:rsidRPr="006750FA">
        <w:rPr>
          <w:rFonts w:hint="cs"/>
          <w:rtl/>
        </w:rPr>
        <w:t xml:space="preserve"> </w:t>
      </w:r>
      <w:r w:rsidRPr="006750FA">
        <w:rPr>
          <w:rFonts w:ascii="Traditional Arabic" w:hAnsi="Traditional Arabic"/>
        </w:rPr>
        <w:sym w:font="AGA Arabesque" w:char="F072"/>
      </w:r>
      <w:r w:rsidRPr="006750FA">
        <w:rPr>
          <w:rtl/>
        </w:rPr>
        <w:t xml:space="preserve"> بمكة، ثم أمر بالهجرة،</w:t>
      </w:r>
      <w:r w:rsidRPr="006750FA">
        <w:rPr>
          <w:rFonts w:ascii="Traditional Arabic" w:hAnsi="Traditional Arabic" w:hint="cs"/>
          <w:rtl/>
        </w:rPr>
        <w:t>.......................................... 130</w:t>
      </w:r>
    </w:p>
    <w:p w:rsidR="006750FA" w:rsidRPr="006750FA" w:rsidRDefault="006750FA" w:rsidP="006750FA">
      <w:pPr>
        <w:ind w:firstLine="0"/>
        <w:rPr>
          <w:rFonts w:ascii="Traditional Arabic" w:hAnsi="Traditional Arabic"/>
          <w:rtl/>
        </w:rPr>
      </w:pPr>
      <w:r w:rsidRPr="006750FA">
        <w:rPr>
          <w:rFonts w:ascii="Traditional Arabic" w:hAnsi="Traditional Arabic"/>
          <w:rtl/>
        </w:rPr>
        <w:t>كان زكريا من ذرية يعقوب</w:t>
      </w:r>
      <w:r w:rsidRPr="006750FA">
        <w:rPr>
          <w:rFonts w:ascii="Traditional Arabic" w:hAnsi="Traditional Arabic" w:hint="cs"/>
          <w:rtl/>
        </w:rPr>
        <w:t>..............................................</w:t>
      </w:r>
      <w:r w:rsidR="003B4175">
        <w:rPr>
          <w:rFonts w:ascii="Traditional Arabic" w:hAnsi="Traditional Arabic" w:hint="cs"/>
          <w:rtl/>
        </w:rPr>
        <w:t>.</w:t>
      </w:r>
      <w:r w:rsidRPr="006750FA">
        <w:rPr>
          <w:rFonts w:ascii="Traditional Arabic" w:hAnsi="Traditional Arabic" w:hint="cs"/>
          <w:rtl/>
        </w:rPr>
        <w:t>........ 296</w:t>
      </w:r>
    </w:p>
    <w:p w:rsidR="006750FA" w:rsidRPr="006750FA" w:rsidRDefault="006750FA" w:rsidP="006750FA">
      <w:pPr>
        <w:ind w:firstLine="0"/>
        <w:rPr>
          <w:rFonts w:ascii="Traditional Arabic" w:hAnsi="Traditional Arabic"/>
          <w:rtl/>
        </w:rPr>
      </w:pPr>
      <w:r w:rsidRPr="006750FA">
        <w:rPr>
          <w:rFonts w:ascii="Traditional Arabic" w:hAnsi="Traditional Arabic"/>
          <w:rtl/>
        </w:rPr>
        <w:t>كان عبداً مأموراً</w:t>
      </w:r>
      <w:r w:rsidRPr="006750FA">
        <w:rPr>
          <w:rFonts w:ascii="Traditional Arabic" w:hAnsi="Traditional Arabic" w:hint="cs"/>
          <w:rtl/>
        </w:rPr>
        <w:t>.....................................................</w:t>
      </w:r>
      <w:r w:rsidR="003B4175">
        <w:rPr>
          <w:rFonts w:ascii="Traditional Arabic" w:hAnsi="Traditional Arabic" w:hint="cs"/>
          <w:rtl/>
        </w:rPr>
        <w:t>..</w:t>
      </w:r>
      <w:r w:rsidRPr="006750FA">
        <w:rPr>
          <w:rFonts w:ascii="Traditional Arabic" w:hAnsi="Traditional Arabic" w:hint="cs"/>
          <w:rtl/>
        </w:rPr>
        <w:t>......... 265</w:t>
      </w:r>
    </w:p>
    <w:p w:rsidR="006750FA" w:rsidRPr="006750FA" w:rsidRDefault="006750FA" w:rsidP="006750FA">
      <w:pPr>
        <w:ind w:firstLine="0"/>
        <w:rPr>
          <w:rFonts w:ascii="Traditional Arabic" w:hAnsi="Traditional Arabic"/>
          <w:rtl/>
        </w:rPr>
      </w:pPr>
      <w:r w:rsidRPr="006750FA">
        <w:rPr>
          <w:rFonts w:ascii="Traditional Arabic" w:hAnsi="Traditional Arabic"/>
          <w:rtl/>
        </w:rPr>
        <w:t>كان قول موسى في السفينة والغلام، لربِّه</w:t>
      </w:r>
      <w:r w:rsidRPr="006750FA">
        <w:rPr>
          <w:rFonts w:ascii="Traditional Arabic" w:hAnsi="Traditional Arabic" w:hint="cs"/>
          <w:rtl/>
        </w:rPr>
        <w:t>.......................................... 259</w:t>
      </w:r>
    </w:p>
    <w:p w:rsidR="006750FA" w:rsidRPr="006750FA" w:rsidRDefault="006750FA" w:rsidP="006750FA">
      <w:pPr>
        <w:ind w:firstLine="0"/>
        <w:rPr>
          <w:rFonts w:ascii="Traditional Arabic" w:hAnsi="Traditional Arabic"/>
          <w:rtl/>
        </w:rPr>
      </w:pPr>
      <w:r w:rsidRPr="006750FA">
        <w:rPr>
          <w:rFonts w:ascii="Traditional Arabic" w:hAnsi="Traditional Arabic"/>
          <w:rtl/>
        </w:rPr>
        <w:t>كان مالاً</w:t>
      </w:r>
      <w:r w:rsidRPr="006750FA">
        <w:rPr>
          <w:rFonts w:ascii="Traditional Arabic" w:hAnsi="Traditional Arabic" w:hint="cs"/>
          <w:rtl/>
        </w:rPr>
        <w:t>..........................................................</w:t>
      </w:r>
      <w:r w:rsidR="003B4175">
        <w:rPr>
          <w:rFonts w:ascii="Traditional Arabic" w:hAnsi="Traditional Arabic" w:hint="cs"/>
          <w:rtl/>
        </w:rPr>
        <w:t>.</w:t>
      </w:r>
      <w:r w:rsidRPr="006750FA">
        <w:rPr>
          <w:rFonts w:ascii="Traditional Arabic" w:hAnsi="Traditional Arabic" w:hint="cs"/>
          <w:rtl/>
        </w:rPr>
        <w:t>........... 263</w:t>
      </w:r>
    </w:p>
    <w:p w:rsidR="006750FA" w:rsidRPr="006750FA" w:rsidRDefault="006750FA" w:rsidP="006750FA">
      <w:pPr>
        <w:ind w:firstLine="0"/>
        <w:rPr>
          <w:rFonts w:ascii="Traditional Arabic" w:hAnsi="Traditional Arabic"/>
          <w:rtl/>
        </w:rPr>
      </w:pPr>
      <w:r w:rsidRPr="006750FA">
        <w:rPr>
          <w:rFonts w:ascii="Traditional Arabic" w:hAnsi="Traditional Arabic"/>
          <w:rtl/>
        </w:rPr>
        <w:t>كان ملكاً، ولم يوح إِليه</w:t>
      </w:r>
      <w:r w:rsidRPr="006750FA">
        <w:rPr>
          <w:rFonts w:ascii="Traditional Arabic" w:hAnsi="Traditional Arabic" w:hint="cs"/>
          <w:rtl/>
        </w:rPr>
        <w:t>............................</w:t>
      </w:r>
      <w:r w:rsidR="00243354">
        <w:rPr>
          <w:rFonts w:ascii="Traditional Arabic" w:hAnsi="Traditional Arabic" w:hint="cs"/>
          <w:rtl/>
        </w:rPr>
        <w:t>.</w:t>
      </w:r>
      <w:r w:rsidRPr="006750FA">
        <w:rPr>
          <w:rFonts w:ascii="Traditional Arabic" w:hAnsi="Traditional Arabic" w:hint="cs"/>
          <w:rtl/>
        </w:rPr>
        <w:t>................</w:t>
      </w:r>
      <w:r w:rsidR="003B4175">
        <w:rPr>
          <w:rFonts w:ascii="Traditional Arabic" w:hAnsi="Traditional Arabic" w:hint="cs"/>
          <w:rtl/>
        </w:rPr>
        <w:t>.</w:t>
      </w:r>
      <w:r w:rsidRPr="006750FA">
        <w:rPr>
          <w:rFonts w:ascii="Traditional Arabic" w:hAnsi="Traditional Arabic" w:hint="cs"/>
          <w:rtl/>
        </w:rPr>
        <w:t>............ 267</w:t>
      </w:r>
    </w:p>
    <w:p w:rsidR="006750FA" w:rsidRPr="006750FA" w:rsidRDefault="006750FA" w:rsidP="006750FA">
      <w:pPr>
        <w:ind w:firstLine="0"/>
        <w:rPr>
          <w:rFonts w:ascii="Traditional Arabic" w:hAnsi="Traditional Arabic"/>
          <w:rtl/>
        </w:rPr>
      </w:pPr>
      <w:r w:rsidRPr="006750FA">
        <w:rPr>
          <w:rFonts w:ascii="Traditional Arabic" w:hAnsi="Traditional Arabic"/>
          <w:rtl/>
        </w:rPr>
        <w:t>كان من أبيها وأُمِّها</w:t>
      </w:r>
      <w:r w:rsidRPr="006750FA">
        <w:rPr>
          <w:rFonts w:ascii="Traditional Arabic" w:hAnsi="Traditional Arabic" w:hint="cs"/>
          <w:rtl/>
        </w:rPr>
        <w:t>................................</w:t>
      </w:r>
      <w:r w:rsidR="00243354">
        <w:rPr>
          <w:rFonts w:ascii="Traditional Arabic" w:hAnsi="Traditional Arabic" w:hint="cs"/>
          <w:rtl/>
        </w:rPr>
        <w:t>.</w:t>
      </w:r>
      <w:r w:rsidRPr="006750FA">
        <w:rPr>
          <w:rFonts w:ascii="Traditional Arabic" w:hAnsi="Traditional Arabic" w:hint="cs"/>
          <w:rtl/>
        </w:rPr>
        <w:t>............................ 319</w:t>
      </w:r>
    </w:p>
    <w:p w:rsidR="006750FA" w:rsidRPr="006750FA" w:rsidRDefault="006750FA" w:rsidP="006750FA">
      <w:pPr>
        <w:ind w:firstLine="0"/>
        <w:rPr>
          <w:rFonts w:ascii="Traditional Arabic" w:hAnsi="Traditional Arabic"/>
          <w:rtl/>
        </w:rPr>
      </w:pPr>
      <w:r w:rsidRPr="006750FA">
        <w:rPr>
          <w:rtl/>
        </w:rPr>
        <w:t>كان وَرِق أصحاب الكهف مثل أخفاف الإِبل</w:t>
      </w:r>
      <w:r w:rsidRPr="006750FA">
        <w:rPr>
          <w:rFonts w:ascii="Traditional Arabic" w:hAnsi="Traditional Arabic" w:hint="cs"/>
          <w:rtl/>
        </w:rPr>
        <w:t>.........</w:t>
      </w:r>
      <w:r w:rsidR="00243354">
        <w:rPr>
          <w:rFonts w:ascii="Traditional Arabic" w:hAnsi="Traditional Arabic" w:hint="cs"/>
          <w:rtl/>
        </w:rPr>
        <w:t>.</w:t>
      </w:r>
      <w:r w:rsidRPr="006750FA">
        <w:rPr>
          <w:rFonts w:ascii="Traditional Arabic" w:hAnsi="Traditional Arabic" w:hint="cs"/>
          <w:rtl/>
        </w:rPr>
        <w:t>........................... 176</w:t>
      </w:r>
    </w:p>
    <w:p w:rsidR="006750FA" w:rsidRPr="006750FA" w:rsidRDefault="006750FA" w:rsidP="006750FA">
      <w:pPr>
        <w:ind w:firstLine="0"/>
        <w:rPr>
          <w:rFonts w:ascii="Traditional Arabic" w:hAnsi="Traditional Arabic"/>
          <w:rtl/>
        </w:rPr>
      </w:pPr>
      <w:r w:rsidRPr="006750FA">
        <w:rPr>
          <w:rFonts w:ascii="Traditional Arabic" w:hAnsi="Traditional Arabic"/>
          <w:rtl/>
        </w:rPr>
        <w:t>كان يطبخهم في القدور</w:t>
      </w:r>
      <w:r w:rsidRPr="006750FA">
        <w:rPr>
          <w:rFonts w:ascii="Traditional Arabic" w:hAnsi="Traditional Arabic" w:hint="cs"/>
          <w:rtl/>
        </w:rPr>
        <w:t>.............................................</w:t>
      </w:r>
      <w:r w:rsidR="003B4175">
        <w:rPr>
          <w:rFonts w:ascii="Traditional Arabic" w:hAnsi="Traditional Arabic" w:hint="cs"/>
          <w:rtl/>
        </w:rPr>
        <w:t>..</w:t>
      </w:r>
      <w:r w:rsidRPr="006750FA">
        <w:rPr>
          <w:rFonts w:ascii="Traditional Arabic" w:hAnsi="Traditional Arabic" w:hint="cs"/>
          <w:rtl/>
        </w:rPr>
        <w:t>.......... 269</w:t>
      </w:r>
    </w:p>
    <w:p w:rsidR="006750FA" w:rsidRPr="006750FA" w:rsidRDefault="006750FA" w:rsidP="006750FA">
      <w:pPr>
        <w:ind w:firstLine="0"/>
        <w:rPr>
          <w:rtl/>
        </w:rPr>
      </w:pPr>
      <w:r w:rsidRPr="006750FA">
        <w:rPr>
          <w:rtl/>
        </w:rPr>
        <w:t>كانوا أبناء ملوك الروم، فتفرَّدوا بدينهم في الكهف</w:t>
      </w:r>
      <w:r w:rsidRPr="006750FA">
        <w:rPr>
          <w:rFonts w:hint="cs"/>
          <w:rtl/>
        </w:rPr>
        <w:t>.................................. 174</w:t>
      </w:r>
    </w:p>
    <w:p w:rsidR="006750FA" w:rsidRPr="006750FA" w:rsidRDefault="006750FA" w:rsidP="006750FA">
      <w:pPr>
        <w:ind w:firstLine="0"/>
        <w:rPr>
          <w:rFonts w:ascii="Traditional Arabic" w:hAnsi="Traditional Arabic"/>
          <w:rtl/>
        </w:rPr>
      </w:pPr>
      <w:r w:rsidRPr="006750FA">
        <w:rPr>
          <w:rtl/>
        </w:rPr>
        <w:t>كانوا ثلاثمائة عام على شِقّ واحد، ثم قُلِّبوا تسع سنين</w:t>
      </w:r>
      <w:r w:rsidRPr="006750FA">
        <w:rPr>
          <w:rFonts w:ascii="Traditional Arabic" w:hAnsi="Traditional Arabic" w:hint="cs"/>
          <w:rtl/>
        </w:rPr>
        <w:t>.............................. 183</w:t>
      </w:r>
    </w:p>
    <w:p w:rsidR="006750FA" w:rsidRPr="006750FA" w:rsidRDefault="006750FA" w:rsidP="006750FA">
      <w:pPr>
        <w:ind w:firstLine="0"/>
        <w:rPr>
          <w:rFonts w:ascii="Traditional Arabic" w:hAnsi="Traditional Arabic"/>
          <w:rtl/>
        </w:rPr>
      </w:pPr>
      <w:r w:rsidRPr="006750FA">
        <w:rPr>
          <w:rtl/>
        </w:rPr>
        <w:t>كانوا يُقلَّبون في كل عام مرتين</w:t>
      </w:r>
      <w:r w:rsidRPr="006750FA">
        <w:rPr>
          <w:rFonts w:ascii="Traditional Arabic" w:hAnsi="Traditional Arabic" w:hint="cs"/>
          <w:rtl/>
        </w:rPr>
        <w:t>.......................................</w:t>
      </w:r>
      <w:r w:rsidR="003B4175">
        <w:rPr>
          <w:rFonts w:ascii="Traditional Arabic" w:hAnsi="Traditional Arabic" w:hint="cs"/>
          <w:rtl/>
        </w:rPr>
        <w:t>..</w:t>
      </w:r>
      <w:r w:rsidRPr="006750FA">
        <w:rPr>
          <w:rFonts w:ascii="Traditional Arabic" w:hAnsi="Traditional Arabic" w:hint="cs"/>
          <w:rtl/>
        </w:rPr>
        <w:t>........... 183</w:t>
      </w:r>
    </w:p>
    <w:p w:rsidR="006750FA" w:rsidRPr="006750FA" w:rsidRDefault="006750FA" w:rsidP="006750FA">
      <w:pPr>
        <w:ind w:firstLine="0"/>
        <w:rPr>
          <w:rFonts w:ascii="Traditional Arabic" w:hAnsi="Traditional Arabic"/>
          <w:rtl/>
        </w:rPr>
      </w:pPr>
      <w:r w:rsidRPr="006750FA">
        <w:rPr>
          <w:rFonts w:ascii="Traditional Arabic" w:hAnsi="Traditional Arabic"/>
          <w:rtl/>
        </w:rPr>
        <w:t>كتاباً من رب العالمين إِلى فلان بن فلان</w:t>
      </w:r>
      <w:r w:rsidRPr="006750FA">
        <w:rPr>
          <w:rFonts w:ascii="Traditional Arabic" w:hAnsi="Traditional Arabic" w:hint="cs"/>
          <w:rtl/>
        </w:rPr>
        <w:t>.....................................</w:t>
      </w:r>
      <w:r w:rsidR="003B4175">
        <w:rPr>
          <w:rFonts w:ascii="Traditional Arabic" w:hAnsi="Traditional Arabic" w:hint="cs"/>
          <w:rtl/>
        </w:rPr>
        <w:t>.</w:t>
      </w:r>
      <w:r w:rsidRPr="006750FA">
        <w:rPr>
          <w:rFonts w:ascii="Traditional Arabic" w:hAnsi="Traditional Arabic" w:hint="cs"/>
          <w:rtl/>
        </w:rPr>
        <w:t>..... 144</w:t>
      </w:r>
    </w:p>
    <w:p w:rsidR="006750FA" w:rsidRPr="006750FA" w:rsidRDefault="006750FA" w:rsidP="006750FA">
      <w:pPr>
        <w:ind w:firstLine="0"/>
        <w:rPr>
          <w:rFonts w:ascii="Traditional Arabic" w:hAnsi="Traditional Arabic"/>
          <w:rtl/>
        </w:rPr>
      </w:pPr>
      <w:r w:rsidRPr="006750FA">
        <w:rPr>
          <w:rFonts w:ascii="Traditional Arabic" w:hAnsi="Traditional Arabic"/>
          <w:color w:val="0D0D0D"/>
          <w:rtl/>
          <w:lang w:eastAsia="en-US"/>
        </w:rPr>
        <w:t>كلّ خيل تسير في معصية الله، وكلّ رَجُل يسير في معصية الله</w:t>
      </w:r>
      <w:r w:rsidRPr="006750FA">
        <w:rPr>
          <w:rFonts w:ascii="Traditional Arabic" w:hAnsi="Traditional Arabic" w:hint="cs"/>
          <w:rtl/>
        </w:rPr>
        <w:t>........................ 101</w:t>
      </w:r>
    </w:p>
    <w:p w:rsidR="006750FA" w:rsidRPr="006750FA" w:rsidRDefault="006750FA" w:rsidP="006750FA">
      <w:pPr>
        <w:ind w:firstLine="0"/>
        <w:rPr>
          <w:rFonts w:ascii="Traditional Arabic" w:hAnsi="Traditional Arabic"/>
          <w:rtl/>
        </w:rPr>
      </w:pPr>
      <w:r w:rsidRPr="006750FA">
        <w:rPr>
          <w:rFonts w:ascii="Traditional Arabic" w:hAnsi="Traditional Arabic"/>
          <w:rtl/>
        </w:rPr>
        <w:t>كلُّ ما رفعت إِليه</w:t>
      </w:r>
      <w:r w:rsidRPr="006750FA">
        <w:rPr>
          <w:rFonts w:ascii="Traditional Arabic" w:hAnsi="Traditional Arabic" w:hint="cs"/>
          <w:rtl/>
        </w:rPr>
        <w:t xml:space="preserve"> </w:t>
      </w:r>
      <w:r w:rsidRPr="006750FA">
        <w:rPr>
          <w:rFonts w:ascii="Traditional Arabic" w:hAnsi="Traditional Arabic"/>
          <w:rtl/>
        </w:rPr>
        <w:t>طرفك، فهو</w:t>
      </w:r>
      <w:r w:rsidRPr="006750FA">
        <w:rPr>
          <w:rFonts w:ascii="Traditional Arabic" w:hAnsi="Traditional Arabic" w:hint="cs"/>
          <w:rtl/>
        </w:rPr>
        <w:t xml:space="preserve"> </w:t>
      </w:r>
      <w:r w:rsidRPr="006750FA">
        <w:rPr>
          <w:rFonts w:ascii="Traditional Arabic" w:hAnsi="Traditional Arabic"/>
          <w:rtl/>
        </w:rPr>
        <w:t>فوقك</w:t>
      </w:r>
      <w:r w:rsidRPr="006750FA">
        <w:rPr>
          <w:rFonts w:ascii="Traditional Arabic" w:hAnsi="Traditional Arabic" w:hint="cs"/>
          <w:rtl/>
        </w:rPr>
        <w:t>......................................</w:t>
      </w:r>
      <w:r w:rsidR="003B4175">
        <w:rPr>
          <w:rFonts w:ascii="Traditional Arabic" w:hAnsi="Traditional Arabic" w:hint="cs"/>
          <w:rtl/>
        </w:rPr>
        <w:t>.</w:t>
      </w:r>
      <w:r w:rsidRPr="006750FA">
        <w:rPr>
          <w:rFonts w:ascii="Traditional Arabic" w:hAnsi="Traditional Arabic" w:hint="cs"/>
          <w:rtl/>
        </w:rPr>
        <w:t>...... 310</w:t>
      </w:r>
    </w:p>
    <w:p w:rsidR="006750FA" w:rsidRPr="006750FA" w:rsidRDefault="006750FA" w:rsidP="006750FA">
      <w:pPr>
        <w:ind w:firstLine="0"/>
        <w:rPr>
          <w:rtl/>
        </w:rPr>
      </w:pPr>
      <w:r w:rsidRPr="006750FA">
        <w:rPr>
          <w:rtl/>
        </w:rPr>
        <w:t>لا تُمارِ أحداً، حسبك ما قصصتُ عليكَ من أمرهم</w:t>
      </w:r>
      <w:r w:rsidRPr="006750FA">
        <w:rPr>
          <w:rFonts w:hint="cs"/>
          <w:rtl/>
        </w:rPr>
        <w:t>................................ 196</w:t>
      </w:r>
    </w:p>
    <w:p w:rsidR="006750FA" w:rsidRPr="006750FA" w:rsidRDefault="006750FA" w:rsidP="006750FA">
      <w:pPr>
        <w:ind w:firstLine="0"/>
        <w:rPr>
          <w:rFonts w:ascii="Traditional Arabic" w:hAnsi="Traditional Arabic"/>
          <w:rtl/>
        </w:rPr>
      </w:pPr>
      <w:r w:rsidRPr="006750FA">
        <w:rPr>
          <w:rtl/>
        </w:rPr>
        <w:t>لا تُمارِ في عِدَّتهم</w:t>
      </w:r>
      <w:r w:rsidRPr="006750FA">
        <w:rPr>
          <w:rFonts w:ascii="Traditional Arabic" w:hAnsi="Traditional Arabic" w:hint="cs"/>
          <w:rtl/>
        </w:rPr>
        <w:t>........................................................</w:t>
      </w:r>
      <w:r w:rsidR="003B4175">
        <w:rPr>
          <w:rFonts w:ascii="Traditional Arabic" w:hAnsi="Traditional Arabic" w:hint="cs"/>
          <w:rtl/>
        </w:rPr>
        <w:t>.</w:t>
      </w:r>
      <w:r w:rsidRPr="006750FA">
        <w:rPr>
          <w:rFonts w:ascii="Traditional Arabic" w:hAnsi="Traditional Arabic" w:hint="cs"/>
          <w:rtl/>
        </w:rPr>
        <w:t>....... 196</w:t>
      </w:r>
    </w:p>
    <w:p w:rsidR="006750FA" w:rsidRPr="006750FA" w:rsidRDefault="006750FA" w:rsidP="006750FA">
      <w:pPr>
        <w:ind w:firstLine="0"/>
        <w:rPr>
          <w:rFonts w:ascii="Traditional Arabic" w:hAnsi="Traditional Arabic"/>
          <w:rtl/>
        </w:rPr>
      </w:pPr>
      <w:r w:rsidRPr="006750FA">
        <w:rPr>
          <w:rFonts w:ascii="Traditional Arabic" w:hAnsi="Traditional Arabic"/>
          <w:rtl/>
        </w:rPr>
        <w:t>لا يرائي</w:t>
      </w:r>
      <w:r w:rsidRPr="006750FA">
        <w:rPr>
          <w:rFonts w:ascii="Traditional Arabic" w:hAnsi="Traditional Arabic" w:hint="cs"/>
          <w:rtl/>
        </w:rPr>
        <w:t>.............................................................</w:t>
      </w:r>
      <w:r w:rsidR="003B4175">
        <w:rPr>
          <w:rFonts w:ascii="Traditional Arabic" w:hAnsi="Traditional Arabic" w:hint="cs"/>
          <w:rtl/>
        </w:rPr>
        <w:t>...</w:t>
      </w:r>
      <w:r w:rsidRPr="006750FA">
        <w:rPr>
          <w:rFonts w:ascii="Traditional Arabic" w:hAnsi="Traditional Arabic" w:hint="cs"/>
          <w:rtl/>
        </w:rPr>
        <w:t>........ 289</w:t>
      </w:r>
    </w:p>
    <w:p w:rsidR="006750FA" w:rsidRPr="006750FA" w:rsidRDefault="006750FA" w:rsidP="006750FA">
      <w:pPr>
        <w:ind w:firstLine="0"/>
        <w:rPr>
          <w:rFonts w:ascii="Traditional Arabic" w:hAnsi="Traditional Arabic"/>
          <w:rtl/>
        </w:rPr>
      </w:pPr>
      <w:r w:rsidRPr="006750FA">
        <w:rPr>
          <w:rtl/>
        </w:rPr>
        <w:t>لا يقع شيء من ذلك</w:t>
      </w:r>
      <w:r w:rsidRPr="006750FA">
        <w:rPr>
          <w:rFonts w:ascii="Traditional Arabic" w:hAnsi="Traditional Arabic" w:hint="cs"/>
          <w:rtl/>
        </w:rPr>
        <w:t>.......................................</w:t>
      </w:r>
      <w:r w:rsidR="003B4175">
        <w:rPr>
          <w:rFonts w:ascii="Traditional Arabic" w:hAnsi="Traditional Arabic" w:hint="cs"/>
          <w:rtl/>
        </w:rPr>
        <w:t>.</w:t>
      </w:r>
      <w:r w:rsidRPr="006750FA">
        <w:rPr>
          <w:rFonts w:ascii="Traditional Arabic" w:hAnsi="Traditional Arabic" w:hint="cs"/>
          <w:rtl/>
        </w:rPr>
        <w:t>................... 198</w:t>
      </w:r>
    </w:p>
    <w:p w:rsidR="006750FA" w:rsidRPr="006750FA" w:rsidRDefault="006750FA" w:rsidP="006750FA">
      <w:pPr>
        <w:ind w:firstLine="0"/>
        <w:rPr>
          <w:rFonts w:ascii="Traditional Arabic" w:hAnsi="Traditional Arabic"/>
          <w:rtl/>
        </w:rPr>
      </w:pPr>
      <w:r w:rsidRPr="006750FA">
        <w:rPr>
          <w:rtl/>
        </w:rPr>
        <w:t>لم يكن للفريقين عِلم بلبثهم، لا لمؤمنيهم، ولا لكافريهم</w:t>
      </w:r>
      <w:r w:rsidRPr="006750FA">
        <w:rPr>
          <w:rFonts w:ascii="Traditional Arabic" w:hAnsi="Traditional Arabic" w:hint="cs"/>
          <w:rtl/>
        </w:rPr>
        <w:t>............................. 178</w:t>
      </w:r>
    </w:p>
    <w:p w:rsidR="006750FA" w:rsidRPr="006750FA" w:rsidRDefault="006750FA" w:rsidP="006750FA">
      <w:pPr>
        <w:ind w:firstLine="0"/>
        <w:rPr>
          <w:rFonts w:ascii="Traditional Arabic" w:hAnsi="Traditional Arabic"/>
          <w:rtl/>
        </w:rPr>
      </w:pPr>
      <w:r w:rsidRPr="006750FA">
        <w:rPr>
          <w:rFonts w:ascii="Traditional Arabic" w:hAnsi="Traditional Arabic"/>
          <w:rtl/>
        </w:rPr>
        <w:t>لمَّا قال هذا، ولم يقل: «بوالديّ» علموا أنه وُلد من غير بَشَر</w:t>
      </w:r>
      <w:r w:rsidRPr="006750FA">
        <w:rPr>
          <w:rFonts w:ascii="Traditional Arabic" w:hAnsi="Traditional Arabic" w:hint="cs"/>
          <w:rtl/>
        </w:rPr>
        <w:t>......................... 322</w:t>
      </w:r>
    </w:p>
    <w:p w:rsidR="006750FA" w:rsidRPr="006750FA" w:rsidRDefault="006750FA" w:rsidP="006750FA">
      <w:pPr>
        <w:ind w:firstLine="0"/>
        <w:rPr>
          <w:rFonts w:ascii="Traditional Arabic" w:hAnsi="Traditional Arabic"/>
          <w:rtl/>
        </w:rPr>
      </w:pPr>
      <w:r w:rsidRPr="006750FA">
        <w:rPr>
          <w:rFonts w:ascii="Traditional Arabic" w:hAnsi="Traditional Arabic"/>
          <w:rtl/>
          <w:lang w:eastAsia="en-US"/>
        </w:rPr>
        <w:t>لمّا قالت له اليهود هذا، صدَّق ما قالوا، وغزا غزوة تبوك</w:t>
      </w:r>
      <w:r w:rsidRPr="006750FA">
        <w:rPr>
          <w:rFonts w:ascii="Traditional Arabic" w:hAnsi="Traditional Arabic" w:hint="cs"/>
          <w:rtl/>
        </w:rPr>
        <w:t>............................. 119</w:t>
      </w:r>
    </w:p>
    <w:p w:rsidR="006750FA" w:rsidRPr="006750FA" w:rsidRDefault="006750FA" w:rsidP="006750FA">
      <w:pPr>
        <w:ind w:firstLine="0"/>
        <w:rPr>
          <w:rFonts w:ascii="Traditional Arabic" w:hAnsi="Traditional Arabic"/>
          <w:rtl/>
        </w:rPr>
      </w:pPr>
      <w:r w:rsidRPr="006750FA">
        <w:rPr>
          <w:rFonts w:ascii="Traditional Arabic" w:hAnsi="Traditional Arabic"/>
          <w:rtl/>
        </w:rPr>
        <w:t>لن تصبر على صنعي، لأني علمت من غيب علم ربي</w:t>
      </w:r>
      <w:r w:rsidRPr="006750FA">
        <w:rPr>
          <w:rFonts w:ascii="Traditional Arabic" w:hAnsi="Traditional Arabic" w:hint="cs"/>
          <w:rtl/>
        </w:rPr>
        <w:t>..........</w:t>
      </w:r>
      <w:r w:rsidR="00243354">
        <w:rPr>
          <w:rFonts w:ascii="Traditional Arabic" w:hAnsi="Traditional Arabic" w:hint="cs"/>
          <w:rtl/>
        </w:rPr>
        <w:t>.</w:t>
      </w:r>
      <w:r w:rsidRPr="006750FA">
        <w:rPr>
          <w:rFonts w:ascii="Traditional Arabic" w:hAnsi="Traditional Arabic" w:hint="cs"/>
          <w:rtl/>
        </w:rPr>
        <w:t>.................... 249</w:t>
      </w:r>
    </w:p>
    <w:p w:rsidR="006750FA" w:rsidRPr="006750FA" w:rsidRDefault="006750FA" w:rsidP="006750FA">
      <w:pPr>
        <w:ind w:firstLine="0"/>
        <w:rPr>
          <w:rFonts w:ascii="Traditional Arabic" w:hAnsi="Traditional Arabic"/>
          <w:rtl/>
        </w:rPr>
      </w:pPr>
      <w:r w:rsidRPr="006750FA">
        <w:rPr>
          <w:rFonts w:ascii="Traditional Arabic" w:hAnsi="Traditional Arabic"/>
          <w:rtl/>
        </w:rPr>
        <w:lastRenderedPageBreak/>
        <w:t>لو كان البحر مداداً للقلم، والقلم يكتب</w:t>
      </w:r>
      <w:r w:rsidRPr="006750FA">
        <w:rPr>
          <w:rFonts w:ascii="Traditional Arabic" w:hAnsi="Traditional Arabic" w:hint="cs"/>
          <w:rtl/>
        </w:rPr>
        <w:t>..................................... 70, 287</w:t>
      </w:r>
    </w:p>
    <w:p w:rsidR="006750FA" w:rsidRPr="006750FA" w:rsidRDefault="006750FA" w:rsidP="006750FA">
      <w:pPr>
        <w:ind w:firstLine="0"/>
        <w:rPr>
          <w:rFonts w:ascii="Traditional Arabic" w:hAnsi="Traditional Arabic"/>
          <w:rtl/>
        </w:rPr>
      </w:pPr>
      <w:r w:rsidRPr="006750FA">
        <w:rPr>
          <w:rtl/>
        </w:rPr>
        <w:t xml:space="preserve">لو كانوا لبثوا ذلك لما قال: </w:t>
      </w:r>
      <w:r w:rsidRPr="006750FA">
        <w:rPr>
          <w:rFonts w:ascii="QCF_BSML" w:hAnsi="QCF_BSML" w:cs="QCF_BSML"/>
          <w:color w:val="auto"/>
          <w:sz w:val="28"/>
          <w:szCs w:val="28"/>
          <w:rtl/>
          <w:lang w:eastAsia="en-US"/>
        </w:rPr>
        <w:t>ﭽ</w:t>
      </w:r>
      <w:r w:rsidRPr="006750FA">
        <w:rPr>
          <w:rFonts w:ascii="QCF_P296" w:hAnsi="QCF_P296" w:cs="QCF_P296"/>
          <w:color w:val="auto"/>
          <w:sz w:val="28"/>
          <w:szCs w:val="28"/>
          <w:rtl/>
          <w:lang w:eastAsia="en-US"/>
        </w:rPr>
        <w:t xml:space="preserve"> ﯟ  ﯠ  ﯡ  ﯢ  ﯣﯤ </w:t>
      </w:r>
      <w:r w:rsidRPr="006750FA">
        <w:rPr>
          <w:rFonts w:ascii="QCF_BSML" w:hAnsi="QCF_BSML" w:cs="QCF_BSML"/>
          <w:color w:val="auto"/>
          <w:sz w:val="28"/>
          <w:szCs w:val="28"/>
          <w:rtl/>
          <w:lang w:eastAsia="en-US"/>
        </w:rPr>
        <w:t>ﭼ</w:t>
      </w:r>
      <w:r w:rsidRPr="006750FA">
        <w:rPr>
          <w:rFonts w:ascii="Traditional Arabic" w:hAnsi="Traditional Arabic" w:hint="cs"/>
          <w:rtl/>
        </w:rPr>
        <w:t>..................................201</w:t>
      </w:r>
    </w:p>
    <w:p w:rsidR="006750FA" w:rsidRPr="006750FA" w:rsidRDefault="006750FA" w:rsidP="006750FA">
      <w:pPr>
        <w:ind w:firstLine="0"/>
        <w:rPr>
          <w:rFonts w:ascii="Traditional Arabic" w:hAnsi="Traditional Arabic"/>
          <w:rtl/>
        </w:rPr>
      </w:pPr>
      <w:r w:rsidRPr="006750FA">
        <w:rPr>
          <w:rFonts w:ascii="Traditional Arabic" w:hAnsi="Traditional Arabic"/>
          <w:rtl/>
        </w:rPr>
        <w:t>ليس من نفس يوم القيامة إِلا وهي تنظر إِلى بيت في الجنة</w:t>
      </w:r>
      <w:r w:rsidRPr="006750FA">
        <w:rPr>
          <w:rFonts w:ascii="Traditional Arabic" w:hAnsi="Traditional Arabic" w:hint="cs"/>
          <w:rtl/>
        </w:rPr>
        <w:t>........................... 227</w:t>
      </w:r>
    </w:p>
    <w:p w:rsidR="006750FA" w:rsidRPr="006750FA" w:rsidRDefault="006750FA" w:rsidP="006750FA">
      <w:pPr>
        <w:ind w:firstLine="0"/>
        <w:rPr>
          <w:rFonts w:ascii="Traditional Arabic" w:hAnsi="Traditional Arabic"/>
          <w:rtl/>
        </w:rPr>
      </w:pPr>
      <w:r w:rsidRPr="006750FA">
        <w:rPr>
          <w:rFonts w:ascii="Traditional Arabic" w:hAnsi="Traditional Arabic"/>
          <w:rtl/>
        </w:rPr>
        <w:t>مضى يفتح المدائن ويجمع الكنوز</w:t>
      </w:r>
      <w:r w:rsidRPr="006750FA">
        <w:rPr>
          <w:rFonts w:ascii="Traditional Arabic" w:hAnsi="Traditional Arabic" w:hint="cs"/>
          <w:rtl/>
        </w:rPr>
        <w:t>.........................................</w:t>
      </w:r>
      <w:r w:rsidR="003B4175">
        <w:rPr>
          <w:rFonts w:ascii="Traditional Arabic" w:hAnsi="Traditional Arabic" w:hint="cs"/>
          <w:rtl/>
        </w:rPr>
        <w:t>..</w:t>
      </w:r>
      <w:r w:rsidRPr="006750FA">
        <w:rPr>
          <w:rFonts w:ascii="Traditional Arabic" w:hAnsi="Traditional Arabic" w:hint="cs"/>
          <w:rtl/>
        </w:rPr>
        <w:t>...... 270</w:t>
      </w:r>
    </w:p>
    <w:p w:rsidR="006750FA" w:rsidRPr="006750FA" w:rsidRDefault="006750FA" w:rsidP="006750FA">
      <w:pPr>
        <w:ind w:firstLine="0"/>
        <w:rPr>
          <w:rFonts w:ascii="Traditional Arabic" w:hAnsi="Traditional Arabic"/>
          <w:rtl/>
        </w:rPr>
      </w:pPr>
      <w:r w:rsidRPr="006750FA">
        <w:rPr>
          <w:rFonts w:ascii="Traditional Arabic" w:hAnsi="Traditional Arabic"/>
          <w:rtl/>
        </w:rPr>
        <w:t>معلِّماً للخير</w:t>
      </w:r>
      <w:r w:rsidRPr="006750FA">
        <w:rPr>
          <w:rFonts w:ascii="Traditional Arabic" w:hAnsi="Traditional Arabic" w:hint="cs"/>
          <w:rtl/>
        </w:rPr>
        <w:t>..........................................</w:t>
      </w:r>
      <w:r w:rsidR="00243354">
        <w:rPr>
          <w:rFonts w:ascii="Traditional Arabic" w:hAnsi="Traditional Arabic" w:hint="cs"/>
          <w:rtl/>
        </w:rPr>
        <w:t>.</w:t>
      </w:r>
      <w:r w:rsidRPr="006750FA">
        <w:rPr>
          <w:rFonts w:ascii="Traditional Arabic" w:hAnsi="Traditional Arabic" w:hint="cs"/>
          <w:rtl/>
        </w:rPr>
        <w:t>.................</w:t>
      </w:r>
      <w:r w:rsidR="003B4175">
        <w:rPr>
          <w:rFonts w:ascii="Traditional Arabic" w:hAnsi="Traditional Arabic" w:hint="cs"/>
          <w:rtl/>
        </w:rPr>
        <w:t>.</w:t>
      </w:r>
      <w:r w:rsidRPr="006750FA">
        <w:rPr>
          <w:rFonts w:ascii="Traditional Arabic" w:hAnsi="Traditional Arabic" w:hint="cs"/>
          <w:rtl/>
        </w:rPr>
        <w:t>....... 322</w:t>
      </w:r>
    </w:p>
    <w:p w:rsidR="006750FA" w:rsidRPr="006750FA" w:rsidRDefault="006750FA" w:rsidP="006750FA">
      <w:pPr>
        <w:ind w:firstLine="0"/>
        <w:rPr>
          <w:rFonts w:ascii="Traditional Arabic" w:hAnsi="Traditional Arabic"/>
          <w:rtl/>
        </w:rPr>
      </w:pPr>
      <w:r w:rsidRPr="006750FA">
        <w:rPr>
          <w:rFonts w:ascii="Traditional Arabic" w:hAnsi="Traditional Arabic"/>
          <w:rtl/>
        </w:rPr>
        <w:t>ملك الأرض أربعة:</w:t>
      </w:r>
      <w:r w:rsidRPr="006750FA">
        <w:rPr>
          <w:rFonts w:ascii="Traditional Arabic" w:hAnsi="Traditional Arabic" w:hint="cs"/>
          <w:rtl/>
        </w:rPr>
        <w:t xml:space="preserve"> </w:t>
      </w:r>
      <w:r w:rsidRPr="006750FA">
        <w:rPr>
          <w:rFonts w:ascii="Traditional Arabic" w:hAnsi="Traditional Arabic"/>
          <w:rtl/>
        </w:rPr>
        <w:t>مؤمنان، وكافران</w:t>
      </w:r>
      <w:r w:rsidRPr="006750FA">
        <w:rPr>
          <w:rFonts w:ascii="Traditional Arabic" w:hAnsi="Traditional Arabic" w:hint="cs"/>
          <w:rtl/>
        </w:rPr>
        <w:t>......................................</w:t>
      </w:r>
      <w:r w:rsidR="003B4175">
        <w:rPr>
          <w:rFonts w:ascii="Traditional Arabic" w:hAnsi="Traditional Arabic" w:hint="cs"/>
          <w:rtl/>
        </w:rPr>
        <w:t>.</w:t>
      </w:r>
      <w:r w:rsidRPr="006750FA">
        <w:rPr>
          <w:rFonts w:ascii="Traditional Arabic" w:hAnsi="Traditional Arabic" w:hint="cs"/>
          <w:rtl/>
        </w:rPr>
        <w:t>....... 267</w:t>
      </w:r>
    </w:p>
    <w:p w:rsidR="006750FA" w:rsidRPr="006750FA" w:rsidRDefault="006750FA" w:rsidP="006750FA">
      <w:pPr>
        <w:ind w:firstLine="0"/>
        <w:rPr>
          <w:rFonts w:ascii="Traditional Arabic" w:hAnsi="Traditional Arabic"/>
          <w:rtl/>
        </w:rPr>
      </w:pPr>
      <w:r w:rsidRPr="006750FA">
        <w:rPr>
          <w:rFonts w:ascii="Traditional Arabic" w:hAnsi="Traditional Arabic"/>
          <w:rtl/>
        </w:rPr>
        <w:t>من قرأ القرآن من قبل أن يحتلم، فهو ممن أُوتيَ الحُكم صبيّاً</w:t>
      </w:r>
      <w:r w:rsidR="003B4175">
        <w:rPr>
          <w:rFonts w:ascii="Traditional Arabic" w:hAnsi="Traditional Arabic" w:hint="cs"/>
          <w:rtl/>
        </w:rPr>
        <w:t>..</w:t>
      </w:r>
      <w:r w:rsidR="00243354">
        <w:rPr>
          <w:rFonts w:ascii="Traditional Arabic" w:hAnsi="Traditional Arabic" w:hint="cs"/>
          <w:rtl/>
        </w:rPr>
        <w:t>.</w:t>
      </w:r>
      <w:r w:rsidR="003B4175">
        <w:rPr>
          <w:rFonts w:ascii="Traditional Arabic" w:hAnsi="Traditional Arabic" w:hint="cs"/>
          <w:rtl/>
        </w:rPr>
        <w:t>..........</w:t>
      </w:r>
      <w:r w:rsidRPr="006750FA">
        <w:rPr>
          <w:rFonts w:ascii="Traditional Arabic" w:hAnsi="Traditional Arabic" w:hint="cs"/>
          <w:rtl/>
        </w:rPr>
        <w:t>............. 300</w:t>
      </w:r>
    </w:p>
    <w:p w:rsidR="006750FA" w:rsidRPr="006750FA" w:rsidRDefault="006750FA" w:rsidP="006750FA">
      <w:pPr>
        <w:ind w:firstLine="0"/>
        <w:rPr>
          <w:rFonts w:ascii="Traditional Arabic" w:hAnsi="Traditional Arabic"/>
          <w:rtl/>
        </w:rPr>
      </w:pPr>
      <w:r w:rsidRPr="006750FA">
        <w:rPr>
          <w:rFonts w:ascii="Traditional Arabic" w:hAnsi="Traditional Arabic"/>
          <w:rtl/>
        </w:rPr>
        <w:t>من يرد الله هداه</w:t>
      </w:r>
      <w:r w:rsidRPr="006750FA">
        <w:rPr>
          <w:rFonts w:ascii="Traditional Arabic" w:hAnsi="Traditional Arabic" w:hint="cs"/>
          <w:rtl/>
        </w:rPr>
        <w:t>................................................................ 147</w:t>
      </w:r>
    </w:p>
    <w:p w:rsidR="006750FA" w:rsidRPr="006750FA" w:rsidRDefault="006750FA" w:rsidP="006750FA">
      <w:pPr>
        <w:ind w:firstLine="0"/>
        <w:rPr>
          <w:rFonts w:ascii="Traditional Arabic" w:hAnsi="Traditional Arabic"/>
          <w:rtl/>
        </w:rPr>
      </w:pPr>
      <w:r w:rsidRPr="006750FA">
        <w:rPr>
          <w:rFonts w:ascii="Traditional Arabic" w:hAnsi="Traditional Arabic"/>
          <w:rtl/>
          <w:lang w:eastAsia="en-US"/>
        </w:rPr>
        <w:t>منهم مَنْ طوله شِبْر</w:t>
      </w:r>
      <w:r w:rsidRPr="006750FA">
        <w:rPr>
          <w:rFonts w:ascii="Traditional Arabic" w:hAnsi="Traditional Arabic" w:hint="cs"/>
          <w:rtl/>
        </w:rPr>
        <w:t>.................................................</w:t>
      </w:r>
      <w:r w:rsidR="003B4175">
        <w:rPr>
          <w:rFonts w:ascii="Traditional Arabic" w:hAnsi="Traditional Arabic" w:hint="cs"/>
          <w:rtl/>
        </w:rPr>
        <w:t>.</w:t>
      </w:r>
      <w:r w:rsidRPr="006750FA">
        <w:rPr>
          <w:rFonts w:ascii="Traditional Arabic" w:hAnsi="Traditional Arabic" w:hint="cs"/>
          <w:rtl/>
        </w:rPr>
        <w:t>........... 274</w:t>
      </w:r>
    </w:p>
    <w:p w:rsidR="006750FA" w:rsidRPr="006750FA" w:rsidRDefault="006750FA" w:rsidP="006750FA">
      <w:pPr>
        <w:ind w:firstLine="0"/>
        <w:rPr>
          <w:rFonts w:ascii="Traditional Arabic" w:hAnsi="Traditional Arabic"/>
          <w:rtl/>
        </w:rPr>
      </w:pPr>
      <w:r w:rsidRPr="006750FA">
        <w:rPr>
          <w:rtl/>
        </w:rPr>
        <w:t xml:space="preserve">نزلت </w:t>
      </w:r>
      <w:r w:rsidRPr="006750FA">
        <w:rPr>
          <w:rFonts w:ascii="QCF_BSML" w:hAnsi="QCF_BSML" w:cs="QCF_BSML"/>
          <w:color w:val="auto"/>
          <w:sz w:val="28"/>
          <w:szCs w:val="28"/>
          <w:rtl/>
          <w:lang w:eastAsia="en-US"/>
        </w:rPr>
        <w:t>ﭽ</w:t>
      </w:r>
      <w:r w:rsidRPr="006750FA">
        <w:rPr>
          <w:rFonts w:ascii="QCF_P296" w:hAnsi="QCF_P296" w:cs="QCF_P296"/>
          <w:color w:val="auto"/>
          <w:sz w:val="28"/>
          <w:szCs w:val="28"/>
          <w:rtl/>
          <w:lang w:eastAsia="en-US"/>
        </w:rPr>
        <w:t xml:space="preserve">ﯖ  ﯗ  ﯘ </w:t>
      </w:r>
      <w:r w:rsidRPr="006750FA">
        <w:rPr>
          <w:rFonts w:ascii="QCF_P296" w:hAnsi="QCF_P296" w:cs="QCF_P296" w:hint="cs"/>
          <w:color w:val="auto"/>
          <w:sz w:val="28"/>
          <w:szCs w:val="28"/>
          <w:rtl/>
          <w:lang w:eastAsia="en-US"/>
        </w:rPr>
        <w:t xml:space="preserve"> </w:t>
      </w:r>
      <w:r w:rsidRPr="006750FA">
        <w:rPr>
          <w:rFonts w:ascii="QCF_P296" w:hAnsi="QCF_P296" w:cs="QCF_P296"/>
          <w:color w:val="auto"/>
          <w:sz w:val="28"/>
          <w:szCs w:val="28"/>
          <w:rtl/>
          <w:lang w:eastAsia="en-US"/>
        </w:rPr>
        <w:t xml:space="preserve">ﯙ  ﯚ   </w:t>
      </w:r>
      <w:r w:rsidRPr="006750FA">
        <w:rPr>
          <w:rFonts w:ascii="QCF_BSML" w:hAnsi="QCF_BSML" w:cs="QCF_BSML"/>
          <w:color w:val="auto"/>
          <w:sz w:val="28"/>
          <w:szCs w:val="28"/>
          <w:rtl/>
          <w:lang w:eastAsia="en-US"/>
        </w:rPr>
        <w:t>ﭼ</w:t>
      </w:r>
      <w:r w:rsidRPr="006750FA">
        <w:rPr>
          <w:rFonts w:ascii="QCF_P296" w:hAnsi="QCF_P296" w:cs="QCF_P296"/>
          <w:color w:val="auto"/>
          <w:rtl/>
          <w:lang w:eastAsia="en-US"/>
        </w:rPr>
        <w:t xml:space="preserve"> </w:t>
      </w:r>
      <w:r w:rsidRPr="006750FA">
        <w:rPr>
          <w:rFonts w:ascii="QCF_P296" w:hAnsi="QCF_P296" w:cs="QCF_P296" w:hint="cs"/>
          <w:color w:val="auto"/>
          <w:rtl/>
          <w:lang w:eastAsia="en-US"/>
        </w:rPr>
        <w:t xml:space="preserve"> </w:t>
      </w:r>
      <w:r w:rsidRPr="006750FA">
        <w:rPr>
          <w:rtl/>
        </w:rPr>
        <w:t>فقالوا: أياماً أو شهوراً أو سنين؟</w:t>
      </w:r>
      <w:r w:rsidRPr="006750FA">
        <w:rPr>
          <w:rFonts w:ascii="Traditional Arabic" w:hAnsi="Traditional Arabic" w:hint="cs"/>
          <w:rtl/>
        </w:rPr>
        <w:t>................... 202</w:t>
      </w:r>
    </w:p>
    <w:p w:rsidR="006750FA" w:rsidRPr="006750FA" w:rsidRDefault="006750FA" w:rsidP="006750FA">
      <w:pPr>
        <w:ind w:firstLine="0"/>
        <w:rPr>
          <w:rFonts w:ascii="Traditional Arabic" w:hAnsi="Traditional Arabic"/>
          <w:rtl/>
        </w:rPr>
      </w:pPr>
      <w:r w:rsidRPr="006750FA">
        <w:rPr>
          <w:rFonts w:ascii="Traditional Arabic" w:hAnsi="Traditional Arabic"/>
          <w:rtl/>
        </w:rPr>
        <w:t>هذا الماء هو ما يسيل من عَرَق أهل الموقف</w:t>
      </w:r>
      <w:r w:rsidRPr="006750FA">
        <w:rPr>
          <w:rFonts w:ascii="Traditional Arabic" w:hAnsi="Traditional Arabic" w:hint="cs"/>
          <w:rtl/>
        </w:rPr>
        <w:t>........................................ 209</w:t>
      </w:r>
    </w:p>
    <w:p w:rsidR="006750FA" w:rsidRPr="006750FA" w:rsidRDefault="006750FA" w:rsidP="006750FA">
      <w:pPr>
        <w:ind w:firstLine="0"/>
        <w:rPr>
          <w:rFonts w:ascii="Traditional Arabic" w:hAnsi="Traditional Arabic"/>
          <w:rtl/>
        </w:rPr>
      </w:pPr>
      <w:r w:rsidRPr="006750FA">
        <w:rPr>
          <w:rtl/>
        </w:rPr>
        <w:t>هذا قول أهل الكتاب</w:t>
      </w:r>
      <w:r w:rsidRPr="006750FA">
        <w:rPr>
          <w:rFonts w:ascii="Traditional Arabic" w:hAnsi="Traditional Arabic" w:hint="cs"/>
          <w:rtl/>
        </w:rPr>
        <w:t>...........................................</w:t>
      </w:r>
      <w:r w:rsidR="003B4175">
        <w:rPr>
          <w:rFonts w:ascii="Traditional Arabic" w:hAnsi="Traditional Arabic" w:hint="cs"/>
          <w:rtl/>
        </w:rPr>
        <w:t>.</w:t>
      </w:r>
      <w:r w:rsidRPr="006750FA">
        <w:rPr>
          <w:rFonts w:ascii="Traditional Arabic" w:hAnsi="Traditional Arabic" w:hint="cs"/>
          <w:rtl/>
        </w:rPr>
        <w:t>............... 201</w:t>
      </w:r>
    </w:p>
    <w:p w:rsidR="006750FA" w:rsidRPr="006750FA" w:rsidRDefault="006750FA" w:rsidP="006750FA">
      <w:pPr>
        <w:ind w:firstLine="0"/>
        <w:rPr>
          <w:rFonts w:ascii="Traditional Arabic" w:hAnsi="Traditional Arabic"/>
          <w:rtl/>
        </w:rPr>
      </w:pPr>
      <w:r w:rsidRPr="006750FA">
        <w:rPr>
          <w:rtl/>
        </w:rPr>
        <w:t>هذا قول يمليخا، وهو رئيس أصحاب الكهف</w:t>
      </w:r>
      <w:r w:rsidRPr="006750FA">
        <w:rPr>
          <w:rFonts w:ascii="Traditional Arabic" w:hAnsi="Traditional Arabic" w:hint="cs"/>
          <w:rtl/>
        </w:rPr>
        <w:t>...................................... 180</w:t>
      </w:r>
    </w:p>
    <w:p w:rsidR="006750FA" w:rsidRPr="006750FA" w:rsidRDefault="006750FA" w:rsidP="006750FA">
      <w:pPr>
        <w:ind w:firstLine="0"/>
        <w:rPr>
          <w:rFonts w:ascii="Traditional Arabic" w:hAnsi="Traditional Arabic"/>
          <w:rtl/>
        </w:rPr>
      </w:pPr>
      <w:r w:rsidRPr="006750FA">
        <w:rPr>
          <w:rFonts w:ascii="Traditional Arabic" w:hAnsi="Traditional Arabic"/>
          <w:rtl/>
        </w:rPr>
        <w:t>هذه آخر آية نزلت من القرآن</w:t>
      </w:r>
      <w:r w:rsidRPr="006750FA">
        <w:rPr>
          <w:rFonts w:ascii="Traditional Arabic" w:hAnsi="Traditional Arabic" w:hint="cs"/>
          <w:rtl/>
        </w:rPr>
        <w:t>......................................</w:t>
      </w:r>
      <w:r w:rsidR="003B4175">
        <w:rPr>
          <w:rFonts w:ascii="Traditional Arabic" w:hAnsi="Traditional Arabic" w:hint="cs"/>
          <w:rtl/>
        </w:rPr>
        <w:t>.</w:t>
      </w:r>
      <w:r w:rsidRPr="006750FA">
        <w:rPr>
          <w:rFonts w:ascii="Traditional Arabic" w:hAnsi="Traditional Arabic" w:hint="cs"/>
          <w:rtl/>
        </w:rPr>
        <w:t>............. 289</w:t>
      </w:r>
    </w:p>
    <w:p w:rsidR="006750FA" w:rsidRPr="006750FA" w:rsidRDefault="006750FA" w:rsidP="006750FA">
      <w:pPr>
        <w:ind w:firstLine="0"/>
        <w:rPr>
          <w:rFonts w:ascii="Traditional Arabic" w:hAnsi="Traditional Arabic"/>
          <w:rtl/>
        </w:rPr>
      </w:pPr>
      <w:r w:rsidRPr="006750FA">
        <w:rPr>
          <w:rFonts w:ascii="Traditional Arabic" w:hAnsi="Traditional Arabic"/>
          <w:rtl/>
          <w:lang w:eastAsia="en-US"/>
        </w:rPr>
        <w:t>هم أهل مكة ب</w:t>
      </w:r>
      <w:r w:rsidRPr="006750FA">
        <w:rPr>
          <w:rFonts w:ascii="Traditional Arabic" w:hAnsi="Traditional Arabic" w:hint="cs"/>
          <w:rtl/>
          <w:lang w:eastAsia="en-US"/>
        </w:rPr>
        <w:t>إ</w:t>
      </w:r>
      <w:r w:rsidRPr="006750FA">
        <w:rPr>
          <w:rFonts w:ascii="Traditional Arabic" w:hAnsi="Traditional Arabic"/>
          <w:rtl/>
          <w:lang w:eastAsia="en-US"/>
        </w:rPr>
        <w:t>خراجه من مكة</w:t>
      </w:r>
      <w:r w:rsidRPr="006750FA">
        <w:rPr>
          <w:rFonts w:ascii="Traditional Arabic" w:hAnsi="Traditional Arabic" w:hint="cs"/>
          <w:rtl/>
        </w:rPr>
        <w:t>...................................</w:t>
      </w:r>
      <w:r w:rsidR="003B4175">
        <w:rPr>
          <w:rFonts w:ascii="Traditional Arabic" w:hAnsi="Traditional Arabic" w:hint="cs"/>
          <w:rtl/>
        </w:rPr>
        <w:t>..</w:t>
      </w:r>
      <w:r w:rsidRPr="006750FA">
        <w:rPr>
          <w:rFonts w:ascii="Traditional Arabic" w:hAnsi="Traditional Arabic" w:hint="cs"/>
          <w:rtl/>
        </w:rPr>
        <w:t>.............. 120</w:t>
      </w:r>
    </w:p>
    <w:p w:rsidR="006750FA" w:rsidRPr="006750FA" w:rsidRDefault="006750FA" w:rsidP="006750FA">
      <w:pPr>
        <w:ind w:firstLine="0"/>
        <w:rPr>
          <w:rFonts w:ascii="Traditional Arabic" w:hAnsi="Traditional Arabic"/>
          <w:rtl/>
        </w:rPr>
      </w:pPr>
      <w:r w:rsidRPr="006750FA">
        <w:rPr>
          <w:rFonts w:ascii="Traditional Arabic" w:hAnsi="Traditional Arabic"/>
          <w:color w:val="0D0D0D"/>
          <w:rtl/>
          <w:lang w:eastAsia="en-US"/>
        </w:rPr>
        <w:t>هم أولياء الله الذي عصمهم</w:t>
      </w:r>
      <w:r w:rsidRPr="006750FA">
        <w:rPr>
          <w:rFonts w:ascii="Traditional Arabic" w:hAnsi="Traditional Arabic" w:hint="cs"/>
          <w:rtl/>
        </w:rPr>
        <w:t>..................................................... 101</w:t>
      </w:r>
    </w:p>
    <w:p w:rsidR="006750FA" w:rsidRPr="006750FA" w:rsidRDefault="006750FA" w:rsidP="006750FA">
      <w:pPr>
        <w:ind w:firstLine="0"/>
        <w:rPr>
          <w:rFonts w:ascii="Traditional Arabic" w:hAnsi="Traditional Arabic"/>
          <w:rtl/>
        </w:rPr>
      </w:pPr>
      <w:r w:rsidRPr="006750FA">
        <w:rPr>
          <w:rFonts w:ascii="Traditional Arabic" w:hAnsi="Traditional Arabic"/>
          <w:rtl/>
          <w:lang w:eastAsia="en-US"/>
        </w:rPr>
        <w:t>هم جيل من التُّرك</w:t>
      </w:r>
      <w:r w:rsidRPr="006750FA">
        <w:rPr>
          <w:rFonts w:ascii="Traditional Arabic" w:hAnsi="Traditional Arabic" w:hint="cs"/>
          <w:rtl/>
        </w:rPr>
        <w:t>.............................................</w:t>
      </w:r>
      <w:r w:rsidR="003B4175">
        <w:rPr>
          <w:rFonts w:ascii="Traditional Arabic" w:hAnsi="Traditional Arabic" w:hint="cs"/>
          <w:rtl/>
        </w:rPr>
        <w:t>..</w:t>
      </w:r>
      <w:r w:rsidRPr="006750FA">
        <w:rPr>
          <w:rFonts w:ascii="Traditional Arabic" w:hAnsi="Traditional Arabic" w:hint="cs"/>
          <w:rtl/>
        </w:rPr>
        <w:t>............... 274</w:t>
      </w:r>
    </w:p>
    <w:p w:rsidR="006750FA" w:rsidRPr="006750FA" w:rsidRDefault="006750FA" w:rsidP="006750FA">
      <w:pPr>
        <w:ind w:firstLine="0"/>
        <w:rPr>
          <w:rFonts w:ascii="Traditional Arabic" w:hAnsi="Traditional Arabic"/>
          <w:rtl/>
        </w:rPr>
      </w:pPr>
      <w:r w:rsidRPr="006750FA">
        <w:rPr>
          <w:rFonts w:ascii="Traditional Arabic" w:hAnsi="Traditional Arabic"/>
          <w:rtl/>
          <w:lang w:eastAsia="en-US"/>
        </w:rPr>
        <w:t xml:space="preserve">همّ رسول الله </w:t>
      </w:r>
      <w:r w:rsidRPr="006750FA">
        <w:rPr>
          <w:rFonts w:ascii="Traditional Arabic" w:hAnsi="Traditional Arabic"/>
          <w:lang w:eastAsia="en-US"/>
        </w:rPr>
        <w:t xml:space="preserve"> </w:t>
      </w:r>
      <w:r w:rsidRPr="006750FA">
        <w:rPr>
          <w:rFonts w:ascii="Traditional Arabic" w:hAnsi="Traditional Arabic"/>
          <w:lang w:eastAsia="en-US"/>
        </w:rPr>
        <w:sym w:font="AGA Arabesque" w:char="F072"/>
      </w:r>
      <w:r w:rsidRPr="006750FA">
        <w:rPr>
          <w:rFonts w:ascii="Traditional Arabic" w:hAnsi="Traditional Arabic"/>
          <w:rtl/>
          <w:lang w:eastAsia="en-US"/>
        </w:rPr>
        <w:t>أن يشخص عن المدينة</w:t>
      </w:r>
      <w:r w:rsidRPr="006750FA">
        <w:rPr>
          <w:rFonts w:ascii="Traditional Arabic" w:hAnsi="Traditional Arabic" w:hint="cs"/>
          <w:rtl/>
        </w:rPr>
        <w:t>.......................................... 119</w:t>
      </w:r>
    </w:p>
    <w:p w:rsidR="006750FA" w:rsidRPr="006750FA" w:rsidRDefault="006750FA" w:rsidP="006750FA">
      <w:pPr>
        <w:ind w:firstLine="0"/>
        <w:rPr>
          <w:rFonts w:ascii="Traditional Arabic" w:hAnsi="Traditional Arabic"/>
          <w:rtl/>
        </w:rPr>
      </w:pPr>
      <w:r w:rsidRPr="006750FA">
        <w:rPr>
          <w:rFonts w:ascii="Traditional Arabic" w:hAnsi="Traditional Arabic"/>
          <w:rtl/>
        </w:rPr>
        <w:t>هما ابنا ملك كان في بني إِسرائيل توفِّي وتركهما</w:t>
      </w:r>
      <w:r w:rsidRPr="006750FA">
        <w:rPr>
          <w:rFonts w:ascii="Traditional Arabic" w:hAnsi="Traditional Arabic" w:hint="cs"/>
          <w:rtl/>
        </w:rPr>
        <w:t>...................................... 213</w:t>
      </w:r>
    </w:p>
    <w:p w:rsidR="006750FA" w:rsidRPr="006750FA" w:rsidRDefault="006750FA" w:rsidP="006750FA">
      <w:pPr>
        <w:ind w:firstLine="0"/>
        <w:rPr>
          <w:rFonts w:ascii="Traditional Arabic" w:hAnsi="Traditional Arabic"/>
          <w:rtl/>
        </w:rPr>
      </w:pPr>
      <w:r w:rsidRPr="006750FA">
        <w:rPr>
          <w:rFonts w:ascii="Traditional Arabic" w:hAnsi="Traditional Arabic"/>
          <w:rtl/>
        </w:rPr>
        <w:t>هما جبلان منيفان في السماء، من ورائهما البحر</w:t>
      </w:r>
      <w:r w:rsidRPr="006750FA">
        <w:rPr>
          <w:rFonts w:ascii="Traditional Arabic" w:hAnsi="Traditional Arabic" w:hint="cs"/>
          <w:rtl/>
        </w:rPr>
        <w:t>...............</w:t>
      </w:r>
      <w:r w:rsidR="00243354">
        <w:rPr>
          <w:rFonts w:ascii="Traditional Arabic" w:hAnsi="Traditional Arabic" w:hint="cs"/>
          <w:rtl/>
        </w:rPr>
        <w:t>.</w:t>
      </w:r>
      <w:r w:rsidRPr="006750FA">
        <w:rPr>
          <w:rFonts w:ascii="Traditional Arabic" w:hAnsi="Traditional Arabic" w:hint="cs"/>
          <w:rtl/>
        </w:rPr>
        <w:t>.................... 272</w:t>
      </w:r>
    </w:p>
    <w:p w:rsidR="006750FA" w:rsidRPr="006750FA" w:rsidRDefault="006750FA" w:rsidP="006750FA">
      <w:pPr>
        <w:ind w:firstLine="0"/>
        <w:rPr>
          <w:rFonts w:ascii="Traditional Arabic" w:hAnsi="Traditional Arabic"/>
          <w:rtl/>
        </w:rPr>
      </w:pPr>
      <w:r w:rsidRPr="006750FA">
        <w:rPr>
          <w:rFonts w:ascii="Traditional Arabic" w:hAnsi="Traditional Arabic"/>
          <w:rtl/>
        </w:rPr>
        <w:t>هو اسم من اسماء الله تعالى</w:t>
      </w:r>
      <w:r w:rsidRPr="006750FA">
        <w:rPr>
          <w:rFonts w:ascii="Traditional Arabic" w:hAnsi="Traditional Arabic" w:hint="cs"/>
          <w:rtl/>
        </w:rPr>
        <w:t>...................................</w:t>
      </w:r>
      <w:r w:rsidR="003B4175">
        <w:rPr>
          <w:rFonts w:ascii="Traditional Arabic" w:hAnsi="Traditional Arabic" w:hint="cs"/>
          <w:rtl/>
        </w:rPr>
        <w:t>..</w:t>
      </w:r>
      <w:r w:rsidRPr="006750FA">
        <w:rPr>
          <w:rFonts w:ascii="Traditional Arabic" w:hAnsi="Traditional Arabic" w:hint="cs"/>
          <w:rtl/>
        </w:rPr>
        <w:t>................. 292</w:t>
      </w:r>
    </w:p>
    <w:p w:rsidR="006750FA" w:rsidRPr="006750FA" w:rsidRDefault="006750FA" w:rsidP="006750FA">
      <w:pPr>
        <w:ind w:firstLine="0"/>
        <w:rPr>
          <w:rFonts w:ascii="Traditional Arabic" w:hAnsi="Traditional Arabic"/>
          <w:rtl/>
        </w:rPr>
      </w:pPr>
      <w:r w:rsidRPr="006750FA">
        <w:rPr>
          <w:rFonts w:ascii="Traditional Arabic" w:hAnsi="Traditional Arabic"/>
          <w:rtl/>
        </w:rPr>
        <w:t>هو الجدول بالسريانية</w:t>
      </w:r>
      <w:r w:rsidRPr="006750FA">
        <w:rPr>
          <w:rFonts w:ascii="Traditional Arabic" w:hAnsi="Traditional Arabic" w:hint="cs"/>
          <w:rtl/>
        </w:rPr>
        <w:t>.......................................</w:t>
      </w:r>
      <w:r w:rsidR="003B4175">
        <w:rPr>
          <w:rFonts w:ascii="Traditional Arabic" w:hAnsi="Traditional Arabic" w:hint="cs"/>
          <w:rtl/>
        </w:rPr>
        <w:t>..</w:t>
      </w:r>
      <w:r w:rsidRPr="006750FA">
        <w:rPr>
          <w:rFonts w:ascii="Traditional Arabic" w:hAnsi="Traditional Arabic" w:hint="cs"/>
          <w:rtl/>
        </w:rPr>
        <w:t>................... 311</w:t>
      </w:r>
    </w:p>
    <w:p w:rsidR="006750FA" w:rsidRPr="006750FA" w:rsidRDefault="006750FA" w:rsidP="006750FA">
      <w:pPr>
        <w:ind w:firstLine="0"/>
        <w:rPr>
          <w:rFonts w:ascii="Traditional Arabic" w:hAnsi="Traditional Arabic"/>
          <w:rtl/>
        </w:rPr>
      </w:pPr>
      <w:r w:rsidRPr="006750FA">
        <w:rPr>
          <w:rFonts w:ascii="Traditional Arabic" w:hAnsi="Traditional Arabic"/>
          <w:rtl/>
        </w:rPr>
        <w:t>هو قُحُول العظم</w:t>
      </w:r>
      <w:r w:rsidRPr="006750FA">
        <w:rPr>
          <w:rFonts w:ascii="Traditional Arabic" w:hAnsi="Traditional Arabic" w:hint="cs"/>
          <w:rtl/>
        </w:rPr>
        <w:t>.........................................</w:t>
      </w:r>
      <w:r w:rsidR="003B4175">
        <w:rPr>
          <w:rFonts w:ascii="Traditional Arabic" w:hAnsi="Traditional Arabic" w:hint="cs"/>
          <w:rtl/>
        </w:rPr>
        <w:t>..</w:t>
      </w:r>
      <w:r w:rsidRPr="006750FA">
        <w:rPr>
          <w:rFonts w:ascii="Traditional Arabic" w:hAnsi="Traditional Arabic" w:hint="cs"/>
          <w:rtl/>
        </w:rPr>
        <w:t>..................... 298</w:t>
      </w:r>
    </w:p>
    <w:p w:rsidR="006750FA" w:rsidRPr="006750FA" w:rsidRDefault="006750FA" w:rsidP="006750FA">
      <w:pPr>
        <w:ind w:firstLine="0"/>
        <w:rPr>
          <w:rFonts w:ascii="Traditional Arabic" w:hAnsi="Traditional Arabic"/>
          <w:color w:val="0D0D0D"/>
          <w:rtl/>
          <w:lang w:eastAsia="en-US"/>
        </w:rPr>
      </w:pPr>
      <w:r w:rsidRPr="006750FA">
        <w:rPr>
          <w:rFonts w:ascii="Traditional Arabic" w:hAnsi="Traditional Arabic"/>
          <w:color w:val="0D0D0D"/>
          <w:rtl/>
          <w:lang w:eastAsia="en-US"/>
        </w:rPr>
        <w:t>هي رؤيا عين رآها ليلة أُسري به</w:t>
      </w:r>
      <w:r w:rsidRPr="006750FA">
        <w:rPr>
          <w:rFonts w:ascii="Traditional Arabic" w:hAnsi="Traditional Arabic" w:hint="cs"/>
          <w:color w:val="0D0D0D"/>
          <w:rtl/>
          <w:lang w:eastAsia="en-US"/>
        </w:rPr>
        <w:t>............................................... 59, 93</w:t>
      </w:r>
    </w:p>
    <w:p w:rsidR="006750FA" w:rsidRPr="006750FA" w:rsidRDefault="006750FA" w:rsidP="006750FA">
      <w:pPr>
        <w:ind w:firstLine="0"/>
        <w:rPr>
          <w:rFonts w:ascii="Traditional Arabic" w:hAnsi="Traditional Arabic"/>
          <w:rtl/>
        </w:rPr>
      </w:pPr>
      <w:r w:rsidRPr="006750FA">
        <w:rPr>
          <w:rtl/>
        </w:rPr>
        <w:t>هي في مصحف عبد الله: «وما يعبدون من دون الله»</w:t>
      </w:r>
      <w:r w:rsidRPr="006750FA">
        <w:rPr>
          <w:rFonts w:ascii="Traditional Arabic" w:hAnsi="Traditional Arabic" w:hint="cs"/>
          <w:rtl/>
        </w:rPr>
        <w:t>.............................. 180</w:t>
      </w:r>
    </w:p>
    <w:p w:rsidR="006750FA" w:rsidRPr="006750FA" w:rsidRDefault="006750FA" w:rsidP="006750FA">
      <w:pPr>
        <w:ind w:firstLine="0"/>
        <w:rPr>
          <w:rtl/>
        </w:rPr>
      </w:pPr>
      <w:r w:rsidRPr="006750FA">
        <w:rPr>
          <w:rtl/>
        </w:rPr>
        <w:lastRenderedPageBreak/>
        <w:t>والله ما علم عدوّ الله، ولكنّ موسى هو الذي عَلِم</w:t>
      </w:r>
      <w:r w:rsidRPr="006750FA">
        <w:rPr>
          <w:rFonts w:hint="cs"/>
          <w:rtl/>
        </w:rPr>
        <w:t>............................ 67, 153</w:t>
      </w:r>
    </w:p>
    <w:p w:rsidR="006750FA" w:rsidRPr="006750FA" w:rsidRDefault="006750FA" w:rsidP="006750FA">
      <w:pPr>
        <w:ind w:firstLine="0"/>
        <w:rPr>
          <w:rFonts w:ascii="Traditional Arabic" w:hAnsi="Traditional Arabic"/>
          <w:rtl/>
        </w:rPr>
      </w:pPr>
      <w:r w:rsidRPr="006750FA">
        <w:rPr>
          <w:rFonts w:ascii="Traditional Arabic" w:hAnsi="Traditional Arabic"/>
          <w:rtl/>
        </w:rPr>
        <w:t>وأما الغلام فكان كافرا</w:t>
      </w:r>
      <w:r w:rsidRPr="006750FA">
        <w:rPr>
          <w:rFonts w:ascii="Traditional Arabic" w:hAnsi="Traditional Arabic" w:hint="cs"/>
          <w:rtl/>
        </w:rPr>
        <w:t>.........................................</w:t>
      </w:r>
      <w:r w:rsidR="003B4175">
        <w:rPr>
          <w:rFonts w:ascii="Traditional Arabic" w:hAnsi="Traditional Arabic" w:hint="cs"/>
          <w:rtl/>
        </w:rPr>
        <w:t>.</w:t>
      </w:r>
      <w:r w:rsidRPr="006750FA">
        <w:rPr>
          <w:rFonts w:ascii="Traditional Arabic" w:hAnsi="Traditional Arabic" w:hint="cs"/>
          <w:rtl/>
        </w:rPr>
        <w:t>................. 260</w:t>
      </w:r>
    </w:p>
    <w:p w:rsidR="006750FA" w:rsidRPr="006750FA" w:rsidRDefault="006750FA" w:rsidP="006750FA">
      <w:pPr>
        <w:ind w:firstLine="0"/>
        <w:rPr>
          <w:rFonts w:ascii="Traditional Arabic" w:hAnsi="Traditional Arabic"/>
          <w:rtl/>
        </w:rPr>
      </w:pPr>
      <w:r w:rsidRPr="006750FA">
        <w:rPr>
          <w:rFonts w:ascii="Traditional Arabic" w:hAnsi="Traditional Arabic"/>
          <w:rtl/>
        </w:rPr>
        <w:t>وجدها تَغْرُب في ماءٍ يغلي كغليان القدور</w:t>
      </w:r>
      <w:r w:rsidRPr="006750FA">
        <w:rPr>
          <w:rFonts w:ascii="QCF_P303" w:hAnsi="QCF_P303" w:cs="QCF_P303"/>
          <w:color w:val="auto"/>
          <w:rtl/>
          <w:lang w:eastAsia="en-US"/>
        </w:rPr>
        <w:t xml:space="preserve">  </w:t>
      </w:r>
      <w:r w:rsidRPr="006750FA">
        <w:rPr>
          <w:rFonts w:ascii="QCF_BSML" w:hAnsi="QCF_BSML" w:cs="QCF_BSML" w:hint="cs"/>
          <w:color w:val="auto"/>
          <w:rtl/>
          <w:lang w:eastAsia="en-US"/>
        </w:rPr>
        <w:t xml:space="preserve"> </w:t>
      </w:r>
      <w:r w:rsidRPr="006750FA">
        <w:rPr>
          <w:rFonts w:ascii="Traditional Arabic" w:hAnsi="Traditional Arabic" w:hint="cs"/>
          <w:rtl/>
        </w:rPr>
        <w:t>......................................... 269</w:t>
      </w:r>
    </w:p>
    <w:p w:rsidR="006750FA" w:rsidRPr="006750FA" w:rsidRDefault="006750FA" w:rsidP="006750FA">
      <w:pPr>
        <w:ind w:firstLine="0"/>
        <w:rPr>
          <w:rFonts w:ascii="Traditional Arabic" w:hAnsi="Traditional Arabic"/>
          <w:rtl/>
        </w:rPr>
      </w:pPr>
      <w:r w:rsidRPr="006750FA">
        <w:rPr>
          <w:rtl/>
        </w:rPr>
        <w:t>وذلك أنه قد غُفِرَ له ما تقدم من ذنبه وما تأخر</w:t>
      </w:r>
      <w:r w:rsidR="00243354">
        <w:rPr>
          <w:rFonts w:hint="cs"/>
          <w:rtl/>
        </w:rPr>
        <w:t xml:space="preserve"> </w:t>
      </w:r>
      <w:r w:rsidRPr="006750FA">
        <w:rPr>
          <w:rFonts w:ascii="Traditional Arabic" w:hAnsi="Traditional Arabic" w:hint="cs"/>
          <w:rtl/>
        </w:rPr>
        <w:t>............</w:t>
      </w:r>
      <w:r w:rsidR="00243354">
        <w:rPr>
          <w:rFonts w:ascii="Traditional Arabic" w:hAnsi="Traditional Arabic" w:hint="cs"/>
          <w:rtl/>
        </w:rPr>
        <w:t>...</w:t>
      </w:r>
      <w:r w:rsidRPr="006750FA">
        <w:rPr>
          <w:rFonts w:ascii="Traditional Arabic" w:hAnsi="Traditional Arabic" w:hint="cs"/>
          <w:rtl/>
        </w:rPr>
        <w:t>............... 66, 128</w:t>
      </w:r>
    </w:p>
    <w:p w:rsidR="006750FA" w:rsidRPr="006750FA" w:rsidRDefault="006750FA" w:rsidP="006750FA">
      <w:pPr>
        <w:ind w:firstLine="0"/>
        <w:rPr>
          <w:rFonts w:ascii="Traditional Arabic" w:hAnsi="Traditional Arabic"/>
          <w:rtl/>
        </w:rPr>
      </w:pPr>
      <w:r w:rsidRPr="006750FA">
        <w:rPr>
          <w:rFonts w:ascii="Traditional Arabic" w:hAnsi="Traditional Arabic"/>
          <w:rtl/>
          <w:lang w:eastAsia="en-US"/>
        </w:rPr>
        <w:t>وذلك حين سكت عن جوابهم</w:t>
      </w:r>
      <w:r w:rsidRPr="006750FA">
        <w:rPr>
          <w:rFonts w:ascii="Traditional Arabic" w:hAnsi="Traditional Arabic" w:hint="cs"/>
          <w:rtl/>
          <w:lang w:eastAsia="en-US"/>
        </w:rPr>
        <w:t>,</w:t>
      </w:r>
      <w:r w:rsidRPr="006750FA">
        <w:rPr>
          <w:rFonts w:ascii="Traditional Arabic" w:hAnsi="Traditional Arabic"/>
          <w:rtl/>
          <w:lang w:eastAsia="en-US"/>
        </w:rPr>
        <w:t xml:space="preserve"> والله أعلم بنيَّته</w:t>
      </w:r>
      <w:r w:rsidR="00243354">
        <w:rPr>
          <w:rFonts w:ascii="Traditional Arabic" w:hAnsi="Traditional Arabic" w:hint="cs"/>
          <w:rtl/>
        </w:rPr>
        <w:t xml:space="preserve"> </w:t>
      </w:r>
      <w:r w:rsidRPr="006750FA">
        <w:rPr>
          <w:rFonts w:ascii="Traditional Arabic" w:hAnsi="Traditional Arabic" w:hint="cs"/>
          <w:rtl/>
        </w:rPr>
        <w:t>................................... 118</w:t>
      </w:r>
    </w:p>
    <w:p w:rsidR="006750FA" w:rsidRPr="006750FA" w:rsidRDefault="006750FA" w:rsidP="006750FA">
      <w:pPr>
        <w:ind w:firstLine="0"/>
        <w:rPr>
          <w:rFonts w:ascii="Traditional Arabic" w:hAnsi="Traditional Arabic"/>
          <w:rtl/>
        </w:rPr>
      </w:pPr>
      <w:r w:rsidRPr="006750FA">
        <w:rPr>
          <w:rFonts w:ascii="Traditional Arabic" w:hAnsi="Traditional Arabic"/>
          <w:rtl/>
        </w:rPr>
        <w:t>وسلام عليه حين وُلد</w:t>
      </w:r>
      <w:r w:rsidR="00243354">
        <w:rPr>
          <w:rFonts w:ascii="Traditional Arabic" w:hAnsi="Traditional Arabic" w:hint="cs"/>
          <w:rtl/>
        </w:rPr>
        <w:t xml:space="preserve"> </w:t>
      </w:r>
      <w:r w:rsidRPr="006750FA">
        <w:rPr>
          <w:rFonts w:ascii="Traditional Arabic" w:hAnsi="Traditional Arabic" w:hint="cs"/>
          <w:rtl/>
        </w:rPr>
        <w:t>....................</w:t>
      </w:r>
      <w:r w:rsidR="003B4175">
        <w:rPr>
          <w:rFonts w:ascii="Traditional Arabic" w:hAnsi="Traditional Arabic" w:hint="cs"/>
          <w:rtl/>
        </w:rPr>
        <w:t>.</w:t>
      </w:r>
      <w:r w:rsidRPr="006750FA">
        <w:rPr>
          <w:rFonts w:ascii="Traditional Arabic" w:hAnsi="Traditional Arabic" w:hint="cs"/>
          <w:rtl/>
        </w:rPr>
        <w:t>........................</w:t>
      </w:r>
      <w:r w:rsidR="00243354">
        <w:rPr>
          <w:rFonts w:ascii="Traditional Arabic" w:hAnsi="Traditional Arabic" w:hint="cs"/>
          <w:rtl/>
        </w:rPr>
        <w:t>.</w:t>
      </w:r>
      <w:r w:rsidRPr="006750FA">
        <w:rPr>
          <w:rFonts w:ascii="Traditional Arabic" w:hAnsi="Traditional Arabic" w:hint="cs"/>
          <w:rtl/>
        </w:rPr>
        <w:t>............. 302</w:t>
      </w:r>
    </w:p>
    <w:p w:rsidR="006750FA" w:rsidRPr="006750FA" w:rsidRDefault="006750FA" w:rsidP="006750FA">
      <w:pPr>
        <w:ind w:firstLine="0"/>
        <w:rPr>
          <w:rFonts w:ascii="Traditional Arabic" w:hAnsi="Traditional Arabic"/>
          <w:rtl/>
        </w:rPr>
      </w:pPr>
      <w:r w:rsidRPr="006750FA">
        <w:rPr>
          <w:rFonts w:ascii="Traditional Arabic" w:hAnsi="Traditional Arabic"/>
          <w:rtl/>
        </w:rPr>
        <w:t>وكان أمامَهم مَلِك</w:t>
      </w:r>
      <w:r w:rsidR="00243354">
        <w:rPr>
          <w:rFonts w:ascii="Traditional Arabic" w:hAnsi="Traditional Arabic" w:hint="cs"/>
          <w:rtl/>
        </w:rPr>
        <w:t xml:space="preserve"> </w:t>
      </w:r>
      <w:r w:rsidRPr="006750FA">
        <w:rPr>
          <w:rFonts w:ascii="Traditional Arabic" w:hAnsi="Traditional Arabic" w:hint="cs"/>
          <w:rtl/>
        </w:rPr>
        <w:t>....................</w:t>
      </w:r>
      <w:r w:rsidR="003B4175">
        <w:rPr>
          <w:rFonts w:ascii="Traditional Arabic" w:hAnsi="Traditional Arabic" w:hint="cs"/>
          <w:rtl/>
        </w:rPr>
        <w:t>..</w:t>
      </w:r>
      <w:r w:rsidRPr="006750FA">
        <w:rPr>
          <w:rFonts w:ascii="Traditional Arabic" w:hAnsi="Traditional Arabic" w:hint="cs"/>
          <w:rtl/>
        </w:rPr>
        <w:t>....................................... 260</w:t>
      </w:r>
    </w:p>
    <w:p w:rsidR="006750FA" w:rsidRPr="006750FA" w:rsidRDefault="006750FA" w:rsidP="006750FA">
      <w:pPr>
        <w:ind w:firstLine="0"/>
        <w:rPr>
          <w:rFonts w:ascii="Traditional Arabic" w:hAnsi="Traditional Arabic"/>
          <w:rtl/>
        </w:rPr>
      </w:pPr>
      <w:r w:rsidRPr="006750FA">
        <w:rPr>
          <w:rFonts w:ascii="Traditional Arabic" w:hAnsi="Traditional Arabic"/>
          <w:rtl/>
        </w:rPr>
        <w:t>يا كهيعص اغفر لي</w:t>
      </w:r>
      <w:r w:rsidR="00243354">
        <w:rPr>
          <w:rFonts w:ascii="Traditional Arabic" w:hAnsi="Traditional Arabic" w:hint="cs"/>
          <w:rtl/>
        </w:rPr>
        <w:t xml:space="preserve"> </w:t>
      </w:r>
      <w:r w:rsidRPr="006750FA">
        <w:rPr>
          <w:rFonts w:ascii="Traditional Arabic" w:hAnsi="Traditional Arabic" w:hint="cs"/>
          <w:rtl/>
        </w:rPr>
        <w:t>.....................</w:t>
      </w:r>
      <w:r w:rsidR="003B4175">
        <w:rPr>
          <w:rFonts w:ascii="Traditional Arabic" w:hAnsi="Traditional Arabic" w:hint="cs"/>
          <w:rtl/>
        </w:rPr>
        <w:t>.</w:t>
      </w:r>
      <w:r w:rsidRPr="006750FA">
        <w:rPr>
          <w:rFonts w:ascii="Traditional Arabic" w:hAnsi="Traditional Arabic" w:hint="cs"/>
          <w:rtl/>
        </w:rPr>
        <w:t>....................</w:t>
      </w:r>
      <w:r w:rsidR="00243354">
        <w:rPr>
          <w:rFonts w:ascii="Traditional Arabic" w:hAnsi="Traditional Arabic" w:hint="cs"/>
          <w:rtl/>
        </w:rPr>
        <w:t>.</w:t>
      </w:r>
      <w:r w:rsidRPr="006750FA">
        <w:rPr>
          <w:rFonts w:ascii="Traditional Arabic" w:hAnsi="Traditional Arabic" w:hint="cs"/>
          <w:rtl/>
        </w:rPr>
        <w:t>.................. 292</w:t>
      </w:r>
    </w:p>
    <w:p w:rsidR="006750FA" w:rsidRPr="006750FA" w:rsidRDefault="006750FA" w:rsidP="006750FA">
      <w:pPr>
        <w:ind w:firstLine="0"/>
        <w:rPr>
          <w:rFonts w:ascii="Traditional Arabic" w:hAnsi="Traditional Arabic"/>
          <w:rtl/>
        </w:rPr>
      </w:pPr>
      <w:r w:rsidRPr="006750FA">
        <w:rPr>
          <w:rFonts w:ascii="Traditional Arabic" w:hAnsi="Traditional Arabic"/>
          <w:rtl/>
        </w:rPr>
        <w:t xml:space="preserve">يأجوج رجل، </w:t>
      </w:r>
      <w:r w:rsidRPr="006750FA">
        <w:rPr>
          <w:rFonts w:ascii="Traditional Arabic" w:hAnsi="Traditional Arabic" w:hint="cs"/>
          <w:rtl/>
        </w:rPr>
        <w:t xml:space="preserve">ومأجوج رجل, </w:t>
      </w:r>
      <w:r w:rsidRPr="006750FA">
        <w:rPr>
          <w:rFonts w:ascii="Traditional Arabic" w:hAnsi="Traditional Arabic"/>
          <w:rtl/>
        </w:rPr>
        <w:t>وهما ابنا يافث بن نوح</w:t>
      </w:r>
      <w:r w:rsidR="00243354">
        <w:rPr>
          <w:rFonts w:ascii="Traditional Arabic" w:hAnsi="Traditional Arabic" w:hint="cs"/>
          <w:rtl/>
        </w:rPr>
        <w:t xml:space="preserve"> </w:t>
      </w:r>
      <w:r w:rsidRPr="006750FA">
        <w:rPr>
          <w:rFonts w:ascii="Traditional Arabic" w:hAnsi="Traditional Arabic" w:hint="cs"/>
          <w:rtl/>
        </w:rPr>
        <w:t>............................... 274</w:t>
      </w:r>
    </w:p>
    <w:p w:rsidR="006750FA" w:rsidRPr="006750FA" w:rsidRDefault="006750FA" w:rsidP="006750FA">
      <w:pPr>
        <w:ind w:firstLine="0"/>
        <w:rPr>
          <w:rFonts w:ascii="Traditional Arabic" w:hAnsi="Traditional Arabic"/>
          <w:rtl/>
        </w:rPr>
      </w:pPr>
      <w:r w:rsidRPr="006750FA">
        <w:rPr>
          <w:rFonts w:ascii="Traditional Arabic" w:hAnsi="Traditional Arabic"/>
          <w:rtl/>
        </w:rPr>
        <w:t>يُحلَّى كلُّ واحد منهم بثلاثة من الأساور</w:t>
      </w:r>
      <w:r w:rsidR="00243354">
        <w:rPr>
          <w:rFonts w:ascii="Traditional Arabic" w:hAnsi="Traditional Arabic" w:hint="cs"/>
          <w:rtl/>
        </w:rPr>
        <w:t xml:space="preserve"> </w:t>
      </w:r>
      <w:r w:rsidRPr="006750FA">
        <w:rPr>
          <w:rFonts w:ascii="Traditional Arabic" w:hAnsi="Traditional Arabic" w:hint="cs"/>
          <w:rtl/>
        </w:rPr>
        <w:t>...........................</w:t>
      </w:r>
      <w:r w:rsidR="00243354">
        <w:rPr>
          <w:rFonts w:ascii="Traditional Arabic" w:hAnsi="Traditional Arabic" w:hint="cs"/>
          <w:rtl/>
        </w:rPr>
        <w:t>.</w:t>
      </w:r>
      <w:r w:rsidRPr="006750FA">
        <w:rPr>
          <w:rFonts w:ascii="Traditional Arabic" w:hAnsi="Traditional Arabic" w:hint="cs"/>
          <w:rtl/>
        </w:rPr>
        <w:t>.............. 212</w:t>
      </w:r>
    </w:p>
    <w:p w:rsidR="006750FA" w:rsidRPr="006750FA" w:rsidRDefault="006750FA" w:rsidP="006750FA">
      <w:pPr>
        <w:ind w:firstLine="0"/>
        <w:rPr>
          <w:rFonts w:ascii="Traditional Arabic" w:hAnsi="Traditional Arabic"/>
          <w:rtl/>
        </w:rPr>
      </w:pPr>
      <w:r w:rsidRPr="006750FA">
        <w:rPr>
          <w:rFonts w:ascii="Traditional Arabic" w:hAnsi="Traditional Arabic"/>
          <w:rtl/>
        </w:rPr>
        <w:t>يريد أهل مكة</w:t>
      </w:r>
      <w:r w:rsidR="00243354">
        <w:rPr>
          <w:rFonts w:ascii="Traditional Arabic" w:hAnsi="Traditional Arabic" w:hint="cs"/>
          <w:rtl/>
        </w:rPr>
        <w:t xml:space="preserve"> </w:t>
      </w:r>
      <w:r w:rsidRPr="006750FA">
        <w:rPr>
          <w:rFonts w:ascii="Traditional Arabic" w:hAnsi="Traditional Arabic" w:hint="cs"/>
          <w:rtl/>
        </w:rPr>
        <w:t>............................................................ 63, 146</w:t>
      </w:r>
    </w:p>
    <w:p w:rsidR="006750FA" w:rsidRPr="006750FA" w:rsidRDefault="006750FA" w:rsidP="006750FA">
      <w:pPr>
        <w:ind w:firstLine="0"/>
        <w:rPr>
          <w:rFonts w:ascii="Traditional Arabic" w:hAnsi="Traditional Arabic"/>
          <w:rtl/>
        </w:rPr>
      </w:pPr>
      <w:r w:rsidRPr="006750FA">
        <w:rPr>
          <w:rFonts w:ascii="Traditional Arabic" w:hAnsi="Traditional Arabic"/>
          <w:rtl/>
        </w:rPr>
        <w:t>يريد: المستهزئين والمقتسمين وأتباعهم</w:t>
      </w:r>
      <w:r w:rsidR="00243354">
        <w:rPr>
          <w:rFonts w:ascii="Traditional Arabic" w:hAnsi="Traditional Arabic" w:hint="cs"/>
          <w:rtl/>
        </w:rPr>
        <w:t xml:space="preserve"> </w:t>
      </w:r>
      <w:r w:rsidRPr="006750FA">
        <w:rPr>
          <w:rFonts w:ascii="Traditional Arabic" w:hAnsi="Traditional Arabic" w:hint="cs"/>
          <w:rtl/>
        </w:rPr>
        <w:t>............................................. 238</w:t>
      </w:r>
    </w:p>
    <w:p w:rsidR="006750FA" w:rsidRPr="006750FA" w:rsidRDefault="006750FA" w:rsidP="006750FA">
      <w:pPr>
        <w:ind w:firstLine="0"/>
        <w:rPr>
          <w:rFonts w:ascii="Traditional Arabic" w:hAnsi="Traditional Arabic"/>
          <w:rtl/>
        </w:rPr>
      </w:pPr>
      <w:r w:rsidRPr="006750FA">
        <w:rPr>
          <w:rFonts w:ascii="Traditional Arabic" w:hAnsi="Traditional Arabic"/>
          <w:rtl/>
        </w:rPr>
        <w:t>يريد: إِنك قد أُعذرت فيما بيني وبينك</w:t>
      </w:r>
      <w:r w:rsidRPr="006750FA">
        <w:rPr>
          <w:rFonts w:ascii="Traditional Arabic" w:hAnsi="Traditional Arabic" w:hint="cs"/>
          <w:rtl/>
        </w:rPr>
        <w:t>............................................ 255</w:t>
      </w:r>
    </w:p>
    <w:p w:rsidR="006750FA" w:rsidRPr="006750FA" w:rsidRDefault="006750FA" w:rsidP="006750FA">
      <w:pPr>
        <w:ind w:firstLine="0"/>
        <w:rPr>
          <w:rFonts w:ascii="Traditional Arabic" w:hAnsi="Traditional Arabic"/>
          <w:rtl/>
        </w:rPr>
      </w:pPr>
      <w:r w:rsidRPr="006750FA">
        <w:rPr>
          <w:rFonts w:ascii="Traditional Arabic" w:hAnsi="Traditional Arabic"/>
          <w:rtl/>
        </w:rPr>
        <w:t>ي</w:t>
      </w:r>
      <w:r w:rsidRPr="006750FA">
        <w:rPr>
          <w:rFonts w:ascii="Traditional Arabic" w:hAnsi="Traditional Arabic" w:hint="cs"/>
          <w:rtl/>
        </w:rPr>
        <w:t>ُ</w:t>
      </w:r>
      <w:r w:rsidRPr="006750FA">
        <w:rPr>
          <w:rFonts w:ascii="Traditional Arabic" w:hAnsi="Traditional Arabic"/>
          <w:rtl/>
        </w:rPr>
        <w:t>سرى على القرآن في ليلة واحدة</w:t>
      </w:r>
      <w:r w:rsidR="00243354">
        <w:rPr>
          <w:rFonts w:ascii="Traditional Arabic" w:hAnsi="Traditional Arabic" w:hint="cs"/>
          <w:rtl/>
        </w:rPr>
        <w:t xml:space="preserve"> </w:t>
      </w:r>
      <w:r w:rsidRPr="006750FA">
        <w:rPr>
          <w:rFonts w:ascii="Traditional Arabic" w:hAnsi="Traditional Arabic" w:hint="cs"/>
          <w:rtl/>
        </w:rPr>
        <w:t>................................................ 139</w:t>
      </w:r>
    </w:p>
    <w:p w:rsidR="006750FA" w:rsidRPr="006750FA" w:rsidRDefault="006750FA" w:rsidP="006750FA">
      <w:pPr>
        <w:ind w:firstLine="0"/>
        <w:rPr>
          <w:rFonts w:ascii="Traditional Arabic" w:hAnsi="Traditional Arabic"/>
          <w:rtl/>
        </w:rPr>
      </w:pPr>
      <w:r w:rsidRPr="006750FA">
        <w:rPr>
          <w:rtl/>
        </w:rPr>
        <w:t>يسهِّلْ عليكم ما تخافون من الملِك وظلمه</w:t>
      </w:r>
      <w:r w:rsidR="00243354">
        <w:rPr>
          <w:rFonts w:ascii="Traditional Arabic" w:hAnsi="Traditional Arabic" w:hint="cs"/>
          <w:rtl/>
        </w:rPr>
        <w:t xml:space="preserve"> </w:t>
      </w:r>
      <w:r w:rsidRPr="006750FA">
        <w:rPr>
          <w:rFonts w:ascii="Traditional Arabic" w:hAnsi="Traditional Arabic" w:hint="cs"/>
          <w:rtl/>
        </w:rPr>
        <w:t>......................................... 181</w:t>
      </w:r>
    </w:p>
    <w:p w:rsidR="006750FA" w:rsidRPr="006750FA" w:rsidRDefault="006750FA" w:rsidP="006750FA">
      <w:pPr>
        <w:ind w:firstLine="0"/>
        <w:rPr>
          <w:rFonts w:ascii="Traditional Arabic" w:hAnsi="Traditional Arabic"/>
          <w:rtl/>
        </w:rPr>
      </w:pPr>
      <w:r w:rsidRPr="006750FA">
        <w:rPr>
          <w:rtl/>
        </w:rPr>
        <w:t>يعني بالقليل: هم سبعة، إِن الله عدَّهم حتى انتهى إِلى السبعة</w:t>
      </w:r>
      <w:r w:rsidR="00243354">
        <w:rPr>
          <w:rFonts w:ascii="Traditional Arabic" w:hAnsi="Traditional Arabic" w:hint="cs"/>
          <w:rtl/>
        </w:rPr>
        <w:t xml:space="preserve"> </w:t>
      </w:r>
      <w:r w:rsidRPr="006750FA">
        <w:rPr>
          <w:rFonts w:ascii="Traditional Arabic" w:hAnsi="Traditional Arabic" w:hint="cs"/>
          <w:rtl/>
        </w:rPr>
        <w:t>....................... 196</w:t>
      </w:r>
    </w:p>
    <w:p w:rsidR="006750FA" w:rsidRPr="006750FA" w:rsidRDefault="006750FA" w:rsidP="006750FA">
      <w:pPr>
        <w:ind w:firstLine="0"/>
        <w:rPr>
          <w:rtl/>
        </w:rPr>
      </w:pPr>
      <w:r w:rsidRPr="006750FA">
        <w:rPr>
          <w:rtl/>
        </w:rPr>
        <w:t>يعني من أهل الكتاب</w:t>
      </w:r>
      <w:r w:rsidR="00243354">
        <w:rPr>
          <w:rFonts w:hint="cs"/>
          <w:rtl/>
        </w:rPr>
        <w:t xml:space="preserve"> </w:t>
      </w:r>
      <w:r w:rsidRPr="006750FA">
        <w:rPr>
          <w:rFonts w:hint="cs"/>
          <w:rtl/>
        </w:rPr>
        <w:t>.......................................................... 197</w:t>
      </w:r>
    </w:p>
    <w:p w:rsidR="006750FA" w:rsidRPr="006750FA" w:rsidRDefault="006750FA" w:rsidP="006750FA">
      <w:pPr>
        <w:ind w:firstLine="0"/>
        <w:rPr>
          <w:rFonts w:ascii="Traditional Arabic" w:hAnsi="Traditional Arabic"/>
          <w:rtl/>
        </w:rPr>
      </w:pPr>
      <w:r w:rsidRPr="006750FA">
        <w:rPr>
          <w:rFonts w:ascii="Traditional Arabic" w:hAnsi="Traditional Arabic"/>
          <w:rtl/>
        </w:rPr>
        <w:t>يقول إِن كان البعث حقاً</w:t>
      </w:r>
      <w:r w:rsidR="00243354">
        <w:rPr>
          <w:rFonts w:ascii="Traditional Arabic" w:hAnsi="Traditional Arabic" w:hint="cs"/>
          <w:rtl/>
        </w:rPr>
        <w:t xml:space="preserve"> </w:t>
      </w:r>
      <w:r w:rsidRPr="006750FA">
        <w:rPr>
          <w:rFonts w:ascii="Traditional Arabic" w:hAnsi="Traditional Arabic" w:hint="cs"/>
          <w:rtl/>
        </w:rPr>
        <w:t>..................................</w:t>
      </w:r>
      <w:r w:rsidR="003B4175">
        <w:rPr>
          <w:rFonts w:ascii="Traditional Arabic" w:hAnsi="Traditional Arabic" w:hint="cs"/>
          <w:rtl/>
        </w:rPr>
        <w:t>.</w:t>
      </w:r>
      <w:r w:rsidRPr="006750FA">
        <w:rPr>
          <w:rFonts w:ascii="Traditional Arabic" w:hAnsi="Traditional Arabic" w:hint="cs"/>
          <w:rtl/>
        </w:rPr>
        <w:t>.................... 208</w:t>
      </w:r>
    </w:p>
    <w:p w:rsidR="00576551" w:rsidRDefault="00576551" w:rsidP="00137074">
      <w:pPr>
        <w:ind w:firstLine="0"/>
        <w:rPr>
          <w:rFonts w:ascii="Traditional Arabic" w:hAnsi="Traditional Arabic"/>
          <w:rtl/>
        </w:rPr>
      </w:pPr>
    </w:p>
    <w:p w:rsidR="006750FA" w:rsidRDefault="006750FA" w:rsidP="00137074">
      <w:pPr>
        <w:ind w:firstLine="0"/>
        <w:rPr>
          <w:rFonts w:ascii="Traditional Arabic" w:hAnsi="Traditional Arabic"/>
          <w:rtl/>
        </w:rPr>
      </w:pPr>
    </w:p>
    <w:p w:rsidR="006750FA" w:rsidRDefault="006750FA" w:rsidP="00137074">
      <w:pPr>
        <w:ind w:firstLine="0"/>
        <w:rPr>
          <w:rFonts w:ascii="Traditional Arabic" w:hAnsi="Traditional Arabic"/>
          <w:rtl/>
        </w:rPr>
      </w:pPr>
    </w:p>
    <w:p w:rsidR="006750FA" w:rsidRDefault="006750FA" w:rsidP="00137074">
      <w:pPr>
        <w:ind w:firstLine="0"/>
        <w:rPr>
          <w:rFonts w:ascii="Traditional Arabic" w:hAnsi="Traditional Arabic"/>
          <w:rtl/>
        </w:rPr>
      </w:pPr>
    </w:p>
    <w:p w:rsidR="006750FA" w:rsidRDefault="006750FA" w:rsidP="00137074">
      <w:pPr>
        <w:ind w:firstLine="0"/>
        <w:rPr>
          <w:rFonts w:ascii="Traditional Arabic" w:hAnsi="Traditional Arabic"/>
          <w:rtl/>
        </w:rPr>
      </w:pPr>
    </w:p>
    <w:p w:rsidR="006750FA" w:rsidRDefault="006750FA" w:rsidP="00137074">
      <w:pPr>
        <w:ind w:firstLine="0"/>
        <w:rPr>
          <w:rFonts w:ascii="Traditional Arabic" w:hAnsi="Traditional Arabic"/>
          <w:rtl/>
        </w:rPr>
      </w:pPr>
    </w:p>
    <w:p w:rsidR="006750FA" w:rsidRDefault="006750FA" w:rsidP="00137074">
      <w:pPr>
        <w:ind w:firstLine="0"/>
        <w:rPr>
          <w:rFonts w:ascii="Traditional Arabic" w:hAnsi="Traditional Arabic"/>
          <w:rtl/>
        </w:rPr>
      </w:pPr>
    </w:p>
    <w:p w:rsidR="003B4175" w:rsidRPr="003B4175" w:rsidRDefault="003B4175" w:rsidP="003B4175">
      <w:pPr>
        <w:ind w:firstLine="0"/>
        <w:jc w:val="center"/>
        <w:rPr>
          <w:rFonts w:ascii="Traditional Arabic" w:hAnsi="Traditional Arabic"/>
          <w:b/>
          <w:bCs/>
          <w:sz w:val="40"/>
          <w:szCs w:val="40"/>
          <w:rtl/>
        </w:rPr>
      </w:pPr>
      <w:r w:rsidRPr="003B4175">
        <w:rPr>
          <w:rFonts w:ascii="Traditional Arabic" w:hAnsi="Traditional Arabic" w:hint="cs"/>
          <w:b/>
          <w:bCs/>
          <w:sz w:val="40"/>
          <w:szCs w:val="40"/>
          <w:rtl/>
        </w:rPr>
        <w:lastRenderedPageBreak/>
        <w:t>فهرس الأشعار</w:t>
      </w:r>
    </w:p>
    <w:p w:rsidR="003B4175" w:rsidRPr="003B4175" w:rsidRDefault="003B4175" w:rsidP="00716D74">
      <w:pPr>
        <w:ind w:firstLine="0"/>
        <w:rPr>
          <w:rFonts w:ascii="Traditional Arabic" w:hAnsi="Traditional Arabic"/>
          <w:rtl/>
        </w:rPr>
      </w:pPr>
      <w:r w:rsidRPr="003B4175">
        <w:rPr>
          <w:rFonts w:ascii="Traditional Arabic" w:hAnsi="Traditional Arabic"/>
          <w:rtl/>
        </w:rPr>
        <w:t>أبا مُنْذرٍ أفنيتَ فاستبقِ بَعضَنَا</w:t>
      </w:r>
      <w:r w:rsidR="00243354">
        <w:rPr>
          <w:rFonts w:ascii="Traditional Arabic" w:hAnsi="Traditional Arabic" w:hint="cs"/>
          <w:rtl/>
        </w:rPr>
        <w:t>.</w:t>
      </w:r>
      <w:r w:rsidRPr="003B4175">
        <w:rPr>
          <w:rFonts w:ascii="Traditional Arabic" w:hAnsi="Traditional Arabic" w:hint="cs"/>
          <w:rtl/>
        </w:rPr>
        <w:t>.......................</w:t>
      </w:r>
      <w:r w:rsidR="00433B1E">
        <w:rPr>
          <w:rFonts w:ascii="Traditional Arabic" w:hAnsi="Traditional Arabic" w:hint="cs"/>
          <w:rtl/>
        </w:rPr>
        <w:t>.</w:t>
      </w:r>
      <w:r w:rsidRPr="003B4175">
        <w:rPr>
          <w:rFonts w:ascii="Traditional Arabic" w:hAnsi="Traditional Arabic" w:hint="cs"/>
          <w:rtl/>
        </w:rPr>
        <w:t>......</w:t>
      </w:r>
      <w:r>
        <w:rPr>
          <w:rFonts w:ascii="Traditional Arabic" w:hAnsi="Traditional Arabic" w:hint="cs"/>
          <w:rtl/>
        </w:rPr>
        <w:t>.</w:t>
      </w:r>
      <w:r w:rsidRPr="003B4175">
        <w:rPr>
          <w:rFonts w:ascii="Traditional Arabic" w:hAnsi="Traditional Arabic" w:hint="cs"/>
          <w:rtl/>
        </w:rPr>
        <w:t>.................... 301</w:t>
      </w:r>
    </w:p>
    <w:p w:rsidR="003B4175" w:rsidRPr="003B4175" w:rsidRDefault="003B4175" w:rsidP="00716D74">
      <w:pPr>
        <w:ind w:firstLine="0"/>
        <w:rPr>
          <w:rtl/>
        </w:rPr>
      </w:pPr>
      <w:r w:rsidRPr="003B4175">
        <w:rPr>
          <w:rFonts w:ascii="Traditional Arabic" w:hAnsi="Traditional Arabic"/>
          <w:rtl/>
        </w:rPr>
        <w:t>إِذا أنتَ لم تبرحْ تؤدِّي أمانَةً</w:t>
      </w:r>
      <w:r w:rsidR="00243354">
        <w:rPr>
          <w:rFonts w:hint="cs"/>
          <w:rtl/>
        </w:rPr>
        <w:t>.</w:t>
      </w:r>
      <w:r w:rsidRPr="003B4175">
        <w:rPr>
          <w:rFonts w:hint="cs"/>
          <w:rtl/>
        </w:rPr>
        <w:t>..................................</w:t>
      </w:r>
      <w:r>
        <w:rPr>
          <w:rFonts w:hint="cs"/>
          <w:rtl/>
        </w:rPr>
        <w:t>.</w:t>
      </w:r>
      <w:r w:rsidRPr="003B4175">
        <w:rPr>
          <w:rFonts w:hint="cs"/>
          <w:rtl/>
        </w:rPr>
        <w:t>.................. 244</w:t>
      </w:r>
    </w:p>
    <w:p w:rsidR="003B4175" w:rsidRPr="003B4175" w:rsidRDefault="003B4175" w:rsidP="00716D74">
      <w:pPr>
        <w:ind w:firstLine="0"/>
        <w:rPr>
          <w:rtl/>
        </w:rPr>
      </w:pPr>
      <w:r w:rsidRPr="003B4175">
        <w:rPr>
          <w:rtl/>
        </w:rPr>
        <w:t>أَرَى رَجُلاً مِنْهُمْ أَسِيفاً كأنّما</w:t>
      </w:r>
      <w:r w:rsidRPr="003B4175">
        <w:rPr>
          <w:rFonts w:hint="cs"/>
          <w:rtl/>
        </w:rPr>
        <w:t>...................................</w:t>
      </w:r>
      <w:r>
        <w:rPr>
          <w:rFonts w:hint="cs"/>
          <w:rtl/>
        </w:rPr>
        <w:t>..</w:t>
      </w:r>
      <w:r w:rsidRPr="003B4175">
        <w:rPr>
          <w:rFonts w:hint="cs"/>
          <w:rtl/>
        </w:rPr>
        <w:t>................. 167</w:t>
      </w:r>
    </w:p>
    <w:p w:rsidR="003B4175" w:rsidRPr="003B4175" w:rsidRDefault="003B4175" w:rsidP="00716D74">
      <w:pPr>
        <w:ind w:firstLine="0"/>
        <w:rPr>
          <w:rtl/>
        </w:rPr>
      </w:pPr>
      <w:r w:rsidRPr="003B4175">
        <w:rPr>
          <w:rtl/>
        </w:rPr>
        <w:t>ألا أيُّهَذَا الباخِعُ الوجْد</w:t>
      </w:r>
      <w:r w:rsidRPr="003B4175">
        <w:rPr>
          <w:rFonts w:hint="cs"/>
          <w:rtl/>
        </w:rPr>
        <w:t xml:space="preserve"> </w:t>
      </w:r>
      <w:r w:rsidRPr="003B4175">
        <w:rPr>
          <w:rtl/>
        </w:rPr>
        <w:t>نَفْسَهُ</w:t>
      </w:r>
      <w:r w:rsidRPr="003B4175">
        <w:rPr>
          <w:rFonts w:hint="cs"/>
          <w:rtl/>
        </w:rPr>
        <w:t>.................................</w:t>
      </w:r>
      <w:r>
        <w:rPr>
          <w:rFonts w:hint="cs"/>
          <w:rtl/>
        </w:rPr>
        <w:t>.</w:t>
      </w:r>
      <w:r w:rsidRPr="003B4175">
        <w:rPr>
          <w:rFonts w:hint="cs"/>
          <w:rtl/>
        </w:rPr>
        <w:t>................... 166</w:t>
      </w:r>
    </w:p>
    <w:p w:rsidR="003B4175" w:rsidRPr="003B4175" w:rsidRDefault="003B4175" w:rsidP="00716D74">
      <w:pPr>
        <w:ind w:firstLine="0"/>
        <w:rPr>
          <w:rtl/>
        </w:rPr>
      </w:pPr>
      <w:r w:rsidRPr="003B4175">
        <w:rPr>
          <w:rtl/>
        </w:rPr>
        <w:t>إِلى ظُعُنٍ يَقْرِضْنَ أجْوَازَ مُشْرِفٍ</w:t>
      </w:r>
      <w:r w:rsidRPr="003B4175">
        <w:rPr>
          <w:rFonts w:hint="cs"/>
          <w:rtl/>
        </w:rPr>
        <w:t>..............................</w:t>
      </w:r>
      <w:r>
        <w:rPr>
          <w:rFonts w:hint="cs"/>
          <w:rtl/>
        </w:rPr>
        <w:t>..</w:t>
      </w:r>
      <w:r w:rsidRPr="003B4175">
        <w:rPr>
          <w:rFonts w:hint="cs"/>
          <w:rtl/>
        </w:rPr>
        <w:t>................... 182</w:t>
      </w:r>
    </w:p>
    <w:p w:rsidR="003B4175" w:rsidRPr="003B4175" w:rsidRDefault="003B4175" w:rsidP="00716D74">
      <w:pPr>
        <w:ind w:firstLine="0"/>
      </w:pPr>
      <w:r w:rsidRPr="003B4175">
        <w:rPr>
          <w:rFonts w:ascii="Traditional Arabic" w:hAnsi="Traditional Arabic"/>
          <w:rtl/>
        </w:rPr>
        <w:t>إِنَّ دهْراً يَلُفُّ</w:t>
      </w:r>
      <w:r w:rsidRPr="003B4175">
        <w:rPr>
          <w:rFonts w:hint="cs"/>
          <w:vertAlign w:val="superscript"/>
          <w:rtl/>
        </w:rPr>
        <w:t xml:space="preserve"> </w:t>
      </w:r>
      <w:r w:rsidRPr="003B4175">
        <w:rPr>
          <w:rFonts w:ascii="Traditional Arabic" w:hAnsi="Traditional Arabic"/>
          <w:rtl/>
        </w:rPr>
        <w:t>شَمْلِي</w:t>
      </w:r>
      <w:r w:rsidRPr="003B4175">
        <w:rPr>
          <w:rFonts w:hint="cs"/>
          <w:vertAlign w:val="superscript"/>
          <w:rtl/>
        </w:rPr>
        <w:t xml:space="preserve"> </w:t>
      </w:r>
      <w:r w:rsidRPr="003B4175">
        <w:rPr>
          <w:rFonts w:ascii="Traditional Arabic" w:hAnsi="Traditional Arabic"/>
          <w:rtl/>
        </w:rPr>
        <w:t>بجمل</w:t>
      </w:r>
      <w:r w:rsidRPr="003B4175">
        <w:rPr>
          <w:rFonts w:hint="cs"/>
          <w:rtl/>
        </w:rPr>
        <w:t>......................................</w:t>
      </w:r>
      <w:r>
        <w:rPr>
          <w:rFonts w:hint="cs"/>
          <w:rtl/>
        </w:rPr>
        <w:t>..</w:t>
      </w:r>
      <w:r w:rsidRPr="003B4175">
        <w:rPr>
          <w:rFonts w:hint="cs"/>
          <w:rtl/>
        </w:rPr>
        <w:t>................. 258</w:t>
      </w:r>
    </w:p>
    <w:p w:rsidR="003B4175" w:rsidRPr="003B4175" w:rsidRDefault="003B4175" w:rsidP="00716D74">
      <w:pPr>
        <w:ind w:firstLine="0"/>
        <w:rPr>
          <w:rtl/>
        </w:rPr>
      </w:pPr>
      <w:r w:rsidRPr="003B4175">
        <w:rPr>
          <w:rFonts w:ascii="Traditional Arabic" w:hAnsi="Traditional Arabic"/>
          <w:rtl/>
        </w:rPr>
        <w:t>أنا سَيْفُ العشيرة فاعرفوني</w:t>
      </w:r>
      <w:r w:rsidRPr="003B4175">
        <w:rPr>
          <w:rFonts w:hint="cs"/>
          <w:rtl/>
        </w:rPr>
        <w:t>..................................</w:t>
      </w:r>
      <w:r>
        <w:rPr>
          <w:rFonts w:hint="cs"/>
          <w:rtl/>
        </w:rPr>
        <w:t>..</w:t>
      </w:r>
      <w:r w:rsidRPr="003B4175">
        <w:rPr>
          <w:rFonts w:hint="cs"/>
          <w:rtl/>
        </w:rPr>
        <w:t>................... 220</w:t>
      </w:r>
    </w:p>
    <w:p w:rsidR="003B4175" w:rsidRPr="003B4175" w:rsidRDefault="003B4175" w:rsidP="00716D74">
      <w:pPr>
        <w:ind w:firstLine="0"/>
      </w:pPr>
      <w:r w:rsidRPr="003B4175">
        <w:rPr>
          <w:rFonts w:ascii="Traditional Arabic" w:eastAsia="Calibri" w:hAnsi="Traditional Arabic"/>
          <w:color w:val="auto"/>
          <w:sz w:val="40"/>
          <w:rtl/>
        </w:rPr>
        <w:t>أنا ضـيــف وجــزا</w:t>
      </w:r>
      <w:r w:rsidR="00716D74">
        <w:rPr>
          <w:rFonts w:ascii="Traditional Arabic" w:eastAsia="Calibri" w:hAnsi="Traditional Arabic" w:hint="cs"/>
          <w:color w:val="auto"/>
          <w:sz w:val="40"/>
          <w:rtl/>
        </w:rPr>
        <w:t xml:space="preserve">ء </w:t>
      </w:r>
      <w:r w:rsidRPr="003B4175">
        <w:rPr>
          <w:rFonts w:ascii="Traditional Arabic" w:eastAsia="Calibri" w:hAnsi="Traditional Arabic" w:hint="cs"/>
          <w:color w:val="auto"/>
          <w:sz w:val="40"/>
          <w:rtl/>
        </w:rPr>
        <w:t>...................................</w:t>
      </w:r>
      <w:r>
        <w:rPr>
          <w:rFonts w:ascii="Traditional Arabic" w:eastAsia="Calibri" w:hAnsi="Traditional Arabic" w:hint="cs"/>
          <w:color w:val="auto"/>
          <w:sz w:val="40"/>
          <w:rtl/>
        </w:rPr>
        <w:t>....</w:t>
      </w:r>
      <w:r w:rsidRPr="003B4175">
        <w:rPr>
          <w:rFonts w:ascii="Traditional Arabic" w:eastAsia="Calibri" w:hAnsi="Traditional Arabic" w:hint="cs"/>
          <w:color w:val="auto"/>
          <w:sz w:val="40"/>
          <w:rtl/>
        </w:rPr>
        <w:t>......................... 20</w:t>
      </w:r>
    </w:p>
    <w:p w:rsidR="003B4175" w:rsidRPr="003B4175" w:rsidRDefault="003B4175" w:rsidP="00716D74">
      <w:pPr>
        <w:ind w:firstLine="0"/>
        <w:rPr>
          <w:rFonts w:ascii="Traditional Arabic" w:hAnsi="Traditional Arabic"/>
          <w:rtl/>
        </w:rPr>
      </w:pPr>
      <w:r w:rsidRPr="003B4175">
        <w:rPr>
          <w:rFonts w:ascii="Traditional Arabic" w:hAnsi="Traditional Arabic"/>
          <w:rtl/>
        </w:rPr>
        <w:t>إِني أرِقْت فبِتُّ اللَّيْلَ مُرْتَفِقاً</w:t>
      </w:r>
      <w:r w:rsidRPr="003B4175">
        <w:rPr>
          <w:rFonts w:ascii="Traditional Arabic" w:hAnsi="Traditional Arabic" w:hint="cs"/>
          <w:rtl/>
        </w:rPr>
        <w:t>...............................</w:t>
      </w:r>
      <w:r>
        <w:rPr>
          <w:rFonts w:ascii="Traditional Arabic" w:hAnsi="Traditional Arabic" w:hint="cs"/>
          <w:rtl/>
        </w:rPr>
        <w:t>..</w:t>
      </w:r>
      <w:r w:rsidRPr="003B4175">
        <w:rPr>
          <w:rFonts w:ascii="Traditional Arabic" w:hAnsi="Traditional Arabic" w:hint="cs"/>
          <w:rtl/>
        </w:rPr>
        <w:t>................ 62, 210</w:t>
      </w:r>
    </w:p>
    <w:p w:rsidR="003B4175" w:rsidRPr="003B4175" w:rsidRDefault="003B4175" w:rsidP="00716D74">
      <w:pPr>
        <w:ind w:firstLine="0"/>
        <w:rPr>
          <w:rtl/>
        </w:rPr>
      </w:pPr>
      <w:r w:rsidRPr="003B4175">
        <w:rPr>
          <w:rtl/>
        </w:rPr>
        <w:t>بِأرْضِ فَضَاءٍ لا يُسَدُّ وَصِيدُها</w:t>
      </w:r>
      <w:r w:rsidRPr="003B4175">
        <w:rPr>
          <w:rFonts w:hint="cs"/>
          <w:rtl/>
        </w:rPr>
        <w:t>...............................</w:t>
      </w:r>
      <w:r>
        <w:rPr>
          <w:rFonts w:hint="cs"/>
          <w:rtl/>
        </w:rPr>
        <w:t>..</w:t>
      </w:r>
      <w:r w:rsidRPr="003B4175">
        <w:rPr>
          <w:rFonts w:hint="cs"/>
          <w:rtl/>
        </w:rPr>
        <w:t>................... 184</w:t>
      </w:r>
    </w:p>
    <w:p w:rsidR="003B4175" w:rsidRPr="003B4175" w:rsidRDefault="003B4175" w:rsidP="00716D74">
      <w:pPr>
        <w:ind w:firstLine="0"/>
        <w:rPr>
          <w:rtl/>
        </w:rPr>
      </w:pPr>
      <w:r w:rsidRPr="003B4175">
        <w:rPr>
          <w:rFonts w:ascii="Traditional Arabic" w:hAnsi="Traditional Arabic"/>
          <w:rtl/>
        </w:rPr>
        <w:t>بأي بلاءٍ أم بأيَّة نعمةٍ</w:t>
      </w:r>
      <w:r w:rsidRPr="003B4175">
        <w:rPr>
          <w:rFonts w:hint="cs"/>
          <w:rtl/>
        </w:rPr>
        <w:t>........................................</w:t>
      </w:r>
      <w:r>
        <w:rPr>
          <w:rFonts w:hint="cs"/>
          <w:rtl/>
        </w:rPr>
        <w:t>.</w:t>
      </w:r>
      <w:r w:rsidRPr="003B4175">
        <w:rPr>
          <w:rFonts w:hint="cs"/>
          <w:rtl/>
        </w:rPr>
        <w:t>.................. 214</w:t>
      </w:r>
    </w:p>
    <w:p w:rsidR="003B4175" w:rsidRPr="003B4175" w:rsidRDefault="003B4175" w:rsidP="00716D74">
      <w:pPr>
        <w:ind w:firstLine="0"/>
        <w:rPr>
          <w:rtl/>
        </w:rPr>
      </w:pPr>
      <w:r w:rsidRPr="003B4175">
        <w:rPr>
          <w:rFonts w:ascii="Traditional Arabic" w:hAnsi="Traditional Arabic"/>
          <w:rtl/>
        </w:rPr>
        <w:t>بيوم كريهةٍ ضرباً وطعناً</w:t>
      </w:r>
      <w:r w:rsidRPr="003B4175">
        <w:rPr>
          <w:rFonts w:hint="cs"/>
          <w:rtl/>
        </w:rPr>
        <w:t>.........................................</w:t>
      </w:r>
      <w:r>
        <w:rPr>
          <w:rFonts w:hint="cs"/>
          <w:rtl/>
        </w:rPr>
        <w:t>..</w:t>
      </w:r>
      <w:r w:rsidRPr="003B4175">
        <w:rPr>
          <w:rFonts w:hint="cs"/>
          <w:rtl/>
        </w:rPr>
        <w:t>................ 315</w:t>
      </w:r>
    </w:p>
    <w:p w:rsidR="003B4175" w:rsidRPr="003B4175" w:rsidRDefault="003B4175" w:rsidP="00716D74">
      <w:pPr>
        <w:ind w:firstLine="0"/>
        <w:rPr>
          <w:rtl/>
        </w:rPr>
      </w:pPr>
      <w:r w:rsidRPr="003B4175">
        <w:rPr>
          <w:rFonts w:ascii="Traditional Arabic" w:hAnsi="Traditional Arabic"/>
          <w:rtl/>
        </w:rPr>
        <w:t>تَحَنَّنْ عليَّ هَدَاكَ الملِيك</w:t>
      </w:r>
      <w:r w:rsidRPr="003B4175">
        <w:rPr>
          <w:rFonts w:ascii="Traditional Arabic" w:hAnsi="Traditional Arabic" w:hint="cs"/>
          <w:rtl/>
        </w:rPr>
        <w:t>..........................................</w:t>
      </w:r>
      <w:r>
        <w:rPr>
          <w:rFonts w:ascii="Traditional Arabic" w:hAnsi="Traditional Arabic" w:hint="cs"/>
          <w:rtl/>
        </w:rPr>
        <w:t>...</w:t>
      </w:r>
      <w:r w:rsidRPr="003B4175">
        <w:rPr>
          <w:rFonts w:ascii="Traditional Arabic" w:hAnsi="Traditional Arabic" w:hint="cs"/>
          <w:rtl/>
        </w:rPr>
        <w:t>............. 301</w:t>
      </w:r>
    </w:p>
    <w:p w:rsidR="003B4175" w:rsidRPr="003B4175" w:rsidRDefault="003B4175" w:rsidP="00716D74">
      <w:pPr>
        <w:ind w:firstLine="0"/>
        <w:rPr>
          <w:rFonts w:ascii="Traditional Arabic" w:hAnsi="Traditional Arabic"/>
          <w:rtl/>
        </w:rPr>
      </w:pPr>
      <w:r w:rsidRPr="003B4175">
        <w:rPr>
          <w:rtl/>
        </w:rPr>
        <w:t>تَمَنَّيْتَهُمْ حتى إِذا ما لَقِيتَهم</w:t>
      </w:r>
      <w:r w:rsidRPr="003B4175">
        <w:rPr>
          <w:rFonts w:ascii="Traditional Arabic" w:hAnsi="Traditional Arabic" w:hint="cs"/>
          <w:rtl/>
        </w:rPr>
        <w:t>.................................................. 64, 207</w:t>
      </w:r>
    </w:p>
    <w:p w:rsidR="003B4175" w:rsidRPr="003B4175" w:rsidRDefault="003B4175" w:rsidP="00716D74">
      <w:pPr>
        <w:ind w:firstLine="0"/>
      </w:pPr>
      <w:r w:rsidRPr="003B4175">
        <w:rPr>
          <w:rFonts w:ascii="Traditional Arabic" w:eastAsia="Calibri" w:hAnsi="Traditional Arabic"/>
          <w:color w:val="auto"/>
          <w:sz w:val="40"/>
          <w:rtl/>
        </w:rPr>
        <w:t>جــاءك المذنب يرجو</w:t>
      </w:r>
      <w:r w:rsidRPr="003B4175">
        <w:rPr>
          <w:rFonts w:ascii="Traditional Arabic" w:eastAsia="Calibri" w:hAnsi="Traditional Arabic" w:hint="cs"/>
          <w:color w:val="auto"/>
          <w:sz w:val="40"/>
          <w:rtl/>
        </w:rPr>
        <w:t>................................................</w:t>
      </w:r>
      <w:r>
        <w:rPr>
          <w:rFonts w:ascii="Traditional Arabic" w:eastAsia="Calibri" w:hAnsi="Traditional Arabic" w:hint="cs"/>
          <w:color w:val="auto"/>
          <w:sz w:val="40"/>
          <w:rtl/>
        </w:rPr>
        <w:t>...</w:t>
      </w:r>
      <w:r w:rsidRPr="003B4175">
        <w:rPr>
          <w:rFonts w:ascii="Traditional Arabic" w:eastAsia="Calibri" w:hAnsi="Traditional Arabic" w:hint="cs"/>
          <w:color w:val="auto"/>
          <w:sz w:val="40"/>
          <w:rtl/>
        </w:rPr>
        <w:t>........... 19</w:t>
      </w:r>
    </w:p>
    <w:p w:rsidR="003B4175" w:rsidRPr="003B4175" w:rsidRDefault="003B4175" w:rsidP="00716D74">
      <w:pPr>
        <w:ind w:firstLine="0"/>
        <w:rPr>
          <w:rFonts w:ascii="Traditional Arabic" w:hAnsi="Traditional Arabic"/>
          <w:rtl/>
        </w:rPr>
      </w:pPr>
      <w:r w:rsidRPr="003B4175">
        <w:rPr>
          <w:rFonts w:ascii="Traditional Arabic" w:hAnsi="Traditional Arabic"/>
          <w:rtl/>
        </w:rPr>
        <w:t>ضحكوا والدهرُ عنهم سَاكتٌ</w:t>
      </w:r>
      <w:r w:rsidRPr="003B4175">
        <w:rPr>
          <w:rFonts w:ascii="Traditional Arabic" w:hAnsi="Traditional Arabic" w:hint="cs"/>
          <w:rtl/>
        </w:rPr>
        <w:t>..........................................</w:t>
      </w:r>
      <w:r>
        <w:rPr>
          <w:rFonts w:ascii="Traditional Arabic" w:hAnsi="Traditional Arabic" w:hint="cs"/>
          <w:rtl/>
        </w:rPr>
        <w:t>..</w:t>
      </w:r>
      <w:r w:rsidRPr="003B4175">
        <w:rPr>
          <w:rFonts w:ascii="Traditional Arabic" w:hAnsi="Traditional Arabic" w:hint="cs"/>
          <w:rtl/>
        </w:rPr>
        <w:t>........ 258</w:t>
      </w:r>
    </w:p>
    <w:p w:rsidR="003B4175" w:rsidRPr="003B4175" w:rsidRDefault="003B4175" w:rsidP="00716D74">
      <w:pPr>
        <w:ind w:firstLine="0"/>
        <w:rPr>
          <w:rtl/>
        </w:rPr>
      </w:pPr>
      <w:r w:rsidRPr="003B4175">
        <w:rPr>
          <w:rFonts w:ascii="Traditional Arabic" w:hAnsi="Traditional Arabic"/>
          <w:rtl/>
        </w:rPr>
        <w:t>فَإِنِّ ثَوَابَ اللهِ كلَّ مُوَحِّدٍ</w:t>
      </w:r>
      <w:r w:rsidRPr="003B4175">
        <w:rPr>
          <w:rFonts w:hint="cs"/>
          <w:rtl/>
        </w:rPr>
        <w:t>.............................</w:t>
      </w:r>
      <w:r>
        <w:rPr>
          <w:rFonts w:hint="cs"/>
          <w:rtl/>
        </w:rPr>
        <w:t>..</w:t>
      </w:r>
      <w:r w:rsidRPr="003B4175">
        <w:rPr>
          <w:rFonts w:hint="cs"/>
          <w:rtl/>
        </w:rPr>
        <w:t>.......................... 286</w:t>
      </w:r>
    </w:p>
    <w:p w:rsidR="003B4175" w:rsidRPr="003B4175" w:rsidRDefault="003B4175" w:rsidP="00716D74">
      <w:pPr>
        <w:ind w:firstLine="0"/>
        <w:rPr>
          <w:rtl/>
        </w:rPr>
      </w:pPr>
      <w:r w:rsidRPr="003B4175">
        <w:rPr>
          <w:rtl/>
        </w:rPr>
        <w:t>فليتَ لنا مِنْ ماءِ زَمْزَمَ شَربَةً</w:t>
      </w:r>
      <w:r w:rsidRPr="003B4175">
        <w:rPr>
          <w:rFonts w:hint="cs"/>
          <w:rtl/>
        </w:rPr>
        <w:t>............................</w:t>
      </w:r>
      <w:r>
        <w:rPr>
          <w:rFonts w:hint="cs"/>
          <w:rtl/>
        </w:rPr>
        <w:t>..</w:t>
      </w:r>
      <w:r w:rsidRPr="003B4175">
        <w:rPr>
          <w:rFonts w:hint="cs"/>
          <w:rtl/>
        </w:rPr>
        <w:t>........................ 181</w:t>
      </w:r>
    </w:p>
    <w:p w:rsidR="003B4175" w:rsidRPr="003B4175" w:rsidRDefault="003B4175" w:rsidP="00716D74">
      <w:pPr>
        <w:ind w:firstLine="0"/>
        <w:rPr>
          <w:rtl/>
        </w:rPr>
      </w:pPr>
      <w:r w:rsidRPr="003B4175">
        <w:rPr>
          <w:rFonts w:ascii="Traditional Arabic" w:hAnsi="Traditional Arabic"/>
          <w:rtl/>
        </w:rPr>
        <w:t>في جنان الفردوس ليس يخافون</w:t>
      </w:r>
      <w:r w:rsidRPr="003B4175">
        <w:rPr>
          <w:rFonts w:hint="cs"/>
          <w:rtl/>
        </w:rPr>
        <w:t>................................................... 285</w:t>
      </w:r>
    </w:p>
    <w:p w:rsidR="003B4175" w:rsidRPr="003B4175" w:rsidRDefault="003B4175" w:rsidP="00716D74">
      <w:pPr>
        <w:ind w:firstLine="0"/>
        <w:rPr>
          <w:rtl/>
        </w:rPr>
      </w:pPr>
      <w:r w:rsidRPr="003B4175">
        <w:rPr>
          <w:rtl/>
        </w:rPr>
        <w:t>قَال هَجِدْنَا فقد طال السّ</w:t>
      </w:r>
      <w:r w:rsidRPr="003B4175">
        <w:rPr>
          <w:rFonts w:hint="cs"/>
          <w:rtl/>
        </w:rPr>
        <w:t>ُ</w:t>
      </w:r>
      <w:r w:rsidRPr="003B4175">
        <w:rPr>
          <w:rtl/>
        </w:rPr>
        <w:t>ر</w:t>
      </w:r>
      <w:r w:rsidRPr="003B4175">
        <w:rPr>
          <w:rFonts w:hint="cs"/>
          <w:rtl/>
        </w:rPr>
        <w:t>َ</w:t>
      </w:r>
      <w:r w:rsidRPr="003B4175">
        <w:rPr>
          <w:rtl/>
        </w:rPr>
        <w:t>ى</w:t>
      </w:r>
      <w:r w:rsidRPr="003B4175">
        <w:rPr>
          <w:rFonts w:hint="cs"/>
          <w:rtl/>
        </w:rPr>
        <w:t>................................................ 61, 127</w:t>
      </w:r>
    </w:p>
    <w:p w:rsidR="003B4175" w:rsidRPr="003B4175" w:rsidRDefault="003B4175" w:rsidP="00716D74">
      <w:pPr>
        <w:ind w:firstLine="0"/>
        <w:rPr>
          <w:rtl/>
        </w:rPr>
      </w:pPr>
      <w:r w:rsidRPr="003B4175">
        <w:rPr>
          <w:rtl/>
        </w:rPr>
        <w:t>قَدْ جَرّفَتْهُنَّ السِّنُون الأجْرَازْ</w:t>
      </w:r>
      <w:r w:rsidRPr="003B4175">
        <w:rPr>
          <w:rFonts w:hint="cs"/>
          <w:rtl/>
        </w:rPr>
        <w:t>..............................</w:t>
      </w:r>
      <w:r>
        <w:rPr>
          <w:rFonts w:hint="cs"/>
          <w:rtl/>
        </w:rPr>
        <w:t>..</w:t>
      </w:r>
      <w:r w:rsidRPr="003B4175">
        <w:rPr>
          <w:rFonts w:hint="cs"/>
          <w:rtl/>
        </w:rPr>
        <w:t>...................... 169</w:t>
      </w:r>
    </w:p>
    <w:p w:rsidR="003B4175" w:rsidRPr="003B4175" w:rsidRDefault="003B4175" w:rsidP="00716D74">
      <w:pPr>
        <w:ind w:firstLine="0"/>
        <w:rPr>
          <w:rFonts w:ascii="Traditional Arabic" w:hAnsi="Traditional Arabic"/>
          <w:rtl/>
        </w:rPr>
      </w:pPr>
      <w:r w:rsidRPr="003B4175">
        <w:rPr>
          <w:rFonts w:ascii="Traditional Arabic" w:hAnsi="Traditional Arabic"/>
          <w:rtl/>
        </w:rPr>
        <w:t>قد كنتُ حَذَّرْتُكَ آلَ المصْطَلِقْ</w:t>
      </w:r>
      <w:r w:rsidRPr="003B4175">
        <w:rPr>
          <w:rFonts w:ascii="Traditional Arabic" w:hAnsi="Traditional Arabic" w:hint="cs"/>
          <w:rtl/>
        </w:rPr>
        <w:t>.............................</w:t>
      </w:r>
      <w:r>
        <w:rPr>
          <w:rFonts w:ascii="Traditional Arabic" w:hAnsi="Traditional Arabic" w:hint="cs"/>
          <w:rtl/>
        </w:rPr>
        <w:t>..</w:t>
      </w:r>
      <w:r w:rsidRPr="003B4175">
        <w:rPr>
          <w:rFonts w:ascii="Traditional Arabic" w:hAnsi="Traditional Arabic" w:hint="cs"/>
          <w:rtl/>
        </w:rPr>
        <w:t>............... 63, 254</w:t>
      </w:r>
    </w:p>
    <w:p w:rsidR="003B4175" w:rsidRPr="003B4175" w:rsidRDefault="003B4175" w:rsidP="00716D74">
      <w:pPr>
        <w:ind w:firstLine="0"/>
      </w:pPr>
      <w:r w:rsidRPr="003B4175">
        <w:rPr>
          <w:rFonts w:ascii="Traditional Arabic" w:hAnsi="Traditional Arabic"/>
          <w:rtl/>
        </w:rPr>
        <w:t>لَا وَاءَلَتْ نَفْسُكَ خَلَّيْتَها</w:t>
      </w:r>
      <w:r w:rsidRPr="003B4175">
        <w:rPr>
          <w:rFonts w:ascii="Traditional Arabic" w:hAnsi="Traditional Arabic" w:hint="cs"/>
          <w:rtl/>
        </w:rPr>
        <w:t>..........................</w:t>
      </w:r>
      <w:r w:rsidR="00716D74">
        <w:rPr>
          <w:rFonts w:ascii="Traditional Arabic" w:hAnsi="Traditional Arabic" w:hint="cs"/>
          <w:rtl/>
        </w:rPr>
        <w:t>.</w:t>
      </w:r>
      <w:r w:rsidRPr="003B4175">
        <w:rPr>
          <w:rFonts w:ascii="Traditional Arabic" w:hAnsi="Traditional Arabic" w:hint="cs"/>
          <w:rtl/>
        </w:rPr>
        <w:t>..........</w:t>
      </w:r>
      <w:r>
        <w:rPr>
          <w:rFonts w:ascii="Traditional Arabic" w:hAnsi="Traditional Arabic" w:hint="cs"/>
          <w:rtl/>
        </w:rPr>
        <w:t>.</w:t>
      </w:r>
      <w:r w:rsidRPr="003B4175">
        <w:rPr>
          <w:rFonts w:ascii="Traditional Arabic" w:hAnsi="Traditional Arabic" w:hint="cs"/>
          <w:rtl/>
        </w:rPr>
        <w:t>................... 239</w:t>
      </w:r>
      <w:r w:rsidRPr="003B4175">
        <w:rPr>
          <w:rFonts w:ascii="Traditional Arabic" w:hAnsi="Traditional Arabic"/>
          <w:rtl/>
        </w:rPr>
        <w:t xml:space="preserve"> </w:t>
      </w:r>
    </w:p>
    <w:p w:rsidR="003B4175" w:rsidRPr="003B4175" w:rsidRDefault="003B4175" w:rsidP="00716D74">
      <w:pPr>
        <w:ind w:firstLine="0"/>
        <w:rPr>
          <w:rtl/>
        </w:rPr>
      </w:pPr>
      <w:r w:rsidRPr="003B4175">
        <w:rPr>
          <w:rtl/>
        </w:rPr>
        <w:t>لَرَنَا لِبَهْجَتِهَا وَحُسْنِ حَدِيْثِهَا</w:t>
      </w:r>
      <w:r w:rsidRPr="003B4175">
        <w:rPr>
          <w:rFonts w:hint="cs"/>
          <w:rtl/>
        </w:rPr>
        <w:t>................................................ 61, 127</w:t>
      </w:r>
    </w:p>
    <w:p w:rsidR="003B4175" w:rsidRPr="003B4175" w:rsidRDefault="003B4175" w:rsidP="003B4175">
      <w:pPr>
        <w:ind w:firstLine="0"/>
        <w:rPr>
          <w:rFonts w:ascii="Traditional Arabic" w:hAnsi="Traditional Arabic"/>
          <w:rtl/>
        </w:rPr>
      </w:pPr>
      <w:r w:rsidRPr="003B4175">
        <w:rPr>
          <w:rFonts w:ascii="Traditional Arabic" w:hAnsi="Traditional Arabic"/>
          <w:color w:val="0D0D0D"/>
          <w:rtl/>
          <w:lang w:eastAsia="en-US"/>
        </w:rPr>
        <w:lastRenderedPageBreak/>
        <w:t>مُسْتَقْبِلِينَ شَمَال</w:t>
      </w:r>
      <w:r w:rsidRPr="003B4175">
        <w:rPr>
          <w:rFonts w:ascii="Traditional Arabic" w:hAnsi="Traditional Arabic" w:hint="cs"/>
          <w:color w:val="0D0D0D"/>
          <w:rtl/>
          <w:lang w:eastAsia="en-US"/>
        </w:rPr>
        <w:t xml:space="preserve"> الشام </w:t>
      </w:r>
      <w:r w:rsidRPr="003B4175">
        <w:rPr>
          <w:rFonts w:ascii="Traditional Arabic" w:hAnsi="Traditional Arabic"/>
          <w:color w:val="0D0D0D"/>
          <w:rtl/>
          <w:lang w:eastAsia="en-US"/>
        </w:rPr>
        <w:t>تَضْرِبُهُم</w:t>
      </w:r>
      <w:r w:rsidRPr="003B4175">
        <w:rPr>
          <w:rFonts w:ascii="Traditional Arabic" w:hAnsi="Traditional Arabic" w:hint="cs"/>
          <w:rtl/>
        </w:rPr>
        <w:t>................................................... 106</w:t>
      </w:r>
    </w:p>
    <w:p w:rsidR="003B4175" w:rsidRPr="003B4175" w:rsidRDefault="003B4175" w:rsidP="003B4175">
      <w:pPr>
        <w:ind w:firstLine="0"/>
      </w:pPr>
      <w:r w:rsidRPr="003B4175">
        <w:rPr>
          <w:rFonts w:ascii="Traditional Arabic" w:hAnsi="Traditional Arabic"/>
          <w:rtl/>
          <w:lang w:eastAsia="en-US"/>
        </w:rPr>
        <w:t xml:space="preserve">مَصَابِيْحُ لَيْسَتْ باللّواتي </w:t>
      </w:r>
      <w:r w:rsidRPr="003B4175">
        <w:rPr>
          <w:rFonts w:ascii="Traditional Arabic" w:hAnsi="Traditional Arabic"/>
          <w:color w:val="auto"/>
          <w:rtl/>
          <w:lang w:eastAsia="en-US"/>
        </w:rPr>
        <w:t>تَقُوْدُهَا</w:t>
      </w:r>
      <w:r w:rsidRPr="003B4175">
        <w:rPr>
          <w:rFonts w:ascii="Traditional Arabic" w:hAnsi="Traditional Arabic" w:hint="cs"/>
          <w:color w:val="auto"/>
          <w:rtl/>
          <w:lang w:eastAsia="en-US"/>
        </w:rPr>
        <w:t>...............................</w:t>
      </w:r>
      <w:r>
        <w:rPr>
          <w:rFonts w:ascii="Traditional Arabic" w:hAnsi="Traditional Arabic" w:hint="cs"/>
          <w:color w:val="auto"/>
          <w:rtl/>
          <w:lang w:eastAsia="en-US"/>
        </w:rPr>
        <w:t>..</w:t>
      </w:r>
      <w:r w:rsidRPr="003B4175">
        <w:rPr>
          <w:rFonts w:ascii="Traditional Arabic" w:hAnsi="Traditional Arabic" w:hint="cs"/>
          <w:color w:val="auto"/>
          <w:rtl/>
          <w:lang w:eastAsia="en-US"/>
        </w:rPr>
        <w:t>.................. 124</w:t>
      </w:r>
    </w:p>
    <w:p w:rsidR="003B4175" w:rsidRPr="003B4175" w:rsidRDefault="003B4175" w:rsidP="003B4175">
      <w:pPr>
        <w:ind w:firstLine="0"/>
        <w:rPr>
          <w:rFonts w:ascii="Traditional Arabic" w:hAnsi="Traditional Arabic"/>
          <w:rtl/>
        </w:rPr>
      </w:pPr>
      <w:r w:rsidRPr="003B4175">
        <w:rPr>
          <w:rFonts w:ascii="Traditional Arabic" w:hAnsi="Traditional Arabic"/>
          <w:rtl/>
        </w:rPr>
        <w:t>نصالحكم حتّى تبوءوا بِمِثْلِهَا</w:t>
      </w:r>
      <w:r w:rsidR="00716D74">
        <w:rPr>
          <w:rFonts w:ascii="Traditional Arabic" w:hAnsi="Traditional Arabic" w:hint="cs"/>
          <w:rtl/>
        </w:rPr>
        <w:t>.</w:t>
      </w:r>
      <w:r w:rsidRPr="003B4175">
        <w:rPr>
          <w:rFonts w:ascii="Traditional Arabic" w:hAnsi="Traditional Arabic" w:hint="cs"/>
          <w:rtl/>
        </w:rPr>
        <w:t>................................................ 62, 144</w:t>
      </w:r>
    </w:p>
    <w:p w:rsidR="003B4175" w:rsidRPr="003B4175" w:rsidRDefault="003B4175" w:rsidP="003B4175">
      <w:pPr>
        <w:ind w:firstLine="0"/>
        <w:rPr>
          <w:rtl/>
        </w:rPr>
      </w:pPr>
      <w:r w:rsidRPr="003B4175">
        <w:rPr>
          <w:rFonts w:ascii="Traditional Arabic" w:hAnsi="Traditional Arabic"/>
          <w:rtl/>
        </w:rPr>
        <w:t>نَضْرِبُ بالسَّيفِ ونرجو بالفرَج</w:t>
      </w:r>
      <w:r w:rsidRPr="003B4175">
        <w:rPr>
          <w:rFonts w:hint="cs"/>
          <w:rtl/>
        </w:rPr>
        <w:t>..................................</w:t>
      </w:r>
      <w:r>
        <w:rPr>
          <w:rFonts w:hint="cs"/>
          <w:rtl/>
        </w:rPr>
        <w:t>..</w:t>
      </w:r>
      <w:r w:rsidRPr="003B4175">
        <w:rPr>
          <w:rFonts w:hint="cs"/>
          <w:rtl/>
        </w:rPr>
        <w:t>................ 312</w:t>
      </w:r>
    </w:p>
    <w:p w:rsidR="003B4175" w:rsidRPr="003B4175" w:rsidRDefault="003B4175" w:rsidP="003B4175">
      <w:pPr>
        <w:ind w:firstLine="0"/>
        <w:rPr>
          <w:rFonts w:ascii="Traditional Arabic" w:hAnsi="Traditional Arabic"/>
          <w:rtl/>
        </w:rPr>
      </w:pPr>
      <w:r w:rsidRPr="003B4175">
        <w:rPr>
          <w:rFonts w:ascii="Traditional Arabic" w:hAnsi="Traditional Arabic"/>
          <w:rtl/>
          <w:lang w:eastAsia="en-US"/>
        </w:rPr>
        <w:t>واستبَّ بَعْدَكَ يا كُلَيْبُ المَجْلِسُ</w:t>
      </w:r>
      <w:r w:rsidRPr="003B4175">
        <w:rPr>
          <w:rFonts w:ascii="Traditional Arabic" w:hAnsi="Traditional Arabic" w:hint="cs"/>
          <w:rtl/>
        </w:rPr>
        <w:t>..................................</w:t>
      </w:r>
      <w:r>
        <w:rPr>
          <w:rFonts w:ascii="Traditional Arabic" w:hAnsi="Traditional Arabic" w:hint="cs"/>
          <w:rtl/>
        </w:rPr>
        <w:t>..</w:t>
      </w:r>
      <w:r w:rsidRPr="003B4175">
        <w:rPr>
          <w:rFonts w:ascii="Traditional Arabic" w:hAnsi="Traditional Arabic" w:hint="cs"/>
          <w:rtl/>
        </w:rPr>
        <w:t>............... 119</w:t>
      </w:r>
    </w:p>
    <w:p w:rsidR="003B4175" w:rsidRPr="003B4175" w:rsidRDefault="003B4175" w:rsidP="003B4175">
      <w:pPr>
        <w:ind w:firstLine="0"/>
        <w:rPr>
          <w:rtl/>
        </w:rPr>
      </w:pPr>
      <w:r w:rsidRPr="003B4175">
        <w:rPr>
          <w:rFonts w:ascii="Traditional Arabic" w:hAnsi="Traditional Arabic"/>
          <w:rtl/>
          <w:lang w:eastAsia="en-US"/>
        </w:rPr>
        <w:t>والشَّمْسُ قَدْ كادَتْ تَكُونُ دَنَفَا</w:t>
      </w:r>
      <w:r w:rsidRPr="003B4175">
        <w:rPr>
          <w:rFonts w:hint="cs"/>
          <w:rtl/>
        </w:rPr>
        <w:t>....................................</w:t>
      </w:r>
      <w:r>
        <w:rPr>
          <w:rFonts w:hint="cs"/>
          <w:rtl/>
        </w:rPr>
        <w:t>..</w:t>
      </w:r>
      <w:r w:rsidRPr="003B4175">
        <w:rPr>
          <w:rFonts w:hint="cs"/>
          <w:rtl/>
        </w:rPr>
        <w:t>............. 124</w:t>
      </w:r>
    </w:p>
    <w:p w:rsidR="003B4175" w:rsidRPr="003B4175" w:rsidRDefault="003B4175" w:rsidP="003B4175">
      <w:pPr>
        <w:ind w:firstLine="0"/>
        <w:rPr>
          <w:rtl/>
        </w:rPr>
      </w:pPr>
      <w:r w:rsidRPr="003B4175">
        <w:rPr>
          <w:rFonts w:ascii="Traditional Arabic" w:hAnsi="Traditional Arabic"/>
          <w:rtl/>
        </w:rPr>
        <w:t>وترْمينني بالطَّرْف أي أنت مذنب</w:t>
      </w:r>
      <w:r w:rsidRPr="003B4175">
        <w:rPr>
          <w:rFonts w:hint="cs"/>
          <w:rtl/>
        </w:rPr>
        <w:t>....................................</w:t>
      </w:r>
      <w:r>
        <w:rPr>
          <w:rFonts w:hint="cs"/>
          <w:rtl/>
        </w:rPr>
        <w:t>..</w:t>
      </w:r>
      <w:r w:rsidRPr="003B4175">
        <w:rPr>
          <w:rFonts w:hint="cs"/>
          <w:rtl/>
        </w:rPr>
        <w:t>........... 219</w:t>
      </w:r>
    </w:p>
    <w:p w:rsidR="003B4175" w:rsidRPr="003B4175" w:rsidRDefault="003B4175" w:rsidP="003B4175">
      <w:pPr>
        <w:ind w:firstLine="0"/>
        <w:rPr>
          <w:rFonts w:ascii="Traditional Arabic" w:hAnsi="Traditional Arabic"/>
          <w:rtl/>
        </w:rPr>
      </w:pPr>
      <w:r w:rsidRPr="003B4175">
        <w:rPr>
          <w:rFonts w:ascii="Traditional Arabic" w:hAnsi="Traditional Arabic"/>
          <w:rtl/>
        </w:rPr>
        <w:t>وَقَدْ أُخالِسُ</w:t>
      </w:r>
      <w:r w:rsidRPr="003B4175">
        <w:rPr>
          <w:rFonts w:ascii="Traditional Arabic" w:hAnsi="Traditional Arabic" w:hint="cs"/>
          <w:rtl/>
        </w:rPr>
        <w:t xml:space="preserve"> </w:t>
      </w:r>
      <w:r w:rsidRPr="003B4175">
        <w:rPr>
          <w:rFonts w:ascii="Traditional Arabic" w:hAnsi="Traditional Arabic"/>
          <w:rtl/>
        </w:rPr>
        <w:t>رَبَّ البَيْتِ غَفْلَتَهُ</w:t>
      </w:r>
      <w:r w:rsidRPr="003B4175">
        <w:rPr>
          <w:rFonts w:ascii="Traditional Arabic" w:hAnsi="Traditional Arabic" w:hint="cs"/>
          <w:rtl/>
        </w:rPr>
        <w:t>...........................</w:t>
      </w:r>
      <w:r>
        <w:rPr>
          <w:rFonts w:ascii="Traditional Arabic" w:hAnsi="Traditional Arabic" w:hint="cs"/>
          <w:rtl/>
        </w:rPr>
        <w:t>.</w:t>
      </w:r>
      <w:r w:rsidRPr="003B4175">
        <w:rPr>
          <w:rFonts w:ascii="Traditional Arabic" w:hAnsi="Traditional Arabic" w:hint="cs"/>
          <w:rtl/>
        </w:rPr>
        <w:t>........................ 239</w:t>
      </w:r>
    </w:p>
    <w:p w:rsidR="003B4175" w:rsidRPr="003B4175" w:rsidRDefault="003B4175" w:rsidP="003B4175">
      <w:pPr>
        <w:ind w:firstLine="0"/>
        <w:rPr>
          <w:rtl/>
        </w:rPr>
      </w:pPr>
      <w:r w:rsidRPr="003B4175">
        <w:rPr>
          <w:rFonts w:ascii="Traditional Arabic" w:hAnsi="Traditional Arabic"/>
          <w:rtl/>
        </w:rPr>
        <w:t>وكلتاهما قد خطَّ لي في صَحيفتي</w:t>
      </w:r>
      <w:r w:rsidRPr="003B4175">
        <w:rPr>
          <w:rFonts w:hint="cs"/>
          <w:rtl/>
        </w:rPr>
        <w:t>.................................................. 215</w:t>
      </w:r>
    </w:p>
    <w:p w:rsidR="003B4175" w:rsidRPr="003B4175" w:rsidRDefault="003B4175" w:rsidP="003B4175">
      <w:pPr>
        <w:ind w:firstLine="0"/>
        <w:rPr>
          <w:rtl/>
        </w:rPr>
      </w:pPr>
      <w:r w:rsidRPr="003B4175">
        <w:rPr>
          <w:rFonts w:ascii="Traditional Arabic" w:hAnsi="Traditional Arabic"/>
          <w:rtl/>
        </w:rPr>
        <w:t>وكيف بظلم جَاريةٍ</w:t>
      </w:r>
      <w:r w:rsidRPr="003B4175">
        <w:rPr>
          <w:rFonts w:hint="cs"/>
          <w:rtl/>
        </w:rPr>
        <w:t>.............................................................. 262</w:t>
      </w:r>
    </w:p>
    <w:p w:rsidR="003B4175" w:rsidRPr="003B4175" w:rsidRDefault="003B4175" w:rsidP="003B4175">
      <w:pPr>
        <w:autoSpaceDE w:val="0"/>
        <w:autoSpaceDN w:val="0"/>
        <w:adjustRightInd w:val="0"/>
        <w:ind w:firstLine="0"/>
        <w:rPr>
          <w:rFonts w:ascii="Traditional Arabic" w:hAnsi="Traditional Arabic"/>
          <w:rtl/>
        </w:rPr>
      </w:pPr>
      <w:r w:rsidRPr="003B4175">
        <w:rPr>
          <w:rFonts w:hint="cs"/>
          <w:rtl/>
        </w:rPr>
        <w:t>ولو أنها عرضت لأمشط راهب ...</w:t>
      </w:r>
      <w:r>
        <w:rPr>
          <w:rFonts w:hint="cs"/>
          <w:rtl/>
        </w:rPr>
        <w:t>...........</w:t>
      </w:r>
      <w:r w:rsidRPr="003B4175">
        <w:rPr>
          <w:rFonts w:hint="cs"/>
          <w:rtl/>
        </w:rPr>
        <w:t>.......</w:t>
      </w:r>
      <w:r w:rsidRPr="003B4175">
        <w:rPr>
          <w:rFonts w:ascii="Traditional Arabic" w:hAnsi="Traditional Arabic" w:hint="cs"/>
          <w:rtl/>
        </w:rPr>
        <w:t>.........................61, 127</w:t>
      </w:r>
    </w:p>
    <w:p w:rsidR="003B4175" w:rsidRPr="003B4175" w:rsidRDefault="003B4175" w:rsidP="003B4175">
      <w:pPr>
        <w:ind w:firstLine="0"/>
        <w:rPr>
          <w:rtl/>
        </w:rPr>
      </w:pPr>
      <w:r w:rsidRPr="003B4175">
        <w:rPr>
          <w:rtl/>
        </w:rPr>
        <w:t>وَلَوْ غيرُ أَخْوَالِي أَرَادُوا نَقِيصَتِي</w:t>
      </w:r>
      <w:r w:rsidRPr="003B4175">
        <w:rPr>
          <w:rFonts w:hint="cs"/>
          <w:rtl/>
        </w:rPr>
        <w:t>.........................................</w:t>
      </w:r>
      <w:r w:rsidR="00716D74">
        <w:rPr>
          <w:rFonts w:hint="cs"/>
          <w:rtl/>
        </w:rPr>
        <w:t>.</w:t>
      </w:r>
      <w:r w:rsidRPr="003B4175">
        <w:rPr>
          <w:rFonts w:hint="cs"/>
          <w:rtl/>
        </w:rPr>
        <w:t>........... 149</w:t>
      </w:r>
    </w:p>
    <w:p w:rsidR="003B4175" w:rsidRPr="003B4175" w:rsidRDefault="003B4175" w:rsidP="003B4175">
      <w:pPr>
        <w:ind w:firstLine="0"/>
        <w:rPr>
          <w:rtl/>
        </w:rPr>
      </w:pPr>
      <w:r w:rsidRPr="003B4175">
        <w:rPr>
          <w:rFonts w:ascii="Traditional Arabic" w:hAnsi="Traditional Arabic"/>
          <w:rtl/>
        </w:rPr>
        <w:t>وليلة</w:t>
      </w:r>
      <w:r w:rsidRPr="003B4175">
        <w:rPr>
          <w:rFonts w:ascii="Traditional Arabic" w:hAnsi="Traditional Arabic" w:hint="cs"/>
          <w:rtl/>
        </w:rPr>
        <w:t>ٍ</w:t>
      </w:r>
      <w:r w:rsidRPr="003B4175">
        <w:rPr>
          <w:rFonts w:ascii="Traditional Arabic" w:hAnsi="Traditional Arabic"/>
          <w:rtl/>
        </w:rPr>
        <w:t xml:space="preserve"> من الليالي </w:t>
      </w:r>
      <w:r w:rsidRPr="003B4175">
        <w:rPr>
          <w:rFonts w:ascii="Traditional Arabic" w:hAnsi="Traditional Arabic" w:hint="cs"/>
          <w:rtl/>
        </w:rPr>
        <w:t>حِ</w:t>
      </w:r>
      <w:r w:rsidRPr="003B4175">
        <w:rPr>
          <w:rFonts w:ascii="Traditional Arabic" w:hAnsi="Traditional Arabic"/>
          <w:rtl/>
        </w:rPr>
        <w:t>ن</w:t>
      </w:r>
      <w:r w:rsidRPr="003B4175">
        <w:rPr>
          <w:rFonts w:ascii="Traditional Arabic" w:hAnsi="Traditional Arabic" w:hint="cs"/>
          <w:rtl/>
        </w:rPr>
        <w:t>ْ</w:t>
      </w:r>
      <w:r w:rsidRPr="003B4175">
        <w:rPr>
          <w:rFonts w:ascii="Traditional Arabic" w:hAnsi="Traditional Arabic"/>
          <w:rtl/>
        </w:rPr>
        <w:t>دس</w:t>
      </w:r>
      <w:r w:rsidRPr="003B4175">
        <w:rPr>
          <w:rFonts w:ascii="Traditional Arabic" w:hAnsi="Traditional Arabic" w:hint="cs"/>
          <w:rtl/>
        </w:rPr>
        <w:t>ِ</w:t>
      </w:r>
      <w:r w:rsidRPr="003B4175">
        <w:rPr>
          <w:rFonts w:hint="cs"/>
          <w:rtl/>
        </w:rPr>
        <w:t>..........................................</w:t>
      </w:r>
      <w:r w:rsidR="00716D74">
        <w:rPr>
          <w:rFonts w:hint="cs"/>
          <w:rtl/>
        </w:rPr>
        <w:t>.</w:t>
      </w:r>
      <w:r w:rsidRPr="003B4175">
        <w:rPr>
          <w:rFonts w:hint="cs"/>
          <w:rtl/>
        </w:rPr>
        <w:t>............... 212</w:t>
      </w:r>
    </w:p>
    <w:p w:rsidR="003B4175" w:rsidRPr="003B4175" w:rsidRDefault="003B4175" w:rsidP="003B4175">
      <w:pPr>
        <w:ind w:firstLine="0"/>
        <w:rPr>
          <w:rtl/>
        </w:rPr>
      </w:pPr>
      <w:r w:rsidRPr="003B4175">
        <w:rPr>
          <w:rtl/>
        </w:rPr>
        <w:t>ومَا الحَرْبُ إِلاَّ ما علمْتُمْ وَذُقْتُمُ</w:t>
      </w:r>
      <w:r w:rsidRPr="003B4175">
        <w:rPr>
          <w:rFonts w:hint="cs"/>
          <w:rtl/>
        </w:rPr>
        <w:t>................................................... 192</w:t>
      </w:r>
    </w:p>
    <w:p w:rsidR="003B4175" w:rsidRPr="003B4175" w:rsidRDefault="003B4175" w:rsidP="003B4175">
      <w:pPr>
        <w:ind w:firstLine="0"/>
        <w:rPr>
          <w:rFonts w:ascii="Traditional Arabic" w:hAnsi="Traditional Arabic"/>
          <w:rtl/>
        </w:rPr>
      </w:pPr>
      <w:r w:rsidRPr="003B4175">
        <w:rPr>
          <w:rtl/>
        </w:rPr>
        <w:t>ومَا زَوَّدُوني غير سحق</w:t>
      </w:r>
      <w:r w:rsidRPr="003B4175">
        <w:rPr>
          <w:rFonts w:hint="cs"/>
          <w:vertAlign w:val="superscript"/>
          <w:rtl/>
        </w:rPr>
        <w:t xml:space="preserve"> </w:t>
      </w:r>
      <w:r w:rsidRPr="003B4175">
        <w:rPr>
          <w:rtl/>
        </w:rPr>
        <w:t>عمامة</w:t>
      </w:r>
      <w:r w:rsidRPr="003B4175">
        <w:rPr>
          <w:rFonts w:ascii="Traditional Arabic" w:hAnsi="Traditional Arabic" w:hint="cs"/>
          <w:rtl/>
        </w:rPr>
        <w:t>................................................ 62, 201</w:t>
      </w:r>
    </w:p>
    <w:p w:rsidR="003B4175" w:rsidRPr="003B4175" w:rsidRDefault="003B4175" w:rsidP="003B4175">
      <w:pPr>
        <w:ind w:firstLine="0"/>
        <w:rPr>
          <w:rtl/>
        </w:rPr>
      </w:pPr>
      <w:r w:rsidRPr="003B4175">
        <w:rPr>
          <w:rFonts w:ascii="Traditional Arabic" w:eastAsia="Calibri" w:hAnsi="Traditional Arabic"/>
          <w:color w:val="auto"/>
          <w:rtl/>
        </w:rPr>
        <w:t>يا كثيــر العفو عمـن</w:t>
      </w:r>
      <w:r w:rsidRPr="003B4175">
        <w:rPr>
          <w:rFonts w:hint="cs"/>
          <w:rtl/>
        </w:rPr>
        <w:t>............................................................... 19</w:t>
      </w:r>
    </w:p>
    <w:p w:rsidR="003B4175" w:rsidRPr="003B4175" w:rsidRDefault="003B4175" w:rsidP="003B4175">
      <w:pPr>
        <w:ind w:firstLine="0"/>
      </w:pPr>
      <w:r w:rsidRPr="003B4175">
        <w:rPr>
          <w:rFonts w:ascii="Traditional Arabic" w:hAnsi="Traditional Arabic"/>
          <w:rtl/>
        </w:rPr>
        <w:t>يُرِيدُ الرُّمْحُ صَدْرَ أَبِي بَرَاءٍ</w:t>
      </w:r>
      <w:r w:rsidRPr="003B4175">
        <w:rPr>
          <w:rFonts w:ascii="Traditional Arabic" w:hAnsi="Traditional Arabic" w:hint="cs"/>
          <w:rtl/>
        </w:rPr>
        <w:t>......................................................... 258</w:t>
      </w:r>
    </w:p>
    <w:p w:rsidR="003B4175" w:rsidRPr="003B4175" w:rsidRDefault="003B4175" w:rsidP="003B4175">
      <w:pPr>
        <w:ind w:firstLine="0"/>
      </w:pPr>
      <w:r w:rsidRPr="003B4175">
        <w:rPr>
          <w:rFonts w:ascii="Traditional Arabic" w:hAnsi="Traditional Arabic"/>
          <w:rtl/>
        </w:rPr>
        <w:t>يشْكُو إِليَّ جَمَلِي طُولَ السُّرَى</w:t>
      </w:r>
      <w:r w:rsidRPr="003B4175">
        <w:rPr>
          <w:rFonts w:hint="cs"/>
          <w:rtl/>
        </w:rPr>
        <w:t>..............................</w:t>
      </w:r>
      <w:r w:rsidR="00716D74">
        <w:rPr>
          <w:rFonts w:hint="cs"/>
          <w:rtl/>
        </w:rPr>
        <w:t>.</w:t>
      </w:r>
      <w:r w:rsidRPr="003B4175">
        <w:rPr>
          <w:rFonts w:hint="cs"/>
          <w:rtl/>
        </w:rPr>
        <w:t>...................... 258</w:t>
      </w:r>
    </w:p>
    <w:p w:rsidR="006750FA" w:rsidRDefault="006750FA" w:rsidP="00137074">
      <w:pPr>
        <w:ind w:firstLine="0"/>
        <w:rPr>
          <w:rFonts w:ascii="Traditional Arabic" w:hAnsi="Traditional Arabic"/>
          <w:rtl/>
        </w:rPr>
      </w:pPr>
    </w:p>
    <w:p w:rsidR="00433B1E" w:rsidRDefault="00433B1E" w:rsidP="00137074">
      <w:pPr>
        <w:ind w:firstLine="0"/>
        <w:rPr>
          <w:rFonts w:ascii="Traditional Arabic" w:hAnsi="Traditional Arabic"/>
          <w:rtl/>
        </w:rPr>
      </w:pPr>
    </w:p>
    <w:p w:rsidR="00433B1E" w:rsidRDefault="00433B1E" w:rsidP="00137074">
      <w:pPr>
        <w:ind w:firstLine="0"/>
        <w:rPr>
          <w:rFonts w:ascii="Traditional Arabic" w:hAnsi="Traditional Arabic"/>
          <w:rtl/>
        </w:rPr>
      </w:pPr>
    </w:p>
    <w:p w:rsidR="00433B1E" w:rsidRDefault="00433B1E" w:rsidP="00137074">
      <w:pPr>
        <w:ind w:firstLine="0"/>
        <w:rPr>
          <w:rFonts w:ascii="Traditional Arabic" w:hAnsi="Traditional Arabic"/>
          <w:rtl/>
        </w:rPr>
      </w:pPr>
    </w:p>
    <w:p w:rsidR="00433B1E" w:rsidRDefault="00433B1E" w:rsidP="00137074">
      <w:pPr>
        <w:ind w:firstLine="0"/>
        <w:rPr>
          <w:rFonts w:ascii="Traditional Arabic" w:hAnsi="Traditional Arabic"/>
          <w:rtl/>
        </w:rPr>
      </w:pPr>
    </w:p>
    <w:p w:rsidR="00433B1E" w:rsidRDefault="00433B1E" w:rsidP="00137074">
      <w:pPr>
        <w:ind w:firstLine="0"/>
        <w:rPr>
          <w:rFonts w:ascii="Traditional Arabic" w:hAnsi="Traditional Arabic"/>
          <w:rtl/>
        </w:rPr>
      </w:pPr>
    </w:p>
    <w:p w:rsidR="00433B1E" w:rsidRDefault="00433B1E" w:rsidP="00137074">
      <w:pPr>
        <w:ind w:firstLine="0"/>
        <w:rPr>
          <w:rFonts w:ascii="Traditional Arabic" w:hAnsi="Traditional Arabic"/>
          <w:rtl/>
        </w:rPr>
      </w:pPr>
    </w:p>
    <w:p w:rsidR="009C657F" w:rsidRPr="009C657F" w:rsidRDefault="009C657F" w:rsidP="009C657F">
      <w:pPr>
        <w:ind w:firstLine="0"/>
        <w:jc w:val="center"/>
        <w:rPr>
          <w:rFonts w:ascii="Traditional Arabic" w:hAnsi="Traditional Arabic"/>
          <w:b/>
          <w:bCs/>
          <w:sz w:val="40"/>
          <w:szCs w:val="40"/>
          <w:rtl/>
        </w:rPr>
      </w:pPr>
      <w:r w:rsidRPr="009C657F">
        <w:rPr>
          <w:rFonts w:ascii="Traditional Arabic" w:hAnsi="Traditional Arabic" w:hint="cs"/>
          <w:b/>
          <w:bCs/>
          <w:sz w:val="40"/>
          <w:szCs w:val="40"/>
          <w:rtl/>
        </w:rPr>
        <w:lastRenderedPageBreak/>
        <w:t>فهرس الأعلام</w:t>
      </w:r>
    </w:p>
    <w:p w:rsidR="009652A2" w:rsidRPr="009C657F" w:rsidRDefault="009652A2" w:rsidP="009652A2">
      <w:pPr>
        <w:bidi w:val="0"/>
        <w:ind w:firstLine="0"/>
        <w:rPr>
          <w:rFonts w:ascii="Traditional Arabic" w:hAnsi="Traditional Arabic"/>
        </w:rPr>
      </w:pPr>
      <w:r w:rsidRPr="009C657F">
        <w:rPr>
          <w:rFonts w:ascii="Traditional Arabic" w:eastAsia="Calibri" w:hAnsi="Traditional Arabic"/>
          <w:color w:val="auto"/>
          <w:rtl/>
          <w:lang w:eastAsia="en-US"/>
        </w:rPr>
        <w:t>أبان بن تغلب بن رباح الربعي.................................................... 157</w:t>
      </w:r>
      <w:r w:rsidRPr="009C657F">
        <w:rPr>
          <w:rFonts w:ascii="Traditional Arabic" w:hAnsi="Traditional Arabic"/>
          <w:color w:val="auto"/>
          <w:rtl/>
          <w:lang w:eastAsia="en-US"/>
        </w:rPr>
        <w:t xml:space="preserve"> </w:t>
      </w:r>
    </w:p>
    <w:p w:rsidR="009652A2" w:rsidRPr="009C657F" w:rsidRDefault="009652A2" w:rsidP="009652A2">
      <w:pPr>
        <w:bidi w:val="0"/>
        <w:ind w:firstLine="0"/>
        <w:rPr>
          <w:rFonts w:ascii="Traditional Arabic" w:hAnsi="Traditional Arabic"/>
        </w:rPr>
      </w:pPr>
      <w:r w:rsidRPr="009C657F">
        <w:rPr>
          <w:rFonts w:ascii="Traditional Arabic" w:hAnsi="Traditional Arabic"/>
          <w:rtl/>
        </w:rPr>
        <w:t>إبراهيم بن أبي عبلة بْن يقظان العقيليُّ............................................. 130</w:t>
      </w:r>
    </w:p>
    <w:p w:rsidR="009652A2" w:rsidRPr="009C657F" w:rsidRDefault="009652A2" w:rsidP="009652A2">
      <w:pPr>
        <w:bidi w:val="0"/>
        <w:ind w:firstLine="0"/>
        <w:rPr>
          <w:rFonts w:ascii="Traditional Arabic" w:hAnsi="Traditional Arabic"/>
          <w:rtl/>
        </w:rPr>
      </w:pPr>
      <w:r w:rsidRPr="009C657F">
        <w:rPr>
          <w:rFonts w:ascii="Traditional Arabic" w:hAnsi="Traditional Arabic"/>
          <w:color w:val="auto"/>
          <w:rtl/>
          <w:lang w:eastAsia="en-US"/>
        </w:rPr>
        <w:t>إبراهيم بن محمد بن السري الزجاج</w:t>
      </w:r>
      <w:r w:rsidRPr="009C657F">
        <w:rPr>
          <w:rFonts w:ascii="Traditional Arabic" w:hAnsi="Traditional Arabic"/>
          <w:rtl/>
        </w:rPr>
        <w:t>................................................. 97</w:t>
      </w:r>
    </w:p>
    <w:p w:rsidR="009652A2" w:rsidRPr="009C657F" w:rsidRDefault="009652A2" w:rsidP="009652A2">
      <w:pPr>
        <w:bidi w:val="0"/>
        <w:ind w:firstLine="0"/>
        <w:rPr>
          <w:rFonts w:ascii="Traditional Arabic" w:hAnsi="Traditional Arabic"/>
        </w:rPr>
      </w:pPr>
      <w:r w:rsidRPr="009C657F">
        <w:rPr>
          <w:rFonts w:ascii="Traditional Arabic" w:hAnsi="Traditional Arabic"/>
          <w:color w:val="auto"/>
          <w:rtl/>
          <w:lang w:eastAsia="en-US"/>
        </w:rPr>
        <w:t>إبراهيم بن يزيد بن قيس بن الأسود النخعي</w:t>
      </w:r>
      <w:r w:rsidRPr="009C657F">
        <w:rPr>
          <w:rFonts w:ascii="Traditional Arabic" w:hAnsi="Traditional Arabic"/>
          <w:rtl/>
        </w:rPr>
        <w:t>......................................... 94</w:t>
      </w:r>
    </w:p>
    <w:p w:rsidR="009652A2" w:rsidRPr="009C657F" w:rsidRDefault="009652A2" w:rsidP="009652A2">
      <w:pPr>
        <w:bidi w:val="0"/>
        <w:ind w:firstLine="0"/>
        <w:rPr>
          <w:rFonts w:ascii="Traditional Arabic" w:hAnsi="Traditional Arabic"/>
          <w:rtl/>
        </w:rPr>
      </w:pPr>
      <w:r w:rsidRPr="009C657F">
        <w:rPr>
          <w:rFonts w:ascii="Traditional Arabic" w:hAnsi="Traditional Arabic"/>
          <w:rtl/>
          <w:lang w:eastAsia="en-US"/>
        </w:rPr>
        <w:t xml:space="preserve">أبو عَمْرو بن العلاء بن عمار التميمي </w:t>
      </w:r>
      <w:r w:rsidRPr="009C657F">
        <w:rPr>
          <w:rFonts w:ascii="Traditional Arabic" w:hAnsi="Traditional Arabic"/>
          <w:rtl/>
        </w:rPr>
        <w:t>.............................................. 99</w:t>
      </w:r>
    </w:p>
    <w:p w:rsidR="009652A2" w:rsidRPr="009C657F" w:rsidRDefault="009652A2" w:rsidP="009652A2">
      <w:pPr>
        <w:bidi w:val="0"/>
        <w:ind w:firstLine="0"/>
        <w:rPr>
          <w:rFonts w:ascii="Traditional Arabic" w:hAnsi="Traditional Arabic"/>
        </w:rPr>
      </w:pPr>
      <w:r w:rsidRPr="009C657F">
        <w:rPr>
          <w:rFonts w:ascii="Traditional Arabic" w:eastAsia="Calibri" w:hAnsi="Traditional Arabic"/>
          <w:color w:val="auto"/>
          <w:rtl/>
          <w:lang w:eastAsia="en-US"/>
        </w:rPr>
        <w:t>أبي بن كعب بن قيس</w:t>
      </w:r>
      <w:r w:rsidRPr="009C657F">
        <w:rPr>
          <w:rFonts w:ascii="Traditional Arabic" w:hAnsi="Traditional Arabic"/>
          <w:rtl/>
          <w:lang w:eastAsia="en-US"/>
        </w:rPr>
        <w:t xml:space="preserve"> </w:t>
      </w:r>
      <w:r w:rsidRPr="009C657F">
        <w:rPr>
          <w:rFonts w:ascii="Traditional Arabic" w:eastAsia="Calibri" w:hAnsi="Traditional Arabic"/>
          <w:color w:val="auto"/>
          <w:rtl/>
          <w:lang w:eastAsia="en-US"/>
        </w:rPr>
        <w:t>الأنصاريُّ</w:t>
      </w:r>
      <w:r w:rsidRPr="009C657F">
        <w:rPr>
          <w:rFonts w:ascii="Traditional Arabic" w:hAnsi="Traditional Arabic"/>
          <w:rtl/>
        </w:rPr>
        <w:t>.................................................. 156</w:t>
      </w:r>
    </w:p>
    <w:p w:rsidR="009652A2" w:rsidRPr="009C657F" w:rsidRDefault="009652A2" w:rsidP="009652A2">
      <w:pPr>
        <w:bidi w:val="0"/>
        <w:ind w:firstLine="0"/>
        <w:rPr>
          <w:rFonts w:ascii="Traditional Arabic" w:hAnsi="Traditional Arabic"/>
          <w:color w:val="auto"/>
          <w:rtl/>
        </w:rPr>
      </w:pPr>
      <w:r w:rsidRPr="009C657F">
        <w:rPr>
          <w:rFonts w:ascii="Traditional Arabic" w:hAnsi="Traditional Arabic"/>
          <w:color w:val="auto"/>
          <w:rtl/>
        </w:rPr>
        <w:t>أَحمد بن أَبي خيثمة</w:t>
      </w:r>
      <w:r>
        <w:rPr>
          <w:rFonts w:ascii="Traditional Arabic" w:hAnsi="Traditional Arabic" w:hint="cs"/>
          <w:color w:val="auto"/>
          <w:rtl/>
        </w:rPr>
        <w:t xml:space="preserve"> = </w:t>
      </w:r>
      <w:r w:rsidRPr="009C657F">
        <w:rPr>
          <w:rFonts w:ascii="Traditional Arabic" w:hAnsi="Traditional Arabic"/>
          <w:color w:val="auto"/>
          <w:rtl/>
        </w:rPr>
        <w:t>أَبُو بكر................................................... 266</w:t>
      </w:r>
    </w:p>
    <w:p w:rsidR="009652A2" w:rsidRPr="009C657F" w:rsidRDefault="009652A2" w:rsidP="009652A2">
      <w:pPr>
        <w:bidi w:val="0"/>
        <w:ind w:firstLine="0"/>
        <w:rPr>
          <w:rFonts w:ascii="Traditional Arabic" w:hAnsi="Traditional Arabic"/>
          <w:color w:val="auto"/>
          <w:rtl/>
        </w:rPr>
      </w:pPr>
      <w:r w:rsidRPr="009C657F">
        <w:rPr>
          <w:rFonts w:ascii="Traditional Arabic" w:hAnsi="Traditional Arabic"/>
          <w:color w:val="auto"/>
          <w:rtl/>
        </w:rPr>
        <w:t xml:space="preserve">أحمد بن أبي </w:t>
      </w:r>
      <w:r w:rsidRPr="009C657F">
        <w:rPr>
          <w:rFonts w:ascii="Traditional Arabic" w:hAnsi="Traditional Arabic"/>
          <w:color w:val="auto"/>
          <w:rtl/>
          <w:lang w:eastAsia="en-US"/>
        </w:rPr>
        <w:t>سُرَيج</w:t>
      </w:r>
      <w:r w:rsidRPr="009C657F">
        <w:rPr>
          <w:rFonts w:ascii="Traditional Arabic" w:hAnsi="Traditional Arabic"/>
          <w:color w:val="auto"/>
          <w:rtl/>
        </w:rPr>
        <w:t xml:space="preserve"> الصباح الدارمي................................................ 294</w:t>
      </w:r>
    </w:p>
    <w:p w:rsidR="009652A2" w:rsidRPr="009C657F" w:rsidRDefault="009652A2" w:rsidP="009652A2">
      <w:pPr>
        <w:bidi w:val="0"/>
        <w:ind w:firstLine="0"/>
        <w:rPr>
          <w:rFonts w:ascii="Traditional Arabic" w:hAnsi="Traditional Arabic"/>
          <w:rtl/>
        </w:rPr>
      </w:pPr>
      <w:r w:rsidRPr="009C657F">
        <w:rPr>
          <w:rFonts w:ascii="Traditional Arabic" w:hAnsi="Traditional Arabic"/>
          <w:rtl/>
        </w:rPr>
        <w:t>أحمد بن جعفر بن محمد بن عبيد الله بن المنادي.................................... 247</w:t>
      </w:r>
    </w:p>
    <w:p w:rsidR="009652A2" w:rsidRPr="009C657F" w:rsidRDefault="009652A2" w:rsidP="009652A2">
      <w:pPr>
        <w:bidi w:val="0"/>
        <w:ind w:firstLine="0"/>
        <w:rPr>
          <w:rFonts w:ascii="Traditional Arabic" w:hAnsi="Traditional Arabic"/>
          <w:rtl/>
        </w:rPr>
      </w:pPr>
      <w:r w:rsidRPr="009C657F">
        <w:rPr>
          <w:rFonts w:ascii="Traditional Arabic" w:hAnsi="Traditional Arabic"/>
          <w:rtl/>
        </w:rPr>
        <w:t>أحمد بن فارس بن زكرياء القزويني................................................. 217</w:t>
      </w:r>
    </w:p>
    <w:p w:rsidR="009652A2" w:rsidRPr="009C657F" w:rsidRDefault="009652A2" w:rsidP="009652A2">
      <w:pPr>
        <w:bidi w:val="0"/>
        <w:ind w:firstLine="0"/>
        <w:rPr>
          <w:rFonts w:ascii="Traditional Arabic" w:hAnsi="Traditional Arabic"/>
          <w:rtl/>
        </w:rPr>
      </w:pPr>
      <w:r w:rsidRPr="009C657F">
        <w:rPr>
          <w:rFonts w:ascii="Traditional Arabic" w:hAnsi="Traditional Arabic"/>
          <w:color w:val="auto"/>
          <w:rtl/>
          <w:lang w:eastAsia="en-US"/>
        </w:rPr>
        <w:t xml:space="preserve">أحمد بن محمد بن إبراهيم الثعلبي </w:t>
      </w:r>
      <w:r w:rsidRPr="009C657F">
        <w:rPr>
          <w:rFonts w:ascii="Traditional Arabic" w:hAnsi="Traditional Arabic"/>
          <w:rtl/>
        </w:rPr>
        <w:t>................................................. 111</w:t>
      </w:r>
    </w:p>
    <w:p w:rsidR="009652A2" w:rsidRPr="009C657F" w:rsidRDefault="009652A2" w:rsidP="009652A2">
      <w:pPr>
        <w:bidi w:val="0"/>
        <w:ind w:firstLine="0"/>
        <w:rPr>
          <w:rFonts w:ascii="Traditional Arabic" w:hAnsi="Traditional Arabic"/>
        </w:rPr>
      </w:pPr>
      <w:r w:rsidRPr="009C657F">
        <w:rPr>
          <w:rFonts w:ascii="Traditional Arabic" w:hAnsi="Traditional Arabic"/>
          <w:rtl/>
        </w:rPr>
        <w:t>أحمد بن محمد بن حنبل الشيباني.................................................. 92</w:t>
      </w:r>
    </w:p>
    <w:p w:rsidR="009652A2" w:rsidRPr="009C657F" w:rsidRDefault="009652A2" w:rsidP="009652A2">
      <w:pPr>
        <w:bidi w:val="0"/>
        <w:ind w:firstLine="0"/>
        <w:rPr>
          <w:rFonts w:ascii="Traditional Arabic" w:hAnsi="Traditional Arabic"/>
          <w:rtl/>
        </w:rPr>
      </w:pPr>
      <w:r w:rsidRPr="009C657F">
        <w:rPr>
          <w:rFonts w:ascii="Traditional Arabic" w:hAnsi="Traditional Arabic"/>
          <w:rtl/>
        </w:rPr>
        <w:t>أحمد بن يحيى بن يزيد, المعروف بثعلب............................................ 153</w:t>
      </w:r>
    </w:p>
    <w:p w:rsidR="009652A2" w:rsidRPr="009C657F" w:rsidRDefault="009652A2" w:rsidP="009652A2">
      <w:pPr>
        <w:bidi w:val="0"/>
        <w:ind w:firstLine="0"/>
        <w:rPr>
          <w:rFonts w:ascii="Traditional Arabic" w:hAnsi="Traditional Arabic"/>
          <w:rtl/>
        </w:rPr>
      </w:pPr>
      <w:r w:rsidRPr="009C657F">
        <w:rPr>
          <w:rFonts w:ascii="Traditional Arabic" w:hAnsi="Traditional Arabic"/>
          <w:b/>
          <w:rtl/>
        </w:rPr>
        <w:t>إسحاق بن أحمد بن محمد بن غانم العلثي</w:t>
      </w:r>
      <w:r w:rsidRPr="009C657F">
        <w:rPr>
          <w:rFonts w:ascii="Traditional Arabic" w:hAnsi="Traditional Arabic"/>
          <w:rtl/>
        </w:rPr>
        <w:t>........................................... 34</w:t>
      </w:r>
    </w:p>
    <w:p w:rsidR="009652A2" w:rsidRPr="009C657F" w:rsidRDefault="009652A2" w:rsidP="009652A2">
      <w:pPr>
        <w:bidi w:val="0"/>
        <w:ind w:firstLine="0"/>
        <w:rPr>
          <w:rFonts w:ascii="Traditional Arabic" w:hAnsi="Traditional Arabic"/>
          <w:rtl/>
        </w:rPr>
      </w:pPr>
      <w:r w:rsidRPr="009C657F">
        <w:rPr>
          <w:rFonts w:ascii="Traditional Arabic" w:hAnsi="Traditional Arabic"/>
          <w:rtl/>
        </w:rPr>
        <w:t>إسحاق بن محمد بن عبد الرحمن المُسَيّبي........................................... 219</w:t>
      </w:r>
    </w:p>
    <w:p w:rsidR="009652A2" w:rsidRPr="009C657F" w:rsidRDefault="009652A2" w:rsidP="009652A2">
      <w:pPr>
        <w:bidi w:val="0"/>
        <w:ind w:firstLine="0"/>
        <w:rPr>
          <w:rFonts w:ascii="Traditional Arabic" w:hAnsi="Traditional Arabic"/>
          <w:rtl/>
        </w:rPr>
      </w:pPr>
      <w:r w:rsidRPr="009C657F">
        <w:rPr>
          <w:rFonts w:ascii="Traditional Arabic" w:hAnsi="Traditional Arabic"/>
          <w:rtl/>
        </w:rPr>
        <w:t>أسعد بْن زرارة بْن عدس الأنصاري</w:t>
      </w:r>
      <w:r>
        <w:rPr>
          <w:rFonts w:ascii="Traditional Arabic" w:hAnsi="Traditional Arabic" w:hint="cs"/>
          <w:rtl/>
        </w:rPr>
        <w:t xml:space="preserve"> = </w:t>
      </w:r>
      <w:r w:rsidRPr="009C657F">
        <w:rPr>
          <w:rFonts w:ascii="Traditional Arabic" w:hAnsi="Traditional Arabic"/>
          <w:rtl/>
        </w:rPr>
        <w:t>أبو أمامة.....................</w:t>
      </w:r>
      <w:r>
        <w:rPr>
          <w:rFonts w:ascii="Traditional Arabic" w:hAnsi="Traditional Arabic" w:hint="cs"/>
          <w:rtl/>
        </w:rPr>
        <w:t>.</w:t>
      </w:r>
      <w:r w:rsidRPr="009C657F">
        <w:rPr>
          <w:rFonts w:ascii="Traditional Arabic" w:hAnsi="Traditional Arabic"/>
          <w:rtl/>
        </w:rPr>
        <w:t>.............. 128</w:t>
      </w:r>
    </w:p>
    <w:p w:rsidR="009652A2" w:rsidRPr="009C657F" w:rsidRDefault="009652A2" w:rsidP="009652A2">
      <w:pPr>
        <w:bidi w:val="0"/>
        <w:ind w:firstLine="0"/>
        <w:rPr>
          <w:rFonts w:ascii="Traditional Arabic" w:hAnsi="Traditional Arabic"/>
        </w:rPr>
      </w:pPr>
      <w:r w:rsidRPr="009C657F">
        <w:rPr>
          <w:rFonts w:ascii="Traditional Arabic" w:hAnsi="Traditional Arabic"/>
          <w:color w:val="auto"/>
          <w:rtl/>
          <w:lang w:eastAsia="en-US"/>
        </w:rPr>
        <w:t>إسماعيل بن عبد الرحمن ابن أبي كريمة</w:t>
      </w:r>
      <w:r w:rsidRPr="009C657F">
        <w:rPr>
          <w:rFonts w:ascii="Traditional Arabic" w:hAnsi="Traditional Arabic"/>
          <w:rtl/>
        </w:rPr>
        <w:t>.............................................. 115</w:t>
      </w:r>
    </w:p>
    <w:p w:rsidR="009652A2" w:rsidRPr="009C657F" w:rsidRDefault="009652A2" w:rsidP="009652A2">
      <w:pPr>
        <w:bidi w:val="0"/>
        <w:ind w:firstLine="0"/>
        <w:rPr>
          <w:rFonts w:ascii="Traditional Arabic" w:hAnsi="Traditional Arabic"/>
        </w:rPr>
      </w:pPr>
      <w:r w:rsidRPr="009C657F">
        <w:rPr>
          <w:rFonts w:ascii="Traditional Arabic" w:hAnsi="Traditional Arabic"/>
          <w:rtl/>
        </w:rPr>
        <w:t>الأسود بن يزيد بن قيس النخعي................................................. 126</w:t>
      </w:r>
    </w:p>
    <w:p w:rsidR="009652A2" w:rsidRPr="009C657F" w:rsidRDefault="009652A2" w:rsidP="009652A2">
      <w:pPr>
        <w:bidi w:val="0"/>
        <w:ind w:firstLine="0"/>
        <w:rPr>
          <w:rFonts w:ascii="Traditional Arabic" w:hAnsi="Traditional Arabic"/>
          <w:rtl/>
        </w:rPr>
      </w:pPr>
      <w:r w:rsidRPr="009C657F">
        <w:rPr>
          <w:rFonts w:ascii="Traditional Arabic" w:hAnsi="Traditional Arabic"/>
          <w:color w:val="auto"/>
          <w:rtl/>
          <w:lang w:eastAsia="en-US"/>
        </w:rPr>
        <w:t xml:space="preserve">الأقرع بن حابس بن </w:t>
      </w:r>
      <w:r w:rsidRPr="009C657F">
        <w:rPr>
          <w:rFonts w:ascii="Traditional Arabic" w:hAnsi="Traditional Arabic"/>
          <w:rtl/>
        </w:rPr>
        <w:t>التميمي..................................................... 204</w:t>
      </w:r>
    </w:p>
    <w:p w:rsidR="009652A2" w:rsidRPr="009C657F" w:rsidRDefault="009652A2" w:rsidP="009652A2">
      <w:pPr>
        <w:bidi w:val="0"/>
        <w:ind w:firstLine="0"/>
        <w:rPr>
          <w:rFonts w:ascii="Traditional Arabic" w:hAnsi="Traditional Arabic"/>
        </w:rPr>
      </w:pPr>
      <w:r w:rsidRPr="009C657F">
        <w:rPr>
          <w:rFonts w:ascii="Traditional Arabic" w:hAnsi="Traditional Arabic"/>
          <w:color w:val="auto"/>
          <w:rtl/>
        </w:rPr>
        <w:t>أم المؤمنين عائشة بنت أبي بكر الصديق</w:t>
      </w:r>
      <w:r w:rsidRPr="009C657F">
        <w:rPr>
          <w:rFonts w:ascii="Traditional Arabic" w:hAnsi="Traditional Arabic"/>
          <w:rtl/>
        </w:rPr>
        <w:t>........................................... 313</w:t>
      </w:r>
    </w:p>
    <w:p w:rsidR="009652A2" w:rsidRPr="009C657F" w:rsidRDefault="009652A2" w:rsidP="009652A2">
      <w:pPr>
        <w:bidi w:val="0"/>
        <w:ind w:firstLine="0"/>
        <w:rPr>
          <w:rFonts w:ascii="Traditional Arabic" w:hAnsi="Traditional Arabic"/>
          <w:color w:val="auto"/>
          <w:rtl/>
          <w:lang w:eastAsia="en-US"/>
        </w:rPr>
      </w:pPr>
      <w:r w:rsidRPr="009C657F">
        <w:rPr>
          <w:rFonts w:ascii="Traditional Arabic" w:hAnsi="Traditional Arabic"/>
          <w:color w:val="auto"/>
          <w:rtl/>
          <w:lang w:eastAsia="en-US"/>
        </w:rPr>
        <w:t>أنس بن مالك بن النضر الأنصاري............................................... 113</w:t>
      </w:r>
    </w:p>
    <w:p w:rsidR="009652A2" w:rsidRPr="009C657F" w:rsidRDefault="009652A2" w:rsidP="009652A2">
      <w:pPr>
        <w:bidi w:val="0"/>
        <w:ind w:firstLine="0"/>
        <w:rPr>
          <w:rFonts w:ascii="Traditional Arabic" w:hAnsi="Traditional Arabic"/>
          <w:rtl/>
        </w:rPr>
      </w:pPr>
      <w:r w:rsidRPr="009C657F">
        <w:rPr>
          <w:rFonts w:ascii="Traditional Arabic" w:hAnsi="Traditional Arabic"/>
          <w:color w:val="auto"/>
          <w:rtl/>
          <w:lang w:eastAsia="en-US"/>
        </w:rPr>
        <w:t>أوس بن عَبد اللَّهِ الربعي</w:t>
      </w:r>
      <w:r>
        <w:rPr>
          <w:rFonts w:ascii="Traditional Arabic" w:hAnsi="Traditional Arabic" w:hint="cs"/>
          <w:rtl/>
        </w:rPr>
        <w:t xml:space="preserve"> = </w:t>
      </w:r>
      <w:r w:rsidRPr="009C657F">
        <w:rPr>
          <w:rFonts w:ascii="Traditional Arabic" w:hAnsi="Traditional Arabic"/>
          <w:color w:val="auto"/>
          <w:rtl/>
          <w:lang w:eastAsia="en-US"/>
        </w:rPr>
        <w:t>أبو الجوزاء</w:t>
      </w:r>
      <w:r>
        <w:rPr>
          <w:rFonts w:ascii="Traditional Arabic" w:hAnsi="Traditional Arabic"/>
          <w:rtl/>
        </w:rPr>
        <w:t>................</w:t>
      </w:r>
      <w:r w:rsidRPr="009C657F">
        <w:rPr>
          <w:rFonts w:ascii="Traditional Arabic" w:hAnsi="Traditional Arabic"/>
          <w:rtl/>
        </w:rPr>
        <w:t>............................. 103</w:t>
      </w:r>
    </w:p>
    <w:p w:rsidR="009652A2" w:rsidRPr="009C657F" w:rsidRDefault="009652A2" w:rsidP="009652A2">
      <w:pPr>
        <w:bidi w:val="0"/>
        <w:ind w:firstLine="0"/>
        <w:rPr>
          <w:rFonts w:ascii="Traditional Arabic" w:hAnsi="Traditional Arabic"/>
        </w:rPr>
      </w:pPr>
      <w:r w:rsidRPr="009C657F">
        <w:rPr>
          <w:rFonts w:ascii="Traditional Arabic" w:hAnsi="Traditional Arabic"/>
          <w:color w:val="auto"/>
          <w:rtl/>
          <w:lang w:eastAsia="en-US"/>
        </w:rPr>
        <w:t>أيوب بن تميم الدمشقي</w:t>
      </w:r>
      <w:r>
        <w:rPr>
          <w:rFonts w:ascii="Traditional Arabic" w:hAnsi="Traditional Arabic" w:hint="cs"/>
          <w:color w:val="auto"/>
          <w:rtl/>
          <w:lang w:eastAsia="en-US"/>
        </w:rPr>
        <w:t xml:space="preserve"> = </w:t>
      </w:r>
      <w:r w:rsidRPr="009C657F">
        <w:rPr>
          <w:rFonts w:ascii="Traditional Arabic" w:hAnsi="Traditional Arabic"/>
          <w:color w:val="auto"/>
          <w:rtl/>
          <w:lang w:eastAsia="en-US"/>
        </w:rPr>
        <w:t>أبو سليمان............................................</w:t>
      </w:r>
      <w:r w:rsidRPr="009C657F">
        <w:rPr>
          <w:rFonts w:ascii="Traditional Arabic" w:hAnsi="Traditional Arabic"/>
          <w:rtl/>
        </w:rPr>
        <w:t xml:space="preserve"> 108</w:t>
      </w:r>
    </w:p>
    <w:p w:rsidR="009652A2" w:rsidRPr="009C657F" w:rsidRDefault="009652A2" w:rsidP="009652A2">
      <w:pPr>
        <w:bidi w:val="0"/>
        <w:ind w:firstLine="0"/>
        <w:rPr>
          <w:rFonts w:ascii="Traditional Arabic" w:hAnsi="Traditional Arabic"/>
          <w:color w:val="auto"/>
          <w:rtl/>
          <w:lang w:eastAsia="en-US"/>
        </w:rPr>
      </w:pPr>
      <w:r>
        <w:rPr>
          <w:rFonts w:ascii="Traditional Arabic" w:hAnsi="Traditional Arabic" w:hint="cs"/>
          <w:color w:val="auto"/>
          <w:rtl/>
          <w:lang w:eastAsia="en-US"/>
        </w:rPr>
        <w:t>باذام =</w:t>
      </w:r>
      <w:r w:rsidRPr="00980DDE">
        <w:rPr>
          <w:rFonts w:ascii="Traditional Arabic" w:hAnsi="Traditional Arabic"/>
          <w:color w:val="auto"/>
          <w:rtl/>
          <w:lang w:eastAsia="en-US"/>
        </w:rPr>
        <w:t xml:space="preserve"> </w:t>
      </w:r>
      <w:r w:rsidRPr="009C657F">
        <w:rPr>
          <w:rFonts w:ascii="Traditional Arabic" w:hAnsi="Traditional Arabic"/>
          <w:color w:val="auto"/>
          <w:rtl/>
          <w:lang w:eastAsia="en-US"/>
        </w:rPr>
        <w:t>أبو صالح السَّمَّان.................</w:t>
      </w:r>
      <w:r>
        <w:rPr>
          <w:rFonts w:ascii="Traditional Arabic" w:hAnsi="Traditional Arabic" w:hint="cs"/>
          <w:color w:val="auto"/>
          <w:rtl/>
          <w:lang w:eastAsia="en-US"/>
        </w:rPr>
        <w:t>............</w:t>
      </w:r>
      <w:r w:rsidRPr="009C657F">
        <w:rPr>
          <w:rFonts w:ascii="Traditional Arabic" w:hAnsi="Traditional Arabic"/>
          <w:color w:val="auto"/>
          <w:rtl/>
          <w:lang w:eastAsia="en-US"/>
        </w:rPr>
        <w:t>............................ 92</w:t>
      </w:r>
    </w:p>
    <w:p w:rsidR="009652A2" w:rsidRPr="009C657F" w:rsidRDefault="009652A2" w:rsidP="009652A2">
      <w:pPr>
        <w:bidi w:val="0"/>
        <w:ind w:firstLine="0"/>
        <w:rPr>
          <w:rFonts w:ascii="Traditional Arabic" w:hAnsi="Traditional Arabic"/>
        </w:rPr>
      </w:pPr>
      <w:r w:rsidRPr="009C657F">
        <w:rPr>
          <w:rFonts w:ascii="Traditional Arabic" w:hAnsi="Traditional Arabic"/>
          <w:rtl/>
        </w:rPr>
        <w:lastRenderedPageBreak/>
        <w:t>جابر بن عبد الله بن عمرو بن حرام............................................... 122</w:t>
      </w:r>
    </w:p>
    <w:p w:rsidR="009652A2" w:rsidRPr="009C657F" w:rsidRDefault="009652A2" w:rsidP="009652A2">
      <w:pPr>
        <w:bidi w:val="0"/>
        <w:ind w:firstLine="0"/>
        <w:rPr>
          <w:rFonts w:ascii="Traditional Arabic" w:hAnsi="Traditional Arabic"/>
          <w:rtl/>
          <w:lang w:eastAsia="en-US"/>
        </w:rPr>
      </w:pPr>
      <w:r w:rsidRPr="009C657F">
        <w:rPr>
          <w:rFonts w:ascii="Traditional Arabic" w:hAnsi="Traditional Arabic"/>
          <w:rtl/>
          <w:lang w:eastAsia="en-US"/>
        </w:rPr>
        <w:t>جرير بن عبد العزِّي, المعروف بالمتلمس............................................ 148</w:t>
      </w:r>
    </w:p>
    <w:p w:rsidR="009652A2" w:rsidRPr="009C657F" w:rsidRDefault="009652A2" w:rsidP="009652A2">
      <w:pPr>
        <w:bidi w:val="0"/>
        <w:ind w:firstLine="0"/>
        <w:rPr>
          <w:rFonts w:ascii="Traditional Arabic" w:hAnsi="Traditional Arabic"/>
        </w:rPr>
      </w:pPr>
      <w:r w:rsidRPr="009C657F">
        <w:rPr>
          <w:rFonts w:ascii="Traditional Arabic" w:hAnsi="Traditional Arabic"/>
          <w:rtl/>
        </w:rPr>
        <w:t>جعفر بن مُحَمَّدِ بن علي بن الحسين</w:t>
      </w:r>
      <w:r w:rsidRPr="009C657F">
        <w:rPr>
          <w:rFonts w:ascii="Traditional Arabic" w:hAnsi="Traditional Arabic"/>
          <w:rtl/>
          <w:lang w:eastAsia="en-US"/>
        </w:rPr>
        <w:t xml:space="preserve"> </w:t>
      </w:r>
      <w:r w:rsidRPr="009C657F">
        <w:rPr>
          <w:rFonts w:ascii="Traditional Arabic" w:hAnsi="Traditional Arabic"/>
          <w:rtl/>
        </w:rPr>
        <w:t>القرشي........................................ 264</w:t>
      </w:r>
    </w:p>
    <w:p w:rsidR="009652A2" w:rsidRPr="009C657F" w:rsidRDefault="009652A2" w:rsidP="009652A2">
      <w:pPr>
        <w:bidi w:val="0"/>
        <w:ind w:firstLine="0"/>
        <w:rPr>
          <w:rFonts w:ascii="Traditional Arabic" w:eastAsia="Calibri" w:hAnsi="Traditional Arabic"/>
          <w:color w:val="auto"/>
          <w:rtl/>
          <w:lang w:eastAsia="en-US"/>
        </w:rPr>
      </w:pPr>
      <w:r w:rsidRPr="009C657F">
        <w:rPr>
          <w:rFonts w:ascii="Traditional Arabic" w:eastAsia="Calibri" w:hAnsi="Traditional Arabic"/>
          <w:color w:val="auto"/>
          <w:rtl/>
          <w:lang w:eastAsia="en-US"/>
        </w:rPr>
        <w:t>جندب بن جنادة بن قيس الغفاريُّ............................................... 157</w:t>
      </w:r>
    </w:p>
    <w:p w:rsidR="009652A2" w:rsidRPr="009C657F" w:rsidRDefault="009652A2" w:rsidP="009652A2">
      <w:pPr>
        <w:bidi w:val="0"/>
        <w:ind w:firstLine="0"/>
        <w:rPr>
          <w:rFonts w:ascii="Traditional Arabic" w:hAnsi="Traditional Arabic"/>
          <w:color w:val="auto"/>
          <w:rtl/>
        </w:rPr>
      </w:pPr>
      <w:r w:rsidRPr="009C657F">
        <w:rPr>
          <w:rFonts w:ascii="Traditional Arabic" w:hAnsi="Traditional Arabic"/>
          <w:color w:val="auto"/>
          <w:rtl/>
        </w:rPr>
        <w:t>جندب بْن زهير بن الحارث</w:t>
      </w:r>
      <w:r w:rsidRPr="009C657F">
        <w:rPr>
          <w:rFonts w:ascii="Traditional Arabic" w:hAnsi="Traditional Arabic"/>
          <w:color w:val="auto"/>
          <w:rtl/>
          <w:lang w:eastAsia="en-US"/>
        </w:rPr>
        <w:t xml:space="preserve"> </w:t>
      </w:r>
      <w:r w:rsidRPr="009C657F">
        <w:rPr>
          <w:rFonts w:ascii="Traditional Arabic" w:hAnsi="Traditional Arabic"/>
          <w:color w:val="auto"/>
          <w:rtl/>
        </w:rPr>
        <w:t>الأزدي............................................... 288</w:t>
      </w:r>
    </w:p>
    <w:p w:rsidR="009652A2" w:rsidRPr="009C657F" w:rsidRDefault="009652A2" w:rsidP="009652A2">
      <w:pPr>
        <w:bidi w:val="0"/>
        <w:ind w:firstLine="0"/>
        <w:rPr>
          <w:rFonts w:ascii="Traditional Arabic" w:hAnsi="Traditional Arabic"/>
        </w:rPr>
      </w:pPr>
      <w:r w:rsidRPr="009C657F">
        <w:rPr>
          <w:rFonts w:ascii="Traditional Arabic" w:hAnsi="Traditional Arabic"/>
          <w:rtl/>
        </w:rPr>
        <w:t>حاتم بن عبد الله بن سعد الطَّائيُّ................................................. 194</w:t>
      </w:r>
    </w:p>
    <w:p w:rsidR="009652A2" w:rsidRPr="009C657F" w:rsidRDefault="009652A2" w:rsidP="009652A2">
      <w:pPr>
        <w:bidi w:val="0"/>
        <w:ind w:firstLine="0"/>
        <w:rPr>
          <w:rFonts w:ascii="Traditional Arabic" w:hAnsi="Traditional Arabic"/>
          <w:rtl/>
        </w:rPr>
      </w:pPr>
      <w:r w:rsidRPr="009C657F">
        <w:rPr>
          <w:rFonts w:ascii="Traditional Arabic" w:hAnsi="Traditional Arabic"/>
          <w:rtl/>
        </w:rPr>
        <w:t>الحجاج بن يوسف الثقفي....................................................... 252</w:t>
      </w:r>
    </w:p>
    <w:p w:rsidR="009652A2" w:rsidRPr="009C657F" w:rsidRDefault="009652A2" w:rsidP="009652A2">
      <w:pPr>
        <w:bidi w:val="0"/>
        <w:ind w:firstLine="0"/>
        <w:rPr>
          <w:rFonts w:ascii="Traditional Arabic" w:hAnsi="Traditional Arabic"/>
        </w:rPr>
      </w:pPr>
      <w:r w:rsidRPr="009C657F">
        <w:rPr>
          <w:rFonts w:ascii="Traditional Arabic" w:hAnsi="Traditional Arabic"/>
          <w:rtl/>
        </w:rPr>
        <w:t xml:space="preserve">حذيفة بن اليمان </w:t>
      </w:r>
      <w:r w:rsidRPr="009C657F">
        <w:rPr>
          <w:rFonts w:ascii="Traditional Arabic" w:hAnsi="Traditional Arabic"/>
          <w:rtl/>
          <w:lang w:eastAsia="en-US"/>
        </w:rPr>
        <w:t xml:space="preserve">بْنُ جَابِرٍ </w:t>
      </w:r>
      <w:r w:rsidRPr="009C657F">
        <w:rPr>
          <w:rFonts w:ascii="Traditional Arabic" w:hAnsi="Traditional Arabic"/>
          <w:rtl/>
        </w:rPr>
        <w:t>اليماني................................................ 129</w:t>
      </w:r>
    </w:p>
    <w:p w:rsidR="009652A2" w:rsidRPr="009C657F" w:rsidRDefault="009652A2" w:rsidP="009652A2">
      <w:pPr>
        <w:bidi w:val="0"/>
        <w:ind w:firstLine="0"/>
        <w:rPr>
          <w:rFonts w:ascii="Traditional Arabic" w:hAnsi="Traditional Arabic"/>
        </w:rPr>
      </w:pPr>
      <w:r w:rsidRPr="009C657F">
        <w:rPr>
          <w:rFonts w:ascii="Traditional Arabic" w:hAnsi="Traditional Arabic"/>
          <w:rtl/>
        </w:rPr>
        <w:t xml:space="preserve">حسان بْن ثابت بن المنذر الأنصاري الخزرجي...................................... 286 </w:t>
      </w:r>
    </w:p>
    <w:p w:rsidR="009652A2" w:rsidRPr="009C657F" w:rsidRDefault="009652A2" w:rsidP="009652A2">
      <w:pPr>
        <w:bidi w:val="0"/>
        <w:ind w:firstLine="0"/>
        <w:rPr>
          <w:rFonts w:ascii="Traditional Arabic" w:hAnsi="Traditional Arabic"/>
          <w:rtl/>
        </w:rPr>
      </w:pPr>
      <w:r w:rsidRPr="009C657F">
        <w:rPr>
          <w:rFonts w:ascii="Traditional Arabic" w:hAnsi="Traditional Arabic"/>
          <w:rtl/>
          <w:lang w:eastAsia="en-US"/>
        </w:rPr>
        <w:t>الحسن بن أبي الحسن يسار البصري</w:t>
      </w:r>
      <w:r w:rsidRPr="009C657F">
        <w:rPr>
          <w:rFonts w:ascii="Traditional Arabic" w:hAnsi="Traditional Arabic"/>
          <w:rtl/>
        </w:rPr>
        <w:t>................................................. 91</w:t>
      </w:r>
    </w:p>
    <w:p w:rsidR="009652A2" w:rsidRPr="009C657F" w:rsidRDefault="009652A2" w:rsidP="009652A2">
      <w:pPr>
        <w:bidi w:val="0"/>
        <w:ind w:firstLine="0"/>
        <w:rPr>
          <w:rFonts w:ascii="Traditional Arabic" w:hAnsi="Traditional Arabic"/>
          <w:rtl/>
        </w:rPr>
      </w:pPr>
      <w:r w:rsidRPr="009C657F">
        <w:rPr>
          <w:rFonts w:ascii="Traditional Arabic" w:hAnsi="Traditional Arabic"/>
          <w:rtl/>
          <w:lang w:eastAsia="en-US"/>
        </w:rPr>
        <w:t xml:space="preserve">الحسن بن أحمد بن عبد الغفار </w:t>
      </w:r>
      <w:r>
        <w:rPr>
          <w:rFonts w:ascii="Traditional Arabic" w:hAnsi="Traditional Arabic" w:hint="cs"/>
          <w:rtl/>
          <w:lang w:eastAsia="en-US"/>
        </w:rPr>
        <w:t>=</w:t>
      </w:r>
      <w:r>
        <w:rPr>
          <w:rFonts w:ascii="Traditional Arabic" w:hAnsi="Traditional Arabic" w:hint="cs"/>
          <w:rtl/>
        </w:rPr>
        <w:t xml:space="preserve"> </w:t>
      </w:r>
      <w:r w:rsidRPr="009C657F">
        <w:rPr>
          <w:rFonts w:ascii="Traditional Arabic" w:hAnsi="Traditional Arabic"/>
          <w:rtl/>
        </w:rPr>
        <w:t xml:space="preserve">أبو علي </w:t>
      </w:r>
      <w:r w:rsidRPr="009C657F">
        <w:rPr>
          <w:rFonts w:ascii="Traditional Arabic" w:hAnsi="Traditional Arabic"/>
          <w:rtl/>
          <w:lang w:eastAsia="en-US"/>
        </w:rPr>
        <w:t>الفارسي</w:t>
      </w:r>
      <w:r>
        <w:rPr>
          <w:rFonts w:ascii="Traditional Arabic" w:hAnsi="Traditional Arabic"/>
          <w:rtl/>
        </w:rPr>
        <w:t>.....</w:t>
      </w:r>
      <w:r w:rsidRPr="009C657F">
        <w:rPr>
          <w:rFonts w:ascii="Traditional Arabic" w:hAnsi="Traditional Arabic"/>
          <w:rtl/>
        </w:rPr>
        <w:t>............................ 115</w:t>
      </w:r>
    </w:p>
    <w:p w:rsidR="009652A2" w:rsidRPr="009C657F" w:rsidRDefault="009652A2" w:rsidP="009652A2">
      <w:pPr>
        <w:bidi w:val="0"/>
        <w:ind w:firstLine="0"/>
        <w:rPr>
          <w:rFonts w:ascii="Traditional Arabic" w:hAnsi="Traditional Arabic"/>
          <w:rtl/>
        </w:rPr>
      </w:pPr>
      <w:r w:rsidRPr="009C657F">
        <w:rPr>
          <w:rFonts w:ascii="Traditional Arabic" w:hAnsi="Traditional Arabic"/>
          <w:rtl/>
        </w:rPr>
        <w:t xml:space="preserve">الْحسن بن أسد </w:t>
      </w:r>
      <w:r w:rsidRPr="009C657F">
        <w:rPr>
          <w:rFonts w:ascii="Traditional Arabic" w:hAnsi="Traditional Arabic"/>
          <w:color w:val="auto"/>
          <w:rtl/>
          <w:lang w:eastAsia="en-US"/>
        </w:rPr>
        <w:t>الفَارِقِيُّ</w:t>
      </w:r>
      <w:r>
        <w:rPr>
          <w:rFonts w:ascii="Traditional Arabic" w:hAnsi="Traditional Arabic" w:hint="cs"/>
          <w:rtl/>
        </w:rPr>
        <w:t xml:space="preserve"> =</w:t>
      </w:r>
      <w:r w:rsidRPr="009652A2">
        <w:rPr>
          <w:rFonts w:ascii="Traditional Arabic" w:hAnsi="Traditional Arabic"/>
          <w:rtl/>
        </w:rPr>
        <w:t xml:space="preserve"> </w:t>
      </w:r>
      <w:r w:rsidRPr="009C657F">
        <w:rPr>
          <w:rFonts w:ascii="Traditional Arabic" w:hAnsi="Traditional Arabic"/>
          <w:rtl/>
        </w:rPr>
        <w:t>أَبُو نصر</w:t>
      </w:r>
      <w:r>
        <w:rPr>
          <w:rFonts w:ascii="Traditional Arabic" w:hAnsi="Traditional Arabic"/>
          <w:rtl/>
        </w:rPr>
        <w:t>....</w:t>
      </w:r>
      <w:r w:rsidRPr="009C657F">
        <w:rPr>
          <w:rFonts w:ascii="Traditional Arabic" w:hAnsi="Traditional Arabic"/>
          <w:rtl/>
        </w:rPr>
        <w:t>........................................... 193</w:t>
      </w:r>
    </w:p>
    <w:p w:rsidR="009652A2" w:rsidRPr="009C657F" w:rsidRDefault="009652A2" w:rsidP="009652A2">
      <w:pPr>
        <w:bidi w:val="0"/>
        <w:ind w:firstLine="0"/>
        <w:rPr>
          <w:rFonts w:ascii="Traditional Arabic" w:hAnsi="Traditional Arabic"/>
          <w:rtl/>
        </w:rPr>
      </w:pPr>
      <w:r w:rsidRPr="009C657F">
        <w:rPr>
          <w:rFonts w:ascii="Traditional Arabic" w:hAnsi="Traditional Arabic"/>
          <w:rtl/>
        </w:rPr>
        <w:t>الحسن بن يوسف بن محمد بن أحمد................................................ 37</w:t>
      </w:r>
    </w:p>
    <w:p w:rsidR="009652A2" w:rsidRPr="009C657F" w:rsidRDefault="009652A2" w:rsidP="009652A2">
      <w:pPr>
        <w:bidi w:val="0"/>
        <w:ind w:firstLine="0"/>
        <w:rPr>
          <w:rFonts w:ascii="Traditional Arabic" w:hAnsi="Traditional Arabic"/>
        </w:rPr>
      </w:pPr>
      <w:r w:rsidRPr="009C657F">
        <w:rPr>
          <w:rFonts w:ascii="Traditional Arabic" w:hAnsi="Traditional Arabic"/>
          <w:rtl/>
        </w:rPr>
        <w:t>حُصَيْن بن جندب الجَنْبِي</w:t>
      </w:r>
      <w:r>
        <w:rPr>
          <w:rFonts w:ascii="Traditional Arabic" w:hAnsi="Traditional Arabic" w:hint="cs"/>
          <w:rtl/>
        </w:rPr>
        <w:t xml:space="preserve"> = </w:t>
      </w:r>
      <w:r w:rsidRPr="009C657F">
        <w:rPr>
          <w:rFonts w:ascii="Traditional Arabic" w:hAnsi="Traditional Arabic"/>
          <w:rtl/>
        </w:rPr>
        <w:t>أبو ظَبْيَانَ............................................ 130</w:t>
      </w:r>
    </w:p>
    <w:p w:rsidR="009652A2" w:rsidRPr="009C657F" w:rsidRDefault="009652A2" w:rsidP="009652A2">
      <w:pPr>
        <w:bidi w:val="0"/>
        <w:ind w:firstLine="0"/>
        <w:rPr>
          <w:rFonts w:ascii="Traditional Arabic" w:hAnsi="Traditional Arabic"/>
        </w:rPr>
      </w:pPr>
      <w:r>
        <w:rPr>
          <w:rFonts w:ascii="Traditional Arabic" w:hAnsi="Traditional Arabic"/>
          <w:color w:val="auto"/>
          <w:rtl/>
          <w:lang w:eastAsia="en-US"/>
        </w:rPr>
        <w:t>حفص بن سليمان بن المغيرة</w:t>
      </w:r>
      <w:r>
        <w:rPr>
          <w:rFonts w:ascii="Traditional Arabic" w:hAnsi="Traditional Arabic" w:hint="cs"/>
          <w:color w:val="auto"/>
          <w:rtl/>
          <w:lang w:eastAsia="en-US"/>
        </w:rPr>
        <w:t xml:space="preserve"> </w:t>
      </w:r>
      <w:r w:rsidRPr="009C657F">
        <w:rPr>
          <w:rFonts w:ascii="Traditional Arabic" w:hAnsi="Traditional Arabic"/>
          <w:color w:val="auto"/>
          <w:rtl/>
          <w:lang w:eastAsia="en-US"/>
        </w:rPr>
        <w:t xml:space="preserve">.................................................... 102 </w:t>
      </w:r>
    </w:p>
    <w:p w:rsidR="009652A2" w:rsidRPr="009C657F" w:rsidRDefault="009652A2" w:rsidP="009652A2">
      <w:pPr>
        <w:bidi w:val="0"/>
        <w:ind w:firstLine="0"/>
        <w:rPr>
          <w:rFonts w:ascii="Traditional Arabic" w:hAnsi="Traditional Arabic"/>
          <w:color w:val="auto"/>
          <w:rtl/>
          <w:lang w:eastAsia="en-US"/>
        </w:rPr>
      </w:pPr>
      <w:r w:rsidRPr="009C657F">
        <w:rPr>
          <w:rFonts w:ascii="Traditional Arabic" w:hAnsi="Traditional Arabic"/>
          <w:color w:val="auto"/>
          <w:rtl/>
          <w:lang w:eastAsia="en-US"/>
        </w:rPr>
        <w:t>حمزة بن حبيب بن عمارة المعروف بالزيات</w:t>
      </w:r>
      <w:r w:rsidRPr="009C657F">
        <w:rPr>
          <w:rFonts w:ascii="Traditional Arabic" w:hAnsi="Traditional Arabic"/>
          <w:rtl/>
          <w:lang w:eastAsia="en-US"/>
        </w:rPr>
        <w:t xml:space="preserve"> </w:t>
      </w:r>
      <w:r w:rsidRPr="009C657F">
        <w:rPr>
          <w:rFonts w:ascii="Traditional Arabic" w:hAnsi="Traditional Arabic"/>
          <w:rtl/>
        </w:rPr>
        <w:t>........................................</w:t>
      </w:r>
      <w:r w:rsidRPr="009C657F">
        <w:rPr>
          <w:rFonts w:ascii="Traditional Arabic" w:hAnsi="Traditional Arabic"/>
          <w:color w:val="auto"/>
          <w:rtl/>
          <w:lang w:eastAsia="en-US"/>
        </w:rPr>
        <w:t xml:space="preserve"> </w:t>
      </w:r>
      <w:r w:rsidRPr="009C657F">
        <w:rPr>
          <w:rFonts w:ascii="Traditional Arabic" w:hAnsi="Traditional Arabic"/>
          <w:rtl/>
        </w:rPr>
        <w:t>100</w:t>
      </w:r>
    </w:p>
    <w:p w:rsidR="009652A2" w:rsidRPr="009C657F" w:rsidRDefault="009652A2" w:rsidP="009652A2">
      <w:pPr>
        <w:bidi w:val="0"/>
        <w:ind w:firstLine="0"/>
        <w:rPr>
          <w:rFonts w:ascii="Traditional Arabic" w:hAnsi="Traditional Arabic"/>
        </w:rPr>
      </w:pPr>
      <w:r w:rsidRPr="009C657F">
        <w:rPr>
          <w:rFonts w:ascii="Traditional Arabic" w:hAnsi="Traditional Arabic"/>
          <w:color w:val="auto"/>
          <w:rtl/>
        </w:rPr>
        <w:t>حميد بن قيس الأعرج</w:t>
      </w:r>
      <w:r w:rsidRPr="009C657F">
        <w:rPr>
          <w:rFonts w:ascii="Traditional Arabic" w:hAnsi="Traditional Arabic"/>
          <w:color w:val="auto"/>
          <w:rtl/>
          <w:lang w:eastAsia="en-US"/>
        </w:rPr>
        <w:t xml:space="preserve"> المكيُّ</w:t>
      </w:r>
      <w:r>
        <w:rPr>
          <w:rFonts w:ascii="Traditional Arabic" w:hAnsi="Traditional Arabic" w:hint="cs"/>
          <w:rtl/>
        </w:rPr>
        <w:t xml:space="preserve"> = </w:t>
      </w:r>
      <w:r w:rsidRPr="009C657F">
        <w:rPr>
          <w:rFonts w:ascii="Traditional Arabic" w:hAnsi="Traditional Arabic"/>
          <w:color w:val="auto"/>
          <w:rtl/>
        </w:rPr>
        <w:t>أبو صفوان</w:t>
      </w:r>
      <w:r w:rsidRPr="009C657F">
        <w:rPr>
          <w:rFonts w:ascii="Traditional Arabic" w:hAnsi="Traditional Arabic"/>
          <w:rtl/>
        </w:rPr>
        <w:t>......................................... 130</w:t>
      </w:r>
    </w:p>
    <w:p w:rsidR="009652A2" w:rsidRPr="009C657F" w:rsidRDefault="009652A2" w:rsidP="009652A2">
      <w:pPr>
        <w:bidi w:val="0"/>
        <w:ind w:firstLine="0"/>
        <w:rPr>
          <w:rFonts w:ascii="Traditional Arabic" w:hAnsi="Traditional Arabic"/>
        </w:rPr>
      </w:pPr>
      <w:r w:rsidRPr="009C657F">
        <w:rPr>
          <w:rFonts w:ascii="Traditional Arabic" w:hAnsi="Traditional Arabic"/>
          <w:rtl/>
        </w:rPr>
        <w:t>خلاد بن خالد الشيباني مولاهم الصيرفي........................................... 134</w:t>
      </w:r>
    </w:p>
    <w:p w:rsidR="009652A2" w:rsidRPr="009C657F" w:rsidRDefault="009652A2" w:rsidP="009652A2">
      <w:pPr>
        <w:bidi w:val="0"/>
        <w:ind w:firstLine="0"/>
        <w:rPr>
          <w:rFonts w:ascii="Traditional Arabic" w:hAnsi="Traditional Arabic"/>
        </w:rPr>
      </w:pPr>
      <w:r w:rsidRPr="009C657F">
        <w:rPr>
          <w:rFonts w:ascii="Traditional Arabic" w:eastAsia="Calibri" w:hAnsi="Traditional Arabic"/>
          <w:color w:val="auto"/>
          <w:rtl/>
          <w:lang w:eastAsia="en-US"/>
        </w:rPr>
        <w:t xml:space="preserve">خلف بن هشام بن ثعلب الأسديُّ </w:t>
      </w:r>
      <w:r w:rsidRPr="009C657F">
        <w:rPr>
          <w:rFonts w:ascii="Traditional Arabic" w:hAnsi="Traditional Arabic"/>
          <w:rtl/>
        </w:rPr>
        <w:t>............................</w:t>
      </w:r>
      <w:r>
        <w:rPr>
          <w:rFonts w:ascii="Traditional Arabic" w:hAnsi="Traditional Arabic" w:hint="cs"/>
          <w:rtl/>
        </w:rPr>
        <w:t>.</w:t>
      </w:r>
      <w:r w:rsidRPr="009C657F">
        <w:rPr>
          <w:rFonts w:ascii="Traditional Arabic" w:hAnsi="Traditional Arabic"/>
          <w:rtl/>
        </w:rPr>
        <w:t>................. 134</w:t>
      </w:r>
    </w:p>
    <w:p w:rsidR="009652A2" w:rsidRPr="009C657F" w:rsidRDefault="009652A2" w:rsidP="009652A2">
      <w:pPr>
        <w:bidi w:val="0"/>
        <w:ind w:firstLine="0"/>
        <w:rPr>
          <w:rFonts w:ascii="Traditional Arabic" w:hAnsi="Traditional Arabic"/>
        </w:rPr>
      </w:pPr>
      <w:r w:rsidRPr="009C657F">
        <w:rPr>
          <w:rFonts w:ascii="Traditional Arabic" w:hAnsi="Traditional Arabic"/>
          <w:color w:val="auto"/>
          <w:rtl/>
        </w:rPr>
        <w:t>الخليل بن أحمد بن عمرو الفراهيدي............................................... 232</w:t>
      </w:r>
      <w:r w:rsidRPr="009C657F">
        <w:rPr>
          <w:rFonts w:ascii="Traditional Arabic" w:hAnsi="Traditional Arabic"/>
          <w:color w:val="auto"/>
          <w:rtl/>
          <w:lang w:eastAsia="en-US"/>
        </w:rPr>
        <w:t xml:space="preserve"> </w:t>
      </w:r>
    </w:p>
    <w:p w:rsidR="009652A2" w:rsidRPr="009C657F" w:rsidRDefault="009652A2" w:rsidP="009652A2">
      <w:pPr>
        <w:bidi w:val="0"/>
        <w:ind w:firstLine="0"/>
        <w:rPr>
          <w:rFonts w:ascii="Traditional Arabic" w:hAnsi="Traditional Arabic"/>
          <w:rtl/>
        </w:rPr>
      </w:pPr>
      <w:r w:rsidRPr="009C657F">
        <w:rPr>
          <w:rFonts w:ascii="Traditional Arabic" w:hAnsi="Traditional Arabic"/>
          <w:rtl/>
        </w:rPr>
        <w:t>خويلد بن خَالِد الهذليّ</w:t>
      </w:r>
      <w:r>
        <w:rPr>
          <w:rFonts w:ascii="Traditional Arabic" w:hAnsi="Traditional Arabic" w:hint="cs"/>
          <w:rtl/>
        </w:rPr>
        <w:t xml:space="preserve"> = </w:t>
      </w:r>
      <w:r w:rsidRPr="009C657F">
        <w:rPr>
          <w:rFonts w:ascii="Traditional Arabic" w:hAnsi="Traditional Arabic"/>
          <w:rtl/>
        </w:rPr>
        <w:t>أَبُو ذُؤَيْب...................................</w:t>
      </w:r>
      <w:r>
        <w:rPr>
          <w:rFonts w:ascii="Traditional Arabic" w:hAnsi="Traditional Arabic" w:hint="cs"/>
          <w:rtl/>
        </w:rPr>
        <w:t>.</w:t>
      </w:r>
      <w:r w:rsidRPr="009C657F">
        <w:rPr>
          <w:rFonts w:ascii="Traditional Arabic" w:hAnsi="Traditional Arabic"/>
          <w:rtl/>
        </w:rPr>
        <w:t>.......... 210</w:t>
      </w:r>
    </w:p>
    <w:p w:rsidR="009652A2" w:rsidRPr="009C657F" w:rsidRDefault="009652A2" w:rsidP="009652A2">
      <w:pPr>
        <w:bidi w:val="0"/>
        <w:ind w:firstLine="0"/>
        <w:rPr>
          <w:rFonts w:ascii="Traditional Arabic" w:hAnsi="Traditional Arabic"/>
        </w:rPr>
      </w:pPr>
      <w:r w:rsidRPr="009C657F">
        <w:rPr>
          <w:rFonts w:ascii="Traditional Arabic" w:hAnsi="Traditional Arabic"/>
          <w:color w:val="auto"/>
          <w:rtl/>
          <w:lang w:eastAsia="en-US"/>
        </w:rPr>
        <w:t>الربيع بن أنس بن زياد البَكْرِيُّ..................................................... 93</w:t>
      </w:r>
    </w:p>
    <w:p w:rsidR="009652A2" w:rsidRPr="009C657F" w:rsidRDefault="009652A2" w:rsidP="009652A2">
      <w:pPr>
        <w:bidi w:val="0"/>
        <w:ind w:firstLine="0"/>
        <w:rPr>
          <w:rFonts w:ascii="Traditional Arabic" w:hAnsi="Traditional Arabic"/>
        </w:rPr>
      </w:pPr>
      <w:r w:rsidRPr="009C657F">
        <w:rPr>
          <w:rFonts w:ascii="Traditional Arabic" w:hAnsi="Traditional Arabic"/>
          <w:color w:val="auto"/>
          <w:rtl/>
          <w:lang w:eastAsia="en-US"/>
        </w:rPr>
        <w:t>رفيع بن مهران الرياحي</w:t>
      </w:r>
      <w:r>
        <w:rPr>
          <w:rFonts w:ascii="Traditional Arabic" w:hAnsi="Traditional Arabic" w:hint="cs"/>
          <w:color w:val="auto"/>
          <w:rtl/>
          <w:lang w:eastAsia="en-US"/>
        </w:rPr>
        <w:t xml:space="preserve"> = </w:t>
      </w:r>
      <w:r w:rsidRPr="009C657F">
        <w:rPr>
          <w:rFonts w:ascii="Traditional Arabic" w:hAnsi="Traditional Arabic"/>
          <w:color w:val="auto"/>
          <w:rtl/>
          <w:lang w:eastAsia="en-US"/>
        </w:rPr>
        <w:t>أبو العالية</w:t>
      </w:r>
      <w:r>
        <w:rPr>
          <w:rFonts w:ascii="Traditional Arabic" w:hAnsi="Traditional Arabic"/>
          <w:color w:val="auto"/>
          <w:rtl/>
          <w:lang w:eastAsia="en-US"/>
        </w:rPr>
        <w:t>..............</w:t>
      </w:r>
      <w:r w:rsidRPr="009C657F">
        <w:rPr>
          <w:rFonts w:ascii="Traditional Arabic" w:hAnsi="Traditional Arabic"/>
          <w:color w:val="auto"/>
          <w:rtl/>
          <w:lang w:eastAsia="en-US"/>
        </w:rPr>
        <w:t>................</w:t>
      </w:r>
      <w:r>
        <w:rPr>
          <w:rFonts w:ascii="Traditional Arabic" w:hAnsi="Traditional Arabic" w:hint="cs"/>
          <w:color w:val="auto"/>
          <w:rtl/>
          <w:lang w:eastAsia="en-US"/>
        </w:rPr>
        <w:t>..</w:t>
      </w:r>
      <w:r w:rsidRPr="009C657F">
        <w:rPr>
          <w:rFonts w:ascii="Traditional Arabic" w:hAnsi="Traditional Arabic"/>
          <w:color w:val="auto"/>
          <w:rtl/>
          <w:lang w:eastAsia="en-US"/>
        </w:rPr>
        <w:t>.............. 113</w:t>
      </w:r>
    </w:p>
    <w:p w:rsidR="009652A2" w:rsidRPr="009C657F" w:rsidRDefault="009652A2" w:rsidP="009652A2">
      <w:pPr>
        <w:bidi w:val="0"/>
        <w:ind w:firstLine="0"/>
        <w:rPr>
          <w:rFonts w:ascii="Traditional Arabic" w:hAnsi="Traditional Arabic"/>
        </w:rPr>
      </w:pPr>
      <w:r w:rsidRPr="009C657F">
        <w:rPr>
          <w:rFonts w:ascii="Traditional Arabic" w:hAnsi="Traditional Arabic"/>
          <w:rtl/>
        </w:rPr>
        <w:t>الزبير بن العوام بن خويلد بن أسد القرشي........................................... 90</w:t>
      </w:r>
    </w:p>
    <w:p w:rsidR="009652A2" w:rsidRPr="009C657F" w:rsidRDefault="009652A2" w:rsidP="009652A2">
      <w:pPr>
        <w:bidi w:val="0"/>
        <w:ind w:firstLine="0"/>
        <w:rPr>
          <w:rFonts w:ascii="Traditional Arabic" w:hAnsi="Traditional Arabic"/>
          <w:rtl/>
        </w:rPr>
      </w:pPr>
      <w:r w:rsidRPr="009C657F">
        <w:rPr>
          <w:rFonts w:ascii="Traditional Arabic" w:hAnsi="Traditional Arabic"/>
          <w:rtl/>
        </w:rPr>
        <w:t>زهير بن أبي سلمى المزني......................................................... 192</w:t>
      </w:r>
    </w:p>
    <w:p w:rsidR="009652A2" w:rsidRPr="009C657F" w:rsidRDefault="009652A2" w:rsidP="009652A2">
      <w:pPr>
        <w:bidi w:val="0"/>
        <w:ind w:firstLine="0"/>
        <w:rPr>
          <w:rFonts w:ascii="Traditional Arabic" w:hAnsi="Traditional Arabic"/>
          <w:rtl/>
        </w:rPr>
      </w:pPr>
      <w:r w:rsidRPr="009C657F">
        <w:rPr>
          <w:rFonts w:ascii="Traditional Arabic" w:hAnsi="Traditional Arabic"/>
          <w:rtl/>
        </w:rPr>
        <w:lastRenderedPageBreak/>
        <w:t>زياد بن معاوية بن ضباب الذبيانيّ</w:t>
      </w:r>
      <w:r>
        <w:rPr>
          <w:rFonts w:ascii="Traditional Arabic" w:hAnsi="Traditional Arabic" w:hint="cs"/>
          <w:rtl/>
        </w:rPr>
        <w:t xml:space="preserve"> = </w:t>
      </w:r>
      <w:r w:rsidRPr="009C657F">
        <w:rPr>
          <w:rFonts w:ascii="Traditional Arabic" w:hAnsi="Traditional Arabic"/>
          <w:rtl/>
        </w:rPr>
        <w:t>أبو أمامة.......................</w:t>
      </w:r>
      <w:r>
        <w:rPr>
          <w:rFonts w:ascii="Traditional Arabic" w:hAnsi="Traditional Arabic" w:hint="cs"/>
          <w:rtl/>
        </w:rPr>
        <w:t>.</w:t>
      </w:r>
      <w:r w:rsidRPr="009C657F">
        <w:rPr>
          <w:rFonts w:ascii="Traditional Arabic" w:hAnsi="Traditional Arabic"/>
          <w:rtl/>
        </w:rPr>
        <w:t>............. 127</w:t>
      </w:r>
    </w:p>
    <w:p w:rsidR="009652A2" w:rsidRPr="009C657F" w:rsidRDefault="009652A2" w:rsidP="009652A2">
      <w:pPr>
        <w:bidi w:val="0"/>
        <w:ind w:firstLine="0"/>
        <w:rPr>
          <w:rFonts w:ascii="Traditional Arabic" w:hAnsi="Traditional Arabic"/>
        </w:rPr>
      </w:pPr>
      <w:r w:rsidRPr="009C657F">
        <w:rPr>
          <w:rFonts w:ascii="Traditional Arabic" w:hAnsi="Traditional Arabic"/>
          <w:color w:val="auto"/>
          <w:rtl/>
          <w:lang w:eastAsia="en-US"/>
        </w:rPr>
        <w:t>زيد بن أسلم العدوي......</w:t>
      </w:r>
      <w:r>
        <w:rPr>
          <w:rFonts w:ascii="Traditional Arabic" w:hAnsi="Traditional Arabic" w:hint="cs"/>
          <w:color w:val="auto"/>
          <w:rtl/>
          <w:lang w:eastAsia="en-US"/>
        </w:rPr>
        <w:t>..........</w:t>
      </w:r>
      <w:r w:rsidRPr="009C657F">
        <w:rPr>
          <w:rFonts w:ascii="Traditional Arabic" w:hAnsi="Traditional Arabic"/>
          <w:color w:val="auto"/>
          <w:rtl/>
          <w:lang w:eastAsia="en-US"/>
        </w:rPr>
        <w:t>........................................... 110</w:t>
      </w:r>
    </w:p>
    <w:p w:rsidR="009652A2" w:rsidRPr="009C657F" w:rsidRDefault="009652A2" w:rsidP="009652A2">
      <w:pPr>
        <w:bidi w:val="0"/>
        <w:ind w:firstLine="0"/>
        <w:rPr>
          <w:rFonts w:ascii="Traditional Arabic" w:hAnsi="Traditional Arabic"/>
        </w:rPr>
      </w:pPr>
      <w:r w:rsidRPr="009C657F">
        <w:rPr>
          <w:rFonts w:ascii="Traditional Arabic" w:eastAsia="Calibri" w:hAnsi="Traditional Arabic"/>
          <w:color w:val="auto"/>
          <w:spacing w:val="4"/>
          <w:rtl/>
          <w:lang w:val="x-none" w:eastAsia="x-none"/>
        </w:rPr>
        <w:t>زيد بن عمرو بن نفيل القرشيُّ العدويُّ</w:t>
      </w:r>
      <w:r w:rsidRPr="009C657F">
        <w:rPr>
          <w:rFonts w:ascii="Traditional Arabic" w:hAnsi="Traditional Arabic"/>
          <w:rtl/>
        </w:rPr>
        <w:t>........................................... 158</w:t>
      </w:r>
    </w:p>
    <w:p w:rsidR="009652A2" w:rsidRPr="009C657F" w:rsidRDefault="009652A2" w:rsidP="009652A2">
      <w:pPr>
        <w:bidi w:val="0"/>
        <w:ind w:firstLine="0"/>
        <w:rPr>
          <w:rFonts w:ascii="Traditional Arabic" w:hAnsi="Traditional Arabic"/>
          <w:rtl/>
        </w:rPr>
      </w:pPr>
      <w:r w:rsidRPr="009C657F">
        <w:rPr>
          <w:rFonts w:ascii="Traditional Arabic" w:hAnsi="Traditional Arabic"/>
          <w:rtl/>
        </w:rPr>
        <w:t xml:space="preserve">سعد بن مالك </w:t>
      </w:r>
      <w:r>
        <w:rPr>
          <w:rFonts w:ascii="Traditional Arabic" w:hAnsi="Traditional Arabic" w:hint="cs"/>
          <w:rtl/>
        </w:rPr>
        <w:t xml:space="preserve"> = أبو سعيد </w:t>
      </w:r>
      <w:r w:rsidRPr="009C657F">
        <w:rPr>
          <w:rFonts w:ascii="Traditional Arabic" w:hAnsi="Traditional Arabic"/>
          <w:rtl/>
        </w:rPr>
        <w:t>الخُدْرِيُّ.............................................. 207</w:t>
      </w:r>
    </w:p>
    <w:p w:rsidR="009652A2" w:rsidRPr="009C657F" w:rsidRDefault="009652A2" w:rsidP="009652A2">
      <w:pPr>
        <w:bidi w:val="0"/>
        <w:ind w:firstLine="0"/>
        <w:rPr>
          <w:rFonts w:ascii="Traditional Arabic" w:eastAsia="Calibri" w:hAnsi="Traditional Arabic"/>
          <w:color w:val="auto"/>
          <w:rtl/>
          <w:lang w:eastAsia="en-US"/>
        </w:rPr>
      </w:pPr>
      <w:r w:rsidRPr="009C657F">
        <w:rPr>
          <w:rFonts w:ascii="Traditional Arabic" w:eastAsia="Calibri" w:hAnsi="Traditional Arabic"/>
          <w:color w:val="auto"/>
          <w:rtl/>
          <w:lang w:eastAsia="en-US"/>
        </w:rPr>
        <w:t>سعد بن مالك بن وهيب القرشيّ................................................. 156</w:t>
      </w:r>
    </w:p>
    <w:p w:rsidR="009652A2" w:rsidRPr="009C657F" w:rsidRDefault="009652A2" w:rsidP="009652A2">
      <w:pPr>
        <w:bidi w:val="0"/>
        <w:ind w:firstLine="0"/>
        <w:rPr>
          <w:rFonts w:ascii="Traditional Arabic" w:hAnsi="Traditional Arabic"/>
        </w:rPr>
      </w:pPr>
      <w:r w:rsidRPr="009C657F">
        <w:rPr>
          <w:rFonts w:ascii="Traditional Arabic" w:hAnsi="Traditional Arabic"/>
          <w:color w:val="auto"/>
          <w:rtl/>
          <w:lang w:eastAsia="en-US"/>
        </w:rPr>
        <w:t xml:space="preserve">سعيد بن المسيب بن حزن القرشي.................................................. 95 </w:t>
      </w:r>
    </w:p>
    <w:p w:rsidR="009652A2" w:rsidRPr="009C657F" w:rsidRDefault="009652A2" w:rsidP="009652A2">
      <w:pPr>
        <w:bidi w:val="0"/>
        <w:ind w:firstLine="0"/>
        <w:rPr>
          <w:rFonts w:ascii="Traditional Arabic" w:hAnsi="Traditional Arabic"/>
        </w:rPr>
      </w:pPr>
      <w:r w:rsidRPr="009C657F">
        <w:rPr>
          <w:rFonts w:ascii="Traditional Arabic" w:hAnsi="Traditional Arabic"/>
          <w:color w:val="auto"/>
          <w:rtl/>
          <w:lang w:eastAsia="en-US"/>
        </w:rPr>
        <w:t>سعيد بن أوس بن ثابت الأنصاري................................................ 102</w:t>
      </w:r>
    </w:p>
    <w:p w:rsidR="009652A2" w:rsidRPr="009C657F" w:rsidRDefault="009652A2" w:rsidP="009652A2">
      <w:pPr>
        <w:bidi w:val="0"/>
        <w:ind w:firstLine="0"/>
        <w:rPr>
          <w:rFonts w:ascii="Traditional Arabic" w:hAnsi="Traditional Arabic"/>
        </w:rPr>
      </w:pPr>
      <w:r w:rsidRPr="009C657F">
        <w:rPr>
          <w:rFonts w:ascii="Traditional Arabic" w:hAnsi="Traditional Arabic"/>
          <w:rtl/>
        </w:rPr>
        <w:t>سعيد بن جبير بن هشام الأسدي.................................................. 89</w:t>
      </w:r>
    </w:p>
    <w:p w:rsidR="009652A2" w:rsidRPr="009C657F" w:rsidRDefault="009652A2" w:rsidP="009652A2">
      <w:pPr>
        <w:bidi w:val="0"/>
        <w:ind w:firstLine="0"/>
        <w:rPr>
          <w:rFonts w:ascii="Traditional Arabic" w:hAnsi="Traditional Arabic"/>
          <w:color w:val="auto"/>
          <w:rtl/>
        </w:rPr>
      </w:pPr>
      <w:r w:rsidRPr="009C657F">
        <w:rPr>
          <w:rFonts w:ascii="Traditional Arabic" w:hAnsi="Traditional Arabic"/>
          <w:color w:val="auto"/>
          <w:rtl/>
        </w:rPr>
        <w:t>سعيد بن عبد العزيز بن أَبي يحيى التنوخي.......................................... 276</w:t>
      </w:r>
    </w:p>
    <w:p w:rsidR="009652A2" w:rsidRPr="009C657F" w:rsidRDefault="009652A2" w:rsidP="009652A2">
      <w:pPr>
        <w:bidi w:val="0"/>
        <w:ind w:firstLine="0"/>
        <w:rPr>
          <w:rFonts w:ascii="Traditional Arabic" w:hAnsi="Traditional Arabic"/>
        </w:rPr>
      </w:pPr>
      <w:r w:rsidRPr="009C657F">
        <w:rPr>
          <w:rFonts w:ascii="Traditional Arabic" w:hAnsi="Traditional Arabic"/>
          <w:rtl/>
          <w:lang w:eastAsia="en-US"/>
        </w:rPr>
        <w:t>سعيد بن مسعدة المجاشعي, المعروف بالأخفش الأوسط</w:t>
      </w:r>
      <w:r w:rsidRPr="009C657F">
        <w:rPr>
          <w:rFonts w:ascii="Traditional Arabic" w:hAnsi="Traditional Arabic"/>
          <w:rtl/>
        </w:rPr>
        <w:t>............................... 91</w:t>
      </w:r>
    </w:p>
    <w:p w:rsidR="009652A2" w:rsidRPr="009C657F" w:rsidRDefault="009652A2" w:rsidP="009652A2">
      <w:pPr>
        <w:bidi w:val="0"/>
        <w:ind w:firstLine="0"/>
        <w:rPr>
          <w:rFonts w:ascii="Traditional Arabic" w:hAnsi="Traditional Arabic"/>
          <w:rtl/>
        </w:rPr>
      </w:pPr>
      <w:r w:rsidRPr="009C657F">
        <w:rPr>
          <w:rFonts w:ascii="Traditional Arabic" w:hAnsi="Traditional Arabic"/>
          <w:rtl/>
        </w:rPr>
        <w:t>سفيان بن سعيد بن مسروق الثوري............................................... 195</w:t>
      </w:r>
    </w:p>
    <w:p w:rsidR="009652A2" w:rsidRPr="009C657F" w:rsidRDefault="009652A2" w:rsidP="009652A2">
      <w:pPr>
        <w:bidi w:val="0"/>
        <w:ind w:firstLine="0"/>
        <w:rPr>
          <w:rFonts w:ascii="Traditional Arabic" w:hAnsi="Traditional Arabic"/>
        </w:rPr>
      </w:pPr>
      <w:r w:rsidRPr="009C657F">
        <w:rPr>
          <w:rFonts w:ascii="Traditional Arabic" w:hAnsi="Traditional Arabic"/>
          <w:color w:val="auto"/>
          <w:rtl/>
        </w:rPr>
        <w:t>سفيان بن عُيَيْنَةَ بن أبي عمران الهلالي............................................. 303</w:t>
      </w:r>
    </w:p>
    <w:p w:rsidR="009652A2" w:rsidRPr="009C657F" w:rsidRDefault="009652A2" w:rsidP="009652A2">
      <w:pPr>
        <w:bidi w:val="0"/>
        <w:ind w:firstLine="0"/>
        <w:rPr>
          <w:rFonts w:ascii="Traditional Arabic" w:hAnsi="Traditional Arabic"/>
        </w:rPr>
      </w:pPr>
      <w:r w:rsidRPr="009C657F">
        <w:rPr>
          <w:rFonts w:ascii="Traditional Arabic" w:hAnsi="Traditional Arabic"/>
          <w:color w:val="auto"/>
          <w:spacing w:val="4"/>
          <w:rtl/>
        </w:rPr>
        <w:t>سلمان الفارسي</w:t>
      </w:r>
      <w:r w:rsidRPr="009C657F">
        <w:rPr>
          <w:rFonts w:ascii="Traditional Arabic" w:hAnsi="Traditional Arabic"/>
          <w:rtl/>
        </w:rPr>
        <w:t>................................................................ 129</w:t>
      </w:r>
    </w:p>
    <w:p w:rsidR="009652A2" w:rsidRPr="009C657F" w:rsidRDefault="009652A2" w:rsidP="009652A2">
      <w:pPr>
        <w:bidi w:val="0"/>
        <w:ind w:firstLine="0"/>
        <w:rPr>
          <w:rFonts w:ascii="Traditional Arabic" w:hAnsi="Traditional Arabic"/>
          <w:rtl/>
        </w:rPr>
      </w:pPr>
      <w:r w:rsidRPr="009C657F">
        <w:rPr>
          <w:rFonts w:ascii="Traditional Arabic" w:hAnsi="Traditional Arabic"/>
          <w:rtl/>
        </w:rPr>
        <w:t>سليم بن عيسى بن سليم الحنفي مولاهم الكوفي.................................... 134</w:t>
      </w:r>
    </w:p>
    <w:p w:rsidR="009652A2" w:rsidRPr="009C657F" w:rsidRDefault="009652A2" w:rsidP="009652A2">
      <w:pPr>
        <w:bidi w:val="0"/>
        <w:ind w:firstLine="0"/>
        <w:rPr>
          <w:rFonts w:ascii="Traditional Arabic" w:hAnsi="Traditional Arabic"/>
        </w:rPr>
      </w:pPr>
      <w:r w:rsidRPr="009C657F">
        <w:rPr>
          <w:rFonts w:ascii="Traditional Arabic" w:hAnsi="Traditional Arabic"/>
          <w:rtl/>
        </w:rPr>
        <w:t>سليمان بن الأشعث السجستاني</w:t>
      </w:r>
      <w:r>
        <w:rPr>
          <w:rFonts w:ascii="Traditional Arabic" w:hAnsi="Traditional Arabic" w:hint="cs"/>
          <w:rtl/>
        </w:rPr>
        <w:t xml:space="preserve"> = </w:t>
      </w:r>
      <w:r w:rsidRPr="009C657F">
        <w:rPr>
          <w:rFonts w:ascii="Traditional Arabic" w:hAnsi="Traditional Arabic"/>
          <w:rtl/>
        </w:rPr>
        <w:t>أبو داود</w:t>
      </w:r>
      <w:r>
        <w:rPr>
          <w:rFonts w:ascii="Traditional Arabic" w:hAnsi="Traditional Arabic" w:hint="cs"/>
          <w:rtl/>
        </w:rPr>
        <w:t>.</w:t>
      </w:r>
      <w:r w:rsidRPr="009C657F">
        <w:rPr>
          <w:rFonts w:ascii="Traditional Arabic" w:hAnsi="Traditional Arabic"/>
          <w:rtl/>
        </w:rPr>
        <w:t>...................................... 151</w:t>
      </w:r>
    </w:p>
    <w:p w:rsidR="009652A2" w:rsidRPr="009C657F" w:rsidRDefault="009652A2" w:rsidP="009652A2">
      <w:pPr>
        <w:bidi w:val="0"/>
        <w:ind w:firstLine="0"/>
        <w:rPr>
          <w:rFonts w:ascii="Traditional Arabic" w:hAnsi="Traditional Arabic"/>
          <w:rtl/>
        </w:rPr>
      </w:pPr>
      <w:r w:rsidRPr="009C657F">
        <w:rPr>
          <w:rFonts w:ascii="Traditional Arabic" w:hAnsi="Traditional Arabic"/>
          <w:rtl/>
        </w:rPr>
        <w:t>سليمان بن مهران الأسديُّ مولاهم، الأعمش...................................... 165</w:t>
      </w:r>
    </w:p>
    <w:p w:rsidR="009652A2" w:rsidRPr="009C657F" w:rsidRDefault="009652A2" w:rsidP="009652A2">
      <w:pPr>
        <w:bidi w:val="0"/>
        <w:ind w:firstLine="0"/>
        <w:rPr>
          <w:rFonts w:ascii="Traditional Arabic" w:hAnsi="Traditional Arabic"/>
          <w:rtl/>
        </w:rPr>
      </w:pPr>
      <w:r w:rsidRPr="009C657F">
        <w:rPr>
          <w:rFonts w:ascii="Traditional Arabic" w:hAnsi="Traditional Arabic"/>
          <w:rtl/>
        </w:rPr>
        <w:t>شبل بن عباد المكي, الأموي..................................................... 295</w:t>
      </w:r>
    </w:p>
    <w:p w:rsidR="009652A2" w:rsidRPr="009C657F" w:rsidRDefault="009652A2" w:rsidP="009652A2">
      <w:pPr>
        <w:bidi w:val="0"/>
        <w:ind w:firstLine="0"/>
        <w:rPr>
          <w:rFonts w:ascii="Traditional Arabic" w:hAnsi="Traditional Arabic"/>
          <w:rtl/>
        </w:rPr>
      </w:pPr>
      <w:r w:rsidRPr="009C657F">
        <w:rPr>
          <w:rFonts w:ascii="Traditional Arabic" w:hAnsi="Traditional Arabic"/>
          <w:color w:val="auto"/>
          <w:rtl/>
          <w:lang w:eastAsia="en-US"/>
        </w:rPr>
        <w:t>شعبة بن عياش بن سالم الحنَّاط الأسدي</w:t>
      </w:r>
      <w:r w:rsidRPr="009C657F">
        <w:rPr>
          <w:rFonts w:ascii="Traditional Arabic" w:hAnsi="Traditional Arabic"/>
          <w:rtl/>
        </w:rPr>
        <w:t>.......................................... 114</w:t>
      </w:r>
    </w:p>
    <w:p w:rsidR="009652A2" w:rsidRPr="009C657F" w:rsidRDefault="009652A2" w:rsidP="009652A2">
      <w:pPr>
        <w:bidi w:val="0"/>
        <w:ind w:firstLine="0"/>
        <w:rPr>
          <w:rFonts w:ascii="Traditional Arabic" w:hAnsi="Traditional Arabic"/>
        </w:rPr>
      </w:pPr>
      <w:r w:rsidRPr="009C657F">
        <w:rPr>
          <w:rFonts w:ascii="Traditional Arabic" w:hAnsi="Traditional Arabic"/>
          <w:rtl/>
        </w:rPr>
        <w:t>شعيب بن الأسود البجلي, الجبائي................................................ 195</w:t>
      </w:r>
    </w:p>
    <w:p w:rsidR="009652A2" w:rsidRPr="009C657F" w:rsidRDefault="009652A2" w:rsidP="009652A2">
      <w:pPr>
        <w:bidi w:val="0"/>
        <w:ind w:firstLine="0"/>
        <w:rPr>
          <w:rFonts w:ascii="Traditional Arabic" w:hAnsi="Traditional Arabic"/>
          <w:rtl/>
        </w:rPr>
      </w:pPr>
      <w:r w:rsidRPr="009C657F">
        <w:rPr>
          <w:rFonts w:ascii="Traditional Arabic" w:hAnsi="Traditional Arabic"/>
          <w:rtl/>
        </w:rPr>
        <w:t>شقيق بن سلمة الأسدي الكوفي</w:t>
      </w:r>
      <w:r>
        <w:rPr>
          <w:rFonts w:ascii="Traditional Arabic" w:hAnsi="Traditional Arabic" w:hint="cs"/>
          <w:rtl/>
        </w:rPr>
        <w:t xml:space="preserve"> = </w:t>
      </w:r>
      <w:r w:rsidRPr="009C657F">
        <w:rPr>
          <w:rFonts w:ascii="Traditional Arabic" w:hAnsi="Traditional Arabic"/>
          <w:rtl/>
        </w:rPr>
        <w:t>أبو وائل</w:t>
      </w:r>
      <w:r>
        <w:rPr>
          <w:rFonts w:ascii="Traditional Arabic" w:hAnsi="Traditional Arabic"/>
          <w:rtl/>
        </w:rPr>
        <w:t>.......</w:t>
      </w:r>
      <w:r w:rsidRPr="009C657F">
        <w:rPr>
          <w:rFonts w:ascii="Traditional Arabic" w:hAnsi="Traditional Arabic"/>
          <w:rtl/>
        </w:rPr>
        <w:t>......................... 129</w:t>
      </w:r>
      <w:r>
        <w:rPr>
          <w:rFonts w:ascii="Traditional Arabic" w:hAnsi="Traditional Arabic" w:hint="cs"/>
          <w:rtl/>
        </w:rPr>
        <w:t>, 275</w:t>
      </w:r>
    </w:p>
    <w:p w:rsidR="009652A2" w:rsidRPr="009C657F" w:rsidRDefault="009652A2" w:rsidP="009652A2">
      <w:pPr>
        <w:bidi w:val="0"/>
        <w:ind w:firstLine="0"/>
        <w:rPr>
          <w:rFonts w:ascii="Traditional Arabic" w:hAnsi="Traditional Arabic"/>
        </w:rPr>
      </w:pPr>
      <w:r w:rsidRPr="009C657F">
        <w:rPr>
          <w:rFonts w:ascii="Traditional Arabic" w:hAnsi="Traditional Arabic"/>
          <w:color w:val="auto"/>
          <w:rtl/>
          <w:lang w:eastAsia="en-US"/>
        </w:rPr>
        <w:t>شيبة بن نصاح بن سرجس بن يعقوب</w:t>
      </w:r>
      <w:r w:rsidRPr="009C657F">
        <w:rPr>
          <w:rFonts w:ascii="Traditional Arabic" w:hAnsi="Traditional Arabic"/>
          <w:rtl/>
        </w:rPr>
        <w:t>............................................ 107</w:t>
      </w:r>
    </w:p>
    <w:p w:rsidR="009652A2" w:rsidRPr="009C657F" w:rsidRDefault="009652A2" w:rsidP="009652A2">
      <w:pPr>
        <w:bidi w:val="0"/>
        <w:ind w:firstLine="0"/>
        <w:rPr>
          <w:rFonts w:ascii="Traditional Arabic" w:hAnsi="Traditional Arabic"/>
          <w:color w:val="auto"/>
          <w:rtl/>
          <w:lang w:eastAsia="en-US"/>
        </w:rPr>
      </w:pPr>
      <w:r w:rsidRPr="009C657F">
        <w:rPr>
          <w:rFonts w:ascii="Traditional Arabic" w:hAnsi="Traditional Arabic"/>
          <w:color w:val="auto"/>
          <w:rtl/>
          <w:lang w:eastAsia="en-US"/>
        </w:rPr>
        <w:t>صفوان بن عَسَّالٍ الْمُرَادِيُّ....................................................... 151</w:t>
      </w:r>
    </w:p>
    <w:p w:rsidR="009652A2" w:rsidRPr="009C657F" w:rsidRDefault="009652A2" w:rsidP="009652A2">
      <w:pPr>
        <w:bidi w:val="0"/>
        <w:ind w:firstLine="0"/>
        <w:rPr>
          <w:rFonts w:ascii="Traditional Arabic" w:hAnsi="Traditional Arabic"/>
        </w:rPr>
      </w:pPr>
      <w:r w:rsidRPr="009C657F">
        <w:rPr>
          <w:rFonts w:ascii="Traditional Arabic" w:hAnsi="Traditional Arabic"/>
          <w:color w:val="auto"/>
          <w:rtl/>
          <w:lang w:eastAsia="en-US"/>
        </w:rPr>
        <w:t xml:space="preserve">الضحاك بن مزاحم الهلالي....................................................... 110 </w:t>
      </w:r>
    </w:p>
    <w:p w:rsidR="009652A2" w:rsidRPr="009C657F" w:rsidRDefault="009652A2" w:rsidP="009652A2">
      <w:pPr>
        <w:bidi w:val="0"/>
        <w:ind w:firstLine="0"/>
        <w:rPr>
          <w:rFonts w:ascii="Traditional Arabic" w:hAnsi="Traditional Arabic"/>
          <w:rtl/>
        </w:rPr>
      </w:pPr>
      <w:r w:rsidRPr="009C657F">
        <w:rPr>
          <w:rFonts w:ascii="Traditional Arabic" w:hAnsi="Traditional Arabic"/>
          <w:rtl/>
        </w:rPr>
        <w:t>طاووس بن كيسان الخولاني, اليماني............................................... 199</w:t>
      </w:r>
    </w:p>
    <w:p w:rsidR="009652A2" w:rsidRPr="009C657F" w:rsidRDefault="009652A2" w:rsidP="009652A2">
      <w:pPr>
        <w:bidi w:val="0"/>
        <w:ind w:firstLine="0"/>
        <w:rPr>
          <w:rFonts w:ascii="Traditional Arabic" w:hAnsi="Traditional Arabic"/>
        </w:rPr>
      </w:pPr>
      <w:r w:rsidRPr="009C657F">
        <w:rPr>
          <w:rFonts w:ascii="Traditional Arabic" w:hAnsi="Traditional Arabic"/>
          <w:color w:val="auto"/>
          <w:rtl/>
        </w:rPr>
        <w:t>طرفَة بن العَبْد بن سُفْيَان البكري, الوائلي................................</w:t>
      </w:r>
      <w:r>
        <w:rPr>
          <w:rFonts w:ascii="Traditional Arabic" w:hAnsi="Traditional Arabic" w:hint="cs"/>
          <w:color w:val="auto"/>
          <w:rtl/>
        </w:rPr>
        <w:t>.</w:t>
      </w:r>
      <w:r w:rsidRPr="009C657F">
        <w:rPr>
          <w:rFonts w:ascii="Traditional Arabic" w:hAnsi="Traditional Arabic"/>
          <w:color w:val="auto"/>
          <w:rtl/>
        </w:rPr>
        <w:t>......... 301</w:t>
      </w:r>
    </w:p>
    <w:p w:rsidR="009652A2" w:rsidRPr="009C657F" w:rsidRDefault="009652A2" w:rsidP="009652A2">
      <w:pPr>
        <w:bidi w:val="0"/>
        <w:ind w:firstLine="0"/>
        <w:rPr>
          <w:rFonts w:ascii="Traditional Arabic" w:hAnsi="Traditional Arabic"/>
          <w:rtl/>
        </w:rPr>
      </w:pPr>
      <w:r w:rsidRPr="009C657F">
        <w:rPr>
          <w:rFonts w:ascii="Traditional Arabic" w:hAnsi="Traditional Arabic"/>
          <w:rtl/>
        </w:rPr>
        <w:lastRenderedPageBreak/>
        <w:t>طلحة بن مصرف الهمداني....................................................... 163</w:t>
      </w:r>
    </w:p>
    <w:p w:rsidR="009652A2" w:rsidRPr="009C657F" w:rsidRDefault="009652A2" w:rsidP="009652A2">
      <w:pPr>
        <w:bidi w:val="0"/>
        <w:ind w:firstLine="0"/>
        <w:rPr>
          <w:rFonts w:ascii="Traditional Arabic" w:hAnsi="Traditional Arabic"/>
        </w:rPr>
      </w:pPr>
      <w:r w:rsidRPr="009C657F">
        <w:rPr>
          <w:rFonts w:ascii="Traditional Arabic" w:hAnsi="Traditional Arabic"/>
          <w:color w:val="auto"/>
          <w:rtl/>
          <w:lang w:eastAsia="en-US"/>
        </w:rPr>
        <w:t>عاصم بن أبي الصباح العجاج الجحدري........................................... 102</w:t>
      </w:r>
    </w:p>
    <w:p w:rsidR="009652A2" w:rsidRPr="009C657F" w:rsidRDefault="009652A2" w:rsidP="009652A2">
      <w:pPr>
        <w:bidi w:val="0"/>
        <w:ind w:firstLine="0"/>
        <w:rPr>
          <w:rFonts w:ascii="Traditional Arabic" w:hAnsi="Traditional Arabic"/>
        </w:rPr>
      </w:pPr>
      <w:r w:rsidRPr="009C657F">
        <w:rPr>
          <w:rFonts w:ascii="Traditional Arabic" w:hAnsi="Traditional Arabic"/>
          <w:color w:val="auto"/>
          <w:rtl/>
          <w:lang w:eastAsia="en-US"/>
        </w:rPr>
        <w:t>عاصم بن أبي النجود</w:t>
      </w:r>
      <w:r>
        <w:rPr>
          <w:rFonts w:ascii="Traditional Arabic" w:hAnsi="Traditional Arabic" w:hint="cs"/>
          <w:color w:val="auto"/>
          <w:rtl/>
          <w:lang w:eastAsia="en-US"/>
        </w:rPr>
        <w:t xml:space="preserve"> = </w:t>
      </w:r>
      <w:r w:rsidRPr="009C657F">
        <w:rPr>
          <w:rFonts w:ascii="Traditional Arabic" w:hAnsi="Traditional Arabic"/>
          <w:color w:val="auto"/>
          <w:rtl/>
          <w:lang w:eastAsia="en-US"/>
        </w:rPr>
        <w:t>أبو بكر................................................. 100</w:t>
      </w:r>
    </w:p>
    <w:p w:rsidR="009652A2" w:rsidRPr="009C657F" w:rsidRDefault="009652A2" w:rsidP="009652A2">
      <w:pPr>
        <w:bidi w:val="0"/>
        <w:ind w:firstLine="0"/>
        <w:rPr>
          <w:rFonts w:ascii="Traditional Arabic" w:hAnsi="Traditional Arabic"/>
        </w:rPr>
      </w:pPr>
      <w:r w:rsidRPr="009C657F">
        <w:rPr>
          <w:rFonts w:ascii="Traditional Arabic" w:hAnsi="Traditional Arabic"/>
          <w:color w:val="auto"/>
          <w:rtl/>
          <w:lang w:eastAsia="en-US"/>
        </w:rPr>
        <w:t>عامر بن شراحيل الشعبي</w:t>
      </w:r>
      <w:r w:rsidRPr="009C657F">
        <w:rPr>
          <w:rFonts w:ascii="Traditional Arabic" w:hAnsi="Traditional Arabic"/>
          <w:rtl/>
        </w:rPr>
        <w:t>........................................................ 123</w:t>
      </w:r>
    </w:p>
    <w:p w:rsidR="009652A2" w:rsidRPr="009C657F" w:rsidRDefault="009652A2" w:rsidP="009652A2">
      <w:pPr>
        <w:bidi w:val="0"/>
        <w:ind w:firstLine="0"/>
        <w:rPr>
          <w:rFonts w:ascii="Traditional Arabic" w:hAnsi="Traditional Arabic"/>
          <w:color w:val="auto"/>
          <w:rtl/>
        </w:rPr>
      </w:pPr>
      <w:r w:rsidRPr="009C657F">
        <w:rPr>
          <w:rFonts w:ascii="Traditional Arabic" w:hAnsi="Traditional Arabic"/>
          <w:color w:val="auto"/>
          <w:rtl/>
        </w:rPr>
        <w:t>عبادة بن الصامت بن قيس الخزرجي الأنصاري..................................... 284</w:t>
      </w:r>
    </w:p>
    <w:p w:rsidR="009652A2" w:rsidRPr="009C657F" w:rsidRDefault="009652A2" w:rsidP="009652A2">
      <w:pPr>
        <w:bidi w:val="0"/>
        <w:ind w:firstLine="0"/>
        <w:rPr>
          <w:rFonts w:ascii="Traditional Arabic" w:hAnsi="Traditional Arabic"/>
        </w:rPr>
      </w:pPr>
      <w:r w:rsidRPr="009C657F">
        <w:rPr>
          <w:rFonts w:ascii="Traditional Arabic" w:hAnsi="Traditional Arabic"/>
          <w:rtl/>
        </w:rPr>
        <w:t>عبد الاعلى التيمي الكوفي....................................................... 159</w:t>
      </w:r>
    </w:p>
    <w:p w:rsidR="009652A2" w:rsidRPr="009C657F" w:rsidRDefault="009652A2" w:rsidP="009652A2">
      <w:pPr>
        <w:bidi w:val="0"/>
        <w:ind w:firstLine="0"/>
        <w:rPr>
          <w:rFonts w:ascii="Traditional Arabic" w:hAnsi="Traditional Arabic"/>
        </w:rPr>
      </w:pPr>
      <w:r w:rsidRPr="009C657F">
        <w:rPr>
          <w:rFonts w:ascii="Traditional Arabic" w:hAnsi="Traditional Arabic"/>
          <w:color w:val="auto"/>
          <w:rtl/>
          <w:lang w:eastAsia="en-US"/>
        </w:rPr>
        <w:t xml:space="preserve">عبد الرحمن بن زيد بن أسلم </w:t>
      </w:r>
      <w:r w:rsidRPr="009C657F">
        <w:rPr>
          <w:rFonts w:ascii="Traditional Arabic" w:hAnsi="Traditional Arabic"/>
          <w:rtl/>
        </w:rPr>
        <w:t>...................................................... 94</w:t>
      </w:r>
    </w:p>
    <w:p w:rsidR="009652A2" w:rsidRPr="009C657F" w:rsidRDefault="009652A2" w:rsidP="009652A2">
      <w:pPr>
        <w:bidi w:val="0"/>
        <w:ind w:firstLine="0"/>
        <w:rPr>
          <w:rFonts w:ascii="Traditional Arabic" w:hAnsi="Traditional Arabic"/>
          <w:color w:val="auto"/>
          <w:rtl/>
          <w:lang w:eastAsia="en-US"/>
        </w:rPr>
      </w:pPr>
      <w:r w:rsidRPr="009C657F">
        <w:rPr>
          <w:rFonts w:ascii="Traditional Arabic" w:hAnsi="Traditional Arabic"/>
          <w:color w:val="auto"/>
          <w:rtl/>
          <w:lang w:eastAsia="en-US"/>
        </w:rPr>
        <w:t>عبد الرحمن بن صخر الدوسي</w:t>
      </w:r>
      <w:r>
        <w:rPr>
          <w:rFonts w:ascii="Traditional Arabic" w:hAnsi="Traditional Arabic" w:hint="cs"/>
          <w:color w:val="auto"/>
          <w:rtl/>
          <w:lang w:eastAsia="en-US"/>
        </w:rPr>
        <w:t xml:space="preserve"> = </w:t>
      </w:r>
      <w:r w:rsidRPr="009C657F">
        <w:rPr>
          <w:rFonts w:ascii="Traditional Arabic" w:hAnsi="Traditional Arabic"/>
          <w:color w:val="auto"/>
          <w:rtl/>
          <w:lang w:eastAsia="en-US"/>
        </w:rPr>
        <w:t>أبو هريرة</w:t>
      </w:r>
      <w:r>
        <w:rPr>
          <w:rFonts w:ascii="Traditional Arabic" w:hAnsi="Traditional Arabic"/>
          <w:color w:val="auto"/>
          <w:rtl/>
          <w:lang w:eastAsia="en-US"/>
        </w:rPr>
        <w:t>..........</w:t>
      </w:r>
      <w:r w:rsidRPr="009C657F">
        <w:rPr>
          <w:rFonts w:ascii="Traditional Arabic" w:hAnsi="Traditional Arabic"/>
          <w:color w:val="auto"/>
          <w:rtl/>
          <w:lang w:eastAsia="en-US"/>
        </w:rPr>
        <w:t>.................</w:t>
      </w:r>
      <w:r>
        <w:rPr>
          <w:rFonts w:ascii="Traditional Arabic" w:hAnsi="Traditional Arabic" w:hint="cs"/>
          <w:color w:val="auto"/>
          <w:rtl/>
          <w:lang w:eastAsia="en-US"/>
        </w:rPr>
        <w:t>.</w:t>
      </w:r>
      <w:r w:rsidRPr="009C657F">
        <w:rPr>
          <w:rFonts w:ascii="Traditional Arabic" w:hAnsi="Traditional Arabic"/>
          <w:color w:val="auto"/>
          <w:rtl/>
          <w:lang w:eastAsia="en-US"/>
        </w:rPr>
        <w:t>............. 112</w:t>
      </w:r>
    </w:p>
    <w:p w:rsidR="009652A2" w:rsidRPr="009C657F" w:rsidRDefault="009652A2" w:rsidP="009652A2">
      <w:pPr>
        <w:bidi w:val="0"/>
        <w:ind w:firstLine="0"/>
        <w:rPr>
          <w:rFonts w:ascii="Traditional Arabic" w:hAnsi="Traditional Arabic"/>
          <w:rtl/>
        </w:rPr>
      </w:pPr>
      <w:r w:rsidRPr="009C657F">
        <w:rPr>
          <w:rFonts w:ascii="Traditional Arabic" w:hAnsi="Traditional Arabic"/>
          <w:color w:val="auto"/>
          <w:rtl/>
          <w:lang w:eastAsia="en-US"/>
        </w:rPr>
        <w:t>عبد الرحمن بن غنم بن</w:t>
      </w:r>
      <w:r w:rsidRPr="009C657F">
        <w:rPr>
          <w:rFonts w:ascii="Traditional Arabic" w:hAnsi="Traditional Arabic"/>
          <w:rtl/>
          <w:lang w:eastAsia="en-US"/>
        </w:rPr>
        <w:t xml:space="preserve"> سعد </w:t>
      </w:r>
      <w:r w:rsidRPr="009C657F">
        <w:rPr>
          <w:rFonts w:ascii="Traditional Arabic" w:hAnsi="Traditional Arabic"/>
          <w:color w:val="auto"/>
          <w:rtl/>
          <w:lang w:eastAsia="en-US"/>
        </w:rPr>
        <w:t>الأشعري</w:t>
      </w:r>
      <w:r w:rsidRPr="009C657F">
        <w:rPr>
          <w:rFonts w:ascii="Traditional Arabic" w:hAnsi="Traditional Arabic"/>
          <w:rtl/>
        </w:rPr>
        <w:t>............................................. 119</w:t>
      </w:r>
    </w:p>
    <w:p w:rsidR="009652A2" w:rsidRPr="009C657F" w:rsidRDefault="009652A2" w:rsidP="009652A2">
      <w:pPr>
        <w:bidi w:val="0"/>
        <w:ind w:firstLine="0"/>
        <w:rPr>
          <w:rFonts w:ascii="Traditional Arabic" w:hAnsi="Traditional Arabic"/>
          <w:rtl/>
        </w:rPr>
      </w:pPr>
      <w:r w:rsidRPr="009C657F">
        <w:rPr>
          <w:rFonts w:ascii="Traditional Arabic" w:hAnsi="Traditional Arabic"/>
          <w:rtl/>
        </w:rPr>
        <w:t>عبد اللطيف بن يوسف بن محمد الموصلي........................................... 80</w:t>
      </w:r>
    </w:p>
    <w:p w:rsidR="009652A2" w:rsidRPr="009C657F" w:rsidRDefault="009652A2" w:rsidP="009652A2">
      <w:pPr>
        <w:bidi w:val="0"/>
        <w:ind w:firstLine="0"/>
        <w:rPr>
          <w:rFonts w:ascii="Traditional Arabic" w:hAnsi="Traditional Arabic"/>
          <w:rtl/>
        </w:rPr>
      </w:pPr>
      <w:r w:rsidRPr="009C657F">
        <w:rPr>
          <w:rFonts w:ascii="Traditional Arabic" w:hAnsi="Traditional Arabic"/>
          <w:rtl/>
        </w:rPr>
        <w:t>عبد اللَّه بن أبي أمية بن المغيرة.................................................... 141</w:t>
      </w:r>
    </w:p>
    <w:p w:rsidR="009652A2" w:rsidRPr="009C657F" w:rsidRDefault="009652A2" w:rsidP="009652A2">
      <w:pPr>
        <w:bidi w:val="0"/>
        <w:ind w:firstLine="0"/>
        <w:rPr>
          <w:rFonts w:ascii="Traditional Arabic" w:hAnsi="Traditional Arabic"/>
        </w:rPr>
      </w:pPr>
      <w:r w:rsidRPr="009C657F">
        <w:rPr>
          <w:rFonts w:ascii="Traditional Arabic" w:hAnsi="Traditional Arabic"/>
          <w:rtl/>
        </w:rPr>
        <w:t xml:space="preserve">عبد الله بن أبي نجيح يسار </w:t>
      </w:r>
      <w:r>
        <w:rPr>
          <w:rFonts w:ascii="Traditional Arabic" w:hAnsi="Traditional Arabic" w:hint="cs"/>
          <w:rtl/>
        </w:rPr>
        <w:t xml:space="preserve">= </w:t>
      </w:r>
      <w:r w:rsidRPr="009C657F">
        <w:rPr>
          <w:rFonts w:ascii="Traditional Arabic" w:hAnsi="Traditional Arabic"/>
          <w:rtl/>
        </w:rPr>
        <w:t xml:space="preserve">أبو يسار </w:t>
      </w:r>
      <w:r>
        <w:rPr>
          <w:rFonts w:ascii="Traditional Arabic" w:hAnsi="Traditional Arabic"/>
          <w:rtl/>
        </w:rPr>
        <w:t>الثقفي...........</w:t>
      </w:r>
      <w:r w:rsidRPr="009C657F">
        <w:rPr>
          <w:rFonts w:ascii="Traditional Arabic" w:hAnsi="Traditional Arabic"/>
          <w:rtl/>
        </w:rPr>
        <w:t>.......................... 129</w:t>
      </w:r>
    </w:p>
    <w:p w:rsidR="009652A2" w:rsidRPr="009C657F" w:rsidRDefault="009652A2" w:rsidP="009652A2">
      <w:pPr>
        <w:bidi w:val="0"/>
        <w:ind w:firstLine="0"/>
        <w:rPr>
          <w:rFonts w:ascii="Traditional Arabic" w:hAnsi="Traditional Arabic"/>
        </w:rPr>
      </w:pPr>
      <w:r w:rsidRPr="009C657F">
        <w:rPr>
          <w:rFonts w:ascii="Traditional Arabic" w:hAnsi="Traditional Arabic"/>
          <w:rtl/>
        </w:rPr>
        <w:t xml:space="preserve">عبد الله بن أحمد بن أحمد, المعروف بابن الخشاب.................................. 254 </w:t>
      </w:r>
    </w:p>
    <w:p w:rsidR="009652A2" w:rsidRPr="009C657F" w:rsidRDefault="009652A2" w:rsidP="009652A2">
      <w:pPr>
        <w:bidi w:val="0"/>
        <w:ind w:firstLine="0"/>
        <w:rPr>
          <w:rFonts w:ascii="Traditional Arabic" w:hAnsi="Traditional Arabic"/>
          <w:rtl/>
        </w:rPr>
      </w:pPr>
      <w:r w:rsidRPr="009C657F">
        <w:rPr>
          <w:rFonts w:ascii="Traditional Arabic" w:hAnsi="Traditional Arabic"/>
          <w:rtl/>
        </w:rPr>
        <w:t>عبد الله بن الحارث بن عبد المَلك القرشي, المخزومي................................ 286</w:t>
      </w:r>
    </w:p>
    <w:p w:rsidR="009652A2" w:rsidRPr="009C657F" w:rsidRDefault="009652A2" w:rsidP="009652A2">
      <w:pPr>
        <w:bidi w:val="0"/>
        <w:ind w:firstLine="0"/>
        <w:rPr>
          <w:rFonts w:ascii="Traditional Arabic" w:hAnsi="Traditional Arabic"/>
        </w:rPr>
      </w:pPr>
      <w:r w:rsidRPr="009C657F">
        <w:rPr>
          <w:rFonts w:ascii="Traditional Arabic" w:hAnsi="Traditional Arabic"/>
          <w:color w:val="auto"/>
          <w:rtl/>
          <w:lang w:eastAsia="en-US"/>
        </w:rPr>
        <w:t>عبد الله بن الزِّبَعْرَى بن قيس القرشي................................................ 97</w:t>
      </w:r>
    </w:p>
    <w:p w:rsidR="009652A2" w:rsidRPr="009C657F" w:rsidRDefault="009652A2" w:rsidP="009652A2">
      <w:pPr>
        <w:bidi w:val="0"/>
        <w:ind w:firstLine="0"/>
        <w:rPr>
          <w:rFonts w:ascii="Traditional Arabic" w:hAnsi="Traditional Arabic"/>
        </w:rPr>
      </w:pPr>
      <w:r w:rsidRPr="009C657F">
        <w:rPr>
          <w:rFonts w:ascii="Traditional Arabic" w:hAnsi="Traditional Arabic"/>
          <w:color w:val="auto"/>
          <w:rtl/>
          <w:lang w:eastAsia="en-US"/>
        </w:rPr>
        <w:t>عبد الله بن حبيب بن ربيعة السُّلَمِيُّ.............................................. 102</w:t>
      </w:r>
    </w:p>
    <w:p w:rsidR="009652A2" w:rsidRPr="009C657F" w:rsidRDefault="009652A2" w:rsidP="009652A2">
      <w:pPr>
        <w:bidi w:val="0"/>
        <w:ind w:firstLine="0"/>
        <w:rPr>
          <w:rFonts w:ascii="Traditional Arabic" w:hAnsi="Traditional Arabic"/>
          <w:rtl/>
        </w:rPr>
      </w:pPr>
      <w:r w:rsidRPr="009C657F">
        <w:rPr>
          <w:rFonts w:ascii="Traditional Arabic" w:hAnsi="Traditional Arabic"/>
          <w:rtl/>
        </w:rPr>
        <w:t>عبد الله بْن رواحة بْن ثعلبة الأَنْصَارِيّ............................................. 285</w:t>
      </w:r>
    </w:p>
    <w:p w:rsidR="009652A2" w:rsidRPr="009C657F" w:rsidRDefault="009652A2" w:rsidP="009652A2">
      <w:pPr>
        <w:bidi w:val="0"/>
        <w:ind w:firstLine="0"/>
        <w:rPr>
          <w:rFonts w:ascii="Traditional Arabic" w:hAnsi="Traditional Arabic"/>
          <w:rtl/>
        </w:rPr>
      </w:pPr>
      <w:r w:rsidRPr="009C657F">
        <w:rPr>
          <w:rFonts w:ascii="Traditional Arabic" w:hAnsi="Traditional Arabic"/>
          <w:color w:val="auto"/>
          <w:rtl/>
          <w:lang w:eastAsia="en-US"/>
        </w:rPr>
        <w:t xml:space="preserve">عبد الله بن عامر </w:t>
      </w:r>
      <w:r>
        <w:rPr>
          <w:rFonts w:ascii="Traditional Arabic" w:hAnsi="Traditional Arabic" w:hint="cs"/>
          <w:rtl/>
          <w:lang w:eastAsia="en-US"/>
        </w:rPr>
        <w:t xml:space="preserve">= </w:t>
      </w:r>
      <w:r w:rsidRPr="009C657F">
        <w:rPr>
          <w:rFonts w:ascii="Traditional Arabic" w:hAnsi="Traditional Arabic"/>
          <w:color w:val="auto"/>
          <w:rtl/>
          <w:lang w:eastAsia="en-US"/>
        </w:rPr>
        <w:t>أبو عمران</w:t>
      </w:r>
      <w:r w:rsidRPr="00980DDE">
        <w:rPr>
          <w:rFonts w:ascii="Traditional Arabic" w:hAnsi="Traditional Arabic"/>
          <w:color w:val="auto"/>
          <w:rtl/>
          <w:lang w:eastAsia="en-US"/>
        </w:rPr>
        <w:t xml:space="preserve"> </w:t>
      </w:r>
      <w:r w:rsidRPr="009C657F">
        <w:rPr>
          <w:rFonts w:ascii="Traditional Arabic" w:hAnsi="Traditional Arabic"/>
          <w:color w:val="auto"/>
          <w:rtl/>
          <w:lang w:eastAsia="en-US"/>
        </w:rPr>
        <w:t>اليحصبي</w:t>
      </w:r>
      <w:r w:rsidRPr="009C657F">
        <w:rPr>
          <w:rFonts w:ascii="Traditional Arabic" w:hAnsi="Traditional Arabic"/>
          <w:rtl/>
          <w:lang w:eastAsia="en-US"/>
        </w:rPr>
        <w:t xml:space="preserve"> </w:t>
      </w:r>
      <w:r w:rsidRPr="009C657F">
        <w:rPr>
          <w:rFonts w:ascii="Traditional Arabic" w:hAnsi="Traditional Arabic"/>
          <w:rtl/>
        </w:rPr>
        <w:t>.......................................... 100</w:t>
      </w:r>
    </w:p>
    <w:p w:rsidR="009652A2" w:rsidRPr="009C657F" w:rsidRDefault="009652A2" w:rsidP="009652A2">
      <w:pPr>
        <w:bidi w:val="0"/>
        <w:ind w:firstLine="0"/>
        <w:rPr>
          <w:rFonts w:ascii="Traditional Arabic" w:hAnsi="Traditional Arabic"/>
          <w:rtl/>
        </w:rPr>
      </w:pPr>
      <w:r w:rsidRPr="009C657F">
        <w:rPr>
          <w:rFonts w:ascii="Traditional Arabic" w:hAnsi="Traditional Arabic"/>
          <w:rtl/>
        </w:rPr>
        <w:t>عبد الله بن عباس بن عبد المطلب الهاشمي........................................... 89</w:t>
      </w:r>
    </w:p>
    <w:p w:rsidR="009652A2" w:rsidRPr="009C657F" w:rsidRDefault="009652A2" w:rsidP="009652A2">
      <w:pPr>
        <w:bidi w:val="0"/>
        <w:ind w:firstLine="0"/>
        <w:rPr>
          <w:rFonts w:ascii="Traditional Arabic" w:hAnsi="Traditional Arabic"/>
        </w:rPr>
      </w:pPr>
      <w:r w:rsidRPr="009C657F">
        <w:rPr>
          <w:rFonts w:ascii="Traditional Arabic" w:hAnsi="Traditional Arabic"/>
          <w:color w:val="auto"/>
          <w:rtl/>
          <w:lang w:eastAsia="en-US"/>
        </w:rPr>
        <w:t>عبد الله بن عمر بن الخطاب</w:t>
      </w:r>
      <w:r w:rsidRPr="009C657F">
        <w:rPr>
          <w:rFonts w:ascii="Traditional Arabic" w:hAnsi="Traditional Arabic"/>
          <w:rtl/>
        </w:rPr>
        <w:t>..................................................... 122</w:t>
      </w:r>
    </w:p>
    <w:p w:rsidR="009652A2" w:rsidRPr="009C657F" w:rsidRDefault="009652A2" w:rsidP="009652A2">
      <w:pPr>
        <w:bidi w:val="0"/>
        <w:ind w:firstLine="0"/>
        <w:rPr>
          <w:rFonts w:ascii="Traditional Arabic" w:hAnsi="Traditional Arabic"/>
          <w:rtl/>
        </w:rPr>
      </w:pPr>
      <w:r w:rsidRPr="009C657F">
        <w:rPr>
          <w:rFonts w:ascii="Traditional Arabic" w:hAnsi="Traditional Arabic"/>
          <w:color w:val="auto"/>
          <w:rtl/>
          <w:lang w:eastAsia="en-US"/>
        </w:rPr>
        <w:t>عبد اللَّه بن عمرو بن العاص.....................................................</w:t>
      </w:r>
      <w:r w:rsidRPr="009C657F">
        <w:rPr>
          <w:rFonts w:ascii="Traditional Arabic" w:hAnsi="Traditional Arabic"/>
          <w:rtl/>
        </w:rPr>
        <w:t xml:space="preserve"> 108</w:t>
      </w:r>
    </w:p>
    <w:p w:rsidR="009652A2" w:rsidRPr="009C657F" w:rsidRDefault="009652A2" w:rsidP="009652A2">
      <w:pPr>
        <w:bidi w:val="0"/>
        <w:ind w:firstLine="0"/>
        <w:rPr>
          <w:rFonts w:ascii="Traditional Arabic" w:hAnsi="Traditional Arabic"/>
        </w:rPr>
      </w:pPr>
      <w:r w:rsidRPr="009C657F">
        <w:rPr>
          <w:rFonts w:ascii="Traditional Arabic" w:hAnsi="Traditional Arabic"/>
          <w:color w:val="auto"/>
          <w:rtl/>
        </w:rPr>
        <w:t>عبد الله بن قيس</w:t>
      </w:r>
      <w:r>
        <w:rPr>
          <w:rFonts w:ascii="Traditional Arabic" w:hAnsi="Traditional Arabic" w:hint="cs"/>
          <w:color w:val="auto"/>
          <w:rtl/>
        </w:rPr>
        <w:t xml:space="preserve"> =</w:t>
      </w:r>
      <w:r w:rsidRPr="009C657F">
        <w:rPr>
          <w:rFonts w:ascii="Traditional Arabic" w:hAnsi="Traditional Arabic"/>
          <w:color w:val="auto"/>
          <w:rtl/>
        </w:rPr>
        <w:t xml:space="preserve"> أبو موسى </w:t>
      </w:r>
      <w:r>
        <w:rPr>
          <w:rFonts w:ascii="Traditional Arabic" w:hAnsi="Traditional Arabic"/>
          <w:color w:val="auto"/>
          <w:rtl/>
        </w:rPr>
        <w:t>الأشعريُّ...........</w:t>
      </w:r>
      <w:r w:rsidRPr="009C657F">
        <w:rPr>
          <w:rFonts w:ascii="Traditional Arabic" w:hAnsi="Traditional Arabic"/>
          <w:color w:val="auto"/>
          <w:rtl/>
        </w:rPr>
        <w:t>................................ 284</w:t>
      </w:r>
      <w:r w:rsidRPr="009C657F">
        <w:rPr>
          <w:rFonts w:ascii="Traditional Arabic" w:hAnsi="Traditional Arabic"/>
          <w:rtl/>
          <w:lang w:eastAsia="en-US"/>
        </w:rPr>
        <w:t xml:space="preserve"> </w:t>
      </w:r>
    </w:p>
    <w:p w:rsidR="009652A2" w:rsidRPr="009C657F" w:rsidRDefault="009652A2" w:rsidP="009652A2">
      <w:pPr>
        <w:bidi w:val="0"/>
        <w:ind w:firstLine="0"/>
        <w:rPr>
          <w:rFonts w:ascii="Traditional Arabic" w:hAnsi="Traditional Arabic"/>
        </w:rPr>
      </w:pPr>
      <w:r w:rsidRPr="009C657F">
        <w:rPr>
          <w:rFonts w:ascii="Traditional Arabic" w:hAnsi="Traditional Arabic"/>
          <w:color w:val="auto"/>
          <w:rtl/>
          <w:lang w:eastAsia="en-US"/>
        </w:rPr>
        <w:t>عبد الله بن كثير بن عمرو الكناني.................................................. 99</w:t>
      </w:r>
    </w:p>
    <w:p w:rsidR="009652A2" w:rsidRPr="009C657F" w:rsidRDefault="009652A2" w:rsidP="009652A2">
      <w:pPr>
        <w:bidi w:val="0"/>
        <w:ind w:firstLine="0"/>
        <w:rPr>
          <w:rFonts w:ascii="Traditional Arabic" w:hAnsi="Traditional Arabic"/>
          <w:rtl/>
        </w:rPr>
      </w:pPr>
      <w:r w:rsidRPr="009C657F">
        <w:rPr>
          <w:rFonts w:ascii="Traditional Arabic" w:hAnsi="Traditional Arabic"/>
          <w:rtl/>
        </w:rPr>
        <w:t>عبد الله بن مسعود بن غافل الهذلي................................................123</w:t>
      </w:r>
    </w:p>
    <w:p w:rsidR="009652A2" w:rsidRPr="009C657F" w:rsidRDefault="009652A2" w:rsidP="009652A2">
      <w:pPr>
        <w:bidi w:val="0"/>
        <w:ind w:firstLine="0"/>
        <w:rPr>
          <w:rFonts w:ascii="Traditional Arabic" w:hAnsi="Traditional Arabic"/>
        </w:rPr>
      </w:pPr>
      <w:r w:rsidRPr="009C657F">
        <w:rPr>
          <w:rFonts w:ascii="Traditional Arabic" w:hAnsi="Traditional Arabic"/>
          <w:color w:val="auto"/>
          <w:rtl/>
          <w:lang w:eastAsia="en-US"/>
        </w:rPr>
        <w:t>عبد الله بن مسلم بن قتيبة الدينوري المروزي</w:t>
      </w:r>
      <w:r w:rsidRPr="009C657F">
        <w:rPr>
          <w:rFonts w:ascii="Traditional Arabic" w:hAnsi="Traditional Arabic"/>
          <w:rtl/>
        </w:rPr>
        <w:t>......................................... 90</w:t>
      </w:r>
    </w:p>
    <w:p w:rsidR="009652A2" w:rsidRPr="009C657F" w:rsidRDefault="009652A2" w:rsidP="009652A2">
      <w:pPr>
        <w:bidi w:val="0"/>
        <w:ind w:firstLine="0"/>
        <w:rPr>
          <w:rFonts w:ascii="Traditional Arabic" w:hAnsi="Traditional Arabic"/>
          <w:rtl/>
        </w:rPr>
      </w:pPr>
      <w:r w:rsidRPr="009C657F">
        <w:rPr>
          <w:rFonts w:ascii="Traditional Arabic" w:hAnsi="Traditional Arabic"/>
          <w:color w:val="auto"/>
          <w:rtl/>
          <w:lang w:eastAsia="en-US"/>
        </w:rPr>
        <w:lastRenderedPageBreak/>
        <w:t>عبد الملك بن حبيب</w:t>
      </w:r>
      <w:r>
        <w:rPr>
          <w:rFonts w:ascii="Traditional Arabic" w:hAnsi="Traditional Arabic" w:hint="cs"/>
          <w:color w:val="auto"/>
          <w:rtl/>
          <w:lang w:eastAsia="en-US"/>
        </w:rPr>
        <w:t xml:space="preserve"> =</w:t>
      </w:r>
      <w:r w:rsidRPr="00980DDE">
        <w:rPr>
          <w:rFonts w:ascii="Traditional Arabic" w:hAnsi="Traditional Arabic"/>
          <w:color w:val="auto"/>
          <w:rtl/>
          <w:lang w:eastAsia="en-US"/>
        </w:rPr>
        <w:t xml:space="preserve"> </w:t>
      </w:r>
      <w:r w:rsidRPr="009C657F">
        <w:rPr>
          <w:rFonts w:ascii="Traditional Arabic" w:hAnsi="Traditional Arabic"/>
          <w:color w:val="auto"/>
          <w:rtl/>
          <w:lang w:eastAsia="en-US"/>
        </w:rPr>
        <w:t>أبو عمران الجوني</w:t>
      </w:r>
      <w:r w:rsidRPr="009C657F">
        <w:rPr>
          <w:rFonts w:ascii="Traditional Arabic" w:hAnsi="Traditional Arabic"/>
          <w:rtl/>
        </w:rPr>
        <w:t>.......................................... 113</w:t>
      </w:r>
    </w:p>
    <w:p w:rsidR="009652A2" w:rsidRPr="009C657F" w:rsidRDefault="009652A2" w:rsidP="009652A2">
      <w:pPr>
        <w:bidi w:val="0"/>
        <w:ind w:firstLine="0"/>
        <w:rPr>
          <w:rFonts w:ascii="Traditional Arabic" w:hAnsi="Traditional Arabic"/>
        </w:rPr>
      </w:pPr>
      <w:r w:rsidRPr="009C657F">
        <w:rPr>
          <w:rFonts w:ascii="Traditional Arabic" w:hAnsi="Traditional Arabic"/>
          <w:rtl/>
          <w:lang w:eastAsia="en-US"/>
        </w:rPr>
        <w:t>عبد الملك بن عبد العزيز بن جريج</w:t>
      </w:r>
      <w:r w:rsidRPr="009C657F">
        <w:rPr>
          <w:rFonts w:ascii="Traditional Arabic" w:hAnsi="Traditional Arabic"/>
          <w:rtl/>
        </w:rPr>
        <w:t>.......................................</w:t>
      </w:r>
      <w:r>
        <w:rPr>
          <w:rFonts w:ascii="Traditional Arabic" w:hAnsi="Traditional Arabic" w:hint="cs"/>
          <w:rtl/>
        </w:rPr>
        <w:t>.</w:t>
      </w:r>
      <w:r w:rsidRPr="009C657F">
        <w:rPr>
          <w:rFonts w:ascii="Traditional Arabic" w:hAnsi="Traditional Arabic"/>
          <w:rtl/>
        </w:rPr>
        <w:t>......... 94</w:t>
      </w:r>
    </w:p>
    <w:p w:rsidR="009652A2" w:rsidRPr="009C657F" w:rsidRDefault="009652A2" w:rsidP="009652A2">
      <w:pPr>
        <w:bidi w:val="0"/>
        <w:ind w:firstLine="0"/>
        <w:rPr>
          <w:rFonts w:ascii="Traditional Arabic" w:hAnsi="Traditional Arabic"/>
        </w:rPr>
      </w:pPr>
      <w:r w:rsidRPr="009C657F">
        <w:rPr>
          <w:rFonts w:ascii="Traditional Arabic" w:hAnsi="Traditional Arabic"/>
          <w:rtl/>
        </w:rPr>
        <w:t xml:space="preserve">عبد الملك بن قُرَيْبٍ بن عبد الملك, المعروف بالأصمعي............................. 315 </w:t>
      </w:r>
    </w:p>
    <w:p w:rsidR="009652A2" w:rsidRPr="009C657F" w:rsidRDefault="009652A2" w:rsidP="009652A2">
      <w:pPr>
        <w:bidi w:val="0"/>
        <w:ind w:firstLine="0"/>
        <w:rPr>
          <w:rFonts w:ascii="Traditional Arabic" w:hAnsi="Traditional Arabic"/>
        </w:rPr>
      </w:pPr>
      <w:r w:rsidRPr="009C657F">
        <w:rPr>
          <w:rFonts w:ascii="Traditional Arabic" w:hAnsi="Traditional Arabic"/>
          <w:color w:val="auto"/>
          <w:rtl/>
        </w:rPr>
        <w:t xml:space="preserve">عبد الوارث بن سعيد بن ذكوان.................................................. </w:t>
      </w:r>
      <w:r w:rsidRPr="009C657F">
        <w:rPr>
          <w:rFonts w:ascii="Traditional Arabic" w:hAnsi="Traditional Arabic"/>
          <w:rtl/>
        </w:rPr>
        <w:t>312</w:t>
      </w:r>
    </w:p>
    <w:p w:rsidR="009652A2" w:rsidRPr="009C657F" w:rsidRDefault="009652A2" w:rsidP="009652A2">
      <w:pPr>
        <w:bidi w:val="0"/>
        <w:ind w:firstLine="0"/>
        <w:rPr>
          <w:rFonts w:ascii="Traditional Arabic" w:hAnsi="Traditional Arabic"/>
          <w:rtl/>
        </w:rPr>
      </w:pPr>
      <w:r w:rsidRPr="009C657F">
        <w:rPr>
          <w:rFonts w:ascii="Traditional Arabic" w:hAnsi="Traditional Arabic"/>
          <w:rtl/>
        </w:rPr>
        <w:t>عبدالرحمن بن مُلٍّ</w:t>
      </w:r>
      <w:r>
        <w:rPr>
          <w:rFonts w:ascii="Traditional Arabic" w:hAnsi="Traditional Arabic" w:hint="cs"/>
          <w:rtl/>
        </w:rPr>
        <w:t xml:space="preserve"> = </w:t>
      </w:r>
      <w:r w:rsidRPr="009C657F">
        <w:rPr>
          <w:rFonts w:ascii="Traditional Arabic" w:hAnsi="Traditional Arabic"/>
          <w:rtl/>
        </w:rPr>
        <w:t>أبو عثمان النَّهْدِيّ........................................... 255</w:t>
      </w:r>
    </w:p>
    <w:p w:rsidR="009652A2" w:rsidRPr="009C657F" w:rsidRDefault="009652A2" w:rsidP="009652A2">
      <w:pPr>
        <w:bidi w:val="0"/>
        <w:ind w:firstLine="0"/>
        <w:rPr>
          <w:rFonts w:ascii="Traditional Arabic" w:hAnsi="Traditional Arabic"/>
        </w:rPr>
      </w:pPr>
      <w:r w:rsidRPr="009C657F">
        <w:rPr>
          <w:rFonts w:ascii="Traditional Arabic" w:hAnsi="Traditional Arabic"/>
          <w:color w:val="auto"/>
          <w:rtl/>
        </w:rPr>
        <w:t>عبدالله بن يحيى بن المبارك اليزيدي................................................ 318</w:t>
      </w:r>
    </w:p>
    <w:p w:rsidR="009652A2" w:rsidRPr="009C657F" w:rsidRDefault="009652A2" w:rsidP="009652A2">
      <w:pPr>
        <w:bidi w:val="0"/>
        <w:ind w:firstLine="0"/>
        <w:rPr>
          <w:rFonts w:ascii="Traditional Arabic" w:hAnsi="Traditional Arabic"/>
        </w:rPr>
      </w:pPr>
      <w:r w:rsidRPr="009C657F">
        <w:rPr>
          <w:rFonts w:ascii="Traditional Arabic" w:hAnsi="Traditional Arabic"/>
          <w:color w:val="auto"/>
          <w:rtl/>
          <w:lang w:eastAsia="en-US"/>
        </w:rPr>
        <w:t>عبيد بن عمير بن قتادة الليثي</w:t>
      </w:r>
      <w:r w:rsidRPr="009C657F">
        <w:rPr>
          <w:rFonts w:ascii="Traditional Arabic" w:hAnsi="Traditional Arabic"/>
          <w:rtl/>
        </w:rPr>
        <w:t>.................................................... 123</w:t>
      </w:r>
    </w:p>
    <w:p w:rsidR="009652A2" w:rsidRPr="009C657F" w:rsidRDefault="009652A2" w:rsidP="009652A2">
      <w:pPr>
        <w:bidi w:val="0"/>
        <w:ind w:firstLine="0"/>
        <w:rPr>
          <w:rFonts w:ascii="Traditional Arabic" w:hAnsi="Traditional Arabic"/>
        </w:rPr>
      </w:pPr>
      <w:r w:rsidRPr="009C657F">
        <w:rPr>
          <w:rFonts w:ascii="Traditional Arabic" w:hAnsi="Traditional Arabic"/>
          <w:rtl/>
        </w:rPr>
        <w:t>عتبة بن ربيعة بن عبد شمس...................................................... 141</w:t>
      </w:r>
    </w:p>
    <w:p w:rsidR="009652A2" w:rsidRPr="009C657F" w:rsidRDefault="009652A2" w:rsidP="009652A2">
      <w:pPr>
        <w:bidi w:val="0"/>
        <w:ind w:firstLine="0"/>
        <w:rPr>
          <w:rFonts w:ascii="Traditional Arabic" w:hAnsi="Traditional Arabic"/>
          <w:rtl/>
        </w:rPr>
      </w:pPr>
      <w:r w:rsidRPr="009C657F">
        <w:rPr>
          <w:rFonts w:ascii="Traditional Arabic" w:hAnsi="Traditional Arabic"/>
          <w:rtl/>
        </w:rPr>
        <w:t>عثمان بن عاصم الأسدي</w:t>
      </w:r>
      <w:r>
        <w:rPr>
          <w:rFonts w:ascii="Traditional Arabic" w:hAnsi="Traditional Arabic" w:hint="cs"/>
          <w:rtl/>
        </w:rPr>
        <w:t xml:space="preserve"> = </w:t>
      </w:r>
      <w:r w:rsidRPr="009C657F">
        <w:rPr>
          <w:rFonts w:ascii="Traditional Arabic" w:hAnsi="Traditional Arabic"/>
          <w:rtl/>
        </w:rPr>
        <w:t>أبو حصين............................</w:t>
      </w:r>
      <w:r>
        <w:rPr>
          <w:rFonts w:ascii="Traditional Arabic" w:hAnsi="Traditional Arabic" w:hint="cs"/>
          <w:rtl/>
        </w:rPr>
        <w:t>.</w:t>
      </w:r>
      <w:r w:rsidRPr="009C657F">
        <w:rPr>
          <w:rFonts w:ascii="Traditional Arabic" w:hAnsi="Traditional Arabic"/>
          <w:rtl/>
        </w:rPr>
        <w:t>............. 185</w:t>
      </w:r>
    </w:p>
    <w:p w:rsidR="009652A2" w:rsidRPr="009C657F" w:rsidRDefault="009652A2" w:rsidP="009652A2">
      <w:pPr>
        <w:bidi w:val="0"/>
        <w:ind w:firstLine="0"/>
        <w:rPr>
          <w:rFonts w:ascii="Traditional Arabic" w:hAnsi="Traditional Arabic"/>
          <w:rtl/>
        </w:rPr>
      </w:pPr>
      <w:r w:rsidRPr="009C657F">
        <w:rPr>
          <w:rFonts w:ascii="Traditional Arabic" w:hAnsi="Traditional Arabic"/>
          <w:rtl/>
        </w:rPr>
        <w:t>عثمان بن عفان ابن أبي العاص الْقُرَشِيّ........................................... 226</w:t>
      </w:r>
    </w:p>
    <w:p w:rsidR="009652A2" w:rsidRPr="009C657F" w:rsidRDefault="009652A2" w:rsidP="009652A2">
      <w:pPr>
        <w:bidi w:val="0"/>
        <w:ind w:firstLine="0"/>
        <w:rPr>
          <w:rFonts w:ascii="Traditional Arabic" w:hAnsi="Traditional Arabic"/>
        </w:rPr>
      </w:pPr>
      <w:r w:rsidRPr="009C657F">
        <w:rPr>
          <w:rFonts w:ascii="Traditional Arabic" w:hAnsi="Traditional Arabic"/>
          <w:color w:val="auto"/>
          <w:rtl/>
        </w:rPr>
        <w:t>عدي بن حاتم بن عبدالله الطائي................................................. 316</w:t>
      </w:r>
    </w:p>
    <w:p w:rsidR="009652A2" w:rsidRPr="009C657F" w:rsidRDefault="009652A2" w:rsidP="009652A2">
      <w:pPr>
        <w:bidi w:val="0"/>
        <w:ind w:firstLine="0"/>
        <w:rPr>
          <w:rFonts w:ascii="Traditional Arabic" w:hAnsi="Traditional Arabic"/>
          <w:rtl/>
        </w:rPr>
      </w:pPr>
      <w:r w:rsidRPr="009C657F">
        <w:rPr>
          <w:rFonts w:ascii="Traditional Arabic" w:hAnsi="Traditional Arabic"/>
          <w:rtl/>
        </w:rPr>
        <w:t>عرفجة بن أسعد  بْنِ كَرِبٍ الْعُطَارِدِيُّ.............................................. 187</w:t>
      </w:r>
    </w:p>
    <w:p w:rsidR="009652A2" w:rsidRPr="009C657F" w:rsidRDefault="009652A2" w:rsidP="009652A2">
      <w:pPr>
        <w:bidi w:val="0"/>
        <w:ind w:firstLine="0"/>
        <w:rPr>
          <w:rFonts w:ascii="Traditional Arabic" w:hAnsi="Traditional Arabic"/>
          <w:rtl/>
        </w:rPr>
      </w:pPr>
      <w:r w:rsidRPr="009C657F">
        <w:rPr>
          <w:rFonts w:ascii="Traditional Arabic" w:hAnsi="Traditional Arabic"/>
          <w:color w:val="auto"/>
          <w:rtl/>
          <w:lang w:eastAsia="en-US"/>
        </w:rPr>
        <w:t>عطاء بن أبي رباح أسلم بن صفوان</w:t>
      </w:r>
      <w:r w:rsidRPr="009C657F">
        <w:rPr>
          <w:rFonts w:ascii="Traditional Arabic" w:hAnsi="Traditional Arabic"/>
          <w:rtl/>
        </w:rPr>
        <w:t>............................................... 117</w:t>
      </w:r>
    </w:p>
    <w:p w:rsidR="009652A2" w:rsidRPr="009C657F" w:rsidRDefault="009652A2" w:rsidP="009652A2">
      <w:pPr>
        <w:bidi w:val="0"/>
        <w:ind w:firstLine="0"/>
        <w:rPr>
          <w:rFonts w:ascii="Traditional Arabic" w:hAnsi="Traditional Arabic"/>
          <w:rtl/>
        </w:rPr>
      </w:pPr>
      <w:r w:rsidRPr="009C657F">
        <w:rPr>
          <w:rFonts w:ascii="Traditional Arabic" w:hAnsi="Traditional Arabic"/>
          <w:rtl/>
        </w:rPr>
        <w:t>عطاء بن أَبي مسلم الخراساني..................................................... 180</w:t>
      </w:r>
    </w:p>
    <w:p w:rsidR="009652A2" w:rsidRPr="009C657F" w:rsidRDefault="009652A2" w:rsidP="009652A2">
      <w:pPr>
        <w:bidi w:val="0"/>
        <w:ind w:firstLine="0"/>
        <w:rPr>
          <w:rFonts w:ascii="Traditional Arabic" w:hAnsi="Traditional Arabic"/>
          <w:rtl/>
        </w:rPr>
      </w:pPr>
      <w:r w:rsidRPr="009C657F">
        <w:rPr>
          <w:rFonts w:ascii="Traditional Arabic" w:hAnsi="Traditional Arabic"/>
          <w:rtl/>
          <w:lang w:eastAsia="en-US"/>
        </w:rPr>
        <w:t>عطية بن سعد بن جنادة العوفي</w:t>
      </w:r>
      <w:r w:rsidRPr="009C657F">
        <w:rPr>
          <w:rFonts w:ascii="Traditional Arabic" w:hAnsi="Traditional Arabic"/>
          <w:rtl/>
        </w:rPr>
        <w:t>.................................................... 94</w:t>
      </w:r>
    </w:p>
    <w:p w:rsidR="009652A2" w:rsidRPr="009C657F" w:rsidRDefault="009652A2" w:rsidP="009652A2">
      <w:pPr>
        <w:bidi w:val="0"/>
        <w:ind w:firstLine="0"/>
        <w:rPr>
          <w:rFonts w:ascii="Traditional Arabic" w:hAnsi="Traditional Arabic"/>
        </w:rPr>
      </w:pPr>
      <w:r w:rsidRPr="009C657F">
        <w:rPr>
          <w:rFonts w:ascii="Traditional Arabic" w:hAnsi="Traditional Arabic"/>
          <w:color w:val="auto"/>
          <w:rtl/>
          <w:lang w:eastAsia="en-US"/>
        </w:rPr>
        <w:t xml:space="preserve">عكرمة بن عبد الله </w:t>
      </w:r>
      <w:r w:rsidRPr="009C657F">
        <w:rPr>
          <w:rFonts w:ascii="Traditional Arabic" w:hAnsi="Traditional Arabic"/>
          <w:rtl/>
          <w:lang w:eastAsia="en-US"/>
        </w:rPr>
        <w:t>القرشي مولاهم</w:t>
      </w:r>
      <w:r w:rsidRPr="009C657F">
        <w:rPr>
          <w:rFonts w:ascii="Traditional Arabic" w:hAnsi="Traditional Arabic"/>
          <w:color w:val="auto"/>
          <w:rtl/>
          <w:lang w:eastAsia="en-US"/>
        </w:rPr>
        <w:t>................................................. 93</w:t>
      </w:r>
    </w:p>
    <w:p w:rsidR="009652A2" w:rsidRPr="009C657F" w:rsidRDefault="009652A2" w:rsidP="009652A2">
      <w:pPr>
        <w:bidi w:val="0"/>
        <w:ind w:firstLine="0"/>
        <w:rPr>
          <w:rFonts w:ascii="Traditional Arabic" w:hAnsi="Traditional Arabic"/>
          <w:rtl/>
        </w:rPr>
      </w:pPr>
      <w:r w:rsidRPr="009C657F">
        <w:rPr>
          <w:rFonts w:ascii="Traditional Arabic" w:hAnsi="Traditional Arabic"/>
          <w:rtl/>
        </w:rPr>
        <w:t>عِلباء بن أحمر اليشكري</w:t>
      </w:r>
      <w:r>
        <w:rPr>
          <w:rFonts w:ascii="Traditional Arabic" w:hAnsi="Traditional Arabic" w:hint="cs"/>
          <w:rtl/>
        </w:rPr>
        <w:t xml:space="preserve"> = </w:t>
      </w:r>
      <w:r w:rsidRPr="009C657F">
        <w:rPr>
          <w:rFonts w:ascii="Traditional Arabic" w:hAnsi="Traditional Arabic"/>
          <w:rtl/>
        </w:rPr>
        <w:t>أبو نهيك</w:t>
      </w:r>
      <w:r>
        <w:rPr>
          <w:rFonts w:ascii="Traditional Arabic" w:hAnsi="Traditional Arabic"/>
          <w:rtl/>
        </w:rPr>
        <w:t>.........</w:t>
      </w:r>
      <w:r w:rsidRPr="009C657F">
        <w:rPr>
          <w:rFonts w:ascii="Traditional Arabic" w:hAnsi="Traditional Arabic"/>
          <w:rtl/>
        </w:rPr>
        <w:t>..................................... 254</w:t>
      </w:r>
    </w:p>
    <w:p w:rsidR="009652A2" w:rsidRPr="009C657F" w:rsidRDefault="009652A2" w:rsidP="009652A2">
      <w:pPr>
        <w:bidi w:val="0"/>
        <w:ind w:firstLine="0"/>
        <w:rPr>
          <w:rFonts w:ascii="Traditional Arabic" w:hAnsi="Traditional Arabic"/>
          <w:rtl/>
        </w:rPr>
      </w:pPr>
      <w:r w:rsidRPr="009C657F">
        <w:rPr>
          <w:rFonts w:ascii="Traditional Arabic" w:hAnsi="Traditional Arabic"/>
          <w:rtl/>
        </w:rPr>
        <w:t>علقمة بن قيس بن عبد الله النخعي .............................................. 126</w:t>
      </w:r>
    </w:p>
    <w:p w:rsidR="009652A2" w:rsidRPr="009C657F" w:rsidRDefault="009652A2" w:rsidP="009652A2">
      <w:pPr>
        <w:bidi w:val="0"/>
        <w:ind w:firstLine="0"/>
        <w:rPr>
          <w:rFonts w:ascii="Traditional Arabic" w:hAnsi="Traditional Arabic"/>
          <w:rtl/>
        </w:rPr>
      </w:pPr>
      <w:r w:rsidRPr="009C657F">
        <w:rPr>
          <w:rFonts w:ascii="Traditional Arabic" w:hAnsi="Traditional Arabic"/>
          <w:rtl/>
        </w:rPr>
        <w:t>عَليّ بن إِبْرَاهِيم العكلي</w:t>
      </w:r>
      <w:r>
        <w:rPr>
          <w:rFonts w:ascii="Traditional Arabic" w:hAnsi="Traditional Arabic" w:hint="cs"/>
          <w:rtl/>
        </w:rPr>
        <w:t xml:space="preserve"> = </w:t>
      </w:r>
      <w:r w:rsidRPr="009C657F">
        <w:rPr>
          <w:rFonts w:ascii="Traditional Arabic" w:hAnsi="Traditional Arabic"/>
          <w:rtl/>
        </w:rPr>
        <w:t>أبو ثروان.............................................. 219</w:t>
      </w:r>
    </w:p>
    <w:p w:rsidR="009652A2" w:rsidRPr="009C657F" w:rsidRDefault="009652A2" w:rsidP="009652A2">
      <w:pPr>
        <w:bidi w:val="0"/>
        <w:ind w:firstLine="0"/>
        <w:rPr>
          <w:rFonts w:ascii="Traditional Arabic" w:hAnsi="Traditional Arabic"/>
          <w:rtl/>
        </w:rPr>
      </w:pPr>
      <w:r w:rsidRPr="009C657F">
        <w:rPr>
          <w:rFonts w:ascii="Traditional Arabic" w:hAnsi="Traditional Arabic"/>
          <w:rtl/>
        </w:rPr>
        <w:t>علي بن أَبي طالب بن عبد المطلب الهاشمي........................................ 137</w:t>
      </w:r>
    </w:p>
    <w:p w:rsidR="009652A2" w:rsidRPr="009C657F" w:rsidRDefault="009652A2" w:rsidP="009652A2">
      <w:pPr>
        <w:bidi w:val="0"/>
        <w:ind w:firstLine="0"/>
        <w:rPr>
          <w:rFonts w:ascii="Traditional Arabic" w:hAnsi="Traditional Arabic"/>
          <w:rtl/>
        </w:rPr>
      </w:pPr>
      <w:r w:rsidRPr="009C657F">
        <w:rPr>
          <w:rFonts w:ascii="Traditional Arabic" w:hAnsi="Traditional Arabic"/>
          <w:color w:val="auto"/>
          <w:rtl/>
          <w:lang w:eastAsia="en-US"/>
        </w:rPr>
        <w:t>علي بن أبي طلحة الشامي</w:t>
      </w:r>
      <w:r w:rsidRPr="009C657F">
        <w:rPr>
          <w:rFonts w:ascii="Traditional Arabic" w:hAnsi="Traditional Arabic"/>
          <w:rtl/>
        </w:rPr>
        <w:t>....................................................... 104</w:t>
      </w:r>
    </w:p>
    <w:p w:rsidR="009652A2" w:rsidRPr="009C657F" w:rsidRDefault="009652A2" w:rsidP="009652A2">
      <w:pPr>
        <w:bidi w:val="0"/>
        <w:ind w:firstLine="0"/>
        <w:rPr>
          <w:rFonts w:ascii="Traditional Arabic" w:hAnsi="Traditional Arabic"/>
        </w:rPr>
      </w:pPr>
      <w:r w:rsidRPr="009C657F">
        <w:rPr>
          <w:rFonts w:ascii="Traditional Arabic" w:hAnsi="Traditional Arabic"/>
          <w:color w:val="auto"/>
          <w:rtl/>
          <w:lang w:eastAsia="en-US"/>
        </w:rPr>
        <w:t xml:space="preserve">علي بن حمزة بن عبد الله المعروف بالكسائي </w:t>
      </w:r>
      <w:r w:rsidRPr="009C657F">
        <w:rPr>
          <w:rFonts w:ascii="Traditional Arabic" w:hAnsi="Traditional Arabic"/>
          <w:rtl/>
          <w:lang w:eastAsia="en-US"/>
        </w:rPr>
        <w:t xml:space="preserve"> </w:t>
      </w:r>
      <w:r w:rsidRPr="009C657F">
        <w:rPr>
          <w:rFonts w:ascii="Traditional Arabic" w:hAnsi="Traditional Arabic"/>
          <w:rtl/>
        </w:rPr>
        <w:t>..................................... 100</w:t>
      </w:r>
    </w:p>
    <w:p w:rsidR="009652A2" w:rsidRPr="009C657F" w:rsidRDefault="009652A2" w:rsidP="009652A2">
      <w:pPr>
        <w:bidi w:val="0"/>
        <w:ind w:firstLine="0"/>
        <w:rPr>
          <w:rFonts w:ascii="Traditional Arabic" w:hAnsi="Traditional Arabic"/>
        </w:rPr>
      </w:pPr>
      <w:r w:rsidRPr="009C657F">
        <w:rPr>
          <w:rFonts w:ascii="Traditional Arabic" w:hAnsi="Traditional Arabic"/>
          <w:rtl/>
          <w:lang w:eastAsia="en-US"/>
        </w:rPr>
        <w:t>علي بن داود الناجي</w:t>
      </w:r>
      <w:r>
        <w:rPr>
          <w:rFonts w:ascii="Traditional Arabic" w:hAnsi="Traditional Arabic" w:hint="cs"/>
          <w:rtl/>
        </w:rPr>
        <w:t xml:space="preserve"> = </w:t>
      </w:r>
      <w:r w:rsidRPr="009C657F">
        <w:rPr>
          <w:rFonts w:ascii="Traditional Arabic" w:hAnsi="Traditional Arabic"/>
          <w:rtl/>
          <w:lang w:eastAsia="en-US"/>
        </w:rPr>
        <w:t>أبو المتوكل</w:t>
      </w:r>
      <w:r>
        <w:rPr>
          <w:rFonts w:ascii="Traditional Arabic" w:hAnsi="Traditional Arabic"/>
          <w:rtl/>
        </w:rPr>
        <w:t>............</w:t>
      </w:r>
      <w:r w:rsidRPr="009C657F">
        <w:rPr>
          <w:rFonts w:ascii="Traditional Arabic" w:hAnsi="Traditional Arabic"/>
          <w:rtl/>
        </w:rPr>
        <w:t>.................................... 103</w:t>
      </w:r>
    </w:p>
    <w:p w:rsidR="009652A2" w:rsidRPr="009C657F" w:rsidRDefault="009652A2" w:rsidP="009652A2">
      <w:pPr>
        <w:bidi w:val="0"/>
        <w:ind w:firstLine="0"/>
        <w:rPr>
          <w:rFonts w:ascii="Traditional Arabic" w:hAnsi="Traditional Arabic"/>
        </w:rPr>
      </w:pPr>
      <w:r w:rsidRPr="009C657F">
        <w:rPr>
          <w:rFonts w:ascii="Traditional Arabic" w:hAnsi="Traditional Arabic"/>
          <w:color w:val="auto"/>
          <w:rtl/>
          <w:lang w:eastAsia="en-US"/>
        </w:rPr>
        <w:t>علي بن زيد بن جدعان القرشي.................................................... 95</w:t>
      </w:r>
    </w:p>
    <w:p w:rsidR="009652A2" w:rsidRPr="009C657F" w:rsidRDefault="009652A2" w:rsidP="009652A2">
      <w:pPr>
        <w:bidi w:val="0"/>
        <w:ind w:firstLine="0"/>
        <w:rPr>
          <w:rFonts w:ascii="Traditional Arabic" w:hAnsi="Traditional Arabic"/>
          <w:rtl/>
        </w:rPr>
      </w:pPr>
      <w:r w:rsidRPr="009C657F">
        <w:rPr>
          <w:rFonts w:ascii="Traditional Arabic" w:hAnsi="Traditional Arabic"/>
          <w:rtl/>
        </w:rPr>
        <w:t>علي بن عقيل بن محمد البَغْدَادِيّ................................................. 261</w:t>
      </w:r>
    </w:p>
    <w:p w:rsidR="009652A2" w:rsidRPr="009C657F" w:rsidRDefault="009652A2" w:rsidP="009652A2">
      <w:pPr>
        <w:bidi w:val="0"/>
        <w:ind w:firstLine="0"/>
        <w:rPr>
          <w:rFonts w:ascii="Traditional Arabic" w:hAnsi="Traditional Arabic"/>
        </w:rPr>
      </w:pPr>
      <w:r w:rsidRPr="009C657F">
        <w:rPr>
          <w:rFonts w:ascii="Traditional Arabic" w:hAnsi="Traditional Arabic"/>
          <w:rtl/>
          <w:lang w:eastAsia="en-US"/>
        </w:rPr>
        <w:lastRenderedPageBreak/>
        <w:t>علي بن محمد بن حبيب الماوردي.......................</w:t>
      </w:r>
      <w:r>
        <w:rPr>
          <w:rFonts w:ascii="Traditional Arabic" w:hAnsi="Traditional Arabic"/>
          <w:rtl/>
          <w:lang w:eastAsia="en-US"/>
        </w:rPr>
        <w:t xml:space="preserve">........................... 92 </w:t>
      </w:r>
    </w:p>
    <w:p w:rsidR="009652A2" w:rsidRPr="009C657F" w:rsidRDefault="009652A2" w:rsidP="009652A2">
      <w:pPr>
        <w:bidi w:val="0"/>
        <w:ind w:firstLine="0"/>
      </w:pPr>
      <w:r w:rsidRPr="009C657F">
        <w:rPr>
          <w:rFonts w:ascii="Traditional Arabic" w:hAnsi="Traditional Arabic"/>
          <w:color w:val="auto"/>
          <w:rtl/>
        </w:rPr>
        <w:t>عمر بن الخطاب بن نفيل القرشي..............................</w:t>
      </w:r>
      <w:r w:rsidRPr="009C657F">
        <w:rPr>
          <w:rFonts w:ascii="Traditional Arabic" w:hAnsi="Traditional Arabic" w:hint="cs"/>
          <w:color w:val="auto"/>
          <w:rtl/>
        </w:rPr>
        <w:t>.................. 318</w:t>
      </w:r>
    </w:p>
    <w:p w:rsidR="009652A2" w:rsidRPr="009C657F" w:rsidRDefault="009652A2" w:rsidP="009652A2">
      <w:pPr>
        <w:bidi w:val="0"/>
        <w:ind w:firstLine="0"/>
        <w:rPr>
          <w:rFonts w:ascii="Traditional Arabic" w:hAnsi="Traditional Arabic"/>
        </w:rPr>
      </w:pPr>
      <w:r w:rsidRPr="009C657F">
        <w:rPr>
          <w:rFonts w:ascii="Traditional Arabic" w:hAnsi="Traditional Arabic"/>
          <w:color w:val="auto"/>
          <w:rtl/>
          <w:lang w:eastAsia="en-US"/>
        </w:rPr>
        <w:t>عمران بن ملحان العطاردي</w:t>
      </w:r>
      <w:r>
        <w:rPr>
          <w:rFonts w:ascii="Traditional Arabic" w:hAnsi="Traditional Arabic" w:hint="cs"/>
          <w:color w:val="auto"/>
          <w:rtl/>
          <w:lang w:eastAsia="en-US"/>
        </w:rPr>
        <w:t xml:space="preserve"> = </w:t>
      </w:r>
      <w:r w:rsidRPr="009C657F">
        <w:rPr>
          <w:rFonts w:ascii="Traditional Arabic" w:hAnsi="Traditional Arabic"/>
          <w:color w:val="auto"/>
          <w:rtl/>
          <w:lang w:eastAsia="en-US"/>
        </w:rPr>
        <w:t>أبو رجاء...........................................</w:t>
      </w:r>
      <w:r w:rsidRPr="009C657F">
        <w:rPr>
          <w:rFonts w:ascii="Traditional Arabic" w:hAnsi="Traditional Arabic"/>
          <w:rtl/>
        </w:rPr>
        <w:t xml:space="preserve"> 108</w:t>
      </w:r>
      <w:r w:rsidRPr="009C657F">
        <w:rPr>
          <w:rFonts w:ascii="Traditional Arabic" w:hAnsi="Traditional Arabic"/>
          <w:color w:val="auto"/>
          <w:rtl/>
          <w:lang w:eastAsia="en-US"/>
        </w:rPr>
        <w:t xml:space="preserve"> </w:t>
      </w:r>
    </w:p>
    <w:p w:rsidR="009652A2" w:rsidRPr="009C657F" w:rsidRDefault="009652A2" w:rsidP="009652A2">
      <w:pPr>
        <w:bidi w:val="0"/>
        <w:ind w:firstLine="0"/>
        <w:rPr>
          <w:rtl/>
        </w:rPr>
      </w:pPr>
      <w:r w:rsidRPr="009C657F">
        <w:rPr>
          <w:rFonts w:ascii="Traditional Arabic" w:hAnsi="Traditional Arabic"/>
          <w:rtl/>
        </w:rPr>
        <w:t>عَمْرو بْن العاص بْن وائل الْقُرَشِيّ</w:t>
      </w:r>
      <w:r w:rsidRPr="009C657F">
        <w:rPr>
          <w:rFonts w:hint="cs"/>
          <w:rtl/>
        </w:rPr>
        <w:t>................................................. 228</w:t>
      </w:r>
    </w:p>
    <w:p w:rsidR="009652A2" w:rsidRPr="009C657F" w:rsidRDefault="009652A2" w:rsidP="009652A2">
      <w:pPr>
        <w:bidi w:val="0"/>
        <w:ind w:firstLine="0"/>
      </w:pPr>
      <w:r w:rsidRPr="009C657F">
        <w:rPr>
          <w:rFonts w:ascii="Traditional Arabic" w:hAnsi="Traditional Arabic"/>
          <w:rtl/>
        </w:rPr>
        <w:t>عمرو بن دينار الجمحي</w:t>
      </w:r>
      <w:r w:rsidRPr="009C657F">
        <w:rPr>
          <w:rFonts w:ascii="Traditional Arabic" w:hAnsi="Traditional Arabic" w:hint="cs"/>
          <w:rtl/>
        </w:rPr>
        <w:t>......................................................... 313</w:t>
      </w:r>
    </w:p>
    <w:p w:rsidR="009652A2" w:rsidRPr="009C657F" w:rsidRDefault="009652A2" w:rsidP="009652A2">
      <w:pPr>
        <w:bidi w:val="0"/>
        <w:ind w:firstLine="0"/>
      </w:pPr>
      <w:r w:rsidRPr="009C657F">
        <w:rPr>
          <w:rFonts w:ascii="Traditional Arabic" w:hAnsi="Traditional Arabic"/>
          <w:color w:val="auto"/>
          <w:rtl/>
        </w:rPr>
        <w:t xml:space="preserve">عمرو بن عثمان </w:t>
      </w:r>
      <w:r w:rsidRPr="009C657F">
        <w:rPr>
          <w:rFonts w:ascii="Traditional Arabic" w:hAnsi="Traditional Arabic"/>
          <w:color w:val="auto"/>
          <w:rtl/>
          <w:lang w:eastAsia="en-US"/>
        </w:rPr>
        <w:t>بن قَنْبَرٍ</w:t>
      </w:r>
      <w:r w:rsidRPr="009C657F">
        <w:rPr>
          <w:rFonts w:ascii="Traditional Arabic" w:hAnsi="Traditional Arabic" w:hint="cs"/>
          <w:color w:val="auto"/>
          <w:rtl/>
          <w:lang w:eastAsia="en-US"/>
        </w:rPr>
        <w:t>,</w:t>
      </w:r>
      <w:r w:rsidRPr="009C657F">
        <w:rPr>
          <w:rFonts w:ascii="Traditional Arabic" w:hAnsi="Traditional Arabic"/>
          <w:color w:val="auto"/>
          <w:rtl/>
          <w:lang w:eastAsia="en-US"/>
        </w:rPr>
        <w:t xml:space="preserve"> </w:t>
      </w:r>
      <w:r w:rsidRPr="009C657F">
        <w:rPr>
          <w:rFonts w:ascii="Traditional Arabic" w:hAnsi="Traditional Arabic"/>
          <w:color w:val="auto"/>
          <w:rtl/>
        </w:rPr>
        <w:t>الملقب س</w:t>
      </w:r>
      <w:r w:rsidRPr="009C657F">
        <w:rPr>
          <w:rFonts w:ascii="Traditional Arabic" w:hAnsi="Traditional Arabic" w:hint="cs"/>
          <w:color w:val="auto"/>
          <w:rtl/>
        </w:rPr>
        <w:t>ِ</w:t>
      </w:r>
      <w:r w:rsidRPr="009C657F">
        <w:rPr>
          <w:rFonts w:ascii="Traditional Arabic" w:hAnsi="Traditional Arabic"/>
          <w:color w:val="auto"/>
          <w:rtl/>
        </w:rPr>
        <w:t>ي</w:t>
      </w:r>
      <w:r w:rsidRPr="009C657F">
        <w:rPr>
          <w:rFonts w:ascii="Traditional Arabic" w:hAnsi="Traditional Arabic" w:hint="cs"/>
          <w:color w:val="auto"/>
          <w:rtl/>
        </w:rPr>
        <w:t>ْ</w:t>
      </w:r>
      <w:r w:rsidRPr="009C657F">
        <w:rPr>
          <w:rFonts w:ascii="Traditional Arabic" w:hAnsi="Traditional Arabic"/>
          <w:color w:val="auto"/>
          <w:rtl/>
        </w:rPr>
        <w:t>ب</w:t>
      </w:r>
      <w:r w:rsidRPr="009C657F">
        <w:rPr>
          <w:rFonts w:ascii="Traditional Arabic" w:hAnsi="Traditional Arabic" w:hint="cs"/>
          <w:color w:val="auto"/>
          <w:rtl/>
        </w:rPr>
        <w:t>َ</w:t>
      </w:r>
      <w:r w:rsidRPr="009C657F">
        <w:rPr>
          <w:rFonts w:ascii="Traditional Arabic" w:hAnsi="Traditional Arabic"/>
          <w:color w:val="auto"/>
          <w:rtl/>
        </w:rPr>
        <w:t>و</w:t>
      </w:r>
      <w:r w:rsidRPr="009C657F">
        <w:rPr>
          <w:rFonts w:ascii="Traditional Arabic" w:hAnsi="Traditional Arabic" w:hint="cs"/>
          <w:color w:val="auto"/>
          <w:rtl/>
        </w:rPr>
        <w:t>ْ</w:t>
      </w:r>
      <w:r w:rsidRPr="009C657F">
        <w:rPr>
          <w:rFonts w:ascii="Traditional Arabic" w:hAnsi="Traditional Arabic"/>
          <w:color w:val="auto"/>
          <w:rtl/>
        </w:rPr>
        <w:t>ي</w:t>
      </w:r>
      <w:r w:rsidRPr="009C657F">
        <w:rPr>
          <w:rFonts w:ascii="Traditional Arabic" w:hAnsi="Traditional Arabic" w:hint="cs"/>
          <w:color w:val="auto"/>
          <w:rtl/>
        </w:rPr>
        <w:t>َ</w:t>
      </w:r>
      <w:r w:rsidRPr="009C657F">
        <w:rPr>
          <w:rFonts w:ascii="Traditional Arabic" w:hAnsi="Traditional Arabic"/>
          <w:color w:val="auto"/>
          <w:rtl/>
        </w:rPr>
        <w:t>ه</w:t>
      </w:r>
      <w:r w:rsidRPr="009C657F">
        <w:rPr>
          <w:rFonts w:hint="cs"/>
          <w:rtl/>
        </w:rPr>
        <w:t>...........................................232</w:t>
      </w:r>
    </w:p>
    <w:p w:rsidR="009652A2" w:rsidRPr="009C657F" w:rsidRDefault="009652A2" w:rsidP="009652A2">
      <w:pPr>
        <w:bidi w:val="0"/>
        <w:ind w:firstLine="0"/>
        <w:rPr>
          <w:rFonts w:ascii="Traditional Arabic" w:hAnsi="Traditional Arabic"/>
          <w:rtl/>
        </w:rPr>
      </w:pPr>
      <w:r w:rsidRPr="009C657F">
        <w:rPr>
          <w:rFonts w:ascii="Traditional Arabic" w:hAnsi="Traditional Arabic"/>
          <w:rtl/>
        </w:rPr>
        <w:t>عمرو بن كلثوم بن مالك بن عتّاب</w:t>
      </w:r>
      <w:r w:rsidRPr="009C657F">
        <w:rPr>
          <w:rFonts w:ascii="Traditional Arabic" w:hAnsi="Traditional Arabic" w:hint="cs"/>
          <w:rtl/>
        </w:rPr>
        <w:t>............................................... 315</w:t>
      </w:r>
    </w:p>
    <w:p w:rsidR="009652A2" w:rsidRPr="009C657F" w:rsidRDefault="009652A2" w:rsidP="009652A2">
      <w:pPr>
        <w:bidi w:val="0"/>
        <w:ind w:firstLine="0"/>
        <w:rPr>
          <w:rFonts w:ascii="Traditional Arabic" w:hAnsi="Traditional Arabic"/>
          <w:rtl/>
        </w:rPr>
      </w:pPr>
      <w:r w:rsidRPr="009C657F">
        <w:rPr>
          <w:rFonts w:ascii="Traditional Arabic" w:hAnsi="Traditional Arabic"/>
          <w:rtl/>
          <w:lang w:eastAsia="en-US"/>
        </w:rPr>
        <w:t>عمرو بن هشام بن المغيرة</w:t>
      </w:r>
      <w:r>
        <w:rPr>
          <w:rFonts w:ascii="Traditional Arabic" w:hAnsi="Traditional Arabic" w:hint="cs"/>
          <w:rtl/>
        </w:rPr>
        <w:t xml:space="preserve"> = </w:t>
      </w:r>
      <w:r w:rsidRPr="009C657F">
        <w:rPr>
          <w:rFonts w:ascii="Traditional Arabic" w:hAnsi="Traditional Arabic"/>
          <w:rtl/>
        </w:rPr>
        <w:t>أبو جهل.............................................. 96</w:t>
      </w:r>
    </w:p>
    <w:p w:rsidR="009652A2" w:rsidRPr="009C657F" w:rsidRDefault="009652A2" w:rsidP="009652A2">
      <w:pPr>
        <w:bidi w:val="0"/>
        <w:ind w:firstLine="0"/>
        <w:rPr>
          <w:rFonts w:ascii="Traditional Arabic" w:hAnsi="Traditional Arabic"/>
          <w:rtl/>
        </w:rPr>
      </w:pPr>
      <w:r w:rsidRPr="009C657F">
        <w:rPr>
          <w:rFonts w:ascii="Traditional Arabic" w:hAnsi="Traditional Arabic"/>
          <w:rtl/>
        </w:rPr>
        <w:t>عويمر بن زيد الخزرجي</w:t>
      </w:r>
      <w:r w:rsidRPr="009C657F">
        <w:rPr>
          <w:rFonts w:ascii="Traditional Arabic" w:hAnsi="Traditional Arabic"/>
          <w:rtl/>
          <w:lang w:eastAsia="en-US"/>
        </w:rPr>
        <w:t xml:space="preserve"> </w:t>
      </w:r>
      <w:r w:rsidRPr="009C657F">
        <w:rPr>
          <w:rFonts w:ascii="Traditional Arabic" w:hAnsi="Traditional Arabic"/>
          <w:rtl/>
        </w:rPr>
        <w:t>الأنصاري</w:t>
      </w:r>
      <w:r>
        <w:rPr>
          <w:rFonts w:ascii="Traditional Arabic" w:hAnsi="Traditional Arabic" w:hint="cs"/>
          <w:rtl/>
        </w:rPr>
        <w:t xml:space="preserve"> = </w:t>
      </w:r>
      <w:r w:rsidRPr="009C657F">
        <w:rPr>
          <w:rFonts w:ascii="Traditional Arabic" w:hAnsi="Traditional Arabic"/>
          <w:rtl/>
        </w:rPr>
        <w:t>أبو الدرداء..................................... 164</w:t>
      </w:r>
    </w:p>
    <w:p w:rsidR="009652A2" w:rsidRPr="009C657F" w:rsidRDefault="009652A2" w:rsidP="009652A2">
      <w:pPr>
        <w:bidi w:val="0"/>
        <w:ind w:firstLine="0"/>
      </w:pPr>
      <w:r w:rsidRPr="009C657F">
        <w:rPr>
          <w:rFonts w:ascii="Traditional Arabic" w:hAnsi="Traditional Arabic"/>
          <w:rtl/>
        </w:rPr>
        <w:t>عيينة بن حصين بن الفزاري</w:t>
      </w:r>
      <w:r w:rsidRPr="009C657F">
        <w:rPr>
          <w:rFonts w:hint="cs"/>
          <w:rtl/>
        </w:rPr>
        <w:t>...................................................... 204</w:t>
      </w:r>
    </w:p>
    <w:p w:rsidR="009652A2" w:rsidRPr="009C657F" w:rsidRDefault="009652A2" w:rsidP="009652A2">
      <w:pPr>
        <w:bidi w:val="0"/>
        <w:ind w:firstLine="0"/>
        <w:rPr>
          <w:rFonts w:ascii="Traditional Arabic" w:hAnsi="Traditional Arabic"/>
        </w:rPr>
      </w:pPr>
      <w:r w:rsidRPr="009C657F">
        <w:rPr>
          <w:rFonts w:ascii="Traditional Arabic" w:hAnsi="Traditional Arabic"/>
          <w:color w:val="auto"/>
          <w:rtl/>
          <w:lang w:eastAsia="en-US"/>
        </w:rPr>
        <w:t>غزوان الغفاري</w:t>
      </w:r>
      <w:r>
        <w:rPr>
          <w:rFonts w:ascii="Traditional Arabic" w:hAnsi="Traditional Arabic" w:hint="cs"/>
          <w:rtl/>
        </w:rPr>
        <w:t xml:space="preserve"> = </w:t>
      </w:r>
      <w:r w:rsidRPr="009C657F">
        <w:rPr>
          <w:rFonts w:ascii="Traditional Arabic" w:hAnsi="Traditional Arabic"/>
          <w:color w:val="auto"/>
          <w:rtl/>
          <w:lang w:eastAsia="en-US"/>
        </w:rPr>
        <w:t>أبو مالك</w:t>
      </w:r>
      <w:r w:rsidRPr="009C657F">
        <w:rPr>
          <w:rFonts w:ascii="Traditional Arabic" w:hAnsi="Traditional Arabic"/>
          <w:rtl/>
        </w:rPr>
        <w:t>........................................................ 94</w:t>
      </w:r>
    </w:p>
    <w:p w:rsidR="009652A2" w:rsidRPr="009C657F" w:rsidRDefault="009652A2" w:rsidP="009652A2">
      <w:pPr>
        <w:bidi w:val="0"/>
        <w:ind w:firstLine="0"/>
        <w:rPr>
          <w:rtl/>
        </w:rPr>
      </w:pPr>
      <w:r w:rsidRPr="009C657F">
        <w:rPr>
          <w:rFonts w:ascii="Traditional Arabic" w:hAnsi="Traditional Arabic"/>
          <w:rtl/>
        </w:rPr>
        <w:t>غيلان بن عقبة بن بهيش</w:t>
      </w:r>
      <w:r w:rsidRPr="009C657F">
        <w:rPr>
          <w:rFonts w:ascii="Traditional Arabic" w:hAnsi="Traditional Arabic" w:hint="cs"/>
          <w:rtl/>
        </w:rPr>
        <w:t xml:space="preserve">, </w:t>
      </w:r>
      <w:r w:rsidRPr="009C657F">
        <w:rPr>
          <w:rFonts w:ascii="Traditional Arabic" w:hAnsi="Traditional Arabic"/>
          <w:rtl/>
        </w:rPr>
        <w:t>المعروف بذي الرمة</w:t>
      </w:r>
      <w:r w:rsidRPr="009C657F">
        <w:rPr>
          <w:rFonts w:hint="cs"/>
          <w:rtl/>
        </w:rPr>
        <w:t>.......................................124</w:t>
      </w:r>
    </w:p>
    <w:p w:rsidR="009652A2" w:rsidRPr="009C657F" w:rsidRDefault="009652A2" w:rsidP="009652A2">
      <w:pPr>
        <w:bidi w:val="0"/>
        <w:ind w:firstLine="0"/>
      </w:pPr>
      <w:r w:rsidRPr="009C657F">
        <w:rPr>
          <w:rFonts w:ascii="Traditional Arabic" w:hAnsi="Traditional Arabic"/>
          <w:color w:val="auto"/>
          <w:rtl/>
          <w:lang w:eastAsia="en-US"/>
        </w:rPr>
        <w:t>قتادة بن دعامة بن عزيز السدوسي</w:t>
      </w:r>
      <w:r w:rsidRPr="009C657F">
        <w:rPr>
          <w:rFonts w:ascii="Traditional Arabic" w:hAnsi="Traditional Arabic" w:hint="cs"/>
          <w:color w:val="auto"/>
          <w:rtl/>
          <w:lang w:eastAsia="en-US"/>
        </w:rPr>
        <w:t>................................................. 93</w:t>
      </w:r>
    </w:p>
    <w:p w:rsidR="009652A2" w:rsidRPr="009C657F" w:rsidRDefault="009652A2" w:rsidP="009652A2">
      <w:pPr>
        <w:bidi w:val="0"/>
        <w:ind w:firstLine="0"/>
        <w:rPr>
          <w:rtl/>
        </w:rPr>
      </w:pPr>
      <w:r w:rsidRPr="009C657F">
        <w:rPr>
          <w:rFonts w:ascii="Traditional Arabic" w:hAnsi="Traditional Arabic"/>
          <w:rtl/>
        </w:rPr>
        <w:t>قصي بن كلاب بن مرة بن كعب</w:t>
      </w:r>
      <w:r w:rsidRPr="009C657F">
        <w:rPr>
          <w:rFonts w:hint="cs"/>
          <w:rtl/>
        </w:rPr>
        <w:t>................................................. 142</w:t>
      </w:r>
    </w:p>
    <w:p w:rsidR="009652A2" w:rsidRPr="009C657F" w:rsidRDefault="009652A2" w:rsidP="009652A2">
      <w:pPr>
        <w:bidi w:val="0"/>
        <w:ind w:firstLine="0"/>
        <w:rPr>
          <w:rFonts w:ascii="Traditional Arabic" w:hAnsi="Traditional Arabic"/>
          <w:color w:val="auto"/>
          <w:rtl/>
          <w:lang w:eastAsia="en-US"/>
        </w:rPr>
      </w:pPr>
      <w:r w:rsidRPr="009C657F">
        <w:rPr>
          <w:rFonts w:ascii="Traditional Arabic" w:hAnsi="Traditional Arabic"/>
          <w:color w:val="auto"/>
          <w:rtl/>
          <w:lang w:eastAsia="en-US"/>
        </w:rPr>
        <w:t>قعنب بن أبي قعنب العدوي البصري</w:t>
      </w:r>
      <w:r>
        <w:rPr>
          <w:rFonts w:ascii="Traditional Arabic" w:hAnsi="Traditional Arabic" w:hint="cs"/>
          <w:color w:val="auto"/>
          <w:rtl/>
          <w:lang w:eastAsia="en-US"/>
        </w:rPr>
        <w:t xml:space="preserve"> = </w:t>
      </w:r>
      <w:r w:rsidRPr="009C657F">
        <w:rPr>
          <w:rFonts w:ascii="Traditional Arabic" w:hAnsi="Traditional Arabic"/>
          <w:color w:val="auto"/>
          <w:rtl/>
          <w:lang w:eastAsia="en-US"/>
        </w:rPr>
        <w:t>أبو السَمّال</w:t>
      </w:r>
      <w:r>
        <w:rPr>
          <w:rFonts w:ascii="Traditional Arabic" w:hAnsi="Traditional Arabic"/>
          <w:color w:val="auto"/>
          <w:rtl/>
          <w:lang w:eastAsia="en-US"/>
        </w:rPr>
        <w:t>.................</w:t>
      </w:r>
      <w:r w:rsidRPr="009C657F">
        <w:rPr>
          <w:rFonts w:ascii="Traditional Arabic" w:hAnsi="Traditional Arabic"/>
          <w:color w:val="auto"/>
          <w:rtl/>
          <w:lang w:eastAsia="en-US"/>
        </w:rPr>
        <w:t>................ 181</w:t>
      </w:r>
    </w:p>
    <w:p w:rsidR="009652A2" w:rsidRPr="009C657F" w:rsidRDefault="009652A2" w:rsidP="009652A2">
      <w:pPr>
        <w:bidi w:val="0"/>
        <w:ind w:firstLine="0"/>
        <w:rPr>
          <w:rtl/>
        </w:rPr>
      </w:pPr>
      <w:r w:rsidRPr="009C657F">
        <w:rPr>
          <w:rFonts w:ascii="Traditional Arabic" w:hAnsi="Traditional Arabic" w:hint="cs"/>
          <w:rtl/>
        </w:rPr>
        <w:t>كعب بن ماتع الحميريُّ اليمانيٌ، المعروف بكعب الأحبار</w:t>
      </w:r>
      <w:r w:rsidRPr="009C657F">
        <w:rPr>
          <w:rFonts w:hint="cs"/>
          <w:rtl/>
        </w:rPr>
        <w:t>............................ 171</w:t>
      </w:r>
    </w:p>
    <w:p w:rsidR="009652A2" w:rsidRPr="009C657F" w:rsidRDefault="009652A2" w:rsidP="009652A2">
      <w:pPr>
        <w:bidi w:val="0"/>
        <w:ind w:firstLine="0"/>
      </w:pPr>
      <w:r w:rsidRPr="009C657F">
        <w:rPr>
          <w:rFonts w:ascii="Traditional Arabic" w:hAnsi="Traditional Arabic"/>
          <w:rtl/>
        </w:rPr>
        <w:t>كليب بن ربيعة بن الحارث بن مرة التغلبي</w:t>
      </w:r>
      <w:r w:rsidRPr="009C657F">
        <w:rPr>
          <w:rFonts w:ascii="Traditional Arabic" w:hAnsi="Traditional Arabic" w:hint="cs"/>
          <w:rtl/>
        </w:rPr>
        <w:t>.......................................... 119</w:t>
      </w:r>
    </w:p>
    <w:p w:rsidR="009652A2" w:rsidRPr="009C657F" w:rsidRDefault="009652A2" w:rsidP="009652A2">
      <w:pPr>
        <w:bidi w:val="0"/>
        <w:ind w:firstLine="0"/>
        <w:rPr>
          <w:rFonts w:ascii="Traditional Arabic" w:hAnsi="Traditional Arabic"/>
          <w:rtl/>
        </w:rPr>
      </w:pPr>
      <w:r w:rsidRPr="009C657F">
        <w:rPr>
          <w:rFonts w:ascii="Traditional Arabic" w:hAnsi="Traditional Arabic"/>
          <w:rtl/>
        </w:rPr>
        <w:t>لَاحق بن حميد بن سعيد السدُوسِي</w:t>
      </w:r>
      <w:r>
        <w:rPr>
          <w:rFonts w:ascii="Traditional Arabic" w:hAnsi="Traditional Arabic" w:hint="cs"/>
          <w:rtl/>
        </w:rPr>
        <w:t xml:space="preserve"> =</w:t>
      </w:r>
      <w:r w:rsidRPr="009652A2">
        <w:rPr>
          <w:rFonts w:ascii="Traditional Arabic" w:hAnsi="Traditional Arabic"/>
          <w:rtl/>
        </w:rPr>
        <w:t xml:space="preserve"> </w:t>
      </w:r>
      <w:r w:rsidRPr="009C657F">
        <w:rPr>
          <w:rFonts w:ascii="Traditional Arabic" w:hAnsi="Traditional Arabic"/>
          <w:rtl/>
        </w:rPr>
        <w:t>أَبُو مجلز</w:t>
      </w:r>
      <w:r>
        <w:rPr>
          <w:rFonts w:ascii="Traditional Arabic" w:hAnsi="Traditional Arabic"/>
          <w:rtl/>
        </w:rPr>
        <w:t>....</w:t>
      </w:r>
      <w:r w:rsidRPr="009C657F">
        <w:rPr>
          <w:rFonts w:ascii="Traditional Arabic" w:hAnsi="Traditional Arabic"/>
          <w:rtl/>
        </w:rPr>
        <w:t>................................ 143</w:t>
      </w:r>
    </w:p>
    <w:p w:rsidR="009652A2" w:rsidRPr="009C657F" w:rsidRDefault="009652A2" w:rsidP="009652A2">
      <w:pPr>
        <w:bidi w:val="0"/>
        <w:ind w:firstLine="0"/>
      </w:pPr>
      <w:r w:rsidRPr="009C657F">
        <w:rPr>
          <w:rFonts w:ascii="Traditional Arabic" w:hAnsi="Traditional Arabic"/>
          <w:rtl/>
        </w:rPr>
        <w:t>لبيد بن ربيعة بن مالك الهوزاني العامري</w:t>
      </w:r>
      <w:r w:rsidRPr="009C657F">
        <w:rPr>
          <w:rFonts w:hint="cs"/>
          <w:rtl/>
        </w:rPr>
        <w:t>............................................ 127</w:t>
      </w:r>
    </w:p>
    <w:p w:rsidR="009652A2" w:rsidRPr="009C657F" w:rsidRDefault="009652A2" w:rsidP="009652A2">
      <w:pPr>
        <w:bidi w:val="0"/>
        <w:ind w:firstLine="0"/>
        <w:rPr>
          <w:rtl/>
        </w:rPr>
      </w:pPr>
      <w:r w:rsidRPr="009C657F">
        <w:rPr>
          <w:rFonts w:ascii="Traditional Arabic" w:hAnsi="Traditional Arabic"/>
          <w:rtl/>
        </w:rPr>
        <w:t xml:space="preserve">الليث بن سعد بن عبد الرحمن </w:t>
      </w:r>
      <w:r w:rsidRPr="009C657F">
        <w:rPr>
          <w:rFonts w:ascii="Traditional Arabic" w:hAnsi="Traditional Arabic" w:hint="cs"/>
          <w:rtl/>
        </w:rPr>
        <w:t>الفهمي</w:t>
      </w:r>
      <w:r w:rsidRPr="009C657F">
        <w:rPr>
          <w:rFonts w:hint="cs"/>
          <w:rtl/>
        </w:rPr>
        <w:t>............................................ 135</w:t>
      </w:r>
    </w:p>
    <w:p w:rsidR="009652A2" w:rsidRPr="009C657F" w:rsidRDefault="009652A2" w:rsidP="009652A2">
      <w:pPr>
        <w:bidi w:val="0"/>
        <w:ind w:firstLine="0"/>
        <w:rPr>
          <w:rFonts w:ascii="Traditional Arabic" w:hAnsi="Traditional Arabic"/>
        </w:rPr>
      </w:pPr>
      <w:r w:rsidRPr="009C657F">
        <w:rPr>
          <w:rFonts w:ascii="Traditional Arabic" w:hAnsi="Traditional Arabic"/>
          <w:rtl/>
        </w:rPr>
        <w:t>ليلى بنت عبد الله بن الرحال الأخيلية</w:t>
      </w:r>
      <w:r w:rsidRPr="009C657F">
        <w:rPr>
          <w:rFonts w:ascii="Traditional Arabic" w:hAnsi="Traditional Arabic" w:hint="cs"/>
          <w:rtl/>
        </w:rPr>
        <w:t>............................................. 252</w:t>
      </w:r>
      <w:r w:rsidRPr="009C657F">
        <w:rPr>
          <w:rFonts w:ascii="Traditional Arabic" w:hAnsi="Traditional Arabic"/>
          <w:rtl/>
          <w:lang w:eastAsia="en-US"/>
        </w:rPr>
        <w:t xml:space="preserve"> </w:t>
      </w:r>
    </w:p>
    <w:p w:rsidR="009652A2" w:rsidRPr="009C657F" w:rsidRDefault="009652A2" w:rsidP="009652A2">
      <w:pPr>
        <w:bidi w:val="0"/>
        <w:ind w:firstLine="0"/>
      </w:pPr>
      <w:r w:rsidRPr="009C657F">
        <w:rPr>
          <w:rFonts w:ascii="Traditional Arabic" w:hAnsi="Traditional Arabic"/>
          <w:rtl/>
        </w:rPr>
        <w:t>مالك بن أنس بن مالك الحِمْيَرِيُّ</w:t>
      </w:r>
      <w:r w:rsidRPr="009C657F">
        <w:rPr>
          <w:rFonts w:hint="cs"/>
          <w:rtl/>
        </w:rPr>
        <w:t>................................................. 198</w:t>
      </w:r>
    </w:p>
    <w:p w:rsidR="009652A2" w:rsidRPr="009C657F" w:rsidRDefault="009652A2" w:rsidP="009652A2">
      <w:pPr>
        <w:bidi w:val="0"/>
        <w:ind w:firstLine="0"/>
        <w:rPr>
          <w:rtl/>
        </w:rPr>
      </w:pPr>
      <w:r w:rsidRPr="009C657F">
        <w:rPr>
          <w:rFonts w:ascii="Traditional Arabic" w:hAnsi="Traditional Arabic"/>
          <w:color w:val="auto"/>
          <w:rtl/>
          <w:lang w:eastAsia="en-US"/>
        </w:rPr>
        <w:t xml:space="preserve">مجاهد بن جبر المَكي </w:t>
      </w:r>
      <w:r w:rsidRPr="009C657F">
        <w:rPr>
          <w:rFonts w:ascii="Traditional Arabic" w:hAnsi="Traditional Arabic" w:hint="cs"/>
          <w:color w:val="auto"/>
          <w:rtl/>
          <w:lang w:eastAsia="en-US"/>
        </w:rPr>
        <w:t>............................................................. 93</w:t>
      </w:r>
    </w:p>
    <w:p w:rsidR="009652A2" w:rsidRPr="009C657F" w:rsidRDefault="009652A2" w:rsidP="009652A2">
      <w:pPr>
        <w:bidi w:val="0"/>
        <w:ind w:firstLine="0"/>
        <w:rPr>
          <w:rFonts w:ascii="Traditional Arabic" w:hAnsi="Traditional Arabic"/>
        </w:rPr>
      </w:pPr>
      <w:r w:rsidRPr="009C657F">
        <w:rPr>
          <w:rFonts w:ascii="Traditional Arabic" w:hAnsi="Traditional Arabic"/>
          <w:rtl/>
        </w:rPr>
        <w:t xml:space="preserve">محمد بن احمد بن الأزهر </w:t>
      </w:r>
      <w:r>
        <w:rPr>
          <w:rFonts w:ascii="Traditional Arabic" w:hAnsi="Traditional Arabic" w:hint="cs"/>
          <w:rtl/>
        </w:rPr>
        <w:t>=</w:t>
      </w:r>
      <w:r w:rsidRPr="009652A2">
        <w:rPr>
          <w:rFonts w:ascii="Traditional Arabic" w:hAnsi="Traditional Arabic"/>
          <w:rtl/>
        </w:rPr>
        <w:t xml:space="preserve"> </w:t>
      </w:r>
      <w:r w:rsidRPr="009C657F">
        <w:rPr>
          <w:rFonts w:ascii="Traditional Arabic" w:hAnsi="Traditional Arabic"/>
          <w:rtl/>
        </w:rPr>
        <w:t>أبو منصور</w:t>
      </w:r>
      <w:r w:rsidRPr="009652A2">
        <w:rPr>
          <w:rFonts w:ascii="Traditional Arabic" w:hAnsi="Traditional Arabic"/>
          <w:rtl/>
        </w:rPr>
        <w:t xml:space="preserve"> </w:t>
      </w:r>
      <w:r w:rsidRPr="009C657F">
        <w:rPr>
          <w:rFonts w:ascii="Traditional Arabic" w:hAnsi="Traditional Arabic"/>
          <w:rtl/>
        </w:rPr>
        <w:t>الأزهري</w:t>
      </w:r>
      <w:r>
        <w:rPr>
          <w:rFonts w:ascii="Traditional Arabic" w:hAnsi="Traditional Arabic"/>
          <w:rtl/>
        </w:rPr>
        <w:t>........</w:t>
      </w:r>
      <w:r w:rsidRPr="009C657F">
        <w:rPr>
          <w:rFonts w:ascii="Traditional Arabic" w:hAnsi="Traditional Arabic"/>
          <w:rtl/>
        </w:rPr>
        <w:t>............................ 122</w:t>
      </w:r>
    </w:p>
    <w:p w:rsidR="009652A2" w:rsidRPr="009C657F" w:rsidRDefault="009652A2" w:rsidP="009652A2">
      <w:pPr>
        <w:bidi w:val="0"/>
        <w:ind w:firstLine="0"/>
        <w:rPr>
          <w:rFonts w:ascii="Traditional Arabic" w:hAnsi="Traditional Arabic"/>
          <w:color w:val="auto"/>
          <w:rtl/>
        </w:rPr>
      </w:pPr>
      <w:r w:rsidRPr="009C657F">
        <w:rPr>
          <w:rFonts w:ascii="Traditional Arabic" w:hAnsi="Traditional Arabic"/>
          <w:color w:val="auto"/>
          <w:rtl/>
        </w:rPr>
        <w:t>محمد بن أحمد بن عمر</w:t>
      </w:r>
      <w:r w:rsidRPr="009C657F">
        <w:rPr>
          <w:rFonts w:ascii="Traditional Arabic" w:hAnsi="Traditional Arabic"/>
          <w:color w:val="auto"/>
          <w:rtl/>
          <w:lang w:eastAsia="en-US"/>
        </w:rPr>
        <w:t xml:space="preserve"> </w:t>
      </w:r>
      <w:r w:rsidRPr="009C657F">
        <w:rPr>
          <w:rFonts w:ascii="Traditional Arabic" w:hAnsi="Traditional Arabic"/>
          <w:color w:val="auto"/>
          <w:rtl/>
        </w:rPr>
        <w:t>بن أحمد الرملي, الداجوني</w:t>
      </w:r>
      <w:r w:rsidRPr="009C657F">
        <w:rPr>
          <w:rFonts w:ascii="Traditional Arabic" w:hAnsi="Traditional Arabic" w:hint="cs"/>
          <w:color w:val="auto"/>
          <w:rtl/>
        </w:rPr>
        <w:t>.................................. 250</w:t>
      </w:r>
    </w:p>
    <w:p w:rsidR="009652A2" w:rsidRPr="009C657F" w:rsidRDefault="009652A2" w:rsidP="009652A2">
      <w:pPr>
        <w:bidi w:val="0"/>
        <w:ind w:firstLine="0"/>
        <w:rPr>
          <w:rtl/>
        </w:rPr>
      </w:pPr>
      <w:r w:rsidRPr="009C657F">
        <w:rPr>
          <w:rFonts w:ascii="Traditional Arabic" w:hAnsi="Traditional Arabic"/>
          <w:rtl/>
        </w:rPr>
        <w:lastRenderedPageBreak/>
        <w:t>محمد بن إدريس القرشي</w:t>
      </w:r>
      <w:r w:rsidRPr="009C657F">
        <w:rPr>
          <w:rFonts w:ascii="Traditional Arabic" w:hAnsi="Traditional Arabic" w:hint="cs"/>
          <w:rtl/>
        </w:rPr>
        <w:t xml:space="preserve">, </w:t>
      </w:r>
      <w:r w:rsidRPr="009C657F">
        <w:rPr>
          <w:rFonts w:ascii="Traditional Arabic" w:hAnsi="Traditional Arabic"/>
          <w:rtl/>
        </w:rPr>
        <w:t>الشافعي</w:t>
      </w:r>
      <w:r w:rsidRPr="009C657F">
        <w:rPr>
          <w:rFonts w:hint="cs"/>
          <w:rtl/>
        </w:rPr>
        <w:t>................................................ 198</w:t>
      </w:r>
    </w:p>
    <w:p w:rsidR="009652A2" w:rsidRPr="009C657F" w:rsidRDefault="009652A2" w:rsidP="009652A2">
      <w:pPr>
        <w:bidi w:val="0"/>
        <w:ind w:firstLine="0"/>
        <w:rPr>
          <w:rtl/>
        </w:rPr>
      </w:pPr>
      <w:r w:rsidRPr="009C657F">
        <w:rPr>
          <w:rFonts w:ascii="Traditional Arabic" w:hAnsi="Traditional Arabic"/>
          <w:rtl/>
        </w:rPr>
        <w:t>محمد بن إسحاق بن يسار</w:t>
      </w:r>
      <w:r w:rsidRPr="009C657F">
        <w:rPr>
          <w:rFonts w:hint="cs"/>
          <w:rtl/>
        </w:rPr>
        <w:t>....................................................... 175</w:t>
      </w:r>
    </w:p>
    <w:p w:rsidR="009652A2" w:rsidRPr="009C657F" w:rsidRDefault="009652A2" w:rsidP="009652A2">
      <w:pPr>
        <w:bidi w:val="0"/>
        <w:ind w:firstLine="0"/>
      </w:pPr>
      <w:r w:rsidRPr="009C657F">
        <w:rPr>
          <w:rFonts w:ascii="Traditional Arabic" w:hAnsi="Traditional Arabic"/>
          <w:rtl/>
        </w:rPr>
        <w:t>محمد بن إسماعيل بن إبراهيم البخاري</w:t>
      </w:r>
      <w:r w:rsidRPr="009C657F">
        <w:rPr>
          <w:rFonts w:hint="cs"/>
          <w:rtl/>
        </w:rPr>
        <w:t>............................................. 147</w:t>
      </w:r>
    </w:p>
    <w:p w:rsidR="009652A2" w:rsidRPr="009C657F" w:rsidRDefault="009652A2" w:rsidP="009652A2">
      <w:pPr>
        <w:bidi w:val="0"/>
        <w:ind w:firstLine="0"/>
        <w:rPr>
          <w:rFonts w:ascii="Traditional Arabic" w:hAnsi="Traditional Arabic"/>
        </w:rPr>
      </w:pPr>
      <w:r>
        <w:rPr>
          <w:rFonts w:ascii="Traditional Arabic" w:hAnsi="Traditional Arabic"/>
          <w:rtl/>
          <w:lang w:eastAsia="en-US"/>
        </w:rPr>
        <w:t>محمد بن إِسماعيل بن العباس</w:t>
      </w:r>
      <w:r>
        <w:rPr>
          <w:rFonts w:ascii="Traditional Arabic" w:hAnsi="Traditional Arabic" w:hint="cs"/>
          <w:rtl/>
          <w:lang w:eastAsia="en-US"/>
        </w:rPr>
        <w:t xml:space="preserve"> = </w:t>
      </w:r>
      <w:r w:rsidRPr="009C657F">
        <w:rPr>
          <w:rFonts w:ascii="Traditional Arabic" w:hAnsi="Traditional Arabic"/>
          <w:rtl/>
          <w:lang w:eastAsia="en-US"/>
        </w:rPr>
        <w:t>أبو بكر الوَرَّاق</w:t>
      </w:r>
      <w:r w:rsidRPr="009C657F">
        <w:rPr>
          <w:rFonts w:ascii="Traditional Arabic" w:hAnsi="Traditional Arabic"/>
          <w:rtl/>
        </w:rPr>
        <w:t>...</w:t>
      </w:r>
      <w:r>
        <w:rPr>
          <w:rFonts w:ascii="Traditional Arabic" w:hAnsi="Traditional Arabic" w:hint="cs"/>
          <w:rtl/>
        </w:rPr>
        <w:t>.</w:t>
      </w:r>
      <w:r w:rsidRPr="009C657F">
        <w:rPr>
          <w:rFonts w:ascii="Traditional Arabic" w:hAnsi="Traditional Arabic"/>
          <w:rtl/>
        </w:rPr>
        <w:t>................................. 115</w:t>
      </w:r>
    </w:p>
    <w:p w:rsidR="009652A2" w:rsidRPr="009C657F" w:rsidRDefault="009652A2" w:rsidP="009652A2">
      <w:pPr>
        <w:bidi w:val="0"/>
        <w:ind w:firstLine="0"/>
        <w:rPr>
          <w:rtl/>
        </w:rPr>
      </w:pPr>
      <w:r w:rsidRPr="009C657F">
        <w:rPr>
          <w:rFonts w:ascii="Traditional Arabic" w:hAnsi="Traditional Arabic"/>
          <w:rtl/>
        </w:rPr>
        <w:t>محمد بن الحسن بن دريد الأزدي</w:t>
      </w:r>
      <w:r w:rsidRPr="009C657F">
        <w:rPr>
          <w:rFonts w:hint="cs"/>
          <w:rtl/>
        </w:rPr>
        <w:t>................................................. 212</w:t>
      </w:r>
    </w:p>
    <w:p w:rsidR="009652A2" w:rsidRPr="009C657F" w:rsidRDefault="009652A2" w:rsidP="009652A2">
      <w:pPr>
        <w:bidi w:val="0"/>
        <w:ind w:firstLine="0"/>
        <w:rPr>
          <w:rFonts w:ascii="Traditional Arabic" w:hAnsi="Traditional Arabic"/>
          <w:rtl/>
        </w:rPr>
      </w:pPr>
      <w:r w:rsidRPr="009C657F">
        <w:rPr>
          <w:rFonts w:ascii="Traditional Arabic" w:hAnsi="Traditional Arabic"/>
          <w:rtl/>
        </w:rPr>
        <w:t>محمد بن الحسن بن محمد</w:t>
      </w:r>
      <w:r w:rsidRPr="009C657F">
        <w:rPr>
          <w:rFonts w:ascii="Traditional Arabic" w:hAnsi="Traditional Arabic" w:hint="cs"/>
          <w:rtl/>
        </w:rPr>
        <w:t>,</w:t>
      </w:r>
      <w:r w:rsidRPr="009C657F">
        <w:rPr>
          <w:rFonts w:ascii="Traditional Arabic" w:hAnsi="Traditional Arabic"/>
          <w:rtl/>
        </w:rPr>
        <w:t xml:space="preserve"> المعروف بالنقاش</w:t>
      </w:r>
      <w:r w:rsidRPr="009C657F">
        <w:rPr>
          <w:rFonts w:ascii="Traditional Arabic" w:hAnsi="Traditional Arabic" w:hint="cs"/>
          <w:rtl/>
        </w:rPr>
        <w:t>....................................... 248</w:t>
      </w:r>
    </w:p>
    <w:p w:rsidR="009652A2" w:rsidRPr="009C657F" w:rsidRDefault="009652A2" w:rsidP="009652A2">
      <w:pPr>
        <w:bidi w:val="0"/>
        <w:ind w:firstLine="0"/>
        <w:rPr>
          <w:rFonts w:ascii="Traditional Arabic" w:hAnsi="Traditional Arabic"/>
        </w:rPr>
      </w:pPr>
      <w:r>
        <w:rPr>
          <w:rFonts w:ascii="Traditional Arabic" w:hAnsi="Traditional Arabic"/>
          <w:rtl/>
        </w:rPr>
        <w:t>محمد بن الحسين البغدادي</w:t>
      </w:r>
      <w:r>
        <w:rPr>
          <w:rFonts w:ascii="Traditional Arabic" w:hAnsi="Traditional Arabic" w:hint="cs"/>
          <w:rtl/>
        </w:rPr>
        <w:t xml:space="preserve"> =</w:t>
      </w:r>
      <w:r w:rsidRPr="009C657F">
        <w:rPr>
          <w:rFonts w:ascii="Traditional Arabic" w:hAnsi="Traditional Arabic"/>
          <w:rtl/>
        </w:rPr>
        <w:t xml:space="preserve"> أبو يعلى </w:t>
      </w:r>
      <w:r>
        <w:rPr>
          <w:rFonts w:ascii="Traditional Arabic" w:hAnsi="Traditional Arabic"/>
          <w:rtl/>
        </w:rPr>
        <w:t>الحنبلي.........</w:t>
      </w:r>
      <w:r w:rsidRPr="009C657F">
        <w:rPr>
          <w:rFonts w:ascii="Traditional Arabic" w:hAnsi="Traditional Arabic"/>
          <w:rtl/>
        </w:rPr>
        <w:t>............................ 125</w:t>
      </w:r>
    </w:p>
    <w:p w:rsidR="009652A2" w:rsidRPr="009C657F" w:rsidRDefault="009652A2" w:rsidP="009652A2">
      <w:pPr>
        <w:bidi w:val="0"/>
        <w:ind w:firstLine="0"/>
      </w:pPr>
      <w:r w:rsidRPr="009C657F">
        <w:rPr>
          <w:rFonts w:ascii="Traditional Arabic" w:hAnsi="Traditional Arabic"/>
          <w:rtl/>
        </w:rPr>
        <w:t>محمد بن السَّائب بن بشر بن عمرو الكلبيُّ</w:t>
      </w:r>
      <w:r w:rsidRPr="009C657F">
        <w:rPr>
          <w:rFonts w:hint="cs"/>
          <w:rtl/>
        </w:rPr>
        <w:t>........................................ 153</w:t>
      </w:r>
    </w:p>
    <w:p w:rsidR="009652A2" w:rsidRPr="009C657F" w:rsidRDefault="009652A2" w:rsidP="009652A2">
      <w:pPr>
        <w:bidi w:val="0"/>
        <w:ind w:firstLine="0"/>
      </w:pPr>
      <w:r w:rsidRPr="009C657F">
        <w:rPr>
          <w:rFonts w:ascii="Traditional Arabic" w:hAnsi="Traditional Arabic"/>
          <w:rtl/>
          <w:lang w:eastAsia="en-US"/>
        </w:rPr>
        <w:t>محمد بن القاسم بن بشار بن الانباري</w:t>
      </w:r>
      <w:r w:rsidRPr="009C657F">
        <w:rPr>
          <w:rFonts w:hint="cs"/>
          <w:rtl/>
        </w:rPr>
        <w:t>.............................................. 90</w:t>
      </w:r>
    </w:p>
    <w:p w:rsidR="009652A2" w:rsidRPr="009C657F" w:rsidRDefault="009652A2" w:rsidP="009652A2">
      <w:pPr>
        <w:bidi w:val="0"/>
        <w:ind w:firstLine="0"/>
        <w:rPr>
          <w:rtl/>
        </w:rPr>
      </w:pPr>
      <w:r w:rsidRPr="009C657F">
        <w:rPr>
          <w:rFonts w:ascii="Traditional Arabic" w:hAnsi="Traditional Arabic"/>
          <w:color w:val="auto"/>
          <w:rtl/>
          <w:lang w:eastAsia="en-US"/>
        </w:rPr>
        <w:t>محمد بن المتوكل اللؤلؤي</w:t>
      </w:r>
      <w:r w:rsidRPr="009C657F">
        <w:rPr>
          <w:rFonts w:ascii="Traditional Arabic" w:hAnsi="Traditional Arabic" w:hint="cs"/>
          <w:color w:val="auto"/>
          <w:rtl/>
          <w:lang w:eastAsia="en-US"/>
        </w:rPr>
        <w:t>,</w:t>
      </w:r>
      <w:r w:rsidRPr="009C657F">
        <w:rPr>
          <w:rFonts w:ascii="Traditional Arabic" w:hAnsi="Traditional Arabic"/>
          <w:color w:val="auto"/>
          <w:rtl/>
          <w:lang w:eastAsia="en-US"/>
        </w:rPr>
        <w:t xml:space="preserve"> رويس</w:t>
      </w:r>
      <w:r w:rsidRPr="009C657F">
        <w:rPr>
          <w:rFonts w:ascii="Traditional Arabic" w:hAnsi="Traditional Arabic" w:hint="cs"/>
          <w:color w:val="auto"/>
          <w:rtl/>
          <w:lang w:eastAsia="en-US"/>
        </w:rPr>
        <w:t>..................................................</w:t>
      </w:r>
      <w:r w:rsidRPr="009C657F">
        <w:rPr>
          <w:rFonts w:hint="cs"/>
          <w:rtl/>
        </w:rPr>
        <w:t xml:space="preserve"> 107</w:t>
      </w:r>
    </w:p>
    <w:p w:rsidR="009652A2" w:rsidRPr="009C657F" w:rsidRDefault="009652A2" w:rsidP="009652A2">
      <w:pPr>
        <w:bidi w:val="0"/>
        <w:ind w:firstLine="0"/>
        <w:rPr>
          <w:rFonts w:ascii="Traditional Arabic" w:hAnsi="Traditional Arabic"/>
          <w:color w:val="auto"/>
          <w:rtl/>
          <w:lang w:eastAsia="en-US"/>
        </w:rPr>
      </w:pPr>
      <w:r w:rsidRPr="009C657F">
        <w:rPr>
          <w:rFonts w:ascii="Traditional Arabic" w:hAnsi="Traditional Arabic"/>
          <w:color w:val="auto"/>
          <w:rtl/>
        </w:rPr>
        <w:t>محمد</w:t>
      </w:r>
      <w:r w:rsidRPr="009C657F">
        <w:rPr>
          <w:rFonts w:ascii="Traditional Arabic" w:hAnsi="Traditional Arabic" w:hint="cs"/>
          <w:color w:val="auto"/>
          <w:rtl/>
        </w:rPr>
        <w:t xml:space="preserve"> </w:t>
      </w:r>
      <w:r w:rsidRPr="009C657F">
        <w:rPr>
          <w:rFonts w:ascii="Traditional Arabic" w:hAnsi="Traditional Arabic"/>
          <w:color w:val="auto"/>
          <w:rtl/>
        </w:rPr>
        <w:t>بن المستنير بن أحمد</w:t>
      </w:r>
      <w:r w:rsidRPr="009C657F">
        <w:rPr>
          <w:rFonts w:ascii="Traditional Arabic" w:hAnsi="Traditional Arabic" w:hint="cs"/>
          <w:color w:val="auto"/>
          <w:rtl/>
        </w:rPr>
        <w:t xml:space="preserve">, </w:t>
      </w:r>
      <w:r w:rsidRPr="009C657F">
        <w:rPr>
          <w:rFonts w:ascii="Traditional Arabic" w:hAnsi="Traditional Arabic"/>
          <w:color w:val="auto"/>
          <w:rtl/>
          <w:lang w:eastAsia="en-US"/>
        </w:rPr>
        <w:t>المعروف بقُطْرُب</w:t>
      </w:r>
      <w:r w:rsidRPr="009C657F">
        <w:rPr>
          <w:rFonts w:ascii="Traditional Arabic" w:hAnsi="Traditional Arabic" w:hint="cs"/>
          <w:color w:val="auto"/>
          <w:rtl/>
          <w:lang w:eastAsia="en-US"/>
        </w:rPr>
        <w:t>........................................ 232</w:t>
      </w:r>
    </w:p>
    <w:p w:rsidR="009652A2" w:rsidRPr="009C657F" w:rsidRDefault="009652A2" w:rsidP="009652A2">
      <w:pPr>
        <w:bidi w:val="0"/>
        <w:ind w:firstLine="0"/>
        <w:rPr>
          <w:rtl/>
        </w:rPr>
      </w:pPr>
      <w:r w:rsidRPr="009C657F">
        <w:rPr>
          <w:rFonts w:ascii="Traditional Arabic" w:hAnsi="Traditional Arabic"/>
          <w:rtl/>
        </w:rPr>
        <w:t>محمد بن المنكدر بن عبد الله التيمي</w:t>
      </w:r>
      <w:r w:rsidRPr="009C657F">
        <w:rPr>
          <w:rFonts w:hint="cs"/>
          <w:rtl/>
        </w:rPr>
        <w:t>............................................... 131</w:t>
      </w:r>
    </w:p>
    <w:p w:rsidR="009652A2" w:rsidRPr="009C657F" w:rsidRDefault="009652A2" w:rsidP="009652A2">
      <w:pPr>
        <w:bidi w:val="0"/>
        <w:ind w:firstLine="0"/>
      </w:pPr>
      <w:r w:rsidRPr="009C657F">
        <w:rPr>
          <w:rFonts w:ascii="Traditional Arabic" w:hAnsi="Traditional Arabic"/>
          <w:color w:val="auto"/>
          <w:rtl/>
          <w:lang w:eastAsia="en-US"/>
        </w:rPr>
        <w:t>محمد بن جرير بن يزيد الطبري</w:t>
      </w:r>
      <w:r w:rsidRPr="009C657F">
        <w:rPr>
          <w:rFonts w:hint="cs"/>
          <w:rtl/>
        </w:rPr>
        <w:t>................................................... 111</w:t>
      </w:r>
    </w:p>
    <w:p w:rsidR="009652A2" w:rsidRPr="009C657F" w:rsidRDefault="009652A2" w:rsidP="009652A2">
      <w:pPr>
        <w:bidi w:val="0"/>
        <w:ind w:firstLine="0"/>
        <w:rPr>
          <w:rFonts w:ascii="Traditional Arabic" w:hAnsi="Traditional Arabic"/>
          <w:rtl/>
        </w:rPr>
      </w:pPr>
      <w:r w:rsidRPr="009C657F">
        <w:rPr>
          <w:rFonts w:ascii="Traditional Arabic" w:hAnsi="Traditional Arabic"/>
          <w:rtl/>
        </w:rPr>
        <w:t>محمد بن زياد ابن الأعرابي الهاشمي</w:t>
      </w:r>
      <w:r w:rsidRPr="009C657F">
        <w:rPr>
          <w:rFonts w:ascii="Traditional Arabic" w:hAnsi="Traditional Arabic" w:hint="cs"/>
          <w:rtl/>
        </w:rPr>
        <w:t>................................................. 273</w:t>
      </w:r>
    </w:p>
    <w:p w:rsidR="009652A2" w:rsidRPr="009C657F" w:rsidRDefault="009652A2" w:rsidP="009652A2">
      <w:pPr>
        <w:bidi w:val="0"/>
        <w:ind w:firstLine="0"/>
        <w:rPr>
          <w:rtl/>
        </w:rPr>
      </w:pPr>
      <w:r w:rsidRPr="009C657F">
        <w:rPr>
          <w:rFonts w:ascii="Traditional Arabic" w:hAnsi="Traditional Arabic"/>
          <w:rtl/>
        </w:rPr>
        <w:t>محمد بن سيرين</w:t>
      </w:r>
      <w:r>
        <w:rPr>
          <w:rFonts w:ascii="Traditional Arabic" w:hAnsi="Traditional Arabic" w:hint="cs"/>
          <w:rtl/>
        </w:rPr>
        <w:t>.</w:t>
      </w:r>
      <w:r w:rsidRPr="009C657F">
        <w:rPr>
          <w:rFonts w:ascii="Traditional Arabic" w:hAnsi="Traditional Arabic" w:hint="cs"/>
          <w:rtl/>
        </w:rPr>
        <w:t>................</w:t>
      </w:r>
      <w:r w:rsidRPr="009C657F">
        <w:rPr>
          <w:rFonts w:hint="cs"/>
          <w:rtl/>
        </w:rPr>
        <w:t>................................................ 162</w:t>
      </w:r>
    </w:p>
    <w:p w:rsidR="009652A2" w:rsidRPr="009C657F" w:rsidRDefault="009652A2" w:rsidP="009652A2">
      <w:pPr>
        <w:bidi w:val="0"/>
        <w:ind w:firstLine="0"/>
        <w:rPr>
          <w:rFonts w:ascii="Traditional Arabic" w:hAnsi="Traditional Arabic"/>
          <w:rtl/>
        </w:rPr>
      </w:pPr>
      <w:r w:rsidRPr="009C657F">
        <w:rPr>
          <w:rFonts w:ascii="Traditional Arabic" w:eastAsia="Calibri" w:hAnsi="Traditional Arabic"/>
          <w:color w:val="auto"/>
          <w:rtl/>
          <w:lang w:eastAsia="en-US"/>
        </w:rPr>
        <w:t>محمد بن عبد الرحمن السهميُّ</w:t>
      </w:r>
      <w:r>
        <w:rPr>
          <w:rFonts w:ascii="Traditional Arabic" w:hAnsi="Traditional Arabic" w:hint="cs"/>
          <w:rtl/>
        </w:rPr>
        <w:t xml:space="preserve"> = </w:t>
      </w:r>
      <w:r w:rsidRPr="009C657F">
        <w:rPr>
          <w:rFonts w:ascii="Traditional Arabic" w:eastAsia="Calibri" w:hAnsi="Traditional Arabic"/>
          <w:color w:val="auto"/>
          <w:rtl/>
          <w:lang w:eastAsia="en-US"/>
        </w:rPr>
        <w:t>أبو حفص</w:t>
      </w:r>
      <w:r w:rsidRPr="009C657F">
        <w:rPr>
          <w:rFonts w:ascii="Traditional Arabic" w:hAnsi="Traditional Arabic"/>
          <w:rtl/>
        </w:rPr>
        <w:t>............................</w:t>
      </w:r>
      <w:r>
        <w:rPr>
          <w:rFonts w:ascii="Traditional Arabic" w:hAnsi="Traditional Arabic" w:hint="cs"/>
          <w:rtl/>
        </w:rPr>
        <w:t>.</w:t>
      </w:r>
      <w:r w:rsidRPr="009C657F">
        <w:rPr>
          <w:rFonts w:ascii="Traditional Arabic" w:hAnsi="Traditional Arabic"/>
          <w:rtl/>
        </w:rPr>
        <w:t>........... 156</w:t>
      </w:r>
    </w:p>
    <w:p w:rsidR="009652A2" w:rsidRPr="009C657F" w:rsidRDefault="009652A2" w:rsidP="009652A2">
      <w:pPr>
        <w:bidi w:val="0"/>
        <w:ind w:firstLine="0"/>
      </w:pPr>
      <w:r>
        <w:rPr>
          <w:rFonts w:ascii="Traditional Arabic" w:hAnsi="Traditional Arabic"/>
          <w:color w:val="auto"/>
          <w:rtl/>
          <w:lang w:eastAsia="en-US"/>
        </w:rPr>
        <w:t>محمد بن عبد الرحمن بن السميفع</w:t>
      </w:r>
      <w:r>
        <w:rPr>
          <w:rFonts w:ascii="Traditional Arabic" w:hAnsi="Traditional Arabic" w:hint="cs"/>
          <w:color w:val="auto"/>
          <w:rtl/>
          <w:lang w:eastAsia="en-US"/>
        </w:rPr>
        <w:t>.</w:t>
      </w:r>
      <w:r w:rsidRPr="009C657F">
        <w:rPr>
          <w:rFonts w:ascii="Traditional Arabic" w:hAnsi="Traditional Arabic" w:hint="cs"/>
          <w:color w:val="auto"/>
          <w:rtl/>
          <w:lang w:eastAsia="en-US"/>
        </w:rPr>
        <w:t>................................................ 102</w:t>
      </w:r>
    </w:p>
    <w:p w:rsidR="009652A2" w:rsidRPr="009C657F" w:rsidRDefault="009652A2" w:rsidP="009652A2">
      <w:pPr>
        <w:bidi w:val="0"/>
        <w:ind w:firstLine="0"/>
      </w:pPr>
      <w:r w:rsidRPr="009C657F">
        <w:rPr>
          <w:rFonts w:ascii="Traditional Arabic" w:hAnsi="Traditional Arabic"/>
          <w:rtl/>
        </w:rPr>
        <w:t>محمد بن عبد الرحمن بن محمد</w:t>
      </w:r>
      <w:r w:rsidRPr="009C657F">
        <w:rPr>
          <w:rFonts w:ascii="Traditional Arabic" w:hAnsi="Traditional Arabic" w:hint="cs"/>
          <w:rtl/>
        </w:rPr>
        <w:t xml:space="preserve">, </w:t>
      </w:r>
      <w:r w:rsidRPr="009C657F">
        <w:rPr>
          <w:rFonts w:ascii="Traditional Arabic" w:hAnsi="Traditional Arabic"/>
          <w:rtl/>
        </w:rPr>
        <w:t>الملقب بقُنْبلُ</w:t>
      </w:r>
      <w:r w:rsidRPr="009C657F">
        <w:rPr>
          <w:rFonts w:ascii="Traditional Arabic" w:hAnsi="Traditional Arabic" w:hint="cs"/>
          <w:rtl/>
          <w:lang w:eastAsia="en-US"/>
        </w:rPr>
        <w:t>....................................... 295</w:t>
      </w:r>
      <w:r w:rsidRPr="009C657F">
        <w:rPr>
          <w:rFonts w:ascii="Traditional Arabic" w:hAnsi="Traditional Arabic"/>
          <w:rtl/>
          <w:lang w:eastAsia="en-US"/>
        </w:rPr>
        <w:t xml:space="preserve"> </w:t>
      </w:r>
    </w:p>
    <w:p w:rsidR="009652A2" w:rsidRPr="009C657F" w:rsidRDefault="009652A2" w:rsidP="009652A2">
      <w:pPr>
        <w:bidi w:val="0"/>
        <w:ind w:firstLine="0"/>
        <w:rPr>
          <w:rFonts w:ascii="Traditional Arabic" w:hAnsi="Traditional Arabic"/>
          <w:rtl/>
        </w:rPr>
      </w:pPr>
      <w:r w:rsidRPr="009C657F">
        <w:rPr>
          <w:rFonts w:ascii="Traditional Arabic" w:hAnsi="Traditional Arabic"/>
          <w:rtl/>
        </w:rPr>
        <w:t>محمد بن عبد الله الدمشقي</w:t>
      </w:r>
      <w:r>
        <w:rPr>
          <w:rFonts w:ascii="Traditional Arabic" w:hAnsi="Traditional Arabic" w:hint="cs"/>
          <w:rtl/>
        </w:rPr>
        <w:t xml:space="preserve"> = </w:t>
      </w:r>
      <w:r w:rsidRPr="009C657F">
        <w:rPr>
          <w:rFonts w:ascii="Traditional Arabic" w:hAnsi="Traditional Arabic"/>
          <w:rtl/>
        </w:rPr>
        <w:t>أبو سليمان.......................................... 95</w:t>
      </w:r>
    </w:p>
    <w:p w:rsidR="009652A2" w:rsidRPr="009C657F" w:rsidRDefault="009652A2" w:rsidP="009652A2">
      <w:pPr>
        <w:bidi w:val="0"/>
        <w:ind w:firstLine="0"/>
        <w:rPr>
          <w:rFonts w:ascii="Traditional Arabic" w:hAnsi="Traditional Arabic"/>
        </w:rPr>
      </w:pPr>
      <w:r w:rsidRPr="009C657F">
        <w:rPr>
          <w:rFonts w:ascii="Traditional Arabic" w:hAnsi="Traditional Arabic"/>
          <w:rtl/>
        </w:rPr>
        <w:t>محمد بن علي بن الحسين الْقُرَشِي</w:t>
      </w:r>
      <w:r>
        <w:rPr>
          <w:rFonts w:ascii="Traditional Arabic" w:hAnsi="Traditional Arabic" w:hint="cs"/>
          <w:rtl/>
        </w:rPr>
        <w:t xml:space="preserve"> = </w:t>
      </w:r>
      <w:r w:rsidRPr="009C657F">
        <w:rPr>
          <w:rFonts w:ascii="Traditional Arabic" w:hAnsi="Traditional Arabic"/>
          <w:rtl/>
        </w:rPr>
        <w:t xml:space="preserve">أبو جعفر الباقر................................ 266 </w:t>
      </w:r>
    </w:p>
    <w:p w:rsidR="009652A2" w:rsidRPr="009C657F" w:rsidRDefault="009652A2" w:rsidP="009652A2">
      <w:pPr>
        <w:bidi w:val="0"/>
        <w:ind w:firstLine="0"/>
      </w:pPr>
      <w:r w:rsidRPr="009C657F">
        <w:rPr>
          <w:rFonts w:ascii="Traditional Arabic" w:hAnsi="Traditional Arabic"/>
          <w:color w:val="auto"/>
          <w:rtl/>
          <w:lang w:eastAsia="en-US"/>
        </w:rPr>
        <w:t>محمد</w:t>
      </w:r>
      <w:r w:rsidRPr="009C657F">
        <w:rPr>
          <w:rFonts w:ascii="Traditional Arabic" w:hAnsi="Traditional Arabic" w:hint="cs"/>
          <w:color w:val="auto"/>
          <w:rtl/>
          <w:lang w:eastAsia="en-US"/>
        </w:rPr>
        <w:t xml:space="preserve"> </w:t>
      </w:r>
      <w:r w:rsidRPr="009C657F">
        <w:rPr>
          <w:rFonts w:ascii="Traditional Arabic" w:hAnsi="Traditional Arabic"/>
          <w:color w:val="auto"/>
          <w:rtl/>
          <w:lang w:eastAsia="en-US"/>
        </w:rPr>
        <w:t>بن كعب بن سليم القرظي</w:t>
      </w:r>
      <w:r w:rsidRPr="009C657F">
        <w:rPr>
          <w:rFonts w:ascii="Traditional Arabic" w:hAnsi="Traditional Arabic" w:hint="cs"/>
          <w:color w:val="auto"/>
          <w:rtl/>
          <w:lang w:eastAsia="en-US"/>
        </w:rPr>
        <w:t>.................................................. 110</w:t>
      </w:r>
    </w:p>
    <w:p w:rsidR="009652A2" w:rsidRPr="009C657F" w:rsidRDefault="009652A2" w:rsidP="009652A2">
      <w:pPr>
        <w:bidi w:val="0"/>
        <w:ind w:firstLine="0"/>
        <w:rPr>
          <w:rFonts w:ascii="Traditional Arabic" w:hAnsi="Traditional Arabic"/>
          <w:rtl/>
        </w:rPr>
      </w:pPr>
      <w:r w:rsidRPr="009C657F">
        <w:rPr>
          <w:rFonts w:ascii="Traditional Arabic" w:hAnsi="Traditional Arabic"/>
          <w:rtl/>
        </w:rPr>
        <w:t>محمد بن محمد بن محمد الغزالي</w:t>
      </w:r>
      <w:r>
        <w:rPr>
          <w:rFonts w:ascii="Traditional Arabic" w:hAnsi="Traditional Arabic" w:hint="cs"/>
          <w:rtl/>
        </w:rPr>
        <w:t xml:space="preserve"> = </w:t>
      </w:r>
      <w:r w:rsidRPr="009C657F">
        <w:rPr>
          <w:rFonts w:ascii="Traditional Arabic" w:hAnsi="Traditional Arabic"/>
          <w:rtl/>
        </w:rPr>
        <w:t>أبو حامد......................................... 35</w:t>
      </w:r>
    </w:p>
    <w:p w:rsidR="009652A2" w:rsidRPr="009C657F" w:rsidRDefault="009652A2" w:rsidP="009652A2">
      <w:pPr>
        <w:bidi w:val="0"/>
        <w:ind w:firstLine="0"/>
      </w:pPr>
      <w:r w:rsidRPr="009C657F">
        <w:rPr>
          <w:rFonts w:ascii="Traditional Arabic" w:hAnsi="Traditional Arabic"/>
          <w:rtl/>
        </w:rPr>
        <w:t>محمد بن يزيد بن عبد الأكبر</w:t>
      </w:r>
      <w:r w:rsidRPr="009C657F">
        <w:rPr>
          <w:rFonts w:ascii="Traditional Arabic" w:hAnsi="Traditional Arabic" w:hint="cs"/>
          <w:rtl/>
        </w:rPr>
        <w:t xml:space="preserve">, </w:t>
      </w:r>
      <w:r w:rsidRPr="009C657F">
        <w:rPr>
          <w:rFonts w:ascii="Traditional Arabic" w:hAnsi="Traditional Arabic"/>
          <w:rtl/>
        </w:rPr>
        <w:t>المعروف بالمبرد</w:t>
      </w:r>
      <w:r w:rsidRPr="009C657F">
        <w:rPr>
          <w:rFonts w:ascii="Traditional Arabic" w:hAnsi="Traditional Arabic" w:hint="cs"/>
          <w:rtl/>
        </w:rPr>
        <w:t>...................................... 285</w:t>
      </w:r>
      <w:r w:rsidRPr="009C657F">
        <w:rPr>
          <w:rFonts w:ascii="Traditional Arabic" w:hAnsi="Traditional Arabic"/>
          <w:rtl/>
        </w:rPr>
        <w:t xml:space="preserve"> </w:t>
      </w:r>
    </w:p>
    <w:p w:rsidR="009652A2" w:rsidRPr="009C657F" w:rsidRDefault="009652A2" w:rsidP="009652A2">
      <w:pPr>
        <w:bidi w:val="0"/>
        <w:ind w:firstLine="0"/>
      </w:pPr>
      <w:r w:rsidRPr="009C657F">
        <w:rPr>
          <w:rFonts w:ascii="Traditional Arabic" w:hAnsi="Traditional Arabic"/>
          <w:color w:val="auto"/>
          <w:rtl/>
          <w:lang w:eastAsia="en-US"/>
        </w:rPr>
        <w:t>مسروق بن الأجدع بن مالك</w:t>
      </w:r>
      <w:r w:rsidRPr="009C657F">
        <w:rPr>
          <w:rFonts w:ascii="Traditional Arabic" w:hAnsi="Traditional Arabic" w:hint="cs"/>
          <w:color w:val="auto"/>
          <w:rtl/>
          <w:lang w:eastAsia="en-US"/>
        </w:rPr>
        <w:t>...................................................... 93</w:t>
      </w:r>
    </w:p>
    <w:p w:rsidR="009652A2" w:rsidRPr="009C657F" w:rsidRDefault="009652A2" w:rsidP="009652A2">
      <w:pPr>
        <w:bidi w:val="0"/>
        <w:ind w:firstLine="0"/>
        <w:rPr>
          <w:rFonts w:ascii="Traditional Arabic" w:hAnsi="Traditional Arabic"/>
        </w:rPr>
      </w:pPr>
      <w:r w:rsidRPr="009C657F">
        <w:rPr>
          <w:rFonts w:ascii="Traditional Arabic" w:hAnsi="Traditional Arabic"/>
          <w:rtl/>
          <w:lang w:eastAsia="en-US"/>
        </w:rPr>
        <w:t>مسعود بن مالك</w:t>
      </w:r>
      <w:r>
        <w:rPr>
          <w:rFonts w:ascii="Traditional Arabic" w:hAnsi="Traditional Arabic" w:hint="cs"/>
          <w:rtl/>
          <w:lang w:eastAsia="en-US"/>
        </w:rPr>
        <w:t xml:space="preserve"> = </w:t>
      </w:r>
      <w:r w:rsidRPr="009C657F">
        <w:rPr>
          <w:rFonts w:ascii="Traditional Arabic" w:hAnsi="Traditional Arabic"/>
          <w:rtl/>
          <w:lang w:eastAsia="en-US"/>
        </w:rPr>
        <w:t>أبو رزين</w:t>
      </w:r>
      <w:r w:rsidRPr="009C657F">
        <w:rPr>
          <w:rFonts w:ascii="Traditional Arabic" w:hAnsi="Traditional Arabic"/>
          <w:color w:val="auto"/>
          <w:rtl/>
          <w:lang w:eastAsia="en-US"/>
        </w:rPr>
        <w:t>.....................................</w:t>
      </w:r>
      <w:r>
        <w:rPr>
          <w:rFonts w:ascii="Traditional Arabic" w:hAnsi="Traditional Arabic" w:hint="cs"/>
          <w:color w:val="auto"/>
          <w:rtl/>
          <w:lang w:eastAsia="en-US"/>
        </w:rPr>
        <w:t>.</w:t>
      </w:r>
      <w:r w:rsidRPr="009C657F">
        <w:rPr>
          <w:rFonts w:ascii="Traditional Arabic" w:hAnsi="Traditional Arabic"/>
          <w:color w:val="auto"/>
          <w:rtl/>
          <w:lang w:eastAsia="en-US"/>
        </w:rPr>
        <w:t>............... 102</w:t>
      </w:r>
    </w:p>
    <w:p w:rsidR="009652A2" w:rsidRPr="009C657F" w:rsidRDefault="009652A2" w:rsidP="009652A2">
      <w:pPr>
        <w:bidi w:val="0"/>
        <w:ind w:firstLine="0"/>
      </w:pPr>
      <w:r w:rsidRPr="009C657F">
        <w:rPr>
          <w:rFonts w:ascii="Traditional Arabic" w:hAnsi="Traditional Arabic"/>
          <w:rtl/>
        </w:rPr>
        <w:lastRenderedPageBreak/>
        <w:t>مسلم بن الحجاج القشيري, النيسابوري</w:t>
      </w:r>
      <w:r w:rsidRPr="009C657F">
        <w:rPr>
          <w:rFonts w:hint="cs"/>
          <w:rtl/>
        </w:rPr>
        <w:t>........................................... 147</w:t>
      </w:r>
    </w:p>
    <w:p w:rsidR="009652A2" w:rsidRPr="009C657F" w:rsidRDefault="009652A2" w:rsidP="009652A2">
      <w:pPr>
        <w:bidi w:val="0"/>
        <w:ind w:firstLine="0"/>
        <w:rPr>
          <w:rtl/>
        </w:rPr>
      </w:pPr>
      <w:r w:rsidRPr="009C657F">
        <w:rPr>
          <w:rFonts w:ascii="Traditional Arabic" w:hAnsi="Traditional Arabic"/>
          <w:rtl/>
        </w:rPr>
        <w:t>مضر بن نزار بن معد بن عدنان</w:t>
      </w:r>
      <w:r w:rsidRPr="009C657F">
        <w:rPr>
          <w:rFonts w:hint="cs"/>
          <w:rtl/>
        </w:rPr>
        <w:t>.................................................. 205</w:t>
      </w:r>
    </w:p>
    <w:p w:rsidR="009652A2" w:rsidRPr="009C657F" w:rsidRDefault="009652A2" w:rsidP="009652A2">
      <w:pPr>
        <w:bidi w:val="0"/>
        <w:ind w:firstLine="0"/>
        <w:rPr>
          <w:rFonts w:ascii="Traditional Arabic" w:hAnsi="Traditional Arabic"/>
          <w:rtl/>
        </w:rPr>
      </w:pPr>
      <w:r w:rsidRPr="009C657F">
        <w:rPr>
          <w:rFonts w:ascii="Traditional Arabic" w:hAnsi="Traditional Arabic"/>
          <w:rtl/>
        </w:rPr>
        <w:t>معاوية بْن صخر بْن حرب بْن أمية القرشي, الأموي</w:t>
      </w:r>
      <w:r w:rsidRPr="009C657F">
        <w:rPr>
          <w:rFonts w:ascii="Traditional Arabic" w:hAnsi="Traditional Arabic" w:hint="cs"/>
          <w:rtl/>
        </w:rPr>
        <w:t>................................ 289</w:t>
      </w:r>
    </w:p>
    <w:p w:rsidR="009652A2" w:rsidRPr="009C657F" w:rsidRDefault="009652A2" w:rsidP="009652A2">
      <w:pPr>
        <w:bidi w:val="0"/>
        <w:ind w:firstLine="0"/>
      </w:pPr>
      <w:r w:rsidRPr="009C657F">
        <w:rPr>
          <w:rFonts w:ascii="Traditional Arabic" w:hAnsi="Traditional Arabic"/>
          <w:rtl/>
        </w:rPr>
        <w:t>معاوية بن قرة بن أياس بن هلال المزني</w:t>
      </w:r>
      <w:r w:rsidRPr="009C657F">
        <w:rPr>
          <w:rFonts w:hint="cs"/>
          <w:rtl/>
        </w:rPr>
        <w:t>............................................. 135</w:t>
      </w:r>
    </w:p>
    <w:p w:rsidR="009652A2" w:rsidRPr="009C657F" w:rsidRDefault="009652A2" w:rsidP="009652A2">
      <w:pPr>
        <w:bidi w:val="0"/>
        <w:ind w:firstLine="0"/>
        <w:rPr>
          <w:rFonts w:ascii="Traditional Arabic" w:hAnsi="Traditional Arabic"/>
        </w:rPr>
      </w:pPr>
      <w:r w:rsidRPr="009C657F">
        <w:rPr>
          <w:rFonts w:ascii="Traditional Arabic" w:hAnsi="Traditional Arabic"/>
          <w:rtl/>
        </w:rPr>
        <w:t>معمر بن المثنى التميمي</w:t>
      </w:r>
      <w:r>
        <w:rPr>
          <w:rFonts w:ascii="Traditional Arabic" w:hAnsi="Traditional Arabic" w:hint="cs"/>
          <w:rtl/>
        </w:rPr>
        <w:t xml:space="preserve"> = </w:t>
      </w:r>
      <w:r w:rsidRPr="009C657F">
        <w:rPr>
          <w:rFonts w:ascii="Traditional Arabic" w:hAnsi="Traditional Arabic"/>
          <w:rtl/>
        </w:rPr>
        <w:t>أبو عبيدة.............................................. 106</w:t>
      </w:r>
    </w:p>
    <w:p w:rsidR="009652A2" w:rsidRPr="009C657F" w:rsidRDefault="009652A2" w:rsidP="009652A2">
      <w:pPr>
        <w:bidi w:val="0"/>
        <w:ind w:firstLine="0"/>
        <w:rPr>
          <w:rtl/>
        </w:rPr>
      </w:pPr>
      <w:r w:rsidRPr="009C657F">
        <w:rPr>
          <w:rFonts w:ascii="Traditional Arabic" w:hAnsi="Traditional Arabic"/>
          <w:rtl/>
        </w:rPr>
        <w:t>مُغيث بن سُمي الأَوزاعِي</w:t>
      </w:r>
      <w:r w:rsidRPr="009C657F">
        <w:rPr>
          <w:rFonts w:hint="cs"/>
          <w:rtl/>
        </w:rPr>
        <w:t>......................................................... 209</w:t>
      </w:r>
    </w:p>
    <w:p w:rsidR="009652A2" w:rsidRPr="009C657F" w:rsidRDefault="009652A2" w:rsidP="009652A2">
      <w:pPr>
        <w:bidi w:val="0"/>
        <w:ind w:firstLine="0"/>
        <w:rPr>
          <w:rFonts w:ascii="Traditional Arabic" w:hAnsi="Traditional Arabic"/>
          <w:rtl/>
        </w:rPr>
      </w:pPr>
      <w:r w:rsidRPr="009C657F">
        <w:rPr>
          <w:rFonts w:ascii="Traditional Arabic" w:hAnsi="Traditional Arabic"/>
          <w:rtl/>
        </w:rPr>
        <w:t>المغيرة بن شعبة بن أبي عامر الثقفي</w:t>
      </w:r>
      <w:r w:rsidRPr="009C657F">
        <w:rPr>
          <w:rFonts w:ascii="Traditional Arabic" w:hAnsi="Traditional Arabic" w:hint="cs"/>
          <w:rtl/>
        </w:rPr>
        <w:t>............................................... 319</w:t>
      </w:r>
    </w:p>
    <w:p w:rsidR="009652A2" w:rsidRPr="009C657F" w:rsidRDefault="009652A2" w:rsidP="009652A2">
      <w:pPr>
        <w:bidi w:val="0"/>
        <w:ind w:firstLine="0"/>
        <w:rPr>
          <w:rFonts w:ascii="Traditional Arabic" w:hAnsi="Traditional Arabic"/>
          <w:rtl/>
        </w:rPr>
      </w:pPr>
      <w:r w:rsidRPr="009C657F">
        <w:rPr>
          <w:rFonts w:ascii="Traditional Arabic" w:hAnsi="Traditional Arabic"/>
          <w:rtl/>
        </w:rPr>
        <w:t>المغيرة بن مقسم الضبي</w:t>
      </w:r>
      <w:r w:rsidRPr="009C657F">
        <w:rPr>
          <w:rFonts w:ascii="Traditional Arabic" w:hAnsi="Traditional Arabic"/>
          <w:color w:val="800000"/>
          <w:rtl/>
          <w:lang w:eastAsia="en-US"/>
        </w:rPr>
        <w:t xml:space="preserve"> </w:t>
      </w:r>
      <w:r w:rsidRPr="009C657F">
        <w:rPr>
          <w:rFonts w:ascii="Traditional Arabic" w:hAnsi="Traditional Arabic"/>
          <w:rtl/>
        </w:rPr>
        <w:t>مولاهم</w:t>
      </w:r>
      <w:r w:rsidRPr="009C657F">
        <w:rPr>
          <w:rFonts w:ascii="Traditional Arabic" w:hAnsi="Traditional Arabic" w:hint="cs"/>
          <w:rtl/>
        </w:rPr>
        <w:t>................................................... 257</w:t>
      </w:r>
    </w:p>
    <w:p w:rsidR="009652A2" w:rsidRPr="009C657F" w:rsidRDefault="009652A2" w:rsidP="009652A2">
      <w:pPr>
        <w:bidi w:val="0"/>
        <w:ind w:firstLine="0"/>
        <w:rPr>
          <w:rFonts w:ascii="Traditional Arabic" w:hAnsi="Traditional Arabic"/>
          <w:rtl/>
        </w:rPr>
      </w:pPr>
      <w:r w:rsidRPr="009C657F">
        <w:rPr>
          <w:rFonts w:ascii="Traditional Arabic" w:hAnsi="Traditional Arabic"/>
          <w:rtl/>
        </w:rPr>
        <w:t>المفضل بن محمد بن يعلى بن عامر</w:t>
      </w:r>
      <w:r w:rsidRPr="009C657F">
        <w:rPr>
          <w:rFonts w:ascii="Traditional Arabic" w:hAnsi="Traditional Arabic"/>
          <w:rtl/>
          <w:lang w:eastAsia="en-US"/>
        </w:rPr>
        <w:t xml:space="preserve"> </w:t>
      </w:r>
      <w:r w:rsidRPr="009C657F">
        <w:rPr>
          <w:rFonts w:ascii="Traditional Arabic" w:hAnsi="Traditional Arabic"/>
          <w:rtl/>
        </w:rPr>
        <w:t>الضبي</w:t>
      </w:r>
      <w:r w:rsidRPr="009C657F">
        <w:rPr>
          <w:rFonts w:ascii="Traditional Arabic" w:hAnsi="Traditional Arabic" w:hint="cs"/>
          <w:rtl/>
        </w:rPr>
        <w:t>......................................... 256</w:t>
      </w:r>
    </w:p>
    <w:p w:rsidR="009652A2" w:rsidRPr="009C657F" w:rsidRDefault="009652A2" w:rsidP="009652A2">
      <w:pPr>
        <w:bidi w:val="0"/>
        <w:ind w:firstLine="0"/>
      </w:pPr>
      <w:r w:rsidRPr="009C657F">
        <w:rPr>
          <w:rFonts w:ascii="Traditional Arabic" w:hAnsi="Traditional Arabic"/>
          <w:color w:val="auto"/>
          <w:rtl/>
          <w:lang w:eastAsia="en-US"/>
        </w:rPr>
        <w:t xml:space="preserve">مقاتل بن سليمان بن بشير </w:t>
      </w:r>
      <w:r w:rsidRPr="009C657F">
        <w:rPr>
          <w:rFonts w:ascii="Traditional Arabic" w:hAnsi="Traditional Arabic" w:hint="cs"/>
          <w:color w:val="auto"/>
          <w:rtl/>
          <w:lang w:eastAsia="en-US"/>
        </w:rPr>
        <w:t>....................................................... 93</w:t>
      </w:r>
    </w:p>
    <w:p w:rsidR="009652A2" w:rsidRPr="009C657F" w:rsidRDefault="009652A2" w:rsidP="009652A2">
      <w:pPr>
        <w:bidi w:val="0"/>
        <w:ind w:firstLine="0"/>
        <w:rPr>
          <w:rFonts w:ascii="Traditional Arabic" w:hAnsi="Traditional Arabic"/>
          <w:color w:val="auto"/>
          <w:rtl/>
        </w:rPr>
      </w:pPr>
      <w:r w:rsidRPr="009C657F">
        <w:rPr>
          <w:rFonts w:ascii="Traditional Arabic" w:hAnsi="Traditional Arabic"/>
          <w:color w:val="auto"/>
          <w:rtl/>
        </w:rPr>
        <w:t>موسى بن حزام</w:t>
      </w:r>
      <w:r>
        <w:rPr>
          <w:rFonts w:ascii="Traditional Arabic" w:hAnsi="Traditional Arabic" w:hint="cs"/>
          <w:color w:val="auto"/>
          <w:rtl/>
        </w:rPr>
        <w:t xml:space="preserve"> =</w:t>
      </w:r>
      <w:r w:rsidRPr="009C657F">
        <w:rPr>
          <w:rFonts w:ascii="Traditional Arabic" w:hAnsi="Traditional Arabic"/>
          <w:color w:val="auto"/>
          <w:rtl/>
        </w:rPr>
        <w:t xml:space="preserve"> أبو عمران الترمذي............................................. 314</w:t>
      </w:r>
    </w:p>
    <w:p w:rsidR="009652A2" w:rsidRPr="009C657F" w:rsidRDefault="009652A2" w:rsidP="009652A2">
      <w:pPr>
        <w:bidi w:val="0"/>
        <w:ind w:firstLine="0"/>
        <w:rPr>
          <w:rFonts w:ascii="Traditional Arabic" w:hAnsi="Traditional Arabic"/>
        </w:rPr>
      </w:pPr>
      <w:r w:rsidRPr="009C657F">
        <w:rPr>
          <w:rFonts w:ascii="Traditional Arabic" w:hAnsi="Traditional Arabic"/>
          <w:rtl/>
        </w:rPr>
        <w:t>موهوب بن أبي طاهر</w:t>
      </w:r>
      <w:r>
        <w:rPr>
          <w:rFonts w:ascii="Traditional Arabic" w:hAnsi="Traditional Arabic" w:hint="cs"/>
          <w:rtl/>
        </w:rPr>
        <w:t xml:space="preserve"> =</w:t>
      </w:r>
      <w:r w:rsidRPr="009652A2">
        <w:rPr>
          <w:rFonts w:ascii="Traditional Arabic" w:hAnsi="Traditional Arabic"/>
          <w:rtl/>
        </w:rPr>
        <w:t xml:space="preserve"> </w:t>
      </w:r>
      <w:r w:rsidRPr="009C657F">
        <w:rPr>
          <w:rFonts w:ascii="Traditional Arabic" w:hAnsi="Traditional Arabic"/>
          <w:rtl/>
        </w:rPr>
        <w:t>أبو منصور</w:t>
      </w:r>
      <w:r>
        <w:rPr>
          <w:rFonts w:ascii="Traditional Arabic" w:hAnsi="Traditional Arabic"/>
          <w:rtl/>
        </w:rPr>
        <w:t xml:space="preserve"> الجواليقي.......</w:t>
      </w:r>
      <w:r w:rsidRPr="009C657F">
        <w:rPr>
          <w:rFonts w:ascii="Traditional Arabic" w:hAnsi="Traditional Arabic"/>
          <w:rtl/>
        </w:rPr>
        <w:t>............................... 207</w:t>
      </w:r>
    </w:p>
    <w:p w:rsidR="009652A2" w:rsidRPr="009C657F" w:rsidRDefault="009652A2" w:rsidP="009652A2">
      <w:pPr>
        <w:bidi w:val="0"/>
        <w:ind w:firstLine="0"/>
        <w:rPr>
          <w:rtl/>
        </w:rPr>
      </w:pPr>
      <w:r w:rsidRPr="009C657F">
        <w:rPr>
          <w:rFonts w:ascii="Traditional Arabic" w:hAnsi="Traditional Arabic"/>
          <w:rtl/>
        </w:rPr>
        <w:t>ميمون بن قيس بن جندل,</w:t>
      </w:r>
      <w:r w:rsidRPr="009C657F">
        <w:rPr>
          <w:rFonts w:ascii="Traditional Arabic" w:hAnsi="Traditional Arabic" w:hint="cs"/>
          <w:rtl/>
        </w:rPr>
        <w:t xml:space="preserve"> </w:t>
      </w:r>
      <w:r w:rsidRPr="009C657F">
        <w:rPr>
          <w:rFonts w:ascii="Traditional Arabic" w:hAnsi="Traditional Arabic"/>
          <w:rtl/>
        </w:rPr>
        <w:t>المعروف بأعشى قيس</w:t>
      </w:r>
      <w:r w:rsidRPr="009C657F">
        <w:rPr>
          <w:rFonts w:hint="cs"/>
          <w:rtl/>
        </w:rPr>
        <w:t>.................................. 144</w:t>
      </w:r>
    </w:p>
    <w:p w:rsidR="009652A2" w:rsidRPr="009C657F" w:rsidRDefault="009652A2" w:rsidP="009652A2">
      <w:pPr>
        <w:bidi w:val="0"/>
        <w:ind w:firstLine="0"/>
        <w:rPr>
          <w:rtl/>
        </w:rPr>
      </w:pPr>
      <w:r w:rsidRPr="009C657F">
        <w:rPr>
          <w:rFonts w:ascii="Traditional Arabic" w:hAnsi="Traditional Arabic"/>
          <w:color w:val="auto"/>
          <w:rtl/>
          <w:lang w:eastAsia="en-US"/>
        </w:rPr>
        <w:t>ميمون بن مهران الجزري</w:t>
      </w:r>
      <w:r w:rsidRPr="009C657F">
        <w:rPr>
          <w:rFonts w:ascii="Traditional Arabic" w:hAnsi="Traditional Arabic" w:hint="cs"/>
          <w:color w:val="auto"/>
          <w:rtl/>
          <w:lang w:eastAsia="en-US"/>
        </w:rPr>
        <w:t>.........................................................</w:t>
      </w:r>
      <w:r w:rsidRPr="009C657F">
        <w:rPr>
          <w:rFonts w:hint="cs"/>
          <w:rtl/>
        </w:rPr>
        <w:t xml:space="preserve"> 109</w:t>
      </w:r>
    </w:p>
    <w:p w:rsidR="009652A2" w:rsidRPr="009C657F" w:rsidRDefault="009652A2" w:rsidP="009652A2">
      <w:pPr>
        <w:bidi w:val="0"/>
        <w:ind w:firstLine="0"/>
      </w:pPr>
      <w:r w:rsidRPr="009C657F">
        <w:rPr>
          <w:rFonts w:ascii="Traditional Arabic" w:hAnsi="Traditional Arabic"/>
          <w:color w:val="auto"/>
          <w:rtl/>
          <w:lang w:eastAsia="en-US"/>
        </w:rPr>
        <w:t>نافع بن عبد الرحمن بن أبي نعيم</w:t>
      </w:r>
      <w:r w:rsidRPr="009C657F">
        <w:rPr>
          <w:rFonts w:hint="cs"/>
          <w:rtl/>
        </w:rPr>
        <w:t>.................................................... 99</w:t>
      </w:r>
    </w:p>
    <w:p w:rsidR="009652A2" w:rsidRPr="009C657F" w:rsidRDefault="009652A2" w:rsidP="009652A2">
      <w:pPr>
        <w:bidi w:val="0"/>
        <w:ind w:firstLine="0"/>
        <w:rPr>
          <w:rtl/>
        </w:rPr>
      </w:pPr>
      <w:r w:rsidRPr="009C657F">
        <w:rPr>
          <w:rFonts w:ascii="Traditional Arabic" w:hAnsi="Traditional Arabic"/>
          <w:rtl/>
        </w:rPr>
        <w:t>النضر بن الحارث بن علقمة بن كلدة</w:t>
      </w:r>
      <w:r w:rsidRPr="009C657F">
        <w:rPr>
          <w:rFonts w:hint="cs"/>
          <w:rtl/>
        </w:rPr>
        <w:t>.............................................. 140</w:t>
      </w:r>
    </w:p>
    <w:p w:rsidR="009652A2" w:rsidRPr="009C657F" w:rsidRDefault="009652A2" w:rsidP="009652A2">
      <w:pPr>
        <w:bidi w:val="0"/>
        <w:ind w:firstLine="0"/>
        <w:rPr>
          <w:rtl/>
        </w:rPr>
      </w:pPr>
      <w:r w:rsidRPr="009C657F">
        <w:rPr>
          <w:rFonts w:ascii="Traditional Arabic" w:hAnsi="Traditional Arabic"/>
          <w:rtl/>
        </w:rPr>
        <w:t>النَضْر بن شُمَيْل بن خَرَشَة المازني</w:t>
      </w:r>
      <w:r w:rsidRPr="009C657F">
        <w:rPr>
          <w:rFonts w:hint="cs"/>
          <w:rtl/>
        </w:rPr>
        <w:t>.................................................. 221</w:t>
      </w:r>
    </w:p>
    <w:p w:rsidR="009652A2" w:rsidRPr="009C657F" w:rsidRDefault="009652A2" w:rsidP="009652A2">
      <w:pPr>
        <w:bidi w:val="0"/>
        <w:ind w:firstLine="0"/>
        <w:rPr>
          <w:rFonts w:ascii="Traditional Arabic" w:hAnsi="Traditional Arabic"/>
          <w:rtl/>
        </w:rPr>
      </w:pPr>
      <w:r w:rsidRPr="009C657F">
        <w:rPr>
          <w:rFonts w:ascii="Traditional Arabic" w:hAnsi="Traditional Arabic"/>
          <w:rtl/>
          <w:lang w:eastAsia="en-US"/>
        </w:rPr>
        <w:t>نضلة بن عُبَيْد بن الحارث الأسلمي</w:t>
      </w:r>
      <w:r>
        <w:rPr>
          <w:rFonts w:ascii="Traditional Arabic" w:hAnsi="Traditional Arabic" w:hint="cs"/>
          <w:rtl/>
          <w:lang w:eastAsia="en-US"/>
        </w:rPr>
        <w:t xml:space="preserve"> = </w:t>
      </w:r>
      <w:r w:rsidRPr="009C657F">
        <w:rPr>
          <w:rFonts w:ascii="Traditional Arabic" w:hAnsi="Traditional Arabic"/>
          <w:color w:val="auto"/>
          <w:rtl/>
        </w:rPr>
        <w:t>أبو برزة</w:t>
      </w:r>
      <w:r w:rsidRPr="009C657F">
        <w:rPr>
          <w:rFonts w:ascii="Traditional Arabic" w:hAnsi="Traditional Arabic"/>
          <w:rtl/>
        </w:rPr>
        <w:t>..................................... 122</w:t>
      </w:r>
    </w:p>
    <w:p w:rsidR="009652A2" w:rsidRPr="009C657F" w:rsidRDefault="009652A2" w:rsidP="009652A2">
      <w:pPr>
        <w:bidi w:val="0"/>
        <w:ind w:firstLine="0"/>
        <w:rPr>
          <w:rFonts w:ascii="Traditional Arabic" w:hAnsi="Traditional Arabic"/>
        </w:rPr>
      </w:pPr>
      <w:r w:rsidRPr="009C657F">
        <w:rPr>
          <w:rFonts w:ascii="Traditional Arabic" w:hAnsi="Traditional Arabic"/>
          <w:rtl/>
        </w:rPr>
        <w:t>النعمان بن ثابت</w:t>
      </w:r>
      <w:r>
        <w:rPr>
          <w:rFonts w:ascii="Traditional Arabic" w:hAnsi="Traditional Arabic" w:hint="cs"/>
          <w:rtl/>
        </w:rPr>
        <w:t xml:space="preserve"> = </w:t>
      </w:r>
      <w:r w:rsidRPr="009C657F">
        <w:rPr>
          <w:rFonts w:ascii="Traditional Arabic" w:hAnsi="Traditional Arabic"/>
          <w:rtl/>
        </w:rPr>
        <w:t>أبو حنيفة................................................... 198</w:t>
      </w:r>
    </w:p>
    <w:p w:rsidR="009652A2" w:rsidRPr="009C657F" w:rsidRDefault="009652A2" w:rsidP="009652A2">
      <w:pPr>
        <w:bidi w:val="0"/>
        <w:ind w:firstLine="0"/>
        <w:rPr>
          <w:rFonts w:ascii="Traditional Arabic" w:hAnsi="Traditional Arabic"/>
          <w:rtl/>
        </w:rPr>
      </w:pPr>
      <w:r w:rsidRPr="009C657F">
        <w:rPr>
          <w:rFonts w:ascii="Traditional Arabic" w:hAnsi="Traditional Arabic"/>
          <w:rtl/>
        </w:rPr>
        <w:t>نَوف بْن فَضالَة البِكالِيُّ</w:t>
      </w:r>
      <w:r w:rsidRPr="009C657F">
        <w:rPr>
          <w:rFonts w:ascii="Traditional Arabic" w:hAnsi="Traditional Arabic" w:hint="cs"/>
          <w:rtl/>
        </w:rPr>
        <w:t>.......................................................... 243</w:t>
      </w:r>
    </w:p>
    <w:p w:rsidR="009652A2" w:rsidRPr="009C657F" w:rsidRDefault="009652A2" w:rsidP="009652A2">
      <w:pPr>
        <w:bidi w:val="0"/>
        <w:ind w:firstLine="0"/>
        <w:rPr>
          <w:rFonts w:ascii="Traditional Arabic" w:hAnsi="Traditional Arabic"/>
          <w:color w:val="auto"/>
          <w:rtl/>
        </w:rPr>
      </w:pPr>
      <w:r w:rsidRPr="009C657F">
        <w:rPr>
          <w:rFonts w:ascii="Traditional Arabic" w:hAnsi="Traditional Arabic"/>
          <w:color w:val="auto"/>
          <w:rtl/>
        </w:rPr>
        <w:t>هبة الله بن سلامة بن نصر البغدادي</w:t>
      </w:r>
      <w:r w:rsidRPr="009C657F">
        <w:rPr>
          <w:rFonts w:ascii="Traditional Arabic" w:hAnsi="Traditional Arabic" w:hint="cs"/>
          <w:color w:val="auto"/>
          <w:rtl/>
        </w:rPr>
        <w:t>.............................................. 290</w:t>
      </w:r>
    </w:p>
    <w:p w:rsidR="009652A2" w:rsidRPr="009C657F" w:rsidRDefault="009652A2" w:rsidP="009652A2">
      <w:pPr>
        <w:bidi w:val="0"/>
        <w:ind w:firstLine="0"/>
        <w:rPr>
          <w:rFonts w:ascii="Traditional Arabic" w:hAnsi="Traditional Arabic"/>
          <w:rtl/>
          <w:lang w:eastAsia="en-US"/>
        </w:rPr>
      </w:pPr>
      <w:r w:rsidRPr="009C657F">
        <w:rPr>
          <w:rtl/>
        </w:rPr>
        <w:t>هُشَيْم</w:t>
      </w:r>
      <w:r w:rsidRPr="009C657F">
        <w:rPr>
          <w:rFonts w:ascii="Traditional Arabic" w:hAnsi="Traditional Arabic"/>
          <w:rtl/>
        </w:rPr>
        <w:t xml:space="preserve"> بن بشير بن أبي خازم السلمي</w:t>
      </w:r>
      <w:r w:rsidRPr="009C657F">
        <w:rPr>
          <w:rFonts w:ascii="Traditional Arabic" w:hAnsi="Traditional Arabic"/>
          <w:rtl/>
          <w:lang w:eastAsia="en-US"/>
        </w:rPr>
        <w:t xml:space="preserve"> مولاه</w:t>
      </w:r>
      <w:r w:rsidRPr="009C657F">
        <w:rPr>
          <w:rFonts w:ascii="Traditional Arabic" w:hAnsi="Traditional Arabic" w:hint="cs"/>
          <w:rtl/>
          <w:lang w:eastAsia="en-US"/>
        </w:rPr>
        <w:t>م....................................... 194</w:t>
      </w:r>
    </w:p>
    <w:p w:rsidR="009652A2" w:rsidRPr="009C657F" w:rsidRDefault="009652A2" w:rsidP="009652A2">
      <w:pPr>
        <w:bidi w:val="0"/>
        <w:ind w:firstLine="0"/>
        <w:rPr>
          <w:rFonts w:ascii="Traditional Arabic" w:hAnsi="Traditional Arabic"/>
          <w:rtl/>
        </w:rPr>
      </w:pPr>
      <w:r w:rsidRPr="009C657F">
        <w:rPr>
          <w:rFonts w:ascii="Traditional Arabic" w:hAnsi="Traditional Arabic"/>
          <w:color w:val="auto"/>
          <w:rtl/>
          <w:lang w:eastAsia="en-US"/>
        </w:rPr>
        <w:t>همَّام بن غالب بن صعصعة</w:t>
      </w:r>
      <w:r>
        <w:rPr>
          <w:rFonts w:ascii="Traditional Arabic" w:hAnsi="Traditional Arabic" w:hint="cs"/>
          <w:color w:val="auto"/>
          <w:rtl/>
          <w:lang w:eastAsia="en-US"/>
        </w:rPr>
        <w:t xml:space="preserve"> =</w:t>
      </w:r>
      <w:r w:rsidRPr="009C657F">
        <w:rPr>
          <w:rFonts w:ascii="Traditional Arabic" w:hAnsi="Traditional Arabic"/>
          <w:color w:val="auto"/>
          <w:rtl/>
          <w:lang w:eastAsia="en-US"/>
        </w:rPr>
        <w:t xml:space="preserve"> أبو فراس</w:t>
      </w:r>
      <w:r w:rsidRPr="009C657F">
        <w:rPr>
          <w:rFonts w:ascii="Traditional Arabic" w:hAnsi="Traditional Arabic"/>
          <w:rtl/>
        </w:rPr>
        <w:t>........................................... 106</w:t>
      </w:r>
    </w:p>
    <w:p w:rsidR="009652A2" w:rsidRPr="009C657F" w:rsidRDefault="009652A2" w:rsidP="009652A2">
      <w:pPr>
        <w:bidi w:val="0"/>
        <w:ind w:firstLine="0"/>
      </w:pPr>
      <w:r w:rsidRPr="009C657F">
        <w:rPr>
          <w:rFonts w:ascii="Traditional Arabic" w:hAnsi="Traditional Arabic"/>
          <w:color w:val="auto"/>
          <w:rtl/>
        </w:rPr>
        <w:t>ورقة بن نوفل بن أسد ابن عبد العزى الأسدي</w:t>
      </w:r>
      <w:r w:rsidRPr="009C657F">
        <w:rPr>
          <w:rFonts w:hint="cs"/>
          <w:rtl/>
        </w:rPr>
        <w:t>..................................... 158</w:t>
      </w:r>
    </w:p>
    <w:p w:rsidR="009652A2" w:rsidRPr="009C657F" w:rsidRDefault="009652A2" w:rsidP="009652A2">
      <w:pPr>
        <w:bidi w:val="0"/>
        <w:ind w:firstLine="0"/>
        <w:rPr>
          <w:rFonts w:ascii="Traditional Arabic" w:hAnsi="Traditional Arabic"/>
          <w:rtl/>
        </w:rPr>
      </w:pPr>
      <w:r w:rsidRPr="009C657F">
        <w:rPr>
          <w:rFonts w:ascii="Traditional Arabic" w:hAnsi="Traditional Arabic"/>
          <w:rtl/>
        </w:rPr>
        <w:t xml:space="preserve">الْوَلِيد بن المُغيرة بن عبد الله </w:t>
      </w:r>
      <w:r w:rsidRPr="009C657F">
        <w:rPr>
          <w:rFonts w:ascii="Traditional Arabic" w:hAnsi="Traditional Arabic" w:hint="cs"/>
          <w:rtl/>
        </w:rPr>
        <w:t>..................................................... 134</w:t>
      </w:r>
    </w:p>
    <w:p w:rsidR="009652A2" w:rsidRPr="009C657F" w:rsidRDefault="009652A2" w:rsidP="009652A2">
      <w:pPr>
        <w:bidi w:val="0"/>
        <w:ind w:firstLine="0"/>
      </w:pPr>
      <w:r w:rsidRPr="009C657F">
        <w:rPr>
          <w:rFonts w:ascii="Traditional Arabic" w:eastAsia="Calibri" w:hAnsi="Traditional Arabic"/>
          <w:color w:val="auto"/>
          <w:spacing w:val="-6"/>
          <w:rtl/>
          <w:lang w:eastAsia="en-US"/>
        </w:rPr>
        <w:lastRenderedPageBreak/>
        <w:t>وهب بن منبه بن كامل بن</w:t>
      </w:r>
      <w:r w:rsidRPr="009C657F">
        <w:rPr>
          <w:rFonts w:ascii="Traditional Arabic" w:hAnsi="Traditional Arabic"/>
          <w:color w:val="800000"/>
          <w:rtl/>
          <w:lang w:eastAsia="en-US"/>
        </w:rPr>
        <w:t xml:space="preserve"> </w:t>
      </w:r>
      <w:r w:rsidRPr="009C657F">
        <w:rPr>
          <w:rFonts w:ascii="Traditional Arabic" w:eastAsia="Calibri" w:hAnsi="Traditional Arabic"/>
          <w:color w:val="auto"/>
          <w:spacing w:val="-6"/>
          <w:rtl/>
          <w:lang w:eastAsia="en-US"/>
        </w:rPr>
        <w:t>سِيْجِ بن ذِي كِبَار اليمان</w:t>
      </w:r>
      <w:r w:rsidRPr="009C657F">
        <w:rPr>
          <w:rFonts w:ascii="Traditional Arabic" w:eastAsia="Calibri" w:hAnsi="Traditional Arabic" w:hint="cs"/>
          <w:color w:val="auto"/>
          <w:spacing w:val="-6"/>
          <w:rtl/>
          <w:lang w:eastAsia="en-US"/>
        </w:rPr>
        <w:t>..................................... 151</w:t>
      </w:r>
    </w:p>
    <w:p w:rsidR="009652A2" w:rsidRPr="009C657F" w:rsidRDefault="009652A2" w:rsidP="009652A2">
      <w:pPr>
        <w:bidi w:val="0"/>
        <w:ind w:firstLine="0"/>
      </w:pPr>
      <w:r w:rsidRPr="009C657F">
        <w:rPr>
          <w:rFonts w:ascii="Traditional Arabic" w:hAnsi="Traditional Arabic"/>
          <w:color w:val="auto"/>
          <w:rtl/>
          <w:lang w:eastAsia="en-US"/>
        </w:rPr>
        <w:t>يحيى بن زياد بن عبد الله الأسدي مولاهم</w:t>
      </w:r>
      <w:r w:rsidRPr="009C657F">
        <w:rPr>
          <w:rFonts w:ascii="Traditional Arabic" w:hAnsi="Traditional Arabic"/>
          <w:rtl/>
          <w:lang w:eastAsia="en-US"/>
        </w:rPr>
        <w:t xml:space="preserve"> </w:t>
      </w:r>
      <w:r w:rsidRPr="009C657F">
        <w:rPr>
          <w:rFonts w:hint="cs"/>
          <w:rtl/>
        </w:rPr>
        <w:t>......................................... 100</w:t>
      </w:r>
    </w:p>
    <w:p w:rsidR="009652A2" w:rsidRDefault="009652A2" w:rsidP="009652A2">
      <w:pPr>
        <w:bidi w:val="0"/>
        <w:ind w:firstLine="0"/>
        <w:rPr>
          <w:rFonts w:ascii="Traditional Arabic" w:hAnsi="Traditional Arabic"/>
          <w:rtl/>
        </w:rPr>
      </w:pPr>
      <w:r w:rsidRPr="009C657F">
        <w:rPr>
          <w:rFonts w:ascii="Traditional Arabic" w:hAnsi="Traditional Arabic"/>
          <w:rtl/>
        </w:rPr>
        <w:t>يحيى بن يعمر العدوانيُّ</w:t>
      </w:r>
      <w:r w:rsidRPr="009C657F">
        <w:rPr>
          <w:rFonts w:ascii="Traditional Arabic" w:hAnsi="Traditional Arabic" w:hint="cs"/>
          <w:rtl/>
        </w:rPr>
        <w:t>........................................................... 153</w:t>
      </w:r>
    </w:p>
    <w:p w:rsidR="009652A2" w:rsidRPr="009C657F" w:rsidRDefault="009652A2" w:rsidP="009652A2">
      <w:pPr>
        <w:bidi w:val="0"/>
        <w:ind w:firstLine="0"/>
        <w:rPr>
          <w:rFonts w:ascii="Traditional Arabic" w:hAnsi="Traditional Arabic"/>
        </w:rPr>
      </w:pPr>
      <w:r w:rsidRPr="009C657F">
        <w:rPr>
          <w:rFonts w:ascii="Traditional Arabic" w:hAnsi="Traditional Arabic"/>
          <w:rtl/>
          <w:lang w:eastAsia="en-US"/>
        </w:rPr>
        <w:t>يزيد بن القعقاع المخزومي</w:t>
      </w:r>
      <w:r>
        <w:rPr>
          <w:rFonts w:ascii="Traditional Arabic" w:hAnsi="Traditional Arabic" w:hint="cs"/>
          <w:rtl/>
          <w:lang w:eastAsia="en-US"/>
        </w:rPr>
        <w:t xml:space="preserve"> = </w:t>
      </w:r>
      <w:r w:rsidRPr="009C657F">
        <w:rPr>
          <w:rFonts w:ascii="Traditional Arabic" w:hAnsi="Traditional Arabic"/>
          <w:rtl/>
          <w:lang w:eastAsia="en-US"/>
        </w:rPr>
        <w:t>أبو جعفر</w:t>
      </w:r>
      <w:r w:rsidRPr="009C657F">
        <w:rPr>
          <w:rFonts w:ascii="Traditional Arabic" w:hAnsi="Traditional Arabic"/>
          <w:rtl/>
        </w:rPr>
        <w:t>............................................ 107</w:t>
      </w:r>
    </w:p>
    <w:p w:rsidR="009652A2" w:rsidRPr="009C657F" w:rsidRDefault="009652A2" w:rsidP="009652A2">
      <w:pPr>
        <w:bidi w:val="0"/>
        <w:ind w:firstLine="0"/>
        <w:rPr>
          <w:rFonts w:ascii="Traditional Arabic" w:hAnsi="Traditional Arabic"/>
        </w:rPr>
      </w:pPr>
      <w:r w:rsidRPr="009C657F">
        <w:rPr>
          <w:rFonts w:ascii="Traditional Arabic" w:hAnsi="Traditional Arabic"/>
          <w:color w:val="auto"/>
          <w:rtl/>
          <w:lang w:eastAsia="en-US"/>
        </w:rPr>
        <w:t>يمان الكوفي</w:t>
      </w:r>
      <w:r>
        <w:rPr>
          <w:rFonts w:ascii="Traditional Arabic" w:hAnsi="Traditional Arabic" w:hint="cs"/>
          <w:color w:val="auto"/>
          <w:rtl/>
          <w:lang w:eastAsia="en-US"/>
        </w:rPr>
        <w:t xml:space="preserve"> = </w:t>
      </w:r>
      <w:r w:rsidRPr="009C657F">
        <w:rPr>
          <w:rFonts w:ascii="Traditional Arabic" w:hAnsi="Traditional Arabic"/>
          <w:rtl/>
        </w:rPr>
        <w:t>أبو داود</w:t>
      </w:r>
      <w:r w:rsidRPr="009C657F">
        <w:rPr>
          <w:rFonts w:ascii="Traditional Arabic" w:hAnsi="Traditional Arabic"/>
          <w:color w:val="auto"/>
          <w:rtl/>
          <w:lang w:eastAsia="en-US"/>
        </w:rPr>
        <w:t>.......................................................... 110</w:t>
      </w:r>
    </w:p>
    <w:p w:rsidR="009C657F" w:rsidRDefault="009C657F" w:rsidP="009C657F">
      <w:pPr>
        <w:ind w:firstLine="0"/>
        <w:rPr>
          <w:rFonts w:ascii="Traditional Arabic" w:hAnsi="Traditional Arabic"/>
          <w:rtl/>
        </w:rPr>
      </w:pPr>
    </w:p>
    <w:p w:rsidR="009C657F" w:rsidRDefault="009C657F" w:rsidP="009C657F">
      <w:pPr>
        <w:ind w:firstLine="0"/>
        <w:rPr>
          <w:rFonts w:ascii="Traditional Arabic" w:hAnsi="Traditional Arabic"/>
          <w:rtl/>
        </w:rPr>
      </w:pPr>
    </w:p>
    <w:p w:rsidR="009C657F" w:rsidRDefault="009C657F" w:rsidP="009C657F">
      <w:pPr>
        <w:ind w:firstLine="0"/>
        <w:rPr>
          <w:rFonts w:ascii="Traditional Arabic" w:hAnsi="Traditional Arabic"/>
          <w:rtl/>
        </w:rPr>
      </w:pPr>
    </w:p>
    <w:p w:rsidR="009C657F" w:rsidRDefault="009C657F" w:rsidP="009C657F">
      <w:pPr>
        <w:ind w:firstLine="0"/>
        <w:rPr>
          <w:rFonts w:ascii="Traditional Arabic" w:hAnsi="Traditional Arabic"/>
          <w:rtl/>
        </w:rPr>
      </w:pPr>
    </w:p>
    <w:p w:rsidR="009C657F" w:rsidRDefault="009C657F" w:rsidP="009C657F">
      <w:pPr>
        <w:ind w:firstLine="0"/>
        <w:rPr>
          <w:rFonts w:ascii="Traditional Arabic" w:hAnsi="Traditional Arabic"/>
          <w:rtl/>
        </w:rPr>
      </w:pPr>
    </w:p>
    <w:p w:rsidR="009C657F" w:rsidRDefault="009C657F" w:rsidP="009C657F">
      <w:pPr>
        <w:ind w:firstLine="0"/>
        <w:rPr>
          <w:rFonts w:ascii="Traditional Arabic" w:hAnsi="Traditional Arabic"/>
          <w:rtl/>
        </w:rPr>
      </w:pPr>
    </w:p>
    <w:p w:rsidR="009C657F" w:rsidRDefault="009C657F" w:rsidP="009C657F">
      <w:pPr>
        <w:ind w:firstLine="0"/>
        <w:rPr>
          <w:rFonts w:ascii="Traditional Arabic" w:hAnsi="Traditional Arabic"/>
          <w:rtl/>
        </w:rPr>
      </w:pPr>
    </w:p>
    <w:p w:rsidR="009C657F" w:rsidRDefault="009C657F" w:rsidP="009C657F">
      <w:pPr>
        <w:ind w:firstLine="0"/>
        <w:rPr>
          <w:rFonts w:ascii="Traditional Arabic" w:hAnsi="Traditional Arabic"/>
          <w:rtl/>
        </w:rPr>
      </w:pPr>
    </w:p>
    <w:p w:rsidR="009C657F" w:rsidRDefault="009C657F" w:rsidP="009C657F">
      <w:pPr>
        <w:ind w:firstLine="0"/>
        <w:rPr>
          <w:rFonts w:ascii="Traditional Arabic" w:hAnsi="Traditional Arabic"/>
          <w:rtl/>
        </w:rPr>
      </w:pPr>
    </w:p>
    <w:p w:rsidR="009C657F" w:rsidRDefault="009C657F" w:rsidP="009C657F">
      <w:pPr>
        <w:ind w:firstLine="0"/>
        <w:rPr>
          <w:rFonts w:ascii="Traditional Arabic" w:hAnsi="Traditional Arabic"/>
          <w:rtl/>
        </w:rPr>
      </w:pPr>
    </w:p>
    <w:p w:rsidR="009C657F" w:rsidRDefault="009C657F" w:rsidP="009C657F">
      <w:pPr>
        <w:ind w:firstLine="0"/>
        <w:rPr>
          <w:rFonts w:ascii="Traditional Arabic" w:hAnsi="Traditional Arabic"/>
          <w:rtl/>
        </w:rPr>
      </w:pPr>
    </w:p>
    <w:p w:rsidR="009C657F" w:rsidRDefault="009C657F" w:rsidP="009C657F">
      <w:pPr>
        <w:ind w:firstLine="0"/>
        <w:rPr>
          <w:rFonts w:ascii="Traditional Arabic" w:hAnsi="Traditional Arabic"/>
          <w:rtl/>
        </w:rPr>
      </w:pPr>
    </w:p>
    <w:p w:rsidR="009C657F" w:rsidRDefault="009C657F" w:rsidP="009C657F">
      <w:pPr>
        <w:ind w:firstLine="0"/>
        <w:rPr>
          <w:rFonts w:ascii="Traditional Arabic" w:hAnsi="Traditional Arabic"/>
          <w:rtl/>
        </w:rPr>
      </w:pPr>
    </w:p>
    <w:p w:rsidR="009C657F" w:rsidRDefault="009C657F" w:rsidP="009C657F">
      <w:pPr>
        <w:ind w:firstLine="0"/>
        <w:rPr>
          <w:rFonts w:ascii="Traditional Arabic" w:hAnsi="Traditional Arabic"/>
          <w:rtl/>
        </w:rPr>
      </w:pPr>
    </w:p>
    <w:p w:rsidR="009C657F" w:rsidRDefault="009C657F" w:rsidP="009C657F">
      <w:pPr>
        <w:ind w:firstLine="0"/>
        <w:rPr>
          <w:rFonts w:ascii="Traditional Arabic" w:hAnsi="Traditional Arabic"/>
          <w:rtl/>
        </w:rPr>
      </w:pPr>
    </w:p>
    <w:p w:rsidR="009C657F" w:rsidRDefault="009C657F" w:rsidP="009C657F">
      <w:pPr>
        <w:ind w:firstLine="0"/>
        <w:rPr>
          <w:rFonts w:ascii="Traditional Arabic" w:hAnsi="Traditional Arabic"/>
          <w:rtl/>
        </w:rPr>
      </w:pPr>
    </w:p>
    <w:p w:rsidR="009C657F" w:rsidRDefault="009C657F" w:rsidP="009C657F">
      <w:pPr>
        <w:ind w:firstLine="0"/>
        <w:rPr>
          <w:rFonts w:ascii="Traditional Arabic" w:hAnsi="Traditional Arabic"/>
          <w:rtl/>
        </w:rPr>
      </w:pPr>
    </w:p>
    <w:p w:rsidR="009C657F" w:rsidRPr="009C657F" w:rsidRDefault="009C657F" w:rsidP="009C657F">
      <w:pPr>
        <w:ind w:firstLine="0"/>
      </w:pPr>
    </w:p>
    <w:p w:rsidR="009C657F" w:rsidRDefault="009C657F" w:rsidP="009C657F">
      <w:pPr>
        <w:ind w:firstLine="0"/>
        <w:rPr>
          <w:rtl/>
        </w:rPr>
      </w:pPr>
    </w:p>
    <w:p w:rsidR="009652A2" w:rsidRPr="009C657F" w:rsidRDefault="009652A2" w:rsidP="009C657F">
      <w:pPr>
        <w:ind w:firstLine="0"/>
      </w:pPr>
    </w:p>
    <w:p w:rsidR="009C657F" w:rsidRPr="009C657F" w:rsidRDefault="009C657F" w:rsidP="009C657F">
      <w:pPr>
        <w:ind w:firstLine="0"/>
        <w:rPr>
          <w:rFonts w:ascii="Traditional Arabic" w:hAnsi="Traditional Arabic"/>
          <w:b/>
          <w:bCs/>
          <w:sz w:val="40"/>
          <w:szCs w:val="40"/>
          <w:rtl/>
        </w:rPr>
      </w:pPr>
      <w:r w:rsidRPr="009C657F">
        <w:rPr>
          <w:rFonts w:hint="cs"/>
          <w:rtl/>
        </w:rPr>
        <w:lastRenderedPageBreak/>
        <w:t xml:space="preserve">                            </w:t>
      </w:r>
      <w:r w:rsidRPr="009C657F">
        <w:rPr>
          <w:rFonts w:ascii="Traditional Arabic" w:hAnsi="Traditional Arabic" w:hint="cs"/>
          <w:b/>
          <w:bCs/>
          <w:sz w:val="40"/>
          <w:szCs w:val="40"/>
          <w:rtl/>
        </w:rPr>
        <w:t>فهرس الأماكن والبلدان</w:t>
      </w:r>
    </w:p>
    <w:p w:rsidR="009C657F" w:rsidRPr="009C657F" w:rsidRDefault="009C657F" w:rsidP="009C657F">
      <w:pPr>
        <w:ind w:firstLine="0"/>
      </w:pPr>
      <w:r w:rsidRPr="009C657F">
        <w:rPr>
          <w:rFonts w:ascii="Traditional Arabic" w:hAnsi="Traditional Arabic"/>
          <w:rtl/>
        </w:rPr>
        <w:t>الأُبُلَّة</w:t>
      </w:r>
      <w:r w:rsidRPr="009C657F">
        <w:rPr>
          <w:rFonts w:ascii="Traditional Arabic" w:hAnsi="Traditional Arabic" w:hint="cs"/>
          <w:rtl/>
        </w:rPr>
        <w:t>.......................................................................... 256</w:t>
      </w:r>
    </w:p>
    <w:p w:rsidR="009C657F" w:rsidRPr="009C657F" w:rsidRDefault="009C657F" w:rsidP="009C657F">
      <w:pPr>
        <w:ind w:firstLine="0"/>
        <w:rPr>
          <w:rFonts w:ascii="Traditional Arabic" w:hAnsi="Traditional Arabic"/>
          <w:rtl/>
        </w:rPr>
      </w:pPr>
      <w:r w:rsidRPr="009C657F">
        <w:rPr>
          <w:rFonts w:ascii="Traditional Arabic" w:hAnsi="Traditional Arabic"/>
          <w:rtl/>
        </w:rPr>
        <w:t>أنطاكيّة</w:t>
      </w:r>
      <w:r w:rsidRPr="009C657F">
        <w:rPr>
          <w:rFonts w:ascii="Traditional Arabic" w:hAnsi="Traditional Arabic" w:hint="cs"/>
          <w:rtl/>
        </w:rPr>
        <w:t>........................................................................ 255</w:t>
      </w:r>
    </w:p>
    <w:p w:rsidR="009C657F" w:rsidRPr="009C657F" w:rsidRDefault="009C657F" w:rsidP="009C657F">
      <w:pPr>
        <w:ind w:firstLine="0"/>
        <w:rPr>
          <w:rFonts w:ascii="Traditional Arabic" w:hAnsi="Traditional Arabic"/>
          <w:rtl/>
        </w:rPr>
      </w:pPr>
      <w:r w:rsidRPr="009C657F">
        <w:rPr>
          <w:rFonts w:ascii="Traditional Arabic" w:hAnsi="Traditional Arabic"/>
          <w:rtl/>
        </w:rPr>
        <w:t>باجَرْوَانُ</w:t>
      </w:r>
      <w:r w:rsidRPr="009C657F">
        <w:rPr>
          <w:rFonts w:ascii="Traditional Arabic" w:hAnsi="Traditional Arabic" w:hint="cs"/>
          <w:rtl/>
        </w:rPr>
        <w:t>........................................................................ 256</w:t>
      </w:r>
    </w:p>
    <w:p w:rsidR="009C657F" w:rsidRPr="009C657F" w:rsidRDefault="009C657F" w:rsidP="009C657F">
      <w:pPr>
        <w:ind w:firstLine="0"/>
      </w:pPr>
      <w:r w:rsidRPr="009C657F">
        <w:rPr>
          <w:rFonts w:ascii="Traditional Arabic" w:hAnsi="Traditional Arabic"/>
          <w:rtl/>
        </w:rPr>
        <w:t>بُحَيرَة طَبَرِيَّةَ</w:t>
      </w:r>
      <w:r w:rsidRPr="009C657F">
        <w:rPr>
          <w:rFonts w:hint="cs"/>
          <w:rtl/>
        </w:rPr>
        <w:t>..................................................................... 275</w:t>
      </w:r>
    </w:p>
    <w:p w:rsidR="009C657F" w:rsidRPr="009C657F" w:rsidRDefault="009C657F" w:rsidP="009C657F">
      <w:pPr>
        <w:ind w:firstLine="0"/>
      </w:pPr>
      <w:r w:rsidRPr="009C657F">
        <w:rPr>
          <w:rFonts w:ascii="Traditional Arabic" w:hAnsi="Traditional Arabic"/>
          <w:color w:val="auto"/>
          <w:rtl/>
        </w:rPr>
        <w:t>بنات نعش</w:t>
      </w:r>
      <w:r w:rsidRPr="009C657F">
        <w:rPr>
          <w:rFonts w:hint="cs"/>
          <w:rtl/>
        </w:rPr>
        <w:t>..................................................................... 182</w:t>
      </w:r>
    </w:p>
    <w:p w:rsidR="009C657F" w:rsidRPr="009C657F" w:rsidRDefault="009C657F" w:rsidP="009C657F">
      <w:pPr>
        <w:ind w:firstLine="0"/>
        <w:rPr>
          <w:rtl/>
        </w:rPr>
      </w:pPr>
      <w:r w:rsidRPr="009C657F">
        <w:rPr>
          <w:rFonts w:ascii="Traditional Arabic" w:hAnsi="Traditional Arabic"/>
          <w:color w:val="auto"/>
          <w:rtl/>
          <w:lang w:eastAsia="en-US"/>
        </w:rPr>
        <w:t>حُنَينٌ</w:t>
      </w:r>
      <w:r w:rsidRPr="009C657F">
        <w:rPr>
          <w:rFonts w:hint="cs"/>
          <w:rtl/>
        </w:rPr>
        <w:t>.......................................................................... 131</w:t>
      </w:r>
    </w:p>
    <w:p w:rsidR="009C657F" w:rsidRPr="009C657F" w:rsidRDefault="009C657F" w:rsidP="009C657F">
      <w:pPr>
        <w:ind w:firstLine="0"/>
        <w:rPr>
          <w:rtl/>
        </w:rPr>
      </w:pPr>
      <w:r w:rsidRPr="009C657F">
        <w:rPr>
          <w:rFonts w:ascii="Traditional Arabic" w:hAnsi="Traditional Arabic"/>
          <w:rtl/>
        </w:rPr>
        <w:t>خُراسَانُ</w:t>
      </w:r>
      <w:r w:rsidRPr="009C657F">
        <w:rPr>
          <w:rFonts w:hint="cs"/>
          <w:rtl/>
        </w:rPr>
        <w:t>........................................................................ 275</w:t>
      </w:r>
    </w:p>
    <w:p w:rsidR="009C657F" w:rsidRPr="009C657F" w:rsidRDefault="009C657F" w:rsidP="009C657F">
      <w:pPr>
        <w:ind w:firstLine="0"/>
        <w:rPr>
          <w:rFonts w:ascii="Traditional Arabic" w:hAnsi="Traditional Arabic"/>
          <w:rtl/>
        </w:rPr>
      </w:pPr>
      <w:r w:rsidRPr="009C657F">
        <w:rPr>
          <w:rFonts w:ascii="Traditional Arabic" w:hAnsi="Traditional Arabic"/>
          <w:b/>
          <w:rtl/>
        </w:rPr>
        <w:t>درب حبيب</w:t>
      </w:r>
      <w:r w:rsidRPr="009C657F">
        <w:rPr>
          <w:rFonts w:ascii="Traditional Arabic" w:hAnsi="Traditional Arabic" w:hint="cs"/>
          <w:rtl/>
        </w:rPr>
        <w:t>..................................................................... 19</w:t>
      </w:r>
    </w:p>
    <w:p w:rsidR="009C657F" w:rsidRPr="009C657F" w:rsidRDefault="009C657F" w:rsidP="009C657F">
      <w:pPr>
        <w:ind w:firstLine="0"/>
      </w:pPr>
      <w:r w:rsidRPr="009C657F">
        <w:rPr>
          <w:rFonts w:ascii="Traditional Arabic" w:hAnsi="Traditional Arabic"/>
          <w:rtl/>
        </w:rPr>
        <w:t>الصفَا</w:t>
      </w:r>
      <w:r w:rsidRPr="009C657F">
        <w:rPr>
          <w:rFonts w:ascii="Traditional Arabic" w:hAnsi="Traditional Arabic" w:hint="cs"/>
          <w:rtl/>
        </w:rPr>
        <w:t>...........................................................</w:t>
      </w:r>
      <w:r w:rsidR="00CD77B3">
        <w:rPr>
          <w:rFonts w:ascii="Traditional Arabic" w:hAnsi="Traditional Arabic" w:hint="cs"/>
          <w:rtl/>
        </w:rPr>
        <w:t>...</w:t>
      </w:r>
      <w:r w:rsidRPr="009C657F">
        <w:rPr>
          <w:rFonts w:ascii="Traditional Arabic" w:hAnsi="Traditional Arabic" w:hint="cs"/>
          <w:rtl/>
        </w:rPr>
        <w:t>............. 89</w:t>
      </w:r>
    </w:p>
    <w:p w:rsidR="009C657F" w:rsidRPr="009C657F" w:rsidRDefault="009C657F" w:rsidP="009C657F">
      <w:pPr>
        <w:ind w:firstLine="0"/>
        <w:rPr>
          <w:rtl/>
        </w:rPr>
      </w:pPr>
      <w:r w:rsidRPr="009C657F">
        <w:rPr>
          <w:rFonts w:ascii="Traditional Arabic" w:hAnsi="Traditional Arabic"/>
          <w:rtl/>
        </w:rPr>
        <w:t>مكة</w:t>
      </w:r>
      <w:r w:rsidRPr="009C657F">
        <w:rPr>
          <w:rFonts w:hint="cs"/>
          <w:rtl/>
        </w:rPr>
        <w:t>......................................</w:t>
      </w:r>
      <w:r w:rsidR="00CD77B3">
        <w:rPr>
          <w:rFonts w:hint="cs"/>
          <w:rtl/>
        </w:rPr>
        <w:t>....</w:t>
      </w:r>
      <w:r w:rsidRPr="009C657F">
        <w:rPr>
          <w:rFonts w:hint="cs"/>
          <w:rtl/>
        </w:rPr>
        <w:t>................................... 89</w:t>
      </w:r>
    </w:p>
    <w:p w:rsidR="009C657F" w:rsidRPr="009C657F" w:rsidRDefault="009C657F" w:rsidP="009C657F">
      <w:pPr>
        <w:ind w:firstLine="0"/>
        <w:rPr>
          <w:rFonts w:ascii="Traditional Arabic" w:hAnsi="Traditional Arabic"/>
          <w:rtl/>
        </w:rPr>
      </w:pPr>
      <w:r w:rsidRPr="009C657F">
        <w:rPr>
          <w:rFonts w:ascii="Traditional Arabic" w:hAnsi="Traditional Arabic"/>
          <w:rtl/>
        </w:rPr>
        <w:t>نَجْرَان</w:t>
      </w:r>
      <w:r w:rsidR="00CD77B3">
        <w:rPr>
          <w:rFonts w:ascii="Traditional Arabic" w:hAnsi="Traditional Arabic" w:hint="cs"/>
          <w:rtl/>
        </w:rPr>
        <w:t xml:space="preserve"> </w:t>
      </w:r>
      <w:r w:rsidRPr="009C657F">
        <w:rPr>
          <w:rFonts w:ascii="Traditional Arabic" w:hAnsi="Traditional Arabic" w:hint="cs"/>
          <w:rtl/>
        </w:rPr>
        <w:t>......................................................................... 191</w:t>
      </w:r>
    </w:p>
    <w:p w:rsidR="009C657F" w:rsidRPr="009C657F" w:rsidRDefault="009C657F" w:rsidP="009C657F">
      <w:pPr>
        <w:ind w:firstLine="0"/>
        <w:rPr>
          <w:rFonts w:ascii="Traditional Arabic" w:hAnsi="Traditional Arabic"/>
          <w:rtl/>
        </w:rPr>
      </w:pPr>
      <w:r w:rsidRPr="009C657F">
        <w:rPr>
          <w:rFonts w:ascii="Traditional Arabic" w:eastAsia="Calibri" w:hAnsi="Traditional Arabic"/>
          <w:color w:val="0D0D0D"/>
          <w:spacing w:val="4"/>
          <w:rtl/>
        </w:rPr>
        <w:t>نهر عيسى</w:t>
      </w:r>
      <w:r w:rsidRPr="009C657F">
        <w:rPr>
          <w:rFonts w:ascii="Traditional Arabic" w:hAnsi="Traditional Arabic" w:hint="cs"/>
          <w:rtl/>
        </w:rPr>
        <w:t>..................................</w:t>
      </w:r>
      <w:r w:rsidR="00CD77B3">
        <w:rPr>
          <w:rFonts w:ascii="Traditional Arabic" w:hAnsi="Traditional Arabic" w:hint="cs"/>
          <w:rtl/>
        </w:rPr>
        <w:t>...</w:t>
      </w:r>
      <w:r w:rsidRPr="009C657F">
        <w:rPr>
          <w:rFonts w:ascii="Traditional Arabic" w:hAnsi="Traditional Arabic" w:hint="cs"/>
          <w:rtl/>
        </w:rPr>
        <w:t>.................................. 23</w:t>
      </w:r>
    </w:p>
    <w:p w:rsidR="009C657F" w:rsidRPr="009C657F" w:rsidRDefault="009C657F" w:rsidP="009C657F">
      <w:pPr>
        <w:ind w:firstLine="0"/>
      </w:pPr>
    </w:p>
    <w:p w:rsidR="009C657F" w:rsidRDefault="009C657F" w:rsidP="009C657F">
      <w:pPr>
        <w:ind w:firstLine="0"/>
        <w:rPr>
          <w:rtl/>
        </w:rPr>
      </w:pPr>
    </w:p>
    <w:p w:rsidR="009C657F" w:rsidRDefault="009C657F" w:rsidP="009C657F">
      <w:pPr>
        <w:ind w:firstLine="0"/>
        <w:rPr>
          <w:rtl/>
        </w:rPr>
      </w:pPr>
    </w:p>
    <w:p w:rsidR="009C657F" w:rsidRDefault="009C657F" w:rsidP="009C657F">
      <w:pPr>
        <w:ind w:firstLine="0"/>
        <w:rPr>
          <w:rtl/>
        </w:rPr>
      </w:pPr>
    </w:p>
    <w:p w:rsidR="009C657F" w:rsidRDefault="009C657F" w:rsidP="009C657F">
      <w:pPr>
        <w:ind w:firstLine="0"/>
        <w:rPr>
          <w:rtl/>
        </w:rPr>
      </w:pPr>
    </w:p>
    <w:p w:rsidR="009C657F" w:rsidRDefault="009C657F" w:rsidP="009C657F">
      <w:pPr>
        <w:ind w:firstLine="0"/>
        <w:rPr>
          <w:rtl/>
        </w:rPr>
      </w:pPr>
    </w:p>
    <w:p w:rsidR="009C657F" w:rsidRDefault="009C657F" w:rsidP="009C657F">
      <w:pPr>
        <w:ind w:firstLine="0"/>
        <w:rPr>
          <w:rtl/>
        </w:rPr>
      </w:pPr>
    </w:p>
    <w:p w:rsidR="009C657F" w:rsidRDefault="009C657F" w:rsidP="009C657F">
      <w:pPr>
        <w:ind w:firstLine="0"/>
        <w:rPr>
          <w:rtl/>
        </w:rPr>
      </w:pPr>
    </w:p>
    <w:p w:rsidR="009C657F" w:rsidRDefault="009C657F" w:rsidP="009C657F">
      <w:pPr>
        <w:ind w:firstLine="0"/>
        <w:rPr>
          <w:rtl/>
        </w:rPr>
      </w:pPr>
    </w:p>
    <w:p w:rsidR="009C657F" w:rsidRDefault="009C657F" w:rsidP="009C657F">
      <w:pPr>
        <w:ind w:firstLine="0"/>
        <w:rPr>
          <w:rtl/>
        </w:rPr>
      </w:pPr>
    </w:p>
    <w:p w:rsidR="009C657F" w:rsidRDefault="009C657F" w:rsidP="009C657F">
      <w:pPr>
        <w:ind w:firstLine="0"/>
        <w:rPr>
          <w:rtl/>
        </w:rPr>
      </w:pPr>
    </w:p>
    <w:p w:rsidR="009C657F" w:rsidRDefault="009C657F" w:rsidP="009C657F">
      <w:pPr>
        <w:ind w:firstLine="0"/>
        <w:rPr>
          <w:rtl/>
        </w:rPr>
      </w:pPr>
    </w:p>
    <w:p w:rsidR="009C657F" w:rsidRDefault="009C657F" w:rsidP="009C657F">
      <w:pPr>
        <w:ind w:firstLine="0"/>
        <w:jc w:val="center"/>
        <w:rPr>
          <w:rFonts w:ascii="Traditional Arabic" w:hAnsi="Traditional Arabic"/>
          <w:b/>
          <w:bCs/>
          <w:sz w:val="40"/>
          <w:szCs w:val="40"/>
          <w:rtl/>
        </w:rPr>
      </w:pPr>
      <w:r w:rsidRPr="009C657F">
        <w:rPr>
          <w:rFonts w:ascii="Traditional Arabic" w:hAnsi="Traditional Arabic" w:hint="cs"/>
          <w:b/>
          <w:bCs/>
          <w:sz w:val="40"/>
          <w:szCs w:val="40"/>
          <w:rtl/>
        </w:rPr>
        <w:lastRenderedPageBreak/>
        <w:t>فهرس ا</w:t>
      </w:r>
      <w:r>
        <w:rPr>
          <w:rFonts w:ascii="Traditional Arabic" w:hAnsi="Traditional Arabic" w:hint="cs"/>
          <w:b/>
          <w:bCs/>
          <w:sz w:val="40"/>
          <w:szCs w:val="40"/>
          <w:rtl/>
        </w:rPr>
        <w:t>لمصادر والمراجع</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إتحاف فضلاء البشر في القراءات الأربعة عشر, المؤلف: أحمد بن محمد بن أحمد بن عبد الغني الدمياطيّ، شهاب الدين الشهير بالبناء (المتوفى: 1117هـ), المحقق: أنس مهرة, الناشر: دار الكتب العلمية</w:t>
      </w:r>
      <w:r w:rsidRPr="00FD53B9">
        <w:rPr>
          <w:rFonts w:ascii="Traditional Arabic" w:hAnsi="Traditional Arabic" w:hint="cs"/>
          <w:color w:val="auto"/>
          <w:rtl/>
          <w:lang w:eastAsia="en-US"/>
        </w:rPr>
        <w:t>, بيروت -</w:t>
      </w:r>
      <w:r w:rsidRPr="00FD53B9">
        <w:rPr>
          <w:rFonts w:ascii="Traditional Arabic" w:hAnsi="Traditional Arabic"/>
          <w:color w:val="auto"/>
          <w:rtl/>
          <w:lang w:eastAsia="en-US"/>
        </w:rPr>
        <w:t xml:space="preserve"> لبنان, الطبعة: الثالثة، 1427ه -ـ 2006م, عدد الأجزاء:1</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 xml:space="preserve">الإحسان في تقريب صحيح ابن حبان, المؤلف: أبو حاتم محمد بن حبان بن أحمد بن حبان بن معاذ بن مَعْبدَ، التميمي، الدارمي، البُستي (المتوفى: 354هـ), ترتيب: الأمير علاء الدين علي بن بلبان الفارسي (المتوفى: 739 هـ), حققه وخرج أحاديثه وعلق عليه: شعيب الأرنؤوط, الناشر: مؤسسة الرسالة، بيروت – لبنان, الطبعة: الثانية، عام النشر: 1414هـ- 1993م, عدد الأجزاء: 18 </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أحكام القرآن, المؤلف: أبو بكر أحمد بن علي الرازي الجصاص الحنفي (المتوفى: 370هـ), تحقيق: عبد السلام محمد علي شاهين, الناشر: دار الكتب العلمية, بيروت - لبنان, الطبعة: الأولى، عام النشر: 1415هـ-1994م, عدد الأجزاء: 3</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أحكام القرآن, المؤلف: القاضي محمد بن عبد الله أبو بكر بن العربي المعافري الاشبيلي المالكي (المتوفى: 543هـ), راجع أصوله وخرج أحاديثه وعلَّق عليه: محمد عبد القادر عطا, الناشر: دار الكتب العلمية، بيروت – لبنان, الطبعة: الثالثة، عام النشر: 1424هـ-2003م, عدد الأجزاء: 4</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أدب الكاتب, المؤلف: أبو محمد عبد الله بن مسلم بن قتيبة الدينوري (المتوفى: 276هـ), المحقق: محمد الدالي, الناشر: مؤسسة الرسالة, بيروت – لبنان, عدد الأجزاء: 1</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أساس البلاغة, المؤلف: أبو القاسم محمود بن عمرو بن أحمد، جار الله الزمخشري (المتوفى: 538هـ), تحقيق: محمد باسل عيون السود, الناشر: دار الكتب العلمية، بيروت – لبنان, الطبعة: الأولى، عام النشر: 1419 هـ - 1998 م, عدد الأجزاء: 2</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أسباب النزول, المؤلف: أبو الحسن علي بن أحمد بن محمد بن علي الواحدي، النيسابوري، الشافعي (المتوفى: 468هـ), خرج أحاديثه وعليق عليه: السيد عبدالغني زايد, الناشر: مؤسسة أم القرى</w:t>
      </w:r>
      <w:r w:rsidRPr="00FD53B9">
        <w:rPr>
          <w:rFonts w:ascii="Traditional Arabic" w:hAnsi="Traditional Arabic" w:hint="cs"/>
          <w:color w:val="auto"/>
          <w:rtl/>
          <w:lang w:eastAsia="en-US"/>
        </w:rPr>
        <w:t>,</w:t>
      </w:r>
      <w:r w:rsidRPr="00FD53B9">
        <w:rPr>
          <w:rFonts w:ascii="Traditional Arabic" w:hAnsi="Traditional Arabic"/>
          <w:color w:val="auto"/>
          <w:rtl/>
          <w:lang w:eastAsia="en-US"/>
        </w:rPr>
        <w:t xml:space="preserve"> </w:t>
      </w:r>
      <w:r w:rsidRPr="00FD53B9">
        <w:rPr>
          <w:rFonts w:ascii="Traditional Arabic" w:hAnsi="Traditional Arabic" w:hint="cs"/>
          <w:color w:val="auto"/>
          <w:rtl/>
          <w:lang w:eastAsia="en-US"/>
        </w:rPr>
        <w:t>مكة -</w:t>
      </w:r>
      <w:r w:rsidRPr="00FD53B9">
        <w:rPr>
          <w:rFonts w:ascii="Traditional Arabic" w:hAnsi="Traditional Arabic"/>
          <w:color w:val="auto"/>
          <w:rtl/>
          <w:lang w:eastAsia="en-US"/>
        </w:rPr>
        <w:t>السعودية, عام النشر: 1426ه-2005م, عدد الأجزاء: 1</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lastRenderedPageBreak/>
        <w:t>الاستيعاب في بيان الأسباب, تاليف: سليم بن عيد الهلالي, محمد موسى آل نصر, دار النشر: دار ابن الجوزي, الدمام – السعودية, الطبعة: الأولى, عام النشر: 1434ه, عدد الأجزاء: 3</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الاستيعاب في معرفة الأصحاب, المؤلف: أبو عمر يوسف بن عبد الله بن محمد بن عبد البر بن عاصم النمري, القرطبي (المتوفى: 463هـ), المحقق: علي محمد البجاوي, الناشر: دار الجيل، بيروت</w:t>
      </w:r>
      <w:r w:rsidRPr="00FD53B9">
        <w:rPr>
          <w:rFonts w:ascii="Traditional Arabic" w:hAnsi="Traditional Arabic" w:hint="cs"/>
          <w:color w:val="auto"/>
          <w:rtl/>
          <w:lang w:eastAsia="en-US"/>
        </w:rPr>
        <w:t xml:space="preserve"> -</w:t>
      </w:r>
      <w:r w:rsidRPr="00FD53B9">
        <w:rPr>
          <w:rFonts w:ascii="Traditional Arabic" w:hAnsi="Traditional Arabic"/>
          <w:color w:val="auto"/>
          <w:rtl/>
          <w:lang w:eastAsia="en-US"/>
        </w:rPr>
        <w:t xml:space="preserve"> لبنان, الطبعة: الأولى، عام النشر: 1412ه-1992م, عدد الأجزاء: 4</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أسد الغابة في معرفة الصحابة, المؤلف: أبو الحسن علي بن أبي الكرم محمد بن محمد بن عبد الكريم بن عبد الواحد الشيباني الجزري، عز الدين ابن الأثير (المتوفى: 630هـ), المحقق: علي محمد معوض - عادل أحمد عبد الموجود, الناشر: دار الكتب العلمية</w:t>
      </w:r>
      <w:r w:rsidRPr="00FD53B9">
        <w:rPr>
          <w:rFonts w:ascii="Traditional Arabic" w:hAnsi="Traditional Arabic" w:hint="cs"/>
          <w:color w:val="auto"/>
          <w:rtl/>
          <w:lang w:eastAsia="en-US"/>
        </w:rPr>
        <w:t>,</w:t>
      </w:r>
      <w:r w:rsidRPr="00FD53B9">
        <w:rPr>
          <w:rFonts w:ascii="Traditional Arabic" w:hAnsi="Traditional Arabic"/>
          <w:color w:val="auto"/>
          <w:rtl/>
          <w:lang w:eastAsia="en-US"/>
        </w:rPr>
        <w:t xml:space="preserve"> بيروت</w:t>
      </w:r>
      <w:r w:rsidRPr="00FD53B9">
        <w:rPr>
          <w:rFonts w:ascii="Traditional Arabic" w:hAnsi="Traditional Arabic" w:hint="cs"/>
          <w:color w:val="auto"/>
          <w:rtl/>
          <w:lang w:eastAsia="en-US"/>
        </w:rPr>
        <w:t xml:space="preserve"> -</w:t>
      </w:r>
      <w:r w:rsidRPr="00FD53B9">
        <w:rPr>
          <w:rFonts w:ascii="Traditional Arabic" w:hAnsi="Traditional Arabic"/>
          <w:color w:val="auto"/>
          <w:rtl/>
          <w:lang w:eastAsia="en-US"/>
        </w:rPr>
        <w:t xml:space="preserve"> لبنان, الطبعة: الأولى, سنة النشر: 1415ه-1994م, عدد الأجزاء: 8 </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الاشتقاق, المؤلف: أبو بكر محمد بن الحسن بن دريد الأزدي (المتوفى: 321هـ), تحقيق وشرح: عبد السلام محمد هارون, الناشر: دار الجيل، بيروت – لبنان, الطبعة: الأولى، عام النشر: 1411هـ-1991م, عدد الأجزاء: 1</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الإصابة في تمييز الصحابة, المؤلف: أبو الفضل أحمد بن علي بن محمد بن أحمد بن حجر العسقلاني (المتوفى: 852هـ), تحقيق: عادل أحمد عبد الموجود, وعلي محمد معوض, الناشر: دار الكتب العلمية, بيروت - لبنان, الطبعة: الأولى, عام النشر: 1415 هـ, عدد الأجزاء: 8</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الأصل المعروف بالمبسوط, المؤلف: أبو عبد الله محمد بن الحسن بن فرقد الشيباني (المتوفى: 189هـ), المحقق: د. محمد بوينوكالن, الناشر: دار ابن حزم, بيروت – لبنان, الطبعة: الأولى, عام النشر: 1433ه-2012م, عدد الأجزاء: 12</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الأضداد, تأليف: أبو بكر محمد بن القاسم بن محمد بن بشار الأنباري (المتوفى: 328هـ), تحقيق: محمد أبو الفضل إبراهيم, دار النشر: المكتبة العصرية صيدا, بيروت – لبنان, عام النشر: 1407ه-1987م, عدد الأجزاء: 1</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 xml:space="preserve">إعتقاد أهل السنة والجماعة, المؤلف: عدي بن مسافر الأموي الشامي الهكاري </w:t>
      </w:r>
      <w:r w:rsidR="00F2328C">
        <w:rPr>
          <w:rFonts w:ascii="Traditional Arabic" w:hAnsi="Traditional Arabic"/>
          <w:color w:val="auto"/>
          <w:rtl/>
          <w:lang w:eastAsia="en-US"/>
        </w:rPr>
        <w:lastRenderedPageBreak/>
        <w:t xml:space="preserve">(المتوفى: 555هـ), المحقق: </w:t>
      </w:r>
      <w:r w:rsidR="00F2328C">
        <w:rPr>
          <w:rFonts w:ascii="Traditional Arabic" w:hAnsi="Traditional Arabic" w:hint="cs"/>
          <w:color w:val="auto"/>
          <w:rtl/>
          <w:lang w:eastAsia="en-US"/>
        </w:rPr>
        <w:t>ح</w:t>
      </w:r>
      <w:r w:rsidRPr="00FD53B9">
        <w:rPr>
          <w:rFonts w:ascii="Traditional Arabic" w:hAnsi="Traditional Arabic"/>
          <w:color w:val="auto"/>
          <w:rtl/>
          <w:lang w:eastAsia="en-US"/>
        </w:rPr>
        <w:t>مدي بن عبدالمجيد السلفي وتحسين ابراهيم الدوسكي, الناشر: مكتبة الغرباء الأثرية, الطبعة: الأولى، 1419هـ, عدد الأجزاء: 1</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إعراب القراءات الشواذ, المؤلف: أبو البقاء عبد الله بن الحسين بن عبد الله العكبري (538 - 616 هـ), تحقيق: محمد السيد أحمد عزوز, دار النشر: عالم الكتب</w:t>
      </w:r>
      <w:r w:rsidRPr="00FD53B9">
        <w:rPr>
          <w:rFonts w:ascii="Traditional Arabic" w:hAnsi="Traditional Arabic" w:hint="cs"/>
          <w:color w:val="auto"/>
          <w:rtl/>
          <w:lang w:eastAsia="en-US"/>
        </w:rPr>
        <w:t>,</w:t>
      </w:r>
      <w:r w:rsidRPr="00FD53B9">
        <w:rPr>
          <w:rFonts w:ascii="Traditional Arabic" w:hAnsi="Traditional Arabic"/>
          <w:color w:val="auto"/>
          <w:rtl/>
          <w:lang w:eastAsia="en-US"/>
        </w:rPr>
        <w:t xml:space="preserve"> بيروت -لبنان, الطبعة: الأولى 1417هـ - 1996م, عدد الأجزاء: 3</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إعراب القرآن, المؤلف: أبو جعفر النَّحَّاس أحمد بن محمد بن إسماعيل بن يونس المرادي النحوي (المتوفى: 338هـ), اعتنى به: الشيخ خالد العلي, دار النشر: دار المعرفة, بيروت – لبنان, الطبعة الثالثة, عام النشر: 1432ه-2011م, عدد الأجزاء: 1</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الأعلام, المؤلف: خير الدين بن محمود بن محمد بن علي بن فارس، الزركلي الدمشقي (المتوفى: 1396هـ), الناشر: دار العلم للملايين, بيروت – لبنان</w:t>
      </w:r>
      <w:r w:rsidRPr="00FD53B9">
        <w:rPr>
          <w:rFonts w:ascii="Traditional Arabic" w:hAnsi="Traditional Arabic" w:hint="cs"/>
          <w:color w:val="auto"/>
          <w:rtl/>
          <w:lang w:eastAsia="en-US"/>
        </w:rPr>
        <w:t>,</w:t>
      </w:r>
      <w:r w:rsidRPr="00FD53B9">
        <w:rPr>
          <w:rFonts w:ascii="Traditional Arabic" w:hAnsi="Traditional Arabic"/>
          <w:color w:val="auto"/>
          <w:rtl/>
          <w:lang w:eastAsia="en-US"/>
        </w:rPr>
        <w:t xml:space="preserve"> الطبعة: الخامسة عشر, عام النشر: 2002م, عدد الأجزاء: 8</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إكمال تهذيب الكمال في أسماء الرجال, المؤلف: أبو عبد الله مغلطاي بن قليج بن عبد الله البكجري المصري الحكري الحنفي، ، علاء الدين (المتوفى: 762هـ), المحقق: أبو عبد الرحمن عادل بن محمد - أبو محمد أسامة بن إبراهيم, الناشر: الفاروق الحديثة للطباعة والنشر, الطبعة: الأولى، 1422هـ‍‍-2001م, عدد الأجزاء: 12</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الأم, المؤلف: الشافعي أبو عبد الله محمد بن إدريس بن العباس بن عثمان بن شافع بن عبد المطلب بن عبد مناف المطلبي القرشي المكي (المتوفى: 204هـ), الناشر: دار المعرفة, بيروت - لبنان, سنة النشر: 1410ه-1990م, عدد الأجزاء: 8</w:t>
      </w:r>
    </w:p>
    <w:p w:rsidR="00FD53B9" w:rsidRPr="00FD53B9" w:rsidRDefault="00FD53B9" w:rsidP="00FD53B9">
      <w:pPr>
        <w:widowControl/>
        <w:numPr>
          <w:ilvl w:val="0"/>
          <w:numId w:val="43"/>
        </w:numPr>
        <w:autoSpaceDE w:val="0"/>
        <w:autoSpaceDN w:val="0"/>
        <w:adjustRightInd w:val="0"/>
        <w:contextualSpacing/>
        <w:rPr>
          <w:rFonts w:ascii="Traditional Arabic" w:hAnsi="Traditional Arabic"/>
          <w:color w:val="auto"/>
          <w:lang w:eastAsia="en-US"/>
        </w:rPr>
      </w:pPr>
      <w:r w:rsidRPr="00FD53B9">
        <w:rPr>
          <w:rFonts w:ascii="Traditional Arabic" w:hAnsi="Traditional Arabic"/>
          <w:color w:val="auto"/>
          <w:rtl/>
          <w:lang w:eastAsia="en-US"/>
        </w:rPr>
        <w:t>إملاء ما من به الرحمن من وجوه الإعراب والقراءات في جميع القرآن, تأليف: أبي البقاء عبد الله بن الحسين بن عبد الله العكبري (538 - 616 هـ), دار: الكتب العلمية</w:t>
      </w:r>
      <w:r w:rsidRPr="00FD53B9">
        <w:rPr>
          <w:rFonts w:ascii="Traditional Arabic" w:hAnsi="Traditional Arabic" w:hint="cs"/>
          <w:color w:val="auto"/>
          <w:rtl/>
          <w:lang w:eastAsia="en-US"/>
        </w:rPr>
        <w:t>,</w:t>
      </w:r>
      <w:r w:rsidRPr="00FD53B9">
        <w:rPr>
          <w:rFonts w:ascii="Traditional Arabic" w:hAnsi="Traditional Arabic"/>
          <w:color w:val="auto"/>
          <w:rtl/>
          <w:lang w:eastAsia="en-US"/>
        </w:rPr>
        <w:t xml:space="preserve"> بيروت –</w:t>
      </w:r>
      <w:r w:rsidRPr="00FD53B9">
        <w:rPr>
          <w:rFonts w:ascii="Traditional Arabic" w:hAnsi="Traditional Arabic" w:hint="cs"/>
          <w:color w:val="auto"/>
          <w:rtl/>
          <w:lang w:eastAsia="en-US"/>
        </w:rPr>
        <w:t xml:space="preserve"> </w:t>
      </w:r>
      <w:r w:rsidRPr="00FD53B9">
        <w:rPr>
          <w:rFonts w:ascii="Traditional Arabic" w:hAnsi="Traditional Arabic"/>
          <w:color w:val="auto"/>
          <w:rtl/>
          <w:lang w:eastAsia="en-US"/>
        </w:rPr>
        <w:t>لبنان, الطبعة: الأولى 1399 هـ - 1979م, عدد الأجزاء: 2</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الإنباه على قبائل الرواة, المؤلف: أبو عمر يوسف بن عبد الله بن محمد بن عبد البر بن عاصم النمري القرطبي (المتوفى: 463هـ), المحقق: إبراهيم الأبياري, الناشر: دار الكتاب العربي, بيروت – لبنان, الطبعة: الأولى، عام النشر: 1405هـ-1985م, عدد الأجزاء: 1</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 xml:space="preserve">الأنساب, المؤلف: عبد الكريم بن محمد بن منصور التميمي السمعاني المروزي، أبو </w:t>
      </w:r>
      <w:r w:rsidRPr="00FD53B9">
        <w:rPr>
          <w:rFonts w:ascii="Traditional Arabic" w:hAnsi="Traditional Arabic"/>
          <w:color w:val="auto"/>
          <w:rtl/>
          <w:lang w:eastAsia="en-US"/>
        </w:rPr>
        <w:lastRenderedPageBreak/>
        <w:t>سعد (المتوفى: 562هـ), المحقق: عبد الرحمن بن يحيى المعلمي اليماني وغيره, الناشر: مجلس دائرة المعارف العثمانية -حيدر آباد, الطبعة: الأولى، 1382 هـ - 1962م, عدد الأجزاء: 1</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أنموذج جليل في أسئلة وأجوبة عن غرائب آي التنزيل, المؤلف: زين الدين أبو عبد الله محمد بن أبي بكر بن عبد القادر الحنفي الرازي (المتوفى: 666هـ), تحقيق: د. عبد الرحمن بن إبراهيم المطرودى, الناشر: دار عالم الكتب</w:t>
      </w:r>
      <w:r w:rsidRPr="00FD53B9">
        <w:rPr>
          <w:rFonts w:ascii="Traditional Arabic" w:hAnsi="Traditional Arabic" w:hint="cs"/>
          <w:color w:val="auto"/>
          <w:rtl/>
          <w:lang w:eastAsia="en-US"/>
        </w:rPr>
        <w:t>,</w:t>
      </w:r>
      <w:r w:rsidRPr="00FD53B9">
        <w:rPr>
          <w:rFonts w:ascii="Traditional Arabic" w:hAnsi="Traditional Arabic"/>
          <w:color w:val="auto"/>
          <w:rtl/>
          <w:lang w:eastAsia="en-US"/>
        </w:rPr>
        <w:t xml:space="preserve"> المملكة العربية السعودية – الرياض, الطبعة: الأولى، عام النشر: 1413ه-1991م, عدد الأجزاء: 1</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إيجاز البيان عن معاني القرآن, المؤلف: أبو القاسم نجم الدين محمود بن أبى الحسن بن الحسين النيسابوري (المتوفى: نحو 550هـ), المحقق: الدكتور حنيف بن حسن القاسمي, الناشر: دار الغرب الإسلامي, بيروت – لبنان, الطبعة: الأولى, عام النشر: 1415ه, عدد الأجزاء: 2</w:t>
      </w:r>
    </w:p>
    <w:p w:rsidR="00FD53B9" w:rsidRPr="00FD53B9" w:rsidRDefault="00FD53B9" w:rsidP="00FD53B9">
      <w:pPr>
        <w:numPr>
          <w:ilvl w:val="0"/>
          <w:numId w:val="43"/>
        </w:numPr>
        <w:contextualSpacing/>
        <w:rPr>
          <w:rFonts w:ascii="Traditional Arabic" w:hAnsi="Traditional Arabic"/>
          <w:color w:val="auto"/>
        </w:rPr>
      </w:pPr>
      <w:r w:rsidRPr="00FD53B9">
        <w:rPr>
          <w:rFonts w:ascii="Traditional Arabic" w:hAnsi="Traditional Arabic"/>
          <w:color w:val="auto"/>
          <w:rtl/>
          <w:lang w:eastAsia="en-US"/>
        </w:rPr>
        <w:t>إيضاح الوقف والابتداء</w:t>
      </w:r>
      <w:r w:rsidRPr="00FD53B9">
        <w:rPr>
          <w:rFonts w:ascii="Traditional Arabic" w:hAnsi="Traditional Arabic"/>
          <w:color w:val="auto"/>
          <w:rtl/>
        </w:rPr>
        <w:t xml:space="preserve"> في كتاب الله عز وجل, </w:t>
      </w:r>
      <w:r w:rsidRPr="00FD53B9">
        <w:rPr>
          <w:rFonts w:ascii="Traditional Arabic" w:hAnsi="Traditional Arabic"/>
          <w:color w:val="auto"/>
          <w:rtl/>
          <w:lang w:eastAsia="en-US"/>
        </w:rPr>
        <w:t>المؤلف: محمد بن القاسم بن محمد بن بشار، أبو بكر الأنباري (المتوفى: 328هـ), المحقق: محيي الدين عبد الرحمن رمضان, الناشر: مطبوعات مجمع اللغة العربية</w:t>
      </w:r>
      <w:r w:rsidRPr="00FD53B9">
        <w:rPr>
          <w:rFonts w:ascii="Traditional Arabic" w:hAnsi="Traditional Arabic" w:hint="cs"/>
          <w:color w:val="auto"/>
          <w:rtl/>
          <w:lang w:eastAsia="en-US"/>
        </w:rPr>
        <w:t>,</w:t>
      </w:r>
      <w:r w:rsidRPr="00FD53B9">
        <w:rPr>
          <w:rFonts w:ascii="Traditional Arabic" w:hAnsi="Traditional Arabic"/>
          <w:color w:val="auto"/>
          <w:rtl/>
          <w:lang w:eastAsia="en-US"/>
        </w:rPr>
        <w:t xml:space="preserve"> دمشق – سوريا, عام النشر: 1390هـ-1971م, عدد الأجزاء: 2 (في ترقيم مسلسل واحد)</w:t>
      </w:r>
      <w:r w:rsidRPr="00FD53B9">
        <w:rPr>
          <w:rFonts w:ascii="Traditional Arabic" w:hAnsi="Traditional Arabic"/>
          <w:color w:val="auto"/>
          <w:rtl/>
        </w:rPr>
        <w:t>.</w:t>
      </w:r>
    </w:p>
    <w:p w:rsidR="00FD53B9" w:rsidRPr="00FD53B9" w:rsidRDefault="00FD53B9" w:rsidP="00FD53B9">
      <w:pPr>
        <w:widowControl/>
        <w:numPr>
          <w:ilvl w:val="0"/>
          <w:numId w:val="43"/>
        </w:numPr>
        <w:autoSpaceDE w:val="0"/>
        <w:autoSpaceDN w:val="0"/>
        <w:adjustRightInd w:val="0"/>
        <w:contextualSpacing/>
        <w:rPr>
          <w:rFonts w:ascii="Traditional Arabic" w:hAnsi="Traditional Arabic"/>
          <w:color w:val="auto"/>
          <w:lang w:eastAsia="en-US"/>
        </w:rPr>
      </w:pPr>
      <w:r w:rsidRPr="00FD53B9">
        <w:rPr>
          <w:rFonts w:ascii="Traditional Arabic" w:hAnsi="Traditional Arabic"/>
          <w:color w:val="auto"/>
          <w:rtl/>
          <w:lang w:eastAsia="en-US"/>
        </w:rPr>
        <w:t>باهر البرهان فى معانى مشكلات القرآن, المؤلف: محمود بن أبي الحسن (علي) بن الحسين النيسابورىّ الغزنوي، أبو القاسم، الشهير بـ (بيان الحق) (المتوفى: بعد 553هـ), المحقق: سعاد بنت صالح بن سعيد بابقي, الناشر: جامعة أم القرى - مكة المكرمة حرسها الله تعالى, عام النشر: 1419 هـ - 1998 م, عدد الأجزاء: 3</w:t>
      </w:r>
    </w:p>
    <w:p w:rsidR="00FD53B9" w:rsidRPr="00FD53B9" w:rsidRDefault="00FD53B9" w:rsidP="00FD53B9">
      <w:pPr>
        <w:widowControl/>
        <w:numPr>
          <w:ilvl w:val="0"/>
          <w:numId w:val="43"/>
        </w:numPr>
        <w:autoSpaceDE w:val="0"/>
        <w:autoSpaceDN w:val="0"/>
        <w:adjustRightInd w:val="0"/>
        <w:contextualSpacing/>
        <w:rPr>
          <w:rFonts w:ascii="Traditional Arabic" w:hAnsi="Traditional Arabic"/>
          <w:color w:val="auto"/>
          <w:lang w:eastAsia="en-US"/>
        </w:rPr>
      </w:pPr>
      <w:r w:rsidRPr="00FD53B9">
        <w:rPr>
          <w:rFonts w:ascii="Traditional Arabic" w:hAnsi="Traditional Arabic"/>
          <w:color w:val="auto"/>
          <w:rtl/>
          <w:lang w:eastAsia="en-US"/>
        </w:rPr>
        <w:t>بحر العلوم, المؤلف : أبو الليث نصر بن محمد بن إبراهيم السمرقندي الفقيه الحنفي (المتوفى: 373هـ), تحقيق: د. محمود مطرجي, دار النشر: دار الفكر</w:t>
      </w:r>
      <w:r w:rsidRPr="00FD53B9">
        <w:rPr>
          <w:rFonts w:ascii="Traditional Arabic" w:hAnsi="Traditional Arabic" w:hint="cs"/>
          <w:color w:val="auto"/>
          <w:rtl/>
          <w:lang w:eastAsia="en-US"/>
        </w:rPr>
        <w:t xml:space="preserve">, </w:t>
      </w:r>
      <w:r w:rsidRPr="00FD53B9">
        <w:rPr>
          <w:rFonts w:ascii="Traditional Arabic" w:hAnsi="Traditional Arabic"/>
          <w:color w:val="auto"/>
          <w:rtl/>
          <w:lang w:eastAsia="en-US"/>
        </w:rPr>
        <w:t>بيروت</w:t>
      </w:r>
      <w:r w:rsidRPr="00FD53B9">
        <w:rPr>
          <w:rFonts w:ascii="Traditional Arabic" w:hAnsi="Traditional Arabic" w:hint="cs"/>
          <w:color w:val="auto"/>
          <w:rtl/>
          <w:lang w:eastAsia="en-US"/>
        </w:rPr>
        <w:t xml:space="preserve"> -</w:t>
      </w:r>
      <w:r w:rsidRPr="00FD53B9">
        <w:rPr>
          <w:rFonts w:ascii="Traditional Arabic" w:hAnsi="Traditional Arabic"/>
          <w:color w:val="auto"/>
          <w:rtl/>
          <w:lang w:eastAsia="en-US"/>
        </w:rPr>
        <w:t xml:space="preserve"> لبنان, عدد الأجزاء : 3</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البحر المحيط في التفسير, المؤلف: أبو حيان محمد بن يوسف بن علي بن يوسف بن حيان أثير الدين الأندلسي (المتوفى: 745هـ), المحقق: صدقي محمد جميل, الناشر: دار الفكر</w:t>
      </w:r>
      <w:r w:rsidRPr="00FD53B9">
        <w:rPr>
          <w:rFonts w:ascii="Traditional Arabic" w:hAnsi="Traditional Arabic" w:hint="cs"/>
          <w:color w:val="auto"/>
          <w:rtl/>
          <w:lang w:eastAsia="en-US"/>
        </w:rPr>
        <w:t xml:space="preserve">, </w:t>
      </w:r>
      <w:r w:rsidRPr="00FD53B9">
        <w:rPr>
          <w:rFonts w:ascii="Traditional Arabic" w:hAnsi="Traditional Arabic"/>
          <w:color w:val="auto"/>
          <w:rtl/>
          <w:lang w:eastAsia="en-US"/>
        </w:rPr>
        <w:t>بيروت</w:t>
      </w:r>
      <w:r w:rsidRPr="00FD53B9">
        <w:rPr>
          <w:rFonts w:ascii="Traditional Arabic" w:hAnsi="Traditional Arabic" w:hint="cs"/>
          <w:color w:val="auto"/>
          <w:rtl/>
          <w:lang w:eastAsia="en-US"/>
        </w:rPr>
        <w:t xml:space="preserve"> -</w:t>
      </w:r>
      <w:r w:rsidRPr="00FD53B9">
        <w:rPr>
          <w:rFonts w:ascii="Traditional Arabic" w:hAnsi="Traditional Arabic"/>
          <w:color w:val="auto"/>
          <w:rtl/>
          <w:lang w:eastAsia="en-US"/>
        </w:rPr>
        <w:t xml:space="preserve"> لبنان, الطبعة: 1420ه, عدد الأجزاء: 10</w:t>
      </w:r>
    </w:p>
    <w:p w:rsidR="00FD53B9" w:rsidRPr="00FD53B9" w:rsidRDefault="00FD53B9" w:rsidP="00FD53B9">
      <w:pPr>
        <w:widowControl/>
        <w:numPr>
          <w:ilvl w:val="0"/>
          <w:numId w:val="43"/>
        </w:numPr>
        <w:autoSpaceDE w:val="0"/>
        <w:autoSpaceDN w:val="0"/>
        <w:adjustRightInd w:val="0"/>
        <w:contextualSpacing/>
        <w:rPr>
          <w:rFonts w:ascii="Traditional Arabic" w:hAnsi="Traditional Arabic"/>
          <w:color w:val="auto"/>
          <w:lang w:eastAsia="en-US"/>
        </w:rPr>
      </w:pPr>
      <w:r w:rsidRPr="00FD53B9">
        <w:rPr>
          <w:rFonts w:ascii="Traditional Arabic" w:hAnsi="Traditional Arabic"/>
          <w:color w:val="auto"/>
          <w:rtl/>
          <w:lang w:eastAsia="en-US"/>
        </w:rPr>
        <w:lastRenderedPageBreak/>
        <w:t>البداية والنهاية, المؤلف: أبو الفداء إسماعيل بن عمر بن كثير القرشي البصري ثم الدمشقي (المتوفى: 774هـ), المحقق: علي شيري, الناشر: دار إحياء التراث العربي</w:t>
      </w:r>
      <w:r w:rsidRPr="00FD53B9">
        <w:rPr>
          <w:rFonts w:ascii="Traditional Arabic" w:hAnsi="Traditional Arabic" w:hint="cs"/>
          <w:color w:val="auto"/>
          <w:rtl/>
          <w:lang w:eastAsia="en-US"/>
        </w:rPr>
        <w:t xml:space="preserve">, </w:t>
      </w:r>
      <w:r w:rsidRPr="00FD53B9">
        <w:rPr>
          <w:rFonts w:ascii="Traditional Arabic" w:hAnsi="Traditional Arabic"/>
          <w:color w:val="auto"/>
          <w:rtl/>
          <w:lang w:eastAsia="en-US"/>
        </w:rPr>
        <w:t>بيروت</w:t>
      </w:r>
      <w:r w:rsidRPr="00FD53B9">
        <w:rPr>
          <w:rFonts w:ascii="Traditional Arabic" w:hAnsi="Traditional Arabic" w:hint="cs"/>
          <w:color w:val="auto"/>
          <w:rtl/>
          <w:lang w:eastAsia="en-US"/>
        </w:rPr>
        <w:t xml:space="preserve"> - </w:t>
      </w:r>
      <w:r w:rsidRPr="00FD53B9">
        <w:rPr>
          <w:rFonts w:ascii="Traditional Arabic" w:hAnsi="Traditional Arabic"/>
          <w:color w:val="auto"/>
          <w:rtl/>
          <w:lang w:eastAsia="en-US"/>
        </w:rPr>
        <w:t>لبنان, الطبعة: الأولى 1408هـ - 1988م, عدد الأجزاء: 15</w:t>
      </w:r>
    </w:p>
    <w:p w:rsidR="00FD53B9" w:rsidRPr="00FD53B9" w:rsidRDefault="00FD53B9" w:rsidP="00FD53B9">
      <w:pPr>
        <w:widowControl/>
        <w:numPr>
          <w:ilvl w:val="0"/>
          <w:numId w:val="43"/>
        </w:numPr>
        <w:autoSpaceDE w:val="0"/>
        <w:autoSpaceDN w:val="0"/>
        <w:adjustRightInd w:val="0"/>
        <w:contextualSpacing/>
        <w:rPr>
          <w:rFonts w:ascii="Traditional Arabic" w:hAnsi="Traditional Arabic"/>
          <w:color w:val="auto"/>
          <w:lang w:eastAsia="en-US"/>
        </w:rPr>
      </w:pPr>
      <w:r w:rsidRPr="00FD53B9">
        <w:rPr>
          <w:rFonts w:ascii="Traditional Arabic" w:hAnsi="Traditional Arabic"/>
          <w:color w:val="auto"/>
          <w:rtl/>
          <w:lang w:eastAsia="en-US"/>
        </w:rPr>
        <w:t>البدور الزاهرة في القراءات العشر المتواترة من طريقي الشاطبية والدُّرة, المؤلف: الشيخ عبد الفتاح بن عبد الغني بن محمد القاضي (المتوفى: 1403هـ), الناشر: دار السلام, القاهرة</w:t>
      </w:r>
      <w:r w:rsidRPr="00FD53B9">
        <w:rPr>
          <w:rFonts w:ascii="Traditional Arabic" w:hAnsi="Traditional Arabic" w:hint="cs"/>
          <w:color w:val="auto"/>
          <w:rtl/>
          <w:lang w:eastAsia="en-US"/>
        </w:rPr>
        <w:t xml:space="preserve"> -</w:t>
      </w:r>
      <w:r w:rsidRPr="00FD53B9">
        <w:rPr>
          <w:rFonts w:ascii="Traditional Arabic" w:hAnsi="Traditional Arabic"/>
          <w:color w:val="auto"/>
          <w:rtl/>
          <w:lang w:eastAsia="en-US"/>
        </w:rPr>
        <w:t xml:space="preserve"> مصر, عام النشر: 1434ه-2013م, عدد الأجزاء: 1</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البعث والنشور, المؤلف: أحمد بن الحسين بن علي بن موسى الخُسْرَوْجِردي الخراساني، أبو بكر البيهقي (المتوفى: 458هـ), تحقيق: الشيخ عامر أحمد حيدر, الناشر: مركز الخدمات والأبحاث الثقافية، بيروت – لبنان, الطبعة: الأولى، عام النشر: 1406هـ-1986م, عدد الأجزاء: 1</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تاج العروس من جواهر القاموس, المؤلف: محمّد بن محمّد بن عبد الرزّاق الحسيني، أبو الفيض، الملقّب بمرتضى، الزَّبيدي (المتوفى: 1205هـ), المحقق: مجموعة من المحققين, الناشر: دار الهداية, عدد الأجزاء: 40</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تاريخ أسماء الثقات, تأليف: الحافظ أبي حفص عمر بن شاهين (المتوفى: 385ه), هجرية, تحقيق: صبحي السامرائي, الدار السلفية, الطبعة الاولى, عام النشر: 1404ه- 1984م, الناشر الدار السلفية</w:t>
      </w:r>
      <w:r w:rsidRPr="00FD53B9">
        <w:rPr>
          <w:rFonts w:ascii="Traditional Arabic" w:hAnsi="Traditional Arabic" w:hint="cs"/>
          <w:color w:val="auto"/>
          <w:rtl/>
          <w:lang w:eastAsia="en-US"/>
        </w:rPr>
        <w:t xml:space="preserve"> -</w:t>
      </w:r>
      <w:r w:rsidRPr="00FD53B9">
        <w:rPr>
          <w:rFonts w:ascii="Traditional Arabic" w:hAnsi="Traditional Arabic"/>
          <w:color w:val="auto"/>
          <w:rtl/>
          <w:lang w:eastAsia="en-US"/>
        </w:rPr>
        <w:t xml:space="preserve"> الكويت, عدد الأجزاء: 1</w:t>
      </w:r>
    </w:p>
    <w:p w:rsidR="00FD53B9" w:rsidRPr="00FD53B9" w:rsidRDefault="00FD53B9" w:rsidP="00FD53B9">
      <w:pPr>
        <w:numPr>
          <w:ilvl w:val="0"/>
          <w:numId w:val="43"/>
        </w:numPr>
        <w:contextualSpacing/>
        <w:rPr>
          <w:rFonts w:ascii="Traditional Arabic" w:hAnsi="Traditional Arabic"/>
          <w:color w:val="auto"/>
          <w:rtl/>
          <w:lang w:eastAsia="en-US"/>
        </w:rPr>
      </w:pPr>
      <w:r w:rsidRPr="00FD53B9">
        <w:rPr>
          <w:rFonts w:ascii="Traditional Arabic" w:hAnsi="Traditional Arabic"/>
          <w:color w:val="auto"/>
          <w:rtl/>
          <w:lang w:eastAsia="en-US"/>
        </w:rPr>
        <w:t>تاريخ الإسلام وَوَفيات المشاهير وَالأعلام, المؤلف: شمس الدين أبو عبد الله محمد بن أحمد بن عثمان بن قَايْماز الذهبي (المتوفى: 748هـ), المحقق: الدكتور بشار عوّاد معروف, دار الغرب الإسلامي</w:t>
      </w:r>
      <w:r w:rsidRPr="00FD53B9">
        <w:rPr>
          <w:rFonts w:ascii="Traditional Arabic" w:hAnsi="Traditional Arabic" w:hint="cs"/>
          <w:color w:val="auto"/>
          <w:rtl/>
          <w:lang w:eastAsia="en-US"/>
        </w:rPr>
        <w:t>,</w:t>
      </w:r>
      <w:r w:rsidRPr="00FD53B9">
        <w:rPr>
          <w:rFonts w:ascii="Traditional Arabic" w:hAnsi="Traditional Arabic"/>
          <w:color w:val="auto"/>
          <w:rtl/>
          <w:lang w:eastAsia="en-US"/>
        </w:rPr>
        <w:t xml:space="preserve"> الطبعة: الأولى، 2003م, عدد الأجزاء: 15</w:t>
      </w:r>
    </w:p>
    <w:p w:rsidR="00FD53B9" w:rsidRPr="00FD53B9" w:rsidRDefault="00FD53B9" w:rsidP="00FD53B9">
      <w:pPr>
        <w:widowControl/>
        <w:numPr>
          <w:ilvl w:val="0"/>
          <w:numId w:val="43"/>
        </w:numPr>
        <w:autoSpaceDE w:val="0"/>
        <w:autoSpaceDN w:val="0"/>
        <w:adjustRightInd w:val="0"/>
        <w:contextualSpacing/>
        <w:rPr>
          <w:rFonts w:ascii="Traditional Arabic" w:hAnsi="Traditional Arabic"/>
          <w:color w:val="auto"/>
          <w:lang w:eastAsia="en-US"/>
        </w:rPr>
      </w:pPr>
      <w:r w:rsidRPr="00FD53B9">
        <w:rPr>
          <w:rFonts w:ascii="Traditional Arabic" w:hAnsi="Traditional Arabic"/>
          <w:color w:val="auto"/>
          <w:rtl/>
          <w:lang w:eastAsia="en-US"/>
        </w:rPr>
        <w:t xml:space="preserve">التاريخ الأوسط, المؤلف: أبو عبد الله محمد بن إسماعيل البخاري, (المتوفى: 256هـ), المحقق: تيسير بن سعد, الناشر: دار الرشد, الرياض </w:t>
      </w:r>
      <w:r w:rsidRPr="00FD53B9">
        <w:rPr>
          <w:rFonts w:ascii="Traditional Arabic" w:hAnsi="Traditional Arabic" w:hint="cs"/>
          <w:color w:val="auto"/>
          <w:rtl/>
          <w:lang w:eastAsia="en-US"/>
        </w:rPr>
        <w:t xml:space="preserve">- </w:t>
      </w:r>
      <w:r w:rsidRPr="00FD53B9">
        <w:rPr>
          <w:rFonts w:ascii="Traditional Arabic" w:hAnsi="Traditional Arabic"/>
          <w:color w:val="auto"/>
          <w:rtl/>
          <w:lang w:eastAsia="en-US"/>
        </w:rPr>
        <w:t>السعودية, الطبعة: الأولى، عام النشر: 1426ه-2005م, عدد الأجزاء: 4 ومجلد للفهارس.</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التاريخ الكبير المعروف بتاريخ ابن أبي خيثمة, المؤلف: أبو بكر أحمد بن أبي خيثمة (المتوفى: 279هـ), المحقق: صلاح بن فتحي هلال, الناشر: الفاروق الحديثة للطباعة والنشر</w:t>
      </w:r>
      <w:r w:rsidRPr="00FD53B9">
        <w:rPr>
          <w:rFonts w:ascii="Traditional Arabic" w:hAnsi="Traditional Arabic" w:hint="cs"/>
          <w:color w:val="auto"/>
          <w:rtl/>
          <w:lang w:eastAsia="en-US"/>
        </w:rPr>
        <w:t>,</w:t>
      </w:r>
      <w:r w:rsidRPr="00FD53B9">
        <w:rPr>
          <w:rFonts w:ascii="Traditional Arabic" w:hAnsi="Traditional Arabic"/>
          <w:color w:val="auto"/>
          <w:rtl/>
          <w:lang w:eastAsia="en-US"/>
        </w:rPr>
        <w:t xml:space="preserve"> القاهرة - مصر, الطبعة: الأولى، عام النشر: 1427هـ-2006م, عدد </w:t>
      </w:r>
      <w:r w:rsidRPr="00FD53B9">
        <w:rPr>
          <w:rFonts w:ascii="Traditional Arabic" w:hAnsi="Traditional Arabic"/>
          <w:color w:val="auto"/>
          <w:rtl/>
          <w:lang w:eastAsia="en-US"/>
        </w:rPr>
        <w:lastRenderedPageBreak/>
        <w:t>المجلدات:4</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التاريخ الكبير, المؤلف: أبو عبد الله محمد بن إسماعيل بن إبراهيم بن المغيرة البخاري (المتوفى: 256هـ), الناشر: دائرة المعارف العثمانية، حيدر آباد – الدكن, طبع تحت مراقبة: محمد عبد المعيد خان, صحح هذه النسخة الإلكترونية ووضع حواشيها: الشيخ محمود محمد خليل, عدد الأجزاء: 8</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تاريخ بغداد, المؤلف: أبو بكر أحمد بن علي بن ثابت بن أحمد بن مهدي الخطيب البغدادي (المتوفى : 463هـ ) تحقيق : الدكتور بشار عواد معروف, الناشر: دار الغرب الإسلامي</w:t>
      </w:r>
      <w:r w:rsidRPr="00FD53B9">
        <w:rPr>
          <w:rFonts w:ascii="Traditional Arabic" w:hAnsi="Traditional Arabic" w:hint="cs"/>
          <w:color w:val="auto"/>
          <w:rtl/>
          <w:lang w:eastAsia="en-US"/>
        </w:rPr>
        <w:t>,</w:t>
      </w:r>
      <w:r w:rsidRPr="00FD53B9">
        <w:rPr>
          <w:rFonts w:ascii="Traditional Arabic" w:hAnsi="Traditional Arabic"/>
          <w:color w:val="auto"/>
          <w:rtl/>
          <w:lang w:eastAsia="en-US"/>
        </w:rPr>
        <w:t xml:space="preserve"> بيروت</w:t>
      </w:r>
      <w:r w:rsidRPr="00FD53B9">
        <w:rPr>
          <w:rFonts w:ascii="Traditional Arabic" w:hAnsi="Traditional Arabic" w:hint="cs"/>
          <w:color w:val="auto"/>
          <w:rtl/>
          <w:lang w:eastAsia="en-US"/>
        </w:rPr>
        <w:t xml:space="preserve"> -</w:t>
      </w:r>
      <w:r w:rsidRPr="00FD53B9">
        <w:rPr>
          <w:rFonts w:ascii="Traditional Arabic" w:hAnsi="Traditional Arabic"/>
          <w:color w:val="auto"/>
          <w:rtl/>
          <w:lang w:eastAsia="en-US"/>
        </w:rPr>
        <w:t xml:space="preserve"> لبنان, الطبعة: الأولى، 1422هـ - 2002م, عدد الأجزاء: 16</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تاريخ دمشق, المؤلف: أبو القاسم علي بن الحسن بن هبة الله, المعروف بابن عساكر (المتوفى: 571هـ), المحقق: عمرو بن غرامة العمروي, الناشر: دار الفكر للطباعة والنشر والتوزيع, عام النشر: 1415هـ-1995م, عدد الأجزاء: 80 (74 و 6 مجلدات فهارس).</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تأويل مشكل القرآن, المؤلف: أبو محمد عبد الله بن مسلم بن قتيبة الدينوري (المتوفى: 276هـ), المحقق: إبراهيم شمس الدين, الناشر: دار الكتب العلمية، بيروت – لبنان, عدد الأجزاء: 1</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التبيان في إعراب القرآن, المؤلف : أبو البقاء عبد الله بن الحسين بن عبد الله العكبري (المتوفى : 616هـ), المحقق : علي محمد البجاوي, الناشر : عيسى البابي الحلبي وشركاه, عدد الأجزاء : 2 (في ترقيم مسلسل واحد).</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التحرير والتنوير «تحرير المعنى السديد وتنوير العقل الجديد من تفسير الكتاب المجيد», المؤلف : محمد الطاهر بن محمد بن محمد الطاهر بن عاشور التونسي (المتوفى : 1393هـ), الناشر : الدار التونسية للنشر – تونس</w:t>
      </w:r>
      <w:r w:rsidRPr="00FD53B9">
        <w:rPr>
          <w:rFonts w:ascii="Traditional Arabic" w:hAnsi="Traditional Arabic" w:hint="cs"/>
          <w:color w:val="auto"/>
          <w:rtl/>
          <w:lang w:eastAsia="en-US"/>
        </w:rPr>
        <w:t xml:space="preserve">, </w:t>
      </w:r>
      <w:r w:rsidRPr="00FD53B9">
        <w:rPr>
          <w:rFonts w:ascii="Traditional Arabic" w:hAnsi="Traditional Arabic"/>
          <w:color w:val="auto"/>
          <w:rtl/>
          <w:lang w:eastAsia="en-US"/>
        </w:rPr>
        <w:t>سنة النشر: 1984 هـ, عدد الأجزاء : 30 (والجزء رقم 8 في قسمين).</w:t>
      </w:r>
    </w:p>
    <w:p w:rsidR="00FD53B9" w:rsidRPr="00FD53B9" w:rsidRDefault="00FD53B9" w:rsidP="00FD53B9">
      <w:pPr>
        <w:widowControl/>
        <w:numPr>
          <w:ilvl w:val="0"/>
          <w:numId w:val="43"/>
        </w:numPr>
        <w:autoSpaceDE w:val="0"/>
        <w:autoSpaceDN w:val="0"/>
        <w:adjustRightInd w:val="0"/>
        <w:contextualSpacing/>
        <w:rPr>
          <w:rFonts w:ascii="Traditional Arabic" w:hAnsi="Traditional Arabic"/>
          <w:color w:val="auto"/>
          <w:lang w:eastAsia="en-US"/>
        </w:rPr>
      </w:pPr>
      <w:r w:rsidRPr="00FD53B9">
        <w:rPr>
          <w:rFonts w:ascii="Traditional Arabic" w:hAnsi="Traditional Arabic"/>
          <w:color w:val="auto"/>
          <w:rtl/>
          <w:lang w:eastAsia="en-US"/>
        </w:rPr>
        <w:t>تحفة الأحوذي بشرح جامع الترمذي, المؤلف: أبو العلا محمد عبد الرحمن بن عبد الرحيم المباركفوري (المتوفى: 1353هـ), الناشر: دار إحياء التراث العربي</w:t>
      </w:r>
      <w:r w:rsidRPr="00FD53B9">
        <w:rPr>
          <w:rFonts w:ascii="Traditional Arabic" w:hAnsi="Traditional Arabic" w:hint="cs"/>
          <w:color w:val="auto"/>
          <w:rtl/>
          <w:lang w:eastAsia="en-US"/>
        </w:rPr>
        <w:t>,</w:t>
      </w:r>
      <w:r w:rsidRPr="00FD53B9">
        <w:rPr>
          <w:rFonts w:ascii="Traditional Arabic" w:hAnsi="Traditional Arabic"/>
          <w:color w:val="auto"/>
          <w:rtl/>
          <w:lang w:eastAsia="en-US"/>
        </w:rPr>
        <w:t xml:space="preserve"> بيروت</w:t>
      </w:r>
      <w:r w:rsidRPr="00FD53B9">
        <w:rPr>
          <w:rFonts w:ascii="Traditional Arabic" w:hAnsi="Traditional Arabic" w:hint="cs"/>
          <w:color w:val="auto"/>
          <w:rtl/>
          <w:lang w:eastAsia="en-US"/>
        </w:rPr>
        <w:t xml:space="preserve"> </w:t>
      </w:r>
      <w:r w:rsidRPr="00FD53B9">
        <w:rPr>
          <w:rFonts w:ascii="Traditional Arabic" w:hAnsi="Traditional Arabic"/>
          <w:color w:val="auto"/>
          <w:rtl/>
          <w:lang w:eastAsia="en-US"/>
        </w:rPr>
        <w:t>– لبنان</w:t>
      </w:r>
      <w:r w:rsidRPr="00FD53B9">
        <w:rPr>
          <w:rFonts w:ascii="Traditional Arabic" w:hAnsi="Traditional Arabic" w:hint="cs"/>
          <w:color w:val="auto"/>
          <w:rtl/>
          <w:lang w:eastAsia="en-US"/>
        </w:rPr>
        <w:t>,</w:t>
      </w:r>
      <w:r w:rsidRPr="00FD53B9">
        <w:rPr>
          <w:rFonts w:ascii="Traditional Arabic" w:hAnsi="Traditional Arabic"/>
          <w:color w:val="auto"/>
          <w:rtl/>
          <w:lang w:eastAsia="en-US"/>
        </w:rPr>
        <w:t xml:space="preserve"> الطبعة: الثانية, 1430ه – 2009م, عدد الأجزاء: 10</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 xml:space="preserve">تحفة الفقهاء, المؤلف: محمد بن أحمد بن أبي أحمد، أبو بكر علاء الدين السمرقندي </w:t>
      </w:r>
      <w:r w:rsidRPr="00FD53B9">
        <w:rPr>
          <w:rFonts w:ascii="Traditional Arabic" w:hAnsi="Traditional Arabic"/>
          <w:color w:val="auto"/>
          <w:rtl/>
          <w:lang w:eastAsia="en-US"/>
        </w:rPr>
        <w:lastRenderedPageBreak/>
        <w:t>(المتوفى: نحو 540هـ), الناشر: دار الكتب العلمية، بيروت – لبنان, الطبعة: الثانية، عام النشر: 1414 هـ - 1994 م, عدد الأجزاء: 3</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تذكرة الحفاظ, المؤلف: شمس الدين أبو عبد الله محمد بن أحمد بن عثمان بن قَايْماز الذهبي (المتوفى: 748هـ), الناشر: دار الكتب العلمية</w:t>
      </w:r>
      <w:r w:rsidRPr="00FD53B9">
        <w:rPr>
          <w:rFonts w:ascii="Traditional Arabic" w:hAnsi="Traditional Arabic" w:hint="cs"/>
          <w:color w:val="auto"/>
          <w:rtl/>
          <w:lang w:eastAsia="en-US"/>
        </w:rPr>
        <w:t xml:space="preserve">, </w:t>
      </w:r>
      <w:r w:rsidRPr="00FD53B9">
        <w:rPr>
          <w:rFonts w:ascii="Traditional Arabic" w:hAnsi="Traditional Arabic"/>
          <w:color w:val="auto"/>
          <w:rtl/>
          <w:lang w:eastAsia="en-US"/>
        </w:rPr>
        <w:t>بيروت</w:t>
      </w:r>
      <w:r w:rsidRPr="00FD53B9">
        <w:rPr>
          <w:rFonts w:ascii="Traditional Arabic" w:hAnsi="Traditional Arabic" w:hint="cs"/>
          <w:color w:val="auto"/>
          <w:rtl/>
          <w:lang w:eastAsia="en-US"/>
        </w:rPr>
        <w:t xml:space="preserve"> -</w:t>
      </w:r>
      <w:r w:rsidRPr="00FD53B9">
        <w:rPr>
          <w:rFonts w:ascii="Traditional Arabic" w:hAnsi="Traditional Arabic"/>
          <w:color w:val="auto"/>
          <w:rtl/>
          <w:lang w:eastAsia="en-US"/>
        </w:rPr>
        <w:t xml:space="preserve"> لبنان, الطبعة: الأولى، عام النشر: 1419هـ- 1998م, عدد الأجزاء: 4</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التسهيل لعلوم التنزيل, المؤلف: أبو القاسم، محمد بن أحمد بن محمد بن عبد الله، ابن جزي الكلبي الغرناطي (المتوفى: 741هـ), المحقق: الدكتور عبد الله الخالدي, الناشر: شركة دار الأرقم بن أبي الأرقم, بيروت – لبنان, الطبعة: الأولى, عام النشر: 1416هـ, عدد الأجزاء: 2</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 xml:space="preserve">التَّفْسِيرُ البَسِيْط, المؤلف: أبو الحسن علي بن أحمد بن محمد بن علي الواحدي، النيسابوري، الشافعي (المتوفى: 468هـ), أصل تحقيقه في (15) رسالة دكتوراة بجامعة الإمام محمد بن سعود، ثم قامت لجنة علمية من الجامعة بسبكه وتنسيقه, الناشر: عمادة البحث العلمي - جامعة الإمام محمد بن سعود الإسلامية, الطبعة: الأولى، عام النشر:1430ه, عدد الأجزاء: 25 </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تفسير الثوري, المؤلف: أبو عبد الله سفيان بن سعيد بن مسروق الثوري الكوفي (المتوفى: 161هـ), الناشر: دار الكتب العلمية، بيروت – لبنان, الطبعة: الأولى, عام النشر: 1403ه-1983م, عدد الأجزاء: 1</w:t>
      </w:r>
    </w:p>
    <w:p w:rsidR="00FD53B9" w:rsidRPr="00FD53B9" w:rsidRDefault="00FD53B9" w:rsidP="00FD53B9">
      <w:pPr>
        <w:numPr>
          <w:ilvl w:val="0"/>
          <w:numId w:val="43"/>
        </w:numPr>
        <w:contextualSpacing/>
        <w:rPr>
          <w:rFonts w:ascii="Traditional Arabic" w:hAnsi="Traditional Arabic"/>
          <w:color w:val="auto"/>
          <w:rtl/>
          <w:lang w:eastAsia="en-US"/>
        </w:rPr>
      </w:pPr>
      <w:r w:rsidRPr="00FD53B9">
        <w:rPr>
          <w:rFonts w:ascii="Traditional Arabic" w:hAnsi="Traditional Arabic"/>
          <w:color w:val="auto"/>
          <w:rtl/>
          <w:lang w:eastAsia="en-US"/>
        </w:rPr>
        <w:t>تفسير الخازن المسمى لباب التأويل في معاني التنزيل, المؤلف: علاء الدين علي بن محمد بن إبراهيم البغدادي الشهير بالخازن</w:t>
      </w:r>
      <w:r w:rsidR="00965A8F">
        <w:rPr>
          <w:rFonts w:ascii="Traditional Arabic" w:hAnsi="Traditional Arabic" w:hint="cs"/>
          <w:color w:val="auto"/>
          <w:rtl/>
          <w:lang w:eastAsia="en-US"/>
        </w:rPr>
        <w:t xml:space="preserve"> (المتوفى: 741ه)</w:t>
      </w:r>
      <w:r w:rsidRPr="00FD53B9">
        <w:rPr>
          <w:rFonts w:ascii="Traditional Arabic" w:hAnsi="Traditional Arabic"/>
          <w:color w:val="auto"/>
          <w:rtl/>
          <w:lang w:eastAsia="en-US"/>
        </w:rPr>
        <w:t>, دار النشر: دار الفكر</w:t>
      </w:r>
      <w:r w:rsidRPr="00FD53B9">
        <w:rPr>
          <w:rFonts w:ascii="Traditional Arabic" w:hAnsi="Traditional Arabic" w:hint="cs"/>
          <w:color w:val="auto"/>
          <w:rtl/>
          <w:lang w:eastAsia="en-US"/>
        </w:rPr>
        <w:t xml:space="preserve">, </w:t>
      </w:r>
      <w:r w:rsidRPr="00FD53B9">
        <w:rPr>
          <w:rFonts w:ascii="Traditional Arabic" w:hAnsi="Traditional Arabic"/>
          <w:color w:val="auto"/>
          <w:rtl/>
          <w:lang w:eastAsia="en-US"/>
        </w:rPr>
        <w:t xml:space="preserve">بيروت </w:t>
      </w:r>
      <w:r w:rsidRPr="00FD53B9">
        <w:rPr>
          <w:rFonts w:ascii="Traditional Arabic" w:hAnsi="Traditional Arabic" w:hint="cs"/>
          <w:color w:val="auto"/>
          <w:rtl/>
          <w:lang w:eastAsia="en-US"/>
        </w:rPr>
        <w:t xml:space="preserve">- </w:t>
      </w:r>
      <w:r w:rsidRPr="00FD53B9">
        <w:rPr>
          <w:rFonts w:ascii="Traditional Arabic" w:hAnsi="Traditional Arabic"/>
          <w:color w:val="auto"/>
          <w:rtl/>
          <w:lang w:eastAsia="en-US"/>
        </w:rPr>
        <w:t>لبنان, عام النشر: 1399ه-1979م, عدد الأجزاء: 7</w:t>
      </w:r>
    </w:p>
    <w:p w:rsidR="00FD53B9" w:rsidRPr="00FD53B9" w:rsidRDefault="00FD53B9" w:rsidP="00FD53B9">
      <w:pPr>
        <w:widowControl/>
        <w:numPr>
          <w:ilvl w:val="0"/>
          <w:numId w:val="43"/>
        </w:numPr>
        <w:autoSpaceDE w:val="0"/>
        <w:autoSpaceDN w:val="0"/>
        <w:adjustRightInd w:val="0"/>
        <w:contextualSpacing/>
        <w:rPr>
          <w:rFonts w:ascii="Traditional Arabic" w:hAnsi="Traditional Arabic"/>
          <w:color w:val="auto"/>
          <w:lang w:eastAsia="en-US"/>
        </w:rPr>
      </w:pPr>
      <w:r w:rsidRPr="00FD53B9">
        <w:rPr>
          <w:rFonts w:ascii="Traditional Arabic" w:hAnsi="Traditional Arabic"/>
          <w:color w:val="auto"/>
          <w:rtl/>
          <w:lang w:eastAsia="en-US"/>
        </w:rPr>
        <w:t>تفسير القرآن العظيم, المؤلف: أبو محمد عبد الرحمن بن محمد بن إدريس بن المنذر التميمي، الحنظلي، الرازي ابن أبي حاتم (المتوفى: 327هـ), المحقق: أسعد محمد الطيب, الناشر: مكتبة نزار مصطفى الباز - المملكة العربية السعودية, الطبعة: الثالثة, عام النشر: 1419ه, عدد الأجزاء: 13</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 xml:space="preserve">تفسير القرآن العظيم, المؤلف: الإمام أبو الفداء إسماعيل بن عمر بن كثير القرشي </w:t>
      </w:r>
      <w:r w:rsidRPr="00FD53B9">
        <w:rPr>
          <w:rFonts w:ascii="Traditional Arabic" w:hAnsi="Traditional Arabic"/>
          <w:color w:val="auto"/>
          <w:rtl/>
          <w:lang w:eastAsia="en-US"/>
        </w:rPr>
        <w:lastRenderedPageBreak/>
        <w:t>البصري ثم الدمشقي (المتوفى: 774هـ), المحقق: أبو إسحاق الحويني , أ.د. حكمت بشير, الناشر: دار ابن الجوزي</w:t>
      </w:r>
      <w:r w:rsidRPr="00FD53B9">
        <w:rPr>
          <w:rFonts w:ascii="Traditional Arabic" w:hAnsi="Traditional Arabic" w:hint="cs"/>
          <w:color w:val="auto"/>
          <w:rtl/>
          <w:lang w:eastAsia="en-US"/>
        </w:rPr>
        <w:t xml:space="preserve">, </w:t>
      </w:r>
      <w:r w:rsidRPr="00FD53B9">
        <w:rPr>
          <w:rFonts w:ascii="Traditional Arabic" w:hAnsi="Traditional Arabic"/>
          <w:color w:val="auto"/>
          <w:rtl/>
          <w:lang w:eastAsia="en-US"/>
        </w:rPr>
        <w:t>الدمام</w:t>
      </w:r>
      <w:r w:rsidRPr="00FD53B9">
        <w:rPr>
          <w:rFonts w:ascii="Traditional Arabic" w:hAnsi="Traditional Arabic" w:hint="cs"/>
          <w:color w:val="auto"/>
          <w:rtl/>
          <w:lang w:eastAsia="en-US"/>
        </w:rPr>
        <w:t xml:space="preserve"> -</w:t>
      </w:r>
      <w:r w:rsidRPr="00FD53B9">
        <w:rPr>
          <w:rFonts w:ascii="Traditional Arabic" w:hAnsi="Traditional Arabic"/>
          <w:color w:val="auto"/>
          <w:rtl/>
          <w:lang w:eastAsia="en-US"/>
        </w:rPr>
        <w:t xml:space="preserve"> السعودية، الطبعة: الأولى, عام النشر: 1431ه, عدد الأجزاء: 7</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تفسير القرآن من الجامع لابن وهب, المؤلف: أبو محمد عبد الله بن وهب بن مسلم المصري القرشي (المتوفى: 197هـ), المحقق: ميكلوش موراني, الناشر: دار الغرب الإسلامي, الطبعة: الأولى, عام النشر: 2003م, عدد الأجزاء: 3</w:t>
      </w:r>
    </w:p>
    <w:p w:rsidR="00FD53B9" w:rsidRPr="00FD53B9" w:rsidRDefault="00FD53B9" w:rsidP="00FD53B9">
      <w:pPr>
        <w:widowControl/>
        <w:numPr>
          <w:ilvl w:val="0"/>
          <w:numId w:val="43"/>
        </w:numPr>
        <w:autoSpaceDE w:val="0"/>
        <w:autoSpaceDN w:val="0"/>
        <w:adjustRightInd w:val="0"/>
        <w:contextualSpacing/>
        <w:rPr>
          <w:rFonts w:ascii="Traditional Arabic" w:hAnsi="Traditional Arabic"/>
          <w:color w:val="auto"/>
          <w:lang w:eastAsia="en-US"/>
        </w:rPr>
      </w:pPr>
      <w:r w:rsidRPr="00FD53B9">
        <w:rPr>
          <w:rFonts w:ascii="Traditional Arabic" w:hAnsi="Traditional Arabic"/>
          <w:color w:val="auto"/>
          <w:rtl/>
          <w:lang w:eastAsia="en-US"/>
        </w:rPr>
        <w:t>تفسير القرآن, المؤلف: أبو المظفر، منصور بن محمد بن عبد الجبار ابن أحمد المروزى السمعاني التميمي الحنفي ثم الشافعي (المتوفى: 489هـ), المحقق: ياسر بن إبراهيم وغنيم بن عباس بن غنيم, الناشر: دار الوطن، الرياض – السعودية, الطبعة: الأولى، عام النشر:  1418هـ- 1997مو عدد الأجزاء: 6</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التفسير الكبير, المؤلف: أبو عبد الله محمد بن عمر بن الحسن بن الحسين التيمي الرازي الملقب بفخر الدين الرازي خطيب الري (المتوفى: 606هـ), الناشر: دار إحياء التراث العربي, بيروت - لبنان, الطبعة: الثالثة, عام النشر: 1420هـ, عدد الأجزاء: 32</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تفسير آيات أشكلت على كثير من العلماء حتى لا يوجد في طائفة من كتب التفسير فيها القول الصواب بل لا يوجد فيها إلا ما هو خطأ, المؤلف: شيخ الإسلام أحمد بن عبد الحليم بن عبد السلام ابن تيمية, المحقق: عبد العزيز بن محمد الخليفة, الناشر: مكتبة الرشد الرياض</w:t>
      </w:r>
      <w:r w:rsidRPr="00FD53B9">
        <w:rPr>
          <w:rFonts w:ascii="Traditional Arabic" w:hAnsi="Traditional Arabic" w:hint="cs"/>
          <w:color w:val="auto"/>
          <w:rtl/>
          <w:lang w:eastAsia="en-US"/>
        </w:rPr>
        <w:t xml:space="preserve"> -</w:t>
      </w:r>
      <w:r w:rsidRPr="00FD53B9">
        <w:rPr>
          <w:rFonts w:ascii="Traditional Arabic" w:hAnsi="Traditional Arabic"/>
          <w:color w:val="auto"/>
          <w:rtl/>
          <w:lang w:eastAsia="en-US"/>
        </w:rPr>
        <w:t xml:space="preserve"> السعودية, الطبعة: الأولى، 1417هـ-1996م, عدد الأجزاء: 2 (بترقيم واحد متسلسل).</w:t>
      </w:r>
    </w:p>
    <w:p w:rsidR="00FD53B9" w:rsidRPr="00FD53B9" w:rsidRDefault="00FD53B9" w:rsidP="00FD53B9">
      <w:pPr>
        <w:widowControl/>
        <w:numPr>
          <w:ilvl w:val="0"/>
          <w:numId w:val="43"/>
        </w:numPr>
        <w:autoSpaceDE w:val="0"/>
        <w:autoSpaceDN w:val="0"/>
        <w:adjustRightInd w:val="0"/>
        <w:contextualSpacing/>
        <w:rPr>
          <w:rFonts w:ascii="Traditional Arabic" w:hAnsi="Traditional Arabic"/>
          <w:color w:val="auto"/>
          <w:lang w:eastAsia="en-US"/>
        </w:rPr>
      </w:pPr>
      <w:r w:rsidRPr="00FD53B9">
        <w:rPr>
          <w:rFonts w:ascii="Traditional Arabic" w:hAnsi="Traditional Arabic"/>
          <w:color w:val="auto"/>
          <w:rtl/>
          <w:lang w:eastAsia="en-US"/>
        </w:rPr>
        <w:t>تفسير عبد الرزاق, المؤلف: أبو بكر عبد الرزاق بن همام بن نافع الحميري اليماني الصنعاني (المتوفى: 211هـ), دراسة وتحقيق: د. محمود محمد عبده, الناشر: دار الكتب العلمية</w:t>
      </w:r>
      <w:r w:rsidRPr="00FD53B9">
        <w:rPr>
          <w:rFonts w:ascii="Traditional Arabic" w:hAnsi="Traditional Arabic" w:hint="cs"/>
          <w:color w:val="auto"/>
          <w:rtl/>
          <w:lang w:eastAsia="en-US"/>
        </w:rPr>
        <w:t xml:space="preserve">, </w:t>
      </w:r>
      <w:r w:rsidRPr="00FD53B9">
        <w:rPr>
          <w:rFonts w:ascii="Traditional Arabic" w:hAnsi="Traditional Arabic"/>
          <w:color w:val="auto"/>
          <w:rtl/>
          <w:lang w:eastAsia="en-US"/>
        </w:rPr>
        <w:t>بيروت</w:t>
      </w:r>
      <w:r w:rsidRPr="00FD53B9">
        <w:rPr>
          <w:rFonts w:ascii="Traditional Arabic" w:hAnsi="Traditional Arabic" w:hint="cs"/>
          <w:color w:val="auto"/>
          <w:rtl/>
          <w:lang w:eastAsia="en-US"/>
        </w:rPr>
        <w:t xml:space="preserve"> -</w:t>
      </w:r>
      <w:r w:rsidRPr="00FD53B9">
        <w:rPr>
          <w:rFonts w:ascii="Traditional Arabic" w:hAnsi="Traditional Arabic"/>
          <w:color w:val="auto"/>
          <w:rtl/>
          <w:lang w:eastAsia="en-US"/>
        </w:rPr>
        <w:t xml:space="preserve"> لبنان, الطبعة: الأولى، عام النشر: 1419هـ, عدد الأجزاء: 3</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تفسير مجاهد, المؤلف: أبو الحجاج مجاهد بن جبر التابعي المكي القرشي المخزومي (المتوفى: 104هـ), المحقق: د. محمد عبد السلام أبو النيل, الناشر: دار الفكر الإسلامي الحديثة، مصر, الطبعة: الأولى، عام النشر: 1410هـ - 1989م, عدد الأجزاء: 1</w:t>
      </w:r>
    </w:p>
    <w:p w:rsidR="00FD53B9" w:rsidRPr="00FD53B9" w:rsidRDefault="00FD53B9" w:rsidP="00FD53B9">
      <w:pPr>
        <w:widowControl/>
        <w:numPr>
          <w:ilvl w:val="0"/>
          <w:numId w:val="43"/>
        </w:numPr>
        <w:autoSpaceDE w:val="0"/>
        <w:autoSpaceDN w:val="0"/>
        <w:adjustRightInd w:val="0"/>
        <w:contextualSpacing/>
        <w:rPr>
          <w:rFonts w:ascii="Traditional Arabic" w:hAnsi="Traditional Arabic"/>
          <w:color w:val="auto"/>
          <w:lang w:eastAsia="en-US"/>
        </w:rPr>
      </w:pPr>
      <w:r w:rsidRPr="00FD53B9">
        <w:rPr>
          <w:rFonts w:ascii="Traditional Arabic" w:hAnsi="Traditional Arabic"/>
          <w:color w:val="auto"/>
          <w:rtl/>
          <w:lang w:eastAsia="en-US"/>
        </w:rPr>
        <w:lastRenderedPageBreak/>
        <w:t>تفسير مقاتل بن سليمان, المؤلف: أبو الحسن مقاتل بن سليمان بن بشير الأزدي البلخي (المتوفى: 150هـ), المحقق: عبد الله محمود شحاته, الناشر: دار إحياء التراث</w:t>
      </w:r>
      <w:r w:rsidRPr="00FD53B9">
        <w:rPr>
          <w:rFonts w:ascii="Traditional Arabic" w:hAnsi="Traditional Arabic" w:hint="cs"/>
          <w:color w:val="auto"/>
          <w:rtl/>
          <w:lang w:eastAsia="en-US"/>
        </w:rPr>
        <w:t xml:space="preserve">, </w:t>
      </w:r>
      <w:r w:rsidRPr="00FD53B9">
        <w:rPr>
          <w:rFonts w:ascii="Traditional Arabic" w:hAnsi="Traditional Arabic"/>
          <w:color w:val="auto"/>
          <w:rtl/>
          <w:lang w:eastAsia="en-US"/>
        </w:rPr>
        <w:t>بيروت</w:t>
      </w:r>
      <w:r w:rsidRPr="00FD53B9">
        <w:rPr>
          <w:rFonts w:ascii="Traditional Arabic" w:hAnsi="Traditional Arabic" w:hint="cs"/>
          <w:color w:val="auto"/>
          <w:rtl/>
          <w:lang w:eastAsia="en-US"/>
        </w:rPr>
        <w:t xml:space="preserve"> -</w:t>
      </w:r>
      <w:r w:rsidRPr="00FD53B9">
        <w:rPr>
          <w:rFonts w:ascii="Traditional Arabic" w:hAnsi="Traditional Arabic"/>
          <w:color w:val="auto"/>
          <w:rtl/>
          <w:lang w:eastAsia="en-US"/>
        </w:rPr>
        <w:t xml:space="preserve"> لبنان, الطبعة: الأولى, عام النشر: 1423هـ, عدد الأجزاء: 5</w:t>
      </w:r>
    </w:p>
    <w:p w:rsidR="00FD53B9" w:rsidRPr="00FD53B9" w:rsidRDefault="00FD53B9" w:rsidP="00FD53B9">
      <w:pPr>
        <w:widowControl/>
        <w:numPr>
          <w:ilvl w:val="0"/>
          <w:numId w:val="43"/>
        </w:numPr>
        <w:autoSpaceDE w:val="0"/>
        <w:autoSpaceDN w:val="0"/>
        <w:adjustRightInd w:val="0"/>
        <w:contextualSpacing/>
        <w:rPr>
          <w:rFonts w:ascii="Traditional Arabic" w:hAnsi="Traditional Arabic"/>
          <w:color w:val="auto"/>
          <w:lang w:eastAsia="en-US"/>
        </w:rPr>
      </w:pPr>
      <w:r w:rsidRPr="00FD53B9">
        <w:rPr>
          <w:rFonts w:ascii="Traditional Arabic" w:hAnsi="Traditional Arabic"/>
          <w:color w:val="auto"/>
          <w:rtl/>
          <w:lang w:eastAsia="en-US"/>
        </w:rPr>
        <w:t>تفسير يحيى بن سلام, المؤلف: يحيى بن سلام بن أبي ثعلبة، التيمي بالولاء، من تيم ربيعة، البصري ثم الإفريقي القيرواني (المتوفى: 200هـ), تقديم وتحقيق: الدكتورة هند شلبي, الناشر: دار الكتب العلمية</w:t>
      </w:r>
      <w:r w:rsidRPr="00FD53B9">
        <w:rPr>
          <w:rFonts w:ascii="Traditional Arabic" w:hAnsi="Traditional Arabic" w:hint="cs"/>
          <w:color w:val="auto"/>
          <w:rtl/>
          <w:lang w:eastAsia="en-US"/>
        </w:rPr>
        <w:t xml:space="preserve">, </w:t>
      </w:r>
      <w:r w:rsidRPr="00FD53B9">
        <w:rPr>
          <w:rFonts w:ascii="Traditional Arabic" w:hAnsi="Traditional Arabic"/>
          <w:color w:val="auto"/>
          <w:rtl/>
          <w:lang w:eastAsia="en-US"/>
        </w:rPr>
        <w:t>بيروت</w:t>
      </w:r>
      <w:r w:rsidRPr="00FD53B9">
        <w:rPr>
          <w:rFonts w:ascii="Traditional Arabic" w:hAnsi="Traditional Arabic" w:hint="cs"/>
          <w:color w:val="auto"/>
          <w:rtl/>
          <w:lang w:eastAsia="en-US"/>
        </w:rPr>
        <w:t xml:space="preserve"> -</w:t>
      </w:r>
      <w:r w:rsidRPr="00FD53B9">
        <w:rPr>
          <w:rFonts w:ascii="Traditional Arabic" w:hAnsi="Traditional Arabic"/>
          <w:color w:val="auto"/>
          <w:rtl/>
          <w:lang w:eastAsia="en-US"/>
        </w:rPr>
        <w:t xml:space="preserve"> لبنان, الطبعة: الأولى، عام النشر: 1425هـ-2004م, عدد الأجزاء: 2</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تهذيب الأسماء واللغات, المؤلف: أبو زكريا محيي الدين يحيى بن شرف النووي (المتوفى: 676هـ), عنيت بنشره وتصحيحه والتعليق عليه ومقابلة أصوله: شركة العلماء بمساعدة إدارة الطباعة المنيرية, يطلب من: دار الكتب العلمية، بيروت</w:t>
      </w:r>
      <w:r w:rsidRPr="00FD53B9">
        <w:rPr>
          <w:rFonts w:ascii="Traditional Arabic" w:hAnsi="Traditional Arabic" w:hint="cs"/>
          <w:color w:val="auto"/>
          <w:rtl/>
          <w:lang w:eastAsia="en-US"/>
        </w:rPr>
        <w:t xml:space="preserve"> -</w:t>
      </w:r>
      <w:r w:rsidRPr="00FD53B9">
        <w:rPr>
          <w:rFonts w:ascii="Traditional Arabic" w:hAnsi="Traditional Arabic"/>
          <w:color w:val="auto"/>
          <w:rtl/>
          <w:lang w:eastAsia="en-US"/>
        </w:rPr>
        <w:t xml:space="preserve"> لبنان, عدد الأجزاء: 4</w:t>
      </w:r>
    </w:p>
    <w:p w:rsidR="00FD53B9" w:rsidRPr="00FD53B9" w:rsidRDefault="00FD53B9" w:rsidP="00FD53B9">
      <w:pPr>
        <w:widowControl/>
        <w:numPr>
          <w:ilvl w:val="0"/>
          <w:numId w:val="43"/>
        </w:numPr>
        <w:autoSpaceDE w:val="0"/>
        <w:autoSpaceDN w:val="0"/>
        <w:adjustRightInd w:val="0"/>
        <w:contextualSpacing/>
        <w:rPr>
          <w:rFonts w:ascii="Traditional Arabic" w:hAnsi="Traditional Arabic"/>
          <w:color w:val="auto"/>
          <w:lang w:eastAsia="en-US"/>
        </w:rPr>
      </w:pPr>
      <w:r w:rsidRPr="00FD53B9">
        <w:rPr>
          <w:rFonts w:ascii="Traditional Arabic" w:hAnsi="Traditional Arabic"/>
          <w:color w:val="auto"/>
          <w:rtl/>
          <w:lang w:eastAsia="en-US"/>
        </w:rPr>
        <w:t>تهذيب التهذيب, المؤلف: أبو الفضل أحمد بن علي بن محمد بن أحمد بن حجر العسقلاني (المتوفى: 852هـ), الناشر: مطبعة دائرة المعارف النظامية</w:t>
      </w:r>
      <w:r w:rsidRPr="00FD53B9">
        <w:rPr>
          <w:rFonts w:ascii="Traditional Arabic" w:hAnsi="Traditional Arabic" w:hint="cs"/>
          <w:color w:val="auto"/>
          <w:rtl/>
          <w:lang w:eastAsia="en-US"/>
        </w:rPr>
        <w:t xml:space="preserve"> -</w:t>
      </w:r>
      <w:r w:rsidRPr="00FD53B9">
        <w:rPr>
          <w:rFonts w:ascii="Traditional Arabic" w:hAnsi="Traditional Arabic"/>
          <w:color w:val="auto"/>
          <w:rtl/>
          <w:lang w:eastAsia="en-US"/>
        </w:rPr>
        <w:t xml:space="preserve"> الهند, الطبعة: الطبعة الأولى، عام النشر: 1326هـ, عدد الأجزاء: 12</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تهذيب الكمال في أسماء الرجال, المؤلف: يوسف بن عبد الرحمن بن يوسف، أبو الحجاج، جمال الدين ابن الزكي أبي محمد القضاعي الكلبي المزي (المتوفى: 742هـ), المحقق: د. بشار عواد معروف, الناشر: مؤسسة الرسالة</w:t>
      </w:r>
      <w:r w:rsidRPr="00FD53B9">
        <w:rPr>
          <w:rFonts w:ascii="Traditional Arabic" w:hAnsi="Traditional Arabic" w:hint="cs"/>
          <w:color w:val="auto"/>
          <w:rtl/>
          <w:lang w:eastAsia="en-US"/>
        </w:rPr>
        <w:t xml:space="preserve">, </w:t>
      </w:r>
      <w:r w:rsidRPr="00FD53B9">
        <w:rPr>
          <w:rFonts w:ascii="Traditional Arabic" w:hAnsi="Traditional Arabic"/>
          <w:color w:val="auto"/>
          <w:rtl/>
          <w:lang w:eastAsia="en-US"/>
        </w:rPr>
        <w:t>بيروت</w:t>
      </w:r>
      <w:r w:rsidRPr="00FD53B9">
        <w:rPr>
          <w:rFonts w:ascii="Traditional Arabic" w:hAnsi="Traditional Arabic" w:hint="cs"/>
          <w:color w:val="auto"/>
          <w:rtl/>
          <w:lang w:eastAsia="en-US"/>
        </w:rPr>
        <w:t xml:space="preserve"> -</w:t>
      </w:r>
      <w:r w:rsidRPr="00FD53B9">
        <w:rPr>
          <w:rFonts w:ascii="Traditional Arabic" w:hAnsi="Traditional Arabic"/>
          <w:color w:val="auto"/>
          <w:rtl/>
          <w:lang w:eastAsia="en-US"/>
        </w:rPr>
        <w:t xml:space="preserve"> لبنان, الطبعة: الأولى، 1400ه–1980م, عدد الأجزاء: 35</w:t>
      </w:r>
    </w:p>
    <w:p w:rsidR="00FD53B9" w:rsidRPr="00FD53B9" w:rsidRDefault="00FD53B9" w:rsidP="00FD53B9">
      <w:pPr>
        <w:widowControl/>
        <w:numPr>
          <w:ilvl w:val="0"/>
          <w:numId w:val="43"/>
        </w:numPr>
        <w:autoSpaceDE w:val="0"/>
        <w:autoSpaceDN w:val="0"/>
        <w:adjustRightInd w:val="0"/>
        <w:contextualSpacing/>
        <w:rPr>
          <w:rFonts w:ascii="Traditional Arabic" w:hAnsi="Traditional Arabic"/>
          <w:color w:val="auto"/>
          <w:lang w:eastAsia="en-US"/>
        </w:rPr>
      </w:pPr>
      <w:r w:rsidRPr="00FD53B9">
        <w:rPr>
          <w:rFonts w:ascii="Traditional Arabic" w:hAnsi="Traditional Arabic"/>
          <w:color w:val="auto"/>
          <w:rtl/>
          <w:lang w:eastAsia="en-US"/>
        </w:rPr>
        <w:t>تهذيب اللغة, المؤلف: محمد بن أحمد بن الأزهري الهروي، أبو منصور (المتوفى: 370هـ), المحقق: محمد عوض مرعب, الناشر: دار إحياء التراث العربي</w:t>
      </w:r>
      <w:r w:rsidRPr="00FD53B9">
        <w:rPr>
          <w:rFonts w:ascii="Traditional Arabic" w:hAnsi="Traditional Arabic" w:hint="cs"/>
          <w:color w:val="auto"/>
          <w:rtl/>
          <w:lang w:eastAsia="en-US"/>
        </w:rPr>
        <w:t xml:space="preserve">, </w:t>
      </w:r>
      <w:r w:rsidRPr="00FD53B9">
        <w:rPr>
          <w:rFonts w:ascii="Traditional Arabic" w:hAnsi="Traditional Arabic"/>
          <w:color w:val="auto"/>
          <w:rtl/>
          <w:lang w:eastAsia="en-US"/>
        </w:rPr>
        <w:t>بيروت</w:t>
      </w:r>
      <w:r w:rsidRPr="00FD53B9">
        <w:rPr>
          <w:rFonts w:ascii="Traditional Arabic" w:hAnsi="Traditional Arabic" w:hint="cs"/>
          <w:color w:val="auto"/>
          <w:rtl/>
          <w:lang w:eastAsia="en-US"/>
        </w:rPr>
        <w:t xml:space="preserve"> -</w:t>
      </w:r>
      <w:r w:rsidRPr="00FD53B9">
        <w:rPr>
          <w:rFonts w:ascii="Traditional Arabic" w:hAnsi="Traditional Arabic"/>
          <w:color w:val="auto"/>
          <w:rtl/>
          <w:lang w:eastAsia="en-US"/>
        </w:rPr>
        <w:t xml:space="preserve"> لبنان, الطبعة: الأولى، 2001م, عدد الأجزاء: 8</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تيسير العزيز الحميد في شرح كتاب التوحيد الذى هو حق الله على العبيد, المؤلف: سليمان بن عبد الله بن محمد بن عبد الوهاب (المتوفى: 1233هـ), المحقق: زهير الشاويش, الناشر: المكتب الاسلامي</w:t>
      </w:r>
      <w:r w:rsidRPr="00FD53B9">
        <w:rPr>
          <w:rFonts w:ascii="Traditional Arabic" w:hAnsi="Traditional Arabic" w:hint="cs"/>
          <w:color w:val="auto"/>
          <w:rtl/>
          <w:lang w:eastAsia="en-US"/>
        </w:rPr>
        <w:t xml:space="preserve">, </w:t>
      </w:r>
      <w:r w:rsidRPr="00FD53B9">
        <w:rPr>
          <w:rFonts w:ascii="Traditional Arabic" w:hAnsi="Traditional Arabic"/>
          <w:color w:val="auto"/>
          <w:rtl/>
          <w:lang w:eastAsia="en-US"/>
        </w:rPr>
        <w:t>بيروت</w:t>
      </w:r>
      <w:r w:rsidRPr="00FD53B9">
        <w:rPr>
          <w:rFonts w:ascii="Traditional Arabic" w:hAnsi="Traditional Arabic" w:hint="cs"/>
          <w:color w:val="auto"/>
          <w:rtl/>
          <w:lang w:eastAsia="en-US"/>
        </w:rPr>
        <w:t xml:space="preserve"> -</w:t>
      </w:r>
      <w:r w:rsidRPr="00FD53B9">
        <w:rPr>
          <w:rFonts w:ascii="Traditional Arabic" w:hAnsi="Traditional Arabic"/>
          <w:color w:val="auto"/>
          <w:rtl/>
          <w:lang w:eastAsia="en-US"/>
        </w:rPr>
        <w:t xml:space="preserve"> لبنان, الطبعة: الأولى، 1423هـ-2002م, عدد الأجزاء: 1</w:t>
      </w:r>
    </w:p>
    <w:p w:rsidR="00FD53B9" w:rsidRPr="00FD53B9" w:rsidRDefault="00FD53B9" w:rsidP="00FD53B9">
      <w:pPr>
        <w:widowControl/>
        <w:numPr>
          <w:ilvl w:val="0"/>
          <w:numId w:val="43"/>
        </w:numPr>
        <w:autoSpaceDE w:val="0"/>
        <w:autoSpaceDN w:val="0"/>
        <w:adjustRightInd w:val="0"/>
        <w:contextualSpacing/>
        <w:rPr>
          <w:rFonts w:ascii="Traditional Arabic" w:hAnsi="Traditional Arabic"/>
          <w:color w:val="auto"/>
          <w:lang w:eastAsia="en-US"/>
        </w:rPr>
      </w:pPr>
      <w:r w:rsidRPr="00FD53B9">
        <w:rPr>
          <w:rFonts w:ascii="Traditional Arabic" w:hAnsi="Traditional Arabic"/>
          <w:b/>
          <w:bCs/>
          <w:color w:val="auto"/>
          <w:rtl/>
          <w:lang w:eastAsia="en-US"/>
        </w:rPr>
        <w:lastRenderedPageBreak/>
        <w:t xml:space="preserve"> </w:t>
      </w:r>
      <w:r w:rsidRPr="00FD53B9">
        <w:rPr>
          <w:rFonts w:ascii="Traditional Arabic" w:hAnsi="Traditional Arabic"/>
          <w:color w:val="auto"/>
          <w:rtl/>
          <w:lang w:eastAsia="en-US"/>
        </w:rPr>
        <w:t>تيسير الكريم الرحمن في تفسير كلام المنان, المؤلف: عبد الرحمن بن ناصر بن عبد الله السعدي (المتوفى: 1376هـ), الناشر: مؤسسة الأميرة العنود</w:t>
      </w:r>
      <w:r w:rsidRPr="00FD53B9">
        <w:rPr>
          <w:rFonts w:ascii="Traditional Arabic" w:hAnsi="Traditional Arabic" w:hint="cs"/>
          <w:color w:val="auto"/>
          <w:rtl/>
          <w:lang w:eastAsia="en-US"/>
        </w:rPr>
        <w:t>, الرياض - السعودية</w:t>
      </w:r>
      <w:r w:rsidRPr="00FD53B9">
        <w:rPr>
          <w:rFonts w:ascii="Traditional Arabic" w:hAnsi="Traditional Arabic"/>
          <w:color w:val="auto"/>
          <w:rtl/>
          <w:lang w:eastAsia="en-US"/>
        </w:rPr>
        <w:t>, الطبعة: الأولى, 1432هـ -2011 م, عدد الأجزاء: 1</w:t>
      </w:r>
    </w:p>
    <w:p w:rsidR="00FD53B9" w:rsidRPr="00FD53B9" w:rsidRDefault="00FD53B9" w:rsidP="00FD53B9">
      <w:pPr>
        <w:widowControl/>
        <w:numPr>
          <w:ilvl w:val="0"/>
          <w:numId w:val="43"/>
        </w:numPr>
        <w:autoSpaceDE w:val="0"/>
        <w:autoSpaceDN w:val="0"/>
        <w:adjustRightInd w:val="0"/>
        <w:contextualSpacing/>
        <w:rPr>
          <w:rFonts w:ascii="Traditional Arabic" w:hAnsi="Traditional Arabic"/>
          <w:color w:val="auto"/>
          <w:lang w:eastAsia="en-US"/>
        </w:rPr>
      </w:pPr>
      <w:r w:rsidRPr="00FD53B9">
        <w:rPr>
          <w:rFonts w:ascii="Traditional Arabic" w:hAnsi="Traditional Arabic"/>
          <w:color w:val="auto"/>
          <w:rtl/>
          <w:lang w:eastAsia="en-US"/>
        </w:rPr>
        <w:t>التيسير في القراءات السبع, المؤلف: أبو عمرو عثمان بن سعيد بن عثمان بن عمر الداني (المتوفى: 444هـ), المحقق: أ.د. حاتم صالح الضامن, الناشر: مكتبة الصحابة, الشارقة- الإمارات</w:t>
      </w:r>
      <w:r w:rsidRPr="00FD53B9">
        <w:rPr>
          <w:rFonts w:ascii="Traditional Arabic" w:hAnsi="Traditional Arabic" w:hint="cs"/>
          <w:color w:val="auto"/>
          <w:rtl/>
          <w:lang w:eastAsia="en-US"/>
        </w:rPr>
        <w:t xml:space="preserve"> العربية المتحدة</w:t>
      </w:r>
      <w:r w:rsidRPr="00FD53B9">
        <w:rPr>
          <w:rFonts w:ascii="Traditional Arabic" w:hAnsi="Traditional Arabic"/>
          <w:color w:val="auto"/>
          <w:rtl/>
          <w:lang w:eastAsia="en-US"/>
        </w:rPr>
        <w:t>, الطبعة: الأولى، عام النشر: 1429ه-2008م, عدد الأجزاء: 1</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جامع البيان في تأويل القرآن, المؤلف: محمد بن جرير بن يزيد بن كثير بن غالب الآملي، أبو جعفر الطبري (المتوفى: 310هـ), المحقق: أحمد محمد شاكر, الناشر: مؤسسة الرسالة,</w:t>
      </w:r>
      <w:r w:rsidRPr="00FD53B9">
        <w:rPr>
          <w:rFonts w:ascii="Traditional Arabic" w:hAnsi="Traditional Arabic" w:hint="cs"/>
          <w:color w:val="auto"/>
          <w:rtl/>
          <w:lang w:eastAsia="en-US"/>
        </w:rPr>
        <w:t xml:space="preserve"> بيروت </w:t>
      </w:r>
      <w:r w:rsidRPr="00FD53B9">
        <w:rPr>
          <w:rFonts w:ascii="Traditional Arabic" w:hAnsi="Traditional Arabic"/>
          <w:color w:val="auto"/>
          <w:rtl/>
          <w:lang w:eastAsia="en-US"/>
        </w:rPr>
        <w:t>–</w:t>
      </w:r>
      <w:r w:rsidRPr="00FD53B9">
        <w:rPr>
          <w:rFonts w:ascii="Traditional Arabic" w:hAnsi="Traditional Arabic" w:hint="cs"/>
          <w:color w:val="auto"/>
          <w:rtl/>
          <w:lang w:eastAsia="en-US"/>
        </w:rPr>
        <w:t xml:space="preserve"> لبنان,</w:t>
      </w:r>
      <w:r w:rsidRPr="00FD53B9">
        <w:rPr>
          <w:rFonts w:ascii="Traditional Arabic" w:hAnsi="Traditional Arabic"/>
          <w:color w:val="auto"/>
          <w:rtl/>
          <w:lang w:eastAsia="en-US"/>
        </w:rPr>
        <w:t xml:space="preserve"> الطبعة: الأولى، 1420هـ-2000م, عدد الأجزاء: 24</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الجامع لأحكام القرآن والمبين لما تضمنه من السنة وآي الفرقان, المؤلف: أبو عبد الله محمد بن أحمد بن أبي بكر بن فرح الأنصاري الخزرجي, شمس الدين القرطبي (المتوفى: 671 هـ) المحقق: د. عبدالله بن عبدالمحسن التركي وآخرون, الناشر: مؤسسة الرسالة ناشرون</w:t>
      </w:r>
      <w:r w:rsidRPr="00FD53B9">
        <w:rPr>
          <w:rFonts w:ascii="Traditional Arabic" w:hAnsi="Traditional Arabic" w:hint="cs"/>
          <w:color w:val="auto"/>
          <w:rtl/>
          <w:lang w:eastAsia="en-US"/>
        </w:rPr>
        <w:t xml:space="preserve">, </w:t>
      </w:r>
      <w:r w:rsidRPr="00FD53B9">
        <w:rPr>
          <w:rFonts w:ascii="Traditional Arabic" w:hAnsi="Traditional Arabic"/>
          <w:color w:val="auto"/>
          <w:rtl/>
          <w:lang w:eastAsia="en-US"/>
        </w:rPr>
        <w:t>دمشق</w:t>
      </w:r>
      <w:r w:rsidRPr="00FD53B9">
        <w:rPr>
          <w:rFonts w:ascii="Traditional Arabic" w:hAnsi="Traditional Arabic" w:hint="cs"/>
          <w:color w:val="auto"/>
          <w:rtl/>
          <w:lang w:eastAsia="en-US"/>
        </w:rPr>
        <w:t xml:space="preserve"> -</w:t>
      </w:r>
      <w:r w:rsidRPr="00FD53B9">
        <w:rPr>
          <w:rFonts w:ascii="Traditional Arabic" w:hAnsi="Traditional Arabic"/>
          <w:color w:val="auto"/>
          <w:rtl/>
          <w:lang w:eastAsia="en-US"/>
        </w:rPr>
        <w:t xml:space="preserve"> سوريا, الطبعة: الأولى, 1434ه-2013م, عدد الأجزاء: 24</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الجرح والتعديل, المؤلف: الإمام أبو محمد عبد الرحمن بن محمد بن إدريس بن المنذر التميمي، الحنظلي، الرازي ابن أبي حاتم (المتوفى: 327هـ), الناشر: طبعة مجلس دائرة المعارف العثمانية - بحيدر آباد الدكن – الهند, دار إحياء التراث العربي</w:t>
      </w:r>
      <w:r w:rsidRPr="00FD53B9">
        <w:rPr>
          <w:rFonts w:ascii="Traditional Arabic" w:hAnsi="Traditional Arabic" w:hint="cs"/>
          <w:color w:val="auto"/>
          <w:rtl/>
          <w:lang w:eastAsia="en-US"/>
        </w:rPr>
        <w:t xml:space="preserve">, </w:t>
      </w:r>
      <w:r w:rsidRPr="00FD53B9">
        <w:rPr>
          <w:rFonts w:ascii="Traditional Arabic" w:hAnsi="Traditional Arabic"/>
          <w:color w:val="auto"/>
          <w:rtl/>
          <w:lang w:eastAsia="en-US"/>
        </w:rPr>
        <w:t>بيروت</w:t>
      </w:r>
      <w:r w:rsidRPr="00FD53B9">
        <w:rPr>
          <w:rFonts w:ascii="Traditional Arabic" w:hAnsi="Traditional Arabic" w:hint="cs"/>
          <w:color w:val="auto"/>
          <w:rtl/>
          <w:lang w:eastAsia="en-US"/>
        </w:rPr>
        <w:t xml:space="preserve"> -</w:t>
      </w:r>
      <w:r w:rsidRPr="00FD53B9">
        <w:rPr>
          <w:rFonts w:ascii="Traditional Arabic" w:hAnsi="Traditional Arabic"/>
          <w:color w:val="auto"/>
          <w:rtl/>
          <w:lang w:eastAsia="en-US"/>
        </w:rPr>
        <w:t xml:space="preserve"> لبنا</w:t>
      </w:r>
      <w:r w:rsidRPr="00FD53B9">
        <w:rPr>
          <w:rFonts w:ascii="Traditional Arabic" w:hAnsi="Traditional Arabic" w:hint="cs"/>
          <w:color w:val="auto"/>
          <w:rtl/>
          <w:lang w:eastAsia="en-US"/>
        </w:rPr>
        <w:t>ن</w:t>
      </w:r>
      <w:r w:rsidRPr="00FD53B9">
        <w:rPr>
          <w:rFonts w:ascii="Traditional Arabic" w:hAnsi="Traditional Arabic"/>
          <w:color w:val="auto"/>
          <w:rtl/>
          <w:lang w:eastAsia="en-US"/>
        </w:rPr>
        <w:t>, الطبعة: الأولى، عام النشر: 1271هـ-1952م, عدد الأجزاء: 9</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جمل من أنساب الأشراف, المؤلف: أحمد بن يحيى بن جابر بن داود البَلَاذُري (المتوفى: 279هـ), تحقيق: سهيل زكار ورياض الزركلي, الناشر: دار الفكر, بيروت - بيروت, الطبعة: الأولى، 1417هـ-1996م, عدد الأجزاء: 13</w:t>
      </w:r>
    </w:p>
    <w:p w:rsidR="00FD53B9" w:rsidRPr="00FD53B9" w:rsidRDefault="00FD53B9" w:rsidP="00FD53B9">
      <w:pPr>
        <w:numPr>
          <w:ilvl w:val="0"/>
          <w:numId w:val="43"/>
        </w:numPr>
        <w:contextualSpacing/>
        <w:rPr>
          <w:rFonts w:ascii="Traditional Arabic" w:hAnsi="Traditional Arabic"/>
          <w:color w:val="auto"/>
          <w:rtl/>
          <w:lang w:eastAsia="en-US"/>
        </w:rPr>
      </w:pPr>
      <w:r w:rsidRPr="00FD53B9">
        <w:rPr>
          <w:rFonts w:ascii="Traditional Arabic" w:hAnsi="Traditional Arabic"/>
          <w:color w:val="auto"/>
          <w:rtl/>
          <w:lang w:eastAsia="en-US"/>
        </w:rPr>
        <w:t>جمهرة اللغة, المؤلف: أبو بكر محمد بن الحسن بن دريد الأزدي (المتوفى: 321هـ), المحقق: رمزي منير بعلبكي, الناشر: دار العلم للملايين, بيروت - لبنان, الطبعة: الأولى، عام النشر:  1987م, عدد الأجزاء: 3</w:t>
      </w:r>
    </w:p>
    <w:p w:rsidR="00FD53B9" w:rsidRPr="00FD53B9" w:rsidRDefault="00FD53B9" w:rsidP="00FD53B9">
      <w:pPr>
        <w:widowControl/>
        <w:numPr>
          <w:ilvl w:val="0"/>
          <w:numId w:val="43"/>
        </w:numPr>
        <w:autoSpaceDE w:val="0"/>
        <w:autoSpaceDN w:val="0"/>
        <w:adjustRightInd w:val="0"/>
        <w:contextualSpacing/>
        <w:rPr>
          <w:rFonts w:ascii="Traditional Arabic" w:hAnsi="Traditional Arabic"/>
          <w:color w:val="auto"/>
          <w:lang w:eastAsia="en-US"/>
        </w:rPr>
      </w:pPr>
      <w:r w:rsidRPr="00FD53B9">
        <w:rPr>
          <w:rFonts w:ascii="Traditional Arabic" w:hAnsi="Traditional Arabic"/>
          <w:color w:val="auto"/>
          <w:rtl/>
          <w:lang w:eastAsia="en-US"/>
        </w:rPr>
        <w:lastRenderedPageBreak/>
        <w:t>الجواهر الحسان في تفسير القرآن, المؤلف: أبو زيد عبد الرحمن بن محمد بن مخلوف الثعالبي (المتوفى: 875هـ), المحقق: الشيخ محمد علي معوض والشيخ عادل أحمد عبد الموجود, الناشر: دار إحياء التراث العربي, بيروت</w:t>
      </w:r>
      <w:r w:rsidRPr="00FD53B9">
        <w:rPr>
          <w:rFonts w:ascii="Traditional Arabic" w:hAnsi="Traditional Arabic" w:hint="cs"/>
          <w:color w:val="auto"/>
          <w:rtl/>
          <w:lang w:eastAsia="en-US"/>
        </w:rPr>
        <w:t xml:space="preserve"> -</w:t>
      </w:r>
      <w:r w:rsidRPr="00FD53B9">
        <w:rPr>
          <w:rFonts w:ascii="Traditional Arabic" w:hAnsi="Traditional Arabic"/>
          <w:color w:val="auto"/>
          <w:rtl/>
          <w:lang w:eastAsia="en-US"/>
        </w:rPr>
        <w:t xml:space="preserve"> لبنان, الطبعة: الأولى, عام النشر: 1418هـ, عدد الأجزاء: 5</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الحاوي الكبير في فقه مذهب الإمام الشافعي وهو شرح مختصر المزني, المؤلف: أبو الحسن علي بن محمد بن محمد بن حبيب البصري البغدادي، الشهير بالماوردي (المتوفى: 450هـ), المحقق: الشيخ علي محمد معوض - الشيخ عادل أحمد عبد الموجود, الناشر: دار الكتب العلمية، بيروت – لبنان, الطبعة: الأولى، عام النشر: 1419هـ-1999م, عدد الأجزاء: 19</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حجة القراءات, المؤلف: الإمام عبد الرحمن بن محمد، أبو زرعة ابن زنجلة (المتوفى: حوالي 403هـ) محقق الكتاب ومعلق حواشيه: سعيد الأفغاني, الناشر:</w:t>
      </w:r>
      <w:r w:rsidRPr="00FD53B9">
        <w:rPr>
          <w:rFonts w:ascii="Traditional Arabic" w:hAnsi="Traditional Arabic" w:hint="cs"/>
          <w:color w:val="auto"/>
          <w:rtl/>
          <w:lang w:eastAsia="en-US"/>
        </w:rPr>
        <w:t xml:space="preserve"> مؤسسة</w:t>
      </w:r>
      <w:r w:rsidRPr="00FD53B9">
        <w:rPr>
          <w:rFonts w:ascii="Traditional Arabic" w:hAnsi="Traditional Arabic"/>
          <w:color w:val="auto"/>
          <w:rtl/>
          <w:lang w:eastAsia="en-US"/>
        </w:rPr>
        <w:t xml:space="preserve"> الرسالة</w:t>
      </w:r>
      <w:r w:rsidRPr="00FD53B9">
        <w:rPr>
          <w:rFonts w:ascii="Traditional Arabic" w:hAnsi="Traditional Arabic" w:hint="cs"/>
          <w:color w:val="auto"/>
          <w:rtl/>
          <w:lang w:eastAsia="en-US"/>
        </w:rPr>
        <w:t>,</w:t>
      </w:r>
      <w:r w:rsidRPr="00FD53B9">
        <w:rPr>
          <w:rFonts w:ascii="Traditional Arabic" w:hAnsi="Traditional Arabic"/>
          <w:color w:val="auto"/>
          <w:rtl/>
          <w:lang w:eastAsia="en-US"/>
        </w:rPr>
        <w:t xml:space="preserve"> بيروت- لبنان, الطبعة: الثانية, عام النشر: 1402 – 1982م, عدد الأجزاء: 1</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 xml:space="preserve">الحجة للقراء السبعة, المؤلف: الحسن بن أحمد بن عبد الغفار الفارسيّ الأصل، أبو علي (المتوفى: 377هـ), المحقق: بدر الدين قهوجي - بشير جويجابي, راجعه ودققه: عبد العزيز رباح - أحمد يوسف الدقاق, الناشر: دار المأمون للتراث </w:t>
      </w:r>
      <w:r w:rsidRPr="00FD53B9">
        <w:rPr>
          <w:rFonts w:ascii="Traditional Arabic" w:hAnsi="Traditional Arabic" w:hint="cs"/>
          <w:color w:val="auto"/>
          <w:rtl/>
          <w:lang w:eastAsia="en-US"/>
        </w:rPr>
        <w:t xml:space="preserve">, </w:t>
      </w:r>
      <w:r w:rsidRPr="00FD53B9">
        <w:rPr>
          <w:rFonts w:ascii="Traditional Arabic" w:hAnsi="Traditional Arabic"/>
          <w:color w:val="auto"/>
          <w:rtl/>
          <w:lang w:eastAsia="en-US"/>
        </w:rPr>
        <w:t>دمشق, بيروت, الطبعة: الثانية، 1413 هـ - 1993م, عدد الأجزاء: 7</w:t>
      </w:r>
    </w:p>
    <w:p w:rsidR="00FD53B9" w:rsidRPr="00FD53B9" w:rsidRDefault="00FD53B9" w:rsidP="00FD53B9">
      <w:pPr>
        <w:widowControl/>
        <w:numPr>
          <w:ilvl w:val="0"/>
          <w:numId w:val="43"/>
        </w:numPr>
        <w:autoSpaceDE w:val="0"/>
        <w:autoSpaceDN w:val="0"/>
        <w:adjustRightInd w:val="0"/>
        <w:contextualSpacing/>
        <w:rPr>
          <w:rFonts w:ascii="Traditional Arabic" w:hAnsi="Traditional Arabic"/>
          <w:color w:val="auto"/>
          <w:lang w:eastAsia="en-US"/>
        </w:rPr>
      </w:pPr>
      <w:r w:rsidRPr="00FD53B9">
        <w:rPr>
          <w:rFonts w:ascii="Traditional Arabic" w:hAnsi="Traditional Arabic"/>
          <w:color w:val="auto"/>
          <w:rtl/>
          <w:lang w:eastAsia="en-US"/>
        </w:rPr>
        <w:t>حقائق التفسير, المؤلف: محمد بن الحسين بن محمد بن موسى بن خالد بن سالم النيسابوري، أبو عبد الرحمن السلمي (المتوفى: 412هـ), التحقيق: سيد عمران, الناشر: دار الكتب العلمية</w:t>
      </w:r>
      <w:r w:rsidRPr="00FD53B9">
        <w:rPr>
          <w:rFonts w:ascii="Traditional Arabic" w:hAnsi="Traditional Arabic" w:hint="cs"/>
          <w:color w:val="auto"/>
          <w:rtl/>
          <w:lang w:eastAsia="en-US"/>
        </w:rPr>
        <w:t xml:space="preserve">, </w:t>
      </w:r>
      <w:r w:rsidRPr="00FD53B9">
        <w:rPr>
          <w:rFonts w:ascii="Traditional Arabic" w:hAnsi="Traditional Arabic"/>
          <w:color w:val="auto"/>
          <w:rtl/>
          <w:lang w:eastAsia="en-US"/>
        </w:rPr>
        <w:t>بيروت</w:t>
      </w:r>
      <w:r w:rsidRPr="00FD53B9">
        <w:rPr>
          <w:rFonts w:ascii="Traditional Arabic" w:hAnsi="Traditional Arabic" w:hint="cs"/>
          <w:color w:val="auto"/>
          <w:rtl/>
          <w:lang w:eastAsia="en-US"/>
        </w:rPr>
        <w:t xml:space="preserve"> -</w:t>
      </w:r>
      <w:r w:rsidRPr="00FD53B9">
        <w:rPr>
          <w:rFonts w:ascii="Traditional Arabic" w:hAnsi="Traditional Arabic"/>
          <w:color w:val="auto"/>
          <w:rtl/>
          <w:lang w:eastAsia="en-US"/>
        </w:rPr>
        <w:t xml:space="preserve"> لبنان, عام النشر: 1421هـ-2001م, عدد الأجزاء 2</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حلية الأولياء وطبقات الأصفياء, المؤلف: أبو نعيم أحمد بن عبد الله بن أحمد بن إسحاق بن موسى بن مهران الأصبهاني (المتوفى: 430هـ), الناشر: السعادة - مصر، عام النشر: 1394هـ-1974م, عدد الأجزاء: 10</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 xml:space="preserve">خزانة الأدب ولب لباب لسان العرب, المؤلف: عبد القادر بن عمر البغدادي (المتوفى: 1093هـ), تحقيق وشرح: عبد السلام محمد هارون, الناشر: مكتبة الخانجي، القاهرة - مصر, الطبعة: الرابعة، عام النشر: 1418ه-1997م, عدد الأجزاء: 13 </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lastRenderedPageBreak/>
        <w:t xml:space="preserve">خطط الشام, المؤلف: محمد بن عبد الرزاق بن محمَّد، كُرْد عَلي (المتوفى: 1372هـ), الناشر: مكتبة النوري، دمشق – سوريا, الطبعة: الثالثة، عام النشر: 1403هـ-1983م, عدد الأجزاء: 6 </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الدر المصون في علوم الكتاب المكنون, المؤلف: أبو العباس، شهاب الدين، أحمد بن يوسف بن عبد الدائم المعروف بالسمين الحلبي (المتوفى: 756هـ), المحقق: الدكتور أحمد محمد الخراط, الناشر: دار القلم، دمشق - سوريا, عدد الأجزاء: 11</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الدر المنثور في التفسير بالمأثور, المؤلف: عبد الرحمن بن أبي بكر، جلال الدين السيوطي (المتوفى: 911هـ), الناشر: دار الفكر</w:t>
      </w:r>
      <w:r w:rsidRPr="00FD53B9">
        <w:rPr>
          <w:rFonts w:ascii="Traditional Arabic" w:hAnsi="Traditional Arabic" w:hint="cs"/>
          <w:color w:val="auto"/>
          <w:rtl/>
          <w:lang w:eastAsia="en-US"/>
        </w:rPr>
        <w:t xml:space="preserve">, </w:t>
      </w:r>
      <w:r w:rsidRPr="00FD53B9">
        <w:rPr>
          <w:rFonts w:ascii="Traditional Arabic" w:hAnsi="Traditional Arabic"/>
          <w:color w:val="auto"/>
          <w:rtl/>
          <w:lang w:eastAsia="en-US"/>
        </w:rPr>
        <w:t>بيروت</w:t>
      </w:r>
      <w:r w:rsidRPr="00FD53B9">
        <w:rPr>
          <w:rFonts w:ascii="Traditional Arabic" w:hAnsi="Traditional Arabic" w:hint="cs"/>
          <w:color w:val="auto"/>
          <w:rtl/>
          <w:lang w:eastAsia="en-US"/>
        </w:rPr>
        <w:t xml:space="preserve"> </w:t>
      </w:r>
      <w:r w:rsidRPr="00FD53B9">
        <w:rPr>
          <w:rFonts w:ascii="Traditional Arabic" w:hAnsi="Traditional Arabic"/>
          <w:color w:val="auto"/>
          <w:rtl/>
          <w:lang w:eastAsia="en-US"/>
        </w:rPr>
        <w:t>– لبنان</w:t>
      </w:r>
      <w:r w:rsidRPr="00FD53B9">
        <w:rPr>
          <w:rFonts w:ascii="Traditional Arabic" w:hAnsi="Traditional Arabic" w:hint="cs"/>
          <w:color w:val="auto"/>
          <w:rtl/>
          <w:lang w:eastAsia="en-US"/>
        </w:rPr>
        <w:t>,</w:t>
      </w:r>
      <w:r w:rsidRPr="00FD53B9">
        <w:rPr>
          <w:rFonts w:ascii="Traditional Arabic" w:hAnsi="Traditional Arabic"/>
          <w:color w:val="auto"/>
          <w:rtl/>
          <w:lang w:eastAsia="en-US"/>
        </w:rPr>
        <w:t xml:space="preserve"> عدد الأجزاء: 8</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درة التنزيل وغرة التأويل, المؤلف: أبو عبد الله محمد بن عبد الله الأصبهاني المعروف بالخطيب الإسكافي (المتوفى: 420هـ), دراسة وتحقيق وتعليق: د. محمد مصطفى آيدين, الناشر: جامعة أم القرى، وزارة التعليم العالي, سلسلة الرسائل العلمية الموصى بها (30), معهد البحوث العلمية</w:t>
      </w:r>
      <w:r w:rsidRPr="00FD53B9">
        <w:rPr>
          <w:rFonts w:ascii="Traditional Arabic" w:hAnsi="Traditional Arabic" w:hint="cs"/>
          <w:color w:val="auto"/>
          <w:rtl/>
          <w:lang w:eastAsia="en-US"/>
        </w:rPr>
        <w:t>,</w:t>
      </w:r>
      <w:r w:rsidRPr="00FD53B9">
        <w:rPr>
          <w:rFonts w:ascii="Traditional Arabic" w:hAnsi="Traditional Arabic"/>
          <w:color w:val="auto"/>
          <w:rtl/>
          <w:lang w:eastAsia="en-US"/>
        </w:rPr>
        <w:t xml:space="preserve"> مكة المكرمة - السعودية, الطبعة: الأولى، عام النشر: 1422هـ-2001م, عدد الأجزاء: 3</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دَرْجُ الدُّرر في تَفِسيِر الآيِ والسُّوَر, المؤلف: أبو بكر عبد القاهر بن عبد الرحمن بن محمد الفارسي الأصل، الجرجاني الدار (المتوفى: 471هـ), دراسة وتحقيق: (الفاتحة والبقرة) وَليد بِن أحمد بن صَالِح الحُسَيْن، (وشاركه في بقية الأجزاء): إياد عبد اللطيف القيسي, الناشر: مجلة الحكمة، بريطانيا, الطبعة: الأولى، عام النشر: 1429هـ-2008م, عدد الأجزاء: 4 (في ترتيب مسلسل واحد).</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دلائل النبوة ومعرفة أحوال صاحب الشريعة, المؤلف: أبو بكر أحمد بن الحسين بن علي بن موسى الخُسْرَوْجِردي الخراساني، البيهقي (المتوفى: 458هـ) الناشر: دار الكتب العلمية, بيروت – لبنان, الطبعة: الأولى, عام النشر: 1405ه, عدد الأجزاء: 7</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rPr>
        <w:t xml:space="preserve">ديوان ابن مقبل, </w:t>
      </w:r>
      <w:r w:rsidRPr="00FD53B9">
        <w:rPr>
          <w:rFonts w:ascii="Traditional Arabic" w:hAnsi="Traditional Arabic"/>
          <w:color w:val="auto"/>
          <w:rtl/>
          <w:lang w:eastAsia="en-US"/>
        </w:rPr>
        <w:t xml:space="preserve">المؤلف: أبو الحرة تميم بن أبي بن مقبل بن عوف العجلاني, من شعراء قيس (المتوفى: 37ه), </w:t>
      </w:r>
      <w:r w:rsidRPr="00FD53B9">
        <w:rPr>
          <w:rFonts w:ascii="Traditional Arabic" w:hAnsi="Traditional Arabic"/>
          <w:color w:val="auto"/>
          <w:rtl/>
        </w:rPr>
        <w:t>عني بتحقيقه: د. عزة حسن, دار النشر: دار الشرق العربي, بيروت – لبنان, عام النشر: 1416ه-1995م, عدد الأجزاء: 1</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 xml:space="preserve">ديوان الأعشى, تأليف: </w:t>
      </w:r>
      <w:r w:rsidRPr="00FD53B9">
        <w:rPr>
          <w:rFonts w:ascii="Traditional Arabic" w:hAnsi="Traditional Arabic"/>
          <w:color w:val="auto"/>
          <w:rtl/>
        </w:rPr>
        <w:t xml:space="preserve">ميمون بن قيس بن جندل, من بني قيس بن ثعلبة الوائلي، </w:t>
      </w:r>
      <w:r w:rsidRPr="00FD53B9">
        <w:rPr>
          <w:rFonts w:ascii="Traditional Arabic" w:hAnsi="Traditional Arabic"/>
          <w:color w:val="auto"/>
          <w:rtl/>
        </w:rPr>
        <w:lastRenderedPageBreak/>
        <w:t xml:space="preserve">المعروف بأعشى قيس (المتوفى: 7ه), </w:t>
      </w:r>
      <w:r w:rsidRPr="00FD53B9">
        <w:rPr>
          <w:rFonts w:ascii="Traditional Arabic" w:hAnsi="Traditional Arabic"/>
          <w:color w:val="auto"/>
          <w:rtl/>
          <w:lang w:eastAsia="en-US"/>
        </w:rPr>
        <w:t xml:space="preserve"> بشرح الدكتور محمد حسين, طبعة: القاهرة – مصر, عام النشر: 1950م, عدد الأجزاء: 1</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ديوان الحطيئة برواية وشرح ابن السكيت, دراسة وتبويب د. مفيد محمد قميحة, دار النشر: دار الكتب العلمية, بيروت – لبنان, الطبعة: الأولى, عام النشر: 1413ه-1993م, عدد الأجزاء: 1</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ديوان العجاج, رواية عبدالملك بن قريب الأصمعي وشرحه, عني بتحقيقه: دز عزة حسن, دار النشر: دار الشرق العربي, بيروت – لبنان, عام النشر: 1416ه-1995م, عدد الأجزاء: 1</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ديوان الفرزدق, لأبي فراس</w:t>
      </w:r>
      <w:r w:rsidRPr="00FD53B9">
        <w:rPr>
          <w:rFonts w:ascii="Traditional Arabic" w:hAnsi="Traditional Arabic"/>
          <w:color w:val="auto"/>
          <w:rtl/>
        </w:rPr>
        <w:t xml:space="preserve"> </w:t>
      </w:r>
      <w:r w:rsidRPr="00FD53B9">
        <w:rPr>
          <w:rFonts w:ascii="Traditional Arabic" w:hAnsi="Traditional Arabic"/>
          <w:color w:val="auto"/>
          <w:rtl/>
          <w:lang w:eastAsia="en-US"/>
        </w:rPr>
        <w:t>همَّام بن غالب بن صعصعة التميمي الدارميّ ، الشهير بالفرزدق</w:t>
      </w:r>
      <w:r w:rsidRPr="00FD53B9">
        <w:rPr>
          <w:rFonts w:ascii="Traditional Arabic" w:hAnsi="Traditional Arabic"/>
          <w:color w:val="auto"/>
          <w:rtl/>
        </w:rPr>
        <w:t xml:space="preserve"> (المتوفي: 110ه), شرح علي فاعور , الناشر: دار الكتب العلمية, بيروت-لبنان, الطبعة: الأولى, عام النشر: 1407ه-1987م,</w:t>
      </w:r>
      <w:r w:rsidRPr="00FD53B9">
        <w:rPr>
          <w:rFonts w:ascii="Traditional Arabic" w:hAnsi="Traditional Arabic"/>
          <w:color w:val="auto"/>
          <w:rtl/>
          <w:lang w:eastAsia="en-US"/>
        </w:rPr>
        <w:t xml:space="preserve"> عدد الأجزاء: 1</w:t>
      </w:r>
    </w:p>
    <w:p w:rsidR="00FD53B9" w:rsidRPr="00FD53B9" w:rsidRDefault="00FD53B9" w:rsidP="00FD53B9">
      <w:pPr>
        <w:numPr>
          <w:ilvl w:val="0"/>
          <w:numId w:val="43"/>
        </w:numPr>
        <w:contextualSpacing/>
        <w:rPr>
          <w:rFonts w:ascii="Traditional Arabic" w:hAnsi="Traditional Arabic"/>
          <w:color w:val="auto"/>
        </w:rPr>
      </w:pPr>
      <w:r w:rsidRPr="00FD53B9">
        <w:rPr>
          <w:rFonts w:ascii="Traditional Arabic" w:hAnsi="Traditional Arabic"/>
          <w:color w:val="auto"/>
          <w:rtl/>
        </w:rPr>
        <w:t xml:space="preserve">ديوان النابغة الجعدي, جمع: د. واضح الصمد, دار النشر: دار صادر, </w:t>
      </w:r>
      <w:r w:rsidRPr="00FD53B9">
        <w:rPr>
          <w:rFonts w:ascii="Traditional Arabic" w:hAnsi="Traditional Arabic"/>
          <w:color w:val="auto"/>
          <w:rtl/>
          <w:lang w:eastAsia="en-US"/>
        </w:rPr>
        <w:t>بيروت – لبنان,</w:t>
      </w:r>
      <w:r w:rsidRPr="00FD53B9">
        <w:rPr>
          <w:rFonts w:ascii="Traditional Arabic" w:hAnsi="Traditional Arabic"/>
          <w:color w:val="auto"/>
          <w:rtl/>
        </w:rPr>
        <w:t xml:space="preserve"> الطبعة: الأولى, عام النشر: 1998م, عدد الأجزاء: 1</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ديوان النابغة الذبياني, تحقيق: محمد أبو الفضل ابراهيم, دار النشر: دار المعارف, القاهرة - مصر, الطبعة: الثانية, سنة النشر: 1424ه-ـ2003م, عدد الأجزاء: 1</w:t>
      </w:r>
    </w:p>
    <w:p w:rsidR="00FD53B9" w:rsidRPr="00FD53B9" w:rsidRDefault="00FD53B9" w:rsidP="00FD53B9">
      <w:pPr>
        <w:numPr>
          <w:ilvl w:val="0"/>
          <w:numId w:val="43"/>
        </w:numPr>
        <w:contextualSpacing/>
        <w:rPr>
          <w:rFonts w:ascii="Traditional Arabic" w:hAnsi="Traditional Arabic"/>
          <w:color w:val="auto"/>
          <w:rtl/>
          <w:lang w:eastAsia="en-US"/>
        </w:rPr>
      </w:pPr>
      <w:r w:rsidRPr="00FD53B9">
        <w:rPr>
          <w:rFonts w:ascii="Traditional Arabic" w:hAnsi="Traditional Arabic"/>
          <w:color w:val="auto"/>
          <w:rtl/>
          <w:lang w:eastAsia="en-US"/>
        </w:rPr>
        <w:t>ديوان الهذليين, دار النشر: دار الكتب المصرية, القاهرة - مصر, الطبعة: الثانية, عام النشر: 1995م, عدد الأجزاء: 6</w:t>
      </w:r>
    </w:p>
    <w:p w:rsidR="00FD53B9" w:rsidRPr="00FD53B9" w:rsidRDefault="00FD53B9" w:rsidP="00FD53B9">
      <w:pPr>
        <w:numPr>
          <w:ilvl w:val="0"/>
          <w:numId w:val="43"/>
        </w:numPr>
        <w:contextualSpacing/>
        <w:rPr>
          <w:rFonts w:ascii="Traditional Arabic" w:hAnsi="Traditional Arabic"/>
          <w:color w:val="auto"/>
        </w:rPr>
      </w:pPr>
      <w:r w:rsidRPr="00FD53B9">
        <w:rPr>
          <w:rFonts w:ascii="Traditional Arabic" w:hAnsi="Traditional Arabic"/>
          <w:color w:val="auto"/>
          <w:rtl/>
          <w:lang w:eastAsia="en-US"/>
        </w:rPr>
        <w:t>ديوان حسان بن ثابت, لأبي</w:t>
      </w:r>
      <w:r w:rsidRPr="00FD53B9">
        <w:rPr>
          <w:rFonts w:ascii="Traditional Arabic" w:hAnsi="Traditional Arabic"/>
          <w:color w:val="auto"/>
          <w:rtl/>
        </w:rPr>
        <w:t xml:space="preserve"> الوليد حسان بْن ثابت بن المنذر بن حرام الأنصاري شاعر رسول اللَّه </w:t>
      </w:r>
      <w:r w:rsidRPr="00FD53B9">
        <w:rPr>
          <w:rFonts w:ascii="Traditional Arabic" w:hAnsi="Traditional Arabic"/>
          <w:color w:val="auto"/>
        </w:rPr>
        <w:sym w:font="AGA Arabesque" w:char="F072"/>
      </w:r>
      <w:r w:rsidRPr="00FD53B9">
        <w:rPr>
          <w:rFonts w:ascii="Traditional Arabic" w:hAnsi="Traditional Arabic"/>
          <w:color w:val="auto"/>
          <w:rtl/>
        </w:rPr>
        <w:t>, (المتوفى: 54ه), شرحه وكتب هوامشه: عبدأ علي مهنا, دار النشر: دار الكتب العلمية, بيروت – لبنان, الطبعة: الثانية، عام النشر: 1414ه- 1994م, عدد الأجزاء: 1</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ديوان حميد بن ثور الهلالي,</w:t>
      </w:r>
      <w:r w:rsidRPr="00FD53B9">
        <w:rPr>
          <w:rFonts w:ascii="Traditional Arabic" w:hAnsi="Traditional Arabic"/>
          <w:b/>
          <w:bCs/>
          <w:color w:val="auto"/>
          <w:rtl/>
          <w:lang w:eastAsia="en-US"/>
        </w:rPr>
        <w:t xml:space="preserve"> </w:t>
      </w:r>
      <w:r w:rsidRPr="00FD53B9">
        <w:rPr>
          <w:rFonts w:ascii="Traditional Arabic" w:hAnsi="Traditional Arabic"/>
          <w:color w:val="auto"/>
          <w:rtl/>
          <w:lang w:eastAsia="en-US"/>
        </w:rPr>
        <w:t>المؤلف: أبو المثنى حميد بن ثور بن حزن الهلاليّ العامريّ (المتوفى: 30ه), تحقيق: عبد العزيز الميمني, دار النشر: الدار القومية للطباعة والنشر, القاهرة – مصر, عام النشر: 1384ه-1965م, عدد الأجزاء: 1</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 xml:space="preserve">ديوان ذي الرمة, المؤلف: </w:t>
      </w:r>
      <w:r w:rsidRPr="00FD53B9">
        <w:rPr>
          <w:rFonts w:ascii="Traditional Arabic" w:hAnsi="Traditional Arabic"/>
          <w:color w:val="auto"/>
          <w:rtl/>
        </w:rPr>
        <w:t xml:space="preserve">أبو الحارث غيلان بن عقبة بن بهيش بن مسعود العدوي, </w:t>
      </w:r>
      <w:r w:rsidRPr="00FD53B9">
        <w:rPr>
          <w:rFonts w:ascii="Traditional Arabic" w:hAnsi="Traditional Arabic"/>
          <w:color w:val="auto"/>
          <w:rtl/>
        </w:rPr>
        <w:lastRenderedPageBreak/>
        <w:t xml:space="preserve">المعروف بذي الرمة </w:t>
      </w:r>
      <w:r w:rsidRPr="00FD53B9">
        <w:rPr>
          <w:rFonts w:ascii="Traditional Arabic" w:hAnsi="Traditional Arabic"/>
          <w:color w:val="auto"/>
          <w:rtl/>
          <w:lang w:eastAsia="en-US"/>
        </w:rPr>
        <w:t>(المتوفى: 117هـ), اعتنى به وشرح غريبه: عبدالرحمن المصطاوي, دار النشر: دار المعرفة, بيروت – لبنان, الطبعة الاولى, عدد الأجزاء: 1</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rPr>
        <w:t>ديوان زهير, المؤلف: أبو كعب زهير بن أبي سلمى بن رياح بن قرة المزني (المتوفى:13ق ه),</w:t>
      </w:r>
      <w:r w:rsidRPr="00FD53B9">
        <w:rPr>
          <w:rFonts w:ascii="Traditional Arabic" w:hAnsi="Traditional Arabic"/>
          <w:color w:val="auto"/>
          <w:rtl/>
          <w:lang w:eastAsia="en-US"/>
        </w:rPr>
        <w:t xml:space="preserve"> شرحه وقدم له: علي حسن فاعور, الناشر: دار الكتب العلمية, بيروت - لبنان, الطبعة: الأولى، عام النشر: 1408هـ-1988م, عدد الأجزاء: 1</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rPr>
        <w:t>ديوان شعر المتلمس,</w:t>
      </w:r>
      <w:r w:rsidRPr="00FD53B9">
        <w:rPr>
          <w:rFonts w:ascii="Traditional Arabic" w:hAnsi="Traditional Arabic"/>
          <w:color w:val="auto"/>
          <w:rtl/>
          <w:lang w:eastAsia="en-US"/>
        </w:rPr>
        <w:t xml:space="preserve"> جرير بن عبد العزِّي, المعروف بالمتلمس</w:t>
      </w:r>
      <w:r w:rsidRPr="00FD53B9">
        <w:rPr>
          <w:rFonts w:ascii="Traditional Arabic" w:hAnsi="Traditional Arabic"/>
          <w:color w:val="auto"/>
          <w:rtl/>
        </w:rPr>
        <w:t>(المتوفى: 50ق ه) برواية: الأثرم وأبي عبيدة عن الأصمعي, عني بتحقيقه وشرحه والتعليق عليه: حسن كامل الصيرفي, معهد المخطوطات العربية</w:t>
      </w:r>
      <w:r w:rsidRPr="00FD53B9">
        <w:rPr>
          <w:rFonts w:ascii="Traditional Arabic" w:hAnsi="Traditional Arabic" w:hint="cs"/>
          <w:color w:val="auto"/>
          <w:rtl/>
        </w:rPr>
        <w:t xml:space="preserve"> - مصر</w:t>
      </w:r>
      <w:r w:rsidRPr="00FD53B9">
        <w:rPr>
          <w:rFonts w:ascii="Traditional Arabic" w:hAnsi="Traditional Arabic"/>
          <w:color w:val="auto"/>
          <w:rtl/>
        </w:rPr>
        <w:t xml:space="preserve">, </w:t>
      </w:r>
      <w:r w:rsidRPr="00FD53B9">
        <w:rPr>
          <w:rFonts w:ascii="Traditional Arabic" w:hAnsi="Traditional Arabic"/>
          <w:color w:val="auto"/>
          <w:rtl/>
          <w:lang w:eastAsia="en-US"/>
        </w:rPr>
        <w:t>عام النشر: 1390ه-1970م, عدد الأجزاء: 1</w:t>
      </w:r>
    </w:p>
    <w:p w:rsidR="00FD53B9" w:rsidRPr="00FD53B9" w:rsidRDefault="00FD53B9" w:rsidP="00FD53B9">
      <w:pPr>
        <w:numPr>
          <w:ilvl w:val="0"/>
          <w:numId w:val="43"/>
        </w:numPr>
        <w:contextualSpacing/>
        <w:rPr>
          <w:rFonts w:ascii="Traditional Arabic" w:hAnsi="Traditional Arabic"/>
          <w:color w:val="auto"/>
          <w:rtl/>
          <w:lang w:eastAsia="en-US"/>
        </w:rPr>
      </w:pPr>
      <w:r w:rsidRPr="00FD53B9">
        <w:rPr>
          <w:rFonts w:ascii="Traditional Arabic" w:hAnsi="Traditional Arabic"/>
          <w:color w:val="auto"/>
          <w:rtl/>
          <w:lang w:eastAsia="en-US"/>
        </w:rPr>
        <w:t>ديوان طرفة,</w:t>
      </w:r>
      <w:r w:rsidRPr="00FD53B9">
        <w:rPr>
          <w:rFonts w:ascii="Traditional Arabic" w:hAnsi="Traditional Arabic"/>
          <w:color w:val="auto"/>
          <w:rtl/>
        </w:rPr>
        <w:t xml:space="preserve"> أبو عمرو طرفَة بن العَبْد بن سُفْيَان بن سعد البكري الوائلي، (المتوفى:6ق ه)</w:t>
      </w:r>
      <w:r w:rsidRPr="00FD53B9">
        <w:rPr>
          <w:rFonts w:ascii="Traditional Arabic" w:hAnsi="Traditional Arabic"/>
          <w:color w:val="auto"/>
          <w:rtl/>
          <w:lang w:eastAsia="en-US"/>
        </w:rPr>
        <w:t>, شرحه وقدم له: مهدي محمد ناصر الدين, دار النشر: دار الكتب العلمية, بيروت – لبنان, الطبعة: الثالثة, عام النشر: 1423ه-2002م, عدد الأجزاء: 1</w:t>
      </w:r>
    </w:p>
    <w:p w:rsidR="00FD53B9" w:rsidRPr="00FD53B9" w:rsidRDefault="00FD53B9" w:rsidP="00FD53B9">
      <w:pPr>
        <w:numPr>
          <w:ilvl w:val="0"/>
          <w:numId w:val="43"/>
        </w:numPr>
        <w:contextualSpacing/>
        <w:rPr>
          <w:rFonts w:ascii="Traditional Arabic" w:hAnsi="Traditional Arabic"/>
          <w:color w:val="auto"/>
          <w:rtl/>
          <w:lang w:eastAsia="en-US"/>
        </w:rPr>
      </w:pPr>
      <w:r w:rsidRPr="00FD53B9">
        <w:rPr>
          <w:rFonts w:ascii="Traditional Arabic" w:hAnsi="Traditional Arabic"/>
          <w:color w:val="auto"/>
          <w:rtl/>
          <w:lang w:eastAsia="en-US"/>
        </w:rPr>
        <w:t>ديوان عمر بن ابي ربيعة, قدم له ووضع هوامشه وفهارسه: د. فايز محمد, دار النشر: دار الكتاب العربي, بيروت – لبنان, الطبعة: الثانية, عام النشر: 1416ه-1996م, عدد الأجزاء: 1</w:t>
      </w:r>
    </w:p>
    <w:p w:rsidR="00FD53B9" w:rsidRPr="00FD53B9" w:rsidRDefault="00FD53B9" w:rsidP="00FD53B9">
      <w:pPr>
        <w:numPr>
          <w:ilvl w:val="0"/>
          <w:numId w:val="43"/>
        </w:numPr>
        <w:contextualSpacing/>
        <w:rPr>
          <w:rFonts w:ascii="Traditional Arabic" w:hAnsi="Traditional Arabic"/>
          <w:color w:val="auto"/>
          <w:rtl/>
          <w:lang w:eastAsia="en-US"/>
        </w:rPr>
      </w:pPr>
      <w:r w:rsidRPr="00FD53B9">
        <w:rPr>
          <w:rFonts w:ascii="Traditional Arabic" w:hAnsi="Traditional Arabic"/>
          <w:color w:val="auto"/>
          <w:rtl/>
          <w:lang w:eastAsia="en-US"/>
        </w:rPr>
        <w:t>ديوان عمرو بن كلثوم, تحقيق: د. أميل بديع يعقوب, دار النشر: دار الكتاب العربي, بيروت – لبنان, الطبعة: الثانية, عام النشر: 1416ه-1996م, عدد الأجزاء: 1</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ديوان لبيد بن ربيعة العامري, المؤلف: لَبِيد بن ربيعة بن مالك، أبو عقيل العامري الشاعر معدود من الصحابة (المتوفى: 41هـ), اعتنى به: حمدو طمّاس, الناشر: دار المعرفة, الطبعة: الأولى، عام النشر: 1425هـ- 2004م, عدد الأجزاء: 1</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ذم الغيبة والنميمة, المؤلف: أبو بكر عبد الله بن محمد بن عبيد بن سفيان بن قيس البغدادي الأموي القرشي المعروف بابن أبي الدنيا (المتوفى: 281هـ), حققه وخرج أحاديثه وعلق عليه: بشير محمد عيون, الناشر: مكتبة دار البيان، دمشق - سوري</w:t>
      </w:r>
      <w:r w:rsidRPr="00FD53B9">
        <w:rPr>
          <w:rFonts w:ascii="Traditional Arabic" w:hAnsi="Traditional Arabic" w:hint="cs"/>
          <w:color w:val="auto"/>
          <w:rtl/>
          <w:lang w:eastAsia="en-US"/>
        </w:rPr>
        <w:t>ا</w:t>
      </w:r>
      <w:r w:rsidRPr="00FD53B9">
        <w:rPr>
          <w:rFonts w:ascii="Traditional Arabic" w:hAnsi="Traditional Arabic"/>
          <w:color w:val="auto"/>
          <w:rtl/>
          <w:lang w:eastAsia="en-US"/>
        </w:rPr>
        <w:t>، مكتبة المؤيد، الرياض – السعودية, الطبعة: الأولى، عام النشر: 1413هـ-1992م, عدد الأجزاء: 1</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 xml:space="preserve">ذيل طبقات الحنابلة, المؤلف: زين الدين عبد الرحمن بن أحمد بن رجب بن الحسن، السَلامي، البغدادي، ثم الدمشقي، الحنبلي (المتوفى: 795هـ), المحقق: د عبد الرحمن بن </w:t>
      </w:r>
      <w:r w:rsidRPr="00FD53B9">
        <w:rPr>
          <w:rFonts w:ascii="Traditional Arabic" w:hAnsi="Traditional Arabic"/>
          <w:color w:val="auto"/>
          <w:rtl/>
          <w:lang w:eastAsia="en-US"/>
        </w:rPr>
        <w:lastRenderedPageBreak/>
        <w:t>سليمان العثيمين, الناشر: مكتبة العبيكان, الرياض - السعودية, الطبعة: الأولى، 1425 هـ-2005م, عدد الأجزاء: 5</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 xml:space="preserve">رموز الكنوز في تفسير الكتاب العزيز, المؤلف: عبد الرَّازق بن رزق الله بن أبي بكر بن خلف بن أبي الهيجاء الرسعني (المتوفى: 661هـ), دراسة وتحقيق: أ. د. عبدالملك بن عبدالله بن دهيش, مكتبة الأسدي, مكة المكرمة – السعودية, الطبعة: الأولى, عام النشر: 1429هـ، 2008م, عدد الأجزاء: 9 </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روح المعاني في تفسير القرآن العظيم والسبع المثاني, المؤلف: شهاب الدين محمود بن عبد الله الحسيني الألوسي البغدادي (المتوفى: 1270هـ), المحقق: مجموعة من المحققين, الناشر: مؤسسة الرسالة, بيروت</w:t>
      </w:r>
      <w:r w:rsidRPr="00FD53B9">
        <w:rPr>
          <w:rFonts w:ascii="Traditional Arabic" w:hAnsi="Traditional Arabic" w:hint="cs"/>
          <w:color w:val="auto"/>
          <w:rtl/>
          <w:lang w:eastAsia="en-US"/>
        </w:rPr>
        <w:t xml:space="preserve"> - لبنان</w:t>
      </w:r>
      <w:r w:rsidRPr="00FD53B9">
        <w:rPr>
          <w:rFonts w:ascii="Traditional Arabic" w:hAnsi="Traditional Arabic"/>
          <w:color w:val="auto"/>
          <w:rtl/>
          <w:lang w:eastAsia="en-US"/>
        </w:rPr>
        <w:t>, الطبعة: الأولى عام النشر: 1431ه-22010م, عدد الأجزاء: 30</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الروض الداني (المعجم الصغير), المؤلف: أبو القاسم سليمان بن أحمد بن أيوب بن مطير اللخمي الشامي، الطبراني (المتوفى: 360هـ), مع أحكام العلامة محمد ناصر الدين الألباني, حققه وعلق عليه واعتنى به: توفيق بن عبد الله بن مسعود الحاج الزنتاني, الناشر: مكتبة المعارف للنشر والتوزيع , الرياض – السعودية, الطبعة: الأولى، عام النشر: 1432ه-2011م, عدد الأجزاء: 1</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زاد المسير في علم التفسير, المؤلف: جمال الدين أبو الفرج عبد الرحمن بن علي بن محمد الجوزي (المتوفى: 597هـ), الناشر: المكتب الإسلامي</w:t>
      </w:r>
      <w:r w:rsidRPr="00FD53B9">
        <w:rPr>
          <w:rFonts w:ascii="Traditional Arabic" w:hAnsi="Traditional Arabic" w:hint="cs"/>
          <w:color w:val="auto"/>
          <w:rtl/>
          <w:lang w:eastAsia="en-US"/>
        </w:rPr>
        <w:t xml:space="preserve">, </w:t>
      </w:r>
      <w:r w:rsidRPr="00FD53B9">
        <w:rPr>
          <w:rFonts w:ascii="Traditional Arabic" w:hAnsi="Traditional Arabic"/>
          <w:color w:val="auto"/>
          <w:rtl/>
          <w:lang w:eastAsia="en-US"/>
        </w:rPr>
        <w:t>بيروت</w:t>
      </w:r>
      <w:r w:rsidRPr="00FD53B9">
        <w:rPr>
          <w:rFonts w:ascii="Traditional Arabic" w:hAnsi="Traditional Arabic" w:hint="cs"/>
          <w:color w:val="auto"/>
          <w:rtl/>
          <w:lang w:eastAsia="en-US"/>
        </w:rPr>
        <w:t xml:space="preserve"> -</w:t>
      </w:r>
      <w:r w:rsidRPr="00FD53B9">
        <w:rPr>
          <w:rFonts w:ascii="Traditional Arabic" w:hAnsi="Traditional Arabic"/>
          <w:color w:val="auto"/>
          <w:rtl/>
          <w:lang w:eastAsia="en-US"/>
        </w:rPr>
        <w:t xml:space="preserve"> لبنان, الطبعة: الرابعة، 1407ه-1987م, عدد الأجزاء: 9</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الزاهر في معاني كلمات الناس, المؤلف: أبو بكر محمد بن القاسم بن محمد بن بشار الأنباري (المتوفى: 328هـ), المحقق: د. حاتم صالح الضامن, الناشر: مؤسسة الرسالة, بيروت - لبنان, الطبعة: الأولى، 1412 هـ -1992, عدد الأجزاء: 2</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الزهد, المؤلف: أبو سفيان وكيع بن الجراح بن مليح بن عدي بن فرس بن سفيان بن الحارث بن عمرو ابن عبيد بن رؤاس الرؤاسي (المتوفى: 197هـ), حققه وقدم له وخرج أحاديثه وآثاره: عبد الرحمن عبد الجبار الفريوائي, الناشر: مكتبة الدار، المدينة المنورة- السعودية, الطبعة: الأولى، عام النشر: 1404هـ-1984م, عدد الأجزاء: 1</w:t>
      </w:r>
    </w:p>
    <w:p w:rsidR="00FD53B9" w:rsidRPr="00FD53B9" w:rsidRDefault="00FD53B9" w:rsidP="00FD53B9">
      <w:pPr>
        <w:widowControl/>
        <w:numPr>
          <w:ilvl w:val="0"/>
          <w:numId w:val="43"/>
        </w:numPr>
        <w:autoSpaceDE w:val="0"/>
        <w:autoSpaceDN w:val="0"/>
        <w:adjustRightInd w:val="0"/>
        <w:contextualSpacing/>
        <w:rPr>
          <w:rFonts w:ascii="Traditional Arabic" w:hAnsi="Traditional Arabic"/>
          <w:color w:val="auto"/>
          <w:lang w:eastAsia="en-US"/>
        </w:rPr>
      </w:pPr>
      <w:r w:rsidRPr="00FD53B9">
        <w:rPr>
          <w:rFonts w:ascii="Traditional Arabic" w:hAnsi="Traditional Arabic"/>
          <w:color w:val="auto"/>
          <w:rtl/>
          <w:lang w:eastAsia="en-US"/>
        </w:rPr>
        <w:lastRenderedPageBreak/>
        <w:t>الزهد, المؤلف: الإمام أبو عبدالله أحمد بن محمد بن حنبل الشيباني (المتوفى: 241هـ), الناشر: دار الكتب العلمية</w:t>
      </w:r>
      <w:r w:rsidRPr="00FD53B9">
        <w:rPr>
          <w:rFonts w:ascii="Traditional Arabic" w:hAnsi="Traditional Arabic" w:hint="cs"/>
          <w:color w:val="auto"/>
          <w:rtl/>
          <w:lang w:eastAsia="en-US"/>
        </w:rPr>
        <w:t>,</w:t>
      </w:r>
      <w:r w:rsidRPr="00FD53B9">
        <w:rPr>
          <w:rFonts w:ascii="Traditional Arabic" w:hAnsi="Traditional Arabic"/>
          <w:color w:val="auto"/>
          <w:rtl/>
          <w:lang w:eastAsia="en-US"/>
        </w:rPr>
        <w:t xml:space="preserve"> بيروت</w:t>
      </w:r>
      <w:r w:rsidRPr="00FD53B9">
        <w:rPr>
          <w:rFonts w:ascii="Traditional Arabic" w:hAnsi="Traditional Arabic" w:hint="cs"/>
          <w:color w:val="auto"/>
          <w:rtl/>
          <w:lang w:eastAsia="en-US"/>
        </w:rPr>
        <w:t xml:space="preserve"> -</w:t>
      </w:r>
      <w:r w:rsidRPr="00FD53B9">
        <w:rPr>
          <w:rFonts w:ascii="Traditional Arabic" w:hAnsi="Traditional Arabic"/>
          <w:color w:val="auto"/>
          <w:rtl/>
          <w:lang w:eastAsia="en-US"/>
        </w:rPr>
        <w:t xml:space="preserve"> لبنان, الطبعة: الأولى, عام النشر: 1403ه-1983م, عدد الأجزاء: 1</w:t>
      </w:r>
    </w:p>
    <w:p w:rsidR="00FD53B9" w:rsidRPr="00FD53B9" w:rsidRDefault="00FD53B9" w:rsidP="00FD53B9">
      <w:pPr>
        <w:widowControl/>
        <w:numPr>
          <w:ilvl w:val="0"/>
          <w:numId w:val="43"/>
        </w:numPr>
        <w:autoSpaceDE w:val="0"/>
        <w:autoSpaceDN w:val="0"/>
        <w:adjustRightInd w:val="0"/>
        <w:contextualSpacing/>
        <w:rPr>
          <w:rFonts w:ascii="Traditional Arabic" w:hAnsi="Traditional Arabic"/>
          <w:color w:val="auto"/>
          <w:lang w:eastAsia="en-US"/>
        </w:rPr>
      </w:pPr>
      <w:r w:rsidRPr="00FD53B9">
        <w:rPr>
          <w:rFonts w:ascii="Traditional Arabic" w:hAnsi="Traditional Arabic"/>
          <w:color w:val="auto"/>
          <w:rtl/>
          <w:lang w:eastAsia="en-US"/>
        </w:rPr>
        <w:t>السبعة في القراءات, المؤلف: أحمد بن موسى بن العباس التميمي، أبو بكر بن مجاهد البغدادي (المتوفى: 324هـ), المحقق: شوقي ضيف, الناشر: دار المعارف – مصر, الطبعة: الثانية، عام النشر: 1400هـ, عدد الأجزاء: 1</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السراج المنير في الإعانة على معرفة بعض معاني كلام ربنا الحكيم الخبير, المؤلف: شمس الدين، محمد بن أحمد الخطيب الشربيني الشافعي (المتوفى: 977هـ), الناشر: مطبعة بولاق (الأميرية) القاهرة – مصر, عام النشر: 1285هـ, عدد الأجزاء: 4</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سلسلة الأحاديث الصحيحة وشيء من فقهها وفوائدها, المؤلف: أبو عبد الرحمن محمد ناصر الدين، بن الحاج نوح بن نجاتي بن آدم، الأشقودري الألباني (المتوفى: 1420هـ), الناشر: مكتبة المعارف للنشر والتوزيع, الرياض - السعودية, الطبعة: الأولى، عام النشر: 1422هـ-2002م, عدد الأجزاء: 9</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سلسلة الأحاديث الضعيفة والموضوعة وأثرها السيئ في الأمة, المؤلف: أبو عبد الرحمن محمد ناصر الدين، بن الحاج نوح بن نجاتي بن آدم، الأشقودري الألباني (المتوفى: 1420هـ), الناشر: مكتبة المعارف للنشر والتوزيع</w:t>
      </w:r>
      <w:r w:rsidRPr="00FD53B9">
        <w:rPr>
          <w:rFonts w:ascii="Traditional Arabic" w:hAnsi="Traditional Arabic" w:hint="cs"/>
          <w:color w:val="auto"/>
          <w:rtl/>
          <w:lang w:eastAsia="en-US"/>
        </w:rPr>
        <w:t>,</w:t>
      </w:r>
      <w:r w:rsidRPr="00FD53B9">
        <w:rPr>
          <w:rFonts w:ascii="Traditional Arabic" w:hAnsi="Traditional Arabic"/>
          <w:color w:val="auto"/>
          <w:rtl/>
          <w:lang w:eastAsia="en-US"/>
        </w:rPr>
        <w:t xml:space="preserve"> الرياض- السعودية, الطبعة: الثانية, عام النشر: 1420ه-2000م, عدد الأجزاء: 14</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سنن ابن ماجه, المؤلف: أبو عبد الله محمد بن يزيد القزويني (المتوفى: 273هـ), بشرح: أبو الحسن، محمد بن عبد الهادي التتوي السندي (المتوفى: 1138هـ), الناشر: دار المعرفة</w:t>
      </w:r>
      <w:r w:rsidRPr="00FD53B9">
        <w:rPr>
          <w:rFonts w:ascii="Traditional Arabic" w:hAnsi="Traditional Arabic" w:hint="cs"/>
          <w:color w:val="auto"/>
          <w:rtl/>
          <w:lang w:eastAsia="en-US"/>
        </w:rPr>
        <w:t xml:space="preserve">, </w:t>
      </w:r>
      <w:r w:rsidRPr="00FD53B9">
        <w:rPr>
          <w:rFonts w:ascii="Traditional Arabic" w:hAnsi="Traditional Arabic"/>
          <w:color w:val="auto"/>
          <w:rtl/>
          <w:lang w:eastAsia="en-US"/>
        </w:rPr>
        <w:t>بيروت</w:t>
      </w:r>
      <w:r w:rsidRPr="00FD53B9">
        <w:rPr>
          <w:rFonts w:ascii="Traditional Arabic" w:hAnsi="Traditional Arabic" w:hint="cs"/>
          <w:color w:val="auto"/>
          <w:rtl/>
          <w:lang w:eastAsia="en-US"/>
        </w:rPr>
        <w:t xml:space="preserve"> -</w:t>
      </w:r>
      <w:r w:rsidRPr="00FD53B9">
        <w:rPr>
          <w:rFonts w:ascii="Traditional Arabic" w:hAnsi="Traditional Arabic"/>
          <w:color w:val="auto"/>
          <w:rtl/>
          <w:lang w:eastAsia="en-US"/>
        </w:rPr>
        <w:t xml:space="preserve"> لبنان, الطبعة: الخامسة, عام النشر: 1430ه-2009م, عدد الأجزاء: 5</w:t>
      </w:r>
    </w:p>
    <w:p w:rsidR="00FD53B9" w:rsidRPr="00FD53B9" w:rsidRDefault="00FD53B9" w:rsidP="00FD53B9">
      <w:pPr>
        <w:widowControl/>
        <w:numPr>
          <w:ilvl w:val="0"/>
          <w:numId w:val="43"/>
        </w:numPr>
        <w:autoSpaceDE w:val="0"/>
        <w:autoSpaceDN w:val="0"/>
        <w:adjustRightInd w:val="0"/>
        <w:contextualSpacing/>
        <w:rPr>
          <w:rFonts w:ascii="Traditional Arabic" w:hAnsi="Traditional Arabic"/>
          <w:color w:val="auto"/>
          <w:lang w:eastAsia="en-US"/>
        </w:rPr>
      </w:pPr>
      <w:r w:rsidRPr="00FD53B9">
        <w:rPr>
          <w:rFonts w:ascii="Traditional Arabic" w:hAnsi="Traditional Arabic"/>
          <w:color w:val="auto"/>
          <w:rtl/>
          <w:lang w:eastAsia="en-US"/>
        </w:rPr>
        <w:t>سنن ابن ماجه, المؤلف: أبو عبد الله محمد بن يزيد القزويني (المتوفى: 273هـ), حكم على أحاديثه وآثاره وعلق عليه العلامة محمد ناصر الدين الألباني, الناشر: مكتبة المعارف للنشر والتوزيع</w:t>
      </w:r>
      <w:r w:rsidRPr="00FD53B9">
        <w:rPr>
          <w:rFonts w:ascii="Traditional Arabic" w:hAnsi="Traditional Arabic" w:hint="cs"/>
          <w:color w:val="auto"/>
          <w:rtl/>
          <w:lang w:eastAsia="en-US"/>
        </w:rPr>
        <w:t xml:space="preserve">, </w:t>
      </w:r>
      <w:r w:rsidRPr="00FD53B9">
        <w:rPr>
          <w:rFonts w:ascii="Traditional Arabic" w:hAnsi="Traditional Arabic"/>
          <w:color w:val="auto"/>
          <w:rtl/>
          <w:lang w:eastAsia="en-US"/>
        </w:rPr>
        <w:t>الرياض</w:t>
      </w:r>
      <w:r w:rsidRPr="00FD53B9">
        <w:rPr>
          <w:rFonts w:ascii="Traditional Arabic" w:hAnsi="Traditional Arabic" w:hint="cs"/>
          <w:color w:val="auto"/>
          <w:rtl/>
          <w:lang w:eastAsia="en-US"/>
        </w:rPr>
        <w:t xml:space="preserve"> </w:t>
      </w:r>
      <w:r w:rsidRPr="00FD53B9">
        <w:rPr>
          <w:rFonts w:ascii="Traditional Arabic" w:hAnsi="Traditional Arabic"/>
          <w:color w:val="auto"/>
          <w:rtl/>
          <w:lang w:eastAsia="en-US"/>
        </w:rPr>
        <w:t>– السعودية</w:t>
      </w:r>
      <w:r w:rsidRPr="00FD53B9">
        <w:rPr>
          <w:rFonts w:ascii="Traditional Arabic" w:hAnsi="Traditional Arabic" w:hint="cs"/>
          <w:color w:val="auto"/>
          <w:rtl/>
          <w:lang w:eastAsia="en-US"/>
        </w:rPr>
        <w:t>,</w:t>
      </w:r>
      <w:r w:rsidRPr="00FD53B9">
        <w:rPr>
          <w:rFonts w:ascii="Traditional Arabic" w:hAnsi="Traditional Arabic"/>
          <w:color w:val="auto"/>
          <w:rtl/>
          <w:lang w:eastAsia="en-US"/>
        </w:rPr>
        <w:t xml:space="preserve"> الطبعة: الثانية, عام النشر: 1429ه-2008م, عدد الأجزاء: 1</w:t>
      </w:r>
    </w:p>
    <w:p w:rsidR="00FD53B9" w:rsidRPr="00FD53B9" w:rsidRDefault="00FD53B9" w:rsidP="00FD53B9">
      <w:pPr>
        <w:numPr>
          <w:ilvl w:val="0"/>
          <w:numId w:val="43"/>
        </w:numPr>
        <w:contextualSpacing/>
        <w:rPr>
          <w:rFonts w:ascii="Traditional Arabic" w:hAnsi="Traditional Arabic"/>
          <w:color w:val="auto"/>
          <w:rtl/>
          <w:lang w:eastAsia="en-US"/>
        </w:rPr>
      </w:pPr>
      <w:r w:rsidRPr="00FD53B9">
        <w:rPr>
          <w:rFonts w:ascii="Traditional Arabic" w:hAnsi="Traditional Arabic"/>
          <w:color w:val="auto"/>
          <w:rtl/>
          <w:lang w:eastAsia="en-US"/>
        </w:rPr>
        <w:t xml:space="preserve">سنن الترمذي, المؤلف: محمد بن عيسى بن سورة الترمذي (المتوفى: 279هـ), حكم </w:t>
      </w:r>
      <w:r w:rsidRPr="00FD53B9">
        <w:rPr>
          <w:rFonts w:ascii="Traditional Arabic" w:hAnsi="Traditional Arabic"/>
          <w:color w:val="auto"/>
          <w:rtl/>
          <w:lang w:eastAsia="en-US"/>
        </w:rPr>
        <w:lastRenderedPageBreak/>
        <w:t>على أحاديثه وآثاره وعلق عليه العلامة محمد ناصر الدين الألباني, الناشر: مكتبة المعارف للنشر والتوزيع</w:t>
      </w:r>
      <w:r w:rsidRPr="00FD53B9">
        <w:rPr>
          <w:rFonts w:ascii="Traditional Arabic" w:hAnsi="Traditional Arabic" w:hint="cs"/>
          <w:color w:val="auto"/>
          <w:rtl/>
          <w:lang w:eastAsia="en-US"/>
        </w:rPr>
        <w:t xml:space="preserve">, </w:t>
      </w:r>
      <w:r w:rsidRPr="00FD53B9">
        <w:rPr>
          <w:rFonts w:ascii="Traditional Arabic" w:hAnsi="Traditional Arabic"/>
          <w:color w:val="auto"/>
          <w:rtl/>
          <w:lang w:eastAsia="en-US"/>
        </w:rPr>
        <w:t>الرياض</w:t>
      </w:r>
      <w:r w:rsidRPr="00FD53B9">
        <w:rPr>
          <w:rFonts w:ascii="Traditional Arabic" w:hAnsi="Traditional Arabic" w:hint="cs"/>
          <w:color w:val="auto"/>
          <w:rtl/>
          <w:lang w:eastAsia="en-US"/>
        </w:rPr>
        <w:t xml:space="preserve"> -</w:t>
      </w:r>
      <w:r w:rsidRPr="00FD53B9">
        <w:rPr>
          <w:rFonts w:ascii="Traditional Arabic" w:hAnsi="Traditional Arabic"/>
          <w:color w:val="auto"/>
          <w:rtl/>
          <w:lang w:eastAsia="en-US"/>
        </w:rPr>
        <w:t xml:space="preserve"> السعودية</w:t>
      </w:r>
      <w:r w:rsidRPr="00FD53B9">
        <w:rPr>
          <w:rFonts w:ascii="Traditional Arabic" w:hAnsi="Traditional Arabic" w:hint="cs"/>
          <w:color w:val="auto"/>
          <w:rtl/>
          <w:lang w:eastAsia="en-US"/>
        </w:rPr>
        <w:t>,</w:t>
      </w:r>
      <w:r w:rsidRPr="00FD53B9">
        <w:rPr>
          <w:rFonts w:ascii="Traditional Arabic" w:hAnsi="Traditional Arabic"/>
          <w:color w:val="auto"/>
          <w:rtl/>
          <w:lang w:eastAsia="en-US"/>
        </w:rPr>
        <w:t xml:space="preserve"> الطبعة: الثانية, عام النشر: 1429ه-2008م, عدد الأجزاء: 1</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سنن النسائي, المؤلف: أبو عبد الرحمن أحمد بن شعيب بن علي الخراساني، النسائي (المتوفى: 303هـ), بشرح الحافظ جلال الدين السيوطي (المتوفى: 911هـ), وحاشية الإمام السندي (المتوفى: 1138هـ), المحقق: مكتب تحقيق التراث الإسلامي, الناشر: دار المعرفة</w:t>
      </w:r>
      <w:r w:rsidRPr="00FD53B9">
        <w:rPr>
          <w:rFonts w:ascii="Traditional Arabic" w:hAnsi="Traditional Arabic" w:hint="cs"/>
          <w:color w:val="auto"/>
          <w:rtl/>
          <w:lang w:eastAsia="en-US"/>
        </w:rPr>
        <w:t xml:space="preserve">, </w:t>
      </w:r>
      <w:r w:rsidRPr="00FD53B9">
        <w:rPr>
          <w:rFonts w:ascii="Traditional Arabic" w:hAnsi="Traditional Arabic"/>
          <w:color w:val="auto"/>
          <w:rtl/>
          <w:lang w:eastAsia="en-US"/>
        </w:rPr>
        <w:t>بيروت</w:t>
      </w:r>
      <w:r w:rsidRPr="00FD53B9">
        <w:rPr>
          <w:rFonts w:ascii="Traditional Arabic" w:hAnsi="Traditional Arabic" w:hint="cs"/>
          <w:color w:val="auto"/>
          <w:rtl/>
          <w:lang w:eastAsia="en-US"/>
        </w:rPr>
        <w:t xml:space="preserve"> </w:t>
      </w:r>
      <w:r w:rsidRPr="00FD53B9">
        <w:rPr>
          <w:rFonts w:ascii="Traditional Arabic" w:hAnsi="Traditional Arabic"/>
          <w:color w:val="auto"/>
          <w:rtl/>
          <w:lang w:eastAsia="en-US"/>
        </w:rPr>
        <w:t>– لبنان</w:t>
      </w:r>
      <w:r w:rsidRPr="00FD53B9">
        <w:rPr>
          <w:rFonts w:ascii="Traditional Arabic" w:hAnsi="Traditional Arabic" w:hint="cs"/>
          <w:color w:val="auto"/>
          <w:rtl/>
          <w:lang w:eastAsia="en-US"/>
        </w:rPr>
        <w:t xml:space="preserve">, </w:t>
      </w:r>
      <w:r w:rsidRPr="00FD53B9">
        <w:rPr>
          <w:rFonts w:ascii="Traditional Arabic" w:hAnsi="Traditional Arabic"/>
          <w:color w:val="auto"/>
          <w:rtl/>
          <w:lang w:eastAsia="en-US"/>
        </w:rPr>
        <w:t>الطبعة: السابعة, 1429هـ- 2008م, عدد الأجزاء: 9</w:t>
      </w:r>
    </w:p>
    <w:p w:rsidR="00FD53B9" w:rsidRPr="00FD53B9" w:rsidRDefault="00FD53B9" w:rsidP="00FD53B9">
      <w:pPr>
        <w:numPr>
          <w:ilvl w:val="0"/>
          <w:numId w:val="43"/>
        </w:numPr>
        <w:contextualSpacing/>
        <w:rPr>
          <w:rFonts w:ascii="Traditional Arabic" w:hAnsi="Traditional Arabic"/>
          <w:color w:val="auto"/>
          <w:rtl/>
          <w:lang w:eastAsia="en-US"/>
        </w:rPr>
      </w:pPr>
      <w:r w:rsidRPr="00FD53B9">
        <w:rPr>
          <w:rFonts w:ascii="Traditional Arabic" w:hAnsi="Traditional Arabic"/>
          <w:color w:val="auto"/>
          <w:rtl/>
          <w:lang w:eastAsia="en-US"/>
        </w:rPr>
        <w:t xml:space="preserve">سير أعلام النبلاء, المؤلف: شمس الدين أبو عبد الله محمد بن أحمد بن عثمان بن قَايْماز الذهبي (المتوفى : 748ه ـ), المحقق : مجموعة من المحققين بإشراف الشيخ شعيب الأرناؤوط, مؤسسة الرسالة, الطبعة : الثالثة، 1405 هـ - 1985 م, عدد الأجزاء : 25 </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السيرة النبوية لابن هشام, المؤلف: عبد الملك بن هشام بن أيوب الحميري المعافري، أبو محمد، جمال الدين (المتوفى: 213هـ), تحقيق: مصطفى السقا وإبراهيم الأبياري وعبد الحفيظ الشلبي, الناشر: شركة مكتبة ومطبعة مصطفى البابي الحلبي وأولاده بمصر, الطبعة: الثانية، عام النشر: 1375هـ-1955م, عدد الأجزاء: 2</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شذرات الذهب في أخبار من ذهب, المؤلف: عبد الحي بن أحمد بن محمد ابن العماد العَكري الحنبلي، أبو الفلاح (المتوفى: 1089هـ), حققه: محمود الأرناؤوط, خرج أحاديثه: عبد القادر الأرناؤوط, الناشر: دار ابن كثير، دمشق</w:t>
      </w:r>
      <w:r w:rsidRPr="00FD53B9">
        <w:rPr>
          <w:rFonts w:ascii="Traditional Arabic" w:hAnsi="Traditional Arabic" w:hint="cs"/>
          <w:color w:val="auto"/>
          <w:rtl/>
          <w:lang w:eastAsia="en-US"/>
        </w:rPr>
        <w:t xml:space="preserve">, </w:t>
      </w:r>
      <w:r w:rsidRPr="00FD53B9">
        <w:rPr>
          <w:rFonts w:ascii="Traditional Arabic" w:hAnsi="Traditional Arabic"/>
          <w:color w:val="auto"/>
          <w:rtl/>
          <w:lang w:eastAsia="en-US"/>
        </w:rPr>
        <w:t>بيروت, الطبعة: الأولى، 1406هـ - 1986م, عدد الأجزاء: 11</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شرح أبيات سيبويه, المؤلف: أبو محمد يوسف بن أبي سعيد الحسن بن عبد الله بن المرزبان السيرافي (المتوفى: 385هـ), المحقق: الدكتور محمد علي الريح هاشم, راجعه: طه عبد الرؤوف سعد, الناشر: مكتبة الكليات الأزهرية، دار الفكر للطباعة والنشر والتوزيع، القاهرة – مصر, عام النشر: 1394ه-1974م, عدد الأجزاء: 2</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 xml:space="preserve">شرح ديوان الحماسة, المؤلف: أبو على أحمد بن محمد بن الحسن المرزوقي الأصفهاني (المتوفى: 421هـ), المحقق: غريد الشيخ, وضع فهارسه العامة: إبراهيم شمس الدين, الناشر: دار الكتب العلمية، بيروت - لبنان, الطبعة: الأولى، عام النشر: 1424هـ-2003م, </w:t>
      </w:r>
      <w:r w:rsidRPr="00FD53B9">
        <w:rPr>
          <w:rFonts w:ascii="Traditional Arabic" w:hAnsi="Traditional Arabic"/>
          <w:color w:val="auto"/>
          <w:rtl/>
          <w:lang w:eastAsia="en-US"/>
        </w:rPr>
        <w:lastRenderedPageBreak/>
        <w:t>عدد الأجزاء: 1</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الشريعة, المؤلف: أبو بكر محمد بن الحسين بن عبد الله الآجُرِّيُّ البغدادي (المتوفى: 360هـ), المحقق: الدكتور عبد الله بن عمر بن سليمان الدميجي, الناشر: دار الوطن</w:t>
      </w:r>
      <w:r w:rsidRPr="00FD53B9">
        <w:rPr>
          <w:rFonts w:ascii="Traditional Arabic" w:hAnsi="Traditional Arabic" w:hint="cs"/>
          <w:color w:val="auto"/>
          <w:rtl/>
          <w:lang w:eastAsia="en-US"/>
        </w:rPr>
        <w:t xml:space="preserve">, </w:t>
      </w:r>
      <w:r w:rsidRPr="00FD53B9">
        <w:rPr>
          <w:rFonts w:ascii="Traditional Arabic" w:hAnsi="Traditional Arabic"/>
          <w:color w:val="auto"/>
          <w:rtl/>
          <w:lang w:eastAsia="en-US"/>
        </w:rPr>
        <w:t>الرياض</w:t>
      </w:r>
      <w:r w:rsidRPr="00FD53B9">
        <w:rPr>
          <w:rFonts w:ascii="Traditional Arabic" w:hAnsi="Traditional Arabic" w:hint="cs"/>
          <w:color w:val="auto"/>
          <w:rtl/>
          <w:lang w:eastAsia="en-US"/>
        </w:rPr>
        <w:t xml:space="preserve"> -</w:t>
      </w:r>
      <w:r w:rsidRPr="00FD53B9">
        <w:rPr>
          <w:rFonts w:ascii="Traditional Arabic" w:hAnsi="Traditional Arabic"/>
          <w:color w:val="auto"/>
          <w:rtl/>
          <w:lang w:eastAsia="en-US"/>
        </w:rPr>
        <w:t xml:space="preserve"> السعودية, الطبعة: الثانية، عام النشر: 1420ه-1999م, عدد الأجزاء: 5</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 xml:space="preserve">شعب الإيمان, المؤلف: أحمد بن الحسين بن علي بن موسى الخُسْرَوْجِردي الخراساني، أبو بكر البيهقي (المتوفى: 458هـ), حققه وراجع نصوصه وخرج أحاديثه: الدكتور عبد العلي عبد الحميد حامد, أشرف على تحقيقه وتخريج أحاديثه: مختار أحمد الندوي، صاحب الدار السلفية ببومباي – الهند, الناشر: مكتبة الرشد للنشر والتوزيع بالرياض بالتعاون مع الدار السلفية ببومباي بالهند, الطبعة: الأولى، عام النشر: 1423هـ-2003م, عدد الأجزاء: 14 </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الشعر والشعراء, المؤلف: أبو محمد عبد الله بن مسلم بن قتيبة الدينوري (المتوفى: 276هـ), الناشر: دار الحديث، القاهرة – مصر, عام النشر: 1423هـ, عدد الأجزاء: 2</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الصحاح تاج اللغة وصحاح العربية, المؤلف: أبو نصر إسماعيل بن حماد الجوهري الفارابي (المتوفى: 393هـ), تحقيق: أحمد عبد الغفور عطار, الناشر: دار العلم للملايين, بيروت – لبنان, الطبعة: الرابعة, عام النشر: 1407هـ-1987م, عدد الأجزاء: 6</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صحيح الجامع الصغير وزياداته (الفتح الكبير), المؤلف: أبو عبد الرحمن محمد ناصر الدين، بن الحاج نوح بن نجاتي بن آدم، الأشقودري الألباني (المتوفى: 1420هـ), الناشر: المكتب الإسلامي, بيروت – لبنان, الطبعة: الثالثة, عام النشر: 1408ه-1988م, عدد الأجزاء: 2</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صحيح مسلم, المؤلف : أبو الحسين مسلم بن الحجاج بن مسلم القشيري النيسابوري</w:t>
      </w:r>
      <w:r w:rsidRPr="00FD53B9">
        <w:rPr>
          <w:rFonts w:ascii="Traditional Arabic" w:hAnsi="Traditional Arabic"/>
          <w:b/>
          <w:bCs/>
          <w:color w:val="auto"/>
          <w:rtl/>
          <w:lang w:eastAsia="en-US"/>
        </w:rPr>
        <w:t xml:space="preserve"> </w:t>
      </w:r>
      <w:r w:rsidRPr="00FD53B9">
        <w:rPr>
          <w:rFonts w:ascii="Traditional Arabic" w:hAnsi="Traditional Arabic"/>
          <w:color w:val="auto"/>
          <w:rtl/>
          <w:lang w:eastAsia="en-US"/>
        </w:rPr>
        <w:t>(المتوفى: 261ه), بشرح الإمام محيي الدين النووي المسمى(المنهاج شرح صحيح مسلم بن الحجاج) تحقيق: الشيخ خليل مأمون شيحا, الناشر: دار المعرفة, بيروت - لبنان, الطبعة: السابعة عشر, عام النشر: 1430ه-2009م, عدد الأجزاء : 18جزء في 10 مجلدات مع الفهارس.</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 xml:space="preserve">صفة النار, المؤلف: أبو بكر عبد الله بن محمد بن عبيد بن سفيان بن قيس البغدادي </w:t>
      </w:r>
      <w:r w:rsidRPr="00FD53B9">
        <w:rPr>
          <w:rFonts w:ascii="Traditional Arabic" w:hAnsi="Traditional Arabic"/>
          <w:color w:val="auto"/>
          <w:rtl/>
          <w:lang w:eastAsia="en-US"/>
        </w:rPr>
        <w:lastRenderedPageBreak/>
        <w:t>الأموي القرشي المعروف بابن أبي الدنيا (المتوفى: 281هـ), المحقق: محمد خير رمضان يوسف, الناشر: دار ابن حزم, لبنان - بيروت, الطبعة: الأولى، عام النشر: 1417هـ- 1997م, عدد الأجزاء: 1</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صيد الخاطر, المؤلف: جمال الدين أبو الفرج عبد الرحمن بن علي بن محمد الجوزي (المتوفى: 597هـ), بعناية: حسن المساحي سويدان, الناشر: دار القلم</w:t>
      </w:r>
      <w:r w:rsidRPr="00FD53B9">
        <w:rPr>
          <w:rFonts w:ascii="Traditional Arabic" w:hAnsi="Traditional Arabic" w:hint="cs"/>
          <w:color w:val="auto"/>
          <w:rtl/>
          <w:lang w:eastAsia="en-US"/>
        </w:rPr>
        <w:t xml:space="preserve">, </w:t>
      </w:r>
      <w:r w:rsidRPr="00FD53B9">
        <w:rPr>
          <w:rFonts w:ascii="Traditional Arabic" w:hAnsi="Traditional Arabic"/>
          <w:color w:val="auto"/>
          <w:rtl/>
          <w:lang w:eastAsia="en-US"/>
        </w:rPr>
        <w:t>دمشق</w:t>
      </w:r>
      <w:r w:rsidRPr="00FD53B9">
        <w:rPr>
          <w:rFonts w:ascii="Traditional Arabic" w:hAnsi="Traditional Arabic" w:hint="cs"/>
          <w:color w:val="auto"/>
          <w:rtl/>
          <w:lang w:eastAsia="en-US"/>
        </w:rPr>
        <w:t xml:space="preserve"> </w:t>
      </w:r>
      <w:r w:rsidRPr="00FD53B9">
        <w:rPr>
          <w:rFonts w:ascii="Traditional Arabic" w:hAnsi="Traditional Arabic"/>
          <w:color w:val="auto"/>
          <w:rtl/>
          <w:lang w:eastAsia="en-US"/>
        </w:rPr>
        <w:t>-</w:t>
      </w:r>
      <w:r w:rsidRPr="00FD53B9">
        <w:rPr>
          <w:rFonts w:ascii="Traditional Arabic" w:hAnsi="Traditional Arabic" w:hint="cs"/>
          <w:color w:val="auto"/>
          <w:rtl/>
          <w:lang w:eastAsia="en-US"/>
        </w:rPr>
        <w:t xml:space="preserve"> سوريا</w:t>
      </w:r>
      <w:r w:rsidRPr="00FD53B9">
        <w:rPr>
          <w:rFonts w:ascii="Traditional Arabic" w:hAnsi="Traditional Arabic"/>
          <w:color w:val="auto"/>
          <w:rtl/>
          <w:lang w:eastAsia="en-US"/>
        </w:rPr>
        <w:t>, الطبعة: الأولى 1425هـ - 2004م, عدد الأجزاء: 1</w:t>
      </w:r>
    </w:p>
    <w:p w:rsidR="00FD53B9" w:rsidRPr="00FD53B9" w:rsidRDefault="00FD53B9" w:rsidP="00FD53B9">
      <w:pPr>
        <w:numPr>
          <w:ilvl w:val="0"/>
          <w:numId w:val="43"/>
        </w:numPr>
        <w:contextualSpacing/>
        <w:rPr>
          <w:rFonts w:ascii="Traditional Arabic" w:hAnsi="Traditional Arabic"/>
          <w:color w:val="auto"/>
        </w:rPr>
      </w:pPr>
      <w:r w:rsidRPr="00FD53B9">
        <w:rPr>
          <w:rFonts w:ascii="Traditional Arabic" w:hAnsi="Traditional Arabic"/>
          <w:color w:val="auto"/>
          <w:rtl/>
          <w:lang w:eastAsia="en-US"/>
        </w:rPr>
        <w:t>ضعيف الترغيب والترهيب, المؤلف: أبو عبد الرحمن محمد ناصر الدين، بن الحاج نوح بن نجاتي بن آدم، الأشقودري الألباني (المتوفى: 1420هـ), الناشر: مكتبة المعارف للنشر والتوزيع, الرياض - السعودية, الطبعة:  عدد الأجزاء: 2</w:t>
      </w:r>
    </w:p>
    <w:p w:rsidR="00FD53B9" w:rsidRPr="00FD53B9" w:rsidRDefault="00FD53B9" w:rsidP="00FD53B9">
      <w:pPr>
        <w:numPr>
          <w:ilvl w:val="0"/>
          <w:numId w:val="43"/>
        </w:numPr>
        <w:contextualSpacing/>
        <w:rPr>
          <w:rFonts w:ascii="Traditional Arabic" w:hAnsi="Traditional Arabic"/>
          <w:color w:val="auto"/>
          <w:rtl/>
          <w:lang w:eastAsia="en-US"/>
        </w:rPr>
      </w:pPr>
      <w:r w:rsidRPr="00FD53B9">
        <w:rPr>
          <w:rFonts w:ascii="Traditional Arabic" w:hAnsi="Traditional Arabic"/>
          <w:color w:val="auto"/>
          <w:rtl/>
          <w:lang w:eastAsia="en-US"/>
        </w:rPr>
        <w:t>ضعيف الجامع الصغير وزياداته (الفتح الكبير), المؤلف: أبو عبد الرحمن محمد ناصر الدين، بن الحاج نوح بن نجاتي بن آدم، الأشقودري الألباني (المتوفى: 1420هـ), الناشر: المكتب الإسلامي, بيروت – لبنان, الطبعة: الثالثة, عام النشر: 1410ه-1990م, عدد الأجزاء: 1</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ضعيف سنن الترمذي, المؤلف: محمد ناصر الدين الألباني (المتوفى: 1420هـ), أشرف على طباعته والتعليق عليه: زهير الشاويش, بتكليف: من مكتب التربية العربي لدول الخليج – الرياض, توزيع: المكتب الاسلامي, بيروت – لبنان, الطبعة: الأولى، عام النشر: 1411هـ-1991م, عدد الأجزاء: 1</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طبقات الحنابلة, المؤلف: أبو الحسين ابن أبي يعلى، محمد بن محمد (المتوفى: 526هـ), المحقق: محمد حامد الفقي, الناشر: دار المعرفة, بيروت - لبنان, عدد الأجزاء: 2</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طبقات الشافعية الكبرى, المؤلف: تاج الدين عبد الوهاب بن تقي الدين السبكي (المتوفى: 771هـ), المحقق: د. محمود محمد الطناحي د. عبد الفتاح محمد الحلو, الناشر: هجر للطباعة والنشر والتوزيع, الطبعة: الثانية، 1413هـ, عدد الأجزاء: 10</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الطبقات الكبرى أبو عبد الله محمد بن سعد بن منيع الهاشمي بالولاء ، البصري ، البغدادي المعروف بابن سعد (المتوفى :  230هـ ) تحقيق : محمد عبد القادر عطا,  دار الكتب العلمية</w:t>
      </w:r>
      <w:r w:rsidRPr="00FD53B9">
        <w:rPr>
          <w:rFonts w:ascii="Traditional Arabic" w:hAnsi="Traditional Arabic" w:hint="cs"/>
          <w:color w:val="auto"/>
          <w:rtl/>
          <w:lang w:eastAsia="en-US"/>
        </w:rPr>
        <w:t xml:space="preserve">, </w:t>
      </w:r>
      <w:r w:rsidRPr="00FD53B9">
        <w:rPr>
          <w:rFonts w:ascii="Traditional Arabic" w:hAnsi="Traditional Arabic"/>
          <w:color w:val="auto"/>
          <w:rtl/>
          <w:lang w:eastAsia="en-US"/>
        </w:rPr>
        <w:t>بيروت</w:t>
      </w:r>
      <w:r w:rsidRPr="00FD53B9">
        <w:rPr>
          <w:rFonts w:ascii="Traditional Arabic" w:hAnsi="Traditional Arabic" w:hint="cs"/>
          <w:color w:val="auto"/>
          <w:rtl/>
          <w:lang w:eastAsia="en-US"/>
        </w:rPr>
        <w:t xml:space="preserve"> -</w:t>
      </w:r>
      <w:r w:rsidRPr="00FD53B9">
        <w:rPr>
          <w:rFonts w:ascii="Traditional Arabic" w:hAnsi="Traditional Arabic"/>
          <w:color w:val="auto"/>
          <w:rtl/>
          <w:lang w:eastAsia="en-US"/>
        </w:rPr>
        <w:t xml:space="preserve"> لبنان</w:t>
      </w:r>
      <w:r w:rsidRPr="00FD53B9">
        <w:rPr>
          <w:rFonts w:ascii="Traditional Arabic" w:hAnsi="Traditional Arabic" w:hint="cs"/>
          <w:color w:val="auto"/>
          <w:rtl/>
          <w:lang w:eastAsia="en-US"/>
        </w:rPr>
        <w:t>,</w:t>
      </w:r>
      <w:r w:rsidRPr="00FD53B9">
        <w:rPr>
          <w:rFonts w:ascii="Traditional Arabic" w:hAnsi="Traditional Arabic"/>
          <w:color w:val="auto"/>
          <w:rtl/>
          <w:lang w:eastAsia="en-US"/>
        </w:rPr>
        <w:t xml:space="preserve"> الطبعة: الأولى، عام النشر: 1410 هـ - 1990 م, </w:t>
      </w:r>
      <w:r w:rsidRPr="00FD53B9">
        <w:rPr>
          <w:rFonts w:ascii="Traditional Arabic" w:hAnsi="Traditional Arabic"/>
          <w:color w:val="auto"/>
          <w:rtl/>
          <w:lang w:eastAsia="en-US"/>
        </w:rPr>
        <w:lastRenderedPageBreak/>
        <w:t>عدد الأجزاء: 8</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طبقات المفسرين العشرين, المؤلف: عبد الرحمن بن أبي بكر، جلال الدين السيوطي (المتوفى: 911هـ), المحقق: علي محمد عمر, الناشر: مكتبة وهبة</w:t>
      </w:r>
      <w:r w:rsidRPr="00FD53B9">
        <w:rPr>
          <w:rFonts w:ascii="Traditional Arabic" w:hAnsi="Traditional Arabic" w:hint="cs"/>
          <w:color w:val="auto"/>
          <w:rtl/>
          <w:lang w:eastAsia="en-US"/>
        </w:rPr>
        <w:t xml:space="preserve">, </w:t>
      </w:r>
      <w:r w:rsidRPr="00FD53B9">
        <w:rPr>
          <w:rFonts w:ascii="Traditional Arabic" w:hAnsi="Traditional Arabic"/>
          <w:color w:val="auto"/>
          <w:rtl/>
          <w:lang w:eastAsia="en-US"/>
        </w:rPr>
        <w:t>القاهرة</w:t>
      </w:r>
      <w:r w:rsidRPr="00FD53B9">
        <w:rPr>
          <w:rFonts w:ascii="Traditional Arabic" w:hAnsi="Traditional Arabic" w:hint="cs"/>
          <w:color w:val="auto"/>
          <w:rtl/>
          <w:lang w:eastAsia="en-US"/>
        </w:rPr>
        <w:t xml:space="preserve"> </w:t>
      </w:r>
      <w:r w:rsidRPr="00FD53B9">
        <w:rPr>
          <w:rFonts w:ascii="Traditional Arabic" w:hAnsi="Traditional Arabic"/>
          <w:color w:val="auto"/>
          <w:rtl/>
          <w:lang w:eastAsia="en-US"/>
        </w:rPr>
        <w:t>–</w:t>
      </w:r>
      <w:r w:rsidRPr="00FD53B9">
        <w:rPr>
          <w:rFonts w:ascii="Traditional Arabic" w:hAnsi="Traditional Arabic" w:hint="cs"/>
          <w:color w:val="auto"/>
          <w:rtl/>
          <w:lang w:eastAsia="en-US"/>
        </w:rPr>
        <w:t xml:space="preserve"> مصر,</w:t>
      </w:r>
      <w:r w:rsidRPr="00FD53B9">
        <w:rPr>
          <w:rFonts w:ascii="Traditional Arabic" w:hAnsi="Traditional Arabic"/>
          <w:color w:val="auto"/>
          <w:rtl/>
          <w:lang w:eastAsia="en-US"/>
        </w:rPr>
        <w:t xml:space="preserve"> الطبعة: الأولى، 1396ه, عدد الأجزاء: 1</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طبقات المفسرين للداوودي, المؤلف: محمد بن علي بن أحمد, شمس الدين الداوودي المالكي (المتوفى: 945هـ), الناشر: دار الكتب العلمية</w:t>
      </w:r>
      <w:r w:rsidRPr="00FD53B9">
        <w:rPr>
          <w:rFonts w:ascii="Traditional Arabic" w:hAnsi="Traditional Arabic" w:hint="cs"/>
          <w:color w:val="auto"/>
          <w:rtl/>
          <w:lang w:eastAsia="en-US"/>
        </w:rPr>
        <w:t xml:space="preserve">, </w:t>
      </w:r>
      <w:r w:rsidRPr="00FD53B9">
        <w:rPr>
          <w:rFonts w:ascii="Traditional Arabic" w:hAnsi="Traditional Arabic"/>
          <w:color w:val="auto"/>
          <w:rtl/>
          <w:lang w:eastAsia="en-US"/>
        </w:rPr>
        <w:t>بيروت</w:t>
      </w:r>
      <w:r w:rsidRPr="00FD53B9">
        <w:rPr>
          <w:rFonts w:ascii="Traditional Arabic" w:hAnsi="Traditional Arabic" w:hint="cs"/>
          <w:color w:val="auto"/>
          <w:rtl/>
          <w:lang w:eastAsia="en-US"/>
        </w:rPr>
        <w:t xml:space="preserve"> -</w:t>
      </w:r>
      <w:r w:rsidRPr="00FD53B9">
        <w:rPr>
          <w:rFonts w:ascii="Traditional Arabic" w:hAnsi="Traditional Arabic"/>
          <w:color w:val="auto"/>
          <w:rtl/>
          <w:lang w:eastAsia="en-US"/>
        </w:rPr>
        <w:t xml:space="preserve"> لبنان, عدد الأجزاء: 2</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طبقات المفسرين, المؤلف: أحمد بن محمد الأدنه وي, من علماء القرن الحادي عشر (المتوفى: ق 11هـ), المحقق: سليمان بن صالح الخزي, الناشر: مكتبة العلوم والحكم -السعودية, الطبعة: الأولى، 1417هـ-1997م, عدد الأجزاء: 1</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طبقات فحول الشعراء, المؤلف: محمد بن سلّام بن عبيد الله الجمحي بالولاء، أبو عبد الله (المتوفى: 232هـ), المحقق: محمود محمد شاكر, الناشر: دار المدني, جدة - السعودية, عدد الأجزاء: 2</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العبر في خبر من غبر, المؤلف: شمس الدين أبو عبد الله محمد بن أحمد بن عثمان بن قَايْماز الذهبي (المتوفى: 748هـ), المحقق: أبو هاجر محمد السعيد بن بسيوني زغلول, الناشر: دار الكتب العلمية</w:t>
      </w:r>
      <w:r w:rsidRPr="00FD53B9">
        <w:rPr>
          <w:rFonts w:ascii="Traditional Arabic" w:hAnsi="Traditional Arabic" w:hint="cs"/>
          <w:color w:val="auto"/>
          <w:rtl/>
          <w:lang w:eastAsia="en-US"/>
        </w:rPr>
        <w:t xml:space="preserve">, </w:t>
      </w:r>
      <w:r w:rsidRPr="00FD53B9">
        <w:rPr>
          <w:rFonts w:ascii="Traditional Arabic" w:hAnsi="Traditional Arabic"/>
          <w:color w:val="auto"/>
          <w:rtl/>
          <w:lang w:eastAsia="en-US"/>
        </w:rPr>
        <w:t>بيروت</w:t>
      </w:r>
      <w:r w:rsidRPr="00FD53B9">
        <w:rPr>
          <w:rFonts w:ascii="Traditional Arabic" w:hAnsi="Traditional Arabic" w:hint="cs"/>
          <w:color w:val="auto"/>
          <w:rtl/>
          <w:lang w:eastAsia="en-US"/>
        </w:rPr>
        <w:t xml:space="preserve"> -</w:t>
      </w:r>
      <w:r w:rsidRPr="00FD53B9">
        <w:rPr>
          <w:rFonts w:ascii="Traditional Arabic" w:hAnsi="Traditional Arabic"/>
          <w:color w:val="auto"/>
          <w:rtl/>
          <w:lang w:eastAsia="en-US"/>
        </w:rPr>
        <w:t xml:space="preserve"> لبنان, عدد الأجزاء: 4</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العظمة, المؤلف: أبو محمد عبد الله بن محمد بن جعفر بن حيان الأنصاري المعروف بأبِي الشيخ الأصبهاني (المتوفى: 369هـ), المحقق: رضاء الله بن محمد إدريس المباركفوري, الناشر: دار العاصمة الرياض- السعودية, الطبعة: الأولى، عام النشر: 1408ه, عدد الأجزاء: 5</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عون المعبود شرح سنن أبي داود، المؤلف: أبو عبد الرحمن، شرف الحق محمد أشرف بن أمير بن علي بن حيدر الصديقي، العظيم آبادي (المتوفى: 1329هـ), وعليها أحكام العلامة المحدث: محمد ناصر الدين الألباني, الناشر: دار المعارف للنشر والتوزيع, الرياض – السعودية, الطبعة: الأولى, عام النشر: 2009م, عدد الأجزاء: 7</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 xml:space="preserve">العين, المؤلف: أبو عبد الرحمن الخليل بن أحمد بن عمرو بن تميم الفراهيدي البصري (المتوفى: 170هـ), المحقق: د مهدي المخزومي، د إبراهيم السامرائي, الناشر: دار ومكتبة </w:t>
      </w:r>
      <w:r w:rsidRPr="00FD53B9">
        <w:rPr>
          <w:rFonts w:ascii="Traditional Arabic" w:hAnsi="Traditional Arabic"/>
          <w:color w:val="auto"/>
          <w:rtl/>
          <w:lang w:eastAsia="en-US"/>
        </w:rPr>
        <w:lastRenderedPageBreak/>
        <w:t>الهلال, عدد الأجزاء: 8</w:t>
      </w:r>
    </w:p>
    <w:p w:rsidR="00FD53B9" w:rsidRPr="00FD53B9" w:rsidRDefault="00FD53B9" w:rsidP="00FD53B9">
      <w:pPr>
        <w:widowControl/>
        <w:numPr>
          <w:ilvl w:val="0"/>
          <w:numId w:val="43"/>
        </w:numPr>
        <w:autoSpaceDE w:val="0"/>
        <w:autoSpaceDN w:val="0"/>
        <w:adjustRightInd w:val="0"/>
        <w:contextualSpacing/>
        <w:rPr>
          <w:rFonts w:ascii="Traditional Arabic" w:hAnsi="Traditional Arabic"/>
          <w:color w:val="auto"/>
          <w:lang w:eastAsia="en-US"/>
        </w:rPr>
      </w:pPr>
      <w:r w:rsidRPr="00FD53B9">
        <w:rPr>
          <w:rFonts w:ascii="Traditional Arabic" w:hAnsi="Traditional Arabic"/>
          <w:color w:val="auto"/>
          <w:rtl/>
          <w:lang w:eastAsia="en-US"/>
        </w:rPr>
        <w:t>غاية النهاية في طبقات القراء, المؤلف: شمس الدين أبو الخير ابن الجزري، محمد بن محمد بن يوسف (المتوفى: 833هـ), المحقق: د. علي محمد عمر, الناشر: مكتبة الخانجي, القاهرة</w:t>
      </w:r>
      <w:r w:rsidRPr="00FD53B9">
        <w:rPr>
          <w:rFonts w:ascii="Traditional Arabic" w:hAnsi="Traditional Arabic" w:hint="cs"/>
          <w:color w:val="auto"/>
          <w:rtl/>
          <w:lang w:eastAsia="en-US"/>
        </w:rPr>
        <w:t xml:space="preserve"> </w:t>
      </w:r>
      <w:r w:rsidRPr="00FD53B9">
        <w:rPr>
          <w:rFonts w:ascii="Traditional Arabic" w:hAnsi="Traditional Arabic"/>
          <w:color w:val="auto"/>
          <w:rtl/>
          <w:lang w:eastAsia="en-US"/>
        </w:rPr>
        <w:t>-</w:t>
      </w:r>
      <w:r w:rsidRPr="00FD53B9">
        <w:rPr>
          <w:rFonts w:ascii="Traditional Arabic" w:hAnsi="Traditional Arabic" w:hint="cs"/>
          <w:color w:val="auto"/>
          <w:rtl/>
          <w:lang w:eastAsia="en-US"/>
        </w:rPr>
        <w:t xml:space="preserve"> </w:t>
      </w:r>
      <w:r w:rsidRPr="00FD53B9">
        <w:rPr>
          <w:rFonts w:ascii="Traditional Arabic" w:hAnsi="Traditional Arabic"/>
          <w:color w:val="auto"/>
          <w:rtl/>
          <w:lang w:eastAsia="en-US"/>
        </w:rPr>
        <w:t>مصر, الطبعة: الأولى, عام النشر: 1431ه-2010م, عدد الأجزاء: 2</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غرائب التفسير وعجائب التأويل, المؤلف: محمود بن حمزة بن نصر، أبو القاسم برهان الدين الكرماني، ويعرف بتاج القراء (المتوفى: نحو 505هـ), دار النشر: دار القبلة للثقافة الإسلامية, جدة</w:t>
      </w:r>
      <w:r w:rsidRPr="00FD53B9">
        <w:rPr>
          <w:rFonts w:ascii="Traditional Arabic" w:hAnsi="Traditional Arabic" w:hint="cs"/>
          <w:color w:val="auto"/>
          <w:rtl/>
          <w:lang w:eastAsia="en-US"/>
        </w:rPr>
        <w:t xml:space="preserve"> - السعودية</w:t>
      </w:r>
      <w:r w:rsidRPr="00FD53B9">
        <w:rPr>
          <w:rFonts w:ascii="Traditional Arabic" w:hAnsi="Traditional Arabic"/>
          <w:color w:val="auto"/>
          <w:rtl/>
          <w:lang w:eastAsia="en-US"/>
        </w:rPr>
        <w:t>، مؤسسة علوم القرآن, بيروت لبنان, عدد الأجزاء: 2</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غريب الحديث, المؤلف: إبراهيم بن إسحاق الحربي أبو إسحاق (المتوفى: 285ه), المحقق: د. سليمان إبراهيم محمد العايد, الناشر: جامعة أم القرى, مكة المكرمة - السعودية, الطبعة: الأولى، عام النشر: 1405ه, عدد الأجزاء: 3</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غريب الحديث, المؤلف: أبو سليمان حمد بن محمد بن إبراهيم بن الخطاب البستي المعروف بالخطابي (المتوفى: 388هـ), المحقق: عبد الكريم إبراهيم الغرباوي, وخرج أحاديثه: عبد القيوم عبد رب النبي, الناشر: دار الفكر,</w:t>
      </w:r>
      <w:r w:rsidR="00142984">
        <w:rPr>
          <w:rFonts w:ascii="Traditional Arabic" w:hAnsi="Traditional Arabic" w:hint="cs"/>
          <w:color w:val="auto"/>
          <w:rtl/>
          <w:lang w:eastAsia="en-US"/>
        </w:rPr>
        <w:t xml:space="preserve"> بيروت </w:t>
      </w:r>
      <w:r w:rsidR="00142984">
        <w:rPr>
          <w:rFonts w:ascii="Traditional Arabic" w:hAnsi="Traditional Arabic"/>
          <w:color w:val="auto"/>
          <w:rtl/>
          <w:lang w:eastAsia="en-US"/>
        </w:rPr>
        <w:t>–</w:t>
      </w:r>
      <w:r w:rsidR="00142984">
        <w:rPr>
          <w:rFonts w:ascii="Traditional Arabic" w:hAnsi="Traditional Arabic" w:hint="cs"/>
          <w:color w:val="auto"/>
          <w:rtl/>
          <w:lang w:eastAsia="en-US"/>
        </w:rPr>
        <w:t xml:space="preserve"> لبنان,</w:t>
      </w:r>
      <w:r w:rsidRPr="00FD53B9">
        <w:rPr>
          <w:rFonts w:ascii="Traditional Arabic" w:hAnsi="Traditional Arabic"/>
          <w:color w:val="auto"/>
          <w:rtl/>
          <w:lang w:eastAsia="en-US"/>
        </w:rPr>
        <w:t xml:space="preserve"> عام النشر: 1402هـ-1982م, عدد الأجزاء: 3</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 xml:space="preserve">غريب الحديث, المؤلف: أبو عُبيد القاسم بن سلاّم بن عبد الله الهروي البغدادي (المتوفى: 224هـ), المحقق: د. محمد عبد المعيد خان, الناشر: </w:t>
      </w:r>
      <w:r w:rsidR="00142984">
        <w:rPr>
          <w:rFonts w:ascii="Traditional Arabic" w:hAnsi="Traditional Arabic"/>
          <w:color w:val="auto"/>
          <w:rtl/>
          <w:lang w:eastAsia="en-US"/>
        </w:rPr>
        <w:t xml:space="preserve">مطبعة دائرة المعارف العثمانية، </w:t>
      </w:r>
      <w:r w:rsidRPr="00FD53B9">
        <w:rPr>
          <w:rFonts w:ascii="Traditional Arabic" w:hAnsi="Traditional Arabic"/>
          <w:color w:val="auto"/>
          <w:rtl/>
          <w:lang w:eastAsia="en-US"/>
        </w:rPr>
        <w:t>حيدر آباد</w:t>
      </w:r>
      <w:r w:rsidR="00142984">
        <w:rPr>
          <w:rFonts w:ascii="Traditional Arabic" w:hAnsi="Traditional Arabic" w:hint="cs"/>
          <w:color w:val="auto"/>
          <w:rtl/>
          <w:lang w:eastAsia="en-US"/>
        </w:rPr>
        <w:t xml:space="preserve"> -</w:t>
      </w:r>
      <w:r w:rsidR="00142984">
        <w:rPr>
          <w:rFonts w:ascii="Traditional Arabic" w:hAnsi="Traditional Arabic"/>
          <w:color w:val="auto"/>
          <w:rtl/>
          <w:lang w:eastAsia="en-US"/>
        </w:rPr>
        <w:t xml:space="preserve"> الدكن</w:t>
      </w:r>
      <w:r w:rsidRPr="00FD53B9">
        <w:rPr>
          <w:rFonts w:ascii="Traditional Arabic" w:hAnsi="Traditional Arabic"/>
          <w:color w:val="auto"/>
          <w:rtl/>
          <w:lang w:eastAsia="en-US"/>
        </w:rPr>
        <w:t>, الطبعة: الأولى، 1384هـ-1964م, عدد الأجزاء: 4</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غريب الحديث, المؤلف: أبو محمد عبد الله بن مسلم بن قتيبة الدينوري (المتوفى: 276هـ), المحقق: د. عبد الله الجبوري, الناشر: مطبعة العاني, بغداد- العراق, الطبعة: الأولى، عام النشر: 1397ه, عدد الأجزاء: 3</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غريب الحديث, المؤلف: جمال الدين أبو الفرج عبد الرحمن بن علي بن محمد الجوزي (المتوفى: 597هـ), المحقق: الدكتور عبد المعطي أمين القلعجي, الناشر: دار الكتب العلمية, بيروت – لبنان, الطبعة: الأولى، 1405 – 1985, عدد الأجزاء: 2</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 xml:space="preserve">غريب القرآن وتفسيره, المؤلف: أبو عبدالرحمن عبدالله بن يحيى بن المبارك  العدوي البغدادي اليزيدي (المتوفى: 237ه), تحقيق: محمد سليم الحاج, دار النشر: عالم الكتب, </w:t>
      </w:r>
      <w:r w:rsidRPr="00FD53B9">
        <w:rPr>
          <w:rFonts w:ascii="Traditional Arabic" w:hAnsi="Traditional Arabic"/>
          <w:color w:val="auto"/>
          <w:rtl/>
          <w:lang w:eastAsia="en-US"/>
        </w:rPr>
        <w:lastRenderedPageBreak/>
        <w:t>بيروت – لبنان, عام النشر: 1405 هـ- 1985م, عدد الأجزاء: 1</w:t>
      </w:r>
    </w:p>
    <w:p w:rsidR="00FD53B9" w:rsidRPr="00FD53B9" w:rsidRDefault="00FD53B9" w:rsidP="00FD53B9">
      <w:pPr>
        <w:widowControl/>
        <w:numPr>
          <w:ilvl w:val="0"/>
          <w:numId w:val="43"/>
        </w:numPr>
        <w:autoSpaceDE w:val="0"/>
        <w:autoSpaceDN w:val="0"/>
        <w:adjustRightInd w:val="0"/>
        <w:contextualSpacing/>
        <w:rPr>
          <w:rFonts w:ascii="Traditional Arabic" w:hAnsi="Traditional Arabic"/>
          <w:color w:val="auto"/>
          <w:lang w:eastAsia="en-US"/>
        </w:rPr>
      </w:pPr>
      <w:r w:rsidRPr="00FD53B9">
        <w:rPr>
          <w:rFonts w:ascii="Traditional Arabic" w:hAnsi="Traditional Arabic"/>
          <w:color w:val="auto"/>
          <w:rtl/>
          <w:lang w:eastAsia="en-US"/>
        </w:rPr>
        <w:t xml:space="preserve">غريب القرآن, المؤلف: أبو محمد عبد الله بن مسلم بن قتيبة الدينوري (المتوفى: 276هـ), المحقق: أحمد </w:t>
      </w:r>
      <w:r w:rsidR="00142984">
        <w:rPr>
          <w:rFonts w:ascii="Traditional Arabic" w:hAnsi="Traditional Arabic"/>
          <w:color w:val="auto"/>
          <w:rtl/>
          <w:lang w:eastAsia="en-US"/>
        </w:rPr>
        <w:t>صقر, الناشر: دار الكتب العلمية</w:t>
      </w:r>
      <w:r w:rsidR="00142984">
        <w:rPr>
          <w:rFonts w:ascii="Traditional Arabic" w:hAnsi="Traditional Arabic" w:hint="cs"/>
          <w:color w:val="auto"/>
          <w:rtl/>
          <w:lang w:eastAsia="en-US"/>
        </w:rPr>
        <w:t xml:space="preserve">, </w:t>
      </w:r>
      <w:r w:rsidRPr="00FD53B9">
        <w:rPr>
          <w:rFonts w:ascii="Traditional Arabic" w:hAnsi="Traditional Arabic"/>
          <w:color w:val="auto"/>
          <w:rtl/>
          <w:lang w:eastAsia="en-US"/>
        </w:rPr>
        <w:t>بيروت</w:t>
      </w:r>
      <w:r w:rsidR="00142984">
        <w:rPr>
          <w:rFonts w:ascii="Traditional Arabic" w:hAnsi="Traditional Arabic" w:hint="cs"/>
          <w:color w:val="auto"/>
          <w:rtl/>
          <w:lang w:eastAsia="en-US"/>
        </w:rPr>
        <w:t xml:space="preserve"> -</w:t>
      </w:r>
      <w:r w:rsidR="00142984">
        <w:rPr>
          <w:rFonts w:ascii="Traditional Arabic" w:hAnsi="Traditional Arabic"/>
          <w:color w:val="auto"/>
          <w:rtl/>
          <w:lang w:eastAsia="en-US"/>
        </w:rPr>
        <w:t xml:space="preserve"> لبنان</w:t>
      </w:r>
      <w:r w:rsidRPr="00FD53B9">
        <w:rPr>
          <w:rFonts w:ascii="Traditional Arabic" w:hAnsi="Traditional Arabic"/>
          <w:color w:val="auto"/>
          <w:rtl/>
          <w:lang w:eastAsia="en-US"/>
        </w:rPr>
        <w:t>, عام النشر: 1398هـ-1978م, عدد الأجزاء: 1</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غوامض الأسماء المبهمة الواقعة في متون الأحاديث المسندة, المؤلف: أبو القاسم خلف بن عبد الملك بن مسعود بن بشكوال الخزرجي الأنصاري الأندلسي (المتوفى: 578هـ), المحقق: د. عز الدين علي السيد , محمد كمال الدين عز الدين, الناشر: عالم الكتب, بيروت - لبنان, الطبعة: الأولى، عام النشر: 1407ه, عدد الأجزاء: 2</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الفائق في غريب الحديث والأثر, المؤلف: أبو القاسم محمود بن عمرو بن أحمد، الزمخشري جار الله (المتوفى: 538هـ), المحقق: علي محمد البجاوي - محمد أبو الفض</w:t>
      </w:r>
      <w:r w:rsidR="00142984">
        <w:rPr>
          <w:rFonts w:ascii="Traditional Arabic" w:hAnsi="Traditional Arabic"/>
          <w:color w:val="auto"/>
          <w:rtl/>
          <w:lang w:eastAsia="en-US"/>
        </w:rPr>
        <w:t>ل إبراهيم, الناشر: دار المعرفة</w:t>
      </w:r>
      <w:r w:rsidR="00142984">
        <w:rPr>
          <w:rFonts w:ascii="Traditional Arabic" w:hAnsi="Traditional Arabic" w:hint="cs"/>
          <w:color w:val="auto"/>
          <w:rtl/>
          <w:lang w:eastAsia="en-US"/>
        </w:rPr>
        <w:t>, بيروت -</w:t>
      </w:r>
      <w:r w:rsidRPr="00FD53B9">
        <w:rPr>
          <w:rFonts w:ascii="Traditional Arabic" w:hAnsi="Traditional Arabic"/>
          <w:color w:val="auto"/>
          <w:rtl/>
          <w:lang w:eastAsia="en-US"/>
        </w:rPr>
        <w:t xml:space="preserve"> لبنان, الطبعة: الثانية, عدد الأجزاء: 4</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فتح القدير الجامع بين فني الرواية والدراية من علم التفسير, المؤلف: محمد بن علي بن محمد بن عبد الله الشوكاني اليمني (المتوف</w:t>
      </w:r>
      <w:r w:rsidR="00142984">
        <w:rPr>
          <w:rFonts w:ascii="Traditional Arabic" w:hAnsi="Traditional Arabic"/>
          <w:color w:val="auto"/>
          <w:rtl/>
          <w:lang w:eastAsia="en-US"/>
        </w:rPr>
        <w:t>ى: 1250هـ), الناشر: مكتبة الرشد</w:t>
      </w:r>
      <w:r w:rsidRPr="00FD53B9">
        <w:rPr>
          <w:rFonts w:ascii="Traditional Arabic" w:hAnsi="Traditional Arabic"/>
          <w:color w:val="auto"/>
          <w:rtl/>
          <w:lang w:eastAsia="en-US"/>
        </w:rPr>
        <w:t xml:space="preserve"> ناشرون, المملكة العربية السعودية – الرياض, الطبعة: السادسة, عام النشر: 1430ه-2009م, عدد الأجزاء 4</w:t>
      </w:r>
    </w:p>
    <w:p w:rsidR="00FD53B9" w:rsidRPr="00FD53B9" w:rsidRDefault="00FD53B9" w:rsidP="00FD53B9">
      <w:pPr>
        <w:numPr>
          <w:ilvl w:val="0"/>
          <w:numId w:val="43"/>
        </w:numPr>
        <w:contextualSpacing/>
        <w:rPr>
          <w:rFonts w:ascii="Traditional Arabic" w:hAnsi="Traditional Arabic"/>
          <w:color w:val="auto"/>
        </w:rPr>
      </w:pPr>
      <w:r w:rsidRPr="00FD53B9">
        <w:rPr>
          <w:rFonts w:ascii="Traditional Arabic" w:hAnsi="Traditional Arabic"/>
          <w:color w:val="auto"/>
          <w:rtl/>
          <w:lang w:eastAsia="en-US"/>
        </w:rPr>
        <w:t>الفردوس بمأثور الخطاب, المؤلف: أبو شجاع شيرويه بن شهردار بن شيرويه بن فناخسرو، الديلميّ الهمذاني (المتوفى: 509هـ), المحقق: السعيد بن بسيوني زغلول, الناشر: دار الكتب العلمية, بيروت - لبنان, الطبعة: الأولى، عام النشر: 1406هـ-1986م, عدد الأجزاء: 5</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 xml:space="preserve">الفصل في الملل والأهواء والنحل, المؤلف: أبو محمد علي بن أحمد بن سعيد بن حزم الأندلسي القرطبي الظاهري (المتوفى: 456هـ), الناشر: مكتبة الخانجي, القاهرة – مصر, عدد الأجزاء: 5 </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فضائل القرآن للقاسم بن سلام, المؤلف: أبو عُبيد القاسم بن سلاّم بن عبد الله الهروي البغدادي (المتوفى: 224هـ), تحقيق: مروان العطية، ومحسن خرابة، ووفاء تقي الد</w:t>
      </w:r>
      <w:r w:rsidR="00142984">
        <w:rPr>
          <w:rFonts w:ascii="Traditional Arabic" w:hAnsi="Traditional Arabic"/>
          <w:color w:val="auto"/>
          <w:rtl/>
          <w:lang w:eastAsia="en-US"/>
        </w:rPr>
        <w:t>ين, الناشر: دار ابن كثير</w:t>
      </w:r>
      <w:r w:rsidR="00142984">
        <w:rPr>
          <w:rFonts w:ascii="Traditional Arabic" w:hAnsi="Traditional Arabic" w:hint="cs"/>
          <w:color w:val="auto"/>
          <w:rtl/>
          <w:lang w:eastAsia="en-US"/>
        </w:rPr>
        <w:t>-</w:t>
      </w:r>
      <w:r w:rsidR="00142984">
        <w:rPr>
          <w:rFonts w:ascii="Traditional Arabic" w:hAnsi="Traditional Arabic"/>
          <w:color w:val="auto"/>
          <w:rtl/>
          <w:lang w:eastAsia="en-US"/>
        </w:rPr>
        <w:t xml:space="preserve"> دمشق</w:t>
      </w:r>
      <w:r w:rsidR="00142984">
        <w:rPr>
          <w:rFonts w:ascii="Traditional Arabic" w:hAnsi="Traditional Arabic" w:hint="cs"/>
          <w:color w:val="auto"/>
          <w:rtl/>
          <w:lang w:eastAsia="en-US"/>
        </w:rPr>
        <w:t>,</w:t>
      </w:r>
      <w:r w:rsidRPr="00FD53B9">
        <w:rPr>
          <w:rFonts w:ascii="Traditional Arabic" w:hAnsi="Traditional Arabic"/>
          <w:color w:val="auto"/>
          <w:rtl/>
          <w:lang w:eastAsia="en-US"/>
        </w:rPr>
        <w:t xml:space="preserve"> بيروت, الطبعة: الأولى، عام النشر: 1415هـ-1995م, </w:t>
      </w:r>
      <w:r w:rsidRPr="00FD53B9">
        <w:rPr>
          <w:rFonts w:ascii="Traditional Arabic" w:hAnsi="Traditional Arabic"/>
          <w:color w:val="auto"/>
          <w:rtl/>
          <w:lang w:eastAsia="en-US"/>
        </w:rPr>
        <w:lastRenderedPageBreak/>
        <w:t>عدد الأجزاء: 1</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فوات الوفيات, المؤلف: محمد بن شاكر بن أحمد بن عبد الرحمن بن شاكر بن هارون بن شاكر الملقب بصلاح الدين (المتوفى: 764هـ), المحقق: إحسان عباس, الناشر: دار صادر, بيروت – لبنان, الطبعة: الأولى, الجزء: 1 عام: 1973م, الجزء: 2، 3، 4 عام: 1974م, عدد الأجزاء: 4</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الفوائد, المؤلف: أبو القاسم تمام بن محمد الرازي, المحقق: حمدي عبد المجيد السلفي, الناشر: مكتبة الرشد, الرياض - السعودية, سنة النشر: 1412ه, عدد الأجزاء: 2</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القاموس المحيط, المؤلف: مجد الدين أبو طاهر محمد بن يعقوب الفيروزآبادى (المتوفى: 817هـ), تحقيق: مكتب تحقيق التراث في مؤسسة الرسالة, بإشراف: محمد نعيم العرقسُوسي, الناشر: مؤسسة الرسالة للطباعة والنشر والتوزيع، بيروت – لبنان, الطبعة: الثامنة، عام النشر: 1426هـ-2005م, عدد الأجزاء: 1</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الكافي في فقه الإمام أحمد, المؤلف: أبو محمد موفق الدين عبد الله بن أحمد بن محمد بن قدامة الجماعيلي المقدسي ثم الدمشقي الحنبلي، الشهير بابن قدامة المقدسي (المتوفى: 620هـ), الناشر: دار الكتب العلمية,</w:t>
      </w:r>
      <w:r w:rsidR="00142984">
        <w:rPr>
          <w:rFonts w:ascii="Traditional Arabic" w:hAnsi="Traditional Arabic" w:hint="cs"/>
          <w:color w:val="auto"/>
          <w:rtl/>
          <w:lang w:eastAsia="en-US"/>
        </w:rPr>
        <w:t xml:space="preserve"> بيروت </w:t>
      </w:r>
      <w:r w:rsidR="00142984">
        <w:rPr>
          <w:rFonts w:ascii="Traditional Arabic" w:hAnsi="Traditional Arabic"/>
          <w:color w:val="auto"/>
          <w:rtl/>
          <w:lang w:eastAsia="en-US"/>
        </w:rPr>
        <w:t>–</w:t>
      </w:r>
      <w:r w:rsidR="00142984">
        <w:rPr>
          <w:rFonts w:ascii="Traditional Arabic" w:hAnsi="Traditional Arabic" w:hint="cs"/>
          <w:color w:val="auto"/>
          <w:rtl/>
          <w:lang w:eastAsia="en-US"/>
        </w:rPr>
        <w:t xml:space="preserve"> لبنان,</w:t>
      </w:r>
      <w:r w:rsidRPr="00FD53B9">
        <w:rPr>
          <w:rFonts w:ascii="Traditional Arabic" w:hAnsi="Traditional Arabic"/>
          <w:color w:val="auto"/>
          <w:rtl/>
          <w:lang w:eastAsia="en-US"/>
        </w:rPr>
        <w:t xml:space="preserve"> الطبعة: الأولى، عام النشر: 1414هـ-1994م, عدد الأجزاء: 4</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الكافي في فقه أهل المدينة, المؤلف: أبو عمر يوسف بن عبد الله بن محمد بن عبد البر بن عاصم النمري القرطبي (المتوفى: 463هـ), المحقق: محمد محمد أحيد ولد ماديك الموريتاني, الناشر: مكتبة الرياض الحديثة، الرياض - المملكة العربية السعودية, الطبعة: الثانية، 1400ه-1980م, عدد الأجزاء: 2</w:t>
      </w:r>
    </w:p>
    <w:p w:rsidR="00FD53B9" w:rsidRPr="00FD53B9" w:rsidRDefault="00FD53B9" w:rsidP="00FD53B9">
      <w:pPr>
        <w:widowControl/>
        <w:numPr>
          <w:ilvl w:val="0"/>
          <w:numId w:val="43"/>
        </w:numPr>
        <w:autoSpaceDE w:val="0"/>
        <w:autoSpaceDN w:val="0"/>
        <w:adjustRightInd w:val="0"/>
        <w:contextualSpacing/>
        <w:rPr>
          <w:rFonts w:ascii="Traditional Arabic" w:hAnsi="Traditional Arabic"/>
          <w:color w:val="auto"/>
          <w:lang w:eastAsia="en-US"/>
        </w:rPr>
      </w:pPr>
      <w:r w:rsidRPr="00FD53B9">
        <w:rPr>
          <w:rFonts w:ascii="Traditional Arabic" w:hAnsi="Traditional Arabic"/>
          <w:color w:val="auto"/>
          <w:rtl/>
          <w:lang w:eastAsia="en-US"/>
        </w:rPr>
        <w:t>الكامل في القراءات العشر والأربعين الزائدة عليها, المؤلف: يوسف بن علي بن جبارة بن محمد بن عقيل بن سواده أبو القاسم الهُذَلي اليشكري المغربي (المتوفى: 465هـ), المحقق: جمال بن السيد بن رفاعي الشايب, الناشر: مؤسسة سما للتوزيع والنشر, الطبعة: الأولى, عام النشر: 1428هـ-2007م, عدد الأجزاء: 1</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 xml:space="preserve">الكامل في معرفة ضعفاء المحدثين وعلل الحديث, المؤلف: أبو أحمد عبد الله بن عدي الجرجاني, (المتوفى: 365هـ), المحقق: عادل أحمد عبد الموجود، وعلي محمد معوض, </w:t>
      </w:r>
      <w:r w:rsidRPr="00FD53B9">
        <w:rPr>
          <w:rFonts w:ascii="Traditional Arabic" w:hAnsi="Traditional Arabic"/>
          <w:color w:val="auto"/>
          <w:rtl/>
          <w:lang w:eastAsia="en-US"/>
        </w:rPr>
        <w:lastRenderedPageBreak/>
        <w:t>الناشر: دار الكتب العلمية, بيروت – لبنان, الطبعة: الأولى، عام النشر: 1997م, عدد الأجزاء: 9</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كتاب الحدائق في علم الحديث والزهديات, تأليف الشيخ الامام العالم الأوحد شيخ الاسلام أبي الفرج عبدالرحمن بن علي بن محمد بن علي بن الجوزي, حققه وعلق عليه مصطفى السبكي, دار الكتب العلمية, بيروت - لبنان, الطبعة: الأولى, عام النشر: 1408ه-1988م, عدد الأجزاء: 3</w:t>
      </w:r>
    </w:p>
    <w:p w:rsidR="00FD53B9" w:rsidRPr="00FD53B9" w:rsidRDefault="00FD53B9" w:rsidP="00142984">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 xml:space="preserve">كتاب في شواذ القراءة واختلاف المصاحف, المؤلف: رضى الدين ابى عبدالله محمد بن ابى نصر بن عبدالله الكرماني, </w:t>
      </w:r>
      <w:r w:rsidR="00142984">
        <w:rPr>
          <w:rFonts w:ascii="Traditional Arabic" w:hAnsi="Traditional Arabic" w:hint="cs"/>
          <w:color w:val="auto"/>
          <w:rtl/>
          <w:lang w:eastAsia="en-US"/>
        </w:rPr>
        <w:t xml:space="preserve">دار النشر: </w:t>
      </w:r>
      <w:r w:rsidRPr="00FD53B9">
        <w:rPr>
          <w:rFonts w:ascii="Traditional Arabic" w:hAnsi="Traditional Arabic"/>
          <w:color w:val="auto"/>
          <w:rtl/>
          <w:lang w:eastAsia="en-US"/>
        </w:rPr>
        <w:t>الأزهر الشريف – مصر</w:t>
      </w:r>
      <w:r w:rsidR="00142984">
        <w:rPr>
          <w:rFonts w:ascii="Traditional Arabic" w:hAnsi="Traditional Arabic" w:hint="cs"/>
          <w:color w:val="auto"/>
          <w:rtl/>
          <w:lang w:eastAsia="en-US"/>
        </w:rPr>
        <w:t>, عدد الأجزاء: 1</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كتاب فيه لغات القرآن, المؤلف: أبو زكريا يحيى بن زياد بن عبد الله بن منظور الديلمي الفراء (المتوفى: 207هـ), ضبطه وصححه: جابر بن عبد الله السريع, عام النشر: 1435هـ, عدد الأجزاء: 1</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كتب السنن المعروف بالسنن الكبرى للإمام أبي الرحمن أحمد بن شعيب بن علي الخراساني، النسائي (المتوفى: 303هـ), تحقيق ودراسة مركز البحوث وتقنية المعلومات, الناشر: دار التأصيل القاهرة – مصر, الطبعة: الاولى، عام النشر: 1433ه- 2012م, عدد الأجزاء: 13</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الكشاف عن حقائق التنزيل وعيون الأقاويل في وجوه التأويل, المؤلف: أبو القاسم محمود بن عمرو بن أحمد، الزمخشري جار الله (المتوفى: 538هـ), الناشر: دار الكتاب العربي, بيروت</w:t>
      </w:r>
      <w:r w:rsidR="00142984">
        <w:rPr>
          <w:rFonts w:ascii="Traditional Arabic" w:hAnsi="Traditional Arabic" w:hint="cs"/>
          <w:color w:val="auto"/>
          <w:rtl/>
          <w:lang w:eastAsia="en-US"/>
        </w:rPr>
        <w:t xml:space="preserve"> -</w:t>
      </w:r>
      <w:r w:rsidRPr="00FD53B9">
        <w:rPr>
          <w:rFonts w:ascii="Traditional Arabic" w:hAnsi="Traditional Arabic"/>
          <w:color w:val="auto"/>
          <w:rtl/>
          <w:lang w:eastAsia="en-US"/>
        </w:rPr>
        <w:t xml:space="preserve"> لبنان, الطبعة: الثالثة, عام النشر: 1407هـ, عدد الأجزاء: 4</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كشف الظنون عن أسامي الكتب والفنون, المؤلف: مصطفى بن عبد الله كاتب جلبي القسطنطيني المشهور باسم حاجي خليفة أو الحاج خليفة (المتوفى: 1067هـ), الناشر: مكتبة المثنى - بغداد (وصورتها عدة دور لبنانية، بنفس ترقيم صفحاتها، مثل: دار إحياء التراث العربي، ودار العلوم الحديثة، ودار الكتب العلمية), تاريخ النشر: 1941م.</w:t>
      </w:r>
    </w:p>
    <w:p w:rsidR="00FD53B9" w:rsidRPr="00FD53B9" w:rsidRDefault="00FD53B9" w:rsidP="00FD53B9">
      <w:pPr>
        <w:widowControl/>
        <w:numPr>
          <w:ilvl w:val="0"/>
          <w:numId w:val="43"/>
        </w:numPr>
        <w:autoSpaceDE w:val="0"/>
        <w:autoSpaceDN w:val="0"/>
        <w:adjustRightInd w:val="0"/>
        <w:contextualSpacing/>
        <w:rPr>
          <w:rFonts w:ascii="Traditional Arabic" w:hAnsi="Traditional Arabic"/>
          <w:color w:val="auto"/>
          <w:lang w:eastAsia="en-US"/>
        </w:rPr>
      </w:pPr>
      <w:r w:rsidRPr="00FD53B9">
        <w:rPr>
          <w:rFonts w:ascii="Traditional Arabic" w:hAnsi="Traditional Arabic"/>
          <w:color w:val="auto"/>
          <w:rtl/>
          <w:lang w:eastAsia="en-US"/>
        </w:rPr>
        <w:t xml:space="preserve">الكشف والبيان عن تفسير القرآن, المؤلف: أحمد بن محمد بن إبراهيم الثعلبي، أبو إسحاق (المتوفى: 427هـ), تحقيق: الإمام أبي محمد بن عاشور, مراجعة وتدقيق: الأستاذ </w:t>
      </w:r>
      <w:r w:rsidRPr="00FD53B9">
        <w:rPr>
          <w:rFonts w:ascii="Traditional Arabic" w:hAnsi="Traditional Arabic"/>
          <w:color w:val="auto"/>
          <w:rtl/>
          <w:lang w:eastAsia="en-US"/>
        </w:rPr>
        <w:lastRenderedPageBreak/>
        <w:t>نظير الساعدي, الناشر: دار إحياء التراث العر</w:t>
      </w:r>
      <w:r w:rsidR="00142984">
        <w:rPr>
          <w:rFonts w:ascii="Traditional Arabic" w:hAnsi="Traditional Arabic"/>
          <w:color w:val="auto"/>
          <w:rtl/>
          <w:lang w:eastAsia="en-US"/>
        </w:rPr>
        <w:t>بي</w:t>
      </w:r>
      <w:r w:rsidR="00142984">
        <w:rPr>
          <w:rFonts w:ascii="Traditional Arabic" w:hAnsi="Traditional Arabic" w:hint="cs"/>
          <w:color w:val="auto"/>
          <w:rtl/>
          <w:lang w:eastAsia="en-US"/>
        </w:rPr>
        <w:t xml:space="preserve">, </w:t>
      </w:r>
      <w:r w:rsidRPr="00FD53B9">
        <w:rPr>
          <w:rFonts w:ascii="Traditional Arabic" w:hAnsi="Traditional Arabic"/>
          <w:color w:val="auto"/>
          <w:rtl/>
          <w:lang w:eastAsia="en-US"/>
        </w:rPr>
        <w:t>بيروت</w:t>
      </w:r>
      <w:r w:rsidR="00142984">
        <w:rPr>
          <w:rFonts w:ascii="Traditional Arabic" w:hAnsi="Traditional Arabic" w:hint="cs"/>
          <w:color w:val="auto"/>
          <w:rtl/>
          <w:lang w:eastAsia="en-US"/>
        </w:rPr>
        <w:t xml:space="preserve"> -</w:t>
      </w:r>
      <w:r w:rsidR="00142984">
        <w:rPr>
          <w:rFonts w:ascii="Traditional Arabic" w:hAnsi="Traditional Arabic"/>
          <w:color w:val="auto"/>
          <w:rtl/>
          <w:lang w:eastAsia="en-US"/>
        </w:rPr>
        <w:t xml:space="preserve"> لبنان</w:t>
      </w:r>
      <w:r w:rsidRPr="00FD53B9">
        <w:rPr>
          <w:rFonts w:ascii="Traditional Arabic" w:hAnsi="Traditional Arabic"/>
          <w:color w:val="auto"/>
          <w:rtl/>
          <w:lang w:eastAsia="en-US"/>
        </w:rPr>
        <w:t>, الطبعة: الأولى, عام النشر: 1422ه-2002م, عدد الأجزاء: 10</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لباب النقول في أسباب النزول, المؤلف: عبد الرحمن بن أبي بكر، جلال الدين السيوطي (المتوفى: 911هـ), ضبطه وصححه: الاستاذ أحمد عبد الشافي, الناشر: دار الكتب العلمية, بيروت – لبنان, عدد الأجزاء: 1</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اللباب في تهذيب الأنساب, المؤلف: أبو الحسن علي بن أبي الكرم محمد بن محمد بن عبد الكريم بن عبد الواحد الشيباني الجزري، عز الدين ابن الأثير (الم</w:t>
      </w:r>
      <w:r w:rsidR="00142984">
        <w:rPr>
          <w:rFonts w:ascii="Traditional Arabic" w:hAnsi="Traditional Arabic"/>
          <w:color w:val="auto"/>
          <w:rtl/>
          <w:lang w:eastAsia="en-US"/>
        </w:rPr>
        <w:t>توفى: 630هـ), الناشر: دار صادر</w:t>
      </w:r>
      <w:r w:rsidR="00142984">
        <w:rPr>
          <w:rFonts w:ascii="Traditional Arabic" w:hAnsi="Traditional Arabic" w:hint="cs"/>
          <w:color w:val="auto"/>
          <w:rtl/>
          <w:lang w:eastAsia="en-US"/>
        </w:rPr>
        <w:t>,</w:t>
      </w:r>
      <w:r w:rsidRPr="00FD53B9">
        <w:rPr>
          <w:rFonts w:ascii="Traditional Arabic" w:hAnsi="Traditional Arabic"/>
          <w:color w:val="auto"/>
          <w:rtl/>
          <w:lang w:eastAsia="en-US"/>
        </w:rPr>
        <w:t xml:space="preserve"> بيروت</w:t>
      </w:r>
      <w:r w:rsidR="00142984">
        <w:rPr>
          <w:rFonts w:ascii="Traditional Arabic" w:hAnsi="Traditional Arabic" w:hint="cs"/>
          <w:color w:val="auto"/>
          <w:rtl/>
          <w:lang w:eastAsia="en-US"/>
        </w:rPr>
        <w:t xml:space="preserve"> -</w:t>
      </w:r>
      <w:r w:rsidRPr="00FD53B9">
        <w:rPr>
          <w:rFonts w:ascii="Traditional Arabic" w:hAnsi="Traditional Arabic"/>
          <w:color w:val="auto"/>
          <w:rtl/>
          <w:lang w:eastAsia="en-US"/>
        </w:rPr>
        <w:t xml:space="preserve"> لبنان, عدد الاجزاء: 3</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اللباب في علوم الكتاب, المؤلف: أبو حفص سراج الدين عمر بن علي بن عادل الحنبلي الدمشقي النعماني (المتوفى: 775هـ), المحقق: الشيخ عادل أحمد عبد الموجود والشيخ علي محمد معوض, الناشر: دار الكتب العلمية, بيروت - لبنان, الطبعة: الأولى، عام النشر: 1419هـ-1998م, عدد الأجزاء: 20</w:t>
      </w:r>
    </w:p>
    <w:p w:rsidR="00FD53B9" w:rsidRPr="00FD53B9" w:rsidRDefault="00FD53B9" w:rsidP="00FD53B9">
      <w:pPr>
        <w:widowControl/>
        <w:numPr>
          <w:ilvl w:val="0"/>
          <w:numId w:val="43"/>
        </w:numPr>
        <w:autoSpaceDE w:val="0"/>
        <w:autoSpaceDN w:val="0"/>
        <w:adjustRightInd w:val="0"/>
        <w:contextualSpacing/>
        <w:rPr>
          <w:rFonts w:ascii="Traditional Arabic" w:hAnsi="Traditional Arabic"/>
          <w:color w:val="auto"/>
          <w:lang w:eastAsia="en-US"/>
        </w:rPr>
      </w:pPr>
      <w:r w:rsidRPr="00FD53B9">
        <w:rPr>
          <w:rFonts w:ascii="Traditional Arabic" w:hAnsi="Traditional Arabic"/>
          <w:color w:val="auto"/>
          <w:rtl/>
          <w:lang w:eastAsia="en-US"/>
        </w:rPr>
        <w:t>لسان العرب, المؤلف: محمد بن مكرم بن على، أبو الفضل، جمال الدين ابن منظور الأنصاري الرويفعى الإفريقى (الم</w:t>
      </w:r>
      <w:r w:rsidR="00142984">
        <w:rPr>
          <w:rFonts w:ascii="Traditional Arabic" w:hAnsi="Traditional Arabic"/>
          <w:color w:val="auto"/>
          <w:rtl/>
          <w:lang w:eastAsia="en-US"/>
        </w:rPr>
        <w:t>توفى: 711هـ), الناشر: دار صادر</w:t>
      </w:r>
      <w:r w:rsidR="00142984">
        <w:rPr>
          <w:rFonts w:ascii="Traditional Arabic" w:hAnsi="Traditional Arabic" w:hint="cs"/>
          <w:color w:val="auto"/>
          <w:rtl/>
          <w:lang w:eastAsia="en-US"/>
        </w:rPr>
        <w:t xml:space="preserve">, </w:t>
      </w:r>
      <w:r w:rsidRPr="00FD53B9">
        <w:rPr>
          <w:rFonts w:ascii="Traditional Arabic" w:hAnsi="Traditional Arabic"/>
          <w:color w:val="auto"/>
          <w:rtl/>
          <w:lang w:eastAsia="en-US"/>
        </w:rPr>
        <w:t>بيروت</w:t>
      </w:r>
      <w:r w:rsidR="00142984">
        <w:rPr>
          <w:rFonts w:ascii="Traditional Arabic" w:hAnsi="Traditional Arabic" w:hint="cs"/>
          <w:color w:val="auto"/>
          <w:rtl/>
          <w:lang w:eastAsia="en-US"/>
        </w:rPr>
        <w:t xml:space="preserve"> -</w:t>
      </w:r>
      <w:r w:rsidR="00142984">
        <w:rPr>
          <w:rFonts w:ascii="Traditional Arabic" w:hAnsi="Traditional Arabic"/>
          <w:color w:val="auto"/>
          <w:rtl/>
          <w:lang w:eastAsia="en-US"/>
        </w:rPr>
        <w:t xml:space="preserve"> لبنان</w:t>
      </w:r>
      <w:r w:rsidRPr="00FD53B9">
        <w:rPr>
          <w:rFonts w:ascii="Traditional Arabic" w:hAnsi="Traditional Arabic"/>
          <w:color w:val="auto"/>
          <w:rtl/>
          <w:lang w:eastAsia="en-US"/>
        </w:rPr>
        <w:t>, الطبعة: الثالثة, عام النشر: 1414هـ , عدد الأجزاء: 15</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لسان الميزان, المؤلف: أبو الفضل أحمد بن علي بن محمد بن أحمد بن حجر العسقلاني (المتوفى: 852هـ), المحق</w:t>
      </w:r>
      <w:r w:rsidR="00142984">
        <w:rPr>
          <w:rFonts w:ascii="Traditional Arabic" w:hAnsi="Traditional Arabic"/>
          <w:color w:val="auto"/>
          <w:rtl/>
          <w:lang w:eastAsia="en-US"/>
        </w:rPr>
        <w:t>ق: دائرة المعرف النظامية -</w:t>
      </w:r>
      <w:r w:rsidR="00142984">
        <w:rPr>
          <w:rFonts w:ascii="Traditional Arabic" w:hAnsi="Traditional Arabic" w:hint="cs"/>
          <w:color w:val="auto"/>
          <w:rtl/>
          <w:lang w:eastAsia="en-US"/>
        </w:rPr>
        <w:t xml:space="preserve"> </w:t>
      </w:r>
      <w:r w:rsidR="00142984">
        <w:rPr>
          <w:rFonts w:ascii="Traditional Arabic" w:hAnsi="Traditional Arabic"/>
          <w:color w:val="auto"/>
          <w:rtl/>
          <w:lang w:eastAsia="en-US"/>
        </w:rPr>
        <w:t>الهند</w:t>
      </w:r>
      <w:r w:rsidRPr="00FD53B9">
        <w:rPr>
          <w:rFonts w:ascii="Traditional Arabic" w:hAnsi="Traditional Arabic"/>
          <w:color w:val="auto"/>
          <w:rtl/>
          <w:lang w:eastAsia="en-US"/>
        </w:rPr>
        <w:t>, ا</w:t>
      </w:r>
      <w:r w:rsidR="00142984">
        <w:rPr>
          <w:rFonts w:ascii="Traditional Arabic" w:hAnsi="Traditional Arabic"/>
          <w:color w:val="auto"/>
          <w:rtl/>
          <w:lang w:eastAsia="en-US"/>
        </w:rPr>
        <w:t>لناشر: مؤسسة الأعلمي للمطبوعات</w:t>
      </w:r>
      <w:r w:rsidR="00142984">
        <w:rPr>
          <w:rFonts w:ascii="Traditional Arabic" w:hAnsi="Traditional Arabic" w:hint="cs"/>
          <w:color w:val="auto"/>
          <w:rtl/>
          <w:lang w:eastAsia="en-US"/>
        </w:rPr>
        <w:t>,</w:t>
      </w:r>
      <w:r w:rsidR="00142984">
        <w:rPr>
          <w:rFonts w:ascii="Traditional Arabic" w:hAnsi="Traditional Arabic"/>
          <w:color w:val="auto"/>
          <w:rtl/>
          <w:lang w:eastAsia="en-US"/>
        </w:rPr>
        <w:t xml:space="preserve"> </w:t>
      </w:r>
      <w:r w:rsidRPr="00FD53B9">
        <w:rPr>
          <w:rFonts w:ascii="Traditional Arabic" w:hAnsi="Traditional Arabic"/>
          <w:color w:val="auto"/>
          <w:rtl/>
          <w:lang w:eastAsia="en-US"/>
        </w:rPr>
        <w:t>بيروت</w:t>
      </w:r>
      <w:r w:rsidR="00142984">
        <w:rPr>
          <w:rFonts w:ascii="Traditional Arabic" w:hAnsi="Traditional Arabic" w:hint="cs"/>
          <w:color w:val="auto"/>
          <w:rtl/>
          <w:lang w:eastAsia="en-US"/>
        </w:rPr>
        <w:t xml:space="preserve"> -</w:t>
      </w:r>
      <w:r w:rsidR="00142984">
        <w:rPr>
          <w:rFonts w:ascii="Traditional Arabic" w:hAnsi="Traditional Arabic"/>
          <w:color w:val="auto"/>
          <w:rtl/>
          <w:lang w:eastAsia="en-US"/>
        </w:rPr>
        <w:t xml:space="preserve"> لبنان</w:t>
      </w:r>
      <w:r w:rsidRPr="00FD53B9">
        <w:rPr>
          <w:rFonts w:ascii="Traditional Arabic" w:hAnsi="Traditional Arabic"/>
          <w:color w:val="auto"/>
          <w:rtl/>
          <w:lang w:eastAsia="en-US"/>
        </w:rPr>
        <w:t>, الطبعة: الثانية، 1390هـ -1971م, عدد الأجزاء: 7</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لطائف الإشارات = تفسير القشيري, المؤلف: عبد الكريم بن هوازن بن عبد الملك القشيري (المتوفى: 465هـ), المحقق: إبراهيم البسيوني, الناشر: الهيئة المصرية العامة للكتاب – مصر, الطبعة: الثالثة, عدد الأجزاء: 3</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المبسوط في القراءات العشر, المؤلف: أبو بكر أحمد بن الحسين بن مِهْران النيسابوري (المتوفى: 381هـ), تحقيق: سبيع حمزة حاكيمي, الناشر: مجمع اللغة العربية, دمشق - سوريا, عام النشر: 1981م, عدد الأجزاء: 1</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 xml:space="preserve">المبسوط للسرخسي, المؤلف: محمد بن أحمد بن أبي سهل شمس الأئمة السرخسي </w:t>
      </w:r>
      <w:r w:rsidRPr="00FD53B9">
        <w:rPr>
          <w:rFonts w:ascii="Traditional Arabic" w:hAnsi="Traditional Arabic"/>
          <w:color w:val="auto"/>
          <w:rtl/>
          <w:lang w:eastAsia="en-US"/>
        </w:rPr>
        <w:lastRenderedPageBreak/>
        <w:t>(المتوفى: 483هـ), دراسة وتحقيق: خليل محي الدين الميس, الناشر: دار الفكر</w:t>
      </w:r>
      <w:r w:rsidR="00142984">
        <w:rPr>
          <w:rFonts w:ascii="Traditional Arabic" w:hAnsi="Traditional Arabic"/>
          <w:color w:val="auto"/>
          <w:rtl/>
          <w:lang w:eastAsia="en-US"/>
        </w:rPr>
        <w:t xml:space="preserve"> للطباعة والنشر والتوزيع، بيروت</w:t>
      </w:r>
      <w:r w:rsidR="00142984">
        <w:rPr>
          <w:rFonts w:ascii="Traditional Arabic" w:hAnsi="Traditional Arabic" w:hint="cs"/>
          <w:color w:val="auto"/>
          <w:rtl/>
          <w:lang w:eastAsia="en-US"/>
        </w:rPr>
        <w:t xml:space="preserve"> -</w:t>
      </w:r>
      <w:r w:rsidRPr="00FD53B9">
        <w:rPr>
          <w:rFonts w:ascii="Traditional Arabic" w:hAnsi="Traditional Arabic"/>
          <w:color w:val="auto"/>
          <w:rtl/>
          <w:lang w:eastAsia="en-US"/>
        </w:rPr>
        <w:t xml:space="preserve"> لبنان, الطبعة الأولى، عام النشر: 1421هـ-2000م, عدد الأجزاء: 31</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مجاز القرآن, المؤلف: أبو عبيدة معمر بن المثنى التيمي البصري (المتوفى: 209هـ), المحقق: محمد فواد سزكين, الناشر: مكتبة الخانجي, القاهرة</w:t>
      </w:r>
      <w:r w:rsidR="00142984">
        <w:rPr>
          <w:rFonts w:ascii="Traditional Arabic" w:hAnsi="Traditional Arabic" w:hint="cs"/>
          <w:color w:val="auto"/>
          <w:rtl/>
          <w:lang w:eastAsia="en-US"/>
        </w:rPr>
        <w:t xml:space="preserve"> </w:t>
      </w:r>
      <w:r w:rsidRPr="00FD53B9">
        <w:rPr>
          <w:rFonts w:ascii="Traditional Arabic" w:hAnsi="Traditional Arabic"/>
          <w:color w:val="auto"/>
          <w:rtl/>
          <w:lang w:eastAsia="en-US"/>
        </w:rPr>
        <w:t>-</w:t>
      </w:r>
      <w:r w:rsidR="00142984">
        <w:rPr>
          <w:rFonts w:ascii="Traditional Arabic" w:hAnsi="Traditional Arabic" w:hint="cs"/>
          <w:color w:val="auto"/>
          <w:rtl/>
          <w:lang w:eastAsia="en-US"/>
        </w:rPr>
        <w:t xml:space="preserve"> </w:t>
      </w:r>
      <w:r w:rsidRPr="00FD53B9">
        <w:rPr>
          <w:rFonts w:ascii="Traditional Arabic" w:hAnsi="Traditional Arabic"/>
          <w:color w:val="auto"/>
          <w:rtl/>
          <w:lang w:eastAsia="en-US"/>
        </w:rPr>
        <w:t>مصر, الطبعة: 1381 ه, عدد الأجزاء: 1</w:t>
      </w:r>
    </w:p>
    <w:p w:rsidR="00FD53B9" w:rsidRPr="00FD53B9" w:rsidRDefault="00FD53B9" w:rsidP="00FD53B9">
      <w:pPr>
        <w:widowControl/>
        <w:numPr>
          <w:ilvl w:val="0"/>
          <w:numId w:val="43"/>
        </w:numPr>
        <w:autoSpaceDE w:val="0"/>
        <w:autoSpaceDN w:val="0"/>
        <w:adjustRightInd w:val="0"/>
        <w:contextualSpacing/>
        <w:rPr>
          <w:rFonts w:ascii="Traditional Arabic" w:hAnsi="Traditional Arabic"/>
          <w:color w:val="auto"/>
          <w:lang w:eastAsia="en-US"/>
        </w:rPr>
      </w:pPr>
      <w:r w:rsidRPr="00FD53B9">
        <w:rPr>
          <w:rFonts w:ascii="Traditional Arabic" w:hAnsi="Traditional Arabic"/>
          <w:color w:val="auto"/>
          <w:rtl/>
          <w:lang w:eastAsia="en-US"/>
        </w:rPr>
        <w:t>مجمع الزوائد ومنبع الفوائد, المؤلف: أبو الحسن نور الدين علي بن أبي بكر بن سليمان الهيثمي (المتوفى: 807هـ), المحقق: حسام الدي</w:t>
      </w:r>
      <w:r w:rsidR="00142984">
        <w:rPr>
          <w:rFonts w:ascii="Traditional Arabic" w:hAnsi="Traditional Arabic"/>
          <w:color w:val="auto"/>
          <w:rtl/>
          <w:lang w:eastAsia="en-US"/>
        </w:rPr>
        <w:t>ن القدسي, الناشر: مكتبة القدسي</w:t>
      </w:r>
      <w:r w:rsidR="00142984">
        <w:rPr>
          <w:rFonts w:ascii="Traditional Arabic" w:hAnsi="Traditional Arabic" w:hint="cs"/>
          <w:color w:val="auto"/>
          <w:rtl/>
          <w:lang w:eastAsia="en-US"/>
        </w:rPr>
        <w:t xml:space="preserve">, </w:t>
      </w:r>
      <w:r w:rsidRPr="00FD53B9">
        <w:rPr>
          <w:rFonts w:ascii="Traditional Arabic" w:hAnsi="Traditional Arabic"/>
          <w:color w:val="auto"/>
          <w:rtl/>
          <w:lang w:eastAsia="en-US"/>
        </w:rPr>
        <w:t>القاهرة</w:t>
      </w:r>
      <w:r w:rsidR="00142984">
        <w:rPr>
          <w:rFonts w:ascii="Traditional Arabic" w:hAnsi="Traditional Arabic" w:hint="cs"/>
          <w:color w:val="auto"/>
          <w:rtl/>
          <w:lang w:eastAsia="en-US"/>
        </w:rPr>
        <w:t xml:space="preserve"> -</w:t>
      </w:r>
      <w:r w:rsidR="00142984">
        <w:rPr>
          <w:rFonts w:ascii="Traditional Arabic" w:hAnsi="Traditional Arabic"/>
          <w:color w:val="auto"/>
          <w:rtl/>
          <w:lang w:eastAsia="en-US"/>
        </w:rPr>
        <w:t xml:space="preserve"> مصر</w:t>
      </w:r>
      <w:r w:rsidRPr="00FD53B9">
        <w:rPr>
          <w:rFonts w:ascii="Traditional Arabic" w:hAnsi="Traditional Arabic"/>
          <w:color w:val="auto"/>
          <w:rtl/>
          <w:lang w:eastAsia="en-US"/>
        </w:rPr>
        <w:t>, عام النشر: 1414هـ1994م, عدد الأجزاء: 10</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مجمل اللغة لابن فارس, المؤلف: أبو الحسين أحمد بن فارس بن زكرياء القزويني الرازي، (المتوفى: 395هـ), دراسة وتحقيق: زهير عبد المحسن سلطان, دار النشر: مؤسسة الرسالة, بيروت - لبنان, الطبعة: الثانية, عام النشر: 1406هـ-1986م, عدد الأجزاء: 2</w:t>
      </w:r>
    </w:p>
    <w:p w:rsidR="00FD53B9" w:rsidRPr="00FD53B9" w:rsidRDefault="00FD53B9" w:rsidP="00142984">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مجموع الفتاوى, المؤلف: تقي الدين أبو العباس أحمد بن عبد الحليم بن تيمية الحراني (المتوفى: 728هـ), المحقق: عبد الرحمن بن محمد بن قاسم, الناشر: مجمع الملك فهد لطباعة المصحف الشريف، المدينة النبوية</w:t>
      </w:r>
      <w:r w:rsidR="00142984">
        <w:rPr>
          <w:rFonts w:ascii="Traditional Arabic" w:hAnsi="Traditional Arabic" w:hint="cs"/>
          <w:color w:val="auto"/>
          <w:rtl/>
          <w:lang w:eastAsia="en-US"/>
        </w:rPr>
        <w:t xml:space="preserve"> -</w:t>
      </w:r>
      <w:r w:rsidRPr="00FD53B9">
        <w:rPr>
          <w:rFonts w:ascii="Traditional Arabic" w:hAnsi="Traditional Arabic"/>
          <w:color w:val="auto"/>
          <w:rtl/>
          <w:lang w:eastAsia="en-US"/>
        </w:rPr>
        <w:t xml:space="preserve"> المملكة العربية السعودية, عام النشر: 1416هـ-1995م, عدد الأجزاء: 35</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مجموع فتاوى ومقالات متنوعة, المؤلف: عبد العزيز بن عبد الله بن عبدالرحمن بن باز (المتوفى: 1420هـ), جمع وترتيب وإشراف: د. محمد بن سعد الشويعر, طبع ونشر: الرئاسة العامة للبحوث العلمية والإفتاء, الرياض – المملكة العربية السعودية, الطبعة: الخامسة, عام النشر: 1434ه-2013م, عدد الأجزاء: 30</w:t>
      </w:r>
    </w:p>
    <w:p w:rsidR="00FD53B9" w:rsidRPr="00FD53B9" w:rsidRDefault="00FD53B9" w:rsidP="00FD53B9">
      <w:pPr>
        <w:widowControl/>
        <w:numPr>
          <w:ilvl w:val="0"/>
          <w:numId w:val="43"/>
        </w:numPr>
        <w:autoSpaceDE w:val="0"/>
        <w:autoSpaceDN w:val="0"/>
        <w:adjustRightInd w:val="0"/>
        <w:contextualSpacing/>
        <w:rPr>
          <w:rFonts w:ascii="Traditional Arabic" w:hAnsi="Traditional Arabic"/>
          <w:color w:val="auto"/>
          <w:lang w:eastAsia="en-US"/>
        </w:rPr>
      </w:pPr>
      <w:r w:rsidRPr="00FD53B9">
        <w:rPr>
          <w:rFonts w:ascii="Traditional Arabic" w:hAnsi="Traditional Arabic"/>
          <w:color w:val="auto"/>
          <w:rtl/>
          <w:lang w:eastAsia="en-US"/>
        </w:rPr>
        <w:t>المحتسب في تبيين وجوه شواذ القراءات والإيضاح عنها, المؤلف: أبو الفتح عثمان بن جني الموصلي (المتوفى: 392هـ), الناشر: وزارة الأوقاف</w:t>
      </w:r>
      <w:r w:rsidR="00142984">
        <w:rPr>
          <w:rFonts w:ascii="Traditional Arabic" w:hAnsi="Traditional Arabic" w:hint="cs"/>
          <w:color w:val="auto"/>
          <w:rtl/>
          <w:lang w:eastAsia="en-US"/>
        </w:rPr>
        <w:t xml:space="preserve"> </w:t>
      </w:r>
      <w:r w:rsidRPr="00FD53B9">
        <w:rPr>
          <w:rFonts w:ascii="Traditional Arabic" w:hAnsi="Traditional Arabic"/>
          <w:color w:val="auto"/>
          <w:rtl/>
          <w:lang w:eastAsia="en-US"/>
        </w:rPr>
        <w:t>-</w:t>
      </w:r>
      <w:r w:rsidR="00142984">
        <w:rPr>
          <w:rFonts w:ascii="Traditional Arabic" w:hAnsi="Traditional Arabic" w:hint="cs"/>
          <w:color w:val="auto"/>
          <w:rtl/>
          <w:lang w:eastAsia="en-US"/>
        </w:rPr>
        <w:t xml:space="preserve"> </w:t>
      </w:r>
      <w:r w:rsidRPr="00FD53B9">
        <w:rPr>
          <w:rFonts w:ascii="Traditional Arabic" w:hAnsi="Traditional Arabic"/>
          <w:color w:val="auto"/>
          <w:rtl/>
          <w:lang w:eastAsia="en-US"/>
        </w:rPr>
        <w:t>المجلس الأعلى للشؤون الإسلامية, الطبعة: 1420هـ- 1999م, عدد الأجزاء: 2</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 xml:space="preserve">المحرر الوجيز في تفسير الكتاب العزيز, المؤلف: أبو محمد عبد الحق بن غالب بن عبد الرحمن بن تمام بن عطية الأندلسي المحاربي (المتوفى: 542هـ), المحقق: عبد السلام عبد </w:t>
      </w:r>
      <w:r w:rsidRPr="00FD53B9">
        <w:rPr>
          <w:rFonts w:ascii="Traditional Arabic" w:hAnsi="Traditional Arabic"/>
          <w:color w:val="auto"/>
          <w:rtl/>
          <w:lang w:eastAsia="en-US"/>
        </w:rPr>
        <w:lastRenderedPageBreak/>
        <w:t>الشافي م</w:t>
      </w:r>
      <w:r w:rsidR="00142984">
        <w:rPr>
          <w:rFonts w:ascii="Traditional Arabic" w:hAnsi="Traditional Arabic"/>
          <w:color w:val="auto"/>
          <w:rtl/>
          <w:lang w:eastAsia="en-US"/>
        </w:rPr>
        <w:t>حمد, الناشر: دار الكتب العلمية</w:t>
      </w:r>
      <w:r w:rsidR="00142984">
        <w:rPr>
          <w:rFonts w:ascii="Traditional Arabic" w:hAnsi="Traditional Arabic" w:hint="cs"/>
          <w:color w:val="auto"/>
          <w:rtl/>
          <w:lang w:eastAsia="en-US"/>
        </w:rPr>
        <w:t>,</w:t>
      </w:r>
      <w:r w:rsidRPr="00FD53B9">
        <w:rPr>
          <w:rFonts w:ascii="Traditional Arabic" w:hAnsi="Traditional Arabic"/>
          <w:color w:val="auto"/>
          <w:rtl/>
          <w:lang w:eastAsia="en-US"/>
        </w:rPr>
        <w:t xml:space="preserve"> بيروت</w:t>
      </w:r>
      <w:r w:rsidR="00142984">
        <w:rPr>
          <w:rFonts w:ascii="Traditional Arabic" w:hAnsi="Traditional Arabic" w:hint="cs"/>
          <w:color w:val="auto"/>
          <w:rtl/>
          <w:lang w:eastAsia="en-US"/>
        </w:rPr>
        <w:t xml:space="preserve"> -</w:t>
      </w:r>
      <w:r w:rsidRPr="00FD53B9">
        <w:rPr>
          <w:rFonts w:ascii="Traditional Arabic" w:hAnsi="Traditional Arabic"/>
          <w:color w:val="auto"/>
          <w:rtl/>
          <w:lang w:eastAsia="en-US"/>
        </w:rPr>
        <w:t xml:space="preserve"> لبنان, الطبعة: الأولى, عام النشر:  1422هـ, عدد الأجزاء: 6</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 xml:space="preserve">المحكم والمحيط الأعظم, المؤلف: أبو الحسن علي بن إسماعيل بن سيده المرسي (المتوفى: 458هـ), المحقق: عبد الحميد هنداوي, الناشر: دار الكتب العلمية, بيروت - بيروت, الطبعة: الأولى، عام النشر: 1421 هـ - 2000 م, عدد الأجزاء: 11 </w:t>
      </w:r>
    </w:p>
    <w:p w:rsidR="00FD53B9" w:rsidRPr="00FD53B9" w:rsidRDefault="00FD53B9" w:rsidP="00FD53B9">
      <w:pPr>
        <w:widowControl/>
        <w:numPr>
          <w:ilvl w:val="0"/>
          <w:numId w:val="43"/>
        </w:numPr>
        <w:autoSpaceDE w:val="0"/>
        <w:autoSpaceDN w:val="0"/>
        <w:adjustRightInd w:val="0"/>
        <w:contextualSpacing/>
        <w:rPr>
          <w:rFonts w:ascii="Traditional Arabic" w:hAnsi="Traditional Arabic"/>
          <w:color w:val="auto"/>
          <w:lang w:eastAsia="en-US"/>
        </w:rPr>
      </w:pPr>
      <w:r w:rsidRPr="00FD53B9">
        <w:rPr>
          <w:rFonts w:ascii="Traditional Arabic" w:hAnsi="Traditional Arabic"/>
          <w:color w:val="auto"/>
          <w:rtl/>
          <w:lang w:eastAsia="en-US"/>
        </w:rPr>
        <w:t>مختار الصحاح, المؤلف: زين الدين أبو عبد الله محمد بن أبي بكر بن عبد القادر الحنفي الرازي (المتوفى: 666هـ), المحقق: يوسف الشيخ محمد, الناشر: المكتبة العصرية -الدار النموذجية، بيروت- صيدا, الطبعة: الخامسة،</w:t>
      </w:r>
      <w:r w:rsidR="00142984">
        <w:rPr>
          <w:rFonts w:ascii="Traditional Arabic" w:hAnsi="Traditional Arabic" w:hint="cs"/>
          <w:color w:val="auto"/>
          <w:rtl/>
          <w:lang w:eastAsia="en-US"/>
        </w:rPr>
        <w:t xml:space="preserve"> عام النشر:</w:t>
      </w:r>
      <w:r w:rsidR="00142984">
        <w:rPr>
          <w:rFonts w:ascii="Traditional Arabic" w:hAnsi="Traditional Arabic"/>
          <w:color w:val="auto"/>
          <w:rtl/>
          <w:lang w:eastAsia="en-US"/>
        </w:rPr>
        <w:t xml:space="preserve"> 1420ه-</w:t>
      </w:r>
      <w:r w:rsidRPr="00FD53B9">
        <w:rPr>
          <w:rFonts w:ascii="Traditional Arabic" w:hAnsi="Traditional Arabic"/>
          <w:color w:val="auto"/>
          <w:rtl/>
          <w:lang w:eastAsia="en-US"/>
        </w:rPr>
        <w:t>1999م, عدد الأجزاء: 1</w:t>
      </w:r>
    </w:p>
    <w:p w:rsidR="00FD53B9" w:rsidRPr="00FD53B9" w:rsidRDefault="00FD53B9" w:rsidP="00FD53B9">
      <w:pPr>
        <w:widowControl/>
        <w:numPr>
          <w:ilvl w:val="0"/>
          <w:numId w:val="43"/>
        </w:numPr>
        <w:autoSpaceDE w:val="0"/>
        <w:autoSpaceDN w:val="0"/>
        <w:adjustRightInd w:val="0"/>
        <w:contextualSpacing/>
        <w:rPr>
          <w:rFonts w:ascii="Traditional Arabic" w:hAnsi="Traditional Arabic"/>
          <w:color w:val="auto"/>
          <w:lang w:eastAsia="en-US"/>
        </w:rPr>
      </w:pPr>
      <w:r w:rsidRPr="00FD53B9">
        <w:rPr>
          <w:rFonts w:ascii="Traditional Arabic" w:hAnsi="Traditional Arabic"/>
          <w:color w:val="auto"/>
          <w:rtl/>
          <w:lang w:eastAsia="en-US"/>
        </w:rPr>
        <w:t>مختصر في شواذ القرآن من كتاب البديع, المؤلف: الإمام أبو عبدالله الحسين بن أحمد بن خالويه (المتوفى: 370هـ), تحقيق: آثر جفري, الناشر: مكتبة المتنبي, القاهرة</w:t>
      </w:r>
      <w:r w:rsidR="00142984">
        <w:rPr>
          <w:rFonts w:ascii="Traditional Arabic" w:hAnsi="Traditional Arabic" w:hint="cs"/>
          <w:color w:val="auto"/>
          <w:rtl/>
          <w:lang w:eastAsia="en-US"/>
        </w:rPr>
        <w:t xml:space="preserve"> </w:t>
      </w:r>
      <w:r w:rsidRPr="00FD53B9">
        <w:rPr>
          <w:rFonts w:ascii="Traditional Arabic" w:hAnsi="Traditional Arabic"/>
          <w:color w:val="auto"/>
          <w:rtl/>
          <w:lang w:eastAsia="en-US"/>
        </w:rPr>
        <w:t>- مصر, عدد الأجزاء: 1</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المدونة, المؤلف: مالك بن أنس بن مالك بن عامر الأصبحي المدني (المتوفى: 179هـ)و الناشر: دار الكتب العلمية, بيروت – لبنان, الطبعة: الأولى، عام النشر: 1415هـ- 1994م, عدد الأجزاء: 4</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المسالك والممالك, المؤلف: أبو القاسم عبيد الله بن عبد الله المعروف بابن خرداذبة (المتوفى: نحو 280هـ), الناشر: دار صا</w:t>
      </w:r>
      <w:r w:rsidR="00142984">
        <w:rPr>
          <w:rFonts w:ascii="Traditional Arabic" w:hAnsi="Traditional Arabic"/>
          <w:color w:val="auto"/>
          <w:rtl/>
          <w:lang w:eastAsia="en-US"/>
        </w:rPr>
        <w:t>در أفست ليدن</w:t>
      </w:r>
      <w:r w:rsidR="00142984">
        <w:rPr>
          <w:rFonts w:ascii="Traditional Arabic" w:hAnsi="Traditional Arabic" w:hint="cs"/>
          <w:color w:val="auto"/>
          <w:rtl/>
          <w:lang w:eastAsia="en-US"/>
        </w:rPr>
        <w:t xml:space="preserve">, </w:t>
      </w:r>
      <w:r w:rsidRPr="00FD53B9">
        <w:rPr>
          <w:rFonts w:ascii="Traditional Arabic" w:hAnsi="Traditional Arabic"/>
          <w:color w:val="auto"/>
          <w:rtl/>
          <w:lang w:eastAsia="en-US"/>
        </w:rPr>
        <w:t>بيروت</w:t>
      </w:r>
      <w:r w:rsidR="00142984">
        <w:rPr>
          <w:rFonts w:ascii="Traditional Arabic" w:hAnsi="Traditional Arabic" w:hint="cs"/>
          <w:color w:val="auto"/>
          <w:rtl/>
          <w:lang w:eastAsia="en-US"/>
        </w:rPr>
        <w:t xml:space="preserve"> -</w:t>
      </w:r>
      <w:r w:rsidR="00142984">
        <w:rPr>
          <w:rFonts w:ascii="Traditional Arabic" w:hAnsi="Traditional Arabic"/>
          <w:color w:val="auto"/>
          <w:rtl/>
          <w:lang w:eastAsia="en-US"/>
        </w:rPr>
        <w:t xml:space="preserve"> لبنان</w:t>
      </w:r>
      <w:r w:rsidRPr="00FD53B9">
        <w:rPr>
          <w:rFonts w:ascii="Traditional Arabic" w:hAnsi="Traditional Arabic"/>
          <w:color w:val="auto"/>
          <w:rtl/>
          <w:lang w:eastAsia="en-US"/>
        </w:rPr>
        <w:t>, عام النشر: 1889م, عدد الأجزاء: 1</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 xml:space="preserve">المستدرك على الصحيحين للحاكم, المؤلف: أبو عبد الله محمد بن عبد الله بن محمد بن حمدويه الحاكم النيسابوري (المتوفى: 405هـ), المحقق: أبو عبد الرحمن مقبل بن هادي </w:t>
      </w:r>
      <w:r w:rsidR="00142984">
        <w:rPr>
          <w:rFonts w:ascii="Traditional Arabic" w:hAnsi="Traditional Arabic"/>
          <w:color w:val="auto"/>
          <w:rtl/>
          <w:lang w:eastAsia="en-US"/>
        </w:rPr>
        <w:t>الوادعي, دار النشر: دار الحرمين</w:t>
      </w:r>
      <w:r w:rsidR="00142984">
        <w:rPr>
          <w:rFonts w:ascii="Traditional Arabic" w:hAnsi="Traditional Arabic" w:hint="cs"/>
          <w:color w:val="auto"/>
          <w:rtl/>
          <w:lang w:eastAsia="en-US"/>
        </w:rPr>
        <w:t xml:space="preserve">, </w:t>
      </w:r>
      <w:r w:rsidRPr="00FD53B9">
        <w:rPr>
          <w:rFonts w:ascii="Traditional Arabic" w:hAnsi="Traditional Arabic"/>
          <w:color w:val="auto"/>
          <w:rtl/>
          <w:lang w:eastAsia="en-US"/>
        </w:rPr>
        <w:t>القاهرة</w:t>
      </w:r>
      <w:r w:rsidR="00142984">
        <w:rPr>
          <w:rFonts w:ascii="Traditional Arabic" w:hAnsi="Traditional Arabic" w:hint="cs"/>
          <w:color w:val="auto"/>
          <w:rtl/>
          <w:lang w:eastAsia="en-US"/>
        </w:rPr>
        <w:t xml:space="preserve"> -</w:t>
      </w:r>
      <w:r w:rsidR="00142984">
        <w:rPr>
          <w:rFonts w:ascii="Traditional Arabic" w:hAnsi="Traditional Arabic"/>
          <w:color w:val="auto"/>
          <w:rtl/>
          <w:lang w:eastAsia="en-US"/>
        </w:rPr>
        <w:t xml:space="preserve"> مصر</w:t>
      </w:r>
      <w:r w:rsidRPr="00FD53B9">
        <w:rPr>
          <w:rFonts w:ascii="Traditional Arabic" w:hAnsi="Traditional Arabic"/>
          <w:color w:val="auto"/>
          <w:rtl/>
          <w:lang w:eastAsia="en-US"/>
        </w:rPr>
        <w:t>, سنة الطبع: 1417هـ-1997م, عدد الأجزاء: 5</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المستفاد من ذيل تاريخ بغداد, تأليف: لحافظ ابن النجار البغدادي, انتقاء: الحافظ أبي الحسين أحمد بن أيبك بن عبد الله الحسامي المعروف بابن الدمياطي (المتوفى سنة: 749ه), دراسة وتحقيق: مصطفى عبد القادر عطا, دار ال</w:t>
      </w:r>
      <w:r w:rsidR="00142984">
        <w:rPr>
          <w:rFonts w:ascii="Traditional Arabic" w:hAnsi="Traditional Arabic"/>
          <w:color w:val="auto"/>
          <w:rtl/>
          <w:lang w:eastAsia="en-US"/>
        </w:rPr>
        <w:t>كتب العلمية</w:t>
      </w:r>
      <w:r w:rsidR="00142984">
        <w:rPr>
          <w:rFonts w:ascii="Traditional Arabic" w:hAnsi="Traditional Arabic" w:hint="cs"/>
          <w:color w:val="auto"/>
          <w:rtl/>
          <w:lang w:eastAsia="en-US"/>
        </w:rPr>
        <w:t xml:space="preserve">, </w:t>
      </w:r>
      <w:r w:rsidRPr="00FD53B9">
        <w:rPr>
          <w:rFonts w:ascii="Traditional Arabic" w:hAnsi="Traditional Arabic"/>
          <w:color w:val="auto"/>
          <w:rtl/>
          <w:lang w:eastAsia="en-US"/>
        </w:rPr>
        <w:t>بيروت</w:t>
      </w:r>
      <w:r w:rsidR="00142984">
        <w:rPr>
          <w:rFonts w:ascii="Traditional Arabic" w:hAnsi="Traditional Arabic" w:hint="cs"/>
          <w:color w:val="auto"/>
          <w:rtl/>
          <w:lang w:eastAsia="en-US"/>
        </w:rPr>
        <w:t xml:space="preserve"> -</w:t>
      </w:r>
      <w:r w:rsidRPr="00FD53B9">
        <w:rPr>
          <w:rFonts w:ascii="Traditional Arabic" w:hAnsi="Traditional Arabic"/>
          <w:color w:val="auto"/>
          <w:rtl/>
          <w:lang w:eastAsia="en-US"/>
        </w:rPr>
        <w:t xml:space="preserve"> لبنان, </w:t>
      </w:r>
      <w:r w:rsidRPr="00FD53B9">
        <w:rPr>
          <w:rFonts w:ascii="Traditional Arabic" w:hAnsi="Traditional Arabic"/>
          <w:color w:val="auto"/>
          <w:rtl/>
          <w:lang w:eastAsia="en-US"/>
        </w:rPr>
        <w:lastRenderedPageBreak/>
        <w:t>الطبعة: الاولى,</w:t>
      </w:r>
      <w:r w:rsidR="00142984">
        <w:rPr>
          <w:rFonts w:ascii="Traditional Arabic" w:hAnsi="Traditional Arabic" w:hint="cs"/>
          <w:color w:val="auto"/>
          <w:rtl/>
          <w:lang w:eastAsia="en-US"/>
        </w:rPr>
        <w:t xml:space="preserve"> عام النشر:</w:t>
      </w:r>
      <w:r w:rsidR="00142984">
        <w:rPr>
          <w:rFonts w:ascii="Traditional Arabic" w:hAnsi="Traditional Arabic"/>
          <w:color w:val="auto"/>
          <w:rtl/>
          <w:lang w:eastAsia="en-US"/>
        </w:rPr>
        <w:t xml:space="preserve"> 1417ه-</w:t>
      </w:r>
      <w:r w:rsidRPr="00FD53B9">
        <w:rPr>
          <w:rFonts w:ascii="Traditional Arabic" w:hAnsi="Traditional Arabic"/>
          <w:color w:val="auto"/>
          <w:rtl/>
          <w:lang w:eastAsia="en-US"/>
        </w:rPr>
        <w:t>1997م, عدد الأجزاء: 2</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مسند أبي يعلى, المؤلف: أبو يعلى أحمد بن علي بن المثُنى بن يحيى بن عيسى بن هلال التميمي، الموصلي (المتوفى: 307هـ), المحقق: حسين سليم أسد, الناشر: دار المأمون للتراث, دمشق - سوريا, الطبعة: الأولى، عام النشر: 1404ه – 1984م, عدد الأجزاء: 13</w:t>
      </w:r>
    </w:p>
    <w:p w:rsidR="00FD53B9" w:rsidRPr="00FD53B9" w:rsidRDefault="00FD53B9" w:rsidP="00142984">
      <w:pPr>
        <w:widowControl/>
        <w:numPr>
          <w:ilvl w:val="0"/>
          <w:numId w:val="43"/>
        </w:numPr>
        <w:autoSpaceDE w:val="0"/>
        <w:autoSpaceDN w:val="0"/>
        <w:adjustRightInd w:val="0"/>
        <w:contextualSpacing/>
        <w:rPr>
          <w:rFonts w:ascii="Traditional Arabic" w:hAnsi="Traditional Arabic"/>
          <w:color w:val="auto"/>
          <w:lang w:eastAsia="en-US"/>
        </w:rPr>
      </w:pPr>
      <w:r w:rsidRPr="00FD53B9">
        <w:rPr>
          <w:rFonts w:ascii="Traditional Arabic" w:hAnsi="Traditional Arabic"/>
          <w:color w:val="auto"/>
          <w:rtl/>
          <w:lang w:eastAsia="en-US"/>
        </w:rPr>
        <w:t xml:space="preserve">مسند الإمام أحمد بن حنبل, المؤلف : أحمد بن حنبل الشيباني, المحقق : شعيب الأرنؤوط </w:t>
      </w:r>
      <w:r w:rsidR="00142984">
        <w:rPr>
          <w:rFonts w:ascii="Traditional Arabic" w:hAnsi="Traditional Arabic"/>
          <w:color w:val="auto"/>
          <w:rtl/>
          <w:lang w:eastAsia="en-US"/>
        </w:rPr>
        <w:t>وآخرون, الناشر : مؤسسة الرسالة</w:t>
      </w:r>
      <w:r w:rsidR="00142984">
        <w:rPr>
          <w:rFonts w:ascii="Traditional Arabic" w:hAnsi="Traditional Arabic" w:hint="cs"/>
          <w:color w:val="auto"/>
          <w:rtl/>
          <w:lang w:eastAsia="en-US"/>
        </w:rPr>
        <w:t xml:space="preserve">, </w:t>
      </w:r>
      <w:r w:rsidRPr="00FD53B9">
        <w:rPr>
          <w:rFonts w:ascii="Traditional Arabic" w:hAnsi="Traditional Arabic"/>
          <w:color w:val="auto"/>
          <w:rtl/>
          <w:lang w:eastAsia="en-US"/>
        </w:rPr>
        <w:t>بيروت</w:t>
      </w:r>
      <w:r w:rsidR="00142984">
        <w:rPr>
          <w:rFonts w:ascii="Traditional Arabic" w:hAnsi="Traditional Arabic" w:hint="cs"/>
          <w:color w:val="auto"/>
          <w:rtl/>
          <w:lang w:eastAsia="en-US"/>
        </w:rPr>
        <w:t xml:space="preserve"> </w:t>
      </w:r>
      <w:r w:rsidR="00142984">
        <w:rPr>
          <w:rFonts w:ascii="Traditional Arabic" w:hAnsi="Traditional Arabic"/>
          <w:color w:val="auto"/>
          <w:rtl/>
          <w:lang w:eastAsia="en-US"/>
        </w:rPr>
        <w:t>– لبنان</w:t>
      </w:r>
      <w:r w:rsidR="00142984">
        <w:rPr>
          <w:rFonts w:ascii="Traditional Arabic" w:hAnsi="Traditional Arabic" w:hint="cs"/>
          <w:color w:val="auto"/>
          <w:rtl/>
          <w:lang w:eastAsia="en-US"/>
        </w:rPr>
        <w:t>,</w:t>
      </w:r>
      <w:r w:rsidR="00142984">
        <w:rPr>
          <w:rFonts w:ascii="Traditional Arabic" w:hAnsi="Traditional Arabic"/>
          <w:color w:val="auto"/>
          <w:rtl/>
          <w:lang w:eastAsia="en-US"/>
        </w:rPr>
        <w:t xml:space="preserve"> الطبعة: الثانية, 1420هـ</w:t>
      </w:r>
      <w:r w:rsidR="00142984">
        <w:rPr>
          <w:rFonts w:ascii="Traditional Arabic" w:hAnsi="Traditional Arabic" w:hint="cs"/>
          <w:color w:val="auto"/>
          <w:rtl/>
          <w:lang w:eastAsia="en-US"/>
        </w:rPr>
        <w:t>-</w:t>
      </w:r>
      <w:r w:rsidRPr="00FD53B9">
        <w:rPr>
          <w:rFonts w:ascii="Traditional Arabic" w:hAnsi="Traditional Arabic"/>
          <w:color w:val="auto"/>
          <w:rtl/>
          <w:lang w:eastAsia="en-US"/>
        </w:rPr>
        <w:t xml:space="preserve">1999م, عدد الأجزاء : </w:t>
      </w:r>
      <w:r w:rsidR="00142984">
        <w:rPr>
          <w:rFonts w:ascii="Traditional Arabic" w:hAnsi="Traditional Arabic" w:hint="cs"/>
          <w:color w:val="auto"/>
          <w:rtl/>
          <w:lang w:eastAsia="en-US"/>
        </w:rPr>
        <w:t>52</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مشارق الأنوار على صحاح الآثار, المؤلف: عياض بن موسى بن عياض بن عمرون اليحصبي السبتي، أبو الفضل (المتوفى: 544هـ), دار النشر: المكتبة العتيقة ودار التراث, عدد الأجزاء: 2</w:t>
      </w:r>
    </w:p>
    <w:p w:rsidR="00FD53B9" w:rsidRPr="00FD53B9" w:rsidRDefault="00FD53B9" w:rsidP="00FC4C22">
      <w:pPr>
        <w:widowControl/>
        <w:numPr>
          <w:ilvl w:val="0"/>
          <w:numId w:val="43"/>
        </w:numPr>
        <w:autoSpaceDE w:val="0"/>
        <w:autoSpaceDN w:val="0"/>
        <w:adjustRightInd w:val="0"/>
        <w:contextualSpacing/>
        <w:rPr>
          <w:rFonts w:ascii="Traditional Arabic" w:hAnsi="Traditional Arabic"/>
          <w:color w:val="auto"/>
          <w:lang w:eastAsia="en-US"/>
        </w:rPr>
      </w:pPr>
      <w:r w:rsidRPr="00FD53B9">
        <w:rPr>
          <w:rFonts w:ascii="Traditional Arabic" w:hAnsi="Traditional Arabic"/>
          <w:color w:val="auto"/>
          <w:rtl/>
          <w:lang w:eastAsia="en-US"/>
        </w:rPr>
        <w:t>مشكاة المصابيح, المؤلف: محمد بن عبد الله الخطيب العمري، أبو عبد الله، ولي الدين، التبريزي (المتوفى: 741هـ), المحقق: محمد ناصر الدين الأ</w:t>
      </w:r>
      <w:r w:rsidR="00FC4C22">
        <w:rPr>
          <w:rFonts w:ascii="Traditional Arabic" w:hAnsi="Traditional Arabic"/>
          <w:color w:val="auto"/>
          <w:rtl/>
          <w:lang w:eastAsia="en-US"/>
        </w:rPr>
        <w:t>لباني, الناشر: المكتب الإسلامي</w:t>
      </w:r>
      <w:r w:rsidR="00FC4C22">
        <w:rPr>
          <w:rFonts w:ascii="Traditional Arabic" w:hAnsi="Traditional Arabic" w:hint="cs"/>
          <w:color w:val="auto"/>
          <w:rtl/>
          <w:lang w:eastAsia="en-US"/>
        </w:rPr>
        <w:t>,</w:t>
      </w:r>
      <w:r w:rsidRPr="00FD53B9">
        <w:rPr>
          <w:rFonts w:ascii="Traditional Arabic" w:hAnsi="Traditional Arabic"/>
          <w:color w:val="auto"/>
          <w:rtl/>
          <w:lang w:eastAsia="en-US"/>
        </w:rPr>
        <w:t xml:space="preserve"> بيروت</w:t>
      </w:r>
      <w:r w:rsidR="00FC4C22">
        <w:rPr>
          <w:rFonts w:ascii="Traditional Arabic" w:hAnsi="Traditional Arabic" w:hint="cs"/>
          <w:color w:val="auto"/>
          <w:rtl/>
          <w:lang w:eastAsia="en-US"/>
        </w:rPr>
        <w:t xml:space="preserve"> </w:t>
      </w:r>
      <w:r w:rsidR="00FC4C22">
        <w:rPr>
          <w:rFonts w:ascii="Traditional Arabic" w:hAnsi="Traditional Arabic"/>
          <w:color w:val="auto"/>
          <w:rtl/>
          <w:lang w:eastAsia="en-US"/>
        </w:rPr>
        <w:t>– لبنان</w:t>
      </w:r>
      <w:r w:rsidR="00FC4C22">
        <w:rPr>
          <w:rFonts w:ascii="Traditional Arabic" w:hAnsi="Traditional Arabic" w:hint="cs"/>
          <w:color w:val="auto"/>
          <w:rtl/>
          <w:lang w:eastAsia="en-US"/>
        </w:rPr>
        <w:t>,</w:t>
      </w:r>
      <w:r w:rsidRPr="00FD53B9">
        <w:rPr>
          <w:rFonts w:ascii="Traditional Arabic" w:hAnsi="Traditional Arabic"/>
          <w:color w:val="auto"/>
          <w:rtl/>
          <w:lang w:eastAsia="en-US"/>
        </w:rPr>
        <w:t xml:space="preserve"> الطبعة: الثالثة،</w:t>
      </w:r>
      <w:r w:rsidR="00FC4C22">
        <w:rPr>
          <w:rFonts w:ascii="Traditional Arabic" w:hAnsi="Traditional Arabic" w:hint="cs"/>
          <w:color w:val="auto"/>
          <w:rtl/>
          <w:lang w:eastAsia="en-US"/>
        </w:rPr>
        <w:t xml:space="preserve"> عام النشر:</w:t>
      </w:r>
      <w:r w:rsidRPr="00FD53B9">
        <w:rPr>
          <w:rFonts w:ascii="Traditional Arabic" w:hAnsi="Traditional Arabic"/>
          <w:color w:val="auto"/>
          <w:rtl/>
          <w:lang w:eastAsia="en-US"/>
        </w:rPr>
        <w:t xml:space="preserve"> 1985</w:t>
      </w:r>
      <w:r w:rsidR="00FC4C22">
        <w:rPr>
          <w:rFonts w:ascii="Traditional Arabic" w:hAnsi="Traditional Arabic" w:hint="cs"/>
          <w:color w:val="auto"/>
          <w:rtl/>
          <w:lang w:eastAsia="en-US"/>
        </w:rPr>
        <w:t>م</w:t>
      </w:r>
      <w:r w:rsidRPr="00FD53B9">
        <w:rPr>
          <w:rFonts w:ascii="Traditional Arabic" w:hAnsi="Traditional Arabic"/>
          <w:color w:val="auto"/>
          <w:rtl/>
          <w:lang w:eastAsia="en-US"/>
        </w:rPr>
        <w:t>, عدد الأجزاء: 3</w:t>
      </w:r>
    </w:p>
    <w:p w:rsidR="00FD53B9" w:rsidRPr="00FD53B9" w:rsidRDefault="00FD53B9" w:rsidP="00FD53B9">
      <w:pPr>
        <w:numPr>
          <w:ilvl w:val="0"/>
          <w:numId w:val="43"/>
        </w:numPr>
        <w:contextualSpacing/>
        <w:rPr>
          <w:rFonts w:ascii="Traditional Arabic" w:hAnsi="Traditional Arabic"/>
          <w:color w:val="auto"/>
          <w:rtl/>
          <w:lang w:eastAsia="en-US"/>
        </w:rPr>
      </w:pPr>
      <w:r w:rsidRPr="00FD53B9">
        <w:rPr>
          <w:rFonts w:ascii="Traditional Arabic" w:hAnsi="Traditional Arabic"/>
          <w:color w:val="auto"/>
          <w:rtl/>
          <w:lang w:eastAsia="en-US"/>
        </w:rPr>
        <w:t>مشكل إعراب القرآن, المؤلف: أبو محمد مكي بن أبي طالب حَمّوش بن محمد بن مختار القيسي القيرواني ثم الأندلسي, القرطبي, المالكي (المتوفى: 437هـ), المحقق: د. حاتم صالح الضامن, الناشر: مؤسسة الرسالة, بيروت - لبنان, الطبعة: الثانية، عام النشر: 1405ه, عدد الأجزاء: 2</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مشيخة ابن الجوزي, المؤلف: جمال الدين أبو الفرج عبد الرحمن بن علي بن محمد الجوزي (المتوفى: 597هـ), تقديم وتحقيق: محمد محفوظ, الناشر: د</w:t>
      </w:r>
      <w:r w:rsidR="00FC4C22">
        <w:rPr>
          <w:rFonts w:ascii="Traditional Arabic" w:hAnsi="Traditional Arabic"/>
          <w:color w:val="auto"/>
          <w:rtl/>
          <w:lang w:eastAsia="en-US"/>
        </w:rPr>
        <w:t>ار الغرب الإسلامي</w:t>
      </w:r>
      <w:r w:rsidR="00FC4C22">
        <w:rPr>
          <w:rFonts w:ascii="Traditional Arabic" w:hAnsi="Traditional Arabic" w:hint="cs"/>
          <w:color w:val="auto"/>
          <w:rtl/>
          <w:lang w:eastAsia="en-US"/>
        </w:rPr>
        <w:t xml:space="preserve">, </w:t>
      </w:r>
      <w:r w:rsidRPr="00FD53B9">
        <w:rPr>
          <w:rFonts w:ascii="Traditional Arabic" w:hAnsi="Traditional Arabic"/>
          <w:color w:val="auto"/>
          <w:rtl/>
          <w:lang w:eastAsia="en-US"/>
        </w:rPr>
        <w:t>بيروت</w:t>
      </w:r>
      <w:r w:rsidR="00FC4C22">
        <w:rPr>
          <w:rFonts w:ascii="Traditional Arabic" w:hAnsi="Traditional Arabic" w:hint="cs"/>
          <w:color w:val="auto"/>
          <w:rtl/>
          <w:lang w:eastAsia="en-US"/>
        </w:rPr>
        <w:t xml:space="preserve"> -</w:t>
      </w:r>
      <w:r w:rsidR="00FC4C22">
        <w:rPr>
          <w:rFonts w:ascii="Traditional Arabic" w:hAnsi="Traditional Arabic"/>
          <w:color w:val="auto"/>
          <w:rtl/>
          <w:lang w:eastAsia="en-US"/>
        </w:rPr>
        <w:t xml:space="preserve"> لبنان</w:t>
      </w:r>
      <w:r w:rsidRPr="00FD53B9">
        <w:rPr>
          <w:rFonts w:ascii="Traditional Arabic" w:hAnsi="Traditional Arabic"/>
          <w:color w:val="auto"/>
          <w:rtl/>
          <w:lang w:eastAsia="en-US"/>
        </w:rPr>
        <w:t>, الطبعة: الثالثة،</w:t>
      </w:r>
      <w:r w:rsidR="00FC4C22">
        <w:rPr>
          <w:rFonts w:ascii="Traditional Arabic" w:hAnsi="Traditional Arabic" w:hint="cs"/>
          <w:color w:val="auto"/>
          <w:rtl/>
          <w:lang w:eastAsia="en-US"/>
        </w:rPr>
        <w:t xml:space="preserve"> عام النشر:</w:t>
      </w:r>
      <w:r w:rsidRPr="00FD53B9">
        <w:rPr>
          <w:rFonts w:ascii="Traditional Arabic" w:hAnsi="Traditional Arabic"/>
          <w:color w:val="auto"/>
          <w:rtl/>
          <w:lang w:eastAsia="en-US"/>
        </w:rPr>
        <w:t xml:space="preserve"> 2006 م عدد الأجزاء: 1</w:t>
      </w:r>
    </w:p>
    <w:p w:rsidR="00FD53B9" w:rsidRPr="00FD53B9" w:rsidRDefault="00FD53B9" w:rsidP="00FD53B9">
      <w:pPr>
        <w:widowControl/>
        <w:numPr>
          <w:ilvl w:val="0"/>
          <w:numId w:val="43"/>
        </w:numPr>
        <w:autoSpaceDE w:val="0"/>
        <w:autoSpaceDN w:val="0"/>
        <w:adjustRightInd w:val="0"/>
        <w:contextualSpacing/>
        <w:rPr>
          <w:rFonts w:ascii="Traditional Arabic" w:hAnsi="Traditional Arabic"/>
          <w:color w:val="auto"/>
          <w:lang w:eastAsia="en-US"/>
        </w:rPr>
      </w:pPr>
      <w:r w:rsidRPr="00FD53B9">
        <w:rPr>
          <w:rFonts w:ascii="Traditional Arabic" w:hAnsi="Traditional Arabic"/>
          <w:color w:val="auto"/>
          <w:rtl/>
          <w:lang w:eastAsia="en-US"/>
        </w:rPr>
        <w:t>المصنف في الأحاديث والآثار, المؤلف: أبو بكر بن أبي شيبة، عبد الله بن محمد بن إبراهيم بن عثمان بن خواستي العبسي (المتوفى: 235هـ), المحقق: كمال ي</w:t>
      </w:r>
      <w:r w:rsidR="00FC4C22">
        <w:rPr>
          <w:rFonts w:ascii="Traditional Arabic" w:hAnsi="Traditional Arabic"/>
          <w:color w:val="auto"/>
          <w:rtl/>
          <w:lang w:eastAsia="en-US"/>
        </w:rPr>
        <w:t>وسف الحوت, الناشر: مكتبة الرشد</w:t>
      </w:r>
      <w:r w:rsidR="00FC4C22">
        <w:rPr>
          <w:rFonts w:ascii="Traditional Arabic" w:hAnsi="Traditional Arabic" w:hint="cs"/>
          <w:color w:val="auto"/>
          <w:rtl/>
          <w:lang w:eastAsia="en-US"/>
        </w:rPr>
        <w:t xml:space="preserve">, </w:t>
      </w:r>
      <w:r w:rsidRPr="00FD53B9">
        <w:rPr>
          <w:rFonts w:ascii="Traditional Arabic" w:hAnsi="Traditional Arabic"/>
          <w:color w:val="auto"/>
          <w:rtl/>
          <w:lang w:eastAsia="en-US"/>
        </w:rPr>
        <w:t>الرياض</w:t>
      </w:r>
      <w:r w:rsidR="00FC4C22">
        <w:rPr>
          <w:rFonts w:ascii="Traditional Arabic" w:hAnsi="Traditional Arabic" w:hint="cs"/>
          <w:color w:val="auto"/>
          <w:rtl/>
          <w:lang w:eastAsia="en-US"/>
        </w:rPr>
        <w:t xml:space="preserve"> </w:t>
      </w:r>
      <w:r w:rsidR="00FC4C22">
        <w:rPr>
          <w:rFonts w:ascii="Traditional Arabic" w:hAnsi="Traditional Arabic"/>
          <w:color w:val="auto"/>
          <w:rtl/>
          <w:lang w:eastAsia="en-US"/>
        </w:rPr>
        <w:t>–</w:t>
      </w:r>
      <w:r w:rsidR="00FC4C22">
        <w:rPr>
          <w:rFonts w:ascii="Traditional Arabic" w:hAnsi="Traditional Arabic" w:hint="cs"/>
          <w:color w:val="auto"/>
          <w:rtl/>
          <w:lang w:eastAsia="en-US"/>
        </w:rPr>
        <w:t xml:space="preserve"> المملكة العربية السعودية</w:t>
      </w:r>
      <w:r w:rsidRPr="00FD53B9">
        <w:rPr>
          <w:rFonts w:ascii="Traditional Arabic" w:hAnsi="Traditional Arabic"/>
          <w:color w:val="auto"/>
          <w:rtl/>
          <w:lang w:eastAsia="en-US"/>
        </w:rPr>
        <w:t>, الطبعة: الأولى،</w:t>
      </w:r>
      <w:r w:rsidR="00FC4C22">
        <w:rPr>
          <w:rFonts w:ascii="Traditional Arabic" w:hAnsi="Traditional Arabic" w:hint="cs"/>
          <w:color w:val="auto"/>
          <w:rtl/>
          <w:lang w:eastAsia="en-US"/>
        </w:rPr>
        <w:t xml:space="preserve"> عام النشر:</w:t>
      </w:r>
      <w:r w:rsidRPr="00FD53B9">
        <w:rPr>
          <w:rFonts w:ascii="Traditional Arabic" w:hAnsi="Traditional Arabic"/>
          <w:color w:val="auto"/>
          <w:rtl/>
          <w:lang w:eastAsia="en-US"/>
        </w:rPr>
        <w:t xml:space="preserve"> 1409, عدد الأجزاء: 7</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lastRenderedPageBreak/>
        <w:t>المصنف, المؤلف: أبو بكر عبد الرزاق بن همام بن نافع الحميري اليماني الصنعاني (المتوفى: 211هـ), المحقق: حبيب الرحمن الأعظمي, الناشر: المجلس العلمي- الهند, يطلب من: المكتب الإسلامي, بيروت – بيروت, الطبعة: الثانية، عام النشر: 1403ه, عدد الأجزاء: 11</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مطالع الأنوار على صحاح الآثار, المؤلف: أبو إسحاق إبراهيم بن يوسف بن أدهم الوهراني الحمزي، ابن قرقول (المتوفى: 569هـ), تحقيق: دار الفلاح للبحث العلمي وتحقيق التراث, الناشر: وزارة الأوقاف والشؤون الإسلامية - دولة قطر, الطبعة: الأولى، عام النشر: 1433هـ-2012م, عدد الأجزاء: 6</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المطر والرعد والبرق, المؤلف: أبو بكر عبد الله بن محمد بن عبيد بن سفيان بن قيس البغدادي الأموي القرشي المعروف بابن أبي الدنيا (المتوفى: 281هـ), تحقيق وتخريج: طارق محمد سكلوع العمودي, دار النشر: دار ابن الجوزي، الدمام – السعودية, الطبعة: الأولى، 1418هـ-1997م, عدد الأجزاء: 1</w:t>
      </w:r>
    </w:p>
    <w:p w:rsidR="00FD53B9" w:rsidRPr="00FD53B9" w:rsidRDefault="00FD53B9" w:rsidP="00FD53B9">
      <w:pPr>
        <w:widowControl/>
        <w:numPr>
          <w:ilvl w:val="0"/>
          <w:numId w:val="43"/>
        </w:numPr>
        <w:autoSpaceDE w:val="0"/>
        <w:autoSpaceDN w:val="0"/>
        <w:adjustRightInd w:val="0"/>
        <w:contextualSpacing/>
        <w:rPr>
          <w:rFonts w:ascii="Traditional Arabic" w:hAnsi="Traditional Arabic"/>
          <w:color w:val="auto"/>
          <w:lang w:eastAsia="en-US"/>
        </w:rPr>
      </w:pPr>
      <w:r w:rsidRPr="00FD53B9">
        <w:rPr>
          <w:rFonts w:ascii="Traditional Arabic" w:hAnsi="Traditional Arabic"/>
          <w:color w:val="auto"/>
          <w:rtl/>
          <w:lang w:eastAsia="en-US"/>
        </w:rPr>
        <w:t>معالم التنزيل في تفسير القرآن = تفسير البغوي, المؤلف: محيي السنة، أبو محمد الحسين بن مسعود البغوي (المتوفى: 510هـ), المحقق: حققه وخ</w:t>
      </w:r>
      <w:r w:rsidR="00FC4C22">
        <w:rPr>
          <w:rFonts w:ascii="Traditional Arabic" w:hAnsi="Traditional Arabic"/>
          <w:color w:val="auto"/>
          <w:rtl/>
          <w:lang w:eastAsia="en-US"/>
        </w:rPr>
        <w:t>رج أحاديثه محمد عبد الله النمر</w:t>
      </w:r>
      <w:r w:rsidR="00FC4C22">
        <w:rPr>
          <w:rFonts w:ascii="Traditional Arabic" w:hAnsi="Traditional Arabic" w:hint="cs"/>
          <w:color w:val="auto"/>
          <w:rtl/>
          <w:lang w:eastAsia="en-US"/>
        </w:rPr>
        <w:t>,</w:t>
      </w:r>
      <w:r w:rsidR="00FC4C22">
        <w:rPr>
          <w:rFonts w:ascii="Traditional Arabic" w:hAnsi="Traditional Arabic"/>
          <w:color w:val="auto"/>
          <w:rtl/>
          <w:lang w:eastAsia="en-US"/>
        </w:rPr>
        <w:t xml:space="preserve"> عثمان جمعة ضميرية</w:t>
      </w:r>
      <w:r w:rsidR="00FC4C22">
        <w:rPr>
          <w:rFonts w:ascii="Traditional Arabic" w:hAnsi="Traditional Arabic" w:hint="cs"/>
          <w:color w:val="auto"/>
          <w:rtl/>
          <w:lang w:eastAsia="en-US"/>
        </w:rPr>
        <w:t>,</w:t>
      </w:r>
      <w:r w:rsidRPr="00FD53B9">
        <w:rPr>
          <w:rFonts w:ascii="Traditional Arabic" w:hAnsi="Traditional Arabic"/>
          <w:color w:val="auto"/>
          <w:rtl/>
          <w:lang w:eastAsia="en-US"/>
        </w:rPr>
        <w:t xml:space="preserve"> سليمان مسلم الحرش, الناشر: دار طيبة للنشر والتوزيع, الطبعة: الرابعة، عام النشر: 1417هـ- 1997م, عدد الأجزاء: 8</w:t>
      </w:r>
    </w:p>
    <w:p w:rsidR="00FD53B9" w:rsidRPr="00FD53B9" w:rsidRDefault="00FD53B9" w:rsidP="00FD53B9">
      <w:pPr>
        <w:widowControl/>
        <w:numPr>
          <w:ilvl w:val="0"/>
          <w:numId w:val="43"/>
        </w:numPr>
        <w:autoSpaceDE w:val="0"/>
        <w:autoSpaceDN w:val="0"/>
        <w:adjustRightInd w:val="0"/>
        <w:contextualSpacing/>
        <w:rPr>
          <w:rFonts w:ascii="Traditional Arabic" w:hAnsi="Traditional Arabic"/>
          <w:color w:val="auto"/>
          <w:lang w:eastAsia="en-US"/>
        </w:rPr>
      </w:pPr>
      <w:r w:rsidRPr="00FD53B9">
        <w:rPr>
          <w:rFonts w:ascii="Traditional Arabic" w:hAnsi="Traditional Arabic"/>
          <w:color w:val="auto"/>
          <w:rtl/>
          <w:lang w:eastAsia="en-US"/>
        </w:rPr>
        <w:t>معانى القرآن, المؤلف: أبو الحسن سعيد بن مسعدة المجاشعي بالولاء، البلخي ثم البصري، المعروف بالأخفش الأوسط (المتوفى: 215هـ), تحقيق: الدكتورة هدى محمود قراعة, الن</w:t>
      </w:r>
      <w:r w:rsidR="00FC4C22">
        <w:rPr>
          <w:rFonts w:ascii="Traditional Arabic" w:hAnsi="Traditional Arabic"/>
          <w:color w:val="auto"/>
          <w:rtl/>
          <w:lang w:eastAsia="en-US"/>
        </w:rPr>
        <w:t>اشر: مكتبة الخانجي</w:t>
      </w:r>
      <w:r w:rsidR="00FC4C22">
        <w:rPr>
          <w:rFonts w:ascii="Traditional Arabic" w:hAnsi="Traditional Arabic" w:hint="cs"/>
          <w:color w:val="auto"/>
          <w:rtl/>
          <w:lang w:eastAsia="en-US"/>
        </w:rPr>
        <w:t xml:space="preserve">, </w:t>
      </w:r>
      <w:r w:rsidRPr="00FD53B9">
        <w:rPr>
          <w:rFonts w:ascii="Traditional Arabic" w:hAnsi="Traditional Arabic"/>
          <w:color w:val="auto"/>
          <w:rtl/>
          <w:lang w:eastAsia="en-US"/>
        </w:rPr>
        <w:t>القاهرة</w:t>
      </w:r>
      <w:r w:rsidR="00FC4C22">
        <w:rPr>
          <w:rFonts w:ascii="Traditional Arabic" w:hAnsi="Traditional Arabic" w:hint="cs"/>
          <w:color w:val="auto"/>
          <w:rtl/>
          <w:lang w:eastAsia="en-US"/>
        </w:rPr>
        <w:t xml:space="preserve"> -</w:t>
      </w:r>
      <w:r w:rsidR="00FC4C22">
        <w:rPr>
          <w:rFonts w:ascii="Traditional Arabic" w:hAnsi="Traditional Arabic"/>
          <w:color w:val="auto"/>
          <w:rtl/>
          <w:lang w:eastAsia="en-US"/>
        </w:rPr>
        <w:t xml:space="preserve"> مصر</w:t>
      </w:r>
      <w:r w:rsidRPr="00FD53B9">
        <w:rPr>
          <w:rFonts w:ascii="Traditional Arabic" w:hAnsi="Traditional Arabic"/>
          <w:color w:val="auto"/>
          <w:rtl/>
          <w:lang w:eastAsia="en-US"/>
        </w:rPr>
        <w:t>, الطبعة: الأولى، عام النشر: 1411هـ-1990م, عدد الأجزاء: 2</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معاني القراءات, المؤلف: أبو منصور محمد بن أحمد بن الأزهري الهروي (المتوفى: 370هـ), الناشر: مركز البحوث في كلية الآداب - جامعة الملك سعود, المملكة العربية السعودية, الطبعة: الأولى، 1412هـ-1991م, عدد الأجزاء: 3</w:t>
      </w:r>
    </w:p>
    <w:p w:rsidR="00FD53B9" w:rsidRPr="00FD53B9" w:rsidRDefault="00FD53B9" w:rsidP="00FD53B9">
      <w:pPr>
        <w:widowControl/>
        <w:numPr>
          <w:ilvl w:val="0"/>
          <w:numId w:val="43"/>
        </w:numPr>
        <w:autoSpaceDE w:val="0"/>
        <w:autoSpaceDN w:val="0"/>
        <w:adjustRightInd w:val="0"/>
        <w:contextualSpacing/>
        <w:rPr>
          <w:rFonts w:ascii="Traditional Arabic" w:hAnsi="Traditional Arabic"/>
          <w:color w:val="auto"/>
          <w:lang w:eastAsia="en-US"/>
        </w:rPr>
      </w:pPr>
      <w:r w:rsidRPr="00FD53B9">
        <w:rPr>
          <w:rFonts w:ascii="Traditional Arabic" w:hAnsi="Traditional Arabic"/>
          <w:color w:val="auto"/>
          <w:rtl/>
          <w:lang w:eastAsia="en-US"/>
        </w:rPr>
        <w:lastRenderedPageBreak/>
        <w:t>معاني القرآن وإعرابه, المؤلف: إبراهيم بن السري بن سهل، أبو إسحاق الزجاج (المتوف</w:t>
      </w:r>
      <w:r w:rsidR="00FC4C22">
        <w:rPr>
          <w:rFonts w:ascii="Traditional Arabic" w:hAnsi="Traditional Arabic"/>
          <w:color w:val="auto"/>
          <w:rtl/>
          <w:lang w:eastAsia="en-US"/>
        </w:rPr>
        <w:t>ى: 311هـ), الناشر: عالم الكتب</w:t>
      </w:r>
      <w:r w:rsidR="00FC4C22">
        <w:rPr>
          <w:rFonts w:ascii="Traditional Arabic" w:hAnsi="Traditional Arabic" w:hint="cs"/>
          <w:color w:val="auto"/>
          <w:rtl/>
          <w:lang w:eastAsia="en-US"/>
        </w:rPr>
        <w:t xml:space="preserve">, </w:t>
      </w:r>
      <w:r w:rsidRPr="00FD53B9">
        <w:rPr>
          <w:rFonts w:ascii="Traditional Arabic" w:hAnsi="Traditional Arabic"/>
          <w:color w:val="auto"/>
          <w:rtl/>
          <w:lang w:eastAsia="en-US"/>
        </w:rPr>
        <w:t>بيروت</w:t>
      </w:r>
      <w:r w:rsidR="00FC4C22">
        <w:rPr>
          <w:rFonts w:ascii="Traditional Arabic" w:hAnsi="Traditional Arabic" w:hint="cs"/>
          <w:color w:val="auto"/>
          <w:rtl/>
          <w:lang w:eastAsia="en-US"/>
        </w:rPr>
        <w:t xml:space="preserve"> -</w:t>
      </w:r>
      <w:r w:rsidR="00FC4C22">
        <w:rPr>
          <w:rFonts w:ascii="Traditional Arabic" w:hAnsi="Traditional Arabic"/>
          <w:color w:val="auto"/>
          <w:rtl/>
          <w:lang w:eastAsia="en-US"/>
        </w:rPr>
        <w:t xml:space="preserve"> لبنان</w:t>
      </w:r>
      <w:r w:rsidRPr="00FD53B9">
        <w:rPr>
          <w:rFonts w:ascii="Traditional Arabic" w:hAnsi="Traditional Arabic"/>
          <w:color w:val="auto"/>
          <w:rtl/>
          <w:lang w:eastAsia="en-US"/>
        </w:rPr>
        <w:t>, الطبعة: الأولى, عام النشر: 1408هـ-1988م, عدد الأجزاء: 5</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معاني القرآن, المؤلف: أبو جعفر أحمد بن محمد النحاس (المتوفى: 338هـ), المحقق: محمد علي الصابوني, الناشر: جامعة أم القرى, مكة الم</w:t>
      </w:r>
      <w:r w:rsidR="00FC4C22">
        <w:rPr>
          <w:rFonts w:ascii="Traditional Arabic" w:hAnsi="Traditional Arabic" w:hint="cs"/>
          <w:color w:val="auto"/>
          <w:rtl/>
          <w:lang w:eastAsia="en-US"/>
        </w:rPr>
        <w:t>ك</w:t>
      </w:r>
      <w:r w:rsidRPr="00FD53B9">
        <w:rPr>
          <w:rFonts w:ascii="Traditional Arabic" w:hAnsi="Traditional Arabic"/>
          <w:color w:val="auto"/>
          <w:rtl/>
          <w:lang w:eastAsia="en-US"/>
        </w:rPr>
        <w:t>رمة - السعودية, الطبعة: الأولى، عام النشر: 1409ه.</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معاني القرآن, المؤلف: أبو زكريا يحيى بن زياد بن عبد الله بن منظور الديلمي الفراء (المتوفى: 207هـ), المحقق: أحمد يوسف النجاتي, محمد علي النجار, عبد الفتاح إسماعيل الشلبي, الناشر: دار المصرية للتأليف والترجمة – مصر, الطبعة: الأولى, عدد الأجزاء: 4</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معجم الأدباء = إرشاد الأريب إلى معرفة الأديب, المؤلف: شهاب الدين أبو عبد الله ياقوت بن عبد الله الرومي, الحموي (المتوفى: 626هـ), المحقق: إحسان عباس, الناشر: دار الغرب الإسلامي، بيروت - لبنان, الطبعة: الأولى، عام النشر: 1414هـ-1993م, عدد الأجزاء: 7</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المعجم الأوسط, المؤلف: سليمان بن أحمد بن أيوب بن مطير اللخمي الشامي، أبو القاسم الطبراني (المتوفى: 360هـ), المحقق: طارق بن عوض الله بن محمد , عبد المحسن بن إبراهيم الحسيني, الناشر: دار الحرمين, القاهرة - مصر, عدد الأجزاء: 10</w:t>
      </w:r>
    </w:p>
    <w:p w:rsidR="00FD53B9" w:rsidRPr="00FD53B9" w:rsidRDefault="00FD53B9" w:rsidP="00FC4C22">
      <w:pPr>
        <w:widowControl/>
        <w:numPr>
          <w:ilvl w:val="0"/>
          <w:numId w:val="43"/>
        </w:numPr>
        <w:autoSpaceDE w:val="0"/>
        <w:autoSpaceDN w:val="0"/>
        <w:adjustRightInd w:val="0"/>
        <w:contextualSpacing/>
        <w:rPr>
          <w:rFonts w:ascii="Traditional Arabic" w:hAnsi="Traditional Arabic"/>
          <w:color w:val="auto"/>
          <w:lang w:eastAsia="en-US"/>
        </w:rPr>
      </w:pPr>
      <w:r w:rsidRPr="00FD53B9">
        <w:rPr>
          <w:rFonts w:ascii="Traditional Arabic" w:hAnsi="Traditional Arabic"/>
          <w:color w:val="auto"/>
          <w:rtl/>
          <w:lang w:eastAsia="en-US"/>
        </w:rPr>
        <w:t>معجم البلدان, المؤلف: شهاب الدين أبو عبد الله ياقوت بن عبد الله الرومي الحموي (المتوفى: 626هـ), الناشر: دار صادر</w:t>
      </w:r>
      <w:r w:rsidR="00FC4C22">
        <w:rPr>
          <w:rFonts w:ascii="Traditional Arabic" w:hAnsi="Traditional Arabic" w:hint="cs"/>
          <w:color w:val="auto"/>
          <w:rtl/>
          <w:lang w:eastAsia="en-US"/>
        </w:rPr>
        <w:t>,</w:t>
      </w:r>
      <w:r w:rsidRPr="00FD53B9">
        <w:rPr>
          <w:rFonts w:ascii="Traditional Arabic" w:hAnsi="Traditional Arabic"/>
          <w:color w:val="auto"/>
          <w:rtl/>
          <w:lang w:eastAsia="en-US"/>
        </w:rPr>
        <w:t xml:space="preserve"> بيروت</w:t>
      </w:r>
      <w:r w:rsidR="00FC4C22">
        <w:rPr>
          <w:rFonts w:ascii="Traditional Arabic" w:hAnsi="Traditional Arabic" w:hint="cs"/>
          <w:color w:val="auto"/>
          <w:rtl/>
          <w:lang w:eastAsia="en-US"/>
        </w:rPr>
        <w:t xml:space="preserve"> -</w:t>
      </w:r>
      <w:r w:rsidR="00FC4C22">
        <w:rPr>
          <w:rFonts w:ascii="Traditional Arabic" w:hAnsi="Traditional Arabic"/>
          <w:color w:val="auto"/>
          <w:rtl/>
          <w:lang w:eastAsia="en-US"/>
        </w:rPr>
        <w:t xml:space="preserve"> لبنان</w:t>
      </w:r>
      <w:r w:rsidRPr="00FD53B9">
        <w:rPr>
          <w:rFonts w:ascii="Traditional Arabic" w:hAnsi="Traditional Arabic"/>
          <w:color w:val="auto"/>
          <w:rtl/>
          <w:lang w:eastAsia="en-US"/>
        </w:rPr>
        <w:t>, الطبعة: الثانية، 1995 م, عدد الأجزاء: 7</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معجم الشعراء, المؤلف: الإمام أبي عبيد الله محمد بن عمران المرزباني (المتوفى: 384هـ), بتصحيح وتعليق : الأستاذ الدكتود. كرنكو, الناشر : مكتبة القدسي، دار الكتب العلمية، بيروت – لبنان, الطبعة : الثانية، عام النشر: 1402هـ-1982م, عدد الأجزاء : 1</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 xml:space="preserve">معجم الشيوخ, المؤلف: أبو الحسين محمد بن أحمد بن عبد الرحمن بن يحيى بن جُمَيْع الغساني الصيداوي (المتوفى: 402هـ), المحقق: د. عمر عبد السلام تدمري, الناشر: </w:t>
      </w:r>
      <w:r w:rsidRPr="00FD53B9">
        <w:rPr>
          <w:rFonts w:ascii="Traditional Arabic" w:hAnsi="Traditional Arabic"/>
          <w:color w:val="auto"/>
          <w:rtl/>
          <w:lang w:eastAsia="en-US"/>
        </w:rPr>
        <w:lastRenderedPageBreak/>
        <w:t>مؤسسة الرسالة , دار الإيمان - بيروت, طرابلس, الطبعة: الأولى، عام النشر 1405ه, عدد الأجزاء: 1</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معجم الصحابة, المؤلف : أبو القاسم عبد الله بن محمد بن عبد العزيز بن المَرْزُبان بن سابور بن شاهنشاه البغوي (المتوفى : 317هـ), المحقق : محمد الأمين بن محمد الجكني, الناشر : مكتبة دار البيان – الكويت, الطبعة : الأولى، 1421هـ-2000م, طبع على نفقة : سعد بن عبد العزيز بن عبد المحسن الراشد أبو باسل, عدد الأجزاء : 5</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معجم القراءات, تأليف: د. عبد اللطيف الخطيب, الناشر: دار سعد الدين للطباعة والنشر والتوزيع, دمشق- سوريا, الطبعة: الأولى, عام النشر: 1422ه-2002م, عدد الأجزاء: 11</w:t>
      </w:r>
    </w:p>
    <w:p w:rsidR="00FD53B9" w:rsidRPr="00FD53B9" w:rsidRDefault="00FD53B9" w:rsidP="00FD53B9">
      <w:pPr>
        <w:widowControl/>
        <w:numPr>
          <w:ilvl w:val="0"/>
          <w:numId w:val="43"/>
        </w:numPr>
        <w:autoSpaceDE w:val="0"/>
        <w:autoSpaceDN w:val="0"/>
        <w:adjustRightInd w:val="0"/>
        <w:contextualSpacing/>
        <w:rPr>
          <w:rFonts w:ascii="Traditional Arabic" w:hAnsi="Traditional Arabic"/>
          <w:color w:val="auto"/>
          <w:lang w:eastAsia="en-US"/>
        </w:rPr>
      </w:pPr>
      <w:r w:rsidRPr="00FD53B9">
        <w:rPr>
          <w:rFonts w:ascii="Traditional Arabic" w:hAnsi="Traditional Arabic"/>
          <w:color w:val="auto"/>
          <w:rtl/>
          <w:lang w:eastAsia="en-US"/>
        </w:rPr>
        <w:t xml:space="preserve">المعجم الكبير, المؤلف: أبو القاسم سليمان بن أحمد الطبراني (لمتوفى: 360ه), المحقق: حمدي بن عبد المجيد السلفي, </w:t>
      </w:r>
      <w:r w:rsidR="00FC4C22">
        <w:rPr>
          <w:rFonts w:ascii="Traditional Arabic" w:hAnsi="Traditional Arabic"/>
          <w:color w:val="auto"/>
          <w:rtl/>
          <w:lang w:eastAsia="en-US"/>
        </w:rPr>
        <w:t>الناشر: دار إحياء التراث العرب</w:t>
      </w:r>
      <w:r w:rsidR="00FC4C22">
        <w:rPr>
          <w:rFonts w:ascii="Traditional Arabic" w:hAnsi="Traditional Arabic" w:hint="cs"/>
          <w:color w:val="auto"/>
          <w:rtl/>
          <w:lang w:eastAsia="en-US"/>
        </w:rPr>
        <w:t xml:space="preserve">ي, </w:t>
      </w:r>
      <w:r w:rsidRPr="00FD53B9">
        <w:rPr>
          <w:rFonts w:ascii="Traditional Arabic" w:hAnsi="Traditional Arabic"/>
          <w:color w:val="auto"/>
          <w:rtl/>
          <w:lang w:eastAsia="en-US"/>
        </w:rPr>
        <w:t>بيروت</w:t>
      </w:r>
      <w:r w:rsidR="00FC4C22">
        <w:rPr>
          <w:rFonts w:ascii="Traditional Arabic" w:hAnsi="Traditional Arabic" w:hint="cs"/>
          <w:color w:val="auto"/>
          <w:rtl/>
          <w:lang w:eastAsia="en-US"/>
        </w:rPr>
        <w:t xml:space="preserve"> -</w:t>
      </w:r>
      <w:r w:rsidR="00FC4C22">
        <w:rPr>
          <w:rFonts w:ascii="Traditional Arabic" w:hAnsi="Traditional Arabic"/>
          <w:color w:val="auto"/>
          <w:rtl/>
          <w:lang w:eastAsia="en-US"/>
        </w:rPr>
        <w:t xml:space="preserve"> لبنان</w:t>
      </w:r>
      <w:r w:rsidRPr="00FD53B9">
        <w:rPr>
          <w:rFonts w:ascii="Traditional Arabic" w:hAnsi="Traditional Arabic"/>
          <w:color w:val="auto"/>
          <w:rtl/>
          <w:lang w:eastAsia="en-US"/>
        </w:rPr>
        <w:t>, الطبعة: الثانية، عام النشر: 1983م, عدد الأجزاء: 25</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معجم المؤلفين, المؤلف: عمر بن رضا بن محمد راغب بن عبد الغني كحالة الدمشقي (المتوفى: 1408هـ), الناشر: مكتبة ال</w:t>
      </w:r>
      <w:r w:rsidR="00FC4C22">
        <w:rPr>
          <w:rFonts w:ascii="Traditional Arabic" w:hAnsi="Traditional Arabic"/>
          <w:color w:val="auto"/>
          <w:rtl/>
          <w:lang w:eastAsia="en-US"/>
        </w:rPr>
        <w:t>مثنى</w:t>
      </w:r>
      <w:r w:rsidR="00FC4C22">
        <w:rPr>
          <w:rFonts w:ascii="Traditional Arabic" w:hAnsi="Traditional Arabic" w:hint="cs"/>
          <w:color w:val="auto"/>
          <w:rtl/>
          <w:lang w:eastAsia="en-US"/>
        </w:rPr>
        <w:t xml:space="preserve">, </w:t>
      </w:r>
      <w:r w:rsidRPr="00FD53B9">
        <w:rPr>
          <w:rFonts w:ascii="Traditional Arabic" w:hAnsi="Traditional Arabic"/>
          <w:color w:val="auto"/>
          <w:rtl/>
          <w:lang w:eastAsia="en-US"/>
        </w:rPr>
        <w:t>بيروت</w:t>
      </w:r>
      <w:r w:rsidR="00FC4C22">
        <w:rPr>
          <w:rFonts w:ascii="Traditional Arabic" w:hAnsi="Traditional Arabic" w:hint="cs"/>
          <w:color w:val="auto"/>
          <w:rtl/>
          <w:lang w:eastAsia="en-US"/>
        </w:rPr>
        <w:t xml:space="preserve"> -</w:t>
      </w:r>
      <w:r w:rsidR="00FC4C22">
        <w:rPr>
          <w:rFonts w:ascii="Traditional Arabic" w:hAnsi="Traditional Arabic"/>
          <w:color w:val="auto"/>
          <w:rtl/>
          <w:lang w:eastAsia="en-US"/>
        </w:rPr>
        <w:t xml:space="preserve"> لبنان</w:t>
      </w:r>
      <w:r w:rsidRPr="00FD53B9">
        <w:rPr>
          <w:rFonts w:ascii="Traditional Arabic" w:hAnsi="Traditional Arabic"/>
          <w:color w:val="auto"/>
          <w:rtl/>
          <w:lang w:eastAsia="en-US"/>
        </w:rPr>
        <w:t>، دار إحياء التراث العربي بيروت</w:t>
      </w:r>
      <w:r w:rsidR="00FC4C22">
        <w:rPr>
          <w:rFonts w:ascii="Traditional Arabic" w:hAnsi="Traditional Arabic" w:hint="cs"/>
          <w:color w:val="auto"/>
          <w:rtl/>
          <w:lang w:eastAsia="en-US"/>
        </w:rPr>
        <w:t xml:space="preserve"> -</w:t>
      </w:r>
      <w:r w:rsidRPr="00FD53B9">
        <w:rPr>
          <w:rFonts w:ascii="Traditional Arabic" w:hAnsi="Traditional Arabic"/>
          <w:color w:val="auto"/>
          <w:rtl/>
          <w:lang w:eastAsia="en-US"/>
        </w:rPr>
        <w:t xml:space="preserve"> لبنان,</w:t>
      </w:r>
      <w:r w:rsidR="00FC4C22">
        <w:rPr>
          <w:rFonts w:ascii="Traditional Arabic" w:hAnsi="Traditional Arabic" w:hint="cs"/>
          <w:color w:val="auto"/>
          <w:rtl/>
          <w:lang w:eastAsia="en-US"/>
        </w:rPr>
        <w:t xml:space="preserve"> عام النشر:</w:t>
      </w:r>
      <w:r w:rsidRPr="00FD53B9">
        <w:rPr>
          <w:rFonts w:ascii="Traditional Arabic" w:hAnsi="Traditional Arabic"/>
          <w:color w:val="auto"/>
          <w:rtl/>
          <w:lang w:eastAsia="en-US"/>
        </w:rPr>
        <w:t xml:space="preserve"> 1376هـ-1957م, عدد الأجزاء: 13</w:t>
      </w:r>
    </w:p>
    <w:p w:rsidR="00FD53B9" w:rsidRPr="00FD53B9" w:rsidRDefault="00FD53B9" w:rsidP="00FD53B9">
      <w:pPr>
        <w:numPr>
          <w:ilvl w:val="0"/>
          <w:numId w:val="43"/>
        </w:numPr>
        <w:contextualSpacing/>
        <w:rPr>
          <w:rFonts w:ascii="Traditional Arabic" w:hAnsi="Traditional Arabic"/>
          <w:color w:val="auto"/>
        </w:rPr>
      </w:pPr>
      <w:r w:rsidRPr="00FD53B9">
        <w:rPr>
          <w:rFonts w:ascii="Traditional Arabic" w:hAnsi="Traditional Arabic"/>
          <w:color w:val="auto"/>
          <w:rtl/>
          <w:lang w:eastAsia="en-US"/>
        </w:rPr>
        <w:t>المعجم في أسامي شيوخ أبي بكر الإسماعيلي, المؤلف : أبو بكر أحمد بن إبراهيم بن إسماعيل الإسماعيلي (المتوفى: 371ه), المحقق: د. زياد محمد منصور, الناشر: مكتبة العلوم والحكم, المدينة المنورة - السعودية, الطبعة: الأولى، 1410ه, عدد الأجزاء: 3</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معجم ما استعجم من أسماء البلاد والمواضع, المؤلف: أبو عبيد عبد الله بن عبد العزيز بن محمد البكري الأندلسي (المتوفى: 487هـ), الناشر: عالم الكتب، بيروت – لبنان, الطبعة: الثالثة، عام النشر: 1403هـ, عدد الأجزاء: 4</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المعرب من الكلام الأعجمي على حروف المعجم, المؤلف: أبو منصور موهوب بن أحمد بن محمد بن الخضر الجواليقي (المتوفى: 540ه), تحقيق وشرح: أحمد محمد شاكر, دار النشر: دار الكتب والوثائق القومية</w:t>
      </w:r>
      <w:r w:rsidR="00FC4C22">
        <w:rPr>
          <w:rFonts w:ascii="Traditional Arabic" w:hAnsi="Traditional Arabic" w:hint="cs"/>
          <w:color w:val="auto"/>
          <w:rtl/>
          <w:lang w:eastAsia="en-US"/>
        </w:rPr>
        <w:t xml:space="preserve"> - مصر</w:t>
      </w:r>
      <w:r w:rsidRPr="00FD53B9">
        <w:rPr>
          <w:rFonts w:ascii="Traditional Arabic" w:hAnsi="Traditional Arabic"/>
          <w:color w:val="auto"/>
          <w:rtl/>
          <w:lang w:eastAsia="en-US"/>
        </w:rPr>
        <w:t>, الطبعة: الثانية, عام النشر: 1389هـ- 1969م, عدد الأجزاء: 1</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lastRenderedPageBreak/>
        <w:t>معرفة الصحابة, المؤلف: أبو نعيم أحمد بن عبد الله بن أحمد بن إسحاق بن موسى بن مهران الأصبهاني (المتوفى: 430هـ), تحقيق: عادل بن يوسف العزازي, الناشر: دار الوطن للنشر، الرياض</w:t>
      </w:r>
      <w:r w:rsidR="00FC4C22">
        <w:rPr>
          <w:rFonts w:ascii="Traditional Arabic" w:hAnsi="Traditional Arabic" w:hint="cs"/>
          <w:color w:val="auto"/>
          <w:rtl/>
          <w:lang w:eastAsia="en-US"/>
        </w:rPr>
        <w:t xml:space="preserve"> </w:t>
      </w:r>
      <w:r w:rsidR="00FC4C22">
        <w:rPr>
          <w:rFonts w:ascii="Traditional Arabic" w:hAnsi="Traditional Arabic"/>
          <w:color w:val="auto"/>
          <w:rtl/>
          <w:lang w:eastAsia="en-US"/>
        </w:rPr>
        <w:t>–</w:t>
      </w:r>
      <w:r w:rsidR="00FC4C22">
        <w:rPr>
          <w:rFonts w:ascii="Traditional Arabic" w:hAnsi="Traditional Arabic" w:hint="cs"/>
          <w:color w:val="auto"/>
          <w:rtl/>
          <w:lang w:eastAsia="en-US"/>
        </w:rPr>
        <w:t xml:space="preserve"> المملكة العربية السعودية</w:t>
      </w:r>
      <w:r w:rsidRPr="00FD53B9">
        <w:rPr>
          <w:rFonts w:ascii="Traditional Arabic" w:hAnsi="Traditional Arabic"/>
          <w:color w:val="auto"/>
          <w:rtl/>
          <w:lang w:eastAsia="en-US"/>
        </w:rPr>
        <w:t xml:space="preserve">, الطبعة: الأولى 1419هـ -1998م, عدد الأجزاء: عدد الأجزاء: 7 </w:t>
      </w:r>
    </w:p>
    <w:p w:rsidR="00FD53B9" w:rsidRPr="00FD53B9" w:rsidRDefault="00FD53B9" w:rsidP="00FD53B9">
      <w:pPr>
        <w:widowControl/>
        <w:numPr>
          <w:ilvl w:val="0"/>
          <w:numId w:val="43"/>
        </w:numPr>
        <w:autoSpaceDE w:val="0"/>
        <w:autoSpaceDN w:val="0"/>
        <w:adjustRightInd w:val="0"/>
        <w:contextualSpacing/>
        <w:rPr>
          <w:rFonts w:ascii="Traditional Arabic" w:hAnsi="Traditional Arabic"/>
          <w:color w:val="auto"/>
          <w:lang w:eastAsia="en-US"/>
        </w:rPr>
      </w:pPr>
      <w:r w:rsidRPr="00FD53B9">
        <w:rPr>
          <w:rFonts w:ascii="Traditional Arabic" w:hAnsi="Traditional Arabic"/>
          <w:color w:val="auto"/>
          <w:rtl/>
          <w:lang w:eastAsia="en-US"/>
        </w:rPr>
        <w:t>معرفة القراء الكبار على الطبقات والأعصار, المؤلف: شمس الدين أبو عبد الله محمد بن أحمد بن عثمان بن قَايْماز الذهبي (المتوفى: 748هـ), المحقق: محمد حسن محمد حسن إسماعيل الشافعي, الناشر: دار الكتب العلمية, بيروت</w:t>
      </w:r>
      <w:r w:rsidR="00FC4C22">
        <w:rPr>
          <w:rFonts w:ascii="Traditional Arabic" w:hAnsi="Traditional Arabic" w:hint="cs"/>
          <w:color w:val="auto"/>
          <w:rtl/>
          <w:lang w:eastAsia="en-US"/>
        </w:rPr>
        <w:t xml:space="preserve"> </w:t>
      </w:r>
      <w:r w:rsidRPr="00FD53B9">
        <w:rPr>
          <w:rFonts w:ascii="Traditional Arabic" w:hAnsi="Traditional Arabic"/>
          <w:color w:val="auto"/>
          <w:rtl/>
          <w:lang w:eastAsia="en-US"/>
        </w:rPr>
        <w:t>-</w:t>
      </w:r>
      <w:r w:rsidR="00FC4C22">
        <w:rPr>
          <w:rFonts w:ascii="Traditional Arabic" w:hAnsi="Traditional Arabic" w:hint="cs"/>
          <w:color w:val="auto"/>
          <w:rtl/>
          <w:lang w:eastAsia="en-US"/>
        </w:rPr>
        <w:t xml:space="preserve"> </w:t>
      </w:r>
      <w:r w:rsidRPr="00FD53B9">
        <w:rPr>
          <w:rFonts w:ascii="Traditional Arabic" w:hAnsi="Traditional Arabic"/>
          <w:color w:val="auto"/>
          <w:rtl/>
          <w:lang w:eastAsia="en-US"/>
        </w:rPr>
        <w:t>لبنان, الطبعة: الأولى, عام النشر: 1417هـ-1997م, عدد الأجزاء: 1</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المغني, المؤلف : أبو محمد موفق الدين عبد الله بن أحمد بن محمد ، الشهير بابن قدامة المقدسي (المتوفى : 620هـ), تحقيق: الدكتور عبد الله بن عبد المحسن التركي، والدكتور عبد الفتاح محمد الحلو, دار النشر: عالم الكتب، الرياض - السعودية،, الطبعة: الثالثة, سنة النشر: 1417هـ - 1997م، عدد الأجزاء: 14</w:t>
      </w:r>
    </w:p>
    <w:p w:rsidR="00FD53B9" w:rsidRPr="00FD53B9" w:rsidRDefault="00FD53B9" w:rsidP="00FD53B9">
      <w:pPr>
        <w:widowControl/>
        <w:numPr>
          <w:ilvl w:val="0"/>
          <w:numId w:val="43"/>
        </w:numPr>
        <w:autoSpaceDE w:val="0"/>
        <w:autoSpaceDN w:val="0"/>
        <w:adjustRightInd w:val="0"/>
        <w:contextualSpacing/>
        <w:rPr>
          <w:rFonts w:ascii="Traditional Arabic" w:hAnsi="Traditional Arabic"/>
          <w:color w:val="auto"/>
          <w:lang w:eastAsia="en-US"/>
        </w:rPr>
      </w:pPr>
      <w:r w:rsidRPr="00FD53B9">
        <w:rPr>
          <w:rFonts w:ascii="Traditional Arabic" w:hAnsi="Traditional Arabic"/>
          <w:color w:val="auto"/>
          <w:rtl/>
          <w:lang w:eastAsia="en-US"/>
        </w:rPr>
        <w:t>المقصد الأرشد في ذكر أصحاب الإمام أحمد, المؤلف: إبراهيم بن محمد بن عبد الله بن محمد ابن مفلح، أبو إسحاق، برهان الدين (المتوفى: 884هـ), المحقق: د عبد الرحمن بن سليمان</w:t>
      </w:r>
      <w:r w:rsidR="00FC4C22">
        <w:rPr>
          <w:rFonts w:ascii="Traditional Arabic" w:hAnsi="Traditional Arabic"/>
          <w:color w:val="auto"/>
          <w:rtl/>
          <w:lang w:eastAsia="en-US"/>
        </w:rPr>
        <w:t xml:space="preserve"> العثيمين, الناشر: مكتبة الرشد</w:t>
      </w:r>
      <w:r w:rsidR="00FC4C22">
        <w:rPr>
          <w:rFonts w:ascii="Traditional Arabic" w:hAnsi="Traditional Arabic" w:hint="cs"/>
          <w:color w:val="auto"/>
          <w:rtl/>
          <w:lang w:eastAsia="en-US"/>
        </w:rPr>
        <w:t xml:space="preserve">, </w:t>
      </w:r>
      <w:r w:rsidRPr="00FD53B9">
        <w:rPr>
          <w:rFonts w:ascii="Traditional Arabic" w:hAnsi="Traditional Arabic"/>
          <w:color w:val="auto"/>
          <w:rtl/>
          <w:lang w:eastAsia="en-US"/>
        </w:rPr>
        <w:t>الرياض</w:t>
      </w:r>
      <w:r w:rsidR="00FC4C22">
        <w:rPr>
          <w:rFonts w:ascii="Traditional Arabic" w:hAnsi="Traditional Arabic" w:hint="cs"/>
          <w:color w:val="auto"/>
          <w:rtl/>
          <w:lang w:eastAsia="en-US"/>
        </w:rPr>
        <w:t xml:space="preserve"> -</w:t>
      </w:r>
      <w:r w:rsidR="00FC4C22">
        <w:rPr>
          <w:rFonts w:ascii="Traditional Arabic" w:hAnsi="Traditional Arabic"/>
          <w:color w:val="auto"/>
          <w:rtl/>
          <w:lang w:eastAsia="en-US"/>
        </w:rPr>
        <w:t xml:space="preserve"> السعودية</w:t>
      </w:r>
      <w:r w:rsidRPr="00FD53B9">
        <w:rPr>
          <w:rFonts w:ascii="Traditional Arabic" w:hAnsi="Traditional Arabic"/>
          <w:color w:val="auto"/>
          <w:rtl/>
          <w:lang w:eastAsia="en-US"/>
        </w:rPr>
        <w:t>, الطبعة: الأولى، 1410هـ - 1990م, عدد الأجزاء: 3</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الملل والنحل, المؤلف : العلامة أبو الفتح محمد بن عبد الكريم بن أبي بكر أحمد الشهرستاني (المتوفى: 548ه), ضبطه وعلق عليه: كسرى صالح العلي, الناشر : مؤسسة الرسالة ناشرون, بيروت –</w:t>
      </w:r>
      <w:r w:rsidR="00FC4C22">
        <w:rPr>
          <w:rFonts w:ascii="Traditional Arabic" w:hAnsi="Traditional Arabic" w:hint="cs"/>
          <w:color w:val="auto"/>
          <w:rtl/>
          <w:lang w:eastAsia="en-US"/>
        </w:rPr>
        <w:t xml:space="preserve"> </w:t>
      </w:r>
      <w:r w:rsidRPr="00FD53B9">
        <w:rPr>
          <w:rFonts w:ascii="Traditional Arabic" w:hAnsi="Traditional Arabic"/>
          <w:color w:val="auto"/>
          <w:rtl/>
          <w:lang w:eastAsia="en-US"/>
        </w:rPr>
        <w:t>لبنان, عام النشر: 1434ه-2013م, عدد الأجزاء:1</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 xml:space="preserve">المنتظم في تاريخ الأمم والملوك, المؤلف: جمال الدين أبو الفرج عبد الرحمن بن علي بن محمد الجوزي (المتوفى: 597هـ), المحقق: محمد عبد القادر عطا، مصطفى عبد القادر </w:t>
      </w:r>
      <w:r w:rsidR="00FC4C22">
        <w:rPr>
          <w:rFonts w:ascii="Traditional Arabic" w:hAnsi="Traditional Arabic"/>
          <w:color w:val="auto"/>
          <w:rtl/>
          <w:lang w:eastAsia="en-US"/>
        </w:rPr>
        <w:t>عطا, الناشر: دار الكتب العلمية</w:t>
      </w:r>
      <w:r w:rsidR="00FC4C22">
        <w:rPr>
          <w:rFonts w:ascii="Traditional Arabic" w:hAnsi="Traditional Arabic" w:hint="cs"/>
          <w:color w:val="auto"/>
          <w:rtl/>
          <w:lang w:eastAsia="en-US"/>
        </w:rPr>
        <w:t xml:space="preserve">, </w:t>
      </w:r>
      <w:r w:rsidRPr="00FD53B9">
        <w:rPr>
          <w:rFonts w:ascii="Traditional Arabic" w:hAnsi="Traditional Arabic"/>
          <w:color w:val="auto"/>
          <w:rtl/>
          <w:lang w:eastAsia="en-US"/>
        </w:rPr>
        <w:t>بيروت</w:t>
      </w:r>
      <w:r w:rsidR="00FC4C22">
        <w:rPr>
          <w:rFonts w:ascii="Traditional Arabic" w:hAnsi="Traditional Arabic" w:hint="cs"/>
          <w:color w:val="auto"/>
          <w:rtl/>
          <w:lang w:eastAsia="en-US"/>
        </w:rPr>
        <w:t xml:space="preserve"> -</w:t>
      </w:r>
      <w:r w:rsidR="00FC4C22">
        <w:rPr>
          <w:rFonts w:ascii="Traditional Arabic" w:hAnsi="Traditional Arabic"/>
          <w:color w:val="auto"/>
          <w:rtl/>
          <w:lang w:eastAsia="en-US"/>
        </w:rPr>
        <w:t xml:space="preserve"> لبنان</w:t>
      </w:r>
      <w:r w:rsidRPr="00FD53B9">
        <w:rPr>
          <w:rFonts w:ascii="Traditional Arabic" w:hAnsi="Traditional Arabic"/>
          <w:color w:val="auto"/>
          <w:rtl/>
          <w:lang w:eastAsia="en-US"/>
        </w:rPr>
        <w:t>, الطبعة: الأولى، 1412هـ-1992م, عدد الأجزاء: 19</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 xml:space="preserve">الموضوعات, المؤلف: جمال الدين عبد الرحمن بن علي بن محمد الجوزي (المتوفى: 597هـ), ضبط وتقديم وتحقيق: عبد الرحمن محمد عثمان, الناشر: محمد عبد المحسن </w:t>
      </w:r>
      <w:r w:rsidRPr="00FD53B9">
        <w:rPr>
          <w:rFonts w:ascii="Traditional Arabic" w:hAnsi="Traditional Arabic"/>
          <w:color w:val="auto"/>
          <w:rtl/>
          <w:lang w:eastAsia="en-US"/>
        </w:rPr>
        <w:lastRenderedPageBreak/>
        <w:t>صاحب المكتبة السلفية بالمدينة المنورة - السعودية, الطبعة: الأولى, عام النشر: الجزء الأول والثاني: 1386هـ-1966م, الجزء الثالث: 1388هـ- 1968م , عدد الأجزاء: 3</w:t>
      </w:r>
    </w:p>
    <w:p w:rsidR="00FD53B9" w:rsidRPr="00FD53B9" w:rsidRDefault="00FD53B9" w:rsidP="004E4A7D">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مؤلفات ابن الجوزي, المؤلف: عبدالحميد العلوجي, الطبعة: الأولى,</w:t>
      </w:r>
      <w:r w:rsidR="004E4A7D">
        <w:rPr>
          <w:rFonts w:ascii="Traditional Arabic" w:hAnsi="Traditional Arabic" w:hint="cs"/>
          <w:color w:val="auto"/>
          <w:rtl/>
          <w:lang w:eastAsia="en-US"/>
        </w:rPr>
        <w:t xml:space="preserve"> دار النشر: دار الجمهورية, بغداد </w:t>
      </w:r>
      <w:r w:rsidR="004E4A7D">
        <w:rPr>
          <w:rFonts w:ascii="Traditional Arabic" w:hAnsi="Traditional Arabic"/>
          <w:color w:val="auto"/>
          <w:rtl/>
          <w:lang w:eastAsia="en-US"/>
        </w:rPr>
        <w:t>–</w:t>
      </w:r>
      <w:r w:rsidR="004E4A7D">
        <w:rPr>
          <w:rFonts w:ascii="Traditional Arabic" w:hAnsi="Traditional Arabic" w:hint="cs"/>
          <w:color w:val="auto"/>
          <w:rtl/>
          <w:lang w:eastAsia="en-US"/>
        </w:rPr>
        <w:t xml:space="preserve"> العراق, </w:t>
      </w:r>
      <w:r w:rsidRPr="00FD53B9">
        <w:rPr>
          <w:rFonts w:ascii="Traditional Arabic" w:hAnsi="Traditional Arabic"/>
          <w:color w:val="auto"/>
          <w:rtl/>
          <w:lang w:eastAsia="en-US"/>
        </w:rPr>
        <w:t xml:space="preserve">عام النشر: </w:t>
      </w:r>
      <w:r w:rsidR="004E4A7D">
        <w:rPr>
          <w:rFonts w:ascii="Traditional Arabic" w:hAnsi="Traditional Arabic" w:hint="cs"/>
          <w:color w:val="auto"/>
          <w:rtl/>
          <w:lang w:eastAsia="en-US"/>
        </w:rPr>
        <w:t>1385</w:t>
      </w:r>
      <w:r w:rsidRPr="00FD53B9">
        <w:rPr>
          <w:rFonts w:ascii="Traditional Arabic" w:hAnsi="Traditional Arabic"/>
          <w:color w:val="auto"/>
          <w:rtl/>
          <w:lang w:eastAsia="en-US"/>
        </w:rPr>
        <w:t>ه-</w:t>
      </w:r>
      <w:r w:rsidR="004E4A7D">
        <w:rPr>
          <w:rFonts w:ascii="Traditional Arabic" w:hAnsi="Traditional Arabic" w:hint="cs"/>
          <w:color w:val="auto"/>
          <w:rtl/>
          <w:lang w:eastAsia="en-US"/>
        </w:rPr>
        <w:t>1965</w:t>
      </w:r>
      <w:r w:rsidRPr="00FD53B9">
        <w:rPr>
          <w:rFonts w:ascii="Traditional Arabic" w:hAnsi="Traditional Arabic"/>
          <w:color w:val="auto"/>
          <w:rtl/>
          <w:lang w:eastAsia="en-US"/>
        </w:rPr>
        <w:t>م, عدد الأجزاء: 1</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ميزان الاعتدال في نقد الرجال, المؤلف: شمس الدين أبو عبد الله محمد بن أحمد بن عثمان بن قَايْماز الذهبي (المتوفى: 748هـ), تحقيق: علي محمد البجاوي, النا</w:t>
      </w:r>
      <w:r w:rsidR="00FC4C22">
        <w:rPr>
          <w:rFonts w:ascii="Traditional Arabic" w:hAnsi="Traditional Arabic"/>
          <w:color w:val="auto"/>
          <w:rtl/>
          <w:lang w:eastAsia="en-US"/>
        </w:rPr>
        <w:t>شر: دار المعرفة للطباعة والنشر</w:t>
      </w:r>
      <w:r w:rsidR="00FC4C22">
        <w:rPr>
          <w:rFonts w:ascii="Traditional Arabic" w:hAnsi="Traditional Arabic" w:hint="cs"/>
          <w:color w:val="auto"/>
          <w:rtl/>
          <w:lang w:eastAsia="en-US"/>
        </w:rPr>
        <w:t xml:space="preserve">, </w:t>
      </w:r>
      <w:r w:rsidRPr="00FD53B9">
        <w:rPr>
          <w:rFonts w:ascii="Traditional Arabic" w:hAnsi="Traditional Arabic"/>
          <w:color w:val="auto"/>
          <w:rtl/>
          <w:lang w:eastAsia="en-US"/>
        </w:rPr>
        <w:t>بيروت</w:t>
      </w:r>
      <w:r w:rsidR="00FC4C22">
        <w:rPr>
          <w:rFonts w:ascii="Traditional Arabic" w:hAnsi="Traditional Arabic" w:hint="cs"/>
          <w:color w:val="auto"/>
          <w:rtl/>
          <w:lang w:eastAsia="en-US"/>
        </w:rPr>
        <w:t xml:space="preserve"> -</w:t>
      </w:r>
      <w:r w:rsidR="00FC4C22">
        <w:rPr>
          <w:rFonts w:ascii="Traditional Arabic" w:hAnsi="Traditional Arabic"/>
          <w:color w:val="auto"/>
          <w:rtl/>
          <w:lang w:eastAsia="en-US"/>
        </w:rPr>
        <w:t xml:space="preserve"> لبنان</w:t>
      </w:r>
      <w:r w:rsidRPr="00FD53B9">
        <w:rPr>
          <w:rFonts w:ascii="Traditional Arabic" w:hAnsi="Traditional Arabic"/>
          <w:color w:val="auto"/>
          <w:rtl/>
          <w:lang w:eastAsia="en-US"/>
        </w:rPr>
        <w:t>, الطبعة: الأولى،</w:t>
      </w:r>
      <w:r w:rsidR="00FC4C22">
        <w:rPr>
          <w:rFonts w:ascii="Traditional Arabic" w:hAnsi="Traditional Arabic" w:hint="cs"/>
          <w:color w:val="auto"/>
          <w:rtl/>
          <w:lang w:eastAsia="en-US"/>
        </w:rPr>
        <w:t xml:space="preserve"> عام النشر:</w:t>
      </w:r>
      <w:r w:rsidRPr="00FD53B9">
        <w:rPr>
          <w:rFonts w:ascii="Traditional Arabic" w:hAnsi="Traditional Arabic"/>
          <w:color w:val="auto"/>
          <w:rtl/>
          <w:lang w:eastAsia="en-US"/>
        </w:rPr>
        <w:t xml:space="preserve"> 1382 هـ - 1963م, عدد الأجزاء: 4 </w:t>
      </w:r>
    </w:p>
    <w:p w:rsidR="00FD53B9" w:rsidRPr="00FD53B9" w:rsidRDefault="00FD53B9" w:rsidP="00FD53B9">
      <w:pPr>
        <w:numPr>
          <w:ilvl w:val="0"/>
          <w:numId w:val="43"/>
        </w:numPr>
        <w:contextualSpacing/>
        <w:rPr>
          <w:rFonts w:ascii="Traditional Arabic" w:hAnsi="Traditional Arabic"/>
          <w:color w:val="auto"/>
        </w:rPr>
      </w:pPr>
      <w:r w:rsidRPr="00FD53B9">
        <w:rPr>
          <w:rFonts w:ascii="Traditional Arabic" w:hAnsi="Traditional Arabic"/>
          <w:color w:val="auto"/>
          <w:rtl/>
          <w:lang w:eastAsia="en-US"/>
        </w:rPr>
        <w:t>الناسخ والمنسوخ, المؤلف: أبو القاسم هبة الله بن سلامة بن نصر بن علي البغدادي المقري (المتوفى: 410هـ), المحقق: زهير الشاويش , محمد كنعان, الناشر: المكتب الإسلامي, بيروت - لبنان, الطبعة: الأولى، عام النشر: 1404هـ, عدد الأجزاء: 1</w:t>
      </w:r>
      <w:r w:rsidRPr="00FD53B9">
        <w:rPr>
          <w:rFonts w:ascii="Traditional Arabic" w:hAnsi="Traditional Arabic"/>
          <w:color w:val="auto"/>
          <w:rtl/>
        </w:rPr>
        <w:t xml:space="preserve"> </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الناسخ والمنسوخ, المؤلف: أبو جعفر النَّحَّاس أحمد بن محمد بن إسماعيل بن يونس المرادي النحوي (المتوفى: 338هـ), المحقق: د. محمد عبد ال</w:t>
      </w:r>
      <w:r w:rsidR="00FC4C22">
        <w:rPr>
          <w:rFonts w:ascii="Traditional Arabic" w:hAnsi="Traditional Arabic"/>
          <w:color w:val="auto"/>
          <w:rtl/>
          <w:lang w:eastAsia="en-US"/>
        </w:rPr>
        <w:t>سلام محمد, الناشر: مكتبة الفلاح</w:t>
      </w:r>
      <w:r w:rsidR="00FC4C22">
        <w:rPr>
          <w:rFonts w:ascii="Traditional Arabic" w:hAnsi="Traditional Arabic" w:hint="cs"/>
          <w:color w:val="auto"/>
          <w:rtl/>
          <w:lang w:eastAsia="en-US"/>
        </w:rPr>
        <w:t xml:space="preserve"> -</w:t>
      </w:r>
      <w:r w:rsidRPr="00FD53B9">
        <w:rPr>
          <w:rFonts w:ascii="Traditional Arabic" w:hAnsi="Traditional Arabic"/>
          <w:color w:val="auto"/>
          <w:rtl/>
          <w:lang w:eastAsia="en-US"/>
        </w:rPr>
        <w:t xml:space="preserve"> الكويت, الطبعة: الأولى، عام النشر: 1408ه, عدد الأجزاء: 1</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النجوم الزاهرة في ملوك مصر والقاهرة, المؤلف: يوسف بن تغري بردي بن عبد الله الظاهري الحنفي، أبو المحاسن، جمال الدين (المتوفى: 874هـ), الناشر: وزارة الثقافة والإرشاد ال</w:t>
      </w:r>
      <w:r w:rsidR="00FC4C22">
        <w:rPr>
          <w:rFonts w:ascii="Traditional Arabic" w:hAnsi="Traditional Arabic"/>
          <w:color w:val="auto"/>
          <w:rtl/>
          <w:lang w:eastAsia="en-US"/>
        </w:rPr>
        <w:t>قومي، دار الكتب</w:t>
      </w:r>
      <w:r w:rsidR="00FC4C22">
        <w:rPr>
          <w:rFonts w:ascii="Traditional Arabic" w:hAnsi="Traditional Arabic" w:hint="cs"/>
          <w:color w:val="auto"/>
          <w:rtl/>
          <w:lang w:eastAsia="en-US"/>
        </w:rPr>
        <w:t xml:space="preserve"> -</w:t>
      </w:r>
      <w:r w:rsidR="00FC4C22">
        <w:rPr>
          <w:rFonts w:ascii="Traditional Arabic" w:hAnsi="Traditional Arabic"/>
          <w:color w:val="auto"/>
          <w:rtl/>
          <w:lang w:eastAsia="en-US"/>
        </w:rPr>
        <w:t xml:space="preserve"> مصر</w:t>
      </w:r>
      <w:r w:rsidRPr="00FD53B9">
        <w:rPr>
          <w:rFonts w:ascii="Traditional Arabic" w:hAnsi="Traditional Arabic"/>
          <w:color w:val="auto"/>
          <w:rtl/>
          <w:lang w:eastAsia="en-US"/>
        </w:rPr>
        <w:t>, عدد الأجزاء: 16</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نسب قريش, المؤلف: مصعب بن عبد الله بن مصعب بن ثابت بن عبد الله بن الزبير، أبو عبد الله الزبيري (المتوفى: 236هـ), المحقق: ليفي بروفنسال، أستاذ اللغة والحضارة بالسوربون، ومدير معهد الدروس الإسلامية بجامعة باريس – سابقا, الناشر: دار المعارف، القاهرة</w:t>
      </w:r>
      <w:r w:rsidR="00FC4C22">
        <w:rPr>
          <w:rFonts w:ascii="Traditional Arabic" w:hAnsi="Traditional Arabic" w:hint="cs"/>
          <w:color w:val="auto"/>
          <w:rtl/>
          <w:lang w:eastAsia="en-US"/>
        </w:rPr>
        <w:t xml:space="preserve"> - مصر</w:t>
      </w:r>
      <w:r w:rsidRPr="00FD53B9">
        <w:rPr>
          <w:rFonts w:ascii="Traditional Arabic" w:hAnsi="Traditional Arabic"/>
          <w:color w:val="auto"/>
          <w:rtl/>
          <w:lang w:eastAsia="en-US"/>
        </w:rPr>
        <w:t>, الطبعة: الثالثة, عدد الأجزاء: 1</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النشر في القراءات العشر, المؤلف : شمس الدين أبو الخير ابن الجزري، محمد بن محمد بن يوسف (المتوفى : 833 هـ), المحقق : علي محمد الضباع (المتوفى 1380 هـ), الناشر : المطبعة التجارية الكبرى [تصوير دار الكتاب العلمية], عدد الأجزاء : 2</w:t>
      </w:r>
    </w:p>
    <w:p w:rsidR="00FD53B9" w:rsidRPr="00FD53B9" w:rsidRDefault="00FD53B9" w:rsidP="00FD53B9">
      <w:pPr>
        <w:widowControl/>
        <w:numPr>
          <w:ilvl w:val="0"/>
          <w:numId w:val="43"/>
        </w:numPr>
        <w:autoSpaceDE w:val="0"/>
        <w:autoSpaceDN w:val="0"/>
        <w:adjustRightInd w:val="0"/>
        <w:contextualSpacing/>
        <w:rPr>
          <w:rFonts w:ascii="Traditional Arabic" w:hAnsi="Traditional Arabic"/>
          <w:color w:val="auto"/>
          <w:lang w:eastAsia="en-US"/>
        </w:rPr>
      </w:pPr>
      <w:r w:rsidRPr="00FD53B9">
        <w:rPr>
          <w:rFonts w:ascii="Traditional Arabic" w:hAnsi="Traditional Arabic"/>
          <w:color w:val="auto"/>
          <w:rtl/>
          <w:lang w:eastAsia="en-US"/>
        </w:rPr>
        <w:lastRenderedPageBreak/>
        <w:t>النكت والعيون, المؤلف: أبو الحسن علي بن محمد بن محمد بن حبيب البصري البغدادي، الشهير بالماوردي (المتوفى: 450هـ), المحقق: السيد ابن عبد المقصود بن عبد الر</w:t>
      </w:r>
      <w:r w:rsidR="00FC4C22">
        <w:rPr>
          <w:rFonts w:ascii="Traditional Arabic" w:hAnsi="Traditional Arabic"/>
          <w:color w:val="auto"/>
          <w:rtl/>
          <w:lang w:eastAsia="en-US"/>
        </w:rPr>
        <w:t>حيم, الناشر: دار الكتب العلمية</w:t>
      </w:r>
      <w:r w:rsidR="00FC4C22">
        <w:rPr>
          <w:rFonts w:ascii="Traditional Arabic" w:hAnsi="Traditional Arabic" w:hint="cs"/>
          <w:color w:val="auto"/>
          <w:rtl/>
          <w:lang w:eastAsia="en-US"/>
        </w:rPr>
        <w:t xml:space="preserve">, </w:t>
      </w:r>
      <w:r w:rsidRPr="00FD53B9">
        <w:rPr>
          <w:rFonts w:ascii="Traditional Arabic" w:hAnsi="Traditional Arabic"/>
          <w:color w:val="auto"/>
          <w:rtl/>
          <w:lang w:eastAsia="en-US"/>
        </w:rPr>
        <w:t>بيروت</w:t>
      </w:r>
      <w:r w:rsidR="00FC4C22">
        <w:rPr>
          <w:rFonts w:ascii="Traditional Arabic" w:hAnsi="Traditional Arabic" w:hint="cs"/>
          <w:color w:val="auto"/>
          <w:rtl/>
          <w:lang w:eastAsia="en-US"/>
        </w:rPr>
        <w:t xml:space="preserve"> -</w:t>
      </w:r>
      <w:r w:rsidR="00FC4C22">
        <w:rPr>
          <w:rFonts w:ascii="Traditional Arabic" w:hAnsi="Traditional Arabic"/>
          <w:color w:val="auto"/>
          <w:rtl/>
          <w:lang w:eastAsia="en-US"/>
        </w:rPr>
        <w:t xml:space="preserve"> لبنان</w:t>
      </w:r>
      <w:r w:rsidRPr="00FD53B9">
        <w:rPr>
          <w:rFonts w:ascii="Traditional Arabic" w:hAnsi="Traditional Arabic"/>
          <w:color w:val="auto"/>
          <w:rtl/>
          <w:lang w:eastAsia="en-US"/>
        </w:rPr>
        <w:t>, عدد الأجزاء: 6</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نهاية الأرب في معرفة أنساب العرب, المؤلف: أبو العباس أحمد بن علي القلقشندي (المتوفى: 821هـ), المحقق: إبراهيم الإبياري, الناشر: دار الكتاب اللبناني، بيروت</w:t>
      </w:r>
      <w:r w:rsidR="00FC4C22">
        <w:rPr>
          <w:rFonts w:ascii="Traditional Arabic" w:hAnsi="Traditional Arabic" w:hint="cs"/>
          <w:color w:val="auto"/>
          <w:rtl/>
          <w:lang w:eastAsia="en-US"/>
        </w:rPr>
        <w:t xml:space="preserve"> -</w:t>
      </w:r>
      <w:r w:rsidRPr="00FD53B9">
        <w:rPr>
          <w:rFonts w:ascii="Traditional Arabic" w:hAnsi="Traditional Arabic"/>
          <w:color w:val="auto"/>
          <w:rtl/>
          <w:lang w:eastAsia="en-US"/>
        </w:rPr>
        <w:t xml:space="preserve"> لبنان, الطبعة: الثانية، عام النشر: 1400هـ-1980م, عدد الأجزاء: 1</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 xml:space="preserve">النهاية في غريب الحديث والأثر, المؤلف: مجد الدين أبو السعادات المبارك بن محمد بن محمد بن محمد ابن عبد الكريم الشيباني الجزري ابن الأثير (المتوفى: 606هـ), المحقق: أ.د. أحمد بن محمد </w:t>
      </w:r>
      <w:r w:rsidR="00FC4C22">
        <w:rPr>
          <w:rFonts w:ascii="Traditional Arabic" w:hAnsi="Traditional Arabic"/>
          <w:color w:val="auto"/>
          <w:rtl/>
          <w:lang w:eastAsia="en-US"/>
        </w:rPr>
        <w:t>الخراط, الناشر: المكتبة المكية</w:t>
      </w:r>
      <w:r w:rsidR="00FC4C22">
        <w:rPr>
          <w:rFonts w:ascii="Traditional Arabic" w:hAnsi="Traditional Arabic" w:hint="cs"/>
          <w:color w:val="auto"/>
          <w:rtl/>
          <w:lang w:eastAsia="en-US"/>
        </w:rPr>
        <w:t xml:space="preserve">, </w:t>
      </w:r>
      <w:r w:rsidRPr="00FD53B9">
        <w:rPr>
          <w:rFonts w:ascii="Traditional Arabic" w:hAnsi="Traditional Arabic"/>
          <w:color w:val="auto"/>
          <w:rtl/>
          <w:lang w:eastAsia="en-US"/>
        </w:rPr>
        <w:t>مكة</w:t>
      </w:r>
      <w:r w:rsidR="00FC4C22">
        <w:rPr>
          <w:rFonts w:ascii="Traditional Arabic" w:hAnsi="Traditional Arabic" w:hint="cs"/>
          <w:color w:val="auto"/>
          <w:rtl/>
          <w:lang w:eastAsia="en-US"/>
        </w:rPr>
        <w:t xml:space="preserve"> </w:t>
      </w:r>
      <w:r w:rsidR="00FC4C22">
        <w:rPr>
          <w:rFonts w:ascii="Traditional Arabic" w:hAnsi="Traditional Arabic"/>
          <w:color w:val="auto"/>
          <w:rtl/>
          <w:lang w:eastAsia="en-US"/>
        </w:rPr>
        <w:t>– السعودية</w:t>
      </w:r>
      <w:r w:rsidR="00FC4C22">
        <w:rPr>
          <w:rFonts w:ascii="Traditional Arabic" w:hAnsi="Traditional Arabic" w:hint="cs"/>
          <w:color w:val="auto"/>
          <w:rtl/>
          <w:lang w:eastAsia="en-US"/>
        </w:rPr>
        <w:t>,</w:t>
      </w:r>
      <w:r w:rsidRPr="00FD53B9">
        <w:rPr>
          <w:rFonts w:ascii="Traditional Arabic" w:hAnsi="Traditional Arabic"/>
          <w:color w:val="auto"/>
          <w:rtl/>
          <w:lang w:eastAsia="en-US"/>
        </w:rPr>
        <w:t xml:space="preserve"> الطبعة: الأولى, 1434ه-2013م, عدد الأجزاء: 10</w:t>
      </w:r>
    </w:p>
    <w:p w:rsidR="00FD53B9" w:rsidRPr="00FD53B9" w:rsidRDefault="00FD53B9" w:rsidP="00FD53B9">
      <w:pPr>
        <w:widowControl/>
        <w:numPr>
          <w:ilvl w:val="0"/>
          <w:numId w:val="43"/>
        </w:numPr>
        <w:autoSpaceDE w:val="0"/>
        <w:autoSpaceDN w:val="0"/>
        <w:adjustRightInd w:val="0"/>
        <w:contextualSpacing/>
        <w:rPr>
          <w:rFonts w:ascii="Traditional Arabic" w:hAnsi="Traditional Arabic"/>
          <w:color w:val="auto"/>
          <w:lang w:eastAsia="en-US"/>
        </w:rPr>
      </w:pPr>
      <w:r w:rsidRPr="00FD53B9">
        <w:rPr>
          <w:rFonts w:ascii="Traditional Arabic" w:hAnsi="Traditional Arabic"/>
          <w:color w:val="auto"/>
          <w:rtl/>
          <w:lang w:eastAsia="en-US"/>
        </w:rPr>
        <w:t>النوادر في اللغة, المؤلف: أبو زيد سعيد بن أوس بن ثابت الأنصاري، الخزرجي, (المتوفى: 215ه), المحقق: د. محمد عبدالقادر أحمد, الناشر: دار الشروق, بيروت</w:t>
      </w:r>
      <w:r w:rsidR="004E4A7D">
        <w:rPr>
          <w:rFonts w:ascii="Traditional Arabic" w:hAnsi="Traditional Arabic" w:hint="cs"/>
          <w:color w:val="auto"/>
          <w:rtl/>
          <w:lang w:eastAsia="en-US"/>
        </w:rPr>
        <w:t xml:space="preserve"> </w:t>
      </w:r>
      <w:r w:rsidRPr="00FD53B9">
        <w:rPr>
          <w:rFonts w:ascii="Traditional Arabic" w:hAnsi="Traditional Arabic"/>
          <w:color w:val="auto"/>
          <w:rtl/>
          <w:lang w:eastAsia="en-US"/>
        </w:rPr>
        <w:t>-</w:t>
      </w:r>
      <w:r w:rsidR="004E4A7D">
        <w:rPr>
          <w:rFonts w:ascii="Traditional Arabic" w:hAnsi="Traditional Arabic" w:hint="cs"/>
          <w:color w:val="auto"/>
          <w:rtl/>
          <w:lang w:eastAsia="en-US"/>
        </w:rPr>
        <w:t xml:space="preserve"> </w:t>
      </w:r>
      <w:r w:rsidRPr="00FD53B9">
        <w:rPr>
          <w:rFonts w:ascii="Traditional Arabic" w:hAnsi="Traditional Arabic"/>
          <w:color w:val="auto"/>
          <w:rtl/>
          <w:lang w:eastAsia="en-US"/>
        </w:rPr>
        <w:t>لبنان, الطبعة الأولى, عام النشر: 1401ه-1981م, عدد الأجزاء: 1</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نواسخ القرآن, المؤلف: جمال الدين أبو الفرج عبد الرحمن بن علي بن محمد الجوزي (المتوفى: 597هـ), المحقق: أبو عبد الله العاملي السّلفي الداني بن منير آل زهوي, ال</w:t>
      </w:r>
      <w:r w:rsidR="004E4A7D">
        <w:rPr>
          <w:rFonts w:ascii="Traditional Arabic" w:hAnsi="Traditional Arabic"/>
          <w:color w:val="auto"/>
          <w:rtl/>
          <w:lang w:eastAsia="en-US"/>
        </w:rPr>
        <w:t>ناشر: شركه أبناء شريف الأنصار</w:t>
      </w:r>
      <w:r w:rsidR="004E4A7D">
        <w:rPr>
          <w:rFonts w:ascii="Traditional Arabic" w:hAnsi="Traditional Arabic" w:hint="cs"/>
          <w:color w:val="auto"/>
          <w:rtl/>
          <w:lang w:eastAsia="en-US"/>
        </w:rPr>
        <w:t>ي,</w:t>
      </w:r>
      <w:r w:rsidRPr="00FD53B9">
        <w:rPr>
          <w:rFonts w:ascii="Traditional Arabic" w:hAnsi="Traditional Arabic"/>
          <w:color w:val="auto"/>
          <w:rtl/>
          <w:lang w:eastAsia="en-US"/>
        </w:rPr>
        <w:t xml:space="preserve"> بيروت</w:t>
      </w:r>
      <w:r w:rsidR="004E4A7D">
        <w:rPr>
          <w:rFonts w:ascii="Traditional Arabic" w:hAnsi="Traditional Arabic" w:hint="cs"/>
          <w:color w:val="auto"/>
          <w:rtl/>
          <w:lang w:eastAsia="en-US"/>
        </w:rPr>
        <w:t xml:space="preserve"> - لبنان</w:t>
      </w:r>
      <w:r w:rsidR="004E4A7D">
        <w:rPr>
          <w:rFonts w:ascii="Traditional Arabic" w:hAnsi="Traditional Arabic"/>
          <w:color w:val="auto"/>
          <w:rtl/>
          <w:lang w:eastAsia="en-US"/>
        </w:rPr>
        <w:t>, الطبعة: الأولى، 1422هـ-2001</w:t>
      </w:r>
      <w:r w:rsidRPr="00FD53B9">
        <w:rPr>
          <w:rFonts w:ascii="Traditional Arabic" w:hAnsi="Traditional Arabic"/>
          <w:color w:val="auto"/>
          <w:rtl/>
          <w:lang w:eastAsia="en-US"/>
        </w:rPr>
        <w:t>م, عدد الأجزاء: 1</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 xml:space="preserve">نواسخ القرآن, المؤلف: جمال الدين أبو الفرج عبد الرحمن بن علي بن محمد الجوزي (المتوفى: 597هـ), تحقيق: محمد أشرف علي المليباري، وأصله رسالة ماجستير - الجامعة الإسلامية - الدراسات العليا – </w:t>
      </w:r>
      <w:r w:rsidR="004E4A7D">
        <w:rPr>
          <w:rFonts w:ascii="Traditional Arabic" w:hAnsi="Traditional Arabic" w:hint="cs"/>
          <w:color w:val="auto"/>
          <w:rtl/>
          <w:lang w:eastAsia="en-US"/>
        </w:rPr>
        <w:t xml:space="preserve"> قسم </w:t>
      </w:r>
      <w:r w:rsidRPr="00FD53B9">
        <w:rPr>
          <w:rFonts w:ascii="Traditional Arabic" w:hAnsi="Traditional Arabic"/>
          <w:color w:val="auto"/>
          <w:rtl/>
          <w:lang w:eastAsia="en-US"/>
        </w:rPr>
        <w:t>التفسير - 1401هـ, الناشر: عمادة البحث العلمي بالجامعة الإسلامية، المدينة المنورة - المملكة العربية السعودية, الطبعة: الثانية، عام النشر: 1423هـ-2003م, عدد الأجزاء: 2</w:t>
      </w:r>
    </w:p>
    <w:p w:rsidR="00FD53B9" w:rsidRPr="00FD53B9" w:rsidRDefault="00FD53B9" w:rsidP="00FD53B9">
      <w:pPr>
        <w:widowControl/>
        <w:numPr>
          <w:ilvl w:val="0"/>
          <w:numId w:val="43"/>
        </w:numPr>
        <w:autoSpaceDE w:val="0"/>
        <w:autoSpaceDN w:val="0"/>
        <w:adjustRightInd w:val="0"/>
        <w:contextualSpacing/>
        <w:rPr>
          <w:rFonts w:ascii="Traditional Arabic" w:hAnsi="Traditional Arabic"/>
          <w:color w:val="auto"/>
          <w:lang w:eastAsia="en-US"/>
        </w:rPr>
      </w:pPr>
      <w:r w:rsidRPr="00FD53B9">
        <w:rPr>
          <w:rFonts w:ascii="Traditional Arabic" w:hAnsi="Traditional Arabic"/>
          <w:color w:val="auto"/>
          <w:rtl/>
          <w:lang w:eastAsia="en-US"/>
        </w:rPr>
        <w:t xml:space="preserve">الهداية إلى بلوغ النهاية في علم معاني القرآن وتفسيره، وأحكامه، وجمل من فنون علومه, المؤلف: أبو محمد مكي بن أبي طالب حَمّوش بن محمد بن مختار القيسي القيرواني ثم الأندلسي القرطبي المالكي (المتوفى: 437هـ), المحقق: مجموعة رسائل جامعية بكلية </w:t>
      </w:r>
      <w:r w:rsidRPr="00FD53B9">
        <w:rPr>
          <w:rFonts w:ascii="Traditional Arabic" w:hAnsi="Traditional Arabic"/>
          <w:color w:val="auto"/>
          <w:rtl/>
          <w:lang w:eastAsia="en-US"/>
        </w:rPr>
        <w:lastRenderedPageBreak/>
        <w:t>الدراسات العليا والبحث العلمي - جامعة الشارقة، بإشراف أ. د: الشاهد البوشيخي, الناشر: مجموعة بحوث الكتاب والسنة - كلية الشريعة والدراسات الإسلامية - جامعة الشارقة</w:t>
      </w:r>
      <w:r w:rsidR="004E4A7D">
        <w:rPr>
          <w:rFonts w:ascii="Traditional Arabic" w:hAnsi="Traditional Arabic" w:hint="cs"/>
          <w:color w:val="auto"/>
          <w:rtl/>
          <w:lang w:eastAsia="en-US"/>
        </w:rPr>
        <w:t>, الإمارات العربية المتحدة</w:t>
      </w:r>
      <w:r w:rsidRPr="00FD53B9">
        <w:rPr>
          <w:rFonts w:ascii="Traditional Arabic" w:hAnsi="Traditional Arabic"/>
          <w:color w:val="auto"/>
          <w:rtl/>
          <w:lang w:eastAsia="en-US"/>
        </w:rPr>
        <w:t>, الطبعة: الأولى،</w:t>
      </w:r>
      <w:r w:rsidR="004E4A7D">
        <w:rPr>
          <w:rFonts w:ascii="Traditional Arabic" w:hAnsi="Traditional Arabic" w:hint="cs"/>
          <w:color w:val="auto"/>
          <w:rtl/>
          <w:lang w:eastAsia="en-US"/>
        </w:rPr>
        <w:t xml:space="preserve"> عام النشر</w:t>
      </w:r>
      <w:r w:rsidRPr="00FD53B9">
        <w:rPr>
          <w:rFonts w:ascii="Traditional Arabic" w:hAnsi="Traditional Arabic"/>
          <w:color w:val="auto"/>
          <w:rtl/>
          <w:lang w:eastAsia="en-US"/>
        </w:rPr>
        <w:t xml:space="preserve"> 1429 هـ - 2008 م, عدد الأجزاء: 13</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الهداية على مذهب الإمام أبي عبد الله أحمد بن محمد بن حنبل الشيباني, المؤلف: أبو الخطاب محفوظ بن أحمد بن الحسن الكلوذاني, المحقق: عبد اللطيف هميم - ماهر ياسين الفحل, الناشر: مؤسسة غراس للنشر والتوزيع, الطبعة: الأولى، عام النشر: 1425هـ-2004م, عدد الأجزاء: 1</w:t>
      </w:r>
    </w:p>
    <w:p w:rsidR="00FD53B9" w:rsidRPr="00FD53B9" w:rsidRDefault="00FD53B9" w:rsidP="004E4A7D">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هدي الساري مقدمة فتح الباري شرح صحيح البخاري, المؤلف: الإمام الحافظ أحمد بن علي بن حجر أبو الفضل العسقلاني الشافعي(المتوفى: 852هـ), رقم كتبه وأبوابه وأحاديثه: محمد فؤاد عبد الباقي, عليه تعليقات العلامة: عبد العزيز بن عبد الله بن باز, الناشر: دار السلام</w:t>
      </w:r>
      <w:r w:rsidR="004E4A7D">
        <w:rPr>
          <w:rFonts w:ascii="Traditional Arabic" w:hAnsi="Traditional Arabic" w:hint="cs"/>
          <w:color w:val="auto"/>
          <w:rtl/>
          <w:lang w:eastAsia="en-US"/>
        </w:rPr>
        <w:t>,</w:t>
      </w:r>
      <w:r w:rsidRPr="00FD53B9">
        <w:rPr>
          <w:rFonts w:ascii="Traditional Arabic" w:hAnsi="Traditional Arabic"/>
          <w:color w:val="auto"/>
          <w:rtl/>
          <w:lang w:eastAsia="en-US"/>
        </w:rPr>
        <w:t xml:space="preserve"> الرياض</w:t>
      </w:r>
      <w:r w:rsidR="004E4A7D">
        <w:rPr>
          <w:rFonts w:ascii="Traditional Arabic" w:hAnsi="Traditional Arabic" w:hint="cs"/>
          <w:color w:val="auto"/>
          <w:rtl/>
          <w:lang w:eastAsia="en-US"/>
        </w:rPr>
        <w:t xml:space="preserve"> -</w:t>
      </w:r>
      <w:r w:rsidR="004E4A7D">
        <w:rPr>
          <w:rFonts w:ascii="Traditional Arabic" w:hAnsi="Traditional Arabic"/>
          <w:color w:val="auto"/>
          <w:rtl/>
          <w:lang w:eastAsia="en-US"/>
        </w:rPr>
        <w:t xml:space="preserve"> السعودية</w:t>
      </w:r>
      <w:r w:rsidRPr="00FD53B9">
        <w:rPr>
          <w:rFonts w:ascii="Traditional Arabic" w:hAnsi="Traditional Arabic"/>
          <w:color w:val="auto"/>
          <w:rtl/>
          <w:lang w:eastAsia="en-US"/>
        </w:rPr>
        <w:t>، الطبعة: الأولى, عام النشر: 1421ه-2000م,  عدد الأجزاء: 13</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هدية العارفين أسماء المؤلفين وآثار المصنفين, المؤلف: إسماعيل بن محمد أمين بن مير سليم الباباني البغدادي (المتوفى: 1399هـ), الناشر: طبع بعناية وكالة المعارف الجليلة في مطبعتها البهية استانبول 1951م, أعادت طبعه بالأوفست: دار إحياء التراث العربي</w:t>
      </w:r>
      <w:r w:rsidR="004E4A7D">
        <w:rPr>
          <w:rFonts w:ascii="Traditional Arabic" w:hAnsi="Traditional Arabic" w:hint="cs"/>
          <w:color w:val="auto"/>
          <w:rtl/>
          <w:lang w:eastAsia="en-US"/>
        </w:rPr>
        <w:t xml:space="preserve">, </w:t>
      </w:r>
      <w:r w:rsidRPr="00FD53B9">
        <w:rPr>
          <w:rFonts w:ascii="Traditional Arabic" w:hAnsi="Traditional Arabic"/>
          <w:color w:val="auto"/>
          <w:rtl/>
          <w:lang w:eastAsia="en-US"/>
        </w:rPr>
        <w:t>بيروت</w:t>
      </w:r>
      <w:r w:rsidR="004E4A7D">
        <w:rPr>
          <w:rFonts w:ascii="Traditional Arabic" w:hAnsi="Traditional Arabic" w:hint="cs"/>
          <w:color w:val="auto"/>
          <w:rtl/>
          <w:lang w:eastAsia="en-US"/>
        </w:rPr>
        <w:t xml:space="preserve"> -</w:t>
      </w:r>
      <w:r w:rsidR="004E4A7D">
        <w:rPr>
          <w:rFonts w:ascii="Traditional Arabic" w:hAnsi="Traditional Arabic"/>
          <w:color w:val="auto"/>
          <w:rtl/>
          <w:lang w:eastAsia="en-US"/>
        </w:rPr>
        <w:t xml:space="preserve"> لبنان</w:t>
      </w:r>
      <w:r w:rsidRPr="00FD53B9">
        <w:rPr>
          <w:rFonts w:ascii="Traditional Arabic" w:hAnsi="Traditional Arabic"/>
          <w:color w:val="auto"/>
          <w:rtl/>
          <w:lang w:eastAsia="en-US"/>
        </w:rPr>
        <w:t>, عدد الأجزاء: 2</w:t>
      </w:r>
    </w:p>
    <w:p w:rsidR="00FD53B9" w:rsidRPr="00FD53B9" w:rsidRDefault="00FD53B9" w:rsidP="00FD53B9">
      <w:pPr>
        <w:widowControl/>
        <w:numPr>
          <w:ilvl w:val="0"/>
          <w:numId w:val="43"/>
        </w:numPr>
        <w:autoSpaceDE w:val="0"/>
        <w:autoSpaceDN w:val="0"/>
        <w:adjustRightInd w:val="0"/>
        <w:contextualSpacing/>
        <w:rPr>
          <w:rFonts w:ascii="Traditional Arabic" w:hAnsi="Traditional Arabic"/>
          <w:color w:val="auto"/>
          <w:lang w:eastAsia="en-US"/>
        </w:rPr>
      </w:pPr>
      <w:r w:rsidRPr="00FD53B9">
        <w:rPr>
          <w:rFonts w:ascii="Traditional Arabic" w:hAnsi="Traditional Arabic"/>
          <w:color w:val="auto"/>
          <w:rtl/>
          <w:lang w:eastAsia="en-US"/>
        </w:rPr>
        <w:t>الوافي بالوفيات, المؤلف: صلاح الدين خليل بن أيبك بن عبد الله الصفدي (المتوفى: 764هـ), المحقق: أحمد الأرناؤوط وتركي م</w:t>
      </w:r>
      <w:r w:rsidR="004E4A7D">
        <w:rPr>
          <w:rFonts w:ascii="Traditional Arabic" w:hAnsi="Traditional Arabic"/>
          <w:color w:val="auto"/>
          <w:rtl/>
          <w:lang w:eastAsia="en-US"/>
        </w:rPr>
        <w:t>صطفى, الناشر: دار إحياء التراث</w:t>
      </w:r>
      <w:r w:rsidR="004E4A7D">
        <w:rPr>
          <w:rFonts w:ascii="Traditional Arabic" w:hAnsi="Traditional Arabic" w:hint="cs"/>
          <w:color w:val="auto"/>
          <w:rtl/>
          <w:lang w:eastAsia="en-US"/>
        </w:rPr>
        <w:t xml:space="preserve">, </w:t>
      </w:r>
      <w:r w:rsidRPr="00FD53B9">
        <w:rPr>
          <w:rFonts w:ascii="Traditional Arabic" w:hAnsi="Traditional Arabic"/>
          <w:color w:val="auto"/>
          <w:rtl/>
          <w:lang w:eastAsia="en-US"/>
        </w:rPr>
        <w:t>بيروت</w:t>
      </w:r>
      <w:r w:rsidR="004E4A7D">
        <w:rPr>
          <w:rFonts w:ascii="Traditional Arabic" w:hAnsi="Traditional Arabic" w:hint="cs"/>
          <w:color w:val="auto"/>
          <w:rtl/>
          <w:lang w:eastAsia="en-US"/>
        </w:rPr>
        <w:t xml:space="preserve"> -</w:t>
      </w:r>
      <w:r w:rsidR="004E4A7D">
        <w:rPr>
          <w:rFonts w:ascii="Traditional Arabic" w:hAnsi="Traditional Arabic"/>
          <w:color w:val="auto"/>
          <w:rtl/>
          <w:lang w:eastAsia="en-US"/>
        </w:rPr>
        <w:t xml:space="preserve"> لبنان</w:t>
      </w:r>
      <w:r w:rsidRPr="00FD53B9">
        <w:rPr>
          <w:rFonts w:ascii="Traditional Arabic" w:hAnsi="Traditional Arabic"/>
          <w:color w:val="auto"/>
          <w:rtl/>
          <w:lang w:eastAsia="en-US"/>
        </w:rPr>
        <w:t>, عام النشر:1420هـ- 2000م, عدد الأجزاء: 29</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الوجيز في تفسير الكتاب العزيز, المؤلف: أبو الحسن علي بن أحمد بن محمد بن علي الواحدي، النيسابوري، الشافعي (المتوفى: 468هـ), تحقيق: صفوان عدنان داوودي, دار ال</w:t>
      </w:r>
      <w:r w:rsidR="004E4A7D">
        <w:rPr>
          <w:rFonts w:ascii="Traditional Arabic" w:hAnsi="Traditional Arabic"/>
          <w:color w:val="auto"/>
          <w:rtl/>
          <w:lang w:eastAsia="en-US"/>
        </w:rPr>
        <w:t>نشر: دار القلم , الدار الشامية</w:t>
      </w:r>
      <w:r w:rsidR="004E4A7D">
        <w:rPr>
          <w:rFonts w:ascii="Traditional Arabic" w:hAnsi="Traditional Arabic" w:hint="cs"/>
          <w:color w:val="auto"/>
          <w:rtl/>
          <w:lang w:eastAsia="en-US"/>
        </w:rPr>
        <w:t xml:space="preserve"> -</w:t>
      </w:r>
      <w:r w:rsidRPr="00FD53B9">
        <w:rPr>
          <w:rFonts w:ascii="Traditional Arabic" w:hAnsi="Traditional Arabic"/>
          <w:color w:val="auto"/>
          <w:rtl/>
          <w:lang w:eastAsia="en-US"/>
        </w:rPr>
        <w:t xml:space="preserve"> دمشق، بيروت, الطبعة: الأولى، عام النشر: 1415هـ, عدد الأجزاء: 1</w:t>
      </w:r>
    </w:p>
    <w:p w:rsidR="00FD53B9" w:rsidRPr="00FD53B9" w:rsidRDefault="00FD53B9" w:rsidP="00FD53B9">
      <w:pPr>
        <w:widowControl/>
        <w:numPr>
          <w:ilvl w:val="0"/>
          <w:numId w:val="43"/>
        </w:numPr>
        <w:autoSpaceDE w:val="0"/>
        <w:autoSpaceDN w:val="0"/>
        <w:adjustRightInd w:val="0"/>
        <w:contextualSpacing/>
        <w:rPr>
          <w:rFonts w:ascii="Traditional Arabic" w:hAnsi="Traditional Arabic"/>
          <w:color w:val="auto"/>
          <w:lang w:eastAsia="en-US"/>
        </w:rPr>
      </w:pPr>
      <w:r w:rsidRPr="00FD53B9">
        <w:rPr>
          <w:rFonts w:ascii="Traditional Arabic" w:hAnsi="Traditional Arabic"/>
          <w:color w:val="auto"/>
          <w:rtl/>
          <w:lang w:eastAsia="en-US"/>
        </w:rPr>
        <w:lastRenderedPageBreak/>
        <w:t>الوسيط في تفسير القرآن المجيد, المؤلف: أبو الحسن علي بن أحمد بن محمد بن علي الواحدي، النيسابوري، الشافعي (المتوفى: 468هـ), تحقيق وتعليق: الشيخ عادل أحمد عبد الموجود، الشيخ علي محمد معوض، الدكتور أحمد محمد صيرة، الدكتور أحمد عبد الغني الجمل، الدكتور عبد الرحمن عويس, قدمه وقرظه: الأستاذ الدكتور عبد الحي الفرما</w:t>
      </w:r>
      <w:r w:rsidR="004E4A7D">
        <w:rPr>
          <w:rFonts w:ascii="Traditional Arabic" w:hAnsi="Traditional Arabic"/>
          <w:color w:val="auto"/>
          <w:rtl/>
          <w:lang w:eastAsia="en-US"/>
        </w:rPr>
        <w:t>وي, الناشر: دار الكتب العلمية،</w:t>
      </w:r>
      <w:r w:rsidR="004E4A7D">
        <w:rPr>
          <w:rFonts w:ascii="Traditional Arabic" w:hAnsi="Traditional Arabic" w:hint="cs"/>
          <w:color w:val="auto"/>
          <w:rtl/>
          <w:lang w:eastAsia="en-US"/>
        </w:rPr>
        <w:t xml:space="preserve"> </w:t>
      </w:r>
      <w:r w:rsidRPr="00FD53B9">
        <w:rPr>
          <w:rFonts w:ascii="Traditional Arabic" w:hAnsi="Traditional Arabic"/>
          <w:color w:val="auto"/>
          <w:rtl/>
          <w:lang w:eastAsia="en-US"/>
        </w:rPr>
        <w:t>بيروت</w:t>
      </w:r>
      <w:r w:rsidR="004E4A7D">
        <w:rPr>
          <w:rFonts w:ascii="Traditional Arabic" w:hAnsi="Traditional Arabic" w:hint="cs"/>
          <w:color w:val="auto"/>
          <w:rtl/>
          <w:lang w:eastAsia="en-US"/>
        </w:rPr>
        <w:t xml:space="preserve"> -</w:t>
      </w:r>
      <w:r w:rsidR="004E4A7D">
        <w:rPr>
          <w:rFonts w:ascii="Traditional Arabic" w:hAnsi="Traditional Arabic"/>
          <w:color w:val="auto"/>
          <w:rtl/>
          <w:lang w:eastAsia="en-US"/>
        </w:rPr>
        <w:t xml:space="preserve"> لبنان</w:t>
      </w:r>
      <w:r w:rsidRPr="00FD53B9">
        <w:rPr>
          <w:rFonts w:ascii="Traditional Arabic" w:hAnsi="Traditional Arabic"/>
          <w:color w:val="auto"/>
          <w:rtl/>
          <w:lang w:eastAsia="en-US"/>
        </w:rPr>
        <w:t xml:space="preserve">, الطبعة: الأولى، عام النشر: 1415هـ- 1994م, عدد الأجزاء: 4 </w:t>
      </w:r>
    </w:p>
    <w:p w:rsidR="00FD53B9" w:rsidRPr="00FD53B9" w:rsidRDefault="00FD53B9" w:rsidP="00FD53B9">
      <w:pPr>
        <w:numPr>
          <w:ilvl w:val="0"/>
          <w:numId w:val="43"/>
        </w:numPr>
        <w:contextualSpacing/>
        <w:rPr>
          <w:rFonts w:ascii="Traditional Arabic" w:hAnsi="Traditional Arabic"/>
          <w:color w:val="auto"/>
          <w:lang w:eastAsia="en-US"/>
        </w:rPr>
      </w:pPr>
      <w:r w:rsidRPr="00FD53B9">
        <w:rPr>
          <w:rFonts w:ascii="Traditional Arabic" w:hAnsi="Traditional Arabic"/>
          <w:color w:val="auto"/>
          <w:rtl/>
          <w:lang w:eastAsia="en-US"/>
        </w:rPr>
        <w:t>وفيات الأعيان وأنباء أبناء الزمان, المؤلف: أبو العباس شمس الدين أحمد بن محمد بن إبراهيم بن أبي بكر ابن خلكان البرمكي الإربلي (المتوفى: 681هـ), المحقق: إحسان عباس, الناشر: دار صادر, بيروت - لبنان, عدد الأجزاء: 7</w:t>
      </w:r>
    </w:p>
    <w:p w:rsidR="009C657F" w:rsidRPr="00FD53B9" w:rsidRDefault="009C657F" w:rsidP="009C657F">
      <w:pPr>
        <w:ind w:firstLine="0"/>
      </w:pPr>
    </w:p>
    <w:p w:rsidR="009C657F" w:rsidRDefault="009C657F" w:rsidP="009C657F">
      <w:pPr>
        <w:ind w:firstLine="0"/>
        <w:rPr>
          <w:rFonts w:ascii="Traditional Arabic" w:hAnsi="Traditional Arabic"/>
          <w:rtl/>
        </w:rPr>
      </w:pPr>
    </w:p>
    <w:p w:rsidR="006B23DD" w:rsidRDefault="006B23DD" w:rsidP="009C657F">
      <w:pPr>
        <w:ind w:firstLine="0"/>
        <w:rPr>
          <w:rFonts w:ascii="Traditional Arabic" w:hAnsi="Traditional Arabic"/>
          <w:rtl/>
        </w:rPr>
      </w:pPr>
    </w:p>
    <w:p w:rsidR="006B23DD" w:rsidRDefault="006B23DD" w:rsidP="009C657F">
      <w:pPr>
        <w:ind w:firstLine="0"/>
        <w:rPr>
          <w:rFonts w:ascii="Traditional Arabic" w:hAnsi="Traditional Arabic"/>
          <w:rtl/>
        </w:rPr>
      </w:pPr>
    </w:p>
    <w:p w:rsidR="006B23DD" w:rsidRDefault="006B23DD" w:rsidP="009C657F">
      <w:pPr>
        <w:ind w:firstLine="0"/>
        <w:rPr>
          <w:rFonts w:ascii="Traditional Arabic" w:hAnsi="Traditional Arabic"/>
          <w:rtl/>
        </w:rPr>
      </w:pPr>
    </w:p>
    <w:p w:rsidR="006B23DD" w:rsidRDefault="006B23DD" w:rsidP="009C657F">
      <w:pPr>
        <w:ind w:firstLine="0"/>
        <w:rPr>
          <w:rFonts w:ascii="Traditional Arabic" w:hAnsi="Traditional Arabic"/>
          <w:rtl/>
        </w:rPr>
      </w:pPr>
    </w:p>
    <w:p w:rsidR="006B23DD" w:rsidRDefault="006B23DD" w:rsidP="009C657F">
      <w:pPr>
        <w:ind w:firstLine="0"/>
        <w:rPr>
          <w:rFonts w:ascii="Traditional Arabic" w:hAnsi="Traditional Arabic"/>
          <w:rtl/>
        </w:rPr>
      </w:pPr>
    </w:p>
    <w:p w:rsidR="006B23DD" w:rsidRDefault="006B23DD" w:rsidP="009C657F">
      <w:pPr>
        <w:ind w:firstLine="0"/>
        <w:rPr>
          <w:rFonts w:ascii="Traditional Arabic" w:hAnsi="Traditional Arabic"/>
          <w:rtl/>
        </w:rPr>
      </w:pPr>
    </w:p>
    <w:p w:rsidR="006B23DD" w:rsidRDefault="006B23DD" w:rsidP="009C657F">
      <w:pPr>
        <w:ind w:firstLine="0"/>
        <w:rPr>
          <w:rFonts w:ascii="Traditional Arabic" w:hAnsi="Traditional Arabic"/>
          <w:rtl/>
        </w:rPr>
      </w:pPr>
    </w:p>
    <w:p w:rsidR="006B23DD" w:rsidRDefault="006B23DD" w:rsidP="009C657F">
      <w:pPr>
        <w:ind w:firstLine="0"/>
        <w:rPr>
          <w:rFonts w:ascii="Traditional Arabic" w:hAnsi="Traditional Arabic"/>
          <w:rtl/>
        </w:rPr>
      </w:pPr>
    </w:p>
    <w:p w:rsidR="006B23DD" w:rsidRDefault="006B23DD" w:rsidP="009C657F">
      <w:pPr>
        <w:ind w:firstLine="0"/>
        <w:rPr>
          <w:rFonts w:ascii="Traditional Arabic" w:hAnsi="Traditional Arabic"/>
          <w:rtl/>
        </w:rPr>
      </w:pPr>
    </w:p>
    <w:p w:rsidR="006B23DD" w:rsidRDefault="006B23DD" w:rsidP="009C657F">
      <w:pPr>
        <w:ind w:firstLine="0"/>
        <w:rPr>
          <w:rFonts w:ascii="Traditional Arabic" w:hAnsi="Traditional Arabic"/>
          <w:rtl/>
        </w:rPr>
      </w:pPr>
    </w:p>
    <w:p w:rsidR="006B23DD" w:rsidRDefault="006B23DD" w:rsidP="009C657F">
      <w:pPr>
        <w:ind w:firstLine="0"/>
        <w:rPr>
          <w:rFonts w:ascii="Traditional Arabic" w:hAnsi="Traditional Arabic"/>
          <w:rtl/>
        </w:rPr>
      </w:pPr>
    </w:p>
    <w:p w:rsidR="006B23DD" w:rsidRDefault="006B23DD" w:rsidP="009C657F">
      <w:pPr>
        <w:ind w:firstLine="0"/>
        <w:rPr>
          <w:rFonts w:ascii="Traditional Arabic" w:hAnsi="Traditional Arabic"/>
          <w:rtl/>
        </w:rPr>
      </w:pPr>
    </w:p>
    <w:p w:rsidR="006B23DD" w:rsidRDefault="006B23DD" w:rsidP="009C657F">
      <w:pPr>
        <w:ind w:firstLine="0"/>
        <w:rPr>
          <w:rFonts w:ascii="Traditional Arabic" w:hAnsi="Traditional Arabic"/>
          <w:rtl/>
        </w:rPr>
      </w:pPr>
    </w:p>
    <w:p w:rsidR="006B23DD" w:rsidRDefault="006B23DD" w:rsidP="009C657F">
      <w:pPr>
        <w:ind w:firstLine="0"/>
        <w:rPr>
          <w:rFonts w:ascii="Traditional Arabic" w:hAnsi="Traditional Arabic"/>
          <w:rtl/>
        </w:rPr>
      </w:pPr>
    </w:p>
    <w:p w:rsidR="006B23DD" w:rsidRPr="006B23DD" w:rsidRDefault="006B23DD" w:rsidP="006B23DD">
      <w:pPr>
        <w:ind w:firstLine="0"/>
        <w:jc w:val="center"/>
        <w:rPr>
          <w:rFonts w:ascii="Traditional Arabic" w:hAnsi="Traditional Arabic"/>
          <w:b/>
          <w:bCs/>
          <w:sz w:val="40"/>
          <w:szCs w:val="40"/>
          <w:rtl/>
        </w:rPr>
      </w:pPr>
      <w:r w:rsidRPr="006B23DD">
        <w:rPr>
          <w:rFonts w:ascii="Traditional Arabic" w:hAnsi="Traditional Arabic" w:hint="cs"/>
          <w:b/>
          <w:bCs/>
          <w:sz w:val="40"/>
          <w:szCs w:val="40"/>
          <w:rtl/>
        </w:rPr>
        <w:lastRenderedPageBreak/>
        <w:t>فهرس الموضوعات</w:t>
      </w:r>
    </w:p>
    <w:p w:rsidR="00433B1E" w:rsidRDefault="006A18DC" w:rsidP="0035272A">
      <w:pPr>
        <w:ind w:firstLine="0"/>
        <w:rPr>
          <w:rFonts w:ascii="Traditional Arabic" w:hAnsi="Traditional Arabic"/>
          <w:rtl/>
        </w:rPr>
      </w:pPr>
      <w:r>
        <w:rPr>
          <w:rFonts w:ascii="Traditional Arabic" w:hAnsi="Traditional Arabic" w:hint="cs"/>
          <w:rtl/>
        </w:rPr>
        <w:t>المقدمة.......................................</w:t>
      </w:r>
      <w:r w:rsidR="00A860F6">
        <w:rPr>
          <w:rFonts w:ascii="Traditional Arabic" w:hAnsi="Traditional Arabic" w:hint="cs"/>
          <w:rtl/>
        </w:rPr>
        <w:t>.</w:t>
      </w:r>
      <w:r>
        <w:rPr>
          <w:rFonts w:ascii="Traditional Arabic" w:hAnsi="Traditional Arabic" w:hint="cs"/>
          <w:rtl/>
        </w:rPr>
        <w:t>.................................... 3</w:t>
      </w:r>
    </w:p>
    <w:p w:rsidR="006A18DC" w:rsidRDefault="006A18DC" w:rsidP="0035272A">
      <w:pPr>
        <w:ind w:firstLine="0"/>
        <w:rPr>
          <w:rFonts w:ascii="Traditional Arabic" w:hAnsi="Traditional Arabic"/>
          <w:rtl/>
        </w:rPr>
      </w:pPr>
      <w:r>
        <w:rPr>
          <w:rFonts w:ascii="Traditional Arabic" w:hAnsi="Traditional Arabic" w:hint="cs"/>
          <w:rtl/>
        </w:rPr>
        <w:t>أهمية الموضوع وأسباب اختياره.................</w:t>
      </w:r>
      <w:r w:rsidR="00A860F6">
        <w:rPr>
          <w:rFonts w:ascii="Traditional Arabic" w:hAnsi="Traditional Arabic" w:hint="cs"/>
          <w:rtl/>
        </w:rPr>
        <w:t>.</w:t>
      </w:r>
      <w:r>
        <w:rPr>
          <w:rFonts w:ascii="Traditional Arabic" w:hAnsi="Traditional Arabic" w:hint="cs"/>
          <w:rtl/>
        </w:rPr>
        <w:t>.................</w:t>
      </w:r>
      <w:r w:rsidR="00DB7AFC">
        <w:rPr>
          <w:rFonts w:ascii="Traditional Arabic" w:hAnsi="Traditional Arabic" w:hint="cs"/>
          <w:rtl/>
        </w:rPr>
        <w:t>.</w:t>
      </w:r>
      <w:r>
        <w:rPr>
          <w:rFonts w:ascii="Traditional Arabic" w:hAnsi="Traditional Arabic" w:hint="cs"/>
          <w:rtl/>
        </w:rPr>
        <w:t>................... 6</w:t>
      </w:r>
    </w:p>
    <w:p w:rsidR="006A18DC" w:rsidRDefault="006A18DC" w:rsidP="0035272A">
      <w:pPr>
        <w:ind w:firstLine="0"/>
        <w:rPr>
          <w:rFonts w:ascii="Traditional Arabic" w:hAnsi="Traditional Arabic"/>
          <w:rtl/>
        </w:rPr>
      </w:pPr>
      <w:r>
        <w:rPr>
          <w:rFonts w:ascii="Traditional Arabic" w:hAnsi="Traditional Arabic" w:hint="cs"/>
          <w:rtl/>
        </w:rPr>
        <w:t>أهداف البحث............................</w:t>
      </w:r>
      <w:r w:rsidR="00A860F6">
        <w:rPr>
          <w:rFonts w:ascii="Traditional Arabic" w:hAnsi="Traditional Arabic" w:hint="cs"/>
          <w:rtl/>
        </w:rPr>
        <w:t>.</w:t>
      </w:r>
      <w:r>
        <w:rPr>
          <w:rFonts w:ascii="Traditional Arabic" w:hAnsi="Traditional Arabic" w:hint="cs"/>
          <w:rtl/>
        </w:rPr>
        <w:t>...................</w:t>
      </w:r>
      <w:r w:rsidR="00DB7AFC">
        <w:rPr>
          <w:rFonts w:ascii="Traditional Arabic" w:hAnsi="Traditional Arabic" w:hint="cs"/>
          <w:rtl/>
        </w:rPr>
        <w:t>..</w:t>
      </w:r>
      <w:r>
        <w:rPr>
          <w:rFonts w:ascii="Traditional Arabic" w:hAnsi="Traditional Arabic" w:hint="cs"/>
          <w:rtl/>
        </w:rPr>
        <w:t>.................. 7</w:t>
      </w:r>
    </w:p>
    <w:p w:rsidR="00AD49A5" w:rsidRDefault="00AD49A5" w:rsidP="0035272A">
      <w:pPr>
        <w:ind w:firstLine="0"/>
        <w:rPr>
          <w:rFonts w:ascii="Traditional Arabic" w:hAnsi="Traditional Arabic"/>
          <w:rtl/>
        </w:rPr>
      </w:pPr>
      <w:r>
        <w:rPr>
          <w:rFonts w:ascii="Traditional Arabic" w:hAnsi="Traditional Arabic" w:hint="cs"/>
          <w:rtl/>
        </w:rPr>
        <w:t>الدراسات السابقة حول هذا الكتاب..........</w:t>
      </w:r>
      <w:r w:rsidR="00A860F6">
        <w:rPr>
          <w:rFonts w:ascii="Traditional Arabic" w:hAnsi="Traditional Arabic" w:hint="cs"/>
          <w:rtl/>
        </w:rPr>
        <w:t>.</w:t>
      </w:r>
      <w:r>
        <w:rPr>
          <w:rFonts w:ascii="Traditional Arabic" w:hAnsi="Traditional Arabic" w:hint="cs"/>
          <w:rtl/>
        </w:rPr>
        <w:t>...................</w:t>
      </w:r>
      <w:r w:rsidR="00DB7AFC">
        <w:rPr>
          <w:rFonts w:ascii="Traditional Arabic" w:hAnsi="Traditional Arabic" w:hint="cs"/>
          <w:rtl/>
        </w:rPr>
        <w:t>..</w:t>
      </w:r>
      <w:r>
        <w:rPr>
          <w:rFonts w:ascii="Traditional Arabic" w:hAnsi="Traditional Arabic" w:hint="cs"/>
          <w:rtl/>
        </w:rPr>
        <w:t>................. 8</w:t>
      </w:r>
    </w:p>
    <w:p w:rsidR="006A18DC" w:rsidRDefault="006A18DC" w:rsidP="0035272A">
      <w:pPr>
        <w:ind w:firstLine="0"/>
        <w:rPr>
          <w:rFonts w:ascii="Traditional Arabic" w:hAnsi="Traditional Arabic"/>
          <w:rtl/>
        </w:rPr>
      </w:pPr>
      <w:r>
        <w:rPr>
          <w:rFonts w:ascii="Traditional Arabic" w:hAnsi="Traditional Arabic" w:hint="cs"/>
          <w:rtl/>
        </w:rPr>
        <w:t>خطة البحث....................................................</w:t>
      </w:r>
      <w:r w:rsidR="00DB7AFC">
        <w:rPr>
          <w:rFonts w:ascii="Traditional Arabic" w:hAnsi="Traditional Arabic" w:hint="cs"/>
          <w:rtl/>
        </w:rPr>
        <w:t>...</w:t>
      </w:r>
      <w:r>
        <w:rPr>
          <w:rFonts w:ascii="Traditional Arabic" w:hAnsi="Traditional Arabic" w:hint="cs"/>
          <w:rtl/>
        </w:rPr>
        <w:t>...............10</w:t>
      </w:r>
    </w:p>
    <w:p w:rsidR="00AD49A5" w:rsidRDefault="00AD49A5" w:rsidP="0035272A">
      <w:pPr>
        <w:ind w:firstLine="0"/>
        <w:rPr>
          <w:rFonts w:ascii="Traditional Arabic" w:hAnsi="Traditional Arabic"/>
          <w:rtl/>
        </w:rPr>
      </w:pPr>
      <w:r>
        <w:rPr>
          <w:rFonts w:ascii="Traditional Arabic" w:hAnsi="Traditional Arabic" w:hint="cs"/>
          <w:rtl/>
        </w:rPr>
        <w:t>منهج التحقيق................................</w:t>
      </w:r>
      <w:r w:rsidR="00A860F6">
        <w:rPr>
          <w:rFonts w:ascii="Traditional Arabic" w:hAnsi="Traditional Arabic" w:hint="cs"/>
          <w:rtl/>
        </w:rPr>
        <w:t>.</w:t>
      </w:r>
      <w:r>
        <w:rPr>
          <w:rFonts w:ascii="Traditional Arabic" w:hAnsi="Traditional Arabic" w:hint="cs"/>
          <w:rtl/>
        </w:rPr>
        <w:t>................</w:t>
      </w:r>
      <w:r w:rsidR="00DB7AFC">
        <w:rPr>
          <w:rFonts w:ascii="Traditional Arabic" w:hAnsi="Traditional Arabic" w:hint="cs"/>
          <w:rtl/>
        </w:rPr>
        <w:t>.</w:t>
      </w:r>
      <w:r>
        <w:rPr>
          <w:rFonts w:ascii="Traditional Arabic" w:hAnsi="Traditional Arabic" w:hint="cs"/>
          <w:rtl/>
        </w:rPr>
        <w:t>.................. 12</w:t>
      </w:r>
    </w:p>
    <w:p w:rsidR="00AD49A5" w:rsidRDefault="00AD49A5" w:rsidP="0035272A">
      <w:pPr>
        <w:ind w:firstLine="0"/>
        <w:rPr>
          <w:rFonts w:ascii="Traditional Arabic" w:hAnsi="Traditional Arabic"/>
          <w:rtl/>
        </w:rPr>
      </w:pPr>
      <w:r>
        <w:rPr>
          <w:rFonts w:ascii="Traditional Arabic" w:hAnsi="Traditional Arabic" w:hint="cs"/>
          <w:rtl/>
        </w:rPr>
        <w:t>شكر وتقدير.................................</w:t>
      </w:r>
      <w:r w:rsidR="00A860F6">
        <w:rPr>
          <w:rFonts w:ascii="Traditional Arabic" w:hAnsi="Traditional Arabic" w:hint="cs"/>
          <w:rtl/>
        </w:rPr>
        <w:t>.</w:t>
      </w:r>
      <w:r>
        <w:rPr>
          <w:rFonts w:ascii="Traditional Arabic" w:hAnsi="Traditional Arabic" w:hint="cs"/>
          <w:rtl/>
        </w:rPr>
        <w:t>...............</w:t>
      </w:r>
      <w:r w:rsidR="00DB7AFC">
        <w:rPr>
          <w:rFonts w:ascii="Traditional Arabic" w:hAnsi="Traditional Arabic" w:hint="cs"/>
          <w:rtl/>
        </w:rPr>
        <w:t>..</w:t>
      </w:r>
      <w:r>
        <w:rPr>
          <w:rFonts w:ascii="Traditional Arabic" w:hAnsi="Traditional Arabic" w:hint="cs"/>
          <w:rtl/>
        </w:rPr>
        <w:t>.................. 15</w:t>
      </w:r>
    </w:p>
    <w:p w:rsidR="006A18DC" w:rsidRDefault="006A18DC" w:rsidP="0035272A">
      <w:pPr>
        <w:ind w:firstLine="0"/>
        <w:rPr>
          <w:rFonts w:ascii="Traditional Arabic" w:hAnsi="Traditional Arabic"/>
          <w:rtl/>
        </w:rPr>
      </w:pPr>
      <w:r>
        <w:rPr>
          <w:rFonts w:ascii="Traditional Arabic" w:hAnsi="Traditional Arabic" w:hint="cs"/>
          <w:rtl/>
        </w:rPr>
        <w:t>القسم الأول: الدراسة..........................</w:t>
      </w:r>
      <w:r w:rsidR="00A860F6">
        <w:rPr>
          <w:rFonts w:ascii="Traditional Arabic" w:hAnsi="Traditional Arabic" w:hint="cs"/>
          <w:rtl/>
        </w:rPr>
        <w:t>.</w:t>
      </w:r>
      <w:r>
        <w:rPr>
          <w:rFonts w:ascii="Traditional Arabic" w:hAnsi="Traditional Arabic" w:hint="cs"/>
          <w:rtl/>
        </w:rPr>
        <w:t>................</w:t>
      </w:r>
      <w:r w:rsidR="00DB7AFC">
        <w:rPr>
          <w:rFonts w:ascii="Traditional Arabic" w:hAnsi="Traditional Arabic" w:hint="cs"/>
          <w:rtl/>
        </w:rPr>
        <w:t>.</w:t>
      </w:r>
      <w:r>
        <w:rPr>
          <w:rFonts w:ascii="Traditional Arabic" w:hAnsi="Traditional Arabic" w:hint="cs"/>
          <w:rtl/>
        </w:rPr>
        <w:t>................</w:t>
      </w:r>
      <w:r w:rsidR="00AD49A5">
        <w:rPr>
          <w:rFonts w:ascii="Traditional Arabic" w:hAnsi="Traditional Arabic" w:hint="cs"/>
          <w:rtl/>
        </w:rPr>
        <w:t>. 16</w:t>
      </w:r>
    </w:p>
    <w:p w:rsidR="006A18DC" w:rsidRDefault="006A18DC" w:rsidP="0035272A">
      <w:pPr>
        <w:ind w:firstLine="0"/>
        <w:rPr>
          <w:rFonts w:ascii="Traditional Arabic" w:hAnsi="Traditional Arabic"/>
          <w:rtl/>
        </w:rPr>
      </w:pPr>
      <w:r>
        <w:rPr>
          <w:rFonts w:ascii="Traditional Arabic" w:hAnsi="Traditional Arabic" w:hint="cs"/>
          <w:rtl/>
        </w:rPr>
        <w:t xml:space="preserve">الفصل الأول: تعريف موجز بالمؤلف </w:t>
      </w:r>
      <w:r>
        <w:rPr>
          <w:rFonts w:ascii="Traditional Arabic" w:hAnsi="Traditional Arabic"/>
          <w:rtl/>
        </w:rPr>
        <w:t>–</w:t>
      </w:r>
      <w:r>
        <w:rPr>
          <w:rFonts w:ascii="Traditional Arabic" w:hAnsi="Traditional Arabic" w:hint="cs"/>
          <w:rtl/>
        </w:rPr>
        <w:t xml:space="preserve"> رحمه الله....</w:t>
      </w:r>
      <w:r w:rsidR="00A860F6">
        <w:rPr>
          <w:rFonts w:ascii="Traditional Arabic" w:hAnsi="Traditional Arabic" w:hint="cs"/>
          <w:rtl/>
        </w:rPr>
        <w:t>.</w:t>
      </w:r>
      <w:r>
        <w:rPr>
          <w:rFonts w:ascii="Traditional Arabic" w:hAnsi="Traditional Arabic" w:hint="cs"/>
          <w:rtl/>
        </w:rPr>
        <w:t>................................</w:t>
      </w:r>
      <w:r w:rsidR="00AD49A5">
        <w:rPr>
          <w:rFonts w:ascii="Traditional Arabic" w:hAnsi="Traditional Arabic" w:hint="cs"/>
          <w:rtl/>
        </w:rPr>
        <w:t xml:space="preserve"> 17</w:t>
      </w:r>
    </w:p>
    <w:p w:rsidR="00AD49A5" w:rsidRDefault="00035555" w:rsidP="0035272A">
      <w:pPr>
        <w:ind w:firstLine="0"/>
        <w:rPr>
          <w:rFonts w:ascii="Traditional Arabic" w:hAnsi="Traditional Arabic"/>
          <w:rtl/>
        </w:rPr>
      </w:pPr>
      <w:r>
        <w:rPr>
          <w:rFonts w:ascii="Traditional Arabic" w:hAnsi="Traditional Arabic" w:hint="cs"/>
          <w:rtl/>
        </w:rPr>
        <w:t>المبحث الاول: اسمه, ونسبه,</w:t>
      </w:r>
      <w:r w:rsidR="00AD49A5">
        <w:rPr>
          <w:rFonts w:ascii="Traditional Arabic" w:hAnsi="Traditional Arabic" w:hint="cs"/>
          <w:rtl/>
        </w:rPr>
        <w:t xml:space="preserve"> وكنيته</w:t>
      </w:r>
      <w:r>
        <w:rPr>
          <w:rFonts w:ascii="Traditional Arabic" w:hAnsi="Traditional Arabic" w:hint="cs"/>
          <w:rtl/>
        </w:rPr>
        <w:t>,</w:t>
      </w:r>
      <w:r w:rsidR="00AD49A5">
        <w:rPr>
          <w:rFonts w:ascii="Traditional Arabic" w:hAnsi="Traditional Arabic" w:hint="cs"/>
          <w:rtl/>
        </w:rPr>
        <w:t xml:space="preserve"> ولقبه ..</w:t>
      </w:r>
      <w:r>
        <w:rPr>
          <w:rFonts w:ascii="Traditional Arabic" w:hAnsi="Traditional Arabic" w:hint="cs"/>
          <w:rtl/>
        </w:rPr>
        <w:t>.......</w:t>
      </w:r>
      <w:r w:rsidR="00AD49A5">
        <w:rPr>
          <w:rFonts w:ascii="Traditional Arabic" w:hAnsi="Traditional Arabic" w:hint="cs"/>
          <w:rtl/>
        </w:rPr>
        <w:t>................................. 18</w:t>
      </w:r>
    </w:p>
    <w:p w:rsidR="00AD49A5" w:rsidRDefault="00AD49A5" w:rsidP="0035272A">
      <w:pPr>
        <w:ind w:firstLine="0"/>
        <w:rPr>
          <w:rFonts w:ascii="Traditional Arabic" w:hAnsi="Traditional Arabic"/>
          <w:rtl/>
        </w:rPr>
      </w:pPr>
      <w:r>
        <w:rPr>
          <w:rFonts w:ascii="Traditional Arabic" w:hAnsi="Traditional Arabic" w:hint="cs"/>
          <w:rtl/>
        </w:rPr>
        <w:t xml:space="preserve">المبحث الثاني: </w:t>
      </w:r>
      <w:r w:rsidR="00035555">
        <w:rPr>
          <w:rFonts w:ascii="Traditional Arabic" w:hAnsi="Traditional Arabic" w:hint="cs"/>
          <w:rtl/>
        </w:rPr>
        <w:t xml:space="preserve">مولده, ووفاته </w:t>
      </w:r>
      <w:r>
        <w:rPr>
          <w:rFonts w:ascii="Traditional Arabic" w:hAnsi="Traditional Arabic" w:hint="cs"/>
          <w:rtl/>
        </w:rPr>
        <w:t>.....................</w:t>
      </w:r>
      <w:r w:rsidR="00A860F6">
        <w:rPr>
          <w:rFonts w:ascii="Traditional Arabic" w:hAnsi="Traditional Arabic" w:hint="cs"/>
          <w:rtl/>
        </w:rPr>
        <w:t>.</w:t>
      </w:r>
      <w:r>
        <w:rPr>
          <w:rFonts w:ascii="Traditional Arabic" w:hAnsi="Traditional Arabic" w:hint="cs"/>
          <w:rtl/>
        </w:rPr>
        <w:t>...............</w:t>
      </w:r>
      <w:r w:rsidR="00DB7AFC">
        <w:rPr>
          <w:rFonts w:ascii="Traditional Arabic" w:hAnsi="Traditional Arabic" w:hint="cs"/>
          <w:rtl/>
        </w:rPr>
        <w:t>.</w:t>
      </w:r>
      <w:r>
        <w:rPr>
          <w:rFonts w:ascii="Traditional Arabic" w:hAnsi="Traditional Arabic" w:hint="cs"/>
          <w:rtl/>
        </w:rPr>
        <w:t>......</w:t>
      </w:r>
      <w:r w:rsidR="00035555">
        <w:rPr>
          <w:rFonts w:ascii="Traditional Arabic" w:hAnsi="Traditional Arabic" w:hint="cs"/>
          <w:rtl/>
        </w:rPr>
        <w:t>.......... 19</w:t>
      </w:r>
    </w:p>
    <w:p w:rsidR="00AD49A5" w:rsidRDefault="00AD49A5" w:rsidP="0035272A">
      <w:pPr>
        <w:ind w:firstLine="0"/>
        <w:rPr>
          <w:rFonts w:ascii="Traditional Arabic" w:hAnsi="Traditional Arabic"/>
          <w:rtl/>
        </w:rPr>
      </w:pPr>
      <w:r>
        <w:rPr>
          <w:rFonts w:ascii="Traditional Arabic" w:hAnsi="Traditional Arabic" w:hint="cs"/>
          <w:rtl/>
        </w:rPr>
        <w:t>المبحث الثالث</w:t>
      </w:r>
      <w:r w:rsidR="00035555">
        <w:rPr>
          <w:rFonts w:ascii="Traditional Arabic" w:hAnsi="Traditional Arabic" w:hint="cs"/>
          <w:rtl/>
        </w:rPr>
        <w:t>: نشأته, وحياته العلمية .</w:t>
      </w:r>
      <w:r>
        <w:rPr>
          <w:rFonts w:ascii="Traditional Arabic" w:hAnsi="Traditional Arabic" w:hint="cs"/>
          <w:rtl/>
        </w:rPr>
        <w:t>.............</w:t>
      </w:r>
      <w:r w:rsidR="00035555">
        <w:rPr>
          <w:rFonts w:ascii="Traditional Arabic" w:hAnsi="Traditional Arabic" w:hint="cs"/>
          <w:rtl/>
        </w:rPr>
        <w:t>.............</w:t>
      </w:r>
      <w:r w:rsidR="00DB7AFC">
        <w:rPr>
          <w:rFonts w:ascii="Traditional Arabic" w:hAnsi="Traditional Arabic" w:hint="cs"/>
          <w:rtl/>
        </w:rPr>
        <w:t>.</w:t>
      </w:r>
      <w:r w:rsidR="00035555">
        <w:rPr>
          <w:rFonts w:ascii="Traditional Arabic" w:hAnsi="Traditional Arabic" w:hint="cs"/>
          <w:rtl/>
        </w:rPr>
        <w:t>................. 21</w:t>
      </w:r>
    </w:p>
    <w:p w:rsidR="00AD49A5" w:rsidRDefault="00035555" w:rsidP="0035272A">
      <w:pPr>
        <w:ind w:firstLine="0"/>
        <w:rPr>
          <w:rFonts w:ascii="Traditional Arabic" w:hAnsi="Traditional Arabic"/>
          <w:rtl/>
        </w:rPr>
      </w:pPr>
      <w:r>
        <w:rPr>
          <w:rFonts w:ascii="Traditional Arabic" w:hAnsi="Traditional Arabic" w:hint="cs"/>
          <w:rtl/>
        </w:rPr>
        <w:t xml:space="preserve">المبحث الرابع: شيوخه, وتلاميذه </w:t>
      </w:r>
      <w:r w:rsidR="00AD49A5">
        <w:rPr>
          <w:rFonts w:ascii="Traditional Arabic" w:hAnsi="Traditional Arabic" w:hint="cs"/>
          <w:rtl/>
        </w:rPr>
        <w:t>...............................</w:t>
      </w:r>
      <w:r w:rsidR="00DB7AFC">
        <w:rPr>
          <w:rFonts w:ascii="Traditional Arabic" w:hAnsi="Traditional Arabic" w:hint="cs"/>
          <w:rtl/>
        </w:rPr>
        <w:t>.</w:t>
      </w:r>
      <w:r w:rsidR="00AD49A5">
        <w:rPr>
          <w:rFonts w:ascii="Traditional Arabic" w:hAnsi="Traditional Arabic" w:hint="cs"/>
          <w:rtl/>
        </w:rPr>
        <w:t>...........</w:t>
      </w:r>
      <w:r>
        <w:rPr>
          <w:rFonts w:ascii="Traditional Arabic" w:hAnsi="Traditional Arabic" w:hint="cs"/>
          <w:rtl/>
        </w:rPr>
        <w:t>.</w:t>
      </w:r>
      <w:r w:rsidR="00AD49A5">
        <w:rPr>
          <w:rFonts w:ascii="Traditional Arabic" w:hAnsi="Traditional Arabic" w:hint="cs"/>
          <w:rtl/>
        </w:rPr>
        <w:t>.</w:t>
      </w:r>
      <w:r>
        <w:rPr>
          <w:rFonts w:ascii="Traditional Arabic" w:hAnsi="Traditional Arabic" w:hint="cs"/>
          <w:rtl/>
        </w:rPr>
        <w:t>..... 24</w:t>
      </w:r>
    </w:p>
    <w:p w:rsidR="00AD49A5" w:rsidRDefault="00AD49A5" w:rsidP="0035272A">
      <w:pPr>
        <w:ind w:firstLine="0"/>
        <w:rPr>
          <w:rFonts w:ascii="Traditional Arabic" w:hAnsi="Traditional Arabic"/>
          <w:rtl/>
        </w:rPr>
      </w:pPr>
      <w:r>
        <w:rPr>
          <w:rFonts w:ascii="Traditional Arabic" w:hAnsi="Traditional Arabic" w:hint="cs"/>
          <w:rtl/>
        </w:rPr>
        <w:t>المبحث الخامس</w:t>
      </w:r>
      <w:r w:rsidR="00035555">
        <w:rPr>
          <w:rFonts w:ascii="Traditional Arabic" w:hAnsi="Traditional Arabic" w:hint="cs"/>
          <w:rtl/>
        </w:rPr>
        <w:t>: عقيدته ............</w:t>
      </w:r>
      <w:r>
        <w:rPr>
          <w:rFonts w:ascii="Traditional Arabic" w:hAnsi="Traditional Arabic" w:hint="cs"/>
          <w:rtl/>
        </w:rPr>
        <w:t>..........................</w:t>
      </w:r>
      <w:r w:rsidR="00DB7AFC">
        <w:rPr>
          <w:rFonts w:ascii="Traditional Arabic" w:hAnsi="Traditional Arabic" w:hint="cs"/>
          <w:rtl/>
        </w:rPr>
        <w:t>..</w:t>
      </w:r>
      <w:r>
        <w:rPr>
          <w:rFonts w:ascii="Traditional Arabic" w:hAnsi="Traditional Arabic" w:hint="cs"/>
          <w:rtl/>
        </w:rPr>
        <w:t>...........</w:t>
      </w:r>
      <w:r w:rsidR="00035555">
        <w:rPr>
          <w:rFonts w:ascii="Traditional Arabic" w:hAnsi="Traditional Arabic" w:hint="cs"/>
          <w:rtl/>
        </w:rPr>
        <w:t>.</w:t>
      </w:r>
      <w:r>
        <w:rPr>
          <w:rFonts w:ascii="Traditional Arabic" w:hAnsi="Traditional Arabic" w:hint="cs"/>
          <w:rtl/>
        </w:rPr>
        <w:t>...</w:t>
      </w:r>
      <w:r w:rsidR="00035555">
        <w:rPr>
          <w:rFonts w:ascii="Traditional Arabic" w:hAnsi="Traditional Arabic" w:hint="cs"/>
          <w:rtl/>
        </w:rPr>
        <w:t>.. 33</w:t>
      </w:r>
    </w:p>
    <w:p w:rsidR="00AD49A5" w:rsidRDefault="00AD49A5" w:rsidP="0035272A">
      <w:pPr>
        <w:ind w:firstLine="0"/>
        <w:rPr>
          <w:rFonts w:ascii="Traditional Arabic" w:hAnsi="Traditional Arabic"/>
          <w:rtl/>
        </w:rPr>
      </w:pPr>
      <w:r>
        <w:rPr>
          <w:rFonts w:ascii="Traditional Arabic" w:hAnsi="Traditional Arabic" w:hint="cs"/>
          <w:rtl/>
        </w:rPr>
        <w:t>المبحث السادس</w:t>
      </w:r>
      <w:r w:rsidR="00035555">
        <w:rPr>
          <w:rFonts w:ascii="Traditional Arabic" w:hAnsi="Traditional Arabic" w:hint="cs"/>
          <w:rtl/>
        </w:rPr>
        <w:t xml:space="preserve">: مذهبه الفقهي </w:t>
      </w:r>
      <w:r>
        <w:rPr>
          <w:rFonts w:ascii="Traditional Arabic" w:hAnsi="Traditional Arabic" w:hint="cs"/>
          <w:rtl/>
        </w:rPr>
        <w:t>......................</w:t>
      </w:r>
      <w:r w:rsidR="00035555">
        <w:rPr>
          <w:rFonts w:ascii="Traditional Arabic" w:hAnsi="Traditional Arabic" w:hint="cs"/>
          <w:rtl/>
        </w:rPr>
        <w:t>..</w:t>
      </w:r>
      <w:r w:rsidR="00DB7AFC">
        <w:rPr>
          <w:rFonts w:ascii="Traditional Arabic" w:hAnsi="Traditional Arabic" w:hint="cs"/>
          <w:rtl/>
        </w:rPr>
        <w:t>.</w:t>
      </w:r>
      <w:r w:rsidR="00035555">
        <w:rPr>
          <w:rFonts w:ascii="Traditional Arabic" w:hAnsi="Traditional Arabic" w:hint="cs"/>
          <w:rtl/>
        </w:rPr>
        <w:t>..</w:t>
      </w:r>
      <w:r w:rsidR="00A860F6">
        <w:rPr>
          <w:rFonts w:ascii="Traditional Arabic" w:hAnsi="Traditional Arabic" w:hint="cs"/>
          <w:rtl/>
        </w:rPr>
        <w:t>.</w:t>
      </w:r>
      <w:r w:rsidR="00035555">
        <w:rPr>
          <w:rFonts w:ascii="Traditional Arabic" w:hAnsi="Traditional Arabic" w:hint="cs"/>
          <w:rtl/>
        </w:rPr>
        <w:t>...................... 37</w:t>
      </w:r>
    </w:p>
    <w:p w:rsidR="00AD49A5" w:rsidRDefault="00AD49A5" w:rsidP="0035272A">
      <w:pPr>
        <w:ind w:firstLine="0"/>
        <w:rPr>
          <w:rFonts w:ascii="Traditional Arabic" w:hAnsi="Traditional Arabic"/>
          <w:rtl/>
        </w:rPr>
      </w:pPr>
      <w:r>
        <w:rPr>
          <w:rFonts w:ascii="Traditional Arabic" w:hAnsi="Traditional Arabic" w:hint="cs"/>
          <w:rtl/>
        </w:rPr>
        <w:t>المبحث السابع</w:t>
      </w:r>
      <w:r w:rsidR="00035555">
        <w:rPr>
          <w:rFonts w:ascii="Traditional Arabic" w:hAnsi="Traditional Arabic" w:hint="cs"/>
          <w:rtl/>
        </w:rPr>
        <w:t>: مكانته العلمية, وثناء العلماء عليه ...</w:t>
      </w:r>
      <w:r>
        <w:rPr>
          <w:rFonts w:ascii="Traditional Arabic" w:hAnsi="Traditional Arabic" w:hint="cs"/>
          <w:rtl/>
        </w:rPr>
        <w:t>............</w:t>
      </w:r>
      <w:r w:rsidR="00DB7AFC">
        <w:rPr>
          <w:rFonts w:ascii="Traditional Arabic" w:hAnsi="Traditional Arabic" w:hint="cs"/>
          <w:rtl/>
        </w:rPr>
        <w:t>.</w:t>
      </w:r>
      <w:r>
        <w:rPr>
          <w:rFonts w:ascii="Traditional Arabic" w:hAnsi="Traditional Arabic" w:hint="cs"/>
          <w:rtl/>
        </w:rPr>
        <w:t>................</w:t>
      </w:r>
      <w:r w:rsidR="00035555">
        <w:rPr>
          <w:rFonts w:ascii="Traditional Arabic" w:hAnsi="Traditional Arabic" w:hint="cs"/>
          <w:rtl/>
        </w:rPr>
        <w:t>.</w:t>
      </w:r>
      <w:r>
        <w:rPr>
          <w:rFonts w:ascii="Traditional Arabic" w:hAnsi="Traditional Arabic" w:hint="cs"/>
          <w:rtl/>
        </w:rPr>
        <w:t>.</w:t>
      </w:r>
      <w:r w:rsidR="00035555">
        <w:rPr>
          <w:rFonts w:ascii="Traditional Arabic" w:hAnsi="Traditional Arabic" w:hint="cs"/>
          <w:rtl/>
        </w:rPr>
        <w:t xml:space="preserve"> 39</w:t>
      </w:r>
    </w:p>
    <w:p w:rsidR="00AD49A5" w:rsidRDefault="00AD49A5" w:rsidP="0035272A">
      <w:pPr>
        <w:ind w:firstLine="0"/>
        <w:rPr>
          <w:rFonts w:ascii="Traditional Arabic" w:hAnsi="Traditional Arabic"/>
          <w:rtl/>
        </w:rPr>
      </w:pPr>
      <w:r>
        <w:rPr>
          <w:rFonts w:ascii="Traditional Arabic" w:hAnsi="Traditional Arabic" w:hint="cs"/>
          <w:rtl/>
        </w:rPr>
        <w:t>المبحث الثامن</w:t>
      </w:r>
      <w:r w:rsidR="00035555">
        <w:rPr>
          <w:rFonts w:ascii="Traditional Arabic" w:hAnsi="Traditional Arabic" w:hint="cs"/>
          <w:rtl/>
        </w:rPr>
        <w:t>: مؤلفاته ........................</w:t>
      </w:r>
      <w:r>
        <w:rPr>
          <w:rFonts w:ascii="Traditional Arabic" w:hAnsi="Traditional Arabic" w:hint="cs"/>
          <w:rtl/>
        </w:rPr>
        <w:t>.................</w:t>
      </w:r>
      <w:r w:rsidR="00DB7AFC">
        <w:rPr>
          <w:rFonts w:ascii="Traditional Arabic" w:hAnsi="Traditional Arabic" w:hint="cs"/>
          <w:rtl/>
        </w:rPr>
        <w:t>..</w:t>
      </w:r>
      <w:r>
        <w:rPr>
          <w:rFonts w:ascii="Traditional Arabic" w:hAnsi="Traditional Arabic" w:hint="cs"/>
          <w:rtl/>
        </w:rPr>
        <w:t>.........</w:t>
      </w:r>
      <w:r w:rsidR="00035555">
        <w:rPr>
          <w:rFonts w:ascii="Traditional Arabic" w:hAnsi="Traditional Arabic" w:hint="cs"/>
          <w:rtl/>
        </w:rPr>
        <w:t>......</w:t>
      </w:r>
      <w:r>
        <w:rPr>
          <w:rFonts w:ascii="Traditional Arabic" w:hAnsi="Traditional Arabic" w:hint="cs"/>
          <w:rtl/>
        </w:rPr>
        <w:t>.</w:t>
      </w:r>
      <w:r w:rsidR="00035555">
        <w:rPr>
          <w:rFonts w:ascii="Traditional Arabic" w:hAnsi="Traditional Arabic" w:hint="cs"/>
          <w:rtl/>
        </w:rPr>
        <w:t xml:space="preserve"> 41</w:t>
      </w:r>
    </w:p>
    <w:p w:rsidR="00035555" w:rsidRDefault="00035555" w:rsidP="0035272A">
      <w:pPr>
        <w:ind w:firstLine="0"/>
        <w:rPr>
          <w:rFonts w:ascii="Traditional Arabic" w:hAnsi="Traditional Arabic"/>
          <w:rtl/>
        </w:rPr>
      </w:pPr>
      <w:r>
        <w:rPr>
          <w:rFonts w:ascii="Traditional Arabic" w:hAnsi="Traditional Arabic" w:hint="cs"/>
          <w:rtl/>
        </w:rPr>
        <w:t>أولاً: مؤلفاته في علوم القرآن ......................................</w:t>
      </w:r>
      <w:r w:rsidR="00DB7AFC">
        <w:rPr>
          <w:rFonts w:ascii="Traditional Arabic" w:hAnsi="Traditional Arabic" w:hint="cs"/>
          <w:rtl/>
        </w:rPr>
        <w:t>.</w:t>
      </w:r>
      <w:r>
        <w:rPr>
          <w:rFonts w:ascii="Traditional Arabic" w:hAnsi="Traditional Arabic" w:hint="cs"/>
          <w:rtl/>
        </w:rPr>
        <w:t>............... 42</w:t>
      </w:r>
    </w:p>
    <w:p w:rsidR="00035555" w:rsidRDefault="00035555" w:rsidP="0035272A">
      <w:pPr>
        <w:ind w:firstLine="0"/>
        <w:rPr>
          <w:rFonts w:ascii="Traditional Arabic" w:hAnsi="Traditional Arabic"/>
          <w:rtl/>
        </w:rPr>
      </w:pPr>
      <w:r>
        <w:rPr>
          <w:rFonts w:ascii="Traditional Arabic" w:hAnsi="Traditional Arabic" w:hint="cs"/>
          <w:rtl/>
        </w:rPr>
        <w:t>ثانياً: مؤلفاته في العلوم الأخرى ...................................</w:t>
      </w:r>
      <w:r w:rsidR="00DB7AFC">
        <w:rPr>
          <w:rFonts w:ascii="Traditional Arabic" w:hAnsi="Traditional Arabic" w:hint="cs"/>
          <w:rtl/>
        </w:rPr>
        <w:t>..</w:t>
      </w:r>
      <w:r>
        <w:rPr>
          <w:rFonts w:ascii="Traditional Arabic" w:hAnsi="Traditional Arabic" w:hint="cs"/>
          <w:rtl/>
        </w:rPr>
        <w:t>............... 45</w:t>
      </w:r>
    </w:p>
    <w:p w:rsidR="00035555" w:rsidRDefault="00035555" w:rsidP="0035272A">
      <w:pPr>
        <w:ind w:firstLine="0"/>
        <w:rPr>
          <w:rFonts w:ascii="Traditional Arabic" w:hAnsi="Traditional Arabic"/>
          <w:rtl/>
        </w:rPr>
      </w:pPr>
      <w:r>
        <w:rPr>
          <w:rFonts w:ascii="Traditional Arabic" w:hAnsi="Traditional Arabic" w:hint="cs"/>
          <w:rtl/>
        </w:rPr>
        <w:t>الفصل الثاني: التعريف بالكتاب ...................................</w:t>
      </w:r>
      <w:r w:rsidR="00DB7AFC">
        <w:rPr>
          <w:rFonts w:ascii="Traditional Arabic" w:hAnsi="Traditional Arabic" w:hint="cs"/>
          <w:rtl/>
        </w:rPr>
        <w:t>..</w:t>
      </w:r>
      <w:r>
        <w:rPr>
          <w:rFonts w:ascii="Traditional Arabic" w:hAnsi="Traditional Arabic" w:hint="cs"/>
          <w:rtl/>
        </w:rPr>
        <w:t>.............. 49</w:t>
      </w:r>
    </w:p>
    <w:p w:rsidR="00035555" w:rsidRDefault="00035555" w:rsidP="0035272A">
      <w:pPr>
        <w:ind w:firstLine="0"/>
        <w:rPr>
          <w:rFonts w:ascii="Traditional Arabic" w:hAnsi="Traditional Arabic"/>
          <w:rtl/>
        </w:rPr>
      </w:pPr>
      <w:r>
        <w:rPr>
          <w:rFonts w:ascii="Traditional Arabic" w:hAnsi="Traditional Arabic" w:hint="cs"/>
          <w:rtl/>
        </w:rPr>
        <w:t>المبحث الاول: تحقيق اسم الكتاب, وإثبات نسبته إلى المؤلف .............</w:t>
      </w:r>
      <w:r w:rsidR="0035272A">
        <w:rPr>
          <w:rFonts w:ascii="Traditional Arabic" w:hAnsi="Traditional Arabic" w:hint="cs"/>
          <w:rtl/>
        </w:rPr>
        <w:t>.</w:t>
      </w:r>
      <w:r>
        <w:rPr>
          <w:rFonts w:ascii="Traditional Arabic" w:hAnsi="Traditional Arabic" w:hint="cs"/>
          <w:rtl/>
        </w:rPr>
        <w:t xml:space="preserve">.......... </w:t>
      </w:r>
      <w:r w:rsidR="00A72B27">
        <w:rPr>
          <w:rFonts w:ascii="Traditional Arabic" w:hAnsi="Traditional Arabic" w:hint="cs"/>
          <w:rtl/>
        </w:rPr>
        <w:t>50</w:t>
      </w:r>
    </w:p>
    <w:p w:rsidR="00035555" w:rsidRDefault="00035555" w:rsidP="0035272A">
      <w:pPr>
        <w:ind w:firstLine="0"/>
        <w:rPr>
          <w:rFonts w:ascii="Traditional Arabic" w:hAnsi="Traditional Arabic"/>
          <w:rtl/>
        </w:rPr>
      </w:pPr>
      <w:r>
        <w:rPr>
          <w:rFonts w:ascii="Traditional Arabic" w:hAnsi="Traditional Arabic" w:hint="cs"/>
          <w:rtl/>
        </w:rPr>
        <w:t xml:space="preserve">المبحث الثاني: </w:t>
      </w:r>
      <w:r w:rsidR="00A72B27">
        <w:rPr>
          <w:rFonts w:ascii="Traditional Arabic" w:hAnsi="Traditional Arabic" w:hint="cs"/>
          <w:rtl/>
        </w:rPr>
        <w:t>منهج المؤلف في الكتاب في القسم المحقق</w:t>
      </w:r>
      <w:r>
        <w:rPr>
          <w:rFonts w:ascii="Traditional Arabic" w:hAnsi="Traditional Arabic" w:hint="cs"/>
          <w:rtl/>
        </w:rPr>
        <w:t xml:space="preserve"> </w:t>
      </w:r>
      <w:r w:rsidR="00A72B27">
        <w:rPr>
          <w:rFonts w:ascii="Traditional Arabic" w:hAnsi="Traditional Arabic" w:hint="cs"/>
          <w:rtl/>
        </w:rPr>
        <w:t>.........</w:t>
      </w:r>
      <w:r>
        <w:rPr>
          <w:rFonts w:ascii="Traditional Arabic" w:hAnsi="Traditional Arabic" w:hint="cs"/>
          <w:rtl/>
        </w:rPr>
        <w:t xml:space="preserve">.................... </w:t>
      </w:r>
      <w:r w:rsidR="00A72B27">
        <w:rPr>
          <w:rFonts w:ascii="Traditional Arabic" w:hAnsi="Traditional Arabic" w:hint="cs"/>
          <w:rtl/>
        </w:rPr>
        <w:t>52</w:t>
      </w:r>
    </w:p>
    <w:p w:rsidR="00035555" w:rsidRDefault="00035555" w:rsidP="0035272A">
      <w:pPr>
        <w:ind w:firstLine="0"/>
        <w:rPr>
          <w:rFonts w:ascii="Traditional Arabic" w:hAnsi="Traditional Arabic"/>
          <w:rtl/>
        </w:rPr>
      </w:pPr>
      <w:r>
        <w:rPr>
          <w:rFonts w:ascii="Traditional Arabic" w:hAnsi="Traditional Arabic" w:hint="cs"/>
          <w:rtl/>
        </w:rPr>
        <w:t xml:space="preserve">المبحث الثالث: </w:t>
      </w:r>
      <w:r w:rsidR="00A72B27">
        <w:rPr>
          <w:rFonts w:ascii="Traditional Arabic" w:hAnsi="Traditional Arabic" w:hint="cs"/>
          <w:rtl/>
        </w:rPr>
        <w:t>مصادر الكتاب في القسم المحقق</w:t>
      </w:r>
      <w:r>
        <w:rPr>
          <w:rFonts w:ascii="Traditional Arabic" w:hAnsi="Traditional Arabic" w:hint="cs"/>
          <w:rtl/>
        </w:rPr>
        <w:t xml:space="preserve"> ..............</w:t>
      </w:r>
      <w:r w:rsidR="00A72B27">
        <w:rPr>
          <w:rFonts w:ascii="Traditional Arabic" w:hAnsi="Traditional Arabic" w:hint="cs"/>
          <w:rtl/>
        </w:rPr>
        <w:t>....</w:t>
      </w:r>
      <w:r>
        <w:rPr>
          <w:rFonts w:ascii="Traditional Arabic" w:hAnsi="Traditional Arabic" w:hint="cs"/>
          <w:rtl/>
        </w:rPr>
        <w:t xml:space="preserve">.................. </w:t>
      </w:r>
      <w:r w:rsidR="00A72B27">
        <w:rPr>
          <w:rFonts w:ascii="Traditional Arabic" w:hAnsi="Traditional Arabic" w:hint="cs"/>
          <w:rtl/>
        </w:rPr>
        <w:t>72</w:t>
      </w:r>
    </w:p>
    <w:p w:rsidR="00035555" w:rsidRDefault="00035555" w:rsidP="0035272A">
      <w:pPr>
        <w:ind w:firstLine="0"/>
        <w:rPr>
          <w:rFonts w:ascii="Traditional Arabic" w:hAnsi="Traditional Arabic"/>
          <w:rtl/>
        </w:rPr>
      </w:pPr>
      <w:r>
        <w:rPr>
          <w:rFonts w:ascii="Traditional Arabic" w:hAnsi="Traditional Arabic" w:hint="cs"/>
          <w:rtl/>
        </w:rPr>
        <w:t xml:space="preserve">المبحث الرابع: </w:t>
      </w:r>
      <w:r w:rsidR="00A860F6">
        <w:rPr>
          <w:rFonts w:ascii="Traditional Arabic" w:hAnsi="Traditional Arabic" w:hint="cs"/>
          <w:rtl/>
        </w:rPr>
        <w:t>القيمة العلمية للكتاب</w:t>
      </w:r>
      <w:r>
        <w:rPr>
          <w:rFonts w:ascii="Traditional Arabic" w:hAnsi="Traditional Arabic" w:hint="cs"/>
          <w:rtl/>
        </w:rPr>
        <w:t xml:space="preserve"> </w:t>
      </w:r>
      <w:r w:rsidR="00A860F6">
        <w:rPr>
          <w:rFonts w:ascii="Traditional Arabic" w:hAnsi="Traditional Arabic" w:hint="cs"/>
          <w:rtl/>
        </w:rPr>
        <w:t>.............................</w:t>
      </w:r>
      <w:r>
        <w:rPr>
          <w:rFonts w:ascii="Traditional Arabic" w:hAnsi="Traditional Arabic" w:hint="cs"/>
          <w:rtl/>
        </w:rPr>
        <w:t xml:space="preserve">................. </w:t>
      </w:r>
      <w:r w:rsidR="00A860F6">
        <w:rPr>
          <w:rFonts w:ascii="Traditional Arabic" w:hAnsi="Traditional Arabic" w:hint="cs"/>
          <w:rtl/>
        </w:rPr>
        <w:t>78</w:t>
      </w:r>
    </w:p>
    <w:p w:rsidR="00035555" w:rsidRDefault="00035555" w:rsidP="0035272A">
      <w:pPr>
        <w:ind w:firstLine="0"/>
        <w:rPr>
          <w:rFonts w:ascii="Traditional Arabic" w:hAnsi="Traditional Arabic"/>
          <w:rtl/>
        </w:rPr>
      </w:pPr>
      <w:r>
        <w:rPr>
          <w:rFonts w:ascii="Traditional Arabic" w:hAnsi="Traditional Arabic" w:hint="cs"/>
          <w:rtl/>
        </w:rPr>
        <w:lastRenderedPageBreak/>
        <w:t xml:space="preserve">المبحث الخامس: </w:t>
      </w:r>
      <w:r w:rsidR="00A860F6">
        <w:rPr>
          <w:rFonts w:ascii="Traditional Arabic" w:hAnsi="Traditional Arabic" w:hint="cs"/>
          <w:rtl/>
        </w:rPr>
        <w:t xml:space="preserve">وصف النسخ الخطية المعتمدة للكتاب, ونماذج منها </w:t>
      </w:r>
      <w:r>
        <w:rPr>
          <w:rFonts w:ascii="Traditional Arabic" w:hAnsi="Traditional Arabic" w:hint="cs"/>
          <w:rtl/>
        </w:rPr>
        <w:t xml:space="preserve">................. </w:t>
      </w:r>
      <w:r w:rsidR="00A860F6">
        <w:rPr>
          <w:rFonts w:ascii="Traditional Arabic" w:hAnsi="Traditional Arabic" w:hint="cs"/>
          <w:rtl/>
        </w:rPr>
        <w:t>82</w:t>
      </w:r>
    </w:p>
    <w:p w:rsidR="00A860F6" w:rsidRDefault="00A860F6" w:rsidP="0035272A">
      <w:pPr>
        <w:ind w:firstLine="0"/>
        <w:rPr>
          <w:rFonts w:ascii="Traditional Arabic" w:hAnsi="Traditional Arabic"/>
          <w:rtl/>
        </w:rPr>
      </w:pPr>
      <w:r>
        <w:rPr>
          <w:rFonts w:ascii="Traditional Arabic" w:hAnsi="Traditional Arabic" w:hint="cs"/>
          <w:rtl/>
        </w:rPr>
        <w:t>القسم الثاني: النص المحقق ...........................................</w:t>
      </w:r>
      <w:r w:rsidR="00DB7AFC">
        <w:rPr>
          <w:rFonts w:ascii="Traditional Arabic" w:hAnsi="Traditional Arabic" w:hint="cs"/>
          <w:rtl/>
        </w:rPr>
        <w:t>.</w:t>
      </w:r>
      <w:r>
        <w:rPr>
          <w:rFonts w:ascii="Traditional Arabic" w:hAnsi="Traditional Arabic" w:hint="cs"/>
          <w:rtl/>
        </w:rPr>
        <w:t>............ 88</w:t>
      </w:r>
    </w:p>
    <w:p w:rsidR="00A860F6" w:rsidRDefault="00A860F6" w:rsidP="0035272A">
      <w:pPr>
        <w:ind w:firstLine="0"/>
        <w:rPr>
          <w:rFonts w:ascii="Traditional Arabic" w:hAnsi="Traditional Arabic"/>
          <w:rtl/>
        </w:rPr>
      </w:pPr>
      <w:r>
        <w:rPr>
          <w:rFonts w:ascii="Traditional Arabic" w:hAnsi="Traditional Arabic" w:hint="cs"/>
          <w:rtl/>
        </w:rPr>
        <w:t>بداية الآية (59) من سورة الإسراء................................................. 89</w:t>
      </w:r>
    </w:p>
    <w:p w:rsidR="00A860F6" w:rsidRDefault="00A860F6" w:rsidP="0035272A">
      <w:pPr>
        <w:ind w:firstLine="0"/>
        <w:rPr>
          <w:rFonts w:ascii="Traditional Arabic" w:hAnsi="Traditional Arabic"/>
          <w:rtl/>
        </w:rPr>
      </w:pPr>
      <w:r>
        <w:rPr>
          <w:rFonts w:ascii="Traditional Arabic" w:hAnsi="Traditional Arabic" w:hint="cs"/>
          <w:rtl/>
        </w:rPr>
        <w:t>سورة الكهف .........................................</w:t>
      </w:r>
      <w:r w:rsidR="00F2328C">
        <w:rPr>
          <w:rFonts w:ascii="Traditional Arabic" w:hAnsi="Traditional Arabic" w:hint="cs"/>
          <w:rtl/>
        </w:rPr>
        <w:t>..</w:t>
      </w:r>
      <w:r>
        <w:rPr>
          <w:rFonts w:ascii="Traditional Arabic" w:hAnsi="Traditional Arabic" w:hint="cs"/>
          <w:rtl/>
        </w:rPr>
        <w:t xml:space="preserve">....................... </w:t>
      </w:r>
      <w:r w:rsidR="002E66C6">
        <w:rPr>
          <w:rFonts w:ascii="Traditional Arabic" w:hAnsi="Traditional Arabic" w:hint="cs"/>
          <w:rtl/>
        </w:rPr>
        <w:t>164</w:t>
      </w:r>
    </w:p>
    <w:p w:rsidR="00A860F6" w:rsidRDefault="00A860F6" w:rsidP="0035272A">
      <w:pPr>
        <w:ind w:firstLine="0"/>
        <w:rPr>
          <w:rFonts w:ascii="Traditional Arabic" w:hAnsi="Traditional Arabic"/>
          <w:rtl/>
        </w:rPr>
      </w:pPr>
      <w:r>
        <w:rPr>
          <w:rFonts w:ascii="Traditional Arabic" w:hAnsi="Traditional Arabic" w:hint="cs"/>
          <w:rtl/>
        </w:rPr>
        <w:t>سورة مريم .....................................</w:t>
      </w:r>
      <w:r w:rsidR="00F2328C">
        <w:rPr>
          <w:rFonts w:ascii="Traditional Arabic" w:hAnsi="Traditional Arabic" w:hint="cs"/>
          <w:rtl/>
        </w:rPr>
        <w:t>.</w:t>
      </w:r>
      <w:r>
        <w:rPr>
          <w:rFonts w:ascii="Traditional Arabic" w:hAnsi="Traditional Arabic" w:hint="cs"/>
          <w:rtl/>
        </w:rPr>
        <w:t>..................</w:t>
      </w:r>
      <w:r w:rsidR="00DB7AFC">
        <w:rPr>
          <w:rFonts w:ascii="Traditional Arabic" w:hAnsi="Traditional Arabic" w:hint="cs"/>
          <w:rtl/>
        </w:rPr>
        <w:t>..</w:t>
      </w:r>
      <w:r>
        <w:rPr>
          <w:rFonts w:ascii="Traditional Arabic" w:hAnsi="Traditional Arabic" w:hint="cs"/>
          <w:rtl/>
        </w:rPr>
        <w:t>...........</w:t>
      </w:r>
      <w:r w:rsidR="002E66C6">
        <w:rPr>
          <w:rFonts w:ascii="Traditional Arabic" w:hAnsi="Traditional Arabic" w:hint="cs"/>
          <w:rtl/>
        </w:rPr>
        <w:t xml:space="preserve"> 290</w:t>
      </w:r>
      <w:r>
        <w:rPr>
          <w:rFonts w:ascii="Traditional Arabic" w:hAnsi="Traditional Arabic" w:hint="cs"/>
          <w:rtl/>
        </w:rPr>
        <w:t xml:space="preserve"> </w:t>
      </w:r>
    </w:p>
    <w:p w:rsidR="00A860F6" w:rsidRDefault="00A860F6" w:rsidP="0035272A">
      <w:pPr>
        <w:ind w:firstLine="0"/>
        <w:rPr>
          <w:rFonts w:ascii="Traditional Arabic" w:hAnsi="Traditional Arabic"/>
          <w:rtl/>
        </w:rPr>
      </w:pPr>
      <w:r>
        <w:rPr>
          <w:rFonts w:ascii="Traditional Arabic" w:hAnsi="Traditional Arabic" w:hint="cs"/>
          <w:rtl/>
        </w:rPr>
        <w:t>نهاية الآية (40) من سورة مريم......................................</w:t>
      </w:r>
      <w:r w:rsidR="00DB7AFC">
        <w:rPr>
          <w:rFonts w:ascii="Traditional Arabic" w:hAnsi="Traditional Arabic" w:hint="cs"/>
          <w:rtl/>
        </w:rPr>
        <w:t>..</w:t>
      </w:r>
      <w:r>
        <w:rPr>
          <w:rFonts w:ascii="Traditional Arabic" w:hAnsi="Traditional Arabic" w:hint="cs"/>
          <w:rtl/>
        </w:rPr>
        <w:t xml:space="preserve">........... </w:t>
      </w:r>
      <w:r w:rsidR="002E66C6">
        <w:rPr>
          <w:rFonts w:ascii="Traditional Arabic" w:hAnsi="Traditional Arabic" w:hint="cs"/>
          <w:rtl/>
        </w:rPr>
        <w:t>327</w:t>
      </w:r>
    </w:p>
    <w:p w:rsidR="002E66C6" w:rsidRDefault="00A860F6" w:rsidP="0035272A">
      <w:pPr>
        <w:ind w:firstLine="0"/>
        <w:rPr>
          <w:rFonts w:ascii="Traditional Arabic" w:hAnsi="Traditional Arabic"/>
          <w:rtl/>
        </w:rPr>
      </w:pPr>
      <w:r>
        <w:rPr>
          <w:rFonts w:ascii="Traditional Arabic" w:hAnsi="Traditional Arabic" w:hint="cs"/>
          <w:rtl/>
        </w:rPr>
        <w:t>الفهارس ............................................</w:t>
      </w:r>
      <w:r w:rsidR="002E66C6">
        <w:rPr>
          <w:rFonts w:ascii="Traditional Arabic" w:hAnsi="Traditional Arabic" w:hint="cs"/>
          <w:rtl/>
        </w:rPr>
        <w:t>..............</w:t>
      </w:r>
      <w:r w:rsidR="00DB7AFC">
        <w:rPr>
          <w:rFonts w:ascii="Traditional Arabic" w:hAnsi="Traditional Arabic" w:hint="cs"/>
          <w:rtl/>
        </w:rPr>
        <w:t>..</w:t>
      </w:r>
      <w:r w:rsidR="002E66C6">
        <w:rPr>
          <w:rFonts w:ascii="Traditional Arabic" w:hAnsi="Traditional Arabic" w:hint="cs"/>
          <w:rtl/>
        </w:rPr>
        <w:t>.......... 328</w:t>
      </w:r>
    </w:p>
    <w:p w:rsidR="002E66C6" w:rsidRDefault="002E66C6" w:rsidP="0035272A">
      <w:pPr>
        <w:ind w:firstLine="0"/>
        <w:rPr>
          <w:rFonts w:ascii="Traditional Arabic" w:hAnsi="Traditional Arabic"/>
          <w:rtl/>
        </w:rPr>
      </w:pPr>
      <w:r>
        <w:rPr>
          <w:rFonts w:ascii="Traditional Arabic" w:hAnsi="Traditional Arabic" w:hint="cs"/>
          <w:rtl/>
        </w:rPr>
        <w:t>فهرس الآيات القرآنية ........................................</w:t>
      </w:r>
      <w:r w:rsidR="00F2328C">
        <w:rPr>
          <w:rFonts w:ascii="Traditional Arabic" w:hAnsi="Traditional Arabic" w:hint="cs"/>
          <w:rtl/>
        </w:rPr>
        <w:t>.</w:t>
      </w:r>
      <w:r>
        <w:rPr>
          <w:rFonts w:ascii="Traditional Arabic" w:hAnsi="Traditional Arabic" w:hint="cs"/>
          <w:rtl/>
        </w:rPr>
        <w:t>.......</w:t>
      </w:r>
      <w:r w:rsidR="00DB7AFC">
        <w:rPr>
          <w:rFonts w:ascii="Traditional Arabic" w:hAnsi="Traditional Arabic" w:hint="cs"/>
          <w:rtl/>
        </w:rPr>
        <w:t>.</w:t>
      </w:r>
      <w:r>
        <w:rPr>
          <w:rFonts w:ascii="Traditional Arabic" w:hAnsi="Traditional Arabic" w:hint="cs"/>
          <w:rtl/>
        </w:rPr>
        <w:t>.......... 229</w:t>
      </w:r>
    </w:p>
    <w:p w:rsidR="002E66C6" w:rsidRDefault="002E66C6" w:rsidP="0035272A">
      <w:pPr>
        <w:ind w:firstLine="0"/>
        <w:rPr>
          <w:rFonts w:ascii="Traditional Arabic" w:hAnsi="Traditional Arabic"/>
          <w:rtl/>
        </w:rPr>
      </w:pPr>
      <w:r>
        <w:rPr>
          <w:rFonts w:ascii="Traditional Arabic" w:hAnsi="Traditional Arabic" w:hint="cs"/>
          <w:rtl/>
        </w:rPr>
        <w:t>فهرس الأحاديث النبوية ....................................</w:t>
      </w:r>
      <w:r w:rsidR="00F2328C">
        <w:rPr>
          <w:rFonts w:ascii="Traditional Arabic" w:hAnsi="Traditional Arabic" w:hint="cs"/>
          <w:rtl/>
        </w:rPr>
        <w:t>.</w:t>
      </w:r>
      <w:r>
        <w:rPr>
          <w:rFonts w:ascii="Traditional Arabic" w:hAnsi="Traditional Arabic" w:hint="cs"/>
          <w:rtl/>
        </w:rPr>
        <w:t>.......</w:t>
      </w:r>
      <w:r w:rsidR="00DB7AFC">
        <w:rPr>
          <w:rFonts w:ascii="Traditional Arabic" w:hAnsi="Traditional Arabic" w:hint="cs"/>
          <w:rtl/>
        </w:rPr>
        <w:t>..</w:t>
      </w:r>
      <w:r>
        <w:rPr>
          <w:rFonts w:ascii="Traditional Arabic" w:hAnsi="Traditional Arabic" w:hint="cs"/>
          <w:rtl/>
        </w:rPr>
        <w:t>........... 333</w:t>
      </w:r>
    </w:p>
    <w:p w:rsidR="00A860F6" w:rsidRDefault="002E66C6" w:rsidP="003F128F">
      <w:pPr>
        <w:ind w:firstLine="0"/>
        <w:rPr>
          <w:rFonts w:ascii="Traditional Arabic" w:hAnsi="Traditional Arabic"/>
          <w:rtl/>
        </w:rPr>
      </w:pPr>
      <w:r>
        <w:rPr>
          <w:rFonts w:ascii="Traditional Arabic" w:hAnsi="Traditional Arabic" w:hint="cs"/>
          <w:rtl/>
        </w:rPr>
        <w:t>فهرس</w:t>
      </w:r>
      <w:r w:rsidR="00A860F6">
        <w:rPr>
          <w:rFonts w:ascii="Traditional Arabic" w:hAnsi="Traditional Arabic" w:hint="cs"/>
          <w:rtl/>
        </w:rPr>
        <w:t xml:space="preserve"> </w:t>
      </w:r>
      <w:r>
        <w:rPr>
          <w:rFonts w:ascii="Traditional Arabic" w:hAnsi="Traditional Arabic" w:hint="cs"/>
          <w:rtl/>
        </w:rPr>
        <w:t>الآثار ......................................................</w:t>
      </w:r>
      <w:r w:rsidR="00DB7AFC">
        <w:rPr>
          <w:rFonts w:ascii="Traditional Arabic" w:hAnsi="Traditional Arabic" w:hint="cs"/>
          <w:rtl/>
        </w:rPr>
        <w:t>...</w:t>
      </w:r>
      <w:r>
        <w:rPr>
          <w:rFonts w:ascii="Traditional Arabic" w:hAnsi="Traditional Arabic" w:hint="cs"/>
          <w:rtl/>
        </w:rPr>
        <w:t>.......... 33</w:t>
      </w:r>
      <w:r w:rsidR="003F128F">
        <w:rPr>
          <w:rFonts w:ascii="Traditional Arabic" w:hAnsi="Traditional Arabic" w:hint="cs"/>
          <w:rtl/>
        </w:rPr>
        <w:t>5</w:t>
      </w:r>
    </w:p>
    <w:p w:rsidR="002E66C6" w:rsidRDefault="002E66C6" w:rsidP="003F128F">
      <w:pPr>
        <w:ind w:firstLine="0"/>
        <w:rPr>
          <w:rFonts w:ascii="Traditional Arabic" w:hAnsi="Traditional Arabic"/>
          <w:rtl/>
        </w:rPr>
      </w:pPr>
      <w:r>
        <w:rPr>
          <w:rFonts w:ascii="Traditional Arabic" w:hAnsi="Traditional Arabic" w:hint="cs"/>
          <w:rtl/>
        </w:rPr>
        <w:t>فهرس الأشعار .....................................................</w:t>
      </w:r>
      <w:r w:rsidR="00DB7AFC">
        <w:rPr>
          <w:rFonts w:ascii="Traditional Arabic" w:hAnsi="Traditional Arabic" w:hint="cs"/>
          <w:rtl/>
        </w:rPr>
        <w:t>...</w:t>
      </w:r>
      <w:r>
        <w:rPr>
          <w:rFonts w:ascii="Traditional Arabic" w:hAnsi="Traditional Arabic" w:hint="cs"/>
          <w:rtl/>
        </w:rPr>
        <w:t>......... 34</w:t>
      </w:r>
      <w:r w:rsidR="003F128F">
        <w:rPr>
          <w:rFonts w:ascii="Traditional Arabic" w:hAnsi="Traditional Arabic" w:hint="cs"/>
          <w:rtl/>
        </w:rPr>
        <w:t>1</w:t>
      </w:r>
    </w:p>
    <w:p w:rsidR="002E66C6" w:rsidRDefault="002E66C6" w:rsidP="003F128F">
      <w:pPr>
        <w:ind w:firstLine="0"/>
        <w:rPr>
          <w:rFonts w:ascii="Traditional Arabic" w:hAnsi="Traditional Arabic"/>
          <w:rtl/>
        </w:rPr>
      </w:pPr>
      <w:r>
        <w:rPr>
          <w:rFonts w:ascii="Traditional Arabic" w:hAnsi="Traditional Arabic" w:hint="cs"/>
          <w:rtl/>
        </w:rPr>
        <w:t>فهرس الأعلام .......................................................</w:t>
      </w:r>
      <w:r w:rsidR="00DB7AFC">
        <w:rPr>
          <w:rFonts w:ascii="Traditional Arabic" w:hAnsi="Traditional Arabic" w:hint="cs"/>
          <w:rtl/>
        </w:rPr>
        <w:t>..</w:t>
      </w:r>
      <w:r>
        <w:rPr>
          <w:rFonts w:ascii="Traditional Arabic" w:hAnsi="Traditional Arabic" w:hint="cs"/>
          <w:rtl/>
        </w:rPr>
        <w:t>........ 34</w:t>
      </w:r>
      <w:r w:rsidR="003F128F">
        <w:rPr>
          <w:rFonts w:ascii="Traditional Arabic" w:hAnsi="Traditional Arabic" w:hint="cs"/>
          <w:rtl/>
        </w:rPr>
        <w:t>3</w:t>
      </w:r>
    </w:p>
    <w:p w:rsidR="002E66C6" w:rsidRDefault="002E66C6" w:rsidP="003F128F">
      <w:pPr>
        <w:ind w:firstLine="0"/>
        <w:rPr>
          <w:rFonts w:ascii="Traditional Arabic" w:hAnsi="Traditional Arabic"/>
          <w:rtl/>
        </w:rPr>
      </w:pPr>
      <w:r>
        <w:rPr>
          <w:rFonts w:ascii="Traditional Arabic" w:hAnsi="Traditional Arabic" w:hint="cs"/>
          <w:rtl/>
        </w:rPr>
        <w:t>فهرس الأماكن والبلدان ................................................</w:t>
      </w:r>
      <w:r w:rsidR="00DB7AFC">
        <w:rPr>
          <w:rFonts w:ascii="Traditional Arabic" w:hAnsi="Traditional Arabic" w:hint="cs"/>
          <w:rtl/>
        </w:rPr>
        <w:t>..</w:t>
      </w:r>
      <w:r>
        <w:rPr>
          <w:rFonts w:ascii="Traditional Arabic" w:hAnsi="Traditional Arabic" w:hint="cs"/>
          <w:rtl/>
        </w:rPr>
        <w:t>....... 35</w:t>
      </w:r>
      <w:r w:rsidR="003F128F">
        <w:rPr>
          <w:rFonts w:ascii="Traditional Arabic" w:hAnsi="Traditional Arabic" w:hint="cs"/>
          <w:rtl/>
        </w:rPr>
        <w:t>2</w:t>
      </w:r>
    </w:p>
    <w:p w:rsidR="002E66C6" w:rsidRDefault="002E66C6" w:rsidP="003F128F">
      <w:pPr>
        <w:ind w:firstLine="0"/>
        <w:rPr>
          <w:rFonts w:ascii="Traditional Arabic" w:hAnsi="Traditional Arabic"/>
          <w:rtl/>
        </w:rPr>
      </w:pPr>
      <w:r>
        <w:rPr>
          <w:rFonts w:ascii="Traditional Arabic" w:hAnsi="Traditional Arabic" w:hint="cs"/>
          <w:rtl/>
        </w:rPr>
        <w:t>فهرس المصادر والمراجع .................................................</w:t>
      </w:r>
      <w:r w:rsidR="00DB7AFC">
        <w:rPr>
          <w:rFonts w:ascii="Traditional Arabic" w:hAnsi="Traditional Arabic" w:hint="cs"/>
          <w:rtl/>
        </w:rPr>
        <w:t>..</w:t>
      </w:r>
      <w:r>
        <w:rPr>
          <w:rFonts w:ascii="Traditional Arabic" w:hAnsi="Traditional Arabic" w:hint="cs"/>
          <w:rtl/>
        </w:rPr>
        <w:t xml:space="preserve">...... </w:t>
      </w:r>
      <w:r w:rsidR="00F2328C">
        <w:rPr>
          <w:rFonts w:ascii="Traditional Arabic" w:hAnsi="Traditional Arabic" w:hint="cs"/>
          <w:rtl/>
        </w:rPr>
        <w:t>35</w:t>
      </w:r>
      <w:r w:rsidR="003F128F">
        <w:rPr>
          <w:rFonts w:ascii="Traditional Arabic" w:hAnsi="Traditional Arabic" w:hint="cs"/>
          <w:rtl/>
        </w:rPr>
        <w:t>3</w:t>
      </w:r>
    </w:p>
    <w:p w:rsidR="002E66C6" w:rsidRDefault="002E66C6" w:rsidP="003F128F">
      <w:pPr>
        <w:ind w:firstLine="0"/>
        <w:rPr>
          <w:rFonts w:ascii="Traditional Arabic" w:hAnsi="Traditional Arabic"/>
          <w:rtl/>
        </w:rPr>
      </w:pPr>
      <w:r>
        <w:rPr>
          <w:rFonts w:ascii="Traditional Arabic" w:hAnsi="Traditional Arabic" w:hint="cs"/>
          <w:rtl/>
        </w:rPr>
        <w:t>فهرس الموضوعات ...................................................</w:t>
      </w:r>
      <w:r w:rsidR="00DB7AFC">
        <w:rPr>
          <w:rFonts w:ascii="Traditional Arabic" w:hAnsi="Traditional Arabic" w:hint="cs"/>
          <w:rtl/>
        </w:rPr>
        <w:t>...</w:t>
      </w:r>
      <w:r>
        <w:rPr>
          <w:rFonts w:ascii="Traditional Arabic" w:hAnsi="Traditional Arabic" w:hint="cs"/>
          <w:rtl/>
        </w:rPr>
        <w:t xml:space="preserve">........ </w:t>
      </w:r>
      <w:r w:rsidR="00F2328C">
        <w:rPr>
          <w:rFonts w:ascii="Traditional Arabic" w:hAnsi="Traditional Arabic" w:hint="cs"/>
          <w:rtl/>
        </w:rPr>
        <w:t>3</w:t>
      </w:r>
      <w:r w:rsidR="003F128F">
        <w:rPr>
          <w:rFonts w:ascii="Traditional Arabic" w:hAnsi="Traditional Arabic" w:hint="cs"/>
          <w:rtl/>
        </w:rPr>
        <w:t>89</w:t>
      </w:r>
      <w:bookmarkStart w:id="2" w:name="_GoBack"/>
      <w:bookmarkEnd w:id="2"/>
    </w:p>
    <w:p w:rsidR="00A860F6" w:rsidRDefault="00A860F6" w:rsidP="00A860F6">
      <w:pPr>
        <w:ind w:firstLine="0"/>
        <w:rPr>
          <w:rFonts w:ascii="Traditional Arabic" w:hAnsi="Traditional Arabic"/>
          <w:rtl/>
        </w:rPr>
      </w:pPr>
    </w:p>
    <w:p w:rsidR="00035555" w:rsidRDefault="00035555" w:rsidP="00035555">
      <w:pPr>
        <w:ind w:firstLine="0"/>
        <w:rPr>
          <w:rFonts w:ascii="Traditional Arabic" w:hAnsi="Traditional Arabic"/>
          <w:rtl/>
        </w:rPr>
      </w:pPr>
    </w:p>
    <w:p w:rsidR="00AD49A5" w:rsidRPr="00AD49A5" w:rsidRDefault="00AD49A5" w:rsidP="006B23DD">
      <w:pPr>
        <w:ind w:firstLine="0"/>
        <w:rPr>
          <w:rtl/>
        </w:rPr>
      </w:pPr>
    </w:p>
    <w:p w:rsidR="006A18DC" w:rsidRPr="001E3AB5" w:rsidRDefault="006A18DC" w:rsidP="006B23DD">
      <w:pPr>
        <w:ind w:firstLine="0"/>
        <w:rPr>
          <w:rFonts w:ascii="Traditional Arabic" w:hAnsi="Traditional Arabic"/>
          <w:rtl/>
        </w:rPr>
      </w:pPr>
    </w:p>
    <w:sectPr w:rsidR="006A18DC" w:rsidRPr="001E3AB5" w:rsidSect="009B7238">
      <w:headerReference w:type="default" r:id="rId30"/>
      <w:footnotePr>
        <w:numRestart w:val="eachPage"/>
      </w:footnotePr>
      <w:pgSz w:w="11906" w:h="16838"/>
      <w:pgMar w:top="1418" w:right="1418" w:bottom="1418" w:left="1418" w:header="709" w:footer="709" w:gutter="567"/>
      <w:cols w:space="708"/>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639A8" w:rsidRDefault="00A639A8" w:rsidP="00AB6719">
      <w:r>
        <w:separator/>
      </w:r>
    </w:p>
  </w:endnote>
  <w:endnote w:type="continuationSeparator" w:id="0">
    <w:p w:rsidR="00A639A8" w:rsidRDefault="00A639A8" w:rsidP="00AB671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raditional Arabic">
    <w:panose1 w:val="02020603050405020304"/>
    <w:charset w:val="00"/>
    <w:family w:val="roman"/>
    <w:pitch w:val="variable"/>
    <w:sig w:usb0="00002003" w:usb1="80000000" w:usb2="00000008" w:usb3="00000000" w:csb0="00000041"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Monotype Koufi">
    <w:panose1 w:val="00000000000000000000"/>
    <w:charset w:val="B2"/>
    <w:family w:val="auto"/>
    <w:pitch w:val="variable"/>
    <w:sig w:usb0="02942001" w:usb1="03D40006" w:usb2="02620000" w:usb3="00000000" w:csb0="00000040" w:csb1="00000000"/>
  </w:font>
  <w:font w:name="Andalus">
    <w:panose1 w:val="02020603050405020304"/>
    <w:charset w:val="00"/>
    <w:family w:val="roman"/>
    <w:pitch w:val="variable"/>
    <w:sig w:usb0="00002003" w:usb1="80000000" w:usb2="00000008" w:usb3="00000000" w:csb0="00000041" w:csb1="00000000"/>
  </w:font>
  <w:font w:name="Simplified Arabic">
    <w:panose1 w:val="02020603050405020304"/>
    <w:charset w:val="00"/>
    <w:family w:val="roman"/>
    <w:pitch w:val="variable"/>
    <w:sig w:usb0="00002003" w:usb1="00000000" w:usb2="00000000" w:usb3="00000000" w:csb0="00000041" w:csb1="00000000"/>
  </w:font>
  <w:font w:name="Simplified Arabic Fixed">
    <w:panose1 w:val="02070309020205020404"/>
    <w:charset w:val="00"/>
    <w:family w:val="modern"/>
    <w:pitch w:val="fixed"/>
    <w:sig w:usb0="00002003" w:usb1="00000000" w:usb2="00000000" w:usb3="00000000" w:csb0="00000041" w:csb1="00000000"/>
  </w:font>
  <w:font w:name="DecoType Naskh">
    <w:panose1 w:val="02010400000000000000"/>
    <w:charset w:val="B2"/>
    <w:family w:val="auto"/>
    <w:pitch w:val="variable"/>
    <w:sig w:usb0="00002001" w:usb1="80000000" w:usb2="00000008" w:usb3="00000000" w:csb0="00000040" w:csb1="00000000"/>
  </w:font>
  <w:font w:name="Consolas">
    <w:panose1 w:val="020B0609020204030204"/>
    <w:charset w:val="00"/>
    <w:family w:val="modern"/>
    <w:pitch w:val="fixed"/>
    <w:sig w:usb0="E10002FF" w:usb1="4000FCFF" w:usb2="00000009" w:usb3="00000000" w:csb0="0000019F" w:csb1="00000000"/>
  </w:font>
  <w:font w:name="Librarian">
    <w:altName w:val="Times New Roman"/>
    <w:panose1 w:val="00000000000000000000"/>
    <w:charset w:val="00"/>
    <w:family w:val="auto"/>
    <w:notTrueType/>
    <w:pitch w:val="variable"/>
    <w:sig w:usb0="00002003" w:usb1="00000000" w:usb2="00000000" w:usb3="00000000" w:csb0="00000041" w:csb1="00000000"/>
  </w:font>
  <w:font w:name="MCS ALMAALIM HIGH">
    <w:charset w:val="B2"/>
    <w:family w:val="auto"/>
    <w:pitch w:val="variable"/>
    <w:sig w:usb0="00002001" w:usb1="00000000" w:usb2="00000000" w:usb3="00000000" w:csb0="00000040" w:csb1="00000000"/>
  </w:font>
  <w:font w:name="MCS Taybah S_U normal.">
    <w:charset w:val="B2"/>
    <w:family w:val="auto"/>
    <w:pitch w:val="variable"/>
    <w:sig w:usb0="00002001" w:usb1="00000000" w:usb2="00000000" w:usb3="00000000" w:csb0="00000040" w:csb1="00000000"/>
  </w:font>
  <w:font w:name="mylotus">
    <w:altName w:val="Times New Roman"/>
    <w:charset w:val="00"/>
    <w:family w:val="auto"/>
    <w:pitch w:val="variable"/>
    <w:sig w:usb0="00000000" w:usb1="80000000" w:usb2="00000008" w:usb3="00000000" w:csb0="00000043" w:csb1="00000000"/>
  </w:font>
  <w:font w:name="Cambria">
    <w:panose1 w:val="02040503050406030204"/>
    <w:charset w:val="00"/>
    <w:family w:val="roman"/>
    <w:pitch w:val="variable"/>
    <w:sig w:usb0="E00002FF" w:usb1="400004FF" w:usb2="00000000" w:usb3="00000000" w:csb0="0000019F" w:csb1="00000000"/>
  </w:font>
  <w:font w:name="QCF_BSML">
    <w:panose1 w:val="02000400000000000000"/>
    <w:charset w:val="00"/>
    <w:family w:val="auto"/>
    <w:pitch w:val="variable"/>
    <w:sig w:usb0="80002003" w:usb1="90000000" w:usb2="00000008" w:usb3="00000000" w:csb0="80000041" w:csb1="00000000"/>
  </w:font>
  <w:font w:name="PT Bold Heading">
    <w:panose1 w:val="02010400000000000000"/>
    <w:charset w:val="B2"/>
    <w:family w:val="auto"/>
    <w:pitch w:val="variable"/>
    <w:sig w:usb0="00002001" w:usb1="80000000" w:usb2="00000008" w:usb3="00000000" w:csb0="00000040" w:csb1="00000000"/>
  </w:font>
  <w:font w:name="AL-Mateen">
    <w:charset w:val="B2"/>
    <w:family w:val="auto"/>
    <w:pitch w:val="variable"/>
    <w:sig w:usb0="00002001" w:usb1="00000000" w:usb2="00000000" w:usb3="00000000" w:csb0="00000040" w:csb1="00000000"/>
  </w:font>
  <w:font w:name="Lotus Linotype">
    <w:altName w:val="Times New Roman"/>
    <w:charset w:val="00"/>
    <w:family w:val="auto"/>
    <w:pitch w:val="variable"/>
    <w:sig w:usb0="00000000" w:usb1="00000000" w:usb2="00000000" w:usb3="00000000" w:csb0="00000043" w:csb1="00000000"/>
  </w:font>
  <w:font w:name="AF_Diwani">
    <w:charset w:val="B2"/>
    <w:family w:val="auto"/>
    <w:pitch w:val="variable"/>
    <w:sig w:usb0="00002001" w:usb1="00000000" w:usb2="00000000" w:usb3="00000000" w:csb0="00000040" w:csb1="00000000"/>
  </w:font>
  <w:font w:name="AGA Arabesque">
    <w:panose1 w:val="05010101010101010101"/>
    <w:charset w:val="02"/>
    <w:family w:val="auto"/>
    <w:pitch w:val="variable"/>
    <w:sig w:usb0="00000000" w:usb1="10000000" w:usb2="00000000" w:usb3="00000000" w:csb0="80000000" w:csb1="00000000"/>
  </w:font>
  <w:font w:name="QCF_P063">
    <w:panose1 w:val="02000400000000000000"/>
    <w:charset w:val="00"/>
    <w:family w:val="auto"/>
    <w:pitch w:val="variable"/>
    <w:sig w:usb0="80002003" w:usb1="90000000" w:usb2="00000008" w:usb3="00000000" w:csb0="80000041" w:csb1="00000000"/>
  </w:font>
  <w:font w:name="QCF_P077">
    <w:panose1 w:val="02000400000000000000"/>
    <w:charset w:val="00"/>
    <w:family w:val="auto"/>
    <w:pitch w:val="variable"/>
    <w:sig w:usb0="80002003" w:usb1="90000000" w:usb2="00000008" w:usb3="00000000" w:csb0="80000041" w:csb1="00000000"/>
  </w:font>
  <w:font w:name="QCF_P427">
    <w:panose1 w:val="02000400000000000000"/>
    <w:charset w:val="00"/>
    <w:family w:val="auto"/>
    <w:pitch w:val="variable"/>
    <w:sig w:usb0="80002003" w:usb1="90000000" w:usb2="00000008" w:usb3="00000000" w:csb0="80000041" w:csb1="00000000"/>
  </w:font>
  <w:font w:name="QCF_P110">
    <w:panose1 w:val="02000400000000000000"/>
    <w:charset w:val="00"/>
    <w:family w:val="auto"/>
    <w:pitch w:val="variable"/>
    <w:sig w:usb0="80002003" w:usb1="90000000" w:usb2="00000008" w:usb3="00000000" w:csb0="80000041" w:csb1="00000000"/>
  </w:font>
  <w:font w:name="QCF_P221">
    <w:panose1 w:val="02000400000000000000"/>
    <w:charset w:val="00"/>
    <w:family w:val="auto"/>
    <w:pitch w:val="variable"/>
    <w:sig w:usb0="80002003" w:usb1="90000000" w:usb2="00000008" w:usb3="00000000" w:csb0="80000041" w:csb1="00000000"/>
  </w:font>
  <w:font w:name="AAAGoldenLotus Stg1_Ver1">
    <w:altName w:val="Times New Roman"/>
    <w:charset w:val="00"/>
    <w:family w:val="auto"/>
    <w:pitch w:val="variable"/>
    <w:sig w:usb0="00000000" w:usb1="80000000" w:usb2="00000008" w:usb3="00000000" w:csb0="00000043" w:csb1="00000000"/>
  </w:font>
  <w:font w:name="QCF_P256">
    <w:panose1 w:val="02000400000000000000"/>
    <w:charset w:val="00"/>
    <w:family w:val="auto"/>
    <w:pitch w:val="variable"/>
    <w:sig w:usb0="80002003" w:usb1="90000000" w:usb2="00000008" w:usb3="00000000" w:csb0="80000041" w:csb1="00000000"/>
  </w:font>
  <w:font w:name="Sultan bold">
    <w:charset w:val="B2"/>
    <w:family w:val="auto"/>
    <w:pitch w:val="variable"/>
    <w:sig w:usb0="00002001" w:usb1="00000000" w:usb2="00000000" w:usb3="00000000" w:csb0="00000040" w:csb1="00000000"/>
  </w:font>
  <w:font w:name="QCF_P288">
    <w:panose1 w:val="02000400000000000000"/>
    <w:charset w:val="00"/>
    <w:family w:val="auto"/>
    <w:pitch w:val="variable"/>
    <w:sig w:usb0="80002003" w:usb1="90000000" w:usb2="00000008" w:usb3="00000000" w:csb0="80000041" w:csb1="00000000"/>
  </w:font>
  <w:font w:name="QCF_P498">
    <w:panose1 w:val="02000400000000000000"/>
    <w:charset w:val="00"/>
    <w:family w:val="auto"/>
    <w:pitch w:val="variable"/>
    <w:sig w:usb0="80002003" w:usb1="90000000" w:usb2="00000008" w:usb3="00000000" w:csb0="80000041" w:csb1="00000000"/>
  </w:font>
  <w:font w:name="QCF_P300">
    <w:panose1 w:val="02000400000000000000"/>
    <w:charset w:val="00"/>
    <w:family w:val="auto"/>
    <w:pitch w:val="variable"/>
    <w:sig w:usb0="80002003" w:usb1="90000000" w:usb2="00000008" w:usb3="00000000" w:csb0="80000041" w:csb1="00000000"/>
  </w:font>
  <w:font w:name="QCF_P286">
    <w:panose1 w:val="02000400000000000000"/>
    <w:charset w:val="00"/>
    <w:family w:val="auto"/>
    <w:pitch w:val="variable"/>
    <w:sig w:usb0="80002003" w:usb1="90000000" w:usb2="00000008" w:usb3="00000000" w:csb0="80000041" w:csb1="00000000"/>
  </w:font>
  <w:font w:name="QCF_P415">
    <w:panose1 w:val="02000400000000000000"/>
    <w:charset w:val="00"/>
    <w:family w:val="auto"/>
    <w:pitch w:val="variable"/>
    <w:sig w:usb0="80002003" w:usb1="90000000" w:usb2="00000008" w:usb3="00000000" w:csb0="80000041" w:csb1="00000000"/>
  </w:font>
  <w:font w:name="QCF_P299">
    <w:panose1 w:val="02000400000000000000"/>
    <w:charset w:val="00"/>
    <w:family w:val="auto"/>
    <w:pitch w:val="variable"/>
    <w:sig w:usb0="80002003" w:usb1="90000000" w:usb2="00000008" w:usb3="00000000" w:csb0="80000041" w:csb1="00000000"/>
  </w:font>
  <w:font w:name="QCF_P302">
    <w:panose1 w:val="02000400000000000000"/>
    <w:charset w:val="00"/>
    <w:family w:val="auto"/>
    <w:pitch w:val="variable"/>
    <w:sig w:usb0="80002003" w:usb1="90000000" w:usb2="00000008" w:usb3="00000000" w:csb0="80000041" w:csb1="00000000"/>
  </w:font>
  <w:font w:name="QCF_P303">
    <w:panose1 w:val="02000400000000000000"/>
    <w:charset w:val="00"/>
    <w:family w:val="auto"/>
    <w:pitch w:val="variable"/>
    <w:sig w:usb0="80002003" w:usb1="90000000" w:usb2="00000008" w:usb3="00000000" w:csb0="80000041" w:csb1="00000000"/>
  </w:font>
  <w:font w:name="QCF_P304">
    <w:panose1 w:val="02000400000000000000"/>
    <w:charset w:val="00"/>
    <w:family w:val="auto"/>
    <w:pitch w:val="variable"/>
    <w:sig w:usb0="80002003" w:usb1="90000000" w:usb2="00000008" w:usb3="00000000" w:csb0="80000041" w:csb1="00000000"/>
  </w:font>
  <w:font w:name="QCF_P305">
    <w:panose1 w:val="02000400000000000000"/>
    <w:charset w:val="00"/>
    <w:family w:val="auto"/>
    <w:pitch w:val="variable"/>
    <w:sig w:usb0="80002003" w:usb1="90000000" w:usb2="00000008" w:usb3="00000000" w:csb0="80000041" w:csb1="00000000"/>
  </w:font>
  <w:font w:name="QCF_P301">
    <w:panose1 w:val="02000400000000000000"/>
    <w:charset w:val="00"/>
    <w:family w:val="auto"/>
    <w:pitch w:val="variable"/>
    <w:sig w:usb0="80002003" w:usb1="90000000" w:usb2="00000008" w:usb3="00000000" w:csb0="80000041" w:csb1="00000000"/>
  </w:font>
  <w:font w:name="QCF_P290">
    <w:panose1 w:val="02000400000000000000"/>
    <w:charset w:val="00"/>
    <w:family w:val="auto"/>
    <w:pitch w:val="variable"/>
    <w:sig w:usb0="80002003" w:usb1="90000000" w:usb2="00000008" w:usb3="00000000" w:csb0="80000041" w:csb1="00000000"/>
  </w:font>
  <w:font w:name="QCF_P289">
    <w:panose1 w:val="02000400000000000000"/>
    <w:charset w:val="00"/>
    <w:family w:val="auto"/>
    <w:pitch w:val="variable"/>
    <w:sig w:usb0="80002003" w:usb1="90000000" w:usb2="00000008" w:usb3="00000000" w:csb0="80000041" w:csb1="00000000"/>
  </w:font>
  <w:font w:name="QCF_P045">
    <w:panose1 w:val="02000400000000000000"/>
    <w:charset w:val="00"/>
    <w:family w:val="auto"/>
    <w:pitch w:val="variable"/>
    <w:sig w:usb0="80002003" w:usb1="90000000" w:usb2="00000008" w:usb3="00000000" w:csb0="80000041" w:csb1="00000000"/>
  </w:font>
  <w:font w:name="QCF_P253">
    <w:panose1 w:val="02000400000000000000"/>
    <w:charset w:val="00"/>
    <w:family w:val="auto"/>
    <w:pitch w:val="variable"/>
    <w:sig w:usb0="80002003" w:usb1="90000000" w:usb2="00000008" w:usb3="00000000" w:csb0="80000041" w:csb1="00000000"/>
  </w:font>
  <w:font w:name="QCF_P293">
    <w:panose1 w:val="02000400000000000000"/>
    <w:charset w:val="00"/>
    <w:family w:val="auto"/>
    <w:pitch w:val="variable"/>
    <w:sig w:usb0="80002003" w:usb1="90000000" w:usb2="00000008" w:usb3="00000000" w:csb0="80000041" w:csb1="00000000"/>
  </w:font>
  <w:font w:name="QCF_P296">
    <w:panose1 w:val="02000400000000000000"/>
    <w:charset w:val="00"/>
    <w:family w:val="auto"/>
    <w:pitch w:val="variable"/>
    <w:sig w:usb0="80002003" w:usb1="90000000" w:usb2="00000008" w:usb3="00000000" w:csb0="80000041" w:csb1="00000000"/>
  </w:font>
  <w:font w:name="QCF_P291">
    <w:panose1 w:val="02000400000000000000"/>
    <w:charset w:val="00"/>
    <w:family w:val="auto"/>
    <w:pitch w:val="variable"/>
    <w:sig w:usb0="80002003" w:usb1="90000000" w:usb2="00000008" w:usb3="00000000" w:csb0="80000041" w:csb1="00000000"/>
  </w:font>
  <w:font w:name="QCF_P297">
    <w:panose1 w:val="02000400000000000000"/>
    <w:charset w:val="00"/>
    <w:family w:val="auto"/>
    <w:pitch w:val="variable"/>
    <w:sig w:usb0="80002003" w:usb1="90000000" w:usb2="00000008" w:usb3="00000000" w:csb0="80000041" w:csb1="00000000"/>
  </w:font>
  <w:font w:name="QCF_P292">
    <w:panose1 w:val="02000400000000000000"/>
    <w:charset w:val="00"/>
    <w:family w:val="auto"/>
    <w:pitch w:val="variable"/>
    <w:sig w:usb0="80002003" w:usb1="90000000" w:usb2="00000008" w:usb3="00000000" w:csb0="80000041" w:csb1="00000000"/>
  </w:font>
  <w:font w:name="QCF_P378">
    <w:panose1 w:val="02000400000000000000"/>
    <w:charset w:val="00"/>
    <w:family w:val="auto"/>
    <w:pitch w:val="variable"/>
    <w:sig w:usb0="80002003" w:usb1="90000000" w:usb2="00000008" w:usb3="00000000" w:csb0="80000041" w:csb1="00000000"/>
  </w:font>
  <w:font w:name="QCF_P294">
    <w:panose1 w:val="02000400000000000000"/>
    <w:charset w:val="00"/>
    <w:family w:val="auto"/>
    <w:pitch w:val="variable"/>
    <w:sig w:usb0="80002003" w:usb1="90000000" w:usb2="00000008" w:usb3="00000000" w:csb0="80000041" w:csb1="00000000"/>
  </w:font>
  <w:font w:name="QCF_P176">
    <w:panose1 w:val="02000400000000000000"/>
    <w:charset w:val="00"/>
    <w:family w:val="auto"/>
    <w:pitch w:val="variable"/>
    <w:sig w:usb0="80002003" w:usb1="90000000" w:usb2="00000008" w:usb3="00000000" w:csb0="80000041" w:csb1="00000000"/>
  </w:font>
  <w:font w:name="QCF_P267">
    <w:panose1 w:val="02000400000000000000"/>
    <w:charset w:val="00"/>
    <w:family w:val="auto"/>
    <w:pitch w:val="variable"/>
    <w:sig w:usb0="80002003" w:usb1="90000000" w:usb2="00000008" w:usb3="00000000" w:csb0="80000041" w:csb1="00000000"/>
  </w:font>
  <w:font w:name="Akhbar MT">
    <w:panose1 w:val="00000000000000000000"/>
    <w:charset w:val="B2"/>
    <w:family w:val="auto"/>
    <w:pitch w:val="variable"/>
    <w:sig w:usb0="00002001" w:usb1="00000000" w:usb2="00000000" w:usb3="00000000" w:csb0="00000040" w:csb1="00000000"/>
  </w:font>
  <w:font w:name="QCF_P307">
    <w:panose1 w:val="02000400000000000000"/>
    <w:charset w:val="00"/>
    <w:family w:val="auto"/>
    <w:pitch w:val="variable"/>
    <w:sig w:usb0="80002003" w:usb1="90000000" w:usb2="00000008" w:usb3="00000000" w:csb0="80000041" w:csb1="00000000"/>
  </w:font>
  <w:font w:name="QCF_P097">
    <w:panose1 w:val="02000400000000000000"/>
    <w:charset w:val="00"/>
    <w:family w:val="auto"/>
    <w:pitch w:val="variable"/>
    <w:sig w:usb0="80002003" w:usb1="90000000" w:usb2="00000008" w:usb3="00000000" w:csb0="80000041" w:csb1="00000000"/>
  </w:font>
  <w:font w:name="QCF_P481">
    <w:panose1 w:val="02000400000000000000"/>
    <w:charset w:val="00"/>
    <w:family w:val="auto"/>
    <w:pitch w:val="variable"/>
    <w:sig w:usb0="80002003" w:usb1="90000000" w:usb2="00000008" w:usb3="00000000" w:csb0="80000041" w:csb1="00000000"/>
  </w:font>
  <w:font w:name="QCF_P064">
    <w:panose1 w:val="02000400000000000000"/>
    <w:charset w:val="00"/>
    <w:family w:val="auto"/>
    <w:pitch w:val="variable"/>
    <w:sig w:usb0="80002003" w:usb1="90000000" w:usb2="00000008" w:usb3="00000000" w:csb0="80000041" w:csb1="00000000"/>
  </w:font>
  <w:font w:name="QCF_P376">
    <w:panose1 w:val="02000400000000000000"/>
    <w:charset w:val="00"/>
    <w:family w:val="auto"/>
    <w:pitch w:val="variable"/>
    <w:sig w:usb0="80002003" w:usb1="90000000" w:usb2="00000008" w:usb3="00000000" w:csb0="80000041" w:csb1="00000000"/>
  </w:font>
  <w:font w:name="QCF_P020">
    <w:panose1 w:val="02000400000000000000"/>
    <w:charset w:val="00"/>
    <w:family w:val="auto"/>
    <w:pitch w:val="variable"/>
    <w:sig w:usb0="80002003" w:usb1="90000000" w:usb2="00000008" w:usb3="00000000" w:csb0="80000041" w:csb1="00000000"/>
  </w:font>
  <w:font w:name="QCF_P207">
    <w:panose1 w:val="02000400000000000000"/>
    <w:charset w:val="00"/>
    <w:family w:val="auto"/>
    <w:pitch w:val="variable"/>
    <w:sig w:usb0="80002003" w:usb1="90000000" w:usb2="00000008" w:usb3="00000000" w:csb0="80000041" w:csb1="00000000"/>
  </w:font>
  <w:font w:name="QCF_P383">
    <w:panose1 w:val="02000400000000000000"/>
    <w:charset w:val="00"/>
    <w:family w:val="auto"/>
    <w:pitch w:val="variable"/>
    <w:sig w:usb0="80002003" w:usb1="90000000" w:usb2="00000008" w:usb3="00000000" w:csb0="80000041" w:csb1="00000000"/>
  </w:font>
  <w:font w:name="QCF_P187">
    <w:panose1 w:val="02000400000000000000"/>
    <w:charset w:val="00"/>
    <w:family w:val="auto"/>
    <w:pitch w:val="variable"/>
    <w:sig w:usb0="80002003" w:usb1="90000000" w:usb2="00000008" w:usb3="00000000" w:csb0="80000041" w:csb1="00000000"/>
  </w:font>
  <w:font w:name="QCF_P203">
    <w:panose1 w:val="02000400000000000000"/>
    <w:charset w:val="00"/>
    <w:family w:val="auto"/>
    <w:pitch w:val="variable"/>
    <w:sig w:usb0="80002003" w:usb1="90000000" w:usb2="00000008" w:usb3="00000000" w:csb0="80000041" w:csb1="00000000"/>
  </w:font>
  <w:font w:name="QCF_P426">
    <w:panose1 w:val="02000400000000000000"/>
    <w:charset w:val="00"/>
    <w:family w:val="auto"/>
    <w:pitch w:val="variable"/>
    <w:sig w:usb0="80002003" w:usb1="90000000" w:usb2="00000008" w:usb3="00000000" w:csb0="80000041" w:csb1="00000000"/>
  </w:font>
  <w:font w:name="QCF_P180">
    <w:panose1 w:val="02000400000000000000"/>
    <w:charset w:val="00"/>
    <w:family w:val="auto"/>
    <w:pitch w:val="variable"/>
    <w:sig w:usb0="80002003" w:usb1="90000000" w:usb2="00000008" w:usb3="00000000" w:csb0="80000041" w:csb1="00000000"/>
  </w:font>
  <w:font w:name="QCF_P363">
    <w:panose1 w:val="02000400000000000000"/>
    <w:charset w:val="00"/>
    <w:family w:val="auto"/>
    <w:pitch w:val="variable"/>
    <w:sig w:usb0="80002003" w:usb1="90000000" w:usb2="00000008" w:usb3="00000000" w:csb0="80000041" w:csb1="00000000"/>
  </w:font>
  <w:font w:name="QCF_P349">
    <w:panose1 w:val="02000400000000000000"/>
    <w:charset w:val="00"/>
    <w:family w:val="auto"/>
    <w:pitch w:val="variable"/>
    <w:sig w:usb0="80002003" w:usb1="90000000" w:usb2="00000008" w:usb3="00000000" w:csb0="80000041" w:csb1="00000000"/>
  </w:font>
  <w:font w:name="QCF_P021">
    <w:panose1 w:val="02000400000000000000"/>
    <w:charset w:val="00"/>
    <w:family w:val="auto"/>
    <w:pitch w:val="variable"/>
    <w:sig w:usb0="80002003" w:usb1="90000000" w:usb2="00000008" w:usb3="00000000" w:csb0="80000041" w:csb1="00000000"/>
  </w:font>
  <w:font w:name="QCF_P218">
    <w:panose1 w:val="02000400000000000000"/>
    <w:charset w:val="00"/>
    <w:family w:val="auto"/>
    <w:pitch w:val="variable"/>
    <w:sig w:usb0="80002003" w:usb1="90000000" w:usb2="00000008" w:usb3="00000000" w:csb0="80000041" w:csb1="00000000"/>
  </w:font>
  <w:font w:name="QCF_P496">
    <w:panose1 w:val="02000400000000000000"/>
    <w:charset w:val="00"/>
    <w:family w:val="auto"/>
    <w:pitch w:val="variable"/>
    <w:sig w:usb0="80002003" w:usb1="90000000" w:usb2="00000008" w:usb3="00000000" w:csb0="80000041" w:csb1="00000000"/>
  </w:font>
  <w:font w:name="QCF_P379">
    <w:panose1 w:val="02000400000000000000"/>
    <w:charset w:val="00"/>
    <w:family w:val="auto"/>
    <w:pitch w:val="variable"/>
    <w:sig w:usb0="80002003" w:usb1="90000000" w:usb2="00000008" w:usb3="00000000" w:csb0="80000041" w:csb1="00000000"/>
  </w:font>
  <w:font w:name="QCF_P344">
    <w:panose1 w:val="02000400000000000000"/>
    <w:charset w:val="00"/>
    <w:family w:val="auto"/>
    <w:pitch w:val="variable"/>
    <w:sig w:usb0="80002003" w:usb1="90000000" w:usb2="00000008" w:usb3="00000000" w:csb0="80000041" w:csb1="00000000"/>
  </w:font>
  <w:font w:name="QCF_P001">
    <w:panose1 w:val="02000400000000000000"/>
    <w:charset w:val="00"/>
    <w:family w:val="auto"/>
    <w:pitch w:val="variable"/>
    <w:sig w:usb0="80002003" w:usb1="90000000" w:usb2="00000008" w:usb3="00000000" w:csb0="80000041" w:csb1="00000000"/>
  </w:font>
  <w:font w:name="QCF_P082">
    <w:panose1 w:val="02000400000000000000"/>
    <w:charset w:val="00"/>
    <w:family w:val="auto"/>
    <w:pitch w:val="variable"/>
    <w:sig w:usb0="80002003" w:usb1="90000000" w:usb2="00000008" w:usb3="00000000" w:csb0="80000041" w:csb1="00000000"/>
  </w:font>
  <w:font w:name="QCF_P295">
    <w:panose1 w:val="02000400000000000000"/>
    <w:charset w:val="00"/>
    <w:family w:val="auto"/>
    <w:pitch w:val="variable"/>
    <w:sig w:usb0="80002003" w:usb1="90000000" w:usb2="00000008" w:usb3="00000000" w:csb0="80000041" w:csb1="00000000"/>
  </w:font>
  <w:font w:name="QCF_P601">
    <w:panose1 w:val="02000400000000000000"/>
    <w:charset w:val="00"/>
    <w:family w:val="auto"/>
    <w:pitch w:val="variable"/>
    <w:sig w:usb0="80002003" w:usb1="90000000" w:usb2="00000008" w:usb3="00000000" w:csb0="80000041" w:csb1="00000000"/>
  </w:font>
  <w:font w:name="QCF_P205">
    <w:panose1 w:val="02000400000000000000"/>
    <w:charset w:val="00"/>
    <w:family w:val="auto"/>
    <w:pitch w:val="variable"/>
    <w:sig w:usb0="80002003" w:usb1="90000000" w:usb2="00000008" w:usb3="00000000" w:csb0="80000041" w:csb1="00000000"/>
  </w:font>
  <w:font w:name="QCF_P466">
    <w:panose1 w:val="02000400000000000000"/>
    <w:charset w:val="00"/>
    <w:family w:val="auto"/>
    <w:pitch w:val="variable"/>
    <w:sig w:usb0="80002003" w:usb1="90000000" w:usb2="00000008" w:usb3="00000000" w:csb0="80000041" w:csb1="00000000"/>
  </w:font>
  <w:font w:name="QCF_P239">
    <w:panose1 w:val="02000400000000000000"/>
    <w:charset w:val="00"/>
    <w:family w:val="auto"/>
    <w:pitch w:val="variable"/>
    <w:sig w:usb0="80002003" w:usb1="90000000" w:usb2="00000008" w:usb3="00000000" w:csb0="80000041" w:csb1="00000000"/>
  </w:font>
  <w:font w:name="QCF_P298">
    <w:panose1 w:val="02000400000000000000"/>
    <w:charset w:val="00"/>
    <w:family w:val="auto"/>
    <w:pitch w:val="variable"/>
    <w:sig w:usb0="80002003" w:usb1="90000000" w:usb2="00000008" w:usb3="00000000" w:csb0="80000041" w:csb1="00000000"/>
  </w:font>
  <w:font w:name="QCF_P467">
    <w:panose1 w:val="02000400000000000000"/>
    <w:charset w:val="00"/>
    <w:family w:val="auto"/>
    <w:pitch w:val="variable"/>
    <w:sig w:usb0="80002003" w:usb1="90000000" w:usb2="00000008" w:usb3="00000000" w:csb0="80000041" w:csb1="00000000"/>
  </w:font>
  <w:font w:name="QCF_P311">
    <w:panose1 w:val="02000400000000000000"/>
    <w:charset w:val="00"/>
    <w:family w:val="auto"/>
    <w:pitch w:val="variable"/>
    <w:sig w:usb0="80002003" w:usb1="90000000" w:usb2="00000008" w:usb3="00000000" w:csb0="80000041" w:csb1="00000000"/>
  </w:font>
  <w:font w:name="QCF_P384">
    <w:panose1 w:val="02000400000000000000"/>
    <w:charset w:val="00"/>
    <w:family w:val="auto"/>
    <w:pitch w:val="variable"/>
    <w:sig w:usb0="80002003" w:usb1="90000000" w:usb2="00000008" w:usb3="00000000" w:csb0="80000041" w:csb1="00000000"/>
  </w:font>
  <w:font w:name="QCF_P414">
    <w:panose1 w:val="02000400000000000000"/>
    <w:charset w:val="00"/>
    <w:family w:val="auto"/>
    <w:pitch w:val="variable"/>
    <w:sig w:usb0="80002003" w:usb1="90000000" w:usb2="00000008" w:usb3="00000000" w:csb0="80000041" w:csb1="00000000"/>
  </w:font>
  <w:font w:name="QCF_P587">
    <w:panose1 w:val="02000400000000000000"/>
    <w:charset w:val="00"/>
    <w:family w:val="auto"/>
    <w:pitch w:val="variable"/>
    <w:sig w:usb0="80002003" w:usb1="90000000" w:usb2="00000008" w:usb3="00000000" w:csb0="80000041" w:csb1="00000000"/>
  </w:font>
  <w:font w:name="QCF_P131">
    <w:panose1 w:val="02000400000000000000"/>
    <w:charset w:val="00"/>
    <w:family w:val="auto"/>
    <w:pitch w:val="variable"/>
    <w:sig w:usb0="80002003" w:usb1="90000000" w:usb2="00000008" w:usb3="00000000" w:csb0="80000041" w:csb1="00000000"/>
  </w:font>
  <w:font w:name="QCF_P531">
    <w:panose1 w:val="02000400000000000000"/>
    <w:charset w:val="00"/>
    <w:family w:val="auto"/>
    <w:pitch w:val="variable"/>
    <w:sig w:usb0="80002003" w:usb1="90000000" w:usb2="00000008" w:usb3="00000000" w:csb0="80000041" w:csb1="00000000"/>
  </w:font>
  <w:font w:name="QCF_P229">
    <w:panose1 w:val="02000400000000000000"/>
    <w:charset w:val="00"/>
    <w:family w:val="auto"/>
    <w:pitch w:val="variable"/>
    <w:sig w:usb0="80002003" w:usb1="90000000" w:usb2="00000008" w:usb3="00000000" w:csb0="80000041" w:csb1="00000000"/>
  </w:font>
  <w:font w:name="QCF_P156">
    <w:panose1 w:val="02000400000000000000"/>
    <w:charset w:val="00"/>
    <w:family w:val="auto"/>
    <w:pitch w:val="variable"/>
    <w:sig w:usb0="80002003" w:usb1="90000000" w:usb2="00000008" w:usb3="00000000" w:csb0="80000041" w:csb1="00000000"/>
  </w:font>
  <w:font w:name="QCF_P315">
    <w:panose1 w:val="02000400000000000000"/>
    <w:charset w:val="00"/>
    <w:family w:val="auto"/>
    <w:pitch w:val="variable"/>
    <w:sig w:usb0="80002003" w:usb1="90000000" w:usb2="00000008" w:usb3="00000000" w:csb0="80000041" w:csb1="00000000"/>
  </w:font>
  <w:font w:name="QCF_P332">
    <w:panose1 w:val="02000400000000000000"/>
    <w:charset w:val="00"/>
    <w:family w:val="auto"/>
    <w:pitch w:val="variable"/>
    <w:sig w:usb0="80002003" w:usb1="90000000" w:usb2="00000008" w:usb3="00000000" w:csb0="80000041" w:csb1="00000000"/>
  </w:font>
  <w:font w:name="QCF_P139">
    <w:panose1 w:val="02000400000000000000"/>
    <w:charset w:val="00"/>
    <w:family w:val="auto"/>
    <w:pitch w:val="variable"/>
    <w:sig w:usb0="80002003" w:usb1="90000000" w:usb2="00000008" w:usb3="00000000" w:csb0="80000041" w:csb1="00000000"/>
  </w:font>
  <w:font w:name="QCF_P004">
    <w:panose1 w:val="02000400000000000000"/>
    <w:charset w:val="00"/>
    <w:family w:val="auto"/>
    <w:pitch w:val="variable"/>
    <w:sig w:usb0="80002003" w:usb1="90000000" w:usb2="00000008" w:usb3="00000000" w:csb0="80000041" w:csb1="00000000"/>
  </w:font>
  <w:font w:name="QCF_P250">
    <w:panose1 w:val="02000400000000000000"/>
    <w:charset w:val="00"/>
    <w:family w:val="auto"/>
    <w:pitch w:val="variable"/>
    <w:sig w:usb0="80002003" w:usb1="90000000" w:usb2="00000008" w:usb3="00000000" w:csb0="80000041" w:csb1="00000000"/>
  </w:font>
  <w:font w:name="QCF_P532">
    <w:panose1 w:val="02000400000000000000"/>
    <w:charset w:val="00"/>
    <w:family w:val="auto"/>
    <w:pitch w:val="variable"/>
    <w:sig w:usb0="80002003" w:usb1="90000000" w:usb2="00000008" w:usb3="00000000" w:csb0="80000041" w:csb1="00000000"/>
  </w:font>
  <w:font w:name="QCF_P528">
    <w:panose1 w:val="02000400000000000000"/>
    <w:charset w:val="00"/>
    <w:family w:val="auto"/>
    <w:pitch w:val="variable"/>
    <w:sig w:usb0="80002003" w:usb1="90000000" w:usb2="00000008" w:usb3="00000000" w:csb0="80000041" w:csb1="00000000"/>
  </w:font>
  <w:font w:name="QCF_P088">
    <w:panose1 w:val="02000400000000000000"/>
    <w:charset w:val="00"/>
    <w:family w:val="auto"/>
    <w:pitch w:val="variable"/>
    <w:sig w:usb0="80002003" w:usb1="90000000" w:usb2="00000008" w:usb3="00000000" w:csb0="80000041" w:csb1="00000000"/>
  </w:font>
  <w:font w:name="QCF_P169">
    <w:panose1 w:val="02000400000000000000"/>
    <w:charset w:val="00"/>
    <w:family w:val="auto"/>
    <w:pitch w:val="variable"/>
    <w:sig w:usb0="80002003" w:usb1="90000000" w:usb2="00000008" w:usb3="00000000" w:csb0="80000041" w:csb1="00000000"/>
  </w:font>
  <w:font w:name="QCF_P509">
    <w:panose1 w:val="02000400000000000000"/>
    <w:charset w:val="00"/>
    <w:family w:val="auto"/>
    <w:pitch w:val="variable"/>
    <w:sig w:usb0="80002003" w:usb1="90000000" w:usb2="00000008" w:usb3="00000000" w:csb0="80000041" w:csb1="00000000"/>
  </w:font>
  <w:font w:name="QCF_P568">
    <w:panose1 w:val="02000400000000000000"/>
    <w:charset w:val="00"/>
    <w:family w:val="auto"/>
    <w:pitch w:val="variable"/>
    <w:sig w:usb0="80002003" w:usb1="90000000" w:usb2="00000008" w:usb3="00000000" w:csb0="80000041" w:csb1="00000000"/>
  </w:font>
  <w:font w:name="QCF_P598">
    <w:panose1 w:val="02000400000000000000"/>
    <w:charset w:val="00"/>
    <w:family w:val="auto"/>
    <w:pitch w:val="variable"/>
    <w:sig w:usb0="80002003" w:usb1="90000000" w:usb2="00000008" w:usb3="00000000" w:csb0="80000041" w:csb1="00000000"/>
  </w:font>
  <w:font w:name="QCF_P270">
    <w:panose1 w:val="02000400000000000000"/>
    <w:charset w:val="00"/>
    <w:family w:val="auto"/>
    <w:pitch w:val="variable"/>
    <w:sig w:usb0="80002003" w:usb1="90000000" w:usb2="00000008" w:usb3="00000000" w:csb0="80000041" w:csb1="00000000"/>
  </w:font>
  <w:font w:name="QCF_P011">
    <w:panose1 w:val="02000400000000000000"/>
    <w:charset w:val="00"/>
    <w:family w:val="auto"/>
    <w:pitch w:val="variable"/>
    <w:sig w:usb0="80002003" w:usb1="90000000" w:usb2="00000008" w:usb3="00000000" w:csb0="80000041" w:csb1="00000000"/>
  </w:font>
  <w:font w:name="QCF_P533">
    <w:panose1 w:val="02000400000000000000"/>
    <w:charset w:val="00"/>
    <w:family w:val="auto"/>
    <w:pitch w:val="variable"/>
    <w:sig w:usb0="80002003" w:usb1="90000000" w:usb2="00000008" w:usb3="00000000" w:csb0="80000041" w:csb1="00000000"/>
  </w:font>
  <w:font w:name="QCF_P342">
    <w:panose1 w:val="02000400000000000000"/>
    <w:charset w:val="00"/>
    <w:family w:val="auto"/>
    <w:pitch w:val="variable"/>
    <w:sig w:usb0="80002003" w:usb1="90000000" w:usb2="00000008" w:usb3="00000000" w:csb0="80000041" w:csb1="00000000"/>
  </w:font>
  <w:font w:name="QCF_P309">
    <w:panose1 w:val="02000400000000000000"/>
    <w:charset w:val="00"/>
    <w:family w:val="auto"/>
    <w:pitch w:val="variable"/>
    <w:sig w:usb0="80002003" w:usb1="90000000" w:usb2="00000008" w:usb3="00000000" w:csb0="80000041" w:csb1="00000000"/>
  </w:font>
  <w:font w:name="QCF_P306">
    <w:panose1 w:val="02000400000000000000"/>
    <w:charset w:val="00"/>
    <w:family w:val="auto"/>
    <w:pitch w:val="variable"/>
    <w:sig w:usb0="80002003" w:usb1="90000000" w:usb2="00000008" w:usb3="00000000" w:csb0="80000041" w:csb1="00000000"/>
  </w:font>
  <w:font w:name="QCF_P107">
    <w:panose1 w:val="02000400000000000000"/>
    <w:charset w:val="00"/>
    <w:family w:val="auto"/>
    <w:pitch w:val="variable"/>
    <w:sig w:usb0="80002003" w:usb1="90000000" w:usb2="00000008" w:usb3="00000000" w:csb0="80000041" w:csb1="00000000"/>
  </w:font>
  <w:font w:name="QCF_P333">
    <w:panose1 w:val="02000400000000000000"/>
    <w:charset w:val="00"/>
    <w:family w:val="auto"/>
    <w:pitch w:val="variable"/>
    <w:sig w:usb0="80002003" w:usb1="90000000" w:usb2="00000008" w:usb3="00000000" w:csb0="80000041" w:csb1="00000000"/>
  </w:font>
  <w:font w:name="QCF_P493">
    <w:panose1 w:val="02000400000000000000"/>
    <w:charset w:val="00"/>
    <w:family w:val="auto"/>
    <w:pitch w:val="variable"/>
    <w:sig w:usb0="80002003" w:usb1="90000000" w:usb2="00000008" w:usb3="00000000" w:csb0="80000041" w:csb1="00000000"/>
  </w:font>
  <w:font w:name="QCF_P127">
    <w:panose1 w:val="02000400000000000000"/>
    <w:charset w:val="00"/>
    <w:family w:val="auto"/>
    <w:pitch w:val="variable"/>
    <w:sig w:usb0="80002003" w:usb1="90000000" w:usb2="00000008" w:usb3="00000000" w:csb0="80000041" w:csb1="00000000"/>
  </w:font>
  <w:font w:name="QCF_P308">
    <w:panose1 w:val="02000400000000000000"/>
    <w:charset w:val="00"/>
    <w:family w:val="auto"/>
    <w:pitch w:val="variable"/>
    <w:sig w:usb0="80002003" w:usb1="90000000" w:usb2="00000008" w:usb3="00000000" w:csb0="8000004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F128F" w:rsidRDefault="003F128F" w:rsidP="00A94E74">
    <w:pPr>
      <w:pStyle w:val="afc"/>
      <w:tabs>
        <w:tab w:val="clear" w:pos="4153"/>
        <w:tab w:val="clear" w:pos="8306"/>
        <w:tab w:val="center" w:pos="4478"/>
      </w:tabs>
      <w:rPr>
        <w:rtl/>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F128F" w:rsidRDefault="003F128F" w:rsidP="005D2A57">
    <w:pPr>
      <w:pStyle w:val="afc"/>
    </w:pPr>
  </w:p>
  <w:p w:rsidR="003F128F" w:rsidRDefault="003F128F" w:rsidP="005D2A57">
    <w:pPr>
      <w:pStyle w:val="afc"/>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tl/>
        <w:lang w:val="ar-SA"/>
      </w:rPr>
      <w:id w:val="-1014222484"/>
      <w:docPartObj>
        <w:docPartGallery w:val="Page Numbers (Bottom of Page)"/>
        <w:docPartUnique/>
      </w:docPartObj>
    </w:sdtPr>
    <w:sdtContent>
      <w:p w:rsidR="003F128F" w:rsidRDefault="003F128F" w:rsidP="00276C1B">
        <w:pPr>
          <w:pStyle w:val="afc"/>
          <w:tabs>
            <w:tab w:val="left" w:pos="2458"/>
            <w:tab w:val="center" w:pos="4478"/>
          </w:tabs>
          <w:jc w:val="left"/>
        </w:pPr>
        <w:r>
          <w:rPr>
            <w:rtl/>
            <w:lang w:val="ar-SA"/>
          </w:rPr>
          <w:tab/>
        </w:r>
        <w:r>
          <w:rPr>
            <w:rtl/>
            <w:lang w:val="ar-SA"/>
          </w:rPr>
          <w:tab/>
        </w:r>
        <w:r>
          <w:rPr>
            <w:rtl/>
            <w:lang w:val="ar-SA"/>
          </w:rPr>
          <w:tab/>
          <w:t>[</w:t>
        </w:r>
        <w:r>
          <w:fldChar w:fldCharType="begin"/>
        </w:r>
        <w:r>
          <w:instrText>PAGE   \* MERGEFORMAT</w:instrText>
        </w:r>
        <w:r>
          <w:fldChar w:fldCharType="separate"/>
        </w:r>
        <w:r w:rsidR="005D5E2A" w:rsidRPr="005D5E2A">
          <w:rPr>
            <w:noProof/>
            <w:rtl/>
            <w:lang w:val="ar-SA"/>
          </w:rPr>
          <w:t>390</w:t>
        </w:r>
        <w:r>
          <w:fldChar w:fldCharType="end"/>
        </w:r>
        <w:r>
          <w:rPr>
            <w:rtl/>
            <w:lang w:val="ar-SA"/>
          </w:rPr>
          <w:t>]</w:t>
        </w:r>
      </w:p>
    </w:sdtContent>
  </w:sdt>
  <w:p w:rsidR="003F128F" w:rsidRDefault="003F128F"/>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F128F" w:rsidRDefault="003F128F" w:rsidP="005D2A57">
    <w:pPr>
      <w:pStyle w:val="afc"/>
    </w:pPr>
  </w:p>
  <w:p w:rsidR="003F128F" w:rsidRDefault="003F128F" w:rsidP="005D2A57">
    <w:pPr>
      <w:pStyle w:val="afc"/>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639A8" w:rsidRDefault="00A639A8" w:rsidP="00AB6719">
      <w:r>
        <w:separator/>
      </w:r>
    </w:p>
  </w:footnote>
  <w:footnote w:type="continuationSeparator" w:id="0">
    <w:p w:rsidR="00A639A8" w:rsidRDefault="00A639A8" w:rsidP="00AB6719">
      <w:r>
        <w:continuationSeparator/>
      </w:r>
    </w:p>
  </w:footnote>
  <w:footnote w:id="1">
    <w:p w:rsidR="003F128F" w:rsidRPr="00856E14" w:rsidRDefault="003F128F" w:rsidP="001132D9">
      <w:pPr>
        <w:pStyle w:val="af3"/>
        <w:rPr>
          <w:rFonts w:ascii="Tahoma" w:hAnsi="Tahoma"/>
        </w:rPr>
      </w:pPr>
      <w:r w:rsidRPr="00856E14">
        <w:rPr>
          <w:rFonts w:ascii="Tahoma" w:hAnsi="Tahoma"/>
          <w:rtl/>
        </w:rPr>
        <w:t>(</w:t>
      </w:r>
      <w:r w:rsidRPr="00856E14">
        <w:rPr>
          <w:rStyle w:val="ae"/>
          <w:rFonts w:ascii="Tahoma" w:hAnsi="Tahoma"/>
          <w:vertAlign w:val="baseline"/>
        </w:rPr>
        <w:footnoteRef/>
      </w:r>
      <w:r w:rsidRPr="00856E14">
        <w:rPr>
          <w:rFonts w:ascii="Tahoma" w:hAnsi="Tahoma"/>
          <w:rtl/>
        </w:rPr>
        <w:t>)</w:t>
      </w:r>
      <w:r>
        <w:rPr>
          <w:rFonts w:ascii="Traditional Arabic" w:hAnsi="Traditional Arabic" w:hint="cs"/>
          <w:sz w:val="32"/>
          <w:szCs w:val="32"/>
          <w:rtl/>
        </w:rPr>
        <w:t xml:space="preserve"> </w:t>
      </w:r>
      <w:r w:rsidRPr="001C4FED">
        <w:rPr>
          <w:rFonts w:ascii="Traditional Arabic" w:hAnsi="Traditional Arabic"/>
          <w:sz w:val="32"/>
          <w:szCs w:val="32"/>
          <w:rtl/>
        </w:rPr>
        <w:t xml:space="preserve">هذه خطبة الحاجة التي </w:t>
      </w:r>
      <w:r w:rsidRPr="001C4FED">
        <w:rPr>
          <w:rFonts w:ascii="Traditional Arabic" w:hAnsi="Traditional Arabic" w:hint="cs"/>
          <w:sz w:val="32"/>
          <w:szCs w:val="32"/>
          <w:rtl/>
        </w:rPr>
        <w:t>كان ي</w:t>
      </w:r>
      <w:r w:rsidRPr="001C4FED">
        <w:rPr>
          <w:rFonts w:ascii="Traditional Arabic" w:hAnsi="Traditional Arabic"/>
          <w:sz w:val="32"/>
          <w:szCs w:val="32"/>
          <w:rtl/>
        </w:rPr>
        <w:t xml:space="preserve">علمها رسول الله </w:t>
      </w:r>
      <w:r>
        <w:rPr>
          <w:rFonts w:ascii="Traditional Arabic" w:hAnsi="Traditional Arabic"/>
          <w:sz w:val="32"/>
          <w:szCs w:val="32"/>
        </w:rPr>
        <w:sym w:font="AGA Arabesque" w:char="F072"/>
      </w:r>
      <w:r>
        <w:rPr>
          <w:rFonts w:ascii="Traditional Arabic" w:hAnsi="Traditional Arabic" w:hint="cs"/>
          <w:sz w:val="32"/>
          <w:szCs w:val="32"/>
          <w:rtl/>
        </w:rPr>
        <w:t xml:space="preserve"> </w:t>
      </w:r>
      <w:r w:rsidRPr="001C4FED">
        <w:rPr>
          <w:rFonts w:ascii="Traditional Arabic" w:hAnsi="Traditional Arabic"/>
          <w:sz w:val="32"/>
          <w:szCs w:val="32"/>
          <w:rtl/>
        </w:rPr>
        <w:t xml:space="preserve">أصحابه في الحديث الذي رواه عبدالله بن </w:t>
      </w:r>
      <w:r>
        <w:rPr>
          <w:rFonts w:ascii="Traditional Arabic" w:hAnsi="Traditional Arabic"/>
          <w:sz w:val="32"/>
          <w:szCs w:val="32"/>
          <w:rtl/>
        </w:rPr>
        <w:t xml:space="preserve"> </w:t>
      </w:r>
      <w:r w:rsidRPr="001C4FED">
        <w:rPr>
          <w:rFonts w:ascii="Traditional Arabic" w:hAnsi="Traditional Arabic"/>
          <w:sz w:val="32"/>
          <w:szCs w:val="32"/>
          <w:rtl/>
        </w:rPr>
        <w:t>مسعود رضي الله عنه</w:t>
      </w:r>
      <w:r w:rsidRPr="001C4FED">
        <w:rPr>
          <w:rFonts w:ascii="Traditional Arabic" w:hAnsi="Traditional Arabic" w:hint="cs"/>
          <w:sz w:val="32"/>
          <w:szCs w:val="32"/>
          <w:rtl/>
        </w:rPr>
        <w:t xml:space="preserve"> ، ومن الخير للمسلم أن يعود لسانها وقلمه كتابتها بين يدي قوله، أو كتابته، وقد أخرجها</w:t>
      </w:r>
      <w:r>
        <w:rPr>
          <w:rFonts w:ascii="Traditional Arabic" w:hAnsi="Traditional Arabic" w:hint="cs"/>
          <w:sz w:val="32"/>
          <w:szCs w:val="32"/>
          <w:rtl/>
        </w:rPr>
        <w:t xml:space="preserve"> الإمام</w:t>
      </w:r>
      <w:r w:rsidRPr="001C4FED">
        <w:rPr>
          <w:rFonts w:ascii="Traditional Arabic" w:hAnsi="Traditional Arabic" w:hint="cs"/>
          <w:sz w:val="32"/>
          <w:szCs w:val="32"/>
          <w:rtl/>
        </w:rPr>
        <w:t xml:space="preserve"> أحمد في مسنده (6/26</w:t>
      </w:r>
      <w:r>
        <w:rPr>
          <w:rFonts w:ascii="Traditional Arabic" w:hAnsi="Traditional Arabic" w:hint="cs"/>
          <w:sz w:val="32"/>
          <w:szCs w:val="32"/>
          <w:rtl/>
        </w:rPr>
        <w:t>2 ح3720</w:t>
      </w:r>
      <w:r w:rsidRPr="001C4FED">
        <w:rPr>
          <w:rFonts w:ascii="Traditional Arabic" w:hAnsi="Traditional Arabic" w:hint="cs"/>
          <w:sz w:val="32"/>
          <w:szCs w:val="32"/>
          <w:rtl/>
        </w:rPr>
        <w:t>)،</w:t>
      </w:r>
      <w:r w:rsidRPr="00D24B3F">
        <w:rPr>
          <w:rFonts w:ascii="Traditional Arabic" w:hAnsi="Traditional Arabic"/>
          <w:sz w:val="32"/>
          <w:szCs w:val="32"/>
          <w:rtl/>
        </w:rPr>
        <w:t xml:space="preserve"> </w:t>
      </w:r>
      <w:r>
        <w:rPr>
          <w:rFonts w:ascii="Traditional Arabic" w:hAnsi="Traditional Arabic"/>
          <w:sz w:val="32"/>
          <w:szCs w:val="32"/>
          <w:rtl/>
        </w:rPr>
        <w:t>والترمذي في</w:t>
      </w:r>
      <w:r>
        <w:rPr>
          <w:rFonts w:ascii="Traditional Arabic" w:hAnsi="Traditional Arabic" w:hint="cs"/>
          <w:sz w:val="32"/>
          <w:szCs w:val="32"/>
          <w:rtl/>
        </w:rPr>
        <w:t xml:space="preserve"> جامعه</w:t>
      </w:r>
      <w:r w:rsidRPr="001C4FED">
        <w:rPr>
          <w:rFonts w:ascii="Traditional Arabic" w:hAnsi="Traditional Arabic"/>
          <w:sz w:val="32"/>
          <w:szCs w:val="32"/>
          <w:rtl/>
        </w:rPr>
        <w:t xml:space="preserve"> (</w:t>
      </w:r>
      <w:r>
        <w:rPr>
          <w:rFonts w:ascii="Traditional Arabic" w:hAnsi="Traditional Arabic" w:hint="cs"/>
          <w:sz w:val="32"/>
          <w:szCs w:val="32"/>
          <w:rtl/>
        </w:rPr>
        <w:t>كتاب النكاح, باب: ما جاء في الخطبة 4/245 ح1105</w:t>
      </w:r>
      <w:r w:rsidRPr="001C4FED">
        <w:rPr>
          <w:rFonts w:ascii="Traditional Arabic" w:hAnsi="Traditional Arabic"/>
          <w:sz w:val="32"/>
          <w:szCs w:val="32"/>
          <w:rtl/>
        </w:rPr>
        <w:t>)</w:t>
      </w:r>
      <w:r>
        <w:rPr>
          <w:rFonts w:ascii="Traditional Arabic" w:hAnsi="Traditional Arabic" w:hint="cs"/>
          <w:sz w:val="32"/>
          <w:szCs w:val="32"/>
          <w:rtl/>
        </w:rPr>
        <w:t xml:space="preserve">, </w:t>
      </w:r>
      <w:r w:rsidRPr="001C4FED">
        <w:rPr>
          <w:rFonts w:ascii="Traditional Arabic" w:hAnsi="Traditional Arabic" w:hint="cs"/>
          <w:sz w:val="32"/>
          <w:szCs w:val="32"/>
          <w:rtl/>
        </w:rPr>
        <w:t>و</w:t>
      </w:r>
      <w:r w:rsidRPr="001C4FED">
        <w:rPr>
          <w:rFonts w:ascii="Traditional Arabic" w:hAnsi="Traditional Arabic"/>
          <w:sz w:val="32"/>
          <w:szCs w:val="32"/>
          <w:rtl/>
        </w:rPr>
        <w:t>ابن أبي شيب</w:t>
      </w:r>
      <w:r w:rsidRPr="001C4FED">
        <w:rPr>
          <w:rFonts w:ascii="Traditional Arabic" w:hAnsi="Traditional Arabic" w:hint="cs"/>
          <w:sz w:val="32"/>
          <w:szCs w:val="32"/>
          <w:rtl/>
        </w:rPr>
        <w:t>ه</w:t>
      </w:r>
      <w:r w:rsidRPr="001C4FED">
        <w:rPr>
          <w:rFonts w:ascii="Traditional Arabic" w:hAnsi="Traditional Arabic"/>
          <w:sz w:val="32"/>
          <w:szCs w:val="32"/>
          <w:rtl/>
        </w:rPr>
        <w:t xml:space="preserve"> في مصنفه (</w:t>
      </w:r>
      <w:r>
        <w:rPr>
          <w:rFonts w:ascii="Traditional Arabic" w:hAnsi="Traditional Arabic" w:hint="cs"/>
          <w:sz w:val="32"/>
          <w:szCs w:val="32"/>
          <w:rtl/>
        </w:rPr>
        <w:t>4/34 ح</w:t>
      </w:r>
      <w:r w:rsidRPr="00316A60">
        <w:rPr>
          <w:rFonts w:ascii="Traditional Arabic" w:hAnsi="Traditional Arabic"/>
          <w:sz w:val="32"/>
          <w:szCs w:val="32"/>
          <w:rtl/>
        </w:rPr>
        <w:t>17508</w:t>
      </w:r>
      <w:r>
        <w:rPr>
          <w:rFonts w:ascii="Traditional Arabic" w:hAnsi="Traditional Arabic"/>
          <w:sz w:val="32"/>
          <w:szCs w:val="32"/>
          <w:rtl/>
        </w:rPr>
        <w:t>)</w:t>
      </w:r>
      <w:r>
        <w:rPr>
          <w:rFonts w:ascii="Traditional Arabic" w:hAnsi="Traditional Arabic" w:hint="cs"/>
          <w:sz w:val="32"/>
          <w:szCs w:val="32"/>
          <w:rtl/>
        </w:rPr>
        <w:t>, من حديث</w:t>
      </w:r>
      <w:r>
        <w:rPr>
          <w:rFonts w:ascii="Traditional Arabic" w:hAnsi="Traditional Arabic"/>
          <w:sz w:val="32"/>
          <w:szCs w:val="32"/>
          <w:rtl/>
        </w:rPr>
        <w:t xml:space="preserve"> عبدالله بن مسعو</w:t>
      </w:r>
      <w:r>
        <w:rPr>
          <w:rFonts w:ascii="Traditional Arabic" w:hAnsi="Traditional Arabic" w:hint="cs"/>
          <w:sz w:val="32"/>
          <w:szCs w:val="32"/>
          <w:rtl/>
        </w:rPr>
        <w:t xml:space="preserve">د </w:t>
      </w:r>
      <w:r>
        <w:rPr>
          <w:rFonts w:ascii="Traditional Arabic" w:hAnsi="Traditional Arabic"/>
          <w:sz w:val="32"/>
          <w:szCs w:val="32"/>
        </w:rPr>
        <w:sym w:font="AGA Arabesque" w:char="F074"/>
      </w:r>
      <w:r>
        <w:rPr>
          <w:rFonts w:ascii="Traditional Arabic" w:hAnsi="Traditional Arabic" w:hint="cs"/>
          <w:sz w:val="32"/>
          <w:szCs w:val="32"/>
          <w:rtl/>
        </w:rPr>
        <w:t>,</w:t>
      </w:r>
      <w:r w:rsidRPr="001C4FED">
        <w:rPr>
          <w:rFonts w:ascii="Traditional Arabic" w:hAnsi="Traditional Arabic"/>
          <w:sz w:val="32"/>
          <w:szCs w:val="32"/>
          <w:rtl/>
        </w:rPr>
        <w:t xml:space="preserve"> وصححه الشيخ الألباني. انظر مشكاة المصابيح (2/941</w:t>
      </w:r>
      <w:r>
        <w:rPr>
          <w:rFonts w:ascii="Traditional Arabic" w:hAnsi="Traditional Arabic" w:hint="cs"/>
          <w:sz w:val="32"/>
          <w:szCs w:val="32"/>
          <w:rtl/>
        </w:rPr>
        <w:t xml:space="preserve"> ح3149</w:t>
      </w:r>
      <w:r w:rsidRPr="001C4FED">
        <w:rPr>
          <w:rFonts w:ascii="Traditional Arabic" w:hAnsi="Traditional Arabic"/>
          <w:sz w:val="32"/>
          <w:szCs w:val="32"/>
          <w:rtl/>
        </w:rPr>
        <w:t>)</w:t>
      </w:r>
      <w:r w:rsidRPr="001C4FED">
        <w:rPr>
          <w:rFonts w:ascii="Traditional Arabic" w:hAnsi="Traditional Arabic" w:hint="cs"/>
          <w:sz w:val="32"/>
          <w:szCs w:val="32"/>
          <w:rtl/>
        </w:rPr>
        <w:t>، وقد جمع ألفاظها، وطرقها، وبي</w:t>
      </w:r>
      <w:r>
        <w:rPr>
          <w:rFonts w:ascii="Traditional Arabic" w:hAnsi="Traditional Arabic" w:hint="cs"/>
          <w:sz w:val="32"/>
          <w:szCs w:val="32"/>
          <w:rtl/>
        </w:rPr>
        <w:t>ّ</w:t>
      </w:r>
      <w:r w:rsidRPr="001C4FED">
        <w:rPr>
          <w:rFonts w:ascii="Traditional Arabic" w:hAnsi="Traditional Arabic" w:hint="cs"/>
          <w:sz w:val="32"/>
          <w:szCs w:val="32"/>
          <w:rtl/>
        </w:rPr>
        <w:t>ن م</w:t>
      </w:r>
      <w:r>
        <w:rPr>
          <w:rFonts w:ascii="Traditional Arabic" w:hAnsi="Traditional Arabic" w:hint="cs"/>
          <w:sz w:val="32"/>
          <w:szCs w:val="32"/>
          <w:rtl/>
        </w:rPr>
        <w:t>َ</w:t>
      </w:r>
      <w:r w:rsidRPr="001C4FED">
        <w:rPr>
          <w:rFonts w:ascii="Traditional Arabic" w:hAnsi="Traditional Arabic" w:hint="cs"/>
          <w:sz w:val="32"/>
          <w:szCs w:val="32"/>
          <w:rtl/>
        </w:rPr>
        <w:t>ن</w:t>
      </w:r>
      <w:r>
        <w:rPr>
          <w:rFonts w:ascii="Traditional Arabic" w:hAnsi="Traditional Arabic" w:hint="cs"/>
          <w:sz w:val="32"/>
          <w:szCs w:val="32"/>
          <w:rtl/>
        </w:rPr>
        <w:t>ْ</w:t>
      </w:r>
      <w:r w:rsidRPr="001C4FED">
        <w:rPr>
          <w:rFonts w:ascii="Traditional Arabic" w:hAnsi="Traditional Arabic" w:hint="cs"/>
          <w:sz w:val="32"/>
          <w:szCs w:val="32"/>
          <w:rtl/>
        </w:rPr>
        <w:t xml:space="preserve"> خرجها، الشيخ الألباني في رسالة لطيفة سماها خطبة الحاجة. </w:t>
      </w:r>
      <w:r>
        <w:rPr>
          <w:rFonts w:ascii="Tahoma" w:hAnsi="Tahoma"/>
          <w:rtl/>
        </w:rPr>
        <w:t xml:space="preserve"> </w:t>
      </w:r>
    </w:p>
  </w:footnote>
  <w:footnote w:id="2">
    <w:p w:rsidR="003F128F" w:rsidRPr="001040AC" w:rsidRDefault="003F128F" w:rsidP="001040AC">
      <w:pPr>
        <w:pStyle w:val="af3"/>
        <w:rPr>
          <w:rFonts w:ascii="Traditional Arabic" w:hAnsi="Traditional Arabic"/>
          <w:sz w:val="32"/>
          <w:szCs w:val="32"/>
        </w:rPr>
      </w:pPr>
      <w:r w:rsidRPr="001040AC">
        <w:rPr>
          <w:rFonts w:ascii="Traditional Arabic" w:hAnsi="Traditional Arabic"/>
          <w:sz w:val="32"/>
          <w:szCs w:val="32"/>
          <w:rtl/>
        </w:rPr>
        <w:t>(</w:t>
      </w:r>
      <w:r w:rsidRPr="001040AC">
        <w:rPr>
          <w:rStyle w:val="ae"/>
          <w:rFonts w:ascii="Traditional Arabic" w:hAnsi="Traditional Arabic"/>
          <w:sz w:val="32"/>
          <w:szCs w:val="32"/>
          <w:vertAlign w:val="baseline"/>
        </w:rPr>
        <w:footnoteRef/>
      </w:r>
      <w:r w:rsidRPr="001040AC">
        <w:rPr>
          <w:rFonts w:ascii="Traditional Arabic" w:hAnsi="Traditional Arabic"/>
          <w:sz w:val="32"/>
          <w:szCs w:val="32"/>
          <w:rtl/>
        </w:rPr>
        <w:t xml:space="preserve">) ينظر: تيسير الكريم الرحمن لابن سعدي (ص21).  </w:t>
      </w:r>
    </w:p>
  </w:footnote>
  <w:footnote w:id="3">
    <w:p w:rsidR="003F128F" w:rsidRPr="00372BA2" w:rsidRDefault="003F128F" w:rsidP="00244F4B">
      <w:pPr>
        <w:pStyle w:val="af3"/>
        <w:rPr>
          <w:rFonts w:ascii="Traditional Arabic" w:hAnsi="Traditional Arabic"/>
          <w:sz w:val="32"/>
          <w:szCs w:val="32"/>
        </w:rPr>
      </w:pPr>
      <w:r w:rsidRPr="00372BA2">
        <w:rPr>
          <w:rFonts w:ascii="Traditional Arabic" w:hAnsi="Traditional Arabic"/>
          <w:sz w:val="32"/>
          <w:szCs w:val="32"/>
          <w:rtl/>
        </w:rPr>
        <w:t>(</w:t>
      </w:r>
      <w:r w:rsidRPr="00372BA2">
        <w:rPr>
          <w:rStyle w:val="ae"/>
          <w:rFonts w:ascii="Traditional Arabic" w:hAnsi="Traditional Arabic"/>
          <w:sz w:val="32"/>
          <w:szCs w:val="32"/>
          <w:vertAlign w:val="baseline"/>
        </w:rPr>
        <w:footnoteRef/>
      </w:r>
      <w:r w:rsidRPr="00372BA2">
        <w:rPr>
          <w:rFonts w:ascii="Traditional Arabic" w:hAnsi="Traditional Arabic"/>
          <w:sz w:val="32"/>
          <w:szCs w:val="32"/>
          <w:rtl/>
        </w:rPr>
        <w:t>)</w:t>
      </w:r>
      <w:r w:rsidRPr="00244F4B">
        <w:rPr>
          <w:rFonts w:ascii="Traditional Arabic" w:hAnsi="Traditional Arabic"/>
          <w:sz w:val="32"/>
          <w:szCs w:val="32"/>
          <w:rtl/>
        </w:rPr>
        <w:t>الفُرْضَةُ</w:t>
      </w:r>
      <w:r w:rsidRPr="00372BA2">
        <w:rPr>
          <w:rFonts w:ascii="Traditional Arabic" w:hAnsi="Traditional Arabic"/>
          <w:sz w:val="32"/>
          <w:szCs w:val="32"/>
          <w:rtl/>
        </w:rPr>
        <w:t>: المشرعة،</w:t>
      </w:r>
      <w:r>
        <w:rPr>
          <w:rFonts w:ascii="Traditional Arabic" w:hAnsi="Traditional Arabic" w:hint="cs"/>
          <w:sz w:val="32"/>
          <w:szCs w:val="32"/>
          <w:rtl/>
        </w:rPr>
        <w:t xml:space="preserve"> وهي </w:t>
      </w:r>
      <w:r w:rsidRPr="00244F4B">
        <w:rPr>
          <w:rFonts w:ascii="Traditional Arabic" w:hAnsi="Traditional Arabic"/>
          <w:sz w:val="32"/>
          <w:szCs w:val="32"/>
          <w:rtl/>
        </w:rPr>
        <w:t>ثُلْمَة</w:t>
      </w:r>
      <w:r w:rsidRPr="00244F4B">
        <w:rPr>
          <w:rFonts w:ascii="Traditional Arabic" w:hAnsi="Traditional Arabic" w:hint="cs"/>
          <w:sz w:val="32"/>
          <w:szCs w:val="32"/>
          <w:rtl/>
        </w:rPr>
        <w:t xml:space="preserve"> </w:t>
      </w:r>
      <w:r>
        <w:rPr>
          <w:rFonts w:ascii="Traditional Arabic" w:hAnsi="Traditional Arabic" w:hint="cs"/>
          <w:sz w:val="32"/>
          <w:szCs w:val="32"/>
          <w:rtl/>
        </w:rPr>
        <w:t xml:space="preserve">النهر التي يستقى منها. </w:t>
      </w:r>
      <w:r w:rsidRPr="00372BA2">
        <w:rPr>
          <w:rFonts w:ascii="Traditional Arabic" w:hAnsi="Traditional Arabic"/>
          <w:sz w:val="32"/>
          <w:szCs w:val="32"/>
          <w:rtl/>
        </w:rPr>
        <w:t>انظر</w:t>
      </w:r>
      <w:r>
        <w:rPr>
          <w:rFonts w:ascii="Traditional Arabic" w:hAnsi="Traditional Arabic" w:hint="cs"/>
          <w:sz w:val="32"/>
          <w:szCs w:val="32"/>
          <w:rtl/>
        </w:rPr>
        <w:t>:</w:t>
      </w:r>
      <w:r w:rsidRPr="00372BA2">
        <w:rPr>
          <w:rFonts w:ascii="Traditional Arabic" w:hAnsi="Traditional Arabic"/>
          <w:sz w:val="32"/>
          <w:szCs w:val="32"/>
          <w:rtl/>
        </w:rPr>
        <w:t xml:space="preserve"> </w:t>
      </w:r>
      <w:r>
        <w:rPr>
          <w:rFonts w:ascii="Traditional Arabic" w:hAnsi="Traditional Arabic" w:hint="cs"/>
          <w:sz w:val="32"/>
          <w:szCs w:val="32"/>
          <w:rtl/>
        </w:rPr>
        <w:t>تاج العروس للزبيدي (18/484)</w:t>
      </w:r>
      <w:r w:rsidRPr="00372BA2">
        <w:rPr>
          <w:rFonts w:ascii="Traditional Arabic" w:hAnsi="Traditional Arabic"/>
          <w:sz w:val="32"/>
          <w:szCs w:val="32"/>
          <w:rtl/>
        </w:rPr>
        <w:t xml:space="preserve"> مادة (فرض)</w:t>
      </w:r>
      <w:r>
        <w:rPr>
          <w:rFonts w:ascii="Traditional Arabic" w:hAnsi="Traditional Arabic" w:hint="cs"/>
          <w:sz w:val="32"/>
          <w:szCs w:val="32"/>
          <w:rtl/>
        </w:rPr>
        <w:t>.</w:t>
      </w:r>
    </w:p>
  </w:footnote>
  <w:footnote w:id="4">
    <w:p w:rsidR="003F128F" w:rsidRPr="00372BA2" w:rsidRDefault="003F128F" w:rsidP="00292409">
      <w:pPr>
        <w:pStyle w:val="af3"/>
        <w:rPr>
          <w:rFonts w:ascii="Traditional Arabic" w:hAnsi="Traditional Arabic"/>
          <w:sz w:val="32"/>
          <w:szCs w:val="32"/>
        </w:rPr>
      </w:pPr>
      <w:r w:rsidRPr="00372BA2">
        <w:rPr>
          <w:rFonts w:ascii="Traditional Arabic" w:hAnsi="Traditional Arabic"/>
          <w:sz w:val="32"/>
          <w:szCs w:val="32"/>
          <w:rtl/>
        </w:rPr>
        <w:t>(</w:t>
      </w:r>
      <w:r w:rsidRPr="00372BA2">
        <w:rPr>
          <w:rStyle w:val="ae"/>
          <w:rFonts w:ascii="Traditional Arabic" w:hAnsi="Traditional Arabic"/>
          <w:sz w:val="32"/>
          <w:szCs w:val="32"/>
          <w:vertAlign w:val="baseline"/>
        </w:rPr>
        <w:footnoteRef/>
      </w:r>
      <w:r w:rsidRPr="00372BA2">
        <w:rPr>
          <w:rFonts w:ascii="Traditional Arabic" w:hAnsi="Traditional Arabic"/>
          <w:sz w:val="32"/>
          <w:szCs w:val="32"/>
          <w:rtl/>
        </w:rPr>
        <w:t xml:space="preserve">) </w:t>
      </w:r>
      <w:r w:rsidRPr="00372BA2">
        <w:rPr>
          <w:rFonts w:ascii="Traditional Arabic" w:hAnsi="Traditional Arabic"/>
          <w:b/>
          <w:sz w:val="32"/>
          <w:szCs w:val="32"/>
          <w:rtl/>
        </w:rPr>
        <w:t xml:space="preserve">انظر: البداية والنهاية </w:t>
      </w:r>
      <w:r>
        <w:rPr>
          <w:rFonts w:ascii="Traditional Arabic" w:hAnsi="Traditional Arabic" w:hint="cs"/>
          <w:b/>
          <w:sz w:val="32"/>
          <w:szCs w:val="32"/>
          <w:rtl/>
        </w:rPr>
        <w:t xml:space="preserve">لابن كثير </w:t>
      </w:r>
      <w:r w:rsidRPr="00372BA2">
        <w:rPr>
          <w:rFonts w:ascii="Traditional Arabic" w:hAnsi="Traditional Arabic"/>
          <w:b/>
          <w:sz w:val="32"/>
          <w:szCs w:val="32"/>
          <w:rtl/>
        </w:rPr>
        <w:t>(13/244), المقصد الأرشد</w:t>
      </w:r>
      <w:r>
        <w:rPr>
          <w:rFonts w:ascii="Traditional Arabic" w:hAnsi="Traditional Arabic" w:hint="cs"/>
          <w:b/>
          <w:sz w:val="32"/>
          <w:szCs w:val="32"/>
          <w:rtl/>
        </w:rPr>
        <w:t xml:space="preserve"> لابن مفلح</w:t>
      </w:r>
      <w:r w:rsidRPr="00372BA2">
        <w:rPr>
          <w:rFonts w:ascii="Traditional Arabic" w:hAnsi="Traditional Arabic"/>
          <w:b/>
          <w:sz w:val="32"/>
          <w:szCs w:val="32"/>
          <w:rtl/>
        </w:rPr>
        <w:t xml:space="preserve"> (2/94), الوافي بالوفيات</w:t>
      </w:r>
      <w:r>
        <w:rPr>
          <w:rFonts w:ascii="Traditional Arabic" w:hAnsi="Traditional Arabic" w:hint="cs"/>
          <w:b/>
          <w:sz w:val="32"/>
          <w:szCs w:val="32"/>
          <w:rtl/>
        </w:rPr>
        <w:t xml:space="preserve"> </w:t>
      </w:r>
      <w:r w:rsidRPr="00292409">
        <w:rPr>
          <w:rFonts w:ascii="Traditional Arabic" w:hAnsi="Traditional Arabic" w:hint="cs"/>
          <w:b/>
          <w:sz w:val="32"/>
          <w:szCs w:val="32"/>
          <w:rtl/>
        </w:rPr>
        <w:t>ل</w:t>
      </w:r>
      <w:r w:rsidRPr="00292409">
        <w:rPr>
          <w:rFonts w:ascii="Traditional Arabic" w:hAnsi="Traditional Arabic"/>
          <w:b/>
          <w:sz w:val="32"/>
          <w:szCs w:val="32"/>
          <w:rtl/>
        </w:rPr>
        <w:t>خليل بن أيبك</w:t>
      </w:r>
      <w:r w:rsidRPr="00292409">
        <w:rPr>
          <w:rFonts w:ascii="Traditional Arabic" w:hAnsi="Traditional Arabic"/>
          <w:b/>
          <w:sz w:val="32"/>
          <w:szCs w:val="32"/>
          <w:rtl/>
          <w:lang w:eastAsia="en-US"/>
        </w:rPr>
        <w:t xml:space="preserve"> </w:t>
      </w:r>
      <w:r w:rsidRPr="00292409">
        <w:rPr>
          <w:rFonts w:ascii="Traditional Arabic" w:hAnsi="Traditional Arabic"/>
          <w:b/>
          <w:sz w:val="32"/>
          <w:szCs w:val="32"/>
          <w:rtl/>
        </w:rPr>
        <w:t>الصفدي</w:t>
      </w:r>
      <w:r w:rsidRPr="00372BA2">
        <w:rPr>
          <w:rFonts w:ascii="Traditional Arabic" w:hAnsi="Traditional Arabic"/>
          <w:b/>
          <w:sz w:val="32"/>
          <w:szCs w:val="32"/>
          <w:rtl/>
        </w:rPr>
        <w:t xml:space="preserve"> (18/110).</w:t>
      </w:r>
    </w:p>
  </w:footnote>
  <w:footnote w:id="5">
    <w:p w:rsidR="003F128F" w:rsidRPr="00192140" w:rsidRDefault="003F128F" w:rsidP="00372BA2">
      <w:pPr>
        <w:pStyle w:val="af3"/>
        <w:rPr>
          <w:rFonts w:ascii="Traditional Arabic" w:hAnsi="Traditional Arabic"/>
          <w:sz w:val="32"/>
          <w:szCs w:val="32"/>
        </w:rPr>
      </w:pPr>
      <w:r w:rsidRPr="00192140">
        <w:rPr>
          <w:rFonts w:ascii="Traditional Arabic" w:hAnsi="Traditional Arabic"/>
          <w:sz w:val="32"/>
          <w:szCs w:val="32"/>
          <w:rtl/>
        </w:rPr>
        <w:t>(</w:t>
      </w:r>
      <w:r w:rsidRPr="00192140">
        <w:rPr>
          <w:rStyle w:val="ae"/>
          <w:rFonts w:ascii="Traditional Arabic" w:hAnsi="Traditional Arabic"/>
          <w:sz w:val="32"/>
          <w:szCs w:val="32"/>
          <w:vertAlign w:val="baseline"/>
        </w:rPr>
        <w:footnoteRef/>
      </w:r>
      <w:r>
        <w:rPr>
          <w:rFonts w:ascii="Traditional Arabic" w:hAnsi="Traditional Arabic"/>
          <w:sz w:val="32"/>
          <w:szCs w:val="32"/>
          <w:rtl/>
        </w:rPr>
        <w:t>)</w:t>
      </w:r>
      <w:r w:rsidRPr="00192140">
        <w:rPr>
          <w:rFonts w:ascii="Traditional Arabic" w:hAnsi="Traditional Arabic"/>
          <w:sz w:val="32"/>
          <w:szCs w:val="32"/>
          <w:rtl/>
        </w:rPr>
        <w:t xml:space="preserve"> </w:t>
      </w:r>
      <w:r w:rsidRPr="00192140">
        <w:rPr>
          <w:rFonts w:ascii="Traditional Arabic" w:hAnsi="Traditional Arabic"/>
          <w:b/>
          <w:sz w:val="32"/>
          <w:szCs w:val="32"/>
          <w:rtl/>
        </w:rPr>
        <w:t>درب حبيب</w:t>
      </w:r>
      <w:r>
        <w:rPr>
          <w:rFonts w:ascii="Traditional Arabic" w:hAnsi="Traditional Arabic"/>
          <w:b/>
          <w:sz w:val="32"/>
          <w:szCs w:val="32"/>
          <w:rtl/>
        </w:rPr>
        <w:t>: منطقة ببغداد</w:t>
      </w:r>
      <w:r w:rsidRPr="00192140">
        <w:rPr>
          <w:rFonts w:ascii="Traditional Arabic" w:hAnsi="Traditional Arabic"/>
          <w:b/>
          <w:sz w:val="32"/>
          <w:szCs w:val="32"/>
          <w:rtl/>
        </w:rPr>
        <w:t>. انظر: معجم البلدان</w:t>
      </w:r>
      <w:r>
        <w:rPr>
          <w:rFonts w:ascii="Traditional Arabic" w:hAnsi="Traditional Arabic" w:hint="cs"/>
          <w:b/>
          <w:sz w:val="32"/>
          <w:szCs w:val="32"/>
          <w:rtl/>
        </w:rPr>
        <w:t xml:space="preserve"> للحموي</w:t>
      </w:r>
      <w:r w:rsidRPr="00192140">
        <w:rPr>
          <w:rFonts w:ascii="Traditional Arabic" w:hAnsi="Traditional Arabic"/>
          <w:b/>
          <w:sz w:val="32"/>
          <w:szCs w:val="32"/>
          <w:rtl/>
        </w:rPr>
        <w:t xml:space="preserve"> (2/216).</w:t>
      </w:r>
    </w:p>
  </w:footnote>
  <w:footnote w:id="6">
    <w:p w:rsidR="003F128F" w:rsidRPr="00192140" w:rsidRDefault="003F128F" w:rsidP="00372BA2">
      <w:pPr>
        <w:pStyle w:val="af3"/>
        <w:rPr>
          <w:rFonts w:ascii="Traditional Arabic" w:hAnsi="Traditional Arabic"/>
          <w:sz w:val="32"/>
          <w:szCs w:val="32"/>
        </w:rPr>
      </w:pPr>
      <w:r w:rsidRPr="00192140">
        <w:rPr>
          <w:rFonts w:ascii="Traditional Arabic" w:hAnsi="Traditional Arabic"/>
          <w:sz w:val="32"/>
          <w:szCs w:val="32"/>
          <w:rtl/>
        </w:rPr>
        <w:t>(</w:t>
      </w:r>
      <w:r w:rsidRPr="00192140">
        <w:rPr>
          <w:rStyle w:val="ae"/>
          <w:rFonts w:ascii="Traditional Arabic" w:hAnsi="Traditional Arabic"/>
          <w:sz w:val="32"/>
          <w:szCs w:val="32"/>
          <w:vertAlign w:val="baseline"/>
        </w:rPr>
        <w:footnoteRef/>
      </w:r>
      <w:r>
        <w:rPr>
          <w:rFonts w:ascii="Traditional Arabic" w:hAnsi="Traditional Arabic"/>
          <w:sz w:val="32"/>
          <w:szCs w:val="32"/>
          <w:rtl/>
        </w:rPr>
        <w:t>)</w:t>
      </w:r>
      <w:r w:rsidRPr="00192140">
        <w:rPr>
          <w:rFonts w:ascii="Traditional Arabic" w:hAnsi="Traditional Arabic"/>
          <w:sz w:val="32"/>
          <w:szCs w:val="32"/>
          <w:rtl/>
        </w:rPr>
        <w:t xml:space="preserve"> </w:t>
      </w:r>
      <w:r>
        <w:rPr>
          <w:rFonts w:ascii="Traditional Arabic" w:hAnsi="Traditional Arabic"/>
          <w:b/>
          <w:sz w:val="32"/>
          <w:szCs w:val="32"/>
          <w:rtl/>
        </w:rPr>
        <w:t xml:space="preserve">انظر: </w:t>
      </w:r>
      <w:r w:rsidRPr="00192140">
        <w:rPr>
          <w:rFonts w:ascii="Traditional Arabic" w:hAnsi="Traditional Arabic"/>
          <w:b/>
          <w:sz w:val="32"/>
          <w:szCs w:val="32"/>
          <w:rtl/>
        </w:rPr>
        <w:t>ذيل</w:t>
      </w:r>
      <w:r>
        <w:rPr>
          <w:rFonts w:ascii="Traditional Arabic" w:hAnsi="Traditional Arabic" w:hint="cs"/>
          <w:b/>
          <w:sz w:val="32"/>
          <w:szCs w:val="32"/>
          <w:rtl/>
        </w:rPr>
        <w:t xml:space="preserve"> طبقات الحنابلة</w:t>
      </w:r>
      <w:r w:rsidRPr="00192140">
        <w:rPr>
          <w:rFonts w:ascii="Traditional Arabic" w:hAnsi="Traditional Arabic"/>
          <w:b/>
          <w:sz w:val="32"/>
          <w:szCs w:val="32"/>
          <w:rtl/>
        </w:rPr>
        <w:t xml:space="preserve"> لابن رجب (1/399).</w:t>
      </w:r>
    </w:p>
  </w:footnote>
  <w:footnote w:id="7">
    <w:p w:rsidR="003F128F" w:rsidRPr="00192140" w:rsidRDefault="003F128F" w:rsidP="00292409">
      <w:pPr>
        <w:pStyle w:val="af3"/>
        <w:rPr>
          <w:rFonts w:ascii="Traditional Arabic" w:hAnsi="Traditional Arabic"/>
          <w:sz w:val="32"/>
          <w:szCs w:val="32"/>
        </w:rPr>
      </w:pPr>
      <w:r w:rsidRPr="00192140">
        <w:rPr>
          <w:rFonts w:ascii="Traditional Arabic" w:hAnsi="Traditional Arabic"/>
          <w:sz w:val="32"/>
          <w:szCs w:val="32"/>
          <w:rtl/>
        </w:rPr>
        <w:t>(</w:t>
      </w:r>
      <w:r w:rsidRPr="00192140">
        <w:rPr>
          <w:rStyle w:val="ae"/>
          <w:rFonts w:ascii="Traditional Arabic" w:hAnsi="Traditional Arabic"/>
          <w:sz w:val="32"/>
          <w:szCs w:val="32"/>
          <w:vertAlign w:val="baseline"/>
        </w:rPr>
        <w:footnoteRef/>
      </w:r>
      <w:r w:rsidRPr="00192140">
        <w:rPr>
          <w:rFonts w:ascii="Traditional Arabic" w:hAnsi="Traditional Arabic"/>
          <w:sz w:val="32"/>
          <w:szCs w:val="32"/>
          <w:rtl/>
        </w:rPr>
        <w:t xml:space="preserve">) </w:t>
      </w:r>
      <w:r>
        <w:rPr>
          <w:rFonts w:ascii="Traditional Arabic" w:hAnsi="Traditional Arabic"/>
          <w:b/>
          <w:sz w:val="32"/>
          <w:szCs w:val="32"/>
          <w:rtl/>
        </w:rPr>
        <w:t>انظر: وفيات الأعيان</w:t>
      </w:r>
      <w:r>
        <w:rPr>
          <w:rFonts w:ascii="Traditional Arabic" w:hAnsi="Traditional Arabic" w:hint="cs"/>
          <w:b/>
          <w:sz w:val="32"/>
          <w:szCs w:val="32"/>
          <w:rtl/>
        </w:rPr>
        <w:t xml:space="preserve"> لابن خلكان</w:t>
      </w:r>
      <w:r w:rsidRPr="00192140">
        <w:rPr>
          <w:rFonts w:ascii="Traditional Arabic" w:hAnsi="Traditional Arabic"/>
          <w:b/>
          <w:sz w:val="32"/>
          <w:szCs w:val="32"/>
          <w:rtl/>
        </w:rPr>
        <w:t xml:space="preserve"> (2/321).</w:t>
      </w:r>
      <w:r w:rsidRPr="00192140">
        <w:rPr>
          <w:rFonts w:ascii="Traditional Arabic" w:hAnsi="Traditional Arabic"/>
          <w:sz w:val="32"/>
          <w:szCs w:val="32"/>
          <w:rtl/>
        </w:rPr>
        <w:t xml:space="preserve"> </w:t>
      </w:r>
    </w:p>
  </w:footnote>
  <w:footnote w:id="8">
    <w:p w:rsidR="003F128F" w:rsidRPr="00292409" w:rsidRDefault="003F128F" w:rsidP="00292409">
      <w:pPr>
        <w:pStyle w:val="af3"/>
        <w:rPr>
          <w:rFonts w:ascii="Tahoma" w:hAnsi="Tahoma"/>
        </w:rPr>
      </w:pPr>
      <w:r w:rsidRPr="00292409">
        <w:rPr>
          <w:rFonts w:ascii="Traditional Arabic" w:hAnsi="Traditional Arabic"/>
          <w:sz w:val="32"/>
          <w:szCs w:val="32"/>
          <w:rtl/>
        </w:rPr>
        <w:t>(</w:t>
      </w:r>
      <w:r w:rsidRPr="00292409">
        <w:rPr>
          <w:rStyle w:val="ae"/>
          <w:rFonts w:ascii="Traditional Arabic" w:hAnsi="Traditional Arabic"/>
          <w:sz w:val="32"/>
          <w:szCs w:val="32"/>
          <w:vertAlign w:val="baseline"/>
        </w:rPr>
        <w:footnoteRef/>
      </w:r>
      <w:r w:rsidRPr="00292409">
        <w:rPr>
          <w:rFonts w:ascii="Traditional Arabic" w:hAnsi="Traditional Arabic"/>
          <w:sz w:val="32"/>
          <w:szCs w:val="32"/>
          <w:rtl/>
        </w:rPr>
        <w:t>) انظر: العبر في خبر من غبر</w:t>
      </w:r>
      <w:r w:rsidRPr="00292409">
        <w:rPr>
          <w:rFonts w:ascii="Traditional Arabic" w:hAnsi="Traditional Arabic" w:hint="cs"/>
          <w:sz w:val="32"/>
          <w:szCs w:val="32"/>
          <w:rtl/>
        </w:rPr>
        <w:t xml:space="preserve"> للذهبي</w:t>
      </w:r>
      <w:r w:rsidRPr="00292409">
        <w:rPr>
          <w:rFonts w:ascii="Traditional Arabic" w:hAnsi="Traditional Arabic"/>
          <w:sz w:val="32"/>
          <w:szCs w:val="32"/>
          <w:rtl/>
        </w:rPr>
        <w:t xml:space="preserve"> (3/119), النجوم الزاهرة في ملوك مصـر والقاهرة </w:t>
      </w:r>
      <w:r w:rsidRPr="00292409">
        <w:rPr>
          <w:rFonts w:ascii="Traditional Arabic" w:hAnsi="Traditional Arabic" w:hint="cs"/>
          <w:sz w:val="32"/>
          <w:szCs w:val="32"/>
          <w:rtl/>
        </w:rPr>
        <w:t>ل</w:t>
      </w:r>
      <w:r>
        <w:rPr>
          <w:rFonts w:ascii="Traditional Arabic" w:hAnsi="Traditional Arabic"/>
          <w:sz w:val="32"/>
          <w:szCs w:val="32"/>
          <w:rtl/>
        </w:rPr>
        <w:t xml:space="preserve">ابن تغري </w:t>
      </w:r>
      <w:r w:rsidRPr="00292409">
        <w:rPr>
          <w:rFonts w:ascii="Traditional Arabic" w:hAnsi="Traditional Arabic"/>
          <w:sz w:val="32"/>
          <w:szCs w:val="32"/>
          <w:rtl/>
        </w:rPr>
        <w:t>بردي (6/175).</w:t>
      </w:r>
    </w:p>
  </w:footnote>
  <w:footnote w:id="9">
    <w:p w:rsidR="003F128F" w:rsidRPr="00192140" w:rsidRDefault="003F128F" w:rsidP="00511D24">
      <w:pPr>
        <w:pStyle w:val="af3"/>
        <w:rPr>
          <w:rFonts w:ascii="Traditional Arabic" w:hAnsi="Traditional Arabic"/>
          <w:sz w:val="32"/>
          <w:szCs w:val="32"/>
        </w:rPr>
      </w:pPr>
      <w:r w:rsidRPr="00192140">
        <w:rPr>
          <w:rFonts w:ascii="Traditional Arabic" w:hAnsi="Traditional Arabic"/>
          <w:sz w:val="32"/>
          <w:szCs w:val="32"/>
          <w:rtl/>
        </w:rPr>
        <w:t>(</w:t>
      </w:r>
      <w:r w:rsidRPr="00192140">
        <w:rPr>
          <w:rStyle w:val="ae"/>
          <w:rFonts w:ascii="Traditional Arabic" w:hAnsi="Traditional Arabic"/>
          <w:sz w:val="32"/>
          <w:szCs w:val="32"/>
          <w:vertAlign w:val="baseline"/>
        </w:rPr>
        <w:footnoteRef/>
      </w:r>
      <w:r w:rsidRPr="00192140">
        <w:rPr>
          <w:rFonts w:ascii="Traditional Arabic" w:hAnsi="Traditional Arabic"/>
          <w:sz w:val="32"/>
          <w:szCs w:val="32"/>
          <w:rtl/>
        </w:rPr>
        <w:t xml:space="preserve">) ستأتي ترجمته في شيوخه قريبا بإذن الله. </w:t>
      </w:r>
    </w:p>
  </w:footnote>
  <w:footnote w:id="10">
    <w:p w:rsidR="003F128F" w:rsidRPr="00192140" w:rsidRDefault="003F128F" w:rsidP="00511D24">
      <w:pPr>
        <w:pStyle w:val="af3"/>
        <w:rPr>
          <w:rFonts w:ascii="Traditional Arabic" w:hAnsi="Traditional Arabic"/>
          <w:sz w:val="32"/>
          <w:szCs w:val="32"/>
        </w:rPr>
      </w:pPr>
      <w:r w:rsidRPr="00192140">
        <w:rPr>
          <w:rFonts w:ascii="Traditional Arabic" w:hAnsi="Traditional Arabic"/>
          <w:sz w:val="32"/>
          <w:szCs w:val="32"/>
          <w:rtl/>
        </w:rPr>
        <w:t>(</w:t>
      </w:r>
      <w:r w:rsidRPr="00192140">
        <w:rPr>
          <w:rStyle w:val="ae"/>
          <w:rFonts w:ascii="Traditional Arabic" w:hAnsi="Traditional Arabic"/>
          <w:sz w:val="32"/>
          <w:szCs w:val="32"/>
          <w:vertAlign w:val="baseline"/>
        </w:rPr>
        <w:footnoteRef/>
      </w:r>
      <w:r w:rsidRPr="00192140">
        <w:rPr>
          <w:rFonts w:ascii="Traditional Arabic" w:hAnsi="Traditional Arabic"/>
          <w:sz w:val="32"/>
          <w:szCs w:val="32"/>
          <w:rtl/>
        </w:rPr>
        <w:t xml:space="preserve">) ستأتي ترجمته في شيوخه قريبا بإذن الله. </w:t>
      </w:r>
    </w:p>
  </w:footnote>
  <w:footnote w:id="11">
    <w:p w:rsidR="003F128F" w:rsidRPr="00192140" w:rsidRDefault="003F128F" w:rsidP="00511D24">
      <w:pPr>
        <w:pStyle w:val="af3"/>
        <w:rPr>
          <w:rFonts w:ascii="Traditional Arabic" w:hAnsi="Traditional Arabic"/>
          <w:sz w:val="32"/>
          <w:szCs w:val="32"/>
        </w:rPr>
      </w:pPr>
      <w:r w:rsidRPr="00192140">
        <w:rPr>
          <w:rFonts w:ascii="Traditional Arabic" w:hAnsi="Traditional Arabic"/>
          <w:sz w:val="32"/>
          <w:szCs w:val="32"/>
          <w:rtl/>
        </w:rPr>
        <w:t>(</w:t>
      </w:r>
      <w:r w:rsidRPr="00192140">
        <w:rPr>
          <w:rStyle w:val="ae"/>
          <w:rFonts w:ascii="Traditional Arabic" w:hAnsi="Traditional Arabic"/>
          <w:sz w:val="32"/>
          <w:szCs w:val="32"/>
          <w:vertAlign w:val="baseline"/>
        </w:rPr>
        <w:footnoteRef/>
      </w:r>
      <w:r w:rsidRPr="00192140">
        <w:rPr>
          <w:rFonts w:ascii="Traditional Arabic" w:hAnsi="Traditional Arabic"/>
          <w:sz w:val="32"/>
          <w:szCs w:val="32"/>
          <w:rtl/>
        </w:rPr>
        <w:t xml:space="preserve">) ستأتي ترجمته في شيوخه قريبا بإذن الله. </w:t>
      </w:r>
    </w:p>
  </w:footnote>
  <w:footnote w:id="12">
    <w:p w:rsidR="003F128F" w:rsidRPr="00192140" w:rsidRDefault="003F128F" w:rsidP="00511D24">
      <w:pPr>
        <w:pStyle w:val="af3"/>
        <w:rPr>
          <w:rFonts w:ascii="Traditional Arabic" w:hAnsi="Traditional Arabic"/>
          <w:sz w:val="32"/>
          <w:szCs w:val="32"/>
        </w:rPr>
      </w:pPr>
      <w:r w:rsidRPr="00192140">
        <w:rPr>
          <w:rFonts w:ascii="Traditional Arabic" w:hAnsi="Traditional Arabic"/>
          <w:sz w:val="32"/>
          <w:szCs w:val="32"/>
          <w:rtl/>
        </w:rPr>
        <w:t>(</w:t>
      </w:r>
      <w:r w:rsidRPr="00192140">
        <w:rPr>
          <w:rStyle w:val="ae"/>
          <w:rFonts w:ascii="Traditional Arabic" w:hAnsi="Traditional Arabic"/>
          <w:sz w:val="32"/>
          <w:szCs w:val="32"/>
          <w:vertAlign w:val="baseline"/>
        </w:rPr>
        <w:footnoteRef/>
      </w:r>
      <w:r w:rsidRPr="00192140">
        <w:rPr>
          <w:rFonts w:ascii="Traditional Arabic" w:hAnsi="Traditional Arabic"/>
          <w:sz w:val="32"/>
          <w:szCs w:val="32"/>
          <w:rtl/>
        </w:rPr>
        <w:t xml:space="preserve">) ستأتي ترجمته في شيوخه قريبا بإذن الله. </w:t>
      </w:r>
    </w:p>
  </w:footnote>
  <w:footnote w:id="13">
    <w:p w:rsidR="003F128F" w:rsidRPr="00192140" w:rsidRDefault="003F128F" w:rsidP="003D1D79">
      <w:pPr>
        <w:pStyle w:val="af3"/>
        <w:rPr>
          <w:rFonts w:ascii="Traditional Arabic" w:hAnsi="Traditional Arabic"/>
          <w:sz w:val="32"/>
          <w:szCs w:val="32"/>
        </w:rPr>
      </w:pPr>
      <w:r w:rsidRPr="00192140">
        <w:rPr>
          <w:rFonts w:ascii="Traditional Arabic" w:hAnsi="Traditional Arabic"/>
          <w:sz w:val="32"/>
          <w:szCs w:val="32"/>
          <w:rtl/>
        </w:rPr>
        <w:t>(</w:t>
      </w:r>
      <w:r w:rsidRPr="00192140">
        <w:rPr>
          <w:rStyle w:val="ae"/>
          <w:rFonts w:ascii="Traditional Arabic" w:hAnsi="Traditional Arabic"/>
          <w:sz w:val="32"/>
          <w:szCs w:val="32"/>
          <w:vertAlign w:val="baseline"/>
        </w:rPr>
        <w:footnoteRef/>
      </w:r>
      <w:r w:rsidRPr="00192140">
        <w:rPr>
          <w:rFonts w:ascii="Traditional Arabic" w:hAnsi="Traditional Arabic"/>
          <w:sz w:val="32"/>
          <w:szCs w:val="32"/>
          <w:rtl/>
        </w:rPr>
        <w:t>) ستأتي ترجمته في شيوخه قريبا بإذن الله.</w:t>
      </w:r>
    </w:p>
  </w:footnote>
  <w:footnote w:id="14">
    <w:p w:rsidR="003F128F" w:rsidRPr="00192140" w:rsidRDefault="003F128F" w:rsidP="00511D24">
      <w:pPr>
        <w:pStyle w:val="af3"/>
        <w:rPr>
          <w:rFonts w:ascii="Traditional Arabic" w:hAnsi="Traditional Arabic"/>
          <w:sz w:val="32"/>
          <w:szCs w:val="32"/>
        </w:rPr>
      </w:pPr>
      <w:r w:rsidRPr="00192140">
        <w:rPr>
          <w:rFonts w:ascii="Traditional Arabic" w:hAnsi="Traditional Arabic"/>
          <w:sz w:val="32"/>
          <w:szCs w:val="32"/>
          <w:rtl/>
        </w:rPr>
        <w:t>(</w:t>
      </w:r>
      <w:r w:rsidRPr="00192140">
        <w:rPr>
          <w:rStyle w:val="ae"/>
          <w:rFonts w:ascii="Traditional Arabic" w:hAnsi="Traditional Arabic"/>
          <w:sz w:val="32"/>
          <w:szCs w:val="32"/>
          <w:vertAlign w:val="baseline"/>
        </w:rPr>
        <w:footnoteRef/>
      </w:r>
      <w:r w:rsidRPr="00192140">
        <w:rPr>
          <w:rFonts w:ascii="Traditional Arabic" w:hAnsi="Traditional Arabic"/>
          <w:sz w:val="32"/>
          <w:szCs w:val="32"/>
          <w:rtl/>
        </w:rPr>
        <w:t>) أبو منصور موهوب بن أحمد, وستأتي ترجمته في شيوخه بإذن ال</w:t>
      </w:r>
      <w:r>
        <w:rPr>
          <w:rFonts w:ascii="Traditional Arabic" w:hAnsi="Traditional Arabic" w:hint="cs"/>
          <w:sz w:val="32"/>
          <w:szCs w:val="32"/>
          <w:rtl/>
        </w:rPr>
        <w:t>ل</w:t>
      </w:r>
      <w:r w:rsidRPr="00192140">
        <w:rPr>
          <w:rFonts w:ascii="Traditional Arabic" w:hAnsi="Traditional Arabic"/>
          <w:sz w:val="32"/>
          <w:szCs w:val="32"/>
          <w:rtl/>
        </w:rPr>
        <w:t>ه.</w:t>
      </w:r>
    </w:p>
  </w:footnote>
  <w:footnote w:id="15">
    <w:p w:rsidR="003F128F" w:rsidRPr="003D1D79" w:rsidRDefault="003F128F" w:rsidP="007F5114">
      <w:pPr>
        <w:pStyle w:val="af3"/>
        <w:rPr>
          <w:rFonts w:ascii="Tahoma" w:hAnsi="Tahoma"/>
        </w:rPr>
      </w:pPr>
      <w:r w:rsidRPr="00192140">
        <w:rPr>
          <w:rFonts w:ascii="Traditional Arabic" w:hAnsi="Traditional Arabic"/>
          <w:sz w:val="32"/>
          <w:szCs w:val="32"/>
          <w:rtl/>
        </w:rPr>
        <w:t>(</w:t>
      </w:r>
      <w:r w:rsidRPr="00192140">
        <w:rPr>
          <w:rStyle w:val="ae"/>
          <w:rFonts w:ascii="Traditional Arabic" w:hAnsi="Traditional Arabic"/>
          <w:sz w:val="32"/>
          <w:szCs w:val="32"/>
          <w:vertAlign w:val="baseline"/>
        </w:rPr>
        <w:footnoteRef/>
      </w:r>
      <w:r w:rsidRPr="00192140">
        <w:rPr>
          <w:rFonts w:ascii="Traditional Arabic" w:hAnsi="Traditional Arabic"/>
          <w:sz w:val="32"/>
          <w:szCs w:val="32"/>
          <w:rtl/>
        </w:rPr>
        <w:t xml:space="preserve">) </w:t>
      </w:r>
      <w:r w:rsidRPr="00192140">
        <w:rPr>
          <w:rFonts w:ascii="Traditional Arabic" w:hAnsi="Traditional Arabic"/>
          <w:b/>
          <w:sz w:val="32"/>
          <w:szCs w:val="32"/>
          <w:rtl/>
        </w:rPr>
        <w:t xml:space="preserve">انظر: البداية والنهاية (13/244), المستفاد من </w:t>
      </w:r>
      <w:r w:rsidRPr="007F5114">
        <w:rPr>
          <w:rFonts w:ascii="Traditional Arabic" w:hAnsi="Traditional Arabic"/>
          <w:b/>
          <w:sz w:val="32"/>
          <w:szCs w:val="32"/>
          <w:rtl/>
        </w:rPr>
        <w:t xml:space="preserve">ذيل تاريخ بغداد </w:t>
      </w:r>
      <w:r w:rsidRPr="007F5114">
        <w:rPr>
          <w:rFonts w:ascii="Traditional Arabic" w:hAnsi="Traditional Arabic" w:hint="cs"/>
          <w:b/>
          <w:sz w:val="32"/>
          <w:szCs w:val="32"/>
          <w:rtl/>
        </w:rPr>
        <w:t>ل</w:t>
      </w:r>
      <w:r w:rsidRPr="007F5114">
        <w:rPr>
          <w:rFonts w:ascii="Traditional Arabic" w:hAnsi="Traditional Arabic"/>
          <w:b/>
          <w:sz w:val="32"/>
          <w:szCs w:val="32"/>
          <w:rtl/>
        </w:rPr>
        <w:t>ابن الدمياطي</w:t>
      </w:r>
      <w:r w:rsidRPr="007F5114">
        <w:rPr>
          <w:rFonts w:ascii="Traditional Arabic" w:hAnsi="Traditional Arabic"/>
          <w:b/>
          <w:bCs/>
          <w:sz w:val="32"/>
          <w:szCs w:val="32"/>
          <w:rtl/>
        </w:rPr>
        <w:t xml:space="preserve"> </w:t>
      </w:r>
      <w:r w:rsidRPr="00192140">
        <w:rPr>
          <w:rFonts w:ascii="Traditional Arabic" w:hAnsi="Traditional Arabic"/>
          <w:b/>
          <w:sz w:val="32"/>
          <w:szCs w:val="32"/>
          <w:rtl/>
        </w:rPr>
        <w:t>(1/177), شذرات الذهب</w:t>
      </w:r>
      <w:r>
        <w:rPr>
          <w:rFonts w:ascii="Traditional Arabic" w:hAnsi="Traditional Arabic" w:hint="cs"/>
          <w:b/>
          <w:sz w:val="32"/>
          <w:szCs w:val="32"/>
          <w:rtl/>
        </w:rPr>
        <w:t xml:space="preserve"> لابن العماد الحنبلي</w:t>
      </w:r>
      <w:r w:rsidRPr="00192140">
        <w:rPr>
          <w:rFonts w:ascii="Traditional Arabic" w:hAnsi="Traditional Arabic"/>
          <w:b/>
          <w:sz w:val="32"/>
          <w:szCs w:val="32"/>
          <w:rtl/>
        </w:rPr>
        <w:t xml:space="preserve"> (4/377).</w:t>
      </w:r>
    </w:p>
  </w:footnote>
  <w:footnote w:id="16">
    <w:p w:rsidR="003F128F" w:rsidRPr="00192140" w:rsidRDefault="003F128F" w:rsidP="007F5114">
      <w:pPr>
        <w:pStyle w:val="af3"/>
        <w:rPr>
          <w:rFonts w:ascii="Traditional Arabic" w:hAnsi="Traditional Arabic"/>
          <w:sz w:val="32"/>
          <w:szCs w:val="32"/>
        </w:rPr>
      </w:pPr>
      <w:r w:rsidRPr="00192140">
        <w:rPr>
          <w:rFonts w:ascii="Traditional Arabic" w:hAnsi="Traditional Arabic"/>
          <w:sz w:val="32"/>
          <w:szCs w:val="32"/>
          <w:rtl/>
        </w:rPr>
        <w:t>(</w:t>
      </w:r>
      <w:r w:rsidRPr="00192140">
        <w:rPr>
          <w:rStyle w:val="ae"/>
          <w:rFonts w:ascii="Traditional Arabic" w:hAnsi="Traditional Arabic"/>
          <w:sz w:val="32"/>
          <w:szCs w:val="32"/>
          <w:vertAlign w:val="baseline"/>
        </w:rPr>
        <w:footnoteRef/>
      </w:r>
      <w:r w:rsidRPr="00192140">
        <w:rPr>
          <w:rFonts w:ascii="Traditional Arabic" w:hAnsi="Traditional Arabic"/>
          <w:sz w:val="32"/>
          <w:szCs w:val="32"/>
          <w:rtl/>
        </w:rPr>
        <w:t xml:space="preserve">) </w:t>
      </w:r>
      <w:r w:rsidRPr="00192140">
        <w:rPr>
          <w:rFonts w:ascii="Traditional Arabic" w:hAnsi="Traditional Arabic"/>
          <w:b/>
          <w:sz w:val="32"/>
          <w:szCs w:val="32"/>
          <w:rtl/>
        </w:rPr>
        <w:t>انظر: صـيد الخاطر (</w:t>
      </w:r>
      <w:r>
        <w:rPr>
          <w:rFonts w:ascii="Traditional Arabic" w:hAnsi="Traditional Arabic" w:hint="cs"/>
          <w:b/>
          <w:sz w:val="32"/>
          <w:szCs w:val="32"/>
          <w:rtl/>
        </w:rPr>
        <w:t>ص</w:t>
      </w:r>
      <w:r w:rsidRPr="00192140">
        <w:rPr>
          <w:rFonts w:ascii="Traditional Arabic" w:hAnsi="Traditional Arabic"/>
          <w:b/>
          <w:sz w:val="32"/>
          <w:szCs w:val="32"/>
          <w:rtl/>
        </w:rPr>
        <w:t>459).</w:t>
      </w:r>
    </w:p>
  </w:footnote>
  <w:footnote w:id="17">
    <w:p w:rsidR="003F128F" w:rsidRPr="00477730" w:rsidRDefault="003F128F" w:rsidP="00477730">
      <w:pPr>
        <w:pStyle w:val="af3"/>
        <w:rPr>
          <w:rFonts w:ascii="Tahoma" w:hAnsi="Tahoma"/>
        </w:rPr>
      </w:pPr>
      <w:r w:rsidRPr="00477730">
        <w:rPr>
          <w:rFonts w:ascii="Tahoma" w:hAnsi="Tahoma"/>
          <w:rtl/>
        </w:rPr>
        <w:t>(</w:t>
      </w:r>
      <w:r w:rsidRPr="00477730">
        <w:rPr>
          <w:rStyle w:val="ae"/>
          <w:rFonts w:ascii="Tahoma" w:hAnsi="Tahoma"/>
          <w:vertAlign w:val="baseline"/>
        </w:rPr>
        <w:footnoteRef/>
      </w:r>
      <w:r w:rsidRPr="00477730">
        <w:rPr>
          <w:rFonts w:ascii="Tahoma" w:hAnsi="Tahoma"/>
          <w:rtl/>
        </w:rPr>
        <w:t>)</w:t>
      </w:r>
      <w:r>
        <w:rPr>
          <w:rFonts w:ascii="Tahoma" w:hAnsi="Tahoma" w:hint="cs"/>
          <w:rtl/>
        </w:rPr>
        <w:t xml:space="preserve"> </w:t>
      </w:r>
      <w:r w:rsidRPr="00192140">
        <w:rPr>
          <w:rFonts w:ascii="Traditional Arabic" w:hAnsi="Traditional Arabic"/>
          <w:b/>
          <w:sz w:val="32"/>
          <w:szCs w:val="32"/>
          <w:rtl/>
        </w:rPr>
        <w:t>البداية والنهاية (13/244).</w:t>
      </w:r>
      <w:r>
        <w:rPr>
          <w:rFonts w:ascii="Tahoma" w:hAnsi="Tahoma"/>
          <w:rtl/>
        </w:rPr>
        <w:t xml:space="preserve">  </w:t>
      </w:r>
    </w:p>
  </w:footnote>
  <w:footnote w:id="18">
    <w:p w:rsidR="003F128F" w:rsidRPr="00192140" w:rsidRDefault="003F128F" w:rsidP="004E0C79">
      <w:pPr>
        <w:pStyle w:val="af3"/>
        <w:rPr>
          <w:rFonts w:ascii="Traditional Arabic" w:hAnsi="Traditional Arabic"/>
          <w:sz w:val="32"/>
          <w:szCs w:val="32"/>
        </w:rPr>
      </w:pPr>
      <w:r w:rsidRPr="00192140">
        <w:rPr>
          <w:rFonts w:ascii="Traditional Arabic" w:hAnsi="Traditional Arabic"/>
          <w:sz w:val="32"/>
          <w:szCs w:val="32"/>
          <w:rtl/>
        </w:rPr>
        <w:t>(</w:t>
      </w:r>
      <w:r w:rsidRPr="00192140">
        <w:rPr>
          <w:rStyle w:val="ae"/>
          <w:rFonts w:ascii="Traditional Arabic" w:hAnsi="Traditional Arabic"/>
          <w:sz w:val="32"/>
          <w:szCs w:val="32"/>
          <w:vertAlign w:val="baseline"/>
        </w:rPr>
        <w:footnoteRef/>
      </w:r>
      <w:r w:rsidRPr="00192140">
        <w:rPr>
          <w:rFonts w:ascii="Traditional Arabic" w:hAnsi="Traditional Arabic"/>
          <w:sz w:val="32"/>
          <w:szCs w:val="32"/>
          <w:rtl/>
        </w:rPr>
        <w:t>) هذا نهر مأخذه من الفرات</w:t>
      </w:r>
      <w:r>
        <w:rPr>
          <w:rFonts w:ascii="Traditional Arabic" w:hAnsi="Traditional Arabic" w:hint="cs"/>
          <w:sz w:val="32"/>
          <w:szCs w:val="32"/>
          <w:rtl/>
        </w:rPr>
        <w:t>,</w:t>
      </w:r>
      <w:r w:rsidRPr="00192140">
        <w:rPr>
          <w:rFonts w:ascii="Traditional Arabic" w:hAnsi="Traditional Arabic"/>
          <w:sz w:val="32"/>
          <w:szCs w:val="32"/>
          <w:rtl/>
        </w:rPr>
        <w:t xml:space="preserve"> </w:t>
      </w:r>
      <w:r>
        <w:rPr>
          <w:rFonts w:ascii="Traditional Arabic" w:hAnsi="Traditional Arabic" w:hint="cs"/>
          <w:sz w:val="32"/>
          <w:szCs w:val="32"/>
          <w:rtl/>
        </w:rPr>
        <w:t>و</w:t>
      </w:r>
      <w:r w:rsidRPr="00192140">
        <w:rPr>
          <w:rFonts w:ascii="Traditional Arabic" w:hAnsi="Traditional Arabic"/>
          <w:sz w:val="32"/>
          <w:szCs w:val="32"/>
          <w:rtl/>
        </w:rPr>
        <w:t xml:space="preserve">يصب في دجلة عند قصر عيسى بن علي. انظر المسالك </w:t>
      </w:r>
      <w:r w:rsidRPr="007F5114">
        <w:rPr>
          <w:rFonts w:ascii="Traditional Arabic" w:hAnsi="Traditional Arabic"/>
          <w:sz w:val="32"/>
          <w:szCs w:val="32"/>
          <w:rtl/>
        </w:rPr>
        <w:t xml:space="preserve">والممالك </w:t>
      </w:r>
      <w:r w:rsidRPr="007F5114">
        <w:rPr>
          <w:rFonts w:ascii="Traditional Arabic" w:hAnsi="Traditional Arabic" w:hint="cs"/>
          <w:sz w:val="32"/>
          <w:szCs w:val="32"/>
          <w:rtl/>
        </w:rPr>
        <w:t>ل</w:t>
      </w:r>
      <w:r w:rsidRPr="007F5114">
        <w:rPr>
          <w:rFonts w:ascii="Traditional Arabic" w:hAnsi="Traditional Arabic"/>
          <w:sz w:val="32"/>
          <w:szCs w:val="32"/>
          <w:rtl/>
        </w:rPr>
        <w:t>ابن خرداذبة</w:t>
      </w:r>
      <w:r w:rsidRPr="007F5114">
        <w:rPr>
          <w:rFonts w:ascii="Traditional Arabic" w:hAnsi="Traditional Arabic"/>
          <w:b/>
          <w:bCs/>
          <w:sz w:val="32"/>
          <w:szCs w:val="32"/>
          <w:rtl/>
        </w:rPr>
        <w:t xml:space="preserve"> </w:t>
      </w:r>
      <w:r w:rsidRPr="00192140">
        <w:rPr>
          <w:rFonts w:ascii="Traditional Arabic" w:hAnsi="Traditional Arabic"/>
          <w:sz w:val="32"/>
          <w:szCs w:val="32"/>
          <w:rtl/>
        </w:rPr>
        <w:t xml:space="preserve">(84)، معجم البلدان (5/322).  </w:t>
      </w:r>
    </w:p>
  </w:footnote>
  <w:footnote w:id="19">
    <w:p w:rsidR="003F128F" w:rsidRPr="00192140" w:rsidRDefault="003F128F" w:rsidP="00192140">
      <w:pPr>
        <w:pStyle w:val="af3"/>
        <w:rPr>
          <w:rFonts w:ascii="Traditional Arabic" w:hAnsi="Traditional Arabic"/>
          <w:sz w:val="32"/>
          <w:szCs w:val="32"/>
        </w:rPr>
      </w:pPr>
      <w:r w:rsidRPr="00192140">
        <w:rPr>
          <w:rFonts w:ascii="Traditional Arabic" w:hAnsi="Traditional Arabic"/>
          <w:sz w:val="32"/>
          <w:szCs w:val="32"/>
          <w:rtl/>
        </w:rPr>
        <w:t>(</w:t>
      </w:r>
      <w:r w:rsidRPr="00192140">
        <w:rPr>
          <w:rStyle w:val="ae"/>
          <w:rFonts w:ascii="Traditional Arabic" w:hAnsi="Traditional Arabic"/>
          <w:sz w:val="32"/>
          <w:szCs w:val="32"/>
          <w:vertAlign w:val="baseline"/>
        </w:rPr>
        <w:footnoteRef/>
      </w:r>
      <w:r w:rsidRPr="00192140">
        <w:rPr>
          <w:rFonts w:ascii="Traditional Arabic" w:hAnsi="Traditional Arabic"/>
          <w:sz w:val="32"/>
          <w:szCs w:val="32"/>
          <w:rtl/>
        </w:rPr>
        <w:t xml:space="preserve">) </w:t>
      </w:r>
      <w:r w:rsidRPr="00192140">
        <w:rPr>
          <w:rFonts w:ascii="Traditional Arabic" w:hAnsi="Traditional Arabic"/>
          <w:b/>
          <w:sz w:val="32"/>
          <w:szCs w:val="32"/>
          <w:rtl/>
        </w:rPr>
        <w:t>صـيد الخاطر (</w:t>
      </w:r>
      <w:r>
        <w:rPr>
          <w:rFonts w:ascii="Traditional Arabic" w:hAnsi="Traditional Arabic" w:hint="cs"/>
          <w:b/>
          <w:sz w:val="32"/>
          <w:szCs w:val="32"/>
          <w:rtl/>
        </w:rPr>
        <w:t>ص</w:t>
      </w:r>
      <w:r w:rsidRPr="00192140">
        <w:rPr>
          <w:rFonts w:ascii="Traditional Arabic" w:hAnsi="Traditional Arabic"/>
          <w:b/>
          <w:sz w:val="32"/>
          <w:szCs w:val="32"/>
          <w:rtl/>
        </w:rPr>
        <w:t>248).</w:t>
      </w:r>
      <w:r w:rsidRPr="00192140">
        <w:rPr>
          <w:rFonts w:ascii="Traditional Arabic" w:hAnsi="Traditional Arabic"/>
          <w:sz w:val="32"/>
          <w:szCs w:val="32"/>
          <w:rtl/>
        </w:rPr>
        <w:t xml:space="preserve"> </w:t>
      </w:r>
    </w:p>
  </w:footnote>
  <w:footnote w:id="20">
    <w:p w:rsidR="003F128F" w:rsidRPr="00192140" w:rsidRDefault="003F128F" w:rsidP="00192140">
      <w:pPr>
        <w:pStyle w:val="af3"/>
        <w:rPr>
          <w:rFonts w:ascii="Tahoma" w:hAnsi="Tahoma"/>
        </w:rPr>
      </w:pPr>
      <w:r w:rsidRPr="00192140">
        <w:rPr>
          <w:rFonts w:ascii="Traditional Arabic" w:hAnsi="Traditional Arabic"/>
          <w:sz w:val="32"/>
          <w:szCs w:val="32"/>
          <w:rtl/>
        </w:rPr>
        <w:t>(</w:t>
      </w:r>
      <w:r w:rsidRPr="00192140">
        <w:rPr>
          <w:rStyle w:val="ae"/>
          <w:rFonts w:ascii="Traditional Arabic" w:hAnsi="Traditional Arabic"/>
          <w:sz w:val="32"/>
          <w:szCs w:val="32"/>
          <w:vertAlign w:val="baseline"/>
        </w:rPr>
        <w:footnoteRef/>
      </w:r>
      <w:r w:rsidRPr="00192140">
        <w:rPr>
          <w:rFonts w:ascii="Traditional Arabic" w:hAnsi="Traditional Arabic"/>
          <w:sz w:val="32"/>
          <w:szCs w:val="32"/>
          <w:rtl/>
        </w:rPr>
        <w:t xml:space="preserve">) </w:t>
      </w:r>
      <w:r w:rsidRPr="00192140">
        <w:rPr>
          <w:rFonts w:ascii="Traditional Arabic" w:hAnsi="Traditional Arabic"/>
          <w:b/>
          <w:sz w:val="32"/>
          <w:szCs w:val="32"/>
          <w:rtl/>
        </w:rPr>
        <w:t>صـيد الخاطر (</w:t>
      </w:r>
      <w:r>
        <w:rPr>
          <w:rFonts w:ascii="Traditional Arabic" w:hAnsi="Traditional Arabic" w:hint="cs"/>
          <w:b/>
          <w:sz w:val="32"/>
          <w:szCs w:val="32"/>
          <w:rtl/>
        </w:rPr>
        <w:t>ص</w:t>
      </w:r>
      <w:r w:rsidRPr="00192140">
        <w:rPr>
          <w:rFonts w:ascii="Traditional Arabic" w:hAnsi="Traditional Arabic"/>
          <w:b/>
          <w:sz w:val="32"/>
          <w:szCs w:val="32"/>
          <w:rtl/>
        </w:rPr>
        <w:t>248).</w:t>
      </w:r>
      <w:r>
        <w:rPr>
          <w:rFonts w:ascii="Tahoma" w:hAnsi="Tahoma"/>
          <w:rtl/>
        </w:rPr>
        <w:t xml:space="preserve"> </w:t>
      </w:r>
    </w:p>
  </w:footnote>
  <w:footnote w:id="21">
    <w:p w:rsidR="003F128F" w:rsidRPr="00192140" w:rsidRDefault="003F128F" w:rsidP="007F5114">
      <w:pPr>
        <w:pStyle w:val="af3"/>
        <w:rPr>
          <w:rFonts w:ascii="Traditional Arabic" w:hAnsi="Traditional Arabic"/>
          <w:sz w:val="32"/>
          <w:szCs w:val="32"/>
        </w:rPr>
      </w:pPr>
      <w:r w:rsidRPr="00192140">
        <w:rPr>
          <w:rFonts w:ascii="Traditional Arabic" w:hAnsi="Traditional Arabic"/>
          <w:sz w:val="32"/>
          <w:szCs w:val="32"/>
          <w:rtl/>
        </w:rPr>
        <w:t>(</w:t>
      </w:r>
      <w:r w:rsidRPr="00192140">
        <w:rPr>
          <w:rStyle w:val="ae"/>
          <w:rFonts w:ascii="Traditional Arabic" w:hAnsi="Traditional Arabic"/>
          <w:sz w:val="32"/>
          <w:szCs w:val="32"/>
          <w:vertAlign w:val="baseline"/>
        </w:rPr>
        <w:footnoteRef/>
      </w:r>
      <w:r w:rsidRPr="00192140">
        <w:rPr>
          <w:rFonts w:ascii="Traditional Arabic" w:hAnsi="Traditional Arabic"/>
          <w:sz w:val="32"/>
          <w:szCs w:val="32"/>
          <w:rtl/>
        </w:rPr>
        <w:t xml:space="preserve">) </w:t>
      </w:r>
      <w:r w:rsidRPr="00192140">
        <w:rPr>
          <w:rFonts w:ascii="Traditional Arabic" w:hAnsi="Traditional Arabic"/>
          <w:b/>
          <w:sz w:val="32"/>
          <w:szCs w:val="32"/>
          <w:rtl/>
        </w:rPr>
        <w:t>انظر: البداية والنهاية (13/244), المستفاد من ذيل تاريخ بغداد (1/177), شذرات الذهب (4/330).</w:t>
      </w:r>
      <w:r w:rsidRPr="00192140">
        <w:rPr>
          <w:rFonts w:ascii="Traditional Arabic" w:hAnsi="Traditional Arabic"/>
          <w:sz w:val="32"/>
          <w:szCs w:val="32"/>
          <w:rtl/>
        </w:rPr>
        <w:t xml:space="preserve"> </w:t>
      </w:r>
    </w:p>
  </w:footnote>
  <w:footnote w:id="22">
    <w:p w:rsidR="003F128F" w:rsidRPr="00E72503" w:rsidRDefault="003F128F" w:rsidP="00E72503">
      <w:pPr>
        <w:pStyle w:val="af3"/>
        <w:rPr>
          <w:rFonts w:ascii="Tahoma" w:hAnsi="Tahoma"/>
        </w:rPr>
      </w:pPr>
      <w:r w:rsidRPr="00E72503">
        <w:rPr>
          <w:rFonts w:ascii="Tahoma" w:hAnsi="Tahoma"/>
          <w:rtl/>
        </w:rPr>
        <w:t>(</w:t>
      </w:r>
      <w:r w:rsidRPr="00E72503">
        <w:rPr>
          <w:rStyle w:val="ae"/>
          <w:rFonts w:ascii="Tahoma" w:hAnsi="Tahoma"/>
          <w:vertAlign w:val="baseline"/>
        </w:rPr>
        <w:footnoteRef/>
      </w:r>
      <w:r w:rsidRPr="00E72503">
        <w:rPr>
          <w:rFonts w:ascii="Tahoma" w:hAnsi="Tahoma"/>
          <w:rtl/>
        </w:rPr>
        <w:t>)</w:t>
      </w:r>
      <w:r w:rsidRPr="00192140">
        <w:rPr>
          <w:rFonts w:ascii="Traditional Arabic" w:hAnsi="Traditional Arabic"/>
          <w:color w:val="auto"/>
          <w:sz w:val="32"/>
          <w:szCs w:val="32"/>
          <w:rtl/>
        </w:rPr>
        <w:t>إن كان هذا الخبر صحيحا فهذا الفعل لا يجوز لورود النهي عن ذلك فقد أخرج الترمذي في سننه (</w:t>
      </w:r>
      <w:r>
        <w:rPr>
          <w:rFonts w:ascii="Traditional Arabic" w:hAnsi="Traditional Arabic" w:hint="cs"/>
          <w:color w:val="auto"/>
          <w:sz w:val="32"/>
          <w:szCs w:val="32"/>
          <w:rtl/>
        </w:rPr>
        <w:t>كتاب الجنائز, باب: ما جاء في كراهة تجصيص القبور والكتابة عليها, 4/146 ح1052</w:t>
      </w:r>
      <w:r w:rsidRPr="00192140">
        <w:rPr>
          <w:rFonts w:ascii="Traditional Arabic" w:hAnsi="Traditional Arabic"/>
          <w:color w:val="auto"/>
          <w:sz w:val="32"/>
          <w:szCs w:val="32"/>
          <w:rtl/>
        </w:rPr>
        <w:t xml:space="preserve">) عن جابر قال: "نهى النبي </w:t>
      </w:r>
      <w:r>
        <w:rPr>
          <w:rFonts w:ascii="Traditional Arabic" w:hAnsi="Traditional Arabic"/>
          <w:color w:val="auto"/>
          <w:sz w:val="32"/>
          <w:szCs w:val="32"/>
        </w:rPr>
        <w:sym w:font="AGA Arabesque" w:char="F072"/>
      </w:r>
      <w:r>
        <w:rPr>
          <w:rFonts w:ascii="Traditional Arabic" w:hAnsi="Traditional Arabic" w:hint="cs"/>
          <w:color w:val="auto"/>
          <w:sz w:val="32"/>
          <w:szCs w:val="32"/>
          <w:rtl/>
        </w:rPr>
        <w:t xml:space="preserve"> </w:t>
      </w:r>
      <w:r w:rsidRPr="00192140">
        <w:rPr>
          <w:rFonts w:ascii="Traditional Arabic" w:hAnsi="Traditional Arabic"/>
          <w:color w:val="auto"/>
          <w:sz w:val="32"/>
          <w:szCs w:val="32"/>
          <w:rtl/>
        </w:rPr>
        <w:t xml:space="preserve">أن تجصص القبور، وأن يكتب عليها، وأن </w:t>
      </w:r>
      <w:r>
        <w:rPr>
          <w:rFonts w:ascii="Traditional Arabic" w:hAnsi="Traditional Arabic"/>
          <w:color w:val="auto"/>
          <w:sz w:val="32"/>
          <w:szCs w:val="32"/>
          <w:rtl/>
        </w:rPr>
        <w:t xml:space="preserve"> </w:t>
      </w:r>
      <w:r w:rsidRPr="00192140">
        <w:rPr>
          <w:rFonts w:ascii="Traditional Arabic" w:hAnsi="Traditional Arabic"/>
          <w:color w:val="auto"/>
          <w:sz w:val="32"/>
          <w:szCs w:val="32"/>
          <w:rtl/>
        </w:rPr>
        <w:t xml:space="preserve">يبنى عليها، وأن توطأ". قال الترمذي: حديث حسن صحيح. وانظر تيسير العزيز الحميد شرح كتاب </w:t>
      </w:r>
      <w:r w:rsidRPr="00292409">
        <w:rPr>
          <w:rFonts w:ascii="Traditional Arabic" w:hAnsi="Traditional Arabic"/>
          <w:color w:val="auto"/>
          <w:sz w:val="32"/>
          <w:szCs w:val="32"/>
          <w:rtl/>
        </w:rPr>
        <w:t>التوحيد</w:t>
      </w:r>
      <w:r w:rsidRPr="00292409">
        <w:rPr>
          <w:rFonts w:ascii="Traditional Arabic" w:hAnsi="Traditional Arabic"/>
          <w:sz w:val="32"/>
          <w:szCs w:val="32"/>
          <w:rtl/>
          <w:lang w:eastAsia="en-US"/>
        </w:rPr>
        <w:t xml:space="preserve"> </w:t>
      </w:r>
      <w:r w:rsidRPr="00292409">
        <w:rPr>
          <w:rFonts w:ascii="Traditional Arabic" w:hAnsi="Traditional Arabic" w:hint="cs"/>
          <w:sz w:val="32"/>
          <w:szCs w:val="32"/>
          <w:rtl/>
          <w:lang w:eastAsia="en-US"/>
        </w:rPr>
        <w:t xml:space="preserve">للشيخ </w:t>
      </w:r>
      <w:r w:rsidRPr="00292409">
        <w:rPr>
          <w:rFonts w:ascii="Traditional Arabic" w:hAnsi="Traditional Arabic"/>
          <w:color w:val="auto"/>
          <w:sz w:val="32"/>
          <w:szCs w:val="32"/>
          <w:rtl/>
        </w:rPr>
        <w:t>سليمان بن عبد الله</w:t>
      </w:r>
      <w:r w:rsidRPr="00192140">
        <w:rPr>
          <w:rFonts w:ascii="Traditional Arabic" w:hAnsi="Traditional Arabic"/>
          <w:color w:val="auto"/>
          <w:sz w:val="32"/>
          <w:szCs w:val="32"/>
          <w:rtl/>
        </w:rPr>
        <w:t xml:space="preserve"> (</w:t>
      </w:r>
      <w:r>
        <w:rPr>
          <w:rFonts w:ascii="Traditional Arabic" w:hAnsi="Traditional Arabic" w:hint="cs"/>
          <w:color w:val="auto"/>
          <w:sz w:val="32"/>
          <w:szCs w:val="32"/>
          <w:rtl/>
        </w:rPr>
        <w:t>ص</w:t>
      </w:r>
      <w:r w:rsidRPr="00192140">
        <w:rPr>
          <w:rFonts w:ascii="Traditional Arabic" w:hAnsi="Traditional Arabic"/>
          <w:color w:val="auto"/>
          <w:sz w:val="32"/>
          <w:szCs w:val="32"/>
          <w:rtl/>
        </w:rPr>
        <w:t xml:space="preserve">703)، إلا أن هذا يستبعد حصوله من ابن الجوزي </w:t>
      </w:r>
      <w:r>
        <w:rPr>
          <w:rFonts w:ascii="Traditional Arabic" w:hAnsi="Traditional Arabic"/>
          <w:color w:val="auto"/>
          <w:sz w:val="32"/>
          <w:szCs w:val="32"/>
          <w:rtl/>
        </w:rPr>
        <w:t>–رحمه الله-، ويؤيد أنه كذب عليه</w:t>
      </w:r>
      <w:r w:rsidRPr="00192140">
        <w:rPr>
          <w:rFonts w:ascii="Traditional Arabic" w:hAnsi="Traditional Arabic"/>
          <w:color w:val="auto"/>
          <w:sz w:val="32"/>
          <w:szCs w:val="32"/>
          <w:rtl/>
        </w:rPr>
        <w:t xml:space="preserve"> أن الذي روى هذه القصة سبطه الذي قد ترفض</w:t>
      </w:r>
      <w:r>
        <w:rPr>
          <w:rFonts w:ascii="Traditional Arabic" w:hAnsi="Traditional Arabic" w:hint="cs"/>
          <w:color w:val="auto"/>
          <w:sz w:val="32"/>
          <w:szCs w:val="32"/>
          <w:rtl/>
        </w:rPr>
        <w:t>,</w:t>
      </w:r>
      <w:r w:rsidRPr="00192140">
        <w:rPr>
          <w:rFonts w:ascii="Traditional Arabic" w:hAnsi="Traditional Arabic"/>
          <w:color w:val="auto"/>
          <w:sz w:val="32"/>
          <w:szCs w:val="32"/>
          <w:rtl/>
        </w:rPr>
        <w:t xml:space="preserve"> فربما كذب على جده. قال الذهبي في ترجمته في ميزان الاعتدال (4/471): </w:t>
      </w:r>
      <w:r>
        <w:rPr>
          <w:rFonts w:ascii="Traditional Arabic" w:hAnsi="Traditional Arabic" w:hint="cs"/>
          <w:color w:val="auto"/>
          <w:sz w:val="32"/>
          <w:szCs w:val="32"/>
          <w:rtl/>
        </w:rPr>
        <w:t>"</w:t>
      </w:r>
      <w:r w:rsidRPr="00192140">
        <w:rPr>
          <w:rFonts w:ascii="Traditional Arabic" w:hAnsi="Traditional Arabic"/>
          <w:color w:val="auto"/>
          <w:sz w:val="32"/>
          <w:szCs w:val="32"/>
          <w:rtl/>
        </w:rPr>
        <w:t>روى عن جده وطائفة، وألف كتاب مرآة الزمان، فتراه يأتي فيه بمناكير الحكايات، وما أظنه بثقة فيما ينقله، بل يجنف ويجازف، ثم إنه ترفض</w:t>
      </w:r>
      <w:r>
        <w:rPr>
          <w:rFonts w:ascii="Traditional Arabic" w:hAnsi="Traditional Arabic" w:hint="cs"/>
          <w:color w:val="auto"/>
          <w:sz w:val="32"/>
          <w:szCs w:val="32"/>
          <w:rtl/>
        </w:rPr>
        <w:t>"</w:t>
      </w:r>
      <w:r w:rsidRPr="00192140">
        <w:rPr>
          <w:rFonts w:ascii="Traditional Arabic" w:hAnsi="Traditional Arabic"/>
          <w:color w:val="auto"/>
          <w:sz w:val="32"/>
          <w:szCs w:val="32"/>
          <w:rtl/>
        </w:rPr>
        <w:t xml:space="preserve">، وقال ابن حجر لما ترجم له في لسان الميزان (6/328): </w:t>
      </w:r>
      <w:r>
        <w:rPr>
          <w:rFonts w:ascii="Traditional Arabic" w:hAnsi="Traditional Arabic" w:hint="cs"/>
          <w:color w:val="auto"/>
          <w:sz w:val="32"/>
          <w:szCs w:val="32"/>
          <w:rtl/>
        </w:rPr>
        <w:t>"</w:t>
      </w:r>
      <w:r w:rsidRPr="00192140">
        <w:rPr>
          <w:rFonts w:ascii="Traditional Arabic" w:hAnsi="Traditional Arabic"/>
          <w:color w:val="auto"/>
          <w:sz w:val="32"/>
          <w:szCs w:val="32"/>
          <w:rtl/>
        </w:rPr>
        <w:t>روى عن جده وطائفة</w:t>
      </w:r>
      <w:r>
        <w:rPr>
          <w:rFonts w:ascii="Traditional Arabic" w:hAnsi="Traditional Arabic" w:hint="cs"/>
          <w:color w:val="auto"/>
          <w:sz w:val="32"/>
          <w:szCs w:val="32"/>
          <w:rtl/>
        </w:rPr>
        <w:t>,</w:t>
      </w:r>
      <w:r w:rsidRPr="00192140">
        <w:rPr>
          <w:rFonts w:ascii="Traditional Arabic" w:hAnsi="Traditional Arabic"/>
          <w:color w:val="auto"/>
          <w:sz w:val="32"/>
          <w:szCs w:val="32"/>
          <w:rtl/>
        </w:rPr>
        <w:t xml:space="preserve"> وألف كتاب مرآة الزمان</w:t>
      </w:r>
      <w:r>
        <w:rPr>
          <w:rFonts w:ascii="Traditional Arabic" w:hAnsi="Traditional Arabic" w:hint="cs"/>
          <w:color w:val="auto"/>
          <w:sz w:val="32"/>
          <w:szCs w:val="32"/>
          <w:rtl/>
        </w:rPr>
        <w:t>,</w:t>
      </w:r>
      <w:r w:rsidRPr="00192140">
        <w:rPr>
          <w:rFonts w:ascii="Traditional Arabic" w:hAnsi="Traditional Arabic"/>
          <w:color w:val="auto"/>
          <w:sz w:val="32"/>
          <w:szCs w:val="32"/>
          <w:rtl/>
        </w:rPr>
        <w:t xml:space="preserve"> فتراه يأتي فيه بمناكير الحكايات</w:t>
      </w:r>
      <w:r>
        <w:rPr>
          <w:rFonts w:ascii="Traditional Arabic" w:hAnsi="Traditional Arabic" w:hint="cs"/>
          <w:color w:val="auto"/>
          <w:sz w:val="32"/>
          <w:szCs w:val="32"/>
          <w:rtl/>
        </w:rPr>
        <w:t>,</w:t>
      </w:r>
      <w:r w:rsidRPr="00192140">
        <w:rPr>
          <w:rFonts w:ascii="Traditional Arabic" w:hAnsi="Traditional Arabic"/>
          <w:color w:val="auto"/>
          <w:sz w:val="32"/>
          <w:szCs w:val="32"/>
          <w:rtl/>
        </w:rPr>
        <w:t xml:space="preserve"> وما أظنه بثقة فيما ينقله</w:t>
      </w:r>
      <w:r>
        <w:rPr>
          <w:rFonts w:ascii="Traditional Arabic" w:hAnsi="Traditional Arabic" w:hint="cs"/>
          <w:color w:val="auto"/>
          <w:sz w:val="32"/>
          <w:szCs w:val="32"/>
          <w:rtl/>
        </w:rPr>
        <w:t>,</w:t>
      </w:r>
      <w:r w:rsidRPr="00192140">
        <w:rPr>
          <w:rFonts w:ascii="Traditional Arabic" w:hAnsi="Traditional Arabic"/>
          <w:color w:val="auto"/>
          <w:sz w:val="32"/>
          <w:szCs w:val="32"/>
          <w:rtl/>
        </w:rPr>
        <w:t xml:space="preserve"> بل يجنف ويجازف</w:t>
      </w:r>
      <w:r>
        <w:rPr>
          <w:rFonts w:ascii="Traditional Arabic" w:hAnsi="Traditional Arabic" w:hint="cs"/>
          <w:color w:val="auto"/>
          <w:sz w:val="32"/>
          <w:szCs w:val="32"/>
          <w:rtl/>
        </w:rPr>
        <w:t>,</w:t>
      </w:r>
      <w:r w:rsidRPr="00192140">
        <w:rPr>
          <w:rFonts w:ascii="Traditional Arabic" w:hAnsi="Traditional Arabic"/>
          <w:color w:val="auto"/>
          <w:sz w:val="32"/>
          <w:szCs w:val="32"/>
          <w:rtl/>
        </w:rPr>
        <w:t xml:space="preserve"> ث</w:t>
      </w:r>
      <w:r>
        <w:rPr>
          <w:rFonts w:ascii="Traditional Arabic" w:hAnsi="Traditional Arabic"/>
          <w:color w:val="auto"/>
          <w:sz w:val="32"/>
          <w:szCs w:val="32"/>
          <w:rtl/>
        </w:rPr>
        <w:t xml:space="preserve">م </w:t>
      </w:r>
      <w:r>
        <w:rPr>
          <w:rFonts w:ascii="Traditional Arabic" w:hAnsi="Traditional Arabic" w:hint="cs"/>
          <w:color w:val="auto"/>
          <w:sz w:val="32"/>
          <w:szCs w:val="32"/>
          <w:rtl/>
        </w:rPr>
        <w:t>إ</w:t>
      </w:r>
      <w:r>
        <w:rPr>
          <w:rFonts w:ascii="Traditional Arabic" w:hAnsi="Traditional Arabic"/>
          <w:color w:val="auto"/>
          <w:sz w:val="32"/>
          <w:szCs w:val="32"/>
          <w:rtl/>
        </w:rPr>
        <w:t>نه ترفض</w:t>
      </w:r>
      <w:r>
        <w:rPr>
          <w:rFonts w:ascii="Traditional Arabic" w:hAnsi="Traditional Arabic" w:hint="cs"/>
          <w:color w:val="auto"/>
          <w:sz w:val="32"/>
          <w:szCs w:val="32"/>
          <w:rtl/>
        </w:rPr>
        <w:t>,</w:t>
      </w:r>
      <w:r>
        <w:rPr>
          <w:rFonts w:ascii="Traditional Arabic" w:hAnsi="Traditional Arabic"/>
          <w:color w:val="auto"/>
          <w:sz w:val="32"/>
          <w:szCs w:val="32"/>
          <w:rtl/>
        </w:rPr>
        <w:t xml:space="preserve"> وله مؤلف في ذلك</w:t>
      </w:r>
      <w:r>
        <w:rPr>
          <w:rFonts w:ascii="Traditional Arabic" w:hAnsi="Traditional Arabic" w:hint="cs"/>
          <w:color w:val="auto"/>
          <w:sz w:val="32"/>
          <w:szCs w:val="32"/>
          <w:rtl/>
        </w:rPr>
        <w:t>,</w:t>
      </w:r>
      <w:r>
        <w:rPr>
          <w:rFonts w:ascii="Traditional Arabic" w:hAnsi="Traditional Arabic"/>
          <w:color w:val="auto"/>
          <w:sz w:val="32"/>
          <w:szCs w:val="32"/>
          <w:rtl/>
        </w:rPr>
        <w:t xml:space="preserve"> نسأل</w:t>
      </w:r>
      <w:r w:rsidRPr="00192140">
        <w:rPr>
          <w:rFonts w:ascii="Traditional Arabic" w:hAnsi="Traditional Arabic"/>
          <w:color w:val="auto"/>
          <w:sz w:val="32"/>
          <w:szCs w:val="32"/>
          <w:rtl/>
        </w:rPr>
        <w:t xml:space="preserve"> الله العافية</w:t>
      </w:r>
      <w:r>
        <w:rPr>
          <w:rFonts w:ascii="Traditional Arabic" w:hAnsi="Traditional Arabic" w:hint="cs"/>
          <w:color w:val="auto"/>
          <w:sz w:val="32"/>
          <w:szCs w:val="32"/>
          <w:rtl/>
        </w:rPr>
        <w:t>,</w:t>
      </w:r>
      <w:r w:rsidRPr="00192140">
        <w:rPr>
          <w:rFonts w:ascii="Traditional Arabic" w:hAnsi="Traditional Arabic"/>
          <w:color w:val="auto"/>
          <w:sz w:val="32"/>
          <w:szCs w:val="32"/>
          <w:rtl/>
        </w:rPr>
        <w:t xml:space="preserve"> مات سنة </w:t>
      </w:r>
      <w:r>
        <w:rPr>
          <w:rFonts w:ascii="Traditional Arabic" w:hAnsi="Traditional Arabic" w:hint="cs"/>
          <w:color w:val="auto"/>
          <w:sz w:val="32"/>
          <w:szCs w:val="32"/>
          <w:rtl/>
        </w:rPr>
        <w:t>(654ه)</w:t>
      </w:r>
      <w:r w:rsidRPr="00192140">
        <w:rPr>
          <w:rFonts w:ascii="Traditional Arabic" w:hAnsi="Traditional Arabic"/>
          <w:color w:val="auto"/>
          <w:sz w:val="32"/>
          <w:szCs w:val="32"/>
          <w:rtl/>
        </w:rPr>
        <w:t xml:space="preserve"> بدمشق</w:t>
      </w:r>
      <w:r>
        <w:rPr>
          <w:rFonts w:ascii="Traditional Arabic" w:hAnsi="Traditional Arabic" w:hint="cs"/>
          <w:color w:val="auto"/>
          <w:sz w:val="32"/>
          <w:szCs w:val="32"/>
          <w:rtl/>
        </w:rPr>
        <w:t>,</w:t>
      </w:r>
      <w:r w:rsidRPr="00192140">
        <w:rPr>
          <w:rFonts w:ascii="Traditional Arabic" w:hAnsi="Traditional Arabic"/>
          <w:color w:val="auto"/>
          <w:sz w:val="32"/>
          <w:szCs w:val="32"/>
          <w:rtl/>
        </w:rPr>
        <w:t xml:space="preserve"> قال الشيخ محيي الدين السوسي</w:t>
      </w:r>
      <w:r>
        <w:rPr>
          <w:rFonts w:ascii="Traditional Arabic" w:hAnsi="Traditional Arabic" w:hint="cs"/>
          <w:color w:val="auto"/>
          <w:sz w:val="32"/>
          <w:szCs w:val="32"/>
          <w:rtl/>
        </w:rPr>
        <w:t>:</w:t>
      </w:r>
      <w:r w:rsidRPr="00192140">
        <w:rPr>
          <w:rFonts w:ascii="Traditional Arabic" w:hAnsi="Traditional Arabic"/>
          <w:color w:val="auto"/>
          <w:sz w:val="32"/>
          <w:szCs w:val="32"/>
          <w:rtl/>
        </w:rPr>
        <w:t xml:space="preserve"> لما بلغ جدي موت سبط بن الجوزي قال</w:t>
      </w:r>
      <w:r>
        <w:rPr>
          <w:rFonts w:ascii="Traditional Arabic" w:hAnsi="Traditional Arabic" w:hint="cs"/>
          <w:color w:val="auto"/>
          <w:sz w:val="32"/>
          <w:szCs w:val="32"/>
          <w:rtl/>
        </w:rPr>
        <w:t>:</w:t>
      </w:r>
      <w:r w:rsidRPr="00192140">
        <w:rPr>
          <w:rFonts w:ascii="Traditional Arabic" w:hAnsi="Traditional Arabic"/>
          <w:color w:val="auto"/>
          <w:sz w:val="32"/>
          <w:szCs w:val="32"/>
          <w:rtl/>
        </w:rPr>
        <w:t xml:space="preserve"> لا رحمه الله كان رافضيا</w:t>
      </w:r>
      <w:r>
        <w:rPr>
          <w:rFonts w:ascii="Traditional Arabic" w:hAnsi="Traditional Arabic" w:hint="cs"/>
          <w:color w:val="auto"/>
          <w:sz w:val="32"/>
          <w:szCs w:val="32"/>
          <w:rtl/>
        </w:rPr>
        <w:t>ً</w:t>
      </w:r>
      <w:r w:rsidRPr="00192140">
        <w:rPr>
          <w:rFonts w:ascii="Traditional Arabic" w:hAnsi="Traditional Arabic"/>
          <w:color w:val="auto"/>
          <w:sz w:val="32"/>
          <w:szCs w:val="32"/>
          <w:rtl/>
        </w:rPr>
        <w:t xml:space="preserve">. ا.هـ. نسأل الله الثبات على الإسلام. </w:t>
      </w:r>
      <w:r>
        <w:rPr>
          <w:rFonts w:ascii="Tahoma" w:hAnsi="Tahoma"/>
          <w:rtl/>
        </w:rPr>
        <w:t xml:space="preserve"> </w:t>
      </w:r>
    </w:p>
  </w:footnote>
  <w:footnote w:id="23">
    <w:p w:rsidR="003F128F" w:rsidRPr="00372BA2" w:rsidRDefault="003F128F" w:rsidP="00584A5E">
      <w:pPr>
        <w:pStyle w:val="af3"/>
        <w:rPr>
          <w:rFonts w:ascii="Tahoma" w:hAnsi="Tahoma"/>
        </w:rPr>
      </w:pPr>
      <w:r w:rsidRPr="00192140">
        <w:rPr>
          <w:rFonts w:ascii="Traditional Arabic" w:hAnsi="Traditional Arabic"/>
          <w:color w:val="auto"/>
          <w:sz w:val="32"/>
          <w:szCs w:val="32"/>
          <w:rtl/>
        </w:rPr>
        <w:t>(</w:t>
      </w:r>
      <w:r w:rsidRPr="00192140">
        <w:rPr>
          <w:rStyle w:val="ae"/>
          <w:rFonts w:ascii="Traditional Arabic" w:hAnsi="Traditional Arabic"/>
          <w:color w:val="auto"/>
          <w:sz w:val="32"/>
          <w:szCs w:val="32"/>
          <w:vertAlign w:val="baseline"/>
        </w:rPr>
        <w:footnoteRef/>
      </w:r>
      <w:r w:rsidRPr="00192140">
        <w:rPr>
          <w:rFonts w:ascii="Traditional Arabic" w:hAnsi="Traditional Arabic"/>
          <w:color w:val="auto"/>
          <w:sz w:val="32"/>
          <w:szCs w:val="32"/>
          <w:rtl/>
        </w:rPr>
        <w:t xml:space="preserve">) </w:t>
      </w:r>
      <w:r w:rsidRPr="00192140">
        <w:rPr>
          <w:rFonts w:ascii="Traditional Arabic" w:hAnsi="Traditional Arabic"/>
          <w:b/>
          <w:color w:val="auto"/>
          <w:sz w:val="32"/>
          <w:szCs w:val="32"/>
          <w:rtl/>
        </w:rPr>
        <w:t>انظر</w:t>
      </w:r>
      <w:r>
        <w:rPr>
          <w:rFonts w:ascii="Traditional Arabic" w:hAnsi="Traditional Arabic" w:hint="cs"/>
          <w:b/>
          <w:color w:val="auto"/>
          <w:sz w:val="32"/>
          <w:szCs w:val="32"/>
          <w:rtl/>
        </w:rPr>
        <w:t>:</w:t>
      </w:r>
      <w:r w:rsidRPr="00192140">
        <w:rPr>
          <w:rFonts w:ascii="Traditional Arabic" w:hAnsi="Traditional Arabic"/>
          <w:b/>
          <w:color w:val="auto"/>
          <w:sz w:val="32"/>
          <w:szCs w:val="32"/>
          <w:rtl/>
        </w:rPr>
        <w:t xml:space="preserve"> سير أعلام النبلاء</w:t>
      </w:r>
      <w:r>
        <w:rPr>
          <w:rFonts w:ascii="Traditional Arabic" w:hAnsi="Traditional Arabic" w:hint="cs"/>
          <w:b/>
          <w:color w:val="auto"/>
          <w:sz w:val="32"/>
          <w:szCs w:val="32"/>
          <w:rtl/>
        </w:rPr>
        <w:t xml:space="preserve"> </w:t>
      </w:r>
      <w:r w:rsidRPr="00192140">
        <w:rPr>
          <w:rFonts w:ascii="Traditional Arabic" w:hAnsi="Traditional Arabic"/>
          <w:b/>
          <w:color w:val="auto"/>
          <w:sz w:val="32"/>
          <w:szCs w:val="32"/>
          <w:rtl/>
        </w:rPr>
        <w:t>(15/464)</w:t>
      </w:r>
      <w:r>
        <w:rPr>
          <w:rFonts w:ascii="Traditional Arabic" w:hAnsi="Traditional Arabic" w:hint="cs"/>
          <w:b/>
          <w:color w:val="auto"/>
          <w:sz w:val="32"/>
          <w:szCs w:val="32"/>
          <w:rtl/>
        </w:rPr>
        <w:t xml:space="preserve">, </w:t>
      </w:r>
      <w:r w:rsidRPr="00292409">
        <w:rPr>
          <w:rFonts w:ascii="Traditional Arabic" w:hAnsi="Traditional Arabic"/>
          <w:b/>
          <w:color w:val="auto"/>
          <w:sz w:val="32"/>
          <w:szCs w:val="32"/>
          <w:rtl/>
        </w:rPr>
        <w:t>تاريخ الإسلام</w:t>
      </w:r>
      <w:r w:rsidRPr="00292409">
        <w:rPr>
          <w:rFonts w:ascii="Traditional Arabic" w:hAnsi="Traditional Arabic" w:hint="cs"/>
          <w:b/>
          <w:color w:val="auto"/>
          <w:sz w:val="32"/>
          <w:szCs w:val="32"/>
          <w:rtl/>
        </w:rPr>
        <w:t xml:space="preserve"> </w:t>
      </w:r>
      <w:r>
        <w:rPr>
          <w:rFonts w:ascii="Traditional Arabic" w:hAnsi="Traditional Arabic"/>
          <w:b/>
          <w:color w:val="auto"/>
          <w:sz w:val="32"/>
          <w:szCs w:val="32"/>
          <w:rtl/>
        </w:rPr>
        <w:t>(42/297)</w:t>
      </w:r>
      <w:r w:rsidRPr="00292409">
        <w:rPr>
          <w:rFonts w:ascii="Traditional Arabic" w:hAnsi="Traditional Arabic" w:hint="cs"/>
          <w:b/>
          <w:color w:val="auto"/>
          <w:sz w:val="32"/>
          <w:szCs w:val="32"/>
          <w:rtl/>
        </w:rPr>
        <w:t xml:space="preserve"> </w:t>
      </w:r>
      <w:r>
        <w:rPr>
          <w:rFonts w:ascii="Traditional Arabic" w:hAnsi="Traditional Arabic" w:hint="cs"/>
          <w:b/>
          <w:color w:val="auto"/>
          <w:sz w:val="32"/>
          <w:szCs w:val="32"/>
          <w:rtl/>
        </w:rPr>
        <w:t>للذهبي</w:t>
      </w:r>
      <w:r w:rsidRPr="00192140">
        <w:rPr>
          <w:rFonts w:ascii="Traditional Arabic" w:hAnsi="Traditional Arabic"/>
          <w:b/>
          <w:color w:val="auto"/>
          <w:sz w:val="32"/>
          <w:szCs w:val="32"/>
          <w:rtl/>
        </w:rPr>
        <w:t>، الوافي بالوفيات (18/110-114)، ذيل طبقات الحنابلة</w:t>
      </w:r>
      <w:r>
        <w:rPr>
          <w:rFonts w:ascii="Traditional Arabic" w:hAnsi="Traditional Arabic" w:hint="cs"/>
          <w:b/>
          <w:color w:val="auto"/>
          <w:sz w:val="32"/>
          <w:szCs w:val="32"/>
          <w:rtl/>
        </w:rPr>
        <w:t xml:space="preserve"> </w:t>
      </w:r>
      <w:r w:rsidRPr="00192140">
        <w:rPr>
          <w:rFonts w:ascii="Traditional Arabic" w:hAnsi="Traditional Arabic"/>
          <w:b/>
          <w:color w:val="auto"/>
          <w:sz w:val="32"/>
          <w:szCs w:val="32"/>
          <w:rtl/>
        </w:rPr>
        <w:t>(2/512)</w:t>
      </w:r>
      <w:r>
        <w:rPr>
          <w:rFonts w:ascii="Traditional Arabic" w:hAnsi="Traditional Arabic" w:hint="cs"/>
          <w:b/>
          <w:color w:val="auto"/>
          <w:sz w:val="32"/>
          <w:szCs w:val="32"/>
          <w:rtl/>
        </w:rPr>
        <w:t>.</w:t>
      </w:r>
    </w:p>
  </w:footnote>
  <w:footnote w:id="24">
    <w:p w:rsidR="003F128F" w:rsidRPr="00192140" w:rsidRDefault="003F128F" w:rsidP="00192140">
      <w:pPr>
        <w:pStyle w:val="af3"/>
        <w:rPr>
          <w:rFonts w:ascii="Tahoma" w:hAnsi="Tahoma"/>
        </w:rPr>
      </w:pPr>
      <w:r w:rsidRPr="00192140">
        <w:rPr>
          <w:rFonts w:ascii="Traditional Arabic" w:hAnsi="Traditional Arabic"/>
          <w:sz w:val="32"/>
          <w:szCs w:val="32"/>
          <w:rtl/>
        </w:rPr>
        <w:t>(</w:t>
      </w:r>
      <w:r w:rsidRPr="00192140">
        <w:rPr>
          <w:rStyle w:val="ae"/>
          <w:rFonts w:ascii="Traditional Arabic" w:hAnsi="Traditional Arabic"/>
          <w:sz w:val="32"/>
          <w:szCs w:val="32"/>
          <w:vertAlign w:val="baseline"/>
        </w:rPr>
        <w:footnoteRef/>
      </w:r>
      <w:r w:rsidRPr="00192140">
        <w:rPr>
          <w:rFonts w:ascii="Traditional Arabic" w:hAnsi="Traditional Arabic"/>
          <w:sz w:val="32"/>
          <w:szCs w:val="32"/>
          <w:rtl/>
        </w:rPr>
        <w:t xml:space="preserve">) </w:t>
      </w:r>
      <w:r w:rsidRPr="00192140">
        <w:rPr>
          <w:rFonts w:ascii="Traditional Arabic" w:hAnsi="Traditional Arabic"/>
          <w:b/>
          <w:sz w:val="32"/>
          <w:szCs w:val="32"/>
          <w:rtl/>
        </w:rPr>
        <w:t>مشـيخة ابن الجوزي (</w:t>
      </w:r>
      <w:r>
        <w:rPr>
          <w:rFonts w:ascii="Traditional Arabic" w:hAnsi="Traditional Arabic" w:hint="cs"/>
          <w:b/>
          <w:sz w:val="32"/>
          <w:szCs w:val="32"/>
          <w:rtl/>
        </w:rPr>
        <w:t>ص</w:t>
      </w:r>
      <w:r w:rsidRPr="00192140">
        <w:rPr>
          <w:rFonts w:ascii="Traditional Arabic" w:hAnsi="Traditional Arabic"/>
          <w:b/>
          <w:sz w:val="32"/>
          <w:szCs w:val="32"/>
          <w:rtl/>
        </w:rPr>
        <w:t>209).</w:t>
      </w:r>
      <w:r>
        <w:rPr>
          <w:rFonts w:ascii="Tahoma" w:hAnsi="Tahoma"/>
          <w:rtl/>
        </w:rPr>
        <w:t xml:space="preserve"> </w:t>
      </w:r>
    </w:p>
  </w:footnote>
  <w:footnote w:id="25">
    <w:p w:rsidR="003F128F" w:rsidRPr="007F5114" w:rsidRDefault="003F128F" w:rsidP="007F5114">
      <w:pPr>
        <w:pStyle w:val="af3"/>
        <w:rPr>
          <w:rFonts w:ascii="Tahoma" w:hAnsi="Tahoma"/>
        </w:rPr>
      </w:pPr>
      <w:r w:rsidRPr="007F5114">
        <w:rPr>
          <w:rFonts w:ascii="Traditional Arabic" w:hAnsi="Traditional Arabic"/>
          <w:sz w:val="32"/>
          <w:szCs w:val="32"/>
          <w:rtl/>
        </w:rPr>
        <w:t>(</w:t>
      </w:r>
      <w:r w:rsidRPr="007F5114">
        <w:rPr>
          <w:rStyle w:val="ae"/>
          <w:rFonts w:ascii="Traditional Arabic" w:hAnsi="Traditional Arabic"/>
          <w:sz w:val="32"/>
          <w:szCs w:val="32"/>
          <w:vertAlign w:val="baseline"/>
        </w:rPr>
        <w:footnoteRef/>
      </w:r>
      <w:r w:rsidRPr="007F5114">
        <w:rPr>
          <w:rFonts w:ascii="Traditional Arabic" w:hAnsi="Traditional Arabic"/>
          <w:sz w:val="32"/>
          <w:szCs w:val="32"/>
          <w:rtl/>
        </w:rPr>
        <w:t xml:space="preserve">) </w:t>
      </w:r>
      <w:r>
        <w:rPr>
          <w:rFonts w:ascii="Traditional Arabic" w:hAnsi="Traditional Arabic"/>
          <w:b/>
          <w:sz w:val="32"/>
          <w:szCs w:val="32"/>
          <w:rtl/>
        </w:rPr>
        <w:t>انظر: المنتظم</w:t>
      </w:r>
      <w:r>
        <w:rPr>
          <w:rFonts w:ascii="Traditional Arabic" w:hAnsi="Traditional Arabic" w:hint="cs"/>
          <w:b/>
          <w:sz w:val="32"/>
          <w:szCs w:val="32"/>
          <w:rtl/>
        </w:rPr>
        <w:t xml:space="preserve"> لابن الجوزي</w:t>
      </w:r>
      <w:r>
        <w:rPr>
          <w:rFonts w:ascii="Traditional Arabic" w:hAnsi="Traditional Arabic"/>
          <w:b/>
          <w:sz w:val="32"/>
          <w:szCs w:val="32"/>
          <w:rtl/>
        </w:rPr>
        <w:t xml:space="preserve"> (10/7), </w:t>
      </w:r>
      <w:r w:rsidRPr="007F5114">
        <w:rPr>
          <w:rFonts w:ascii="Traditional Arabic" w:hAnsi="Traditional Arabic"/>
          <w:b/>
          <w:sz w:val="32"/>
          <w:szCs w:val="32"/>
          <w:rtl/>
        </w:rPr>
        <w:t>سـير</w:t>
      </w:r>
      <w:r>
        <w:rPr>
          <w:rFonts w:ascii="Traditional Arabic" w:hAnsi="Traditional Arabic" w:hint="cs"/>
          <w:b/>
          <w:sz w:val="32"/>
          <w:szCs w:val="32"/>
          <w:rtl/>
        </w:rPr>
        <w:t xml:space="preserve"> أعلام النبلاء</w:t>
      </w:r>
      <w:r w:rsidRPr="007F5114">
        <w:rPr>
          <w:rFonts w:ascii="Traditional Arabic" w:hAnsi="Traditional Arabic"/>
          <w:b/>
          <w:sz w:val="32"/>
          <w:szCs w:val="32"/>
          <w:rtl/>
        </w:rPr>
        <w:t xml:space="preserve"> (19/525), الوافي بالوفيات (18/110)،</w:t>
      </w:r>
      <w:r w:rsidRPr="007F5114">
        <w:rPr>
          <w:rFonts w:ascii="Traditional Arabic" w:hAnsi="Traditional Arabic"/>
          <w:sz w:val="32"/>
          <w:szCs w:val="32"/>
          <w:rtl/>
        </w:rPr>
        <w:t xml:space="preserve"> </w:t>
      </w:r>
      <w:r>
        <w:rPr>
          <w:rFonts w:ascii="Traditional Arabic" w:hAnsi="Traditional Arabic" w:hint="cs"/>
          <w:sz w:val="32"/>
          <w:szCs w:val="32"/>
          <w:rtl/>
        </w:rPr>
        <w:t xml:space="preserve">ذيل </w:t>
      </w:r>
      <w:r w:rsidRPr="007F5114">
        <w:rPr>
          <w:rFonts w:ascii="Traditional Arabic" w:hAnsi="Traditional Arabic"/>
          <w:sz w:val="32"/>
          <w:szCs w:val="32"/>
          <w:rtl/>
        </w:rPr>
        <w:t xml:space="preserve">طبقات الحنابلة </w:t>
      </w:r>
      <w:r w:rsidRPr="007F5114">
        <w:rPr>
          <w:rFonts w:ascii="Traditional Arabic" w:hAnsi="Traditional Arabic"/>
          <w:b/>
          <w:sz w:val="32"/>
          <w:szCs w:val="32"/>
          <w:rtl/>
        </w:rPr>
        <w:t>(2/465).</w:t>
      </w:r>
      <w:r>
        <w:rPr>
          <w:rFonts w:ascii="Tahoma" w:hAnsi="Tahoma"/>
          <w:rtl/>
        </w:rPr>
        <w:t xml:space="preserve"> </w:t>
      </w:r>
    </w:p>
  </w:footnote>
  <w:footnote w:id="26">
    <w:p w:rsidR="003F128F" w:rsidRPr="00367E86" w:rsidRDefault="003F128F" w:rsidP="00367E86">
      <w:pPr>
        <w:pStyle w:val="af3"/>
        <w:rPr>
          <w:rFonts w:ascii="Tahoma" w:hAnsi="Tahoma"/>
        </w:rPr>
      </w:pPr>
      <w:r w:rsidRPr="00367E86">
        <w:rPr>
          <w:rFonts w:ascii="Tahoma" w:hAnsi="Tahoma"/>
          <w:rtl/>
        </w:rPr>
        <w:t>(</w:t>
      </w:r>
      <w:r w:rsidRPr="00367E86">
        <w:rPr>
          <w:rStyle w:val="ae"/>
          <w:rFonts w:ascii="Tahoma" w:hAnsi="Tahoma"/>
          <w:vertAlign w:val="baseline"/>
        </w:rPr>
        <w:footnoteRef/>
      </w:r>
      <w:r w:rsidRPr="00367E86">
        <w:rPr>
          <w:rFonts w:ascii="Tahoma" w:hAnsi="Tahoma"/>
          <w:rtl/>
        </w:rPr>
        <w:t>)</w:t>
      </w:r>
      <w:r>
        <w:rPr>
          <w:rFonts w:ascii="Traditional Arabic" w:hAnsi="Traditional Arabic" w:hint="cs"/>
          <w:b/>
          <w:sz w:val="32"/>
          <w:szCs w:val="32"/>
          <w:rtl/>
        </w:rPr>
        <w:t xml:space="preserve"> </w:t>
      </w:r>
      <w:r w:rsidRPr="00367E86">
        <w:rPr>
          <w:rFonts w:ascii="Traditional Arabic" w:hAnsi="Traditional Arabic"/>
          <w:b/>
          <w:sz w:val="32"/>
          <w:szCs w:val="32"/>
          <w:rtl/>
        </w:rPr>
        <w:t>المشـيخة (</w:t>
      </w:r>
      <w:r>
        <w:rPr>
          <w:rFonts w:ascii="Traditional Arabic" w:hAnsi="Traditional Arabic" w:hint="cs"/>
          <w:b/>
          <w:sz w:val="32"/>
          <w:szCs w:val="32"/>
          <w:rtl/>
        </w:rPr>
        <w:t>ص</w:t>
      </w:r>
      <w:r w:rsidRPr="00367E86">
        <w:rPr>
          <w:rFonts w:ascii="Traditional Arabic" w:hAnsi="Traditional Arabic"/>
          <w:b/>
          <w:sz w:val="32"/>
          <w:szCs w:val="32"/>
          <w:rtl/>
        </w:rPr>
        <w:t>60-61).</w:t>
      </w:r>
      <w:r>
        <w:rPr>
          <w:rFonts w:ascii="Tahoma" w:hAnsi="Tahoma"/>
          <w:rtl/>
        </w:rPr>
        <w:t xml:space="preserve"> </w:t>
      </w:r>
    </w:p>
  </w:footnote>
  <w:footnote w:id="27">
    <w:p w:rsidR="003F128F" w:rsidRPr="00367E86" w:rsidRDefault="003F128F" w:rsidP="00367E86">
      <w:pPr>
        <w:pStyle w:val="af3"/>
        <w:rPr>
          <w:rFonts w:ascii="Tahoma" w:hAnsi="Tahoma"/>
        </w:rPr>
      </w:pPr>
      <w:r w:rsidRPr="00367E86">
        <w:rPr>
          <w:rFonts w:ascii="Tahoma" w:hAnsi="Tahoma"/>
          <w:rtl/>
        </w:rPr>
        <w:t>(</w:t>
      </w:r>
      <w:r w:rsidRPr="00367E86">
        <w:rPr>
          <w:rStyle w:val="ae"/>
          <w:rFonts w:ascii="Tahoma" w:hAnsi="Tahoma"/>
          <w:vertAlign w:val="baseline"/>
        </w:rPr>
        <w:footnoteRef/>
      </w:r>
      <w:r w:rsidRPr="00367E86">
        <w:rPr>
          <w:rFonts w:ascii="Tahoma" w:hAnsi="Tahoma"/>
          <w:rtl/>
        </w:rPr>
        <w:t>)</w:t>
      </w:r>
      <w:r>
        <w:rPr>
          <w:rFonts w:ascii="Tahoma" w:hAnsi="Tahoma" w:hint="cs"/>
          <w:rtl/>
        </w:rPr>
        <w:t xml:space="preserve"> </w:t>
      </w:r>
      <w:r w:rsidRPr="00367E86">
        <w:rPr>
          <w:rFonts w:ascii="Traditional Arabic" w:hAnsi="Traditional Arabic"/>
          <w:b/>
          <w:sz w:val="32"/>
          <w:szCs w:val="32"/>
          <w:rtl/>
        </w:rPr>
        <w:t>انظر: الم</w:t>
      </w:r>
      <w:r>
        <w:rPr>
          <w:rFonts w:ascii="Traditional Arabic" w:hAnsi="Traditional Arabic"/>
          <w:b/>
          <w:sz w:val="32"/>
          <w:szCs w:val="32"/>
          <w:rtl/>
        </w:rPr>
        <w:t>شـيخة (</w:t>
      </w:r>
      <w:r>
        <w:rPr>
          <w:rFonts w:ascii="Traditional Arabic" w:hAnsi="Traditional Arabic" w:hint="cs"/>
          <w:b/>
          <w:sz w:val="32"/>
          <w:szCs w:val="32"/>
          <w:rtl/>
        </w:rPr>
        <w:t>ص</w:t>
      </w:r>
      <w:r>
        <w:rPr>
          <w:rFonts w:ascii="Traditional Arabic" w:hAnsi="Traditional Arabic"/>
          <w:b/>
          <w:sz w:val="32"/>
          <w:szCs w:val="32"/>
          <w:rtl/>
        </w:rPr>
        <w:t xml:space="preserve">60), المنتظم (17/268), </w:t>
      </w:r>
      <w:r w:rsidRPr="00367E86">
        <w:rPr>
          <w:rFonts w:ascii="Traditional Arabic" w:hAnsi="Traditional Arabic"/>
          <w:b/>
          <w:sz w:val="32"/>
          <w:szCs w:val="32"/>
          <w:rtl/>
        </w:rPr>
        <w:t>سـير أعلام النبلاء (19/536).</w:t>
      </w:r>
      <w:r>
        <w:rPr>
          <w:rFonts w:ascii="Tahoma" w:hAnsi="Tahoma"/>
          <w:rtl/>
        </w:rPr>
        <w:t xml:space="preserve"> </w:t>
      </w:r>
    </w:p>
  </w:footnote>
  <w:footnote w:id="28">
    <w:p w:rsidR="003F128F" w:rsidRPr="00367E86" w:rsidRDefault="003F128F" w:rsidP="00367E86">
      <w:pPr>
        <w:pStyle w:val="af3"/>
        <w:rPr>
          <w:rFonts w:ascii="Tahoma" w:hAnsi="Tahoma"/>
        </w:rPr>
      </w:pPr>
      <w:r w:rsidRPr="00367E86">
        <w:rPr>
          <w:rFonts w:ascii="Tahoma" w:hAnsi="Tahoma"/>
          <w:rtl/>
        </w:rPr>
        <w:t>(</w:t>
      </w:r>
      <w:r w:rsidRPr="00367E86">
        <w:rPr>
          <w:rStyle w:val="ae"/>
          <w:rFonts w:ascii="Tahoma" w:hAnsi="Tahoma"/>
          <w:vertAlign w:val="baseline"/>
        </w:rPr>
        <w:footnoteRef/>
      </w:r>
      <w:r w:rsidRPr="00367E86">
        <w:rPr>
          <w:rFonts w:ascii="Tahoma" w:hAnsi="Tahoma"/>
          <w:rtl/>
        </w:rPr>
        <w:t>)</w:t>
      </w:r>
      <w:r>
        <w:rPr>
          <w:rFonts w:ascii="Traditional Arabic" w:hAnsi="Traditional Arabic" w:hint="cs"/>
          <w:b/>
          <w:sz w:val="32"/>
          <w:szCs w:val="32"/>
          <w:rtl/>
        </w:rPr>
        <w:t xml:space="preserve"> </w:t>
      </w:r>
      <w:r w:rsidRPr="00367E86">
        <w:rPr>
          <w:rFonts w:ascii="Traditional Arabic" w:hAnsi="Traditional Arabic"/>
          <w:b/>
          <w:sz w:val="32"/>
          <w:szCs w:val="32"/>
          <w:rtl/>
        </w:rPr>
        <w:t>الم</w:t>
      </w:r>
      <w:r>
        <w:rPr>
          <w:rFonts w:ascii="Traditional Arabic" w:hAnsi="Traditional Arabic"/>
          <w:b/>
          <w:sz w:val="32"/>
          <w:szCs w:val="32"/>
          <w:rtl/>
        </w:rPr>
        <w:t>شـيخة (</w:t>
      </w:r>
      <w:r>
        <w:rPr>
          <w:rFonts w:ascii="Traditional Arabic" w:hAnsi="Traditional Arabic" w:hint="cs"/>
          <w:b/>
          <w:sz w:val="32"/>
          <w:szCs w:val="32"/>
          <w:rtl/>
        </w:rPr>
        <w:t>ص125</w:t>
      </w:r>
      <w:r>
        <w:rPr>
          <w:rFonts w:ascii="Traditional Arabic" w:hAnsi="Traditional Arabic"/>
          <w:b/>
          <w:sz w:val="32"/>
          <w:szCs w:val="32"/>
          <w:rtl/>
        </w:rPr>
        <w:t>)</w:t>
      </w:r>
      <w:r>
        <w:rPr>
          <w:rFonts w:ascii="Tahoma" w:hAnsi="Tahoma" w:hint="cs"/>
          <w:rtl/>
        </w:rPr>
        <w:t>, الوافي بالوفيات (18/110).</w:t>
      </w:r>
      <w:r>
        <w:rPr>
          <w:rFonts w:ascii="Tahoma" w:hAnsi="Tahoma"/>
          <w:rtl/>
        </w:rPr>
        <w:t xml:space="preserve">  </w:t>
      </w:r>
    </w:p>
  </w:footnote>
  <w:footnote w:id="29">
    <w:p w:rsidR="003F128F" w:rsidRPr="00367E86" w:rsidRDefault="003F128F" w:rsidP="00367E86">
      <w:pPr>
        <w:pStyle w:val="af3"/>
        <w:rPr>
          <w:rFonts w:ascii="Tahoma" w:hAnsi="Tahoma"/>
        </w:rPr>
      </w:pPr>
      <w:r w:rsidRPr="00367E86">
        <w:rPr>
          <w:rFonts w:ascii="Tahoma" w:hAnsi="Tahoma"/>
          <w:rtl/>
        </w:rPr>
        <w:t>(</w:t>
      </w:r>
      <w:r w:rsidRPr="00367E86">
        <w:rPr>
          <w:rStyle w:val="ae"/>
          <w:rFonts w:ascii="Tahoma" w:hAnsi="Tahoma"/>
          <w:vertAlign w:val="baseline"/>
        </w:rPr>
        <w:footnoteRef/>
      </w:r>
      <w:r w:rsidRPr="00367E86">
        <w:rPr>
          <w:rFonts w:ascii="Tahoma" w:hAnsi="Tahoma"/>
          <w:rtl/>
        </w:rPr>
        <w:t>)</w:t>
      </w:r>
      <w:r>
        <w:rPr>
          <w:rFonts w:ascii="Traditional Arabic" w:hAnsi="Traditional Arabic" w:hint="cs"/>
          <w:b/>
          <w:sz w:val="32"/>
          <w:szCs w:val="32"/>
          <w:rtl/>
        </w:rPr>
        <w:t xml:space="preserve"> </w:t>
      </w:r>
      <w:r w:rsidRPr="00367E86">
        <w:rPr>
          <w:rFonts w:ascii="Traditional Arabic" w:hAnsi="Traditional Arabic"/>
          <w:b/>
          <w:sz w:val="32"/>
          <w:szCs w:val="32"/>
          <w:rtl/>
        </w:rPr>
        <w:t>انظر</w:t>
      </w:r>
      <w:r>
        <w:rPr>
          <w:rFonts w:ascii="Traditional Arabic" w:hAnsi="Traditional Arabic" w:hint="cs"/>
          <w:b/>
          <w:sz w:val="32"/>
          <w:szCs w:val="32"/>
          <w:rtl/>
        </w:rPr>
        <w:t>:</w:t>
      </w:r>
      <w:r w:rsidRPr="00367E86">
        <w:rPr>
          <w:rFonts w:ascii="Traditional Arabic" w:hAnsi="Traditional Arabic"/>
          <w:b/>
          <w:sz w:val="32"/>
          <w:szCs w:val="32"/>
          <w:rtl/>
        </w:rPr>
        <w:t xml:space="preserve"> المشـيخة (</w:t>
      </w:r>
      <w:r>
        <w:rPr>
          <w:rFonts w:ascii="Traditional Arabic" w:hAnsi="Traditional Arabic" w:hint="cs"/>
          <w:b/>
          <w:sz w:val="32"/>
          <w:szCs w:val="32"/>
          <w:rtl/>
        </w:rPr>
        <w:t>ص</w:t>
      </w:r>
      <w:r w:rsidRPr="00367E86">
        <w:rPr>
          <w:rFonts w:ascii="Traditional Arabic" w:hAnsi="Traditional Arabic"/>
          <w:b/>
          <w:sz w:val="32"/>
          <w:szCs w:val="32"/>
          <w:rtl/>
        </w:rPr>
        <w:t>123)</w:t>
      </w:r>
      <w:r>
        <w:rPr>
          <w:rFonts w:ascii="Traditional Arabic" w:hAnsi="Traditional Arabic"/>
          <w:b/>
          <w:sz w:val="32"/>
          <w:szCs w:val="32"/>
          <w:rtl/>
        </w:rPr>
        <w:t xml:space="preserve">، </w:t>
      </w:r>
      <w:r w:rsidRPr="00367E86">
        <w:rPr>
          <w:rFonts w:ascii="Traditional Arabic" w:hAnsi="Traditional Arabic"/>
          <w:b/>
          <w:sz w:val="32"/>
          <w:szCs w:val="32"/>
          <w:rtl/>
        </w:rPr>
        <w:t>سير أعلام النبلاء (14/463).</w:t>
      </w:r>
      <w:r>
        <w:rPr>
          <w:rFonts w:ascii="Tahoma" w:hAnsi="Tahoma"/>
          <w:rtl/>
        </w:rPr>
        <w:t xml:space="preserve">  </w:t>
      </w:r>
    </w:p>
  </w:footnote>
  <w:footnote w:id="30">
    <w:p w:rsidR="003F128F" w:rsidRPr="00D148F0" w:rsidRDefault="003F128F" w:rsidP="00367E86">
      <w:pPr>
        <w:pStyle w:val="af3"/>
        <w:rPr>
          <w:rFonts w:ascii="Traditional Arabic" w:hAnsi="Traditional Arabic"/>
          <w:sz w:val="32"/>
          <w:szCs w:val="32"/>
        </w:rPr>
      </w:pPr>
      <w:r w:rsidRPr="00D148F0">
        <w:rPr>
          <w:rFonts w:ascii="Traditional Arabic" w:hAnsi="Traditional Arabic"/>
          <w:sz w:val="32"/>
          <w:szCs w:val="32"/>
          <w:rtl/>
        </w:rPr>
        <w:t>(</w:t>
      </w:r>
      <w:r w:rsidRPr="00D148F0">
        <w:rPr>
          <w:rStyle w:val="ae"/>
          <w:rFonts w:ascii="Traditional Arabic" w:hAnsi="Traditional Arabic"/>
          <w:sz w:val="32"/>
          <w:szCs w:val="32"/>
          <w:vertAlign w:val="baseline"/>
        </w:rPr>
        <w:footnoteRef/>
      </w:r>
      <w:r w:rsidRPr="00D148F0">
        <w:rPr>
          <w:rFonts w:ascii="Traditional Arabic" w:hAnsi="Traditional Arabic"/>
          <w:sz w:val="32"/>
          <w:szCs w:val="32"/>
          <w:rtl/>
        </w:rPr>
        <w:t>)</w:t>
      </w:r>
      <w:r w:rsidRPr="00D148F0">
        <w:rPr>
          <w:rFonts w:ascii="Traditional Arabic" w:hAnsi="Traditional Arabic"/>
          <w:b/>
          <w:sz w:val="32"/>
          <w:szCs w:val="32"/>
          <w:rtl/>
        </w:rPr>
        <w:t xml:space="preserve"> المشـيخة (ص65).</w:t>
      </w:r>
      <w:r w:rsidRPr="00D148F0">
        <w:rPr>
          <w:rFonts w:ascii="Traditional Arabic" w:hAnsi="Traditional Arabic"/>
          <w:sz w:val="32"/>
          <w:szCs w:val="32"/>
          <w:rtl/>
        </w:rPr>
        <w:t xml:space="preserve">  </w:t>
      </w:r>
    </w:p>
  </w:footnote>
  <w:footnote w:id="31">
    <w:p w:rsidR="003F128F" w:rsidRPr="00D148F0" w:rsidRDefault="003F128F" w:rsidP="00D148F0">
      <w:pPr>
        <w:pStyle w:val="af3"/>
        <w:rPr>
          <w:rFonts w:ascii="Traditional Arabic" w:hAnsi="Traditional Arabic"/>
          <w:sz w:val="32"/>
          <w:szCs w:val="32"/>
        </w:rPr>
      </w:pPr>
      <w:r w:rsidRPr="00D148F0">
        <w:rPr>
          <w:rFonts w:ascii="Traditional Arabic" w:hAnsi="Traditional Arabic"/>
          <w:sz w:val="32"/>
          <w:szCs w:val="32"/>
          <w:rtl/>
        </w:rPr>
        <w:t>(</w:t>
      </w:r>
      <w:r w:rsidRPr="00D148F0">
        <w:rPr>
          <w:rStyle w:val="ae"/>
          <w:rFonts w:ascii="Traditional Arabic" w:hAnsi="Traditional Arabic"/>
          <w:sz w:val="32"/>
          <w:szCs w:val="32"/>
          <w:vertAlign w:val="baseline"/>
        </w:rPr>
        <w:footnoteRef/>
      </w:r>
      <w:r w:rsidRPr="00D148F0">
        <w:rPr>
          <w:rFonts w:ascii="Traditional Arabic" w:hAnsi="Traditional Arabic"/>
          <w:sz w:val="32"/>
          <w:szCs w:val="32"/>
          <w:rtl/>
        </w:rPr>
        <w:t xml:space="preserve">) </w:t>
      </w:r>
      <w:r w:rsidRPr="00D148F0">
        <w:rPr>
          <w:rFonts w:ascii="Traditional Arabic" w:hAnsi="Traditional Arabic"/>
          <w:b/>
          <w:sz w:val="32"/>
          <w:szCs w:val="32"/>
          <w:rtl/>
        </w:rPr>
        <w:t>انظر: المشـيخة (</w:t>
      </w:r>
      <w:r>
        <w:rPr>
          <w:rFonts w:ascii="Traditional Arabic" w:hAnsi="Traditional Arabic" w:hint="cs"/>
          <w:b/>
          <w:sz w:val="32"/>
          <w:szCs w:val="32"/>
          <w:rtl/>
        </w:rPr>
        <w:t>ص</w:t>
      </w:r>
      <w:r w:rsidRPr="00D148F0">
        <w:rPr>
          <w:rFonts w:ascii="Traditional Arabic" w:hAnsi="Traditional Arabic"/>
          <w:b/>
          <w:sz w:val="32"/>
          <w:szCs w:val="32"/>
          <w:rtl/>
        </w:rPr>
        <w:t>61-65), ذيل طبقات الحنابلة (1/192), سير أعلام النبلاء (20/23-28)</w:t>
      </w:r>
    </w:p>
  </w:footnote>
  <w:footnote w:id="32">
    <w:p w:rsidR="003F128F" w:rsidRPr="00D148F0" w:rsidRDefault="003F128F" w:rsidP="00D148F0">
      <w:pPr>
        <w:pStyle w:val="af3"/>
        <w:rPr>
          <w:rFonts w:ascii="Tahoma" w:hAnsi="Tahoma"/>
        </w:rPr>
      </w:pPr>
      <w:r w:rsidRPr="00D148F0">
        <w:rPr>
          <w:rFonts w:ascii="Traditional Arabic" w:hAnsi="Traditional Arabic"/>
          <w:sz w:val="32"/>
          <w:szCs w:val="32"/>
          <w:rtl/>
        </w:rPr>
        <w:t>(</w:t>
      </w:r>
      <w:r w:rsidRPr="00D148F0">
        <w:rPr>
          <w:rStyle w:val="ae"/>
          <w:rFonts w:ascii="Traditional Arabic" w:hAnsi="Traditional Arabic"/>
          <w:sz w:val="32"/>
          <w:szCs w:val="32"/>
          <w:vertAlign w:val="baseline"/>
        </w:rPr>
        <w:footnoteRef/>
      </w:r>
      <w:r w:rsidRPr="00D148F0">
        <w:rPr>
          <w:rFonts w:ascii="Traditional Arabic" w:hAnsi="Traditional Arabic"/>
          <w:sz w:val="32"/>
          <w:szCs w:val="32"/>
          <w:rtl/>
        </w:rPr>
        <w:t xml:space="preserve">) </w:t>
      </w:r>
      <w:r w:rsidRPr="00D148F0">
        <w:rPr>
          <w:rFonts w:ascii="Traditional Arabic" w:hAnsi="Traditional Arabic"/>
          <w:b/>
          <w:sz w:val="32"/>
          <w:szCs w:val="32"/>
          <w:rtl/>
        </w:rPr>
        <w:t>انظر: المشـيخة (</w:t>
      </w:r>
      <w:r>
        <w:rPr>
          <w:rFonts w:ascii="Traditional Arabic" w:hAnsi="Traditional Arabic" w:hint="cs"/>
          <w:b/>
          <w:sz w:val="32"/>
          <w:szCs w:val="32"/>
          <w:rtl/>
        </w:rPr>
        <w:t>ص</w:t>
      </w:r>
      <w:r w:rsidRPr="00D148F0">
        <w:rPr>
          <w:rFonts w:ascii="Traditional Arabic" w:hAnsi="Traditional Arabic"/>
          <w:b/>
          <w:sz w:val="32"/>
          <w:szCs w:val="32"/>
          <w:rtl/>
        </w:rPr>
        <w:t>105-106), سير أعلام النبلاء (20/77-78).</w:t>
      </w:r>
      <w:r w:rsidRPr="00D148F0">
        <w:rPr>
          <w:rFonts w:ascii="Traditional Arabic" w:hAnsi="Traditional Arabic"/>
          <w:sz w:val="32"/>
          <w:szCs w:val="32"/>
          <w:rtl/>
        </w:rPr>
        <w:t xml:space="preserve"> </w:t>
      </w:r>
    </w:p>
  </w:footnote>
  <w:footnote w:id="33">
    <w:p w:rsidR="003F128F" w:rsidRPr="00D148F0" w:rsidRDefault="003F128F" w:rsidP="00D148F0">
      <w:pPr>
        <w:pStyle w:val="af3"/>
        <w:rPr>
          <w:rFonts w:ascii="Tahoma" w:hAnsi="Tahoma"/>
        </w:rPr>
      </w:pPr>
      <w:r w:rsidRPr="00D148F0">
        <w:rPr>
          <w:rFonts w:ascii="Tahoma" w:hAnsi="Tahoma"/>
          <w:rtl/>
        </w:rPr>
        <w:t>(</w:t>
      </w:r>
      <w:r w:rsidRPr="00D148F0">
        <w:rPr>
          <w:rStyle w:val="ae"/>
          <w:rFonts w:ascii="Tahoma" w:hAnsi="Tahoma"/>
          <w:vertAlign w:val="baseline"/>
        </w:rPr>
        <w:footnoteRef/>
      </w:r>
      <w:r w:rsidRPr="00D148F0">
        <w:rPr>
          <w:rFonts w:ascii="Tahoma" w:hAnsi="Tahoma"/>
          <w:rtl/>
        </w:rPr>
        <w:t>)</w:t>
      </w:r>
      <w:r>
        <w:rPr>
          <w:rFonts w:ascii="Traditional Arabic" w:hAnsi="Traditional Arabic" w:hint="cs"/>
          <w:b/>
          <w:sz w:val="32"/>
          <w:szCs w:val="32"/>
          <w:rtl/>
        </w:rPr>
        <w:t xml:space="preserve"> </w:t>
      </w:r>
      <w:r w:rsidRPr="001C4FED">
        <w:rPr>
          <w:rFonts w:ascii="Traditional Arabic" w:hAnsi="Traditional Arabic"/>
          <w:b/>
          <w:sz w:val="32"/>
          <w:szCs w:val="32"/>
          <w:rtl/>
        </w:rPr>
        <w:t>انظر: المشـيخة (</w:t>
      </w:r>
      <w:r>
        <w:rPr>
          <w:rFonts w:ascii="Traditional Arabic" w:hAnsi="Traditional Arabic" w:hint="cs"/>
          <w:b/>
          <w:sz w:val="32"/>
          <w:szCs w:val="32"/>
          <w:rtl/>
        </w:rPr>
        <w:t>ص</w:t>
      </w:r>
      <w:r w:rsidRPr="001C4FED">
        <w:rPr>
          <w:rFonts w:ascii="Traditional Arabic" w:hAnsi="Traditional Arabic"/>
          <w:b/>
          <w:sz w:val="32"/>
          <w:szCs w:val="32"/>
          <w:rtl/>
        </w:rPr>
        <w:t xml:space="preserve">92), </w:t>
      </w:r>
      <w:r w:rsidRPr="00D148F0">
        <w:rPr>
          <w:rFonts w:ascii="Traditional Arabic" w:hAnsi="Traditional Arabic"/>
          <w:b/>
          <w:sz w:val="32"/>
          <w:szCs w:val="32"/>
          <w:rtl/>
        </w:rPr>
        <w:t xml:space="preserve">سير أعلام النبلاء </w:t>
      </w:r>
      <w:r w:rsidRPr="001C4FED">
        <w:rPr>
          <w:rFonts w:ascii="Traditional Arabic" w:hAnsi="Traditional Arabic"/>
          <w:b/>
          <w:sz w:val="32"/>
          <w:szCs w:val="32"/>
          <w:rtl/>
        </w:rPr>
        <w:t>(20/134).</w:t>
      </w:r>
      <w:r>
        <w:rPr>
          <w:rFonts w:ascii="Tahoma" w:hAnsi="Tahoma"/>
          <w:rtl/>
        </w:rPr>
        <w:t xml:space="preserve"> </w:t>
      </w:r>
    </w:p>
  </w:footnote>
  <w:footnote w:id="34">
    <w:p w:rsidR="003F128F" w:rsidRPr="00D148F0" w:rsidRDefault="003F128F" w:rsidP="001E4BE5">
      <w:pPr>
        <w:pStyle w:val="af3"/>
        <w:rPr>
          <w:rFonts w:ascii="Tahoma" w:hAnsi="Tahoma"/>
        </w:rPr>
      </w:pPr>
      <w:r w:rsidRPr="00D148F0">
        <w:rPr>
          <w:rFonts w:ascii="Tahoma" w:hAnsi="Tahoma"/>
          <w:rtl/>
        </w:rPr>
        <w:t>(</w:t>
      </w:r>
      <w:r w:rsidRPr="00D148F0">
        <w:rPr>
          <w:rStyle w:val="ae"/>
          <w:rFonts w:ascii="Tahoma" w:hAnsi="Tahoma"/>
          <w:vertAlign w:val="baseline"/>
        </w:rPr>
        <w:footnoteRef/>
      </w:r>
      <w:r w:rsidRPr="00D148F0">
        <w:rPr>
          <w:rFonts w:ascii="Tahoma" w:hAnsi="Tahoma"/>
          <w:rtl/>
        </w:rPr>
        <w:t>)</w:t>
      </w:r>
      <w:r>
        <w:rPr>
          <w:rFonts w:ascii="Tahoma" w:hAnsi="Tahoma" w:hint="cs"/>
          <w:rtl/>
        </w:rPr>
        <w:t xml:space="preserve"> </w:t>
      </w:r>
      <w:r w:rsidRPr="001C4FED">
        <w:rPr>
          <w:rFonts w:ascii="Traditional Arabic" w:hAnsi="Traditional Arabic"/>
          <w:b/>
          <w:sz w:val="32"/>
          <w:szCs w:val="32"/>
          <w:rtl/>
        </w:rPr>
        <w:t>انظر: المشـيخة (</w:t>
      </w:r>
      <w:r>
        <w:rPr>
          <w:rFonts w:ascii="Traditional Arabic" w:hAnsi="Traditional Arabic" w:hint="cs"/>
          <w:b/>
          <w:sz w:val="32"/>
          <w:szCs w:val="32"/>
          <w:rtl/>
        </w:rPr>
        <w:t>ص</w:t>
      </w:r>
      <w:r w:rsidRPr="001C4FED">
        <w:rPr>
          <w:rFonts w:ascii="Traditional Arabic" w:hAnsi="Traditional Arabic"/>
          <w:b/>
          <w:sz w:val="32"/>
          <w:szCs w:val="32"/>
          <w:rtl/>
        </w:rPr>
        <w:t>131), الوافي بالوفيات (18/110</w:t>
      </w:r>
      <w:r w:rsidRPr="001C4FED">
        <w:rPr>
          <w:rFonts w:ascii="Traditional Arabic" w:hAnsi="Traditional Arabic" w:hint="cs"/>
          <w:b/>
          <w:sz w:val="32"/>
          <w:szCs w:val="32"/>
          <w:rtl/>
        </w:rPr>
        <w:t xml:space="preserve">)، </w:t>
      </w:r>
      <w:r w:rsidRPr="001C4FED">
        <w:rPr>
          <w:rFonts w:ascii="Traditional Arabic" w:hAnsi="Traditional Arabic"/>
          <w:b/>
          <w:sz w:val="32"/>
          <w:szCs w:val="32"/>
          <w:rtl/>
        </w:rPr>
        <w:t>الأنساب</w:t>
      </w:r>
      <w:r>
        <w:rPr>
          <w:rFonts w:ascii="Traditional Arabic" w:hAnsi="Traditional Arabic" w:hint="cs"/>
          <w:b/>
          <w:sz w:val="32"/>
          <w:szCs w:val="32"/>
          <w:rtl/>
        </w:rPr>
        <w:t xml:space="preserve"> للسمعاني</w:t>
      </w:r>
      <w:r w:rsidRPr="001C4FED">
        <w:rPr>
          <w:rFonts w:ascii="Traditional Arabic" w:hAnsi="Traditional Arabic"/>
          <w:b/>
          <w:sz w:val="32"/>
          <w:szCs w:val="32"/>
          <w:rtl/>
        </w:rPr>
        <w:t xml:space="preserve"> (2/211).</w:t>
      </w:r>
      <w:r>
        <w:rPr>
          <w:rFonts w:ascii="Tahoma" w:hAnsi="Tahoma"/>
          <w:rtl/>
        </w:rPr>
        <w:t xml:space="preserve"> </w:t>
      </w:r>
    </w:p>
  </w:footnote>
  <w:footnote w:id="35">
    <w:p w:rsidR="003F128F" w:rsidRPr="00D148F0" w:rsidRDefault="003F128F" w:rsidP="00D148F0">
      <w:pPr>
        <w:pStyle w:val="af3"/>
        <w:rPr>
          <w:rFonts w:ascii="Tahoma" w:hAnsi="Tahoma"/>
        </w:rPr>
      </w:pPr>
      <w:r w:rsidRPr="00D148F0">
        <w:rPr>
          <w:rFonts w:ascii="Tahoma" w:hAnsi="Tahoma"/>
          <w:rtl/>
        </w:rPr>
        <w:t>(</w:t>
      </w:r>
      <w:r w:rsidRPr="00D148F0">
        <w:rPr>
          <w:rStyle w:val="ae"/>
          <w:rFonts w:ascii="Tahoma" w:hAnsi="Tahoma"/>
          <w:vertAlign w:val="baseline"/>
        </w:rPr>
        <w:footnoteRef/>
      </w:r>
      <w:r w:rsidRPr="00D148F0">
        <w:rPr>
          <w:rFonts w:ascii="Tahoma" w:hAnsi="Tahoma"/>
          <w:rtl/>
        </w:rPr>
        <w:t>)</w:t>
      </w:r>
      <w:r>
        <w:rPr>
          <w:rFonts w:ascii="Traditional Arabic" w:hAnsi="Traditional Arabic" w:hint="cs"/>
          <w:b/>
          <w:sz w:val="32"/>
          <w:szCs w:val="32"/>
          <w:rtl/>
        </w:rPr>
        <w:t xml:space="preserve"> </w:t>
      </w:r>
      <w:r w:rsidRPr="001C4FED">
        <w:rPr>
          <w:rFonts w:ascii="Traditional Arabic" w:hAnsi="Traditional Arabic"/>
          <w:b/>
          <w:sz w:val="32"/>
          <w:szCs w:val="32"/>
          <w:rtl/>
        </w:rPr>
        <w:t>انظر: المشـيخة (</w:t>
      </w:r>
      <w:r>
        <w:rPr>
          <w:rFonts w:ascii="Traditional Arabic" w:hAnsi="Traditional Arabic" w:hint="cs"/>
          <w:b/>
          <w:sz w:val="32"/>
          <w:szCs w:val="32"/>
          <w:rtl/>
        </w:rPr>
        <w:t>ص</w:t>
      </w:r>
      <w:r w:rsidRPr="001C4FED">
        <w:rPr>
          <w:rFonts w:ascii="Traditional Arabic" w:hAnsi="Traditional Arabic"/>
          <w:b/>
          <w:sz w:val="32"/>
          <w:szCs w:val="32"/>
          <w:rtl/>
        </w:rPr>
        <w:t xml:space="preserve">94), </w:t>
      </w:r>
      <w:r w:rsidRPr="00D148F0">
        <w:rPr>
          <w:rFonts w:ascii="Traditional Arabic" w:hAnsi="Traditional Arabic"/>
          <w:b/>
          <w:sz w:val="32"/>
          <w:szCs w:val="32"/>
          <w:rtl/>
        </w:rPr>
        <w:t xml:space="preserve">سير أعلام النبلاء </w:t>
      </w:r>
      <w:r w:rsidRPr="001C4FED">
        <w:rPr>
          <w:rFonts w:ascii="Traditional Arabic" w:hAnsi="Traditional Arabic"/>
          <w:b/>
          <w:sz w:val="32"/>
          <w:szCs w:val="32"/>
          <w:rtl/>
        </w:rPr>
        <w:t>(20/273-275).</w:t>
      </w:r>
      <w:r>
        <w:rPr>
          <w:rFonts w:ascii="Tahoma" w:hAnsi="Tahoma"/>
          <w:rtl/>
        </w:rPr>
        <w:t xml:space="preserve"> </w:t>
      </w:r>
    </w:p>
  </w:footnote>
  <w:footnote w:id="36">
    <w:p w:rsidR="003F128F" w:rsidRPr="00D148F0" w:rsidRDefault="003F128F" w:rsidP="001E4BE5">
      <w:pPr>
        <w:pStyle w:val="af3"/>
        <w:rPr>
          <w:rFonts w:ascii="Traditional Arabic" w:hAnsi="Traditional Arabic"/>
          <w:sz w:val="32"/>
          <w:szCs w:val="32"/>
        </w:rPr>
      </w:pPr>
      <w:r w:rsidRPr="00D148F0">
        <w:rPr>
          <w:rFonts w:ascii="Traditional Arabic" w:hAnsi="Traditional Arabic"/>
          <w:sz w:val="32"/>
          <w:szCs w:val="32"/>
          <w:rtl/>
        </w:rPr>
        <w:t>(</w:t>
      </w:r>
      <w:r w:rsidRPr="00D148F0">
        <w:rPr>
          <w:rStyle w:val="ae"/>
          <w:rFonts w:ascii="Traditional Arabic" w:hAnsi="Traditional Arabic"/>
          <w:sz w:val="32"/>
          <w:szCs w:val="32"/>
          <w:vertAlign w:val="baseline"/>
        </w:rPr>
        <w:footnoteRef/>
      </w:r>
      <w:r w:rsidRPr="00D148F0">
        <w:rPr>
          <w:rFonts w:ascii="Traditional Arabic" w:hAnsi="Traditional Arabic"/>
          <w:sz w:val="32"/>
          <w:szCs w:val="32"/>
          <w:rtl/>
        </w:rPr>
        <w:t xml:space="preserve">) </w:t>
      </w:r>
      <w:r w:rsidRPr="00D148F0">
        <w:rPr>
          <w:rFonts w:ascii="Traditional Arabic" w:hAnsi="Traditional Arabic"/>
          <w:b/>
          <w:sz w:val="32"/>
          <w:szCs w:val="32"/>
          <w:rtl/>
        </w:rPr>
        <w:t>انظر: المشـيخة (ص133),</w:t>
      </w:r>
      <w:r>
        <w:rPr>
          <w:rFonts w:ascii="Traditional Arabic" w:hAnsi="Traditional Arabic" w:hint="cs"/>
          <w:b/>
          <w:sz w:val="32"/>
          <w:szCs w:val="32"/>
          <w:rtl/>
        </w:rPr>
        <w:t xml:space="preserve"> </w:t>
      </w:r>
      <w:r w:rsidRPr="00D148F0">
        <w:rPr>
          <w:rFonts w:ascii="Traditional Arabic" w:hAnsi="Traditional Arabic"/>
          <w:b/>
          <w:sz w:val="32"/>
          <w:szCs w:val="32"/>
          <w:rtl/>
        </w:rPr>
        <w:t>الأنساب (7/209), ذيل طبقات الحنابلة (1/225), سـير أعلام النبلاء (20/265).</w:t>
      </w:r>
    </w:p>
  </w:footnote>
  <w:footnote w:id="37">
    <w:p w:rsidR="003F128F" w:rsidRPr="00D148F0" w:rsidRDefault="003F128F" w:rsidP="00D148F0">
      <w:pPr>
        <w:pStyle w:val="af3"/>
        <w:rPr>
          <w:rFonts w:ascii="Traditional Arabic" w:hAnsi="Traditional Arabic"/>
          <w:sz w:val="32"/>
          <w:szCs w:val="32"/>
        </w:rPr>
      </w:pPr>
      <w:r w:rsidRPr="00D148F0">
        <w:rPr>
          <w:rFonts w:ascii="Traditional Arabic" w:hAnsi="Traditional Arabic"/>
          <w:sz w:val="32"/>
          <w:szCs w:val="32"/>
          <w:rtl/>
        </w:rPr>
        <w:t>(</w:t>
      </w:r>
      <w:r w:rsidRPr="00D148F0">
        <w:rPr>
          <w:rStyle w:val="ae"/>
          <w:rFonts w:ascii="Traditional Arabic" w:hAnsi="Traditional Arabic"/>
          <w:sz w:val="32"/>
          <w:szCs w:val="32"/>
          <w:vertAlign w:val="baseline"/>
        </w:rPr>
        <w:footnoteRef/>
      </w:r>
      <w:r w:rsidRPr="00D148F0">
        <w:rPr>
          <w:rFonts w:ascii="Traditional Arabic" w:hAnsi="Traditional Arabic"/>
          <w:sz w:val="32"/>
          <w:szCs w:val="32"/>
          <w:rtl/>
        </w:rPr>
        <w:t xml:space="preserve">) </w:t>
      </w:r>
      <w:r w:rsidRPr="00D148F0">
        <w:rPr>
          <w:rFonts w:ascii="Traditional Arabic" w:hAnsi="Traditional Arabic"/>
          <w:b/>
          <w:sz w:val="32"/>
          <w:szCs w:val="32"/>
          <w:rtl/>
        </w:rPr>
        <w:t>المنتظم (18/112).</w:t>
      </w:r>
    </w:p>
  </w:footnote>
  <w:footnote w:id="38">
    <w:p w:rsidR="003F128F" w:rsidRPr="00D148F0" w:rsidRDefault="003F128F" w:rsidP="00D148F0">
      <w:pPr>
        <w:pStyle w:val="af3"/>
        <w:rPr>
          <w:rFonts w:ascii="Tahoma" w:hAnsi="Tahoma"/>
        </w:rPr>
      </w:pPr>
      <w:r w:rsidRPr="00D148F0">
        <w:rPr>
          <w:rFonts w:ascii="Traditional Arabic" w:hAnsi="Traditional Arabic"/>
          <w:sz w:val="32"/>
          <w:szCs w:val="32"/>
          <w:rtl/>
        </w:rPr>
        <w:t>(</w:t>
      </w:r>
      <w:r w:rsidRPr="00D148F0">
        <w:rPr>
          <w:rStyle w:val="ae"/>
          <w:rFonts w:ascii="Traditional Arabic" w:hAnsi="Traditional Arabic"/>
          <w:sz w:val="32"/>
          <w:szCs w:val="32"/>
          <w:vertAlign w:val="baseline"/>
        </w:rPr>
        <w:footnoteRef/>
      </w:r>
      <w:r w:rsidRPr="00D148F0">
        <w:rPr>
          <w:rFonts w:ascii="Traditional Arabic" w:hAnsi="Traditional Arabic"/>
          <w:sz w:val="32"/>
          <w:szCs w:val="32"/>
          <w:rtl/>
        </w:rPr>
        <w:t xml:space="preserve">) </w:t>
      </w:r>
      <w:r w:rsidRPr="00D148F0">
        <w:rPr>
          <w:rFonts w:ascii="Traditional Arabic" w:hAnsi="Traditional Arabic"/>
          <w:b/>
          <w:sz w:val="32"/>
          <w:szCs w:val="32"/>
          <w:rtl/>
        </w:rPr>
        <w:t>انظر: المشـيخة (ص139-141), سـير أعلام النبلاء (20/278)، ذيل طبقات الحنابلة (2/465).</w:t>
      </w:r>
    </w:p>
  </w:footnote>
  <w:footnote w:id="39">
    <w:p w:rsidR="003F128F" w:rsidRPr="00D148F0" w:rsidRDefault="003F128F" w:rsidP="00D148F0">
      <w:pPr>
        <w:pStyle w:val="af3"/>
        <w:rPr>
          <w:rFonts w:ascii="Tahoma" w:hAnsi="Tahoma"/>
        </w:rPr>
      </w:pPr>
      <w:r w:rsidRPr="00D148F0">
        <w:rPr>
          <w:rFonts w:ascii="Tahoma" w:hAnsi="Tahoma"/>
          <w:rtl/>
        </w:rPr>
        <w:t>(</w:t>
      </w:r>
      <w:r w:rsidRPr="00D148F0">
        <w:rPr>
          <w:rStyle w:val="ae"/>
          <w:rFonts w:ascii="Tahoma" w:hAnsi="Tahoma"/>
          <w:vertAlign w:val="baseline"/>
        </w:rPr>
        <w:footnoteRef/>
      </w:r>
      <w:r w:rsidRPr="00D148F0">
        <w:rPr>
          <w:rFonts w:ascii="Tahoma" w:hAnsi="Tahoma"/>
          <w:rtl/>
        </w:rPr>
        <w:t>)</w:t>
      </w:r>
      <w:r>
        <w:rPr>
          <w:rFonts w:ascii="Tahoma" w:hAnsi="Tahoma" w:hint="cs"/>
          <w:rtl/>
        </w:rPr>
        <w:t xml:space="preserve"> </w:t>
      </w:r>
      <w:r w:rsidRPr="001C4FED">
        <w:rPr>
          <w:rFonts w:ascii="Traditional Arabic" w:hAnsi="Traditional Arabic"/>
          <w:b/>
          <w:sz w:val="32"/>
          <w:szCs w:val="32"/>
          <w:rtl/>
        </w:rPr>
        <w:t>انظر: المشـيخة (</w:t>
      </w:r>
      <w:r>
        <w:rPr>
          <w:rFonts w:ascii="Traditional Arabic" w:hAnsi="Traditional Arabic" w:hint="cs"/>
          <w:b/>
          <w:sz w:val="32"/>
          <w:szCs w:val="32"/>
          <w:rtl/>
        </w:rPr>
        <w:t>ص</w:t>
      </w:r>
      <w:r w:rsidRPr="001C4FED">
        <w:rPr>
          <w:rFonts w:ascii="Traditional Arabic" w:hAnsi="Traditional Arabic"/>
          <w:b/>
          <w:sz w:val="32"/>
          <w:szCs w:val="32"/>
          <w:rtl/>
        </w:rPr>
        <w:t xml:space="preserve">191-193), </w:t>
      </w:r>
      <w:r w:rsidRPr="00D148F0">
        <w:rPr>
          <w:rFonts w:ascii="Traditional Arabic" w:hAnsi="Traditional Arabic"/>
          <w:b/>
          <w:sz w:val="32"/>
          <w:szCs w:val="32"/>
          <w:rtl/>
        </w:rPr>
        <w:t xml:space="preserve">سـير أعلام النبلاء </w:t>
      </w:r>
      <w:r w:rsidRPr="001C4FED">
        <w:rPr>
          <w:rFonts w:ascii="Traditional Arabic" w:hAnsi="Traditional Arabic"/>
          <w:b/>
          <w:sz w:val="32"/>
          <w:szCs w:val="32"/>
          <w:rtl/>
        </w:rPr>
        <w:t>(20/396)</w:t>
      </w:r>
      <w:r w:rsidRPr="001C4FED">
        <w:rPr>
          <w:rFonts w:ascii="Traditional Arabic" w:hAnsi="Traditional Arabic" w:hint="cs"/>
          <w:b/>
          <w:sz w:val="32"/>
          <w:szCs w:val="32"/>
          <w:rtl/>
        </w:rPr>
        <w:t xml:space="preserve">، </w:t>
      </w:r>
      <w:r w:rsidRPr="00D148F0">
        <w:rPr>
          <w:rFonts w:ascii="Traditional Arabic" w:hAnsi="Traditional Arabic"/>
          <w:b/>
          <w:sz w:val="32"/>
          <w:szCs w:val="32"/>
          <w:rtl/>
        </w:rPr>
        <w:t xml:space="preserve">ذيل طبقات الحنابلة </w:t>
      </w:r>
      <w:r w:rsidRPr="001C4FED">
        <w:rPr>
          <w:rFonts w:ascii="Traditional Arabic" w:hAnsi="Traditional Arabic" w:hint="cs"/>
          <w:b/>
          <w:sz w:val="32"/>
          <w:szCs w:val="32"/>
          <w:rtl/>
        </w:rPr>
        <w:t>(2/465).</w:t>
      </w:r>
      <w:r>
        <w:rPr>
          <w:rFonts w:ascii="Tahoma" w:hAnsi="Tahoma"/>
          <w:rtl/>
        </w:rPr>
        <w:t xml:space="preserve">  </w:t>
      </w:r>
    </w:p>
  </w:footnote>
  <w:footnote w:id="40">
    <w:p w:rsidR="003F128F" w:rsidRPr="00D148F0" w:rsidRDefault="003F128F" w:rsidP="00D148F0">
      <w:pPr>
        <w:pStyle w:val="af3"/>
        <w:rPr>
          <w:rFonts w:ascii="Traditional Arabic" w:hAnsi="Traditional Arabic"/>
          <w:sz w:val="32"/>
          <w:szCs w:val="32"/>
        </w:rPr>
      </w:pPr>
      <w:r w:rsidRPr="00D148F0">
        <w:rPr>
          <w:rFonts w:ascii="Traditional Arabic" w:hAnsi="Traditional Arabic"/>
          <w:sz w:val="32"/>
          <w:szCs w:val="32"/>
          <w:rtl/>
        </w:rPr>
        <w:t>(</w:t>
      </w:r>
      <w:r w:rsidRPr="00D148F0">
        <w:rPr>
          <w:rStyle w:val="ae"/>
          <w:rFonts w:ascii="Traditional Arabic" w:hAnsi="Traditional Arabic"/>
          <w:sz w:val="32"/>
          <w:szCs w:val="32"/>
          <w:vertAlign w:val="baseline"/>
        </w:rPr>
        <w:footnoteRef/>
      </w:r>
      <w:r w:rsidRPr="00D148F0">
        <w:rPr>
          <w:rFonts w:ascii="Traditional Arabic" w:hAnsi="Traditional Arabic"/>
          <w:sz w:val="32"/>
          <w:szCs w:val="32"/>
          <w:rtl/>
        </w:rPr>
        <w:t>)</w:t>
      </w:r>
      <w:r w:rsidRPr="00D148F0">
        <w:rPr>
          <w:rFonts w:ascii="Traditional Arabic" w:hAnsi="Traditional Arabic"/>
          <w:b/>
          <w:sz w:val="32"/>
          <w:szCs w:val="32"/>
          <w:rtl/>
        </w:rPr>
        <w:t xml:space="preserve"> انظر: سـير أعلام النبلاء (22/91), ذيل طبقات الحنابلة (2/109).</w:t>
      </w:r>
      <w:r w:rsidRPr="00D148F0">
        <w:rPr>
          <w:rFonts w:ascii="Traditional Arabic" w:hAnsi="Traditional Arabic"/>
          <w:sz w:val="32"/>
          <w:szCs w:val="32"/>
          <w:rtl/>
        </w:rPr>
        <w:t xml:space="preserve">  </w:t>
      </w:r>
    </w:p>
  </w:footnote>
  <w:footnote w:id="41">
    <w:p w:rsidR="003F128F" w:rsidRPr="00D148F0" w:rsidRDefault="003F128F" w:rsidP="00D148F0">
      <w:pPr>
        <w:pStyle w:val="af3"/>
        <w:rPr>
          <w:rFonts w:ascii="Tahoma" w:hAnsi="Tahoma"/>
        </w:rPr>
      </w:pPr>
      <w:r w:rsidRPr="00D148F0">
        <w:rPr>
          <w:rFonts w:ascii="Traditional Arabic" w:hAnsi="Traditional Arabic"/>
          <w:sz w:val="32"/>
          <w:szCs w:val="32"/>
          <w:rtl/>
        </w:rPr>
        <w:t>(</w:t>
      </w:r>
      <w:r w:rsidRPr="00D148F0">
        <w:rPr>
          <w:rStyle w:val="ae"/>
          <w:rFonts w:ascii="Traditional Arabic" w:hAnsi="Traditional Arabic"/>
          <w:sz w:val="32"/>
          <w:szCs w:val="32"/>
          <w:vertAlign w:val="baseline"/>
        </w:rPr>
        <w:footnoteRef/>
      </w:r>
      <w:r w:rsidRPr="00D148F0">
        <w:rPr>
          <w:rFonts w:ascii="Traditional Arabic" w:hAnsi="Traditional Arabic"/>
          <w:sz w:val="32"/>
          <w:szCs w:val="32"/>
          <w:rtl/>
        </w:rPr>
        <w:t xml:space="preserve">) </w:t>
      </w:r>
      <w:r w:rsidRPr="00D148F0">
        <w:rPr>
          <w:rFonts w:ascii="Traditional Arabic" w:hAnsi="Traditional Arabic"/>
          <w:b/>
          <w:sz w:val="32"/>
          <w:szCs w:val="32"/>
          <w:rtl/>
        </w:rPr>
        <w:t>انظر: سـير أعلام النبلاء (23/8), ذيل طبقات الحنابلة (2/212).</w:t>
      </w:r>
      <w:r>
        <w:rPr>
          <w:rFonts w:ascii="Tahoma" w:hAnsi="Tahoma"/>
          <w:rtl/>
        </w:rPr>
        <w:t xml:space="preserve"> </w:t>
      </w:r>
    </w:p>
  </w:footnote>
  <w:footnote w:id="42">
    <w:p w:rsidR="003F128F" w:rsidRPr="002F19D8" w:rsidRDefault="003F128F" w:rsidP="002F19D8">
      <w:pPr>
        <w:pStyle w:val="af3"/>
        <w:rPr>
          <w:rFonts w:ascii="Traditional Arabic" w:hAnsi="Traditional Arabic"/>
          <w:sz w:val="32"/>
          <w:szCs w:val="32"/>
        </w:rPr>
      </w:pPr>
      <w:r w:rsidRPr="002F19D8">
        <w:rPr>
          <w:rFonts w:ascii="Traditional Arabic" w:hAnsi="Traditional Arabic"/>
          <w:sz w:val="32"/>
          <w:szCs w:val="32"/>
          <w:rtl/>
        </w:rPr>
        <w:t>(</w:t>
      </w:r>
      <w:r w:rsidRPr="002F19D8">
        <w:rPr>
          <w:rStyle w:val="ae"/>
          <w:rFonts w:ascii="Traditional Arabic" w:hAnsi="Traditional Arabic"/>
          <w:sz w:val="32"/>
          <w:szCs w:val="32"/>
          <w:vertAlign w:val="baseline"/>
        </w:rPr>
        <w:footnoteRef/>
      </w:r>
      <w:r w:rsidRPr="002F19D8">
        <w:rPr>
          <w:rFonts w:ascii="Traditional Arabic" w:hAnsi="Traditional Arabic"/>
          <w:sz w:val="32"/>
          <w:szCs w:val="32"/>
          <w:rtl/>
        </w:rPr>
        <w:t xml:space="preserve">) </w:t>
      </w:r>
      <w:r w:rsidRPr="002F19D8">
        <w:rPr>
          <w:rFonts w:ascii="Traditional Arabic" w:hAnsi="Traditional Arabic"/>
          <w:b/>
          <w:sz w:val="32"/>
          <w:szCs w:val="32"/>
          <w:rtl/>
        </w:rPr>
        <w:t>انظر: سـير أعلام النبلاء (23/92), شذرات الذهب (5/185).</w:t>
      </w:r>
    </w:p>
  </w:footnote>
  <w:footnote w:id="43">
    <w:p w:rsidR="003F128F" w:rsidRPr="002F19D8" w:rsidRDefault="003F128F" w:rsidP="002F19D8">
      <w:pPr>
        <w:pStyle w:val="af3"/>
        <w:rPr>
          <w:rFonts w:ascii="Traditional Arabic" w:hAnsi="Traditional Arabic"/>
          <w:sz w:val="32"/>
          <w:szCs w:val="32"/>
        </w:rPr>
      </w:pPr>
      <w:r w:rsidRPr="002F19D8">
        <w:rPr>
          <w:rFonts w:ascii="Traditional Arabic" w:hAnsi="Traditional Arabic"/>
          <w:sz w:val="32"/>
          <w:szCs w:val="32"/>
          <w:rtl/>
        </w:rPr>
        <w:t>(</w:t>
      </w:r>
      <w:r w:rsidRPr="002F19D8">
        <w:rPr>
          <w:rStyle w:val="ae"/>
          <w:rFonts w:ascii="Traditional Arabic" w:hAnsi="Traditional Arabic"/>
          <w:sz w:val="32"/>
          <w:szCs w:val="32"/>
          <w:vertAlign w:val="baseline"/>
        </w:rPr>
        <w:footnoteRef/>
      </w:r>
      <w:r w:rsidRPr="002F19D8">
        <w:rPr>
          <w:rFonts w:ascii="Traditional Arabic" w:hAnsi="Traditional Arabic"/>
          <w:sz w:val="32"/>
          <w:szCs w:val="32"/>
          <w:rtl/>
        </w:rPr>
        <w:t xml:space="preserve">) </w:t>
      </w:r>
      <w:r w:rsidRPr="002F19D8">
        <w:rPr>
          <w:rFonts w:ascii="Traditional Arabic" w:hAnsi="Traditional Arabic"/>
          <w:b/>
          <w:sz w:val="32"/>
          <w:szCs w:val="32"/>
          <w:rtl/>
        </w:rPr>
        <w:t>انظر: سـير أعلام النبلاء (23/131), طبقات الشافعية للسبكي (8/98).</w:t>
      </w:r>
      <w:r w:rsidRPr="002F19D8">
        <w:rPr>
          <w:rFonts w:ascii="Traditional Arabic" w:hAnsi="Traditional Arabic"/>
          <w:sz w:val="32"/>
          <w:szCs w:val="32"/>
          <w:rtl/>
        </w:rPr>
        <w:t xml:space="preserve"> </w:t>
      </w:r>
    </w:p>
  </w:footnote>
  <w:footnote w:id="44">
    <w:p w:rsidR="003F128F" w:rsidRPr="002F19D8" w:rsidRDefault="003F128F" w:rsidP="002F19D8">
      <w:pPr>
        <w:pStyle w:val="af3"/>
        <w:rPr>
          <w:rFonts w:ascii="Tahoma" w:hAnsi="Tahoma"/>
        </w:rPr>
      </w:pPr>
      <w:r w:rsidRPr="002F19D8">
        <w:rPr>
          <w:rFonts w:ascii="Traditional Arabic" w:hAnsi="Traditional Arabic"/>
          <w:sz w:val="32"/>
          <w:szCs w:val="32"/>
          <w:rtl/>
        </w:rPr>
        <w:t>(</w:t>
      </w:r>
      <w:r w:rsidRPr="002F19D8">
        <w:rPr>
          <w:rStyle w:val="ae"/>
          <w:rFonts w:ascii="Traditional Arabic" w:hAnsi="Traditional Arabic"/>
          <w:sz w:val="32"/>
          <w:szCs w:val="32"/>
          <w:vertAlign w:val="baseline"/>
        </w:rPr>
        <w:footnoteRef/>
      </w:r>
      <w:r w:rsidRPr="002F19D8">
        <w:rPr>
          <w:rFonts w:ascii="Traditional Arabic" w:hAnsi="Traditional Arabic"/>
          <w:sz w:val="32"/>
          <w:szCs w:val="32"/>
          <w:rtl/>
        </w:rPr>
        <w:t xml:space="preserve">) </w:t>
      </w:r>
      <w:r w:rsidRPr="002F19D8">
        <w:rPr>
          <w:rFonts w:ascii="Traditional Arabic" w:hAnsi="Traditional Arabic"/>
          <w:b/>
          <w:spacing w:val="-6"/>
          <w:sz w:val="32"/>
          <w:szCs w:val="32"/>
          <w:rtl/>
        </w:rPr>
        <w:t>انظر: البداية والنهاية (13/33), ذيل طبقات الحنابلة (2/258), شذرات الذهب (5/286).</w:t>
      </w:r>
      <w:r w:rsidRPr="002F19D8">
        <w:rPr>
          <w:rFonts w:ascii="Traditional Arabic" w:hAnsi="Traditional Arabic"/>
          <w:sz w:val="32"/>
          <w:szCs w:val="32"/>
          <w:rtl/>
        </w:rPr>
        <w:t xml:space="preserve"> </w:t>
      </w:r>
    </w:p>
  </w:footnote>
  <w:footnote w:id="45">
    <w:p w:rsidR="003F128F" w:rsidRPr="003B54D0" w:rsidRDefault="003F128F" w:rsidP="009561AE">
      <w:pPr>
        <w:pStyle w:val="af3"/>
        <w:rPr>
          <w:rFonts w:ascii="Tahoma" w:hAnsi="Tahoma"/>
        </w:rPr>
      </w:pPr>
      <w:r w:rsidRPr="003B54D0">
        <w:rPr>
          <w:rFonts w:ascii="Tahoma" w:hAnsi="Tahoma"/>
          <w:rtl/>
        </w:rPr>
        <w:t>(</w:t>
      </w:r>
      <w:r w:rsidRPr="003B54D0">
        <w:rPr>
          <w:rStyle w:val="ae"/>
          <w:rFonts w:ascii="Tahoma" w:hAnsi="Tahoma"/>
          <w:vertAlign w:val="baseline"/>
        </w:rPr>
        <w:footnoteRef/>
      </w:r>
      <w:r w:rsidRPr="003B54D0">
        <w:rPr>
          <w:rFonts w:ascii="Tahoma" w:hAnsi="Tahoma"/>
          <w:rtl/>
        </w:rPr>
        <w:t>)</w:t>
      </w:r>
      <w:r>
        <w:rPr>
          <w:rFonts w:ascii="Tahoma" w:hAnsi="Tahoma"/>
          <w:rtl/>
        </w:rPr>
        <w:t xml:space="preserve"> </w:t>
      </w:r>
      <w:r w:rsidRPr="001C4FED">
        <w:rPr>
          <w:rFonts w:ascii="Traditional Arabic" w:hAnsi="Traditional Arabic" w:hint="cs"/>
          <w:sz w:val="32"/>
          <w:szCs w:val="32"/>
          <w:rtl/>
        </w:rPr>
        <w:t>انظر</w:t>
      </w:r>
      <w:r>
        <w:rPr>
          <w:rFonts w:ascii="Traditional Arabic" w:hAnsi="Traditional Arabic" w:hint="cs"/>
          <w:sz w:val="32"/>
          <w:szCs w:val="32"/>
          <w:rtl/>
        </w:rPr>
        <w:t>:</w:t>
      </w:r>
      <w:r w:rsidRPr="001C4FED">
        <w:rPr>
          <w:rFonts w:ascii="Traditional Arabic" w:hAnsi="Traditional Arabic" w:hint="cs"/>
          <w:sz w:val="32"/>
          <w:szCs w:val="32"/>
          <w:rtl/>
        </w:rPr>
        <w:t xml:space="preserve"> ذيل طبقات الحنابلة (2/487).</w:t>
      </w:r>
    </w:p>
  </w:footnote>
  <w:footnote w:id="46">
    <w:p w:rsidR="003F128F" w:rsidRPr="003B54D0" w:rsidRDefault="003F128F" w:rsidP="009561AE">
      <w:pPr>
        <w:pStyle w:val="af3"/>
        <w:rPr>
          <w:rFonts w:ascii="Tahoma" w:hAnsi="Tahoma"/>
        </w:rPr>
      </w:pPr>
      <w:r w:rsidRPr="003B54D0">
        <w:rPr>
          <w:rFonts w:ascii="Tahoma" w:hAnsi="Tahoma"/>
          <w:rtl/>
        </w:rPr>
        <w:t>(</w:t>
      </w:r>
      <w:r w:rsidRPr="003B54D0">
        <w:rPr>
          <w:rStyle w:val="ae"/>
          <w:rFonts w:ascii="Tahoma" w:hAnsi="Tahoma"/>
          <w:vertAlign w:val="baseline"/>
        </w:rPr>
        <w:footnoteRef/>
      </w:r>
      <w:r w:rsidRPr="003B54D0">
        <w:rPr>
          <w:rFonts w:ascii="Tahoma" w:hAnsi="Tahoma"/>
          <w:rtl/>
        </w:rPr>
        <w:t>)</w:t>
      </w:r>
      <w:r>
        <w:rPr>
          <w:rFonts w:ascii="Traditional Arabic" w:hAnsi="Traditional Arabic" w:hint="cs"/>
          <w:b/>
          <w:sz w:val="32"/>
          <w:szCs w:val="32"/>
          <w:rtl/>
        </w:rPr>
        <w:t xml:space="preserve"> انظر: </w:t>
      </w:r>
      <w:r w:rsidRPr="001C4FED">
        <w:rPr>
          <w:rFonts w:ascii="Traditional Arabic" w:hAnsi="Traditional Arabic"/>
          <w:b/>
          <w:sz w:val="32"/>
          <w:szCs w:val="32"/>
          <w:rtl/>
        </w:rPr>
        <w:t>ذيل طبقات الحنابلة (1/169), شذرات الذهب (4/378).</w:t>
      </w:r>
      <w:r>
        <w:rPr>
          <w:rFonts w:ascii="Tahoma" w:hAnsi="Tahoma"/>
          <w:rtl/>
        </w:rPr>
        <w:t xml:space="preserve">  </w:t>
      </w:r>
    </w:p>
  </w:footnote>
  <w:footnote w:id="47">
    <w:p w:rsidR="003F128F" w:rsidRPr="003B54D0" w:rsidRDefault="003F128F" w:rsidP="009561AE">
      <w:pPr>
        <w:pStyle w:val="af3"/>
        <w:rPr>
          <w:rFonts w:ascii="Tahoma" w:hAnsi="Tahoma"/>
        </w:rPr>
      </w:pPr>
      <w:r w:rsidRPr="003B54D0">
        <w:rPr>
          <w:rFonts w:ascii="Tahoma" w:hAnsi="Tahoma"/>
          <w:rtl/>
        </w:rPr>
        <w:t>(</w:t>
      </w:r>
      <w:r w:rsidRPr="003B54D0">
        <w:rPr>
          <w:rStyle w:val="ae"/>
          <w:rFonts w:ascii="Tahoma" w:hAnsi="Tahoma"/>
          <w:vertAlign w:val="baseline"/>
        </w:rPr>
        <w:footnoteRef/>
      </w:r>
      <w:r w:rsidRPr="003B54D0">
        <w:rPr>
          <w:rFonts w:ascii="Tahoma" w:hAnsi="Tahoma"/>
          <w:rtl/>
        </w:rPr>
        <w:t>)</w:t>
      </w:r>
      <w:r>
        <w:rPr>
          <w:rFonts w:ascii="Traditional Arabic" w:hAnsi="Traditional Arabic" w:hint="cs"/>
          <w:b/>
          <w:sz w:val="32"/>
          <w:szCs w:val="32"/>
          <w:rtl/>
        </w:rPr>
        <w:t xml:space="preserve"> </w:t>
      </w:r>
      <w:r w:rsidRPr="001C4FED">
        <w:rPr>
          <w:rFonts w:ascii="Traditional Arabic" w:hAnsi="Traditional Arabic"/>
          <w:b/>
          <w:sz w:val="32"/>
          <w:szCs w:val="32"/>
          <w:rtl/>
        </w:rPr>
        <w:t>طبع هذا الكتاب بمصـر</w:t>
      </w:r>
      <w:r w:rsidRPr="001C4FED">
        <w:rPr>
          <w:rFonts w:ascii="Traditional Arabic" w:hAnsi="Traditional Arabic" w:hint="cs"/>
          <w:b/>
          <w:sz w:val="32"/>
          <w:szCs w:val="32"/>
          <w:rtl/>
        </w:rPr>
        <w:t xml:space="preserve"> بمكتبة الأزهرية</w:t>
      </w:r>
      <w:r w:rsidRPr="001C4FED">
        <w:rPr>
          <w:rFonts w:ascii="Traditional Arabic" w:hAnsi="Traditional Arabic"/>
          <w:b/>
          <w:sz w:val="32"/>
          <w:szCs w:val="32"/>
          <w:rtl/>
        </w:rPr>
        <w:t>، بتحقيق محمد زاهد الكوثري وهو في (96) صفحة.</w:t>
      </w:r>
      <w:r>
        <w:rPr>
          <w:rFonts w:ascii="Tahoma" w:hAnsi="Tahoma"/>
          <w:rtl/>
        </w:rPr>
        <w:t xml:space="preserve">  </w:t>
      </w:r>
    </w:p>
  </w:footnote>
  <w:footnote w:id="48">
    <w:p w:rsidR="003F128F" w:rsidRPr="003B54D0" w:rsidRDefault="003F128F" w:rsidP="009561AE">
      <w:pPr>
        <w:pStyle w:val="af3"/>
        <w:rPr>
          <w:rFonts w:ascii="Tahoma" w:hAnsi="Tahoma"/>
        </w:rPr>
      </w:pPr>
      <w:r w:rsidRPr="003B54D0">
        <w:rPr>
          <w:rFonts w:ascii="Tahoma" w:hAnsi="Tahoma"/>
          <w:rtl/>
        </w:rPr>
        <w:t>(</w:t>
      </w:r>
      <w:r w:rsidRPr="003B54D0">
        <w:rPr>
          <w:rStyle w:val="ae"/>
          <w:rFonts w:ascii="Tahoma" w:hAnsi="Tahoma"/>
          <w:vertAlign w:val="baseline"/>
        </w:rPr>
        <w:footnoteRef/>
      </w:r>
      <w:r w:rsidRPr="003B54D0">
        <w:rPr>
          <w:rFonts w:ascii="Tahoma" w:hAnsi="Tahoma"/>
          <w:rtl/>
        </w:rPr>
        <w:t>)</w:t>
      </w:r>
      <w:r>
        <w:rPr>
          <w:rFonts w:ascii="Traditional Arabic" w:hAnsi="Traditional Arabic" w:hint="cs"/>
          <w:b/>
          <w:sz w:val="32"/>
          <w:szCs w:val="32"/>
          <w:rtl/>
        </w:rPr>
        <w:t xml:space="preserve"> </w:t>
      </w:r>
      <w:r w:rsidRPr="001C4FED">
        <w:rPr>
          <w:rFonts w:ascii="Traditional Arabic" w:hAnsi="Traditional Arabic"/>
          <w:b/>
          <w:sz w:val="32"/>
          <w:szCs w:val="32"/>
          <w:rtl/>
        </w:rPr>
        <w:t>انظر: كتاب اعتقاد أهل السنة والجماعة لعدي الشامي (</w:t>
      </w:r>
      <w:r>
        <w:rPr>
          <w:rFonts w:ascii="Traditional Arabic" w:hAnsi="Traditional Arabic" w:hint="cs"/>
          <w:b/>
          <w:sz w:val="32"/>
          <w:szCs w:val="32"/>
          <w:rtl/>
        </w:rPr>
        <w:t>ص</w:t>
      </w:r>
      <w:r w:rsidRPr="001C4FED">
        <w:rPr>
          <w:rFonts w:ascii="Traditional Arabic" w:hAnsi="Traditional Arabic"/>
          <w:b/>
          <w:sz w:val="32"/>
          <w:szCs w:val="32"/>
          <w:rtl/>
        </w:rPr>
        <w:t>14).</w:t>
      </w:r>
      <w:r>
        <w:rPr>
          <w:rFonts w:ascii="Tahoma" w:hAnsi="Tahoma"/>
          <w:rtl/>
        </w:rPr>
        <w:t xml:space="preserve"> </w:t>
      </w:r>
    </w:p>
  </w:footnote>
  <w:footnote w:id="49">
    <w:p w:rsidR="003F128F" w:rsidRPr="00F93164" w:rsidRDefault="003F128F" w:rsidP="009561AE">
      <w:pPr>
        <w:pStyle w:val="af3"/>
        <w:rPr>
          <w:rFonts w:ascii="Traditional Arabic" w:hAnsi="Traditional Arabic"/>
          <w:sz w:val="32"/>
          <w:szCs w:val="32"/>
        </w:rPr>
      </w:pPr>
      <w:r w:rsidRPr="00F93164">
        <w:rPr>
          <w:rFonts w:ascii="Traditional Arabic" w:hAnsi="Traditional Arabic"/>
          <w:sz w:val="32"/>
          <w:szCs w:val="32"/>
          <w:rtl/>
        </w:rPr>
        <w:t>(</w:t>
      </w:r>
      <w:r w:rsidRPr="00F93164">
        <w:rPr>
          <w:rStyle w:val="ae"/>
          <w:rFonts w:ascii="Traditional Arabic" w:hAnsi="Traditional Arabic"/>
          <w:sz w:val="32"/>
          <w:szCs w:val="32"/>
          <w:vertAlign w:val="baseline"/>
        </w:rPr>
        <w:footnoteRef/>
      </w:r>
      <w:r w:rsidRPr="00F93164">
        <w:rPr>
          <w:rFonts w:ascii="Traditional Arabic" w:hAnsi="Traditional Arabic"/>
          <w:sz w:val="32"/>
          <w:szCs w:val="32"/>
          <w:rtl/>
        </w:rPr>
        <w:t>)</w:t>
      </w:r>
      <w:r w:rsidRPr="00F93164">
        <w:rPr>
          <w:rFonts w:ascii="Traditional Arabic" w:hAnsi="Traditional Arabic"/>
          <w:b/>
          <w:sz w:val="32"/>
          <w:szCs w:val="32"/>
          <w:rtl/>
        </w:rPr>
        <w:t xml:space="preserve"> انظر: صيد الخاطر (ص98).</w:t>
      </w:r>
      <w:r w:rsidRPr="00F93164">
        <w:rPr>
          <w:rFonts w:ascii="Traditional Arabic" w:hAnsi="Traditional Arabic"/>
          <w:sz w:val="32"/>
          <w:szCs w:val="32"/>
          <w:rtl/>
        </w:rPr>
        <w:t xml:space="preserve"> </w:t>
      </w:r>
    </w:p>
  </w:footnote>
  <w:footnote w:id="50">
    <w:p w:rsidR="003F128F" w:rsidRPr="00F93164" w:rsidRDefault="003F128F" w:rsidP="009561AE">
      <w:pPr>
        <w:pStyle w:val="af3"/>
        <w:rPr>
          <w:rFonts w:ascii="Traditional Arabic" w:hAnsi="Traditional Arabic"/>
          <w:sz w:val="32"/>
          <w:szCs w:val="32"/>
        </w:rPr>
      </w:pPr>
      <w:r w:rsidRPr="00F93164">
        <w:rPr>
          <w:rFonts w:ascii="Traditional Arabic" w:hAnsi="Traditional Arabic"/>
          <w:sz w:val="32"/>
          <w:szCs w:val="32"/>
          <w:rtl/>
        </w:rPr>
        <w:t>(</w:t>
      </w:r>
      <w:r w:rsidRPr="00F93164">
        <w:rPr>
          <w:rStyle w:val="ae"/>
          <w:rFonts w:ascii="Traditional Arabic" w:hAnsi="Traditional Arabic"/>
          <w:sz w:val="32"/>
          <w:szCs w:val="32"/>
          <w:vertAlign w:val="baseline"/>
        </w:rPr>
        <w:footnoteRef/>
      </w:r>
      <w:r w:rsidRPr="00F93164">
        <w:rPr>
          <w:rFonts w:ascii="Traditional Arabic" w:hAnsi="Traditional Arabic"/>
          <w:sz w:val="32"/>
          <w:szCs w:val="32"/>
          <w:rtl/>
        </w:rPr>
        <w:t xml:space="preserve">) </w:t>
      </w:r>
      <w:r w:rsidRPr="00F93164">
        <w:rPr>
          <w:rFonts w:ascii="Traditional Arabic" w:hAnsi="Traditional Arabic"/>
          <w:b/>
          <w:sz w:val="32"/>
          <w:szCs w:val="32"/>
          <w:rtl/>
        </w:rPr>
        <w:t xml:space="preserve">هو </w:t>
      </w:r>
      <w:r>
        <w:rPr>
          <w:rFonts w:ascii="Traditional Arabic" w:hAnsi="Traditional Arabic"/>
          <w:b/>
          <w:sz w:val="32"/>
          <w:szCs w:val="32"/>
          <w:rtl/>
        </w:rPr>
        <w:t>الإمام</w:t>
      </w:r>
      <w:r w:rsidRPr="00F93164">
        <w:rPr>
          <w:rFonts w:ascii="Traditional Arabic" w:hAnsi="Traditional Arabic"/>
          <w:b/>
          <w:sz w:val="32"/>
          <w:szCs w:val="32"/>
          <w:rtl/>
        </w:rPr>
        <w:t xml:space="preserve"> إسحاق بن أحمد بن محمد بن غانم العلثي</w:t>
      </w:r>
      <w:r>
        <w:rPr>
          <w:rFonts w:ascii="Traditional Arabic" w:hAnsi="Traditional Arabic" w:hint="cs"/>
          <w:b/>
          <w:sz w:val="32"/>
          <w:szCs w:val="32"/>
          <w:rtl/>
        </w:rPr>
        <w:t>,</w:t>
      </w:r>
      <w:r w:rsidRPr="00F93164">
        <w:rPr>
          <w:rFonts w:ascii="Traditional Arabic" w:hAnsi="Traditional Arabic"/>
          <w:b/>
          <w:sz w:val="32"/>
          <w:szCs w:val="32"/>
          <w:rtl/>
        </w:rPr>
        <w:t xml:space="preserve"> الزاهد الفقيه العالم</w:t>
      </w:r>
      <w:r>
        <w:rPr>
          <w:rFonts w:ascii="Traditional Arabic" w:hAnsi="Traditional Arabic" w:hint="cs"/>
          <w:b/>
          <w:sz w:val="32"/>
          <w:szCs w:val="32"/>
          <w:rtl/>
        </w:rPr>
        <w:t>,</w:t>
      </w:r>
      <w:r w:rsidRPr="00F93164">
        <w:rPr>
          <w:rFonts w:ascii="Traditional Arabic" w:hAnsi="Traditional Arabic"/>
          <w:b/>
          <w:sz w:val="32"/>
          <w:szCs w:val="32"/>
          <w:rtl/>
        </w:rPr>
        <w:t xml:space="preserve"> كان أم</w:t>
      </w:r>
      <w:r>
        <w:rPr>
          <w:rFonts w:ascii="Traditional Arabic" w:hAnsi="Traditional Arabic" w:hint="cs"/>
          <w:b/>
          <w:sz w:val="32"/>
          <w:szCs w:val="32"/>
          <w:rtl/>
        </w:rPr>
        <w:t>ّ</w:t>
      </w:r>
      <w:r w:rsidRPr="00F93164">
        <w:rPr>
          <w:rFonts w:ascii="Traditional Arabic" w:hAnsi="Traditional Arabic"/>
          <w:b/>
          <w:sz w:val="32"/>
          <w:szCs w:val="32"/>
          <w:rtl/>
        </w:rPr>
        <w:t>ارا</w:t>
      </w:r>
      <w:r>
        <w:rPr>
          <w:rFonts w:ascii="Traditional Arabic" w:hAnsi="Traditional Arabic" w:hint="cs"/>
          <w:b/>
          <w:sz w:val="32"/>
          <w:szCs w:val="32"/>
          <w:rtl/>
        </w:rPr>
        <w:t>ً</w:t>
      </w:r>
      <w:r w:rsidRPr="00F93164">
        <w:rPr>
          <w:rFonts w:ascii="Traditional Arabic" w:hAnsi="Traditional Arabic"/>
          <w:b/>
          <w:sz w:val="32"/>
          <w:szCs w:val="32"/>
          <w:rtl/>
        </w:rPr>
        <w:t xml:space="preserve"> بالمعروف، نهاء</w:t>
      </w:r>
      <w:r>
        <w:rPr>
          <w:rFonts w:ascii="Traditional Arabic" w:hAnsi="Traditional Arabic" w:hint="cs"/>
          <w:b/>
          <w:sz w:val="32"/>
          <w:szCs w:val="32"/>
          <w:rtl/>
        </w:rPr>
        <w:t>ً</w:t>
      </w:r>
      <w:r w:rsidRPr="00F93164">
        <w:rPr>
          <w:rFonts w:ascii="Traditional Arabic" w:hAnsi="Traditional Arabic"/>
          <w:b/>
          <w:sz w:val="32"/>
          <w:szCs w:val="32"/>
          <w:rtl/>
        </w:rPr>
        <w:t xml:space="preserve"> عن المنكر</w:t>
      </w:r>
      <w:r>
        <w:rPr>
          <w:rFonts w:ascii="Traditional Arabic" w:hAnsi="Traditional Arabic" w:hint="cs"/>
          <w:b/>
          <w:sz w:val="32"/>
          <w:szCs w:val="32"/>
          <w:rtl/>
        </w:rPr>
        <w:t>,</w:t>
      </w:r>
      <w:r w:rsidRPr="00F93164">
        <w:rPr>
          <w:rFonts w:ascii="Traditional Arabic" w:hAnsi="Traditional Arabic"/>
          <w:b/>
          <w:sz w:val="32"/>
          <w:szCs w:val="32"/>
          <w:rtl/>
        </w:rPr>
        <w:t xml:space="preserve"> أنكر على الخليفة الناصـر فمن دونه</w:t>
      </w:r>
      <w:r>
        <w:rPr>
          <w:rFonts w:ascii="Traditional Arabic" w:hAnsi="Traditional Arabic" w:hint="cs"/>
          <w:b/>
          <w:sz w:val="32"/>
          <w:szCs w:val="32"/>
          <w:rtl/>
        </w:rPr>
        <w:t>,</w:t>
      </w:r>
      <w:r w:rsidRPr="00F93164">
        <w:rPr>
          <w:rFonts w:ascii="Traditional Arabic" w:hAnsi="Traditional Arabic"/>
          <w:b/>
          <w:sz w:val="32"/>
          <w:szCs w:val="32"/>
          <w:rtl/>
        </w:rPr>
        <w:t xml:space="preserve"> ولم تأخذه في الله لومة لائم، كتب رسائل عديدة إنكارا للمنكر منه، وحبس على ذلك مدة</w:t>
      </w:r>
      <w:r>
        <w:rPr>
          <w:rFonts w:ascii="Traditional Arabic" w:hAnsi="Traditional Arabic" w:hint="cs"/>
          <w:b/>
          <w:sz w:val="32"/>
          <w:szCs w:val="32"/>
          <w:rtl/>
        </w:rPr>
        <w:t>,</w:t>
      </w:r>
      <w:r w:rsidRPr="00F93164">
        <w:rPr>
          <w:rFonts w:ascii="Traditional Arabic" w:hAnsi="Traditional Arabic"/>
          <w:b/>
          <w:sz w:val="32"/>
          <w:szCs w:val="32"/>
          <w:rtl/>
        </w:rPr>
        <w:t xml:space="preserve"> وكتب رسالة طويلة إلى الشـيخ أبي الفرج ابن الجوزي بالإنكار عليه فيما يقع في كلامه من الميل إلى أهل التأويل, تجد هذه الرسالة، عند ذكر ترجمته في الذيل على طبقات الحنابلة، وهو ح</w:t>
      </w:r>
      <w:r>
        <w:rPr>
          <w:rFonts w:ascii="Traditional Arabic" w:hAnsi="Traditional Arabic"/>
          <w:b/>
          <w:sz w:val="32"/>
          <w:szCs w:val="32"/>
          <w:rtl/>
        </w:rPr>
        <w:t>نبلي معاصـر لابن الجوزي (ت634ه)</w:t>
      </w:r>
      <w:r w:rsidRPr="00F93164">
        <w:rPr>
          <w:rFonts w:ascii="Traditional Arabic" w:hAnsi="Traditional Arabic"/>
          <w:b/>
          <w:sz w:val="32"/>
          <w:szCs w:val="32"/>
          <w:rtl/>
        </w:rPr>
        <w:t>. انظر: ذيل طبقات الحنابلة (2/205-211).</w:t>
      </w:r>
    </w:p>
  </w:footnote>
  <w:footnote w:id="51">
    <w:p w:rsidR="003F128F" w:rsidRPr="00F93164" w:rsidRDefault="003F128F" w:rsidP="009561AE">
      <w:pPr>
        <w:pStyle w:val="af3"/>
        <w:rPr>
          <w:rFonts w:ascii="Traditional Arabic" w:hAnsi="Traditional Arabic"/>
          <w:sz w:val="32"/>
          <w:szCs w:val="32"/>
        </w:rPr>
      </w:pPr>
      <w:r w:rsidRPr="00F93164">
        <w:rPr>
          <w:rFonts w:ascii="Traditional Arabic" w:hAnsi="Traditional Arabic"/>
          <w:sz w:val="32"/>
          <w:szCs w:val="32"/>
          <w:rtl/>
        </w:rPr>
        <w:t>(</w:t>
      </w:r>
      <w:r w:rsidRPr="00F93164">
        <w:rPr>
          <w:rStyle w:val="ae"/>
          <w:rFonts w:ascii="Traditional Arabic" w:hAnsi="Traditional Arabic"/>
          <w:sz w:val="32"/>
          <w:szCs w:val="32"/>
          <w:vertAlign w:val="baseline"/>
        </w:rPr>
        <w:footnoteRef/>
      </w:r>
      <w:r w:rsidRPr="00F93164">
        <w:rPr>
          <w:rFonts w:ascii="Traditional Arabic" w:hAnsi="Traditional Arabic"/>
          <w:sz w:val="32"/>
          <w:szCs w:val="32"/>
          <w:rtl/>
        </w:rPr>
        <w:t xml:space="preserve">) </w:t>
      </w:r>
      <w:r w:rsidRPr="00F93164">
        <w:rPr>
          <w:rFonts w:ascii="Traditional Arabic" w:hAnsi="Traditional Arabic"/>
          <w:b/>
          <w:sz w:val="32"/>
          <w:szCs w:val="32"/>
          <w:rtl/>
        </w:rPr>
        <w:t>انظر: ذيل طبقات الحنابلة (2/210-211).</w:t>
      </w:r>
      <w:r w:rsidRPr="00F93164">
        <w:rPr>
          <w:rFonts w:ascii="Traditional Arabic" w:hAnsi="Traditional Arabic"/>
          <w:sz w:val="32"/>
          <w:szCs w:val="32"/>
          <w:rtl/>
        </w:rPr>
        <w:t xml:space="preserve"> </w:t>
      </w:r>
    </w:p>
  </w:footnote>
  <w:footnote w:id="52">
    <w:p w:rsidR="003F128F" w:rsidRPr="007E6506" w:rsidRDefault="003F128F" w:rsidP="009561AE">
      <w:pPr>
        <w:pStyle w:val="af3"/>
        <w:rPr>
          <w:rFonts w:ascii="Traditional Arabic" w:hAnsi="Traditional Arabic"/>
          <w:sz w:val="32"/>
          <w:szCs w:val="32"/>
        </w:rPr>
      </w:pPr>
      <w:r w:rsidRPr="007E6506">
        <w:rPr>
          <w:rFonts w:ascii="Traditional Arabic" w:hAnsi="Traditional Arabic"/>
          <w:sz w:val="32"/>
          <w:szCs w:val="32"/>
          <w:rtl/>
        </w:rPr>
        <w:t>(</w:t>
      </w:r>
      <w:r w:rsidRPr="007E6506">
        <w:rPr>
          <w:rStyle w:val="ae"/>
          <w:rFonts w:ascii="Traditional Arabic" w:hAnsi="Traditional Arabic"/>
          <w:sz w:val="32"/>
          <w:szCs w:val="32"/>
          <w:vertAlign w:val="baseline"/>
        </w:rPr>
        <w:footnoteRef/>
      </w:r>
      <w:r w:rsidRPr="007E6506">
        <w:rPr>
          <w:rFonts w:ascii="Traditional Arabic" w:hAnsi="Traditional Arabic"/>
          <w:sz w:val="32"/>
          <w:szCs w:val="32"/>
          <w:rtl/>
        </w:rPr>
        <w:t>)</w:t>
      </w:r>
      <w:r>
        <w:rPr>
          <w:rFonts w:ascii="Traditional Arabic" w:hAnsi="Traditional Arabic" w:hint="cs"/>
          <w:sz w:val="32"/>
          <w:szCs w:val="32"/>
          <w:rtl/>
        </w:rPr>
        <w:t xml:space="preserve"> هو</w:t>
      </w:r>
      <w:r w:rsidRPr="007E6506">
        <w:rPr>
          <w:rFonts w:ascii="Traditional Arabic" w:hAnsi="Traditional Arabic"/>
          <w:sz w:val="32"/>
          <w:szCs w:val="32"/>
          <w:rtl/>
        </w:rPr>
        <w:t xml:space="preserve"> أبو حامد محمد بن محمد بن محمد بن أحمد الغزالي</w:t>
      </w:r>
      <w:r w:rsidRPr="007E6506">
        <w:rPr>
          <w:rFonts w:ascii="Traditional Arabic" w:hAnsi="Traditional Arabic"/>
          <w:sz w:val="32"/>
          <w:szCs w:val="32"/>
          <w:rtl/>
        </w:rPr>
        <w:fldChar w:fldCharType="begin"/>
      </w:r>
      <w:r w:rsidRPr="007E6506">
        <w:rPr>
          <w:rFonts w:ascii="Traditional Arabic" w:hAnsi="Traditional Arabic"/>
          <w:sz w:val="32"/>
          <w:szCs w:val="32"/>
        </w:rPr>
        <w:instrText xml:space="preserve"> XE "</w:instrText>
      </w:r>
      <w:r w:rsidRPr="007E6506">
        <w:rPr>
          <w:rFonts w:ascii="Traditional Arabic" w:hAnsi="Traditional Arabic"/>
          <w:sz w:val="32"/>
          <w:szCs w:val="32"/>
          <w:rtl/>
        </w:rPr>
        <w:instrText>فهرسالأعلام:أبوحامدمحمدبنمحمدبنمحمدبنأحمدالغزالي</w:instrText>
      </w:r>
      <w:r w:rsidRPr="007E6506">
        <w:rPr>
          <w:rFonts w:ascii="Traditional Arabic" w:hAnsi="Traditional Arabic"/>
          <w:sz w:val="32"/>
          <w:szCs w:val="32"/>
        </w:rPr>
        <w:instrText xml:space="preserve">" </w:instrText>
      </w:r>
      <w:r w:rsidRPr="007E6506">
        <w:rPr>
          <w:rFonts w:ascii="Traditional Arabic" w:hAnsi="Traditional Arabic"/>
          <w:sz w:val="32"/>
          <w:szCs w:val="32"/>
          <w:rtl/>
        </w:rPr>
        <w:fldChar w:fldCharType="end"/>
      </w:r>
      <w:r w:rsidRPr="007E6506">
        <w:rPr>
          <w:rFonts w:ascii="Traditional Arabic" w:hAnsi="Traditional Arabic"/>
          <w:sz w:val="32"/>
          <w:szCs w:val="32"/>
          <w:rtl/>
        </w:rPr>
        <w:t xml:space="preserve">، الملقب حجة الإسلام زين الدين الطوسي الفقيه الشافعي، صنف الكتب المفيدة في عدة فنون منها ما هو أشهرها كتاب "الوسيط", و "البسيط", و </w:t>
      </w:r>
      <w:r>
        <w:rPr>
          <w:rFonts w:ascii="Traditional Arabic" w:hAnsi="Traditional Arabic"/>
          <w:sz w:val="32"/>
          <w:szCs w:val="32"/>
          <w:rtl/>
        </w:rPr>
        <w:t>"الوجيز", و "إحياء علوم الدين "</w:t>
      </w:r>
      <w:r w:rsidRPr="007E6506">
        <w:rPr>
          <w:rFonts w:ascii="Traditional Arabic" w:hAnsi="Traditional Arabic"/>
          <w:sz w:val="32"/>
          <w:szCs w:val="32"/>
          <w:rtl/>
        </w:rPr>
        <w:t>، وله في أصول الفقه " المستصفى", (ت505هـ). انظر: وفيات الأعيان (4/216), سير أعلام النبلاء (19/322).</w:t>
      </w:r>
    </w:p>
  </w:footnote>
  <w:footnote w:id="53">
    <w:p w:rsidR="003F128F" w:rsidRPr="007E6506" w:rsidRDefault="003F128F" w:rsidP="009561AE">
      <w:pPr>
        <w:pStyle w:val="af3"/>
        <w:rPr>
          <w:rFonts w:ascii="Traditional Arabic" w:hAnsi="Traditional Arabic"/>
          <w:sz w:val="32"/>
          <w:szCs w:val="32"/>
        </w:rPr>
      </w:pPr>
      <w:r w:rsidRPr="007E6506">
        <w:rPr>
          <w:rFonts w:ascii="Traditional Arabic" w:hAnsi="Traditional Arabic"/>
          <w:sz w:val="32"/>
          <w:szCs w:val="32"/>
          <w:rtl/>
        </w:rPr>
        <w:t>(</w:t>
      </w:r>
      <w:r w:rsidRPr="007E6506">
        <w:rPr>
          <w:rStyle w:val="ae"/>
          <w:rFonts w:ascii="Traditional Arabic" w:hAnsi="Traditional Arabic"/>
          <w:sz w:val="32"/>
          <w:szCs w:val="32"/>
          <w:vertAlign w:val="baseline"/>
        </w:rPr>
        <w:footnoteRef/>
      </w:r>
      <w:r w:rsidRPr="007E6506">
        <w:rPr>
          <w:rFonts w:ascii="Traditional Arabic" w:hAnsi="Traditional Arabic"/>
          <w:sz w:val="32"/>
          <w:szCs w:val="32"/>
          <w:rtl/>
        </w:rPr>
        <w:t xml:space="preserve">) </w:t>
      </w:r>
      <w:r w:rsidRPr="007E6506">
        <w:rPr>
          <w:rFonts w:ascii="Traditional Arabic" w:hAnsi="Traditional Arabic"/>
          <w:b/>
          <w:sz w:val="32"/>
          <w:szCs w:val="32"/>
          <w:rtl/>
        </w:rPr>
        <w:t>انظر: مجموع الفتاوى (4/169).</w:t>
      </w:r>
      <w:r w:rsidRPr="007E6506">
        <w:rPr>
          <w:rFonts w:ascii="Traditional Arabic" w:hAnsi="Traditional Arabic"/>
          <w:sz w:val="32"/>
          <w:szCs w:val="32"/>
          <w:rtl/>
        </w:rPr>
        <w:t xml:space="preserve"> </w:t>
      </w:r>
    </w:p>
  </w:footnote>
  <w:footnote w:id="54">
    <w:p w:rsidR="003F128F" w:rsidRPr="007E6506" w:rsidRDefault="003F128F" w:rsidP="009561AE">
      <w:pPr>
        <w:pStyle w:val="af3"/>
        <w:rPr>
          <w:rFonts w:ascii="Traditional Arabic" w:hAnsi="Traditional Arabic"/>
          <w:sz w:val="32"/>
          <w:szCs w:val="32"/>
        </w:rPr>
      </w:pPr>
      <w:r w:rsidRPr="007E6506">
        <w:rPr>
          <w:rFonts w:ascii="Traditional Arabic" w:hAnsi="Traditional Arabic"/>
          <w:sz w:val="32"/>
          <w:szCs w:val="32"/>
          <w:rtl/>
        </w:rPr>
        <w:t>(</w:t>
      </w:r>
      <w:r w:rsidRPr="007E6506">
        <w:rPr>
          <w:rStyle w:val="ae"/>
          <w:rFonts w:ascii="Traditional Arabic" w:hAnsi="Traditional Arabic"/>
          <w:sz w:val="32"/>
          <w:szCs w:val="32"/>
          <w:vertAlign w:val="baseline"/>
        </w:rPr>
        <w:footnoteRef/>
      </w:r>
      <w:r w:rsidRPr="007E6506">
        <w:rPr>
          <w:rFonts w:ascii="Traditional Arabic" w:hAnsi="Traditional Arabic"/>
          <w:sz w:val="32"/>
          <w:szCs w:val="32"/>
          <w:rtl/>
        </w:rPr>
        <w:t>) أخرجه أحمد في مسنده(26/106 ح16187) ، وابن ماجه في سننه (كتاب السنة, باب: فيما أنكرت الجهمية 1/114 ح181), والآجري في الشريعة (2/1056 ح638), وصححه الشيخ الألباني. انظر السلسة الصحيحة (6/732 ح2810).</w:t>
      </w:r>
    </w:p>
  </w:footnote>
  <w:footnote w:id="55">
    <w:p w:rsidR="003F128F" w:rsidRPr="00A86244" w:rsidRDefault="003F128F" w:rsidP="009561AE">
      <w:pPr>
        <w:pStyle w:val="af3"/>
        <w:rPr>
          <w:rFonts w:ascii="Tahoma" w:hAnsi="Tahoma"/>
        </w:rPr>
      </w:pPr>
      <w:r w:rsidRPr="007E6506">
        <w:rPr>
          <w:rFonts w:ascii="Traditional Arabic" w:hAnsi="Traditional Arabic"/>
          <w:sz w:val="32"/>
          <w:szCs w:val="32"/>
          <w:rtl/>
        </w:rPr>
        <w:t>(</w:t>
      </w:r>
      <w:r w:rsidRPr="007E6506">
        <w:rPr>
          <w:rStyle w:val="ae"/>
          <w:rFonts w:ascii="Traditional Arabic" w:hAnsi="Traditional Arabic"/>
          <w:sz w:val="32"/>
          <w:szCs w:val="32"/>
          <w:vertAlign w:val="baseline"/>
        </w:rPr>
        <w:footnoteRef/>
      </w:r>
      <w:r w:rsidRPr="007E6506">
        <w:rPr>
          <w:rFonts w:ascii="Traditional Arabic" w:hAnsi="Traditional Arabic"/>
          <w:sz w:val="32"/>
          <w:szCs w:val="32"/>
          <w:rtl/>
        </w:rPr>
        <w:t>)</w:t>
      </w:r>
      <w:r w:rsidRPr="007E6506">
        <w:rPr>
          <w:rFonts w:ascii="Traditional Arabic" w:hAnsi="Traditional Arabic"/>
          <w:b/>
          <w:sz w:val="32"/>
          <w:szCs w:val="32"/>
          <w:rtl/>
        </w:rPr>
        <w:t xml:space="preserve"> انظر</w:t>
      </w:r>
      <w:r>
        <w:rPr>
          <w:rFonts w:ascii="Traditional Arabic" w:hAnsi="Traditional Arabic" w:hint="cs"/>
          <w:b/>
          <w:sz w:val="32"/>
          <w:szCs w:val="32"/>
          <w:rtl/>
        </w:rPr>
        <w:t>:</w:t>
      </w:r>
      <w:r w:rsidRPr="007E6506">
        <w:rPr>
          <w:rFonts w:ascii="Traditional Arabic" w:hAnsi="Traditional Arabic"/>
          <w:b/>
          <w:sz w:val="32"/>
          <w:szCs w:val="32"/>
          <w:rtl/>
        </w:rPr>
        <w:t xml:space="preserve"> صيد الخاطر (ص199).</w:t>
      </w:r>
      <w:r w:rsidRPr="007E6506">
        <w:rPr>
          <w:rFonts w:ascii="Traditional Arabic" w:hAnsi="Traditional Arabic"/>
          <w:sz w:val="32"/>
          <w:szCs w:val="32"/>
          <w:rtl/>
        </w:rPr>
        <w:t xml:space="preserve"> </w:t>
      </w:r>
    </w:p>
  </w:footnote>
  <w:footnote w:id="56">
    <w:p w:rsidR="003F128F" w:rsidRPr="007E6506" w:rsidRDefault="003F128F" w:rsidP="009561AE">
      <w:pPr>
        <w:pStyle w:val="af3"/>
        <w:rPr>
          <w:rFonts w:ascii="Tahoma" w:hAnsi="Tahoma"/>
        </w:rPr>
      </w:pPr>
      <w:r w:rsidRPr="007E6506">
        <w:rPr>
          <w:rFonts w:ascii="Tahoma" w:hAnsi="Tahoma"/>
          <w:rtl/>
        </w:rPr>
        <w:t>(</w:t>
      </w:r>
      <w:r w:rsidRPr="007E6506">
        <w:rPr>
          <w:rStyle w:val="ae"/>
          <w:rFonts w:ascii="Tahoma" w:hAnsi="Tahoma"/>
          <w:vertAlign w:val="baseline"/>
        </w:rPr>
        <w:footnoteRef/>
      </w:r>
      <w:r w:rsidRPr="007E6506">
        <w:rPr>
          <w:rFonts w:ascii="Tahoma" w:hAnsi="Tahoma"/>
          <w:rtl/>
        </w:rPr>
        <w:t>)</w:t>
      </w:r>
      <w:r>
        <w:rPr>
          <w:rFonts w:ascii="Tahoma" w:hAnsi="Tahoma"/>
          <w:rtl/>
        </w:rPr>
        <w:t xml:space="preserve"> </w:t>
      </w:r>
      <w:r w:rsidRPr="001C4FED">
        <w:rPr>
          <w:rFonts w:ascii="Traditional Arabic" w:hAnsi="Traditional Arabic"/>
          <w:b/>
          <w:sz w:val="32"/>
          <w:szCs w:val="32"/>
          <w:rtl/>
        </w:rPr>
        <w:t xml:space="preserve">انظر: </w:t>
      </w:r>
      <w:r w:rsidRPr="007E6506">
        <w:rPr>
          <w:rFonts w:ascii="Traditional Arabic" w:hAnsi="Traditional Arabic"/>
          <w:sz w:val="32"/>
          <w:szCs w:val="32"/>
          <w:rtl/>
        </w:rPr>
        <w:t xml:space="preserve">سير أعلام النبلاء </w:t>
      </w:r>
      <w:r w:rsidRPr="001C4FED">
        <w:rPr>
          <w:rFonts w:ascii="Traditional Arabic" w:hAnsi="Traditional Arabic"/>
          <w:b/>
          <w:sz w:val="32"/>
          <w:szCs w:val="32"/>
          <w:rtl/>
        </w:rPr>
        <w:t>(19/449).</w:t>
      </w:r>
    </w:p>
  </w:footnote>
  <w:footnote w:id="57">
    <w:p w:rsidR="003F128F" w:rsidRPr="007E6506" w:rsidRDefault="003F128F" w:rsidP="007E6506">
      <w:pPr>
        <w:pStyle w:val="af3"/>
        <w:rPr>
          <w:rFonts w:ascii="Traditional Arabic" w:hAnsi="Traditional Arabic"/>
          <w:sz w:val="32"/>
          <w:szCs w:val="32"/>
        </w:rPr>
      </w:pPr>
      <w:r w:rsidRPr="007E6506">
        <w:rPr>
          <w:rFonts w:ascii="Traditional Arabic" w:hAnsi="Traditional Arabic"/>
          <w:sz w:val="32"/>
          <w:szCs w:val="32"/>
          <w:rtl/>
        </w:rPr>
        <w:t>(</w:t>
      </w:r>
      <w:r w:rsidRPr="007E6506">
        <w:rPr>
          <w:rStyle w:val="ae"/>
          <w:rFonts w:ascii="Traditional Arabic" w:hAnsi="Traditional Arabic"/>
          <w:sz w:val="32"/>
          <w:szCs w:val="32"/>
          <w:vertAlign w:val="baseline"/>
        </w:rPr>
        <w:footnoteRef/>
      </w:r>
      <w:r w:rsidRPr="007E6506">
        <w:rPr>
          <w:rFonts w:ascii="Traditional Arabic" w:hAnsi="Traditional Arabic"/>
          <w:sz w:val="32"/>
          <w:szCs w:val="32"/>
          <w:rtl/>
        </w:rPr>
        <w:t>) هو الحسن بن يوسف بن محمد بن أحمد بن عبد الله أمير المؤمنين المستضيء بأمر الله بن المستنجد بالله وكان المستضيء ذا رأفة وحلم وأناة مدحه أبو الفوارس سعد بن محمد حيص بيص</w:t>
      </w:r>
      <w:r>
        <w:rPr>
          <w:rFonts w:ascii="Traditional Arabic" w:hAnsi="Traditional Arabic" w:hint="cs"/>
          <w:sz w:val="32"/>
          <w:szCs w:val="32"/>
          <w:rtl/>
        </w:rPr>
        <w:t>,</w:t>
      </w:r>
      <w:r w:rsidRPr="007E6506">
        <w:rPr>
          <w:rFonts w:ascii="Traditional Arabic" w:hAnsi="Traditional Arabic"/>
          <w:sz w:val="32"/>
          <w:szCs w:val="32"/>
          <w:rtl/>
        </w:rPr>
        <w:t xml:space="preserve"> وكان كثير الصدقة والمعروف, (ت575هـ). انظر: تاريخ بغداد (15/168)، سير أعلام النبلاء (15/302). </w:t>
      </w:r>
    </w:p>
  </w:footnote>
  <w:footnote w:id="58">
    <w:p w:rsidR="003F128F" w:rsidRPr="007E6506" w:rsidRDefault="003F128F" w:rsidP="007E6506">
      <w:pPr>
        <w:pStyle w:val="af3"/>
        <w:rPr>
          <w:rFonts w:ascii="Traditional Arabic" w:hAnsi="Traditional Arabic"/>
          <w:sz w:val="32"/>
          <w:szCs w:val="32"/>
        </w:rPr>
      </w:pPr>
      <w:r w:rsidRPr="007E6506">
        <w:rPr>
          <w:rFonts w:ascii="Traditional Arabic" w:hAnsi="Traditional Arabic"/>
          <w:sz w:val="32"/>
          <w:szCs w:val="32"/>
          <w:rtl/>
        </w:rPr>
        <w:t>(</w:t>
      </w:r>
      <w:r w:rsidRPr="007E6506">
        <w:rPr>
          <w:rStyle w:val="ae"/>
          <w:rFonts w:ascii="Traditional Arabic" w:hAnsi="Traditional Arabic"/>
          <w:sz w:val="32"/>
          <w:szCs w:val="32"/>
          <w:vertAlign w:val="baseline"/>
        </w:rPr>
        <w:footnoteRef/>
      </w:r>
      <w:r w:rsidRPr="007E6506">
        <w:rPr>
          <w:rFonts w:ascii="Traditional Arabic" w:hAnsi="Traditional Arabic"/>
          <w:sz w:val="32"/>
          <w:szCs w:val="32"/>
          <w:rtl/>
        </w:rPr>
        <w:t xml:space="preserve">) انظر: الذيل على طبقات الحنابلة (1/409). </w:t>
      </w:r>
    </w:p>
  </w:footnote>
  <w:footnote w:id="59">
    <w:p w:rsidR="003F128F" w:rsidRPr="007E6506" w:rsidRDefault="003F128F" w:rsidP="007E6506">
      <w:pPr>
        <w:pStyle w:val="af3"/>
        <w:rPr>
          <w:rFonts w:ascii="Tahoma" w:hAnsi="Tahoma"/>
        </w:rPr>
      </w:pPr>
      <w:r w:rsidRPr="007E6506">
        <w:rPr>
          <w:rFonts w:ascii="Traditional Arabic" w:hAnsi="Traditional Arabic"/>
          <w:sz w:val="32"/>
          <w:szCs w:val="32"/>
          <w:rtl/>
        </w:rPr>
        <w:t>(</w:t>
      </w:r>
      <w:r w:rsidRPr="007E6506">
        <w:rPr>
          <w:rStyle w:val="ae"/>
          <w:rFonts w:ascii="Traditional Arabic" w:hAnsi="Traditional Arabic"/>
          <w:sz w:val="32"/>
          <w:szCs w:val="32"/>
          <w:vertAlign w:val="baseline"/>
        </w:rPr>
        <w:footnoteRef/>
      </w:r>
      <w:r w:rsidRPr="007E6506">
        <w:rPr>
          <w:rFonts w:ascii="Traditional Arabic" w:hAnsi="Traditional Arabic"/>
          <w:sz w:val="32"/>
          <w:szCs w:val="32"/>
          <w:rtl/>
        </w:rPr>
        <w:t>) انظر: المنتظم في تاريخ الملوك والأمم (10/259).</w:t>
      </w:r>
      <w:r>
        <w:rPr>
          <w:rFonts w:ascii="Tahoma" w:hAnsi="Tahoma"/>
          <w:rtl/>
        </w:rPr>
        <w:t xml:space="preserve"> </w:t>
      </w:r>
    </w:p>
  </w:footnote>
  <w:footnote w:id="60">
    <w:p w:rsidR="003F128F" w:rsidRPr="009561AE" w:rsidRDefault="003F128F" w:rsidP="009561AE">
      <w:pPr>
        <w:pStyle w:val="af3"/>
        <w:rPr>
          <w:rFonts w:ascii="Tahoma" w:hAnsi="Tahoma"/>
        </w:rPr>
      </w:pPr>
      <w:r w:rsidRPr="009561AE">
        <w:rPr>
          <w:rFonts w:ascii="Tahoma" w:hAnsi="Tahoma"/>
          <w:rtl/>
        </w:rPr>
        <w:t>(</w:t>
      </w:r>
      <w:r w:rsidRPr="009561AE">
        <w:rPr>
          <w:rStyle w:val="ae"/>
          <w:rFonts w:ascii="Tahoma" w:hAnsi="Tahoma"/>
          <w:vertAlign w:val="baseline"/>
        </w:rPr>
        <w:footnoteRef/>
      </w:r>
      <w:r w:rsidRPr="009561AE">
        <w:rPr>
          <w:rFonts w:ascii="Tahoma" w:hAnsi="Tahoma"/>
          <w:rtl/>
        </w:rPr>
        <w:t>)</w:t>
      </w:r>
      <w:r>
        <w:rPr>
          <w:rFonts w:ascii="Traditional Arabic" w:hAnsi="Traditional Arabic" w:hint="cs"/>
          <w:sz w:val="32"/>
          <w:szCs w:val="32"/>
          <w:rtl/>
        </w:rPr>
        <w:t xml:space="preserve"> </w:t>
      </w:r>
      <w:r w:rsidRPr="007E6506">
        <w:rPr>
          <w:rFonts w:ascii="Traditional Arabic" w:hAnsi="Traditional Arabic"/>
          <w:sz w:val="32"/>
          <w:szCs w:val="32"/>
          <w:rtl/>
        </w:rPr>
        <w:t xml:space="preserve">انظر: الذيل على طبقات الحنابلة (1/409). </w:t>
      </w:r>
      <w:r>
        <w:rPr>
          <w:rFonts w:ascii="Tahoma" w:hAnsi="Tahoma"/>
          <w:rtl/>
        </w:rPr>
        <w:t xml:space="preserve"> </w:t>
      </w:r>
    </w:p>
  </w:footnote>
  <w:footnote w:id="61">
    <w:p w:rsidR="003F128F" w:rsidRPr="007E6506" w:rsidRDefault="003F128F" w:rsidP="007E6506">
      <w:pPr>
        <w:pStyle w:val="af3"/>
        <w:rPr>
          <w:rFonts w:ascii="Traditional Arabic" w:hAnsi="Traditional Arabic"/>
          <w:sz w:val="32"/>
          <w:szCs w:val="32"/>
        </w:rPr>
      </w:pPr>
      <w:r w:rsidRPr="007E6506">
        <w:rPr>
          <w:rFonts w:ascii="Traditional Arabic" w:hAnsi="Traditional Arabic"/>
          <w:sz w:val="32"/>
          <w:szCs w:val="32"/>
          <w:rtl/>
        </w:rPr>
        <w:t>(</w:t>
      </w:r>
      <w:r w:rsidRPr="007E6506">
        <w:rPr>
          <w:rStyle w:val="ae"/>
          <w:rFonts w:ascii="Traditional Arabic" w:hAnsi="Traditional Arabic"/>
          <w:sz w:val="32"/>
          <w:szCs w:val="32"/>
          <w:vertAlign w:val="baseline"/>
        </w:rPr>
        <w:footnoteRef/>
      </w:r>
      <w:r w:rsidRPr="007E6506">
        <w:rPr>
          <w:rFonts w:ascii="Traditional Arabic" w:hAnsi="Traditional Arabic"/>
          <w:sz w:val="32"/>
          <w:szCs w:val="32"/>
          <w:rtl/>
        </w:rPr>
        <w:t xml:space="preserve">) </w:t>
      </w:r>
      <w:r w:rsidRPr="007E6506">
        <w:rPr>
          <w:rFonts w:ascii="Traditional Arabic" w:hAnsi="Traditional Arabic"/>
          <w:b/>
          <w:sz w:val="32"/>
          <w:szCs w:val="32"/>
          <w:rtl/>
        </w:rPr>
        <w:t>وفيات الأعيان (3/140).</w:t>
      </w:r>
      <w:r w:rsidRPr="007E6506">
        <w:rPr>
          <w:rFonts w:ascii="Traditional Arabic" w:hAnsi="Traditional Arabic"/>
          <w:sz w:val="32"/>
          <w:szCs w:val="32"/>
          <w:rtl/>
        </w:rPr>
        <w:t xml:space="preserve"> </w:t>
      </w:r>
    </w:p>
  </w:footnote>
  <w:footnote w:id="62">
    <w:p w:rsidR="003F128F" w:rsidRPr="007E6506" w:rsidRDefault="003F128F" w:rsidP="009561AE">
      <w:pPr>
        <w:pStyle w:val="af3"/>
        <w:rPr>
          <w:rFonts w:ascii="Tahoma" w:hAnsi="Tahoma"/>
        </w:rPr>
      </w:pPr>
      <w:r w:rsidRPr="007E6506">
        <w:rPr>
          <w:rFonts w:ascii="Traditional Arabic" w:hAnsi="Traditional Arabic"/>
          <w:sz w:val="32"/>
          <w:szCs w:val="32"/>
          <w:rtl/>
        </w:rPr>
        <w:t>(</w:t>
      </w:r>
      <w:r w:rsidRPr="007E6506">
        <w:rPr>
          <w:rStyle w:val="ae"/>
          <w:rFonts w:ascii="Traditional Arabic" w:hAnsi="Traditional Arabic"/>
          <w:sz w:val="32"/>
          <w:szCs w:val="32"/>
          <w:vertAlign w:val="baseline"/>
        </w:rPr>
        <w:footnoteRef/>
      </w:r>
      <w:r w:rsidRPr="007E6506">
        <w:rPr>
          <w:rFonts w:ascii="Traditional Arabic" w:hAnsi="Traditional Arabic"/>
          <w:sz w:val="32"/>
          <w:szCs w:val="32"/>
          <w:rtl/>
        </w:rPr>
        <w:t xml:space="preserve">) </w:t>
      </w:r>
      <w:r w:rsidRPr="007E6506">
        <w:rPr>
          <w:rFonts w:ascii="Traditional Arabic" w:hAnsi="Traditional Arabic"/>
          <w:b/>
          <w:sz w:val="32"/>
          <w:szCs w:val="32"/>
          <w:rtl/>
        </w:rPr>
        <w:t>العبر في خبر من غبر (3/118</w:t>
      </w:r>
      <w:r>
        <w:rPr>
          <w:rFonts w:ascii="Traditional Arabic" w:hAnsi="Traditional Arabic" w:hint="cs"/>
          <w:b/>
          <w:sz w:val="32"/>
          <w:szCs w:val="32"/>
          <w:rtl/>
        </w:rPr>
        <w:t>-</w:t>
      </w:r>
      <w:r w:rsidRPr="007E6506">
        <w:rPr>
          <w:rFonts w:ascii="Traditional Arabic" w:hAnsi="Traditional Arabic"/>
          <w:b/>
          <w:sz w:val="32"/>
          <w:szCs w:val="32"/>
          <w:rtl/>
        </w:rPr>
        <w:t>119).</w:t>
      </w:r>
    </w:p>
  </w:footnote>
  <w:footnote w:id="63">
    <w:p w:rsidR="003F128F" w:rsidRPr="00DA455D" w:rsidRDefault="003F128F" w:rsidP="00DA455D">
      <w:pPr>
        <w:pStyle w:val="af3"/>
        <w:rPr>
          <w:rFonts w:ascii="Traditional Arabic" w:hAnsi="Traditional Arabic"/>
          <w:sz w:val="32"/>
          <w:szCs w:val="32"/>
        </w:rPr>
      </w:pPr>
      <w:r w:rsidRPr="00DA455D">
        <w:rPr>
          <w:rFonts w:ascii="Traditional Arabic" w:hAnsi="Traditional Arabic"/>
          <w:sz w:val="32"/>
          <w:szCs w:val="32"/>
          <w:rtl/>
        </w:rPr>
        <w:t>(</w:t>
      </w:r>
      <w:r w:rsidRPr="00DA455D">
        <w:rPr>
          <w:rStyle w:val="ae"/>
          <w:rFonts w:ascii="Traditional Arabic" w:hAnsi="Traditional Arabic"/>
          <w:sz w:val="32"/>
          <w:szCs w:val="32"/>
          <w:vertAlign w:val="baseline"/>
        </w:rPr>
        <w:footnoteRef/>
      </w:r>
      <w:r w:rsidRPr="00DA455D">
        <w:rPr>
          <w:rFonts w:ascii="Traditional Arabic" w:hAnsi="Traditional Arabic"/>
          <w:sz w:val="32"/>
          <w:szCs w:val="32"/>
          <w:rtl/>
        </w:rPr>
        <w:t xml:space="preserve">) </w:t>
      </w:r>
      <w:r w:rsidRPr="00DA455D">
        <w:rPr>
          <w:rFonts w:ascii="Traditional Arabic" w:hAnsi="Traditional Arabic"/>
          <w:b/>
          <w:sz w:val="32"/>
          <w:szCs w:val="32"/>
          <w:rtl/>
        </w:rPr>
        <w:t>البداية والنهاية (13/35).</w:t>
      </w:r>
      <w:r w:rsidRPr="00DA455D">
        <w:rPr>
          <w:rFonts w:ascii="Traditional Arabic" w:hAnsi="Traditional Arabic"/>
          <w:sz w:val="32"/>
          <w:szCs w:val="32"/>
          <w:rtl/>
        </w:rPr>
        <w:t xml:space="preserve"> </w:t>
      </w:r>
    </w:p>
  </w:footnote>
  <w:footnote w:id="64">
    <w:p w:rsidR="003F128F" w:rsidRPr="00DA455D" w:rsidRDefault="003F128F" w:rsidP="00DA455D">
      <w:pPr>
        <w:pStyle w:val="af3"/>
        <w:rPr>
          <w:rFonts w:ascii="Traditional Arabic" w:hAnsi="Traditional Arabic"/>
          <w:sz w:val="32"/>
          <w:szCs w:val="32"/>
        </w:rPr>
      </w:pPr>
      <w:r w:rsidRPr="00DA455D">
        <w:rPr>
          <w:rFonts w:ascii="Traditional Arabic" w:hAnsi="Traditional Arabic"/>
          <w:sz w:val="32"/>
          <w:szCs w:val="32"/>
          <w:rtl/>
        </w:rPr>
        <w:t>(</w:t>
      </w:r>
      <w:r w:rsidRPr="00DA455D">
        <w:rPr>
          <w:rStyle w:val="ae"/>
          <w:rFonts w:ascii="Traditional Arabic" w:hAnsi="Traditional Arabic"/>
          <w:sz w:val="32"/>
          <w:szCs w:val="32"/>
          <w:vertAlign w:val="baseline"/>
        </w:rPr>
        <w:footnoteRef/>
      </w:r>
      <w:r w:rsidRPr="00DA455D">
        <w:rPr>
          <w:rFonts w:ascii="Traditional Arabic" w:hAnsi="Traditional Arabic"/>
          <w:sz w:val="32"/>
          <w:szCs w:val="32"/>
          <w:rtl/>
        </w:rPr>
        <w:t xml:space="preserve">) </w:t>
      </w:r>
      <w:r w:rsidRPr="00DA455D">
        <w:rPr>
          <w:rFonts w:ascii="Traditional Arabic" w:hAnsi="Traditional Arabic"/>
          <w:b/>
          <w:sz w:val="32"/>
          <w:szCs w:val="32"/>
          <w:rtl/>
        </w:rPr>
        <w:t>ذيل طبقات الحنابلة (1/162).</w:t>
      </w:r>
    </w:p>
  </w:footnote>
  <w:footnote w:id="65">
    <w:p w:rsidR="003F128F" w:rsidRPr="00DA455D" w:rsidRDefault="003F128F" w:rsidP="00DA455D">
      <w:pPr>
        <w:pStyle w:val="af3"/>
        <w:rPr>
          <w:rFonts w:ascii="Tahoma" w:hAnsi="Tahoma"/>
        </w:rPr>
      </w:pPr>
      <w:r w:rsidRPr="00DA455D">
        <w:rPr>
          <w:rFonts w:ascii="Traditional Arabic" w:hAnsi="Traditional Arabic"/>
          <w:sz w:val="32"/>
          <w:szCs w:val="32"/>
          <w:rtl/>
        </w:rPr>
        <w:t>(</w:t>
      </w:r>
      <w:r w:rsidRPr="00DA455D">
        <w:rPr>
          <w:rStyle w:val="ae"/>
          <w:rFonts w:ascii="Traditional Arabic" w:hAnsi="Traditional Arabic"/>
          <w:sz w:val="32"/>
          <w:szCs w:val="32"/>
          <w:vertAlign w:val="baseline"/>
        </w:rPr>
        <w:footnoteRef/>
      </w:r>
      <w:r w:rsidRPr="00DA455D">
        <w:rPr>
          <w:rFonts w:ascii="Traditional Arabic" w:hAnsi="Traditional Arabic"/>
          <w:sz w:val="32"/>
          <w:szCs w:val="32"/>
          <w:rtl/>
        </w:rPr>
        <w:t xml:space="preserve">) </w:t>
      </w:r>
      <w:r w:rsidRPr="00DA455D">
        <w:rPr>
          <w:rFonts w:ascii="Traditional Arabic" w:hAnsi="Traditional Arabic"/>
          <w:b/>
          <w:sz w:val="32"/>
          <w:szCs w:val="32"/>
          <w:rtl/>
        </w:rPr>
        <w:t>سـير أعلام النبلاء (21/367).</w:t>
      </w:r>
    </w:p>
  </w:footnote>
  <w:footnote w:id="66">
    <w:p w:rsidR="003F128F" w:rsidRPr="00477730" w:rsidRDefault="003F128F" w:rsidP="00DA455D">
      <w:pPr>
        <w:pStyle w:val="af3"/>
        <w:rPr>
          <w:rFonts w:ascii="Traditional Arabic" w:hAnsi="Traditional Arabic"/>
          <w:sz w:val="32"/>
          <w:szCs w:val="32"/>
        </w:rPr>
      </w:pPr>
      <w:r w:rsidRPr="00477730">
        <w:rPr>
          <w:rFonts w:ascii="Traditional Arabic" w:hAnsi="Traditional Arabic"/>
          <w:sz w:val="32"/>
          <w:szCs w:val="32"/>
          <w:rtl/>
        </w:rPr>
        <w:t>(</w:t>
      </w:r>
      <w:r w:rsidRPr="00477730">
        <w:rPr>
          <w:rStyle w:val="ae"/>
          <w:rFonts w:ascii="Traditional Arabic" w:hAnsi="Traditional Arabic"/>
          <w:sz w:val="32"/>
          <w:szCs w:val="32"/>
          <w:vertAlign w:val="baseline"/>
        </w:rPr>
        <w:footnoteRef/>
      </w:r>
      <w:r w:rsidRPr="00477730">
        <w:rPr>
          <w:rFonts w:ascii="Traditional Arabic" w:hAnsi="Traditional Arabic"/>
          <w:sz w:val="32"/>
          <w:szCs w:val="32"/>
          <w:rtl/>
        </w:rPr>
        <w:t>) للاستزادة انظر</w:t>
      </w:r>
      <w:r>
        <w:rPr>
          <w:rFonts w:ascii="Traditional Arabic" w:hAnsi="Traditional Arabic" w:hint="cs"/>
          <w:sz w:val="32"/>
          <w:szCs w:val="32"/>
          <w:rtl/>
        </w:rPr>
        <w:t>:</w:t>
      </w:r>
      <w:r w:rsidRPr="00477730">
        <w:rPr>
          <w:rFonts w:ascii="Traditional Arabic" w:hAnsi="Traditional Arabic"/>
          <w:sz w:val="32"/>
          <w:szCs w:val="32"/>
          <w:rtl/>
        </w:rPr>
        <w:t xml:space="preserve"> مؤلفات ابن الجوزي للعلوجي. </w:t>
      </w:r>
    </w:p>
  </w:footnote>
  <w:footnote w:id="67">
    <w:p w:rsidR="003F128F" w:rsidRPr="00477730" w:rsidRDefault="003F128F" w:rsidP="00477730">
      <w:pPr>
        <w:pStyle w:val="af3"/>
        <w:rPr>
          <w:rFonts w:ascii="Traditional Arabic" w:hAnsi="Traditional Arabic"/>
          <w:sz w:val="32"/>
          <w:szCs w:val="32"/>
        </w:rPr>
      </w:pPr>
      <w:r w:rsidRPr="00477730">
        <w:rPr>
          <w:rFonts w:ascii="Traditional Arabic" w:hAnsi="Traditional Arabic"/>
          <w:sz w:val="32"/>
          <w:szCs w:val="32"/>
          <w:rtl/>
        </w:rPr>
        <w:t>(</w:t>
      </w:r>
      <w:r w:rsidRPr="00477730">
        <w:rPr>
          <w:rStyle w:val="ae"/>
          <w:rFonts w:ascii="Traditional Arabic" w:hAnsi="Traditional Arabic"/>
          <w:sz w:val="32"/>
          <w:szCs w:val="32"/>
          <w:vertAlign w:val="baseline"/>
        </w:rPr>
        <w:footnoteRef/>
      </w:r>
      <w:r w:rsidRPr="00477730">
        <w:rPr>
          <w:rFonts w:ascii="Traditional Arabic" w:hAnsi="Traditional Arabic"/>
          <w:sz w:val="32"/>
          <w:szCs w:val="32"/>
          <w:rtl/>
        </w:rPr>
        <w:t xml:space="preserve">) </w:t>
      </w:r>
      <w:r w:rsidRPr="00477730">
        <w:rPr>
          <w:rFonts w:ascii="Traditional Arabic" w:hAnsi="Traditional Arabic"/>
          <w:b/>
          <w:sz w:val="32"/>
          <w:szCs w:val="32"/>
          <w:rtl/>
        </w:rPr>
        <w:t>انظر: ذيل طبقات الحنابلة (1/399).</w:t>
      </w:r>
    </w:p>
  </w:footnote>
  <w:footnote w:id="68">
    <w:p w:rsidR="003F128F" w:rsidRPr="00477730" w:rsidRDefault="003F128F" w:rsidP="00DA455D">
      <w:pPr>
        <w:pStyle w:val="af3"/>
        <w:rPr>
          <w:rFonts w:ascii="Traditional Arabic" w:hAnsi="Traditional Arabic"/>
          <w:sz w:val="32"/>
          <w:szCs w:val="32"/>
        </w:rPr>
      </w:pPr>
      <w:r w:rsidRPr="00477730">
        <w:rPr>
          <w:rFonts w:ascii="Traditional Arabic" w:hAnsi="Traditional Arabic"/>
          <w:sz w:val="32"/>
          <w:szCs w:val="32"/>
          <w:rtl/>
        </w:rPr>
        <w:t>(</w:t>
      </w:r>
      <w:r w:rsidRPr="00477730">
        <w:rPr>
          <w:rStyle w:val="ae"/>
          <w:rFonts w:ascii="Traditional Arabic" w:hAnsi="Traditional Arabic"/>
          <w:sz w:val="32"/>
          <w:szCs w:val="32"/>
          <w:vertAlign w:val="baseline"/>
        </w:rPr>
        <w:footnoteRef/>
      </w:r>
      <w:r w:rsidRPr="00477730">
        <w:rPr>
          <w:rFonts w:ascii="Traditional Arabic" w:hAnsi="Traditional Arabic"/>
          <w:sz w:val="32"/>
          <w:szCs w:val="32"/>
          <w:rtl/>
        </w:rPr>
        <w:t xml:space="preserve">) انظر: المصدر السابق (2/489).  </w:t>
      </w:r>
    </w:p>
  </w:footnote>
  <w:footnote w:id="69">
    <w:p w:rsidR="003F128F" w:rsidRPr="00477730" w:rsidRDefault="003F128F" w:rsidP="00DA455D">
      <w:pPr>
        <w:pStyle w:val="af3"/>
        <w:rPr>
          <w:rFonts w:ascii="Traditional Arabic" w:hAnsi="Traditional Arabic"/>
          <w:sz w:val="32"/>
          <w:szCs w:val="32"/>
        </w:rPr>
      </w:pPr>
      <w:r w:rsidRPr="00477730">
        <w:rPr>
          <w:rFonts w:ascii="Traditional Arabic" w:hAnsi="Traditional Arabic"/>
          <w:sz w:val="32"/>
          <w:szCs w:val="32"/>
          <w:rtl/>
        </w:rPr>
        <w:t>(</w:t>
      </w:r>
      <w:r w:rsidRPr="00477730">
        <w:rPr>
          <w:rStyle w:val="ae"/>
          <w:rFonts w:ascii="Traditional Arabic" w:hAnsi="Traditional Arabic"/>
          <w:sz w:val="32"/>
          <w:szCs w:val="32"/>
          <w:vertAlign w:val="baseline"/>
        </w:rPr>
        <w:footnoteRef/>
      </w:r>
      <w:r w:rsidRPr="00477730">
        <w:rPr>
          <w:rFonts w:ascii="Traditional Arabic" w:hAnsi="Traditional Arabic"/>
          <w:sz w:val="32"/>
          <w:szCs w:val="32"/>
          <w:rtl/>
        </w:rPr>
        <w:t xml:space="preserve">) انظر: المصدر السابق (2/461-496).  </w:t>
      </w:r>
    </w:p>
  </w:footnote>
  <w:footnote w:id="70">
    <w:p w:rsidR="003F128F" w:rsidRPr="00DA455D" w:rsidRDefault="003F128F" w:rsidP="00DA455D">
      <w:pPr>
        <w:pStyle w:val="af3"/>
        <w:rPr>
          <w:rFonts w:ascii="Tahoma" w:hAnsi="Tahoma"/>
        </w:rPr>
      </w:pPr>
      <w:r w:rsidRPr="00477730">
        <w:rPr>
          <w:rFonts w:ascii="Traditional Arabic" w:hAnsi="Traditional Arabic"/>
          <w:sz w:val="32"/>
          <w:szCs w:val="32"/>
          <w:rtl/>
        </w:rPr>
        <w:t>(</w:t>
      </w:r>
      <w:r w:rsidRPr="00477730">
        <w:rPr>
          <w:rStyle w:val="ae"/>
          <w:rFonts w:ascii="Traditional Arabic" w:hAnsi="Traditional Arabic"/>
          <w:sz w:val="32"/>
          <w:szCs w:val="32"/>
          <w:vertAlign w:val="baseline"/>
        </w:rPr>
        <w:footnoteRef/>
      </w:r>
      <w:r w:rsidRPr="00477730">
        <w:rPr>
          <w:rFonts w:ascii="Traditional Arabic" w:hAnsi="Traditional Arabic"/>
          <w:sz w:val="32"/>
          <w:szCs w:val="32"/>
          <w:rtl/>
        </w:rPr>
        <w:t>) انظر: تذكرة الحفاظ (4/92-93).</w:t>
      </w:r>
      <w:r>
        <w:rPr>
          <w:rFonts w:ascii="Tahoma" w:hAnsi="Tahoma"/>
          <w:rtl/>
        </w:rPr>
        <w:t xml:space="preserve"> </w:t>
      </w:r>
    </w:p>
  </w:footnote>
  <w:footnote w:id="71">
    <w:p w:rsidR="003F128F" w:rsidRPr="00F85B95" w:rsidRDefault="003F128F" w:rsidP="00DA455D">
      <w:pPr>
        <w:pStyle w:val="af3"/>
        <w:rPr>
          <w:rFonts w:ascii="Traditional Arabic" w:hAnsi="Traditional Arabic"/>
          <w:sz w:val="32"/>
          <w:szCs w:val="32"/>
        </w:rPr>
      </w:pPr>
      <w:r w:rsidRPr="00F85B95">
        <w:rPr>
          <w:rFonts w:ascii="Traditional Arabic" w:hAnsi="Traditional Arabic"/>
          <w:sz w:val="32"/>
          <w:szCs w:val="32"/>
          <w:rtl/>
        </w:rPr>
        <w:t>(</w:t>
      </w:r>
      <w:r w:rsidRPr="00F85B95">
        <w:rPr>
          <w:rStyle w:val="ae"/>
          <w:rFonts w:ascii="Traditional Arabic" w:hAnsi="Traditional Arabic"/>
          <w:sz w:val="32"/>
          <w:szCs w:val="32"/>
          <w:vertAlign w:val="baseline"/>
        </w:rPr>
        <w:footnoteRef/>
      </w:r>
      <w:r w:rsidRPr="00F85B95">
        <w:rPr>
          <w:rFonts w:ascii="Traditional Arabic" w:hAnsi="Traditional Arabic"/>
          <w:sz w:val="32"/>
          <w:szCs w:val="32"/>
          <w:rtl/>
        </w:rPr>
        <w:t xml:space="preserve">) انظر: تذكرة الحفاظ (4/93). </w:t>
      </w:r>
    </w:p>
  </w:footnote>
  <w:footnote w:id="72">
    <w:p w:rsidR="003F128F" w:rsidRPr="00F85B95" w:rsidRDefault="003F128F" w:rsidP="00DA455D">
      <w:pPr>
        <w:pStyle w:val="af3"/>
        <w:rPr>
          <w:rFonts w:ascii="Traditional Arabic" w:hAnsi="Traditional Arabic"/>
          <w:sz w:val="32"/>
          <w:szCs w:val="32"/>
        </w:rPr>
      </w:pPr>
      <w:r w:rsidRPr="00F85B95">
        <w:rPr>
          <w:rFonts w:ascii="Traditional Arabic" w:hAnsi="Traditional Arabic"/>
          <w:sz w:val="32"/>
          <w:szCs w:val="32"/>
          <w:rtl/>
        </w:rPr>
        <w:t>(</w:t>
      </w:r>
      <w:r w:rsidRPr="00F85B95">
        <w:rPr>
          <w:rStyle w:val="ae"/>
          <w:rFonts w:ascii="Traditional Arabic" w:hAnsi="Traditional Arabic"/>
          <w:sz w:val="32"/>
          <w:szCs w:val="32"/>
          <w:vertAlign w:val="baseline"/>
        </w:rPr>
        <w:footnoteRef/>
      </w:r>
      <w:r w:rsidRPr="00F85B95">
        <w:rPr>
          <w:rFonts w:ascii="Traditional Arabic" w:hAnsi="Traditional Arabic"/>
          <w:sz w:val="32"/>
          <w:szCs w:val="32"/>
          <w:rtl/>
        </w:rPr>
        <w:t>)</w:t>
      </w:r>
      <w:r w:rsidRPr="00F85B95">
        <w:rPr>
          <w:rFonts w:ascii="Traditional Arabic" w:hAnsi="Traditional Arabic"/>
          <w:b/>
          <w:sz w:val="32"/>
          <w:szCs w:val="32"/>
          <w:rtl/>
        </w:rPr>
        <w:t xml:space="preserve"> طبعته جمعية إحياء التراث الإسلامي بالكويت عام 1412هـ.</w:t>
      </w:r>
      <w:r w:rsidRPr="00F85B95">
        <w:rPr>
          <w:rFonts w:ascii="Traditional Arabic" w:hAnsi="Traditional Arabic"/>
          <w:sz w:val="32"/>
          <w:szCs w:val="32"/>
          <w:rtl/>
        </w:rPr>
        <w:t xml:space="preserve"> </w:t>
      </w:r>
    </w:p>
  </w:footnote>
  <w:footnote w:id="73">
    <w:p w:rsidR="003F128F" w:rsidRPr="00F85B95" w:rsidRDefault="003F128F" w:rsidP="00D753E7">
      <w:pPr>
        <w:pStyle w:val="af3"/>
        <w:rPr>
          <w:rFonts w:ascii="Traditional Arabic" w:hAnsi="Traditional Arabic"/>
          <w:sz w:val="32"/>
          <w:szCs w:val="32"/>
        </w:rPr>
      </w:pPr>
      <w:r w:rsidRPr="00F85B95">
        <w:rPr>
          <w:rFonts w:ascii="Traditional Arabic" w:hAnsi="Traditional Arabic"/>
          <w:sz w:val="32"/>
          <w:szCs w:val="32"/>
          <w:rtl/>
        </w:rPr>
        <w:t>(</w:t>
      </w:r>
      <w:r w:rsidRPr="00F85B95">
        <w:rPr>
          <w:rStyle w:val="ae"/>
          <w:rFonts w:ascii="Traditional Arabic" w:hAnsi="Traditional Arabic"/>
          <w:sz w:val="32"/>
          <w:szCs w:val="32"/>
          <w:vertAlign w:val="baseline"/>
        </w:rPr>
        <w:footnoteRef/>
      </w:r>
      <w:r w:rsidRPr="00F85B95">
        <w:rPr>
          <w:rFonts w:ascii="Traditional Arabic" w:hAnsi="Traditional Arabic"/>
          <w:sz w:val="32"/>
          <w:szCs w:val="32"/>
          <w:rtl/>
        </w:rPr>
        <w:t>) كشف الظنون (1/76).</w:t>
      </w:r>
    </w:p>
  </w:footnote>
  <w:footnote w:id="74">
    <w:p w:rsidR="003F128F" w:rsidRPr="00F85B95" w:rsidRDefault="003F128F" w:rsidP="00477730">
      <w:pPr>
        <w:pStyle w:val="af3"/>
        <w:rPr>
          <w:rFonts w:ascii="Traditional Arabic" w:hAnsi="Traditional Arabic"/>
          <w:sz w:val="32"/>
          <w:szCs w:val="32"/>
        </w:rPr>
      </w:pPr>
      <w:r w:rsidRPr="00F85B95">
        <w:rPr>
          <w:rFonts w:ascii="Traditional Arabic" w:hAnsi="Traditional Arabic"/>
          <w:sz w:val="32"/>
          <w:szCs w:val="32"/>
          <w:rtl/>
        </w:rPr>
        <w:t>(</w:t>
      </w:r>
      <w:r w:rsidRPr="00F85B95">
        <w:rPr>
          <w:rStyle w:val="ae"/>
          <w:rFonts w:ascii="Traditional Arabic" w:hAnsi="Traditional Arabic"/>
          <w:sz w:val="32"/>
          <w:szCs w:val="32"/>
          <w:vertAlign w:val="baseline"/>
        </w:rPr>
        <w:footnoteRef/>
      </w:r>
      <w:r w:rsidRPr="00F85B95">
        <w:rPr>
          <w:rFonts w:ascii="Traditional Arabic" w:hAnsi="Traditional Arabic"/>
          <w:sz w:val="32"/>
          <w:szCs w:val="32"/>
          <w:rtl/>
        </w:rPr>
        <w:t>)</w:t>
      </w:r>
      <w:r>
        <w:rPr>
          <w:rFonts w:ascii="Traditional Arabic" w:hAnsi="Traditional Arabic" w:hint="cs"/>
          <w:sz w:val="32"/>
          <w:szCs w:val="32"/>
          <w:rtl/>
        </w:rPr>
        <w:t xml:space="preserve"> </w:t>
      </w:r>
      <w:r w:rsidRPr="00DA455D">
        <w:rPr>
          <w:rFonts w:ascii="Traditional Arabic" w:hAnsi="Traditional Arabic"/>
          <w:b/>
          <w:sz w:val="32"/>
          <w:szCs w:val="32"/>
          <w:rtl/>
        </w:rPr>
        <w:t xml:space="preserve">ذيل طبقات الحنابلة </w:t>
      </w:r>
      <w:r w:rsidRPr="00F85B95">
        <w:rPr>
          <w:rFonts w:ascii="Traditional Arabic" w:hAnsi="Traditional Arabic"/>
          <w:sz w:val="32"/>
          <w:szCs w:val="32"/>
          <w:rtl/>
        </w:rPr>
        <w:t xml:space="preserve">(1/461).  </w:t>
      </w:r>
    </w:p>
  </w:footnote>
  <w:footnote w:id="75">
    <w:p w:rsidR="003F128F" w:rsidRPr="00F85B95" w:rsidRDefault="003F128F" w:rsidP="00D753E7">
      <w:pPr>
        <w:pStyle w:val="af3"/>
        <w:rPr>
          <w:rFonts w:ascii="Traditional Arabic" w:hAnsi="Traditional Arabic"/>
          <w:sz w:val="32"/>
          <w:szCs w:val="32"/>
        </w:rPr>
      </w:pPr>
      <w:r w:rsidRPr="00F85B95">
        <w:rPr>
          <w:rFonts w:ascii="Traditional Arabic" w:hAnsi="Traditional Arabic"/>
          <w:sz w:val="32"/>
          <w:szCs w:val="32"/>
          <w:rtl/>
        </w:rPr>
        <w:t>(</w:t>
      </w:r>
      <w:r w:rsidRPr="00F85B95">
        <w:rPr>
          <w:rStyle w:val="ae"/>
          <w:rFonts w:ascii="Traditional Arabic" w:hAnsi="Traditional Arabic"/>
          <w:sz w:val="32"/>
          <w:szCs w:val="32"/>
          <w:vertAlign w:val="baseline"/>
        </w:rPr>
        <w:footnoteRef/>
      </w:r>
      <w:r w:rsidRPr="00F85B95">
        <w:rPr>
          <w:rFonts w:ascii="Traditional Arabic" w:hAnsi="Traditional Arabic"/>
          <w:sz w:val="32"/>
          <w:szCs w:val="32"/>
          <w:rtl/>
        </w:rPr>
        <w:t xml:space="preserve">) وهو مطبوع بتحقيق: طارق فتحي السيد، بدار الكتب العلمية، (1425هـ). </w:t>
      </w:r>
    </w:p>
  </w:footnote>
  <w:footnote w:id="76">
    <w:p w:rsidR="003F128F" w:rsidRPr="00F85B95" w:rsidRDefault="003F128F" w:rsidP="00477730">
      <w:pPr>
        <w:pStyle w:val="af3"/>
        <w:rPr>
          <w:rFonts w:ascii="Traditional Arabic" w:hAnsi="Traditional Arabic"/>
          <w:sz w:val="32"/>
          <w:szCs w:val="32"/>
        </w:rPr>
      </w:pPr>
      <w:r w:rsidRPr="00F85B95">
        <w:rPr>
          <w:rFonts w:ascii="Traditional Arabic" w:hAnsi="Traditional Arabic"/>
          <w:sz w:val="32"/>
          <w:szCs w:val="32"/>
          <w:rtl/>
        </w:rPr>
        <w:t>(</w:t>
      </w:r>
      <w:r w:rsidRPr="00F85B95">
        <w:rPr>
          <w:rStyle w:val="ae"/>
          <w:rFonts w:ascii="Traditional Arabic" w:hAnsi="Traditional Arabic"/>
          <w:sz w:val="32"/>
          <w:szCs w:val="32"/>
          <w:vertAlign w:val="baseline"/>
        </w:rPr>
        <w:footnoteRef/>
      </w:r>
      <w:r w:rsidRPr="00F85B95">
        <w:rPr>
          <w:rFonts w:ascii="Traditional Arabic" w:hAnsi="Traditional Arabic"/>
          <w:sz w:val="32"/>
          <w:szCs w:val="32"/>
          <w:rtl/>
        </w:rPr>
        <w:t xml:space="preserve">) انظر: </w:t>
      </w:r>
      <w:r w:rsidRPr="00DA455D">
        <w:rPr>
          <w:rFonts w:ascii="Traditional Arabic" w:hAnsi="Traditional Arabic"/>
          <w:b/>
          <w:sz w:val="32"/>
          <w:szCs w:val="32"/>
          <w:rtl/>
        </w:rPr>
        <w:t xml:space="preserve">ذيل طبقات الحنابلة </w:t>
      </w:r>
      <w:r w:rsidRPr="00F85B95">
        <w:rPr>
          <w:rFonts w:ascii="Traditional Arabic" w:hAnsi="Traditional Arabic"/>
          <w:sz w:val="32"/>
          <w:szCs w:val="32"/>
          <w:rtl/>
        </w:rPr>
        <w:t>(1/417).</w:t>
      </w:r>
    </w:p>
  </w:footnote>
  <w:footnote w:id="77">
    <w:p w:rsidR="003F128F" w:rsidRPr="00F85B95" w:rsidRDefault="003F128F" w:rsidP="00F85B95">
      <w:pPr>
        <w:pStyle w:val="af3"/>
        <w:rPr>
          <w:rFonts w:ascii="Traditional Arabic" w:hAnsi="Traditional Arabic"/>
          <w:sz w:val="32"/>
          <w:szCs w:val="32"/>
        </w:rPr>
      </w:pPr>
      <w:r w:rsidRPr="00F85B95">
        <w:rPr>
          <w:rFonts w:ascii="Traditional Arabic" w:hAnsi="Traditional Arabic"/>
          <w:sz w:val="32"/>
          <w:szCs w:val="32"/>
          <w:rtl/>
        </w:rPr>
        <w:t>(</w:t>
      </w:r>
      <w:r w:rsidRPr="00F85B95">
        <w:rPr>
          <w:rStyle w:val="ae"/>
          <w:rFonts w:ascii="Traditional Arabic" w:hAnsi="Traditional Arabic"/>
          <w:sz w:val="32"/>
          <w:szCs w:val="32"/>
          <w:vertAlign w:val="baseline"/>
        </w:rPr>
        <w:footnoteRef/>
      </w:r>
      <w:r w:rsidRPr="00F85B95">
        <w:rPr>
          <w:rFonts w:ascii="Traditional Arabic" w:hAnsi="Traditional Arabic"/>
          <w:sz w:val="32"/>
          <w:szCs w:val="32"/>
          <w:rtl/>
        </w:rPr>
        <w:t>) انظر: كشف الظنون (1/391).</w:t>
      </w:r>
    </w:p>
  </w:footnote>
  <w:footnote w:id="78">
    <w:p w:rsidR="003F128F" w:rsidRPr="00F85B95" w:rsidRDefault="003F128F" w:rsidP="00F85B95">
      <w:pPr>
        <w:pStyle w:val="af3"/>
        <w:rPr>
          <w:rFonts w:ascii="Tahoma" w:hAnsi="Tahoma"/>
        </w:rPr>
      </w:pPr>
      <w:r w:rsidRPr="00F85B95">
        <w:rPr>
          <w:rFonts w:ascii="Traditional Arabic" w:hAnsi="Traditional Arabic"/>
          <w:sz w:val="32"/>
          <w:szCs w:val="32"/>
          <w:rtl/>
        </w:rPr>
        <w:t>(</w:t>
      </w:r>
      <w:r w:rsidRPr="00F85B95">
        <w:rPr>
          <w:rStyle w:val="ae"/>
          <w:rFonts w:ascii="Traditional Arabic" w:hAnsi="Traditional Arabic"/>
          <w:sz w:val="32"/>
          <w:szCs w:val="32"/>
          <w:vertAlign w:val="baseline"/>
        </w:rPr>
        <w:footnoteRef/>
      </w:r>
      <w:r w:rsidRPr="00F85B95">
        <w:rPr>
          <w:rFonts w:ascii="Traditional Arabic" w:hAnsi="Traditional Arabic"/>
          <w:sz w:val="32"/>
          <w:szCs w:val="32"/>
          <w:rtl/>
        </w:rPr>
        <w:t>) انظر: مؤلفات ابن الجوزي (</w:t>
      </w:r>
      <w:r>
        <w:rPr>
          <w:rFonts w:ascii="Traditional Arabic" w:hAnsi="Traditional Arabic" w:hint="cs"/>
          <w:sz w:val="32"/>
          <w:szCs w:val="32"/>
          <w:rtl/>
        </w:rPr>
        <w:t>ص</w:t>
      </w:r>
      <w:r w:rsidRPr="00F85B95">
        <w:rPr>
          <w:rFonts w:ascii="Traditional Arabic" w:hAnsi="Traditional Arabic"/>
          <w:sz w:val="32"/>
          <w:szCs w:val="32"/>
          <w:rtl/>
        </w:rPr>
        <w:t>84).</w:t>
      </w:r>
      <w:r w:rsidRPr="001C4FED">
        <w:rPr>
          <w:rFonts w:ascii="Traditional Arabic" w:hAnsi="Traditional Arabic"/>
          <w:sz w:val="32"/>
          <w:szCs w:val="32"/>
          <w:rtl/>
        </w:rPr>
        <w:t xml:space="preserve"> </w:t>
      </w:r>
      <w:r>
        <w:rPr>
          <w:rFonts w:ascii="Tahoma" w:hAnsi="Tahoma"/>
          <w:rtl/>
        </w:rPr>
        <w:t xml:space="preserve"> </w:t>
      </w:r>
    </w:p>
  </w:footnote>
  <w:footnote w:id="79">
    <w:p w:rsidR="003F128F" w:rsidRPr="00477730" w:rsidRDefault="003F128F" w:rsidP="00477730">
      <w:pPr>
        <w:pStyle w:val="af3"/>
        <w:rPr>
          <w:rFonts w:ascii="Traditional Arabic" w:hAnsi="Traditional Arabic"/>
          <w:sz w:val="32"/>
          <w:szCs w:val="32"/>
        </w:rPr>
      </w:pPr>
      <w:r w:rsidRPr="00477730">
        <w:rPr>
          <w:rFonts w:ascii="Traditional Arabic" w:hAnsi="Traditional Arabic"/>
          <w:sz w:val="32"/>
          <w:szCs w:val="32"/>
          <w:rtl/>
        </w:rPr>
        <w:t>(</w:t>
      </w:r>
      <w:r w:rsidRPr="00477730">
        <w:rPr>
          <w:rStyle w:val="ae"/>
          <w:rFonts w:ascii="Traditional Arabic" w:hAnsi="Traditional Arabic"/>
          <w:sz w:val="32"/>
          <w:szCs w:val="32"/>
          <w:vertAlign w:val="baseline"/>
        </w:rPr>
        <w:footnoteRef/>
      </w:r>
      <w:r w:rsidRPr="00477730">
        <w:rPr>
          <w:rFonts w:ascii="Traditional Arabic" w:hAnsi="Traditional Arabic"/>
          <w:sz w:val="32"/>
          <w:szCs w:val="32"/>
          <w:rtl/>
        </w:rPr>
        <w:t>) انظر: مؤلفات ابن الجوزي (ص86).</w:t>
      </w:r>
    </w:p>
  </w:footnote>
  <w:footnote w:id="80">
    <w:p w:rsidR="003F128F" w:rsidRPr="00477730" w:rsidRDefault="003F128F" w:rsidP="00477730">
      <w:pPr>
        <w:pStyle w:val="af3"/>
        <w:rPr>
          <w:rFonts w:ascii="Traditional Arabic" w:hAnsi="Traditional Arabic"/>
          <w:sz w:val="32"/>
          <w:szCs w:val="32"/>
        </w:rPr>
      </w:pPr>
      <w:r w:rsidRPr="00477730">
        <w:rPr>
          <w:rFonts w:ascii="Traditional Arabic" w:hAnsi="Traditional Arabic"/>
          <w:sz w:val="32"/>
          <w:szCs w:val="32"/>
          <w:rtl/>
        </w:rPr>
        <w:t>(</w:t>
      </w:r>
      <w:r w:rsidRPr="00477730">
        <w:rPr>
          <w:rStyle w:val="ae"/>
          <w:rFonts w:ascii="Traditional Arabic" w:hAnsi="Traditional Arabic"/>
          <w:sz w:val="32"/>
          <w:szCs w:val="32"/>
          <w:vertAlign w:val="baseline"/>
        </w:rPr>
        <w:footnoteRef/>
      </w:r>
      <w:r w:rsidRPr="00477730">
        <w:rPr>
          <w:rFonts w:ascii="Traditional Arabic" w:hAnsi="Traditional Arabic"/>
          <w:sz w:val="32"/>
          <w:szCs w:val="32"/>
          <w:rtl/>
        </w:rPr>
        <w:t xml:space="preserve">) انظر: الوافي بالوفيات (18/111)، </w:t>
      </w:r>
      <w:r w:rsidRPr="00477730">
        <w:rPr>
          <w:rFonts w:ascii="Traditional Arabic" w:hAnsi="Traditional Arabic"/>
          <w:b/>
          <w:sz w:val="32"/>
          <w:szCs w:val="32"/>
          <w:rtl/>
        </w:rPr>
        <w:t xml:space="preserve">ذيل طبقات الحنابلة </w:t>
      </w:r>
      <w:r w:rsidRPr="00477730">
        <w:rPr>
          <w:rFonts w:ascii="Traditional Arabic" w:hAnsi="Traditional Arabic"/>
          <w:sz w:val="32"/>
          <w:szCs w:val="32"/>
          <w:rtl/>
        </w:rPr>
        <w:t xml:space="preserve">(2/490).  </w:t>
      </w:r>
    </w:p>
  </w:footnote>
  <w:footnote w:id="81">
    <w:p w:rsidR="003F128F" w:rsidRPr="00477730" w:rsidRDefault="003F128F" w:rsidP="00477730">
      <w:pPr>
        <w:pStyle w:val="af3"/>
        <w:rPr>
          <w:rFonts w:ascii="Traditional Arabic" w:hAnsi="Traditional Arabic"/>
          <w:sz w:val="32"/>
          <w:szCs w:val="32"/>
        </w:rPr>
      </w:pPr>
      <w:r w:rsidRPr="00477730">
        <w:rPr>
          <w:rFonts w:ascii="Traditional Arabic" w:hAnsi="Traditional Arabic"/>
          <w:sz w:val="32"/>
          <w:szCs w:val="32"/>
          <w:rtl/>
        </w:rPr>
        <w:t>(</w:t>
      </w:r>
      <w:r w:rsidRPr="00477730">
        <w:rPr>
          <w:rStyle w:val="ae"/>
          <w:rFonts w:ascii="Traditional Arabic" w:hAnsi="Traditional Arabic"/>
          <w:sz w:val="32"/>
          <w:szCs w:val="32"/>
          <w:vertAlign w:val="baseline"/>
        </w:rPr>
        <w:footnoteRef/>
      </w:r>
      <w:r w:rsidRPr="00477730">
        <w:rPr>
          <w:rFonts w:ascii="Traditional Arabic" w:hAnsi="Traditional Arabic"/>
          <w:sz w:val="32"/>
          <w:szCs w:val="32"/>
          <w:rtl/>
        </w:rPr>
        <w:t xml:space="preserve">) انظر: نواسخ القرآن (ص102).  </w:t>
      </w:r>
    </w:p>
  </w:footnote>
  <w:footnote w:id="82">
    <w:p w:rsidR="003F128F" w:rsidRPr="00477730" w:rsidRDefault="003F128F" w:rsidP="00477730">
      <w:pPr>
        <w:pStyle w:val="af3"/>
        <w:rPr>
          <w:rFonts w:ascii="Traditional Arabic" w:hAnsi="Traditional Arabic"/>
          <w:sz w:val="32"/>
          <w:szCs w:val="32"/>
        </w:rPr>
      </w:pPr>
      <w:r w:rsidRPr="00477730">
        <w:rPr>
          <w:rFonts w:ascii="Traditional Arabic" w:hAnsi="Traditional Arabic"/>
          <w:sz w:val="32"/>
          <w:szCs w:val="32"/>
          <w:rtl/>
        </w:rPr>
        <w:t>(</w:t>
      </w:r>
      <w:r w:rsidRPr="00477730">
        <w:rPr>
          <w:rStyle w:val="ae"/>
          <w:rFonts w:ascii="Traditional Arabic" w:hAnsi="Traditional Arabic"/>
          <w:sz w:val="32"/>
          <w:szCs w:val="32"/>
          <w:vertAlign w:val="baseline"/>
        </w:rPr>
        <w:footnoteRef/>
      </w:r>
      <w:r w:rsidRPr="00477730">
        <w:rPr>
          <w:rFonts w:ascii="Traditional Arabic" w:hAnsi="Traditional Arabic"/>
          <w:sz w:val="32"/>
          <w:szCs w:val="32"/>
          <w:rtl/>
        </w:rPr>
        <w:t>) انظر: مؤلفات ابن الجوزي (ص136).</w:t>
      </w:r>
    </w:p>
  </w:footnote>
  <w:footnote w:id="83">
    <w:p w:rsidR="003F128F" w:rsidRPr="00477730" w:rsidRDefault="003F128F" w:rsidP="00477730">
      <w:pPr>
        <w:pStyle w:val="af3"/>
        <w:rPr>
          <w:rFonts w:ascii="Traditional Arabic" w:hAnsi="Traditional Arabic"/>
          <w:sz w:val="32"/>
          <w:szCs w:val="32"/>
        </w:rPr>
      </w:pPr>
      <w:r w:rsidRPr="00477730">
        <w:rPr>
          <w:rFonts w:ascii="Traditional Arabic" w:hAnsi="Traditional Arabic"/>
          <w:sz w:val="32"/>
          <w:szCs w:val="32"/>
          <w:rtl/>
        </w:rPr>
        <w:t>(</w:t>
      </w:r>
      <w:r w:rsidRPr="00477730">
        <w:rPr>
          <w:rStyle w:val="ae"/>
          <w:rFonts w:ascii="Traditional Arabic" w:hAnsi="Traditional Arabic"/>
          <w:sz w:val="32"/>
          <w:szCs w:val="32"/>
          <w:vertAlign w:val="baseline"/>
        </w:rPr>
        <w:footnoteRef/>
      </w:r>
      <w:r w:rsidRPr="00477730">
        <w:rPr>
          <w:rFonts w:ascii="Traditional Arabic" w:hAnsi="Traditional Arabic"/>
          <w:sz w:val="32"/>
          <w:szCs w:val="32"/>
          <w:rtl/>
        </w:rPr>
        <w:t xml:space="preserve">) انظر: </w:t>
      </w:r>
      <w:r w:rsidRPr="00477730">
        <w:rPr>
          <w:rFonts w:ascii="Traditional Arabic" w:hAnsi="Traditional Arabic"/>
          <w:b/>
          <w:sz w:val="32"/>
          <w:szCs w:val="32"/>
          <w:rtl/>
        </w:rPr>
        <w:t>ذيل طبقات الحنابلة</w:t>
      </w:r>
      <w:r w:rsidRPr="00477730">
        <w:rPr>
          <w:rFonts w:ascii="Traditional Arabic" w:hAnsi="Traditional Arabic"/>
          <w:sz w:val="32"/>
          <w:szCs w:val="32"/>
          <w:rtl/>
        </w:rPr>
        <w:t xml:space="preserve"> (2/490). </w:t>
      </w:r>
    </w:p>
  </w:footnote>
  <w:footnote w:id="84">
    <w:p w:rsidR="003F128F" w:rsidRPr="00477730" w:rsidRDefault="003F128F" w:rsidP="00477730">
      <w:pPr>
        <w:pStyle w:val="af3"/>
        <w:rPr>
          <w:rFonts w:ascii="Traditional Arabic" w:hAnsi="Traditional Arabic"/>
          <w:sz w:val="32"/>
          <w:szCs w:val="32"/>
        </w:rPr>
      </w:pPr>
      <w:r w:rsidRPr="00477730">
        <w:rPr>
          <w:rFonts w:ascii="Traditional Arabic" w:hAnsi="Traditional Arabic"/>
          <w:sz w:val="32"/>
          <w:szCs w:val="32"/>
          <w:rtl/>
        </w:rPr>
        <w:t>(</w:t>
      </w:r>
      <w:r w:rsidRPr="00477730">
        <w:rPr>
          <w:rStyle w:val="ae"/>
          <w:rFonts w:ascii="Traditional Arabic" w:hAnsi="Traditional Arabic"/>
          <w:sz w:val="32"/>
          <w:szCs w:val="32"/>
          <w:vertAlign w:val="baseline"/>
        </w:rPr>
        <w:footnoteRef/>
      </w:r>
      <w:r w:rsidRPr="00477730">
        <w:rPr>
          <w:rFonts w:ascii="Traditional Arabic" w:hAnsi="Traditional Arabic"/>
          <w:sz w:val="32"/>
          <w:szCs w:val="32"/>
          <w:rtl/>
        </w:rPr>
        <w:t>) انظر هدية العارفين للباباني البغدادي</w:t>
      </w:r>
      <w:r>
        <w:rPr>
          <w:rFonts w:ascii="Traditional Arabic" w:hAnsi="Traditional Arabic" w:hint="cs"/>
          <w:sz w:val="32"/>
          <w:szCs w:val="32"/>
          <w:rtl/>
        </w:rPr>
        <w:t xml:space="preserve"> </w:t>
      </w:r>
      <w:r w:rsidRPr="00477730">
        <w:rPr>
          <w:rFonts w:ascii="Traditional Arabic" w:hAnsi="Traditional Arabic"/>
          <w:sz w:val="32"/>
          <w:szCs w:val="32"/>
          <w:rtl/>
        </w:rPr>
        <w:t xml:space="preserve">(1/522). </w:t>
      </w:r>
    </w:p>
  </w:footnote>
  <w:footnote w:id="85">
    <w:p w:rsidR="003F128F" w:rsidRPr="00477730" w:rsidRDefault="003F128F" w:rsidP="00477730">
      <w:pPr>
        <w:pStyle w:val="af3"/>
        <w:rPr>
          <w:rFonts w:ascii="Traditional Arabic" w:hAnsi="Traditional Arabic"/>
          <w:sz w:val="32"/>
          <w:szCs w:val="32"/>
        </w:rPr>
      </w:pPr>
      <w:r w:rsidRPr="00477730">
        <w:rPr>
          <w:rFonts w:ascii="Traditional Arabic" w:hAnsi="Traditional Arabic"/>
          <w:sz w:val="32"/>
          <w:szCs w:val="32"/>
          <w:rtl/>
        </w:rPr>
        <w:t>(</w:t>
      </w:r>
      <w:r w:rsidRPr="00477730">
        <w:rPr>
          <w:rStyle w:val="ae"/>
          <w:rFonts w:ascii="Traditional Arabic" w:hAnsi="Traditional Arabic"/>
          <w:sz w:val="32"/>
          <w:szCs w:val="32"/>
          <w:vertAlign w:val="baseline"/>
        </w:rPr>
        <w:footnoteRef/>
      </w:r>
      <w:r w:rsidRPr="00477730">
        <w:rPr>
          <w:rFonts w:ascii="Traditional Arabic" w:hAnsi="Traditional Arabic"/>
          <w:sz w:val="32"/>
          <w:szCs w:val="32"/>
          <w:rtl/>
        </w:rPr>
        <w:t>) انظر:</w:t>
      </w:r>
      <w:r w:rsidRPr="00477730">
        <w:rPr>
          <w:rFonts w:ascii="Traditional Arabic" w:hAnsi="Traditional Arabic"/>
          <w:b/>
          <w:sz w:val="32"/>
          <w:szCs w:val="32"/>
          <w:rtl/>
        </w:rPr>
        <w:t xml:space="preserve"> ذيل طبقات الحنابلة </w:t>
      </w:r>
      <w:r w:rsidRPr="00477730">
        <w:rPr>
          <w:rFonts w:ascii="Traditional Arabic" w:hAnsi="Traditional Arabic"/>
          <w:sz w:val="32"/>
          <w:szCs w:val="32"/>
          <w:rtl/>
        </w:rPr>
        <w:t xml:space="preserve">(2/490) وهو مطبوع في دار البشائر -بيروت- (1408هـ) في جزء واحد. </w:t>
      </w:r>
    </w:p>
  </w:footnote>
  <w:footnote w:id="86">
    <w:p w:rsidR="003F128F" w:rsidRPr="00477730" w:rsidRDefault="003F128F" w:rsidP="00477730">
      <w:pPr>
        <w:pStyle w:val="af3"/>
        <w:rPr>
          <w:rFonts w:ascii="Traditional Arabic" w:hAnsi="Traditional Arabic"/>
          <w:sz w:val="32"/>
          <w:szCs w:val="32"/>
        </w:rPr>
      </w:pPr>
      <w:r w:rsidRPr="00477730">
        <w:rPr>
          <w:rFonts w:ascii="Traditional Arabic" w:hAnsi="Traditional Arabic"/>
          <w:sz w:val="32"/>
          <w:szCs w:val="32"/>
          <w:rtl/>
        </w:rPr>
        <w:t>(</w:t>
      </w:r>
      <w:r w:rsidRPr="00477730">
        <w:rPr>
          <w:rStyle w:val="ae"/>
          <w:rFonts w:ascii="Traditional Arabic" w:hAnsi="Traditional Arabic"/>
          <w:sz w:val="32"/>
          <w:szCs w:val="32"/>
          <w:vertAlign w:val="baseline"/>
        </w:rPr>
        <w:footnoteRef/>
      </w:r>
      <w:r w:rsidRPr="00477730">
        <w:rPr>
          <w:rFonts w:ascii="Traditional Arabic" w:hAnsi="Traditional Arabic"/>
          <w:sz w:val="32"/>
          <w:szCs w:val="32"/>
          <w:rtl/>
        </w:rPr>
        <w:t xml:space="preserve">) انظر: مؤلفات ابن الجوزي (ص136).  </w:t>
      </w:r>
    </w:p>
  </w:footnote>
  <w:footnote w:id="87">
    <w:p w:rsidR="003F128F" w:rsidRPr="00477730" w:rsidRDefault="003F128F" w:rsidP="00477730">
      <w:pPr>
        <w:pStyle w:val="af3"/>
        <w:rPr>
          <w:rFonts w:ascii="Tahoma" w:hAnsi="Tahoma"/>
        </w:rPr>
      </w:pPr>
      <w:r w:rsidRPr="00477730">
        <w:rPr>
          <w:rFonts w:ascii="Traditional Arabic" w:hAnsi="Traditional Arabic"/>
          <w:sz w:val="32"/>
          <w:szCs w:val="32"/>
          <w:rtl/>
        </w:rPr>
        <w:t>(</w:t>
      </w:r>
      <w:r w:rsidRPr="00477730">
        <w:rPr>
          <w:rStyle w:val="ae"/>
          <w:rFonts w:ascii="Traditional Arabic" w:hAnsi="Traditional Arabic"/>
          <w:sz w:val="32"/>
          <w:szCs w:val="32"/>
          <w:vertAlign w:val="baseline"/>
        </w:rPr>
        <w:footnoteRef/>
      </w:r>
      <w:r w:rsidRPr="00477730">
        <w:rPr>
          <w:rFonts w:ascii="Traditional Arabic" w:hAnsi="Traditional Arabic"/>
          <w:sz w:val="32"/>
          <w:szCs w:val="32"/>
          <w:rtl/>
        </w:rPr>
        <w:t>) انظر: المصدر السابق (ص136).</w:t>
      </w:r>
    </w:p>
  </w:footnote>
  <w:footnote w:id="88">
    <w:p w:rsidR="003F128F" w:rsidRPr="006C649B" w:rsidRDefault="003F128F" w:rsidP="008135E0">
      <w:pPr>
        <w:pStyle w:val="af3"/>
        <w:rPr>
          <w:rFonts w:ascii="Traditional Arabic" w:hAnsi="Traditional Arabic"/>
          <w:sz w:val="32"/>
          <w:szCs w:val="32"/>
        </w:rPr>
      </w:pPr>
      <w:r w:rsidRPr="006C649B">
        <w:rPr>
          <w:rFonts w:ascii="Tahoma" w:hAnsi="Tahoma"/>
          <w:sz w:val="32"/>
          <w:szCs w:val="32"/>
          <w:rtl/>
        </w:rPr>
        <w:t>(</w:t>
      </w:r>
      <w:r w:rsidRPr="006C649B">
        <w:rPr>
          <w:rStyle w:val="ae"/>
          <w:rFonts w:ascii="Traditional Arabic" w:hAnsi="Traditional Arabic"/>
          <w:sz w:val="32"/>
          <w:szCs w:val="32"/>
          <w:vertAlign w:val="baseline"/>
        </w:rPr>
        <w:footnoteRef/>
      </w:r>
      <w:r w:rsidRPr="006C649B">
        <w:rPr>
          <w:rFonts w:ascii="Traditional Arabic" w:hAnsi="Traditional Arabic"/>
          <w:sz w:val="32"/>
          <w:szCs w:val="32"/>
          <w:rtl/>
        </w:rPr>
        <w:t xml:space="preserve">) مؤلفات ابن الجوزي (ص185).  </w:t>
      </w:r>
    </w:p>
  </w:footnote>
  <w:footnote w:id="89">
    <w:p w:rsidR="003F128F" w:rsidRPr="006C649B" w:rsidRDefault="003F128F" w:rsidP="008135E0">
      <w:pPr>
        <w:pStyle w:val="af3"/>
        <w:rPr>
          <w:rFonts w:ascii="Traditional Arabic" w:hAnsi="Traditional Arabic"/>
          <w:sz w:val="32"/>
          <w:szCs w:val="32"/>
        </w:rPr>
      </w:pPr>
      <w:r w:rsidRPr="006C649B">
        <w:rPr>
          <w:rFonts w:ascii="Traditional Arabic" w:hAnsi="Traditional Arabic"/>
          <w:sz w:val="32"/>
          <w:szCs w:val="32"/>
          <w:rtl/>
        </w:rPr>
        <w:t>(</w:t>
      </w:r>
      <w:r w:rsidRPr="006C649B">
        <w:rPr>
          <w:rStyle w:val="ae"/>
          <w:rFonts w:ascii="Traditional Arabic" w:hAnsi="Traditional Arabic"/>
          <w:sz w:val="32"/>
          <w:szCs w:val="32"/>
          <w:vertAlign w:val="baseline"/>
        </w:rPr>
        <w:footnoteRef/>
      </w:r>
      <w:r w:rsidRPr="006C649B">
        <w:rPr>
          <w:rFonts w:ascii="Traditional Arabic" w:hAnsi="Traditional Arabic"/>
          <w:sz w:val="32"/>
          <w:szCs w:val="32"/>
          <w:rtl/>
        </w:rPr>
        <w:t>) المصدر السابق (ص140).</w:t>
      </w:r>
    </w:p>
  </w:footnote>
  <w:footnote w:id="90">
    <w:p w:rsidR="003F128F" w:rsidRPr="006C649B" w:rsidRDefault="003F128F" w:rsidP="008135E0">
      <w:pPr>
        <w:pStyle w:val="af3"/>
        <w:rPr>
          <w:rFonts w:ascii="Traditional Arabic" w:hAnsi="Traditional Arabic"/>
          <w:sz w:val="32"/>
          <w:szCs w:val="32"/>
        </w:rPr>
      </w:pPr>
      <w:r w:rsidRPr="006C649B">
        <w:rPr>
          <w:rFonts w:ascii="Traditional Arabic" w:hAnsi="Traditional Arabic"/>
          <w:sz w:val="32"/>
          <w:szCs w:val="32"/>
          <w:rtl/>
        </w:rPr>
        <w:t>(</w:t>
      </w:r>
      <w:r w:rsidRPr="006C649B">
        <w:rPr>
          <w:rStyle w:val="ae"/>
          <w:rFonts w:ascii="Traditional Arabic" w:hAnsi="Traditional Arabic"/>
          <w:sz w:val="32"/>
          <w:szCs w:val="32"/>
          <w:vertAlign w:val="baseline"/>
        </w:rPr>
        <w:footnoteRef/>
      </w:r>
      <w:r w:rsidRPr="006C649B">
        <w:rPr>
          <w:rFonts w:ascii="Traditional Arabic" w:hAnsi="Traditional Arabic"/>
          <w:sz w:val="32"/>
          <w:szCs w:val="32"/>
          <w:rtl/>
        </w:rPr>
        <w:t xml:space="preserve">) المصدر السابق (ص162).  </w:t>
      </w:r>
    </w:p>
  </w:footnote>
  <w:footnote w:id="91">
    <w:p w:rsidR="003F128F" w:rsidRPr="006C649B" w:rsidRDefault="003F128F" w:rsidP="00936A7E">
      <w:pPr>
        <w:pStyle w:val="af3"/>
        <w:rPr>
          <w:rFonts w:ascii="Traditional Arabic" w:hAnsi="Traditional Arabic"/>
          <w:sz w:val="32"/>
          <w:szCs w:val="32"/>
        </w:rPr>
      </w:pPr>
      <w:r w:rsidRPr="006C649B">
        <w:rPr>
          <w:rFonts w:ascii="Traditional Arabic" w:hAnsi="Traditional Arabic"/>
          <w:sz w:val="32"/>
          <w:szCs w:val="32"/>
          <w:rtl/>
        </w:rPr>
        <w:t>(</w:t>
      </w:r>
      <w:r w:rsidRPr="006C649B">
        <w:rPr>
          <w:rStyle w:val="ae"/>
          <w:rFonts w:ascii="Traditional Arabic" w:hAnsi="Traditional Arabic"/>
          <w:sz w:val="32"/>
          <w:szCs w:val="32"/>
          <w:vertAlign w:val="baseline"/>
        </w:rPr>
        <w:footnoteRef/>
      </w:r>
      <w:r w:rsidRPr="006C649B">
        <w:rPr>
          <w:rFonts w:ascii="Traditional Arabic" w:hAnsi="Traditional Arabic"/>
          <w:sz w:val="32"/>
          <w:szCs w:val="32"/>
          <w:rtl/>
        </w:rPr>
        <w:t xml:space="preserve">) انظر: المصدر السابق (ص162).   </w:t>
      </w:r>
    </w:p>
  </w:footnote>
  <w:footnote w:id="92">
    <w:p w:rsidR="003F128F" w:rsidRPr="006C649B" w:rsidRDefault="003F128F" w:rsidP="00BA6224">
      <w:pPr>
        <w:pStyle w:val="af3"/>
        <w:rPr>
          <w:rFonts w:ascii="Traditional Arabic" w:hAnsi="Traditional Arabic"/>
          <w:sz w:val="32"/>
          <w:szCs w:val="32"/>
        </w:rPr>
      </w:pPr>
      <w:r w:rsidRPr="006C649B">
        <w:rPr>
          <w:rFonts w:ascii="Traditional Arabic" w:hAnsi="Traditional Arabic"/>
          <w:sz w:val="32"/>
          <w:szCs w:val="32"/>
          <w:rtl/>
        </w:rPr>
        <w:t>(</w:t>
      </w:r>
      <w:r w:rsidRPr="006C649B">
        <w:rPr>
          <w:rStyle w:val="ae"/>
          <w:rFonts w:ascii="Traditional Arabic" w:hAnsi="Traditional Arabic"/>
          <w:sz w:val="32"/>
          <w:szCs w:val="32"/>
          <w:vertAlign w:val="baseline"/>
        </w:rPr>
        <w:footnoteRef/>
      </w:r>
      <w:r w:rsidRPr="006C649B">
        <w:rPr>
          <w:rFonts w:ascii="Traditional Arabic" w:hAnsi="Traditional Arabic"/>
          <w:sz w:val="32"/>
          <w:szCs w:val="32"/>
          <w:rtl/>
        </w:rPr>
        <w:t>) انظر: المصدر السابق (ص162)</w:t>
      </w:r>
      <w:r w:rsidRPr="006C649B">
        <w:rPr>
          <w:rFonts w:ascii="Traditional Arabic" w:hAnsi="Traditional Arabic" w:hint="cs"/>
          <w:sz w:val="32"/>
          <w:szCs w:val="32"/>
          <w:rtl/>
        </w:rPr>
        <w:t>.</w:t>
      </w:r>
    </w:p>
  </w:footnote>
  <w:footnote w:id="93">
    <w:p w:rsidR="003F128F" w:rsidRPr="006C649B" w:rsidRDefault="003F128F" w:rsidP="00936A7E">
      <w:pPr>
        <w:pStyle w:val="af3"/>
        <w:rPr>
          <w:rFonts w:ascii="Traditional Arabic" w:hAnsi="Traditional Arabic"/>
          <w:sz w:val="32"/>
          <w:szCs w:val="32"/>
        </w:rPr>
      </w:pPr>
      <w:r w:rsidRPr="006C649B">
        <w:rPr>
          <w:rFonts w:ascii="Traditional Arabic" w:hAnsi="Traditional Arabic"/>
          <w:sz w:val="32"/>
          <w:szCs w:val="32"/>
          <w:rtl/>
        </w:rPr>
        <w:t>(</w:t>
      </w:r>
      <w:r w:rsidRPr="006C649B">
        <w:rPr>
          <w:rStyle w:val="ae"/>
          <w:rFonts w:ascii="Traditional Arabic" w:hAnsi="Traditional Arabic"/>
          <w:sz w:val="32"/>
          <w:szCs w:val="32"/>
          <w:vertAlign w:val="baseline"/>
        </w:rPr>
        <w:footnoteRef/>
      </w:r>
      <w:r w:rsidRPr="006C649B">
        <w:rPr>
          <w:rFonts w:ascii="Traditional Arabic" w:hAnsi="Traditional Arabic"/>
          <w:sz w:val="32"/>
          <w:szCs w:val="32"/>
          <w:rtl/>
        </w:rPr>
        <w:t xml:space="preserve">) انظر: المصدر السابق (ص162). </w:t>
      </w:r>
    </w:p>
  </w:footnote>
  <w:footnote w:id="94">
    <w:p w:rsidR="003F128F" w:rsidRPr="00936A7E" w:rsidRDefault="003F128F" w:rsidP="006C649B">
      <w:pPr>
        <w:pStyle w:val="af3"/>
        <w:rPr>
          <w:rFonts w:ascii="Tahoma" w:hAnsi="Tahoma"/>
        </w:rPr>
      </w:pPr>
      <w:r w:rsidRPr="006C649B">
        <w:rPr>
          <w:rFonts w:ascii="Traditional Arabic" w:hAnsi="Traditional Arabic"/>
          <w:sz w:val="32"/>
          <w:szCs w:val="32"/>
          <w:rtl/>
        </w:rPr>
        <w:t>(</w:t>
      </w:r>
      <w:r w:rsidRPr="006C649B">
        <w:rPr>
          <w:rStyle w:val="ae"/>
          <w:rFonts w:ascii="Traditional Arabic" w:hAnsi="Traditional Arabic"/>
          <w:sz w:val="32"/>
          <w:szCs w:val="32"/>
          <w:vertAlign w:val="baseline"/>
        </w:rPr>
        <w:footnoteRef/>
      </w:r>
      <w:r w:rsidRPr="006C649B">
        <w:rPr>
          <w:rFonts w:ascii="Traditional Arabic" w:hAnsi="Traditional Arabic"/>
          <w:sz w:val="32"/>
          <w:szCs w:val="32"/>
          <w:rtl/>
        </w:rPr>
        <w:t>) انظر: كشف الظنون (</w:t>
      </w:r>
      <w:r w:rsidRPr="006C649B">
        <w:rPr>
          <w:rFonts w:ascii="Traditional Arabic" w:hAnsi="Traditional Arabic" w:hint="cs"/>
          <w:sz w:val="32"/>
          <w:szCs w:val="32"/>
          <w:rtl/>
        </w:rPr>
        <w:t>2/1869</w:t>
      </w:r>
      <w:r w:rsidRPr="006C649B">
        <w:rPr>
          <w:rFonts w:ascii="Traditional Arabic" w:hAnsi="Traditional Arabic"/>
          <w:sz w:val="32"/>
          <w:szCs w:val="32"/>
          <w:rtl/>
        </w:rPr>
        <w:t>)</w:t>
      </w:r>
      <w:r w:rsidRPr="006C649B">
        <w:rPr>
          <w:rFonts w:ascii="Traditional Arabic" w:hAnsi="Traditional Arabic" w:hint="cs"/>
          <w:sz w:val="32"/>
          <w:szCs w:val="32"/>
          <w:rtl/>
        </w:rPr>
        <w:t>, و</w:t>
      </w:r>
      <w:r w:rsidRPr="006C649B">
        <w:rPr>
          <w:rFonts w:ascii="Traditional Arabic" w:hAnsi="Traditional Arabic"/>
          <w:sz w:val="32"/>
          <w:szCs w:val="32"/>
          <w:rtl/>
        </w:rPr>
        <w:t>هدية العارفين (1/520)</w:t>
      </w:r>
      <w:r w:rsidRPr="006C649B">
        <w:rPr>
          <w:rFonts w:ascii="Traditional Arabic" w:hAnsi="Traditional Arabic" w:hint="cs"/>
          <w:sz w:val="32"/>
          <w:szCs w:val="32"/>
          <w:rtl/>
        </w:rPr>
        <w:t>.</w:t>
      </w:r>
      <w:r w:rsidRPr="00D673AB">
        <w:rPr>
          <w:rFonts w:ascii="Traditional Arabic" w:hAnsi="Traditional Arabic"/>
          <w:sz w:val="32"/>
          <w:szCs w:val="32"/>
          <w:rtl/>
        </w:rPr>
        <w:t xml:space="preserve"> </w:t>
      </w:r>
    </w:p>
  </w:footnote>
  <w:footnote w:id="95">
    <w:p w:rsidR="003F128F" w:rsidRPr="00D673AB" w:rsidRDefault="003F128F" w:rsidP="00936A7E">
      <w:pPr>
        <w:pStyle w:val="af3"/>
        <w:rPr>
          <w:rFonts w:ascii="Traditional Arabic" w:hAnsi="Traditional Arabic"/>
          <w:sz w:val="32"/>
          <w:szCs w:val="32"/>
        </w:rPr>
      </w:pPr>
      <w:r w:rsidRPr="00D673AB">
        <w:rPr>
          <w:rFonts w:ascii="Traditional Arabic" w:hAnsi="Traditional Arabic"/>
          <w:sz w:val="32"/>
          <w:szCs w:val="32"/>
          <w:rtl/>
        </w:rPr>
        <w:t>(</w:t>
      </w:r>
      <w:r w:rsidRPr="00D673AB">
        <w:rPr>
          <w:rStyle w:val="ae"/>
          <w:rFonts w:ascii="Traditional Arabic" w:hAnsi="Traditional Arabic"/>
          <w:sz w:val="32"/>
          <w:szCs w:val="32"/>
          <w:vertAlign w:val="baseline"/>
        </w:rPr>
        <w:footnoteRef/>
      </w:r>
      <w:r w:rsidRPr="00D673AB">
        <w:rPr>
          <w:rFonts w:ascii="Traditional Arabic" w:hAnsi="Traditional Arabic"/>
          <w:sz w:val="32"/>
          <w:szCs w:val="32"/>
          <w:rtl/>
        </w:rPr>
        <w:t xml:space="preserve">) انظر: مؤلفات ابن الجوزي (ص171). </w:t>
      </w:r>
    </w:p>
  </w:footnote>
  <w:footnote w:id="96">
    <w:p w:rsidR="003F128F" w:rsidRPr="00D673AB" w:rsidRDefault="003F128F" w:rsidP="00BA6224">
      <w:pPr>
        <w:pStyle w:val="af3"/>
        <w:rPr>
          <w:rFonts w:ascii="Traditional Arabic" w:hAnsi="Traditional Arabic"/>
          <w:sz w:val="32"/>
          <w:szCs w:val="32"/>
        </w:rPr>
      </w:pPr>
      <w:r w:rsidRPr="00D673AB">
        <w:rPr>
          <w:rFonts w:ascii="Traditional Arabic" w:hAnsi="Traditional Arabic"/>
          <w:sz w:val="32"/>
          <w:szCs w:val="32"/>
          <w:rtl/>
        </w:rPr>
        <w:t>(</w:t>
      </w:r>
      <w:r w:rsidRPr="00D673AB">
        <w:rPr>
          <w:rStyle w:val="ae"/>
          <w:rFonts w:ascii="Traditional Arabic" w:hAnsi="Traditional Arabic"/>
          <w:sz w:val="32"/>
          <w:szCs w:val="32"/>
          <w:vertAlign w:val="baseline"/>
        </w:rPr>
        <w:footnoteRef/>
      </w:r>
      <w:r w:rsidRPr="00D673AB">
        <w:rPr>
          <w:rFonts w:ascii="Traditional Arabic" w:hAnsi="Traditional Arabic"/>
          <w:sz w:val="32"/>
          <w:szCs w:val="32"/>
          <w:rtl/>
        </w:rPr>
        <w:t>) انظر: ذيل طبقات الحنابلة (1/416)، ومؤلفات ابن الجوزي (ص196)</w:t>
      </w:r>
      <w:r>
        <w:rPr>
          <w:rFonts w:ascii="Traditional Arabic" w:hAnsi="Traditional Arabic" w:hint="cs"/>
          <w:sz w:val="32"/>
          <w:szCs w:val="32"/>
          <w:rtl/>
        </w:rPr>
        <w:t>.</w:t>
      </w:r>
      <w:r w:rsidRPr="00D673AB">
        <w:rPr>
          <w:rFonts w:ascii="Traditional Arabic" w:hAnsi="Traditional Arabic"/>
          <w:sz w:val="32"/>
          <w:szCs w:val="32"/>
          <w:rtl/>
        </w:rPr>
        <w:t xml:space="preserve"> </w:t>
      </w:r>
    </w:p>
  </w:footnote>
  <w:footnote w:id="97">
    <w:p w:rsidR="003F128F" w:rsidRPr="00D673AB" w:rsidRDefault="003F128F" w:rsidP="00936A7E">
      <w:pPr>
        <w:pStyle w:val="af3"/>
        <w:rPr>
          <w:rFonts w:ascii="Traditional Arabic" w:hAnsi="Traditional Arabic"/>
          <w:sz w:val="32"/>
          <w:szCs w:val="32"/>
        </w:rPr>
      </w:pPr>
      <w:r w:rsidRPr="00D673AB">
        <w:rPr>
          <w:rFonts w:ascii="Traditional Arabic" w:hAnsi="Traditional Arabic"/>
          <w:sz w:val="32"/>
          <w:szCs w:val="32"/>
          <w:rtl/>
        </w:rPr>
        <w:t>(</w:t>
      </w:r>
      <w:r w:rsidRPr="00D673AB">
        <w:rPr>
          <w:rStyle w:val="ae"/>
          <w:rFonts w:ascii="Traditional Arabic" w:hAnsi="Traditional Arabic"/>
          <w:sz w:val="32"/>
          <w:szCs w:val="32"/>
          <w:vertAlign w:val="baseline"/>
        </w:rPr>
        <w:footnoteRef/>
      </w:r>
      <w:r w:rsidRPr="00D673AB">
        <w:rPr>
          <w:rFonts w:ascii="Traditional Arabic" w:hAnsi="Traditional Arabic"/>
          <w:sz w:val="32"/>
          <w:szCs w:val="32"/>
          <w:rtl/>
        </w:rPr>
        <w:t>) انظر: مؤلفات ابن الجوزي (ص19</w:t>
      </w:r>
      <w:r>
        <w:rPr>
          <w:rFonts w:ascii="Traditional Arabic" w:hAnsi="Traditional Arabic"/>
          <w:sz w:val="32"/>
          <w:szCs w:val="32"/>
          <w:rtl/>
        </w:rPr>
        <w:t>6), وهو مطبوع بتحقيق الباحث: حم</w:t>
      </w:r>
      <w:r>
        <w:rPr>
          <w:rFonts w:ascii="Traditional Arabic" w:hAnsi="Traditional Arabic" w:hint="cs"/>
          <w:sz w:val="32"/>
          <w:szCs w:val="32"/>
          <w:rtl/>
        </w:rPr>
        <w:t>زة</w:t>
      </w:r>
      <w:r w:rsidRPr="00D673AB">
        <w:rPr>
          <w:rFonts w:ascii="Traditional Arabic" w:hAnsi="Traditional Arabic"/>
          <w:sz w:val="32"/>
          <w:szCs w:val="32"/>
          <w:rtl/>
        </w:rPr>
        <w:t xml:space="preserve"> أشرف علي المليباري، وأصله رسالة ماجستير - الجامعة الإسلامية - الدراسات العليا </w:t>
      </w:r>
      <w:r>
        <w:rPr>
          <w:rFonts w:ascii="Traditional Arabic" w:hAnsi="Traditional Arabic"/>
          <w:sz w:val="32"/>
          <w:szCs w:val="32"/>
          <w:rtl/>
        </w:rPr>
        <w:t>–</w:t>
      </w:r>
      <w:r w:rsidRPr="00D673AB">
        <w:rPr>
          <w:rFonts w:ascii="Traditional Arabic" w:hAnsi="Traditional Arabic"/>
          <w:sz w:val="32"/>
          <w:szCs w:val="32"/>
          <w:rtl/>
        </w:rPr>
        <w:t xml:space="preserve"> </w:t>
      </w:r>
      <w:r>
        <w:rPr>
          <w:rFonts w:ascii="Traditional Arabic" w:hAnsi="Traditional Arabic" w:hint="cs"/>
          <w:sz w:val="32"/>
          <w:szCs w:val="32"/>
          <w:rtl/>
        </w:rPr>
        <w:t xml:space="preserve">قسم </w:t>
      </w:r>
      <w:r>
        <w:rPr>
          <w:rFonts w:ascii="Traditional Arabic" w:hAnsi="Traditional Arabic"/>
          <w:sz w:val="32"/>
          <w:szCs w:val="32"/>
          <w:rtl/>
        </w:rPr>
        <w:t xml:space="preserve">التفسير - 1401هـ، </w:t>
      </w:r>
      <w:r>
        <w:rPr>
          <w:rFonts w:ascii="Traditional Arabic" w:hAnsi="Traditional Arabic" w:hint="cs"/>
          <w:sz w:val="32"/>
          <w:szCs w:val="32"/>
          <w:rtl/>
        </w:rPr>
        <w:t>بعناية</w:t>
      </w:r>
      <w:r w:rsidRPr="00D673AB">
        <w:rPr>
          <w:rFonts w:ascii="Traditional Arabic" w:hAnsi="Traditional Arabic"/>
          <w:sz w:val="32"/>
          <w:szCs w:val="32"/>
          <w:rtl/>
        </w:rPr>
        <w:t xml:space="preserve"> البحث العلمي بالجامعة الإسلامية في جزء واحد.</w:t>
      </w:r>
    </w:p>
  </w:footnote>
  <w:footnote w:id="98">
    <w:p w:rsidR="003F128F" w:rsidRPr="00D673AB" w:rsidRDefault="003F128F" w:rsidP="00323B0D">
      <w:pPr>
        <w:pStyle w:val="af3"/>
        <w:rPr>
          <w:rFonts w:ascii="Traditional Arabic" w:hAnsi="Traditional Arabic"/>
          <w:sz w:val="32"/>
          <w:szCs w:val="32"/>
        </w:rPr>
      </w:pPr>
      <w:r w:rsidRPr="00D673AB">
        <w:rPr>
          <w:rFonts w:ascii="Traditional Arabic" w:hAnsi="Traditional Arabic"/>
          <w:sz w:val="32"/>
          <w:szCs w:val="32"/>
          <w:rtl/>
        </w:rPr>
        <w:t>(</w:t>
      </w:r>
      <w:r w:rsidRPr="00D673AB">
        <w:rPr>
          <w:rStyle w:val="ae"/>
          <w:rFonts w:ascii="Traditional Arabic" w:hAnsi="Traditional Arabic"/>
          <w:sz w:val="32"/>
          <w:szCs w:val="32"/>
          <w:vertAlign w:val="baseline"/>
        </w:rPr>
        <w:footnoteRef/>
      </w:r>
      <w:r w:rsidRPr="00D673AB">
        <w:rPr>
          <w:rFonts w:ascii="Traditional Arabic" w:hAnsi="Traditional Arabic"/>
          <w:sz w:val="32"/>
          <w:szCs w:val="32"/>
          <w:rtl/>
        </w:rPr>
        <w:t>) انظر</w:t>
      </w:r>
      <w:r>
        <w:rPr>
          <w:rFonts w:ascii="Traditional Arabic" w:hAnsi="Traditional Arabic" w:hint="cs"/>
          <w:sz w:val="32"/>
          <w:szCs w:val="32"/>
          <w:rtl/>
        </w:rPr>
        <w:t>:</w:t>
      </w:r>
      <w:r w:rsidRPr="00D673AB">
        <w:rPr>
          <w:rFonts w:ascii="Traditional Arabic" w:hAnsi="Traditional Arabic"/>
          <w:sz w:val="32"/>
          <w:szCs w:val="32"/>
          <w:rtl/>
        </w:rPr>
        <w:t xml:space="preserve"> </w:t>
      </w:r>
      <w:r w:rsidRPr="00D673AB">
        <w:rPr>
          <w:rFonts w:ascii="Traditional Arabic" w:hAnsi="Traditional Arabic"/>
          <w:b/>
          <w:sz w:val="32"/>
          <w:szCs w:val="32"/>
          <w:rtl/>
        </w:rPr>
        <w:t>ذيل طبقات الحنابلة</w:t>
      </w:r>
      <w:r w:rsidRPr="00D673AB">
        <w:rPr>
          <w:rFonts w:ascii="Traditional Arabic" w:hAnsi="Traditional Arabic"/>
          <w:sz w:val="32"/>
          <w:szCs w:val="32"/>
          <w:rtl/>
        </w:rPr>
        <w:t xml:space="preserve"> (1/417)، ومؤلفات ابن الجوزي (ص202).   </w:t>
      </w:r>
    </w:p>
  </w:footnote>
  <w:footnote w:id="99">
    <w:p w:rsidR="003F128F" w:rsidRPr="006D0169" w:rsidRDefault="003F128F" w:rsidP="006D0169">
      <w:pPr>
        <w:pStyle w:val="af3"/>
        <w:rPr>
          <w:rFonts w:ascii="Tahoma" w:hAnsi="Tahoma"/>
        </w:rPr>
      </w:pPr>
      <w:r w:rsidRPr="006D0169">
        <w:rPr>
          <w:rFonts w:ascii="Tahoma" w:hAnsi="Tahoma"/>
          <w:rtl/>
        </w:rPr>
        <w:t>(</w:t>
      </w:r>
      <w:r w:rsidRPr="006D0169">
        <w:rPr>
          <w:rStyle w:val="ae"/>
          <w:rFonts w:ascii="Tahoma" w:hAnsi="Tahoma"/>
          <w:vertAlign w:val="baseline"/>
        </w:rPr>
        <w:footnoteRef/>
      </w:r>
      <w:r w:rsidRPr="006D0169">
        <w:rPr>
          <w:rFonts w:ascii="Tahoma" w:hAnsi="Tahoma"/>
          <w:rtl/>
        </w:rPr>
        <w:t>)</w:t>
      </w:r>
      <w:r>
        <w:rPr>
          <w:rFonts w:ascii="Tahoma" w:hAnsi="Tahoma"/>
          <w:rtl/>
        </w:rPr>
        <w:t xml:space="preserve"> </w:t>
      </w:r>
      <w:r w:rsidRPr="00D673AB">
        <w:rPr>
          <w:rFonts w:ascii="Traditional Arabic" w:hAnsi="Traditional Arabic"/>
          <w:b/>
          <w:sz w:val="32"/>
          <w:szCs w:val="32"/>
          <w:rtl/>
        </w:rPr>
        <w:t>انظر: تاريخ الإسلام للذهبي (24/290), مؤلفات ابن الجوزي (ص</w:t>
      </w:r>
      <w:r>
        <w:rPr>
          <w:rFonts w:ascii="Traditional Arabic" w:hAnsi="Traditional Arabic" w:hint="cs"/>
          <w:b/>
          <w:sz w:val="32"/>
          <w:szCs w:val="32"/>
          <w:rtl/>
        </w:rPr>
        <w:t>92-96</w:t>
      </w:r>
      <w:r w:rsidRPr="00D673AB">
        <w:rPr>
          <w:rFonts w:ascii="Traditional Arabic" w:hAnsi="Traditional Arabic"/>
          <w:b/>
          <w:sz w:val="32"/>
          <w:szCs w:val="32"/>
          <w:rtl/>
        </w:rPr>
        <w:t>).</w:t>
      </w:r>
    </w:p>
  </w:footnote>
  <w:footnote w:id="100">
    <w:p w:rsidR="003F128F" w:rsidRPr="00CA30C8" w:rsidRDefault="003F128F" w:rsidP="00CA30C8">
      <w:pPr>
        <w:pStyle w:val="af3"/>
        <w:rPr>
          <w:rFonts w:ascii="Traditional Arabic" w:hAnsi="Traditional Arabic"/>
          <w:sz w:val="32"/>
          <w:szCs w:val="32"/>
        </w:rPr>
      </w:pPr>
      <w:r w:rsidRPr="00CA30C8">
        <w:rPr>
          <w:rFonts w:ascii="Traditional Arabic" w:hAnsi="Traditional Arabic"/>
          <w:sz w:val="32"/>
          <w:szCs w:val="32"/>
          <w:rtl/>
        </w:rPr>
        <w:t>(</w:t>
      </w:r>
      <w:r w:rsidRPr="00CA30C8">
        <w:rPr>
          <w:rStyle w:val="ae"/>
          <w:rFonts w:ascii="Traditional Arabic" w:hAnsi="Traditional Arabic"/>
          <w:sz w:val="32"/>
          <w:szCs w:val="32"/>
          <w:vertAlign w:val="baseline"/>
        </w:rPr>
        <w:footnoteRef/>
      </w:r>
      <w:r w:rsidRPr="00CA30C8">
        <w:rPr>
          <w:rFonts w:ascii="Traditional Arabic" w:hAnsi="Traditional Arabic"/>
          <w:sz w:val="32"/>
          <w:szCs w:val="32"/>
          <w:rtl/>
        </w:rPr>
        <w:t>) انظر: ذيل طبقات الحنابلة (1/171), مؤلفات ابن الجوزي (</w:t>
      </w:r>
      <w:r>
        <w:rPr>
          <w:rFonts w:ascii="Traditional Arabic" w:hAnsi="Traditional Arabic" w:hint="cs"/>
          <w:sz w:val="32"/>
          <w:szCs w:val="32"/>
          <w:rtl/>
        </w:rPr>
        <w:t>ص</w:t>
      </w:r>
      <w:r w:rsidRPr="00CA30C8">
        <w:rPr>
          <w:rFonts w:ascii="Traditional Arabic" w:hAnsi="Traditional Arabic"/>
          <w:sz w:val="32"/>
          <w:szCs w:val="32"/>
          <w:rtl/>
        </w:rPr>
        <w:t xml:space="preserve">120). </w:t>
      </w:r>
    </w:p>
  </w:footnote>
  <w:footnote w:id="101">
    <w:p w:rsidR="003F128F" w:rsidRPr="00D673AB" w:rsidRDefault="003F128F" w:rsidP="00B659F5">
      <w:pPr>
        <w:pStyle w:val="af3"/>
        <w:rPr>
          <w:rFonts w:ascii="Traditional Arabic" w:hAnsi="Traditional Arabic"/>
          <w:sz w:val="32"/>
          <w:szCs w:val="32"/>
        </w:rPr>
      </w:pPr>
      <w:r w:rsidRPr="00D673AB">
        <w:rPr>
          <w:rFonts w:ascii="Traditional Arabic" w:hAnsi="Traditional Arabic"/>
          <w:sz w:val="32"/>
          <w:szCs w:val="32"/>
          <w:rtl/>
        </w:rPr>
        <w:t>(</w:t>
      </w:r>
      <w:r w:rsidRPr="00D673AB">
        <w:rPr>
          <w:rStyle w:val="ae"/>
          <w:rFonts w:ascii="Traditional Arabic" w:hAnsi="Traditional Arabic"/>
          <w:sz w:val="32"/>
          <w:szCs w:val="32"/>
          <w:vertAlign w:val="baseline"/>
        </w:rPr>
        <w:footnoteRef/>
      </w:r>
      <w:r w:rsidRPr="00D673AB">
        <w:rPr>
          <w:rFonts w:ascii="Traditional Arabic" w:hAnsi="Traditional Arabic"/>
          <w:sz w:val="32"/>
          <w:szCs w:val="32"/>
          <w:rtl/>
        </w:rPr>
        <w:t xml:space="preserve">) انظر: ذيل طبقات الحنابلة (1/171), مؤلفات ابن الجوزي (ص154).  </w:t>
      </w:r>
    </w:p>
  </w:footnote>
  <w:footnote w:id="102">
    <w:p w:rsidR="003F128F" w:rsidRPr="00B659F5" w:rsidRDefault="003F128F" w:rsidP="00B659F5">
      <w:pPr>
        <w:pStyle w:val="af3"/>
        <w:rPr>
          <w:rFonts w:ascii="Traditional Arabic" w:hAnsi="Traditional Arabic"/>
          <w:sz w:val="32"/>
          <w:szCs w:val="32"/>
        </w:rPr>
      </w:pPr>
      <w:r w:rsidRPr="00B659F5">
        <w:rPr>
          <w:rFonts w:ascii="Traditional Arabic" w:hAnsi="Traditional Arabic"/>
          <w:sz w:val="32"/>
          <w:szCs w:val="32"/>
          <w:rtl/>
        </w:rPr>
        <w:t>(</w:t>
      </w:r>
      <w:r w:rsidRPr="00B659F5">
        <w:rPr>
          <w:rStyle w:val="ae"/>
          <w:rFonts w:ascii="Traditional Arabic" w:hAnsi="Traditional Arabic"/>
          <w:sz w:val="32"/>
          <w:szCs w:val="32"/>
          <w:vertAlign w:val="baseline"/>
        </w:rPr>
        <w:footnoteRef/>
      </w:r>
      <w:r w:rsidRPr="00B659F5">
        <w:rPr>
          <w:rFonts w:ascii="Traditional Arabic" w:hAnsi="Traditional Arabic"/>
          <w:sz w:val="32"/>
          <w:szCs w:val="32"/>
          <w:rtl/>
        </w:rPr>
        <w:t>) انظر: تاريخ الإسلام للذهبي (22/290), مؤلفات ابن الجوزي (</w:t>
      </w:r>
      <w:r>
        <w:rPr>
          <w:rFonts w:ascii="Traditional Arabic" w:hAnsi="Traditional Arabic" w:hint="cs"/>
          <w:sz w:val="32"/>
          <w:szCs w:val="32"/>
          <w:rtl/>
        </w:rPr>
        <w:t>ص</w:t>
      </w:r>
      <w:r w:rsidRPr="00B659F5">
        <w:rPr>
          <w:rFonts w:ascii="Traditional Arabic" w:hAnsi="Traditional Arabic"/>
          <w:sz w:val="32"/>
          <w:szCs w:val="32"/>
          <w:rtl/>
        </w:rPr>
        <w:t xml:space="preserve">159). </w:t>
      </w:r>
    </w:p>
  </w:footnote>
  <w:footnote w:id="103">
    <w:p w:rsidR="003F128F" w:rsidRPr="00D673AB" w:rsidRDefault="003F128F" w:rsidP="00633EE3">
      <w:pPr>
        <w:pStyle w:val="af3"/>
        <w:rPr>
          <w:rFonts w:ascii="Traditional Arabic" w:hAnsi="Traditional Arabic"/>
          <w:sz w:val="32"/>
          <w:szCs w:val="32"/>
        </w:rPr>
      </w:pPr>
      <w:r w:rsidRPr="00D673AB">
        <w:rPr>
          <w:rFonts w:ascii="Traditional Arabic" w:hAnsi="Traditional Arabic"/>
          <w:sz w:val="32"/>
          <w:szCs w:val="32"/>
          <w:rtl/>
        </w:rPr>
        <w:t>(</w:t>
      </w:r>
      <w:r w:rsidRPr="00D673AB">
        <w:rPr>
          <w:rStyle w:val="ae"/>
          <w:rFonts w:ascii="Traditional Arabic" w:hAnsi="Traditional Arabic"/>
          <w:sz w:val="32"/>
          <w:szCs w:val="32"/>
          <w:vertAlign w:val="baseline"/>
        </w:rPr>
        <w:footnoteRef/>
      </w:r>
      <w:r w:rsidRPr="00D673AB">
        <w:rPr>
          <w:rFonts w:ascii="Traditional Arabic" w:hAnsi="Traditional Arabic"/>
          <w:sz w:val="32"/>
          <w:szCs w:val="32"/>
          <w:rtl/>
        </w:rPr>
        <w:t xml:space="preserve">) </w:t>
      </w:r>
      <w:r w:rsidRPr="00D673AB">
        <w:rPr>
          <w:rFonts w:ascii="Traditional Arabic" w:hAnsi="Traditional Arabic"/>
          <w:b/>
          <w:sz w:val="32"/>
          <w:szCs w:val="32"/>
          <w:rtl/>
        </w:rPr>
        <w:t>انظر: ذيل طبقات الحنابلة (1/171), مؤلفات ابن الجوزي (ص211).</w:t>
      </w:r>
    </w:p>
  </w:footnote>
  <w:footnote w:id="104">
    <w:p w:rsidR="003F128F" w:rsidRPr="00D673AB" w:rsidRDefault="003F128F" w:rsidP="00F61898">
      <w:pPr>
        <w:pStyle w:val="af3"/>
        <w:rPr>
          <w:rFonts w:ascii="Traditional Arabic" w:hAnsi="Traditional Arabic"/>
          <w:sz w:val="32"/>
          <w:szCs w:val="32"/>
        </w:rPr>
      </w:pPr>
      <w:r w:rsidRPr="00D673AB">
        <w:rPr>
          <w:rFonts w:ascii="Traditional Arabic" w:hAnsi="Traditional Arabic"/>
          <w:sz w:val="32"/>
          <w:szCs w:val="32"/>
          <w:rtl/>
        </w:rPr>
        <w:t>(</w:t>
      </w:r>
      <w:r w:rsidRPr="00D673AB">
        <w:rPr>
          <w:rStyle w:val="ae"/>
          <w:rFonts w:ascii="Traditional Arabic" w:hAnsi="Traditional Arabic"/>
          <w:sz w:val="32"/>
          <w:szCs w:val="32"/>
          <w:vertAlign w:val="baseline"/>
        </w:rPr>
        <w:footnoteRef/>
      </w:r>
      <w:r w:rsidRPr="00D673AB">
        <w:rPr>
          <w:rFonts w:ascii="Traditional Arabic" w:hAnsi="Traditional Arabic"/>
          <w:sz w:val="32"/>
          <w:szCs w:val="32"/>
          <w:rtl/>
        </w:rPr>
        <w:t xml:space="preserve">) انظر: ذيل طبقات الحنابلة (1/171), مؤلفات ابن الجوزي (214). </w:t>
      </w:r>
    </w:p>
  </w:footnote>
  <w:footnote w:id="105">
    <w:p w:rsidR="003F128F" w:rsidRPr="009805C0" w:rsidRDefault="003F128F" w:rsidP="009805C0">
      <w:pPr>
        <w:pStyle w:val="af3"/>
        <w:rPr>
          <w:rFonts w:ascii="Traditional Arabic" w:hAnsi="Traditional Arabic"/>
          <w:sz w:val="32"/>
          <w:szCs w:val="32"/>
        </w:rPr>
      </w:pPr>
      <w:r w:rsidRPr="00D673AB">
        <w:rPr>
          <w:rFonts w:ascii="Traditional Arabic" w:hAnsi="Traditional Arabic"/>
          <w:sz w:val="32"/>
          <w:szCs w:val="32"/>
          <w:rtl/>
        </w:rPr>
        <w:t>(</w:t>
      </w:r>
      <w:r w:rsidRPr="00D673AB">
        <w:rPr>
          <w:rStyle w:val="ae"/>
          <w:rFonts w:ascii="Traditional Arabic" w:hAnsi="Traditional Arabic"/>
          <w:sz w:val="32"/>
          <w:szCs w:val="32"/>
          <w:vertAlign w:val="baseline"/>
        </w:rPr>
        <w:footnoteRef/>
      </w:r>
      <w:r w:rsidRPr="00D673AB">
        <w:rPr>
          <w:rFonts w:ascii="Traditional Arabic" w:hAnsi="Traditional Arabic"/>
          <w:sz w:val="32"/>
          <w:szCs w:val="32"/>
          <w:rtl/>
        </w:rPr>
        <w:t>) طبعته دار هجر بتحقيق د. عبد الله بن عبد المحسن التركي, الطبعة الثانية، (1409ه).ـ</w:t>
      </w:r>
    </w:p>
  </w:footnote>
  <w:footnote w:id="106">
    <w:p w:rsidR="003F128F" w:rsidRPr="00D673AB" w:rsidRDefault="003F128F" w:rsidP="00D673AB">
      <w:pPr>
        <w:pStyle w:val="af3"/>
        <w:rPr>
          <w:rFonts w:ascii="Tahoma" w:hAnsi="Tahoma"/>
          <w:rtl/>
        </w:rPr>
      </w:pPr>
      <w:r w:rsidRPr="00D673AB">
        <w:rPr>
          <w:rFonts w:ascii="Traditional Arabic" w:hAnsi="Traditional Arabic"/>
          <w:sz w:val="32"/>
          <w:szCs w:val="32"/>
          <w:rtl/>
        </w:rPr>
        <w:t>(</w:t>
      </w:r>
      <w:r w:rsidRPr="00D673AB">
        <w:rPr>
          <w:rStyle w:val="ae"/>
          <w:rFonts w:ascii="Traditional Arabic" w:hAnsi="Traditional Arabic"/>
          <w:sz w:val="32"/>
          <w:szCs w:val="32"/>
          <w:vertAlign w:val="baseline"/>
        </w:rPr>
        <w:footnoteRef/>
      </w:r>
      <w:r w:rsidRPr="00D673AB">
        <w:rPr>
          <w:rFonts w:ascii="Traditional Arabic" w:hAnsi="Traditional Arabic"/>
          <w:sz w:val="32"/>
          <w:szCs w:val="32"/>
          <w:rtl/>
        </w:rPr>
        <w:t xml:space="preserve">) هذه المؤلفات وغيرها ذكرها ابن رجب في ذيل طبقات الحنابلة (2/461-496), والذهبي في </w:t>
      </w:r>
      <w:r w:rsidRPr="00D673AB">
        <w:rPr>
          <w:rFonts w:ascii="Traditional Arabic" w:hAnsi="Traditional Arabic"/>
          <w:b/>
          <w:sz w:val="32"/>
          <w:szCs w:val="32"/>
          <w:rtl/>
        </w:rPr>
        <w:t>تذكرة الحفاظ (4/93)،</w:t>
      </w:r>
      <w:r w:rsidRPr="00D673AB">
        <w:rPr>
          <w:rFonts w:ascii="Traditional Arabic" w:hAnsi="Traditional Arabic"/>
          <w:sz w:val="32"/>
          <w:szCs w:val="32"/>
          <w:rtl/>
        </w:rPr>
        <w:t xml:space="preserve"> والعلوجي في مؤلفات ابن الجوزي (ص17-32).</w:t>
      </w:r>
    </w:p>
  </w:footnote>
  <w:footnote w:id="107">
    <w:p w:rsidR="003F128F" w:rsidRPr="00BA6224" w:rsidRDefault="003F128F" w:rsidP="00BA6224">
      <w:pPr>
        <w:pStyle w:val="af3"/>
        <w:rPr>
          <w:rFonts w:ascii="Traditional Arabic" w:hAnsi="Traditional Arabic"/>
          <w:sz w:val="32"/>
          <w:szCs w:val="32"/>
        </w:rPr>
      </w:pPr>
      <w:r w:rsidRPr="00BA6224">
        <w:rPr>
          <w:rFonts w:ascii="Traditional Arabic" w:hAnsi="Traditional Arabic"/>
          <w:sz w:val="32"/>
          <w:szCs w:val="32"/>
          <w:rtl/>
        </w:rPr>
        <w:t>(</w:t>
      </w:r>
      <w:r w:rsidRPr="00BA6224">
        <w:rPr>
          <w:rStyle w:val="ae"/>
          <w:rFonts w:ascii="Traditional Arabic" w:hAnsi="Traditional Arabic"/>
          <w:sz w:val="32"/>
          <w:szCs w:val="32"/>
          <w:vertAlign w:val="baseline"/>
        </w:rPr>
        <w:footnoteRef/>
      </w:r>
      <w:r w:rsidRPr="00BA6224">
        <w:rPr>
          <w:rFonts w:ascii="Traditional Arabic" w:hAnsi="Traditional Arabic"/>
          <w:sz w:val="32"/>
          <w:szCs w:val="32"/>
          <w:rtl/>
        </w:rPr>
        <w:t xml:space="preserve">) زاد المسير (1/3) طبعة المكتب الإسلامي, ط:4, (1407ه-1987م). </w:t>
      </w:r>
    </w:p>
  </w:footnote>
  <w:footnote w:id="108">
    <w:p w:rsidR="003F128F" w:rsidRPr="00BA6224" w:rsidRDefault="003F128F" w:rsidP="00BA6224">
      <w:pPr>
        <w:pStyle w:val="af3"/>
        <w:rPr>
          <w:rFonts w:ascii="Traditional Arabic" w:hAnsi="Traditional Arabic"/>
          <w:sz w:val="32"/>
          <w:szCs w:val="32"/>
        </w:rPr>
      </w:pPr>
      <w:r w:rsidRPr="00BA6224">
        <w:rPr>
          <w:rFonts w:ascii="Traditional Arabic" w:hAnsi="Traditional Arabic"/>
          <w:sz w:val="32"/>
          <w:szCs w:val="32"/>
          <w:rtl/>
        </w:rPr>
        <w:t>(</w:t>
      </w:r>
      <w:r w:rsidRPr="00BA6224">
        <w:rPr>
          <w:rStyle w:val="ae"/>
          <w:rFonts w:ascii="Traditional Arabic" w:hAnsi="Traditional Arabic"/>
          <w:sz w:val="32"/>
          <w:szCs w:val="32"/>
          <w:vertAlign w:val="baseline"/>
        </w:rPr>
        <w:footnoteRef/>
      </w:r>
      <w:r w:rsidRPr="00BA6224">
        <w:rPr>
          <w:rFonts w:ascii="Traditional Arabic" w:hAnsi="Traditional Arabic"/>
          <w:sz w:val="32"/>
          <w:szCs w:val="32"/>
          <w:rtl/>
        </w:rPr>
        <w:t xml:space="preserve">) المصدر السابق (9/380). </w:t>
      </w:r>
    </w:p>
  </w:footnote>
  <w:footnote w:id="109">
    <w:p w:rsidR="003F128F" w:rsidRPr="00BA6224" w:rsidRDefault="003F128F" w:rsidP="00BA6224">
      <w:pPr>
        <w:pStyle w:val="af3"/>
        <w:rPr>
          <w:rFonts w:ascii="Traditional Arabic" w:hAnsi="Traditional Arabic"/>
          <w:sz w:val="32"/>
          <w:szCs w:val="32"/>
        </w:rPr>
      </w:pPr>
      <w:r w:rsidRPr="00BA6224">
        <w:rPr>
          <w:rFonts w:ascii="Traditional Arabic" w:hAnsi="Traditional Arabic"/>
          <w:sz w:val="32"/>
          <w:szCs w:val="32"/>
          <w:rtl/>
        </w:rPr>
        <w:t>(</w:t>
      </w:r>
      <w:r w:rsidRPr="00BA6224">
        <w:rPr>
          <w:rStyle w:val="ae"/>
          <w:rFonts w:ascii="Traditional Arabic" w:hAnsi="Traditional Arabic"/>
          <w:sz w:val="32"/>
          <w:szCs w:val="32"/>
          <w:vertAlign w:val="baseline"/>
        </w:rPr>
        <w:footnoteRef/>
      </w:r>
      <w:r w:rsidRPr="00BA6224">
        <w:rPr>
          <w:rFonts w:ascii="Traditional Arabic" w:hAnsi="Traditional Arabic"/>
          <w:sz w:val="32"/>
          <w:szCs w:val="32"/>
          <w:rtl/>
        </w:rPr>
        <w:t xml:space="preserve">) انظر: وفيات الأعيان (3/140).  </w:t>
      </w:r>
    </w:p>
  </w:footnote>
  <w:footnote w:id="110">
    <w:p w:rsidR="003F128F" w:rsidRPr="00BA6224" w:rsidRDefault="003F128F" w:rsidP="00BA6224">
      <w:pPr>
        <w:pStyle w:val="af3"/>
        <w:rPr>
          <w:rFonts w:ascii="Traditional Arabic" w:hAnsi="Traditional Arabic"/>
          <w:sz w:val="32"/>
          <w:szCs w:val="32"/>
        </w:rPr>
      </w:pPr>
      <w:r w:rsidRPr="00BA6224">
        <w:rPr>
          <w:rFonts w:ascii="Traditional Arabic" w:hAnsi="Traditional Arabic"/>
          <w:sz w:val="32"/>
          <w:szCs w:val="32"/>
          <w:rtl/>
        </w:rPr>
        <w:t>(</w:t>
      </w:r>
      <w:r w:rsidRPr="00BA6224">
        <w:rPr>
          <w:rStyle w:val="ae"/>
          <w:rFonts w:ascii="Traditional Arabic" w:hAnsi="Traditional Arabic"/>
          <w:sz w:val="32"/>
          <w:szCs w:val="32"/>
          <w:vertAlign w:val="baseline"/>
        </w:rPr>
        <w:footnoteRef/>
      </w:r>
      <w:r w:rsidRPr="00BA6224">
        <w:rPr>
          <w:rFonts w:ascii="Traditional Arabic" w:hAnsi="Traditional Arabic"/>
          <w:sz w:val="32"/>
          <w:szCs w:val="32"/>
          <w:rtl/>
        </w:rPr>
        <w:t xml:space="preserve">) انظر: تذكرة الحفاظ (4/92).  </w:t>
      </w:r>
    </w:p>
  </w:footnote>
  <w:footnote w:id="111">
    <w:p w:rsidR="003F128F" w:rsidRPr="00BA6224" w:rsidRDefault="003F128F" w:rsidP="00BA6224">
      <w:pPr>
        <w:pStyle w:val="af3"/>
        <w:rPr>
          <w:rFonts w:ascii="Traditional Arabic" w:hAnsi="Traditional Arabic"/>
          <w:sz w:val="32"/>
          <w:szCs w:val="32"/>
        </w:rPr>
      </w:pPr>
      <w:r w:rsidRPr="00BA6224">
        <w:rPr>
          <w:rFonts w:ascii="Traditional Arabic" w:hAnsi="Traditional Arabic"/>
          <w:sz w:val="32"/>
          <w:szCs w:val="32"/>
          <w:rtl/>
        </w:rPr>
        <w:t>(</w:t>
      </w:r>
      <w:r w:rsidRPr="00BA6224">
        <w:rPr>
          <w:rStyle w:val="ae"/>
          <w:rFonts w:ascii="Traditional Arabic" w:hAnsi="Traditional Arabic"/>
          <w:sz w:val="32"/>
          <w:szCs w:val="32"/>
          <w:vertAlign w:val="baseline"/>
        </w:rPr>
        <w:footnoteRef/>
      </w:r>
      <w:r w:rsidRPr="00BA6224">
        <w:rPr>
          <w:rFonts w:ascii="Traditional Arabic" w:hAnsi="Traditional Arabic"/>
          <w:sz w:val="32"/>
          <w:szCs w:val="32"/>
          <w:rtl/>
        </w:rPr>
        <w:t xml:space="preserve">) انظر: الوافي بالوفيات (8/111).  </w:t>
      </w:r>
    </w:p>
  </w:footnote>
  <w:footnote w:id="112">
    <w:p w:rsidR="003F128F" w:rsidRPr="00BA6224" w:rsidRDefault="003F128F" w:rsidP="00BA6224">
      <w:pPr>
        <w:pStyle w:val="af3"/>
        <w:rPr>
          <w:rFonts w:ascii="Traditional Arabic" w:hAnsi="Traditional Arabic"/>
          <w:sz w:val="32"/>
          <w:szCs w:val="32"/>
        </w:rPr>
      </w:pPr>
      <w:r w:rsidRPr="00BA6224">
        <w:rPr>
          <w:rFonts w:ascii="Traditional Arabic" w:hAnsi="Traditional Arabic"/>
          <w:sz w:val="32"/>
          <w:szCs w:val="32"/>
          <w:rtl/>
        </w:rPr>
        <w:t>(</w:t>
      </w:r>
      <w:r w:rsidRPr="00BA6224">
        <w:rPr>
          <w:rStyle w:val="ae"/>
          <w:rFonts w:ascii="Traditional Arabic" w:hAnsi="Traditional Arabic"/>
          <w:sz w:val="32"/>
          <w:szCs w:val="32"/>
          <w:vertAlign w:val="baseline"/>
        </w:rPr>
        <w:footnoteRef/>
      </w:r>
      <w:r w:rsidRPr="00BA6224">
        <w:rPr>
          <w:rFonts w:ascii="Traditional Arabic" w:hAnsi="Traditional Arabic"/>
          <w:sz w:val="32"/>
          <w:szCs w:val="32"/>
          <w:rtl/>
        </w:rPr>
        <w:t xml:space="preserve">) انظر: </w:t>
      </w:r>
      <w:r>
        <w:rPr>
          <w:rFonts w:ascii="Traditional Arabic" w:hAnsi="Traditional Arabic" w:hint="cs"/>
          <w:sz w:val="32"/>
          <w:szCs w:val="32"/>
          <w:rtl/>
        </w:rPr>
        <w:t xml:space="preserve">ذيل </w:t>
      </w:r>
      <w:r w:rsidRPr="00BA6224">
        <w:rPr>
          <w:rFonts w:ascii="Traditional Arabic" w:hAnsi="Traditional Arabic"/>
          <w:sz w:val="32"/>
          <w:szCs w:val="32"/>
          <w:rtl/>
        </w:rPr>
        <w:t xml:space="preserve">طبقات الحنابلة (2/490). </w:t>
      </w:r>
    </w:p>
  </w:footnote>
  <w:footnote w:id="113">
    <w:p w:rsidR="003F128F" w:rsidRPr="00BA6224" w:rsidRDefault="003F128F" w:rsidP="00BA6224">
      <w:pPr>
        <w:pStyle w:val="af3"/>
        <w:rPr>
          <w:rFonts w:ascii="Traditional Arabic" w:hAnsi="Traditional Arabic"/>
          <w:sz w:val="32"/>
          <w:szCs w:val="32"/>
        </w:rPr>
      </w:pPr>
      <w:r w:rsidRPr="00BA6224">
        <w:rPr>
          <w:rFonts w:ascii="Traditional Arabic" w:hAnsi="Traditional Arabic"/>
          <w:sz w:val="32"/>
          <w:szCs w:val="32"/>
          <w:rtl/>
        </w:rPr>
        <w:t>(</w:t>
      </w:r>
      <w:r w:rsidRPr="00BA6224">
        <w:rPr>
          <w:rStyle w:val="ae"/>
          <w:rFonts w:ascii="Traditional Arabic" w:hAnsi="Traditional Arabic"/>
          <w:sz w:val="32"/>
          <w:szCs w:val="32"/>
          <w:vertAlign w:val="baseline"/>
        </w:rPr>
        <w:footnoteRef/>
      </w:r>
      <w:r w:rsidRPr="00BA6224">
        <w:rPr>
          <w:rFonts w:ascii="Traditional Arabic" w:hAnsi="Traditional Arabic"/>
          <w:sz w:val="32"/>
          <w:szCs w:val="32"/>
          <w:rtl/>
        </w:rPr>
        <w:t>) انظر: طبقات المفسرين للداوودي (1/277).</w:t>
      </w:r>
    </w:p>
  </w:footnote>
  <w:footnote w:id="114">
    <w:p w:rsidR="003F128F" w:rsidRPr="00BA6224" w:rsidRDefault="003F128F" w:rsidP="00BD5ED5">
      <w:pPr>
        <w:pStyle w:val="af3"/>
        <w:rPr>
          <w:rFonts w:ascii="Traditional Arabic" w:hAnsi="Traditional Arabic"/>
          <w:sz w:val="32"/>
          <w:szCs w:val="32"/>
        </w:rPr>
      </w:pPr>
      <w:r w:rsidRPr="00BA6224">
        <w:rPr>
          <w:rFonts w:ascii="Traditional Arabic" w:hAnsi="Traditional Arabic"/>
          <w:sz w:val="32"/>
          <w:szCs w:val="32"/>
          <w:rtl/>
        </w:rPr>
        <w:t>(</w:t>
      </w:r>
      <w:r w:rsidRPr="00BA6224">
        <w:rPr>
          <w:rStyle w:val="ae"/>
          <w:rFonts w:ascii="Traditional Arabic" w:hAnsi="Traditional Arabic"/>
          <w:sz w:val="32"/>
          <w:szCs w:val="32"/>
          <w:vertAlign w:val="baseline"/>
        </w:rPr>
        <w:footnoteRef/>
      </w:r>
      <w:r w:rsidRPr="00BA6224">
        <w:rPr>
          <w:rFonts w:ascii="Traditional Arabic" w:hAnsi="Traditional Arabic"/>
          <w:sz w:val="32"/>
          <w:szCs w:val="32"/>
          <w:rtl/>
        </w:rPr>
        <w:t xml:space="preserve">) انظر: طبقات المفسرين </w:t>
      </w:r>
      <w:r>
        <w:rPr>
          <w:rFonts w:ascii="Traditional Arabic" w:hAnsi="Traditional Arabic" w:hint="cs"/>
          <w:sz w:val="32"/>
          <w:szCs w:val="32"/>
          <w:rtl/>
        </w:rPr>
        <w:t xml:space="preserve">للأدرني </w:t>
      </w:r>
      <w:r w:rsidRPr="00BA6224">
        <w:rPr>
          <w:rFonts w:ascii="Traditional Arabic" w:hAnsi="Traditional Arabic"/>
          <w:sz w:val="32"/>
          <w:szCs w:val="32"/>
          <w:rtl/>
        </w:rPr>
        <w:t>(</w:t>
      </w:r>
      <w:r>
        <w:rPr>
          <w:rFonts w:ascii="Traditional Arabic" w:hAnsi="Traditional Arabic" w:hint="cs"/>
          <w:sz w:val="32"/>
          <w:szCs w:val="32"/>
          <w:rtl/>
        </w:rPr>
        <w:t>ص</w:t>
      </w:r>
      <w:r w:rsidRPr="00BA6224">
        <w:rPr>
          <w:rFonts w:ascii="Traditional Arabic" w:hAnsi="Traditional Arabic"/>
          <w:sz w:val="32"/>
          <w:szCs w:val="32"/>
          <w:rtl/>
        </w:rPr>
        <w:t xml:space="preserve">208)  </w:t>
      </w:r>
    </w:p>
  </w:footnote>
  <w:footnote w:id="115">
    <w:p w:rsidR="003F128F" w:rsidRPr="00BA6224" w:rsidRDefault="003F128F" w:rsidP="00BA6224">
      <w:pPr>
        <w:pStyle w:val="af3"/>
        <w:rPr>
          <w:rFonts w:ascii="Traditional Arabic" w:hAnsi="Traditional Arabic"/>
          <w:sz w:val="32"/>
          <w:szCs w:val="32"/>
        </w:rPr>
      </w:pPr>
      <w:r w:rsidRPr="00BA6224">
        <w:rPr>
          <w:rFonts w:ascii="Traditional Arabic" w:hAnsi="Traditional Arabic"/>
          <w:sz w:val="32"/>
          <w:szCs w:val="32"/>
          <w:rtl/>
        </w:rPr>
        <w:t>(</w:t>
      </w:r>
      <w:r w:rsidRPr="00BA6224">
        <w:rPr>
          <w:rStyle w:val="ae"/>
          <w:rFonts w:ascii="Traditional Arabic" w:hAnsi="Traditional Arabic"/>
          <w:sz w:val="32"/>
          <w:szCs w:val="32"/>
          <w:vertAlign w:val="baseline"/>
        </w:rPr>
        <w:footnoteRef/>
      </w:r>
      <w:r w:rsidRPr="00BA6224">
        <w:rPr>
          <w:rFonts w:ascii="Traditional Arabic" w:hAnsi="Traditional Arabic"/>
          <w:sz w:val="32"/>
          <w:szCs w:val="32"/>
          <w:rtl/>
        </w:rPr>
        <w:t>) انظر: جامع الأحكام</w:t>
      </w:r>
      <w:r>
        <w:rPr>
          <w:rFonts w:ascii="Traditional Arabic" w:hAnsi="Traditional Arabic" w:hint="cs"/>
          <w:sz w:val="32"/>
          <w:szCs w:val="32"/>
          <w:rtl/>
        </w:rPr>
        <w:t xml:space="preserve"> للقرطبي</w:t>
      </w:r>
      <w:r w:rsidRPr="00BA6224">
        <w:rPr>
          <w:rFonts w:ascii="Traditional Arabic" w:hAnsi="Traditional Arabic"/>
          <w:sz w:val="32"/>
          <w:szCs w:val="32"/>
          <w:rtl/>
        </w:rPr>
        <w:t xml:space="preserve"> (2/100).   </w:t>
      </w:r>
    </w:p>
  </w:footnote>
  <w:footnote w:id="116">
    <w:p w:rsidR="003F128F" w:rsidRPr="00BA6224" w:rsidRDefault="003F128F" w:rsidP="00BA6224">
      <w:pPr>
        <w:pStyle w:val="af3"/>
        <w:rPr>
          <w:rFonts w:ascii="Tahoma" w:hAnsi="Tahoma"/>
        </w:rPr>
      </w:pPr>
      <w:r w:rsidRPr="00BA6224">
        <w:rPr>
          <w:rFonts w:ascii="Traditional Arabic" w:hAnsi="Traditional Arabic"/>
          <w:sz w:val="32"/>
          <w:szCs w:val="32"/>
          <w:rtl/>
        </w:rPr>
        <w:t>(</w:t>
      </w:r>
      <w:r w:rsidRPr="00BA6224">
        <w:rPr>
          <w:rStyle w:val="ae"/>
          <w:rFonts w:ascii="Traditional Arabic" w:hAnsi="Traditional Arabic"/>
          <w:sz w:val="32"/>
          <w:szCs w:val="32"/>
          <w:vertAlign w:val="baseline"/>
        </w:rPr>
        <w:footnoteRef/>
      </w:r>
      <w:r w:rsidRPr="00BA6224">
        <w:rPr>
          <w:rFonts w:ascii="Traditional Arabic" w:hAnsi="Traditional Arabic"/>
          <w:sz w:val="32"/>
          <w:szCs w:val="32"/>
          <w:rtl/>
        </w:rPr>
        <w:t>) انظر: تفسير الخازن (1/391).</w:t>
      </w:r>
      <w:r>
        <w:rPr>
          <w:rFonts w:ascii="Tahoma" w:hAnsi="Tahoma"/>
          <w:rtl/>
        </w:rPr>
        <w:t xml:space="preserve"> </w:t>
      </w:r>
    </w:p>
  </w:footnote>
  <w:footnote w:id="117">
    <w:p w:rsidR="003F128F" w:rsidRPr="004B7211" w:rsidRDefault="003F128F" w:rsidP="00BA6224">
      <w:pPr>
        <w:pStyle w:val="af3"/>
        <w:rPr>
          <w:rFonts w:ascii="Traditional Arabic" w:hAnsi="Traditional Arabic"/>
          <w:sz w:val="32"/>
          <w:szCs w:val="32"/>
        </w:rPr>
      </w:pPr>
      <w:r w:rsidRPr="004B7211">
        <w:rPr>
          <w:rFonts w:ascii="Traditional Arabic" w:hAnsi="Traditional Arabic"/>
          <w:sz w:val="32"/>
          <w:szCs w:val="32"/>
          <w:rtl/>
        </w:rPr>
        <w:t>(</w:t>
      </w:r>
      <w:r w:rsidRPr="004B7211">
        <w:rPr>
          <w:rStyle w:val="ae"/>
          <w:rFonts w:ascii="Traditional Arabic" w:hAnsi="Traditional Arabic"/>
          <w:sz w:val="32"/>
          <w:szCs w:val="32"/>
          <w:vertAlign w:val="baseline"/>
        </w:rPr>
        <w:footnoteRef/>
      </w:r>
      <w:r w:rsidRPr="004B7211">
        <w:rPr>
          <w:rFonts w:ascii="Traditional Arabic" w:hAnsi="Traditional Arabic"/>
          <w:sz w:val="32"/>
          <w:szCs w:val="32"/>
          <w:rtl/>
        </w:rPr>
        <w:t xml:space="preserve">) انظر: البحر المحيط (1/496).  </w:t>
      </w:r>
    </w:p>
  </w:footnote>
  <w:footnote w:id="118">
    <w:p w:rsidR="003F128F" w:rsidRPr="004B7211" w:rsidRDefault="003F128F" w:rsidP="004B7211">
      <w:pPr>
        <w:pStyle w:val="af3"/>
        <w:rPr>
          <w:rFonts w:ascii="Tahoma" w:hAnsi="Tahoma"/>
        </w:rPr>
      </w:pPr>
      <w:r w:rsidRPr="004B7211">
        <w:rPr>
          <w:rFonts w:ascii="Traditional Arabic" w:hAnsi="Traditional Arabic"/>
          <w:sz w:val="32"/>
          <w:szCs w:val="32"/>
          <w:rtl/>
        </w:rPr>
        <w:t>(</w:t>
      </w:r>
      <w:r w:rsidRPr="004B7211">
        <w:rPr>
          <w:rStyle w:val="ae"/>
          <w:rFonts w:ascii="Traditional Arabic" w:hAnsi="Traditional Arabic"/>
          <w:sz w:val="32"/>
          <w:szCs w:val="32"/>
          <w:vertAlign w:val="baseline"/>
        </w:rPr>
        <w:footnoteRef/>
      </w:r>
      <w:r w:rsidRPr="004B7211">
        <w:rPr>
          <w:rFonts w:ascii="Traditional Arabic" w:hAnsi="Traditional Arabic"/>
          <w:sz w:val="32"/>
          <w:szCs w:val="32"/>
          <w:rtl/>
        </w:rPr>
        <w:t>) انظر: تفسير آيات أشكلت على كثير من العلماء (1/163).</w:t>
      </w:r>
      <w:r>
        <w:rPr>
          <w:rFonts w:ascii="Tahoma" w:hAnsi="Tahoma"/>
          <w:rtl/>
        </w:rPr>
        <w:t xml:space="preserve"> </w:t>
      </w:r>
    </w:p>
  </w:footnote>
  <w:footnote w:id="119">
    <w:p w:rsidR="003F128F" w:rsidRPr="006B4698" w:rsidRDefault="003F128F" w:rsidP="004B7211">
      <w:pPr>
        <w:pStyle w:val="af3"/>
        <w:rPr>
          <w:rFonts w:ascii="Traditional Arabic" w:hAnsi="Traditional Arabic"/>
          <w:sz w:val="32"/>
          <w:szCs w:val="32"/>
        </w:rPr>
      </w:pPr>
      <w:r w:rsidRPr="006B4698">
        <w:rPr>
          <w:rFonts w:ascii="Traditional Arabic" w:hAnsi="Traditional Arabic"/>
          <w:sz w:val="32"/>
          <w:szCs w:val="32"/>
          <w:rtl/>
        </w:rPr>
        <w:t>(</w:t>
      </w:r>
      <w:r w:rsidRPr="006B4698">
        <w:rPr>
          <w:rStyle w:val="ae"/>
          <w:rFonts w:ascii="Traditional Arabic" w:hAnsi="Traditional Arabic"/>
          <w:sz w:val="32"/>
          <w:szCs w:val="32"/>
          <w:vertAlign w:val="baseline"/>
        </w:rPr>
        <w:footnoteRef/>
      </w:r>
      <w:r w:rsidRPr="006B4698">
        <w:rPr>
          <w:rFonts w:ascii="Traditional Arabic" w:hAnsi="Traditional Arabic"/>
          <w:sz w:val="32"/>
          <w:szCs w:val="32"/>
          <w:rtl/>
        </w:rPr>
        <w:t>) زاد المسير في علم التفسير (1/6).</w:t>
      </w:r>
    </w:p>
  </w:footnote>
  <w:footnote w:id="120">
    <w:p w:rsidR="003F128F" w:rsidRPr="006B4698" w:rsidRDefault="003F128F" w:rsidP="00480C3C">
      <w:pPr>
        <w:pStyle w:val="af3"/>
        <w:rPr>
          <w:rFonts w:ascii="Traditional Arabic" w:hAnsi="Traditional Arabic"/>
          <w:sz w:val="32"/>
          <w:szCs w:val="32"/>
        </w:rPr>
      </w:pPr>
      <w:r w:rsidRPr="006B4698">
        <w:rPr>
          <w:rFonts w:ascii="Traditional Arabic" w:hAnsi="Traditional Arabic"/>
          <w:sz w:val="32"/>
          <w:szCs w:val="32"/>
          <w:rtl/>
        </w:rPr>
        <w:t>(</w:t>
      </w:r>
      <w:r w:rsidRPr="006B4698">
        <w:rPr>
          <w:rStyle w:val="ae"/>
          <w:rFonts w:ascii="Traditional Arabic" w:hAnsi="Traditional Arabic"/>
          <w:sz w:val="32"/>
          <w:szCs w:val="32"/>
          <w:vertAlign w:val="baseline"/>
        </w:rPr>
        <w:footnoteRef/>
      </w:r>
      <w:r w:rsidRPr="006B4698">
        <w:rPr>
          <w:rFonts w:ascii="Traditional Arabic" w:hAnsi="Traditional Arabic"/>
          <w:sz w:val="32"/>
          <w:szCs w:val="32"/>
          <w:rtl/>
        </w:rPr>
        <w:t>)</w:t>
      </w:r>
      <w:r>
        <w:rPr>
          <w:rFonts w:ascii="Traditional Arabic" w:hAnsi="Traditional Arabic" w:hint="cs"/>
          <w:sz w:val="32"/>
          <w:szCs w:val="32"/>
          <w:rtl/>
        </w:rPr>
        <w:t xml:space="preserve"> انظر: (ص97) من هذا الكتاب</w:t>
      </w:r>
      <w:r w:rsidRPr="006B4698">
        <w:rPr>
          <w:rFonts w:ascii="Traditional Arabic" w:hAnsi="Traditional Arabic"/>
          <w:sz w:val="32"/>
          <w:szCs w:val="32"/>
          <w:rtl/>
        </w:rPr>
        <w:t>.</w:t>
      </w:r>
    </w:p>
  </w:footnote>
  <w:footnote w:id="121">
    <w:p w:rsidR="003F128F" w:rsidRPr="00EF0AA7" w:rsidRDefault="003F128F" w:rsidP="00480C3C">
      <w:pPr>
        <w:pStyle w:val="af3"/>
        <w:rPr>
          <w:rFonts w:ascii="Traditional Arabic" w:hAnsi="Traditional Arabic"/>
          <w:sz w:val="32"/>
          <w:szCs w:val="32"/>
        </w:rPr>
      </w:pPr>
      <w:r w:rsidRPr="006B4698">
        <w:rPr>
          <w:rFonts w:ascii="Traditional Arabic" w:hAnsi="Traditional Arabic"/>
          <w:sz w:val="32"/>
          <w:szCs w:val="32"/>
          <w:rtl/>
        </w:rPr>
        <w:t>(</w:t>
      </w:r>
      <w:r w:rsidRPr="006B4698">
        <w:rPr>
          <w:rStyle w:val="ae"/>
          <w:rFonts w:ascii="Traditional Arabic" w:hAnsi="Traditional Arabic"/>
          <w:sz w:val="32"/>
          <w:szCs w:val="32"/>
          <w:vertAlign w:val="baseline"/>
        </w:rPr>
        <w:footnoteRef/>
      </w:r>
      <w:r w:rsidRPr="006B4698">
        <w:rPr>
          <w:rFonts w:ascii="Traditional Arabic" w:hAnsi="Traditional Arabic"/>
          <w:sz w:val="32"/>
          <w:szCs w:val="32"/>
          <w:rtl/>
        </w:rPr>
        <w:t xml:space="preserve">) </w:t>
      </w:r>
      <w:r>
        <w:rPr>
          <w:rFonts w:ascii="Traditional Arabic" w:hAnsi="Traditional Arabic" w:hint="cs"/>
          <w:sz w:val="32"/>
          <w:szCs w:val="32"/>
          <w:rtl/>
        </w:rPr>
        <w:t>انظر:</w:t>
      </w:r>
      <w:r w:rsidRPr="006B4698">
        <w:rPr>
          <w:rFonts w:ascii="Traditional Arabic" w:hAnsi="Traditional Arabic"/>
          <w:sz w:val="32"/>
          <w:szCs w:val="32"/>
          <w:rtl/>
        </w:rPr>
        <w:t xml:space="preserve"> </w:t>
      </w:r>
      <w:r>
        <w:rPr>
          <w:rFonts w:ascii="Traditional Arabic" w:hAnsi="Traditional Arabic" w:hint="cs"/>
          <w:sz w:val="32"/>
          <w:szCs w:val="32"/>
          <w:rtl/>
        </w:rPr>
        <w:t>(ص238).</w:t>
      </w:r>
    </w:p>
  </w:footnote>
  <w:footnote w:id="122">
    <w:p w:rsidR="003F128F" w:rsidRPr="006B4698" w:rsidRDefault="003F128F" w:rsidP="00480C3C">
      <w:pPr>
        <w:pStyle w:val="af3"/>
        <w:rPr>
          <w:rFonts w:ascii="Traditional Arabic" w:hAnsi="Traditional Arabic"/>
          <w:sz w:val="32"/>
          <w:szCs w:val="32"/>
        </w:rPr>
      </w:pPr>
      <w:r w:rsidRPr="006B4698">
        <w:rPr>
          <w:rFonts w:ascii="Traditional Arabic" w:hAnsi="Traditional Arabic"/>
          <w:sz w:val="32"/>
          <w:szCs w:val="32"/>
          <w:rtl/>
        </w:rPr>
        <w:t>(</w:t>
      </w:r>
      <w:r w:rsidRPr="006B4698">
        <w:rPr>
          <w:rStyle w:val="ae"/>
          <w:rFonts w:ascii="Traditional Arabic" w:hAnsi="Traditional Arabic"/>
          <w:sz w:val="32"/>
          <w:szCs w:val="32"/>
          <w:vertAlign w:val="baseline"/>
        </w:rPr>
        <w:footnoteRef/>
      </w:r>
      <w:r w:rsidRPr="006B4698">
        <w:rPr>
          <w:rFonts w:ascii="Traditional Arabic" w:hAnsi="Traditional Arabic"/>
          <w:sz w:val="32"/>
          <w:szCs w:val="32"/>
          <w:rtl/>
        </w:rPr>
        <w:t>)</w:t>
      </w:r>
      <w:r>
        <w:rPr>
          <w:rFonts w:ascii="Traditional Arabic" w:hAnsi="Traditional Arabic" w:hint="cs"/>
          <w:sz w:val="32"/>
          <w:szCs w:val="32"/>
          <w:rtl/>
        </w:rPr>
        <w:t xml:space="preserve"> انظر:</w:t>
      </w:r>
      <w:r w:rsidRPr="006B4698">
        <w:rPr>
          <w:rFonts w:ascii="Traditional Arabic" w:hAnsi="Traditional Arabic"/>
          <w:sz w:val="32"/>
          <w:szCs w:val="32"/>
          <w:rtl/>
        </w:rPr>
        <w:t xml:space="preserve"> </w:t>
      </w:r>
      <w:r>
        <w:rPr>
          <w:rFonts w:ascii="Traditional Arabic" w:hAnsi="Traditional Arabic" w:hint="cs"/>
          <w:sz w:val="32"/>
          <w:szCs w:val="32"/>
          <w:rtl/>
        </w:rPr>
        <w:t>(ص225).</w:t>
      </w:r>
    </w:p>
  </w:footnote>
  <w:footnote w:id="123">
    <w:p w:rsidR="003F128F" w:rsidRPr="006B4698" w:rsidRDefault="003F128F" w:rsidP="00480C3C">
      <w:pPr>
        <w:pStyle w:val="af3"/>
        <w:rPr>
          <w:rFonts w:ascii="Traditional Arabic" w:hAnsi="Traditional Arabic"/>
          <w:sz w:val="32"/>
          <w:szCs w:val="32"/>
        </w:rPr>
      </w:pPr>
      <w:r w:rsidRPr="006B4698">
        <w:rPr>
          <w:rFonts w:ascii="Traditional Arabic" w:hAnsi="Traditional Arabic"/>
          <w:sz w:val="32"/>
          <w:szCs w:val="32"/>
          <w:rtl/>
        </w:rPr>
        <w:t>(</w:t>
      </w:r>
      <w:r w:rsidRPr="006B4698">
        <w:rPr>
          <w:rStyle w:val="ae"/>
          <w:rFonts w:ascii="Traditional Arabic" w:hAnsi="Traditional Arabic"/>
          <w:sz w:val="32"/>
          <w:szCs w:val="32"/>
          <w:vertAlign w:val="baseline"/>
        </w:rPr>
        <w:footnoteRef/>
      </w:r>
      <w:r w:rsidRPr="006B4698">
        <w:rPr>
          <w:rFonts w:ascii="Traditional Arabic" w:hAnsi="Traditional Arabic"/>
          <w:sz w:val="32"/>
          <w:szCs w:val="32"/>
          <w:rtl/>
        </w:rPr>
        <w:t>)</w:t>
      </w:r>
      <w:r>
        <w:rPr>
          <w:rFonts w:ascii="Traditional Arabic" w:hAnsi="Traditional Arabic" w:hint="cs"/>
          <w:sz w:val="32"/>
          <w:szCs w:val="32"/>
          <w:rtl/>
        </w:rPr>
        <w:t xml:space="preserve"> انظر:</w:t>
      </w:r>
      <w:r w:rsidRPr="006B4698">
        <w:rPr>
          <w:rFonts w:ascii="Traditional Arabic" w:hAnsi="Traditional Arabic"/>
          <w:sz w:val="32"/>
          <w:szCs w:val="32"/>
          <w:rtl/>
        </w:rPr>
        <w:t xml:space="preserve"> </w:t>
      </w:r>
      <w:r>
        <w:rPr>
          <w:rFonts w:ascii="Traditional Arabic" w:hAnsi="Traditional Arabic" w:hint="cs"/>
          <w:sz w:val="32"/>
          <w:szCs w:val="32"/>
          <w:rtl/>
        </w:rPr>
        <w:t>(ص263).</w:t>
      </w:r>
    </w:p>
  </w:footnote>
  <w:footnote w:id="124">
    <w:p w:rsidR="003F128F" w:rsidRPr="005C2833" w:rsidRDefault="003F128F" w:rsidP="004C2CEF">
      <w:pPr>
        <w:pStyle w:val="af3"/>
        <w:rPr>
          <w:rFonts w:ascii="Tahoma" w:hAnsi="Tahoma"/>
        </w:rPr>
      </w:pPr>
      <w:r w:rsidRPr="006B4698">
        <w:rPr>
          <w:rFonts w:ascii="Traditional Arabic" w:hAnsi="Traditional Arabic"/>
          <w:sz w:val="32"/>
          <w:szCs w:val="32"/>
          <w:rtl/>
        </w:rPr>
        <w:t>(</w:t>
      </w:r>
      <w:r w:rsidRPr="006B4698">
        <w:rPr>
          <w:rStyle w:val="ae"/>
          <w:rFonts w:ascii="Traditional Arabic" w:hAnsi="Traditional Arabic"/>
          <w:sz w:val="32"/>
          <w:szCs w:val="32"/>
          <w:vertAlign w:val="baseline"/>
        </w:rPr>
        <w:footnoteRef/>
      </w:r>
      <w:r w:rsidRPr="006B4698">
        <w:rPr>
          <w:rFonts w:ascii="Traditional Arabic" w:hAnsi="Traditional Arabic"/>
          <w:sz w:val="32"/>
          <w:szCs w:val="32"/>
          <w:rtl/>
        </w:rPr>
        <w:t>)</w:t>
      </w:r>
      <w:r>
        <w:rPr>
          <w:rFonts w:ascii="Traditional Arabic" w:hAnsi="Traditional Arabic" w:hint="cs"/>
          <w:sz w:val="32"/>
          <w:szCs w:val="32"/>
          <w:rtl/>
        </w:rPr>
        <w:t xml:space="preserve"> انظر:</w:t>
      </w:r>
      <w:r w:rsidRPr="006B4698">
        <w:rPr>
          <w:rFonts w:ascii="Traditional Arabic" w:hAnsi="Traditional Arabic"/>
          <w:sz w:val="32"/>
          <w:szCs w:val="32"/>
          <w:rtl/>
        </w:rPr>
        <w:t xml:space="preserve"> </w:t>
      </w:r>
      <w:r>
        <w:rPr>
          <w:rFonts w:ascii="Traditional Arabic" w:hAnsi="Traditional Arabic" w:hint="cs"/>
          <w:sz w:val="32"/>
          <w:szCs w:val="32"/>
          <w:rtl/>
        </w:rPr>
        <w:t>(ص279).</w:t>
      </w:r>
    </w:p>
  </w:footnote>
  <w:footnote w:id="125">
    <w:p w:rsidR="003F128F" w:rsidRPr="006B4698" w:rsidRDefault="003F128F" w:rsidP="004C2CEF">
      <w:pPr>
        <w:pStyle w:val="af3"/>
        <w:rPr>
          <w:rFonts w:ascii="Traditional Arabic" w:hAnsi="Traditional Arabic"/>
          <w:sz w:val="32"/>
          <w:szCs w:val="32"/>
        </w:rPr>
      </w:pPr>
      <w:r w:rsidRPr="006B4698">
        <w:rPr>
          <w:rFonts w:ascii="Traditional Arabic" w:hAnsi="Traditional Arabic"/>
          <w:sz w:val="32"/>
          <w:szCs w:val="32"/>
          <w:rtl/>
        </w:rPr>
        <w:t>(</w:t>
      </w:r>
      <w:r w:rsidRPr="006B4698">
        <w:rPr>
          <w:rStyle w:val="ae"/>
          <w:rFonts w:ascii="Traditional Arabic" w:hAnsi="Traditional Arabic"/>
          <w:sz w:val="32"/>
          <w:szCs w:val="32"/>
          <w:vertAlign w:val="baseline"/>
        </w:rPr>
        <w:footnoteRef/>
      </w:r>
      <w:r w:rsidRPr="006B4698">
        <w:rPr>
          <w:rFonts w:ascii="Traditional Arabic" w:hAnsi="Traditional Arabic"/>
          <w:sz w:val="32"/>
          <w:szCs w:val="32"/>
          <w:rtl/>
        </w:rPr>
        <w:t>)</w:t>
      </w:r>
      <w:r>
        <w:rPr>
          <w:rFonts w:ascii="Traditional Arabic" w:hAnsi="Traditional Arabic" w:hint="cs"/>
          <w:sz w:val="32"/>
          <w:szCs w:val="32"/>
          <w:rtl/>
        </w:rPr>
        <w:t xml:space="preserve"> انظر:</w:t>
      </w:r>
      <w:r w:rsidRPr="006B4698">
        <w:rPr>
          <w:rFonts w:ascii="Traditional Arabic" w:hAnsi="Traditional Arabic"/>
          <w:sz w:val="32"/>
          <w:szCs w:val="32"/>
          <w:rtl/>
        </w:rPr>
        <w:t xml:space="preserve"> </w:t>
      </w:r>
      <w:r>
        <w:rPr>
          <w:rFonts w:ascii="Traditional Arabic" w:hAnsi="Traditional Arabic" w:hint="cs"/>
          <w:sz w:val="32"/>
          <w:szCs w:val="32"/>
          <w:rtl/>
        </w:rPr>
        <w:t>(ص283).</w:t>
      </w:r>
    </w:p>
  </w:footnote>
  <w:footnote w:id="126">
    <w:p w:rsidR="003F128F" w:rsidRPr="006B4698" w:rsidRDefault="003F128F" w:rsidP="004C2CEF">
      <w:pPr>
        <w:pStyle w:val="af3"/>
        <w:rPr>
          <w:rFonts w:ascii="Traditional Arabic" w:hAnsi="Traditional Arabic"/>
          <w:sz w:val="32"/>
          <w:szCs w:val="32"/>
        </w:rPr>
      </w:pPr>
      <w:r w:rsidRPr="006B4698">
        <w:rPr>
          <w:rFonts w:ascii="Traditional Arabic" w:hAnsi="Traditional Arabic"/>
          <w:sz w:val="32"/>
          <w:szCs w:val="32"/>
          <w:rtl/>
        </w:rPr>
        <w:t>(</w:t>
      </w:r>
      <w:r w:rsidRPr="006B4698">
        <w:rPr>
          <w:rStyle w:val="ae"/>
          <w:rFonts w:ascii="Traditional Arabic" w:hAnsi="Traditional Arabic"/>
          <w:sz w:val="32"/>
          <w:szCs w:val="32"/>
          <w:vertAlign w:val="baseline"/>
        </w:rPr>
        <w:footnoteRef/>
      </w:r>
      <w:r w:rsidRPr="006B4698">
        <w:rPr>
          <w:rFonts w:ascii="Traditional Arabic" w:hAnsi="Traditional Arabic"/>
          <w:sz w:val="32"/>
          <w:szCs w:val="32"/>
          <w:rtl/>
        </w:rPr>
        <w:t>)</w:t>
      </w:r>
      <w:r>
        <w:rPr>
          <w:rFonts w:ascii="Traditional Arabic" w:hAnsi="Traditional Arabic" w:hint="cs"/>
          <w:sz w:val="32"/>
          <w:szCs w:val="32"/>
          <w:rtl/>
        </w:rPr>
        <w:t xml:space="preserve"> انظر:</w:t>
      </w:r>
      <w:r w:rsidRPr="006B4698">
        <w:rPr>
          <w:rFonts w:ascii="Traditional Arabic" w:hAnsi="Traditional Arabic"/>
          <w:sz w:val="32"/>
          <w:szCs w:val="32"/>
          <w:rtl/>
        </w:rPr>
        <w:t xml:space="preserve"> </w:t>
      </w:r>
      <w:r>
        <w:rPr>
          <w:rFonts w:ascii="Traditional Arabic" w:hAnsi="Traditional Arabic" w:hint="cs"/>
          <w:sz w:val="32"/>
          <w:szCs w:val="32"/>
          <w:rtl/>
        </w:rPr>
        <w:t>(ص284).</w:t>
      </w:r>
    </w:p>
  </w:footnote>
  <w:footnote w:id="127">
    <w:p w:rsidR="003F128F" w:rsidRPr="005C2833" w:rsidRDefault="003F128F" w:rsidP="004C2CEF">
      <w:pPr>
        <w:pStyle w:val="af3"/>
        <w:rPr>
          <w:rFonts w:ascii="Tahoma" w:hAnsi="Tahoma"/>
        </w:rPr>
      </w:pPr>
      <w:r w:rsidRPr="006B4698">
        <w:rPr>
          <w:rFonts w:ascii="Traditional Arabic" w:hAnsi="Traditional Arabic"/>
          <w:sz w:val="32"/>
          <w:szCs w:val="32"/>
          <w:rtl/>
        </w:rPr>
        <w:t>(</w:t>
      </w:r>
      <w:r w:rsidRPr="006B4698">
        <w:rPr>
          <w:rStyle w:val="ae"/>
          <w:rFonts w:ascii="Traditional Arabic" w:hAnsi="Traditional Arabic"/>
          <w:sz w:val="32"/>
          <w:szCs w:val="32"/>
          <w:vertAlign w:val="baseline"/>
        </w:rPr>
        <w:footnoteRef/>
      </w:r>
      <w:r w:rsidRPr="006B4698">
        <w:rPr>
          <w:rFonts w:ascii="Traditional Arabic" w:hAnsi="Traditional Arabic"/>
          <w:sz w:val="32"/>
          <w:szCs w:val="32"/>
          <w:rtl/>
        </w:rPr>
        <w:t>)</w:t>
      </w:r>
      <w:r>
        <w:rPr>
          <w:rFonts w:ascii="Traditional Arabic" w:hAnsi="Traditional Arabic" w:hint="cs"/>
          <w:sz w:val="32"/>
          <w:szCs w:val="32"/>
          <w:rtl/>
        </w:rPr>
        <w:t xml:space="preserve"> انظر:</w:t>
      </w:r>
      <w:r w:rsidRPr="006B4698">
        <w:rPr>
          <w:rFonts w:ascii="Traditional Arabic" w:hAnsi="Traditional Arabic"/>
          <w:sz w:val="32"/>
          <w:szCs w:val="32"/>
          <w:rtl/>
        </w:rPr>
        <w:t xml:space="preserve"> </w:t>
      </w:r>
      <w:r>
        <w:rPr>
          <w:rFonts w:ascii="Traditional Arabic" w:hAnsi="Traditional Arabic" w:hint="cs"/>
          <w:sz w:val="32"/>
          <w:szCs w:val="32"/>
          <w:rtl/>
        </w:rPr>
        <w:t>(ص296).</w:t>
      </w:r>
    </w:p>
  </w:footnote>
  <w:footnote w:id="128">
    <w:p w:rsidR="003F128F" w:rsidRPr="006B4698" w:rsidRDefault="003F128F" w:rsidP="004C2CEF">
      <w:pPr>
        <w:pStyle w:val="af3"/>
        <w:rPr>
          <w:rFonts w:ascii="Traditional Arabic" w:hAnsi="Traditional Arabic"/>
          <w:sz w:val="32"/>
          <w:szCs w:val="32"/>
        </w:rPr>
      </w:pPr>
      <w:r w:rsidRPr="006B4698">
        <w:rPr>
          <w:rFonts w:ascii="Traditional Arabic" w:hAnsi="Traditional Arabic"/>
          <w:sz w:val="32"/>
          <w:szCs w:val="32"/>
          <w:rtl/>
        </w:rPr>
        <w:t>(</w:t>
      </w:r>
      <w:r w:rsidRPr="006B4698">
        <w:rPr>
          <w:rStyle w:val="ae"/>
          <w:rFonts w:ascii="Traditional Arabic" w:hAnsi="Traditional Arabic"/>
          <w:sz w:val="32"/>
          <w:szCs w:val="32"/>
          <w:vertAlign w:val="baseline"/>
        </w:rPr>
        <w:footnoteRef/>
      </w:r>
      <w:r w:rsidRPr="006B4698">
        <w:rPr>
          <w:rFonts w:ascii="Traditional Arabic" w:hAnsi="Traditional Arabic"/>
          <w:sz w:val="32"/>
          <w:szCs w:val="32"/>
          <w:rtl/>
        </w:rPr>
        <w:t>)</w:t>
      </w:r>
      <w:r>
        <w:rPr>
          <w:rFonts w:ascii="Traditional Arabic" w:hAnsi="Traditional Arabic" w:hint="cs"/>
          <w:sz w:val="32"/>
          <w:szCs w:val="32"/>
          <w:rtl/>
        </w:rPr>
        <w:t xml:space="preserve"> انظر:</w:t>
      </w:r>
      <w:r w:rsidRPr="006B4698">
        <w:rPr>
          <w:rFonts w:ascii="Traditional Arabic" w:hAnsi="Traditional Arabic"/>
          <w:sz w:val="32"/>
          <w:szCs w:val="32"/>
          <w:rtl/>
        </w:rPr>
        <w:t xml:space="preserve"> </w:t>
      </w:r>
      <w:r>
        <w:rPr>
          <w:rFonts w:ascii="Traditional Arabic" w:hAnsi="Traditional Arabic" w:hint="cs"/>
          <w:sz w:val="32"/>
          <w:szCs w:val="32"/>
          <w:rtl/>
        </w:rPr>
        <w:t>(ص241).</w:t>
      </w:r>
    </w:p>
  </w:footnote>
  <w:footnote w:id="129">
    <w:p w:rsidR="003F128F" w:rsidRPr="006B4698" w:rsidRDefault="003F128F" w:rsidP="004C2CEF">
      <w:pPr>
        <w:pStyle w:val="af3"/>
        <w:rPr>
          <w:rFonts w:ascii="Traditional Arabic" w:hAnsi="Traditional Arabic"/>
          <w:sz w:val="32"/>
          <w:szCs w:val="32"/>
        </w:rPr>
      </w:pPr>
      <w:r w:rsidRPr="006B4698">
        <w:rPr>
          <w:rFonts w:ascii="Traditional Arabic" w:hAnsi="Traditional Arabic"/>
          <w:sz w:val="32"/>
          <w:szCs w:val="32"/>
          <w:rtl/>
        </w:rPr>
        <w:t>(</w:t>
      </w:r>
      <w:r w:rsidRPr="006B4698">
        <w:rPr>
          <w:rStyle w:val="ae"/>
          <w:rFonts w:ascii="Traditional Arabic" w:hAnsi="Traditional Arabic"/>
          <w:sz w:val="32"/>
          <w:szCs w:val="32"/>
          <w:vertAlign w:val="baseline"/>
        </w:rPr>
        <w:footnoteRef/>
      </w:r>
      <w:r w:rsidRPr="006B4698">
        <w:rPr>
          <w:rFonts w:ascii="Traditional Arabic" w:hAnsi="Traditional Arabic"/>
          <w:sz w:val="32"/>
          <w:szCs w:val="32"/>
          <w:rtl/>
        </w:rPr>
        <w:t>)</w:t>
      </w:r>
      <w:r>
        <w:rPr>
          <w:rFonts w:ascii="Traditional Arabic" w:hAnsi="Traditional Arabic" w:hint="cs"/>
          <w:sz w:val="32"/>
          <w:szCs w:val="32"/>
          <w:rtl/>
        </w:rPr>
        <w:t xml:space="preserve"> انظر:</w:t>
      </w:r>
      <w:r w:rsidRPr="006B4698">
        <w:rPr>
          <w:rFonts w:ascii="Traditional Arabic" w:hAnsi="Traditional Arabic"/>
          <w:sz w:val="32"/>
          <w:szCs w:val="32"/>
          <w:rtl/>
        </w:rPr>
        <w:t xml:space="preserve"> </w:t>
      </w:r>
      <w:r>
        <w:rPr>
          <w:rFonts w:ascii="Traditional Arabic" w:hAnsi="Traditional Arabic" w:hint="cs"/>
          <w:sz w:val="32"/>
          <w:szCs w:val="32"/>
          <w:rtl/>
        </w:rPr>
        <w:t>(ص91).</w:t>
      </w:r>
    </w:p>
  </w:footnote>
  <w:footnote w:id="130">
    <w:p w:rsidR="003F128F" w:rsidRPr="003333BC" w:rsidRDefault="003F128F" w:rsidP="004C2CEF">
      <w:pPr>
        <w:pStyle w:val="af3"/>
        <w:rPr>
          <w:rFonts w:ascii="Tahoma" w:hAnsi="Tahoma"/>
        </w:rPr>
      </w:pPr>
      <w:r w:rsidRPr="006B4698">
        <w:rPr>
          <w:rFonts w:ascii="Traditional Arabic" w:hAnsi="Traditional Arabic"/>
          <w:sz w:val="32"/>
          <w:szCs w:val="32"/>
          <w:rtl/>
        </w:rPr>
        <w:t>(</w:t>
      </w:r>
      <w:r w:rsidRPr="006B4698">
        <w:rPr>
          <w:rStyle w:val="ae"/>
          <w:rFonts w:ascii="Traditional Arabic" w:hAnsi="Traditional Arabic"/>
          <w:sz w:val="32"/>
          <w:szCs w:val="32"/>
          <w:vertAlign w:val="baseline"/>
        </w:rPr>
        <w:footnoteRef/>
      </w:r>
      <w:r w:rsidRPr="006B4698">
        <w:rPr>
          <w:rFonts w:ascii="Traditional Arabic" w:hAnsi="Traditional Arabic"/>
          <w:sz w:val="32"/>
          <w:szCs w:val="32"/>
          <w:rtl/>
        </w:rPr>
        <w:t>)</w:t>
      </w:r>
      <w:r>
        <w:rPr>
          <w:rFonts w:ascii="Traditional Arabic" w:hAnsi="Traditional Arabic" w:hint="cs"/>
          <w:sz w:val="32"/>
          <w:szCs w:val="32"/>
          <w:rtl/>
        </w:rPr>
        <w:t xml:space="preserve"> انظر:</w:t>
      </w:r>
      <w:r w:rsidRPr="006B4698">
        <w:rPr>
          <w:rFonts w:ascii="Traditional Arabic" w:hAnsi="Traditional Arabic"/>
          <w:sz w:val="32"/>
          <w:szCs w:val="32"/>
          <w:rtl/>
        </w:rPr>
        <w:t xml:space="preserve"> </w:t>
      </w:r>
      <w:r>
        <w:rPr>
          <w:rFonts w:ascii="Traditional Arabic" w:hAnsi="Traditional Arabic" w:hint="cs"/>
          <w:sz w:val="32"/>
          <w:szCs w:val="32"/>
          <w:rtl/>
        </w:rPr>
        <w:t>(ص97).</w:t>
      </w:r>
    </w:p>
  </w:footnote>
  <w:footnote w:id="131">
    <w:p w:rsidR="003F128F" w:rsidRPr="006B4698" w:rsidRDefault="003F128F" w:rsidP="004C2CEF">
      <w:pPr>
        <w:pStyle w:val="af3"/>
        <w:rPr>
          <w:rFonts w:ascii="Traditional Arabic" w:hAnsi="Traditional Arabic"/>
          <w:sz w:val="32"/>
          <w:szCs w:val="32"/>
        </w:rPr>
      </w:pPr>
      <w:r w:rsidRPr="006B4698">
        <w:rPr>
          <w:rFonts w:ascii="Traditional Arabic" w:hAnsi="Traditional Arabic"/>
          <w:sz w:val="32"/>
          <w:szCs w:val="32"/>
          <w:rtl/>
        </w:rPr>
        <w:t>(</w:t>
      </w:r>
      <w:r w:rsidRPr="006B4698">
        <w:rPr>
          <w:rStyle w:val="ae"/>
          <w:rFonts w:ascii="Traditional Arabic" w:hAnsi="Traditional Arabic"/>
          <w:sz w:val="32"/>
          <w:szCs w:val="32"/>
          <w:vertAlign w:val="baseline"/>
        </w:rPr>
        <w:footnoteRef/>
      </w:r>
      <w:r w:rsidRPr="006B4698">
        <w:rPr>
          <w:rFonts w:ascii="Traditional Arabic" w:hAnsi="Traditional Arabic"/>
          <w:sz w:val="32"/>
          <w:szCs w:val="32"/>
          <w:rtl/>
        </w:rPr>
        <w:t>)</w:t>
      </w:r>
      <w:r>
        <w:rPr>
          <w:rFonts w:ascii="Traditional Arabic" w:hAnsi="Traditional Arabic" w:hint="cs"/>
          <w:sz w:val="32"/>
          <w:szCs w:val="32"/>
          <w:rtl/>
        </w:rPr>
        <w:t xml:space="preserve"> انظر:</w:t>
      </w:r>
      <w:r w:rsidRPr="006B4698">
        <w:rPr>
          <w:rFonts w:ascii="Traditional Arabic" w:hAnsi="Traditional Arabic"/>
          <w:sz w:val="32"/>
          <w:szCs w:val="32"/>
          <w:rtl/>
        </w:rPr>
        <w:t xml:space="preserve"> </w:t>
      </w:r>
      <w:r>
        <w:rPr>
          <w:rFonts w:ascii="Traditional Arabic" w:hAnsi="Traditional Arabic" w:hint="cs"/>
          <w:sz w:val="32"/>
          <w:szCs w:val="32"/>
          <w:rtl/>
        </w:rPr>
        <w:t>(ص128).</w:t>
      </w:r>
    </w:p>
  </w:footnote>
  <w:footnote w:id="132">
    <w:p w:rsidR="003F128F" w:rsidRPr="004220CA" w:rsidRDefault="003F128F" w:rsidP="004C2CEF">
      <w:pPr>
        <w:pStyle w:val="af3"/>
        <w:rPr>
          <w:rFonts w:ascii="Traditional Arabic" w:hAnsi="Traditional Arabic"/>
          <w:sz w:val="32"/>
          <w:szCs w:val="32"/>
        </w:rPr>
      </w:pPr>
      <w:r w:rsidRPr="004220CA">
        <w:rPr>
          <w:rFonts w:ascii="Traditional Arabic" w:hAnsi="Traditional Arabic"/>
          <w:sz w:val="32"/>
          <w:szCs w:val="32"/>
          <w:rtl/>
        </w:rPr>
        <w:t>(</w:t>
      </w:r>
      <w:r w:rsidRPr="004220CA">
        <w:rPr>
          <w:rStyle w:val="ae"/>
          <w:rFonts w:ascii="Traditional Arabic" w:hAnsi="Traditional Arabic"/>
          <w:sz w:val="32"/>
          <w:szCs w:val="32"/>
          <w:vertAlign w:val="baseline"/>
        </w:rPr>
        <w:footnoteRef/>
      </w:r>
      <w:r w:rsidRPr="004220CA">
        <w:rPr>
          <w:rFonts w:ascii="Traditional Arabic" w:hAnsi="Traditional Arabic"/>
          <w:sz w:val="32"/>
          <w:szCs w:val="32"/>
          <w:rtl/>
        </w:rPr>
        <w:t>)</w:t>
      </w:r>
      <w:r>
        <w:rPr>
          <w:rFonts w:ascii="Traditional Arabic" w:hAnsi="Traditional Arabic" w:hint="cs"/>
          <w:sz w:val="32"/>
          <w:szCs w:val="32"/>
          <w:rtl/>
        </w:rPr>
        <w:t xml:space="preserve"> انظر:</w:t>
      </w:r>
      <w:r w:rsidRPr="006B4698">
        <w:rPr>
          <w:rFonts w:ascii="Traditional Arabic" w:hAnsi="Traditional Arabic"/>
          <w:sz w:val="32"/>
          <w:szCs w:val="32"/>
          <w:rtl/>
        </w:rPr>
        <w:t xml:space="preserve"> </w:t>
      </w:r>
      <w:r>
        <w:rPr>
          <w:rFonts w:ascii="Traditional Arabic" w:hAnsi="Traditional Arabic" w:hint="cs"/>
          <w:sz w:val="32"/>
          <w:szCs w:val="32"/>
          <w:rtl/>
        </w:rPr>
        <w:t>(ص109).</w:t>
      </w:r>
    </w:p>
  </w:footnote>
  <w:footnote w:id="133">
    <w:p w:rsidR="003F128F" w:rsidRPr="006B4698" w:rsidRDefault="003F128F" w:rsidP="004C2CEF">
      <w:pPr>
        <w:pStyle w:val="af3"/>
        <w:rPr>
          <w:rFonts w:ascii="Traditional Arabic" w:hAnsi="Traditional Arabic"/>
          <w:sz w:val="32"/>
          <w:szCs w:val="32"/>
        </w:rPr>
      </w:pPr>
      <w:r w:rsidRPr="006B4698">
        <w:rPr>
          <w:rFonts w:ascii="Traditional Arabic" w:hAnsi="Traditional Arabic"/>
          <w:sz w:val="32"/>
          <w:szCs w:val="32"/>
          <w:rtl/>
        </w:rPr>
        <w:t>(</w:t>
      </w:r>
      <w:r w:rsidRPr="006B4698">
        <w:rPr>
          <w:rStyle w:val="ae"/>
          <w:rFonts w:ascii="Traditional Arabic" w:hAnsi="Traditional Arabic"/>
          <w:sz w:val="32"/>
          <w:szCs w:val="32"/>
          <w:vertAlign w:val="baseline"/>
        </w:rPr>
        <w:footnoteRef/>
      </w:r>
      <w:r>
        <w:rPr>
          <w:rFonts w:ascii="Traditional Arabic" w:hAnsi="Traditional Arabic"/>
          <w:sz w:val="32"/>
          <w:szCs w:val="32"/>
          <w:rtl/>
        </w:rPr>
        <w:t>)</w:t>
      </w:r>
      <w:r>
        <w:rPr>
          <w:rFonts w:ascii="Traditional Arabic" w:hAnsi="Traditional Arabic" w:hint="cs"/>
          <w:sz w:val="32"/>
          <w:szCs w:val="32"/>
          <w:rtl/>
        </w:rPr>
        <w:t xml:space="preserve"> انظر:</w:t>
      </w:r>
      <w:r w:rsidRPr="006B4698">
        <w:rPr>
          <w:rFonts w:ascii="Traditional Arabic" w:hAnsi="Traditional Arabic"/>
          <w:sz w:val="32"/>
          <w:szCs w:val="32"/>
          <w:rtl/>
        </w:rPr>
        <w:t xml:space="preserve"> </w:t>
      </w:r>
      <w:r>
        <w:rPr>
          <w:rFonts w:ascii="Traditional Arabic" w:hAnsi="Traditional Arabic" w:hint="cs"/>
          <w:sz w:val="32"/>
          <w:szCs w:val="32"/>
          <w:rtl/>
        </w:rPr>
        <w:t>(ص93-95).</w:t>
      </w:r>
    </w:p>
  </w:footnote>
  <w:footnote w:id="134">
    <w:p w:rsidR="003F128F" w:rsidRPr="006B4698" w:rsidRDefault="003F128F" w:rsidP="00622580">
      <w:pPr>
        <w:pStyle w:val="af3"/>
        <w:rPr>
          <w:rFonts w:ascii="Tahoma" w:hAnsi="Tahoma"/>
        </w:rPr>
      </w:pPr>
      <w:r w:rsidRPr="006B4698">
        <w:rPr>
          <w:rFonts w:ascii="Traditional Arabic" w:hAnsi="Traditional Arabic"/>
          <w:sz w:val="32"/>
          <w:szCs w:val="32"/>
          <w:rtl/>
        </w:rPr>
        <w:t>(</w:t>
      </w:r>
      <w:r w:rsidRPr="006B4698">
        <w:rPr>
          <w:rStyle w:val="ae"/>
          <w:rFonts w:ascii="Traditional Arabic" w:hAnsi="Traditional Arabic"/>
          <w:sz w:val="32"/>
          <w:szCs w:val="32"/>
          <w:vertAlign w:val="baseline"/>
        </w:rPr>
        <w:footnoteRef/>
      </w:r>
      <w:r>
        <w:rPr>
          <w:rFonts w:ascii="Traditional Arabic" w:hAnsi="Traditional Arabic"/>
          <w:sz w:val="32"/>
          <w:szCs w:val="32"/>
          <w:rtl/>
        </w:rPr>
        <w:t>)</w:t>
      </w:r>
      <w:r>
        <w:rPr>
          <w:rFonts w:ascii="Traditional Arabic" w:hAnsi="Traditional Arabic" w:hint="cs"/>
          <w:sz w:val="32"/>
          <w:szCs w:val="32"/>
          <w:rtl/>
        </w:rPr>
        <w:t xml:space="preserve"> انظر:</w:t>
      </w:r>
      <w:r w:rsidRPr="006B4698">
        <w:rPr>
          <w:rFonts w:ascii="Traditional Arabic" w:hAnsi="Traditional Arabic"/>
          <w:sz w:val="32"/>
          <w:szCs w:val="32"/>
          <w:rtl/>
        </w:rPr>
        <w:t xml:space="preserve"> </w:t>
      </w:r>
      <w:r>
        <w:rPr>
          <w:rFonts w:ascii="Traditional Arabic" w:hAnsi="Traditional Arabic" w:hint="cs"/>
          <w:sz w:val="32"/>
          <w:szCs w:val="32"/>
          <w:rtl/>
        </w:rPr>
        <w:t>(ص138).</w:t>
      </w:r>
    </w:p>
  </w:footnote>
  <w:footnote w:id="135">
    <w:p w:rsidR="003F128F" w:rsidRPr="00EF0AA7" w:rsidRDefault="003F128F" w:rsidP="00622580">
      <w:pPr>
        <w:pStyle w:val="af3"/>
        <w:rPr>
          <w:rFonts w:ascii="Tahoma" w:hAnsi="Tahoma"/>
        </w:rPr>
      </w:pPr>
      <w:r w:rsidRPr="00EF0AA7">
        <w:rPr>
          <w:rFonts w:ascii="Traditional Arabic" w:hAnsi="Traditional Arabic"/>
          <w:sz w:val="32"/>
          <w:szCs w:val="32"/>
          <w:rtl/>
        </w:rPr>
        <w:t>(</w:t>
      </w:r>
      <w:r w:rsidRPr="00EF0AA7">
        <w:rPr>
          <w:rStyle w:val="ae"/>
          <w:rFonts w:ascii="Traditional Arabic" w:hAnsi="Traditional Arabic"/>
          <w:sz w:val="32"/>
          <w:szCs w:val="32"/>
          <w:vertAlign w:val="baseline"/>
        </w:rPr>
        <w:footnoteRef/>
      </w:r>
      <w:r w:rsidRPr="00EF0AA7">
        <w:rPr>
          <w:rFonts w:ascii="Traditional Arabic" w:hAnsi="Traditional Arabic"/>
          <w:sz w:val="32"/>
          <w:szCs w:val="32"/>
          <w:rtl/>
        </w:rPr>
        <w:t>)</w:t>
      </w:r>
      <w:r>
        <w:rPr>
          <w:rFonts w:ascii="Traditional Arabic" w:hAnsi="Traditional Arabic" w:hint="cs"/>
          <w:sz w:val="32"/>
          <w:szCs w:val="32"/>
          <w:rtl/>
        </w:rPr>
        <w:t xml:space="preserve"> انظر:</w:t>
      </w:r>
      <w:r w:rsidRPr="006B4698">
        <w:rPr>
          <w:rFonts w:ascii="Traditional Arabic" w:hAnsi="Traditional Arabic"/>
          <w:sz w:val="32"/>
          <w:szCs w:val="32"/>
          <w:rtl/>
        </w:rPr>
        <w:t xml:space="preserve"> </w:t>
      </w:r>
      <w:r>
        <w:rPr>
          <w:rFonts w:ascii="Traditional Arabic" w:hAnsi="Traditional Arabic" w:hint="cs"/>
          <w:sz w:val="32"/>
          <w:szCs w:val="32"/>
          <w:rtl/>
        </w:rPr>
        <w:t>(ص89).</w:t>
      </w:r>
    </w:p>
  </w:footnote>
  <w:footnote w:id="136">
    <w:p w:rsidR="003F128F" w:rsidRPr="00E47B5B" w:rsidRDefault="003F128F" w:rsidP="00622580">
      <w:pPr>
        <w:pStyle w:val="af3"/>
        <w:rPr>
          <w:rFonts w:ascii="Traditional Arabic" w:hAnsi="Traditional Arabic"/>
          <w:sz w:val="32"/>
          <w:szCs w:val="32"/>
        </w:rPr>
      </w:pPr>
      <w:r w:rsidRPr="00E47B5B">
        <w:rPr>
          <w:rFonts w:ascii="Traditional Arabic" w:hAnsi="Traditional Arabic"/>
          <w:sz w:val="32"/>
          <w:szCs w:val="32"/>
          <w:rtl/>
        </w:rPr>
        <w:t>(</w:t>
      </w:r>
      <w:r w:rsidRPr="00E47B5B">
        <w:rPr>
          <w:rStyle w:val="ae"/>
          <w:rFonts w:ascii="Traditional Arabic" w:hAnsi="Traditional Arabic"/>
          <w:sz w:val="32"/>
          <w:szCs w:val="32"/>
          <w:vertAlign w:val="baseline"/>
        </w:rPr>
        <w:footnoteRef/>
      </w:r>
      <w:r w:rsidRPr="00E47B5B">
        <w:rPr>
          <w:rFonts w:ascii="Traditional Arabic" w:hAnsi="Traditional Arabic"/>
          <w:sz w:val="32"/>
          <w:szCs w:val="32"/>
          <w:rtl/>
        </w:rPr>
        <w:t>)</w:t>
      </w:r>
      <w:r>
        <w:rPr>
          <w:rFonts w:ascii="Traditional Arabic" w:hAnsi="Traditional Arabic" w:hint="cs"/>
          <w:sz w:val="32"/>
          <w:szCs w:val="32"/>
          <w:rtl/>
        </w:rPr>
        <w:t xml:space="preserve"> انظر:</w:t>
      </w:r>
      <w:r w:rsidRPr="006B4698">
        <w:rPr>
          <w:rFonts w:ascii="Traditional Arabic" w:hAnsi="Traditional Arabic"/>
          <w:sz w:val="32"/>
          <w:szCs w:val="32"/>
          <w:rtl/>
        </w:rPr>
        <w:t xml:space="preserve"> </w:t>
      </w:r>
      <w:r>
        <w:rPr>
          <w:rFonts w:ascii="Traditional Arabic" w:hAnsi="Traditional Arabic" w:hint="cs"/>
          <w:sz w:val="32"/>
          <w:szCs w:val="32"/>
          <w:rtl/>
        </w:rPr>
        <w:t>(ص126-127).</w:t>
      </w:r>
    </w:p>
  </w:footnote>
  <w:footnote w:id="137">
    <w:p w:rsidR="003F128F" w:rsidRPr="00E47B5B" w:rsidRDefault="003F128F" w:rsidP="00622580">
      <w:pPr>
        <w:pStyle w:val="af3"/>
        <w:rPr>
          <w:rFonts w:ascii="Tahoma" w:hAnsi="Tahoma"/>
        </w:rPr>
      </w:pPr>
      <w:r w:rsidRPr="00E47B5B">
        <w:rPr>
          <w:rFonts w:ascii="Traditional Arabic" w:hAnsi="Traditional Arabic"/>
          <w:sz w:val="32"/>
          <w:szCs w:val="32"/>
          <w:rtl/>
        </w:rPr>
        <w:t>(</w:t>
      </w:r>
      <w:r w:rsidRPr="00E47B5B">
        <w:rPr>
          <w:rStyle w:val="ae"/>
          <w:rFonts w:ascii="Traditional Arabic" w:hAnsi="Traditional Arabic"/>
          <w:sz w:val="32"/>
          <w:szCs w:val="32"/>
          <w:vertAlign w:val="baseline"/>
        </w:rPr>
        <w:footnoteRef/>
      </w:r>
      <w:r w:rsidRPr="00E47B5B">
        <w:rPr>
          <w:rFonts w:ascii="Traditional Arabic" w:hAnsi="Traditional Arabic"/>
          <w:sz w:val="32"/>
          <w:szCs w:val="32"/>
          <w:rtl/>
        </w:rPr>
        <w:t>)</w:t>
      </w:r>
      <w:r>
        <w:rPr>
          <w:rFonts w:ascii="Traditional Arabic" w:hAnsi="Traditional Arabic" w:hint="cs"/>
          <w:sz w:val="32"/>
          <w:szCs w:val="32"/>
          <w:rtl/>
        </w:rPr>
        <w:t xml:space="preserve"> انظر:</w:t>
      </w:r>
      <w:r w:rsidRPr="006B4698">
        <w:rPr>
          <w:rFonts w:ascii="Traditional Arabic" w:hAnsi="Traditional Arabic"/>
          <w:sz w:val="32"/>
          <w:szCs w:val="32"/>
          <w:rtl/>
        </w:rPr>
        <w:t xml:space="preserve"> </w:t>
      </w:r>
      <w:r>
        <w:rPr>
          <w:rFonts w:ascii="Traditional Arabic" w:hAnsi="Traditional Arabic" w:hint="cs"/>
          <w:sz w:val="32"/>
          <w:szCs w:val="32"/>
          <w:rtl/>
        </w:rPr>
        <w:t>(ص158).</w:t>
      </w:r>
    </w:p>
  </w:footnote>
  <w:footnote w:id="138">
    <w:p w:rsidR="003F128F" w:rsidRPr="00255369" w:rsidRDefault="003F128F" w:rsidP="00622580">
      <w:pPr>
        <w:pStyle w:val="af3"/>
        <w:rPr>
          <w:rFonts w:ascii="Traditional Arabic" w:hAnsi="Traditional Arabic"/>
          <w:sz w:val="32"/>
          <w:szCs w:val="32"/>
        </w:rPr>
      </w:pPr>
      <w:r w:rsidRPr="00255369">
        <w:rPr>
          <w:rFonts w:ascii="Traditional Arabic" w:hAnsi="Traditional Arabic"/>
          <w:sz w:val="32"/>
          <w:szCs w:val="32"/>
          <w:rtl/>
        </w:rPr>
        <w:t>(</w:t>
      </w:r>
      <w:r w:rsidRPr="00255369">
        <w:rPr>
          <w:rStyle w:val="ae"/>
          <w:rFonts w:ascii="Traditional Arabic" w:hAnsi="Traditional Arabic"/>
          <w:sz w:val="32"/>
          <w:szCs w:val="32"/>
          <w:vertAlign w:val="baseline"/>
        </w:rPr>
        <w:footnoteRef/>
      </w:r>
      <w:r w:rsidRPr="00255369">
        <w:rPr>
          <w:rFonts w:ascii="Traditional Arabic" w:hAnsi="Traditional Arabic"/>
          <w:sz w:val="32"/>
          <w:szCs w:val="32"/>
          <w:rtl/>
        </w:rPr>
        <w:t>)</w:t>
      </w:r>
      <w:r>
        <w:rPr>
          <w:rFonts w:ascii="Traditional Arabic" w:hAnsi="Traditional Arabic" w:hint="cs"/>
          <w:sz w:val="32"/>
          <w:szCs w:val="32"/>
          <w:rtl/>
        </w:rPr>
        <w:t xml:space="preserve"> انظر:</w:t>
      </w:r>
      <w:r w:rsidRPr="006B4698">
        <w:rPr>
          <w:rFonts w:ascii="Traditional Arabic" w:hAnsi="Traditional Arabic"/>
          <w:sz w:val="32"/>
          <w:szCs w:val="32"/>
          <w:rtl/>
        </w:rPr>
        <w:t xml:space="preserve"> </w:t>
      </w:r>
      <w:r>
        <w:rPr>
          <w:rFonts w:ascii="Traditional Arabic" w:hAnsi="Traditional Arabic" w:hint="cs"/>
          <w:sz w:val="32"/>
          <w:szCs w:val="32"/>
          <w:rtl/>
        </w:rPr>
        <w:t>(ص200-201).</w:t>
      </w:r>
    </w:p>
  </w:footnote>
  <w:footnote w:id="139">
    <w:p w:rsidR="003F128F" w:rsidRPr="00255369" w:rsidRDefault="003F128F" w:rsidP="00622580">
      <w:pPr>
        <w:pStyle w:val="af3"/>
        <w:rPr>
          <w:rFonts w:ascii="Traditional Arabic" w:hAnsi="Traditional Arabic"/>
          <w:sz w:val="32"/>
          <w:szCs w:val="32"/>
        </w:rPr>
      </w:pPr>
      <w:r w:rsidRPr="00255369">
        <w:rPr>
          <w:rFonts w:ascii="Traditional Arabic" w:hAnsi="Traditional Arabic"/>
          <w:sz w:val="32"/>
          <w:szCs w:val="32"/>
          <w:rtl/>
        </w:rPr>
        <w:t>(</w:t>
      </w:r>
      <w:r w:rsidRPr="00255369">
        <w:rPr>
          <w:rStyle w:val="ae"/>
          <w:rFonts w:ascii="Traditional Arabic" w:hAnsi="Traditional Arabic"/>
          <w:sz w:val="32"/>
          <w:szCs w:val="32"/>
          <w:vertAlign w:val="baseline"/>
        </w:rPr>
        <w:footnoteRef/>
      </w:r>
      <w:r w:rsidRPr="00255369">
        <w:rPr>
          <w:rFonts w:ascii="Traditional Arabic" w:hAnsi="Traditional Arabic"/>
          <w:sz w:val="32"/>
          <w:szCs w:val="32"/>
          <w:rtl/>
        </w:rPr>
        <w:t>)</w:t>
      </w:r>
      <w:r>
        <w:rPr>
          <w:rFonts w:ascii="Traditional Arabic" w:hAnsi="Traditional Arabic" w:hint="cs"/>
          <w:sz w:val="32"/>
          <w:szCs w:val="32"/>
          <w:rtl/>
        </w:rPr>
        <w:t xml:space="preserve"> انظر:</w:t>
      </w:r>
      <w:r w:rsidRPr="006B4698">
        <w:rPr>
          <w:rFonts w:ascii="Traditional Arabic" w:hAnsi="Traditional Arabic"/>
          <w:sz w:val="32"/>
          <w:szCs w:val="32"/>
          <w:rtl/>
        </w:rPr>
        <w:t xml:space="preserve"> </w:t>
      </w:r>
      <w:r>
        <w:rPr>
          <w:rFonts w:ascii="Traditional Arabic" w:hAnsi="Traditional Arabic" w:hint="cs"/>
          <w:sz w:val="32"/>
          <w:szCs w:val="32"/>
          <w:rtl/>
        </w:rPr>
        <w:t>(ص144).</w:t>
      </w:r>
    </w:p>
  </w:footnote>
  <w:footnote w:id="140">
    <w:p w:rsidR="003F128F" w:rsidRPr="00E47B5B" w:rsidRDefault="003F128F" w:rsidP="00622580">
      <w:pPr>
        <w:pStyle w:val="af3"/>
        <w:rPr>
          <w:rFonts w:ascii="Tahoma" w:hAnsi="Tahoma"/>
        </w:rPr>
      </w:pPr>
      <w:r w:rsidRPr="00255369">
        <w:rPr>
          <w:rFonts w:ascii="Traditional Arabic" w:hAnsi="Traditional Arabic"/>
          <w:sz w:val="32"/>
          <w:szCs w:val="32"/>
          <w:rtl/>
        </w:rPr>
        <w:t>(</w:t>
      </w:r>
      <w:r w:rsidRPr="00255369">
        <w:rPr>
          <w:rStyle w:val="ae"/>
          <w:rFonts w:ascii="Traditional Arabic" w:hAnsi="Traditional Arabic"/>
          <w:sz w:val="32"/>
          <w:szCs w:val="32"/>
          <w:vertAlign w:val="baseline"/>
        </w:rPr>
        <w:footnoteRef/>
      </w:r>
      <w:r w:rsidRPr="00255369">
        <w:rPr>
          <w:rFonts w:ascii="Traditional Arabic" w:hAnsi="Traditional Arabic"/>
          <w:sz w:val="32"/>
          <w:szCs w:val="32"/>
          <w:rtl/>
        </w:rPr>
        <w:t>)</w:t>
      </w:r>
      <w:r>
        <w:rPr>
          <w:rFonts w:ascii="Traditional Arabic" w:hAnsi="Traditional Arabic" w:hint="cs"/>
          <w:sz w:val="32"/>
          <w:szCs w:val="32"/>
          <w:rtl/>
        </w:rPr>
        <w:t xml:space="preserve"> انظر:</w:t>
      </w:r>
      <w:r w:rsidRPr="006B4698">
        <w:rPr>
          <w:rFonts w:ascii="Traditional Arabic" w:hAnsi="Traditional Arabic"/>
          <w:sz w:val="32"/>
          <w:szCs w:val="32"/>
          <w:rtl/>
        </w:rPr>
        <w:t xml:space="preserve"> </w:t>
      </w:r>
      <w:r>
        <w:rPr>
          <w:rFonts w:ascii="Traditional Arabic" w:hAnsi="Traditional Arabic" w:hint="cs"/>
          <w:sz w:val="32"/>
          <w:szCs w:val="32"/>
          <w:rtl/>
        </w:rPr>
        <w:t>(ص210).</w:t>
      </w:r>
    </w:p>
  </w:footnote>
  <w:footnote w:id="141">
    <w:p w:rsidR="003F128F" w:rsidRPr="00255369" w:rsidRDefault="003F128F" w:rsidP="00BF628B">
      <w:pPr>
        <w:pStyle w:val="af3"/>
        <w:rPr>
          <w:rFonts w:ascii="Traditional Arabic" w:hAnsi="Traditional Arabic"/>
          <w:sz w:val="32"/>
          <w:szCs w:val="32"/>
        </w:rPr>
      </w:pPr>
      <w:r w:rsidRPr="00255369">
        <w:rPr>
          <w:rFonts w:ascii="Traditional Arabic" w:hAnsi="Traditional Arabic"/>
          <w:sz w:val="32"/>
          <w:szCs w:val="32"/>
          <w:rtl/>
        </w:rPr>
        <w:t>(</w:t>
      </w:r>
      <w:r w:rsidRPr="00255369">
        <w:rPr>
          <w:rStyle w:val="ae"/>
          <w:rFonts w:ascii="Traditional Arabic" w:hAnsi="Traditional Arabic"/>
          <w:sz w:val="32"/>
          <w:szCs w:val="32"/>
          <w:vertAlign w:val="baseline"/>
        </w:rPr>
        <w:footnoteRef/>
      </w:r>
      <w:r w:rsidRPr="00255369">
        <w:rPr>
          <w:rFonts w:ascii="Traditional Arabic" w:hAnsi="Traditional Arabic"/>
          <w:sz w:val="32"/>
          <w:szCs w:val="32"/>
          <w:rtl/>
        </w:rPr>
        <w:t>)</w:t>
      </w:r>
      <w:r>
        <w:rPr>
          <w:rFonts w:ascii="Traditional Arabic" w:hAnsi="Traditional Arabic" w:hint="cs"/>
          <w:sz w:val="32"/>
          <w:szCs w:val="32"/>
          <w:rtl/>
        </w:rPr>
        <w:t xml:space="preserve"> انظر:</w:t>
      </w:r>
      <w:r w:rsidRPr="006B4698">
        <w:rPr>
          <w:rFonts w:ascii="Traditional Arabic" w:hAnsi="Traditional Arabic"/>
          <w:sz w:val="32"/>
          <w:szCs w:val="32"/>
          <w:rtl/>
        </w:rPr>
        <w:t xml:space="preserve"> </w:t>
      </w:r>
      <w:r>
        <w:rPr>
          <w:rFonts w:ascii="Traditional Arabic" w:hAnsi="Traditional Arabic" w:hint="cs"/>
          <w:sz w:val="32"/>
          <w:szCs w:val="32"/>
          <w:rtl/>
        </w:rPr>
        <w:t>(ص202).</w:t>
      </w:r>
    </w:p>
  </w:footnote>
  <w:footnote w:id="142">
    <w:p w:rsidR="003F128F" w:rsidRPr="00255369" w:rsidRDefault="003F128F" w:rsidP="004A65BA">
      <w:pPr>
        <w:pStyle w:val="af3"/>
        <w:rPr>
          <w:rFonts w:ascii="Traditional Arabic" w:hAnsi="Traditional Arabic"/>
          <w:sz w:val="32"/>
          <w:szCs w:val="32"/>
        </w:rPr>
      </w:pPr>
      <w:r w:rsidRPr="00255369">
        <w:rPr>
          <w:rFonts w:ascii="Traditional Arabic" w:hAnsi="Traditional Arabic"/>
          <w:sz w:val="32"/>
          <w:szCs w:val="32"/>
          <w:rtl/>
        </w:rPr>
        <w:t>(</w:t>
      </w:r>
      <w:r w:rsidRPr="00255369">
        <w:rPr>
          <w:rStyle w:val="ae"/>
          <w:rFonts w:ascii="Traditional Arabic" w:hAnsi="Traditional Arabic"/>
          <w:sz w:val="32"/>
          <w:szCs w:val="32"/>
          <w:vertAlign w:val="baseline"/>
        </w:rPr>
        <w:footnoteRef/>
      </w:r>
      <w:r w:rsidRPr="00255369">
        <w:rPr>
          <w:rFonts w:ascii="Traditional Arabic" w:hAnsi="Traditional Arabic"/>
          <w:sz w:val="32"/>
          <w:szCs w:val="32"/>
          <w:rtl/>
        </w:rPr>
        <w:t>)</w:t>
      </w:r>
      <w:r>
        <w:rPr>
          <w:rFonts w:ascii="Traditional Arabic" w:hAnsi="Traditional Arabic" w:hint="cs"/>
          <w:sz w:val="32"/>
          <w:szCs w:val="32"/>
          <w:rtl/>
        </w:rPr>
        <w:t xml:space="preserve"> انظر:</w:t>
      </w:r>
      <w:r w:rsidRPr="006B4698">
        <w:rPr>
          <w:rFonts w:ascii="Traditional Arabic" w:hAnsi="Traditional Arabic"/>
          <w:sz w:val="32"/>
          <w:szCs w:val="32"/>
          <w:rtl/>
        </w:rPr>
        <w:t xml:space="preserve"> </w:t>
      </w:r>
      <w:r>
        <w:rPr>
          <w:rFonts w:ascii="Traditional Arabic" w:hAnsi="Traditional Arabic" w:hint="cs"/>
          <w:sz w:val="32"/>
          <w:szCs w:val="32"/>
          <w:rtl/>
        </w:rPr>
        <w:t>(ص146).</w:t>
      </w:r>
    </w:p>
  </w:footnote>
  <w:footnote w:id="143">
    <w:p w:rsidR="003F128F" w:rsidRPr="00255369" w:rsidRDefault="003F128F" w:rsidP="00BF628B">
      <w:pPr>
        <w:pStyle w:val="af3"/>
        <w:rPr>
          <w:rFonts w:ascii="Traditional Arabic" w:hAnsi="Traditional Arabic"/>
          <w:sz w:val="32"/>
          <w:szCs w:val="32"/>
        </w:rPr>
      </w:pPr>
      <w:r w:rsidRPr="00255369">
        <w:rPr>
          <w:rFonts w:ascii="Traditional Arabic" w:hAnsi="Traditional Arabic"/>
          <w:sz w:val="32"/>
          <w:szCs w:val="32"/>
          <w:rtl/>
        </w:rPr>
        <w:t>(</w:t>
      </w:r>
      <w:r w:rsidRPr="00255369">
        <w:rPr>
          <w:rStyle w:val="ae"/>
          <w:rFonts w:ascii="Traditional Arabic" w:hAnsi="Traditional Arabic"/>
          <w:sz w:val="32"/>
          <w:szCs w:val="32"/>
          <w:vertAlign w:val="baseline"/>
        </w:rPr>
        <w:footnoteRef/>
      </w:r>
      <w:r w:rsidRPr="00255369">
        <w:rPr>
          <w:rFonts w:ascii="Traditional Arabic" w:hAnsi="Traditional Arabic"/>
          <w:sz w:val="32"/>
          <w:szCs w:val="32"/>
          <w:rtl/>
        </w:rPr>
        <w:t>)</w:t>
      </w:r>
      <w:r>
        <w:rPr>
          <w:rFonts w:ascii="Traditional Arabic" w:hAnsi="Traditional Arabic" w:hint="cs"/>
          <w:sz w:val="32"/>
          <w:szCs w:val="32"/>
          <w:rtl/>
        </w:rPr>
        <w:t xml:space="preserve"> انظر:</w:t>
      </w:r>
      <w:r w:rsidRPr="006B4698">
        <w:rPr>
          <w:rFonts w:ascii="Traditional Arabic" w:hAnsi="Traditional Arabic"/>
          <w:sz w:val="32"/>
          <w:szCs w:val="32"/>
          <w:rtl/>
        </w:rPr>
        <w:t xml:space="preserve"> </w:t>
      </w:r>
      <w:r>
        <w:rPr>
          <w:rFonts w:ascii="Traditional Arabic" w:hAnsi="Traditional Arabic" w:hint="cs"/>
          <w:sz w:val="32"/>
          <w:szCs w:val="32"/>
          <w:rtl/>
        </w:rPr>
        <w:t>(ص254).</w:t>
      </w:r>
    </w:p>
  </w:footnote>
  <w:footnote w:id="144">
    <w:p w:rsidR="003F128F" w:rsidRPr="00255369" w:rsidRDefault="003F128F" w:rsidP="004A65BA">
      <w:pPr>
        <w:pStyle w:val="af3"/>
        <w:rPr>
          <w:rFonts w:ascii="Traditional Arabic" w:hAnsi="Traditional Arabic"/>
          <w:sz w:val="32"/>
          <w:szCs w:val="32"/>
        </w:rPr>
      </w:pPr>
      <w:r w:rsidRPr="00255369">
        <w:rPr>
          <w:rFonts w:ascii="Traditional Arabic" w:hAnsi="Traditional Arabic"/>
          <w:sz w:val="32"/>
          <w:szCs w:val="32"/>
          <w:rtl/>
        </w:rPr>
        <w:t>(</w:t>
      </w:r>
      <w:r w:rsidRPr="00255369">
        <w:rPr>
          <w:rStyle w:val="ae"/>
          <w:rFonts w:ascii="Traditional Arabic" w:hAnsi="Traditional Arabic"/>
          <w:sz w:val="32"/>
          <w:szCs w:val="32"/>
          <w:vertAlign w:val="baseline"/>
        </w:rPr>
        <w:footnoteRef/>
      </w:r>
      <w:r w:rsidRPr="00255369">
        <w:rPr>
          <w:rFonts w:ascii="Traditional Arabic" w:hAnsi="Traditional Arabic"/>
          <w:sz w:val="32"/>
          <w:szCs w:val="32"/>
          <w:rtl/>
        </w:rPr>
        <w:t>)</w:t>
      </w:r>
      <w:r>
        <w:rPr>
          <w:rFonts w:ascii="Traditional Arabic" w:hAnsi="Traditional Arabic" w:hint="cs"/>
          <w:sz w:val="32"/>
          <w:szCs w:val="32"/>
          <w:rtl/>
        </w:rPr>
        <w:t xml:space="preserve"> انظر:</w:t>
      </w:r>
      <w:r w:rsidRPr="006B4698">
        <w:rPr>
          <w:rFonts w:ascii="Traditional Arabic" w:hAnsi="Traditional Arabic"/>
          <w:sz w:val="32"/>
          <w:szCs w:val="32"/>
          <w:rtl/>
        </w:rPr>
        <w:t xml:space="preserve"> </w:t>
      </w:r>
      <w:r>
        <w:rPr>
          <w:rFonts w:ascii="Traditional Arabic" w:hAnsi="Traditional Arabic" w:hint="cs"/>
          <w:sz w:val="32"/>
          <w:szCs w:val="32"/>
          <w:rtl/>
        </w:rPr>
        <w:t>(ص146).</w:t>
      </w:r>
    </w:p>
  </w:footnote>
  <w:footnote w:id="145">
    <w:p w:rsidR="003F128F" w:rsidRPr="00255369" w:rsidRDefault="003F128F" w:rsidP="004A65BA">
      <w:pPr>
        <w:pStyle w:val="af3"/>
        <w:rPr>
          <w:rFonts w:ascii="Traditional Arabic" w:hAnsi="Traditional Arabic"/>
          <w:sz w:val="32"/>
          <w:szCs w:val="32"/>
        </w:rPr>
      </w:pPr>
      <w:r w:rsidRPr="00255369">
        <w:rPr>
          <w:rFonts w:ascii="Traditional Arabic" w:hAnsi="Traditional Arabic"/>
          <w:sz w:val="32"/>
          <w:szCs w:val="32"/>
          <w:rtl/>
        </w:rPr>
        <w:t>(</w:t>
      </w:r>
      <w:r w:rsidRPr="00255369">
        <w:rPr>
          <w:rStyle w:val="ae"/>
          <w:rFonts w:ascii="Traditional Arabic" w:hAnsi="Traditional Arabic"/>
          <w:sz w:val="32"/>
          <w:szCs w:val="32"/>
          <w:vertAlign w:val="baseline"/>
        </w:rPr>
        <w:footnoteRef/>
      </w:r>
      <w:r w:rsidRPr="00255369">
        <w:rPr>
          <w:rFonts w:ascii="Traditional Arabic" w:hAnsi="Traditional Arabic"/>
          <w:sz w:val="32"/>
          <w:szCs w:val="32"/>
          <w:rtl/>
        </w:rPr>
        <w:t>)</w:t>
      </w:r>
      <w:r>
        <w:rPr>
          <w:rFonts w:ascii="Traditional Arabic" w:hAnsi="Traditional Arabic" w:hint="cs"/>
          <w:sz w:val="32"/>
          <w:szCs w:val="32"/>
          <w:rtl/>
        </w:rPr>
        <w:t xml:space="preserve"> انظر:</w:t>
      </w:r>
      <w:r w:rsidRPr="006B4698">
        <w:rPr>
          <w:rFonts w:ascii="Traditional Arabic" w:hAnsi="Traditional Arabic"/>
          <w:sz w:val="32"/>
          <w:szCs w:val="32"/>
          <w:rtl/>
        </w:rPr>
        <w:t xml:space="preserve"> </w:t>
      </w:r>
      <w:r>
        <w:rPr>
          <w:rFonts w:ascii="Traditional Arabic" w:hAnsi="Traditional Arabic" w:hint="cs"/>
          <w:sz w:val="32"/>
          <w:szCs w:val="32"/>
          <w:rtl/>
        </w:rPr>
        <w:t>(ص97-98).</w:t>
      </w:r>
      <w:r w:rsidRPr="00255369">
        <w:rPr>
          <w:rFonts w:ascii="Traditional Arabic" w:hAnsi="Traditional Arabic"/>
          <w:sz w:val="32"/>
          <w:szCs w:val="32"/>
          <w:rtl/>
        </w:rPr>
        <w:t xml:space="preserve"> </w:t>
      </w:r>
    </w:p>
  </w:footnote>
  <w:footnote w:id="146">
    <w:p w:rsidR="003F128F" w:rsidRPr="00255369" w:rsidRDefault="003F128F" w:rsidP="004A65BA">
      <w:pPr>
        <w:pStyle w:val="af3"/>
        <w:rPr>
          <w:rFonts w:ascii="Traditional Arabic" w:hAnsi="Traditional Arabic"/>
          <w:sz w:val="32"/>
          <w:szCs w:val="32"/>
        </w:rPr>
      </w:pPr>
      <w:r w:rsidRPr="00255369">
        <w:rPr>
          <w:rFonts w:ascii="Traditional Arabic" w:hAnsi="Traditional Arabic"/>
          <w:sz w:val="32"/>
          <w:szCs w:val="32"/>
          <w:rtl/>
        </w:rPr>
        <w:t>(</w:t>
      </w:r>
      <w:r w:rsidRPr="00255369">
        <w:rPr>
          <w:rStyle w:val="ae"/>
          <w:rFonts w:ascii="Traditional Arabic" w:hAnsi="Traditional Arabic"/>
          <w:sz w:val="32"/>
          <w:szCs w:val="32"/>
          <w:vertAlign w:val="baseline"/>
        </w:rPr>
        <w:footnoteRef/>
      </w:r>
      <w:r w:rsidRPr="00255369">
        <w:rPr>
          <w:rFonts w:ascii="Traditional Arabic" w:hAnsi="Traditional Arabic"/>
          <w:sz w:val="32"/>
          <w:szCs w:val="32"/>
          <w:rtl/>
        </w:rPr>
        <w:t>)</w:t>
      </w:r>
      <w:r>
        <w:rPr>
          <w:rFonts w:ascii="Traditional Arabic" w:hAnsi="Traditional Arabic" w:hint="cs"/>
          <w:sz w:val="32"/>
          <w:szCs w:val="32"/>
          <w:rtl/>
        </w:rPr>
        <w:t xml:space="preserve"> انظر:</w:t>
      </w:r>
      <w:r w:rsidRPr="006B4698">
        <w:rPr>
          <w:rFonts w:ascii="Traditional Arabic" w:hAnsi="Traditional Arabic"/>
          <w:sz w:val="32"/>
          <w:szCs w:val="32"/>
          <w:rtl/>
        </w:rPr>
        <w:t xml:space="preserve"> </w:t>
      </w:r>
      <w:r>
        <w:rPr>
          <w:rFonts w:ascii="Traditional Arabic" w:hAnsi="Traditional Arabic" w:hint="cs"/>
          <w:sz w:val="32"/>
          <w:szCs w:val="32"/>
          <w:rtl/>
        </w:rPr>
        <w:t>(ص159).</w:t>
      </w:r>
    </w:p>
  </w:footnote>
  <w:footnote w:id="147">
    <w:p w:rsidR="003F128F" w:rsidRPr="00832F88" w:rsidRDefault="003F128F" w:rsidP="004A65BA">
      <w:pPr>
        <w:pStyle w:val="af3"/>
        <w:rPr>
          <w:rFonts w:ascii="Tahoma" w:hAnsi="Tahoma"/>
        </w:rPr>
      </w:pPr>
      <w:r w:rsidRPr="00255369">
        <w:rPr>
          <w:rFonts w:ascii="Traditional Arabic" w:hAnsi="Traditional Arabic"/>
          <w:sz w:val="32"/>
          <w:szCs w:val="32"/>
          <w:rtl/>
        </w:rPr>
        <w:t>(</w:t>
      </w:r>
      <w:r w:rsidRPr="00255369">
        <w:rPr>
          <w:rStyle w:val="ae"/>
          <w:rFonts w:ascii="Traditional Arabic" w:hAnsi="Traditional Arabic"/>
          <w:sz w:val="32"/>
          <w:szCs w:val="32"/>
          <w:vertAlign w:val="baseline"/>
        </w:rPr>
        <w:footnoteRef/>
      </w:r>
      <w:r w:rsidRPr="00255369">
        <w:rPr>
          <w:rFonts w:ascii="Traditional Arabic" w:hAnsi="Traditional Arabic"/>
          <w:sz w:val="32"/>
          <w:szCs w:val="32"/>
          <w:rtl/>
        </w:rPr>
        <w:t>)</w:t>
      </w:r>
      <w:r>
        <w:rPr>
          <w:rFonts w:ascii="Traditional Arabic" w:hAnsi="Traditional Arabic" w:hint="cs"/>
          <w:sz w:val="32"/>
          <w:szCs w:val="32"/>
          <w:rtl/>
        </w:rPr>
        <w:t xml:space="preserve"> انظر:</w:t>
      </w:r>
      <w:r w:rsidRPr="006B4698">
        <w:rPr>
          <w:rFonts w:ascii="Traditional Arabic" w:hAnsi="Traditional Arabic"/>
          <w:sz w:val="32"/>
          <w:szCs w:val="32"/>
          <w:rtl/>
        </w:rPr>
        <w:t xml:space="preserve"> </w:t>
      </w:r>
      <w:r>
        <w:rPr>
          <w:rFonts w:ascii="Traditional Arabic" w:hAnsi="Traditional Arabic" w:hint="cs"/>
          <w:sz w:val="32"/>
          <w:szCs w:val="32"/>
          <w:rtl/>
        </w:rPr>
        <w:t>(ص207).</w:t>
      </w:r>
    </w:p>
  </w:footnote>
  <w:footnote w:id="148">
    <w:p w:rsidR="003F128F" w:rsidRPr="00E26268" w:rsidRDefault="003F128F" w:rsidP="004A65BA">
      <w:pPr>
        <w:pStyle w:val="af3"/>
        <w:rPr>
          <w:rFonts w:ascii="Traditional Arabic" w:hAnsi="Traditional Arabic"/>
          <w:sz w:val="32"/>
          <w:szCs w:val="32"/>
        </w:rPr>
      </w:pPr>
      <w:r w:rsidRPr="00E26268">
        <w:rPr>
          <w:rFonts w:ascii="Traditional Arabic" w:hAnsi="Traditional Arabic"/>
          <w:sz w:val="32"/>
          <w:szCs w:val="32"/>
          <w:rtl/>
        </w:rPr>
        <w:t>(</w:t>
      </w:r>
      <w:r w:rsidRPr="00E26268">
        <w:rPr>
          <w:rStyle w:val="ae"/>
          <w:rFonts w:ascii="Traditional Arabic" w:hAnsi="Traditional Arabic"/>
          <w:sz w:val="32"/>
          <w:szCs w:val="32"/>
          <w:vertAlign w:val="baseline"/>
        </w:rPr>
        <w:footnoteRef/>
      </w:r>
      <w:r w:rsidRPr="00E26268">
        <w:rPr>
          <w:rFonts w:ascii="Traditional Arabic" w:hAnsi="Traditional Arabic"/>
          <w:sz w:val="32"/>
          <w:szCs w:val="32"/>
          <w:rtl/>
        </w:rPr>
        <w:t>)</w:t>
      </w:r>
      <w:r>
        <w:rPr>
          <w:rFonts w:ascii="Traditional Arabic" w:hAnsi="Traditional Arabic" w:hint="cs"/>
          <w:sz w:val="32"/>
          <w:szCs w:val="32"/>
          <w:rtl/>
        </w:rPr>
        <w:t xml:space="preserve"> انظر:</w:t>
      </w:r>
      <w:r w:rsidRPr="006B4698">
        <w:rPr>
          <w:rFonts w:ascii="Traditional Arabic" w:hAnsi="Traditional Arabic"/>
          <w:sz w:val="32"/>
          <w:szCs w:val="32"/>
          <w:rtl/>
        </w:rPr>
        <w:t xml:space="preserve"> </w:t>
      </w:r>
      <w:r>
        <w:rPr>
          <w:rFonts w:ascii="Traditional Arabic" w:hAnsi="Traditional Arabic" w:hint="cs"/>
          <w:sz w:val="32"/>
          <w:szCs w:val="32"/>
          <w:rtl/>
        </w:rPr>
        <w:t>(ص198-199).</w:t>
      </w:r>
    </w:p>
  </w:footnote>
  <w:footnote w:id="149">
    <w:p w:rsidR="003F128F" w:rsidRPr="00E26268" w:rsidRDefault="003F128F" w:rsidP="00171A23">
      <w:pPr>
        <w:pStyle w:val="af3"/>
        <w:rPr>
          <w:rFonts w:ascii="Tahoma" w:hAnsi="Tahoma"/>
        </w:rPr>
      </w:pPr>
      <w:r w:rsidRPr="00E26268">
        <w:rPr>
          <w:rFonts w:ascii="Traditional Arabic" w:hAnsi="Traditional Arabic"/>
          <w:sz w:val="32"/>
          <w:szCs w:val="32"/>
          <w:rtl/>
        </w:rPr>
        <w:t>(</w:t>
      </w:r>
      <w:r w:rsidRPr="00E26268">
        <w:rPr>
          <w:rStyle w:val="ae"/>
          <w:rFonts w:ascii="Traditional Arabic" w:hAnsi="Traditional Arabic"/>
          <w:sz w:val="32"/>
          <w:szCs w:val="32"/>
          <w:vertAlign w:val="baseline"/>
        </w:rPr>
        <w:footnoteRef/>
      </w:r>
      <w:r w:rsidRPr="00E26268">
        <w:rPr>
          <w:rFonts w:ascii="Traditional Arabic" w:hAnsi="Traditional Arabic"/>
          <w:sz w:val="32"/>
          <w:szCs w:val="32"/>
          <w:rtl/>
        </w:rPr>
        <w:t>)</w:t>
      </w:r>
      <w:r>
        <w:rPr>
          <w:rFonts w:ascii="Traditional Arabic" w:hAnsi="Traditional Arabic" w:hint="cs"/>
          <w:sz w:val="32"/>
          <w:szCs w:val="32"/>
          <w:rtl/>
        </w:rPr>
        <w:t xml:space="preserve"> انظر:</w:t>
      </w:r>
      <w:r w:rsidRPr="006B4698">
        <w:rPr>
          <w:rFonts w:ascii="Traditional Arabic" w:hAnsi="Traditional Arabic"/>
          <w:sz w:val="32"/>
          <w:szCs w:val="32"/>
          <w:rtl/>
        </w:rPr>
        <w:t xml:space="preserve"> </w:t>
      </w:r>
      <w:r>
        <w:rPr>
          <w:rFonts w:ascii="Traditional Arabic" w:hAnsi="Traditional Arabic" w:hint="cs"/>
          <w:sz w:val="32"/>
          <w:szCs w:val="32"/>
          <w:rtl/>
        </w:rPr>
        <w:t>(ص125).</w:t>
      </w:r>
    </w:p>
  </w:footnote>
  <w:footnote w:id="150">
    <w:p w:rsidR="003F128F" w:rsidRPr="00832F88" w:rsidRDefault="003F128F" w:rsidP="00171A23">
      <w:pPr>
        <w:pStyle w:val="af3"/>
        <w:rPr>
          <w:rFonts w:ascii="Tahoma" w:hAnsi="Tahoma"/>
        </w:rPr>
      </w:pPr>
      <w:r w:rsidRPr="00832F88">
        <w:rPr>
          <w:rFonts w:ascii="Tahoma" w:hAnsi="Tahoma"/>
          <w:rtl/>
        </w:rPr>
        <w:t>(</w:t>
      </w:r>
      <w:r w:rsidRPr="00832F88">
        <w:rPr>
          <w:rStyle w:val="ae"/>
          <w:rFonts w:ascii="Tahoma" w:hAnsi="Tahoma"/>
          <w:vertAlign w:val="baseline"/>
        </w:rPr>
        <w:footnoteRef/>
      </w:r>
      <w:r w:rsidRPr="00832F88">
        <w:rPr>
          <w:rFonts w:ascii="Tahoma" w:hAnsi="Tahoma"/>
          <w:rtl/>
        </w:rPr>
        <w:t>)</w:t>
      </w:r>
      <w:r>
        <w:rPr>
          <w:rFonts w:ascii="Tahoma" w:hAnsi="Tahoma"/>
          <w:rtl/>
        </w:rPr>
        <w:t xml:space="preserve">  </w:t>
      </w:r>
      <w:r>
        <w:rPr>
          <w:rFonts w:ascii="Traditional Arabic" w:hAnsi="Traditional Arabic" w:hint="cs"/>
          <w:sz w:val="32"/>
          <w:szCs w:val="32"/>
          <w:rtl/>
        </w:rPr>
        <w:t>انظر:</w:t>
      </w:r>
      <w:r w:rsidRPr="006B4698">
        <w:rPr>
          <w:rFonts w:ascii="Traditional Arabic" w:hAnsi="Traditional Arabic"/>
          <w:sz w:val="32"/>
          <w:szCs w:val="32"/>
          <w:rtl/>
        </w:rPr>
        <w:t xml:space="preserve"> </w:t>
      </w:r>
      <w:r>
        <w:rPr>
          <w:rFonts w:ascii="Traditional Arabic" w:hAnsi="Traditional Arabic" w:hint="cs"/>
          <w:sz w:val="32"/>
          <w:szCs w:val="32"/>
          <w:rtl/>
        </w:rPr>
        <w:t>(ص197-198).</w:t>
      </w:r>
    </w:p>
  </w:footnote>
  <w:footnote w:id="151">
    <w:p w:rsidR="003F128F" w:rsidRPr="00832F88" w:rsidRDefault="003F128F" w:rsidP="00171A23">
      <w:pPr>
        <w:pStyle w:val="af3"/>
        <w:rPr>
          <w:rFonts w:ascii="Tahoma" w:hAnsi="Tahoma"/>
        </w:rPr>
      </w:pPr>
      <w:r w:rsidRPr="00832F88">
        <w:rPr>
          <w:rFonts w:ascii="Tahoma" w:hAnsi="Tahoma"/>
          <w:rtl/>
        </w:rPr>
        <w:t>(</w:t>
      </w:r>
      <w:r w:rsidRPr="00832F88">
        <w:rPr>
          <w:rStyle w:val="ae"/>
          <w:rFonts w:ascii="Tahoma" w:hAnsi="Tahoma"/>
          <w:vertAlign w:val="baseline"/>
        </w:rPr>
        <w:footnoteRef/>
      </w:r>
      <w:r w:rsidRPr="00832F88">
        <w:rPr>
          <w:rFonts w:ascii="Tahoma" w:hAnsi="Tahoma"/>
          <w:rtl/>
        </w:rPr>
        <w:t>)</w:t>
      </w:r>
      <w:r>
        <w:rPr>
          <w:rFonts w:ascii="Tahoma" w:hAnsi="Tahoma" w:hint="cs"/>
          <w:rtl/>
        </w:rPr>
        <w:t xml:space="preserve"> </w:t>
      </w:r>
      <w:r>
        <w:rPr>
          <w:rFonts w:ascii="Traditional Arabic" w:hAnsi="Traditional Arabic" w:hint="cs"/>
          <w:sz w:val="32"/>
          <w:szCs w:val="32"/>
          <w:rtl/>
        </w:rPr>
        <w:t>انظر: (ص127-128).</w:t>
      </w:r>
    </w:p>
  </w:footnote>
  <w:footnote w:id="152">
    <w:p w:rsidR="003F128F" w:rsidRPr="00716578" w:rsidRDefault="003F128F" w:rsidP="00977065">
      <w:pPr>
        <w:pStyle w:val="af3"/>
        <w:rPr>
          <w:rFonts w:ascii="Tahoma" w:hAnsi="Tahoma"/>
        </w:rPr>
      </w:pPr>
      <w:r w:rsidRPr="00716578">
        <w:rPr>
          <w:rFonts w:ascii="Tahoma" w:hAnsi="Tahoma"/>
          <w:rtl/>
        </w:rPr>
        <w:t>(</w:t>
      </w:r>
      <w:r w:rsidRPr="00716578">
        <w:rPr>
          <w:rStyle w:val="ae"/>
          <w:rFonts w:ascii="Tahoma" w:hAnsi="Tahoma"/>
          <w:vertAlign w:val="baseline"/>
        </w:rPr>
        <w:footnoteRef/>
      </w:r>
      <w:r w:rsidRPr="00716578">
        <w:rPr>
          <w:rFonts w:ascii="Tahoma" w:hAnsi="Tahoma"/>
          <w:rtl/>
        </w:rPr>
        <w:t>)</w:t>
      </w:r>
      <w:r>
        <w:rPr>
          <w:rFonts w:ascii="Tahoma" w:hAnsi="Tahoma" w:hint="cs"/>
          <w:rtl/>
        </w:rPr>
        <w:t xml:space="preserve"> </w:t>
      </w:r>
      <w:r>
        <w:rPr>
          <w:rFonts w:ascii="Traditional Arabic" w:hAnsi="Traditional Arabic" w:hint="cs"/>
          <w:sz w:val="32"/>
          <w:szCs w:val="32"/>
          <w:rtl/>
        </w:rPr>
        <w:t>انظر: (ص143)</w:t>
      </w:r>
      <w:r>
        <w:rPr>
          <w:rFonts w:ascii="Tahoma" w:hAnsi="Tahoma" w:hint="cs"/>
          <w:rtl/>
        </w:rPr>
        <w:t>.</w:t>
      </w:r>
    </w:p>
  </w:footnote>
  <w:footnote w:id="153">
    <w:p w:rsidR="003F128F" w:rsidRPr="000534B5" w:rsidRDefault="003F128F" w:rsidP="00977065">
      <w:pPr>
        <w:pStyle w:val="af3"/>
        <w:rPr>
          <w:rFonts w:ascii="Traditional Arabic" w:hAnsi="Traditional Arabic"/>
          <w:sz w:val="32"/>
          <w:szCs w:val="32"/>
        </w:rPr>
      </w:pPr>
      <w:r w:rsidRPr="000534B5">
        <w:rPr>
          <w:rFonts w:ascii="Traditional Arabic" w:hAnsi="Traditional Arabic"/>
          <w:sz w:val="32"/>
          <w:szCs w:val="32"/>
          <w:rtl/>
        </w:rPr>
        <w:t>(</w:t>
      </w:r>
      <w:r w:rsidRPr="000534B5">
        <w:rPr>
          <w:rStyle w:val="ae"/>
          <w:rFonts w:ascii="Traditional Arabic" w:hAnsi="Traditional Arabic"/>
          <w:sz w:val="32"/>
          <w:szCs w:val="32"/>
          <w:vertAlign w:val="baseline"/>
        </w:rPr>
        <w:footnoteRef/>
      </w:r>
      <w:r w:rsidRPr="000534B5">
        <w:rPr>
          <w:rFonts w:ascii="Traditional Arabic" w:hAnsi="Traditional Arabic"/>
          <w:sz w:val="32"/>
          <w:szCs w:val="32"/>
          <w:rtl/>
        </w:rPr>
        <w:t>)</w:t>
      </w:r>
      <w:r>
        <w:rPr>
          <w:rFonts w:ascii="Traditional Arabic" w:hAnsi="Traditional Arabic" w:hint="cs"/>
          <w:sz w:val="32"/>
          <w:szCs w:val="32"/>
          <w:rtl/>
        </w:rPr>
        <w:t xml:space="preserve"> انظر: (ص102-103).</w:t>
      </w:r>
    </w:p>
  </w:footnote>
  <w:footnote w:id="154">
    <w:p w:rsidR="003F128F" w:rsidRPr="000534B5" w:rsidRDefault="003F128F" w:rsidP="00977065">
      <w:pPr>
        <w:pStyle w:val="af3"/>
        <w:rPr>
          <w:rFonts w:ascii="Traditional Arabic" w:hAnsi="Traditional Arabic"/>
          <w:sz w:val="32"/>
          <w:szCs w:val="32"/>
        </w:rPr>
      </w:pPr>
      <w:r w:rsidRPr="000534B5">
        <w:rPr>
          <w:rFonts w:ascii="Traditional Arabic" w:hAnsi="Traditional Arabic"/>
          <w:sz w:val="32"/>
          <w:szCs w:val="32"/>
          <w:rtl/>
        </w:rPr>
        <w:t>(</w:t>
      </w:r>
      <w:r w:rsidRPr="000534B5">
        <w:rPr>
          <w:rStyle w:val="ae"/>
          <w:rFonts w:ascii="Traditional Arabic" w:hAnsi="Traditional Arabic"/>
          <w:sz w:val="32"/>
          <w:szCs w:val="32"/>
          <w:vertAlign w:val="baseline"/>
        </w:rPr>
        <w:footnoteRef/>
      </w:r>
      <w:r w:rsidRPr="000534B5">
        <w:rPr>
          <w:rFonts w:ascii="Traditional Arabic" w:hAnsi="Traditional Arabic"/>
          <w:sz w:val="32"/>
          <w:szCs w:val="32"/>
          <w:rtl/>
        </w:rPr>
        <w:t xml:space="preserve">) </w:t>
      </w:r>
      <w:r>
        <w:rPr>
          <w:rFonts w:ascii="Traditional Arabic" w:hAnsi="Traditional Arabic" w:hint="cs"/>
          <w:sz w:val="32"/>
          <w:szCs w:val="32"/>
          <w:rtl/>
        </w:rPr>
        <w:t>تقدم في (ص61).</w:t>
      </w:r>
      <w:r w:rsidRPr="000534B5">
        <w:rPr>
          <w:rFonts w:ascii="Traditional Arabic" w:hAnsi="Traditional Arabic"/>
          <w:sz w:val="32"/>
          <w:szCs w:val="32"/>
          <w:rtl/>
        </w:rPr>
        <w:t xml:space="preserve">  </w:t>
      </w:r>
    </w:p>
  </w:footnote>
  <w:footnote w:id="155">
    <w:p w:rsidR="003F128F" w:rsidRPr="004153CA" w:rsidRDefault="003F128F" w:rsidP="00977065">
      <w:pPr>
        <w:pStyle w:val="af3"/>
        <w:rPr>
          <w:rFonts w:ascii="Tahoma" w:hAnsi="Tahoma"/>
        </w:rPr>
      </w:pPr>
      <w:r w:rsidRPr="000534B5">
        <w:rPr>
          <w:rFonts w:ascii="Traditional Arabic" w:hAnsi="Traditional Arabic"/>
          <w:sz w:val="32"/>
          <w:szCs w:val="32"/>
          <w:rtl/>
        </w:rPr>
        <w:t>(</w:t>
      </w:r>
      <w:r w:rsidRPr="000534B5">
        <w:rPr>
          <w:rStyle w:val="ae"/>
          <w:rFonts w:ascii="Traditional Arabic" w:hAnsi="Traditional Arabic"/>
          <w:sz w:val="32"/>
          <w:szCs w:val="32"/>
          <w:vertAlign w:val="baseline"/>
        </w:rPr>
        <w:footnoteRef/>
      </w:r>
      <w:r w:rsidRPr="000534B5">
        <w:rPr>
          <w:rFonts w:ascii="Traditional Arabic" w:hAnsi="Traditional Arabic"/>
          <w:sz w:val="32"/>
          <w:szCs w:val="32"/>
          <w:rtl/>
        </w:rPr>
        <w:t>)</w:t>
      </w:r>
      <w:r>
        <w:rPr>
          <w:rFonts w:ascii="Traditional Arabic" w:hAnsi="Traditional Arabic" w:hint="cs"/>
          <w:sz w:val="32"/>
          <w:szCs w:val="32"/>
          <w:rtl/>
        </w:rPr>
        <w:t xml:space="preserve"> انظر: (ص153-154).</w:t>
      </w:r>
    </w:p>
  </w:footnote>
  <w:footnote w:id="156">
    <w:p w:rsidR="003F128F" w:rsidRPr="007D541F" w:rsidRDefault="003F128F" w:rsidP="00977065">
      <w:pPr>
        <w:pStyle w:val="af3"/>
        <w:rPr>
          <w:rFonts w:ascii="Traditional Arabic" w:hAnsi="Traditional Arabic"/>
          <w:sz w:val="32"/>
          <w:szCs w:val="32"/>
        </w:rPr>
      </w:pPr>
      <w:r w:rsidRPr="007D541F">
        <w:rPr>
          <w:rFonts w:ascii="Traditional Arabic" w:hAnsi="Traditional Arabic"/>
          <w:sz w:val="32"/>
          <w:szCs w:val="32"/>
          <w:rtl/>
        </w:rPr>
        <w:t>(</w:t>
      </w:r>
      <w:r w:rsidRPr="007D541F">
        <w:rPr>
          <w:rStyle w:val="ae"/>
          <w:rFonts w:ascii="Traditional Arabic" w:hAnsi="Traditional Arabic"/>
          <w:sz w:val="32"/>
          <w:szCs w:val="32"/>
          <w:vertAlign w:val="baseline"/>
        </w:rPr>
        <w:footnoteRef/>
      </w:r>
      <w:r w:rsidRPr="007D541F">
        <w:rPr>
          <w:rFonts w:ascii="Traditional Arabic" w:hAnsi="Traditional Arabic"/>
          <w:sz w:val="32"/>
          <w:szCs w:val="32"/>
          <w:rtl/>
        </w:rPr>
        <w:t>)</w:t>
      </w:r>
      <w:r>
        <w:rPr>
          <w:rFonts w:ascii="Traditional Arabic" w:hAnsi="Traditional Arabic" w:hint="cs"/>
          <w:sz w:val="32"/>
          <w:szCs w:val="32"/>
          <w:rtl/>
        </w:rPr>
        <w:t xml:space="preserve"> انظر: (ص164).</w:t>
      </w:r>
    </w:p>
  </w:footnote>
  <w:footnote w:id="157">
    <w:p w:rsidR="003F128F" w:rsidRPr="007D541F" w:rsidRDefault="003F128F" w:rsidP="00977065">
      <w:pPr>
        <w:pStyle w:val="af3"/>
        <w:rPr>
          <w:rFonts w:ascii="Traditional Arabic" w:hAnsi="Traditional Arabic"/>
          <w:sz w:val="32"/>
          <w:szCs w:val="32"/>
        </w:rPr>
      </w:pPr>
      <w:r w:rsidRPr="007D541F">
        <w:rPr>
          <w:rFonts w:ascii="Traditional Arabic" w:hAnsi="Traditional Arabic"/>
          <w:sz w:val="32"/>
          <w:szCs w:val="32"/>
          <w:rtl/>
        </w:rPr>
        <w:t>(</w:t>
      </w:r>
      <w:r w:rsidRPr="007D541F">
        <w:rPr>
          <w:rStyle w:val="ae"/>
          <w:rFonts w:ascii="Traditional Arabic" w:hAnsi="Traditional Arabic"/>
          <w:sz w:val="32"/>
          <w:szCs w:val="32"/>
          <w:vertAlign w:val="baseline"/>
        </w:rPr>
        <w:footnoteRef/>
      </w:r>
      <w:r w:rsidRPr="007D541F">
        <w:rPr>
          <w:rFonts w:ascii="Traditional Arabic" w:hAnsi="Traditional Arabic"/>
          <w:sz w:val="32"/>
          <w:szCs w:val="32"/>
          <w:rtl/>
        </w:rPr>
        <w:t>)</w:t>
      </w:r>
      <w:r>
        <w:rPr>
          <w:rFonts w:ascii="Traditional Arabic" w:hAnsi="Traditional Arabic" w:hint="cs"/>
          <w:sz w:val="32"/>
          <w:szCs w:val="32"/>
          <w:rtl/>
        </w:rPr>
        <w:t xml:space="preserve"> انظر: (ص89-90).</w:t>
      </w:r>
    </w:p>
  </w:footnote>
  <w:footnote w:id="158">
    <w:p w:rsidR="003F128F" w:rsidRPr="006035A5" w:rsidRDefault="003F128F" w:rsidP="00977065">
      <w:pPr>
        <w:pStyle w:val="af3"/>
        <w:rPr>
          <w:rFonts w:ascii="Tahoma" w:hAnsi="Tahoma"/>
        </w:rPr>
      </w:pPr>
      <w:r w:rsidRPr="007D541F">
        <w:rPr>
          <w:rFonts w:ascii="Traditional Arabic" w:hAnsi="Traditional Arabic"/>
          <w:sz w:val="32"/>
          <w:szCs w:val="32"/>
          <w:rtl/>
        </w:rPr>
        <w:t>(</w:t>
      </w:r>
      <w:r w:rsidRPr="007D541F">
        <w:rPr>
          <w:rStyle w:val="ae"/>
          <w:rFonts w:ascii="Traditional Arabic" w:hAnsi="Traditional Arabic"/>
          <w:sz w:val="32"/>
          <w:szCs w:val="32"/>
          <w:vertAlign w:val="baseline"/>
        </w:rPr>
        <w:footnoteRef/>
      </w:r>
      <w:r w:rsidRPr="007D541F">
        <w:rPr>
          <w:rFonts w:ascii="Traditional Arabic" w:hAnsi="Traditional Arabic"/>
          <w:sz w:val="32"/>
          <w:szCs w:val="32"/>
          <w:rtl/>
        </w:rPr>
        <w:t>)</w:t>
      </w:r>
      <w:r>
        <w:rPr>
          <w:rFonts w:ascii="Traditional Arabic" w:hAnsi="Traditional Arabic" w:hint="cs"/>
          <w:sz w:val="32"/>
          <w:szCs w:val="32"/>
          <w:rtl/>
        </w:rPr>
        <w:t xml:space="preserve"> انظر: (ص164)</w:t>
      </w:r>
      <w:r>
        <w:rPr>
          <w:rFonts w:ascii="Tahoma" w:hAnsi="Tahoma" w:hint="cs"/>
          <w:rtl/>
        </w:rPr>
        <w:t>.</w:t>
      </w:r>
    </w:p>
  </w:footnote>
  <w:footnote w:id="159">
    <w:p w:rsidR="003F128F" w:rsidRPr="007D541F" w:rsidRDefault="003F128F" w:rsidP="00C71CC5">
      <w:pPr>
        <w:pStyle w:val="af3"/>
        <w:rPr>
          <w:rFonts w:ascii="Traditional Arabic" w:hAnsi="Traditional Arabic"/>
          <w:sz w:val="32"/>
          <w:szCs w:val="32"/>
        </w:rPr>
      </w:pPr>
      <w:r w:rsidRPr="007D541F">
        <w:rPr>
          <w:rFonts w:ascii="Traditional Arabic" w:hAnsi="Traditional Arabic"/>
          <w:sz w:val="32"/>
          <w:szCs w:val="32"/>
          <w:rtl/>
        </w:rPr>
        <w:t>(</w:t>
      </w:r>
      <w:r w:rsidRPr="007D541F">
        <w:rPr>
          <w:rStyle w:val="ae"/>
          <w:rFonts w:ascii="Traditional Arabic" w:hAnsi="Traditional Arabic"/>
          <w:sz w:val="32"/>
          <w:szCs w:val="32"/>
          <w:vertAlign w:val="baseline"/>
        </w:rPr>
        <w:footnoteRef/>
      </w:r>
      <w:r w:rsidRPr="007D541F">
        <w:rPr>
          <w:rFonts w:ascii="Traditional Arabic" w:hAnsi="Traditional Arabic"/>
          <w:sz w:val="32"/>
          <w:szCs w:val="32"/>
          <w:rtl/>
        </w:rPr>
        <w:t>)</w:t>
      </w:r>
      <w:r>
        <w:rPr>
          <w:rFonts w:ascii="Traditional Arabic" w:hAnsi="Traditional Arabic" w:hint="cs"/>
          <w:sz w:val="32"/>
          <w:szCs w:val="32"/>
          <w:rtl/>
        </w:rPr>
        <w:t xml:space="preserve"> انظر: (ص229).</w:t>
      </w:r>
    </w:p>
  </w:footnote>
  <w:footnote w:id="160">
    <w:p w:rsidR="003F128F" w:rsidRPr="007D541F" w:rsidRDefault="003F128F" w:rsidP="00C71CC5">
      <w:pPr>
        <w:pStyle w:val="af3"/>
        <w:rPr>
          <w:rFonts w:ascii="Traditional Arabic" w:hAnsi="Traditional Arabic"/>
          <w:sz w:val="32"/>
          <w:szCs w:val="32"/>
        </w:rPr>
      </w:pPr>
      <w:r w:rsidRPr="007D541F">
        <w:rPr>
          <w:rFonts w:ascii="Traditional Arabic" w:hAnsi="Traditional Arabic"/>
          <w:sz w:val="32"/>
          <w:szCs w:val="32"/>
          <w:rtl/>
        </w:rPr>
        <w:t>(</w:t>
      </w:r>
      <w:r w:rsidRPr="007D541F">
        <w:rPr>
          <w:rStyle w:val="ae"/>
          <w:rFonts w:ascii="Traditional Arabic" w:hAnsi="Traditional Arabic"/>
          <w:sz w:val="32"/>
          <w:szCs w:val="32"/>
          <w:vertAlign w:val="baseline"/>
        </w:rPr>
        <w:footnoteRef/>
      </w:r>
      <w:r w:rsidRPr="007D541F">
        <w:rPr>
          <w:rFonts w:ascii="Traditional Arabic" w:hAnsi="Traditional Arabic"/>
          <w:sz w:val="32"/>
          <w:szCs w:val="32"/>
          <w:rtl/>
        </w:rPr>
        <w:t>)</w:t>
      </w:r>
      <w:r>
        <w:rPr>
          <w:rFonts w:ascii="Traditional Arabic" w:hAnsi="Traditional Arabic" w:hint="cs"/>
          <w:sz w:val="32"/>
          <w:szCs w:val="32"/>
          <w:rtl/>
        </w:rPr>
        <w:t xml:space="preserve"> انظر: (ص105).</w:t>
      </w:r>
      <w:r w:rsidRPr="007D541F">
        <w:rPr>
          <w:rFonts w:ascii="Traditional Arabic" w:hAnsi="Traditional Arabic"/>
          <w:sz w:val="32"/>
          <w:szCs w:val="32"/>
          <w:rtl/>
        </w:rPr>
        <w:t xml:space="preserve"> </w:t>
      </w:r>
    </w:p>
  </w:footnote>
  <w:footnote w:id="161">
    <w:p w:rsidR="003F128F" w:rsidRPr="007D541F" w:rsidRDefault="003F128F" w:rsidP="00C71CC5">
      <w:pPr>
        <w:pStyle w:val="af3"/>
        <w:rPr>
          <w:rFonts w:ascii="Tahoma" w:hAnsi="Tahoma" w:cs="Akhbar MT"/>
          <w:sz w:val="32"/>
          <w:szCs w:val="32"/>
        </w:rPr>
      </w:pPr>
      <w:r w:rsidRPr="007D541F">
        <w:rPr>
          <w:rFonts w:ascii="Traditional Arabic" w:hAnsi="Traditional Arabic"/>
          <w:sz w:val="32"/>
          <w:szCs w:val="32"/>
          <w:rtl/>
        </w:rPr>
        <w:t>(</w:t>
      </w:r>
      <w:r w:rsidRPr="007D541F">
        <w:rPr>
          <w:rStyle w:val="ae"/>
          <w:rFonts w:ascii="Traditional Arabic" w:hAnsi="Traditional Arabic"/>
          <w:sz w:val="32"/>
          <w:szCs w:val="32"/>
          <w:vertAlign w:val="baseline"/>
        </w:rPr>
        <w:footnoteRef/>
      </w:r>
      <w:r w:rsidRPr="007D541F">
        <w:rPr>
          <w:rFonts w:ascii="Traditional Arabic" w:hAnsi="Traditional Arabic"/>
          <w:sz w:val="32"/>
          <w:szCs w:val="32"/>
          <w:rtl/>
        </w:rPr>
        <w:t>)</w:t>
      </w:r>
      <w:r>
        <w:rPr>
          <w:rFonts w:ascii="Traditional Arabic" w:hAnsi="Traditional Arabic" w:hint="cs"/>
          <w:sz w:val="32"/>
          <w:szCs w:val="32"/>
          <w:rtl/>
        </w:rPr>
        <w:t xml:space="preserve"> انظر: (ص163).</w:t>
      </w:r>
    </w:p>
  </w:footnote>
  <w:footnote w:id="162">
    <w:p w:rsidR="003F128F" w:rsidRPr="003B320D" w:rsidRDefault="003F128F" w:rsidP="00C71CC5">
      <w:pPr>
        <w:pStyle w:val="af3"/>
        <w:rPr>
          <w:rFonts w:ascii="Traditional Arabic" w:hAnsi="Traditional Arabic"/>
          <w:sz w:val="32"/>
          <w:szCs w:val="32"/>
        </w:rPr>
      </w:pPr>
      <w:r w:rsidRPr="003B320D">
        <w:rPr>
          <w:rFonts w:ascii="Traditional Arabic" w:hAnsi="Traditional Arabic"/>
          <w:sz w:val="32"/>
          <w:szCs w:val="32"/>
          <w:rtl/>
        </w:rPr>
        <w:t>(</w:t>
      </w:r>
      <w:r w:rsidRPr="003B320D">
        <w:rPr>
          <w:rStyle w:val="ae"/>
          <w:rFonts w:ascii="Traditional Arabic" w:hAnsi="Traditional Arabic"/>
          <w:sz w:val="32"/>
          <w:szCs w:val="32"/>
          <w:vertAlign w:val="baseline"/>
        </w:rPr>
        <w:footnoteRef/>
      </w:r>
      <w:r w:rsidRPr="003B320D">
        <w:rPr>
          <w:rFonts w:ascii="Traditional Arabic" w:hAnsi="Traditional Arabic"/>
          <w:sz w:val="32"/>
          <w:szCs w:val="32"/>
          <w:rtl/>
        </w:rPr>
        <w:t>)</w:t>
      </w:r>
      <w:r>
        <w:rPr>
          <w:rFonts w:ascii="Traditional Arabic" w:hAnsi="Traditional Arabic" w:hint="cs"/>
          <w:sz w:val="32"/>
          <w:szCs w:val="32"/>
          <w:rtl/>
        </w:rPr>
        <w:t xml:space="preserve"> انظر: (ص189-190).</w:t>
      </w:r>
    </w:p>
  </w:footnote>
  <w:footnote w:id="163">
    <w:p w:rsidR="003F128F" w:rsidRPr="00AE5B52" w:rsidRDefault="003F128F" w:rsidP="00C71CC5">
      <w:pPr>
        <w:pStyle w:val="af3"/>
        <w:rPr>
          <w:rFonts w:ascii="Tahoma" w:hAnsi="Tahoma"/>
        </w:rPr>
      </w:pPr>
      <w:r w:rsidRPr="003B320D">
        <w:rPr>
          <w:rFonts w:ascii="Traditional Arabic" w:hAnsi="Traditional Arabic"/>
          <w:sz w:val="32"/>
          <w:szCs w:val="32"/>
          <w:rtl/>
        </w:rPr>
        <w:t>(</w:t>
      </w:r>
      <w:r w:rsidRPr="003B320D">
        <w:rPr>
          <w:rStyle w:val="ae"/>
          <w:rFonts w:ascii="Traditional Arabic" w:hAnsi="Traditional Arabic"/>
          <w:sz w:val="32"/>
          <w:szCs w:val="32"/>
          <w:vertAlign w:val="baseline"/>
        </w:rPr>
        <w:footnoteRef/>
      </w:r>
      <w:r w:rsidRPr="003B320D">
        <w:rPr>
          <w:rFonts w:ascii="Traditional Arabic" w:hAnsi="Traditional Arabic"/>
          <w:sz w:val="32"/>
          <w:szCs w:val="32"/>
          <w:rtl/>
        </w:rPr>
        <w:t>)</w:t>
      </w:r>
      <w:r>
        <w:rPr>
          <w:rFonts w:ascii="Traditional Arabic" w:hAnsi="Traditional Arabic" w:hint="cs"/>
          <w:sz w:val="32"/>
          <w:szCs w:val="32"/>
          <w:rtl/>
        </w:rPr>
        <w:t xml:space="preserve"> انظر: (ص287).</w:t>
      </w:r>
    </w:p>
  </w:footnote>
  <w:footnote w:id="164">
    <w:p w:rsidR="003F128F" w:rsidRPr="009E7755" w:rsidRDefault="003F128F" w:rsidP="00C71CC5">
      <w:pPr>
        <w:pStyle w:val="af3"/>
        <w:rPr>
          <w:rFonts w:ascii="Traditional Arabic" w:hAnsi="Traditional Arabic"/>
          <w:sz w:val="32"/>
          <w:szCs w:val="32"/>
        </w:rPr>
      </w:pPr>
      <w:r w:rsidRPr="009E7755">
        <w:rPr>
          <w:rFonts w:ascii="Traditional Arabic" w:hAnsi="Traditional Arabic"/>
          <w:sz w:val="32"/>
          <w:szCs w:val="32"/>
          <w:rtl/>
        </w:rPr>
        <w:t>(</w:t>
      </w:r>
      <w:r w:rsidRPr="009E7755">
        <w:rPr>
          <w:rStyle w:val="ae"/>
          <w:rFonts w:ascii="Traditional Arabic" w:hAnsi="Traditional Arabic"/>
          <w:sz w:val="32"/>
          <w:szCs w:val="32"/>
          <w:vertAlign w:val="baseline"/>
        </w:rPr>
        <w:footnoteRef/>
      </w:r>
      <w:r w:rsidRPr="009E7755">
        <w:rPr>
          <w:rFonts w:ascii="Traditional Arabic" w:hAnsi="Traditional Arabic"/>
          <w:sz w:val="32"/>
          <w:szCs w:val="32"/>
          <w:rtl/>
        </w:rPr>
        <w:t>)</w:t>
      </w:r>
      <w:r>
        <w:rPr>
          <w:rFonts w:ascii="Traditional Arabic" w:hAnsi="Traditional Arabic" w:hint="cs"/>
          <w:sz w:val="32"/>
          <w:szCs w:val="32"/>
          <w:rtl/>
        </w:rPr>
        <w:t xml:space="preserve"> انظر: (ص325).</w:t>
      </w:r>
    </w:p>
  </w:footnote>
  <w:footnote w:id="165">
    <w:p w:rsidR="003F128F" w:rsidRPr="00AE5B52" w:rsidRDefault="003F128F" w:rsidP="00C71CC5">
      <w:pPr>
        <w:pStyle w:val="af3"/>
        <w:rPr>
          <w:rFonts w:ascii="Tahoma" w:hAnsi="Tahoma"/>
        </w:rPr>
      </w:pPr>
      <w:r w:rsidRPr="009E7755">
        <w:rPr>
          <w:rFonts w:ascii="Traditional Arabic" w:hAnsi="Traditional Arabic"/>
          <w:sz w:val="32"/>
          <w:szCs w:val="32"/>
          <w:rtl/>
        </w:rPr>
        <w:t>(</w:t>
      </w:r>
      <w:r w:rsidRPr="009E7755">
        <w:rPr>
          <w:rStyle w:val="ae"/>
          <w:rFonts w:ascii="Traditional Arabic" w:hAnsi="Traditional Arabic"/>
          <w:sz w:val="32"/>
          <w:szCs w:val="32"/>
          <w:vertAlign w:val="baseline"/>
        </w:rPr>
        <w:footnoteRef/>
      </w:r>
      <w:r w:rsidRPr="009E7755">
        <w:rPr>
          <w:rFonts w:ascii="Traditional Arabic" w:hAnsi="Traditional Arabic"/>
          <w:sz w:val="32"/>
          <w:szCs w:val="32"/>
          <w:rtl/>
        </w:rPr>
        <w:t>)</w:t>
      </w:r>
      <w:r>
        <w:rPr>
          <w:rFonts w:ascii="Traditional Arabic" w:hAnsi="Traditional Arabic" w:hint="cs"/>
          <w:sz w:val="32"/>
          <w:szCs w:val="32"/>
          <w:rtl/>
        </w:rPr>
        <w:t xml:space="preserve"> انظر: (ص320-321).</w:t>
      </w:r>
    </w:p>
  </w:footnote>
  <w:footnote w:id="166">
    <w:p w:rsidR="003F128F" w:rsidRPr="00425963" w:rsidRDefault="003F128F" w:rsidP="00447800">
      <w:pPr>
        <w:pStyle w:val="af3"/>
        <w:rPr>
          <w:rFonts w:ascii="Tahoma" w:hAnsi="Tahoma"/>
        </w:rPr>
      </w:pPr>
      <w:r w:rsidRPr="00425963">
        <w:rPr>
          <w:rFonts w:ascii="Tahoma" w:hAnsi="Tahoma"/>
          <w:rtl/>
        </w:rPr>
        <w:t>(</w:t>
      </w:r>
      <w:r w:rsidRPr="00425963">
        <w:rPr>
          <w:rStyle w:val="ae"/>
          <w:rFonts w:ascii="Tahoma" w:hAnsi="Tahoma"/>
          <w:vertAlign w:val="baseline"/>
        </w:rPr>
        <w:footnoteRef/>
      </w:r>
      <w:r w:rsidRPr="00425963">
        <w:rPr>
          <w:rFonts w:ascii="Tahoma" w:hAnsi="Tahoma"/>
          <w:rtl/>
        </w:rPr>
        <w:t>)</w:t>
      </w:r>
      <w:r>
        <w:rPr>
          <w:rFonts w:ascii="Traditional Arabic" w:hAnsi="Traditional Arabic" w:hint="cs"/>
          <w:sz w:val="32"/>
          <w:szCs w:val="32"/>
          <w:rtl/>
        </w:rPr>
        <w:t xml:space="preserve"> انظر: (ص92-93).</w:t>
      </w:r>
    </w:p>
  </w:footnote>
  <w:footnote w:id="167">
    <w:p w:rsidR="003F128F" w:rsidRPr="00425963" w:rsidRDefault="003F128F" w:rsidP="00447800">
      <w:pPr>
        <w:pStyle w:val="af3"/>
        <w:rPr>
          <w:rFonts w:ascii="Tahoma" w:hAnsi="Tahoma"/>
        </w:rPr>
      </w:pPr>
      <w:r w:rsidRPr="00425963">
        <w:rPr>
          <w:rFonts w:ascii="Tahoma" w:hAnsi="Tahoma"/>
          <w:rtl/>
        </w:rPr>
        <w:t>(</w:t>
      </w:r>
      <w:r w:rsidRPr="00425963">
        <w:rPr>
          <w:rStyle w:val="ae"/>
          <w:rFonts w:ascii="Tahoma" w:hAnsi="Tahoma"/>
          <w:vertAlign w:val="baseline"/>
        </w:rPr>
        <w:footnoteRef/>
      </w:r>
      <w:r w:rsidRPr="00425963">
        <w:rPr>
          <w:rFonts w:ascii="Tahoma" w:hAnsi="Tahoma"/>
          <w:rtl/>
        </w:rPr>
        <w:t>)</w:t>
      </w:r>
      <w:r>
        <w:rPr>
          <w:rFonts w:ascii="Traditional Arabic" w:hAnsi="Traditional Arabic" w:hint="cs"/>
          <w:sz w:val="32"/>
          <w:szCs w:val="32"/>
          <w:rtl/>
        </w:rPr>
        <w:t xml:space="preserve"> انظر: (ص198-199).</w:t>
      </w:r>
    </w:p>
  </w:footnote>
  <w:footnote w:id="168">
    <w:p w:rsidR="003F128F" w:rsidRPr="00463120" w:rsidRDefault="003F128F" w:rsidP="00447800">
      <w:pPr>
        <w:pStyle w:val="af3"/>
        <w:rPr>
          <w:rFonts w:ascii="Tahoma" w:hAnsi="Tahoma"/>
        </w:rPr>
      </w:pPr>
      <w:r w:rsidRPr="00463120">
        <w:rPr>
          <w:rFonts w:ascii="Tahoma" w:hAnsi="Tahoma"/>
          <w:rtl/>
        </w:rPr>
        <w:t>(</w:t>
      </w:r>
      <w:r w:rsidRPr="00463120">
        <w:rPr>
          <w:rStyle w:val="ae"/>
          <w:rFonts w:ascii="Tahoma" w:hAnsi="Tahoma"/>
          <w:vertAlign w:val="baseline"/>
        </w:rPr>
        <w:footnoteRef/>
      </w:r>
      <w:r w:rsidRPr="00463120">
        <w:rPr>
          <w:rFonts w:ascii="Tahoma" w:hAnsi="Tahoma"/>
          <w:rtl/>
        </w:rPr>
        <w:t>)</w:t>
      </w:r>
      <w:r>
        <w:rPr>
          <w:rFonts w:ascii="Traditional Arabic" w:hAnsi="Traditional Arabic" w:hint="cs"/>
          <w:sz w:val="32"/>
          <w:szCs w:val="32"/>
          <w:rtl/>
        </w:rPr>
        <w:t xml:space="preserve"> انظر: (ص190).</w:t>
      </w:r>
    </w:p>
  </w:footnote>
  <w:footnote w:id="169">
    <w:p w:rsidR="003F128F" w:rsidRPr="006D7411" w:rsidRDefault="003F128F" w:rsidP="00447800">
      <w:pPr>
        <w:pStyle w:val="af3"/>
        <w:rPr>
          <w:rFonts w:ascii="Tahoma" w:hAnsi="Tahoma"/>
        </w:rPr>
      </w:pPr>
      <w:r w:rsidRPr="006D7411">
        <w:rPr>
          <w:rFonts w:ascii="Tahoma" w:hAnsi="Tahoma"/>
          <w:rtl/>
        </w:rPr>
        <w:t>(</w:t>
      </w:r>
      <w:r w:rsidRPr="006D7411">
        <w:rPr>
          <w:rStyle w:val="ae"/>
          <w:rFonts w:ascii="Tahoma" w:hAnsi="Tahoma"/>
          <w:vertAlign w:val="baseline"/>
        </w:rPr>
        <w:footnoteRef/>
      </w:r>
      <w:r w:rsidRPr="006D7411">
        <w:rPr>
          <w:rFonts w:ascii="Tahoma" w:hAnsi="Tahoma"/>
          <w:rtl/>
        </w:rPr>
        <w:t>)</w:t>
      </w:r>
      <w:r>
        <w:rPr>
          <w:rFonts w:ascii="Traditional Arabic" w:hAnsi="Traditional Arabic" w:hint="cs"/>
          <w:sz w:val="32"/>
          <w:szCs w:val="32"/>
          <w:rtl/>
        </w:rPr>
        <w:t xml:space="preserve"> انظر: (ص91-92).</w:t>
      </w:r>
    </w:p>
  </w:footnote>
  <w:footnote w:id="170">
    <w:p w:rsidR="003F128F" w:rsidRPr="00182003" w:rsidRDefault="003F128F" w:rsidP="004625D7">
      <w:pPr>
        <w:pStyle w:val="af3"/>
        <w:rPr>
          <w:rFonts w:ascii="Traditional Arabic" w:hAnsi="Traditional Arabic"/>
          <w:sz w:val="32"/>
          <w:szCs w:val="32"/>
        </w:rPr>
      </w:pPr>
      <w:r w:rsidRPr="00182003">
        <w:rPr>
          <w:rFonts w:ascii="Traditional Arabic" w:hAnsi="Traditional Arabic"/>
          <w:sz w:val="32"/>
          <w:szCs w:val="32"/>
          <w:rtl/>
        </w:rPr>
        <w:t>(</w:t>
      </w:r>
      <w:r w:rsidRPr="00182003">
        <w:rPr>
          <w:rStyle w:val="ae"/>
          <w:rFonts w:ascii="Traditional Arabic" w:hAnsi="Traditional Arabic"/>
          <w:sz w:val="32"/>
          <w:szCs w:val="32"/>
          <w:vertAlign w:val="baseline"/>
        </w:rPr>
        <w:footnoteRef/>
      </w:r>
      <w:r w:rsidRPr="00182003">
        <w:rPr>
          <w:rFonts w:ascii="Traditional Arabic" w:hAnsi="Traditional Arabic"/>
          <w:sz w:val="32"/>
          <w:szCs w:val="32"/>
          <w:rtl/>
        </w:rPr>
        <w:t>)</w:t>
      </w:r>
      <w:r>
        <w:rPr>
          <w:rFonts w:ascii="Traditional Arabic" w:hAnsi="Traditional Arabic" w:hint="cs"/>
          <w:sz w:val="32"/>
          <w:szCs w:val="32"/>
          <w:rtl/>
        </w:rPr>
        <w:t xml:space="preserve"> انظر: (ص236-237).</w:t>
      </w:r>
    </w:p>
  </w:footnote>
  <w:footnote w:id="171">
    <w:p w:rsidR="003F128F" w:rsidRPr="00182003" w:rsidRDefault="003F128F" w:rsidP="004625D7">
      <w:pPr>
        <w:pStyle w:val="af3"/>
        <w:rPr>
          <w:rFonts w:ascii="Traditional Arabic" w:hAnsi="Traditional Arabic"/>
          <w:sz w:val="32"/>
          <w:szCs w:val="32"/>
        </w:rPr>
      </w:pPr>
      <w:r w:rsidRPr="00182003">
        <w:rPr>
          <w:rFonts w:ascii="Traditional Arabic" w:hAnsi="Traditional Arabic"/>
          <w:sz w:val="32"/>
          <w:szCs w:val="32"/>
          <w:rtl/>
        </w:rPr>
        <w:t>(</w:t>
      </w:r>
      <w:r w:rsidRPr="00182003">
        <w:rPr>
          <w:rStyle w:val="ae"/>
          <w:rFonts w:ascii="Traditional Arabic" w:hAnsi="Traditional Arabic"/>
          <w:sz w:val="32"/>
          <w:szCs w:val="32"/>
          <w:vertAlign w:val="baseline"/>
        </w:rPr>
        <w:footnoteRef/>
      </w:r>
      <w:r w:rsidRPr="00182003">
        <w:rPr>
          <w:rFonts w:ascii="Traditional Arabic" w:hAnsi="Traditional Arabic"/>
          <w:sz w:val="32"/>
          <w:szCs w:val="32"/>
          <w:rtl/>
        </w:rPr>
        <w:t>)</w:t>
      </w:r>
      <w:r>
        <w:rPr>
          <w:rFonts w:ascii="Traditional Arabic" w:hAnsi="Traditional Arabic" w:hint="cs"/>
          <w:sz w:val="32"/>
          <w:szCs w:val="32"/>
          <w:rtl/>
        </w:rPr>
        <w:t xml:space="preserve"> انظر: (ص121).</w:t>
      </w:r>
      <w:r w:rsidRPr="00182003">
        <w:rPr>
          <w:rFonts w:ascii="Traditional Arabic" w:hAnsi="Traditional Arabic"/>
          <w:sz w:val="32"/>
          <w:szCs w:val="32"/>
          <w:rtl/>
        </w:rPr>
        <w:t xml:space="preserve">  </w:t>
      </w:r>
    </w:p>
  </w:footnote>
  <w:footnote w:id="172">
    <w:p w:rsidR="003F128F" w:rsidRPr="00182003" w:rsidRDefault="003F128F" w:rsidP="004625D7">
      <w:pPr>
        <w:pStyle w:val="af3"/>
        <w:rPr>
          <w:rFonts w:ascii="Traditional Arabic" w:hAnsi="Traditional Arabic"/>
          <w:sz w:val="32"/>
          <w:szCs w:val="32"/>
        </w:rPr>
      </w:pPr>
      <w:r w:rsidRPr="00182003">
        <w:rPr>
          <w:rFonts w:ascii="Traditional Arabic" w:hAnsi="Traditional Arabic"/>
          <w:sz w:val="32"/>
          <w:szCs w:val="32"/>
          <w:rtl/>
        </w:rPr>
        <w:t>(</w:t>
      </w:r>
      <w:r w:rsidRPr="00182003">
        <w:rPr>
          <w:rStyle w:val="ae"/>
          <w:rFonts w:ascii="Traditional Arabic" w:hAnsi="Traditional Arabic"/>
          <w:sz w:val="32"/>
          <w:szCs w:val="32"/>
          <w:vertAlign w:val="baseline"/>
        </w:rPr>
        <w:footnoteRef/>
      </w:r>
      <w:r w:rsidRPr="00182003">
        <w:rPr>
          <w:rFonts w:ascii="Traditional Arabic" w:hAnsi="Traditional Arabic"/>
          <w:sz w:val="32"/>
          <w:szCs w:val="32"/>
          <w:rtl/>
        </w:rPr>
        <w:t>)</w:t>
      </w:r>
      <w:r>
        <w:rPr>
          <w:rFonts w:ascii="Traditional Arabic" w:hAnsi="Traditional Arabic" w:hint="cs"/>
          <w:sz w:val="32"/>
          <w:szCs w:val="32"/>
          <w:rtl/>
        </w:rPr>
        <w:t xml:space="preserve"> انظر: (ص256).</w:t>
      </w:r>
      <w:r w:rsidRPr="00182003">
        <w:rPr>
          <w:rFonts w:ascii="Traditional Arabic" w:hAnsi="Traditional Arabic"/>
          <w:sz w:val="32"/>
          <w:szCs w:val="32"/>
          <w:rtl/>
        </w:rPr>
        <w:t xml:space="preserve">  </w:t>
      </w:r>
    </w:p>
  </w:footnote>
  <w:footnote w:id="173">
    <w:p w:rsidR="003F128F" w:rsidRPr="00094E26" w:rsidRDefault="003F128F" w:rsidP="004625D7">
      <w:pPr>
        <w:pStyle w:val="af3"/>
        <w:rPr>
          <w:rFonts w:ascii="Tahoma" w:hAnsi="Tahoma"/>
        </w:rPr>
      </w:pPr>
      <w:r w:rsidRPr="00182003">
        <w:rPr>
          <w:rFonts w:ascii="Traditional Arabic" w:hAnsi="Traditional Arabic"/>
          <w:sz w:val="32"/>
          <w:szCs w:val="32"/>
          <w:rtl/>
        </w:rPr>
        <w:t>(</w:t>
      </w:r>
      <w:r w:rsidRPr="00182003">
        <w:rPr>
          <w:rStyle w:val="ae"/>
          <w:rFonts w:ascii="Traditional Arabic" w:hAnsi="Traditional Arabic"/>
          <w:sz w:val="32"/>
          <w:szCs w:val="32"/>
          <w:vertAlign w:val="baseline"/>
        </w:rPr>
        <w:footnoteRef/>
      </w:r>
      <w:r w:rsidRPr="00182003">
        <w:rPr>
          <w:rFonts w:ascii="Traditional Arabic" w:hAnsi="Traditional Arabic"/>
          <w:sz w:val="32"/>
          <w:szCs w:val="32"/>
          <w:rtl/>
        </w:rPr>
        <w:t>)</w:t>
      </w:r>
      <w:r>
        <w:rPr>
          <w:rFonts w:ascii="Traditional Arabic" w:hAnsi="Traditional Arabic" w:hint="cs"/>
          <w:sz w:val="32"/>
          <w:szCs w:val="32"/>
          <w:rtl/>
        </w:rPr>
        <w:t xml:space="preserve"> انظر: (ص91).</w:t>
      </w:r>
    </w:p>
  </w:footnote>
  <w:footnote w:id="174">
    <w:p w:rsidR="003F128F" w:rsidRPr="00182003" w:rsidRDefault="003F128F" w:rsidP="00FB7DFC">
      <w:pPr>
        <w:pStyle w:val="af3"/>
        <w:rPr>
          <w:rFonts w:ascii="Tahoma" w:hAnsi="Tahoma"/>
        </w:rPr>
      </w:pPr>
      <w:r w:rsidRPr="00094E26">
        <w:rPr>
          <w:rFonts w:ascii="Tahoma" w:hAnsi="Tahoma"/>
          <w:rtl/>
        </w:rPr>
        <w:t>(</w:t>
      </w:r>
      <w:r w:rsidRPr="00094E26">
        <w:rPr>
          <w:rStyle w:val="ae"/>
          <w:rFonts w:ascii="Tahoma" w:hAnsi="Tahoma"/>
          <w:vertAlign w:val="baseline"/>
        </w:rPr>
        <w:footnoteRef/>
      </w:r>
      <w:r w:rsidRPr="00094E26">
        <w:rPr>
          <w:rFonts w:ascii="Tahoma" w:hAnsi="Tahoma"/>
          <w:rtl/>
        </w:rPr>
        <w:t>)</w:t>
      </w:r>
      <w:r>
        <w:rPr>
          <w:rFonts w:ascii="Tahoma" w:hAnsi="Tahoma" w:hint="cs"/>
          <w:rtl/>
        </w:rPr>
        <w:t xml:space="preserve"> </w:t>
      </w:r>
      <w:r>
        <w:rPr>
          <w:rFonts w:ascii="Traditional Arabic" w:hAnsi="Traditional Arabic" w:hint="cs"/>
          <w:sz w:val="32"/>
          <w:szCs w:val="32"/>
          <w:rtl/>
        </w:rPr>
        <w:t>انظر: (ص97).</w:t>
      </w:r>
    </w:p>
  </w:footnote>
  <w:footnote w:id="175">
    <w:p w:rsidR="003F128F" w:rsidRPr="00094E26" w:rsidRDefault="003F128F" w:rsidP="00FB7DFC">
      <w:pPr>
        <w:pStyle w:val="af3"/>
        <w:rPr>
          <w:rFonts w:ascii="Tahoma" w:hAnsi="Tahoma"/>
        </w:rPr>
      </w:pPr>
      <w:r w:rsidRPr="00094E26">
        <w:rPr>
          <w:rFonts w:ascii="Tahoma" w:hAnsi="Tahoma"/>
          <w:rtl/>
        </w:rPr>
        <w:t>(</w:t>
      </w:r>
      <w:r w:rsidRPr="00094E26">
        <w:rPr>
          <w:rStyle w:val="ae"/>
          <w:rFonts w:ascii="Tahoma" w:hAnsi="Tahoma"/>
          <w:vertAlign w:val="baseline"/>
        </w:rPr>
        <w:footnoteRef/>
      </w:r>
      <w:r w:rsidRPr="00094E26">
        <w:rPr>
          <w:rFonts w:ascii="Tahoma" w:hAnsi="Tahoma"/>
          <w:rtl/>
        </w:rPr>
        <w:t>)</w:t>
      </w:r>
      <w:r>
        <w:rPr>
          <w:rFonts w:ascii="Traditional Arabic" w:hAnsi="Traditional Arabic" w:hint="cs"/>
          <w:sz w:val="32"/>
          <w:szCs w:val="32"/>
          <w:rtl/>
        </w:rPr>
        <w:t xml:space="preserve"> انظر: (ص99).</w:t>
      </w:r>
    </w:p>
  </w:footnote>
  <w:footnote w:id="176">
    <w:p w:rsidR="003F128F" w:rsidRPr="00F46552" w:rsidRDefault="003F128F" w:rsidP="00FB7DFC">
      <w:pPr>
        <w:pStyle w:val="af3"/>
        <w:rPr>
          <w:rFonts w:ascii="Traditional Arabic" w:hAnsi="Traditional Arabic"/>
          <w:sz w:val="32"/>
          <w:szCs w:val="32"/>
        </w:rPr>
      </w:pPr>
      <w:r w:rsidRPr="00F46552">
        <w:rPr>
          <w:rFonts w:ascii="Traditional Arabic" w:hAnsi="Traditional Arabic"/>
          <w:sz w:val="32"/>
          <w:szCs w:val="32"/>
          <w:rtl/>
        </w:rPr>
        <w:t>(</w:t>
      </w:r>
      <w:r w:rsidRPr="00F46552">
        <w:rPr>
          <w:rStyle w:val="ae"/>
          <w:rFonts w:ascii="Traditional Arabic" w:hAnsi="Traditional Arabic"/>
          <w:sz w:val="32"/>
          <w:szCs w:val="32"/>
          <w:vertAlign w:val="baseline"/>
        </w:rPr>
        <w:footnoteRef/>
      </w:r>
      <w:r w:rsidRPr="00F46552">
        <w:rPr>
          <w:rFonts w:ascii="Traditional Arabic" w:hAnsi="Traditional Arabic"/>
          <w:sz w:val="32"/>
          <w:szCs w:val="32"/>
          <w:rtl/>
        </w:rPr>
        <w:t>)</w:t>
      </w:r>
      <w:r>
        <w:rPr>
          <w:rFonts w:ascii="Traditional Arabic" w:hAnsi="Traditional Arabic" w:hint="cs"/>
          <w:sz w:val="32"/>
          <w:szCs w:val="32"/>
          <w:rtl/>
        </w:rPr>
        <w:t xml:space="preserve"> انظر: (ص215-216).</w:t>
      </w:r>
    </w:p>
  </w:footnote>
  <w:footnote w:id="177">
    <w:p w:rsidR="003F128F" w:rsidRPr="001673E0" w:rsidRDefault="003F128F" w:rsidP="00FB7DFC">
      <w:pPr>
        <w:pStyle w:val="af3"/>
        <w:rPr>
          <w:rFonts w:ascii="Tahoma" w:hAnsi="Tahoma"/>
        </w:rPr>
      </w:pPr>
      <w:r w:rsidRPr="00F46552">
        <w:rPr>
          <w:rFonts w:ascii="Traditional Arabic" w:hAnsi="Traditional Arabic"/>
          <w:sz w:val="32"/>
          <w:szCs w:val="32"/>
          <w:rtl/>
        </w:rPr>
        <w:t>(</w:t>
      </w:r>
      <w:r w:rsidRPr="00F46552">
        <w:rPr>
          <w:rStyle w:val="ae"/>
          <w:rFonts w:ascii="Traditional Arabic" w:hAnsi="Traditional Arabic"/>
          <w:sz w:val="32"/>
          <w:szCs w:val="32"/>
          <w:vertAlign w:val="baseline"/>
        </w:rPr>
        <w:footnoteRef/>
      </w:r>
      <w:r w:rsidRPr="00F46552">
        <w:rPr>
          <w:rFonts w:ascii="Traditional Arabic" w:hAnsi="Traditional Arabic"/>
          <w:sz w:val="32"/>
          <w:szCs w:val="32"/>
          <w:rtl/>
        </w:rPr>
        <w:t>)</w:t>
      </w:r>
      <w:r>
        <w:rPr>
          <w:rFonts w:ascii="Traditional Arabic" w:hAnsi="Traditional Arabic" w:hint="cs"/>
          <w:sz w:val="32"/>
          <w:szCs w:val="32"/>
          <w:rtl/>
        </w:rPr>
        <w:t xml:space="preserve"> انظر: (ص147).</w:t>
      </w:r>
    </w:p>
  </w:footnote>
  <w:footnote w:id="178">
    <w:p w:rsidR="003F128F" w:rsidRPr="00F46552" w:rsidRDefault="003F128F" w:rsidP="00FB7DFC">
      <w:pPr>
        <w:pStyle w:val="af3"/>
        <w:rPr>
          <w:rFonts w:ascii="Traditional Arabic" w:hAnsi="Traditional Arabic"/>
          <w:sz w:val="32"/>
          <w:szCs w:val="32"/>
        </w:rPr>
      </w:pPr>
      <w:r w:rsidRPr="00F46552">
        <w:rPr>
          <w:rFonts w:ascii="Traditional Arabic" w:hAnsi="Traditional Arabic"/>
          <w:sz w:val="32"/>
          <w:szCs w:val="32"/>
          <w:rtl/>
        </w:rPr>
        <w:t>(</w:t>
      </w:r>
      <w:r w:rsidRPr="00F46552">
        <w:rPr>
          <w:rStyle w:val="ae"/>
          <w:rFonts w:ascii="Traditional Arabic" w:hAnsi="Traditional Arabic"/>
          <w:sz w:val="32"/>
          <w:szCs w:val="32"/>
          <w:vertAlign w:val="baseline"/>
        </w:rPr>
        <w:footnoteRef/>
      </w:r>
      <w:r w:rsidRPr="00F46552">
        <w:rPr>
          <w:rFonts w:ascii="Traditional Arabic" w:hAnsi="Traditional Arabic"/>
          <w:sz w:val="32"/>
          <w:szCs w:val="32"/>
          <w:rtl/>
        </w:rPr>
        <w:t>)</w:t>
      </w:r>
      <w:r>
        <w:rPr>
          <w:rFonts w:ascii="Traditional Arabic" w:hAnsi="Traditional Arabic" w:hint="cs"/>
          <w:sz w:val="32"/>
          <w:szCs w:val="32"/>
          <w:rtl/>
        </w:rPr>
        <w:t xml:space="preserve"> انظر: (ص217).</w:t>
      </w:r>
      <w:r w:rsidRPr="00F46552">
        <w:rPr>
          <w:rFonts w:ascii="Traditional Arabic" w:hAnsi="Traditional Arabic"/>
          <w:sz w:val="32"/>
          <w:szCs w:val="32"/>
          <w:rtl/>
        </w:rPr>
        <w:t xml:space="preserve">  </w:t>
      </w:r>
    </w:p>
  </w:footnote>
  <w:footnote w:id="179">
    <w:p w:rsidR="003F128F" w:rsidRPr="00F46552" w:rsidRDefault="003F128F" w:rsidP="00FB7DFC">
      <w:pPr>
        <w:pStyle w:val="af3"/>
        <w:rPr>
          <w:rFonts w:ascii="Traditional Arabic" w:hAnsi="Traditional Arabic"/>
          <w:sz w:val="32"/>
          <w:szCs w:val="32"/>
        </w:rPr>
      </w:pPr>
      <w:r w:rsidRPr="00F46552">
        <w:rPr>
          <w:rFonts w:ascii="Traditional Arabic" w:hAnsi="Traditional Arabic"/>
          <w:sz w:val="32"/>
          <w:szCs w:val="32"/>
          <w:rtl/>
        </w:rPr>
        <w:t>(</w:t>
      </w:r>
      <w:r w:rsidRPr="00F46552">
        <w:rPr>
          <w:rStyle w:val="ae"/>
          <w:rFonts w:ascii="Traditional Arabic" w:hAnsi="Traditional Arabic"/>
          <w:sz w:val="32"/>
          <w:szCs w:val="32"/>
          <w:vertAlign w:val="baseline"/>
        </w:rPr>
        <w:footnoteRef/>
      </w:r>
      <w:r w:rsidRPr="00F46552">
        <w:rPr>
          <w:rFonts w:ascii="Traditional Arabic" w:hAnsi="Traditional Arabic"/>
          <w:sz w:val="32"/>
          <w:szCs w:val="32"/>
          <w:rtl/>
        </w:rPr>
        <w:t>)</w:t>
      </w:r>
      <w:r>
        <w:rPr>
          <w:rFonts w:ascii="Traditional Arabic" w:hAnsi="Traditional Arabic" w:hint="cs"/>
          <w:sz w:val="32"/>
          <w:szCs w:val="32"/>
          <w:rtl/>
        </w:rPr>
        <w:t xml:space="preserve"> انظر: (ص90-91), </w:t>
      </w:r>
      <w:r w:rsidRPr="00F46552">
        <w:rPr>
          <w:rFonts w:ascii="Traditional Arabic" w:hAnsi="Traditional Arabic"/>
          <w:sz w:val="32"/>
          <w:szCs w:val="32"/>
          <w:rtl/>
        </w:rPr>
        <w:t>وقد نص</w:t>
      </w:r>
      <w:r>
        <w:rPr>
          <w:rFonts w:ascii="Traditional Arabic" w:hAnsi="Traditional Arabic"/>
          <w:sz w:val="32"/>
          <w:szCs w:val="32"/>
          <w:rtl/>
        </w:rPr>
        <w:t xml:space="preserve"> على </w:t>
      </w:r>
      <w:r w:rsidRPr="00F46552">
        <w:rPr>
          <w:rFonts w:ascii="Traditional Arabic" w:hAnsi="Traditional Arabic"/>
          <w:sz w:val="32"/>
          <w:szCs w:val="32"/>
          <w:rtl/>
        </w:rPr>
        <w:t>كتاب</w:t>
      </w:r>
      <w:r>
        <w:rPr>
          <w:rFonts w:ascii="Traditional Arabic" w:hAnsi="Traditional Arabic" w:hint="cs"/>
          <w:sz w:val="32"/>
          <w:szCs w:val="32"/>
          <w:rtl/>
        </w:rPr>
        <w:t xml:space="preserve"> "مشكل القرآن"</w:t>
      </w:r>
      <w:r w:rsidRPr="00F46552">
        <w:rPr>
          <w:rFonts w:ascii="Traditional Arabic" w:hAnsi="Traditional Arabic"/>
          <w:sz w:val="32"/>
          <w:szCs w:val="32"/>
          <w:rtl/>
        </w:rPr>
        <w:t xml:space="preserve"> الذهبي في سير أعلام النبلاء </w:t>
      </w:r>
      <w:r w:rsidRPr="00F46552">
        <w:rPr>
          <w:rFonts w:ascii="Traditional Arabic" w:hAnsi="Traditional Arabic"/>
          <w:sz w:val="32"/>
          <w:szCs w:val="32"/>
          <w:rtl/>
          <w:lang w:eastAsia="en-US"/>
        </w:rPr>
        <w:t xml:space="preserve">(11/489) وغيره. </w:t>
      </w:r>
    </w:p>
  </w:footnote>
  <w:footnote w:id="180">
    <w:p w:rsidR="003F128F" w:rsidRPr="00F46552" w:rsidRDefault="003F128F" w:rsidP="000A379A">
      <w:pPr>
        <w:pStyle w:val="af3"/>
        <w:rPr>
          <w:rFonts w:ascii="Traditional Arabic" w:hAnsi="Traditional Arabic"/>
          <w:sz w:val="32"/>
          <w:szCs w:val="32"/>
        </w:rPr>
      </w:pPr>
      <w:r w:rsidRPr="00F46552">
        <w:rPr>
          <w:rFonts w:ascii="Traditional Arabic" w:hAnsi="Traditional Arabic"/>
          <w:sz w:val="32"/>
          <w:szCs w:val="32"/>
          <w:rtl/>
        </w:rPr>
        <w:t>(</w:t>
      </w:r>
      <w:r w:rsidRPr="00F46552">
        <w:rPr>
          <w:rStyle w:val="ae"/>
          <w:rFonts w:ascii="Traditional Arabic" w:hAnsi="Traditional Arabic"/>
          <w:sz w:val="32"/>
          <w:szCs w:val="32"/>
          <w:vertAlign w:val="baseline"/>
        </w:rPr>
        <w:footnoteRef/>
      </w:r>
      <w:r w:rsidRPr="00F46552">
        <w:rPr>
          <w:rFonts w:ascii="Traditional Arabic" w:hAnsi="Traditional Arabic"/>
          <w:sz w:val="32"/>
          <w:szCs w:val="32"/>
          <w:rtl/>
        </w:rPr>
        <w:t>) نص عليهما السيوطي في طبقات المفسرين (ص103).</w:t>
      </w:r>
    </w:p>
  </w:footnote>
  <w:footnote w:id="181">
    <w:p w:rsidR="003F128F" w:rsidRPr="000A379A" w:rsidRDefault="003F128F" w:rsidP="00FB7DFC">
      <w:pPr>
        <w:pStyle w:val="af3"/>
        <w:rPr>
          <w:rFonts w:ascii="Tahoma" w:hAnsi="Tahoma"/>
        </w:rPr>
      </w:pPr>
      <w:r w:rsidRPr="00F46552">
        <w:rPr>
          <w:rFonts w:ascii="Traditional Arabic" w:hAnsi="Traditional Arabic"/>
          <w:sz w:val="32"/>
          <w:szCs w:val="32"/>
          <w:rtl/>
        </w:rPr>
        <w:t>(</w:t>
      </w:r>
      <w:r w:rsidRPr="00F46552">
        <w:rPr>
          <w:rStyle w:val="ae"/>
          <w:rFonts w:ascii="Traditional Arabic" w:hAnsi="Traditional Arabic"/>
          <w:sz w:val="32"/>
          <w:szCs w:val="32"/>
          <w:vertAlign w:val="baseline"/>
        </w:rPr>
        <w:footnoteRef/>
      </w:r>
      <w:r w:rsidRPr="00F46552">
        <w:rPr>
          <w:rFonts w:ascii="Traditional Arabic" w:hAnsi="Traditional Arabic"/>
          <w:sz w:val="32"/>
          <w:szCs w:val="32"/>
          <w:rtl/>
        </w:rPr>
        <w:t>)</w:t>
      </w:r>
      <w:r>
        <w:rPr>
          <w:rFonts w:ascii="Traditional Arabic" w:hAnsi="Traditional Arabic" w:hint="cs"/>
          <w:sz w:val="32"/>
          <w:szCs w:val="32"/>
          <w:rtl/>
        </w:rPr>
        <w:t xml:space="preserve"> انظر: (ص156).</w:t>
      </w:r>
    </w:p>
  </w:footnote>
  <w:footnote w:id="182">
    <w:p w:rsidR="003F128F" w:rsidRPr="00F46552" w:rsidRDefault="003F128F" w:rsidP="007057B7">
      <w:pPr>
        <w:pStyle w:val="af3"/>
        <w:rPr>
          <w:rFonts w:ascii="Traditional Arabic" w:hAnsi="Traditional Arabic"/>
          <w:sz w:val="32"/>
          <w:szCs w:val="32"/>
        </w:rPr>
      </w:pPr>
      <w:r w:rsidRPr="00F46552">
        <w:rPr>
          <w:rFonts w:ascii="Traditional Arabic" w:hAnsi="Traditional Arabic"/>
          <w:sz w:val="32"/>
          <w:szCs w:val="32"/>
          <w:rtl/>
        </w:rPr>
        <w:t>(</w:t>
      </w:r>
      <w:r w:rsidRPr="00F46552">
        <w:rPr>
          <w:rStyle w:val="ae"/>
          <w:rFonts w:ascii="Traditional Arabic" w:hAnsi="Traditional Arabic"/>
          <w:sz w:val="32"/>
          <w:szCs w:val="32"/>
          <w:vertAlign w:val="baseline"/>
        </w:rPr>
        <w:footnoteRef/>
      </w:r>
      <w:r w:rsidRPr="00F46552">
        <w:rPr>
          <w:rFonts w:ascii="Traditional Arabic" w:hAnsi="Traditional Arabic"/>
          <w:sz w:val="32"/>
          <w:szCs w:val="32"/>
          <w:rtl/>
        </w:rPr>
        <w:t>) صيد الخاطر (ص513).</w:t>
      </w:r>
    </w:p>
  </w:footnote>
  <w:footnote w:id="183">
    <w:p w:rsidR="003F128F" w:rsidRPr="007057B7" w:rsidRDefault="003F128F" w:rsidP="007057B7">
      <w:pPr>
        <w:pStyle w:val="af3"/>
        <w:rPr>
          <w:rFonts w:ascii="Tahoma" w:hAnsi="Tahoma"/>
        </w:rPr>
      </w:pPr>
      <w:r w:rsidRPr="00F46552">
        <w:rPr>
          <w:rFonts w:ascii="Traditional Arabic" w:hAnsi="Traditional Arabic"/>
          <w:sz w:val="32"/>
          <w:szCs w:val="32"/>
          <w:rtl/>
        </w:rPr>
        <w:t>(</w:t>
      </w:r>
      <w:r w:rsidRPr="00F46552">
        <w:rPr>
          <w:rStyle w:val="ae"/>
          <w:rFonts w:ascii="Traditional Arabic" w:hAnsi="Traditional Arabic"/>
          <w:sz w:val="32"/>
          <w:szCs w:val="32"/>
          <w:vertAlign w:val="baseline"/>
        </w:rPr>
        <w:footnoteRef/>
      </w:r>
      <w:r w:rsidRPr="00F46552">
        <w:rPr>
          <w:rFonts w:ascii="Traditional Arabic" w:hAnsi="Traditional Arabic"/>
          <w:sz w:val="32"/>
          <w:szCs w:val="32"/>
          <w:rtl/>
        </w:rPr>
        <w:t xml:space="preserve">) مجموع الفتاوى (13/388).  </w:t>
      </w:r>
    </w:p>
  </w:footnote>
  <w:footnote w:id="184">
    <w:p w:rsidR="003F128F" w:rsidRPr="00F46552" w:rsidRDefault="003F128F" w:rsidP="00F46552">
      <w:pPr>
        <w:pStyle w:val="af3"/>
        <w:rPr>
          <w:rFonts w:ascii="Traditional Arabic" w:hAnsi="Traditional Arabic"/>
          <w:sz w:val="32"/>
          <w:szCs w:val="32"/>
        </w:rPr>
      </w:pPr>
      <w:r w:rsidRPr="00F46552">
        <w:rPr>
          <w:rFonts w:ascii="Traditional Arabic" w:hAnsi="Traditional Arabic"/>
          <w:sz w:val="32"/>
          <w:szCs w:val="32"/>
          <w:rtl/>
        </w:rPr>
        <w:t>(</w:t>
      </w:r>
      <w:r w:rsidRPr="00F46552">
        <w:rPr>
          <w:rStyle w:val="ae"/>
          <w:rFonts w:ascii="Traditional Arabic" w:hAnsi="Traditional Arabic"/>
          <w:sz w:val="32"/>
          <w:szCs w:val="32"/>
          <w:vertAlign w:val="baseline"/>
        </w:rPr>
        <w:footnoteRef/>
      </w:r>
      <w:r w:rsidRPr="00F46552">
        <w:rPr>
          <w:rFonts w:ascii="Traditional Arabic" w:hAnsi="Traditional Arabic"/>
          <w:sz w:val="32"/>
          <w:szCs w:val="32"/>
          <w:rtl/>
        </w:rPr>
        <w:t>) انظر: مجموع الفتاوى (1/323).</w:t>
      </w:r>
    </w:p>
  </w:footnote>
  <w:footnote w:id="185">
    <w:p w:rsidR="003F128F" w:rsidRPr="00F46552" w:rsidRDefault="003F128F" w:rsidP="00591AF5">
      <w:pPr>
        <w:pStyle w:val="af3"/>
        <w:rPr>
          <w:rFonts w:ascii="Traditional Arabic" w:hAnsi="Traditional Arabic"/>
          <w:sz w:val="32"/>
          <w:szCs w:val="32"/>
        </w:rPr>
      </w:pPr>
      <w:r w:rsidRPr="00F46552">
        <w:rPr>
          <w:rFonts w:ascii="Traditional Arabic" w:hAnsi="Traditional Arabic"/>
          <w:sz w:val="32"/>
          <w:szCs w:val="32"/>
          <w:rtl/>
        </w:rPr>
        <w:t>(</w:t>
      </w:r>
      <w:r w:rsidRPr="00F46552">
        <w:rPr>
          <w:rStyle w:val="ae"/>
          <w:rFonts w:ascii="Traditional Arabic" w:hAnsi="Traditional Arabic"/>
          <w:sz w:val="32"/>
          <w:szCs w:val="32"/>
          <w:vertAlign w:val="baseline"/>
        </w:rPr>
        <w:footnoteRef/>
      </w:r>
      <w:r w:rsidRPr="00F46552">
        <w:rPr>
          <w:rFonts w:ascii="Traditional Arabic" w:hAnsi="Traditional Arabic"/>
          <w:sz w:val="32"/>
          <w:szCs w:val="32"/>
          <w:rtl/>
        </w:rPr>
        <w:t>) انظر: ذيل طبقات الحنابلة (2/487)، شذرات الذهب (6/539).</w:t>
      </w:r>
    </w:p>
  </w:footnote>
  <w:footnote w:id="186">
    <w:p w:rsidR="003F128F" w:rsidRPr="00F46552" w:rsidRDefault="003F128F" w:rsidP="007057B7">
      <w:pPr>
        <w:pStyle w:val="af3"/>
        <w:rPr>
          <w:rFonts w:ascii="Traditional Arabic" w:hAnsi="Traditional Arabic"/>
          <w:sz w:val="32"/>
          <w:szCs w:val="32"/>
        </w:rPr>
      </w:pPr>
      <w:r w:rsidRPr="00F46552">
        <w:rPr>
          <w:rFonts w:ascii="Traditional Arabic" w:hAnsi="Traditional Arabic"/>
          <w:sz w:val="32"/>
          <w:szCs w:val="32"/>
          <w:rtl/>
        </w:rPr>
        <w:t>(</w:t>
      </w:r>
      <w:r w:rsidRPr="00F46552">
        <w:rPr>
          <w:rStyle w:val="ae"/>
          <w:rFonts w:ascii="Traditional Arabic" w:hAnsi="Traditional Arabic"/>
          <w:sz w:val="32"/>
          <w:szCs w:val="32"/>
          <w:vertAlign w:val="baseline"/>
        </w:rPr>
        <w:footnoteRef/>
      </w:r>
      <w:r w:rsidRPr="00F46552">
        <w:rPr>
          <w:rFonts w:ascii="Traditional Arabic" w:hAnsi="Traditional Arabic"/>
          <w:sz w:val="32"/>
          <w:szCs w:val="32"/>
          <w:rtl/>
        </w:rPr>
        <w:t>) سير أعلام النبلاء (21/368).</w:t>
      </w:r>
    </w:p>
  </w:footnote>
  <w:footnote w:id="187">
    <w:p w:rsidR="003F128F" w:rsidRPr="007057B7" w:rsidRDefault="003F128F" w:rsidP="00AA00E6">
      <w:pPr>
        <w:pStyle w:val="af3"/>
        <w:rPr>
          <w:rFonts w:ascii="Tahoma" w:hAnsi="Tahoma"/>
        </w:rPr>
      </w:pPr>
      <w:r w:rsidRPr="00F46552">
        <w:rPr>
          <w:rFonts w:ascii="Traditional Arabic" w:hAnsi="Traditional Arabic"/>
          <w:sz w:val="32"/>
          <w:szCs w:val="32"/>
          <w:rtl/>
        </w:rPr>
        <w:t>(</w:t>
      </w:r>
      <w:r w:rsidRPr="00F46552">
        <w:rPr>
          <w:rStyle w:val="ae"/>
          <w:rFonts w:ascii="Traditional Arabic" w:hAnsi="Traditional Arabic"/>
          <w:sz w:val="32"/>
          <w:szCs w:val="32"/>
          <w:vertAlign w:val="baseline"/>
        </w:rPr>
        <w:footnoteRef/>
      </w:r>
      <w:r w:rsidRPr="00F46552">
        <w:rPr>
          <w:rFonts w:ascii="Traditional Arabic" w:hAnsi="Traditional Arabic"/>
          <w:sz w:val="32"/>
          <w:szCs w:val="32"/>
          <w:rtl/>
        </w:rPr>
        <w:t xml:space="preserve">) هو </w:t>
      </w:r>
      <w:r>
        <w:rPr>
          <w:rFonts w:ascii="Traditional Arabic" w:hAnsi="Traditional Arabic"/>
          <w:sz w:val="32"/>
          <w:szCs w:val="32"/>
          <w:rtl/>
        </w:rPr>
        <w:t>الإمام</w:t>
      </w:r>
      <w:r w:rsidRPr="00F46552">
        <w:rPr>
          <w:rFonts w:ascii="Traditional Arabic" w:hAnsi="Traditional Arabic"/>
          <w:sz w:val="32"/>
          <w:szCs w:val="32"/>
          <w:rtl/>
        </w:rPr>
        <w:t xml:space="preserve"> أبو محمد عبد اللطيف ابن الفقيه يوسف بن محمد بن علي الموصلي، ثم البغدادي، الشافعي، موفق الدين, نزيل حلب، ويعرف قديما بابن اللباد، (ت629ه). انظر سير أعلام النبلاء (16/237)، فوات </w:t>
      </w:r>
      <w:r w:rsidRPr="00AA00E6">
        <w:rPr>
          <w:rFonts w:ascii="Traditional Arabic" w:hAnsi="Traditional Arabic"/>
          <w:sz w:val="32"/>
          <w:szCs w:val="32"/>
          <w:rtl/>
        </w:rPr>
        <w:t>الوفيات</w:t>
      </w:r>
      <w:r w:rsidRPr="00AA00E6">
        <w:rPr>
          <w:rFonts w:ascii="Traditional Arabic" w:hAnsi="Traditional Arabic" w:hint="cs"/>
          <w:sz w:val="32"/>
          <w:szCs w:val="32"/>
          <w:rtl/>
        </w:rPr>
        <w:t xml:space="preserve"> ل</w:t>
      </w:r>
      <w:r w:rsidRPr="00AA00E6">
        <w:rPr>
          <w:rFonts w:ascii="Traditional Arabic" w:hAnsi="Traditional Arabic"/>
          <w:sz w:val="32"/>
          <w:szCs w:val="32"/>
          <w:rtl/>
        </w:rPr>
        <w:t>ابن شاكر الكتبي</w:t>
      </w:r>
      <w:r w:rsidRPr="00F46552">
        <w:rPr>
          <w:rFonts w:ascii="Traditional Arabic" w:hAnsi="Traditional Arabic"/>
          <w:sz w:val="32"/>
          <w:szCs w:val="32"/>
          <w:rtl/>
        </w:rPr>
        <w:t xml:space="preserve"> (2/385).</w:t>
      </w:r>
    </w:p>
  </w:footnote>
  <w:footnote w:id="188">
    <w:p w:rsidR="003F128F" w:rsidRPr="00F46552" w:rsidRDefault="003F128F" w:rsidP="00194CA8">
      <w:pPr>
        <w:pStyle w:val="af3"/>
        <w:rPr>
          <w:rFonts w:ascii="Traditional Arabic" w:hAnsi="Traditional Arabic"/>
          <w:sz w:val="32"/>
          <w:szCs w:val="32"/>
        </w:rPr>
      </w:pPr>
      <w:r w:rsidRPr="00F46552">
        <w:rPr>
          <w:rFonts w:ascii="Traditional Arabic" w:hAnsi="Traditional Arabic"/>
          <w:sz w:val="32"/>
          <w:szCs w:val="32"/>
          <w:rtl/>
        </w:rPr>
        <w:t>(</w:t>
      </w:r>
      <w:r w:rsidRPr="00F46552">
        <w:rPr>
          <w:rStyle w:val="ae"/>
          <w:rFonts w:ascii="Traditional Arabic" w:hAnsi="Traditional Arabic"/>
          <w:sz w:val="32"/>
          <w:szCs w:val="32"/>
          <w:vertAlign w:val="baseline"/>
        </w:rPr>
        <w:footnoteRef/>
      </w:r>
      <w:r w:rsidRPr="00F46552">
        <w:rPr>
          <w:rFonts w:ascii="Traditional Arabic" w:hAnsi="Traditional Arabic"/>
          <w:sz w:val="32"/>
          <w:szCs w:val="32"/>
          <w:rtl/>
        </w:rPr>
        <w:t xml:space="preserve">) انظر: سير أعلام النبلاء (15/462). </w:t>
      </w:r>
    </w:p>
  </w:footnote>
  <w:footnote w:id="189">
    <w:p w:rsidR="003F128F" w:rsidRPr="00970896" w:rsidRDefault="003F128F" w:rsidP="0081627F">
      <w:pPr>
        <w:pStyle w:val="af3"/>
        <w:rPr>
          <w:rFonts w:ascii="Traditional Arabic" w:hAnsi="Traditional Arabic"/>
          <w:sz w:val="32"/>
          <w:szCs w:val="32"/>
        </w:rPr>
      </w:pPr>
      <w:r w:rsidRPr="00970896">
        <w:rPr>
          <w:rFonts w:ascii="Traditional Arabic" w:hAnsi="Traditional Arabic"/>
          <w:sz w:val="32"/>
          <w:szCs w:val="32"/>
          <w:rtl/>
        </w:rPr>
        <w:t>(</w:t>
      </w:r>
      <w:r w:rsidRPr="00970896">
        <w:rPr>
          <w:rStyle w:val="ae"/>
          <w:rFonts w:ascii="Traditional Arabic" w:hAnsi="Traditional Arabic"/>
          <w:sz w:val="32"/>
          <w:szCs w:val="32"/>
          <w:vertAlign w:val="baseline"/>
        </w:rPr>
        <w:footnoteRef/>
      </w:r>
      <w:r>
        <w:rPr>
          <w:rFonts w:ascii="Traditional Arabic" w:hAnsi="Traditional Arabic"/>
          <w:sz w:val="32"/>
          <w:szCs w:val="32"/>
          <w:rtl/>
        </w:rPr>
        <w:t>)</w:t>
      </w:r>
      <w:r w:rsidRPr="00970896">
        <w:rPr>
          <w:rFonts w:ascii="Traditional Arabic" w:hAnsi="Traditional Arabic"/>
          <w:sz w:val="32"/>
          <w:szCs w:val="32"/>
          <w:rtl/>
        </w:rPr>
        <w:t xml:space="preserve"> في </w:t>
      </w:r>
      <w:r>
        <w:rPr>
          <w:rFonts w:ascii="Traditional Arabic" w:hAnsi="Traditional Arabic" w:hint="cs"/>
          <w:sz w:val="32"/>
          <w:szCs w:val="32"/>
          <w:rtl/>
        </w:rPr>
        <w:t>(ك)</w:t>
      </w:r>
      <w:r w:rsidRPr="00970896">
        <w:rPr>
          <w:rFonts w:ascii="Traditional Arabic" w:hAnsi="Traditional Arabic"/>
          <w:sz w:val="32"/>
          <w:szCs w:val="32"/>
          <w:rtl/>
        </w:rPr>
        <w:t xml:space="preserve">: </w:t>
      </w:r>
      <w:r>
        <w:rPr>
          <w:rFonts w:ascii="Traditional Arabic" w:hAnsi="Traditional Arabic" w:hint="cs"/>
          <w:sz w:val="32"/>
          <w:szCs w:val="32"/>
          <w:rtl/>
        </w:rPr>
        <w:t>[</w:t>
      </w:r>
      <w:r w:rsidRPr="00970896">
        <w:rPr>
          <w:rFonts w:ascii="Traditional Arabic" w:hAnsi="Traditional Arabic"/>
          <w:sz w:val="32"/>
          <w:szCs w:val="32"/>
          <w:rtl/>
        </w:rPr>
        <w:t>في سبب نزولها</w:t>
      </w:r>
      <w:r>
        <w:rPr>
          <w:rFonts w:ascii="Traditional Arabic" w:hAnsi="Traditional Arabic" w:hint="cs"/>
          <w:sz w:val="32"/>
          <w:szCs w:val="32"/>
          <w:rtl/>
        </w:rPr>
        <w:t>]</w:t>
      </w:r>
      <w:r w:rsidRPr="00970896">
        <w:rPr>
          <w:rFonts w:ascii="Traditional Arabic" w:hAnsi="Traditional Arabic"/>
          <w:sz w:val="32"/>
          <w:szCs w:val="32"/>
          <w:rtl/>
        </w:rPr>
        <w:t>.</w:t>
      </w:r>
    </w:p>
  </w:footnote>
  <w:footnote w:id="190">
    <w:p w:rsidR="003F128F" w:rsidRPr="00970896" w:rsidRDefault="003F128F" w:rsidP="00257C0A">
      <w:pPr>
        <w:pStyle w:val="af3"/>
        <w:rPr>
          <w:rFonts w:ascii="Traditional Arabic" w:hAnsi="Traditional Arabic"/>
          <w:sz w:val="32"/>
          <w:szCs w:val="32"/>
        </w:rPr>
      </w:pPr>
      <w:r w:rsidRPr="00970896">
        <w:rPr>
          <w:rFonts w:ascii="Traditional Arabic" w:hAnsi="Traditional Arabic"/>
          <w:sz w:val="32"/>
          <w:szCs w:val="32"/>
          <w:rtl/>
        </w:rPr>
        <w:t>(</w:t>
      </w:r>
      <w:r w:rsidRPr="00970896">
        <w:rPr>
          <w:rStyle w:val="ae"/>
          <w:rFonts w:ascii="Traditional Arabic" w:hAnsi="Traditional Arabic"/>
          <w:sz w:val="32"/>
          <w:szCs w:val="32"/>
          <w:vertAlign w:val="baseline"/>
        </w:rPr>
        <w:footnoteRef/>
      </w:r>
      <w:r>
        <w:rPr>
          <w:rFonts w:ascii="Traditional Arabic" w:hAnsi="Traditional Arabic"/>
          <w:sz w:val="32"/>
          <w:szCs w:val="32"/>
          <w:rtl/>
        </w:rPr>
        <w:t>)</w:t>
      </w:r>
      <w:r w:rsidRPr="00970896">
        <w:rPr>
          <w:rFonts w:ascii="Traditional Arabic" w:hAnsi="Traditional Arabic"/>
          <w:sz w:val="32"/>
          <w:szCs w:val="32"/>
          <w:rtl/>
        </w:rPr>
        <w:t xml:space="preserve"> مكة: هي بيت الله الحرام, قيل سميت مكة لأنها تمكّ الجبّارين أي: تذهب نخوتهم، وقيل: </w:t>
      </w:r>
      <w:r w:rsidRPr="00970896">
        <w:rPr>
          <w:rFonts w:ascii="Traditional Arabic" w:hAnsi="Traditional Arabic" w:hint="cs"/>
          <w:sz w:val="32"/>
          <w:szCs w:val="32"/>
          <w:rtl/>
        </w:rPr>
        <w:t>لازدحام</w:t>
      </w:r>
      <w:r w:rsidRPr="00970896">
        <w:rPr>
          <w:rFonts w:ascii="Traditional Arabic" w:hAnsi="Traditional Arabic"/>
          <w:sz w:val="32"/>
          <w:szCs w:val="32"/>
          <w:rtl/>
        </w:rPr>
        <w:t xml:space="preserve"> الناس بها, وقيل غير ذلك. انظر: معجم البلدان للحموي (5/181).</w:t>
      </w:r>
    </w:p>
  </w:footnote>
  <w:footnote w:id="191">
    <w:p w:rsidR="003F128F" w:rsidRPr="00970896" w:rsidRDefault="003F128F" w:rsidP="00F7270E">
      <w:pPr>
        <w:pStyle w:val="af3"/>
        <w:rPr>
          <w:rFonts w:ascii="Traditional Arabic" w:hAnsi="Traditional Arabic"/>
          <w:sz w:val="32"/>
          <w:szCs w:val="32"/>
        </w:rPr>
      </w:pPr>
      <w:r w:rsidRPr="00970896">
        <w:rPr>
          <w:rFonts w:ascii="Traditional Arabic" w:hAnsi="Traditional Arabic"/>
          <w:sz w:val="32"/>
          <w:szCs w:val="32"/>
          <w:rtl/>
        </w:rPr>
        <w:t>(</w:t>
      </w:r>
      <w:r w:rsidRPr="00970896">
        <w:rPr>
          <w:rStyle w:val="ae"/>
          <w:rFonts w:ascii="Traditional Arabic" w:hAnsi="Traditional Arabic"/>
          <w:sz w:val="32"/>
          <w:szCs w:val="32"/>
          <w:vertAlign w:val="baseline"/>
        </w:rPr>
        <w:footnoteRef/>
      </w:r>
      <w:r w:rsidRPr="00970896">
        <w:rPr>
          <w:rFonts w:ascii="Traditional Arabic" w:hAnsi="Traditional Arabic"/>
          <w:sz w:val="32"/>
          <w:szCs w:val="32"/>
          <w:rtl/>
        </w:rPr>
        <w:t xml:space="preserve">) الصفَا: بالفتح، والقصر, مكان مرتفع من جبل أبي قبيس بينه وبين المسجد الحرام عرض الوادي الذي هو طريق وسوق، ومن وقف على الصفا كان بحذاء الحجر الأسود والمشعر الحرام. انظر: معجم البلدان (3/412). </w:t>
      </w:r>
    </w:p>
  </w:footnote>
  <w:footnote w:id="192">
    <w:p w:rsidR="003F128F" w:rsidRPr="00BD73F6" w:rsidRDefault="003F128F" w:rsidP="00BD73F6">
      <w:pPr>
        <w:pStyle w:val="af3"/>
        <w:rPr>
          <w:rFonts w:ascii="Traditional Arabic" w:hAnsi="Traditional Arabic"/>
          <w:sz w:val="32"/>
          <w:szCs w:val="32"/>
        </w:rPr>
      </w:pPr>
      <w:r w:rsidRPr="00BD73F6">
        <w:rPr>
          <w:rFonts w:ascii="Traditional Arabic" w:hAnsi="Traditional Arabic"/>
          <w:sz w:val="32"/>
          <w:szCs w:val="32"/>
          <w:rtl/>
        </w:rPr>
        <w:t>(</w:t>
      </w:r>
      <w:r w:rsidRPr="00BD73F6">
        <w:rPr>
          <w:rStyle w:val="ae"/>
          <w:rFonts w:ascii="Traditional Arabic" w:hAnsi="Traditional Arabic"/>
          <w:sz w:val="32"/>
          <w:szCs w:val="32"/>
          <w:vertAlign w:val="baseline"/>
        </w:rPr>
        <w:footnoteRef/>
      </w:r>
      <w:r>
        <w:rPr>
          <w:rFonts w:ascii="Traditional Arabic" w:hAnsi="Traditional Arabic"/>
          <w:sz w:val="32"/>
          <w:szCs w:val="32"/>
          <w:rtl/>
        </w:rPr>
        <w:t xml:space="preserve">) في </w:t>
      </w:r>
      <w:r>
        <w:rPr>
          <w:rFonts w:ascii="Traditional Arabic" w:hAnsi="Traditional Arabic" w:hint="cs"/>
          <w:sz w:val="32"/>
          <w:szCs w:val="32"/>
          <w:rtl/>
        </w:rPr>
        <w:t>(م)</w:t>
      </w:r>
      <w:r w:rsidRPr="00BD73F6">
        <w:rPr>
          <w:rFonts w:ascii="Traditional Arabic" w:hAnsi="Traditional Arabic"/>
          <w:sz w:val="32"/>
          <w:szCs w:val="32"/>
          <w:rtl/>
        </w:rPr>
        <w:t xml:space="preserve">: </w:t>
      </w:r>
      <w:r>
        <w:rPr>
          <w:rFonts w:ascii="Traditional Arabic" w:hAnsi="Traditional Arabic" w:hint="cs"/>
          <w:sz w:val="32"/>
          <w:szCs w:val="32"/>
          <w:rtl/>
        </w:rPr>
        <w:t>[</w:t>
      </w:r>
      <w:r w:rsidRPr="00BD73F6">
        <w:rPr>
          <w:rFonts w:ascii="Traditional Arabic" w:hAnsi="Traditional Arabic"/>
          <w:sz w:val="32"/>
          <w:szCs w:val="32"/>
          <w:rtl/>
        </w:rPr>
        <w:t>فيزرعون</w:t>
      </w:r>
      <w:r>
        <w:rPr>
          <w:rFonts w:ascii="Traditional Arabic" w:hAnsi="Traditional Arabic" w:hint="cs"/>
          <w:sz w:val="32"/>
          <w:szCs w:val="32"/>
          <w:rtl/>
        </w:rPr>
        <w:t>], والمثبت من (ك), وهو موافق لما في مصادر الحديث</w:t>
      </w:r>
      <w:r w:rsidRPr="00BD73F6">
        <w:rPr>
          <w:rFonts w:ascii="Traditional Arabic" w:hAnsi="Traditional Arabic"/>
          <w:sz w:val="32"/>
          <w:szCs w:val="32"/>
          <w:rtl/>
        </w:rPr>
        <w:t>.</w:t>
      </w:r>
    </w:p>
  </w:footnote>
  <w:footnote w:id="193">
    <w:p w:rsidR="003F128F" w:rsidRPr="00CF2208" w:rsidRDefault="003F128F" w:rsidP="0076327F">
      <w:pPr>
        <w:pStyle w:val="af3"/>
        <w:rPr>
          <w:rFonts w:ascii="Traditional Arabic" w:hAnsi="Traditional Arabic"/>
          <w:sz w:val="32"/>
          <w:szCs w:val="32"/>
        </w:rPr>
      </w:pPr>
      <w:r w:rsidRPr="00970896">
        <w:rPr>
          <w:rFonts w:ascii="Traditional Arabic" w:hAnsi="Traditional Arabic"/>
          <w:sz w:val="32"/>
          <w:szCs w:val="32"/>
          <w:rtl/>
        </w:rPr>
        <w:t>(</w:t>
      </w:r>
      <w:r w:rsidRPr="00970896">
        <w:rPr>
          <w:rStyle w:val="ae"/>
          <w:rFonts w:ascii="Traditional Arabic" w:hAnsi="Traditional Arabic"/>
          <w:sz w:val="32"/>
          <w:szCs w:val="32"/>
          <w:vertAlign w:val="baseline"/>
        </w:rPr>
        <w:footnoteRef/>
      </w:r>
      <w:r w:rsidRPr="00970896">
        <w:rPr>
          <w:rFonts w:ascii="Traditional Arabic" w:hAnsi="Traditional Arabic"/>
          <w:sz w:val="32"/>
          <w:szCs w:val="32"/>
          <w:rtl/>
        </w:rPr>
        <w:t>)</w:t>
      </w:r>
      <w:r>
        <w:rPr>
          <w:rFonts w:ascii="Traditional Arabic" w:hAnsi="Traditional Arabic"/>
          <w:sz w:val="32"/>
          <w:szCs w:val="32"/>
          <w:rtl/>
        </w:rPr>
        <w:t xml:space="preserve"> </w:t>
      </w:r>
      <w:r w:rsidRPr="00CF2208">
        <w:rPr>
          <w:rFonts w:ascii="Traditional Arabic" w:hAnsi="Traditional Arabic"/>
          <w:sz w:val="32"/>
          <w:szCs w:val="32"/>
          <w:rtl/>
        </w:rPr>
        <w:t>تستأني: أي تنتظر. انظر: غريب الحديث للقاسم بن سلام (1/75)</w:t>
      </w:r>
      <w:r>
        <w:rPr>
          <w:rFonts w:ascii="Traditional Arabic" w:hAnsi="Traditional Arabic" w:hint="cs"/>
          <w:sz w:val="32"/>
          <w:szCs w:val="32"/>
          <w:rtl/>
        </w:rPr>
        <w:t>.</w:t>
      </w:r>
    </w:p>
  </w:footnote>
  <w:footnote w:id="194">
    <w:p w:rsidR="003F128F" w:rsidRPr="00CF2208" w:rsidRDefault="003F128F" w:rsidP="003D3C7E">
      <w:pPr>
        <w:pStyle w:val="af3"/>
        <w:rPr>
          <w:rFonts w:ascii="Traditional Arabic" w:hAnsi="Traditional Arabic"/>
          <w:sz w:val="32"/>
          <w:szCs w:val="32"/>
        </w:rPr>
      </w:pPr>
      <w:r w:rsidRPr="00CF2208">
        <w:rPr>
          <w:rFonts w:ascii="Traditional Arabic" w:hAnsi="Traditional Arabic"/>
          <w:sz w:val="32"/>
          <w:szCs w:val="32"/>
          <w:rtl/>
        </w:rPr>
        <w:t>(</w:t>
      </w:r>
      <w:r w:rsidRPr="00CF2208">
        <w:rPr>
          <w:rStyle w:val="ae"/>
          <w:rFonts w:ascii="Traditional Arabic" w:hAnsi="Traditional Arabic"/>
          <w:sz w:val="32"/>
          <w:szCs w:val="32"/>
          <w:vertAlign w:val="baseline"/>
        </w:rPr>
        <w:footnoteRef/>
      </w:r>
      <w:r w:rsidRPr="00CF2208">
        <w:rPr>
          <w:rFonts w:ascii="Traditional Arabic" w:hAnsi="Traditional Arabic"/>
          <w:sz w:val="32"/>
          <w:szCs w:val="32"/>
          <w:rtl/>
        </w:rPr>
        <w:t>) نجتبي: أي نختار. انظر: النهاية لابن الأثير (1/238).</w:t>
      </w:r>
    </w:p>
  </w:footnote>
  <w:footnote w:id="195">
    <w:p w:rsidR="003F128F" w:rsidRPr="00CF2208" w:rsidRDefault="003F128F" w:rsidP="003D3C7E">
      <w:pPr>
        <w:pStyle w:val="af3"/>
        <w:rPr>
          <w:rFonts w:ascii="Traditional Arabic" w:hAnsi="Traditional Arabic"/>
          <w:sz w:val="32"/>
          <w:szCs w:val="32"/>
        </w:rPr>
      </w:pPr>
      <w:r w:rsidRPr="00CF2208">
        <w:rPr>
          <w:rFonts w:ascii="Traditional Arabic" w:hAnsi="Traditional Arabic"/>
          <w:sz w:val="32"/>
          <w:szCs w:val="32"/>
          <w:rtl/>
        </w:rPr>
        <w:t>(</w:t>
      </w:r>
      <w:r w:rsidRPr="00CF2208">
        <w:rPr>
          <w:rStyle w:val="ae"/>
          <w:rFonts w:ascii="Traditional Arabic" w:hAnsi="Traditional Arabic"/>
          <w:sz w:val="32"/>
          <w:szCs w:val="32"/>
          <w:vertAlign w:val="baseline"/>
        </w:rPr>
        <w:footnoteRef/>
      </w:r>
      <w:r w:rsidRPr="00CF2208">
        <w:rPr>
          <w:rFonts w:ascii="Traditional Arabic" w:hAnsi="Traditional Arabic"/>
          <w:sz w:val="32"/>
          <w:szCs w:val="32"/>
          <w:rtl/>
        </w:rPr>
        <w:t xml:space="preserve">) هو التابعي أبو عبد الله سعيد </w:t>
      </w:r>
      <w:r>
        <w:rPr>
          <w:rFonts w:ascii="Traditional Arabic" w:hAnsi="Traditional Arabic"/>
          <w:sz w:val="32"/>
          <w:szCs w:val="32"/>
          <w:rtl/>
        </w:rPr>
        <w:t>بن جبير بن هشام الأسدي، الوَا</w:t>
      </w:r>
      <w:r>
        <w:rPr>
          <w:rFonts w:ascii="Traditional Arabic" w:hAnsi="Traditional Arabic" w:hint="cs"/>
          <w:sz w:val="32"/>
          <w:szCs w:val="32"/>
          <w:rtl/>
        </w:rPr>
        <w:t>لب</w:t>
      </w:r>
      <w:r w:rsidRPr="00CF2208">
        <w:rPr>
          <w:rFonts w:ascii="Traditional Arabic" w:hAnsi="Traditional Arabic"/>
          <w:sz w:val="32"/>
          <w:szCs w:val="32"/>
          <w:rtl/>
        </w:rPr>
        <w:t xml:space="preserve">بِيُّ مولاهم، </w:t>
      </w:r>
      <w:r>
        <w:rPr>
          <w:rFonts w:ascii="Traditional Arabic" w:hAnsi="Traditional Arabic"/>
          <w:sz w:val="32"/>
          <w:szCs w:val="32"/>
          <w:rtl/>
        </w:rPr>
        <w:t>الإمام</w:t>
      </w:r>
      <w:r w:rsidRPr="00CF2208">
        <w:rPr>
          <w:rFonts w:ascii="Traditional Arabic" w:hAnsi="Traditional Arabic"/>
          <w:sz w:val="32"/>
          <w:szCs w:val="32"/>
          <w:rtl/>
        </w:rPr>
        <w:t>، الحافظ، المقرئ، المفسر، الكوفي، (ت 95ه). انظر: تهذيب الكمال (10/358)، سير أعلام النبلاء (4/321).</w:t>
      </w:r>
    </w:p>
  </w:footnote>
  <w:footnote w:id="196">
    <w:p w:rsidR="003F128F" w:rsidRPr="00CF2208" w:rsidRDefault="003F128F" w:rsidP="00382600">
      <w:pPr>
        <w:pStyle w:val="af3"/>
        <w:rPr>
          <w:rFonts w:ascii="Traditional Arabic" w:hAnsi="Traditional Arabic"/>
          <w:sz w:val="32"/>
          <w:szCs w:val="32"/>
        </w:rPr>
      </w:pPr>
      <w:r w:rsidRPr="00CF2208">
        <w:rPr>
          <w:rFonts w:ascii="Traditional Arabic" w:hAnsi="Traditional Arabic"/>
          <w:sz w:val="32"/>
          <w:szCs w:val="32"/>
          <w:rtl/>
        </w:rPr>
        <w:t>(</w:t>
      </w:r>
      <w:r w:rsidRPr="00CF2208">
        <w:rPr>
          <w:rStyle w:val="ae"/>
          <w:rFonts w:ascii="Traditional Arabic" w:hAnsi="Traditional Arabic"/>
          <w:sz w:val="32"/>
          <w:szCs w:val="32"/>
          <w:vertAlign w:val="baseline"/>
        </w:rPr>
        <w:footnoteRef/>
      </w:r>
      <w:r w:rsidRPr="00CF2208">
        <w:rPr>
          <w:rFonts w:ascii="Traditional Arabic" w:hAnsi="Traditional Arabic"/>
          <w:sz w:val="32"/>
          <w:szCs w:val="32"/>
          <w:rtl/>
        </w:rPr>
        <w:t>) هو صاحب رسول الله</w:t>
      </w:r>
      <w:r w:rsidRPr="00CF2208">
        <w:rPr>
          <w:rFonts w:ascii="Traditional Arabic" w:hAnsi="Traditional Arabic"/>
          <w:sz w:val="32"/>
          <w:szCs w:val="32"/>
        </w:rPr>
        <w:sym w:font="AGA Arabesque" w:char="F072"/>
      </w:r>
      <w:r w:rsidRPr="00CF2208">
        <w:rPr>
          <w:rFonts w:ascii="Traditional Arabic" w:hAnsi="Traditional Arabic"/>
          <w:sz w:val="32"/>
          <w:szCs w:val="32"/>
        </w:rPr>
        <w:t xml:space="preserve"> </w:t>
      </w:r>
      <w:r w:rsidRPr="00CF2208">
        <w:rPr>
          <w:rFonts w:ascii="Traditional Arabic" w:hAnsi="Traditional Arabic"/>
          <w:sz w:val="32"/>
          <w:szCs w:val="32"/>
          <w:rtl/>
        </w:rPr>
        <w:t xml:space="preserve"> وابن عمه عبد الله بن عباس بن عبد المطلب بن ه</w:t>
      </w:r>
      <w:r>
        <w:rPr>
          <w:rFonts w:ascii="Traditional Arabic" w:hAnsi="Traditional Arabic" w:hint="cs"/>
          <w:sz w:val="32"/>
          <w:szCs w:val="32"/>
          <w:rtl/>
        </w:rPr>
        <w:t>اش</w:t>
      </w:r>
      <w:r w:rsidRPr="00CF2208">
        <w:rPr>
          <w:rFonts w:ascii="Traditional Arabic" w:hAnsi="Traditional Arabic"/>
          <w:sz w:val="32"/>
          <w:szCs w:val="32"/>
          <w:rtl/>
        </w:rPr>
        <w:t>م القرشي، كان يسمى البحر والحبر لسعة علمه، وهو أحد العبادلة من فقهاء الصحابة، (ت68ه). انظر: معجم الصحابة للبغوي (3/482)،</w:t>
      </w:r>
      <w:r>
        <w:rPr>
          <w:rFonts w:ascii="Traditional Arabic" w:hAnsi="Traditional Arabic"/>
          <w:sz w:val="32"/>
          <w:szCs w:val="32"/>
          <w:rtl/>
        </w:rPr>
        <w:t xml:space="preserve"> </w:t>
      </w:r>
      <w:r>
        <w:rPr>
          <w:rFonts w:ascii="Traditional Arabic" w:hAnsi="Traditional Arabic" w:hint="cs"/>
          <w:sz w:val="32"/>
          <w:szCs w:val="32"/>
          <w:rtl/>
        </w:rPr>
        <w:t>أ</w:t>
      </w:r>
      <w:r>
        <w:rPr>
          <w:rFonts w:ascii="Traditional Arabic" w:hAnsi="Traditional Arabic"/>
          <w:sz w:val="32"/>
          <w:szCs w:val="32"/>
          <w:rtl/>
        </w:rPr>
        <w:t>سد الغابة</w:t>
      </w:r>
      <w:r>
        <w:rPr>
          <w:rFonts w:ascii="Traditional Arabic" w:hAnsi="Traditional Arabic" w:hint="cs"/>
          <w:sz w:val="32"/>
          <w:szCs w:val="32"/>
          <w:rtl/>
        </w:rPr>
        <w:t xml:space="preserve"> لابن الأثير</w:t>
      </w:r>
      <w:r w:rsidRPr="00CF2208">
        <w:rPr>
          <w:rFonts w:ascii="Traditional Arabic" w:hAnsi="Traditional Arabic"/>
          <w:sz w:val="32"/>
          <w:szCs w:val="32"/>
          <w:rtl/>
        </w:rPr>
        <w:t xml:space="preserve"> (3/291).</w:t>
      </w:r>
    </w:p>
  </w:footnote>
  <w:footnote w:id="197">
    <w:p w:rsidR="003F128F" w:rsidRPr="00CF2208" w:rsidRDefault="003F128F" w:rsidP="007316B4">
      <w:pPr>
        <w:pStyle w:val="af3"/>
        <w:rPr>
          <w:rFonts w:ascii="Traditional Arabic" w:hAnsi="Traditional Arabic"/>
          <w:sz w:val="32"/>
          <w:szCs w:val="32"/>
        </w:rPr>
      </w:pPr>
      <w:r w:rsidRPr="00CF2208">
        <w:rPr>
          <w:rFonts w:ascii="Traditional Arabic" w:hAnsi="Traditional Arabic"/>
          <w:sz w:val="32"/>
          <w:szCs w:val="32"/>
          <w:rtl/>
        </w:rPr>
        <w:t>(</w:t>
      </w:r>
      <w:r w:rsidRPr="00CF2208">
        <w:rPr>
          <w:rStyle w:val="ae"/>
          <w:rFonts w:ascii="Traditional Arabic" w:hAnsi="Traditional Arabic"/>
          <w:sz w:val="32"/>
          <w:szCs w:val="32"/>
          <w:vertAlign w:val="baseline"/>
        </w:rPr>
        <w:footnoteRef/>
      </w:r>
      <w:r>
        <w:rPr>
          <w:rFonts w:ascii="Traditional Arabic" w:hAnsi="Traditional Arabic"/>
          <w:sz w:val="32"/>
          <w:szCs w:val="32"/>
          <w:rtl/>
        </w:rPr>
        <w:t xml:space="preserve">) </w:t>
      </w:r>
      <w:r w:rsidRPr="00CF2208">
        <w:rPr>
          <w:rFonts w:ascii="Traditional Arabic" w:hAnsi="Traditional Arabic"/>
          <w:sz w:val="32"/>
          <w:szCs w:val="32"/>
          <w:rtl/>
        </w:rPr>
        <w:t>أخرجه أحمد في مسنده (1/258 ح2333)، والنسائي في السنن الكبرى (كتاب التفسير، باب</w:t>
      </w:r>
      <w:r>
        <w:rPr>
          <w:rFonts w:ascii="Traditional Arabic" w:hAnsi="Traditional Arabic" w:hint="cs"/>
          <w:sz w:val="32"/>
          <w:szCs w:val="32"/>
          <w:rtl/>
        </w:rPr>
        <w:t>:</w:t>
      </w:r>
      <w:r w:rsidRPr="00CF2208">
        <w:rPr>
          <w:rFonts w:ascii="Traditional Arabic" w:hAnsi="Traditional Arabic"/>
          <w:sz w:val="32"/>
          <w:szCs w:val="32"/>
          <w:rtl/>
        </w:rPr>
        <w:t xml:space="preserve"> قوله تعالى:</w:t>
      </w:r>
      <w:r w:rsidRPr="00CF2208">
        <w:rPr>
          <w:rFonts w:ascii="QCF_BSML" w:hAnsi="QCF_BSML" w:cs="QCF_BSML"/>
          <w:rtl/>
          <w:lang w:eastAsia="en-US"/>
        </w:rPr>
        <w:t xml:space="preserve"> </w:t>
      </w:r>
      <w:r w:rsidRPr="00D9460C">
        <w:rPr>
          <w:rFonts w:ascii="QCF_BSML" w:hAnsi="QCF_BSML" w:cs="QCF_BSML"/>
          <w:rtl/>
          <w:lang w:eastAsia="en-US"/>
        </w:rPr>
        <w:t>ﭽ</w:t>
      </w:r>
      <w:r w:rsidRPr="00D9460C">
        <w:rPr>
          <w:rFonts w:ascii="QCF_BSML" w:hAnsi="QCF_BSML" w:cs="QCF_BSML" w:hint="cs"/>
          <w:color w:val="auto"/>
          <w:rtl/>
          <w:lang w:eastAsia="en-US"/>
        </w:rPr>
        <w:t xml:space="preserve"> </w:t>
      </w:r>
      <w:r w:rsidRPr="00D9460C">
        <w:rPr>
          <w:rFonts w:ascii="QCF_P288" w:hAnsi="QCF_P288" w:cs="QCF_P288"/>
          <w:color w:val="auto"/>
          <w:rtl/>
          <w:lang w:eastAsia="en-US"/>
        </w:rPr>
        <w:t>ﭑ ﭒ ﭓ ﭔ ﭕ ﭖ ﭗ ﭘ ﭙ ﭚ</w:t>
      </w:r>
      <w:r w:rsidRPr="00D9460C">
        <w:rPr>
          <w:rFonts w:ascii="Tahoma" w:hAnsi="Tahoma" w:hint="cs"/>
          <w:rtl/>
        </w:rPr>
        <w:t xml:space="preserve"> </w:t>
      </w:r>
      <w:r w:rsidRPr="00D9460C">
        <w:rPr>
          <w:rFonts w:ascii="QCF_BSML" w:hAnsi="QCF_BSML" w:cs="QCF_BSML"/>
          <w:rtl/>
          <w:lang w:eastAsia="en-US"/>
        </w:rPr>
        <w:t>ﭼ</w:t>
      </w:r>
      <w:r>
        <w:rPr>
          <w:rFonts w:ascii="QCF_BSML" w:hAnsi="QCF_BSML" w:cs="QCF_BSML" w:hint="cs"/>
          <w:rtl/>
          <w:lang w:eastAsia="en-US"/>
        </w:rPr>
        <w:t xml:space="preserve"> </w:t>
      </w:r>
      <w:r w:rsidRPr="00CF2208">
        <w:rPr>
          <w:rFonts w:ascii="Traditional Arabic" w:hAnsi="Traditional Arabic"/>
          <w:sz w:val="32"/>
          <w:szCs w:val="32"/>
          <w:rtl/>
        </w:rPr>
        <w:t>11/182 ح11401)، والحاكم في المستدرك، (2/428 ح3379)، وقال: صحيح الإسناد ولم يخرجاه</w:t>
      </w:r>
      <w:r>
        <w:rPr>
          <w:rFonts w:ascii="Traditional Arabic" w:hAnsi="Traditional Arabic" w:hint="cs"/>
          <w:sz w:val="32"/>
          <w:szCs w:val="32"/>
          <w:rtl/>
        </w:rPr>
        <w:t>.</w:t>
      </w:r>
      <w:r w:rsidRPr="00CF2208">
        <w:rPr>
          <w:rFonts w:ascii="Traditional Arabic" w:hAnsi="Traditional Arabic"/>
          <w:sz w:val="32"/>
          <w:szCs w:val="32"/>
          <w:rtl/>
        </w:rPr>
        <w:t xml:space="preserve"> ووافقه الذهبي، و</w:t>
      </w:r>
      <w:r>
        <w:rPr>
          <w:rFonts w:ascii="Traditional Arabic" w:hAnsi="Traditional Arabic" w:hint="cs"/>
          <w:sz w:val="32"/>
          <w:szCs w:val="32"/>
          <w:rtl/>
        </w:rPr>
        <w:t xml:space="preserve">أخرجه </w:t>
      </w:r>
      <w:r w:rsidRPr="00CF2208">
        <w:rPr>
          <w:rFonts w:ascii="Traditional Arabic" w:hAnsi="Traditional Arabic"/>
          <w:sz w:val="32"/>
          <w:szCs w:val="32"/>
          <w:rtl/>
        </w:rPr>
        <w:t>الطبري في تفسيره (14/635)، والحديث صححه الألباني، انظر:</w:t>
      </w:r>
      <w:r>
        <w:rPr>
          <w:rFonts w:ascii="Traditional Arabic" w:hAnsi="Traditional Arabic" w:hint="cs"/>
          <w:sz w:val="32"/>
          <w:szCs w:val="32"/>
          <w:rtl/>
        </w:rPr>
        <w:t xml:space="preserve"> السلسلة</w:t>
      </w:r>
      <w:r>
        <w:rPr>
          <w:rFonts w:ascii="Traditional Arabic" w:hAnsi="Traditional Arabic"/>
          <w:sz w:val="32"/>
          <w:szCs w:val="32"/>
          <w:rtl/>
        </w:rPr>
        <w:t xml:space="preserve"> الصحيحة </w:t>
      </w:r>
      <w:r>
        <w:rPr>
          <w:rFonts w:ascii="Traditional Arabic" w:hAnsi="Traditional Arabic" w:hint="cs"/>
          <w:sz w:val="32"/>
          <w:szCs w:val="32"/>
          <w:rtl/>
        </w:rPr>
        <w:t>(7/1157 ح3388)</w:t>
      </w:r>
      <w:r w:rsidRPr="00CF2208">
        <w:rPr>
          <w:rFonts w:ascii="Traditional Arabic" w:hAnsi="Traditional Arabic"/>
          <w:sz w:val="32"/>
          <w:szCs w:val="32"/>
          <w:rtl/>
        </w:rPr>
        <w:t>.</w:t>
      </w:r>
    </w:p>
  </w:footnote>
  <w:footnote w:id="198">
    <w:p w:rsidR="003F128F" w:rsidRPr="000B6201" w:rsidRDefault="003F128F" w:rsidP="002C5518">
      <w:pPr>
        <w:pStyle w:val="af3"/>
        <w:rPr>
          <w:rFonts w:ascii="Traditional Arabic" w:hAnsi="Traditional Arabic"/>
          <w:sz w:val="32"/>
          <w:szCs w:val="32"/>
        </w:rPr>
      </w:pPr>
      <w:r w:rsidRPr="000B6201">
        <w:rPr>
          <w:rFonts w:ascii="Traditional Arabic" w:hAnsi="Traditional Arabic"/>
          <w:sz w:val="32"/>
          <w:szCs w:val="32"/>
          <w:rtl/>
        </w:rPr>
        <w:t>(</w:t>
      </w:r>
      <w:r w:rsidRPr="000B6201">
        <w:rPr>
          <w:rStyle w:val="ae"/>
          <w:rFonts w:ascii="Traditional Arabic" w:hAnsi="Traditional Arabic"/>
          <w:sz w:val="32"/>
          <w:szCs w:val="32"/>
          <w:vertAlign w:val="baseline"/>
        </w:rPr>
        <w:footnoteRef/>
      </w:r>
      <w:r>
        <w:rPr>
          <w:rFonts w:ascii="Traditional Arabic" w:hAnsi="Traditional Arabic"/>
          <w:sz w:val="32"/>
          <w:szCs w:val="32"/>
          <w:rtl/>
        </w:rPr>
        <w:t>)</w:t>
      </w:r>
      <w:r w:rsidRPr="000B6201">
        <w:rPr>
          <w:rFonts w:ascii="Traditional Arabic" w:hAnsi="Traditional Arabic"/>
          <w:sz w:val="32"/>
          <w:szCs w:val="32"/>
          <w:rtl/>
        </w:rPr>
        <w:t xml:space="preserve"> هو صاحب رسول الله</w:t>
      </w:r>
      <w:r w:rsidRPr="000B6201">
        <w:rPr>
          <w:rFonts w:ascii="Traditional Arabic" w:hAnsi="Traditional Arabic"/>
          <w:sz w:val="32"/>
          <w:szCs w:val="32"/>
        </w:rPr>
        <w:sym w:font="AGA Arabesque" w:char="F072"/>
      </w:r>
      <w:r w:rsidRPr="000B6201">
        <w:rPr>
          <w:rFonts w:ascii="Traditional Arabic" w:hAnsi="Traditional Arabic"/>
          <w:sz w:val="32"/>
          <w:szCs w:val="32"/>
        </w:rPr>
        <w:t xml:space="preserve"> </w:t>
      </w:r>
      <w:r w:rsidRPr="000B6201">
        <w:rPr>
          <w:rFonts w:ascii="Traditional Arabic" w:hAnsi="Traditional Arabic"/>
          <w:sz w:val="32"/>
          <w:szCs w:val="32"/>
          <w:rtl/>
        </w:rPr>
        <w:t xml:space="preserve"> أبو عبد الله الزبير بن العوام بن خويلد بن أسد القرشي، الأسدي، أحد  العشرة المشهود لهم بالجنة، (ت 36 ه)، انظر: معجم الصحابة للبغوي (3/514)، </w:t>
      </w:r>
      <w:r>
        <w:rPr>
          <w:rFonts w:ascii="Traditional Arabic" w:hAnsi="Traditional Arabic"/>
          <w:sz w:val="32"/>
          <w:szCs w:val="32"/>
          <w:rtl/>
        </w:rPr>
        <w:t xml:space="preserve">تهذيب الكمال </w:t>
      </w:r>
      <w:r>
        <w:rPr>
          <w:rFonts w:ascii="Traditional Arabic" w:hAnsi="Traditional Arabic" w:hint="cs"/>
          <w:sz w:val="32"/>
          <w:szCs w:val="32"/>
          <w:rtl/>
        </w:rPr>
        <w:t xml:space="preserve">للمزي </w:t>
      </w:r>
      <w:r>
        <w:rPr>
          <w:rFonts w:ascii="Traditional Arabic" w:hAnsi="Traditional Arabic"/>
          <w:sz w:val="32"/>
          <w:szCs w:val="32"/>
          <w:rtl/>
        </w:rPr>
        <w:t>(</w:t>
      </w:r>
      <w:r>
        <w:rPr>
          <w:rFonts w:ascii="Traditional Arabic" w:hAnsi="Traditional Arabic" w:hint="cs"/>
          <w:sz w:val="32"/>
          <w:szCs w:val="32"/>
          <w:rtl/>
        </w:rPr>
        <w:t>9/319</w:t>
      </w:r>
      <w:r w:rsidRPr="000B6201">
        <w:rPr>
          <w:rFonts w:ascii="Traditional Arabic" w:hAnsi="Traditional Arabic"/>
          <w:sz w:val="32"/>
          <w:szCs w:val="32"/>
          <w:rtl/>
        </w:rPr>
        <w:t>).</w:t>
      </w:r>
    </w:p>
  </w:footnote>
  <w:footnote w:id="199">
    <w:p w:rsidR="003F128F" w:rsidRPr="00327E19" w:rsidRDefault="003F128F" w:rsidP="00354C09">
      <w:pPr>
        <w:widowControl/>
        <w:autoSpaceDE w:val="0"/>
        <w:autoSpaceDN w:val="0"/>
        <w:adjustRightInd w:val="0"/>
        <w:ind w:firstLine="0"/>
        <w:rPr>
          <w:rFonts w:ascii="Traditional Arabic" w:hAnsi="Traditional Arabic"/>
          <w:sz w:val="32"/>
          <w:szCs w:val="32"/>
        </w:rPr>
      </w:pPr>
      <w:r w:rsidRPr="000B6201">
        <w:rPr>
          <w:rFonts w:ascii="Traditional Arabic" w:hAnsi="Traditional Arabic"/>
          <w:sz w:val="32"/>
          <w:szCs w:val="32"/>
          <w:rtl/>
        </w:rPr>
        <w:t>(</w:t>
      </w:r>
      <w:r w:rsidRPr="000B6201">
        <w:rPr>
          <w:rStyle w:val="ae"/>
          <w:rFonts w:ascii="Traditional Arabic" w:hAnsi="Traditional Arabic"/>
          <w:sz w:val="32"/>
          <w:szCs w:val="32"/>
          <w:vertAlign w:val="baseline"/>
        </w:rPr>
        <w:footnoteRef/>
      </w:r>
      <w:r w:rsidRPr="000B6201">
        <w:rPr>
          <w:rFonts w:ascii="Traditional Arabic" w:hAnsi="Traditional Arabic"/>
          <w:sz w:val="32"/>
          <w:szCs w:val="32"/>
          <w:rtl/>
        </w:rPr>
        <w:t xml:space="preserve">) ذكر </w:t>
      </w:r>
      <w:r>
        <w:rPr>
          <w:rFonts w:ascii="Traditional Arabic" w:hAnsi="Traditional Arabic" w:hint="cs"/>
          <w:sz w:val="32"/>
          <w:szCs w:val="32"/>
          <w:rtl/>
        </w:rPr>
        <w:t xml:space="preserve">ابن الجوزي رحمه الله </w:t>
      </w:r>
      <w:r w:rsidRPr="000B6201">
        <w:rPr>
          <w:rFonts w:ascii="Traditional Arabic" w:hAnsi="Traditional Arabic"/>
          <w:sz w:val="32"/>
          <w:szCs w:val="32"/>
          <w:rtl/>
        </w:rPr>
        <w:t>هذا القول</w:t>
      </w:r>
      <w:r>
        <w:rPr>
          <w:rFonts w:ascii="Traditional Arabic" w:hAnsi="Traditional Arabic" w:hint="cs"/>
          <w:sz w:val="32"/>
          <w:szCs w:val="32"/>
          <w:rtl/>
        </w:rPr>
        <w:t xml:space="preserve"> عنه</w:t>
      </w:r>
      <w:r w:rsidRPr="000B6201">
        <w:rPr>
          <w:rFonts w:ascii="Traditional Arabic" w:hAnsi="Traditional Arabic"/>
          <w:sz w:val="32"/>
          <w:szCs w:val="32"/>
          <w:rtl/>
        </w:rPr>
        <w:t xml:space="preserve"> </w:t>
      </w:r>
      <w:r>
        <w:rPr>
          <w:rFonts w:ascii="Traditional Arabic" w:hAnsi="Traditional Arabic" w:hint="cs"/>
          <w:sz w:val="32"/>
          <w:szCs w:val="32"/>
          <w:rtl/>
        </w:rPr>
        <w:t>في كتابه "زاد المسير"</w:t>
      </w:r>
      <w:r w:rsidRPr="000B6201">
        <w:rPr>
          <w:rFonts w:ascii="Traditional Arabic" w:hAnsi="Traditional Arabic"/>
          <w:sz w:val="32"/>
          <w:szCs w:val="32"/>
          <w:rtl/>
        </w:rPr>
        <w:t xml:space="preserve"> (2/496)،</w:t>
      </w:r>
      <w:r>
        <w:rPr>
          <w:rFonts w:ascii="Traditional Arabic" w:hAnsi="Traditional Arabic" w:hint="cs"/>
          <w:sz w:val="32"/>
          <w:szCs w:val="32"/>
          <w:rtl/>
        </w:rPr>
        <w:t xml:space="preserve"> عند قوله تعالى: </w:t>
      </w:r>
      <w:r w:rsidRPr="00327E19">
        <w:rPr>
          <w:rFonts w:ascii="QCF_BSML" w:hAnsi="QCF_BSML" w:cs="QCF_BSML"/>
          <w:color w:val="0D0D0D" w:themeColor="text1" w:themeTint="F2"/>
          <w:sz w:val="28"/>
          <w:szCs w:val="28"/>
          <w:rtl/>
          <w:lang w:eastAsia="en-US"/>
        </w:rPr>
        <w:t xml:space="preserve"> ﭽ </w:t>
      </w:r>
      <w:r w:rsidRPr="00327E19">
        <w:rPr>
          <w:rFonts w:ascii="QCF_P253" w:hAnsi="QCF_P253" w:cs="QCF_P253"/>
          <w:color w:val="0D0D0D" w:themeColor="text1" w:themeTint="F2"/>
          <w:sz w:val="28"/>
          <w:szCs w:val="28"/>
          <w:rtl/>
          <w:lang w:eastAsia="en-US"/>
        </w:rPr>
        <w:t xml:space="preserve">ﭸ ﭹ ﭺ ﭻ ﭼ ﭽ </w:t>
      </w:r>
      <w:r w:rsidRPr="00327E19">
        <w:rPr>
          <w:rFonts w:ascii="QCF_BSML" w:hAnsi="QCF_BSML" w:cs="QCF_BSML"/>
          <w:color w:val="0D0D0D" w:themeColor="text1" w:themeTint="F2"/>
          <w:sz w:val="28"/>
          <w:szCs w:val="28"/>
          <w:rtl/>
          <w:lang w:eastAsia="en-US"/>
        </w:rPr>
        <w:t>ﭼ</w:t>
      </w:r>
      <w:r w:rsidRPr="00327E19">
        <w:rPr>
          <w:rFonts w:ascii="QCF_BSML" w:hAnsi="QCF_BSML" w:cs="QCF_BSML" w:hint="cs"/>
          <w:color w:val="0D0D0D" w:themeColor="text1" w:themeTint="F2"/>
          <w:sz w:val="28"/>
          <w:szCs w:val="28"/>
          <w:rtl/>
          <w:lang w:eastAsia="en-US"/>
        </w:rPr>
        <w:t xml:space="preserve"> </w:t>
      </w:r>
      <w:r w:rsidRPr="00B07E03">
        <w:rPr>
          <w:rFonts w:ascii="Arial" w:hAnsi="Arial" w:cs="Arial" w:hint="cs"/>
          <w:color w:val="0D0D0D" w:themeColor="text1" w:themeTint="F2"/>
          <w:sz w:val="28"/>
          <w:szCs w:val="28"/>
          <w:rtl/>
          <w:lang w:eastAsia="en-US"/>
        </w:rPr>
        <w:t>[</w:t>
      </w:r>
      <w:r w:rsidRPr="00B07E03">
        <w:rPr>
          <w:rFonts w:ascii="Traditional Arabic" w:hAnsi="Traditional Arabic"/>
          <w:color w:val="0D0D0D" w:themeColor="text1" w:themeTint="F2"/>
          <w:sz w:val="28"/>
          <w:szCs w:val="28"/>
          <w:rtl/>
          <w:lang w:eastAsia="en-US"/>
        </w:rPr>
        <w:t>الرعد:31</w:t>
      </w:r>
      <w:r w:rsidRPr="00B07E03">
        <w:rPr>
          <w:rFonts w:ascii="Arial" w:hAnsi="Arial" w:cs="Arial" w:hint="cs"/>
          <w:color w:val="0D0D0D" w:themeColor="text1" w:themeTint="F2"/>
          <w:sz w:val="28"/>
          <w:szCs w:val="28"/>
          <w:rtl/>
          <w:lang w:eastAsia="en-US"/>
        </w:rPr>
        <w:t>]</w:t>
      </w:r>
      <w:r w:rsidRPr="000B6201">
        <w:rPr>
          <w:rFonts w:ascii="Traditional Arabic" w:hAnsi="Traditional Arabic"/>
          <w:sz w:val="32"/>
          <w:szCs w:val="32"/>
          <w:rtl/>
        </w:rPr>
        <w:t xml:space="preserve"> قال: قال الزبير بن العوام: قالت قريش لرسول </w:t>
      </w:r>
      <w:r w:rsidRPr="000B6201">
        <w:rPr>
          <w:rFonts w:ascii="Traditional Arabic" w:hAnsi="Traditional Arabic"/>
          <w:sz w:val="32"/>
          <w:szCs w:val="32"/>
        </w:rPr>
        <w:sym w:font="AGA Arabesque" w:char="F072"/>
      </w:r>
      <w:r w:rsidRPr="000B6201">
        <w:rPr>
          <w:rFonts w:ascii="Traditional Arabic" w:hAnsi="Traditional Arabic"/>
          <w:sz w:val="32"/>
          <w:szCs w:val="32"/>
          <w:rtl/>
        </w:rPr>
        <w:t>: ادع الله أن يسيِّر عنا هذه الجبال ويفجِّر لنا الأرض أنهاراً فنزرع، أو يحيي لنا موتانا</w:t>
      </w:r>
      <w:r w:rsidRPr="000B6201">
        <w:rPr>
          <w:rFonts w:ascii="Traditional Arabic" w:hAnsi="Traditional Arabic"/>
          <w:sz w:val="32"/>
          <w:szCs w:val="32"/>
          <w:rtl/>
          <w:lang w:eastAsia="en-US"/>
        </w:rPr>
        <w:t xml:space="preserve"> فنكلمهم، أو يصير هذه الصخرة ذهباً فتغنينا عن</w:t>
      </w:r>
      <w:r w:rsidRPr="000B6201">
        <w:rPr>
          <w:rFonts w:ascii="Traditional Arabic" w:hAnsi="Traditional Arabic"/>
          <w:b/>
          <w:bCs/>
          <w:sz w:val="32"/>
          <w:szCs w:val="32"/>
          <w:rtl/>
          <w:lang w:eastAsia="en-US"/>
        </w:rPr>
        <w:t xml:space="preserve"> </w:t>
      </w:r>
      <w:r w:rsidRPr="000B6201">
        <w:rPr>
          <w:rFonts w:ascii="Traditional Arabic" w:hAnsi="Traditional Arabic"/>
          <w:sz w:val="32"/>
          <w:szCs w:val="32"/>
          <w:rtl/>
          <w:lang w:eastAsia="en-US"/>
        </w:rPr>
        <w:t>رحلة الشتاء والصيف</w:t>
      </w:r>
      <w:r>
        <w:rPr>
          <w:rFonts w:ascii="Traditional Arabic" w:hAnsi="Traditional Arabic" w:hint="cs"/>
          <w:sz w:val="32"/>
          <w:szCs w:val="32"/>
          <w:rtl/>
          <w:lang w:eastAsia="en-US"/>
        </w:rPr>
        <w:t>,</w:t>
      </w:r>
      <w:r w:rsidRPr="000B6201">
        <w:rPr>
          <w:rFonts w:ascii="Traditional Arabic" w:hAnsi="Traditional Arabic"/>
          <w:sz w:val="32"/>
          <w:szCs w:val="32"/>
          <w:rtl/>
          <w:lang w:eastAsia="en-US"/>
        </w:rPr>
        <w:t xml:space="preserve"> فقد كان للأنبياء آيات؛ فنزلت هذه الآية، ونزل قوله:</w:t>
      </w:r>
      <w:r w:rsidRPr="00A4142B">
        <w:rPr>
          <w:rFonts w:ascii="Traditional Arabic" w:hAnsi="Traditional Arabic"/>
          <w:sz w:val="32"/>
          <w:szCs w:val="32"/>
          <w:rtl/>
          <w:lang w:eastAsia="en-US"/>
        </w:rPr>
        <w:t xml:space="preserve"> </w:t>
      </w:r>
      <w:r w:rsidRPr="00327E19">
        <w:rPr>
          <w:rFonts w:ascii="QCF_BSML" w:hAnsi="QCF_BSML" w:cs="QCF_BSML"/>
          <w:color w:val="0D0D0D" w:themeColor="text1" w:themeTint="F2"/>
          <w:sz w:val="28"/>
          <w:szCs w:val="28"/>
          <w:rtl/>
          <w:lang w:eastAsia="en-US"/>
        </w:rPr>
        <w:t>ﭽ</w:t>
      </w:r>
      <w:r w:rsidRPr="00A4142B">
        <w:rPr>
          <w:rFonts w:ascii="QCF_BSML" w:hAnsi="QCF_BSML" w:cs="QCF_BSML"/>
          <w:color w:val="auto"/>
          <w:sz w:val="28"/>
          <w:szCs w:val="28"/>
          <w:rtl/>
          <w:lang w:eastAsia="en-US"/>
        </w:rPr>
        <w:t xml:space="preserve"> </w:t>
      </w:r>
      <w:r w:rsidRPr="00A4142B">
        <w:rPr>
          <w:rFonts w:ascii="QCF_P288" w:hAnsi="QCF_P288" w:cs="QCF_P288"/>
          <w:color w:val="auto"/>
          <w:sz w:val="28"/>
          <w:szCs w:val="28"/>
          <w:rtl/>
          <w:lang w:eastAsia="en-US"/>
        </w:rPr>
        <w:t>ﭑ ﭒ ﭓ ﭔ ﭕ ﭖ ﭗ ﭘ ﭙ ﭚﭛ</w:t>
      </w:r>
      <w:r w:rsidRPr="00A4142B">
        <w:rPr>
          <w:rFonts w:ascii="QCF_BSML" w:hAnsi="QCF_BSML" w:cs="QCF_BSML"/>
          <w:sz w:val="28"/>
          <w:szCs w:val="28"/>
          <w:rtl/>
          <w:lang w:eastAsia="en-US"/>
        </w:rPr>
        <w:t>ﭼ</w:t>
      </w:r>
      <w:r w:rsidRPr="00A4142B">
        <w:rPr>
          <w:rFonts w:ascii="Traditional Arabic" w:hAnsi="Traditional Arabic"/>
          <w:sz w:val="32"/>
          <w:szCs w:val="32"/>
          <w:rtl/>
        </w:rPr>
        <w:t xml:space="preserve">. أخرجه الواحدي في أسباب النزول (ص/195) من حديث </w:t>
      </w:r>
      <w:r w:rsidRPr="00327E19">
        <w:rPr>
          <w:rFonts w:ascii="Traditional Arabic" w:hAnsi="Traditional Arabic"/>
          <w:sz w:val="32"/>
          <w:szCs w:val="32"/>
          <w:rtl/>
        </w:rPr>
        <w:t>الزبير, و</w:t>
      </w:r>
      <w:r>
        <w:rPr>
          <w:rFonts w:ascii="Traditional Arabic" w:hAnsi="Traditional Arabic" w:hint="cs"/>
          <w:sz w:val="32"/>
          <w:szCs w:val="32"/>
          <w:rtl/>
        </w:rPr>
        <w:t xml:space="preserve">ذكره </w:t>
      </w:r>
      <w:r w:rsidRPr="00327E19">
        <w:rPr>
          <w:rFonts w:ascii="Traditional Arabic" w:hAnsi="Traditional Arabic"/>
          <w:sz w:val="32"/>
          <w:szCs w:val="32"/>
          <w:rtl/>
        </w:rPr>
        <w:t>الهيثمي في مجمع الزوائد (7/</w:t>
      </w:r>
      <w:r>
        <w:rPr>
          <w:rFonts w:ascii="Traditional Arabic" w:hAnsi="Traditional Arabic" w:hint="cs"/>
          <w:sz w:val="32"/>
          <w:szCs w:val="32"/>
          <w:rtl/>
        </w:rPr>
        <w:t>85</w:t>
      </w:r>
      <w:r w:rsidRPr="00327E19">
        <w:rPr>
          <w:rFonts w:ascii="Traditional Arabic" w:hAnsi="Traditional Arabic"/>
          <w:sz w:val="32"/>
          <w:szCs w:val="32"/>
          <w:rtl/>
        </w:rPr>
        <w:t xml:space="preserve">)، وقال: </w:t>
      </w:r>
      <w:r>
        <w:rPr>
          <w:rFonts w:ascii="Traditional Arabic" w:hAnsi="Traditional Arabic" w:hint="cs"/>
          <w:sz w:val="32"/>
          <w:szCs w:val="32"/>
          <w:rtl/>
        </w:rPr>
        <w:t>"</w:t>
      </w:r>
      <w:r w:rsidRPr="00327E19">
        <w:rPr>
          <w:rFonts w:ascii="Traditional Arabic" w:hAnsi="Traditional Arabic"/>
          <w:sz w:val="32"/>
          <w:szCs w:val="32"/>
          <w:rtl/>
        </w:rPr>
        <w:t>فيه عبد الجبار بن عم</w:t>
      </w:r>
      <w:r>
        <w:rPr>
          <w:rFonts w:ascii="Traditional Arabic" w:hAnsi="Traditional Arabic"/>
          <w:sz w:val="32"/>
          <w:szCs w:val="32"/>
          <w:rtl/>
        </w:rPr>
        <w:t xml:space="preserve">ر الأيلي عن عبدالله بن عطاء بن </w:t>
      </w:r>
      <w:r>
        <w:rPr>
          <w:rFonts w:ascii="Traditional Arabic" w:hAnsi="Traditional Arabic" w:hint="cs"/>
          <w:sz w:val="32"/>
          <w:szCs w:val="32"/>
          <w:rtl/>
        </w:rPr>
        <w:t>إ</w:t>
      </w:r>
      <w:r w:rsidRPr="00327E19">
        <w:rPr>
          <w:rFonts w:ascii="Traditional Arabic" w:hAnsi="Traditional Arabic"/>
          <w:sz w:val="32"/>
          <w:szCs w:val="32"/>
          <w:rtl/>
        </w:rPr>
        <w:t>براهيم</w:t>
      </w:r>
      <w:r>
        <w:rPr>
          <w:rFonts w:ascii="Traditional Arabic" w:hAnsi="Traditional Arabic" w:hint="cs"/>
          <w:sz w:val="32"/>
          <w:szCs w:val="32"/>
          <w:rtl/>
        </w:rPr>
        <w:t>,</w:t>
      </w:r>
      <w:r w:rsidRPr="00327E19">
        <w:rPr>
          <w:rFonts w:ascii="Traditional Arabic" w:hAnsi="Traditional Arabic"/>
          <w:sz w:val="32"/>
          <w:szCs w:val="32"/>
          <w:rtl/>
        </w:rPr>
        <w:t xml:space="preserve"> وكلاهما وثق</w:t>
      </w:r>
      <w:r>
        <w:rPr>
          <w:rFonts w:ascii="Traditional Arabic" w:hAnsi="Traditional Arabic" w:hint="cs"/>
          <w:sz w:val="32"/>
          <w:szCs w:val="32"/>
          <w:rtl/>
        </w:rPr>
        <w:t>,</w:t>
      </w:r>
      <w:r w:rsidRPr="00327E19">
        <w:rPr>
          <w:rFonts w:ascii="Traditional Arabic" w:hAnsi="Traditional Arabic"/>
          <w:sz w:val="32"/>
          <w:szCs w:val="32"/>
          <w:rtl/>
        </w:rPr>
        <w:t xml:space="preserve"> وقد ضعفهما الجمهور</w:t>
      </w:r>
      <w:r>
        <w:rPr>
          <w:rFonts w:ascii="Traditional Arabic" w:hAnsi="Traditional Arabic" w:hint="cs"/>
          <w:sz w:val="32"/>
          <w:szCs w:val="32"/>
          <w:rtl/>
        </w:rPr>
        <w:t>"</w:t>
      </w:r>
      <w:r w:rsidRPr="00327E19">
        <w:rPr>
          <w:rFonts w:ascii="Traditional Arabic" w:hAnsi="Traditional Arabic"/>
          <w:sz w:val="32"/>
          <w:szCs w:val="32"/>
          <w:rtl/>
        </w:rPr>
        <w:t xml:space="preserve">. </w:t>
      </w:r>
    </w:p>
  </w:footnote>
  <w:footnote w:id="200">
    <w:p w:rsidR="003F128F" w:rsidRPr="00327E19" w:rsidRDefault="003F128F" w:rsidP="00BD73F6">
      <w:pPr>
        <w:pStyle w:val="af3"/>
        <w:rPr>
          <w:rFonts w:ascii="Traditional Arabic" w:hAnsi="Traditional Arabic"/>
          <w:sz w:val="32"/>
          <w:szCs w:val="32"/>
        </w:rPr>
      </w:pPr>
      <w:r w:rsidRPr="00327E19">
        <w:rPr>
          <w:rFonts w:ascii="Traditional Arabic" w:hAnsi="Traditional Arabic"/>
          <w:sz w:val="32"/>
          <w:szCs w:val="32"/>
          <w:rtl/>
        </w:rPr>
        <w:t>(</w:t>
      </w:r>
      <w:r w:rsidRPr="00327E19">
        <w:rPr>
          <w:rStyle w:val="ae"/>
          <w:rFonts w:ascii="Traditional Arabic" w:hAnsi="Traditional Arabic"/>
          <w:sz w:val="32"/>
          <w:szCs w:val="32"/>
          <w:vertAlign w:val="baseline"/>
        </w:rPr>
        <w:footnoteRef/>
      </w:r>
      <w:r w:rsidRPr="00327E19">
        <w:rPr>
          <w:rFonts w:ascii="Traditional Arabic" w:hAnsi="Traditional Arabic"/>
          <w:sz w:val="32"/>
          <w:szCs w:val="32"/>
          <w:rtl/>
        </w:rPr>
        <w:t xml:space="preserve">) في الأصل: [فيهلكون], والمثبت من (ك). </w:t>
      </w:r>
    </w:p>
  </w:footnote>
  <w:footnote w:id="201">
    <w:p w:rsidR="003F128F" w:rsidRPr="00327E19" w:rsidRDefault="003F128F" w:rsidP="00AB6719">
      <w:pPr>
        <w:widowControl/>
        <w:autoSpaceDE w:val="0"/>
        <w:autoSpaceDN w:val="0"/>
        <w:adjustRightInd w:val="0"/>
        <w:ind w:firstLine="0"/>
        <w:rPr>
          <w:rFonts w:ascii="Traditional Arabic" w:hAnsi="Traditional Arabic"/>
          <w:sz w:val="32"/>
          <w:szCs w:val="32"/>
        </w:rPr>
      </w:pPr>
      <w:r w:rsidRPr="00327E19">
        <w:rPr>
          <w:rFonts w:ascii="Traditional Arabic" w:hAnsi="Traditional Arabic"/>
          <w:sz w:val="32"/>
          <w:szCs w:val="32"/>
          <w:rtl/>
        </w:rPr>
        <w:t>(</w:t>
      </w:r>
      <w:r w:rsidRPr="00327E19">
        <w:rPr>
          <w:rStyle w:val="ae"/>
          <w:rFonts w:ascii="Traditional Arabic" w:hAnsi="Traditional Arabic"/>
          <w:sz w:val="32"/>
          <w:szCs w:val="32"/>
          <w:vertAlign w:val="baseline"/>
        </w:rPr>
        <w:footnoteRef/>
      </w:r>
      <w:r w:rsidRPr="00327E19">
        <w:rPr>
          <w:rFonts w:ascii="Traditional Arabic" w:hAnsi="Traditional Arabic"/>
          <w:sz w:val="32"/>
          <w:szCs w:val="32"/>
          <w:rtl/>
        </w:rPr>
        <w:t xml:space="preserve">) </w:t>
      </w:r>
      <w:r w:rsidRPr="00327E19">
        <w:rPr>
          <w:rFonts w:ascii="Traditional Arabic" w:hAnsi="Traditional Arabic"/>
          <w:color w:val="auto"/>
          <w:sz w:val="32"/>
          <w:szCs w:val="32"/>
          <w:rtl/>
          <w:lang w:eastAsia="en-US"/>
        </w:rPr>
        <w:t>هو أبو محمد عبد الله بن مسلم بن قتيبة الدينوري المروزي، تربى في بغداد، وتولى القضاء بدينور، وهو صاحب كتاب القراءات، وغريب القرآن، ومشكل القرآن، وغيرها، (ت276هـ). انظر: وفيات الأعيان (3/42)، الوافي بالوفيات (4/137)</w:t>
      </w:r>
      <w:r w:rsidRPr="00327E19">
        <w:rPr>
          <w:rFonts w:ascii="Traditional Arabic" w:hAnsi="Traditional Arabic"/>
          <w:sz w:val="32"/>
          <w:szCs w:val="32"/>
          <w:rtl/>
          <w:lang w:eastAsia="en-US"/>
        </w:rPr>
        <w:t>.</w:t>
      </w:r>
      <w:r w:rsidRPr="00327E19">
        <w:rPr>
          <w:rFonts w:ascii="Traditional Arabic" w:hAnsi="Traditional Arabic"/>
          <w:sz w:val="32"/>
          <w:szCs w:val="32"/>
        </w:rPr>
        <w:t xml:space="preserve"> </w:t>
      </w:r>
    </w:p>
  </w:footnote>
  <w:footnote w:id="202">
    <w:p w:rsidR="003F128F" w:rsidRPr="00327E19" w:rsidRDefault="003F128F" w:rsidP="00327E19">
      <w:pPr>
        <w:pStyle w:val="af3"/>
        <w:rPr>
          <w:rFonts w:ascii="Traditional Arabic" w:hAnsi="Traditional Arabic"/>
          <w:sz w:val="32"/>
          <w:szCs w:val="32"/>
        </w:rPr>
      </w:pPr>
      <w:r w:rsidRPr="00327E19">
        <w:rPr>
          <w:rFonts w:ascii="Traditional Arabic" w:hAnsi="Traditional Arabic"/>
          <w:sz w:val="32"/>
          <w:szCs w:val="32"/>
          <w:rtl/>
        </w:rPr>
        <w:t>(</w:t>
      </w:r>
      <w:r w:rsidRPr="00327E19">
        <w:rPr>
          <w:rStyle w:val="ae"/>
          <w:rFonts w:ascii="Traditional Arabic" w:hAnsi="Traditional Arabic"/>
          <w:sz w:val="32"/>
          <w:szCs w:val="32"/>
          <w:vertAlign w:val="baseline"/>
        </w:rPr>
        <w:footnoteRef/>
      </w:r>
      <w:r w:rsidRPr="00327E19">
        <w:rPr>
          <w:rFonts w:ascii="Traditional Arabic" w:hAnsi="Traditional Arabic"/>
          <w:sz w:val="32"/>
          <w:szCs w:val="32"/>
          <w:rtl/>
        </w:rPr>
        <w:t>) غريب القرآن لابن قتيبة (ص257).</w:t>
      </w:r>
    </w:p>
  </w:footnote>
  <w:footnote w:id="203">
    <w:p w:rsidR="003F128F" w:rsidRPr="00327E19" w:rsidRDefault="003F128F" w:rsidP="00AB6719">
      <w:pPr>
        <w:pStyle w:val="af3"/>
        <w:rPr>
          <w:rFonts w:ascii="Traditional Arabic" w:hAnsi="Traditional Arabic"/>
          <w:sz w:val="32"/>
          <w:szCs w:val="32"/>
        </w:rPr>
      </w:pPr>
      <w:r w:rsidRPr="00327E19">
        <w:rPr>
          <w:rFonts w:ascii="Traditional Arabic" w:hAnsi="Traditional Arabic"/>
          <w:sz w:val="32"/>
          <w:szCs w:val="32"/>
          <w:rtl/>
        </w:rPr>
        <w:t>(</w:t>
      </w:r>
      <w:r w:rsidRPr="00327E19">
        <w:rPr>
          <w:rStyle w:val="ae"/>
          <w:rFonts w:ascii="Traditional Arabic" w:hAnsi="Traditional Arabic"/>
          <w:sz w:val="32"/>
          <w:szCs w:val="32"/>
          <w:vertAlign w:val="baseline"/>
        </w:rPr>
        <w:footnoteRef/>
      </w:r>
      <w:r w:rsidRPr="00327E19">
        <w:rPr>
          <w:rFonts w:ascii="Traditional Arabic" w:hAnsi="Traditional Arabic"/>
          <w:sz w:val="32"/>
          <w:szCs w:val="32"/>
          <w:rtl/>
        </w:rPr>
        <w:t xml:space="preserve">) </w:t>
      </w:r>
      <w:r w:rsidRPr="00327E19">
        <w:rPr>
          <w:rFonts w:ascii="Traditional Arabic" w:hAnsi="Traditional Arabic"/>
          <w:sz w:val="32"/>
          <w:szCs w:val="32"/>
          <w:rtl/>
          <w:lang w:eastAsia="en-US"/>
        </w:rPr>
        <w:t xml:space="preserve">هو </w:t>
      </w:r>
      <w:r>
        <w:rPr>
          <w:rFonts w:ascii="Traditional Arabic" w:hAnsi="Traditional Arabic"/>
          <w:sz w:val="32"/>
          <w:szCs w:val="32"/>
          <w:rtl/>
          <w:lang w:eastAsia="en-US"/>
        </w:rPr>
        <w:t>الإمام</w:t>
      </w:r>
      <w:r w:rsidRPr="00327E19">
        <w:rPr>
          <w:rFonts w:ascii="Traditional Arabic" w:hAnsi="Traditional Arabic"/>
          <w:sz w:val="32"/>
          <w:szCs w:val="32"/>
          <w:rtl/>
          <w:lang w:eastAsia="en-US"/>
        </w:rPr>
        <w:t xml:space="preserve"> أبو ب</w:t>
      </w:r>
      <w:r>
        <w:rPr>
          <w:rFonts w:ascii="Traditional Arabic" w:hAnsi="Traditional Arabic"/>
          <w:sz w:val="32"/>
          <w:szCs w:val="32"/>
          <w:rtl/>
          <w:lang w:eastAsia="en-US"/>
        </w:rPr>
        <w:t>كر محمد بن القاسم بن بشار بن ال</w:t>
      </w:r>
      <w:r>
        <w:rPr>
          <w:rFonts w:ascii="Traditional Arabic" w:hAnsi="Traditional Arabic" w:hint="cs"/>
          <w:sz w:val="32"/>
          <w:szCs w:val="32"/>
          <w:rtl/>
          <w:lang w:eastAsia="en-US"/>
        </w:rPr>
        <w:t>أ</w:t>
      </w:r>
      <w:r w:rsidRPr="00327E19">
        <w:rPr>
          <w:rFonts w:ascii="Traditional Arabic" w:hAnsi="Traditional Arabic"/>
          <w:sz w:val="32"/>
          <w:szCs w:val="32"/>
          <w:rtl/>
          <w:lang w:eastAsia="en-US"/>
        </w:rPr>
        <w:t>نباري، المقرئ النحوي الحافظ ذو الفنون، له كتاب "الوقف والابتداء"، وكتاب "المشكل" وهو مفقود، وله أمالي كثيرة، وكان من أفراد العالم، (ت328هـ). انظر: وفيات الأعيان (4/431)، سير أعلام النبلاء (11/489).</w:t>
      </w:r>
    </w:p>
  </w:footnote>
  <w:footnote w:id="204">
    <w:p w:rsidR="003F128F" w:rsidRPr="00970896" w:rsidRDefault="003F128F" w:rsidP="00327E19">
      <w:pPr>
        <w:pStyle w:val="af3"/>
        <w:rPr>
          <w:rFonts w:ascii="Tahoma" w:hAnsi="Tahoma"/>
        </w:rPr>
      </w:pPr>
      <w:r w:rsidRPr="00327E19">
        <w:rPr>
          <w:rFonts w:ascii="Traditional Arabic" w:hAnsi="Traditional Arabic"/>
          <w:sz w:val="32"/>
          <w:szCs w:val="32"/>
          <w:rtl/>
        </w:rPr>
        <w:t>(</w:t>
      </w:r>
      <w:r w:rsidRPr="00327E19">
        <w:rPr>
          <w:rStyle w:val="ae"/>
          <w:rFonts w:ascii="Traditional Arabic" w:hAnsi="Traditional Arabic"/>
          <w:sz w:val="32"/>
          <w:szCs w:val="32"/>
          <w:vertAlign w:val="baseline"/>
        </w:rPr>
        <w:footnoteRef/>
      </w:r>
      <w:r w:rsidRPr="00327E19">
        <w:rPr>
          <w:rFonts w:ascii="Traditional Arabic" w:hAnsi="Traditional Arabic"/>
          <w:sz w:val="32"/>
          <w:szCs w:val="32"/>
          <w:rtl/>
        </w:rPr>
        <w:t>) ما بين المعكوفتين ساقط من الأصل, والمثبت من (ك).</w:t>
      </w:r>
      <w:r>
        <w:rPr>
          <w:rFonts w:ascii="Tahoma" w:hAnsi="Tahoma" w:hint="cs"/>
          <w:rtl/>
        </w:rPr>
        <w:t xml:space="preserve"> </w:t>
      </w:r>
    </w:p>
  </w:footnote>
  <w:footnote w:id="205">
    <w:p w:rsidR="003F128F" w:rsidRPr="00327E19" w:rsidRDefault="003F128F" w:rsidP="00AB6719">
      <w:pPr>
        <w:widowControl/>
        <w:autoSpaceDE w:val="0"/>
        <w:autoSpaceDN w:val="0"/>
        <w:adjustRightInd w:val="0"/>
        <w:ind w:firstLine="0"/>
        <w:rPr>
          <w:rFonts w:ascii="Traditional Arabic" w:hAnsi="Traditional Arabic"/>
          <w:sz w:val="32"/>
          <w:szCs w:val="32"/>
        </w:rPr>
      </w:pPr>
      <w:r w:rsidRPr="00327E19">
        <w:rPr>
          <w:rFonts w:ascii="Traditional Arabic" w:hAnsi="Traditional Arabic"/>
          <w:color w:val="auto"/>
          <w:sz w:val="32"/>
          <w:szCs w:val="32"/>
          <w:rtl/>
        </w:rPr>
        <w:t>(</w:t>
      </w:r>
      <w:r w:rsidRPr="00327E19">
        <w:rPr>
          <w:rStyle w:val="ae"/>
          <w:rFonts w:ascii="Traditional Arabic" w:hAnsi="Traditional Arabic"/>
          <w:color w:val="auto"/>
          <w:sz w:val="32"/>
          <w:szCs w:val="32"/>
          <w:vertAlign w:val="baseline"/>
        </w:rPr>
        <w:footnoteRef/>
      </w:r>
      <w:r w:rsidRPr="00327E19">
        <w:rPr>
          <w:rFonts w:ascii="Traditional Arabic" w:hAnsi="Traditional Arabic"/>
          <w:color w:val="auto"/>
          <w:sz w:val="32"/>
          <w:szCs w:val="32"/>
          <w:rtl/>
        </w:rPr>
        <w:t xml:space="preserve">) </w:t>
      </w:r>
      <w:r w:rsidRPr="00327E19">
        <w:rPr>
          <w:rFonts w:ascii="Traditional Arabic" w:hAnsi="Traditional Arabic"/>
          <w:sz w:val="32"/>
          <w:szCs w:val="32"/>
          <w:rtl/>
        </w:rPr>
        <w:t>لم أقف عليه فيما لدي من مصادر، ولعله في كتابه المشكل</w:t>
      </w:r>
      <w:r>
        <w:rPr>
          <w:rFonts w:ascii="Traditional Arabic" w:hAnsi="Traditional Arabic" w:hint="cs"/>
          <w:sz w:val="32"/>
          <w:szCs w:val="32"/>
          <w:rtl/>
        </w:rPr>
        <w:t>,</w:t>
      </w:r>
      <w:r w:rsidRPr="00327E19">
        <w:rPr>
          <w:rFonts w:ascii="Traditional Arabic" w:hAnsi="Traditional Arabic"/>
          <w:sz w:val="32"/>
          <w:szCs w:val="32"/>
          <w:rtl/>
        </w:rPr>
        <w:t xml:space="preserve"> وهو مفقود.</w:t>
      </w:r>
    </w:p>
  </w:footnote>
  <w:footnote w:id="206">
    <w:p w:rsidR="003F128F" w:rsidRPr="00327E19" w:rsidRDefault="003F128F" w:rsidP="0020377E">
      <w:pPr>
        <w:widowControl/>
        <w:autoSpaceDE w:val="0"/>
        <w:autoSpaceDN w:val="0"/>
        <w:adjustRightInd w:val="0"/>
        <w:ind w:firstLine="0"/>
        <w:rPr>
          <w:rFonts w:ascii="Traditional Arabic" w:hAnsi="Traditional Arabic"/>
          <w:sz w:val="32"/>
          <w:szCs w:val="32"/>
          <w:rtl/>
        </w:rPr>
      </w:pPr>
      <w:r w:rsidRPr="00327E19">
        <w:rPr>
          <w:rFonts w:ascii="Traditional Arabic" w:hAnsi="Traditional Arabic"/>
          <w:sz w:val="32"/>
          <w:szCs w:val="32"/>
          <w:rtl/>
        </w:rPr>
        <w:t>(</w:t>
      </w:r>
      <w:r w:rsidRPr="00327E19">
        <w:rPr>
          <w:rStyle w:val="ae"/>
          <w:rFonts w:ascii="Traditional Arabic" w:hAnsi="Traditional Arabic"/>
          <w:sz w:val="32"/>
          <w:szCs w:val="32"/>
          <w:vertAlign w:val="baseline"/>
        </w:rPr>
        <w:footnoteRef/>
      </w:r>
      <w:r w:rsidRPr="00327E19">
        <w:rPr>
          <w:rFonts w:ascii="Traditional Arabic" w:hAnsi="Traditional Arabic"/>
          <w:sz w:val="32"/>
          <w:szCs w:val="32"/>
          <w:rtl/>
        </w:rPr>
        <w:t>)</w:t>
      </w:r>
      <w:r>
        <w:rPr>
          <w:rFonts w:ascii="Traditional Arabic" w:hAnsi="Traditional Arabic" w:hint="cs"/>
          <w:sz w:val="32"/>
          <w:szCs w:val="32"/>
          <w:rtl/>
          <w:lang w:eastAsia="en-US"/>
        </w:rPr>
        <w:t xml:space="preserve"> </w:t>
      </w:r>
      <w:r>
        <w:rPr>
          <w:rFonts w:ascii="Traditional Arabic" w:hAnsi="Traditional Arabic"/>
          <w:sz w:val="32"/>
          <w:szCs w:val="32"/>
          <w:rtl/>
          <w:lang w:eastAsia="en-US"/>
        </w:rPr>
        <w:t>انظر: الكامل في القراءات العشر</w:t>
      </w:r>
      <w:r w:rsidRPr="00327E19">
        <w:rPr>
          <w:rFonts w:ascii="Traditional Arabic" w:hAnsi="Traditional Arabic"/>
          <w:sz w:val="32"/>
          <w:szCs w:val="32"/>
          <w:rtl/>
          <w:lang w:eastAsia="en-US"/>
        </w:rPr>
        <w:t xml:space="preserve"> والأربعين الزائدة </w:t>
      </w:r>
      <w:r w:rsidRPr="00327E19">
        <w:rPr>
          <w:rFonts w:ascii="Traditional Arabic" w:hAnsi="Traditional Arabic"/>
          <w:color w:val="auto"/>
          <w:sz w:val="32"/>
          <w:szCs w:val="32"/>
          <w:rtl/>
          <w:lang w:eastAsia="en-US"/>
        </w:rPr>
        <w:t>عليها، للهذلي (ص588).</w:t>
      </w:r>
      <w:r w:rsidRPr="00327E19">
        <w:rPr>
          <w:rFonts w:ascii="Traditional Arabic" w:hAnsi="Traditional Arabic"/>
          <w:sz w:val="32"/>
          <w:szCs w:val="32"/>
          <w:rtl/>
        </w:rPr>
        <w:t xml:space="preserve"> </w:t>
      </w:r>
    </w:p>
  </w:footnote>
  <w:footnote w:id="207">
    <w:p w:rsidR="003F128F" w:rsidRPr="00327E19" w:rsidRDefault="003F128F" w:rsidP="00354C09">
      <w:pPr>
        <w:pStyle w:val="af3"/>
        <w:rPr>
          <w:rFonts w:ascii="Traditional Arabic" w:hAnsi="Traditional Arabic"/>
          <w:sz w:val="32"/>
          <w:szCs w:val="32"/>
        </w:rPr>
      </w:pPr>
      <w:r w:rsidRPr="00327E19">
        <w:rPr>
          <w:rFonts w:ascii="Traditional Arabic" w:hAnsi="Traditional Arabic"/>
          <w:sz w:val="32"/>
          <w:szCs w:val="32"/>
          <w:rtl/>
        </w:rPr>
        <w:t>(</w:t>
      </w:r>
      <w:r w:rsidRPr="00327E19">
        <w:rPr>
          <w:rStyle w:val="ae"/>
          <w:rFonts w:ascii="Traditional Arabic" w:hAnsi="Traditional Arabic"/>
          <w:sz w:val="32"/>
          <w:szCs w:val="32"/>
          <w:vertAlign w:val="baseline"/>
        </w:rPr>
        <w:footnoteRef/>
      </w:r>
      <w:r w:rsidRPr="00327E19">
        <w:rPr>
          <w:rFonts w:ascii="Traditional Arabic" w:hAnsi="Traditional Arabic"/>
          <w:sz w:val="32"/>
          <w:szCs w:val="32"/>
          <w:rtl/>
        </w:rPr>
        <w:t>) مثل هذه اللفظة جاءت في حديث عن النبي</w:t>
      </w:r>
      <w:r w:rsidRPr="00327E19">
        <w:rPr>
          <w:rFonts w:ascii="Traditional Arabic" w:hAnsi="Traditional Arabic"/>
          <w:sz w:val="32"/>
          <w:szCs w:val="32"/>
        </w:rPr>
        <w:sym w:font="AGA Arabesque" w:char="F072"/>
      </w:r>
      <w:r w:rsidRPr="00327E19">
        <w:rPr>
          <w:rFonts w:ascii="Traditional Arabic" w:hAnsi="Traditional Arabic"/>
          <w:sz w:val="32"/>
          <w:szCs w:val="32"/>
        </w:rPr>
        <w:t xml:space="preserve"> </w:t>
      </w:r>
      <w:r w:rsidRPr="00327E19">
        <w:rPr>
          <w:rFonts w:ascii="Traditional Arabic" w:hAnsi="Traditional Arabic"/>
          <w:sz w:val="32"/>
          <w:szCs w:val="32"/>
          <w:rtl/>
        </w:rPr>
        <w:t xml:space="preserve"> رواه أحمد (29/104 ح17562)، وابن ماجة</w:t>
      </w:r>
      <w:r>
        <w:rPr>
          <w:rFonts w:ascii="Traditional Arabic" w:hAnsi="Traditional Arabic" w:hint="cs"/>
          <w:sz w:val="32"/>
          <w:szCs w:val="32"/>
          <w:rtl/>
        </w:rPr>
        <w:t xml:space="preserve"> </w:t>
      </w:r>
      <w:r w:rsidRPr="00327E19">
        <w:rPr>
          <w:rFonts w:ascii="Traditional Arabic" w:hAnsi="Traditional Arabic"/>
          <w:sz w:val="32"/>
          <w:szCs w:val="32"/>
          <w:rtl/>
        </w:rPr>
        <w:t>(كتاب الأدب، باب بر الوالدين والإحسان إلى البنات 4/188 ح3666)، واللفظ له، والطبراني في المعجم الكبير (3/32 ح2587)، والحاكم في المستدرك (ح4836)، وصححه، وسكت عنه الذهبي في التلخيص (ح4771) من حديث يعلى العامري أنه قال: جاء الحسن والحسين يسعيان إلى النبي</w:t>
      </w:r>
      <w:r w:rsidRPr="00327E19">
        <w:rPr>
          <w:rFonts w:ascii="Traditional Arabic" w:hAnsi="Traditional Arabic"/>
          <w:sz w:val="32"/>
          <w:szCs w:val="32"/>
        </w:rPr>
        <w:sym w:font="AGA Arabesque" w:char="F072"/>
      </w:r>
      <w:r w:rsidRPr="00327E19">
        <w:rPr>
          <w:rFonts w:ascii="Traditional Arabic" w:hAnsi="Traditional Arabic"/>
          <w:sz w:val="32"/>
          <w:szCs w:val="32"/>
          <w:rtl/>
        </w:rPr>
        <w:t>، فضمهما إليه، وقال: "إن الو</w:t>
      </w:r>
      <w:r>
        <w:rPr>
          <w:rFonts w:ascii="Traditional Arabic" w:hAnsi="Traditional Arabic"/>
          <w:sz w:val="32"/>
          <w:szCs w:val="32"/>
          <w:rtl/>
        </w:rPr>
        <w:t>لد مبخلة مجبنة"، وصححه الألباني</w:t>
      </w:r>
      <w:r w:rsidRPr="00327E19">
        <w:rPr>
          <w:rFonts w:ascii="Traditional Arabic" w:hAnsi="Traditional Arabic"/>
          <w:sz w:val="32"/>
          <w:szCs w:val="32"/>
          <w:rtl/>
        </w:rPr>
        <w:t xml:space="preserve"> </w:t>
      </w:r>
      <w:r>
        <w:rPr>
          <w:rFonts w:ascii="Traditional Arabic" w:hAnsi="Traditional Arabic" w:hint="cs"/>
          <w:sz w:val="32"/>
          <w:szCs w:val="32"/>
          <w:rtl/>
        </w:rPr>
        <w:t>كما في تعليقه على سنن</w:t>
      </w:r>
      <w:r w:rsidRPr="00327E19">
        <w:rPr>
          <w:rFonts w:ascii="Traditional Arabic" w:hAnsi="Traditional Arabic"/>
          <w:sz w:val="32"/>
          <w:szCs w:val="32"/>
          <w:rtl/>
        </w:rPr>
        <w:t xml:space="preserve"> ابن ماجة (ح</w:t>
      </w:r>
      <w:r>
        <w:rPr>
          <w:rFonts w:ascii="Traditional Arabic" w:hAnsi="Traditional Arabic" w:hint="cs"/>
          <w:sz w:val="32"/>
          <w:szCs w:val="32"/>
          <w:rtl/>
        </w:rPr>
        <w:t>3666</w:t>
      </w:r>
      <w:r w:rsidRPr="00327E19">
        <w:rPr>
          <w:rFonts w:ascii="Traditional Arabic" w:hAnsi="Traditional Arabic"/>
          <w:sz w:val="32"/>
          <w:szCs w:val="32"/>
          <w:rtl/>
        </w:rPr>
        <w:t>)، وقال السندي في حاشيته على سنن ابن ماجة (4/188): "مبخلة" بفتح الميم والخاء المعجمة معاً</w:t>
      </w:r>
      <w:r>
        <w:rPr>
          <w:rFonts w:ascii="Traditional Arabic" w:hAnsi="Traditional Arabic" w:hint="cs"/>
          <w:sz w:val="32"/>
          <w:szCs w:val="32"/>
          <w:rtl/>
        </w:rPr>
        <w:t>,</w:t>
      </w:r>
      <w:r w:rsidRPr="00327E19">
        <w:rPr>
          <w:rFonts w:ascii="Traditional Arabic" w:hAnsi="Traditional Arabic"/>
          <w:sz w:val="32"/>
          <w:szCs w:val="32"/>
          <w:rtl/>
        </w:rPr>
        <w:t xml:space="preserve"> ومثله "مجبنة"</w:t>
      </w:r>
      <w:r>
        <w:rPr>
          <w:rFonts w:ascii="Traditional Arabic" w:hAnsi="Traditional Arabic" w:hint="cs"/>
          <w:sz w:val="32"/>
          <w:szCs w:val="32"/>
          <w:rtl/>
        </w:rPr>
        <w:t>,</w:t>
      </w:r>
      <w:r w:rsidRPr="00327E19">
        <w:rPr>
          <w:rFonts w:ascii="Traditional Arabic" w:hAnsi="Traditional Arabic"/>
          <w:sz w:val="32"/>
          <w:szCs w:val="32"/>
          <w:rtl/>
        </w:rPr>
        <w:t xml:space="preserve"> أي: مظنة البخل والجبن</w:t>
      </w:r>
      <w:r>
        <w:rPr>
          <w:rFonts w:ascii="Traditional Arabic" w:hAnsi="Traditional Arabic" w:hint="cs"/>
          <w:sz w:val="32"/>
          <w:szCs w:val="32"/>
          <w:rtl/>
        </w:rPr>
        <w:t>,</w:t>
      </w:r>
      <w:r w:rsidRPr="00327E19">
        <w:rPr>
          <w:rFonts w:ascii="Traditional Arabic" w:hAnsi="Traditional Arabic"/>
          <w:sz w:val="32"/>
          <w:szCs w:val="32"/>
          <w:rtl/>
        </w:rPr>
        <w:t xml:space="preserve"> لأجله يبخل الإنسان ويجبن.</w:t>
      </w:r>
    </w:p>
  </w:footnote>
  <w:footnote w:id="208">
    <w:p w:rsidR="003F128F" w:rsidRPr="00327E19" w:rsidRDefault="003F128F" w:rsidP="00327E19">
      <w:pPr>
        <w:pStyle w:val="af3"/>
        <w:rPr>
          <w:rFonts w:ascii="Traditional Arabic" w:hAnsi="Traditional Arabic"/>
          <w:sz w:val="32"/>
          <w:szCs w:val="32"/>
        </w:rPr>
      </w:pPr>
      <w:r w:rsidRPr="00327E19">
        <w:rPr>
          <w:rFonts w:ascii="Traditional Arabic" w:hAnsi="Traditional Arabic"/>
          <w:sz w:val="32"/>
          <w:szCs w:val="32"/>
          <w:rtl/>
        </w:rPr>
        <w:t>(</w:t>
      </w:r>
      <w:r w:rsidRPr="00327E19">
        <w:rPr>
          <w:rStyle w:val="ae"/>
          <w:rFonts w:ascii="Traditional Arabic" w:hAnsi="Traditional Arabic"/>
          <w:sz w:val="32"/>
          <w:szCs w:val="32"/>
          <w:vertAlign w:val="baseline"/>
        </w:rPr>
        <w:footnoteRef/>
      </w:r>
      <w:r w:rsidRPr="00327E19">
        <w:rPr>
          <w:rFonts w:ascii="Traditional Arabic" w:hAnsi="Traditional Arabic"/>
          <w:sz w:val="32"/>
          <w:szCs w:val="32"/>
          <w:rtl/>
        </w:rPr>
        <w:t>) تفسير مقاتل (2/263)، تفسير يحيى بن سلام (1/145)</w:t>
      </w:r>
      <w:r w:rsidRPr="00327E19">
        <w:rPr>
          <w:rFonts w:ascii="Traditional Arabic" w:hAnsi="Traditional Arabic"/>
          <w:sz w:val="32"/>
          <w:szCs w:val="32"/>
          <w:rtl/>
          <w:lang w:eastAsia="en-US"/>
        </w:rPr>
        <w:t>, كلاهما غير منسوب.</w:t>
      </w:r>
    </w:p>
  </w:footnote>
  <w:footnote w:id="209">
    <w:p w:rsidR="003F128F" w:rsidRPr="00327E19" w:rsidRDefault="003F128F" w:rsidP="00AB6719">
      <w:pPr>
        <w:pStyle w:val="af3"/>
        <w:rPr>
          <w:rFonts w:ascii="Traditional Arabic" w:hAnsi="Traditional Arabic"/>
          <w:sz w:val="32"/>
          <w:szCs w:val="32"/>
        </w:rPr>
      </w:pPr>
      <w:r w:rsidRPr="00327E19">
        <w:rPr>
          <w:rFonts w:ascii="Traditional Arabic" w:hAnsi="Traditional Arabic"/>
          <w:sz w:val="32"/>
          <w:szCs w:val="32"/>
          <w:rtl/>
        </w:rPr>
        <w:t>(</w:t>
      </w:r>
      <w:r w:rsidRPr="00327E19">
        <w:rPr>
          <w:rStyle w:val="ae"/>
          <w:rFonts w:ascii="Traditional Arabic" w:hAnsi="Traditional Arabic"/>
          <w:sz w:val="32"/>
          <w:szCs w:val="32"/>
          <w:vertAlign w:val="baseline"/>
        </w:rPr>
        <w:footnoteRef/>
      </w:r>
      <w:r w:rsidRPr="00327E19">
        <w:rPr>
          <w:rFonts w:ascii="Traditional Arabic" w:hAnsi="Traditional Arabic"/>
          <w:sz w:val="32"/>
          <w:szCs w:val="32"/>
          <w:rtl/>
        </w:rPr>
        <w:t xml:space="preserve">) هو </w:t>
      </w:r>
      <w:r>
        <w:rPr>
          <w:rFonts w:ascii="Traditional Arabic" w:hAnsi="Traditional Arabic"/>
          <w:sz w:val="32"/>
          <w:szCs w:val="32"/>
          <w:rtl/>
        </w:rPr>
        <w:t>الإمام</w:t>
      </w:r>
      <w:r w:rsidRPr="00327E19">
        <w:rPr>
          <w:rFonts w:ascii="Traditional Arabic" w:hAnsi="Traditional Arabic"/>
          <w:sz w:val="32"/>
          <w:szCs w:val="32"/>
          <w:rtl/>
        </w:rPr>
        <w:t xml:space="preserve"> </w:t>
      </w:r>
      <w:r w:rsidRPr="00327E19">
        <w:rPr>
          <w:rFonts w:ascii="Traditional Arabic" w:hAnsi="Traditional Arabic"/>
          <w:sz w:val="32"/>
          <w:szCs w:val="32"/>
          <w:rtl/>
          <w:lang w:eastAsia="en-US"/>
        </w:rPr>
        <w:t>أبو الحسن سعيد بن مسعدة المجاشعي بالولاء البلخي، النحوي المعروف بالأخفش الأوسط؛ أحد نحاة البصرة،</w:t>
      </w:r>
      <w:r w:rsidRPr="00327E19">
        <w:rPr>
          <w:rFonts w:ascii="Traditional Arabic" w:hAnsi="Traditional Arabic"/>
          <w:sz w:val="32"/>
          <w:szCs w:val="32"/>
          <w:rtl/>
        </w:rPr>
        <w:t xml:space="preserve"> </w:t>
      </w:r>
      <w:r w:rsidRPr="00327E19">
        <w:rPr>
          <w:rFonts w:ascii="Traditional Arabic" w:hAnsi="Traditional Arabic"/>
          <w:sz w:val="32"/>
          <w:szCs w:val="32"/>
          <w:rtl/>
          <w:lang w:eastAsia="en-US"/>
        </w:rPr>
        <w:t>له من الكتب المصنفة كتاب "معاني القرآن"، وكتاب "الأوسط"</w:t>
      </w:r>
      <w:r w:rsidRPr="00327E19">
        <w:rPr>
          <w:rFonts w:ascii="Traditional Arabic" w:hAnsi="Traditional Arabic"/>
          <w:sz w:val="32"/>
          <w:szCs w:val="32"/>
          <w:rtl/>
        </w:rPr>
        <w:t>، وغيرها، (ت215ه). انظر: وفيات الأعيان (2/381)، سير أعلام النبلاء (10/206).</w:t>
      </w:r>
    </w:p>
  </w:footnote>
  <w:footnote w:id="210">
    <w:p w:rsidR="003F128F" w:rsidRPr="00327E19" w:rsidRDefault="003F128F" w:rsidP="00A36DEB">
      <w:pPr>
        <w:pStyle w:val="af3"/>
        <w:rPr>
          <w:rFonts w:ascii="Traditional Arabic" w:hAnsi="Traditional Arabic"/>
          <w:sz w:val="32"/>
          <w:szCs w:val="32"/>
        </w:rPr>
      </w:pPr>
      <w:r w:rsidRPr="00327E19">
        <w:rPr>
          <w:rFonts w:ascii="Traditional Arabic" w:hAnsi="Traditional Arabic"/>
          <w:sz w:val="32"/>
          <w:szCs w:val="32"/>
          <w:rtl/>
        </w:rPr>
        <w:t>(</w:t>
      </w:r>
      <w:r w:rsidRPr="00327E19">
        <w:rPr>
          <w:rStyle w:val="ae"/>
          <w:rFonts w:ascii="Traditional Arabic" w:hAnsi="Traditional Arabic"/>
          <w:sz w:val="32"/>
          <w:szCs w:val="32"/>
          <w:vertAlign w:val="baseline"/>
        </w:rPr>
        <w:footnoteRef/>
      </w:r>
      <w:r w:rsidRPr="00327E19">
        <w:rPr>
          <w:rFonts w:ascii="Traditional Arabic" w:hAnsi="Traditional Arabic"/>
          <w:sz w:val="32"/>
          <w:szCs w:val="32"/>
          <w:rtl/>
        </w:rPr>
        <w:t>)</w:t>
      </w:r>
      <w:r w:rsidRPr="00327E19">
        <w:rPr>
          <w:rFonts w:ascii="Traditional Arabic" w:hAnsi="Traditional Arabic"/>
          <w:sz w:val="32"/>
          <w:szCs w:val="32"/>
          <w:rtl/>
          <w:lang w:eastAsia="en-US"/>
        </w:rPr>
        <w:t xml:space="preserve"> معاني القرآن للأخفش</w:t>
      </w:r>
      <w:r w:rsidRPr="00327E19">
        <w:rPr>
          <w:rFonts w:ascii="Traditional Arabic" w:hAnsi="Traditional Arabic"/>
          <w:sz w:val="32"/>
          <w:szCs w:val="32"/>
          <w:rtl/>
        </w:rPr>
        <w:t xml:space="preserve"> (2/425).</w:t>
      </w:r>
    </w:p>
  </w:footnote>
  <w:footnote w:id="211">
    <w:p w:rsidR="003F128F" w:rsidRPr="00327E19" w:rsidRDefault="003F128F" w:rsidP="00327E19">
      <w:pPr>
        <w:pStyle w:val="af3"/>
        <w:rPr>
          <w:rFonts w:ascii="Traditional Arabic" w:hAnsi="Traditional Arabic"/>
          <w:sz w:val="32"/>
          <w:szCs w:val="32"/>
        </w:rPr>
      </w:pPr>
      <w:r w:rsidRPr="00327E19">
        <w:rPr>
          <w:rFonts w:ascii="Traditional Arabic" w:hAnsi="Traditional Arabic"/>
          <w:sz w:val="32"/>
          <w:szCs w:val="32"/>
          <w:rtl/>
        </w:rPr>
        <w:t>(</w:t>
      </w:r>
      <w:r w:rsidRPr="00327E19">
        <w:rPr>
          <w:rStyle w:val="ae"/>
          <w:rFonts w:ascii="Traditional Arabic" w:hAnsi="Traditional Arabic"/>
          <w:sz w:val="32"/>
          <w:szCs w:val="32"/>
          <w:vertAlign w:val="baseline"/>
        </w:rPr>
        <w:footnoteRef/>
      </w:r>
      <w:r w:rsidRPr="00327E19">
        <w:rPr>
          <w:rFonts w:ascii="Traditional Arabic" w:hAnsi="Traditional Arabic"/>
          <w:sz w:val="32"/>
          <w:szCs w:val="32"/>
          <w:rtl/>
        </w:rPr>
        <w:t xml:space="preserve">) ما بين المعكوفتين ساقط من الأصل, والمثبت من (ك).  </w:t>
      </w:r>
    </w:p>
  </w:footnote>
  <w:footnote w:id="212">
    <w:p w:rsidR="003F128F" w:rsidRPr="00327E19" w:rsidRDefault="003F128F" w:rsidP="008A64EA">
      <w:pPr>
        <w:pStyle w:val="af3"/>
        <w:rPr>
          <w:rFonts w:ascii="Traditional Arabic" w:hAnsi="Traditional Arabic"/>
          <w:sz w:val="32"/>
          <w:szCs w:val="32"/>
        </w:rPr>
      </w:pPr>
      <w:r w:rsidRPr="00327E19">
        <w:rPr>
          <w:rFonts w:ascii="Traditional Arabic" w:hAnsi="Traditional Arabic"/>
          <w:sz w:val="32"/>
          <w:szCs w:val="32"/>
          <w:rtl/>
        </w:rPr>
        <w:t>(</w:t>
      </w:r>
      <w:r w:rsidRPr="00327E19">
        <w:rPr>
          <w:rStyle w:val="ae"/>
          <w:rFonts w:ascii="Traditional Arabic" w:hAnsi="Traditional Arabic"/>
          <w:sz w:val="32"/>
          <w:szCs w:val="32"/>
          <w:vertAlign w:val="baseline"/>
        </w:rPr>
        <w:footnoteRef/>
      </w:r>
      <w:r w:rsidRPr="00327E19">
        <w:rPr>
          <w:rFonts w:ascii="Traditional Arabic" w:hAnsi="Traditional Arabic"/>
          <w:sz w:val="32"/>
          <w:szCs w:val="32"/>
          <w:rtl/>
        </w:rPr>
        <w:t>) الذريع: أي السريع. انظر: لسان العرب لابن منظور</w:t>
      </w:r>
      <w:r>
        <w:rPr>
          <w:rFonts w:ascii="Traditional Arabic" w:hAnsi="Traditional Arabic"/>
          <w:sz w:val="32"/>
          <w:szCs w:val="32"/>
          <w:rtl/>
        </w:rPr>
        <w:t xml:space="preserve"> (8/97)</w:t>
      </w:r>
      <w:r w:rsidRPr="00327E19">
        <w:rPr>
          <w:rFonts w:ascii="Traditional Arabic" w:hAnsi="Traditional Arabic"/>
          <w:sz w:val="32"/>
          <w:szCs w:val="32"/>
          <w:rtl/>
        </w:rPr>
        <w:t xml:space="preserve"> مادة (ذرع).</w:t>
      </w:r>
    </w:p>
  </w:footnote>
  <w:footnote w:id="213">
    <w:p w:rsidR="003F128F" w:rsidRPr="00327E19" w:rsidRDefault="003F128F" w:rsidP="00E8073C">
      <w:pPr>
        <w:widowControl/>
        <w:autoSpaceDE w:val="0"/>
        <w:autoSpaceDN w:val="0"/>
        <w:adjustRightInd w:val="0"/>
        <w:ind w:firstLine="0"/>
        <w:rPr>
          <w:rFonts w:ascii="Traditional Arabic" w:hAnsi="Traditional Arabic"/>
          <w:sz w:val="32"/>
          <w:szCs w:val="32"/>
        </w:rPr>
      </w:pPr>
      <w:r w:rsidRPr="00327E19">
        <w:rPr>
          <w:rFonts w:ascii="Traditional Arabic" w:hAnsi="Traditional Arabic"/>
          <w:sz w:val="32"/>
          <w:szCs w:val="32"/>
          <w:rtl/>
        </w:rPr>
        <w:t>(</w:t>
      </w:r>
      <w:r w:rsidRPr="00327E19">
        <w:rPr>
          <w:rStyle w:val="ae"/>
          <w:rFonts w:ascii="Traditional Arabic" w:hAnsi="Traditional Arabic"/>
          <w:sz w:val="32"/>
          <w:szCs w:val="32"/>
          <w:vertAlign w:val="baseline"/>
        </w:rPr>
        <w:footnoteRef/>
      </w:r>
      <w:r w:rsidRPr="00327E19">
        <w:rPr>
          <w:rFonts w:ascii="Traditional Arabic" w:hAnsi="Traditional Arabic"/>
          <w:sz w:val="32"/>
          <w:szCs w:val="32"/>
          <w:rtl/>
        </w:rPr>
        <w:t xml:space="preserve">) هو التابعي </w:t>
      </w:r>
      <w:r>
        <w:rPr>
          <w:rFonts w:ascii="Traditional Arabic" w:hAnsi="Traditional Arabic"/>
          <w:sz w:val="32"/>
          <w:szCs w:val="32"/>
          <w:rtl/>
        </w:rPr>
        <w:t>الإمام</w:t>
      </w:r>
      <w:r w:rsidRPr="00327E19">
        <w:rPr>
          <w:rFonts w:ascii="Traditional Arabic" w:hAnsi="Traditional Arabic"/>
          <w:sz w:val="32"/>
          <w:szCs w:val="32"/>
          <w:rtl/>
        </w:rPr>
        <w:t xml:space="preserve"> </w:t>
      </w:r>
      <w:r w:rsidRPr="00327E19">
        <w:rPr>
          <w:rFonts w:ascii="Traditional Arabic" w:hAnsi="Traditional Arabic"/>
          <w:sz w:val="32"/>
          <w:szCs w:val="32"/>
          <w:rtl/>
          <w:lang w:eastAsia="en-US"/>
        </w:rPr>
        <w:t>أبو سعيد الحسن بن أبي الحسن يسار البصري، كان من سادات التابعين وكبرائهم، وجمع كل فن من علم وزهد وورع وعبادة، (ت110ه).</w:t>
      </w:r>
      <w:r w:rsidRPr="00327E19">
        <w:rPr>
          <w:rFonts w:ascii="Traditional Arabic" w:hAnsi="Traditional Arabic"/>
          <w:color w:val="FF0000"/>
          <w:sz w:val="32"/>
          <w:szCs w:val="32"/>
          <w:rtl/>
          <w:lang w:eastAsia="en-US"/>
        </w:rPr>
        <w:t xml:space="preserve"> </w:t>
      </w:r>
      <w:r w:rsidRPr="00327E19">
        <w:rPr>
          <w:rFonts w:ascii="Traditional Arabic" w:hAnsi="Traditional Arabic"/>
          <w:sz w:val="32"/>
          <w:szCs w:val="32"/>
          <w:rtl/>
        </w:rPr>
        <w:t>انظر: وفيات الأعيان (2/69)</w:t>
      </w:r>
      <w:r w:rsidRPr="00327E19">
        <w:rPr>
          <w:rFonts w:ascii="Traditional Arabic" w:hAnsi="Traditional Arabic"/>
          <w:color w:val="auto"/>
          <w:sz w:val="32"/>
          <w:szCs w:val="32"/>
          <w:rtl/>
          <w:lang w:eastAsia="en-US"/>
        </w:rPr>
        <w:t xml:space="preserve">، </w:t>
      </w:r>
      <w:r w:rsidRPr="00327E19">
        <w:rPr>
          <w:rFonts w:ascii="Traditional Arabic" w:hAnsi="Traditional Arabic"/>
          <w:color w:val="auto"/>
          <w:sz w:val="32"/>
          <w:szCs w:val="32"/>
          <w:rtl/>
        </w:rPr>
        <w:t>سير أعلام النبلاء</w:t>
      </w:r>
      <w:r w:rsidRPr="00327E19">
        <w:rPr>
          <w:rFonts w:ascii="Traditional Arabic" w:hAnsi="Traditional Arabic"/>
          <w:color w:val="auto"/>
          <w:sz w:val="32"/>
          <w:szCs w:val="32"/>
          <w:rtl/>
          <w:lang w:eastAsia="en-US"/>
        </w:rPr>
        <w:t xml:space="preserve"> (4/571).</w:t>
      </w:r>
    </w:p>
  </w:footnote>
  <w:footnote w:id="214">
    <w:p w:rsidR="003F128F" w:rsidRPr="00327E19" w:rsidRDefault="003F128F" w:rsidP="00E41A47">
      <w:pPr>
        <w:pStyle w:val="af3"/>
        <w:rPr>
          <w:rFonts w:ascii="Traditional Arabic" w:hAnsi="Traditional Arabic"/>
        </w:rPr>
      </w:pPr>
      <w:r w:rsidRPr="00327E19">
        <w:rPr>
          <w:rFonts w:ascii="Traditional Arabic" w:hAnsi="Traditional Arabic"/>
          <w:sz w:val="32"/>
          <w:szCs w:val="32"/>
          <w:rtl/>
        </w:rPr>
        <w:t>(</w:t>
      </w:r>
      <w:r w:rsidRPr="00327E19">
        <w:rPr>
          <w:rStyle w:val="ae"/>
          <w:rFonts w:ascii="Traditional Arabic" w:hAnsi="Traditional Arabic"/>
          <w:sz w:val="32"/>
          <w:szCs w:val="32"/>
          <w:vertAlign w:val="baseline"/>
        </w:rPr>
        <w:footnoteRef/>
      </w:r>
      <w:r w:rsidRPr="00327E19">
        <w:rPr>
          <w:rFonts w:ascii="Traditional Arabic" w:hAnsi="Traditional Arabic"/>
          <w:sz w:val="32"/>
          <w:szCs w:val="32"/>
          <w:rtl/>
        </w:rPr>
        <w:t>) الزهد للإمام أحمد (</w:t>
      </w:r>
      <w:r>
        <w:rPr>
          <w:rFonts w:ascii="Traditional Arabic" w:hAnsi="Traditional Arabic" w:hint="cs"/>
          <w:sz w:val="32"/>
          <w:szCs w:val="32"/>
          <w:rtl/>
        </w:rPr>
        <w:t>ص328</w:t>
      </w:r>
      <w:r w:rsidRPr="00327E19">
        <w:rPr>
          <w:rFonts w:ascii="Traditional Arabic" w:hAnsi="Traditional Arabic"/>
          <w:sz w:val="32"/>
          <w:szCs w:val="32"/>
          <w:rtl/>
        </w:rPr>
        <w:t>)، تفسير الطبري (17/ 478).</w:t>
      </w:r>
    </w:p>
  </w:footnote>
  <w:footnote w:id="215">
    <w:p w:rsidR="003F128F" w:rsidRPr="00327E19" w:rsidRDefault="003F128F" w:rsidP="00AB6719">
      <w:pPr>
        <w:pStyle w:val="af3"/>
        <w:rPr>
          <w:rFonts w:ascii="Traditional Arabic" w:hAnsi="Traditional Arabic"/>
          <w:sz w:val="32"/>
          <w:szCs w:val="32"/>
        </w:rPr>
      </w:pPr>
      <w:r w:rsidRPr="00327E19">
        <w:rPr>
          <w:rFonts w:ascii="Traditional Arabic" w:hAnsi="Traditional Arabic"/>
          <w:sz w:val="32"/>
          <w:szCs w:val="32"/>
          <w:rtl/>
        </w:rPr>
        <w:t>(</w:t>
      </w:r>
      <w:r w:rsidRPr="00327E19">
        <w:rPr>
          <w:rStyle w:val="ae"/>
          <w:rFonts w:ascii="Traditional Arabic" w:hAnsi="Traditional Arabic"/>
          <w:sz w:val="32"/>
          <w:szCs w:val="32"/>
          <w:vertAlign w:val="baseline"/>
        </w:rPr>
        <w:footnoteRef/>
      </w:r>
      <w:r w:rsidRPr="00327E19">
        <w:rPr>
          <w:rFonts w:ascii="Traditional Arabic" w:hAnsi="Traditional Arabic"/>
          <w:sz w:val="32"/>
          <w:szCs w:val="32"/>
          <w:rtl/>
        </w:rPr>
        <w:t xml:space="preserve">) هو </w:t>
      </w:r>
      <w:r w:rsidRPr="00327E19">
        <w:rPr>
          <w:rFonts w:ascii="Traditional Arabic" w:hAnsi="Traditional Arabic"/>
          <w:sz w:val="32"/>
          <w:szCs w:val="32"/>
          <w:rtl/>
          <w:lang w:eastAsia="en-US"/>
        </w:rPr>
        <w:t>أبو الحسن علي بن محمد بن حبيب البصري، المعروف بالماوردي، الفقيه، الشافعي،</w:t>
      </w:r>
      <w:r w:rsidRPr="00327E19">
        <w:rPr>
          <w:rFonts w:ascii="Traditional Arabic" w:hAnsi="Traditional Arabic"/>
          <w:sz w:val="32"/>
          <w:szCs w:val="32"/>
          <w:rtl/>
        </w:rPr>
        <w:t xml:space="preserve"> من مصنفاته </w:t>
      </w:r>
      <w:r w:rsidRPr="00327E19">
        <w:rPr>
          <w:rFonts w:ascii="Traditional Arabic" w:hAnsi="Traditional Arabic"/>
          <w:sz w:val="32"/>
          <w:szCs w:val="32"/>
          <w:rtl/>
          <w:lang w:eastAsia="en-US"/>
        </w:rPr>
        <w:t>"الحاوي"، و"تفسير القرآن الكريم"، و"النك</w:t>
      </w:r>
      <w:r>
        <w:rPr>
          <w:rFonts w:ascii="Traditional Arabic" w:hAnsi="Traditional Arabic"/>
          <w:sz w:val="32"/>
          <w:szCs w:val="32"/>
          <w:rtl/>
          <w:lang w:eastAsia="en-US"/>
        </w:rPr>
        <w:t>ت والعيون"، و"أدب الدين والدنيا</w:t>
      </w:r>
      <w:r w:rsidRPr="00327E19">
        <w:rPr>
          <w:rFonts w:ascii="Traditional Arabic" w:hAnsi="Traditional Arabic"/>
          <w:sz w:val="32"/>
          <w:szCs w:val="32"/>
          <w:rtl/>
          <w:lang w:eastAsia="en-US"/>
        </w:rPr>
        <w:t>"</w:t>
      </w:r>
      <w:r w:rsidRPr="00327E19">
        <w:rPr>
          <w:rFonts w:ascii="Traditional Arabic" w:hAnsi="Traditional Arabic"/>
          <w:sz w:val="32"/>
          <w:szCs w:val="32"/>
          <w:rtl/>
        </w:rPr>
        <w:t>، وغيرها، (ت450ه). انظر: وفيات الأعيان (3/282)،</w:t>
      </w:r>
      <w:r w:rsidRPr="00327E19">
        <w:rPr>
          <w:rFonts w:ascii="Traditional Arabic" w:hAnsi="Traditional Arabic"/>
          <w:color w:val="auto"/>
          <w:sz w:val="32"/>
          <w:szCs w:val="32"/>
          <w:rtl/>
        </w:rPr>
        <w:t xml:space="preserve"> سير أعلام النبلاء</w:t>
      </w:r>
      <w:r w:rsidRPr="00327E19">
        <w:rPr>
          <w:rFonts w:ascii="Traditional Arabic" w:hAnsi="Traditional Arabic"/>
          <w:sz w:val="32"/>
          <w:szCs w:val="32"/>
          <w:rtl/>
        </w:rPr>
        <w:t xml:space="preserve"> (18/64).</w:t>
      </w:r>
    </w:p>
  </w:footnote>
  <w:footnote w:id="216">
    <w:p w:rsidR="003F128F" w:rsidRPr="00327E19" w:rsidRDefault="003F128F" w:rsidP="00AB6719">
      <w:pPr>
        <w:pStyle w:val="af3"/>
        <w:rPr>
          <w:rFonts w:ascii="Traditional Arabic" w:hAnsi="Traditional Arabic"/>
          <w:sz w:val="32"/>
          <w:szCs w:val="32"/>
        </w:rPr>
      </w:pPr>
      <w:r w:rsidRPr="00327E19">
        <w:rPr>
          <w:rFonts w:ascii="Traditional Arabic" w:hAnsi="Traditional Arabic"/>
          <w:sz w:val="32"/>
          <w:szCs w:val="32"/>
          <w:rtl/>
        </w:rPr>
        <w:t>(</w:t>
      </w:r>
      <w:r w:rsidRPr="00327E19">
        <w:rPr>
          <w:rStyle w:val="ae"/>
          <w:rFonts w:ascii="Traditional Arabic" w:hAnsi="Traditional Arabic"/>
          <w:sz w:val="32"/>
          <w:szCs w:val="32"/>
          <w:vertAlign w:val="baseline"/>
        </w:rPr>
        <w:footnoteRef/>
      </w:r>
      <w:r w:rsidRPr="00327E19">
        <w:rPr>
          <w:rFonts w:ascii="Traditional Arabic" w:hAnsi="Traditional Arabic"/>
          <w:sz w:val="32"/>
          <w:szCs w:val="32"/>
          <w:rtl/>
        </w:rPr>
        <w:t xml:space="preserve">) انظر: النكت والعيون للماوردي (3/252).  </w:t>
      </w:r>
    </w:p>
  </w:footnote>
  <w:footnote w:id="217">
    <w:p w:rsidR="003F128F" w:rsidRPr="00327E19" w:rsidRDefault="003F128F" w:rsidP="00425963">
      <w:pPr>
        <w:pStyle w:val="af3"/>
        <w:tabs>
          <w:tab w:val="left" w:pos="6103"/>
        </w:tabs>
        <w:rPr>
          <w:rFonts w:ascii="Traditional Arabic" w:hAnsi="Traditional Arabic"/>
          <w:sz w:val="32"/>
          <w:szCs w:val="32"/>
        </w:rPr>
      </w:pPr>
      <w:r w:rsidRPr="00327E19">
        <w:rPr>
          <w:rFonts w:ascii="Traditional Arabic" w:hAnsi="Traditional Arabic"/>
          <w:sz w:val="32"/>
          <w:szCs w:val="32"/>
          <w:rtl/>
        </w:rPr>
        <w:t>(</w:t>
      </w:r>
      <w:r w:rsidRPr="00327E19">
        <w:rPr>
          <w:rStyle w:val="ae"/>
          <w:rFonts w:ascii="Traditional Arabic" w:hAnsi="Traditional Arabic"/>
          <w:sz w:val="32"/>
          <w:szCs w:val="32"/>
          <w:vertAlign w:val="baseline"/>
        </w:rPr>
        <w:footnoteRef/>
      </w:r>
      <w:r w:rsidRPr="00327E19">
        <w:rPr>
          <w:rFonts w:ascii="Traditional Arabic" w:hAnsi="Traditional Arabic"/>
          <w:sz w:val="32"/>
          <w:szCs w:val="32"/>
          <w:rtl/>
        </w:rPr>
        <w:t>) في (ك): [ونسب الأخير منها].</w:t>
      </w:r>
      <w:r w:rsidRPr="00327E19">
        <w:rPr>
          <w:rFonts w:ascii="Traditional Arabic" w:hAnsi="Traditional Arabic"/>
          <w:sz w:val="32"/>
          <w:szCs w:val="32"/>
          <w:rtl/>
        </w:rPr>
        <w:tab/>
      </w:r>
    </w:p>
  </w:footnote>
  <w:footnote w:id="218">
    <w:p w:rsidR="003F128F" w:rsidRPr="00327E19" w:rsidRDefault="003F128F" w:rsidP="0090201D">
      <w:pPr>
        <w:pStyle w:val="af3"/>
        <w:rPr>
          <w:rFonts w:ascii="Traditional Arabic" w:hAnsi="Traditional Arabic"/>
          <w:sz w:val="32"/>
          <w:szCs w:val="32"/>
        </w:rPr>
      </w:pPr>
      <w:r w:rsidRPr="00327E19">
        <w:rPr>
          <w:rFonts w:ascii="Traditional Arabic" w:hAnsi="Traditional Arabic"/>
          <w:sz w:val="32"/>
          <w:szCs w:val="32"/>
          <w:rtl/>
        </w:rPr>
        <w:t>(</w:t>
      </w:r>
      <w:r w:rsidRPr="00327E19">
        <w:rPr>
          <w:rStyle w:val="ae"/>
          <w:rFonts w:ascii="Traditional Arabic" w:hAnsi="Traditional Arabic"/>
          <w:sz w:val="32"/>
          <w:szCs w:val="32"/>
          <w:vertAlign w:val="baseline"/>
        </w:rPr>
        <w:footnoteRef/>
      </w:r>
      <w:r w:rsidRPr="00327E19">
        <w:rPr>
          <w:rFonts w:ascii="Traditional Arabic" w:hAnsi="Traditional Arabic"/>
          <w:sz w:val="32"/>
          <w:szCs w:val="32"/>
          <w:rtl/>
        </w:rPr>
        <w:t xml:space="preserve">) هو </w:t>
      </w:r>
      <w:r>
        <w:rPr>
          <w:rFonts w:ascii="Traditional Arabic" w:hAnsi="Traditional Arabic"/>
          <w:sz w:val="32"/>
          <w:szCs w:val="32"/>
          <w:rtl/>
        </w:rPr>
        <w:t>الإمام</w:t>
      </w:r>
      <w:r w:rsidRPr="00327E19">
        <w:rPr>
          <w:rFonts w:ascii="Traditional Arabic" w:hAnsi="Traditional Arabic"/>
          <w:sz w:val="32"/>
          <w:szCs w:val="32"/>
          <w:rtl/>
        </w:rPr>
        <w:t xml:space="preserve"> أبو عبد الله أحمد بن محمد بن حنبل الشيباني، المَرْوَزِيُّ، ثم البغدَاديُّ، إمام المحدثين، أَحد الأَئِمّة الأعلام، (ت241). انظر: وفيات الأعيان (1/65)، سير أعلام النبلاء (11/178).</w:t>
      </w:r>
    </w:p>
  </w:footnote>
  <w:footnote w:id="219">
    <w:p w:rsidR="003F128F" w:rsidRPr="00327E19" w:rsidRDefault="003F128F" w:rsidP="0090201D">
      <w:pPr>
        <w:pStyle w:val="af3"/>
        <w:rPr>
          <w:rFonts w:ascii="Traditional Arabic" w:hAnsi="Traditional Arabic"/>
        </w:rPr>
      </w:pPr>
      <w:r w:rsidRPr="00327E19">
        <w:rPr>
          <w:rFonts w:ascii="Traditional Arabic" w:hAnsi="Traditional Arabic"/>
          <w:sz w:val="32"/>
          <w:szCs w:val="32"/>
          <w:rtl/>
        </w:rPr>
        <w:t>(</w:t>
      </w:r>
      <w:r w:rsidRPr="00327E19">
        <w:rPr>
          <w:rStyle w:val="ae"/>
          <w:rFonts w:ascii="Traditional Arabic" w:hAnsi="Traditional Arabic"/>
          <w:sz w:val="32"/>
          <w:szCs w:val="32"/>
          <w:vertAlign w:val="baseline"/>
        </w:rPr>
        <w:footnoteRef/>
      </w:r>
      <w:r w:rsidRPr="00327E19">
        <w:rPr>
          <w:rFonts w:ascii="Traditional Arabic" w:hAnsi="Traditional Arabic"/>
          <w:sz w:val="32"/>
          <w:szCs w:val="32"/>
          <w:rtl/>
        </w:rPr>
        <w:t>) انظر: النكت والعيون (3/252), تفسير السلمي (1/390).</w:t>
      </w:r>
    </w:p>
  </w:footnote>
  <w:footnote w:id="220">
    <w:p w:rsidR="003F128F" w:rsidRPr="00327E19" w:rsidRDefault="003F128F" w:rsidP="00805C51">
      <w:pPr>
        <w:pStyle w:val="af3"/>
        <w:rPr>
          <w:rFonts w:ascii="Traditional Arabic" w:hAnsi="Traditional Arabic"/>
          <w:sz w:val="32"/>
          <w:szCs w:val="32"/>
          <w:rtl/>
        </w:rPr>
      </w:pPr>
      <w:r w:rsidRPr="00327E19">
        <w:rPr>
          <w:rFonts w:ascii="Traditional Arabic" w:hAnsi="Traditional Arabic"/>
          <w:sz w:val="32"/>
          <w:szCs w:val="32"/>
          <w:rtl/>
        </w:rPr>
        <w:t>(</w:t>
      </w:r>
      <w:r w:rsidRPr="00327E19">
        <w:rPr>
          <w:rStyle w:val="ae"/>
          <w:rFonts w:ascii="Traditional Arabic" w:hAnsi="Traditional Arabic"/>
          <w:sz w:val="32"/>
          <w:szCs w:val="32"/>
          <w:vertAlign w:val="baseline"/>
        </w:rPr>
        <w:footnoteRef/>
      </w:r>
      <w:r w:rsidRPr="00327E19">
        <w:rPr>
          <w:rFonts w:ascii="Traditional Arabic" w:hAnsi="Traditional Arabic"/>
          <w:sz w:val="32"/>
          <w:szCs w:val="32"/>
          <w:rtl/>
        </w:rPr>
        <w:t>) رموز الكنوز للرسعني (4/192), وقد ذكره الثعلبي في الكشف والبيان (6/108) ونسبه للكلبي، وكذلك الماوردي في النكت والعيون (3/253).</w:t>
      </w:r>
    </w:p>
  </w:footnote>
  <w:footnote w:id="221">
    <w:p w:rsidR="003F128F" w:rsidRPr="00B45300" w:rsidRDefault="003F128F" w:rsidP="00B45300">
      <w:pPr>
        <w:widowControl/>
        <w:autoSpaceDE w:val="0"/>
        <w:autoSpaceDN w:val="0"/>
        <w:adjustRightInd w:val="0"/>
        <w:ind w:firstLine="0"/>
        <w:rPr>
          <w:rFonts w:ascii="Tahoma" w:hAnsi="Tahoma"/>
          <w:sz w:val="32"/>
          <w:szCs w:val="32"/>
        </w:rPr>
      </w:pPr>
      <w:r w:rsidRPr="00B45300">
        <w:rPr>
          <w:rFonts w:ascii="Traditional Arabic" w:hAnsi="Traditional Arabic"/>
          <w:sz w:val="32"/>
          <w:szCs w:val="32"/>
          <w:rtl/>
        </w:rPr>
        <w:t>(</w:t>
      </w:r>
      <w:r w:rsidRPr="00B45300">
        <w:rPr>
          <w:rStyle w:val="ae"/>
          <w:rFonts w:ascii="Traditional Arabic" w:hAnsi="Traditional Arabic"/>
          <w:sz w:val="32"/>
          <w:szCs w:val="32"/>
          <w:vertAlign w:val="baseline"/>
        </w:rPr>
        <w:footnoteRef/>
      </w:r>
      <w:r w:rsidRPr="00B45300">
        <w:rPr>
          <w:rFonts w:ascii="Traditional Arabic" w:hAnsi="Traditional Arabic"/>
          <w:sz w:val="32"/>
          <w:szCs w:val="32"/>
          <w:rtl/>
        </w:rPr>
        <w:t>)</w:t>
      </w:r>
      <w:r w:rsidRPr="00B45300">
        <w:rPr>
          <w:rFonts w:ascii="Traditional Arabic" w:hAnsi="Traditional Arabic" w:hint="cs"/>
          <w:sz w:val="32"/>
          <w:szCs w:val="32"/>
          <w:rtl/>
        </w:rPr>
        <w:t xml:space="preserve"> هو </w:t>
      </w:r>
      <w:r>
        <w:rPr>
          <w:rFonts w:ascii="Traditional Arabic" w:hAnsi="Traditional Arabic" w:hint="cs"/>
          <w:sz w:val="32"/>
          <w:szCs w:val="32"/>
          <w:rtl/>
        </w:rPr>
        <w:t xml:space="preserve">التابعي </w:t>
      </w:r>
      <w:r w:rsidRPr="00B45300">
        <w:rPr>
          <w:rFonts w:ascii="Traditional Arabic" w:hAnsi="Traditional Arabic" w:hint="cs"/>
          <w:sz w:val="32"/>
          <w:szCs w:val="32"/>
          <w:rtl/>
        </w:rPr>
        <w:t xml:space="preserve">أبو صالح </w:t>
      </w:r>
      <w:r w:rsidRPr="00B45300">
        <w:rPr>
          <w:rFonts w:ascii="Traditional Arabic" w:hAnsi="Traditional Arabic"/>
          <w:sz w:val="32"/>
          <w:szCs w:val="32"/>
          <w:rtl/>
        </w:rPr>
        <w:t>باذام، ويُقال</w:t>
      </w:r>
      <w:r w:rsidRPr="00B45300">
        <w:rPr>
          <w:rFonts w:ascii="Traditional Arabic" w:hAnsi="Traditional Arabic" w:hint="cs"/>
          <w:sz w:val="32"/>
          <w:szCs w:val="32"/>
          <w:rtl/>
        </w:rPr>
        <w:t>:</w:t>
      </w:r>
      <w:r w:rsidRPr="00B45300">
        <w:rPr>
          <w:rFonts w:ascii="Traditional Arabic" w:hAnsi="Traditional Arabic"/>
          <w:sz w:val="32"/>
          <w:szCs w:val="32"/>
          <w:rtl/>
        </w:rPr>
        <w:t xml:space="preserve"> باذان، مولى أم هانئ بنت أبي طالب</w:t>
      </w:r>
      <w:r>
        <w:rPr>
          <w:rFonts w:ascii="Traditional Arabic" w:hAnsi="Traditional Arabic" w:hint="cs"/>
          <w:sz w:val="32"/>
          <w:szCs w:val="32"/>
          <w:rtl/>
        </w:rPr>
        <w:t>,</w:t>
      </w:r>
      <w:r w:rsidRPr="00B45300">
        <w:rPr>
          <w:rFonts w:ascii="Traditional Arabic" w:hAnsi="Traditional Arabic"/>
          <w:sz w:val="44"/>
          <w:szCs w:val="44"/>
          <w:rtl/>
          <w:lang w:eastAsia="en-US"/>
        </w:rPr>
        <w:t xml:space="preserve"> </w:t>
      </w:r>
      <w:r w:rsidRPr="00B45300">
        <w:rPr>
          <w:rFonts w:ascii="Traditional Arabic" w:hAnsi="Traditional Arabic"/>
          <w:sz w:val="32"/>
          <w:szCs w:val="32"/>
          <w:rtl/>
        </w:rPr>
        <w:t>حَد</w:t>
      </w:r>
      <w:r>
        <w:rPr>
          <w:rFonts w:ascii="Traditional Arabic" w:hAnsi="Traditional Arabic"/>
          <w:sz w:val="32"/>
          <w:szCs w:val="32"/>
          <w:rtl/>
        </w:rPr>
        <w:t>َّثَ عن: مَوْلاَتِهِ أُمِّ هانئ، وأخيها علي، وأبي هريرة، وابن عباس</w:t>
      </w:r>
      <w:r>
        <w:rPr>
          <w:rFonts w:ascii="Traditional Arabic" w:hAnsi="Traditional Arabic" w:hint="cs"/>
          <w:sz w:val="32"/>
          <w:szCs w:val="32"/>
          <w:rtl/>
        </w:rPr>
        <w:t>, وقد تُكُلِّمَ فيه, (ت111-120ه).</w:t>
      </w:r>
      <w:r w:rsidRPr="00B45300">
        <w:rPr>
          <w:rFonts w:ascii="Tahoma" w:hAnsi="Tahoma" w:hint="cs"/>
          <w:sz w:val="32"/>
          <w:szCs w:val="32"/>
          <w:rtl/>
        </w:rPr>
        <w:t xml:space="preserve"> انظر: تهذيب الكمال (4/6),</w:t>
      </w:r>
      <w:r>
        <w:rPr>
          <w:rFonts w:ascii="Tahoma" w:hAnsi="Tahoma" w:hint="cs"/>
          <w:sz w:val="32"/>
          <w:szCs w:val="32"/>
          <w:rtl/>
        </w:rPr>
        <w:t xml:space="preserve"> سير أعلام النبلاء (5/37), تاريخ الإسلام (3/211).</w:t>
      </w:r>
    </w:p>
  </w:footnote>
  <w:footnote w:id="222">
    <w:p w:rsidR="003F128F" w:rsidRPr="00C17E99" w:rsidRDefault="003F128F" w:rsidP="00AB6719">
      <w:pPr>
        <w:widowControl/>
        <w:autoSpaceDE w:val="0"/>
        <w:autoSpaceDN w:val="0"/>
        <w:adjustRightInd w:val="0"/>
        <w:ind w:firstLine="0"/>
        <w:rPr>
          <w:rFonts w:ascii="Traditional Arabic" w:hAnsi="Traditional Arabic"/>
          <w:sz w:val="32"/>
          <w:szCs w:val="32"/>
        </w:rPr>
      </w:pPr>
      <w:r w:rsidRPr="00691E7F">
        <w:rPr>
          <w:rFonts w:ascii="Traditional Arabic" w:hAnsi="Traditional Arabic"/>
          <w:color w:val="auto"/>
          <w:sz w:val="32"/>
          <w:szCs w:val="32"/>
          <w:rtl/>
        </w:rPr>
        <w:t>(</w:t>
      </w:r>
      <w:r w:rsidRPr="00691E7F">
        <w:rPr>
          <w:rStyle w:val="ae"/>
          <w:rFonts w:ascii="Traditional Arabic" w:hAnsi="Traditional Arabic"/>
          <w:color w:val="auto"/>
          <w:sz w:val="32"/>
          <w:szCs w:val="32"/>
          <w:vertAlign w:val="baseline"/>
        </w:rPr>
        <w:footnoteRef/>
      </w:r>
      <w:r w:rsidRPr="00691E7F">
        <w:rPr>
          <w:rFonts w:ascii="Traditional Arabic" w:hAnsi="Traditional Arabic"/>
          <w:color w:val="auto"/>
          <w:sz w:val="32"/>
          <w:szCs w:val="32"/>
          <w:rtl/>
        </w:rPr>
        <w:t>)</w:t>
      </w:r>
      <w:r>
        <w:rPr>
          <w:rFonts w:ascii="Traditional Arabic" w:hAnsi="Traditional Arabic"/>
          <w:color w:val="auto"/>
          <w:sz w:val="32"/>
          <w:szCs w:val="32"/>
          <w:rtl/>
        </w:rPr>
        <w:t xml:space="preserve"> </w:t>
      </w:r>
      <w:r w:rsidRPr="00691E7F">
        <w:rPr>
          <w:rFonts w:ascii="Traditional Arabic" w:hAnsi="Traditional Arabic"/>
          <w:color w:val="auto"/>
          <w:sz w:val="32"/>
          <w:szCs w:val="32"/>
          <w:rtl/>
        </w:rPr>
        <w:t>هو التابعي</w:t>
      </w:r>
      <w:r w:rsidRPr="00691E7F">
        <w:rPr>
          <w:rFonts w:ascii="Traditional Arabic" w:hAnsi="Traditional Arabic" w:hint="cs"/>
          <w:color w:val="auto"/>
          <w:sz w:val="32"/>
          <w:szCs w:val="32"/>
          <w:rtl/>
        </w:rPr>
        <w:t xml:space="preserve"> </w:t>
      </w:r>
      <w:r>
        <w:rPr>
          <w:rFonts w:ascii="Traditional Arabic" w:hAnsi="Traditional Arabic" w:hint="cs"/>
          <w:color w:val="auto"/>
          <w:sz w:val="32"/>
          <w:szCs w:val="32"/>
          <w:rtl/>
        </w:rPr>
        <w:t>الإمام</w:t>
      </w:r>
      <w:r w:rsidRPr="00691E7F">
        <w:rPr>
          <w:rFonts w:ascii="Traditional Arabic" w:hAnsi="Traditional Arabic"/>
          <w:color w:val="auto"/>
          <w:sz w:val="32"/>
          <w:szCs w:val="32"/>
          <w:rtl/>
        </w:rPr>
        <w:t xml:space="preserve"> </w:t>
      </w:r>
      <w:r w:rsidRPr="00691E7F">
        <w:rPr>
          <w:rFonts w:ascii="Traditional Arabic" w:hAnsi="Traditional Arabic"/>
          <w:color w:val="auto"/>
          <w:sz w:val="32"/>
          <w:szCs w:val="32"/>
          <w:rtl/>
          <w:lang w:eastAsia="en-US"/>
        </w:rPr>
        <w:t>الربيع بن أنس بن زياد البَكْرِيُّ</w:t>
      </w:r>
      <w:r>
        <w:rPr>
          <w:rFonts w:ascii="Traditional Arabic" w:hAnsi="Traditional Arabic" w:hint="cs"/>
          <w:color w:val="auto"/>
          <w:sz w:val="32"/>
          <w:szCs w:val="32"/>
          <w:rtl/>
          <w:lang w:eastAsia="en-US"/>
        </w:rPr>
        <w:t>،</w:t>
      </w:r>
      <w:r w:rsidRPr="00691E7F">
        <w:rPr>
          <w:rFonts w:ascii="Traditional Arabic" w:hAnsi="Traditional Arabic"/>
          <w:color w:val="auto"/>
          <w:sz w:val="32"/>
          <w:szCs w:val="32"/>
          <w:rtl/>
          <w:lang w:eastAsia="en-US"/>
        </w:rPr>
        <w:t xml:space="preserve"> الخراساني</w:t>
      </w:r>
      <w:r>
        <w:rPr>
          <w:rFonts w:ascii="Traditional Arabic" w:hAnsi="Traditional Arabic" w:hint="cs"/>
          <w:color w:val="auto"/>
          <w:sz w:val="32"/>
          <w:szCs w:val="32"/>
          <w:rtl/>
          <w:lang w:eastAsia="en-US"/>
        </w:rPr>
        <w:t>،</w:t>
      </w:r>
      <w:r w:rsidRPr="00691E7F">
        <w:rPr>
          <w:rFonts w:ascii="Traditional Arabic" w:hAnsi="Traditional Arabic"/>
          <w:color w:val="auto"/>
          <w:sz w:val="32"/>
          <w:szCs w:val="32"/>
          <w:rtl/>
          <w:lang w:eastAsia="en-US"/>
        </w:rPr>
        <w:t xml:space="preserve"> الحنفي</w:t>
      </w:r>
      <w:r>
        <w:rPr>
          <w:rFonts w:ascii="Traditional Arabic" w:hAnsi="Traditional Arabic" w:hint="cs"/>
          <w:color w:val="auto"/>
          <w:sz w:val="32"/>
          <w:szCs w:val="32"/>
          <w:rtl/>
          <w:lang w:eastAsia="en-US"/>
        </w:rPr>
        <w:t>،</w:t>
      </w:r>
      <w:r w:rsidRPr="00691E7F">
        <w:rPr>
          <w:rFonts w:ascii="Traditional Arabic" w:hAnsi="Traditional Arabic"/>
          <w:color w:val="auto"/>
          <w:sz w:val="32"/>
          <w:szCs w:val="32"/>
          <w:rtl/>
          <w:lang w:eastAsia="en-US"/>
        </w:rPr>
        <w:t xml:space="preserve"> المَرْوَزِيُّ</w:t>
      </w:r>
      <w:r>
        <w:rPr>
          <w:rFonts w:ascii="Traditional Arabic" w:hAnsi="Traditional Arabic" w:hint="cs"/>
          <w:color w:val="auto"/>
          <w:sz w:val="32"/>
          <w:szCs w:val="32"/>
          <w:rtl/>
          <w:lang w:eastAsia="en-US"/>
        </w:rPr>
        <w:t>،</w:t>
      </w:r>
      <w:r w:rsidRPr="00691E7F">
        <w:rPr>
          <w:rFonts w:ascii="Traditional Arabic" w:hAnsi="Traditional Arabic" w:hint="cs"/>
          <w:color w:val="auto"/>
          <w:sz w:val="32"/>
          <w:szCs w:val="32"/>
          <w:rtl/>
          <w:lang w:eastAsia="en-US"/>
        </w:rPr>
        <w:t xml:space="preserve"> (ت 137ه)</w:t>
      </w:r>
      <w:r>
        <w:rPr>
          <w:rFonts w:ascii="Traditional Arabic" w:hAnsi="Traditional Arabic" w:hint="cs"/>
          <w:color w:val="auto"/>
          <w:sz w:val="32"/>
          <w:szCs w:val="32"/>
          <w:rtl/>
          <w:lang w:eastAsia="en-US"/>
        </w:rPr>
        <w:t>.</w:t>
      </w:r>
      <w:r w:rsidRPr="00691E7F">
        <w:rPr>
          <w:rFonts w:ascii="Traditional Arabic" w:hAnsi="Traditional Arabic" w:hint="cs"/>
          <w:color w:val="auto"/>
          <w:sz w:val="32"/>
          <w:szCs w:val="32"/>
          <w:rtl/>
          <w:lang w:eastAsia="en-US"/>
        </w:rPr>
        <w:t xml:space="preserve"> انظر</w:t>
      </w:r>
      <w:r>
        <w:rPr>
          <w:rFonts w:ascii="Traditional Arabic" w:hAnsi="Traditional Arabic" w:hint="cs"/>
          <w:color w:val="auto"/>
          <w:sz w:val="32"/>
          <w:szCs w:val="32"/>
          <w:rtl/>
        </w:rPr>
        <w:t xml:space="preserve">: </w:t>
      </w:r>
      <w:r w:rsidRPr="00C17E99">
        <w:rPr>
          <w:rFonts w:ascii="Traditional Arabic" w:hAnsi="Traditional Arabic"/>
          <w:color w:val="auto"/>
          <w:sz w:val="32"/>
          <w:szCs w:val="32"/>
          <w:rtl/>
        </w:rPr>
        <w:t>سير أعلام النبلاء</w:t>
      </w:r>
      <w:r w:rsidRPr="00C17E99">
        <w:rPr>
          <w:rFonts w:ascii="Traditional Arabic" w:hAnsi="Traditional Arabic"/>
          <w:color w:val="auto"/>
          <w:sz w:val="32"/>
          <w:szCs w:val="32"/>
          <w:rtl/>
          <w:lang w:eastAsia="en-US"/>
        </w:rPr>
        <w:t xml:space="preserve"> (5/36)، الوافي بالوفيات (14/56).</w:t>
      </w:r>
    </w:p>
  </w:footnote>
  <w:footnote w:id="223">
    <w:p w:rsidR="003F128F" w:rsidRPr="004B54A2" w:rsidRDefault="003F128F" w:rsidP="009B202E">
      <w:pPr>
        <w:pStyle w:val="af3"/>
        <w:rPr>
          <w:rFonts w:ascii="Traditional Arabic" w:hAnsi="Traditional Arabic"/>
          <w:sz w:val="32"/>
          <w:szCs w:val="32"/>
          <w:rtl/>
        </w:rPr>
      </w:pPr>
      <w:r w:rsidRPr="00C17E99">
        <w:rPr>
          <w:rFonts w:ascii="Traditional Arabic" w:hAnsi="Traditional Arabic"/>
          <w:sz w:val="32"/>
          <w:szCs w:val="32"/>
          <w:rtl/>
        </w:rPr>
        <w:t>(</w:t>
      </w:r>
      <w:r w:rsidRPr="00C17E99">
        <w:rPr>
          <w:rStyle w:val="ae"/>
          <w:rFonts w:ascii="Traditional Arabic" w:hAnsi="Traditional Arabic"/>
          <w:sz w:val="32"/>
          <w:szCs w:val="32"/>
          <w:vertAlign w:val="baseline"/>
        </w:rPr>
        <w:footnoteRef/>
      </w:r>
      <w:r w:rsidRPr="00C17E99">
        <w:rPr>
          <w:rFonts w:ascii="Traditional Arabic" w:hAnsi="Traditional Arabic"/>
          <w:sz w:val="32"/>
          <w:szCs w:val="32"/>
          <w:rtl/>
        </w:rPr>
        <w:t xml:space="preserve">) </w:t>
      </w:r>
      <w:r w:rsidRPr="00C17E99">
        <w:rPr>
          <w:rFonts w:ascii="Traditional Arabic" w:hAnsi="Traditional Arabic"/>
          <w:color w:val="auto"/>
          <w:sz w:val="32"/>
          <w:szCs w:val="32"/>
          <w:rtl/>
        </w:rPr>
        <w:t>هو</w:t>
      </w:r>
      <w:r>
        <w:rPr>
          <w:rFonts w:ascii="Traditional Arabic" w:hAnsi="Traditional Arabic" w:hint="cs"/>
          <w:color w:val="auto"/>
          <w:sz w:val="32"/>
          <w:szCs w:val="32"/>
          <w:rtl/>
        </w:rPr>
        <w:t xml:space="preserve"> </w:t>
      </w:r>
      <w:r w:rsidRPr="00C17E99">
        <w:rPr>
          <w:rFonts w:ascii="Traditional Arabic" w:hAnsi="Traditional Arabic"/>
          <w:color w:val="auto"/>
          <w:sz w:val="32"/>
          <w:szCs w:val="32"/>
          <w:rtl/>
          <w:lang w:eastAsia="en-US"/>
        </w:rPr>
        <w:t>أبو الحسن مقاتل</w:t>
      </w:r>
      <w:r w:rsidRPr="00691E7F">
        <w:rPr>
          <w:rFonts w:ascii="Traditional Arabic" w:hAnsi="Traditional Arabic"/>
          <w:color w:val="auto"/>
          <w:sz w:val="32"/>
          <w:szCs w:val="32"/>
          <w:rtl/>
          <w:lang w:eastAsia="en-US"/>
        </w:rPr>
        <w:t xml:space="preserve"> بن سليمان بن بشير الأزدي بالولاء</w:t>
      </w:r>
      <w:r>
        <w:rPr>
          <w:rFonts w:ascii="Traditional Arabic" w:hAnsi="Traditional Arabic" w:hint="cs"/>
          <w:color w:val="auto"/>
          <w:sz w:val="32"/>
          <w:szCs w:val="32"/>
          <w:rtl/>
          <w:lang w:eastAsia="en-US"/>
        </w:rPr>
        <w:t>,</w:t>
      </w:r>
      <w:r w:rsidRPr="00691E7F">
        <w:rPr>
          <w:rFonts w:ascii="Traditional Arabic" w:hAnsi="Traditional Arabic"/>
          <w:color w:val="auto"/>
          <w:sz w:val="32"/>
          <w:szCs w:val="32"/>
          <w:rtl/>
          <w:lang w:eastAsia="en-US"/>
        </w:rPr>
        <w:t xml:space="preserve"> الخراساني</w:t>
      </w:r>
      <w:r>
        <w:rPr>
          <w:rFonts w:ascii="Traditional Arabic" w:hAnsi="Traditional Arabic" w:hint="cs"/>
          <w:color w:val="auto"/>
          <w:sz w:val="32"/>
          <w:szCs w:val="32"/>
          <w:rtl/>
          <w:lang w:eastAsia="en-US"/>
        </w:rPr>
        <w:t>,</w:t>
      </w:r>
      <w:r w:rsidRPr="00691E7F">
        <w:rPr>
          <w:rFonts w:ascii="Traditional Arabic" w:hAnsi="Traditional Arabic" w:hint="cs"/>
          <w:color w:val="auto"/>
          <w:sz w:val="32"/>
          <w:szCs w:val="32"/>
          <w:rtl/>
          <w:lang w:eastAsia="en-US"/>
        </w:rPr>
        <w:t xml:space="preserve"> </w:t>
      </w:r>
      <w:r w:rsidRPr="00691E7F">
        <w:rPr>
          <w:rFonts w:ascii="Traditional Arabic" w:hAnsi="Traditional Arabic"/>
          <w:color w:val="auto"/>
          <w:sz w:val="32"/>
          <w:szCs w:val="32"/>
          <w:rtl/>
          <w:lang w:eastAsia="en-US"/>
        </w:rPr>
        <w:t>كان مشهوراً ب</w:t>
      </w:r>
      <w:r>
        <w:rPr>
          <w:rFonts w:ascii="Traditional Arabic" w:hAnsi="Traditional Arabic" w:hint="cs"/>
          <w:color w:val="auto"/>
          <w:sz w:val="32"/>
          <w:szCs w:val="32"/>
          <w:rtl/>
          <w:lang w:eastAsia="en-US"/>
        </w:rPr>
        <w:t>ال</w:t>
      </w:r>
      <w:r w:rsidRPr="00691E7F">
        <w:rPr>
          <w:rFonts w:ascii="Traditional Arabic" w:hAnsi="Traditional Arabic"/>
          <w:color w:val="auto"/>
          <w:sz w:val="32"/>
          <w:szCs w:val="32"/>
          <w:rtl/>
          <w:lang w:eastAsia="en-US"/>
        </w:rPr>
        <w:t>تفسير</w:t>
      </w:r>
      <w:r>
        <w:rPr>
          <w:rFonts w:ascii="Traditional Arabic" w:hAnsi="Traditional Arabic" w:hint="cs"/>
          <w:color w:val="auto"/>
          <w:sz w:val="32"/>
          <w:szCs w:val="32"/>
          <w:rtl/>
          <w:lang w:eastAsia="en-US"/>
        </w:rPr>
        <w:t xml:space="preserve">, </w:t>
      </w:r>
      <w:r w:rsidRPr="004B54A2">
        <w:rPr>
          <w:rFonts w:ascii="Traditional Arabic" w:hAnsi="Traditional Arabic"/>
          <w:color w:val="auto"/>
          <w:sz w:val="32"/>
          <w:szCs w:val="32"/>
          <w:rtl/>
          <w:lang w:eastAsia="en-US"/>
        </w:rPr>
        <w:t>وله التفسير المشهور</w:t>
      </w:r>
      <w:r w:rsidRPr="004B54A2">
        <w:rPr>
          <w:rFonts w:ascii="Traditional Arabic" w:hAnsi="Traditional Arabic"/>
          <w:sz w:val="32"/>
          <w:szCs w:val="32"/>
          <w:rtl/>
        </w:rPr>
        <w:t>، (ت150ه). انظر: وفيات الاعيان (5/255)</w:t>
      </w:r>
      <w:r w:rsidRPr="004B54A2">
        <w:rPr>
          <w:rFonts w:ascii="Traditional Arabic" w:hAnsi="Traditional Arabic"/>
          <w:color w:val="auto"/>
          <w:sz w:val="32"/>
          <w:szCs w:val="32"/>
          <w:rtl/>
        </w:rPr>
        <w:t xml:space="preserve">, </w:t>
      </w:r>
      <w:r w:rsidRPr="004B54A2">
        <w:rPr>
          <w:rFonts w:ascii="Traditional Arabic" w:hAnsi="Traditional Arabic"/>
          <w:sz w:val="32"/>
          <w:szCs w:val="32"/>
          <w:rtl/>
        </w:rPr>
        <w:t>سير أعلام النبلاء (7/201).</w:t>
      </w:r>
    </w:p>
  </w:footnote>
  <w:footnote w:id="224">
    <w:p w:rsidR="003F128F" w:rsidRPr="004B54A2" w:rsidRDefault="003F128F" w:rsidP="00516510">
      <w:pPr>
        <w:pStyle w:val="af3"/>
        <w:rPr>
          <w:rFonts w:ascii="Traditional Arabic" w:hAnsi="Traditional Arabic"/>
          <w:sz w:val="32"/>
          <w:szCs w:val="32"/>
        </w:rPr>
      </w:pPr>
      <w:r w:rsidRPr="004B54A2">
        <w:rPr>
          <w:rFonts w:ascii="Traditional Arabic" w:hAnsi="Traditional Arabic"/>
          <w:sz w:val="32"/>
          <w:szCs w:val="32"/>
          <w:rtl/>
        </w:rPr>
        <w:t>(</w:t>
      </w:r>
      <w:r w:rsidRPr="004B54A2">
        <w:rPr>
          <w:rStyle w:val="ae"/>
          <w:rFonts w:ascii="Traditional Arabic" w:hAnsi="Traditional Arabic"/>
          <w:sz w:val="32"/>
          <w:szCs w:val="32"/>
          <w:vertAlign w:val="baseline"/>
        </w:rPr>
        <w:footnoteRef/>
      </w:r>
      <w:r w:rsidRPr="004B54A2">
        <w:rPr>
          <w:rFonts w:ascii="Traditional Arabic" w:hAnsi="Traditional Arabic"/>
          <w:sz w:val="32"/>
          <w:szCs w:val="32"/>
          <w:rtl/>
        </w:rPr>
        <w:t>) انظر: تفسير مقاتل بن سليمان (2/ 538).</w:t>
      </w:r>
    </w:p>
  </w:footnote>
  <w:footnote w:id="225">
    <w:p w:rsidR="003F128F" w:rsidRPr="004B54A2" w:rsidRDefault="003F128F" w:rsidP="00327E19">
      <w:pPr>
        <w:pStyle w:val="af3"/>
        <w:rPr>
          <w:rFonts w:ascii="Traditional Arabic" w:hAnsi="Traditional Arabic"/>
          <w:sz w:val="32"/>
          <w:szCs w:val="32"/>
        </w:rPr>
      </w:pPr>
      <w:r w:rsidRPr="004B54A2">
        <w:rPr>
          <w:rFonts w:ascii="Traditional Arabic" w:hAnsi="Traditional Arabic"/>
          <w:sz w:val="32"/>
          <w:szCs w:val="32"/>
          <w:rtl/>
        </w:rPr>
        <w:t>(</w:t>
      </w:r>
      <w:r w:rsidRPr="004B54A2">
        <w:rPr>
          <w:rStyle w:val="ae"/>
          <w:rFonts w:ascii="Traditional Arabic" w:hAnsi="Traditional Arabic"/>
          <w:sz w:val="32"/>
          <w:szCs w:val="32"/>
          <w:vertAlign w:val="baseline"/>
        </w:rPr>
        <w:footnoteRef/>
      </w:r>
      <w:r>
        <w:rPr>
          <w:rFonts w:ascii="Traditional Arabic" w:hAnsi="Traditional Arabic"/>
          <w:sz w:val="32"/>
          <w:szCs w:val="32"/>
          <w:rtl/>
        </w:rPr>
        <w:t>) في</w:t>
      </w:r>
      <w:r>
        <w:rPr>
          <w:rFonts w:ascii="Traditional Arabic" w:hAnsi="Traditional Arabic" w:hint="cs"/>
          <w:sz w:val="32"/>
          <w:szCs w:val="32"/>
          <w:rtl/>
        </w:rPr>
        <w:t xml:space="preserve"> الأصل:</w:t>
      </w:r>
      <w:r>
        <w:rPr>
          <w:rFonts w:ascii="Traditional Arabic" w:hAnsi="Traditional Arabic"/>
          <w:sz w:val="32"/>
          <w:szCs w:val="32"/>
          <w:rtl/>
        </w:rPr>
        <w:t xml:space="preserve"> </w:t>
      </w:r>
      <w:r>
        <w:rPr>
          <w:rFonts w:ascii="Traditional Arabic" w:hAnsi="Traditional Arabic" w:hint="cs"/>
          <w:sz w:val="32"/>
          <w:szCs w:val="32"/>
          <w:rtl/>
        </w:rPr>
        <w:t>[</w:t>
      </w:r>
      <w:r>
        <w:rPr>
          <w:rFonts w:ascii="Traditional Arabic" w:hAnsi="Traditional Arabic"/>
          <w:sz w:val="32"/>
          <w:szCs w:val="32"/>
          <w:rtl/>
        </w:rPr>
        <w:t>أحاط قدرته</w:t>
      </w:r>
      <w:r>
        <w:rPr>
          <w:rFonts w:ascii="Traditional Arabic" w:hAnsi="Traditional Arabic" w:hint="cs"/>
          <w:sz w:val="32"/>
          <w:szCs w:val="32"/>
          <w:rtl/>
        </w:rPr>
        <w:t>], والمثبت من (ك).</w:t>
      </w:r>
    </w:p>
  </w:footnote>
  <w:footnote w:id="226">
    <w:p w:rsidR="003F128F" w:rsidRPr="004B54A2" w:rsidRDefault="003F128F" w:rsidP="008646C7">
      <w:pPr>
        <w:widowControl/>
        <w:autoSpaceDE w:val="0"/>
        <w:autoSpaceDN w:val="0"/>
        <w:adjustRightInd w:val="0"/>
        <w:ind w:firstLine="0"/>
        <w:rPr>
          <w:rFonts w:ascii="Traditional Arabic" w:hAnsi="Traditional Arabic"/>
          <w:sz w:val="32"/>
          <w:szCs w:val="32"/>
        </w:rPr>
      </w:pPr>
      <w:r w:rsidRPr="004B54A2">
        <w:rPr>
          <w:rFonts w:ascii="Traditional Arabic" w:hAnsi="Traditional Arabic"/>
          <w:sz w:val="32"/>
          <w:szCs w:val="32"/>
          <w:rtl/>
        </w:rPr>
        <w:t>(</w:t>
      </w:r>
      <w:r w:rsidRPr="004B54A2">
        <w:rPr>
          <w:rStyle w:val="ae"/>
          <w:rFonts w:ascii="Traditional Arabic" w:hAnsi="Traditional Arabic"/>
          <w:sz w:val="32"/>
          <w:szCs w:val="32"/>
          <w:vertAlign w:val="baseline"/>
        </w:rPr>
        <w:footnoteRef/>
      </w:r>
      <w:r w:rsidRPr="004B54A2">
        <w:rPr>
          <w:rFonts w:ascii="Traditional Arabic" w:hAnsi="Traditional Arabic"/>
          <w:sz w:val="32"/>
          <w:szCs w:val="32"/>
          <w:rtl/>
        </w:rPr>
        <w:t>) هو التابعي</w:t>
      </w:r>
      <w:r w:rsidRPr="004B54A2">
        <w:rPr>
          <w:rFonts w:ascii="Traditional Arabic" w:hAnsi="Traditional Arabic"/>
          <w:color w:val="auto"/>
          <w:sz w:val="32"/>
          <w:szCs w:val="32"/>
          <w:rtl/>
        </w:rPr>
        <w:t xml:space="preserve"> </w:t>
      </w:r>
      <w:r>
        <w:rPr>
          <w:rFonts w:ascii="Traditional Arabic" w:hAnsi="Traditional Arabic"/>
          <w:color w:val="auto"/>
          <w:sz w:val="32"/>
          <w:szCs w:val="32"/>
          <w:rtl/>
          <w:lang w:eastAsia="en-US"/>
        </w:rPr>
        <w:t>الإمام</w:t>
      </w:r>
      <w:r w:rsidRPr="004B54A2">
        <w:rPr>
          <w:rFonts w:ascii="Traditional Arabic" w:hAnsi="Traditional Arabic"/>
          <w:color w:val="auto"/>
          <w:sz w:val="32"/>
          <w:szCs w:val="32"/>
          <w:rtl/>
          <w:lang w:eastAsia="en-US"/>
        </w:rPr>
        <w:t xml:space="preserve"> أبو الحجاج مجاهد بن جبر المَكي، مولى السائب بن أبي السائب المَخزومي، شيخ القراء والمفسرين، (ت104ه). انظر</w:t>
      </w:r>
      <w:r w:rsidRPr="004B54A2">
        <w:rPr>
          <w:rFonts w:ascii="Traditional Arabic" w:hAnsi="Traditional Arabic"/>
          <w:color w:val="auto"/>
          <w:sz w:val="32"/>
          <w:szCs w:val="32"/>
          <w:rtl/>
        </w:rPr>
        <w:t>: الطبقات الكبرى لابن سعد (6/19) سير أعلام النبلاء</w:t>
      </w:r>
      <w:r w:rsidRPr="004B54A2">
        <w:rPr>
          <w:rFonts w:ascii="Traditional Arabic" w:hAnsi="Traditional Arabic"/>
          <w:color w:val="auto"/>
          <w:sz w:val="32"/>
          <w:szCs w:val="32"/>
          <w:rtl/>
          <w:lang w:eastAsia="en-US"/>
        </w:rPr>
        <w:t xml:space="preserve"> (4/449)</w:t>
      </w:r>
      <w:r w:rsidRPr="004B54A2">
        <w:rPr>
          <w:rFonts w:ascii="Traditional Arabic" w:hAnsi="Traditional Arabic"/>
          <w:sz w:val="32"/>
          <w:szCs w:val="32"/>
          <w:rtl/>
        </w:rPr>
        <w:t>.</w:t>
      </w:r>
    </w:p>
  </w:footnote>
  <w:footnote w:id="227">
    <w:p w:rsidR="003F128F" w:rsidRPr="004B54A2" w:rsidRDefault="003F128F" w:rsidP="00CF6758">
      <w:pPr>
        <w:pStyle w:val="af3"/>
        <w:rPr>
          <w:rFonts w:ascii="Traditional Arabic" w:hAnsi="Traditional Arabic"/>
          <w:sz w:val="32"/>
          <w:szCs w:val="32"/>
        </w:rPr>
      </w:pPr>
      <w:r w:rsidRPr="004B54A2">
        <w:rPr>
          <w:rFonts w:ascii="Traditional Arabic" w:hAnsi="Traditional Arabic"/>
          <w:sz w:val="32"/>
          <w:szCs w:val="32"/>
          <w:rtl/>
        </w:rPr>
        <w:t>(</w:t>
      </w:r>
      <w:r w:rsidRPr="004B54A2">
        <w:rPr>
          <w:rStyle w:val="ae"/>
          <w:rFonts w:ascii="Traditional Arabic" w:hAnsi="Traditional Arabic"/>
          <w:sz w:val="32"/>
          <w:szCs w:val="32"/>
          <w:vertAlign w:val="baseline"/>
        </w:rPr>
        <w:footnoteRef/>
      </w:r>
      <w:r w:rsidRPr="004B54A2">
        <w:rPr>
          <w:rFonts w:ascii="Traditional Arabic" w:hAnsi="Traditional Arabic"/>
          <w:sz w:val="32"/>
          <w:szCs w:val="32"/>
          <w:rtl/>
        </w:rPr>
        <w:t>) انظر: تفسير مجاهد (ص438), تفسير الطبري (17/479)، تفسير ابن أبي حاتم (7/2335).</w:t>
      </w:r>
    </w:p>
  </w:footnote>
  <w:footnote w:id="228">
    <w:p w:rsidR="003F128F" w:rsidRPr="004B54A2" w:rsidRDefault="003F128F" w:rsidP="00AB6719">
      <w:pPr>
        <w:widowControl/>
        <w:autoSpaceDE w:val="0"/>
        <w:autoSpaceDN w:val="0"/>
        <w:adjustRightInd w:val="0"/>
        <w:ind w:firstLine="0"/>
        <w:rPr>
          <w:rFonts w:ascii="Traditional Arabic" w:hAnsi="Traditional Arabic"/>
          <w:sz w:val="32"/>
          <w:szCs w:val="32"/>
        </w:rPr>
      </w:pPr>
      <w:r w:rsidRPr="004B54A2">
        <w:rPr>
          <w:rFonts w:ascii="Traditional Arabic" w:hAnsi="Traditional Arabic"/>
          <w:sz w:val="32"/>
          <w:szCs w:val="32"/>
          <w:rtl/>
        </w:rPr>
        <w:t>(</w:t>
      </w:r>
      <w:r w:rsidRPr="004B54A2">
        <w:rPr>
          <w:rStyle w:val="ae"/>
          <w:rFonts w:ascii="Traditional Arabic" w:hAnsi="Traditional Arabic"/>
          <w:sz w:val="32"/>
          <w:szCs w:val="32"/>
          <w:vertAlign w:val="baseline"/>
        </w:rPr>
        <w:footnoteRef/>
      </w:r>
      <w:r w:rsidRPr="004B54A2">
        <w:rPr>
          <w:rFonts w:ascii="Traditional Arabic" w:hAnsi="Traditional Arabic"/>
          <w:sz w:val="32"/>
          <w:szCs w:val="32"/>
          <w:rtl/>
        </w:rPr>
        <w:t xml:space="preserve">) </w:t>
      </w:r>
      <w:r w:rsidRPr="004B54A2">
        <w:rPr>
          <w:rFonts w:ascii="Traditional Arabic" w:hAnsi="Traditional Arabic"/>
          <w:color w:val="auto"/>
          <w:sz w:val="32"/>
          <w:szCs w:val="32"/>
          <w:rtl/>
          <w:lang w:eastAsia="en-US"/>
        </w:rPr>
        <w:t xml:space="preserve">هو التابعي </w:t>
      </w:r>
      <w:r>
        <w:rPr>
          <w:rFonts w:ascii="Traditional Arabic" w:hAnsi="Traditional Arabic"/>
          <w:color w:val="auto"/>
          <w:sz w:val="32"/>
          <w:szCs w:val="32"/>
          <w:rtl/>
          <w:lang w:eastAsia="en-US"/>
        </w:rPr>
        <w:t>الإمام</w:t>
      </w:r>
      <w:r w:rsidRPr="004B54A2">
        <w:rPr>
          <w:rFonts w:ascii="Traditional Arabic" w:hAnsi="Traditional Arabic"/>
          <w:color w:val="auto"/>
          <w:sz w:val="32"/>
          <w:szCs w:val="32"/>
          <w:rtl/>
          <w:lang w:eastAsia="en-US"/>
        </w:rPr>
        <w:t xml:space="preserve"> أبو الخطاب قتادة بن دعامة بن عزيز السدوسي، البصري، الأكمه،</w:t>
      </w:r>
      <w:r w:rsidRPr="004B54A2">
        <w:rPr>
          <w:rFonts w:ascii="Traditional Arabic" w:hAnsi="Traditional Arabic"/>
          <w:sz w:val="32"/>
          <w:szCs w:val="32"/>
          <w:rtl/>
          <w:lang w:eastAsia="en-US"/>
        </w:rPr>
        <w:t xml:space="preserve"> قدوة المفسرين والمحدثين،</w:t>
      </w:r>
      <w:r w:rsidRPr="004B54A2">
        <w:rPr>
          <w:rFonts w:ascii="Traditional Arabic" w:hAnsi="Traditional Arabic"/>
          <w:b/>
          <w:bCs/>
          <w:sz w:val="32"/>
          <w:szCs w:val="32"/>
          <w:rtl/>
          <w:lang w:eastAsia="en-US"/>
        </w:rPr>
        <w:t xml:space="preserve"> </w:t>
      </w:r>
      <w:r w:rsidRPr="004B54A2">
        <w:rPr>
          <w:rFonts w:ascii="Traditional Arabic" w:hAnsi="Traditional Arabic"/>
          <w:sz w:val="32"/>
          <w:szCs w:val="32"/>
          <w:rtl/>
          <w:lang w:eastAsia="en-US"/>
        </w:rPr>
        <w:t>(ت118ه)</w:t>
      </w:r>
      <w:r w:rsidRPr="004B54A2">
        <w:rPr>
          <w:rFonts w:ascii="Traditional Arabic" w:hAnsi="Traditional Arabic"/>
          <w:b/>
          <w:bCs/>
          <w:sz w:val="32"/>
          <w:szCs w:val="32"/>
          <w:rtl/>
          <w:lang w:eastAsia="en-US"/>
        </w:rPr>
        <w:t xml:space="preserve">. </w:t>
      </w:r>
      <w:r w:rsidRPr="004B54A2">
        <w:rPr>
          <w:rFonts w:ascii="Traditional Arabic" w:hAnsi="Traditional Arabic"/>
          <w:sz w:val="32"/>
          <w:szCs w:val="32"/>
          <w:rtl/>
        </w:rPr>
        <w:t xml:space="preserve">انظر: وفيات الأعيان (4/85)، </w:t>
      </w:r>
      <w:r w:rsidRPr="004B54A2">
        <w:rPr>
          <w:rFonts w:ascii="Traditional Arabic" w:hAnsi="Traditional Arabic"/>
          <w:color w:val="auto"/>
          <w:sz w:val="32"/>
          <w:szCs w:val="32"/>
          <w:rtl/>
        </w:rPr>
        <w:t>سير أعلام النبلاء</w:t>
      </w:r>
      <w:r w:rsidRPr="004B54A2">
        <w:rPr>
          <w:rFonts w:ascii="Traditional Arabic" w:hAnsi="Traditional Arabic"/>
          <w:sz w:val="32"/>
          <w:szCs w:val="32"/>
          <w:rtl/>
        </w:rPr>
        <w:t xml:space="preserve"> (5/269).</w:t>
      </w:r>
    </w:p>
  </w:footnote>
  <w:footnote w:id="229">
    <w:p w:rsidR="003F128F" w:rsidRPr="004B54A2" w:rsidRDefault="003F128F" w:rsidP="004B54A2">
      <w:pPr>
        <w:pStyle w:val="af3"/>
        <w:rPr>
          <w:rFonts w:ascii="Traditional Arabic" w:hAnsi="Traditional Arabic"/>
          <w:sz w:val="32"/>
          <w:szCs w:val="32"/>
        </w:rPr>
      </w:pPr>
      <w:r w:rsidRPr="004B54A2">
        <w:rPr>
          <w:rFonts w:ascii="Traditional Arabic" w:hAnsi="Traditional Arabic"/>
          <w:sz w:val="32"/>
          <w:szCs w:val="32"/>
          <w:rtl/>
        </w:rPr>
        <w:t>(</w:t>
      </w:r>
      <w:r w:rsidRPr="004B54A2">
        <w:rPr>
          <w:rStyle w:val="ae"/>
          <w:rFonts w:ascii="Traditional Arabic" w:hAnsi="Traditional Arabic"/>
          <w:sz w:val="32"/>
          <w:szCs w:val="32"/>
          <w:vertAlign w:val="baseline"/>
        </w:rPr>
        <w:footnoteRef/>
      </w:r>
      <w:r w:rsidRPr="004B54A2">
        <w:rPr>
          <w:rFonts w:ascii="Traditional Arabic" w:hAnsi="Traditional Arabic"/>
          <w:sz w:val="32"/>
          <w:szCs w:val="32"/>
          <w:rtl/>
        </w:rPr>
        <w:t>) انظر: تفسير الطبري (17/480)، النكت والعيون (3/253).</w:t>
      </w:r>
    </w:p>
  </w:footnote>
  <w:footnote w:id="230">
    <w:p w:rsidR="003F128F" w:rsidRPr="004B54A2" w:rsidRDefault="003F128F" w:rsidP="00877C0E">
      <w:pPr>
        <w:pStyle w:val="af3"/>
        <w:rPr>
          <w:rFonts w:ascii="Traditional Arabic" w:hAnsi="Traditional Arabic"/>
          <w:sz w:val="32"/>
          <w:szCs w:val="32"/>
        </w:rPr>
      </w:pPr>
      <w:r w:rsidRPr="004B54A2">
        <w:rPr>
          <w:rFonts w:ascii="Traditional Arabic" w:hAnsi="Traditional Arabic"/>
          <w:sz w:val="32"/>
          <w:szCs w:val="32"/>
          <w:rtl/>
        </w:rPr>
        <w:t>(</w:t>
      </w:r>
      <w:r w:rsidRPr="004B54A2">
        <w:rPr>
          <w:rStyle w:val="ae"/>
          <w:rFonts w:ascii="Traditional Arabic" w:hAnsi="Traditional Arabic"/>
          <w:sz w:val="32"/>
          <w:szCs w:val="32"/>
          <w:vertAlign w:val="baseline"/>
        </w:rPr>
        <w:footnoteRef/>
      </w:r>
      <w:r w:rsidRPr="004B54A2">
        <w:rPr>
          <w:rFonts w:ascii="Traditional Arabic" w:hAnsi="Traditional Arabic"/>
          <w:sz w:val="32"/>
          <w:szCs w:val="32"/>
          <w:rtl/>
        </w:rPr>
        <w:t xml:space="preserve">) هو التابعي </w:t>
      </w:r>
      <w:r>
        <w:rPr>
          <w:rFonts w:ascii="Traditional Arabic" w:hAnsi="Traditional Arabic"/>
          <w:color w:val="auto"/>
          <w:sz w:val="32"/>
          <w:szCs w:val="32"/>
          <w:rtl/>
        </w:rPr>
        <w:t>الإمام</w:t>
      </w:r>
      <w:r w:rsidRPr="004B54A2">
        <w:rPr>
          <w:rFonts w:ascii="Traditional Arabic" w:hAnsi="Traditional Arabic"/>
          <w:sz w:val="32"/>
          <w:szCs w:val="32"/>
          <w:rtl/>
          <w:lang w:eastAsia="en-US"/>
        </w:rPr>
        <w:t xml:space="preserve"> أبو عبد الله </w:t>
      </w:r>
      <w:r w:rsidRPr="004B54A2">
        <w:rPr>
          <w:rFonts w:ascii="Traditional Arabic" w:hAnsi="Traditional Arabic"/>
          <w:color w:val="auto"/>
          <w:sz w:val="32"/>
          <w:szCs w:val="32"/>
          <w:rtl/>
          <w:lang w:eastAsia="en-US"/>
        </w:rPr>
        <w:t xml:space="preserve">عكرمة بن عبد الله </w:t>
      </w:r>
      <w:r w:rsidRPr="004B54A2">
        <w:rPr>
          <w:rFonts w:ascii="Traditional Arabic" w:hAnsi="Traditional Arabic"/>
          <w:sz w:val="32"/>
          <w:szCs w:val="32"/>
          <w:rtl/>
          <w:lang w:eastAsia="en-US"/>
        </w:rPr>
        <w:t>القرشي مولاهم، المدني، البربري الأصل، العلامة، الحافظ، المفسر، (ت104ه)</w:t>
      </w:r>
      <w:r w:rsidRPr="004B54A2">
        <w:rPr>
          <w:rFonts w:ascii="Traditional Arabic" w:hAnsi="Traditional Arabic"/>
          <w:sz w:val="32"/>
          <w:szCs w:val="32"/>
          <w:rtl/>
        </w:rPr>
        <w:t xml:space="preserve">. انظر: وفيات الأعيان (3/265)، </w:t>
      </w:r>
      <w:r w:rsidRPr="004B54A2">
        <w:rPr>
          <w:rFonts w:ascii="Traditional Arabic" w:hAnsi="Traditional Arabic"/>
          <w:color w:val="auto"/>
          <w:sz w:val="32"/>
          <w:szCs w:val="32"/>
          <w:rtl/>
        </w:rPr>
        <w:t>سير أعلام النبلاء</w:t>
      </w:r>
      <w:r w:rsidRPr="004B54A2">
        <w:rPr>
          <w:rFonts w:ascii="Traditional Arabic" w:hAnsi="Traditional Arabic"/>
          <w:sz w:val="32"/>
          <w:szCs w:val="32"/>
          <w:rtl/>
        </w:rPr>
        <w:t xml:space="preserve"> (5/12).</w:t>
      </w:r>
    </w:p>
  </w:footnote>
  <w:footnote w:id="231">
    <w:p w:rsidR="003F128F" w:rsidRPr="004B54A2" w:rsidRDefault="003F128F" w:rsidP="00AB6719">
      <w:pPr>
        <w:pStyle w:val="af3"/>
        <w:rPr>
          <w:rFonts w:ascii="Traditional Arabic" w:hAnsi="Traditional Arabic"/>
          <w:sz w:val="32"/>
          <w:szCs w:val="32"/>
        </w:rPr>
      </w:pPr>
      <w:r w:rsidRPr="004B54A2">
        <w:rPr>
          <w:rFonts w:ascii="Traditional Arabic" w:hAnsi="Traditional Arabic"/>
          <w:sz w:val="32"/>
          <w:szCs w:val="32"/>
          <w:rtl/>
        </w:rPr>
        <w:t>(</w:t>
      </w:r>
      <w:r w:rsidRPr="004B54A2">
        <w:rPr>
          <w:rStyle w:val="ae"/>
          <w:rFonts w:ascii="Traditional Arabic" w:hAnsi="Traditional Arabic"/>
          <w:sz w:val="32"/>
          <w:szCs w:val="32"/>
          <w:vertAlign w:val="baseline"/>
        </w:rPr>
        <w:footnoteRef/>
      </w:r>
      <w:r w:rsidRPr="004B54A2">
        <w:rPr>
          <w:rFonts w:ascii="Traditional Arabic" w:hAnsi="Traditional Arabic"/>
          <w:sz w:val="32"/>
          <w:szCs w:val="32"/>
          <w:rtl/>
        </w:rPr>
        <w:t>) رواه البخاري</w:t>
      </w:r>
      <w:r>
        <w:rPr>
          <w:rFonts w:ascii="Traditional Arabic" w:hAnsi="Traditional Arabic" w:hint="cs"/>
          <w:sz w:val="32"/>
          <w:szCs w:val="32"/>
          <w:rtl/>
        </w:rPr>
        <w:t xml:space="preserve"> في صحيحه</w:t>
      </w:r>
      <w:r w:rsidRPr="004B54A2">
        <w:rPr>
          <w:rFonts w:ascii="Traditional Arabic" w:hAnsi="Traditional Arabic"/>
          <w:sz w:val="32"/>
          <w:szCs w:val="32"/>
          <w:rtl/>
        </w:rPr>
        <w:t xml:space="preserve"> (كتاب مناقب الأنصار، باب المعراج 7/254 ح 3888).</w:t>
      </w:r>
    </w:p>
  </w:footnote>
  <w:footnote w:id="232">
    <w:p w:rsidR="003F128F" w:rsidRPr="004B54A2" w:rsidRDefault="003F128F" w:rsidP="00CF6758">
      <w:pPr>
        <w:pStyle w:val="af3"/>
        <w:rPr>
          <w:rFonts w:ascii="Traditional Arabic" w:hAnsi="Traditional Arabic"/>
          <w:sz w:val="32"/>
          <w:szCs w:val="32"/>
        </w:rPr>
      </w:pPr>
      <w:r w:rsidRPr="004B54A2">
        <w:rPr>
          <w:rFonts w:ascii="Traditional Arabic" w:hAnsi="Traditional Arabic"/>
          <w:sz w:val="32"/>
          <w:szCs w:val="32"/>
          <w:rtl/>
        </w:rPr>
        <w:t>(</w:t>
      </w:r>
      <w:r w:rsidRPr="004B54A2">
        <w:rPr>
          <w:rStyle w:val="ae"/>
          <w:rFonts w:ascii="Traditional Arabic" w:hAnsi="Traditional Arabic"/>
          <w:sz w:val="32"/>
          <w:szCs w:val="32"/>
          <w:vertAlign w:val="baseline"/>
        </w:rPr>
        <w:footnoteRef/>
      </w:r>
      <w:r w:rsidRPr="004B54A2">
        <w:rPr>
          <w:rFonts w:ascii="Traditional Arabic" w:hAnsi="Traditional Arabic"/>
          <w:sz w:val="32"/>
          <w:szCs w:val="32"/>
          <w:rtl/>
        </w:rPr>
        <w:t xml:space="preserve">) انظر: تفسير مجاهد (ص438). </w:t>
      </w:r>
    </w:p>
  </w:footnote>
  <w:footnote w:id="233">
    <w:p w:rsidR="003F128F" w:rsidRPr="004B54A2" w:rsidRDefault="003F128F" w:rsidP="00BB792F">
      <w:pPr>
        <w:widowControl/>
        <w:autoSpaceDE w:val="0"/>
        <w:autoSpaceDN w:val="0"/>
        <w:adjustRightInd w:val="0"/>
        <w:ind w:firstLine="0"/>
        <w:rPr>
          <w:rFonts w:ascii="Traditional Arabic" w:hAnsi="Traditional Arabic"/>
          <w:sz w:val="32"/>
          <w:szCs w:val="32"/>
          <w:lang w:eastAsia="en-US"/>
        </w:rPr>
      </w:pPr>
      <w:r w:rsidRPr="004B54A2">
        <w:rPr>
          <w:rFonts w:ascii="Traditional Arabic" w:hAnsi="Traditional Arabic"/>
          <w:sz w:val="32"/>
          <w:szCs w:val="32"/>
          <w:rtl/>
        </w:rPr>
        <w:t>(</w:t>
      </w:r>
      <w:r w:rsidRPr="004B54A2">
        <w:rPr>
          <w:rStyle w:val="ae"/>
          <w:rFonts w:ascii="Traditional Arabic" w:hAnsi="Traditional Arabic"/>
          <w:sz w:val="32"/>
          <w:szCs w:val="32"/>
          <w:vertAlign w:val="baseline"/>
        </w:rPr>
        <w:footnoteRef/>
      </w:r>
      <w:r w:rsidRPr="004B54A2">
        <w:rPr>
          <w:rFonts w:ascii="Traditional Arabic" w:hAnsi="Traditional Arabic"/>
          <w:sz w:val="32"/>
          <w:szCs w:val="32"/>
          <w:rtl/>
        </w:rPr>
        <w:t xml:space="preserve">) هو التابعي </w:t>
      </w:r>
      <w:r>
        <w:rPr>
          <w:rFonts w:ascii="Traditional Arabic" w:hAnsi="Traditional Arabic"/>
          <w:color w:val="auto"/>
          <w:sz w:val="32"/>
          <w:szCs w:val="32"/>
          <w:rtl/>
          <w:lang w:eastAsia="en-US"/>
        </w:rPr>
        <w:t>الإمام</w:t>
      </w:r>
      <w:r w:rsidRPr="004B54A2">
        <w:rPr>
          <w:rFonts w:ascii="Traditional Arabic" w:hAnsi="Traditional Arabic"/>
          <w:color w:val="auto"/>
          <w:sz w:val="32"/>
          <w:szCs w:val="32"/>
          <w:rtl/>
          <w:lang w:eastAsia="en-US"/>
        </w:rPr>
        <w:t xml:space="preserve"> أبو عائشة مسروق بن الأجدع بن مالك بن أمية الوادعي، الهمداني، الكوفي</w:t>
      </w:r>
      <w:r w:rsidRPr="004B54A2">
        <w:rPr>
          <w:rFonts w:ascii="Traditional Arabic" w:hAnsi="Traditional Arabic"/>
          <w:sz w:val="32"/>
          <w:szCs w:val="32"/>
          <w:rtl/>
          <w:lang w:eastAsia="en-US"/>
        </w:rPr>
        <w:t xml:space="preserve">، </w:t>
      </w:r>
      <w:r w:rsidRPr="004B54A2">
        <w:rPr>
          <w:rFonts w:ascii="Traditional Arabic" w:hAnsi="Traditional Arabic"/>
          <w:color w:val="auto"/>
          <w:sz w:val="32"/>
          <w:szCs w:val="32"/>
          <w:rtl/>
          <w:lang w:eastAsia="en-US"/>
        </w:rPr>
        <w:t xml:space="preserve">القدوة، العلم، </w:t>
      </w:r>
      <w:r w:rsidRPr="004B54A2">
        <w:rPr>
          <w:rFonts w:ascii="Traditional Arabic" w:hAnsi="Traditional Arabic"/>
          <w:sz w:val="32"/>
          <w:szCs w:val="32"/>
          <w:rtl/>
          <w:lang w:eastAsia="en-US"/>
        </w:rPr>
        <w:t xml:space="preserve">(ت63ه). انظر: </w:t>
      </w:r>
      <w:r w:rsidRPr="004B54A2">
        <w:rPr>
          <w:rFonts w:ascii="Traditional Arabic" w:hAnsi="Traditional Arabic"/>
          <w:color w:val="auto"/>
          <w:sz w:val="32"/>
          <w:szCs w:val="32"/>
          <w:rtl/>
          <w:lang w:eastAsia="en-US"/>
        </w:rPr>
        <w:t>الطبقات الكبرى (6/138), سير أعلام النبلاء (4/63).</w:t>
      </w:r>
    </w:p>
  </w:footnote>
  <w:footnote w:id="234">
    <w:p w:rsidR="003F128F" w:rsidRPr="00691E7F" w:rsidRDefault="003F128F" w:rsidP="00BB792F">
      <w:pPr>
        <w:pStyle w:val="af3"/>
        <w:rPr>
          <w:rFonts w:ascii="Traditional Arabic" w:hAnsi="Traditional Arabic"/>
          <w:sz w:val="32"/>
          <w:szCs w:val="32"/>
        </w:rPr>
      </w:pPr>
      <w:r w:rsidRPr="004B54A2">
        <w:rPr>
          <w:rFonts w:ascii="Traditional Arabic" w:hAnsi="Traditional Arabic"/>
          <w:sz w:val="32"/>
          <w:szCs w:val="32"/>
          <w:rtl/>
        </w:rPr>
        <w:t>(</w:t>
      </w:r>
      <w:r w:rsidRPr="004B54A2">
        <w:rPr>
          <w:rStyle w:val="ae"/>
          <w:rFonts w:ascii="Traditional Arabic" w:hAnsi="Traditional Arabic"/>
          <w:sz w:val="32"/>
          <w:szCs w:val="32"/>
          <w:vertAlign w:val="baseline"/>
        </w:rPr>
        <w:footnoteRef/>
      </w:r>
      <w:r w:rsidRPr="004B54A2">
        <w:rPr>
          <w:rFonts w:ascii="Traditional Arabic" w:hAnsi="Traditional Arabic"/>
          <w:sz w:val="32"/>
          <w:szCs w:val="32"/>
          <w:rtl/>
        </w:rPr>
        <w:t xml:space="preserve">) </w:t>
      </w:r>
      <w:r w:rsidRPr="004B54A2">
        <w:rPr>
          <w:rFonts w:ascii="Traditional Arabic" w:hAnsi="Traditional Arabic"/>
          <w:color w:val="auto"/>
          <w:sz w:val="32"/>
          <w:szCs w:val="32"/>
          <w:rtl/>
        </w:rPr>
        <w:t xml:space="preserve">هو التابعي </w:t>
      </w:r>
      <w:r>
        <w:rPr>
          <w:rFonts w:ascii="Traditional Arabic" w:hAnsi="Traditional Arabic"/>
          <w:color w:val="auto"/>
          <w:sz w:val="32"/>
          <w:szCs w:val="32"/>
          <w:rtl/>
          <w:lang w:eastAsia="en-US"/>
        </w:rPr>
        <w:t>الإمام</w:t>
      </w:r>
      <w:r w:rsidRPr="004B54A2">
        <w:rPr>
          <w:rFonts w:ascii="Traditional Arabic" w:hAnsi="Traditional Arabic"/>
          <w:color w:val="auto"/>
          <w:sz w:val="32"/>
          <w:szCs w:val="32"/>
          <w:rtl/>
        </w:rPr>
        <w:t xml:space="preserve"> </w:t>
      </w:r>
      <w:r w:rsidRPr="004B54A2">
        <w:rPr>
          <w:rFonts w:ascii="Traditional Arabic" w:hAnsi="Traditional Arabic"/>
          <w:color w:val="auto"/>
          <w:sz w:val="32"/>
          <w:szCs w:val="32"/>
          <w:rtl/>
          <w:lang w:eastAsia="en-US"/>
        </w:rPr>
        <w:t>أبو عمران، وأبو عمار، إبراهيم بن يزيد بن قيس بن الأسود النخعي، الكوفي، أحد الأئمة المشاهير</w:t>
      </w:r>
      <w:r w:rsidRPr="004B54A2">
        <w:rPr>
          <w:rFonts w:ascii="Traditional Arabic" w:hAnsi="Traditional Arabic"/>
          <w:sz w:val="32"/>
          <w:szCs w:val="32"/>
          <w:rtl/>
        </w:rPr>
        <w:t>،</w:t>
      </w:r>
      <w:r w:rsidRPr="004B54A2">
        <w:rPr>
          <w:rFonts w:ascii="Traditional Arabic" w:hAnsi="Traditional Arabic"/>
          <w:sz w:val="32"/>
          <w:szCs w:val="32"/>
          <w:rtl/>
          <w:lang w:eastAsia="en-US"/>
        </w:rPr>
        <w:t xml:space="preserve"> ومن أكابر التابعين صلاحاً وصدق رواية وحفظاً للحديث،</w:t>
      </w:r>
      <w:r w:rsidRPr="004B54A2">
        <w:rPr>
          <w:rFonts w:ascii="Traditional Arabic" w:hAnsi="Traditional Arabic"/>
          <w:sz w:val="32"/>
          <w:szCs w:val="32"/>
          <w:rtl/>
        </w:rPr>
        <w:t xml:space="preserve"> </w:t>
      </w:r>
      <w:r w:rsidRPr="004B54A2">
        <w:rPr>
          <w:rFonts w:ascii="Traditional Arabic" w:hAnsi="Traditional Arabic"/>
          <w:sz w:val="32"/>
          <w:szCs w:val="32"/>
          <w:rtl/>
          <w:lang w:eastAsia="en-US"/>
        </w:rPr>
        <w:t>(ت96ه)</w:t>
      </w:r>
      <w:r w:rsidRPr="004B54A2">
        <w:rPr>
          <w:rFonts w:ascii="Traditional Arabic" w:hAnsi="Traditional Arabic"/>
          <w:sz w:val="32"/>
          <w:szCs w:val="32"/>
          <w:rtl/>
        </w:rPr>
        <w:t>. انظر: وفيات الأعيان (1/25)، الوافي بالوفيات (6/108).</w:t>
      </w:r>
    </w:p>
  </w:footnote>
  <w:footnote w:id="235">
    <w:p w:rsidR="003F128F" w:rsidRPr="00691E7F" w:rsidRDefault="003F128F" w:rsidP="00CF6758">
      <w:pPr>
        <w:pStyle w:val="af3"/>
        <w:rPr>
          <w:rFonts w:ascii="Traditional Arabic" w:hAnsi="Traditional Arabic"/>
          <w:sz w:val="32"/>
          <w:szCs w:val="32"/>
          <w:rtl/>
        </w:rPr>
      </w:pPr>
      <w:r w:rsidRPr="00691E7F">
        <w:rPr>
          <w:rFonts w:ascii="Traditional Arabic" w:hAnsi="Traditional Arabic"/>
          <w:sz w:val="32"/>
          <w:szCs w:val="32"/>
          <w:rtl/>
        </w:rPr>
        <w:t>(</w:t>
      </w:r>
      <w:r w:rsidRPr="00691E7F">
        <w:rPr>
          <w:rStyle w:val="ae"/>
          <w:rFonts w:ascii="Traditional Arabic" w:hAnsi="Traditional Arabic"/>
          <w:sz w:val="32"/>
          <w:szCs w:val="32"/>
          <w:vertAlign w:val="baseline"/>
        </w:rPr>
        <w:footnoteRef/>
      </w:r>
      <w:r w:rsidRPr="00691E7F">
        <w:rPr>
          <w:rFonts w:ascii="Traditional Arabic" w:hAnsi="Traditional Arabic"/>
          <w:sz w:val="32"/>
          <w:szCs w:val="32"/>
          <w:rtl/>
        </w:rPr>
        <w:t>)</w:t>
      </w:r>
      <w:r>
        <w:rPr>
          <w:rFonts w:ascii="Traditional Arabic" w:hAnsi="Traditional Arabic"/>
          <w:sz w:val="32"/>
          <w:szCs w:val="32"/>
          <w:rtl/>
        </w:rPr>
        <w:t xml:space="preserve"> </w:t>
      </w:r>
      <w:r w:rsidRPr="00691E7F">
        <w:rPr>
          <w:rFonts w:ascii="Traditional Arabic" w:hAnsi="Traditional Arabic"/>
          <w:color w:val="auto"/>
          <w:sz w:val="32"/>
          <w:szCs w:val="32"/>
          <w:rtl/>
          <w:lang w:eastAsia="en-US"/>
        </w:rPr>
        <w:t xml:space="preserve">هو التابعي </w:t>
      </w:r>
      <w:r>
        <w:rPr>
          <w:rFonts w:ascii="Traditional Arabic" w:hAnsi="Traditional Arabic"/>
          <w:color w:val="auto"/>
          <w:sz w:val="32"/>
          <w:szCs w:val="32"/>
          <w:rtl/>
          <w:lang w:eastAsia="en-US"/>
        </w:rPr>
        <w:t>الإمام</w:t>
      </w:r>
      <w:r w:rsidRPr="00691E7F">
        <w:rPr>
          <w:rFonts w:ascii="Traditional Arabic" w:hAnsi="Traditional Arabic"/>
          <w:color w:val="auto"/>
          <w:sz w:val="32"/>
          <w:szCs w:val="32"/>
          <w:rtl/>
          <w:lang w:eastAsia="en-US"/>
        </w:rPr>
        <w:t xml:space="preserve"> أبو مالك غزوان الغفاري</w:t>
      </w:r>
      <w:r>
        <w:rPr>
          <w:rFonts w:ascii="Traditional Arabic" w:hAnsi="Traditional Arabic" w:hint="cs"/>
          <w:color w:val="auto"/>
          <w:sz w:val="32"/>
          <w:szCs w:val="32"/>
          <w:rtl/>
          <w:lang w:eastAsia="en-US"/>
        </w:rPr>
        <w:t>،</w:t>
      </w:r>
      <w:r>
        <w:rPr>
          <w:rFonts w:ascii="Traditional Arabic" w:hAnsi="Traditional Arabic"/>
          <w:color w:val="auto"/>
          <w:sz w:val="32"/>
          <w:szCs w:val="32"/>
          <w:rtl/>
          <w:lang w:eastAsia="en-US"/>
        </w:rPr>
        <w:t xml:space="preserve"> كوفي اشتهر بكنيته</w:t>
      </w:r>
      <w:r>
        <w:rPr>
          <w:rFonts w:ascii="Traditional Arabic" w:hAnsi="Traditional Arabic" w:hint="cs"/>
          <w:color w:val="auto"/>
          <w:sz w:val="32"/>
          <w:szCs w:val="32"/>
          <w:rtl/>
          <w:lang w:eastAsia="en-US"/>
        </w:rPr>
        <w:t>،</w:t>
      </w:r>
      <w:r w:rsidRPr="00691E7F">
        <w:rPr>
          <w:rFonts w:ascii="Traditional Arabic" w:hAnsi="Traditional Arabic"/>
          <w:color w:val="auto"/>
          <w:sz w:val="32"/>
          <w:szCs w:val="32"/>
          <w:rtl/>
          <w:lang w:eastAsia="en-US"/>
        </w:rPr>
        <w:t xml:space="preserve"> روى عن ع</w:t>
      </w:r>
      <w:r>
        <w:rPr>
          <w:rFonts w:ascii="Traditional Arabic" w:hAnsi="Traditional Arabic"/>
          <w:color w:val="auto"/>
          <w:sz w:val="32"/>
          <w:szCs w:val="32"/>
          <w:rtl/>
          <w:lang w:eastAsia="en-US"/>
        </w:rPr>
        <w:t>مار بن ياسر وابن عباس وابن ابزى</w:t>
      </w:r>
      <w:r>
        <w:rPr>
          <w:rFonts w:ascii="Traditional Arabic" w:hAnsi="Traditional Arabic" w:hint="cs"/>
          <w:color w:val="auto"/>
          <w:sz w:val="32"/>
          <w:szCs w:val="32"/>
          <w:rtl/>
          <w:lang w:eastAsia="en-US"/>
        </w:rPr>
        <w:t xml:space="preserve">، </w:t>
      </w:r>
      <w:r w:rsidRPr="00691E7F">
        <w:rPr>
          <w:rFonts w:ascii="Traditional Arabic" w:hAnsi="Traditional Arabic"/>
          <w:color w:val="auto"/>
          <w:sz w:val="32"/>
          <w:szCs w:val="32"/>
          <w:rtl/>
          <w:lang w:eastAsia="en-US"/>
        </w:rPr>
        <w:t>روى عنه السدى وحصين بن عبد الرحمن</w:t>
      </w:r>
      <w:r>
        <w:rPr>
          <w:rFonts w:ascii="Traditional Arabic" w:hAnsi="Traditional Arabic" w:hint="cs"/>
          <w:sz w:val="32"/>
          <w:szCs w:val="32"/>
          <w:rtl/>
        </w:rPr>
        <w:t xml:space="preserve">، </w:t>
      </w:r>
      <w:r w:rsidRPr="00691E7F">
        <w:rPr>
          <w:rFonts w:ascii="Traditional Arabic" w:hAnsi="Traditional Arabic"/>
          <w:sz w:val="32"/>
          <w:szCs w:val="32"/>
          <w:rtl/>
        </w:rPr>
        <w:t>(ت91-100ه)</w:t>
      </w:r>
      <w:r>
        <w:rPr>
          <w:rFonts w:ascii="Traditional Arabic" w:hAnsi="Traditional Arabic" w:hint="cs"/>
          <w:sz w:val="32"/>
          <w:szCs w:val="32"/>
          <w:rtl/>
        </w:rPr>
        <w:t>.</w:t>
      </w:r>
      <w:r w:rsidRPr="00691E7F">
        <w:rPr>
          <w:rFonts w:ascii="Traditional Arabic" w:hAnsi="Traditional Arabic"/>
          <w:sz w:val="32"/>
          <w:szCs w:val="32"/>
          <w:rtl/>
        </w:rPr>
        <w:t xml:space="preserve"> انظر</w:t>
      </w:r>
      <w:r>
        <w:rPr>
          <w:rFonts w:ascii="Traditional Arabic" w:hAnsi="Traditional Arabic" w:hint="cs"/>
          <w:sz w:val="32"/>
          <w:szCs w:val="32"/>
          <w:rtl/>
        </w:rPr>
        <w:t xml:space="preserve">: </w:t>
      </w:r>
      <w:r w:rsidRPr="00691E7F">
        <w:rPr>
          <w:rFonts w:ascii="Traditional Arabic" w:hAnsi="Traditional Arabic"/>
          <w:sz w:val="32"/>
          <w:szCs w:val="32"/>
          <w:rtl/>
        </w:rPr>
        <w:t>الجر</w:t>
      </w:r>
      <w:r>
        <w:rPr>
          <w:rFonts w:ascii="Traditional Arabic" w:hAnsi="Traditional Arabic"/>
          <w:sz w:val="32"/>
          <w:szCs w:val="32"/>
          <w:rtl/>
        </w:rPr>
        <w:t>ح والتعديل لابن أبي حاتم (7/55)</w:t>
      </w:r>
      <w:r>
        <w:rPr>
          <w:rFonts w:ascii="Traditional Arabic" w:hAnsi="Traditional Arabic" w:hint="cs"/>
          <w:sz w:val="32"/>
          <w:szCs w:val="32"/>
          <w:rtl/>
        </w:rPr>
        <w:t xml:space="preserve">، </w:t>
      </w:r>
      <w:r>
        <w:rPr>
          <w:rFonts w:ascii="Traditional Arabic" w:hAnsi="Traditional Arabic"/>
          <w:sz w:val="32"/>
          <w:szCs w:val="32"/>
          <w:rtl/>
        </w:rPr>
        <w:t>تهذيب الكمال (23/100)</w:t>
      </w:r>
      <w:r>
        <w:rPr>
          <w:rFonts w:ascii="Traditional Arabic" w:hAnsi="Traditional Arabic" w:hint="cs"/>
          <w:sz w:val="32"/>
          <w:szCs w:val="32"/>
          <w:rtl/>
        </w:rPr>
        <w:t>،</w:t>
      </w:r>
      <w:r w:rsidRPr="00691E7F">
        <w:rPr>
          <w:rFonts w:ascii="Traditional Arabic" w:hAnsi="Traditional Arabic"/>
          <w:sz w:val="32"/>
          <w:szCs w:val="32"/>
          <w:rtl/>
        </w:rPr>
        <w:t xml:space="preserve"> تاريخ الاسلام (2/1155).</w:t>
      </w:r>
    </w:p>
  </w:footnote>
  <w:footnote w:id="236">
    <w:p w:rsidR="003F128F" w:rsidRPr="00691E7F" w:rsidRDefault="003F128F" w:rsidP="00BB792F">
      <w:pPr>
        <w:pStyle w:val="af3"/>
        <w:rPr>
          <w:rFonts w:ascii="Traditional Arabic" w:hAnsi="Traditional Arabic"/>
          <w:sz w:val="32"/>
          <w:szCs w:val="32"/>
        </w:rPr>
      </w:pPr>
      <w:r w:rsidRPr="00691E7F">
        <w:rPr>
          <w:rFonts w:ascii="Traditional Arabic" w:hAnsi="Traditional Arabic"/>
          <w:sz w:val="32"/>
          <w:szCs w:val="32"/>
          <w:rtl/>
        </w:rPr>
        <w:t>(</w:t>
      </w:r>
      <w:r w:rsidRPr="00691E7F">
        <w:rPr>
          <w:rStyle w:val="ae"/>
          <w:rFonts w:ascii="Traditional Arabic" w:hAnsi="Traditional Arabic"/>
          <w:sz w:val="32"/>
          <w:szCs w:val="32"/>
          <w:vertAlign w:val="baseline"/>
        </w:rPr>
        <w:footnoteRef/>
      </w:r>
      <w:r w:rsidRPr="00691E7F">
        <w:rPr>
          <w:rFonts w:ascii="Traditional Arabic" w:hAnsi="Traditional Arabic"/>
          <w:sz w:val="32"/>
          <w:szCs w:val="32"/>
          <w:rtl/>
        </w:rPr>
        <w:t>)</w:t>
      </w:r>
      <w:r>
        <w:rPr>
          <w:rFonts w:ascii="Traditional Arabic" w:hAnsi="Traditional Arabic"/>
          <w:sz w:val="32"/>
          <w:szCs w:val="32"/>
          <w:rtl/>
        </w:rPr>
        <w:t xml:space="preserve"> </w:t>
      </w:r>
      <w:r w:rsidRPr="00691E7F">
        <w:rPr>
          <w:rFonts w:ascii="Traditional Arabic" w:hAnsi="Traditional Arabic"/>
          <w:sz w:val="32"/>
          <w:szCs w:val="32"/>
          <w:rtl/>
        </w:rPr>
        <w:t xml:space="preserve">هو </w:t>
      </w:r>
      <w:r>
        <w:rPr>
          <w:rFonts w:ascii="Traditional Arabic" w:hAnsi="Traditional Arabic"/>
          <w:sz w:val="32"/>
          <w:szCs w:val="32"/>
          <w:rtl/>
          <w:lang w:eastAsia="en-US"/>
        </w:rPr>
        <w:t>الإمام</w:t>
      </w:r>
      <w:r w:rsidRPr="00691E7F">
        <w:rPr>
          <w:rFonts w:ascii="Traditional Arabic" w:hAnsi="Traditional Arabic"/>
          <w:sz w:val="32"/>
          <w:szCs w:val="32"/>
          <w:rtl/>
          <w:lang w:eastAsia="en-US"/>
        </w:rPr>
        <w:t xml:space="preserve"> </w:t>
      </w:r>
      <w:r>
        <w:rPr>
          <w:rFonts w:ascii="Traditional Arabic" w:hAnsi="Traditional Arabic"/>
          <w:sz w:val="32"/>
          <w:szCs w:val="32"/>
          <w:rtl/>
          <w:lang w:eastAsia="en-US"/>
        </w:rPr>
        <w:t>أبو خالد</w:t>
      </w:r>
      <w:r w:rsidRPr="00691E7F">
        <w:rPr>
          <w:rFonts w:ascii="Traditional Arabic" w:hAnsi="Traditional Arabic"/>
          <w:sz w:val="32"/>
          <w:szCs w:val="32"/>
          <w:rtl/>
          <w:lang w:eastAsia="en-US"/>
        </w:rPr>
        <w:t xml:space="preserve"> عبد الملك بن عبد العزيز بن جريج القر</w:t>
      </w:r>
      <w:r>
        <w:rPr>
          <w:rFonts w:ascii="Traditional Arabic" w:hAnsi="Traditional Arabic"/>
          <w:sz w:val="32"/>
          <w:szCs w:val="32"/>
          <w:rtl/>
          <w:lang w:eastAsia="en-US"/>
        </w:rPr>
        <w:t>شي</w:t>
      </w:r>
      <w:r w:rsidRPr="00691E7F">
        <w:rPr>
          <w:rFonts w:ascii="Traditional Arabic" w:hAnsi="Traditional Arabic"/>
          <w:sz w:val="32"/>
          <w:szCs w:val="32"/>
          <w:rtl/>
          <w:lang w:eastAsia="en-US"/>
        </w:rPr>
        <w:t xml:space="preserve"> بالولاء</w:t>
      </w:r>
      <w:r>
        <w:rPr>
          <w:rFonts w:ascii="Traditional Arabic" w:hAnsi="Traditional Arabic" w:hint="cs"/>
          <w:sz w:val="32"/>
          <w:szCs w:val="32"/>
          <w:rtl/>
          <w:lang w:eastAsia="en-US"/>
        </w:rPr>
        <w:t>،</w:t>
      </w:r>
      <w:r w:rsidRPr="00691E7F">
        <w:rPr>
          <w:rFonts w:ascii="Traditional Arabic" w:hAnsi="Traditional Arabic"/>
          <w:sz w:val="32"/>
          <w:szCs w:val="32"/>
          <w:rtl/>
          <w:lang w:eastAsia="en-US"/>
        </w:rPr>
        <w:t xml:space="preserve"> المكي</w:t>
      </w:r>
      <w:r>
        <w:rPr>
          <w:rFonts w:ascii="Traditional Arabic" w:hAnsi="Traditional Arabic" w:hint="cs"/>
          <w:sz w:val="32"/>
          <w:szCs w:val="32"/>
          <w:rtl/>
          <w:lang w:eastAsia="en-US"/>
        </w:rPr>
        <w:t>،</w:t>
      </w:r>
      <w:r>
        <w:rPr>
          <w:rFonts w:ascii="Traditional Arabic" w:hAnsi="Traditional Arabic"/>
          <w:sz w:val="32"/>
          <w:szCs w:val="32"/>
          <w:rtl/>
          <w:lang w:eastAsia="en-US"/>
        </w:rPr>
        <w:t xml:space="preserve"> الأموي</w:t>
      </w:r>
      <w:r>
        <w:rPr>
          <w:rFonts w:ascii="Traditional Arabic" w:hAnsi="Traditional Arabic" w:hint="cs"/>
          <w:sz w:val="32"/>
          <w:szCs w:val="32"/>
          <w:rtl/>
          <w:lang w:eastAsia="en-US"/>
        </w:rPr>
        <w:t xml:space="preserve"> </w:t>
      </w:r>
      <w:r w:rsidRPr="00691E7F">
        <w:rPr>
          <w:rFonts w:ascii="Traditional Arabic" w:hAnsi="Traditional Arabic"/>
          <w:sz w:val="32"/>
          <w:szCs w:val="32"/>
          <w:rtl/>
          <w:lang w:eastAsia="en-US"/>
        </w:rPr>
        <w:t>العلامة، الحافظ، شيخ الحرم،</w:t>
      </w:r>
      <w:r>
        <w:rPr>
          <w:rFonts w:ascii="Traditional Arabic" w:hAnsi="Traditional Arabic"/>
          <w:sz w:val="32"/>
          <w:szCs w:val="32"/>
          <w:rtl/>
        </w:rPr>
        <w:t xml:space="preserve"> (ت149ه)</w:t>
      </w:r>
      <w:r>
        <w:rPr>
          <w:rFonts w:ascii="Traditional Arabic" w:hAnsi="Traditional Arabic" w:hint="cs"/>
          <w:sz w:val="32"/>
          <w:szCs w:val="32"/>
          <w:rtl/>
        </w:rPr>
        <w:t xml:space="preserve">. </w:t>
      </w:r>
      <w:r w:rsidRPr="00691E7F">
        <w:rPr>
          <w:rFonts w:ascii="Traditional Arabic" w:hAnsi="Traditional Arabic"/>
          <w:sz w:val="32"/>
          <w:szCs w:val="32"/>
          <w:rtl/>
        </w:rPr>
        <w:t>انظر</w:t>
      </w:r>
      <w:r>
        <w:rPr>
          <w:rFonts w:ascii="Traditional Arabic" w:hAnsi="Traditional Arabic" w:hint="cs"/>
          <w:sz w:val="32"/>
          <w:szCs w:val="32"/>
          <w:rtl/>
        </w:rPr>
        <w:t xml:space="preserve">: </w:t>
      </w:r>
      <w:r>
        <w:rPr>
          <w:rFonts w:ascii="Traditional Arabic" w:hAnsi="Traditional Arabic"/>
          <w:sz w:val="32"/>
          <w:szCs w:val="32"/>
          <w:rtl/>
        </w:rPr>
        <w:t>وفيات الأعيان</w:t>
      </w:r>
      <w:r>
        <w:rPr>
          <w:rFonts w:ascii="Traditional Arabic" w:hAnsi="Traditional Arabic" w:hint="cs"/>
          <w:sz w:val="32"/>
          <w:szCs w:val="32"/>
          <w:rtl/>
        </w:rPr>
        <w:t xml:space="preserve"> </w:t>
      </w:r>
      <w:r>
        <w:rPr>
          <w:rFonts w:ascii="Traditional Arabic" w:hAnsi="Traditional Arabic"/>
          <w:sz w:val="32"/>
          <w:szCs w:val="32"/>
          <w:rtl/>
        </w:rPr>
        <w:t>(3/163)</w:t>
      </w:r>
      <w:r>
        <w:rPr>
          <w:rFonts w:ascii="Traditional Arabic" w:hAnsi="Traditional Arabic" w:hint="cs"/>
          <w:sz w:val="32"/>
          <w:szCs w:val="32"/>
          <w:rtl/>
        </w:rPr>
        <w:t>،</w:t>
      </w:r>
      <w:r w:rsidRPr="00691E7F">
        <w:rPr>
          <w:rFonts w:ascii="Traditional Arabic" w:hAnsi="Traditional Arabic"/>
          <w:sz w:val="32"/>
          <w:szCs w:val="32"/>
          <w:rtl/>
        </w:rPr>
        <w:t xml:space="preserve"> </w:t>
      </w:r>
      <w:r w:rsidRPr="00691E7F">
        <w:rPr>
          <w:rFonts w:ascii="Traditional Arabic" w:hAnsi="Traditional Arabic"/>
          <w:color w:val="auto"/>
          <w:sz w:val="32"/>
          <w:szCs w:val="32"/>
          <w:rtl/>
        </w:rPr>
        <w:t>سير أعلام النبلاء</w:t>
      </w:r>
      <w:r w:rsidRPr="00691E7F">
        <w:rPr>
          <w:rFonts w:ascii="Traditional Arabic" w:hAnsi="Traditional Arabic"/>
          <w:sz w:val="32"/>
          <w:szCs w:val="32"/>
          <w:rtl/>
        </w:rPr>
        <w:t xml:space="preserve"> (6/325).</w:t>
      </w:r>
    </w:p>
  </w:footnote>
  <w:footnote w:id="237">
    <w:p w:rsidR="003F128F" w:rsidRPr="00691E7F" w:rsidRDefault="003F128F" w:rsidP="00AB6719">
      <w:pPr>
        <w:widowControl/>
        <w:autoSpaceDE w:val="0"/>
        <w:autoSpaceDN w:val="0"/>
        <w:adjustRightInd w:val="0"/>
        <w:ind w:firstLine="0"/>
        <w:rPr>
          <w:rFonts w:ascii="Traditional Arabic" w:hAnsi="Traditional Arabic"/>
          <w:color w:val="000000" w:themeColor="text1"/>
          <w:sz w:val="32"/>
          <w:szCs w:val="32"/>
          <w:lang w:eastAsia="en-US"/>
        </w:rPr>
      </w:pPr>
      <w:r w:rsidRPr="00691E7F">
        <w:rPr>
          <w:rFonts w:ascii="Traditional Arabic" w:hAnsi="Traditional Arabic"/>
          <w:sz w:val="32"/>
          <w:szCs w:val="32"/>
          <w:rtl/>
        </w:rPr>
        <w:t>(</w:t>
      </w:r>
      <w:r w:rsidRPr="00691E7F">
        <w:rPr>
          <w:rStyle w:val="ae"/>
          <w:rFonts w:ascii="Traditional Arabic" w:hAnsi="Traditional Arabic"/>
          <w:sz w:val="32"/>
          <w:szCs w:val="32"/>
          <w:vertAlign w:val="baseline"/>
        </w:rPr>
        <w:footnoteRef/>
      </w:r>
      <w:r w:rsidRPr="00691E7F">
        <w:rPr>
          <w:rFonts w:ascii="Traditional Arabic" w:hAnsi="Traditional Arabic"/>
          <w:sz w:val="32"/>
          <w:szCs w:val="32"/>
          <w:rtl/>
        </w:rPr>
        <w:t>)</w:t>
      </w:r>
      <w:r>
        <w:rPr>
          <w:rFonts w:ascii="Traditional Arabic" w:hAnsi="Traditional Arabic"/>
          <w:sz w:val="32"/>
          <w:szCs w:val="32"/>
          <w:rtl/>
        </w:rPr>
        <w:t xml:space="preserve"> </w:t>
      </w:r>
      <w:r w:rsidRPr="00691E7F">
        <w:rPr>
          <w:rFonts w:ascii="Traditional Arabic" w:hAnsi="Traditional Arabic"/>
          <w:color w:val="auto"/>
          <w:sz w:val="32"/>
          <w:szCs w:val="32"/>
          <w:rtl/>
          <w:lang w:eastAsia="en-US"/>
        </w:rPr>
        <w:t xml:space="preserve">هو </w:t>
      </w:r>
      <w:r>
        <w:rPr>
          <w:rFonts w:ascii="Traditional Arabic" w:hAnsi="Traditional Arabic"/>
          <w:color w:val="auto"/>
          <w:sz w:val="32"/>
          <w:szCs w:val="32"/>
          <w:rtl/>
          <w:lang w:eastAsia="en-US"/>
        </w:rPr>
        <w:t>الإمام</w:t>
      </w:r>
      <w:r w:rsidRPr="00691E7F">
        <w:rPr>
          <w:rFonts w:ascii="Traditional Arabic" w:hAnsi="Traditional Arabic"/>
          <w:color w:val="auto"/>
          <w:sz w:val="32"/>
          <w:szCs w:val="32"/>
          <w:rtl/>
          <w:lang w:eastAsia="en-US"/>
        </w:rPr>
        <w:t xml:space="preserve"> عب</w:t>
      </w:r>
      <w:r>
        <w:rPr>
          <w:rFonts w:ascii="Traditional Arabic" w:hAnsi="Traditional Arabic"/>
          <w:color w:val="auto"/>
          <w:sz w:val="32"/>
          <w:szCs w:val="32"/>
          <w:rtl/>
          <w:lang w:eastAsia="en-US"/>
        </w:rPr>
        <w:t>د الرحمن بن زيد بن أسلم العمري</w:t>
      </w:r>
      <w:r w:rsidRPr="00691E7F">
        <w:rPr>
          <w:rFonts w:ascii="Traditional Arabic" w:hAnsi="Traditional Arabic"/>
          <w:color w:val="auto"/>
          <w:sz w:val="32"/>
          <w:szCs w:val="32"/>
          <w:rtl/>
          <w:lang w:eastAsia="en-US"/>
        </w:rPr>
        <w:t xml:space="preserve"> مولاهم</w:t>
      </w:r>
      <w:r>
        <w:rPr>
          <w:rFonts w:ascii="Traditional Arabic" w:hAnsi="Traditional Arabic" w:hint="cs"/>
          <w:color w:val="auto"/>
          <w:sz w:val="32"/>
          <w:szCs w:val="32"/>
          <w:rtl/>
          <w:lang w:eastAsia="en-US"/>
        </w:rPr>
        <w:t>،</w:t>
      </w:r>
      <w:r w:rsidRPr="00691E7F">
        <w:rPr>
          <w:rFonts w:ascii="Traditional Arabic" w:hAnsi="Traditional Arabic"/>
          <w:color w:val="auto"/>
          <w:sz w:val="32"/>
          <w:szCs w:val="32"/>
          <w:rtl/>
          <w:lang w:eastAsia="en-US"/>
        </w:rPr>
        <w:t xml:space="preserve"> المدني</w:t>
      </w:r>
      <w:r>
        <w:rPr>
          <w:rFonts w:ascii="Traditional Arabic" w:hAnsi="Traditional Arabic" w:hint="cs"/>
          <w:color w:val="auto"/>
          <w:sz w:val="32"/>
          <w:szCs w:val="32"/>
          <w:rtl/>
          <w:lang w:eastAsia="en-US"/>
        </w:rPr>
        <w:t>،</w:t>
      </w:r>
      <w:r w:rsidRPr="00691E7F">
        <w:rPr>
          <w:rFonts w:ascii="Traditional Arabic" w:hAnsi="Traditional Arabic"/>
          <w:color w:val="auto"/>
          <w:sz w:val="32"/>
          <w:szCs w:val="32"/>
          <w:rtl/>
          <w:lang w:eastAsia="en-US"/>
        </w:rPr>
        <w:t xml:space="preserve"> أخو عبد الله وأسامة</w:t>
      </w:r>
      <w:r>
        <w:rPr>
          <w:rFonts w:ascii="Traditional Arabic" w:hAnsi="Traditional Arabic" w:hint="cs"/>
          <w:color w:val="auto"/>
          <w:sz w:val="32"/>
          <w:szCs w:val="32"/>
          <w:rtl/>
          <w:lang w:eastAsia="en-US"/>
        </w:rPr>
        <w:t>،</w:t>
      </w:r>
      <w:r w:rsidRPr="00691E7F">
        <w:rPr>
          <w:rFonts w:ascii="Traditional Arabic" w:hAnsi="Traditional Arabic"/>
          <w:color w:val="000000" w:themeColor="text1"/>
          <w:sz w:val="32"/>
          <w:szCs w:val="32"/>
          <w:rtl/>
          <w:lang w:eastAsia="en-US"/>
        </w:rPr>
        <w:t xml:space="preserve"> و</w:t>
      </w:r>
      <w:r>
        <w:rPr>
          <w:rFonts w:ascii="Traditional Arabic" w:hAnsi="Traditional Arabic"/>
          <w:color w:val="000000" w:themeColor="text1"/>
          <w:sz w:val="32"/>
          <w:szCs w:val="32"/>
          <w:rtl/>
          <w:lang w:eastAsia="en-US"/>
        </w:rPr>
        <w:t>كان عبد الرحمن صاحب قرآن وتفسير</w:t>
      </w:r>
      <w:r w:rsidRPr="00691E7F">
        <w:rPr>
          <w:rFonts w:ascii="Traditional Arabic" w:hAnsi="Traditional Arabic"/>
          <w:color w:val="000000" w:themeColor="text1"/>
          <w:sz w:val="32"/>
          <w:szCs w:val="32"/>
          <w:rtl/>
          <w:lang w:eastAsia="en-US"/>
        </w:rPr>
        <w:t>، جمع تفسيرا</w:t>
      </w:r>
      <w:r>
        <w:rPr>
          <w:rFonts w:ascii="Traditional Arabic" w:hAnsi="Traditional Arabic" w:hint="cs"/>
          <w:color w:val="000000" w:themeColor="text1"/>
          <w:sz w:val="32"/>
          <w:szCs w:val="32"/>
          <w:rtl/>
          <w:lang w:eastAsia="en-US"/>
        </w:rPr>
        <w:t>ً</w:t>
      </w:r>
      <w:r w:rsidRPr="00691E7F">
        <w:rPr>
          <w:rFonts w:ascii="Traditional Arabic" w:hAnsi="Traditional Arabic"/>
          <w:color w:val="000000" w:themeColor="text1"/>
          <w:sz w:val="32"/>
          <w:szCs w:val="32"/>
          <w:rtl/>
          <w:lang w:eastAsia="en-US"/>
        </w:rPr>
        <w:t xml:space="preserve"> في م</w:t>
      </w:r>
      <w:r>
        <w:rPr>
          <w:rFonts w:ascii="Traditional Arabic" w:hAnsi="Traditional Arabic"/>
          <w:color w:val="000000" w:themeColor="text1"/>
          <w:sz w:val="32"/>
          <w:szCs w:val="32"/>
          <w:rtl/>
          <w:lang w:eastAsia="en-US"/>
        </w:rPr>
        <w:t>جلد، وكتابا في الناسخ والمَنسوخ</w:t>
      </w:r>
      <w:r>
        <w:rPr>
          <w:rFonts w:ascii="Traditional Arabic" w:hAnsi="Traditional Arabic" w:hint="cs"/>
          <w:color w:val="000000" w:themeColor="text1"/>
          <w:sz w:val="32"/>
          <w:szCs w:val="32"/>
          <w:rtl/>
          <w:lang w:eastAsia="en-US"/>
        </w:rPr>
        <w:t>،</w:t>
      </w:r>
      <w:r w:rsidRPr="00691E7F">
        <w:rPr>
          <w:rFonts w:ascii="Traditional Arabic" w:hAnsi="Traditional Arabic"/>
          <w:color w:val="000000" w:themeColor="text1"/>
          <w:sz w:val="32"/>
          <w:szCs w:val="32"/>
          <w:rtl/>
          <w:lang w:eastAsia="en-US"/>
        </w:rPr>
        <w:t xml:space="preserve"> (ت182ه)</w:t>
      </w:r>
      <w:r>
        <w:rPr>
          <w:rFonts w:ascii="Traditional Arabic" w:hAnsi="Traditional Arabic" w:hint="cs"/>
          <w:color w:val="000000" w:themeColor="text1"/>
          <w:sz w:val="32"/>
          <w:szCs w:val="32"/>
          <w:rtl/>
          <w:lang w:eastAsia="en-US"/>
        </w:rPr>
        <w:t>.</w:t>
      </w:r>
      <w:r w:rsidRPr="00691E7F">
        <w:rPr>
          <w:rFonts w:ascii="Traditional Arabic" w:hAnsi="Traditional Arabic"/>
          <w:color w:val="000000" w:themeColor="text1"/>
          <w:sz w:val="32"/>
          <w:szCs w:val="32"/>
          <w:rtl/>
          <w:lang w:eastAsia="en-US"/>
        </w:rPr>
        <w:t xml:space="preserve"> انظر</w:t>
      </w:r>
      <w:r>
        <w:rPr>
          <w:rFonts w:ascii="Traditional Arabic" w:hAnsi="Traditional Arabic" w:hint="cs"/>
          <w:color w:val="auto"/>
          <w:sz w:val="32"/>
          <w:szCs w:val="32"/>
          <w:rtl/>
        </w:rPr>
        <w:t xml:space="preserve">: </w:t>
      </w:r>
      <w:r w:rsidRPr="00691E7F">
        <w:rPr>
          <w:rFonts w:ascii="Traditional Arabic" w:hAnsi="Traditional Arabic"/>
          <w:color w:val="auto"/>
          <w:sz w:val="32"/>
          <w:szCs w:val="32"/>
          <w:rtl/>
        </w:rPr>
        <w:t>سير أعلام النبلاء</w:t>
      </w:r>
      <w:r w:rsidRPr="00691E7F">
        <w:rPr>
          <w:rFonts w:ascii="Traditional Arabic" w:hAnsi="Traditional Arabic"/>
          <w:sz w:val="32"/>
          <w:szCs w:val="32"/>
          <w:rtl/>
        </w:rPr>
        <w:t xml:space="preserve"> (8/349)</w:t>
      </w:r>
      <w:r>
        <w:rPr>
          <w:rFonts w:ascii="Traditional Arabic" w:hAnsi="Traditional Arabic" w:hint="cs"/>
          <w:color w:val="000000" w:themeColor="text1"/>
          <w:sz w:val="32"/>
          <w:szCs w:val="32"/>
          <w:rtl/>
          <w:lang w:eastAsia="en-US"/>
        </w:rPr>
        <w:t>،</w:t>
      </w:r>
      <w:r w:rsidRPr="00691E7F">
        <w:rPr>
          <w:rFonts w:ascii="Traditional Arabic" w:hAnsi="Traditional Arabic"/>
          <w:color w:val="000000" w:themeColor="text1"/>
          <w:sz w:val="32"/>
          <w:szCs w:val="32"/>
          <w:rtl/>
          <w:lang w:eastAsia="en-US"/>
        </w:rPr>
        <w:t xml:space="preserve"> تهذيب الكمال (17/114)</w:t>
      </w:r>
      <w:r w:rsidRPr="00691E7F">
        <w:rPr>
          <w:rFonts w:ascii="Traditional Arabic" w:hAnsi="Traditional Arabic"/>
          <w:color w:val="auto"/>
          <w:sz w:val="32"/>
          <w:szCs w:val="32"/>
          <w:rtl/>
          <w:lang w:eastAsia="en-US"/>
        </w:rPr>
        <w:t>.</w:t>
      </w:r>
    </w:p>
  </w:footnote>
  <w:footnote w:id="238">
    <w:p w:rsidR="003F128F" w:rsidRPr="00691E7F" w:rsidRDefault="003F128F" w:rsidP="00B65413">
      <w:pPr>
        <w:widowControl/>
        <w:autoSpaceDE w:val="0"/>
        <w:autoSpaceDN w:val="0"/>
        <w:adjustRightInd w:val="0"/>
        <w:ind w:firstLine="0"/>
        <w:rPr>
          <w:rFonts w:ascii="Traditional Arabic" w:hAnsi="Traditional Arabic"/>
          <w:sz w:val="32"/>
          <w:szCs w:val="32"/>
        </w:rPr>
      </w:pPr>
      <w:r w:rsidRPr="00691E7F">
        <w:rPr>
          <w:rFonts w:ascii="Traditional Arabic" w:hAnsi="Traditional Arabic"/>
          <w:sz w:val="32"/>
          <w:szCs w:val="32"/>
          <w:rtl/>
        </w:rPr>
        <w:t>(</w:t>
      </w:r>
      <w:r w:rsidRPr="00691E7F">
        <w:rPr>
          <w:rStyle w:val="ae"/>
          <w:rFonts w:ascii="Traditional Arabic" w:hAnsi="Traditional Arabic"/>
          <w:sz w:val="32"/>
          <w:szCs w:val="32"/>
          <w:vertAlign w:val="baseline"/>
        </w:rPr>
        <w:footnoteRef/>
      </w:r>
      <w:r w:rsidRPr="00691E7F">
        <w:rPr>
          <w:rFonts w:ascii="Traditional Arabic" w:hAnsi="Traditional Arabic"/>
          <w:sz w:val="32"/>
          <w:szCs w:val="32"/>
          <w:rtl/>
        </w:rPr>
        <w:t>)</w:t>
      </w:r>
      <w:r>
        <w:rPr>
          <w:rFonts w:ascii="Traditional Arabic" w:hAnsi="Traditional Arabic"/>
          <w:sz w:val="32"/>
          <w:szCs w:val="32"/>
          <w:rtl/>
        </w:rPr>
        <w:t xml:space="preserve"> </w:t>
      </w:r>
      <w:r w:rsidRPr="00691E7F">
        <w:rPr>
          <w:rFonts w:ascii="Traditional Arabic" w:hAnsi="Traditional Arabic"/>
          <w:sz w:val="32"/>
          <w:szCs w:val="32"/>
          <w:rtl/>
        </w:rPr>
        <w:t>لم أقف عليه فيما لدي من مصادر</w:t>
      </w:r>
      <w:r>
        <w:rPr>
          <w:rFonts w:ascii="Tahoma" w:hAnsi="Tahoma" w:hint="cs"/>
          <w:sz w:val="32"/>
          <w:szCs w:val="32"/>
          <w:rtl/>
        </w:rPr>
        <w:t xml:space="preserve">، </w:t>
      </w:r>
      <w:r w:rsidRPr="002338B4">
        <w:rPr>
          <w:rFonts w:ascii="Traditional Arabic" w:hAnsi="Traditional Arabic" w:hint="cs"/>
          <w:sz w:val="32"/>
          <w:szCs w:val="32"/>
          <w:rtl/>
        </w:rPr>
        <w:t xml:space="preserve">وقد أورده </w:t>
      </w:r>
      <w:r>
        <w:rPr>
          <w:rFonts w:ascii="Traditional Arabic" w:hAnsi="Traditional Arabic" w:hint="cs"/>
          <w:sz w:val="32"/>
          <w:szCs w:val="32"/>
          <w:rtl/>
        </w:rPr>
        <w:t>الرسعني في رموز الكنوز (4/193)، وابن عاشور في التحرير والتنوير (15/146)</w:t>
      </w:r>
      <w:r w:rsidRPr="00691E7F">
        <w:rPr>
          <w:rFonts w:ascii="Traditional Arabic" w:hAnsi="Traditional Arabic"/>
          <w:sz w:val="32"/>
          <w:szCs w:val="32"/>
          <w:rtl/>
        </w:rPr>
        <w:t>.</w:t>
      </w:r>
    </w:p>
  </w:footnote>
  <w:footnote w:id="239">
    <w:p w:rsidR="003F128F" w:rsidRPr="00AC7A04" w:rsidRDefault="003F128F" w:rsidP="00597914">
      <w:pPr>
        <w:pStyle w:val="af3"/>
        <w:jc w:val="left"/>
        <w:rPr>
          <w:rFonts w:ascii="Traditional Arabic" w:hAnsi="Traditional Arabic"/>
          <w:sz w:val="32"/>
          <w:szCs w:val="32"/>
        </w:rPr>
      </w:pPr>
      <w:r w:rsidRPr="006701FB">
        <w:rPr>
          <w:rFonts w:ascii="Traditional Arabic" w:hAnsi="Traditional Arabic"/>
          <w:sz w:val="32"/>
          <w:szCs w:val="32"/>
          <w:rtl/>
        </w:rPr>
        <w:t>(</w:t>
      </w:r>
      <w:r w:rsidRPr="00AC7A04">
        <w:rPr>
          <w:rStyle w:val="ae"/>
          <w:rFonts w:ascii="Traditional Arabic" w:hAnsi="Traditional Arabic"/>
          <w:sz w:val="32"/>
          <w:szCs w:val="32"/>
          <w:vertAlign w:val="baseline"/>
        </w:rPr>
        <w:footnoteRef/>
      </w:r>
      <w:r w:rsidRPr="00AC7A04">
        <w:rPr>
          <w:rFonts w:ascii="Traditional Arabic" w:hAnsi="Traditional Arabic"/>
          <w:sz w:val="32"/>
          <w:szCs w:val="32"/>
          <w:rtl/>
        </w:rPr>
        <w:t>)</w:t>
      </w:r>
      <w:r>
        <w:rPr>
          <w:rFonts w:ascii="Traditional Arabic" w:hAnsi="Traditional Arabic" w:hint="cs"/>
          <w:sz w:val="32"/>
          <w:szCs w:val="32"/>
          <w:rtl/>
        </w:rPr>
        <w:t xml:space="preserve"> </w:t>
      </w:r>
      <w:r>
        <w:rPr>
          <w:rFonts w:ascii="Traditional Arabic" w:hAnsi="Traditional Arabic"/>
          <w:sz w:val="32"/>
          <w:szCs w:val="32"/>
          <w:rtl/>
        </w:rPr>
        <w:t>تفسير الطبري (17/483)</w:t>
      </w:r>
      <w:r>
        <w:rPr>
          <w:rFonts w:ascii="Traditional Arabic" w:hAnsi="Traditional Arabic" w:hint="cs"/>
          <w:sz w:val="32"/>
          <w:szCs w:val="32"/>
          <w:rtl/>
        </w:rPr>
        <w:t>،</w:t>
      </w:r>
      <w:r w:rsidRPr="00AC7A04">
        <w:rPr>
          <w:rFonts w:ascii="Traditional Arabic" w:hAnsi="Traditional Arabic"/>
          <w:sz w:val="32"/>
          <w:szCs w:val="32"/>
          <w:rtl/>
        </w:rPr>
        <w:t xml:space="preserve"> النكت والعيون (3/253).</w:t>
      </w:r>
    </w:p>
  </w:footnote>
  <w:footnote w:id="240">
    <w:p w:rsidR="003F128F" w:rsidRPr="00AC7A04" w:rsidRDefault="003F128F" w:rsidP="00AB6719">
      <w:pPr>
        <w:pStyle w:val="af3"/>
        <w:jc w:val="left"/>
        <w:rPr>
          <w:rFonts w:ascii="Traditional Arabic" w:hAnsi="Traditional Arabic"/>
          <w:sz w:val="32"/>
          <w:szCs w:val="32"/>
        </w:rPr>
      </w:pPr>
      <w:r w:rsidRPr="00AC7A04">
        <w:rPr>
          <w:rFonts w:ascii="Traditional Arabic" w:hAnsi="Traditional Arabic"/>
          <w:sz w:val="32"/>
          <w:szCs w:val="32"/>
          <w:rtl/>
        </w:rPr>
        <w:t>(</w:t>
      </w:r>
      <w:r w:rsidRPr="00AC7A04">
        <w:rPr>
          <w:rStyle w:val="ae"/>
          <w:rFonts w:ascii="Traditional Arabic" w:hAnsi="Traditional Arabic"/>
          <w:sz w:val="32"/>
          <w:szCs w:val="32"/>
          <w:vertAlign w:val="baseline"/>
        </w:rPr>
        <w:footnoteRef/>
      </w:r>
      <w:r w:rsidRPr="00AC7A04">
        <w:rPr>
          <w:rFonts w:ascii="Traditional Arabic" w:hAnsi="Traditional Arabic"/>
          <w:sz w:val="32"/>
          <w:szCs w:val="32"/>
          <w:rtl/>
        </w:rPr>
        <w:t xml:space="preserve">) </w:t>
      </w:r>
      <w:r w:rsidRPr="00AC7A04">
        <w:rPr>
          <w:rFonts w:ascii="Traditional Arabic" w:hAnsi="Traditional Arabic"/>
          <w:sz w:val="32"/>
          <w:szCs w:val="32"/>
          <w:rtl/>
          <w:lang w:eastAsia="en-US"/>
        </w:rPr>
        <w:t xml:space="preserve">هو التابعي </w:t>
      </w:r>
      <w:r>
        <w:rPr>
          <w:rFonts w:ascii="Traditional Arabic" w:hAnsi="Traditional Arabic" w:hint="cs"/>
          <w:sz w:val="32"/>
          <w:szCs w:val="32"/>
          <w:rtl/>
          <w:lang w:eastAsia="en-US"/>
        </w:rPr>
        <w:t xml:space="preserve">الإمام </w:t>
      </w:r>
      <w:r w:rsidRPr="00AC7A04">
        <w:rPr>
          <w:rFonts w:ascii="Traditional Arabic" w:hAnsi="Traditional Arabic"/>
          <w:sz w:val="32"/>
          <w:szCs w:val="32"/>
          <w:rtl/>
          <w:lang w:eastAsia="en-US"/>
        </w:rPr>
        <w:t>أبو الحسن عطية بن سعد بن جنادة العوفي</w:t>
      </w:r>
      <w:r>
        <w:rPr>
          <w:rFonts w:ascii="Traditional Arabic" w:hAnsi="Traditional Arabic" w:hint="cs"/>
          <w:sz w:val="32"/>
          <w:szCs w:val="32"/>
          <w:rtl/>
          <w:lang w:eastAsia="en-US"/>
        </w:rPr>
        <w:t xml:space="preserve">، </w:t>
      </w:r>
      <w:r w:rsidRPr="00AC7A04">
        <w:rPr>
          <w:rFonts w:ascii="Traditional Arabic" w:hAnsi="Traditional Arabic"/>
          <w:sz w:val="32"/>
          <w:szCs w:val="32"/>
          <w:rtl/>
          <w:lang w:eastAsia="en-US"/>
        </w:rPr>
        <w:t xml:space="preserve">كوفي </w:t>
      </w:r>
      <w:r w:rsidRPr="00AC7A04">
        <w:rPr>
          <w:rFonts w:ascii="Traditional Arabic" w:hAnsi="Traditional Arabic"/>
          <w:sz w:val="32"/>
          <w:szCs w:val="32"/>
          <w:rtl/>
        </w:rPr>
        <w:t>من مشاهير التابعين</w:t>
      </w:r>
      <w:r>
        <w:rPr>
          <w:rFonts w:ascii="Traditional Arabic" w:hAnsi="Traditional Arabic" w:hint="cs"/>
          <w:sz w:val="32"/>
          <w:szCs w:val="32"/>
          <w:rtl/>
        </w:rPr>
        <w:t>، فيه مقال في روايته مع تدليس, رحمه الله (</w:t>
      </w:r>
      <w:r w:rsidRPr="00AC7A04">
        <w:rPr>
          <w:rFonts w:ascii="Traditional Arabic" w:hAnsi="Traditional Arabic"/>
          <w:sz w:val="32"/>
          <w:szCs w:val="32"/>
          <w:rtl/>
        </w:rPr>
        <w:t>ت111ه)</w:t>
      </w:r>
      <w:r>
        <w:rPr>
          <w:rFonts w:ascii="Traditional Arabic" w:hAnsi="Traditional Arabic" w:hint="cs"/>
          <w:sz w:val="32"/>
          <w:szCs w:val="32"/>
          <w:rtl/>
        </w:rPr>
        <w:t>.</w:t>
      </w:r>
      <w:r>
        <w:rPr>
          <w:rFonts w:ascii="Traditional Arabic" w:hAnsi="Traditional Arabic"/>
          <w:sz w:val="32"/>
          <w:szCs w:val="32"/>
          <w:rtl/>
        </w:rPr>
        <w:t xml:space="preserve"> انظر</w:t>
      </w:r>
      <w:r w:rsidRPr="00AC7A04">
        <w:rPr>
          <w:rFonts w:ascii="Traditional Arabic" w:hAnsi="Traditional Arabic" w:hint="cs"/>
          <w:sz w:val="32"/>
          <w:szCs w:val="32"/>
          <w:rtl/>
        </w:rPr>
        <w:t xml:space="preserve">: </w:t>
      </w:r>
      <w:r w:rsidRPr="00AC7A04">
        <w:rPr>
          <w:rFonts w:ascii="Traditional Arabic" w:hAnsi="Traditional Arabic"/>
          <w:color w:val="auto"/>
          <w:sz w:val="32"/>
          <w:szCs w:val="32"/>
          <w:rtl/>
        </w:rPr>
        <w:t>سير أعلام النبلاء</w:t>
      </w:r>
      <w:r>
        <w:rPr>
          <w:rFonts w:ascii="Traditional Arabic" w:hAnsi="Traditional Arabic"/>
          <w:sz w:val="32"/>
          <w:szCs w:val="32"/>
          <w:rtl/>
        </w:rPr>
        <w:t xml:space="preserve"> (5/325)</w:t>
      </w:r>
      <w:r>
        <w:rPr>
          <w:rFonts w:ascii="Traditional Arabic" w:hAnsi="Traditional Arabic" w:hint="cs"/>
          <w:sz w:val="32"/>
          <w:szCs w:val="32"/>
          <w:rtl/>
        </w:rPr>
        <w:t>،</w:t>
      </w:r>
      <w:r w:rsidRPr="00AC7A04">
        <w:rPr>
          <w:rFonts w:ascii="Traditional Arabic" w:hAnsi="Traditional Arabic"/>
          <w:sz w:val="32"/>
          <w:szCs w:val="32"/>
          <w:rtl/>
        </w:rPr>
        <w:t xml:space="preserve"> الوافي بالوفيات (20/55).</w:t>
      </w:r>
      <w:r w:rsidRPr="00AC7A04">
        <w:rPr>
          <w:rFonts w:ascii="Traditional Arabic" w:hAnsi="Traditional Arabic"/>
          <w:sz w:val="32"/>
          <w:szCs w:val="32"/>
        </w:rPr>
        <w:t xml:space="preserve"> </w:t>
      </w:r>
    </w:p>
  </w:footnote>
  <w:footnote w:id="241">
    <w:p w:rsidR="003F128F" w:rsidRPr="001A43EF" w:rsidRDefault="003F128F" w:rsidP="00CF6758">
      <w:pPr>
        <w:pStyle w:val="af3"/>
        <w:rPr>
          <w:rFonts w:ascii="Tahoma" w:hAnsi="Tahoma"/>
        </w:rPr>
      </w:pPr>
      <w:r w:rsidRPr="00AC7A04">
        <w:rPr>
          <w:rFonts w:ascii="Tahoma" w:hAnsi="Tahoma"/>
          <w:sz w:val="32"/>
          <w:szCs w:val="32"/>
          <w:rtl/>
        </w:rPr>
        <w:t>(</w:t>
      </w:r>
      <w:r w:rsidRPr="00AC7A04">
        <w:rPr>
          <w:rStyle w:val="ae"/>
          <w:rFonts w:ascii="Tahoma" w:hAnsi="Tahoma"/>
          <w:sz w:val="32"/>
          <w:szCs w:val="32"/>
          <w:vertAlign w:val="baseline"/>
        </w:rPr>
        <w:footnoteRef/>
      </w:r>
      <w:r w:rsidRPr="00AC7A04">
        <w:rPr>
          <w:rFonts w:ascii="Tahoma" w:hAnsi="Tahoma"/>
          <w:sz w:val="32"/>
          <w:szCs w:val="32"/>
          <w:rtl/>
        </w:rPr>
        <w:t>)</w:t>
      </w:r>
      <w:r>
        <w:rPr>
          <w:rFonts w:ascii="Tahoma" w:hAnsi="Tahoma" w:hint="cs"/>
          <w:sz w:val="32"/>
          <w:szCs w:val="32"/>
          <w:rtl/>
        </w:rPr>
        <w:t xml:space="preserve"> </w:t>
      </w:r>
      <w:r>
        <w:rPr>
          <w:rFonts w:ascii="Traditional Arabic" w:hAnsi="Traditional Arabic" w:hint="cs"/>
          <w:color w:val="auto"/>
          <w:sz w:val="32"/>
          <w:szCs w:val="32"/>
          <w:rtl/>
        </w:rPr>
        <w:t xml:space="preserve">تفسير </w:t>
      </w:r>
      <w:r>
        <w:rPr>
          <w:rFonts w:ascii="Traditional Arabic" w:hAnsi="Traditional Arabic"/>
          <w:color w:val="auto"/>
          <w:sz w:val="32"/>
          <w:szCs w:val="32"/>
          <w:rtl/>
        </w:rPr>
        <w:t>الطبري (17/483)</w:t>
      </w:r>
      <w:r>
        <w:rPr>
          <w:rFonts w:ascii="Traditional Arabic" w:hAnsi="Traditional Arabic" w:hint="cs"/>
          <w:color w:val="auto"/>
          <w:sz w:val="32"/>
          <w:szCs w:val="32"/>
          <w:rtl/>
        </w:rPr>
        <w:t>،</w:t>
      </w:r>
      <w:r w:rsidRPr="00AC7A04">
        <w:rPr>
          <w:rFonts w:ascii="Traditional Arabic" w:hAnsi="Traditional Arabic" w:hint="cs"/>
          <w:color w:val="auto"/>
          <w:sz w:val="32"/>
          <w:szCs w:val="32"/>
          <w:rtl/>
        </w:rPr>
        <w:t xml:space="preserve"> وعزاه السيوطي في الدر المنثور (</w:t>
      </w:r>
      <w:r>
        <w:rPr>
          <w:rFonts w:ascii="Traditional Arabic" w:hAnsi="Traditional Arabic" w:hint="cs"/>
          <w:color w:val="auto"/>
          <w:sz w:val="32"/>
          <w:szCs w:val="32"/>
          <w:rtl/>
        </w:rPr>
        <w:t xml:space="preserve">5/310) </w:t>
      </w:r>
      <w:r w:rsidRPr="00AC7A04">
        <w:rPr>
          <w:rFonts w:ascii="Traditional Arabic" w:hAnsi="Traditional Arabic" w:hint="cs"/>
          <w:color w:val="auto"/>
          <w:sz w:val="32"/>
          <w:szCs w:val="32"/>
          <w:rtl/>
        </w:rPr>
        <w:t>لابن مردويه</w:t>
      </w:r>
      <w:r>
        <w:rPr>
          <w:rFonts w:ascii="Traditional Arabic" w:hAnsi="Traditional Arabic" w:hint="cs"/>
          <w:color w:val="auto"/>
          <w:sz w:val="32"/>
          <w:szCs w:val="32"/>
          <w:rtl/>
        </w:rPr>
        <w:t>.</w:t>
      </w:r>
      <w:r w:rsidRPr="00AC7A04">
        <w:rPr>
          <w:rFonts w:ascii="Traditional Arabic" w:hAnsi="Traditional Arabic" w:hint="cs"/>
          <w:color w:val="auto"/>
          <w:sz w:val="32"/>
          <w:szCs w:val="32"/>
          <w:rtl/>
        </w:rPr>
        <w:t xml:space="preserve"> </w:t>
      </w:r>
    </w:p>
  </w:footnote>
  <w:footnote w:id="242">
    <w:p w:rsidR="003F128F" w:rsidRPr="006701FB" w:rsidRDefault="003F128F" w:rsidP="009E6D16">
      <w:pPr>
        <w:pStyle w:val="af3"/>
        <w:jc w:val="left"/>
        <w:rPr>
          <w:rFonts w:ascii="Traditional Arabic" w:hAnsi="Traditional Arabic"/>
          <w:sz w:val="32"/>
          <w:szCs w:val="32"/>
        </w:rPr>
      </w:pPr>
      <w:r w:rsidRPr="006701FB">
        <w:rPr>
          <w:rFonts w:ascii="Traditional Arabic" w:hAnsi="Traditional Arabic"/>
          <w:sz w:val="32"/>
          <w:szCs w:val="32"/>
          <w:rtl/>
        </w:rPr>
        <w:t>(</w:t>
      </w:r>
      <w:r w:rsidRPr="006701FB">
        <w:rPr>
          <w:rStyle w:val="ae"/>
          <w:rFonts w:ascii="Traditional Arabic" w:hAnsi="Traditional Arabic"/>
          <w:sz w:val="32"/>
          <w:szCs w:val="32"/>
          <w:vertAlign w:val="baseline"/>
        </w:rPr>
        <w:footnoteRef/>
      </w:r>
      <w:r w:rsidRPr="006701FB">
        <w:rPr>
          <w:rFonts w:ascii="Traditional Arabic" w:hAnsi="Traditional Arabic"/>
          <w:sz w:val="32"/>
          <w:szCs w:val="32"/>
          <w:rtl/>
        </w:rPr>
        <w:t xml:space="preserve">) هو </w:t>
      </w:r>
      <w:r>
        <w:rPr>
          <w:rFonts w:ascii="Traditional Arabic" w:hAnsi="Traditional Arabic"/>
          <w:sz w:val="32"/>
          <w:szCs w:val="32"/>
          <w:rtl/>
          <w:lang w:eastAsia="en-US"/>
        </w:rPr>
        <w:t>الإمام</w:t>
      </w:r>
      <w:r w:rsidRPr="006701FB">
        <w:rPr>
          <w:rFonts w:ascii="Traditional Arabic" w:hAnsi="Traditional Arabic"/>
          <w:sz w:val="32"/>
          <w:szCs w:val="32"/>
          <w:rtl/>
        </w:rPr>
        <w:t xml:space="preserve"> أبو سليمان مح</w:t>
      </w:r>
      <w:r>
        <w:rPr>
          <w:rFonts w:ascii="Traditional Arabic" w:hAnsi="Traditional Arabic"/>
          <w:sz w:val="32"/>
          <w:szCs w:val="32"/>
          <w:rtl/>
        </w:rPr>
        <w:t>مد بن عبد الله بن سليمان السعدي</w:t>
      </w:r>
      <w:r>
        <w:rPr>
          <w:rFonts w:ascii="Traditional Arabic" w:hAnsi="Traditional Arabic" w:hint="cs"/>
          <w:sz w:val="32"/>
          <w:szCs w:val="32"/>
          <w:rtl/>
        </w:rPr>
        <w:t>،</w:t>
      </w:r>
      <w:r w:rsidRPr="006701FB">
        <w:rPr>
          <w:rFonts w:ascii="Traditional Arabic" w:hAnsi="Traditional Arabic"/>
          <w:sz w:val="32"/>
          <w:szCs w:val="32"/>
          <w:rtl/>
        </w:rPr>
        <w:t xml:space="preserve"> الدمشقي</w:t>
      </w:r>
      <w:r>
        <w:rPr>
          <w:rFonts w:ascii="Traditional Arabic" w:hAnsi="Traditional Arabic" w:hint="cs"/>
          <w:sz w:val="32"/>
          <w:szCs w:val="32"/>
          <w:rtl/>
        </w:rPr>
        <w:t>،</w:t>
      </w:r>
      <w:r>
        <w:rPr>
          <w:rFonts w:ascii="Traditional Arabic" w:hAnsi="Traditional Arabic"/>
          <w:sz w:val="32"/>
          <w:szCs w:val="32"/>
          <w:rtl/>
        </w:rPr>
        <w:t xml:space="preserve"> المفسر</w:t>
      </w:r>
      <w:r>
        <w:rPr>
          <w:rFonts w:ascii="Traditional Arabic" w:hAnsi="Traditional Arabic" w:hint="cs"/>
          <w:sz w:val="32"/>
          <w:szCs w:val="32"/>
          <w:rtl/>
        </w:rPr>
        <w:t>،</w:t>
      </w:r>
      <w:r>
        <w:rPr>
          <w:rFonts w:ascii="Traditional Arabic" w:hAnsi="Traditional Arabic"/>
          <w:sz w:val="32"/>
          <w:szCs w:val="32"/>
          <w:rtl/>
        </w:rPr>
        <w:t xml:space="preserve"> صنف كتباً في التفسير منها: "</w:t>
      </w:r>
      <w:r w:rsidRPr="006701FB">
        <w:rPr>
          <w:rFonts w:ascii="Traditional Arabic" w:hAnsi="Traditional Arabic"/>
          <w:sz w:val="32"/>
          <w:szCs w:val="32"/>
          <w:rtl/>
        </w:rPr>
        <w:t>مجتبى التفسير"</w:t>
      </w:r>
      <w:r>
        <w:rPr>
          <w:rFonts w:ascii="Traditional Arabic" w:hAnsi="Traditional Arabic" w:hint="cs"/>
          <w:sz w:val="32"/>
          <w:szCs w:val="32"/>
          <w:rtl/>
        </w:rPr>
        <w:t xml:space="preserve">، </w:t>
      </w:r>
      <w:r>
        <w:rPr>
          <w:rFonts w:ascii="Traditional Arabic" w:hAnsi="Traditional Arabic"/>
          <w:sz w:val="32"/>
          <w:szCs w:val="32"/>
          <w:rtl/>
        </w:rPr>
        <w:t>و"الجامع الصغير"</w:t>
      </w:r>
      <w:r>
        <w:rPr>
          <w:rFonts w:ascii="Traditional Arabic" w:hAnsi="Traditional Arabic" w:hint="cs"/>
          <w:sz w:val="32"/>
          <w:szCs w:val="32"/>
          <w:rtl/>
        </w:rPr>
        <w:t>،</w:t>
      </w:r>
      <w:r>
        <w:rPr>
          <w:rFonts w:ascii="Traditional Arabic" w:hAnsi="Traditional Arabic"/>
          <w:sz w:val="32"/>
          <w:szCs w:val="32"/>
          <w:rtl/>
        </w:rPr>
        <w:t xml:space="preserve"> و "المهذب في التفسير"</w:t>
      </w:r>
      <w:r>
        <w:rPr>
          <w:rFonts w:ascii="Traditional Arabic" w:hAnsi="Traditional Arabic" w:hint="cs"/>
          <w:sz w:val="32"/>
          <w:szCs w:val="32"/>
          <w:rtl/>
        </w:rPr>
        <w:t>،</w:t>
      </w:r>
      <w:r w:rsidRPr="006701FB">
        <w:rPr>
          <w:rFonts w:ascii="Traditional Arabic" w:hAnsi="Traditional Arabic"/>
          <w:sz w:val="32"/>
          <w:szCs w:val="32"/>
          <w:rtl/>
        </w:rPr>
        <w:t xml:space="preserve"> </w:t>
      </w:r>
      <w:r>
        <w:rPr>
          <w:rFonts w:ascii="Traditional Arabic" w:hAnsi="Traditional Arabic"/>
          <w:sz w:val="32"/>
          <w:szCs w:val="32"/>
          <w:rtl/>
          <w:lang w:eastAsia="en-US"/>
        </w:rPr>
        <w:t xml:space="preserve">وكانت وفاته </w:t>
      </w:r>
      <w:r>
        <w:rPr>
          <w:rFonts w:ascii="Traditional Arabic" w:hAnsi="Traditional Arabic" w:hint="cs"/>
          <w:sz w:val="32"/>
          <w:szCs w:val="32"/>
          <w:rtl/>
          <w:lang w:eastAsia="en-US"/>
        </w:rPr>
        <w:t>قرابة عام</w:t>
      </w:r>
      <w:r>
        <w:rPr>
          <w:rFonts w:ascii="Traditional Arabic" w:hAnsi="Traditional Arabic"/>
          <w:sz w:val="32"/>
          <w:szCs w:val="32"/>
          <w:rtl/>
          <w:lang w:eastAsia="en-US"/>
        </w:rPr>
        <w:t xml:space="preserve"> </w:t>
      </w:r>
      <w:r>
        <w:rPr>
          <w:rFonts w:ascii="Traditional Arabic" w:hAnsi="Traditional Arabic" w:hint="cs"/>
          <w:sz w:val="32"/>
          <w:szCs w:val="32"/>
          <w:rtl/>
          <w:lang w:eastAsia="en-US"/>
        </w:rPr>
        <w:t>(400ه)</w:t>
      </w:r>
      <w:r>
        <w:rPr>
          <w:rFonts w:ascii="Traditional Arabic" w:hAnsi="Traditional Arabic" w:hint="cs"/>
          <w:sz w:val="32"/>
          <w:szCs w:val="32"/>
          <w:rtl/>
        </w:rPr>
        <w:t xml:space="preserve">. </w:t>
      </w:r>
      <w:r w:rsidRPr="006701FB">
        <w:rPr>
          <w:rFonts w:ascii="Traditional Arabic" w:hAnsi="Traditional Arabic"/>
          <w:sz w:val="32"/>
          <w:szCs w:val="32"/>
          <w:rtl/>
        </w:rPr>
        <w:t>انظر</w:t>
      </w:r>
      <w:r>
        <w:rPr>
          <w:rFonts w:ascii="Traditional Arabic" w:hAnsi="Traditional Arabic" w:hint="cs"/>
          <w:sz w:val="32"/>
          <w:szCs w:val="32"/>
          <w:rtl/>
        </w:rPr>
        <w:t>:</w:t>
      </w:r>
      <w:r w:rsidRPr="006701FB">
        <w:rPr>
          <w:rFonts w:ascii="Traditional Arabic" w:hAnsi="Traditional Arabic"/>
          <w:sz w:val="32"/>
          <w:szCs w:val="32"/>
          <w:rtl/>
        </w:rPr>
        <w:t xml:space="preserve"> تاريخ دمشق لاب</w:t>
      </w:r>
      <w:r>
        <w:rPr>
          <w:rFonts w:ascii="Traditional Arabic" w:hAnsi="Traditional Arabic"/>
          <w:sz w:val="32"/>
          <w:szCs w:val="32"/>
          <w:rtl/>
        </w:rPr>
        <w:t>ن عساكر</w:t>
      </w:r>
      <w:r>
        <w:rPr>
          <w:rFonts w:ascii="Traditional Arabic" w:hAnsi="Traditional Arabic" w:hint="cs"/>
          <w:sz w:val="32"/>
          <w:szCs w:val="32"/>
          <w:rtl/>
        </w:rPr>
        <w:t xml:space="preserve"> </w:t>
      </w:r>
      <w:r>
        <w:rPr>
          <w:rFonts w:ascii="Traditional Arabic" w:hAnsi="Traditional Arabic"/>
          <w:sz w:val="32"/>
          <w:szCs w:val="32"/>
          <w:rtl/>
        </w:rPr>
        <w:t>(53/349)</w:t>
      </w:r>
      <w:r>
        <w:rPr>
          <w:rFonts w:ascii="Traditional Arabic" w:hAnsi="Traditional Arabic" w:hint="cs"/>
          <w:sz w:val="32"/>
          <w:szCs w:val="32"/>
          <w:rtl/>
        </w:rPr>
        <w:t xml:space="preserve">، </w:t>
      </w:r>
      <w:r>
        <w:rPr>
          <w:rFonts w:ascii="Traditional Arabic" w:hAnsi="Traditional Arabic"/>
          <w:sz w:val="32"/>
          <w:szCs w:val="32"/>
          <w:rtl/>
        </w:rPr>
        <w:t>طبقات المفسرين</w:t>
      </w:r>
      <w:r>
        <w:rPr>
          <w:rFonts w:ascii="Traditional Arabic" w:hAnsi="Traditional Arabic" w:hint="cs"/>
          <w:sz w:val="32"/>
          <w:szCs w:val="32"/>
          <w:rtl/>
        </w:rPr>
        <w:t xml:space="preserve"> </w:t>
      </w:r>
      <w:r w:rsidRPr="006701FB">
        <w:rPr>
          <w:rFonts w:ascii="Traditional Arabic" w:hAnsi="Traditional Arabic"/>
          <w:sz w:val="32"/>
          <w:szCs w:val="32"/>
          <w:rtl/>
        </w:rPr>
        <w:t>للسيوطي</w:t>
      </w:r>
      <w:r>
        <w:rPr>
          <w:rFonts w:ascii="Traditional Arabic" w:hAnsi="Traditional Arabic" w:hint="cs"/>
          <w:sz w:val="32"/>
          <w:szCs w:val="32"/>
          <w:rtl/>
        </w:rPr>
        <w:t xml:space="preserve"> </w:t>
      </w:r>
      <w:r>
        <w:rPr>
          <w:rFonts w:ascii="Traditional Arabic" w:hAnsi="Traditional Arabic"/>
          <w:sz w:val="32"/>
          <w:szCs w:val="32"/>
          <w:rtl/>
        </w:rPr>
        <w:t>(</w:t>
      </w:r>
      <w:r>
        <w:rPr>
          <w:rFonts w:ascii="Traditional Arabic" w:hAnsi="Traditional Arabic" w:hint="cs"/>
          <w:sz w:val="32"/>
          <w:szCs w:val="32"/>
          <w:rtl/>
        </w:rPr>
        <w:t>ص</w:t>
      </w:r>
      <w:r>
        <w:rPr>
          <w:rFonts w:ascii="Traditional Arabic" w:hAnsi="Traditional Arabic"/>
          <w:sz w:val="32"/>
          <w:szCs w:val="32"/>
          <w:rtl/>
        </w:rPr>
        <w:t>103)</w:t>
      </w:r>
      <w:r>
        <w:rPr>
          <w:rFonts w:ascii="Traditional Arabic" w:hAnsi="Traditional Arabic" w:hint="cs"/>
          <w:sz w:val="32"/>
          <w:szCs w:val="32"/>
          <w:rtl/>
        </w:rPr>
        <w:t>.</w:t>
      </w:r>
    </w:p>
  </w:footnote>
  <w:footnote w:id="243">
    <w:p w:rsidR="003F128F" w:rsidRPr="004D0F3A" w:rsidRDefault="003F128F" w:rsidP="00597914">
      <w:pPr>
        <w:pStyle w:val="af3"/>
        <w:jc w:val="left"/>
        <w:rPr>
          <w:rFonts w:ascii="Traditional Arabic" w:hAnsi="Traditional Arabic"/>
          <w:sz w:val="32"/>
          <w:szCs w:val="32"/>
        </w:rPr>
      </w:pPr>
      <w:r w:rsidRPr="004D0F3A">
        <w:rPr>
          <w:rFonts w:ascii="Traditional Arabic" w:hAnsi="Traditional Arabic"/>
          <w:sz w:val="32"/>
          <w:szCs w:val="32"/>
          <w:rtl/>
        </w:rPr>
        <w:t>(</w:t>
      </w:r>
      <w:r w:rsidRPr="004D0F3A">
        <w:rPr>
          <w:rStyle w:val="ae"/>
          <w:rFonts w:ascii="Traditional Arabic" w:hAnsi="Traditional Arabic"/>
          <w:sz w:val="32"/>
          <w:szCs w:val="32"/>
          <w:vertAlign w:val="baseline"/>
        </w:rPr>
        <w:footnoteRef/>
      </w:r>
      <w:r w:rsidRPr="004D0F3A">
        <w:rPr>
          <w:rFonts w:ascii="Traditional Arabic" w:hAnsi="Traditional Arabic"/>
          <w:sz w:val="32"/>
          <w:szCs w:val="32"/>
          <w:rtl/>
        </w:rPr>
        <w:t>) لم أقف عليه فيما لدي من مصادر, وقد أورده</w:t>
      </w:r>
      <w:r>
        <w:rPr>
          <w:rFonts w:ascii="Traditional Arabic" w:hAnsi="Traditional Arabic"/>
          <w:sz w:val="32"/>
          <w:szCs w:val="32"/>
          <w:rtl/>
        </w:rPr>
        <w:t xml:space="preserve"> الرسعني في رموز الكنوز (4/193)</w:t>
      </w:r>
      <w:r>
        <w:rPr>
          <w:rFonts w:ascii="Traditional Arabic" w:hAnsi="Traditional Arabic" w:hint="cs"/>
          <w:sz w:val="32"/>
          <w:szCs w:val="32"/>
          <w:rtl/>
        </w:rPr>
        <w:t>.</w:t>
      </w:r>
    </w:p>
  </w:footnote>
  <w:footnote w:id="244">
    <w:p w:rsidR="003F128F" w:rsidRPr="004D0F3A" w:rsidRDefault="003F128F" w:rsidP="002D6CFD">
      <w:pPr>
        <w:pStyle w:val="af3"/>
        <w:rPr>
          <w:rFonts w:ascii="Traditional Arabic" w:hAnsi="Traditional Arabic"/>
          <w:sz w:val="32"/>
          <w:szCs w:val="32"/>
        </w:rPr>
      </w:pPr>
      <w:r w:rsidRPr="004D0F3A">
        <w:rPr>
          <w:rFonts w:ascii="Traditional Arabic" w:hAnsi="Traditional Arabic"/>
          <w:sz w:val="32"/>
          <w:szCs w:val="32"/>
          <w:rtl/>
        </w:rPr>
        <w:t>(</w:t>
      </w:r>
      <w:r w:rsidRPr="004D0F3A">
        <w:rPr>
          <w:rStyle w:val="ae"/>
          <w:rFonts w:ascii="Traditional Arabic" w:hAnsi="Traditional Arabic"/>
          <w:sz w:val="32"/>
          <w:szCs w:val="32"/>
          <w:vertAlign w:val="baseline"/>
        </w:rPr>
        <w:footnoteRef/>
      </w:r>
      <w:r w:rsidRPr="004D0F3A">
        <w:rPr>
          <w:rFonts w:ascii="Traditional Arabic" w:hAnsi="Traditional Arabic"/>
          <w:sz w:val="32"/>
          <w:szCs w:val="32"/>
          <w:rtl/>
        </w:rPr>
        <w:t>) بنو أمية : بطن من قريش</w:t>
      </w:r>
      <w:r>
        <w:rPr>
          <w:rFonts w:ascii="Traditional Arabic" w:hAnsi="Traditional Arabic" w:hint="cs"/>
          <w:sz w:val="32"/>
          <w:szCs w:val="32"/>
          <w:rtl/>
        </w:rPr>
        <w:t xml:space="preserve"> من العدنانية</w:t>
      </w:r>
      <w:r w:rsidRPr="004D0F3A">
        <w:rPr>
          <w:rFonts w:ascii="Traditional Arabic" w:hAnsi="Traditional Arabic"/>
          <w:sz w:val="32"/>
          <w:szCs w:val="32"/>
          <w:rtl/>
        </w:rPr>
        <w:t>، وهم بنو أمية الأكبر بن عبد شمس بن مناف</w:t>
      </w:r>
      <w:r>
        <w:rPr>
          <w:rFonts w:ascii="Traditional Arabic" w:hAnsi="Traditional Arabic" w:hint="cs"/>
          <w:sz w:val="32"/>
          <w:szCs w:val="32"/>
          <w:rtl/>
        </w:rPr>
        <w:t>,</w:t>
      </w:r>
      <w:r w:rsidRPr="004D0F3A">
        <w:rPr>
          <w:rFonts w:ascii="Traditional Arabic" w:hAnsi="Traditional Arabic"/>
          <w:sz w:val="32"/>
          <w:szCs w:val="32"/>
          <w:rtl/>
        </w:rPr>
        <w:t xml:space="preserve"> و</w:t>
      </w:r>
      <w:r>
        <w:rPr>
          <w:rFonts w:ascii="Traditional Arabic" w:hAnsi="Traditional Arabic" w:hint="cs"/>
          <w:sz w:val="32"/>
          <w:szCs w:val="32"/>
          <w:rtl/>
        </w:rPr>
        <w:t xml:space="preserve">إذا أطلق </w:t>
      </w:r>
      <w:r w:rsidRPr="004D0F3A">
        <w:rPr>
          <w:rFonts w:ascii="Traditional Arabic" w:hAnsi="Traditional Arabic"/>
          <w:sz w:val="32"/>
          <w:szCs w:val="32"/>
          <w:rtl/>
        </w:rPr>
        <w:t xml:space="preserve">بنو أمية </w:t>
      </w:r>
      <w:r>
        <w:rPr>
          <w:rFonts w:ascii="Traditional Arabic" w:hAnsi="Traditional Arabic" w:hint="cs"/>
          <w:sz w:val="32"/>
          <w:szCs w:val="32"/>
          <w:rtl/>
        </w:rPr>
        <w:t>ف</w:t>
      </w:r>
      <w:r w:rsidRPr="004D0F3A">
        <w:rPr>
          <w:rFonts w:ascii="Traditional Arabic" w:hAnsi="Traditional Arabic"/>
          <w:sz w:val="32"/>
          <w:szCs w:val="32"/>
          <w:rtl/>
        </w:rPr>
        <w:t xml:space="preserve">هؤلاء هم </w:t>
      </w:r>
      <w:r>
        <w:rPr>
          <w:rFonts w:ascii="Traditional Arabic" w:hAnsi="Traditional Arabic" w:hint="cs"/>
          <w:sz w:val="32"/>
          <w:szCs w:val="32"/>
          <w:rtl/>
        </w:rPr>
        <w:t>المعنيون</w:t>
      </w:r>
      <w:r w:rsidRPr="004D0F3A">
        <w:rPr>
          <w:rFonts w:ascii="Traditional Arabic" w:hAnsi="Traditional Arabic"/>
          <w:sz w:val="32"/>
          <w:szCs w:val="32"/>
          <w:rtl/>
        </w:rPr>
        <w:t>. انظر:</w:t>
      </w:r>
      <w:r w:rsidRPr="004D0F3A">
        <w:rPr>
          <w:rFonts w:ascii="Traditional Arabic" w:hAnsi="Traditional Arabic"/>
          <w:sz w:val="32"/>
          <w:szCs w:val="32"/>
          <w:rtl/>
          <w:lang w:eastAsia="en-US"/>
        </w:rPr>
        <w:t xml:space="preserve"> </w:t>
      </w:r>
      <w:r>
        <w:rPr>
          <w:rFonts w:ascii="Traditional Arabic" w:hAnsi="Traditional Arabic" w:hint="cs"/>
          <w:sz w:val="32"/>
          <w:szCs w:val="32"/>
          <w:rtl/>
        </w:rPr>
        <w:t xml:space="preserve">جمهرة أنساب العرب لابن حزم (ص78), </w:t>
      </w:r>
      <w:r w:rsidRPr="004D0F3A">
        <w:rPr>
          <w:rFonts w:ascii="Traditional Arabic" w:hAnsi="Traditional Arabic"/>
          <w:sz w:val="32"/>
          <w:szCs w:val="32"/>
          <w:rtl/>
        </w:rPr>
        <w:t xml:space="preserve">نهاية الأرب في </w:t>
      </w:r>
      <w:r>
        <w:rPr>
          <w:rFonts w:ascii="Traditional Arabic" w:hAnsi="Traditional Arabic"/>
          <w:sz w:val="32"/>
          <w:szCs w:val="32"/>
          <w:rtl/>
        </w:rPr>
        <w:t>معرفة أنساب العرب للقلقشندي, (ص</w:t>
      </w:r>
      <w:r w:rsidRPr="004D0F3A">
        <w:rPr>
          <w:rFonts w:ascii="Traditional Arabic" w:hAnsi="Traditional Arabic"/>
          <w:sz w:val="32"/>
          <w:szCs w:val="32"/>
          <w:rtl/>
        </w:rPr>
        <w:t>83)</w:t>
      </w:r>
      <w:r>
        <w:rPr>
          <w:rFonts w:ascii="Traditional Arabic" w:hAnsi="Traditional Arabic" w:hint="cs"/>
          <w:sz w:val="32"/>
          <w:szCs w:val="32"/>
          <w:rtl/>
        </w:rPr>
        <w:t xml:space="preserve">. </w:t>
      </w:r>
    </w:p>
  </w:footnote>
  <w:footnote w:id="245">
    <w:p w:rsidR="003F128F" w:rsidRPr="004D0F3A" w:rsidRDefault="003F128F" w:rsidP="00AB6719">
      <w:pPr>
        <w:widowControl/>
        <w:autoSpaceDE w:val="0"/>
        <w:autoSpaceDN w:val="0"/>
        <w:adjustRightInd w:val="0"/>
        <w:ind w:firstLine="0"/>
        <w:rPr>
          <w:rFonts w:ascii="Traditional Arabic" w:hAnsi="Traditional Arabic"/>
          <w:sz w:val="32"/>
          <w:szCs w:val="32"/>
        </w:rPr>
      </w:pPr>
      <w:r w:rsidRPr="004D0F3A">
        <w:rPr>
          <w:rFonts w:ascii="Traditional Arabic" w:hAnsi="Traditional Arabic"/>
          <w:sz w:val="32"/>
          <w:szCs w:val="32"/>
          <w:rtl/>
        </w:rPr>
        <w:t>(</w:t>
      </w:r>
      <w:r w:rsidRPr="004D0F3A">
        <w:rPr>
          <w:rStyle w:val="ae"/>
          <w:rFonts w:ascii="Traditional Arabic" w:hAnsi="Traditional Arabic"/>
          <w:sz w:val="32"/>
          <w:szCs w:val="32"/>
          <w:vertAlign w:val="baseline"/>
        </w:rPr>
        <w:footnoteRef/>
      </w:r>
      <w:r w:rsidRPr="004D0F3A">
        <w:rPr>
          <w:rFonts w:ascii="Traditional Arabic" w:hAnsi="Traditional Arabic"/>
          <w:sz w:val="32"/>
          <w:szCs w:val="32"/>
          <w:rtl/>
        </w:rPr>
        <w:t>) هو</w:t>
      </w:r>
      <w:r w:rsidRPr="004D0F3A">
        <w:rPr>
          <w:rFonts w:ascii="Traditional Arabic" w:hAnsi="Traditional Arabic"/>
          <w:sz w:val="32"/>
          <w:szCs w:val="32"/>
          <w:rtl/>
          <w:lang w:eastAsia="en-US"/>
        </w:rPr>
        <w:t xml:space="preserve"> </w:t>
      </w:r>
      <w:r>
        <w:rPr>
          <w:rFonts w:ascii="Traditional Arabic" w:hAnsi="Traditional Arabic"/>
          <w:sz w:val="32"/>
          <w:szCs w:val="32"/>
          <w:rtl/>
          <w:lang w:eastAsia="en-US"/>
        </w:rPr>
        <w:t>الإمام</w:t>
      </w:r>
      <w:r w:rsidRPr="004D0F3A">
        <w:rPr>
          <w:rFonts w:ascii="Traditional Arabic" w:hAnsi="Traditional Arabic"/>
          <w:sz w:val="32"/>
          <w:szCs w:val="32"/>
          <w:rtl/>
        </w:rPr>
        <w:t xml:space="preserve"> أبو الحسن </w:t>
      </w:r>
      <w:r w:rsidRPr="004D0F3A">
        <w:rPr>
          <w:rFonts w:ascii="Traditional Arabic" w:hAnsi="Traditional Arabic"/>
          <w:color w:val="auto"/>
          <w:sz w:val="32"/>
          <w:szCs w:val="32"/>
          <w:rtl/>
          <w:lang w:eastAsia="en-US"/>
        </w:rPr>
        <w:t>علي بن زيد بن جدعان القرشي، التيمي، البصري، الضرير،</w:t>
      </w:r>
      <w:r w:rsidRPr="004D0F3A">
        <w:rPr>
          <w:rFonts w:ascii="Traditional Arabic" w:hAnsi="Traditional Arabic"/>
          <w:sz w:val="32"/>
          <w:szCs w:val="32"/>
          <w:rtl/>
          <w:lang w:eastAsia="en-US"/>
        </w:rPr>
        <w:t xml:space="preserve"> العالم الكبير،</w:t>
      </w:r>
      <w:r w:rsidRPr="004D0F3A">
        <w:rPr>
          <w:rFonts w:ascii="Traditional Arabic" w:hAnsi="Traditional Arabic"/>
          <w:color w:val="auto"/>
          <w:sz w:val="32"/>
          <w:szCs w:val="32"/>
          <w:rtl/>
          <w:lang w:eastAsia="en-US"/>
        </w:rPr>
        <w:t xml:space="preserve"> </w:t>
      </w:r>
      <w:r w:rsidRPr="004D0F3A">
        <w:rPr>
          <w:rFonts w:ascii="Traditional Arabic" w:hAnsi="Traditional Arabic"/>
          <w:sz w:val="32"/>
          <w:szCs w:val="32"/>
          <w:rtl/>
        </w:rPr>
        <w:t>قال عنه الذهبي رحمه الله:</w:t>
      </w:r>
      <w:r w:rsidRPr="004D0F3A">
        <w:rPr>
          <w:rFonts w:ascii="Traditional Arabic" w:hAnsi="Traditional Arabic"/>
          <w:sz w:val="32"/>
          <w:szCs w:val="32"/>
          <w:rtl/>
          <w:lang w:eastAsia="en-US"/>
        </w:rPr>
        <w:t xml:space="preserve"> كان من أوعية العلم عل</w:t>
      </w:r>
      <w:r>
        <w:rPr>
          <w:rFonts w:ascii="Traditional Arabic" w:hAnsi="Traditional Arabic"/>
          <w:sz w:val="32"/>
          <w:szCs w:val="32"/>
          <w:rtl/>
          <w:lang w:eastAsia="en-US"/>
        </w:rPr>
        <w:t xml:space="preserve">ى تشيع قليل فيه، وسوء حفظ يغضه </w:t>
      </w:r>
      <w:r>
        <w:rPr>
          <w:rFonts w:ascii="Traditional Arabic" w:hAnsi="Traditional Arabic" w:hint="cs"/>
          <w:sz w:val="32"/>
          <w:szCs w:val="32"/>
          <w:rtl/>
          <w:lang w:eastAsia="en-US"/>
        </w:rPr>
        <w:t>ع</w:t>
      </w:r>
      <w:r w:rsidRPr="004D0F3A">
        <w:rPr>
          <w:rFonts w:ascii="Traditional Arabic" w:hAnsi="Traditional Arabic"/>
          <w:sz w:val="32"/>
          <w:szCs w:val="32"/>
          <w:rtl/>
          <w:lang w:eastAsia="en-US"/>
        </w:rPr>
        <w:t xml:space="preserve">ن درجة الإتقان، </w:t>
      </w:r>
      <w:r w:rsidRPr="004D0F3A">
        <w:rPr>
          <w:rFonts w:ascii="Traditional Arabic" w:hAnsi="Traditional Arabic"/>
          <w:color w:val="auto"/>
          <w:sz w:val="32"/>
          <w:szCs w:val="32"/>
          <w:rtl/>
          <w:lang w:eastAsia="en-US"/>
        </w:rPr>
        <w:t>(ت131ه).</w:t>
      </w:r>
      <w:r w:rsidRPr="004D0F3A">
        <w:rPr>
          <w:rFonts w:ascii="Traditional Arabic" w:hAnsi="Traditional Arabic"/>
          <w:sz w:val="32"/>
          <w:szCs w:val="32"/>
          <w:rtl/>
        </w:rPr>
        <w:t xml:space="preserve"> انظر</w:t>
      </w:r>
      <w:r w:rsidRPr="004D0F3A">
        <w:rPr>
          <w:rFonts w:ascii="Traditional Arabic" w:hAnsi="Traditional Arabic"/>
          <w:color w:val="auto"/>
          <w:sz w:val="32"/>
          <w:szCs w:val="32"/>
          <w:rtl/>
        </w:rPr>
        <w:t>: سير أعلام النبلاء</w:t>
      </w:r>
      <w:r w:rsidRPr="004D0F3A">
        <w:rPr>
          <w:rFonts w:ascii="Traditional Arabic" w:hAnsi="Traditional Arabic"/>
          <w:sz w:val="32"/>
          <w:szCs w:val="32"/>
          <w:rtl/>
        </w:rPr>
        <w:t xml:space="preserve"> (5/206)، الوافي بالوفيات (21/82).</w:t>
      </w:r>
    </w:p>
  </w:footnote>
  <w:footnote w:id="246">
    <w:p w:rsidR="003F128F" w:rsidRPr="004D0F3A" w:rsidRDefault="003F128F" w:rsidP="00AB6719">
      <w:pPr>
        <w:pStyle w:val="af3"/>
        <w:rPr>
          <w:rFonts w:ascii="Traditional Arabic" w:hAnsi="Traditional Arabic"/>
          <w:sz w:val="32"/>
          <w:szCs w:val="32"/>
        </w:rPr>
      </w:pPr>
      <w:r w:rsidRPr="004D0F3A">
        <w:rPr>
          <w:rFonts w:ascii="Traditional Arabic" w:hAnsi="Traditional Arabic"/>
          <w:sz w:val="32"/>
          <w:szCs w:val="32"/>
          <w:rtl/>
        </w:rPr>
        <w:t>(</w:t>
      </w:r>
      <w:r w:rsidRPr="004D0F3A">
        <w:rPr>
          <w:rStyle w:val="ae"/>
          <w:rFonts w:ascii="Traditional Arabic" w:hAnsi="Traditional Arabic"/>
          <w:sz w:val="32"/>
          <w:szCs w:val="32"/>
          <w:vertAlign w:val="baseline"/>
        </w:rPr>
        <w:footnoteRef/>
      </w:r>
      <w:r w:rsidRPr="004D0F3A">
        <w:rPr>
          <w:rFonts w:ascii="Traditional Arabic" w:hAnsi="Traditional Arabic"/>
          <w:sz w:val="32"/>
          <w:szCs w:val="32"/>
          <w:rtl/>
        </w:rPr>
        <w:t xml:space="preserve">) هو التابعي </w:t>
      </w:r>
      <w:r>
        <w:rPr>
          <w:rFonts w:ascii="Traditional Arabic" w:hAnsi="Traditional Arabic"/>
          <w:sz w:val="32"/>
          <w:szCs w:val="32"/>
          <w:rtl/>
        </w:rPr>
        <w:t>الإمام</w:t>
      </w:r>
      <w:r w:rsidRPr="004D0F3A">
        <w:rPr>
          <w:rFonts w:ascii="Traditional Arabic" w:hAnsi="Traditional Arabic"/>
          <w:color w:val="auto"/>
          <w:sz w:val="32"/>
          <w:szCs w:val="32"/>
          <w:rtl/>
        </w:rPr>
        <w:t xml:space="preserve"> </w:t>
      </w:r>
      <w:r w:rsidRPr="004D0F3A">
        <w:rPr>
          <w:rFonts w:ascii="Traditional Arabic" w:hAnsi="Traditional Arabic"/>
          <w:color w:val="auto"/>
          <w:sz w:val="32"/>
          <w:szCs w:val="32"/>
          <w:rtl/>
          <w:lang w:eastAsia="en-US"/>
        </w:rPr>
        <w:t>أبو محمد سعيد بن المسيب بن حزن بن أبي وهب القرشي المدين، أحد الفقهاء السبعة بالمدينة</w:t>
      </w:r>
      <w:r w:rsidRPr="004D0F3A">
        <w:rPr>
          <w:rFonts w:ascii="Traditional Arabic" w:hAnsi="Traditional Arabic"/>
          <w:sz w:val="32"/>
          <w:szCs w:val="32"/>
          <w:rtl/>
        </w:rPr>
        <w:t>،</w:t>
      </w:r>
      <w:r w:rsidRPr="004D0F3A">
        <w:rPr>
          <w:rFonts w:ascii="Traditional Arabic" w:hAnsi="Traditional Arabic"/>
          <w:sz w:val="32"/>
          <w:szCs w:val="32"/>
          <w:rtl/>
          <w:lang w:eastAsia="en-US"/>
        </w:rPr>
        <w:t xml:space="preserve"> سيد التابعين في زمانه</w:t>
      </w:r>
      <w:r w:rsidRPr="004D0F3A">
        <w:rPr>
          <w:rFonts w:ascii="Traditional Arabic" w:hAnsi="Traditional Arabic"/>
          <w:sz w:val="32"/>
          <w:szCs w:val="32"/>
          <w:rtl/>
        </w:rPr>
        <w:t xml:space="preserve">، </w:t>
      </w:r>
      <w:r w:rsidRPr="004D0F3A">
        <w:rPr>
          <w:rFonts w:ascii="Traditional Arabic" w:hAnsi="Traditional Arabic"/>
          <w:sz w:val="32"/>
          <w:szCs w:val="32"/>
          <w:rtl/>
          <w:lang w:eastAsia="en-US"/>
        </w:rPr>
        <w:t>جمع بين الحديث والفقه والزهد والعبادة والورع</w:t>
      </w:r>
      <w:r w:rsidRPr="004D0F3A">
        <w:rPr>
          <w:rFonts w:ascii="Traditional Arabic" w:hAnsi="Traditional Arabic"/>
          <w:sz w:val="32"/>
          <w:szCs w:val="32"/>
          <w:rtl/>
        </w:rPr>
        <w:t>،</w:t>
      </w:r>
      <w:r w:rsidRPr="004D0F3A">
        <w:rPr>
          <w:rFonts w:ascii="Traditional Arabic" w:hAnsi="Traditional Arabic"/>
          <w:sz w:val="32"/>
          <w:szCs w:val="32"/>
          <w:rtl/>
          <w:lang w:eastAsia="en-US"/>
        </w:rPr>
        <w:t xml:space="preserve"> </w:t>
      </w:r>
      <w:r w:rsidRPr="004D0F3A">
        <w:rPr>
          <w:rFonts w:ascii="Traditional Arabic" w:hAnsi="Traditional Arabic"/>
          <w:color w:val="auto"/>
          <w:sz w:val="32"/>
          <w:szCs w:val="32"/>
          <w:rtl/>
          <w:lang w:eastAsia="en-US"/>
        </w:rPr>
        <w:t>(ت 94ه)</w:t>
      </w:r>
      <w:r w:rsidRPr="004D0F3A">
        <w:rPr>
          <w:rFonts w:ascii="Traditional Arabic" w:hAnsi="Traditional Arabic"/>
          <w:sz w:val="32"/>
          <w:szCs w:val="32"/>
          <w:rtl/>
        </w:rPr>
        <w:t xml:space="preserve">. انظر: وفيات الأعيان (2/377)، </w:t>
      </w:r>
      <w:r w:rsidRPr="004D0F3A">
        <w:rPr>
          <w:rFonts w:ascii="Traditional Arabic" w:hAnsi="Traditional Arabic"/>
          <w:color w:val="auto"/>
          <w:sz w:val="32"/>
          <w:szCs w:val="32"/>
          <w:rtl/>
        </w:rPr>
        <w:t>سير أعلام النبلاء</w:t>
      </w:r>
      <w:r w:rsidRPr="004D0F3A">
        <w:rPr>
          <w:rFonts w:ascii="Traditional Arabic" w:hAnsi="Traditional Arabic"/>
          <w:sz w:val="32"/>
          <w:szCs w:val="32"/>
          <w:rtl/>
        </w:rPr>
        <w:t xml:space="preserve"> (4/217).</w:t>
      </w:r>
    </w:p>
  </w:footnote>
  <w:footnote w:id="247">
    <w:p w:rsidR="003F128F" w:rsidRPr="004D0F3A" w:rsidRDefault="003F128F" w:rsidP="00CF6758">
      <w:pPr>
        <w:pStyle w:val="af3"/>
        <w:rPr>
          <w:rFonts w:ascii="Traditional Arabic" w:hAnsi="Traditional Arabic"/>
          <w:sz w:val="32"/>
          <w:szCs w:val="32"/>
        </w:rPr>
      </w:pPr>
      <w:r w:rsidRPr="004D0F3A">
        <w:rPr>
          <w:rFonts w:ascii="Traditional Arabic" w:hAnsi="Traditional Arabic"/>
          <w:sz w:val="32"/>
          <w:szCs w:val="32"/>
          <w:rtl/>
        </w:rPr>
        <w:t>(</w:t>
      </w:r>
      <w:r w:rsidRPr="004D0F3A">
        <w:rPr>
          <w:rStyle w:val="ae"/>
          <w:rFonts w:ascii="Traditional Arabic" w:hAnsi="Traditional Arabic"/>
          <w:sz w:val="32"/>
          <w:szCs w:val="32"/>
          <w:vertAlign w:val="baseline"/>
        </w:rPr>
        <w:footnoteRef/>
      </w:r>
      <w:r w:rsidRPr="004D0F3A">
        <w:rPr>
          <w:rFonts w:ascii="Traditional Arabic" w:hAnsi="Traditional Arabic"/>
          <w:sz w:val="32"/>
          <w:szCs w:val="32"/>
          <w:rtl/>
        </w:rPr>
        <w:t>) أخرجه ابن أبي حاتم (7/2336)، وابن</w:t>
      </w:r>
      <w:r>
        <w:rPr>
          <w:rFonts w:ascii="Traditional Arabic" w:hAnsi="Traditional Arabic"/>
          <w:sz w:val="32"/>
          <w:szCs w:val="32"/>
          <w:rtl/>
        </w:rPr>
        <w:t xml:space="preserve"> مردويه كما ذكر ذلك السيوطي في الدر المنثور</w:t>
      </w:r>
      <w:r>
        <w:rPr>
          <w:rFonts w:ascii="Traditional Arabic" w:hAnsi="Traditional Arabic" w:hint="cs"/>
          <w:sz w:val="32"/>
          <w:szCs w:val="32"/>
          <w:rtl/>
        </w:rPr>
        <w:t xml:space="preserve"> </w:t>
      </w:r>
      <w:r w:rsidRPr="004D0F3A">
        <w:rPr>
          <w:rFonts w:ascii="Traditional Arabic" w:hAnsi="Traditional Arabic"/>
          <w:sz w:val="32"/>
          <w:szCs w:val="32"/>
          <w:rtl/>
        </w:rPr>
        <w:t>(5/310)، كلاهما من طريق علي بن زيد عن سعيد بن المسيب به، وأخرجه الطبري (17/483) من حديث سهل بن سعد،</w:t>
      </w:r>
      <w:r w:rsidRPr="004D0F3A">
        <w:rPr>
          <w:rFonts w:ascii="Traditional Arabic" w:hAnsi="Traditional Arabic"/>
          <w:sz w:val="32"/>
          <w:szCs w:val="32"/>
          <w:rtl/>
          <w:lang w:eastAsia="en-US"/>
        </w:rPr>
        <w:t xml:space="preserve"> وقد حكم عليه المصنف ابن الجوزي رحمه الله</w:t>
      </w:r>
      <w:r w:rsidRPr="004D0F3A">
        <w:rPr>
          <w:rFonts w:ascii="Traditional Arabic" w:hAnsi="Traditional Arabic"/>
          <w:sz w:val="32"/>
          <w:szCs w:val="32"/>
          <w:rtl/>
        </w:rPr>
        <w:t xml:space="preserve"> تعالى بأنه لا</w:t>
      </w:r>
      <w:r>
        <w:rPr>
          <w:rFonts w:ascii="Traditional Arabic" w:hAnsi="Traditional Arabic" w:hint="cs"/>
          <w:sz w:val="32"/>
          <w:szCs w:val="32"/>
          <w:rtl/>
        </w:rPr>
        <w:t xml:space="preserve"> </w:t>
      </w:r>
      <w:r w:rsidRPr="004D0F3A">
        <w:rPr>
          <w:rFonts w:ascii="Traditional Arabic" w:hAnsi="Traditional Arabic"/>
          <w:sz w:val="32"/>
          <w:szCs w:val="32"/>
          <w:rtl/>
        </w:rPr>
        <w:t xml:space="preserve">يصح. قال ابن كثير رحمه الله تعالى: </w:t>
      </w:r>
      <w:r w:rsidRPr="004D0F3A">
        <w:rPr>
          <w:rFonts w:ascii="Traditional Arabic" w:hAnsi="Traditional Arabic"/>
          <w:sz w:val="32"/>
          <w:szCs w:val="32"/>
          <w:rtl/>
          <w:lang w:eastAsia="en-US"/>
        </w:rPr>
        <w:t>وهذا السند ضعيف جدّا فإن محمد بن الحسن بن زبالة متروك، وشيخه أيضا ضعيف بالكلية. انظر: تفسير ابن كثير (5/85).</w:t>
      </w:r>
    </w:p>
  </w:footnote>
  <w:footnote w:id="248">
    <w:p w:rsidR="003F128F" w:rsidRPr="004D0F3A" w:rsidRDefault="003F128F" w:rsidP="00B65413">
      <w:pPr>
        <w:pStyle w:val="af3"/>
        <w:rPr>
          <w:rFonts w:ascii="Traditional Arabic" w:hAnsi="Traditional Arabic"/>
          <w:sz w:val="32"/>
          <w:szCs w:val="32"/>
        </w:rPr>
      </w:pPr>
      <w:r w:rsidRPr="004D0F3A">
        <w:rPr>
          <w:rFonts w:ascii="Traditional Arabic" w:hAnsi="Traditional Arabic"/>
          <w:sz w:val="32"/>
          <w:szCs w:val="32"/>
          <w:rtl/>
        </w:rPr>
        <w:t>(</w:t>
      </w:r>
      <w:r w:rsidRPr="004D0F3A">
        <w:rPr>
          <w:rStyle w:val="ae"/>
          <w:rFonts w:ascii="Traditional Arabic" w:hAnsi="Traditional Arabic"/>
          <w:sz w:val="32"/>
          <w:szCs w:val="32"/>
          <w:vertAlign w:val="baseline"/>
        </w:rPr>
        <w:footnoteRef/>
      </w:r>
      <w:r w:rsidRPr="004D0F3A">
        <w:rPr>
          <w:rFonts w:ascii="Traditional Arabic" w:hAnsi="Traditional Arabic"/>
          <w:sz w:val="32"/>
          <w:szCs w:val="32"/>
          <w:rtl/>
        </w:rPr>
        <w:t>) انظر: تفسير الطبري (17/483)، تفسير ابن أبي حاتم (</w:t>
      </w:r>
      <w:r>
        <w:rPr>
          <w:rFonts w:ascii="Traditional Arabic" w:hAnsi="Traditional Arabic"/>
          <w:sz w:val="32"/>
          <w:szCs w:val="32"/>
          <w:rtl/>
        </w:rPr>
        <w:t>7/2336)، الكشف والبيان (6/111)</w:t>
      </w:r>
      <w:r>
        <w:rPr>
          <w:rFonts w:ascii="Traditional Arabic" w:hAnsi="Traditional Arabic" w:hint="cs"/>
          <w:sz w:val="32"/>
          <w:szCs w:val="32"/>
          <w:rtl/>
        </w:rPr>
        <w:t>.</w:t>
      </w:r>
    </w:p>
  </w:footnote>
  <w:footnote w:id="249">
    <w:p w:rsidR="003F128F" w:rsidRPr="00CF6758" w:rsidRDefault="003F128F" w:rsidP="00CF6758">
      <w:pPr>
        <w:pStyle w:val="af3"/>
        <w:rPr>
          <w:rFonts w:ascii="Traditional Arabic" w:hAnsi="Traditional Arabic"/>
          <w:sz w:val="32"/>
          <w:szCs w:val="32"/>
          <w:rtl/>
        </w:rPr>
      </w:pPr>
      <w:r w:rsidRPr="00CF6758">
        <w:rPr>
          <w:rFonts w:ascii="Traditional Arabic" w:hAnsi="Traditional Arabic"/>
          <w:sz w:val="32"/>
          <w:szCs w:val="32"/>
          <w:rtl/>
        </w:rPr>
        <w:t>(</w:t>
      </w:r>
      <w:r w:rsidRPr="00CF6758">
        <w:rPr>
          <w:rStyle w:val="ae"/>
          <w:rFonts w:ascii="Traditional Arabic" w:hAnsi="Traditional Arabic"/>
          <w:sz w:val="32"/>
          <w:szCs w:val="32"/>
          <w:vertAlign w:val="baseline"/>
        </w:rPr>
        <w:footnoteRef/>
      </w:r>
      <w:r w:rsidRPr="00CF6758">
        <w:rPr>
          <w:rFonts w:ascii="Traditional Arabic" w:hAnsi="Traditional Arabic"/>
          <w:sz w:val="32"/>
          <w:szCs w:val="32"/>
          <w:rtl/>
        </w:rPr>
        <w:t>) سبق تخريجه من حديث سعيد بن المسيب (ص95), وقد ذكره الرسعني في رموز الكنوز (4/196).</w:t>
      </w:r>
    </w:p>
  </w:footnote>
  <w:footnote w:id="250">
    <w:p w:rsidR="003F128F" w:rsidRPr="00CF6758" w:rsidRDefault="003F128F" w:rsidP="00D3629D">
      <w:pPr>
        <w:widowControl/>
        <w:autoSpaceDE w:val="0"/>
        <w:autoSpaceDN w:val="0"/>
        <w:adjustRightInd w:val="0"/>
        <w:ind w:firstLine="0"/>
        <w:rPr>
          <w:rFonts w:ascii="Traditional Arabic" w:hAnsi="Traditional Arabic"/>
          <w:sz w:val="32"/>
          <w:szCs w:val="32"/>
        </w:rPr>
      </w:pPr>
      <w:r w:rsidRPr="00CF6758">
        <w:rPr>
          <w:rFonts w:ascii="Traditional Arabic" w:hAnsi="Traditional Arabic"/>
          <w:sz w:val="32"/>
          <w:szCs w:val="32"/>
          <w:rtl/>
        </w:rPr>
        <w:t>(</w:t>
      </w:r>
      <w:r w:rsidRPr="00CF6758">
        <w:rPr>
          <w:rStyle w:val="ae"/>
          <w:rFonts w:ascii="Traditional Arabic" w:hAnsi="Traditional Arabic"/>
          <w:sz w:val="32"/>
          <w:szCs w:val="32"/>
          <w:vertAlign w:val="baseline"/>
        </w:rPr>
        <w:footnoteRef/>
      </w:r>
      <w:r w:rsidRPr="00CF6758">
        <w:rPr>
          <w:rFonts w:ascii="Traditional Arabic" w:hAnsi="Traditional Arabic"/>
          <w:sz w:val="32"/>
          <w:szCs w:val="32"/>
          <w:rtl/>
        </w:rPr>
        <w:t xml:space="preserve">) لم أقف عليه، وقد ذكر بنحوه </w:t>
      </w:r>
      <w:r>
        <w:rPr>
          <w:rFonts w:ascii="Traditional Arabic" w:hAnsi="Traditional Arabic"/>
          <w:sz w:val="32"/>
          <w:szCs w:val="32"/>
          <w:rtl/>
        </w:rPr>
        <w:t>الإمام</w:t>
      </w:r>
      <w:r w:rsidRPr="00CF6758">
        <w:rPr>
          <w:rFonts w:ascii="Traditional Arabic" w:hAnsi="Traditional Arabic"/>
          <w:sz w:val="32"/>
          <w:szCs w:val="32"/>
          <w:rtl/>
        </w:rPr>
        <w:t xml:space="preserve"> الماوردي، انظر: النكت والعيون (3/254).</w:t>
      </w:r>
    </w:p>
  </w:footnote>
  <w:footnote w:id="251">
    <w:p w:rsidR="003F128F" w:rsidRPr="00CF6758" w:rsidRDefault="003F128F" w:rsidP="00F73509">
      <w:pPr>
        <w:pStyle w:val="af3"/>
        <w:rPr>
          <w:rFonts w:ascii="Traditional Arabic" w:hAnsi="Traditional Arabic"/>
          <w:sz w:val="32"/>
          <w:szCs w:val="32"/>
          <w:rtl/>
        </w:rPr>
      </w:pPr>
      <w:r w:rsidRPr="00CF6758">
        <w:rPr>
          <w:rFonts w:ascii="Traditional Arabic" w:hAnsi="Traditional Arabic"/>
          <w:sz w:val="32"/>
          <w:szCs w:val="32"/>
          <w:rtl/>
        </w:rPr>
        <w:t>(</w:t>
      </w:r>
      <w:r w:rsidRPr="00CF6758">
        <w:rPr>
          <w:rStyle w:val="ae"/>
          <w:rFonts w:ascii="Traditional Arabic" w:hAnsi="Traditional Arabic"/>
          <w:sz w:val="32"/>
          <w:szCs w:val="32"/>
          <w:vertAlign w:val="baseline"/>
        </w:rPr>
        <w:footnoteRef/>
      </w:r>
      <w:r w:rsidRPr="00CF6758">
        <w:rPr>
          <w:rFonts w:ascii="Traditional Arabic" w:hAnsi="Traditional Arabic"/>
          <w:sz w:val="32"/>
          <w:szCs w:val="32"/>
          <w:rtl/>
        </w:rPr>
        <w:t>) هذا الكلام فيه نظر كون المراد بالشجرة الرجال لأنه خلاف ظاهر القراءة, والأصل حمل الكلام على الظاهر إلا بدليل ولا دليل على ذلك, ولذلك الماوردي رحمه الله جعله القول الأخير ولم ينسبه لأحد, وكونه آخر الأقوال قرينة لبعده والله أعلم. انظر: النكت والعيون (3/254).</w:t>
      </w:r>
    </w:p>
  </w:footnote>
  <w:footnote w:id="252">
    <w:p w:rsidR="003F128F" w:rsidRPr="00CF6758" w:rsidRDefault="003F128F" w:rsidP="00144130">
      <w:pPr>
        <w:pStyle w:val="af3"/>
        <w:rPr>
          <w:rFonts w:ascii="Traditional Arabic" w:hAnsi="Traditional Arabic"/>
          <w:sz w:val="32"/>
          <w:szCs w:val="32"/>
        </w:rPr>
      </w:pPr>
      <w:r w:rsidRPr="00CF6758">
        <w:rPr>
          <w:rFonts w:ascii="Traditional Arabic" w:hAnsi="Traditional Arabic"/>
          <w:sz w:val="32"/>
          <w:szCs w:val="32"/>
          <w:rtl/>
        </w:rPr>
        <w:t>(</w:t>
      </w:r>
      <w:r w:rsidRPr="00CF6758">
        <w:rPr>
          <w:rStyle w:val="ae"/>
          <w:rFonts w:ascii="Traditional Arabic" w:hAnsi="Traditional Arabic"/>
          <w:sz w:val="32"/>
          <w:szCs w:val="32"/>
          <w:vertAlign w:val="baseline"/>
        </w:rPr>
        <w:footnoteRef/>
      </w:r>
      <w:r w:rsidRPr="00CF6758">
        <w:rPr>
          <w:rFonts w:ascii="Traditional Arabic" w:hAnsi="Traditional Arabic"/>
          <w:sz w:val="32"/>
          <w:szCs w:val="32"/>
          <w:rtl/>
        </w:rPr>
        <w:t xml:space="preserve">) انظر: النكت والعيون (3/254)، </w:t>
      </w:r>
      <w:r w:rsidRPr="00CF6758">
        <w:rPr>
          <w:rFonts w:ascii="Traditional Arabic" w:hAnsi="Traditional Arabic"/>
          <w:sz w:val="32"/>
          <w:szCs w:val="32"/>
          <w:rtl/>
          <w:lang w:eastAsia="en-US"/>
        </w:rPr>
        <w:t>غرائب التفسير</w:t>
      </w:r>
      <w:r w:rsidRPr="00CF6758">
        <w:rPr>
          <w:rFonts w:ascii="Traditional Arabic" w:hAnsi="Traditional Arabic"/>
          <w:sz w:val="32"/>
          <w:szCs w:val="32"/>
          <w:rtl/>
        </w:rPr>
        <w:t xml:space="preserve"> للكرماني (1/632).</w:t>
      </w:r>
    </w:p>
  </w:footnote>
  <w:footnote w:id="253">
    <w:p w:rsidR="003F128F" w:rsidRPr="00CF6758" w:rsidRDefault="003F128F" w:rsidP="00AB6719">
      <w:pPr>
        <w:pStyle w:val="af3"/>
        <w:rPr>
          <w:rFonts w:ascii="Traditional Arabic" w:hAnsi="Traditional Arabic"/>
          <w:sz w:val="32"/>
          <w:szCs w:val="32"/>
        </w:rPr>
      </w:pPr>
      <w:r w:rsidRPr="00CF6758">
        <w:rPr>
          <w:rFonts w:ascii="Traditional Arabic" w:hAnsi="Traditional Arabic"/>
          <w:sz w:val="32"/>
          <w:szCs w:val="32"/>
          <w:rtl/>
        </w:rPr>
        <w:t>(</w:t>
      </w:r>
      <w:r w:rsidRPr="00CF6758">
        <w:rPr>
          <w:rStyle w:val="ae"/>
          <w:rFonts w:ascii="Traditional Arabic" w:hAnsi="Traditional Arabic"/>
          <w:sz w:val="32"/>
          <w:szCs w:val="32"/>
          <w:vertAlign w:val="baseline"/>
        </w:rPr>
        <w:footnoteRef/>
      </w:r>
      <w:r w:rsidRPr="00CF6758">
        <w:rPr>
          <w:rFonts w:ascii="Traditional Arabic" w:hAnsi="Traditional Arabic"/>
          <w:sz w:val="32"/>
          <w:szCs w:val="32"/>
          <w:rtl/>
        </w:rPr>
        <w:t>) رواه البخاري</w:t>
      </w:r>
      <w:r>
        <w:rPr>
          <w:rFonts w:ascii="Traditional Arabic" w:hAnsi="Traditional Arabic" w:hint="cs"/>
          <w:sz w:val="32"/>
          <w:szCs w:val="32"/>
          <w:rtl/>
        </w:rPr>
        <w:t xml:space="preserve"> في صحيحه</w:t>
      </w:r>
      <w:r w:rsidRPr="00CF6758">
        <w:rPr>
          <w:rFonts w:ascii="Traditional Arabic" w:hAnsi="Traditional Arabic"/>
          <w:sz w:val="32"/>
          <w:szCs w:val="32"/>
          <w:rtl/>
        </w:rPr>
        <w:t xml:space="preserve"> (كتاب مناقب الأنصار، باب المعراج، 7/254 ح3888).</w:t>
      </w:r>
    </w:p>
  </w:footnote>
  <w:footnote w:id="254">
    <w:p w:rsidR="003F128F" w:rsidRPr="00CF6758" w:rsidRDefault="003F128F" w:rsidP="00CF6758">
      <w:pPr>
        <w:pStyle w:val="af3"/>
        <w:rPr>
          <w:rFonts w:ascii="Traditional Arabic" w:hAnsi="Traditional Arabic"/>
          <w:sz w:val="32"/>
          <w:szCs w:val="32"/>
        </w:rPr>
      </w:pPr>
      <w:r w:rsidRPr="00CF6758">
        <w:rPr>
          <w:rFonts w:ascii="Traditional Arabic" w:hAnsi="Traditional Arabic"/>
          <w:sz w:val="32"/>
          <w:szCs w:val="32"/>
          <w:rtl/>
        </w:rPr>
        <w:t>(</w:t>
      </w:r>
      <w:r w:rsidRPr="00CF6758">
        <w:rPr>
          <w:rStyle w:val="ae"/>
          <w:rFonts w:ascii="Traditional Arabic" w:hAnsi="Traditional Arabic"/>
          <w:sz w:val="32"/>
          <w:szCs w:val="32"/>
          <w:vertAlign w:val="baseline"/>
        </w:rPr>
        <w:footnoteRef/>
      </w:r>
      <w:r w:rsidRPr="00CF6758">
        <w:rPr>
          <w:rFonts w:ascii="Traditional Arabic" w:hAnsi="Traditional Arabic"/>
          <w:sz w:val="32"/>
          <w:szCs w:val="32"/>
          <w:rtl/>
        </w:rPr>
        <w:t>) انظر: تفسير مجاهد (ص438).</w:t>
      </w:r>
    </w:p>
  </w:footnote>
  <w:footnote w:id="255">
    <w:p w:rsidR="003F128F" w:rsidRPr="00CF6758" w:rsidRDefault="003F128F" w:rsidP="00A41C3A">
      <w:pPr>
        <w:pStyle w:val="af3"/>
        <w:rPr>
          <w:rFonts w:ascii="Traditional Arabic" w:hAnsi="Traditional Arabic"/>
          <w:sz w:val="32"/>
          <w:szCs w:val="32"/>
        </w:rPr>
      </w:pPr>
      <w:r w:rsidRPr="00CF6758">
        <w:rPr>
          <w:rFonts w:ascii="Traditional Arabic" w:hAnsi="Traditional Arabic"/>
          <w:sz w:val="32"/>
          <w:szCs w:val="32"/>
          <w:rtl/>
        </w:rPr>
        <w:t>(</w:t>
      </w:r>
      <w:r w:rsidRPr="00CF6758">
        <w:rPr>
          <w:rStyle w:val="ae"/>
          <w:rFonts w:ascii="Traditional Arabic" w:hAnsi="Traditional Arabic"/>
          <w:sz w:val="32"/>
          <w:szCs w:val="32"/>
          <w:vertAlign w:val="baseline"/>
        </w:rPr>
        <w:footnoteRef/>
      </w:r>
      <w:r w:rsidRPr="00CF6758">
        <w:rPr>
          <w:rFonts w:ascii="Traditional Arabic" w:hAnsi="Traditional Arabic"/>
          <w:sz w:val="32"/>
          <w:szCs w:val="32"/>
          <w:rtl/>
        </w:rPr>
        <w:t>) انظر: تفسير الطبري (17/485)، تفسير ابن أبي حاتم (7/2336)، الكشف والبيان (6/112).</w:t>
      </w:r>
    </w:p>
  </w:footnote>
  <w:footnote w:id="256">
    <w:p w:rsidR="003F128F" w:rsidRPr="00CF6758" w:rsidRDefault="003F128F" w:rsidP="00D3629D">
      <w:pPr>
        <w:pStyle w:val="af3"/>
        <w:rPr>
          <w:rFonts w:ascii="Traditional Arabic" w:hAnsi="Traditional Arabic"/>
          <w:sz w:val="32"/>
          <w:szCs w:val="32"/>
        </w:rPr>
      </w:pPr>
      <w:r w:rsidRPr="00CF6758">
        <w:rPr>
          <w:rFonts w:ascii="Traditional Arabic" w:hAnsi="Traditional Arabic"/>
          <w:sz w:val="32"/>
          <w:szCs w:val="32"/>
          <w:rtl/>
        </w:rPr>
        <w:t>(</w:t>
      </w:r>
      <w:r w:rsidRPr="00CF6758">
        <w:rPr>
          <w:rStyle w:val="ae"/>
          <w:rFonts w:ascii="Traditional Arabic" w:hAnsi="Traditional Arabic"/>
          <w:sz w:val="32"/>
          <w:szCs w:val="32"/>
          <w:vertAlign w:val="baseline"/>
        </w:rPr>
        <w:footnoteRef/>
      </w:r>
      <w:r w:rsidRPr="00CF6758">
        <w:rPr>
          <w:rFonts w:ascii="Traditional Arabic" w:hAnsi="Traditional Arabic"/>
          <w:sz w:val="32"/>
          <w:szCs w:val="32"/>
          <w:rtl/>
        </w:rPr>
        <w:t xml:space="preserve">)  في (ك): [قال] بدل [وقال].  </w:t>
      </w:r>
    </w:p>
  </w:footnote>
  <w:footnote w:id="257">
    <w:p w:rsidR="003F128F" w:rsidRPr="00CF6758" w:rsidRDefault="003F128F" w:rsidP="00A41C3A">
      <w:pPr>
        <w:pStyle w:val="af3"/>
        <w:rPr>
          <w:rFonts w:ascii="Traditional Arabic" w:hAnsi="Traditional Arabic"/>
          <w:sz w:val="32"/>
          <w:szCs w:val="32"/>
        </w:rPr>
      </w:pPr>
      <w:r w:rsidRPr="00CF6758">
        <w:rPr>
          <w:rFonts w:ascii="Traditional Arabic" w:hAnsi="Traditional Arabic"/>
          <w:sz w:val="32"/>
          <w:szCs w:val="32"/>
          <w:rtl/>
        </w:rPr>
        <w:t>(</w:t>
      </w:r>
      <w:r w:rsidRPr="00CF6758">
        <w:rPr>
          <w:rStyle w:val="ae"/>
          <w:rFonts w:ascii="Traditional Arabic" w:hAnsi="Traditional Arabic"/>
          <w:sz w:val="32"/>
          <w:szCs w:val="32"/>
          <w:vertAlign w:val="baseline"/>
        </w:rPr>
        <w:footnoteRef/>
      </w:r>
      <w:r w:rsidRPr="00CF6758">
        <w:rPr>
          <w:rFonts w:ascii="Traditional Arabic" w:hAnsi="Traditional Arabic"/>
          <w:sz w:val="32"/>
          <w:szCs w:val="32"/>
          <w:rtl/>
        </w:rPr>
        <w:t xml:space="preserve">) هو أبو جهل </w:t>
      </w:r>
      <w:r w:rsidRPr="00CF6758">
        <w:rPr>
          <w:rFonts w:ascii="Traditional Arabic" w:hAnsi="Traditional Arabic"/>
          <w:sz w:val="32"/>
          <w:szCs w:val="32"/>
          <w:rtl/>
          <w:lang w:eastAsia="en-US"/>
        </w:rPr>
        <w:t>عمرو بن هشام بن المغيرة المخزومي القرشي، أشد الناس عداوة للنّبيّ صلّى الله عليه وسلم في صدر الإسلام، (ت2ه). انظر: تهذيب الأسماء</w:t>
      </w:r>
      <w:r>
        <w:rPr>
          <w:rFonts w:ascii="Traditional Arabic" w:hAnsi="Traditional Arabic" w:hint="cs"/>
          <w:sz w:val="32"/>
          <w:szCs w:val="32"/>
          <w:rtl/>
          <w:lang w:eastAsia="en-US"/>
        </w:rPr>
        <w:t xml:space="preserve"> واللغات</w:t>
      </w:r>
      <w:r w:rsidRPr="00CF6758">
        <w:rPr>
          <w:rFonts w:ascii="Traditional Arabic" w:hAnsi="Traditional Arabic"/>
          <w:sz w:val="32"/>
          <w:szCs w:val="32"/>
          <w:rtl/>
          <w:lang w:eastAsia="en-US"/>
        </w:rPr>
        <w:t xml:space="preserve"> للنووي</w:t>
      </w:r>
      <w:r>
        <w:rPr>
          <w:rFonts w:ascii="Traditional Arabic" w:hAnsi="Traditional Arabic"/>
          <w:sz w:val="32"/>
          <w:szCs w:val="32"/>
          <w:rtl/>
          <w:lang w:eastAsia="en-US"/>
        </w:rPr>
        <w:t xml:space="preserve"> (2/206)، ال</w:t>
      </w:r>
      <w:r>
        <w:rPr>
          <w:rFonts w:ascii="Traditional Arabic" w:hAnsi="Traditional Arabic" w:hint="cs"/>
          <w:sz w:val="32"/>
          <w:szCs w:val="32"/>
          <w:rtl/>
          <w:lang w:eastAsia="en-US"/>
        </w:rPr>
        <w:t>أ</w:t>
      </w:r>
      <w:r w:rsidRPr="00CF6758">
        <w:rPr>
          <w:rFonts w:ascii="Traditional Arabic" w:hAnsi="Traditional Arabic"/>
          <w:sz w:val="32"/>
          <w:szCs w:val="32"/>
          <w:rtl/>
          <w:lang w:eastAsia="en-US"/>
        </w:rPr>
        <w:t>علام (5/87).</w:t>
      </w:r>
    </w:p>
  </w:footnote>
  <w:footnote w:id="258">
    <w:p w:rsidR="003F128F" w:rsidRPr="004E3B6C" w:rsidRDefault="003F128F" w:rsidP="00CF6758">
      <w:pPr>
        <w:pStyle w:val="af3"/>
        <w:rPr>
          <w:rFonts w:ascii="Tahoma" w:hAnsi="Tahoma"/>
        </w:rPr>
      </w:pPr>
      <w:r w:rsidRPr="00CF6758">
        <w:rPr>
          <w:rFonts w:ascii="Traditional Arabic" w:hAnsi="Traditional Arabic"/>
          <w:sz w:val="32"/>
          <w:szCs w:val="32"/>
          <w:rtl/>
        </w:rPr>
        <w:t>(</w:t>
      </w:r>
      <w:r w:rsidRPr="00CF6758">
        <w:rPr>
          <w:rStyle w:val="ae"/>
          <w:rFonts w:ascii="Traditional Arabic" w:hAnsi="Traditional Arabic"/>
          <w:sz w:val="32"/>
          <w:szCs w:val="32"/>
          <w:vertAlign w:val="baseline"/>
        </w:rPr>
        <w:footnoteRef/>
      </w:r>
      <w:r w:rsidRPr="00CF6758">
        <w:rPr>
          <w:rFonts w:ascii="Traditional Arabic" w:hAnsi="Traditional Arabic"/>
          <w:sz w:val="32"/>
          <w:szCs w:val="32"/>
          <w:rtl/>
        </w:rPr>
        <w:t>)  قريش: قبيلة معروفة مشهورة</w:t>
      </w:r>
      <w:r>
        <w:rPr>
          <w:rFonts w:ascii="Traditional Arabic" w:hAnsi="Traditional Arabic" w:hint="cs"/>
          <w:sz w:val="32"/>
          <w:szCs w:val="32"/>
          <w:rtl/>
        </w:rPr>
        <w:t>,</w:t>
      </w:r>
      <w:r w:rsidRPr="00CF6758">
        <w:rPr>
          <w:rFonts w:ascii="Traditional Arabic" w:hAnsi="Traditional Arabic"/>
          <w:sz w:val="32"/>
          <w:szCs w:val="32"/>
          <w:rtl/>
        </w:rPr>
        <w:t xml:space="preserve"> وهم بنو فهر بن مالك بن النضر بن كنانة, وقيل: اسم فهر بن مالك: قريش، وأمه: جندلة بنت الحارث. انظر: نسب قريش لأبي عبد الله الزبيري, (ص12).</w:t>
      </w:r>
    </w:p>
  </w:footnote>
  <w:footnote w:id="259">
    <w:p w:rsidR="003F128F" w:rsidRPr="008474CB" w:rsidRDefault="003F128F" w:rsidP="008474CB">
      <w:pPr>
        <w:pStyle w:val="af3"/>
        <w:rPr>
          <w:rFonts w:ascii="Traditional Arabic" w:hAnsi="Traditional Arabic"/>
          <w:sz w:val="32"/>
          <w:szCs w:val="32"/>
        </w:rPr>
      </w:pPr>
      <w:r w:rsidRPr="008474CB">
        <w:rPr>
          <w:rFonts w:ascii="Traditional Arabic" w:hAnsi="Traditional Arabic"/>
          <w:sz w:val="32"/>
          <w:szCs w:val="32"/>
          <w:rtl/>
        </w:rPr>
        <w:t>(</w:t>
      </w:r>
      <w:r w:rsidRPr="008474CB">
        <w:rPr>
          <w:rStyle w:val="ae"/>
          <w:rFonts w:ascii="Traditional Arabic" w:hAnsi="Traditional Arabic"/>
          <w:sz w:val="32"/>
          <w:szCs w:val="32"/>
          <w:vertAlign w:val="baseline"/>
        </w:rPr>
        <w:footnoteRef/>
      </w:r>
      <w:r w:rsidRPr="008474CB">
        <w:rPr>
          <w:rFonts w:ascii="Traditional Arabic" w:hAnsi="Traditional Arabic"/>
          <w:sz w:val="32"/>
          <w:szCs w:val="32"/>
          <w:rtl/>
        </w:rPr>
        <w:t xml:space="preserve">) هو صاحب رسول الله </w:t>
      </w:r>
      <w:r w:rsidRPr="008474CB">
        <w:rPr>
          <w:rFonts w:ascii="Traditional Arabic" w:hAnsi="Traditional Arabic"/>
          <w:sz w:val="32"/>
          <w:szCs w:val="32"/>
        </w:rPr>
        <w:sym w:font="AGA Arabesque" w:char="F072"/>
      </w:r>
      <w:r w:rsidRPr="008474CB">
        <w:rPr>
          <w:rFonts w:ascii="Traditional Arabic" w:hAnsi="Traditional Arabic" w:hint="cs"/>
          <w:color w:val="auto"/>
          <w:sz w:val="32"/>
          <w:szCs w:val="32"/>
          <w:rtl/>
          <w:lang w:eastAsia="en-US"/>
        </w:rPr>
        <w:t xml:space="preserve"> </w:t>
      </w:r>
      <w:r>
        <w:rPr>
          <w:rFonts w:ascii="Traditional Arabic" w:hAnsi="Traditional Arabic"/>
          <w:color w:val="auto"/>
          <w:sz w:val="32"/>
          <w:szCs w:val="32"/>
          <w:rtl/>
          <w:lang w:eastAsia="en-US"/>
        </w:rPr>
        <w:t>عبد الله بن الزِّبَعْرَ</w:t>
      </w:r>
      <w:r>
        <w:rPr>
          <w:rFonts w:ascii="Traditional Arabic" w:hAnsi="Traditional Arabic" w:hint="cs"/>
          <w:color w:val="auto"/>
          <w:sz w:val="32"/>
          <w:szCs w:val="32"/>
          <w:rtl/>
          <w:lang w:eastAsia="en-US"/>
        </w:rPr>
        <w:t>ي</w:t>
      </w:r>
      <w:r w:rsidRPr="008474CB">
        <w:rPr>
          <w:rFonts w:ascii="Traditional Arabic" w:hAnsi="Traditional Arabic"/>
          <w:color w:val="auto"/>
          <w:sz w:val="32"/>
          <w:szCs w:val="32"/>
          <w:rtl/>
          <w:lang w:eastAsia="en-US"/>
        </w:rPr>
        <w:t xml:space="preserve"> بن قيس بن عدي القرشي، كان شاعرًا ج</w:t>
      </w:r>
      <w:r>
        <w:rPr>
          <w:rFonts w:ascii="Traditional Arabic" w:hAnsi="Traditional Arabic" w:hint="cs"/>
          <w:color w:val="auto"/>
          <w:sz w:val="32"/>
          <w:szCs w:val="32"/>
          <w:rtl/>
          <w:lang w:eastAsia="en-US"/>
        </w:rPr>
        <w:t>َ</w:t>
      </w:r>
      <w:r w:rsidRPr="008474CB">
        <w:rPr>
          <w:rFonts w:ascii="Traditional Arabic" w:hAnsi="Traditional Arabic"/>
          <w:color w:val="auto"/>
          <w:sz w:val="32"/>
          <w:szCs w:val="32"/>
          <w:rtl/>
          <w:lang w:eastAsia="en-US"/>
        </w:rPr>
        <w:t>د</w:t>
      </w:r>
      <w:r>
        <w:rPr>
          <w:rFonts w:ascii="Traditional Arabic" w:hAnsi="Traditional Arabic" w:hint="cs"/>
          <w:color w:val="auto"/>
          <w:sz w:val="32"/>
          <w:szCs w:val="32"/>
          <w:rtl/>
          <w:lang w:eastAsia="en-US"/>
        </w:rPr>
        <w:t>ِ</w:t>
      </w:r>
      <w:r w:rsidRPr="008474CB">
        <w:rPr>
          <w:rFonts w:ascii="Traditional Arabic" w:hAnsi="Traditional Arabic"/>
          <w:color w:val="auto"/>
          <w:sz w:val="32"/>
          <w:szCs w:val="32"/>
          <w:rtl/>
          <w:lang w:eastAsia="en-US"/>
        </w:rPr>
        <w:t>لًا، يناضل عن قريش ويهاجي المسلمين وهو مشرك، ثم أسلم بعد الفتح، وحسن إسلامه، (ت15ه). انظر: معرفة الصحابة لأبي نعيم (3/1662)، الاستيعاب لابن عبد البر (3/901)</w:t>
      </w:r>
      <w:r w:rsidRPr="008474CB">
        <w:rPr>
          <w:rFonts w:ascii="Traditional Arabic" w:hAnsi="Traditional Arabic"/>
          <w:sz w:val="32"/>
          <w:szCs w:val="32"/>
          <w:rtl/>
          <w:lang w:eastAsia="en-US"/>
        </w:rPr>
        <w:t xml:space="preserve">، </w:t>
      </w:r>
    </w:p>
  </w:footnote>
  <w:footnote w:id="260">
    <w:p w:rsidR="003F128F" w:rsidRPr="008474CB" w:rsidRDefault="003F128F" w:rsidP="00A95665">
      <w:pPr>
        <w:pStyle w:val="af3"/>
        <w:rPr>
          <w:rFonts w:ascii="Traditional Arabic" w:hAnsi="Traditional Arabic"/>
          <w:sz w:val="32"/>
          <w:szCs w:val="32"/>
        </w:rPr>
      </w:pPr>
      <w:r w:rsidRPr="008474CB">
        <w:rPr>
          <w:rFonts w:ascii="Traditional Arabic" w:hAnsi="Traditional Arabic"/>
          <w:sz w:val="32"/>
          <w:szCs w:val="32"/>
          <w:rtl/>
        </w:rPr>
        <w:t>(</w:t>
      </w:r>
      <w:r w:rsidRPr="008474CB">
        <w:rPr>
          <w:rStyle w:val="ae"/>
          <w:rFonts w:ascii="Traditional Arabic" w:hAnsi="Traditional Arabic"/>
          <w:sz w:val="32"/>
          <w:szCs w:val="32"/>
          <w:vertAlign w:val="baseline"/>
        </w:rPr>
        <w:footnoteRef/>
      </w:r>
      <w:r w:rsidRPr="008474CB">
        <w:rPr>
          <w:rFonts w:ascii="Traditional Arabic" w:hAnsi="Traditional Arabic"/>
          <w:sz w:val="32"/>
          <w:szCs w:val="32"/>
          <w:rtl/>
        </w:rPr>
        <w:t>) الب</w:t>
      </w:r>
      <w:r>
        <w:rPr>
          <w:rFonts w:ascii="Traditional Arabic" w:hAnsi="Traditional Arabic" w:hint="cs"/>
          <w:sz w:val="32"/>
          <w:szCs w:val="32"/>
          <w:rtl/>
        </w:rPr>
        <w:t>َ</w:t>
      </w:r>
      <w:r w:rsidRPr="008474CB">
        <w:rPr>
          <w:rFonts w:ascii="Traditional Arabic" w:hAnsi="Traditional Arabic"/>
          <w:sz w:val="32"/>
          <w:szCs w:val="32"/>
          <w:rtl/>
        </w:rPr>
        <w:t>رب</w:t>
      </w:r>
      <w:r>
        <w:rPr>
          <w:rFonts w:ascii="Traditional Arabic" w:hAnsi="Traditional Arabic" w:hint="cs"/>
          <w:sz w:val="32"/>
          <w:szCs w:val="32"/>
          <w:rtl/>
        </w:rPr>
        <w:t>َ</w:t>
      </w:r>
      <w:r w:rsidRPr="008474CB">
        <w:rPr>
          <w:rFonts w:ascii="Traditional Arabic" w:hAnsi="Traditional Arabic"/>
          <w:sz w:val="32"/>
          <w:szCs w:val="32"/>
          <w:rtl/>
        </w:rPr>
        <w:t>ر: بفتح الباءين, هذه النسبة إِلى بلاد الب</w:t>
      </w:r>
      <w:r>
        <w:rPr>
          <w:rFonts w:ascii="Traditional Arabic" w:hAnsi="Traditional Arabic" w:hint="cs"/>
          <w:sz w:val="32"/>
          <w:szCs w:val="32"/>
          <w:rtl/>
        </w:rPr>
        <w:t>َ</w:t>
      </w:r>
      <w:r w:rsidRPr="008474CB">
        <w:rPr>
          <w:rFonts w:ascii="Traditional Arabic" w:hAnsi="Traditional Arabic"/>
          <w:sz w:val="32"/>
          <w:szCs w:val="32"/>
          <w:rtl/>
        </w:rPr>
        <w:t>رب</w:t>
      </w:r>
      <w:r>
        <w:rPr>
          <w:rFonts w:ascii="Traditional Arabic" w:hAnsi="Traditional Arabic" w:hint="cs"/>
          <w:sz w:val="32"/>
          <w:szCs w:val="32"/>
          <w:rtl/>
        </w:rPr>
        <w:t>َ</w:t>
      </w:r>
      <w:r w:rsidRPr="008474CB">
        <w:rPr>
          <w:rFonts w:ascii="Traditional Arabic" w:hAnsi="Traditional Arabic"/>
          <w:sz w:val="32"/>
          <w:szCs w:val="32"/>
          <w:rtl/>
        </w:rPr>
        <w:t>ر وهم جيل كبير من ناحية كبيرة من بلاد الْمغرب. انظر:</w:t>
      </w:r>
      <w:r w:rsidRPr="008474CB">
        <w:rPr>
          <w:rFonts w:ascii="Traditional Arabic" w:hAnsi="Traditional Arabic"/>
          <w:sz w:val="32"/>
          <w:szCs w:val="32"/>
          <w:rtl/>
          <w:lang w:eastAsia="en-US"/>
        </w:rPr>
        <w:t xml:space="preserve"> </w:t>
      </w:r>
      <w:r w:rsidRPr="008474CB">
        <w:rPr>
          <w:rFonts w:ascii="Traditional Arabic" w:hAnsi="Traditional Arabic"/>
          <w:sz w:val="32"/>
          <w:szCs w:val="32"/>
          <w:rtl/>
        </w:rPr>
        <w:t>اللباب في تهذيب الأنساب لابن الأثير (1/132).</w:t>
      </w:r>
    </w:p>
  </w:footnote>
  <w:footnote w:id="261">
    <w:p w:rsidR="003F128F" w:rsidRPr="008474CB" w:rsidRDefault="003F128F" w:rsidP="00A95665">
      <w:pPr>
        <w:pStyle w:val="af3"/>
        <w:rPr>
          <w:rFonts w:ascii="Traditional Arabic" w:hAnsi="Traditional Arabic"/>
          <w:sz w:val="32"/>
          <w:szCs w:val="32"/>
        </w:rPr>
      </w:pPr>
      <w:r w:rsidRPr="008474CB">
        <w:rPr>
          <w:rFonts w:ascii="Traditional Arabic" w:hAnsi="Traditional Arabic"/>
          <w:sz w:val="32"/>
          <w:szCs w:val="32"/>
          <w:rtl/>
        </w:rPr>
        <w:t>(</w:t>
      </w:r>
      <w:r w:rsidRPr="008474CB">
        <w:rPr>
          <w:rStyle w:val="ae"/>
          <w:rFonts w:ascii="Traditional Arabic" w:hAnsi="Traditional Arabic"/>
          <w:sz w:val="32"/>
          <w:szCs w:val="32"/>
          <w:vertAlign w:val="baseline"/>
        </w:rPr>
        <w:footnoteRef/>
      </w:r>
      <w:r w:rsidRPr="008474CB">
        <w:rPr>
          <w:rFonts w:ascii="Traditional Arabic" w:hAnsi="Traditional Arabic"/>
          <w:sz w:val="32"/>
          <w:szCs w:val="32"/>
          <w:rtl/>
        </w:rPr>
        <w:t>)</w:t>
      </w:r>
      <w:r w:rsidRPr="008474CB">
        <w:rPr>
          <w:rFonts w:ascii="Traditional Arabic" w:hAnsi="Traditional Arabic" w:hint="cs"/>
          <w:sz w:val="32"/>
          <w:szCs w:val="32"/>
          <w:rtl/>
        </w:rPr>
        <w:t xml:space="preserve"> </w:t>
      </w:r>
      <w:r w:rsidRPr="008474CB">
        <w:rPr>
          <w:rFonts w:ascii="Traditional Arabic" w:hAnsi="Traditional Arabic"/>
          <w:color w:val="auto"/>
          <w:sz w:val="32"/>
          <w:szCs w:val="32"/>
          <w:rtl/>
          <w:lang w:eastAsia="en-US"/>
        </w:rPr>
        <w:t xml:space="preserve">الزُّبْد: زُبْدُ السَّمْن قبل أن </w:t>
      </w:r>
      <w:r>
        <w:rPr>
          <w:rFonts w:ascii="Traditional Arabic" w:hAnsi="Traditional Arabic" w:hint="cs"/>
          <w:color w:val="auto"/>
          <w:sz w:val="32"/>
          <w:szCs w:val="32"/>
          <w:rtl/>
          <w:lang w:eastAsia="en-US"/>
        </w:rPr>
        <w:t>يذاب</w:t>
      </w:r>
      <w:r w:rsidRPr="008474CB">
        <w:rPr>
          <w:rFonts w:ascii="Traditional Arabic" w:hAnsi="Traditional Arabic"/>
          <w:color w:val="auto"/>
          <w:sz w:val="32"/>
          <w:szCs w:val="32"/>
          <w:rtl/>
          <w:lang w:eastAsia="en-US"/>
        </w:rPr>
        <w:t>، والقِطْعةُ منه: زُبْدة</w:t>
      </w:r>
      <w:r w:rsidRPr="008474CB">
        <w:rPr>
          <w:rFonts w:ascii="Traditional Arabic" w:hAnsi="Traditional Arabic"/>
          <w:b/>
          <w:bCs/>
          <w:color w:val="auto"/>
          <w:sz w:val="32"/>
          <w:szCs w:val="32"/>
          <w:rtl/>
          <w:lang w:eastAsia="en-US"/>
        </w:rPr>
        <w:t xml:space="preserve">. </w:t>
      </w:r>
      <w:r w:rsidRPr="008474CB">
        <w:rPr>
          <w:rFonts w:ascii="Traditional Arabic" w:hAnsi="Traditional Arabic"/>
          <w:color w:val="auto"/>
          <w:sz w:val="32"/>
          <w:szCs w:val="32"/>
          <w:rtl/>
          <w:lang w:eastAsia="en-US"/>
        </w:rPr>
        <w:t>انظر العين</w:t>
      </w:r>
      <w:r w:rsidRPr="008474CB">
        <w:rPr>
          <w:rFonts w:ascii="Traditional Arabic" w:hAnsi="Traditional Arabic"/>
          <w:b/>
          <w:bCs/>
          <w:color w:val="auto"/>
          <w:sz w:val="32"/>
          <w:szCs w:val="32"/>
          <w:rtl/>
          <w:lang w:eastAsia="en-US"/>
        </w:rPr>
        <w:t xml:space="preserve"> </w:t>
      </w:r>
      <w:r w:rsidRPr="008474CB">
        <w:rPr>
          <w:rFonts w:ascii="Traditional Arabic" w:hAnsi="Traditional Arabic"/>
          <w:sz w:val="32"/>
          <w:szCs w:val="32"/>
          <w:rtl/>
        </w:rPr>
        <w:t>(7/357) مادة (زبد).</w:t>
      </w:r>
    </w:p>
  </w:footnote>
  <w:footnote w:id="262">
    <w:p w:rsidR="003F128F" w:rsidRPr="008474CB" w:rsidRDefault="003F128F" w:rsidP="00AB6719">
      <w:pPr>
        <w:pStyle w:val="af3"/>
        <w:jc w:val="left"/>
        <w:rPr>
          <w:rFonts w:ascii="Traditional Arabic" w:hAnsi="Traditional Arabic"/>
          <w:sz w:val="32"/>
          <w:szCs w:val="32"/>
        </w:rPr>
      </w:pPr>
      <w:r w:rsidRPr="008474CB">
        <w:rPr>
          <w:rFonts w:ascii="Traditional Arabic" w:hAnsi="Traditional Arabic"/>
          <w:sz w:val="32"/>
          <w:szCs w:val="32"/>
          <w:rtl/>
        </w:rPr>
        <w:t>(</w:t>
      </w:r>
      <w:r w:rsidRPr="008474CB">
        <w:rPr>
          <w:rStyle w:val="ae"/>
          <w:rFonts w:ascii="Traditional Arabic" w:hAnsi="Traditional Arabic"/>
          <w:sz w:val="32"/>
          <w:szCs w:val="32"/>
          <w:vertAlign w:val="baseline"/>
        </w:rPr>
        <w:footnoteRef/>
      </w:r>
      <w:r w:rsidRPr="008474CB">
        <w:rPr>
          <w:rFonts w:ascii="Traditional Arabic" w:hAnsi="Traditional Arabic"/>
          <w:sz w:val="32"/>
          <w:szCs w:val="32"/>
          <w:rtl/>
        </w:rPr>
        <w:t>) انظر: تفسير مقاتل بن سليمان (2/539), وقد ذكره ابن جرير مختصراً من طريق عطية العوفي عن ابن عباس رضي الله عنهما. انظر تفسير الطبري (17/484).</w:t>
      </w:r>
    </w:p>
  </w:footnote>
  <w:footnote w:id="263">
    <w:p w:rsidR="003F128F" w:rsidRPr="008474CB" w:rsidRDefault="003F128F" w:rsidP="00C33670">
      <w:pPr>
        <w:pStyle w:val="af3"/>
        <w:jc w:val="left"/>
        <w:rPr>
          <w:rFonts w:ascii="Traditional Arabic" w:hAnsi="Traditional Arabic"/>
          <w:sz w:val="32"/>
          <w:szCs w:val="32"/>
        </w:rPr>
      </w:pPr>
      <w:r w:rsidRPr="008474CB">
        <w:rPr>
          <w:rFonts w:ascii="Traditional Arabic" w:hAnsi="Traditional Arabic"/>
          <w:sz w:val="32"/>
          <w:szCs w:val="32"/>
          <w:rtl/>
        </w:rPr>
        <w:t>(</w:t>
      </w:r>
      <w:r w:rsidRPr="008474CB">
        <w:rPr>
          <w:rStyle w:val="ae"/>
          <w:rFonts w:ascii="Traditional Arabic" w:hAnsi="Traditional Arabic"/>
          <w:sz w:val="32"/>
          <w:szCs w:val="32"/>
          <w:vertAlign w:val="baseline"/>
        </w:rPr>
        <w:footnoteRef/>
      </w:r>
      <w:r w:rsidRPr="008474CB">
        <w:rPr>
          <w:rFonts w:ascii="Traditional Arabic" w:hAnsi="Traditional Arabic"/>
          <w:sz w:val="32"/>
          <w:szCs w:val="32"/>
          <w:rtl/>
        </w:rPr>
        <w:t>) انظر: غريب القرآن (</w:t>
      </w:r>
      <w:r>
        <w:rPr>
          <w:rFonts w:ascii="Traditional Arabic" w:hAnsi="Traditional Arabic" w:hint="cs"/>
          <w:sz w:val="32"/>
          <w:szCs w:val="32"/>
          <w:rtl/>
        </w:rPr>
        <w:t>ص</w:t>
      </w:r>
      <w:r w:rsidRPr="008474CB">
        <w:rPr>
          <w:rFonts w:ascii="Traditional Arabic" w:hAnsi="Traditional Arabic"/>
          <w:sz w:val="32"/>
          <w:szCs w:val="32"/>
          <w:rtl/>
        </w:rPr>
        <w:t>258).</w:t>
      </w:r>
    </w:p>
  </w:footnote>
  <w:footnote w:id="264">
    <w:p w:rsidR="003F128F" w:rsidRPr="008474CB" w:rsidRDefault="003F128F" w:rsidP="00A95665">
      <w:pPr>
        <w:pStyle w:val="af3"/>
        <w:jc w:val="left"/>
        <w:rPr>
          <w:rFonts w:ascii="Traditional Arabic" w:hAnsi="Traditional Arabic"/>
          <w:sz w:val="32"/>
          <w:szCs w:val="32"/>
        </w:rPr>
      </w:pPr>
      <w:r w:rsidRPr="008474CB">
        <w:rPr>
          <w:rFonts w:ascii="Traditional Arabic" w:hAnsi="Traditional Arabic"/>
          <w:sz w:val="32"/>
          <w:szCs w:val="32"/>
          <w:rtl/>
        </w:rPr>
        <w:t>(</w:t>
      </w:r>
      <w:r w:rsidRPr="008474CB">
        <w:rPr>
          <w:rStyle w:val="ae"/>
          <w:rFonts w:ascii="Traditional Arabic" w:hAnsi="Traditional Arabic"/>
          <w:sz w:val="32"/>
          <w:szCs w:val="32"/>
          <w:vertAlign w:val="baseline"/>
        </w:rPr>
        <w:footnoteRef/>
      </w:r>
      <w:r w:rsidRPr="008474CB">
        <w:rPr>
          <w:rFonts w:ascii="Traditional Arabic" w:hAnsi="Traditional Arabic"/>
          <w:sz w:val="32"/>
          <w:szCs w:val="32"/>
          <w:rtl/>
        </w:rPr>
        <w:t xml:space="preserve">) انظر: التفسير الوسيط (3/115)، </w:t>
      </w:r>
      <w:r>
        <w:rPr>
          <w:rFonts w:ascii="Traditional Arabic" w:hAnsi="Traditional Arabic" w:hint="cs"/>
          <w:sz w:val="32"/>
          <w:szCs w:val="32"/>
          <w:rtl/>
        </w:rPr>
        <w:t>و</w:t>
      </w:r>
      <w:r w:rsidRPr="008474CB">
        <w:rPr>
          <w:rFonts w:ascii="Traditional Arabic" w:hAnsi="Traditional Arabic"/>
          <w:sz w:val="32"/>
          <w:szCs w:val="32"/>
          <w:rtl/>
        </w:rPr>
        <w:t>أسباب النزول للواحدي (ص296).</w:t>
      </w:r>
    </w:p>
  </w:footnote>
  <w:footnote w:id="265">
    <w:p w:rsidR="003F128F" w:rsidRPr="008474CB" w:rsidRDefault="003F128F" w:rsidP="00AB6719">
      <w:pPr>
        <w:pStyle w:val="af3"/>
        <w:rPr>
          <w:rFonts w:ascii="Traditional Arabic" w:hAnsi="Traditional Arabic"/>
          <w:sz w:val="32"/>
          <w:szCs w:val="32"/>
        </w:rPr>
      </w:pPr>
      <w:r w:rsidRPr="008474CB">
        <w:rPr>
          <w:rFonts w:ascii="Traditional Arabic" w:hAnsi="Traditional Arabic"/>
          <w:sz w:val="32"/>
          <w:szCs w:val="32"/>
          <w:rtl/>
        </w:rPr>
        <w:t>(</w:t>
      </w:r>
      <w:r w:rsidRPr="008474CB">
        <w:rPr>
          <w:rStyle w:val="ae"/>
          <w:rFonts w:ascii="Traditional Arabic" w:hAnsi="Traditional Arabic"/>
          <w:sz w:val="32"/>
          <w:szCs w:val="32"/>
          <w:vertAlign w:val="baseline"/>
        </w:rPr>
        <w:footnoteRef/>
      </w:r>
      <w:r w:rsidRPr="008474CB">
        <w:rPr>
          <w:rFonts w:ascii="Traditional Arabic" w:hAnsi="Traditional Arabic"/>
          <w:sz w:val="32"/>
          <w:szCs w:val="32"/>
          <w:rtl/>
        </w:rPr>
        <w:t xml:space="preserve">) هو </w:t>
      </w:r>
      <w:r>
        <w:rPr>
          <w:rFonts w:ascii="Traditional Arabic" w:hAnsi="Traditional Arabic"/>
          <w:sz w:val="32"/>
          <w:szCs w:val="32"/>
          <w:rtl/>
        </w:rPr>
        <w:t>الإمام</w:t>
      </w:r>
      <w:r w:rsidRPr="008474CB">
        <w:rPr>
          <w:rFonts w:ascii="Traditional Arabic" w:hAnsi="Traditional Arabic"/>
          <w:sz w:val="32"/>
          <w:szCs w:val="32"/>
          <w:rtl/>
        </w:rPr>
        <w:t xml:space="preserve"> </w:t>
      </w:r>
      <w:r w:rsidRPr="008474CB">
        <w:rPr>
          <w:rFonts w:ascii="Traditional Arabic" w:hAnsi="Traditional Arabic"/>
          <w:color w:val="auto"/>
          <w:sz w:val="32"/>
          <w:szCs w:val="32"/>
          <w:rtl/>
          <w:lang w:eastAsia="en-US"/>
        </w:rPr>
        <w:t>أبو إسحاق</w:t>
      </w:r>
      <w:r>
        <w:rPr>
          <w:rFonts w:ascii="Traditional Arabic" w:hAnsi="Traditional Arabic" w:hint="cs"/>
          <w:color w:val="auto"/>
          <w:sz w:val="32"/>
          <w:szCs w:val="32"/>
          <w:rtl/>
          <w:lang w:eastAsia="en-US"/>
        </w:rPr>
        <w:t>,</w:t>
      </w:r>
      <w:r w:rsidRPr="008474CB">
        <w:rPr>
          <w:rFonts w:ascii="Traditional Arabic" w:hAnsi="Traditional Arabic"/>
          <w:color w:val="auto"/>
          <w:sz w:val="32"/>
          <w:szCs w:val="32"/>
          <w:rtl/>
          <w:lang w:eastAsia="en-US"/>
        </w:rPr>
        <w:t xml:space="preserve"> إبراهيم بن محمد بن السري بن سهل الزجاج، النحوي، كان من أهل العلم بالأدب والدين المتين، وصنف كتاباً في معاني القرآن، وله كتاب "الأمالي"، </w:t>
      </w:r>
      <w:r w:rsidRPr="008474CB">
        <w:rPr>
          <w:rFonts w:ascii="Traditional Arabic" w:hAnsi="Traditional Arabic"/>
          <w:sz w:val="32"/>
          <w:szCs w:val="32"/>
          <w:rtl/>
          <w:lang w:eastAsia="en-US"/>
        </w:rPr>
        <w:t>وكتاب "النوادر"،</w:t>
      </w:r>
      <w:r w:rsidRPr="008474CB">
        <w:rPr>
          <w:rFonts w:ascii="Traditional Arabic" w:hAnsi="Traditional Arabic"/>
          <w:sz w:val="32"/>
          <w:szCs w:val="32"/>
          <w:rtl/>
        </w:rPr>
        <w:t xml:space="preserve"> وغيرها، (ت311ه)، انظر: وفيات الأعيان (1/49)، سير أعلام النبلاء (14/360).</w:t>
      </w:r>
    </w:p>
  </w:footnote>
  <w:footnote w:id="266">
    <w:p w:rsidR="003F128F" w:rsidRPr="008474CB" w:rsidRDefault="003F128F" w:rsidP="00F26697">
      <w:pPr>
        <w:pStyle w:val="af3"/>
        <w:rPr>
          <w:rFonts w:ascii="Traditional Arabic" w:hAnsi="Traditional Arabic"/>
          <w:sz w:val="32"/>
          <w:szCs w:val="32"/>
        </w:rPr>
      </w:pPr>
      <w:r w:rsidRPr="008474CB">
        <w:rPr>
          <w:rFonts w:ascii="Traditional Arabic" w:hAnsi="Traditional Arabic"/>
          <w:sz w:val="32"/>
          <w:szCs w:val="32"/>
          <w:rtl/>
        </w:rPr>
        <w:t>(</w:t>
      </w:r>
      <w:r w:rsidRPr="008474CB">
        <w:rPr>
          <w:rStyle w:val="ae"/>
          <w:rFonts w:ascii="Traditional Arabic" w:hAnsi="Traditional Arabic"/>
          <w:sz w:val="32"/>
          <w:szCs w:val="32"/>
          <w:vertAlign w:val="baseline"/>
        </w:rPr>
        <w:footnoteRef/>
      </w:r>
      <w:r w:rsidRPr="008474CB">
        <w:rPr>
          <w:rFonts w:ascii="Traditional Arabic" w:hAnsi="Traditional Arabic"/>
          <w:sz w:val="32"/>
          <w:szCs w:val="32"/>
          <w:rtl/>
        </w:rPr>
        <w:t xml:space="preserve">)  في (ك): [أَكَلَتِها].  </w:t>
      </w:r>
    </w:p>
  </w:footnote>
  <w:footnote w:id="267">
    <w:p w:rsidR="003F128F" w:rsidRPr="00D3629D" w:rsidRDefault="003F128F" w:rsidP="00AB6719">
      <w:pPr>
        <w:pStyle w:val="af3"/>
        <w:rPr>
          <w:rFonts w:ascii="Traditional Arabic" w:hAnsi="Traditional Arabic"/>
          <w:sz w:val="32"/>
          <w:szCs w:val="32"/>
        </w:rPr>
      </w:pPr>
      <w:r w:rsidRPr="008474CB">
        <w:rPr>
          <w:rFonts w:ascii="Traditional Arabic" w:hAnsi="Traditional Arabic"/>
          <w:sz w:val="32"/>
          <w:szCs w:val="32"/>
          <w:rtl/>
        </w:rPr>
        <w:t>(</w:t>
      </w:r>
      <w:r w:rsidRPr="008474CB">
        <w:rPr>
          <w:rStyle w:val="ae"/>
          <w:rFonts w:ascii="Traditional Arabic" w:hAnsi="Traditional Arabic"/>
          <w:sz w:val="32"/>
          <w:szCs w:val="32"/>
          <w:vertAlign w:val="baseline"/>
        </w:rPr>
        <w:footnoteRef/>
      </w:r>
      <w:r w:rsidRPr="008474CB">
        <w:rPr>
          <w:rFonts w:ascii="Traditional Arabic" w:hAnsi="Traditional Arabic"/>
          <w:sz w:val="32"/>
          <w:szCs w:val="32"/>
          <w:rtl/>
        </w:rPr>
        <w:t>) انظر: معاني القرآن وإعرابه للزجاج (3/248).</w:t>
      </w:r>
    </w:p>
  </w:footnote>
  <w:footnote w:id="268">
    <w:p w:rsidR="003F128F" w:rsidRPr="00D3629D" w:rsidRDefault="003F128F" w:rsidP="00B475A5">
      <w:pPr>
        <w:pStyle w:val="af3"/>
        <w:rPr>
          <w:rFonts w:ascii="Tahoma" w:hAnsi="Tahoma"/>
        </w:rPr>
      </w:pPr>
      <w:r w:rsidRPr="00D3629D">
        <w:rPr>
          <w:rFonts w:ascii="Traditional Arabic" w:hAnsi="Traditional Arabic"/>
          <w:sz w:val="32"/>
          <w:szCs w:val="32"/>
          <w:rtl/>
        </w:rPr>
        <w:t>(</w:t>
      </w:r>
      <w:r w:rsidRPr="00D3629D">
        <w:rPr>
          <w:rStyle w:val="ae"/>
          <w:rFonts w:ascii="Traditional Arabic" w:hAnsi="Traditional Arabic"/>
          <w:sz w:val="32"/>
          <w:szCs w:val="32"/>
          <w:vertAlign w:val="baseline"/>
        </w:rPr>
        <w:footnoteRef/>
      </w:r>
      <w:r>
        <w:rPr>
          <w:rFonts w:ascii="Traditional Arabic" w:hAnsi="Traditional Arabic"/>
          <w:sz w:val="32"/>
          <w:szCs w:val="32"/>
          <w:rtl/>
        </w:rPr>
        <w:t>)</w:t>
      </w:r>
      <w:r>
        <w:rPr>
          <w:rFonts w:ascii="Traditional Arabic" w:hAnsi="Traditional Arabic" w:hint="cs"/>
          <w:sz w:val="32"/>
          <w:szCs w:val="32"/>
          <w:rtl/>
        </w:rPr>
        <w:t xml:space="preserve"> </w:t>
      </w:r>
      <w:r w:rsidRPr="00D3629D">
        <w:rPr>
          <w:rFonts w:ascii="Traditional Arabic" w:hAnsi="Traditional Arabic"/>
          <w:sz w:val="32"/>
          <w:szCs w:val="32"/>
          <w:rtl/>
        </w:rPr>
        <w:t>لم أقف عليه, و</w:t>
      </w:r>
      <w:r>
        <w:rPr>
          <w:rFonts w:ascii="Traditional Arabic" w:hAnsi="Traditional Arabic" w:hint="cs"/>
          <w:sz w:val="32"/>
          <w:szCs w:val="32"/>
          <w:rtl/>
        </w:rPr>
        <w:t xml:space="preserve">قد </w:t>
      </w:r>
      <w:r w:rsidRPr="00D3629D">
        <w:rPr>
          <w:rFonts w:ascii="Traditional Arabic" w:hAnsi="Traditional Arabic"/>
          <w:sz w:val="32"/>
          <w:szCs w:val="32"/>
          <w:rtl/>
        </w:rPr>
        <w:t>ذكر بنحوه ابن عطية في المحرر الوجيز (3/468)، والثعالبي في</w:t>
      </w:r>
      <w:r>
        <w:rPr>
          <w:rFonts w:ascii="Traditional Arabic" w:hAnsi="Traditional Arabic" w:hint="cs"/>
          <w:sz w:val="32"/>
          <w:szCs w:val="32"/>
          <w:rtl/>
        </w:rPr>
        <w:t xml:space="preserve"> الجواهر الحسان</w:t>
      </w:r>
      <w:r w:rsidRPr="00D3629D">
        <w:rPr>
          <w:rFonts w:ascii="Traditional Arabic" w:hAnsi="Traditional Arabic"/>
          <w:sz w:val="32"/>
          <w:szCs w:val="32"/>
          <w:rtl/>
        </w:rPr>
        <w:t xml:space="preserve"> (3/483).</w:t>
      </w:r>
      <w:r>
        <w:rPr>
          <w:rFonts w:ascii="Tahoma" w:hAnsi="Tahoma"/>
          <w:rtl/>
        </w:rPr>
        <w:t xml:space="preserve"> </w:t>
      </w:r>
    </w:p>
  </w:footnote>
  <w:footnote w:id="269">
    <w:p w:rsidR="003F128F" w:rsidRPr="00A62777" w:rsidRDefault="003F128F" w:rsidP="003B24B1">
      <w:pPr>
        <w:pStyle w:val="af3"/>
        <w:rPr>
          <w:rFonts w:ascii="Traditional Arabic" w:hAnsi="Traditional Arabic"/>
          <w:sz w:val="32"/>
          <w:szCs w:val="32"/>
        </w:rPr>
      </w:pPr>
      <w:r w:rsidRPr="00A62777">
        <w:rPr>
          <w:rFonts w:ascii="Traditional Arabic" w:hAnsi="Traditional Arabic"/>
          <w:sz w:val="32"/>
          <w:szCs w:val="32"/>
          <w:rtl/>
        </w:rPr>
        <w:t>(</w:t>
      </w:r>
      <w:r w:rsidRPr="00A62777">
        <w:rPr>
          <w:rStyle w:val="ae"/>
          <w:rFonts w:ascii="Traditional Arabic" w:hAnsi="Traditional Arabic"/>
          <w:sz w:val="32"/>
          <w:szCs w:val="32"/>
          <w:vertAlign w:val="baseline"/>
        </w:rPr>
        <w:footnoteRef/>
      </w:r>
      <w:r w:rsidRPr="00A62777">
        <w:rPr>
          <w:rFonts w:ascii="Traditional Arabic" w:hAnsi="Traditional Arabic"/>
          <w:sz w:val="32"/>
          <w:szCs w:val="32"/>
          <w:rtl/>
        </w:rPr>
        <w:t>)</w:t>
      </w:r>
      <w:r w:rsidRPr="00A62777">
        <w:rPr>
          <w:rFonts w:ascii="Traditional Arabic" w:hAnsi="Traditional Arabic"/>
          <w:color w:val="auto"/>
          <w:sz w:val="32"/>
          <w:szCs w:val="32"/>
          <w:rtl/>
        </w:rPr>
        <w:t xml:space="preserve"> </w:t>
      </w:r>
      <w:r w:rsidRPr="00A62777">
        <w:rPr>
          <w:rFonts w:ascii="Traditional Arabic" w:hAnsi="Traditional Arabic"/>
          <w:color w:val="auto"/>
          <w:sz w:val="32"/>
          <w:szCs w:val="32"/>
          <w:rtl/>
          <w:lang w:eastAsia="en-US"/>
        </w:rPr>
        <w:t>الكَشُوثُ: نبات مجتث مقطوع الأصل، أصفر يتعلق بأطراف الشوك،</w:t>
      </w:r>
      <w:r w:rsidRPr="00A62777">
        <w:rPr>
          <w:rFonts w:ascii="Traditional Arabic" w:hAnsi="Traditional Arabic"/>
          <w:sz w:val="32"/>
          <w:szCs w:val="32"/>
          <w:rtl/>
          <w:lang w:eastAsia="en-US"/>
        </w:rPr>
        <w:t xml:space="preserve"> ويجعل ف</w:t>
      </w:r>
      <w:r>
        <w:rPr>
          <w:rFonts w:ascii="Traditional Arabic" w:hAnsi="Traditional Arabic"/>
          <w:sz w:val="32"/>
          <w:szCs w:val="32"/>
          <w:rtl/>
          <w:lang w:eastAsia="en-US"/>
        </w:rPr>
        <w:t>ي النبيذ، وهي من كلام أهل ال</w:t>
      </w:r>
      <w:r>
        <w:rPr>
          <w:rFonts w:ascii="Traditional Arabic" w:hAnsi="Traditional Arabic" w:hint="cs"/>
          <w:sz w:val="32"/>
          <w:szCs w:val="32"/>
          <w:rtl/>
          <w:lang w:eastAsia="en-US"/>
        </w:rPr>
        <w:t>حبشة</w:t>
      </w:r>
      <w:r w:rsidRPr="00A62777">
        <w:rPr>
          <w:rFonts w:ascii="Traditional Arabic" w:hAnsi="Traditional Arabic"/>
          <w:sz w:val="32"/>
          <w:szCs w:val="32"/>
          <w:rtl/>
          <w:lang w:eastAsia="en-US"/>
        </w:rPr>
        <w:t xml:space="preserve">، وليست بعربية محضة، يقولون: كَشُوثاء، </w:t>
      </w:r>
      <w:r w:rsidRPr="00A62777">
        <w:rPr>
          <w:rFonts w:ascii="Traditional Arabic" w:hAnsi="Traditional Arabic"/>
          <w:color w:val="auto"/>
          <w:sz w:val="32"/>
          <w:szCs w:val="32"/>
          <w:rtl/>
          <w:lang w:eastAsia="en-US"/>
        </w:rPr>
        <w:t>والكَشُوثَى: كل ذلك نبات مجتث مقطوع الأَصل</w:t>
      </w:r>
      <w:r w:rsidRPr="00A62777">
        <w:rPr>
          <w:rFonts w:ascii="Traditional Arabic" w:hAnsi="Traditional Arabic"/>
          <w:color w:val="auto"/>
          <w:sz w:val="32"/>
          <w:szCs w:val="32"/>
          <w:rtl/>
        </w:rPr>
        <w:t xml:space="preserve">. </w:t>
      </w:r>
      <w:r w:rsidRPr="00A62777">
        <w:rPr>
          <w:rFonts w:ascii="Traditional Arabic" w:hAnsi="Traditional Arabic"/>
          <w:sz w:val="32"/>
          <w:szCs w:val="32"/>
          <w:rtl/>
        </w:rPr>
        <w:t>انظر: العين</w:t>
      </w:r>
      <w:r>
        <w:rPr>
          <w:rFonts w:ascii="Traditional Arabic" w:hAnsi="Traditional Arabic" w:hint="cs"/>
          <w:sz w:val="32"/>
          <w:szCs w:val="32"/>
          <w:rtl/>
        </w:rPr>
        <w:t xml:space="preserve"> للخليل الفراهيدي</w:t>
      </w:r>
      <w:r w:rsidRPr="00A62777">
        <w:rPr>
          <w:rFonts w:ascii="Traditional Arabic" w:hAnsi="Traditional Arabic"/>
          <w:sz w:val="32"/>
          <w:szCs w:val="32"/>
          <w:rtl/>
        </w:rPr>
        <w:t xml:space="preserve"> (5/290) مادة (كشث)، لسان العرب (2/181), مادة (كشث).</w:t>
      </w:r>
    </w:p>
  </w:footnote>
  <w:footnote w:id="270">
    <w:p w:rsidR="003F128F" w:rsidRPr="00A62777" w:rsidRDefault="003F128F" w:rsidP="00A41C3A">
      <w:pPr>
        <w:pStyle w:val="af3"/>
        <w:rPr>
          <w:rFonts w:ascii="Traditional Arabic" w:hAnsi="Traditional Arabic"/>
          <w:sz w:val="32"/>
          <w:szCs w:val="32"/>
        </w:rPr>
      </w:pPr>
      <w:r w:rsidRPr="00A62777">
        <w:rPr>
          <w:rFonts w:ascii="Traditional Arabic" w:hAnsi="Traditional Arabic"/>
          <w:sz w:val="32"/>
          <w:szCs w:val="32"/>
          <w:rtl/>
        </w:rPr>
        <w:t>(</w:t>
      </w:r>
      <w:r w:rsidRPr="00A62777">
        <w:rPr>
          <w:rStyle w:val="ae"/>
          <w:rFonts w:ascii="Traditional Arabic" w:hAnsi="Traditional Arabic"/>
          <w:sz w:val="32"/>
          <w:szCs w:val="32"/>
          <w:vertAlign w:val="baseline"/>
        </w:rPr>
        <w:footnoteRef/>
      </w:r>
      <w:r>
        <w:rPr>
          <w:rFonts w:ascii="Traditional Arabic" w:hAnsi="Traditional Arabic"/>
          <w:sz w:val="32"/>
          <w:szCs w:val="32"/>
          <w:rtl/>
        </w:rPr>
        <w:t xml:space="preserve">) </w:t>
      </w:r>
      <w:r>
        <w:rPr>
          <w:rFonts w:ascii="Traditional Arabic" w:hAnsi="Traditional Arabic" w:hint="cs"/>
          <w:sz w:val="32"/>
          <w:szCs w:val="32"/>
          <w:rtl/>
        </w:rPr>
        <w:t>تفسير</w:t>
      </w:r>
      <w:r>
        <w:rPr>
          <w:rFonts w:ascii="Traditional Arabic" w:hAnsi="Traditional Arabic"/>
          <w:sz w:val="32"/>
          <w:szCs w:val="32"/>
          <w:rtl/>
        </w:rPr>
        <w:t xml:space="preserve"> الطبري (17/487)،</w:t>
      </w:r>
      <w:r w:rsidRPr="00A62777">
        <w:rPr>
          <w:rFonts w:ascii="Traditional Arabic" w:hAnsi="Traditional Arabic"/>
          <w:sz w:val="32"/>
          <w:szCs w:val="32"/>
          <w:rtl/>
        </w:rPr>
        <w:t xml:space="preserve"> الكشف والبيان (6/112).</w:t>
      </w:r>
    </w:p>
  </w:footnote>
  <w:footnote w:id="271">
    <w:p w:rsidR="003F128F" w:rsidRPr="00A62777" w:rsidRDefault="003F128F" w:rsidP="00CF6758">
      <w:pPr>
        <w:pStyle w:val="af3"/>
        <w:rPr>
          <w:rFonts w:ascii="Traditional Arabic" w:hAnsi="Traditional Arabic"/>
          <w:sz w:val="32"/>
          <w:szCs w:val="32"/>
        </w:rPr>
      </w:pPr>
      <w:r w:rsidRPr="00A62777">
        <w:rPr>
          <w:rFonts w:ascii="Traditional Arabic" w:hAnsi="Traditional Arabic"/>
          <w:sz w:val="32"/>
          <w:szCs w:val="32"/>
          <w:rtl/>
        </w:rPr>
        <w:t>(</w:t>
      </w:r>
      <w:r w:rsidRPr="00A62777">
        <w:rPr>
          <w:rStyle w:val="ae"/>
          <w:rFonts w:ascii="Traditional Arabic" w:hAnsi="Traditional Arabic"/>
          <w:sz w:val="32"/>
          <w:szCs w:val="32"/>
          <w:vertAlign w:val="baseline"/>
        </w:rPr>
        <w:footnoteRef/>
      </w:r>
      <w:r>
        <w:rPr>
          <w:rFonts w:ascii="Traditional Arabic" w:hAnsi="Traditional Arabic"/>
          <w:sz w:val="32"/>
          <w:szCs w:val="32"/>
          <w:rtl/>
        </w:rPr>
        <w:t>) سبق تخريجه في(ص</w:t>
      </w:r>
      <w:r>
        <w:rPr>
          <w:rFonts w:ascii="Traditional Arabic" w:hAnsi="Traditional Arabic" w:hint="cs"/>
          <w:sz w:val="32"/>
          <w:szCs w:val="32"/>
          <w:rtl/>
        </w:rPr>
        <w:t>95</w:t>
      </w:r>
      <w:r w:rsidRPr="00A62777">
        <w:rPr>
          <w:rFonts w:ascii="Traditional Arabic" w:hAnsi="Traditional Arabic"/>
          <w:sz w:val="32"/>
          <w:szCs w:val="32"/>
          <w:rtl/>
        </w:rPr>
        <w:t>).</w:t>
      </w:r>
    </w:p>
  </w:footnote>
  <w:footnote w:id="272">
    <w:p w:rsidR="003F128F" w:rsidRPr="00A62777" w:rsidRDefault="003F128F" w:rsidP="00D3629D">
      <w:pPr>
        <w:widowControl/>
        <w:autoSpaceDE w:val="0"/>
        <w:autoSpaceDN w:val="0"/>
        <w:adjustRightInd w:val="0"/>
        <w:ind w:firstLine="0"/>
        <w:rPr>
          <w:rFonts w:ascii="Traditional Arabic" w:hAnsi="Traditional Arabic"/>
          <w:sz w:val="32"/>
          <w:szCs w:val="32"/>
        </w:rPr>
      </w:pPr>
      <w:r w:rsidRPr="00A62777">
        <w:rPr>
          <w:rFonts w:ascii="Traditional Arabic" w:hAnsi="Traditional Arabic"/>
          <w:sz w:val="32"/>
          <w:szCs w:val="32"/>
          <w:rtl/>
        </w:rPr>
        <w:t>(</w:t>
      </w:r>
      <w:r w:rsidRPr="00A62777">
        <w:rPr>
          <w:rStyle w:val="ae"/>
          <w:rFonts w:ascii="Traditional Arabic" w:hAnsi="Traditional Arabic"/>
          <w:sz w:val="32"/>
          <w:szCs w:val="32"/>
          <w:vertAlign w:val="baseline"/>
        </w:rPr>
        <w:footnoteRef/>
      </w:r>
      <w:r w:rsidRPr="00A62777">
        <w:rPr>
          <w:rFonts w:ascii="Traditional Arabic" w:hAnsi="Traditional Arabic"/>
          <w:sz w:val="32"/>
          <w:szCs w:val="32"/>
          <w:rtl/>
        </w:rPr>
        <w:t>) لم أقف عليه, وقد ذكر بنحوه ابن كثير في تفسيره (5/84).</w:t>
      </w:r>
    </w:p>
  </w:footnote>
  <w:footnote w:id="273">
    <w:p w:rsidR="003F128F" w:rsidRPr="00A62777" w:rsidRDefault="003F128F" w:rsidP="004C1C4C">
      <w:pPr>
        <w:pStyle w:val="af3"/>
        <w:rPr>
          <w:rFonts w:ascii="Traditional Arabic" w:hAnsi="Traditional Arabic"/>
          <w:sz w:val="32"/>
          <w:szCs w:val="32"/>
        </w:rPr>
      </w:pPr>
      <w:r w:rsidRPr="00A62777">
        <w:rPr>
          <w:rFonts w:ascii="Traditional Arabic" w:hAnsi="Traditional Arabic"/>
          <w:sz w:val="32"/>
          <w:szCs w:val="32"/>
          <w:rtl/>
        </w:rPr>
        <w:t>(</w:t>
      </w:r>
      <w:r w:rsidRPr="00A62777">
        <w:rPr>
          <w:rStyle w:val="ae"/>
          <w:rFonts w:ascii="Traditional Arabic" w:hAnsi="Traditional Arabic"/>
          <w:sz w:val="32"/>
          <w:szCs w:val="32"/>
          <w:vertAlign w:val="baseline"/>
        </w:rPr>
        <w:footnoteRef/>
      </w:r>
      <w:r w:rsidRPr="00A62777">
        <w:rPr>
          <w:rFonts w:ascii="Traditional Arabic" w:hAnsi="Traditional Arabic"/>
          <w:sz w:val="32"/>
          <w:szCs w:val="32"/>
          <w:rtl/>
        </w:rPr>
        <w:t>) سورة البقرة</w:t>
      </w:r>
      <w:r>
        <w:rPr>
          <w:rFonts w:ascii="Traditional Arabic" w:hAnsi="Traditional Arabic" w:hint="cs"/>
          <w:sz w:val="32"/>
          <w:szCs w:val="32"/>
          <w:rtl/>
        </w:rPr>
        <w:t>,</w:t>
      </w:r>
      <w:r w:rsidRPr="00A62777">
        <w:rPr>
          <w:rFonts w:ascii="Traditional Arabic" w:hAnsi="Traditional Arabic"/>
          <w:sz w:val="32"/>
          <w:szCs w:val="32"/>
          <w:rtl/>
        </w:rPr>
        <w:t xml:space="preserve"> الآية: (15)</w:t>
      </w:r>
      <w:r>
        <w:rPr>
          <w:rFonts w:ascii="Traditional Arabic" w:hAnsi="Traditional Arabic"/>
          <w:sz w:val="32"/>
          <w:szCs w:val="32"/>
          <w:rtl/>
        </w:rPr>
        <w:t>. قال: الطغيان</w:t>
      </w:r>
      <w:r>
        <w:rPr>
          <w:rFonts w:ascii="Traditional Arabic" w:hAnsi="Traditional Arabic" w:hint="cs"/>
          <w:sz w:val="32"/>
          <w:szCs w:val="32"/>
          <w:rtl/>
        </w:rPr>
        <w:t>: الزيادة على القدر, والخروج عن حيز الاعتدال في الكثرة</w:t>
      </w:r>
      <w:r w:rsidRPr="00A62777">
        <w:rPr>
          <w:rFonts w:ascii="Traditional Arabic" w:hAnsi="Traditional Arabic"/>
          <w:sz w:val="32"/>
          <w:szCs w:val="32"/>
          <w:rtl/>
        </w:rPr>
        <w:t>.</w:t>
      </w:r>
      <w:r>
        <w:rPr>
          <w:rFonts w:ascii="Traditional Arabic" w:hAnsi="Traditional Arabic" w:hint="cs"/>
          <w:sz w:val="32"/>
          <w:szCs w:val="32"/>
          <w:rtl/>
        </w:rPr>
        <w:t xml:space="preserve"> انظر: زاد المسير: (1/36).</w:t>
      </w:r>
    </w:p>
  </w:footnote>
  <w:footnote w:id="274">
    <w:p w:rsidR="003F128F" w:rsidRPr="00A62777" w:rsidRDefault="003F128F" w:rsidP="00A62777">
      <w:pPr>
        <w:pStyle w:val="af3"/>
        <w:rPr>
          <w:rFonts w:ascii="Traditional Arabic" w:hAnsi="Traditional Arabic"/>
          <w:sz w:val="32"/>
          <w:szCs w:val="32"/>
        </w:rPr>
      </w:pPr>
      <w:r w:rsidRPr="00A62777">
        <w:rPr>
          <w:rFonts w:ascii="Traditional Arabic" w:hAnsi="Traditional Arabic"/>
          <w:sz w:val="32"/>
          <w:szCs w:val="32"/>
          <w:rtl/>
        </w:rPr>
        <w:t>(</w:t>
      </w:r>
      <w:r w:rsidRPr="00A62777">
        <w:rPr>
          <w:rStyle w:val="ae"/>
          <w:rFonts w:ascii="Traditional Arabic" w:hAnsi="Traditional Arabic"/>
          <w:sz w:val="32"/>
          <w:szCs w:val="32"/>
          <w:vertAlign w:val="baseline"/>
        </w:rPr>
        <w:footnoteRef/>
      </w:r>
      <w:r>
        <w:rPr>
          <w:rFonts w:ascii="Traditional Arabic" w:hAnsi="Traditional Arabic"/>
          <w:sz w:val="32"/>
          <w:szCs w:val="32"/>
          <w:rtl/>
        </w:rPr>
        <w:t>) في</w:t>
      </w:r>
      <w:r>
        <w:rPr>
          <w:rFonts w:ascii="Traditional Arabic" w:hAnsi="Traditional Arabic" w:hint="cs"/>
          <w:sz w:val="32"/>
          <w:szCs w:val="32"/>
          <w:rtl/>
        </w:rPr>
        <w:t xml:space="preserve"> الأصل:</w:t>
      </w:r>
      <w:r>
        <w:rPr>
          <w:rFonts w:ascii="Traditional Arabic" w:hAnsi="Traditional Arabic"/>
          <w:sz w:val="32"/>
          <w:szCs w:val="32"/>
          <w:rtl/>
        </w:rPr>
        <w:t xml:space="preserve"> </w:t>
      </w:r>
      <w:r>
        <w:rPr>
          <w:rFonts w:ascii="Traditional Arabic" w:hAnsi="Traditional Arabic" w:hint="cs"/>
          <w:sz w:val="32"/>
          <w:szCs w:val="32"/>
          <w:rtl/>
        </w:rPr>
        <w:t>[</w:t>
      </w:r>
      <w:r>
        <w:rPr>
          <w:rFonts w:ascii="Traditional Arabic" w:hAnsi="Traditional Arabic"/>
          <w:sz w:val="32"/>
          <w:szCs w:val="32"/>
          <w:rtl/>
        </w:rPr>
        <w:t>ها هناك</w:t>
      </w:r>
      <w:r>
        <w:rPr>
          <w:rFonts w:ascii="Traditional Arabic" w:hAnsi="Traditional Arabic" w:hint="cs"/>
          <w:sz w:val="32"/>
          <w:szCs w:val="32"/>
          <w:rtl/>
        </w:rPr>
        <w:t>], والمثبت من (ك)</w:t>
      </w:r>
      <w:r w:rsidRPr="00A62777">
        <w:rPr>
          <w:rFonts w:ascii="Traditional Arabic" w:hAnsi="Traditional Arabic"/>
          <w:sz w:val="32"/>
          <w:szCs w:val="32"/>
          <w:rtl/>
        </w:rPr>
        <w:t>.</w:t>
      </w:r>
    </w:p>
  </w:footnote>
  <w:footnote w:id="275">
    <w:p w:rsidR="003F128F" w:rsidRPr="00A62777" w:rsidRDefault="003F128F" w:rsidP="004C1C4C">
      <w:pPr>
        <w:pStyle w:val="af3"/>
        <w:rPr>
          <w:rFonts w:ascii="Traditional Arabic" w:hAnsi="Traditional Arabic"/>
          <w:sz w:val="32"/>
          <w:szCs w:val="32"/>
        </w:rPr>
      </w:pPr>
      <w:r w:rsidRPr="00A62777">
        <w:rPr>
          <w:rFonts w:ascii="Traditional Arabic" w:hAnsi="Traditional Arabic"/>
          <w:sz w:val="32"/>
          <w:szCs w:val="32"/>
          <w:rtl/>
        </w:rPr>
        <w:t>(</w:t>
      </w:r>
      <w:r w:rsidRPr="00A62777">
        <w:rPr>
          <w:rStyle w:val="ae"/>
          <w:rFonts w:ascii="Traditional Arabic" w:hAnsi="Traditional Arabic"/>
          <w:sz w:val="32"/>
          <w:szCs w:val="32"/>
          <w:vertAlign w:val="baseline"/>
        </w:rPr>
        <w:footnoteRef/>
      </w:r>
      <w:r w:rsidRPr="00A62777">
        <w:rPr>
          <w:rFonts w:ascii="Traditional Arabic" w:hAnsi="Traditional Arabic"/>
          <w:sz w:val="32"/>
          <w:szCs w:val="32"/>
          <w:rtl/>
        </w:rPr>
        <w:t>) انظر: زاد المسير (1/64).</w:t>
      </w:r>
    </w:p>
  </w:footnote>
  <w:footnote w:id="276">
    <w:p w:rsidR="003F128F" w:rsidRPr="0016619A" w:rsidRDefault="003F128F" w:rsidP="004C1C4C">
      <w:pPr>
        <w:pStyle w:val="af3"/>
        <w:rPr>
          <w:rFonts w:ascii="Traditional Arabic" w:hAnsi="Traditional Arabic"/>
          <w:sz w:val="32"/>
          <w:szCs w:val="32"/>
        </w:rPr>
      </w:pPr>
      <w:r w:rsidRPr="00A62777">
        <w:rPr>
          <w:rFonts w:ascii="Traditional Arabic" w:hAnsi="Traditional Arabic"/>
          <w:sz w:val="32"/>
          <w:szCs w:val="32"/>
          <w:rtl/>
        </w:rPr>
        <w:t>(</w:t>
      </w:r>
      <w:r w:rsidRPr="00A62777">
        <w:rPr>
          <w:rStyle w:val="ae"/>
          <w:rFonts w:ascii="Traditional Arabic" w:hAnsi="Traditional Arabic"/>
          <w:sz w:val="32"/>
          <w:szCs w:val="32"/>
          <w:vertAlign w:val="baseline"/>
        </w:rPr>
        <w:footnoteRef/>
      </w:r>
      <w:r w:rsidRPr="00A62777">
        <w:rPr>
          <w:rFonts w:ascii="Traditional Arabic" w:hAnsi="Traditional Arabic"/>
          <w:sz w:val="32"/>
          <w:szCs w:val="32"/>
          <w:rtl/>
        </w:rPr>
        <w:t>)</w:t>
      </w:r>
      <w:r>
        <w:rPr>
          <w:rFonts w:ascii="Traditional Arabic" w:hAnsi="Traditional Arabic" w:hint="cs"/>
          <w:sz w:val="32"/>
          <w:szCs w:val="32"/>
          <w:rtl/>
        </w:rPr>
        <w:t xml:space="preserve"> </w:t>
      </w:r>
      <w:r w:rsidRPr="00A62777">
        <w:rPr>
          <w:rFonts w:ascii="Traditional Arabic" w:hAnsi="Traditional Arabic"/>
          <w:sz w:val="32"/>
          <w:szCs w:val="32"/>
          <w:rtl/>
        </w:rPr>
        <w:t>انظر: التيسير في القراءات السبع لأبي عمرو الداني (ص26)، البدور</w:t>
      </w:r>
      <w:r w:rsidRPr="0016619A">
        <w:rPr>
          <w:rFonts w:ascii="Traditional Arabic" w:hAnsi="Traditional Arabic"/>
          <w:sz w:val="32"/>
          <w:szCs w:val="32"/>
          <w:rtl/>
        </w:rPr>
        <w:t xml:space="preserve"> الزاهرة لعبد الفتاح القاضي (</w:t>
      </w:r>
      <w:r>
        <w:rPr>
          <w:rFonts w:ascii="Traditional Arabic" w:hAnsi="Traditional Arabic" w:hint="cs"/>
          <w:sz w:val="32"/>
          <w:szCs w:val="32"/>
          <w:rtl/>
        </w:rPr>
        <w:t>ص502</w:t>
      </w:r>
      <w:r w:rsidRPr="0016619A">
        <w:rPr>
          <w:rFonts w:ascii="Traditional Arabic" w:hAnsi="Traditional Arabic"/>
          <w:sz w:val="32"/>
          <w:szCs w:val="32"/>
          <w:rtl/>
        </w:rPr>
        <w:t>).</w:t>
      </w:r>
    </w:p>
  </w:footnote>
  <w:footnote w:id="277">
    <w:p w:rsidR="003F128F" w:rsidRPr="00A62777" w:rsidRDefault="003F128F" w:rsidP="00364D10">
      <w:pPr>
        <w:pStyle w:val="af3"/>
        <w:rPr>
          <w:rFonts w:ascii="Traditional Arabic" w:hAnsi="Traditional Arabic"/>
          <w:sz w:val="32"/>
          <w:szCs w:val="32"/>
        </w:rPr>
      </w:pPr>
      <w:r w:rsidRPr="0016619A">
        <w:rPr>
          <w:rFonts w:ascii="Traditional Arabic" w:hAnsi="Traditional Arabic"/>
          <w:sz w:val="32"/>
          <w:szCs w:val="32"/>
          <w:rtl/>
        </w:rPr>
        <w:t>(</w:t>
      </w:r>
      <w:r w:rsidRPr="0016619A">
        <w:rPr>
          <w:rStyle w:val="ae"/>
          <w:rFonts w:ascii="Traditional Arabic" w:hAnsi="Traditional Arabic"/>
          <w:sz w:val="32"/>
          <w:szCs w:val="32"/>
          <w:vertAlign w:val="baseline"/>
        </w:rPr>
        <w:footnoteRef/>
      </w:r>
      <w:r w:rsidRPr="0016619A">
        <w:rPr>
          <w:rFonts w:ascii="Traditional Arabic" w:hAnsi="Traditional Arabic"/>
          <w:sz w:val="32"/>
          <w:szCs w:val="32"/>
          <w:rtl/>
        </w:rPr>
        <w:t>) قول المصنف رحمه الله:</w:t>
      </w:r>
      <w:r w:rsidRPr="0016619A">
        <w:rPr>
          <w:rFonts w:ascii="Traditional Arabic" w:hAnsi="Traditional Arabic"/>
          <w:color w:val="0D0D0D" w:themeColor="text1" w:themeTint="F2"/>
          <w:sz w:val="32"/>
          <w:szCs w:val="32"/>
          <w:rtl/>
          <w:lang w:eastAsia="en-US"/>
        </w:rPr>
        <w:t xml:space="preserve"> </w:t>
      </w:r>
      <w:r w:rsidRPr="0016619A">
        <w:rPr>
          <w:rFonts w:ascii="Traditional Arabic" w:hAnsi="Traditional Arabic"/>
          <w:sz w:val="32"/>
          <w:szCs w:val="32"/>
          <w:rtl/>
        </w:rPr>
        <w:t>"وقرأه الباقون: بهمزة مطوَّلة" فيه إجمال</w:t>
      </w:r>
      <w:r>
        <w:rPr>
          <w:rFonts w:ascii="Traditional Arabic" w:hAnsi="Traditional Arabic" w:hint="cs"/>
          <w:sz w:val="32"/>
          <w:szCs w:val="32"/>
          <w:rtl/>
        </w:rPr>
        <w:t>,</w:t>
      </w:r>
      <w:r w:rsidRPr="0016619A">
        <w:rPr>
          <w:rFonts w:ascii="Traditional Arabic" w:hAnsi="Traditional Arabic"/>
          <w:sz w:val="32"/>
          <w:szCs w:val="32"/>
          <w:rtl/>
        </w:rPr>
        <w:t xml:space="preserve"> وتفصيل هذا الإجمال قد ذكر</w:t>
      </w:r>
      <w:r>
        <w:rPr>
          <w:rFonts w:ascii="Traditional Arabic" w:hAnsi="Traditional Arabic" w:hint="cs"/>
          <w:sz w:val="32"/>
          <w:szCs w:val="32"/>
          <w:rtl/>
        </w:rPr>
        <w:t>ه</w:t>
      </w:r>
      <w:r w:rsidRPr="0016619A">
        <w:rPr>
          <w:rFonts w:ascii="Traditional Arabic" w:hAnsi="Traditional Arabic"/>
          <w:sz w:val="32"/>
          <w:szCs w:val="32"/>
          <w:rtl/>
        </w:rPr>
        <w:t xml:space="preserve"> الشيخ عبد الفتاح القاضي</w:t>
      </w:r>
      <w:r>
        <w:rPr>
          <w:rFonts w:ascii="Traditional Arabic" w:hAnsi="Traditional Arabic"/>
          <w:sz w:val="32"/>
          <w:szCs w:val="32"/>
          <w:rtl/>
        </w:rPr>
        <w:t xml:space="preserve"> في كتابه البدور الزاهرة</w:t>
      </w:r>
      <w:r>
        <w:rPr>
          <w:rFonts w:ascii="Traditional Arabic" w:hAnsi="Traditional Arabic" w:hint="cs"/>
          <w:sz w:val="32"/>
          <w:szCs w:val="32"/>
          <w:rtl/>
        </w:rPr>
        <w:t xml:space="preserve"> </w:t>
      </w:r>
      <w:r w:rsidRPr="0016619A">
        <w:rPr>
          <w:rFonts w:ascii="Traditional Arabic" w:hAnsi="Traditional Arabic"/>
          <w:sz w:val="32"/>
          <w:szCs w:val="32"/>
          <w:rtl/>
        </w:rPr>
        <w:t>(</w:t>
      </w:r>
      <w:r>
        <w:rPr>
          <w:rFonts w:ascii="Traditional Arabic" w:hAnsi="Traditional Arabic" w:hint="cs"/>
          <w:sz w:val="32"/>
          <w:szCs w:val="32"/>
          <w:rtl/>
        </w:rPr>
        <w:t>ص502</w:t>
      </w:r>
      <w:r>
        <w:rPr>
          <w:rFonts w:ascii="Traditional Arabic" w:hAnsi="Traditional Arabic"/>
          <w:sz w:val="32"/>
          <w:szCs w:val="32"/>
          <w:rtl/>
        </w:rPr>
        <w:t>) قال: "ءأسجد" قرأ قالون والبصري و</w:t>
      </w:r>
      <w:r>
        <w:rPr>
          <w:rFonts w:ascii="Traditional Arabic" w:hAnsi="Traditional Arabic" w:hint="cs"/>
          <w:sz w:val="32"/>
          <w:szCs w:val="32"/>
          <w:rtl/>
        </w:rPr>
        <w:t>أ</w:t>
      </w:r>
      <w:r w:rsidRPr="0016619A">
        <w:rPr>
          <w:rFonts w:ascii="Traditional Arabic" w:hAnsi="Traditional Arabic"/>
          <w:sz w:val="32"/>
          <w:szCs w:val="32"/>
          <w:rtl/>
        </w:rPr>
        <w:t xml:space="preserve">بو جعفر بتسهيل </w:t>
      </w:r>
      <w:r w:rsidRPr="00A62777">
        <w:rPr>
          <w:rFonts w:ascii="Traditional Arabic" w:hAnsi="Traditional Arabic"/>
          <w:sz w:val="32"/>
          <w:szCs w:val="32"/>
          <w:rtl/>
        </w:rPr>
        <w:t>الثانية مع الإدخال</w:t>
      </w:r>
      <w:r>
        <w:rPr>
          <w:rFonts w:ascii="Traditional Arabic" w:hAnsi="Traditional Arabic" w:hint="cs"/>
          <w:sz w:val="32"/>
          <w:szCs w:val="32"/>
          <w:rtl/>
        </w:rPr>
        <w:t>,</w:t>
      </w:r>
      <w:r w:rsidRPr="00A62777">
        <w:rPr>
          <w:rFonts w:ascii="Traditional Arabic" w:hAnsi="Traditional Arabic"/>
          <w:sz w:val="32"/>
          <w:szCs w:val="32"/>
          <w:rtl/>
        </w:rPr>
        <w:t xml:space="preserve"> وورش وابن كثير ورويس بالتسهيل بلا إدخال، ولورش إبدالها حرف مد مشبع للساكنين، ولهشام التسهيل والتحقيق وكلاهما مع الإدخال، والباقون بالتحقيق من غير إدخال.</w:t>
      </w:r>
    </w:p>
  </w:footnote>
  <w:footnote w:id="278">
    <w:p w:rsidR="003F128F" w:rsidRPr="00A62777" w:rsidRDefault="003F128F" w:rsidP="00A62777">
      <w:pPr>
        <w:pStyle w:val="af3"/>
        <w:rPr>
          <w:rFonts w:ascii="Traditional Arabic" w:hAnsi="Traditional Arabic"/>
          <w:sz w:val="32"/>
          <w:szCs w:val="32"/>
        </w:rPr>
      </w:pPr>
      <w:r w:rsidRPr="00A62777">
        <w:rPr>
          <w:rFonts w:ascii="Traditional Arabic" w:hAnsi="Traditional Arabic"/>
          <w:sz w:val="32"/>
          <w:szCs w:val="32"/>
          <w:rtl/>
        </w:rPr>
        <w:t>(</w:t>
      </w:r>
      <w:r w:rsidRPr="00A62777">
        <w:rPr>
          <w:rStyle w:val="ae"/>
          <w:rFonts w:ascii="Traditional Arabic" w:hAnsi="Traditional Arabic"/>
          <w:sz w:val="32"/>
          <w:szCs w:val="32"/>
          <w:vertAlign w:val="baseline"/>
        </w:rPr>
        <w:footnoteRef/>
      </w:r>
      <w:r>
        <w:rPr>
          <w:rFonts w:ascii="Traditional Arabic" w:hAnsi="Traditional Arabic"/>
          <w:sz w:val="32"/>
          <w:szCs w:val="32"/>
          <w:rtl/>
        </w:rPr>
        <w:t>) في (</w:t>
      </w:r>
      <w:r>
        <w:rPr>
          <w:rFonts w:ascii="Traditional Arabic" w:hAnsi="Traditional Arabic" w:hint="cs"/>
          <w:sz w:val="32"/>
          <w:szCs w:val="32"/>
          <w:rtl/>
        </w:rPr>
        <w:t>ك</w:t>
      </w:r>
      <w:r>
        <w:rPr>
          <w:rFonts w:ascii="Traditional Arabic" w:hAnsi="Traditional Arabic"/>
          <w:sz w:val="32"/>
          <w:szCs w:val="32"/>
          <w:rtl/>
        </w:rPr>
        <w:t xml:space="preserve">): </w:t>
      </w:r>
      <w:r>
        <w:rPr>
          <w:rFonts w:ascii="Traditional Arabic" w:hAnsi="Traditional Arabic" w:hint="cs"/>
          <w:sz w:val="32"/>
          <w:szCs w:val="32"/>
          <w:rtl/>
        </w:rPr>
        <w:t>[</w:t>
      </w:r>
      <w:r>
        <w:rPr>
          <w:rFonts w:ascii="Traditional Arabic" w:hAnsi="Traditional Arabic"/>
          <w:sz w:val="32"/>
          <w:szCs w:val="32"/>
          <w:rtl/>
        </w:rPr>
        <w:t>وخلقتني من نار</w:t>
      </w:r>
      <w:r>
        <w:rPr>
          <w:rFonts w:ascii="Traditional Arabic" w:hAnsi="Traditional Arabic" w:hint="cs"/>
          <w:sz w:val="32"/>
          <w:szCs w:val="32"/>
          <w:rtl/>
        </w:rPr>
        <w:t>]</w:t>
      </w:r>
      <w:r w:rsidRPr="00A62777">
        <w:rPr>
          <w:rFonts w:ascii="Traditional Arabic" w:hAnsi="Traditional Arabic"/>
          <w:sz w:val="32"/>
          <w:szCs w:val="32"/>
          <w:rtl/>
        </w:rPr>
        <w:t xml:space="preserve">. </w:t>
      </w:r>
    </w:p>
  </w:footnote>
  <w:footnote w:id="279">
    <w:p w:rsidR="003F128F" w:rsidRPr="00A62777" w:rsidRDefault="003F128F" w:rsidP="00F93733">
      <w:pPr>
        <w:pStyle w:val="af3"/>
        <w:rPr>
          <w:rFonts w:ascii="Traditional Arabic" w:hAnsi="Traditional Arabic"/>
          <w:sz w:val="32"/>
          <w:szCs w:val="32"/>
        </w:rPr>
      </w:pPr>
      <w:r w:rsidRPr="00A62777">
        <w:rPr>
          <w:rFonts w:ascii="Traditional Arabic" w:hAnsi="Traditional Arabic"/>
          <w:sz w:val="32"/>
          <w:szCs w:val="32"/>
          <w:rtl/>
        </w:rPr>
        <w:t>(</w:t>
      </w:r>
      <w:r w:rsidRPr="00A62777">
        <w:rPr>
          <w:rStyle w:val="ae"/>
          <w:rFonts w:ascii="Traditional Arabic" w:hAnsi="Traditional Arabic"/>
          <w:sz w:val="32"/>
          <w:szCs w:val="32"/>
          <w:vertAlign w:val="baseline"/>
        </w:rPr>
        <w:footnoteRef/>
      </w:r>
      <w:r w:rsidRPr="00A62777">
        <w:rPr>
          <w:rFonts w:ascii="Traditional Arabic" w:hAnsi="Traditional Arabic"/>
          <w:sz w:val="32"/>
          <w:szCs w:val="32"/>
          <w:rtl/>
        </w:rPr>
        <w:t>) معاني القرآن وإعرابه (3/249).</w:t>
      </w:r>
    </w:p>
  </w:footnote>
  <w:footnote w:id="280">
    <w:p w:rsidR="003F128F" w:rsidRPr="00A62777" w:rsidRDefault="003F128F" w:rsidP="00A225B5">
      <w:pPr>
        <w:widowControl/>
        <w:autoSpaceDE w:val="0"/>
        <w:autoSpaceDN w:val="0"/>
        <w:adjustRightInd w:val="0"/>
        <w:ind w:firstLine="0"/>
        <w:rPr>
          <w:rFonts w:ascii="Traditional Arabic" w:hAnsi="Traditional Arabic"/>
          <w:sz w:val="32"/>
          <w:szCs w:val="32"/>
        </w:rPr>
      </w:pPr>
      <w:r w:rsidRPr="00A62777">
        <w:rPr>
          <w:rFonts w:ascii="Traditional Arabic" w:hAnsi="Traditional Arabic"/>
          <w:color w:val="auto"/>
          <w:sz w:val="32"/>
          <w:szCs w:val="32"/>
          <w:rtl/>
        </w:rPr>
        <w:t>(</w:t>
      </w:r>
      <w:r w:rsidRPr="00A62777">
        <w:rPr>
          <w:rStyle w:val="ae"/>
          <w:rFonts w:ascii="Traditional Arabic" w:hAnsi="Traditional Arabic"/>
          <w:color w:val="auto"/>
          <w:sz w:val="32"/>
          <w:szCs w:val="32"/>
          <w:vertAlign w:val="baseline"/>
        </w:rPr>
        <w:footnoteRef/>
      </w:r>
      <w:r w:rsidRPr="00A62777">
        <w:rPr>
          <w:rFonts w:ascii="Traditional Arabic" w:hAnsi="Traditional Arabic"/>
          <w:color w:val="auto"/>
          <w:sz w:val="32"/>
          <w:szCs w:val="32"/>
          <w:rtl/>
        </w:rPr>
        <w:t xml:space="preserve">) هو </w:t>
      </w:r>
      <w:r>
        <w:rPr>
          <w:rFonts w:ascii="Traditional Arabic" w:hAnsi="Traditional Arabic"/>
          <w:color w:val="auto"/>
          <w:sz w:val="32"/>
          <w:szCs w:val="32"/>
          <w:rtl/>
        </w:rPr>
        <w:t>الإمام</w:t>
      </w:r>
      <w:r>
        <w:rPr>
          <w:rFonts w:ascii="Traditional Arabic" w:hAnsi="Traditional Arabic" w:hint="cs"/>
          <w:color w:val="auto"/>
          <w:sz w:val="32"/>
          <w:szCs w:val="32"/>
          <w:rtl/>
        </w:rPr>
        <w:t>,</w:t>
      </w:r>
      <w:r w:rsidRPr="00A62777">
        <w:rPr>
          <w:rFonts w:ascii="Traditional Arabic" w:hAnsi="Traditional Arabic"/>
          <w:color w:val="auto"/>
          <w:sz w:val="32"/>
          <w:szCs w:val="32"/>
          <w:rtl/>
        </w:rPr>
        <w:t xml:space="preserve"> المقرئ</w:t>
      </w:r>
      <w:r>
        <w:rPr>
          <w:rFonts w:ascii="Traditional Arabic" w:hAnsi="Traditional Arabic" w:hint="cs"/>
          <w:color w:val="auto"/>
          <w:sz w:val="32"/>
          <w:szCs w:val="32"/>
          <w:rtl/>
        </w:rPr>
        <w:t>,</w:t>
      </w:r>
      <w:r w:rsidRPr="00A62777">
        <w:rPr>
          <w:rFonts w:ascii="Traditional Arabic" w:hAnsi="Traditional Arabic"/>
          <w:color w:val="auto"/>
          <w:sz w:val="32"/>
          <w:szCs w:val="32"/>
          <w:rtl/>
        </w:rPr>
        <w:t xml:space="preserve"> </w:t>
      </w:r>
      <w:r w:rsidRPr="00A62777">
        <w:rPr>
          <w:rFonts w:ascii="Traditional Arabic" w:hAnsi="Traditional Arabic"/>
          <w:color w:val="auto"/>
          <w:sz w:val="32"/>
          <w:szCs w:val="32"/>
          <w:rtl/>
          <w:lang w:eastAsia="en-US"/>
        </w:rPr>
        <w:t>أبو سعيد</w:t>
      </w:r>
      <w:r>
        <w:rPr>
          <w:rFonts w:ascii="Traditional Arabic" w:hAnsi="Traditional Arabic" w:hint="cs"/>
          <w:color w:val="auto"/>
          <w:sz w:val="32"/>
          <w:szCs w:val="32"/>
          <w:rtl/>
          <w:lang w:eastAsia="en-US"/>
        </w:rPr>
        <w:t>,</w:t>
      </w:r>
      <w:r w:rsidRPr="00A62777">
        <w:rPr>
          <w:rFonts w:ascii="Traditional Arabic" w:hAnsi="Traditional Arabic"/>
          <w:color w:val="auto"/>
          <w:sz w:val="32"/>
          <w:szCs w:val="32"/>
          <w:rtl/>
          <w:lang w:eastAsia="en-US"/>
        </w:rPr>
        <w:t xml:space="preserve"> عبد الله بن كثير بن عمرو بن عبد الله الكناني، المكي، أحد القراء السبعة، مقرئ مكة، (ت120ه). انظر:</w:t>
      </w:r>
      <w:r w:rsidRPr="00A62777">
        <w:rPr>
          <w:rFonts w:ascii="Traditional Arabic" w:hAnsi="Traditional Arabic"/>
          <w:sz w:val="32"/>
          <w:szCs w:val="32"/>
          <w:rtl/>
        </w:rPr>
        <w:t xml:space="preserve"> وفيات الأعيان (3/41)، </w:t>
      </w:r>
      <w:r>
        <w:rPr>
          <w:rFonts w:ascii="Traditional Arabic" w:hAnsi="Traditional Arabic" w:hint="cs"/>
          <w:sz w:val="32"/>
          <w:szCs w:val="32"/>
          <w:rtl/>
        </w:rPr>
        <w:t>معرفة القراء الكبار للذهبي (ص49)</w:t>
      </w:r>
      <w:r w:rsidRPr="00A62777">
        <w:rPr>
          <w:rFonts w:ascii="Traditional Arabic" w:hAnsi="Traditional Arabic"/>
          <w:sz w:val="32"/>
          <w:szCs w:val="32"/>
          <w:rtl/>
        </w:rPr>
        <w:t>.</w:t>
      </w:r>
    </w:p>
  </w:footnote>
  <w:footnote w:id="281">
    <w:p w:rsidR="003F128F" w:rsidRPr="00A62777" w:rsidRDefault="003F128F" w:rsidP="00A225B5">
      <w:pPr>
        <w:pStyle w:val="af3"/>
        <w:rPr>
          <w:rFonts w:ascii="Traditional Arabic" w:hAnsi="Traditional Arabic"/>
          <w:sz w:val="32"/>
          <w:szCs w:val="32"/>
        </w:rPr>
      </w:pPr>
      <w:r w:rsidRPr="00A62777">
        <w:rPr>
          <w:rFonts w:ascii="Traditional Arabic" w:hAnsi="Traditional Arabic"/>
          <w:sz w:val="32"/>
          <w:szCs w:val="32"/>
          <w:rtl/>
        </w:rPr>
        <w:t>(</w:t>
      </w:r>
      <w:r w:rsidRPr="00A62777">
        <w:rPr>
          <w:rStyle w:val="ae"/>
          <w:rFonts w:ascii="Traditional Arabic" w:hAnsi="Traditional Arabic"/>
          <w:sz w:val="32"/>
          <w:szCs w:val="32"/>
          <w:vertAlign w:val="baseline"/>
        </w:rPr>
        <w:footnoteRef/>
      </w:r>
      <w:r w:rsidRPr="00A62777">
        <w:rPr>
          <w:rFonts w:ascii="Traditional Arabic" w:hAnsi="Traditional Arabic"/>
          <w:sz w:val="32"/>
          <w:szCs w:val="32"/>
          <w:rtl/>
        </w:rPr>
        <w:t>)</w:t>
      </w:r>
      <w:r w:rsidRPr="00A62777">
        <w:rPr>
          <w:rFonts w:ascii="Traditional Arabic" w:hAnsi="Traditional Arabic"/>
          <w:color w:val="auto"/>
          <w:sz w:val="32"/>
          <w:szCs w:val="32"/>
          <w:rtl/>
        </w:rPr>
        <w:t xml:space="preserve"> </w:t>
      </w:r>
      <w:r w:rsidRPr="00A62777">
        <w:rPr>
          <w:rFonts w:ascii="Traditional Arabic" w:hAnsi="Traditional Arabic"/>
          <w:color w:val="auto"/>
          <w:sz w:val="32"/>
          <w:szCs w:val="32"/>
          <w:rtl/>
          <w:lang w:eastAsia="en-US"/>
        </w:rPr>
        <w:t xml:space="preserve">هو التابعي </w:t>
      </w:r>
      <w:r>
        <w:rPr>
          <w:rFonts w:ascii="Traditional Arabic" w:hAnsi="Traditional Arabic"/>
          <w:color w:val="auto"/>
          <w:sz w:val="32"/>
          <w:szCs w:val="32"/>
          <w:rtl/>
          <w:lang w:eastAsia="en-US"/>
        </w:rPr>
        <w:t>الإمام</w:t>
      </w:r>
      <w:r>
        <w:rPr>
          <w:rFonts w:ascii="Traditional Arabic" w:hAnsi="Traditional Arabic" w:hint="cs"/>
          <w:color w:val="auto"/>
          <w:sz w:val="32"/>
          <w:szCs w:val="32"/>
          <w:rtl/>
          <w:lang w:eastAsia="en-US"/>
        </w:rPr>
        <w:t>,</w:t>
      </w:r>
      <w:r w:rsidRPr="00A62777">
        <w:rPr>
          <w:rFonts w:ascii="Traditional Arabic" w:hAnsi="Traditional Arabic"/>
          <w:color w:val="auto"/>
          <w:sz w:val="32"/>
          <w:szCs w:val="32"/>
          <w:rtl/>
          <w:lang w:eastAsia="en-US"/>
        </w:rPr>
        <w:t xml:space="preserve"> </w:t>
      </w:r>
      <w:r w:rsidRPr="00A62777">
        <w:rPr>
          <w:rFonts w:ascii="Traditional Arabic" w:hAnsi="Traditional Arabic"/>
          <w:color w:val="auto"/>
          <w:sz w:val="32"/>
          <w:szCs w:val="32"/>
          <w:rtl/>
        </w:rPr>
        <w:t>المقرئ</w:t>
      </w:r>
      <w:r>
        <w:rPr>
          <w:rFonts w:ascii="Traditional Arabic" w:hAnsi="Traditional Arabic" w:hint="cs"/>
          <w:color w:val="auto"/>
          <w:sz w:val="32"/>
          <w:szCs w:val="32"/>
          <w:rtl/>
          <w:lang w:eastAsia="en-US"/>
        </w:rPr>
        <w:t>,</w:t>
      </w:r>
      <w:r w:rsidRPr="00A62777">
        <w:rPr>
          <w:rFonts w:ascii="Traditional Arabic" w:hAnsi="Traditional Arabic"/>
          <w:color w:val="auto"/>
          <w:sz w:val="32"/>
          <w:szCs w:val="32"/>
          <w:rtl/>
          <w:lang w:eastAsia="en-US"/>
        </w:rPr>
        <w:t xml:space="preserve"> أبو رويم</w:t>
      </w:r>
      <w:r>
        <w:rPr>
          <w:rFonts w:ascii="Traditional Arabic" w:hAnsi="Traditional Arabic" w:hint="cs"/>
          <w:color w:val="auto"/>
          <w:sz w:val="32"/>
          <w:szCs w:val="32"/>
          <w:rtl/>
          <w:lang w:eastAsia="en-US"/>
        </w:rPr>
        <w:t>,</w:t>
      </w:r>
      <w:r w:rsidRPr="00A62777">
        <w:rPr>
          <w:rFonts w:ascii="Traditional Arabic" w:hAnsi="Traditional Arabic"/>
          <w:color w:val="auto"/>
          <w:sz w:val="32"/>
          <w:szCs w:val="32"/>
          <w:rtl/>
          <w:lang w:eastAsia="en-US"/>
        </w:rPr>
        <w:t xml:space="preserve"> نافع بن عبد الرحمن بن أبي نعيم، مولى جعونة بن شعوب الشجعي، المدني، أحد القراء السبعة، كان إمام أهل المدينة والذي صاروا إلى قراءته</w:t>
      </w:r>
      <w:r w:rsidRPr="00A62777">
        <w:rPr>
          <w:rFonts w:ascii="Traditional Arabic" w:hAnsi="Traditional Arabic"/>
          <w:sz w:val="32"/>
          <w:szCs w:val="32"/>
          <w:rtl/>
        </w:rPr>
        <w:t>، (ت169ه). انظر: وفيات الأعيان (5/368)،</w:t>
      </w:r>
      <w:r w:rsidRPr="00A225B5">
        <w:rPr>
          <w:rFonts w:ascii="Traditional Arabic" w:hAnsi="Traditional Arabic" w:hint="cs"/>
          <w:sz w:val="32"/>
          <w:szCs w:val="32"/>
          <w:rtl/>
        </w:rPr>
        <w:t xml:space="preserve"> </w:t>
      </w:r>
      <w:r>
        <w:rPr>
          <w:rFonts w:ascii="Traditional Arabic" w:hAnsi="Traditional Arabic" w:hint="cs"/>
          <w:sz w:val="32"/>
          <w:szCs w:val="32"/>
          <w:rtl/>
        </w:rPr>
        <w:t>معرفة القراء الكبار (ص64)</w:t>
      </w:r>
      <w:r w:rsidRPr="00A62777">
        <w:rPr>
          <w:rFonts w:ascii="Traditional Arabic" w:hAnsi="Traditional Arabic"/>
          <w:sz w:val="32"/>
          <w:szCs w:val="32"/>
          <w:rtl/>
        </w:rPr>
        <w:t>.</w:t>
      </w:r>
    </w:p>
  </w:footnote>
  <w:footnote w:id="282">
    <w:p w:rsidR="003F128F" w:rsidRPr="00A62777" w:rsidRDefault="003F128F" w:rsidP="00A225B5">
      <w:pPr>
        <w:widowControl/>
        <w:autoSpaceDE w:val="0"/>
        <w:autoSpaceDN w:val="0"/>
        <w:adjustRightInd w:val="0"/>
        <w:ind w:firstLine="0"/>
        <w:jc w:val="left"/>
        <w:rPr>
          <w:rFonts w:ascii="Traditional Arabic" w:hAnsi="Traditional Arabic"/>
          <w:color w:val="auto"/>
          <w:sz w:val="32"/>
          <w:szCs w:val="32"/>
        </w:rPr>
      </w:pPr>
      <w:r w:rsidRPr="00A62777">
        <w:rPr>
          <w:rFonts w:ascii="Traditional Arabic" w:hAnsi="Traditional Arabic"/>
          <w:color w:val="000000" w:themeColor="text1"/>
          <w:sz w:val="32"/>
          <w:szCs w:val="32"/>
          <w:rtl/>
        </w:rPr>
        <w:t>(</w:t>
      </w:r>
      <w:r w:rsidRPr="00A62777">
        <w:rPr>
          <w:rStyle w:val="ae"/>
          <w:rFonts w:ascii="Traditional Arabic" w:hAnsi="Traditional Arabic"/>
          <w:color w:val="000000" w:themeColor="text1"/>
          <w:sz w:val="32"/>
          <w:szCs w:val="32"/>
          <w:vertAlign w:val="baseline"/>
        </w:rPr>
        <w:footnoteRef/>
      </w:r>
      <w:r w:rsidRPr="00A62777">
        <w:rPr>
          <w:rFonts w:ascii="Traditional Arabic" w:hAnsi="Traditional Arabic"/>
          <w:color w:val="000000" w:themeColor="text1"/>
          <w:sz w:val="32"/>
          <w:szCs w:val="32"/>
          <w:rtl/>
        </w:rPr>
        <w:t xml:space="preserve">) هو </w:t>
      </w:r>
      <w:r>
        <w:rPr>
          <w:rFonts w:ascii="Traditional Arabic" w:hAnsi="Traditional Arabic"/>
          <w:color w:val="000000" w:themeColor="text1"/>
          <w:sz w:val="32"/>
          <w:szCs w:val="32"/>
          <w:rtl/>
        </w:rPr>
        <w:t>الإمام</w:t>
      </w:r>
      <w:r>
        <w:rPr>
          <w:rFonts w:ascii="Traditional Arabic" w:hAnsi="Traditional Arabic" w:hint="cs"/>
          <w:color w:val="000000" w:themeColor="text1"/>
          <w:sz w:val="32"/>
          <w:szCs w:val="32"/>
          <w:rtl/>
        </w:rPr>
        <w:t>,</w:t>
      </w:r>
      <w:r w:rsidRPr="00A62777">
        <w:rPr>
          <w:rFonts w:ascii="Traditional Arabic" w:hAnsi="Traditional Arabic"/>
          <w:color w:val="000000" w:themeColor="text1"/>
          <w:sz w:val="32"/>
          <w:szCs w:val="32"/>
          <w:rtl/>
        </w:rPr>
        <w:t xml:space="preserve"> المقرئ</w:t>
      </w:r>
      <w:r>
        <w:rPr>
          <w:rFonts w:ascii="Traditional Arabic" w:hAnsi="Traditional Arabic" w:hint="cs"/>
          <w:color w:val="000000" w:themeColor="text1"/>
          <w:sz w:val="32"/>
          <w:szCs w:val="32"/>
          <w:rtl/>
        </w:rPr>
        <w:t>,</w:t>
      </w:r>
      <w:r w:rsidRPr="00A62777">
        <w:rPr>
          <w:rFonts w:ascii="Traditional Arabic" w:hAnsi="Traditional Arabic"/>
          <w:color w:val="000000" w:themeColor="text1"/>
          <w:sz w:val="32"/>
          <w:szCs w:val="32"/>
          <w:rtl/>
        </w:rPr>
        <w:t xml:space="preserve"> </w:t>
      </w:r>
      <w:r w:rsidRPr="00A62777">
        <w:rPr>
          <w:rFonts w:ascii="Traditional Arabic" w:hAnsi="Traditional Arabic"/>
          <w:color w:val="000000" w:themeColor="text1"/>
          <w:sz w:val="32"/>
          <w:szCs w:val="32"/>
          <w:rtl/>
          <w:lang w:eastAsia="en-US"/>
        </w:rPr>
        <w:t>أبو عَمْرو</w:t>
      </w:r>
      <w:r>
        <w:rPr>
          <w:rFonts w:ascii="Traditional Arabic" w:hAnsi="Traditional Arabic" w:hint="cs"/>
          <w:color w:val="000000" w:themeColor="text1"/>
          <w:sz w:val="32"/>
          <w:szCs w:val="32"/>
          <w:rtl/>
          <w:lang w:eastAsia="en-US"/>
        </w:rPr>
        <w:t>,</w:t>
      </w:r>
      <w:r w:rsidRPr="00A62777">
        <w:rPr>
          <w:rFonts w:ascii="Traditional Arabic" w:hAnsi="Traditional Arabic"/>
          <w:color w:val="000000" w:themeColor="text1"/>
          <w:sz w:val="32"/>
          <w:szCs w:val="32"/>
          <w:rtl/>
          <w:lang w:eastAsia="en-US"/>
        </w:rPr>
        <w:t xml:space="preserve"> </w:t>
      </w:r>
      <w:r>
        <w:rPr>
          <w:rFonts w:ascii="Traditional Arabic" w:hAnsi="Traditional Arabic" w:hint="cs"/>
          <w:color w:val="000000" w:themeColor="text1"/>
          <w:sz w:val="32"/>
          <w:szCs w:val="32"/>
          <w:rtl/>
          <w:lang w:eastAsia="en-US"/>
        </w:rPr>
        <w:t xml:space="preserve">زُبَّان </w:t>
      </w:r>
      <w:r w:rsidRPr="00A62777">
        <w:rPr>
          <w:rFonts w:ascii="Traditional Arabic" w:hAnsi="Traditional Arabic"/>
          <w:color w:val="000000" w:themeColor="text1"/>
          <w:sz w:val="32"/>
          <w:szCs w:val="32"/>
          <w:rtl/>
          <w:lang w:eastAsia="en-US"/>
        </w:rPr>
        <w:t>بن العلاء بن عمار بن العريان بن عبد الله التميمي البصري، أحد القراء السبعة</w:t>
      </w:r>
      <w:r w:rsidRPr="00A62777">
        <w:rPr>
          <w:rFonts w:ascii="Traditional Arabic" w:hAnsi="Traditional Arabic"/>
          <w:color w:val="auto"/>
          <w:sz w:val="32"/>
          <w:szCs w:val="32"/>
          <w:rtl/>
          <w:lang w:eastAsia="en-US"/>
        </w:rPr>
        <w:t>، (ت154ه). انظر:</w:t>
      </w:r>
      <w:r w:rsidRPr="00A62777">
        <w:rPr>
          <w:rFonts w:ascii="Traditional Arabic" w:hAnsi="Traditional Arabic"/>
          <w:sz w:val="32"/>
          <w:szCs w:val="32"/>
          <w:rtl/>
        </w:rPr>
        <w:t xml:space="preserve"> وفيات الأعيان (3/466)</w:t>
      </w:r>
      <w:r>
        <w:rPr>
          <w:rFonts w:ascii="Traditional Arabic" w:hAnsi="Traditional Arabic" w:hint="cs"/>
          <w:sz w:val="32"/>
          <w:szCs w:val="32"/>
          <w:rtl/>
        </w:rPr>
        <w:t>, معرفة القراء الكبار (ص58)</w:t>
      </w:r>
      <w:r w:rsidRPr="00A62777">
        <w:rPr>
          <w:rFonts w:ascii="Traditional Arabic" w:hAnsi="Traditional Arabic"/>
          <w:sz w:val="32"/>
          <w:szCs w:val="32"/>
          <w:rtl/>
        </w:rPr>
        <w:t>.</w:t>
      </w:r>
    </w:p>
  </w:footnote>
  <w:footnote w:id="283">
    <w:p w:rsidR="003F128F" w:rsidRPr="0020377E" w:rsidRDefault="003F128F" w:rsidP="009D205E">
      <w:pPr>
        <w:widowControl/>
        <w:autoSpaceDE w:val="0"/>
        <w:autoSpaceDN w:val="0"/>
        <w:adjustRightInd w:val="0"/>
        <w:ind w:firstLine="0"/>
        <w:rPr>
          <w:rFonts w:ascii="Traditional Arabic" w:hAnsi="Traditional Arabic"/>
          <w:sz w:val="32"/>
          <w:szCs w:val="32"/>
        </w:rPr>
      </w:pPr>
      <w:r w:rsidRPr="0020377E">
        <w:rPr>
          <w:rFonts w:ascii="Traditional Arabic" w:hAnsi="Traditional Arabic"/>
          <w:sz w:val="32"/>
          <w:szCs w:val="32"/>
          <w:rtl/>
        </w:rPr>
        <w:t>(</w:t>
      </w:r>
      <w:r w:rsidRPr="0020377E">
        <w:rPr>
          <w:rStyle w:val="ae"/>
          <w:rFonts w:ascii="Traditional Arabic" w:hAnsi="Traditional Arabic"/>
          <w:sz w:val="32"/>
          <w:szCs w:val="32"/>
          <w:vertAlign w:val="baseline"/>
        </w:rPr>
        <w:footnoteRef/>
      </w:r>
      <w:r w:rsidRPr="0020377E">
        <w:rPr>
          <w:rFonts w:ascii="Traditional Arabic" w:hAnsi="Traditional Arabic"/>
          <w:color w:val="auto"/>
          <w:sz w:val="32"/>
          <w:szCs w:val="32"/>
          <w:rtl/>
        </w:rPr>
        <w:t xml:space="preserve">) </w:t>
      </w:r>
      <w:r w:rsidRPr="0020377E">
        <w:rPr>
          <w:rFonts w:ascii="Traditional Arabic" w:hAnsi="Traditional Arabic"/>
          <w:color w:val="auto"/>
          <w:sz w:val="32"/>
          <w:szCs w:val="32"/>
          <w:rtl/>
          <w:lang w:eastAsia="en-US"/>
        </w:rPr>
        <w:t xml:space="preserve">هو التابعي </w:t>
      </w:r>
      <w:r>
        <w:rPr>
          <w:rFonts w:ascii="Traditional Arabic" w:hAnsi="Traditional Arabic"/>
          <w:color w:val="auto"/>
          <w:sz w:val="32"/>
          <w:szCs w:val="32"/>
          <w:rtl/>
          <w:lang w:eastAsia="en-US"/>
        </w:rPr>
        <w:t>الإمام</w:t>
      </w:r>
      <w:r w:rsidRPr="0020377E">
        <w:rPr>
          <w:rFonts w:ascii="Traditional Arabic" w:hAnsi="Traditional Arabic"/>
          <w:color w:val="auto"/>
          <w:sz w:val="32"/>
          <w:szCs w:val="32"/>
          <w:rtl/>
          <w:lang w:eastAsia="en-US"/>
        </w:rPr>
        <w:t xml:space="preserve"> المقرئ</w:t>
      </w:r>
      <w:r>
        <w:rPr>
          <w:rFonts w:ascii="Traditional Arabic" w:hAnsi="Traditional Arabic" w:hint="cs"/>
          <w:color w:val="auto"/>
          <w:sz w:val="32"/>
          <w:szCs w:val="32"/>
          <w:rtl/>
          <w:lang w:eastAsia="en-US"/>
        </w:rPr>
        <w:t>,</w:t>
      </w:r>
      <w:r w:rsidRPr="0020377E">
        <w:rPr>
          <w:rFonts w:ascii="Traditional Arabic" w:hAnsi="Traditional Arabic"/>
          <w:color w:val="auto"/>
          <w:sz w:val="32"/>
          <w:szCs w:val="32"/>
          <w:rtl/>
          <w:lang w:eastAsia="en-US"/>
        </w:rPr>
        <w:t xml:space="preserve"> أبو عمران</w:t>
      </w:r>
      <w:r>
        <w:rPr>
          <w:rFonts w:ascii="Traditional Arabic" w:hAnsi="Traditional Arabic" w:hint="cs"/>
          <w:color w:val="auto"/>
          <w:sz w:val="32"/>
          <w:szCs w:val="32"/>
          <w:rtl/>
          <w:lang w:eastAsia="en-US"/>
        </w:rPr>
        <w:t>,</w:t>
      </w:r>
      <w:r w:rsidRPr="0020377E">
        <w:rPr>
          <w:rFonts w:ascii="Traditional Arabic" w:hAnsi="Traditional Arabic"/>
          <w:color w:val="auto"/>
          <w:sz w:val="32"/>
          <w:szCs w:val="32"/>
          <w:rtl/>
          <w:lang w:eastAsia="en-US"/>
        </w:rPr>
        <w:t xml:space="preserve"> عبد الله بن عامر بن يزيد ابن تميم اليحصبي، مُقرِئ الشام، </w:t>
      </w:r>
      <w:r w:rsidRPr="0020377E">
        <w:rPr>
          <w:rFonts w:ascii="Traditional Arabic" w:hAnsi="Traditional Arabic"/>
          <w:sz w:val="32"/>
          <w:szCs w:val="32"/>
          <w:rtl/>
          <w:lang w:eastAsia="en-US"/>
        </w:rPr>
        <w:t>وهو أحد القُرَّاء السبعة</w:t>
      </w:r>
      <w:r w:rsidRPr="0020377E">
        <w:rPr>
          <w:rFonts w:ascii="Traditional Arabic" w:hAnsi="Traditional Arabic"/>
          <w:color w:val="auto"/>
          <w:sz w:val="32"/>
          <w:szCs w:val="32"/>
          <w:rtl/>
          <w:lang w:eastAsia="en-US"/>
        </w:rPr>
        <w:t xml:space="preserve">، (ت118ه). </w:t>
      </w:r>
      <w:r w:rsidRPr="0020377E">
        <w:rPr>
          <w:rFonts w:ascii="Traditional Arabic" w:hAnsi="Traditional Arabic"/>
          <w:sz w:val="32"/>
          <w:szCs w:val="32"/>
          <w:rtl/>
        </w:rPr>
        <w:t>انظر: سير أعلام النبلاء (5/292)، الوافي بالوفيات (17/119).</w:t>
      </w:r>
    </w:p>
  </w:footnote>
  <w:footnote w:id="284">
    <w:p w:rsidR="003F128F" w:rsidRPr="0020377E" w:rsidRDefault="003F128F" w:rsidP="00A225B5">
      <w:pPr>
        <w:pStyle w:val="af3"/>
        <w:rPr>
          <w:rFonts w:ascii="Traditional Arabic" w:hAnsi="Traditional Arabic"/>
          <w:color w:val="auto"/>
          <w:sz w:val="32"/>
          <w:szCs w:val="32"/>
        </w:rPr>
      </w:pPr>
      <w:r w:rsidRPr="0020377E">
        <w:rPr>
          <w:rFonts w:ascii="Traditional Arabic" w:hAnsi="Traditional Arabic"/>
          <w:color w:val="auto"/>
          <w:sz w:val="32"/>
          <w:szCs w:val="32"/>
          <w:rtl/>
        </w:rPr>
        <w:t>(</w:t>
      </w:r>
      <w:r w:rsidRPr="0020377E">
        <w:rPr>
          <w:rStyle w:val="ae"/>
          <w:rFonts w:ascii="Traditional Arabic" w:hAnsi="Traditional Arabic"/>
          <w:color w:val="auto"/>
          <w:sz w:val="32"/>
          <w:szCs w:val="32"/>
          <w:vertAlign w:val="baseline"/>
        </w:rPr>
        <w:footnoteRef/>
      </w:r>
      <w:r w:rsidRPr="0020377E">
        <w:rPr>
          <w:rFonts w:ascii="Traditional Arabic" w:hAnsi="Traditional Arabic"/>
          <w:color w:val="auto"/>
          <w:sz w:val="32"/>
          <w:szCs w:val="32"/>
          <w:rtl/>
        </w:rPr>
        <w:t xml:space="preserve">) هو </w:t>
      </w:r>
      <w:r>
        <w:rPr>
          <w:rFonts w:ascii="Traditional Arabic" w:hAnsi="Traditional Arabic"/>
          <w:color w:val="auto"/>
          <w:sz w:val="32"/>
          <w:szCs w:val="32"/>
          <w:rtl/>
        </w:rPr>
        <w:t>الإمام</w:t>
      </w:r>
      <w:r w:rsidRPr="0020377E">
        <w:rPr>
          <w:rFonts w:ascii="Traditional Arabic" w:hAnsi="Traditional Arabic"/>
          <w:color w:val="auto"/>
          <w:sz w:val="32"/>
          <w:szCs w:val="32"/>
          <w:rtl/>
        </w:rPr>
        <w:t xml:space="preserve"> المقرئ</w:t>
      </w:r>
      <w:r>
        <w:rPr>
          <w:rFonts w:ascii="Traditional Arabic" w:hAnsi="Traditional Arabic" w:hint="cs"/>
          <w:color w:val="auto"/>
          <w:sz w:val="32"/>
          <w:szCs w:val="32"/>
          <w:rtl/>
        </w:rPr>
        <w:t>,</w:t>
      </w:r>
      <w:r w:rsidRPr="0020377E">
        <w:rPr>
          <w:rFonts w:ascii="Traditional Arabic" w:hAnsi="Traditional Arabic"/>
          <w:color w:val="auto"/>
          <w:sz w:val="32"/>
          <w:szCs w:val="32"/>
          <w:rtl/>
        </w:rPr>
        <w:t xml:space="preserve"> </w:t>
      </w:r>
      <w:r w:rsidRPr="0020377E">
        <w:rPr>
          <w:rFonts w:ascii="Traditional Arabic" w:hAnsi="Traditional Arabic"/>
          <w:color w:val="auto"/>
          <w:sz w:val="32"/>
          <w:szCs w:val="32"/>
          <w:rtl/>
          <w:lang w:eastAsia="en-US"/>
        </w:rPr>
        <w:t>أبو بكر</w:t>
      </w:r>
      <w:r>
        <w:rPr>
          <w:rFonts w:ascii="Traditional Arabic" w:hAnsi="Traditional Arabic" w:hint="cs"/>
          <w:color w:val="auto"/>
          <w:sz w:val="32"/>
          <w:szCs w:val="32"/>
          <w:rtl/>
          <w:lang w:eastAsia="en-US"/>
        </w:rPr>
        <w:t>,</w:t>
      </w:r>
      <w:r w:rsidRPr="0020377E">
        <w:rPr>
          <w:rFonts w:ascii="Traditional Arabic" w:hAnsi="Traditional Arabic"/>
          <w:color w:val="auto"/>
          <w:sz w:val="32"/>
          <w:szCs w:val="32"/>
          <w:rtl/>
          <w:lang w:eastAsia="en-US"/>
        </w:rPr>
        <w:t xml:space="preserve"> عاصم بن </w:t>
      </w:r>
      <w:r w:rsidRPr="00A225B5">
        <w:rPr>
          <w:rFonts w:ascii="Traditional Arabic" w:hAnsi="Traditional Arabic"/>
          <w:color w:val="auto"/>
          <w:sz w:val="32"/>
          <w:szCs w:val="32"/>
          <w:rtl/>
          <w:lang w:eastAsia="en-US"/>
        </w:rPr>
        <w:t>أبي النَّجُودِ، بهدلة</w:t>
      </w:r>
      <w:r w:rsidRPr="0020377E">
        <w:rPr>
          <w:rFonts w:ascii="Traditional Arabic" w:hAnsi="Traditional Arabic"/>
          <w:color w:val="auto"/>
          <w:sz w:val="32"/>
          <w:szCs w:val="32"/>
          <w:rtl/>
          <w:lang w:eastAsia="en-US"/>
        </w:rPr>
        <w:t xml:space="preserve"> مولى بني جذيمة بن مالك، أحد القراء السبعة, </w:t>
      </w:r>
      <w:r w:rsidRPr="0020377E">
        <w:rPr>
          <w:rFonts w:ascii="Traditional Arabic" w:hAnsi="Traditional Arabic"/>
          <w:color w:val="auto"/>
          <w:sz w:val="32"/>
          <w:szCs w:val="32"/>
          <w:rtl/>
        </w:rPr>
        <w:t>(ت127ه). انظر:</w:t>
      </w:r>
      <w:r w:rsidRPr="0020377E">
        <w:rPr>
          <w:rFonts w:ascii="Traditional Arabic" w:hAnsi="Traditional Arabic"/>
          <w:sz w:val="32"/>
          <w:szCs w:val="32"/>
          <w:rtl/>
        </w:rPr>
        <w:t xml:space="preserve"> وفيات الأعيان (3/9)، سير أعلام النبلاء (5/256)</w:t>
      </w:r>
      <w:r w:rsidRPr="0020377E">
        <w:rPr>
          <w:rFonts w:ascii="Traditional Arabic" w:hAnsi="Traditional Arabic"/>
          <w:color w:val="auto"/>
          <w:sz w:val="32"/>
          <w:szCs w:val="32"/>
          <w:rtl/>
        </w:rPr>
        <w:t>.</w:t>
      </w:r>
    </w:p>
  </w:footnote>
  <w:footnote w:id="285">
    <w:p w:rsidR="003F128F" w:rsidRPr="0020377E" w:rsidRDefault="003F128F" w:rsidP="00144130">
      <w:pPr>
        <w:pStyle w:val="af3"/>
        <w:rPr>
          <w:rFonts w:ascii="Traditional Arabic" w:hAnsi="Traditional Arabic"/>
          <w:sz w:val="32"/>
          <w:szCs w:val="32"/>
        </w:rPr>
      </w:pPr>
      <w:r w:rsidRPr="0020377E">
        <w:rPr>
          <w:rFonts w:ascii="Traditional Arabic" w:hAnsi="Traditional Arabic"/>
          <w:sz w:val="32"/>
          <w:szCs w:val="32"/>
          <w:rtl/>
        </w:rPr>
        <w:t>(</w:t>
      </w:r>
      <w:r w:rsidRPr="0020377E">
        <w:rPr>
          <w:rStyle w:val="ae"/>
          <w:rFonts w:ascii="Traditional Arabic" w:hAnsi="Traditional Arabic"/>
          <w:sz w:val="32"/>
          <w:szCs w:val="32"/>
          <w:vertAlign w:val="baseline"/>
        </w:rPr>
        <w:footnoteRef/>
      </w:r>
      <w:r w:rsidRPr="0020377E">
        <w:rPr>
          <w:rFonts w:ascii="Traditional Arabic" w:hAnsi="Traditional Arabic"/>
          <w:sz w:val="32"/>
          <w:szCs w:val="32"/>
          <w:rtl/>
        </w:rPr>
        <w:t xml:space="preserve">) </w:t>
      </w:r>
      <w:r>
        <w:rPr>
          <w:rFonts w:ascii="Traditional Arabic" w:hAnsi="Traditional Arabic"/>
          <w:color w:val="auto"/>
          <w:sz w:val="32"/>
          <w:szCs w:val="32"/>
          <w:rtl/>
        </w:rPr>
        <w:t>هو الإمام</w:t>
      </w:r>
      <w:r w:rsidRPr="0020377E">
        <w:rPr>
          <w:rFonts w:ascii="Traditional Arabic" w:hAnsi="Traditional Arabic"/>
          <w:color w:val="auto"/>
          <w:sz w:val="32"/>
          <w:szCs w:val="32"/>
          <w:rtl/>
        </w:rPr>
        <w:t xml:space="preserve"> المقرئ</w:t>
      </w:r>
      <w:r>
        <w:rPr>
          <w:rFonts w:ascii="Traditional Arabic" w:hAnsi="Traditional Arabic" w:hint="cs"/>
          <w:color w:val="auto"/>
          <w:sz w:val="32"/>
          <w:szCs w:val="32"/>
          <w:rtl/>
        </w:rPr>
        <w:t>,</w:t>
      </w:r>
      <w:r w:rsidRPr="0020377E">
        <w:rPr>
          <w:rFonts w:ascii="Traditional Arabic" w:hAnsi="Traditional Arabic"/>
          <w:color w:val="auto"/>
          <w:sz w:val="32"/>
          <w:szCs w:val="32"/>
          <w:rtl/>
        </w:rPr>
        <w:t xml:space="preserve"> </w:t>
      </w:r>
      <w:r w:rsidRPr="0020377E">
        <w:rPr>
          <w:rFonts w:ascii="Traditional Arabic" w:hAnsi="Traditional Arabic"/>
          <w:color w:val="auto"/>
          <w:sz w:val="32"/>
          <w:szCs w:val="32"/>
          <w:rtl/>
          <w:lang w:eastAsia="en-US"/>
        </w:rPr>
        <w:t>أبو عمار</w:t>
      </w:r>
      <w:r>
        <w:rPr>
          <w:rFonts w:ascii="Traditional Arabic" w:hAnsi="Traditional Arabic" w:hint="cs"/>
          <w:color w:val="auto"/>
          <w:sz w:val="32"/>
          <w:szCs w:val="32"/>
          <w:rtl/>
          <w:lang w:eastAsia="en-US"/>
        </w:rPr>
        <w:t>,</w:t>
      </w:r>
      <w:r w:rsidRPr="0020377E">
        <w:rPr>
          <w:rFonts w:ascii="Traditional Arabic" w:hAnsi="Traditional Arabic"/>
          <w:color w:val="auto"/>
          <w:sz w:val="32"/>
          <w:szCs w:val="32"/>
          <w:rtl/>
          <w:lang w:eastAsia="en-US"/>
        </w:rPr>
        <w:t xml:space="preserve"> حمزة بن حبيب بن عمارة بن إسماعيل الكوفي، المعروف بالزيات، مولى آل عكرمة بن ربعي التيمي، أحد القراء السبعة</w:t>
      </w:r>
      <w:r w:rsidRPr="0020377E">
        <w:rPr>
          <w:rFonts w:ascii="Traditional Arabic" w:hAnsi="Traditional Arabic"/>
          <w:sz w:val="32"/>
          <w:szCs w:val="32"/>
          <w:rtl/>
        </w:rPr>
        <w:t xml:space="preserve">، </w:t>
      </w:r>
      <w:r w:rsidRPr="0020377E">
        <w:rPr>
          <w:rFonts w:ascii="Traditional Arabic" w:hAnsi="Traditional Arabic"/>
          <w:sz w:val="32"/>
          <w:szCs w:val="32"/>
          <w:rtl/>
          <w:lang w:eastAsia="en-US"/>
        </w:rPr>
        <w:t>كان عالماً بالقراءات،</w:t>
      </w:r>
      <w:r w:rsidRPr="0020377E">
        <w:rPr>
          <w:rFonts w:ascii="Traditional Arabic" w:hAnsi="Traditional Arabic"/>
          <w:color w:val="auto"/>
          <w:sz w:val="32"/>
          <w:szCs w:val="32"/>
          <w:rtl/>
        </w:rPr>
        <w:t xml:space="preserve"> (ت156ه). انظر:</w:t>
      </w:r>
      <w:r w:rsidRPr="0020377E">
        <w:rPr>
          <w:rFonts w:ascii="Traditional Arabic" w:hAnsi="Traditional Arabic"/>
          <w:sz w:val="32"/>
          <w:szCs w:val="32"/>
          <w:rtl/>
        </w:rPr>
        <w:t xml:space="preserve"> وفيات الأعيان (2/216)، الأعلام (2/277).</w:t>
      </w:r>
    </w:p>
  </w:footnote>
  <w:footnote w:id="286">
    <w:p w:rsidR="003F128F" w:rsidRPr="0020377E" w:rsidRDefault="003F128F" w:rsidP="00AB6719">
      <w:pPr>
        <w:pStyle w:val="af3"/>
        <w:rPr>
          <w:rFonts w:ascii="Traditional Arabic" w:hAnsi="Traditional Arabic"/>
          <w:color w:val="auto"/>
          <w:sz w:val="32"/>
          <w:szCs w:val="32"/>
        </w:rPr>
      </w:pPr>
      <w:r w:rsidRPr="0020377E">
        <w:rPr>
          <w:rFonts w:ascii="Traditional Arabic" w:hAnsi="Traditional Arabic"/>
          <w:color w:val="auto"/>
          <w:sz w:val="32"/>
          <w:szCs w:val="32"/>
          <w:rtl/>
        </w:rPr>
        <w:t>(</w:t>
      </w:r>
      <w:r w:rsidRPr="0020377E">
        <w:rPr>
          <w:rStyle w:val="ae"/>
          <w:rFonts w:ascii="Traditional Arabic" w:hAnsi="Traditional Arabic"/>
          <w:color w:val="auto"/>
          <w:sz w:val="32"/>
          <w:szCs w:val="32"/>
          <w:vertAlign w:val="baseline"/>
        </w:rPr>
        <w:footnoteRef/>
      </w:r>
      <w:r w:rsidRPr="0020377E">
        <w:rPr>
          <w:rFonts w:ascii="Traditional Arabic" w:hAnsi="Traditional Arabic"/>
          <w:color w:val="auto"/>
          <w:sz w:val="32"/>
          <w:szCs w:val="32"/>
          <w:rtl/>
        </w:rPr>
        <w:t xml:space="preserve">) هو </w:t>
      </w:r>
      <w:r>
        <w:rPr>
          <w:rFonts w:ascii="Traditional Arabic" w:hAnsi="Traditional Arabic"/>
          <w:color w:val="auto"/>
          <w:sz w:val="32"/>
          <w:szCs w:val="32"/>
          <w:rtl/>
        </w:rPr>
        <w:t>الإمام</w:t>
      </w:r>
      <w:r w:rsidRPr="0020377E">
        <w:rPr>
          <w:rFonts w:ascii="Traditional Arabic" w:hAnsi="Traditional Arabic"/>
          <w:color w:val="auto"/>
          <w:sz w:val="32"/>
          <w:szCs w:val="32"/>
          <w:rtl/>
        </w:rPr>
        <w:t xml:space="preserve"> المقرئ</w:t>
      </w:r>
      <w:r>
        <w:rPr>
          <w:rFonts w:ascii="Traditional Arabic" w:hAnsi="Traditional Arabic" w:hint="cs"/>
          <w:color w:val="auto"/>
          <w:sz w:val="32"/>
          <w:szCs w:val="32"/>
          <w:rtl/>
        </w:rPr>
        <w:t>,</w:t>
      </w:r>
      <w:r w:rsidRPr="0020377E">
        <w:rPr>
          <w:rFonts w:ascii="Traditional Arabic" w:hAnsi="Traditional Arabic"/>
          <w:color w:val="auto"/>
          <w:sz w:val="32"/>
          <w:szCs w:val="32"/>
          <w:rtl/>
        </w:rPr>
        <w:t xml:space="preserve"> </w:t>
      </w:r>
      <w:r w:rsidRPr="0020377E">
        <w:rPr>
          <w:rFonts w:ascii="Traditional Arabic" w:hAnsi="Traditional Arabic"/>
          <w:color w:val="auto"/>
          <w:sz w:val="32"/>
          <w:szCs w:val="32"/>
          <w:rtl/>
          <w:lang w:eastAsia="en-US"/>
        </w:rPr>
        <w:t>أبو الحسن</w:t>
      </w:r>
      <w:r>
        <w:rPr>
          <w:rFonts w:ascii="Traditional Arabic" w:hAnsi="Traditional Arabic" w:hint="cs"/>
          <w:color w:val="auto"/>
          <w:sz w:val="32"/>
          <w:szCs w:val="32"/>
          <w:rtl/>
          <w:lang w:eastAsia="en-US"/>
        </w:rPr>
        <w:t>,</w:t>
      </w:r>
      <w:r w:rsidRPr="0020377E">
        <w:rPr>
          <w:rFonts w:ascii="Traditional Arabic" w:hAnsi="Traditional Arabic"/>
          <w:color w:val="auto"/>
          <w:sz w:val="32"/>
          <w:szCs w:val="32"/>
          <w:rtl/>
          <w:lang w:eastAsia="en-US"/>
        </w:rPr>
        <w:t xml:space="preserve"> علي بن حمزة بن عبد الله الأسدي بالولاء، الكوفي المعروف بالكسائي، أحد القراء السبعة، كان إماماً في النحو واللغة والقراءات،</w:t>
      </w:r>
      <w:r w:rsidRPr="0020377E">
        <w:rPr>
          <w:rFonts w:ascii="Traditional Arabic" w:hAnsi="Traditional Arabic"/>
          <w:color w:val="auto"/>
          <w:sz w:val="32"/>
          <w:szCs w:val="32"/>
          <w:rtl/>
        </w:rPr>
        <w:t xml:space="preserve"> (ت182ه). انظر:</w:t>
      </w:r>
      <w:r w:rsidRPr="0020377E">
        <w:rPr>
          <w:rFonts w:ascii="Traditional Arabic" w:hAnsi="Traditional Arabic"/>
          <w:sz w:val="32"/>
          <w:szCs w:val="32"/>
          <w:rtl/>
        </w:rPr>
        <w:t xml:space="preserve"> وفيات الأعيان (3/9)، سير أعلام النبلاء (9/131)</w:t>
      </w:r>
      <w:r w:rsidRPr="0020377E">
        <w:rPr>
          <w:rFonts w:ascii="Traditional Arabic" w:hAnsi="Traditional Arabic"/>
          <w:color w:val="auto"/>
          <w:sz w:val="32"/>
          <w:szCs w:val="32"/>
          <w:rtl/>
        </w:rPr>
        <w:t>.</w:t>
      </w:r>
    </w:p>
  </w:footnote>
  <w:footnote w:id="287">
    <w:p w:rsidR="003F128F" w:rsidRPr="0020377E" w:rsidRDefault="003F128F" w:rsidP="00AF4E80">
      <w:pPr>
        <w:pStyle w:val="af3"/>
        <w:rPr>
          <w:rFonts w:ascii="Traditional Arabic" w:hAnsi="Traditional Arabic"/>
          <w:sz w:val="32"/>
          <w:szCs w:val="32"/>
        </w:rPr>
      </w:pPr>
      <w:r w:rsidRPr="0020377E">
        <w:rPr>
          <w:rFonts w:ascii="Traditional Arabic" w:hAnsi="Traditional Arabic"/>
          <w:sz w:val="32"/>
          <w:szCs w:val="32"/>
          <w:rtl/>
        </w:rPr>
        <w:t>(</w:t>
      </w:r>
      <w:r w:rsidRPr="0020377E">
        <w:rPr>
          <w:rStyle w:val="ae"/>
          <w:rFonts w:ascii="Traditional Arabic" w:hAnsi="Traditional Arabic"/>
          <w:sz w:val="32"/>
          <w:szCs w:val="32"/>
          <w:vertAlign w:val="baseline"/>
        </w:rPr>
        <w:footnoteRef/>
      </w:r>
      <w:r w:rsidRPr="0020377E">
        <w:rPr>
          <w:rFonts w:ascii="Traditional Arabic" w:hAnsi="Traditional Arabic"/>
          <w:sz w:val="32"/>
          <w:szCs w:val="32"/>
          <w:rtl/>
        </w:rPr>
        <w:t>)  في (ك): [في وصل ولا وقف].</w:t>
      </w:r>
    </w:p>
  </w:footnote>
  <w:footnote w:id="288">
    <w:p w:rsidR="003F128F" w:rsidRPr="0020377E" w:rsidRDefault="003F128F" w:rsidP="0020377E">
      <w:pPr>
        <w:pStyle w:val="af3"/>
        <w:rPr>
          <w:rFonts w:ascii="Traditional Arabic" w:hAnsi="Traditional Arabic"/>
          <w:sz w:val="32"/>
          <w:szCs w:val="32"/>
        </w:rPr>
      </w:pPr>
      <w:r w:rsidRPr="0020377E">
        <w:rPr>
          <w:rFonts w:ascii="Traditional Arabic" w:hAnsi="Traditional Arabic"/>
          <w:sz w:val="32"/>
          <w:szCs w:val="32"/>
          <w:rtl/>
        </w:rPr>
        <w:t>(</w:t>
      </w:r>
      <w:r w:rsidRPr="0020377E">
        <w:rPr>
          <w:rStyle w:val="ae"/>
          <w:rFonts w:ascii="Traditional Arabic" w:hAnsi="Traditional Arabic"/>
          <w:sz w:val="32"/>
          <w:szCs w:val="32"/>
          <w:vertAlign w:val="baseline"/>
        </w:rPr>
        <w:footnoteRef/>
      </w:r>
      <w:r w:rsidRPr="0020377E">
        <w:rPr>
          <w:rFonts w:ascii="Traditional Arabic" w:hAnsi="Traditional Arabic"/>
          <w:sz w:val="32"/>
          <w:szCs w:val="32"/>
          <w:rtl/>
        </w:rPr>
        <w:t xml:space="preserve">) </w:t>
      </w:r>
      <w:r w:rsidRPr="0020377E">
        <w:rPr>
          <w:rFonts w:ascii="Traditional Arabic" w:hAnsi="Traditional Arabic"/>
          <w:color w:val="auto"/>
          <w:sz w:val="32"/>
          <w:szCs w:val="32"/>
          <w:rtl/>
          <w:lang w:eastAsia="en-US"/>
        </w:rPr>
        <w:t>انظر:</w:t>
      </w:r>
      <w:r w:rsidRPr="0020377E">
        <w:rPr>
          <w:rFonts w:ascii="Traditional Arabic" w:hAnsi="Traditional Arabic"/>
          <w:sz w:val="32"/>
          <w:szCs w:val="32"/>
          <w:rtl/>
        </w:rPr>
        <w:t xml:space="preserve"> السبعة في القراءات (ص382)، التيسير (ص141).</w:t>
      </w:r>
    </w:p>
  </w:footnote>
  <w:footnote w:id="289">
    <w:p w:rsidR="003F128F" w:rsidRPr="0020377E" w:rsidRDefault="003F128F" w:rsidP="0020424F">
      <w:pPr>
        <w:pStyle w:val="af3"/>
        <w:rPr>
          <w:rFonts w:ascii="Traditional Arabic" w:hAnsi="Traditional Arabic"/>
          <w:sz w:val="32"/>
          <w:szCs w:val="32"/>
        </w:rPr>
      </w:pPr>
      <w:r w:rsidRPr="0020377E">
        <w:rPr>
          <w:rFonts w:ascii="Traditional Arabic" w:hAnsi="Traditional Arabic"/>
          <w:sz w:val="32"/>
          <w:szCs w:val="32"/>
          <w:rtl/>
        </w:rPr>
        <w:t>(</w:t>
      </w:r>
      <w:r w:rsidRPr="0020377E">
        <w:rPr>
          <w:rStyle w:val="ae"/>
          <w:rFonts w:ascii="Traditional Arabic" w:hAnsi="Traditional Arabic"/>
          <w:sz w:val="32"/>
          <w:szCs w:val="32"/>
          <w:vertAlign w:val="baseline"/>
        </w:rPr>
        <w:footnoteRef/>
      </w:r>
      <w:r w:rsidRPr="0020377E">
        <w:rPr>
          <w:rFonts w:ascii="Traditional Arabic" w:hAnsi="Traditional Arabic"/>
          <w:sz w:val="32"/>
          <w:szCs w:val="32"/>
          <w:rtl/>
        </w:rPr>
        <w:t>) انظر: تفسير الطبري (17/489)، تفسير ابن أبي حاتم (7/2329).</w:t>
      </w:r>
    </w:p>
  </w:footnote>
  <w:footnote w:id="290">
    <w:p w:rsidR="003F128F" w:rsidRPr="0020377E" w:rsidRDefault="003F128F" w:rsidP="009D205E">
      <w:pPr>
        <w:pStyle w:val="af3"/>
        <w:rPr>
          <w:rFonts w:ascii="Traditional Arabic" w:hAnsi="Traditional Arabic"/>
          <w:sz w:val="32"/>
          <w:szCs w:val="32"/>
        </w:rPr>
      </w:pPr>
      <w:r w:rsidRPr="0020377E">
        <w:rPr>
          <w:rFonts w:ascii="Traditional Arabic" w:hAnsi="Traditional Arabic"/>
          <w:sz w:val="32"/>
          <w:szCs w:val="32"/>
          <w:rtl/>
        </w:rPr>
        <w:t>(</w:t>
      </w:r>
      <w:r w:rsidRPr="0020377E">
        <w:rPr>
          <w:rStyle w:val="ae"/>
          <w:rFonts w:ascii="Traditional Arabic" w:hAnsi="Traditional Arabic"/>
          <w:sz w:val="32"/>
          <w:szCs w:val="32"/>
          <w:vertAlign w:val="baseline"/>
        </w:rPr>
        <w:footnoteRef/>
      </w:r>
      <w:r w:rsidRPr="0020377E">
        <w:rPr>
          <w:rFonts w:ascii="Traditional Arabic" w:hAnsi="Traditional Arabic"/>
          <w:sz w:val="32"/>
          <w:szCs w:val="32"/>
          <w:rtl/>
        </w:rPr>
        <w:t>)</w:t>
      </w:r>
      <w:r w:rsidRPr="0020377E">
        <w:rPr>
          <w:rFonts w:ascii="Traditional Arabic" w:hAnsi="Traditional Arabic"/>
          <w:color w:val="auto"/>
          <w:sz w:val="32"/>
          <w:szCs w:val="32"/>
          <w:rtl/>
        </w:rPr>
        <w:t xml:space="preserve"> </w:t>
      </w:r>
      <w:r w:rsidRPr="0020377E">
        <w:rPr>
          <w:rFonts w:ascii="Traditional Arabic" w:hAnsi="Traditional Arabic"/>
          <w:color w:val="auto"/>
          <w:sz w:val="32"/>
          <w:szCs w:val="32"/>
          <w:rtl/>
          <w:lang w:eastAsia="en-US"/>
        </w:rPr>
        <w:t xml:space="preserve">هو </w:t>
      </w:r>
      <w:r>
        <w:rPr>
          <w:rFonts w:ascii="Traditional Arabic" w:hAnsi="Traditional Arabic"/>
          <w:color w:val="auto"/>
          <w:sz w:val="32"/>
          <w:szCs w:val="32"/>
          <w:rtl/>
          <w:lang w:eastAsia="en-US"/>
        </w:rPr>
        <w:t>الإمام</w:t>
      </w:r>
      <w:r w:rsidRPr="0020377E">
        <w:rPr>
          <w:rFonts w:ascii="Traditional Arabic" w:hAnsi="Traditional Arabic"/>
          <w:color w:val="auto"/>
          <w:sz w:val="32"/>
          <w:szCs w:val="32"/>
          <w:rtl/>
          <w:lang w:eastAsia="en-US"/>
        </w:rPr>
        <w:t xml:space="preserve"> أبو زكريا يحيى بن زياد بن عبد الله الأسدي مولاهم، الكوفي، النحوي</w:t>
      </w:r>
      <w:r w:rsidRPr="0020377E">
        <w:rPr>
          <w:rFonts w:ascii="Traditional Arabic" w:hAnsi="Traditional Arabic"/>
          <w:sz w:val="32"/>
          <w:szCs w:val="32"/>
          <w:rtl/>
        </w:rPr>
        <w:t xml:space="preserve">، </w:t>
      </w:r>
      <w:r w:rsidRPr="0020377E">
        <w:rPr>
          <w:rFonts w:ascii="Traditional Arabic" w:hAnsi="Traditional Arabic"/>
          <w:sz w:val="32"/>
          <w:szCs w:val="32"/>
          <w:rtl/>
          <w:lang w:eastAsia="en-US"/>
        </w:rPr>
        <w:t>العلامة، صاحب التصانيف، كان أبرع الكوفيين وأعلمهم بالنحو واللغة، (ت207ه). انظر:</w:t>
      </w:r>
      <w:r w:rsidRPr="0020377E">
        <w:rPr>
          <w:rFonts w:ascii="Traditional Arabic" w:hAnsi="Traditional Arabic"/>
          <w:sz w:val="32"/>
          <w:szCs w:val="32"/>
          <w:rtl/>
        </w:rPr>
        <w:t xml:space="preserve"> وفيات الأعيان (10/118)، سير أعلام النبلاء (9/131).</w:t>
      </w:r>
    </w:p>
  </w:footnote>
  <w:footnote w:id="291">
    <w:p w:rsidR="003F128F" w:rsidRPr="0020377E" w:rsidRDefault="003F128F" w:rsidP="009D205E">
      <w:pPr>
        <w:pStyle w:val="af3"/>
        <w:rPr>
          <w:rFonts w:ascii="Traditional Arabic" w:hAnsi="Traditional Arabic"/>
          <w:sz w:val="32"/>
          <w:szCs w:val="32"/>
        </w:rPr>
      </w:pPr>
      <w:r w:rsidRPr="0020377E">
        <w:rPr>
          <w:rFonts w:ascii="Traditional Arabic" w:hAnsi="Traditional Arabic"/>
          <w:sz w:val="32"/>
          <w:szCs w:val="32"/>
          <w:rtl/>
        </w:rPr>
        <w:t>(</w:t>
      </w:r>
      <w:r w:rsidRPr="0020377E">
        <w:rPr>
          <w:rStyle w:val="ae"/>
          <w:rFonts w:ascii="Traditional Arabic" w:hAnsi="Traditional Arabic"/>
          <w:sz w:val="32"/>
          <w:szCs w:val="32"/>
          <w:vertAlign w:val="baseline"/>
        </w:rPr>
        <w:footnoteRef/>
      </w:r>
      <w:r w:rsidRPr="0020377E">
        <w:rPr>
          <w:rFonts w:ascii="Traditional Arabic" w:hAnsi="Traditional Arabic"/>
          <w:sz w:val="32"/>
          <w:szCs w:val="32"/>
          <w:rtl/>
        </w:rPr>
        <w:t xml:space="preserve">) معاني القرآن (2/127). </w:t>
      </w:r>
    </w:p>
  </w:footnote>
  <w:footnote w:id="292">
    <w:p w:rsidR="003F128F" w:rsidRPr="0020377E" w:rsidRDefault="003F128F" w:rsidP="0020424F">
      <w:pPr>
        <w:pStyle w:val="af3"/>
        <w:rPr>
          <w:rFonts w:ascii="Traditional Arabic" w:hAnsi="Traditional Arabic"/>
          <w:sz w:val="32"/>
          <w:szCs w:val="32"/>
        </w:rPr>
      </w:pPr>
      <w:r w:rsidRPr="0020377E">
        <w:rPr>
          <w:rFonts w:ascii="Traditional Arabic" w:hAnsi="Traditional Arabic"/>
          <w:sz w:val="32"/>
          <w:szCs w:val="32"/>
          <w:rtl/>
        </w:rPr>
        <w:t>(</w:t>
      </w:r>
      <w:r w:rsidRPr="0020377E">
        <w:rPr>
          <w:rStyle w:val="ae"/>
          <w:rFonts w:ascii="Traditional Arabic" w:hAnsi="Traditional Arabic"/>
          <w:sz w:val="32"/>
          <w:szCs w:val="32"/>
          <w:vertAlign w:val="baseline"/>
        </w:rPr>
        <w:footnoteRef/>
      </w:r>
      <w:r w:rsidRPr="0020377E">
        <w:rPr>
          <w:rFonts w:ascii="Traditional Arabic" w:hAnsi="Traditional Arabic"/>
          <w:sz w:val="32"/>
          <w:szCs w:val="32"/>
          <w:rtl/>
        </w:rPr>
        <w:t>) تفسير الطبري (17/489)، تفسير ابن أبي حاتم (7/2337).</w:t>
      </w:r>
    </w:p>
  </w:footnote>
  <w:footnote w:id="293">
    <w:p w:rsidR="003F128F" w:rsidRPr="00A62777" w:rsidRDefault="003F128F" w:rsidP="0020377E">
      <w:pPr>
        <w:pStyle w:val="af3"/>
        <w:rPr>
          <w:rFonts w:ascii="Traditional Arabic" w:hAnsi="Traditional Arabic"/>
          <w:sz w:val="32"/>
          <w:szCs w:val="32"/>
        </w:rPr>
      </w:pPr>
      <w:r w:rsidRPr="0020377E">
        <w:rPr>
          <w:rFonts w:ascii="Traditional Arabic" w:hAnsi="Traditional Arabic"/>
          <w:sz w:val="32"/>
          <w:szCs w:val="32"/>
          <w:rtl/>
        </w:rPr>
        <w:t>(</w:t>
      </w:r>
      <w:r w:rsidRPr="0020377E">
        <w:rPr>
          <w:rStyle w:val="ae"/>
          <w:rFonts w:ascii="Traditional Arabic" w:hAnsi="Traditional Arabic"/>
          <w:sz w:val="32"/>
          <w:szCs w:val="32"/>
          <w:vertAlign w:val="baseline"/>
        </w:rPr>
        <w:footnoteRef/>
      </w:r>
      <w:r w:rsidRPr="0020377E">
        <w:rPr>
          <w:rFonts w:ascii="Traditional Arabic" w:hAnsi="Traditional Arabic"/>
          <w:sz w:val="32"/>
          <w:szCs w:val="32"/>
          <w:rtl/>
        </w:rPr>
        <w:t>) غريب القرآن (ص258).</w:t>
      </w:r>
    </w:p>
  </w:footnote>
  <w:footnote w:id="294">
    <w:p w:rsidR="003F128F" w:rsidRPr="0078212F" w:rsidRDefault="003F128F" w:rsidP="0078212F">
      <w:pPr>
        <w:pStyle w:val="af3"/>
        <w:rPr>
          <w:rFonts w:ascii="Traditional Arabic" w:hAnsi="Traditional Arabic"/>
          <w:sz w:val="32"/>
          <w:szCs w:val="32"/>
        </w:rPr>
      </w:pPr>
      <w:r w:rsidRPr="0078212F">
        <w:rPr>
          <w:rFonts w:ascii="Traditional Arabic" w:hAnsi="Traditional Arabic"/>
          <w:sz w:val="32"/>
          <w:szCs w:val="32"/>
          <w:rtl/>
        </w:rPr>
        <w:t>(</w:t>
      </w:r>
      <w:r w:rsidRPr="0078212F">
        <w:rPr>
          <w:rStyle w:val="ae"/>
          <w:rFonts w:ascii="Traditional Arabic" w:hAnsi="Traditional Arabic"/>
          <w:sz w:val="32"/>
          <w:szCs w:val="32"/>
          <w:vertAlign w:val="baseline"/>
        </w:rPr>
        <w:footnoteRef/>
      </w:r>
      <w:r w:rsidRPr="0078212F">
        <w:rPr>
          <w:rFonts w:ascii="Traditional Arabic" w:hAnsi="Traditional Arabic"/>
          <w:sz w:val="32"/>
          <w:szCs w:val="32"/>
          <w:rtl/>
        </w:rPr>
        <w:t>) سورة النساء، الآية: (119), انظر: زاد المسير (2/206).</w:t>
      </w:r>
    </w:p>
  </w:footnote>
  <w:footnote w:id="295">
    <w:p w:rsidR="003F128F" w:rsidRPr="0078212F" w:rsidRDefault="003F128F" w:rsidP="0020424F">
      <w:pPr>
        <w:pStyle w:val="af3"/>
        <w:rPr>
          <w:rFonts w:ascii="Traditional Arabic" w:hAnsi="Traditional Arabic"/>
          <w:sz w:val="32"/>
          <w:szCs w:val="32"/>
        </w:rPr>
      </w:pPr>
      <w:r w:rsidRPr="0078212F">
        <w:rPr>
          <w:rFonts w:ascii="Traditional Arabic" w:hAnsi="Traditional Arabic"/>
          <w:sz w:val="32"/>
          <w:szCs w:val="32"/>
          <w:rtl/>
        </w:rPr>
        <w:t>(</w:t>
      </w:r>
      <w:r w:rsidRPr="0078212F">
        <w:rPr>
          <w:rStyle w:val="ae"/>
          <w:rFonts w:ascii="Traditional Arabic" w:hAnsi="Traditional Arabic"/>
          <w:sz w:val="32"/>
          <w:szCs w:val="32"/>
          <w:vertAlign w:val="baseline"/>
        </w:rPr>
        <w:footnoteRef/>
      </w:r>
      <w:r w:rsidRPr="0078212F">
        <w:rPr>
          <w:rFonts w:ascii="Traditional Arabic" w:hAnsi="Traditional Arabic"/>
          <w:sz w:val="32"/>
          <w:szCs w:val="32"/>
          <w:rtl/>
        </w:rPr>
        <w:t>) التفسير الوسيط (3/115)، معالم التنزيل (5/115).</w:t>
      </w:r>
    </w:p>
  </w:footnote>
  <w:footnote w:id="296">
    <w:p w:rsidR="003F128F" w:rsidRPr="0078212F" w:rsidRDefault="003F128F" w:rsidP="0078212F">
      <w:pPr>
        <w:pStyle w:val="af3"/>
        <w:rPr>
          <w:rFonts w:ascii="Traditional Arabic" w:hAnsi="Traditional Arabic"/>
          <w:sz w:val="32"/>
          <w:szCs w:val="32"/>
        </w:rPr>
      </w:pPr>
      <w:r w:rsidRPr="0078212F">
        <w:rPr>
          <w:rFonts w:ascii="Traditional Arabic" w:hAnsi="Traditional Arabic"/>
          <w:sz w:val="32"/>
          <w:szCs w:val="32"/>
          <w:rtl/>
        </w:rPr>
        <w:t>(</w:t>
      </w:r>
      <w:r w:rsidRPr="0078212F">
        <w:rPr>
          <w:rStyle w:val="ae"/>
          <w:rFonts w:ascii="Traditional Arabic" w:hAnsi="Traditional Arabic"/>
          <w:sz w:val="32"/>
          <w:szCs w:val="32"/>
          <w:vertAlign w:val="baseline"/>
        </w:rPr>
        <w:footnoteRef/>
      </w:r>
      <w:r w:rsidRPr="0078212F">
        <w:rPr>
          <w:rFonts w:ascii="Traditional Arabic" w:hAnsi="Traditional Arabic"/>
          <w:sz w:val="32"/>
          <w:szCs w:val="32"/>
          <w:rtl/>
        </w:rPr>
        <w:t>) في الأصل: [يتضمن إنظاره فمن تبع أمرك</w:t>
      </w:r>
      <w:r w:rsidRPr="0078212F">
        <w:rPr>
          <w:rFonts w:ascii="Traditional Arabic" w:hAnsi="Traditional Arabic"/>
          <w:color w:val="0D0D0D" w:themeColor="text1" w:themeTint="F2"/>
          <w:sz w:val="32"/>
          <w:szCs w:val="32"/>
          <w:rtl/>
          <w:lang w:eastAsia="en-US"/>
        </w:rPr>
        <w:t xml:space="preserve"> منهم، يعني: ذرية آدم</w:t>
      </w:r>
      <w:r w:rsidRPr="0078212F">
        <w:rPr>
          <w:rFonts w:ascii="Traditional Arabic" w:hAnsi="Traditional Arabic"/>
          <w:sz w:val="32"/>
          <w:szCs w:val="32"/>
          <w:rtl/>
        </w:rPr>
        <w:t xml:space="preserve">], والمثبت من (ك).    </w:t>
      </w:r>
    </w:p>
  </w:footnote>
  <w:footnote w:id="297">
    <w:p w:rsidR="003F128F" w:rsidRPr="0078212F" w:rsidRDefault="003F128F" w:rsidP="00B475A5">
      <w:pPr>
        <w:pStyle w:val="af3"/>
        <w:rPr>
          <w:rFonts w:ascii="Traditional Arabic" w:hAnsi="Traditional Arabic"/>
          <w:sz w:val="32"/>
          <w:szCs w:val="32"/>
        </w:rPr>
      </w:pPr>
      <w:r w:rsidRPr="0078212F">
        <w:rPr>
          <w:rFonts w:ascii="Traditional Arabic" w:hAnsi="Traditional Arabic"/>
          <w:sz w:val="32"/>
          <w:szCs w:val="32"/>
          <w:rtl/>
        </w:rPr>
        <w:t>(</w:t>
      </w:r>
      <w:r w:rsidRPr="0078212F">
        <w:rPr>
          <w:rStyle w:val="ae"/>
          <w:rFonts w:ascii="Traditional Arabic" w:hAnsi="Traditional Arabic"/>
          <w:sz w:val="32"/>
          <w:szCs w:val="32"/>
          <w:vertAlign w:val="baseline"/>
        </w:rPr>
        <w:footnoteRef/>
      </w:r>
      <w:r w:rsidRPr="0078212F">
        <w:rPr>
          <w:rFonts w:ascii="Traditional Arabic" w:hAnsi="Traditional Arabic"/>
          <w:sz w:val="32"/>
          <w:szCs w:val="32"/>
          <w:rtl/>
        </w:rPr>
        <w:t xml:space="preserve">) غريب القرآن (ص258), </w:t>
      </w:r>
      <w:r w:rsidRPr="00B475A5">
        <w:rPr>
          <w:rFonts w:ascii="Traditional Arabic" w:hAnsi="Traditional Arabic"/>
          <w:sz w:val="32"/>
          <w:szCs w:val="32"/>
          <w:rtl/>
        </w:rPr>
        <w:t>و</w:t>
      </w:r>
      <w:r w:rsidRPr="00B475A5">
        <w:rPr>
          <w:rFonts w:ascii="Traditional Arabic" w:hAnsi="Traditional Arabic"/>
          <w:sz w:val="32"/>
          <w:szCs w:val="32"/>
          <w:rtl/>
          <w:lang w:eastAsia="en-US"/>
        </w:rPr>
        <w:t>الْمَوْفُورُ</w:t>
      </w:r>
      <w:r>
        <w:rPr>
          <w:rFonts w:ascii="Traditional Arabic" w:hAnsi="Traditional Arabic" w:hint="cs"/>
          <w:sz w:val="32"/>
          <w:szCs w:val="32"/>
          <w:rtl/>
        </w:rPr>
        <w:t>:</w:t>
      </w:r>
      <w:r w:rsidRPr="00B475A5">
        <w:rPr>
          <w:rFonts w:ascii="Traditional Arabic" w:hAnsi="Traditional Arabic"/>
          <w:sz w:val="32"/>
          <w:szCs w:val="32"/>
          <w:rtl/>
        </w:rPr>
        <w:t xml:space="preserve"> الشي</w:t>
      </w:r>
      <w:r w:rsidRPr="00B475A5">
        <w:rPr>
          <w:rFonts w:ascii="Traditional Arabic" w:hAnsi="Traditional Arabic" w:hint="cs"/>
          <w:sz w:val="32"/>
          <w:szCs w:val="32"/>
          <w:rtl/>
        </w:rPr>
        <w:t>ء</w:t>
      </w:r>
      <w:r w:rsidRPr="0078212F">
        <w:rPr>
          <w:rFonts w:ascii="Traditional Arabic" w:hAnsi="Traditional Arabic"/>
          <w:sz w:val="32"/>
          <w:szCs w:val="32"/>
          <w:rtl/>
        </w:rPr>
        <w:t xml:space="preserve"> التام. انظر مختار الصحاح (ص342) مادة (وفر).</w:t>
      </w:r>
    </w:p>
  </w:footnote>
  <w:footnote w:id="298">
    <w:p w:rsidR="003F128F" w:rsidRPr="0078212F" w:rsidRDefault="003F128F" w:rsidP="0078212F">
      <w:pPr>
        <w:pStyle w:val="af3"/>
        <w:rPr>
          <w:rFonts w:ascii="Traditional Arabic" w:hAnsi="Traditional Arabic"/>
          <w:sz w:val="32"/>
          <w:szCs w:val="32"/>
        </w:rPr>
      </w:pPr>
      <w:r w:rsidRPr="0078212F">
        <w:rPr>
          <w:rFonts w:ascii="Traditional Arabic" w:hAnsi="Traditional Arabic"/>
          <w:sz w:val="32"/>
          <w:szCs w:val="32"/>
          <w:rtl/>
        </w:rPr>
        <w:t>(</w:t>
      </w:r>
      <w:r w:rsidRPr="0078212F">
        <w:rPr>
          <w:rStyle w:val="ae"/>
          <w:rFonts w:ascii="Traditional Arabic" w:hAnsi="Traditional Arabic"/>
          <w:sz w:val="32"/>
          <w:szCs w:val="32"/>
          <w:vertAlign w:val="baseline"/>
        </w:rPr>
        <w:footnoteRef/>
      </w:r>
      <w:r w:rsidRPr="0078212F">
        <w:rPr>
          <w:rFonts w:ascii="Traditional Arabic" w:hAnsi="Traditional Arabic"/>
          <w:sz w:val="32"/>
          <w:szCs w:val="32"/>
          <w:rtl/>
        </w:rPr>
        <w:t>) غريب القرآن (ص258).</w:t>
      </w:r>
    </w:p>
  </w:footnote>
  <w:footnote w:id="299">
    <w:p w:rsidR="003F128F" w:rsidRPr="0078212F" w:rsidRDefault="003F128F" w:rsidP="00B02E84">
      <w:pPr>
        <w:pStyle w:val="af3"/>
        <w:rPr>
          <w:rFonts w:ascii="Traditional Arabic" w:hAnsi="Traditional Arabic"/>
          <w:sz w:val="32"/>
          <w:szCs w:val="32"/>
        </w:rPr>
      </w:pPr>
      <w:r w:rsidRPr="0078212F">
        <w:rPr>
          <w:rFonts w:ascii="Traditional Arabic" w:hAnsi="Traditional Arabic"/>
          <w:sz w:val="32"/>
          <w:szCs w:val="32"/>
          <w:rtl/>
        </w:rPr>
        <w:t>(</w:t>
      </w:r>
      <w:r w:rsidRPr="0078212F">
        <w:rPr>
          <w:rStyle w:val="ae"/>
          <w:rFonts w:ascii="Traditional Arabic" w:hAnsi="Traditional Arabic"/>
          <w:sz w:val="32"/>
          <w:szCs w:val="32"/>
          <w:vertAlign w:val="baseline"/>
        </w:rPr>
        <w:footnoteRef/>
      </w:r>
      <w:r w:rsidRPr="0078212F">
        <w:rPr>
          <w:rFonts w:ascii="Traditional Arabic" w:hAnsi="Traditional Arabic"/>
          <w:sz w:val="32"/>
          <w:szCs w:val="32"/>
          <w:rtl/>
        </w:rPr>
        <w:t>) تفسير الطبري (17/491)، تفسير ابن أبي حاتم (7/2337).</w:t>
      </w:r>
    </w:p>
  </w:footnote>
  <w:footnote w:id="300">
    <w:p w:rsidR="003F128F" w:rsidRPr="0078212F" w:rsidRDefault="003F128F" w:rsidP="00B02E84">
      <w:pPr>
        <w:pStyle w:val="af3"/>
        <w:rPr>
          <w:rFonts w:ascii="Traditional Arabic" w:hAnsi="Traditional Arabic"/>
          <w:sz w:val="32"/>
          <w:szCs w:val="32"/>
        </w:rPr>
      </w:pPr>
      <w:r w:rsidRPr="0078212F">
        <w:rPr>
          <w:rFonts w:ascii="Traditional Arabic" w:hAnsi="Traditional Arabic"/>
          <w:sz w:val="32"/>
          <w:szCs w:val="32"/>
          <w:rtl/>
        </w:rPr>
        <w:t>(</w:t>
      </w:r>
      <w:r w:rsidRPr="0078212F">
        <w:rPr>
          <w:rStyle w:val="ae"/>
          <w:rFonts w:ascii="Traditional Arabic" w:hAnsi="Traditional Arabic"/>
          <w:sz w:val="32"/>
          <w:szCs w:val="32"/>
          <w:vertAlign w:val="baseline"/>
        </w:rPr>
        <w:footnoteRef/>
      </w:r>
      <w:r w:rsidRPr="0078212F">
        <w:rPr>
          <w:rFonts w:ascii="Traditional Arabic" w:hAnsi="Traditional Arabic"/>
          <w:sz w:val="32"/>
          <w:szCs w:val="32"/>
          <w:rtl/>
        </w:rPr>
        <w:t>) تفسير الطبري (17/490)، تفسير ابن أبي حاتم (7/2337).</w:t>
      </w:r>
    </w:p>
  </w:footnote>
  <w:footnote w:id="301">
    <w:p w:rsidR="003F128F" w:rsidRPr="0078212F" w:rsidRDefault="003F128F" w:rsidP="00A22895">
      <w:pPr>
        <w:pStyle w:val="af3"/>
        <w:rPr>
          <w:rFonts w:ascii="Traditional Arabic" w:hAnsi="Traditional Arabic"/>
          <w:sz w:val="32"/>
          <w:szCs w:val="32"/>
        </w:rPr>
      </w:pPr>
      <w:r w:rsidRPr="0078212F">
        <w:rPr>
          <w:rFonts w:ascii="Traditional Arabic" w:hAnsi="Traditional Arabic"/>
          <w:sz w:val="32"/>
          <w:szCs w:val="32"/>
          <w:rtl/>
        </w:rPr>
        <w:t>(</w:t>
      </w:r>
      <w:r w:rsidRPr="0078212F">
        <w:rPr>
          <w:rStyle w:val="ae"/>
          <w:rFonts w:ascii="Traditional Arabic" w:hAnsi="Traditional Arabic"/>
          <w:sz w:val="32"/>
          <w:szCs w:val="32"/>
          <w:vertAlign w:val="baseline"/>
        </w:rPr>
        <w:footnoteRef/>
      </w:r>
      <w:r w:rsidRPr="0078212F">
        <w:rPr>
          <w:rFonts w:ascii="Traditional Arabic" w:hAnsi="Traditional Arabic"/>
          <w:sz w:val="32"/>
          <w:szCs w:val="32"/>
          <w:rtl/>
        </w:rPr>
        <w:t>) في (ك): [</w:t>
      </w:r>
      <w:r w:rsidRPr="0078212F">
        <w:rPr>
          <w:rFonts w:ascii="Traditional Arabic" w:hAnsi="Traditional Arabic"/>
          <w:color w:val="0D0D0D" w:themeColor="text1" w:themeTint="F2"/>
          <w:sz w:val="32"/>
          <w:szCs w:val="32"/>
          <w:rtl/>
          <w:lang w:eastAsia="en-US"/>
        </w:rPr>
        <w:t>اجمع عليهم ما تقدر عليه</w:t>
      </w:r>
      <w:r w:rsidRPr="0078212F">
        <w:rPr>
          <w:rFonts w:ascii="Traditional Arabic" w:hAnsi="Traditional Arabic"/>
          <w:sz w:val="32"/>
          <w:szCs w:val="32"/>
          <w:rtl/>
        </w:rPr>
        <w:t>].</w:t>
      </w:r>
    </w:p>
  </w:footnote>
  <w:footnote w:id="302">
    <w:p w:rsidR="003F128F" w:rsidRPr="0078212F" w:rsidRDefault="003F128F" w:rsidP="009D205E">
      <w:pPr>
        <w:pStyle w:val="af3"/>
        <w:rPr>
          <w:rFonts w:ascii="Traditional Arabic" w:hAnsi="Traditional Arabic"/>
          <w:sz w:val="32"/>
          <w:szCs w:val="32"/>
        </w:rPr>
      </w:pPr>
      <w:r w:rsidRPr="0078212F">
        <w:rPr>
          <w:rFonts w:ascii="Traditional Arabic" w:hAnsi="Traditional Arabic"/>
          <w:sz w:val="32"/>
          <w:szCs w:val="32"/>
          <w:rtl/>
        </w:rPr>
        <w:t>(</w:t>
      </w:r>
      <w:r w:rsidRPr="0078212F">
        <w:rPr>
          <w:rStyle w:val="ae"/>
          <w:rFonts w:ascii="Traditional Arabic" w:hAnsi="Traditional Arabic"/>
          <w:sz w:val="32"/>
          <w:szCs w:val="32"/>
          <w:vertAlign w:val="baseline"/>
        </w:rPr>
        <w:footnoteRef/>
      </w:r>
      <w:r w:rsidRPr="0078212F">
        <w:rPr>
          <w:rFonts w:ascii="Traditional Arabic" w:hAnsi="Traditional Arabic"/>
          <w:sz w:val="32"/>
          <w:szCs w:val="32"/>
          <w:rtl/>
        </w:rPr>
        <w:t>) معاني القرآن وإعرابه (3/249).</w:t>
      </w:r>
    </w:p>
  </w:footnote>
  <w:footnote w:id="303">
    <w:p w:rsidR="003F128F" w:rsidRPr="0078212F" w:rsidRDefault="003F128F" w:rsidP="0078212F">
      <w:pPr>
        <w:pStyle w:val="af3"/>
        <w:rPr>
          <w:rFonts w:ascii="Traditional Arabic" w:hAnsi="Traditional Arabic"/>
          <w:sz w:val="32"/>
          <w:szCs w:val="32"/>
        </w:rPr>
      </w:pPr>
      <w:r w:rsidRPr="0078212F">
        <w:rPr>
          <w:rFonts w:ascii="Traditional Arabic" w:hAnsi="Traditional Arabic"/>
          <w:sz w:val="32"/>
          <w:szCs w:val="32"/>
          <w:rtl/>
        </w:rPr>
        <w:t>(</w:t>
      </w:r>
      <w:r w:rsidRPr="0078212F">
        <w:rPr>
          <w:rStyle w:val="ae"/>
          <w:rFonts w:ascii="Traditional Arabic" w:hAnsi="Traditional Arabic"/>
          <w:sz w:val="32"/>
          <w:szCs w:val="32"/>
          <w:vertAlign w:val="baseline"/>
        </w:rPr>
        <w:footnoteRef/>
      </w:r>
      <w:r w:rsidRPr="0078212F">
        <w:rPr>
          <w:rFonts w:ascii="Traditional Arabic" w:hAnsi="Traditional Arabic"/>
          <w:sz w:val="32"/>
          <w:szCs w:val="32"/>
          <w:rtl/>
        </w:rPr>
        <w:t>) غريب القرآن (ص258).</w:t>
      </w:r>
    </w:p>
  </w:footnote>
  <w:footnote w:id="304">
    <w:p w:rsidR="003F128F" w:rsidRPr="0078212F" w:rsidRDefault="003F128F" w:rsidP="0020424F">
      <w:pPr>
        <w:pStyle w:val="af3"/>
        <w:rPr>
          <w:rFonts w:ascii="Traditional Arabic" w:hAnsi="Traditional Arabic"/>
          <w:sz w:val="32"/>
          <w:szCs w:val="32"/>
        </w:rPr>
      </w:pPr>
      <w:r w:rsidRPr="0078212F">
        <w:rPr>
          <w:rFonts w:ascii="Traditional Arabic" w:hAnsi="Traditional Arabic"/>
          <w:sz w:val="32"/>
          <w:szCs w:val="32"/>
          <w:rtl/>
        </w:rPr>
        <w:t>(</w:t>
      </w:r>
      <w:r w:rsidRPr="0078212F">
        <w:rPr>
          <w:rStyle w:val="ae"/>
          <w:rFonts w:ascii="Traditional Arabic" w:hAnsi="Traditional Arabic"/>
          <w:sz w:val="32"/>
          <w:szCs w:val="32"/>
          <w:vertAlign w:val="baseline"/>
        </w:rPr>
        <w:footnoteRef/>
      </w:r>
      <w:r w:rsidRPr="0078212F">
        <w:rPr>
          <w:rFonts w:ascii="Traditional Arabic" w:hAnsi="Traditional Arabic"/>
          <w:sz w:val="32"/>
          <w:szCs w:val="32"/>
          <w:rtl/>
        </w:rPr>
        <w:t>) تفسير الطبري (17/492)، تفسير ابن أبي حاتم (7/2337).</w:t>
      </w:r>
    </w:p>
  </w:footnote>
  <w:footnote w:id="305">
    <w:p w:rsidR="003F128F" w:rsidRPr="00387576" w:rsidRDefault="003F128F" w:rsidP="00C36615">
      <w:pPr>
        <w:pStyle w:val="af3"/>
        <w:rPr>
          <w:rFonts w:ascii="Traditional Arabic" w:hAnsi="Traditional Arabic"/>
          <w:sz w:val="32"/>
          <w:szCs w:val="32"/>
        </w:rPr>
      </w:pPr>
      <w:r w:rsidRPr="0078212F">
        <w:rPr>
          <w:rFonts w:ascii="Traditional Arabic" w:hAnsi="Traditional Arabic"/>
          <w:sz w:val="32"/>
          <w:szCs w:val="32"/>
          <w:rtl/>
        </w:rPr>
        <w:t>(</w:t>
      </w:r>
      <w:r w:rsidRPr="0078212F">
        <w:rPr>
          <w:rStyle w:val="ae"/>
          <w:rFonts w:ascii="Traditional Arabic" w:hAnsi="Traditional Arabic"/>
          <w:sz w:val="32"/>
          <w:szCs w:val="32"/>
          <w:vertAlign w:val="baseline"/>
        </w:rPr>
        <w:footnoteRef/>
      </w:r>
      <w:r w:rsidRPr="0078212F">
        <w:rPr>
          <w:rFonts w:ascii="Traditional Arabic" w:hAnsi="Traditional Arabic"/>
          <w:sz w:val="32"/>
          <w:szCs w:val="32"/>
          <w:rtl/>
        </w:rPr>
        <w:t>) تفسير القرآن لعبد الرزاق الصنعاني (2/381)، تفسير الطبري (17/491).</w:t>
      </w:r>
    </w:p>
  </w:footnote>
  <w:footnote w:id="306">
    <w:p w:rsidR="003F128F" w:rsidRPr="00387576" w:rsidRDefault="003F128F" w:rsidP="003C4A6B">
      <w:pPr>
        <w:widowControl/>
        <w:autoSpaceDE w:val="0"/>
        <w:autoSpaceDN w:val="0"/>
        <w:adjustRightInd w:val="0"/>
        <w:ind w:firstLine="0"/>
        <w:rPr>
          <w:rFonts w:ascii="Traditional Arabic" w:hAnsi="Traditional Arabic"/>
          <w:color w:val="auto"/>
          <w:sz w:val="32"/>
          <w:szCs w:val="32"/>
          <w:lang w:eastAsia="en-US"/>
        </w:rPr>
      </w:pPr>
      <w:r w:rsidRPr="00387576">
        <w:rPr>
          <w:rFonts w:ascii="Traditional Arabic" w:hAnsi="Traditional Arabic"/>
          <w:sz w:val="32"/>
          <w:szCs w:val="32"/>
          <w:rtl/>
        </w:rPr>
        <w:t>(</w:t>
      </w:r>
      <w:r w:rsidRPr="00387576">
        <w:rPr>
          <w:rStyle w:val="ae"/>
          <w:rFonts w:ascii="Traditional Arabic" w:hAnsi="Traditional Arabic"/>
          <w:sz w:val="32"/>
          <w:szCs w:val="32"/>
          <w:vertAlign w:val="baseline"/>
        </w:rPr>
        <w:footnoteRef/>
      </w:r>
      <w:r w:rsidRPr="00387576">
        <w:rPr>
          <w:rFonts w:ascii="Traditional Arabic" w:hAnsi="Traditional Arabic"/>
          <w:sz w:val="32"/>
          <w:szCs w:val="32"/>
          <w:rtl/>
        </w:rPr>
        <w:t xml:space="preserve">) هو </w:t>
      </w:r>
      <w:r>
        <w:rPr>
          <w:rFonts w:ascii="Traditional Arabic" w:hAnsi="Traditional Arabic"/>
          <w:sz w:val="32"/>
          <w:szCs w:val="32"/>
          <w:rtl/>
        </w:rPr>
        <w:t>الإمام</w:t>
      </w:r>
      <w:r w:rsidRPr="00387576">
        <w:rPr>
          <w:rFonts w:ascii="Traditional Arabic" w:hAnsi="Traditional Arabic"/>
          <w:sz w:val="32"/>
          <w:szCs w:val="32"/>
          <w:rtl/>
        </w:rPr>
        <w:t xml:space="preserve"> المقرئ</w:t>
      </w:r>
      <w:r>
        <w:rPr>
          <w:rFonts w:ascii="Traditional Arabic" w:hAnsi="Traditional Arabic" w:hint="cs"/>
          <w:sz w:val="32"/>
          <w:szCs w:val="32"/>
          <w:rtl/>
        </w:rPr>
        <w:t>,</w:t>
      </w:r>
      <w:r w:rsidRPr="00387576">
        <w:rPr>
          <w:rFonts w:ascii="Traditional Arabic" w:hAnsi="Traditional Arabic"/>
          <w:sz w:val="32"/>
          <w:szCs w:val="32"/>
          <w:rtl/>
        </w:rPr>
        <w:t xml:space="preserve"> </w:t>
      </w:r>
      <w:r w:rsidRPr="00387576">
        <w:rPr>
          <w:rFonts w:ascii="Traditional Arabic" w:hAnsi="Traditional Arabic"/>
          <w:color w:val="auto"/>
          <w:sz w:val="32"/>
          <w:szCs w:val="32"/>
          <w:rtl/>
          <w:lang w:eastAsia="en-US"/>
        </w:rPr>
        <w:t>أبو عمر</w:t>
      </w:r>
      <w:r>
        <w:rPr>
          <w:rFonts w:ascii="Traditional Arabic" w:hAnsi="Traditional Arabic" w:hint="cs"/>
          <w:color w:val="auto"/>
          <w:sz w:val="32"/>
          <w:szCs w:val="32"/>
          <w:rtl/>
          <w:lang w:eastAsia="en-US"/>
        </w:rPr>
        <w:t>,</w:t>
      </w:r>
      <w:r w:rsidRPr="00387576">
        <w:rPr>
          <w:rFonts w:ascii="Traditional Arabic" w:hAnsi="Traditional Arabic"/>
          <w:color w:val="auto"/>
          <w:sz w:val="32"/>
          <w:szCs w:val="32"/>
          <w:rtl/>
          <w:lang w:eastAsia="en-US"/>
        </w:rPr>
        <w:t xml:space="preserve"> حفص بن سليمان بن المغيرة الأسدي بالولاء، قارئ أهل الكوفة، نزل بغداد، وجاور بمكة، وكان أعلم أصحاب عاصم بقراءته، ومن طريقه قراءة أهل المشرق، (ت180). انظر: التاريخ الأوسط للبخاري (4/805)، الوافي بالوفيات (13/62).</w:t>
      </w:r>
    </w:p>
  </w:footnote>
  <w:footnote w:id="307">
    <w:p w:rsidR="003F128F" w:rsidRPr="00387576" w:rsidRDefault="003F128F" w:rsidP="00644795">
      <w:pPr>
        <w:pStyle w:val="af3"/>
        <w:rPr>
          <w:rFonts w:ascii="Traditional Arabic" w:hAnsi="Traditional Arabic"/>
          <w:sz w:val="32"/>
          <w:szCs w:val="32"/>
        </w:rPr>
      </w:pPr>
      <w:r w:rsidRPr="00387576">
        <w:rPr>
          <w:rFonts w:ascii="Traditional Arabic" w:hAnsi="Traditional Arabic"/>
          <w:sz w:val="32"/>
          <w:szCs w:val="32"/>
          <w:rtl/>
        </w:rPr>
        <w:t>(</w:t>
      </w:r>
      <w:r w:rsidRPr="00387576">
        <w:rPr>
          <w:rStyle w:val="ae"/>
          <w:rFonts w:ascii="Traditional Arabic" w:hAnsi="Traditional Arabic"/>
          <w:sz w:val="32"/>
          <w:szCs w:val="32"/>
          <w:vertAlign w:val="baseline"/>
        </w:rPr>
        <w:footnoteRef/>
      </w:r>
      <w:r w:rsidRPr="00387576">
        <w:rPr>
          <w:rFonts w:ascii="Traditional Arabic" w:hAnsi="Traditional Arabic"/>
          <w:sz w:val="32"/>
          <w:szCs w:val="32"/>
          <w:rtl/>
        </w:rPr>
        <w:t>)</w:t>
      </w:r>
      <w:r>
        <w:rPr>
          <w:rFonts w:ascii="Traditional Arabic" w:hAnsi="Traditional Arabic" w:hint="cs"/>
          <w:sz w:val="32"/>
          <w:szCs w:val="32"/>
          <w:rtl/>
        </w:rPr>
        <w:t xml:space="preserve"> </w:t>
      </w:r>
      <w:r w:rsidRPr="00387576">
        <w:rPr>
          <w:rFonts w:ascii="Traditional Arabic" w:hAnsi="Traditional Arabic"/>
          <w:color w:val="auto"/>
          <w:sz w:val="32"/>
          <w:szCs w:val="32"/>
          <w:rtl/>
          <w:lang w:eastAsia="en-US"/>
        </w:rPr>
        <w:t>انظر:</w:t>
      </w:r>
      <w:r w:rsidRPr="00387576">
        <w:rPr>
          <w:rFonts w:ascii="Traditional Arabic" w:hAnsi="Traditional Arabic"/>
          <w:sz w:val="32"/>
          <w:szCs w:val="32"/>
          <w:rtl/>
        </w:rPr>
        <w:t xml:space="preserve"> السبعة في القراءات (ص382).</w:t>
      </w:r>
    </w:p>
  </w:footnote>
  <w:footnote w:id="308">
    <w:p w:rsidR="003F128F" w:rsidRPr="00792ED8" w:rsidRDefault="003F128F" w:rsidP="00C36615">
      <w:pPr>
        <w:widowControl/>
        <w:autoSpaceDE w:val="0"/>
        <w:autoSpaceDN w:val="0"/>
        <w:adjustRightInd w:val="0"/>
        <w:ind w:firstLine="0"/>
        <w:rPr>
          <w:rFonts w:ascii="Traditional Arabic" w:hAnsi="Traditional Arabic"/>
          <w:sz w:val="32"/>
          <w:szCs w:val="32"/>
        </w:rPr>
      </w:pPr>
      <w:r w:rsidRPr="00387576">
        <w:rPr>
          <w:rFonts w:ascii="Traditional Arabic" w:hAnsi="Traditional Arabic"/>
          <w:sz w:val="32"/>
          <w:szCs w:val="32"/>
          <w:rtl/>
        </w:rPr>
        <w:t>(</w:t>
      </w:r>
      <w:r w:rsidRPr="00387576">
        <w:rPr>
          <w:rStyle w:val="ae"/>
          <w:rFonts w:ascii="Traditional Arabic" w:hAnsi="Traditional Arabic"/>
          <w:sz w:val="32"/>
          <w:szCs w:val="32"/>
          <w:vertAlign w:val="baseline"/>
        </w:rPr>
        <w:footnoteRef/>
      </w:r>
      <w:r w:rsidRPr="00387576">
        <w:rPr>
          <w:rFonts w:ascii="Traditional Arabic" w:hAnsi="Traditional Arabic"/>
          <w:sz w:val="32"/>
          <w:szCs w:val="32"/>
          <w:rtl/>
        </w:rPr>
        <w:t xml:space="preserve">) هو التابعي </w:t>
      </w:r>
      <w:r>
        <w:rPr>
          <w:rFonts w:ascii="Traditional Arabic" w:hAnsi="Traditional Arabic"/>
          <w:sz w:val="32"/>
          <w:szCs w:val="32"/>
          <w:rtl/>
        </w:rPr>
        <w:t>الإمام</w:t>
      </w:r>
      <w:r w:rsidRPr="00387576">
        <w:rPr>
          <w:rFonts w:ascii="Traditional Arabic" w:hAnsi="Traditional Arabic"/>
          <w:sz w:val="32"/>
          <w:szCs w:val="32"/>
          <w:rtl/>
        </w:rPr>
        <w:t xml:space="preserve"> </w:t>
      </w:r>
      <w:r w:rsidRPr="00387576">
        <w:rPr>
          <w:rFonts w:ascii="Traditional Arabic" w:hAnsi="Traditional Arabic"/>
          <w:sz w:val="32"/>
          <w:szCs w:val="32"/>
          <w:rtl/>
          <w:lang w:eastAsia="en-US"/>
        </w:rPr>
        <w:t>أبو رزين</w:t>
      </w:r>
      <w:r>
        <w:rPr>
          <w:rFonts w:ascii="Traditional Arabic" w:hAnsi="Traditional Arabic" w:hint="cs"/>
          <w:sz w:val="32"/>
          <w:szCs w:val="32"/>
          <w:rtl/>
          <w:lang w:eastAsia="en-US"/>
        </w:rPr>
        <w:t>,</w:t>
      </w:r>
      <w:r w:rsidRPr="00387576">
        <w:rPr>
          <w:rFonts w:ascii="Traditional Arabic" w:hAnsi="Traditional Arabic"/>
          <w:sz w:val="32"/>
          <w:szCs w:val="32"/>
          <w:rtl/>
        </w:rPr>
        <w:t xml:space="preserve"> </w:t>
      </w:r>
      <w:r w:rsidRPr="00387576">
        <w:rPr>
          <w:rFonts w:ascii="Traditional Arabic" w:hAnsi="Traditional Arabic"/>
          <w:sz w:val="32"/>
          <w:szCs w:val="32"/>
          <w:rtl/>
          <w:lang w:eastAsia="en-US"/>
        </w:rPr>
        <w:t>مسعود بن مالك، ويقال: ابن عبد الله، الكوفي، وردت عنه الرواية في حروف القرآن (ت85ه)، انظر: غاية النهاية في طبقات القراء لابن الجزري (2/296)، تهذيب التهذيب (10/118).</w:t>
      </w:r>
    </w:p>
  </w:footnote>
  <w:footnote w:id="309">
    <w:p w:rsidR="003F128F" w:rsidRPr="00792ED8" w:rsidRDefault="003F128F" w:rsidP="00232333">
      <w:pPr>
        <w:widowControl/>
        <w:autoSpaceDE w:val="0"/>
        <w:autoSpaceDN w:val="0"/>
        <w:adjustRightInd w:val="0"/>
        <w:ind w:firstLine="0"/>
        <w:rPr>
          <w:rFonts w:ascii="Traditional Arabic" w:hAnsi="Traditional Arabic"/>
          <w:color w:val="auto"/>
          <w:sz w:val="32"/>
          <w:szCs w:val="32"/>
        </w:rPr>
      </w:pPr>
      <w:r w:rsidRPr="00792ED8">
        <w:rPr>
          <w:rFonts w:ascii="Traditional Arabic" w:hAnsi="Traditional Arabic"/>
          <w:color w:val="auto"/>
          <w:sz w:val="32"/>
          <w:szCs w:val="32"/>
          <w:rtl/>
        </w:rPr>
        <w:t>(</w:t>
      </w:r>
      <w:r w:rsidRPr="00792ED8">
        <w:rPr>
          <w:rStyle w:val="ae"/>
          <w:rFonts w:ascii="Traditional Arabic" w:hAnsi="Traditional Arabic"/>
          <w:color w:val="auto"/>
          <w:sz w:val="32"/>
          <w:szCs w:val="32"/>
          <w:vertAlign w:val="baseline"/>
        </w:rPr>
        <w:footnoteRef/>
      </w:r>
      <w:r w:rsidRPr="00792ED8">
        <w:rPr>
          <w:rFonts w:ascii="Traditional Arabic" w:hAnsi="Traditional Arabic"/>
          <w:color w:val="auto"/>
          <w:sz w:val="32"/>
          <w:szCs w:val="32"/>
          <w:rtl/>
        </w:rPr>
        <w:t xml:space="preserve">) هو التابعي </w:t>
      </w:r>
      <w:r>
        <w:rPr>
          <w:rFonts w:ascii="Traditional Arabic" w:hAnsi="Traditional Arabic"/>
          <w:color w:val="auto"/>
          <w:sz w:val="32"/>
          <w:szCs w:val="32"/>
          <w:rtl/>
        </w:rPr>
        <w:t>الإمام</w:t>
      </w:r>
      <w:r w:rsidRPr="00792ED8">
        <w:rPr>
          <w:rFonts w:ascii="Traditional Arabic" w:hAnsi="Traditional Arabic"/>
          <w:color w:val="auto"/>
          <w:sz w:val="32"/>
          <w:szCs w:val="32"/>
          <w:rtl/>
        </w:rPr>
        <w:t xml:space="preserve"> المقرئ</w:t>
      </w:r>
      <w:r>
        <w:rPr>
          <w:rFonts w:ascii="Traditional Arabic" w:hAnsi="Traditional Arabic" w:hint="cs"/>
          <w:color w:val="auto"/>
          <w:sz w:val="32"/>
          <w:szCs w:val="32"/>
          <w:rtl/>
        </w:rPr>
        <w:t>,</w:t>
      </w:r>
      <w:r w:rsidRPr="00792ED8">
        <w:rPr>
          <w:rFonts w:ascii="Traditional Arabic" w:hAnsi="Traditional Arabic"/>
          <w:color w:val="auto"/>
          <w:sz w:val="32"/>
          <w:szCs w:val="32"/>
          <w:rtl/>
        </w:rPr>
        <w:t xml:space="preserve"> </w:t>
      </w:r>
      <w:r w:rsidRPr="00792ED8">
        <w:rPr>
          <w:rFonts w:ascii="Traditional Arabic" w:hAnsi="Traditional Arabic"/>
          <w:color w:val="auto"/>
          <w:sz w:val="32"/>
          <w:szCs w:val="32"/>
          <w:rtl/>
          <w:lang w:eastAsia="en-US"/>
        </w:rPr>
        <w:t>أبو عبد الرحمن</w:t>
      </w:r>
      <w:r>
        <w:rPr>
          <w:rFonts w:ascii="Traditional Arabic" w:hAnsi="Traditional Arabic" w:hint="cs"/>
          <w:color w:val="auto"/>
          <w:sz w:val="32"/>
          <w:szCs w:val="32"/>
          <w:rtl/>
          <w:lang w:eastAsia="en-US"/>
        </w:rPr>
        <w:t>,</w:t>
      </w:r>
      <w:r w:rsidRPr="00792ED8">
        <w:rPr>
          <w:rFonts w:ascii="Traditional Arabic" w:hAnsi="Traditional Arabic"/>
          <w:color w:val="auto"/>
          <w:sz w:val="32"/>
          <w:szCs w:val="32"/>
          <w:rtl/>
          <w:lang w:eastAsia="en-US"/>
        </w:rPr>
        <w:t xml:space="preserve"> عبد الله بن حبيب بن ربيعة السُّلَمِيُّ، العلم، مقرئ الكوفة، (ت74ه). </w:t>
      </w:r>
      <w:r w:rsidRPr="00792ED8">
        <w:rPr>
          <w:rFonts w:ascii="Traditional Arabic" w:hAnsi="Traditional Arabic"/>
          <w:color w:val="auto"/>
          <w:sz w:val="32"/>
          <w:szCs w:val="32"/>
          <w:rtl/>
        </w:rPr>
        <w:t xml:space="preserve">انظر: تاريخ بغداد للخطيب البغدادي (11/88)، </w:t>
      </w:r>
      <w:r w:rsidRPr="00792ED8">
        <w:rPr>
          <w:rFonts w:ascii="Traditional Arabic" w:hAnsi="Traditional Arabic"/>
          <w:sz w:val="32"/>
          <w:szCs w:val="32"/>
          <w:rtl/>
        </w:rPr>
        <w:t>سير أعلام النبلاء (4/267)</w:t>
      </w:r>
      <w:r w:rsidRPr="00792ED8">
        <w:rPr>
          <w:rFonts w:ascii="Traditional Arabic" w:hAnsi="Traditional Arabic"/>
          <w:color w:val="auto"/>
          <w:sz w:val="32"/>
          <w:szCs w:val="32"/>
          <w:rtl/>
        </w:rPr>
        <w:t>.</w:t>
      </w:r>
    </w:p>
  </w:footnote>
  <w:footnote w:id="310">
    <w:p w:rsidR="003F128F" w:rsidRPr="00792ED8" w:rsidRDefault="003F128F" w:rsidP="00232333">
      <w:pPr>
        <w:pStyle w:val="af3"/>
        <w:rPr>
          <w:rFonts w:ascii="Traditional Arabic" w:hAnsi="Traditional Arabic"/>
          <w:sz w:val="32"/>
          <w:szCs w:val="32"/>
        </w:rPr>
      </w:pPr>
      <w:r w:rsidRPr="00792ED8">
        <w:rPr>
          <w:rFonts w:ascii="Traditional Arabic" w:hAnsi="Traditional Arabic"/>
          <w:sz w:val="32"/>
          <w:szCs w:val="32"/>
          <w:rtl/>
        </w:rPr>
        <w:t>(</w:t>
      </w:r>
      <w:r w:rsidRPr="00792ED8">
        <w:rPr>
          <w:rStyle w:val="ae"/>
          <w:rFonts w:ascii="Traditional Arabic" w:hAnsi="Traditional Arabic"/>
          <w:sz w:val="32"/>
          <w:szCs w:val="32"/>
          <w:vertAlign w:val="baseline"/>
        </w:rPr>
        <w:footnoteRef/>
      </w:r>
      <w:r w:rsidRPr="00792ED8">
        <w:rPr>
          <w:rFonts w:ascii="Traditional Arabic" w:hAnsi="Traditional Arabic"/>
          <w:sz w:val="32"/>
          <w:szCs w:val="32"/>
          <w:rtl/>
        </w:rPr>
        <w:t xml:space="preserve">) </w:t>
      </w:r>
      <w:r w:rsidRPr="00792ED8">
        <w:rPr>
          <w:rFonts w:ascii="Traditional Arabic" w:hAnsi="Traditional Arabic"/>
          <w:color w:val="auto"/>
          <w:sz w:val="32"/>
          <w:szCs w:val="32"/>
          <w:rtl/>
          <w:lang w:eastAsia="en-US"/>
        </w:rPr>
        <w:t xml:space="preserve">هو </w:t>
      </w:r>
      <w:r>
        <w:rPr>
          <w:rFonts w:ascii="Traditional Arabic" w:hAnsi="Traditional Arabic"/>
          <w:color w:val="auto"/>
          <w:sz w:val="32"/>
          <w:szCs w:val="32"/>
          <w:rtl/>
          <w:lang w:eastAsia="en-US"/>
        </w:rPr>
        <w:t>الإمام</w:t>
      </w:r>
      <w:r w:rsidRPr="00792ED8">
        <w:rPr>
          <w:rFonts w:ascii="Traditional Arabic" w:hAnsi="Traditional Arabic"/>
          <w:color w:val="auto"/>
          <w:sz w:val="32"/>
          <w:szCs w:val="32"/>
          <w:rtl/>
          <w:lang w:eastAsia="en-US"/>
        </w:rPr>
        <w:t xml:space="preserve"> أبو زيد</w:t>
      </w:r>
      <w:r>
        <w:rPr>
          <w:rFonts w:ascii="Traditional Arabic" w:hAnsi="Traditional Arabic" w:hint="cs"/>
          <w:color w:val="auto"/>
          <w:sz w:val="32"/>
          <w:szCs w:val="32"/>
          <w:rtl/>
          <w:lang w:eastAsia="en-US"/>
        </w:rPr>
        <w:t>,</w:t>
      </w:r>
      <w:r w:rsidRPr="00792ED8">
        <w:rPr>
          <w:rFonts w:ascii="Traditional Arabic" w:hAnsi="Traditional Arabic"/>
          <w:color w:val="auto"/>
          <w:sz w:val="32"/>
          <w:szCs w:val="32"/>
          <w:rtl/>
          <w:lang w:eastAsia="en-US"/>
        </w:rPr>
        <w:t xml:space="preserve"> سعيد بن أوس بن ثابت الأنصاري، الخزرجي، النحوي، غلبت عليه اللغة والغريب والنوادر فانفرد بذلك، له كتاب "النوادر"، وكتاب "النبات والشجر"، وغيرها، (ت215ه).</w:t>
      </w:r>
      <w:r w:rsidRPr="00792ED8">
        <w:rPr>
          <w:rFonts w:ascii="Traditional Arabic" w:hAnsi="Traditional Arabic"/>
          <w:color w:val="auto"/>
          <w:sz w:val="32"/>
          <w:szCs w:val="32"/>
          <w:rtl/>
        </w:rPr>
        <w:t xml:space="preserve"> انظر:</w:t>
      </w:r>
      <w:r w:rsidRPr="00792ED8">
        <w:rPr>
          <w:rFonts w:ascii="Traditional Arabic" w:hAnsi="Traditional Arabic"/>
          <w:sz w:val="32"/>
          <w:szCs w:val="32"/>
          <w:rtl/>
        </w:rPr>
        <w:t xml:space="preserve"> وفيات الأعيان (2/378)، سير أعلام النبلاء (9/494)</w:t>
      </w:r>
      <w:r>
        <w:rPr>
          <w:rFonts w:ascii="Traditional Arabic" w:hAnsi="Traditional Arabic" w:hint="cs"/>
          <w:color w:val="auto"/>
          <w:sz w:val="32"/>
          <w:szCs w:val="32"/>
          <w:rtl/>
        </w:rPr>
        <w:t>.</w:t>
      </w:r>
    </w:p>
  </w:footnote>
  <w:footnote w:id="311">
    <w:p w:rsidR="003F128F" w:rsidRPr="00CB2583" w:rsidRDefault="003F128F" w:rsidP="00232333">
      <w:pPr>
        <w:pStyle w:val="af3"/>
        <w:rPr>
          <w:rFonts w:ascii="Traditional Arabic" w:hAnsi="Traditional Arabic"/>
          <w:sz w:val="32"/>
          <w:szCs w:val="32"/>
        </w:rPr>
      </w:pPr>
      <w:r w:rsidRPr="00792ED8">
        <w:rPr>
          <w:rFonts w:ascii="Traditional Arabic" w:hAnsi="Traditional Arabic"/>
          <w:sz w:val="32"/>
          <w:szCs w:val="32"/>
          <w:rtl/>
        </w:rPr>
        <w:t>(</w:t>
      </w:r>
      <w:r w:rsidRPr="00792ED8">
        <w:rPr>
          <w:rStyle w:val="ae"/>
          <w:rFonts w:ascii="Traditional Arabic" w:hAnsi="Traditional Arabic"/>
          <w:sz w:val="32"/>
          <w:szCs w:val="32"/>
          <w:vertAlign w:val="baseline"/>
        </w:rPr>
        <w:footnoteRef/>
      </w:r>
      <w:r w:rsidRPr="00792ED8">
        <w:rPr>
          <w:rFonts w:ascii="Traditional Arabic" w:hAnsi="Traditional Arabic"/>
          <w:sz w:val="32"/>
          <w:szCs w:val="32"/>
          <w:rtl/>
        </w:rPr>
        <w:t>)</w:t>
      </w:r>
      <w:r>
        <w:rPr>
          <w:rFonts w:ascii="Traditional Arabic" w:hAnsi="Traditional Arabic" w:hint="cs"/>
          <w:sz w:val="32"/>
          <w:szCs w:val="32"/>
          <w:rtl/>
        </w:rPr>
        <w:t xml:space="preserve"> </w:t>
      </w:r>
      <w:r w:rsidRPr="00792ED8">
        <w:rPr>
          <w:rFonts w:ascii="Traditional Arabic" w:hAnsi="Traditional Arabic"/>
          <w:sz w:val="32"/>
          <w:szCs w:val="32"/>
          <w:rtl/>
          <w:lang w:eastAsia="en-US"/>
        </w:rPr>
        <w:t>النوادر في اللغة لأبي زيد (ص149).</w:t>
      </w:r>
    </w:p>
  </w:footnote>
  <w:footnote w:id="312">
    <w:p w:rsidR="003F128F" w:rsidRPr="004E2C27" w:rsidRDefault="003F128F" w:rsidP="00DA54F5">
      <w:pPr>
        <w:pStyle w:val="af3"/>
        <w:rPr>
          <w:rFonts w:ascii="Traditional Arabic" w:hAnsi="Traditional Arabic"/>
          <w:sz w:val="32"/>
          <w:szCs w:val="32"/>
        </w:rPr>
      </w:pPr>
      <w:r w:rsidRPr="004E2C27">
        <w:rPr>
          <w:rFonts w:ascii="Traditional Arabic" w:hAnsi="Traditional Arabic"/>
          <w:sz w:val="32"/>
          <w:szCs w:val="32"/>
          <w:rtl/>
        </w:rPr>
        <w:t>(</w:t>
      </w:r>
      <w:r w:rsidRPr="004E2C27">
        <w:rPr>
          <w:rStyle w:val="ae"/>
          <w:rFonts w:ascii="Traditional Arabic" w:hAnsi="Traditional Arabic"/>
          <w:sz w:val="32"/>
          <w:szCs w:val="32"/>
          <w:vertAlign w:val="baseline"/>
        </w:rPr>
        <w:footnoteRef/>
      </w:r>
      <w:r w:rsidRPr="004E2C27">
        <w:rPr>
          <w:rFonts w:ascii="Traditional Arabic" w:hAnsi="Traditional Arabic"/>
          <w:sz w:val="32"/>
          <w:szCs w:val="32"/>
          <w:rtl/>
        </w:rPr>
        <w:t xml:space="preserve">) </w:t>
      </w:r>
      <w:r w:rsidRPr="004E2C27">
        <w:rPr>
          <w:rFonts w:ascii="Traditional Arabic" w:hAnsi="Traditional Arabic"/>
          <w:color w:val="auto"/>
          <w:sz w:val="32"/>
          <w:szCs w:val="32"/>
          <w:rtl/>
          <w:lang w:eastAsia="en-US"/>
        </w:rPr>
        <w:t xml:space="preserve">هو </w:t>
      </w:r>
      <w:r>
        <w:rPr>
          <w:rFonts w:ascii="Traditional Arabic" w:hAnsi="Traditional Arabic"/>
          <w:color w:val="auto"/>
          <w:sz w:val="32"/>
          <w:szCs w:val="32"/>
          <w:rtl/>
          <w:lang w:eastAsia="en-US"/>
        </w:rPr>
        <w:t>الإمام</w:t>
      </w:r>
      <w:r w:rsidRPr="004E2C27">
        <w:rPr>
          <w:rFonts w:ascii="Traditional Arabic" w:hAnsi="Traditional Arabic"/>
          <w:color w:val="auto"/>
          <w:sz w:val="32"/>
          <w:szCs w:val="32"/>
          <w:rtl/>
          <w:lang w:eastAsia="en-US"/>
        </w:rPr>
        <w:t xml:space="preserve"> أبو عبد الله</w:t>
      </w:r>
      <w:r>
        <w:rPr>
          <w:rFonts w:ascii="Traditional Arabic" w:hAnsi="Traditional Arabic" w:hint="cs"/>
          <w:color w:val="auto"/>
          <w:sz w:val="32"/>
          <w:szCs w:val="32"/>
          <w:rtl/>
          <w:lang w:eastAsia="en-US"/>
        </w:rPr>
        <w:t>,</w:t>
      </w:r>
      <w:r w:rsidRPr="004E2C27">
        <w:rPr>
          <w:rFonts w:ascii="Traditional Arabic" w:hAnsi="Traditional Arabic"/>
          <w:color w:val="auto"/>
          <w:sz w:val="32"/>
          <w:szCs w:val="32"/>
          <w:rtl/>
          <w:lang w:eastAsia="en-US"/>
        </w:rPr>
        <w:t xml:space="preserve"> محمد بن عبد الرحمن بن السميفع -</w:t>
      </w:r>
      <w:r>
        <w:rPr>
          <w:rFonts w:ascii="Traditional Arabic" w:hAnsi="Traditional Arabic" w:hint="cs"/>
          <w:color w:val="auto"/>
          <w:sz w:val="32"/>
          <w:szCs w:val="32"/>
          <w:rtl/>
          <w:lang w:eastAsia="en-US"/>
        </w:rPr>
        <w:t xml:space="preserve"> </w:t>
      </w:r>
      <w:r w:rsidRPr="004E2C27">
        <w:rPr>
          <w:rFonts w:ascii="Traditional Arabic" w:hAnsi="Traditional Arabic"/>
          <w:color w:val="auto"/>
          <w:sz w:val="32"/>
          <w:szCs w:val="32"/>
          <w:rtl/>
          <w:lang w:eastAsia="en-US"/>
        </w:rPr>
        <w:t>بفتح السين</w:t>
      </w:r>
      <w:r>
        <w:rPr>
          <w:rFonts w:ascii="Traditional Arabic" w:hAnsi="Traditional Arabic" w:hint="cs"/>
          <w:color w:val="auto"/>
          <w:sz w:val="32"/>
          <w:szCs w:val="32"/>
          <w:rtl/>
          <w:lang w:eastAsia="en-US"/>
        </w:rPr>
        <w:t xml:space="preserve"> </w:t>
      </w:r>
      <w:r>
        <w:rPr>
          <w:rFonts w:ascii="Traditional Arabic" w:hAnsi="Traditional Arabic"/>
          <w:color w:val="auto"/>
          <w:sz w:val="32"/>
          <w:szCs w:val="32"/>
          <w:rtl/>
          <w:lang w:eastAsia="en-US"/>
        </w:rPr>
        <w:t>- اليماني</w:t>
      </w:r>
      <w:r w:rsidRPr="004E2C27">
        <w:rPr>
          <w:rFonts w:ascii="Traditional Arabic" w:hAnsi="Traditional Arabic"/>
          <w:color w:val="auto"/>
          <w:sz w:val="32"/>
          <w:szCs w:val="32"/>
          <w:rtl/>
          <w:lang w:eastAsia="en-US"/>
        </w:rPr>
        <w:t>، له اختيار في القراءة ينسب إليه شذ فيه</w:t>
      </w:r>
      <w:r>
        <w:rPr>
          <w:rFonts w:ascii="Traditional Arabic" w:hAnsi="Traditional Arabic" w:hint="cs"/>
          <w:color w:val="auto"/>
          <w:sz w:val="32"/>
          <w:szCs w:val="32"/>
          <w:rtl/>
          <w:lang w:eastAsia="en-US"/>
        </w:rPr>
        <w:t>،</w:t>
      </w:r>
      <w:r>
        <w:rPr>
          <w:rFonts w:ascii="Simplified Arabic" w:hAnsi="Simplified Arabic" w:cs="Simplified Arabic"/>
          <w:rtl/>
          <w:lang w:eastAsia="en-US"/>
        </w:rPr>
        <w:t xml:space="preserve"> </w:t>
      </w:r>
      <w:r w:rsidRPr="004E2C27">
        <w:rPr>
          <w:rFonts w:ascii="Traditional Arabic" w:hAnsi="Traditional Arabic"/>
          <w:sz w:val="32"/>
          <w:szCs w:val="32"/>
          <w:rtl/>
          <w:lang w:eastAsia="en-US"/>
        </w:rPr>
        <w:t>قرأ على أبي حيوة شريح بن يزيد، وقيل: إنه قرأ على نافع</w:t>
      </w:r>
      <w:r>
        <w:rPr>
          <w:rFonts w:ascii="Traditional Arabic" w:hAnsi="Traditional Arabic" w:hint="cs"/>
          <w:sz w:val="32"/>
          <w:szCs w:val="32"/>
          <w:rtl/>
        </w:rPr>
        <w:t xml:space="preserve">، (ت90ه), </w:t>
      </w:r>
      <w:r>
        <w:rPr>
          <w:rFonts w:ascii="Traditional Arabic" w:hAnsi="Traditional Arabic"/>
          <w:sz w:val="32"/>
          <w:szCs w:val="32"/>
          <w:rtl/>
        </w:rPr>
        <w:t>انظر</w:t>
      </w:r>
      <w:r w:rsidRPr="004E2C27">
        <w:rPr>
          <w:rFonts w:ascii="Traditional Arabic" w:hAnsi="Traditional Arabic"/>
          <w:sz w:val="32"/>
          <w:szCs w:val="32"/>
          <w:rtl/>
        </w:rPr>
        <w:t xml:space="preserve">: </w:t>
      </w:r>
      <w:r w:rsidRPr="004E2C27">
        <w:rPr>
          <w:rFonts w:ascii="Traditional Arabic" w:hAnsi="Traditional Arabic"/>
          <w:sz w:val="32"/>
          <w:szCs w:val="32"/>
          <w:rtl/>
          <w:lang w:eastAsia="en-US"/>
        </w:rPr>
        <w:t xml:space="preserve">غاية النهاية </w:t>
      </w:r>
      <w:r w:rsidRPr="004E2C27">
        <w:rPr>
          <w:rFonts w:ascii="Traditional Arabic" w:hAnsi="Traditional Arabic"/>
          <w:sz w:val="32"/>
          <w:szCs w:val="32"/>
          <w:rtl/>
        </w:rPr>
        <w:t>لابن الجزري (2/161)</w:t>
      </w:r>
      <w:r>
        <w:rPr>
          <w:rFonts w:ascii="Traditional Arabic" w:hAnsi="Traditional Arabic" w:hint="cs"/>
          <w:sz w:val="32"/>
          <w:szCs w:val="32"/>
          <w:rtl/>
        </w:rPr>
        <w:t>, ميزان الاعتدال للذهبي (3/575).</w:t>
      </w:r>
    </w:p>
  </w:footnote>
  <w:footnote w:id="313">
    <w:p w:rsidR="003F128F" w:rsidRPr="00BB3E32" w:rsidRDefault="003F128F" w:rsidP="00C36615">
      <w:pPr>
        <w:pStyle w:val="af3"/>
        <w:rPr>
          <w:rFonts w:ascii="Traditional Arabic" w:hAnsi="Traditional Arabic"/>
          <w:color w:val="auto"/>
          <w:sz w:val="32"/>
          <w:szCs w:val="32"/>
        </w:rPr>
      </w:pPr>
      <w:r w:rsidRPr="00BB3E32">
        <w:rPr>
          <w:rFonts w:ascii="Traditional Arabic" w:hAnsi="Traditional Arabic"/>
          <w:color w:val="auto"/>
          <w:sz w:val="32"/>
          <w:szCs w:val="32"/>
          <w:rtl/>
        </w:rPr>
        <w:t>(</w:t>
      </w:r>
      <w:r w:rsidRPr="00BB3E32">
        <w:rPr>
          <w:rStyle w:val="ae"/>
          <w:rFonts w:ascii="Traditional Arabic" w:hAnsi="Traditional Arabic"/>
          <w:color w:val="auto"/>
          <w:sz w:val="32"/>
          <w:szCs w:val="32"/>
          <w:vertAlign w:val="baseline"/>
        </w:rPr>
        <w:footnoteRef/>
      </w:r>
      <w:r>
        <w:rPr>
          <w:rFonts w:ascii="Traditional Arabic" w:hAnsi="Traditional Arabic"/>
          <w:color w:val="auto"/>
          <w:sz w:val="32"/>
          <w:szCs w:val="32"/>
          <w:rtl/>
        </w:rPr>
        <w:t>)</w:t>
      </w:r>
      <w:r w:rsidRPr="00BB3E32">
        <w:rPr>
          <w:rFonts w:ascii="Traditional Arabic" w:hAnsi="Traditional Arabic"/>
          <w:color w:val="auto"/>
          <w:sz w:val="32"/>
          <w:szCs w:val="32"/>
          <w:rtl/>
        </w:rPr>
        <w:t xml:space="preserve"> </w:t>
      </w:r>
      <w:r w:rsidRPr="00BB3E32">
        <w:rPr>
          <w:rFonts w:ascii="Traditional Arabic" w:hAnsi="Traditional Arabic"/>
          <w:color w:val="auto"/>
          <w:sz w:val="32"/>
          <w:szCs w:val="32"/>
          <w:rtl/>
          <w:lang w:eastAsia="en-US"/>
        </w:rPr>
        <w:t xml:space="preserve">هو </w:t>
      </w:r>
      <w:r>
        <w:rPr>
          <w:rFonts w:ascii="Traditional Arabic" w:hAnsi="Traditional Arabic"/>
          <w:color w:val="auto"/>
          <w:sz w:val="32"/>
          <w:szCs w:val="32"/>
          <w:rtl/>
          <w:lang w:eastAsia="en-US"/>
        </w:rPr>
        <w:t>الإمام</w:t>
      </w:r>
      <w:r w:rsidRPr="00BB3E32">
        <w:rPr>
          <w:rFonts w:ascii="Traditional Arabic" w:hAnsi="Traditional Arabic"/>
          <w:color w:val="auto"/>
          <w:sz w:val="32"/>
          <w:szCs w:val="32"/>
          <w:rtl/>
          <w:lang w:eastAsia="en-US"/>
        </w:rPr>
        <w:t xml:space="preserve"> عاصم بن أبي الصباح العجاج الج</w:t>
      </w:r>
      <w:r>
        <w:rPr>
          <w:rFonts w:ascii="Traditional Arabic" w:hAnsi="Traditional Arabic" w:hint="cs"/>
          <w:color w:val="auto"/>
          <w:sz w:val="32"/>
          <w:szCs w:val="32"/>
          <w:rtl/>
          <w:lang w:eastAsia="en-US"/>
        </w:rPr>
        <w:t>َ</w:t>
      </w:r>
      <w:r w:rsidRPr="00BB3E32">
        <w:rPr>
          <w:rFonts w:ascii="Traditional Arabic" w:hAnsi="Traditional Arabic"/>
          <w:color w:val="auto"/>
          <w:sz w:val="32"/>
          <w:szCs w:val="32"/>
          <w:rtl/>
          <w:lang w:eastAsia="en-US"/>
        </w:rPr>
        <w:t>ح</w:t>
      </w:r>
      <w:r>
        <w:rPr>
          <w:rFonts w:ascii="Traditional Arabic" w:hAnsi="Traditional Arabic" w:hint="cs"/>
          <w:color w:val="auto"/>
          <w:sz w:val="32"/>
          <w:szCs w:val="32"/>
          <w:rtl/>
          <w:lang w:eastAsia="en-US"/>
        </w:rPr>
        <w:t>ْ</w:t>
      </w:r>
      <w:r w:rsidRPr="00BB3E32">
        <w:rPr>
          <w:rFonts w:ascii="Traditional Arabic" w:hAnsi="Traditional Arabic"/>
          <w:color w:val="auto"/>
          <w:sz w:val="32"/>
          <w:szCs w:val="32"/>
          <w:rtl/>
          <w:lang w:eastAsia="en-US"/>
        </w:rPr>
        <w:t>د</w:t>
      </w:r>
      <w:r>
        <w:rPr>
          <w:rFonts w:ascii="Traditional Arabic" w:hAnsi="Traditional Arabic" w:hint="cs"/>
          <w:color w:val="auto"/>
          <w:sz w:val="32"/>
          <w:szCs w:val="32"/>
          <w:rtl/>
          <w:lang w:eastAsia="en-US"/>
        </w:rPr>
        <w:t>َ</w:t>
      </w:r>
      <w:r w:rsidRPr="00BB3E32">
        <w:rPr>
          <w:rFonts w:ascii="Traditional Arabic" w:hAnsi="Traditional Arabic"/>
          <w:color w:val="auto"/>
          <w:sz w:val="32"/>
          <w:szCs w:val="32"/>
          <w:rtl/>
          <w:lang w:eastAsia="en-US"/>
        </w:rPr>
        <w:t>ر</w:t>
      </w:r>
      <w:r>
        <w:rPr>
          <w:rFonts w:ascii="Traditional Arabic" w:hAnsi="Traditional Arabic" w:hint="cs"/>
          <w:color w:val="auto"/>
          <w:sz w:val="32"/>
          <w:szCs w:val="32"/>
          <w:rtl/>
          <w:lang w:eastAsia="en-US"/>
        </w:rPr>
        <w:t>ِ</w:t>
      </w:r>
      <w:r w:rsidRPr="00BB3E32">
        <w:rPr>
          <w:rFonts w:ascii="Traditional Arabic" w:hAnsi="Traditional Arabic"/>
          <w:color w:val="auto"/>
          <w:sz w:val="32"/>
          <w:szCs w:val="32"/>
          <w:rtl/>
          <w:lang w:eastAsia="en-US"/>
        </w:rPr>
        <w:t>ي</w:t>
      </w:r>
      <w:r>
        <w:rPr>
          <w:rFonts w:ascii="Traditional Arabic" w:hAnsi="Traditional Arabic" w:hint="cs"/>
          <w:color w:val="auto"/>
          <w:sz w:val="32"/>
          <w:szCs w:val="32"/>
          <w:rtl/>
          <w:lang w:eastAsia="en-US"/>
        </w:rPr>
        <w:t>،</w:t>
      </w:r>
      <w:r w:rsidRPr="00BB3E32">
        <w:rPr>
          <w:rFonts w:ascii="Traditional Arabic" w:hAnsi="Traditional Arabic"/>
          <w:color w:val="auto"/>
          <w:sz w:val="32"/>
          <w:szCs w:val="32"/>
          <w:rtl/>
          <w:lang w:eastAsia="en-US"/>
        </w:rPr>
        <w:t xml:space="preserve"> البصري</w:t>
      </w:r>
      <w:r>
        <w:rPr>
          <w:rFonts w:ascii="Traditional Arabic" w:hAnsi="Traditional Arabic" w:hint="cs"/>
          <w:color w:val="auto"/>
          <w:sz w:val="32"/>
          <w:szCs w:val="32"/>
          <w:rtl/>
          <w:lang w:eastAsia="en-US"/>
        </w:rPr>
        <w:t>،</w:t>
      </w:r>
      <w:r w:rsidRPr="00BB3E32">
        <w:rPr>
          <w:rFonts w:ascii="Traditional Arabic" w:hAnsi="Traditional Arabic"/>
          <w:color w:val="auto"/>
          <w:sz w:val="32"/>
          <w:szCs w:val="32"/>
          <w:rtl/>
          <w:lang w:eastAsia="en-US"/>
        </w:rPr>
        <w:t xml:space="preserve"> أخذ القراءة عرض</w:t>
      </w:r>
      <w:r>
        <w:rPr>
          <w:rFonts w:ascii="Traditional Arabic" w:hAnsi="Traditional Arabic"/>
          <w:color w:val="auto"/>
          <w:sz w:val="32"/>
          <w:szCs w:val="32"/>
          <w:rtl/>
          <w:lang w:eastAsia="en-US"/>
        </w:rPr>
        <w:t>ًا عن سليمان بن قتة عن ابن عباس</w:t>
      </w:r>
      <w:r w:rsidRPr="00BB3E32">
        <w:rPr>
          <w:rFonts w:ascii="Traditional Arabic" w:hAnsi="Traditional Arabic"/>
          <w:color w:val="auto"/>
          <w:sz w:val="32"/>
          <w:szCs w:val="32"/>
          <w:rtl/>
          <w:lang w:eastAsia="en-US"/>
        </w:rPr>
        <w:t>، وقرأ أيضًا على نصر بن عاصم والحسن ويحيى بن يعمر</w:t>
      </w:r>
      <w:r>
        <w:rPr>
          <w:rFonts w:ascii="Traditional Arabic" w:hAnsi="Traditional Arabic" w:hint="cs"/>
          <w:color w:val="auto"/>
          <w:sz w:val="32"/>
          <w:szCs w:val="32"/>
          <w:rtl/>
          <w:lang w:eastAsia="en-US"/>
        </w:rPr>
        <w:t>،</w:t>
      </w:r>
      <w:r w:rsidRPr="00BB3E32">
        <w:rPr>
          <w:rFonts w:ascii="Traditional Arabic" w:hAnsi="Traditional Arabic"/>
          <w:color w:val="auto"/>
          <w:sz w:val="32"/>
          <w:szCs w:val="32"/>
          <w:rtl/>
          <w:lang w:eastAsia="en-US"/>
        </w:rPr>
        <w:t xml:space="preserve"> (ت128ه)</w:t>
      </w:r>
      <w:r>
        <w:rPr>
          <w:rFonts w:ascii="Traditional Arabic" w:hAnsi="Traditional Arabic" w:hint="cs"/>
          <w:sz w:val="32"/>
          <w:szCs w:val="32"/>
          <w:rtl/>
        </w:rPr>
        <w:t>.</w:t>
      </w:r>
      <w:r w:rsidRPr="00BB3E32">
        <w:rPr>
          <w:rFonts w:ascii="Traditional Arabic" w:hAnsi="Traditional Arabic"/>
          <w:sz w:val="32"/>
          <w:szCs w:val="32"/>
          <w:rtl/>
        </w:rPr>
        <w:t xml:space="preserve"> انظر: </w:t>
      </w:r>
      <w:r w:rsidRPr="00BB3E32">
        <w:rPr>
          <w:rFonts w:ascii="Traditional Arabic" w:hAnsi="Traditional Arabic"/>
          <w:sz w:val="32"/>
          <w:szCs w:val="32"/>
          <w:rtl/>
          <w:lang w:eastAsia="en-US"/>
        </w:rPr>
        <w:t xml:space="preserve">غاية النهاية </w:t>
      </w:r>
      <w:r w:rsidRPr="00BB3E32">
        <w:rPr>
          <w:rFonts w:ascii="Traditional Arabic" w:hAnsi="Traditional Arabic"/>
          <w:sz w:val="32"/>
          <w:szCs w:val="32"/>
          <w:rtl/>
        </w:rPr>
        <w:t>لابن الجزري (1/349)</w:t>
      </w:r>
      <w:r>
        <w:rPr>
          <w:rFonts w:ascii="Traditional Arabic" w:hAnsi="Traditional Arabic" w:hint="cs"/>
          <w:sz w:val="32"/>
          <w:szCs w:val="32"/>
          <w:rtl/>
        </w:rPr>
        <w:t>،</w:t>
      </w:r>
      <w:r>
        <w:rPr>
          <w:rFonts w:ascii="Traditional Arabic" w:hAnsi="Traditional Arabic"/>
          <w:color w:val="auto"/>
          <w:sz w:val="32"/>
          <w:szCs w:val="32"/>
          <w:rtl/>
          <w:lang w:eastAsia="en-US"/>
        </w:rPr>
        <w:t xml:space="preserve"> الوافي بالوفيات (16/324)</w:t>
      </w:r>
      <w:r w:rsidRPr="00BB3E32">
        <w:rPr>
          <w:rFonts w:ascii="Traditional Arabic" w:hAnsi="Traditional Arabic"/>
          <w:color w:val="auto"/>
          <w:sz w:val="32"/>
          <w:szCs w:val="32"/>
          <w:rtl/>
          <w:lang w:eastAsia="en-US"/>
        </w:rPr>
        <w:t>.</w:t>
      </w:r>
    </w:p>
  </w:footnote>
  <w:footnote w:id="314">
    <w:p w:rsidR="003F128F" w:rsidRPr="00BB3E32" w:rsidRDefault="003F128F" w:rsidP="00C0002C">
      <w:pPr>
        <w:pStyle w:val="af3"/>
        <w:rPr>
          <w:rFonts w:ascii="Traditional Arabic" w:hAnsi="Traditional Arabic"/>
          <w:sz w:val="32"/>
          <w:szCs w:val="32"/>
        </w:rPr>
      </w:pPr>
      <w:r w:rsidRPr="00BB3E32">
        <w:rPr>
          <w:rFonts w:ascii="Traditional Arabic" w:hAnsi="Traditional Arabic"/>
          <w:color w:val="auto"/>
          <w:sz w:val="32"/>
          <w:szCs w:val="32"/>
          <w:rtl/>
        </w:rPr>
        <w:t>(</w:t>
      </w:r>
      <w:r w:rsidRPr="00BB3E32">
        <w:rPr>
          <w:rStyle w:val="ae"/>
          <w:rFonts w:ascii="Traditional Arabic" w:hAnsi="Traditional Arabic"/>
          <w:color w:val="auto"/>
          <w:sz w:val="32"/>
          <w:szCs w:val="32"/>
          <w:vertAlign w:val="baseline"/>
        </w:rPr>
        <w:footnoteRef/>
      </w:r>
      <w:r w:rsidRPr="00BB3E32">
        <w:rPr>
          <w:rFonts w:ascii="Traditional Arabic" w:hAnsi="Traditional Arabic"/>
          <w:color w:val="auto"/>
          <w:sz w:val="32"/>
          <w:szCs w:val="32"/>
          <w:rtl/>
        </w:rPr>
        <w:t>)</w:t>
      </w:r>
      <w:r>
        <w:rPr>
          <w:rFonts w:ascii="Traditional Arabic" w:hAnsi="Traditional Arabic" w:hint="cs"/>
          <w:sz w:val="32"/>
          <w:szCs w:val="32"/>
          <w:rtl/>
        </w:rPr>
        <w:t xml:space="preserve"> انظر: مختصر الشواذ لابن خالويه (ص80)، </w:t>
      </w:r>
      <w:r w:rsidRPr="00C0002C">
        <w:rPr>
          <w:rFonts w:ascii="Traditional Arabic" w:hAnsi="Traditional Arabic"/>
          <w:sz w:val="32"/>
          <w:szCs w:val="32"/>
          <w:rtl/>
        </w:rPr>
        <w:t xml:space="preserve">إملاء ما من به الرحمن من وجوه الإعراب والقراءات </w:t>
      </w:r>
      <w:r>
        <w:rPr>
          <w:rFonts w:ascii="Traditional Arabic" w:hAnsi="Traditional Arabic" w:hint="cs"/>
          <w:sz w:val="32"/>
          <w:szCs w:val="32"/>
          <w:rtl/>
        </w:rPr>
        <w:t>للعكبري (2/94).</w:t>
      </w:r>
    </w:p>
  </w:footnote>
  <w:footnote w:id="315">
    <w:p w:rsidR="003F128F" w:rsidRPr="009504FD" w:rsidRDefault="003F128F" w:rsidP="00C36615">
      <w:pPr>
        <w:pStyle w:val="af3"/>
        <w:rPr>
          <w:rFonts w:ascii="Traditional Arabic" w:hAnsi="Traditional Arabic"/>
          <w:sz w:val="32"/>
          <w:szCs w:val="32"/>
        </w:rPr>
      </w:pPr>
      <w:r w:rsidRPr="009504FD">
        <w:rPr>
          <w:rFonts w:ascii="Traditional Arabic" w:hAnsi="Traditional Arabic"/>
          <w:sz w:val="32"/>
          <w:szCs w:val="32"/>
          <w:rtl/>
        </w:rPr>
        <w:t>(</w:t>
      </w:r>
      <w:r w:rsidRPr="009504FD">
        <w:rPr>
          <w:rStyle w:val="ae"/>
          <w:rFonts w:ascii="Traditional Arabic" w:hAnsi="Traditional Arabic"/>
          <w:sz w:val="32"/>
          <w:szCs w:val="32"/>
          <w:vertAlign w:val="baseline"/>
        </w:rPr>
        <w:footnoteRef/>
      </w:r>
      <w:r w:rsidRPr="009504FD">
        <w:rPr>
          <w:rFonts w:ascii="Traditional Arabic" w:hAnsi="Traditional Arabic"/>
          <w:sz w:val="32"/>
          <w:szCs w:val="32"/>
          <w:rtl/>
        </w:rPr>
        <w:t xml:space="preserve">) </w:t>
      </w:r>
      <w:r w:rsidRPr="009504FD">
        <w:rPr>
          <w:rFonts w:ascii="Traditional Arabic" w:hAnsi="Traditional Arabic"/>
          <w:sz w:val="32"/>
          <w:szCs w:val="32"/>
          <w:rtl/>
          <w:lang w:eastAsia="en-US"/>
        </w:rPr>
        <w:t xml:space="preserve">هو التابعي </w:t>
      </w:r>
      <w:r>
        <w:rPr>
          <w:rFonts w:ascii="Traditional Arabic" w:hAnsi="Traditional Arabic"/>
          <w:sz w:val="32"/>
          <w:szCs w:val="32"/>
          <w:rtl/>
          <w:lang w:eastAsia="en-US"/>
        </w:rPr>
        <w:t>الإمام</w:t>
      </w:r>
      <w:r>
        <w:rPr>
          <w:rFonts w:ascii="Traditional Arabic" w:hAnsi="Traditional Arabic" w:hint="cs"/>
          <w:sz w:val="32"/>
          <w:szCs w:val="32"/>
          <w:rtl/>
          <w:lang w:eastAsia="en-US"/>
        </w:rPr>
        <w:t>,</w:t>
      </w:r>
      <w:r w:rsidRPr="009504FD">
        <w:rPr>
          <w:rFonts w:ascii="Traditional Arabic" w:hAnsi="Traditional Arabic"/>
          <w:sz w:val="32"/>
          <w:szCs w:val="32"/>
          <w:rtl/>
          <w:lang w:eastAsia="en-US"/>
        </w:rPr>
        <w:t xml:space="preserve"> أبو المتوكل</w:t>
      </w:r>
      <w:r>
        <w:rPr>
          <w:rFonts w:ascii="Traditional Arabic" w:hAnsi="Traditional Arabic" w:hint="cs"/>
          <w:sz w:val="32"/>
          <w:szCs w:val="32"/>
          <w:rtl/>
          <w:lang w:eastAsia="en-US"/>
        </w:rPr>
        <w:t>,</w:t>
      </w:r>
      <w:r w:rsidRPr="009504FD">
        <w:rPr>
          <w:rFonts w:ascii="Traditional Arabic" w:hAnsi="Traditional Arabic"/>
          <w:sz w:val="32"/>
          <w:szCs w:val="32"/>
          <w:rtl/>
          <w:lang w:eastAsia="en-US"/>
        </w:rPr>
        <w:t xml:space="preserve"> علي بن داود الناجي، البصري، المحدث، مشهور بكنيته، (ت108ه). انظر تهذيب الكمال (20/425)، </w:t>
      </w:r>
      <w:r w:rsidRPr="009504FD">
        <w:rPr>
          <w:rFonts w:ascii="Traditional Arabic" w:hAnsi="Traditional Arabic"/>
          <w:sz w:val="32"/>
          <w:szCs w:val="32"/>
          <w:rtl/>
        </w:rPr>
        <w:t>سير أعلام النبلاء (5/8)</w:t>
      </w:r>
      <w:r w:rsidRPr="009504FD">
        <w:rPr>
          <w:rFonts w:ascii="Traditional Arabic" w:hAnsi="Traditional Arabic"/>
          <w:sz w:val="32"/>
          <w:szCs w:val="32"/>
          <w:rtl/>
          <w:lang w:eastAsia="en-US"/>
        </w:rPr>
        <w:t>.</w:t>
      </w:r>
    </w:p>
  </w:footnote>
  <w:footnote w:id="316">
    <w:p w:rsidR="003F128F" w:rsidRPr="009504FD" w:rsidRDefault="003F128F" w:rsidP="009504FD">
      <w:pPr>
        <w:pStyle w:val="af3"/>
        <w:rPr>
          <w:rFonts w:ascii="Traditional Arabic" w:hAnsi="Traditional Arabic"/>
          <w:sz w:val="32"/>
          <w:szCs w:val="32"/>
        </w:rPr>
      </w:pPr>
      <w:r w:rsidRPr="009504FD">
        <w:rPr>
          <w:rFonts w:ascii="Traditional Arabic" w:hAnsi="Traditional Arabic"/>
          <w:sz w:val="32"/>
          <w:szCs w:val="32"/>
          <w:rtl/>
        </w:rPr>
        <w:t>(</w:t>
      </w:r>
      <w:r w:rsidRPr="009504FD">
        <w:rPr>
          <w:rStyle w:val="ae"/>
          <w:rFonts w:ascii="Traditional Arabic" w:hAnsi="Traditional Arabic"/>
          <w:sz w:val="32"/>
          <w:szCs w:val="32"/>
          <w:vertAlign w:val="baseline"/>
        </w:rPr>
        <w:footnoteRef/>
      </w:r>
      <w:r w:rsidRPr="009504FD">
        <w:rPr>
          <w:rFonts w:ascii="Traditional Arabic" w:hAnsi="Traditional Arabic"/>
          <w:sz w:val="32"/>
          <w:szCs w:val="32"/>
          <w:rtl/>
        </w:rPr>
        <w:t xml:space="preserve">) </w:t>
      </w:r>
      <w:r w:rsidRPr="009504FD">
        <w:rPr>
          <w:rFonts w:ascii="Traditional Arabic" w:hAnsi="Traditional Arabic"/>
          <w:color w:val="auto"/>
          <w:sz w:val="32"/>
          <w:szCs w:val="32"/>
          <w:rtl/>
          <w:lang w:eastAsia="en-US"/>
        </w:rPr>
        <w:t xml:space="preserve">هو التابعي </w:t>
      </w:r>
      <w:r>
        <w:rPr>
          <w:rFonts w:ascii="Traditional Arabic" w:hAnsi="Traditional Arabic"/>
          <w:color w:val="auto"/>
          <w:sz w:val="32"/>
          <w:szCs w:val="32"/>
          <w:rtl/>
          <w:lang w:eastAsia="en-US"/>
        </w:rPr>
        <w:t>الإمام</w:t>
      </w:r>
      <w:r>
        <w:rPr>
          <w:rFonts w:ascii="Traditional Arabic" w:hAnsi="Traditional Arabic" w:hint="cs"/>
          <w:color w:val="auto"/>
          <w:sz w:val="32"/>
          <w:szCs w:val="32"/>
          <w:rtl/>
          <w:lang w:eastAsia="en-US"/>
        </w:rPr>
        <w:t>,</w:t>
      </w:r>
      <w:r w:rsidRPr="009504FD">
        <w:rPr>
          <w:rFonts w:ascii="Traditional Arabic" w:hAnsi="Traditional Arabic"/>
          <w:color w:val="auto"/>
          <w:sz w:val="32"/>
          <w:szCs w:val="32"/>
          <w:rtl/>
          <w:lang w:eastAsia="en-US"/>
        </w:rPr>
        <w:t xml:space="preserve"> أبو الجوزاء</w:t>
      </w:r>
      <w:r>
        <w:rPr>
          <w:rFonts w:ascii="Traditional Arabic" w:hAnsi="Traditional Arabic" w:hint="cs"/>
          <w:color w:val="auto"/>
          <w:sz w:val="32"/>
          <w:szCs w:val="32"/>
          <w:rtl/>
          <w:lang w:eastAsia="en-US"/>
        </w:rPr>
        <w:t>,</w:t>
      </w:r>
      <w:r w:rsidRPr="009504FD">
        <w:rPr>
          <w:rFonts w:ascii="Traditional Arabic" w:hAnsi="Traditional Arabic"/>
          <w:color w:val="auto"/>
          <w:sz w:val="32"/>
          <w:szCs w:val="32"/>
          <w:rtl/>
          <w:lang w:eastAsia="en-US"/>
        </w:rPr>
        <w:t xml:space="preserve"> أوس بن عَبد اللَّهِ الربعي، البَصْرِيّ، من ربعة الأزد، ثقة معروف</w:t>
      </w:r>
      <w:r w:rsidRPr="009504FD">
        <w:rPr>
          <w:rFonts w:ascii="Traditional Arabic" w:hAnsi="Traditional Arabic"/>
          <w:color w:val="auto"/>
          <w:sz w:val="32"/>
          <w:szCs w:val="32"/>
          <w:rtl/>
        </w:rPr>
        <w:t>، (ت83ه).</w:t>
      </w:r>
      <w:r w:rsidRPr="009504FD">
        <w:rPr>
          <w:rFonts w:ascii="Traditional Arabic" w:hAnsi="Traditional Arabic"/>
          <w:sz w:val="32"/>
          <w:szCs w:val="32"/>
          <w:rtl/>
        </w:rPr>
        <w:t xml:space="preserve"> انظر: التاريخ الأوسط للبخاري (1/180)، الجرح والتعديل لابن أبي حاتم (2/302)، تاريخ الاسلام (2/1024).</w:t>
      </w:r>
    </w:p>
  </w:footnote>
  <w:footnote w:id="317">
    <w:p w:rsidR="003F128F" w:rsidRPr="009504FD" w:rsidRDefault="003F128F" w:rsidP="009504FD">
      <w:pPr>
        <w:pStyle w:val="af3"/>
        <w:rPr>
          <w:rFonts w:ascii="Traditional Arabic" w:hAnsi="Traditional Arabic"/>
        </w:rPr>
      </w:pPr>
      <w:r w:rsidRPr="009504FD">
        <w:rPr>
          <w:rFonts w:ascii="Traditional Arabic" w:hAnsi="Traditional Arabic"/>
          <w:sz w:val="32"/>
          <w:szCs w:val="32"/>
          <w:rtl/>
        </w:rPr>
        <w:t>(</w:t>
      </w:r>
      <w:r w:rsidRPr="009504FD">
        <w:rPr>
          <w:rStyle w:val="ae"/>
          <w:rFonts w:ascii="Traditional Arabic" w:hAnsi="Traditional Arabic"/>
          <w:sz w:val="32"/>
          <w:szCs w:val="32"/>
          <w:vertAlign w:val="baseline"/>
        </w:rPr>
        <w:footnoteRef/>
      </w:r>
      <w:r w:rsidRPr="009504FD">
        <w:rPr>
          <w:rFonts w:ascii="Traditional Arabic" w:hAnsi="Traditional Arabic"/>
          <w:sz w:val="32"/>
          <w:szCs w:val="32"/>
          <w:rtl/>
        </w:rPr>
        <w:t>) انظر: المحتسب لابن جني (2/22)، مختصر الشواذ (ص80).</w:t>
      </w:r>
    </w:p>
  </w:footnote>
  <w:footnote w:id="318">
    <w:p w:rsidR="003F128F" w:rsidRPr="009504FD" w:rsidRDefault="003F128F" w:rsidP="009504FD">
      <w:pPr>
        <w:pStyle w:val="af3"/>
        <w:rPr>
          <w:rFonts w:ascii="Traditional Arabic" w:hAnsi="Traditional Arabic"/>
          <w:sz w:val="32"/>
          <w:szCs w:val="32"/>
        </w:rPr>
      </w:pPr>
      <w:r w:rsidRPr="009504FD">
        <w:rPr>
          <w:rFonts w:ascii="Traditional Arabic" w:hAnsi="Traditional Arabic"/>
          <w:sz w:val="32"/>
          <w:szCs w:val="32"/>
          <w:rtl/>
        </w:rPr>
        <w:t>(</w:t>
      </w:r>
      <w:r w:rsidRPr="009504FD">
        <w:rPr>
          <w:rStyle w:val="ae"/>
          <w:rFonts w:ascii="Traditional Arabic" w:hAnsi="Traditional Arabic"/>
          <w:sz w:val="32"/>
          <w:szCs w:val="32"/>
          <w:vertAlign w:val="baseline"/>
        </w:rPr>
        <w:footnoteRef/>
      </w:r>
      <w:r w:rsidRPr="009504FD">
        <w:rPr>
          <w:rFonts w:ascii="Traditional Arabic" w:hAnsi="Traditional Arabic"/>
          <w:sz w:val="32"/>
          <w:szCs w:val="32"/>
          <w:rtl/>
        </w:rPr>
        <w:t xml:space="preserve">) </w:t>
      </w:r>
      <w:r>
        <w:rPr>
          <w:rFonts w:ascii="Traditional Arabic" w:hAnsi="Traditional Arabic" w:hint="cs"/>
          <w:sz w:val="32"/>
          <w:szCs w:val="32"/>
          <w:rtl/>
        </w:rPr>
        <w:t>انظر: تفسير الطبري</w:t>
      </w:r>
      <w:r w:rsidRPr="009504FD">
        <w:rPr>
          <w:rFonts w:ascii="Traditional Arabic" w:hAnsi="Traditional Arabic"/>
          <w:sz w:val="32"/>
          <w:szCs w:val="32"/>
          <w:rtl/>
        </w:rPr>
        <w:t xml:space="preserve"> (17/493)، وعزاه السيوطي في الدر النثور (5/312) لابن مردويه.</w:t>
      </w:r>
    </w:p>
  </w:footnote>
  <w:footnote w:id="319">
    <w:p w:rsidR="003F128F" w:rsidRPr="009504FD" w:rsidRDefault="003F128F" w:rsidP="00491975">
      <w:pPr>
        <w:pStyle w:val="af3"/>
        <w:rPr>
          <w:rFonts w:ascii="Traditional Arabic" w:hAnsi="Traditional Arabic"/>
          <w:sz w:val="32"/>
          <w:szCs w:val="32"/>
        </w:rPr>
      </w:pPr>
      <w:r w:rsidRPr="009504FD">
        <w:rPr>
          <w:rFonts w:ascii="Traditional Arabic" w:hAnsi="Traditional Arabic"/>
          <w:sz w:val="32"/>
          <w:szCs w:val="32"/>
          <w:rtl/>
        </w:rPr>
        <w:t>(</w:t>
      </w:r>
      <w:r w:rsidRPr="009504FD">
        <w:rPr>
          <w:rStyle w:val="ae"/>
          <w:rFonts w:ascii="Traditional Arabic" w:hAnsi="Traditional Arabic"/>
          <w:sz w:val="32"/>
          <w:szCs w:val="32"/>
          <w:vertAlign w:val="baseline"/>
        </w:rPr>
        <w:footnoteRef/>
      </w:r>
      <w:r w:rsidRPr="009504FD">
        <w:rPr>
          <w:rFonts w:ascii="Traditional Arabic" w:hAnsi="Traditional Arabic"/>
          <w:sz w:val="32"/>
          <w:szCs w:val="32"/>
          <w:rtl/>
        </w:rPr>
        <w:t>) انظر: تفسير مجاهد (ص/439), تفسير الطبري (17/492).</w:t>
      </w:r>
    </w:p>
  </w:footnote>
  <w:footnote w:id="320">
    <w:p w:rsidR="003F128F" w:rsidRPr="009504FD" w:rsidRDefault="003F128F" w:rsidP="00232333">
      <w:pPr>
        <w:pStyle w:val="af3"/>
        <w:rPr>
          <w:rFonts w:ascii="Traditional Arabic" w:hAnsi="Traditional Arabic"/>
          <w:sz w:val="32"/>
          <w:szCs w:val="32"/>
        </w:rPr>
      </w:pPr>
      <w:r w:rsidRPr="009504FD">
        <w:rPr>
          <w:rFonts w:ascii="Traditional Arabic" w:hAnsi="Traditional Arabic"/>
          <w:sz w:val="32"/>
          <w:szCs w:val="32"/>
          <w:rtl/>
        </w:rPr>
        <w:t>(</w:t>
      </w:r>
      <w:r w:rsidRPr="009504FD">
        <w:rPr>
          <w:rStyle w:val="ae"/>
          <w:rFonts w:ascii="Traditional Arabic" w:hAnsi="Traditional Arabic"/>
          <w:sz w:val="32"/>
          <w:szCs w:val="32"/>
          <w:vertAlign w:val="baseline"/>
        </w:rPr>
        <w:footnoteRef/>
      </w:r>
      <w:r w:rsidRPr="009504FD">
        <w:rPr>
          <w:rFonts w:ascii="Traditional Arabic" w:hAnsi="Traditional Arabic"/>
          <w:sz w:val="32"/>
          <w:szCs w:val="32"/>
          <w:rtl/>
        </w:rPr>
        <w:t xml:space="preserve">) تفسير الطبري (17/492)، الكشف والبيان (6/113). </w:t>
      </w:r>
    </w:p>
  </w:footnote>
  <w:footnote w:id="321">
    <w:p w:rsidR="003F128F" w:rsidRPr="009504FD" w:rsidRDefault="003F128F" w:rsidP="004F7A80">
      <w:pPr>
        <w:pStyle w:val="af3"/>
        <w:rPr>
          <w:rFonts w:ascii="Traditional Arabic" w:hAnsi="Traditional Arabic"/>
          <w:sz w:val="32"/>
          <w:szCs w:val="32"/>
        </w:rPr>
      </w:pPr>
      <w:r w:rsidRPr="009504FD">
        <w:rPr>
          <w:rFonts w:ascii="Traditional Arabic" w:hAnsi="Traditional Arabic"/>
          <w:sz w:val="32"/>
          <w:szCs w:val="32"/>
          <w:rtl/>
        </w:rPr>
        <w:t>(</w:t>
      </w:r>
      <w:r w:rsidRPr="009504FD">
        <w:rPr>
          <w:rStyle w:val="ae"/>
          <w:rFonts w:ascii="Traditional Arabic" w:hAnsi="Traditional Arabic"/>
          <w:sz w:val="32"/>
          <w:szCs w:val="32"/>
          <w:vertAlign w:val="baseline"/>
        </w:rPr>
        <w:footnoteRef/>
      </w:r>
      <w:r w:rsidRPr="009504FD">
        <w:rPr>
          <w:rFonts w:ascii="Traditional Arabic" w:hAnsi="Traditional Arabic"/>
          <w:sz w:val="32"/>
          <w:szCs w:val="32"/>
          <w:rtl/>
        </w:rPr>
        <w:t xml:space="preserve">) تفسير الطبري (17/493), الكشف والبيان (6/113). </w:t>
      </w:r>
    </w:p>
  </w:footnote>
  <w:footnote w:id="322">
    <w:p w:rsidR="003F128F" w:rsidRPr="009504FD" w:rsidRDefault="003F128F" w:rsidP="00156316">
      <w:pPr>
        <w:pStyle w:val="af3"/>
        <w:rPr>
          <w:rFonts w:ascii="Traditional Arabic" w:hAnsi="Traditional Arabic"/>
          <w:sz w:val="32"/>
          <w:szCs w:val="32"/>
        </w:rPr>
      </w:pPr>
      <w:r w:rsidRPr="009504FD">
        <w:rPr>
          <w:rFonts w:ascii="Traditional Arabic" w:hAnsi="Traditional Arabic"/>
          <w:sz w:val="32"/>
          <w:szCs w:val="32"/>
          <w:rtl/>
        </w:rPr>
        <w:t>(</w:t>
      </w:r>
      <w:r w:rsidRPr="009504FD">
        <w:rPr>
          <w:rStyle w:val="ae"/>
          <w:rFonts w:ascii="Traditional Arabic" w:hAnsi="Traditional Arabic"/>
          <w:sz w:val="32"/>
          <w:szCs w:val="32"/>
          <w:vertAlign w:val="baseline"/>
        </w:rPr>
        <w:footnoteRef/>
      </w:r>
      <w:r w:rsidRPr="009504FD">
        <w:rPr>
          <w:rFonts w:ascii="Traditional Arabic" w:hAnsi="Traditional Arabic"/>
          <w:sz w:val="32"/>
          <w:szCs w:val="32"/>
          <w:rtl/>
        </w:rPr>
        <w:t>)</w:t>
      </w:r>
      <w:r>
        <w:rPr>
          <w:rFonts w:ascii="Traditional Arabic" w:hAnsi="Traditional Arabic" w:hint="cs"/>
          <w:sz w:val="32"/>
          <w:szCs w:val="32"/>
          <w:rtl/>
        </w:rPr>
        <w:t xml:space="preserve"> انظر: تفسير الطبري</w:t>
      </w:r>
      <w:r w:rsidRPr="009504FD">
        <w:rPr>
          <w:rFonts w:ascii="Traditional Arabic" w:hAnsi="Traditional Arabic"/>
          <w:sz w:val="32"/>
          <w:szCs w:val="32"/>
          <w:rtl/>
        </w:rPr>
        <w:t xml:space="preserve"> (17/494), </w:t>
      </w:r>
      <w:r>
        <w:rPr>
          <w:rFonts w:ascii="Traditional Arabic" w:hAnsi="Traditional Arabic" w:hint="cs"/>
          <w:sz w:val="32"/>
          <w:szCs w:val="32"/>
          <w:rtl/>
        </w:rPr>
        <w:t xml:space="preserve">تفسير </w:t>
      </w:r>
      <w:r w:rsidRPr="009504FD">
        <w:rPr>
          <w:rFonts w:ascii="Traditional Arabic" w:hAnsi="Traditional Arabic"/>
          <w:sz w:val="32"/>
          <w:szCs w:val="32"/>
          <w:rtl/>
        </w:rPr>
        <w:t>ابن أبي حاتم (7/2337)، وعزاه السيوطي في الدر المنثور (5/312)</w:t>
      </w:r>
      <w:r>
        <w:rPr>
          <w:rFonts w:ascii="Traditional Arabic" w:hAnsi="Traditional Arabic" w:hint="cs"/>
          <w:sz w:val="32"/>
          <w:szCs w:val="32"/>
          <w:rtl/>
        </w:rPr>
        <w:t xml:space="preserve"> </w:t>
      </w:r>
      <w:r w:rsidRPr="009504FD">
        <w:rPr>
          <w:rFonts w:ascii="Traditional Arabic" w:hAnsi="Traditional Arabic"/>
          <w:sz w:val="32"/>
          <w:szCs w:val="32"/>
          <w:rtl/>
        </w:rPr>
        <w:t>للفريابي وابن المنذر وابن مردويه</w:t>
      </w:r>
      <w:r>
        <w:rPr>
          <w:rFonts w:ascii="Traditional Arabic" w:hAnsi="Traditional Arabic" w:hint="cs"/>
          <w:sz w:val="32"/>
          <w:szCs w:val="32"/>
          <w:rtl/>
        </w:rPr>
        <w:t>.</w:t>
      </w:r>
    </w:p>
  </w:footnote>
  <w:footnote w:id="323">
    <w:p w:rsidR="003F128F" w:rsidRPr="009504FD" w:rsidRDefault="003F128F" w:rsidP="00232333">
      <w:pPr>
        <w:pStyle w:val="af3"/>
        <w:rPr>
          <w:rFonts w:ascii="Traditional Arabic" w:hAnsi="Traditional Arabic"/>
          <w:sz w:val="32"/>
          <w:szCs w:val="32"/>
        </w:rPr>
      </w:pPr>
      <w:r w:rsidRPr="009504FD">
        <w:rPr>
          <w:rFonts w:ascii="Traditional Arabic" w:hAnsi="Traditional Arabic"/>
          <w:sz w:val="32"/>
          <w:szCs w:val="32"/>
          <w:rtl/>
        </w:rPr>
        <w:t>(</w:t>
      </w:r>
      <w:r w:rsidRPr="009504FD">
        <w:rPr>
          <w:rStyle w:val="ae"/>
          <w:rFonts w:ascii="Traditional Arabic" w:hAnsi="Traditional Arabic"/>
          <w:sz w:val="32"/>
          <w:szCs w:val="32"/>
          <w:vertAlign w:val="baseline"/>
        </w:rPr>
        <w:footnoteRef/>
      </w:r>
      <w:r w:rsidRPr="009504FD">
        <w:rPr>
          <w:rFonts w:ascii="Traditional Arabic" w:hAnsi="Traditional Arabic"/>
          <w:sz w:val="32"/>
          <w:szCs w:val="32"/>
          <w:rtl/>
        </w:rPr>
        <w:t>) بحر العلوم للسمرقندي (2/319), الكشف والبيان (6/113).</w:t>
      </w:r>
    </w:p>
  </w:footnote>
  <w:footnote w:id="324">
    <w:p w:rsidR="003F128F" w:rsidRPr="009504FD" w:rsidRDefault="003F128F" w:rsidP="009504FD">
      <w:pPr>
        <w:pStyle w:val="af3"/>
        <w:rPr>
          <w:rFonts w:ascii="Traditional Arabic" w:hAnsi="Traditional Arabic"/>
          <w:sz w:val="32"/>
          <w:szCs w:val="32"/>
        </w:rPr>
      </w:pPr>
      <w:r w:rsidRPr="009504FD">
        <w:rPr>
          <w:rFonts w:ascii="Traditional Arabic" w:hAnsi="Traditional Arabic"/>
          <w:sz w:val="32"/>
          <w:szCs w:val="32"/>
          <w:rtl/>
        </w:rPr>
        <w:t>(</w:t>
      </w:r>
      <w:r w:rsidRPr="009504FD">
        <w:rPr>
          <w:rStyle w:val="ae"/>
          <w:rFonts w:ascii="Traditional Arabic" w:hAnsi="Traditional Arabic"/>
          <w:sz w:val="32"/>
          <w:szCs w:val="32"/>
          <w:vertAlign w:val="baseline"/>
        </w:rPr>
        <w:footnoteRef/>
      </w:r>
      <w:r w:rsidRPr="009504FD">
        <w:rPr>
          <w:rFonts w:ascii="Traditional Arabic" w:hAnsi="Traditional Arabic"/>
          <w:sz w:val="32"/>
          <w:szCs w:val="32"/>
          <w:rtl/>
        </w:rPr>
        <w:t>) انظر: تفسير مجاهد (ص439).</w:t>
      </w:r>
    </w:p>
  </w:footnote>
  <w:footnote w:id="325">
    <w:p w:rsidR="003F128F" w:rsidRPr="009504FD" w:rsidRDefault="003F128F" w:rsidP="00E667B0">
      <w:pPr>
        <w:pStyle w:val="af3"/>
        <w:rPr>
          <w:rFonts w:ascii="Traditional Arabic" w:hAnsi="Traditional Arabic"/>
          <w:sz w:val="32"/>
          <w:szCs w:val="32"/>
        </w:rPr>
      </w:pPr>
      <w:r w:rsidRPr="009504FD">
        <w:rPr>
          <w:rFonts w:ascii="Traditional Arabic" w:hAnsi="Traditional Arabic"/>
          <w:sz w:val="32"/>
          <w:szCs w:val="32"/>
          <w:rtl/>
        </w:rPr>
        <w:t>(</w:t>
      </w:r>
      <w:r w:rsidRPr="009504FD">
        <w:rPr>
          <w:rStyle w:val="ae"/>
          <w:rFonts w:ascii="Traditional Arabic" w:hAnsi="Traditional Arabic"/>
          <w:sz w:val="32"/>
          <w:szCs w:val="32"/>
          <w:vertAlign w:val="baseline"/>
        </w:rPr>
        <w:footnoteRef/>
      </w:r>
      <w:r w:rsidRPr="009504FD">
        <w:rPr>
          <w:rFonts w:ascii="Traditional Arabic" w:hAnsi="Traditional Arabic"/>
          <w:sz w:val="32"/>
          <w:szCs w:val="32"/>
          <w:rtl/>
        </w:rPr>
        <w:t xml:space="preserve">) انظر: تفسير الطبري (17/494), تفسير ابن أبي حاتم (7/2337). </w:t>
      </w:r>
    </w:p>
  </w:footnote>
  <w:footnote w:id="326">
    <w:p w:rsidR="003F128F" w:rsidRPr="00E72A38" w:rsidRDefault="003F128F" w:rsidP="00E72A38">
      <w:pPr>
        <w:widowControl/>
        <w:autoSpaceDE w:val="0"/>
        <w:autoSpaceDN w:val="0"/>
        <w:adjustRightInd w:val="0"/>
        <w:ind w:firstLine="0"/>
        <w:jc w:val="left"/>
        <w:rPr>
          <w:rFonts w:ascii="Traditional Arabic" w:hAnsi="Traditional Arabic"/>
          <w:b/>
          <w:bCs/>
          <w:sz w:val="32"/>
          <w:szCs w:val="32"/>
          <w:lang w:eastAsia="en-US"/>
        </w:rPr>
      </w:pPr>
      <w:r w:rsidRPr="009504FD">
        <w:rPr>
          <w:rFonts w:ascii="Traditional Arabic" w:hAnsi="Traditional Arabic"/>
          <w:sz w:val="32"/>
          <w:szCs w:val="32"/>
          <w:rtl/>
        </w:rPr>
        <w:t>(</w:t>
      </w:r>
      <w:r w:rsidRPr="009504FD">
        <w:rPr>
          <w:rStyle w:val="ae"/>
          <w:rFonts w:ascii="Traditional Arabic" w:hAnsi="Traditional Arabic"/>
          <w:sz w:val="32"/>
          <w:szCs w:val="32"/>
          <w:vertAlign w:val="baseline"/>
        </w:rPr>
        <w:footnoteRef/>
      </w:r>
      <w:r w:rsidRPr="009504FD">
        <w:rPr>
          <w:rFonts w:ascii="Traditional Arabic" w:hAnsi="Traditional Arabic"/>
          <w:sz w:val="32"/>
          <w:szCs w:val="32"/>
          <w:rtl/>
        </w:rPr>
        <w:t xml:space="preserve">) </w:t>
      </w:r>
      <w:r>
        <w:rPr>
          <w:rFonts w:ascii="Traditional Arabic" w:hAnsi="Traditional Arabic"/>
          <w:color w:val="auto"/>
          <w:sz w:val="32"/>
          <w:szCs w:val="32"/>
          <w:rtl/>
          <w:lang w:eastAsia="en-US"/>
        </w:rPr>
        <w:t>هو الإمام</w:t>
      </w:r>
      <w:r w:rsidRPr="009504FD">
        <w:rPr>
          <w:rFonts w:ascii="Traditional Arabic" w:hAnsi="Traditional Arabic"/>
          <w:color w:val="auto"/>
          <w:sz w:val="32"/>
          <w:szCs w:val="32"/>
          <w:rtl/>
          <w:lang w:eastAsia="en-US"/>
        </w:rPr>
        <w:t xml:space="preserve"> أبو محمد علي بن أبي طلحة الشامي واسم أبي طلحة سالم بن المخارق، </w:t>
      </w:r>
      <w:r w:rsidRPr="009504FD">
        <w:rPr>
          <w:rFonts w:ascii="Traditional Arabic" w:hAnsi="Traditional Arabic"/>
          <w:sz w:val="32"/>
          <w:szCs w:val="32"/>
          <w:rtl/>
          <w:lang w:eastAsia="en-US"/>
        </w:rPr>
        <w:t>مولى العباس بن عبد المطلب، أصله من الجزيرة، وانتقل إلى حمص, (ت143ه). انظر: الجرح والتعديل لابن أبي حاتم (6/188), تاريخ بغداد (13/380), تهذيب الكمال(20/490).</w:t>
      </w:r>
      <w:r w:rsidRPr="00E72A38">
        <w:rPr>
          <w:rFonts w:ascii="Traditional Arabic" w:hAnsi="Traditional Arabic"/>
          <w:sz w:val="32"/>
          <w:szCs w:val="32"/>
          <w:rtl/>
          <w:lang w:eastAsia="en-US"/>
        </w:rPr>
        <w:t xml:space="preserve"> </w:t>
      </w:r>
    </w:p>
  </w:footnote>
  <w:footnote w:id="327">
    <w:p w:rsidR="003F128F" w:rsidRPr="00E72A38" w:rsidRDefault="003F128F" w:rsidP="002B7A40">
      <w:pPr>
        <w:pStyle w:val="af3"/>
        <w:rPr>
          <w:rFonts w:ascii="Traditional Arabic" w:hAnsi="Traditional Arabic"/>
          <w:sz w:val="32"/>
          <w:szCs w:val="32"/>
        </w:rPr>
      </w:pPr>
      <w:r w:rsidRPr="00E72A38">
        <w:rPr>
          <w:rFonts w:ascii="Traditional Arabic" w:hAnsi="Traditional Arabic"/>
          <w:sz w:val="32"/>
          <w:szCs w:val="32"/>
          <w:rtl/>
        </w:rPr>
        <w:t>(</w:t>
      </w:r>
      <w:r w:rsidRPr="00E72A38">
        <w:rPr>
          <w:rStyle w:val="ae"/>
          <w:rFonts w:ascii="Traditional Arabic" w:hAnsi="Traditional Arabic"/>
          <w:sz w:val="32"/>
          <w:szCs w:val="32"/>
          <w:vertAlign w:val="baseline"/>
        </w:rPr>
        <w:footnoteRef/>
      </w:r>
      <w:r w:rsidRPr="00E72A38">
        <w:rPr>
          <w:rFonts w:ascii="Traditional Arabic" w:hAnsi="Traditional Arabic"/>
          <w:sz w:val="32"/>
          <w:szCs w:val="32"/>
          <w:rtl/>
        </w:rPr>
        <w:t xml:space="preserve">) </w:t>
      </w:r>
      <w:r>
        <w:rPr>
          <w:rFonts w:ascii="Traditional Arabic" w:hAnsi="Traditional Arabic" w:hint="cs"/>
          <w:sz w:val="32"/>
          <w:szCs w:val="32"/>
          <w:rtl/>
        </w:rPr>
        <w:t>انظر: تفسير الطبري</w:t>
      </w:r>
      <w:r>
        <w:rPr>
          <w:rFonts w:ascii="Traditional Arabic" w:hAnsi="Traditional Arabic"/>
          <w:sz w:val="32"/>
          <w:szCs w:val="32"/>
          <w:rtl/>
        </w:rPr>
        <w:t xml:space="preserve"> (17/494), </w:t>
      </w:r>
      <w:r>
        <w:rPr>
          <w:rFonts w:ascii="Traditional Arabic" w:hAnsi="Traditional Arabic" w:hint="cs"/>
          <w:sz w:val="32"/>
          <w:szCs w:val="32"/>
          <w:rtl/>
        </w:rPr>
        <w:t xml:space="preserve">تفسير </w:t>
      </w:r>
      <w:r w:rsidRPr="00E72A38">
        <w:rPr>
          <w:rFonts w:ascii="Traditional Arabic" w:hAnsi="Traditional Arabic"/>
          <w:sz w:val="32"/>
          <w:szCs w:val="32"/>
          <w:rtl/>
        </w:rPr>
        <w:t>ابن أبي حاتم (7/2337), و</w:t>
      </w:r>
      <w:r>
        <w:rPr>
          <w:rFonts w:ascii="Traditional Arabic" w:hAnsi="Traditional Arabic" w:hint="cs"/>
          <w:sz w:val="32"/>
          <w:szCs w:val="32"/>
          <w:rtl/>
        </w:rPr>
        <w:t>ذكره</w:t>
      </w:r>
      <w:r w:rsidRPr="00E72A38">
        <w:rPr>
          <w:rFonts w:ascii="Traditional Arabic" w:hAnsi="Traditional Arabic"/>
          <w:sz w:val="32"/>
          <w:szCs w:val="32"/>
          <w:rtl/>
        </w:rPr>
        <w:t xml:space="preserve"> السيوطي في الدر المنثور (</w:t>
      </w:r>
      <w:r>
        <w:rPr>
          <w:rFonts w:ascii="Traditional Arabic" w:hAnsi="Traditional Arabic" w:hint="cs"/>
          <w:sz w:val="32"/>
          <w:szCs w:val="32"/>
          <w:rtl/>
        </w:rPr>
        <w:t>5/312</w:t>
      </w:r>
      <w:r w:rsidRPr="00E72A38">
        <w:rPr>
          <w:rFonts w:ascii="Traditional Arabic" w:hAnsi="Traditional Arabic"/>
          <w:sz w:val="32"/>
          <w:szCs w:val="32"/>
          <w:rtl/>
        </w:rPr>
        <w:t>)</w:t>
      </w:r>
      <w:r>
        <w:rPr>
          <w:rFonts w:ascii="Traditional Arabic" w:hAnsi="Traditional Arabic" w:hint="cs"/>
          <w:sz w:val="32"/>
          <w:szCs w:val="32"/>
          <w:rtl/>
        </w:rPr>
        <w:t xml:space="preserve"> وزاد نسبته </w:t>
      </w:r>
      <w:r>
        <w:rPr>
          <w:rFonts w:ascii="Traditional Arabic" w:hAnsi="Traditional Arabic"/>
          <w:sz w:val="32"/>
          <w:szCs w:val="32"/>
          <w:rtl/>
        </w:rPr>
        <w:t>لابن المنذر</w:t>
      </w:r>
      <w:r w:rsidRPr="00E72A38">
        <w:rPr>
          <w:rFonts w:ascii="Traditional Arabic" w:hAnsi="Traditional Arabic"/>
          <w:sz w:val="32"/>
          <w:szCs w:val="32"/>
          <w:rtl/>
        </w:rPr>
        <w:t xml:space="preserve">. </w:t>
      </w:r>
    </w:p>
  </w:footnote>
  <w:footnote w:id="328">
    <w:p w:rsidR="003F128F" w:rsidRPr="00E72A38" w:rsidRDefault="003F128F" w:rsidP="00156316">
      <w:pPr>
        <w:pStyle w:val="af3"/>
        <w:rPr>
          <w:rFonts w:ascii="Traditional Arabic" w:hAnsi="Traditional Arabic"/>
          <w:sz w:val="32"/>
          <w:szCs w:val="32"/>
        </w:rPr>
      </w:pPr>
      <w:r w:rsidRPr="00E72A38">
        <w:rPr>
          <w:rFonts w:ascii="Traditional Arabic" w:hAnsi="Traditional Arabic"/>
          <w:sz w:val="32"/>
          <w:szCs w:val="32"/>
          <w:rtl/>
        </w:rPr>
        <w:t>(</w:t>
      </w:r>
      <w:r w:rsidRPr="00E72A38">
        <w:rPr>
          <w:rStyle w:val="ae"/>
          <w:rFonts w:ascii="Traditional Arabic" w:hAnsi="Traditional Arabic"/>
          <w:sz w:val="32"/>
          <w:szCs w:val="32"/>
          <w:vertAlign w:val="baseline"/>
        </w:rPr>
        <w:footnoteRef/>
      </w:r>
      <w:r w:rsidRPr="00E72A38">
        <w:rPr>
          <w:rFonts w:ascii="Traditional Arabic" w:hAnsi="Traditional Arabic"/>
          <w:sz w:val="32"/>
          <w:szCs w:val="32"/>
          <w:rtl/>
        </w:rPr>
        <w:t>)</w:t>
      </w:r>
      <w:r>
        <w:rPr>
          <w:rFonts w:ascii="Traditional Arabic" w:hAnsi="Traditional Arabic" w:hint="cs"/>
          <w:sz w:val="32"/>
          <w:szCs w:val="32"/>
          <w:rtl/>
        </w:rPr>
        <w:t xml:space="preserve"> انظر: </w:t>
      </w:r>
      <w:r>
        <w:rPr>
          <w:rFonts w:ascii="Traditional Arabic" w:hAnsi="Traditional Arabic"/>
          <w:sz w:val="32"/>
          <w:szCs w:val="32"/>
          <w:rtl/>
        </w:rPr>
        <w:t>تفسير</w:t>
      </w:r>
      <w:r>
        <w:rPr>
          <w:rFonts w:ascii="Traditional Arabic" w:hAnsi="Traditional Arabic" w:hint="cs"/>
          <w:sz w:val="32"/>
          <w:szCs w:val="32"/>
          <w:rtl/>
        </w:rPr>
        <w:t xml:space="preserve"> الطبري </w:t>
      </w:r>
      <w:r w:rsidRPr="00E72A38">
        <w:rPr>
          <w:rFonts w:ascii="Traditional Arabic" w:hAnsi="Traditional Arabic"/>
          <w:sz w:val="32"/>
          <w:szCs w:val="32"/>
          <w:rtl/>
        </w:rPr>
        <w:t xml:space="preserve">(17/494), </w:t>
      </w:r>
      <w:r>
        <w:rPr>
          <w:rFonts w:ascii="Traditional Arabic" w:hAnsi="Traditional Arabic" w:hint="cs"/>
          <w:sz w:val="32"/>
          <w:szCs w:val="32"/>
          <w:rtl/>
        </w:rPr>
        <w:t>وذكره</w:t>
      </w:r>
      <w:r w:rsidRPr="00E72A38">
        <w:rPr>
          <w:rFonts w:ascii="Traditional Arabic" w:hAnsi="Traditional Arabic"/>
          <w:sz w:val="32"/>
          <w:szCs w:val="32"/>
          <w:rtl/>
        </w:rPr>
        <w:t xml:space="preserve"> السيوطي في الدر المنثور (</w:t>
      </w:r>
      <w:r>
        <w:rPr>
          <w:rFonts w:ascii="Traditional Arabic" w:hAnsi="Traditional Arabic" w:hint="cs"/>
          <w:sz w:val="32"/>
          <w:szCs w:val="32"/>
          <w:rtl/>
        </w:rPr>
        <w:t>5/312</w:t>
      </w:r>
      <w:r w:rsidRPr="00E72A38">
        <w:rPr>
          <w:rFonts w:ascii="Traditional Arabic" w:hAnsi="Traditional Arabic"/>
          <w:sz w:val="32"/>
          <w:szCs w:val="32"/>
          <w:rtl/>
        </w:rPr>
        <w:t>)</w:t>
      </w:r>
      <w:r w:rsidRPr="00EE13E2">
        <w:rPr>
          <w:rFonts w:ascii="Traditional Arabic" w:hAnsi="Traditional Arabic" w:hint="cs"/>
          <w:sz w:val="32"/>
          <w:szCs w:val="32"/>
          <w:rtl/>
        </w:rPr>
        <w:t xml:space="preserve"> </w:t>
      </w:r>
      <w:r>
        <w:rPr>
          <w:rFonts w:ascii="Traditional Arabic" w:hAnsi="Traditional Arabic" w:hint="cs"/>
          <w:sz w:val="32"/>
          <w:szCs w:val="32"/>
          <w:rtl/>
        </w:rPr>
        <w:t>وزاد نسبته</w:t>
      </w:r>
      <w:r w:rsidRPr="00EE13E2">
        <w:rPr>
          <w:rFonts w:ascii="Traditional Arabic" w:hAnsi="Traditional Arabic"/>
          <w:sz w:val="32"/>
          <w:szCs w:val="32"/>
          <w:rtl/>
        </w:rPr>
        <w:t xml:space="preserve"> </w:t>
      </w:r>
      <w:r w:rsidRPr="00E72A38">
        <w:rPr>
          <w:rFonts w:ascii="Traditional Arabic" w:hAnsi="Traditional Arabic"/>
          <w:sz w:val="32"/>
          <w:szCs w:val="32"/>
          <w:rtl/>
        </w:rPr>
        <w:t>لابن مردويه.</w:t>
      </w:r>
    </w:p>
  </w:footnote>
  <w:footnote w:id="329">
    <w:p w:rsidR="003F128F" w:rsidRPr="00EE13E2" w:rsidRDefault="003F128F" w:rsidP="004F7A80">
      <w:pPr>
        <w:pStyle w:val="af3"/>
        <w:rPr>
          <w:rFonts w:ascii="Traditional Arabic" w:hAnsi="Traditional Arabic"/>
          <w:sz w:val="32"/>
          <w:szCs w:val="32"/>
        </w:rPr>
      </w:pPr>
      <w:r w:rsidRPr="00EE13E2">
        <w:rPr>
          <w:rFonts w:ascii="Traditional Arabic" w:hAnsi="Traditional Arabic"/>
          <w:sz w:val="32"/>
          <w:szCs w:val="32"/>
          <w:rtl/>
        </w:rPr>
        <w:t>(</w:t>
      </w:r>
      <w:r w:rsidRPr="00EE13E2">
        <w:rPr>
          <w:rStyle w:val="ae"/>
          <w:rFonts w:ascii="Traditional Arabic" w:hAnsi="Traditional Arabic"/>
          <w:sz w:val="32"/>
          <w:szCs w:val="32"/>
          <w:vertAlign w:val="baseline"/>
        </w:rPr>
        <w:footnoteRef/>
      </w:r>
      <w:r w:rsidRPr="00EE13E2">
        <w:rPr>
          <w:rFonts w:ascii="Traditional Arabic" w:hAnsi="Traditional Arabic"/>
          <w:sz w:val="32"/>
          <w:szCs w:val="32"/>
          <w:rtl/>
        </w:rPr>
        <w:t>) تفسير عبدالرزاق (2/304)، تفسير الطبري (17/494)</w:t>
      </w:r>
      <w:r>
        <w:rPr>
          <w:rFonts w:ascii="Traditional Arabic" w:hAnsi="Traditional Arabic" w:hint="cs"/>
          <w:sz w:val="32"/>
          <w:szCs w:val="32"/>
          <w:rtl/>
        </w:rPr>
        <w:t>.</w:t>
      </w:r>
    </w:p>
  </w:footnote>
  <w:footnote w:id="330">
    <w:p w:rsidR="003F128F" w:rsidRPr="00EE13E2" w:rsidRDefault="003F128F" w:rsidP="00ED757A">
      <w:pPr>
        <w:pStyle w:val="af3"/>
        <w:rPr>
          <w:rFonts w:ascii="Traditional Arabic" w:hAnsi="Traditional Arabic"/>
          <w:sz w:val="32"/>
          <w:szCs w:val="32"/>
        </w:rPr>
      </w:pPr>
      <w:r w:rsidRPr="00EE13E2">
        <w:rPr>
          <w:rFonts w:ascii="Traditional Arabic" w:hAnsi="Traditional Arabic"/>
          <w:sz w:val="32"/>
          <w:szCs w:val="32"/>
          <w:rtl/>
        </w:rPr>
        <w:t>(</w:t>
      </w:r>
      <w:r w:rsidRPr="00EE13E2">
        <w:rPr>
          <w:rStyle w:val="ae"/>
          <w:rFonts w:ascii="Traditional Arabic" w:hAnsi="Traditional Arabic"/>
          <w:sz w:val="32"/>
          <w:szCs w:val="32"/>
          <w:vertAlign w:val="baseline"/>
        </w:rPr>
        <w:footnoteRef/>
      </w:r>
      <w:r w:rsidRPr="00EE13E2">
        <w:rPr>
          <w:rFonts w:ascii="Traditional Arabic" w:hAnsi="Traditional Arabic"/>
          <w:sz w:val="32"/>
          <w:szCs w:val="32"/>
          <w:rtl/>
        </w:rPr>
        <w:t>) معاني القرآن وإعرابه (3/251).</w:t>
      </w:r>
    </w:p>
  </w:footnote>
  <w:footnote w:id="331">
    <w:p w:rsidR="003F128F" w:rsidRPr="00EE13E2" w:rsidRDefault="003F128F" w:rsidP="00C36615">
      <w:pPr>
        <w:pStyle w:val="af3"/>
        <w:rPr>
          <w:rFonts w:ascii="Traditional Arabic" w:hAnsi="Traditional Arabic"/>
          <w:sz w:val="32"/>
          <w:szCs w:val="32"/>
        </w:rPr>
      </w:pPr>
      <w:r w:rsidRPr="00EE13E2">
        <w:rPr>
          <w:rFonts w:ascii="Traditional Arabic" w:hAnsi="Traditional Arabic"/>
          <w:sz w:val="32"/>
          <w:szCs w:val="32"/>
          <w:rtl/>
        </w:rPr>
        <w:t>(</w:t>
      </w:r>
      <w:r w:rsidRPr="00EE13E2">
        <w:rPr>
          <w:rStyle w:val="ae"/>
          <w:rFonts w:ascii="Traditional Arabic" w:hAnsi="Traditional Arabic"/>
          <w:sz w:val="32"/>
          <w:szCs w:val="32"/>
          <w:vertAlign w:val="baseline"/>
        </w:rPr>
        <w:footnoteRef/>
      </w:r>
      <w:r w:rsidRPr="00EE13E2">
        <w:rPr>
          <w:rFonts w:ascii="Traditional Arabic" w:hAnsi="Traditional Arabic"/>
          <w:sz w:val="32"/>
          <w:szCs w:val="32"/>
          <w:rtl/>
        </w:rPr>
        <w:t>) سورة الحجر, الآية</w:t>
      </w:r>
      <w:r>
        <w:rPr>
          <w:rFonts w:ascii="Traditional Arabic" w:hAnsi="Traditional Arabic" w:hint="cs"/>
          <w:sz w:val="32"/>
          <w:szCs w:val="32"/>
          <w:rtl/>
        </w:rPr>
        <w:t>:</w:t>
      </w:r>
      <w:r w:rsidRPr="00EE13E2">
        <w:rPr>
          <w:rFonts w:ascii="Traditional Arabic" w:hAnsi="Traditional Arabic"/>
          <w:sz w:val="32"/>
          <w:szCs w:val="32"/>
          <w:rtl/>
        </w:rPr>
        <w:t xml:space="preserve"> (42), انظر: زاد المسير (4/402).</w:t>
      </w:r>
    </w:p>
  </w:footnote>
  <w:footnote w:id="332">
    <w:p w:rsidR="003F128F" w:rsidRPr="00913922" w:rsidRDefault="003F128F" w:rsidP="00ED757A">
      <w:pPr>
        <w:pStyle w:val="af3"/>
        <w:rPr>
          <w:rFonts w:ascii="Tahoma" w:hAnsi="Tahoma"/>
        </w:rPr>
      </w:pPr>
      <w:r w:rsidRPr="00EE13E2">
        <w:rPr>
          <w:rFonts w:ascii="Traditional Arabic" w:hAnsi="Traditional Arabic"/>
          <w:sz w:val="32"/>
          <w:szCs w:val="32"/>
          <w:rtl/>
        </w:rPr>
        <w:t>(</w:t>
      </w:r>
      <w:r w:rsidRPr="00EE13E2">
        <w:rPr>
          <w:rStyle w:val="ae"/>
          <w:rFonts w:ascii="Traditional Arabic" w:hAnsi="Traditional Arabic"/>
          <w:sz w:val="32"/>
          <w:szCs w:val="32"/>
          <w:vertAlign w:val="baseline"/>
        </w:rPr>
        <w:footnoteRef/>
      </w:r>
      <w:r w:rsidRPr="00EE13E2">
        <w:rPr>
          <w:rFonts w:ascii="Traditional Arabic" w:hAnsi="Traditional Arabic"/>
          <w:sz w:val="32"/>
          <w:szCs w:val="32"/>
          <w:rtl/>
        </w:rPr>
        <w:t>) معاني القرآن وإعرابه (3/251).</w:t>
      </w:r>
    </w:p>
  </w:footnote>
  <w:footnote w:id="333">
    <w:p w:rsidR="003F128F" w:rsidRPr="00EE13E2" w:rsidRDefault="003F128F" w:rsidP="00A751AA">
      <w:pPr>
        <w:pStyle w:val="af3"/>
        <w:rPr>
          <w:rFonts w:ascii="Traditional Arabic" w:hAnsi="Traditional Arabic"/>
          <w:sz w:val="32"/>
          <w:szCs w:val="32"/>
        </w:rPr>
      </w:pPr>
      <w:r w:rsidRPr="00EE13E2">
        <w:rPr>
          <w:rFonts w:ascii="Traditional Arabic" w:hAnsi="Traditional Arabic"/>
          <w:sz w:val="32"/>
          <w:szCs w:val="32"/>
          <w:rtl/>
        </w:rPr>
        <w:t>(</w:t>
      </w:r>
      <w:r w:rsidRPr="00EE13E2">
        <w:rPr>
          <w:rStyle w:val="ae"/>
          <w:rFonts w:ascii="Traditional Arabic" w:hAnsi="Traditional Arabic"/>
          <w:sz w:val="32"/>
          <w:szCs w:val="32"/>
          <w:vertAlign w:val="baseline"/>
        </w:rPr>
        <w:footnoteRef/>
      </w:r>
      <w:r w:rsidRPr="00EE13E2">
        <w:rPr>
          <w:rFonts w:ascii="Traditional Arabic" w:hAnsi="Traditional Arabic"/>
          <w:sz w:val="32"/>
          <w:szCs w:val="32"/>
          <w:rtl/>
        </w:rPr>
        <w:t>) معاني القرآن وإعرابه (3/251).</w:t>
      </w:r>
    </w:p>
  </w:footnote>
  <w:footnote w:id="334">
    <w:p w:rsidR="003F128F" w:rsidRPr="00EE13E2" w:rsidRDefault="003F128F" w:rsidP="004F7A80">
      <w:pPr>
        <w:pStyle w:val="af3"/>
        <w:tabs>
          <w:tab w:val="center" w:pos="4251"/>
        </w:tabs>
        <w:rPr>
          <w:rFonts w:ascii="Traditional Arabic" w:hAnsi="Traditional Arabic"/>
          <w:sz w:val="32"/>
          <w:szCs w:val="32"/>
        </w:rPr>
      </w:pPr>
      <w:r w:rsidRPr="00EE13E2">
        <w:rPr>
          <w:rFonts w:ascii="Traditional Arabic" w:hAnsi="Traditional Arabic"/>
          <w:sz w:val="32"/>
          <w:szCs w:val="32"/>
          <w:rtl/>
        </w:rPr>
        <w:t>(</w:t>
      </w:r>
      <w:r w:rsidRPr="00EE13E2">
        <w:rPr>
          <w:rStyle w:val="ae"/>
          <w:rFonts w:ascii="Traditional Arabic" w:hAnsi="Traditional Arabic"/>
          <w:sz w:val="32"/>
          <w:szCs w:val="32"/>
          <w:vertAlign w:val="baseline"/>
        </w:rPr>
        <w:footnoteRef/>
      </w:r>
      <w:r w:rsidRPr="00EE13E2">
        <w:rPr>
          <w:rFonts w:ascii="Traditional Arabic" w:hAnsi="Traditional Arabic"/>
          <w:sz w:val="32"/>
          <w:szCs w:val="32"/>
          <w:rtl/>
        </w:rPr>
        <w:t>)لم أقف عليه فيما لدي من مصادر.</w:t>
      </w:r>
      <w:r>
        <w:rPr>
          <w:rFonts w:ascii="Traditional Arabic" w:hAnsi="Traditional Arabic"/>
          <w:sz w:val="32"/>
          <w:szCs w:val="32"/>
        </w:rPr>
        <w:tab/>
      </w:r>
    </w:p>
  </w:footnote>
  <w:footnote w:id="335">
    <w:p w:rsidR="003F128F" w:rsidRPr="00EE13E2" w:rsidRDefault="003F128F" w:rsidP="004F7A80">
      <w:pPr>
        <w:pStyle w:val="af3"/>
        <w:rPr>
          <w:rFonts w:ascii="Traditional Arabic" w:hAnsi="Traditional Arabic"/>
          <w:sz w:val="32"/>
          <w:szCs w:val="32"/>
          <w:rtl/>
        </w:rPr>
      </w:pPr>
      <w:r w:rsidRPr="00EE13E2">
        <w:rPr>
          <w:rFonts w:ascii="Traditional Arabic" w:hAnsi="Traditional Arabic"/>
          <w:sz w:val="32"/>
          <w:szCs w:val="32"/>
          <w:rtl/>
        </w:rPr>
        <w:t>(</w:t>
      </w:r>
      <w:r w:rsidRPr="00EE13E2">
        <w:rPr>
          <w:rStyle w:val="ae"/>
          <w:rFonts w:ascii="Traditional Arabic" w:hAnsi="Traditional Arabic"/>
          <w:sz w:val="32"/>
          <w:szCs w:val="32"/>
          <w:vertAlign w:val="baseline"/>
        </w:rPr>
        <w:footnoteRef/>
      </w:r>
      <w:r>
        <w:rPr>
          <w:rFonts w:ascii="Traditional Arabic" w:hAnsi="Traditional Arabic"/>
          <w:sz w:val="32"/>
          <w:szCs w:val="32"/>
          <w:rtl/>
        </w:rPr>
        <w:t>) في (</w:t>
      </w:r>
      <w:r>
        <w:rPr>
          <w:rFonts w:ascii="Traditional Arabic" w:hAnsi="Traditional Arabic" w:hint="cs"/>
          <w:sz w:val="32"/>
          <w:szCs w:val="32"/>
          <w:rtl/>
        </w:rPr>
        <w:t>ك</w:t>
      </w:r>
      <w:r w:rsidRPr="00EE13E2">
        <w:rPr>
          <w:rFonts w:ascii="Traditional Arabic" w:hAnsi="Traditional Arabic"/>
          <w:sz w:val="32"/>
          <w:szCs w:val="32"/>
          <w:rtl/>
        </w:rPr>
        <w:t xml:space="preserve">): </w:t>
      </w:r>
      <w:r>
        <w:rPr>
          <w:rFonts w:ascii="Traditional Arabic" w:hAnsi="Traditional Arabic" w:hint="cs"/>
          <w:sz w:val="32"/>
          <w:szCs w:val="32"/>
          <w:rtl/>
        </w:rPr>
        <w:t>[</w:t>
      </w:r>
      <w:r>
        <w:rPr>
          <w:rFonts w:ascii="Traditional Arabic" w:hAnsi="Traditional Arabic"/>
          <w:color w:val="0D0D0D" w:themeColor="text1" w:themeTint="F2"/>
          <w:sz w:val="32"/>
          <w:szCs w:val="32"/>
          <w:rtl/>
          <w:lang w:eastAsia="en-US"/>
        </w:rPr>
        <w:t>ضل من تدعون</w:t>
      </w:r>
      <w:r>
        <w:rPr>
          <w:rFonts w:ascii="Traditional Arabic" w:hAnsi="Traditional Arabic" w:hint="cs"/>
          <w:color w:val="0D0D0D" w:themeColor="text1" w:themeTint="F2"/>
          <w:sz w:val="32"/>
          <w:szCs w:val="32"/>
          <w:rtl/>
          <w:lang w:eastAsia="en-US"/>
        </w:rPr>
        <w:t>].</w:t>
      </w:r>
    </w:p>
  </w:footnote>
  <w:footnote w:id="336">
    <w:p w:rsidR="003F128F" w:rsidRPr="00EE13E2" w:rsidRDefault="003F128F" w:rsidP="00136F07">
      <w:pPr>
        <w:pStyle w:val="af3"/>
        <w:rPr>
          <w:rFonts w:ascii="Traditional Arabic" w:hAnsi="Traditional Arabic"/>
          <w:sz w:val="32"/>
          <w:szCs w:val="32"/>
        </w:rPr>
      </w:pPr>
      <w:r w:rsidRPr="00EE13E2">
        <w:rPr>
          <w:rFonts w:ascii="Traditional Arabic" w:hAnsi="Traditional Arabic"/>
          <w:sz w:val="32"/>
          <w:szCs w:val="32"/>
          <w:rtl/>
        </w:rPr>
        <w:t>(</w:t>
      </w:r>
      <w:r w:rsidRPr="00EE13E2">
        <w:rPr>
          <w:rStyle w:val="ae"/>
          <w:rFonts w:ascii="Traditional Arabic" w:hAnsi="Traditional Arabic"/>
          <w:sz w:val="32"/>
          <w:szCs w:val="32"/>
          <w:vertAlign w:val="baseline"/>
        </w:rPr>
        <w:footnoteRef/>
      </w:r>
      <w:r>
        <w:rPr>
          <w:rFonts w:ascii="Traditional Arabic" w:hAnsi="Traditional Arabic"/>
          <w:sz w:val="32"/>
          <w:szCs w:val="32"/>
          <w:rtl/>
        </w:rPr>
        <w:t>) في (</w:t>
      </w:r>
      <w:r>
        <w:rPr>
          <w:rFonts w:ascii="Traditional Arabic" w:hAnsi="Traditional Arabic" w:hint="cs"/>
          <w:sz w:val="32"/>
          <w:szCs w:val="32"/>
          <w:rtl/>
        </w:rPr>
        <w:t>ك</w:t>
      </w:r>
      <w:r>
        <w:rPr>
          <w:rFonts w:ascii="Traditional Arabic" w:hAnsi="Traditional Arabic"/>
          <w:sz w:val="32"/>
          <w:szCs w:val="32"/>
          <w:rtl/>
        </w:rPr>
        <w:t xml:space="preserve">): </w:t>
      </w:r>
      <w:r>
        <w:rPr>
          <w:rFonts w:ascii="Traditional Arabic" w:hAnsi="Traditional Arabic" w:hint="cs"/>
          <w:sz w:val="32"/>
          <w:szCs w:val="32"/>
          <w:rtl/>
        </w:rPr>
        <w:t>[</w:t>
      </w:r>
      <w:r>
        <w:rPr>
          <w:rFonts w:ascii="Traditional Arabic" w:hAnsi="Traditional Arabic"/>
          <w:sz w:val="32"/>
          <w:szCs w:val="32"/>
          <w:rtl/>
        </w:rPr>
        <w:t>وقيل</w:t>
      </w:r>
      <w:r>
        <w:rPr>
          <w:rFonts w:ascii="Traditional Arabic" w:hAnsi="Traditional Arabic" w:hint="cs"/>
          <w:sz w:val="32"/>
          <w:szCs w:val="32"/>
          <w:rtl/>
        </w:rPr>
        <w:t>]</w:t>
      </w:r>
      <w:r w:rsidRPr="00EE13E2">
        <w:rPr>
          <w:rFonts w:ascii="Traditional Arabic" w:hAnsi="Traditional Arabic"/>
          <w:sz w:val="32"/>
          <w:szCs w:val="32"/>
          <w:rtl/>
        </w:rPr>
        <w:t>.</w:t>
      </w:r>
    </w:p>
  </w:footnote>
  <w:footnote w:id="337">
    <w:p w:rsidR="003F128F" w:rsidRPr="00EE13E2" w:rsidRDefault="003F128F" w:rsidP="002B7A40">
      <w:pPr>
        <w:pStyle w:val="af3"/>
        <w:rPr>
          <w:rFonts w:ascii="Traditional Arabic" w:hAnsi="Traditional Arabic"/>
          <w:sz w:val="32"/>
          <w:szCs w:val="32"/>
        </w:rPr>
      </w:pPr>
      <w:r w:rsidRPr="00EE13E2">
        <w:rPr>
          <w:rFonts w:ascii="Traditional Arabic" w:hAnsi="Traditional Arabic"/>
          <w:sz w:val="32"/>
          <w:szCs w:val="32"/>
          <w:rtl/>
        </w:rPr>
        <w:t>(</w:t>
      </w:r>
      <w:r w:rsidRPr="00EE13E2">
        <w:rPr>
          <w:rStyle w:val="ae"/>
          <w:rFonts w:ascii="Traditional Arabic" w:hAnsi="Traditional Arabic"/>
          <w:sz w:val="32"/>
          <w:szCs w:val="32"/>
          <w:vertAlign w:val="baseline"/>
        </w:rPr>
        <w:footnoteRef/>
      </w:r>
      <w:r>
        <w:rPr>
          <w:rFonts w:ascii="Traditional Arabic" w:hAnsi="Traditional Arabic"/>
          <w:sz w:val="32"/>
          <w:szCs w:val="32"/>
          <w:rtl/>
        </w:rPr>
        <w:t>) ما بين ال</w:t>
      </w:r>
      <w:r>
        <w:rPr>
          <w:rFonts w:ascii="Traditional Arabic" w:hAnsi="Traditional Arabic" w:hint="cs"/>
          <w:sz w:val="32"/>
          <w:szCs w:val="32"/>
          <w:rtl/>
        </w:rPr>
        <w:t>معكوفتين</w:t>
      </w:r>
      <w:r>
        <w:rPr>
          <w:rFonts w:ascii="Traditional Arabic" w:hAnsi="Traditional Arabic"/>
          <w:sz w:val="32"/>
          <w:szCs w:val="32"/>
          <w:rtl/>
        </w:rPr>
        <w:t xml:space="preserve"> ساقط من </w:t>
      </w:r>
      <w:r>
        <w:rPr>
          <w:rFonts w:ascii="Traditional Arabic" w:hAnsi="Traditional Arabic" w:hint="cs"/>
          <w:sz w:val="32"/>
          <w:szCs w:val="32"/>
          <w:rtl/>
        </w:rPr>
        <w:t>الأصل, والمثبت من (ك).</w:t>
      </w:r>
      <w:r w:rsidRPr="00EE13E2">
        <w:rPr>
          <w:rFonts w:ascii="Traditional Arabic" w:hAnsi="Traditional Arabic"/>
          <w:sz w:val="32"/>
          <w:szCs w:val="32"/>
          <w:rtl/>
        </w:rPr>
        <w:t xml:space="preserve"> </w:t>
      </w:r>
    </w:p>
  </w:footnote>
  <w:footnote w:id="338">
    <w:p w:rsidR="003F128F" w:rsidRPr="00EE13E2" w:rsidRDefault="003F128F" w:rsidP="00F93FE7">
      <w:pPr>
        <w:pStyle w:val="af3"/>
        <w:rPr>
          <w:rFonts w:ascii="Traditional Arabic" w:hAnsi="Traditional Arabic"/>
          <w:sz w:val="32"/>
          <w:szCs w:val="32"/>
        </w:rPr>
      </w:pPr>
      <w:r w:rsidRPr="00EE13E2">
        <w:rPr>
          <w:rFonts w:ascii="Traditional Arabic" w:hAnsi="Traditional Arabic"/>
          <w:sz w:val="32"/>
          <w:szCs w:val="32"/>
          <w:rtl/>
        </w:rPr>
        <w:t>(</w:t>
      </w:r>
      <w:r w:rsidRPr="00EE13E2">
        <w:rPr>
          <w:rStyle w:val="ae"/>
          <w:rFonts w:ascii="Traditional Arabic" w:hAnsi="Traditional Arabic"/>
          <w:sz w:val="32"/>
          <w:szCs w:val="32"/>
          <w:vertAlign w:val="baseline"/>
        </w:rPr>
        <w:footnoteRef/>
      </w:r>
      <w:r>
        <w:rPr>
          <w:rFonts w:ascii="Traditional Arabic" w:hAnsi="Traditional Arabic"/>
          <w:sz w:val="32"/>
          <w:szCs w:val="32"/>
          <w:rtl/>
        </w:rPr>
        <w:t>)</w:t>
      </w:r>
      <w:r w:rsidRPr="00EE13E2">
        <w:rPr>
          <w:rFonts w:ascii="Traditional Arabic" w:hAnsi="Traditional Arabic"/>
          <w:sz w:val="32"/>
          <w:szCs w:val="32"/>
          <w:rtl/>
        </w:rPr>
        <w:t xml:space="preserve"> انظر: النكت والعيون (3/256), </w:t>
      </w:r>
      <w:r w:rsidRPr="00EE13E2">
        <w:rPr>
          <w:rFonts w:ascii="Traditional Arabic" w:hAnsi="Traditional Arabic"/>
          <w:sz w:val="32"/>
          <w:szCs w:val="32"/>
          <w:rtl/>
          <w:lang w:eastAsia="en-US"/>
        </w:rPr>
        <w:t xml:space="preserve">باهر البرهان </w:t>
      </w:r>
      <w:r w:rsidRPr="00EE13E2">
        <w:rPr>
          <w:rFonts w:ascii="Traditional Arabic" w:hAnsi="Traditional Arabic"/>
          <w:sz w:val="32"/>
          <w:szCs w:val="32"/>
          <w:rtl/>
        </w:rPr>
        <w:t>للنيسابوري (2/834).</w:t>
      </w:r>
    </w:p>
  </w:footnote>
  <w:footnote w:id="339">
    <w:p w:rsidR="003F128F" w:rsidRPr="00EE13E2" w:rsidRDefault="003F128F" w:rsidP="003C4A6B">
      <w:pPr>
        <w:pStyle w:val="af3"/>
        <w:rPr>
          <w:rFonts w:ascii="Traditional Arabic" w:hAnsi="Traditional Arabic"/>
          <w:sz w:val="32"/>
          <w:szCs w:val="32"/>
        </w:rPr>
      </w:pPr>
      <w:r w:rsidRPr="00EE13E2">
        <w:rPr>
          <w:rFonts w:ascii="Traditional Arabic" w:hAnsi="Traditional Arabic"/>
          <w:sz w:val="32"/>
          <w:szCs w:val="32"/>
          <w:rtl/>
        </w:rPr>
        <w:t>(</w:t>
      </w:r>
      <w:r w:rsidRPr="00EE13E2">
        <w:rPr>
          <w:rStyle w:val="ae"/>
          <w:rFonts w:ascii="Traditional Arabic" w:hAnsi="Traditional Arabic"/>
          <w:sz w:val="32"/>
          <w:szCs w:val="32"/>
          <w:vertAlign w:val="baseline"/>
        </w:rPr>
        <w:footnoteRef/>
      </w:r>
      <w:r>
        <w:rPr>
          <w:rFonts w:ascii="Traditional Arabic" w:hAnsi="Traditional Arabic"/>
          <w:sz w:val="32"/>
          <w:szCs w:val="32"/>
          <w:rtl/>
        </w:rPr>
        <w:t>)</w:t>
      </w:r>
      <w:r>
        <w:rPr>
          <w:rFonts w:ascii="Traditional Arabic" w:hAnsi="Traditional Arabic" w:hint="cs"/>
          <w:sz w:val="32"/>
          <w:szCs w:val="32"/>
          <w:rtl/>
        </w:rPr>
        <w:t xml:space="preserve"> </w:t>
      </w:r>
      <w:r w:rsidRPr="00EE13E2">
        <w:rPr>
          <w:rFonts w:ascii="Traditional Arabic" w:hAnsi="Traditional Arabic"/>
          <w:sz w:val="32"/>
          <w:szCs w:val="32"/>
          <w:rtl/>
        </w:rPr>
        <w:t xml:space="preserve">لم أقف عليها فيما لدي من مصادر, </w:t>
      </w:r>
      <w:r>
        <w:rPr>
          <w:rFonts w:ascii="Traditional Arabic" w:hAnsi="Traditional Arabic" w:hint="cs"/>
          <w:sz w:val="32"/>
          <w:szCs w:val="32"/>
          <w:rtl/>
        </w:rPr>
        <w:t>وهي</w:t>
      </w:r>
      <w:r w:rsidRPr="00EE13E2">
        <w:rPr>
          <w:rFonts w:ascii="Traditional Arabic" w:hAnsi="Traditional Arabic"/>
          <w:sz w:val="32"/>
          <w:szCs w:val="32"/>
          <w:rtl/>
        </w:rPr>
        <w:t xml:space="preserve"> قراءة شاذة.</w:t>
      </w:r>
    </w:p>
  </w:footnote>
  <w:footnote w:id="340">
    <w:p w:rsidR="003F128F" w:rsidRPr="006B22C0" w:rsidRDefault="003F128F" w:rsidP="004C51A2">
      <w:pPr>
        <w:pStyle w:val="af3"/>
        <w:rPr>
          <w:rFonts w:ascii="Traditional Arabic" w:hAnsi="Traditional Arabic"/>
          <w:sz w:val="32"/>
          <w:szCs w:val="32"/>
        </w:rPr>
      </w:pPr>
      <w:r w:rsidRPr="00EE13E2">
        <w:rPr>
          <w:rFonts w:ascii="Traditional Arabic" w:hAnsi="Traditional Arabic"/>
          <w:sz w:val="32"/>
          <w:szCs w:val="32"/>
          <w:rtl/>
        </w:rPr>
        <w:t>(</w:t>
      </w:r>
      <w:r w:rsidRPr="00EE13E2">
        <w:rPr>
          <w:rStyle w:val="ae"/>
          <w:rFonts w:ascii="Traditional Arabic" w:hAnsi="Traditional Arabic"/>
          <w:sz w:val="32"/>
          <w:szCs w:val="32"/>
          <w:vertAlign w:val="baseline"/>
        </w:rPr>
        <w:footnoteRef/>
      </w:r>
      <w:r w:rsidRPr="00EE13E2">
        <w:rPr>
          <w:rFonts w:ascii="Traditional Arabic" w:hAnsi="Traditional Arabic"/>
          <w:sz w:val="32"/>
          <w:szCs w:val="32"/>
          <w:rtl/>
        </w:rPr>
        <w:t>) انظر: حجة القراءات لابن زنجلة (ص406).</w:t>
      </w:r>
    </w:p>
  </w:footnote>
  <w:footnote w:id="341">
    <w:p w:rsidR="003F128F" w:rsidRPr="00C57091" w:rsidRDefault="003F128F" w:rsidP="000D6488">
      <w:pPr>
        <w:pStyle w:val="af3"/>
        <w:rPr>
          <w:rFonts w:ascii="Traditional Arabic" w:hAnsi="Traditional Arabic"/>
          <w:sz w:val="32"/>
          <w:szCs w:val="32"/>
        </w:rPr>
      </w:pPr>
      <w:r w:rsidRPr="00C57091">
        <w:rPr>
          <w:rFonts w:ascii="Traditional Arabic" w:hAnsi="Traditional Arabic"/>
          <w:sz w:val="32"/>
          <w:szCs w:val="32"/>
          <w:rtl/>
        </w:rPr>
        <w:t>(</w:t>
      </w:r>
      <w:r w:rsidRPr="00C57091">
        <w:rPr>
          <w:rStyle w:val="ae"/>
          <w:rFonts w:ascii="Traditional Arabic" w:hAnsi="Traditional Arabic"/>
          <w:sz w:val="32"/>
          <w:szCs w:val="32"/>
          <w:vertAlign w:val="baseline"/>
        </w:rPr>
        <w:footnoteRef/>
      </w:r>
      <w:r w:rsidRPr="00C57091">
        <w:rPr>
          <w:rFonts w:ascii="Traditional Arabic" w:hAnsi="Traditional Arabic"/>
          <w:sz w:val="32"/>
          <w:szCs w:val="32"/>
          <w:rtl/>
        </w:rPr>
        <w:t>) انظر: تفسير الطبري (17/498), تفسير ابن أبي حاتم (7/2338).</w:t>
      </w:r>
    </w:p>
  </w:footnote>
  <w:footnote w:id="342">
    <w:p w:rsidR="003F128F" w:rsidRPr="00C57091" w:rsidRDefault="003F128F" w:rsidP="00A751AA">
      <w:pPr>
        <w:pStyle w:val="af3"/>
        <w:rPr>
          <w:rFonts w:ascii="Traditional Arabic" w:hAnsi="Traditional Arabic"/>
          <w:sz w:val="32"/>
          <w:szCs w:val="32"/>
        </w:rPr>
      </w:pPr>
      <w:r w:rsidRPr="00C57091">
        <w:rPr>
          <w:rFonts w:ascii="Traditional Arabic" w:hAnsi="Traditional Arabic"/>
          <w:sz w:val="32"/>
          <w:szCs w:val="32"/>
          <w:rtl/>
        </w:rPr>
        <w:t>(</w:t>
      </w:r>
      <w:r w:rsidRPr="00C57091">
        <w:rPr>
          <w:rStyle w:val="ae"/>
          <w:rFonts w:ascii="Traditional Arabic" w:hAnsi="Traditional Arabic"/>
          <w:sz w:val="32"/>
          <w:szCs w:val="32"/>
          <w:vertAlign w:val="baseline"/>
        </w:rPr>
        <w:footnoteRef/>
      </w:r>
      <w:r w:rsidRPr="00C57091">
        <w:rPr>
          <w:rFonts w:ascii="Traditional Arabic" w:hAnsi="Traditional Arabic"/>
          <w:sz w:val="32"/>
          <w:szCs w:val="32"/>
          <w:rtl/>
        </w:rPr>
        <w:t>) مجاز القرآن لأبي عبيدة (1/385).</w:t>
      </w:r>
    </w:p>
  </w:footnote>
  <w:footnote w:id="343">
    <w:p w:rsidR="003F128F" w:rsidRPr="00C57091" w:rsidRDefault="003F128F" w:rsidP="006B22C0">
      <w:pPr>
        <w:pStyle w:val="af3"/>
        <w:rPr>
          <w:rFonts w:ascii="Traditional Arabic" w:hAnsi="Traditional Arabic"/>
          <w:sz w:val="32"/>
          <w:szCs w:val="32"/>
        </w:rPr>
      </w:pPr>
      <w:r w:rsidRPr="00C57091">
        <w:rPr>
          <w:rFonts w:ascii="Traditional Arabic" w:hAnsi="Traditional Arabic"/>
          <w:sz w:val="32"/>
          <w:szCs w:val="32"/>
          <w:rtl/>
        </w:rPr>
        <w:t>(</w:t>
      </w:r>
      <w:r w:rsidRPr="00C57091">
        <w:rPr>
          <w:rStyle w:val="ae"/>
          <w:rFonts w:ascii="Traditional Arabic" w:hAnsi="Traditional Arabic"/>
          <w:sz w:val="32"/>
          <w:szCs w:val="32"/>
          <w:vertAlign w:val="baseline"/>
        </w:rPr>
        <w:footnoteRef/>
      </w:r>
      <w:r>
        <w:rPr>
          <w:rFonts w:ascii="Traditional Arabic" w:hAnsi="Traditional Arabic"/>
          <w:sz w:val="32"/>
          <w:szCs w:val="32"/>
          <w:rtl/>
        </w:rPr>
        <w:t>) هو الإمام</w:t>
      </w:r>
      <w:r w:rsidRPr="00C57091">
        <w:rPr>
          <w:rFonts w:ascii="Traditional Arabic" w:hAnsi="Traditional Arabic"/>
          <w:sz w:val="32"/>
          <w:szCs w:val="32"/>
          <w:rtl/>
        </w:rPr>
        <w:t xml:space="preserve"> أبو عبيدة معمر بن المثنى التميمي من قريش مولى تميم بن مرة, </w:t>
      </w:r>
      <w:r w:rsidRPr="00C57091">
        <w:rPr>
          <w:rFonts w:ascii="Traditional Arabic" w:hAnsi="Traditional Arabic"/>
          <w:sz w:val="32"/>
          <w:szCs w:val="32"/>
          <w:rtl/>
          <w:lang w:eastAsia="en-US"/>
        </w:rPr>
        <w:t>البصري, العلم, البحر, النحوي</w:t>
      </w:r>
      <w:r w:rsidRPr="00C57091">
        <w:rPr>
          <w:rFonts w:ascii="Traditional Arabic" w:hAnsi="Traditional Arabic"/>
          <w:sz w:val="32"/>
          <w:szCs w:val="32"/>
          <w:rtl/>
        </w:rPr>
        <w:t>, بلغ منزلة رفيعة في العلم والمعرفة, من مصنفاته "مجاز القرآن", (ت210ه). انظر: وفيات الأعيان (5/235), سير أعلام النبلاء (9/445).</w:t>
      </w:r>
    </w:p>
  </w:footnote>
  <w:footnote w:id="344">
    <w:p w:rsidR="003F128F" w:rsidRPr="00C57091" w:rsidRDefault="003F128F" w:rsidP="00A41C3A">
      <w:pPr>
        <w:pStyle w:val="af3"/>
        <w:rPr>
          <w:rFonts w:ascii="Traditional Arabic" w:hAnsi="Traditional Arabic"/>
          <w:color w:val="auto"/>
          <w:sz w:val="32"/>
          <w:szCs w:val="32"/>
        </w:rPr>
      </w:pPr>
      <w:r w:rsidRPr="00C57091">
        <w:rPr>
          <w:rFonts w:ascii="Traditional Arabic" w:hAnsi="Traditional Arabic"/>
          <w:color w:val="auto"/>
          <w:sz w:val="32"/>
          <w:szCs w:val="32"/>
          <w:rtl/>
        </w:rPr>
        <w:t>(</w:t>
      </w:r>
      <w:r w:rsidRPr="00C57091">
        <w:rPr>
          <w:rStyle w:val="ae"/>
          <w:rFonts w:ascii="Traditional Arabic" w:hAnsi="Traditional Arabic"/>
          <w:color w:val="auto"/>
          <w:sz w:val="32"/>
          <w:szCs w:val="32"/>
          <w:vertAlign w:val="baseline"/>
        </w:rPr>
        <w:footnoteRef/>
      </w:r>
      <w:r w:rsidRPr="00C57091">
        <w:rPr>
          <w:rFonts w:ascii="Traditional Arabic" w:hAnsi="Traditional Arabic"/>
          <w:color w:val="auto"/>
          <w:sz w:val="32"/>
          <w:szCs w:val="32"/>
          <w:rtl/>
        </w:rPr>
        <w:t xml:space="preserve">) هو الشاعر </w:t>
      </w:r>
      <w:r w:rsidRPr="00C57091">
        <w:rPr>
          <w:rFonts w:ascii="Traditional Arabic" w:hAnsi="Traditional Arabic"/>
          <w:color w:val="auto"/>
          <w:sz w:val="32"/>
          <w:szCs w:val="32"/>
          <w:rtl/>
          <w:lang w:eastAsia="en-US"/>
        </w:rPr>
        <w:t>أبو فراس</w:t>
      </w:r>
      <w:r w:rsidRPr="00C57091">
        <w:rPr>
          <w:rFonts w:ascii="Traditional Arabic" w:hAnsi="Traditional Arabic"/>
          <w:color w:val="auto"/>
          <w:sz w:val="32"/>
          <w:szCs w:val="32"/>
          <w:rtl/>
        </w:rPr>
        <w:t xml:space="preserve"> </w:t>
      </w:r>
      <w:r w:rsidRPr="00C57091">
        <w:rPr>
          <w:rFonts w:ascii="Traditional Arabic" w:hAnsi="Traditional Arabic"/>
          <w:color w:val="auto"/>
          <w:sz w:val="32"/>
          <w:szCs w:val="32"/>
          <w:rtl/>
          <w:lang w:eastAsia="en-US"/>
        </w:rPr>
        <w:t>همَّام بن غالب بن صعصعة التميمي الدارميّ ، الشهير بالفرزدق, وهو من النبلاء, صاحب جرير، من أهل البصرة, عظيم الأثر في اللغة</w:t>
      </w:r>
      <w:r w:rsidRPr="00C57091">
        <w:rPr>
          <w:rFonts w:ascii="Traditional Arabic" w:hAnsi="Traditional Arabic"/>
          <w:sz w:val="32"/>
          <w:szCs w:val="32"/>
          <w:rtl/>
        </w:rPr>
        <w:t>, (ت110ه). انظر: وفيات الأعيان (6/86), الأعلام (8/93).</w:t>
      </w:r>
    </w:p>
  </w:footnote>
  <w:footnote w:id="345">
    <w:p w:rsidR="003F128F" w:rsidRPr="00C57091" w:rsidRDefault="003F128F" w:rsidP="0008676D">
      <w:pPr>
        <w:pStyle w:val="af3"/>
        <w:rPr>
          <w:rFonts w:ascii="Traditional Arabic" w:hAnsi="Traditional Arabic"/>
          <w:sz w:val="32"/>
          <w:szCs w:val="32"/>
        </w:rPr>
      </w:pPr>
      <w:r w:rsidRPr="00C57091">
        <w:rPr>
          <w:rFonts w:ascii="Traditional Arabic" w:hAnsi="Traditional Arabic"/>
          <w:sz w:val="32"/>
          <w:szCs w:val="32"/>
          <w:rtl/>
        </w:rPr>
        <w:t>(</w:t>
      </w:r>
      <w:r w:rsidRPr="00C57091">
        <w:rPr>
          <w:rStyle w:val="ae"/>
          <w:rFonts w:ascii="Traditional Arabic" w:hAnsi="Traditional Arabic"/>
          <w:sz w:val="32"/>
          <w:szCs w:val="32"/>
          <w:vertAlign w:val="baseline"/>
        </w:rPr>
        <w:footnoteRef/>
      </w:r>
      <w:r>
        <w:rPr>
          <w:rFonts w:ascii="Traditional Arabic" w:hAnsi="Traditional Arabic"/>
          <w:sz w:val="32"/>
          <w:szCs w:val="32"/>
          <w:rtl/>
        </w:rPr>
        <w:t xml:space="preserve">) في </w:t>
      </w:r>
      <w:r>
        <w:rPr>
          <w:rFonts w:ascii="Traditional Arabic" w:hAnsi="Traditional Arabic" w:hint="cs"/>
          <w:sz w:val="32"/>
          <w:szCs w:val="32"/>
          <w:rtl/>
        </w:rPr>
        <w:t>(م), و(ك):</w:t>
      </w:r>
      <w:r>
        <w:rPr>
          <w:rFonts w:ascii="Traditional Arabic" w:hAnsi="Traditional Arabic"/>
          <w:sz w:val="32"/>
          <w:szCs w:val="32"/>
          <w:rtl/>
        </w:rPr>
        <w:t xml:space="preserve"> </w:t>
      </w:r>
      <w:r>
        <w:rPr>
          <w:rFonts w:ascii="Traditional Arabic" w:hAnsi="Traditional Arabic" w:hint="cs"/>
          <w:sz w:val="32"/>
          <w:szCs w:val="32"/>
          <w:rtl/>
        </w:rPr>
        <w:t>[</w:t>
      </w:r>
      <w:r>
        <w:rPr>
          <w:rFonts w:ascii="Traditional Arabic" w:hAnsi="Traditional Arabic"/>
          <w:sz w:val="32"/>
          <w:szCs w:val="32"/>
          <w:rtl/>
        </w:rPr>
        <w:t>مستقبلين شمال الريح</w:t>
      </w:r>
      <w:r>
        <w:rPr>
          <w:rFonts w:ascii="Traditional Arabic" w:hAnsi="Traditional Arabic" w:hint="cs"/>
          <w:sz w:val="32"/>
          <w:szCs w:val="32"/>
          <w:rtl/>
        </w:rPr>
        <w:t>],</w:t>
      </w:r>
      <w:r>
        <w:rPr>
          <w:rFonts w:ascii="Traditional Arabic" w:hAnsi="Traditional Arabic"/>
          <w:sz w:val="32"/>
          <w:szCs w:val="32"/>
          <w:rtl/>
        </w:rPr>
        <w:t xml:space="preserve"> </w:t>
      </w:r>
      <w:r>
        <w:rPr>
          <w:rFonts w:ascii="Traditional Arabic" w:hAnsi="Traditional Arabic" w:hint="cs"/>
          <w:sz w:val="32"/>
          <w:szCs w:val="32"/>
          <w:rtl/>
        </w:rPr>
        <w:t xml:space="preserve">والذي وجدته في ديوان الفرزدق </w:t>
      </w:r>
      <w:r w:rsidRPr="00C57091">
        <w:rPr>
          <w:rFonts w:ascii="Traditional Arabic" w:hAnsi="Traditional Arabic"/>
          <w:sz w:val="32"/>
          <w:szCs w:val="32"/>
          <w:rtl/>
        </w:rPr>
        <w:t>(ص190)</w:t>
      </w:r>
      <w:r>
        <w:rPr>
          <w:rFonts w:ascii="Traditional Arabic" w:hAnsi="Traditional Arabic" w:hint="cs"/>
          <w:sz w:val="32"/>
          <w:szCs w:val="32"/>
          <w:rtl/>
        </w:rPr>
        <w:t xml:space="preserve">: [مستقبلين </w:t>
      </w:r>
      <w:r>
        <w:rPr>
          <w:rFonts w:ascii="Traditional Arabic" w:hAnsi="Traditional Arabic"/>
          <w:sz w:val="32"/>
          <w:szCs w:val="32"/>
          <w:rtl/>
        </w:rPr>
        <w:t>شمال الشام</w:t>
      </w:r>
      <w:r>
        <w:rPr>
          <w:rFonts w:ascii="Traditional Arabic" w:hAnsi="Traditional Arabic" w:hint="cs"/>
          <w:sz w:val="32"/>
          <w:szCs w:val="32"/>
          <w:rtl/>
        </w:rPr>
        <w:t>]</w:t>
      </w:r>
      <w:r w:rsidRPr="00C57091">
        <w:rPr>
          <w:rFonts w:ascii="Traditional Arabic" w:hAnsi="Traditional Arabic"/>
          <w:sz w:val="32"/>
          <w:szCs w:val="32"/>
          <w:rtl/>
        </w:rPr>
        <w:t>.</w:t>
      </w:r>
    </w:p>
  </w:footnote>
  <w:footnote w:id="346">
    <w:p w:rsidR="003F128F" w:rsidRPr="00C57091" w:rsidRDefault="003F128F" w:rsidP="006E368E">
      <w:pPr>
        <w:pStyle w:val="af3"/>
        <w:rPr>
          <w:rFonts w:ascii="Traditional Arabic" w:hAnsi="Traditional Arabic"/>
          <w:sz w:val="32"/>
          <w:szCs w:val="32"/>
        </w:rPr>
      </w:pPr>
      <w:r w:rsidRPr="00C57091">
        <w:rPr>
          <w:rFonts w:ascii="Traditional Arabic" w:hAnsi="Traditional Arabic"/>
          <w:sz w:val="32"/>
          <w:szCs w:val="32"/>
          <w:rtl/>
        </w:rPr>
        <w:t>(</w:t>
      </w:r>
      <w:r w:rsidRPr="00C57091">
        <w:rPr>
          <w:rStyle w:val="ae"/>
          <w:rFonts w:ascii="Traditional Arabic" w:hAnsi="Traditional Arabic"/>
          <w:sz w:val="32"/>
          <w:szCs w:val="32"/>
          <w:vertAlign w:val="baseline"/>
        </w:rPr>
        <w:footnoteRef/>
      </w:r>
      <w:r w:rsidRPr="00C57091">
        <w:rPr>
          <w:rFonts w:ascii="Traditional Arabic" w:hAnsi="Traditional Arabic"/>
          <w:sz w:val="32"/>
          <w:szCs w:val="32"/>
          <w:rtl/>
        </w:rPr>
        <w:t>)</w:t>
      </w:r>
      <w:r w:rsidRPr="00C57091">
        <w:rPr>
          <w:rFonts w:ascii="Traditional Arabic" w:hAnsi="Traditional Arabic"/>
          <w:sz w:val="32"/>
          <w:szCs w:val="32"/>
          <w:rtl/>
          <w:lang w:eastAsia="en-US"/>
        </w:rPr>
        <w:t xml:space="preserve"> ديوان الفرزدق</w:t>
      </w:r>
      <w:r w:rsidRPr="00C57091">
        <w:rPr>
          <w:rFonts w:ascii="Traditional Arabic" w:hAnsi="Traditional Arabic"/>
          <w:sz w:val="32"/>
          <w:szCs w:val="32"/>
          <w:rtl/>
        </w:rPr>
        <w:t xml:space="preserve"> (</w:t>
      </w:r>
      <w:r>
        <w:rPr>
          <w:rFonts w:ascii="Traditional Arabic" w:hAnsi="Traditional Arabic" w:hint="cs"/>
          <w:sz w:val="32"/>
          <w:szCs w:val="32"/>
          <w:rtl/>
        </w:rPr>
        <w:t>ص</w:t>
      </w:r>
      <w:r w:rsidRPr="00C57091">
        <w:rPr>
          <w:rFonts w:ascii="Traditional Arabic" w:hAnsi="Traditional Arabic"/>
          <w:sz w:val="32"/>
          <w:szCs w:val="32"/>
          <w:rtl/>
        </w:rPr>
        <w:t>190).</w:t>
      </w:r>
    </w:p>
  </w:footnote>
  <w:footnote w:id="347">
    <w:p w:rsidR="003F128F" w:rsidRPr="00C57091" w:rsidRDefault="003F128F" w:rsidP="006E368E">
      <w:pPr>
        <w:pStyle w:val="af3"/>
        <w:rPr>
          <w:rFonts w:ascii="Traditional Arabic" w:hAnsi="Traditional Arabic"/>
        </w:rPr>
      </w:pPr>
      <w:r w:rsidRPr="00C57091">
        <w:rPr>
          <w:rFonts w:ascii="Traditional Arabic" w:hAnsi="Traditional Arabic"/>
          <w:sz w:val="32"/>
          <w:szCs w:val="32"/>
          <w:rtl/>
        </w:rPr>
        <w:t>(</w:t>
      </w:r>
      <w:r w:rsidRPr="00C57091">
        <w:rPr>
          <w:rStyle w:val="ae"/>
          <w:rFonts w:ascii="Traditional Arabic" w:hAnsi="Traditional Arabic"/>
          <w:sz w:val="32"/>
          <w:szCs w:val="32"/>
          <w:vertAlign w:val="baseline"/>
        </w:rPr>
        <w:footnoteRef/>
      </w:r>
      <w:r w:rsidRPr="00C57091">
        <w:rPr>
          <w:rFonts w:ascii="Traditional Arabic" w:hAnsi="Traditional Arabic"/>
          <w:sz w:val="32"/>
          <w:szCs w:val="32"/>
          <w:rtl/>
        </w:rPr>
        <w:t>) غريب القرآن (ص259).</w:t>
      </w:r>
    </w:p>
  </w:footnote>
  <w:footnote w:id="348">
    <w:p w:rsidR="003F128F" w:rsidRPr="006E368E" w:rsidRDefault="003F128F" w:rsidP="00C57091">
      <w:pPr>
        <w:pStyle w:val="af3"/>
        <w:rPr>
          <w:rFonts w:ascii="Traditional Arabic" w:hAnsi="Traditional Arabic"/>
          <w:sz w:val="32"/>
          <w:szCs w:val="32"/>
        </w:rPr>
      </w:pPr>
      <w:r w:rsidRPr="006E368E">
        <w:rPr>
          <w:rFonts w:ascii="Traditional Arabic" w:hAnsi="Traditional Arabic"/>
          <w:sz w:val="32"/>
          <w:szCs w:val="32"/>
          <w:rtl/>
        </w:rPr>
        <w:t>(</w:t>
      </w:r>
      <w:r w:rsidRPr="006E368E">
        <w:rPr>
          <w:rStyle w:val="ae"/>
          <w:rFonts w:ascii="Traditional Arabic" w:hAnsi="Traditional Arabic"/>
          <w:sz w:val="32"/>
          <w:szCs w:val="32"/>
          <w:vertAlign w:val="baseline"/>
        </w:rPr>
        <w:footnoteRef/>
      </w:r>
      <w:r w:rsidRPr="006E368E">
        <w:rPr>
          <w:rFonts w:ascii="Traditional Arabic" w:hAnsi="Traditional Arabic"/>
          <w:sz w:val="32"/>
          <w:szCs w:val="32"/>
          <w:rtl/>
        </w:rPr>
        <w:t>) لم أقف عليه</w:t>
      </w:r>
      <w:r w:rsidRPr="006E368E">
        <w:rPr>
          <w:rFonts w:ascii="Traditional Arabic" w:hAnsi="Traditional Arabic" w:hint="cs"/>
          <w:sz w:val="32"/>
          <w:szCs w:val="32"/>
          <w:rtl/>
        </w:rPr>
        <w:t xml:space="preserve"> فيما لدي من مصادر</w:t>
      </w:r>
      <w:r w:rsidRPr="006E368E">
        <w:rPr>
          <w:rFonts w:ascii="Traditional Arabic" w:hAnsi="Traditional Arabic"/>
          <w:sz w:val="32"/>
          <w:szCs w:val="32"/>
          <w:rtl/>
        </w:rPr>
        <w:t xml:space="preserve">. </w:t>
      </w:r>
    </w:p>
  </w:footnote>
  <w:footnote w:id="349">
    <w:p w:rsidR="003F128F" w:rsidRPr="006E368E" w:rsidRDefault="003F128F" w:rsidP="00DD1733">
      <w:pPr>
        <w:pStyle w:val="af3"/>
        <w:rPr>
          <w:rFonts w:ascii="Traditional Arabic" w:hAnsi="Traditional Arabic"/>
          <w:sz w:val="32"/>
          <w:szCs w:val="32"/>
        </w:rPr>
      </w:pPr>
      <w:r w:rsidRPr="006E368E">
        <w:rPr>
          <w:rFonts w:ascii="Traditional Arabic" w:hAnsi="Traditional Arabic"/>
          <w:sz w:val="32"/>
          <w:szCs w:val="32"/>
          <w:rtl/>
        </w:rPr>
        <w:t>(</w:t>
      </w:r>
      <w:r w:rsidRPr="006E368E">
        <w:rPr>
          <w:rStyle w:val="ae"/>
          <w:rFonts w:ascii="Traditional Arabic" w:hAnsi="Traditional Arabic"/>
          <w:sz w:val="32"/>
          <w:szCs w:val="32"/>
          <w:vertAlign w:val="baseline"/>
        </w:rPr>
        <w:footnoteRef/>
      </w:r>
      <w:r w:rsidRPr="006E368E">
        <w:rPr>
          <w:rFonts w:ascii="Traditional Arabic" w:hAnsi="Traditional Arabic"/>
          <w:sz w:val="32"/>
          <w:szCs w:val="32"/>
          <w:rtl/>
        </w:rPr>
        <w:t>) معاني القرآن وإعرابه (3/251).</w:t>
      </w:r>
    </w:p>
  </w:footnote>
  <w:footnote w:id="350">
    <w:p w:rsidR="003F128F" w:rsidRPr="006E368E" w:rsidRDefault="003F128F" w:rsidP="003C4A6B">
      <w:pPr>
        <w:pStyle w:val="af3"/>
        <w:rPr>
          <w:rFonts w:ascii="Tahoma" w:hAnsi="Tahoma"/>
          <w:sz w:val="32"/>
          <w:szCs w:val="32"/>
        </w:rPr>
      </w:pPr>
      <w:r w:rsidRPr="006E368E">
        <w:rPr>
          <w:rFonts w:ascii="Traditional Arabic" w:hAnsi="Traditional Arabic"/>
          <w:sz w:val="32"/>
          <w:szCs w:val="32"/>
          <w:rtl/>
        </w:rPr>
        <w:t>(</w:t>
      </w:r>
      <w:r w:rsidRPr="006E368E">
        <w:rPr>
          <w:rStyle w:val="ae"/>
          <w:rFonts w:ascii="Traditional Arabic" w:hAnsi="Traditional Arabic"/>
          <w:sz w:val="32"/>
          <w:szCs w:val="32"/>
          <w:vertAlign w:val="baseline"/>
        </w:rPr>
        <w:footnoteRef/>
      </w:r>
      <w:r w:rsidRPr="006E368E">
        <w:rPr>
          <w:rFonts w:ascii="Traditional Arabic" w:hAnsi="Traditional Arabic"/>
          <w:sz w:val="32"/>
          <w:szCs w:val="32"/>
          <w:rtl/>
        </w:rPr>
        <w:t>) في (</w:t>
      </w:r>
      <w:r w:rsidRPr="006E368E">
        <w:rPr>
          <w:rFonts w:ascii="Traditional Arabic" w:hAnsi="Traditional Arabic" w:hint="cs"/>
          <w:sz w:val="32"/>
          <w:szCs w:val="32"/>
          <w:rtl/>
        </w:rPr>
        <w:t>ك</w:t>
      </w:r>
      <w:r w:rsidRPr="006E368E">
        <w:rPr>
          <w:rFonts w:ascii="Traditional Arabic" w:hAnsi="Traditional Arabic"/>
          <w:sz w:val="32"/>
          <w:szCs w:val="32"/>
          <w:rtl/>
        </w:rPr>
        <w:t xml:space="preserve">): </w:t>
      </w:r>
      <w:r w:rsidRPr="006E368E">
        <w:rPr>
          <w:rFonts w:ascii="Traditional Arabic" w:hAnsi="Traditional Arabic" w:hint="cs"/>
          <w:sz w:val="32"/>
          <w:szCs w:val="32"/>
          <w:rtl/>
        </w:rPr>
        <w:t>[</w:t>
      </w:r>
      <w:r w:rsidRPr="006E368E">
        <w:rPr>
          <w:rFonts w:ascii="QCF_P289" w:hAnsi="QCF_P289" w:cs="QCF_P289"/>
          <w:color w:val="0D0D0D" w:themeColor="text1" w:themeTint="F2"/>
          <w:sz w:val="32"/>
          <w:szCs w:val="32"/>
          <w:rtl/>
          <w:lang w:eastAsia="en-US"/>
        </w:rPr>
        <w:t>ﭻ  ﭼ</w:t>
      </w:r>
      <w:r w:rsidRPr="006E368E">
        <w:rPr>
          <w:rFonts w:ascii="Traditional Arabic" w:hAnsi="Traditional Arabic" w:hint="cs"/>
          <w:color w:val="0D0D0D" w:themeColor="text1" w:themeTint="F2"/>
          <w:sz w:val="32"/>
          <w:szCs w:val="32"/>
          <w:rtl/>
          <w:lang w:eastAsia="en-US"/>
        </w:rPr>
        <w:t xml:space="preserve"> </w:t>
      </w:r>
      <w:r>
        <w:rPr>
          <w:rFonts w:ascii="Traditional Arabic" w:hAnsi="Traditional Arabic"/>
          <w:color w:val="0D0D0D" w:themeColor="text1" w:themeTint="F2"/>
          <w:sz w:val="32"/>
          <w:szCs w:val="32"/>
          <w:rtl/>
          <w:lang w:eastAsia="en-US"/>
        </w:rPr>
        <w:t>والجمع</w:t>
      </w:r>
      <w:r w:rsidRPr="006E368E">
        <w:rPr>
          <w:rFonts w:ascii="Traditional Arabic" w:hAnsi="Traditional Arabic" w:hint="cs"/>
          <w:color w:val="0D0D0D" w:themeColor="text1" w:themeTint="F2"/>
          <w:sz w:val="32"/>
          <w:szCs w:val="32"/>
          <w:rtl/>
          <w:lang w:eastAsia="en-US"/>
        </w:rPr>
        <w:t xml:space="preserve"> </w:t>
      </w:r>
      <w:r w:rsidRPr="006E368E">
        <w:rPr>
          <w:rFonts w:ascii="Traditional Arabic" w:hAnsi="Traditional Arabic"/>
          <w:color w:val="0D0D0D" w:themeColor="text1" w:themeTint="F2"/>
          <w:sz w:val="32"/>
          <w:szCs w:val="32"/>
          <w:rtl/>
          <w:lang w:eastAsia="en-US"/>
        </w:rPr>
        <w:t>تارات</w:t>
      </w:r>
      <w:r w:rsidRPr="006E368E">
        <w:rPr>
          <w:rFonts w:ascii="Tahoma" w:hAnsi="Tahoma" w:hint="cs"/>
          <w:sz w:val="32"/>
          <w:szCs w:val="32"/>
          <w:rtl/>
        </w:rPr>
        <w:t>].</w:t>
      </w:r>
    </w:p>
  </w:footnote>
  <w:footnote w:id="351">
    <w:p w:rsidR="003F128F" w:rsidRPr="006E368E" w:rsidRDefault="003F128F" w:rsidP="00DD1733">
      <w:pPr>
        <w:pStyle w:val="af3"/>
        <w:rPr>
          <w:rFonts w:ascii="Traditional Arabic" w:hAnsi="Traditional Arabic"/>
          <w:sz w:val="32"/>
          <w:szCs w:val="32"/>
        </w:rPr>
      </w:pPr>
      <w:r w:rsidRPr="006E368E">
        <w:rPr>
          <w:rFonts w:ascii="Traditional Arabic" w:hAnsi="Traditional Arabic"/>
          <w:sz w:val="32"/>
          <w:szCs w:val="32"/>
          <w:rtl/>
        </w:rPr>
        <w:t>(</w:t>
      </w:r>
      <w:r w:rsidRPr="006E368E">
        <w:rPr>
          <w:rStyle w:val="ae"/>
          <w:rFonts w:ascii="Traditional Arabic" w:hAnsi="Traditional Arabic"/>
          <w:sz w:val="32"/>
          <w:szCs w:val="32"/>
          <w:vertAlign w:val="baseline"/>
        </w:rPr>
        <w:footnoteRef/>
      </w:r>
      <w:r w:rsidRPr="006E368E">
        <w:rPr>
          <w:rFonts w:ascii="Traditional Arabic" w:hAnsi="Traditional Arabic"/>
          <w:sz w:val="32"/>
          <w:szCs w:val="32"/>
          <w:rtl/>
        </w:rPr>
        <w:t>) مجاز القرآن (1/385).</w:t>
      </w:r>
    </w:p>
  </w:footnote>
  <w:footnote w:id="352">
    <w:p w:rsidR="003F128F" w:rsidRPr="006E368E" w:rsidRDefault="003F128F" w:rsidP="006E368E">
      <w:pPr>
        <w:pStyle w:val="af3"/>
        <w:rPr>
          <w:rFonts w:ascii="Traditional Arabic" w:hAnsi="Traditional Arabic"/>
          <w:sz w:val="32"/>
          <w:szCs w:val="32"/>
        </w:rPr>
      </w:pPr>
      <w:r w:rsidRPr="006E368E">
        <w:rPr>
          <w:rFonts w:ascii="Traditional Arabic" w:hAnsi="Traditional Arabic"/>
          <w:sz w:val="32"/>
          <w:szCs w:val="32"/>
          <w:rtl/>
        </w:rPr>
        <w:t>(</w:t>
      </w:r>
      <w:r w:rsidRPr="006E368E">
        <w:rPr>
          <w:rStyle w:val="ae"/>
          <w:rFonts w:ascii="Traditional Arabic" w:hAnsi="Traditional Arabic"/>
          <w:sz w:val="32"/>
          <w:szCs w:val="32"/>
          <w:vertAlign w:val="baseline"/>
        </w:rPr>
        <w:footnoteRef/>
      </w:r>
      <w:r w:rsidRPr="006E368E">
        <w:rPr>
          <w:rFonts w:ascii="Traditional Arabic" w:hAnsi="Traditional Arabic"/>
          <w:sz w:val="32"/>
          <w:szCs w:val="32"/>
          <w:rtl/>
        </w:rPr>
        <w:t xml:space="preserve">) في </w:t>
      </w:r>
      <w:r w:rsidRPr="006E368E">
        <w:rPr>
          <w:rFonts w:ascii="Traditional Arabic" w:hAnsi="Traditional Arabic" w:hint="cs"/>
          <w:sz w:val="32"/>
          <w:szCs w:val="32"/>
          <w:rtl/>
        </w:rPr>
        <w:t>(ك)</w:t>
      </w:r>
      <w:r w:rsidRPr="006E368E">
        <w:rPr>
          <w:rFonts w:ascii="Traditional Arabic" w:hAnsi="Traditional Arabic"/>
          <w:sz w:val="32"/>
          <w:szCs w:val="32"/>
          <w:rtl/>
        </w:rPr>
        <w:t xml:space="preserve">: </w:t>
      </w:r>
      <w:r w:rsidRPr="006E368E">
        <w:rPr>
          <w:rFonts w:ascii="Traditional Arabic" w:hAnsi="Traditional Arabic" w:hint="cs"/>
          <w:sz w:val="32"/>
          <w:szCs w:val="32"/>
          <w:rtl/>
        </w:rPr>
        <w:t>[</w:t>
      </w:r>
      <w:r w:rsidRPr="006E368E">
        <w:rPr>
          <w:rFonts w:ascii="Traditional Arabic" w:hAnsi="Traditional Arabic" w:hint="cs"/>
          <w:color w:val="0D0D0D" w:themeColor="text1" w:themeTint="F2"/>
          <w:sz w:val="32"/>
          <w:szCs w:val="32"/>
          <w:rtl/>
          <w:lang w:eastAsia="en-US"/>
        </w:rPr>
        <w:t>ت</w:t>
      </w:r>
      <w:r>
        <w:rPr>
          <w:rFonts w:ascii="Traditional Arabic" w:hAnsi="Traditional Arabic"/>
          <w:color w:val="0D0D0D" w:themeColor="text1" w:themeTint="F2"/>
          <w:sz w:val="32"/>
          <w:szCs w:val="32"/>
          <w:rtl/>
          <w:lang w:eastAsia="en-US"/>
        </w:rPr>
        <w:t>قصف الشجر أي</w:t>
      </w:r>
      <w:r w:rsidRPr="006E368E">
        <w:rPr>
          <w:rFonts w:ascii="Traditional Arabic" w:hAnsi="Traditional Arabic"/>
          <w:color w:val="0D0D0D" w:themeColor="text1" w:themeTint="F2"/>
          <w:sz w:val="32"/>
          <w:szCs w:val="32"/>
          <w:rtl/>
          <w:lang w:eastAsia="en-US"/>
        </w:rPr>
        <w:t xml:space="preserve"> </w:t>
      </w:r>
      <w:r w:rsidRPr="006E368E">
        <w:rPr>
          <w:rFonts w:ascii="Traditional Arabic" w:hAnsi="Traditional Arabic" w:hint="cs"/>
          <w:color w:val="0D0D0D" w:themeColor="text1" w:themeTint="F2"/>
          <w:sz w:val="32"/>
          <w:szCs w:val="32"/>
          <w:rtl/>
          <w:lang w:eastAsia="en-US"/>
        </w:rPr>
        <w:t>ت</w:t>
      </w:r>
      <w:r w:rsidRPr="006E368E">
        <w:rPr>
          <w:rFonts w:ascii="Traditional Arabic" w:hAnsi="Traditional Arabic"/>
          <w:color w:val="0D0D0D" w:themeColor="text1" w:themeTint="F2"/>
          <w:sz w:val="32"/>
          <w:szCs w:val="32"/>
          <w:rtl/>
          <w:lang w:eastAsia="en-US"/>
        </w:rPr>
        <w:t>كسره</w:t>
      </w:r>
      <w:r w:rsidRPr="006E368E">
        <w:rPr>
          <w:rFonts w:ascii="Traditional Arabic" w:hAnsi="Traditional Arabic" w:hint="cs"/>
          <w:sz w:val="32"/>
          <w:szCs w:val="32"/>
          <w:rtl/>
        </w:rPr>
        <w:t>]</w:t>
      </w:r>
      <w:r w:rsidRPr="006E368E">
        <w:rPr>
          <w:rFonts w:ascii="Traditional Arabic" w:hAnsi="Traditional Arabic"/>
          <w:sz w:val="32"/>
          <w:szCs w:val="32"/>
          <w:rtl/>
        </w:rPr>
        <w:t>.</w:t>
      </w:r>
    </w:p>
  </w:footnote>
  <w:footnote w:id="353">
    <w:p w:rsidR="003F128F" w:rsidRPr="006E368E" w:rsidRDefault="003F128F" w:rsidP="006E368E">
      <w:pPr>
        <w:pStyle w:val="af3"/>
        <w:rPr>
          <w:rFonts w:ascii="Traditional Arabic" w:hAnsi="Traditional Arabic"/>
          <w:sz w:val="32"/>
          <w:szCs w:val="32"/>
        </w:rPr>
      </w:pPr>
      <w:r w:rsidRPr="006E368E">
        <w:rPr>
          <w:rFonts w:ascii="Traditional Arabic" w:hAnsi="Traditional Arabic"/>
          <w:sz w:val="32"/>
          <w:szCs w:val="32"/>
          <w:rtl/>
        </w:rPr>
        <w:t>(</w:t>
      </w:r>
      <w:r w:rsidRPr="006E368E">
        <w:rPr>
          <w:rStyle w:val="ae"/>
          <w:rFonts w:ascii="Traditional Arabic" w:hAnsi="Traditional Arabic"/>
          <w:sz w:val="32"/>
          <w:szCs w:val="32"/>
          <w:vertAlign w:val="baseline"/>
        </w:rPr>
        <w:footnoteRef/>
      </w:r>
      <w:r w:rsidRPr="006E368E">
        <w:rPr>
          <w:rFonts w:ascii="Traditional Arabic" w:hAnsi="Traditional Arabic"/>
          <w:sz w:val="32"/>
          <w:szCs w:val="32"/>
          <w:rtl/>
        </w:rPr>
        <w:t>) انظر: غريب القرآن (ص259).</w:t>
      </w:r>
    </w:p>
  </w:footnote>
  <w:footnote w:id="354">
    <w:p w:rsidR="003F128F" w:rsidRPr="006E368E" w:rsidRDefault="003F128F" w:rsidP="006E368E">
      <w:pPr>
        <w:pStyle w:val="af3"/>
        <w:rPr>
          <w:rFonts w:ascii="Traditional Arabic" w:hAnsi="Traditional Arabic"/>
          <w:sz w:val="32"/>
          <w:szCs w:val="32"/>
        </w:rPr>
      </w:pPr>
      <w:r w:rsidRPr="006E368E">
        <w:rPr>
          <w:rFonts w:ascii="Traditional Arabic" w:hAnsi="Traditional Arabic"/>
          <w:sz w:val="32"/>
          <w:szCs w:val="32"/>
          <w:rtl/>
        </w:rPr>
        <w:t>(</w:t>
      </w:r>
      <w:r w:rsidRPr="006E368E">
        <w:rPr>
          <w:rStyle w:val="ae"/>
          <w:rFonts w:ascii="Traditional Arabic" w:hAnsi="Traditional Arabic"/>
          <w:sz w:val="32"/>
          <w:szCs w:val="32"/>
          <w:vertAlign w:val="baseline"/>
        </w:rPr>
        <w:footnoteRef/>
      </w:r>
      <w:r w:rsidRPr="006E368E">
        <w:rPr>
          <w:rFonts w:ascii="Traditional Arabic" w:hAnsi="Traditional Arabic"/>
          <w:sz w:val="32"/>
          <w:szCs w:val="32"/>
          <w:rtl/>
        </w:rPr>
        <w:t>) ما بين ال</w:t>
      </w:r>
      <w:r w:rsidRPr="006E368E">
        <w:rPr>
          <w:rFonts w:ascii="Traditional Arabic" w:hAnsi="Traditional Arabic" w:hint="cs"/>
          <w:sz w:val="32"/>
          <w:szCs w:val="32"/>
          <w:rtl/>
        </w:rPr>
        <w:t>معكوفتين</w:t>
      </w:r>
      <w:r w:rsidRPr="006E368E">
        <w:rPr>
          <w:rFonts w:ascii="Traditional Arabic" w:hAnsi="Traditional Arabic"/>
          <w:sz w:val="32"/>
          <w:szCs w:val="32"/>
          <w:rtl/>
        </w:rPr>
        <w:t xml:space="preserve"> ساقط من</w:t>
      </w:r>
      <w:r w:rsidRPr="006E368E">
        <w:rPr>
          <w:rFonts w:ascii="Traditional Arabic" w:hAnsi="Traditional Arabic" w:hint="cs"/>
          <w:sz w:val="32"/>
          <w:szCs w:val="32"/>
          <w:rtl/>
        </w:rPr>
        <w:t xml:space="preserve"> الأصل, والمثبت من (ك)</w:t>
      </w:r>
      <w:r w:rsidRPr="006E368E">
        <w:rPr>
          <w:rFonts w:ascii="Traditional Arabic" w:hAnsi="Traditional Arabic"/>
          <w:sz w:val="32"/>
          <w:szCs w:val="32"/>
          <w:rtl/>
        </w:rPr>
        <w:t>.</w:t>
      </w:r>
    </w:p>
  </w:footnote>
  <w:footnote w:id="355">
    <w:p w:rsidR="003F128F" w:rsidRPr="006E368E" w:rsidRDefault="003F128F" w:rsidP="006B22C0">
      <w:pPr>
        <w:widowControl/>
        <w:autoSpaceDE w:val="0"/>
        <w:autoSpaceDN w:val="0"/>
        <w:adjustRightInd w:val="0"/>
        <w:ind w:firstLine="0"/>
        <w:jc w:val="left"/>
        <w:rPr>
          <w:rFonts w:ascii="Traditional Arabic" w:hAnsi="Traditional Arabic"/>
          <w:sz w:val="32"/>
          <w:szCs w:val="32"/>
        </w:rPr>
      </w:pPr>
      <w:r w:rsidRPr="006E368E">
        <w:rPr>
          <w:rFonts w:ascii="Traditional Arabic" w:hAnsi="Traditional Arabic"/>
          <w:sz w:val="32"/>
          <w:szCs w:val="32"/>
          <w:rtl/>
        </w:rPr>
        <w:t>(</w:t>
      </w:r>
      <w:r w:rsidRPr="006E368E">
        <w:rPr>
          <w:rStyle w:val="ae"/>
          <w:rFonts w:ascii="Traditional Arabic" w:hAnsi="Traditional Arabic"/>
          <w:sz w:val="32"/>
          <w:szCs w:val="32"/>
          <w:vertAlign w:val="baseline"/>
        </w:rPr>
        <w:footnoteRef/>
      </w:r>
      <w:r w:rsidRPr="006E368E">
        <w:rPr>
          <w:rFonts w:ascii="Traditional Arabic" w:hAnsi="Traditional Arabic"/>
          <w:sz w:val="32"/>
          <w:szCs w:val="32"/>
          <w:rtl/>
        </w:rPr>
        <w:t>)</w:t>
      </w:r>
      <w:r w:rsidRPr="006E368E">
        <w:rPr>
          <w:rFonts w:ascii="Traditional Arabic" w:hAnsi="Traditional Arabic"/>
          <w:color w:val="000000" w:themeColor="text1"/>
          <w:sz w:val="32"/>
          <w:szCs w:val="32"/>
          <w:rtl/>
        </w:rPr>
        <w:t xml:space="preserve"> </w:t>
      </w:r>
      <w:r w:rsidRPr="006E368E">
        <w:rPr>
          <w:rFonts w:ascii="Traditional Arabic" w:hAnsi="Traditional Arabic"/>
          <w:color w:val="000000" w:themeColor="text1"/>
          <w:sz w:val="32"/>
          <w:szCs w:val="32"/>
          <w:rtl/>
          <w:lang w:eastAsia="en-US"/>
        </w:rPr>
        <w:t>هو التابعي الإمام المقرئ أبو جعفر يزيد بن القعقاع المخزومي، المدني، أحد القراء العشرة، صالح متعبد</w:t>
      </w:r>
      <w:r w:rsidRPr="006E368E">
        <w:rPr>
          <w:rFonts w:ascii="Traditional Arabic" w:hAnsi="Traditional Arabic"/>
          <w:sz w:val="32"/>
          <w:szCs w:val="32"/>
          <w:rtl/>
        </w:rPr>
        <w:t xml:space="preserve">, </w:t>
      </w:r>
      <w:r w:rsidRPr="006E368E">
        <w:rPr>
          <w:rFonts w:ascii="Traditional Arabic" w:hAnsi="Traditional Arabic"/>
          <w:sz w:val="32"/>
          <w:szCs w:val="32"/>
          <w:rtl/>
          <w:lang w:eastAsia="en-US"/>
        </w:rPr>
        <w:t xml:space="preserve">تام الضبط، رفيع المنزلة, </w:t>
      </w:r>
      <w:r w:rsidRPr="006E368E">
        <w:rPr>
          <w:rFonts w:ascii="Traditional Arabic" w:hAnsi="Traditional Arabic"/>
          <w:sz w:val="32"/>
          <w:szCs w:val="32"/>
          <w:rtl/>
        </w:rPr>
        <w:t xml:space="preserve">(ت130ه). انظر: معرفة القراء الكبار للذهبي (1/72), </w:t>
      </w:r>
      <w:r w:rsidRPr="006E368E">
        <w:rPr>
          <w:rFonts w:ascii="Traditional Arabic" w:hAnsi="Traditional Arabic"/>
          <w:sz w:val="32"/>
          <w:szCs w:val="32"/>
          <w:rtl/>
          <w:lang w:eastAsia="en-US"/>
        </w:rPr>
        <w:t xml:space="preserve">غاية النهاية </w:t>
      </w:r>
      <w:r w:rsidRPr="006E368E">
        <w:rPr>
          <w:rFonts w:ascii="Traditional Arabic" w:hAnsi="Traditional Arabic"/>
          <w:sz w:val="32"/>
          <w:szCs w:val="32"/>
          <w:rtl/>
        </w:rPr>
        <w:t>لابن الجزري (2/382).</w:t>
      </w:r>
    </w:p>
  </w:footnote>
  <w:footnote w:id="356">
    <w:p w:rsidR="003F128F" w:rsidRPr="006E368E" w:rsidRDefault="003F128F" w:rsidP="006B22C0">
      <w:pPr>
        <w:widowControl/>
        <w:autoSpaceDE w:val="0"/>
        <w:autoSpaceDN w:val="0"/>
        <w:adjustRightInd w:val="0"/>
        <w:ind w:firstLine="0"/>
        <w:jc w:val="left"/>
        <w:rPr>
          <w:rFonts w:ascii="Traditional Arabic" w:hAnsi="Traditional Arabic"/>
          <w:color w:val="auto"/>
          <w:sz w:val="32"/>
          <w:szCs w:val="32"/>
          <w:lang w:eastAsia="en-US"/>
        </w:rPr>
      </w:pPr>
      <w:r w:rsidRPr="006E368E">
        <w:rPr>
          <w:rFonts w:ascii="Traditional Arabic" w:hAnsi="Traditional Arabic"/>
          <w:color w:val="auto"/>
          <w:sz w:val="32"/>
          <w:szCs w:val="32"/>
          <w:rtl/>
        </w:rPr>
        <w:t>(</w:t>
      </w:r>
      <w:r w:rsidRPr="006E368E">
        <w:rPr>
          <w:rStyle w:val="ae"/>
          <w:rFonts w:ascii="Traditional Arabic" w:hAnsi="Traditional Arabic"/>
          <w:color w:val="auto"/>
          <w:sz w:val="32"/>
          <w:szCs w:val="32"/>
          <w:vertAlign w:val="baseline"/>
        </w:rPr>
        <w:footnoteRef/>
      </w:r>
      <w:r w:rsidRPr="006E368E">
        <w:rPr>
          <w:rFonts w:ascii="Traditional Arabic" w:hAnsi="Traditional Arabic"/>
          <w:color w:val="auto"/>
          <w:sz w:val="32"/>
          <w:szCs w:val="32"/>
          <w:rtl/>
        </w:rPr>
        <w:t xml:space="preserve">)  </w:t>
      </w:r>
      <w:r w:rsidRPr="006E368E">
        <w:rPr>
          <w:rFonts w:ascii="Traditional Arabic" w:hAnsi="Traditional Arabic"/>
          <w:color w:val="auto"/>
          <w:sz w:val="32"/>
          <w:szCs w:val="32"/>
          <w:rtl/>
          <w:lang w:eastAsia="en-US"/>
        </w:rPr>
        <w:t>هو التابعي الإمام المقرئ شيبة بن نصاح بن سرجس بن يعقوب المدني, مولى أم سلمة رضي الله عنها, وأحد شيوخ نافع في القراءة, وقاضي المدينة ومقرئها مع أبي جعفر,</w:t>
      </w:r>
      <w:r w:rsidRPr="006E368E">
        <w:rPr>
          <w:rFonts w:ascii="Traditional Arabic" w:hAnsi="Traditional Arabic"/>
          <w:sz w:val="32"/>
          <w:szCs w:val="32"/>
          <w:rtl/>
        </w:rPr>
        <w:t xml:space="preserve"> (ت130ه)</w:t>
      </w:r>
      <w:r w:rsidRPr="006E368E">
        <w:rPr>
          <w:rFonts w:ascii="Traditional Arabic" w:hAnsi="Traditional Arabic"/>
          <w:color w:val="auto"/>
          <w:sz w:val="32"/>
          <w:szCs w:val="32"/>
          <w:rtl/>
          <w:lang w:eastAsia="en-US"/>
        </w:rPr>
        <w:t>.</w:t>
      </w:r>
      <w:r w:rsidRPr="006E368E">
        <w:rPr>
          <w:rFonts w:ascii="Traditional Arabic" w:hAnsi="Traditional Arabic"/>
          <w:sz w:val="32"/>
          <w:szCs w:val="32"/>
          <w:rtl/>
        </w:rPr>
        <w:t xml:space="preserve"> انظر: معرفة القراء الكبار للذهبي (1/80), </w:t>
      </w:r>
      <w:r w:rsidRPr="006E368E">
        <w:rPr>
          <w:rFonts w:ascii="Traditional Arabic" w:hAnsi="Traditional Arabic"/>
          <w:sz w:val="32"/>
          <w:szCs w:val="32"/>
          <w:rtl/>
          <w:lang w:eastAsia="en-US"/>
        </w:rPr>
        <w:t xml:space="preserve">غاية النهاية </w:t>
      </w:r>
      <w:r w:rsidRPr="006E368E">
        <w:rPr>
          <w:rFonts w:ascii="Traditional Arabic" w:hAnsi="Traditional Arabic"/>
          <w:sz w:val="32"/>
          <w:szCs w:val="32"/>
          <w:rtl/>
        </w:rPr>
        <w:t xml:space="preserve">لابن الجزري (1/329). </w:t>
      </w:r>
    </w:p>
  </w:footnote>
  <w:footnote w:id="357">
    <w:p w:rsidR="003F128F" w:rsidRPr="006E368E" w:rsidRDefault="003F128F" w:rsidP="000014C3">
      <w:pPr>
        <w:widowControl/>
        <w:autoSpaceDE w:val="0"/>
        <w:autoSpaceDN w:val="0"/>
        <w:adjustRightInd w:val="0"/>
        <w:ind w:firstLine="0"/>
        <w:jc w:val="left"/>
        <w:rPr>
          <w:rFonts w:ascii="Traditional Arabic" w:hAnsi="Traditional Arabic"/>
          <w:color w:val="auto"/>
          <w:sz w:val="32"/>
          <w:szCs w:val="32"/>
          <w:lang w:eastAsia="en-US"/>
        </w:rPr>
      </w:pPr>
      <w:r w:rsidRPr="006E368E">
        <w:rPr>
          <w:rFonts w:ascii="Traditional Arabic" w:hAnsi="Traditional Arabic"/>
          <w:sz w:val="32"/>
          <w:szCs w:val="32"/>
          <w:rtl/>
        </w:rPr>
        <w:t>(</w:t>
      </w:r>
      <w:r w:rsidRPr="006E368E">
        <w:rPr>
          <w:rStyle w:val="ae"/>
          <w:rFonts w:ascii="Traditional Arabic" w:hAnsi="Traditional Arabic"/>
          <w:sz w:val="32"/>
          <w:szCs w:val="32"/>
          <w:vertAlign w:val="baseline"/>
        </w:rPr>
        <w:footnoteRef/>
      </w:r>
      <w:r w:rsidRPr="006E368E">
        <w:rPr>
          <w:rFonts w:ascii="Traditional Arabic" w:hAnsi="Traditional Arabic"/>
          <w:sz w:val="32"/>
          <w:szCs w:val="32"/>
          <w:rtl/>
        </w:rPr>
        <w:t xml:space="preserve">) </w:t>
      </w:r>
      <w:r w:rsidRPr="006E368E">
        <w:rPr>
          <w:rFonts w:ascii="Traditional Arabic" w:hAnsi="Traditional Arabic"/>
          <w:color w:val="auto"/>
          <w:sz w:val="32"/>
          <w:szCs w:val="32"/>
          <w:rtl/>
        </w:rPr>
        <w:t xml:space="preserve"> </w:t>
      </w:r>
      <w:r w:rsidRPr="006E368E">
        <w:rPr>
          <w:rFonts w:ascii="Traditional Arabic" w:hAnsi="Traditional Arabic"/>
          <w:color w:val="auto"/>
          <w:sz w:val="32"/>
          <w:szCs w:val="32"/>
          <w:rtl/>
          <w:lang w:eastAsia="en-US"/>
        </w:rPr>
        <w:t xml:space="preserve">هو الإمام المقرئ أبو عبد الله محمد بن المتوكل اللؤلؤي رويس, الفقيه الشافعي, قرأ عليه يعقوب وتصدر للإقراء, (ت238ه). </w:t>
      </w:r>
      <w:r w:rsidRPr="006E368E">
        <w:rPr>
          <w:rFonts w:ascii="Traditional Arabic" w:hAnsi="Traditional Arabic"/>
          <w:sz w:val="32"/>
          <w:szCs w:val="32"/>
          <w:rtl/>
        </w:rPr>
        <w:t xml:space="preserve">انظر: معرفة القراء الكبار للذهبي (1/216), </w:t>
      </w:r>
      <w:r w:rsidRPr="006E368E">
        <w:rPr>
          <w:rFonts w:ascii="Traditional Arabic" w:hAnsi="Traditional Arabic"/>
          <w:sz w:val="32"/>
          <w:szCs w:val="32"/>
          <w:rtl/>
          <w:lang w:eastAsia="en-US"/>
        </w:rPr>
        <w:t xml:space="preserve">غاية النهاية </w:t>
      </w:r>
      <w:r w:rsidRPr="006E368E">
        <w:rPr>
          <w:rFonts w:ascii="Traditional Arabic" w:hAnsi="Traditional Arabic"/>
          <w:sz w:val="32"/>
          <w:szCs w:val="32"/>
          <w:rtl/>
        </w:rPr>
        <w:t>لابن الجزري (3/146).</w:t>
      </w:r>
    </w:p>
  </w:footnote>
  <w:footnote w:id="358">
    <w:p w:rsidR="003F128F" w:rsidRPr="006E368E" w:rsidRDefault="003F128F" w:rsidP="006E368E">
      <w:pPr>
        <w:widowControl/>
        <w:autoSpaceDE w:val="0"/>
        <w:autoSpaceDN w:val="0"/>
        <w:adjustRightInd w:val="0"/>
        <w:ind w:firstLine="0"/>
        <w:rPr>
          <w:rFonts w:ascii="Traditional Arabic" w:hAnsi="Traditional Arabic"/>
          <w:sz w:val="32"/>
          <w:szCs w:val="32"/>
        </w:rPr>
      </w:pPr>
      <w:r w:rsidRPr="006E368E">
        <w:rPr>
          <w:rFonts w:ascii="Traditional Arabic" w:hAnsi="Traditional Arabic"/>
          <w:sz w:val="32"/>
          <w:szCs w:val="32"/>
          <w:rtl/>
        </w:rPr>
        <w:t>(</w:t>
      </w:r>
      <w:r w:rsidRPr="006E368E">
        <w:rPr>
          <w:rStyle w:val="ae"/>
          <w:rFonts w:ascii="Traditional Arabic" w:hAnsi="Traditional Arabic"/>
          <w:sz w:val="32"/>
          <w:szCs w:val="32"/>
          <w:vertAlign w:val="baseline"/>
        </w:rPr>
        <w:footnoteRef/>
      </w:r>
      <w:r w:rsidRPr="006E368E">
        <w:rPr>
          <w:rFonts w:ascii="Traditional Arabic" w:hAnsi="Traditional Arabic"/>
          <w:sz w:val="32"/>
          <w:szCs w:val="32"/>
          <w:rtl/>
        </w:rPr>
        <w:t>)</w:t>
      </w:r>
      <w:r w:rsidRPr="006E368E">
        <w:rPr>
          <w:rFonts w:ascii="Traditional Arabic" w:hAnsi="Traditional Arabic" w:hint="cs"/>
          <w:sz w:val="32"/>
          <w:szCs w:val="32"/>
          <w:rtl/>
        </w:rPr>
        <w:t xml:space="preserve"> </w:t>
      </w:r>
      <w:r>
        <w:rPr>
          <w:rFonts w:ascii="Traditional Arabic" w:hAnsi="Traditional Arabic"/>
          <w:sz w:val="32"/>
          <w:szCs w:val="32"/>
          <w:rtl/>
          <w:lang w:eastAsia="en-US"/>
        </w:rPr>
        <w:t>انظر: الكامل في القراءات العشر</w:t>
      </w:r>
      <w:r w:rsidRPr="006E368E">
        <w:rPr>
          <w:rFonts w:ascii="Traditional Arabic" w:hAnsi="Traditional Arabic"/>
          <w:sz w:val="32"/>
          <w:szCs w:val="32"/>
          <w:rtl/>
          <w:lang w:eastAsia="en-US"/>
        </w:rPr>
        <w:t xml:space="preserve"> </w:t>
      </w:r>
      <w:r w:rsidRPr="006E368E">
        <w:rPr>
          <w:rFonts w:ascii="Traditional Arabic" w:hAnsi="Traditional Arabic"/>
          <w:color w:val="auto"/>
          <w:sz w:val="32"/>
          <w:szCs w:val="32"/>
          <w:rtl/>
          <w:lang w:eastAsia="en-US"/>
        </w:rPr>
        <w:t xml:space="preserve">(ص588), </w:t>
      </w:r>
      <w:r w:rsidRPr="006E368E">
        <w:rPr>
          <w:rFonts w:ascii="Traditional Arabic" w:hAnsi="Traditional Arabic"/>
          <w:sz w:val="32"/>
          <w:szCs w:val="32"/>
          <w:rtl/>
        </w:rPr>
        <w:t>النشر لابن الجزري (2/308).</w:t>
      </w:r>
    </w:p>
  </w:footnote>
  <w:footnote w:id="359">
    <w:p w:rsidR="003F128F" w:rsidRPr="006E368E" w:rsidRDefault="003F128F" w:rsidP="000014C3">
      <w:pPr>
        <w:widowControl/>
        <w:autoSpaceDE w:val="0"/>
        <w:autoSpaceDN w:val="0"/>
        <w:adjustRightInd w:val="0"/>
        <w:ind w:firstLine="0"/>
        <w:jc w:val="left"/>
        <w:rPr>
          <w:rFonts w:ascii="Traditional Arabic" w:hAnsi="Traditional Arabic"/>
          <w:sz w:val="32"/>
          <w:szCs w:val="32"/>
        </w:rPr>
      </w:pPr>
      <w:r w:rsidRPr="006E368E">
        <w:rPr>
          <w:rFonts w:ascii="Traditional Arabic" w:hAnsi="Traditional Arabic"/>
          <w:sz w:val="32"/>
          <w:szCs w:val="32"/>
          <w:rtl/>
        </w:rPr>
        <w:t>(</w:t>
      </w:r>
      <w:r w:rsidRPr="006E368E">
        <w:rPr>
          <w:rStyle w:val="ae"/>
          <w:rFonts w:ascii="Traditional Arabic" w:hAnsi="Traditional Arabic"/>
          <w:sz w:val="32"/>
          <w:szCs w:val="32"/>
          <w:vertAlign w:val="baseline"/>
        </w:rPr>
        <w:footnoteRef/>
      </w:r>
      <w:r w:rsidRPr="006E368E">
        <w:rPr>
          <w:rFonts w:ascii="Traditional Arabic" w:hAnsi="Traditional Arabic"/>
          <w:sz w:val="32"/>
          <w:szCs w:val="32"/>
          <w:rtl/>
        </w:rPr>
        <w:t>)</w:t>
      </w:r>
      <w:r w:rsidRPr="006E368E">
        <w:rPr>
          <w:rFonts w:ascii="Traditional Arabic" w:hAnsi="Traditional Arabic"/>
          <w:color w:val="auto"/>
          <w:sz w:val="32"/>
          <w:szCs w:val="32"/>
          <w:rtl/>
        </w:rPr>
        <w:t xml:space="preserve">  </w:t>
      </w:r>
      <w:r w:rsidRPr="006E368E">
        <w:rPr>
          <w:rFonts w:ascii="Traditional Arabic" w:hAnsi="Traditional Arabic"/>
          <w:color w:val="auto"/>
          <w:sz w:val="32"/>
          <w:szCs w:val="32"/>
          <w:rtl/>
          <w:lang w:eastAsia="en-US"/>
        </w:rPr>
        <w:t>هو الإمام المقرئ</w:t>
      </w:r>
      <w:r>
        <w:rPr>
          <w:rFonts w:ascii="Traditional Arabic" w:hAnsi="Traditional Arabic" w:hint="cs"/>
          <w:color w:val="auto"/>
          <w:sz w:val="32"/>
          <w:szCs w:val="32"/>
          <w:rtl/>
          <w:lang w:eastAsia="en-US"/>
        </w:rPr>
        <w:t>,</w:t>
      </w:r>
      <w:r w:rsidRPr="006E368E">
        <w:rPr>
          <w:rFonts w:ascii="Traditional Arabic" w:hAnsi="Traditional Arabic"/>
          <w:color w:val="auto"/>
          <w:sz w:val="32"/>
          <w:szCs w:val="32"/>
          <w:rtl/>
          <w:lang w:eastAsia="en-US"/>
        </w:rPr>
        <w:t xml:space="preserve"> أبو سليمان</w:t>
      </w:r>
      <w:r>
        <w:rPr>
          <w:rFonts w:ascii="Traditional Arabic" w:hAnsi="Traditional Arabic" w:hint="cs"/>
          <w:color w:val="auto"/>
          <w:sz w:val="32"/>
          <w:szCs w:val="32"/>
          <w:rtl/>
          <w:lang w:eastAsia="en-US"/>
        </w:rPr>
        <w:t>,</w:t>
      </w:r>
      <w:r w:rsidRPr="006E368E">
        <w:rPr>
          <w:rFonts w:ascii="Traditional Arabic" w:hAnsi="Traditional Arabic"/>
          <w:color w:val="auto"/>
          <w:sz w:val="32"/>
          <w:szCs w:val="32"/>
          <w:rtl/>
          <w:lang w:eastAsia="en-US"/>
        </w:rPr>
        <w:t xml:space="preserve"> أيوب بن تميم بن سليمان التميمي الدمشقي, ضابط مشهور, قرأ على يحيى بن الحارث الذماري، وهو الذي خلفه في القراءة بدمشق، (ت198ه). انظر: </w:t>
      </w:r>
      <w:r w:rsidRPr="006E368E">
        <w:rPr>
          <w:rFonts w:ascii="Traditional Arabic" w:hAnsi="Traditional Arabic"/>
          <w:sz w:val="32"/>
          <w:szCs w:val="32"/>
          <w:rtl/>
        </w:rPr>
        <w:t xml:space="preserve">معرفة القراء الكبار للذهبي (1/89) , </w:t>
      </w:r>
      <w:r w:rsidRPr="006E368E">
        <w:rPr>
          <w:rFonts w:ascii="Traditional Arabic" w:hAnsi="Traditional Arabic"/>
          <w:sz w:val="32"/>
          <w:szCs w:val="32"/>
          <w:rtl/>
          <w:lang w:eastAsia="en-US"/>
        </w:rPr>
        <w:t xml:space="preserve">غاية النهاية </w:t>
      </w:r>
      <w:r w:rsidRPr="006E368E">
        <w:rPr>
          <w:rFonts w:ascii="Traditional Arabic" w:hAnsi="Traditional Arabic"/>
          <w:sz w:val="32"/>
          <w:szCs w:val="32"/>
          <w:rtl/>
        </w:rPr>
        <w:t>لابن الجزري (1/172).</w:t>
      </w:r>
      <w:r w:rsidRPr="006E368E">
        <w:rPr>
          <w:rFonts w:ascii="Traditional Arabic" w:hAnsi="Traditional Arabic"/>
          <w:color w:val="auto"/>
          <w:sz w:val="32"/>
          <w:szCs w:val="32"/>
          <w:rtl/>
          <w:lang w:eastAsia="en-US"/>
        </w:rPr>
        <w:t xml:space="preserve"> </w:t>
      </w:r>
    </w:p>
  </w:footnote>
  <w:footnote w:id="360">
    <w:p w:rsidR="003F128F" w:rsidRPr="006E368E" w:rsidRDefault="003F128F" w:rsidP="003C3020">
      <w:pPr>
        <w:pStyle w:val="af3"/>
        <w:rPr>
          <w:rFonts w:ascii="Traditional Arabic" w:hAnsi="Traditional Arabic"/>
          <w:sz w:val="32"/>
          <w:szCs w:val="32"/>
        </w:rPr>
      </w:pPr>
      <w:r w:rsidRPr="006E368E">
        <w:rPr>
          <w:rFonts w:ascii="Traditional Arabic" w:hAnsi="Traditional Arabic"/>
          <w:sz w:val="32"/>
          <w:szCs w:val="32"/>
          <w:rtl/>
        </w:rPr>
        <w:t>(</w:t>
      </w:r>
      <w:r w:rsidRPr="006E368E">
        <w:rPr>
          <w:rStyle w:val="ae"/>
          <w:rFonts w:ascii="Traditional Arabic" w:hAnsi="Traditional Arabic"/>
          <w:sz w:val="32"/>
          <w:szCs w:val="32"/>
          <w:vertAlign w:val="baseline"/>
        </w:rPr>
        <w:footnoteRef/>
      </w:r>
      <w:r w:rsidRPr="006E368E">
        <w:rPr>
          <w:rFonts w:ascii="Traditional Arabic" w:hAnsi="Traditional Arabic"/>
          <w:sz w:val="32"/>
          <w:szCs w:val="32"/>
          <w:rtl/>
        </w:rPr>
        <w:t xml:space="preserve">) في (ك): </w:t>
      </w:r>
      <w:r w:rsidRPr="006E368E">
        <w:rPr>
          <w:rFonts w:ascii="Traditional Arabic" w:hAnsi="Traditional Arabic"/>
          <w:color w:val="0D0D0D" w:themeColor="text1" w:themeTint="F2"/>
          <w:sz w:val="32"/>
          <w:szCs w:val="32"/>
          <w:rtl/>
          <w:lang w:eastAsia="en-US"/>
        </w:rPr>
        <w:t>[وتشديد الراء]</w:t>
      </w:r>
      <w:r w:rsidRPr="006E368E">
        <w:rPr>
          <w:rFonts w:ascii="Traditional Arabic" w:hAnsi="Traditional Arabic"/>
          <w:sz w:val="32"/>
          <w:szCs w:val="32"/>
          <w:rtl/>
        </w:rPr>
        <w:t>.</w:t>
      </w:r>
    </w:p>
  </w:footnote>
  <w:footnote w:id="361">
    <w:p w:rsidR="003F128F" w:rsidRPr="006E368E" w:rsidRDefault="003F128F" w:rsidP="006E368E">
      <w:pPr>
        <w:pStyle w:val="af3"/>
        <w:rPr>
          <w:rFonts w:ascii="Traditional Arabic" w:hAnsi="Traditional Arabic"/>
          <w:sz w:val="32"/>
          <w:szCs w:val="32"/>
        </w:rPr>
      </w:pPr>
      <w:r w:rsidRPr="006E368E">
        <w:rPr>
          <w:rFonts w:ascii="Traditional Arabic" w:hAnsi="Traditional Arabic"/>
          <w:sz w:val="32"/>
          <w:szCs w:val="32"/>
          <w:rtl/>
        </w:rPr>
        <w:t>(</w:t>
      </w:r>
      <w:r w:rsidRPr="006E368E">
        <w:rPr>
          <w:rStyle w:val="ae"/>
          <w:rFonts w:ascii="Traditional Arabic" w:hAnsi="Traditional Arabic"/>
          <w:sz w:val="32"/>
          <w:szCs w:val="32"/>
          <w:vertAlign w:val="baseline"/>
        </w:rPr>
        <w:footnoteRef/>
      </w:r>
      <w:r w:rsidRPr="006E368E">
        <w:rPr>
          <w:rFonts w:ascii="Traditional Arabic" w:hAnsi="Traditional Arabic"/>
          <w:sz w:val="32"/>
          <w:szCs w:val="32"/>
          <w:rtl/>
        </w:rPr>
        <w:t>) انظر: إعراب القراءات الشواذ (1/796), معجم القراءات لعبد اللطيف الخطيب (5/94).</w:t>
      </w:r>
    </w:p>
  </w:footnote>
  <w:footnote w:id="362">
    <w:p w:rsidR="003F128F" w:rsidRPr="006E368E" w:rsidRDefault="003F128F" w:rsidP="00E874FD">
      <w:pPr>
        <w:widowControl/>
        <w:autoSpaceDE w:val="0"/>
        <w:autoSpaceDN w:val="0"/>
        <w:adjustRightInd w:val="0"/>
        <w:ind w:firstLine="0"/>
        <w:rPr>
          <w:rFonts w:ascii="Traditional Arabic" w:hAnsi="Traditional Arabic"/>
          <w:color w:val="auto"/>
          <w:sz w:val="32"/>
          <w:szCs w:val="32"/>
          <w:lang w:eastAsia="en-US"/>
        </w:rPr>
      </w:pPr>
      <w:r w:rsidRPr="006E368E">
        <w:rPr>
          <w:rFonts w:ascii="Traditional Arabic" w:hAnsi="Traditional Arabic"/>
          <w:color w:val="auto"/>
          <w:sz w:val="32"/>
          <w:szCs w:val="32"/>
          <w:rtl/>
        </w:rPr>
        <w:t>(</w:t>
      </w:r>
      <w:r w:rsidRPr="006E368E">
        <w:rPr>
          <w:rStyle w:val="ae"/>
          <w:rFonts w:ascii="Traditional Arabic" w:hAnsi="Traditional Arabic"/>
          <w:color w:val="auto"/>
          <w:sz w:val="32"/>
          <w:szCs w:val="32"/>
          <w:vertAlign w:val="baseline"/>
        </w:rPr>
        <w:footnoteRef/>
      </w:r>
      <w:r w:rsidRPr="006E368E">
        <w:rPr>
          <w:rFonts w:ascii="Traditional Arabic" w:hAnsi="Traditional Arabic"/>
          <w:color w:val="auto"/>
          <w:sz w:val="32"/>
          <w:szCs w:val="32"/>
          <w:rtl/>
        </w:rPr>
        <w:t xml:space="preserve">) هو التابعي </w:t>
      </w:r>
      <w:r w:rsidRPr="006E368E">
        <w:rPr>
          <w:rFonts w:ascii="Traditional Arabic" w:hAnsi="Traditional Arabic"/>
          <w:color w:val="auto"/>
          <w:sz w:val="32"/>
          <w:szCs w:val="32"/>
          <w:rtl/>
          <w:lang w:eastAsia="en-US"/>
        </w:rPr>
        <w:t>أبو رجاء</w:t>
      </w:r>
      <w:r>
        <w:rPr>
          <w:rFonts w:ascii="Traditional Arabic" w:hAnsi="Traditional Arabic" w:hint="cs"/>
          <w:color w:val="auto"/>
          <w:sz w:val="32"/>
          <w:szCs w:val="32"/>
          <w:rtl/>
          <w:lang w:eastAsia="en-US"/>
        </w:rPr>
        <w:t>,</w:t>
      </w:r>
      <w:r w:rsidRPr="006E368E">
        <w:rPr>
          <w:rFonts w:ascii="Traditional Arabic" w:hAnsi="Traditional Arabic"/>
          <w:color w:val="auto"/>
          <w:sz w:val="32"/>
          <w:szCs w:val="32"/>
          <w:rtl/>
          <w:lang w:eastAsia="en-US"/>
        </w:rPr>
        <w:t xml:space="preserve"> عمران بن ملحان التميمي العطاردي</w:t>
      </w:r>
      <w:r>
        <w:rPr>
          <w:rFonts w:ascii="Traditional Arabic" w:hAnsi="Traditional Arabic" w:hint="cs"/>
          <w:color w:val="auto"/>
          <w:sz w:val="32"/>
          <w:szCs w:val="32"/>
          <w:rtl/>
          <w:lang w:eastAsia="en-US"/>
        </w:rPr>
        <w:t>,</w:t>
      </w:r>
      <w:r w:rsidRPr="006E368E">
        <w:rPr>
          <w:rFonts w:ascii="Traditional Arabic" w:hAnsi="Traditional Arabic"/>
          <w:color w:val="auto"/>
          <w:sz w:val="32"/>
          <w:szCs w:val="32"/>
          <w:rtl/>
          <w:lang w:eastAsia="en-US"/>
        </w:rPr>
        <w:t xml:space="preserve"> البصري،</w:t>
      </w:r>
      <w:r w:rsidRPr="006E368E">
        <w:rPr>
          <w:rFonts w:ascii="Traditional Arabic" w:hAnsi="Traditional Arabic"/>
          <w:color w:val="auto"/>
          <w:sz w:val="32"/>
          <w:szCs w:val="32"/>
          <w:rtl/>
        </w:rPr>
        <w:t xml:space="preserve"> </w:t>
      </w:r>
      <w:r w:rsidRPr="006E368E">
        <w:rPr>
          <w:rFonts w:ascii="Traditional Arabic" w:hAnsi="Traditional Arabic"/>
          <w:color w:val="auto"/>
          <w:sz w:val="32"/>
          <w:szCs w:val="32"/>
          <w:rtl/>
          <w:lang w:eastAsia="en-US"/>
        </w:rPr>
        <w:t xml:space="preserve">الإمام, المقرئ الكبير, </w:t>
      </w:r>
      <w:r w:rsidRPr="006E368E">
        <w:rPr>
          <w:rFonts w:ascii="Traditional Arabic" w:hAnsi="Traditional Arabic"/>
          <w:sz w:val="32"/>
          <w:szCs w:val="32"/>
          <w:rtl/>
          <w:lang w:eastAsia="en-US"/>
        </w:rPr>
        <w:t>أخذ القراءة عرضا عن ابن عباس رضي الله عنهما</w:t>
      </w:r>
      <w:r w:rsidRPr="006E368E">
        <w:rPr>
          <w:rFonts w:ascii="Traditional Arabic" w:hAnsi="Traditional Arabic"/>
          <w:color w:val="auto"/>
          <w:sz w:val="32"/>
          <w:szCs w:val="32"/>
          <w:rtl/>
          <w:lang w:eastAsia="en-US"/>
        </w:rPr>
        <w:t xml:space="preserve">, (ت115ه). </w:t>
      </w:r>
      <w:r w:rsidRPr="006E368E">
        <w:rPr>
          <w:rFonts w:ascii="Traditional Arabic" w:hAnsi="Traditional Arabic"/>
          <w:sz w:val="32"/>
          <w:szCs w:val="32"/>
          <w:rtl/>
        </w:rPr>
        <w:t xml:space="preserve">انظر: معرفة القراء الكبار للذهبي (1/58), سير أعلام النبلاء (4/253), </w:t>
      </w:r>
      <w:r w:rsidRPr="006E368E">
        <w:rPr>
          <w:rFonts w:ascii="Traditional Arabic" w:hAnsi="Traditional Arabic"/>
          <w:sz w:val="32"/>
          <w:szCs w:val="32"/>
          <w:rtl/>
          <w:lang w:eastAsia="en-US"/>
        </w:rPr>
        <w:t xml:space="preserve">غاية النهاية </w:t>
      </w:r>
      <w:r w:rsidRPr="006E368E">
        <w:rPr>
          <w:rFonts w:ascii="Traditional Arabic" w:hAnsi="Traditional Arabic"/>
          <w:sz w:val="32"/>
          <w:szCs w:val="32"/>
          <w:rtl/>
        </w:rPr>
        <w:t>لابن الجزري (1/604).</w:t>
      </w:r>
    </w:p>
  </w:footnote>
  <w:footnote w:id="363">
    <w:p w:rsidR="003F128F" w:rsidRPr="006E368E" w:rsidRDefault="003F128F" w:rsidP="006E368E">
      <w:pPr>
        <w:pStyle w:val="af3"/>
        <w:rPr>
          <w:rFonts w:ascii="Traditional Arabic" w:hAnsi="Traditional Arabic"/>
          <w:sz w:val="32"/>
          <w:szCs w:val="32"/>
        </w:rPr>
      </w:pPr>
      <w:r w:rsidRPr="006E368E">
        <w:rPr>
          <w:rFonts w:ascii="Traditional Arabic" w:hAnsi="Traditional Arabic"/>
          <w:sz w:val="32"/>
          <w:szCs w:val="32"/>
          <w:rtl/>
        </w:rPr>
        <w:t>(</w:t>
      </w:r>
      <w:r w:rsidRPr="006E368E">
        <w:rPr>
          <w:rStyle w:val="ae"/>
          <w:rFonts w:ascii="Traditional Arabic" w:hAnsi="Traditional Arabic"/>
          <w:sz w:val="32"/>
          <w:szCs w:val="32"/>
          <w:vertAlign w:val="baseline"/>
        </w:rPr>
        <w:footnoteRef/>
      </w:r>
      <w:r w:rsidRPr="006E368E">
        <w:rPr>
          <w:rFonts w:ascii="Traditional Arabic" w:hAnsi="Traditional Arabic"/>
          <w:sz w:val="32"/>
          <w:szCs w:val="32"/>
          <w:rtl/>
        </w:rPr>
        <w:t xml:space="preserve">) انظر: إعراب القراءات الشواذ (1/796), معجم القراءات (5/94). </w:t>
      </w:r>
    </w:p>
  </w:footnote>
  <w:footnote w:id="364">
    <w:p w:rsidR="003F128F" w:rsidRPr="006E368E" w:rsidRDefault="003F128F" w:rsidP="006E368E">
      <w:pPr>
        <w:pStyle w:val="af3"/>
        <w:rPr>
          <w:rFonts w:ascii="Traditional Arabic" w:hAnsi="Traditional Arabic"/>
          <w:sz w:val="32"/>
          <w:szCs w:val="32"/>
        </w:rPr>
      </w:pPr>
      <w:r w:rsidRPr="006E368E">
        <w:rPr>
          <w:rFonts w:ascii="Traditional Arabic" w:hAnsi="Traditional Arabic"/>
          <w:sz w:val="32"/>
          <w:szCs w:val="32"/>
          <w:rtl/>
        </w:rPr>
        <w:t>(</w:t>
      </w:r>
      <w:r w:rsidRPr="006E368E">
        <w:rPr>
          <w:rStyle w:val="ae"/>
          <w:rFonts w:ascii="Traditional Arabic" w:hAnsi="Traditional Arabic"/>
          <w:sz w:val="32"/>
          <w:szCs w:val="32"/>
          <w:vertAlign w:val="baseline"/>
        </w:rPr>
        <w:footnoteRef/>
      </w:r>
      <w:r>
        <w:rPr>
          <w:rFonts w:ascii="Traditional Arabic" w:hAnsi="Traditional Arabic"/>
          <w:sz w:val="32"/>
          <w:szCs w:val="32"/>
          <w:rtl/>
        </w:rPr>
        <w:t>)</w:t>
      </w:r>
      <w:r w:rsidRPr="006E368E">
        <w:rPr>
          <w:rFonts w:ascii="Traditional Arabic" w:hAnsi="Traditional Arabic"/>
          <w:sz w:val="32"/>
          <w:szCs w:val="32"/>
          <w:rtl/>
        </w:rPr>
        <w:t xml:space="preserve"> انظر: غريب القرآن (ص259).</w:t>
      </w:r>
    </w:p>
  </w:footnote>
  <w:footnote w:id="365">
    <w:p w:rsidR="003F128F" w:rsidRPr="008D1661" w:rsidRDefault="003F128F" w:rsidP="00F93FE7">
      <w:pPr>
        <w:widowControl/>
        <w:autoSpaceDE w:val="0"/>
        <w:autoSpaceDN w:val="0"/>
        <w:adjustRightInd w:val="0"/>
        <w:ind w:firstLine="0"/>
        <w:rPr>
          <w:rFonts w:ascii="Traditional Arabic" w:hAnsi="Traditional Arabic"/>
          <w:color w:val="auto"/>
          <w:sz w:val="32"/>
          <w:szCs w:val="32"/>
        </w:rPr>
      </w:pPr>
      <w:r w:rsidRPr="006E368E">
        <w:rPr>
          <w:rFonts w:ascii="Traditional Arabic" w:hAnsi="Traditional Arabic"/>
          <w:sz w:val="32"/>
          <w:szCs w:val="32"/>
          <w:rtl/>
        </w:rPr>
        <w:t>(</w:t>
      </w:r>
      <w:r w:rsidRPr="006E368E">
        <w:rPr>
          <w:rStyle w:val="ae"/>
          <w:rFonts w:ascii="Traditional Arabic" w:hAnsi="Traditional Arabic"/>
          <w:sz w:val="32"/>
          <w:szCs w:val="32"/>
          <w:vertAlign w:val="baseline"/>
        </w:rPr>
        <w:footnoteRef/>
      </w:r>
      <w:r w:rsidRPr="006E368E">
        <w:rPr>
          <w:rFonts w:ascii="Traditional Arabic" w:hAnsi="Traditional Arabic"/>
          <w:sz w:val="32"/>
          <w:szCs w:val="32"/>
          <w:rtl/>
        </w:rPr>
        <w:t xml:space="preserve">) هو صاحب رسول الله </w:t>
      </w:r>
      <w:r w:rsidRPr="006E368E">
        <w:rPr>
          <w:rFonts w:ascii="Traditional Arabic" w:hAnsi="Traditional Arabic"/>
          <w:sz w:val="32"/>
          <w:szCs w:val="32"/>
        </w:rPr>
        <w:sym w:font="AGA Arabesque" w:char="F072"/>
      </w:r>
      <w:r w:rsidRPr="006E368E">
        <w:rPr>
          <w:rFonts w:ascii="Traditional Arabic" w:hAnsi="Traditional Arabic"/>
          <w:sz w:val="32"/>
          <w:szCs w:val="32"/>
          <w:rtl/>
        </w:rPr>
        <w:t xml:space="preserve"> وابن صاحبه أبو محمد </w:t>
      </w:r>
      <w:r w:rsidRPr="006E368E">
        <w:rPr>
          <w:rFonts w:ascii="Traditional Arabic" w:hAnsi="Traditional Arabic"/>
          <w:color w:val="auto"/>
          <w:sz w:val="32"/>
          <w:szCs w:val="32"/>
          <w:rtl/>
          <w:lang w:eastAsia="en-US"/>
        </w:rPr>
        <w:t xml:space="preserve">عبد اللَّه بن عمرو بن العاص بن وائل السهمي, </w:t>
      </w:r>
      <w:r w:rsidRPr="006E368E">
        <w:rPr>
          <w:rFonts w:ascii="Traditional Arabic" w:hAnsi="Traditional Arabic"/>
          <w:sz w:val="32"/>
          <w:szCs w:val="32"/>
          <w:rtl/>
          <w:lang w:eastAsia="en-US"/>
        </w:rPr>
        <w:t>الإمام، الحبر، العابد، له مناقب وفضائل ومقام راسخ في العلم والعمل</w:t>
      </w:r>
      <w:r w:rsidRPr="006E368E">
        <w:rPr>
          <w:rFonts w:ascii="Traditional Arabic" w:hAnsi="Traditional Arabic"/>
          <w:color w:val="auto"/>
          <w:sz w:val="32"/>
          <w:szCs w:val="32"/>
          <w:rtl/>
        </w:rPr>
        <w:t>, (ت65ه). ان</w:t>
      </w:r>
      <w:r>
        <w:rPr>
          <w:rFonts w:ascii="Traditional Arabic" w:hAnsi="Traditional Arabic"/>
          <w:color w:val="auto"/>
          <w:sz w:val="32"/>
          <w:szCs w:val="32"/>
          <w:rtl/>
        </w:rPr>
        <w:t xml:space="preserve">ظر:  الطبقات لابن سعد (4/197), </w:t>
      </w:r>
      <w:r>
        <w:rPr>
          <w:rFonts w:ascii="Traditional Arabic" w:hAnsi="Traditional Arabic" w:hint="cs"/>
          <w:color w:val="auto"/>
          <w:sz w:val="32"/>
          <w:szCs w:val="32"/>
          <w:rtl/>
        </w:rPr>
        <w:t>أ</w:t>
      </w:r>
      <w:r w:rsidRPr="006E368E">
        <w:rPr>
          <w:rFonts w:ascii="Traditional Arabic" w:hAnsi="Traditional Arabic"/>
          <w:color w:val="auto"/>
          <w:sz w:val="32"/>
          <w:szCs w:val="32"/>
          <w:rtl/>
        </w:rPr>
        <w:t>سد الغابة (3/345), سير أعلام النبلاء (3/79).</w:t>
      </w:r>
    </w:p>
  </w:footnote>
  <w:footnote w:id="366">
    <w:p w:rsidR="003F128F" w:rsidRPr="008D1661" w:rsidRDefault="003F128F" w:rsidP="00F45BDA">
      <w:pPr>
        <w:pStyle w:val="af3"/>
        <w:rPr>
          <w:rFonts w:ascii="Traditional Arabic" w:hAnsi="Traditional Arabic"/>
          <w:b/>
          <w:bCs/>
          <w:sz w:val="32"/>
          <w:szCs w:val="32"/>
        </w:rPr>
      </w:pPr>
      <w:r w:rsidRPr="008D1661">
        <w:rPr>
          <w:rFonts w:ascii="Traditional Arabic" w:hAnsi="Traditional Arabic"/>
          <w:sz w:val="32"/>
          <w:szCs w:val="32"/>
          <w:rtl/>
        </w:rPr>
        <w:t>(</w:t>
      </w:r>
      <w:r w:rsidRPr="008D1661">
        <w:rPr>
          <w:rStyle w:val="ae"/>
          <w:rFonts w:ascii="Traditional Arabic" w:hAnsi="Traditional Arabic"/>
          <w:sz w:val="32"/>
          <w:szCs w:val="32"/>
          <w:vertAlign w:val="baseline"/>
        </w:rPr>
        <w:footnoteRef/>
      </w:r>
      <w:r w:rsidRPr="008D1661">
        <w:rPr>
          <w:rFonts w:ascii="Traditional Arabic" w:hAnsi="Traditional Arabic"/>
          <w:sz w:val="32"/>
          <w:szCs w:val="32"/>
          <w:rtl/>
        </w:rPr>
        <w:t>) قال ابن الجوزي رحمه الله</w:t>
      </w:r>
      <w:r>
        <w:rPr>
          <w:rFonts w:ascii="Traditional Arabic" w:hAnsi="Traditional Arabic"/>
          <w:sz w:val="32"/>
          <w:szCs w:val="32"/>
          <w:rtl/>
        </w:rPr>
        <w:t xml:space="preserve">: </w:t>
      </w:r>
      <w:r w:rsidRPr="008D1661">
        <w:rPr>
          <w:rFonts w:ascii="Traditional Arabic" w:hAnsi="Traditional Arabic"/>
          <w:sz w:val="32"/>
          <w:szCs w:val="32"/>
          <w:rtl/>
        </w:rPr>
        <w:t>في الريح الصرصر أربعة أقوال</w:t>
      </w:r>
      <w:r>
        <w:rPr>
          <w:rFonts w:ascii="Traditional Arabic" w:hAnsi="Traditional Arabic" w:hint="cs"/>
          <w:sz w:val="32"/>
          <w:szCs w:val="32"/>
          <w:rtl/>
        </w:rPr>
        <w:t>:</w:t>
      </w:r>
      <w:r w:rsidRPr="008D1661">
        <w:rPr>
          <w:rFonts w:ascii="Traditional Arabic" w:hAnsi="Traditional Arabic"/>
          <w:sz w:val="32"/>
          <w:szCs w:val="32"/>
          <w:rtl/>
        </w:rPr>
        <w:t xml:space="preserve"> أحدها</w:t>
      </w:r>
      <w:r>
        <w:rPr>
          <w:rFonts w:ascii="Traditional Arabic" w:hAnsi="Traditional Arabic" w:hint="cs"/>
          <w:sz w:val="32"/>
          <w:szCs w:val="32"/>
          <w:rtl/>
        </w:rPr>
        <w:t>:</w:t>
      </w:r>
      <w:r w:rsidRPr="008D1661">
        <w:rPr>
          <w:rFonts w:ascii="Traditional Arabic" w:hAnsi="Traditional Arabic"/>
          <w:sz w:val="32"/>
          <w:szCs w:val="32"/>
          <w:rtl/>
        </w:rPr>
        <w:t xml:space="preserve"> أنها الباردة</w:t>
      </w:r>
      <w:r>
        <w:rPr>
          <w:rFonts w:ascii="Traditional Arabic" w:hAnsi="Traditional Arabic" w:hint="cs"/>
          <w:sz w:val="32"/>
          <w:szCs w:val="32"/>
          <w:rtl/>
        </w:rPr>
        <w:t>,</w:t>
      </w:r>
      <w:r w:rsidRPr="008D1661">
        <w:rPr>
          <w:rFonts w:ascii="Traditional Arabic" w:hAnsi="Traditional Arabic"/>
          <w:sz w:val="32"/>
          <w:szCs w:val="32"/>
          <w:rtl/>
        </w:rPr>
        <w:t xml:space="preserve"> قاله ابن عباس وقتادة والضحاك</w:t>
      </w:r>
      <w:r>
        <w:rPr>
          <w:rFonts w:ascii="Traditional Arabic" w:hAnsi="Traditional Arabic" w:hint="cs"/>
          <w:sz w:val="32"/>
          <w:szCs w:val="32"/>
          <w:rtl/>
        </w:rPr>
        <w:t>,</w:t>
      </w:r>
      <w:r w:rsidRPr="008D1661">
        <w:rPr>
          <w:rFonts w:ascii="Traditional Arabic" w:hAnsi="Traditional Arabic"/>
          <w:sz w:val="32"/>
          <w:szCs w:val="32"/>
          <w:rtl/>
        </w:rPr>
        <w:t xml:space="preserve"> وقال الفراء</w:t>
      </w:r>
      <w:r>
        <w:rPr>
          <w:rFonts w:ascii="Traditional Arabic" w:hAnsi="Traditional Arabic" w:hint="cs"/>
          <w:sz w:val="32"/>
          <w:szCs w:val="32"/>
          <w:rtl/>
        </w:rPr>
        <w:t>:</w:t>
      </w:r>
      <w:r w:rsidRPr="008D1661">
        <w:rPr>
          <w:rFonts w:ascii="Traditional Arabic" w:hAnsi="Traditional Arabic"/>
          <w:sz w:val="32"/>
          <w:szCs w:val="32"/>
          <w:rtl/>
        </w:rPr>
        <w:t xml:space="preserve"> هي الريح الباردة تحرق كالنار</w:t>
      </w:r>
      <w:r>
        <w:rPr>
          <w:rFonts w:ascii="Traditional Arabic" w:hAnsi="Traditional Arabic" w:hint="cs"/>
          <w:sz w:val="32"/>
          <w:szCs w:val="32"/>
          <w:rtl/>
        </w:rPr>
        <w:t>,</w:t>
      </w:r>
      <w:r w:rsidRPr="008D1661">
        <w:rPr>
          <w:rFonts w:ascii="Traditional Arabic" w:hAnsi="Traditional Arabic"/>
          <w:sz w:val="32"/>
          <w:szCs w:val="32"/>
          <w:rtl/>
        </w:rPr>
        <w:t xml:space="preserve"> وكذلك قال الزجاج: هي الشديدة البرد جدا</w:t>
      </w:r>
      <w:r>
        <w:rPr>
          <w:rFonts w:ascii="Traditional Arabic" w:hAnsi="Traditional Arabic" w:hint="cs"/>
          <w:sz w:val="32"/>
          <w:szCs w:val="32"/>
          <w:rtl/>
        </w:rPr>
        <w:t>ً,</w:t>
      </w:r>
      <w:r w:rsidRPr="008D1661">
        <w:rPr>
          <w:rFonts w:ascii="Traditional Arabic" w:hAnsi="Traditional Arabic"/>
          <w:sz w:val="32"/>
          <w:szCs w:val="32"/>
          <w:rtl/>
        </w:rPr>
        <w:t xml:space="preserve"> فالصرصر متكرر فيها البرد</w:t>
      </w:r>
      <w:r>
        <w:rPr>
          <w:rFonts w:ascii="Traditional Arabic" w:hAnsi="Traditional Arabic" w:hint="cs"/>
          <w:sz w:val="32"/>
          <w:szCs w:val="32"/>
          <w:rtl/>
        </w:rPr>
        <w:t>,</w:t>
      </w:r>
      <w:r w:rsidRPr="008D1661">
        <w:rPr>
          <w:rFonts w:ascii="Traditional Arabic" w:hAnsi="Traditional Arabic"/>
          <w:sz w:val="32"/>
          <w:szCs w:val="32"/>
          <w:rtl/>
        </w:rPr>
        <w:t xml:space="preserve"> كما تقول</w:t>
      </w:r>
      <w:r>
        <w:rPr>
          <w:rFonts w:ascii="Traditional Arabic" w:hAnsi="Traditional Arabic" w:hint="cs"/>
          <w:sz w:val="32"/>
          <w:szCs w:val="32"/>
          <w:rtl/>
        </w:rPr>
        <w:t>:</w:t>
      </w:r>
      <w:r w:rsidRPr="008D1661">
        <w:rPr>
          <w:rFonts w:ascii="Traditional Arabic" w:hAnsi="Traditional Arabic"/>
          <w:sz w:val="32"/>
          <w:szCs w:val="32"/>
          <w:rtl/>
        </w:rPr>
        <w:t xml:space="preserve"> أقللت الشيء وقلقلته</w:t>
      </w:r>
      <w:r>
        <w:rPr>
          <w:rFonts w:ascii="Traditional Arabic" w:hAnsi="Traditional Arabic" w:hint="cs"/>
          <w:sz w:val="32"/>
          <w:szCs w:val="32"/>
          <w:rtl/>
        </w:rPr>
        <w:t>,</w:t>
      </w:r>
      <w:r w:rsidRPr="008D1661">
        <w:rPr>
          <w:rFonts w:ascii="Traditional Arabic" w:hAnsi="Traditional Arabic"/>
          <w:sz w:val="32"/>
          <w:szCs w:val="32"/>
          <w:rtl/>
        </w:rPr>
        <w:t xml:space="preserve"> فأقللته بمعنى رفعته</w:t>
      </w:r>
      <w:r>
        <w:rPr>
          <w:rFonts w:ascii="Traditional Arabic" w:hAnsi="Traditional Arabic" w:hint="cs"/>
          <w:sz w:val="32"/>
          <w:szCs w:val="32"/>
          <w:rtl/>
        </w:rPr>
        <w:t>,</w:t>
      </w:r>
      <w:r w:rsidRPr="008D1661">
        <w:rPr>
          <w:rFonts w:ascii="Traditional Arabic" w:hAnsi="Traditional Arabic"/>
          <w:sz w:val="32"/>
          <w:szCs w:val="32"/>
          <w:rtl/>
        </w:rPr>
        <w:t xml:space="preserve"> وقلقلته كررت رفعه</w:t>
      </w:r>
      <w:r>
        <w:rPr>
          <w:rFonts w:ascii="Traditional Arabic" w:hAnsi="Traditional Arabic" w:hint="cs"/>
          <w:sz w:val="32"/>
          <w:szCs w:val="32"/>
          <w:rtl/>
        </w:rPr>
        <w:t>.</w:t>
      </w:r>
      <w:r w:rsidRPr="008D1661">
        <w:rPr>
          <w:rFonts w:ascii="Traditional Arabic" w:hAnsi="Traditional Arabic"/>
          <w:sz w:val="32"/>
          <w:szCs w:val="32"/>
          <w:rtl/>
        </w:rPr>
        <w:t xml:space="preserve"> والثاني: أنها الشديدة السموم</w:t>
      </w:r>
      <w:r>
        <w:rPr>
          <w:rFonts w:ascii="Traditional Arabic" w:hAnsi="Traditional Arabic" w:hint="cs"/>
          <w:sz w:val="32"/>
          <w:szCs w:val="32"/>
          <w:rtl/>
        </w:rPr>
        <w:t>,</w:t>
      </w:r>
      <w:r w:rsidRPr="008D1661">
        <w:rPr>
          <w:rFonts w:ascii="Traditional Arabic" w:hAnsi="Traditional Arabic"/>
          <w:sz w:val="32"/>
          <w:szCs w:val="32"/>
          <w:rtl/>
        </w:rPr>
        <w:t xml:space="preserve"> قاله مجاهد, والثالث: الشديدة الصوت</w:t>
      </w:r>
      <w:r>
        <w:rPr>
          <w:rFonts w:ascii="Traditional Arabic" w:hAnsi="Traditional Arabic" w:hint="cs"/>
          <w:sz w:val="32"/>
          <w:szCs w:val="32"/>
          <w:rtl/>
        </w:rPr>
        <w:t>,</w:t>
      </w:r>
      <w:r w:rsidRPr="008D1661">
        <w:rPr>
          <w:rFonts w:ascii="Traditional Arabic" w:hAnsi="Traditional Arabic"/>
          <w:sz w:val="32"/>
          <w:szCs w:val="32"/>
          <w:rtl/>
        </w:rPr>
        <w:t xml:space="preserve"> قاله السدي وأبو عبيدة وابن قتيبة, والرابع: الباردة الشديدة</w:t>
      </w:r>
      <w:r>
        <w:rPr>
          <w:rFonts w:ascii="Traditional Arabic" w:hAnsi="Traditional Arabic" w:hint="cs"/>
          <w:sz w:val="32"/>
          <w:szCs w:val="32"/>
          <w:rtl/>
        </w:rPr>
        <w:t>,</w:t>
      </w:r>
      <w:r w:rsidRPr="008D1661">
        <w:rPr>
          <w:rFonts w:ascii="Traditional Arabic" w:hAnsi="Traditional Arabic"/>
          <w:sz w:val="32"/>
          <w:szCs w:val="32"/>
          <w:rtl/>
        </w:rPr>
        <w:t xml:space="preserve"> قاله مقاتل. انظر: زاد المسير (7/247-248).</w:t>
      </w:r>
    </w:p>
  </w:footnote>
  <w:footnote w:id="367">
    <w:p w:rsidR="003F128F" w:rsidRPr="00F45BDA" w:rsidRDefault="003F128F" w:rsidP="00F45BDA">
      <w:pPr>
        <w:pStyle w:val="af3"/>
        <w:rPr>
          <w:rFonts w:ascii="Traditional Arabic" w:hAnsi="Traditional Arabic"/>
          <w:sz w:val="32"/>
          <w:szCs w:val="32"/>
        </w:rPr>
      </w:pPr>
      <w:r w:rsidRPr="008D1661">
        <w:rPr>
          <w:rFonts w:ascii="Traditional Arabic" w:hAnsi="Traditional Arabic"/>
          <w:sz w:val="32"/>
          <w:szCs w:val="32"/>
          <w:rtl/>
        </w:rPr>
        <w:t>(</w:t>
      </w:r>
      <w:r w:rsidRPr="008D1661">
        <w:rPr>
          <w:rStyle w:val="ae"/>
          <w:rFonts w:ascii="Traditional Arabic" w:hAnsi="Traditional Arabic"/>
          <w:sz w:val="32"/>
          <w:szCs w:val="32"/>
          <w:vertAlign w:val="baseline"/>
        </w:rPr>
        <w:footnoteRef/>
      </w:r>
      <w:r>
        <w:rPr>
          <w:rFonts w:ascii="Traditional Arabic" w:hAnsi="Traditional Arabic"/>
          <w:sz w:val="32"/>
          <w:szCs w:val="32"/>
          <w:rtl/>
        </w:rPr>
        <w:t>)</w:t>
      </w:r>
      <w:r w:rsidRPr="008D1661">
        <w:rPr>
          <w:rFonts w:ascii="Traditional Arabic" w:hAnsi="Traditional Arabic"/>
          <w:sz w:val="32"/>
          <w:szCs w:val="32"/>
          <w:rtl/>
        </w:rPr>
        <w:t xml:space="preserve"> قال ابن الجوزي رحمه الله: الريح العقيم :</w:t>
      </w:r>
      <w:r w:rsidRPr="008D1661">
        <w:rPr>
          <w:rFonts w:ascii="Traditional Arabic" w:hAnsi="Traditional Arabic"/>
          <w:sz w:val="32"/>
          <w:szCs w:val="32"/>
          <w:rtl/>
          <w:lang w:eastAsia="en-US"/>
        </w:rPr>
        <w:t xml:space="preserve"> </w:t>
      </w:r>
      <w:r w:rsidRPr="008D1661">
        <w:rPr>
          <w:rFonts w:ascii="Traditional Arabic" w:hAnsi="Traditional Arabic"/>
          <w:sz w:val="32"/>
          <w:szCs w:val="32"/>
          <w:rtl/>
        </w:rPr>
        <w:t>وهي التي لا خير فيها ولا بركة</w:t>
      </w:r>
      <w:r>
        <w:rPr>
          <w:rFonts w:ascii="Traditional Arabic" w:hAnsi="Traditional Arabic" w:hint="cs"/>
          <w:sz w:val="32"/>
          <w:szCs w:val="32"/>
          <w:rtl/>
        </w:rPr>
        <w:t>,</w:t>
      </w:r>
      <w:r w:rsidRPr="008D1661">
        <w:rPr>
          <w:rFonts w:ascii="Traditional Arabic" w:hAnsi="Traditional Arabic"/>
          <w:sz w:val="32"/>
          <w:szCs w:val="32"/>
          <w:rtl/>
        </w:rPr>
        <w:t xml:space="preserve"> لا تلقح شجرا</w:t>
      </w:r>
      <w:r>
        <w:rPr>
          <w:rFonts w:ascii="Traditional Arabic" w:hAnsi="Traditional Arabic" w:hint="cs"/>
          <w:sz w:val="32"/>
          <w:szCs w:val="32"/>
          <w:rtl/>
        </w:rPr>
        <w:t>ً,</w:t>
      </w:r>
      <w:r>
        <w:rPr>
          <w:rFonts w:ascii="Traditional Arabic" w:hAnsi="Traditional Arabic"/>
          <w:sz w:val="32"/>
          <w:szCs w:val="32"/>
          <w:rtl/>
        </w:rPr>
        <w:t xml:space="preserve"> ولا تحمل مطر</w:t>
      </w:r>
      <w:r>
        <w:rPr>
          <w:rFonts w:ascii="Traditional Arabic" w:hAnsi="Traditional Arabic" w:hint="cs"/>
          <w:sz w:val="32"/>
          <w:szCs w:val="32"/>
          <w:rtl/>
        </w:rPr>
        <w:t>اً,</w:t>
      </w:r>
      <w:r w:rsidRPr="008D1661">
        <w:rPr>
          <w:rFonts w:ascii="Traditional Arabic" w:hAnsi="Traditional Arabic"/>
          <w:sz w:val="32"/>
          <w:szCs w:val="32"/>
          <w:rtl/>
        </w:rPr>
        <w:t xml:space="preserve"> وإنما هي للإهلاك. انظر زاد المسير (8/39).</w:t>
      </w:r>
    </w:p>
  </w:footnote>
  <w:footnote w:id="368">
    <w:p w:rsidR="003F128F" w:rsidRPr="00E874FD" w:rsidRDefault="003F128F" w:rsidP="007A1915">
      <w:pPr>
        <w:pStyle w:val="af3"/>
        <w:rPr>
          <w:rFonts w:ascii="Traditional Arabic" w:hAnsi="Traditional Arabic"/>
          <w:sz w:val="32"/>
          <w:szCs w:val="32"/>
        </w:rPr>
      </w:pPr>
      <w:r w:rsidRPr="00A7222D">
        <w:rPr>
          <w:rFonts w:ascii="Traditional Arabic" w:hAnsi="Traditional Arabic"/>
          <w:sz w:val="32"/>
          <w:szCs w:val="32"/>
          <w:rtl/>
        </w:rPr>
        <w:t>(</w:t>
      </w:r>
      <w:r w:rsidRPr="00A7222D">
        <w:rPr>
          <w:rStyle w:val="ae"/>
          <w:rFonts w:ascii="Traditional Arabic" w:hAnsi="Traditional Arabic"/>
          <w:sz w:val="32"/>
          <w:szCs w:val="32"/>
          <w:vertAlign w:val="baseline"/>
        </w:rPr>
        <w:footnoteRef/>
      </w:r>
      <w:r>
        <w:rPr>
          <w:rFonts w:ascii="Traditional Arabic" w:hAnsi="Traditional Arabic"/>
          <w:sz w:val="32"/>
          <w:szCs w:val="32"/>
          <w:rtl/>
        </w:rPr>
        <w:t>) أخرجه ابن أبي الدنيا</w:t>
      </w:r>
      <w:r w:rsidRPr="00A7222D">
        <w:rPr>
          <w:rFonts w:ascii="Traditional Arabic" w:hAnsi="Traditional Arabic"/>
          <w:sz w:val="32"/>
          <w:szCs w:val="32"/>
          <w:rtl/>
        </w:rPr>
        <w:t xml:space="preserve"> </w:t>
      </w:r>
      <w:r>
        <w:rPr>
          <w:rFonts w:ascii="Traditional Arabic" w:hAnsi="Traditional Arabic" w:hint="cs"/>
          <w:sz w:val="32"/>
          <w:szCs w:val="32"/>
          <w:rtl/>
        </w:rPr>
        <w:t>(</w:t>
      </w:r>
      <w:r>
        <w:rPr>
          <w:rFonts w:ascii="Traditional Arabic" w:hAnsi="Traditional Arabic"/>
          <w:sz w:val="32"/>
          <w:szCs w:val="32"/>
          <w:rtl/>
        </w:rPr>
        <w:t>كتاب المطر والرعد والبرق والريح, باب في الريح</w:t>
      </w:r>
      <w:r w:rsidRPr="00A7222D">
        <w:rPr>
          <w:rFonts w:ascii="Traditional Arabic" w:hAnsi="Traditional Arabic"/>
          <w:sz w:val="32"/>
          <w:szCs w:val="32"/>
          <w:rtl/>
        </w:rPr>
        <w:t>, ص/163</w:t>
      </w:r>
      <w:r>
        <w:rPr>
          <w:rFonts w:ascii="Traditional Arabic" w:hAnsi="Traditional Arabic" w:hint="cs"/>
          <w:sz w:val="32"/>
          <w:szCs w:val="32"/>
          <w:rtl/>
        </w:rPr>
        <w:t xml:space="preserve"> ح</w:t>
      </w:r>
      <w:r w:rsidRPr="00A7222D">
        <w:rPr>
          <w:rFonts w:ascii="Traditional Arabic" w:hAnsi="Traditional Arabic"/>
          <w:sz w:val="32"/>
          <w:szCs w:val="32"/>
          <w:rtl/>
        </w:rPr>
        <w:t>174) ,</w:t>
      </w:r>
      <w:r w:rsidRPr="00A7222D">
        <w:rPr>
          <w:rFonts w:ascii="Traditional Arabic" w:hAnsi="Traditional Arabic" w:hint="cs"/>
          <w:sz w:val="32"/>
          <w:szCs w:val="32"/>
          <w:rtl/>
        </w:rPr>
        <w:t xml:space="preserve"> </w:t>
      </w:r>
      <w:r>
        <w:rPr>
          <w:rFonts w:ascii="Traditional Arabic" w:hAnsi="Traditional Arabic" w:hint="cs"/>
          <w:sz w:val="32"/>
          <w:szCs w:val="32"/>
          <w:rtl/>
        </w:rPr>
        <w:t>وأبو الشيخ الأصبهاني (كتاب العظمة, باب ذكر الرياح</w:t>
      </w:r>
      <w:r w:rsidRPr="00A7222D">
        <w:rPr>
          <w:rFonts w:ascii="Traditional Arabic" w:hAnsi="Traditional Arabic" w:hint="cs"/>
          <w:sz w:val="32"/>
          <w:szCs w:val="32"/>
          <w:rtl/>
        </w:rPr>
        <w:t xml:space="preserve">, </w:t>
      </w:r>
      <w:r>
        <w:rPr>
          <w:rFonts w:ascii="Traditional Arabic" w:hAnsi="Traditional Arabic" w:hint="cs"/>
          <w:sz w:val="32"/>
          <w:szCs w:val="32"/>
          <w:rtl/>
        </w:rPr>
        <w:t>4/1305 ح1329)</w:t>
      </w:r>
      <w:r w:rsidRPr="00A7222D">
        <w:rPr>
          <w:rFonts w:ascii="Traditional Arabic" w:hAnsi="Traditional Arabic" w:hint="cs"/>
          <w:sz w:val="32"/>
          <w:szCs w:val="32"/>
          <w:rtl/>
        </w:rPr>
        <w:t>,</w:t>
      </w:r>
      <w:r>
        <w:rPr>
          <w:rFonts w:ascii="Tahoma" w:hAnsi="Tahoma" w:hint="cs"/>
          <w:sz w:val="32"/>
          <w:szCs w:val="32"/>
          <w:rtl/>
        </w:rPr>
        <w:t xml:space="preserve"> وقد عزاه</w:t>
      </w:r>
      <w:r w:rsidRPr="00A7222D">
        <w:rPr>
          <w:rFonts w:ascii="Tahoma" w:hAnsi="Tahoma" w:hint="cs"/>
          <w:sz w:val="32"/>
          <w:szCs w:val="32"/>
          <w:rtl/>
        </w:rPr>
        <w:t xml:space="preserve"> </w:t>
      </w:r>
      <w:r>
        <w:rPr>
          <w:rFonts w:ascii="Tahoma" w:hAnsi="Tahoma" w:hint="cs"/>
          <w:sz w:val="32"/>
          <w:szCs w:val="32"/>
          <w:rtl/>
        </w:rPr>
        <w:t>الإمام</w:t>
      </w:r>
      <w:r w:rsidRPr="00A7222D">
        <w:rPr>
          <w:rFonts w:ascii="Tahoma" w:hAnsi="Tahoma" w:hint="cs"/>
          <w:sz w:val="32"/>
          <w:szCs w:val="32"/>
          <w:rtl/>
        </w:rPr>
        <w:t xml:space="preserve"> السيوطي في الدر المنثور</w:t>
      </w:r>
      <w:r>
        <w:rPr>
          <w:rFonts w:ascii="Tahoma" w:hAnsi="Tahoma" w:hint="cs"/>
          <w:sz w:val="32"/>
          <w:szCs w:val="32"/>
          <w:rtl/>
        </w:rPr>
        <w:t xml:space="preserve"> لأبي عبيد وابن المنذر وابن أبي حاتم, انظر: الدر المنثور (1/397)</w:t>
      </w:r>
      <w:r w:rsidRPr="00A7222D">
        <w:rPr>
          <w:rFonts w:ascii="Tahoma" w:hAnsi="Tahoma" w:hint="cs"/>
          <w:sz w:val="32"/>
          <w:szCs w:val="32"/>
          <w:rtl/>
        </w:rPr>
        <w:t xml:space="preserve">, وهو موقوف على </w:t>
      </w:r>
      <w:r>
        <w:rPr>
          <w:rFonts w:ascii="Tahoma" w:hAnsi="Tahoma" w:hint="cs"/>
          <w:sz w:val="32"/>
          <w:szCs w:val="32"/>
          <w:rtl/>
        </w:rPr>
        <w:t>عبد الله بن عمرو رضي الله عنهما</w:t>
      </w:r>
      <w:r w:rsidRPr="00A7222D">
        <w:rPr>
          <w:rFonts w:ascii="Tahoma" w:hAnsi="Tahoma" w:hint="cs"/>
          <w:sz w:val="32"/>
          <w:szCs w:val="32"/>
          <w:rtl/>
        </w:rPr>
        <w:t>,</w:t>
      </w:r>
      <w:r>
        <w:rPr>
          <w:rFonts w:ascii="Tahoma" w:hAnsi="Tahoma" w:hint="cs"/>
          <w:sz w:val="32"/>
          <w:szCs w:val="32"/>
          <w:rtl/>
        </w:rPr>
        <w:t xml:space="preserve"> </w:t>
      </w:r>
      <w:r w:rsidRPr="00A7222D">
        <w:rPr>
          <w:rFonts w:ascii="Tahoma" w:hAnsi="Tahoma" w:hint="cs"/>
          <w:sz w:val="32"/>
          <w:szCs w:val="32"/>
          <w:rtl/>
        </w:rPr>
        <w:t>وجاء أيضا ع</w:t>
      </w:r>
      <w:r>
        <w:rPr>
          <w:rFonts w:ascii="Tahoma" w:hAnsi="Tahoma" w:hint="cs"/>
          <w:sz w:val="32"/>
          <w:szCs w:val="32"/>
          <w:rtl/>
        </w:rPr>
        <w:t>ن ابن عباس رضي الله عنهما بنحوه</w:t>
      </w:r>
      <w:r w:rsidRPr="00A7222D">
        <w:rPr>
          <w:rFonts w:ascii="Tahoma" w:hAnsi="Tahoma" w:hint="cs"/>
          <w:sz w:val="32"/>
          <w:szCs w:val="32"/>
          <w:rtl/>
        </w:rPr>
        <w:t xml:space="preserve">, </w:t>
      </w:r>
      <w:r w:rsidRPr="00E874FD">
        <w:rPr>
          <w:rFonts w:ascii="Traditional Arabic" w:hAnsi="Traditional Arabic"/>
          <w:sz w:val="32"/>
          <w:szCs w:val="32"/>
          <w:rtl/>
        </w:rPr>
        <w:t>أخرجه ابن أبي الدنيا ( كتاب المطر والرعد والبرق والريح, باب في الريح, ص/162 ح172), وأبو الشيخ الأصبهاني (كتاب العظمة, باب ذكر الرياح, 4/1334).</w:t>
      </w:r>
    </w:p>
  </w:footnote>
  <w:footnote w:id="369">
    <w:p w:rsidR="003F128F" w:rsidRPr="00E874FD" w:rsidRDefault="003F128F" w:rsidP="00C36615">
      <w:pPr>
        <w:pStyle w:val="af3"/>
        <w:rPr>
          <w:rFonts w:ascii="Traditional Arabic" w:hAnsi="Traditional Arabic"/>
          <w:sz w:val="32"/>
          <w:szCs w:val="32"/>
        </w:rPr>
      </w:pPr>
      <w:r w:rsidRPr="00E874FD">
        <w:rPr>
          <w:rFonts w:ascii="Traditional Arabic" w:hAnsi="Traditional Arabic"/>
          <w:sz w:val="32"/>
          <w:szCs w:val="32"/>
          <w:rtl/>
        </w:rPr>
        <w:t>(</w:t>
      </w:r>
      <w:r w:rsidRPr="00E874FD">
        <w:rPr>
          <w:rStyle w:val="ae"/>
          <w:rFonts w:ascii="Traditional Arabic" w:hAnsi="Traditional Arabic"/>
          <w:sz w:val="32"/>
          <w:szCs w:val="32"/>
          <w:vertAlign w:val="baseline"/>
        </w:rPr>
        <w:footnoteRef/>
      </w:r>
      <w:r w:rsidRPr="00E874FD">
        <w:rPr>
          <w:rFonts w:ascii="Traditional Arabic" w:hAnsi="Traditional Arabic"/>
          <w:sz w:val="32"/>
          <w:szCs w:val="32"/>
          <w:rtl/>
        </w:rPr>
        <w:t>) انظر: مجاز القرآن لأبي عبيدة (1/386).</w:t>
      </w:r>
    </w:p>
  </w:footnote>
  <w:footnote w:id="370">
    <w:p w:rsidR="003F128F" w:rsidRPr="00E874FD" w:rsidRDefault="003F128F" w:rsidP="00E874FD">
      <w:pPr>
        <w:pStyle w:val="af3"/>
        <w:rPr>
          <w:rFonts w:ascii="Traditional Arabic" w:hAnsi="Traditional Arabic"/>
          <w:sz w:val="32"/>
          <w:szCs w:val="32"/>
        </w:rPr>
      </w:pPr>
      <w:r w:rsidRPr="00E874FD">
        <w:rPr>
          <w:rFonts w:ascii="Traditional Arabic" w:hAnsi="Traditional Arabic"/>
          <w:sz w:val="32"/>
          <w:szCs w:val="32"/>
          <w:rtl/>
        </w:rPr>
        <w:t>(</w:t>
      </w:r>
      <w:r w:rsidRPr="00E874FD">
        <w:rPr>
          <w:rStyle w:val="ae"/>
          <w:rFonts w:ascii="Traditional Arabic" w:hAnsi="Traditional Arabic"/>
          <w:sz w:val="32"/>
          <w:szCs w:val="32"/>
          <w:vertAlign w:val="baseline"/>
        </w:rPr>
        <w:footnoteRef/>
      </w:r>
      <w:r>
        <w:rPr>
          <w:rFonts w:ascii="Traditional Arabic" w:hAnsi="Traditional Arabic"/>
          <w:sz w:val="32"/>
          <w:szCs w:val="32"/>
          <w:rtl/>
        </w:rPr>
        <w:t>) في (</w:t>
      </w:r>
      <w:r>
        <w:rPr>
          <w:rFonts w:ascii="Traditional Arabic" w:hAnsi="Traditional Arabic" w:hint="cs"/>
          <w:sz w:val="32"/>
          <w:szCs w:val="32"/>
          <w:rtl/>
        </w:rPr>
        <w:t>ك</w:t>
      </w:r>
      <w:r>
        <w:rPr>
          <w:rFonts w:ascii="Traditional Arabic" w:hAnsi="Traditional Arabic"/>
          <w:sz w:val="32"/>
          <w:szCs w:val="32"/>
          <w:rtl/>
        </w:rPr>
        <w:t xml:space="preserve">): </w:t>
      </w:r>
      <w:r>
        <w:rPr>
          <w:rFonts w:ascii="Traditional Arabic" w:hAnsi="Traditional Arabic" w:hint="cs"/>
          <w:sz w:val="32"/>
          <w:szCs w:val="32"/>
          <w:rtl/>
        </w:rPr>
        <w:t>[</w:t>
      </w:r>
      <w:r>
        <w:rPr>
          <w:rFonts w:ascii="Traditional Arabic" w:hAnsi="Traditional Arabic"/>
          <w:sz w:val="32"/>
          <w:szCs w:val="32"/>
          <w:rtl/>
        </w:rPr>
        <w:t>سائر الخلائق</w:t>
      </w:r>
      <w:r>
        <w:rPr>
          <w:rFonts w:ascii="Traditional Arabic" w:hAnsi="Traditional Arabic" w:hint="cs"/>
          <w:sz w:val="32"/>
          <w:szCs w:val="32"/>
          <w:rtl/>
        </w:rPr>
        <w:t>]</w:t>
      </w:r>
      <w:r w:rsidRPr="00E874FD">
        <w:rPr>
          <w:rFonts w:ascii="Traditional Arabic" w:hAnsi="Traditional Arabic"/>
          <w:sz w:val="32"/>
          <w:szCs w:val="32"/>
          <w:rtl/>
        </w:rPr>
        <w:t>.</w:t>
      </w:r>
    </w:p>
  </w:footnote>
  <w:footnote w:id="371">
    <w:p w:rsidR="003F128F" w:rsidRPr="00E874FD" w:rsidRDefault="003F128F" w:rsidP="00E874FD">
      <w:pPr>
        <w:pStyle w:val="af3"/>
        <w:rPr>
          <w:rFonts w:ascii="Traditional Arabic" w:hAnsi="Traditional Arabic"/>
          <w:sz w:val="32"/>
          <w:szCs w:val="32"/>
        </w:rPr>
      </w:pPr>
      <w:r w:rsidRPr="00E874FD">
        <w:rPr>
          <w:rFonts w:ascii="Traditional Arabic" w:hAnsi="Traditional Arabic"/>
          <w:sz w:val="32"/>
          <w:szCs w:val="32"/>
          <w:rtl/>
        </w:rPr>
        <w:t>(</w:t>
      </w:r>
      <w:r w:rsidRPr="00E874FD">
        <w:rPr>
          <w:rStyle w:val="ae"/>
          <w:rFonts w:ascii="Traditional Arabic" w:hAnsi="Traditional Arabic"/>
          <w:sz w:val="32"/>
          <w:szCs w:val="32"/>
          <w:vertAlign w:val="baseline"/>
        </w:rPr>
        <w:footnoteRef/>
      </w:r>
      <w:r w:rsidRPr="00E874FD">
        <w:rPr>
          <w:rFonts w:ascii="Traditional Arabic" w:hAnsi="Traditional Arabic"/>
          <w:sz w:val="32"/>
          <w:szCs w:val="32"/>
          <w:rtl/>
        </w:rPr>
        <w:t>) ذكره السمرقندي في بحر العلوم (2/321), والبغوي في تفسيره (5/108), وهو قول الكلبي.</w:t>
      </w:r>
    </w:p>
  </w:footnote>
  <w:footnote w:id="372">
    <w:p w:rsidR="003F128F" w:rsidRPr="00E874FD" w:rsidRDefault="003F128F" w:rsidP="00D34C5D">
      <w:pPr>
        <w:widowControl/>
        <w:autoSpaceDE w:val="0"/>
        <w:autoSpaceDN w:val="0"/>
        <w:adjustRightInd w:val="0"/>
        <w:ind w:firstLine="0"/>
        <w:rPr>
          <w:rFonts w:ascii="Traditional Arabic" w:hAnsi="Traditional Arabic"/>
          <w:sz w:val="32"/>
          <w:szCs w:val="32"/>
        </w:rPr>
      </w:pPr>
      <w:r w:rsidRPr="00E874FD">
        <w:rPr>
          <w:rFonts w:ascii="Traditional Arabic" w:hAnsi="Traditional Arabic"/>
          <w:sz w:val="32"/>
          <w:szCs w:val="32"/>
          <w:rtl/>
        </w:rPr>
        <w:t>(</w:t>
      </w:r>
      <w:r w:rsidRPr="00E874FD">
        <w:rPr>
          <w:rStyle w:val="ae"/>
          <w:rFonts w:ascii="Traditional Arabic" w:hAnsi="Traditional Arabic"/>
          <w:sz w:val="32"/>
          <w:szCs w:val="32"/>
          <w:vertAlign w:val="baseline"/>
        </w:rPr>
        <w:footnoteRef/>
      </w:r>
      <w:r w:rsidRPr="00E874FD">
        <w:rPr>
          <w:rFonts w:ascii="Traditional Arabic" w:hAnsi="Traditional Arabic"/>
          <w:sz w:val="32"/>
          <w:szCs w:val="32"/>
          <w:rtl/>
        </w:rPr>
        <w:t xml:space="preserve">) </w:t>
      </w:r>
      <w:r w:rsidRPr="00E874FD">
        <w:rPr>
          <w:rFonts w:ascii="Traditional Arabic" w:hAnsi="Traditional Arabic"/>
          <w:color w:val="auto"/>
          <w:sz w:val="32"/>
          <w:szCs w:val="32"/>
          <w:rtl/>
        </w:rPr>
        <w:t xml:space="preserve">هو التابعي </w:t>
      </w:r>
      <w:r>
        <w:rPr>
          <w:rFonts w:ascii="Traditional Arabic" w:hAnsi="Traditional Arabic"/>
          <w:color w:val="auto"/>
          <w:sz w:val="32"/>
          <w:szCs w:val="32"/>
          <w:rtl/>
        </w:rPr>
        <w:t>الإمام</w:t>
      </w:r>
      <w:r w:rsidRPr="00E874FD">
        <w:rPr>
          <w:rFonts w:ascii="Traditional Arabic" w:hAnsi="Traditional Arabic"/>
          <w:color w:val="auto"/>
          <w:sz w:val="32"/>
          <w:szCs w:val="32"/>
          <w:rtl/>
        </w:rPr>
        <w:t xml:space="preserve"> أبو أيوب </w:t>
      </w:r>
      <w:r w:rsidRPr="00E874FD">
        <w:rPr>
          <w:rFonts w:ascii="Traditional Arabic" w:hAnsi="Traditional Arabic"/>
          <w:color w:val="auto"/>
          <w:sz w:val="32"/>
          <w:szCs w:val="32"/>
          <w:rtl/>
          <w:lang w:eastAsia="en-US"/>
        </w:rPr>
        <w:t xml:space="preserve">ميمون بن مهران الجزري, </w:t>
      </w:r>
      <w:r>
        <w:rPr>
          <w:rFonts w:ascii="Traditional Arabic" w:hAnsi="Traditional Arabic"/>
          <w:color w:val="auto"/>
          <w:sz w:val="32"/>
          <w:szCs w:val="32"/>
          <w:rtl/>
          <w:lang w:eastAsia="en-US"/>
        </w:rPr>
        <w:t>الإمام</w:t>
      </w:r>
      <w:r w:rsidRPr="00E874FD">
        <w:rPr>
          <w:rFonts w:ascii="Traditional Arabic" w:hAnsi="Traditional Arabic"/>
          <w:color w:val="auto"/>
          <w:sz w:val="32"/>
          <w:szCs w:val="32"/>
          <w:rtl/>
          <w:lang w:eastAsia="en-US"/>
        </w:rPr>
        <w:t>، الحجة، عالم الجزيرة ومفتيها، الرقي</w:t>
      </w:r>
      <w:r w:rsidRPr="00E874FD">
        <w:rPr>
          <w:rFonts w:ascii="Traditional Arabic" w:hAnsi="Traditional Arabic"/>
          <w:sz w:val="32"/>
          <w:szCs w:val="32"/>
          <w:rtl/>
        </w:rPr>
        <w:t>,</w:t>
      </w:r>
      <w:r w:rsidRPr="00E874FD">
        <w:rPr>
          <w:rFonts w:ascii="Traditional Arabic" w:hAnsi="Traditional Arabic"/>
          <w:sz w:val="32"/>
          <w:szCs w:val="32"/>
          <w:rtl/>
          <w:lang w:eastAsia="en-US"/>
        </w:rPr>
        <w:t xml:space="preserve"> فقيه من القضاة</w:t>
      </w:r>
      <w:r w:rsidRPr="00E874FD">
        <w:rPr>
          <w:rFonts w:ascii="Traditional Arabic" w:hAnsi="Traditional Arabic"/>
          <w:sz w:val="32"/>
          <w:szCs w:val="32"/>
          <w:rtl/>
        </w:rPr>
        <w:t xml:space="preserve">, (ت117ه). انظر: تهذيب الكمال للمزي (29/210), سير أعلام النبلاء (5/71).  </w:t>
      </w:r>
    </w:p>
  </w:footnote>
  <w:footnote w:id="373">
    <w:p w:rsidR="003F128F" w:rsidRPr="00E874FD" w:rsidRDefault="003F128F" w:rsidP="002B026F">
      <w:pPr>
        <w:pStyle w:val="af3"/>
        <w:rPr>
          <w:rFonts w:ascii="Traditional Arabic" w:hAnsi="Traditional Arabic"/>
          <w:sz w:val="32"/>
          <w:szCs w:val="32"/>
        </w:rPr>
      </w:pPr>
      <w:r w:rsidRPr="00E874FD">
        <w:rPr>
          <w:rFonts w:ascii="Traditional Arabic" w:hAnsi="Traditional Arabic"/>
          <w:sz w:val="32"/>
          <w:szCs w:val="32"/>
          <w:rtl/>
        </w:rPr>
        <w:t>(</w:t>
      </w:r>
      <w:r w:rsidRPr="00E874FD">
        <w:rPr>
          <w:rStyle w:val="ae"/>
          <w:rFonts w:ascii="Traditional Arabic" w:hAnsi="Traditional Arabic"/>
          <w:sz w:val="32"/>
          <w:szCs w:val="32"/>
          <w:vertAlign w:val="baseline"/>
        </w:rPr>
        <w:footnoteRef/>
      </w:r>
      <w:r w:rsidRPr="00E874FD">
        <w:rPr>
          <w:rFonts w:ascii="Traditional Arabic" w:hAnsi="Traditional Arabic"/>
          <w:sz w:val="32"/>
          <w:szCs w:val="32"/>
          <w:rtl/>
        </w:rPr>
        <w:t xml:space="preserve">) </w:t>
      </w:r>
      <w:r>
        <w:rPr>
          <w:rFonts w:ascii="Traditional Arabic" w:hAnsi="Traditional Arabic" w:hint="cs"/>
          <w:sz w:val="32"/>
          <w:szCs w:val="32"/>
          <w:rtl/>
        </w:rPr>
        <w:t xml:space="preserve">ذكره </w:t>
      </w:r>
      <w:r w:rsidRPr="00E874FD">
        <w:rPr>
          <w:rFonts w:ascii="Traditional Arabic" w:hAnsi="Traditional Arabic"/>
          <w:sz w:val="32"/>
          <w:szCs w:val="32"/>
          <w:rtl/>
        </w:rPr>
        <w:t>ابن أبي حاتم</w:t>
      </w:r>
      <w:r>
        <w:rPr>
          <w:rFonts w:ascii="Traditional Arabic" w:hAnsi="Traditional Arabic" w:hint="cs"/>
          <w:sz w:val="32"/>
          <w:szCs w:val="32"/>
          <w:rtl/>
        </w:rPr>
        <w:t xml:space="preserve"> في تفسيره</w:t>
      </w:r>
      <w:r w:rsidRPr="00E874FD">
        <w:rPr>
          <w:rFonts w:ascii="Traditional Arabic" w:hAnsi="Traditional Arabic"/>
          <w:sz w:val="32"/>
          <w:szCs w:val="32"/>
          <w:rtl/>
        </w:rPr>
        <w:t xml:space="preserve"> (7/2339), </w:t>
      </w:r>
      <w:r>
        <w:rPr>
          <w:rFonts w:ascii="Traditional Arabic" w:hAnsi="Traditional Arabic" w:hint="cs"/>
          <w:sz w:val="32"/>
          <w:szCs w:val="32"/>
          <w:rtl/>
        </w:rPr>
        <w:t xml:space="preserve">والبيهقي في </w:t>
      </w:r>
      <w:r w:rsidRPr="00E874FD">
        <w:rPr>
          <w:rFonts w:ascii="Traditional Arabic" w:hAnsi="Traditional Arabic"/>
          <w:sz w:val="32"/>
          <w:szCs w:val="32"/>
          <w:rtl/>
        </w:rPr>
        <w:t>شعب الايمان</w:t>
      </w:r>
      <w:r>
        <w:rPr>
          <w:rFonts w:ascii="Traditional Arabic" w:hAnsi="Traditional Arabic" w:hint="cs"/>
          <w:sz w:val="32"/>
          <w:szCs w:val="32"/>
          <w:rtl/>
        </w:rPr>
        <w:t xml:space="preserve"> </w:t>
      </w:r>
      <w:r w:rsidRPr="00E874FD">
        <w:rPr>
          <w:rFonts w:ascii="Traditional Arabic" w:hAnsi="Traditional Arabic"/>
          <w:sz w:val="32"/>
          <w:szCs w:val="32"/>
          <w:rtl/>
        </w:rPr>
        <w:t>(8/31 ح5455) من حديث عكرمة عن ابن عباس رضي الله عنهما به, وذكره السيوطي في الدر المنثور (5/316) وزاد نسبته لابن المنذر, وابن مردويه.</w:t>
      </w:r>
    </w:p>
  </w:footnote>
  <w:footnote w:id="374">
    <w:p w:rsidR="003F128F" w:rsidRPr="002B026F" w:rsidRDefault="003F128F" w:rsidP="00C36615">
      <w:pPr>
        <w:pStyle w:val="af3"/>
        <w:rPr>
          <w:rFonts w:ascii="Traditional Arabic" w:hAnsi="Traditional Arabic"/>
          <w:sz w:val="32"/>
          <w:szCs w:val="32"/>
        </w:rPr>
      </w:pPr>
      <w:r w:rsidRPr="002B026F">
        <w:rPr>
          <w:rFonts w:ascii="Traditional Arabic" w:hAnsi="Traditional Arabic"/>
          <w:sz w:val="32"/>
          <w:szCs w:val="32"/>
          <w:rtl/>
        </w:rPr>
        <w:t>(</w:t>
      </w:r>
      <w:r w:rsidRPr="002B026F">
        <w:rPr>
          <w:rStyle w:val="ae"/>
          <w:rFonts w:ascii="Traditional Arabic" w:hAnsi="Traditional Arabic"/>
          <w:sz w:val="32"/>
          <w:szCs w:val="32"/>
          <w:vertAlign w:val="baseline"/>
        </w:rPr>
        <w:footnoteRef/>
      </w:r>
      <w:r w:rsidRPr="002B026F">
        <w:rPr>
          <w:rFonts w:ascii="Traditional Arabic" w:hAnsi="Traditional Arabic"/>
          <w:sz w:val="32"/>
          <w:szCs w:val="32"/>
          <w:rtl/>
        </w:rPr>
        <w:t>) انظر: تفسير مقاتل (2/266), تفسير الطبري (17/501).</w:t>
      </w:r>
    </w:p>
  </w:footnote>
  <w:footnote w:id="375">
    <w:p w:rsidR="003F128F" w:rsidRPr="002B026F" w:rsidRDefault="003F128F" w:rsidP="003C3020">
      <w:pPr>
        <w:pStyle w:val="af3"/>
        <w:rPr>
          <w:rFonts w:ascii="Traditional Arabic" w:hAnsi="Traditional Arabic"/>
          <w:sz w:val="32"/>
          <w:szCs w:val="32"/>
        </w:rPr>
      </w:pPr>
      <w:r w:rsidRPr="002B026F">
        <w:rPr>
          <w:rFonts w:ascii="Traditional Arabic" w:hAnsi="Traditional Arabic"/>
          <w:sz w:val="32"/>
          <w:szCs w:val="32"/>
          <w:rtl/>
        </w:rPr>
        <w:t>(</w:t>
      </w:r>
      <w:r w:rsidRPr="002B026F">
        <w:rPr>
          <w:rStyle w:val="ae"/>
          <w:rFonts w:ascii="Traditional Arabic" w:hAnsi="Traditional Arabic"/>
          <w:sz w:val="32"/>
          <w:szCs w:val="32"/>
          <w:vertAlign w:val="baseline"/>
        </w:rPr>
        <w:footnoteRef/>
      </w:r>
      <w:r w:rsidRPr="002B026F">
        <w:rPr>
          <w:rFonts w:ascii="Traditional Arabic" w:hAnsi="Traditional Arabic"/>
          <w:sz w:val="32"/>
          <w:szCs w:val="32"/>
          <w:rtl/>
        </w:rPr>
        <w:t>) انظر: بحر العلوم (2/321), النكت والعيون (3/257).</w:t>
      </w:r>
    </w:p>
  </w:footnote>
  <w:footnote w:id="376">
    <w:p w:rsidR="003F128F" w:rsidRPr="002B026F" w:rsidRDefault="003F128F" w:rsidP="003C3020">
      <w:pPr>
        <w:pStyle w:val="af3"/>
        <w:rPr>
          <w:rFonts w:ascii="Traditional Arabic" w:hAnsi="Traditional Arabic"/>
          <w:sz w:val="32"/>
          <w:szCs w:val="32"/>
        </w:rPr>
      </w:pPr>
      <w:r w:rsidRPr="002B026F">
        <w:rPr>
          <w:rFonts w:ascii="Traditional Arabic" w:hAnsi="Traditional Arabic"/>
          <w:sz w:val="32"/>
          <w:szCs w:val="32"/>
          <w:rtl/>
        </w:rPr>
        <w:t>(</w:t>
      </w:r>
      <w:r w:rsidRPr="002B026F">
        <w:rPr>
          <w:rStyle w:val="ae"/>
          <w:rFonts w:ascii="Traditional Arabic" w:hAnsi="Traditional Arabic"/>
          <w:sz w:val="32"/>
          <w:szCs w:val="32"/>
          <w:vertAlign w:val="baseline"/>
        </w:rPr>
        <w:footnoteRef/>
      </w:r>
      <w:r w:rsidRPr="002B026F">
        <w:rPr>
          <w:rFonts w:ascii="Traditional Arabic" w:hAnsi="Traditional Arabic"/>
          <w:sz w:val="32"/>
          <w:szCs w:val="32"/>
          <w:rtl/>
        </w:rPr>
        <w:t>) انظر: بحر العلوم (2/321), الكشف والبيان (6/114).</w:t>
      </w:r>
    </w:p>
  </w:footnote>
  <w:footnote w:id="377">
    <w:p w:rsidR="003F128F" w:rsidRPr="002B026F" w:rsidRDefault="003F128F" w:rsidP="00D34C5D">
      <w:pPr>
        <w:widowControl/>
        <w:autoSpaceDE w:val="0"/>
        <w:autoSpaceDN w:val="0"/>
        <w:adjustRightInd w:val="0"/>
        <w:ind w:firstLine="0"/>
        <w:jc w:val="left"/>
        <w:rPr>
          <w:rFonts w:ascii="Traditional Arabic" w:hAnsi="Traditional Arabic"/>
          <w:color w:val="auto"/>
          <w:sz w:val="32"/>
          <w:szCs w:val="32"/>
        </w:rPr>
      </w:pPr>
      <w:r w:rsidRPr="002B026F">
        <w:rPr>
          <w:rFonts w:ascii="Traditional Arabic" w:hAnsi="Traditional Arabic"/>
          <w:color w:val="auto"/>
          <w:sz w:val="32"/>
          <w:szCs w:val="32"/>
          <w:rtl/>
        </w:rPr>
        <w:t>(</w:t>
      </w:r>
      <w:r w:rsidRPr="002B026F">
        <w:rPr>
          <w:rStyle w:val="ae"/>
          <w:rFonts w:ascii="Traditional Arabic" w:hAnsi="Traditional Arabic"/>
          <w:color w:val="auto"/>
          <w:sz w:val="32"/>
          <w:szCs w:val="32"/>
          <w:vertAlign w:val="baseline"/>
        </w:rPr>
        <w:footnoteRef/>
      </w:r>
      <w:r w:rsidRPr="002B026F">
        <w:rPr>
          <w:rFonts w:ascii="Traditional Arabic" w:hAnsi="Traditional Arabic"/>
          <w:color w:val="auto"/>
          <w:sz w:val="32"/>
          <w:szCs w:val="32"/>
          <w:rtl/>
        </w:rPr>
        <w:t xml:space="preserve">) </w:t>
      </w:r>
      <w:r>
        <w:rPr>
          <w:rFonts w:ascii="Traditional Arabic" w:hAnsi="Traditional Arabic"/>
          <w:color w:val="auto"/>
          <w:sz w:val="32"/>
          <w:szCs w:val="32"/>
          <w:rtl/>
          <w:lang w:eastAsia="en-US"/>
        </w:rPr>
        <w:t>هو التابعي الإمام</w:t>
      </w:r>
      <w:r>
        <w:rPr>
          <w:rFonts w:ascii="Traditional Arabic" w:hAnsi="Traditional Arabic" w:hint="cs"/>
          <w:color w:val="auto"/>
          <w:sz w:val="32"/>
          <w:szCs w:val="32"/>
          <w:rtl/>
          <w:lang w:eastAsia="en-US"/>
        </w:rPr>
        <w:t>,</w:t>
      </w:r>
      <w:r>
        <w:rPr>
          <w:rFonts w:ascii="Traditional Arabic" w:hAnsi="Traditional Arabic"/>
          <w:color w:val="auto"/>
          <w:sz w:val="32"/>
          <w:szCs w:val="32"/>
          <w:rtl/>
          <w:lang w:eastAsia="en-US"/>
        </w:rPr>
        <w:t xml:space="preserve"> أبو محمد</w:t>
      </w:r>
      <w:r>
        <w:rPr>
          <w:rFonts w:ascii="Traditional Arabic" w:hAnsi="Traditional Arabic" w:hint="cs"/>
          <w:color w:val="auto"/>
          <w:sz w:val="32"/>
          <w:szCs w:val="32"/>
          <w:rtl/>
          <w:lang w:eastAsia="en-US"/>
        </w:rPr>
        <w:t>,</w:t>
      </w:r>
      <w:r w:rsidRPr="002B026F">
        <w:rPr>
          <w:rFonts w:ascii="Traditional Arabic" w:hAnsi="Traditional Arabic"/>
          <w:color w:val="auto"/>
          <w:sz w:val="32"/>
          <w:szCs w:val="32"/>
          <w:rtl/>
          <w:lang w:eastAsia="en-US"/>
        </w:rPr>
        <w:t xml:space="preserve"> وقيل: أبو القاسم، الضحاك بن مزاحم الهلالي</w:t>
      </w:r>
      <w:r>
        <w:rPr>
          <w:rFonts w:ascii="Traditional Arabic" w:hAnsi="Traditional Arabic" w:hint="cs"/>
          <w:color w:val="auto"/>
          <w:sz w:val="32"/>
          <w:szCs w:val="32"/>
          <w:rtl/>
          <w:lang w:eastAsia="en-US"/>
        </w:rPr>
        <w:t>,</w:t>
      </w:r>
      <w:r w:rsidRPr="002B026F">
        <w:rPr>
          <w:rFonts w:ascii="Traditional Arabic" w:hAnsi="Traditional Arabic"/>
          <w:color w:val="auto"/>
          <w:sz w:val="32"/>
          <w:szCs w:val="32"/>
          <w:rtl/>
          <w:lang w:eastAsia="en-US"/>
        </w:rPr>
        <w:t xml:space="preserve"> صاحب التفسير, كان من أوعية العلم, (ت102ه).</w:t>
      </w:r>
      <w:r w:rsidRPr="002B026F">
        <w:rPr>
          <w:rFonts w:ascii="Traditional Arabic" w:hAnsi="Traditional Arabic"/>
          <w:sz w:val="32"/>
          <w:szCs w:val="32"/>
          <w:rtl/>
        </w:rPr>
        <w:t xml:space="preserve"> انظر: تهذيب الكمال للمزي (13/291), سير أعلام النبلاء (4/598).</w:t>
      </w:r>
    </w:p>
  </w:footnote>
  <w:footnote w:id="378">
    <w:p w:rsidR="003F128F" w:rsidRPr="002B026F" w:rsidRDefault="003F128F" w:rsidP="003C3020">
      <w:pPr>
        <w:pStyle w:val="af3"/>
        <w:rPr>
          <w:rFonts w:ascii="Traditional Arabic" w:hAnsi="Traditional Arabic"/>
          <w:sz w:val="32"/>
          <w:szCs w:val="32"/>
        </w:rPr>
      </w:pPr>
      <w:r w:rsidRPr="002B026F">
        <w:rPr>
          <w:rFonts w:ascii="Traditional Arabic" w:hAnsi="Traditional Arabic"/>
          <w:sz w:val="32"/>
          <w:szCs w:val="32"/>
          <w:rtl/>
        </w:rPr>
        <w:t>(</w:t>
      </w:r>
      <w:r w:rsidRPr="002B026F">
        <w:rPr>
          <w:rStyle w:val="ae"/>
          <w:rFonts w:ascii="Traditional Arabic" w:hAnsi="Traditional Arabic"/>
          <w:sz w:val="32"/>
          <w:szCs w:val="32"/>
          <w:vertAlign w:val="baseline"/>
        </w:rPr>
        <w:footnoteRef/>
      </w:r>
      <w:r w:rsidRPr="002B026F">
        <w:rPr>
          <w:rFonts w:ascii="Traditional Arabic" w:hAnsi="Traditional Arabic"/>
          <w:sz w:val="32"/>
          <w:szCs w:val="32"/>
          <w:rtl/>
        </w:rPr>
        <w:t>) انظر: حقائق التفسير للسلمي (1/391), الكشف والبيان (6/115).</w:t>
      </w:r>
    </w:p>
  </w:footnote>
  <w:footnote w:id="379">
    <w:p w:rsidR="003F128F" w:rsidRPr="002B026F" w:rsidRDefault="003F128F" w:rsidP="008D1661">
      <w:pPr>
        <w:pStyle w:val="af3"/>
        <w:rPr>
          <w:rFonts w:ascii="Traditional Arabic" w:hAnsi="Traditional Arabic"/>
          <w:sz w:val="32"/>
          <w:szCs w:val="32"/>
        </w:rPr>
      </w:pPr>
      <w:r w:rsidRPr="002B026F">
        <w:rPr>
          <w:rFonts w:ascii="Traditional Arabic" w:hAnsi="Traditional Arabic"/>
          <w:sz w:val="32"/>
          <w:szCs w:val="32"/>
          <w:rtl/>
        </w:rPr>
        <w:t>(</w:t>
      </w:r>
      <w:r w:rsidRPr="002B026F">
        <w:rPr>
          <w:rStyle w:val="ae"/>
          <w:rFonts w:ascii="Traditional Arabic" w:hAnsi="Traditional Arabic"/>
          <w:sz w:val="32"/>
          <w:szCs w:val="32"/>
          <w:vertAlign w:val="baseline"/>
        </w:rPr>
        <w:footnoteRef/>
      </w:r>
      <w:r w:rsidRPr="002B026F">
        <w:rPr>
          <w:rFonts w:ascii="Traditional Arabic" w:hAnsi="Traditional Arabic"/>
          <w:sz w:val="32"/>
          <w:szCs w:val="32"/>
          <w:rtl/>
        </w:rPr>
        <w:t xml:space="preserve">) في (ك): [جُعِل محمدٌ </w:t>
      </w:r>
      <w:r w:rsidRPr="002B026F">
        <w:rPr>
          <w:rFonts w:ascii="Traditional Arabic" w:hAnsi="Traditional Arabic"/>
          <w:color w:val="0D0D0D" w:themeColor="text1" w:themeTint="F2"/>
          <w:sz w:val="32"/>
          <w:szCs w:val="32"/>
          <w:lang w:eastAsia="en-US"/>
        </w:rPr>
        <w:sym w:font="AGA Arabesque" w:char="F072"/>
      </w:r>
      <w:r w:rsidRPr="002B026F">
        <w:rPr>
          <w:rFonts w:ascii="Traditional Arabic" w:hAnsi="Traditional Arabic"/>
          <w:color w:val="0D0D0D" w:themeColor="text1" w:themeTint="F2"/>
          <w:sz w:val="32"/>
          <w:szCs w:val="32"/>
          <w:rtl/>
          <w:lang w:eastAsia="en-US"/>
        </w:rPr>
        <w:t xml:space="preserve"> منهم</w:t>
      </w:r>
      <w:r w:rsidRPr="002B026F">
        <w:rPr>
          <w:rFonts w:ascii="Traditional Arabic" w:hAnsi="Traditional Arabic"/>
          <w:sz w:val="32"/>
          <w:szCs w:val="32"/>
          <w:rtl/>
        </w:rPr>
        <w:t xml:space="preserve">]. </w:t>
      </w:r>
    </w:p>
  </w:footnote>
  <w:footnote w:id="380">
    <w:p w:rsidR="003F128F" w:rsidRPr="002B026F" w:rsidRDefault="003F128F" w:rsidP="00E874FD">
      <w:pPr>
        <w:pStyle w:val="af3"/>
        <w:rPr>
          <w:rFonts w:ascii="Traditional Arabic" w:hAnsi="Traditional Arabic"/>
          <w:sz w:val="32"/>
          <w:szCs w:val="32"/>
        </w:rPr>
      </w:pPr>
      <w:r w:rsidRPr="002B026F">
        <w:rPr>
          <w:rFonts w:ascii="Traditional Arabic" w:hAnsi="Traditional Arabic"/>
          <w:sz w:val="32"/>
          <w:szCs w:val="32"/>
          <w:rtl/>
        </w:rPr>
        <w:t>(</w:t>
      </w:r>
      <w:r w:rsidRPr="002B026F">
        <w:rPr>
          <w:rStyle w:val="ae"/>
          <w:rFonts w:ascii="Traditional Arabic" w:hAnsi="Traditional Arabic"/>
          <w:sz w:val="32"/>
          <w:szCs w:val="32"/>
          <w:vertAlign w:val="baseline"/>
        </w:rPr>
        <w:footnoteRef/>
      </w:r>
      <w:r w:rsidRPr="002B026F">
        <w:rPr>
          <w:rFonts w:ascii="Traditional Arabic" w:hAnsi="Traditional Arabic"/>
          <w:sz w:val="32"/>
          <w:szCs w:val="32"/>
          <w:rtl/>
        </w:rPr>
        <w:t>) انظر: الكشف والبيان (6/115), غرائب التفسير (1/635).</w:t>
      </w:r>
    </w:p>
  </w:footnote>
  <w:footnote w:id="381">
    <w:p w:rsidR="003F128F" w:rsidRPr="002B026F" w:rsidRDefault="003F128F" w:rsidP="00B20E9D">
      <w:pPr>
        <w:widowControl/>
        <w:autoSpaceDE w:val="0"/>
        <w:autoSpaceDN w:val="0"/>
        <w:adjustRightInd w:val="0"/>
        <w:ind w:firstLine="0"/>
        <w:rPr>
          <w:rFonts w:ascii="Traditional Arabic" w:hAnsi="Traditional Arabic"/>
          <w:color w:val="auto"/>
          <w:sz w:val="32"/>
          <w:szCs w:val="32"/>
        </w:rPr>
      </w:pPr>
      <w:r w:rsidRPr="002B026F">
        <w:rPr>
          <w:rFonts w:ascii="Traditional Arabic" w:hAnsi="Traditional Arabic"/>
          <w:color w:val="auto"/>
          <w:sz w:val="32"/>
          <w:szCs w:val="32"/>
          <w:rtl/>
        </w:rPr>
        <w:t>(</w:t>
      </w:r>
      <w:r w:rsidRPr="002B026F">
        <w:rPr>
          <w:rStyle w:val="ae"/>
          <w:rFonts w:ascii="Traditional Arabic" w:hAnsi="Traditional Arabic"/>
          <w:color w:val="auto"/>
          <w:sz w:val="32"/>
          <w:szCs w:val="32"/>
          <w:vertAlign w:val="baseline"/>
        </w:rPr>
        <w:footnoteRef/>
      </w:r>
      <w:r w:rsidRPr="002B026F">
        <w:rPr>
          <w:rFonts w:ascii="Traditional Arabic" w:hAnsi="Traditional Arabic"/>
          <w:color w:val="auto"/>
          <w:sz w:val="32"/>
          <w:szCs w:val="32"/>
          <w:rtl/>
        </w:rPr>
        <w:t xml:space="preserve">) </w:t>
      </w:r>
      <w:r w:rsidRPr="002B026F">
        <w:rPr>
          <w:rFonts w:ascii="Traditional Arabic" w:hAnsi="Traditional Arabic"/>
          <w:color w:val="auto"/>
          <w:sz w:val="32"/>
          <w:szCs w:val="32"/>
          <w:rtl/>
          <w:lang w:eastAsia="en-US"/>
        </w:rPr>
        <w:t>هو التابعي أبو حمزة</w:t>
      </w:r>
      <w:r>
        <w:rPr>
          <w:rFonts w:ascii="Traditional Arabic" w:hAnsi="Traditional Arabic" w:hint="cs"/>
          <w:color w:val="auto"/>
          <w:sz w:val="32"/>
          <w:szCs w:val="32"/>
          <w:rtl/>
          <w:lang w:eastAsia="en-US"/>
        </w:rPr>
        <w:t>,</w:t>
      </w:r>
      <w:r w:rsidRPr="002B026F">
        <w:rPr>
          <w:rFonts w:ascii="Traditional Arabic" w:hAnsi="Traditional Arabic"/>
          <w:color w:val="auto"/>
          <w:sz w:val="32"/>
          <w:szCs w:val="32"/>
          <w:rtl/>
          <w:lang w:eastAsia="en-US"/>
        </w:rPr>
        <w:t xml:space="preserve"> محمد بن كعب بن سليم القرظي, المدني، الإمام, العلامة, الصادق، من حلفاء الأوس، سكن الكوفة، ثم المدينة, (ت108ه)</w:t>
      </w:r>
      <w:r w:rsidRPr="002B026F">
        <w:rPr>
          <w:rFonts w:ascii="Traditional Arabic" w:hAnsi="Traditional Arabic"/>
          <w:sz w:val="32"/>
          <w:szCs w:val="32"/>
          <w:rtl/>
        </w:rPr>
        <w:t xml:space="preserve">. انظر: سير أعلام النبلاء (5/65), </w:t>
      </w:r>
      <w:r w:rsidRPr="002B026F">
        <w:rPr>
          <w:rFonts w:ascii="Traditional Arabic" w:hAnsi="Traditional Arabic"/>
          <w:sz w:val="32"/>
          <w:szCs w:val="32"/>
          <w:rtl/>
          <w:lang w:eastAsia="en-US"/>
        </w:rPr>
        <w:t>غاية النهاية</w:t>
      </w:r>
      <w:r w:rsidRPr="002B026F">
        <w:rPr>
          <w:rFonts w:ascii="Traditional Arabic" w:hAnsi="Traditional Arabic"/>
          <w:sz w:val="32"/>
          <w:szCs w:val="32"/>
          <w:rtl/>
        </w:rPr>
        <w:t xml:space="preserve"> لابن الجزري (2/233), طبقات المفسرين للأد</w:t>
      </w:r>
      <w:r>
        <w:rPr>
          <w:rFonts w:ascii="Traditional Arabic" w:hAnsi="Traditional Arabic" w:hint="cs"/>
          <w:sz w:val="32"/>
          <w:szCs w:val="32"/>
          <w:rtl/>
        </w:rPr>
        <w:t>رني</w:t>
      </w:r>
      <w:r w:rsidRPr="002B026F">
        <w:rPr>
          <w:rFonts w:ascii="Traditional Arabic" w:hAnsi="Traditional Arabic"/>
          <w:sz w:val="32"/>
          <w:szCs w:val="32"/>
          <w:rtl/>
        </w:rPr>
        <w:t xml:space="preserve"> (ص9).</w:t>
      </w:r>
    </w:p>
  </w:footnote>
  <w:footnote w:id="382">
    <w:p w:rsidR="003F128F" w:rsidRPr="002B026F" w:rsidRDefault="003F128F" w:rsidP="00DE155B">
      <w:pPr>
        <w:pStyle w:val="af3"/>
        <w:rPr>
          <w:rFonts w:ascii="Traditional Arabic" w:hAnsi="Traditional Arabic"/>
          <w:sz w:val="32"/>
          <w:szCs w:val="32"/>
        </w:rPr>
      </w:pPr>
      <w:r w:rsidRPr="002B026F">
        <w:rPr>
          <w:rFonts w:ascii="Traditional Arabic" w:hAnsi="Traditional Arabic"/>
          <w:sz w:val="32"/>
          <w:szCs w:val="32"/>
          <w:rtl/>
        </w:rPr>
        <w:t>(</w:t>
      </w:r>
      <w:r w:rsidRPr="002B026F">
        <w:rPr>
          <w:rStyle w:val="ae"/>
          <w:rFonts w:ascii="Traditional Arabic" w:hAnsi="Traditional Arabic"/>
          <w:sz w:val="32"/>
          <w:szCs w:val="32"/>
          <w:vertAlign w:val="baseline"/>
        </w:rPr>
        <w:footnoteRef/>
      </w:r>
      <w:r w:rsidRPr="002B026F">
        <w:rPr>
          <w:rFonts w:ascii="Traditional Arabic" w:hAnsi="Traditional Arabic"/>
          <w:sz w:val="32"/>
          <w:szCs w:val="32"/>
          <w:rtl/>
        </w:rPr>
        <w:t xml:space="preserve">) انظر: تفسير </w:t>
      </w:r>
      <w:r>
        <w:rPr>
          <w:rFonts w:ascii="Traditional Arabic" w:hAnsi="Traditional Arabic" w:hint="cs"/>
          <w:sz w:val="32"/>
          <w:szCs w:val="32"/>
          <w:rtl/>
        </w:rPr>
        <w:t>عبد الرزاق</w:t>
      </w:r>
      <w:r w:rsidRPr="002B026F">
        <w:rPr>
          <w:rFonts w:ascii="Traditional Arabic" w:hAnsi="Traditional Arabic"/>
          <w:sz w:val="32"/>
          <w:szCs w:val="32"/>
          <w:rtl/>
        </w:rPr>
        <w:t xml:space="preserve"> (2/382), تفسير الطبري (17/501).</w:t>
      </w:r>
    </w:p>
  </w:footnote>
  <w:footnote w:id="383">
    <w:p w:rsidR="003F128F" w:rsidRPr="002B026F" w:rsidRDefault="003F128F" w:rsidP="00D34C5D">
      <w:pPr>
        <w:widowControl/>
        <w:autoSpaceDE w:val="0"/>
        <w:autoSpaceDN w:val="0"/>
        <w:adjustRightInd w:val="0"/>
        <w:ind w:firstLine="0"/>
        <w:rPr>
          <w:rFonts w:ascii="Traditional Arabic" w:hAnsi="Traditional Arabic"/>
          <w:b/>
          <w:bCs/>
          <w:sz w:val="32"/>
          <w:szCs w:val="32"/>
          <w:lang w:eastAsia="en-US"/>
        </w:rPr>
      </w:pPr>
      <w:r w:rsidRPr="002B026F">
        <w:rPr>
          <w:rFonts w:ascii="Traditional Arabic" w:hAnsi="Traditional Arabic"/>
          <w:sz w:val="32"/>
          <w:szCs w:val="32"/>
          <w:rtl/>
        </w:rPr>
        <w:t>(</w:t>
      </w:r>
      <w:r w:rsidRPr="002B026F">
        <w:rPr>
          <w:rStyle w:val="ae"/>
          <w:rFonts w:ascii="Traditional Arabic" w:hAnsi="Traditional Arabic"/>
          <w:sz w:val="32"/>
          <w:szCs w:val="32"/>
          <w:vertAlign w:val="baseline"/>
        </w:rPr>
        <w:footnoteRef/>
      </w:r>
      <w:r w:rsidRPr="002B026F">
        <w:rPr>
          <w:rFonts w:ascii="Traditional Arabic" w:hAnsi="Traditional Arabic"/>
          <w:sz w:val="32"/>
          <w:szCs w:val="32"/>
          <w:rtl/>
        </w:rPr>
        <w:t xml:space="preserve">) هو التابعي </w:t>
      </w:r>
      <w:r w:rsidRPr="002B026F">
        <w:rPr>
          <w:rFonts w:ascii="Traditional Arabic" w:hAnsi="Traditional Arabic"/>
          <w:sz w:val="32"/>
          <w:szCs w:val="32"/>
          <w:rtl/>
          <w:lang w:eastAsia="en-US"/>
        </w:rPr>
        <w:t>الإمام</w:t>
      </w:r>
      <w:r>
        <w:rPr>
          <w:rFonts w:ascii="Traditional Arabic" w:hAnsi="Traditional Arabic" w:hint="cs"/>
          <w:color w:val="auto"/>
          <w:sz w:val="32"/>
          <w:szCs w:val="32"/>
          <w:rtl/>
          <w:lang w:eastAsia="en-US"/>
        </w:rPr>
        <w:t>,</w:t>
      </w:r>
      <w:r w:rsidRPr="002B026F">
        <w:rPr>
          <w:rFonts w:ascii="Traditional Arabic" w:hAnsi="Traditional Arabic"/>
          <w:color w:val="auto"/>
          <w:sz w:val="32"/>
          <w:szCs w:val="32"/>
          <w:rtl/>
          <w:lang w:eastAsia="en-US"/>
        </w:rPr>
        <w:t xml:space="preserve"> أبو عبد الله</w:t>
      </w:r>
      <w:r>
        <w:rPr>
          <w:rFonts w:ascii="Traditional Arabic" w:hAnsi="Traditional Arabic" w:hint="cs"/>
          <w:color w:val="auto"/>
          <w:sz w:val="32"/>
          <w:szCs w:val="32"/>
          <w:rtl/>
          <w:lang w:eastAsia="en-US"/>
        </w:rPr>
        <w:t>,</w:t>
      </w:r>
      <w:r w:rsidRPr="002B026F">
        <w:rPr>
          <w:rFonts w:ascii="Traditional Arabic" w:hAnsi="Traditional Arabic"/>
          <w:color w:val="auto"/>
          <w:sz w:val="32"/>
          <w:szCs w:val="32"/>
          <w:rtl/>
          <w:lang w:eastAsia="en-US"/>
        </w:rPr>
        <w:t xml:space="preserve"> زيد بن أسلم العدوي العمري</w:t>
      </w:r>
      <w:r w:rsidRPr="002B026F">
        <w:rPr>
          <w:rFonts w:ascii="Traditional Arabic" w:hAnsi="Traditional Arabic"/>
          <w:sz w:val="32"/>
          <w:szCs w:val="32"/>
          <w:rtl/>
          <w:lang w:eastAsia="en-US"/>
        </w:rPr>
        <w:t>، الحجة، القدوة، فقيه مفسر من أهل المدينة, وردت عنه الرواية في حروف القرآن، (ت136ه)</w:t>
      </w:r>
      <w:r w:rsidRPr="002B026F">
        <w:rPr>
          <w:rFonts w:ascii="Traditional Arabic" w:hAnsi="Traditional Arabic"/>
          <w:b/>
          <w:bCs/>
          <w:sz w:val="32"/>
          <w:szCs w:val="32"/>
          <w:rtl/>
          <w:lang w:eastAsia="en-US"/>
        </w:rPr>
        <w:t>.</w:t>
      </w:r>
      <w:r w:rsidRPr="002B026F">
        <w:rPr>
          <w:rFonts w:ascii="Traditional Arabic" w:hAnsi="Traditional Arabic"/>
          <w:sz w:val="32"/>
          <w:szCs w:val="32"/>
          <w:rtl/>
        </w:rPr>
        <w:t xml:space="preserve"> انظر: سير أعلام النبلاء (5/316), </w:t>
      </w:r>
      <w:r w:rsidRPr="002B026F">
        <w:rPr>
          <w:rFonts w:ascii="Traditional Arabic" w:hAnsi="Traditional Arabic"/>
          <w:sz w:val="32"/>
          <w:szCs w:val="32"/>
          <w:rtl/>
          <w:lang w:eastAsia="en-US"/>
        </w:rPr>
        <w:t xml:space="preserve">غاية النهاية </w:t>
      </w:r>
      <w:r w:rsidRPr="002B026F">
        <w:rPr>
          <w:rFonts w:ascii="Traditional Arabic" w:hAnsi="Traditional Arabic"/>
          <w:sz w:val="32"/>
          <w:szCs w:val="32"/>
          <w:rtl/>
        </w:rPr>
        <w:t>لابن الجزري (1/296)</w:t>
      </w:r>
      <w:r w:rsidRPr="002B026F">
        <w:rPr>
          <w:rFonts w:ascii="Traditional Arabic" w:hAnsi="Traditional Arabic"/>
          <w:color w:val="auto"/>
          <w:sz w:val="32"/>
          <w:szCs w:val="32"/>
          <w:rtl/>
        </w:rPr>
        <w:t>.</w:t>
      </w:r>
      <w:r w:rsidRPr="002B026F">
        <w:rPr>
          <w:rFonts w:ascii="Traditional Arabic" w:hAnsi="Traditional Arabic"/>
          <w:b/>
          <w:bCs/>
          <w:sz w:val="32"/>
          <w:szCs w:val="32"/>
          <w:rtl/>
          <w:lang w:eastAsia="en-US"/>
        </w:rPr>
        <w:t xml:space="preserve"> </w:t>
      </w:r>
    </w:p>
  </w:footnote>
  <w:footnote w:id="384">
    <w:p w:rsidR="003F128F" w:rsidRPr="002B026F" w:rsidRDefault="003F128F" w:rsidP="006F55E1">
      <w:pPr>
        <w:widowControl/>
        <w:autoSpaceDE w:val="0"/>
        <w:autoSpaceDN w:val="0"/>
        <w:adjustRightInd w:val="0"/>
        <w:ind w:firstLine="0"/>
        <w:rPr>
          <w:rFonts w:ascii="Traditional Arabic" w:hAnsi="Traditional Arabic"/>
          <w:sz w:val="32"/>
          <w:szCs w:val="32"/>
        </w:rPr>
      </w:pPr>
      <w:r w:rsidRPr="002B026F">
        <w:rPr>
          <w:rFonts w:ascii="Traditional Arabic" w:hAnsi="Traditional Arabic"/>
          <w:sz w:val="32"/>
          <w:szCs w:val="32"/>
          <w:rtl/>
        </w:rPr>
        <w:t>(</w:t>
      </w:r>
      <w:r w:rsidRPr="002B026F">
        <w:rPr>
          <w:rStyle w:val="ae"/>
          <w:rFonts w:ascii="Traditional Arabic" w:hAnsi="Traditional Arabic"/>
          <w:sz w:val="32"/>
          <w:szCs w:val="32"/>
          <w:vertAlign w:val="baseline"/>
        </w:rPr>
        <w:footnoteRef/>
      </w:r>
      <w:r w:rsidRPr="002B026F">
        <w:rPr>
          <w:rFonts w:ascii="Traditional Arabic" w:hAnsi="Traditional Arabic"/>
          <w:sz w:val="32"/>
          <w:szCs w:val="32"/>
          <w:rtl/>
        </w:rPr>
        <w:t>) هو الإمام</w:t>
      </w:r>
      <w:r>
        <w:rPr>
          <w:rFonts w:ascii="Traditional Arabic" w:hAnsi="Traditional Arabic" w:hint="cs"/>
          <w:sz w:val="32"/>
          <w:szCs w:val="32"/>
          <w:rtl/>
        </w:rPr>
        <w:t>,</w:t>
      </w:r>
      <w:r w:rsidRPr="002B026F">
        <w:rPr>
          <w:rFonts w:ascii="Traditional Arabic" w:hAnsi="Traditional Arabic"/>
          <w:sz w:val="32"/>
          <w:szCs w:val="32"/>
          <w:rtl/>
        </w:rPr>
        <w:t xml:space="preserve"> أبو داود</w:t>
      </w:r>
      <w:r>
        <w:rPr>
          <w:rFonts w:ascii="Traditional Arabic" w:hAnsi="Traditional Arabic" w:hint="cs"/>
          <w:sz w:val="32"/>
          <w:szCs w:val="32"/>
          <w:rtl/>
        </w:rPr>
        <w:t>,</w:t>
      </w:r>
      <w:r w:rsidRPr="002B026F">
        <w:rPr>
          <w:rFonts w:ascii="Traditional Arabic" w:hAnsi="Traditional Arabic"/>
          <w:sz w:val="32"/>
          <w:szCs w:val="32"/>
          <w:rtl/>
        </w:rPr>
        <w:t xml:space="preserve"> </w:t>
      </w:r>
      <w:r w:rsidRPr="002B026F">
        <w:rPr>
          <w:rFonts w:ascii="Traditional Arabic" w:hAnsi="Traditional Arabic"/>
          <w:color w:val="auto"/>
          <w:sz w:val="32"/>
          <w:szCs w:val="32"/>
          <w:rtl/>
          <w:lang w:eastAsia="en-US"/>
        </w:rPr>
        <w:t xml:space="preserve">يمان الكوفي, مقرئ متصدر, روى عنه محمد بن إسماعيل الأخفش, سماه وكناه محمد بن عبد الحكم، لم أقف على سنة وفاته, انظر </w:t>
      </w:r>
      <w:r w:rsidRPr="002B026F">
        <w:rPr>
          <w:rFonts w:ascii="Traditional Arabic" w:hAnsi="Traditional Arabic"/>
          <w:sz w:val="32"/>
          <w:szCs w:val="32"/>
          <w:rtl/>
        </w:rPr>
        <w:t xml:space="preserve">: </w:t>
      </w:r>
      <w:r w:rsidRPr="002B026F">
        <w:rPr>
          <w:rFonts w:ascii="Traditional Arabic" w:hAnsi="Traditional Arabic"/>
          <w:sz w:val="32"/>
          <w:szCs w:val="32"/>
          <w:rtl/>
          <w:lang w:eastAsia="en-US"/>
        </w:rPr>
        <w:t xml:space="preserve">غاية النهاية لابن الجزري </w:t>
      </w:r>
      <w:r w:rsidRPr="002B026F">
        <w:rPr>
          <w:rFonts w:ascii="Traditional Arabic" w:hAnsi="Traditional Arabic"/>
          <w:color w:val="auto"/>
          <w:sz w:val="32"/>
          <w:szCs w:val="32"/>
          <w:rtl/>
        </w:rPr>
        <w:t>(1/296)</w:t>
      </w:r>
      <w:r w:rsidRPr="002B026F">
        <w:rPr>
          <w:rFonts w:ascii="Traditional Arabic" w:hAnsi="Traditional Arabic"/>
          <w:b/>
          <w:bCs/>
          <w:color w:val="auto"/>
          <w:sz w:val="32"/>
          <w:szCs w:val="32"/>
          <w:rtl/>
          <w:lang w:eastAsia="en-US"/>
        </w:rPr>
        <w:t xml:space="preserve"> .</w:t>
      </w:r>
    </w:p>
  </w:footnote>
  <w:footnote w:id="385">
    <w:p w:rsidR="003F128F" w:rsidRPr="003C3020" w:rsidRDefault="003F128F" w:rsidP="003C3020">
      <w:pPr>
        <w:pStyle w:val="af3"/>
        <w:rPr>
          <w:rFonts w:ascii="Tahoma" w:hAnsi="Tahoma"/>
        </w:rPr>
      </w:pPr>
      <w:r w:rsidRPr="002B026F">
        <w:rPr>
          <w:rFonts w:ascii="Traditional Arabic" w:hAnsi="Traditional Arabic"/>
          <w:sz w:val="32"/>
          <w:szCs w:val="32"/>
          <w:rtl/>
        </w:rPr>
        <w:t>(</w:t>
      </w:r>
      <w:r w:rsidRPr="002B026F">
        <w:rPr>
          <w:rStyle w:val="ae"/>
          <w:rFonts w:ascii="Traditional Arabic" w:hAnsi="Traditional Arabic"/>
          <w:sz w:val="32"/>
          <w:szCs w:val="32"/>
          <w:vertAlign w:val="baseline"/>
        </w:rPr>
        <w:footnoteRef/>
      </w:r>
      <w:r w:rsidRPr="002B026F">
        <w:rPr>
          <w:rFonts w:ascii="Traditional Arabic" w:hAnsi="Traditional Arabic"/>
          <w:sz w:val="32"/>
          <w:szCs w:val="32"/>
          <w:rtl/>
        </w:rPr>
        <w:t>) انظر: الكشف والبيان (6/115), غرائب التفسير (1/635).</w:t>
      </w:r>
    </w:p>
  </w:footnote>
  <w:footnote w:id="386">
    <w:p w:rsidR="003F128F" w:rsidRPr="00E874FD" w:rsidRDefault="003F128F" w:rsidP="00C36615">
      <w:pPr>
        <w:pStyle w:val="af3"/>
        <w:rPr>
          <w:rFonts w:ascii="Traditional Arabic" w:hAnsi="Traditional Arabic"/>
          <w:sz w:val="32"/>
          <w:szCs w:val="32"/>
        </w:rPr>
      </w:pPr>
      <w:r w:rsidRPr="00E874FD">
        <w:rPr>
          <w:rFonts w:ascii="Traditional Arabic" w:hAnsi="Traditional Arabic"/>
          <w:sz w:val="32"/>
          <w:szCs w:val="32"/>
          <w:rtl/>
        </w:rPr>
        <w:t>(</w:t>
      </w:r>
      <w:r w:rsidRPr="00E874FD">
        <w:rPr>
          <w:rStyle w:val="ae"/>
          <w:rFonts w:ascii="Traditional Arabic" w:hAnsi="Traditional Arabic"/>
          <w:sz w:val="32"/>
          <w:szCs w:val="32"/>
          <w:vertAlign w:val="baseline"/>
        </w:rPr>
        <w:footnoteRef/>
      </w:r>
      <w:r w:rsidRPr="00E874FD">
        <w:rPr>
          <w:rFonts w:ascii="Traditional Arabic" w:hAnsi="Traditional Arabic"/>
          <w:sz w:val="32"/>
          <w:szCs w:val="32"/>
          <w:rtl/>
        </w:rPr>
        <w:t>) انظر: تفسير الطبري (17/501).</w:t>
      </w:r>
    </w:p>
  </w:footnote>
  <w:footnote w:id="387">
    <w:p w:rsidR="003F128F" w:rsidRPr="00E874FD" w:rsidRDefault="003F128F" w:rsidP="003C3020">
      <w:pPr>
        <w:widowControl/>
        <w:autoSpaceDE w:val="0"/>
        <w:autoSpaceDN w:val="0"/>
        <w:adjustRightInd w:val="0"/>
        <w:ind w:firstLine="0"/>
        <w:rPr>
          <w:rFonts w:ascii="Traditional Arabic" w:hAnsi="Traditional Arabic"/>
          <w:color w:val="auto"/>
          <w:sz w:val="32"/>
          <w:szCs w:val="32"/>
        </w:rPr>
      </w:pPr>
      <w:r w:rsidRPr="00E874FD">
        <w:rPr>
          <w:rFonts w:ascii="Traditional Arabic" w:hAnsi="Traditional Arabic"/>
          <w:color w:val="auto"/>
          <w:sz w:val="32"/>
          <w:szCs w:val="32"/>
          <w:rtl/>
        </w:rPr>
        <w:t>(</w:t>
      </w:r>
      <w:r w:rsidRPr="00E874FD">
        <w:rPr>
          <w:rStyle w:val="ae"/>
          <w:rFonts w:ascii="Traditional Arabic" w:hAnsi="Traditional Arabic"/>
          <w:color w:val="auto"/>
          <w:sz w:val="32"/>
          <w:szCs w:val="32"/>
          <w:vertAlign w:val="baseline"/>
        </w:rPr>
        <w:footnoteRef/>
      </w:r>
      <w:r w:rsidRPr="00E874FD">
        <w:rPr>
          <w:rFonts w:ascii="Traditional Arabic" w:hAnsi="Traditional Arabic"/>
          <w:color w:val="auto"/>
          <w:sz w:val="32"/>
          <w:szCs w:val="32"/>
          <w:rtl/>
        </w:rPr>
        <w:t xml:space="preserve">) </w:t>
      </w:r>
      <w:r w:rsidRPr="00E874FD">
        <w:rPr>
          <w:rFonts w:ascii="Traditional Arabic" w:hAnsi="Traditional Arabic"/>
          <w:color w:val="auto"/>
          <w:sz w:val="32"/>
          <w:szCs w:val="32"/>
          <w:rtl/>
          <w:lang w:eastAsia="en-US"/>
        </w:rPr>
        <w:t xml:space="preserve">هو </w:t>
      </w:r>
      <w:r>
        <w:rPr>
          <w:rFonts w:ascii="Traditional Arabic" w:hAnsi="Traditional Arabic"/>
          <w:color w:val="auto"/>
          <w:sz w:val="32"/>
          <w:szCs w:val="32"/>
          <w:rtl/>
          <w:lang w:eastAsia="en-US"/>
        </w:rPr>
        <w:t>الإمام</w:t>
      </w:r>
      <w:r>
        <w:rPr>
          <w:rFonts w:ascii="Traditional Arabic" w:hAnsi="Traditional Arabic" w:hint="cs"/>
          <w:color w:val="auto"/>
          <w:sz w:val="32"/>
          <w:szCs w:val="32"/>
          <w:rtl/>
          <w:lang w:eastAsia="en-US"/>
        </w:rPr>
        <w:t>,</w:t>
      </w:r>
      <w:r w:rsidRPr="00E874FD">
        <w:rPr>
          <w:rFonts w:ascii="Traditional Arabic" w:hAnsi="Traditional Arabic"/>
          <w:color w:val="auto"/>
          <w:sz w:val="32"/>
          <w:szCs w:val="32"/>
          <w:rtl/>
          <w:lang w:eastAsia="en-US"/>
        </w:rPr>
        <w:t xml:space="preserve"> أبو جعفر</w:t>
      </w:r>
      <w:r>
        <w:rPr>
          <w:rFonts w:ascii="Traditional Arabic" w:hAnsi="Traditional Arabic" w:hint="cs"/>
          <w:color w:val="auto"/>
          <w:sz w:val="32"/>
          <w:szCs w:val="32"/>
          <w:rtl/>
          <w:lang w:eastAsia="en-US"/>
        </w:rPr>
        <w:t>,</w:t>
      </w:r>
      <w:r w:rsidRPr="00E874FD">
        <w:rPr>
          <w:rFonts w:ascii="Traditional Arabic" w:hAnsi="Traditional Arabic"/>
          <w:color w:val="auto"/>
          <w:sz w:val="32"/>
          <w:szCs w:val="32"/>
          <w:rtl/>
          <w:lang w:eastAsia="en-US"/>
        </w:rPr>
        <w:t xml:space="preserve"> محمد بن جرير بن يزيد الطبري، الجليل, المفسر, صاحب التصانيف المشهورة، </w:t>
      </w:r>
      <w:r w:rsidRPr="00E874FD">
        <w:rPr>
          <w:rFonts w:ascii="Traditional Arabic" w:hAnsi="Traditional Arabic"/>
          <w:sz w:val="32"/>
          <w:szCs w:val="32"/>
          <w:rtl/>
          <w:lang w:eastAsia="en-US"/>
        </w:rPr>
        <w:t>رأس المفسرين على الإطلاق, جمع من العلوم ما لم يشاركه فيه أحد من أهل عصره</w:t>
      </w:r>
      <w:r w:rsidRPr="00E874FD">
        <w:rPr>
          <w:rFonts w:ascii="Traditional Arabic" w:hAnsi="Traditional Arabic"/>
          <w:color w:val="auto"/>
          <w:sz w:val="32"/>
          <w:szCs w:val="32"/>
          <w:rtl/>
          <w:lang w:eastAsia="en-US"/>
        </w:rPr>
        <w:t>, (ت310ه).</w:t>
      </w:r>
      <w:r w:rsidRPr="00E874FD">
        <w:rPr>
          <w:rFonts w:ascii="Traditional Arabic" w:hAnsi="Traditional Arabic"/>
          <w:color w:val="auto"/>
          <w:sz w:val="32"/>
          <w:szCs w:val="32"/>
          <w:rtl/>
        </w:rPr>
        <w:t xml:space="preserve"> انظر: </w:t>
      </w:r>
      <w:r w:rsidRPr="00E874FD">
        <w:rPr>
          <w:rFonts w:ascii="Traditional Arabic" w:hAnsi="Traditional Arabic"/>
          <w:sz w:val="32"/>
          <w:szCs w:val="32"/>
          <w:rtl/>
        </w:rPr>
        <w:t>فيات الأعيان (4/191), معرفة القراء الكبار للذهبي (1/264)</w:t>
      </w:r>
      <w:r>
        <w:rPr>
          <w:rFonts w:ascii="Traditional Arabic" w:hAnsi="Traditional Arabic" w:hint="cs"/>
          <w:sz w:val="32"/>
          <w:szCs w:val="32"/>
          <w:rtl/>
        </w:rPr>
        <w:t>.</w:t>
      </w:r>
    </w:p>
  </w:footnote>
  <w:footnote w:id="388">
    <w:p w:rsidR="003F128F" w:rsidRPr="00E874FD" w:rsidRDefault="003F128F" w:rsidP="006F55E1">
      <w:pPr>
        <w:pStyle w:val="af3"/>
        <w:rPr>
          <w:rFonts w:ascii="Traditional Arabic" w:hAnsi="Traditional Arabic"/>
          <w:sz w:val="32"/>
          <w:szCs w:val="32"/>
        </w:rPr>
      </w:pPr>
      <w:r w:rsidRPr="00E874FD">
        <w:rPr>
          <w:rFonts w:ascii="Traditional Arabic" w:hAnsi="Traditional Arabic"/>
          <w:sz w:val="32"/>
          <w:szCs w:val="32"/>
          <w:rtl/>
        </w:rPr>
        <w:t>(</w:t>
      </w:r>
      <w:r w:rsidRPr="00E874FD">
        <w:rPr>
          <w:rStyle w:val="ae"/>
          <w:rFonts w:ascii="Traditional Arabic" w:hAnsi="Traditional Arabic"/>
          <w:sz w:val="32"/>
          <w:szCs w:val="32"/>
          <w:vertAlign w:val="baseline"/>
        </w:rPr>
        <w:footnoteRef/>
      </w:r>
      <w:r w:rsidRPr="00E874FD">
        <w:rPr>
          <w:rFonts w:ascii="Traditional Arabic" w:hAnsi="Traditional Arabic"/>
          <w:sz w:val="32"/>
          <w:szCs w:val="32"/>
          <w:rtl/>
        </w:rPr>
        <w:t>) انظر: النكت والعيون (3/257).</w:t>
      </w:r>
    </w:p>
  </w:footnote>
  <w:footnote w:id="389">
    <w:p w:rsidR="003F128F" w:rsidRPr="00E874FD" w:rsidRDefault="003F128F" w:rsidP="006F55E1">
      <w:pPr>
        <w:pStyle w:val="af3"/>
        <w:rPr>
          <w:rFonts w:ascii="Traditional Arabic" w:hAnsi="Traditional Arabic"/>
          <w:sz w:val="32"/>
          <w:szCs w:val="32"/>
        </w:rPr>
      </w:pPr>
      <w:r w:rsidRPr="00E874FD">
        <w:rPr>
          <w:rFonts w:ascii="Traditional Arabic" w:hAnsi="Traditional Arabic"/>
          <w:sz w:val="32"/>
          <w:szCs w:val="32"/>
          <w:rtl/>
        </w:rPr>
        <w:t>(</w:t>
      </w:r>
      <w:r w:rsidRPr="00E874FD">
        <w:rPr>
          <w:rStyle w:val="ae"/>
          <w:rFonts w:ascii="Traditional Arabic" w:hAnsi="Traditional Arabic"/>
          <w:sz w:val="32"/>
          <w:szCs w:val="32"/>
          <w:vertAlign w:val="baseline"/>
        </w:rPr>
        <w:footnoteRef/>
      </w:r>
      <w:r w:rsidRPr="00E874FD">
        <w:rPr>
          <w:rFonts w:ascii="Traditional Arabic" w:hAnsi="Traditional Arabic"/>
          <w:sz w:val="32"/>
          <w:szCs w:val="32"/>
          <w:rtl/>
        </w:rPr>
        <w:t>) انظر: الكشف والبيان (6/115).</w:t>
      </w:r>
    </w:p>
  </w:footnote>
  <w:footnote w:id="390">
    <w:p w:rsidR="003F128F" w:rsidRPr="00181C7D" w:rsidRDefault="003F128F" w:rsidP="006F55E1">
      <w:pPr>
        <w:pStyle w:val="af3"/>
        <w:rPr>
          <w:rFonts w:ascii="Tahoma" w:hAnsi="Tahoma"/>
          <w:sz w:val="32"/>
          <w:szCs w:val="32"/>
        </w:rPr>
      </w:pPr>
      <w:r w:rsidRPr="00E874FD">
        <w:rPr>
          <w:rFonts w:ascii="Traditional Arabic" w:hAnsi="Traditional Arabic"/>
          <w:sz w:val="32"/>
          <w:szCs w:val="32"/>
          <w:rtl/>
        </w:rPr>
        <w:t>(</w:t>
      </w:r>
      <w:r w:rsidRPr="00E874FD">
        <w:rPr>
          <w:rStyle w:val="ae"/>
          <w:rFonts w:ascii="Traditional Arabic" w:hAnsi="Traditional Arabic"/>
          <w:color w:val="auto"/>
          <w:sz w:val="32"/>
          <w:szCs w:val="32"/>
          <w:vertAlign w:val="baseline"/>
        </w:rPr>
        <w:footnoteRef/>
      </w:r>
      <w:r w:rsidRPr="00E874FD">
        <w:rPr>
          <w:rFonts w:ascii="Traditional Arabic" w:hAnsi="Traditional Arabic"/>
          <w:color w:val="auto"/>
          <w:sz w:val="32"/>
          <w:szCs w:val="32"/>
          <w:rtl/>
        </w:rPr>
        <w:t xml:space="preserve">) هو </w:t>
      </w:r>
      <w:r>
        <w:rPr>
          <w:rFonts w:ascii="Traditional Arabic" w:hAnsi="Traditional Arabic"/>
          <w:color w:val="auto"/>
          <w:sz w:val="32"/>
          <w:szCs w:val="32"/>
          <w:rtl/>
        </w:rPr>
        <w:t>الإمام</w:t>
      </w:r>
      <w:r>
        <w:rPr>
          <w:rFonts w:ascii="Traditional Arabic" w:hAnsi="Traditional Arabic" w:hint="cs"/>
          <w:color w:val="auto"/>
          <w:sz w:val="32"/>
          <w:szCs w:val="32"/>
          <w:rtl/>
        </w:rPr>
        <w:t>,</w:t>
      </w:r>
      <w:r w:rsidRPr="00E874FD">
        <w:rPr>
          <w:rFonts w:ascii="Traditional Arabic" w:hAnsi="Traditional Arabic"/>
          <w:color w:val="auto"/>
          <w:sz w:val="32"/>
          <w:szCs w:val="32"/>
          <w:rtl/>
        </w:rPr>
        <w:t xml:space="preserve"> </w:t>
      </w:r>
      <w:r w:rsidRPr="00E874FD">
        <w:rPr>
          <w:rFonts w:ascii="Traditional Arabic" w:hAnsi="Traditional Arabic"/>
          <w:color w:val="auto"/>
          <w:sz w:val="32"/>
          <w:szCs w:val="32"/>
          <w:rtl/>
          <w:lang w:eastAsia="en-US"/>
        </w:rPr>
        <w:t>أبو إسحاق</w:t>
      </w:r>
      <w:r>
        <w:rPr>
          <w:rFonts w:ascii="Traditional Arabic" w:hAnsi="Traditional Arabic" w:hint="cs"/>
          <w:color w:val="auto"/>
          <w:sz w:val="32"/>
          <w:szCs w:val="32"/>
          <w:rtl/>
          <w:lang w:eastAsia="en-US"/>
        </w:rPr>
        <w:t>,</w:t>
      </w:r>
      <w:r w:rsidRPr="00E874FD">
        <w:rPr>
          <w:rFonts w:ascii="Traditional Arabic" w:hAnsi="Traditional Arabic"/>
          <w:color w:val="auto"/>
          <w:sz w:val="32"/>
          <w:szCs w:val="32"/>
          <w:rtl/>
          <w:lang w:eastAsia="en-US"/>
        </w:rPr>
        <w:t xml:space="preserve"> أحمد بن محمد بن إبراهيم الثعلبي النيسابوري,</w:t>
      </w:r>
      <w:r w:rsidRPr="00E874FD">
        <w:rPr>
          <w:rFonts w:ascii="Traditional Arabic" w:hAnsi="Traditional Arabic"/>
          <w:color w:val="auto"/>
          <w:sz w:val="32"/>
          <w:szCs w:val="32"/>
          <w:rtl/>
        </w:rPr>
        <w:t xml:space="preserve"> </w:t>
      </w:r>
      <w:r w:rsidRPr="00E874FD">
        <w:rPr>
          <w:rFonts w:ascii="Traditional Arabic" w:hAnsi="Traditional Arabic"/>
          <w:color w:val="auto"/>
          <w:sz w:val="32"/>
          <w:szCs w:val="32"/>
          <w:rtl/>
          <w:lang w:eastAsia="en-US"/>
        </w:rPr>
        <w:t xml:space="preserve">المفسر, الحافظ, المشهور, كان أوحد زمانه في علم التفسير، صنف كتاب "التفسير الكبير", وكتاب "العرائس", (ت427ه). انظر: وفيات الأعيان (1/80), </w:t>
      </w:r>
      <w:r w:rsidRPr="00E874FD">
        <w:rPr>
          <w:rFonts w:ascii="Traditional Arabic" w:hAnsi="Traditional Arabic"/>
          <w:sz w:val="32"/>
          <w:szCs w:val="32"/>
          <w:rtl/>
        </w:rPr>
        <w:t>سير أعلام النبلاء (17/435)</w:t>
      </w:r>
      <w:r w:rsidRPr="00E874FD">
        <w:rPr>
          <w:rFonts w:ascii="Traditional Arabic" w:hAnsi="Traditional Arabic"/>
          <w:color w:val="auto"/>
          <w:sz w:val="32"/>
          <w:szCs w:val="32"/>
          <w:rtl/>
        </w:rPr>
        <w:t xml:space="preserve">, </w:t>
      </w:r>
      <w:r w:rsidRPr="00E874FD">
        <w:rPr>
          <w:rFonts w:ascii="Traditional Arabic" w:hAnsi="Traditional Arabic"/>
          <w:sz w:val="32"/>
          <w:szCs w:val="32"/>
          <w:rtl/>
          <w:lang w:eastAsia="en-US"/>
        </w:rPr>
        <w:t xml:space="preserve">غاية النهاية لابن الجزري </w:t>
      </w:r>
      <w:r w:rsidRPr="00E874FD">
        <w:rPr>
          <w:rFonts w:ascii="Traditional Arabic" w:hAnsi="Traditional Arabic"/>
          <w:sz w:val="32"/>
          <w:szCs w:val="32"/>
          <w:rtl/>
        </w:rPr>
        <w:t>(1/100).</w:t>
      </w:r>
    </w:p>
  </w:footnote>
  <w:footnote w:id="391">
    <w:p w:rsidR="003F128F" w:rsidRPr="00994E07" w:rsidRDefault="003F128F" w:rsidP="003C3020">
      <w:pPr>
        <w:pStyle w:val="af3"/>
        <w:rPr>
          <w:rFonts w:ascii="Traditional Arabic" w:hAnsi="Traditional Arabic"/>
          <w:sz w:val="32"/>
          <w:szCs w:val="32"/>
        </w:rPr>
      </w:pPr>
      <w:r w:rsidRPr="00994E07">
        <w:rPr>
          <w:rFonts w:ascii="Traditional Arabic" w:hAnsi="Traditional Arabic"/>
          <w:sz w:val="32"/>
          <w:szCs w:val="32"/>
          <w:rtl/>
        </w:rPr>
        <w:t>(</w:t>
      </w:r>
      <w:r w:rsidRPr="00994E07">
        <w:rPr>
          <w:rStyle w:val="ae"/>
          <w:rFonts w:ascii="Traditional Arabic" w:hAnsi="Traditional Arabic"/>
          <w:sz w:val="32"/>
          <w:szCs w:val="32"/>
          <w:vertAlign w:val="baseline"/>
        </w:rPr>
        <w:footnoteRef/>
      </w:r>
      <w:r>
        <w:rPr>
          <w:rFonts w:ascii="Traditional Arabic" w:hAnsi="Traditional Arabic"/>
          <w:sz w:val="32"/>
          <w:szCs w:val="32"/>
          <w:rtl/>
        </w:rPr>
        <w:t>)</w:t>
      </w:r>
      <w:r w:rsidRPr="00994E07">
        <w:rPr>
          <w:rFonts w:ascii="Traditional Arabic" w:hAnsi="Traditional Arabic"/>
          <w:sz w:val="32"/>
          <w:szCs w:val="32"/>
          <w:rtl/>
        </w:rPr>
        <w:t xml:space="preserve"> انظر: تفسير مقاتل (2/266), تفسير الطبري (17/501)</w:t>
      </w:r>
      <w:r>
        <w:rPr>
          <w:rFonts w:ascii="Traditional Arabic" w:hAnsi="Traditional Arabic" w:hint="cs"/>
          <w:sz w:val="32"/>
          <w:szCs w:val="32"/>
          <w:rtl/>
        </w:rPr>
        <w:t>.</w:t>
      </w:r>
    </w:p>
  </w:footnote>
  <w:footnote w:id="392">
    <w:p w:rsidR="003F128F" w:rsidRPr="00181C7D" w:rsidRDefault="003F128F" w:rsidP="003C3020">
      <w:pPr>
        <w:pStyle w:val="af3"/>
        <w:rPr>
          <w:rFonts w:ascii="Tahoma" w:hAnsi="Tahoma"/>
          <w:sz w:val="32"/>
          <w:szCs w:val="32"/>
        </w:rPr>
      </w:pPr>
      <w:r w:rsidRPr="00181C7D">
        <w:rPr>
          <w:rFonts w:ascii="Tahoma" w:hAnsi="Tahoma"/>
          <w:sz w:val="32"/>
          <w:szCs w:val="32"/>
          <w:rtl/>
        </w:rPr>
        <w:t>(</w:t>
      </w:r>
      <w:r w:rsidRPr="00181C7D">
        <w:rPr>
          <w:rStyle w:val="ae"/>
          <w:rFonts w:ascii="Tahoma" w:hAnsi="Tahoma"/>
          <w:sz w:val="32"/>
          <w:szCs w:val="32"/>
          <w:vertAlign w:val="baseline"/>
        </w:rPr>
        <w:footnoteRef/>
      </w:r>
      <w:r>
        <w:rPr>
          <w:rFonts w:ascii="Tahoma" w:hAnsi="Tahoma"/>
          <w:sz w:val="32"/>
          <w:szCs w:val="32"/>
          <w:rtl/>
        </w:rPr>
        <w:t xml:space="preserve">) </w:t>
      </w:r>
      <w:r>
        <w:rPr>
          <w:rFonts w:ascii="Tahoma" w:hAnsi="Tahoma" w:hint="cs"/>
          <w:sz w:val="32"/>
          <w:szCs w:val="32"/>
          <w:rtl/>
        </w:rPr>
        <w:t>انظر: تفسير</w:t>
      </w:r>
      <w:r w:rsidRPr="00181C7D">
        <w:rPr>
          <w:rFonts w:ascii="Tahoma" w:hAnsi="Tahoma" w:hint="cs"/>
          <w:sz w:val="32"/>
          <w:szCs w:val="32"/>
          <w:rtl/>
        </w:rPr>
        <w:t xml:space="preserve"> الطبري </w:t>
      </w:r>
      <w:r w:rsidRPr="00181C7D">
        <w:rPr>
          <w:rFonts w:ascii="Traditional Arabic" w:hAnsi="Traditional Arabic"/>
          <w:sz w:val="32"/>
          <w:szCs w:val="32"/>
          <w:rtl/>
        </w:rPr>
        <w:t>(17/501)</w:t>
      </w:r>
      <w:r w:rsidRPr="00181C7D">
        <w:rPr>
          <w:rFonts w:ascii="Tahoma" w:hAnsi="Tahoma" w:hint="cs"/>
          <w:sz w:val="32"/>
          <w:szCs w:val="32"/>
          <w:rtl/>
        </w:rPr>
        <w:t>,</w:t>
      </w:r>
      <w:r>
        <w:rPr>
          <w:rFonts w:ascii="Tahoma" w:hAnsi="Tahoma" w:hint="cs"/>
          <w:sz w:val="32"/>
          <w:szCs w:val="32"/>
          <w:rtl/>
        </w:rPr>
        <w:t xml:space="preserve"> بحر العلوم </w:t>
      </w:r>
      <w:r>
        <w:rPr>
          <w:rFonts w:ascii="Traditional Arabic" w:hAnsi="Traditional Arabic"/>
          <w:sz w:val="32"/>
          <w:szCs w:val="32"/>
          <w:rtl/>
        </w:rPr>
        <w:t>(2/321)</w:t>
      </w:r>
      <w:r>
        <w:rPr>
          <w:rFonts w:ascii="Traditional Arabic" w:hAnsi="Traditional Arabic" w:hint="cs"/>
          <w:sz w:val="32"/>
          <w:szCs w:val="32"/>
          <w:rtl/>
        </w:rPr>
        <w:t>.</w:t>
      </w:r>
    </w:p>
  </w:footnote>
  <w:footnote w:id="393">
    <w:p w:rsidR="003F128F" w:rsidRPr="00181C7D" w:rsidRDefault="003F128F" w:rsidP="003C3020">
      <w:pPr>
        <w:pStyle w:val="af3"/>
        <w:rPr>
          <w:rFonts w:ascii="Tahoma" w:hAnsi="Tahoma"/>
          <w:sz w:val="32"/>
          <w:szCs w:val="32"/>
        </w:rPr>
      </w:pPr>
      <w:r w:rsidRPr="00181C7D">
        <w:rPr>
          <w:rFonts w:ascii="Tahoma" w:hAnsi="Tahoma"/>
          <w:sz w:val="32"/>
          <w:szCs w:val="32"/>
          <w:rtl/>
        </w:rPr>
        <w:t>(</w:t>
      </w:r>
      <w:r w:rsidRPr="00181C7D">
        <w:rPr>
          <w:rStyle w:val="ae"/>
          <w:rFonts w:ascii="Tahoma" w:hAnsi="Tahoma"/>
          <w:sz w:val="32"/>
          <w:szCs w:val="32"/>
          <w:vertAlign w:val="baseline"/>
        </w:rPr>
        <w:footnoteRef/>
      </w:r>
      <w:r>
        <w:rPr>
          <w:rFonts w:ascii="Tahoma" w:hAnsi="Tahoma"/>
          <w:sz w:val="32"/>
          <w:szCs w:val="32"/>
          <w:rtl/>
        </w:rPr>
        <w:t>)</w:t>
      </w:r>
      <w:r w:rsidRPr="00181C7D">
        <w:rPr>
          <w:rFonts w:ascii="Tahoma" w:hAnsi="Tahoma" w:hint="cs"/>
          <w:sz w:val="32"/>
          <w:szCs w:val="32"/>
          <w:rtl/>
        </w:rPr>
        <w:t xml:space="preserve"> </w:t>
      </w:r>
      <w:r>
        <w:rPr>
          <w:rFonts w:ascii="Tahoma" w:hAnsi="Tahoma" w:hint="cs"/>
          <w:sz w:val="32"/>
          <w:szCs w:val="32"/>
          <w:rtl/>
        </w:rPr>
        <w:t>انظر: تفسير</w:t>
      </w:r>
      <w:r w:rsidRPr="00181C7D">
        <w:rPr>
          <w:rFonts w:ascii="Tahoma" w:hAnsi="Tahoma" w:hint="cs"/>
          <w:sz w:val="32"/>
          <w:szCs w:val="32"/>
          <w:rtl/>
        </w:rPr>
        <w:t xml:space="preserve"> الطبري</w:t>
      </w:r>
      <w:r>
        <w:rPr>
          <w:rFonts w:ascii="Traditional Arabic" w:hAnsi="Traditional Arabic" w:hint="cs"/>
          <w:sz w:val="32"/>
          <w:szCs w:val="32"/>
          <w:rtl/>
        </w:rPr>
        <w:t xml:space="preserve"> </w:t>
      </w:r>
      <w:r w:rsidRPr="00181C7D">
        <w:rPr>
          <w:rFonts w:ascii="Traditional Arabic" w:hAnsi="Traditional Arabic"/>
          <w:sz w:val="32"/>
          <w:szCs w:val="32"/>
          <w:rtl/>
        </w:rPr>
        <w:t>(17/501)</w:t>
      </w:r>
      <w:r w:rsidRPr="00181C7D">
        <w:rPr>
          <w:rFonts w:ascii="Tahoma" w:hAnsi="Tahoma" w:hint="cs"/>
          <w:sz w:val="32"/>
          <w:szCs w:val="32"/>
          <w:rtl/>
        </w:rPr>
        <w:t xml:space="preserve">, </w:t>
      </w:r>
      <w:r>
        <w:rPr>
          <w:rFonts w:ascii="Tahoma" w:hAnsi="Tahoma" w:hint="cs"/>
          <w:sz w:val="32"/>
          <w:szCs w:val="32"/>
          <w:rtl/>
        </w:rPr>
        <w:t>النكت والعيون (3/258).</w:t>
      </w:r>
    </w:p>
  </w:footnote>
  <w:footnote w:id="394">
    <w:p w:rsidR="003F128F" w:rsidRPr="00181C7D" w:rsidRDefault="003F128F" w:rsidP="00E874FD">
      <w:pPr>
        <w:pStyle w:val="af3"/>
        <w:rPr>
          <w:rFonts w:ascii="Tahoma" w:hAnsi="Tahoma"/>
          <w:sz w:val="32"/>
          <w:szCs w:val="32"/>
        </w:rPr>
      </w:pPr>
      <w:r w:rsidRPr="00181C7D">
        <w:rPr>
          <w:rFonts w:ascii="Tahoma" w:hAnsi="Tahoma"/>
          <w:sz w:val="32"/>
          <w:szCs w:val="32"/>
          <w:rtl/>
        </w:rPr>
        <w:t>(</w:t>
      </w:r>
      <w:r w:rsidRPr="00181C7D">
        <w:rPr>
          <w:rStyle w:val="ae"/>
          <w:rFonts w:ascii="Tahoma" w:hAnsi="Tahoma"/>
          <w:sz w:val="32"/>
          <w:szCs w:val="32"/>
          <w:vertAlign w:val="baseline"/>
        </w:rPr>
        <w:footnoteRef/>
      </w:r>
      <w:r>
        <w:rPr>
          <w:rFonts w:ascii="Tahoma" w:hAnsi="Tahoma"/>
          <w:sz w:val="32"/>
          <w:szCs w:val="32"/>
          <w:rtl/>
        </w:rPr>
        <w:t xml:space="preserve">) </w:t>
      </w:r>
      <w:r w:rsidRPr="00181C7D">
        <w:rPr>
          <w:rFonts w:ascii="Tahoma" w:hAnsi="Tahoma" w:hint="cs"/>
          <w:sz w:val="32"/>
          <w:szCs w:val="32"/>
          <w:rtl/>
        </w:rPr>
        <w:t>وهو قول ابن عباس</w:t>
      </w:r>
      <w:r>
        <w:rPr>
          <w:rFonts w:ascii="Tahoma" w:hAnsi="Tahoma" w:hint="cs"/>
          <w:sz w:val="32"/>
          <w:szCs w:val="32"/>
          <w:rtl/>
        </w:rPr>
        <w:t xml:space="preserve"> رضي الله عنهما والكلبي وغيرهما, انظر: بحر العلوم (2/321)</w:t>
      </w:r>
      <w:r w:rsidRPr="00181C7D">
        <w:rPr>
          <w:rFonts w:ascii="Tahoma" w:hAnsi="Tahoma" w:hint="cs"/>
          <w:sz w:val="32"/>
          <w:szCs w:val="32"/>
          <w:rtl/>
        </w:rPr>
        <w:t xml:space="preserve">, </w:t>
      </w:r>
      <w:r>
        <w:rPr>
          <w:rFonts w:ascii="Traditional Arabic" w:hAnsi="Traditional Arabic" w:hint="cs"/>
          <w:sz w:val="32"/>
          <w:szCs w:val="32"/>
          <w:rtl/>
        </w:rPr>
        <w:t>معالم التنزيل</w:t>
      </w:r>
      <w:r w:rsidRPr="00E874FD">
        <w:rPr>
          <w:rFonts w:ascii="Traditional Arabic" w:hAnsi="Traditional Arabic"/>
          <w:sz w:val="32"/>
          <w:szCs w:val="32"/>
          <w:rtl/>
        </w:rPr>
        <w:t xml:space="preserve"> </w:t>
      </w:r>
      <w:r>
        <w:rPr>
          <w:rFonts w:ascii="Traditional Arabic" w:hAnsi="Traditional Arabic"/>
          <w:sz w:val="32"/>
          <w:szCs w:val="32"/>
          <w:rtl/>
        </w:rPr>
        <w:t>(</w:t>
      </w:r>
      <w:r>
        <w:rPr>
          <w:rFonts w:ascii="Traditional Arabic" w:hAnsi="Traditional Arabic" w:hint="cs"/>
          <w:sz w:val="32"/>
          <w:szCs w:val="32"/>
          <w:rtl/>
        </w:rPr>
        <w:t>5/108</w:t>
      </w:r>
      <w:r>
        <w:rPr>
          <w:rFonts w:ascii="Traditional Arabic" w:hAnsi="Traditional Arabic"/>
          <w:sz w:val="32"/>
          <w:szCs w:val="32"/>
          <w:rtl/>
        </w:rPr>
        <w:t>)</w:t>
      </w:r>
      <w:r w:rsidRPr="00181C7D">
        <w:rPr>
          <w:rFonts w:ascii="Traditional Arabic" w:hAnsi="Traditional Arabic" w:hint="cs"/>
          <w:sz w:val="32"/>
          <w:szCs w:val="32"/>
          <w:rtl/>
        </w:rPr>
        <w:t xml:space="preserve">, </w:t>
      </w:r>
      <w:r w:rsidRPr="00181C7D">
        <w:rPr>
          <w:rFonts w:ascii="Traditional Arabic" w:hAnsi="Traditional Arabic"/>
          <w:sz w:val="32"/>
          <w:szCs w:val="32"/>
          <w:rtl/>
        </w:rPr>
        <w:t>تفسير السمعاني (3/26</w:t>
      </w:r>
      <w:r w:rsidRPr="00181C7D">
        <w:rPr>
          <w:rFonts w:ascii="Traditional Arabic" w:hAnsi="Traditional Arabic" w:hint="cs"/>
          <w:sz w:val="32"/>
          <w:szCs w:val="32"/>
          <w:rtl/>
        </w:rPr>
        <w:t>3</w:t>
      </w:r>
      <w:r>
        <w:rPr>
          <w:rFonts w:ascii="Traditional Arabic" w:hAnsi="Traditional Arabic"/>
          <w:sz w:val="32"/>
          <w:szCs w:val="32"/>
          <w:rtl/>
        </w:rPr>
        <w:t>)</w:t>
      </w:r>
      <w:r w:rsidRPr="00181C7D">
        <w:rPr>
          <w:rFonts w:ascii="Traditional Arabic" w:hAnsi="Traditional Arabic"/>
          <w:sz w:val="32"/>
          <w:szCs w:val="32"/>
          <w:rtl/>
        </w:rPr>
        <w:t>.</w:t>
      </w:r>
    </w:p>
  </w:footnote>
  <w:footnote w:id="395">
    <w:p w:rsidR="003F128F" w:rsidRPr="00794EC0" w:rsidRDefault="003F128F" w:rsidP="00174EBA">
      <w:pPr>
        <w:pStyle w:val="af3"/>
        <w:rPr>
          <w:rFonts w:ascii="Traditional Arabic" w:hAnsi="Traditional Arabic"/>
          <w:sz w:val="32"/>
          <w:szCs w:val="32"/>
        </w:rPr>
      </w:pPr>
      <w:r w:rsidRPr="00794EC0">
        <w:rPr>
          <w:rFonts w:ascii="Traditional Arabic" w:hAnsi="Traditional Arabic"/>
          <w:sz w:val="32"/>
          <w:szCs w:val="32"/>
          <w:rtl/>
        </w:rPr>
        <w:t>(</w:t>
      </w:r>
      <w:r w:rsidRPr="00794EC0">
        <w:rPr>
          <w:rStyle w:val="ae"/>
          <w:rFonts w:ascii="Traditional Arabic" w:hAnsi="Traditional Arabic"/>
          <w:sz w:val="32"/>
          <w:szCs w:val="32"/>
          <w:vertAlign w:val="baseline"/>
        </w:rPr>
        <w:footnoteRef/>
      </w:r>
      <w:r w:rsidRPr="00794EC0">
        <w:rPr>
          <w:rFonts w:ascii="Traditional Arabic" w:hAnsi="Traditional Arabic"/>
          <w:sz w:val="32"/>
          <w:szCs w:val="32"/>
          <w:rtl/>
        </w:rPr>
        <w:t>) تقدم في (ص109).</w:t>
      </w:r>
    </w:p>
  </w:footnote>
  <w:footnote w:id="396">
    <w:p w:rsidR="003F128F" w:rsidRPr="00794EC0" w:rsidRDefault="003F128F" w:rsidP="00E874FD">
      <w:pPr>
        <w:pStyle w:val="af3"/>
        <w:rPr>
          <w:rFonts w:ascii="Traditional Arabic" w:hAnsi="Traditional Arabic"/>
          <w:sz w:val="32"/>
          <w:szCs w:val="32"/>
        </w:rPr>
      </w:pPr>
      <w:r w:rsidRPr="00794EC0">
        <w:rPr>
          <w:rFonts w:ascii="Traditional Arabic" w:hAnsi="Traditional Arabic"/>
          <w:sz w:val="32"/>
          <w:szCs w:val="32"/>
          <w:rtl/>
        </w:rPr>
        <w:t>(</w:t>
      </w:r>
      <w:r w:rsidRPr="00794EC0">
        <w:rPr>
          <w:rStyle w:val="ae"/>
          <w:rFonts w:ascii="Traditional Arabic" w:hAnsi="Traditional Arabic"/>
          <w:sz w:val="32"/>
          <w:szCs w:val="32"/>
          <w:vertAlign w:val="baseline"/>
        </w:rPr>
        <w:footnoteRef/>
      </w:r>
      <w:r w:rsidRPr="00794EC0">
        <w:rPr>
          <w:rFonts w:ascii="Traditional Arabic" w:hAnsi="Traditional Arabic"/>
          <w:sz w:val="32"/>
          <w:szCs w:val="32"/>
          <w:rtl/>
        </w:rPr>
        <w:t>) قال به مكي كما في الهداية (6/4249), وانظر : معالم التنزيل (5/108).</w:t>
      </w:r>
    </w:p>
  </w:footnote>
  <w:footnote w:id="397">
    <w:p w:rsidR="003F128F" w:rsidRPr="00794EC0" w:rsidRDefault="003F128F" w:rsidP="00174EBA">
      <w:pPr>
        <w:pStyle w:val="af3"/>
        <w:rPr>
          <w:rFonts w:ascii="Traditional Arabic" w:hAnsi="Traditional Arabic"/>
          <w:sz w:val="32"/>
          <w:szCs w:val="32"/>
        </w:rPr>
      </w:pPr>
      <w:r w:rsidRPr="00794EC0">
        <w:rPr>
          <w:rFonts w:ascii="Traditional Arabic" w:hAnsi="Traditional Arabic"/>
          <w:sz w:val="32"/>
          <w:szCs w:val="32"/>
          <w:rtl/>
        </w:rPr>
        <w:t>(</w:t>
      </w:r>
      <w:r w:rsidRPr="00794EC0">
        <w:rPr>
          <w:rStyle w:val="ae"/>
          <w:rFonts w:ascii="Traditional Arabic" w:hAnsi="Traditional Arabic"/>
          <w:sz w:val="32"/>
          <w:szCs w:val="32"/>
          <w:vertAlign w:val="baseline"/>
        </w:rPr>
        <w:footnoteRef/>
      </w:r>
      <w:r w:rsidRPr="00794EC0">
        <w:rPr>
          <w:rFonts w:ascii="Traditional Arabic" w:hAnsi="Traditional Arabic"/>
          <w:sz w:val="32"/>
          <w:szCs w:val="32"/>
          <w:rtl/>
        </w:rPr>
        <w:t>) ما بين المعكوفتين ساقط من الأصل, والمثبت من (ك).</w:t>
      </w:r>
    </w:p>
  </w:footnote>
  <w:footnote w:id="398">
    <w:p w:rsidR="003F128F" w:rsidRPr="00794EC0" w:rsidRDefault="003F128F" w:rsidP="00EF05B8">
      <w:pPr>
        <w:pStyle w:val="af3"/>
        <w:rPr>
          <w:rFonts w:ascii="Traditional Arabic" w:hAnsi="Traditional Arabic"/>
          <w:sz w:val="32"/>
          <w:szCs w:val="32"/>
        </w:rPr>
      </w:pPr>
      <w:r w:rsidRPr="00794EC0">
        <w:rPr>
          <w:rFonts w:ascii="Traditional Arabic" w:hAnsi="Traditional Arabic"/>
          <w:sz w:val="32"/>
          <w:szCs w:val="32"/>
          <w:rtl/>
        </w:rPr>
        <w:t>(</w:t>
      </w:r>
      <w:r w:rsidRPr="00794EC0">
        <w:rPr>
          <w:rStyle w:val="ae"/>
          <w:rFonts w:ascii="Traditional Arabic" w:hAnsi="Traditional Arabic"/>
          <w:sz w:val="32"/>
          <w:szCs w:val="32"/>
          <w:vertAlign w:val="baseline"/>
        </w:rPr>
        <w:footnoteRef/>
      </w:r>
      <w:r w:rsidRPr="00794EC0">
        <w:rPr>
          <w:rFonts w:ascii="Traditional Arabic" w:hAnsi="Traditional Arabic"/>
          <w:sz w:val="32"/>
          <w:szCs w:val="32"/>
          <w:rtl/>
        </w:rPr>
        <w:t>) انظر: الكشف والبيان (6/115), غرائب التفسير (1/636).</w:t>
      </w:r>
    </w:p>
  </w:footnote>
  <w:footnote w:id="399">
    <w:p w:rsidR="003F128F" w:rsidRPr="00794EC0" w:rsidRDefault="003F128F" w:rsidP="00D34C5D">
      <w:pPr>
        <w:pStyle w:val="af3"/>
        <w:rPr>
          <w:rFonts w:ascii="Traditional Arabic" w:hAnsi="Traditional Arabic"/>
          <w:sz w:val="32"/>
          <w:szCs w:val="32"/>
        </w:rPr>
      </w:pPr>
      <w:r w:rsidRPr="00794EC0">
        <w:rPr>
          <w:rFonts w:ascii="Traditional Arabic" w:hAnsi="Traditional Arabic"/>
          <w:sz w:val="32"/>
          <w:szCs w:val="32"/>
          <w:rtl/>
        </w:rPr>
        <w:t>(</w:t>
      </w:r>
      <w:r w:rsidRPr="00794EC0">
        <w:rPr>
          <w:rStyle w:val="ae"/>
          <w:rFonts w:ascii="Traditional Arabic" w:hAnsi="Traditional Arabic"/>
          <w:sz w:val="32"/>
          <w:szCs w:val="32"/>
          <w:vertAlign w:val="baseline"/>
        </w:rPr>
        <w:footnoteRef/>
      </w:r>
      <w:r w:rsidRPr="00794EC0">
        <w:rPr>
          <w:rFonts w:ascii="Traditional Arabic" w:hAnsi="Traditional Arabic"/>
          <w:sz w:val="32"/>
          <w:szCs w:val="32"/>
          <w:rtl/>
        </w:rPr>
        <w:t>)</w:t>
      </w:r>
      <w:r w:rsidRPr="00794EC0">
        <w:rPr>
          <w:rFonts w:ascii="Traditional Arabic" w:hAnsi="Traditional Arabic"/>
          <w:color w:val="auto"/>
          <w:sz w:val="32"/>
          <w:szCs w:val="32"/>
          <w:rtl/>
        </w:rPr>
        <w:t xml:space="preserve"> هو صاحب رسول الله </w:t>
      </w:r>
      <w:r w:rsidRPr="00794EC0">
        <w:rPr>
          <w:rFonts w:ascii="Traditional Arabic" w:hAnsi="Traditional Arabic"/>
          <w:color w:val="auto"/>
          <w:sz w:val="32"/>
          <w:szCs w:val="32"/>
        </w:rPr>
        <w:t xml:space="preserve"> </w:t>
      </w:r>
      <w:r w:rsidRPr="00794EC0">
        <w:rPr>
          <w:rFonts w:ascii="Traditional Arabic" w:hAnsi="Traditional Arabic"/>
          <w:color w:val="auto"/>
          <w:sz w:val="32"/>
          <w:szCs w:val="32"/>
        </w:rPr>
        <w:sym w:font="AGA Arabesque" w:char="F072"/>
      </w:r>
      <w:r w:rsidRPr="00794EC0">
        <w:rPr>
          <w:rFonts w:ascii="Traditional Arabic" w:hAnsi="Traditional Arabic"/>
          <w:color w:val="auto"/>
          <w:sz w:val="32"/>
          <w:szCs w:val="32"/>
          <w:rtl/>
          <w:lang w:eastAsia="en-US"/>
        </w:rPr>
        <w:t xml:space="preserve">أبو هريرة عبد الرحمن بن صخر </w:t>
      </w:r>
      <w:r>
        <w:rPr>
          <w:rFonts w:ascii="Traditional Arabic" w:hAnsi="Traditional Arabic"/>
          <w:color w:val="auto"/>
          <w:sz w:val="32"/>
          <w:szCs w:val="32"/>
          <w:rtl/>
          <w:lang w:eastAsia="en-US"/>
        </w:rPr>
        <w:t>-</w:t>
      </w:r>
      <w:r w:rsidRPr="00794EC0">
        <w:rPr>
          <w:rFonts w:ascii="Traditional Arabic" w:hAnsi="Traditional Arabic"/>
          <w:color w:val="auto"/>
          <w:sz w:val="32"/>
          <w:szCs w:val="32"/>
          <w:rtl/>
          <w:lang w:eastAsia="en-US"/>
        </w:rPr>
        <w:t>على الأشهر-</w:t>
      </w:r>
      <w:r w:rsidRPr="00794EC0">
        <w:rPr>
          <w:rFonts w:ascii="Traditional Arabic" w:hAnsi="Traditional Arabic"/>
          <w:color w:val="auto"/>
          <w:sz w:val="32"/>
          <w:szCs w:val="32"/>
          <w:rtl/>
        </w:rPr>
        <w:t xml:space="preserve"> </w:t>
      </w:r>
      <w:r w:rsidRPr="00794EC0">
        <w:rPr>
          <w:rFonts w:ascii="Traditional Arabic" w:hAnsi="Traditional Arabic"/>
          <w:color w:val="auto"/>
          <w:sz w:val="32"/>
          <w:szCs w:val="32"/>
          <w:rtl/>
          <w:lang w:eastAsia="en-US"/>
        </w:rPr>
        <w:t>الدوسي</w:t>
      </w:r>
      <w:r>
        <w:rPr>
          <w:rFonts w:ascii="Traditional Arabic" w:hAnsi="Traditional Arabic" w:hint="cs"/>
          <w:color w:val="auto"/>
          <w:sz w:val="32"/>
          <w:szCs w:val="32"/>
          <w:rtl/>
          <w:lang w:eastAsia="en-US"/>
        </w:rPr>
        <w:t>,</w:t>
      </w:r>
      <w:r w:rsidRPr="00794EC0">
        <w:rPr>
          <w:rFonts w:ascii="Traditional Arabic" w:hAnsi="Traditional Arabic"/>
          <w:color w:val="auto"/>
          <w:sz w:val="32"/>
          <w:szCs w:val="32"/>
          <w:rtl/>
          <w:lang w:eastAsia="en-US"/>
        </w:rPr>
        <w:t xml:space="preserve"> اليماني, الفقيه</w:t>
      </w:r>
      <w:r w:rsidRPr="00794EC0">
        <w:rPr>
          <w:rFonts w:ascii="Traditional Arabic" w:hAnsi="Traditional Arabic"/>
          <w:color w:val="auto"/>
          <w:sz w:val="32"/>
          <w:szCs w:val="32"/>
          <w:rtl/>
        </w:rPr>
        <w:t xml:space="preserve">, </w:t>
      </w:r>
      <w:r w:rsidRPr="00794EC0">
        <w:rPr>
          <w:rFonts w:ascii="Traditional Arabic" w:hAnsi="Traditional Arabic"/>
          <w:color w:val="auto"/>
          <w:sz w:val="32"/>
          <w:szCs w:val="32"/>
          <w:rtl/>
          <w:lang w:eastAsia="en-US"/>
        </w:rPr>
        <w:t xml:space="preserve"> الإمام، المجتهد، سيد الحفاظ الأثبات, من مشاهر الصحابة, (ت57ه).</w:t>
      </w:r>
      <w:r w:rsidRPr="00794EC0">
        <w:rPr>
          <w:rFonts w:ascii="Traditional Arabic" w:hAnsi="Traditional Arabic"/>
          <w:sz w:val="32"/>
          <w:szCs w:val="32"/>
          <w:rtl/>
        </w:rPr>
        <w:t xml:space="preserve"> انظر: الطبقات لابن سعد (2/276)، الاستيعاب لابن عبد البر (4/1768), اسد الغابة (1/371).</w:t>
      </w:r>
    </w:p>
  </w:footnote>
  <w:footnote w:id="400">
    <w:p w:rsidR="003F128F" w:rsidRPr="00794EC0" w:rsidRDefault="003F128F" w:rsidP="00F023A3">
      <w:pPr>
        <w:pStyle w:val="af3"/>
        <w:rPr>
          <w:rFonts w:ascii="Traditional Arabic" w:hAnsi="Traditional Arabic"/>
          <w:sz w:val="32"/>
          <w:szCs w:val="32"/>
        </w:rPr>
      </w:pPr>
      <w:r w:rsidRPr="00794EC0">
        <w:rPr>
          <w:rFonts w:ascii="Traditional Arabic" w:hAnsi="Traditional Arabic"/>
          <w:sz w:val="32"/>
          <w:szCs w:val="32"/>
          <w:rtl/>
        </w:rPr>
        <w:t>(</w:t>
      </w:r>
      <w:r w:rsidRPr="00794EC0">
        <w:rPr>
          <w:rStyle w:val="ae"/>
          <w:rFonts w:ascii="Traditional Arabic" w:hAnsi="Traditional Arabic"/>
          <w:sz w:val="32"/>
          <w:szCs w:val="32"/>
          <w:vertAlign w:val="baseline"/>
        </w:rPr>
        <w:footnoteRef/>
      </w:r>
      <w:r w:rsidRPr="00794EC0">
        <w:rPr>
          <w:rFonts w:ascii="Traditional Arabic" w:hAnsi="Traditional Arabic"/>
          <w:sz w:val="32"/>
          <w:szCs w:val="32"/>
          <w:rtl/>
        </w:rPr>
        <w:t>) أخرجه ابن ماجه (كتاب الفتن, باب</w:t>
      </w:r>
      <w:r>
        <w:rPr>
          <w:rFonts w:ascii="Traditional Arabic" w:hAnsi="Traditional Arabic" w:hint="cs"/>
          <w:sz w:val="32"/>
          <w:szCs w:val="32"/>
          <w:rtl/>
        </w:rPr>
        <w:t>:</w:t>
      </w:r>
      <w:r w:rsidRPr="00794EC0">
        <w:rPr>
          <w:rFonts w:ascii="Traditional Arabic" w:hAnsi="Traditional Arabic"/>
          <w:sz w:val="32"/>
          <w:szCs w:val="32"/>
          <w:rtl/>
        </w:rPr>
        <w:t xml:space="preserve"> المسلمون في ذمة الله عز وجل, 4/326 ح3947), بلفظ: </w:t>
      </w:r>
      <w:r w:rsidRPr="00794EC0">
        <w:rPr>
          <w:rFonts w:ascii="Traditional Arabic" w:hAnsi="Traditional Arabic"/>
          <w:color w:val="auto"/>
          <w:sz w:val="32"/>
          <w:szCs w:val="32"/>
          <w:rtl/>
          <w:lang w:eastAsia="en-US"/>
        </w:rPr>
        <w:t>«المؤمن أكرم على الله عز وجل، من بعض ملائكته»</w:t>
      </w:r>
      <w:r w:rsidRPr="00794EC0">
        <w:rPr>
          <w:rFonts w:ascii="Traditional Arabic" w:hAnsi="Traditional Arabic"/>
          <w:sz w:val="32"/>
          <w:szCs w:val="32"/>
          <w:rtl/>
        </w:rPr>
        <w:t>, وتمام الرازي في كتاب الفوائد, (2/32 ح1056), والبيهقي في الشعب, (ح152) عن أبي هريرة موقوفاً, وقال البيهقي: كذا رواه أبو المهزم عن أبي هريرة موقوفاً, وأبو المهزم متروك. وأخرجه وكيع في كتاب الزهد (ح84), و</w:t>
      </w:r>
      <w:r>
        <w:rPr>
          <w:rFonts w:ascii="Traditional Arabic" w:hAnsi="Traditional Arabic" w:hint="cs"/>
          <w:sz w:val="32"/>
          <w:szCs w:val="32"/>
          <w:rtl/>
        </w:rPr>
        <w:t xml:space="preserve">ذكره </w:t>
      </w:r>
      <w:r w:rsidRPr="00794EC0">
        <w:rPr>
          <w:rFonts w:ascii="Traditional Arabic" w:hAnsi="Traditional Arabic"/>
          <w:sz w:val="32"/>
          <w:szCs w:val="32"/>
          <w:rtl/>
        </w:rPr>
        <w:t xml:space="preserve">الهيثمي في مجمع الزوائد (ح267) بلفظ: </w:t>
      </w:r>
      <w:r w:rsidRPr="00794EC0">
        <w:rPr>
          <w:rFonts w:ascii="Traditional Arabic" w:hAnsi="Traditional Arabic"/>
          <w:sz w:val="32"/>
          <w:szCs w:val="32"/>
          <w:rtl/>
          <w:lang w:eastAsia="en-US"/>
        </w:rPr>
        <w:t>«قال الله: عبدي المؤمن أحب إِلي من بعض ملائكتي»</w:t>
      </w:r>
      <w:r w:rsidRPr="00794EC0">
        <w:rPr>
          <w:rFonts w:ascii="Traditional Arabic" w:hAnsi="Traditional Arabic"/>
          <w:sz w:val="32"/>
          <w:szCs w:val="32"/>
          <w:rtl/>
        </w:rPr>
        <w:t>, وقال: فيه أبو مهزوم وهو متروك, والحديث ضعفه الألباني</w:t>
      </w:r>
      <w:r>
        <w:rPr>
          <w:rFonts w:ascii="Traditional Arabic" w:hAnsi="Traditional Arabic" w:hint="cs"/>
          <w:sz w:val="32"/>
          <w:szCs w:val="32"/>
          <w:rtl/>
        </w:rPr>
        <w:t>. انظر: مشكاة المصابيح</w:t>
      </w:r>
      <w:r w:rsidRPr="00794EC0">
        <w:rPr>
          <w:rFonts w:ascii="Traditional Arabic" w:hAnsi="Traditional Arabic"/>
          <w:sz w:val="32"/>
          <w:szCs w:val="32"/>
          <w:rtl/>
        </w:rPr>
        <w:t xml:space="preserve"> (</w:t>
      </w:r>
      <w:r>
        <w:rPr>
          <w:rFonts w:ascii="Traditional Arabic" w:hAnsi="Traditional Arabic" w:hint="cs"/>
          <w:sz w:val="32"/>
          <w:szCs w:val="32"/>
          <w:rtl/>
        </w:rPr>
        <w:t xml:space="preserve">3/1957 </w:t>
      </w:r>
      <w:r w:rsidRPr="00794EC0">
        <w:rPr>
          <w:rFonts w:ascii="Traditional Arabic" w:hAnsi="Traditional Arabic"/>
          <w:sz w:val="32"/>
          <w:szCs w:val="32"/>
          <w:rtl/>
        </w:rPr>
        <w:t>ح</w:t>
      </w:r>
      <w:r>
        <w:rPr>
          <w:rFonts w:ascii="Traditional Arabic" w:hAnsi="Traditional Arabic" w:hint="cs"/>
          <w:sz w:val="32"/>
          <w:szCs w:val="32"/>
          <w:rtl/>
        </w:rPr>
        <w:t>5733</w:t>
      </w:r>
      <w:r w:rsidRPr="00794EC0">
        <w:rPr>
          <w:rFonts w:ascii="Traditional Arabic" w:hAnsi="Traditional Arabic"/>
          <w:sz w:val="32"/>
          <w:szCs w:val="32"/>
          <w:rtl/>
        </w:rPr>
        <w:t>), وضعيف الجامع الصغير (ص851 ح5903).</w:t>
      </w:r>
    </w:p>
  </w:footnote>
  <w:footnote w:id="401">
    <w:p w:rsidR="003F128F" w:rsidRPr="005A3917" w:rsidRDefault="003F128F" w:rsidP="001F73BE">
      <w:pPr>
        <w:pStyle w:val="af3"/>
        <w:rPr>
          <w:rFonts w:ascii="Traditional Arabic" w:hAnsi="Traditional Arabic"/>
          <w:sz w:val="32"/>
          <w:szCs w:val="32"/>
        </w:rPr>
      </w:pPr>
      <w:r w:rsidRPr="00794EC0">
        <w:rPr>
          <w:rFonts w:ascii="Traditional Arabic" w:hAnsi="Traditional Arabic"/>
          <w:sz w:val="32"/>
          <w:szCs w:val="32"/>
          <w:rtl/>
        </w:rPr>
        <w:t>(</w:t>
      </w:r>
      <w:r w:rsidRPr="00794EC0">
        <w:rPr>
          <w:rStyle w:val="ae"/>
          <w:rFonts w:ascii="Traditional Arabic" w:hAnsi="Traditional Arabic"/>
          <w:sz w:val="32"/>
          <w:szCs w:val="32"/>
          <w:vertAlign w:val="baseline"/>
        </w:rPr>
        <w:footnoteRef/>
      </w:r>
      <w:r w:rsidRPr="00794EC0">
        <w:rPr>
          <w:rFonts w:ascii="Traditional Arabic" w:hAnsi="Traditional Arabic"/>
          <w:sz w:val="32"/>
          <w:szCs w:val="32"/>
          <w:rtl/>
        </w:rPr>
        <w:t>) انظر: معاني القرآن وإعرابه (3/252).</w:t>
      </w:r>
    </w:p>
  </w:footnote>
  <w:footnote w:id="402">
    <w:p w:rsidR="003F128F" w:rsidRPr="005A3917" w:rsidRDefault="003F128F" w:rsidP="00794EC0">
      <w:pPr>
        <w:pStyle w:val="af3"/>
        <w:rPr>
          <w:rFonts w:ascii="Traditional Arabic" w:hAnsi="Traditional Arabic"/>
          <w:sz w:val="32"/>
          <w:szCs w:val="32"/>
        </w:rPr>
      </w:pPr>
      <w:r w:rsidRPr="005A3917">
        <w:rPr>
          <w:rFonts w:ascii="Traditional Arabic" w:hAnsi="Traditional Arabic"/>
          <w:sz w:val="32"/>
          <w:szCs w:val="32"/>
          <w:rtl/>
        </w:rPr>
        <w:t>(</w:t>
      </w:r>
      <w:r w:rsidRPr="005A3917">
        <w:rPr>
          <w:rStyle w:val="ae"/>
          <w:rFonts w:ascii="Traditional Arabic" w:hAnsi="Traditional Arabic"/>
          <w:sz w:val="32"/>
          <w:szCs w:val="32"/>
          <w:vertAlign w:val="baseline"/>
        </w:rPr>
        <w:footnoteRef/>
      </w:r>
      <w:r w:rsidRPr="005A3917">
        <w:rPr>
          <w:rFonts w:ascii="Traditional Arabic" w:hAnsi="Traditional Arabic"/>
          <w:sz w:val="32"/>
          <w:szCs w:val="32"/>
          <w:rtl/>
        </w:rPr>
        <w:t>)</w:t>
      </w:r>
      <w:r>
        <w:rPr>
          <w:rFonts w:ascii="Traditional Arabic" w:hAnsi="Traditional Arabic" w:hint="cs"/>
          <w:sz w:val="32"/>
          <w:szCs w:val="32"/>
          <w:rtl/>
        </w:rPr>
        <w:t xml:space="preserve"> </w:t>
      </w:r>
      <w:r>
        <w:rPr>
          <w:rFonts w:ascii="Traditional Arabic" w:hAnsi="Traditional Arabic"/>
          <w:sz w:val="32"/>
          <w:szCs w:val="32"/>
          <w:rtl/>
        </w:rPr>
        <w:t>انظر:</w:t>
      </w:r>
      <w:r w:rsidRPr="005A3917">
        <w:rPr>
          <w:rFonts w:ascii="Traditional Arabic" w:hAnsi="Traditional Arabic"/>
          <w:sz w:val="32"/>
          <w:szCs w:val="32"/>
          <w:rtl/>
        </w:rPr>
        <w:t xml:space="preserve"> المحت</w:t>
      </w:r>
      <w:r>
        <w:rPr>
          <w:rFonts w:ascii="Traditional Arabic" w:hAnsi="Traditional Arabic"/>
          <w:sz w:val="32"/>
          <w:szCs w:val="32"/>
          <w:rtl/>
        </w:rPr>
        <w:t>سب (2/22), مختصر الشواذ (ص81)</w:t>
      </w:r>
      <w:r>
        <w:rPr>
          <w:rFonts w:ascii="Traditional Arabic" w:hAnsi="Traditional Arabic" w:hint="cs"/>
          <w:sz w:val="32"/>
          <w:szCs w:val="32"/>
          <w:rtl/>
        </w:rPr>
        <w:t>.</w:t>
      </w:r>
    </w:p>
  </w:footnote>
  <w:footnote w:id="403">
    <w:p w:rsidR="003F128F" w:rsidRPr="00113DC3" w:rsidRDefault="003F128F" w:rsidP="002810BD">
      <w:pPr>
        <w:pStyle w:val="af3"/>
        <w:rPr>
          <w:rFonts w:ascii="Traditional Arabic" w:hAnsi="Traditional Arabic"/>
          <w:color w:val="auto"/>
          <w:sz w:val="32"/>
          <w:szCs w:val="32"/>
        </w:rPr>
      </w:pPr>
      <w:r w:rsidRPr="00113DC3">
        <w:rPr>
          <w:rFonts w:ascii="Traditional Arabic" w:hAnsi="Traditional Arabic"/>
          <w:color w:val="auto"/>
          <w:sz w:val="32"/>
          <w:szCs w:val="32"/>
          <w:rtl/>
        </w:rPr>
        <w:t>(</w:t>
      </w:r>
      <w:r w:rsidRPr="00113DC3">
        <w:rPr>
          <w:rStyle w:val="ae"/>
          <w:rFonts w:ascii="Traditional Arabic" w:hAnsi="Traditional Arabic"/>
          <w:color w:val="auto"/>
          <w:sz w:val="32"/>
          <w:szCs w:val="32"/>
          <w:vertAlign w:val="baseline"/>
        </w:rPr>
        <w:footnoteRef/>
      </w:r>
      <w:r w:rsidRPr="00113DC3">
        <w:rPr>
          <w:rFonts w:ascii="Traditional Arabic" w:hAnsi="Traditional Arabic"/>
          <w:color w:val="auto"/>
          <w:sz w:val="32"/>
          <w:szCs w:val="32"/>
          <w:rtl/>
        </w:rPr>
        <w:t xml:space="preserve">) </w:t>
      </w:r>
      <w:r w:rsidRPr="00113DC3">
        <w:rPr>
          <w:rFonts w:ascii="Traditional Arabic" w:hAnsi="Traditional Arabic"/>
          <w:color w:val="auto"/>
          <w:sz w:val="32"/>
          <w:szCs w:val="32"/>
          <w:rtl/>
          <w:lang w:eastAsia="en-US"/>
        </w:rPr>
        <w:t>هو التابعي الإمام أبو عمران عبد الملك بن حبيب الأزدي الجوني -نسبة إلى جون بطن في الأزد- الثقة, المقرئ, مشهور بكنيته, (ت128ه). ان</w:t>
      </w:r>
      <w:r>
        <w:rPr>
          <w:rFonts w:ascii="Traditional Arabic" w:hAnsi="Traditional Arabic"/>
          <w:color w:val="auto"/>
          <w:sz w:val="32"/>
          <w:szCs w:val="32"/>
          <w:rtl/>
          <w:lang w:eastAsia="en-US"/>
        </w:rPr>
        <w:t xml:space="preserve">ظر: تهذيب الكمال (18/297), سير </w:t>
      </w:r>
      <w:r>
        <w:rPr>
          <w:rFonts w:ascii="Traditional Arabic" w:hAnsi="Traditional Arabic" w:hint="cs"/>
          <w:color w:val="auto"/>
          <w:sz w:val="32"/>
          <w:szCs w:val="32"/>
          <w:rtl/>
          <w:lang w:eastAsia="en-US"/>
        </w:rPr>
        <w:t>أ</w:t>
      </w:r>
      <w:r w:rsidRPr="00113DC3">
        <w:rPr>
          <w:rFonts w:ascii="Traditional Arabic" w:hAnsi="Traditional Arabic"/>
          <w:color w:val="auto"/>
          <w:sz w:val="32"/>
          <w:szCs w:val="32"/>
          <w:rtl/>
          <w:lang w:eastAsia="en-US"/>
        </w:rPr>
        <w:t>علام النبلاء (5/255).</w:t>
      </w:r>
    </w:p>
  </w:footnote>
  <w:footnote w:id="404">
    <w:p w:rsidR="003F128F" w:rsidRPr="00113DC3" w:rsidRDefault="003F128F" w:rsidP="00794EC0">
      <w:pPr>
        <w:pStyle w:val="af3"/>
        <w:rPr>
          <w:rFonts w:ascii="Traditional Arabic" w:hAnsi="Traditional Arabic"/>
          <w:sz w:val="32"/>
          <w:szCs w:val="32"/>
        </w:rPr>
      </w:pPr>
      <w:r w:rsidRPr="00113DC3">
        <w:rPr>
          <w:rFonts w:ascii="Traditional Arabic" w:hAnsi="Traditional Arabic"/>
          <w:sz w:val="32"/>
          <w:szCs w:val="32"/>
          <w:rtl/>
        </w:rPr>
        <w:t>(</w:t>
      </w:r>
      <w:r w:rsidRPr="00113DC3">
        <w:rPr>
          <w:rStyle w:val="ae"/>
          <w:rFonts w:ascii="Traditional Arabic" w:hAnsi="Traditional Arabic"/>
          <w:sz w:val="32"/>
          <w:szCs w:val="32"/>
          <w:vertAlign w:val="baseline"/>
        </w:rPr>
        <w:footnoteRef/>
      </w:r>
      <w:r w:rsidRPr="00113DC3">
        <w:rPr>
          <w:rFonts w:ascii="Traditional Arabic" w:hAnsi="Traditional Arabic"/>
          <w:sz w:val="32"/>
          <w:szCs w:val="32"/>
          <w:rtl/>
        </w:rPr>
        <w:t>) انظر: شواذ القراءة للكرماني (ص69), معجم القراءات (5/96).</w:t>
      </w:r>
    </w:p>
  </w:footnote>
  <w:footnote w:id="405">
    <w:p w:rsidR="003F128F" w:rsidRPr="00113DC3" w:rsidRDefault="003F128F" w:rsidP="00113DC3">
      <w:pPr>
        <w:pStyle w:val="af3"/>
        <w:rPr>
          <w:rFonts w:ascii="Traditional Arabic" w:hAnsi="Traditional Arabic"/>
          <w:sz w:val="32"/>
          <w:szCs w:val="32"/>
        </w:rPr>
      </w:pPr>
      <w:r w:rsidRPr="00113DC3">
        <w:rPr>
          <w:rFonts w:ascii="Traditional Arabic" w:hAnsi="Traditional Arabic"/>
          <w:sz w:val="32"/>
          <w:szCs w:val="32"/>
          <w:rtl/>
        </w:rPr>
        <w:t>(</w:t>
      </w:r>
      <w:r w:rsidRPr="00113DC3">
        <w:rPr>
          <w:rStyle w:val="ae"/>
          <w:rFonts w:ascii="Traditional Arabic" w:hAnsi="Traditional Arabic"/>
          <w:sz w:val="32"/>
          <w:szCs w:val="32"/>
          <w:vertAlign w:val="baseline"/>
        </w:rPr>
        <w:footnoteRef/>
      </w:r>
      <w:r w:rsidRPr="00113DC3">
        <w:rPr>
          <w:rFonts w:ascii="Traditional Arabic" w:hAnsi="Traditional Arabic"/>
          <w:sz w:val="32"/>
          <w:szCs w:val="32"/>
          <w:rtl/>
        </w:rPr>
        <w:t>) انظر: بحر العلوم للسمرقندي (2/321), الكشف والبيان (6/116).</w:t>
      </w:r>
    </w:p>
  </w:footnote>
  <w:footnote w:id="406">
    <w:p w:rsidR="003F128F" w:rsidRPr="00113DC3" w:rsidRDefault="003F128F" w:rsidP="00794EC0">
      <w:pPr>
        <w:pStyle w:val="af3"/>
        <w:rPr>
          <w:rFonts w:ascii="Traditional Arabic" w:hAnsi="Traditional Arabic"/>
          <w:sz w:val="32"/>
          <w:szCs w:val="32"/>
        </w:rPr>
      </w:pPr>
      <w:r w:rsidRPr="00113DC3">
        <w:rPr>
          <w:rFonts w:ascii="Traditional Arabic" w:hAnsi="Traditional Arabic"/>
          <w:sz w:val="32"/>
          <w:szCs w:val="32"/>
          <w:rtl/>
        </w:rPr>
        <w:t>(</w:t>
      </w:r>
      <w:r w:rsidRPr="00113DC3">
        <w:rPr>
          <w:rStyle w:val="ae"/>
          <w:rFonts w:ascii="Traditional Arabic" w:hAnsi="Traditional Arabic"/>
          <w:sz w:val="32"/>
          <w:szCs w:val="32"/>
          <w:vertAlign w:val="baseline"/>
        </w:rPr>
        <w:footnoteRef/>
      </w:r>
      <w:r w:rsidRPr="00113DC3">
        <w:rPr>
          <w:rFonts w:ascii="Traditional Arabic" w:hAnsi="Traditional Arabic"/>
          <w:sz w:val="32"/>
          <w:szCs w:val="32"/>
          <w:rtl/>
        </w:rPr>
        <w:t xml:space="preserve">) تفسير ابن أبي حاتم (7/2339). </w:t>
      </w:r>
    </w:p>
  </w:footnote>
  <w:footnote w:id="407">
    <w:p w:rsidR="003F128F" w:rsidRPr="00113DC3" w:rsidRDefault="003F128F" w:rsidP="00EF05B8">
      <w:pPr>
        <w:pStyle w:val="af3"/>
        <w:rPr>
          <w:rFonts w:ascii="Traditional Arabic" w:hAnsi="Traditional Arabic"/>
          <w:sz w:val="32"/>
          <w:szCs w:val="32"/>
        </w:rPr>
      </w:pPr>
      <w:r w:rsidRPr="00113DC3">
        <w:rPr>
          <w:rFonts w:ascii="Traditional Arabic" w:hAnsi="Traditional Arabic"/>
          <w:sz w:val="32"/>
          <w:szCs w:val="32"/>
          <w:rtl/>
        </w:rPr>
        <w:t>(</w:t>
      </w:r>
      <w:r w:rsidRPr="00113DC3">
        <w:rPr>
          <w:rStyle w:val="ae"/>
          <w:rFonts w:ascii="Traditional Arabic" w:hAnsi="Traditional Arabic"/>
          <w:sz w:val="32"/>
          <w:szCs w:val="32"/>
          <w:vertAlign w:val="baseline"/>
        </w:rPr>
        <w:footnoteRef/>
      </w:r>
      <w:r w:rsidRPr="00113DC3">
        <w:rPr>
          <w:rFonts w:ascii="Traditional Arabic" w:hAnsi="Traditional Arabic"/>
          <w:sz w:val="32"/>
          <w:szCs w:val="32"/>
          <w:rtl/>
        </w:rPr>
        <w:t>) تفسير الطبري (17/502).</w:t>
      </w:r>
    </w:p>
  </w:footnote>
  <w:footnote w:id="408">
    <w:p w:rsidR="003F128F" w:rsidRPr="00113DC3" w:rsidRDefault="003F128F" w:rsidP="00EF05B8">
      <w:pPr>
        <w:pStyle w:val="af3"/>
        <w:rPr>
          <w:rFonts w:ascii="Traditional Arabic" w:hAnsi="Traditional Arabic"/>
          <w:sz w:val="32"/>
          <w:szCs w:val="32"/>
        </w:rPr>
      </w:pPr>
      <w:r w:rsidRPr="00113DC3">
        <w:rPr>
          <w:rFonts w:ascii="Traditional Arabic" w:hAnsi="Traditional Arabic"/>
          <w:sz w:val="32"/>
          <w:szCs w:val="32"/>
          <w:rtl/>
        </w:rPr>
        <w:t>(</w:t>
      </w:r>
      <w:r w:rsidRPr="00113DC3">
        <w:rPr>
          <w:rStyle w:val="ae"/>
          <w:rFonts w:ascii="Traditional Arabic" w:hAnsi="Traditional Arabic"/>
          <w:sz w:val="32"/>
          <w:szCs w:val="32"/>
          <w:vertAlign w:val="baseline"/>
        </w:rPr>
        <w:footnoteRef/>
      </w:r>
      <w:r w:rsidRPr="00113DC3">
        <w:rPr>
          <w:rFonts w:ascii="Traditional Arabic" w:hAnsi="Traditional Arabic"/>
          <w:sz w:val="32"/>
          <w:szCs w:val="32"/>
          <w:rtl/>
        </w:rPr>
        <w:t>) تفسير عبد الرزاق (2/305), تفسير الطبري (17/502).</w:t>
      </w:r>
    </w:p>
  </w:footnote>
  <w:footnote w:id="409">
    <w:p w:rsidR="003F128F" w:rsidRPr="00113DC3" w:rsidRDefault="003F128F" w:rsidP="00DA4B46">
      <w:pPr>
        <w:widowControl/>
        <w:autoSpaceDE w:val="0"/>
        <w:autoSpaceDN w:val="0"/>
        <w:adjustRightInd w:val="0"/>
        <w:ind w:firstLine="0"/>
        <w:jc w:val="left"/>
        <w:rPr>
          <w:rFonts w:ascii="Traditional Arabic" w:hAnsi="Traditional Arabic"/>
          <w:sz w:val="32"/>
          <w:szCs w:val="32"/>
        </w:rPr>
      </w:pPr>
      <w:r w:rsidRPr="00113DC3">
        <w:rPr>
          <w:rFonts w:ascii="Traditional Arabic" w:hAnsi="Traditional Arabic"/>
          <w:sz w:val="32"/>
          <w:szCs w:val="32"/>
          <w:rtl/>
        </w:rPr>
        <w:t>(</w:t>
      </w:r>
      <w:r w:rsidRPr="00113DC3">
        <w:rPr>
          <w:rStyle w:val="ae"/>
          <w:rFonts w:ascii="Traditional Arabic" w:hAnsi="Traditional Arabic"/>
          <w:sz w:val="32"/>
          <w:szCs w:val="32"/>
          <w:vertAlign w:val="baseline"/>
        </w:rPr>
        <w:footnoteRef/>
      </w:r>
      <w:r w:rsidRPr="00113DC3">
        <w:rPr>
          <w:rFonts w:ascii="Traditional Arabic" w:hAnsi="Traditional Arabic"/>
          <w:sz w:val="32"/>
          <w:szCs w:val="32"/>
          <w:rtl/>
        </w:rPr>
        <w:t xml:space="preserve">) </w:t>
      </w:r>
      <w:r w:rsidRPr="00113DC3">
        <w:rPr>
          <w:rFonts w:ascii="Traditional Arabic" w:hAnsi="Traditional Arabic"/>
          <w:color w:val="auto"/>
          <w:sz w:val="32"/>
          <w:szCs w:val="32"/>
          <w:rtl/>
        </w:rPr>
        <w:t xml:space="preserve">هو التابعي </w:t>
      </w:r>
      <w:r w:rsidRPr="00113DC3">
        <w:rPr>
          <w:rFonts w:ascii="Traditional Arabic" w:hAnsi="Traditional Arabic"/>
          <w:color w:val="auto"/>
          <w:sz w:val="32"/>
          <w:szCs w:val="32"/>
          <w:rtl/>
          <w:lang w:eastAsia="en-US"/>
        </w:rPr>
        <w:t>أبو العالية</w:t>
      </w:r>
      <w:r w:rsidRPr="00113DC3">
        <w:rPr>
          <w:rFonts w:ascii="Traditional Arabic" w:hAnsi="Traditional Arabic"/>
          <w:color w:val="auto"/>
          <w:sz w:val="32"/>
          <w:szCs w:val="32"/>
          <w:rtl/>
        </w:rPr>
        <w:t xml:space="preserve"> </w:t>
      </w:r>
      <w:r w:rsidRPr="00113DC3">
        <w:rPr>
          <w:rFonts w:ascii="Traditional Arabic" w:hAnsi="Traditional Arabic"/>
          <w:color w:val="auto"/>
          <w:sz w:val="32"/>
          <w:szCs w:val="32"/>
          <w:rtl/>
          <w:lang w:eastAsia="en-US"/>
        </w:rPr>
        <w:t>رفيع بن مهران الرياحي, البصري،</w:t>
      </w:r>
      <w:r w:rsidRPr="00113DC3">
        <w:rPr>
          <w:rFonts w:ascii="Traditional Arabic" w:hAnsi="Traditional Arabic"/>
          <w:color w:val="auto"/>
          <w:sz w:val="32"/>
          <w:szCs w:val="32"/>
          <w:rtl/>
        </w:rPr>
        <w:t xml:space="preserve"> </w:t>
      </w:r>
      <w:r w:rsidRPr="00113DC3">
        <w:rPr>
          <w:rFonts w:ascii="Traditional Arabic" w:hAnsi="Traditional Arabic"/>
          <w:color w:val="auto"/>
          <w:sz w:val="32"/>
          <w:szCs w:val="32"/>
          <w:rtl/>
          <w:lang w:eastAsia="en-US"/>
        </w:rPr>
        <w:t>الإمام, المقرئ، الحافظ، المفسر, من كبار التابعين</w:t>
      </w:r>
      <w:r w:rsidRPr="00113DC3">
        <w:rPr>
          <w:rFonts w:ascii="Traditional Arabic" w:hAnsi="Traditional Arabic"/>
          <w:color w:val="auto"/>
          <w:sz w:val="32"/>
          <w:szCs w:val="32"/>
          <w:rtl/>
        </w:rPr>
        <w:t xml:space="preserve">, </w:t>
      </w:r>
      <w:r w:rsidRPr="00113DC3">
        <w:rPr>
          <w:rFonts w:ascii="Traditional Arabic" w:hAnsi="Traditional Arabic"/>
          <w:color w:val="auto"/>
          <w:sz w:val="32"/>
          <w:szCs w:val="32"/>
          <w:rtl/>
          <w:lang w:eastAsia="en-US"/>
        </w:rPr>
        <w:t>كان إماما في القرآن والتفسير والعلم والعمل, (ت90ه). انظر: معرفة القراء الكبار للذهبي (1/31) , سير أعلام النبلاء (4/207) , غاية النهاية في طبقات القراء لابن الجزري (1/284).</w:t>
      </w:r>
    </w:p>
  </w:footnote>
  <w:footnote w:id="410">
    <w:p w:rsidR="003F128F" w:rsidRPr="00113DC3" w:rsidRDefault="003F128F" w:rsidP="00565517">
      <w:pPr>
        <w:pStyle w:val="af3"/>
        <w:rPr>
          <w:rFonts w:ascii="Traditional Arabic" w:hAnsi="Traditional Arabic"/>
          <w:color w:val="auto"/>
          <w:sz w:val="32"/>
          <w:szCs w:val="32"/>
        </w:rPr>
      </w:pPr>
      <w:r w:rsidRPr="00113DC3">
        <w:rPr>
          <w:rFonts w:ascii="Traditional Arabic" w:hAnsi="Traditional Arabic"/>
          <w:color w:val="auto"/>
          <w:sz w:val="32"/>
          <w:szCs w:val="32"/>
          <w:rtl/>
        </w:rPr>
        <w:t>(</w:t>
      </w:r>
      <w:r w:rsidRPr="00113DC3">
        <w:rPr>
          <w:rStyle w:val="ae"/>
          <w:rFonts w:ascii="Traditional Arabic" w:hAnsi="Traditional Arabic"/>
          <w:color w:val="auto"/>
          <w:sz w:val="32"/>
          <w:szCs w:val="32"/>
          <w:vertAlign w:val="baseline"/>
        </w:rPr>
        <w:footnoteRef/>
      </w:r>
      <w:r w:rsidRPr="00113DC3">
        <w:rPr>
          <w:rFonts w:ascii="Traditional Arabic" w:hAnsi="Traditional Arabic"/>
          <w:color w:val="auto"/>
          <w:sz w:val="32"/>
          <w:szCs w:val="32"/>
          <w:rtl/>
        </w:rPr>
        <w:t xml:space="preserve">) </w:t>
      </w:r>
      <w:r w:rsidRPr="00113DC3">
        <w:rPr>
          <w:rFonts w:ascii="Traditional Arabic" w:hAnsi="Traditional Arabic"/>
          <w:color w:val="auto"/>
          <w:sz w:val="32"/>
          <w:szCs w:val="32"/>
          <w:rtl/>
          <w:lang w:eastAsia="en-US"/>
        </w:rPr>
        <w:t xml:space="preserve">هو صاحب رسول الله </w:t>
      </w:r>
      <w:r w:rsidRPr="00113DC3">
        <w:rPr>
          <w:rFonts w:ascii="Traditional Arabic" w:hAnsi="Traditional Arabic"/>
          <w:color w:val="auto"/>
          <w:sz w:val="32"/>
          <w:szCs w:val="32"/>
          <w:lang w:eastAsia="en-US"/>
        </w:rPr>
        <w:t xml:space="preserve"> </w:t>
      </w:r>
      <w:r w:rsidRPr="00113DC3">
        <w:rPr>
          <w:rFonts w:ascii="Traditional Arabic" w:hAnsi="Traditional Arabic"/>
          <w:color w:val="auto"/>
          <w:sz w:val="32"/>
          <w:szCs w:val="32"/>
          <w:lang w:eastAsia="en-US"/>
        </w:rPr>
        <w:sym w:font="AGA Arabesque" w:char="F072"/>
      </w:r>
      <w:r w:rsidRPr="00113DC3">
        <w:rPr>
          <w:rFonts w:ascii="Traditional Arabic" w:hAnsi="Traditional Arabic"/>
          <w:color w:val="auto"/>
          <w:sz w:val="32"/>
          <w:szCs w:val="32"/>
          <w:rtl/>
          <w:lang w:eastAsia="en-US"/>
        </w:rPr>
        <w:t>وخادمه أبو حمزة أنس بن مالك بن النضر بن ضمضم الأنصاري, الخزرجي, النجّاري, المدني, الإمام، المفتي، المقرئ، المحدث، من مشاهير الصحابة,</w:t>
      </w:r>
      <w:r w:rsidRPr="00113DC3">
        <w:rPr>
          <w:rFonts w:ascii="Traditional Arabic" w:hAnsi="Traditional Arabic"/>
          <w:color w:val="auto"/>
          <w:sz w:val="32"/>
          <w:szCs w:val="32"/>
          <w:rtl/>
        </w:rPr>
        <w:t xml:space="preserve"> (ت93ه). انظر: الطبقات لابن سعد (7/12), معجم الصحابة للبغوي (1/43), أسد الغابة لابن الأثر (1/294), سير أعلام النبلاء (3/395), الوافي بالوفيات (9/234).</w:t>
      </w:r>
    </w:p>
  </w:footnote>
  <w:footnote w:id="411">
    <w:p w:rsidR="003F128F" w:rsidRPr="00113DC3" w:rsidRDefault="003F128F" w:rsidP="00113DC3">
      <w:pPr>
        <w:pStyle w:val="af3"/>
        <w:rPr>
          <w:rFonts w:ascii="Traditional Arabic" w:hAnsi="Traditional Arabic"/>
          <w:sz w:val="32"/>
          <w:szCs w:val="32"/>
        </w:rPr>
      </w:pPr>
      <w:r w:rsidRPr="00113DC3">
        <w:rPr>
          <w:rFonts w:ascii="Traditional Arabic" w:hAnsi="Traditional Arabic"/>
          <w:sz w:val="32"/>
          <w:szCs w:val="32"/>
          <w:rtl/>
        </w:rPr>
        <w:t>(</w:t>
      </w:r>
      <w:r w:rsidRPr="00113DC3">
        <w:rPr>
          <w:rStyle w:val="ae"/>
          <w:rFonts w:ascii="Traditional Arabic" w:hAnsi="Traditional Arabic"/>
          <w:sz w:val="32"/>
          <w:szCs w:val="32"/>
          <w:vertAlign w:val="baseline"/>
        </w:rPr>
        <w:footnoteRef/>
      </w:r>
      <w:r w:rsidRPr="00113DC3">
        <w:rPr>
          <w:rFonts w:ascii="Traditional Arabic" w:hAnsi="Traditional Arabic"/>
          <w:sz w:val="32"/>
          <w:szCs w:val="32"/>
          <w:rtl/>
        </w:rPr>
        <w:t>) انظر: تفسير يحيى بن سلام (1/150)، تفسير الطبري (17/502).</w:t>
      </w:r>
    </w:p>
  </w:footnote>
  <w:footnote w:id="412">
    <w:p w:rsidR="003F128F" w:rsidRPr="00113DC3" w:rsidRDefault="003F128F" w:rsidP="00EF05B8">
      <w:pPr>
        <w:pStyle w:val="af3"/>
        <w:rPr>
          <w:rFonts w:ascii="Traditional Arabic" w:hAnsi="Traditional Arabic"/>
          <w:sz w:val="32"/>
          <w:szCs w:val="32"/>
        </w:rPr>
      </w:pPr>
      <w:r w:rsidRPr="00113DC3">
        <w:rPr>
          <w:rFonts w:ascii="Traditional Arabic" w:hAnsi="Traditional Arabic"/>
          <w:sz w:val="32"/>
          <w:szCs w:val="32"/>
          <w:rtl/>
        </w:rPr>
        <w:t>(</w:t>
      </w:r>
      <w:r w:rsidRPr="00113DC3">
        <w:rPr>
          <w:rStyle w:val="ae"/>
          <w:rFonts w:ascii="Traditional Arabic" w:hAnsi="Traditional Arabic"/>
          <w:sz w:val="32"/>
          <w:szCs w:val="32"/>
          <w:vertAlign w:val="baseline"/>
        </w:rPr>
        <w:footnoteRef/>
      </w:r>
      <w:r w:rsidRPr="00113DC3">
        <w:rPr>
          <w:rFonts w:ascii="Traditional Arabic" w:hAnsi="Traditional Arabic"/>
          <w:sz w:val="32"/>
          <w:szCs w:val="32"/>
          <w:rtl/>
        </w:rPr>
        <w:t>) انظر: تفسير الطبري (17/503), الكشف والبيان (6/115).</w:t>
      </w:r>
    </w:p>
  </w:footnote>
  <w:footnote w:id="413">
    <w:p w:rsidR="003F128F" w:rsidRPr="00113DC3" w:rsidRDefault="003F128F" w:rsidP="00113DC3">
      <w:pPr>
        <w:pStyle w:val="af3"/>
        <w:rPr>
          <w:rFonts w:ascii="Traditional Arabic" w:hAnsi="Traditional Arabic"/>
          <w:sz w:val="32"/>
          <w:szCs w:val="32"/>
        </w:rPr>
      </w:pPr>
      <w:r w:rsidRPr="00113DC3">
        <w:rPr>
          <w:rFonts w:ascii="Traditional Arabic" w:hAnsi="Traditional Arabic"/>
          <w:sz w:val="32"/>
          <w:szCs w:val="32"/>
          <w:rtl/>
        </w:rPr>
        <w:t>(</w:t>
      </w:r>
      <w:r w:rsidRPr="00113DC3">
        <w:rPr>
          <w:rStyle w:val="ae"/>
          <w:rFonts w:ascii="Traditional Arabic" w:hAnsi="Traditional Arabic"/>
          <w:sz w:val="32"/>
          <w:szCs w:val="32"/>
          <w:vertAlign w:val="baseline"/>
        </w:rPr>
        <w:footnoteRef/>
      </w:r>
      <w:r w:rsidRPr="00113DC3">
        <w:rPr>
          <w:rFonts w:ascii="Traditional Arabic" w:hAnsi="Traditional Arabic"/>
          <w:sz w:val="32"/>
          <w:szCs w:val="32"/>
          <w:rtl/>
        </w:rPr>
        <w:t>) انظر: تفسير مجاهد (ص439), تفسير الطبري (17/503).</w:t>
      </w:r>
    </w:p>
  </w:footnote>
  <w:footnote w:id="414">
    <w:p w:rsidR="003F128F" w:rsidRPr="0019465E" w:rsidRDefault="003F128F" w:rsidP="00EF05B8">
      <w:pPr>
        <w:pStyle w:val="af3"/>
        <w:rPr>
          <w:rFonts w:ascii="Traditional Arabic" w:hAnsi="Traditional Arabic"/>
          <w:sz w:val="32"/>
          <w:szCs w:val="32"/>
        </w:rPr>
      </w:pPr>
      <w:r w:rsidRPr="00113DC3">
        <w:rPr>
          <w:rFonts w:ascii="Traditional Arabic" w:hAnsi="Traditional Arabic"/>
          <w:sz w:val="32"/>
          <w:szCs w:val="32"/>
          <w:rtl/>
        </w:rPr>
        <w:t>(</w:t>
      </w:r>
      <w:r w:rsidRPr="00113DC3">
        <w:rPr>
          <w:rStyle w:val="ae"/>
          <w:rFonts w:ascii="Traditional Arabic" w:hAnsi="Traditional Arabic"/>
          <w:sz w:val="32"/>
          <w:szCs w:val="32"/>
          <w:vertAlign w:val="baseline"/>
        </w:rPr>
        <w:footnoteRef/>
      </w:r>
      <w:r w:rsidRPr="00113DC3">
        <w:rPr>
          <w:rFonts w:ascii="Traditional Arabic" w:hAnsi="Traditional Arabic"/>
          <w:sz w:val="32"/>
          <w:szCs w:val="32"/>
          <w:rtl/>
        </w:rPr>
        <w:t>) انظر: تفسير الطبري (17/503), بحر العلوم (2/322).</w:t>
      </w:r>
    </w:p>
  </w:footnote>
  <w:footnote w:id="415">
    <w:p w:rsidR="003F128F" w:rsidRPr="0019465E" w:rsidRDefault="003F128F" w:rsidP="00EF05B8">
      <w:pPr>
        <w:pStyle w:val="af3"/>
        <w:rPr>
          <w:rFonts w:ascii="Traditional Arabic" w:hAnsi="Traditional Arabic"/>
          <w:sz w:val="32"/>
          <w:szCs w:val="32"/>
        </w:rPr>
      </w:pPr>
      <w:r w:rsidRPr="0019465E">
        <w:rPr>
          <w:rFonts w:ascii="Traditional Arabic" w:hAnsi="Traditional Arabic"/>
          <w:sz w:val="32"/>
          <w:szCs w:val="32"/>
          <w:rtl/>
        </w:rPr>
        <w:t>(</w:t>
      </w:r>
      <w:r w:rsidRPr="0019465E">
        <w:rPr>
          <w:rStyle w:val="ae"/>
          <w:rFonts w:ascii="Traditional Arabic" w:hAnsi="Traditional Arabic"/>
          <w:sz w:val="32"/>
          <w:szCs w:val="32"/>
          <w:vertAlign w:val="baseline"/>
        </w:rPr>
        <w:footnoteRef/>
      </w:r>
      <w:r w:rsidRPr="0019465E">
        <w:rPr>
          <w:rFonts w:ascii="Traditional Arabic" w:hAnsi="Traditional Arabic"/>
          <w:sz w:val="32"/>
          <w:szCs w:val="32"/>
          <w:rtl/>
        </w:rPr>
        <w:t>) انظر: النكت والعيون (3/258), التفسير الوسيط (3/118)</w:t>
      </w:r>
      <w:r>
        <w:rPr>
          <w:rFonts w:ascii="Traditional Arabic" w:hAnsi="Traditional Arabic" w:hint="cs"/>
          <w:sz w:val="32"/>
          <w:szCs w:val="32"/>
          <w:rtl/>
        </w:rPr>
        <w:t>.</w:t>
      </w:r>
    </w:p>
  </w:footnote>
  <w:footnote w:id="416">
    <w:p w:rsidR="003F128F" w:rsidRPr="00DA4B46" w:rsidRDefault="003F128F" w:rsidP="00C36615">
      <w:pPr>
        <w:pStyle w:val="af3"/>
        <w:rPr>
          <w:rFonts w:ascii="Traditional Arabic" w:hAnsi="Traditional Arabic"/>
          <w:sz w:val="32"/>
          <w:szCs w:val="32"/>
        </w:rPr>
      </w:pPr>
      <w:r w:rsidRPr="00DA4B46">
        <w:rPr>
          <w:rFonts w:ascii="Traditional Arabic" w:hAnsi="Traditional Arabic"/>
          <w:sz w:val="32"/>
          <w:szCs w:val="32"/>
          <w:rtl/>
        </w:rPr>
        <w:t>(</w:t>
      </w:r>
      <w:r w:rsidRPr="00DA4B46">
        <w:rPr>
          <w:rStyle w:val="ae"/>
          <w:rFonts w:ascii="Traditional Arabic" w:hAnsi="Traditional Arabic"/>
          <w:sz w:val="32"/>
          <w:szCs w:val="32"/>
          <w:vertAlign w:val="baseline"/>
        </w:rPr>
        <w:footnoteRef/>
      </w:r>
      <w:r>
        <w:rPr>
          <w:rFonts w:ascii="Traditional Arabic" w:hAnsi="Traditional Arabic"/>
          <w:sz w:val="32"/>
          <w:szCs w:val="32"/>
          <w:rtl/>
        </w:rPr>
        <w:t>)</w:t>
      </w:r>
      <w:r w:rsidRPr="00DA4B46">
        <w:rPr>
          <w:rFonts w:ascii="Traditional Arabic" w:hAnsi="Traditional Arabic"/>
          <w:sz w:val="32"/>
          <w:szCs w:val="32"/>
          <w:rtl/>
        </w:rPr>
        <w:t xml:space="preserve"> سورة النساء, الآية</w:t>
      </w:r>
      <w:r>
        <w:rPr>
          <w:rFonts w:ascii="Traditional Arabic" w:hAnsi="Traditional Arabic" w:hint="cs"/>
          <w:sz w:val="32"/>
          <w:szCs w:val="32"/>
          <w:rtl/>
        </w:rPr>
        <w:t>:</w:t>
      </w:r>
      <w:r>
        <w:rPr>
          <w:rFonts w:ascii="Traditional Arabic" w:hAnsi="Traditional Arabic"/>
          <w:sz w:val="32"/>
          <w:szCs w:val="32"/>
          <w:rtl/>
        </w:rPr>
        <w:t xml:space="preserve"> (49)</w:t>
      </w:r>
      <w:r>
        <w:rPr>
          <w:rFonts w:ascii="Traditional Arabic" w:hAnsi="Traditional Arabic" w:hint="cs"/>
          <w:sz w:val="32"/>
          <w:szCs w:val="32"/>
          <w:rtl/>
        </w:rPr>
        <w:t>.</w:t>
      </w:r>
      <w:r w:rsidRPr="00DA4B46">
        <w:rPr>
          <w:rFonts w:ascii="Traditional Arabic" w:hAnsi="Traditional Arabic"/>
          <w:sz w:val="32"/>
          <w:szCs w:val="32"/>
          <w:rtl/>
        </w:rPr>
        <w:t xml:space="preserve"> انظر: زاد المسير (2/105).</w:t>
      </w:r>
    </w:p>
  </w:footnote>
  <w:footnote w:id="417">
    <w:p w:rsidR="003F128F" w:rsidRPr="00DA4B46" w:rsidRDefault="003F128F" w:rsidP="00113DC3">
      <w:pPr>
        <w:pStyle w:val="af3"/>
        <w:rPr>
          <w:rFonts w:ascii="Traditional Arabic" w:hAnsi="Traditional Arabic"/>
          <w:sz w:val="32"/>
          <w:szCs w:val="32"/>
        </w:rPr>
      </w:pPr>
      <w:r w:rsidRPr="00DA4B46">
        <w:rPr>
          <w:rFonts w:ascii="Traditional Arabic" w:hAnsi="Traditional Arabic"/>
          <w:sz w:val="32"/>
          <w:szCs w:val="32"/>
          <w:rtl/>
        </w:rPr>
        <w:t>(</w:t>
      </w:r>
      <w:r w:rsidRPr="00DA4B46">
        <w:rPr>
          <w:rStyle w:val="ae"/>
          <w:rFonts w:ascii="Traditional Arabic" w:hAnsi="Traditional Arabic"/>
          <w:sz w:val="32"/>
          <w:szCs w:val="32"/>
          <w:vertAlign w:val="baseline"/>
        </w:rPr>
        <w:footnoteRef/>
      </w:r>
      <w:r w:rsidRPr="00DA4B46">
        <w:rPr>
          <w:rFonts w:ascii="Traditional Arabic" w:hAnsi="Traditional Arabic"/>
          <w:sz w:val="32"/>
          <w:szCs w:val="32"/>
          <w:rtl/>
        </w:rPr>
        <w:t>)</w:t>
      </w:r>
      <w:r>
        <w:rPr>
          <w:rFonts w:ascii="Traditional Arabic" w:hAnsi="Traditional Arabic" w:hint="cs"/>
          <w:sz w:val="32"/>
          <w:szCs w:val="32"/>
          <w:rtl/>
        </w:rPr>
        <w:t xml:space="preserve"> </w:t>
      </w:r>
      <w:r w:rsidRPr="00DA4B46">
        <w:rPr>
          <w:rFonts w:ascii="Traditional Arabic" w:hAnsi="Traditional Arabic"/>
          <w:sz w:val="32"/>
          <w:szCs w:val="32"/>
          <w:rtl/>
        </w:rPr>
        <w:t>انظر: السبعة في القراءات (ص383), معاني القراءات (2/97).</w:t>
      </w:r>
    </w:p>
  </w:footnote>
  <w:footnote w:id="418">
    <w:p w:rsidR="003F128F" w:rsidRPr="00DA4B46" w:rsidRDefault="003F128F" w:rsidP="006F55E1">
      <w:pPr>
        <w:pStyle w:val="af3"/>
        <w:rPr>
          <w:rFonts w:ascii="Traditional Arabic" w:hAnsi="Traditional Arabic"/>
          <w:sz w:val="32"/>
          <w:szCs w:val="32"/>
        </w:rPr>
      </w:pPr>
      <w:r w:rsidRPr="00DA4B46">
        <w:rPr>
          <w:rFonts w:ascii="Traditional Arabic" w:hAnsi="Traditional Arabic"/>
          <w:sz w:val="32"/>
          <w:szCs w:val="32"/>
          <w:rtl/>
        </w:rPr>
        <w:t>(</w:t>
      </w:r>
      <w:r w:rsidRPr="00DA4B46">
        <w:rPr>
          <w:rStyle w:val="ae"/>
          <w:rFonts w:ascii="Traditional Arabic" w:hAnsi="Traditional Arabic"/>
          <w:sz w:val="32"/>
          <w:szCs w:val="32"/>
          <w:vertAlign w:val="baseline"/>
        </w:rPr>
        <w:footnoteRef/>
      </w:r>
      <w:r w:rsidRPr="00DA4B46">
        <w:rPr>
          <w:rFonts w:ascii="Traditional Arabic" w:hAnsi="Traditional Arabic"/>
          <w:sz w:val="32"/>
          <w:szCs w:val="32"/>
          <w:rtl/>
        </w:rPr>
        <w:t xml:space="preserve">) </w:t>
      </w:r>
      <w:r w:rsidRPr="00DA4B46">
        <w:rPr>
          <w:rFonts w:ascii="Traditional Arabic" w:hAnsi="Traditional Arabic"/>
          <w:color w:val="auto"/>
          <w:sz w:val="32"/>
          <w:szCs w:val="32"/>
          <w:rtl/>
        </w:rPr>
        <w:t xml:space="preserve">هو </w:t>
      </w:r>
      <w:r>
        <w:rPr>
          <w:rFonts w:ascii="Traditional Arabic" w:hAnsi="Traditional Arabic"/>
          <w:color w:val="auto"/>
          <w:sz w:val="32"/>
          <w:szCs w:val="32"/>
          <w:rtl/>
        </w:rPr>
        <w:t>الإمام</w:t>
      </w:r>
      <w:r>
        <w:rPr>
          <w:rFonts w:ascii="Traditional Arabic" w:hAnsi="Traditional Arabic" w:hint="cs"/>
          <w:color w:val="auto"/>
          <w:sz w:val="32"/>
          <w:szCs w:val="32"/>
          <w:rtl/>
        </w:rPr>
        <w:t>,</w:t>
      </w:r>
      <w:r w:rsidRPr="00DA4B46">
        <w:rPr>
          <w:rFonts w:ascii="Traditional Arabic" w:hAnsi="Traditional Arabic"/>
          <w:color w:val="auto"/>
          <w:sz w:val="32"/>
          <w:szCs w:val="32"/>
          <w:rtl/>
        </w:rPr>
        <w:t xml:space="preserve"> </w:t>
      </w:r>
      <w:r w:rsidRPr="00DA4B46">
        <w:rPr>
          <w:rFonts w:ascii="Traditional Arabic" w:hAnsi="Traditional Arabic"/>
          <w:color w:val="auto"/>
          <w:sz w:val="32"/>
          <w:szCs w:val="32"/>
          <w:rtl/>
          <w:lang w:eastAsia="en-US"/>
        </w:rPr>
        <w:t>أبو بكر</w:t>
      </w:r>
      <w:r>
        <w:rPr>
          <w:rFonts w:ascii="Traditional Arabic" w:hAnsi="Traditional Arabic" w:hint="cs"/>
          <w:color w:val="auto"/>
          <w:sz w:val="32"/>
          <w:szCs w:val="32"/>
          <w:rtl/>
          <w:lang w:eastAsia="en-US"/>
        </w:rPr>
        <w:t>,</w:t>
      </w:r>
      <w:r w:rsidRPr="00DA4B46">
        <w:rPr>
          <w:rFonts w:ascii="Traditional Arabic" w:hAnsi="Traditional Arabic"/>
          <w:color w:val="auto"/>
          <w:sz w:val="32"/>
          <w:szCs w:val="32"/>
          <w:rtl/>
          <w:lang w:eastAsia="en-US"/>
        </w:rPr>
        <w:t xml:space="preserve"> شعبة بن عياش بن سالم الحنَّاط الأسدي الكوفي, المقرئ, الفقيه, المحدث, كان من العلماء المشاهير، روى القراءة عن عاصم, (ت194ه). انظر: وفيات الأعيان (2/353),</w:t>
      </w:r>
      <w:r w:rsidRPr="00DA4B46">
        <w:rPr>
          <w:rFonts w:ascii="Traditional Arabic" w:hAnsi="Traditional Arabic"/>
          <w:sz w:val="32"/>
          <w:szCs w:val="32"/>
          <w:rtl/>
        </w:rPr>
        <w:t xml:space="preserve"> معرفة القراء الكبار للذهبي (1/80), غاية النهاية لابن الجزري (1/325).</w:t>
      </w:r>
    </w:p>
  </w:footnote>
  <w:footnote w:id="419">
    <w:p w:rsidR="003F128F" w:rsidRPr="00DA4B46" w:rsidRDefault="003F128F" w:rsidP="00113DC3">
      <w:pPr>
        <w:pStyle w:val="af3"/>
        <w:rPr>
          <w:rFonts w:ascii="Traditional Arabic" w:hAnsi="Traditional Arabic"/>
          <w:sz w:val="32"/>
          <w:szCs w:val="32"/>
        </w:rPr>
      </w:pPr>
      <w:r w:rsidRPr="00DA4B46">
        <w:rPr>
          <w:rFonts w:ascii="Traditional Arabic" w:hAnsi="Traditional Arabic"/>
          <w:sz w:val="32"/>
          <w:szCs w:val="32"/>
          <w:rtl/>
        </w:rPr>
        <w:t>(</w:t>
      </w:r>
      <w:r w:rsidRPr="00DA4B46">
        <w:rPr>
          <w:rStyle w:val="ae"/>
          <w:rFonts w:ascii="Traditional Arabic" w:hAnsi="Traditional Arabic"/>
          <w:sz w:val="32"/>
          <w:szCs w:val="32"/>
          <w:vertAlign w:val="baseline"/>
        </w:rPr>
        <w:footnoteRef/>
      </w:r>
      <w:r w:rsidRPr="00DA4B46">
        <w:rPr>
          <w:rFonts w:ascii="Traditional Arabic" w:hAnsi="Traditional Arabic"/>
          <w:sz w:val="32"/>
          <w:szCs w:val="32"/>
          <w:rtl/>
        </w:rPr>
        <w:t>)</w:t>
      </w:r>
      <w:r>
        <w:rPr>
          <w:rFonts w:ascii="Traditional Arabic" w:hAnsi="Traditional Arabic" w:hint="cs"/>
          <w:sz w:val="32"/>
          <w:szCs w:val="32"/>
          <w:rtl/>
        </w:rPr>
        <w:t xml:space="preserve"> </w:t>
      </w:r>
      <w:r w:rsidRPr="00DA4B46">
        <w:rPr>
          <w:rFonts w:ascii="Traditional Arabic" w:hAnsi="Traditional Arabic"/>
          <w:sz w:val="32"/>
          <w:szCs w:val="32"/>
          <w:rtl/>
        </w:rPr>
        <w:t>انظر: السبعة في القر</w:t>
      </w:r>
      <w:r>
        <w:rPr>
          <w:rFonts w:ascii="Traditional Arabic" w:hAnsi="Traditional Arabic"/>
          <w:sz w:val="32"/>
          <w:szCs w:val="32"/>
          <w:rtl/>
        </w:rPr>
        <w:t>اءات (ص383),</w:t>
      </w:r>
      <w:r w:rsidRPr="00DA4B46">
        <w:rPr>
          <w:rFonts w:ascii="Traditional Arabic" w:hAnsi="Traditional Arabic"/>
          <w:sz w:val="32"/>
          <w:szCs w:val="32"/>
          <w:rtl/>
        </w:rPr>
        <w:t xml:space="preserve"> حجة القراءات لابن زنجله (ص407).</w:t>
      </w:r>
    </w:p>
  </w:footnote>
  <w:footnote w:id="420">
    <w:p w:rsidR="003F128F" w:rsidRPr="00DA4B46" w:rsidRDefault="003F128F" w:rsidP="00113DC3">
      <w:pPr>
        <w:pStyle w:val="af3"/>
        <w:rPr>
          <w:rFonts w:ascii="Traditional Arabic" w:hAnsi="Traditional Arabic"/>
          <w:sz w:val="32"/>
          <w:szCs w:val="32"/>
        </w:rPr>
      </w:pPr>
      <w:r w:rsidRPr="00DA4B46">
        <w:rPr>
          <w:rFonts w:ascii="Traditional Arabic" w:hAnsi="Traditional Arabic"/>
          <w:sz w:val="32"/>
          <w:szCs w:val="32"/>
          <w:rtl/>
        </w:rPr>
        <w:t>(</w:t>
      </w:r>
      <w:r w:rsidRPr="00DA4B46">
        <w:rPr>
          <w:rStyle w:val="ae"/>
          <w:rFonts w:ascii="Traditional Arabic" w:hAnsi="Traditional Arabic"/>
          <w:sz w:val="32"/>
          <w:szCs w:val="32"/>
          <w:vertAlign w:val="baseline"/>
        </w:rPr>
        <w:footnoteRef/>
      </w:r>
      <w:r w:rsidRPr="00DA4B46">
        <w:rPr>
          <w:rFonts w:ascii="Traditional Arabic" w:hAnsi="Traditional Arabic"/>
          <w:sz w:val="32"/>
          <w:szCs w:val="32"/>
          <w:rtl/>
        </w:rPr>
        <w:t>) انظر: تفسير مجاهد (ص439), تفسير الطبري (17/504).</w:t>
      </w:r>
    </w:p>
  </w:footnote>
  <w:footnote w:id="421">
    <w:p w:rsidR="003F128F" w:rsidRPr="00DA4B46" w:rsidRDefault="003F128F" w:rsidP="00C94522">
      <w:pPr>
        <w:pStyle w:val="af3"/>
        <w:rPr>
          <w:rFonts w:ascii="Traditional Arabic" w:hAnsi="Traditional Arabic"/>
        </w:rPr>
      </w:pPr>
      <w:r w:rsidRPr="00DA4B46">
        <w:rPr>
          <w:rFonts w:ascii="Traditional Arabic" w:hAnsi="Traditional Arabic"/>
          <w:sz w:val="32"/>
          <w:szCs w:val="32"/>
          <w:rtl/>
        </w:rPr>
        <w:t>(</w:t>
      </w:r>
      <w:r w:rsidRPr="00DA4B46">
        <w:rPr>
          <w:rStyle w:val="ae"/>
          <w:rFonts w:ascii="Traditional Arabic" w:hAnsi="Traditional Arabic"/>
          <w:sz w:val="32"/>
          <w:szCs w:val="32"/>
          <w:vertAlign w:val="baseline"/>
        </w:rPr>
        <w:footnoteRef/>
      </w:r>
      <w:r>
        <w:rPr>
          <w:rFonts w:ascii="Traditional Arabic" w:hAnsi="Traditional Arabic"/>
          <w:sz w:val="32"/>
          <w:szCs w:val="32"/>
          <w:rtl/>
        </w:rPr>
        <w:t>) في (</w:t>
      </w:r>
      <w:r>
        <w:rPr>
          <w:rFonts w:ascii="Traditional Arabic" w:hAnsi="Traditional Arabic" w:hint="cs"/>
          <w:sz w:val="32"/>
          <w:szCs w:val="32"/>
          <w:rtl/>
        </w:rPr>
        <w:t>ك</w:t>
      </w:r>
      <w:r>
        <w:rPr>
          <w:rFonts w:ascii="Traditional Arabic" w:hAnsi="Traditional Arabic"/>
          <w:sz w:val="32"/>
          <w:szCs w:val="32"/>
          <w:rtl/>
        </w:rPr>
        <w:t xml:space="preserve">): </w:t>
      </w:r>
      <w:r>
        <w:rPr>
          <w:rFonts w:ascii="Traditional Arabic" w:hAnsi="Traditional Arabic" w:hint="cs"/>
          <w:sz w:val="32"/>
          <w:szCs w:val="32"/>
          <w:rtl/>
        </w:rPr>
        <w:t>[</w:t>
      </w:r>
      <w:r>
        <w:rPr>
          <w:rFonts w:ascii="Traditional Arabic" w:hAnsi="Traditional Arabic"/>
          <w:sz w:val="32"/>
          <w:szCs w:val="32"/>
          <w:rtl/>
        </w:rPr>
        <w:t>أعمى عن معرفة الله</w:t>
      </w:r>
      <w:r>
        <w:rPr>
          <w:rFonts w:ascii="Traditional Arabic" w:hAnsi="Traditional Arabic" w:hint="cs"/>
          <w:sz w:val="32"/>
          <w:szCs w:val="32"/>
          <w:rtl/>
        </w:rPr>
        <w:t>]</w:t>
      </w:r>
      <w:r w:rsidRPr="00DA4B46">
        <w:rPr>
          <w:rFonts w:ascii="Traditional Arabic" w:hAnsi="Traditional Arabic"/>
          <w:sz w:val="32"/>
          <w:szCs w:val="32"/>
          <w:rtl/>
        </w:rPr>
        <w:t>.</w:t>
      </w:r>
    </w:p>
  </w:footnote>
  <w:footnote w:id="422">
    <w:p w:rsidR="003F128F" w:rsidRPr="00DA4B46" w:rsidRDefault="003F128F" w:rsidP="00DA4B46">
      <w:pPr>
        <w:pStyle w:val="af3"/>
        <w:rPr>
          <w:rFonts w:ascii="Traditional Arabic" w:hAnsi="Traditional Arabic"/>
          <w:sz w:val="32"/>
          <w:szCs w:val="32"/>
        </w:rPr>
      </w:pPr>
      <w:r w:rsidRPr="00DA4B46">
        <w:rPr>
          <w:rFonts w:ascii="Traditional Arabic" w:hAnsi="Traditional Arabic"/>
          <w:sz w:val="32"/>
          <w:szCs w:val="32"/>
          <w:rtl/>
        </w:rPr>
        <w:t>(</w:t>
      </w:r>
      <w:r w:rsidRPr="00DA4B46">
        <w:rPr>
          <w:rStyle w:val="ae"/>
          <w:rFonts w:ascii="Traditional Arabic" w:hAnsi="Traditional Arabic"/>
          <w:sz w:val="32"/>
          <w:szCs w:val="32"/>
          <w:vertAlign w:val="baseline"/>
        </w:rPr>
        <w:footnoteRef/>
      </w:r>
      <w:r w:rsidRPr="00DA4B46">
        <w:rPr>
          <w:rFonts w:ascii="Traditional Arabic" w:hAnsi="Traditional Arabic"/>
          <w:sz w:val="32"/>
          <w:szCs w:val="32"/>
          <w:rtl/>
        </w:rPr>
        <w:t>) أحرجه الطبري في تفسيره (17/504), وأبو الشيخ في كتاب العظمة (1/244), وابن أبي حاتم في تفسيره (7/2340).</w:t>
      </w:r>
    </w:p>
  </w:footnote>
  <w:footnote w:id="423">
    <w:p w:rsidR="003F128F" w:rsidRPr="00DA4B46" w:rsidRDefault="003F128F" w:rsidP="00EF05B8">
      <w:pPr>
        <w:pStyle w:val="af3"/>
        <w:rPr>
          <w:rFonts w:ascii="Traditional Arabic" w:hAnsi="Traditional Arabic"/>
        </w:rPr>
      </w:pPr>
      <w:r w:rsidRPr="00DA4B46">
        <w:rPr>
          <w:rFonts w:ascii="Traditional Arabic" w:hAnsi="Traditional Arabic"/>
          <w:sz w:val="32"/>
          <w:szCs w:val="32"/>
          <w:rtl/>
        </w:rPr>
        <w:t>(</w:t>
      </w:r>
      <w:r w:rsidRPr="00DA4B46">
        <w:rPr>
          <w:rStyle w:val="ae"/>
          <w:rFonts w:ascii="Traditional Arabic" w:hAnsi="Traditional Arabic"/>
          <w:sz w:val="32"/>
          <w:szCs w:val="32"/>
          <w:vertAlign w:val="baseline"/>
        </w:rPr>
        <w:footnoteRef/>
      </w:r>
      <w:r w:rsidRPr="00DA4B46">
        <w:rPr>
          <w:rFonts w:ascii="Traditional Arabic" w:hAnsi="Traditional Arabic"/>
          <w:sz w:val="32"/>
          <w:szCs w:val="32"/>
          <w:rtl/>
        </w:rPr>
        <w:t>) انظر: الكشف والبيان (6/117), التفسير الوسيط (3/118)</w:t>
      </w:r>
      <w:r>
        <w:rPr>
          <w:rFonts w:ascii="Traditional Arabic" w:hAnsi="Traditional Arabic" w:hint="cs"/>
          <w:sz w:val="32"/>
          <w:szCs w:val="32"/>
          <w:rtl/>
        </w:rPr>
        <w:t>.</w:t>
      </w:r>
    </w:p>
  </w:footnote>
  <w:footnote w:id="424">
    <w:p w:rsidR="003F128F" w:rsidRPr="002B5AEC" w:rsidRDefault="003F128F" w:rsidP="002B5AEC">
      <w:pPr>
        <w:pStyle w:val="af3"/>
        <w:rPr>
          <w:rFonts w:ascii="Traditional Arabic" w:hAnsi="Traditional Arabic"/>
          <w:sz w:val="32"/>
          <w:szCs w:val="32"/>
        </w:rPr>
      </w:pPr>
      <w:r w:rsidRPr="002B5AEC">
        <w:rPr>
          <w:rFonts w:ascii="Traditional Arabic" w:hAnsi="Traditional Arabic"/>
          <w:sz w:val="32"/>
          <w:szCs w:val="32"/>
          <w:rtl/>
        </w:rPr>
        <w:t>(</w:t>
      </w:r>
      <w:r w:rsidRPr="002B5AEC">
        <w:rPr>
          <w:rStyle w:val="ae"/>
          <w:rFonts w:ascii="Traditional Arabic" w:hAnsi="Traditional Arabic"/>
          <w:sz w:val="32"/>
          <w:szCs w:val="32"/>
          <w:vertAlign w:val="baseline"/>
        </w:rPr>
        <w:footnoteRef/>
      </w:r>
      <w:r w:rsidRPr="002B5AEC">
        <w:rPr>
          <w:rFonts w:ascii="Traditional Arabic" w:hAnsi="Traditional Arabic"/>
          <w:sz w:val="32"/>
          <w:szCs w:val="32"/>
          <w:rtl/>
        </w:rPr>
        <w:t>)</w:t>
      </w:r>
      <w:r>
        <w:rPr>
          <w:rFonts w:ascii="Traditional Arabic" w:hAnsi="Traditional Arabic" w:hint="cs"/>
          <w:sz w:val="32"/>
          <w:szCs w:val="32"/>
          <w:rtl/>
        </w:rPr>
        <w:t xml:space="preserve"> </w:t>
      </w:r>
      <w:r w:rsidRPr="002B5AEC">
        <w:rPr>
          <w:rFonts w:ascii="Traditional Arabic" w:hAnsi="Traditional Arabic"/>
          <w:sz w:val="32"/>
          <w:szCs w:val="32"/>
          <w:rtl/>
        </w:rPr>
        <w:t>لم أقف عليهما</w:t>
      </w:r>
      <w:r>
        <w:rPr>
          <w:rFonts w:ascii="Traditional Arabic" w:hAnsi="Traditional Arabic" w:hint="cs"/>
          <w:sz w:val="32"/>
          <w:szCs w:val="32"/>
          <w:rtl/>
        </w:rPr>
        <w:t xml:space="preserve"> فيما لدي من مصادر</w:t>
      </w:r>
      <w:r w:rsidRPr="002B5AEC">
        <w:rPr>
          <w:rFonts w:ascii="Traditional Arabic" w:hAnsi="Traditional Arabic"/>
          <w:sz w:val="32"/>
          <w:szCs w:val="32"/>
          <w:rtl/>
        </w:rPr>
        <w:t xml:space="preserve">. </w:t>
      </w:r>
    </w:p>
  </w:footnote>
  <w:footnote w:id="425">
    <w:p w:rsidR="003F128F" w:rsidRPr="002B5AEC" w:rsidRDefault="003F128F" w:rsidP="00113DC3">
      <w:pPr>
        <w:widowControl/>
        <w:autoSpaceDE w:val="0"/>
        <w:autoSpaceDN w:val="0"/>
        <w:adjustRightInd w:val="0"/>
        <w:ind w:firstLine="0"/>
        <w:jc w:val="left"/>
        <w:rPr>
          <w:rFonts w:ascii="Traditional Arabic" w:hAnsi="Traditional Arabic"/>
          <w:sz w:val="32"/>
          <w:szCs w:val="32"/>
        </w:rPr>
      </w:pPr>
      <w:r w:rsidRPr="002B5AEC">
        <w:rPr>
          <w:rFonts w:ascii="Traditional Arabic" w:hAnsi="Traditional Arabic"/>
          <w:sz w:val="32"/>
          <w:szCs w:val="32"/>
          <w:rtl/>
        </w:rPr>
        <w:t>(</w:t>
      </w:r>
      <w:r w:rsidRPr="002B5AEC">
        <w:rPr>
          <w:rStyle w:val="ae"/>
          <w:rFonts w:ascii="Traditional Arabic" w:hAnsi="Traditional Arabic"/>
          <w:sz w:val="32"/>
          <w:szCs w:val="32"/>
          <w:vertAlign w:val="baseline"/>
        </w:rPr>
        <w:footnoteRef/>
      </w:r>
      <w:r w:rsidRPr="002B5AEC">
        <w:rPr>
          <w:rFonts w:ascii="Traditional Arabic" w:hAnsi="Traditional Arabic"/>
          <w:sz w:val="32"/>
          <w:szCs w:val="32"/>
          <w:rtl/>
        </w:rPr>
        <w:t xml:space="preserve">) هو </w:t>
      </w:r>
      <w:r>
        <w:rPr>
          <w:rFonts w:ascii="Traditional Arabic" w:hAnsi="Traditional Arabic"/>
          <w:sz w:val="32"/>
          <w:szCs w:val="32"/>
          <w:rtl/>
        </w:rPr>
        <w:t>الإمام</w:t>
      </w:r>
      <w:r w:rsidRPr="002B5AEC">
        <w:rPr>
          <w:rFonts w:ascii="Traditional Arabic" w:hAnsi="Traditional Arabic"/>
          <w:sz w:val="32"/>
          <w:szCs w:val="32"/>
          <w:rtl/>
        </w:rPr>
        <w:t xml:space="preserve"> </w:t>
      </w:r>
      <w:r w:rsidRPr="002B5AEC">
        <w:rPr>
          <w:rFonts w:ascii="Traditional Arabic" w:hAnsi="Traditional Arabic"/>
          <w:sz w:val="32"/>
          <w:szCs w:val="32"/>
          <w:rtl/>
          <w:lang w:eastAsia="en-US"/>
        </w:rPr>
        <w:t>أبو بكر محمد بن إِسماعيل بن العباس البغدادي ال</w:t>
      </w:r>
      <w:r>
        <w:rPr>
          <w:rFonts w:ascii="Traditional Arabic" w:hAnsi="Traditional Arabic"/>
          <w:sz w:val="32"/>
          <w:szCs w:val="32"/>
          <w:rtl/>
          <w:lang w:eastAsia="en-US"/>
        </w:rPr>
        <w:t>مُسْتَمْلِي, الوَرَّاق, المحدث,</w:t>
      </w:r>
      <w:r w:rsidRPr="002B5AEC">
        <w:rPr>
          <w:rFonts w:ascii="Traditional Arabic" w:hAnsi="Traditional Arabic"/>
          <w:sz w:val="32"/>
          <w:szCs w:val="32"/>
          <w:rtl/>
          <w:lang w:eastAsia="en-US"/>
        </w:rPr>
        <w:t xml:space="preserve"> (ت378ه). انظر: معجم الشيوخ لابن جميع الصيداوي (ص85), تاريخ الاسلام (8/457), سير أعلام النبلاء (16/389)</w:t>
      </w:r>
      <w:r w:rsidRPr="002B5AEC">
        <w:rPr>
          <w:rFonts w:ascii="Traditional Arabic" w:hAnsi="Traditional Arabic"/>
          <w:b/>
          <w:bCs/>
          <w:sz w:val="32"/>
          <w:szCs w:val="32"/>
          <w:rtl/>
          <w:lang w:eastAsia="en-US"/>
        </w:rPr>
        <w:t>.</w:t>
      </w:r>
    </w:p>
  </w:footnote>
  <w:footnote w:id="426">
    <w:p w:rsidR="003F128F" w:rsidRPr="00B20E9D" w:rsidRDefault="003F128F" w:rsidP="00B20E9D">
      <w:pPr>
        <w:pStyle w:val="af3"/>
        <w:rPr>
          <w:rFonts w:ascii="Traditional Arabic" w:hAnsi="Traditional Arabic"/>
          <w:sz w:val="32"/>
          <w:szCs w:val="32"/>
        </w:rPr>
      </w:pPr>
      <w:r w:rsidRPr="00B20E9D">
        <w:rPr>
          <w:rFonts w:ascii="Traditional Arabic" w:hAnsi="Traditional Arabic"/>
          <w:sz w:val="32"/>
          <w:szCs w:val="32"/>
          <w:rtl/>
        </w:rPr>
        <w:t>(</w:t>
      </w:r>
      <w:r w:rsidRPr="00B20E9D">
        <w:rPr>
          <w:rStyle w:val="ae"/>
          <w:rFonts w:ascii="Traditional Arabic" w:hAnsi="Traditional Arabic"/>
          <w:sz w:val="32"/>
          <w:szCs w:val="32"/>
          <w:vertAlign w:val="baseline"/>
        </w:rPr>
        <w:footnoteRef/>
      </w:r>
      <w:r w:rsidRPr="00B20E9D">
        <w:rPr>
          <w:rFonts w:ascii="Traditional Arabic" w:hAnsi="Traditional Arabic"/>
          <w:sz w:val="32"/>
          <w:szCs w:val="32"/>
          <w:rtl/>
        </w:rPr>
        <w:t xml:space="preserve">) انظر: الكشف والبيان (6/117). </w:t>
      </w:r>
    </w:p>
  </w:footnote>
  <w:footnote w:id="427">
    <w:p w:rsidR="003F128F" w:rsidRPr="002B5AEC" w:rsidRDefault="003F128F" w:rsidP="00113DC3">
      <w:pPr>
        <w:pStyle w:val="af3"/>
        <w:rPr>
          <w:rFonts w:ascii="Traditional Arabic" w:hAnsi="Traditional Arabic"/>
          <w:sz w:val="32"/>
          <w:szCs w:val="32"/>
        </w:rPr>
      </w:pPr>
      <w:r w:rsidRPr="002B5AEC">
        <w:rPr>
          <w:rFonts w:ascii="Traditional Arabic" w:hAnsi="Traditional Arabic"/>
          <w:sz w:val="32"/>
          <w:szCs w:val="32"/>
          <w:rtl/>
        </w:rPr>
        <w:t>(</w:t>
      </w:r>
      <w:r w:rsidRPr="002B5AEC">
        <w:rPr>
          <w:rStyle w:val="ae"/>
          <w:rFonts w:ascii="Traditional Arabic" w:hAnsi="Traditional Arabic"/>
          <w:sz w:val="32"/>
          <w:szCs w:val="32"/>
          <w:vertAlign w:val="baseline"/>
        </w:rPr>
        <w:footnoteRef/>
      </w:r>
      <w:r w:rsidRPr="002B5AEC">
        <w:rPr>
          <w:rFonts w:ascii="Traditional Arabic" w:hAnsi="Traditional Arabic"/>
          <w:sz w:val="32"/>
          <w:szCs w:val="32"/>
          <w:rtl/>
        </w:rPr>
        <w:t>)</w:t>
      </w:r>
      <w:r>
        <w:rPr>
          <w:rFonts w:ascii="Traditional Arabic" w:hAnsi="Traditional Arabic" w:hint="cs"/>
          <w:sz w:val="32"/>
          <w:szCs w:val="32"/>
          <w:rtl/>
        </w:rPr>
        <w:t xml:space="preserve"> انظر: تفسير ابن أبي حاتم</w:t>
      </w:r>
      <w:r w:rsidRPr="002B5AEC">
        <w:rPr>
          <w:rFonts w:ascii="Traditional Arabic" w:hAnsi="Traditional Arabic"/>
          <w:sz w:val="32"/>
          <w:szCs w:val="32"/>
          <w:rtl/>
        </w:rPr>
        <w:t xml:space="preserve"> (7/2339), وذكره السيوطي في الدر المنثور (5/317) وزاد نسبته للفريابي. </w:t>
      </w:r>
    </w:p>
  </w:footnote>
  <w:footnote w:id="428">
    <w:p w:rsidR="003F128F" w:rsidRPr="002B5AEC" w:rsidRDefault="003F128F" w:rsidP="00113DC3">
      <w:pPr>
        <w:pStyle w:val="af3"/>
        <w:rPr>
          <w:rFonts w:ascii="Traditional Arabic" w:hAnsi="Traditional Arabic"/>
          <w:sz w:val="32"/>
          <w:szCs w:val="32"/>
        </w:rPr>
      </w:pPr>
      <w:r w:rsidRPr="002B5AEC">
        <w:rPr>
          <w:rFonts w:ascii="Traditional Arabic" w:hAnsi="Traditional Arabic"/>
          <w:sz w:val="32"/>
          <w:szCs w:val="32"/>
          <w:rtl/>
        </w:rPr>
        <w:t>(</w:t>
      </w:r>
      <w:r w:rsidRPr="002B5AEC">
        <w:rPr>
          <w:rStyle w:val="ae"/>
          <w:rFonts w:ascii="Traditional Arabic" w:hAnsi="Traditional Arabic"/>
          <w:sz w:val="32"/>
          <w:szCs w:val="32"/>
          <w:vertAlign w:val="baseline"/>
        </w:rPr>
        <w:footnoteRef/>
      </w:r>
      <w:r w:rsidRPr="002B5AEC">
        <w:rPr>
          <w:rFonts w:ascii="Traditional Arabic" w:hAnsi="Traditional Arabic"/>
          <w:sz w:val="32"/>
          <w:szCs w:val="32"/>
          <w:rtl/>
        </w:rPr>
        <w:t>)</w:t>
      </w:r>
      <w:r>
        <w:rPr>
          <w:rFonts w:ascii="Traditional Arabic" w:hAnsi="Traditional Arabic" w:hint="cs"/>
          <w:sz w:val="32"/>
          <w:szCs w:val="32"/>
          <w:rtl/>
        </w:rPr>
        <w:t xml:space="preserve"> </w:t>
      </w:r>
      <w:r w:rsidRPr="002B5AEC">
        <w:rPr>
          <w:rFonts w:ascii="Traditional Arabic" w:hAnsi="Traditional Arabic"/>
          <w:sz w:val="32"/>
          <w:szCs w:val="32"/>
          <w:rtl/>
        </w:rPr>
        <w:t>لم أقف عليه</w:t>
      </w:r>
      <w:r w:rsidRPr="00113DC3">
        <w:rPr>
          <w:rFonts w:ascii="Traditional Arabic" w:hAnsi="Traditional Arabic" w:hint="cs"/>
          <w:sz w:val="32"/>
          <w:szCs w:val="32"/>
          <w:rtl/>
        </w:rPr>
        <w:t xml:space="preserve"> </w:t>
      </w:r>
      <w:r>
        <w:rPr>
          <w:rFonts w:ascii="Traditional Arabic" w:hAnsi="Traditional Arabic" w:hint="cs"/>
          <w:sz w:val="32"/>
          <w:szCs w:val="32"/>
          <w:rtl/>
        </w:rPr>
        <w:t>فيما لدي من مصادر</w:t>
      </w:r>
      <w:r w:rsidRPr="002B5AEC">
        <w:rPr>
          <w:rFonts w:ascii="Traditional Arabic" w:hAnsi="Traditional Arabic"/>
          <w:sz w:val="32"/>
          <w:szCs w:val="32"/>
          <w:rtl/>
        </w:rPr>
        <w:t>.</w:t>
      </w:r>
    </w:p>
  </w:footnote>
  <w:footnote w:id="429">
    <w:p w:rsidR="003F128F" w:rsidRPr="002B5AEC" w:rsidRDefault="003F128F" w:rsidP="004A6979">
      <w:pPr>
        <w:pStyle w:val="af3"/>
        <w:rPr>
          <w:rFonts w:ascii="Traditional Arabic" w:hAnsi="Traditional Arabic"/>
          <w:sz w:val="32"/>
          <w:szCs w:val="32"/>
          <w:rtl/>
        </w:rPr>
      </w:pPr>
      <w:r w:rsidRPr="002B5AEC">
        <w:rPr>
          <w:rFonts w:ascii="Traditional Arabic" w:hAnsi="Traditional Arabic"/>
          <w:sz w:val="32"/>
          <w:szCs w:val="32"/>
          <w:rtl/>
        </w:rPr>
        <w:t>(</w:t>
      </w:r>
      <w:r w:rsidRPr="002B5AEC">
        <w:rPr>
          <w:rStyle w:val="ae"/>
          <w:rFonts w:ascii="Traditional Arabic" w:hAnsi="Traditional Arabic"/>
          <w:sz w:val="32"/>
          <w:szCs w:val="32"/>
          <w:vertAlign w:val="baseline"/>
        </w:rPr>
        <w:footnoteRef/>
      </w:r>
      <w:r w:rsidRPr="002B5AEC">
        <w:rPr>
          <w:rFonts w:ascii="Traditional Arabic" w:hAnsi="Traditional Arabic"/>
          <w:sz w:val="32"/>
          <w:szCs w:val="32"/>
          <w:rtl/>
        </w:rPr>
        <w:t>)</w:t>
      </w:r>
      <w:r w:rsidRPr="002B5AEC">
        <w:rPr>
          <w:rFonts w:ascii="Traditional Arabic" w:hAnsi="Traditional Arabic"/>
          <w:color w:val="auto"/>
          <w:sz w:val="32"/>
          <w:szCs w:val="32"/>
          <w:rtl/>
        </w:rPr>
        <w:t xml:space="preserve"> هو التابعي </w:t>
      </w:r>
      <w:r>
        <w:rPr>
          <w:rFonts w:ascii="Traditional Arabic" w:hAnsi="Traditional Arabic"/>
          <w:color w:val="auto"/>
          <w:sz w:val="32"/>
          <w:szCs w:val="32"/>
          <w:rtl/>
          <w:lang w:eastAsia="en-US"/>
        </w:rPr>
        <w:t>الإمام</w:t>
      </w:r>
      <w:r>
        <w:rPr>
          <w:rFonts w:ascii="Traditional Arabic" w:hAnsi="Traditional Arabic" w:hint="cs"/>
          <w:color w:val="auto"/>
          <w:sz w:val="32"/>
          <w:szCs w:val="32"/>
          <w:rtl/>
          <w:lang w:eastAsia="en-US"/>
        </w:rPr>
        <w:t>,</w:t>
      </w:r>
      <w:r w:rsidRPr="002B5AEC">
        <w:rPr>
          <w:rFonts w:ascii="Traditional Arabic" w:hAnsi="Traditional Arabic"/>
          <w:color w:val="auto"/>
          <w:sz w:val="32"/>
          <w:szCs w:val="32"/>
          <w:rtl/>
          <w:lang w:eastAsia="en-US"/>
        </w:rPr>
        <w:t xml:space="preserve"> أبو محمد</w:t>
      </w:r>
      <w:r>
        <w:rPr>
          <w:rFonts w:ascii="Traditional Arabic" w:hAnsi="Traditional Arabic" w:hint="cs"/>
          <w:color w:val="auto"/>
          <w:sz w:val="32"/>
          <w:szCs w:val="32"/>
          <w:rtl/>
          <w:lang w:eastAsia="en-US"/>
        </w:rPr>
        <w:t>,</w:t>
      </w:r>
      <w:r w:rsidRPr="002B5AEC">
        <w:rPr>
          <w:rFonts w:ascii="Traditional Arabic" w:hAnsi="Traditional Arabic"/>
          <w:color w:val="auto"/>
          <w:sz w:val="32"/>
          <w:szCs w:val="32"/>
          <w:rtl/>
          <w:lang w:eastAsia="en-US"/>
        </w:rPr>
        <w:t xml:space="preserve"> إسماعيل بن عبد الرحمن ابن أبي كريمة، الحجازي، ثم الكوفي، الأعور، المفسر، السدي الكبير، (ت127ه). انظر: سير أعلام النبلاء (5/264), الوافي بالوفيات (9/85).</w:t>
      </w:r>
    </w:p>
  </w:footnote>
  <w:footnote w:id="430">
    <w:p w:rsidR="003F128F" w:rsidRPr="002B5AEC" w:rsidRDefault="003F128F" w:rsidP="004A6979">
      <w:pPr>
        <w:pStyle w:val="af3"/>
        <w:rPr>
          <w:rFonts w:ascii="Traditional Arabic" w:hAnsi="Traditional Arabic"/>
        </w:rPr>
      </w:pPr>
      <w:r w:rsidRPr="002B5AEC">
        <w:rPr>
          <w:rFonts w:ascii="Traditional Arabic" w:hAnsi="Traditional Arabic"/>
          <w:sz w:val="32"/>
          <w:szCs w:val="32"/>
          <w:rtl/>
        </w:rPr>
        <w:t>(</w:t>
      </w:r>
      <w:r w:rsidRPr="002B5AEC">
        <w:rPr>
          <w:rStyle w:val="ae"/>
          <w:rFonts w:ascii="Traditional Arabic" w:hAnsi="Traditional Arabic"/>
          <w:sz w:val="32"/>
          <w:szCs w:val="32"/>
          <w:vertAlign w:val="baseline"/>
        </w:rPr>
        <w:footnoteRef/>
      </w:r>
      <w:r w:rsidRPr="002B5AEC">
        <w:rPr>
          <w:rFonts w:ascii="Traditional Arabic" w:hAnsi="Traditional Arabic"/>
          <w:sz w:val="32"/>
          <w:szCs w:val="32"/>
          <w:rtl/>
        </w:rPr>
        <w:t xml:space="preserve">) هو </w:t>
      </w:r>
      <w:r>
        <w:rPr>
          <w:rFonts w:ascii="Traditional Arabic" w:hAnsi="Traditional Arabic"/>
          <w:sz w:val="32"/>
          <w:szCs w:val="32"/>
          <w:rtl/>
        </w:rPr>
        <w:t>الإمام</w:t>
      </w:r>
      <w:r w:rsidRPr="002B5AEC">
        <w:rPr>
          <w:rFonts w:ascii="Traditional Arabic" w:hAnsi="Traditional Arabic"/>
          <w:sz w:val="32"/>
          <w:szCs w:val="32"/>
          <w:rtl/>
        </w:rPr>
        <w:t xml:space="preserve"> أبو علي</w:t>
      </w:r>
      <w:r>
        <w:rPr>
          <w:rFonts w:ascii="Traditional Arabic" w:hAnsi="Traditional Arabic" w:hint="cs"/>
          <w:sz w:val="32"/>
          <w:szCs w:val="32"/>
          <w:rtl/>
        </w:rPr>
        <w:t>,</w:t>
      </w:r>
      <w:r w:rsidRPr="002B5AEC">
        <w:rPr>
          <w:rFonts w:ascii="Traditional Arabic" w:hAnsi="Traditional Arabic"/>
          <w:sz w:val="32"/>
          <w:szCs w:val="32"/>
          <w:rtl/>
        </w:rPr>
        <w:t xml:space="preserve"> </w:t>
      </w:r>
      <w:r w:rsidRPr="002B5AEC">
        <w:rPr>
          <w:rFonts w:ascii="Traditional Arabic" w:hAnsi="Traditional Arabic"/>
          <w:sz w:val="32"/>
          <w:szCs w:val="32"/>
          <w:rtl/>
          <w:lang w:eastAsia="en-US"/>
        </w:rPr>
        <w:t>الحسن بن أحمد بن عبد الغفار بن محمد الفارسي</w:t>
      </w:r>
      <w:r>
        <w:rPr>
          <w:rFonts w:ascii="Traditional Arabic" w:hAnsi="Traditional Arabic" w:hint="cs"/>
          <w:sz w:val="32"/>
          <w:szCs w:val="32"/>
          <w:rtl/>
          <w:lang w:eastAsia="en-US"/>
        </w:rPr>
        <w:t>,</w:t>
      </w:r>
      <w:r w:rsidRPr="002B5AEC">
        <w:rPr>
          <w:rFonts w:ascii="Traditional Arabic" w:hAnsi="Traditional Arabic"/>
          <w:sz w:val="32"/>
          <w:szCs w:val="32"/>
          <w:rtl/>
          <w:lang w:eastAsia="en-US"/>
        </w:rPr>
        <w:t xml:space="preserve"> الفسوي، النحوي, صاحب التص</w:t>
      </w:r>
      <w:r>
        <w:rPr>
          <w:rFonts w:ascii="Traditional Arabic" w:hAnsi="Traditional Arabic"/>
          <w:sz w:val="32"/>
          <w:szCs w:val="32"/>
          <w:rtl/>
          <w:lang w:eastAsia="en-US"/>
        </w:rPr>
        <w:t>انيف, له كتاب "الحجة", و"ال</w:t>
      </w:r>
      <w:r>
        <w:rPr>
          <w:rFonts w:ascii="Traditional Arabic" w:hAnsi="Traditional Arabic" w:hint="cs"/>
          <w:sz w:val="32"/>
          <w:szCs w:val="32"/>
          <w:rtl/>
          <w:lang w:eastAsia="en-US"/>
        </w:rPr>
        <w:t>إ</w:t>
      </w:r>
      <w:r w:rsidRPr="002B5AEC">
        <w:rPr>
          <w:rFonts w:ascii="Traditional Arabic" w:hAnsi="Traditional Arabic"/>
          <w:sz w:val="32"/>
          <w:szCs w:val="32"/>
          <w:rtl/>
          <w:lang w:eastAsia="en-US"/>
        </w:rPr>
        <w:t>يضاح", وكتب المسائل, وغيرها, وأكثر كتبه مخطوطات لم تطبع,</w:t>
      </w:r>
      <w:r w:rsidRPr="002B5AEC">
        <w:rPr>
          <w:rFonts w:ascii="Traditional Arabic" w:hAnsi="Traditional Arabic"/>
          <w:b/>
          <w:bCs/>
          <w:sz w:val="32"/>
          <w:szCs w:val="32"/>
          <w:rtl/>
          <w:lang w:eastAsia="en-US"/>
        </w:rPr>
        <w:t xml:space="preserve"> </w:t>
      </w:r>
      <w:r w:rsidRPr="002B5AEC">
        <w:rPr>
          <w:rFonts w:ascii="Traditional Arabic" w:hAnsi="Traditional Arabic"/>
          <w:sz w:val="32"/>
          <w:szCs w:val="32"/>
          <w:rtl/>
        </w:rPr>
        <w:t>(ت377ه), انظر: وفيات الأعيان (2/80), سير أعلام النبلاء (16/379).</w:t>
      </w:r>
    </w:p>
  </w:footnote>
  <w:footnote w:id="431">
    <w:p w:rsidR="003F128F" w:rsidRPr="00FA0FE8" w:rsidRDefault="003F128F" w:rsidP="003C630F">
      <w:pPr>
        <w:pStyle w:val="af3"/>
        <w:rPr>
          <w:rFonts w:ascii="Tahoma" w:hAnsi="Tahoma"/>
          <w:sz w:val="32"/>
          <w:szCs w:val="32"/>
        </w:rPr>
      </w:pPr>
      <w:r w:rsidRPr="002B5AEC">
        <w:rPr>
          <w:rFonts w:ascii="Traditional Arabic" w:hAnsi="Traditional Arabic"/>
          <w:sz w:val="32"/>
          <w:szCs w:val="32"/>
          <w:rtl/>
        </w:rPr>
        <w:t>(</w:t>
      </w:r>
      <w:r w:rsidRPr="002B5AEC">
        <w:rPr>
          <w:rStyle w:val="ae"/>
          <w:rFonts w:ascii="Traditional Arabic" w:hAnsi="Traditional Arabic"/>
          <w:sz w:val="32"/>
          <w:szCs w:val="32"/>
          <w:vertAlign w:val="baseline"/>
        </w:rPr>
        <w:footnoteRef/>
      </w:r>
      <w:r>
        <w:rPr>
          <w:rFonts w:ascii="Traditional Arabic" w:hAnsi="Traditional Arabic"/>
          <w:sz w:val="32"/>
          <w:szCs w:val="32"/>
          <w:rtl/>
        </w:rPr>
        <w:t>)</w:t>
      </w:r>
      <w:r w:rsidRPr="002B5AEC">
        <w:rPr>
          <w:rFonts w:ascii="Traditional Arabic" w:hAnsi="Traditional Arabic"/>
          <w:sz w:val="32"/>
          <w:szCs w:val="32"/>
          <w:rtl/>
        </w:rPr>
        <w:t xml:space="preserve"> انظر: الحجة للقراء السبعة لأبي علي الفارسي (5/113).</w:t>
      </w:r>
    </w:p>
  </w:footnote>
  <w:footnote w:id="432">
    <w:p w:rsidR="003F128F" w:rsidRPr="00051C1B" w:rsidRDefault="003F128F" w:rsidP="002B5AEC">
      <w:pPr>
        <w:pStyle w:val="af3"/>
        <w:rPr>
          <w:rFonts w:ascii="Traditional Arabic" w:hAnsi="Traditional Arabic"/>
          <w:sz w:val="32"/>
          <w:szCs w:val="32"/>
        </w:rPr>
      </w:pPr>
      <w:r w:rsidRPr="00051C1B">
        <w:rPr>
          <w:rFonts w:ascii="Traditional Arabic" w:hAnsi="Traditional Arabic"/>
          <w:sz w:val="32"/>
          <w:szCs w:val="32"/>
          <w:rtl/>
        </w:rPr>
        <w:t>(</w:t>
      </w:r>
      <w:r w:rsidRPr="00051C1B">
        <w:rPr>
          <w:rStyle w:val="ae"/>
          <w:rFonts w:ascii="Traditional Arabic" w:hAnsi="Traditional Arabic"/>
          <w:sz w:val="32"/>
          <w:szCs w:val="32"/>
          <w:vertAlign w:val="baseline"/>
        </w:rPr>
        <w:footnoteRef/>
      </w:r>
      <w:r w:rsidRPr="00051C1B">
        <w:rPr>
          <w:rFonts w:ascii="Traditional Arabic" w:hAnsi="Traditional Arabic"/>
          <w:sz w:val="32"/>
          <w:szCs w:val="32"/>
          <w:rtl/>
        </w:rPr>
        <w:t>) بحثت عنه فلم أجده.</w:t>
      </w:r>
    </w:p>
  </w:footnote>
  <w:footnote w:id="433">
    <w:p w:rsidR="003F128F" w:rsidRPr="00051C1B" w:rsidRDefault="003F128F" w:rsidP="009422F2">
      <w:pPr>
        <w:widowControl/>
        <w:autoSpaceDE w:val="0"/>
        <w:autoSpaceDN w:val="0"/>
        <w:adjustRightInd w:val="0"/>
        <w:ind w:firstLine="0"/>
        <w:jc w:val="left"/>
        <w:rPr>
          <w:rFonts w:ascii="Traditional Arabic" w:hAnsi="Traditional Arabic"/>
          <w:color w:val="auto"/>
          <w:sz w:val="32"/>
          <w:szCs w:val="32"/>
        </w:rPr>
      </w:pPr>
      <w:r w:rsidRPr="00051C1B">
        <w:rPr>
          <w:rFonts w:ascii="Traditional Arabic" w:hAnsi="Traditional Arabic"/>
          <w:color w:val="auto"/>
          <w:sz w:val="32"/>
          <w:szCs w:val="32"/>
          <w:rtl/>
        </w:rPr>
        <w:t>(</w:t>
      </w:r>
      <w:r w:rsidRPr="00051C1B">
        <w:rPr>
          <w:rStyle w:val="ae"/>
          <w:rFonts w:ascii="Traditional Arabic" w:hAnsi="Traditional Arabic"/>
          <w:color w:val="auto"/>
          <w:sz w:val="32"/>
          <w:szCs w:val="32"/>
          <w:vertAlign w:val="baseline"/>
        </w:rPr>
        <w:footnoteRef/>
      </w:r>
      <w:r w:rsidRPr="00051C1B">
        <w:rPr>
          <w:rFonts w:ascii="Traditional Arabic" w:hAnsi="Traditional Arabic"/>
          <w:color w:val="auto"/>
          <w:sz w:val="32"/>
          <w:szCs w:val="32"/>
          <w:rtl/>
        </w:rPr>
        <w:t xml:space="preserve">) هو التابعي </w:t>
      </w:r>
      <w:r w:rsidRPr="00051C1B">
        <w:rPr>
          <w:rFonts w:ascii="Traditional Arabic" w:hAnsi="Traditional Arabic"/>
          <w:color w:val="auto"/>
          <w:sz w:val="32"/>
          <w:szCs w:val="32"/>
          <w:rtl/>
          <w:lang w:eastAsia="en-US"/>
        </w:rPr>
        <w:t>أبو محمد</w:t>
      </w:r>
      <w:r w:rsidRPr="00051C1B">
        <w:rPr>
          <w:rFonts w:ascii="Traditional Arabic" w:hAnsi="Traditional Arabic"/>
          <w:color w:val="auto"/>
          <w:sz w:val="32"/>
          <w:szCs w:val="32"/>
          <w:rtl/>
        </w:rPr>
        <w:t xml:space="preserve"> </w:t>
      </w:r>
      <w:r w:rsidRPr="00051C1B">
        <w:rPr>
          <w:rFonts w:ascii="Traditional Arabic" w:hAnsi="Traditional Arabic"/>
          <w:color w:val="auto"/>
          <w:sz w:val="32"/>
          <w:szCs w:val="32"/>
          <w:rtl/>
          <w:lang w:eastAsia="en-US"/>
        </w:rPr>
        <w:t>عطاء بن أبي رباح أسلم - وقيل سالم - بن صفوان مولى بني فهر أو جمح</w:t>
      </w:r>
      <w:r>
        <w:rPr>
          <w:rFonts w:ascii="Traditional Arabic" w:hAnsi="Traditional Arabic" w:hint="cs"/>
          <w:color w:val="auto"/>
          <w:sz w:val="32"/>
          <w:szCs w:val="32"/>
          <w:rtl/>
          <w:lang w:eastAsia="en-US"/>
        </w:rPr>
        <w:t xml:space="preserve"> </w:t>
      </w:r>
      <w:r w:rsidRPr="00051C1B">
        <w:rPr>
          <w:rFonts w:ascii="Traditional Arabic" w:hAnsi="Traditional Arabic"/>
          <w:color w:val="auto"/>
          <w:sz w:val="32"/>
          <w:szCs w:val="32"/>
          <w:rtl/>
          <w:lang w:eastAsia="en-US"/>
        </w:rPr>
        <w:t>المكي،</w:t>
      </w:r>
      <w:r w:rsidRPr="00051C1B">
        <w:rPr>
          <w:rFonts w:ascii="Traditional Arabic" w:hAnsi="Traditional Arabic"/>
          <w:color w:val="auto"/>
          <w:sz w:val="32"/>
          <w:szCs w:val="32"/>
          <w:rtl/>
        </w:rPr>
        <w:t xml:space="preserve"> </w:t>
      </w:r>
      <w:r>
        <w:rPr>
          <w:rFonts w:ascii="Traditional Arabic" w:hAnsi="Traditional Arabic"/>
          <w:color w:val="auto"/>
          <w:sz w:val="32"/>
          <w:szCs w:val="32"/>
          <w:rtl/>
        </w:rPr>
        <w:t>الإمام</w:t>
      </w:r>
      <w:r w:rsidRPr="00051C1B">
        <w:rPr>
          <w:rFonts w:ascii="Traditional Arabic" w:hAnsi="Traditional Arabic"/>
          <w:color w:val="auto"/>
          <w:sz w:val="32"/>
          <w:szCs w:val="32"/>
          <w:rtl/>
        </w:rPr>
        <w:t xml:space="preserve">, القدوة, العلم, </w:t>
      </w:r>
      <w:r w:rsidRPr="00051C1B">
        <w:rPr>
          <w:rFonts w:ascii="Traditional Arabic" w:hAnsi="Traditional Arabic"/>
          <w:sz w:val="32"/>
          <w:szCs w:val="32"/>
          <w:rtl/>
          <w:lang w:eastAsia="en-US"/>
        </w:rPr>
        <w:t>كان من أجلاء الفقهاء وتابعي مكة وزهادها</w:t>
      </w:r>
      <w:r w:rsidRPr="00051C1B">
        <w:rPr>
          <w:rFonts w:ascii="Traditional Arabic" w:hAnsi="Traditional Arabic"/>
          <w:color w:val="auto"/>
          <w:sz w:val="32"/>
          <w:szCs w:val="32"/>
          <w:rtl/>
        </w:rPr>
        <w:t>, (ت115ه). انظر: وفيات الأعيان (3/261), تذكرة الحفاظ (1/75).</w:t>
      </w:r>
    </w:p>
  </w:footnote>
  <w:footnote w:id="434">
    <w:p w:rsidR="003F128F" w:rsidRPr="00051C1B" w:rsidRDefault="003F128F" w:rsidP="00113DC3">
      <w:pPr>
        <w:pStyle w:val="af3"/>
        <w:rPr>
          <w:rFonts w:ascii="Traditional Arabic" w:hAnsi="Traditional Arabic"/>
          <w:sz w:val="32"/>
          <w:szCs w:val="32"/>
        </w:rPr>
      </w:pPr>
      <w:r w:rsidRPr="00051C1B">
        <w:rPr>
          <w:rFonts w:ascii="Traditional Arabic" w:hAnsi="Traditional Arabic"/>
          <w:sz w:val="32"/>
          <w:szCs w:val="32"/>
          <w:rtl/>
        </w:rPr>
        <w:t>(</w:t>
      </w:r>
      <w:r w:rsidRPr="00051C1B">
        <w:rPr>
          <w:rStyle w:val="ae"/>
          <w:rFonts w:ascii="Traditional Arabic" w:hAnsi="Traditional Arabic"/>
          <w:sz w:val="32"/>
          <w:szCs w:val="32"/>
          <w:vertAlign w:val="baseline"/>
        </w:rPr>
        <w:footnoteRef/>
      </w:r>
      <w:r w:rsidRPr="00051C1B">
        <w:rPr>
          <w:rFonts w:ascii="Traditional Arabic" w:hAnsi="Traditional Arabic"/>
          <w:sz w:val="32"/>
          <w:szCs w:val="32"/>
          <w:rtl/>
        </w:rPr>
        <w:t>) أخرجه الواح</w:t>
      </w:r>
      <w:r>
        <w:rPr>
          <w:rFonts w:ascii="Traditional Arabic" w:hAnsi="Traditional Arabic"/>
          <w:sz w:val="32"/>
          <w:szCs w:val="32"/>
          <w:rtl/>
        </w:rPr>
        <w:t xml:space="preserve">دي في أسباب النزول (ص207) بدون </w:t>
      </w:r>
      <w:r>
        <w:rPr>
          <w:rFonts w:ascii="Traditional Arabic" w:hAnsi="Traditional Arabic" w:hint="cs"/>
          <w:sz w:val="32"/>
          <w:szCs w:val="32"/>
          <w:rtl/>
        </w:rPr>
        <w:t>إ</w:t>
      </w:r>
      <w:r w:rsidRPr="00051C1B">
        <w:rPr>
          <w:rFonts w:ascii="Traditional Arabic" w:hAnsi="Traditional Arabic"/>
          <w:sz w:val="32"/>
          <w:szCs w:val="32"/>
          <w:rtl/>
        </w:rPr>
        <w:t xml:space="preserve">سناد عن عطاء عن ابن عباس رضي الله عنهما. وانظر: الكشف والبيان (6/117), </w:t>
      </w:r>
      <w:r>
        <w:rPr>
          <w:rFonts w:ascii="Traditional Arabic" w:hAnsi="Traditional Arabic" w:hint="cs"/>
          <w:sz w:val="32"/>
          <w:szCs w:val="32"/>
          <w:rtl/>
        </w:rPr>
        <w:t>معالم التنزيل</w:t>
      </w:r>
      <w:r w:rsidRPr="00051C1B">
        <w:rPr>
          <w:rFonts w:ascii="Traditional Arabic" w:hAnsi="Traditional Arabic"/>
          <w:sz w:val="32"/>
          <w:szCs w:val="32"/>
          <w:rtl/>
        </w:rPr>
        <w:t xml:space="preserve"> (5/111), وقد ذكر ابن الجوزي </w:t>
      </w:r>
      <w:r>
        <w:rPr>
          <w:rFonts w:ascii="Traditional Arabic" w:hAnsi="Traditional Arabic"/>
          <w:sz w:val="32"/>
          <w:szCs w:val="32"/>
          <w:rtl/>
        </w:rPr>
        <w:t>بطلان هذا القول والذي بعده, وسي</w:t>
      </w:r>
      <w:r>
        <w:rPr>
          <w:rFonts w:ascii="Traditional Arabic" w:hAnsi="Traditional Arabic" w:hint="cs"/>
          <w:sz w:val="32"/>
          <w:szCs w:val="32"/>
          <w:rtl/>
        </w:rPr>
        <w:t>أ</w:t>
      </w:r>
      <w:r w:rsidRPr="00051C1B">
        <w:rPr>
          <w:rFonts w:ascii="Traditional Arabic" w:hAnsi="Traditional Arabic"/>
          <w:sz w:val="32"/>
          <w:szCs w:val="32"/>
          <w:rtl/>
        </w:rPr>
        <w:t>تي بإذن الله.</w:t>
      </w:r>
    </w:p>
  </w:footnote>
  <w:footnote w:id="435">
    <w:p w:rsidR="003F128F" w:rsidRPr="00051C1B" w:rsidRDefault="003F128F" w:rsidP="006F55E1">
      <w:pPr>
        <w:pStyle w:val="af3"/>
        <w:rPr>
          <w:rFonts w:ascii="Traditional Arabic" w:hAnsi="Traditional Arabic"/>
        </w:rPr>
      </w:pPr>
      <w:r w:rsidRPr="00051C1B">
        <w:rPr>
          <w:rFonts w:ascii="Traditional Arabic" w:hAnsi="Traditional Arabic"/>
          <w:sz w:val="32"/>
          <w:szCs w:val="32"/>
          <w:rtl/>
        </w:rPr>
        <w:t>(</w:t>
      </w:r>
      <w:r w:rsidRPr="00051C1B">
        <w:rPr>
          <w:rStyle w:val="ae"/>
          <w:rFonts w:ascii="Traditional Arabic" w:hAnsi="Traditional Arabic"/>
          <w:sz w:val="32"/>
          <w:szCs w:val="32"/>
          <w:vertAlign w:val="baseline"/>
        </w:rPr>
        <w:footnoteRef/>
      </w:r>
      <w:r w:rsidRPr="00051C1B">
        <w:rPr>
          <w:rFonts w:ascii="Traditional Arabic" w:hAnsi="Traditional Arabic"/>
          <w:sz w:val="32"/>
          <w:szCs w:val="32"/>
          <w:rtl/>
        </w:rPr>
        <w:t>) أخرجه الطبري في تفسيره (17/507), وانظر: الكشف والبيان (6/118), والنكت والعيون (3/259).</w:t>
      </w:r>
    </w:p>
  </w:footnote>
  <w:footnote w:id="436">
    <w:p w:rsidR="003F128F" w:rsidRPr="00051C1B" w:rsidRDefault="003F128F" w:rsidP="00EF05B8">
      <w:pPr>
        <w:pStyle w:val="af3"/>
        <w:rPr>
          <w:rFonts w:ascii="Traditional Arabic" w:hAnsi="Traditional Arabic"/>
          <w:sz w:val="32"/>
          <w:szCs w:val="32"/>
        </w:rPr>
      </w:pPr>
      <w:r w:rsidRPr="00051C1B">
        <w:rPr>
          <w:rFonts w:ascii="Traditional Arabic" w:hAnsi="Traditional Arabic"/>
          <w:sz w:val="32"/>
          <w:szCs w:val="32"/>
          <w:rtl/>
        </w:rPr>
        <w:t>(</w:t>
      </w:r>
      <w:r w:rsidRPr="00051C1B">
        <w:rPr>
          <w:rStyle w:val="ae"/>
          <w:rFonts w:ascii="Traditional Arabic" w:hAnsi="Traditional Arabic"/>
          <w:sz w:val="32"/>
          <w:szCs w:val="32"/>
          <w:vertAlign w:val="baseline"/>
        </w:rPr>
        <w:footnoteRef/>
      </w:r>
      <w:r>
        <w:rPr>
          <w:rFonts w:ascii="Traditional Arabic" w:hAnsi="Traditional Arabic"/>
          <w:sz w:val="32"/>
          <w:szCs w:val="32"/>
          <w:rtl/>
        </w:rPr>
        <w:t>)</w:t>
      </w:r>
      <w:r w:rsidRPr="00051C1B">
        <w:rPr>
          <w:rFonts w:ascii="Traditional Arabic" w:hAnsi="Traditional Arabic"/>
          <w:sz w:val="32"/>
          <w:szCs w:val="32"/>
          <w:rtl/>
        </w:rPr>
        <w:t xml:space="preserve"> تُلِمَّ: أي تصيب وتمس. انظر: غريب </w:t>
      </w:r>
      <w:r>
        <w:rPr>
          <w:rFonts w:ascii="Traditional Arabic" w:hAnsi="Traditional Arabic"/>
          <w:sz w:val="32"/>
          <w:szCs w:val="32"/>
          <w:rtl/>
        </w:rPr>
        <w:t>الحديث لإبراهيم الحربي (2/588</w:t>
      </w:r>
      <w:r>
        <w:rPr>
          <w:rFonts w:ascii="Traditional Arabic" w:hAnsi="Traditional Arabic" w:hint="cs"/>
          <w:sz w:val="32"/>
          <w:szCs w:val="32"/>
          <w:rtl/>
        </w:rPr>
        <w:t>).</w:t>
      </w:r>
    </w:p>
  </w:footnote>
  <w:footnote w:id="437">
    <w:p w:rsidR="003F128F" w:rsidRPr="00051C1B" w:rsidRDefault="003F128F" w:rsidP="009422F2">
      <w:pPr>
        <w:pStyle w:val="af3"/>
        <w:rPr>
          <w:rFonts w:ascii="Traditional Arabic" w:hAnsi="Traditional Arabic"/>
          <w:sz w:val="32"/>
          <w:szCs w:val="32"/>
        </w:rPr>
      </w:pPr>
      <w:r w:rsidRPr="00051C1B">
        <w:rPr>
          <w:rFonts w:ascii="Traditional Arabic" w:hAnsi="Traditional Arabic"/>
          <w:sz w:val="32"/>
          <w:szCs w:val="32"/>
          <w:rtl/>
        </w:rPr>
        <w:t>(</w:t>
      </w:r>
      <w:r w:rsidRPr="00051C1B">
        <w:rPr>
          <w:rStyle w:val="ae"/>
          <w:rFonts w:ascii="Traditional Arabic" w:hAnsi="Traditional Arabic"/>
          <w:sz w:val="32"/>
          <w:szCs w:val="32"/>
          <w:vertAlign w:val="baseline"/>
        </w:rPr>
        <w:footnoteRef/>
      </w:r>
      <w:r w:rsidRPr="00051C1B">
        <w:rPr>
          <w:rFonts w:ascii="Traditional Arabic" w:hAnsi="Traditional Arabic"/>
          <w:sz w:val="32"/>
          <w:szCs w:val="32"/>
          <w:rtl/>
        </w:rPr>
        <w:t>) أخرجه الطبري</w:t>
      </w:r>
      <w:r>
        <w:rPr>
          <w:rFonts w:ascii="Traditional Arabic" w:hAnsi="Traditional Arabic" w:hint="cs"/>
          <w:sz w:val="32"/>
          <w:szCs w:val="32"/>
          <w:rtl/>
        </w:rPr>
        <w:t xml:space="preserve"> في تفسيره</w:t>
      </w:r>
      <w:r>
        <w:rPr>
          <w:rFonts w:ascii="Traditional Arabic" w:hAnsi="Traditional Arabic"/>
          <w:sz w:val="32"/>
          <w:szCs w:val="32"/>
          <w:rtl/>
        </w:rPr>
        <w:t xml:space="preserve"> (17/506), وابن </w:t>
      </w:r>
      <w:r>
        <w:rPr>
          <w:rFonts w:ascii="Traditional Arabic" w:hAnsi="Traditional Arabic" w:hint="cs"/>
          <w:sz w:val="32"/>
          <w:szCs w:val="32"/>
          <w:rtl/>
        </w:rPr>
        <w:t>أ</w:t>
      </w:r>
      <w:r w:rsidRPr="00051C1B">
        <w:rPr>
          <w:rFonts w:ascii="Traditional Arabic" w:hAnsi="Traditional Arabic"/>
          <w:sz w:val="32"/>
          <w:szCs w:val="32"/>
          <w:rtl/>
        </w:rPr>
        <w:t>بي حاتم</w:t>
      </w:r>
      <w:r>
        <w:rPr>
          <w:rFonts w:ascii="Traditional Arabic" w:hAnsi="Traditional Arabic" w:hint="cs"/>
          <w:sz w:val="32"/>
          <w:szCs w:val="32"/>
          <w:rtl/>
        </w:rPr>
        <w:t xml:space="preserve"> في تفسيره</w:t>
      </w:r>
      <w:r w:rsidRPr="00051C1B">
        <w:rPr>
          <w:rFonts w:ascii="Traditional Arabic" w:hAnsi="Traditional Arabic"/>
          <w:sz w:val="32"/>
          <w:szCs w:val="32"/>
          <w:rtl/>
        </w:rPr>
        <w:t xml:space="preserve"> (7/2340),</w:t>
      </w:r>
      <w:r>
        <w:rPr>
          <w:rFonts w:ascii="Traditional Arabic" w:hAnsi="Traditional Arabic"/>
          <w:sz w:val="32"/>
          <w:szCs w:val="32"/>
          <w:rtl/>
        </w:rPr>
        <w:t xml:space="preserve"> والواحدي في أسباب النزول بدون </w:t>
      </w:r>
      <w:r>
        <w:rPr>
          <w:rFonts w:ascii="Traditional Arabic" w:hAnsi="Traditional Arabic" w:hint="cs"/>
          <w:sz w:val="32"/>
          <w:szCs w:val="32"/>
          <w:rtl/>
        </w:rPr>
        <w:t>إ</w:t>
      </w:r>
      <w:r w:rsidRPr="00051C1B">
        <w:rPr>
          <w:rFonts w:ascii="Traditional Arabic" w:hAnsi="Traditional Arabic"/>
          <w:sz w:val="32"/>
          <w:szCs w:val="32"/>
          <w:rtl/>
        </w:rPr>
        <w:t xml:space="preserve">سناد عن سعيد بن جبير مرسلاً. (ص208). </w:t>
      </w:r>
    </w:p>
  </w:footnote>
  <w:footnote w:id="438">
    <w:p w:rsidR="003F128F" w:rsidRPr="00051C1B" w:rsidRDefault="003F128F" w:rsidP="00B20E9D">
      <w:pPr>
        <w:pStyle w:val="af3"/>
        <w:rPr>
          <w:rFonts w:ascii="Traditional Arabic" w:hAnsi="Traditional Arabic"/>
          <w:sz w:val="32"/>
          <w:szCs w:val="32"/>
        </w:rPr>
      </w:pPr>
      <w:r w:rsidRPr="00051C1B">
        <w:rPr>
          <w:rFonts w:ascii="Traditional Arabic" w:hAnsi="Traditional Arabic"/>
          <w:sz w:val="32"/>
          <w:szCs w:val="32"/>
          <w:rtl/>
        </w:rPr>
        <w:t>(</w:t>
      </w:r>
      <w:r w:rsidRPr="00051C1B">
        <w:rPr>
          <w:rStyle w:val="ae"/>
          <w:rFonts w:ascii="Traditional Arabic" w:hAnsi="Traditional Arabic"/>
          <w:sz w:val="32"/>
          <w:szCs w:val="32"/>
          <w:vertAlign w:val="baseline"/>
        </w:rPr>
        <w:footnoteRef/>
      </w:r>
      <w:r w:rsidRPr="00051C1B">
        <w:rPr>
          <w:rFonts w:ascii="Traditional Arabic" w:hAnsi="Traditional Arabic"/>
          <w:sz w:val="32"/>
          <w:szCs w:val="32"/>
          <w:rtl/>
        </w:rPr>
        <w:t>) أخرجه عبدالرزاق</w:t>
      </w:r>
      <w:r>
        <w:rPr>
          <w:rFonts w:ascii="Traditional Arabic" w:hAnsi="Traditional Arabic" w:hint="cs"/>
          <w:sz w:val="32"/>
          <w:szCs w:val="32"/>
          <w:rtl/>
        </w:rPr>
        <w:t xml:space="preserve"> في تفسيره</w:t>
      </w:r>
      <w:r w:rsidRPr="00051C1B">
        <w:rPr>
          <w:rFonts w:ascii="Traditional Arabic" w:hAnsi="Traditional Arabic"/>
          <w:sz w:val="32"/>
          <w:szCs w:val="32"/>
          <w:rtl/>
        </w:rPr>
        <w:t xml:space="preserve"> (2/307), والطبري</w:t>
      </w:r>
      <w:r>
        <w:rPr>
          <w:rFonts w:ascii="Traditional Arabic" w:hAnsi="Traditional Arabic" w:hint="cs"/>
          <w:sz w:val="32"/>
          <w:szCs w:val="32"/>
          <w:rtl/>
        </w:rPr>
        <w:t xml:space="preserve"> في تفسيره</w:t>
      </w:r>
      <w:r w:rsidRPr="00051C1B">
        <w:rPr>
          <w:rFonts w:ascii="Traditional Arabic" w:hAnsi="Traditional Arabic"/>
          <w:sz w:val="32"/>
          <w:szCs w:val="32"/>
          <w:rtl/>
        </w:rPr>
        <w:t xml:space="preserve"> (17/506), وا</w:t>
      </w:r>
      <w:r>
        <w:rPr>
          <w:rFonts w:ascii="Traditional Arabic" w:hAnsi="Traditional Arabic"/>
          <w:sz w:val="32"/>
          <w:szCs w:val="32"/>
          <w:rtl/>
        </w:rPr>
        <w:t>لواحدي في أسباب النزول</w:t>
      </w:r>
      <w:r>
        <w:rPr>
          <w:rFonts w:ascii="Traditional Arabic" w:hAnsi="Traditional Arabic" w:hint="cs"/>
          <w:sz w:val="32"/>
          <w:szCs w:val="32"/>
          <w:rtl/>
        </w:rPr>
        <w:t xml:space="preserve"> </w:t>
      </w:r>
      <w:r w:rsidRPr="00051C1B">
        <w:rPr>
          <w:rFonts w:ascii="Traditional Arabic" w:hAnsi="Traditional Arabic"/>
          <w:sz w:val="32"/>
          <w:szCs w:val="32"/>
          <w:rtl/>
        </w:rPr>
        <w:t>(ص208)</w:t>
      </w:r>
      <w:r>
        <w:rPr>
          <w:rFonts w:ascii="Traditional Arabic" w:hAnsi="Traditional Arabic"/>
          <w:sz w:val="32"/>
          <w:szCs w:val="32"/>
          <w:rtl/>
        </w:rPr>
        <w:t xml:space="preserve"> بدون </w:t>
      </w:r>
      <w:r>
        <w:rPr>
          <w:rFonts w:ascii="Traditional Arabic" w:hAnsi="Traditional Arabic" w:hint="cs"/>
          <w:sz w:val="32"/>
          <w:szCs w:val="32"/>
          <w:rtl/>
        </w:rPr>
        <w:t>إ</w:t>
      </w:r>
      <w:r>
        <w:rPr>
          <w:rFonts w:ascii="Traditional Arabic" w:hAnsi="Traditional Arabic"/>
          <w:sz w:val="32"/>
          <w:szCs w:val="32"/>
          <w:rtl/>
        </w:rPr>
        <w:t>سناد عن قتادة به</w:t>
      </w:r>
      <w:r w:rsidRPr="00051C1B">
        <w:rPr>
          <w:rFonts w:ascii="Traditional Arabic" w:hAnsi="Traditional Arabic"/>
          <w:sz w:val="32"/>
          <w:szCs w:val="32"/>
          <w:rtl/>
        </w:rPr>
        <w:t>.</w:t>
      </w:r>
    </w:p>
  </w:footnote>
  <w:footnote w:id="439">
    <w:p w:rsidR="003F128F" w:rsidRPr="00051C1B" w:rsidRDefault="003F128F" w:rsidP="007A63AD">
      <w:pPr>
        <w:pStyle w:val="af3"/>
        <w:rPr>
          <w:rFonts w:ascii="Traditional Arabic" w:hAnsi="Traditional Arabic"/>
          <w:sz w:val="32"/>
          <w:szCs w:val="32"/>
        </w:rPr>
      </w:pPr>
      <w:r w:rsidRPr="00051C1B">
        <w:rPr>
          <w:rFonts w:ascii="Traditional Arabic" w:hAnsi="Traditional Arabic"/>
          <w:sz w:val="32"/>
          <w:szCs w:val="32"/>
          <w:rtl/>
        </w:rPr>
        <w:t>(</w:t>
      </w:r>
      <w:r w:rsidRPr="00051C1B">
        <w:rPr>
          <w:rStyle w:val="ae"/>
          <w:rFonts w:ascii="Traditional Arabic" w:hAnsi="Traditional Arabic"/>
          <w:sz w:val="32"/>
          <w:szCs w:val="32"/>
          <w:vertAlign w:val="baseline"/>
        </w:rPr>
        <w:footnoteRef/>
      </w:r>
      <w:r w:rsidRPr="00051C1B">
        <w:rPr>
          <w:rFonts w:ascii="Traditional Arabic" w:hAnsi="Traditional Arabic"/>
          <w:sz w:val="32"/>
          <w:szCs w:val="32"/>
          <w:rtl/>
        </w:rPr>
        <w:t>) أي: أراذلهم, والسقاط بَائِع سقط الْمَتَاع وَهُوَ رذاله, والعوام تسميه: السَّقطِي. انظر: غريب الحديث لابن قتيبة (2/230).</w:t>
      </w:r>
    </w:p>
  </w:footnote>
  <w:footnote w:id="440">
    <w:p w:rsidR="003F128F" w:rsidRPr="00051C1B" w:rsidRDefault="003F128F" w:rsidP="00EF05B8">
      <w:pPr>
        <w:pStyle w:val="af3"/>
        <w:rPr>
          <w:rFonts w:ascii="Traditional Arabic" w:hAnsi="Traditional Arabic"/>
          <w:sz w:val="32"/>
          <w:szCs w:val="32"/>
        </w:rPr>
      </w:pPr>
      <w:r w:rsidRPr="00051C1B">
        <w:rPr>
          <w:rFonts w:ascii="Traditional Arabic" w:hAnsi="Traditional Arabic"/>
          <w:sz w:val="32"/>
          <w:szCs w:val="32"/>
          <w:rtl/>
        </w:rPr>
        <w:t>(</w:t>
      </w:r>
      <w:r w:rsidRPr="00051C1B">
        <w:rPr>
          <w:rStyle w:val="ae"/>
          <w:rFonts w:ascii="Traditional Arabic" w:hAnsi="Traditional Arabic"/>
          <w:sz w:val="32"/>
          <w:szCs w:val="32"/>
          <w:vertAlign w:val="baseline"/>
        </w:rPr>
        <w:footnoteRef/>
      </w:r>
      <w:r>
        <w:rPr>
          <w:rFonts w:ascii="Traditional Arabic" w:hAnsi="Traditional Arabic"/>
          <w:sz w:val="32"/>
          <w:szCs w:val="32"/>
          <w:rtl/>
        </w:rPr>
        <w:t xml:space="preserve">) في </w:t>
      </w:r>
      <w:r>
        <w:rPr>
          <w:rFonts w:ascii="Traditional Arabic" w:hAnsi="Traditional Arabic" w:hint="cs"/>
          <w:sz w:val="32"/>
          <w:szCs w:val="32"/>
          <w:rtl/>
        </w:rPr>
        <w:t>(ك)</w:t>
      </w:r>
      <w:r>
        <w:rPr>
          <w:rFonts w:ascii="Traditional Arabic" w:hAnsi="Traditional Arabic"/>
          <w:sz w:val="32"/>
          <w:szCs w:val="32"/>
          <w:rtl/>
        </w:rPr>
        <w:t xml:space="preserve">: </w:t>
      </w:r>
      <w:r>
        <w:rPr>
          <w:rFonts w:ascii="Traditional Arabic" w:hAnsi="Traditional Arabic" w:hint="cs"/>
          <w:sz w:val="32"/>
          <w:szCs w:val="32"/>
          <w:rtl/>
        </w:rPr>
        <w:t>[</w:t>
      </w:r>
      <w:r>
        <w:rPr>
          <w:rFonts w:ascii="Traditional Arabic" w:hAnsi="Traditional Arabic"/>
          <w:sz w:val="32"/>
          <w:szCs w:val="32"/>
          <w:rtl/>
        </w:rPr>
        <w:t>فنزلت هذه الآي</w:t>
      </w:r>
      <w:r>
        <w:rPr>
          <w:rFonts w:ascii="Traditional Arabic" w:hAnsi="Traditional Arabic" w:hint="cs"/>
          <w:sz w:val="32"/>
          <w:szCs w:val="32"/>
          <w:rtl/>
        </w:rPr>
        <w:t>ات].</w:t>
      </w:r>
    </w:p>
  </w:footnote>
  <w:footnote w:id="441">
    <w:p w:rsidR="003F128F" w:rsidRPr="00051C1B" w:rsidRDefault="003F128F" w:rsidP="009422F2">
      <w:pPr>
        <w:pStyle w:val="af3"/>
        <w:tabs>
          <w:tab w:val="left" w:pos="6238"/>
        </w:tabs>
        <w:rPr>
          <w:rFonts w:ascii="Traditional Arabic" w:hAnsi="Traditional Arabic"/>
          <w:sz w:val="32"/>
          <w:szCs w:val="32"/>
        </w:rPr>
      </w:pPr>
      <w:r w:rsidRPr="00051C1B">
        <w:rPr>
          <w:rFonts w:ascii="Traditional Arabic" w:hAnsi="Traditional Arabic"/>
          <w:sz w:val="32"/>
          <w:szCs w:val="32"/>
          <w:rtl/>
        </w:rPr>
        <w:t>(</w:t>
      </w:r>
      <w:r w:rsidRPr="00051C1B">
        <w:rPr>
          <w:rStyle w:val="ae"/>
          <w:rFonts w:ascii="Traditional Arabic" w:hAnsi="Traditional Arabic"/>
          <w:sz w:val="32"/>
          <w:szCs w:val="32"/>
          <w:vertAlign w:val="baseline"/>
        </w:rPr>
        <w:footnoteRef/>
      </w:r>
      <w:r w:rsidRPr="00051C1B">
        <w:rPr>
          <w:rFonts w:ascii="Traditional Arabic" w:hAnsi="Traditional Arabic"/>
          <w:sz w:val="32"/>
          <w:szCs w:val="32"/>
          <w:rtl/>
        </w:rPr>
        <w:t xml:space="preserve">) أخرجه ابن ابي حاتم </w:t>
      </w:r>
      <w:r>
        <w:rPr>
          <w:rFonts w:ascii="Traditional Arabic" w:hAnsi="Traditional Arabic" w:hint="cs"/>
          <w:sz w:val="32"/>
          <w:szCs w:val="32"/>
          <w:rtl/>
        </w:rPr>
        <w:t xml:space="preserve">في تفسيره </w:t>
      </w:r>
      <w:r w:rsidRPr="00051C1B">
        <w:rPr>
          <w:rFonts w:ascii="Traditional Arabic" w:hAnsi="Traditional Arabic"/>
          <w:sz w:val="32"/>
          <w:szCs w:val="32"/>
          <w:rtl/>
        </w:rPr>
        <w:t>(7/2340) عن جبير بن نفير رضي الله عنه. وقد ذكره ا</w:t>
      </w:r>
      <w:r>
        <w:rPr>
          <w:rFonts w:ascii="Traditional Arabic" w:hAnsi="Traditional Arabic"/>
          <w:sz w:val="32"/>
          <w:szCs w:val="32"/>
          <w:rtl/>
        </w:rPr>
        <w:t xml:space="preserve">لزجاج في معاني القرآن (3/254), </w:t>
      </w:r>
      <w:r>
        <w:rPr>
          <w:rFonts w:ascii="Traditional Arabic" w:hAnsi="Traditional Arabic" w:hint="cs"/>
          <w:sz w:val="32"/>
          <w:szCs w:val="32"/>
          <w:rtl/>
        </w:rPr>
        <w:t>والسيوطي في الدر المنثور</w:t>
      </w:r>
      <w:r w:rsidRPr="00051C1B">
        <w:rPr>
          <w:rFonts w:ascii="Traditional Arabic" w:hAnsi="Traditional Arabic"/>
          <w:sz w:val="32"/>
          <w:szCs w:val="32"/>
          <w:rtl/>
        </w:rPr>
        <w:t xml:space="preserve"> (9/407).</w:t>
      </w:r>
      <w:r w:rsidRPr="00051C1B">
        <w:rPr>
          <w:rFonts w:ascii="Traditional Arabic" w:hAnsi="Traditional Arabic"/>
          <w:sz w:val="32"/>
          <w:szCs w:val="32"/>
          <w:rtl/>
        </w:rPr>
        <w:tab/>
      </w:r>
    </w:p>
  </w:footnote>
  <w:footnote w:id="442">
    <w:p w:rsidR="003F128F" w:rsidRPr="00051C1B" w:rsidRDefault="003F128F" w:rsidP="00F93FE7">
      <w:pPr>
        <w:pStyle w:val="af3"/>
        <w:rPr>
          <w:rFonts w:ascii="Traditional Arabic" w:hAnsi="Traditional Arabic"/>
          <w:sz w:val="32"/>
          <w:szCs w:val="32"/>
        </w:rPr>
      </w:pPr>
      <w:r w:rsidRPr="00051C1B">
        <w:rPr>
          <w:rFonts w:ascii="Traditional Arabic" w:hAnsi="Traditional Arabic"/>
          <w:sz w:val="32"/>
          <w:szCs w:val="32"/>
          <w:rtl/>
        </w:rPr>
        <w:t>(</w:t>
      </w:r>
      <w:r w:rsidRPr="00051C1B">
        <w:rPr>
          <w:rStyle w:val="ae"/>
          <w:rFonts w:ascii="Traditional Arabic" w:hAnsi="Traditional Arabic"/>
          <w:sz w:val="32"/>
          <w:szCs w:val="32"/>
          <w:vertAlign w:val="baseline"/>
        </w:rPr>
        <w:footnoteRef/>
      </w:r>
      <w:r w:rsidRPr="00051C1B">
        <w:rPr>
          <w:rFonts w:ascii="Traditional Arabic" w:hAnsi="Traditional Arabic"/>
          <w:sz w:val="32"/>
          <w:szCs w:val="32"/>
          <w:rtl/>
        </w:rPr>
        <w:t xml:space="preserve">) انظر: معاني القرآن وإعرابه (3/253). </w:t>
      </w:r>
    </w:p>
  </w:footnote>
  <w:footnote w:id="443">
    <w:p w:rsidR="003F128F" w:rsidRPr="00051C1B" w:rsidRDefault="003F128F" w:rsidP="009422F2">
      <w:pPr>
        <w:pStyle w:val="af3"/>
        <w:rPr>
          <w:rFonts w:ascii="Traditional Arabic" w:hAnsi="Traditional Arabic"/>
        </w:rPr>
      </w:pPr>
      <w:r w:rsidRPr="00051C1B">
        <w:rPr>
          <w:rFonts w:ascii="Traditional Arabic" w:hAnsi="Traditional Arabic"/>
          <w:sz w:val="32"/>
          <w:szCs w:val="32"/>
          <w:rtl/>
        </w:rPr>
        <w:t>(</w:t>
      </w:r>
      <w:r w:rsidRPr="00051C1B">
        <w:rPr>
          <w:rStyle w:val="ae"/>
          <w:rFonts w:ascii="Traditional Arabic" w:hAnsi="Traditional Arabic"/>
          <w:sz w:val="32"/>
          <w:szCs w:val="32"/>
          <w:vertAlign w:val="baseline"/>
        </w:rPr>
        <w:footnoteRef/>
      </w:r>
      <w:r w:rsidRPr="00051C1B">
        <w:rPr>
          <w:rFonts w:ascii="Traditional Arabic" w:hAnsi="Traditional Arabic"/>
          <w:sz w:val="32"/>
          <w:szCs w:val="32"/>
          <w:rtl/>
        </w:rPr>
        <w:t>) انظر: التفسير الوسيط (3/120), والوجيز (ص642) للواحدي.</w:t>
      </w:r>
    </w:p>
  </w:footnote>
  <w:footnote w:id="444">
    <w:p w:rsidR="003F128F" w:rsidRPr="00110C85" w:rsidRDefault="003F128F" w:rsidP="009422F2">
      <w:pPr>
        <w:pStyle w:val="af3"/>
        <w:rPr>
          <w:rFonts w:ascii="Traditional Arabic" w:hAnsi="Traditional Arabic"/>
          <w:sz w:val="32"/>
          <w:szCs w:val="32"/>
        </w:rPr>
      </w:pPr>
      <w:r w:rsidRPr="00051C1B">
        <w:rPr>
          <w:rFonts w:ascii="Traditional Arabic" w:hAnsi="Traditional Arabic"/>
          <w:sz w:val="32"/>
          <w:szCs w:val="32"/>
          <w:rtl/>
        </w:rPr>
        <w:t>(</w:t>
      </w:r>
      <w:r w:rsidRPr="00051C1B">
        <w:rPr>
          <w:rStyle w:val="ae"/>
          <w:rFonts w:ascii="Traditional Arabic" w:hAnsi="Traditional Arabic"/>
          <w:sz w:val="32"/>
          <w:szCs w:val="32"/>
          <w:vertAlign w:val="baseline"/>
        </w:rPr>
        <w:footnoteRef/>
      </w:r>
      <w:r>
        <w:rPr>
          <w:rFonts w:ascii="Traditional Arabic" w:hAnsi="Traditional Arabic"/>
          <w:sz w:val="32"/>
          <w:szCs w:val="32"/>
          <w:rtl/>
        </w:rPr>
        <w:t>) ما بين ال</w:t>
      </w:r>
      <w:r>
        <w:rPr>
          <w:rFonts w:ascii="Traditional Arabic" w:hAnsi="Traditional Arabic" w:hint="cs"/>
          <w:sz w:val="32"/>
          <w:szCs w:val="32"/>
          <w:rtl/>
        </w:rPr>
        <w:t>معكوفتين</w:t>
      </w:r>
      <w:r w:rsidRPr="00051C1B">
        <w:rPr>
          <w:rFonts w:ascii="Traditional Arabic" w:hAnsi="Traditional Arabic"/>
          <w:sz w:val="32"/>
          <w:szCs w:val="32"/>
          <w:rtl/>
        </w:rPr>
        <w:t xml:space="preserve"> </w:t>
      </w:r>
      <w:r>
        <w:rPr>
          <w:rFonts w:ascii="Traditional Arabic" w:hAnsi="Traditional Arabic" w:hint="cs"/>
          <w:sz w:val="32"/>
          <w:szCs w:val="32"/>
          <w:rtl/>
        </w:rPr>
        <w:t>ساقط من</w:t>
      </w:r>
      <w:r>
        <w:rPr>
          <w:rFonts w:ascii="Traditional Arabic" w:hAnsi="Traditional Arabic"/>
          <w:sz w:val="32"/>
          <w:szCs w:val="32"/>
          <w:rtl/>
        </w:rPr>
        <w:t xml:space="preserve"> </w:t>
      </w:r>
      <w:r>
        <w:rPr>
          <w:rFonts w:ascii="Traditional Arabic" w:hAnsi="Traditional Arabic" w:hint="cs"/>
          <w:sz w:val="32"/>
          <w:szCs w:val="32"/>
          <w:rtl/>
        </w:rPr>
        <w:t>الأصل, والمثبت من (ك).</w:t>
      </w:r>
    </w:p>
  </w:footnote>
  <w:footnote w:id="445">
    <w:p w:rsidR="003F128F" w:rsidRPr="00051C1B" w:rsidRDefault="003F128F" w:rsidP="009422F2">
      <w:pPr>
        <w:pStyle w:val="af3"/>
        <w:rPr>
          <w:rFonts w:ascii="Traditional Arabic" w:hAnsi="Traditional Arabic"/>
          <w:sz w:val="32"/>
          <w:szCs w:val="32"/>
        </w:rPr>
      </w:pPr>
      <w:r w:rsidRPr="00051C1B">
        <w:rPr>
          <w:rFonts w:ascii="Traditional Arabic" w:hAnsi="Traditional Arabic"/>
          <w:sz w:val="32"/>
          <w:szCs w:val="32"/>
          <w:rtl/>
        </w:rPr>
        <w:t>(</w:t>
      </w:r>
      <w:r w:rsidRPr="00051C1B">
        <w:rPr>
          <w:rStyle w:val="ae"/>
          <w:rFonts w:ascii="Traditional Arabic" w:hAnsi="Traditional Arabic"/>
          <w:sz w:val="32"/>
          <w:szCs w:val="32"/>
          <w:vertAlign w:val="baseline"/>
        </w:rPr>
        <w:footnoteRef/>
      </w:r>
      <w:r w:rsidRPr="00051C1B">
        <w:rPr>
          <w:rFonts w:ascii="Traditional Arabic" w:hAnsi="Traditional Arabic"/>
          <w:sz w:val="32"/>
          <w:szCs w:val="32"/>
          <w:rtl/>
        </w:rPr>
        <w:t>) تقدم تخريج رواية ابن عباس في (ص</w:t>
      </w:r>
      <w:r>
        <w:rPr>
          <w:rFonts w:ascii="Traditional Arabic" w:hAnsi="Traditional Arabic" w:hint="cs"/>
          <w:sz w:val="32"/>
          <w:szCs w:val="32"/>
          <w:rtl/>
        </w:rPr>
        <w:t>117</w:t>
      </w:r>
      <w:r w:rsidRPr="00051C1B">
        <w:rPr>
          <w:rFonts w:ascii="Traditional Arabic" w:hAnsi="Traditional Arabic"/>
          <w:sz w:val="32"/>
          <w:szCs w:val="32"/>
          <w:rtl/>
        </w:rPr>
        <w:t>).</w:t>
      </w:r>
    </w:p>
  </w:footnote>
  <w:footnote w:id="446">
    <w:p w:rsidR="003F128F" w:rsidRPr="00051C1B" w:rsidRDefault="003F128F" w:rsidP="00957315">
      <w:pPr>
        <w:pStyle w:val="af3"/>
        <w:rPr>
          <w:rFonts w:ascii="Traditional Arabic" w:hAnsi="Traditional Arabic"/>
          <w:sz w:val="32"/>
          <w:szCs w:val="32"/>
          <w:rtl/>
        </w:rPr>
      </w:pPr>
      <w:r w:rsidRPr="00051C1B">
        <w:rPr>
          <w:rFonts w:ascii="Traditional Arabic" w:hAnsi="Traditional Arabic"/>
          <w:sz w:val="32"/>
          <w:szCs w:val="32"/>
          <w:rtl/>
        </w:rPr>
        <w:t>(</w:t>
      </w:r>
      <w:r w:rsidRPr="00051C1B">
        <w:rPr>
          <w:rStyle w:val="ae"/>
          <w:rFonts w:ascii="Traditional Arabic" w:hAnsi="Traditional Arabic"/>
          <w:sz w:val="32"/>
          <w:szCs w:val="32"/>
          <w:vertAlign w:val="baseline"/>
        </w:rPr>
        <w:footnoteRef/>
      </w:r>
      <w:r>
        <w:rPr>
          <w:rFonts w:ascii="Traditional Arabic" w:hAnsi="Traditional Arabic"/>
          <w:sz w:val="32"/>
          <w:szCs w:val="32"/>
          <w:rtl/>
        </w:rPr>
        <w:t xml:space="preserve">) </w:t>
      </w:r>
      <w:r w:rsidRPr="00051C1B">
        <w:rPr>
          <w:rFonts w:ascii="Traditional Arabic" w:hAnsi="Traditional Arabic"/>
          <w:sz w:val="32"/>
          <w:szCs w:val="32"/>
          <w:rtl/>
        </w:rPr>
        <w:t>نقله عنه مكي في الهداية (6/4258).</w:t>
      </w:r>
    </w:p>
  </w:footnote>
  <w:footnote w:id="447">
    <w:p w:rsidR="003F128F" w:rsidRPr="00051C1B" w:rsidRDefault="003F128F" w:rsidP="009422F2">
      <w:pPr>
        <w:pStyle w:val="af3"/>
        <w:rPr>
          <w:rFonts w:ascii="Traditional Arabic" w:hAnsi="Traditional Arabic"/>
          <w:sz w:val="32"/>
          <w:szCs w:val="32"/>
        </w:rPr>
      </w:pPr>
      <w:r w:rsidRPr="00051C1B">
        <w:rPr>
          <w:rFonts w:ascii="Traditional Arabic" w:hAnsi="Traditional Arabic"/>
          <w:sz w:val="32"/>
          <w:szCs w:val="32"/>
          <w:rtl/>
        </w:rPr>
        <w:t>(</w:t>
      </w:r>
      <w:r w:rsidRPr="00051C1B">
        <w:rPr>
          <w:rStyle w:val="ae"/>
          <w:rFonts w:ascii="Traditional Arabic" w:hAnsi="Traditional Arabic"/>
          <w:sz w:val="32"/>
          <w:szCs w:val="32"/>
          <w:vertAlign w:val="baseline"/>
        </w:rPr>
        <w:footnoteRef/>
      </w:r>
      <w:r w:rsidRPr="00051C1B">
        <w:rPr>
          <w:rFonts w:ascii="Traditional Arabic" w:hAnsi="Traditional Arabic"/>
          <w:sz w:val="32"/>
          <w:szCs w:val="32"/>
          <w:rtl/>
        </w:rPr>
        <w:t>) هو كليب بن ربيعة بن الحارث بن مرة التغلبي الوائلي, سيد الحيين: بكر وتغلب في الجاهلية، ومن الشجعان الأبطال، كانت منازله في نجد وأطرافها, (ت135ق ه). انظر: معجم الشعراء للمرزباني (ص354), الأعلام (5/232).</w:t>
      </w:r>
    </w:p>
  </w:footnote>
  <w:footnote w:id="448">
    <w:p w:rsidR="003F128F" w:rsidRPr="00966DAF" w:rsidRDefault="003F128F" w:rsidP="00B20E9D">
      <w:pPr>
        <w:pStyle w:val="af3"/>
        <w:rPr>
          <w:rFonts w:ascii="Traditional Arabic" w:hAnsi="Traditional Arabic"/>
          <w:sz w:val="32"/>
          <w:szCs w:val="32"/>
        </w:rPr>
      </w:pPr>
      <w:r w:rsidRPr="00966DAF">
        <w:rPr>
          <w:rFonts w:ascii="Traditional Arabic" w:hAnsi="Traditional Arabic"/>
          <w:sz w:val="32"/>
          <w:szCs w:val="32"/>
          <w:rtl/>
        </w:rPr>
        <w:t>(</w:t>
      </w:r>
      <w:r w:rsidRPr="00966DAF">
        <w:rPr>
          <w:rStyle w:val="ae"/>
          <w:rFonts w:ascii="Traditional Arabic" w:hAnsi="Traditional Arabic"/>
          <w:sz w:val="32"/>
          <w:szCs w:val="32"/>
          <w:vertAlign w:val="baseline"/>
        </w:rPr>
        <w:footnoteRef/>
      </w:r>
      <w:r w:rsidRPr="00966DAF">
        <w:rPr>
          <w:rFonts w:ascii="Traditional Arabic" w:hAnsi="Traditional Arabic"/>
          <w:sz w:val="32"/>
          <w:szCs w:val="32"/>
          <w:rtl/>
        </w:rPr>
        <w:t>)</w:t>
      </w:r>
      <w:r>
        <w:rPr>
          <w:rFonts w:ascii="Traditional Arabic" w:hAnsi="Traditional Arabic" w:hint="cs"/>
          <w:sz w:val="32"/>
          <w:szCs w:val="32"/>
          <w:rtl/>
        </w:rPr>
        <w:t xml:space="preserve"> ال</w:t>
      </w:r>
      <w:r w:rsidRPr="00966DAF">
        <w:rPr>
          <w:rFonts w:ascii="Traditional Arabic" w:hAnsi="Traditional Arabic"/>
          <w:sz w:val="32"/>
          <w:szCs w:val="32"/>
          <w:rtl/>
        </w:rPr>
        <w:t>بيت لعدي بن ربيعة</w:t>
      </w:r>
      <w:r>
        <w:rPr>
          <w:rFonts w:ascii="Traditional Arabic" w:hAnsi="Traditional Arabic" w:hint="cs"/>
          <w:sz w:val="32"/>
          <w:szCs w:val="32"/>
          <w:rtl/>
        </w:rPr>
        <w:t>,</w:t>
      </w:r>
      <w:r w:rsidRPr="00966DAF">
        <w:rPr>
          <w:rFonts w:ascii="Traditional Arabic" w:hAnsi="Traditional Arabic" w:hint="cs"/>
          <w:sz w:val="32"/>
          <w:szCs w:val="32"/>
          <w:rtl/>
        </w:rPr>
        <w:t xml:space="preserve"> وصدره </w:t>
      </w:r>
      <w:r w:rsidRPr="00966DAF">
        <w:rPr>
          <w:rFonts w:ascii="Traditional Arabic" w:hAnsi="Traditional Arabic" w:hint="cs"/>
          <w:sz w:val="32"/>
          <w:szCs w:val="32"/>
          <w:rtl/>
          <w:lang w:eastAsia="en-US"/>
        </w:rPr>
        <w:t>(</w:t>
      </w:r>
      <w:r w:rsidRPr="00966DAF">
        <w:rPr>
          <w:rFonts w:ascii="Traditional Arabic" w:hAnsi="Traditional Arabic"/>
          <w:sz w:val="32"/>
          <w:szCs w:val="32"/>
          <w:rtl/>
          <w:lang w:eastAsia="en-US"/>
        </w:rPr>
        <w:t>نبئت أن النار بعدك أوقدت</w:t>
      </w:r>
      <w:r w:rsidRPr="00966DAF">
        <w:rPr>
          <w:rFonts w:ascii="Traditional Arabic" w:hAnsi="Traditional Arabic" w:hint="cs"/>
          <w:sz w:val="32"/>
          <w:szCs w:val="32"/>
          <w:rtl/>
          <w:lang w:eastAsia="en-US"/>
        </w:rPr>
        <w:t>)</w:t>
      </w:r>
      <w:r>
        <w:rPr>
          <w:rFonts w:ascii="Traditional Arabic" w:hAnsi="Traditional Arabic" w:hint="cs"/>
          <w:sz w:val="32"/>
          <w:szCs w:val="32"/>
          <w:rtl/>
        </w:rPr>
        <w:t>,</w:t>
      </w:r>
      <w:r w:rsidRPr="00966DAF">
        <w:rPr>
          <w:rFonts w:ascii="Traditional Arabic" w:hAnsi="Traditional Arabic" w:hint="cs"/>
          <w:sz w:val="32"/>
          <w:szCs w:val="32"/>
          <w:rtl/>
        </w:rPr>
        <w:t xml:space="preserve"> </w:t>
      </w:r>
      <w:r>
        <w:rPr>
          <w:rFonts w:ascii="Traditional Arabic" w:hAnsi="Traditional Arabic" w:hint="cs"/>
          <w:sz w:val="32"/>
          <w:szCs w:val="32"/>
          <w:rtl/>
        </w:rPr>
        <w:t>ومعناه:</w:t>
      </w:r>
      <w:r w:rsidRPr="00966DAF">
        <w:rPr>
          <w:rFonts w:ascii="Traditional Arabic" w:hAnsi="Traditional Arabic"/>
          <w:sz w:val="32"/>
          <w:szCs w:val="32"/>
          <w:rtl/>
        </w:rPr>
        <w:t xml:space="preserve"> أن أهل المجلس تنازعوا الكلام بعدك وتجاذب</w:t>
      </w:r>
      <w:r>
        <w:rPr>
          <w:rFonts w:ascii="Traditional Arabic" w:hAnsi="Traditional Arabic"/>
          <w:sz w:val="32"/>
          <w:szCs w:val="32"/>
          <w:rtl/>
        </w:rPr>
        <w:t>وه، حتى صار بعضهم يسب البعض</w:t>
      </w:r>
      <w:r>
        <w:rPr>
          <w:rFonts w:ascii="Traditional Arabic" w:hAnsi="Traditional Arabic" w:hint="cs"/>
          <w:sz w:val="32"/>
          <w:szCs w:val="32"/>
          <w:rtl/>
        </w:rPr>
        <w:t>.</w:t>
      </w:r>
      <w:r w:rsidRPr="00966DAF">
        <w:rPr>
          <w:rFonts w:ascii="Traditional Arabic" w:hAnsi="Traditional Arabic"/>
          <w:sz w:val="32"/>
          <w:szCs w:val="32"/>
          <w:rtl/>
        </w:rPr>
        <w:t xml:space="preserve"> انظر: شرح ديوان الحماسة للأصفهاني(ص655-656). </w:t>
      </w:r>
    </w:p>
  </w:footnote>
  <w:footnote w:id="449">
    <w:p w:rsidR="003F128F" w:rsidRPr="00554762" w:rsidRDefault="003F128F" w:rsidP="009422F2">
      <w:pPr>
        <w:pStyle w:val="af3"/>
        <w:rPr>
          <w:rFonts w:ascii="Tahoma" w:hAnsi="Tahoma"/>
          <w:sz w:val="32"/>
          <w:szCs w:val="32"/>
        </w:rPr>
      </w:pPr>
      <w:r w:rsidRPr="00051C1B">
        <w:rPr>
          <w:rFonts w:ascii="Traditional Arabic" w:hAnsi="Traditional Arabic"/>
          <w:sz w:val="32"/>
          <w:szCs w:val="32"/>
          <w:rtl/>
        </w:rPr>
        <w:t>(</w:t>
      </w:r>
      <w:r w:rsidRPr="00051C1B">
        <w:rPr>
          <w:rStyle w:val="ae"/>
          <w:rFonts w:ascii="Traditional Arabic" w:hAnsi="Traditional Arabic"/>
          <w:sz w:val="32"/>
          <w:szCs w:val="32"/>
          <w:vertAlign w:val="baseline"/>
        </w:rPr>
        <w:footnoteRef/>
      </w:r>
      <w:r w:rsidRPr="00051C1B">
        <w:rPr>
          <w:rFonts w:ascii="Traditional Arabic" w:hAnsi="Traditional Arabic"/>
          <w:sz w:val="32"/>
          <w:szCs w:val="32"/>
          <w:rtl/>
        </w:rPr>
        <w:t xml:space="preserve">) </w:t>
      </w:r>
      <w:r>
        <w:rPr>
          <w:rFonts w:ascii="Traditional Arabic" w:hAnsi="Traditional Arabic" w:hint="cs"/>
          <w:sz w:val="32"/>
          <w:szCs w:val="32"/>
          <w:rtl/>
        </w:rPr>
        <w:t>انظر: تفسير الطبري</w:t>
      </w:r>
      <w:r w:rsidRPr="00051C1B">
        <w:rPr>
          <w:rFonts w:ascii="Traditional Arabic" w:hAnsi="Traditional Arabic"/>
          <w:sz w:val="32"/>
          <w:szCs w:val="32"/>
          <w:rtl/>
        </w:rPr>
        <w:t xml:space="preserve"> (17/509), وهو قول قتادة ومجاهد والضحاك كذلك. انظر: تفسير مجاهد (ص440) ,تفسير عبد الرزاق (2/307), السمرقندي (2/324)</w:t>
      </w:r>
      <w:r>
        <w:rPr>
          <w:rFonts w:ascii="Traditional Arabic" w:hAnsi="Traditional Arabic" w:hint="cs"/>
          <w:sz w:val="32"/>
          <w:szCs w:val="32"/>
          <w:rtl/>
        </w:rPr>
        <w:t>.</w:t>
      </w:r>
    </w:p>
  </w:footnote>
  <w:footnote w:id="450">
    <w:p w:rsidR="003F128F" w:rsidRPr="00051C1B" w:rsidRDefault="003F128F" w:rsidP="009422F2">
      <w:pPr>
        <w:pStyle w:val="af3"/>
        <w:rPr>
          <w:rFonts w:ascii="Traditional Arabic" w:hAnsi="Traditional Arabic"/>
          <w:sz w:val="32"/>
          <w:szCs w:val="32"/>
        </w:rPr>
      </w:pPr>
      <w:r w:rsidRPr="00051C1B">
        <w:rPr>
          <w:rFonts w:ascii="Traditional Arabic" w:hAnsi="Traditional Arabic"/>
          <w:sz w:val="32"/>
          <w:szCs w:val="32"/>
          <w:rtl/>
        </w:rPr>
        <w:t>(</w:t>
      </w:r>
      <w:r w:rsidRPr="00051C1B">
        <w:rPr>
          <w:rStyle w:val="ae"/>
          <w:rFonts w:ascii="Traditional Arabic" w:hAnsi="Traditional Arabic"/>
          <w:sz w:val="32"/>
          <w:szCs w:val="32"/>
          <w:vertAlign w:val="baseline"/>
        </w:rPr>
        <w:footnoteRef/>
      </w:r>
      <w:r w:rsidRPr="00051C1B">
        <w:rPr>
          <w:rFonts w:ascii="Traditional Arabic" w:hAnsi="Traditional Arabic"/>
          <w:sz w:val="32"/>
          <w:szCs w:val="32"/>
          <w:rtl/>
        </w:rPr>
        <w:t>) ذكره الواحدي عن ابن عباس في أسباب النزول (ص208) بدون إسناد. قال ابن كثير عند تفسيره لهذه الآية: وهذا القول ضعيف؛ لأن هذه الآية مكية, وسكنى المدينة بعد ذلك. اه (5/100).</w:t>
      </w:r>
    </w:p>
  </w:footnote>
  <w:footnote w:id="451">
    <w:p w:rsidR="003F128F" w:rsidRPr="00051C1B" w:rsidRDefault="003F128F" w:rsidP="00051C1B">
      <w:pPr>
        <w:pStyle w:val="af3"/>
        <w:rPr>
          <w:rFonts w:ascii="Traditional Arabic" w:hAnsi="Traditional Arabic"/>
          <w:sz w:val="32"/>
          <w:szCs w:val="32"/>
        </w:rPr>
      </w:pPr>
      <w:r w:rsidRPr="00051C1B">
        <w:rPr>
          <w:rFonts w:ascii="Traditional Arabic" w:hAnsi="Traditional Arabic"/>
          <w:sz w:val="32"/>
          <w:szCs w:val="32"/>
          <w:rtl/>
        </w:rPr>
        <w:t>(</w:t>
      </w:r>
      <w:r w:rsidRPr="00051C1B">
        <w:rPr>
          <w:rStyle w:val="ae"/>
          <w:rFonts w:ascii="Traditional Arabic" w:hAnsi="Traditional Arabic"/>
          <w:sz w:val="32"/>
          <w:szCs w:val="32"/>
          <w:vertAlign w:val="baseline"/>
        </w:rPr>
        <w:footnoteRef/>
      </w:r>
      <w:r>
        <w:rPr>
          <w:rFonts w:ascii="Traditional Arabic" w:hAnsi="Traditional Arabic"/>
          <w:sz w:val="32"/>
          <w:szCs w:val="32"/>
          <w:rtl/>
        </w:rPr>
        <w:t xml:space="preserve">) أخرجه ابن </w:t>
      </w:r>
      <w:r>
        <w:rPr>
          <w:rFonts w:ascii="Traditional Arabic" w:hAnsi="Traditional Arabic" w:hint="cs"/>
          <w:sz w:val="32"/>
          <w:szCs w:val="32"/>
          <w:rtl/>
        </w:rPr>
        <w:t>أ</w:t>
      </w:r>
      <w:r w:rsidRPr="00051C1B">
        <w:rPr>
          <w:rFonts w:ascii="Traditional Arabic" w:hAnsi="Traditional Arabic"/>
          <w:sz w:val="32"/>
          <w:szCs w:val="32"/>
          <w:rtl/>
        </w:rPr>
        <w:t>بي حاتم في تفسيره (7/2341).</w:t>
      </w:r>
    </w:p>
  </w:footnote>
  <w:footnote w:id="452">
    <w:p w:rsidR="003F128F" w:rsidRPr="00051C1B" w:rsidRDefault="003F128F" w:rsidP="00966DAF">
      <w:pPr>
        <w:widowControl/>
        <w:autoSpaceDE w:val="0"/>
        <w:autoSpaceDN w:val="0"/>
        <w:adjustRightInd w:val="0"/>
        <w:ind w:firstLine="0"/>
        <w:jc w:val="left"/>
        <w:rPr>
          <w:rFonts w:ascii="Traditional Arabic" w:hAnsi="Traditional Arabic"/>
          <w:sz w:val="32"/>
          <w:szCs w:val="32"/>
        </w:rPr>
      </w:pPr>
      <w:r w:rsidRPr="00051C1B">
        <w:rPr>
          <w:rFonts w:ascii="Traditional Arabic" w:hAnsi="Traditional Arabic"/>
          <w:color w:val="auto"/>
          <w:sz w:val="32"/>
          <w:szCs w:val="32"/>
          <w:rtl/>
        </w:rPr>
        <w:t>(</w:t>
      </w:r>
      <w:r w:rsidRPr="00051C1B">
        <w:rPr>
          <w:rStyle w:val="ae"/>
          <w:rFonts w:ascii="Traditional Arabic" w:hAnsi="Traditional Arabic"/>
          <w:color w:val="auto"/>
          <w:sz w:val="32"/>
          <w:szCs w:val="32"/>
          <w:vertAlign w:val="baseline"/>
        </w:rPr>
        <w:footnoteRef/>
      </w:r>
      <w:r w:rsidRPr="00051C1B">
        <w:rPr>
          <w:rFonts w:ascii="Traditional Arabic" w:hAnsi="Traditional Arabic"/>
          <w:color w:val="auto"/>
          <w:sz w:val="32"/>
          <w:szCs w:val="32"/>
          <w:rtl/>
        </w:rPr>
        <w:t xml:space="preserve">) هو </w:t>
      </w:r>
      <w:r>
        <w:rPr>
          <w:rFonts w:ascii="Traditional Arabic" w:hAnsi="Traditional Arabic" w:hint="cs"/>
          <w:color w:val="auto"/>
          <w:sz w:val="32"/>
          <w:szCs w:val="32"/>
          <w:rtl/>
        </w:rPr>
        <w:t xml:space="preserve">التابعي الإمام, </w:t>
      </w:r>
      <w:r w:rsidRPr="00051C1B">
        <w:rPr>
          <w:rFonts w:ascii="Traditional Arabic" w:hAnsi="Traditional Arabic"/>
          <w:color w:val="auto"/>
          <w:sz w:val="32"/>
          <w:szCs w:val="32"/>
          <w:rtl/>
          <w:lang w:eastAsia="en-US"/>
        </w:rPr>
        <w:t>عبد الرحمن بن غنم بن</w:t>
      </w:r>
      <w:r w:rsidRPr="00051C1B">
        <w:rPr>
          <w:rFonts w:ascii="Traditional Arabic" w:hAnsi="Traditional Arabic"/>
          <w:sz w:val="32"/>
          <w:szCs w:val="32"/>
          <w:rtl/>
          <w:lang w:eastAsia="en-US"/>
        </w:rPr>
        <w:t xml:space="preserve"> سعد </w:t>
      </w:r>
      <w:r w:rsidRPr="00051C1B">
        <w:rPr>
          <w:rFonts w:ascii="Traditional Arabic" w:hAnsi="Traditional Arabic"/>
          <w:color w:val="auto"/>
          <w:sz w:val="32"/>
          <w:szCs w:val="32"/>
          <w:rtl/>
          <w:lang w:eastAsia="en-US"/>
        </w:rPr>
        <w:t xml:space="preserve">الأشعري, الفقيه، </w:t>
      </w:r>
      <w:r>
        <w:rPr>
          <w:rFonts w:ascii="Traditional Arabic" w:hAnsi="Traditional Arabic"/>
          <w:color w:val="auto"/>
          <w:sz w:val="32"/>
          <w:szCs w:val="32"/>
          <w:rtl/>
          <w:lang w:eastAsia="en-US"/>
        </w:rPr>
        <w:t>الإمام</w:t>
      </w:r>
      <w:r w:rsidRPr="00051C1B">
        <w:rPr>
          <w:rFonts w:ascii="Traditional Arabic" w:hAnsi="Traditional Arabic"/>
          <w:color w:val="auto"/>
          <w:sz w:val="32"/>
          <w:szCs w:val="32"/>
          <w:rtl/>
          <w:lang w:eastAsia="en-US"/>
        </w:rPr>
        <w:t>, شيخ أهل فلسطين</w:t>
      </w:r>
      <w:r w:rsidRPr="00051C1B">
        <w:rPr>
          <w:rFonts w:ascii="Traditional Arabic" w:hAnsi="Traditional Arabic"/>
          <w:sz w:val="32"/>
          <w:szCs w:val="32"/>
          <w:rtl/>
        </w:rPr>
        <w:t xml:space="preserve">, مختلف في صحبته, </w:t>
      </w:r>
      <w:r w:rsidRPr="00051C1B">
        <w:rPr>
          <w:rFonts w:ascii="Traditional Arabic" w:hAnsi="Traditional Arabic"/>
          <w:sz w:val="32"/>
          <w:szCs w:val="32"/>
          <w:rtl/>
          <w:lang w:eastAsia="en-US"/>
        </w:rPr>
        <w:t>تفقه به عامة التابعين بالشام</w:t>
      </w:r>
      <w:r w:rsidRPr="00051C1B">
        <w:rPr>
          <w:rFonts w:ascii="Traditional Arabic" w:hAnsi="Traditional Arabic"/>
          <w:sz w:val="32"/>
          <w:szCs w:val="32"/>
          <w:rtl/>
        </w:rPr>
        <w:t>, (ت78ه). انظر: الطبقات لابن سعد (7/307), معجم الصحابة لأبي نعيم (4/1867), سير أعلام النبلاء (4/45).</w:t>
      </w:r>
    </w:p>
  </w:footnote>
  <w:footnote w:id="453">
    <w:p w:rsidR="003F128F" w:rsidRPr="00051C1B" w:rsidRDefault="003F128F" w:rsidP="00966DAF">
      <w:pPr>
        <w:pStyle w:val="af3"/>
        <w:rPr>
          <w:rFonts w:ascii="Traditional Arabic" w:hAnsi="Traditional Arabic"/>
          <w:sz w:val="32"/>
          <w:szCs w:val="32"/>
        </w:rPr>
      </w:pPr>
      <w:r w:rsidRPr="00051C1B">
        <w:rPr>
          <w:rFonts w:ascii="Traditional Arabic" w:hAnsi="Traditional Arabic"/>
          <w:sz w:val="32"/>
          <w:szCs w:val="32"/>
          <w:rtl/>
        </w:rPr>
        <w:t>(</w:t>
      </w:r>
      <w:r w:rsidRPr="00051C1B">
        <w:rPr>
          <w:rStyle w:val="ae"/>
          <w:rFonts w:ascii="Traditional Arabic" w:hAnsi="Traditional Arabic"/>
          <w:sz w:val="32"/>
          <w:szCs w:val="32"/>
          <w:vertAlign w:val="baseline"/>
        </w:rPr>
        <w:footnoteRef/>
      </w:r>
      <w:r>
        <w:rPr>
          <w:rFonts w:ascii="Traditional Arabic" w:hAnsi="Traditional Arabic"/>
          <w:sz w:val="32"/>
          <w:szCs w:val="32"/>
          <w:rtl/>
        </w:rPr>
        <w:t xml:space="preserve">) في </w:t>
      </w:r>
      <w:r>
        <w:rPr>
          <w:rFonts w:ascii="Traditional Arabic" w:hAnsi="Traditional Arabic" w:hint="cs"/>
          <w:sz w:val="32"/>
          <w:szCs w:val="32"/>
          <w:rtl/>
        </w:rPr>
        <w:t>(ك</w:t>
      </w:r>
      <w:r>
        <w:rPr>
          <w:rFonts w:ascii="Traditional Arabic" w:hAnsi="Traditional Arabic"/>
          <w:sz w:val="32"/>
          <w:szCs w:val="32"/>
          <w:rtl/>
        </w:rPr>
        <w:t xml:space="preserve">): </w:t>
      </w:r>
      <w:r>
        <w:rPr>
          <w:rFonts w:ascii="Traditional Arabic" w:hAnsi="Traditional Arabic" w:hint="cs"/>
          <w:sz w:val="32"/>
          <w:szCs w:val="32"/>
          <w:rtl/>
        </w:rPr>
        <w:t>[</w:t>
      </w:r>
      <w:r>
        <w:rPr>
          <w:rFonts w:ascii="Traditional Arabic" w:hAnsi="Traditional Arabic"/>
          <w:sz w:val="32"/>
          <w:szCs w:val="32"/>
          <w:rtl/>
        </w:rPr>
        <w:t>أُنزلت</w:t>
      </w:r>
      <w:r>
        <w:rPr>
          <w:rFonts w:ascii="Traditional Arabic" w:hAnsi="Traditional Arabic" w:hint="cs"/>
          <w:sz w:val="32"/>
          <w:szCs w:val="32"/>
          <w:rtl/>
        </w:rPr>
        <w:t>]</w:t>
      </w:r>
      <w:r w:rsidRPr="00051C1B">
        <w:rPr>
          <w:rFonts w:ascii="Traditional Arabic" w:hAnsi="Traditional Arabic"/>
          <w:sz w:val="32"/>
          <w:szCs w:val="32"/>
          <w:rtl/>
        </w:rPr>
        <w:t>.</w:t>
      </w:r>
    </w:p>
  </w:footnote>
  <w:footnote w:id="454">
    <w:p w:rsidR="003F128F" w:rsidRPr="00BB366A" w:rsidRDefault="003F128F" w:rsidP="00BB366A">
      <w:pPr>
        <w:pStyle w:val="af3"/>
        <w:rPr>
          <w:rFonts w:ascii="Traditional Arabic" w:hAnsi="Traditional Arabic"/>
          <w:sz w:val="32"/>
          <w:szCs w:val="32"/>
        </w:rPr>
      </w:pPr>
      <w:r w:rsidRPr="00051C1B">
        <w:rPr>
          <w:rFonts w:ascii="Traditional Arabic" w:hAnsi="Traditional Arabic"/>
          <w:sz w:val="32"/>
          <w:szCs w:val="32"/>
          <w:rtl/>
        </w:rPr>
        <w:t>(</w:t>
      </w:r>
      <w:r w:rsidRPr="00051C1B">
        <w:rPr>
          <w:rStyle w:val="ae"/>
          <w:rFonts w:ascii="Traditional Arabic" w:hAnsi="Traditional Arabic"/>
          <w:sz w:val="32"/>
          <w:szCs w:val="32"/>
          <w:vertAlign w:val="baseline"/>
        </w:rPr>
        <w:footnoteRef/>
      </w:r>
      <w:r w:rsidRPr="00051C1B">
        <w:rPr>
          <w:rFonts w:ascii="Traditional Arabic" w:hAnsi="Traditional Arabic"/>
          <w:sz w:val="32"/>
          <w:szCs w:val="32"/>
          <w:rtl/>
        </w:rPr>
        <w:t>) أخرجه ابن أبي حاتم في تفسيره (7/2341), والبيهقي في الدلائل (5/254), والواحدي في أسباب النزول (ص208) بدون إسناد.  وابن عساكر في تاريخ دمشق (1/178). قال</w:t>
      </w:r>
      <w:r>
        <w:rPr>
          <w:rFonts w:ascii="Traditional Arabic" w:hAnsi="Traditional Arabic"/>
          <w:sz w:val="32"/>
          <w:szCs w:val="32"/>
          <w:rtl/>
        </w:rPr>
        <w:t xml:space="preserve"> ابن كثير رحمه الله: وفي هذا ال</w:t>
      </w:r>
      <w:r>
        <w:rPr>
          <w:rFonts w:ascii="Traditional Arabic" w:hAnsi="Traditional Arabic" w:hint="cs"/>
          <w:sz w:val="32"/>
          <w:szCs w:val="32"/>
          <w:rtl/>
        </w:rPr>
        <w:t>إ</w:t>
      </w:r>
      <w:r w:rsidRPr="00051C1B">
        <w:rPr>
          <w:rFonts w:ascii="Traditional Arabic" w:hAnsi="Traditional Arabic"/>
          <w:sz w:val="32"/>
          <w:szCs w:val="32"/>
          <w:rtl/>
        </w:rPr>
        <w:t>سناد نظر, والأظهر أن هذا ليس بصحيح؛</w:t>
      </w:r>
      <w:r w:rsidRPr="00051C1B">
        <w:rPr>
          <w:rFonts w:ascii="Traditional Arabic" w:hAnsi="Traditional Arabic"/>
          <w:sz w:val="32"/>
          <w:szCs w:val="32"/>
          <w:rtl/>
          <w:lang w:eastAsia="en-US"/>
        </w:rPr>
        <w:t xml:space="preserve"> فإن النبي </w:t>
      </w:r>
      <w:r w:rsidRPr="00051C1B">
        <w:rPr>
          <w:rFonts w:ascii="Traditional Arabic" w:hAnsi="Traditional Arabic"/>
          <w:sz w:val="32"/>
          <w:szCs w:val="32"/>
          <w:lang w:eastAsia="en-US"/>
        </w:rPr>
        <w:sym w:font="AGA Arabesque" w:char="F072"/>
      </w:r>
      <w:r w:rsidRPr="00051C1B">
        <w:rPr>
          <w:rFonts w:ascii="Traditional Arabic" w:hAnsi="Traditional Arabic"/>
          <w:sz w:val="32"/>
          <w:szCs w:val="32"/>
          <w:rtl/>
          <w:lang w:eastAsia="en-US"/>
        </w:rPr>
        <w:t>لم يغز تبوك عن قول اليهود، وإنما غزاها امتثالا  لقوله تعالى:</w:t>
      </w:r>
      <w:r w:rsidRPr="00554762">
        <w:rPr>
          <w:rFonts w:ascii="Traditional Arabic" w:hAnsi="Traditional Arabic" w:hint="cs"/>
          <w:rtl/>
          <w:lang w:eastAsia="en-US"/>
        </w:rPr>
        <w:t xml:space="preserve"> </w:t>
      </w:r>
      <w:r w:rsidRPr="004A6979">
        <w:rPr>
          <w:rFonts w:ascii="QCF_BSML" w:hAnsi="QCF_BSML" w:cs="QCF_BSML"/>
          <w:rtl/>
          <w:lang w:eastAsia="en-US"/>
        </w:rPr>
        <w:t xml:space="preserve">ﭽ </w:t>
      </w:r>
      <w:r w:rsidRPr="004A6979">
        <w:rPr>
          <w:rFonts w:ascii="QCF_P207" w:hAnsi="QCF_P207" w:cs="QCF_P207"/>
          <w:rtl/>
          <w:lang w:eastAsia="en-US"/>
        </w:rPr>
        <w:t>ﭑ  ﭒ  ﭓ  ﭔ  ﭕ  ﭖ  ﭗ  ﭘ</w:t>
      </w:r>
      <w:r w:rsidRPr="004A6979">
        <w:rPr>
          <w:rFonts w:ascii="QCF_BSML" w:hAnsi="QCF_BSML" w:cs="QCF_BSML"/>
          <w:rtl/>
          <w:lang w:eastAsia="en-US"/>
        </w:rPr>
        <w:t>ﭼ</w:t>
      </w:r>
      <w:r w:rsidRPr="004A6979">
        <w:rPr>
          <w:rFonts w:ascii="Arial" w:hAnsi="Arial" w:cs="Arial"/>
          <w:rtl/>
          <w:lang w:eastAsia="en-US"/>
        </w:rPr>
        <w:t xml:space="preserve"> </w:t>
      </w:r>
      <w:r w:rsidRPr="00554762">
        <w:rPr>
          <w:rFonts w:ascii="Arial" w:hAnsi="Arial" w:cs="Arial" w:hint="cs"/>
          <w:color w:val="0D0D0D" w:themeColor="text1" w:themeTint="F2"/>
          <w:sz w:val="32"/>
          <w:szCs w:val="32"/>
          <w:rtl/>
          <w:lang w:eastAsia="en-US"/>
        </w:rPr>
        <w:t>[</w:t>
      </w:r>
      <w:r w:rsidRPr="00554762">
        <w:rPr>
          <w:rFonts w:ascii="Traditional Arabic" w:hAnsi="Traditional Arabic"/>
          <w:color w:val="auto"/>
          <w:sz w:val="32"/>
          <w:szCs w:val="32"/>
          <w:rtl/>
          <w:lang w:eastAsia="en-US"/>
        </w:rPr>
        <w:t>التوبة: ١٢٣</w:t>
      </w:r>
      <w:r w:rsidRPr="00554762">
        <w:rPr>
          <w:rFonts w:ascii="Arial" w:hAnsi="Arial" w:cs="Arial" w:hint="cs"/>
          <w:color w:val="0D0D0D" w:themeColor="text1" w:themeTint="F2"/>
          <w:sz w:val="32"/>
          <w:szCs w:val="32"/>
          <w:rtl/>
          <w:lang w:eastAsia="en-US"/>
        </w:rPr>
        <w:t>]</w:t>
      </w:r>
      <w:r w:rsidRPr="00554762">
        <w:rPr>
          <w:rFonts w:ascii="Traditional Arabic" w:hAnsi="Traditional Arabic"/>
          <w:color w:val="auto"/>
          <w:sz w:val="32"/>
          <w:szCs w:val="32"/>
          <w:lang w:eastAsia="en-US"/>
        </w:rPr>
        <w:t xml:space="preserve"> </w:t>
      </w:r>
      <w:r w:rsidRPr="00BB366A">
        <w:rPr>
          <w:rFonts w:ascii="Traditional Arabic" w:hAnsi="Traditional Arabic"/>
          <w:sz w:val="32"/>
          <w:szCs w:val="32"/>
          <w:rtl/>
          <w:lang w:eastAsia="en-US"/>
        </w:rPr>
        <w:t>وغزاها ليقتص وينتقم لأهل مؤتة من أصحابه والله أعلم. اه (5/100).</w:t>
      </w:r>
    </w:p>
  </w:footnote>
  <w:footnote w:id="455">
    <w:p w:rsidR="003F128F" w:rsidRPr="00BB366A" w:rsidRDefault="003F128F" w:rsidP="00BB366A">
      <w:pPr>
        <w:pStyle w:val="af3"/>
        <w:rPr>
          <w:rFonts w:ascii="Traditional Arabic" w:hAnsi="Traditional Arabic"/>
          <w:sz w:val="32"/>
          <w:szCs w:val="32"/>
        </w:rPr>
      </w:pPr>
      <w:r w:rsidRPr="00BB366A">
        <w:rPr>
          <w:rFonts w:ascii="Traditional Arabic" w:hAnsi="Traditional Arabic"/>
          <w:sz w:val="32"/>
          <w:szCs w:val="32"/>
          <w:rtl/>
        </w:rPr>
        <w:t>(</w:t>
      </w:r>
      <w:r w:rsidRPr="00BB366A">
        <w:rPr>
          <w:rStyle w:val="ae"/>
          <w:rFonts w:ascii="Traditional Arabic" w:hAnsi="Traditional Arabic"/>
          <w:sz w:val="32"/>
          <w:szCs w:val="32"/>
          <w:vertAlign w:val="baseline"/>
        </w:rPr>
        <w:footnoteRef/>
      </w:r>
      <w:r w:rsidRPr="00BB366A">
        <w:rPr>
          <w:rFonts w:ascii="Traditional Arabic" w:hAnsi="Traditional Arabic"/>
          <w:sz w:val="32"/>
          <w:szCs w:val="32"/>
          <w:rtl/>
        </w:rPr>
        <w:t>) أخرجه الطبري في تفسيره عن مجاهد (17/511), والواحدي في أسباب النزول (ص209) بدون إسناد عن مجاهد وقتادة والحسن به.</w:t>
      </w:r>
    </w:p>
  </w:footnote>
  <w:footnote w:id="456">
    <w:p w:rsidR="003F128F" w:rsidRPr="00BB366A" w:rsidRDefault="003F128F" w:rsidP="00051C1B">
      <w:pPr>
        <w:pStyle w:val="af3"/>
        <w:rPr>
          <w:rFonts w:ascii="Traditional Arabic" w:hAnsi="Traditional Arabic"/>
          <w:sz w:val="32"/>
          <w:szCs w:val="32"/>
        </w:rPr>
      </w:pPr>
      <w:r w:rsidRPr="00BB366A">
        <w:rPr>
          <w:rFonts w:ascii="Traditional Arabic" w:hAnsi="Traditional Arabic"/>
          <w:sz w:val="32"/>
          <w:szCs w:val="32"/>
          <w:rtl/>
        </w:rPr>
        <w:t>(</w:t>
      </w:r>
      <w:r w:rsidRPr="00BB366A">
        <w:rPr>
          <w:rStyle w:val="ae"/>
          <w:rFonts w:ascii="Traditional Arabic" w:hAnsi="Traditional Arabic"/>
          <w:sz w:val="32"/>
          <w:szCs w:val="32"/>
          <w:vertAlign w:val="baseline"/>
        </w:rPr>
        <w:footnoteRef/>
      </w:r>
      <w:r w:rsidRPr="00BB366A">
        <w:rPr>
          <w:rFonts w:ascii="Traditional Arabic" w:hAnsi="Traditional Arabic"/>
          <w:sz w:val="32"/>
          <w:szCs w:val="32"/>
          <w:rtl/>
        </w:rPr>
        <w:t>) في الأصل: [وقال مجاهد], والمثبت من (ك) وهو موافق لما في كتب التفسير.</w:t>
      </w:r>
    </w:p>
  </w:footnote>
  <w:footnote w:id="457">
    <w:p w:rsidR="003F128F" w:rsidRPr="00BB366A" w:rsidRDefault="003F128F" w:rsidP="00966DAF">
      <w:pPr>
        <w:pStyle w:val="af3"/>
        <w:rPr>
          <w:rFonts w:ascii="Traditional Arabic" w:hAnsi="Traditional Arabic"/>
          <w:sz w:val="32"/>
          <w:szCs w:val="32"/>
        </w:rPr>
      </w:pPr>
      <w:r w:rsidRPr="00BB366A">
        <w:rPr>
          <w:rFonts w:ascii="Traditional Arabic" w:hAnsi="Traditional Arabic"/>
          <w:sz w:val="32"/>
          <w:szCs w:val="32"/>
          <w:rtl/>
        </w:rPr>
        <w:t>(</w:t>
      </w:r>
      <w:r w:rsidRPr="00BB366A">
        <w:rPr>
          <w:rStyle w:val="ae"/>
          <w:rFonts w:ascii="Traditional Arabic" w:hAnsi="Traditional Arabic"/>
          <w:sz w:val="32"/>
          <w:szCs w:val="32"/>
          <w:vertAlign w:val="baseline"/>
        </w:rPr>
        <w:footnoteRef/>
      </w:r>
      <w:r w:rsidRPr="00BB366A">
        <w:rPr>
          <w:rFonts w:ascii="Traditional Arabic" w:hAnsi="Traditional Arabic"/>
          <w:sz w:val="32"/>
          <w:szCs w:val="32"/>
          <w:rtl/>
        </w:rPr>
        <w:t xml:space="preserve">) تفسير عبد الرزاق (2/307), تفسير الطبري (17/510), تفسير ابن ابي حاتم (7/2341). </w:t>
      </w:r>
    </w:p>
  </w:footnote>
  <w:footnote w:id="458">
    <w:p w:rsidR="003F128F" w:rsidRPr="00BB366A" w:rsidRDefault="003F128F" w:rsidP="00FB4336">
      <w:pPr>
        <w:pStyle w:val="af3"/>
        <w:rPr>
          <w:rFonts w:ascii="Traditional Arabic" w:hAnsi="Traditional Arabic"/>
          <w:sz w:val="32"/>
          <w:szCs w:val="32"/>
        </w:rPr>
      </w:pPr>
      <w:r w:rsidRPr="00BB366A">
        <w:rPr>
          <w:rFonts w:ascii="Traditional Arabic" w:hAnsi="Traditional Arabic"/>
          <w:sz w:val="32"/>
          <w:szCs w:val="32"/>
          <w:rtl/>
        </w:rPr>
        <w:t>(</w:t>
      </w:r>
      <w:r w:rsidRPr="00BB366A">
        <w:rPr>
          <w:rStyle w:val="ae"/>
          <w:rFonts w:ascii="Traditional Arabic" w:hAnsi="Traditional Arabic"/>
          <w:sz w:val="32"/>
          <w:szCs w:val="32"/>
          <w:vertAlign w:val="baseline"/>
        </w:rPr>
        <w:footnoteRef/>
      </w:r>
      <w:r w:rsidRPr="00BB366A">
        <w:rPr>
          <w:rFonts w:ascii="Traditional Arabic" w:hAnsi="Traditional Arabic"/>
          <w:sz w:val="32"/>
          <w:szCs w:val="32"/>
          <w:rtl/>
        </w:rPr>
        <w:t xml:space="preserve">) </w:t>
      </w:r>
      <w:r>
        <w:rPr>
          <w:rFonts w:ascii="Traditional Arabic" w:hAnsi="Traditional Arabic" w:hint="cs"/>
          <w:sz w:val="32"/>
          <w:szCs w:val="32"/>
          <w:rtl/>
          <w:lang w:eastAsia="en-US"/>
        </w:rPr>
        <w:t>عند تفسير</w:t>
      </w:r>
      <w:r w:rsidRPr="00BB366A">
        <w:rPr>
          <w:rFonts w:ascii="Traditional Arabic" w:hAnsi="Traditional Arabic"/>
          <w:sz w:val="32"/>
          <w:szCs w:val="32"/>
          <w:rtl/>
          <w:lang w:eastAsia="en-US"/>
        </w:rPr>
        <w:t xml:space="preserve"> الآية: (64)</w:t>
      </w:r>
      <w:r>
        <w:rPr>
          <w:rFonts w:ascii="Traditional Arabic" w:hAnsi="Traditional Arabic" w:hint="cs"/>
          <w:sz w:val="32"/>
          <w:szCs w:val="32"/>
          <w:rtl/>
          <w:lang w:eastAsia="en-US"/>
        </w:rPr>
        <w:t xml:space="preserve"> من سورة الإسراء</w:t>
      </w:r>
      <w:r w:rsidRPr="00BB366A">
        <w:rPr>
          <w:rFonts w:ascii="Traditional Arabic" w:hAnsi="Traditional Arabic"/>
          <w:sz w:val="32"/>
          <w:szCs w:val="32"/>
          <w:rtl/>
          <w:lang w:eastAsia="en-US"/>
        </w:rPr>
        <w:t>.</w:t>
      </w:r>
    </w:p>
  </w:footnote>
  <w:footnote w:id="459">
    <w:p w:rsidR="003F128F" w:rsidRPr="00BB366A" w:rsidRDefault="003F128F" w:rsidP="004740C4">
      <w:pPr>
        <w:pStyle w:val="af3"/>
        <w:rPr>
          <w:rFonts w:ascii="Traditional Arabic" w:hAnsi="Traditional Arabic"/>
          <w:sz w:val="32"/>
          <w:szCs w:val="32"/>
        </w:rPr>
      </w:pPr>
      <w:r w:rsidRPr="00BB366A">
        <w:rPr>
          <w:rFonts w:ascii="Traditional Arabic" w:hAnsi="Traditional Arabic"/>
          <w:sz w:val="32"/>
          <w:szCs w:val="32"/>
          <w:rtl/>
        </w:rPr>
        <w:t>(</w:t>
      </w:r>
      <w:r w:rsidRPr="00BB366A">
        <w:rPr>
          <w:rStyle w:val="ae"/>
          <w:rFonts w:ascii="Traditional Arabic" w:hAnsi="Traditional Arabic"/>
          <w:sz w:val="32"/>
          <w:szCs w:val="32"/>
          <w:vertAlign w:val="baseline"/>
        </w:rPr>
        <w:footnoteRef/>
      </w:r>
      <w:r w:rsidRPr="00BB366A">
        <w:rPr>
          <w:rFonts w:ascii="Traditional Arabic" w:hAnsi="Traditional Arabic"/>
          <w:sz w:val="32"/>
          <w:szCs w:val="32"/>
          <w:rtl/>
        </w:rPr>
        <w:t>) في الأصل: [وروي], والمثبت من (ك).</w:t>
      </w:r>
    </w:p>
  </w:footnote>
  <w:footnote w:id="460">
    <w:p w:rsidR="003F128F" w:rsidRPr="00BB366A" w:rsidRDefault="003F128F" w:rsidP="00C71769">
      <w:pPr>
        <w:pStyle w:val="af3"/>
        <w:rPr>
          <w:rFonts w:ascii="Traditional Arabic" w:hAnsi="Traditional Arabic"/>
          <w:sz w:val="32"/>
          <w:szCs w:val="32"/>
        </w:rPr>
      </w:pPr>
      <w:r w:rsidRPr="00BB366A">
        <w:rPr>
          <w:rFonts w:ascii="Traditional Arabic" w:hAnsi="Traditional Arabic"/>
          <w:sz w:val="32"/>
          <w:szCs w:val="32"/>
          <w:rtl/>
        </w:rPr>
        <w:t>(</w:t>
      </w:r>
      <w:r w:rsidRPr="00BB366A">
        <w:rPr>
          <w:rStyle w:val="ae"/>
          <w:rFonts w:ascii="Traditional Arabic" w:hAnsi="Traditional Arabic"/>
          <w:sz w:val="32"/>
          <w:szCs w:val="32"/>
          <w:vertAlign w:val="baseline"/>
        </w:rPr>
        <w:footnoteRef/>
      </w:r>
      <w:r w:rsidRPr="00BB366A">
        <w:rPr>
          <w:rFonts w:ascii="Traditional Arabic" w:hAnsi="Traditional Arabic"/>
          <w:sz w:val="32"/>
          <w:szCs w:val="32"/>
          <w:rtl/>
        </w:rPr>
        <w:t>) أورده يحيى بن سلام في تفسيره (1/152) بدون إسناد, وكذلك الزجاج في معاني القرآن (3/254), وابن أبي زمنين في تفسيره (3/33), وغيرهم.</w:t>
      </w:r>
    </w:p>
  </w:footnote>
  <w:footnote w:id="461">
    <w:p w:rsidR="003F128F" w:rsidRPr="00056983" w:rsidRDefault="003F128F" w:rsidP="00BB366A">
      <w:pPr>
        <w:pStyle w:val="af3"/>
        <w:rPr>
          <w:rFonts w:ascii="Traditional Arabic" w:hAnsi="Traditional Arabic"/>
          <w:sz w:val="32"/>
          <w:szCs w:val="32"/>
        </w:rPr>
      </w:pPr>
      <w:r w:rsidRPr="00BB366A">
        <w:rPr>
          <w:rFonts w:ascii="Traditional Arabic" w:hAnsi="Traditional Arabic"/>
          <w:sz w:val="32"/>
          <w:szCs w:val="32"/>
          <w:rtl/>
        </w:rPr>
        <w:t>(</w:t>
      </w:r>
      <w:r w:rsidRPr="00BB366A">
        <w:rPr>
          <w:rStyle w:val="ae"/>
          <w:rFonts w:ascii="Traditional Arabic" w:hAnsi="Traditional Arabic"/>
          <w:sz w:val="32"/>
          <w:szCs w:val="32"/>
          <w:vertAlign w:val="baseline"/>
        </w:rPr>
        <w:footnoteRef/>
      </w:r>
      <w:r w:rsidRPr="00BB366A">
        <w:rPr>
          <w:rFonts w:ascii="Traditional Arabic" w:hAnsi="Traditional Arabic"/>
          <w:sz w:val="32"/>
          <w:szCs w:val="32"/>
          <w:rtl/>
        </w:rPr>
        <w:t>) انظر: السبعة في القراءات (ص383), معاني القراءات (2/98).</w:t>
      </w:r>
    </w:p>
  </w:footnote>
  <w:footnote w:id="462">
    <w:p w:rsidR="003F128F" w:rsidRPr="00056983" w:rsidRDefault="003F128F" w:rsidP="00110C85">
      <w:pPr>
        <w:pStyle w:val="af3"/>
        <w:rPr>
          <w:rFonts w:ascii="Traditional Arabic" w:hAnsi="Traditional Arabic"/>
          <w:sz w:val="32"/>
          <w:szCs w:val="32"/>
        </w:rPr>
      </w:pPr>
      <w:r w:rsidRPr="00056983">
        <w:rPr>
          <w:rFonts w:ascii="Traditional Arabic" w:hAnsi="Traditional Arabic"/>
          <w:sz w:val="32"/>
          <w:szCs w:val="32"/>
          <w:rtl/>
        </w:rPr>
        <w:t>(</w:t>
      </w:r>
      <w:r w:rsidRPr="00056983">
        <w:rPr>
          <w:rStyle w:val="ae"/>
          <w:rFonts w:ascii="Traditional Arabic" w:hAnsi="Traditional Arabic"/>
          <w:sz w:val="32"/>
          <w:szCs w:val="32"/>
          <w:vertAlign w:val="baseline"/>
        </w:rPr>
        <w:footnoteRef/>
      </w:r>
      <w:r>
        <w:rPr>
          <w:rFonts w:ascii="Traditional Arabic" w:hAnsi="Traditional Arabic"/>
          <w:sz w:val="32"/>
          <w:szCs w:val="32"/>
          <w:rtl/>
        </w:rPr>
        <w:t>) في (</w:t>
      </w:r>
      <w:r>
        <w:rPr>
          <w:rFonts w:ascii="Traditional Arabic" w:hAnsi="Traditional Arabic" w:hint="cs"/>
          <w:sz w:val="32"/>
          <w:szCs w:val="32"/>
          <w:rtl/>
        </w:rPr>
        <w:t>ك</w:t>
      </w:r>
      <w:r>
        <w:rPr>
          <w:rFonts w:ascii="Traditional Arabic" w:hAnsi="Traditional Arabic"/>
          <w:sz w:val="32"/>
          <w:szCs w:val="32"/>
          <w:rtl/>
        </w:rPr>
        <w:t xml:space="preserve">): </w:t>
      </w:r>
      <w:r>
        <w:rPr>
          <w:rFonts w:ascii="Traditional Arabic" w:hAnsi="Traditional Arabic" w:hint="cs"/>
          <w:sz w:val="32"/>
          <w:szCs w:val="32"/>
          <w:rtl/>
        </w:rPr>
        <w:t>[</w:t>
      </w:r>
      <w:r>
        <w:rPr>
          <w:rFonts w:ascii="Traditional Arabic" w:hAnsi="Traditional Arabic"/>
          <w:sz w:val="32"/>
          <w:szCs w:val="32"/>
          <w:rtl/>
        </w:rPr>
        <w:t>من اليهود بني قريضة</w:t>
      </w:r>
      <w:r>
        <w:rPr>
          <w:rFonts w:ascii="Traditional Arabic" w:hAnsi="Traditional Arabic" w:hint="cs"/>
          <w:sz w:val="32"/>
          <w:szCs w:val="32"/>
          <w:rtl/>
        </w:rPr>
        <w:t>]</w:t>
      </w:r>
      <w:r w:rsidRPr="00056983">
        <w:rPr>
          <w:rFonts w:ascii="Traditional Arabic" w:hAnsi="Traditional Arabic"/>
          <w:sz w:val="32"/>
          <w:szCs w:val="32"/>
          <w:rtl/>
        </w:rPr>
        <w:t xml:space="preserve">. </w:t>
      </w:r>
    </w:p>
  </w:footnote>
  <w:footnote w:id="463">
    <w:p w:rsidR="003F128F" w:rsidRPr="00056983" w:rsidRDefault="003F128F" w:rsidP="004740C4">
      <w:pPr>
        <w:pStyle w:val="af3"/>
        <w:rPr>
          <w:rFonts w:ascii="Traditional Arabic" w:hAnsi="Traditional Arabic"/>
          <w:sz w:val="32"/>
          <w:szCs w:val="32"/>
        </w:rPr>
      </w:pPr>
      <w:r w:rsidRPr="00056983">
        <w:rPr>
          <w:rFonts w:ascii="Traditional Arabic" w:hAnsi="Traditional Arabic"/>
          <w:sz w:val="32"/>
          <w:szCs w:val="32"/>
          <w:rtl/>
        </w:rPr>
        <w:t>(</w:t>
      </w:r>
      <w:r w:rsidRPr="00056983">
        <w:rPr>
          <w:rStyle w:val="ae"/>
          <w:rFonts w:ascii="Traditional Arabic" w:hAnsi="Traditional Arabic"/>
          <w:sz w:val="32"/>
          <w:szCs w:val="32"/>
          <w:vertAlign w:val="baseline"/>
        </w:rPr>
        <w:footnoteRef/>
      </w:r>
      <w:r w:rsidRPr="00056983">
        <w:rPr>
          <w:rFonts w:ascii="Traditional Arabic" w:hAnsi="Traditional Arabic"/>
          <w:sz w:val="32"/>
          <w:szCs w:val="32"/>
          <w:rtl/>
        </w:rPr>
        <w:t xml:space="preserve">) لم </w:t>
      </w:r>
      <w:r>
        <w:rPr>
          <w:rFonts w:ascii="Traditional Arabic" w:hAnsi="Traditional Arabic" w:hint="cs"/>
          <w:sz w:val="32"/>
          <w:szCs w:val="32"/>
          <w:rtl/>
        </w:rPr>
        <w:t>أقف عليه فيما لدي من مصادر.</w:t>
      </w:r>
    </w:p>
  </w:footnote>
  <w:footnote w:id="464">
    <w:p w:rsidR="003F128F" w:rsidRPr="00056983" w:rsidRDefault="003F128F" w:rsidP="00056983">
      <w:pPr>
        <w:pStyle w:val="af3"/>
        <w:rPr>
          <w:rFonts w:ascii="Traditional Arabic" w:hAnsi="Traditional Arabic"/>
          <w:sz w:val="32"/>
          <w:szCs w:val="32"/>
        </w:rPr>
      </w:pPr>
      <w:r w:rsidRPr="00056983">
        <w:rPr>
          <w:rFonts w:ascii="Traditional Arabic" w:hAnsi="Traditional Arabic"/>
          <w:sz w:val="32"/>
          <w:szCs w:val="32"/>
          <w:rtl/>
        </w:rPr>
        <w:t>(</w:t>
      </w:r>
      <w:r w:rsidRPr="00056983">
        <w:rPr>
          <w:rStyle w:val="ae"/>
          <w:rFonts w:ascii="Traditional Arabic" w:hAnsi="Traditional Arabic"/>
          <w:sz w:val="32"/>
          <w:szCs w:val="32"/>
          <w:vertAlign w:val="baseline"/>
        </w:rPr>
        <w:footnoteRef/>
      </w:r>
      <w:r w:rsidRPr="00056983">
        <w:rPr>
          <w:rFonts w:ascii="Traditional Arabic" w:hAnsi="Traditional Arabic"/>
          <w:sz w:val="32"/>
          <w:szCs w:val="32"/>
          <w:rtl/>
        </w:rPr>
        <w:t>) انظر: رموز الكنوز (4/213).</w:t>
      </w:r>
    </w:p>
  </w:footnote>
  <w:footnote w:id="465">
    <w:p w:rsidR="003F128F" w:rsidRPr="00056983" w:rsidRDefault="003F128F" w:rsidP="00BB366A">
      <w:pPr>
        <w:pStyle w:val="af3"/>
        <w:rPr>
          <w:rFonts w:ascii="Traditional Arabic" w:hAnsi="Traditional Arabic"/>
          <w:sz w:val="32"/>
          <w:szCs w:val="32"/>
        </w:rPr>
      </w:pPr>
      <w:r w:rsidRPr="00056983">
        <w:rPr>
          <w:rFonts w:ascii="Traditional Arabic" w:hAnsi="Traditional Arabic"/>
          <w:sz w:val="32"/>
          <w:szCs w:val="32"/>
          <w:rtl/>
        </w:rPr>
        <w:t>(</w:t>
      </w:r>
      <w:r w:rsidRPr="00056983">
        <w:rPr>
          <w:rStyle w:val="ae"/>
          <w:rFonts w:ascii="Traditional Arabic" w:hAnsi="Traditional Arabic"/>
          <w:sz w:val="32"/>
          <w:szCs w:val="32"/>
          <w:vertAlign w:val="baseline"/>
        </w:rPr>
        <w:footnoteRef/>
      </w:r>
      <w:r w:rsidRPr="00056983">
        <w:rPr>
          <w:rFonts w:ascii="Traditional Arabic" w:hAnsi="Traditional Arabic"/>
          <w:sz w:val="32"/>
          <w:szCs w:val="32"/>
          <w:rtl/>
        </w:rPr>
        <w:t>)</w:t>
      </w:r>
      <w:r>
        <w:rPr>
          <w:rFonts w:ascii="Traditional Arabic" w:hAnsi="Traditional Arabic" w:hint="cs"/>
          <w:sz w:val="32"/>
          <w:szCs w:val="32"/>
          <w:rtl/>
        </w:rPr>
        <w:t xml:space="preserve"> </w:t>
      </w:r>
      <w:r w:rsidRPr="00056983">
        <w:rPr>
          <w:rFonts w:ascii="Traditional Arabic" w:hAnsi="Traditional Arabic"/>
          <w:sz w:val="32"/>
          <w:szCs w:val="32"/>
          <w:rtl/>
        </w:rPr>
        <w:t>انظر: إعراب القراءات الشواذ (1/798), معجم القراءات (5/105).</w:t>
      </w:r>
    </w:p>
  </w:footnote>
  <w:footnote w:id="466">
    <w:p w:rsidR="003F128F" w:rsidRPr="00056983" w:rsidRDefault="003F128F" w:rsidP="00F93FE7">
      <w:pPr>
        <w:pStyle w:val="af3"/>
        <w:rPr>
          <w:rFonts w:ascii="Traditional Arabic" w:hAnsi="Traditional Arabic"/>
          <w:sz w:val="32"/>
          <w:szCs w:val="32"/>
        </w:rPr>
      </w:pPr>
      <w:r w:rsidRPr="00056983">
        <w:rPr>
          <w:rFonts w:ascii="Traditional Arabic" w:hAnsi="Traditional Arabic"/>
          <w:sz w:val="32"/>
          <w:szCs w:val="32"/>
          <w:rtl/>
        </w:rPr>
        <w:t>(</w:t>
      </w:r>
      <w:r w:rsidRPr="00056983">
        <w:rPr>
          <w:rStyle w:val="ae"/>
          <w:rFonts w:ascii="Traditional Arabic" w:hAnsi="Traditional Arabic"/>
          <w:sz w:val="32"/>
          <w:szCs w:val="32"/>
          <w:vertAlign w:val="baseline"/>
        </w:rPr>
        <w:footnoteRef/>
      </w:r>
      <w:r w:rsidRPr="00056983">
        <w:rPr>
          <w:rFonts w:ascii="Traditional Arabic" w:hAnsi="Traditional Arabic"/>
          <w:sz w:val="32"/>
          <w:szCs w:val="32"/>
          <w:rtl/>
        </w:rPr>
        <w:t>) انظر: معاني القرآن (2/129).</w:t>
      </w:r>
    </w:p>
  </w:footnote>
  <w:footnote w:id="467">
    <w:p w:rsidR="003F128F" w:rsidRPr="00056983" w:rsidRDefault="003F128F" w:rsidP="00F93FE7">
      <w:pPr>
        <w:pStyle w:val="af3"/>
        <w:rPr>
          <w:rFonts w:ascii="Traditional Arabic" w:hAnsi="Traditional Arabic"/>
          <w:sz w:val="32"/>
          <w:szCs w:val="32"/>
        </w:rPr>
      </w:pPr>
      <w:r w:rsidRPr="00056983">
        <w:rPr>
          <w:rFonts w:ascii="Traditional Arabic" w:hAnsi="Traditional Arabic"/>
          <w:sz w:val="32"/>
          <w:szCs w:val="32"/>
          <w:rtl/>
        </w:rPr>
        <w:t>(</w:t>
      </w:r>
      <w:r w:rsidRPr="00056983">
        <w:rPr>
          <w:rStyle w:val="ae"/>
          <w:rFonts w:ascii="Traditional Arabic" w:hAnsi="Traditional Arabic"/>
          <w:sz w:val="32"/>
          <w:szCs w:val="32"/>
          <w:vertAlign w:val="baseline"/>
        </w:rPr>
        <w:footnoteRef/>
      </w:r>
      <w:r w:rsidRPr="00056983">
        <w:rPr>
          <w:rFonts w:ascii="Traditional Arabic" w:hAnsi="Traditional Arabic"/>
          <w:sz w:val="32"/>
          <w:szCs w:val="32"/>
          <w:rtl/>
        </w:rPr>
        <w:t>) انظر: معاني القرآن (2/425).</w:t>
      </w:r>
    </w:p>
  </w:footnote>
  <w:footnote w:id="468">
    <w:p w:rsidR="003F128F" w:rsidRPr="009C6569" w:rsidRDefault="003F128F" w:rsidP="00F93FE7">
      <w:pPr>
        <w:pStyle w:val="af3"/>
        <w:rPr>
          <w:rFonts w:ascii="Tahoma" w:hAnsi="Tahoma"/>
        </w:rPr>
      </w:pPr>
      <w:r w:rsidRPr="00056983">
        <w:rPr>
          <w:rFonts w:ascii="Traditional Arabic" w:hAnsi="Traditional Arabic"/>
          <w:sz w:val="32"/>
          <w:szCs w:val="32"/>
          <w:rtl/>
        </w:rPr>
        <w:t>(</w:t>
      </w:r>
      <w:r w:rsidRPr="00056983">
        <w:rPr>
          <w:rStyle w:val="ae"/>
          <w:rFonts w:ascii="Traditional Arabic" w:hAnsi="Traditional Arabic"/>
          <w:sz w:val="32"/>
          <w:szCs w:val="32"/>
          <w:vertAlign w:val="baseline"/>
        </w:rPr>
        <w:footnoteRef/>
      </w:r>
      <w:r w:rsidRPr="00056983">
        <w:rPr>
          <w:rFonts w:ascii="Traditional Arabic" w:hAnsi="Traditional Arabic"/>
          <w:sz w:val="32"/>
          <w:szCs w:val="32"/>
          <w:rtl/>
        </w:rPr>
        <w:t>) انظر: معاني القرآن وإعرابه (3/255).</w:t>
      </w:r>
    </w:p>
  </w:footnote>
  <w:footnote w:id="469">
    <w:p w:rsidR="003F128F" w:rsidRPr="00B53F12" w:rsidRDefault="003F128F" w:rsidP="00283B4B">
      <w:pPr>
        <w:pStyle w:val="af3"/>
        <w:rPr>
          <w:rFonts w:ascii="Traditional Arabic" w:hAnsi="Traditional Arabic"/>
          <w:sz w:val="32"/>
          <w:szCs w:val="32"/>
        </w:rPr>
      </w:pPr>
      <w:r w:rsidRPr="00B53F12">
        <w:rPr>
          <w:rFonts w:ascii="Traditional Arabic" w:hAnsi="Traditional Arabic"/>
          <w:sz w:val="32"/>
          <w:szCs w:val="32"/>
          <w:rtl/>
        </w:rPr>
        <w:t>(</w:t>
      </w:r>
      <w:r w:rsidRPr="00B53F12">
        <w:rPr>
          <w:rStyle w:val="ae"/>
          <w:rFonts w:ascii="Traditional Arabic" w:hAnsi="Traditional Arabic"/>
          <w:sz w:val="32"/>
          <w:szCs w:val="32"/>
          <w:vertAlign w:val="baseline"/>
        </w:rPr>
        <w:footnoteRef/>
      </w:r>
      <w:r w:rsidRPr="00B53F12">
        <w:rPr>
          <w:rFonts w:ascii="Traditional Arabic" w:hAnsi="Traditional Arabic"/>
          <w:sz w:val="32"/>
          <w:szCs w:val="32"/>
          <w:rtl/>
        </w:rPr>
        <w:t>) لم أقف عليه فيما لدي من مصادر.</w:t>
      </w:r>
    </w:p>
  </w:footnote>
  <w:footnote w:id="470">
    <w:p w:rsidR="003F128F" w:rsidRPr="00B53F12" w:rsidRDefault="003F128F" w:rsidP="00B53F12">
      <w:pPr>
        <w:pStyle w:val="af3"/>
        <w:rPr>
          <w:rFonts w:ascii="Traditional Arabic" w:hAnsi="Traditional Arabic"/>
          <w:sz w:val="32"/>
          <w:szCs w:val="32"/>
        </w:rPr>
      </w:pPr>
      <w:r w:rsidRPr="00B53F12">
        <w:rPr>
          <w:rFonts w:ascii="Traditional Arabic" w:hAnsi="Traditional Arabic"/>
          <w:sz w:val="32"/>
          <w:szCs w:val="32"/>
          <w:rtl/>
        </w:rPr>
        <w:t>(</w:t>
      </w:r>
      <w:r w:rsidRPr="00B53F12">
        <w:rPr>
          <w:rStyle w:val="ae"/>
          <w:rFonts w:ascii="Traditional Arabic" w:hAnsi="Traditional Arabic"/>
          <w:sz w:val="32"/>
          <w:szCs w:val="32"/>
          <w:vertAlign w:val="baseline"/>
        </w:rPr>
        <w:footnoteRef/>
      </w:r>
      <w:r w:rsidRPr="00B53F12">
        <w:rPr>
          <w:rFonts w:ascii="Traditional Arabic" w:hAnsi="Traditional Arabic"/>
          <w:sz w:val="32"/>
          <w:szCs w:val="32"/>
          <w:rtl/>
        </w:rPr>
        <w:t>) انظر: مجاز القرآن (1/387).</w:t>
      </w:r>
    </w:p>
  </w:footnote>
  <w:footnote w:id="471">
    <w:p w:rsidR="003F128F" w:rsidRPr="00B53F12" w:rsidRDefault="003F128F" w:rsidP="00B53F12">
      <w:pPr>
        <w:pStyle w:val="af3"/>
        <w:rPr>
          <w:rFonts w:ascii="Traditional Arabic" w:hAnsi="Traditional Arabic"/>
          <w:sz w:val="32"/>
          <w:szCs w:val="32"/>
        </w:rPr>
      </w:pPr>
      <w:r w:rsidRPr="00B53F12">
        <w:rPr>
          <w:rFonts w:ascii="Traditional Arabic" w:hAnsi="Traditional Arabic"/>
          <w:sz w:val="32"/>
          <w:szCs w:val="32"/>
          <w:rtl/>
        </w:rPr>
        <w:t>(</w:t>
      </w:r>
      <w:r w:rsidRPr="00B53F12">
        <w:rPr>
          <w:rStyle w:val="ae"/>
          <w:rFonts w:ascii="Traditional Arabic" w:hAnsi="Traditional Arabic"/>
          <w:sz w:val="32"/>
          <w:szCs w:val="32"/>
          <w:vertAlign w:val="baseline"/>
        </w:rPr>
        <w:footnoteRef/>
      </w:r>
      <w:r w:rsidRPr="00B53F12">
        <w:rPr>
          <w:rFonts w:ascii="Traditional Arabic" w:hAnsi="Traditional Arabic"/>
          <w:sz w:val="32"/>
          <w:szCs w:val="32"/>
          <w:rtl/>
        </w:rPr>
        <w:t>) انظر: معاني القرآن وإعرابه (3/255).</w:t>
      </w:r>
    </w:p>
  </w:footnote>
  <w:footnote w:id="472">
    <w:p w:rsidR="003F128F" w:rsidRPr="00B53F12" w:rsidRDefault="003F128F" w:rsidP="00E92B73">
      <w:pPr>
        <w:pStyle w:val="af3"/>
        <w:rPr>
          <w:rFonts w:ascii="Traditional Arabic" w:hAnsi="Traditional Arabic"/>
          <w:sz w:val="32"/>
          <w:szCs w:val="32"/>
        </w:rPr>
      </w:pPr>
      <w:r w:rsidRPr="00B53F12">
        <w:rPr>
          <w:rFonts w:ascii="Traditional Arabic" w:hAnsi="Traditional Arabic"/>
          <w:sz w:val="32"/>
          <w:szCs w:val="32"/>
          <w:rtl/>
        </w:rPr>
        <w:t>(</w:t>
      </w:r>
      <w:r w:rsidRPr="00B53F12">
        <w:rPr>
          <w:rStyle w:val="ae"/>
          <w:rFonts w:ascii="Traditional Arabic" w:hAnsi="Traditional Arabic"/>
          <w:sz w:val="32"/>
          <w:szCs w:val="32"/>
          <w:vertAlign w:val="baseline"/>
        </w:rPr>
        <w:footnoteRef/>
      </w:r>
      <w:r w:rsidRPr="00B53F12">
        <w:rPr>
          <w:rFonts w:ascii="Traditional Arabic" w:hAnsi="Traditional Arabic"/>
          <w:sz w:val="32"/>
          <w:szCs w:val="32"/>
          <w:rtl/>
        </w:rPr>
        <w:t xml:space="preserve">) هو العلامة أبو منصور محمد بن احمد بن الأزهر بن طلحة الأزهري, الهروي, اللغوي, </w:t>
      </w:r>
      <w:r>
        <w:rPr>
          <w:rFonts w:ascii="Traditional Arabic" w:hAnsi="Traditional Arabic"/>
          <w:sz w:val="32"/>
          <w:szCs w:val="32"/>
          <w:rtl/>
        </w:rPr>
        <w:t>الإمام المشهور, كان</w:t>
      </w:r>
      <w:r w:rsidRPr="00B53F12">
        <w:rPr>
          <w:rFonts w:ascii="Traditional Arabic" w:hAnsi="Traditional Arabic"/>
          <w:sz w:val="32"/>
          <w:szCs w:val="32"/>
          <w:rtl/>
        </w:rPr>
        <w:t xml:space="preserve"> </w:t>
      </w:r>
      <w:r>
        <w:rPr>
          <w:rFonts w:ascii="Traditional Arabic" w:hAnsi="Traditional Arabic"/>
          <w:sz w:val="32"/>
          <w:szCs w:val="32"/>
          <w:rtl/>
        </w:rPr>
        <w:t>رَأْساً في اللُّغَةِ والفقه</w:t>
      </w:r>
      <w:r w:rsidRPr="00B53F12">
        <w:rPr>
          <w:rFonts w:ascii="Traditional Arabic" w:hAnsi="Traditional Arabic"/>
          <w:sz w:val="32"/>
          <w:szCs w:val="32"/>
          <w:rtl/>
        </w:rPr>
        <w:t>, (ت370ه). انظر: وفيات الاعيان (4/334), سير أعلام النبلاء (16/315), الوافي بالوفيات (2/34).</w:t>
      </w:r>
    </w:p>
  </w:footnote>
  <w:footnote w:id="473">
    <w:p w:rsidR="003F128F" w:rsidRPr="00B53F12" w:rsidRDefault="003F128F" w:rsidP="00283B4B">
      <w:pPr>
        <w:pStyle w:val="af3"/>
        <w:rPr>
          <w:rFonts w:ascii="Traditional Arabic" w:hAnsi="Traditional Arabic"/>
        </w:rPr>
      </w:pPr>
      <w:r w:rsidRPr="00B53F12">
        <w:rPr>
          <w:rFonts w:ascii="Traditional Arabic" w:hAnsi="Traditional Arabic"/>
          <w:sz w:val="32"/>
          <w:szCs w:val="32"/>
          <w:rtl/>
        </w:rPr>
        <w:t>(</w:t>
      </w:r>
      <w:r w:rsidRPr="00B53F12">
        <w:rPr>
          <w:rStyle w:val="ae"/>
          <w:rFonts w:ascii="Traditional Arabic" w:hAnsi="Traditional Arabic"/>
          <w:sz w:val="32"/>
          <w:szCs w:val="32"/>
          <w:vertAlign w:val="baseline"/>
        </w:rPr>
        <w:footnoteRef/>
      </w:r>
      <w:r>
        <w:rPr>
          <w:rFonts w:ascii="Traditional Arabic" w:hAnsi="Traditional Arabic"/>
          <w:sz w:val="32"/>
          <w:szCs w:val="32"/>
          <w:rtl/>
        </w:rPr>
        <w:t xml:space="preserve">) </w:t>
      </w:r>
      <w:r w:rsidRPr="00B53F12">
        <w:rPr>
          <w:rFonts w:ascii="Traditional Arabic" w:hAnsi="Traditional Arabic"/>
          <w:sz w:val="32"/>
          <w:szCs w:val="32"/>
          <w:rtl/>
        </w:rPr>
        <w:t>انظر: تهذيب اللغة للأزهري (10/69).</w:t>
      </w:r>
    </w:p>
  </w:footnote>
  <w:footnote w:id="474">
    <w:p w:rsidR="003F128F" w:rsidRPr="00E92B73" w:rsidRDefault="003F128F" w:rsidP="004740C4">
      <w:pPr>
        <w:pStyle w:val="af3"/>
        <w:rPr>
          <w:rFonts w:ascii="Traditional Arabic" w:hAnsi="Traditional Arabic"/>
          <w:sz w:val="32"/>
          <w:szCs w:val="32"/>
        </w:rPr>
      </w:pPr>
      <w:r w:rsidRPr="00B53F12">
        <w:rPr>
          <w:rFonts w:ascii="Traditional Arabic" w:hAnsi="Traditional Arabic"/>
          <w:sz w:val="32"/>
          <w:szCs w:val="32"/>
          <w:rtl/>
        </w:rPr>
        <w:t>(</w:t>
      </w:r>
      <w:r w:rsidRPr="00B53F12">
        <w:rPr>
          <w:rStyle w:val="ae"/>
          <w:rFonts w:ascii="Traditional Arabic" w:hAnsi="Traditional Arabic"/>
          <w:sz w:val="32"/>
          <w:szCs w:val="32"/>
          <w:vertAlign w:val="baseline"/>
        </w:rPr>
        <w:footnoteRef/>
      </w:r>
      <w:r w:rsidRPr="00B53F12">
        <w:rPr>
          <w:rFonts w:ascii="Traditional Arabic" w:hAnsi="Traditional Arabic"/>
          <w:sz w:val="32"/>
          <w:szCs w:val="32"/>
          <w:rtl/>
        </w:rPr>
        <w:t>)</w:t>
      </w:r>
      <w:r>
        <w:rPr>
          <w:rFonts w:ascii="Traditional Arabic" w:hAnsi="Traditional Arabic" w:hint="cs"/>
          <w:sz w:val="32"/>
          <w:szCs w:val="32"/>
          <w:rtl/>
        </w:rPr>
        <w:t xml:space="preserve"> </w:t>
      </w:r>
      <w:r w:rsidRPr="00B53F12">
        <w:rPr>
          <w:rFonts w:ascii="Traditional Arabic" w:hAnsi="Traditional Arabic"/>
          <w:sz w:val="32"/>
          <w:szCs w:val="32"/>
          <w:rtl/>
        </w:rPr>
        <w:t xml:space="preserve">هو صاحب رسول الله </w:t>
      </w:r>
      <w:r w:rsidRPr="00B53F12">
        <w:rPr>
          <w:rFonts w:ascii="Traditional Arabic" w:hAnsi="Traditional Arabic"/>
          <w:sz w:val="32"/>
          <w:szCs w:val="32"/>
        </w:rPr>
        <w:sym w:font="AGA Arabesque" w:char="F072"/>
      </w:r>
      <w:r w:rsidRPr="00B53F12">
        <w:rPr>
          <w:rFonts w:ascii="Traditional Arabic" w:hAnsi="Traditional Arabic"/>
          <w:sz w:val="32"/>
          <w:szCs w:val="32"/>
          <w:rtl/>
        </w:rPr>
        <w:t xml:space="preserve"> أبو عبد الله، وأبو عبد الرحمن جابر بن عبد الله بن عمرو بن حرام السلمي, الأنصاري، الخزرجي، السلمي، المدني، </w:t>
      </w:r>
      <w:r>
        <w:rPr>
          <w:rFonts w:ascii="Traditional Arabic" w:hAnsi="Traditional Arabic"/>
          <w:sz w:val="32"/>
          <w:szCs w:val="32"/>
          <w:rtl/>
        </w:rPr>
        <w:t>الإمام</w:t>
      </w:r>
      <w:r w:rsidRPr="00B53F12">
        <w:rPr>
          <w:rFonts w:ascii="Traditional Arabic" w:hAnsi="Traditional Arabic"/>
          <w:sz w:val="32"/>
          <w:szCs w:val="32"/>
          <w:rtl/>
        </w:rPr>
        <w:t xml:space="preserve"> الكبير، المجتهد، الحافظ، الفقيه, من مشاهير الصحابة (ت78ه). انظر: م</w:t>
      </w:r>
      <w:r>
        <w:rPr>
          <w:rFonts w:ascii="Traditional Arabic" w:hAnsi="Traditional Arabic"/>
          <w:sz w:val="32"/>
          <w:szCs w:val="32"/>
          <w:rtl/>
        </w:rPr>
        <w:t xml:space="preserve">عجم الصحابة للبغوي (1/438) سير </w:t>
      </w:r>
      <w:r>
        <w:rPr>
          <w:rFonts w:ascii="Traditional Arabic" w:hAnsi="Traditional Arabic" w:hint="cs"/>
          <w:sz w:val="32"/>
          <w:szCs w:val="32"/>
          <w:rtl/>
        </w:rPr>
        <w:t>أ</w:t>
      </w:r>
      <w:r w:rsidRPr="00B53F12">
        <w:rPr>
          <w:rFonts w:ascii="Traditional Arabic" w:hAnsi="Traditional Arabic"/>
          <w:sz w:val="32"/>
          <w:szCs w:val="32"/>
          <w:rtl/>
        </w:rPr>
        <w:t>علام النبلاء (3/189)</w:t>
      </w:r>
      <w:r>
        <w:rPr>
          <w:rFonts w:ascii="Traditional Arabic" w:hAnsi="Traditional Arabic" w:hint="cs"/>
          <w:sz w:val="32"/>
          <w:szCs w:val="32"/>
          <w:rtl/>
        </w:rPr>
        <w:t xml:space="preserve">, </w:t>
      </w:r>
      <w:r>
        <w:rPr>
          <w:rFonts w:ascii="Traditional Arabic" w:hAnsi="Traditional Arabic"/>
          <w:sz w:val="32"/>
          <w:szCs w:val="32"/>
          <w:rtl/>
        </w:rPr>
        <w:t>الاصابة (1/545)</w:t>
      </w:r>
      <w:r w:rsidRPr="00B53F12">
        <w:rPr>
          <w:rFonts w:ascii="Traditional Arabic" w:hAnsi="Traditional Arabic"/>
          <w:sz w:val="32"/>
          <w:szCs w:val="32"/>
          <w:rtl/>
        </w:rPr>
        <w:t>.</w:t>
      </w:r>
    </w:p>
  </w:footnote>
  <w:footnote w:id="475">
    <w:p w:rsidR="003F128F" w:rsidRPr="00E92B73" w:rsidRDefault="003F128F" w:rsidP="00FB4336">
      <w:pPr>
        <w:pStyle w:val="af3"/>
        <w:rPr>
          <w:rFonts w:ascii="Traditional Arabic" w:hAnsi="Traditional Arabic"/>
          <w:sz w:val="32"/>
          <w:szCs w:val="32"/>
        </w:rPr>
      </w:pPr>
      <w:r w:rsidRPr="00E92B73">
        <w:rPr>
          <w:rFonts w:ascii="Traditional Arabic" w:hAnsi="Traditional Arabic"/>
          <w:sz w:val="32"/>
          <w:szCs w:val="32"/>
          <w:rtl/>
        </w:rPr>
        <w:t>(</w:t>
      </w:r>
      <w:r w:rsidRPr="00E92B73">
        <w:rPr>
          <w:rStyle w:val="ae"/>
          <w:rFonts w:ascii="Traditional Arabic" w:hAnsi="Traditional Arabic"/>
          <w:sz w:val="32"/>
          <w:szCs w:val="32"/>
          <w:vertAlign w:val="baseline"/>
        </w:rPr>
        <w:footnoteRef/>
      </w:r>
      <w:r>
        <w:rPr>
          <w:rFonts w:ascii="Traditional Arabic" w:hAnsi="Traditional Arabic"/>
          <w:sz w:val="32"/>
          <w:szCs w:val="32"/>
          <w:rtl/>
        </w:rPr>
        <w:t>)</w:t>
      </w:r>
      <w:r w:rsidRPr="00E92B73">
        <w:rPr>
          <w:rFonts w:ascii="Traditional Arabic" w:hAnsi="Traditional Arabic"/>
          <w:sz w:val="32"/>
          <w:szCs w:val="32"/>
          <w:rtl/>
        </w:rPr>
        <w:t xml:space="preserve"> أخرجه الطبري</w:t>
      </w:r>
      <w:r>
        <w:rPr>
          <w:rFonts w:ascii="Traditional Arabic" w:hAnsi="Traditional Arabic" w:hint="cs"/>
          <w:sz w:val="32"/>
          <w:szCs w:val="32"/>
          <w:rtl/>
        </w:rPr>
        <w:t xml:space="preserve"> في تفسيره</w:t>
      </w:r>
      <w:r w:rsidRPr="00E92B73">
        <w:rPr>
          <w:rFonts w:ascii="Traditional Arabic" w:hAnsi="Traditional Arabic"/>
          <w:sz w:val="32"/>
          <w:szCs w:val="32"/>
          <w:rtl/>
        </w:rPr>
        <w:t xml:space="preserve"> (17/518), وأورده ابن كثير في تفسيره (5/102). قال الشوكاني رحمه الله في</w:t>
      </w:r>
      <w:r w:rsidRPr="00FD257F">
        <w:rPr>
          <w:rFonts w:ascii="Traditional Arabic" w:hAnsi="Traditional Arabic"/>
          <w:sz w:val="32"/>
          <w:szCs w:val="32"/>
          <w:rtl/>
        </w:rPr>
        <w:t xml:space="preserve"> </w:t>
      </w:r>
      <w:r>
        <w:rPr>
          <w:rFonts w:ascii="Traditional Arabic" w:hAnsi="Traditional Arabic"/>
          <w:sz w:val="32"/>
          <w:szCs w:val="32"/>
          <w:rtl/>
        </w:rPr>
        <w:t>فتح القدير (2/626)</w:t>
      </w:r>
      <w:r w:rsidRPr="00E92B73">
        <w:rPr>
          <w:rFonts w:ascii="Traditional Arabic" w:hAnsi="Traditional Arabic"/>
          <w:sz w:val="32"/>
          <w:szCs w:val="32"/>
          <w:rtl/>
        </w:rPr>
        <w:t xml:space="preserve">: </w:t>
      </w:r>
      <w:r>
        <w:rPr>
          <w:rFonts w:ascii="Traditional Arabic" w:hAnsi="Traditional Arabic" w:hint="cs"/>
          <w:sz w:val="32"/>
          <w:szCs w:val="32"/>
          <w:rtl/>
        </w:rPr>
        <w:t>"</w:t>
      </w:r>
      <w:r w:rsidRPr="00E92B73">
        <w:rPr>
          <w:rFonts w:ascii="Traditional Arabic" w:hAnsi="Traditional Arabic"/>
          <w:sz w:val="32"/>
          <w:szCs w:val="32"/>
          <w:rtl/>
          <w:lang w:eastAsia="en-US"/>
        </w:rPr>
        <w:t>وفى إسناده رجل مجهول</w:t>
      </w:r>
      <w:r>
        <w:rPr>
          <w:rFonts w:ascii="Traditional Arabic" w:hAnsi="Traditional Arabic" w:hint="cs"/>
          <w:sz w:val="32"/>
          <w:szCs w:val="32"/>
          <w:rtl/>
          <w:lang w:eastAsia="en-US"/>
        </w:rPr>
        <w:t>,</w:t>
      </w:r>
      <w:r w:rsidRPr="00E92B73">
        <w:rPr>
          <w:rFonts w:ascii="Traditional Arabic" w:hAnsi="Traditional Arabic"/>
          <w:sz w:val="32"/>
          <w:szCs w:val="32"/>
          <w:rtl/>
          <w:lang w:eastAsia="en-US"/>
        </w:rPr>
        <w:t xml:space="preserve"> ولكنه أخرجه عنه من طريق أخرى </w:t>
      </w:r>
      <w:r>
        <w:rPr>
          <w:rFonts w:ascii="Traditional Arabic" w:hAnsi="Traditional Arabic"/>
          <w:sz w:val="32"/>
          <w:szCs w:val="32"/>
          <w:rtl/>
          <w:lang w:eastAsia="en-US"/>
        </w:rPr>
        <w:t xml:space="preserve">عن سهل بن بكار عن أبى عوانة عن </w:t>
      </w:r>
      <w:r>
        <w:rPr>
          <w:rFonts w:ascii="Traditional Arabic" w:hAnsi="Traditional Arabic" w:hint="cs"/>
          <w:sz w:val="32"/>
          <w:szCs w:val="32"/>
          <w:rtl/>
          <w:lang w:eastAsia="en-US"/>
        </w:rPr>
        <w:t>ال</w:t>
      </w:r>
      <w:r w:rsidRPr="00E92B73">
        <w:rPr>
          <w:rFonts w:ascii="Traditional Arabic" w:hAnsi="Traditional Arabic"/>
          <w:sz w:val="32"/>
          <w:szCs w:val="32"/>
          <w:rtl/>
          <w:lang w:eastAsia="en-US"/>
        </w:rPr>
        <w:t>أسود بن قيس عن نبيح العنبري عن جابر فذكر نحوه مرفوعا</w:t>
      </w:r>
      <w:r>
        <w:rPr>
          <w:rFonts w:ascii="Traditional Arabic" w:hAnsi="Traditional Arabic" w:hint="cs"/>
          <w:sz w:val="32"/>
          <w:szCs w:val="32"/>
          <w:rtl/>
        </w:rPr>
        <w:t>ً"</w:t>
      </w:r>
      <w:r w:rsidRPr="00E92B73">
        <w:rPr>
          <w:rFonts w:ascii="Traditional Arabic" w:hAnsi="Traditional Arabic"/>
          <w:sz w:val="32"/>
          <w:szCs w:val="32"/>
          <w:rtl/>
        </w:rPr>
        <w:t>.</w:t>
      </w:r>
      <w:r>
        <w:rPr>
          <w:rFonts w:ascii="Traditional Arabic" w:hAnsi="Traditional Arabic" w:hint="cs"/>
          <w:sz w:val="32"/>
          <w:szCs w:val="32"/>
          <w:rtl/>
        </w:rPr>
        <w:t xml:space="preserve"> ا.ه.</w:t>
      </w:r>
      <w:r w:rsidRPr="00E92B73">
        <w:rPr>
          <w:rFonts w:ascii="Traditional Arabic" w:hAnsi="Traditional Arabic"/>
          <w:sz w:val="32"/>
          <w:szCs w:val="32"/>
          <w:rtl/>
        </w:rPr>
        <w:t xml:space="preserve"> وانظر: تحفة الأحوذي للمباركفوري (8/546). </w:t>
      </w:r>
    </w:p>
  </w:footnote>
  <w:footnote w:id="476">
    <w:p w:rsidR="003F128F" w:rsidRPr="00FD024C" w:rsidRDefault="003F128F" w:rsidP="00FD024C">
      <w:pPr>
        <w:widowControl/>
        <w:autoSpaceDE w:val="0"/>
        <w:autoSpaceDN w:val="0"/>
        <w:adjustRightInd w:val="0"/>
        <w:ind w:firstLine="0"/>
        <w:rPr>
          <w:rFonts w:ascii="Traditional Arabic" w:hAnsi="Traditional Arabic"/>
          <w:b/>
          <w:bCs/>
          <w:sz w:val="32"/>
          <w:szCs w:val="32"/>
          <w:lang w:eastAsia="en-US"/>
        </w:rPr>
      </w:pPr>
      <w:r w:rsidRPr="00FD024C">
        <w:rPr>
          <w:rFonts w:ascii="Traditional Arabic" w:hAnsi="Traditional Arabic"/>
          <w:sz w:val="32"/>
          <w:szCs w:val="32"/>
          <w:rtl/>
        </w:rPr>
        <w:t>(</w:t>
      </w:r>
      <w:r w:rsidRPr="00FD024C">
        <w:rPr>
          <w:rStyle w:val="ae"/>
          <w:rFonts w:ascii="Traditional Arabic" w:hAnsi="Traditional Arabic"/>
          <w:sz w:val="32"/>
          <w:szCs w:val="32"/>
          <w:vertAlign w:val="baseline"/>
        </w:rPr>
        <w:footnoteRef/>
      </w:r>
      <w:r w:rsidRPr="00FD024C">
        <w:rPr>
          <w:rFonts w:ascii="Traditional Arabic" w:hAnsi="Traditional Arabic"/>
          <w:sz w:val="32"/>
          <w:szCs w:val="32"/>
          <w:rtl/>
        </w:rPr>
        <w:t xml:space="preserve">) </w:t>
      </w:r>
      <w:r w:rsidRPr="00FD024C">
        <w:rPr>
          <w:rFonts w:ascii="Traditional Arabic" w:hAnsi="Traditional Arabic"/>
          <w:color w:val="auto"/>
          <w:sz w:val="32"/>
          <w:szCs w:val="32"/>
          <w:rtl/>
        </w:rPr>
        <w:t xml:space="preserve">هو صاحب رسول الله </w:t>
      </w:r>
      <w:r w:rsidRPr="00FD024C">
        <w:rPr>
          <w:rFonts w:ascii="Traditional Arabic" w:hAnsi="Traditional Arabic"/>
          <w:color w:val="auto"/>
          <w:sz w:val="32"/>
          <w:szCs w:val="32"/>
        </w:rPr>
        <w:sym w:font="AGA Arabesque" w:char="F072"/>
      </w:r>
      <w:r w:rsidRPr="00FD024C">
        <w:rPr>
          <w:rFonts w:ascii="Traditional Arabic" w:hAnsi="Traditional Arabic"/>
          <w:color w:val="auto"/>
          <w:sz w:val="32"/>
          <w:szCs w:val="32"/>
          <w:rtl/>
        </w:rPr>
        <w:t xml:space="preserve"> وابن صاحبه أبو عبد الرحمن </w:t>
      </w:r>
      <w:r w:rsidRPr="00FD024C">
        <w:rPr>
          <w:rFonts w:ascii="Traditional Arabic" w:hAnsi="Traditional Arabic"/>
          <w:color w:val="auto"/>
          <w:sz w:val="32"/>
          <w:szCs w:val="32"/>
          <w:rtl/>
          <w:lang w:eastAsia="en-US"/>
        </w:rPr>
        <w:t xml:space="preserve">عبد الله بن عمر بن الخطاب بن نفيل القرشي, العدوي, المدني، المحدث، </w:t>
      </w:r>
      <w:r>
        <w:rPr>
          <w:rFonts w:ascii="Traditional Arabic" w:hAnsi="Traditional Arabic"/>
          <w:color w:val="auto"/>
          <w:sz w:val="32"/>
          <w:szCs w:val="32"/>
          <w:rtl/>
          <w:lang w:eastAsia="en-US"/>
        </w:rPr>
        <w:t>الإمام</w:t>
      </w:r>
      <w:r w:rsidRPr="00FD024C">
        <w:rPr>
          <w:rFonts w:ascii="Traditional Arabic" w:hAnsi="Traditional Arabic"/>
          <w:color w:val="auto"/>
          <w:sz w:val="32"/>
          <w:szCs w:val="32"/>
          <w:rtl/>
          <w:lang w:eastAsia="en-US"/>
        </w:rPr>
        <w:t xml:space="preserve">، الصدوق, من مشاهير الصحابة, (ت73ه). انظر: معجم الصحابة للبغوي (3/468), اسد الغابة (3/336), سير أعلام النبلاء (7/339), الإصابة (4/155). </w:t>
      </w:r>
    </w:p>
  </w:footnote>
  <w:footnote w:id="477">
    <w:p w:rsidR="003F128F" w:rsidRPr="00FD024C" w:rsidRDefault="003F128F" w:rsidP="004740C4">
      <w:pPr>
        <w:pStyle w:val="af3"/>
        <w:rPr>
          <w:rFonts w:ascii="Traditional Arabic" w:hAnsi="Traditional Arabic"/>
          <w:sz w:val="32"/>
          <w:szCs w:val="32"/>
        </w:rPr>
      </w:pPr>
      <w:r w:rsidRPr="00FD024C">
        <w:rPr>
          <w:rFonts w:ascii="Traditional Arabic" w:hAnsi="Traditional Arabic"/>
          <w:sz w:val="32"/>
          <w:szCs w:val="32"/>
          <w:rtl/>
        </w:rPr>
        <w:t>(</w:t>
      </w:r>
      <w:r w:rsidRPr="00FD024C">
        <w:rPr>
          <w:rStyle w:val="ae"/>
          <w:rFonts w:ascii="Traditional Arabic" w:hAnsi="Traditional Arabic"/>
          <w:sz w:val="32"/>
          <w:szCs w:val="32"/>
          <w:vertAlign w:val="baseline"/>
        </w:rPr>
        <w:footnoteRef/>
      </w:r>
      <w:r w:rsidRPr="00FD024C">
        <w:rPr>
          <w:rFonts w:ascii="Traditional Arabic" w:hAnsi="Traditional Arabic"/>
          <w:sz w:val="32"/>
          <w:szCs w:val="32"/>
          <w:rtl/>
        </w:rPr>
        <w:t>)</w:t>
      </w:r>
      <w:r w:rsidRPr="00FD024C">
        <w:rPr>
          <w:rFonts w:ascii="Traditional Arabic" w:hAnsi="Traditional Arabic"/>
          <w:color w:val="auto"/>
          <w:sz w:val="32"/>
          <w:szCs w:val="32"/>
          <w:rtl/>
        </w:rPr>
        <w:t xml:space="preserve"> هو صاحب رسول الله </w:t>
      </w:r>
      <w:r w:rsidRPr="00FD024C">
        <w:rPr>
          <w:rFonts w:ascii="Traditional Arabic" w:hAnsi="Traditional Arabic"/>
          <w:color w:val="auto"/>
          <w:sz w:val="32"/>
          <w:szCs w:val="32"/>
        </w:rPr>
        <w:sym w:font="AGA Arabesque" w:char="F072"/>
      </w:r>
      <w:r w:rsidRPr="00FD024C">
        <w:rPr>
          <w:rFonts w:ascii="Traditional Arabic" w:hAnsi="Traditional Arabic"/>
          <w:color w:val="auto"/>
          <w:sz w:val="32"/>
          <w:szCs w:val="32"/>
          <w:rtl/>
        </w:rPr>
        <w:t xml:space="preserve"> أبو برزة </w:t>
      </w:r>
      <w:r>
        <w:rPr>
          <w:rFonts w:ascii="Traditional Arabic" w:hAnsi="Traditional Arabic"/>
          <w:sz w:val="32"/>
          <w:szCs w:val="32"/>
          <w:rtl/>
          <w:lang w:eastAsia="en-US"/>
        </w:rPr>
        <w:t>نضلة بن عُبَيْد -</w:t>
      </w:r>
      <w:r>
        <w:rPr>
          <w:rFonts w:ascii="Traditional Arabic" w:hAnsi="Traditional Arabic" w:hint="cs"/>
          <w:sz w:val="32"/>
          <w:szCs w:val="32"/>
          <w:rtl/>
          <w:lang w:eastAsia="en-US"/>
        </w:rPr>
        <w:t xml:space="preserve"> </w:t>
      </w:r>
      <w:r w:rsidRPr="00FD024C">
        <w:rPr>
          <w:rFonts w:ascii="Traditional Arabic" w:hAnsi="Traditional Arabic"/>
          <w:sz w:val="32"/>
          <w:szCs w:val="32"/>
          <w:rtl/>
          <w:lang w:eastAsia="en-US"/>
        </w:rPr>
        <w:t>على الأصح</w:t>
      </w:r>
      <w:r>
        <w:rPr>
          <w:rFonts w:ascii="Traditional Arabic" w:hAnsi="Traditional Arabic" w:hint="cs"/>
          <w:sz w:val="32"/>
          <w:szCs w:val="32"/>
          <w:rtl/>
          <w:lang w:eastAsia="en-US"/>
        </w:rPr>
        <w:t xml:space="preserve"> </w:t>
      </w:r>
      <w:r w:rsidRPr="00FD024C">
        <w:rPr>
          <w:rFonts w:ascii="Traditional Arabic" w:hAnsi="Traditional Arabic"/>
          <w:sz w:val="32"/>
          <w:szCs w:val="32"/>
          <w:rtl/>
          <w:lang w:eastAsia="en-US"/>
        </w:rPr>
        <w:t>- بن الحارث بن حبال الأس</w:t>
      </w:r>
      <w:r>
        <w:rPr>
          <w:rFonts w:ascii="Traditional Arabic" w:hAnsi="Traditional Arabic"/>
          <w:sz w:val="32"/>
          <w:szCs w:val="32"/>
          <w:rtl/>
          <w:lang w:eastAsia="en-US"/>
        </w:rPr>
        <w:t>لمي،</w:t>
      </w:r>
      <w:r>
        <w:rPr>
          <w:rFonts w:ascii="Traditional Arabic" w:hAnsi="Traditional Arabic" w:hint="cs"/>
          <w:sz w:val="32"/>
          <w:szCs w:val="32"/>
          <w:rtl/>
          <w:lang w:eastAsia="en-US"/>
        </w:rPr>
        <w:t xml:space="preserve"> </w:t>
      </w:r>
      <w:r w:rsidRPr="00FD024C">
        <w:rPr>
          <w:rFonts w:ascii="Traditional Arabic" w:hAnsi="Traditional Arabic"/>
          <w:sz w:val="32"/>
          <w:szCs w:val="32"/>
          <w:rtl/>
          <w:lang w:eastAsia="en-US"/>
        </w:rPr>
        <w:t xml:space="preserve">مشهور بكنيته, شهد فتح خيبر، وفتح مكة وحنينا، </w:t>
      </w:r>
      <w:r w:rsidRPr="00FD024C">
        <w:rPr>
          <w:rFonts w:ascii="Traditional Arabic" w:hAnsi="Traditional Arabic"/>
          <w:sz w:val="32"/>
          <w:szCs w:val="32"/>
          <w:rtl/>
        </w:rPr>
        <w:t xml:space="preserve">(ت64ه). </w:t>
      </w:r>
      <w:r>
        <w:rPr>
          <w:rFonts w:ascii="Traditional Arabic" w:hAnsi="Traditional Arabic" w:hint="cs"/>
          <w:color w:val="auto"/>
          <w:sz w:val="32"/>
          <w:szCs w:val="32"/>
          <w:rtl/>
          <w:lang w:eastAsia="en-US"/>
        </w:rPr>
        <w:t>انظر: أ</w:t>
      </w:r>
      <w:r w:rsidRPr="00FD024C">
        <w:rPr>
          <w:rFonts w:ascii="Traditional Arabic" w:hAnsi="Traditional Arabic"/>
          <w:color w:val="auto"/>
          <w:sz w:val="32"/>
          <w:szCs w:val="32"/>
          <w:rtl/>
          <w:lang w:eastAsia="en-US"/>
        </w:rPr>
        <w:t xml:space="preserve">سد الغابة (5/305), سير أعلام النبلاء (3/40), الإصابة (6/341). </w:t>
      </w:r>
      <w:r w:rsidRPr="00FD024C">
        <w:rPr>
          <w:rFonts w:ascii="Traditional Arabic" w:hAnsi="Traditional Arabic"/>
          <w:sz w:val="32"/>
          <w:szCs w:val="32"/>
          <w:rtl/>
        </w:rPr>
        <w:t xml:space="preserve">  </w:t>
      </w:r>
    </w:p>
  </w:footnote>
  <w:footnote w:id="478">
    <w:p w:rsidR="003F128F" w:rsidRPr="00FD024C" w:rsidRDefault="003F128F" w:rsidP="004740C4">
      <w:pPr>
        <w:pStyle w:val="af3"/>
        <w:rPr>
          <w:rFonts w:ascii="Traditional Arabic" w:hAnsi="Traditional Arabic"/>
          <w:sz w:val="32"/>
          <w:szCs w:val="32"/>
        </w:rPr>
      </w:pPr>
      <w:r w:rsidRPr="00FD024C">
        <w:rPr>
          <w:rFonts w:ascii="Traditional Arabic" w:hAnsi="Traditional Arabic"/>
          <w:sz w:val="32"/>
          <w:szCs w:val="32"/>
          <w:rtl/>
        </w:rPr>
        <w:t>(</w:t>
      </w:r>
      <w:r w:rsidRPr="00FD024C">
        <w:rPr>
          <w:rStyle w:val="ae"/>
          <w:rFonts w:ascii="Traditional Arabic" w:hAnsi="Traditional Arabic"/>
          <w:sz w:val="32"/>
          <w:szCs w:val="32"/>
          <w:vertAlign w:val="baseline"/>
        </w:rPr>
        <w:footnoteRef/>
      </w:r>
      <w:r w:rsidRPr="00FD024C">
        <w:rPr>
          <w:rFonts w:ascii="Traditional Arabic" w:hAnsi="Traditional Arabic"/>
          <w:sz w:val="32"/>
          <w:szCs w:val="32"/>
          <w:rtl/>
        </w:rPr>
        <w:t>) انظر: تفسير الطبري (17/515), الكشف والبيان (6/121)</w:t>
      </w:r>
      <w:r>
        <w:rPr>
          <w:rFonts w:ascii="Traditional Arabic" w:hAnsi="Traditional Arabic" w:hint="cs"/>
          <w:sz w:val="32"/>
          <w:szCs w:val="32"/>
          <w:rtl/>
        </w:rPr>
        <w:t>.</w:t>
      </w:r>
    </w:p>
  </w:footnote>
  <w:footnote w:id="479">
    <w:p w:rsidR="003F128F" w:rsidRPr="00FD024C" w:rsidRDefault="003F128F" w:rsidP="00B53F12">
      <w:pPr>
        <w:pStyle w:val="af3"/>
        <w:rPr>
          <w:rFonts w:ascii="Traditional Arabic" w:hAnsi="Traditional Arabic"/>
          <w:sz w:val="32"/>
          <w:szCs w:val="32"/>
        </w:rPr>
      </w:pPr>
      <w:r w:rsidRPr="00FD024C">
        <w:rPr>
          <w:rFonts w:ascii="Traditional Arabic" w:hAnsi="Traditional Arabic"/>
          <w:sz w:val="32"/>
          <w:szCs w:val="32"/>
          <w:rtl/>
        </w:rPr>
        <w:t>(</w:t>
      </w:r>
      <w:r w:rsidRPr="00FD024C">
        <w:rPr>
          <w:rStyle w:val="ae"/>
          <w:rFonts w:ascii="Traditional Arabic" w:hAnsi="Traditional Arabic"/>
          <w:sz w:val="32"/>
          <w:szCs w:val="32"/>
          <w:vertAlign w:val="baseline"/>
        </w:rPr>
        <w:footnoteRef/>
      </w:r>
      <w:r>
        <w:rPr>
          <w:rFonts w:ascii="Traditional Arabic" w:hAnsi="Traditional Arabic"/>
          <w:sz w:val="32"/>
          <w:szCs w:val="32"/>
          <w:rtl/>
        </w:rPr>
        <w:t>)</w:t>
      </w:r>
      <w:r w:rsidRPr="00FD024C">
        <w:rPr>
          <w:rFonts w:ascii="Traditional Arabic" w:hAnsi="Traditional Arabic"/>
          <w:sz w:val="32"/>
          <w:szCs w:val="32"/>
          <w:rtl/>
        </w:rPr>
        <w:t xml:space="preserve"> انظر: المصنف لعبد الرزاق (1/537), الكشف والبيان (6/121).</w:t>
      </w:r>
    </w:p>
  </w:footnote>
  <w:footnote w:id="480">
    <w:p w:rsidR="003F128F" w:rsidRPr="00FD024C" w:rsidRDefault="003F128F" w:rsidP="006B6962">
      <w:pPr>
        <w:pStyle w:val="af3"/>
        <w:rPr>
          <w:rFonts w:ascii="Traditional Arabic" w:hAnsi="Traditional Arabic"/>
          <w:sz w:val="32"/>
          <w:szCs w:val="32"/>
        </w:rPr>
      </w:pPr>
      <w:r w:rsidRPr="00FD024C">
        <w:rPr>
          <w:rFonts w:ascii="Traditional Arabic" w:hAnsi="Traditional Arabic"/>
          <w:sz w:val="32"/>
          <w:szCs w:val="32"/>
          <w:rtl/>
        </w:rPr>
        <w:t>(</w:t>
      </w:r>
      <w:r w:rsidRPr="00FD024C">
        <w:rPr>
          <w:rStyle w:val="ae"/>
          <w:rFonts w:ascii="Traditional Arabic" w:hAnsi="Traditional Arabic"/>
          <w:sz w:val="32"/>
          <w:szCs w:val="32"/>
          <w:vertAlign w:val="baseline"/>
        </w:rPr>
        <w:footnoteRef/>
      </w:r>
      <w:r w:rsidRPr="00FD024C">
        <w:rPr>
          <w:rFonts w:ascii="Traditional Arabic" w:hAnsi="Traditional Arabic"/>
          <w:sz w:val="32"/>
          <w:szCs w:val="32"/>
          <w:rtl/>
        </w:rPr>
        <w:t>) انظر: تفسير ابن وهب (1/136), تفسير الطبري (17/515)</w:t>
      </w:r>
      <w:r>
        <w:rPr>
          <w:rFonts w:ascii="Traditional Arabic" w:hAnsi="Traditional Arabic" w:hint="cs"/>
          <w:sz w:val="32"/>
          <w:szCs w:val="32"/>
          <w:rtl/>
        </w:rPr>
        <w:t>.</w:t>
      </w:r>
    </w:p>
  </w:footnote>
  <w:footnote w:id="481">
    <w:p w:rsidR="003F128F" w:rsidRPr="00FD024C" w:rsidRDefault="003F128F" w:rsidP="00FB4336">
      <w:pPr>
        <w:pStyle w:val="af3"/>
        <w:rPr>
          <w:rFonts w:ascii="Traditional Arabic" w:hAnsi="Traditional Arabic"/>
          <w:sz w:val="32"/>
          <w:szCs w:val="32"/>
        </w:rPr>
      </w:pPr>
      <w:r w:rsidRPr="00FD024C">
        <w:rPr>
          <w:rFonts w:ascii="Traditional Arabic" w:hAnsi="Traditional Arabic"/>
          <w:color w:val="auto"/>
          <w:sz w:val="32"/>
          <w:szCs w:val="32"/>
          <w:rtl/>
        </w:rPr>
        <w:t>(</w:t>
      </w:r>
      <w:r w:rsidRPr="00FD024C">
        <w:rPr>
          <w:rStyle w:val="ae"/>
          <w:rFonts w:ascii="Traditional Arabic" w:hAnsi="Traditional Arabic"/>
          <w:color w:val="auto"/>
          <w:sz w:val="32"/>
          <w:szCs w:val="32"/>
          <w:vertAlign w:val="baseline"/>
        </w:rPr>
        <w:footnoteRef/>
      </w:r>
      <w:r w:rsidRPr="00FD024C">
        <w:rPr>
          <w:rFonts w:ascii="Traditional Arabic" w:hAnsi="Traditional Arabic"/>
          <w:color w:val="auto"/>
          <w:sz w:val="32"/>
          <w:szCs w:val="32"/>
          <w:rtl/>
        </w:rPr>
        <w:t>)</w:t>
      </w:r>
      <w:r w:rsidRPr="00FD024C">
        <w:rPr>
          <w:rFonts w:ascii="Traditional Arabic" w:hAnsi="Traditional Arabic"/>
          <w:color w:val="auto"/>
          <w:sz w:val="32"/>
          <w:szCs w:val="32"/>
          <w:rtl/>
          <w:lang w:eastAsia="en-US"/>
        </w:rPr>
        <w:t xml:space="preserve"> هو التابعي </w:t>
      </w:r>
      <w:r>
        <w:rPr>
          <w:rFonts w:ascii="Traditional Arabic" w:hAnsi="Traditional Arabic"/>
          <w:color w:val="auto"/>
          <w:sz w:val="32"/>
          <w:szCs w:val="32"/>
          <w:rtl/>
          <w:lang w:eastAsia="en-US"/>
        </w:rPr>
        <w:t>الإمام</w:t>
      </w:r>
      <w:r>
        <w:rPr>
          <w:rFonts w:ascii="Traditional Arabic" w:hAnsi="Traditional Arabic" w:hint="cs"/>
          <w:color w:val="auto"/>
          <w:sz w:val="32"/>
          <w:szCs w:val="32"/>
          <w:rtl/>
          <w:lang w:eastAsia="en-US"/>
        </w:rPr>
        <w:t>,</w:t>
      </w:r>
      <w:r w:rsidRPr="00FD024C">
        <w:rPr>
          <w:rFonts w:ascii="Traditional Arabic" w:hAnsi="Traditional Arabic"/>
          <w:color w:val="auto"/>
          <w:sz w:val="32"/>
          <w:szCs w:val="32"/>
          <w:rtl/>
          <w:lang w:eastAsia="en-US"/>
        </w:rPr>
        <w:t xml:space="preserve"> أبو عمرو</w:t>
      </w:r>
      <w:r>
        <w:rPr>
          <w:rFonts w:ascii="Traditional Arabic" w:hAnsi="Traditional Arabic" w:hint="cs"/>
          <w:color w:val="auto"/>
          <w:sz w:val="32"/>
          <w:szCs w:val="32"/>
          <w:rtl/>
          <w:lang w:eastAsia="en-US"/>
        </w:rPr>
        <w:t>,</w:t>
      </w:r>
      <w:r w:rsidRPr="00FD024C">
        <w:rPr>
          <w:rFonts w:ascii="Traditional Arabic" w:hAnsi="Traditional Arabic"/>
          <w:color w:val="auto"/>
          <w:sz w:val="32"/>
          <w:szCs w:val="32"/>
          <w:rtl/>
          <w:lang w:eastAsia="en-US"/>
        </w:rPr>
        <w:t xml:space="preserve"> عامر بن شراحيل بن عبد الشعبي، كوفي, جليل القدر, وافر العلم</w:t>
      </w:r>
      <w:r w:rsidRPr="00FD024C">
        <w:rPr>
          <w:rFonts w:ascii="Traditional Arabic" w:hAnsi="Traditional Arabic"/>
          <w:color w:val="auto"/>
          <w:sz w:val="32"/>
          <w:szCs w:val="32"/>
          <w:rtl/>
        </w:rPr>
        <w:t xml:space="preserve"> ,</w:t>
      </w:r>
      <w:r w:rsidRPr="00FD024C">
        <w:rPr>
          <w:rFonts w:ascii="Traditional Arabic" w:hAnsi="Traditional Arabic"/>
          <w:color w:val="auto"/>
          <w:sz w:val="32"/>
          <w:szCs w:val="32"/>
          <w:rtl/>
          <w:lang w:eastAsia="en-US"/>
        </w:rPr>
        <w:t xml:space="preserve"> علامة العصر, يضرب المثل بحفظه, (ت103ه). انظر: وفيات الأعيان (3/12), سير أعلام النبلاء (4/294)</w:t>
      </w:r>
      <w:r>
        <w:rPr>
          <w:rFonts w:ascii="Traditional Arabic" w:hAnsi="Traditional Arabic" w:hint="cs"/>
          <w:color w:val="auto"/>
          <w:sz w:val="32"/>
          <w:szCs w:val="32"/>
          <w:rtl/>
          <w:lang w:eastAsia="en-US"/>
        </w:rPr>
        <w:t>.</w:t>
      </w:r>
    </w:p>
  </w:footnote>
  <w:footnote w:id="482">
    <w:p w:rsidR="003F128F" w:rsidRPr="00FD024C" w:rsidRDefault="003F128F" w:rsidP="006B6962">
      <w:pPr>
        <w:pStyle w:val="af3"/>
        <w:rPr>
          <w:rFonts w:ascii="Traditional Arabic" w:hAnsi="Traditional Arabic"/>
          <w:sz w:val="32"/>
          <w:szCs w:val="32"/>
        </w:rPr>
      </w:pPr>
      <w:r w:rsidRPr="00FD024C">
        <w:rPr>
          <w:rFonts w:ascii="Traditional Arabic" w:hAnsi="Traditional Arabic"/>
          <w:sz w:val="32"/>
          <w:szCs w:val="32"/>
          <w:rtl/>
        </w:rPr>
        <w:t>(</w:t>
      </w:r>
      <w:r w:rsidRPr="00FD024C">
        <w:rPr>
          <w:rStyle w:val="ae"/>
          <w:rFonts w:ascii="Traditional Arabic" w:hAnsi="Traditional Arabic"/>
          <w:sz w:val="32"/>
          <w:szCs w:val="32"/>
          <w:vertAlign w:val="baseline"/>
        </w:rPr>
        <w:footnoteRef/>
      </w:r>
      <w:r>
        <w:rPr>
          <w:rFonts w:ascii="Traditional Arabic" w:hAnsi="Traditional Arabic"/>
          <w:sz w:val="32"/>
          <w:szCs w:val="32"/>
          <w:rtl/>
        </w:rPr>
        <w:t>)</w:t>
      </w:r>
      <w:r>
        <w:rPr>
          <w:rFonts w:ascii="Traditional Arabic" w:hAnsi="Traditional Arabic" w:hint="cs"/>
          <w:sz w:val="32"/>
          <w:szCs w:val="32"/>
          <w:rtl/>
        </w:rPr>
        <w:t xml:space="preserve"> </w:t>
      </w:r>
      <w:r w:rsidRPr="00FD024C">
        <w:rPr>
          <w:rFonts w:ascii="Traditional Arabic" w:hAnsi="Traditional Arabic"/>
          <w:sz w:val="32"/>
          <w:szCs w:val="32"/>
          <w:rtl/>
        </w:rPr>
        <w:t>انظر: تفسير ابن وهب (1/136), تفسير الطبري (17/514)</w:t>
      </w:r>
      <w:r>
        <w:rPr>
          <w:rFonts w:ascii="Traditional Arabic" w:hAnsi="Traditional Arabic" w:hint="cs"/>
          <w:sz w:val="32"/>
          <w:szCs w:val="32"/>
          <w:rtl/>
        </w:rPr>
        <w:t>.</w:t>
      </w:r>
    </w:p>
  </w:footnote>
  <w:footnote w:id="483">
    <w:p w:rsidR="003F128F" w:rsidRPr="00026AD0" w:rsidRDefault="003F128F" w:rsidP="00144130">
      <w:pPr>
        <w:pStyle w:val="af3"/>
        <w:rPr>
          <w:rFonts w:ascii="Traditional Arabic" w:hAnsi="Traditional Arabic"/>
          <w:sz w:val="32"/>
          <w:szCs w:val="32"/>
        </w:rPr>
      </w:pPr>
      <w:r w:rsidRPr="00026AD0">
        <w:rPr>
          <w:rFonts w:ascii="Traditional Arabic" w:hAnsi="Traditional Arabic"/>
          <w:sz w:val="32"/>
          <w:szCs w:val="32"/>
          <w:rtl/>
        </w:rPr>
        <w:t>(</w:t>
      </w:r>
      <w:r w:rsidRPr="00026AD0">
        <w:rPr>
          <w:rStyle w:val="ae"/>
          <w:rFonts w:ascii="Traditional Arabic" w:hAnsi="Traditional Arabic"/>
          <w:sz w:val="32"/>
          <w:szCs w:val="32"/>
          <w:vertAlign w:val="baseline"/>
        </w:rPr>
        <w:footnoteRef/>
      </w:r>
      <w:r w:rsidRPr="00026AD0">
        <w:rPr>
          <w:rFonts w:ascii="Traditional Arabic" w:hAnsi="Traditional Arabic"/>
          <w:sz w:val="32"/>
          <w:szCs w:val="32"/>
          <w:rtl/>
        </w:rPr>
        <w:t>) انظر: الكشف والبيان (6/121), والتفسير الوسيط (3/120).</w:t>
      </w:r>
    </w:p>
  </w:footnote>
  <w:footnote w:id="484">
    <w:p w:rsidR="003F128F" w:rsidRPr="00026AD0" w:rsidRDefault="003F128F" w:rsidP="00775D51">
      <w:pPr>
        <w:pStyle w:val="af3"/>
        <w:rPr>
          <w:rFonts w:ascii="Traditional Arabic" w:hAnsi="Traditional Arabic"/>
          <w:sz w:val="32"/>
          <w:szCs w:val="32"/>
        </w:rPr>
      </w:pPr>
      <w:r w:rsidRPr="00026AD0">
        <w:rPr>
          <w:rFonts w:ascii="Traditional Arabic" w:hAnsi="Traditional Arabic"/>
          <w:sz w:val="32"/>
          <w:szCs w:val="32"/>
          <w:rtl/>
        </w:rPr>
        <w:t>(</w:t>
      </w:r>
      <w:r w:rsidRPr="00026AD0">
        <w:rPr>
          <w:rStyle w:val="ae"/>
          <w:rFonts w:ascii="Traditional Arabic" w:hAnsi="Traditional Arabic"/>
          <w:sz w:val="32"/>
          <w:szCs w:val="32"/>
          <w:vertAlign w:val="baseline"/>
        </w:rPr>
        <w:footnoteRef/>
      </w:r>
      <w:r w:rsidRPr="00026AD0">
        <w:rPr>
          <w:rFonts w:ascii="Traditional Arabic" w:hAnsi="Traditional Arabic"/>
          <w:sz w:val="32"/>
          <w:szCs w:val="32"/>
          <w:rtl/>
        </w:rPr>
        <w:t>) انظر: تفسير مجاهد (ص440).</w:t>
      </w:r>
    </w:p>
  </w:footnote>
  <w:footnote w:id="485">
    <w:p w:rsidR="003F128F" w:rsidRPr="00FD024C" w:rsidRDefault="003F128F" w:rsidP="006B6962">
      <w:pPr>
        <w:pStyle w:val="af3"/>
        <w:rPr>
          <w:rFonts w:ascii="Traditional Arabic" w:hAnsi="Traditional Arabic"/>
          <w:sz w:val="32"/>
          <w:szCs w:val="32"/>
        </w:rPr>
      </w:pPr>
      <w:r w:rsidRPr="00026AD0">
        <w:rPr>
          <w:rFonts w:ascii="Traditional Arabic" w:hAnsi="Traditional Arabic"/>
          <w:sz w:val="32"/>
          <w:szCs w:val="32"/>
          <w:rtl/>
        </w:rPr>
        <w:t>(</w:t>
      </w:r>
      <w:r w:rsidRPr="00026AD0">
        <w:rPr>
          <w:rStyle w:val="ae"/>
          <w:rFonts w:ascii="Traditional Arabic" w:hAnsi="Traditional Arabic"/>
          <w:sz w:val="32"/>
          <w:szCs w:val="32"/>
          <w:vertAlign w:val="baseline"/>
        </w:rPr>
        <w:footnoteRef/>
      </w:r>
      <w:r w:rsidRPr="00026AD0">
        <w:rPr>
          <w:rFonts w:ascii="Traditional Arabic" w:hAnsi="Traditional Arabic"/>
          <w:sz w:val="32"/>
          <w:szCs w:val="32"/>
          <w:rtl/>
        </w:rPr>
        <w:t>) انظر: الكشف والبيان (6/120),</w:t>
      </w:r>
      <w:r>
        <w:rPr>
          <w:rFonts w:ascii="Traditional Arabic" w:hAnsi="Traditional Arabic"/>
          <w:sz w:val="32"/>
          <w:szCs w:val="32"/>
          <w:rtl/>
        </w:rPr>
        <w:t xml:space="preserve"> الهداية (6/4264)</w:t>
      </w:r>
      <w:r>
        <w:rPr>
          <w:rFonts w:ascii="Traditional Arabic" w:hAnsi="Traditional Arabic" w:hint="cs"/>
          <w:sz w:val="32"/>
          <w:szCs w:val="32"/>
          <w:rtl/>
        </w:rPr>
        <w:t>.</w:t>
      </w:r>
      <w:r w:rsidRPr="00FD024C">
        <w:rPr>
          <w:rFonts w:ascii="Traditional Arabic" w:hAnsi="Traditional Arabic"/>
          <w:sz w:val="32"/>
          <w:szCs w:val="32"/>
          <w:rtl/>
        </w:rPr>
        <w:t xml:space="preserve"> </w:t>
      </w:r>
    </w:p>
  </w:footnote>
  <w:footnote w:id="486">
    <w:p w:rsidR="003F128F" w:rsidRPr="00FD024C" w:rsidRDefault="003F128F" w:rsidP="00FD024C">
      <w:pPr>
        <w:widowControl/>
        <w:autoSpaceDE w:val="0"/>
        <w:autoSpaceDN w:val="0"/>
        <w:adjustRightInd w:val="0"/>
        <w:ind w:firstLine="0"/>
        <w:rPr>
          <w:rFonts w:ascii="Traditional Arabic" w:hAnsi="Traditional Arabic"/>
          <w:color w:val="auto"/>
          <w:sz w:val="32"/>
          <w:szCs w:val="32"/>
          <w:lang w:eastAsia="en-US"/>
        </w:rPr>
      </w:pPr>
      <w:r w:rsidRPr="00FD024C">
        <w:rPr>
          <w:rFonts w:ascii="Traditional Arabic" w:hAnsi="Traditional Arabic"/>
          <w:color w:val="auto"/>
          <w:sz w:val="32"/>
          <w:szCs w:val="32"/>
          <w:rtl/>
        </w:rPr>
        <w:t>(</w:t>
      </w:r>
      <w:r w:rsidRPr="00FD024C">
        <w:rPr>
          <w:rStyle w:val="ae"/>
          <w:rFonts w:ascii="Traditional Arabic" w:hAnsi="Traditional Arabic"/>
          <w:color w:val="auto"/>
          <w:sz w:val="32"/>
          <w:szCs w:val="32"/>
          <w:vertAlign w:val="baseline"/>
        </w:rPr>
        <w:footnoteRef/>
      </w:r>
      <w:r>
        <w:rPr>
          <w:rFonts w:ascii="Traditional Arabic" w:hAnsi="Traditional Arabic"/>
          <w:color w:val="auto"/>
          <w:sz w:val="32"/>
          <w:szCs w:val="32"/>
          <w:rtl/>
        </w:rPr>
        <w:t xml:space="preserve">) </w:t>
      </w:r>
      <w:r w:rsidRPr="00FD024C">
        <w:rPr>
          <w:rFonts w:ascii="Traditional Arabic" w:hAnsi="Traditional Arabic"/>
          <w:color w:val="auto"/>
          <w:sz w:val="32"/>
          <w:szCs w:val="32"/>
          <w:rtl/>
        </w:rPr>
        <w:t xml:space="preserve">هو التابعي </w:t>
      </w:r>
      <w:r>
        <w:rPr>
          <w:rFonts w:ascii="Traditional Arabic" w:hAnsi="Traditional Arabic"/>
          <w:color w:val="auto"/>
          <w:sz w:val="32"/>
          <w:szCs w:val="32"/>
          <w:rtl/>
        </w:rPr>
        <w:t>الإمام</w:t>
      </w:r>
      <w:r>
        <w:rPr>
          <w:rFonts w:ascii="Traditional Arabic" w:hAnsi="Traditional Arabic" w:hint="cs"/>
          <w:color w:val="auto"/>
          <w:sz w:val="32"/>
          <w:szCs w:val="32"/>
          <w:rtl/>
        </w:rPr>
        <w:t>,</w:t>
      </w:r>
      <w:r w:rsidRPr="00FD024C">
        <w:rPr>
          <w:rFonts w:ascii="Traditional Arabic" w:hAnsi="Traditional Arabic"/>
          <w:color w:val="auto"/>
          <w:sz w:val="32"/>
          <w:szCs w:val="32"/>
          <w:rtl/>
        </w:rPr>
        <w:t xml:space="preserve"> أبو العاصم</w:t>
      </w:r>
      <w:r>
        <w:rPr>
          <w:rFonts w:ascii="Traditional Arabic" w:hAnsi="Traditional Arabic" w:hint="cs"/>
          <w:color w:val="auto"/>
          <w:sz w:val="32"/>
          <w:szCs w:val="32"/>
          <w:rtl/>
        </w:rPr>
        <w:t>,</w:t>
      </w:r>
      <w:r w:rsidRPr="00FD024C">
        <w:rPr>
          <w:rFonts w:ascii="Traditional Arabic" w:hAnsi="Traditional Arabic"/>
          <w:color w:val="auto"/>
          <w:sz w:val="32"/>
          <w:szCs w:val="32"/>
          <w:rtl/>
          <w:lang w:eastAsia="en-US"/>
        </w:rPr>
        <w:t xml:space="preserve"> عبيد بن عمير بن قتادة الليثي, الجندعي, المكي, الواعظ، المفسر, كان من ثقات التابعين وأئمتهم بمكة, (ت80ه). انظر: الطبقات لابن سعد (6/16), سير أعلام النبلاء (4/156), الوافي بالوفيات (19/281).</w:t>
      </w:r>
    </w:p>
  </w:footnote>
  <w:footnote w:id="487">
    <w:p w:rsidR="003F128F" w:rsidRPr="00FD024C" w:rsidRDefault="003F128F" w:rsidP="006B6962">
      <w:pPr>
        <w:pStyle w:val="af3"/>
        <w:rPr>
          <w:rFonts w:ascii="Traditional Arabic" w:hAnsi="Traditional Arabic"/>
          <w:sz w:val="32"/>
          <w:szCs w:val="32"/>
        </w:rPr>
      </w:pPr>
      <w:r w:rsidRPr="00FD024C">
        <w:rPr>
          <w:rFonts w:ascii="Traditional Arabic" w:hAnsi="Traditional Arabic"/>
          <w:sz w:val="32"/>
          <w:szCs w:val="32"/>
          <w:rtl/>
        </w:rPr>
        <w:t>(</w:t>
      </w:r>
      <w:r w:rsidRPr="00FD024C">
        <w:rPr>
          <w:rStyle w:val="ae"/>
          <w:rFonts w:ascii="Traditional Arabic" w:hAnsi="Traditional Arabic"/>
          <w:sz w:val="32"/>
          <w:szCs w:val="32"/>
          <w:vertAlign w:val="baseline"/>
        </w:rPr>
        <w:footnoteRef/>
      </w:r>
      <w:r w:rsidRPr="00FD024C">
        <w:rPr>
          <w:rFonts w:ascii="Traditional Arabic" w:hAnsi="Traditional Arabic"/>
          <w:sz w:val="32"/>
          <w:szCs w:val="32"/>
          <w:rtl/>
        </w:rPr>
        <w:t>) انظر: الكشف وا</w:t>
      </w:r>
      <w:r>
        <w:rPr>
          <w:rFonts w:ascii="Traditional Arabic" w:hAnsi="Traditional Arabic"/>
          <w:sz w:val="32"/>
          <w:szCs w:val="32"/>
          <w:rtl/>
        </w:rPr>
        <w:t>لبيان (6/120), الهداية (6/4264)</w:t>
      </w:r>
      <w:r>
        <w:rPr>
          <w:rFonts w:ascii="Traditional Arabic" w:hAnsi="Traditional Arabic" w:hint="cs"/>
          <w:sz w:val="32"/>
          <w:szCs w:val="32"/>
          <w:rtl/>
        </w:rPr>
        <w:t>.</w:t>
      </w:r>
    </w:p>
  </w:footnote>
  <w:footnote w:id="488">
    <w:p w:rsidR="003F128F" w:rsidRPr="00963CA3" w:rsidRDefault="003F128F" w:rsidP="00FD024C">
      <w:pPr>
        <w:pStyle w:val="af3"/>
        <w:rPr>
          <w:rFonts w:ascii="Tahoma" w:hAnsi="Tahoma"/>
          <w:sz w:val="32"/>
          <w:szCs w:val="32"/>
        </w:rPr>
      </w:pPr>
      <w:r w:rsidRPr="00FD024C">
        <w:rPr>
          <w:rFonts w:ascii="Traditional Arabic" w:hAnsi="Traditional Arabic"/>
          <w:sz w:val="32"/>
          <w:szCs w:val="32"/>
          <w:rtl/>
        </w:rPr>
        <w:t>(</w:t>
      </w:r>
      <w:r w:rsidRPr="00FD024C">
        <w:rPr>
          <w:rStyle w:val="ae"/>
          <w:rFonts w:ascii="Traditional Arabic" w:hAnsi="Traditional Arabic"/>
          <w:sz w:val="32"/>
          <w:szCs w:val="32"/>
          <w:vertAlign w:val="baseline"/>
        </w:rPr>
        <w:footnoteRef/>
      </w:r>
      <w:r w:rsidRPr="00FD024C">
        <w:rPr>
          <w:rFonts w:ascii="Traditional Arabic" w:hAnsi="Traditional Arabic"/>
          <w:sz w:val="32"/>
          <w:szCs w:val="32"/>
          <w:rtl/>
        </w:rPr>
        <w:t xml:space="preserve">) انظر: تفسير مقاتل (2/546). </w:t>
      </w:r>
    </w:p>
  </w:footnote>
  <w:footnote w:id="489">
    <w:p w:rsidR="003F128F" w:rsidRPr="009B1707" w:rsidRDefault="003F128F" w:rsidP="00FD024C">
      <w:pPr>
        <w:pStyle w:val="af3"/>
        <w:rPr>
          <w:rFonts w:ascii="Traditional Arabic" w:hAnsi="Traditional Arabic"/>
          <w:sz w:val="32"/>
          <w:szCs w:val="32"/>
        </w:rPr>
      </w:pPr>
      <w:r w:rsidRPr="009B1707">
        <w:rPr>
          <w:rFonts w:ascii="Traditional Arabic" w:hAnsi="Traditional Arabic"/>
          <w:sz w:val="32"/>
          <w:szCs w:val="32"/>
          <w:rtl/>
        </w:rPr>
        <w:t>(</w:t>
      </w:r>
      <w:r w:rsidRPr="009B1707">
        <w:rPr>
          <w:rStyle w:val="ae"/>
          <w:rFonts w:ascii="Traditional Arabic" w:hAnsi="Traditional Arabic"/>
          <w:sz w:val="32"/>
          <w:szCs w:val="32"/>
          <w:vertAlign w:val="baseline"/>
        </w:rPr>
        <w:footnoteRef/>
      </w:r>
      <w:r w:rsidRPr="009B1707">
        <w:rPr>
          <w:rFonts w:ascii="Traditional Arabic" w:hAnsi="Traditional Arabic"/>
          <w:sz w:val="32"/>
          <w:szCs w:val="32"/>
          <w:rtl/>
        </w:rPr>
        <w:t>) انظر</w:t>
      </w:r>
      <w:r>
        <w:rPr>
          <w:rFonts w:ascii="Traditional Arabic" w:hAnsi="Traditional Arabic" w:hint="cs"/>
          <w:sz w:val="32"/>
          <w:szCs w:val="32"/>
          <w:rtl/>
        </w:rPr>
        <w:t>:</w:t>
      </w:r>
      <w:r w:rsidRPr="009B1707">
        <w:rPr>
          <w:rFonts w:ascii="Traditional Arabic" w:hAnsi="Traditional Arabic"/>
          <w:sz w:val="32"/>
          <w:szCs w:val="32"/>
          <w:rtl/>
        </w:rPr>
        <w:t xml:space="preserve"> تهذيب اللغة للأزهري (10/69).</w:t>
      </w:r>
    </w:p>
  </w:footnote>
  <w:footnote w:id="490">
    <w:p w:rsidR="003F128F" w:rsidRPr="009B1707" w:rsidRDefault="003F128F" w:rsidP="006B6962">
      <w:pPr>
        <w:pStyle w:val="af3"/>
        <w:rPr>
          <w:rFonts w:ascii="Traditional Arabic" w:hAnsi="Traditional Arabic"/>
          <w:sz w:val="32"/>
          <w:szCs w:val="32"/>
        </w:rPr>
      </w:pPr>
      <w:r w:rsidRPr="009B1707">
        <w:rPr>
          <w:rFonts w:ascii="Traditional Arabic" w:hAnsi="Traditional Arabic"/>
          <w:sz w:val="32"/>
          <w:szCs w:val="32"/>
          <w:rtl/>
        </w:rPr>
        <w:t>(</w:t>
      </w:r>
      <w:r w:rsidRPr="009B1707">
        <w:rPr>
          <w:rStyle w:val="ae"/>
          <w:rFonts w:ascii="Traditional Arabic" w:hAnsi="Traditional Arabic"/>
          <w:sz w:val="32"/>
          <w:szCs w:val="32"/>
          <w:vertAlign w:val="baseline"/>
        </w:rPr>
        <w:footnoteRef/>
      </w:r>
      <w:r w:rsidRPr="009B1707">
        <w:rPr>
          <w:rFonts w:ascii="Traditional Arabic" w:hAnsi="Traditional Arabic"/>
          <w:sz w:val="32"/>
          <w:szCs w:val="32"/>
          <w:rtl/>
        </w:rPr>
        <w:t xml:space="preserve">) </w:t>
      </w:r>
      <w:r w:rsidRPr="009B1707">
        <w:rPr>
          <w:rFonts w:ascii="Traditional Arabic" w:hAnsi="Traditional Arabic"/>
          <w:color w:val="auto"/>
          <w:sz w:val="32"/>
          <w:szCs w:val="32"/>
          <w:rtl/>
        </w:rPr>
        <w:t xml:space="preserve">هو صاحب رسول الله </w:t>
      </w:r>
      <w:r w:rsidRPr="009B1707">
        <w:rPr>
          <w:rFonts w:ascii="Traditional Arabic" w:hAnsi="Traditional Arabic"/>
          <w:color w:val="auto"/>
          <w:sz w:val="32"/>
          <w:szCs w:val="32"/>
        </w:rPr>
        <w:sym w:font="AGA Arabesque" w:char="F072"/>
      </w:r>
      <w:r w:rsidRPr="009B1707">
        <w:rPr>
          <w:rFonts w:ascii="Traditional Arabic" w:hAnsi="Traditional Arabic"/>
          <w:color w:val="auto"/>
          <w:sz w:val="32"/>
          <w:szCs w:val="32"/>
          <w:rtl/>
        </w:rPr>
        <w:t xml:space="preserve"> </w:t>
      </w:r>
      <w:r w:rsidRPr="009B1707">
        <w:rPr>
          <w:rFonts w:ascii="Traditional Arabic" w:hAnsi="Traditional Arabic"/>
          <w:sz w:val="32"/>
          <w:szCs w:val="32"/>
          <w:rtl/>
        </w:rPr>
        <w:t xml:space="preserve">أبو عبد الرحمن عبد الله بن مسعود بن غافل بن حبيب الهذلي, المكي، </w:t>
      </w:r>
      <w:r>
        <w:rPr>
          <w:rFonts w:ascii="Traditional Arabic" w:hAnsi="Traditional Arabic"/>
          <w:sz w:val="32"/>
          <w:szCs w:val="32"/>
          <w:rtl/>
        </w:rPr>
        <w:t>الإمام</w:t>
      </w:r>
      <w:r w:rsidRPr="009B1707">
        <w:rPr>
          <w:rFonts w:ascii="Traditional Arabic" w:hAnsi="Traditional Arabic"/>
          <w:sz w:val="32"/>
          <w:szCs w:val="32"/>
          <w:rtl/>
        </w:rPr>
        <w:t>, الحبر، كان من السابقين الأولين، ومن النجباء العالمين، شهد بدراً، وهاجر الهجرتين، (ت32ه). انظر: الطبقات لابن سعد (2/260), معجم الصحابة للبغوي (3/458), اسد الغابة (3/381), سير اعلام النبلاء (1/466).</w:t>
      </w:r>
    </w:p>
  </w:footnote>
  <w:footnote w:id="491">
    <w:p w:rsidR="003F128F" w:rsidRPr="009B1707" w:rsidRDefault="003F128F" w:rsidP="00775D51">
      <w:pPr>
        <w:pStyle w:val="af3"/>
        <w:rPr>
          <w:rFonts w:ascii="Traditional Arabic" w:hAnsi="Traditional Arabic"/>
          <w:sz w:val="32"/>
          <w:szCs w:val="32"/>
        </w:rPr>
      </w:pPr>
      <w:r w:rsidRPr="009B1707">
        <w:rPr>
          <w:rFonts w:ascii="Traditional Arabic" w:hAnsi="Traditional Arabic"/>
          <w:sz w:val="32"/>
          <w:szCs w:val="32"/>
          <w:rtl/>
        </w:rPr>
        <w:t>(</w:t>
      </w:r>
      <w:r w:rsidRPr="009B1707">
        <w:rPr>
          <w:rStyle w:val="ae"/>
          <w:rFonts w:ascii="Traditional Arabic" w:hAnsi="Traditional Arabic"/>
          <w:sz w:val="32"/>
          <w:szCs w:val="32"/>
          <w:vertAlign w:val="baseline"/>
        </w:rPr>
        <w:footnoteRef/>
      </w:r>
      <w:r w:rsidRPr="009B1707">
        <w:rPr>
          <w:rFonts w:ascii="Traditional Arabic" w:hAnsi="Traditional Arabic"/>
          <w:sz w:val="32"/>
          <w:szCs w:val="32"/>
          <w:rtl/>
        </w:rPr>
        <w:t xml:space="preserve">) اخرجه ابن وهب (1/136), وعبد الرزاق في تفسيره (2/309), </w:t>
      </w:r>
      <w:r>
        <w:rPr>
          <w:rFonts w:ascii="Traditional Arabic" w:hAnsi="Traditional Arabic" w:hint="cs"/>
          <w:sz w:val="32"/>
          <w:szCs w:val="32"/>
          <w:rtl/>
        </w:rPr>
        <w:t>والطبري</w:t>
      </w:r>
      <w:r w:rsidRPr="009B1707">
        <w:rPr>
          <w:rFonts w:ascii="Traditional Arabic" w:hAnsi="Traditional Arabic"/>
          <w:sz w:val="32"/>
          <w:szCs w:val="32"/>
          <w:rtl/>
        </w:rPr>
        <w:t xml:space="preserve"> في تفسيره (17/513), وجاء عن عبدالله بن مسعود رضي الله عنه القول الأول كذلك أخرجه الطبري في تفسيره (17/514).  </w:t>
      </w:r>
    </w:p>
  </w:footnote>
  <w:footnote w:id="492">
    <w:p w:rsidR="003F128F" w:rsidRPr="009B1707" w:rsidRDefault="003F128F" w:rsidP="006B6962">
      <w:pPr>
        <w:pStyle w:val="af3"/>
        <w:rPr>
          <w:rFonts w:ascii="Traditional Arabic" w:hAnsi="Traditional Arabic"/>
          <w:sz w:val="32"/>
          <w:szCs w:val="32"/>
        </w:rPr>
      </w:pPr>
      <w:r w:rsidRPr="009B1707">
        <w:rPr>
          <w:rFonts w:ascii="Traditional Arabic" w:hAnsi="Traditional Arabic"/>
          <w:sz w:val="32"/>
          <w:szCs w:val="32"/>
          <w:rtl/>
        </w:rPr>
        <w:t>(</w:t>
      </w:r>
      <w:r w:rsidRPr="009B1707">
        <w:rPr>
          <w:rStyle w:val="ae"/>
          <w:rFonts w:ascii="Traditional Arabic" w:hAnsi="Traditional Arabic"/>
          <w:sz w:val="32"/>
          <w:szCs w:val="32"/>
          <w:vertAlign w:val="baseline"/>
        </w:rPr>
        <w:footnoteRef/>
      </w:r>
      <w:r w:rsidRPr="009B1707">
        <w:rPr>
          <w:rFonts w:ascii="Traditional Arabic" w:hAnsi="Traditional Arabic"/>
          <w:sz w:val="32"/>
          <w:szCs w:val="32"/>
          <w:rtl/>
        </w:rPr>
        <w:t xml:space="preserve">) انظر: تفسير الطبري </w:t>
      </w:r>
      <w:r>
        <w:rPr>
          <w:rFonts w:ascii="Traditional Arabic" w:hAnsi="Traditional Arabic"/>
          <w:sz w:val="32"/>
          <w:szCs w:val="32"/>
          <w:rtl/>
        </w:rPr>
        <w:t>(17/514), الكشف والبيان (6/120)</w:t>
      </w:r>
      <w:r>
        <w:rPr>
          <w:rFonts w:ascii="Traditional Arabic" w:hAnsi="Traditional Arabic" w:hint="cs"/>
          <w:sz w:val="32"/>
          <w:szCs w:val="32"/>
          <w:rtl/>
        </w:rPr>
        <w:t>.</w:t>
      </w:r>
      <w:r w:rsidRPr="009B1707">
        <w:rPr>
          <w:rFonts w:ascii="Traditional Arabic" w:hAnsi="Traditional Arabic"/>
          <w:sz w:val="32"/>
          <w:szCs w:val="32"/>
          <w:rtl/>
        </w:rPr>
        <w:t xml:space="preserve"> </w:t>
      </w:r>
    </w:p>
  </w:footnote>
  <w:footnote w:id="493">
    <w:p w:rsidR="003F128F" w:rsidRPr="009B1707" w:rsidRDefault="003F128F" w:rsidP="006B6962">
      <w:pPr>
        <w:pStyle w:val="af3"/>
        <w:rPr>
          <w:rFonts w:ascii="Traditional Arabic" w:hAnsi="Traditional Arabic"/>
          <w:sz w:val="32"/>
          <w:szCs w:val="32"/>
        </w:rPr>
      </w:pPr>
      <w:r w:rsidRPr="009B1707">
        <w:rPr>
          <w:rFonts w:ascii="Traditional Arabic" w:hAnsi="Traditional Arabic"/>
          <w:sz w:val="32"/>
          <w:szCs w:val="32"/>
          <w:rtl/>
        </w:rPr>
        <w:t>(</w:t>
      </w:r>
      <w:r w:rsidRPr="009B1707">
        <w:rPr>
          <w:rStyle w:val="ae"/>
          <w:rFonts w:ascii="Traditional Arabic" w:hAnsi="Traditional Arabic"/>
          <w:sz w:val="32"/>
          <w:szCs w:val="32"/>
          <w:vertAlign w:val="baseline"/>
        </w:rPr>
        <w:footnoteRef/>
      </w:r>
      <w:r>
        <w:rPr>
          <w:rFonts w:ascii="Traditional Arabic" w:hAnsi="Traditional Arabic"/>
          <w:sz w:val="32"/>
          <w:szCs w:val="32"/>
          <w:rtl/>
        </w:rPr>
        <w:t>)</w:t>
      </w:r>
      <w:r>
        <w:rPr>
          <w:rFonts w:ascii="Traditional Arabic" w:hAnsi="Traditional Arabic" w:hint="cs"/>
          <w:sz w:val="32"/>
          <w:szCs w:val="32"/>
          <w:rtl/>
        </w:rPr>
        <w:t xml:space="preserve"> </w:t>
      </w:r>
      <w:r w:rsidRPr="009B1707">
        <w:rPr>
          <w:rFonts w:ascii="Traditional Arabic" w:hAnsi="Traditional Arabic"/>
          <w:sz w:val="32"/>
          <w:szCs w:val="32"/>
          <w:rtl/>
        </w:rPr>
        <w:t>أخرجهما ابن جرير في تفسيره (17/513-514), وانظر: بحر العلوم (2/324), الهداية (6/4264)</w:t>
      </w:r>
      <w:r>
        <w:rPr>
          <w:rFonts w:ascii="Traditional Arabic" w:hAnsi="Traditional Arabic" w:hint="cs"/>
          <w:sz w:val="32"/>
          <w:szCs w:val="32"/>
          <w:rtl/>
        </w:rPr>
        <w:t>.</w:t>
      </w:r>
    </w:p>
  </w:footnote>
  <w:footnote w:id="494">
    <w:p w:rsidR="003F128F" w:rsidRPr="009B1707" w:rsidRDefault="003F128F" w:rsidP="00CA7043">
      <w:pPr>
        <w:pStyle w:val="af3"/>
        <w:rPr>
          <w:rFonts w:ascii="Traditional Arabic" w:hAnsi="Traditional Arabic"/>
          <w:sz w:val="32"/>
          <w:szCs w:val="32"/>
        </w:rPr>
      </w:pPr>
      <w:r w:rsidRPr="009B1707">
        <w:rPr>
          <w:rFonts w:ascii="Traditional Arabic" w:hAnsi="Traditional Arabic"/>
          <w:sz w:val="32"/>
          <w:szCs w:val="32"/>
          <w:rtl/>
        </w:rPr>
        <w:t>(</w:t>
      </w:r>
      <w:r w:rsidRPr="009B1707">
        <w:rPr>
          <w:rStyle w:val="ae"/>
          <w:rFonts w:ascii="Traditional Arabic" w:hAnsi="Traditional Arabic"/>
          <w:sz w:val="32"/>
          <w:szCs w:val="32"/>
          <w:vertAlign w:val="baseline"/>
        </w:rPr>
        <w:footnoteRef/>
      </w:r>
      <w:r w:rsidRPr="009B1707">
        <w:rPr>
          <w:rFonts w:ascii="Traditional Arabic" w:hAnsi="Traditional Arabic"/>
          <w:sz w:val="32"/>
          <w:szCs w:val="32"/>
          <w:rtl/>
        </w:rPr>
        <w:t>) انظر: معاني القرآن للفراء (2/129).</w:t>
      </w:r>
    </w:p>
  </w:footnote>
  <w:footnote w:id="495">
    <w:p w:rsidR="003F128F" w:rsidRPr="009B1707" w:rsidRDefault="003F128F" w:rsidP="00AF5150">
      <w:pPr>
        <w:pStyle w:val="af3"/>
        <w:rPr>
          <w:rFonts w:ascii="Traditional Arabic" w:hAnsi="Traditional Arabic"/>
          <w:sz w:val="32"/>
          <w:szCs w:val="32"/>
        </w:rPr>
      </w:pPr>
      <w:r w:rsidRPr="009B1707">
        <w:rPr>
          <w:rFonts w:ascii="Traditional Arabic" w:hAnsi="Traditional Arabic"/>
          <w:sz w:val="32"/>
          <w:szCs w:val="32"/>
          <w:rtl/>
        </w:rPr>
        <w:t>(</w:t>
      </w:r>
      <w:r w:rsidRPr="009B1707">
        <w:rPr>
          <w:rStyle w:val="ae"/>
          <w:rFonts w:ascii="Traditional Arabic" w:hAnsi="Traditional Arabic"/>
          <w:sz w:val="32"/>
          <w:szCs w:val="32"/>
          <w:vertAlign w:val="baseline"/>
        </w:rPr>
        <w:footnoteRef/>
      </w:r>
      <w:r w:rsidRPr="009B1707">
        <w:rPr>
          <w:rFonts w:ascii="Traditional Arabic" w:hAnsi="Traditional Arabic"/>
          <w:sz w:val="32"/>
          <w:szCs w:val="32"/>
          <w:rtl/>
        </w:rPr>
        <w:t>) هو التابعي أبو الحارث غيلان بن عقبة بن بهيش بن مسعود العدوي, الشاعر المشهور, المعروف بذي الرمة،</w:t>
      </w:r>
      <w:r w:rsidRPr="00AF5150">
        <w:rPr>
          <w:rFonts w:ascii="Traditional Arabic" w:hAnsi="Traditional Arabic"/>
          <w:sz w:val="32"/>
          <w:szCs w:val="32"/>
          <w:rtl/>
        </w:rPr>
        <w:t xml:space="preserve"> </w:t>
      </w:r>
      <w:r>
        <w:rPr>
          <w:rFonts w:ascii="Traditional Arabic" w:hAnsi="Traditional Arabic"/>
          <w:sz w:val="32"/>
          <w:szCs w:val="32"/>
          <w:rtl/>
        </w:rPr>
        <w:t>أحد فحول</w:t>
      </w:r>
      <w:r w:rsidRPr="009B1707">
        <w:rPr>
          <w:rFonts w:ascii="Traditional Arabic" w:hAnsi="Traditional Arabic"/>
          <w:sz w:val="32"/>
          <w:szCs w:val="32"/>
          <w:rtl/>
        </w:rPr>
        <w:t xml:space="preserve"> الشعراء، وَالرُّمَّةُ: هِيَ الحَبْلُ. (ت117ه). انظر: وفيات الاعيان (4/</w:t>
      </w:r>
      <w:r>
        <w:rPr>
          <w:rFonts w:ascii="Traditional Arabic" w:hAnsi="Traditional Arabic"/>
          <w:sz w:val="32"/>
          <w:szCs w:val="32"/>
          <w:rtl/>
        </w:rPr>
        <w:t>11), سير أعلام النبلاء (5/267)</w:t>
      </w:r>
      <w:r>
        <w:rPr>
          <w:rFonts w:ascii="Traditional Arabic" w:hAnsi="Traditional Arabic" w:hint="cs"/>
          <w:sz w:val="32"/>
          <w:szCs w:val="32"/>
          <w:rtl/>
        </w:rPr>
        <w:t>.</w:t>
      </w:r>
    </w:p>
  </w:footnote>
  <w:footnote w:id="496">
    <w:p w:rsidR="003F128F" w:rsidRPr="009B1707" w:rsidRDefault="003F128F" w:rsidP="001D6D10">
      <w:pPr>
        <w:pStyle w:val="af3"/>
        <w:rPr>
          <w:rFonts w:ascii="Traditional Arabic" w:hAnsi="Traditional Arabic"/>
          <w:sz w:val="32"/>
          <w:szCs w:val="32"/>
        </w:rPr>
      </w:pPr>
      <w:r w:rsidRPr="009B1707">
        <w:rPr>
          <w:rFonts w:ascii="Traditional Arabic" w:hAnsi="Traditional Arabic"/>
          <w:sz w:val="32"/>
          <w:szCs w:val="32"/>
          <w:rtl/>
        </w:rPr>
        <w:t>(</w:t>
      </w:r>
      <w:r w:rsidRPr="009B1707">
        <w:rPr>
          <w:rStyle w:val="ae"/>
          <w:rFonts w:ascii="Traditional Arabic" w:hAnsi="Traditional Arabic"/>
          <w:sz w:val="32"/>
          <w:szCs w:val="32"/>
          <w:vertAlign w:val="baseline"/>
        </w:rPr>
        <w:footnoteRef/>
      </w:r>
      <w:r w:rsidRPr="009B1707">
        <w:rPr>
          <w:rFonts w:ascii="Traditional Arabic" w:hAnsi="Traditional Arabic"/>
          <w:sz w:val="32"/>
          <w:szCs w:val="32"/>
          <w:rtl/>
        </w:rPr>
        <w:t>) ديوان ذ</w:t>
      </w:r>
      <w:r>
        <w:rPr>
          <w:rFonts w:ascii="Traditional Arabic" w:hAnsi="Traditional Arabic" w:hint="cs"/>
          <w:sz w:val="32"/>
          <w:szCs w:val="32"/>
          <w:rtl/>
        </w:rPr>
        <w:t>و</w:t>
      </w:r>
      <w:r w:rsidRPr="009B1707">
        <w:rPr>
          <w:rFonts w:ascii="Traditional Arabic" w:hAnsi="Traditional Arabic"/>
          <w:sz w:val="32"/>
          <w:szCs w:val="32"/>
          <w:rtl/>
        </w:rPr>
        <w:t xml:space="preserve"> الرمة (ص192).</w:t>
      </w:r>
    </w:p>
  </w:footnote>
  <w:footnote w:id="497">
    <w:p w:rsidR="003F128F" w:rsidRPr="00937E60" w:rsidRDefault="003F128F" w:rsidP="001D6D10">
      <w:pPr>
        <w:pStyle w:val="af3"/>
        <w:rPr>
          <w:rFonts w:ascii="Traditional Arabic" w:hAnsi="Traditional Arabic"/>
          <w:sz w:val="32"/>
          <w:szCs w:val="32"/>
        </w:rPr>
      </w:pPr>
      <w:r w:rsidRPr="00775D51">
        <w:rPr>
          <w:rFonts w:ascii="Traditional Arabic" w:hAnsi="Traditional Arabic"/>
          <w:sz w:val="32"/>
          <w:szCs w:val="32"/>
          <w:rtl/>
        </w:rPr>
        <w:t>(</w:t>
      </w:r>
      <w:r w:rsidRPr="00775D51">
        <w:rPr>
          <w:rStyle w:val="ae"/>
          <w:rFonts w:ascii="Traditional Arabic" w:hAnsi="Traditional Arabic"/>
          <w:sz w:val="32"/>
          <w:szCs w:val="32"/>
          <w:vertAlign w:val="baseline"/>
        </w:rPr>
        <w:footnoteRef/>
      </w:r>
      <w:r w:rsidRPr="00775D51">
        <w:rPr>
          <w:rFonts w:ascii="Traditional Arabic" w:hAnsi="Traditional Arabic"/>
          <w:sz w:val="32"/>
          <w:szCs w:val="32"/>
          <w:rtl/>
        </w:rPr>
        <w:t>)</w:t>
      </w:r>
      <w:r w:rsidRPr="00775D51">
        <w:rPr>
          <w:rFonts w:ascii="Traditional Arabic" w:hAnsi="Traditional Arabic" w:hint="cs"/>
          <w:sz w:val="32"/>
          <w:szCs w:val="32"/>
          <w:rtl/>
        </w:rPr>
        <w:t xml:space="preserve"> </w:t>
      </w:r>
      <w:r>
        <w:rPr>
          <w:rFonts w:ascii="Traditional Arabic" w:hAnsi="Traditional Arabic"/>
          <w:sz w:val="32"/>
          <w:szCs w:val="32"/>
          <w:rtl/>
          <w:lang w:eastAsia="en-US"/>
        </w:rPr>
        <w:t>بَرَاح</w:t>
      </w:r>
      <w:r w:rsidRPr="00775D51">
        <w:rPr>
          <w:rFonts w:ascii="Traditional Arabic" w:hAnsi="Traditional Arabic"/>
          <w:sz w:val="32"/>
          <w:szCs w:val="32"/>
          <w:rtl/>
        </w:rPr>
        <w:t>:</w:t>
      </w:r>
      <w:r w:rsidRPr="009B1707">
        <w:rPr>
          <w:rFonts w:ascii="Traditional Arabic" w:hAnsi="Traditional Arabic"/>
          <w:sz w:val="32"/>
          <w:szCs w:val="32"/>
          <w:rtl/>
        </w:rPr>
        <w:t xml:space="preserve"> </w:t>
      </w:r>
      <w:r>
        <w:rPr>
          <w:rFonts w:ascii="Traditional Arabic" w:hAnsi="Traditional Arabic" w:hint="cs"/>
          <w:sz w:val="32"/>
          <w:szCs w:val="32"/>
          <w:rtl/>
        </w:rPr>
        <w:t xml:space="preserve">بفتح الباء </w:t>
      </w:r>
      <w:r w:rsidRPr="009B1707">
        <w:rPr>
          <w:rFonts w:ascii="Traditional Arabic" w:hAnsi="Traditional Arabic"/>
          <w:sz w:val="32"/>
          <w:szCs w:val="32"/>
          <w:rtl/>
        </w:rPr>
        <w:t>اسم للشمس، سميت بذلك لانتشارها وبيانها. وب</w:t>
      </w:r>
      <w:r>
        <w:rPr>
          <w:rFonts w:ascii="Traditional Arabic" w:hAnsi="Traditional Arabic" w:hint="cs"/>
          <w:sz w:val="32"/>
          <w:szCs w:val="32"/>
          <w:rtl/>
        </w:rPr>
        <w:t>ِ</w:t>
      </w:r>
      <w:r w:rsidRPr="009B1707">
        <w:rPr>
          <w:rFonts w:ascii="Traditional Arabic" w:hAnsi="Traditional Arabic"/>
          <w:sz w:val="32"/>
          <w:szCs w:val="32"/>
          <w:rtl/>
        </w:rPr>
        <w:t>راح: بكسر الباء، وهي باء الجر، جمع راحة وهي الكف. ومن قال: دلكت الشمس براح:</w:t>
      </w:r>
      <w:r>
        <w:rPr>
          <w:rFonts w:ascii="Traditional Arabic" w:hAnsi="Traditional Arabic" w:hint="cs"/>
          <w:sz w:val="32"/>
          <w:szCs w:val="32"/>
          <w:rtl/>
        </w:rPr>
        <w:t xml:space="preserve"> أي</w:t>
      </w:r>
      <w:r w:rsidRPr="009B1707">
        <w:rPr>
          <w:rFonts w:ascii="Traditional Arabic" w:hAnsi="Traditional Arabic"/>
          <w:sz w:val="32"/>
          <w:szCs w:val="32"/>
          <w:rtl/>
        </w:rPr>
        <w:t xml:space="preserve"> أنها كادت </w:t>
      </w:r>
      <w:r>
        <w:rPr>
          <w:rFonts w:ascii="Traditional Arabic" w:hAnsi="Traditional Arabic"/>
          <w:sz w:val="32"/>
          <w:szCs w:val="32"/>
          <w:rtl/>
        </w:rPr>
        <w:t>تغرب. انظر: اللسان (2/409) مادة</w:t>
      </w:r>
      <w:r w:rsidRPr="009B1707">
        <w:rPr>
          <w:rFonts w:ascii="Traditional Arabic" w:hAnsi="Traditional Arabic"/>
          <w:sz w:val="32"/>
          <w:szCs w:val="32"/>
          <w:rtl/>
        </w:rPr>
        <w:t xml:space="preserve"> (برح).</w:t>
      </w:r>
    </w:p>
  </w:footnote>
  <w:footnote w:id="498">
    <w:p w:rsidR="003F128F" w:rsidRPr="00937E60" w:rsidRDefault="003F128F" w:rsidP="002278FC">
      <w:pPr>
        <w:pStyle w:val="af3"/>
        <w:rPr>
          <w:rFonts w:ascii="Traditional Arabic" w:hAnsi="Traditional Arabic"/>
          <w:sz w:val="32"/>
          <w:szCs w:val="32"/>
        </w:rPr>
      </w:pPr>
      <w:r w:rsidRPr="00775D51">
        <w:rPr>
          <w:rFonts w:ascii="Traditional Arabic" w:hAnsi="Traditional Arabic"/>
          <w:sz w:val="32"/>
          <w:szCs w:val="32"/>
          <w:rtl/>
        </w:rPr>
        <w:t>(</w:t>
      </w:r>
      <w:r w:rsidRPr="00775D51">
        <w:rPr>
          <w:rStyle w:val="ae"/>
          <w:rFonts w:ascii="Traditional Arabic" w:hAnsi="Traditional Arabic"/>
          <w:sz w:val="32"/>
          <w:szCs w:val="32"/>
          <w:vertAlign w:val="baseline"/>
        </w:rPr>
        <w:footnoteRef/>
      </w:r>
      <w:r w:rsidRPr="00775D51">
        <w:rPr>
          <w:rFonts w:ascii="Traditional Arabic" w:hAnsi="Traditional Arabic"/>
          <w:sz w:val="32"/>
          <w:szCs w:val="32"/>
          <w:rtl/>
        </w:rPr>
        <w:t>)</w:t>
      </w:r>
      <w:r>
        <w:rPr>
          <w:rFonts w:ascii="Traditional Arabic" w:hAnsi="Traditional Arabic" w:hint="cs"/>
          <w:sz w:val="32"/>
          <w:szCs w:val="32"/>
          <w:rtl/>
          <w:lang w:eastAsia="en-US"/>
        </w:rPr>
        <w:t xml:space="preserve"> </w:t>
      </w:r>
      <w:r w:rsidRPr="00775D51">
        <w:rPr>
          <w:rFonts w:ascii="Traditional Arabic" w:hAnsi="Traditional Arabic"/>
          <w:sz w:val="32"/>
          <w:szCs w:val="32"/>
          <w:rtl/>
        </w:rPr>
        <w:t>الد</w:t>
      </w:r>
      <w:r>
        <w:rPr>
          <w:rFonts w:ascii="Traditional Arabic" w:hAnsi="Traditional Arabic" w:hint="cs"/>
          <w:sz w:val="32"/>
          <w:szCs w:val="32"/>
          <w:rtl/>
        </w:rPr>
        <w:t>َ</w:t>
      </w:r>
      <w:r w:rsidRPr="00775D51">
        <w:rPr>
          <w:rFonts w:ascii="Traditional Arabic" w:hAnsi="Traditional Arabic"/>
          <w:sz w:val="32"/>
          <w:szCs w:val="32"/>
          <w:rtl/>
        </w:rPr>
        <w:t>ن</w:t>
      </w:r>
      <w:r>
        <w:rPr>
          <w:rFonts w:ascii="Traditional Arabic" w:hAnsi="Traditional Arabic" w:hint="cs"/>
          <w:sz w:val="32"/>
          <w:szCs w:val="32"/>
          <w:rtl/>
        </w:rPr>
        <w:t>َ</w:t>
      </w:r>
      <w:r w:rsidRPr="00775D51">
        <w:rPr>
          <w:rFonts w:ascii="Traditional Arabic" w:hAnsi="Traditional Arabic"/>
          <w:sz w:val="32"/>
          <w:szCs w:val="32"/>
          <w:rtl/>
        </w:rPr>
        <w:t>ف</w:t>
      </w:r>
      <w:r w:rsidRPr="00775D51">
        <w:rPr>
          <w:rFonts w:ascii="Traditional Arabic" w:hAnsi="Traditional Arabic" w:hint="cs"/>
          <w:sz w:val="32"/>
          <w:szCs w:val="32"/>
          <w:rtl/>
        </w:rPr>
        <w:t>:</w:t>
      </w:r>
      <w:r w:rsidRPr="00775D51">
        <w:rPr>
          <w:rFonts w:ascii="Traditional Arabic" w:hAnsi="Traditional Arabic"/>
          <w:sz w:val="32"/>
          <w:szCs w:val="32"/>
          <w:rtl/>
        </w:rPr>
        <w:t xml:space="preserve"> المرض المخامر الملازم</w:t>
      </w:r>
      <w:r>
        <w:rPr>
          <w:rFonts w:ascii="Traditional Arabic" w:hAnsi="Traditional Arabic" w:hint="cs"/>
          <w:sz w:val="32"/>
          <w:szCs w:val="32"/>
          <w:rtl/>
        </w:rPr>
        <w:t>.</w:t>
      </w:r>
      <w:r w:rsidRPr="00937E60">
        <w:rPr>
          <w:rFonts w:ascii="Traditional Arabic" w:hAnsi="Traditional Arabic"/>
          <w:sz w:val="32"/>
          <w:szCs w:val="32"/>
          <w:rtl/>
        </w:rPr>
        <w:t xml:space="preserve"> انظر: العين (8/48)</w:t>
      </w:r>
      <w:r w:rsidRPr="005A3EC2">
        <w:rPr>
          <w:rFonts w:ascii="Traditional Arabic" w:hAnsi="Traditional Arabic"/>
          <w:sz w:val="32"/>
          <w:szCs w:val="32"/>
          <w:rtl/>
        </w:rPr>
        <w:t xml:space="preserve"> مادة (دنف)</w:t>
      </w:r>
      <w:r w:rsidRPr="00937E60">
        <w:rPr>
          <w:rFonts w:ascii="Traditional Arabic" w:hAnsi="Traditional Arabic"/>
          <w:sz w:val="32"/>
          <w:szCs w:val="32"/>
          <w:rtl/>
        </w:rPr>
        <w:t>.</w:t>
      </w:r>
    </w:p>
  </w:footnote>
  <w:footnote w:id="499">
    <w:p w:rsidR="003F128F" w:rsidRPr="00937E60" w:rsidRDefault="003F128F" w:rsidP="005A3EC2">
      <w:pPr>
        <w:pStyle w:val="af3"/>
        <w:rPr>
          <w:rFonts w:ascii="Traditional Arabic" w:hAnsi="Traditional Arabic"/>
          <w:sz w:val="32"/>
          <w:szCs w:val="32"/>
        </w:rPr>
      </w:pPr>
      <w:r w:rsidRPr="00937E60">
        <w:rPr>
          <w:rFonts w:ascii="Traditional Arabic" w:hAnsi="Traditional Arabic"/>
          <w:sz w:val="32"/>
          <w:szCs w:val="32"/>
          <w:rtl/>
        </w:rPr>
        <w:t>(</w:t>
      </w:r>
      <w:r w:rsidRPr="00937E60">
        <w:rPr>
          <w:rStyle w:val="ae"/>
          <w:rFonts w:ascii="Traditional Arabic" w:hAnsi="Traditional Arabic"/>
          <w:sz w:val="32"/>
          <w:szCs w:val="32"/>
          <w:vertAlign w:val="baseline"/>
        </w:rPr>
        <w:footnoteRef/>
      </w:r>
      <w:r w:rsidRPr="00937E60">
        <w:rPr>
          <w:rFonts w:ascii="Traditional Arabic" w:hAnsi="Traditional Arabic"/>
          <w:sz w:val="32"/>
          <w:szCs w:val="32"/>
          <w:rtl/>
        </w:rPr>
        <w:t>)</w:t>
      </w:r>
      <w:r>
        <w:rPr>
          <w:rFonts w:ascii="Traditional Arabic" w:hAnsi="Traditional Arabic"/>
          <w:sz w:val="32"/>
          <w:szCs w:val="32"/>
          <w:rtl/>
        </w:rPr>
        <w:t xml:space="preserve"> </w:t>
      </w:r>
      <w:r>
        <w:rPr>
          <w:rFonts w:ascii="Traditional Arabic" w:hAnsi="Traditional Arabic" w:hint="cs"/>
          <w:sz w:val="32"/>
          <w:szCs w:val="32"/>
          <w:rtl/>
        </w:rPr>
        <w:t xml:space="preserve">كي </w:t>
      </w:r>
      <w:r>
        <w:rPr>
          <w:rFonts w:ascii="Traditional Arabic" w:hAnsi="Traditional Arabic"/>
          <w:sz w:val="32"/>
          <w:szCs w:val="32"/>
          <w:rtl/>
        </w:rPr>
        <w:t>تزحلفا: أي</w:t>
      </w:r>
      <w:r>
        <w:rPr>
          <w:rFonts w:ascii="Traditional Arabic" w:hAnsi="Traditional Arabic" w:hint="cs"/>
          <w:sz w:val="32"/>
          <w:szCs w:val="32"/>
          <w:rtl/>
        </w:rPr>
        <w:t>: كي</w:t>
      </w:r>
      <w:r>
        <w:rPr>
          <w:rFonts w:ascii="Traditional Arabic" w:hAnsi="Traditional Arabic"/>
          <w:sz w:val="32"/>
          <w:szCs w:val="32"/>
          <w:rtl/>
        </w:rPr>
        <w:t xml:space="preserve"> تزول, يقال: تزحلف الشيء</w:t>
      </w:r>
      <w:r w:rsidRPr="00937E60">
        <w:rPr>
          <w:rFonts w:ascii="Traditional Arabic" w:hAnsi="Traditional Arabic"/>
          <w:sz w:val="32"/>
          <w:szCs w:val="32"/>
          <w:rtl/>
        </w:rPr>
        <w:t xml:space="preserve"> إذا زال. انظر: جمهرة اللغة (2/697)</w:t>
      </w:r>
      <w:r w:rsidRPr="005A3EC2">
        <w:rPr>
          <w:rFonts w:ascii="Traditional Arabic" w:hAnsi="Traditional Arabic"/>
          <w:sz w:val="32"/>
          <w:szCs w:val="32"/>
          <w:rtl/>
        </w:rPr>
        <w:t xml:space="preserve"> </w:t>
      </w:r>
      <w:r>
        <w:rPr>
          <w:rFonts w:ascii="Traditional Arabic" w:hAnsi="Traditional Arabic"/>
          <w:sz w:val="32"/>
          <w:szCs w:val="32"/>
          <w:rtl/>
        </w:rPr>
        <w:t>مادة (دكل)</w:t>
      </w:r>
      <w:r w:rsidRPr="00937E60">
        <w:rPr>
          <w:rFonts w:ascii="Traditional Arabic" w:hAnsi="Traditional Arabic"/>
          <w:sz w:val="32"/>
          <w:szCs w:val="32"/>
          <w:rtl/>
        </w:rPr>
        <w:t>, اللسان (9/132)</w:t>
      </w:r>
      <w:r w:rsidRPr="005A3EC2">
        <w:rPr>
          <w:rFonts w:ascii="Traditional Arabic" w:hAnsi="Traditional Arabic"/>
          <w:sz w:val="32"/>
          <w:szCs w:val="32"/>
          <w:rtl/>
        </w:rPr>
        <w:t xml:space="preserve"> </w:t>
      </w:r>
      <w:r>
        <w:rPr>
          <w:rFonts w:ascii="Traditional Arabic" w:hAnsi="Traditional Arabic"/>
          <w:sz w:val="32"/>
          <w:szCs w:val="32"/>
          <w:rtl/>
        </w:rPr>
        <w:t>مادة (زحلف)</w:t>
      </w:r>
      <w:r w:rsidRPr="00937E60">
        <w:rPr>
          <w:rFonts w:ascii="Traditional Arabic" w:hAnsi="Traditional Arabic"/>
          <w:sz w:val="32"/>
          <w:szCs w:val="32"/>
          <w:rtl/>
        </w:rPr>
        <w:t>.</w:t>
      </w:r>
    </w:p>
  </w:footnote>
  <w:footnote w:id="500">
    <w:p w:rsidR="003F128F" w:rsidRPr="00277451" w:rsidRDefault="003F128F" w:rsidP="002F2401">
      <w:pPr>
        <w:pStyle w:val="af3"/>
        <w:rPr>
          <w:rFonts w:ascii="Tahoma" w:hAnsi="Tahoma"/>
        </w:rPr>
      </w:pPr>
      <w:r w:rsidRPr="00937E60">
        <w:rPr>
          <w:rFonts w:ascii="Traditional Arabic" w:hAnsi="Traditional Arabic"/>
          <w:sz w:val="32"/>
          <w:szCs w:val="32"/>
          <w:rtl/>
        </w:rPr>
        <w:t>(</w:t>
      </w:r>
      <w:r w:rsidRPr="00937E60">
        <w:rPr>
          <w:rStyle w:val="ae"/>
          <w:rFonts w:ascii="Traditional Arabic" w:hAnsi="Traditional Arabic"/>
          <w:sz w:val="32"/>
          <w:szCs w:val="32"/>
          <w:vertAlign w:val="baseline"/>
        </w:rPr>
        <w:footnoteRef/>
      </w:r>
      <w:r>
        <w:rPr>
          <w:rFonts w:ascii="Traditional Arabic" w:hAnsi="Traditional Arabic"/>
          <w:sz w:val="32"/>
          <w:szCs w:val="32"/>
          <w:rtl/>
        </w:rPr>
        <w:t>) البيت</w:t>
      </w:r>
      <w:r w:rsidRPr="00937E60">
        <w:rPr>
          <w:rFonts w:ascii="Traditional Arabic" w:hAnsi="Traditional Arabic"/>
          <w:sz w:val="32"/>
          <w:szCs w:val="32"/>
          <w:rtl/>
        </w:rPr>
        <w:t xml:space="preserve"> للعجّاج كما في ديوانه: (</w:t>
      </w:r>
      <w:r>
        <w:rPr>
          <w:rFonts w:ascii="Traditional Arabic" w:hAnsi="Traditional Arabic" w:hint="cs"/>
          <w:sz w:val="32"/>
          <w:szCs w:val="32"/>
          <w:rtl/>
        </w:rPr>
        <w:t>ص424</w:t>
      </w:r>
      <w:r w:rsidRPr="00937E60">
        <w:rPr>
          <w:rFonts w:ascii="Traditional Arabic" w:hAnsi="Traditional Arabic"/>
          <w:sz w:val="32"/>
          <w:szCs w:val="32"/>
          <w:rtl/>
        </w:rPr>
        <w:t>), من أرجوزة عدتها 81 بيتاً, وهي في زوائد الديوان، لا في أصله, وانظر: اللسان (10/428)</w:t>
      </w:r>
      <w:r w:rsidRPr="005A3EC2">
        <w:rPr>
          <w:rFonts w:ascii="Traditional Arabic" w:hAnsi="Traditional Arabic"/>
          <w:sz w:val="32"/>
          <w:szCs w:val="32"/>
          <w:rtl/>
        </w:rPr>
        <w:t xml:space="preserve"> مادة</w:t>
      </w:r>
      <w:r>
        <w:rPr>
          <w:rFonts w:ascii="Traditional Arabic" w:hAnsi="Traditional Arabic"/>
          <w:sz w:val="32"/>
          <w:szCs w:val="32"/>
          <w:rtl/>
        </w:rPr>
        <w:t>: (دلك)</w:t>
      </w:r>
      <w:r w:rsidRPr="00937E60">
        <w:rPr>
          <w:rFonts w:ascii="Traditional Arabic" w:hAnsi="Traditional Arabic"/>
          <w:sz w:val="32"/>
          <w:szCs w:val="32"/>
          <w:rtl/>
        </w:rPr>
        <w:t>.</w:t>
      </w:r>
      <w:r>
        <w:rPr>
          <w:rFonts w:ascii="Traditional Arabic" w:hAnsi="Traditional Arabic" w:hint="cs"/>
          <w:b/>
          <w:bCs/>
          <w:sz w:val="32"/>
          <w:szCs w:val="32"/>
          <w:rtl/>
        </w:rPr>
        <w:t xml:space="preserve"> </w:t>
      </w:r>
    </w:p>
  </w:footnote>
  <w:footnote w:id="501">
    <w:p w:rsidR="003F128F" w:rsidRPr="00073203" w:rsidRDefault="003F128F" w:rsidP="002278FC">
      <w:pPr>
        <w:pStyle w:val="af3"/>
        <w:rPr>
          <w:rFonts w:ascii="Traditional Arabic" w:hAnsi="Traditional Arabic"/>
          <w:sz w:val="32"/>
          <w:szCs w:val="32"/>
        </w:rPr>
      </w:pPr>
      <w:r w:rsidRPr="00073203">
        <w:rPr>
          <w:rFonts w:ascii="Traditional Arabic" w:hAnsi="Traditional Arabic"/>
          <w:sz w:val="32"/>
          <w:szCs w:val="32"/>
          <w:rtl/>
        </w:rPr>
        <w:t>(</w:t>
      </w:r>
      <w:r w:rsidRPr="00073203">
        <w:rPr>
          <w:rStyle w:val="ae"/>
          <w:rFonts w:ascii="Traditional Arabic" w:hAnsi="Traditional Arabic"/>
          <w:sz w:val="32"/>
          <w:szCs w:val="32"/>
          <w:vertAlign w:val="baseline"/>
        </w:rPr>
        <w:footnoteRef/>
      </w:r>
      <w:r>
        <w:rPr>
          <w:rFonts w:ascii="Traditional Arabic" w:hAnsi="Traditional Arabic"/>
          <w:sz w:val="32"/>
          <w:szCs w:val="32"/>
          <w:rtl/>
        </w:rPr>
        <w:t>)</w:t>
      </w:r>
      <w:r w:rsidRPr="00073203">
        <w:rPr>
          <w:rFonts w:ascii="Traditional Arabic" w:hAnsi="Traditional Arabic"/>
          <w:sz w:val="32"/>
          <w:szCs w:val="32"/>
          <w:rtl/>
        </w:rPr>
        <w:t xml:space="preserve"> انظر: غريب القرآن (ص259).</w:t>
      </w:r>
    </w:p>
  </w:footnote>
  <w:footnote w:id="502">
    <w:p w:rsidR="003F128F" w:rsidRPr="00073203" w:rsidRDefault="003F128F" w:rsidP="00B47CB9">
      <w:pPr>
        <w:pStyle w:val="af3"/>
        <w:rPr>
          <w:rFonts w:ascii="Traditional Arabic" w:hAnsi="Traditional Arabic"/>
          <w:sz w:val="32"/>
          <w:szCs w:val="32"/>
        </w:rPr>
      </w:pPr>
      <w:r w:rsidRPr="00073203">
        <w:rPr>
          <w:rFonts w:ascii="Traditional Arabic" w:hAnsi="Traditional Arabic"/>
          <w:sz w:val="32"/>
          <w:szCs w:val="32"/>
          <w:rtl/>
        </w:rPr>
        <w:t>(</w:t>
      </w:r>
      <w:r w:rsidRPr="00073203">
        <w:rPr>
          <w:rStyle w:val="ae"/>
          <w:rFonts w:ascii="Traditional Arabic" w:hAnsi="Traditional Arabic"/>
          <w:sz w:val="32"/>
          <w:szCs w:val="32"/>
          <w:vertAlign w:val="baseline"/>
        </w:rPr>
        <w:footnoteRef/>
      </w:r>
      <w:r>
        <w:rPr>
          <w:rFonts w:ascii="Traditional Arabic" w:hAnsi="Traditional Arabic"/>
          <w:sz w:val="32"/>
          <w:szCs w:val="32"/>
          <w:rtl/>
        </w:rPr>
        <w:t>)</w:t>
      </w:r>
      <w:r w:rsidRPr="00073203">
        <w:rPr>
          <w:rFonts w:ascii="Traditional Arabic" w:hAnsi="Traditional Arabic"/>
          <w:sz w:val="32"/>
          <w:szCs w:val="32"/>
          <w:rtl/>
        </w:rPr>
        <w:t xml:space="preserve"> أخرجه الطبراني في المعجم الكبير (9/232 ح9141).</w:t>
      </w:r>
    </w:p>
  </w:footnote>
  <w:footnote w:id="503">
    <w:p w:rsidR="003F128F" w:rsidRPr="00275E23" w:rsidRDefault="003F128F" w:rsidP="005E44E9">
      <w:pPr>
        <w:pStyle w:val="af3"/>
        <w:rPr>
          <w:rFonts w:ascii="Traditional Arabic" w:hAnsi="Traditional Arabic"/>
          <w:sz w:val="32"/>
          <w:szCs w:val="32"/>
        </w:rPr>
      </w:pPr>
      <w:r w:rsidRPr="00275E23">
        <w:rPr>
          <w:rFonts w:ascii="Traditional Arabic" w:hAnsi="Traditional Arabic"/>
          <w:sz w:val="32"/>
          <w:szCs w:val="32"/>
          <w:rtl/>
        </w:rPr>
        <w:t>(</w:t>
      </w:r>
      <w:r w:rsidRPr="00275E23">
        <w:rPr>
          <w:rStyle w:val="ae"/>
          <w:rFonts w:ascii="Traditional Arabic" w:hAnsi="Traditional Arabic"/>
          <w:sz w:val="32"/>
          <w:szCs w:val="32"/>
          <w:vertAlign w:val="baseline"/>
        </w:rPr>
        <w:footnoteRef/>
      </w:r>
      <w:r>
        <w:rPr>
          <w:rFonts w:ascii="Traditional Arabic" w:hAnsi="Traditional Arabic"/>
          <w:sz w:val="32"/>
          <w:szCs w:val="32"/>
          <w:rtl/>
        </w:rPr>
        <w:t>)</w:t>
      </w:r>
      <w:r w:rsidRPr="00275E23">
        <w:rPr>
          <w:rFonts w:ascii="Traditional Arabic" w:hAnsi="Traditional Arabic"/>
          <w:sz w:val="32"/>
          <w:szCs w:val="32"/>
          <w:rtl/>
        </w:rPr>
        <w:t xml:space="preserve"> أخرجه الطبري (17/519). وانظر: الكشف والبيان (6/122), النكت والعيون (3/263). </w:t>
      </w:r>
    </w:p>
  </w:footnote>
  <w:footnote w:id="504">
    <w:p w:rsidR="003F128F" w:rsidRPr="00371D89" w:rsidRDefault="003F128F" w:rsidP="005A3EC2">
      <w:pPr>
        <w:pStyle w:val="af3"/>
        <w:rPr>
          <w:rFonts w:ascii="Traditional Arabic" w:hAnsi="Traditional Arabic"/>
          <w:sz w:val="32"/>
          <w:szCs w:val="32"/>
        </w:rPr>
      </w:pPr>
      <w:r w:rsidRPr="00371D89">
        <w:rPr>
          <w:rFonts w:ascii="Traditional Arabic" w:hAnsi="Traditional Arabic"/>
          <w:sz w:val="32"/>
          <w:szCs w:val="32"/>
          <w:rtl/>
        </w:rPr>
        <w:t>(</w:t>
      </w:r>
      <w:r w:rsidRPr="00371D89">
        <w:rPr>
          <w:rStyle w:val="ae"/>
          <w:rFonts w:ascii="Traditional Arabic" w:hAnsi="Traditional Arabic"/>
          <w:sz w:val="32"/>
          <w:szCs w:val="32"/>
          <w:vertAlign w:val="baseline"/>
        </w:rPr>
        <w:footnoteRef/>
      </w:r>
      <w:r w:rsidRPr="00371D89">
        <w:rPr>
          <w:rFonts w:ascii="Traditional Arabic" w:hAnsi="Traditional Arabic"/>
          <w:sz w:val="32"/>
          <w:szCs w:val="32"/>
          <w:rtl/>
        </w:rPr>
        <w:t xml:space="preserve">) هو </w:t>
      </w:r>
      <w:r>
        <w:rPr>
          <w:rFonts w:ascii="Traditional Arabic" w:hAnsi="Traditional Arabic"/>
          <w:sz w:val="32"/>
          <w:szCs w:val="32"/>
          <w:rtl/>
        </w:rPr>
        <w:t>الإمام</w:t>
      </w:r>
      <w:r w:rsidRPr="00371D89">
        <w:rPr>
          <w:rFonts w:ascii="Traditional Arabic" w:hAnsi="Traditional Arabic"/>
          <w:sz w:val="32"/>
          <w:szCs w:val="32"/>
          <w:rtl/>
        </w:rPr>
        <w:t xml:space="preserve"> أبو يعلى محمد بن الحسين بن محمد بن خلف البغدادي، ابن الفرّاء، الحنبلي، عالم عصره في الأصول والفروع وأنواع الفنون، صاحب التعليقة الكبرى،</w:t>
      </w:r>
      <w:r>
        <w:rPr>
          <w:rFonts w:ascii="Traditional Arabic" w:hAnsi="Traditional Arabic" w:hint="cs"/>
          <w:sz w:val="32"/>
          <w:szCs w:val="32"/>
          <w:rtl/>
        </w:rPr>
        <w:t xml:space="preserve"> وأحكام القرآن,</w:t>
      </w:r>
      <w:r w:rsidRPr="00371D89">
        <w:rPr>
          <w:rFonts w:ascii="Traditional Arabic" w:hAnsi="Traditional Arabic"/>
          <w:sz w:val="32"/>
          <w:szCs w:val="32"/>
          <w:rtl/>
        </w:rPr>
        <w:t xml:space="preserve"> والتصانيف المفيدة في المذهب, (ت458ه). طبقات الحنابلة (2/</w:t>
      </w:r>
      <w:r>
        <w:rPr>
          <w:rFonts w:ascii="Traditional Arabic" w:hAnsi="Traditional Arabic"/>
          <w:sz w:val="32"/>
          <w:szCs w:val="32"/>
          <w:rtl/>
        </w:rPr>
        <w:t>193), سير أعلام النبلاء (18/89)</w:t>
      </w:r>
      <w:r w:rsidRPr="00371D89">
        <w:rPr>
          <w:rFonts w:ascii="Traditional Arabic" w:hAnsi="Traditional Arabic"/>
          <w:sz w:val="32"/>
          <w:szCs w:val="32"/>
          <w:rtl/>
        </w:rPr>
        <w:t>.</w:t>
      </w:r>
    </w:p>
  </w:footnote>
  <w:footnote w:id="505">
    <w:p w:rsidR="003F128F" w:rsidRPr="00371D89" w:rsidRDefault="003F128F" w:rsidP="007D4933">
      <w:pPr>
        <w:pStyle w:val="af3"/>
        <w:rPr>
          <w:rFonts w:ascii="Traditional Arabic" w:hAnsi="Traditional Arabic"/>
          <w:sz w:val="32"/>
          <w:szCs w:val="32"/>
        </w:rPr>
      </w:pPr>
      <w:r w:rsidRPr="00371D89">
        <w:rPr>
          <w:rFonts w:ascii="Traditional Arabic" w:hAnsi="Traditional Arabic"/>
          <w:sz w:val="32"/>
          <w:szCs w:val="32"/>
          <w:rtl/>
        </w:rPr>
        <w:t>(</w:t>
      </w:r>
      <w:r w:rsidRPr="00371D89">
        <w:rPr>
          <w:rStyle w:val="ae"/>
          <w:rFonts w:ascii="Traditional Arabic" w:hAnsi="Traditional Arabic"/>
          <w:sz w:val="32"/>
          <w:szCs w:val="32"/>
          <w:vertAlign w:val="baseline"/>
        </w:rPr>
        <w:footnoteRef/>
      </w:r>
      <w:r w:rsidRPr="00371D89">
        <w:rPr>
          <w:rFonts w:ascii="Traditional Arabic" w:hAnsi="Traditional Arabic"/>
          <w:sz w:val="32"/>
          <w:szCs w:val="32"/>
          <w:rtl/>
        </w:rPr>
        <w:t xml:space="preserve">) ذكر بنحوه الجصاص في أحكام القرآن(3/267), </w:t>
      </w:r>
      <w:r w:rsidRPr="00371D89">
        <w:rPr>
          <w:rFonts w:ascii="Traditional Arabic" w:hAnsi="Traditional Arabic" w:hint="cs"/>
          <w:sz w:val="32"/>
          <w:szCs w:val="32"/>
          <w:rtl/>
        </w:rPr>
        <w:t>و</w:t>
      </w:r>
      <w:r>
        <w:rPr>
          <w:rFonts w:ascii="Traditional Arabic" w:hAnsi="Traditional Arabic"/>
          <w:sz w:val="32"/>
          <w:szCs w:val="32"/>
          <w:rtl/>
        </w:rPr>
        <w:t>أورده</w:t>
      </w:r>
      <w:r w:rsidRPr="00371D89">
        <w:rPr>
          <w:rFonts w:ascii="Traditional Arabic" w:hAnsi="Traditional Arabic"/>
          <w:sz w:val="32"/>
          <w:szCs w:val="32"/>
          <w:rtl/>
        </w:rPr>
        <w:t xml:space="preserve"> الرسعني في رموز الكنوز (4/215).</w:t>
      </w:r>
    </w:p>
  </w:footnote>
  <w:footnote w:id="506">
    <w:p w:rsidR="003F128F" w:rsidRPr="00371D89" w:rsidRDefault="003F128F" w:rsidP="006B6962">
      <w:pPr>
        <w:pStyle w:val="af3"/>
        <w:rPr>
          <w:rFonts w:ascii="Traditional Arabic" w:hAnsi="Traditional Arabic"/>
          <w:sz w:val="32"/>
          <w:szCs w:val="32"/>
        </w:rPr>
      </w:pPr>
      <w:r w:rsidRPr="00371D89">
        <w:rPr>
          <w:rFonts w:ascii="Traditional Arabic" w:hAnsi="Traditional Arabic"/>
          <w:sz w:val="32"/>
          <w:szCs w:val="32"/>
          <w:rtl/>
        </w:rPr>
        <w:t>(</w:t>
      </w:r>
      <w:r w:rsidRPr="00371D89">
        <w:rPr>
          <w:rStyle w:val="ae"/>
          <w:rFonts w:ascii="Traditional Arabic" w:hAnsi="Traditional Arabic"/>
          <w:sz w:val="32"/>
          <w:szCs w:val="32"/>
          <w:vertAlign w:val="baseline"/>
        </w:rPr>
        <w:footnoteRef/>
      </w:r>
      <w:r>
        <w:rPr>
          <w:rFonts w:ascii="Traditional Arabic" w:hAnsi="Traditional Arabic"/>
          <w:sz w:val="32"/>
          <w:szCs w:val="32"/>
          <w:rtl/>
        </w:rPr>
        <w:t xml:space="preserve">) </w:t>
      </w:r>
      <w:r>
        <w:rPr>
          <w:rFonts w:ascii="Traditional Arabic" w:hAnsi="Traditional Arabic" w:hint="cs"/>
          <w:sz w:val="32"/>
          <w:szCs w:val="32"/>
          <w:rtl/>
        </w:rPr>
        <w:t>تفسير</w:t>
      </w:r>
      <w:r w:rsidRPr="00371D89">
        <w:rPr>
          <w:rFonts w:ascii="Traditional Arabic" w:hAnsi="Traditional Arabic"/>
          <w:sz w:val="32"/>
          <w:szCs w:val="32"/>
          <w:rtl/>
        </w:rPr>
        <w:t xml:space="preserve"> الطبري (15/805), وبه قال الواحدي في التفسير الوسيط (3/120), والسمعاني في تفسيره (3/268)</w:t>
      </w:r>
      <w:r>
        <w:rPr>
          <w:rFonts w:ascii="Traditional Arabic" w:hAnsi="Traditional Arabic" w:hint="cs"/>
          <w:sz w:val="32"/>
          <w:szCs w:val="32"/>
          <w:rtl/>
        </w:rPr>
        <w:t xml:space="preserve"> وغيرهم</w:t>
      </w:r>
      <w:r w:rsidRPr="00371D89">
        <w:rPr>
          <w:rFonts w:ascii="Traditional Arabic" w:hAnsi="Traditional Arabic"/>
          <w:sz w:val="32"/>
          <w:szCs w:val="32"/>
          <w:rtl/>
        </w:rPr>
        <w:t>.</w:t>
      </w:r>
    </w:p>
  </w:footnote>
  <w:footnote w:id="507">
    <w:p w:rsidR="003F128F" w:rsidRPr="00371D89" w:rsidRDefault="003F128F" w:rsidP="002278FC">
      <w:pPr>
        <w:pStyle w:val="af3"/>
        <w:rPr>
          <w:rFonts w:ascii="Traditional Arabic" w:hAnsi="Traditional Arabic"/>
          <w:sz w:val="32"/>
          <w:szCs w:val="32"/>
        </w:rPr>
      </w:pPr>
      <w:r w:rsidRPr="00371D89">
        <w:rPr>
          <w:rFonts w:ascii="Traditional Arabic" w:hAnsi="Traditional Arabic"/>
          <w:sz w:val="32"/>
          <w:szCs w:val="32"/>
          <w:rtl/>
        </w:rPr>
        <w:t>(</w:t>
      </w:r>
      <w:r w:rsidRPr="00371D89">
        <w:rPr>
          <w:rStyle w:val="ae"/>
          <w:rFonts w:ascii="Traditional Arabic" w:hAnsi="Traditional Arabic"/>
          <w:sz w:val="32"/>
          <w:szCs w:val="32"/>
          <w:vertAlign w:val="baseline"/>
        </w:rPr>
        <w:footnoteRef/>
      </w:r>
      <w:r w:rsidRPr="00371D89">
        <w:rPr>
          <w:rFonts w:ascii="Traditional Arabic" w:hAnsi="Traditional Arabic"/>
          <w:sz w:val="32"/>
          <w:szCs w:val="32"/>
          <w:rtl/>
        </w:rPr>
        <w:t>) انظر: تفسير الطبري (17/521), بحر العلوم (2/324)</w:t>
      </w:r>
      <w:r>
        <w:rPr>
          <w:rFonts w:ascii="Traditional Arabic" w:hAnsi="Traditional Arabic" w:hint="cs"/>
          <w:sz w:val="32"/>
          <w:szCs w:val="32"/>
          <w:rtl/>
        </w:rPr>
        <w:t>.</w:t>
      </w:r>
    </w:p>
  </w:footnote>
  <w:footnote w:id="508">
    <w:p w:rsidR="003F128F" w:rsidRPr="00B72410" w:rsidRDefault="003F128F" w:rsidP="00073203">
      <w:pPr>
        <w:pStyle w:val="af3"/>
        <w:rPr>
          <w:rFonts w:ascii="Traditional Arabic" w:hAnsi="Traditional Arabic"/>
          <w:sz w:val="32"/>
          <w:szCs w:val="32"/>
        </w:rPr>
      </w:pPr>
      <w:r w:rsidRPr="00B72410">
        <w:rPr>
          <w:rFonts w:ascii="Traditional Arabic" w:hAnsi="Traditional Arabic"/>
          <w:sz w:val="32"/>
          <w:szCs w:val="32"/>
          <w:rtl/>
        </w:rPr>
        <w:t>(</w:t>
      </w:r>
      <w:r w:rsidRPr="00B72410">
        <w:rPr>
          <w:rStyle w:val="ae"/>
          <w:rFonts w:ascii="Traditional Arabic" w:hAnsi="Traditional Arabic"/>
          <w:sz w:val="32"/>
          <w:szCs w:val="32"/>
          <w:vertAlign w:val="baseline"/>
        </w:rPr>
        <w:footnoteRef/>
      </w:r>
      <w:r w:rsidRPr="00B72410">
        <w:rPr>
          <w:rFonts w:ascii="Traditional Arabic" w:hAnsi="Traditional Arabic"/>
          <w:sz w:val="32"/>
          <w:szCs w:val="32"/>
          <w:rtl/>
        </w:rPr>
        <w:t>) انظر: معاني القرآن وإعرابه (3/255).</w:t>
      </w:r>
    </w:p>
  </w:footnote>
  <w:footnote w:id="509">
    <w:p w:rsidR="003F128F" w:rsidRPr="004B2102" w:rsidRDefault="003F128F" w:rsidP="00CE66C8">
      <w:pPr>
        <w:pStyle w:val="af3"/>
        <w:rPr>
          <w:rFonts w:ascii="Tahoma" w:hAnsi="Tahoma"/>
          <w:sz w:val="32"/>
          <w:szCs w:val="32"/>
        </w:rPr>
      </w:pPr>
      <w:r w:rsidRPr="00B72410">
        <w:rPr>
          <w:rFonts w:ascii="Traditional Arabic" w:hAnsi="Traditional Arabic"/>
          <w:sz w:val="32"/>
          <w:szCs w:val="32"/>
          <w:rtl/>
        </w:rPr>
        <w:t>(</w:t>
      </w:r>
      <w:r w:rsidRPr="00B72410">
        <w:rPr>
          <w:rStyle w:val="ae"/>
          <w:rFonts w:ascii="Traditional Arabic" w:hAnsi="Traditional Arabic"/>
          <w:sz w:val="32"/>
          <w:szCs w:val="32"/>
          <w:vertAlign w:val="baseline"/>
        </w:rPr>
        <w:footnoteRef/>
      </w:r>
      <w:r w:rsidRPr="00B72410">
        <w:rPr>
          <w:rFonts w:ascii="Traditional Arabic" w:hAnsi="Traditional Arabic"/>
          <w:sz w:val="32"/>
          <w:szCs w:val="32"/>
          <w:rtl/>
        </w:rPr>
        <w:t>) أخرجه أحمد (16/126 ح10133)، والترمذي (كتاب التفسير, باب</w:t>
      </w:r>
      <w:r>
        <w:rPr>
          <w:rFonts w:ascii="Traditional Arabic" w:hAnsi="Traditional Arabic" w:hint="cs"/>
          <w:sz w:val="32"/>
          <w:szCs w:val="32"/>
          <w:rtl/>
        </w:rPr>
        <w:t>:</w:t>
      </w:r>
      <w:r w:rsidRPr="00B72410">
        <w:rPr>
          <w:rFonts w:ascii="Traditional Arabic" w:hAnsi="Traditional Arabic"/>
          <w:sz w:val="32"/>
          <w:szCs w:val="32"/>
          <w:rtl/>
        </w:rPr>
        <w:t xml:space="preserve"> ومن تفسير بني إسرائيل, 8/546 ح3135), والنسائي في المجتبى (كتاب الصلاة, باب</w:t>
      </w:r>
      <w:r>
        <w:rPr>
          <w:rFonts w:ascii="Traditional Arabic" w:hAnsi="Traditional Arabic" w:hint="cs"/>
          <w:sz w:val="32"/>
          <w:szCs w:val="32"/>
          <w:rtl/>
        </w:rPr>
        <w:t>:</w:t>
      </w:r>
      <w:r w:rsidRPr="00B72410">
        <w:rPr>
          <w:rFonts w:ascii="Traditional Arabic" w:hAnsi="Traditional Arabic"/>
          <w:sz w:val="32"/>
          <w:szCs w:val="32"/>
          <w:rtl/>
        </w:rPr>
        <w:t xml:space="preserve"> فضل صلاة الجماعة, 1/241 ح485), والكبرى (كتاب التفسير، باب</w:t>
      </w:r>
      <w:r>
        <w:rPr>
          <w:rFonts w:ascii="Traditional Arabic" w:hAnsi="Traditional Arabic" w:hint="cs"/>
          <w:sz w:val="32"/>
          <w:szCs w:val="32"/>
          <w:rtl/>
        </w:rPr>
        <w:t>:</w:t>
      </w:r>
      <w:r w:rsidRPr="00B72410">
        <w:rPr>
          <w:rFonts w:ascii="Traditional Arabic" w:hAnsi="Traditional Arabic"/>
          <w:sz w:val="32"/>
          <w:szCs w:val="32"/>
          <w:rtl/>
        </w:rPr>
        <w:t xml:space="preserve"> قوله تعالى</w:t>
      </w:r>
      <w:r w:rsidRPr="00371D89">
        <w:rPr>
          <w:rFonts w:ascii="Traditional Arabic" w:hAnsi="Traditional Arabic"/>
          <w:sz w:val="32"/>
          <w:szCs w:val="32"/>
          <w:rtl/>
        </w:rPr>
        <w:t>:</w:t>
      </w:r>
      <w:r w:rsidRPr="00CE66C8">
        <w:rPr>
          <w:rFonts w:ascii="QCF_BSML" w:hAnsi="QCF_BSML" w:cs="QCF_BSML"/>
          <w:sz w:val="32"/>
          <w:szCs w:val="32"/>
          <w:rtl/>
          <w:lang w:eastAsia="en-US"/>
        </w:rPr>
        <w:t xml:space="preserve"> </w:t>
      </w:r>
      <w:r w:rsidRPr="00E1101C">
        <w:rPr>
          <w:rFonts w:ascii="QCF_BSML" w:hAnsi="QCF_BSML" w:cs="QCF_BSML"/>
          <w:rtl/>
          <w:lang w:eastAsia="en-US"/>
        </w:rPr>
        <w:t>ﭽ</w:t>
      </w:r>
      <w:r w:rsidRPr="00E1101C">
        <w:rPr>
          <w:rFonts w:ascii="QCF_P290" w:hAnsi="QCF_P290" w:cs="QCF_P290"/>
          <w:rtl/>
          <w:lang w:eastAsia="en-US"/>
        </w:rPr>
        <w:t xml:space="preserve"> ﭷ   ﭸ  ﭹ</w:t>
      </w:r>
      <w:r w:rsidRPr="00E1101C">
        <w:rPr>
          <w:rFonts w:ascii="QCF_P290" w:hAnsi="QCF_P290" w:cs="QCF_P290" w:hint="cs"/>
          <w:rtl/>
          <w:lang w:eastAsia="en-US"/>
        </w:rPr>
        <w:t xml:space="preserve"> </w:t>
      </w:r>
      <w:r w:rsidRPr="00E1101C">
        <w:rPr>
          <w:rFonts w:ascii="QCF_P290" w:hAnsi="QCF_P290" w:cs="QCF_P290"/>
          <w:rtl/>
          <w:lang w:eastAsia="en-US"/>
        </w:rPr>
        <w:t xml:space="preserve"> ﭺ  ﭻ</w:t>
      </w:r>
      <w:r w:rsidRPr="00E1101C">
        <w:rPr>
          <w:rFonts w:ascii="QCF_BSML" w:hAnsi="QCF_BSML" w:cs="QCF_BSML"/>
          <w:rtl/>
          <w:lang w:eastAsia="en-US"/>
        </w:rPr>
        <w:t>ﭼ</w:t>
      </w:r>
      <w:r w:rsidRPr="00CE66C8">
        <w:rPr>
          <w:rFonts w:ascii="Traditional Arabic" w:hAnsi="Traditional Arabic" w:hint="cs"/>
          <w:sz w:val="24"/>
          <w:szCs w:val="24"/>
          <w:rtl/>
        </w:rPr>
        <w:t xml:space="preserve"> </w:t>
      </w:r>
      <w:r w:rsidRPr="00CE66C8">
        <w:rPr>
          <w:rFonts w:ascii="Traditional Arabic" w:hAnsi="Traditional Arabic"/>
          <w:sz w:val="32"/>
          <w:szCs w:val="32"/>
          <w:rtl/>
        </w:rPr>
        <w:t>11/18</w:t>
      </w:r>
      <w:r w:rsidRPr="00CE66C8">
        <w:rPr>
          <w:rFonts w:ascii="Traditional Arabic" w:hAnsi="Traditional Arabic" w:hint="cs"/>
          <w:sz w:val="32"/>
          <w:szCs w:val="32"/>
          <w:rtl/>
        </w:rPr>
        <w:t>3</w:t>
      </w:r>
      <w:r w:rsidRPr="00CE66C8">
        <w:rPr>
          <w:rFonts w:ascii="Traditional Arabic" w:hAnsi="Traditional Arabic"/>
          <w:sz w:val="32"/>
          <w:szCs w:val="32"/>
          <w:rtl/>
        </w:rPr>
        <w:t xml:space="preserve"> </w:t>
      </w:r>
      <w:r w:rsidRPr="00B72410">
        <w:rPr>
          <w:rFonts w:ascii="Traditional Arabic" w:hAnsi="Traditional Arabic"/>
          <w:sz w:val="32"/>
          <w:szCs w:val="32"/>
          <w:rtl/>
        </w:rPr>
        <w:t>ح11404)، وابن ماجة (كتاب الصلاة, باب</w:t>
      </w:r>
      <w:r>
        <w:rPr>
          <w:rFonts w:ascii="Traditional Arabic" w:hAnsi="Traditional Arabic" w:hint="cs"/>
          <w:sz w:val="32"/>
          <w:szCs w:val="32"/>
          <w:rtl/>
        </w:rPr>
        <w:t>:</w:t>
      </w:r>
      <w:r w:rsidRPr="00B72410">
        <w:rPr>
          <w:rFonts w:ascii="Traditional Arabic" w:hAnsi="Traditional Arabic"/>
          <w:sz w:val="32"/>
          <w:szCs w:val="32"/>
          <w:rtl/>
        </w:rPr>
        <w:t xml:space="preserve"> وقت صلاة الفجر, 1/372 ح670), والطبري (17/520),  من حديث أبي هريرة </w:t>
      </w:r>
      <w:r w:rsidRPr="00B72410">
        <w:rPr>
          <w:rFonts w:ascii="Traditional Arabic" w:hAnsi="Traditional Arabic"/>
          <w:sz w:val="32"/>
          <w:szCs w:val="32"/>
        </w:rPr>
        <w:sym w:font="AGA Arabesque" w:char="F074"/>
      </w:r>
      <w:r w:rsidRPr="00B72410">
        <w:rPr>
          <w:rFonts w:ascii="Traditional Arabic" w:hAnsi="Traditional Arabic"/>
          <w:sz w:val="32"/>
          <w:szCs w:val="32"/>
          <w:rtl/>
        </w:rPr>
        <w:t>. وقال الترمذي: حسن صحيح. وصححه الحاكم (1/330 ح763) على  شرطهما، ووافقه الذهبي. وهو في الصحيحين عنه مرفوعا بلفظ: «فضل صلاة الجميع على صلاة الواحد خمس وعشرون درجة وتجتمع ملائكة الليل وملائكة النهار في صلاة الصبح» يقول أبو هريرة: اقرءوا إن شئتم</w:t>
      </w:r>
      <w:r w:rsidRPr="004B2102">
        <w:rPr>
          <w:rFonts w:ascii="Tahoma" w:hAnsi="Tahoma"/>
          <w:sz w:val="32"/>
          <w:szCs w:val="32"/>
          <w:rtl/>
        </w:rPr>
        <w:t xml:space="preserve"> </w:t>
      </w:r>
      <w:r w:rsidRPr="00E1101C">
        <w:rPr>
          <w:rFonts w:ascii="QCF_BSML" w:hAnsi="QCF_BSML" w:cs="QCF_BSML"/>
          <w:rtl/>
          <w:lang w:eastAsia="en-US"/>
        </w:rPr>
        <w:t>ﭽ</w:t>
      </w:r>
      <w:r w:rsidRPr="00E1101C">
        <w:rPr>
          <w:rFonts w:ascii="QCF_P290" w:hAnsi="QCF_P290" w:cs="QCF_P290"/>
          <w:rtl/>
          <w:lang w:eastAsia="en-US"/>
        </w:rPr>
        <w:t>ﭴ  ﭵﭷ   ﭸ  ﭹ</w:t>
      </w:r>
      <w:r w:rsidRPr="00E1101C">
        <w:rPr>
          <w:rFonts w:ascii="QCF_P290" w:hAnsi="QCF_P290" w:cs="QCF_P290" w:hint="cs"/>
          <w:rtl/>
          <w:lang w:eastAsia="en-US"/>
        </w:rPr>
        <w:t xml:space="preserve"> </w:t>
      </w:r>
      <w:r w:rsidRPr="00E1101C">
        <w:rPr>
          <w:rFonts w:ascii="QCF_P290" w:hAnsi="QCF_P290" w:cs="QCF_P290"/>
          <w:rtl/>
          <w:lang w:eastAsia="en-US"/>
        </w:rPr>
        <w:t xml:space="preserve"> ﭺ  ﭻ</w:t>
      </w:r>
      <w:r w:rsidRPr="00E1101C">
        <w:rPr>
          <w:rFonts w:ascii="QCF_BSML" w:hAnsi="QCF_BSML" w:cs="QCF_BSML"/>
          <w:rtl/>
          <w:lang w:eastAsia="en-US"/>
        </w:rPr>
        <w:t>ﭼ</w:t>
      </w:r>
      <w:r w:rsidRPr="004B2102">
        <w:rPr>
          <w:rFonts w:ascii="Traditional Arabic" w:hAnsi="Traditional Arabic" w:hint="cs"/>
          <w:sz w:val="32"/>
          <w:szCs w:val="32"/>
          <w:rtl/>
        </w:rPr>
        <w:t xml:space="preserve"> </w:t>
      </w:r>
      <w:r w:rsidRPr="004B2102">
        <w:rPr>
          <w:rFonts w:ascii="Tahoma" w:hAnsi="Tahoma"/>
          <w:sz w:val="32"/>
          <w:szCs w:val="32"/>
          <w:rtl/>
        </w:rPr>
        <w:t>أخرجه البخاري</w:t>
      </w:r>
      <w:r w:rsidRPr="004B2102">
        <w:rPr>
          <w:rFonts w:ascii="Tahoma" w:hAnsi="Tahoma" w:hint="cs"/>
          <w:sz w:val="32"/>
          <w:szCs w:val="32"/>
          <w:rtl/>
        </w:rPr>
        <w:t xml:space="preserve"> (كتاب الأذان, باب</w:t>
      </w:r>
      <w:r>
        <w:rPr>
          <w:rFonts w:ascii="Tahoma" w:hAnsi="Tahoma" w:hint="cs"/>
          <w:sz w:val="32"/>
          <w:szCs w:val="32"/>
          <w:rtl/>
        </w:rPr>
        <w:t>:</w:t>
      </w:r>
      <w:r w:rsidRPr="004B2102">
        <w:rPr>
          <w:rFonts w:ascii="Tahoma" w:hAnsi="Tahoma" w:hint="cs"/>
          <w:sz w:val="32"/>
          <w:szCs w:val="32"/>
          <w:rtl/>
        </w:rPr>
        <w:t xml:space="preserve"> فضل صلاة الفجر في جماعة, 2/178 ح648, وكتاب التفسير, باب</w:t>
      </w:r>
      <w:r>
        <w:rPr>
          <w:rFonts w:ascii="Tahoma" w:hAnsi="Tahoma" w:hint="cs"/>
          <w:sz w:val="32"/>
          <w:szCs w:val="32"/>
          <w:rtl/>
        </w:rPr>
        <w:t>:</w:t>
      </w:r>
      <w:r w:rsidRPr="004B2102">
        <w:rPr>
          <w:rFonts w:ascii="QCF_BSML" w:hAnsi="QCF_BSML" w:cs="QCF_BSML"/>
          <w:sz w:val="32"/>
          <w:szCs w:val="32"/>
          <w:rtl/>
          <w:lang w:eastAsia="en-US"/>
        </w:rPr>
        <w:t xml:space="preserve"> </w:t>
      </w:r>
      <w:r w:rsidRPr="0045220C">
        <w:rPr>
          <w:rFonts w:ascii="QCF_BSML" w:hAnsi="QCF_BSML" w:cs="QCF_BSML"/>
          <w:rtl/>
          <w:lang w:eastAsia="en-US"/>
        </w:rPr>
        <w:t>ﭽ</w:t>
      </w:r>
      <w:r w:rsidRPr="0045220C">
        <w:rPr>
          <w:rFonts w:ascii="QCF_P290" w:hAnsi="QCF_P290" w:cs="QCF_P290"/>
          <w:rtl/>
          <w:lang w:eastAsia="en-US"/>
        </w:rPr>
        <w:t xml:space="preserve"> ﭷ   ﭸ  ﭹ</w:t>
      </w:r>
      <w:r w:rsidRPr="0045220C">
        <w:rPr>
          <w:rFonts w:ascii="QCF_P290" w:hAnsi="QCF_P290" w:cs="QCF_P290" w:hint="cs"/>
          <w:rtl/>
          <w:lang w:eastAsia="en-US"/>
        </w:rPr>
        <w:t xml:space="preserve"> </w:t>
      </w:r>
      <w:r w:rsidRPr="0045220C">
        <w:rPr>
          <w:rFonts w:ascii="QCF_P290" w:hAnsi="QCF_P290" w:cs="QCF_P290"/>
          <w:rtl/>
          <w:lang w:eastAsia="en-US"/>
        </w:rPr>
        <w:t xml:space="preserve"> ﭺ  ﭻ</w:t>
      </w:r>
      <w:r w:rsidRPr="0045220C">
        <w:rPr>
          <w:rFonts w:ascii="QCF_BSML" w:hAnsi="QCF_BSML" w:cs="QCF_BSML"/>
          <w:rtl/>
          <w:lang w:eastAsia="en-US"/>
        </w:rPr>
        <w:t>ﭼ</w:t>
      </w:r>
      <w:r w:rsidRPr="004B2102">
        <w:rPr>
          <w:rFonts w:ascii="Tahoma" w:hAnsi="Tahoma" w:hint="cs"/>
          <w:sz w:val="32"/>
          <w:szCs w:val="32"/>
          <w:rtl/>
        </w:rPr>
        <w:t xml:space="preserve">,8/507 ح4717), </w:t>
      </w:r>
      <w:r w:rsidRPr="004B2102">
        <w:rPr>
          <w:rFonts w:ascii="Tahoma" w:hAnsi="Tahoma"/>
          <w:sz w:val="32"/>
          <w:szCs w:val="32"/>
          <w:rtl/>
        </w:rPr>
        <w:t>ومسلم</w:t>
      </w:r>
      <w:r w:rsidRPr="004B2102">
        <w:rPr>
          <w:rFonts w:ascii="Tahoma" w:hAnsi="Tahoma" w:hint="cs"/>
          <w:sz w:val="32"/>
          <w:szCs w:val="32"/>
          <w:rtl/>
        </w:rPr>
        <w:t xml:space="preserve"> (كتاب المساجد, باب</w:t>
      </w:r>
      <w:r>
        <w:rPr>
          <w:rFonts w:ascii="Tahoma" w:hAnsi="Tahoma" w:hint="cs"/>
          <w:sz w:val="32"/>
          <w:szCs w:val="32"/>
          <w:rtl/>
        </w:rPr>
        <w:t>:</w:t>
      </w:r>
      <w:r w:rsidRPr="004B2102">
        <w:rPr>
          <w:rFonts w:ascii="Tahoma" w:hAnsi="Tahoma" w:hint="cs"/>
          <w:sz w:val="32"/>
          <w:szCs w:val="32"/>
          <w:rtl/>
        </w:rPr>
        <w:t xml:space="preserve"> فضل صلاة الجماعة, وبيان التشديد في التخلف عنها,5/153 ح1471).</w:t>
      </w:r>
      <w:r w:rsidRPr="004B2102">
        <w:rPr>
          <w:rFonts w:ascii="Tahoma" w:hAnsi="Tahoma"/>
          <w:sz w:val="32"/>
          <w:szCs w:val="32"/>
          <w:rtl/>
        </w:rPr>
        <w:t xml:space="preserve"> </w:t>
      </w:r>
    </w:p>
  </w:footnote>
  <w:footnote w:id="510">
    <w:p w:rsidR="003F128F" w:rsidRPr="00055498" w:rsidRDefault="003F128F" w:rsidP="002278FC">
      <w:pPr>
        <w:pStyle w:val="af3"/>
        <w:rPr>
          <w:rFonts w:ascii="Traditional Arabic" w:hAnsi="Traditional Arabic"/>
          <w:sz w:val="32"/>
          <w:szCs w:val="32"/>
        </w:rPr>
      </w:pPr>
      <w:r w:rsidRPr="00055498">
        <w:rPr>
          <w:rFonts w:ascii="Traditional Arabic" w:hAnsi="Traditional Arabic"/>
          <w:sz w:val="32"/>
          <w:szCs w:val="32"/>
          <w:rtl/>
        </w:rPr>
        <w:t>(</w:t>
      </w:r>
      <w:r w:rsidRPr="00055498">
        <w:rPr>
          <w:rStyle w:val="ae"/>
          <w:rFonts w:ascii="Traditional Arabic" w:hAnsi="Traditional Arabic"/>
          <w:sz w:val="32"/>
          <w:szCs w:val="32"/>
          <w:vertAlign w:val="baseline"/>
        </w:rPr>
        <w:footnoteRef/>
      </w:r>
      <w:r w:rsidRPr="00055498">
        <w:rPr>
          <w:rFonts w:ascii="Traditional Arabic" w:hAnsi="Traditional Arabic"/>
          <w:sz w:val="32"/>
          <w:szCs w:val="32"/>
          <w:rtl/>
        </w:rPr>
        <w:t>) أورده الواحدي في التفسير الوسيط (3/121)</w:t>
      </w:r>
      <w:r w:rsidRPr="002278FC">
        <w:rPr>
          <w:rFonts w:ascii="Traditional Arabic" w:hAnsi="Traditional Arabic"/>
          <w:sz w:val="32"/>
          <w:szCs w:val="32"/>
          <w:rtl/>
        </w:rPr>
        <w:t xml:space="preserve"> </w:t>
      </w:r>
      <w:r>
        <w:rPr>
          <w:rFonts w:ascii="Traditional Arabic" w:hAnsi="Traditional Arabic"/>
          <w:sz w:val="32"/>
          <w:szCs w:val="32"/>
          <w:rtl/>
        </w:rPr>
        <w:t xml:space="preserve">بدون </w:t>
      </w:r>
      <w:r>
        <w:rPr>
          <w:rFonts w:ascii="Traditional Arabic" w:hAnsi="Traditional Arabic" w:hint="cs"/>
          <w:sz w:val="32"/>
          <w:szCs w:val="32"/>
          <w:rtl/>
        </w:rPr>
        <w:t>إ</w:t>
      </w:r>
      <w:r>
        <w:rPr>
          <w:rFonts w:ascii="Traditional Arabic" w:hAnsi="Traditional Arabic"/>
          <w:sz w:val="32"/>
          <w:szCs w:val="32"/>
          <w:rtl/>
        </w:rPr>
        <w:t>سناد</w:t>
      </w:r>
      <w:r w:rsidRPr="00055498">
        <w:rPr>
          <w:rFonts w:ascii="Traditional Arabic" w:hAnsi="Traditional Arabic"/>
          <w:sz w:val="32"/>
          <w:szCs w:val="32"/>
          <w:rtl/>
        </w:rPr>
        <w:t>, وبنحوه ذكر الرسعني في رموز الكنوز (4/216).</w:t>
      </w:r>
    </w:p>
  </w:footnote>
  <w:footnote w:id="511">
    <w:p w:rsidR="003F128F" w:rsidRPr="00055498" w:rsidRDefault="003F128F" w:rsidP="002E7C60">
      <w:pPr>
        <w:pStyle w:val="af3"/>
        <w:rPr>
          <w:rFonts w:ascii="Traditional Arabic" w:hAnsi="Traditional Arabic"/>
          <w:sz w:val="32"/>
          <w:szCs w:val="32"/>
        </w:rPr>
      </w:pPr>
      <w:r w:rsidRPr="00055498">
        <w:rPr>
          <w:rFonts w:ascii="Traditional Arabic" w:hAnsi="Traditional Arabic"/>
          <w:sz w:val="32"/>
          <w:szCs w:val="32"/>
          <w:rtl/>
        </w:rPr>
        <w:t>(</w:t>
      </w:r>
      <w:r w:rsidRPr="00055498">
        <w:rPr>
          <w:rStyle w:val="ae"/>
          <w:rFonts w:ascii="Traditional Arabic" w:hAnsi="Traditional Arabic"/>
          <w:sz w:val="32"/>
          <w:szCs w:val="32"/>
          <w:vertAlign w:val="baseline"/>
        </w:rPr>
        <w:footnoteRef/>
      </w:r>
      <w:r>
        <w:rPr>
          <w:rFonts w:ascii="Traditional Arabic" w:hAnsi="Traditional Arabic"/>
          <w:sz w:val="32"/>
          <w:szCs w:val="32"/>
          <w:rtl/>
        </w:rPr>
        <w:t>)</w:t>
      </w:r>
      <w:r w:rsidRPr="00055498">
        <w:rPr>
          <w:rFonts w:ascii="Traditional Arabic" w:hAnsi="Traditional Arabic"/>
          <w:sz w:val="32"/>
          <w:szCs w:val="32"/>
          <w:rtl/>
        </w:rPr>
        <w:t xml:space="preserve"> هو التابعي أبو شِبْلٍ علقمة بن قيس بن عبد الله بن مالك النخعي الكوفي, فقيه الكوفة، وعالمها، ومقرئها، </w:t>
      </w:r>
      <w:r>
        <w:rPr>
          <w:rFonts w:ascii="Traditional Arabic" w:hAnsi="Traditional Arabic"/>
          <w:sz w:val="32"/>
          <w:szCs w:val="32"/>
          <w:rtl/>
        </w:rPr>
        <w:t>الإمام</w:t>
      </w:r>
      <w:r w:rsidRPr="00055498">
        <w:rPr>
          <w:rFonts w:ascii="Traditional Arabic" w:hAnsi="Traditional Arabic"/>
          <w:sz w:val="32"/>
          <w:szCs w:val="32"/>
          <w:rtl/>
        </w:rPr>
        <w:t xml:space="preserve">, الحافظ, المجوّد, المجتهد الكبير, الفقيه, عم الأسود بن يزيد, (ت61ه). انظر: سير أعلام النبلاء (5/21), إكمال تهذيب الكمال (9/271), الوافي بالوفيات (20/47). </w:t>
      </w:r>
    </w:p>
  </w:footnote>
  <w:footnote w:id="512">
    <w:p w:rsidR="003F128F" w:rsidRPr="00055498" w:rsidRDefault="003F128F" w:rsidP="00572BAE">
      <w:pPr>
        <w:pStyle w:val="af3"/>
        <w:rPr>
          <w:rFonts w:ascii="Traditional Arabic" w:hAnsi="Traditional Arabic"/>
          <w:sz w:val="32"/>
          <w:szCs w:val="32"/>
        </w:rPr>
      </w:pPr>
      <w:r w:rsidRPr="00055498">
        <w:rPr>
          <w:rFonts w:ascii="Traditional Arabic" w:hAnsi="Traditional Arabic"/>
          <w:sz w:val="32"/>
          <w:szCs w:val="32"/>
          <w:rtl/>
        </w:rPr>
        <w:t>(</w:t>
      </w:r>
      <w:r w:rsidRPr="00055498">
        <w:rPr>
          <w:rStyle w:val="ae"/>
          <w:rFonts w:ascii="Traditional Arabic" w:hAnsi="Traditional Arabic"/>
          <w:sz w:val="32"/>
          <w:szCs w:val="32"/>
          <w:vertAlign w:val="baseline"/>
        </w:rPr>
        <w:footnoteRef/>
      </w:r>
      <w:r w:rsidRPr="00055498">
        <w:rPr>
          <w:rFonts w:ascii="Traditional Arabic" w:hAnsi="Traditional Arabic"/>
          <w:sz w:val="32"/>
          <w:szCs w:val="32"/>
          <w:rtl/>
        </w:rPr>
        <w:t xml:space="preserve">) هو التابعي أبو عمرو الأسود بن يزيد بن قيس النخعي, </w:t>
      </w:r>
      <w:r>
        <w:rPr>
          <w:rFonts w:ascii="Traditional Arabic" w:hAnsi="Traditional Arabic"/>
          <w:sz w:val="32"/>
          <w:szCs w:val="32"/>
          <w:rtl/>
        </w:rPr>
        <w:t>الإمام</w:t>
      </w:r>
      <w:r w:rsidRPr="00055498">
        <w:rPr>
          <w:rFonts w:ascii="Traditional Arabic" w:hAnsi="Traditional Arabic"/>
          <w:sz w:val="32"/>
          <w:szCs w:val="32"/>
          <w:rtl/>
        </w:rPr>
        <w:t>، القدوة، الكوفي, كان مخضرماً، أدرك الجاهلية والإسلام</w:t>
      </w:r>
      <w:r w:rsidRPr="00055498">
        <w:rPr>
          <w:rFonts w:ascii="Traditional Arabic" w:hAnsi="Traditional Arabic"/>
          <w:b/>
          <w:bCs/>
          <w:sz w:val="32"/>
          <w:szCs w:val="32"/>
          <w:rtl/>
        </w:rPr>
        <w:t xml:space="preserve">, </w:t>
      </w:r>
      <w:r w:rsidRPr="00055498">
        <w:rPr>
          <w:rFonts w:ascii="Traditional Arabic" w:hAnsi="Traditional Arabic"/>
          <w:sz w:val="32"/>
          <w:szCs w:val="32"/>
          <w:rtl/>
        </w:rPr>
        <w:t>يضرب به المثل في العبادة, (ت75ه). انظر: تهذيب الكمال (3/233), سير أعلام النبلاء (4/50), الوافي بالوفيات (9/152).</w:t>
      </w:r>
    </w:p>
  </w:footnote>
  <w:footnote w:id="513">
    <w:p w:rsidR="003F128F" w:rsidRPr="00055498" w:rsidRDefault="003F128F" w:rsidP="00B72410">
      <w:pPr>
        <w:pStyle w:val="af3"/>
        <w:rPr>
          <w:rFonts w:ascii="Traditional Arabic" w:hAnsi="Traditional Arabic"/>
          <w:sz w:val="32"/>
          <w:szCs w:val="32"/>
        </w:rPr>
      </w:pPr>
      <w:r w:rsidRPr="00055498">
        <w:rPr>
          <w:rFonts w:ascii="Traditional Arabic" w:hAnsi="Traditional Arabic"/>
          <w:sz w:val="32"/>
          <w:szCs w:val="32"/>
          <w:rtl/>
        </w:rPr>
        <w:t>(</w:t>
      </w:r>
      <w:r w:rsidRPr="00055498">
        <w:rPr>
          <w:rStyle w:val="ae"/>
          <w:rFonts w:ascii="Traditional Arabic" w:hAnsi="Traditional Arabic"/>
          <w:sz w:val="32"/>
          <w:szCs w:val="32"/>
          <w:vertAlign w:val="baseline"/>
        </w:rPr>
        <w:footnoteRef/>
      </w:r>
      <w:r>
        <w:rPr>
          <w:rFonts w:ascii="Traditional Arabic" w:hAnsi="Traditional Arabic"/>
          <w:sz w:val="32"/>
          <w:szCs w:val="32"/>
          <w:rtl/>
        </w:rPr>
        <w:t>)</w:t>
      </w:r>
      <w:r w:rsidRPr="00055498">
        <w:rPr>
          <w:rFonts w:ascii="Traditional Arabic" w:hAnsi="Traditional Arabic"/>
          <w:sz w:val="32"/>
          <w:szCs w:val="32"/>
          <w:rtl/>
        </w:rPr>
        <w:t xml:space="preserve"> قول مجاهد ذكره الواحدي في التفسير الوسيط (3/121), وأما قول علقمة والأسود فقد أخرجه ابن جرير (17/524), و</w:t>
      </w:r>
      <w:r>
        <w:rPr>
          <w:rFonts w:ascii="Traditional Arabic" w:hAnsi="Traditional Arabic" w:hint="cs"/>
          <w:sz w:val="32"/>
          <w:szCs w:val="32"/>
          <w:rtl/>
        </w:rPr>
        <w:t>ذكره</w:t>
      </w:r>
      <w:r w:rsidRPr="00055498">
        <w:rPr>
          <w:rFonts w:ascii="Traditional Arabic" w:hAnsi="Traditional Arabic"/>
          <w:sz w:val="32"/>
          <w:szCs w:val="32"/>
          <w:rtl/>
        </w:rPr>
        <w:t xml:space="preserve"> السيوطي</w:t>
      </w:r>
      <w:r w:rsidRPr="00B72410">
        <w:rPr>
          <w:rFonts w:ascii="Traditional Arabic" w:hAnsi="Traditional Arabic"/>
          <w:sz w:val="32"/>
          <w:szCs w:val="32"/>
          <w:rtl/>
        </w:rPr>
        <w:t xml:space="preserve"> </w:t>
      </w:r>
      <w:r w:rsidRPr="00055498">
        <w:rPr>
          <w:rFonts w:ascii="Traditional Arabic" w:hAnsi="Traditional Arabic"/>
          <w:sz w:val="32"/>
          <w:szCs w:val="32"/>
          <w:rtl/>
        </w:rPr>
        <w:t>الدر</w:t>
      </w:r>
      <w:r>
        <w:rPr>
          <w:rFonts w:ascii="Traditional Arabic" w:hAnsi="Traditional Arabic" w:hint="cs"/>
          <w:sz w:val="32"/>
          <w:szCs w:val="32"/>
          <w:rtl/>
        </w:rPr>
        <w:t xml:space="preserve"> المنثور</w:t>
      </w:r>
      <w:r w:rsidRPr="00055498">
        <w:rPr>
          <w:rFonts w:ascii="Traditional Arabic" w:hAnsi="Traditional Arabic"/>
          <w:sz w:val="32"/>
          <w:szCs w:val="32"/>
          <w:rtl/>
        </w:rPr>
        <w:t xml:space="preserve"> (</w:t>
      </w:r>
      <w:r>
        <w:rPr>
          <w:rFonts w:ascii="Traditional Arabic" w:hAnsi="Traditional Arabic" w:hint="cs"/>
          <w:sz w:val="32"/>
          <w:szCs w:val="32"/>
          <w:rtl/>
        </w:rPr>
        <w:t>5/323</w:t>
      </w:r>
      <w:r>
        <w:rPr>
          <w:rFonts w:ascii="Traditional Arabic" w:hAnsi="Traditional Arabic"/>
          <w:sz w:val="32"/>
          <w:szCs w:val="32"/>
          <w:rtl/>
        </w:rPr>
        <w:t>)</w:t>
      </w:r>
      <w:r w:rsidRPr="00055498">
        <w:rPr>
          <w:rFonts w:ascii="Traditional Arabic" w:hAnsi="Traditional Arabic"/>
          <w:sz w:val="32"/>
          <w:szCs w:val="32"/>
          <w:rtl/>
        </w:rPr>
        <w:t xml:space="preserve"> </w:t>
      </w:r>
      <w:r>
        <w:rPr>
          <w:rFonts w:ascii="Traditional Arabic" w:hAnsi="Traditional Arabic" w:hint="cs"/>
          <w:sz w:val="32"/>
          <w:szCs w:val="32"/>
          <w:rtl/>
        </w:rPr>
        <w:t xml:space="preserve">وزاد نسبته </w:t>
      </w:r>
      <w:r>
        <w:rPr>
          <w:rFonts w:ascii="Traditional Arabic" w:hAnsi="Traditional Arabic"/>
          <w:sz w:val="32"/>
          <w:szCs w:val="32"/>
          <w:rtl/>
        </w:rPr>
        <w:t>لابن المنذر ومحمد بن نصر</w:t>
      </w:r>
      <w:r>
        <w:rPr>
          <w:rFonts w:ascii="Traditional Arabic" w:hAnsi="Traditional Arabic" w:hint="cs"/>
          <w:sz w:val="32"/>
          <w:szCs w:val="32"/>
          <w:rtl/>
        </w:rPr>
        <w:t>.</w:t>
      </w:r>
    </w:p>
  </w:footnote>
  <w:footnote w:id="514">
    <w:p w:rsidR="003F128F" w:rsidRPr="00055498" w:rsidRDefault="003F128F" w:rsidP="00114E12">
      <w:pPr>
        <w:pStyle w:val="af3"/>
        <w:rPr>
          <w:rFonts w:ascii="Traditional Arabic" w:hAnsi="Traditional Arabic"/>
          <w:sz w:val="32"/>
          <w:szCs w:val="32"/>
        </w:rPr>
      </w:pPr>
      <w:r w:rsidRPr="00055498">
        <w:rPr>
          <w:rFonts w:ascii="Traditional Arabic" w:hAnsi="Traditional Arabic"/>
          <w:sz w:val="32"/>
          <w:szCs w:val="32"/>
          <w:rtl/>
        </w:rPr>
        <w:t>(</w:t>
      </w:r>
      <w:r w:rsidRPr="00055498">
        <w:rPr>
          <w:rStyle w:val="ae"/>
          <w:rFonts w:ascii="Traditional Arabic" w:hAnsi="Traditional Arabic"/>
          <w:sz w:val="32"/>
          <w:szCs w:val="32"/>
          <w:vertAlign w:val="baseline"/>
        </w:rPr>
        <w:footnoteRef/>
      </w:r>
      <w:r>
        <w:rPr>
          <w:rFonts w:ascii="Traditional Arabic" w:hAnsi="Traditional Arabic"/>
          <w:sz w:val="32"/>
          <w:szCs w:val="32"/>
          <w:rtl/>
        </w:rPr>
        <w:t>)</w:t>
      </w:r>
      <w:r w:rsidRPr="00055498">
        <w:rPr>
          <w:rFonts w:ascii="Traditional Arabic" w:hAnsi="Traditional Arabic"/>
          <w:sz w:val="32"/>
          <w:szCs w:val="32"/>
          <w:rtl/>
        </w:rPr>
        <w:t xml:space="preserve"> انظر: غريب القرآن (</w:t>
      </w:r>
      <w:r>
        <w:rPr>
          <w:rFonts w:ascii="Traditional Arabic" w:hAnsi="Traditional Arabic" w:hint="cs"/>
          <w:sz w:val="32"/>
          <w:szCs w:val="32"/>
          <w:rtl/>
        </w:rPr>
        <w:t>ص</w:t>
      </w:r>
      <w:r w:rsidRPr="00055498">
        <w:rPr>
          <w:rFonts w:ascii="Traditional Arabic" w:hAnsi="Traditional Arabic"/>
          <w:sz w:val="32"/>
          <w:szCs w:val="32"/>
          <w:rtl/>
        </w:rPr>
        <w:t>260).</w:t>
      </w:r>
    </w:p>
  </w:footnote>
  <w:footnote w:id="515">
    <w:p w:rsidR="003F128F" w:rsidRPr="00055498" w:rsidRDefault="003F128F" w:rsidP="002278FC">
      <w:pPr>
        <w:pStyle w:val="af3"/>
        <w:rPr>
          <w:rFonts w:ascii="Traditional Arabic" w:hAnsi="Traditional Arabic"/>
          <w:sz w:val="32"/>
          <w:szCs w:val="32"/>
        </w:rPr>
      </w:pPr>
      <w:r w:rsidRPr="00055498">
        <w:rPr>
          <w:rFonts w:ascii="Traditional Arabic" w:hAnsi="Traditional Arabic"/>
          <w:sz w:val="32"/>
          <w:szCs w:val="32"/>
          <w:rtl/>
        </w:rPr>
        <w:t>(</w:t>
      </w:r>
      <w:r w:rsidRPr="00055498">
        <w:rPr>
          <w:rStyle w:val="ae"/>
          <w:rFonts w:ascii="Traditional Arabic" w:hAnsi="Traditional Arabic"/>
          <w:sz w:val="32"/>
          <w:szCs w:val="32"/>
          <w:vertAlign w:val="baseline"/>
        </w:rPr>
        <w:footnoteRef/>
      </w:r>
      <w:r>
        <w:rPr>
          <w:rFonts w:ascii="Traditional Arabic" w:hAnsi="Traditional Arabic"/>
          <w:sz w:val="32"/>
          <w:szCs w:val="32"/>
          <w:rtl/>
        </w:rPr>
        <w:t>)</w:t>
      </w:r>
      <w:r w:rsidRPr="00055498">
        <w:rPr>
          <w:rFonts w:ascii="Traditional Arabic" w:hAnsi="Traditional Arabic"/>
          <w:sz w:val="32"/>
          <w:szCs w:val="32"/>
          <w:rtl/>
        </w:rPr>
        <w:t xml:space="preserve"> </w:t>
      </w:r>
      <w:r>
        <w:rPr>
          <w:rFonts w:ascii="Traditional Arabic" w:hAnsi="Traditional Arabic" w:hint="cs"/>
          <w:sz w:val="32"/>
          <w:szCs w:val="32"/>
          <w:rtl/>
        </w:rPr>
        <w:t>انظر: الأضداد لابن الأنباري (ص51).</w:t>
      </w:r>
    </w:p>
  </w:footnote>
  <w:footnote w:id="516">
    <w:p w:rsidR="003F128F" w:rsidRPr="00060542" w:rsidRDefault="003F128F" w:rsidP="002E6E7F">
      <w:pPr>
        <w:pStyle w:val="af3"/>
        <w:rPr>
          <w:rFonts w:ascii="Tahoma" w:hAnsi="Tahoma"/>
        </w:rPr>
      </w:pPr>
      <w:r w:rsidRPr="00055498">
        <w:rPr>
          <w:rFonts w:ascii="Traditional Arabic" w:hAnsi="Traditional Arabic"/>
          <w:sz w:val="32"/>
          <w:szCs w:val="32"/>
          <w:rtl/>
        </w:rPr>
        <w:t>(</w:t>
      </w:r>
      <w:r w:rsidRPr="00055498">
        <w:rPr>
          <w:rStyle w:val="ae"/>
          <w:rFonts w:ascii="Traditional Arabic" w:hAnsi="Traditional Arabic"/>
          <w:sz w:val="32"/>
          <w:szCs w:val="32"/>
          <w:vertAlign w:val="baseline"/>
        </w:rPr>
        <w:footnoteRef/>
      </w:r>
      <w:r w:rsidRPr="00055498">
        <w:rPr>
          <w:rFonts w:ascii="Traditional Arabic" w:hAnsi="Traditional Arabic"/>
          <w:sz w:val="32"/>
          <w:szCs w:val="32"/>
          <w:rtl/>
        </w:rPr>
        <w:t>)</w:t>
      </w:r>
      <w:r>
        <w:rPr>
          <w:rFonts w:ascii="Tahoma" w:hAnsi="Tahoma"/>
          <w:sz w:val="32"/>
          <w:szCs w:val="32"/>
          <w:rtl/>
        </w:rPr>
        <w:t xml:space="preserve"> </w:t>
      </w:r>
      <w:r w:rsidRPr="00D6150F">
        <w:rPr>
          <w:rFonts w:ascii="Tahoma" w:hAnsi="Tahoma" w:hint="cs"/>
          <w:sz w:val="32"/>
          <w:szCs w:val="32"/>
          <w:rtl/>
        </w:rPr>
        <w:t xml:space="preserve">هو أبو أمامة </w:t>
      </w:r>
      <w:r w:rsidRPr="00D6150F">
        <w:rPr>
          <w:rFonts w:ascii="Tahoma" w:hAnsi="Tahoma"/>
          <w:sz w:val="32"/>
          <w:szCs w:val="32"/>
          <w:rtl/>
        </w:rPr>
        <w:t>زياد بن معاوية بن ضباب الذبيانيّ</w:t>
      </w:r>
      <w:r>
        <w:rPr>
          <w:rFonts w:ascii="Tahoma" w:hAnsi="Tahoma" w:hint="cs"/>
          <w:sz w:val="32"/>
          <w:szCs w:val="32"/>
          <w:rtl/>
        </w:rPr>
        <w:t>,</w:t>
      </w:r>
      <w:r w:rsidRPr="00D6150F">
        <w:rPr>
          <w:rFonts w:ascii="Tahoma" w:hAnsi="Tahoma"/>
          <w:sz w:val="32"/>
          <w:szCs w:val="32"/>
          <w:rtl/>
        </w:rPr>
        <w:t xml:space="preserve"> الغطفانيّ</w:t>
      </w:r>
      <w:r>
        <w:rPr>
          <w:rFonts w:ascii="Tahoma" w:hAnsi="Tahoma" w:hint="cs"/>
          <w:sz w:val="32"/>
          <w:szCs w:val="32"/>
          <w:rtl/>
        </w:rPr>
        <w:t>,</w:t>
      </w:r>
      <w:r w:rsidRPr="00D6150F">
        <w:rPr>
          <w:rFonts w:ascii="Tahoma" w:hAnsi="Tahoma"/>
          <w:sz w:val="32"/>
          <w:szCs w:val="32"/>
          <w:rtl/>
        </w:rPr>
        <w:t xml:space="preserve"> المضري،</w:t>
      </w:r>
      <w:r>
        <w:rPr>
          <w:rFonts w:ascii="Tahoma" w:hAnsi="Tahoma" w:hint="cs"/>
          <w:sz w:val="32"/>
          <w:szCs w:val="32"/>
          <w:rtl/>
        </w:rPr>
        <w:t xml:space="preserve"> النابغة,</w:t>
      </w:r>
      <w:r w:rsidRPr="00D6150F">
        <w:rPr>
          <w:rFonts w:ascii="Tahoma" w:hAnsi="Tahoma"/>
          <w:sz w:val="32"/>
          <w:szCs w:val="32"/>
          <w:rtl/>
        </w:rPr>
        <w:t xml:space="preserve"> </w:t>
      </w:r>
      <w:r>
        <w:rPr>
          <w:rFonts w:ascii="Tahoma" w:hAnsi="Tahoma"/>
          <w:sz w:val="32"/>
          <w:szCs w:val="32"/>
          <w:rtl/>
        </w:rPr>
        <w:t>شاعر جاهلي، من الطبقة الأولى</w:t>
      </w:r>
      <w:r>
        <w:rPr>
          <w:rFonts w:ascii="Tahoma" w:hAnsi="Tahoma" w:hint="cs"/>
          <w:sz w:val="32"/>
          <w:szCs w:val="32"/>
          <w:rtl/>
        </w:rPr>
        <w:t>,</w:t>
      </w:r>
      <w:r>
        <w:rPr>
          <w:rFonts w:ascii="Tahoma" w:hAnsi="Tahoma"/>
          <w:sz w:val="32"/>
          <w:szCs w:val="32"/>
          <w:rtl/>
        </w:rPr>
        <w:t xml:space="preserve"> من </w:t>
      </w:r>
      <w:r>
        <w:rPr>
          <w:rFonts w:ascii="Tahoma" w:hAnsi="Tahoma" w:hint="cs"/>
          <w:sz w:val="32"/>
          <w:szCs w:val="32"/>
          <w:rtl/>
        </w:rPr>
        <w:t>أ</w:t>
      </w:r>
      <w:r w:rsidRPr="00D6150F">
        <w:rPr>
          <w:rFonts w:ascii="Tahoma" w:hAnsi="Tahoma"/>
          <w:sz w:val="32"/>
          <w:szCs w:val="32"/>
          <w:rtl/>
        </w:rPr>
        <w:t>هل</w:t>
      </w:r>
      <w:r w:rsidRPr="00D6150F">
        <w:rPr>
          <w:rFonts w:ascii="Tahoma" w:hAnsi="Tahoma" w:hint="cs"/>
          <w:sz w:val="32"/>
          <w:szCs w:val="32"/>
          <w:rtl/>
        </w:rPr>
        <w:t xml:space="preserve"> </w:t>
      </w:r>
      <w:r w:rsidRPr="00D6150F">
        <w:rPr>
          <w:rFonts w:ascii="Tahoma" w:hAnsi="Tahoma"/>
          <w:sz w:val="32"/>
          <w:szCs w:val="32"/>
          <w:rtl/>
        </w:rPr>
        <w:t>الحجاز</w:t>
      </w:r>
      <w:r w:rsidRPr="00D6150F">
        <w:rPr>
          <w:rFonts w:ascii="Tahoma" w:hAnsi="Tahoma" w:hint="cs"/>
          <w:sz w:val="32"/>
          <w:szCs w:val="32"/>
          <w:rtl/>
        </w:rPr>
        <w:t>, (ت18ق ه). انظر: تاريخ ابن أبي خيثمة (1/582), الأعلام (3/55).</w:t>
      </w:r>
    </w:p>
  </w:footnote>
  <w:footnote w:id="517">
    <w:p w:rsidR="003F128F" w:rsidRPr="0045220C" w:rsidRDefault="003F128F" w:rsidP="00B72410">
      <w:pPr>
        <w:pStyle w:val="af3"/>
        <w:rPr>
          <w:rFonts w:ascii="Traditional Arabic" w:hAnsi="Traditional Arabic"/>
          <w:sz w:val="32"/>
          <w:szCs w:val="32"/>
        </w:rPr>
      </w:pPr>
      <w:r w:rsidRPr="0045220C">
        <w:rPr>
          <w:rFonts w:ascii="Traditional Arabic" w:hAnsi="Traditional Arabic"/>
          <w:sz w:val="32"/>
          <w:szCs w:val="32"/>
          <w:rtl/>
        </w:rPr>
        <w:t>(</w:t>
      </w:r>
      <w:r w:rsidRPr="0045220C">
        <w:rPr>
          <w:rStyle w:val="ae"/>
          <w:rFonts w:ascii="Traditional Arabic" w:hAnsi="Traditional Arabic"/>
          <w:sz w:val="32"/>
          <w:szCs w:val="32"/>
          <w:vertAlign w:val="baseline"/>
        </w:rPr>
        <w:footnoteRef/>
      </w:r>
      <w:r>
        <w:rPr>
          <w:rFonts w:ascii="Traditional Arabic" w:hAnsi="Traditional Arabic"/>
          <w:sz w:val="32"/>
          <w:szCs w:val="32"/>
          <w:rtl/>
        </w:rPr>
        <w:t>)</w:t>
      </w:r>
      <w:r w:rsidRPr="0045220C">
        <w:rPr>
          <w:rFonts w:ascii="Traditional Arabic" w:hAnsi="Traditional Arabic"/>
          <w:sz w:val="32"/>
          <w:szCs w:val="32"/>
          <w:rtl/>
        </w:rPr>
        <w:t xml:space="preserve"> </w:t>
      </w:r>
      <w:r>
        <w:rPr>
          <w:rFonts w:ascii="Traditional Arabic" w:hAnsi="Traditional Arabic"/>
          <w:sz w:val="32"/>
          <w:szCs w:val="32"/>
          <w:rtl/>
          <w:lang w:eastAsia="en-US"/>
        </w:rPr>
        <w:t xml:space="preserve">في </w:t>
      </w:r>
      <w:r>
        <w:rPr>
          <w:rFonts w:ascii="Traditional Arabic" w:hAnsi="Traditional Arabic" w:hint="cs"/>
          <w:sz w:val="32"/>
          <w:szCs w:val="32"/>
          <w:rtl/>
          <w:lang w:eastAsia="en-US"/>
        </w:rPr>
        <w:t>الأصل</w:t>
      </w:r>
      <w:r>
        <w:rPr>
          <w:rFonts w:ascii="Traditional Arabic" w:hAnsi="Traditional Arabic"/>
          <w:sz w:val="32"/>
          <w:szCs w:val="32"/>
          <w:rtl/>
          <w:lang w:eastAsia="en-US"/>
        </w:rPr>
        <w:t xml:space="preserve">: </w:t>
      </w:r>
      <w:r>
        <w:rPr>
          <w:rFonts w:ascii="Traditional Arabic" w:hAnsi="Traditional Arabic" w:hint="cs"/>
          <w:sz w:val="32"/>
          <w:szCs w:val="32"/>
          <w:rtl/>
          <w:lang w:eastAsia="en-US"/>
        </w:rPr>
        <w:t>[</w:t>
      </w:r>
      <w:r>
        <w:rPr>
          <w:rFonts w:ascii="Traditional Arabic" w:hAnsi="Traditional Arabic"/>
          <w:sz w:val="32"/>
          <w:szCs w:val="32"/>
          <w:rtl/>
          <w:lang w:eastAsia="en-US"/>
        </w:rPr>
        <w:t>وتخاله</w:t>
      </w:r>
      <w:r>
        <w:rPr>
          <w:rFonts w:ascii="Traditional Arabic" w:hAnsi="Traditional Arabic" w:hint="cs"/>
          <w:sz w:val="32"/>
          <w:szCs w:val="32"/>
          <w:rtl/>
          <w:lang w:eastAsia="en-US"/>
        </w:rPr>
        <w:t>], والمثبت من (ك) وهو موافق لما في ديوان النابغة.</w:t>
      </w:r>
    </w:p>
  </w:footnote>
  <w:footnote w:id="518">
    <w:p w:rsidR="003F128F" w:rsidRPr="009C2A37" w:rsidRDefault="003F128F" w:rsidP="00BE31B0">
      <w:pPr>
        <w:pStyle w:val="af3"/>
        <w:rPr>
          <w:rFonts w:ascii="Tahoma" w:hAnsi="Tahoma"/>
          <w:sz w:val="32"/>
          <w:szCs w:val="32"/>
        </w:rPr>
      </w:pPr>
      <w:r w:rsidRPr="0045220C">
        <w:rPr>
          <w:rFonts w:ascii="Traditional Arabic" w:hAnsi="Traditional Arabic"/>
          <w:sz w:val="32"/>
          <w:szCs w:val="32"/>
          <w:rtl/>
        </w:rPr>
        <w:t>(</w:t>
      </w:r>
      <w:r w:rsidRPr="0045220C">
        <w:rPr>
          <w:rStyle w:val="ae"/>
          <w:rFonts w:ascii="Traditional Arabic" w:hAnsi="Traditional Arabic"/>
          <w:sz w:val="32"/>
          <w:szCs w:val="32"/>
          <w:vertAlign w:val="baseline"/>
        </w:rPr>
        <w:footnoteRef/>
      </w:r>
      <w:r w:rsidRPr="0045220C">
        <w:rPr>
          <w:rFonts w:ascii="Traditional Arabic" w:hAnsi="Traditional Arabic"/>
          <w:sz w:val="32"/>
          <w:szCs w:val="32"/>
          <w:rtl/>
        </w:rPr>
        <w:t>)</w:t>
      </w:r>
      <w:r>
        <w:rPr>
          <w:rFonts w:ascii="Traditional Arabic" w:hAnsi="Traditional Arabic" w:hint="cs"/>
          <w:sz w:val="32"/>
          <w:szCs w:val="32"/>
          <w:rtl/>
        </w:rPr>
        <w:t xml:space="preserve"> </w:t>
      </w:r>
      <w:r w:rsidRPr="009C2A37">
        <w:rPr>
          <w:rFonts w:ascii="Tahoma" w:hAnsi="Tahoma" w:hint="cs"/>
          <w:sz w:val="32"/>
          <w:szCs w:val="32"/>
          <w:rtl/>
        </w:rPr>
        <w:t>انظر: ديوان النابغة (ص96).</w:t>
      </w:r>
      <w:r w:rsidRPr="009C2A37">
        <w:rPr>
          <w:rFonts w:ascii="Tahoma" w:hAnsi="Tahoma"/>
          <w:sz w:val="32"/>
          <w:szCs w:val="32"/>
          <w:rtl/>
        </w:rPr>
        <w:t xml:space="preserve"> </w:t>
      </w:r>
    </w:p>
  </w:footnote>
  <w:footnote w:id="519">
    <w:p w:rsidR="003F128F" w:rsidRPr="00813936" w:rsidRDefault="003F128F" w:rsidP="00AD2696">
      <w:pPr>
        <w:pStyle w:val="af3"/>
        <w:rPr>
          <w:rFonts w:ascii="Traditional Arabic" w:hAnsi="Traditional Arabic"/>
          <w:sz w:val="32"/>
          <w:szCs w:val="32"/>
          <w:rtl/>
        </w:rPr>
      </w:pPr>
      <w:r w:rsidRPr="00813936">
        <w:rPr>
          <w:rFonts w:ascii="Traditional Arabic" w:hAnsi="Traditional Arabic"/>
          <w:sz w:val="32"/>
          <w:szCs w:val="32"/>
          <w:rtl/>
        </w:rPr>
        <w:t>(</w:t>
      </w:r>
      <w:r w:rsidRPr="00813936">
        <w:rPr>
          <w:rStyle w:val="ae"/>
          <w:rFonts w:ascii="Traditional Arabic" w:hAnsi="Traditional Arabic"/>
          <w:sz w:val="32"/>
          <w:szCs w:val="32"/>
          <w:vertAlign w:val="baseline"/>
        </w:rPr>
        <w:footnoteRef/>
      </w:r>
      <w:r w:rsidRPr="00813936">
        <w:rPr>
          <w:rFonts w:ascii="Traditional Arabic" w:hAnsi="Traditional Arabic"/>
          <w:sz w:val="32"/>
          <w:szCs w:val="32"/>
          <w:rtl/>
        </w:rPr>
        <w:t xml:space="preserve">) هو صاحب رسول الله </w:t>
      </w:r>
      <w:r w:rsidRPr="00813936">
        <w:rPr>
          <w:rFonts w:ascii="Traditional Arabic" w:hAnsi="Traditional Arabic"/>
          <w:sz w:val="32"/>
          <w:szCs w:val="32"/>
        </w:rPr>
        <w:sym w:font="AGA Arabesque" w:char="F072"/>
      </w:r>
      <w:r w:rsidRPr="00813936">
        <w:rPr>
          <w:rFonts w:ascii="Traditional Arabic" w:hAnsi="Traditional Arabic"/>
          <w:sz w:val="32"/>
          <w:szCs w:val="32"/>
          <w:rtl/>
        </w:rPr>
        <w:t xml:space="preserve"> الشاعر, أبو عقيل لبيد ب</w:t>
      </w:r>
      <w:r>
        <w:rPr>
          <w:rFonts w:ascii="Traditional Arabic" w:hAnsi="Traditional Arabic"/>
          <w:sz w:val="32"/>
          <w:szCs w:val="32"/>
          <w:rtl/>
        </w:rPr>
        <w:t>ن ربيعة بن مالك بن جعف</w:t>
      </w:r>
      <w:r w:rsidRPr="00813936">
        <w:rPr>
          <w:rFonts w:ascii="Traditional Arabic" w:hAnsi="Traditional Arabic"/>
          <w:sz w:val="32"/>
          <w:szCs w:val="32"/>
          <w:rtl/>
        </w:rPr>
        <w:t>ر الهوزاني العامري,</w:t>
      </w:r>
      <w:r>
        <w:rPr>
          <w:rFonts w:ascii="Traditional Arabic" w:hAnsi="Traditional Arabic"/>
          <w:sz w:val="32"/>
          <w:szCs w:val="32"/>
          <w:rtl/>
        </w:rPr>
        <w:t xml:space="preserve"> كان فار</w:t>
      </w:r>
      <w:r w:rsidRPr="00813936">
        <w:rPr>
          <w:rFonts w:ascii="Traditional Arabic" w:hAnsi="Traditional Arabic"/>
          <w:sz w:val="32"/>
          <w:szCs w:val="32"/>
          <w:rtl/>
        </w:rPr>
        <w:t>سًا شجاعا,</w:t>
      </w:r>
      <w:r>
        <w:rPr>
          <w:rFonts w:ascii="Traditional Arabic" w:hAnsi="Traditional Arabic"/>
          <w:sz w:val="32"/>
          <w:szCs w:val="32"/>
          <w:rtl/>
        </w:rPr>
        <w:t xml:space="preserve"> وكان عذب ال</w:t>
      </w:r>
      <w:r w:rsidRPr="00813936">
        <w:rPr>
          <w:rFonts w:ascii="Traditional Arabic" w:hAnsi="Traditional Arabic"/>
          <w:sz w:val="32"/>
          <w:szCs w:val="32"/>
          <w:rtl/>
        </w:rPr>
        <w:t>منطق,</w:t>
      </w:r>
      <w:r>
        <w:rPr>
          <w:rFonts w:ascii="Traditional Arabic" w:hAnsi="Traditional Arabic"/>
          <w:sz w:val="32"/>
          <w:szCs w:val="32"/>
          <w:rtl/>
        </w:rPr>
        <w:t xml:space="preserve"> ولم يقل لبيد في ال</w:t>
      </w:r>
      <w:r w:rsidRPr="00813936">
        <w:rPr>
          <w:rFonts w:ascii="Traditional Arabic" w:hAnsi="Traditional Arabic"/>
          <w:sz w:val="32"/>
          <w:szCs w:val="32"/>
          <w:rtl/>
        </w:rPr>
        <w:t>إِس</w:t>
      </w:r>
      <w:r>
        <w:rPr>
          <w:rFonts w:ascii="Traditional Arabic" w:hAnsi="Traditional Arabic"/>
          <w:sz w:val="32"/>
          <w:szCs w:val="32"/>
          <w:rtl/>
        </w:rPr>
        <w:t>لام شِعرًا وقال: أَبدل</w:t>
      </w:r>
      <w:r w:rsidRPr="00813936">
        <w:rPr>
          <w:rFonts w:ascii="Traditional Arabic" w:hAnsi="Traditional Arabic"/>
          <w:sz w:val="32"/>
          <w:szCs w:val="32"/>
          <w:rtl/>
        </w:rPr>
        <w:t>ن</w:t>
      </w:r>
      <w:r>
        <w:rPr>
          <w:rFonts w:ascii="Traditional Arabic" w:hAnsi="Traditional Arabic"/>
          <w:sz w:val="32"/>
          <w:szCs w:val="32"/>
          <w:rtl/>
        </w:rPr>
        <w:t>ي اللَّه بذلك القرآن</w:t>
      </w:r>
      <w:r w:rsidRPr="00813936">
        <w:rPr>
          <w:rFonts w:ascii="Traditional Arabic" w:hAnsi="Traditional Arabic"/>
          <w:sz w:val="32"/>
          <w:szCs w:val="32"/>
          <w:rtl/>
        </w:rPr>
        <w:t>, (ت50ه). انظر: طبقات فحول الشعراء للجمحي (1/135), تاريخ الاسلام للذهبي (2/436).</w:t>
      </w:r>
    </w:p>
  </w:footnote>
  <w:footnote w:id="520">
    <w:p w:rsidR="003F128F" w:rsidRPr="00813936" w:rsidRDefault="003F128F" w:rsidP="002278FC">
      <w:pPr>
        <w:pStyle w:val="af3"/>
        <w:rPr>
          <w:rFonts w:ascii="Traditional Arabic" w:hAnsi="Traditional Arabic"/>
          <w:sz w:val="32"/>
          <w:szCs w:val="32"/>
        </w:rPr>
      </w:pPr>
      <w:r w:rsidRPr="00813936">
        <w:rPr>
          <w:rFonts w:ascii="Traditional Arabic" w:hAnsi="Traditional Arabic"/>
          <w:sz w:val="32"/>
          <w:szCs w:val="32"/>
          <w:rtl/>
        </w:rPr>
        <w:t>(</w:t>
      </w:r>
      <w:r w:rsidRPr="00813936">
        <w:rPr>
          <w:rStyle w:val="ae"/>
          <w:rFonts w:ascii="Traditional Arabic" w:hAnsi="Traditional Arabic"/>
          <w:sz w:val="32"/>
          <w:szCs w:val="32"/>
          <w:vertAlign w:val="baseline"/>
        </w:rPr>
        <w:footnoteRef/>
      </w:r>
      <w:r>
        <w:rPr>
          <w:rFonts w:ascii="Traditional Arabic" w:hAnsi="Traditional Arabic"/>
          <w:sz w:val="32"/>
          <w:szCs w:val="32"/>
          <w:rtl/>
        </w:rPr>
        <w:t xml:space="preserve">) </w:t>
      </w:r>
      <w:r w:rsidRPr="00813936">
        <w:rPr>
          <w:rFonts w:ascii="Traditional Arabic" w:hAnsi="Traditional Arabic"/>
          <w:sz w:val="32"/>
          <w:szCs w:val="32"/>
          <w:rtl/>
        </w:rPr>
        <w:t>ديوان لبيد, (ص92).</w:t>
      </w:r>
    </w:p>
  </w:footnote>
  <w:footnote w:id="521">
    <w:p w:rsidR="003F128F" w:rsidRPr="00A6628C" w:rsidRDefault="003F128F" w:rsidP="00AD2696">
      <w:pPr>
        <w:pStyle w:val="af3"/>
        <w:rPr>
          <w:rFonts w:ascii="Traditional Arabic" w:hAnsi="Traditional Arabic"/>
          <w:sz w:val="32"/>
          <w:szCs w:val="32"/>
        </w:rPr>
      </w:pPr>
      <w:r w:rsidRPr="00A6628C">
        <w:rPr>
          <w:rFonts w:ascii="Traditional Arabic" w:hAnsi="Traditional Arabic"/>
          <w:sz w:val="32"/>
          <w:szCs w:val="32"/>
          <w:rtl/>
        </w:rPr>
        <w:t>(</w:t>
      </w:r>
      <w:r w:rsidRPr="00A6628C">
        <w:rPr>
          <w:rStyle w:val="ae"/>
          <w:rFonts w:ascii="Traditional Arabic" w:hAnsi="Traditional Arabic"/>
          <w:sz w:val="32"/>
          <w:szCs w:val="32"/>
          <w:vertAlign w:val="baseline"/>
        </w:rPr>
        <w:footnoteRef/>
      </w:r>
      <w:r w:rsidRPr="00A6628C">
        <w:rPr>
          <w:rFonts w:ascii="Traditional Arabic" w:hAnsi="Traditional Arabic"/>
          <w:sz w:val="32"/>
          <w:szCs w:val="32"/>
          <w:rtl/>
        </w:rPr>
        <w:t xml:space="preserve">) انظر: تهذيب اللغة للأزهري (6/26). </w:t>
      </w:r>
    </w:p>
  </w:footnote>
  <w:footnote w:id="522">
    <w:p w:rsidR="003F128F" w:rsidRPr="00A6628C" w:rsidRDefault="003F128F" w:rsidP="005C2889">
      <w:pPr>
        <w:pStyle w:val="af3"/>
        <w:rPr>
          <w:rFonts w:ascii="Traditional Arabic" w:hAnsi="Traditional Arabic"/>
          <w:sz w:val="32"/>
          <w:szCs w:val="32"/>
        </w:rPr>
      </w:pPr>
      <w:r w:rsidRPr="00A6628C">
        <w:rPr>
          <w:rFonts w:ascii="Traditional Arabic" w:hAnsi="Traditional Arabic"/>
          <w:sz w:val="32"/>
          <w:szCs w:val="32"/>
          <w:rtl/>
        </w:rPr>
        <w:t>(</w:t>
      </w:r>
      <w:r w:rsidRPr="00A6628C">
        <w:rPr>
          <w:rStyle w:val="ae"/>
          <w:rFonts w:ascii="Traditional Arabic" w:hAnsi="Traditional Arabic"/>
          <w:sz w:val="32"/>
          <w:szCs w:val="32"/>
          <w:vertAlign w:val="baseline"/>
        </w:rPr>
        <w:footnoteRef/>
      </w:r>
      <w:r w:rsidRPr="00A6628C">
        <w:rPr>
          <w:rFonts w:ascii="Traditional Arabic" w:hAnsi="Traditional Arabic"/>
          <w:sz w:val="32"/>
          <w:szCs w:val="32"/>
          <w:rtl/>
        </w:rPr>
        <w:t>) انظر: المصدر السابق (15/256), مادة (نفل).</w:t>
      </w:r>
    </w:p>
  </w:footnote>
  <w:footnote w:id="523">
    <w:p w:rsidR="003F128F" w:rsidRPr="00A6628C" w:rsidRDefault="003F128F" w:rsidP="000966B5">
      <w:pPr>
        <w:pStyle w:val="af3"/>
        <w:rPr>
          <w:rFonts w:ascii="Traditional Arabic" w:hAnsi="Traditional Arabic"/>
          <w:sz w:val="32"/>
          <w:szCs w:val="32"/>
        </w:rPr>
      </w:pPr>
      <w:r w:rsidRPr="00A6628C">
        <w:rPr>
          <w:rFonts w:ascii="Traditional Arabic" w:hAnsi="Traditional Arabic"/>
          <w:sz w:val="32"/>
          <w:szCs w:val="32"/>
          <w:rtl/>
        </w:rPr>
        <w:t>(</w:t>
      </w:r>
      <w:r w:rsidRPr="00A6628C">
        <w:rPr>
          <w:rStyle w:val="ae"/>
          <w:rFonts w:ascii="Traditional Arabic" w:hAnsi="Traditional Arabic"/>
          <w:sz w:val="32"/>
          <w:szCs w:val="32"/>
          <w:vertAlign w:val="baseline"/>
        </w:rPr>
        <w:footnoteRef/>
      </w:r>
      <w:r>
        <w:rPr>
          <w:rFonts w:ascii="Traditional Arabic" w:hAnsi="Traditional Arabic"/>
          <w:sz w:val="32"/>
          <w:szCs w:val="32"/>
          <w:rtl/>
        </w:rPr>
        <w:t>)</w:t>
      </w:r>
      <w:r w:rsidRPr="00A6628C">
        <w:rPr>
          <w:rFonts w:ascii="Traditional Arabic" w:hAnsi="Traditional Arabic"/>
          <w:sz w:val="32"/>
          <w:szCs w:val="32"/>
          <w:rtl/>
        </w:rPr>
        <w:t xml:space="preserve"> انظر</w:t>
      </w:r>
      <w:r>
        <w:rPr>
          <w:rFonts w:ascii="Traditional Arabic" w:hAnsi="Traditional Arabic" w:hint="cs"/>
          <w:sz w:val="32"/>
          <w:szCs w:val="32"/>
          <w:rtl/>
        </w:rPr>
        <w:t>:</w:t>
      </w:r>
      <w:r w:rsidRPr="00A6628C">
        <w:rPr>
          <w:rFonts w:ascii="Traditional Arabic" w:hAnsi="Traditional Arabic"/>
          <w:sz w:val="32"/>
          <w:szCs w:val="32"/>
          <w:rtl/>
        </w:rPr>
        <w:t xml:space="preserve"> تفسير الطبري (17/525).</w:t>
      </w:r>
    </w:p>
  </w:footnote>
  <w:footnote w:id="524">
    <w:p w:rsidR="003F128F" w:rsidRPr="003950B1" w:rsidRDefault="003F128F" w:rsidP="00106F13">
      <w:pPr>
        <w:pStyle w:val="af3"/>
        <w:rPr>
          <w:rFonts w:ascii="Traditional Arabic" w:hAnsi="Traditional Arabic"/>
          <w:sz w:val="32"/>
          <w:szCs w:val="32"/>
        </w:rPr>
      </w:pPr>
      <w:r w:rsidRPr="003950B1">
        <w:rPr>
          <w:rFonts w:ascii="Traditional Arabic" w:hAnsi="Traditional Arabic"/>
          <w:sz w:val="32"/>
          <w:szCs w:val="32"/>
          <w:rtl/>
        </w:rPr>
        <w:t>(</w:t>
      </w:r>
      <w:r w:rsidRPr="003950B1">
        <w:rPr>
          <w:rStyle w:val="ae"/>
          <w:rFonts w:ascii="Traditional Arabic" w:hAnsi="Traditional Arabic"/>
          <w:sz w:val="32"/>
          <w:szCs w:val="32"/>
          <w:vertAlign w:val="baseline"/>
        </w:rPr>
        <w:footnoteRef/>
      </w:r>
      <w:r w:rsidRPr="003950B1">
        <w:rPr>
          <w:rFonts w:ascii="Traditional Arabic" w:hAnsi="Traditional Arabic"/>
          <w:sz w:val="32"/>
          <w:szCs w:val="32"/>
          <w:rtl/>
        </w:rPr>
        <w:t xml:space="preserve">) هو صاحب رسول الله </w:t>
      </w:r>
      <w:r w:rsidRPr="003950B1">
        <w:rPr>
          <w:rFonts w:ascii="Traditional Arabic" w:hAnsi="Traditional Arabic"/>
          <w:sz w:val="32"/>
          <w:szCs w:val="32"/>
        </w:rPr>
        <w:sym w:font="AGA Arabesque" w:char="F072"/>
      </w:r>
      <w:r>
        <w:rPr>
          <w:rFonts w:ascii="Traditional Arabic" w:hAnsi="Traditional Arabic" w:hint="cs"/>
          <w:sz w:val="32"/>
          <w:szCs w:val="32"/>
          <w:rtl/>
        </w:rPr>
        <w:t>,</w:t>
      </w:r>
      <w:r w:rsidRPr="003950B1">
        <w:rPr>
          <w:rFonts w:ascii="Traditional Arabic" w:hAnsi="Traditional Arabic"/>
          <w:sz w:val="32"/>
          <w:szCs w:val="32"/>
          <w:rtl/>
        </w:rPr>
        <w:t xml:space="preserve"> أبو أمامة</w:t>
      </w:r>
      <w:r>
        <w:rPr>
          <w:rFonts w:ascii="Traditional Arabic" w:hAnsi="Traditional Arabic" w:hint="cs"/>
          <w:sz w:val="32"/>
          <w:szCs w:val="32"/>
          <w:rtl/>
        </w:rPr>
        <w:t>,</w:t>
      </w:r>
      <w:r w:rsidRPr="003950B1">
        <w:rPr>
          <w:rFonts w:ascii="Traditional Arabic" w:hAnsi="Traditional Arabic"/>
          <w:sz w:val="32"/>
          <w:szCs w:val="32"/>
          <w:rtl/>
        </w:rPr>
        <w:t xml:space="preserve"> أسعد بْن زرارة بْن عدس بْن عبيد الأنصاري, الخزرجي, النجاري,</w:t>
      </w:r>
      <w:r w:rsidRPr="00106F13">
        <w:rPr>
          <w:rFonts w:ascii="Traditional Arabic" w:hAnsi="Traditional Arabic"/>
          <w:b/>
          <w:bCs/>
          <w:sz w:val="44"/>
          <w:szCs w:val="44"/>
          <w:rtl/>
          <w:lang w:eastAsia="en-US"/>
        </w:rPr>
        <w:t xml:space="preserve"> </w:t>
      </w:r>
      <w:r w:rsidRPr="00106F13">
        <w:rPr>
          <w:rFonts w:ascii="Traditional Arabic" w:hAnsi="Traditional Arabic"/>
          <w:sz w:val="32"/>
          <w:szCs w:val="32"/>
          <w:rtl/>
        </w:rPr>
        <w:t>السَّ</w:t>
      </w:r>
      <w:r>
        <w:rPr>
          <w:rFonts w:ascii="Traditional Arabic" w:hAnsi="Traditional Arabic"/>
          <w:sz w:val="32"/>
          <w:szCs w:val="32"/>
          <w:rtl/>
        </w:rPr>
        <w:t>يِّدُ</w:t>
      </w:r>
      <w:r>
        <w:rPr>
          <w:rFonts w:ascii="Traditional Arabic" w:hAnsi="Traditional Arabic" w:hint="cs"/>
          <w:sz w:val="32"/>
          <w:szCs w:val="32"/>
          <w:rtl/>
        </w:rPr>
        <w:t>,</w:t>
      </w:r>
      <w:r>
        <w:rPr>
          <w:rFonts w:ascii="Traditional Arabic" w:hAnsi="Traditional Arabic"/>
          <w:sz w:val="32"/>
          <w:szCs w:val="32"/>
          <w:rtl/>
        </w:rPr>
        <w:t xml:space="preserve"> نَقِيْبُ بني النجار</w:t>
      </w:r>
      <w:r w:rsidRPr="003950B1">
        <w:rPr>
          <w:rFonts w:ascii="Traditional Arabic" w:hAnsi="Traditional Arabic"/>
          <w:sz w:val="32"/>
          <w:szCs w:val="32"/>
          <w:rtl/>
          <w:lang w:eastAsia="en-US"/>
        </w:rPr>
        <w:t xml:space="preserve"> </w:t>
      </w:r>
      <w:r w:rsidRPr="003950B1">
        <w:rPr>
          <w:rFonts w:ascii="Traditional Arabic" w:hAnsi="Traditional Arabic"/>
          <w:sz w:val="32"/>
          <w:szCs w:val="32"/>
          <w:rtl/>
        </w:rPr>
        <w:t>وهو من أول الأنصار إسلامًا, وهو</w:t>
      </w:r>
      <w:r w:rsidRPr="003950B1">
        <w:rPr>
          <w:rFonts w:ascii="Traditional Arabic" w:hAnsi="Traditional Arabic"/>
          <w:sz w:val="32"/>
          <w:szCs w:val="32"/>
          <w:rtl/>
          <w:lang w:eastAsia="en-US"/>
        </w:rPr>
        <w:t xml:space="preserve"> </w:t>
      </w:r>
      <w:r w:rsidRPr="003950B1">
        <w:rPr>
          <w:rFonts w:ascii="Traditional Arabic" w:hAnsi="Traditional Arabic"/>
          <w:sz w:val="32"/>
          <w:szCs w:val="32"/>
          <w:rtl/>
        </w:rPr>
        <w:t xml:space="preserve">مِنْ كبراء الصحابة </w:t>
      </w:r>
      <w:r>
        <w:rPr>
          <w:rFonts w:ascii="Traditional Arabic" w:hAnsi="Traditional Arabic"/>
          <w:sz w:val="32"/>
          <w:szCs w:val="32"/>
        </w:rPr>
        <w:t xml:space="preserve"> </w:t>
      </w:r>
      <w:r>
        <w:rPr>
          <w:rFonts w:ascii="Traditional Arabic" w:hAnsi="Traditional Arabic"/>
          <w:sz w:val="32"/>
          <w:szCs w:val="32"/>
        </w:rPr>
        <w:sym w:font="AGA Arabesque" w:char="F074"/>
      </w:r>
      <w:r>
        <w:rPr>
          <w:rFonts w:ascii="Traditional Arabic" w:hAnsi="Traditional Arabic" w:hint="cs"/>
          <w:sz w:val="32"/>
          <w:szCs w:val="32"/>
          <w:rtl/>
        </w:rPr>
        <w:t xml:space="preserve">, (ت1ه). </w:t>
      </w:r>
      <w:r w:rsidRPr="003950B1">
        <w:rPr>
          <w:rFonts w:ascii="Traditional Arabic" w:hAnsi="Traditional Arabic"/>
          <w:sz w:val="32"/>
          <w:szCs w:val="32"/>
          <w:rtl/>
        </w:rPr>
        <w:t xml:space="preserve">انظر: الطبقات الكبرى لابن </w:t>
      </w:r>
      <w:r>
        <w:rPr>
          <w:rFonts w:ascii="Traditional Arabic" w:hAnsi="Traditional Arabic"/>
          <w:sz w:val="32"/>
          <w:szCs w:val="32"/>
          <w:rtl/>
        </w:rPr>
        <w:t xml:space="preserve"> </w:t>
      </w:r>
      <w:r w:rsidRPr="003950B1">
        <w:rPr>
          <w:rFonts w:ascii="Traditional Arabic" w:hAnsi="Traditional Arabic"/>
          <w:sz w:val="32"/>
          <w:szCs w:val="32"/>
          <w:rtl/>
        </w:rPr>
        <w:t>سعد (6/19), اسد الغابة (1/205)</w:t>
      </w:r>
      <w:r>
        <w:rPr>
          <w:rFonts w:ascii="Traditional Arabic" w:hAnsi="Traditional Arabic" w:hint="cs"/>
          <w:sz w:val="32"/>
          <w:szCs w:val="32"/>
          <w:rtl/>
        </w:rPr>
        <w:t>,</w:t>
      </w:r>
      <w:r w:rsidRPr="003950B1">
        <w:rPr>
          <w:rFonts w:ascii="Traditional Arabic" w:hAnsi="Traditional Arabic"/>
          <w:sz w:val="32"/>
          <w:szCs w:val="32"/>
          <w:rtl/>
        </w:rPr>
        <w:t xml:space="preserve"> </w:t>
      </w:r>
      <w:r>
        <w:rPr>
          <w:rFonts w:ascii="Traditional Arabic" w:hAnsi="Traditional Arabic"/>
          <w:sz w:val="32"/>
          <w:szCs w:val="32"/>
          <w:rtl/>
        </w:rPr>
        <w:t xml:space="preserve">سير أعلام النبلاء </w:t>
      </w:r>
      <w:r>
        <w:rPr>
          <w:rFonts w:ascii="Traditional Arabic" w:hAnsi="Traditional Arabic" w:hint="cs"/>
          <w:sz w:val="32"/>
          <w:szCs w:val="32"/>
          <w:rtl/>
        </w:rPr>
        <w:t>(1/299).</w:t>
      </w:r>
    </w:p>
  </w:footnote>
  <w:footnote w:id="525">
    <w:p w:rsidR="003F128F" w:rsidRPr="00337CD0" w:rsidRDefault="003F128F" w:rsidP="009F3381">
      <w:pPr>
        <w:pStyle w:val="af3"/>
        <w:rPr>
          <w:rFonts w:ascii="Traditional Arabic" w:hAnsi="Traditional Arabic"/>
          <w:sz w:val="32"/>
          <w:szCs w:val="32"/>
          <w:rtl/>
        </w:rPr>
      </w:pPr>
      <w:r w:rsidRPr="00337CD0">
        <w:rPr>
          <w:rFonts w:ascii="Traditional Arabic" w:hAnsi="Traditional Arabic"/>
          <w:sz w:val="32"/>
          <w:szCs w:val="32"/>
          <w:rtl/>
        </w:rPr>
        <w:t>(</w:t>
      </w:r>
      <w:r w:rsidRPr="00337CD0">
        <w:rPr>
          <w:rStyle w:val="ae"/>
          <w:rFonts w:ascii="Traditional Arabic" w:hAnsi="Traditional Arabic"/>
          <w:sz w:val="32"/>
          <w:szCs w:val="32"/>
          <w:vertAlign w:val="baseline"/>
        </w:rPr>
        <w:footnoteRef/>
      </w:r>
      <w:r>
        <w:rPr>
          <w:rFonts w:ascii="Traditional Arabic" w:hAnsi="Traditional Arabic"/>
          <w:sz w:val="32"/>
          <w:szCs w:val="32"/>
          <w:rtl/>
        </w:rPr>
        <w:t>) قول أب</w:t>
      </w:r>
      <w:r>
        <w:rPr>
          <w:rFonts w:ascii="Traditional Arabic" w:hAnsi="Traditional Arabic" w:hint="cs"/>
          <w:sz w:val="32"/>
          <w:szCs w:val="32"/>
          <w:rtl/>
        </w:rPr>
        <w:t>ي</w:t>
      </w:r>
      <w:r w:rsidRPr="00337CD0">
        <w:rPr>
          <w:rFonts w:ascii="Traditional Arabic" w:hAnsi="Traditional Arabic"/>
          <w:sz w:val="32"/>
          <w:szCs w:val="32"/>
          <w:rtl/>
        </w:rPr>
        <w:t xml:space="preserve"> أمامة </w:t>
      </w:r>
      <w:r w:rsidRPr="00337CD0">
        <w:rPr>
          <w:rFonts w:ascii="Traditional Arabic" w:hAnsi="Traditional Arabic"/>
          <w:sz w:val="32"/>
          <w:szCs w:val="32"/>
        </w:rPr>
        <w:sym w:font="AGA Arabesque" w:char="F074"/>
      </w:r>
      <w:r w:rsidRPr="00337CD0">
        <w:rPr>
          <w:rFonts w:ascii="Traditional Arabic" w:hAnsi="Traditional Arabic"/>
          <w:sz w:val="32"/>
          <w:szCs w:val="32"/>
          <w:rtl/>
        </w:rPr>
        <w:t xml:space="preserve"> رواه يحيى بن سلام في تفسيره (1/155), والطبري في تفسيره (17/525), وأما قول الحسن فقد أورده السيوطي في الدر المنثور وعزاه لابن المنذر ومحمد بن نصر (5/324), وقول مجاهد أخرجه الطبري في تفسيره (17/525), وأورده الثعلبي في الكشف والبيان (6/123), وغيره.</w:t>
      </w:r>
    </w:p>
  </w:footnote>
  <w:footnote w:id="526">
    <w:p w:rsidR="003F128F" w:rsidRPr="00337CD0" w:rsidRDefault="003F128F" w:rsidP="00090E4F">
      <w:pPr>
        <w:pStyle w:val="af3"/>
        <w:rPr>
          <w:rFonts w:ascii="Traditional Arabic" w:hAnsi="Traditional Arabic"/>
          <w:sz w:val="32"/>
          <w:szCs w:val="32"/>
        </w:rPr>
      </w:pPr>
      <w:r w:rsidRPr="00337CD0">
        <w:rPr>
          <w:rFonts w:ascii="Traditional Arabic" w:hAnsi="Traditional Arabic"/>
          <w:sz w:val="32"/>
          <w:szCs w:val="32"/>
          <w:rtl/>
        </w:rPr>
        <w:t>(</w:t>
      </w:r>
      <w:r w:rsidRPr="00337CD0">
        <w:rPr>
          <w:rStyle w:val="ae"/>
          <w:rFonts w:ascii="Traditional Arabic" w:hAnsi="Traditional Arabic"/>
          <w:sz w:val="32"/>
          <w:szCs w:val="32"/>
          <w:vertAlign w:val="baseline"/>
        </w:rPr>
        <w:footnoteRef/>
      </w:r>
      <w:r>
        <w:rPr>
          <w:rFonts w:ascii="Traditional Arabic" w:hAnsi="Traditional Arabic"/>
          <w:sz w:val="32"/>
          <w:szCs w:val="32"/>
          <w:rtl/>
        </w:rPr>
        <w:t>)</w:t>
      </w:r>
      <w:r w:rsidRPr="00337CD0">
        <w:rPr>
          <w:rFonts w:ascii="Traditional Arabic" w:hAnsi="Traditional Arabic"/>
          <w:sz w:val="32"/>
          <w:szCs w:val="32"/>
          <w:rtl/>
        </w:rPr>
        <w:t xml:space="preserve"> انظر: تفسير الطبري (17/525), الكشف والبيان (6/123).</w:t>
      </w:r>
    </w:p>
  </w:footnote>
  <w:footnote w:id="527">
    <w:p w:rsidR="003F128F" w:rsidRPr="00337CD0" w:rsidRDefault="003F128F" w:rsidP="00AB4D27">
      <w:pPr>
        <w:pStyle w:val="af3"/>
        <w:rPr>
          <w:rFonts w:ascii="Traditional Arabic" w:hAnsi="Traditional Arabic"/>
          <w:sz w:val="32"/>
          <w:szCs w:val="32"/>
        </w:rPr>
      </w:pPr>
      <w:r w:rsidRPr="00337CD0">
        <w:rPr>
          <w:rFonts w:ascii="Traditional Arabic" w:hAnsi="Traditional Arabic"/>
          <w:sz w:val="32"/>
          <w:szCs w:val="32"/>
          <w:rtl/>
        </w:rPr>
        <w:t>(</w:t>
      </w:r>
      <w:r w:rsidRPr="00337CD0">
        <w:rPr>
          <w:rStyle w:val="ae"/>
          <w:rFonts w:ascii="Traditional Arabic" w:hAnsi="Traditional Arabic"/>
          <w:sz w:val="32"/>
          <w:szCs w:val="32"/>
          <w:vertAlign w:val="baseline"/>
        </w:rPr>
        <w:footnoteRef/>
      </w:r>
      <w:r>
        <w:rPr>
          <w:rFonts w:ascii="Traditional Arabic" w:hAnsi="Traditional Arabic"/>
          <w:sz w:val="32"/>
          <w:szCs w:val="32"/>
          <w:rtl/>
        </w:rPr>
        <w:t xml:space="preserve">) </w:t>
      </w:r>
      <w:r w:rsidRPr="00337CD0">
        <w:rPr>
          <w:rFonts w:ascii="Traditional Arabic" w:hAnsi="Traditional Arabic"/>
          <w:sz w:val="32"/>
          <w:szCs w:val="32"/>
          <w:rtl/>
        </w:rPr>
        <w:t>انظر: الكشف والبيان (6/123), معالم التنزيل للبغوي (5/115).</w:t>
      </w:r>
    </w:p>
  </w:footnote>
  <w:footnote w:id="528">
    <w:p w:rsidR="003F128F" w:rsidRPr="00337CD0" w:rsidRDefault="003F128F" w:rsidP="00337CD0">
      <w:pPr>
        <w:pStyle w:val="af3"/>
        <w:rPr>
          <w:rFonts w:ascii="Tahoma" w:hAnsi="Tahoma"/>
        </w:rPr>
      </w:pPr>
      <w:r w:rsidRPr="00337CD0">
        <w:rPr>
          <w:rFonts w:ascii="Traditional Arabic" w:hAnsi="Traditional Arabic"/>
          <w:sz w:val="32"/>
          <w:szCs w:val="32"/>
          <w:rtl/>
        </w:rPr>
        <w:t>(</w:t>
      </w:r>
      <w:r w:rsidRPr="00337CD0">
        <w:rPr>
          <w:rStyle w:val="ae"/>
          <w:rFonts w:ascii="Traditional Arabic" w:hAnsi="Traditional Arabic"/>
          <w:sz w:val="32"/>
          <w:szCs w:val="32"/>
          <w:vertAlign w:val="baseline"/>
        </w:rPr>
        <w:footnoteRef/>
      </w:r>
      <w:r>
        <w:rPr>
          <w:rFonts w:ascii="Traditional Arabic" w:hAnsi="Traditional Arabic"/>
          <w:sz w:val="32"/>
          <w:szCs w:val="32"/>
          <w:rtl/>
        </w:rPr>
        <w:t>)</w:t>
      </w:r>
      <w:r w:rsidRPr="00337CD0">
        <w:rPr>
          <w:rFonts w:ascii="Traditional Arabic" w:hAnsi="Traditional Arabic"/>
          <w:sz w:val="32"/>
          <w:szCs w:val="32"/>
          <w:rtl/>
        </w:rPr>
        <w:t xml:space="preserve"> قول ابن الأنباري رحمه الله يقارب ما قاله مجاهد كما ذكر المؤلف</w:t>
      </w:r>
      <w:r>
        <w:rPr>
          <w:rFonts w:ascii="Traditional Arabic" w:hAnsi="Traditional Arabic" w:hint="cs"/>
          <w:sz w:val="32"/>
          <w:szCs w:val="32"/>
          <w:rtl/>
        </w:rPr>
        <w:t xml:space="preserve"> رحمه الله</w:t>
      </w:r>
      <w:r w:rsidRPr="00337CD0">
        <w:rPr>
          <w:rFonts w:ascii="Traditional Arabic" w:hAnsi="Traditional Arabic"/>
          <w:sz w:val="32"/>
          <w:szCs w:val="32"/>
          <w:rtl/>
        </w:rPr>
        <w:t xml:space="preserve">. انظر: بحر العلوم (2/325), الكشف والبيان (6/123). </w:t>
      </w:r>
    </w:p>
  </w:footnote>
  <w:footnote w:id="529">
    <w:p w:rsidR="003F128F" w:rsidRPr="00E1101C" w:rsidRDefault="003F128F" w:rsidP="007B0B8C">
      <w:pPr>
        <w:pStyle w:val="af3"/>
        <w:rPr>
          <w:rFonts w:ascii="Traditional Arabic" w:hAnsi="Traditional Arabic"/>
          <w:sz w:val="32"/>
          <w:szCs w:val="32"/>
        </w:rPr>
      </w:pPr>
      <w:r w:rsidRPr="00E1101C">
        <w:rPr>
          <w:rFonts w:ascii="Traditional Arabic" w:hAnsi="Traditional Arabic"/>
          <w:sz w:val="32"/>
          <w:szCs w:val="32"/>
          <w:rtl/>
        </w:rPr>
        <w:t>(</w:t>
      </w:r>
      <w:r w:rsidRPr="00E1101C">
        <w:rPr>
          <w:rStyle w:val="ae"/>
          <w:rFonts w:ascii="Traditional Arabic" w:hAnsi="Traditional Arabic"/>
          <w:sz w:val="32"/>
          <w:szCs w:val="32"/>
          <w:vertAlign w:val="baseline"/>
        </w:rPr>
        <w:footnoteRef/>
      </w:r>
      <w:r w:rsidRPr="00E1101C">
        <w:rPr>
          <w:rFonts w:ascii="Traditional Arabic" w:hAnsi="Traditional Arabic"/>
          <w:sz w:val="32"/>
          <w:szCs w:val="32"/>
          <w:rtl/>
        </w:rPr>
        <w:t>)</w:t>
      </w:r>
      <w:r>
        <w:rPr>
          <w:rFonts w:ascii="Traditional Arabic" w:hAnsi="Traditional Arabic" w:hint="cs"/>
          <w:sz w:val="32"/>
          <w:szCs w:val="32"/>
          <w:rtl/>
        </w:rPr>
        <w:t xml:space="preserve"> </w:t>
      </w:r>
      <w:r w:rsidRPr="00E1101C">
        <w:rPr>
          <w:rFonts w:ascii="Traditional Arabic" w:hAnsi="Traditional Arabic"/>
          <w:sz w:val="32"/>
          <w:szCs w:val="32"/>
          <w:rtl/>
        </w:rPr>
        <w:t>ذكر هذا القول جمع من المفسرين. انظر: تفسير السمعاني (3/268), معالم التنزيل للبغوي (5/115).</w:t>
      </w:r>
    </w:p>
  </w:footnote>
  <w:footnote w:id="530">
    <w:p w:rsidR="003F128F" w:rsidRPr="00F837C9" w:rsidRDefault="003F128F" w:rsidP="0009398B">
      <w:pPr>
        <w:pStyle w:val="af3"/>
        <w:rPr>
          <w:rFonts w:ascii="Traditional Arabic" w:hAnsi="Traditional Arabic"/>
          <w:sz w:val="32"/>
          <w:szCs w:val="32"/>
        </w:rPr>
      </w:pPr>
      <w:r w:rsidRPr="00F837C9">
        <w:rPr>
          <w:rFonts w:ascii="Traditional Arabic" w:hAnsi="Traditional Arabic"/>
          <w:sz w:val="32"/>
          <w:szCs w:val="32"/>
          <w:rtl/>
        </w:rPr>
        <w:t>(</w:t>
      </w:r>
      <w:r w:rsidRPr="00F837C9">
        <w:rPr>
          <w:rStyle w:val="ae"/>
          <w:rFonts w:ascii="Traditional Arabic" w:hAnsi="Traditional Arabic"/>
          <w:sz w:val="32"/>
          <w:szCs w:val="32"/>
          <w:vertAlign w:val="baseline"/>
        </w:rPr>
        <w:footnoteRef/>
      </w:r>
      <w:r>
        <w:rPr>
          <w:rFonts w:ascii="Traditional Arabic" w:hAnsi="Traditional Arabic"/>
          <w:sz w:val="32"/>
          <w:szCs w:val="32"/>
          <w:rtl/>
        </w:rPr>
        <w:t>)</w:t>
      </w:r>
      <w:r w:rsidRPr="00F837C9">
        <w:rPr>
          <w:rFonts w:ascii="Traditional Arabic" w:hAnsi="Traditional Arabic"/>
          <w:sz w:val="32"/>
          <w:szCs w:val="32"/>
          <w:rtl/>
        </w:rPr>
        <w:t xml:space="preserve"> انظر: تفسير مقاتل (2/546), تفسير يحيى بن سلام (1/155).</w:t>
      </w:r>
    </w:p>
  </w:footnote>
  <w:footnote w:id="531">
    <w:p w:rsidR="003F128F" w:rsidRPr="00F837C9" w:rsidRDefault="003F128F" w:rsidP="00F837C9">
      <w:pPr>
        <w:pStyle w:val="af3"/>
        <w:rPr>
          <w:rFonts w:ascii="Traditional Arabic" w:hAnsi="Traditional Arabic"/>
          <w:sz w:val="32"/>
          <w:szCs w:val="32"/>
        </w:rPr>
      </w:pPr>
      <w:r w:rsidRPr="00F837C9">
        <w:rPr>
          <w:rFonts w:ascii="Traditional Arabic" w:hAnsi="Traditional Arabic"/>
          <w:sz w:val="32"/>
          <w:szCs w:val="32"/>
          <w:rtl/>
        </w:rPr>
        <w:t>(</w:t>
      </w:r>
      <w:r w:rsidRPr="00F837C9">
        <w:rPr>
          <w:rStyle w:val="ae"/>
          <w:rFonts w:ascii="Traditional Arabic" w:hAnsi="Traditional Arabic"/>
          <w:sz w:val="32"/>
          <w:szCs w:val="32"/>
          <w:vertAlign w:val="baseline"/>
        </w:rPr>
        <w:footnoteRef/>
      </w:r>
      <w:r w:rsidRPr="00F837C9">
        <w:rPr>
          <w:rFonts w:ascii="Traditional Arabic" w:hAnsi="Traditional Arabic"/>
          <w:sz w:val="32"/>
          <w:szCs w:val="32"/>
          <w:rtl/>
        </w:rPr>
        <w:t xml:space="preserve">) انظر: تفسير يحيى بن سلام (1/157), تفسير الطبري (17/527). </w:t>
      </w:r>
    </w:p>
  </w:footnote>
  <w:footnote w:id="532">
    <w:p w:rsidR="003F128F" w:rsidRPr="00F837C9" w:rsidRDefault="003F128F" w:rsidP="008A32F8">
      <w:pPr>
        <w:pStyle w:val="af3"/>
        <w:rPr>
          <w:rFonts w:ascii="Traditional Arabic" w:hAnsi="Traditional Arabic"/>
          <w:sz w:val="32"/>
          <w:szCs w:val="32"/>
        </w:rPr>
      </w:pPr>
      <w:r w:rsidRPr="00F837C9">
        <w:rPr>
          <w:rFonts w:ascii="Traditional Arabic" w:hAnsi="Traditional Arabic"/>
          <w:sz w:val="32"/>
          <w:szCs w:val="32"/>
          <w:rtl/>
        </w:rPr>
        <w:t>(</w:t>
      </w:r>
      <w:r w:rsidRPr="00EF2D21">
        <w:rPr>
          <w:rStyle w:val="ae"/>
          <w:rFonts w:ascii="Traditional Arabic" w:hAnsi="Traditional Arabic"/>
          <w:sz w:val="32"/>
          <w:szCs w:val="32"/>
          <w:vertAlign w:val="baseline"/>
        </w:rPr>
        <w:footnoteRef/>
      </w:r>
      <w:r w:rsidRPr="00EF2D21">
        <w:rPr>
          <w:rFonts w:ascii="Traditional Arabic" w:hAnsi="Traditional Arabic"/>
          <w:sz w:val="32"/>
          <w:szCs w:val="32"/>
          <w:rtl/>
        </w:rPr>
        <w:t>)</w:t>
      </w:r>
      <w:r>
        <w:rPr>
          <w:rFonts w:ascii="Traditional Arabic" w:hAnsi="Traditional Arabic" w:hint="cs"/>
          <w:sz w:val="32"/>
          <w:szCs w:val="32"/>
          <w:rtl/>
        </w:rPr>
        <w:t xml:space="preserve"> </w:t>
      </w:r>
      <w:r w:rsidRPr="00EF2D21">
        <w:rPr>
          <w:rFonts w:ascii="Traditional Arabic" w:hAnsi="Traditional Arabic"/>
          <w:sz w:val="32"/>
          <w:szCs w:val="32"/>
          <w:rtl/>
        </w:rPr>
        <w:t xml:space="preserve">هو صاحب رسول الله </w:t>
      </w:r>
      <w:r w:rsidRPr="00EF2D21">
        <w:rPr>
          <w:rFonts w:ascii="Traditional Arabic" w:hAnsi="Traditional Arabic"/>
          <w:sz w:val="32"/>
          <w:szCs w:val="32"/>
        </w:rPr>
        <w:sym w:font="AGA Arabesque" w:char="F072"/>
      </w:r>
      <w:r>
        <w:rPr>
          <w:rFonts w:ascii="Traditional Arabic" w:hAnsi="Traditional Arabic" w:hint="cs"/>
          <w:sz w:val="32"/>
          <w:szCs w:val="32"/>
          <w:rtl/>
        </w:rPr>
        <w:t>,</w:t>
      </w:r>
      <w:r w:rsidRPr="00EF2D21">
        <w:rPr>
          <w:rFonts w:ascii="Traditional Arabic" w:hAnsi="Traditional Arabic" w:hint="cs"/>
          <w:sz w:val="32"/>
          <w:szCs w:val="32"/>
          <w:rtl/>
        </w:rPr>
        <w:t xml:space="preserve"> </w:t>
      </w:r>
      <w:r w:rsidRPr="00EF2D21">
        <w:rPr>
          <w:rFonts w:ascii="Traditional Arabic" w:hAnsi="Traditional Arabic"/>
          <w:sz w:val="32"/>
          <w:szCs w:val="32"/>
          <w:rtl/>
        </w:rPr>
        <w:t>أَبُو عَبد اللَّه</w:t>
      </w:r>
      <w:r>
        <w:rPr>
          <w:rFonts w:ascii="Traditional Arabic" w:hAnsi="Traditional Arabic" w:hint="cs"/>
          <w:sz w:val="32"/>
          <w:szCs w:val="32"/>
          <w:rtl/>
        </w:rPr>
        <w:t xml:space="preserve">, </w:t>
      </w:r>
      <w:r w:rsidRPr="00EF2D21">
        <w:rPr>
          <w:rFonts w:ascii="Traditional Arabic" w:hAnsi="Traditional Arabic"/>
          <w:sz w:val="32"/>
          <w:szCs w:val="32"/>
          <w:rtl/>
        </w:rPr>
        <w:t>حذيفة بن اليمان</w:t>
      </w:r>
      <w:r>
        <w:rPr>
          <w:rFonts w:ascii="Traditional Arabic" w:hAnsi="Traditional Arabic" w:hint="cs"/>
          <w:sz w:val="32"/>
          <w:szCs w:val="32"/>
          <w:rtl/>
        </w:rPr>
        <w:t xml:space="preserve"> </w:t>
      </w:r>
      <w:r w:rsidRPr="00EF2D21">
        <w:rPr>
          <w:rFonts w:ascii="Traditional Arabic" w:hAnsi="Traditional Arabic" w:hint="cs"/>
          <w:sz w:val="32"/>
          <w:szCs w:val="32"/>
          <w:rtl/>
        </w:rPr>
        <w:t>و</w:t>
      </w:r>
      <w:r>
        <w:rPr>
          <w:rFonts w:ascii="Traditional Arabic" w:hAnsi="Traditional Arabic" w:hint="cs"/>
          <w:sz w:val="32"/>
          <w:szCs w:val="32"/>
          <w:rtl/>
        </w:rPr>
        <w:t xml:space="preserve">اسم </w:t>
      </w:r>
      <w:r w:rsidRPr="00EF2D21">
        <w:rPr>
          <w:rFonts w:ascii="Traditional Arabic" w:hAnsi="Traditional Arabic" w:hint="cs"/>
          <w:sz w:val="32"/>
          <w:szCs w:val="32"/>
          <w:rtl/>
        </w:rPr>
        <w:t>اليمان</w:t>
      </w:r>
      <w:r>
        <w:rPr>
          <w:rFonts w:ascii="Traditional Arabic" w:hAnsi="Traditional Arabic" w:hint="cs"/>
          <w:sz w:val="32"/>
          <w:szCs w:val="32"/>
          <w:rtl/>
          <w:lang w:eastAsia="en-US"/>
        </w:rPr>
        <w:t xml:space="preserve"> (</w:t>
      </w:r>
      <w:r w:rsidRPr="00EF2D21">
        <w:rPr>
          <w:rFonts w:ascii="Traditional Arabic" w:hAnsi="Traditional Arabic"/>
          <w:sz w:val="32"/>
          <w:szCs w:val="32"/>
          <w:rtl/>
          <w:lang w:eastAsia="en-US"/>
        </w:rPr>
        <w:t>حِسْلٌ</w:t>
      </w:r>
      <w:r>
        <w:rPr>
          <w:rFonts w:ascii="Traditional Arabic" w:hAnsi="Traditional Arabic" w:hint="cs"/>
          <w:sz w:val="32"/>
          <w:szCs w:val="32"/>
          <w:rtl/>
          <w:lang w:eastAsia="en-US"/>
        </w:rPr>
        <w:t xml:space="preserve"> </w:t>
      </w:r>
      <w:r w:rsidRPr="00EF2D21">
        <w:rPr>
          <w:rFonts w:ascii="Traditional Arabic" w:hAnsi="Traditional Arabic"/>
          <w:sz w:val="32"/>
          <w:szCs w:val="32"/>
          <w:rtl/>
          <w:lang w:eastAsia="en-US"/>
        </w:rPr>
        <w:t>وَيُقَالُ: حُسَيْلٌ</w:t>
      </w:r>
      <w:r>
        <w:rPr>
          <w:rFonts w:ascii="Traditional Arabic" w:hAnsi="Traditional Arabic" w:hint="cs"/>
          <w:sz w:val="32"/>
          <w:szCs w:val="32"/>
          <w:rtl/>
          <w:lang w:eastAsia="en-US"/>
        </w:rPr>
        <w:t>)</w:t>
      </w:r>
      <w:r>
        <w:rPr>
          <w:rFonts w:ascii="Traditional Arabic" w:hAnsi="Traditional Arabic"/>
          <w:sz w:val="32"/>
          <w:szCs w:val="32"/>
          <w:rtl/>
          <w:lang w:eastAsia="en-US"/>
        </w:rPr>
        <w:t xml:space="preserve"> </w:t>
      </w:r>
      <w:r w:rsidRPr="00EF2D21">
        <w:rPr>
          <w:rFonts w:ascii="Traditional Arabic" w:hAnsi="Traditional Arabic"/>
          <w:sz w:val="32"/>
          <w:szCs w:val="32"/>
          <w:rtl/>
          <w:lang w:eastAsia="en-US"/>
        </w:rPr>
        <w:t>بْنُ جَابِرٍ</w:t>
      </w:r>
      <w:r>
        <w:rPr>
          <w:rFonts w:ascii="Traditional Arabic" w:hAnsi="Traditional Arabic" w:hint="cs"/>
          <w:sz w:val="32"/>
          <w:szCs w:val="32"/>
          <w:rtl/>
        </w:rPr>
        <w:t xml:space="preserve"> بن</w:t>
      </w:r>
      <w:r w:rsidRPr="00EF2D21">
        <w:rPr>
          <w:rFonts w:ascii="Traditional Arabic" w:hAnsi="Traditional Arabic"/>
          <w:sz w:val="32"/>
          <w:szCs w:val="32"/>
          <w:rtl/>
        </w:rPr>
        <w:t xml:space="preserve"> عَمْرو</w:t>
      </w:r>
      <w:r w:rsidRPr="00EF2D21">
        <w:rPr>
          <w:rFonts w:ascii="Traditional Arabic" w:hAnsi="Traditional Arabic"/>
          <w:sz w:val="32"/>
          <w:szCs w:val="32"/>
          <w:rtl/>
          <w:lang w:eastAsia="en-US"/>
        </w:rPr>
        <w:t xml:space="preserve"> العَبْسِيُّ</w:t>
      </w:r>
      <w:r w:rsidRPr="00EF2D21">
        <w:rPr>
          <w:rFonts w:ascii="Traditional Arabic" w:hAnsi="Traditional Arabic" w:hint="cs"/>
          <w:sz w:val="32"/>
          <w:szCs w:val="32"/>
          <w:rtl/>
        </w:rPr>
        <w:t>,</w:t>
      </w:r>
      <w:r>
        <w:rPr>
          <w:rFonts w:ascii="Traditional Arabic" w:hAnsi="Traditional Arabic" w:hint="cs"/>
          <w:sz w:val="32"/>
          <w:szCs w:val="32"/>
          <w:rtl/>
        </w:rPr>
        <w:t xml:space="preserve"> </w:t>
      </w:r>
      <w:r w:rsidRPr="00EF2D21">
        <w:rPr>
          <w:rFonts w:ascii="Traditional Arabic" w:hAnsi="Traditional Arabic" w:hint="cs"/>
          <w:sz w:val="32"/>
          <w:szCs w:val="32"/>
          <w:rtl/>
        </w:rPr>
        <w:t xml:space="preserve">اليماني, </w:t>
      </w:r>
      <w:r w:rsidRPr="00EF2D21">
        <w:rPr>
          <w:rFonts w:ascii="Traditional Arabic" w:hAnsi="Traditional Arabic"/>
          <w:sz w:val="32"/>
          <w:szCs w:val="32"/>
          <w:rtl/>
          <w:lang w:eastAsia="en-US"/>
        </w:rPr>
        <w:t>حَلِيْفُ الأَنْصَارِ، مِنْ أَعْيَانِ المُهَاجِر</w:t>
      </w:r>
      <w:r>
        <w:rPr>
          <w:rFonts w:ascii="Traditional Arabic" w:hAnsi="Traditional Arabic"/>
          <w:sz w:val="32"/>
          <w:szCs w:val="32"/>
          <w:rtl/>
          <w:lang w:eastAsia="en-US"/>
        </w:rPr>
        <w:t>ِيْنَ</w:t>
      </w:r>
      <w:r>
        <w:rPr>
          <w:rFonts w:ascii="Traditional Arabic" w:hAnsi="Traditional Arabic" w:hint="cs"/>
          <w:sz w:val="32"/>
          <w:szCs w:val="32"/>
          <w:rtl/>
          <w:lang w:eastAsia="en-US"/>
        </w:rPr>
        <w:t>,</w:t>
      </w:r>
      <w:r w:rsidRPr="00EF2D21">
        <w:rPr>
          <w:rFonts w:ascii="Traditional Arabic" w:hAnsi="Traditional Arabic" w:hint="cs"/>
          <w:sz w:val="32"/>
          <w:szCs w:val="32"/>
          <w:rtl/>
        </w:rPr>
        <w:t xml:space="preserve"> وصاحب سر النبي</w:t>
      </w:r>
      <w:r w:rsidRPr="00EF2D21">
        <w:rPr>
          <w:rFonts w:ascii="Traditional Arabic" w:hAnsi="Traditional Arabic"/>
          <w:sz w:val="32"/>
          <w:szCs w:val="32"/>
        </w:rPr>
        <w:sym w:font="AGA Arabesque" w:char="F072"/>
      </w:r>
      <w:r w:rsidRPr="00EF2D21">
        <w:rPr>
          <w:rFonts w:ascii="Traditional Arabic" w:hAnsi="Traditional Arabic"/>
          <w:sz w:val="32"/>
          <w:szCs w:val="32"/>
        </w:rPr>
        <w:t xml:space="preserve"> </w:t>
      </w:r>
      <w:r w:rsidRPr="00EF2D21">
        <w:rPr>
          <w:rFonts w:ascii="Traditional Arabic" w:hAnsi="Traditional Arabic" w:hint="cs"/>
          <w:sz w:val="32"/>
          <w:szCs w:val="32"/>
          <w:rtl/>
        </w:rPr>
        <w:t xml:space="preserve"> في المنافقين</w:t>
      </w:r>
      <w:r>
        <w:rPr>
          <w:rFonts w:ascii="Traditional Arabic" w:hAnsi="Traditional Arabic" w:hint="cs"/>
          <w:sz w:val="32"/>
          <w:szCs w:val="32"/>
          <w:rtl/>
        </w:rPr>
        <w:t>, وعالم بأخبار الفتن,</w:t>
      </w:r>
      <w:r w:rsidRPr="00EF2D21">
        <w:rPr>
          <w:rFonts w:ascii="Traditional Arabic" w:hAnsi="Traditional Arabic" w:hint="cs"/>
          <w:sz w:val="32"/>
          <w:szCs w:val="32"/>
          <w:rtl/>
        </w:rPr>
        <w:t xml:space="preserve"> (ت</w:t>
      </w:r>
      <w:r>
        <w:rPr>
          <w:rFonts w:ascii="Traditional Arabic" w:hAnsi="Traditional Arabic" w:hint="cs"/>
          <w:sz w:val="32"/>
          <w:szCs w:val="32"/>
          <w:rtl/>
        </w:rPr>
        <w:t>36</w:t>
      </w:r>
      <w:r w:rsidRPr="00EF2D21">
        <w:rPr>
          <w:rFonts w:ascii="Traditional Arabic" w:hAnsi="Traditional Arabic" w:hint="cs"/>
          <w:sz w:val="32"/>
          <w:szCs w:val="32"/>
          <w:rtl/>
        </w:rPr>
        <w:t xml:space="preserve">ه). </w:t>
      </w:r>
      <w:r w:rsidRPr="00EF2D21">
        <w:rPr>
          <w:rFonts w:ascii="Traditional Arabic" w:hAnsi="Traditional Arabic"/>
          <w:sz w:val="32"/>
          <w:szCs w:val="32"/>
          <w:rtl/>
        </w:rPr>
        <w:t>انظر: الطبقات لابن  سعد (</w:t>
      </w:r>
      <w:r w:rsidRPr="00EF2D21">
        <w:rPr>
          <w:rFonts w:ascii="Traditional Arabic" w:hAnsi="Traditional Arabic" w:hint="cs"/>
          <w:sz w:val="32"/>
          <w:szCs w:val="32"/>
          <w:rtl/>
        </w:rPr>
        <w:t>6/59</w:t>
      </w:r>
      <w:r>
        <w:rPr>
          <w:rFonts w:ascii="Traditional Arabic" w:hAnsi="Traditional Arabic"/>
          <w:sz w:val="32"/>
          <w:szCs w:val="32"/>
          <w:rtl/>
        </w:rPr>
        <w:t xml:space="preserve">), </w:t>
      </w:r>
      <w:r>
        <w:rPr>
          <w:rFonts w:ascii="Traditional Arabic" w:hAnsi="Traditional Arabic" w:hint="cs"/>
          <w:sz w:val="32"/>
          <w:szCs w:val="32"/>
          <w:rtl/>
        </w:rPr>
        <w:t>أ</w:t>
      </w:r>
      <w:r w:rsidRPr="00EF2D21">
        <w:rPr>
          <w:rFonts w:ascii="Traditional Arabic" w:hAnsi="Traditional Arabic"/>
          <w:sz w:val="32"/>
          <w:szCs w:val="32"/>
          <w:rtl/>
        </w:rPr>
        <w:t>سد الغابة (</w:t>
      </w:r>
      <w:r w:rsidRPr="00EF2D21">
        <w:rPr>
          <w:rFonts w:ascii="Traditional Arabic" w:hAnsi="Traditional Arabic" w:hint="cs"/>
          <w:sz w:val="32"/>
          <w:szCs w:val="32"/>
          <w:rtl/>
        </w:rPr>
        <w:t>1/706</w:t>
      </w:r>
      <w:r w:rsidRPr="00EF2D21">
        <w:rPr>
          <w:rFonts w:ascii="Traditional Arabic" w:hAnsi="Traditional Arabic"/>
          <w:sz w:val="32"/>
          <w:szCs w:val="32"/>
          <w:rtl/>
        </w:rPr>
        <w:t>)</w:t>
      </w:r>
      <w:r w:rsidRPr="00EF2D21">
        <w:rPr>
          <w:rFonts w:ascii="Traditional Arabic" w:hAnsi="Traditional Arabic" w:hint="cs"/>
          <w:sz w:val="32"/>
          <w:szCs w:val="32"/>
          <w:rtl/>
        </w:rPr>
        <w:t>,</w:t>
      </w:r>
      <w:r w:rsidRPr="00EF2D21">
        <w:rPr>
          <w:rFonts w:ascii="Traditional Arabic" w:hAnsi="Traditional Arabic"/>
          <w:sz w:val="32"/>
          <w:szCs w:val="32"/>
          <w:rtl/>
        </w:rPr>
        <w:t xml:space="preserve"> سير أعلام النبلاء </w:t>
      </w:r>
      <w:r w:rsidRPr="00EF2D21">
        <w:rPr>
          <w:rFonts w:ascii="Traditional Arabic" w:hAnsi="Traditional Arabic" w:hint="cs"/>
          <w:sz w:val="32"/>
          <w:szCs w:val="32"/>
          <w:rtl/>
        </w:rPr>
        <w:t>(</w:t>
      </w:r>
      <w:r>
        <w:rPr>
          <w:rFonts w:ascii="Traditional Arabic" w:hAnsi="Traditional Arabic" w:hint="cs"/>
          <w:sz w:val="32"/>
          <w:szCs w:val="32"/>
          <w:rtl/>
        </w:rPr>
        <w:t>2/361</w:t>
      </w:r>
      <w:r w:rsidRPr="00EF2D21">
        <w:rPr>
          <w:rFonts w:ascii="Traditional Arabic" w:hAnsi="Traditional Arabic" w:hint="cs"/>
          <w:sz w:val="32"/>
          <w:szCs w:val="32"/>
          <w:rtl/>
        </w:rPr>
        <w:t>).</w:t>
      </w:r>
    </w:p>
  </w:footnote>
  <w:footnote w:id="533">
    <w:p w:rsidR="003F128F" w:rsidRPr="00F837C9" w:rsidRDefault="003F128F" w:rsidP="00F837C9">
      <w:pPr>
        <w:pStyle w:val="af3"/>
        <w:rPr>
          <w:rFonts w:ascii="Traditional Arabic" w:hAnsi="Traditional Arabic"/>
          <w:sz w:val="32"/>
          <w:szCs w:val="32"/>
        </w:rPr>
      </w:pPr>
      <w:r w:rsidRPr="00F837C9">
        <w:rPr>
          <w:rFonts w:ascii="Traditional Arabic" w:hAnsi="Traditional Arabic"/>
          <w:sz w:val="32"/>
          <w:szCs w:val="32"/>
          <w:rtl/>
        </w:rPr>
        <w:t>(</w:t>
      </w:r>
      <w:r w:rsidRPr="00F837C9">
        <w:rPr>
          <w:rStyle w:val="ae"/>
          <w:rFonts w:ascii="Traditional Arabic" w:hAnsi="Traditional Arabic"/>
          <w:sz w:val="32"/>
          <w:szCs w:val="32"/>
          <w:vertAlign w:val="baseline"/>
        </w:rPr>
        <w:footnoteRef/>
      </w:r>
      <w:r>
        <w:rPr>
          <w:rFonts w:ascii="Traditional Arabic" w:hAnsi="Traditional Arabic"/>
          <w:sz w:val="32"/>
          <w:szCs w:val="32"/>
          <w:rtl/>
        </w:rPr>
        <w:t>)</w:t>
      </w:r>
      <w:r w:rsidRPr="00F837C9">
        <w:rPr>
          <w:rFonts w:ascii="Traditional Arabic" w:hAnsi="Traditional Arabic"/>
          <w:sz w:val="32"/>
          <w:szCs w:val="32"/>
          <w:rtl/>
        </w:rPr>
        <w:t xml:space="preserve"> انظر: تفسير يحيى بن سلام (1/156), تفسير عبد الرزاق(3/387), تفسير الطبري (17/526).</w:t>
      </w:r>
    </w:p>
  </w:footnote>
  <w:footnote w:id="534">
    <w:p w:rsidR="003F128F" w:rsidRPr="00973819" w:rsidRDefault="003F128F" w:rsidP="00973819">
      <w:pPr>
        <w:pStyle w:val="af3"/>
        <w:rPr>
          <w:rFonts w:ascii="Traditional Arabic" w:hAnsi="Traditional Arabic"/>
          <w:sz w:val="32"/>
          <w:szCs w:val="32"/>
        </w:rPr>
      </w:pPr>
      <w:r w:rsidRPr="00973819">
        <w:rPr>
          <w:rFonts w:ascii="Traditional Arabic" w:hAnsi="Traditional Arabic"/>
          <w:sz w:val="32"/>
          <w:szCs w:val="32"/>
          <w:rtl/>
        </w:rPr>
        <w:t>(</w:t>
      </w:r>
      <w:r w:rsidRPr="00973819">
        <w:rPr>
          <w:rStyle w:val="ae"/>
          <w:rFonts w:ascii="Traditional Arabic" w:hAnsi="Traditional Arabic"/>
          <w:sz w:val="32"/>
          <w:szCs w:val="32"/>
          <w:vertAlign w:val="baseline"/>
        </w:rPr>
        <w:footnoteRef/>
      </w:r>
      <w:r w:rsidRPr="00973819">
        <w:rPr>
          <w:rFonts w:ascii="Traditional Arabic" w:hAnsi="Traditional Arabic"/>
          <w:sz w:val="32"/>
          <w:szCs w:val="32"/>
          <w:rtl/>
        </w:rPr>
        <w:t>) انظر: تفسير الطبري (17/529)</w:t>
      </w:r>
      <w:r>
        <w:rPr>
          <w:rFonts w:ascii="Traditional Arabic" w:hAnsi="Traditional Arabic" w:hint="cs"/>
          <w:sz w:val="32"/>
          <w:szCs w:val="32"/>
          <w:rtl/>
        </w:rPr>
        <w:t>, الهداية (6/4271), معالم التنزيل (5/120)</w:t>
      </w:r>
      <w:r w:rsidRPr="00973819">
        <w:rPr>
          <w:rFonts w:ascii="Traditional Arabic" w:hAnsi="Traditional Arabic"/>
          <w:sz w:val="32"/>
          <w:szCs w:val="32"/>
          <w:rtl/>
        </w:rPr>
        <w:t>.</w:t>
      </w:r>
    </w:p>
  </w:footnote>
  <w:footnote w:id="535">
    <w:p w:rsidR="003F128F" w:rsidRPr="00AD733A" w:rsidRDefault="003F128F" w:rsidP="00EE74E4">
      <w:pPr>
        <w:pStyle w:val="af3"/>
        <w:rPr>
          <w:rFonts w:ascii="Traditional Arabic" w:hAnsi="Traditional Arabic"/>
          <w:sz w:val="32"/>
          <w:szCs w:val="32"/>
        </w:rPr>
      </w:pPr>
      <w:r w:rsidRPr="00973819">
        <w:rPr>
          <w:rFonts w:ascii="Traditional Arabic" w:hAnsi="Traditional Arabic"/>
          <w:sz w:val="32"/>
          <w:szCs w:val="32"/>
          <w:rtl/>
        </w:rPr>
        <w:t>(</w:t>
      </w:r>
      <w:r w:rsidRPr="00973819">
        <w:rPr>
          <w:rStyle w:val="ae"/>
          <w:rFonts w:ascii="Traditional Arabic" w:hAnsi="Traditional Arabic"/>
          <w:sz w:val="32"/>
          <w:szCs w:val="32"/>
          <w:vertAlign w:val="baseline"/>
        </w:rPr>
        <w:footnoteRef/>
      </w:r>
      <w:r w:rsidRPr="00973819">
        <w:rPr>
          <w:rFonts w:ascii="Traditional Arabic" w:hAnsi="Traditional Arabic"/>
          <w:sz w:val="32"/>
          <w:szCs w:val="32"/>
          <w:rtl/>
        </w:rPr>
        <w:t xml:space="preserve">) </w:t>
      </w:r>
      <w:r w:rsidRPr="00EE74E4">
        <w:rPr>
          <w:rFonts w:ascii="Traditional Arabic" w:hAnsi="Traditional Arabic"/>
          <w:color w:val="auto"/>
          <w:spacing w:val="4"/>
          <w:sz w:val="32"/>
          <w:szCs w:val="32"/>
          <w:rtl/>
        </w:rPr>
        <w:t xml:space="preserve">هو صاحب رسول الله </w:t>
      </w:r>
      <w:r w:rsidRPr="00EE74E4">
        <w:rPr>
          <w:rFonts w:ascii="Traditional Arabic" w:hAnsi="Traditional Arabic"/>
          <w:color w:val="auto"/>
          <w:spacing w:val="4"/>
          <w:sz w:val="32"/>
          <w:szCs w:val="32"/>
        </w:rPr>
        <w:sym w:font="AGA Arabesque" w:char="F072"/>
      </w:r>
      <w:r w:rsidRPr="00EE74E4">
        <w:rPr>
          <w:rFonts w:ascii="Traditional Arabic" w:hAnsi="Traditional Arabic"/>
          <w:color w:val="auto"/>
          <w:spacing w:val="4"/>
          <w:sz w:val="32"/>
          <w:szCs w:val="32"/>
          <w:rtl/>
        </w:rPr>
        <w:t xml:space="preserve"> ومولاه، أبو عبد الله،</w:t>
      </w:r>
      <w:r w:rsidRPr="00EE74E4">
        <w:rPr>
          <w:rFonts w:ascii="Traditional Arabic" w:hAnsi="Traditional Arabic" w:hint="cs"/>
          <w:color w:val="auto"/>
          <w:spacing w:val="4"/>
          <w:sz w:val="32"/>
          <w:szCs w:val="32"/>
          <w:rtl/>
        </w:rPr>
        <w:t xml:space="preserve"> </w:t>
      </w:r>
      <w:r w:rsidRPr="00EE74E4">
        <w:rPr>
          <w:rFonts w:ascii="Traditional Arabic" w:hAnsi="Traditional Arabic"/>
          <w:color w:val="auto"/>
          <w:spacing w:val="4"/>
          <w:sz w:val="32"/>
          <w:szCs w:val="32"/>
          <w:rtl/>
        </w:rPr>
        <w:t>سلمان بن الإسلام</w:t>
      </w:r>
      <w:r w:rsidRPr="00EE74E4">
        <w:rPr>
          <w:rFonts w:ascii="Traditional Arabic" w:hAnsi="Traditional Arabic" w:hint="cs"/>
          <w:color w:val="auto"/>
          <w:spacing w:val="4"/>
          <w:sz w:val="32"/>
          <w:szCs w:val="32"/>
          <w:rtl/>
        </w:rPr>
        <w:t xml:space="preserve"> الفارسي,</w:t>
      </w:r>
      <w:r w:rsidRPr="00EE74E4">
        <w:rPr>
          <w:rFonts w:ascii="Traditional Arabic" w:hAnsi="Traditional Arabic"/>
          <w:color w:val="auto"/>
          <w:spacing w:val="4"/>
          <w:sz w:val="32"/>
          <w:szCs w:val="32"/>
          <w:rtl/>
        </w:rPr>
        <w:t xml:space="preserve"> أصله من رامهرمز، وقيل من أصبهان، كان اسمه قبل الإسلام مَابَهُ بْنُ بُودَخْشَانَ بْنِ مُورْسَلَانَ بْنِ بَهْبُوذَانَ بْنِ فَيْرُوزَ بْنِ شَهْرَكَ</w:t>
      </w:r>
      <w:r w:rsidRPr="00EE74E4">
        <w:rPr>
          <w:rFonts w:ascii="Traditional Arabic" w:hAnsi="Traditional Arabic" w:hint="cs"/>
          <w:color w:val="auto"/>
          <w:spacing w:val="4"/>
          <w:sz w:val="32"/>
          <w:szCs w:val="32"/>
          <w:rtl/>
        </w:rPr>
        <w:t xml:space="preserve">, من </w:t>
      </w:r>
      <w:r w:rsidRPr="00EE74E4">
        <w:rPr>
          <w:rFonts w:ascii="Traditional Arabic" w:hAnsi="Traditional Arabic"/>
          <w:color w:val="auto"/>
          <w:spacing w:val="4"/>
          <w:sz w:val="32"/>
          <w:szCs w:val="32"/>
          <w:rtl/>
        </w:rPr>
        <w:t>ولد آب الملك.</w:t>
      </w:r>
      <w:r w:rsidRPr="00EE74E4">
        <w:rPr>
          <w:rFonts w:ascii="Traditional Arabic" w:hAnsi="Traditional Arabic" w:hint="cs"/>
          <w:color w:val="auto"/>
          <w:spacing w:val="4"/>
          <w:sz w:val="32"/>
          <w:szCs w:val="32"/>
          <w:rtl/>
        </w:rPr>
        <w:t xml:space="preserve"> </w:t>
      </w:r>
      <w:r w:rsidRPr="00EE74E4">
        <w:rPr>
          <w:rFonts w:ascii="Traditional Arabic" w:hAnsi="Traditional Arabic"/>
          <w:color w:val="auto"/>
          <w:spacing w:val="4"/>
          <w:sz w:val="32"/>
          <w:szCs w:val="32"/>
          <w:rtl/>
        </w:rPr>
        <w:t xml:space="preserve">وكان قد سمع بأن النبي </w:t>
      </w:r>
      <w:r w:rsidRPr="00EE74E4">
        <w:rPr>
          <w:rFonts w:ascii="Traditional Arabic" w:hAnsi="Traditional Arabic"/>
          <w:color w:val="auto"/>
          <w:spacing w:val="4"/>
          <w:sz w:val="32"/>
          <w:szCs w:val="32"/>
        </w:rPr>
        <w:sym w:font="AGA Arabesque" w:char="F072"/>
      </w:r>
      <w:r w:rsidRPr="00EE74E4">
        <w:rPr>
          <w:rFonts w:ascii="Traditional Arabic" w:hAnsi="Traditional Arabic"/>
          <w:color w:val="auto"/>
          <w:spacing w:val="4"/>
          <w:sz w:val="32"/>
          <w:szCs w:val="32"/>
          <w:rtl/>
        </w:rPr>
        <w:t xml:space="preserve"> سيبعث فخرج في طلب ذلك فأسر وبيع بالمدينة، فاشتغل بالرق حتى كان أول مشاهده الخندق وشهد بقية المشاهد، وكان عالماً زاهداً، (ت33ه). انظر: أسد الغابة (2/510)، الاستيعاب (2/634)، الإصابة (3/141).</w:t>
      </w:r>
    </w:p>
  </w:footnote>
  <w:footnote w:id="536">
    <w:p w:rsidR="003F128F" w:rsidRPr="00AD733A" w:rsidRDefault="003F128F" w:rsidP="00A50DF4">
      <w:pPr>
        <w:pStyle w:val="af3"/>
        <w:rPr>
          <w:rFonts w:ascii="Traditional Arabic" w:hAnsi="Traditional Arabic"/>
          <w:sz w:val="32"/>
          <w:szCs w:val="32"/>
          <w:rtl/>
        </w:rPr>
      </w:pPr>
      <w:r w:rsidRPr="00AD733A">
        <w:rPr>
          <w:rFonts w:ascii="Traditional Arabic" w:hAnsi="Traditional Arabic"/>
          <w:sz w:val="32"/>
          <w:szCs w:val="32"/>
          <w:rtl/>
        </w:rPr>
        <w:t>(</w:t>
      </w:r>
      <w:r w:rsidRPr="00AD733A">
        <w:rPr>
          <w:rStyle w:val="ae"/>
          <w:rFonts w:ascii="Traditional Arabic" w:hAnsi="Traditional Arabic"/>
          <w:sz w:val="32"/>
          <w:szCs w:val="32"/>
          <w:vertAlign w:val="baseline"/>
        </w:rPr>
        <w:footnoteRef/>
      </w:r>
      <w:r>
        <w:rPr>
          <w:rFonts w:ascii="Traditional Arabic" w:hAnsi="Traditional Arabic"/>
          <w:sz w:val="32"/>
          <w:szCs w:val="32"/>
          <w:rtl/>
        </w:rPr>
        <w:t>)</w:t>
      </w:r>
      <w:r w:rsidRPr="00AD733A">
        <w:rPr>
          <w:rFonts w:ascii="Traditional Arabic" w:hAnsi="Traditional Arabic"/>
          <w:sz w:val="32"/>
          <w:szCs w:val="32"/>
          <w:rtl/>
        </w:rPr>
        <w:t xml:space="preserve"> أخرجه الطبري في تفسيره (17/528), وابن أبي شيبة في المصنف (7/221).</w:t>
      </w:r>
    </w:p>
  </w:footnote>
  <w:footnote w:id="537">
    <w:p w:rsidR="003F128F" w:rsidRPr="00AD733A" w:rsidRDefault="003F128F" w:rsidP="009B4D6C">
      <w:pPr>
        <w:pStyle w:val="af3"/>
        <w:rPr>
          <w:rFonts w:ascii="Tahoma" w:hAnsi="Tahoma"/>
          <w:sz w:val="32"/>
          <w:szCs w:val="32"/>
        </w:rPr>
      </w:pPr>
      <w:r w:rsidRPr="00AD733A">
        <w:rPr>
          <w:rFonts w:ascii="Traditional Arabic" w:hAnsi="Traditional Arabic"/>
          <w:sz w:val="32"/>
          <w:szCs w:val="32"/>
          <w:rtl/>
        </w:rPr>
        <w:t>(</w:t>
      </w:r>
      <w:r w:rsidRPr="00AD733A">
        <w:rPr>
          <w:rStyle w:val="ae"/>
          <w:rFonts w:ascii="Traditional Arabic" w:hAnsi="Traditional Arabic"/>
          <w:sz w:val="32"/>
          <w:szCs w:val="32"/>
          <w:vertAlign w:val="baseline"/>
        </w:rPr>
        <w:footnoteRef/>
      </w:r>
      <w:r>
        <w:rPr>
          <w:rFonts w:ascii="Traditional Arabic" w:hAnsi="Traditional Arabic"/>
          <w:sz w:val="32"/>
          <w:szCs w:val="32"/>
          <w:rtl/>
        </w:rPr>
        <w:t>)</w:t>
      </w:r>
      <w:r w:rsidRPr="00AD733A">
        <w:rPr>
          <w:rFonts w:ascii="Traditional Arabic" w:hAnsi="Traditional Arabic"/>
          <w:sz w:val="32"/>
          <w:szCs w:val="32"/>
          <w:rtl/>
        </w:rPr>
        <w:t xml:space="preserve"> عزاه السيوطي لابن مردويه كما في الدر</w:t>
      </w:r>
      <w:r>
        <w:rPr>
          <w:rFonts w:ascii="Traditional Arabic" w:hAnsi="Traditional Arabic" w:hint="cs"/>
          <w:sz w:val="32"/>
          <w:szCs w:val="32"/>
          <w:rtl/>
        </w:rPr>
        <w:t xml:space="preserve"> المنثور</w:t>
      </w:r>
      <w:r w:rsidRPr="00AD733A">
        <w:rPr>
          <w:rFonts w:ascii="Traditional Arabic" w:hAnsi="Traditional Arabic"/>
          <w:sz w:val="32"/>
          <w:szCs w:val="32"/>
          <w:rtl/>
        </w:rPr>
        <w:t xml:space="preserve"> (</w:t>
      </w:r>
      <w:r>
        <w:rPr>
          <w:rFonts w:ascii="Traditional Arabic" w:hAnsi="Traditional Arabic" w:hint="cs"/>
          <w:sz w:val="32"/>
          <w:szCs w:val="32"/>
          <w:rtl/>
        </w:rPr>
        <w:t>5/327</w:t>
      </w:r>
      <w:r w:rsidRPr="00AD733A">
        <w:rPr>
          <w:rFonts w:ascii="Traditional Arabic" w:hAnsi="Traditional Arabic"/>
          <w:sz w:val="32"/>
          <w:szCs w:val="32"/>
          <w:rtl/>
        </w:rPr>
        <w:t>).</w:t>
      </w:r>
    </w:p>
  </w:footnote>
  <w:footnote w:id="538">
    <w:p w:rsidR="003F128F" w:rsidRPr="007E5BBA" w:rsidRDefault="003F128F" w:rsidP="00A50DF4">
      <w:pPr>
        <w:pStyle w:val="af3"/>
        <w:rPr>
          <w:rFonts w:ascii="Traditional Arabic" w:hAnsi="Traditional Arabic"/>
          <w:sz w:val="32"/>
          <w:szCs w:val="32"/>
        </w:rPr>
      </w:pPr>
      <w:r w:rsidRPr="007E5BBA">
        <w:rPr>
          <w:rFonts w:ascii="Traditional Arabic" w:hAnsi="Traditional Arabic"/>
          <w:sz w:val="32"/>
          <w:szCs w:val="32"/>
          <w:rtl/>
        </w:rPr>
        <w:t>(</w:t>
      </w:r>
      <w:r w:rsidRPr="007E5BBA">
        <w:rPr>
          <w:rStyle w:val="ae"/>
          <w:rFonts w:ascii="Traditional Arabic" w:hAnsi="Traditional Arabic"/>
          <w:sz w:val="32"/>
          <w:szCs w:val="32"/>
          <w:vertAlign w:val="baseline"/>
        </w:rPr>
        <w:footnoteRef/>
      </w:r>
      <w:r>
        <w:rPr>
          <w:rFonts w:ascii="Traditional Arabic" w:hAnsi="Traditional Arabic"/>
          <w:sz w:val="32"/>
          <w:szCs w:val="32"/>
          <w:rtl/>
        </w:rPr>
        <w:t>) انظر: تفسير الطبري (17/527)</w:t>
      </w:r>
      <w:r>
        <w:rPr>
          <w:rFonts w:ascii="Traditional Arabic" w:hAnsi="Traditional Arabic" w:hint="cs"/>
          <w:sz w:val="32"/>
          <w:szCs w:val="32"/>
          <w:rtl/>
        </w:rPr>
        <w:t>.</w:t>
      </w:r>
    </w:p>
  </w:footnote>
  <w:footnote w:id="539">
    <w:p w:rsidR="003F128F" w:rsidRPr="007E5BBA" w:rsidRDefault="003F128F" w:rsidP="009C0223">
      <w:pPr>
        <w:pStyle w:val="af3"/>
        <w:rPr>
          <w:rFonts w:ascii="Traditional Arabic" w:hAnsi="Traditional Arabic"/>
          <w:sz w:val="32"/>
          <w:szCs w:val="32"/>
        </w:rPr>
      </w:pPr>
      <w:r w:rsidRPr="007E5BBA">
        <w:rPr>
          <w:rFonts w:ascii="Traditional Arabic" w:hAnsi="Traditional Arabic"/>
          <w:sz w:val="32"/>
          <w:szCs w:val="32"/>
          <w:rtl/>
        </w:rPr>
        <w:t>(</w:t>
      </w:r>
      <w:r w:rsidRPr="007E5BBA">
        <w:rPr>
          <w:rStyle w:val="ae"/>
          <w:rFonts w:ascii="Traditional Arabic" w:hAnsi="Traditional Arabic"/>
          <w:sz w:val="32"/>
          <w:szCs w:val="32"/>
          <w:vertAlign w:val="baseline"/>
        </w:rPr>
        <w:footnoteRef/>
      </w:r>
      <w:r w:rsidRPr="007E5BBA">
        <w:rPr>
          <w:rFonts w:ascii="Traditional Arabic" w:hAnsi="Traditional Arabic"/>
          <w:sz w:val="32"/>
          <w:szCs w:val="32"/>
          <w:rtl/>
        </w:rPr>
        <w:t>) هو أبو يسار</w:t>
      </w:r>
      <w:r>
        <w:rPr>
          <w:rFonts w:ascii="Traditional Arabic" w:hAnsi="Traditional Arabic" w:hint="cs"/>
          <w:sz w:val="32"/>
          <w:szCs w:val="32"/>
          <w:rtl/>
        </w:rPr>
        <w:t>,</w:t>
      </w:r>
      <w:r w:rsidRPr="007E5BBA">
        <w:rPr>
          <w:rFonts w:ascii="Traditional Arabic" w:hAnsi="Traditional Arabic"/>
          <w:sz w:val="32"/>
          <w:szCs w:val="32"/>
          <w:rtl/>
        </w:rPr>
        <w:t xml:space="preserve"> عبد الله بن أبي نجيح يسار الثقفي, </w:t>
      </w:r>
      <w:r>
        <w:rPr>
          <w:rFonts w:ascii="Traditional Arabic" w:hAnsi="Traditional Arabic"/>
          <w:sz w:val="32"/>
          <w:szCs w:val="32"/>
          <w:rtl/>
        </w:rPr>
        <w:t>الإمام</w:t>
      </w:r>
      <w:r w:rsidRPr="007E5BBA">
        <w:rPr>
          <w:rFonts w:ascii="Traditional Arabic" w:hAnsi="Traditional Arabic"/>
          <w:sz w:val="32"/>
          <w:szCs w:val="32"/>
          <w:rtl/>
        </w:rPr>
        <w:t>، الثقة، الم</w:t>
      </w:r>
      <w:r>
        <w:rPr>
          <w:rFonts w:ascii="Traditional Arabic" w:hAnsi="Traditional Arabic"/>
          <w:sz w:val="32"/>
          <w:szCs w:val="32"/>
          <w:rtl/>
        </w:rPr>
        <w:t>فسر، المكي, من أخص الناس بمجاهد</w:t>
      </w:r>
      <w:r w:rsidRPr="007E5BBA">
        <w:rPr>
          <w:rFonts w:ascii="Traditional Arabic" w:hAnsi="Traditional Arabic"/>
          <w:sz w:val="32"/>
          <w:szCs w:val="32"/>
          <w:rtl/>
        </w:rPr>
        <w:t>, (ت131ه). انظر: تهذيب الكمال (16/215), سير أعلام النبلاء (6/126).</w:t>
      </w:r>
    </w:p>
  </w:footnote>
  <w:footnote w:id="540">
    <w:p w:rsidR="003F128F" w:rsidRPr="007E5BBA" w:rsidRDefault="003F128F" w:rsidP="00BE31B0">
      <w:pPr>
        <w:pStyle w:val="af3"/>
        <w:rPr>
          <w:rFonts w:ascii="Traditional Arabic" w:hAnsi="Traditional Arabic"/>
          <w:sz w:val="32"/>
          <w:szCs w:val="32"/>
        </w:rPr>
      </w:pPr>
      <w:r w:rsidRPr="007E5BBA">
        <w:rPr>
          <w:rFonts w:ascii="Traditional Arabic" w:hAnsi="Traditional Arabic"/>
          <w:sz w:val="32"/>
          <w:szCs w:val="32"/>
          <w:rtl/>
        </w:rPr>
        <w:t>(</w:t>
      </w:r>
      <w:r w:rsidRPr="007E5BBA">
        <w:rPr>
          <w:rStyle w:val="ae"/>
          <w:rFonts w:ascii="Traditional Arabic" w:hAnsi="Traditional Arabic"/>
          <w:sz w:val="32"/>
          <w:szCs w:val="32"/>
          <w:vertAlign w:val="baseline"/>
        </w:rPr>
        <w:footnoteRef/>
      </w:r>
      <w:r w:rsidRPr="007E5BBA">
        <w:rPr>
          <w:rFonts w:ascii="Traditional Arabic" w:hAnsi="Traditional Arabic"/>
          <w:sz w:val="32"/>
          <w:szCs w:val="32"/>
          <w:rtl/>
        </w:rPr>
        <w:t>) انظر: تفسير مجاهد (ص441), تفسير الطبري (17/527).</w:t>
      </w:r>
    </w:p>
  </w:footnote>
  <w:footnote w:id="541">
    <w:p w:rsidR="003F128F" w:rsidRPr="007E5BBA" w:rsidRDefault="003F128F" w:rsidP="009C0223">
      <w:pPr>
        <w:pStyle w:val="af3"/>
        <w:rPr>
          <w:rFonts w:ascii="Traditional Arabic" w:hAnsi="Traditional Arabic"/>
          <w:sz w:val="32"/>
          <w:szCs w:val="32"/>
        </w:rPr>
      </w:pPr>
      <w:r w:rsidRPr="007E5BBA">
        <w:rPr>
          <w:rFonts w:ascii="Traditional Arabic" w:hAnsi="Traditional Arabic"/>
          <w:sz w:val="32"/>
          <w:szCs w:val="32"/>
          <w:rtl/>
        </w:rPr>
        <w:t>(</w:t>
      </w:r>
      <w:r w:rsidRPr="007E5BBA">
        <w:rPr>
          <w:rStyle w:val="ae"/>
          <w:rFonts w:ascii="Traditional Arabic" w:hAnsi="Traditional Arabic"/>
          <w:sz w:val="32"/>
          <w:szCs w:val="32"/>
          <w:vertAlign w:val="baseline"/>
        </w:rPr>
        <w:footnoteRef/>
      </w:r>
      <w:r>
        <w:rPr>
          <w:rFonts w:ascii="Traditional Arabic" w:hAnsi="Traditional Arabic"/>
          <w:sz w:val="32"/>
          <w:szCs w:val="32"/>
          <w:rtl/>
        </w:rPr>
        <w:t>)</w:t>
      </w:r>
      <w:r w:rsidRPr="007E5BBA">
        <w:rPr>
          <w:rFonts w:ascii="Traditional Arabic" w:hAnsi="Traditional Arabic"/>
          <w:sz w:val="32"/>
          <w:szCs w:val="32"/>
          <w:rtl/>
        </w:rPr>
        <w:t xml:space="preserve"> هو التابعي</w:t>
      </w:r>
      <w:r>
        <w:rPr>
          <w:rFonts w:ascii="Traditional Arabic" w:hAnsi="Traditional Arabic" w:hint="cs"/>
          <w:sz w:val="32"/>
          <w:szCs w:val="32"/>
          <w:rtl/>
        </w:rPr>
        <w:t xml:space="preserve"> الإمام,</w:t>
      </w:r>
      <w:r w:rsidRPr="007E5BBA">
        <w:rPr>
          <w:rFonts w:ascii="Traditional Arabic" w:hAnsi="Traditional Arabic"/>
          <w:sz w:val="32"/>
          <w:szCs w:val="32"/>
          <w:rtl/>
        </w:rPr>
        <w:t xml:space="preserve"> أبو وائل</w:t>
      </w:r>
      <w:r>
        <w:rPr>
          <w:rFonts w:ascii="Traditional Arabic" w:hAnsi="Traditional Arabic" w:hint="cs"/>
          <w:sz w:val="32"/>
          <w:szCs w:val="32"/>
          <w:rtl/>
        </w:rPr>
        <w:t>,</w:t>
      </w:r>
      <w:r>
        <w:rPr>
          <w:rFonts w:ascii="Traditional Arabic" w:hAnsi="Traditional Arabic"/>
          <w:sz w:val="32"/>
          <w:szCs w:val="32"/>
          <w:rtl/>
        </w:rPr>
        <w:t xml:space="preserve"> شقيق بن سلمة الأسدي الكوفي، شَيْخُ الكُوْفَةِ</w:t>
      </w:r>
      <w:r w:rsidRPr="007E5BBA">
        <w:rPr>
          <w:rFonts w:ascii="Traditional Arabic" w:hAnsi="Traditional Arabic"/>
          <w:sz w:val="32"/>
          <w:szCs w:val="32"/>
          <w:rtl/>
        </w:rPr>
        <w:t>, مخضرم أدرك رسول الله</w:t>
      </w:r>
      <w:r w:rsidRPr="007E5BBA">
        <w:rPr>
          <w:rFonts w:ascii="Traditional Arabic" w:hAnsi="Traditional Arabic"/>
          <w:sz w:val="32"/>
          <w:szCs w:val="32"/>
        </w:rPr>
        <w:t xml:space="preserve"> </w:t>
      </w:r>
      <w:r w:rsidRPr="007E5BBA">
        <w:rPr>
          <w:rFonts w:ascii="Traditional Arabic" w:hAnsi="Traditional Arabic"/>
          <w:sz w:val="32"/>
          <w:szCs w:val="32"/>
        </w:rPr>
        <w:sym w:font="AGA Arabesque" w:char="F072"/>
      </w:r>
      <w:r w:rsidRPr="007E5BBA">
        <w:rPr>
          <w:rFonts w:ascii="Traditional Arabic" w:hAnsi="Traditional Arabic"/>
          <w:sz w:val="32"/>
          <w:szCs w:val="32"/>
        </w:rPr>
        <w:t xml:space="preserve"> </w:t>
      </w:r>
      <w:r w:rsidRPr="007E5BBA">
        <w:rPr>
          <w:rFonts w:ascii="Traditional Arabic" w:hAnsi="Traditional Arabic"/>
          <w:sz w:val="32"/>
          <w:szCs w:val="32"/>
          <w:rtl/>
        </w:rPr>
        <w:t>ولم  يره, كَانَ مِنْ أَئِمَّةِ الدِّيْنِ, (ت8</w:t>
      </w:r>
      <w:r>
        <w:rPr>
          <w:rFonts w:ascii="Traditional Arabic" w:hAnsi="Traditional Arabic"/>
          <w:sz w:val="32"/>
          <w:szCs w:val="32"/>
          <w:rtl/>
        </w:rPr>
        <w:t>2ه). انظر: الطبقات لابن</w:t>
      </w:r>
      <w:r w:rsidRPr="007E5BBA">
        <w:rPr>
          <w:rFonts w:ascii="Traditional Arabic" w:hAnsi="Traditional Arabic"/>
          <w:sz w:val="32"/>
          <w:szCs w:val="32"/>
          <w:rtl/>
        </w:rPr>
        <w:t xml:space="preserve"> سعد (6/154), اسد الغابة (2/636), سير أعلام النبلاء (4/161).</w:t>
      </w:r>
    </w:p>
  </w:footnote>
  <w:footnote w:id="542">
    <w:p w:rsidR="003F128F" w:rsidRPr="007E5BBA" w:rsidRDefault="003F128F" w:rsidP="00E45F32">
      <w:pPr>
        <w:pStyle w:val="af3"/>
        <w:rPr>
          <w:rFonts w:ascii="Traditional Arabic" w:hAnsi="Traditional Arabic"/>
          <w:sz w:val="32"/>
          <w:szCs w:val="32"/>
        </w:rPr>
      </w:pPr>
      <w:r w:rsidRPr="007E5BBA">
        <w:rPr>
          <w:rFonts w:ascii="Traditional Arabic" w:hAnsi="Traditional Arabic"/>
          <w:sz w:val="32"/>
          <w:szCs w:val="32"/>
          <w:rtl/>
        </w:rPr>
        <w:t>(</w:t>
      </w:r>
      <w:r w:rsidRPr="007E5BBA">
        <w:rPr>
          <w:rStyle w:val="ae"/>
          <w:rFonts w:ascii="Traditional Arabic" w:hAnsi="Traditional Arabic"/>
          <w:sz w:val="32"/>
          <w:szCs w:val="32"/>
          <w:vertAlign w:val="baseline"/>
        </w:rPr>
        <w:footnoteRef/>
      </w:r>
      <w:r>
        <w:rPr>
          <w:rFonts w:ascii="Traditional Arabic" w:hAnsi="Traditional Arabic"/>
          <w:sz w:val="32"/>
          <w:szCs w:val="32"/>
          <w:rtl/>
        </w:rPr>
        <w:t>)</w:t>
      </w:r>
      <w:r w:rsidRPr="007E5BBA">
        <w:rPr>
          <w:rFonts w:ascii="Traditional Arabic" w:hAnsi="Traditional Arabic"/>
          <w:sz w:val="32"/>
          <w:szCs w:val="32"/>
          <w:rtl/>
        </w:rPr>
        <w:t xml:space="preserve"> انظر: الكشف والبيان (6/123), رموز الكنوز (4/218).</w:t>
      </w:r>
    </w:p>
  </w:footnote>
  <w:footnote w:id="543">
    <w:p w:rsidR="003F128F" w:rsidRPr="007E5BBA" w:rsidRDefault="003F128F" w:rsidP="00580EE2">
      <w:pPr>
        <w:pStyle w:val="af3"/>
        <w:rPr>
          <w:rFonts w:ascii="Traditional Arabic" w:hAnsi="Traditional Arabic"/>
          <w:sz w:val="32"/>
          <w:szCs w:val="32"/>
        </w:rPr>
      </w:pPr>
      <w:r w:rsidRPr="007E5BBA">
        <w:rPr>
          <w:rFonts w:ascii="Traditional Arabic" w:hAnsi="Traditional Arabic"/>
          <w:sz w:val="32"/>
          <w:szCs w:val="32"/>
          <w:rtl/>
        </w:rPr>
        <w:t>(</w:t>
      </w:r>
      <w:r w:rsidRPr="007E5BBA">
        <w:rPr>
          <w:rStyle w:val="ae"/>
          <w:rFonts w:ascii="Traditional Arabic" w:hAnsi="Traditional Arabic"/>
          <w:sz w:val="32"/>
          <w:szCs w:val="32"/>
          <w:vertAlign w:val="baseline"/>
        </w:rPr>
        <w:footnoteRef/>
      </w:r>
      <w:r w:rsidRPr="007E5BBA">
        <w:rPr>
          <w:rFonts w:ascii="Traditional Arabic" w:hAnsi="Traditional Arabic"/>
          <w:sz w:val="32"/>
          <w:szCs w:val="32"/>
          <w:rtl/>
        </w:rPr>
        <w:t>)</w:t>
      </w:r>
      <w:r>
        <w:rPr>
          <w:rFonts w:ascii="Traditional Arabic" w:hAnsi="Traditional Arabic" w:hint="cs"/>
          <w:sz w:val="32"/>
          <w:szCs w:val="32"/>
          <w:rtl/>
        </w:rPr>
        <w:t xml:space="preserve"> انظر: </w:t>
      </w:r>
      <w:r w:rsidRPr="007E5BBA">
        <w:rPr>
          <w:rFonts w:ascii="Traditional Arabic" w:hAnsi="Traditional Arabic"/>
          <w:sz w:val="32"/>
          <w:szCs w:val="32"/>
          <w:rtl/>
        </w:rPr>
        <w:t xml:space="preserve">المعجم الكبير </w:t>
      </w:r>
      <w:r>
        <w:rPr>
          <w:rFonts w:ascii="Traditional Arabic" w:hAnsi="Traditional Arabic" w:hint="cs"/>
          <w:sz w:val="32"/>
          <w:szCs w:val="32"/>
          <w:rtl/>
        </w:rPr>
        <w:t xml:space="preserve">للطبراني </w:t>
      </w:r>
      <w:r w:rsidRPr="007E5BBA">
        <w:rPr>
          <w:rFonts w:ascii="Traditional Arabic" w:hAnsi="Traditional Arabic"/>
          <w:sz w:val="32"/>
          <w:szCs w:val="32"/>
          <w:rtl/>
        </w:rPr>
        <w:t>(12/61</w:t>
      </w:r>
      <w:r>
        <w:rPr>
          <w:rFonts w:ascii="Traditional Arabic" w:hAnsi="Traditional Arabic" w:hint="cs"/>
          <w:sz w:val="32"/>
          <w:szCs w:val="32"/>
          <w:rtl/>
        </w:rPr>
        <w:t xml:space="preserve"> ح12474</w:t>
      </w:r>
      <w:r w:rsidRPr="007E5BBA">
        <w:rPr>
          <w:rFonts w:ascii="Traditional Arabic" w:hAnsi="Traditional Arabic"/>
          <w:sz w:val="32"/>
          <w:szCs w:val="32"/>
          <w:rtl/>
        </w:rPr>
        <w:t>), وقد</w:t>
      </w:r>
      <w:r>
        <w:rPr>
          <w:rFonts w:ascii="Traditional Arabic" w:hAnsi="Traditional Arabic" w:hint="cs"/>
          <w:sz w:val="32"/>
          <w:szCs w:val="32"/>
          <w:rtl/>
        </w:rPr>
        <w:t xml:space="preserve"> أخرجه</w:t>
      </w:r>
      <w:r w:rsidRPr="007E5BBA">
        <w:rPr>
          <w:rFonts w:ascii="Traditional Arabic" w:hAnsi="Traditional Arabic"/>
          <w:sz w:val="32"/>
          <w:szCs w:val="32"/>
          <w:rtl/>
        </w:rPr>
        <w:t xml:space="preserve"> من حديث سعيد بن جبير عن ابن عباس به, وأورده الهيثمي في مجمع الزوائد (7/51), وذكره السيوطي في الدر</w:t>
      </w:r>
      <w:r>
        <w:rPr>
          <w:rFonts w:ascii="Traditional Arabic" w:hAnsi="Traditional Arabic" w:hint="cs"/>
          <w:sz w:val="32"/>
          <w:szCs w:val="32"/>
          <w:rtl/>
        </w:rPr>
        <w:t xml:space="preserve"> المنثور</w:t>
      </w:r>
      <w:r w:rsidRPr="007E5BBA">
        <w:rPr>
          <w:rFonts w:ascii="Traditional Arabic" w:hAnsi="Traditional Arabic"/>
          <w:sz w:val="32"/>
          <w:szCs w:val="32"/>
          <w:rtl/>
        </w:rPr>
        <w:t xml:space="preserve"> (</w:t>
      </w:r>
      <w:r>
        <w:rPr>
          <w:rFonts w:ascii="Traditional Arabic" w:hAnsi="Traditional Arabic" w:hint="cs"/>
          <w:sz w:val="32"/>
          <w:szCs w:val="32"/>
          <w:rtl/>
        </w:rPr>
        <w:t>5/328</w:t>
      </w:r>
      <w:r w:rsidRPr="007E5BBA">
        <w:rPr>
          <w:rFonts w:ascii="Traditional Arabic" w:hAnsi="Traditional Arabic"/>
          <w:sz w:val="32"/>
          <w:szCs w:val="32"/>
          <w:rtl/>
        </w:rPr>
        <w:t>).</w:t>
      </w:r>
    </w:p>
  </w:footnote>
  <w:footnote w:id="544">
    <w:p w:rsidR="003F128F" w:rsidRPr="00CE42BB" w:rsidRDefault="003F128F" w:rsidP="00A86956">
      <w:pPr>
        <w:pStyle w:val="af3"/>
        <w:rPr>
          <w:rFonts w:ascii="Tahoma" w:hAnsi="Tahoma"/>
        </w:rPr>
      </w:pPr>
      <w:r w:rsidRPr="007E5BBA">
        <w:rPr>
          <w:rFonts w:ascii="Traditional Arabic" w:hAnsi="Traditional Arabic"/>
          <w:sz w:val="32"/>
          <w:szCs w:val="32"/>
          <w:rtl/>
        </w:rPr>
        <w:t>(</w:t>
      </w:r>
      <w:r w:rsidRPr="007E5BBA">
        <w:rPr>
          <w:rStyle w:val="ae"/>
          <w:rFonts w:ascii="Traditional Arabic" w:hAnsi="Traditional Arabic"/>
          <w:sz w:val="32"/>
          <w:szCs w:val="32"/>
          <w:vertAlign w:val="baseline"/>
        </w:rPr>
        <w:footnoteRef/>
      </w:r>
      <w:r w:rsidRPr="007E5BBA">
        <w:rPr>
          <w:rFonts w:ascii="Traditional Arabic" w:hAnsi="Traditional Arabic"/>
          <w:sz w:val="32"/>
          <w:szCs w:val="32"/>
          <w:rtl/>
        </w:rPr>
        <w:t>) انظر: تفسير الطبري (17/529), الكشف والبيان (6/123)</w:t>
      </w:r>
      <w:r>
        <w:rPr>
          <w:rFonts w:ascii="Traditional Arabic" w:hAnsi="Traditional Arabic" w:hint="cs"/>
          <w:sz w:val="32"/>
          <w:szCs w:val="32"/>
          <w:rtl/>
        </w:rPr>
        <w:t>.</w:t>
      </w:r>
    </w:p>
  </w:footnote>
  <w:footnote w:id="545">
    <w:p w:rsidR="003F128F" w:rsidRPr="00480C1D" w:rsidRDefault="003F128F" w:rsidP="00480C1D">
      <w:pPr>
        <w:pStyle w:val="af3"/>
        <w:rPr>
          <w:rFonts w:ascii="Traditional Arabic" w:hAnsi="Traditional Arabic"/>
          <w:sz w:val="32"/>
          <w:szCs w:val="32"/>
        </w:rPr>
      </w:pPr>
      <w:r w:rsidRPr="00480C1D">
        <w:rPr>
          <w:rFonts w:ascii="Traditional Arabic" w:hAnsi="Traditional Arabic"/>
          <w:color w:val="auto"/>
          <w:sz w:val="32"/>
          <w:szCs w:val="32"/>
          <w:rtl/>
        </w:rPr>
        <w:t>(</w:t>
      </w:r>
      <w:r w:rsidRPr="00480C1D">
        <w:rPr>
          <w:rStyle w:val="ae"/>
          <w:rFonts w:ascii="Traditional Arabic" w:hAnsi="Traditional Arabic"/>
          <w:color w:val="auto"/>
          <w:sz w:val="32"/>
          <w:szCs w:val="32"/>
          <w:vertAlign w:val="baseline"/>
        </w:rPr>
        <w:footnoteRef/>
      </w:r>
      <w:r w:rsidRPr="00480C1D">
        <w:rPr>
          <w:rFonts w:ascii="Traditional Arabic" w:hAnsi="Traditional Arabic"/>
          <w:color w:val="auto"/>
          <w:sz w:val="32"/>
          <w:szCs w:val="32"/>
          <w:rtl/>
        </w:rPr>
        <w:t xml:space="preserve">) هو </w:t>
      </w:r>
      <w:r>
        <w:rPr>
          <w:rFonts w:ascii="Traditional Arabic" w:hAnsi="Traditional Arabic"/>
          <w:color w:val="auto"/>
          <w:sz w:val="32"/>
          <w:szCs w:val="32"/>
          <w:rtl/>
        </w:rPr>
        <w:t>الإمام</w:t>
      </w:r>
      <w:r w:rsidRPr="00480C1D">
        <w:rPr>
          <w:rFonts w:ascii="Traditional Arabic" w:hAnsi="Traditional Arabic"/>
          <w:color w:val="auto"/>
          <w:sz w:val="32"/>
          <w:szCs w:val="32"/>
          <w:rtl/>
        </w:rPr>
        <w:t xml:space="preserve"> القارئ</w:t>
      </w:r>
      <w:r>
        <w:rPr>
          <w:rFonts w:ascii="Traditional Arabic" w:hAnsi="Traditional Arabic" w:hint="cs"/>
          <w:color w:val="auto"/>
          <w:sz w:val="32"/>
          <w:szCs w:val="32"/>
          <w:rtl/>
        </w:rPr>
        <w:t>,</w:t>
      </w:r>
      <w:r w:rsidRPr="00480C1D">
        <w:rPr>
          <w:rFonts w:ascii="Traditional Arabic" w:hAnsi="Traditional Arabic"/>
          <w:color w:val="auto"/>
          <w:sz w:val="32"/>
          <w:szCs w:val="32"/>
          <w:rtl/>
        </w:rPr>
        <w:t xml:space="preserve"> أبو صفوان</w:t>
      </w:r>
      <w:r>
        <w:rPr>
          <w:rFonts w:ascii="Traditional Arabic" w:hAnsi="Traditional Arabic" w:hint="cs"/>
          <w:color w:val="auto"/>
          <w:sz w:val="32"/>
          <w:szCs w:val="32"/>
          <w:rtl/>
        </w:rPr>
        <w:t>,</w:t>
      </w:r>
      <w:r w:rsidRPr="00480C1D">
        <w:rPr>
          <w:rFonts w:ascii="Traditional Arabic" w:hAnsi="Traditional Arabic"/>
          <w:color w:val="auto"/>
          <w:sz w:val="32"/>
          <w:szCs w:val="32"/>
          <w:rtl/>
        </w:rPr>
        <w:t xml:space="preserve"> حميد بن قيس الأعرج</w:t>
      </w:r>
      <w:r w:rsidRPr="00480C1D">
        <w:rPr>
          <w:rFonts w:ascii="Traditional Arabic" w:hAnsi="Traditional Arabic"/>
          <w:color w:val="auto"/>
          <w:sz w:val="32"/>
          <w:szCs w:val="32"/>
          <w:rtl/>
          <w:lang w:eastAsia="en-US"/>
        </w:rPr>
        <w:t xml:space="preserve"> المكيُّ</w:t>
      </w:r>
      <w:r>
        <w:rPr>
          <w:rFonts w:ascii="Traditional Arabic" w:hAnsi="Traditional Arabic" w:hint="cs"/>
          <w:color w:val="auto"/>
          <w:sz w:val="32"/>
          <w:szCs w:val="32"/>
          <w:rtl/>
          <w:lang w:eastAsia="en-US"/>
        </w:rPr>
        <w:t>,</w:t>
      </w:r>
      <w:r w:rsidRPr="00480C1D">
        <w:rPr>
          <w:rFonts w:ascii="Traditional Arabic" w:hAnsi="Traditional Arabic"/>
          <w:color w:val="auto"/>
          <w:sz w:val="32"/>
          <w:szCs w:val="32"/>
          <w:rtl/>
          <w:lang w:eastAsia="en-US"/>
        </w:rPr>
        <w:t xml:space="preserve"> </w:t>
      </w:r>
      <w:r w:rsidRPr="00480C1D">
        <w:rPr>
          <w:rFonts w:ascii="Traditional Arabic" w:hAnsi="Traditional Arabic"/>
          <w:color w:val="auto"/>
          <w:sz w:val="32"/>
          <w:szCs w:val="32"/>
          <w:rtl/>
        </w:rPr>
        <w:t>الأسدي,</w:t>
      </w:r>
      <w:r w:rsidRPr="00480C1D">
        <w:rPr>
          <w:rFonts w:ascii="Traditional Arabic" w:hAnsi="Traditional Arabic"/>
          <w:color w:val="auto"/>
          <w:sz w:val="32"/>
          <w:szCs w:val="32"/>
          <w:rtl/>
          <w:lang w:eastAsia="en-US"/>
        </w:rPr>
        <w:t xml:space="preserve"> </w:t>
      </w:r>
      <w:r w:rsidRPr="00480C1D">
        <w:rPr>
          <w:rFonts w:ascii="Traditional Arabic" w:hAnsi="Traditional Arabic"/>
          <w:color w:val="auto"/>
          <w:sz w:val="32"/>
          <w:szCs w:val="32"/>
          <w:rtl/>
        </w:rPr>
        <w:t>مولى بني أسد بن عبد العزى</w:t>
      </w:r>
      <w:r w:rsidRPr="00480C1D">
        <w:rPr>
          <w:rFonts w:ascii="Traditional Arabic" w:hAnsi="Traditional Arabic"/>
          <w:color w:val="auto"/>
          <w:sz w:val="32"/>
          <w:szCs w:val="32"/>
          <w:rtl/>
          <w:lang w:eastAsia="en-US"/>
        </w:rPr>
        <w:t xml:space="preserve">, </w:t>
      </w:r>
      <w:r w:rsidRPr="00480C1D">
        <w:rPr>
          <w:rFonts w:ascii="Traditional Arabic" w:hAnsi="Traditional Arabic"/>
          <w:color w:val="auto"/>
          <w:sz w:val="32"/>
          <w:szCs w:val="32"/>
          <w:rtl/>
        </w:rPr>
        <w:t>كان ثقة كثير الحديث، وكان قارئ أهل مكة</w:t>
      </w:r>
      <w:r>
        <w:rPr>
          <w:rFonts w:ascii="Traditional Arabic" w:hAnsi="Traditional Arabic" w:hint="cs"/>
          <w:color w:val="auto"/>
          <w:sz w:val="32"/>
          <w:szCs w:val="32"/>
          <w:rtl/>
        </w:rPr>
        <w:t>,</w:t>
      </w:r>
      <w:r w:rsidRPr="00480C1D">
        <w:rPr>
          <w:rFonts w:ascii="Traditional Arabic" w:hAnsi="Traditional Arabic"/>
          <w:color w:val="auto"/>
          <w:sz w:val="32"/>
          <w:szCs w:val="32"/>
          <w:rtl/>
        </w:rPr>
        <w:t xml:space="preserve"> (ت130ه). انظر: تهذيب الكمال (7/384), معرفة القراء الكبار (1/55), غاية النهاية (1/265). </w:t>
      </w:r>
    </w:p>
  </w:footnote>
  <w:footnote w:id="546">
    <w:p w:rsidR="003F128F" w:rsidRPr="00F61151" w:rsidRDefault="003F128F" w:rsidP="00572289">
      <w:pPr>
        <w:pStyle w:val="af3"/>
        <w:rPr>
          <w:rFonts w:ascii="Traditional Arabic" w:hAnsi="Traditional Arabic"/>
          <w:sz w:val="32"/>
          <w:szCs w:val="32"/>
        </w:rPr>
      </w:pPr>
      <w:r w:rsidRPr="00F61151">
        <w:rPr>
          <w:rFonts w:ascii="Traditional Arabic" w:hAnsi="Traditional Arabic"/>
          <w:sz w:val="32"/>
          <w:szCs w:val="32"/>
          <w:rtl/>
        </w:rPr>
        <w:t>(</w:t>
      </w:r>
      <w:r w:rsidRPr="00F61151">
        <w:rPr>
          <w:rStyle w:val="ae"/>
          <w:rFonts w:ascii="Traditional Arabic" w:hAnsi="Traditional Arabic"/>
          <w:sz w:val="32"/>
          <w:szCs w:val="32"/>
          <w:vertAlign w:val="baseline"/>
        </w:rPr>
        <w:footnoteRef/>
      </w:r>
      <w:r>
        <w:rPr>
          <w:rFonts w:ascii="Traditional Arabic" w:hAnsi="Traditional Arabic"/>
          <w:sz w:val="32"/>
          <w:szCs w:val="32"/>
          <w:rtl/>
        </w:rPr>
        <w:t>)</w:t>
      </w:r>
      <w:r w:rsidRPr="00F61151">
        <w:rPr>
          <w:rFonts w:ascii="Traditional Arabic" w:hAnsi="Traditional Arabic"/>
          <w:sz w:val="32"/>
          <w:szCs w:val="32"/>
          <w:rtl/>
        </w:rPr>
        <w:t xml:space="preserve"> هو التابعي </w:t>
      </w:r>
      <w:r>
        <w:rPr>
          <w:rFonts w:ascii="Traditional Arabic" w:hAnsi="Traditional Arabic"/>
          <w:sz w:val="32"/>
          <w:szCs w:val="32"/>
          <w:rtl/>
        </w:rPr>
        <w:t>الإمام</w:t>
      </w:r>
      <w:r>
        <w:rPr>
          <w:rFonts w:ascii="Traditional Arabic" w:hAnsi="Traditional Arabic" w:hint="cs"/>
          <w:sz w:val="32"/>
          <w:szCs w:val="32"/>
          <w:rtl/>
        </w:rPr>
        <w:t>,</w:t>
      </w:r>
      <w:r w:rsidRPr="00F61151">
        <w:rPr>
          <w:rFonts w:ascii="Traditional Arabic" w:hAnsi="Traditional Arabic"/>
          <w:sz w:val="32"/>
          <w:szCs w:val="32"/>
          <w:rtl/>
        </w:rPr>
        <w:t xml:space="preserve"> القارئ</w:t>
      </w:r>
      <w:r>
        <w:rPr>
          <w:rFonts w:ascii="Traditional Arabic" w:hAnsi="Traditional Arabic" w:hint="cs"/>
          <w:sz w:val="32"/>
          <w:szCs w:val="32"/>
          <w:rtl/>
        </w:rPr>
        <w:t>,</w:t>
      </w:r>
      <w:r w:rsidRPr="00F61151">
        <w:rPr>
          <w:rFonts w:ascii="Traditional Arabic" w:hAnsi="Traditional Arabic"/>
          <w:sz w:val="32"/>
          <w:szCs w:val="32"/>
          <w:rtl/>
        </w:rPr>
        <w:t xml:space="preserve"> أبو إسماعيل</w:t>
      </w:r>
      <w:r>
        <w:rPr>
          <w:rFonts w:ascii="Traditional Arabic" w:hAnsi="Traditional Arabic" w:hint="cs"/>
          <w:sz w:val="32"/>
          <w:szCs w:val="32"/>
          <w:rtl/>
        </w:rPr>
        <w:t>,</w:t>
      </w:r>
      <w:r w:rsidRPr="00F61151">
        <w:rPr>
          <w:rFonts w:ascii="Traditional Arabic" w:hAnsi="Traditional Arabic"/>
          <w:sz w:val="32"/>
          <w:szCs w:val="32"/>
          <w:rtl/>
        </w:rPr>
        <w:t xml:space="preserve"> إبراهيم بن أبي عبلة واسمه شمر بْن يقظان بْن المرتحل العقيليُّ, المقدسيُّ، مُقرئٌ ثقةٌ،</w:t>
      </w:r>
      <w:r w:rsidRPr="00F61151">
        <w:rPr>
          <w:rFonts w:ascii="Traditional Arabic" w:hAnsi="Traditional Arabic"/>
          <w:sz w:val="32"/>
          <w:szCs w:val="32"/>
          <w:rtl/>
          <w:lang w:eastAsia="en-US"/>
        </w:rPr>
        <w:t xml:space="preserve"> </w:t>
      </w:r>
      <w:r w:rsidRPr="00F61151">
        <w:rPr>
          <w:rFonts w:ascii="Traditional Arabic" w:hAnsi="Traditional Arabic"/>
          <w:sz w:val="32"/>
          <w:szCs w:val="32"/>
          <w:rtl/>
        </w:rPr>
        <w:t>له حروف في القراءات واختيار خالف فيه العامة، توفي سنة: (152ه). انظر: تهذيب الكمال (2/140), غاية النهاية (1/19).</w:t>
      </w:r>
    </w:p>
  </w:footnote>
  <w:footnote w:id="547">
    <w:p w:rsidR="003F128F" w:rsidRPr="00F61151" w:rsidRDefault="003F128F" w:rsidP="00580EE2">
      <w:pPr>
        <w:pStyle w:val="af3"/>
        <w:rPr>
          <w:rFonts w:ascii="Traditional Arabic" w:hAnsi="Traditional Arabic"/>
          <w:sz w:val="32"/>
          <w:szCs w:val="32"/>
        </w:rPr>
      </w:pPr>
      <w:r w:rsidRPr="00F61151">
        <w:rPr>
          <w:rFonts w:ascii="Traditional Arabic" w:hAnsi="Traditional Arabic"/>
          <w:sz w:val="32"/>
          <w:szCs w:val="32"/>
          <w:rtl/>
        </w:rPr>
        <w:t>(</w:t>
      </w:r>
      <w:r w:rsidRPr="00F61151">
        <w:rPr>
          <w:rStyle w:val="ae"/>
          <w:rFonts w:ascii="Traditional Arabic" w:hAnsi="Traditional Arabic"/>
          <w:sz w:val="32"/>
          <w:szCs w:val="32"/>
          <w:vertAlign w:val="baseline"/>
        </w:rPr>
        <w:footnoteRef/>
      </w:r>
      <w:r>
        <w:rPr>
          <w:rFonts w:ascii="Traditional Arabic" w:hAnsi="Traditional Arabic"/>
          <w:sz w:val="32"/>
          <w:szCs w:val="32"/>
          <w:rtl/>
        </w:rPr>
        <w:t>)</w:t>
      </w:r>
      <w:r>
        <w:rPr>
          <w:rFonts w:ascii="Traditional Arabic" w:hAnsi="Traditional Arabic" w:hint="cs"/>
          <w:sz w:val="32"/>
          <w:szCs w:val="32"/>
          <w:rtl/>
        </w:rPr>
        <w:t xml:space="preserve"> </w:t>
      </w:r>
      <w:r w:rsidRPr="00F61151">
        <w:rPr>
          <w:rFonts w:ascii="Traditional Arabic" w:hAnsi="Traditional Arabic"/>
          <w:sz w:val="32"/>
          <w:szCs w:val="32"/>
          <w:rtl/>
        </w:rPr>
        <w:t>انظر: مختصر الشواذ لابن خالويه (ص81), شواذ القراءة للكرماني (ص138).</w:t>
      </w:r>
    </w:p>
  </w:footnote>
  <w:footnote w:id="548">
    <w:p w:rsidR="003F128F" w:rsidRPr="00293449" w:rsidRDefault="003F128F" w:rsidP="00F61151">
      <w:pPr>
        <w:pStyle w:val="af3"/>
        <w:rPr>
          <w:rFonts w:ascii="Tahoma" w:hAnsi="Tahoma"/>
        </w:rPr>
      </w:pPr>
      <w:r w:rsidRPr="00F61151">
        <w:rPr>
          <w:rFonts w:ascii="Traditional Arabic" w:hAnsi="Traditional Arabic"/>
          <w:sz w:val="32"/>
          <w:szCs w:val="32"/>
          <w:rtl/>
        </w:rPr>
        <w:t>(</w:t>
      </w:r>
      <w:r w:rsidRPr="00F61151">
        <w:rPr>
          <w:rStyle w:val="ae"/>
          <w:rFonts w:ascii="Traditional Arabic" w:hAnsi="Traditional Arabic"/>
          <w:sz w:val="32"/>
          <w:szCs w:val="32"/>
          <w:vertAlign w:val="baseline"/>
        </w:rPr>
        <w:footnoteRef/>
      </w:r>
      <w:r w:rsidRPr="00F61151">
        <w:rPr>
          <w:rFonts w:ascii="Traditional Arabic" w:hAnsi="Traditional Arabic"/>
          <w:sz w:val="32"/>
          <w:szCs w:val="32"/>
          <w:rtl/>
        </w:rPr>
        <w:t xml:space="preserve">) انظر: معاني القرآن وإعرابه (3/257).  </w:t>
      </w:r>
    </w:p>
  </w:footnote>
  <w:footnote w:id="549">
    <w:p w:rsidR="003F128F" w:rsidRPr="00EE371E" w:rsidRDefault="003F128F" w:rsidP="00911ED4">
      <w:pPr>
        <w:pStyle w:val="af3"/>
        <w:rPr>
          <w:rFonts w:ascii="Traditional Arabic" w:hAnsi="Traditional Arabic"/>
          <w:sz w:val="32"/>
          <w:szCs w:val="32"/>
        </w:rPr>
      </w:pPr>
      <w:r w:rsidRPr="00EE371E">
        <w:rPr>
          <w:rFonts w:ascii="Traditional Arabic" w:hAnsi="Traditional Arabic"/>
          <w:sz w:val="32"/>
          <w:szCs w:val="32"/>
          <w:rtl/>
        </w:rPr>
        <w:t>(</w:t>
      </w:r>
      <w:r w:rsidRPr="00EE371E">
        <w:rPr>
          <w:rStyle w:val="ae"/>
          <w:rFonts w:ascii="Traditional Arabic" w:hAnsi="Traditional Arabic"/>
          <w:sz w:val="32"/>
          <w:szCs w:val="32"/>
          <w:vertAlign w:val="baseline"/>
        </w:rPr>
        <w:footnoteRef/>
      </w:r>
      <w:r w:rsidRPr="00EE371E">
        <w:rPr>
          <w:rFonts w:ascii="Traditional Arabic" w:hAnsi="Traditional Arabic"/>
          <w:sz w:val="32"/>
          <w:szCs w:val="32"/>
          <w:rtl/>
        </w:rPr>
        <w:t>) انظر: تفسير عبد الرزاق (2/389), الطبري (17/534).</w:t>
      </w:r>
    </w:p>
  </w:footnote>
  <w:footnote w:id="550">
    <w:p w:rsidR="003F128F" w:rsidRPr="00EE371E" w:rsidRDefault="003F128F" w:rsidP="00911ED4">
      <w:pPr>
        <w:pStyle w:val="af3"/>
        <w:rPr>
          <w:rFonts w:ascii="Traditional Arabic" w:hAnsi="Traditional Arabic"/>
          <w:sz w:val="32"/>
          <w:szCs w:val="32"/>
        </w:rPr>
      </w:pPr>
      <w:r w:rsidRPr="00EE371E">
        <w:rPr>
          <w:rFonts w:ascii="Traditional Arabic" w:hAnsi="Traditional Arabic"/>
          <w:sz w:val="32"/>
          <w:szCs w:val="32"/>
          <w:rtl/>
        </w:rPr>
        <w:t>(</w:t>
      </w:r>
      <w:r w:rsidRPr="00EE371E">
        <w:rPr>
          <w:rStyle w:val="ae"/>
          <w:rFonts w:ascii="Traditional Arabic" w:hAnsi="Traditional Arabic"/>
          <w:sz w:val="32"/>
          <w:szCs w:val="32"/>
          <w:vertAlign w:val="baseline"/>
        </w:rPr>
        <w:footnoteRef/>
      </w:r>
      <w:r>
        <w:rPr>
          <w:rFonts w:ascii="Traditional Arabic" w:hAnsi="Traditional Arabic"/>
          <w:sz w:val="32"/>
          <w:szCs w:val="32"/>
          <w:rtl/>
        </w:rPr>
        <w:t xml:space="preserve">) </w:t>
      </w:r>
      <w:r w:rsidRPr="00EE371E">
        <w:rPr>
          <w:rFonts w:ascii="Traditional Arabic" w:hAnsi="Traditional Arabic"/>
          <w:sz w:val="32"/>
          <w:szCs w:val="32"/>
          <w:rtl/>
        </w:rPr>
        <w:t xml:space="preserve">هو التابعي </w:t>
      </w:r>
      <w:r>
        <w:rPr>
          <w:rFonts w:ascii="Traditional Arabic" w:hAnsi="Traditional Arabic"/>
          <w:sz w:val="32"/>
          <w:szCs w:val="32"/>
          <w:rtl/>
        </w:rPr>
        <w:t>الإمام</w:t>
      </w:r>
      <w:r>
        <w:rPr>
          <w:rFonts w:ascii="Traditional Arabic" w:hAnsi="Traditional Arabic" w:hint="cs"/>
          <w:sz w:val="32"/>
          <w:szCs w:val="32"/>
          <w:rtl/>
        </w:rPr>
        <w:t>,</w:t>
      </w:r>
      <w:r w:rsidRPr="00EE371E">
        <w:rPr>
          <w:rFonts w:ascii="Traditional Arabic" w:hAnsi="Traditional Arabic"/>
          <w:sz w:val="32"/>
          <w:szCs w:val="32"/>
          <w:rtl/>
        </w:rPr>
        <w:t xml:space="preserve"> </w:t>
      </w:r>
      <w:r>
        <w:rPr>
          <w:rFonts w:ascii="Traditional Arabic" w:hAnsi="Traditional Arabic"/>
          <w:sz w:val="32"/>
          <w:szCs w:val="32"/>
          <w:rtl/>
        </w:rPr>
        <w:t>أب</w:t>
      </w:r>
      <w:r w:rsidRPr="00EE371E">
        <w:rPr>
          <w:rFonts w:ascii="Traditional Arabic" w:hAnsi="Traditional Arabic"/>
          <w:sz w:val="32"/>
          <w:szCs w:val="32"/>
          <w:rtl/>
        </w:rPr>
        <w:t>و ظَبْيَانَ</w:t>
      </w:r>
      <w:r>
        <w:rPr>
          <w:rFonts w:ascii="Traditional Arabic" w:hAnsi="Traditional Arabic" w:hint="cs"/>
          <w:sz w:val="32"/>
          <w:szCs w:val="32"/>
          <w:rtl/>
        </w:rPr>
        <w:t>,</w:t>
      </w:r>
      <w:r w:rsidRPr="00EE371E">
        <w:rPr>
          <w:rFonts w:ascii="Traditional Arabic" w:hAnsi="Traditional Arabic"/>
          <w:sz w:val="32"/>
          <w:szCs w:val="32"/>
          <w:rtl/>
        </w:rPr>
        <w:t xml:space="preserve"> </w:t>
      </w:r>
      <w:r>
        <w:rPr>
          <w:rFonts w:ascii="Traditional Arabic" w:hAnsi="Traditional Arabic"/>
          <w:sz w:val="32"/>
          <w:szCs w:val="32"/>
          <w:rtl/>
        </w:rPr>
        <w:t>حُصَيْن بن جندب بن</w:t>
      </w:r>
      <w:r w:rsidRPr="00EE371E">
        <w:rPr>
          <w:rFonts w:ascii="Traditional Arabic" w:hAnsi="Traditional Arabic"/>
          <w:sz w:val="32"/>
          <w:szCs w:val="32"/>
          <w:rtl/>
        </w:rPr>
        <w:t xml:space="preserve"> </w:t>
      </w:r>
      <w:r>
        <w:rPr>
          <w:rFonts w:ascii="Traditional Arabic" w:hAnsi="Traditional Arabic"/>
          <w:sz w:val="32"/>
          <w:szCs w:val="32"/>
          <w:rtl/>
        </w:rPr>
        <w:t>عمر</w:t>
      </w:r>
      <w:r w:rsidRPr="00A12C2C">
        <w:rPr>
          <w:rFonts w:ascii="Traditional Arabic" w:hAnsi="Traditional Arabic"/>
          <w:sz w:val="32"/>
          <w:szCs w:val="32"/>
          <w:rtl/>
        </w:rPr>
        <w:t xml:space="preserve">و </w:t>
      </w:r>
      <w:r>
        <w:rPr>
          <w:rFonts w:ascii="Traditional Arabic" w:hAnsi="Traditional Arabic"/>
          <w:sz w:val="32"/>
          <w:szCs w:val="32"/>
          <w:rtl/>
        </w:rPr>
        <w:t>بن الحار</w:t>
      </w:r>
      <w:r w:rsidRPr="00A12C2C">
        <w:rPr>
          <w:rFonts w:ascii="Traditional Arabic" w:hAnsi="Traditional Arabic"/>
          <w:sz w:val="32"/>
          <w:szCs w:val="32"/>
          <w:rtl/>
        </w:rPr>
        <w:t xml:space="preserve">ث </w:t>
      </w:r>
      <w:r>
        <w:rPr>
          <w:rFonts w:ascii="Traditional Arabic" w:hAnsi="Traditional Arabic"/>
          <w:sz w:val="32"/>
          <w:szCs w:val="32"/>
          <w:rtl/>
        </w:rPr>
        <w:t>الجَنْبِي</w:t>
      </w:r>
      <w:r w:rsidRPr="00EE371E">
        <w:rPr>
          <w:rFonts w:ascii="Traditional Arabic" w:hAnsi="Traditional Arabic"/>
          <w:sz w:val="32"/>
          <w:szCs w:val="32"/>
          <w:rtl/>
        </w:rPr>
        <w:t>,</w:t>
      </w:r>
      <w:r>
        <w:rPr>
          <w:rFonts w:ascii="Traditional Arabic" w:hAnsi="Traditional Arabic" w:hint="cs"/>
          <w:sz w:val="32"/>
          <w:szCs w:val="32"/>
          <w:rtl/>
        </w:rPr>
        <w:t xml:space="preserve"> </w:t>
      </w:r>
      <w:r>
        <w:rPr>
          <w:rFonts w:ascii="Traditional Arabic" w:hAnsi="Traditional Arabic"/>
          <w:sz w:val="32"/>
          <w:szCs w:val="32"/>
          <w:rtl/>
        </w:rPr>
        <w:t>الكوفِي، من علماء الكوفة</w:t>
      </w:r>
      <w:r w:rsidRPr="00EE371E">
        <w:rPr>
          <w:rFonts w:ascii="Traditional Arabic" w:hAnsi="Traditional Arabic"/>
          <w:sz w:val="32"/>
          <w:szCs w:val="32"/>
          <w:rtl/>
        </w:rPr>
        <w:t xml:space="preserve">, </w:t>
      </w:r>
      <w:r>
        <w:rPr>
          <w:rFonts w:ascii="Traditional Arabic" w:hAnsi="Traditional Arabic"/>
          <w:sz w:val="32"/>
          <w:szCs w:val="32"/>
          <w:rtl/>
        </w:rPr>
        <w:t>مشهور بالحديث</w:t>
      </w:r>
      <w:r w:rsidRPr="00EE371E">
        <w:rPr>
          <w:rFonts w:ascii="Traditional Arabic" w:hAnsi="Traditional Arabic"/>
          <w:sz w:val="32"/>
          <w:szCs w:val="32"/>
          <w:rtl/>
        </w:rPr>
        <w:t>, (ت90ه). انظر</w:t>
      </w:r>
      <w:r>
        <w:rPr>
          <w:rFonts w:ascii="Traditional Arabic" w:hAnsi="Traditional Arabic" w:hint="cs"/>
          <w:sz w:val="32"/>
          <w:szCs w:val="32"/>
          <w:rtl/>
        </w:rPr>
        <w:t>:</w:t>
      </w:r>
      <w:r w:rsidRPr="00EE371E">
        <w:rPr>
          <w:rFonts w:ascii="Traditional Arabic" w:hAnsi="Traditional Arabic"/>
          <w:sz w:val="32"/>
          <w:szCs w:val="32"/>
          <w:rtl/>
        </w:rPr>
        <w:t xml:space="preserve"> تهذيب الكمال (</w:t>
      </w:r>
      <w:r>
        <w:rPr>
          <w:rFonts w:ascii="Traditional Arabic" w:hAnsi="Traditional Arabic" w:hint="cs"/>
          <w:sz w:val="32"/>
          <w:szCs w:val="32"/>
          <w:rtl/>
        </w:rPr>
        <w:t>6/514</w:t>
      </w:r>
      <w:r w:rsidRPr="00EE371E">
        <w:rPr>
          <w:rFonts w:ascii="Traditional Arabic" w:hAnsi="Traditional Arabic"/>
          <w:sz w:val="32"/>
          <w:szCs w:val="32"/>
          <w:rtl/>
        </w:rPr>
        <w:t>), سير أعلام النبلاء (4/362),</w:t>
      </w:r>
      <w:r>
        <w:rPr>
          <w:rFonts w:ascii="Traditional Arabic" w:hAnsi="Traditional Arabic" w:hint="cs"/>
          <w:sz w:val="32"/>
          <w:szCs w:val="32"/>
          <w:rtl/>
        </w:rPr>
        <w:t xml:space="preserve"> </w:t>
      </w:r>
      <w:r w:rsidRPr="00EE371E">
        <w:rPr>
          <w:rFonts w:ascii="Traditional Arabic" w:hAnsi="Traditional Arabic"/>
          <w:sz w:val="32"/>
          <w:szCs w:val="32"/>
          <w:rtl/>
        </w:rPr>
        <w:t>الوافي بالوفيات (13/58).</w:t>
      </w:r>
    </w:p>
  </w:footnote>
  <w:footnote w:id="551">
    <w:p w:rsidR="003F128F" w:rsidRPr="003E2DCD" w:rsidRDefault="003F128F" w:rsidP="00FF0C4E">
      <w:pPr>
        <w:pStyle w:val="af3"/>
        <w:rPr>
          <w:rFonts w:ascii="Traditional Arabic" w:hAnsi="Traditional Arabic"/>
          <w:sz w:val="32"/>
          <w:szCs w:val="32"/>
        </w:rPr>
      </w:pPr>
      <w:r w:rsidRPr="00C41328">
        <w:rPr>
          <w:rFonts w:ascii="Traditional Arabic" w:hAnsi="Traditional Arabic"/>
          <w:sz w:val="32"/>
          <w:szCs w:val="32"/>
          <w:rtl/>
        </w:rPr>
        <w:t>(</w:t>
      </w:r>
      <w:r w:rsidRPr="00C41328">
        <w:rPr>
          <w:rStyle w:val="ae"/>
          <w:rFonts w:ascii="Traditional Arabic" w:hAnsi="Traditional Arabic"/>
          <w:sz w:val="32"/>
          <w:szCs w:val="32"/>
          <w:vertAlign w:val="baseline"/>
        </w:rPr>
        <w:footnoteRef/>
      </w:r>
      <w:r>
        <w:rPr>
          <w:rFonts w:ascii="Traditional Arabic" w:hAnsi="Traditional Arabic"/>
          <w:sz w:val="32"/>
          <w:szCs w:val="32"/>
          <w:rtl/>
        </w:rPr>
        <w:t>)</w:t>
      </w:r>
      <w:r w:rsidRPr="00C41328">
        <w:rPr>
          <w:rFonts w:ascii="Traditional Arabic" w:hAnsi="Traditional Arabic"/>
          <w:sz w:val="32"/>
          <w:szCs w:val="32"/>
          <w:rtl/>
        </w:rPr>
        <w:t xml:space="preserve"> أخرجه أحمد في مسنده (3/417 ح1948)، والترمذي في "جامعه" (كتاب التفسير، باب</w:t>
      </w:r>
      <w:r>
        <w:rPr>
          <w:rFonts w:ascii="Traditional Arabic" w:hAnsi="Traditional Arabic" w:hint="cs"/>
          <w:sz w:val="32"/>
          <w:szCs w:val="32"/>
          <w:rtl/>
        </w:rPr>
        <w:t>:</w:t>
      </w:r>
      <w:r w:rsidRPr="00C41328">
        <w:rPr>
          <w:rFonts w:ascii="Traditional Arabic" w:hAnsi="Traditional Arabic"/>
          <w:sz w:val="32"/>
          <w:szCs w:val="32"/>
          <w:rtl/>
        </w:rPr>
        <w:t xml:space="preserve"> ومن سورة بني إسرائيل</w:t>
      </w:r>
      <w:r w:rsidRPr="00C41328">
        <w:rPr>
          <w:rFonts w:ascii="Traditional Arabic" w:hAnsi="Traditional Arabic"/>
          <w:sz w:val="32"/>
          <w:szCs w:val="32"/>
          <w:rtl/>
          <w:lang w:eastAsia="en-US"/>
        </w:rPr>
        <w:t xml:space="preserve"> </w:t>
      </w:r>
      <w:r w:rsidRPr="00C41328">
        <w:rPr>
          <w:rFonts w:ascii="Traditional Arabic" w:hAnsi="Traditional Arabic"/>
          <w:sz w:val="32"/>
          <w:szCs w:val="32"/>
          <w:rtl/>
        </w:rPr>
        <w:t xml:space="preserve">8/550 ح3139)، والحاكم في المستدرك، (2/265 ح2956)، وقال: هذا حديث </w:t>
      </w:r>
      <w:r w:rsidRPr="003E2DCD">
        <w:rPr>
          <w:rFonts w:ascii="Traditional Arabic" w:hAnsi="Traditional Arabic"/>
          <w:sz w:val="32"/>
          <w:szCs w:val="32"/>
          <w:rtl/>
        </w:rPr>
        <w:t>صحيح الإِسناد ولم يخرجاه. ووافقه الذهبي، والطبري في تفسيره (17/533), وغيرهم, والحديث ضعفه الألباني، انظر: ضعيف</w:t>
      </w:r>
      <w:r>
        <w:rPr>
          <w:rFonts w:ascii="Traditional Arabic" w:hAnsi="Traditional Arabic" w:hint="cs"/>
          <w:sz w:val="32"/>
          <w:szCs w:val="32"/>
          <w:rtl/>
        </w:rPr>
        <w:t xml:space="preserve"> سنن</w:t>
      </w:r>
      <w:r w:rsidRPr="003E2DCD">
        <w:rPr>
          <w:rFonts w:ascii="Traditional Arabic" w:hAnsi="Traditional Arabic"/>
          <w:sz w:val="32"/>
          <w:szCs w:val="32"/>
          <w:rtl/>
        </w:rPr>
        <w:t xml:space="preserve"> الترمذي (</w:t>
      </w:r>
      <w:r>
        <w:rPr>
          <w:rFonts w:ascii="Traditional Arabic" w:hAnsi="Traditional Arabic" w:hint="cs"/>
          <w:sz w:val="32"/>
          <w:szCs w:val="32"/>
          <w:rtl/>
        </w:rPr>
        <w:t xml:space="preserve">ص390 </w:t>
      </w:r>
      <w:r w:rsidRPr="003E2DCD">
        <w:rPr>
          <w:rFonts w:ascii="Traditional Arabic" w:hAnsi="Traditional Arabic"/>
          <w:sz w:val="32"/>
          <w:szCs w:val="32"/>
          <w:rtl/>
        </w:rPr>
        <w:t>ح611).</w:t>
      </w:r>
    </w:p>
  </w:footnote>
  <w:footnote w:id="552">
    <w:p w:rsidR="003F128F" w:rsidRPr="00B72410" w:rsidRDefault="003F128F" w:rsidP="00911ED4">
      <w:pPr>
        <w:pStyle w:val="af3"/>
        <w:rPr>
          <w:rFonts w:ascii="Traditional Arabic" w:hAnsi="Traditional Arabic"/>
          <w:sz w:val="32"/>
          <w:szCs w:val="32"/>
        </w:rPr>
      </w:pPr>
      <w:r w:rsidRPr="00B72410">
        <w:rPr>
          <w:rFonts w:ascii="Traditional Arabic" w:hAnsi="Traditional Arabic"/>
          <w:sz w:val="32"/>
          <w:szCs w:val="32"/>
          <w:rtl/>
        </w:rPr>
        <w:t>(</w:t>
      </w:r>
      <w:r w:rsidRPr="00B72410">
        <w:rPr>
          <w:rStyle w:val="ae"/>
          <w:rFonts w:ascii="Traditional Arabic" w:hAnsi="Traditional Arabic"/>
          <w:sz w:val="32"/>
          <w:szCs w:val="32"/>
          <w:vertAlign w:val="baseline"/>
        </w:rPr>
        <w:footnoteRef/>
      </w:r>
      <w:r w:rsidRPr="00B72410">
        <w:rPr>
          <w:rFonts w:ascii="Traditional Arabic" w:hAnsi="Traditional Arabic"/>
          <w:sz w:val="32"/>
          <w:szCs w:val="32"/>
          <w:rtl/>
        </w:rPr>
        <w:t>) انظر: تفسير الطبري (17/533-534), الهداية (6/4272).</w:t>
      </w:r>
    </w:p>
  </w:footnote>
  <w:footnote w:id="553">
    <w:p w:rsidR="003F128F" w:rsidRPr="00B72410" w:rsidRDefault="003F128F" w:rsidP="008D52BA">
      <w:pPr>
        <w:pStyle w:val="af3"/>
        <w:rPr>
          <w:rFonts w:ascii="Traditional Arabic" w:hAnsi="Traditional Arabic"/>
          <w:sz w:val="32"/>
          <w:szCs w:val="32"/>
        </w:rPr>
      </w:pPr>
      <w:r w:rsidRPr="00B72410">
        <w:rPr>
          <w:rFonts w:ascii="Traditional Arabic" w:hAnsi="Traditional Arabic"/>
          <w:sz w:val="32"/>
          <w:szCs w:val="32"/>
          <w:rtl/>
        </w:rPr>
        <w:t>(</w:t>
      </w:r>
      <w:r w:rsidRPr="00B72410">
        <w:rPr>
          <w:rStyle w:val="ae"/>
          <w:rFonts w:ascii="Traditional Arabic" w:hAnsi="Traditional Arabic"/>
          <w:sz w:val="32"/>
          <w:szCs w:val="32"/>
          <w:vertAlign w:val="baseline"/>
        </w:rPr>
        <w:footnoteRef/>
      </w:r>
      <w:r w:rsidRPr="00B72410">
        <w:rPr>
          <w:rFonts w:ascii="Traditional Arabic" w:hAnsi="Traditional Arabic"/>
          <w:sz w:val="32"/>
          <w:szCs w:val="32"/>
          <w:rtl/>
        </w:rPr>
        <w:t>) انظر: تفسير الطبري (</w:t>
      </w:r>
      <w:r>
        <w:rPr>
          <w:rFonts w:ascii="Traditional Arabic" w:hAnsi="Traditional Arabic"/>
          <w:sz w:val="32"/>
          <w:szCs w:val="32"/>
          <w:rtl/>
        </w:rPr>
        <w:t>17/534), الكشف والبيان (6/127)</w:t>
      </w:r>
      <w:r>
        <w:rPr>
          <w:rFonts w:ascii="Traditional Arabic" w:hAnsi="Traditional Arabic" w:hint="cs"/>
          <w:sz w:val="32"/>
          <w:szCs w:val="32"/>
          <w:rtl/>
        </w:rPr>
        <w:t>.</w:t>
      </w:r>
    </w:p>
  </w:footnote>
  <w:footnote w:id="554">
    <w:p w:rsidR="003F128F" w:rsidRPr="00B72410" w:rsidRDefault="003F128F" w:rsidP="00911ED4">
      <w:pPr>
        <w:pStyle w:val="af3"/>
        <w:rPr>
          <w:rFonts w:ascii="Traditional Arabic" w:hAnsi="Traditional Arabic"/>
          <w:sz w:val="32"/>
          <w:szCs w:val="32"/>
          <w:rtl/>
        </w:rPr>
      </w:pPr>
      <w:r w:rsidRPr="00B72410">
        <w:rPr>
          <w:rFonts w:ascii="Traditional Arabic" w:hAnsi="Traditional Arabic"/>
          <w:sz w:val="32"/>
          <w:szCs w:val="32"/>
          <w:rtl/>
        </w:rPr>
        <w:t>(</w:t>
      </w:r>
      <w:r w:rsidRPr="00B72410">
        <w:rPr>
          <w:rStyle w:val="ae"/>
          <w:rFonts w:ascii="Traditional Arabic" w:hAnsi="Traditional Arabic"/>
          <w:sz w:val="32"/>
          <w:szCs w:val="32"/>
          <w:vertAlign w:val="baseline"/>
        </w:rPr>
        <w:footnoteRef/>
      </w:r>
      <w:r>
        <w:rPr>
          <w:rFonts w:ascii="Traditional Arabic" w:hAnsi="Traditional Arabic"/>
          <w:sz w:val="32"/>
          <w:szCs w:val="32"/>
          <w:rtl/>
        </w:rPr>
        <w:t xml:space="preserve">) ذكر </w:t>
      </w:r>
      <w:r w:rsidRPr="00B72410">
        <w:rPr>
          <w:rFonts w:ascii="Traditional Arabic" w:hAnsi="Traditional Arabic"/>
          <w:sz w:val="32"/>
          <w:szCs w:val="32"/>
          <w:rtl/>
        </w:rPr>
        <w:t xml:space="preserve">نحوه الثعلبي وعزاه للكلبي, انظر: الكشف والبيان (6/127).  </w:t>
      </w:r>
    </w:p>
  </w:footnote>
  <w:footnote w:id="555">
    <w:p w:rsidR="003F128F" w:rsidRPr="00B72410" w:rsidRDefault="003F128F" w:rsidP="00911ED4">
      <w:pPr>
        <w:pStyle w:val="af3"/>
        <w:rPr>
          <w:rFonts w:ascii="Traditional Arabic" w:hAnsi="Traditional Arabic"/>
          <w:sz w:val="32"/>
          <w:szCs w:val="32"/>
        </w:rPr>
      </w:pPr>
      <w:r w:rsidRPr="00B72410">
        <w:rPr>
          <w:rFonts w:ascii="Traditional Arabic" w:hAnsi="Traditional Arabic"/>
          <w:sz w:val="32"/>
          <w:szCs w:val="32"/>
          <w:rtl/>
        </w:rPr>
        <w:t>(</w:t>
      </w:r>
      <w:r w:rsidRPr="00B72410">
        <w:rPr>
          <w:rStyle w:val="ae"/>
          <w:rFonts w:ascii="Traditional Arabic" w:hAnsi="Traditional Arabic"/>
          <w:sz w:val="32"/>
          <w:szCs w:val="32"/>
          <w:vertAlign w:val="baseline"/>
        </w:rPr>
        <w:footnoteRef/>
      </w:r>
      <w:r w:rsidRPr="00B72410">
        <w:rPr>
          <w:rFonts w:ascii="Traditional Arabic" w:hAnsi="Traditional Arabic"/>
          <w:sz w:val="32"/>
          <w:szCs w:val="32"/>
          <w:rtl/>
        </w:rPr>
        <w:t xml:space="preserve">) انظر: تفسير الطبري (17/535), الكشف والبيان (6/127).  </w:t>
      </w:r>
    </w:p>
  </w:footnote>
  <w:footnote w:id="556">
    <w:p w:rsidR="003F128F" w:rsidRPr="00B72410" w:rsidRDefault="003F128F" w:rsidP="00911ED4">
      <w:pPr>
        <w:pStyle w:val="af3"/>
        <w:rPr>
          <w:rFonts w:ascii="Traditional Arabic" w:hAnsi="Traditional Arabic"/>
          <w:sz w:val="32"/>
          <w:szCs w:val="32"/>
        </w:rPr>
      </w:pPr>
      <w:r w:rsidRPr="00B72410">
        <w:rPr>
          <w:rFonts w:ascii="Traditional Arabic" w:hAnsi="Traditional Arabic"/>
          <w:sz w:val="32"/>
          <w:szCs w:val="32"/>
          <w:rtl/>
        </w:rPr>
        <w:t>(</w:t>
      </w:r>
      <w:r w:rsidRPr="00B72410">
        <w:rPr>
          <w:rStyle w:val="ae"/>
          <w:rFonts w:ascii="Traditional Arabic" w:hAnsi="Traditional Arabic"/>
          <w:sz w:val="32"/>
          <w:szCs w:val="32"/>
          <w:vertAlign w:val="baseline"/>
        </w:rPr>
        <w:footnoteRef/>
      </w:r>
      <w:r w:rsidRPr="00B72410">
        <w:rPr>
          <w:rFonts w:ascii="Traditional Arabic" w:hAnsi="Traditional Arabic"/>
          <w:sz w:val="32"/>
          <w:szCs w:val="32"/>
          <w:rtl/>
        </w:rPr>
        <w:t xml:space="preserve">) انظر: تفسير الطبري (17/535), الكشف والبيان (6/127).  </w:t>
      </w:r>
    </w:p>
  </w:footnote>
  <w:footnote w:id="557">
    <w:p w:rsidR="003F128F" w:rsidRPr="00B72410" w:rsidRDefault="003F128F" w:rsidP="00EE74E4">
      <w:pPr>
        <w:pStyle w:val="af3"/>
        <w:rPr>
          <w:rFonts w:ascii="Traditional Arabic" w:hAnsi="Traditional Arabic"/>
          <w:sz w:val="32"/>
          <w:szCs w:val="32"/>
        </w:rPr>
      </w:pPr>
      <w:r w:rsidRPr="00B72410">
        <w:rPr>
          <w:rFonts w:ascii="Traditional Arabic" w:hAnsi="Traditional Arabic"/>
          <w:sz w:val="32"/>
          <w:szCs w:val="32"/>
          <w:rtl/>
        </w:rPr>
        <w:t>(</w:t>
      </w:r>
      <w:r w:rsidRPr="00B72410">
        <w:rPr>
          <w:rStyle w:val="ae"/>
          <w:rFonts w:ascii="Traditional Arabic" w:hAnsi="Traditional Arabic"/>
          <w:sz w:val="32"/>
          <w:szCs w:val="32"/>
          <w:vertAlign w:val="baseline"/>
        </w:rPr>
        <w:footnoteRef/>
      </w:r>
      <w:r w:rsidRPr="00B72410">
        <w:rPr>
          <w:rFonts w:ascii="Traditional Arabic" w:hAnsi="Traditional Arabic"/>
          <w:sz w:val="32"/>
          <w:szCs w:val="32"/>
          <w:rtl/>
        </w:rPr>
        <w:t>) انظر: تفسير مجاهد (ص441), تفسير الطبري (17/534)</w:t>
      </w:r>
      <w:r>
        <w:rPr>
          <w:rFonts w:ascii="Traditional Arabic" w:hAnsi="Traditional Arabic" w:hint="cs"/>
          <w:sz w:val="32"/>
          <w:szCs w:val="32"/>
          <w:rtl/>
        </w:rPr>
        <w:t>.</w:t>
      </w:r>
      <w:r w:rsidRPr="00B72410">
        <w:rPr>
          <w:rFonts w:ascii="Traditional Arabic" w:hAnsi="Traditional Arabic"/>
          <w:sz w:val="32"/>
          <w:szCs w:val="32"/>
          <w:rtl/>
        </w:rPr>
        <w:t xml:space="preserve"> </w:t>
      </w:r>
    </w:p>
  </w:footnote>
  <w:footnote w:id="558">
    <w:p w:rsidR="003F128F" w:rsidRPr="00B72410" w:rsidRDefault="003F128F" w:rsidP="00911ED4">
      <w:pPr>
        <w:pStyle w:val="af3"/>
        <w:rPr>
          <w:rFonts w:ascii="Traditional Arabic" w:hAnsi="Traditional Arabic"/>
          <w:sz w:val="32"/>
          <w:szCs w:val="32"/>
        </w:rPr>
      </w:pPr>
      <w:r w:rsidRPr="00B72410">
        <w:rPr>
          <w:rFonts w:ascii="Traditional Arabic" w:hAnsi="Traditional Arabic"/>
          <w:sz w:val="32"/>
          <w:szCs w:val="32"/>
          <w:rtl/>
        </w:rPr>
        <w:t>(</w:t>
      </w:r>
      <w:r w:rsidRPr="00B72410">
        <w:rPr>
          <w:rStyle w:val="ae"/>
          <w:rFonts w:ascii="Traditional Arabic" w:hAnsi="Traditional Arabic"/>
          <w:sz w:val="32"/>
          <w:szCs w:val="32"/>
          <w:vertAlign w:val="baseline"/>
        </w:rPr>
        <w:footnoteRef/>
      </w:r>
      <w:r>
        <w:rPr>
          <w:rFonts w:ascii="Traditional Arabic" w:hAnsi="Traditional Arabic"/>
          <w:sz w:val="32"/>
          <w:szCs w:val="32"/>
          <w:rtl/>
        </w:rPr>
        <w:t>) انظر: تفسير الطبري (17/535),</w:t>
      </w:r>
      <w:r w:rsidRPr="00B72410">
        <w:rPr>
          <w:rFonts w:ascii="Traditional Arabic" w:hAnsi="Traditional Arabic"/>
          <w:sz w:val="32"/>
          <w:szCs w:val="32"/>
          <w:rtl/>
        </w:rPr>
        <w:t xml:space="preserve"> بحر العلوم (2/326). </w:t>
      </w:r>
    </w:p>
  </w:footnote>
  <w:footnote w:id="559">
    <w:p w:rsidR="003F128F" w:rsidRPr="00B72410" w:rsidRDefault="003F128F" w:rsidP="00911ED4">
      <w:pPr>
        <w:pStyle w:val="af3"/>
        <w:rPr>
          <w:rFonts w:ascii="Traditional Arabic" w:hAnsi="Traditional Arabic"/>
          <w:sz w:val="32"/>
          <w:szCs w:val="32"/>
        </w:rPr>
      </w:pPr>
      <w:r w:rsidRPr="00B72410">
        <w:rPr>
          <w:rFonts w:ascii="Traditional Arabic" w:hAnsi="Traditional Arabic"/>
          <w:sz w:val="32"/>
          <w:szCs w:val="32"/>
          <w:rtl/>
        </w:rPr>
        <w:t>(</w:t>
      </w:r>
      <w:r w:rsidRPr="00B72410">
        <w:rPr>
          <w:rStyle w:val="ae"/>
          <w:rFonts w:ascii="Traditional Arabic" w:hAnsi="Traditional Arabic"/>
          <w:sz w:val="32"/>
          <w:szCs w:val="32"/>
          <w:vertAlign w:val="baseline"/>
        </w:rPr>
        <w:footnoteRef/>
      </w:r>
      <w:r w:rsidRPr="00B72410">
        <w:rPr>
          <w:rFonts w:ascii="Traditional Arabic" w:hAnsi="Traditional Arabic"/>
          <w:sz w:val="32"/>
          <w:szCs w:val="32"/>
          <w:rtl/>
        </w:rPr>
        <w:t>) وهو قول الحسن</w:t>
      </w:r>
      <w:r>
        <w:rPr>
          <w:rFonts w:ascii="Traditional Arabic" w:hAnsi="Traditional Arabic" w:hint="cs"/>
          <w:sz w:val="32"/>
          <w:szCs w:val="32"/>
          <w:rtl/>
        </w:rPr>
        <w:t>.</w:t>
      </w:r>
      <w:r w:rsidRPr="00B72410">
        <w:rPr>
          <w:rFonts w:ascii="Traditional Arabic" w:hAnsi="Traditional Arabic"/>
          <w:sz w:val="32"/>
          <w:szCs w:val="32"/>
          <w:rtl/>
        </w:rPr>
        <w:t xml:space="preserve"> انظر: الكشف والبيان (6/127), النكت والعيون (3/267).  </w:t>
      </w:r>
    </w:p>
  </w:footnote>
  <w:footnote w:id="560">
    <w:p w:rsidR="003F128F" w:rsidRPr="00B72410" w:rsidRDefault="003F128F" w:rsidP="00911ED4">
      <w:pPr>
        <w:pStyle w:val="af3"/>
        <w:rPr>
          <w:rFonts w:ascii="Traditional Arabic" w:hAnsi="Traditional Arabic"/>
          <w:sz w:val="32"/>
          <w:szCs w:val="32"/>
        </w:rPr>
      </w:pPr>
      <w:r w:rsidRPr="00B72410">
        <w:rPr>
          <w:rFonts w:ascii="Traditional Arabic" w:hAnsi="Traditional Arabic"/>
          <w:sz w:val="32"/>
          <w:szCs w:val="32"/>
          <w:rtl/>
        </w:rPr>
        <w:t>(</w:t>
      </w:r>
      <w:r w:rsidRPr="00B72410">
        <w:rPr>
          <w:rStyle w:val="ae"/>
          <w:rFonts w:ascii="Traditional Arabic" w:hAnsi="Traditional Arabic"/>
          <w:sz w:val="32"/>
          <w:szCs w:val="32"/>
          <w:vertAlign w:val="baseline"/>
        </w:rPr>
        <w:footnoteRef/>
      </w:r>
      <w:r w:rsidRPr="00B72410">
        <w:rPr>
          <w:rFonts w:ascii="Traditional Arabic" w:hAnsi="Traditional Arabic"/>
          <w:sz w:val="32"/>
          <w:szCs w:val="32"/>
          <w:rtl/>
        </w:rPr>
        <w:t xml:space="preserve">) هو التابعي </w:t>
      </w:r>
      <w:r>
        <w:rPr>
          <w:rFonts w:ascii="Traditional Arabic" w:hAnsi="Traditional Arabic"/>
          <w:sz w:val="32"/>
          <w:szCs w:val="32"/>
          <w:rtl/>
        </w:rPr>
        <w:t>الإمام</w:t>
      </w:r>
      <w:r w:rsidRPr="00B72410">
        <w:rPr>
          <w:rFonts w:ascii="Traditional Arabic" w:hAnsi="Traditional Arabic"/>
          <w:sz w:val="32"/>
          <w:szCs w:val="32"/>
          <w:rtl/>
        </w:rPr>
        <w:t xml:space="preserve"> أبو عبد اللَّه محمد بن المنكدر بن عبد الله التيمي، القرشي الحافظ، القدوة،</w:t>
      </w:r>
      <w:r w:rsidRPr="00B72410">
        <w:rPr>
          <w:rFonts w:ascii="Traditional Arabic" w:hAnsi="Traditional Arabic"/>
          <w:sz w:val="44"/>
          <w:szCs w:val="44"/>
          <w:rtl/>
          <w:lang w:eastAsia="en-US"/>
        </w:rPr>
        <w:t xml:space="preserve"> </w:t>
      </w:r>
      <w:r w:rsidRPr="00B72410">
        <w:rPr>
          <w:rFonts w:ascii="Traditional Arabic" w:hAnsi="Traditional Arabic"/>
          <w:sz w:val="32"/>
          <w:szCs w:val="32"/>
          <w:rtl/>
        </w:rPr>
        <w:t>الزاهد, العابد, المحدث, أحد الأعلام، كان يجتمع عنده القُرَّاءُ. (ت90ه). انظر تهذيب الكمال (26/503), سير أعلام النبلاء (5/353), الوافي بالوفيات (5/53).</w:t>
      </w:r>
    </w:p>
  </w:footnote>
  <w:footnote w:id="561">
    <w:p w:rsidR="003F128F" w:rsidRPr="00B72410" w:rsidRDefault="003F128F" w:rsidP="00911ED4">
      <w:pPr>
        <w:pStyle w:val="af3"/>
        <w:rPr>
          <w:rFonts w:ascii="Traditional Arabic" w:hAnsi="Traditional Arabic"/>
          <w:sz w:val="32"/>
          <w:szCs w:val="32"/>
        </w:rPr>
      </w:pPr>
      <w:r w:rsidRPr="00B72410">
        <w:rPr>
          <w:rFonts w:ascii="Traditional Arabic" w:hAnsi="Traditional Arabic"/>
          <w:sz w:val="32"/>
          <w:szCs w:val="32"/>
          <w:rtl/>
        </w:rPr>
        <w:t>(</w:t>
      </w:r>
      <w:r w:rsidRPr="00B72410">
        <w:rPr>
          <w:rStyle w:val="ae"/>
          <w:rFonts w:ascii="Traditional Arabic" w:hAnsi="Traditional Arabic"/>
          <w:sz w:val="32"/>
          <w:szCs w:val="32"/>
          <w:vertAlign w:val="baseline"/>
        </w:rPr>
        <w:footnoteRef/>
      </w:r>
      <w:r w:rsidRPr="00B72410">
        <w:rPr>
          <w:rFonts w:ascii="Traditional Arabic" w:hAnsi="Traditional Arabic"/>
          <w:sz w:val="32"/>
          <w:szCs w:val="32"/>
          <w:rtl/>
        </w:rPr>
        <w:t>) انظر: تفسير الطبراني (4/305), الكشف والبيان (6/127).</w:t>
      </w:r>
    </w:p>
  </w:footnote>
  <w:footnote w:id="562">
    <w:p w:rsidR="003F128F" w:rsidRPr="00B72410" w:rsidRDefault="003F128F" w:rsidP="00911ED4">
      <w:pPr>
        <w:pStyle w:val="af3"/>
        <w:rPr>
          <w:rFonts w:ascii="Traditional Arabic" w:hAnsi="Traditional Arabic"/>
          <w:sz w:val="32"/>
          <w:szCs w:val="32"/>
        </w:rPr>
      </w:pPr>
      <w:r w:rsidRPr="00B72410">
        <w:rPr>
          <w:rFonts w:ascii="Traditional Arabic" w:hAnsi="Traditional Arabic"/>
          <w:sz w:val="32"/>
          <w:szCs w:val="32"/>
          <w:rtl/>
        </w:rPr>
        <w:t>(</w:t>
      </w:r>
      <w:r w:rsidRPr="00B72410">
        <w:rPr>
          <w:rStyle w:val="ae"/>
          <w:rFonts w:ascii="Traditional Arabic" w:hAnsi="Traditional Arabic"/>
          <w:sz w:val="32"/>
          <w:szCs w:val="32"/>
          <w:vertAlign w:val="baseline"/>
        </w:rPr>
        <w:footnoteRef/>
      </w:r>
      <w:r w:rsidRPr="00B72410">
        <w:rPr>
          <w:rFonts w:ascii="Traditional Arabic" w:hAnsi="Traditional Arabic"/>
          <w:sz w:val="32"/>
          <w:szCs w:val="32"/>
          <w:rtl/>
        </w:rPr>
        <w:t>) انظر: معاني القرآن واعرابه (3/257).</w:t>
      </w:r>
    </w:p>
  </w:footnote>
  <w:footnote w:id="563">
    <w:p w:rsidR="003F128F" w:rsidRPr="00B72410" w:rsidRDefault="003F128F" w:rsidP="00911ED4">
      <w:pPr>
        <w:pStyle w:val="af3"/>
        <w:rPr>
          <w:rFonts w:ascii="Traditional Arabic" w:hAnsi="Traditional Arabic"/>
          <w:sz w:val="32"/>
          <w:szCs w:val="32"/>
        </w:rPr>
      </w:pPr>
      <w:r w:rsidRPr="00B72410">
        <w:rPr>
          <w:rFonts w:ascii="Traditional Arabic" w:hAnsi="Traditional Arabic"/>
          <w:color w:val="auto"/>
          <w:sz w:val="32"/>
          <w:szCs w:val="32"/>
          <w:rtl/>
        </w:rPr>
        <w:t>(</w:t>
      </w:r>
      <w:r w:rsidRPr="00B72410">
        <w:rPr>
          <w:rStyle w:val="ae"/>
          <w:rFonts w:ascii="Traditional Arabic" w:hAnsi="Traditional Arabic"/>
          <w:color w:val="auto"/>
          <w:sz w:val="32"/>
          <w:szCs w:val="32"/>
          <w:vertAlign w:val="baseline"/>
        </w:rPr>
        <w:footnoteRef/>
      </w:r>
      <w:r w:rsidRPr="00B72410">
        <w:rPr>
          <w:rFonts w:ascii="Traditional Arabic" w:hAnsi="Traditional Arabic"/>
          <w:color w:val="auto"/>
          <w:sz w:val="32"/>
          <w:szCs w:val="32"/>
          <w:rtl/>
        </w:rPr>
        <w:t xml:space="preserve">) </w:t>
      </w:r>
      <w:r w:rsidRPr="00B72410">
        <w:rPr>
          <w:rFonts w:ascii="Traditional Arabic" w:hAnsi="Traditional Arabic"/>
          <w:color w:val="auto"/>
          <w:sz w:val="32"/>
          <w:szCs w:val="32"/>
          <w:rtl/>
          <w:lang w:eastAsia="en-US"/>
        </w:rPr>
        <w:t>حُنَينٌ</w:t>
      </w:r>
      <w:r w:rsidRPr="00B72410">
        <w:rPr>
          <w:rFonts w:ascii="Traditional Arabic" w:hAnsi="Traditional Arabic"/>
          <w:color w:val="auto"/>
          <w:sz w:val="32"/>
          <w:szCs w:val="32"/>
          <w:rtl/>
        </w:rPr>
        <w:t xml:space="preserve">: </w:t>
      </w:r>
      <w:r w:rsidRPr="00B72410">
        <w:rPr>
          <w:rFonts w:ascii="Traditional Arabic" w:hAnsi="Traditional Arabic"/>
          <w:sz w:val="32"/>
          <w:szCs w:val="32"/>
          <w:rtl/>
        </w:rPr>
        <w:t xml:space="preserve">واد قريب من الطائف، بينه وبين مكّة بضعة عشر ميلا, انظر: معجم البلدان (2/313). </w:t>
      </w:r>
    </w:p>
  </w:footnote>
  <w:footnote w:id="564">
    <w:p w:rsidR="003F128F" w:rsidRPr="00803D0D" w:rsidRDefault="003F128F" w:rsidP="00911ED4">
      <w:pPr>
        <w:pStyle w:val="af3"/>
        <w:rPr>
          <w:rFonts w:ascii="Traditional Arabic" w:hAnsi="Traditional Arabic"/>
          <w:sz w:val="32"/>
          <w:szCs w:val="32"/>
        </w:rPr>
      </w:pPr>
      <w:r w:rsidRPr="00B72410">
        <w:rPr>
          <w:rFonts w:ascii="Traditional Arabic" w:hAnsi="Traditional Arabic"/>
          <w:sz w:val="32"/>
          <w:szCs w:val="32"/>
          <w:rtl/>
        </w:rPr>
        <w:t>(</w:t>
      </w:r>
      <w:r w:rsidRPr="00B72410">
        <w:rPr>
          <w:rStyle w:val="ae"/>
          <w:rFonts w:ascii="Traditional Arabic" w:hAnsi="Traditional Arabic"/>
          <w:sz w:val="32"/>
          <w:szCs w:val="32"/>
          <w:vertAlign w:val="baseline"/>
        </w:rPr>
        <w:footnoteRef/>
      </w:r>
      <w:r>
        <w:rPr>
          <w:rFonts w:ascii="Traditional Arabic" w:hAnsi="Traditional Arabic"/>
          <w:sz w:val="32"/>
          <w:szCs w:val="32"/>
          <w:rtl/>
        </w:rPr>
        <w:t>) لم أ</w:t>
      </w:r>
      <w:r>
        <w:rPr>
          <w:rFonts w:ascii="Traditional Arabic" w:hAnsi="Traditional Arabic" w:hint="cs"/>
          <w:sz w:val="32"/>
          <w:szCs w:val="32"/>
          <w:rtl/>
        </w:rPr>
        <w:t>قف عليه</w:t>
      </w:r>
      <w:r w:rsidRPr="00B72410">
        <w:rPr>
          <w:rFonts w:ascii="Traditional Arabic" w:hAnsi="Traditional Arabic"/>
          <w:sz w:val="32"/>
          <w:szCs w:val="32"/>
          <w:rtl/>
        </w:rPr>
        <w:t xml:space="preserve"> فيما لدي من مصادر.</w:t>
      </w:r>
    </w:p>
  </w:footnote>
  <w:footnote w:id="565">
    <w:p w:rsidR="003F128F" w:rsidRPr="00B72410" w:rsidRDefault="003F128F" w:rsidP="00911ED4">
      <w:pPr>
        <w:pStyle w:val="af3"/>
        <w:rPr>
          <w:rFonts w:ascii="Traditional Arabic" w:hAnsi="Traditional Arabic"/>
          <w:sz w:val="32"/>
          <w:szCs w:val="32"/>
        </w:rPr>
      </w:pPr>
      <w:r w:rsidRPr="00B72410">
        <w:rPr>
          <w:rFonts w:ascii="Traditional Arabic" w:hAnsi="Traditional Arabic"/>
          <w:sz w:val="32"/>
          <w:szCs w:val="32"/>
          <w:rtl/>
        </w:rPr>
        <w:t>(</w:t>
      </w:r>
      <w:r w:rsidRPr="00B72410">
        <w:rPr>
          <w:rStyle w:val="ae"/>
          <w:rFonts w:ascii="Traditional Arabic" w:hAnsi="Traditional Arabic"/>
          <w:sz w:val="32"/>
          <w:szCs w:val="32"/>
          <w:vertAlign w:val="baseline"/>
        </w:rPr>
        <w:footnoteRef/>
      </w:r>
      <w:r w:rsidRPr="00B72410">
        <w:rPr>
          <w:rFonts w:ascii="Traditional Arabic" w:hAnsi="Traditional Arabic"/>
          <w:sz w:val="32"/>
          <w:szCs w:val="32"/>
          <w:rtl/>
        </w:rPr>
        <w:t>) سورة يونس, الآية</w:t>
      </w:r>
      <w:r>
        <w:rPr>
          <w:rFonts w:ascii="Traditional Arabic" w:hAnsi="Traditional Arabic" w:hint="cs"/>
          <w:sz w:val="32"/>
          <w:szCs w:val="32"/>
          <w:rtl/>
        </w:rPr>
        <w:t>:</w:t>
      </w:r>
      <w:r>
        <w:rPr>
          <w:rFonts w:ascii="Traditional Arabic" w:hAnsi="Traditional Arabic"/>
          <w:sz w:val="32"/>
          <w:szCs w:val="32"/>
          <w:rtl/>
        </w:rPr>
        <w:t xml:space="preserve"> (2)</w:t>
      </w:r>
      <w:r>
        <w:rPr>
          <w:rFonts w:ascii="Traditional Arabic" w:hAnsi="Traditional Arabic" w:hint="cs"/>
          <w:sz w:val="32"/>
          <w:szCs w:val="32"/>
          <w:rtl/>
        </w:rPr>
        <w:t>.</w:t>
      </w:r>
      <w:r>
        <w:rPr>
          <w:rFonts w:ascii="Traditional Arabic" w:hAnsi="Traditional Arabic"/>
          <w:sz w:val="32"/>
          <w:szCs w:val="32"/>
          <w:rtl/>
        </w:rPr>
        <w:t xml:space="preserve"> </w:t>
      </w:r>
      <w:r w:rsidRPr="00B72410">
        <w:rPr>
          <w:rFonts w:ascii="Traditional Arabic" w:hAnsi="Traditional Arabic"/>
          <w:sz w:val="32"/>
          <w:szCs w:val="32"/>
          <w:rtl/>
        </w:rPr>
        <w:t>انظر</w:t>
      </w:r>
      <w:r>
        <w:rPr>
          <w:rFonts w:ascii="Traditional Arabic" w:hAnsi="Traditional Arabic" w:hint="cs"/>
          <w:sz w:val="32"/>
          <w:szCs w:val="32"/>
          <w:rtl/>
        </w:rPr>
        <w:t>:</w:t>
      </w:r>
      <w:r w:rsidRPr="00B72410">
        <w:rPr>
          <w:rFonts w:ascii="Traditional Arabic" w:hAnsi="Traditional Arabic"/>
          <w:sz w:val="32"/>
          <w:szCs w:val="32"/>
          <w:rtl/>
        </w:rPr>
        <w:t xml:space="preserve"> زاد المسير (4/6).</w:t>
      </w:r>
    </w:p>
  </w:footnote>
  <w:footnote w:id="566">
    <w:p w:rsidR="003F128F" w:rsidRPr="00B72410" w:rsidRDefault="003F128F" w:rsidP="00911ED4">
      <w:pPr>
        <w:pStyle w:val="af3"/>
        <w:rPr>
          <w:rFonts w:ascii="Traditional Arabic" w:hAnsi="Traditional Arabic"/>
          <w:sz w:val="32"/>
          <w:szCs w:val="32"/>
        </w:rPr>
      </w:pPr>
      <w:r w:rsidRPr="00B72410">
        <w:rPr>
          <w:rFonts w:ascii="Traditional Arabic" w:hAnsi="Traditional Arabic"/>
          <w:sz w:val="32"/>
          <w:szCs w:val="32"/>
          <w:rtl/>
        </w:rPr>
        <w:t>(</w:t>
      </w:r>
      <w:r w:rsidRPr="00B72410">
        <w:rPr>
          <w:rStyle w:val="ae"/>
          <w:rFonts w:ascii="Traditional Arabic" w:hAnsi="Traditional Arabic"/>
          <w:sz w:val="32"/>
          <w:szCs w:val="32"/>
          <w:vertAlign w:val="baseline"/>
        </w:rPr>
        <w:footnoteRef/>
      </w:r>
      <w:r w:rsidRPr="00B72410">
        <w:rPr>
          <w:rFonts w:ascii="Traditional Arabic" w:hAnsi="Traditional Arabic"/>
          <w:sz w:val="32"/>
          <w:szCs w:val="32"/>
          <w:rtl/>
        </w:rPr>
        <w:t>) انظر: النكت والعيون (3/267).</w:t>
      </w:r>
    </w:p>
  </w:footnote>
  <w:footnote w:id="567">
    <w:p w:rsidR="003F128F" w:rsidRPr="00B72410" w:rsidRDefault="003F128F" w:rsidP="00FF0C4E">
      <w:pPr>
        <w:pStyle w:val="af3"/>
        <w:rPr>
          <w:rFonts w:ascii="Traditional Arabic" w:hAnsi="Traditional Arabic"/>
          <w:sz w:val="32"/>
          <w:szCs w:val="32"/>
        </w:rPr>
      </w:pPr>
      <w:r w:rsidRPr="00B72410">
        <w:rPr>
          <w:rFonts w:ascii="Traditional Arabic" w:hAnsi="Traditional Arabic"/>
          <w:sz w:val="32"/>
          <w:szCs w:val="32"/>
          <w:rtl/>
        </w:rPr>
        <w:t>(</w:t>
      </w:r>
      <w:r w:rsidRPr="00B72410">
        <w:rPr>
          <w:rStyle w:val="ae"/>
          <w:rFonts w:ascii="Traditional Arabic" w:hAnsi="Traditional Arabic"/>
          <w:sz w:val="32"/>
          <w:szCs w:val="32"/>
          <w:vertAlign w:val="baseline"/>
        </w:rPr>
        <w:footnoteRef/>
      </w:r>
      <w:r w:rsidRPr="00B72410">
        <w:rPr>
          <w:rFonts w:ascii="Traditional Arabic" w:hAnsi="Traditional Arabic"/>
          <w:sz w:val="32"/>
          <w:szCs w:val="32"/>
          <w:rtl/>
        </w:rPr>
        <w:t>) انظر: تفسير مجاهد (ص441), تفسير يحيى بن سلام (1/158)</w:t>
      </w:r>
      <w:r>
        <w:rPr>
          <w:rFonts w:ascii="Traditional Arabic" w:hAnsi="Traditional Arabic" w:hint="cs"/>
          <w:sz w:val="32"/>
          <w:szCs w:val="32"/>
          <w:rtl/>
        </w:rPr>
        <w:t>.</w:t>
      </w:r>
    </w:p>
  </w:footnote>
  <w:footnote w:id="568">
    <w:p w:rsidR="003F128F" w:rsidRPr="00B72410" w:rsidRDefault="003F128F" w:rsidP="00911ED4">
      <w:pPr>
        <w:pStyle w:val="af3"/>
        <w:rPr>
          <w:rFonts w:ascii="Traditional Arabic" w:hAnsi="Traditional Arabic"/>
          <w:sz w:val="32"/>
          <w:szCs w:val="32"/>
        </w:rPr>
      </w:pPr>
      <w:r w:rsidRPr="00B72410">
        <w:rPr>
          <w:rFonts w:ascii="Traditional Arabic" w:hAnsi="Traditional Arabic"/>
          <w:sz w:val="32"/>
          <w:szCs w:val="32"/>
          <w:rtl/>
        </w:rPr>
        <w:t>(</w:t>
      </w:r>
      <w:r w:rsidRPr="00B72410">
        <w:rPr>
          <w:rStyle w:val="ae"/>
          <w:rFonts w:ascii="Traditional Arabic" w:hAnsi="Traditional Arabic"/>
          <w:sz w:val="32"/>
          <w:szCs w:val="32"/>
          <w:vertAlign w:val="baseline"/>
        </w:rPr>
        <w:footnoteRef/>
      </w:r>
      <w:r w:rsidRPr="00B72410">
        <w:rPr>
          <w:rFonts w:ascii="Traditional Arabic" w:hAnsi="Traditional Arabic"/>
          <w:sz w:val="32"/>
          <w:szCs w:val="32"/>
          <w:rtl/>
        </w:rPr>
        <w:t>) انظر: تفسير الطبري (17/536), النكت والعيون (3/267).</w:t>
      </w:r>
    </w:p>
  </w:footnote>
  <w:footnote w:id="569">
    <w:p w:rsidR="003F128F" w:rsidRPr="00B72410" w:rsidRDefault="003F128F" w:rsidP="008D52BA">
      <w:pPr>
        <w:pStyle w:val="af3"/>
        <w:rPr>
          <w:rFonts w:ascii="Traditional Arabic" w:hAnsi="Traditional Arabic"/>
          <w:sz w:val="32"/>
          <w:szCs w:val="32"/>
        </w:rPr>
      </w:pPr>
      <w:r w:rsidRPr="00B72410">
        <w:rPr>
          <w:rFonts w:ascii="Traditional Arabic" w:hAnsi="Traditional Arabic"/>
          <w:sz w:val="32"/>
          <w:szCs w:val="32"/>
          <w:rtl/>
        </w:rPr>
        <w:t>(</w:t>
      </w:r>
      <w:r w:rsidRPr="00B72410">
        <w:rPr>
          <w:rStyle w:val="ae"/>
          <w:rFonts w:ascii="Traditional Arabic" w:hAnsi="Traditional Arabic"/>
          <w:sz w:val="32"/>
          <w:szCs w:val="32"/>
          <w:vertAlign w:val="baseline"/>
        </w:rPr>
        <w:footnoteRef/>
      </w:r>
      <w:r>
        <w:rPr>
          <w:rFonts w:ascii="Traditional Arabic" w:hAnsi="Traditional Arabic"/>
          <w:sz w:val="32"/>
          <w:szCs w:val="32"/>
          <w:rtl/>
        </w:rPr>
        <w:t xml:space="preserve">) </w:t>
      </w:r>
      <w:r w:rsidRPr="00B72410">
        <w:rPr>
          <w:rFonts w:ascii="Traditional Arabic" w:hAnsi="Traditional Arabic"/>
          <w:sz w:val="32"/>
          <w:szCs w:val="32"/>
          <w:rtl/>
        </w:rPr>
        <w:t xml:space="preserve">في </w:t>
      </w:r>
      <w:r>
        <w:rPr>
          <w:rFonts w:ascii="Traditional Arabic" w:hAnsi="Traditional Arabic" w:hint="cs"/>
          <w:sz w:val="32"/>
          <w:szCs w:val="32"/>
          <w:rtl/>
        </w:rPr>
        <w:t>(ك</w:t>
      </w:r>
      <w:r>
        <w:rPr>
          <w:rFonts w:ascii="Traditional Arabic" w:hAnsi="Traditional Arabic"/>
          <w:sz w:val="32"/>
          <w:szCs w:val="32"/>
          <w:rtl/>
        </w:rPr>
        <w:t xml:space="preserve">): </w:t>
      </w:r>
      <w:r>
        <w:rPr>
          <w:rFonts w:ascii="Traditional Arabic" w:hAnsi="Traditional Arabic" w:hint="cs"/>
          <w:sz w:val="32"/>
          <w:szCs w:val="32"/>
          <w:rtl/>
        </w:rPr>
        <w:t>[</w:t>
      </w:r>
      <w:r>
        <w:rPr>
          <w:rFonts w:ascii="Traditional Arabic" w:hAnsi="Traditional Arabic"/>
          <w:sz w:val="32"/>
          <w:szCs w:val="32"/>
          <w:rtl/>
        </w:rPr>
        <w:t>منصوراً</w:t>
      </w:r>
      <w:r>
        <w:rPr>
          <w:rFonts w:ascii="Traditional Arabic" w:hAnsi="Traditional Arabic" w:hint="cs"/>
          <w:sz w:val="32"/>
          <w:szCs w:val="32"/>
          <w:rtl/>
        </w:rPr>
        <w:t>]</w:t>
      </w:r>
      <w:r>
        <w:rPr>
          <w:rFonts w:ascii="Traditional Arabic" w:hAnsi="Traditional Arabic"/>
          <w:sz w:val="32"/>
          <w:szCs w:val="32"/>
          <w:rtl/>
        </w:rPr>
        <w:t xml:space="preserve"> بدل </w:t>
      </w:r>
      <w:r>
        <w:rPr>
          <w:rFonts w:ascii="Traditional Arabic" w:hAnsi="Traditional Arabic" w:hint="cs"/>
          <w:sz w:val="32"/>
          <w:szCs w:val="32"/>
          <w:rtl/>
        </w:rPr>
        <w:t>[</w:t>
      </w:r>
      <w:r>
        <w:rPr>
          <w:rFonts w:ascii="Traditional Arabic" w:hAnsi="Traditional Arabic"/>
          <w:sz w:val="32"/>
          <w:szCs w:val="32"/>
          <w:rtl/>
        </w:rPr>
        <w:t>مُنْصَراً</w:t>
      </w:r>
      <w:r>
        <w:rPr>
          <w:rFonts w:ascii="Traditional Arabic" w:hAnsi="Traditional Arabic" w:hint="cs"/>
          <w:sz w:val="32"/>
          <w:szCs w:val="32"/>
          <w:rtl/>
        </w:rPr>
        <w:t>]</w:t>
      </w:r>
      <w:r w:rsidRPr="00B72410">
        <w:rPr>
          <w:rFonts w:ascii="Traditional Arabic" w:hAnsi="Traditional Arabic"/>
          <w:sz w:val="32"/>
          <w:szCs w:val="32"/>
          <w:rtl/>
        </w:rPr>
        <w:t>.</w:t>
      </w:r>
    </w:p>
  </w:footnote>
  <w:footnote w:id="570">
    <w:p w:rsidR="003F128F" w:rsidRPr="00B72410" w:rsidRDefault="003F128F" w:rsidP="00911ED4">
      <w:pPr>
        <w:pStyle w:val="af3"/>
        <w:rPr>
          <w:rFonts w:ascii="Traditional Arabic" w:hAnsi="Traditional Arabic"/>
          <w:sz w:val="32"/>
          <w:szCs w:val="32"/>
        </w:rPr>
      </w:pPr>
      <w:r w:rsidRPr="00B72410">
        <w:rPr>
          <w:rFonts w:ascii="Traditional Arabic" w:hAnsi="Traditional Arabic"/>
          <w:sz w:val="32"/>
          <w:szCs w:val="32"/>
          <w:rtl/>
        </w:rPr>
        <w:t>(</w:t>
      </w:r>
      <w:r w:rsidRPr="00B72410">
        <w:rPr>
          <w:rStyle w:val="ae"/>
          <w:rFonts w:ascii="Traditional Arabic" w:hAnsi="Traditional Arabic"/>
          <w:sz w:val="32"/>
          <w:szCs w:val="32"/>
          <w:vertAlign w:val="baseline"/>
        </w:rPr>
        <w:footnoteRef/>
      </w:r>
      <w:r w:rsidRPr="00B72410">
        <w:rPr>
          <w:rFonts w:ascii="Traditional Arabic" w:hAnsi="Traditional Arabic"/>
          <w:sz w:val="32"/>
          <w:szCs w:val="32"/>
          <w:rtl/>
        </w:rPr>
        <w:t>) انظر: رموز الكنوز للرسعني (4/221).</w:t>
      </w:r>
    </w:p>
  </w:footnote>
  <w:footnote w:id="571">
    <w:p w:rsidR="003F128F" w:rsidRPr="00B72410" w:rsidRDefault="003F128F" w:rsidP="00911ED4">
      <w:pPr>
        <w:pStyle w:val="af3"/>
        <w:rPr>
          <w:rFonts w:ascii="Traditional Arabic" w:hAnsi="Traditional Arabic"/>
          <w:sz w:val="32"/>
          <w:szCs w:val="32"/>
        </w:rPr>
      </w:pPr>
      <w:r w:rsidRPr="00B72410">
        <w:rPr>
          <w:rFonts w:ascii="Traditional Arabic" w:hAnsi="Traditional Arabic"/>
          <w:sz w:val="32"/>
          <w:szCs w:val="32"/>
          <w:rtl/>
        </w:rPr>
        <w:t>(</w:t>
      </w:r>
      <w:r w:rsidRPr="00B72410">
        <w:rPr>
          <w:rStyle w:val="ae"/>
          <w:rFonts w:ascii="Traditional Arabic" w:hAnsi="Traditional Arabic"/>
          <w:sz w:val="32"/>
          <w:szCs w:val="32"/>
          <w:vertAlign w:val="baseline"/>
        </w:rPr>
        <w:footnoteRef/>
      </w:r>
      <w:r w:rsidRPr="00B72410">
        <w:rPr>
          <w:rFonts w:ascii="Traditional Arabic" w:hAnsi="Traditional Arabic"/>
          <w:sz w:val="32"/>
          <w:szCs w:val="32"/>
          <w:rtl/>
        </w:rPr>
        <w:t>) انظر: الكشف والبيان (6/128), معالم الت</w:t>
      </w:r>
      <w:r>
        <w:rPr>
          <w:rFonts w:ascii="Traditional Arabic" w:hAnsi="Traditional Arabic"/>
          <w:sz w:val="32"/>
          <w:szCs w:val="32"/>
          <w:rtl/>
        </w:rPr>
        <w:t>نزيل (5/122)</w:t>
      </w:r>
      <w:r>
        <w:rPr>
          <w:rFonts w:ascii="Traditional Arabic" w:hAnsi="Traditional Arabic" w:hint="cs"/>
          <w:sz w:val="32"/>
          <w:szCs w:val="32"/>
          <w:rtl/>
        </w:rPr>
        <w:t>,</w:t>
      </w:r>
      <w:r w:rsidRPr="00B72410">
        <w:rPr>
          <w:rFonts w:ascii="Traditional Arabic" w:hAnsi="Traditional Arabic"/>
          <w:sz w:val="32"/>
          <w:szCs w:val="32"/>
          <w:rtl/>
        </w:rPr>
        <w:t xml:space="preserve"> وهو قول السدي. </w:t>
      </w:r>
    </w:p>
  </w:footnote>
  <w:footnote w:id="572">
    <w:p w:rsidR="003F128F" w:rsidRPr="00B72410" w:rsidRDefault="003F128F" w:rsidP="00911ED4">
      <w:pPr>
        <w:pStyle w:val="af3"/>
        <w:rPr>
          <w:rFonts w:ascii="Traditional Arabic" w:hAnsi="Traditional Arabic"/>
          <w:sz w:val="32"/>
          <w:szCs w:val="32"/>
        </w:rPr>
      </w:pPr>
      <w:r w:rsidRPr="00B72410">
        <w:rPr>
          <w:rFonts w:ascii="Traditional Arabic" w:hAnsi="Traditional Arabic"/>
          <w:sz w:val="32"/>
          <w:szCs w:val="32"/>
          <w:rtl/>
        </w:rPr>
        <w:t>(</w:t>
      </w:r>
      <w:r w:rsidRPr="00B72410">
        <w:rPr>
          <w:rStyle w:val="ae"/>
          <w:rFonts w:ascii="Traditional Arabic" w:hAnsi="Traditional Arabic"/>
          <w:sz w:val="32"/>
          <w:szCs w:val="32"/>
          <w:vertAlign w:val="baseline"/>
        </w:rPr>
        <w:footnoteRef/>
      </w:r>
      <w:r w:rsidRPr="00B72410">
        <w:rPr>
          <w:rFonts w:ascii="Traditional Arabic" w:hAnsi="Traditional Arabic"/>
          <w:sz w:val="32"/>
          <w:szCs w:val="32"/>
          <w:rtl/>
        </w:rPr>
        <w:t>) انظر: تفسير الطبري (17/537), تفسير يحيى بن سلام (1/158).</w:t>
      </w:r>
    </w:p>
  </w:footnote>
  <w:footnote w:id="573">
    <w:p w:rsidR="003F128F" w:rsidRPr="00B72410" w:rsidRDefault="003F128F" w:rsidP="00911ED4">
      <w:pPr>
        <w:pStyle w:val="af3"/>
        <w:rPr>
          <w:rFonts w:ascii="Traditional Arabic" w:hAnsi="Traditional Arabic"/>
          <w:sz w:val="32"/>
          <w:szCs w:val="32"/>
        </w:rPr>
      </w:pPr>
      <w:r w:rsidRPr="00B72410">
        <w:rPr>
          <w:rFonts w:ascii="Traditional Arabic" w:hAnsi="Traditional Arabic"/>
          <w:sz w:val="32"/>
          <w:szCs w:val="32"/>
          <w:rtl/>
        </w:rPr>
        <w:t>(</w:t>
      </w:r>
      <w:r w:rsidRPr="00B72410">
        <w:rPr>
          <w:rStyle w:val="ae"/>
          <w:rFonts w:ascii="Traditional Arabic" w:hAnsi="Traditional Arabic"/>
          <w:sz w:val="32"/>
          <w:szCs w:val="32"/>
          <w:vertAlign w:val="baseline"/>
        </w:rPr>
        <w:footnoteRef/>
      </w:r>
      <w:r w:rsidRPr="00B72410">
        <w:rPr>
          <w:rFonts w:ascii="Traditional Arabic" w:hAnsi="Traditional Arabic"/>
          <w:sz w:val="32"/>
          <w:szCs w:val="32"/>
          <w:rtl/>
        </w:rPr>
        <w:t>) انظر: تفسير الطبري (17/537), الكشف والبيان (6/128).</w:t>
      </w:r>
    </w:p>
  </w:footnote>
  <w:footnote w:id="574">
    <w:p w:rsidR="003F128F" w:rsidRPr="00B72410" w:rsidRDefault="003F128F" w:rsidP="00911ED4">
      <w:pPr>
        <w:pStyle w:val="af3"/>
        <w:rPr>
          <w:rFonts w:ascii="Traditional Arabic" w:hAnsi="Traditional Arabic"/>
          <w:sz w:val="32"/>
          <w:szCs w:val="32"/>
        </w:rPr>
      </w:pPr>
      <w:r w:rsidRPr="00B72410">
        <w:rPr>
          <w:rFonts w:ascii="Traditional Arabic" w:hAnsi="Traditional Arabic"/>
          <w:sz w:val="32"/>
          <w:szCs w:val="32"/>
          <w:rtl/>
        </w:rPr>
        <w:t>(</w:t>
      </w:r>
      <w:r w:rsidRPr="00B72410">
        <w:rPr>
          <w:rStyle w:val="ae"/>
          <w:rFonts w:ascii="Traditional Arabic" w:hAnsi="Traditional Arabic"/>
          <w:sz w:val="32"/>
          <w:szCs w:val="32"/>
          <w:vertAlign w:val="baseline"/>
        </w:rPr>
        <w:footnoteRef/>
      </w:r>
      <w:r w:rsidRPr="00B72410">
        <w:rPr>
          <w:rFonts w:ascii="Traditional Arabic" w:hAnsi="Traditional Arabic"/>
          <w:sz w:val="32"/>
          <w:szCs w:val="32"/>
          <w:rtl/>
        </w:rPr>
        <w:t xml:space="preserve">) انظر: تفسير مقاتل (2/547). </w:t>
      </w:r>
    </w:p>
  </w:footnote>
  <w:footnote w:id="575">
    <w:p w:rsidR="003F128F" w:rsidRPr="00B72410" w:rsidRDefault="003F128F" w:rsidP="00911ED4">
      <w:pPr>
        <w:pStyle w:val="af3"/>
        <w:rPr>
          <w:rFonts w:ascii="Traditional Arabic" w:hAnsi="Traditional Arabic"/>
          <w:sz w:val="32"/>
          <w:szCs w:val="32"/>
        </w:rPr>
      </w:pPr>
      <w:r w:rsidRPr="00B72410">
        <w:rPr>
          <w:rFonts w:ascii="Traditional Arabic" w:hAnsi="Traditional Arabic"/>
          <w:sz w:val="32"/>
          <w:szCs w:val="32"/>
          <w:rtl/>
        </w:rPr>
        <w:t>(</w:t>
      </w:r>
      <w:r w:rsidRPr="00B72410">
        <w:rPr>
          <w:rStyle w:val="ae"/>
          <w:rFonts w:ascii="Traditional Arabic" w:hAnsi="Traditional Arabic"/>
          <w:sz w:val="32"/>
          <w:szCs w:val="32"/>
          <w:vertAlign w:val="baseline"/>
        </w:rPr>
        <w:footnoteRef/>
      </w:r>
      <w:r w:rsidRPr="00B72410">
        <w:rPr>
          <w:rFonts w:ascii="Traditional Arabic" w:hAnsi="Traditional Arabic"/>
          <w:sz w:val="32"/>
          <w:szCs w:val="32"/>
          <w:rtl/>
        </w:rPr>
        <w:t>) انظر: التفسي</w:t>
      </w:r>
      <w:r>
        <w:rPr>
          <w:rFonts w:ascii="Traditional Arabic" w:hAnsi="Traditional Arabic"/>
          <w:sz w:val="32"/>
          <w:szCs w:val="32"/>
          <w:rtl/>
        </w:rPr>
        <w:t>ر الوسيط (3/123)، العين (3/363)</w:t>
      </w:r>
      <w:r w:rsidRPr="00B72410">
        <w:rPr>
          <w:rFonts w:ascii="Traditional Arabic" w:hAnsi="Traditional Arabic"/>
          <w:sz w:val="32"/>
          <w:szCs w:val="32"/>
          <w:rtl/>
        </w:rPr>
        <w:t xml:space="preserve"> مادة (زهق), تهذيب اللغة (5/2</w:t>
      </w:r>
      <w:r>
        <w:rPr>
          <w:rFonts w:ascii="Traditional Arabic" w:hAnsi="Traditional Arabic"/>
          <w:sz w:val="32"/>
          <w:szCs w:val="32"/>
          <w:rtl/>
        </w:rPr>
        <w:t>55)</w:t>
      </w:r>
      <w:r w:rsidRPr="00B72410">
        <w:rPr>
          <w:rFonts w:ascii="Traditional Arabic" w:hAnsi="Traditional Arabic"/>
          <w:sz w:val="32"/>
          <w:szCs w:val="32"/>
          <w:rtl/>
        </w:rPr>
        <w:t xml:space="preserve"> مادة (زهق).</w:t>
      </w:r>
    </w:p>
  </w:footnote>
  <w:footnote w:id="576">
    <w:p w:rsidR="003F128F" w:rsidRPr="005806A9" w:rsidRDefault="003F128F" w:rsidP="00911ED4">
      <w:pPr>
        <w:pStyle w:val="af3"/>
        <w:rPr>
          <w:rFonts w:ascii="Traditional Arabic" w:hAnsi="Traditional Arabic"/>
          <w:sz w:val="32"/>
          <w:szCs w:val="32"/>
        </w:rPr>
      </w:pPr>
      <w:r w:rsidRPr="005806A9">
        <w:rPr>
          <w:rFonts w:ascii="Traditional Arabic" w:hAnsi="Traditional Arabic"/>
          <w:sz w:val="32"/>
          <w:szCs w:val="32"/>
          <w:rtl/>
        </w:rPr>
        <w:t>(</w:t>
      </w:r>
      <w:r w:rsidRPr="005806A9">
        <w:rPr>
          <w:rStyle w:val="ae"/>
          <w:rFonts w:ascii="Traditional Arabic" w:hAnsi="Traditional Arabic"/>
          <w:sz w:val="32"/>
          <w:szCs w:val="32"/>
          <w:vertAlign w:val="baseline"/>
        </w:rPr>
        <w:footnoteRef/>
      </w:r>
      <w:r w:rsidRPr="005806A9">
        <w:rPr>
          <w:rFonts w:ascii="Traditional Arabic" w:hAnsi="Traditional Arabic"/>
          <w:sz w:val="32"/>
          <w:szCs w:val="32"/>
          <w:rtl/>
        </w:rPr>
        <w:t>) أخرجه البخاري (كتاب المظالم, باب</w:t>
      </w:r>
      <w:r>
        <w:rPr>
          <w:rFonts w:ascii="Traditional Arabic" w:hAnsi="Traditional Arabic" w:hint="cs"/>
          <w:sz w:val="32"/>
          <w:szCs w:val="32"/>
          <w:rtl/>
        </w:rPr>
        <w:t>:</w:t>
      </w:r>
      <w:r>
        <w:rPr>
          <w:rFonts w:ascii="Traditional Arabic" w:hAnsi="Traditional Arabic"/>
          <w:sz w:val="32"/>
          <w:szCs w:val="32"/>
          <w:rtl/>
        </w:rPr>
        <w:t xml:space="preserve"> هل تكسر الد</w:t>
      </w:r>
      <w:r>
        <w:rPr>
          <w:rFonts w:ascii="Traditional Arabic" w:hAnsi="Traditional Arabic" w:hint="cs"/>
          <w:sz w:val="32"/>
          <w:szCs w:val="32"/>
          <w:rtl/>
        </w:rPr>
        <w:t>ِّ</w:t>
      </w:r>
      <w:r>
        <w:rPr>
          <w:rFonts w:ascii="Traditional Arabic" w:hAnsi="Traditional Arabic"/>
          <w:sz w:val="32"/>
          <w:szCs w:val="32"/>
          <w:rtl/>
        </w:rPr>
        <w:t>نانُ التي فيها خمرٌ أو تُ</w:t>
      </w:r>
      <w:r>
        <w:rPr>
          <w:rFonts w:ascii="Traditional Arabic" w:hAnsi="Traditional Arabic" w:hint="cs"/>
          <w:sz w:val="32"/>
          <w:szCs w:val="32"/>
          <w:rtl/>
        </w:rPr>
        <w:t>خ</w:t>
      </w:r>
      <w:r>
        <w:rPr>
          <w:rFonts w:ascii="Traditional Arabic" w:hAnsi="Traditional Arabic"/>
          <w:sz w:val="32"/>
          <w:szCs w:val="32"/>
          <w:rtl/>
        </w:rPr>
        <w:t>رَّقَ الز</w:t>
      </w:r>
      <w:r>
        <w:rPr>
          <w:rFonts w:ascii="Traditional Arabic" w:hAnsi="Traditional Arabic" w:hint="cs"/>
          <w:sz w:val="32"/>
          <w:szCs w:val="32"/>
          <w:rtl/>
        </w:rPr>
        <w:t>ِّ</w:t>
      </w:r>
      <w:r w:rsidRPr="005806A9">
        <w:rPr>
          <w:rFonts w:ascii="Traditional Arabic" w:hAnsi="Traditional Arabic"/>
          <w:sz w:val="32"/>
          <w:szCs w:val="32"/>
          <w:rtl/>
        </w:rPr>
        <w:t>قاق؟, 5/150 ح2478, وأطرافه في ح4287, 4720), ومسلم (كتاب الجهاد والسير, باب</w:t>
      </w:r>
      <w:r>
        <w:rPr>
          <w:rFonts w:ascii="Traditional Arabic" w:hAnsi="Traditional Arabic" w:hint="cs"/>
          <w:sz w:val="32"/>
          <w:szCs w:val="32"/>
          <w:rtl/>
        </w:rPr>
        <w:t>:</w:t>
      </w:r>
      <w:r w:rsidRPr="005806A9">
        <w:rPr>
          <w:rFonts w:ascii="Traditional Arabic" w:hAnsi="Traditional Arabic"/>
          <w:sz w:val="32"/>
          <w:szCs w:val="32"/>
          <w:rtl/>
        </w:rPr>
        <w:t xml:space="preserve"> إزالة الأصنام من حول الكعبة, 12/346 ح4601). </w:t>
      </w:r>
    </w:p>
  </w:footnote>
  <w:footnote w:id="577">
    <w:p w:rsidR="003F128F" w:rsidRPr="005806A9" w:rsidRDefault="003F128F" w:rsidP="00CE35C7">
      <w:pPr>
        <w:pStyle w:val="af3"/>
        <w:rPr>
          <w:rFonts w:ascii="Traditional Arabic" w:hAnsi="Traditional Arabic"/>
          <w:sz w:val="32"/>
          <w:szCs w:val="32"/>
        </w:rPr>
      </w:pPr>
      <w:r w:rsidRPr="005806A9">
        <w:rPr>
          <w:rFonts w:ascii="Traditional Arabic" w:hAnsi="Traditional Arabic"/>
          <w:sz w:val="32"/>
          <w:szCs w:val="32"/>
          <w:rtl/>
        </w:rPr>
        <w:t>(</w:t>
      </w:r>
      <w:r w:rsidRPr="005806A9">
        <w:rPr>
          <w:rStyle w:val="ae"/>
          <w:rFonts w:ascii="Traditional Arabic" w:hAnsi="Traditional Arabic"/>
          <w:sz w:val="32"/>
          <w:szCs w:val="32"/>
          <w:vertAlign w:val="baseline"/>
        </w:rPr>
        <w:footnoteRef/>
      </w:r>
      <w:r w:rsidRPr="005806A9">
        <w:rPr>
          <w:rFonts w:ascii="Traditional Arabic" w:hAnsi="Traditional Arabic"/>
          <w:sz w:val="32"/>
          <w:szCs w:val="32"/>
          <w:rtl/>
        </w:rPr>
        <w:t>) انظر: الهداية (6/4275)</w:t>
      </w:r>
      <w:r>
        <w:rPr>
          <w:rFonts w:ascii="Traditional Arabic" w:hAnsi="Traditional Arabic" w:hint="cs"/>
          <w:sz w:val="32"/>
          <w:szCs w:val="32"/>
          <w:rtl/>
        </w:rPr>
        <w:t>.</w:t>
      </w:r>
    </w:p>
  </w:footnote>
  <w:footnote w:id="578">
    <w:p w:rsidR="003F128F" w:rsidRPr="005806A9" w:rsidRDefault="003F128F" w:rsidP="008D52BA">
      <w:pPr>
        <w:pStyle w:val="af3"/>
        <w:rPr>
          <w:rFonts w:ascii="Traditional Arabic" w:hAnsi="Traditional Arabic"/>
          <w:sz w:val="32"/>
          <w:szCs w:val="32"/>
        </w:rPr>
      </w:pPr>
      <w:r w:rsidRPr="005806A9">
        <w:rPr>
          <w:rFonts w:ascii="Traditional Arabic" w:hAnsi="Traditional Arabic"/>
          <w:sz w:val="32"/>
          <w:szCs w:val="32"/>
          <w:rtl/>
        </w:rPr>
        <w:t>(</w:t>
      </w:r>
      <w:r w:rsidRPr="005806A9">
        <w:rPr>
          <w:rStyle w:val="ae"/>
          <w:rFonts w:ascii="Traditional Arabic" w:hAnsi="Traditional Arabic"/>
          <w:sz w:val="32"/>
          <w:szCs w:val="32"/>
          <w:vertAlign w:val="baseline"/>
        </w:rPr>
        <w:footnoteRef/>
      </w:r>
      <w:r w:rsidRPr="005806A9">
        <w:rPr>
          <w:rFonts w:ascii="Traditional Arabic" w:hAnsi="Traditional Arabic"/>
          <w:sz w:val="32"/>
          <w:szCs w:val="32"/>
          <w:rtl/>
        </w:rPr>
        <w:t>) انظر: تفسير الطبري (17/537), الكشف والبيان (6/128)</w:t>
      </w:r>
      <w:r>
        <w:rPr>
          <w:rFonts w:ascii="Traditional Arabic" w:hAnsi="Traditional Arabic" w:hint="cs"/>
          <w:sz w:val="32"/>
          <w:szCs w:val="32"/>
          <w:rtl/>
        </w:rPr>
        <w:t>.</w:t>
      </w:r>
    </w:p>
  </w:footnote>
  <w:footnote w:id="579">
    <w:p w:rsidR="003F128F" w:rsidRPr="005806A9" w:rsidRDefault="003F128F" w:rsidP="008D52BA">
      <w:pPr>
        <w:pStyle w:val="af3"/>
        <w:rPr>
          <w:rFonts w:ascii="Traditional Arabic" w:hAnsi="Traditional Arabic"/>
          <w:sz w:val="32"/>
          <w:szCs w:val="32"/>
        </w:rPr>
      </w:pPr>
      <w:r w:rsidRPr="005806A9">
        <w:rPr>
          <w:rFonts w:ascii="Traditional Arabic" w:hAnsi="Traditional Arabic"/>
          <w:sz w:val="32"/>
          <w:szCs w:val="32"/>
          <w:rtl/>
        </w:rPr>
        <w:t>(</w:t>
      </w:r>
      <w:r w:rsidRPr="005806A9">
        <w:rPr>
          <w:rStyle w:val="ae"/>
          <w:rFonts w:ascii="Traditional Arabic" w:hAnsi="Traditional Arabic"/>
          <w:sz w:val="32"/>
          <w:szCs w:val="32"/>
          <w:vertAlign w:val="baseline"/>
        </w:rPr>
        <w:footnoteRef/>
      </w:r>
      <w:r w:rsidRPr="005806A9">
        <w:rPr>
          <w:rFonts w:ascii="Traditional Arabic" w:hAnsi="Traditional Arabic"/>
          <w:sz w:val="32"/>
          <w:szCs w:val="32"/>
          <w:rtl/>
        </w:rPr>
        <w:t>) انظر: بحر العلوم (2/326), الكشف والبيان (6/128)</w:t>
      </w:r>
      <w:r>
        <w:rPr>
          <w:rFonts w:ascii="Traditional Arabic" w:hAnsi="Traditional Arabic" w:hint="cs"/>
          <w:sz w:val="32"/>
          <w:szCs w:val="32"/>
          <w:rtl/>
        </w:rPr>
        <w:t>.</w:t>
      </w:r>
    </w:p>
  </w:footnote>
  <w:footnote w:id="580">
    <w:p w:rsidR="003F128F" w:rsidRPr="005806A9" w:rsidRDefault="003F128F" w:rsidP="00911ED4">
      <w:pPr>
        <w:pStyle w:val="af3"/>
        <w:rPr>
          <w:rFonts w:ascii="Traditional Arabic" w:hAnsi="Traditional Arabic"/>
          <w:sz w:val="32"/>
          <w:szCs w:val="32"/>
        </w:rPr>
      </w:pPr>
      <w:r w:rsidRPr="005806A9">
        <w:rPr>
          <w:rFonts w:ascii="Traditional Arabic" w:hAnsi="Traditional Arabic"/>
          <w:sz w:val="32"/>
          <w:szCs w:val="32"/>
          <w:rtl/>
        </w:rPr>
        <w:t>(</w:t>
      </w:r>
      <w:r w:rsidRPr="005806A9">
        <w:rPr>
          <w:rStyle w:val="ae"/>
          <w:rFonts w:ascii="Traditional Arabic" w:hAnsi="Traditional Arabic"/>
          <w:sz w:val="32"/>
          <w:szCs w:val="32"/>
          <w:vertAlign w:val="baseline"/>
        </w:rPr>
        <w:footnoteRef/>
      </w:r>
      <w:r w:rsidRPr="005806A9">
        <w:rPr>
          <w:rFonts w:ascii="Traditional Arabic" w:hAnsi="Traditional Arabic"/>
          <w:sz w:val="32"/>
          <w:szCs w:val="32"/>
          <w:rtl/>
        </w:rPr>
        <w:t>) انظر: تفسير مقاتل (2/547), النكت والعيون (3/268).</w:t>
      </w:r>
    </w:p>
  </w:footnote>
  <w:footnote w:id="581">
    <w:p w:rsidR="003F128F" w:rsidRPr="005806A9" w:rsidRDefault="003F128F" w:rsidP="00911ED4">
      <w:pPr>
        <w:pStyle w:val="af3"/>
        <w:rPr>
          <w:rFonts w:ascii="Traditional Arabic" w:hAnsi="Traditional Arabic"/>
          <w:sz w:val="32"/>
          <w:szCs w:val="32"/>
        </w:rPr>
      </w:pPr>
      <w:r w:rsidRPr="005806A9">
        <w:rPr>
          <w:rFonts w:ascii="Traditional Arabic" w:hAnsi="Traditional Arabic"/>
          <w:sz w:val="32"/>
          <w:szCs w:val="32"/>
          <w:rtl/>
        </w:rPr>
        <w:t>(</w:t>
      </w:r>
      <w:r w:rsidRPr="005806A9">
        <w:rPr>
          <w:rStyle w:val="ae"/>
          <w:rFonts w:ascii="Traditional Arabic" w:hAnsi="Traditional Arabic"/>
          <w:sz w:val="32"/>
          <w:szCs w:val="32"/>
          <w:vertAlign w:val="baseline"/>
        </w:rPr>
        <w:footnoteRef/>
      </w:r>
      <w:r w:rsidRPr="005806A9">
        <w:rPr>
          <w:rFonts w:ascii="Traditional Arabic" w:hAnsi="Traditional Arabic"/>
          <w:sz w:val="32"/>
          <w:szCs w:val="32"/>
          <w:rtl/>
        </w:rPr>
        <w:t xml:space="preserve">) انظر: تفسير الطبري (17/538), بحر العلوم (2/326). </w:t>
      </w:r>
    </w:p>
  </w:footnote>
  <w:footnote w:id="582">
    <w:p w:rsidR="003F128F" w:rsidRPr="005806A9" w:rsidRDefault="003F128F" w:rsidP="00911ED4">
      <w:pPr>
        <w:pStyle w:val="af3"/>
        <w:rPr>
          <w:rFonts w:ascii="Traditional Arabic" w:hAnsi="Traditional Arabic"/>
          <w:sz w:val="32"/>
          <w:szCs w:val="32"/>
        </w:rPr>
      </w:pPr>
      <w:r w:rsidRPr="005806A9">
        <w:rPr>
          <w:rFonts w:ascii="Traditional Arabic" w:hAnsi="Traditional Arabic"/>
          <w:sz w:val="32"/>
          <w:szCs w:val="32"/>
          <w:rtl/>
        </w:rPr>
        <w:t>(</w:t>
      </w:r>
      <w:r w:rsidRPr="005806A9">
        <w:rPr>
          <w:rStyle w:val="ae"/>
          <w:rFonts w:ascii="Traditional Arabic" w:hAnsi="Traditional Arabic"/>
          <w:sz w:val="32"/>
          <w:szCs w:val="32"/>
          <w:vertAlign w:val="baseline"/>
        </w:rPr>
        <w:footnoteRef/>
      </w:r>
      <w:r w:rsidRPr="005806A9">
        <w:rPr>
          <w:rFonts w:ascii="Traditional Arabic" w:hAnsi="Traditional Arabic"/>
          <w:sz w:val="32"/>
          <w:szCs w:val="32"/>
          <w:rtl/>
        </w:rPr>
        <w:t>) انظر: الوسيط للواحدي (3/123).</w:t>
      </w:r>
    </w:p>
  </w:footnote>
  <w:footnote w:id="583">
    <w:p w:rsidR="003F128F" w:rsidRPr="00570359" w:rsidRDefault="003F128F" w:rsidP="00911ED4">
      <w:pPr>
        <w:pStyle w:val="af3"/>
        <w:rPr>
          <w:rFonts w:ascii="Traditional Arabic" w:hAnsi="Traditional Arabic"/>
          <w:sz w:val="32"/>
          <w:szCs w:val="32"/>
        </w:rPr>
      </w:pPr>
      <w:r w:rsidRPr="005806A9">
        <w:rPr>
          <w:rFonts w:ascii="Traditional Arabic" w:hAnsi="Traditional Arabic"/>
          <w:sz w:val="32"/>
          <w:szCs w:val="32"/>
          <w:rtl/>
        </w:rPr>
        <w:t>(</w:t>
      </w:r>
      <w:r w:rsidRPr="005806A9">
        <w:rPr>
          <w:rStyle w:val="ae"/>
          <w:rFonts w:ascii="Traditional Arabic" w:hAnsi="Traditional Arabic"/>
          <w:sz w:val="32"/>
          <w:szCs w:val="32"/>
          <w:vertAlign w:val="baseline"/>
        </w:rPr>
        <w:footnoteRef/>
      </w:r>
      <w:r w:rsidRPr="005806A9">
        <w:rPr>
          <w:rFonts w:ascii="Traditional Arabic" w:hAnsi="Traditional Arabic"/>
          <w:sz w:val="32"/>
          <w:szCs w:val="32"/>
          <w:rtl/>
        </w:rPr>
        <w:t>) انظر: بحر العلوم (2/326), الهداية (6/4275).</w:t>
      </w:r>
    </w:p>
  </w:footnote>
  <w:footnote w:id="584">
    <w:p w:rsidR="003F128F" w:rsidRPr="00570359" w:rsidRDefault="003F128F" w:rsidP="00911ED4">
      <w:pPr>
        <w:pStyle w:val="af3"/>
        <w:rPr>
          <w:rFonts w:ascii="Traditional Arabic" w:hAnsi="Traditional Arabic"/>
          <w:sz w:val="32"/>
          <w:szCs w:val="32"/>
        </w:rPr>
      </w:pPr>
      <w:r w:rsidRPr="00570359">
        <w:rPr>
          <w:rFonts w:ascii="Traditional Arabic" w:hAnsi="Traditional Arabic"/>
          <w:sz w:val="32"/>
          <w:szCs w:val="32"/>
          <w:rtl/>
        </w:rPr>
        <w:t>(</w:t>
      </w:r>
      <w:r w:rsidRPr="00570359">
        <w:rPr>
          <w:rStyle w:val="ae"/>
          <w:rFonts w:ascii="Traditional Arabic" w:hAnsi="Traditional Arabic"/>
          <w:sz w:val="32"/>
          <w:szCs w:val="32"/>
          <w:vertAlign w:val="baseline"/>
        </w:rPr>
        <w:footnoteRef/>
      </w:r>
      <w:r w:rsidRPr="00570359">
        <w:rPr>
          <w:rFonts w:ascii="Traditional Arabic" w:hAnsi="Traditional Arabic"/>
          <w:sz w:val="32"/>
          <w:szCs w:val="32"/>
          <w:rtl/>
        </w:rPr>
        <w:t>) هو أبو عبد شمس الْوَلِيد بن المُغيرة بن عبد الله بن عَمْرو بن مَخْزُوم, من قضاة العرب في الجاهلية، ومن زعماء قريش، ومن زنادقتها,</w:t>
      </w:r>
      <w:r w:rsidRPr="00570359">
        <w:rPr>
          <w:rFonts w:ascii="Traditional Arabic" w:hAnsi="Traditional Arabic"/>
          <w:sz w:val="32"/>
          <w:szCs w:val="32"/>
          <w:rtl/>
          <w:lang w:eastAsia="en-US"/>
        </w:rPr>
        <w:t xml:space="preserve"> </w:t>
      </w:r>
      <w:r w:rsidRPr="00570359">
        <w:rPr>
          <w:rFonts w:ascii="Traditional Arabic" w:hAnsi="Traditional Arabic"/>
          <w:sz w:val="32"/>
          <w:szCs w:val="32"/>
          <w:rtl/>
        </w:rPr>
        <w:t xml:space="preserve">أدرك الإسلام وهو شيخ هرم، فعاداه وقاوم دعوته, (ت1ه). انظر: الأعلام (8/122).  </w:t>
      </w:r>
    </w:p>
  </w:footnote>
  <w:footnote w:id="585">
    <w:p w:rsidR="003F128F" w:rsidRPr="00570359" w:rsidRDefault="003F128F" w:rsidP="008D52BA">
      <w:pPr>
        <w:pStyle w:val="af3"/>
        <w:rPr>
          <w:rFonts w:ascii="Traditional Arabic" w:hAnsi="Traditional Arabic"/>
          <w:sz w:val="32"/>
          <w:szCs w:val="32"/>
        </w:rPr>
      </w:pPr>
      <w:r w:rsidRPr="00570359">
        <w:rPr>
          <w:rFonts w:ascii="Traditional Arabic" w:hAnsi="Traditional Arabic"/>
          <w:sz w:val="32"/>
          <w:szCs w:val="32"/>
          <w:rtl/>
        </w:rPr>
        <w:t>(</w:t>
      </w:r>
      <w:r w:rsidRPr="00570359">
        <w:rPr>
          <w:rStyle w:val="ae"/>
          <w:rFonts w:ascii="Traditional Arabic" w:hAnsi="Traditional Arabic"/>
          <w:sz w:val="32"/>
          <w:szCs w:val="32"/>
          <w:vertAlign w:val="baseline"/>
        </w:rPr>
        <w:footnoteRef/>
      </w:r>
      <w:r w:rsidRPr="00570359">
        <w:rPr>
          <w:rFonts w:ascii="Traditional Arabic" w:hAnsi="Traditional Arabic"/>
          <w:sz w:val="32"/>
          <w:szCs w:val="32"/>
          <w:rtl/>
        </w:rPr>
        <w:t>) انظر: التفسير الوسيط (3/124), الهداية (6/4275)</w:t>
      </w:r>
      <w:r>
        <w:rPr>
          <w:rFonts w:ascii="Traditional Arabic" w:hAnsi="Traditional Arabic" w:hint="cs"/>
          <w:sz w:val="32"/>
          <w:szCs w:val="32"/>
          <w:rtl/>
        </w:rPr>
        <w:t>.</w:t>
      </w:r>
      <w:r w:rsidRPr="00570359">
        <w:rPr>
          <w:rFonts w:ascii="Traditional Arabic" w:hAnsi="Traditional Arabic"/>
          <w:sz w:val="32"/>
          <w:szCs w:val="32"/>
          <w:rtl/>
        </w:rPr>
        <w:t xml:space="preserve"> </w:t>
      </w:r>
    </w:p>
  </w:footnote>
  <w:footnote w:id="586">
    <w:p w:rsidR="003F128F" w:rsidRPr="00570359" w:rsidRDefault="003F128F" w:rsidP="00911ED4">
      <w:pPr>
        <w:pStyle w:val="af3"/>
        <w:rPr>
          <w:rFonts w:ascii="Traditional Arabic" w:hAnsi="Traditional Arabic"/>
          <w:sz w:val="32"/>
          <w:szCs w:val="32"/>
        </w:rPr>
      </w:pPr>
      <w:r w:rsidRPr="00570359">
        <w:rPr>
          <w:rFonts w:ascii="Traditional Arabic" w:hAnsi="Traditional Arabic"/>
          <w:sz w:val="32"/>
          <w:szCs w:val="32"/>
          <w:rtl/>
        </w:rPr>
        <w:t>(</w:t>
      </w:r>
      <w:r w:rsidRPr="00570359">
        <w:rPr>
          <w:rStyle w:val="ae"/>
          <w:rFonts w:ascii="Traditional Arabic" w:hAnsi="Traditional Arabic"/>
          <w:sz w:val="32"/>
          <w:szCs w:val="32"/>
          <w:vertAlign w:val="baseline"/>
        </w:rPr>
        <w:footnoteRef/>
      </w:r>
      <w:r w:rsidRPr="00570359">
        <w:rPr>
          <w:rFonts w:ascii="Traditional Arabic" w:hAnsi="Traditional Arabic"/>
          <w:sz w:val="32"/>
          <w:szCs w:val="32"/>
          <w:rtl/>
        </w:rPr>
        <w:t>) انظر: بحر العلوم (2/326), تفسير السمعاني (3/272).</w:t>
      </w:r>
    </w:p>
  </w:footnote>
  <w:footnote w:id="587">
    <w:p w:rsidR="003F128F" w:rsidRPr="00570359" w:rsidRDefault="003F128F" w:rsidP="00CE35C7">
      <w:pPr>
        <w:pStyle w:val="af3"/>
        <w:rPr>
          <w:rFonts w:ascii="Traditional Arabic" w:hAnsi="Traditional Arabic"/>
          <w:sz w:val="32"/>
          <w:szCs w:val="32"/>
        </w:rPr>
      </w:pPr>
      <w:r w:rsidRPr="00570359">
        <w:rPr>
          <w:rFonts w:ascii="Traditional Arabic" w:hAnsi="Traditional Arabic"/>
          <w:sz w:val="32"/>
          <w:szCs w:val="32"/>
          <w:rtl/>
        </w:rPr>
        <w:t>(</w:t>
      </w:r>
      <w:r w:rsidRPr="00570359">
        <w:rPr>
          <w:rStyle w:val="ae"/>
          <w:rFonts w:ascii="Traditional Arabic" w:hAnsi="Traditional Arabic"/>
          <w:sz w:val="32"/>
          <w:szCs w:val="32"/>
          <w:vertAlign w:val="baseline"/>
        </w:rPr>
        <w:footnoteRef/>
      </w:r>
      <w:r w:rsidRPr="00570359">
        <w:rPr>
          <w:rFonts w:ascii="Traditional Arabic" w:hAnsi="Traditional Arabic"/>
          <w:sz w:val="32"/>
          <w:szCs w:val="32"/>
          <w:rtl/>
        </w:rPr>
        <w:t>)</w:t>
      </w:r>
      <w:r>
        <w:rPr>
          <w:rFonts w:ascii="Traditional Arabic" w:hAnsi="Traditional Arabic" w:hint="cs"/>
          <w:sz w:val="32"/>
          <w:szCs w:val="32"/>
          <w:rtl/>
        </w:rPr>
        <w:t xml:space="preserve"> انظر: </w:t>
      </w:r>
      <w:r w:rsidRPr="00570359">
        <w:rPr>
          <w:rFonts w:ascii="Traditional Arabic" w:hAnsi="Traditional Arabic"/>
          <w:sz w:val="32"/>
          <w:szCs w:val="32"/>
          <w:rtl/>
        </w:rPr>
        <w:t>حجة القراءات لابن زنجلة (ص409).</w:t>
      </w:r>
    </w:p>
  </w:footnote>
  <w:footnote w:id="588">
    <w:p w:rsidR="003F128F" w:rsidRPr="00ED589F" w:rsidRDefault="003F128F" w:rsidP="00CE35C7">
      <w:pPr>
        <w:pStyle w:val="af3"/>
        <w:rPr>
          <w:rFonts w:ascii="Tahoma" w:hAnsi="Tahoma"/>
          <w:rtl/>
        </w:rPr>
      </w:pPr>
      <w:r w:rsidRPr="00570359">
        <w:rPr>
          <w:rFonts w:ascii="Traditional Arabic" w:hAnsi="Traditional Arabic"/>
          <w:sz w:val="32"/>
          <w:szCs w:val="32"/>
          <w:rtl/>
        </w:rPr>
        <w:t>(</w:t>
      </w:r>
      <w:r w:rsidRPr="00570359">
        <w:rPr>
          <w:rStyle w:val="ae"/>
          <w:rFonts w:ascii="Traditional Arabic" w:hAnsi="Traditional Arabic"/>
          <w:sz w:val="32"/>
          <w:szCs w:val="32"/>
          <w:vertAlign w:val="baseline"/>
        </w:rPr>
        <w:footnoteRef/>
      </w:r>
      <w:r w:rsidRPr="00570359">
        <w:rPr>
          <w:rFonts w:ascii="Traditional Arabic" w:hAnsi="Traditional Arabic"/>
          <w:sz w:val="32"/>
          <w:szCs w:val="32"/>
          <w:rtl/>
        </w:rPr>
        <w:t xml:space="preserve">) </w:t>
      </w:r>
      <w:r>
        <w:rPr>
          <w:rFonts w:ascii="Traditional Arabic" w:hAnsi="Traditional Arabic" w:hint="cs"/>
          <w:sz w:val="32"/>
          <w:szCs w:val="32"/>
          <w:rtl/>
        </w:rPr>
        <w:t>انظر: المصدر السابق</w:t>
      </w:r>
      <w:r w:rsidRPr="00570359">
        <w:rPr>
          <w:rFonts w:ascii="Traditional Arabic" w:hAnsi="Traditional Arabic"/>
          <w:sz w:val="32"/>
          <w:szCs w:val="32"/>
          <w:rtl/>
        </w:rPr>
        <w:t xml:space="preserve"> (ص408).</w:t>
      </w:r>
    </w:p>
  </w:footnote>
  <w:footnote w:id="589">
    <w:p w:rsidR="003F128F" w:rsidRPr="00570359" w:rsidRDefault="003F128F" w:rsidP="00911ED4">
      <w:pPr>
        <w:pStyle w:val="af3"/>
        <w:rPr>
          <w:rFonts w:ascii="Traditional Arabic" w:hAnsi="Traditional Arabic"/>
          <w:sz w:val="32"/>
          <w:szCs w:val="32"/>
        </w:rPr>
      </w:pPr>
      <w:r w:rsidRPr="00570359">
        <w:rPr>
          <w:rFonts w:ascii="Traditional Arabic" w:hAnsi="Traditional Arabic"/>
          <w:color w:val="auto"/>
          <w:sz w:val="32"/>
          <w:szCs w:val="32"/>
          <w:rtl/>
        </w:rPr>
        <w:t>(</w:t>
      </w:r>
      <w:r w:rsidRPr="00570359">
        <w:rPr>
          <w:rStyle w:val="ae"/>
          <w:rFonts w:ascii="Traditional Arabic" w:hAnsi="Traditional Arabic"/>
          <w:color w:val="auto"/>
          <w:sz w:val="32"/>
          <w:szCs w:val="32"/>
          <w:vertAlign w:val="baseline"/>
        </w:rPr>
        <w:footnoteRef/>
      </w:r>
      <w:r w:rsidRPr="00570359">
        <w:rPr>
          <w:rFonts w:ascii="Traditional Arabic" w:hAnsi="Traditional Arabic"/>
          <w:color w:val="auto"/>
          <w:sz w:val="32"/>
          <w:szCs w:val="32"/>
          <w:rtl/>
        </w:rPr>
        <w:t>)</w:t>
      </w:r>
      <w:r w:rsidRPr="00570359">
        <w:rPr>
          <w:rFonts w:ascii="Traditional Arabic" w:eastAsia="Calibri" w:hAnsi="Traditional Arabic"/>
          <w:color w:val="auto"/>
          <w:sz w:val="32"/>
          <w:szCs w:val="32"/>
          <w:vertAlign w:val="superscript"/>
          <w:rtl/>
          <w:lang w:eastAsia="en-US"/>
        </w:rPr>
        <w:t xml:space="preserve"> </w:t>
      </w:r>
      <w:r>
        <w:rPr>
          <w:rFonts w:ascii="Traditional Arabic" w:eastAsia="Calibri" w:hAnsi="Traditional Arabic"/>
          <w:color w:val="auto"/>
          <w:sz w:val="32"/>
          <w:szCs w:val="32"/>
          <w:rtl/>
          <w:lang w:eastAsia="en-US"/>
        </w:rPr>
        <w:t>هو</w:t>
      </w:r>
      <w:r>
        <w:rPr>
          <w:rFonts w:ascii="Traditional Arabic" w:eastAsia="Calibri" w:hAnsi="Traditional Arabic" w:hint="cs"/>
          <w:color w:val="auto"/>
          <w:sz w:val="32"/>
          <w:szCs w:val="32"/>
          <w:rtl/>
          <w:lang w:eastAsia="en-US"/>
        </w:rPr>
        <w:t xml:space="preserve"> الإمام المقرئ</w:t>
      </w:r>
      <w:r w:rsidRPr="00570359">
        <w:rPr>
          <w:rFonts w:ascii="Traditional Arabic" w:eastAsia="Calibri" w:hAnsi="Traditional Arabic"/>
          <w:color w:val="auto"/>
          <w:sz w:val="32"/>
          <w:szCs w:val="32"/>
          <w:rtl/>
          <w:lang w:eastAsia="en-US"/>
        </w:rPr>
        <w:t xml:space="preserve"> أبو محمد خلف بن هشام بن ثعلب وقيل ابن طالب بن غراب الأسديُّ البغداديُّ، </w:t>
      </w:r>
      <w:r>
        <w:rPr>
          <w:rFonts w:ascii="Traditional Arabic" w:eastAsia="Calibri" w:hAnsi="Traditional Arabic"/>
          <w:color w:val="auto"/>
          <w:sz w:val="32"/>
          <w:szCs w:val="32"/>
          <w:rtl/>
          <w:lang w:eastAsia="en-US"/>
        </w:rPr>
        <w:t>الإمام</w:t>
      </w:r>
      <w:r w:rsidRPr="00570359">
        <w:rPr>
          <w:rFonts w:ascii="Traditional Arabic" w:eastAsia="Calibri" w:hAnsi="Traditional Arabic"/>
          <w:color w:val="auto"/>
          <w:sz w:val="32"/>
          <w:szCs w:val="32"/>
          <w:rtl/>
          <w:lang w:eastAsia="en-US"/>
        </w:rPr>
        <w:t xml:space="preserve">، الحَافِظُ، الحُجَّةُ، </w:t>
      </w:r>
      <w:r>
        <w:rPr>
          <w:rFonts w:ascii="Traditional Arabic" w:eastAsia="Calibri" w:hAnsi="Traditional Arabic"/>
          <w:color w:val="auto"/>
          <w:sz w:val="32"/>
          <w:szCs w:val="32"/>
          <w:rtl/>
          <w:lang w:eastAsia="en-US"/>
        </w:rPr>
        <w:t>أَحَدُ القراء العشرة،</w:t>
      </w:r>
      <w:r>
        <w:rPr>
          <w:rFonts w:ascii="Traditional Arabic" w:eastAsia="Calibri" w:hAnsi="Traditional Arabic" w:hint="cs"/>
          <w:color w:val="auto"/>
          <w:sz w:val="32"/>
          <w:szCs w:val="32"/>
          <w:rtl/>
          <w:lang w:eastAsia="en-US"/>
        </w:rPr>
        <w:t xml:space="preserve"> </w:t>
      </w:r>
      <w:r w:rsidRPr="00570359">
        <w:rPr>
          <w:rFonts w:ascii="Traditional Arabic" w:eastAsia="Calibri" w:hAnsi="Traditional Arabic"/>
          <w:color w:val="auto"/>
          <w:sz w:val="32"/>
          <w:szCs w:val="32"/>
          <w:rtl/>
          <w:lang w:eastAsia="en-US"/>
        </w:rPr>
        <w:t>(</w:t>
      </w:r>
      <w:r>
        <w:rPr>
          <w:rFonts w:ascii="Traditional Arabic" w:eastAsia="Calibri" w:hAnsi="Traditional Arabic" w:hint="cs"/>
          <w:color w:val="auto"/>
          <w:sz w:val="32"/>
          <w:szCs w:val="32"/>
          <w:rtl/>
          <w:lang w:eastAsia="en-US"/>
        </w:rPr>
        <w:t>ت</w:t>
      </w:r>
      <w:r w:rsidRPr="00570359">
        <w:rPr>
          <w:rFonts w:ascii="Traditional Arabic" w:eastAsia="Calibri" w:hAnsi="Traditional Arabic"/>
          <w:color w:val="auto"/>
          <w:sz w:val="32"/>
          <w:szCs w:val="32"/>
          <w:rtl/>
          <w:lang w:eastAsia="en-US"/>
        </w:rPr>
        <w:t>229ه). انظر: سير أعلام النبلاء (10/576), غاية النهاية (1/272).</w:t>
      </w:r>
    </w:p>
  </w:footnote>
  <w:footnote w:id="590">
    <w:p w:rsidR="003F128F" w:rsidRPr="00570359" w:rsidRDefault="003F128F" w:rsidP="00911ED4">
      <w:pPr>
        <w:pStyle w:val="af3"/>
        <w:rPr>
          <w:rFonts w:ascii="Traditional Arabic" w:hAnsi="Traditional Arabic"/>
          <w:sz w:val="32"/>
          <w:szCs w:val="32"/>
        </w:rPr>
      </w:pPr>
      <w:r w:rsidRPr="00570359">
        <w:rPr>
          <w:rFonts w:ascii="Traditional Arabic" w:hAnsi="Traditional Arabic"/>
          <w:sz w:val="32"/>
          <w:szCs w:val="32"/>
          <w:rtl/>
        </w:rPr>
        <w:t>(</w:t>
      </w:r>
      <w:r w:rsidRPr="00570359">
        <w:rPr>
          <w:rStyle w:val="ae"/>
          <w:rFonts w:ascii="Traditional Arabic" w:hAnsi="Traditional Arabic"/>
          <w:sz w:val="32"/>
          <w:szCs w:val="32"/>
          <w:vertAlign w:val="baseline"/>
        </w:rPr>
        <w:footnoteRef/>
      </w:r>
      <w:r>
        <w:rPr>
          <w:rFonts w:ascii="Traditional Arabic" w:hAnsi="Traditional Arabic"/>
          <w:sz w:val="32"/>
          <w:szCs w:val="32"/>
          <w:rtl/>
        </w:rPr>
        <w:t xml:space="preserve">) </w:t>
      </w:r>
      <w:r w:rsidRPr="00570359">
        <w:rPr>
          <w:rFonts w:ascii="Traditional Arabic" w:hAnsi="Traditional Arabic"/>
          <w:sz w:val="32"/>
          <w:szCs w:val="32"/>
          <w:rtl/>
        </w:rPr>
        <w:t xml:space="preserve">هو </w:t>
      </w:r>
      <w:r>
        <w:rPr>
          <w:rFonts w:ascii="Traditional Arabic" w:hAnsi="Traditional Arabic"/>
          <w:sz w:val="32"/>
          <w:szCs w:val="32"/>
          <w:rtl/>
        </w:rPr>
        <w:t>الإمام</w:t>
      </w:r>
      <w:r w:rsidRPr="00570359">
        <w:rPr>
          <w:rFonts w:ascii="Traditional Arabic" w:hAnsi="Traditional Arabic"/>
          <w:sz w:val="32"/>
          <w:szCs w:val="32"/>
          <w:rtl/>
        </w:rPr>
        <w:t xml:space="preserve"> المقرئ أبو عيسى سليم بن عيسى بن سليم بن عامر الحنفي مولاهم الكوفي, صاحب حمزة الزيات وأخص تلامذته به وأحذقهم بالقراءة, وهو الذي خلف حمزة في الإقراء بالكوفة,</w:t>
      </w:r>
      <w:r>
        <w:rPr>
          <w:rFonts w:ascii="Traditional Arabic" w:hAnsi="Traditional Arabic" w:hint="cs"/>
          <w:sz w:val="32"/>
          <w:szCs w:val="32"/>
          <w:rtl/>
        </w:rPr>
        <w:t xml:space="preserve"> </w:t>
      </w:r>
      <w:r w:rsidRPr="00570359">
        <w:rPr>
          <w:rFonts w:ascii="Traditional Arabic" w:hAnsi="Traditional Arabic"/>
          <w:sz w:val="32"/>
          <w:szCs w:val="32"/>
          <w:rtl/>
        </w:rPr>
        <w:t>(ت188ه). انظر: معرفة القراء الكبار (1/138)،</w:t>
      </w:r>
      <w:r w:rsidRPr="00570359">
        <w:rPr>
          <w:rFonts w:ascii="Traditional Arabic" w:eastAsia="Calibri" w:hAnsi="Traditional Arabic"/>
          <w:color w:val="auto"/>
          <w:sz w:val="32"/>
          <w:szCs w:val="32"/>
          <w:rtl/>
          <w:lang w:eastAsia="en-US"/>
        </w:rPr>
        <w:t xml:space="preserve"> غاية النهاية (1/318).</w:t>
      </w:r>
    </w:p>
  </w:footnote>
  <w:footnote w:id="591">
    <w:p w:rsidR="003F128F" w:rsidRPr="00570359" w:rsidRDefault="003F128F" w:rsidP="00CE35C7">
      <w:pPr>
        <w:pStyle w:val="af3"/>
        <w:rPr>
          <w:rFonts w:ascii="Traditional Arabic" w:hAnsi="Traditional Arabic"/>
          <w:sz w:val="32"/>
          <w:szCs w:val="32"/>
        </w:rPr>
      </w:pPr>
      <w:r w:rsidRPr="00570359">
        <w:rPr>
          <w:rFonts w:ascii="Traditional Arabic" w:hAnsi="Traditional Arabic"/>
          <w:sz w:val="32"/>
          <w:szCs w:val="32"/>
          <w:rtl/>
        </w:rPr>
        <w:t>(</w:t>
      </w:r>
      <w:r w:rsidRPr="00570359">
        <w:rPr>
          <w:rStyle w:val="ae"/>
          <w:rFonts w:ascii="Traditional Arabic" w:hAnsi="Traditional Arabic"/>
          <w:sz w:val="32"/>
          <w:szCs w:val="32"/>
          <w:vertAlign w:val="baseline"/>
        </w:rPr>
        <w:footnoteRef/>
      </w:r>
      <w:r>
        <w:rPr>
          <w:rFonts w:ascii="Traditional Arabic" w:hAnsi="Traditional Arabic"/>
          <w:sz w:val="32"/>
          <w:szCs w:val="32"/>
          <w:rtl/>
        </w:rPr>
        <w:t>)</w:t>
      </w:r>
      <w:r w:rsidRPr="00570359">
        <w:rPr>
          <w:rFonts w:ascii="Traditional Arabic" w:hAnsi="Traditional Arabic"/>
          <w:sz w:val="32"/>
          <w:szCs w:val="32"/>
          <w:rtl/>
        </w:rPr>
        <w:t xml:space="preserve"> </w:t>
      </w:r>
      <w:r>
        <w:rPr>
          <w:rFonts w:ascii="Traditional Arabic" w:hAnsi="Traditional Arabic" w:hint="cs"/>
          <w:sz w:val="32"/>
          <w:szCs w:val="32"/>
          <w:rtl/>
        </w:rPr>
        <w:t xml:space="preserve">انظر: </w:t>
      </w:r>
      <w:r w:rsidRPr="00570359">
        <w:rPr>
          <w:rFonts w:ascii="Traditional Arabic" w:hAnsi="Traditional Arabic"/>
          <w:sz w:val="32"/>
          <w:szCs w:val="32"/>
          <w:rtl/>
        </w:rPr>
        <w:t>حجة القراءات لابن زنجلة (ص409).</w:t>
      </w:r>
    </w:p>
  </w:footnote>
  <w:footnote w:id="592">
    <w:p w:rsidR="003F128F" w:rsidRPr="00570359" w:rsidRDefault="003F128F" w:rsidP="00911ED4">
      <w:pPr>
        <w:pStyle w:val="af3"/>
        <w:rPr>
          <w:rFonts w:ascii="Traditional Arabic" w:hAnsi="Traditional Arabic"/>
          <w:sz w:val="32"/>
          <w:szCs w:val="32"/>
        </w:rPr>
      </w:pPr>
      <w:r w:rsidRPr="00570359">
        <w:rPr>
          <w:rFonts w:ascii="Traditional Arabic" w:hAnsi="Traditional Arabic"/>
          <w:sz w:val="32"/>
          <w:szCs w:val="32"/>
          <w:rtl/>
        </w:rPr>
        <w:t>(</w:t>
      </w:r>
      <w:r w:rsidRPr="00570359">
        <w:rPr>
          <w:rStyle w:val="ae"/>
          <w:rFonts w:ascii="Traditional Arabic" w:hAnsi="Traditional Arabic"/>
          <w:sz w:val="32"/>
          <w:szCs w:val="32"/>
          <w:vertAlign w:val="baseline"/>
        </w:rPr>
        <w:footnoteRef/>
      </w:r>
      <w:r w:rsidRPr="00570359">
        <w:rPr>
          <w:rFonts w:ascii="Traditional Arabic" w:hAnsi="Traditional Arabic"/>
          <w:sz w:val="32"/>
          <w:szCs w:val="32"/>
          <w:rtl/>
        </w:rPr>
        <w:t>)</w:t>
      </w:r>
      <w:r>
        <w:rPr>
          <w:rFonts w:ascii="Traditional Arabic" w:hAnsi="Traditional Arabic" w:hint="cs"/>
          <w:sz w:val="32"/>
          <w:szCs w:val="32"/>
          <w:rtl/>
        </w:rPr>
        <w:t xml:space="preserve"> </w:t>
      </w:r>
      <w:r w:rsidRPr="00570359">
        <w:rPr>
          <w:rFonts w:ascii="Traditional Arabic" w:hAnsi="Traditional Arabic"/>
          <w:sz w:val="32"/>
          <w:szCs w:val="32"/>
          <w:rtl/>
        </w:rPr>
        <w:t xml:space="preserve">هو </w:t>
      </w:r>
      <w:r>
        <w:rPr>
          <w:rFonts w:ascii="Traditional Arabic" w:hAnsi="Traditional Arabic"/>
          <w:sz w:val="32"/>
          <w:szCs w:val="32"/>
          <w:rtl/>
        </w:rPr>
        <w:t>الإمام</w:t>
      </w:r>
      <w:r w:rsidRPr="00570359">
        <w:rPr>
          <w:rFonts w:ascii="Traditional Arabic" w:hAnsi="Traditional Arabic"/>
          <w:sz w:val="32"/>
          <w:szCs w:val="32"/>
          <w:rtl/>
        </w:rPr>
        <w:t xml:space="preserve"> المقرئ أبو عيسى خلاد بن خالد وقيل ابن عيسى الشيباني مولاهم الصيرفي, الكوفي, صاحب سليم بن عيسى,</w:t>
      </w:r>
      <w:r w:rsidRPr="00570359">
        <w:rPr>
          <w:rFonts w:ascii="Traditional Arabic" w:hAnsi="Traditional Arabic"/>
          <w:sz w:val="32"/>
          <w:szCs w:val="32"/>
          <w:rtl/>
          <w:lang w:eastAsia="en-US"/>
        </w:rPr>
        <w:t xml:space="preserve"> إمام في القراءة, ثقة, عارف, محقق,</w:t>
      </w:r>
      <w:r w:rsidRPr="00570359">
        <w:rPr>
          <w:rFonts w:ascii="Traditional Arabic" w:hAnsi="Traditional Arabic"/>
          <w:sz w:val="32"/>
          <w:szCs w:val="32"/>
          <w:rtl/>
        </w:rPr>
        <w:t xml:space="preserve"> (ت220ه). انظر: معرفة القراء الكبار (1/210)،</w:t>
      </w:r>
      <w:r w:rsidRPr="00570359">
        <w:rPr>
          <w:rFonts w:ascii="Traditional Arabic" w:eastAsia="Calibri" w:hAnsi="Traditional Arabic"/>
          <w:color w:val="auto"/>
          <w:sz w:val="32"/>
          <w:szCs w:val="32"/>
          <w:rtl/>
          <w:lang w:eastAsia="en-US"/>
        </w:rPr>
        <w:t xml:space="preserve"> </w:t>
      </w:r>
      <w:r w:rsidRPr="00570359">
        <w:rPr>
          <w:rFonts w:ascii="Traditional Arabic" w:hAnsi="Traditional Arabic"/>
          <w:sz w:val="32"/>
          <w:szCs w:val="32"/>
          <w:rtl/>
        </w:rPr>
        <w:t>غاية النهاية (1/274).</w:t>
      </w:r>
    </w:p>
  </w:footnote>
  <w:footnote w:id="593">
    <w:p w:rsidR="003F128F" w:rsidRPr="00570359" w:rsidRDefault="003F128F" w:rsidP="00CE35C7">
      <w:pPr>
        <w:pStyle w:val="af3"/>
        <w:rPr>
          <w:rFonts w:ascii="Traditional Arabic" w:hAnsi="Traditional Arabic"/>
          <w:sz w:val="32"/>
          <w:szCs w:val="32"/>
        </w:rPr>
      </w:pPr>
      <w:r w:rsidRPr="00570359">
        <w:rPr>
          <w:rFonts w:ascii="Traditional Arabic" w:hAnsi="Traditional Arabic"/>
          <w:sz w:val="32"/>
          <w:szCs w:val="32"/>
          <w:rtl/>
        </w:rPr>
        <w:t>(</w:t>
      </w:r>
      <w:r w:rsidRPr="00570359">
        <w:rPr>
          <w:rStyle w:val="ae"/>
          <w:rFonts w:ascii="Traditional Arabic" w:hAnsi="Traditional Arabic"/>
          <w:sz w:val="32"/>
          <w:szCs w:val="32"/>
          <w:vertAlign w:val="baseline"/>
        </w:rPr>
        <w:footnoteRef/>
      </w:r>
      <w:r>
        <w:rPr>
          <w:rFonts w:ascii="Traditional Arabic" w:hAnsi="Traditional Arabic"/>
          <w:sz w:val="32"/>
          <w:szCs w:val="32"/>
          <w:rtl/>
        </w:rPr>
        <w:t>)</w:t>
      </w:r>
      <w:r w:rsidRPr="00570359">
        <w:rPr>
          <w:rFonts w:ascii="Traditional Arabic" w:hAnsi="Traditional Arabic"/>
          <w:sz w:val="32"/>
          <w:szCs w:val="32"/>
          <w:rtl/>
        </w:rPr>
        <w:t xml:space="preserve"> </w:t>
      </w:r>
      <w:r>
        <w:rPr>
          <w:rFonts w:ascii="Traditional Arabic" w:hAnsi="Traditional Arabic" w:hint="cs"/>
          <w:sz w:val="32"/>
          <w:szCs w:val="32"/>
          <w:rtl/>
        </w:rPr>
        <w:t xml:space="preserve">انظر: </w:t>
      </w:r>
      <w:r w:rsidRPr="00570359">
        <w:rPr>
          <w:rFonts w:ascii="Traditional Arabic" w:hAnsi="Traditional Arabic"/>
          <w:sz w:val="32"/>
          <w:szCs w:val="32"/>
          <w:rtl/>
        </w:rPr>
        <w:t>حجة القراءات لابن زنجلة (ص409).</w:t>
      </w:r>
    </w:p>
  </w:footnote>
  <w:footnote w:id="594">
    <w:p w:rsidR="003F128F" w:rsidRPr="00854D8D" w:rsidRDefault="003F128F" w:rsidP="00911ED4">
      <w:pPr>
        <w:pStyle w:val="af3"/>
        <w:rPr>
          <w:rFonts w:ascii="Traditional Arabic" w:hAnsi="Traditional Arabic"/>
          <w:sz w:val="32"/>
          <w:szCs w:val="32"/>
        </w:rPr>
      </w:pPr>
      <w:r w:rsidRPr="00854D8D">
        <w:rPr>
          <w:rFonts w:ascii="Traditional Arabic" w:hAnsi="Traditional Arabic"/>
          <w:sz w:val="32"/>
          <w:szCs w:val="32"/>
          <w:rtl/>
        </w:rPr>
        <w:t>(</w:t>
      </w:r>
      <w:r w:rsidRPr="00854D8D">
        <w:rPr>
          <w:rStyle w:val="ae"/>
          <w:rFonts w:ascii="Traditional Arabic" w:hAnsi="Traditional Arabic"/>
          <w:sz w:val="32"/>
          <w:szCs w:val="32"/>
          <w:vertAlign w:val="baseline"/>
        </w:rPr>
        <w:footnoteRef/>
      </w:r>
      <w:r w:rsidRPr="00854D8D">
        <w:rPr>
          <w:rFonts w:ascii="Traditional Arabic" w:hAnsi="Traditional Arabic"/>
          <w:sz w:val="32"/>
          <w:szCs w:val="32"/>
          <w:rtl/>
        </w:rPr>
        <w:t xml:space="preserve">) انظر: التفسير الوسيط (3/124), </w:t>
      </w:r>
      <w:r w:rsidRPr="00854D8D">
        <w:rPr>
          <w:rFonts w:ascii="Traditional Arabic" w:hAnsi="Traditional Arabic"/>
          <w:sz w:val="32"/>
          <w:szCs w:val="32"/>
          <w:rtl/>
          <w:lang w:eastAsia="en-US"/>
        </w:rPr>
        <w:t>إيجاز البيان</w:t>
      </w:r>
      <w:r w:rsidRPr="00854D8D">
        <w:rPr>
          <w:rFonts w:ascii="Traditional Arabic" w:hAnsi="Traditional Arabic"/>
          <w:sz w:val="32"/>
          <w:szCs w:val="32"/>
          <w:rtl/>
        </w:rPr>
        <w:t xml:space="preserve"> للنيسابوري (2/509).</w:t>
      </w:r>
    </w:p>
  </w:footnote>
  <w:footnote w:id="595">
    <w:p w:rsidR="003F128F" w:rsidRPr="00854D8D" w:rsidRDefault="003F128F" w:rsidP="00911ED4">
      <w:pPr>
        <w:pStyle w:val="af3"/>
        <w:rPr>
          <w:rFonts w:ascii="Traditional Arabic" w:hAnsi="Traditional Arabic"/>
          <w:sz w:val="32"/>
          <w:szCs w:val="32"/>
        </w:rPr>
      </w:pPr>
      <w:r w:rsidRPr="00854D8D">
        <w:rPr>
          <w:rFonts w:ascii="Traditional Arabic" w:hAnsi="Traditional Arabic"/>
          <w:sz w:val="32"/>
          <w:szCs w:val="32"/>
          <w:rtl/>
        </w:rPr>
        <w:t>(</w:t>
      </w:r>
      <w:r w:rsidRPr="00854D8D">
        <w:rPr>
          <w:rStyle w:val="ae"/>
          <w:rFonts w:ascii="Traditional Arabic" w:hAnsi="Traditional Arabic"/>
          <w:sz w:val="32"/>
          <w:szCs w:val="32"/>
          <w:vertAlign w:val="baseline"/>
        </w:rPr>
        <w:footnoteRef/>
      </w:r>
      <w:r w:rsidRPr="00854D8D">
        <w:rPr>
          <w:rFonts w:ascii="Traditional Arabic" w:hAnsi="Traditional Arabic"/>
          <w:sz w:val="32"/>
          <w:szCs w:val="32"/>
          <w:rtl/>
        </w:rPr>
        <w:t>) وهو قول ع</w:t>
      </w:r>
      <w:r>
        <w:rPr>
          <w:rFonts w:ascii="Traditional Arabic" w:hAnsi="Traditional Arabic"/>
          <w:sz w:val="32"/>
          <w:szCs w:val="32"/>
          <w:rtl/>
        </w:rPr>
        <w:t>طاء</w:t>
      </w:r>
      <w:r>
        <w:rPr>
          <w:rFonts w:ascii="Traditional Arabic" w:hAnsi="Traditional Arabic" w:hint="cs"/>
          <w:sz w:val="32"/>
          <w:szCs w:val="32"/>
          <w:rtl/>
        </w:rPr>
        <w:t>.</w:t>
      </w:r>
      <w:r w:rsidRPr="00854D8D">
        <w:rPr>
          <w:rFonts w:ascii="Traditional Arabic" w:hAnsi="Traditional Arabic"/>
          <w:sz w:val="32"/>
          <w:szCs w:val="32"/>
          <w:rtl/>
        </w:rPr>
        <w:t xml:space="preserve"> انظر: الكشف والبيان (6/128), التفسير الوسيط (3/124).  </w:t>
      </w:r>
    </w:p>
  </w:footnote>
  <w:footnote w:id="596">
    <w:p w:rsidR="003F128F" w:rsidRPr="00854D8D" w:rsidRDefault="003F128F" w:rsidP="008D52BA">
      <w:pPr>
        <w:pStyle w:val="af3"/>
        <w:rPr>
          <w:rFonts w:ascii="Traditional Arabic" w:hAnsi="Traditional Arabic"/>
          <w:sz w:val="32"/>
          <w:szCs w:val="32"/>
        </w:rPr>
      </w:pPr>
      <w:r w:rsidRPr="00854D8D">
        <w:rPr>
          <w:rFonts w:ascii="Traditional Arabic" w:hAnsi="Traditional Arabic"/>
          <w:sz w:val="32"/>
          <w:szCs w:val="32"/>
          <w:rtl/>
        </w:rPr>
        <w:t>(</w:t>
      </w:r>
      <w:r w:rsidRPr="00854D8D">
        <w:rPr>
          <w:rStyle w:val="ae"/>
          <w:rFonts w:ascii="Traditional Arabic" w:hAnsi="Traditional Arabic"/>
          <w:sz w:val="32"/>
          <w:szCs w:val="32"/>
          <w:vertAlign w:val="baseline"/>
        </w:rPr>
        <w:footnoteRef/>
      </w:r>
      <w:r w:rsidRPr="00854D8D">
        <w:rPr>
          <w:rFonts w:ascii="Traditional Arabic" w:hAnsi="Traditional Arabic"/>
          <w:sz w:val="32"/>
          <w:szCs w:val="32"/>
          <w:rtl/>
        </w:rPr>
        <w:t>) انظر: تفسير الطبري (17/540), الكشف والبيان (6/12</w:t>
      </w:r>
      <w:r>
        <w:rPr>
          <w:rFonts w:ascii="Traditional Arabic" w:hAnsi="Traditional Arabic" w:hint="cs"/>
          <w:sz w:val="32"/>
          <w:szCs w:val="32"/>
          <w:rtl/>
        </w:rPr>
        <w:t>9</w:t>
      </w:r>
      <w:r w:rsidRPr="00854D8D">
        <w:rPr>
          <w:rFonts w:ascii="Traditional Arabic" w:hAnsi="Traditional Arabic"/>
          <w:sz w:val="32"/>
          <w:szCs w:val="32"/>
          <w:rtl/>
        </w:rPr>
        <w:t>)</w:t>
      </w:r>
      <w:r>
        <w:rPr>
          <w:rFonts w:ascii="Traditional Arabic" w:hAnsi="Traditional Arabic" w:hint="cs"/>
          <w:sz w:val="32"/>
          <w:szCs w:val="32"/>
          <w:rtl/>
        </w:rPr>
        <w:t>.</w:t>
      </w:r>
    </w:p>
  </w:footnote>
  <w:footnote w:id="597">
    <w:p w:rsidR="003F128F" w:rsidRPr="00224AC1" w:rsidRDefault="003F128F" w:rsidP="00911ED4">
      <w:pPr>
        <w:pStyle w:val="af3"/>
        <w:rPr>
          <w:rFonts w:ascii="Traditional Arabic" w:hAnsi="Traditional Arabic"/>
          <w:sz w:val="32"/>
          <w:szCs w:val="32"/>
        </w:rPr>
      </w:pPr>
      <w:r w:rsidRPr="00854D8D">
        <w:rPr>
          <w:rFonts w:ascii="Traditional Arabic" w:hAnsi="Traditional Arabic"/>
          <w:sz w:val="32"/>
          <w:szCs w:val="32"/>
          <w:rtl/>
        </w:rPr>
        <w:t>(</w:t>
      </w:r>
      <w:r w:rsidRPr="00854D8D">
        <w:rPr>
          <w:rStyle w:val="ae"/>
          <w:rFonts w:ascii="Traditional Arabic" w:hAnsi="Traditional Arabic"/>
          <w:sz w:val="32"/>
          <w:szCs w:val="32"/>
          <w:vertAlign w:val="baseline"/>
        </w:rPr>
        <w:footnoteRef/>
      </w:r>
      <w:r w:rsidRPr="00854D8D">
        <w:rPr>
          <w:rFonts w:ascii="Traditional Arabic" w:hAnsi="Traditional Arabic"/>
          <w:sz w:val="32"/>
          <w:szCs w:val="32"/>
          <w:rtl/>
        </w:rPr>
        <w:t>) تفسير الطبري (17/537), الكشف والبيان (6/128).</w:t>
      </w:r>
    </w:p>
  </w:footnote>
  <w:footnote w:id="598">
    <w:p w:rsidR="003F128F" w:rsidRPr="00224AC1" w:rsidRDefault="003F128F" w:rsidP="00F735C2">
      <w:pPr>
        <w:pStyle w:val="af3"/>
        <w:rPr>
          <w:rFonts w:ascii="Tahoma" w:hAnsi="Tahoma"/>
        </w:rPr>
      </w:pPr>
      <w:r w:rsidRPr="00224AC1">
        <w:rPr>
          <w:rFonts w:ascii="Traditional Arabic" w:hAnsi="Traditional Arabic"/>
          <w:sz w:val="32"/>
          <w:szCs w:val="32"/>
          <w:rtl/>
        </w:rPr>
        <w:t>(</w:t>
      </w:r>
      <w:r w:rsidRPr="00224AC1">
        <w:rPr>
          <w:rStyle w:val="ae"/>
          <w:rFonts w:ascii="Traditional Arabic" w:hAnsi="Traditional Arabic"/>
          <w:sz w:val="32"/>
          <w:szCs w:val="32"/>
          <w:vertAlign w:val="baseline"/>
        </w:rPr>
        <w:footnoteRef/>
      </w:r>
      <w:r w:rsidRPr="00224AC1">
        <w:rPr>
          <w:rFonts w:ascii="Traditional Arabic" w:hAnsi="Traditional Arabic"/>
          <w:sz w:val="32"/>
          <w:szCs w:val="32"/>
          <w:rtl/>
        </w:rPr>
        <w:t>) لم أجد قول سعيد بن جبير</w:t>
      </w:r>
      <w:r>
        <w:rPr>
          <w:rFonts w:ascii="Traditional Arabic" w:hAnsi="Traditional Arabic" w:hint="cs"/>
          <w:sz w:val="32"/>
          <w:szCs w:val="32"/>
          <w:rtl/>
        </w:rPr>
        <w:t xml:space="preserve"> فيما لدي من مصادر</w:t>
      </w:r>
      <w:r>
        <w:rPr>
          <w:rFonts w:ascii="Traditional Arabic" w:hAnsi="Traditional Arabic"/>
          <w:sz w:val="32"/>
          <w:szCs w:val="32"/>
          <w:rtl/>
        </w:rPr>
        <w:t xml:space="preserve">, </w:t>
      </w:r>
      <w:r>
        <w:rPr>
          <w:rFonts w:ascii="Traditional Arabic" w:hAnsi="Traditional Arabic" w:hint="cs"/>
          <w:sz w:val="32"/>
          <w:szCs w:val="32"/>
          <w:rtl/>
        </w:rPr>
        <w:t>لكن بهذا</w:t>
      </w:r>
      <w:r w:rsidRPr="00224AC1">
        <w:rPr>
          <w:rFonts w:ascii="Traditional Arabic" w:hAnsi="Traditional Arabic"/>
          <w:sz w:val="32"/>
          <w:szCs w:val="32"/>
          <w:rtl/>
        </w:rPr>
        <w:t xml:space="preserve"> القول قال مجاهد وقتادة وغيرهما, انظر: </w:t>
      </w:r>
      <w:r>
        <w:rPr>
          <w:rFonts w:ascii="Traditional Arabic" w:hAnsi="Traditional Arabic"/>
          <w:sz w:val="32"/>
          <w:szCs w:val="32"/>
          <w:rtl/>
        </w:rPr>
        <w:t>تفسير مجاهد (ص44</w:t>
      </w:r>
      <w:r>
        <w:rPr>
          <w:rFonts w:ascii="Traditional Arabic" w:hAnsi="Traditional Arabic" w:hint="cs"/>
          <w:sz w:val="32"/>
          <w:szCs w:val="32"/>
          <w:rtl/>
        </w:rPr>
        <w:t>1</w:t>
      </w:r>
      <w:r>
        <w:rPr>
          <w:rFonts w:ascii="Traditional Arabic" w:hAnsi="Traditional Arabic"/>
          <w:sz w:val="32"/>
          <w:szCs w:val="32"/>
          <w:rtl/>
        </w:rPr>
        <w:t xml:space="preserve">), </w:t>
      </w:r>
      <w:r w:rsidRPr="00224AC1">
        <w:rPr>
          <w:rFonts w:ascii="Traditional Arabic" w:hAnsi="Traditional Arabic"/>
          <w:sz w:val="32"/>
          <w:szCs w:val="32"/>
          <w:rtl/>
        </w:rPr>
        <w:t>تفسير الطبري (17/537).</w:t>
      </w:r>
    </w:p>
  </w:footnote>
  <w:footnote w:id="599">
    <w:p w:rsidR="003F128F" w:rsidRPr="0010163F" w:rsidRDefault="003F128F" w:rsidP="00911ED4">
      <w:pPr>
        <w:pStyle w:val="af3"/>
        <w:rPr>
          <w:rFonts w:ascii="Traditional Arabic" w:hAnsi="Traditional Arabic"/>
          <w:sz w:val="32"/>
          <w:szCs w:val="32"/>
        </w:rPr>
      </w:pPr>
      <w:r w:rsidRPr="0010163F">
        <w:rPr>
          <w:rFonts w:ascii="Traditional Arabic" w:hAnsi="Traditional Arabic"/>
          <w:sz w:val="32"/>
          <w:szCs w:val="32"/>
          <w:rtl/>
        </w:rPr>
        <w:t>(</w:t>
      </w:r>
      <w:r w:rsidRPr="0010163F">
        <w:rPr>
          <w:rStyle w:val="ae"/>
          <w:rFonts w:ascii="Traditional Arabic" w:hAnsi="Traditional Arabic"/>
          <w:sz w:val="32"/>
          <w:szCs w:val="32"/>
          <w:vertAlign w:val="baseline"/>
        </w:rPr>
        <w:footnoteRef/>
      </w:r>
      <w:r w:rsidRPr="0010163F">
        <w:rPr>
          <w:rFonts w:ascii="Traditional Arabic" w:hAnsi="Traditional Arabic"/>
          <w:sz w:val="32"/>
          <w:szCs w:val="32"/>
          <w:rtl/>
        </w:rPr>
        <w:t>) انظر: معاني القرآن (2/130).</w:t>
      </w:r>
    </w:p>
  </w:footnote>
  <w:footnote w:id="600">
    <w:p w:rsidR="003F128F" w:rsidRPr="0010163F" w:rsidRDefault="003F128F" w:rsidP="00911ED4">
      <w:pPr>
        <w:pStyle w:val="af3"/>
        <w:rPr>
          <w:rFonts w:ascii="Traditional Arabic" w:hAnsi="Traditional Arabic"/>
          <w:sz w:val="32"/>
          <w:szCs w:val="32"/>
        </w:rPr>
      </w:pPr>
      <w:r w:rsidRPr="0010163F">
        <w:rPr>
          <w:rFonts w:ascii="Traditional Arabic" w:hAnsi="Traditional Arabic"/>
          <w:sz w:val="32"/>
          <w:szCs w:val="32"/>
          <w:rtl/>
        </w:rPr>
        <w:t>(</w:t>
      </w:r>
      <w:r w:rsidRPr="0010163F">
        <w:rPr>
          <w:rStyle w:val="ae"/>
          <w:rFonts w:ascii="Traditional Arabic" w:hAnsi="Traditional Arabic"/>
          <w:sz w:val="32"/>
          <w:szCs w:val="32"/>
          <w:vertAlign w:val="baseline"/>
        </w:rPr>
        <w:footnoteRef/>
      </w:r>
      <w:r w:rsidRPr="0010163F">
        <w:rPr>
          <w:rFonts w:ascii="Traditional Arabic" w:hAnsi="Traditional Arabic"/>
          <w:sz w:val="32"/>
          <w:szCs w:val="32"/>
          <w:rtl/>
        </w:rPr>
        <w:t xml:space="preserve">) مجاز القرآن (1/389). </w:t>
      </w:r>
    </w:p>
  </w:footnote>
  <w:footnote w:id="601">
    <w:p w:rsidR="003F128F" w:rsidRPr="0010163F" w:rsidRDefault="003F128F" w:rsidP="00F735C2">
      <w:pPr>
        <w:pStyle w:val="af3"/>
        <w:rPr>
          <w:rFonts w:ascii="Traditional Arabic" w:hAnsi="Traditional Arabic"/>
          <w:sz w:val="32"/>
          <w:szCs w:val="32"/>
        </w:rPr>
      </w:pPr>
      <w:r w:rsidRPr="0010163F">
        <w:rPr>
          <w:rFonts w:ascii="Traditional Arabic" w:hAnsi="Traditional Arabic"/>
          <w:sz w:val="32"/>
          <w:szCs w:val="32"/>
          <w:rtl/>
        </w:rPr>
        <w:t>(</w:t>
      </w:r>
      <w:r w:rsidRPr="0010163F">
        <w:rPr>
          <w:rStyle w:val="ae"/>
          <w:rFonts w:ascii="Traditional Arabic" w:hAnsi="Traditional Arabic"/>
          <w:sz w:val="32"/>
          <w:szCs w:val="32"/>
          <w:vertAlign w:val="baseline"/>
        </w:rPr>
        <w:footnoteRef/>
      </w:r>
      <w:r w:rsidRPr="0010163F">
        <w:rPr>
          <w:rFonts w:ascii="Traditional Arabic" w:hAnsi="Traditional Arabic"/>
          <w:sz w:val="32"/>
          <w:szCs w:val="32"/>
          <w:rtl/>
        </w:rPr>
        <w:t>) غريب القرآن (</w:t>
      </w:r>
      <w:r>
        <w:rPr>
          <w:rFonts w:ascii="Traditional Arabic" w:hAnsi="Traditional Arabic" w:hint="cs"/>
          <w:sz w:val="32"/>
          <w:szCs w:val="32"/>
          <w:rtl/>
        </w:rPr>
        <w:t>ص260</w:t>
      </w:r>
      <w:r w:rsidRPr="0010163F">
        <w:rPr>
          <w:rFonts w:ascii="Traditional Arabic" w:hAnsi="Traditional Arabic"/>
          <w:sz w:val="32"/>
          <w:szCs w:val="32"/>
          <w:rtl/>
        </w:rPr>
        <w:t>).</w:t>
      </w:r>
    </w:p>
  </w:footnote>
  <w:footnote w:id="602">
    <w:p w:rsidR="003F128F" w:rsidRPr="0010163F" w:rsidRDefault="003F128F" w:rsidP="00911ED4">
      <w:pPr>
        <w:pStyle w:val="af3"/>
        <w:rPr>
          <w:rFonts w:ascii="Traditional Arabic" w:hAnsi="Traditional Arabic"/>
          <w:sz w:val="32"/>
          <w:szCs w:val="32"/>
        </w:rPr>
      </w:pPr>
      <w:r w:rsidRPr="0010163F">
        <w:rPr>
          <w:rFonts w:ascii="Traditional Arabic" w:hAnsi="Traditional Arabic"/>
          <w:sz w:val="32"/>
          <w:szCs w:val="32"/>
          <w:rtl/>
        </w:rPr>
        <w:t>(</w:t>
      </w:r>
      <w:r w:rsidRPr="0010163F">
        <w:rPr>
          <w:rStyle w:val="ae"/>
          <w:rFonts w:ascii="Traditional Arabic" w:hAnsi="Traditional Arabic"/>
          <w:sz w:val="32"/>
          <w:szCs w:val="32"/>
          <w:vertAlign w:val="baseline"/>
        </w:rPr>
        <w:footnoteRef/>
      </w:r>
      <w:r>
        <w:rPr>
          <w:rFonts w:ascii="Traditional Arabic" w:hAnsi="Traditional Arabic"/>
          <w:sz w:val="32"/>
          <w:szCs w:val="32"/>
          <w:rtl/>
        </w:rPr>
        <w:t>)</w:t>
      </w:r>
      <w:r w:rsidRPr="0010163F">
        <w:rPr>
          <w:rFonts w:ascii="Traditional Arabic" w:hAnsi="Traditional Arabic"/>
          <w:sz w:val="32"/>
          <w:szCs w:val="32"/>
          <w:rtl/>
        </w:rPr>
        <w:t xml:space="preserve"> معاني القرآن وإعرابه (3/275).</w:t>
      </w:r>
    </w:p>
  </w:footnote>
  <w:footnote w:id="603">
    <w:p w:rsidR="003F128F" w:rsidRPr="0010163F" w:rsidRDefault="003F128F" w:rsidP="00911ED4">
      <w:pPr>
        <w:pStyle w:val="af3"/>
        <w:rPr>
          <w:rFonts w:ascii="Traditional Arabic" w:hAnsi="Traditional Arabic"/>
          <w:sz w:val="32"/>
          <w:szCs w:val="32"/>
          <w:rtl/>
        </w:rPr>
      </w:pPr>
      <w:r w:rsidRPr="0010163F">
        <w:rPr>
          <w:rFonts w:ascii="Traditional Arabic" w:hAnsi="Traditional Arabic"/>
          <w:sz w:val="32"/>
          <w:szCs w:val="32"/>
          <w:rtl/>
        </w:rPr>
        <w:t>(</w:t>
      </w:r>
      <w:r w:rsidRPr="0010163F">
        <w:rPr>
          <w:rStyle w:val="ae"/>
          <w:rFonts w:ascii="Traditional Arabic" w:hAnsi="Traditional Arabic"/>
          <w:sz w:val="32"/>
          <w:szCs w:val="32"/>
          <w:vertAlign w:val="baseline"/>
        </w:rPr>
        <w:footnoteRef/>
      </w:r>
      <w:r w:rsidRPr="0010163F">
        <w:rPr>
          <w:rFonts w:ascii="Traditional Arabic" w:hAnsi="Traditional Arabic"/>
          <w:sz w:val="32"/>
          <w:szCs w:val="32"/>
          <w:rtl/>
        </w:rPr>
        <w:t>) بحر العلوم (2/326), الكشف والبيان (6/128).</w:t>
      </w:r>
    </w:p>
  </w:footnote>
  <w:footnote w:id="604">
    <w:p w:rsidR="003F128F" w:rsidRPr="0010163F" w:rsidRDefault="003F128F" w:rsidP="00911ED4">
      <w:pPr>
        <w:pStyle w:val="af3"/>
        <w:rPr>
          <w:rFonts w:ascii="Traditional Arabic" w:hAnsi="Traditional Arabic"/>
          <w:sz w:val="32"/>
          <w:szCs w:val="32"/>
        </w:rPr>
      </w:pPr>
      <w:r w:rsidRPr="00030DC6">
        <w:rPr>
          <w:rFonts w:ascii="Traditional Arabic" w:hAnsi="Traditional Arabic"/>
          <w:sz w:val="32"/>
          <w:szCs w:val="32"/>
          <w:rtl/>
        </w:rPr>
        <w:t>(</w:t>
      </w:r>
      <w:r w:rsidRPr="00030DC6">
        <w:rPr>
          <w:rStyle w:val="ae"/>
          <w:rFonts w:ascii="Traditional Arabic" w:hAnsi="Traditional Arabic"/>
          <w:sz w:val="32"/>
          <w:szCs w:val="32"/>
          <w:vertAlign w:val="baseline"/>
        </w:rPr>
        <w:footnoteRef/>
      </w:r>
      <w:r w:rsidRPr="00030DC6">
        <w:rPr>
          <w:rFonts w:ascii="Traditional Arabic" w:hAnsi="Traditional Arabic"/>
          <w:sz w:val="32"/>
          <w:szCs w:val="32"/>
          <w:rtl/>
        </w:rPr>
        <w:t xml:space="preserve">) </w:t>
      </w:r>
      <w:r w:rsidRPr="00030DC6">
        <w:rPr>
          <w:rFonts w:ascii="Traditional Arabic" w:hAnsi="Traditional Arabic" w:hint="cs"/>
          <w:sz w:val="32"/>
          <w:szCs w:val="32"/>
          <w:rtl/>
        </w:rPr>
        <w:t xml:space="preserve">هو التابعي </w:t>
      </w:r>
      <w:r>
        <w:rPr>
          <w:rFonts w:ascii="Traditional Arabic" w:hAnsi="Traditional Arabic" w:hint="cs"/>
          <w:sz w:val="32"/>
          <w:szCs w:val="32"/>
          <w:rtl/>
        </w:rPr>
        <w:t>الإمام</w:t>
      </w:r>
      <w:r w:rsidRPr="00030DC6">
        <w:rPr>
          <w:rFonts w:ascii="Traditional Arabic" w:hAnsi="Traditional Arabic" w:hint="cs"/>
          <w:sz w:val="32"/>
          <w:szCs w:val="32"/>
          <w:rtl/>
        </w:rPr>
        <w:t xml:space="preserve"> </w:t>
      </w:r>
      <w:r w:rsidRPr="00030DC6">
        <w:rPr>
          <w:rFonts w:ascii="Traditional Arabic" w:hAnsi="Traditional Arabic"/>
          <w:sz w:val="32"/>
          <w:szCs w:val="32"/>
          <w:rtl/>
        </w:rPr>
        <w:t>أبو أياس</w:t>
      </w:r>
      <w:r w:rsidRPr="00030DC6">
        <w:rPr>
          <w:rFonts w:ascii="Traditional Arabic" w:hAnsi="Traditional Arabic" w:hint="cs"/>
          <w:sz w:val="32"/>
          <w:szCs w:val="32"/>
          <w:rtl/>
        </w:rPr>
        <w:t xml:space="preserve"> </w:t>
      </w:r>
      <w:r w:rsidRPr="00030DC6">
        <w:rPr>
          <w:rFonts w:ascii="Traditional Arabic" w:hAnsi="Traditional Arabic"/>
          <w:sz w:val="32"/>
          <w:szCs w:val="32"/>
          <w:rtl/>
        </w:rPr>
        <w:t>معاوية بن قرة بن أياس بن هلال المزني</w:t>
      </w:r>
      <w:r>
        <w:rPr>
          <w:rFonts w:ascii="Traditional Arabic" w:hAnsi="Traditional Arabic" w:hint="cs"/>
          <w:sz w:val="32"/>
          <w:szCs w:val="32"/>
          <w:rtl/>
        </w:rPr>
        <w:t>،</w:t>
      </w:r>
      <w:r w:rsidRPr="00030DC6">
        <w:rPr>
          <w:rFonts w:ascii="Traditional Arabic" w:hAnsi="Traditional Arabic"/>
          <w:sz w:val="32"/>
          <w:szCs w:val="32"/>
          <w:rtl/>
        </w:rPr>
        <w:t xml:space="preserve"> البصري</w:t>
      </w:r>
      <w:r w:rsidRPr="00030DC6">
        <w:rPr>
          <w:rFonts w:ascii="Traditional Arabic" w:hAnsi="Traditional Arabic" w:hint="cs"/>
          <w:sz w:val="32"/>
          <w:szCs w:val="32"/>
          <w:rtl/>
        </w:rPr>
        <w:t xml:space="preserve">, الثقة, </w:t>
      </w:r>
      <w:r w:rsidRPr="00030DC6">
        <w:rPr>
          <w:rFonts w:ascii="Traditional Arabic" w:hAnsi="Traditional Arabic"/>
          <w:sz w:val="32"/>
          <w:szCs w:val="32"/>
          <w:rtl/>
        </w:rPr>
        <w:t>العالم، الثبت، والد القاضي إِياس</w:t>
      </w:r>
      <w:r w:rsidRPr="00030DC6">
        <w:rPr>
          <w:rFonts w:ascii="Traditional Arabic" w:hAnsi="Traditional Arabic" w:hint="cs"/>
          <w:sz w:val="32"/>
          <w:szCs w:val="32"/>
          <w:rtl/>
        </w:rPr>
        <w:t>, (ت113ه</w:t>
      </w:r>
      <w:r>
        <w:rPr>
          <w:rFonts w:ascii="Traditional Arabic" w:hAnsi="Traditional Arabic" w:hint="cs"/>
          <w:sz w:val="32"/>
          <w:szCs w:val="32"/>
          <w:rtl/>
        </w:rPr>
        <w:t>). انظر: تهذيب الكمال (28/211), سير أعلام النبلاء (5/153).</w:t>
      </w:r>
    </w:p>
  </w:footnote>
  <w:footnote w:id="605">
    <w:p w:rsidR="003F128F" w:rsidRPr="0010163F" w:rsidRDefault="003F128F" w:rsidP="00911ED4">
      <w:pPr>
        <w:pStyle w:val="af3"/>
        <w:rPr>
          <w:rFonts w:ascii="Traditional Arabic" w:hAnsi="Traditional Arabic"/>
          <w:sz w:val="32"/>
          <w:szCs w:val="32"/>
        </w:rPr>
      </w:pPr>
      <w:r w:rsidRPr="0010163F">
        <w:rPr>
          <w:rFonts w:ascii="Traditional Arabic" w:hAnsi="Traditional Arabic"/>
          <w:sz w:val="32"/>
          <w:szCs w:val="32"/>
          <w:rtl/>
        </w:rPr>
        <w:t>(</w:t>
      </w:r>
      <w:r w:rsidRPr="0010163F">
        <w:rPr>
          <w:rStyle w:val="ae"/>
          <w:rFonts w:ascii="Traditional Arabic" w:hAnsi="Traditional Arabic"/>
          <w:sz w:val="32"/>
          <w:szCs w:val="32"/>
          <w:vertAlign w:val="baseline"/>
        </w:rPr>
        <w:footnoteRef/>
      </w:r>
      <w:r w:rsidRPr="0010163F">
        <w:rPr>
          <w:rFonts w:ascii="Traditional Arabic" w:hAnsi="Traditional Arabic"/>
          <w:sz w:val="32"/>
          <w:szCs w:val="32"/>
          <w:rtl/>
        </w:rPr>
        <w:t xml:space="preserve">) بحر العلوم (2/326). </w:t>
      </w:r>
    </w:p>
  </w:footnote>
  <w:footnote w:id="606">
    <w:p w:rsidR="003F128F" w:rsidRPr="001468F3" w:rsidRDefault="003F128F" w:rsidP="00911ED4">
      <w:pPr>
        <w:pStyle w:val="af3"/>
        <w:rPr>
          <w:rFonts w:ascii="Traditional Arabic" w:hAnsi="Traditional Arabic"/>
          <w:sz w:val="32"/>
          <w:szCs w:val="32"/>
        </w:rPr>
      </w:pPr>
      <w:r w:rsidRPr="001468F3">
        <w:rPr>
          <w:rFonts w:ascii="Traditional Arabic" w:hAnsi="Traditional Arabic"/>
          <w:sz w:val="32"/>
          <w:szCs w:val="32"/>
          <w:rtl/>
        </w:rPr>
        <w:t>(</w:t>
      </w:r>
      <w:r w:rsidRPr="001468F3">
        <w:rPr>
          <w:rStyle w:val="ae"/>
          <w:rFonts w:ascii="Traditional Arabic" w:hAnsi="Traditional Arabic"/>
          <w:sz w:val="32"/>
          <w:szCs w:val="32"/>
          <w:vertAlign w:val="baseline"/>
        </w:rPr>
        <w:footnoteRef/>
      </w:r>
      <w:r w:rsidRPr="001468F3">
        <w:rPr>
          <w:rFonts w:ascii="Traditional Arabic" w:hAnsi="Traditional Arabic"/>
          <w:sz w:val="32"/>
          <w:szCs w:val="32"/>
          <w:rtl/>
        </w:rPr>
        <w:t>)</w:t>
      </w:r>
      <w:r w:rsidRPr="001468F3">
        <w:rPr>
          <w:rFonts w:ascii="Traditional Arabic" w:hAnsi="Traditional Arabic" w:hint="cs"/>
          <w:sz w:val="32"/>
          <w:szCs w:val="32"/>
          <w:rtl/>
        </w:rPr>
        <w:t xml:space="preserve"> هو </w:t>
      </w:r>
      <w:r>
        <w:rPr>
          <w:rFonts w:ascii="Traditional Arabic" w:hAnsi="Traditional Arabic" w:hint="cs"/>
          <w:sz w:val="32"/>
          <w:szCs w:val="32"/>
          <w:rtl/>
        </w:rPr>
        <w:t>الإمام</w:t>
      </w:r>
      <w:r w:rsidRPr="001468F3">
        <w:rPr>
          <w:rFonts w:ascii="Traditional Arabic" w:hAnsi="Traditional Arabic" w:hint="cs"/>
          <w:sz w:val="32"/>
          <w:szCs w:val="32"/>
          <w:rtl/>
        </w:rPr>
        <w:t xml:space="preserve"> </w:t>
      </w:r>
      <w:r w:rsidRPr="001468F3">
        <w:rPr>
          <w:rFonts w:ascii="Traditional Arabic" w:hAnsi="Traditional Arabic"/>
          <w:sz w:val="32"/>
          <w:szCs w:val="32"/>
          <w:rtl/>
        </w:rPr>
        <w:t xml:space="preserve">أبو الحارث الليث بن سعد بن عبد الرحمن </w:t>
      </w:r>
      <w:r w:rsidRPr="001468F3">
        <w:rPr>
          <w:rFonts w:ascii="Traditional Arabic" w:hAnsi="Traditional Arabic" w:hint="cs"/>
          <w:sz w:val="32"/>
          <w:szCs w:val="32"/>
          <w:rtl/>
        </w:rPr>
        <w:t>الفهمي,</w:t>
      </w:r>
      <w:r w:rsidRPr="001468F3">
        <w:rPr>
          <w:rFonts w:ascii="Traditional Arabic" w:hAnsi="Traditional Arabic"/>
          <w:sz w:val="32"/>
          <w:szCs w:val="32"/>
          <w:rtl/>
        </w:rPr>
        <w:t xml:space="preserve"> </w:t>
      </w:r>
      <w:r>
        <w:rPr>
          <w:rFonts w:ascii="Traditional Arabic" w:hAnsi="Traditional Arabic"/>
          <w:sz w:val="32"/>
          <w:szCs w:val="32"/>
          <w:rtl/>
        </w:rPr>
        <w:t>الحافظ</w:t>
      </w:r>
      <w:r w:rsidRPr="001468F3">
        <w:rPr>
          <w:rFonts w:ascii="Traditional Arabic" w:hAnsi="Traditional Arabic" w:hint="cs"/>
          <w:sz w:val="32"/>
          <w:szCs w:val="32"/>
          <w:rtl/>
        </w:rPr>
        <w:t xml:space="preserve">, </w:t>
      </w:r>
      <w:r w:rsidRPr="001468F3">
        <w:rPr>
          <w:rFonts w:ascii="Traditional Arabic" w:hAnsi="Traditional Arabic"/>
          <w:sz w:val="32"/>
          <w:szCs w:val="32"/>
          <w:rtl/>
        </w:rPr>
        <w:t>إمام أهل مصر في الفقه والحديث</w:t>
      </w:r>
      <w:r w:rsidRPr="001468F3">
        <w:rPr>
          <w:rFonts w:ascii="Traditional Arabic" w:hAnsi="Traditional Arabic" w:hint="cs"/>
          <w:sz w:val="32"/>
          <w:szCs w:val="32"/>
          <w:rtl/>
        </w:rPr>
        <w:t>, (ت175ه). انظر: وفيات الأعيان (4/127), تهذيب الكمال (24/255), سير أعلام النبلاء (</w:t>
      </w:r>
      <w:r>
        <w:rPr>
          <w:rFonts w:ascii="Traditional Arabic" w:hAnsi="Traditional Arabic" w:hint="cs"/>
          <w:sz w:val="32"/>
          <w:szCs w:val="32"/>
          <w:rtl/>
        </w:rPr>
        <w:t>8/136</w:t>
      </w:r>
      <w:r w:rsidRPr="001468F3">
        <w:rPr>
          <w:rFonts w:ascii="Traditional Arabic" w:hAnsi="Traditional Arabic" w:hint="cs"/>
          <w:sz w:val="32"/>
          <w:szCs w:val="32"/>
          <w:rtl/>
        </w:rPr>
        <w:t>)</w:t>
      </w:r>
      <w:r>
        <w:rPr>
          <w:rFonts w:ascii="Traditional Arabic" w:hAnsi="Traditional Arabic" w:hint="cs"/>
          <w:sz w:val="32"/>
          <w:szCs w:val="32"/>
          <w:rtl/>
        </w:rPr>
        <w:t>.</w:t>
      </w:r>
    </w:p>
  </w:footnote>
  <w:footnote w:id="607">
    <w:p w:rsidR="003F128F" w:rsidRPr="00C12774" w:rsidRDefault="003F128F" w:rsidP="00911ED4">
      <w:pPr>
        <w:pStyle w:val="af3"/>
        <w:rPr>
          <w:rFonts w:ascii="Traditional Arabic" w:hAnsi="Traditional Arabic"/>
          <w:sz w:val="32"/>
          <w:szCs w:val="32"/>
        </w:rPr>
      </w:pPr>
      <w:r w:rsidRPr="00C12774">
        <w:rPr>
          <w:rFonts w:ascii="Traditional Arabic" w:hAnsi="Traditional Arabic"/>
          <w:sz w:val="32"/>
          <w:szCs w:val="32"/>
          <w:rtl/>
        </w:rPr>
        <w:t>(</w:t>
      </w:r>
      <w:r w:rsidRPr="00C12774">
        <w:rPr>
          <w:rStyle w:val="ae"/>
          <w:rFonts w:ascii="Traditional Arabic" w:hAnsi="Traditional Arabic"/>
          <w:sz w:val="32"/>
          <w:szCs w:val="32"/>
          <w:vertAlign w:val="baseline"/>
        </w:rPr>
        <w:footnoteRef/>
      </w:r>
      <w:r>
        <w:rPr>
          <w:rFonts w:ascii="Traditional Arabic" w:hAnsi="Traditional Arabic"/>
          <w:sz w:val="32"/>
          <w:szCs w:val="32"/>
          <w:rtl/>
        </w:rPr>
        <w:t>)</w:t>
      </w:r>
      <w:r w:rsidRPr="00C12774">
        <w:rPr>
          <w:rFonts w:ascii="Traditional Arabic" w:hAnsi="Traditional Arabic"/>
          <w:sz w:val="32"/>
          <w:szCs w:val="32"/>
          <w:rtl/>
        </w:rPr>
        <w:t xml:space="preserve"> انظر: التفسير الوسيط (3/124).</w:t>
      </w:r>
    </w:p>
  </w:footnote>
  <w:footnote w:id="608">
    <w:p w:rsidR="003F128F" w:rsidRPr="00C12774" w:rsidRDefault="003F128F" w:rsidP="00911ED4">
      <w:pPr>
        <w:pStyle w:val="af3"/>
        <w:rPr>
          <w:rFonts w:ascii="Traditional Arabic" w:hAnsi="Traditional Arabic"/>
          <w:sz w:val="32"/>
          <w:szCs w:val="32"/>
        </w:rPr>
      </w:pPr>
      <w:r w:rsidRPr="00C12774">
        <w:rPr>
          <w:rFonts w:ascii="Traditional Arabic" w:hAnsi="Traditional Arabic"/>
          <w:sz w:val="32"/>
          <w:szCs w:val="32"/>
          <w:rtl/>
        </w:rPr>
        <w:t>(</w:t>
      </w:r>
      <w:r w:rsidRPr="00C12774">
        <w:rPr>
          <w:rStyle w:val="ae"/>
          <w:rFonts w:ascii="Traditional Arabic" w:hAnsi="Traditional Arabic"/>
          <w:sz w:val="32"/>
          <w:szCs w:val="32"/>
          <w:vertAlign w:val="baseline"/>
        </w:rPr>
        <w:footnoteRef/>
      </w:r>
      <w:r w:rsidRPr="00C12774">
        <w:rPr>
          <w:rFonts w:ascii="Traditional Arabic" w:hAnsi="Traditional Arabic"/>
          <w:sz w:val="32"/>
          <w:szCs w:val="32"/>
          <w:rtl/>
        </w:rPr>
        <w:t>) تفسير الطبري (17/541), الكشف والبيان (6/129).</w:t>
      </w:r>
    </w:p>
  </w:footnote>
  <w:footnote w:id="609">
    <w:p w:rsidR="003F128F" w:rsidRPr="00C12774" w:rsidRDefault="003F128F" w:rsidP="00911ED4">
      <w:pPr>
        <w:pStyle w:val="af3"/>
        <w:rPr>
          <w:rFonts w:ascii="Traditional Arabic" w:hAnsi="Traditional Arabic"/>
          <w:sz w:val="32"/>
          <w:szCs w:val="32"/>
        </w:rPr>
      </w:pPr>
      <w:r w:rsidRPr="00C12774">
        <w:rPr>
          <w:rFonts w:ascii="Traditional Arabic" w:hAnsi="Traditional Arabic"/>
          <w:sz w:val="32"/>
          <w:szCs w:val="32"/>
          <w:rtl/>
        </w:rPr>
        <w:t>(</w:t>
      </w:r>
      <w:r w:rsidRPr="00C12774">
        <w:rPr>
          <w:rStyle w:val="ae"/>
          <w:rFonts w:ascii="Traditional Arabic" w:hAnsi="Traditional Arabic"/>
          <w:sz w:val="32"/>
          <w:szCs w:val="32"/>
          <w:vertAlign w:val="baseline"/>
        </w:rPr>
        <w:footnoteRef/>
      </w:r>
      <w:r>
        <w:rPr>
          <w:rFonts w:ascii="Traditional Arabic" w:hAnsi="Traditional Arabic"/>
          <w:sz w:val="32"/>
          <w:szCs w:val="32"/>
          <w:rtl/>
        </w:rPr>
        <w:t>)</w:t>
      </w:r>
      <w:r w:rsidRPr="00C12774">
        <w:rPr>
          <w:rFonts w:ascii="Traditional Arabic" w:hAnsi="Traditional Arabic"/>
          <w:sz w:val="32"/>
          <w:szCs w:val="32"/>
          <w:rtl/>
        </w:rPr>
        <w:t xml:space="preserve"> انظر: التفسير الوسيط (3/124).</w:t>
      </w:r>
    </w:p>
  </w:footnote>
  <w:footnote w:id="610">
    <w:p w:rsidR="003F128F" w:rsidRPr="009F070F" w:rsidRDefault="003F128F" w:rsidP="005806A9">
      <w:pPr>
        <w:pStyle w:val="af3"/>
        <w:rPr>
          <w:rFonts w:ascii="Tahoma" w:hAnsi="Tahoma"/>
        </w:rPr>
      </w:pPr>
      <w:r w:rsidRPr="00C12774">
        <w:rPr>
          <w:rFonts w:ascii="Traditional Arabic" w:hAnsi="Traditional Arabic"/>
          <w:sz w:val="32"/>
          <w:szCs w:val="32"/>
          <w:rtl/>
        </w:rPr>
        <w:t>(</w:t>
      </w:r>
      <w:r w:rsidRPr="00C12774">
        <w:rPr>
          <w:rStyle w:val="ae"/>
          <w:rFonts w:ascii="Traditional Arabic" w:hAnsi="Traditional Arabic"/>
          <w:sz w:val="32"/>
          <w:szCs w:val="32"/>
          <w:vertAlign w:val="baseline"/>
        </w:rPr>
        <w:footnoteRef/>
      </w:r>
      <w:r w:rsidRPr="00C12774">
        <w:rPr>
          <w:rFonts w:ascii="Traditional Arabic" w:hAnsi="Traditional Arabic"/>
          <w:sz w:val="32"/>
          <w:szCs w:val="32"/>
          <w:rtl/>
        </w:rPr>
        <w:t>) انظر: تفسير الطبري (17/541), تفسير ابن أ</w:t>
      </w:r>
      <w:r>
        <w:rPr>
          <w:rFonts w:ascii="Traditional Arabic" w:hAnsi="Traditional Arabic" w:hint="cs"/>
          <w:sz w:val="32"/>
          <w:szCs w:val="32"/>
          <w:rtl/>
        </w:rPr>
        <w:t>ب</w:t>
      </w:r>
      <w:r w:rsidRPr="00C12774">
        <w:rPr>
          <w:rFonts w:ascii="Traditional Arabic" w:hAnsi="Traditional Arabic"/>
          <w:sz w:val="32"/>
          <w:szCs w:val="32"/>
          <w:rtl/>
        </w:rPr>
        <w:t>ي حاتم (1/206).</w:t>
      </w:r>
    </w:p>
  </w:footnote>
  <w:footnote w:id="611">
    <w:p w:rsidR="003F128F" w:rsidRPr="00260E5E" w:rsidRDefault="003F128F" w:rsidP="008D52BA">
      <w:pPr>
        <w:pStyle w:val="af3"/>
        <w:rPr>
          <w:rFonts w:ascii="Traditional Arabic" w:hAnsi="Traditional Arabic"/>
          <w:sz w:val="32"/>
          <w:szCs w:val="32"/>
        </w:rPr>
      </w:pPr>
      <w:r w:rsidRPr="00260E5E">
        <w:rPr>
          <w:rFonts w:ascii="Traditional Arabic" w:hAnsi="Traditional Arabic"/>
          <w:sz w:val="32"/>
          <w:szCs w:val="32"/>
          <w:rtl/>
        </w:rPr>
        <w:t>(</w:t>
      </w:r>
      <w:r w:rsidRPr="00260E5E">
        <w:rPr>
          <w:rStyle w:val="ae"/>
          <w:rFonts w:ascii="Traditional Arabic" w:hAnsi="Traditional Arabic"/>
          <w:sz w:val="32"/>
          <w:szCs w:val="32"/>
          <w:vertAlign w:val="baseline"/>
        </w:rPr>
        <w:footnoteRef/>
      </w:r>
      <w:r>
        <w:rPr>
          <w:rFonts w:ascii="Traditional Arabic" w:hAnsi="Traditional Arabic"/>
          <w:sz w:val="32"/>
          <w:szCs w:val="32"/>
          <w:rtl/>
        </w:rPr>
        <w:t xml:space="preserve">) في </w:t>
      </w:r>
      <w:r>
        <w:rPr>
          <w:rFonts w:ascii="Traditional Arabic" w:hAnsi="Traditional Arabic" w:hint="cs"/>
          <w:sz w:val="32"/>
          <w:szCs w:val="32"/>
          <w:rtl/>
        </w:rPr>
        <w:t>(م)</w:t>
      </w:r>
      <w:r>
        <w:rPr>
          <w:rFonts w:ascii="Traditional Arabic" w:hAnsi="Traditional Arabic"/>
          <w:sz w:val="32"/>
          <w:szCs w:val="32"/>
          <w:rtl/>
        </w:rPr>
        <w:t xml:space="preserve">: </w:t>
      </w:r>
      <w:r>
        <w:rPr>
          <w:rFonts w:ascii="Traditional Arabic" w:hAnsi="Traditional Arabic" w:hint="cs"/>
          <w:sz w:val="32"/>
          <w:szCs w:val="32"/>
          <w:rtl/>
        </w:rPr>
        <w:t>[</w:t>
      </w:r>
      <w:r>
        <w:rPr>
          <w:rFonts w:ascii="Traditional Arabic" w:hAnsi="Traditional Arabic"/>
          <w:sz w:val="32"/>
          <w:szCs w:val="32"/>
          <w:rtl/>
        </w:rPr>
        <w:t>فقالوا اسألوه</w:t>
      </w:r>
      <w:r>
        <w:rPr>
          <w:rFonts w:ascii="Traditional Arabic" w:hAnsi="Traditional Arabic" w:hint="cs"/>
          <w:sz w:val="32"/>
          <w:szCs w:val="32"/>
          <w:rtl/>
        </w:rPr>
        <w:t>], والمثبت من(ك) وهو موافق لما في مصادر الحديث</w:t>
      </w:r>
      <w:r w:rsidRPr="00260E5E">
        <w:rPr>
          <w:rFonts w:ascii="Traditional Arabic" w:hAnsi="Traditional Arabic"/>
          <w:sz w:val="32"/>
          <w:szCs w:val="32"/>
          <w:rtl/>
        </w:rPr>
        <w:t>.</w:t>
      </w:r>
    </w:p>
  </w:footnote>
  <w:footnote w:id="612">
    <w:p w:rsidR="003F128F" w:rsidRPr="00260E5E" w:rsidRDefault="003F128F" w:rsidP="00911ED4">
      <w:pPr>
        <w:pStyle w:val="af3"/>
        <w:rPr>
          <w:rFonts w:ascii="Traditional Arabic" w:hAnsi="Traditional Arabic"/>
          <w:sz w:val="32"/>
          <w:szCs w:val="32"/>
        </w:rPr>
      </w:pPr>
      <w:r w:rsidRPr="00260E5E">
        <w:rPr>
          <w:rFonts w:ascii="Traditional Arabic" w:hAnsi="Traditional Arabic"/>
          <w:sz w:val="32"/>
          <w:szCs w:val="32"/>
          <w:rtl/>
        </w:rPr>
        <w:t>(</w:t>
      </w:r>
      <w:r w:rsidRPr="00260E5E">
        <w:rPr>
          <w:rStyle w:val="ae"/>
          <w:rFonts w:ascii="Traditional Arabic" w:hAnsi="Traditional Arabic"/>
          <w:sz w:val="32"/>
          <w:szCs w:val="32"/>
          <w:vertAlign w:val="baseline"/>
        </w:rPr>
        <w:footnoteRef/>
      </w:r>
      <w:r w:rsidRPr="00260E5E">
        <w:rPr>
          <w:rFonts w:ascii="Traditional Arabic" w:hAnsi="Traditional Arabic"/>
          <w:sz w:val="32"/>
          <w:szCs w:val="32"/>
          <w:rtl/>
        </w:rPr>
        <w:t>) أخرجه البخاري</w:t>
      </w:r>
      <w:r w:rsidRPr="00015E13">
        <w:rPr>
          <w:rFonts w:ascii="Traditional Arabic" w:hAnsi="Traditional Arabic"/>
          <w:sz w:val="32"/>
          <w:szCs w:val="32"/>
          <w:rtl/>
        </w:rPr>
        <w:t xml:space="preserve"> (كتاب العلم, باب قوله تعالى</w:t>
      </w:r>
      <w:r w:rsidRPr="00015E13">
        <w:rPr>
          <w:rFonts w:ascii="Traditional Arabic" w:hAnsi="Traditional Arabic" w:hint="cs"/>
          <w:sz w:val="32"/>
          <w:szCs w:val="32"/>
          <w:rtl/>
        </w:rPr>
        <w:t xml:space="preserve">: </w:t>
      </w:r>
      <w:r w:rsidRPr="00015E13">
        <w:rPr>
          <w:rFonts w:ascii="QCF_BSML" w:hAnsi="QCF_BSML" w:cs="QCF_BSML"/>
          <w:rtl/>
          <w:lang w:eastAsia="en-US"/>
        </w:rPr>
        <w:t xml:space="preserve">ﭽ </w:t>
      </w:r>
      <w:r w:rsidRPr="00015E13">
        <w:rPr>
          <w:rFonts w:ascii="QCF_P290" w:hAnsi="QCF_P290" w:cs="QCF_P290"/>
          <w:rtl/>
          <w:lang w:eastAsia="en-US"/>
        </w:rPr>
        <w:t xml:space="preserve">ﯷ  ﯸ  ﯹ  ﯺ  ﯻ  ﯼ  </w:t>
      </w:r>
      <w:r w:rsidRPr="00015E13">
        <w:rPr>
          <w:rFonts w:ascii="QCF_BSML" w:hAnsi="QCF_BSML" w:cs="QCF_BSML"/>
          <w:rtl/>
          <w:lang w:eastAsia="en-US"/>
        </w:rPr>
        <w:t>ﭼ</w:t>
      </w:r>
      <w:r w:rsidRPr="00015E13">
        <w:rPr>
          <w:rFonts w:ascii="Arial" w:hAnsi="Arial" w:cs="Arial"/>
          <w:sz w:val="32"/>
          <w:szCs w:val="32"/>
          <w:rtl/>
          <w:lang w:eastAsia="en-US"/>
        </w:rPr>
        <w:t xml:space="preserve"> </w:t>
      </w:r>
      <w:r w:rsidRPr="00015E13">
        <w:rPr>
          <w:rFonts w:ascii="Traditional Arabic" w:hAnsi="Traditional Arabic" w:hint="cs"/>
          <w:sz w:val="32"/>
          <w:szCs w:val="32"/>
          <w:rtl/>
        </w:rPr>
        <w:t xml:space="preserve"> </w:t>
      </w:r>
      <w:r w:rsidRPr="00015E13">
        <w:rPr>
          <w:rFonts w:ascii="Traditional Arabic" w:hAnsi="Traditional Arabic"/>
          <w:sz w:val="32"/>
          <w:szCs w:val="32"/>
          <w:rtl/>
        </w:rPr>
        <w:t>1/295 ح125, وأطرافه في ح4721, 7297, 7456, 7462), ومسلم (كتاب صفة القيامة, والجنة, والنار, باب</w:t>
      </w:r>
      <w:r>
        <w:rPr>
          <w:rFonts w:ascii="Traditional Arabic" w:hAnsi="Traditional Arabic" w:hint="cs"/>
          <w:sz w:val="32"/>
          <w:szCs w:val="32"/>
          <w:rtl/>
        </w:rPr>
        <w:t>:</w:t>
      </w:r>
      <w:r w:rsidRPr="00015E13">
        <w:rPr>
          <w:rFonts w:ascii="Traditional Arabic" w:hAnsi="Traditional Arabic"/>
          <w:sz w:val="32"/>
          <w:szCs w:val="32"/>
          <w:rtl/>
        </w:rPr>
        <w:t xml:space="preserve"> </w:t>
      </w:r>
      <w:r w:rsidRPr="00260E5E">
        <w:rPr>
          <w:rFonts w:ascii="Traditional Arabic" w:hAnsi="Traditional Arabic"/>
          <w:sz w:val="32"/>
          <w:szCs w:val="32"/>
          <w:rtl/>
        </w:rPr>
        <w:t xml:space="preserve">سؤال اليهود النبي </w:t>
      </w:r>
      <w:r w:rsidRPr="00260E5E">
        <w:rPr>
          <w:rFonts w:ascii="Traditional Arabic" w:hAnsi="Traditional Arabic"/>
          <w:sz w:val="32"/>
          <w:szCs w:val="32"/>
        </w:rPr>
        <w:sym w:font="AGA Arabesque" w:char="F072"/>
      </w:r>
      <w:r w:rsidRPr="00260E5E">
        <w:rPr>
          <w:rFonts w:ascii="Traditional Arabic" w:hAnsi="Traditional Arabic"/>
          <w:sz w:val="32"/>
          <w:szCs w:val="32"/>
          <w:rtl/>
        </w:rPr>
        <w:t xml:space="preserve"> عن الروح, وقوله تعالى: "يسألونك عن الروح" , الآية. 17/134 ح6990).  </w:t>
      </w:r>
    </w:p>
  </w:footnote>
  <w:footnote w:id="613">
    <w:p w:rsidR="003F128F" w:rsidRPr="00260E5E" w:rsidRDefault="003F128F" w:rsidP="008D52BA">
      <w:pPr>
        <w:pStyle w:val="af3"/>
        <w:rPr>
          <w:rFonts w:ascii="Traditional Arabic" w:hAnsi="Traditional Arabic"/>
          <w:sz w:val="32"/>
          <w:szCs w:val="32"/>
        </w:rPr>
      </w:pPr>
      <w:r w:rsidRPr="00260E5E">
        <w:rPr>
          <w:rFonts w:ascii="Traditional Arabic" w:hAnsi="Traditional Arabic"/>
          <w:sz w:val="32"/>
          <w:szCs w:val="32"/>
          <w:rtl/>
        </w:rPr>
        <w:t>(</w:t>
      </w:r>
      <w:r w:rsidRPr="00260E5E">
        <w:rPr>
          <w:rStyle w:val="ae"/>
          <w:rFonts w:ascii="Traditional Arabic" w:hAnsi="Traditional Arabic"/>
          <w:sz w:val="32"/>
          <w:szCs w:val="32"/>
          <w:vertAlign w:val="baseline"/>
        </w:rPr>
        <w:footnoteRef/>
      </w:r>
      <w:r>
        <w:rPr>
          <w:rFonts w:ascii="Traditional Arabic" w:hAnsi="Traditional Arabic"/>
          <w:sz w:val="32"/>
          <w:szCs w:val="32"/>
          <w:rtl/>
        </w:rPr>
        <w:t xml:space="preserve">) في </w:t>
      </w:r>
      <w:r>
        <w:rPr>
          <w:rFonts w:ascii="Traditional Arabic" w:hAnsi="Traditional Arabic" w:hint="cs"/>
          <w:sz w:val="32"/>
          <w:szCs w:val="32"/>
          <w:rtl/>
        </w:rPr>
        <w:t>(ك</w:t>
      </w:r>
      <w:r>
        <w:rPr>
          <w:rFonts w:ascii="Traditional Arabic" w:hAnsi="Traditional Arabic"/>
          <w:sz w:val="32"/>
          <w:szCs w:val="32"/>
          <w:rtl/>
        </w:rPr>
        <w:t xml:space="preserve">): </w:t>
      </w:r>
      <w:r>
        <w:rPr>
          <w:rFonts w:ascii="Traditional Arabic" w:hAnsi="Traditional Arabic" w:hint="cs"/>
          <w:sz w:val="32"/>
          <w:szCs w:val="32"/>
          <w:rtl/>
        </w:rPr>
        <w:t>[</w:t>
      </w:r>
      <w:r>
        <w:rPr>
          <w:rFonts w:ascii="Traditional Arabic" w:hAnsi="Traditional Arabic"/>
          <w:sz w:val="32"/>
          <w:szCs w:val="32"/>
          <w:rtl/>
        </w:rPr>
        <w:t>أخبركم باثنتين</w:t>
      </w:r>
      <w:r>
        <w:rPr>
          <w:rFonts w:ascii="Traditional Arabic" w:hAnsi="Traditional Arabic" w:hint="cs"/>
          <w:sz w:val="32"/>
          <w:szCs w:val="32"/>
          <w:rtl/>
        </w:rPr>
        <w:t>]</w:t>
      </w:r>
      <w:r w:rsidRPr="00260E5E">
        <w:rPr>
          <w:rFonts w:ascii="Traditional Arabic" w:hAnsi="Traditional Arabic"/>
          <w:sz w:val="32"/>
          <w:szCs w:val="32"/>
          <w:rtl/>
        </w:rPr>
        <w:t>.</w:t>
      </w:r>
    </w:p>
  </w:footnote>
  <w:footnote w:id="614">
    <w:p w:rsidR="003F128F" w:rsidRPr="00334254" w:rsidRDefault="003F128F" w:rsidP="00474CC4">
      <w:pPr>
        <w:pStyle w:val="af3"/>
        <w:rPr>
          <w:rFonts w:ascii="Traditional Arabic" w:hAnsi="Traditional Arabic"/>
          <w:sz w:val="32"/>
          <w:szCs w:val="32"/>
        </w:rPr>
      </w:pPr>
      <w:r w:rsidRPr="00260E5E">
        <w:rPr>
          <w:rFonts w:ascii="Traditional Arabic" w:hAnsi="Traditional Arabic"/>
          <w:sz w:val="32"/>
          <w:szCs w:val="32"/>
          <w:rtl/>
        </w:rPr>
        <w:t>(</w:t>
      </w:r>
      <w:r w:rsidRPr="00260E5E">
        <w:rPr>
          <w:rStyle w:val="ae"/>
          <w:rFonts w:ascii="Traditional Arabic" w:hAnsi="Traditional Arabic"/>
          <w:sz w:val="32"/>
          <w:szCs w:val="32"/>
          <w:vertAlign w:val="baseline"/>
        </w:rPr>
        <w:footnoteRef/>
      </w:r>
      <w:r w:rsidRPr="00260E5E">
        <w:rPr>
          <w:rFonts w:ascii="Traditional Arabic" w:hAnsi="Traditional Arabic"/>
          <w:sz w:val="32"/>
          <w:szCs w:val="32"/>
          <w:rtl/>
        </w:rPr>
        <w:t>) ذكره الثعلبي في الكشف والبيان</w:t>
      </w:r>
      <w:r>
        <w:rPr>
          <w:rFonts w:ascii="Traditional Arabic" w:hAnsi="Traditional Arabic" w:hint="cs"/>
          <w:sz w:val="32"/>
          <w:szCs w:val="32"/>
          <w:rtl/>
        </w:rPr>
        <w:t xml:space="preserve"> (6/130) بدون إسناد,</w:t>
      </w:r>
      <w:r w:rsidRPr="00015E13">
        <w:rPr>
          <w:rFonts w:ascii="Traditional Arabic" w:hAnsi="Traditional Arabic"/>
          <w:sz w:val="32"/>
          <w:szCs w:val="32"/>
          <w:rtl/>
        </w:rPr>
        <w:t xml:space="preserve"> </w:t>
      </w:r>
      <w:r>
        <w:rPr>
          <w:rFonts w:ascii="Traditional Arabic" w:hAnsi="Traditional Arabic" w:hint="cs"/>
          <w:sz w:val="32"/>
          <w:szCs w:val="32"/>
          <w:rtl/>
        </w:rPr>
        <w:t xml:space="preserve">وأورده </w:t>
      </w:r>
      <w:r w:rsidRPr="00015E13">
        <w:rPr>
          <w:rFonts w:ascii="Traditional Arabic" w:hAnsi="Traditional Arabic"/>
          <w:sz w:val="32"/>
          <w:szCs w:val="32"/>
          <w:rtl/>
        </w:rPr>
        <w:t xml:space="preserve">الواحدي في أسباب النزول </w:t>
      </w:r>
      <w:r w:rsidRPr="00334254">
        <w:rPr>
          <w:rFonts w:ascii="Traditional Arabic" w:hAnsi="Traditional Arabic"/>
          <w:sz w:val="32"/>
          <w:szCs w:val="32"/>
          <w:rtl/>
        </w:rPr>
        <w:t xml:space="preserve">(ص210), والتفسير الوسيط (3/125), </w:t>
      </w:r>
      <w:r>
        <w:rPr>
          <w:rFonts w:ascii="Traditional Arabic" w:hAnsi="Traditional Arabic" w:hint="cs"/>
          <w:sz w:val="32"/>
          <w:szCs w:val="32"/>
          <w:rtl/>
        </w:rPr>
        <w:t>و</w:t>
      </w:r>
      <w:r w:rsidRPr="00334254">
        <w:rPr>
          <w:rFonts w:ascii="Traditional Arabic" w:hAnsi="Traditional Arabic"/>
          <w:sz w:val="32"/>
          <w:szCs w:val="32"/>
          <w:rtl/>
        </w:rPr>
        <w:t xml:space="preserve">الرسعني في رموز الكنوز (4/225).  </w:t>
      </w:r>
    </w:p>
  </w:footnote>
  <w:footnote w:id="615">
    <w:p w:rsidR="003F128F" w:rsidRPr="00C12774" w:rsidRDefault="003F128F" w:rsidP="00474CC4">
      <w:pPr>
        <w:pStyle w:val="af3"/>
        <w:rPr>
          <w:rFonts w:ascii="Tahoma" w:hAnsi="Tahoma"/>
        </w:rPr>
      </w:pPr>
      <w:r w:rsidRPr="00334254">
        <w:rPr>
          <w:rFonts w:ascii="Traditional Arabic" w:hAnsi="Traditional Arabic"/>
          <w:sz w:val="32"/>
          <w:szCs w:val="32"/>
          <w:rtl/>
        </w:rPr>
        <w:t>(</w:t>
      </w:r>
      <w:r w:rsidRPr="00334254">
        <w:rPr>
          <w:rStyle w:val="ae"/>
          <w:rFonts w:ascii="Traditional Arabic" w:hAnsi="Traditional Arabic"/>
          <w:sz w:val="32"/>
          <w:szCs w:val="32"/>
          <w:vertAlign w:val="baseline"/>
        </w:rPr>
        <w:footnoteRef/>
      </w:r>
      <w:r>
        <w:rPr>
          <w:rFonts w:ascii="Traditional Arabic" w:hAnsi="Traditional Arabic"/>
          <w:sz w:val="32"/>
          <w:szCs w:val="32"/>
          <w:rtl/>
        </w:rPr>
        <w:t>)</w:t>
      </w:r>
      <w:r w:rsidRPr="00334254">
        <w:rPr>
          <w:rFonts w:ascii="Traditional Arabic" w:hAnsi="Traditional Arabic"/>
          <w:sz w:val="32"/>
          <w:szCs w:val="32"/>
          <w:rtl/>
        </w:rPr>
        <w:t xml:space="preserve"> انظر: التفسير الوسيط (3/125)</w:t>
      </w:r>
      <w:r>
        <w:rPr>
          <w:rFonts w:ascii="Traditional Arabic" w:hAnsi="Traditional Arabic" w:hint="cs"/>
          <w:sz w:val="32"/>
          <w:szCs w:val="32"/>
          <w:rtl/>
        </w:rPr>
        <w:t>.</w:t>
      </w:r>
    </w:p>
  </w:footnote>
  <w:footnote w:id="616">
    <w:p w:rsidR="003F128F" w:rsidRPr="003D20BF" w:rsidRDefault="003F128F" w:rsidP="002456D6">
      <w:pPr>
        <w:pStyle w:val="af3"/>
        <w:rPr>
          <w:rFonts w:ascii="Traditional Arabic" w:hAnsi="Traditional Arabic"/>
          <w:sz w:val="32"/>
          <w:szCs w:val="32"/>
        </w:rPr>
      </w:pPr>
      <w:r w:rsidRPr="003D20BF">
        <w:rPr>
          <w:rFonts w:ascii="Traditional Arabic" w:hAnsi="Traditional Arabic"/>
          <w:sz w:val="32"/>
          <w:szCs w:val="32"/>
          <w:rtl/>
        </w:rPr>
        <w:t>(</w:t>
      </w:r>
      <w:r w:rsidRPr="003D20BF">
        <w:rPr>
          <w:rStyle w:val="ae"/>
          <w:rFonts w:ascii="Traditional Arabic" w:hAnsi="Traditional Arabic"/>
          <w:sz w:val="32"/>
          <w:szCs w:val="32"/>
          <w:vertAlign w:val="baseline"/>
        </w:rPr>
        <w:footnoteRef/>
      </w:r>
      <w:r>
        <w:rPr>
          <w:rFonts w:ascii="Traditional Arabic" w:hAnsi="Traditional Arabic"/>
          <w:sz w:val="32"/>
          <w:szCs w:val="32"/>
          <w:rtl/>
        </w:rPr>
        <w:t>)</w:t>
      </w:r>
      <w:r w:rsidRPr="003D20BF">
        <w:rPr>
          <w:rFonts w:ascii="Traditional Arabic" w:hAnsi="Traditional Arabic"/>
          <w:sz w:val="32"/>
          <w:szCs w:val="32"/>
          <w:rtl/>
        </w:rPr>
        <w:t xml:space="preserve"> هو صاحب رسول الله </w:t>
      </w:r>
      <w:r w:rsidRPr="003D20BF">
        <w:rPr>
          <w:rFonts w:ascii="Traditional Arabic" w:hAnsi="Traditional Arabic"/>
          <w:sz w:val="32"/>
          <w:szCs w:val="32"/>
        </w:rPr>
        <w:sym w:font="AGA Arabesque" w:char="F072"/>
      </w:r>
      <w:r>
        <w:rPr>
          <w:rFonts w:ascii="Traditional Arabic" w:hAnsi="Traditional Arabic" w:hint="cs"/>
          <w:sz w:val="32"/>
          <w:szCs w:val="32"/>
          <w:rtl/>
        </w:rPr>
        <w:t>,</w:t>
      </w:r>
      <w:r w:rsidRPr="003D20BF">
        <w:rPr>
          <w:rFonts w:ascii="Traditional Arabic" w:hAnsi="Traditional Arabic"/>
          <w:sz w:val="32"/>
          <w:szCs w:val="32"/>
          <w:rtl/>
        </w:rPr>
        <w:t xml:space="preserve"> وابن عمه وصهره</w:t>
      </w:r>
      <w:r>
        <w:rPr>
          <w:rFonts w:ascii="Traditional Arabic" w:hAnsi="Traditional Arabic" w:hint="cs"/>
          <w:sz w:val="32"/>
          <w:szCs w:val="32"/>
          <w:rtl/>
        </w:rPr>
        <w:t>,</w:t>
      </w:r>
      <w:r w:rsidRPr="003D20BF">
        <w:rPr>
          <w:rFonts w:ascii="Traditional Arabic" w:hAnsi="Traditional Arabic"/>
          <w:sz w:val="32"/>
          <w:szCs w:val="32"/>
          <w:rtl/>
        </w:rPr>
        <w:t xml:space="preserve"> أبو تراب</w:t>
      </w:r>
      <w:r>
        <w:rPr>
          <w:rFonts w:ascii="Traditional Arabic" w:hAnsi="Traditional Arabic" w:hint="cs"/>
          <w:sz w:val="32"/>
          <w:szCs w:val="32"/>
          <w:rtl/>
        </w:rPr>
        <w:t>,</w:t>
      </w:r>
      <w:r w:rsidRPr="003D20BF">
        <w:rPr>
          <w:rFonts w:ascii="Traditional Arabic" w:hAnsi="Traditional Arabic"/>
          <w:sz w:val="32"/>
          <w:szCs w:val="32"/>
          <w:rtl/>
        </w:rPr>
        <w:t xml:space="preserve"> </w:t>
      </w:r>
      <w:r>
        <w:rPr>
          <w:rFonts w:ascii="Traditional Arabic" w:hAnsi="Traditional Arabic"/>
          <w:sz w:val="32"/>
          <w:szCs w:val="32"/>
          <w:rtl/>
        </w:rPr>
        <w:t>علي بن أَبي طالب ب</w:t>
      </w:r>
      <w:r w:rsidRPr="003D20BF">
        <w:rPr>
          <w:rFonts w:ascii="Traditional Arabic" w:hAnsi="Traditional Arabic"/>
          <w:sz w:val="32"/>
          <w:szCs w:val="32"/>
          <w:rtl/>
        </w:rPr>
        <w:t>ن ع</w:t>
      </w:r>
      <w:r>
        <w:rPr>
          <w:rFonts w:ascii="Traditional Arabic" w:hAnsi="Traditional Arabic"/>
          <w:sz w:val="32"/>
          <w:szCs w:val="32"/>
          <w:rtl/>
        </w:rPr>
        <w:t>بد المطلب بن هاشم القرشي</w:t>
      </w:r>
      <w:r w:rsidRPr="003D20BF">
        <w:rPr>
          <w:rFonts w:ascii="Traditional Arabic" w:hAnsi="Traditional Arabic"/>
          <w:sz w:val="32"/>
          <w:szCs w:val="32"/>
          <w:rtl/>
        </w:rPr>
        <w:t xml:space="preserve"> الهاشمي, من أوائل من أسلم من الصحابة, شهد المشاهد مع النبي </w:t>
      </w:r>
      <w:r w:rsidRPr="003D20BF">
        <w:rPr>
          <w:rFonts w:ascii="Traditional Arabic" w:hAnsi="Traditional Arabic"/>
          <w:sz w:val="32"/>
          <w:szCs w:val="32"/>
        </w:rPr>
        <w:sym w:font="AGA Arabesque" w:char="F072"/>
      </w:r>
      <w:r w:rsidRPr="003D20BF">
        <w:rPr>
          <w:rFonts w:ascii="Traditional Arabic" w:hAnsi="Traditional Arabic"/>
          <w:sz w:val="32"/>
          <w:szCs w:val="32"/>
          <w:rtl/>
        </w:rPr>
        <w:t>, وهو رابع الخلفاء الراشدين, له مناقب وفضائل عديدة, (ت40ه). انظر: طبقات ابن سعد (3/14), تهذيب الكمال (24/255), سير أعلام النبلاء (1/225).</w:t>
      </w:r>
    </w:p>
  </w:footnote>
  <w:footnote w:id="617">
    <w:p w:rsidR="003F128F" w:rsidRPr="00313132" w:rsidRDefault="003F128F" w:rsidP="00FD36F7">
      <w:pPr>
        <w:pStyle w:val="af3"/>
        <w:rPr>
          <w:rFonts w:ascii="Traditional Arabic" w:hAnsi="Traditional Arabic"/>
          <w:color w:val="auto"/>
          <w:sz w:val="32"/>
          <w:szCs w:val="32"/>
        </w:rPr>
      </w:pPr>
      <w:r w:rsidRPr="00FD36F7">
        <w:rPr>
          <w:rFonts w:ascii="Traditional Arabic" w:hAnsi="Traditional Arabic"/>
          <w:sz w:val="32"/>
          <w:szCs w:val="32"/>
          <w:rtl/>
        </w:rPr>
        <w:t>(</w:t>
      </w:r>
      <w:r w:rsidRPr="00FD36F7">
        <w:rPr>
          <w:rStyle w:val="ae"/>
          <w:rFonts w:ascii="Traditional Arabic" w:hAnsi="Traditional Arabic"/>
          <w:sz w:val="32"/>
          <w:szCs w:val="32"/>
          <w:vertAlign w:val="baseline"/>
        </w:rPr>
        <w:footnoteRef/>
      </w:r>
      <w:r w:rsidRPr="00FD36F7">
        <w:rPr>
          <w:rFonts w:ascii="Traditional Arabic" w:hAnsi="Traditional Arabic"/>
          <w:sz w:val="32"/>
          <w:szCs w:val="32"/>
          <w:rtl/>
        </w:rPr>
        <w:t xml:space="preserve">) لم أقف على أصل يستند عليه من يستخدم هذه الألفاظ بعد اسم علي بن أبي طالب رضي الله عنه, ولكن الصحيح أن يقال بعد ذكر الصحابي: رضي الله عنه, لقوله تعالى: </w:t>
      </w:r>
      <w:r w:rsidRPr="00474CC4">
        <w:rPr>
          <w:rFonts w:ascii="QCF_BSML" w:hAnsi="QCF_BSML" w:cs="QCF_BSML"/>
          <w:rtl/>
          <w:lang w:eastAsia="en-US"/>
        </w:rPr>
        <w:t xml:space="preserve">ﭽ </w:t>
      </w:r>
      <w:r w:rsidRPr="00474CC4">
        <w:rPr>
          <w:rFonts w:ascii="QCF_P203" w:hAnsi="QCF_P203" w:cs="QCF_P203"/>
          <w:rtl/>
          <w:lang w:eastAsia="en-US"/>
        </w:rPr>
        <w:t xml:space="preserve">ﭑ  ﭒ  ﭓ  ﭔ  ﭕ  ﭖ   ﭗ  ﭘ  ﭙ  ﭚ  ﭛ  ﭜ  ﭝ  </w:t>
      </w:r>
      <w:r w:rsidRPr="00474CC4">
        <w:rPr>
          <w:rFonts w:ascii="QCF_BSML" w:hAnsi="QCF_BSML" w:cs="QCF_BSML"/>
          <w:rtl/>
          <w:lang w:eastAsia="en-US"/>
        </w:rPr>
        <w:t>ﭼ</w:t>
      </w:r>
      <w:r w:rsidRPr="00474CC4">
        <w:rPr>
          <w:rFonts w:ascii="Arial" w:hAnsi="Arial" w:cs="Arial"/>
          <w:rtl/>
          <w:lang w:eastAsia="en-US"/>
        </w:rPr>
        <w:t xml:space="preserve"> </w:t>
      </w:r>
      <w:r w:rsidRPr="00313132">
        <w:rPr>
          <w:rFonts w:ascii="Traditional Arabic" w:hAnsi="Traditional Arabic" w:hint="cs"/>
          <w:color w:val="auto"/>
          <w:rtl/>
          <w:lang w:eastAsia="en-US"/>
        </w:rPr>
        <w:t>[</w:t>
      </w:r>
      <w:r w:rsidRPr="00313132">
        <w:rPr>
          <w:rFonts w:ascii="Traditional Arabic" w:hAnsi="Traditional Arabic"/>
          <w:color w:val="auto"/>
          <w:rtl/>
          <w:lang w:eastAsia="en-US"/>
        </w:rPr>
        <w:t>التوبة:١٠٠</w:t>
      </w:r>
      <w:r w:rsidRPr="00313132">
        <w:rPr>
          <w:rFonts w:ascii="Traditional Arabic" w:hAnsi="Traditional Arabic" w:hint="cs"/>
          <w:color w:val="auto"/>
          <w:rtl/>
          <w:lang w:eastAsia="en-US"/>
        </w:rPr>
        <w:t>]</w:t>
      </w:r>
      <w:r>
        <w:rPr>
          <w:rFonts w:ascii="Traditional Arabic" w:hAnsi="Traditional Arabic" w:hint="cs"/>
          <w:color w:val="auto"/>
          <w:sz w:val="32"/>
          <w:szCs w:val="32"/>
          <w:rtl/>
          <w:lang w:eastAsia="en-US"/>
        </w:rPr>
        <w:t xml:space="preserve"> قال ابن كثير رحمه الله عند تفسير لقوله تعالى: </w:t>
      </w:r>
      <w:r w:rsidRPr="00313132">
        <w:rPr>
          <w:rFonts w:ascii="QCF_BSML" w:hAnsi="QCF_BSML" w:cs="QCF_BSML"/>
          <w:rtl/>
          <w:lang w:eastAsia="en-US"/>
        </w:rPr>
        <w:t xml:space="preserve">ﭽ </w:t>
      </w:r>
      <w:r w:rsidRPr="00313132">
        <w:rPr>
          <w:rFonts w:ascii="QCF_P426" w:hAnsi="QCF_P426" w:cs="QCF_P426"/>
          <w:rtl/>
          <w:lang w:eastAsia="en-US"/>
        </w:rPr>
        <w:t>ﭲ  ﭳ  ﭴ  ﭵ   ﭶ  ﭷ</w:t>
      </w:r>
      <w:r w:rsidRPr="00313132">
        <w:rPr>
          <w:rFonts w:ascii="QCF_P426" w:hAnsi="QCF_P426" w:cs="QCF_P426"/>
          <w:color w:val="0000A5"/>
          <w:rtl/>
          <w:lang w:eastAsia="en-US"/>
        </w:rPr>
        <w:t>ﭸ</w:t>
      </w:r>
      <w:r w:rsidRPr="00313132">
        <w:rPr>
          <w:rFonts w:ascii="QCF_P426" w:hAnsi="QCF_P426" w:cs="QCF_P426"/>
          <w:rtl/>
          <w:lang w:eastAsia="en-US"/>
        </w:rPr>
        <w:t xml:space="preserve">  ﭹ  ﭺ   ﭻ  ﭼ  ﭽ  ﭾ  ﭿ  </w:t>
      </w:r>
      <w:r w:rsidRPr="00313132">
        <w:rPr>
          <w:rFonts w:ascii="QCF_BSML" w:hAnsi="QCF_BSML" w:cs="QCF_BSML"/>
          <w:rtl/>
          <w:lang w:eastAsia="en-US"/>
        </w:rPr>
        <w:t>ﭼ</w:t>
      </w:r>
      <w:r w:rsidRPr="00313132">
        <w:rPr>
          <w:rFonts w:ascii="Arial" w:hAnsi="Arial" w:cs="Arial"/>
          <w:rtl/>
          <w:lang w:eastAsia="en-US"/>
        </w:rPr>
        <w:t xml:space="preserve"> </w:t>
      </w:r>
      <w:r>
        <w:rPr>
          <w:rFonts w:ascii="Arial" w:hAnsi="Arial" w:cs="Arial" w:hint="cs"/>
          <w:rtl/>
          <w:lang w:eastAsia="en-US"/>
        </w:rPr>
        <w:t>[</w:t>
      </w:r>
      <w:r w:rsidRPr="00313132">
        <w:rPr>
          <w:rFonts w:ascii="Traditional Arabic" w:hAnsi="Traditional Arabic"/>
          <w:color w:val="auto"/>
          <w:sz w:val="32"/>
          <w:szCs w:val="32"/>
          <w:rtl/>
          <w:lang w:eastAsia="en-US"/>
        </w:rPr>
        <w:t>الأحزاب:٥٦</w:t>
      </w:r>
      <w:r>
        <w:rPr>
          <w:rFonts w:ascii="Traditional Arabic" w:hAnsi="Traditional Arabic" w:hint="cs"/>
          <w:color w:val="auto"/>
          <w:sz w:val="32"/>
          <w:szCs w:val="32"/>
          <w:rtl/>
          <w:lang w:eastAsia="en-US"/>
        </w:rPr>
        <w:t>] "</w:t>
      </w:r>
      <w:r w:rsidRPr="00313132">
        <w:rPr>
          <w:rFonts w:ascii="Traditional Arabic" w:hAnsi="Traditional Arabic" w:hint="cs"/>
          <w:color w:val="auto"/>
          <w:sz w:val="32"/>
          <w:szCs w:val="32"/>
          <w:rtl/>
          <w:lang w:eastAsia="en-US"/>
        </w:rPr>
        <w:t xml:space="preserve">وقد غلب هذا في عبارات كثير من النساخ </w:t>
      </w:r>
      <w:r>
        <w:rPr>
          <w:rFonts w:ascii="Traditional Arabic" w:hAnsi="Traditional Arabic"/>
          <w:color w:val="auto"/>
          <w:sz w:val="32"/>
          <w:szCs w:val="32"/>
          <w:rtl/>
        </w:rPr>
        <w:t>للكتب أن ينفرد علي رضي</w:t>
      </w:r>
      <w:r w:rsidRPr="00313132">
        <w:rPr>
          <w:rFonts w:ascii="Traditional Arabic" w:hAnsi="Traditional Arabic"/>
          <w:color w:val="auto"/>
          <w:sz w:val="32"/>
          <w:szCs w:val="32"/>
          <w:rtl/>
        </w:rPr>
        <w:t xml:space="preserve"> </w:t>
      </w:r>
      <w:r>
        <w:rPr>
          <w:rFonts w:ascii="Traditional Arabic" w:hAnsi="Traditional Arabic"/>
          <w:color w:val="auto"/>
          <w:sz w:val="32"/>
          <w:szCs w:val="32"/>
          <w:rtl/>
        </w:rPr>
        <w:t>الله عنه بأن يقال عليه السَّلام من دون سائر الصحابة</w:t>
      </w:r>
      <w:r w:rsidRPr="00313132">
        <w:rPr>
          <w:rFonts w:ascii="Traditional Arabic" w:hAnsi="Traditional Arabic"/>
          <w:color w:val="auto"/>
          <w:sz w:val="32"/>
          <w:szCs w:val="32"/>
          <w:rtl/>
        </w:rPr>
        <w:t xml:space="preserve"> أ</w:t>
      </w:r>
      <w:r>
        <w:rPr>
          <w:rFonts w:ascii="Traditional Arabic" w:hAnsi="Traditional Arabic"/>
          <w:color w:val="auto"/>
          <w:sz w:val="32"/>
          <w:szCs w:val="32"/>
          <w:rtl/>
        </w:rPr>
        <w:t>و</w:t>
      </w:r>
      <w:r>
        <w:rPr>
          <w:rFonts w:ascii="Traditional Arabic" w:hAnsi="Traditional Arabic" w:hint="cs"/>
          <w:color w:val="auto"/>
          <w:sz w:val="32"/>
          <w:szCs w:val="32"/>
          <w:rtl/>
        </w:rPr>
        <w:t xml:space="preserve"> </w:t>
      </w:r>
      <w:r>
        <w:rPr>
          <w:rFonts w:ascii="Traditional Arabic" w:hAnsi="Traditional Arabic"/>
          <w:color w:val="auto"/>
          <w:sz w:val="32"/>
          <w:szCs w:val="32"/>
          <w:rtl/>
        </w:rPr>
        <w:t>كَرَّمَ الله وجهه، و</w:t>
      </w:r>
      <w:r w:rsidRPr="00313132">
        <w:rPr>
          <w:rFonts w:ascii="Traditional Arabic" w:hAnsi="Traditional Arabic"/>
          <w:color w:val="auto"/>
          <w:sz w:val="32"/>
          <w:szCs w:val="32"/>
          <w:rtl/>
        </w:rPr>
        <w:t>ه</w:t>
      </w:r>
      <w:r>
        <w:rPr>
          <w:rFonts w:ascii="Traditional Arabic" w:hAnsi="Traditional Arabic"/>
          <w:color w:val="auto"/>
          <w:sz w:val="32"/>
          <w:szCs w:val="32"/>
          <w:rtl/>
        </w:rPr>
        <w:t>ذا وإِن كان معناه صح</w:t>
      </w:r>
      <w:r w:rsidRPr="00313132">
        <w:rPr>
          <w:rFonts w:ascii="Traditional Arabic" w:hAnsi="Traditional Arabic"/>
          <w:color w:val="auto"/>
          <w:sz w:val="32"/>
          <w:szCs w:val="32"/>
          <w:rtl/>
        </w:rPr>
        <w:t>يحًا، لكن ينبغي</w:t>
      </w:r>
      <w:r w:rsidRPr="00313132">
        <w:rPr>
          <w:rFonts w:ascii="Traditional Arabic" w:hAnsi="Traditional Arabic"/>
          <w:sz w:val="44"/>
          <w:szCs w:val="44"/>
          <w:rtl/>
          <w:lang w:eastAsia="en-US"/>
        </w:rPr>
        <w:t xml:space="preserve"> </w:t>
      </w:r>
      <w:r>
        <w:rPr>
          <w:rFonts w:ascii="Traditional Arabic" w:hAnsi="Traditional Arabic"/>
          <w:color w:val="auto"/>
          <w:sz w:val="32"/>
          <w:szCs w:val="32"/>
          <w:rtl/>
        </w:rPr>
        <w:t>أن يسوي بين الصحابة في ذلك فإِن هذا من</w:t>
      </w:r>
      <w:r w:rsidRPr="00313132">
        <w:rPr>
          <w:rFonts w:ascii="Traditional Arabic" w:hAnsi="Traditional Arabic"/>
          <w:color w:val="auto"/>
          <w:sz w:val="32"/>
          <w:szCs w:val="32"/>
          <w:rtl/>
        </w:rPr>
        <w:t xml:space="preserve"> ب</w:t>
      </w:r>
      <w:r>
        <w:rPr>
          <w:rFonts w:ascii="Traditional Arabic" w:hAnsi="Traditional Arabic"/>
          <w:color w:val="auto"/>
          <w:sz w:val="32"/>
          <w:szCs w:val="32"/>
          <w:rtl/>
        </w:rPr>
        <w:t>اب التعظيم والتكريم</w:t>
      </w:r>
      <w:r w:rsidRPr="00313132">
        <w:rPr>
          <w:rFonts w:ascii="Traditional Arabic" w:hAnsi="Traditional Arabic"/>
          <w:color w:val="auto"/>
          <w:sz w:val="32"/>
          <w:szCs w:val="32"/>
          <w:rtl/>
        </w:rPr>
        <w:t>،</w:t>
      </w:r>
      <w:r>
        <w:rPr>
          <w:rFonts w:ascii="Traditional Arabic" w:hAnsi="Traditional Arabic"/>
          <w:color w:val="auto"/>
          <w:sz w:val="32"/>
          <w:szCs w:val="32"/>
          <w:rtl/>
        </w:rPr>
        <w:t xml:space="preserve"> فالشيخ</w:t>
      </w:r>
      <w:r w:rsidRPr="00313132">
        <w:rPr>
          <w:rFonts w:ascii="Traditional Arabic" w:hAnsi="Traditional Arabic"/>
          <w:color w:val="auto"/>
          <w:sz w:val="32"/>
          <w:szCs w:val="32"/>
          <w:rtl/>
        </w:rPr>
        <w:t>ا</w:t>
      </w:r>
      <w:r>
        <w:rPr>
          <w:rFonts w:ascii="Traditional Arabic" w:hAnsi="Traditional Arabic"/>
          <w:color w:val="auto"/>
          <w:sz w:val="32"/>
          <w:szCs w:val="32"/>
          <w:rtl/>
        </w:rPr>
        <w:t>ن وأمير المؤمنين عثمان أولى بذلك منه ر</w:t>
      </w:r>
      <w:r w:rsidRPr="00313132">
        <w:rPr>
          <w:rFonts w:ascii="Traditional Arabic" w:hAnsi="Traditional Arabic"/>
          <w:color w:val="auto"/>
          <w:sz w:val="32"/>
          <w:szCs w:val="32"/>
          <w:rtl/>
        </w:rPr>
        <w:t>ض</w:t>
      </w:r>
      <w:r>
        <w:rPr>
          <w:rFonts w:ascii="Traditional Arabic" w:hAnsi="Traditional Arabic"/>
          <w:color w:val="auto"/>
          <w:sz w:val="32"/>
          <w:szCs w:val="32"/>
          <w:rtl/>
        </w:rPr>
        <w:t>ي الله عنهم أجمعين</w:t>
      </w:r>
      <w:r>
        <w:rPr>
          <w:rFonts w:ascii="Traditional Arabic" w:hAnsi="Traditional Arabic" w:hint="cs"/>
          <w:color w:val="auto"/>
          <w:sz w:val="32"/>
          <w:szCs w:val="32"/>
          <w:rtl/>
        </w:rPr>
        <w:t>"</w:t>
      </w:r>
      <w:r w:rsidRPr="00313132">
        <w:rPr>
          <w:rFonts w:ascii="Traditional Arabic" w:hAnsi="Traditional Arabic"/>
          <w:color w:val="auto"/>
          <w:sz w:val="32"/>
          <w:szCs w:val="32"/>
          <w:rtl/>
        </w:rPr>
        <w:t>.</w:t>
      </w:r>
      <w:r w:rsidRPr="00313132">
        <w:rPr>
          <w:rFonts w:ascii="Traditional Arabic" w:hAnsi="Traditional Arabic" w:hint="cs"/>
          <w:color w:val="auto"/>
          <w:sz w:val="32"/>
          <w:szCs w:val="32"/>
          <w:rtl/>
        </w:rPr>
        <w:t xml:space="preserve"> انظر: تفسير ابن كثير (</w:t>
      </w:r>
      <w:r>
        <w:rPr>
          <w:rFonts w:ascii="Traditional Arabic" w:hAnsi="Traditional Arabic" w:hint="cs"/>
          <w:color w:val="auto"/>
          <w:sz w:val="32"/>
          <w:szCs w:val="32"/>
          <w:rtl/>
        </w:rPr>
        <w:t>6/244-245</w:t>
      </w:r>
      <w:r w:rsidRPr="00313132">
        <w:rPr>
          <w:rFonts w:ascii="Traditional Arabic" w:hAnsi="Traditional Arabic" w:hint="cs"/>
          <w:color w:val="auto"/>
          <w:sz w:val="32"/>
          <w:szCs w:val="32"/>
          <w:rtl/>
        </w:rPr>
        <w:t>).</w:t>
      </w:r>
      <w:r w:rsidRPr="00313132">
        <w:rPr>
          <w:rFonts w:ascii="Traditional Arabic" w:hAnsi="Traditional Arabic"/>
          <w:color w:val="auto"/>
          <w:sz w:val="32"/>
          <w:szCs w:val="32"/>
          <w:rtl/>
        </w:rPr>
        <w:t xml:space="preserve">  </w:t>
      </w:r>
    </w:p>
  </w:footnote>
  <w:footnote w:id="618">
    <w:p w:rsidR="003F128F" w:rsidRPr="0065218B" w:rsidRDefault="003F128F" w:rsidP="00911ED4">
      <w:pPr>
        <w:pStyle w:val="af3"/>
        <w:rPr>
          <w:rFonts w:ascii="Traditional Arabic" w:hAnsi="Traditional Arabic"/>
          <w:sz w:val="32"/>
          <w:szCs w:val="32"/>
        </w:rPr>
      </w:pPr>
      <w:r w:rsidRPr="0065218B">
        <w:rPr>
          <w:rFonts w:ascii="Traditional Arabic" w:hAnsi="Traditional Arabic"/>
          <w:sz w:val="32"/>
          <w:szCs w:val="32"/>
          <w:rtl/>
        </w:rPr>
        <w:t>(</w:t>
      </w:r>
      <w:r w:rsidRPr="0065218B">
        <w:rPr>
          <w:rStyle w:val="ae"/>
          <w:rFonts w:ascii="Traditional Arabic" w:hAnsi="Traditional Arabic"/>
          <w:sz w:val="32"/>
          <w:szCs w:val="32"/>
          <w:vertAlign w:val="baseline"/>
        </w:rPr>
        <w:footnoteRef/>
      </w:r>
      <w:r w:rsidRPr="0065218B">
        <w:rPr>
          <w:rFonts w:ascii="Traditional Arabic" w:hAnsi="Traditional Arabic"/>
          <w:sz w:val="32"/>
          <w:szCs w:val="32"/>
          <w:rtl/>
        </w:rPr>
        <w:t>) انظر: تفسير الطبري (17/544),  الهداية (6/4280).</w:t>
      </w:r>
    </w:p>
  </w:footnote>
  <w:footnote w:id="619">
    <w:p w:rsidR="003F128F" w:rsidRPr="0065218B" w:rsidRDefault="003F128F" w:rsidP="00911ED4">
      <w:pPr>
        <w:pStyle w:val="af3"/>
        <w:rPr>
          <w:rFonts w:ascii="Traditional Arabic" w:hAnsi="Traditional Arabic"/>
          <w:sz w:val="32"/>
          <w:szCs w:val="32"/>
        </w:rPr>
      </w:pPr>
      <w:r w:rsidRPr="0065218B">
        <w:rPr>
          <w:rFonts w:ascii="Traditional Arabic" w:hAnsi="Traditional Arabic"/>
          <w:sz w:val="32"/>
          <w:szCs w:val="32"/>
          <w:rtl/>
        </w:rPr>
        <w:t>(</w:t>
      </w:r>
      <w:r w:rsidRPr="0065218B">
        <w:rPr>
          <w:rStyle w:val="ae"/>
          <w:rFonts w:ascii="Traditional Arabic" w:hAnsi="Traditional Arabic"/>
          <w:sz w:val="32"/>
          <w:szCs w:val="32"/>
          <w:vertAlign w:val="baseline"/>
        </w:rPr>
        <w:footnoteRef/>
      </w:r>
      <w:r>
        <w:rPr>
          <w:rFonts w:ascii="Traditional Arabic" w:hAnsi="Traditional Arabic"/>
          <w:sz w:val="32"/>
          <w:szCs w:val="32"/>
          <w:rtl/>
        </w:rPr>
        <w:t>)</w:t>
      </w:r>
      <w:r w:rsidRPr="0065218B">
        <w:rPr>
          <w:rFonts w:ascii="Traditional Arabic" w:hAnsi="Traditional Arabic"/>
          <w:sz w:val="32"/>
          <w:szCs w:val="32"/>
          <w:rtl/>
        </w:rPr>
        <w:t xml:space="preserve"> انظر: تفسير مقاتل (2/547).</w:t>
      </w:r>
    </w:p>
  </w:footnote>
  <w:footnote w:id="620">
    <w:p w:rsidR="003F128F" w:rsidRPr="0065218B" w:rsidRDefault="003F128F" w:rsidP="00911ED4">
      <w:pPr>
        <w:pStyle w:val="af3"/>
        <w:rPr>
          <w:rFonts w:ascii="Traditional Arabic" w:hAnsi="Traditional Arabic"/>
          <w:sz w:val="32"/>
          <w:szCs w:val="32"/>
        </w:rPr>
      </w:pPr>
      <w:r w:rsidRPr="0065218B">
        <w:rPr>
          <w:rFonts w:ascii="Traditional Arabic" w:hAnsi="Traditional Arabic"/>
          <w:sz w:val="32"/>
          <w:szCs w:val="32"/>
          <w:rtl/>
        </w:rPr>
        <w:t>(</w:t>
      </w:r>
      <w:r w:rsidRPr="0065218B">
        <w:rPr>
          <w:rStyle w:val="ae"/>
          <w:rFonts w:ascii="Traditional Arabic" w:hAnsi="Traditional Arabic"/>
          <w:sz w:val="32"/>
          <w:szCs w:val="32"/>
          <w:vertAlign w:val="baseline"/>
        </w:rPr>
        <w:footnoteRef/>
      </w:r>
      <w:r w:rsidRPr="0065218B">
        <w:rPr>
          <w:rFonts w:ascii="Traditional Arabic" w:hAnsi="Traditional Arabic"/>
          <w:sz w:val="32"/>
          <w:szCs w:val="32"/>
          <w:rtl/>
        </w:rPr>
        <w:t>) انظر: الكشف والبيان (6/131), تفسير السمعاني (3/273).</w:t>
      </w:r>
    </w:p>
  </w:footnote>
  <w:footnote w:id="621">
    <w:p w:rsidR="003F128F" w:rsidRPr="0065218B" w:rsidRDefault="003F128F" w:rsidP="00911ED4">
      <w:pPr>
        <w:pStyle w:val="af3"/>
        <w:rPr>
          <w:rFonts w:ascii="Traditional Arabic" w:hAnsi="Traditional Arabic"/>
          <w:sz w:val="32"/>
          <w:szCs w:val="32"/>
        </w:rPr>
      </w:pPr>
      <w:r w:rsidRPr="0065218B">
        <w:rPr>
          <w:rFonts w:ascii="Traditional Arabic" w:hAnsi="Traditional Arabic"/>
          <w:sz w:val="32"/>
          <w:szCs w:val="32"/>
          <w:rtl/>
        </w:rPr>
        <w:t>(</w:t>
      </w:r>
      <w:r w:rsidRPr="0065218B">
        <w:rPr>
          <w:rStyle w:val="ae"/>
          <w:rFonts w:ascii="Traditional Arabic" w:hAnsi="Traditional Arabic"/>
          <w:sz w:val="32"/>
          <w:szCs w:val="32"/>
          <w:vertAlign w:val="baseline"/>
        </w:rPr>
        <w:footnoteRef/>
      </w:r>
      <w:r w:rsidRPr="0065218B">
        <w:rPr>
          <w:rFonts w:ascii="Traditional Arabic" w:hAnsi="Traditional Arabic"/>
          <w:sz w:val="32"/>
          <w:szCs w:val="32"/>
          <w:rtl/>
        </w:rPr>
        <w:t>) الكشف والبيان (6/130).</w:t>
      </w:r>
    </w:p>
  </w:footnote>
  <w:footnote w:id="622">
    <w:p w:rsidR="003F128F" w:rsidRPr="0065218B" w:rsidRDefault="003F128F" w:rsidP="00911ED4">
      <w:pPr>
        <w:pStyle w:val="af3"/>
        <w:rPr>
          <w:rFonts w:ascii="Traditional Arabic" w:hAnsi="Traditional Arabic"/>
          <w:sz w:val="32"/>
          <w:szCs w:val="32"/>
        </w:rPr>
      </w:pPr>
      <w:r w:rsidRPr="0065218B">
        <w:rPr>
          <w:rFonts w:ascii="Traditional Arabic" w:hAnsi="Traditional Arabic"/>
          <w:sz w:val="32"/>
          <w:szCs w:val="32"/>
          <w:rtl/>
        </w:rPr>
        <w:t>(</w:t>
      </w:r>
      <w:r w:rsidRPr="0065218B">
        <w:rPr>
          <w:rStyle w:val="ae"/>
          <w:rFonts w:ascii="Traditional Arabic" w:hAnsi="Traditional Arabic"/>
          <w:sz w:val="32"/>
          <w:szCs w:val="32"/>
          <w:vertAlign w:val="baseline"/>
        </w:rPr>
        <w:footnoteRef/>
      </w:r>
      <w:r w:rsidRPr="0065218B">
        <w:rPr>
          <w:rFonts w:ascii="Traditional Arabic" w:hAnsi="Traditional Arabic"/>
          <w:sz w:val="32"/>
          <w:szCs w:val="32"/>
          <w:rtl/>
        </w:rPr>
        <w:t>) تفسير الطبري (17/538), الهداية (6/4280).</w:t>
      </w:r>
    </w:p>
  </w:footnote>
  <w:footnote w:id="623">
    <w:p w:rsidR="003F128F" w:rsidRPr="0065218B" w:rsidRDefault="003F128F" w:rsidP="00911ED4">
      <w:pPr>
        <w:pStyle w:val="af3"/>
        <w:rPr>
          <w:rFonts w:ascii="Traditional Arabic" w:hAnsi="Traditional Arabic"/>
          <w:sz w:val="32"/>
          <w:szCs w:val="32"/>
        </w:rPr>
      </w:pPr>
      <w:r w:rsidRPr="0065218B">
        <w:rPr>
          <w:rFonts w:ascii="Traditional Arabic" w:hAnsi="Traditional Arabic"/>
          <w:sz w:val="32"/>
          <w:szCs w:val="32"/>
          <w:rtl/>
        </w:rPr>
        <w:t>(</w:t>
      </w:r>
      <w:r w:rsidRPr="0065218B">
        <w:rPr>
          <w:rStyle w:val="ae"/>
          <w:rFonts w:ascii="Traditional Arabic" w:hAnsi="Traditional Arabic"/>
          <w:sz w:val="32"/>
          <w:szCs w:val="32"/>
          <w:vertAlign w:val="baseline"/>
        </w:rPr>
        <w:footnoteRef/>
      </w:r>
      <w:r w:rsidRPr="0065218B">
        <w:rPr>
          <w:rFonts w:ascii="Traditional Arabic" w:hAnsi="Traditional Arabic"/>
          <w:sz w:val="32"/>
          <w:szCs w:val="32"/>
          <w:rtl/>
        </w:rPr>
        <w:t xml:space="preserve">) تفسير السمعاني (3/274), النكت والعيون (3/269). </w:t>
      </w:r>
    </w:p>
  </w:footnote>
  <w:footnote w:id="624">
    <w:p w:rsidR="003F128F" w:rsidRPr="0065218B" w:rsidRDefault="003F128F" w:rsidP="00911ED4">
      <w:pPr>
        <w:pStyle w:val="af3"/>
        <w:rPr>
          <w:rFonts w:ascii="Traditional Arabic" w:hAnsi="Traditional Arabic"/>
          <w:sz w:val="32"/>
          <w:szCs w:val="32"/>
        </w:rPr>
      </w:pPr>
      <w:r w:rsidRPr="0065218B">
        <w:rPr>
          <w:rFonts w:ascii="Traditional Arabic" w:hAnsi="Traditional Arabic"/>
          <w:sz w:val="32"/>
          <w:szCs w:val="32"/>
          <w:rtl/>
        </w:rPr>
        <w:t>(</w:t>
      </w:r>
      <w:r w:rsidRPr="0065218B">
        <w:rPr>
          <w:rStyle w:val="ae"/>
          <w:rFonts w:ascii="Traditional Arabic" w:hAnsi="Traditional Arabic"/>
          <w:sz w:val="32"/>
          <w:szCs w:val="32"/>
          <w:vertAlign w:val="baseline"/>
        </w:rPr>
        <w:footnoteRef/>
      </w:r>
      <w:r w:rsidRPr="0065218B">
        <w:rPr>
          <w:rFonts w:ascii="Traditional Arabic" w:hAnsi="Traditional Arabic"/>
          <w:sz w:val="32"/>
          <w:szCs w:val="32"/>
          <w:rtl/>
        </w:rPr>
        <w:t>) النكت والعيون (3/270), وذكره كذلك السمعاني (3/274).</w:t>
      </w:r>
    </w:p>
  </w:footnote>
  <w:footnote w:id="625">
    <w:p w:rsidR="003F128F" w:rsidRPr="0065218B" w:rsidRDefault="003F128F" w:rsidP="00911ED4">
      <w:pPr>
        <w:pStyle w:val="af3"/>
        <w:rPr>
          <w:rFonts w:ascii="Traditional Arabic" w:hAnsi="Traditional Arabic"/>
          <w:sz w:val="32"/>
          <w:szCs w:val="32"/>
        </w:rPr>
      </w:pPr>
      <w:r w:rsidRPr="0065218B">
        <w:rPr>
          <w:rFonts w:ascii="Traditional Arabic" w:hAnsi="Traditional Arabic"/>
          <w:sz w:val="32"/>
          <w:szCs w:val="32"/>
          <w:rtl/>
        </w:rPr>
        <w:t>(</w:t>
      </w:r>
      <w:r w:rsidRPr="0065218B">
        <w:rPr>
          <w:rStyle w:val="ae"/>
          <w:rFonts w:ascii="Traditional Arabic" w:hAnsi="Traditional Arabic"/>
          <w:sz w:val="32"/>
          <w:szCs w:val="32"/>
          <w:vertAlign w:val="baseline"/>
        </w:rPr>
        <w:footnoteRef/>
      </w:r>
      <w:r w:rsidRPr="0065218B">
        <w:rPr>
          <w:rFonts w:ascii="Traditional Arabic" w:hAnsi="Traditional Arabic"/>
          <w:sz w:val="32"/>
          <w:szCs w:val="32"/>
          <w:rtl/>
        </w:rPr>
        <w:t>)</w:t>
      </w:r>
      <w:r>
        <w:rPr>
          <w:rFonts w:ascii="Traditional Arabic" w:hAnsi="Traditional Arabic" w:hint="cs"/>
          <w:sz w:val="32"/>
          <w:szCs w:val="32"/>
          <w:rtl/>
        </w:rPr>
        <w:t xml:space="preserve"> </w:t>
      </w:r>
      <w:r w:rsidRPr="0065218B">
        <w:rPr>
          <w:rFonts w:ascii="Traditional Arabic" w:hAnsi="Traditional Arabic"/>
          <w:sz w:val="32"/>
          <w:szCs w:val="32"/>
          <w:rtl/>
        </w:rPr>
        <w:t>ذكر بنحوه الواحدي في التفسير الوسيط</w:t>
      </w:r>
      <w:r>
        <w:rPr>
          <w:rFonts w:ascii="Traditional Arabic" w:hAnsi="Traditional Arabic"/>
          <w:sz w:val="32"/>
          <w:szCs w:val="32"/>
          <w:rtl/>
        </w:rPr>
        <w:t xml:space="preserve"> (3/125)</w:t>
      </w:r>
      <w:r>
        <w:rPr>
          <w:rFonts w:ascii="Traditional Arabic" w:hAnsi="Traditional Arabic" w:hint="cs"/>
          <w:sz w:val="32"/>
          <w:szCs w:val="32"/>
          <w:rtl/>
        </w:rPr>
        <w:t>.</w:t>
      </w:r>
      <w:r w:rsidRPr="0065218B">
        <w:rPr>
          <w:rFonts w:ascii="Traditional Arabic" w:hAnsi="Traditional Arabic"/>
          <w:sz w:val="32"/>
          <w:szCs w:val="32"/>
          <w:rtl/>
        </w:rPr>
        <w:t xml:space="preserve"> قال السمعاني: </w:t>
      </w:r>
      <w:r>
        <w:rPr>
          <w:rFonts w:ascii="Traditional Arabic" w:hAnsi="Traditional Arabic" w:hint="cs"/>
          <w:sz w:val="32"/>
          <w:szCs w:val="32"/>
          <w:rtl/>
        </w:rPr>
        <w:t>"</w:t>
      </w:r>
      <w:r w:rsidRPr="0065218B">
        <w:rPr>
          <w:rFonts w:ascii="Traditional Arabic" w:hAnsi="Traditional Arabic"/>
          <w:sz w:val="32"/>
          <w:szCs w:val="32"/>
          <w:rtl/>
        </w:rPr>
        <w:t>وعليه أكثر المفسرين</w:t>
      </w:r>
      <w:r>
        <w:rPr>
          <w:rFonts w:ascii="Traditional Arabic" w:hAnsi="Traditional Arabic" w:hint="cs"/>
          <w:sz w:val="32"/>
          <w:szCs w:val="32"/>
          <w:rtl/>
        </w:rPr>
        <w:t>"</w:t>
      </w:r>
      <w:r w:rsidRPr="0065218B">
        <w:rPr>
          <w:rFonts w:ascii="Traditional Arabic" w:hAnsi="Traditional Arabic"/>
          <w:sz w:val="32"/>
          <w:szCs w:val="32"/>
          <w:rtl/>
        </w:rPr>
        <w:t xml:space="preserve">. انظر: تفسير السمعاني (3/274). </w:t>
      </w:r>
    </w:p>
  </w:footnote>
  <w:footnote w:id="626">
    <w:p w:rsidR="003F128F" w:rsidRPr="0065218B" w:rsidRDefault="003F128F" w:rsidP="00911ED4">
      <w:pPr>
        <w:pStyle w:val="af3"/>
        <w:rPr>
          <w:rFonts w:ascii="Traditional Arabic" w:hAnsi="Traditional Arabic"/>
          <w:sz w:val="32"/>
          <w:szCs w:val="32"/>
        </w:rPr>
      </w:pPr>
      <w:r w:rsidRPr="0065218B">
        <w:rPr>
          <w:rFonts w:ascii="Traditional Arabic" w:hAnsi="Traditional Arabic"/>
          <w:sz w:val="32"/>
          <w:szCs w:val="32"/>
          <w:rtl/>
        </w:rPr>
        <w:t>(</w:t>
      </w:r>
      <w:r w:rsidRPr="0065218B">
        <w:rPr>
          <w:rStyle w:val="ae"/>
          <w:rFonts w:ascii="Traditional Arabic" w:hAnsi="Traditional Arabic"/>
          <w:sz w:val="32"/>
          <w:szCs w:val="32"/>
          <w:vertAlign w:val="baseline"/>
        </w:rPr>
        <w:footnoteRef/>
      </w:r>
      <w:r w:rsidRPr="0065218B">
        <w:rPr>
          <w:rFonts w:ascii="Traditional Arabic" w:hAnsi="Traditional Arabic"/>
          <w:sz w:val="32"/>
          <w:szCs w:val="32"/>
          <w:rtl/>
        </w:rPr>
        <w:t>) انظر: الهداية (6/4281), التفسير الوسيط (3/126).</w:t>
      </w:r>
    </w:p>
  </w:footnote>
  <w:footnote w:id="627">
    <w:p w:rsidR="003F128F" w:rsidRPr="0065218B" w:rsidRDefault="003F128F" w:rsidP="00911ED4">
      <w:pPr>
        <w:pStyle w:val="af3"/>
        <w:rPr>
          <w:rFonts w:ascii="Traditional Arabic" w:hAnsi="Traditional Arabic"/>
          <w:sz w:val="32"/>
          <w:szCs w:val="32"/>
        </w:rPr>
      </w:pPr>
      <w:r w:rsidRPr="0065218B">
        <w:rPr>
          <w:rFonts w:ascii="Traditional Arabic" w:hAnsi="Traditional Arabic"/>
          <w:sz w:val="32"/>
          <w:szCs w:val="32"/>
          <w:rtl/>
        </w:rPr>
        <w:t>(</w:t>
      </w:r>
      <w:r w:rsidRPr="0065218B">
        <w:rPr>
          <w:rStyle w:val="ae"/>
          <w:rFonts w:ascii="Traditional Arabic" w:hAnsi="Traditional Arabic"/>
          <w:sz w:val="32"/>
          <w:szCs w:val="32"/>
          <w:vertAlign w:val="baseline"/>
        </w:rPr>
        <w:footnoteRef/>
      </w:r>
      <w:r w:rsidRPr="0065218B">
        <w:rPr>
          <w:rFonts w:ascii="Traditional Arabic" w:hAnsi="Traditional Arabic"/>
          <w:sz w:val="32"/>
          <w:szCs w:val="32"/>
          <w:rtl/>
        </w:rPr>
        <w:t>) انظر: النكت والعيون (3/271), التفسير الوسيط (3/126).</w:t>
      </w:r>
    </w:p>
  </w:footnote>
  <w:footnote w:id="628">
    <w:p w:rsidR="003F128F" w:rsidRPr="00303129" w:rsidRDefault="003F128F" w:rsidP="00911ED4">
      <w:pPr>
        <w:pStyle w:val="af3"/>
        <w:rPr>
          <w:rFonts w:ascii="Tahoma" w:hAnsi="Tahoma"/>
          <w:sz w:val="32"/>
          <w:szCs w:val="32"/>
        </w:rPr>
      </w:pPr>
      <w:r w:rsidRPr="00303129">
        <w:rPr>
          <w:rFonts w:ascii="Traditional Arabic" w:hAnsi="Traditional Arabic"/>
          <w:sz w:val="32"/>
          <w:szCs w:val="32"/>
          <w:rtl/>
        </w:rPr>
        <w:t>(</w:t>
      </w:r>
      <w:r w:rsidRPr="00303129">
        <w:rPr>
          <w:rStyle w:val="ae"/>
          <w:rFonts w:ascii="Traditional Arabic" w:hAnsi="Traditional Arabic"/>
          <w:sz w:val="32"/>
          <w:szCs w:val="32"/>
          <w:vertAlign w:val="baseline"/>
        </w:rPr>
        <w:footnoteRef/>
      </w:r>
      <w:r w:rsidRPr="00303129">
        <w:rPr>
          <w:rFonts w:ascii="Traditional Arabic" w:hAnsi="Traditional Arabic"/>
          <w:sz w:val="32"/>
          <w:szCs w:val="32"/>
          <w:rtl/>
        </w:rPr>
        <w:t>) انظر: النكت والعيون (3/271), التفسير الوسيط (3/</w:t>
      </w:r>
      <w:r w:rsidRPr="00303129">
        <w:rPr>
          <w:rFonts w:ascii="Traditional Arabic" w:hAnsi="Traditional Arabic" w:hint="cs"/>
          <w:sz w:val="32"/>
          <w:szCs w:val="32"/>
          <w:rtl/>
        </w:rPr>
        <w:t>258</w:t>
      </w:r>
      <w:r w:rsidRPr="00303129">
        <w:rPr>
          <w:rFonts w:ascii="Traditional Arabic" w:hAnsi="Traditional Arabic"/>
          <w:sz w:val="32"/>
          <w:szCs w:val="32"/>
          <w:rtl/>
        </w:rPr>
        <w:t>).</w:t>
      </w:r>
    </w:p>
  </w:footnote>
  <w:footnote w:id="629">
    <w:p w:rsidR="003F128F" w:rsidRPr="005C30B5" w:rsidRDefault="003F128F" w:rsidP="00911ED4">
      <w:pPr>
        <w:pStyle w:val="af3"/>
        <w:rPr>
          <w:rFonts w:ascii="Traditional Arabic" w:hAnsi="Traditional Arabic"/>
          <w:sz w:val="32"/>
          <w:szCs w:val="32"/>
        </w:rPr>
      </w:pPr>
      <w:r w:rsidRPr="005C30B5">
        <w:rPr>
          <w:rFonts w:ascii="Traditional Arabic" w:hAnsi="Traditional Arabic"/>
          <w:sz w:val="32"/>
          <w:szCs w:val="32"/>
          <w:rtl/>
        </w:rPr>
        <w:t>(</w:t>
      </w:r>
      <w:r w:rsidRPr="005C30B5">
        <w:rPr>
          <w:rStyle w:val="ae"/>
          <w:rFonts w:ascii="Traditional Arabic" w:hAnsi="Traditional Arabic"/>
          <w:sz w:val="32"/>
          <w:szCs w:val="32"/>
          <w:vertAlign w:val="baseline"/>
        </w:rPr>
        <w:footnoteRef/>
      </w:r>
      <w:r w:rsidRPr="005C30B5">
        <w:rPr>
          <w:rFonts w:ascii="Traditional Arabic" w:hAnsi="Traditional Arabic"/>
          <w:sz w:val="32"/>
          <w:szCs w:val="32"/>
          <w:rtl/>
        </w:rPr>
        <w:t>) انظر: معاني القرآن وإعرابه (3/275).</w:t>
      </w:r>
    </w:p>
  </w:footnote>
  <w:footnote w:id="630">
    <w:p w:rsidR="003F128F" w:rsidRPr="005C30B5" w:rsidRDefault="003F128F" w:rsidP="00911ED4">
      <w:pPr>
        <w:pStyle w:val="af3"/>
        <w:rPr>
          <w:rFonts w:ascii="Traditional Arabic" w:hAnsi="Traditional Arabic"/>
          <w:sz w:val="32"/>
          <w:szCs w:val="32"/>
        </w:rPr>
      </w:pPr>
      <w:r w:rsidRPr="005C30B5">
        <w:rPr>
          <w:rFonts w:ascii="Traditional Arabic" w:hAnsi="Traditional Arabic"/>
          <w:sz w:val="32"/>
          <w:szCs w:val="32"/>
          <w:rtl/>
        </w:rPr>
        <w:t>(</w:t>
      </w:r>
      <w:r w:rsidRPr="005C30B5">
        <w:rPr>
          <w:rStyle w:val="ae"/>
          <w:rFonts w:ascii="Traditional Arabic" w:hAnsi="Traditional Arabic"/>
          <w:sz w:val="32"/>
          <w:szCs w:val="32"/>
          <w:vertAlign w:val="baseline"/>
        </w:rPr>
        <w:footnoteRef/>
      </w:r>
      <w:r>
        <w:rPr>
          <w:rFonts w:ascii="Traditional Arabic" w:hAnsi="Traditional Arabic"/>
          <w:sz w:val="32"/>
          <w:szCs w:val="32"/>
          <w:rtl/>
        </w:rPr>
        <w:t>) ما بين ال</w:t>
      </w:r>
      <w:r>
        <w:rPr>
          <w:rFonts w:ascii="Traditional Arabic" w:hAnsi="Traditional Arabic" w:hint="cs"/>
          <w:sz w:val="32"/>
          <w:szCs w:val="32"/>
          <w:rtl/>
        </w:rPr>
        <w:t>معكوفتين</w:t>
      </w:r>
      <w:r>
        <w:rPr>
          <w:rFonts w:ascii="Traditional Arabic" w:hAnsi="Traditional Arabic"/>
          <w:sz w:val="32"/>
          <w:szCs w:val="32"/>
          <w:rtl/>
        </w:rPr>
        <w:t xml:space="preserve"> ساقط م</w:t>
      </w:r>
      <w:r>
        <w:rPr>
          <w:rFonts w:ascii="Traditional Arabic" w:hAnsi="Traditional Arabic" w:hint="cs"/>
          <w:sz w:val="32"/>
          <w:szCs w:val="32"/>
          <w:rtl/>
        </w:rPr>
        <w:t>ن الأصل, والمثبت من (ك)</w:t>
      </w:r>
      <w:r w:rsidRPr="005C30B5">
        <w:rPr>
          <w:rFonts w:ascii="Traditional Arabic" w:hAnsi="Traditional Arabic"/>
          <w:sz w:val="32"/>
          <w:szCs w:val="32"/>
          <w:rtl/>
        </w:rPr>
        <w:t xml:space="preserve">.   </w:t>
      </w:r>
    </w:p>
  </w:footnote>
  <w:footnote w:id="631">
    <w:p w:rsidR="003F128F" w:rsidRPr="005C30B5" w:rsidRDefault="003F128F" w:rsidP="00911ED4">
      <w:pPr>
        <w:pStyle w:val="af3"/>
        <w:rPr>
          <w:rFonts w:ascii="Traditional Arabic" w:hAnsi="Traditional Arabic"/>
          <w:sz w:val="32"/>
          <w:szCs w:val="32"/>
        </w:rPr>
      </w:pPr>
      <w:r w:rsidRPr="005C30B5">
        <w:rPr>
          <w:rFonts w:ascii="Traditional Arabic" w:hAnsi="Traditional Arabic"/>
          <w:sz w:val="32"/>
          <w:szCs w:val="32"/>
          <w:rtl/>
        </w:rPr>
        <w:t>(</w:t>
      </w:r>
      <w:r w:rsidRPr="005C30B5">
        <w:rPr>
          <w:rStyle w:val="ae"/>
          <w:rFonts w:ascii="Traditional Arabic" w:hAnsi="Traditional Arabic"/>
          <w:sz w:val="32"/>
          <w:szCs w:val="32"/>
          <w:vertAlign w:val="baseline"/>
        </w:rPr>
        <w:footnoteRef/>
      </w:r>
      <w:r w:rsidRPr="005C30B5">
        <w:rPr>
          <w:rFonts w:ascii="Traditional Arabic" w:hAnsi="Traditional Arabic"/>
          <w:sz w:val="32"/>
          <w:szCs w:val="32"/>
          <w:rtl/>
        </w:rPr>
        <w:t>) بنحو</w:t>
      </w:r>
      <w:r>
        <w:rPr>
          <w:rFonts w:ascii="Traditional Arabic" w:hAnsi="Traditional Arabic"/>
          <w:sz w:val="32"/>
          <w:szCs w:val="32"/>
          <w:rtl/>
        </w:rPr>
        <w:t>ه</w:t>
      </w:r>
      <w:r>
        <w:rPr>
          <w:rFonts w:ascii="Traditional Arabic" w:hAnsi="Traditional Arabic" w:hint="cs"/>
          <w:sz w:val="32"/>
          <w:szCs w:val="32"/>
          <w:rtl/>
        </w:rPr>
        <w:t xml:space="preserve"> قال</w:t>
      </w:r>
      <w:r w:rsidRPr="005C30B5">
        <w:rPr>
          <w:rFonts w:ascii="Traditional Arabic" w:hAnsi="Traditional Arabic"/>
          <w:sz w:val="32"/>
          <w:szCs w:val="32"/>
          <w:rtl/>
        </w:rPr>
        <w:t xml:space="preserve"> مكي في الهداية (6/4284).</w:t>
      </w:r>
    </w:p>
  </w:footnote>
  <w:footnote w:id="632">
    <w:p w:rsidR="003F128F" w:rsidRPr="00303129" w:rsidRDefault="003F128F" w:rsidP="00911ED4">
      <w:pPr>
        <w:pStyle w:val="af3"/>
        <w:rPr>
          <w:rFonts w:ascii="Tahoma" w:hAnsi="Tahoma"/>
          <w:sz w:val="32"/>
          <w:szCs w:val="32"/>
        </w:rPr>
      </w:pPr>
      <w:r w:rsidRPr="005C30B5">
        <w:rPr>
          <w:rFonts w:ascii="Traditional Arabic" w:hAnsi="Traditional Arabic"/>
          <w:sz w:val="32"/>
          <w:szCs w:val="32"/>
          <w:rtl/>
        </w:rPr>
        <w:t>(</w:t>
      </w:r>
      <w:r w:rsidRPr="005C30B5">
        <w:rPr>
          <w:rStyle w:val="ae"/>
          <w:rFonts w:ascii="Traditional Arabic" w:hAnsi="Traditional Arabic"/>
          <w:sz w:val="32"/>
          <w:szCs w:val="32"/>
          <w:vertAlign w:val="baseline"/>
        </w:rPr>
        <w:footnoteRef/>
      </w:r>
      <w:r w:rsidRPr="005C30B5">
        <w:rPr>
          <w:rFonts w:ascii="Traditional Arabic" w:hAnsi="Traditional Arabic"/>
          <w:sz w:val="32"/>
          <w:szCs w:val="32"/>
          <w:rtl/>
        </w:rPr>
        <w:t xml:space="preserve">) </w:t>
      </w:r>
      <w:r>
        <w:rPr>
          <w:rFonts w:ascii="Tahoma" w:hAnsi="Tahoma" w:hint="cs"/>
          <w:sz w:val="32"/>
          <w:szCs w:val="32"/>
          <w:rtl/>
        </w:rPr>
        <w:t xml:space="preserve">ذكر نحوه أهل التفسير, انظر: بحر العلوم (2/327), </w:t>
      </w:r>
      <w:r w:rsidRPr="00303129">
        <w:rPr>
          <w:rFonts w:ascii="Traditional Arabic" w:hAnsi="Traditional Arabic"/>
          <w:sz w:val="32"/>
          <w:szCs w:val="32"/>
          <w:rtl/>
        </w:rPr>
        <w:t>النكت والعيون (3/27</w:t>
      </w:r>
      <w:r>
        <w:rPr>
          <w:rFonts w:ascii="Traditional Arabic" w:hAnsi="Traditional Arabic" w:hint="cs"/>
          <w:sz w:val="32"/>
          <w:szCs w:val="32"/>
          <w:rtl/>
        </w:rPr>
        <w:t>2</w:t>
      </w:r>
      <w:r w:rsidRPr="00303129">
        <w:rPr>
          <w:rFonts w:ascii="Traditional Arabic" w:hAnsi="Traditional Arabic"/>
          <w:sz w:val="32"/>
          <w:szCs w:val="32"/>
          <w:rtl/>
        </w:rPr>
        <w:t>)</w:t>
      </w:r>
      <w:r>
        <w:rPr>
          <w:rFonts w:ascii="Tahoma" w:hAnsi="Tahoma" w:hint="cs"/>
          <w:sz w:val="32"/>
          <w:szCs w:val="32"/>
          <w:rtl/>
        </w:rPr>
        <w:t>, وغيرها.</w:t>
      </w:r>
    </w:p>
  </w:footnote>
  <w:footnote w:id="633">
    <w:p w:rsidR="003F128F" w:rsidRPr="006D452E" w:rsidRDefault="003F128F" w:rsidP="00CE1584">
      <w:pPr>
        <w:pStyle w:val="af3"/>
        <w:rPr>
          <w:rFonts w:ascii="Traditional Arabic" w:hAnsi="Traditional Arabic"/>
          <w:sz w:val="32"/>
          <w:szCs w:val="32"/>
        </w:rPr>
      </w:pPr>
      <w:r w:rsidRPr="00687B8B">
        <w:rPr>
          <w:rFonts w:ascii="Traditional Arabic" w:hAnsi="Traditional Arabic"/>
          <w:sz w:val="32"/>
          <w:szCs w:val="32"/>
          <w:rtl/>
        </w:rPr>
        <w:t>(</w:t>
      </w:r>
      <w:r w:rsidRPr="00687B8B">
        <w:rPr>
          <w:rStyle w:val="ae"/>
          <w:rFonts w:ascii="Traditional Arabic" w:hAnsi="Traditional Arabic"/>
          <w:sz w:val="32"/>
          <w:szCs w:val="32"/>
          <w:vertAlign w:val="baseline"/>
        </w:rPr>
        <w:footnoteRef/>
      </w:r>
      <w:r w:rsidRPr="00687B8B">
        <w:rPr>
          <w:rFonts w:ascii="Traditional Arabic" w:hAnsi="Traditional Arabic"/>
          <w:sz w:val="32"/>
          <w:szCs w:val="32"/>
          <w:rtl/>
        </w:rPr>
        <w:t>) أخرجه</w:t>
      </w:r>
      <w:r>
        <w:rPr>
          <w:rFonts w:ascii="Traditional Arabic" w:hAnsi="Traditional Arabic" w:hint="cs"/>
          <w:sz w:val="32"/>
          <w:szCs w:val="32"/>
          <w:rtl/>
        </w:rPr>
        <w:t xml:space="preserve"> </w:t>
      </w:r>
      <w:r>
        <w:rPr>
          <w:rFonts w:ascii="Traditional Arabic" w:hAnsi="Traditional Arabic"/>
          <w:sz w:val="32"/>
          <w:szCs w:val="32"/>
          <w:rtl/>
        </w:rPr>
        <w:t xml:space="preserve">ابن </w:t>
      </w:r>
      <w:r>
        <w:rPr>
          <w:rFonts w:ascii="Traditional Arabic" w:hAnsi="Traditional Arabic" w:hint="cs"/>
          <w:sz w:val="32"/>
          <w:szCs w:val="32"/>
          <w:rtl/>
        </w:rPr>
        <w:t>أ</w:t>
      </w:r>
      <w:r w:rsidRPr="00687B8B">
        <w:rPr>
          <w:rFonts w:ascii="Traditional Arabic" w:hAnsi="Traditional Arabic"/>
          <w:sz w:val="32"/>
          <w:szCs w:val="32"/>
          <w:rtl/>
        </w:rPr>
        <w:t xml:space="preserve">بي شيبة في المصنف (7/192), </w:t>
      </w:r>
      <w:r>
        <w:rPr>
          <w:rFonts w:ascii="Traditional Arabic" w:hAnsi="Traditional Arabic" w:hint="cs"/>
          <w:sz w:val="32"/>
          <w:szCs w:val="32"/>
          <w:rtl/>
        </w:rPr>
        <w:t>و</w:t>
      </w:r>
      <w:r w:rsidRPr="00687B8B">
        <w:rPr>
          <w:rFonts w:ascii="Traditional Arabic" w:hAnsi="Traditional Arabic"/>
          <w:sz w:val="32"/>
          <w:szCs w:val="32"/>
          <w:rtl/>
        </w:rPr>
        <w:t>الطبراني في المعجم الكبير (9/153 ح8698) والحاكم في المستدرك (4/549 ح8538) وصححه ووافقه الذهبي</w:t>
      </w:r>
      <w:r>
        <w:rPr>
          <w:rFonts w:ascii="Traditional Arabic" w:hAnsi="Traditional Arabic" w:hint="cs"/>
          <w:sz w:val="32"/>
          <w:szCs w:val="32"/>
          <w:rtl/>
        </w:rPr>
        <w:t xml:space="preserve"> ,</w:t>
      </w:r>
      <w:r w:rsidRPr="00687B8B">
        <w:rPr>
          <w:rFonts w:ascii="Traditional Arabic" w:hAnsi="Traditional Arabic"/>
          <w:sz w:val="32"/>
          <w:szCs w:val="32"/>
          <w:rtl/>
        </w:rPr>
        <w:t xml:space="preserve"> </w:t>
      </w:r>
      <w:r>
        <w:rPr>
          <w:rFonts w:ascii="Traditional Arabic" w:hAnsi="Traditional Arabic" w:hint="cs"/>
          <w:sz w:val="32"/>
          <w:szCs w:val="32"/>
          <w:rtl/>
        </w:rPr>
        <w:t>و</w:t>
      </w:r>
      <w:r w:rsidRPr="00687B8B">
        <w:rPr>
          <w:rFonts w:ascii="Traditional Arabic" w:hAnsi="Traditional Arabic"/>
          <w:sz w:val="32"/>
          <w:szCs w:val="32"/>
          <w:rtl/>
        </w:rPr>
        <w:t xml:space="preserve">الطبري </w:t>
      </w:r>
      <w:r>
        <w:rPr>
          <w:rFonts w:ascii="Traditional Arabic" w:hAnsi="Traditional Arabic" w:hint="cs"/>
          <w:sz w:val="32"/>
          <w:szCs w:val="32"/>
          <w:rtl/>
        </w:rPr>
        <w:t xml:space="preserve">في تفسيره </w:t>
      </w:r>
      <w:r w:rsidRPr="00687B8B">
        <w:rPr>
          <w:rFonts w:ascii="Traditional Arabic" w:hAnsi="Traditional Arabic"/>
          <w:sz w:val="32"/>
          <w:szCs w:val="32"/>
          <w:rtl/>
        </w:rPr>
        <w:t xml:space="preserve">(17/545), وابن </w:t>
      </w:r>
      <w:r w:rsidRPr="006D452E">
        <w:rPr>
          <w:rFonts w:ascii="Traditional Arabic" w:hAnsi="Traditional Arabic"/>
          <w:sz w:val="32"/>
          <w:szCs w:val="32"/>
          <w:rtl/>
        </w:rPr>
        <w:t>أبي حاتم في تفسيره (9/2922), وغيرهم.</w:t>
      </w:r>
    </w:p>
  </w:footnote>
  <w:footnote w:id="634">
    <w:p w:rsidR="003F128F" w:rsidRPr="006D452E" w:rsidRDefault="003F128F" w:rsidP="00911ED4">
      <w:pPr>
        <w:pStyle w:val="af3"/>
        <w:rPr>
          <w:rFonts w:ascii="Traditional Arabic" w:hAnsi="Traditional Arabic"/>
          <w:sz w:val="32"/>
          <w:szCs w:val="32"/>
        </w:rPr>
      </w:pPr>
      <w:r w:rsidRPr="006D452E">
        <w:rPr>
          <w:rFonts w:ascii="Traditional Arabic" w:hAnsi="Traditional Arabic"/>
          <w:sz w:val="32"/>
          <w:szCs w:val="32"/>
          <w:rtl/>
        </w:rPr>
        <w:t>(</w:t>
      </w:r>
      <w:r w:rsidRPr="006D452E">
        <w:rPr>
          <w:rStyle w:val="ae"/>
          <w:rFonts w:ascii="Traditional Arabic" w:hAnsi="Traditional Arabic"/>
          <w:sz w:val="32"/>
          <w:szCs w:val="32"/>
          <w:vertAlign w:val="baseline"/>
        </w:rPr>
        <w:footnoteRef/>
      </w:r>
      <w:r w:rsidRPr="006D452E">
        <w:rPr>
          <w:rFonts w:ascii="Traditional Arabic" w:hAnsi="Traditional Arabic"/>
          <w:sz w:val="32"/>
          <w:szCs w:val="32"/>
          <w:rtl/>
        </w:rPr>
        <w:t>) أخرجه البخاري (كتاب العلم, باب</w:t>
      </w:r>
      <w:r>
        <w:rPr>
          <w:rFonts w:ascii="Traditional Arabic" w:hAnsi="Traditional Arabic" w:hint="cs"/>
          <w:sz w:val="32"/>
          <w:szCs w:val="32"/>
          <w:rtl/>
        </w:rPr>
        <w:t>:</w:t>
      </w:r>
      <w:r w:rsidRPr="006D452E">
        <w:rPr>
          <w:rFonts w:ascii="Traditional Arabic" w:hAnsi="Traditional Arabic"/>
          <w:sz w:val="32"/>
          <w:szCs w:val="32"/>
          <w:rtl/>
        </w:rPr>
        <w:t xml:space="preserve"> كيف يُقبَضُ العِلمُ 1/256 ح100, وأطرافه في ح7307), ومسلم (كتاب العلم, باب</w:t>
      </w:r>
      <w:r>
        <w:rPr>
          <w:rFonts w:ascii="Traditional Arabic" w:hAnsi="Traditional Arabic" w:hint="cs"/>
          <w:sz w:val="32"/>
          <w:szCs w:val="32"/>
          <w:rtl/>
        </w:rPr>
        <w:t>:</w:t>
      </w:r>
      <w:r w:rsidRPr="006D452E">
        <w:rPr>
          <w:rFonts w:ascii="Traditional Arabic" w:hAnsi="Traditional Arabic"/>
          <w:sz w:val="32"/>
          <w:szCs w:val="32"/>
          <w:rtl/>
        </w:rPr>
        <w:t xml:space="preserve"> رفع العلم وقبضه, وظهور الجهل والفتن في آخر الزمان, 16/440 ح6729) كلاهما من حديث عبد الله بن عمرو بن العاص </w:t>
      </w:r>
      <w:r w:rsidRPr="006D452E">
        <w:rPr>
          <w:rFonts w:ascii="Traditional Arabic" w:hAnsi="Traditional Arabic"/>
          <w:sz w:val="32"/>
          <w:szCs w:val="32"/>
        </w:rPr>
        <w:t xml:space="preserve"> </w:t>
      </w:r>
      <w:r w:rsidRPr="006D452E">
        <w:rPr>
          <w:rFonts w:ascii="Traditional Arabic" w:hAnsi="Traditional Arabic"/>
          <w:sz w:val="32"/>
          <w:szCs w:val="32"/>
        </w:rPr>
        <w:sym w:font="AGA Arabesque" w:char="F079"/>
      </w:r>
      <w:r w:rsidRPr="006D452E">
        <w:rPr>
          <w:rFonts w:ascii="Traditional Arabic" w:hAnsi="Traditional Arabic"/>
          <w:sz w:val="32"/>
          <w:szCs w:val="32"/>
          <w:rtl/>
        </w:rPr>
        <w:t xml:space="preserve">أن النبي </w:t>
      </w:r>
      <w:r w:rsidRPr="006D452E">
        <w:rPr>
          <w:rFonts w:ascii="Traditional Arabic" w:hAnsi="Traditional Arabic"/>
          <w:sz w:val="32"/>
          <w:szCs w:val="32"/>
        </w:rPr>
        <w:sym w:font="AGA Arabesque" w:char="F072"/>
      </w:r>
      <w:r w:rsidRPr="006D452E">
        <w:rPr>
          <w:rFonts w:ascii="Traditional Arabic" w:hAnsi="Traditional Arabic"/>
          <w:sz w:val="32"/>
          <w:szCs w:val="32"/>
          <w:rtl/>
        </w:rPr>
        <w:t xml:space="preserve"> قال: «إن الله لا يقبض  العلم انتزاعا ينتزعه من العباد ولكن يقبض العلم بقبض العلماء حتى إذا لم ي</w:t>
      </w:r>
      <w:r>
        <w:rPr>
          <w:rFonts w:ascii="Traditional Arabic" w:hAnsi="Traditional Arabic" w:hint="cs"/>
          <w:sz w:val="32"/>
          <w:szCs w:val="32"/>
          <w:rtl/>
        </w:rPr>
        <w:t>ُ</w:t>
      </w:r>
      <w:r w:rsidRPr="006D452E">
        <w:rPr>
          <w:rFonts w:ascii="Traditional Arabic" w:hAnsi="Traditional Arabic"/>
          <w:sz w:val="32"/>
          <w:szCs w:val="32"/>
          <w:rtl/>
        </w:rPr>
        <w:t>بق</w:t>
      </w:r>
      <w:r>
        <w:rPr>
          <w:rFonts w:ascii="Traditional Arabic" w:hAnsi="Traditional Arabic" w:hint="cs"/>
          <w:sz w:val="32"/>
          <w:szCs w:val="32"/>
          <w:rtl/>
        </w:rPr>
        <w:t>ِ</w:t>
      </w:r>
      <w:r w:rsidRPr="006D452E">
        <w:rPr>
          <w:rFonts w:ascii="Traditional Arabic" w:hAnsi="Traditional Arabic"/>
          <w:sz w:val="32"/>
          <w:szCs w:val="32"/>
          <w:rtl/>
        </w:rPr>
        <w:t xml:space="preserve"> عالما</w:t>
      </w:r>
      <w:r>
        <w:rPr>
          <w:rFonts w:ascii="Traditional Arabic" w:hAnsi="Traditional Arabic" w:hint="cs"/>
          <w:sz w:val="32"/>
          <w:szCs w:val="32"/>
          <w:rtl/>
        </w:rPr>
        <w:t>ً</w:t>
      </w:r>
      <w:r w:rsidRPr="006D452E">
        <w:rPr>
          <w:rFonts w:ascii="Traditional Arabic" w:hAnsi="Traditional Arabic"/>
          <w:sz w:val="32"/>
          <w:szCs w:val="32"/>
          <w:rtl/>
        </w:rPr>
        <w:t xml:space="preserve"> اتخذ الناس رؤوسا جهّالا، فسئلوا فأفتوا بغير علم فضلوا وأضلوا». وهذا لفظ البخاري.</w:t>
      </w:r>
      <w:r w:rsidRPr="006D452E">
        <w:rPr>
          <w:rFonts w:ascii="Traditional Arabic" w:hAnsi="Traditional Arabic"/>
          <w:sz w:val="32"/>
          <w:szCs w:val="32"/>
        </w:rPr>
        <w:t xml:space="preserve"> </w:t>
      </w:r>
    </w:p>
  </w:footnote>
  <w:footnote w:id="635">
    <w:p w:rsidR="003F128F" w:rsidRPr="003544B4" w:rsidRDefault="003F128F" w:rsidP="00FD36F7">
      <w:pPr>
        <w:pStyle w:val="af3"/>
        <w:rPr>
          <w:rFonts w:ascii="Tahoma" w:hAnsi="Tahoma"/>
        </w:rPr>
      </w:pPr>
      <w:r w:rsidRPr="006D452E">
        <w:rPr>
          <w:rFonts w:ascii="Traditional Arabic" w:hAnsi="Traditional Arabic"/>
          <w:sz w:val="32"/>
          <w:szCs w:val="32"/>
          <w:rtl/>
        </w:rPr>
        <w:t>(</w:t>
      </w:r>
      <w:r w:rsidRPr="006D452E">
        <w:rPr>
          <w:rStyle w:val="ae"/>
          <w:rFonts w:ascii="Traditional Arabic" w:hAnsi="Traditional Arabic"/>
          <w:sz w:val="32"/>
          <w:szCs w:val="32"/>
          <w:vertAlign w:val="baseline"/>
        </w:rPr>
        <w:footnoteRef/>
      </w:r>
      <w:r w:rsidRPr="006D452E">
        <w:rPr>
          <w:rFonts w:ascii="Traditional Arabic" w:hAnsi="Traditional Arabic"/>
          <w:sz w:val="32"/>
          <w:szCs w:val="32"/>
          <w:rtl/>
        </w:rPr>
        <w:t>) ورد في هذا المعنى خبر</w:t>
      </w:r>
      <w:r>
        <w:rPr>
          <w:rFonts w:ascii="Traditional Arabic" w:hAnsi="Traditional Arabic" w:hint="cs"/>
          <w:sz w:val="32"/>
          <w:szCs w:val="32"/>
          <w:rtl/>
        </w:rPr>
        <w:t>ٌ</w:t>
      </w:r>
      <w:r w:rsidRPr="006D452E">
        <w:rPr>
          <w:rFonts w:ascii="Traditional Arabic" w:hAnsi="Traditional Arabic"/>
          <w:sz w:val="32"/>
          <w:szCs w:val="32"/>
          <w:rtl/>
        </w:rPr>
        <w:t xml:space="preserve"> مرفوع</w:t>
      </w:r>
      <w:r>
        <w:rPr>
          <w:rFonts w:ascii="Traditional Arabic" w:hAnsi="Traditional Arabic" w:hint="cs"/>
          <w:sz w:val="32"/>
          <w:szCs w:val="32"/>
          <w:rtl/>
        </w:rPr>
        <w:t>ٌ</w:t>
      </w:r>
      <w:r w:rsidRPr="006D452E">
        <w:rPr>
          <w:rFonts w:ascii="Traditional Arabic" w:hAnsi="Traditional Arabic"/>
          <w:sz w:val="32"/>
          <w:szCs w:val="32"/>
          <w:rtl/>
        </w:rPr>
        <w:t xml:space="preserve"> أخرجه ابن ماجة (كتاب الفتن, باب</w:t>
      </w:r>
      <w:r>
        <w:rPr>
          <w:rFonts w:ascii="Traditional Arabic" w:hAnsi="Traditional Arabic" w:hint="cs"/>
          <w:sz w:val="32"/>
          <w:szCs w:val="32"/>
          <w:rtl/>
        </w:rPr>
        <w:t>:</w:t>
      </w:r>
      <w:r w:rsidRPr="006D452E">
        <w:rPr>
          <w:rFonts w:ascii="Traditional Arabic" w:hAnsi="Traditional Arabic"/>
          <w:sz w:val="32"/>
          <w:szCs w:val="32"/>
          <w:rtl/>
        </w:rPr>
        <w:t xml:space="preserve"> ذهاب القرآن والعلم, 4/384 ح4049), والحاكم في المستدرك (4/520 ح8460, 8636) والبيهقي في شعب الإيمان (3/399 ح1870) من حديث حذيفة </w:t>
      </w:r>
      <w:r w:rsidRPr="006D452E">
        <w:rPr>
          <w:rFonts w:ascii="Traditional Arabic" w:hAnsi="Traditional Arabic"/>
          <w:sz w:val="32"/>
          <w:szCs w:val="32"/>
        </w:rPr>
        <w:sym w:font="AGA Arabesque" w:char="F074"/>
      </w:r>
      <w:r w:rsidRPr="006D452E">
        <w:rPr>
          <w:rFonts w:ascii="Traditional Arabic" w:hAnsi="Traditional Arabic"/>
          <w:sz w:val="32"/>
          <w:szCs w:val="32"/>
          <w:rtl/>
        </w:rPr>
        <w:t xml:space="preserve"> قال: قال رسول الله </w:t>
      </w:r>
      <w:r w:rsidRPr="006D452E">
        <w:rPr>
          <w:rFonts w:ascii="Traditional Arabic" w:hAnsi="Traditional Arabic"/>
          <w:sz w:val="32"/>
          <w:szCs w:val="32"/>
        </w:rPr>
        <w:sym w:font="AGA Arabesque" w:char="F072"/>
      </w:r>
      <w:r w:rsidRPr="006D452E">
        <w:rPr>
          <w:rFonts w:ascii="Traditional Arabic" w:hAnsi="Traditional Arabic"/>
          <w:sz w:val="32"/>
          <w:szCs w:val="32"/>
          <w:rtl/>
        </w:rPr>
        <w:t>: «يدرس الإسلام كما يدرس وشي الثوب, حتى لا يُدْرَى ما  صيامٌ ولا صلاةٌ ولا  نسكٌ ولا صدقةٌ, ولَيُسْرَى على كتاب الله عز وجل في ليلة فلا يبقى في الأرض منه آيةٌ, وتبقى طوائف من الناس الشيخ الكبير والعجوز, يقولون: أَدْرَكْنَا آباءنا على هذه الكلمة: لا إله إلا</w:t>
      </w:r>
      <w:r>
        <w:rPr>
          <w:rFonts w:ascii="Traditional Arabic" w:hAnsi="Traditional Arabic"/>
          <w:sz w:val="32"/>
          <w:szCs w:val="32"/>
          <w:rtl/>
        </w:rPr>
        <w:t xml:space="preserve"> الله, فنحن نقولها» فقال له صلة</w:t>
      </w:r>
      <w:r>
        <w:rPr>
          <w:rFonts w:ascii="Traditional Arabic" w:hAnsi="Traditional Arabic" w:hint="cs"/>
          <w:sz w:val="32"/>
          <w:szCs w:val="32"/>
          <w:rtl/>
        </w:rPr>
        <w:t xml:space="preserve"> </w:t>
      </w:r>
      <w:r w:rsidRPr="006D452E">
        <w:rPr>
          <w:rFonts w:ascii="Traditional Arabic" w:hAnsi="Traditional Arabic"/>
          <w:sz w:val="32"/>
          <w:szCs w:val="32"/>
          <w:rtl/>
        </w:rPr>
        <w:t>بن زفر</w:t>
      </w:r>
      <w:r>
        <w:rPr>
          <w:rFonts w:ascii="Traditional Arabic" w:hAnsi="Traditional Arabic" w:hint="cs"/>
          <w:sz w:val="32"/>
          <w:szCs w:val="32"/>
          <w:rtl/>
        </w:rPr>
        <w:t xml:space="preserve"> -</w:t>
      </w:r>
      <w:r w:rsidRPr="006D452E">
        <w:rPr>
          <w:rFonts w:ascii="Traditional Arabic" w:hAnsi="Traditional Arabic"/>
          <w:sz w:val="32"/>
          <w:szCs w:val="32"/>
          <w:rtl/>
        </w:rPr>
        <w:t xml:space="preserve">أحد رواة هذا الحديث-: ما تغني عنهم لا إله إلا الله, وهم لا يدرون ما صلاةٌ ولا صيامٌ ولا نُسُكٌ ولا صدقةٌ؟ فأعرض عنه حذيفة، ثم ردّدها ثلاثا، كل ذلك يعرض عنه حذيفة, ثم أقبل عليه في الثالثة, فقال: يا صلة! تُنْجِيهِم من النار. ثلاثا. وهذا لفظ ابن ماجة. قال الحاكم: هذا حديث صحيح على شرط مسلم، ولم يخرجاه. وسكت عنه الذهبي في الرواية الأولى، ووافقه في الرواية الثانية, وصححه الألباني </w:t>
      </w:r>
      <w:r>
        <w:rPr>
          <w:rFonts w:ascii="Traditional Arabic" w:hAnsi="Traditional Arabic" w:hint="cs"/>
          <w:sz w:val="32"/>
          <w:szCs w:val="32"/>
          <w:rtl/>
        </w:rPr>
        <w:t xml:space="preserve">كما </w:t>
      </w:r>
      <w:r w:rsidRPr="006D452E">
        <w:rPr>
          <w:rFonts w:ascii="Traditional Arabic" w:hAnsi="Traditional Arabic"/>
          <w:sz w:val="32"/>
          <w:szCs w:val="32"/>
          <w:rtl/>
        </w:rPr>
        <w:t>في صحيح ابن ماجه (</w:t>
      </w:r>
      <w:r>
        <w:rPr>
          <w:rFonts w:ascii="Traditional Arabic" w:hAnsi="Traditional Arabic" w:hint="cs"/>
          <w:sz w:val="32"/>
          <w:szCs w:val="32"/>
          <w:rtl/>
        </w:rPr>
        <w:t>2/378</w:t>
      </w:r>
      <w:r w:rsidRPr="006D452E">
        <w:rPr>
          <w:rFonts w:ascii="Traditional Arabic" w:hAnsi="Traditional Arabic"/>
          <w:sz w:val="32"/>
          <w:szCs w:val="32"/>
          <w:rtl/>
        </w:rPr>
        <w:t xml:space="preserve"> ح4049).</w:t>
      </w:r>
      <w:r>
        <w:rPr>
          <w:rFonts w:ascii="Traditional Arabic" w:hAnsi="Traditional Arabic" w:hint="cs"/>
          <w:sz w:val="32"/>
          <w:szCs w:val="32"/>
          <w:rtl/>
        </w:rPr>
        <w:t xml:space="preserve"> </w:t>
      </w:r>
    </w:p>
  </w:footnote>
  <w:footnote w:id="636">
    <w:p w:rsidR="003F128F" w:rsidRPr="006D452E" w:rsidRDefault="003F128F" w:rsidP="00911ED4">
      <w:pPr>
        <w:pStyle w:val="af3"/>
        <w:rPr>
          <w:rFonts w:ascii="Traditional Arabic" w:hAnsi="Traditional Arabic"/>
          <w:sz w:val="32"/>
          <w:szCs w:val="32"/>
        </w:rPr>
      </w:pPr>
      <w:r w:rsidRPr="006D452E">
        <w:rPr>
          <w:rFonts w:ascii="Traditional Arabic" w:hAnsi="Traditional Arabic"/>
          <w:sz w:val="32"/>
          <w:szCs w:val="32"/>
          <w:rtl/>
        </w:rPr>
        <w:t>(</w:t>
      </w:r>
      <w:r w:rsidRPr="006D452E">
        <w:rPr>
          <w:rStyle w:val="ae"/>
          <w:rFonts w:ascii="Traditional Arabic" w:hAnsi="Traditional Arabic"/>
          <w:sz w:val="32"/>
          <w:szCs w:val="32"/>
          <w:vertAlign w:val="baseline"/>
        </w:rPr>
        <w:footnoteRef/>
      </w:r>
      <w:r w:rsidRPr="006D452E">
        <w:rPr>
          <w:rFonts w:ascii="Traditional Arabic" w:hAnsi="Traditional Arabic"/>
          <w:sz w:val="32"/>
          <w:szCs w:val="32"/>
          <w:rtl/>
        </w:rPr>
        <w:t>) هو النضر بن الحارث بن علقمة بن ك</w:t>
      </w:r>
      <w:r>
        <w:rPr>
          <w:rFonts w:ascii="Traditional Arabic" w:hAnsi="Traditional Arabic" w:hint="cs"/>
          <w:sz w:val="32"/>
          <w:szCs w:val="32"/>
          <w:rtl/>
        </w:rPr>
        <w:t>َ</w:t>
      </w:r>
      <w:r w:rsidRPr="006D452E">
        <w:rPr>
          <w:rFonts w:ascii="Traditional Arabic" w:hAnsi="Traditional Arabic"/>
          <w:sz w:val="32"/>
          <w:szCs w:val="32"/>
          <w:rtl/>
        </w:rPr>
        <w:t>ل</w:t>
      </w:r>
      <w:r>
        <w:rPr>
          <w:rFonts w:ascii="Traditional Arabic" w:hAnsi="Traditional Arabic" w:hint="cs"/>
          <w:sz w:val="32"/>
          <w:szCs w:val="32"/>
          <w:rtl/>
        </w:rPr>
        <w:t>َ</w:t>
      </w:r>
      <w:r w:rsidRPr="006D452E">
        <w:rPr>
          <w:rFonts w:ascii="Traditional Arabic" w:hAnsi="Traditional Arabic"/>
          <w:sz w:val="32"/>
          <w:szCs w:val="32"/>
          <w:rtl/>
        </w:rPr>
        <w:t>د</w:t>
      </w:r>
      <w:r>
        <w:rPr>
          <w:rFonts w:ascii="Traditional Arabic" w:hAnsi="Traditional Arabic" w:hint="cs"/>
          <w:sz w:val="32"/>
          <w:szCs w:val="32"/>
          <w:rtl/>
        </w:rPr>
        <w:t>َ</w:t>
      </w:r>
      <w:r w:rsidRPr="006D452E">
        <w:rPr>
          <w:rFonts w:ascii="Traditional Arabic" w:hAnsi="Traditional Arabic"/>
          <w:sz w:val="32"/>
          <w:szCs w:val="32"/>
          <w:rtl/>
        </w:rPr>
        <w:t>ة بن عبد مناف، من بني عبد الدار، من قريش, صاحب لواء المشركين ببدر, كان من أشراف قريش، ومن شياطينها, (ت2ه). انظر: الأعلام (8/33).</w:t>
      </w:r>
    </w:p>
  </w:footnote>
  <w:footnote w:id="637">
    <w:p w:rsidR="003F128F" w:rsidRPr="006D452E" w:rsidRDefault="003F128F" w:rsidP="00911ED4">
      <w:pPr>
        <w:pStyle w:val="af3"/>
        <w:rPr>
          <w:rFonts w:ascii="Traditional Arabic" w:hAnsi="Traditional Arabic"/>
          <w:sz w:val="32"/>
          <w:szCs w:val="32"/>
        </w:rPr>
      </w:pPr>
      <w:r w:rsidRPr="006D452E">
        <w:rPr>
          <w:rFonts w:ascii="Traditional Arabic" w:hAnsi="Traditional Arabic"/>
          <w:sz w:val="32"/>
          <w:szCs w:val="32"/>
          <w:rtl/>
        </w:rPr>
        <w:t>(</w:t>
      </w:r>
      <w:r w:rsidRPr="006D452E">
        <w:rPr>
          <w:rStyle w:val="ae"/>
          <w:rFonts w:ascii="Traditional Arabic" w:hAnsi="Traditional Arabic"/>
          <w:sz w:val="32"/>
          <w:szCs w:val="32"/>
          <w:vertAlign w:val="baseline"/>
        </w:rPr>
        <w:footnoteRef/>
      </w:r>
      <w:r w:rsidRPr="006D452E">
        <w:rPr>
          <w:rFonts w:ascii="Traditional Arabic" w:hAnsi="Traditional Arabic"/>
          <w:sz w:val="32"/>
          <w:szCs w:val="32"/>
          <w:rtl/>
        </w:rPr>
        <w:t xml:space="preserve">) انظر: التفسير الوسيط (3/127). </w:t>
      </w:r>
    </w:p>
  </w:footnote>
  <w:footnote w:id="638">
    <w:p w:rsidR="003F128F" w:rsidRPr="006D452E" w:rsidRDefault="003F128F" w:rsidP="00911ED4">
      <w:pPr>
        <w:pStyle w:val="af3"/>
        <w:rPr>
          <w:rFonts w:ascii="Traditional Arabic" w:hAnsi="Traditional Arabic"/>
          <w:sz w:val="32"/>
          <w:szCs w:val="32"/>
        </w:rPr>
      </w:pPr>
      <w:r w:rsidRPr="006D452E">
        <w:rPr>
          <w:rFonts w:ascii="Traditional Arabic" w:hAnsi="Traditional Arabic"/>
          <w:sz w:val="32"/>
          <w:szCs w:val="32"/>
          <w:rtl/>
        </w:rPr>
        <w:t>(</w:t>
      </w:r>
      <w:r w:rsidRPr="006D452E">
        <w:rPr>
          <w:rStyle w:val="ae"/>
          <w:rFonts w:ascii="Traditional Arabic" w:hAnsi="Traditional Arabic"/>
          <w:sz w:val="32"/>
          <w:szCs w:val="32"/>
          <w:vertAlign w:val="baseline"/>
        </w:rPr>
        <w:footnoteRef/>
      </w:r>
      <w:r w:rsidRPr="006D452E">
        <w:rPr>
          <w:rFonts w:ascii="Traditional Arabic" w:hAnsi="Traditional Arabic"/>
          <w:sz w:val="32"/>
          <w:szCs w:val="32"/>
          <w:rtl/>
        </w:rPr>
        <w:t>) انظر: بحر العلوم (2/328), التفسير الوسيط (3/127).</w:t>
      </w:r>
    </w:p>
  </w:footnote>
  <w:footnote w:id="639">
    <w:p w:rsidR="003F128F" w:rsidRPr="006D452E" w:rsidRDefault="003F128F" w:rsidP="00911ED4">
      <w:pPr>
        <w:pStyle w:val="af3"/>
        <w:rPr>
          <w:rFonts w:ascii="Traditional Arabic" w:hAnsi="Traditional Arabic"/>
          <w:sz w:val="32"/>
          <w:szCs w:val="32"/>
        </w:rPr>
      </w:pPr>
      <w:r w:rsidRPr="006D452E">
        <w:rPr>
          <w:rFonts w:ascii="Traditional Arabic" w:hAnsi="Traditional Arabic"/>
          <w:sz w:val="32"/>
          <w:szCs w:val="32"/>
          <w:rtl/>
        </w:rPr>
        <w:t>(</w:t>
      </w:r>
      <w:r w:rsidRPr="006D452E">
        <w:rPr>
          <w:rStyle w:val="ae"/>
          <w:rFonts w:ascii="Traditional Arabic" w:hAnsi="Traditional Arabic"/>
          <w:sz w:val="32"/>
          <w:szCs w:val="32"/>
          <w:vertAlign w:val="baseline"/>
        </w:rPr>
        <w:footnoteRef/>
      </w:r>
      <w:r w:rsidRPr="006D452E">
        <w:rPr>
          <w:rFonts w:ascii="Traditional Arabic" w:hAnsi="Traditional Arabic"/>
          <w:sz w:val="32"/>
          <w:szCs w:val="32"/>
          <w:rtl/>
        </w:rPr>
        <w:t>) سورة الإسراء, الآية</w:t>
      </w:r>
      <w:r>
        <w:rPr>
          <w:rFonts w:ascii="Traditional Arabic" w:hAnsi="Traditional Arabic" w:hint="cs"/>
          <w:sz w:val="32"/>
          <w:szCs w:val="32"/>
          <w:rtl/>
        </w:rPr>
        <w:t>:</w:t>
      </w:r>
      <w:r>
        <w:rPr>
          <w:rFonts w:ascii="Traditional Arabic" w:hAnsi="Traditional Arabic"/>
          <w:sz w:val="32"/>
          <w:szCs w:val="32"/>
          <w:rtl/>
        </w:rPr>
        <w:t xml:space="preserve"> (41)</w:t>
      </w:r>
      <w:r>
        <w:rPr>
          <w:rFonts w:ascii="Traditional Arabic" w:hAnsi="Traditional Arabic" w:hint="cs"/>
          <w:sz w:val="32"/>
          <w:szCs w:val="32"/>
          <w:rtl/>
        </w:rPr>
        <w:t>.</w:t>
      </w:r>
      <w:r w:rsidRPr="006D452E">
        <w:rPr>
          <w:rFonts w:ascii="Traditional Arabic" w:hAnsi="Traditional Arabic"/>
          <w:sz w:val="32"/>
          <w:szCs w:val="32"/>
          <w:rtl/>
        </w:rPr>
        <w:t xml:space="preserve"> انظر: زاد المسير  (5/37-83).  </w:t>
      </w:r>
    </w:p>
  </w:footnote>
  <w:footnote w:id="640">
    <w:p w:rsidR="003F128F" w:rsidRPr="006D452E" w:rsidRDefault="003F128F" w:rsidP="00911ED4">
      <w:pPr>
        <w:pStyle w:val="af3"/>
        <w:rPr>
          <w:rFonts w:ascii="Traditional Arabic" w:hAnsi="Traditional Arabic"/>
          <w:sz w:val="32"/>
          <w:szCs w:val="32"/>
        </w:rPr>
      </w:pPr>
      <w:r w:rsidRPr="006D452E">
        <w:rPr>
          <w:rFonts w:ascii="Traditional Arabic" w:hAnsi="Traditional Arabic"/>
          <w:sz w:val="32"/>
          <w:szCs w:val="32"/>
          <w:rtl/>
        </w:rPr>
        <w:t>(</w:t>
      </w:r>
      <w:r w:rsidRPr="006D452E">
        <w:rPr>
          <w:rStyle w:val="ae"/>
          <w:rFonts w:ascii="Traditional Arabic" w:hAnsi="Traditional Arabic"/>
          <w:sz w:val="32"/>
          <w:szCs w:val="32"/>
          <w:vertAlign w:val="baseline"/>
        </w:rPr>
        <w:footnoteRef/>
      </w:r>
      <w:r w:rsidRPr="006D452E">
        <w:rPr>
          <w:rFonts w:ascii="Traditional Arabic" w:hAnsi="Traditional Arabic"/>
          <w:sz w:val="32"/>
          <w:szCs w:val="32"/>
          <w:rtl/>
        </w:rPr>
        <w:t xml:space="preserve">) انظر: بحر العلوم (2/328), التفسير الوسيط (3/127).  </w:t>
      </w:r>
    </w:p>
  </w:footnote>
  <w:footnote w:id="641">
    <w:p w:rsidR="003F128F" w:rsidRPr="006D452E" w:rsidRDefault="003F128F" w:rsidP="00911ED4">
      <w:pPr>
        <w:pStyle w:val="af3"/>
        <w:rPr>
          <w:rFonts w:ascii="Traditional Arabic" w:hAnsi="Traditional Arabic"/>
          <w:sz w:val="32"/>
          <w:szCs w:val="32"/>
        </w:rPr>
      </w:pPr>
      <w:r w:rsidRPr="006D452E">
        <w:rPr>
          <w:rFonts w:ascii="Traditional Arabic" w:hAnsi="Traditional Arabic"/>
          <w:sz w:val="32"/>
          <w:szCs w:val="32"/>
          <w:rtl/>
        </w:rPr>
        <w:t>(</w:t>
      </w:r>
      <w:r w:rsidRPr="006D452E">
        <w:rPr>
          <w:rStyle w:val="ae"/>
          <w:rFonts w:ascii="Traditional Arabic" w:hAnsi="Traditional Arabic"/>
          <w:sz w:val="32"/>
          <w:szCs w:val="32"/>
          <w:vertAlign w:val="baseline"/>
        </w:rPr>
        <w:footnoteRef/>
      </w:r>
      <w:r w:rsidRPr="006D452E">
        <w:rPr>
          <w:rFonts w:ascii="Traditional Arabic" w:hAnsi="Traditional Arabic"/>
          <w:sz w:val="32"/>
          <w:szCs w:val="32"/>
          <w:rtl/>
        </w:rPr>
        <w:t>) هو أبو الوليد</w:t>
      </w:r>
      <w:r>
        <w:rPr>
          <w:rFonts w:ascii="Traditional Arabic" w:hAnsi="Traditional Arabic" w:hint="cs"/>
          <w:sz w:val="32"/>
          <w:szCs w:val="32"/>
          <w:rtl/>
        </w:rPr>
        <w:t>,</w:t>
      </w:r>
      <w:r w:rsidRPr="006D452E">
        <w:rPr>
          <w:rFonts w:ascii="Traditional Arabic" w:hAnsi="Traditional Arabic"/>
          <w:sz w:val="32"/>
          <w:szCs w:val="32"/>
          <w:rtl/>
        </w:rPr>
        <w:t xml:space="preserve"> عتبة بن ربيعة بن عبد شمس، كبير قريش وأحد ساداتها وزعمائها في الجاهلية, قتل يوم بدر مشركاً. (ت2ه). انظر: نسب قريش للزبيري (ص/152), الأعلام (4/200).</w:t>
      </w:r>
    </w:p>
  </w:footnote>
  <w:footnote w:id="642">
    <w:p w:rsidR="003F128F" w:rsidRPr="00C90FF3" w:rsidRDefault="003F128F" w:rsidP="00911ED4">
      <w:pPr>
        <w:pStyle w:val="af3"/>
        <w:rPr>
          <w:rFonts w:ascii="Tahoma" w:hAnsi="Tahoma"/>
        </w:rPr>
      </w:pPr>
      <w:r w:rsidRPr="006D452E">
        <w:rPr>
          <w:rFonts w:ascii="Traditional Arabic" w:hAnsi="Traditional Arabic"/>
          <w:sz w:val="32"/>
          <w:szCs w:val="32"/>
          <w:rtl/>
        </w:rPr>
        <w:t>(</w:t>
      </w:r>
      <w:r w:rsidRPr="006D452E">
        <w:rPr>
          <w:rStyle w:val="ae"/>
          <w:rFonts w:ascii="Traditional Arabic" w:hAnsi="Traditional Arabic"/>
          <w:sz w:val="32"/>
          <w:szCs w:val="32"/>
          <w:vertAlign w:val="baseline"/>
        </w:rPr>
        <w:footnoteRef/>
      </w:r>
      <w:r w:rsidRPr="006D452E">
        <w:rPr>
          <w:rFonts w:ascii="Traditional Arabic" w:hAnsi="Traditional Arabic"/>
          <w:sz w:val="32"/>
          <w:szCs w:val="32"/>
          <w:rtl/>
        </w:rPr>
        <w:t>) هو أبو هاشم</w:t>
      </w:r>
      <w:r>
        <w:rPr>
          <w:rFonts w:ascii="Traditional Arabic" w:hAnsi="Traditional Arabic" w:hint="cs"/>
          <w:sz w:val="32"/>
          <w:szCs w:val="32"/>
          <w:rtl/>
        </w:rPr>
        <w:t>,</w:t>
      </w:r>
      <w:r w:rsidRPr="006D452E">
        <w:rPr>
          <w:rFonts w:ascii="Traditional Arabic" w:hAnsi="Traditional Arabic"/>
          <w:sz w:val="32"/>
          <w:szCs w:val="32"/>
          <w:rtl/>
        </w:rPr>
        <w:t xml:space="preserve"> شيبة بن ربيعة بن عبد شمس, من زعماء قريش في الجاهلية, أدرك الإسلام، وقتل على الوثنية يوم بدر, (ت2ه). انظر: أنساب الأشراف للبلاذري (1/152), الأعلام (3/181).</w:t>
      </w:r>
    </w:p>
  </w:footnote>
  <w:footnote w:id="643">
    <w:p w:rsidR="003F128F" w:rsidRPr="003620FF" w:rsidRDefault="003F128F" w:rsidP="006148E5">
      <w:pPr>
        <w:pStyle w:val="af3"/>
        <w:rPr>
          <w:rFonts w:ascii="Traditional Arabic" w:hAnsi="Traditional Arabic"/>
          <w:sz w:val="32"/>
          <w:szCs w:val="32"/>
        </w:rPr>
      </w:pPr>
      <w:r w:rsidRPr="003620FF">
        <w:rPr>
          <w:rFonts w:ascii="Traditional Arabic" w:hAnsi="Traditional Arabic"/>
          <w:sz w:val="32"/>
          <w:szCs w:val="32"/>
          <w:rtl/>
        </w:rPr>
        <w:t>(</w:t>
      </w:r>
      <w:r w:rsidRPr="003620FF">
        <w:rPr>
          <w:rStyle w:val="ae"/>
          <w:rFonts w:ascii="Traditional Arabic" w:hAnsi="Traditional Arabic"/>
          <w:sz w:val="32"/>
          <w:szCs w:val="32"/>
          <w:vertAlign w:val="baseline"/>
        </w:rPr>
        <w:footnoteRef/>
      </w:r>
      <w:r w:rsidRPr="003620FF">
        <w:rPr>
          <w:rFonts w:ascii="Traditional Arabic" w:hAnsi="Traditional Arabic"/>
          <w:sz w:val="32"/>
          <w:szCs w:val="32"/>
          <w:rtl/>
        </w:rPr>
        <w:t xml:space="preserve">) هو صاحب رسول الله </w:t>
      </w:r>
      <w:r w:rsidRPr="008A10C8">
        <w:rPr>
          <w:rFonts w:ascii="Traditional Arabic" w:hAnsi="Traditional Arabic"/>
          <w:sz w:val="32"/>
          <w:szCs w:val="32"/>
        </w:rPr>
        <w:sym w:font="AGA Arabesque" w:char="F072"/>
      </w:r>
      <w:r>
        <w:rPr>
          <w:rFonts w:ascii="Traditional Arabic" w:hAnsi="Traditional Arabic" w:hint="cs"/>
          <w:sz w:val="32"/>
          <w:szCs w:val="32"/>
          <w:rtl/>
        </w:rPr>
        <w:t>,</w:t>
      </w:r>
      <w:r w:rsidRPr="003620FF">
        <w:rPr>
          <w:rFonts w:ascii="Traditional Arabic" w:hAnsi="Traditional Arabic"/>
          <w:sz w:val="32"/>
          <w:szCs w:val="32"/>
          <w:rtl/>
        </w:rPr>
        <w:t xml:space="preserve"> </w:t>
      </w:r>
      <w:r>
        <w:rPr>
          <w:rFonts w:ascii="Traditional Arabic" w:hAnsi="Traditional Arabic"/>
          <w:sz w:val="32"/>
          <w:szCs w:val="32"/>
          <w:rtl/>
        </w:rPr>
        <w:t>عبد اللَّه بن</w:t>
      </w:r>
      <w:r w:rsidRPr="003620FF">
        <w:rPr>
          <w:rFonts w:ascii="Traditional Arabic" w:hAnsi="Traditional Arabic"/>
          <w:sz w:val="32"/>
          <w:szCs w:val="32"/>
          <w:rtl/>
        </w:rPr>
        <w:t xml:space="preserve"> أ</w:t>
      </w:r>
      <w:r>
        <w:rPr>
          <w:rFonts w:ascii="Traditional Arabic" w:hAnsi="Traditional Arabic"/>
          <w:sz w:val="32"/>
          <w:szCs w:val="32"/>
          <w:rtl/>
        </w:rPr>
        <w:t>بي أمية بن المغيرة</w:t>
      </w:r>
      <w:r w:rsidRPr="003620FF">
        <w:rPr>
          <w:rFonts w:ascii="Traditional Arabic" w:hAnsi="Traditional Arabic"/>
          <w:sz w:val="32"/>
          <w:szCs w:val="32"/>
          <w:rtl/>
        </w:rPr>
        <w:t xml:space="preserve"> ب</w:t>
      </w:r>
      <w:r>
        <w:rPr>
          <w:rFonts w:ascii="Traditional Arabic" w:hAnsi="Traditional Arabic"/>
          <w:sz w:val="32"/>
          <w:szCs w:val="32"/>
          <w:rtl/>
        </w:rPr>
        <w:t>ن عبد اللَّه بن عمر</w:t>
      </w:r>
      <w:r w:rsidRPr="003620FF">
        <w:rPr>
          <w:rFonts w:ascii="Traditional Arabic" w:hAnsi="Traditional Arabic"/>
          <w:sz w:val="32"/>
          <w:szCs w:val="32"/>
          <w:rtl/>
        </w:rPr>
        <w:t xml:space="preserve"> المخزومي, كان شديداً على المسلمين قبل إسلامه, </w:t>
      </w:r>
      <w:r>
        <w:rPr>
          <w:rFonts w:ascii="Traditional Arabic" w:hAnsi="Traditional Arabic" w:hint="cs"/>
          <w:sz w:val="32"/>
          <w:szCs w:val="32"/>
          <w:rtl/>
        </w:rPr>
        <w:t xml:space="preserve">ثم </w:t>
      </w:r>
      <w:r w:rsidRPr="003620FF">
        <w:rPr>
          <w:rFonts w:ascii="Traditional Arabic" w:hAnsi="Traditional Arabic"/>
          <w:sz w:val="32"/>
          <w:szCs w:val="32"/>
          <w:rtl/>
        </w:rPr>
        <w:t>أسلم عام الفتح</w:t>
      </w:r>
      <w:r>
        <w:rPr>
          <w:rFonts w:ascii="Traditional Arabic" w:hAnsi="Traditional Arabic" w:hint="cs"/>
          <w:sz w:val="32"/>
          <w:szCs w:val="32"/>
          <w:rtl/>
        </w:rPr>
        <w:t>, وحسن اسلامه, مات يوم الطائف</w:t>
      </w:r>
      <w:r w:rsidRPr="003620FF">
        <w:rPr>
          <w:rFonts w:ascii="Traditional Arabic" w:hAnsi="Traditional Arabic"/>
          <w:sz w:val="32"/>
          <w:szCs w:val="32"/>
          <w:rtl/>
        </w:rPr>
        <w:t>. انظر:</w:t>
      </w:r>
      <w:r>
        <w:rPr>
          <w:rFonts w:ascii="Traditional Arabic" w:hAnsi="Traditional Arabic" w:hint="cs"/>
          <w:sz w:val="32"/>
          <w:szCs w:val="32"/>
          <w:rtl/>
        </w:rPr>
        <w:t xml:space="preserve"> معجم الصحابة للبغوي (3/533),</w:t>
      </w:r>
      <w:r w:rsidRPr="003620FF">
        <w:rPr>
          <w:rFonts w:ascii="Traditional Arabic" w:hAnsi="Traditional Arabic"/>
          <w:sz w:val="32"/>
          <w:szCs w:val="32"/>
          <w:rtl/>
        </w:rPr>
        <w:t xml:space="preserve"> الاستيعاب (3/86</w:t>
      </w:r>
      <w:r>
        <w:rPr>
          <w:rFonts w:ascii="Traditional Arabic" w:hAnsi="Traditional Arabic" w:hint="cs"/>
          <w:sz w:val="32"/>
          <w:szCs w:val="32"/>
          <w:rtl/>
        </w:rPr>
        <w:t>8</w:t>
      </w:r>
      <w:r w:rsidRPr="003620FF">
        <w:rPr>
          <w:rFonts w:ascii="Traditional Arabic" w:hAnsi="Traditional Arabic"/>
          <w:sz w:val="32"/>
          <w:szCs w:val="32"/>
          <w:rtl/>
        </w:rPr>
        <w:t>).</w:t>
      </w:r>
    </w:p>
  </w:footnote>
  <w:footnote w:id="644">
    <w:p w:rsidR="003F128F" w:rsidRPr="005806A9" w:rsidRDefault="003F128F" w:rsidP="00CE1584">
      <w:pPr>
        <w:pStyle w:val="af3"/>
        <w:rPr>
          <w:rFonts w:ascii="Traditional Arabic" w:hAnsi="Traditional Arabic"/>
          <w:sz w:val="32"/>
          <w:szCs w:val="32"/>
        </w:rPr>
      </w:pPr>
      <w:r w:rsidRPr="005806A9">
        <w:rPr>
          <w:rFonts w:ascii="Traditional Arabic" w:hAnsi="Traditional Arabic"/>
          <w:sz w:val="32"/>
          <w:szCs w:val="32"/>
          <w:rtl/>
        </w:rPr>
        <w:t>(</w:t>
      </w:r>
      <w:r w:rsidRPr="005806A9">
        <w:rPr>
          <w:rStyle w:val="ae"/>
          <w:rFonts w:ascii="Traditional Arabic" w:hAnsi="Traditional Arabic"/>
          <w:sz w:val="32"/>
          <w:szCs w:val="32"/>
          <w:vertAlign w:val="baseline"/>
        </w:rPr>
        <w:footnoteRef/>
      </w:r>
      <w:r w:rsidRPr="005806A9">
        <w:rPr>
          <w:rFonts w:ascii="Traditional Arabic" w:hAnsi="Traditional Arabic"/>
          <w:sz w:val="32"/>
          <w:szCs w:val="32"/>
          <w:rtl/>
        </w:rPr>
        <w:t xml:space="preserve">) في </w:t>
      </w:r>
      <w:r>
        <w:rPr>
          <w:rFonts w:ascii="Traditional Arabic" w:hAnsi="Traditional Arabic" w:hint="cs"/>
          <w:sz w:val="32"/>
          <w:szCs w:val="32"/>
          <w:rtl/>
        </w:rPr>
        <w:t>(ك</w:t>
      </w:r>
      <w:r>
        <w:rPr>
          <w:rFonts w:ascii="Traditional Arabic" w:hAnsi="Traditional Arabic"/>
          <w:sz w:val="32"/>
          <w:szCs w:val="32"/>
          <w:rtl/>
        </w:rPr>
        <w:t xml:space="preserve">): </w:t>
      </w:r>
      <w:r>
        <w:rPr>
          <w:rFonts w:ascii="Traditional Arabic" w:hAnsi="Traditional Arabic" w:hint="cs"/>
          <w:sz w:val="32"/>
          <w:szCs w:val="32"/>
          <w:rtl/>
        </w:rPr>
        <w:t>[</w:t>
      </w:r>
      <w:r>
        <w:rPr>
          <w:rFonts w:ascii="Traditional Arabic" w:hAnsi="Traditional Arabic"/>
          <w:sz w:val="32"/>
          <w:szCs w:val="32"/>
          <w:rtl/>
        </w:rPr>
        <w:t>لتطلب به مالاً</w:t>
      </w:r>
      <w:r>
        <w:rPr>
          <w:rFonts w:ascii="Traditional Arabic" w:hAnsi="Traditional Arabic" w:hint="cs"/>
          <w:sz w:val="32"/>
          <w:szCs w:val="32"/>
          <w:rtl/>
        </w:rPr>
        <w:t>]</w:t>
      </w:r>
      <w:r w:rsidRPr="005806A9">
        <w:rPr>
          <w:rFonts w:ascii="Traditional Arabic" w:hAnsi="Traditional Arabic"/>
          <w:sz w:val="32"/>
          <w:szCs w:val="32"/>
          <w:rtl/>
        </w:rPr>
        <w:t>.</w:t>
      </w:r>
    </w:p>
  </w:footnote>
  <w:footnote w:id="645">
    <w:p w:rsidR="003F128F" w:rsidRPr="005806A9" w:rsidRDefault="003F128F" w:rsidP="00911ED4">
      <w:pPr>
        <w:pStyle w:val="af3"/>
        <w:rPr>
          <w:rFonts w:ascii="Traditional Arabic" w:hAnsi="Traditional Arabic"/>
          <w:sz w:val="32"/>
          <w:szCs w:val="32"/>
        </w:rPr>
      </w:pPr>
      <w:r w:rsidRPr="005806A9">
        <w:rPr>
          <w:rFonts w:ascii="Traditional Arabic" w:hAnsi="Traditional Arabic"/>
          <w:sz w:val="32"/>
          <w:szCs w:val="32"/>
          <w:rtl/>
        </w:rPr>
        <w:t>(</w:t>
      </w:r>
      <w:r w:rsidRPr="005806A9">
        <w:rPr>
          <w:rStyle w:val="ae"/>
          <w:rFonts w:ascii="Traditional Arabic" w:hAnsi="Traditional Arabic"/>
          <w:sz w:val="32"/>
          <w:szCs w:val="32"/>
          <w:vertAlign w:val="baseline"/>
        </w:rPr>
        <w:footnoteRef/>
      </w:r>
      <w:r w:rsidRPr="005806A9">
        <w:rPr>
          <w:rFonts w:ascii="Traditional Arabic" w:hAnsi="Traditional Arabic"/>
          <w:sz w:val="32"/>
          <w:szCs w:val="32"/>
          <w:rtl/>
        </w:rPr>
        <w:t>) سودناك: جعلناك سيدا</w:t>
      </w:r>
      <w:r>
        <w:rPr>
          <w:rFonts w:ascii="Traditional Arabic" w:hAnsi="Traditional Arabic" w:hint="cs"/>
          <w:sz w:val="32"/>
          <w:szCs w:val="32"/>
          <w:rtl/>
        </w:rPr>
        <w:t>ً</w:t>
      </w:r>
      <w:r w:rsidRPr="005806A9">
        <w:rPr>
          <w:rFonts w:ascii="Traditional Arabic" w:hAnsi="Traditional Arabic"/>
          <w:sz w:val="32"/>
          <w:szCs w:val="32"/>
          <w:rtl/>
        </w:rPr>
        <w:t xml:space="preserve"> علينا. انظر: العين (7/282), مادة (سود).</w:t>
      </w:r>
    </w:p>
  </w:footnote>
  <w:footnote w:id="646">
    <w:p w:rsidR="003F128F" w:rsidRPr="005806A9" w:rsidRDefault="003F128F" w:rsidP="00911ED4">
      <w:pPr>
        <w:pStyle w:val="af3"/>
        <w:rPr>
          <w:rFonts w:ascii="Traditional Arabic" w:hAnsi="Traditional Arabic"/>
          <w:sz w:val="32"/>
          <w:szCs w:val="32"/>
        </w:rPr>
      </w:pPr>
      <w:r w:rsidRPr="005806A9">
        <w:rPr>
          <w:rFonts w:ascii="Traditional Arabic" w:hAnsi="Traditional Arabic"/>
          <w:sz w:val="32"/>
          <w:szCs w:val="32"/>
          <w:rtl/>
        </w:rPr>
        <w:t>(</w:t>
      </w:r>
      <w:r w:rsidRPr="005806A9">
        <w:rPr>
          <w:rStyle w:val="ae"/>
          <w:rFonts w:ascii="Traditional Arabic" w:hAnsi="Traditional Arabic"/>
          <w:sz w:val="32"/>
          <w:szCs w:val="32"/>
          <w:vertAlign w:val="baseline"/>
        </w:rPr>
        <w:footnoteRef/>
      </w:r>
      <w:r w:rsidRPr="005806A9">
        <w:rPr>
          <w:rFonts w:ascii="Traditional Arabic" w:hAnsi="Traditional Arabic"/>
          <w:sz w:val="32"/>
          <w:szCs w:val="32"/>
          <w:rtl/>
        </w:rPr>
        <w:t>) الرَّئِيُّ: بفتح الراء وكسر الهمزة, وهو الذي يعتاد بعض الناس من الجنّ. يقال: له رئيٌّ من الجنّ. انظر: الزاهر في معاني كلمات الناس لابن الأنباري (2/194).</w:t>
      </w:r>
    </w:p>
  </w:footnote>
  <w:footnote w:id="647">
    <w:p w:rsidR="003F128F" w:rsidRPr="005806A9" w:rsidRDefault="003F128F" w:rsidP="00911ED4">
      <w:pPr>
        <w:pStyle w:val="af3"/>
        <w:rPr>
          <w:rFonts w:ascii="Traditional Arabic" w:hAnsi="Traditional Arabic"/>
          <w:sz w:val="32"/>
          <w:szCs w:val="32"/>
        </w:rPr>
      </w:pPr>
      <w:r w:rsidRPr="005806A9">
        <w:rPr>
          <w:rFonts w:ascii="Traditional Arabic" w:hAnsi="Traditional Arabic"/>
          <w:sz w:val="32"/>
          <w:szCs w:val="32"/>
          <w:rtl/>
        </w:rPr>
        <w:t>(</w:t>
      </w:r>
      <w:r w:rsidRPr="005806A9">
        <w:rPr>
          <w:rStyle w:val="ae"/>
          <w:rFonts w:ascii="Traditional Arabic" w:hAnsi="Traditional Arabic"/>
          <w:sz w:val="32"/>
          <w:szCs w:val="32"/>
          <w:vertAlign w:val="baseline"/>
        </w:rPr>
        <w:footnoteRef/>
      </w:r>
      <w:r>
        <w:rPr>
          <w:rFonts w:ascii="Traditional Arabic" w:hAnsi="Traditional Arabic"/>
          <w:sz w:val="32"/>
          <w:szCs w:val="32"/>
          <w:rtl/>
        </w:rPr>
        <w:t>) في (</w:t>
      </w:r>
      <w:r>
        <w:rPr>
          <w:rFonts w:ascii="Traditional Arabic" w:hAnsi="Traditional Arabic" w:hint="cs"/>
          <w:sz w:val="32"/>
          <w:szCs w:val="32"/>
          <w:rtl/>
        </w:rPr>
        <w:t>ك</w:t>
      </w:r>
      <w:r>
        <w:rPr>
          <w:rFonts w:ascii="Traditional Arabic" w:hAnsi="Traditional Arabic"/>
          <w:sz w:val="32"/>
          <w:szCs w:val="32"/>
          <w:rtl/>
        </w:rPr>
        <w:t xml:space="preserve">): </w:t>
      </w:r>
      <w:r>
        <w:rPr>
          <w:rFonts w:ascii="Traditional Arabic" w:hAnsi="Traditional Arabic" w:hint="cs"/>
          <w:sz w:val="32"/>
          <w:szCs w:val="32"/>
          <w:rtl/>
        </w:rPr>
        <w:t>[</w:t>
      </w:r>
      <w:r>
        <w:rPr>
          <w:rFonts w:ascii="Traditional Arabic" w:hAnsi="Traditional Arabic"/>
          <w:sz w:val="32"/>
          <w:szCs w:val="32"/>
          <w:rtl/>
        </w:rPr>
        <w:t>ليس أحد من الناس</w:t>
      </w:r>
      <w:r>
        <w:rPr>
          <w:rFonts w:ascii="Traditional Arabic" w:hAnsi="Traditional Arabic" w:hint="cs"/>
          <w:sz w:val="32"/>
          <w:szCs w:val="32"/>
          <w:rtl/>
        </w:rPr>
        <w:t>]</w:t>
      </w:r>
      <w:r w:rsidRPr="005806A9">
        <w:rPr>
          <w:rFonts w:ascii="Traditional Arabic" w:hAnsi="Traditional Arabic"/>
          <w:sz w:val="32"/>
          <w:szCs w:val="32"/>
          <w:rtl/>
        </w:rPr>
        <w:t>.</w:t>
      </w:r>
    </w:p>
  </w:footnote>
  <w:footnote w:id="648">
    <w:p w:rsidR="003F128F" w:rsidRPr="005806A9" w:rsidRDefault="003F128F" w:rsidP="00911ED4">
      <w:pPr>
        <w:pStyle w:val="af3"/>
        <w:rPr>
          <w:rFonts w:ascii="Traditional Arabic" w:hAnsi="Traditional Arabic"/>
          <w:sz w:val="32"/>
          <w:szCs w:val="32"/>
        </w:rPr>
      </w:pPr>
      <w:r w:rsidRPr="005806A9">
        <w:rPr>
          <w:rFonts w:ascii="Traditional Arabic" w:hAnsi="Traditional Arabic"/>
          <w:sz w:val="32"/>
          <w:szCs w:val="32"/>
          <w:rtl/>
        </w:rPr>
        <w:t>(</w:t>
      </w:r>
      <w:r w:rsidRPr="005806A9">
        <w:rPr>
          <w:rStyle w:val="ae"/>
          <w:rFonts w:ascii="Traditional Arabic" w:hAnsi="Traditional Arabic"/>
          <w:sz w:val="32"/>
          <w:szCs w:val="32"/>
          <w:vertAlign w:val="baseline"/>
        </w:rPr>
        <w:footnoteRef/>
      </w:r>
      <w:r w:rsidRPr="005806A9">
        <w:rPr>
          <w:rFonts w:ascii="Traditional Arabic" w:hAnsi="Traditional Arabic"/>
          <w:sz w:val="32"/>
          <w:szCs w:val="32"/>
          <w:rtl/>
        </w:rPr>
        <w:t>) هو أبو المغيرة</w:t>
      </w:r>
      <w:r>
        <w:rPr>
          <w:rFonts w:ascii="Traditional Arabic" w:hAnsi="Traditional Arabic" w:hint="cs"/>
          <w:sz w:val="32"/>
          <w:szCs w:val="32"/>
          <w:rtl/>
        </w:rPr>
        <w:t>,</w:t>
      </w:r>
      <w:r w:rsidRPr="005806A9">
        <w:rPr>
          <w:rFonts w:ascii="Traditional Arabic" w:hAnsi="Traditional Arabic"/>
          <w:sz w:val="32"/>
          <w:szCs w:val="32"/>
          <w:rtl/>
        </w:rPr>
        <w:t xml:space="preserve"> قصي – واسمه زيد- بن كلاب بن مرة بن كعب,</w:t>
      </w:r>
      <w:r w:rsidRPr="005806A9">
        <w:rPr>
          <w:rFonts w:ascii="Traditional Arabic" w:hAnsi="Traditional Arabic"/>
          <w:sz w:val="32"/>
          <w:szCs w:val="32"/>
          <w:rtl/>
          <w:lang w:eastAsia="en-US"/>
        </w:rPr>
        <w:t xml:space="preserve"> </w:t>
      </w:r>
      <w:r w:rsidRPr="005806A9">
        <w:rPr>
          <w:rFonts w:ascii="Traditional Arabic" w:hAnsi="Traditional Arabic"/>
          <w:sz w:val="32"/>
          <w:szCs w:val="32"/>
          <w:rtl/>
        </w:rPr>
        <w:t>سيد قريش في عصره، ورئيسهم,</w:t>
      </w:r>
      <w:r w:rsidRPr="005806A9">
        <w:rPr>
          <w:rFonts w:ascii="Traditional Arabic" w:hAnsi="Traditional Arabic"/>
          <w:sz w:val="32"/>
          <w:szCs w:val="32"/>
          <w:rtl/>
          <w:lang w:eastAsia="en-US"/>
        </w:rPr>
        <w:t xml:space="preserve"> </w:t>
      </w:r>
      <w:r w:rsidRPr="005806A9">
        <w:rPr>
          <w:rFonts w:ascii="Traditional Arabic" w:hAnsi="Traditional Arabic"/>
          <w:sz w:val="32"/>
          <w:szCs w:val="32"/>
          <w:rtl/>
        </w:rPr>
        <w:t xml:space="preserve">وهو الأب الخامس في سلسلة نسب النبي </w:t>
      </w:r>
      <w:r w:rsidRPr="005806A9">
        <w:rPr>
          <w:rFonts w:ascii="Traditional Arabic" w:hAnsi="Traditional Arabic"/>
          <w:sz w:val="32"/>
          <w:szCs w:val="32"/>
        </w:rPr>
        <w:sym w:font="AGA Arabesque" w:char="F072"/>
      </w:r>
      <w:r w:rsidRPr="005806A9">
        <w:rPr>
          <w:rFonts w:ascii="Traditional Arabic" w:hAnsi="Traditional Arabic"/>
          <w:sz w:val="32"/>
          <w:szCs w:val="32"/>
          <w:rtl/>
        </w:rPr>
        <w:t>,كان يدعى مُجمِّعاً لأنه جمع قبائل قريش إلى الحرم، وكانوا متفرقين في كنانة, لم أقف على سنة وفاته. انظر: الجوهرة في نسب النبي وأصحابه العشرة للبُرِّي (1/56), الأعلام (5/198).</w:t>
      </w:r>
    </w:p>
  </w:footnote>
  <w:footnote w:id="649">
    <w:p w:rsidR="003F128F" w:rsidRPr="005806A9" w:rsidRDefault="003F128F" w:rsidP="00C47E59">
      <w:pPr>
        <w:pStyle w:val="af3"/>
        <w:rPr>
          <w:rFonts w:ascii="Traditional Arabic" w:hAnsi="Traditional Arabic"/>
          <w:sz w:val="32"/>
          <w:szCs w:val="32"/>
        </w:rPr>
      </w:pPr>
      <w:r w:rsidRPr="005806A9">
        <w:rPr>
          <w:rFonts w:ascii="Traditional Arabic" w:hAnsi="Traditional Arabic"/>
          <w:sz w:val="32"/>
          <w:szCs w:val="32"/>
          <w:rtl/>
        </w:rPr>
        <w:t>(</w:t>
      </w:r>
      <w:r w:rsidRPr="005806A9">
        <w:rPr>
          <w:rStyle w:val="ae"/>
          <w:rFonts w:ascii="Traditional Arabic" w:hAnsi="Traditional Arabic"/>
          <w:sz w:val="32"/>
          <w:szCs w:val="32"/>
          <w:vertAlign w:val="baseline"/>
        </w:rPr>
        <w:footnoteRef/>
      </w:r>
      <w:r>
        <w:rPr>
          <w:rFonts w:ascii="Traditional Arabic" w:hAnsi="Traditional Arabic"/>
          <w:sz w:val="32"/>
          <w:szCs w:val="32"/>
          <w:rtl/>
        </w:rPr>
        <w:t xml:space="preserve">) في </w:t>
      </w:r>
      <w:r>
        <w:rPr>
          <w:rFonts w:ascii="Traditional Arabic" w:hAnsi="Traditional Arabic" w:hint="cs"/>
          <w:sz w:val="32"/>
          <w:szCs w:val="32"/>
          <w:rtl/>
        </w:rPr>
        <w:t>الأصل:</w:t>
      </w:r>
      <w:r>
        <w:rPr>
          <w:rFonts w:ascii="Traditional Arabic" w:hAnsi="Traditional Arabic"/>
          <w:sz w:val="32"/>
          <w:szCs w:val="32"/>
          <w:rtl/>
        </w:rPr>
        <w:t xml:space="preserve"> </w:t>
      </w:r>
      <w:r>
        <w:rPr>
          <w:rFonts w:ascii="Traditional Arabic" w:hAnsi="Traditional Arabic" w:hint="cs"/>
          <w:sz w:val="32"/>
          <w:szCs w:val="32"/>
          <w:rtl/>
        </w:rPr>
        <w:t>[</w:t>
      </w:r>
      <w:r>
        <w:rPr>
          <w:rFonts w:ascii="Traditional Arabic" w:hAnsi="Traditional Arabic"/>
          <w:sz w:val="32"/>
          <w:szCs w:val="32"/>
          <w:rtl/>
        </w:rPr>
        <w:t>ما أنا الذي أسأل ربي هذا</w:t>
      </w:r>
      <w:r>
        <w:rPr>
          <w:rFonts w:ascii="Traditional Arabic" w:hAnsi="Traditional Arabic" w:hint="cs"/>
          <w:sz w:val="32"/>
          <w:szCs w:val="32"/>
          <w:rtl/>
        </w:rPr>
        <w:t>], والمثبت من (ك) وهو موافق لما في تفسير الطبري</w:t>
      </w:r>
      <w:r w:rsidRPr="005806A9">
        <w:rPr>
          <w:rFonts w:ascii="Traditional Arabic" w:hAnsi="Traditional Arabic"/>
          <w:sz w:val="32"/>
          <w:szCs w:val="32"/>
          <w:rtl/>
        </w:rPr>
        <w:t xml:space="preserve">. </w:t>
      </w:r>
    </w:p>
  </w:footnote>
  <w:footnote w:id="650">
    <w:p w:rsidR="003F128F" w:rsidRPr="00FB2786" w:rsidRDefault="003F128F" w:rsidP="00E16232">
      <w:pPr>
        <w:pStyle w:val="af3"/>
        <w:rPr>
          <w:rFonts w:ascii="Traditional Arabic" w:hAnsi="Traditional Arabic"/>
          <w:sz w:val="32"/>
          <w:szCs w:val="32"/>
        </w:rPr>
      </w:pPr>
      <w:r w:rsidRPr="005806A9">
        <w:rPr>
          <w:rFonts w:ascii="Traditional Arabic" w:hAnsi="Traditional Arabic"/>
          <w:sz w:val="32"/>
          <w:szCs w:val="32"/>
          <w:rtl/>
        </w:rPr>
        <w:t>(</w:t>
      </w:r>
      <w:r w:rsidRPr="005806A9">
        <w:rPr>
          <w:rStyle w:val="ae"/>
          <w:rFonts w:ascii="Traditional Arabic" w:hAnsi="Traditional Arabic"/>
          <w:sz w:val="32"/>
          <w:szCs w:val="32"/>
          <w:vertAlign w:val="baseline"/>
        </w:rPr>
        <w:footnoteRef/>
      </w:r>
      <w:r w:rsidRPr="005806A9">
        <w:rPr>
          <w:rFonts w:ascii="Traditional Arabic" w:hAnsi="Traditional Arabic"/>
          <w:sz w:val="32"/>
          <w:szCs w:val="32"/>
          <w:rtl/>
        </w:rPr>
        <w:t>)</w:t>
      </w:r>
      <w:r>
        <w:rPr>
          <w:rFonts w:ascii="Traditional Arabic" w:hAnsi="Traditional Arabic" w:hint="cs"/>
          <w:sz w:val="32"/>
          <w:szCs w:val="32"/>
          <w:rtl/>
        </w:rPr>
        <w:t xml:space="preserve"> </w:t>
      </w:r>
      <w:r w:rsidRPr="005806A9">
        <w:rPr>
          <w:rFonts w:ascii="Traditional Arabic" w:hAnsi="Traditional Arabic"/>
          <w:sz w:val="32"/>
          <w:szCs w:val="32"/>
          <w:rtl/>
        </w:rPr>
        <w:t xml:space="preserve">في </w:t>
      </w:r>
      <w:r>
        <w:rPr>
          <w:rFonts w:ascii="Traditional Arabic" w:hAnsi="Traditional Arabic"/>
          <w:sz w:val="32"/>
          <w:szCs w:val="32"/>
          <w:rtl/>
        </w:rPr>
        <w:t>(</w:t>
      </w:r>
      <w:r>
        <w:rPr>
          <w:rFonts w:ascii="Traditional Arabic" w:hAnsi="Traditional Arabic" w:hint="cs"/>
          <w:sz w:val="32"/>
          <w:szCs w:val="32"/>
          <w:rtl/>
        </w:rPr>
        <w:t>ك</w:t>
      </w:r>
      <w:r w:rsidRPr="005806A9">
        <w:rPr>
          <w:rFonts w:ascii="Traditional Arabic" w:hAnsi="Traditional Arabic"/>
          <w:sz w:val="32"/>
          <w:szCs w:val="32"/>
          <w:rtl/>
        </w:rPr>
        <w:t xml:space="preserve">): </w:t>
      </w:r>
      <w:r>
        <w:rPr>
          <w:rFonts w:ascii="Traditional Arabic" w:hAnsi="Traditional Arabic" w:hint="cs"/>
          <w:sz w:val="32"/>
          <w:szCs w:val="32"/>
          <w:rtl/>
        </w:rPr>
        <w:t>[</w:t>
      </w:r>
      <w:r>
        <w:rPr>
          <w:rFonts w:ascii="Traditional Arabic" w:hAnsi="Traditional Arabic"/>
          <w:sz w:val="32"/>
          <w:szCs w:val="32"/>
          <w:rtl/>
        </w:rPr>
        <w:t>فتسقط علينا السماء كما زعمت</w:t>
      </w:r>
      <w:r w:rsidRPr="00E16232">
        <w:rPr>
          <w:rFonts w:ascii="Traditional Arabic" w:hAnsi="Traditional Arabic"/>
          <w:sz w:val="32"/>
          <w:szCs w:val="32"/>
          <w:rtl/>
        </w:rPr>
        <w:t xml:space="preserve"> </w:t>
      </w:r>
      <w:r w:rsidRPr="005806A9">
        <w:rPr>
          <w:rFonts w:ascii="Traditional Arabic" w:hAnsi="Traditional Arabic"/>
          <w:sz w:val="32"/>
          <w:szCs w:val="32"/>
          <w:rtl/>
        </w:rPr>
        <w:t>أن ربك</w:t>
      </w:r>
      <w:r>
        <w:rPr>
          <w:rFonts w:ascii="Traditional Arabic" w:hAnsi="Traditional Arabic" w:hint="cs"/>
          <w:sz w:val="32"/>
          <w:szCs w:val="32"/>
          <w:rtl/>
        </w:rPr>
        <w:t>]</w:t>
      </w:r>
      <w:r w:rsidRPr="005806A9">
        <w:rPr>
          <w:rFonts w:ascii="Traditional Arabic" w:hAnsi="Traditional Arabic"/>
          <w:sz w:val="32"/>
          <w:szCs w:val="32"/>
          <w:rtl/>
        </w:rPr>
        <w:t xml:space="preserve">.  </w:t>
      </w:r>
    </w:p>
  </w:footnote>
  <w:footnote w:id="651">
    <w:p w:rsidR="003F128F" w:rsidRPr="00FB2786" w:rsidRDefault="003F128F" w:rsidP="006756FA">
      <w:pPr>
        <w:pStyle w:val="af3"/>
        <w:rPr>
          <w:rFonts w:ascii="Traditional Arabic" w:hAnsi="Traditional Arabic"/>
          <w:sz w:val="32"/>
          <w:szCs w:val="32"/>
        </w:rPr>
      </w:pPr>
      <w:r w:rsidRPr="00FB2786">
        <w:rPr>
          <w:rFonts w:ascii="Traditional Arabic" w:hAnsi="Traditional Arabic"/>
          <w:sz w:val="32"/>
          <w:szCs w:val="32"/>
          <w:rtl/>
        </w:rPr>
        <w:t>(</w:t>
      </w:r>
      <w:r w:rsidRPr="00FB2786">
        <w:rPr>
          <w:rStyle w:val="ae"/>
          <w:rFonts w:ascii="Traditional Arabic" w:hAnsi="Traditional Arabic"/>
          <w:sz w:val="32"/>
          <w:szCs w:val="32"/>
          <w:vertAlign w:val="baseline"/>
        </w:rPr>
        <w:footnoteRef/>
      </w:r>
      <w:r>
        <w:rPr>
          <w:rFonts w:ascii="Traditional Arabic" w:hAnsi="Traditional Arabic"/>
          <w:sz w:val="32"/>
          <w:szCs w:val="32"/>
          <w:rtl/>
        </w:rPr>
        <w:t>) ما بين ا</w:t>
      </w:r>
      <w:r>
        <w:rPr>
          <w:rFonts w:ascii="Traditional Arabic" w:hAnsi="Traditional Arabic" w:hint="cs"/>
          <w:sz w:val="32"/>
          <w:szCs w:val="32"/>
          <w:rtl/>
        </w:rPr>
        <w:t>لمعكوفتين</w:t>
      </w:r>
      <w:r>
        <w:rPr>
          <w:rFonts w:ascii="Traditional Arabic" w:hAnsi="Traditional Arabic"/>
          <w:sz w:val="32"/>
          <w:szCs w:val="32"/>
          <w:rtl/>
        </w:rPr>
        <w:t xml:space="preserve"> ساقط من</w:t>
      </w:r>
      <w:r>
        <w:rPr>
          <w:rFonts w:ascii="Traditional Arabic" w:hAnsi="Traditional Arabic" w:hint="cs"/>
          <w:sz w:val="32"/>
          <w:szCs w:val="32"/>
          <w:rtl/>
        </w:rPr>
        <w:t xml:space="preserve"> الأصل, والمثبت من (ك).</w:t>
      </w:r>
    </w:p>
  </w:footnote>
  <w:footnote w:id="652">
    <w:p w:rsidR="003F128F" w:rsidRPr="008D3EE4" w:rsidRDefault="003F128F" w:rsidP="005806A9">
      <w:pPr>
        <w:pStyle w:val="af3"/>
        <w:rPr>
          <w:rFonts w:ascii="Traditional Arabic" w:hAnsi="Traditional Arabic"/>
          <w:sz w:val="32"/>
          <w:szCs w:val="32"/>
        </w:rPr>
      </w:pPr>
      <w:r w:rsidRPr="008D3EE4">
        <w:rPr>
          <w:rFonts w:ascii="Traditional Arabic" w:hAnsi="Traditional Arabic"/>
          <w:sz w:val="32"/>
          <w:szCs w:val="32"/>
          <w:rtl/>
        </w:rPr>
        <w:t>(</w:t>
      </w:r>
      <w:r w:rsidRPr="008D3EE4">
        <w:rPr>
          <w:rStyle w:val="ae"/>
          <w:rFonts w:ascii="Traditional Arabic" w:hAnsi="Traditional Arabic"/>
          <w:sz w:val="32"/>
          <w:szCs w:val="32"/>
          <w:vertAlign w:val="baseline"/>
        </w:rPr>
        <w:footnoteRef/>
      </w:r>
      <w:r w:rsidRPr="008D3EE4">
        <w:rPr>
          <w:rFonts w:ascii="Traditional Arabic" w:hAnsi="Traditional Arabic"/>
          <w:sz w:val="32"/>
          <w:szCs w:val="32"/>
          <w:rtl/>
        </w:rPr>
        <w:t xml:space="preserve">) انظر: تفسير الطبري (17/555), الكشف والبيان (6/133), </w:t>
      </w:r>
      <w:r>
        <w:rPr>
          <w:rFonts w:ascii="Traditional Arabic" w:hAnsi="Traditional Arabic" w:hint="cs"/>
          <w:sz w:val="32"/>
          <w:szCs w:val="32"/>
          <w:rtl/>
        </w:rPr>
        <w:t>معالم التنزيل</w:t>
      </w:r>
      <w:r w:rsidRPr="008D3EE4">
        <w:rPr>
          <w:rFonts w:ascii="Traditional Arabic" w:hAnsi="Traditional Arabic"/>
          <w:sz w:val="32"/>
          <w:szCs w:val="32"/>
          <w:rtl/>
        </w:rPr>
        <w:t xml:space="preserve">  (5/128).</w:t>
      </w:r>
    </w:p>
  </w:footnote>
  <w:footnote w:id="653">
    <w:p w:rsidR="003F128F" w:rsidRPr="008D3EE4" w:rsidRDefault="003F128F" w:rsidP="00E16232">
      <w:pPr>
        <w:pStyle w:val="af3"/>
        <w:rPr>
          <w:rFonts w:ascii="Traditional Arabic" w:hAnsi="Traditional Arabic"/>
          <w:sz w:val="32"/>
          <w:szCs w:val="32"/>
        </w:rPr>
      </w:pPr>
      <w:r w:rsidRPr="008D3EE4">
        <w:rPr>
          <w:rFonts w:ascii="Traditional Arabic" w:hAnsi="Traditional Arabic"/>
          <w:sz w:val="32"/>
          <w:szCs w:val="32"/>
          <w:rtl/>
        </w:rPr>
        <w:t>(</w:t>
      </w:r>
      <w:r w:rsidRPr="008D3EE4">
        <w:rPr>
          <w:rStyle w:val="ae"/>
          <w:rFonts w:ascii="Traditional Arabic" w:hAnsi="Traditional Arabic"/>
          <w:sz w:val="32"/>
          <w:szCs w:val="32"/>
          <w:vertAlign w:val="baseline"/>
        </w:rPr>
        <w:footnoteRef/>
      </w:r>
      <w:r>
        <w:rPr>
          <w:rFonts w:ascii="Traditional Arabic" w:hAnsi="Traditional Arabic"/>
          <w:sz w:val="32"/>
          <w:szCs w:val="32"/>
          <w:rtl/>
        </w:rPr>
        <w:t xml:space="preserve">) </w:t>
      </w:r>
      <w:r>
        <w:rPr>
          <w:rFonts w:ascii="Traditional Arabic" w:hAnsi="Traditional Arabic" w:hint="cs"/>
          <w:sz w:val="32"/>
          <w:szCs w:val="32"/>
          <w:rtl/>
        </w:rPr>
        <w:t>قوله: [ابن عامر] ليس في (ك).</w:t>
      </w:r>
      <w:r w:rsidRPr="008D3EE4">
        <w:rPr>
          <w:rFonts w:ascii="Traditional Arabic" w:hAnsi="Traditional Arabic"/>
          <w:sz w:val="32"/>
          <w:szCs w:val="32"/>
          <w:rtl/>
        </w:rPr>
        <w:t xml:space="preserve"> </w:t>
      </w:r>
    </w:p>
  </w:footnote>
  <w:footnote w:id="654">
    <w:p w:rsidR="003F128F" w:rsidRPr="006D452E" w:rsidRDefault="003F128F" w:rsidP="006756FA">
      <w:pPr>
        <w:pStyle w:val="af3"/>
        <w:rPr>
          <w:rFonts w:ascii="Traditional Arabic" w:hAnsi="Traditional Arabic"/>
          <w:sz w:val="32"/>
          <w:szCs w:val="32"/>
        </w:rPr>
      </w:pPr>
      <w:r w:rsidRPr="008D3EE4">
        <w:rPr>
          <w:rFonts w:ascii="Traditional Arabic" w:hAnsi="Traditional Arabic"/>
          <w:sz w:val="32"/>
          <w:szCs w:val="32"/>
          <w:rtl/>
        </w:rPr>
        <w:t>(</w:t>
      </w:r>
      <w:r w:rsidRPr="008D3EE4">
        <w:rPr>
          <w:rStyle w:val="ae"/>
          <w:rFonts w:ascii="Traditional Arabic" w:hAnsi="Traditional Arabic"/>
          <w:sz w:val="32"/>
          <w:szCs w:val="32"/>
          <w:vertAlign w:val="baseline"/>
        </w:rPr>
        <w:footnoteRef/>
      </w:r>
      <w:r w:rsidRPr="008D3EE4">
        <w:rPr>
          <w:rFonts w:ascii="Traditional Arabic" w:hAnsi="Traditional Arabic"/>
          <w:sz w:val="32"/>
          <w:szCs w:val="32"/>
          <w:rtl/>
        </w:rPr>
        <w:t>) انظر: السبعة في القراءات (ص384</w:t>
      </w:r>
      <w:r w:rsidRPr="006D452E">
        <w:rPr>
          <w:rFonts w:ascii="Traditional Arabic" w:hAnsi="Traditional Arabic"/>
          <w:sz w:val="32"/>
          <w:szCs w:val="32"/>
          <w:rtl/>
        </w:rPr>
        <w:t>).</w:t>
      </w:r>
    </w:p>
  </w:footnote>
  <w:footnote w:id="655">
    <w:p w:rsidR="003F128F" w:rsidRPr="006D452E" w:rsidRDefault="003F128F" w:rsidP="006756FA">
      <w:pPr>
        <w:pStyle w:val="af3"/>
        <w:rPr>
          <w:rFonts w:ascii="Traditional Arabic" w:hAnsi="Traditional Arabic"/>
          <w:sz w:val="32"/>
          <w:szCs w:val="32"/>
        </w:rPr>
      </w:pPr>
      <w:r w:rsidRPr="006D452E">
        <w:rPr>
          <w:rFonts w:ascii="Traditional Arabic" w:hAnsi="Traditional Arabic"/>
          <w:sz w:val="32"/>
          <w:szCs w:val="32"/>
          <w:rtl/>
        </w:rPr>
        <w:t>(</w:t>
      </w:r>
      <w:r w:rsidRPr="006D452E">
        <w:rPr>
          <w:rStyle w:val="ae"/>
          <w:rFonts w:ascii="Traditional Arabic" w:hAnsi="Traditional Arabic"/>
          <w:sz w:val="32"/>
          <w:szCs w:val="32"/>
          <w:vertAlign w:val="baseline"/>
        </w:rPr>
        <w:footnoteRef/>
      </w:r>
      <w:r w:rsidRPr="006D452E">
        <w:rPr>
          <w:rFonts w:ascii="Traditional Arabic" w:hAnsi="Traditional Arabic"/>
          <w:sz w:val="32"/>
          <w:szCs w:val="32"/>
          <w:rtl/>
        </w:rPr>
        <w:t>) انظر: السبعة في القراءات (ص385).</w:t>
      </w:r>
    </w:p>
  </w:footnote>
  <w:footnote w:id="656">
    <w:p w:rsidR="003F128F" w:rsidRPr="006D452E" w:rsidRDefault="003F128F" w:rsidP="00911ED4">
      <w:pPr>
        <w:pStyle w:val="af3"/>
        <w:rPr>
          <w:rFonts w:ascii="Traditional Arabic" w:hAnsi="Traditional Arabic"/>
          <w:sz w:val="32"/>
          <w:szCs w:val="32"/>
        </w:rPr>
      </w:pPr>
      <w:r w:rsidRPr="006D452E">
        <w:rPr>
          <w:rFonts w:ascii="Traditional Arabic" w:hAnsi="Traditional Arabic"/>
          <w:sz w:val="32"/>
          <w:szCs w:val="32"/>
          <w:rtl/>
        </w:rPr>
        <w:t>(</w:t>
      </w:r>
      <w:r w:rsidRPr="006D452E">
        <w:rPr>
          <w:rStyle w:val="ae"/>
          <w:rFonts w:ascii="Traditional Arabic" w:hAnsi="Traditional Arabic"/>
          <w:sz w:val="32"/>
          <w:szCs w:val="32"/>
          <w:vertAlign w:val="baseline"/>
        </w:rPr>
        <w:footnoteRef/>
      </w:r>
      <w:r w:rsidRPr="006D452E">
        <w:rPr>
          <w:rFonts w:ascii="Traditional Arabic" w:hAnsi="Traditional Arabic"/>
          <w:sz w:val="32"/>
          <w:szCs w:val="32"/>
          <w:rtl/>
        </w:rPr>
        <w:t>) انظر: تفسير الطبري (17/549), الكشف والبيان (6/135).</w:t>
      </w:r>
    </w:p>
  </w:footnote>
  <w:footnote w:id="657">
    <w:p w:rsidR="003F128F" w:rsidRPr="006D452E" w:rsidRDefault="003F128F" w:rsidP="00911ED4">
      <w:pPr>
        <w:pStyle w:val="af3"/>
        <w:rPr>
          <w:rFonts w:ascii="Traditional Arabic" w:hAnsi="Traditional Arabic"/>
          <w:sz w:val="32"/>
          <w:szCs w:val="32"/>
        </w:rPr>
      </w:pPr>
      <w:r w:rsidRPr="006D452E">
        <w:rPr>
          <w:rFonts w:ascii="Traditional Arabic" w:hAnsi="Traditional Arabic"/>
          <w:sz w:val="32"/>
          <w:szCs w:val="32"/>
          <w:rtl/>
        </w:rPr>
        <w:t>(</w:t>
      </w:r>
      <w:r w:rsidRPr="006D452E">
        <w:rPr>
          <w:rStyle w:val="ae"/>
          <w:rFonts w:ascii="Traditional Arabic" w:hAnsi="Traditional Arabic"/>
          <w:sz w:val="32"/>
          <w:szCs w:val="32"/>
          <w:vertAlign w:val="baseline"/>
        </w:rPr>
        <w:footnoteRef/>
      </w:r>
      <w:r w:rsidRPr="006D452E">
        <w:rPr>
          <w:rFonts w:ascii="Traditional Arabic" w:hAnsi="Traditional Arabic"/>
          <w:sz w:val="32"/>
          <w:szCs w:val="32"/>
          <w:rtl/>
        </w:rPr>
        <w:t>) انظر: مجاز القرآن (1/390), وفيه: ظهر وفاض بدل "وفار".</w:t>
      </w:r>
    </w:p>
  </w:footnote>
  <w:footnote w:id="658">
    <w:p w:rsidR="003F128F" w:rsidRPr="006D452E" w:rsidRDefault="003F128F" w:rsidP="00911ED4">
      <w:pPr>
        <w:pStyle w:val="af3"/>
        <w:rPr>
          <w:rFonts w:ascii="Traditional Arabic" w:hAnsi="Traditional Arabic"/>
          <w:sz w:val="32"/>
          <w:szCs w:val="32"/>
        </w:rPr>
      </w:pPr>
      <w:r w:rsidRPr="006D452E">
        <w:rPr>
          <w:rFonts w:ascii="Traditional Arabic" w:hAnsi="Traditional Arabic"/>
          <w:sz w:val="32"/>
          <w:szCs w:val="32"/>
          <w:rtl/>
        </w:rPr>
        <w:t>(</w:t>
      </w:r>
      <w:r w:rsidRPr="006D452E">
        <w:rPr>
          <w:rStyle w:val="ae"/>
          <w:rFonts w:ascii="Traditional Arabic" w:hAnsi="Traditional Arabic"/>
          <w:sz w:val="32"/>
          <w:szCs w:val="32"/>
          <w:vertAlign w:val="baseline"/>
        </w:rPr>
        <w:footnoteRef/>
      </w:r>
      <w:r w:rsidRPr="006D452E">
        <w:rPr>
          <w:rFonts w:ascii="Traditional Arabic" w:hAnsi="Traditional Arabic"/>
          <w:sz w:val="32"/>
          <w:szCs w:val="32"/>
          <w:rtl/>
        </w:rPr>
        <w:t xml:space="preserve">) انظر: بحر العلوم (2/328), الكشف والبيان (6/135). </w:t>
      </w:r>
    </w:p>
  </w:footnote>
  <w:footnote w:id="659">
    <w:p w:rsidR="003F128F" w:rsidRPr="001D1A9A" w:rsidRDefault="003F128F" w:rsidP="00911ED4">
      <w:pPr>
        <w:pStyle w:val="af3"/>
        <w:rPr>
          <w:rFonts w:ascii="Tahoma" w:hAnsi="Tahoma"/>
        </w:rPr>
      </w:pPr>
      <w:r w:rsidRPr="006D452E">
        <w:rPr>
          <w:rFonts w:ascii="Traditional Arabic" w:hAnsi="Traditional Arabic"/>
          <w:sz w:val="32"/>
          <w:szCs w:val="32"/>
          <w:rtl/>
        </w:rPr>
        <w:t>(</w:t>
      </w:r>
      <w:r w:rsidRPr="006D452E">
        <w:rPr>
          <w:rStyle w:val="ae"/>
          <w:rFonts w:ascii="Traditional Arabic" w:hAnsi="Traditional Arabic"/>
          <w:sz w:val="32"/>
          <w:szCs w:val="32"/>
          <w:vertAlign w:val="baseline"/>
        </w:rPr>
        <w:footnoteRef/>
      </w:r>
      <w:r w:rsidRPr="006D452E">
        <w:rPr>
          <w:rFonts w:ascii="Traditional Arabic" w:hAnsi="Traditional Arabic"/>
          <w:sz w:val="32"/>
          <w:szCs w:val="32"/>
          <w:rtl/>
        </w:rPr>
        <w:t xml:space="preserve">) هو التابعي </w:t>
      </w:r>
      <w:r>
        <w:rPr>
          <w:rFonts w:ascii="Traditional Arabic" w:hAnsi="Traditional Arabic"/>
          <w:sz w:val="32"/>
          <w:szCs w:val="32"/>
          <w:rtl/>
        </w:rPr>
        <w:t>الإمام</w:t>
      </w:r>
      <w:r>
        <w:rPr>
          <w:rFonts w:ascii="Traditional Arabic" w:hAnsi="Traditional Arabic" w:hint="cs"/>
          <w:sz w:val="32"/>
          <w:szCs w:val="32"/>
          <w:rtl/>
        </w:rPr>
        <w:t>,</w:t>
      </w:r>
      <w:r w:rsidRPr="006D452E">
        <w:rPr>
          <w:rFonts w:ascii="Traditional Arabic" w:hAnsi="Traditional Arabic"/>
          <w:sz w:val="32"/>
          <w:szCs w:val="32"/>
          <w:rtl/>
        </w:rPr>
        <w:t xml:space="preserve"> القارئ</w:t>
      </w:r>
      <w:r>
        <w:rPr>
          <w:rFonts w:ascii="Traditional Arabic" w:hAnsi="Traditional Arabic" w:hint="cs"/>
          <w:sz w:val="32"/>
          <w:szCs w:val="32"/>
          <w:rtl/>
        </w:rPr>
        <w:t>,</w:t>
      </w:r>
      <w:r w:rsidRPr="006D452E">
        <w:rPr>
          <w:rFonts w:ascii="Traditional Arabic" w:hAnsi="Traditional Arabic"/>
          <w:sz w:val="32"/>
          <w:szCs w:val="32"/>
          <w:rtl/>
        </w:rPr>
        <w:t xml:space="preserve"> أَبُو مجلز</w:t>
      </w:r>
      <w:r>
        <w:rPr>
          <w:rFonts w:ascii="Traditional Arabic" w:hAnsi="Traditional Arabic" w:hint="cs"/>
          <w:sz w:val="32"/>
          <w:szCs w:val="32"/>
          <w:rtl/>
        </w:rPr>
        <w:t>,</w:t>
      </w:r>
      <w:r w:rsidRPr="006D452E">
        <w:rPr>
          <w:rFonts w:ascii="Traditional Arabic" w:hAnsi="Traditional Arabic"/>
          <w:sz w:val="32"/>
          <w:szCs w:val="32"/>
          <w:rtl/>
        </w:rPr>
        <w:t xml:space="preserve"> لَاحق بن حميد بن سعيد السدُوسِي, الْبَصْرِيّ, الْأَعْوَر</w:t>
      </w:r>
      <w:r w:rsidRPr="006D452E">
        <w:rPr>
          <w:rFonts w:ascii="Traditional Arabic" w:hAnsi="Traditional Arabic"/>
          <w:sz w:val="32"/>
          <w:szCs w:val="32"/>
          <w:rtl/>
          <w:lang w:eastAsia="en-US"/>
        </w:rPr>
        <w:t>,</w:t>
      </w:r>
      <w:r w:rsidRPr="006D452E">
        <w:rPr>
          <w:rFonts w:ascii="Traditional Arabic" w:hAnsi="Traditional Arabic"/>
          <w:sz w:val="32"/>
          <w:szCs w:val="32"/>
          <w:rtl/>
        </w:rPr>
        <w:t xml:space="preserve"> نزيل خرسان,</w:t>
      </w:r>
      <w:r w:rsidRPr="006D452E">
        <w:rPr>
          <w:rFonts w:ascii="Traditional Arabic" w:hAnsi="Traditional Arabic"/>
          <w:sz w:val="32"/>
          <w:szCs w:val="32"/>
          <w:rtl/>
          <w:lang w:eastAsia="en-US"/>
        </w:rPr>
        <w:t xml:space="preserve"> وردت عنه الرواية في حروف القرآن</w:t>
      </w:r>
      <w:r w:rsidRPr="006D452E">
        <w:rPr>
          <w:rFonts w:ascii="Traditional Arabic" w:hAnsi="Traditional Arabic"/>
          <w:sz w:val="32"/>
          <w:szCs w:val="32"/>
          <w:rtl/>
        </w:rPr>
        <w:t>, (ت100ه). انظر: تهذيب الكمال (31/176), غاية النهاية (2/363).</w:t>
      </w:r>
    </w:p>
  </w:footnote>
  <w:footnote w:id="660">
    <w:p w:rsidR="003F128F" w:rsidRPr="00361018" w:rsidRDefault="003F128F" w:rsidP="006756FA">
      <w:pPr>
        <w:pStyle w:val="af3"/>
        <w:rPr>
          <w:rFonts w:ascii="Traditional Arabic" w:hAnsi="Traditional Arabic"/>
          <w:sz w:val="32"/>
          <w:szCs w:val="32"/>
        </w:rPr>
      </w:pPr>
      <w:r w:rsidRPr="00361018">
        <w:rPr>
          <w:rFonts w:ascii="Traditional Arabic" w:hAnsi="Traditional Arabic"/>
          <w:sz w:val="32"/>
          <w:szCs w:val="32"/>
          <w:rtl/>
        </w:rPr>
        <w:t>(</w:t>
      </w:r>
      <w:r w:rsidRPr="00361018">
        <w:rPr>
          <w:rStyle w:val="ae"/>
          <w:rFonts w:ascii="Traditional Arabic" w:hAnsi="Traditional Arabic"/>
          <w:sz w:val="32"/>
          <w:szCs w:val="32"/>
          <w:vertAlign w:val="baseline"/>
        </w:rPr>
        <w:footnoteRef/>
      </w:r>
      <w:r>
        <w:rPr>
          <w:rFonts w:ascii="Traditional Arabic" w:hAnsi="Traditional Arabic"/>
          <w:sz w:val="32"/>
          <w:szCs w:val="32"/>
          <w:rtl/>
        </w:rPr>
        <w:t>)</w:t>
      </w:r>
      <w:r w:rsidRPr="00361018">
        <w:rPr>
          <w:rFonts w:ascii="Traditional Arabic" w:hAnsi="Traditional Arabic"/>
          <w:sz w:val="32"/>
          <w:szCs w:val="32"/>
          <w:rtl/>
        </w:rPr>
        <w:t xml:space="preserve"> انظر: مختصر الشواذ لابن خالويه (ص81), شواذ القراءة للكرماني (ص138).</w:t>
      </w:r>
    </w:p>
  </w:footnote>
  <w:footnote w:id="661">
    <w:p w:rsidR="003F128F" w:rsidRPr="00361018" w:rsidRDefault="003F128F" w:rsidP="00911ED4">
      <w:pPr>
        <w:pStyle w:val="af3"/>
        <w:rPr>
          <w:rFonts w:ascii="Traditional Arabic" w:hAnsi="Traditional Arabic"/>
          <w:sz w:val="32"/>
          <w:szCs w:val="32"/>
        </w:rPr>
      </w:pPr>
      <w:r w:rsidRPr="00361018">
        <w:rPr>
          <w:rFonts w:ascii="Traditional Arabic" w:hAnsi="Traditional Arabic"/>
          <w:sz w:val="32"/>
          <w:szCs w:val="32"/>
          <w:rtl/>
        </w:rPr>
        <w:t>(</w:t>
      </w:r>
      <w:r w:rsidRPr="00361018">
        <w:rPr>
          <w:rStyle w:val="ae"/>
          <w:rFonts w:ascii="Traditional Arabic" w:hAnsi="Traditional Arabic"/>
          <w:sz w:val="32"/>
          <w:szCs w:val="32"/>
          <w:vertAlign w:val="baseline"/>
        </w:rPr>
        <w:footnoteRef/>
      </w:r>
      <w:r w:rsidRPr="00361018">
        <w:rPr>
          <w:rFonts w:ascii="Traditional Arabic" w:hAnsi="Traditional Arabic"/>
          <w:sz w:val="32"/>
          <w:szCs w:val="32"/>
          <w:rtl/>
        </w:rPr>
        <w:t>) سورة الروم, الآية</w:t>
      </w:r>
      <w:r>
        <w:rPr>
          <w:rFonts w:ascii="Traditional Arabic" w:hAnsi="Traditional Arabic" w:hint="cs"/>
          <w:sz w:val="32"/>
          <w:szCs w:val="32"/>
          <w:rtl/>
        </w:rPr>
        <w:t>:</w:t>
      </w:r>
      <w:r w:rsidRPr="00361018">
        <w:rPr>
          <w:rFonts w:ascii="Traditional Arabic" w:hAnsi="Traditional Arabic"/>
          <w:sz w:val="32"/>
          <w:szCs w:val="32"/>
          <w:rtl/>
        </w:rPr>
        <w:t xml:space="preserve"> (48).</w:t>
      </w:r>
    </w:p>
  </w:footnote>
  <w:footnote w:id="662">
    <w:p w:rsidR="003F128F" w:rsidRPr="00361018" w:rsidRDefault="003F128F" w:rsidP="006756FA">
      <w:pPr>
        <w:pStyle w:val="af3"/>
        <w:rPr>
          <w:rFonts w:ascii="Traditional Arabic" w:hAnsi="Traditional Arabic"/>
          <w:sz w:val="32"/>
          <w:szCs w:val="32"/>
        </w:rPr>
      </w:pPr>
      <w:r w:rsidRPr="00361018">
        <w:rPr>
          <w:rFonts w:ascii="Traditional Arabic" w:hAnsi="Traditional Arabic"/>
          <w:sz w:val="32"/>
          <w:szCs w:val="32"/>
          <w:rtl/>
        </w:rPr>
        <w:t>(</w:t>
      </w:r>
      <w:r w:rsidRPr="00361018">
        <w:rPr>
          <w:rStyle w:val="ae"/>
          <w:rFonts w:ascii="Traditional Arabic" w:hAnsi="Traditional Arabic"/>
          <w:sz w:val="32"/>
          <w:szCs w:val="32"/>
          <w:vertAlign w:val="baseline"/>
        </w:rPr>
        <w:footnoteRef/>
      </w:r>
      <w:r w:rsidRPr="00361018">
        <w:rPr>
          <w:rFonts w:ascii="Traditional Arabic" w:hAnsi="Traditional Arabic"/>
          <w:sz w:val="32"/>
          <w:szCs w:val="32"/>
          <w:rtl/>
        </w:rPr>
        <w:t>)</w:t>
      </w:r>
      <w:r>
        <w:rPr>
          <w:rFonts w:ascii="Traditional Arabic" w:hAnsi="Traditional Arabic" w:hint="cs"/>
          <w:sz w:val="32"/>
          <w:szCs w:val="32"/>
          <w:rtl/>
        </w:rPr>
        <w:t xml:space="preserve"> </w:t>
      </w:r>
      <w:r w:rsidRPr="00361018">
        <w:rPr>
          <w:rFonts w:ascii="Traditional Arabic" w:hAnsi="Traditional Arabic"/>
          <w:sz w:val="32"/>
          <w:szCs w:val="32"/>
          <w:rtl/>
        </w:rPr>
        <w:t>انظر: السبعة في القراءات (ص385).</w:t>
      </w:r>
    </w:p>
  </w:footnote>
  <w:footnote w:id="663">
    <w:p w:rsidR="003F128F" w:rsidRPr="00361018" w:rsidRDefault="003F128F" w:rsidP="00911ED4">
      <w:pPr>
        <w:pStyle w:val="af3"/>
        <w:rPr>
          <w:rFonts w:ascii="Traditional Arabic" w:hAnsi="Traditional Arabic"/>
          <w:sz w:val="32"/>
          <w:szCs w:val="32"/>
        </w:rPr>
      </w:pPr>
      <w:r w:rsidRPr="00361018">
        <w:rPr>
          <w:rFonts w:ascii="Traditional Arabic" w:hAnsi="Traditional Arabic"/>
          <w:sz w:val="32"/>
          <w:szCs w:val="32"/>
          <w:rtl/>
        </w:rPr>
        <w:t>(</w:t>
      </w:r>
      <w:r w:rsidRPr="00361018">
        <w:rPr>
          <w:rStyle w:val="ae"/>
          <w:rFonts w:ascii="Traditional Arabic" w:hAnsi="Traditional Arabic"/>
          <w:sz w:val="32"/>
          <w:szCs w:val="32"/>
          <w:vertAlign w:val="baseline"/>
        </w:rPr>
        <w:footnoteRef/>
      </w:r>
      <w:r w:rsidRPr="00361018">
        <w:rPr>
          <w:rFonts w:ascii="Traditional Arabic" w:hAnsi="Traditional Arabic"/>
          <w:sz w:val="32"/>
          <w:szCs w:val="32"/>
          <w:rtl/>
        </w:rPr>
        <w:t>) انظر: معاني القرآن واعرابه (3/259).</w:t>
      </w:r>
    </w:p>
  </w:footnote>
  <w:footnote w:id="664">
    <w:p w:rsidR="003F128F" w:rsidRPr="00361018" w:rsidRDefault="003F128F" w:rsidP="00911ED4">
      <w:pPr>
        <w:pStyle w:val="af3"/>
        <w:rPr>
          <w:rFonts w:ascii="Traditional Arabic" w:hAnsi="Traditional Arabic"/>
          <w:sz w:val="32"/>
          <w:szCs w:val="32"/>
        </w:rPr>
      </w:pPr>
      <w:r w:rsidRPr="00361018">
        <w:rPr>
          <w:rFonts w:ascii="Traditional Arabic" w:hAnsi="Traditional Arabic"/>
          <w:sz w:val="32"/>
          <w:szCs w:val="32"/>
          <w:rtl/>
        </w:rPr>
        <w:t>(</w:t>
      </w:r>
      <w:r w:rsidRPr="00361018">
        <w:rPr>
          <w:rStyle w:val="ae"/>
          <w:rFonts w:ascii="Traditional Arabic" w:hAnsi="Traditional Arabic"/>
          <w:sz w:val="32"/>
          <w:szCs w:val="32"/>
          <w:vertAlign w:val="baseline"/>
        </w:rPr>
        <w:footnoteRef/>
      </w:r>
      <w:r w:rsidRPr="00361018">
        <w:rPr>
          <w:rFonts w:ascii="Traditional Arabic" w:hAnsi="Traditional Arabic"/>
          <w:sz w:val="32"/>
          <w:szCs w:val="32"/>
          <w:rtl/>
        </w:rPr>
        <w:t>) بنحوه ذكر الأزهري في معاني القراءات (2/101).</w:t>
      </w:r>
    </w:p>
  </w:footnote>
  <w:footnote w:id="665">
    <w:p w:rsidR="003F128F" w:rsidRPr="00361018" w:rsidRDefault="003F128F" w:rsidP="00911ED4">
      <w:pPr>
        <w:pStyle w:val="af3"/>
        <w:rPr>
          <w:rFonts w:ascii="Traditional Arabic" w:hAnsi="Traditional Arabic"/>
          <w:sz w:val="32"/>
          <w:szCs w:val="32"/>
        </w:rPr>
      </w:pPr>
      <w:r w:rsidRPr="00361018">
        <w:rPr>
          <w:rFonts w:ascii="Traditional Arabic" w:hAnsi="Traditional Arabic"/>
          <w:sz w:val="32"/>
          <w:szCs w:val="32"/>
          <w:rtl/>
        </w:rPr>
        <w:t>(</w:t>
      </w:r>
      <w:r w:rsidRPr="00361018">
        <w:rPr>
          <w:rStyle w:val="ae"/>
          <w:rFonts w:ascii="Traditional Arabic" w:hAnsi="Traditional Arabic"/>
          <w:sz w:val="32"/>
          <w:szCs w:val="32"/>
          <w:vertAlign w:val="baseline"/>
        </w:rPr>
        <w:footnoteRef/>
      </w:r>
      <w:r w:rsidRPr="00361018">
        <w:rPr>
          <w:rFonts w:ascii="Traditional Arabic" w:hAnsi="Traditional Arabic"/>
          <w:sz w:val="32"/>
          <w:szCs w:val="32"/>
          <w:rtl/>
        </w:rPr>
        <w:t>) عزاه السيوطي لابن أبي حاتم كما في الدر</w:t>
      </w:r>
      <w:r>
        <w:rPr>
          <w:rFonts w:ascii="Traditional Arabic" w:hAnsi="Traditional Arabic" w:hint="cs"/>
          <w:sz w:val="32"/>
          <w:szCs w:val="32"/>
          <w:rtl/>
        </w:rPr>
        <w:t xml:space="preserve"> المنثور</w:t>
      </w:r>
      <w:r w:rsidRPr="00361018">
        <w:rPr>
          <w:rFonts w:ascii="Traditional Arabic" w:hAnsi="Traditional Arabic"/>
          <w:sz w:val="32"/>
          <w:szCs w:val="32"/>
          <w:rtl/>
        </w:rPr>
        <w:t xml:space="preserve"> (</w:t>
      </w:r>
      <w:r>
        <w:rPr>
          <w:rFonts w:ascii="Traditional Arabic" w:hAnsi="Traditional Arabic" w:hint="cs"/>
          <w:sz w:val="32"/>
          <w:szCs w:val="32"/>
          <w:rtl/>
        </w:rPr>
        <w:t>5/340</w:t>
      </w:r>
      <w:r w:rsidRPr="00361018">
        <w:rPr>
          <w:rFonts w:ascii="Traditional Arabic" w:hAnsi="Traditional Arabic"/>
          <w:sz w:val="32"/>
          <w:szCs w:val="32"/>
          <w:rtl/>
        </w:rPr>
        <w:t>).</w:t>
      </w:r>
    </w:p>
  </w:footnote>
  <w:footnote w:id="666">
    <w:p w:rsidR="003F128F" w:rsidRPr="00361018" w:rsidRDefault="003F128F" w:rsidP="00911ED4">
      <w:pPr>
        <w:pStyle w:val="af3"/>
        <w:rPr>
          <w:rFonts w:ascii="Traditional Arabic" w:hAnsi="Traditional Arabic"/>
          <w:sz w:val="32"/>
          <w:szCs w:val="32"/>
        </w:rPr>
      </w:pPr>
      <w:r w:rsidRPr="00361018">
        <w:rPr>
          <w:rFonts w:ascii="Traditional Arabic" w:hAnsi="Traditional Arabic"/>
          <w:sz w:val="32"/>
          <w:szCs w:val="32"/>
          <w:rtl/>
        </w:rPr>
        <w:t>(</w:t>
      </w:r>
      <w:r w:rsidRPr="00361018">
        <w:rPr>
          <w:rStyle w:val="ae"/>
          <w:rFonts w:ascii="Traditional Arabic" w:hAnsi="Traditional Arabic"/>
          <w:sz w:val="32"/>
          <w:szCs w:val="32"/>
          <w:vertAlign w:val="baseline"/>
        </w:rPr>
        <w:footnoteRef/>
      </w:r>
      <w:r w:rsidRPr="00361018">
        <w:rPr>
          <w:rFonts w:ascii="Traditional Arabic" w:hAnsi="Traditional Arabic"/>
          <w:sz w:val="32"/>
          <w:szCs w:val="32"/>
          <w:rtl/>
        </w:rPr>
        <w:t>) انظر: تفسير الطبري (17/552), الهداية (6/4288).</w:t>
      </w:r>
    </w:p>
  </w:footnote>
  <w:footnote w:id="667">
    <w:p w:rsidR="003F128F" w:rsidRPr="00361018" w:rsidRDefault="003F128F" w:rsidP="00911ED4">
      <w:pPr>
        <w:pStyle w:val="af3"/>
        <w:rPr>
          <w:rFonts w:ascii="Traditional Arabic" w:hAnsi="Traditional Arabic"/>
          <w:sz w:val="32"/>
          <w:szCs w:val="32"/>
        </w:rPr>
      </w:pPr>
      <w:r w:rsidRPr="00361018">
        <w:rPr>
          <w:rFonts w:ascii="Traditional Arabic" w:hAnsi="Traditional Arabic"/>
          <w:sz w:val="32"/>
          <w:szCs w:val="32"/>
          <w:rtl/>
        </w:rPr>
        <w:t>(</w:t>
      </w:r>
      <w:r w:rsidRPr="00361018">
        <w:rPr>
          <w:rStyle w:val="ae"/>
          <w:rFonts w:ascii="Traditional Arabic" w:hAnsi="Traditional Arabic"/>
          <w:sz w:val="32"/>
          <w:szCs w:val="32"/>
          <w:vertAlign w:val="baseline"/>
        </w:rPr>
        <w:footnoteRef/>
      </w:r>
      <w:r w:rsidRPr="00361018">
        <w:rPr>
          <w:rFonts w:ascii="Traditional Arabic" w:hAnsi="Traditional Arabic"/>
          <w:sz w:val="32"/>
          <w:szCs w:val="32"/>
          <w:rtl/>
        </w:rPr>
        <w:t>) انظر: تفسير مقاتل (2/550).</w:t>
      </w:r>
    </w:p>
  </w:footnote>
  <w:footnote w:id="668">
    <w:p w:rsidR="003F128F" w:rsidRPr="006D452E" w:rsidRDefault="003F128F" w:rsidP="00911ED4">
      <w:pPr>
        <w:pStyle w:val="af3"/>
        <w:rPr>
          <w:rFonts w:ascii="Traditional Arabic" w:hAnsi="Traditional Arabic"/>
          <w:sz w:val="32"/>
          <w:szCs w:val="32"/>
        </w:rPr>
      </w:pPr>
      <w:r w:rsidRPr="00361018">
        <w:rPr>
          <w:rFonts w:ascii="Traditional Arabic" w:hAnsi="Traditional Arabic"/>
          <w:sz w:val="32"/>
          <w:szCs w:val="32"/>
          <w:rtl/>
        </w:rPr>
        <w:t>(</w:t>
      </w:r>
      <w:r w:rsidRPr="00361018">
        <w:rPr>
          <w:rStyle w:val="ae"/>
          <w:rFonts w:ascii="Traditional Arabic" w:hAnsi="Traditional Arabic"/>
          <w:sz w:val="32"/>
          <w:szCs w:val="32"/>
          <w:vertAlign w:val="baseline"/>
        </w:rPr>
        <w:footnoteRef/>
      </w:r>
      <w:r w:rsidRPr="00361018">
        <w:rPr>
          <w:rFonts w:ascii="Traditional Arabic" w:hAnsi="Traditional Arabic"/>
          <w:sz w:val="32"/>
          <w:szCs w:val="32"/>
          <w:rtl/>
        </w:rPr>
        <w:t>) هو الشاعر</w:t>
      </w:r>
      <w:r>
        <w:rPr>
          <w:rFonts w:ascii="Traditional Arabic" w:hAnsi="Traditional Arabic" w:hint="cs"/>
          <w:sz w:val="32"/>
          <w:szCs w:val="32"/>
          <w:rtl/>
        </w:rPr>
        <w:t>,</w:t>
      </w:r>
      <w:r w:rsidRPr="00361018">
        <w:rPr>
          <w:rFonts w:ascii="Traditional Arabic" w:hAnsi="Traditional Arabic"/>
          <w:sz w:val="32"/>
          <w:szCs w:val="32"/>
          <w:rtl/>
        </w:rPr>
        <w:t xml:space="preserve"> أبو بصير</w:t>
      </w:r>
      <w:r>
        <w:rPr>
          <w:rFonts w:ascii="Traditional Arabic" w:hAnsi="Traditional Arabic" w:hint="cs"/>
          <w:sz w:val="32"/>
          <w:szCs w:val="32"/>
          <w:rtl/>
        </w:rPr>
        <w:t>,</w:t>
      </w:r>
      <w:r w:rsidRPr="00361018">
        <w:rPr>
          <w:rFonts w:ascii="Traditional Arabic" w:hAnsi="Traditional Arabic"/>
          <w:sz w:val="32"/>
          <w:szCs w:val="32"/>
          <w:rtl/>
        </w:rPr>
        <w:t xml:space="preserve"> ميمون بن قيس بن جند</w:t>
      </w:r>
      <w:r>
        <w:rPr>
          <w:rFonts w:ascii="Traditional Arabic" w:hAnsi="Traditional Arabic"/>
          <w:sz w:val="32"/>
          <w:szCs w:val="32"/>
          <w:rtl/>
        </w:rPr>
        <w:t>ل, من بني قيس بن ثعلبة الوائلي</w:t>
      </w:r>
      <w:r w:rsidRPr="00361018">
        <w:rPr>
          <w:rFonts w:ascii="Traditional Arabic" w:hAnsi="Traditional Arabic"/>
          <w:sz w:val="32"/>
          <w:szCs w:val="32"/>
          <w:rtl/>
        </w:rPr>
        <w:t>، المعروف بأعشى قيس، ويقال له أعشى بكر بن وائل، والأعشى الكبير, من شعراء الطبقة الأولى في الجاهلية، وأحد</w:t>
      </w:r>
      <w:r>
        <w:rPr>
          <w:rFonts w:ascii="Traditional Arabic" w:hAnsi="Traditional Arabic"/>
          <w:sz w:val="32"/>
          <w:szCs w:val="32"/>
          <w:rtl/>
        </w:rPr>
        <w:t xml:space="preserve"> </w:t>
      </w:r>
      <w:r w:rsidRPr="006D452E">
        <w:rPr>
          <w:rFonts w:ascii="Traditional Arabic" w:hAnsi="Traditional Arabic"/>
          <w:sz w:val="32"/>
          <w:szCs w:val="32"/>
          <w:rtl/>
        </w:rPr>
        <w:t>أصحاب المعلقات, كان غزير الشعر، يسلك فيه كل مسلك، وليس أحد ممن عرف قبله أكثر شعرا منه (ت7ه). انظر: الأعلام (7/341).</w:t>
      </w:r>
    </w:p>
  </w:footnote>
  <w:footnote w:id="669">
    <w:p w:rsidR="003F128F" w:rsidRPr="006D452E" w:rsidRDefault="003F128F" w:rsidP="006756FA">
      <w:pPr>
        <w:pStyle w:val="af3"/>
        <w:rPr>
          <w:rFonts w:ascii="Traditional Arabic" w:hAnsi="Traditional Arabic"/>
          <w:sz w:val="32"/>
          <w:szCs w:val="32"/>
        </w:rPr>
      </w:pPr>
      <w:r w:rsidRPr="006D452E">
        <w:rPr>
          <w:rFonts w:ascii="Traditional Arabic" w:hAnsi="Traditional Arabic"/>
          <w:sz w:val="32"/>
          <w:szCs w:val="32"/>
          <w:rtl/>
        </w:rPr>
        <w:t>(</w:t>
      </w:r>
      <w:r w:rsidRPr="006D452E">
        <w:rPr>
          <w:rStyle w:val="ae"/>
          <w:rFonts w:ascii="Traditional Arabic" w:hAnsi="Traditional Arabic"/>
          <w:sz w:val="32"/>
          <w:szCs w:val="32"/>
          <w:vertAlign w:val="baseline"/>
        </w:rPr>
        <w:footnoteRef/>
      </w:r>
      <w:r w:rsidRPr="006D452E">
        <w:rPr>
          <w:rFonts w:ascii="Traditional Arabic" w:hAnsi="Traditional Arabic"/>
          <w:sz w:val="32"/>
          <w:szCs w:val="32"/>
          <w:rtl/>
        </w:rPr>
        <w:t>) ديوان الأعشى (ص177).</w:t>
      </w:r>
    </w:p>
  </w:footnote>
  <w:footnote w:id="670">
    <w:p w:rsidR="003F128F" w:rsidRPr="006D452E" w:rsidRDefault="003F128F" w:rsidP="00911ED4">
      <w:pPr>
        <w:pStyle w:val="af3"/>
        <w:rPr>
          <w:rFonts w:ascii="Traditional Arabic" w:hAnsi="Traditional Arabic"/>
          <w:sz w:val="32"/>
          <w:szCs w:val="32"/>
        </w:rPr>
      </w:pPr>
      <w:r w:rsidRPr="006D452E">
        <w:rPr>
          <w:rFonts w:ascii="Traditional Arabic" w:hAnsi="Traditional Arabic"/>
          <w:sz w:val="32"/>
          <w:szCs w:val="32"/>
          <w:rtl/>
        </w:rPr>
        <w:t>(</w:t>
      </w:r>
      <w:r w:rsidRPr="006D452E">
        <w:rPr>
          <w:rStyle w:val="ae"/>
          <w:rFonts w:ascii="Traditional Arabic" w:hAnsi="Traditional Arabic"/>
          <w:sz w:val="32"/>
          <w:szCs w:val="32"/>
          <w:vertAlign w:val="baseline"/>
        </w:rPr>
        <w:footnoteRef/>
      </w:r>
      <w:r w:rsidRPr="006D452E">
        <w:rPr>
          <w:rFonts w:ascii="Traditional Arabic" w:hAnsi="Traditional Arabic"/>
          <w:sz w:val="32"/>
          <w:szCs w:val="32"/>
          <w:rtl/>
        </w:rPr>
        <w:t xml:space="preserve">) انظر: مجاز القرآن (1/390). </w:t>
      </w:r>
    </w:p>
  </w:footnote>
  <w:footnote w:id="671">
    <w:p w:rsidR="003F128F" w:rsidRPr="005806A9" w:rsidRDefault="003F128F" w:rsidP="00911ED4">
      <w:pPr>
        <w:pStyle w:val="af3"/>
        <w:rPr>
          <w:rFonts w:ascii="Traditional Arabic" w:hAnsi="Traditional Arabic"/>
          <w:sz w:val="32"/>
          <w:szCs w:val="32"/>
        </w:rPr>
      </w:pPr>
      <w:r w:rsidRPr="005806A9">
        <w:rPr>
          <w:rFonts w:ascii="Traditional Arabic" w:hAnsi="Traditional Arabic"/>
          <w:sz w:val="32"/>
          <w:szCs w:val="32"/>
          <w:rtl/>
        </w:rPr>
        <w:t>(</w:t>
      </w:r>
      <w:r w:rsidRPr="005806A9">
        <w:rPr>
          <w:rStyle w:val="ae"/>
          <w:rFonts w:ascii="Traditional Arabic" w:hAnsi="Traditional Arabic"/>
          <w:sz w:val="32"/>
          <w:szCs w:val="32"/>
          <w:vertAlign w:val="baseline"/>
        </w:rPr>
        <w:footnoteRef/>
      </w:r>
      <w:r w:rsidRPr="005806A9">
        <w:rPr>
          <w:rFonts w:ascii="Traditional Arabic" w:hAnsi="Traditional Arabic"/>
          <w:sz w:val="32"/>
          <w:szCs w:val="32"/>
          <w:rtl/>
        </w:rPr>
        <w:t>) انظر: الك</w:t>
      </w:r>
      <w:r>
        <w:rPr>
          <w:rFonts w:ascii="Traditional Arabic" w:hAnsi="Traditional Arabic"/>
          <w:sz w:val="32"/>
          <w:szCs w:val="32"/>
          <w:rtl/>
        </w:rPr>
        <w:t xml:space="preserve">شف والبيان (6/135), </w:t>
      </w:r>
      <w:r>
        <w:rPr>
          <w:rFonts w:ascii="Traditional Arabic" w:hAnsi="Traditional Arabic" w:hint="cs"/>
          <w:sz w:val="32"/>
          <w:szCs w:val="32"/>
          <w:rtl/>
        </w:rPr>
        <w:t>معالم التنزيل</w:t>
      </w:r>
      <w:r w:rsidRPr="005806A9">
        <w:rPr>
          <w:rFonts w:ascii="Traditional Arabic" w:hAnsi="Traditional Arabic"/>
          <w:sz w:val="32"/>
          <w:szCs w:val="32"/>
          <w:rtl/>
        </w:rPr>
        <w:t xml:space="preserve"> (5/130).</w:t>
      </w:r>
    </w:p>
  </w:footnote>
  <w:footnote w:id="672">
    <w:p w:rsidR="003F128F" w:rsidRPr="005806A9" w:rsidRDefault="003F128F" w:rsidP="00911ED4">
      <w:pPr>
        <w:pStyle w:val="af3"/>
        <w:rPr>
          <w:rFonts w:ascii="Traditional Arabic" w:hAnsi="Traditional Arabic"/>
          <w:sz w:val="32"/>
          <w:szCs w:val="32"/>
        </w:rPr>
      </w:pPr>
      <w:r w:rsidRPr="005806A9">
        <w:rPr>
          <w:rFonts w:ascii="Traditional Arabic" w:hAnsi="Traditional Arabic"/>
          <w:sz w:val="32"/>
          <w:szCs w:val="32"/>
          <w:rtl/>
        </w:rPr>
        <w:t>(</w:t>
      </w:r>
      <w:r w:rsidRPr="005806A9">
        <w:rPr>
          <w:rStyle w:val="ae"/>
          <w:rFonts w:ascii="Traditional Arabic" w:hAnsi="Traditional Arabic"/>
          <w:sz w:val="32"/>
          <w:szCs w:val="32"/>
          <w:vertAlign w:val="baseline"/>
        </w:rPr>
        <w:footnoteRef/>
      </w:r>
      <w:r w:rsidRPr="005806A9">
        <w:rPr>
          <w:rFonts w:ascii="Traditional Arabic" w:hAnsi="Traditional Arabic"/>
          <w:sz w:val="32"/>
          <w:szCs w:val="32"/>
          <w:rtl/>
        </w:rPr>
        <w:t>) انظر: معاني القرآن (2/131).</w:t>
      </w:r>
    </w:p>
  </w:footnote>
  <w:footnote w:id="673">
    <w:p w:rsidR="003F128F" w:rsidRPr="005806A9" w:rsidRDefault="003F128F" w:rsidP="00E16232">
      <w:pPr>
        <w:pStyle w:val="af3"/>
        <w:rPr>
          <w:rFonts w:ascii="Traditional Arabic" w:hAnsi="Traditional Arabic"/>
          <w:sz w:val="32"/>
          <w:szCs w:val="32"/>
        </w:rPr>
      </w:pPr>
      <w:r w:rsidRPr="005806A9">
        <w:rPr>
          <w:rFonts w:ascii="Traditional Arabic" w:hAnsi="Traditional Arabic"/>
          <w:sz w:val="32"/>
          <w:szCs w:val="32"/>
          <w:rtl/>
        </w:rPr>
        <w:t>(</w:t>
      </w:r>
      <w:r w:rsidRPr="005806A9">
        <w:rPr>
          <w:rStyle w:val="ae"/>
          <w:rFonts w:ascii="Traditional Arabic" w:hAnsi="Traditional Arabic"/>
          <w:sz w:val="32"/>
          <w:szCs w:val="32"/>
          <w:vertAlign w:val="baseline"/>
        </w:rPr>
        <w:footnoteRef/>
      </w:r>
      <w:r>
        <w:rPr>
          <w:rFonts w:ascii="Traditional Arabic" w:hAnsi="Traditional Arabic"/>
          <w:sz w:val="32"/>
          <w:szCs w:val="32"/>
          <w:rtl/>
        </w:rPr>
        <w:t>) في (</w:t>
      </w:r>
      <w:r>
        <w:rPr>
          <w:rFonts w:ascii="Traditional Arabic" w:hAnsi="Traditional Arabic" w:hint="cs"/>
          <w:sz w:val="32"/>
          <w:szCs w:val="32"/>
          <w:rtl/>
        </w:rPr>
        <w:t>ك</w:t>
      </w:r>
      <w:r>
        <w:rPr>
          <w:rFonts w:ascii="Traditional Arabic" w:hAnsi="Traditional Arabic"/>
          <w:sz w:val="32"/>
          <w:szCs w:val="32"/>
          <w:rtl/>
        </w:rPr>
        <w:t>):</w:t>
      </w:r>
      <w:r>
        <w:rPr>
          <w:rFonts w:ascii="Traditional Arabic" w:hAnsi="Traditional Arabic" w:hint="cs"/>
          <w:sz w:val="32"/>
          <w:szCs w:val="32"/>
          <w:rtl/>
        </w:rPr>
        <w:t xml:space="preserve"> [</w:t>
      </w:r>
      <w:r>
        <w:rPr>
          <w:rFonts w:ascii="Traditional Arabic" w:hAnsi="Traditional Arabic"/>
          <w:sz w:val="32"/>
          <w:szCs w:val="32"/>
          <w:rtl/>
        </w:rPr>
        <w:t>فقال</w:t>
      </w:r>
      <w:r>
        <w:rPr>
          <w:rFonts w:ascii="Traditional Arabic" w:hAnsi="Traditional Arabic" w:hint="cs"/>
          <w:sz w:val="32"/>
          <w:szCs w:val="32"/>
          <w:rtl/>
        </w:rPr>
        <w:t>]</w:t>
      </w:r>
      <w:r>
        <w:rPr>
          <w:rFonts w:ascii="Traditional Arabic" w:hAnsi="Traditional Arabic"/>
          <w:sz w:val="32"/>
          <w:szCs w:val="32"/>
          <w:rtl/>
        </w:rPr>
        <w:t xml:space="preserve"> بدل </w:t>
      </w:r>
      <w:r>
        <w:rPr>
          <w:rFonts w:ascii="Traditional Arabic" w:hAnsi="Traditional Arabic" w:hint="cs"/>
          <w:sz w:val="32"/>
          <w:szCs w:val="32"/>
          <w:rtl/>
        </w:rPr>
        <w:t>[</w:t>
      </w:r>
      <w:r>
        <w:rPr>
          <w:rFonts w:ascii="Traditional Arabic" w:hAnsi="Traditional Arabic"/>
          <w:sz w:val="32"/>
          <w:szCs w:val="32"/>
          <w:rtl/>
        </w:rPr>
        <w:t>قال</w:t>
      </w:r>
      <w:r>
        <w:rPr>
          <w:rFonts w:ascii="Traditional Arabic" w:hAnsi="Traditional Arabic" w:hint="cs"/>
          <w:sz w:val="32"/>
          <w:szCs w:val="32"/>
          <w:rtl/>
        </w:rPr>
        <w:t>]</w:t>
      </w:r>
      <w:r w:rsidRPr="005806A9">
        <w:rPr>
          <w:rFonts w:ascii="Traditional Arabic" w:hAnsi="Traditional Arabic"/>
          <w:sz w:val="32"/>
          <w:szCs w:val="32"/>
          <w:rtl/>
        </w:rPr>
        <w:t>.</w:t>
      </w:r>
    </w:p>
  </w:footnote>
  <w:footnote w:id="674">
    <w:p w:rsidR="003F128F" w:rsidRPr="005806A9" w:rsidRDefault="003F128F" w:rsidP="00911ED4">
      <w:pPr>
        <w:pStyle w:val="af3"/>
        <w:rPr>
          <w:rFonts w:ascii="Traditional Arabic" w:hAnsi="Traditional Arabic"/>
          <w:sz w:val="32"/>
          <w:szCs w:val="32"/>
        </w:rPr>
      </w:pPr>
      <w:r w:rsidRPr="005806A9">
        <w:rPr>
          <w:rFonts w:ascii="Traditional Arabic" w:hAnsi="Traditional Arabic"/>
          <w:sz w:val="32"/>
          <w:szCs w:val="32"/>
          <w:rtl/>
        </w:rPr>
        <w:t>(</w:t>
      </w:r>
      <w:r w:rsidRPr="005806A9">
        <w:rPr>
          <w:rStyle w:val="ae"/>
          <w:rFonts w:ascii="Traditional Arabic" w:hAnsi="Traditional Arabic"/>
          <w:sz w:val="32"/>
          <w:szCs w:val="32"/>
          <w:vertAlign w:val="baseline"/>
        </w:rPr>
        <w:footnoteRef/>
      </w:r>
      <w:r w:rsidRPr="005806A9">
        <w:rPr>
          <w:rFonts w:ascii="Traditional Arabic" w:hAnsi="Traditional Arabic"/>
          <w:sz w:val="32"/>
          <w:szCs w:val="32"/>
          <w:rtl/>
        </w:rPr>
        <w:t>) انظر: تفسير الطبري (17/551).</w:t>
      </w:r>
    </w:p>
  </w:footnote>
  <w:footnote w:id="675">
    <w:p w:rsidR="003F128F" w:rsidRPr="005806A9" w:rsidRDefault="003F128F" w:rsidP="006756FA">
      <w:pPr>
        <w:pStyle w:val="af3"/>
        <w:rPr>
          <w:rFonts w:ascii="Traditional Arabic" w:hAnsi="Traditional Arabic"/>
          <w:sz w:val="32"/>
          <w:szCs w:val="32"/>
        </w:rPr>
      </w:pPr>
      <w:r w:rsidRPr="005806A9">
        <w:rPr>
          <w:rFonts w:ascii="Traditional Arabic" w:hAnsi="Traditional Arabic"/>
          <w:sz w:val="32"/>
          <w:szCs w:val="32"/>
          <w:rtl/>
        </w:rPr>
        <w:t>(</w:t>
      </w:r>
      <w:r w:rsidRPr="005806A9">
        <w:rPr>
          <w:rStyle w:val="ae"/>
          <w:rFonts w:ascii="Traditional Arabic" w:hAnsi="Traditional Arabic"/>
          <w:sz w:val="32"/>
          <w:szCs w:val="32"/>
          <w:vertAlign w:val="baseline"/>
        </w:rPr>
        <w:footnoteRef/>
      </w:r>
      <w:r w:rsidRPr="005806A9">
        <w:rPr>
          <w:rFonts w:ascii="Traditional Arabic" w:hAnsi="Traditional Arabic"/>
          <w:sz w:val="32"/>
          <w:szCs w:val="32"/>
          <w:rtl/>
        </w:rPr>
        <w:t>) انظر: تفسير مجاهد (ص442), تفسير الطبري (17/551).</w:t>
      </w:r>
    </w:p>
  </w:footnote>
  <w:footnote w:id="676">
    <w:p w:rsidR="003F128F" w:rsidRPr="005806A9" w:rsidRDefault="003F128F" w:rsidP="00911ED4">
      <w:pPr>
        <w:pStyle w:val="af3"/>
        <w:rPr>
          <w:rFonts w:ascii="Traditional Arabic" w:hAnsi="Traditional Arabic"/>
          <w:sz w:val="32"/>
          <w:szCs w:val="32"/>
        </w:rPr>
      </w:pPr>
      <w:r w:rsidRPr="005806A9">
        <w:rPr>
          <w:rFonts w:ascii="Traditional Arabic" w:hAnsi="Traditional Arabic"/>
          <w:sz w:val="32"/>
          <w:szCs w:val="32"/>
          <w:rtl/>
        </w:rPr>
        <w:t>(</w:t>
      </w:r>
      <w:r w:rsidRPr="005806A9">
        <w:rPr>
          <w:rStyle w:val="ae"/>
          <w:rFonts w:ascii="Traditional Arabic" w:hAnsi="Traditional Arabic"/>
          <w:sz w:val="32"/>
          <w:szCs w:val="32"/>
          <w:vertAlign w:val="baseline"/>
        </w:rPr>
        <w:footnoteRef/>
      </w:r>
      <w:r w:rsidRPr="005806A9">
        <w:rPr>
          <w:rFonts w:ascii="Traditional Arabic" w:hAnsi="Traditional Arabic"/>
          <w:sz w:val="32"/>
          <w:szCs w:val="32"/>
          <w:rtl/>
        </w:rPr>
        <w:t>) انظر: تفسير الطبري (17/552), الكشف والبيان (6/135).</w:t>
      </w:r>
    </w:p>
  </w:footnote>
  <w:footnote w:id="677">
    <w:p w:rsidR="003F128F" w:rsidRPr="005806A9" w:rsidRDefault="003F128F" w:rsidP="00911ED4">
      <w:pPr>
        <w:pStyle w:val="af3"/>
        <w:rPr>
          <w:rFonts w:ascii="Traditional Arabic" w:hAnsi="Traditional Arabic"/>
          <w:sz w:val="32"/>
          <w:szCs w:val="32"/>
        </w:rPr>
      </w:pPr>
      <w:r w:rsidRPr="005806A9">
        <w:rPr>
          <w:rFonts w:ascii="Traditional Arabic" w:hAnsi="Traditional Arabic"/>
          <w:sz w:val="32"/>
          <w:szCs w:val="32"/>
          <w:rtl/>
        </w:rPr>
        <w:t>(</w:t>
      </w:r>
      <w:r w:rsidRPr="005806A9">
        <w:rPr>
          <w:rStyle w:val="ae"/>
          <w:rFonts w:ascii="Traditional Arabic" w:hAnsi="Traditional Arabic"/>
          <w:sz w:val="32"/>
          <w:szCs w:val="32"/>
          <w:vertAlign w:val="baseline"/>
        </w:rPr>
        <w:footnoteRef/>
      </w:r>
      <w:r w:rsidRPr="005806A9">
        <w:rPr>
          <w:rFonts w:ascii="Traditional Arabic" w:hAnsi="Traditional Arabic"/>
          <w:sz w:val="32"/>
          <w:szCs w:val="32"/>
          <w:rtl/>
        </w:rPr>
        <w:t>) سورة يونس, الآية</w:t>
      </w:r>
      <w:r>
        <w:rPr>
          <w:rFonts w:ascii="Traditional Arabic" w:hAnsi="Traditional Arabic" w:hint="cs"/>
          <w:sz w:val="32"/>
          <w:szCs w:val="32"/>
          <w:rtl/>
        </w:rPr>
        <w:t>:</w:t>
      </w:r>
      <w:r>
        <w:rPr>
          <w:rFonts w:ascii="Traditional Arabic" w:hAnsi="Traditional Arabic"/>
          <w:sz w:val="32"/>
          <w:szCs w:val="32"/>
          <w:rtl/>
        </w:rPr>
        <w:t xml:space="preserve"> (24)</w:t>
      </w:r>
      <w:r>
        <w:rPr>
          <w:rFonts w:ascii="Traditional Arabic" w:hAnsi="Traditional Arabic" w:hint="cs"/>
          <w:sz w:val="32"/>
          <w:szCs w:val="32"/>
          <w:rtl/>
        </w:rPr>
        <w:t>.</w:t>
      </w:r>
      <w:r w:rsidRPr="005806A9">
        <w:rPr>
          <w:rFonts w:ascii="Traditional Arabic" w:hAnsi="Traditional Arabic"/>
          <w:sz w:val="32"/>
          <w:szCs w:val="32"/>
          <w:rtl/>
        </w:rPr>
        <w:t xml:space="preserve"> انظر: زاد المسير (4/21).</w:t>
      </w:r>
    </w:p>
  </w:footnote>
  <w:footnote w:id="678">
    <w:p w:rsidR="003F128F" w:rsidRPr="005806A9" w:rsidRDefault="003F128F" w:rsidP="00911ED4">
      <w:pPr>
        <w:pStyle w:val="af3"/>
        <w:rPr>
          <w:rFonts w:ascii="Traditional Arabic" w:hAnsi="Traditional Arabic"/>
          <w:sz w:val="32"/>
          <w:szCs w:val="32"/>
        </w:rPr>
      </w:pPr>
      <w:r w:rsidRPr="005806A9">
        <w:rPr>
          <w:rFonts w:ascii="Traditional Arabic" w:hAnsi="Traditional Arabic"/>
          <w:sz w:val="32"/>
          <w:szCs w:val="32"/>
          <w:rtl/>
        </w:rPr>
        <w:t>(</w:t>
      </w:r>
      <w:r w:rsidRPr="005806A9">
        <w:rPr>
          <w:rStyle w:val="ae"/>
          <w:rFonts w:ascii="Traditional Arabic" w:hAnsi="Traditional Arabic"/>
          <w:sz w:val="32"/>
          <w:szCs w:val="32"/>
          <w:vertAlign w:val="baseline"/>
        </w:rPr>
        <w:footnoteRef/>
      </w:r>
      <w:r w:rsidRPr="005806A9">
        <w:rPr>
          <w:rFonts w:ascii="Traditional Arabic" w:hAnsi="Traditional Arabic"/>
          <w:sz w:val="32"/>
          <w:szCs w:val="32"/>
          <w:rtl/>
        </w:rPr>
        <w:t>) انظر: تفسير الطبري (17/554), معاني القرآن للزجاج (3/260).</w:t>
      </w:r>
    </w:p>
  </w:footnote>
  <w:footnote w:id="679">
    <w:p w:rsidR="003F128F" w:rsidRPr="005806A9" w:rsidRDefault="003F128F" w:rsidP="00911ED4">
      <w:pPr>
        <w:pStyle w:val="af3"/>
        <w:rPr>
          <w:rFonts w:ascii="Traditional Arabic" w:hAnsi="Traditional Arabic"/>
          <w:sz w:val="32"/>
          <w:szCs w:val="32"/>
        </w:rPr>
      </w:pPr>
      <w:r w:rsidRPr="005806A9">
        <w:rPr>
          <w:rFonts w:ascii="Traditional Arabic" w:hAnsi="Traditional Arabic"/>
          <w:sz w:val="32"/>
          <w:szCs w:val="32"/>
          <w:rtl/>
        </w:rPr>
        <w:t>(</w:t>
      </w:r>
      <w:r w:rsidRPr="005806A9">
        <w:rPr>
          <w:rStyle w:val="ae"/>
          <w:rFonts w:ascii="Traditional Arabic" w:hAnsi="Traditional Arabic"/>
          <w:sz w:val="32"/>
          <w:szCs w:val="32"/>
          <w:vertAlign w:val="baseline"/>
        </w:rPr>
        <w:footnoteRef/>
      </w:r>
      <w:r w:rsidRPr="005806A9">
        <w:rPr>
          <w:rFonts w:ascii="Traditional Arabic" w:hAnsi="Traditional Arabic"/>
          <w:sz w:val="32"/>
          <w:szCs w:val="32"/>
          <w:rtl/>
        </w:rPr>
        <w:t xml:space="preserve">) التفسير الوسيط (3/128).  </w:t>
      </w:r>
    </w:p>
  </w:footnote>
  <w:footnote w:id="680">
    <w:p w:rsidR="003F128F" w:rsidRPr="005806A9" w:rsidRDefault="003F128F" w:rsidP="00911ED4">
      <w:pPr>
        <w:pStyle w:val="af3"/>
        <w:rPr>
          <w:rFonts w:ascii="Traditional Arabic" w:hAnsi="Traditional Arabic"/>
          <w:sz w:val="32"/>
          <w:szCs w:val="32"/>
        </w:rPr>
      </w:pPr>
      <w:r w:rsidRPr="005806A9">
        <w:rPr>
          <w:rFonts w:ascii="Traditional Arabic" w:hAnsi="Traditional Arabic"/>
          <w:sz w:val="32"/>
          <w:szCs w:val="32"/>
          <w:rtl/>
        </w:rPr>
        <w:t>(</w:t>
      </w:r>
      <w:r w:rsidRPr="005806A9">
        <w:rPr>
          <w:rStyle w:val="ae"/>
          <w:rFonts w:ascii="Traditional Arabic" w:hAnsi="Traditional Arabic"/>
          <w:sz w:val="32"/>
          <w:szCs w:val="32"/>
          <w:vertAlign w:val="baseline"/>
        </w:rPr>
        <w:footnoteRef/>
      </w:r>
      <w:r w:rsidRPr="005806A9">
        <w:rPr>
          <w:rFonts w:ascii="Traditional Arabic" w:hAnsi="Traditional Arabic"/>
          <w:sz w:val="32"/>
          <w:szCs w:val="32"/>
          <w:rtl/>
        </w:rPr>
        <w:t>) انظر: معاني القراءات (2/101).</w:t>
      </w:r>
    </w:p>
  </w:footnote>
  <w:footnote w:id="681">
    <w:p w:rsidR="003F128F" w:rsidRPr="005806A9" w:rsidRDefault="003F128F" w:rsidP="00911ED4">
      <w:pPr>
        <w:pStyle w:val="af3"/>
        <w:rPr>
          <w:rFonts w:ascii="Traditional Arabic" w:hAnsi="Traditional Arabic"/>
          <w:sz w:val="32"/>
          <w:szCs w:val="32"/>
        </w:rPr>
      </w:pPr>
      <w:r w:rsidRPr="005806A9">
        <w:rPr>
          <w:rFonts w:ascii="Traditional Arabic" w:hAnsi="Traditional Arabic"/>
          <w:sz w:val="32"/>
          <w:szCs w:val="32"/>
          <w:rtl/>
        </w:rPr>
        <w:t>(</w:t>
      </w:r>
      <w:r w:rsidRPr="005806A9">
        <w:rPr>
          <w:rStyle w:val="ae"/>
          <w:rFonts w:ascii="Traditional Arabic" w:hAnsi="Traditional Arabic"/>
          <w:sz w:val="32"/>
          <w:szCs w:val="32"/>
          <w:vertAlign w:val="baseline"/>
        </w:rPr>
        <w:footnoteRef/>
      </w:r>
      <w:r>
        <w:rPr>
          <w:rFonts w:ascii="Traditional Arabic" w:hAnsi="Traditional Arabic"/>
          <w:sz w:val="32"/>
          <w:szCs w:val="32"/>
          <w:rtl/>
        </w:rPr>
        <w:t>) في (</w:t>
      </w:r>
      <w:r>
        <w:rPr>
          <w:rFonts w:ascii="Traditional Arabic" w:hAnsi="Traditional Arabic" w:hint="cs"/>
          <w:sz w:val="32"/>
          <w:szCs w:val="32"/>
          <w:rtl/>
        </w:rPr>
        <w:t>ك</w:t>
      </w:r>
      <w:r>
        <w:rPr>
          <w:rFonts w:ascii="Traditional Arabic" w:hAnsi="Traditional Arabic"/>
          <w:sz w:val="32"/>
          <w:szCs w:val="32"/>
          <w:rtl/>
        </w:rPr>
        <w:t xml:space="preserve">): </w:t>
      </w:r>
      <w:r>
        <w:rPr>
          <w:rFonts w:ascii="Traditional Arabic" w:hAnsi="Traditional Arabic" w:hint="cs"/>
          <w:sz w:val="32"/>
          <w:szCs w:val="32"/>
          <w:rtl/>
        </w:rPr>
        <w:t>[</w:t>
      </w:r>
      <w:r>
        <w:rPr>
          <w:rFonts w:ascii="Traditional Arabic" w:hAnsi="Traditional Arabic"/>
          <w:sz w:val="32"/>
          <w:szCs w:val="32"/>
          <w:rtl/>
        </w:rPr>
        <w:t>ليست في قوى البشر</w:t>
      </w:r>
      <w:r>
        <w:rPr>
          <w:rFonts w:ascii="Traditional Arabic" w:hAnsi="Traditional Arabic" w:hint="cs"/>
          <w:sz w:val="32"/>
          <w:szCs w:val="32"/>
          <w:rtl/>
        </w:rPr>
        <w:t>]</w:t>
      </w:r>
      <w:r w:rsidRPr="005806A9">
        <w:rPr>
          <w:rFonts w:ascii="Traditional Arabic" w:hAnsi="Traditional Arabic"/>
          <w:sz w:val="32"/>
          <w:szCs w:val="32"/>
          <w:rtl/>
        </w:rPr>
        <w:t>.</w:t>
      </w:r>
    </w:p>
  </w:footnote>
  <w:footnote w:id="682">
    <w:p w:rsidR="003F128F" w:rsidRPr="005806A9" w:rsidRDefault="003F128F" w:rsidP="00911ED4">
      <w:pPr>
        <w:pStyle w:val="af3"/>
        <w:rPr>
          <w:rFonts w:ascii="Traditional Arabic" w:hAnsi="Traditional Arabic"/>
          <w:sz w:val="32"/>
          <w:szCs w:val="32"/>
        </w:rPr>
      </w:pPr>
      <w:r w:rsidRPr="005806A9">
        <w:rPr>
          <w:rFonts w:ascii="Traditional Arabic" w:hAnsi="Traditional Arabic"/>
          <w:sz w:val="32"/>
          <w:szCs w:val="32"/>
          <w:rtl/>
        </w:rPr>
        <w:t>(</w:t>
      </w:r>
      <w:r w:rsidRPr="005806A9">
        <w:rPr>
          <w:rStyle w:val="ae"/>
          <w:rFonts w:ascii="Traditional Arabic" w:hAnsi="Traditional Arabic"/>
          <w:sz w:val="32"/>
          <w:szCs w:val="32"/>
          <w:vertAlign w:val="baseline"/>
        </w:rPr>
        <w:footnoteRef/>
      </w:r>
      <w:r w:rsidRPr="005806A9">
        <w:rPr>
          <w:rFonts w:ascii="Traditional Arabic" w:hAnsi="Traditional Arabic"/>
          <w:sz w:val="32"/>
          <w:szCs w:val="32"/>
          <w:rtl/>
        </w:rPr>
        <w:t>) انظر: الكشف والبيان (6/135), التفسير الوسيط (3/128).</w:t>
      </w:r>
    </w:p>
  </w:footnote>
  <w:footnote w:id="683">
    <w:p w:rsidR="003F128F" w:rsidRPr="005806A9" w:rsidRDefault="003F128F" w:rsidP="00911ED4">
      <w:pPr>
        <w:pStyle w:val="af3"/>
        <w:rPr>
          <w:rFonts w:ascii="Traditional Arabic" w:hAnsi="Traditional Arabic"/>
          <w:sz w:val="32"/>
          <w:szCs w:val="32"/>
        </w:rPr>
      </w:pPr>
      <w:r w:rsidRPr="005806A9">
        <w:rPr>
          <w:rFonts w:ascii="Traditional Arabic" w:hAnsi="Traditional Arabic"/>
          <w:sz w:val="32"/>
          <w:szCs w:val="32"/>
          <w:rtl/>
        </w:rPr>
        <w:t>(</w:t>
      </w:r>
      <w:r w:rsidRPr="005806A9">
        <w:rPr>
          <w:rStyle w:val="ae"/>
          <w:rFonts w:ascii="Traditional Arabic" w:hAnsi="Traditional Arabic"/>
          <w:sz w:val="32"/>
          <w:szCs w:val="32"/>
          <w:vertAlign w:val="baseline"/>
        </w:rPr>
        <w:footnoteRef/>
      </w:r>
      <w:r>
        <w:rPr>
          <w:rFonts w:ascii="Traditional Arabic" w:hAnsi="Traditional Arabic"/>
          <w:sz w:val="32"/>
          <w:szCs w:val="32"/>
          <w:rtl/>
        </w:rPr>
        <w:t>) في (</w:t>
      </w:r>
      <w:r>
        <w:rPr>
          <w:rFonts w:ascii="Traditional Arabic" w:hAnsi="Traditional Arabic" w:hint="cs"/>
          <w:sz w:val="32"/>
          <w:szCs w:val="32"/>
          <w:rtl/>
        </w:rPr>
        <w:t>ك</w:t>
      </w:r>
      <w:r>
        <w:rPr>
          <w:rFonts w:ascii="Traditional Arabic" w:hAnsi="Traditional Arabic"/>
          <w:sz w:val="32"/>
          <w:szCs w:val="32"/>
          <w:rtl/>
        </w:rPr>
        <w:t xml:space="preserve">): </w:t>
      </w:r>
      <w:r>
        <w:rPr>
          <w:rFonts w:ascii="Traditional Arabic" w:hAnsi="Traditional Arabic" w:hint="cs"/>
          <w:sz w:val="32"/>
          <w:szCs w:val="32"/>
          <w:rtl/>
        </w:rPr>
        <w:t>[</w:t>
      </w:r>
      <w:r>
        <w:rPr>
          <w:rFonts w:ascii="Traditional Arabic" w:hAnsi="Traditional Arabic"/>
          <w:sz w:val="32"/>
          <w:szCs w:val="32"/>
          <w:rtl/>
        </w:rPr>
        <w:t>حكاية ما قالوا</w:t>
      </w:r>
      <w:r>
        <w:rPr>
          <w:rFonts w:ascii="Traditional Arabic" w:hAnsi="Traditional Arabic" w:hint="cs"/>
          <w:sz w:val="32"/>
          <w:szCs w:val="32"/>
          <w:rtl/>
        </w:rPr>
        <w:t>]</w:t>
      </w:r>
      <w:r w:rsidRPr="005806A9">
        <w:rPr>
          <w:rFonts w:ascii="Traditional Arabic" w:hAnsi="Traditional Arabic"/>
          <w:sz w:val="32"/>
          <w:szCs w:val="32"/>
          <w:rtl/>
        </w:rPr>
        <w:t xml:space="preserve">. </w:t>
      </w:r>
    </w:p>
  </w:footnote>
  <w:footnote w:id="684">
    <w:p w:rsidR="003F128F" w:rsidRPr="003A202B" w:rsidRDefault="003F128F" w:rsidP="00911ED4">
      <w:pPr>
        <w:pStyle w:val="af3"/>
        <w:rPr>
          <w:rFonts w:ascii="Traditional Arabic" w:hAnsi="Traditional Arabic"/>
          <w:sz w:val="32"/>
          <w:szCs w:val="32"/>
          <w:rtl/>
        </w:rPr>
      </w:pPr>
      <w:r w:rsidRPr="005806A9">
        <w:rPr>
          <w:rFonts w:ascii="Traditional Arabic" w:hAnsi="Traditional Arabic"/>
          <w:sz w:val="32"/>
          <w:szCs w:val="32"/>
          <w:rtl/>
        </w:rPr>
        <w:t>(</w:t>
      </w:r>
      <w:r w:rsidRPr="005806A9">
        <w:rPr>
          <w:rStyle w:val="ae"/>
          <w:rFonts w:ascii="Traditional Arabic" w:hAnsi="Traditional Arabic"/>
          <w:sz w:val="32"/>
          <w:szCs w:val="32"/>
          <w:vertAlign w:val="baseline"/>
        </w:rPr>
        <w:footnoteRef/>
      </w:r>
      <w:r>
        <w:rPr>
          <w:rFonts w:ascii="Traditional Arabic" w:hAnsi="Traditional Arabic"/>
          <w:sz w:val="32"/>
          <w:szCs w:val="32"/>
          <w:rtl/>
        </w:rPr>
        <w:t>) في (</w:t>
      </w:r>
      <w:r>
        <w:rPr>
          <w:rFonts w:ascii="Traditional Arabic" w:hAnsi="Traditional Arabic" w:hint="cs"/>
          <w:sz w:val="32"/>
          <w:szCs w:val="32"/>
          <w:rtl/>
        </w:rPr>
        <w:t>ك</w:t>
      </w:r>
      <w:r>
        <w:rPr>
          <w:rFonts w:ascii="Traditional Arabic" w:hAnsi="Traditional Arabic"/>
          <w:sz w:val="32"/>
          <w:szCs w:val="32"/>
          <w:rtl/>
        </w:rPr>
        <w:t xml:space="preserve">): </w:t>
      </w:r>
      <w:r>
        <w:rPr>
          <w:rFonts w:ascii="Traditional Arabic" w:hAnsi="Traditional Arabic" w:hint="cs"/>
          <w:sz w:val="32"/>
          <w:szCs w:val="32"/>
          <w:rtl/>
        </w:rPr>
        <w:t>[</w:t>
      </w:r>
      <w:r>
        <w:rPr>
          <w:rFonts w:ascii="Traditional Arabic" w:hAnsi="Traditional Arabic"/>
          <w:sz w:val="32"/>
          <w:szCs w:val="32"/>
          <w:rtl/>
        </w:rPr>
        <w:t>من غير إِيضاح الرد له</w:t>
      </w:r>
      <w:r>
        <w:rPr>
          <w:rFonts w:ascii="Traditional Arabic" w:hAnsi="Traditional Arabic" w:hint="cs"/>
          <w:sz w:val="32"/>
          <w:szCs w:val="32"/>
          <w:rtl/>
        </w:rPr>
        <w:t>]</w:t>
      </w:r>
      <w:r w:rsidRPr="005806A9">
        <w:rPr>
          <w:rFonts w:ascii="Traditional Arabic" w:hAnsi="Traditional Arabic"/>
          <w:sz w:val="32"/>
          <w:szCs w:val="32"/>
          <w:rtl/>
        </w:rPr>
        <w:t>.</w:t>
      </w:r>
      <w:r w:rsidRPr="003A202B">
        <w:rPr>
          <w:rFonts w:ascii="Traditional Arabic" w:hAnsi="Traditional Arabic"/>
          <w:sz w:val="32"/>
          <w:szCs w:val="32"/>
          <w:rtl/>
        </w:rPr>
        <w:t xml:space="preserve">  </w:t>
      </w:r>
    </w:p>
  </w:footnote>
  <w:footnote w:id="685">
    <w:p w:rsidR="003F128F" w:rsidRPr="003A202B" w:rsidRDefault="003F128F" w:rsidP="00911ED4">
      <w:pPr>
        <w:pStyle w:val="af3"/>
        <w:rPr>
          <w:rFonts w:ascii="Traditional Arabic" w:hAnsi="Traditional Arabic"/>
          <w:sz w:val="32"/>
          <w:szCs w:val="32"/>
        </w:rPr>
      </w:pPr>
      <w:r w:rsidRPr="003A202B">
        <w:rPr>
          <w:rFonts w:ascii="Traditional Arabic" w:hAnsi="Traditional Arabic"/>
          <w:sz w:val="32"/>
          <w:szCs w:val="32"/>
          <w:rtl/>
        </w:rPr>
        <w:t>(</w:t>
      </w:r>
      <w:r w:rsidRPr="003A202B">
        <w:rPr>
          <w:rStyle w:val="ae"/>
          <w:rFonts w:ascii="Traditional Arabic" w:hAnsi="Traditional Arabic"/>
          <w:sz w:val="32"/>
          <w:szCs w:val="32"/>
          <w:vertAlign w:val="baseline"/>
        </w:rPr>
        <w:footnoteRef/>
      </w:r>
      <w:r>
        <w:rPr>
          <w:rFonts w:ascii="Traditional Arabic" w:hAnsi="Traditional Arabic"/>
          <w:sz w:val="32"/>
          <w:szCs w:val="32"/>
          <w:rtl/>
        </w:rPr>
        <w:t>) في (</w:t>
      </w:r>
      <w:r>
        <w:rPr>
          <w:rFonts w:ascii="Traditional Arabic" w:hAnsi="Traditional Arabic" w:hint="cs"/>
          <w:sz w:val="32"/>
          <w:szCs w:val="32"/>
          <w:rtl/>
        </w:rPr>
        <w:t>ك</w:t>
      </w:r>
      <w:r>
        <w:rPr>
          <w:rFonts w:ascii="Traditional Arabic" w:hAnsi="Traditional Arabic"/>
          <w:sz w:val="32"/>
          <w:szCs w:val="32"/>
          <w:rtl/>
        </w:rPr>
        <w:t xml:space="preserve">): </w:t>
      </w:r>
      <w:r>
        <w:rPr>
          <w:rFonts w:ascii="Traditional Arabic" w:hAnsi="Traditional Arabic" w:hint="cs"/>
          <w:sz w:val="32"/>
          <w:szCs w:val="32"/>
          <w:rtl/>
        </w:rPr>
        <w:t>[</w:t>
      </w:r>
      <w:r w:rsidRPr="003A202B">
        <w:rPr>
          <w:rFonts w:ascii="Traditional Arabic" w:hAnsi="Traditional Arabic"/>
          <w:sz w:val="32"/>
          <w:szCs w:val="32"/>
          <w:rtl/>
        </w:rPr>
        <w:t>فكأنه يقول: أوضحت لكم</w:t>
      </w:r>
      <w:r>
        <w:rPr>
          <w:rFonts w:ascii="Traditional Arabic" w:hAnsi="Traditional Arabic" w:hint="cs"/>
          <w:sz w:val="32"/>
          <w:szCs w:val="32"/>
          <w:rtl/>
        </w:rPr>
        <w:t>]</w:t>
      </w:r>
      <w:r w:rsidRPr="003A202B">
        <w:rPr>
          <w:rFonts w:ascii="Traditional Arabic" w:hAnsi="Traditional Arabic"/>
          <w:sz w:val="32"/>
          <w:szCs w:val="32"/>
          <w:rtl/>
        </w:rPr>
        <w:t>.</w:t>
      </w:r>
    </w:p>
  </w:footnote>
  <w:footnote w:id="686">
    <w:p w:rsidR="003F128F" w:rsidRPr="003A202B" w:rsidRDefault="003F128F" w:rsidP="00911ED4">
      <w:pPr>
        <w:pStyle w:val="af3"/>
        <w:rPr>
          <w:rFonts w:ascii="Traditional Arabic" w:hAnsi="Traditional Arabic"/>
          <w:sz w:val="32"/>
          <w:szCs w:val="32"/>
        </w:rPr>
      </w:pPr>
      <w:r w:rsidRPr="003A202B">
        <w:rPr>
          <w:rFonts w:ascii="Traditional Arabic" w:hAnsi="Traditional Arabic"/>
          <w:sz w:val="32"/>
          <w:szCs w:val="32"/>
          <w:rtl/>
        </w:rPr>
        <w:t>(</w:t>
      </w:r>
      <w:r w:rsidRPr="003A202B">
        <w:rPr>
          <w:rStyle w:val="ae"/>
          <w:rFonts w:ascii="Traditional Arabic" w:hAnsi="Traditional Arabic"/>
          <w:sz w:val="32"/>
          <w:szCs w:val="32"/>
          <w:vertAlign w:val="baseline"/>
        </w:rPr>
        <w:footnoteRef/>
      </w:r>
      <w:r w:rsidRPr="003A202B">
        <w:rPr>
          <w:rFonts w:ascii="Traditional Arabic" w:hAnsi="Traditional Arabic"/>
          <w:sz w:val="32"/>
          <w:szCs w:val="32"/>
          <w:rtl/>
        </w:rPr>
        <w:t xml:space="preserve">) التفسير الوسيط (3/128). </w:t>
      </w:r>
    </w:p>
  </w:footnote>
  <w:footnote w:id="687">
    <w:p w:rsidR="003F128F" w:rsidRPr="003A202B" w:rsidRDefault="003F128F" w:rsidP="00911ED4">
      <w:pPr>
        <w:pStyle w:val="af3"/>
        <w:rPr>
          <w:rFonts w:ascii="Traditional Arabic" w:hAnsi="Traditional Arabic"/>
          <w:sz w:val="32"/>
          <w:szCs w:val="32"/>
        </w:rPr>
      </w:pPr>
      <w:r w:rsidRPr="003A202B">
        <w:rPr>
          <w:rFonts w:ascii="Traditional Arabic" w:hAnsi="Traditional Arabic"/>
          <w:sz w:val="32"/>
          <w:szCs w:val="32"/>
          <w:rtl/>
        </w:rPr>
        <w:t>(</w:t>
      </w:r>
      <w:r w:rsidRPr="003A202B">
        <w:rPr>
          <w:rStyle w:val="ae"/>
          <w:rFonts w:ascii="Traditional Arabic" w:hAnsi="Traditional Arabic"/>
          <w:sz w:val="32"/>
          <w:szCs w:val="32"/>
          <w:vertAlign w:val="baseline"/>
        </w:rPr>
        <w:footnoteRef/>
      </w:r>
      <w:r>
        <w:rPr>
          <w:rFonts w:ascii="Traditional Arabic" w:hAnsi="Traditional Arabic"/>
          <w:sz w:val="32"/>
          <w:szCs w:val="32"/>
          <w:rtl/>
        </w:rPr>
        <w:t>) في (</w:t>
      </w:r>
      <w:r>
        <w:rPr>
          <w:rFonts w:ascii="Traditional Arabic" w:hAnsi="Traditional Arabic" w:hint="cs"/>
          <w:sz w:val="32"/>
          <w:szCs w:val="32"/>
          <w:rtl/>
        </w:rPr>
        <w:t>ك</w:t>
      </w:r>
      <w:r>
        <w:rPr>
          <w:rFonts w:ascii="Traditional Arabic" w:hAnsi="Traditional Arabic"/>
          <w:sz w:val="32"/>
          <w:szCs w:val="32"/>
          <w:rtl/>
        </w:rPr>
        <w:t xml:space="preserve">): </w:t>
      </w:r>
      <w:r>
        <w:rPr>
          <w:rFonts w:ascii="Traditional Arabic" w:hAnsi="Traditional Arabic" w:hint="cs"/>
          <w:sz w:val="32"/>
          <w:szCs w:val="32"/>
          <w:rtl/>
        </w:rPr>
        <w:t>[</w:t>
      </w:r>
      <w:r>
        <w:rPr>
          <w:rFonts w:ascii="Traditional Arabic" w:hAnsi="Traditional Arabic"/>
          <w:sz w:val="32"/>
          <w:szCs w:val="32"/>
          <w:rtl/>
        </w:rPr>
        <w:t>هلا بعث مَلَكاً رسولاً</w:t>
      </w:r>
      <w:r>
        <w:rPr>
          <w:rFonts w:ascii="Traditional Arabic" w:hAnsi="Traditional Arabic" w:hint="cs"/>
          <w:sz w:val="32"/>
          <w:szCs w:val="32"/>
          <w:rtl/>
        </w:rPr>
        <w:t>]</w:t>
      </w:r>
      <w:r w:rsidRPr="003A202B">
        <w:rPr>
          <w:rFonts w:ascii="Traditional Arabic" w:hAnsi="Traditional Arabic"/>
          <w:sz w:val="32"/>
          <w:szCs w:val="32"/>
          <w:rtl/>
        </w:rPr>
        <w:t>.</w:t>
      </w:r>
    </w:p>
  </w:footnote>
  <w:footnote w:id="688">
    <w:p w:rsidR="003F128F" w:rsidRPr="003A202B" w:rsidRDefault="003F128F" w:rsidP="00911ED4">
      <w:pPr>
        <w:pStyle w:val="af3"/>
        <w:rPr>
          <w:rFonts w:ascii="Traditional Arabic" w:hAnsi="Traditional Arabic"/>
          <w:sz w:val="32"/>
          <w:szCs w:val="32"/>
        </w:rPr>
      </w:pPr>
      <w:r w:rsidRPr="003A202B">
        <w:rPr>
          <w:rFonts w:ascii="Traditional Arabic" w:hAnsi="Traditional Arabic"/>
          <w:sz w:val="32"/>
          <w:szCs w:val="32"/>
          <w:rtl/>
        </w:rPr>
        <w:t>(</w:t>
      </w:r>
      <w:r w:rsidRPr="003A202B">
        <w:rPr>
          <w:rStyle w:val="ae"/>
          <w:rFonts w:ascii="Traditional Arabic" w:hAnsi="Traditional Arabic"/>
          <w:sz w:val="32"/>
          <w:szCs w:val="32"/>
          <w:vertAlign w:val="baseline"/>
        </w:rPr>
        <w:footnoteRef/>
      </w:r>
      <w:r w:rsidRPr="003A202B">
        <w:rPr>
          <w:rFonts w:ascii="Traditional Arabic" w:hAnsi="Traditional Arabic"/>
          <w:sz w:val="32"/>
          <w:szCs w:val="32"/>
          <w:rtl/>
        </w:rPr>
        <w:t>) انظر: معاني القرآن للزجاج (3/261) التفسير الوسيط (3/128).</w:t>
      </w:r>
    </w:p>
  </w:footnote>
  <w:footnote w:id="689">
    <w:p w:rsidR="003F128F" w:rsidRPr="003A202B" w:rsidRDefault="003F128F" w:rsidP="00911ED4">
      <w:pPr>
        <w:pStyle w:val="af3"/>
        <w:rPr>
          <w:rFonts w:ascii="Traditional Arabic" w:hAnsi="Traditional Arabic"/>
          <w:sz w:val="32"/>
          <w:szCs w:val="32"/>
        </w:rPr>
      </w:pPr>
      <w:r w:rsidRPr="003A202B">
        <w:rPr>
          <w:rFonts w:ascii="Traditional Arabic" w:hAnsi="Traditional Arabic"/>
          <w:sz w:val="32"/>
          <w:szCs w:val="32"/>
          <w:rtl/>
        </w:rPr>
        <w:t>(</w:t>
      </w:r>
      <w:r w:rsidRPr="003A202B">
        <w:rPr>
          <w:rStyle w:val="ae"/>
          <w:rFonts w:ascii="Traditional Arabic" w:hAnsi="Traditional Arabic"/>
          <w:sz w:val="32"/>
          <w:szCs w:val="32"/>
          <w:vertAlign w:val="baseline"/>
        </w:rPr>
        <w:footnoteRef/>
      </w:r>
      <w:r w:rsidRPr="003A202B">
        <w:rPr>
          <w:rFonts w:ascii="Traditional Arabic" w:hAnsi="Traditional Arabic"/>
          <w:sz w:val="32"/>
          <w:szCs w:val="32"/>
          <w:rtl/>
        </w:rPr>
        <w:t>) انظر: التفسير الوسيط (3/128).</w:t>
      </w:r>
    </w:p>
  </w:footnote>
  <w:footnote w:id="690">
    <w:p w:rsidR="003F128F" w:rsidRPr="003A202B" w:rsidRDefault="003F128F" w:rsidP="006756FA">
      <w:pPr>
        <w:pStyle w:val="af3"/>
        <w:rPr>
          <w:rFonts w:ascii="Traditional Arabic" w:hAnsi="Traditional Arabic"/>
          <w:sz w:val="32"/>
          <w:szCs w:val="32"/>
        </w:rPr>
      </w:pPr>
      <w:r w:rsidRPr="003A202B">
        <w:rPr>
          <w:rFonts w:ascii="Traditional Arabic" w:hAnsi="Traditional Arabic"/>
          <w:sz w:val="32"/>
          <w:szCs w:val="32"/>
          <w:rtl/>
        </w:rPr>
        <w:t>(</w:t>
      </w:r>
      <w:r w:rsidRPr="003A202B">
        <w:rPr>
          <w:rStyle w:val="ae"/>
          <w:rFonts w:ascii="Traditional Arabic" w:hAnsi="Traditional Arabic"/>
          <w:sz w:val="32"/>
          <w:szCs w:val="32"/>
          <w:vertAlign w:val="baseline"/>
        </w:rPr>
        <w:footnoteRef/>
      </w:r>
      <w:r w:rsidRPr="003A202B">
        <w:rPr>
          <w:rFonts w:ascii="Traditional Arabic" w:hAnsi="Traditional Arabic"/>
          <w:sz w:val="32"/>
          <w:szCs w:val="32"/>
          <w:rtl/>
        </w:rPr>
        <w:t>) سورة الرعد, الآية</w:t>
      </w:r>
      <w:r>
        <w:rPr>
          <w:rFonts w:ascii="Traditional Arabic" w:hAnsi="Traditional Arabic" w:hint="cs"/>
          <w:sz w:val="32"/>
          <w:szCs w:val="32"/>
          <w:rtl/>
        </w:rPr>
        <w:t>:</w:t>
      </w:r>
      <w:r w:rsidRPr="003A202B">
        <w:rPr>
          <w:rFonts w:ascii="Traditional Arabic" w:hAnsi="Traditional Arabic"/>
          <w:sz w:val="32"/>
          <w:szCs w:val="32"/>
          <w:rtl/>
        </w:rPr>
        <w:t xml:space="preserve"> (43)</w:t>
      </w:r>
      <w:r>
        <w:rPr>
          <w:rFonts w:ascii="Traditional Arabic" w:hAnsi="Traditional Arabic" w:hint="cs"/>
          <w:sz w:val="32"/>
          <w:szCs w:val="32"/>
          <w:rtl/>
        </w:rPr>
        <w:t>.</w:t>
      </w:r>
      <w:r w:rsidRPr="003A202B">
        <w:rPr>
          <w:rFonts w:ascii="Traditional Arabic" w:hAnsi="Traditional Arabic"/>
          <w:sz w:val="32"/>
          <w:szCs w:val="32"/>
          <w:rtl/>
        </w:rPr>
        <w:t xml:space="preserve"> انظر: زاد المسير (4/341).</w:t>
      </w:r>
    </w:p>
  </w:footnote>
  <w:footnote w:id="691">
    <w:p w:rsidR="003F128F" w:rsidRPr="003A202B" w:rsidRDefault="003F128F" w:rsidP="00911ED4">
      <w:pPr>
        <w:pStyle w:val="af3"/>
        <w:rPr>
          <w:rFonts w:ascii="Traditional Arabic" w:hAnsi="Traditional Arabic"/>
          <w:sz w:val="32"/>
          <w:szCs w:val="32"/>
        </w:rPr>
      </w:pPr>
      <w:r w:rsidRPr="003A202B">
        <w:rPr>
          <w:rFonts w:ascii="Traditional Arabic" w:hAnsi="Traditional Arabic"/>
          <w:sz w:val="32"/>
          <w:szCs w:val="32"/>
          <w:rtl/>
        </w:rPr>
        <w:t>(</w:t>
      </w:r>
      <w:r w:rsidRPr="003A202B">
        <w:rPr>
          <w:rStyle w:val="ae"/>
          <w:rFonts w:ascii="Traditional Arabic" w:hAnsi="Traditional Arabic"/>
          <w:sz w:val="32"/>
          <w:szCs w:val="32"/>
          <w:vertAlign w:val="baseline"/>
        </w:rPr>
        <w:footnoteRef/>
      </w:r>
      <w:r>
        <w:rPr>
          <w:rFonts w:ascii="Traditional Arabic" w:hAnsi="Traditional Arabic"/>
          <w:sz w:val="32"/>
          <w:szCs w:val="32"/>
          <w:rtl/>
        </w:rPr>
        <w:t>) في (</w:t>
      </w:r>
      <w:r>
        <w:rPr>
          <w:rFonts w:ascii="Traditional Arabic" w:hAnsi="Traditional Arabic" w:hint="cs"/>
          <w:sz w:val="32"/>
          <w:szCs w:val="32"/>
          <w:rtl/>
        </w:rPr>
        <w:t>ك</w:t>
      </w:r>
      <w:r>
        <w:rPr>
          <w:rFonts w:ascii="Traditional Arabic" w:hAnsi="Traditional Arabic"/>
          <w:sz w:val="32"/>
          <w:szCs w:val="32"/>
          <w:rtl/>
        </w:rPr>
        <w:t xml:space="preserve">): </w:t>
      </w:r>
      <w:r>
        <w:rPr>
          <w:rFonts w:ascii="Traditional Arabic" w:hAnsi="Traditional Arabic" w:hint="cs"/>
          <w:sz w:val="32"/>
          <w:szCs w:val="32"/>
          <w:rtl/>
        </w:rPr>
        <w:t>[</w:t>
      </w:r>
      <w:r w:rsidRPr="003A202B">
        <w:rPr>
          <w:rFonts w:ascii="Traditional Arabic" w:hAnsi="Traditional Arabic"/>
          <w:sz w:val="32"/>
          <w:szCs w:val="32"/>
          <w:rtl/>
        </w:rPr>
        <w:t>حين اختصّ محمّدا</w:t>
      </w:r>
      <w:r>
        <w:rPr>
          <w:rFonts w:ascii="Traditional Arabic" w:hAnsi="Traditional Arabic" w:hint="cs"/>
          <w:sz w:val="32"/>
          <w:szCs w:val="32"/>
          <w:rtl/>
        </w:rPr>
        <w:t>ً</w:t>
      </w:r>
      <w:r>
        <w:rPr>
          <w:rFonts w:ascii="Traditional Arabic" w:hAnsi="Traditional Arabic"/>
          <w:sz w:val="32"/>
          <w:szCs w:val="32"/>
          <w:rtl/>
        </w:rPr>
        <w:t xml:space="preserve"> بالرّسالة</w:t>
      </w:r>
      <w:r>
        <w:rPr>
          <w:rFonts w:ascii="Traditional Arabic" w:hAnsi="Traditional Arabic" w:hint="cs"/>
          <w:sz w:val="32"/>
          <w:szCs w:val="32"/>
          <w:rtl/>
        </w:rPr>
        <w:t>]</w:t>
      </w:r>
      <w:r w:rsidRPr="003A202B">
        <w:rPr>
          <w:rFonts w:ascii="Traditional Arabic" w:hAnsi="Traditional Arabic"/>
          <w:sz w:val="32"/>
          <w:szCs w:val="32"/>
          <w:rtl/>
        </w:rPr>
        <w:t>.</w:t>
      </w:r>
    </w:p>
  </w:footnote>
  <w:footnote w:id="692">
    <w:p w:rsidR="003F128F" w:rsidRPr="003A202B" w:rsidRDefault="003F128F" w:rsidP="00911ED4">
      <w:pPr>
        <w:pStyle w:val="af3"/>
        <w:rPr>
          <w:rFonts w:ascii="Traditional Arabic" w:hAnsi="Traditional Arabic"/>
          <w:sz w:val="32"/>
          <w:szCs w:val="32"/>
        </w:rPr>
      </w:pPr>
      <w:r w:rsidRPr="003A202B">
        <w:rPr>
          <w:rFonts w:ascii="Traditional Arabic" w:hAnsi="Traditional Arabic"/>
          <w:sz w:val="32"/>
          <w:szCs w:val="32"/>
          <w:rtl/>
        </w:rPr>
        <w:t>(</w:t>
      </w:r>
      <w:r w:rsidRPr="003A202B">
        <w:rPr>
          <w:rStyle w:val="ae"/>
          <w:rFonts w:ascii="Traditional Arabic" w:hAnsi="Traditional Arabic"/>
          <w:sz w:val="32"/>
          <w:szCs w:val="32"/>
          <w:vertAlign w:val="baseline"/>
        </w:rPr>
        <w:footnoteRef/>
      </w:r>
      <w:r w:rsidRPr="003A202B">
        <w:rPr>
          <w:rFonts w:ascii="Traditional Arabic" w:hAnsi="Traditional Arabic"/>
          <w:sz w:val="32"/>
          <w:szCs w:val="32"/>
          <w:rtl/>
        </w:rPr>
        <w:t xml:space="preserve">) انظر: تفسير مقاتل (2/551). </w:t>
      </w:r>
    </w:p>
  </w:footnote>
  <w:footnote w:id="693">
    <w:p w:rsidR="003F128F" w:rsidRPr="003A202B" w:rsidRDefault="003F128F" w:rsidP="006756FA">
      <w:pPr>
        <w:pStyle w:val="af3"/>
        <w:rPr>
          <w:rFonts w:ascii="Traditional Arabic" w:hAnsi="Traditional Arabic"/>
          <w:sz w:val="32"/>
          <w:szCs w:val="32"/>
        </w:rPr>
      </w:pPr>
      <w:r w:rsidRPr="003A202B">
        <w:rPr>
          <w:rFonts w:ascii="Traditional Arabic" w:hAnsi="Traditional Arabic"/>
          <w:sz w:val="32"/>
          <w:szCs w:val="32"/>
          <w:rtl/>
        </w:rPr>
        <w:t>(</w:t>
      </w:r>
      <w:r w:rsidRPr="003A202B">
        <w:rPr>
          <w:rStyle w:val="ae"/>
          <w:rFonts w:ascii="Traditional Arabic" w:hAnsi="Traditional Arabic"/>
          <w:sz w:val="32"/>
          <w:szCs w:val="32"/>
          <w:vertAlign w:val="baseline"/>
        </w:rPr>
        <w:footnoteRef/>
      </w:r>
      <w:r w:rsidRPr="003A202B">
        <w:rPr>
          <w:rFonts w:ascii="Traditional Arabic" w:hAnsi="Traditional Arabic"/>
          <w:sz w:val="32"/>
          <w:szCs w:val="32"/>
          <w:rtl/>
        </w:rPr>
        <w:t xml:space="preserve">) انظر: المبسوط في القراءات العشر (ص274). </w:t>
      </w:r>
    </w:p>
  </w:footnote>
  <w:footnote w:id="694">
    <w:p w:rsidR="003F128F" w:rsidRPr="009D6646" w:rsidRDefault="003F128F" w:rsidP="00911ED4">
      <w:pPr>
        <w:pStyle w:val="af3"/>
        <w:rPr>
          <w:rFonts w:ascii="Traditional Arabic" w:hAnsi="Traditional Arabic"/>
          <w:sz w:val="32"/>
          <w:szCs w:val="32"/>
        </w:rPr>
      </w:pPr>
      <w:r w:rsidRPr="003A202B">
        <w:rPr>
          <w:rFonts w:ascii="Traditional Arabic" w:hAnsi="Traditional Arabic"/>
          <w:sz w:val="32"/>
          <w:szCs w:val="32"/>
          <w:rtl/>
        </w:rPr>
        <w:t>(</w:t>
      </w:r>
      <w:r w:rsidRPr="003A202B">
        <w:rPr>
          <w:rStyle w:val="ae"/>
          <w:rFonts w:ascii="Traditional Arabic" w:hAnsi="Traditional Arabic"/>
          <w:sz w:val="32"/>
          <w:szCs w:val="32"/>
          <w:vertAlign w:val="baseline"/>
        </w:rPr>
        <w:footnoteRef/>
      </w:r>
      <w:r w:rsidRPr="003A202B">
        <w:rPr>
          <w:rFonts w:ascii="Traditional Arabic" w:hAnsi="Traditional Arabic"/>
          <w:sz w:val="32"/>
          <w:szCs w:val="32"/>
          <w:rtl/>
        </w:rPr>
        <w:t>) التفسير الوسيط (3/128).</w:t>
      </w:r>
    </w:p>
  </w:footnote>
  <w:footnote w:id="695">
    <w:p w:rsidR="003F128F" w:rsidRPr="009D6646" w:rsidRDefault="003F128F" w:rsidP="00911ED4">
      <w:pPr>
        <w:pStyle w:val="af3"/>
        <w:rPr>
          <w:rFonts w:ascii="Traditional Arabic" w:hAnsi="Traditional Arabic"/>
          <w:sz w:val="32"/>
          <w:szCs w:val="32"/>
        </w:rPr>
      </w:pPr>
      <w:r w:rsidRPr="009D6646">
        <w:rPr>
          <w:rFonts w:ascii="Traditional Arabic" w:hAnsi="Traditional Arabic"/>
          <w:sz w:val="32"/>
          <w:szCs w:val="32"/>
          <w:rtl/>
        </w:rPr>
        <w:t>(</w:t>
      </w:r>
      <w:r w:rsidRPr="009D6646">
        <w:rPr>
          <w:rStyle w:val="ae"/>
          <w:rFonts w:ascii="Traditional Arabic" w:hAnsi="Traditional Arabic"/>
          <w:sz w:val="32"/>
          <w:szCs w:val="32"/>
          <w:vertAlign w:val="baseline"/>
        </w:rPr>
        <w:footnoteRef/>
      </w:r>
      <w:r w:rsidRPr="009D6646">
        <w:rPr>
          <w:rFonts w:ascii="Traditional Arabic" w:hAnsi="Traditional Arabic"/>
          <w:sz w:val="32"/>
          <w:szCs w:val="32"/>
          <w:rtl/>
        </w:rPr>
        <w:t>) انظر: الكشف والبيان (6/136), التفسير الوسيط (3/129).</w:t>
      </w:r>
    </w:p>
  </w:footnote>
  <w:footnote w:id="696">
    <w:p w:rsidR="003F128F" w:rsidRPr="009542D1" w:rsidRDefault="003F128F" w:rsidP="00911ED4">
      <w:pPr>
        <w:pStyle w:val="af3"/>
        <w:rPr>
          <w:rFonts w:ascii="Traditional Arabic" w:hAnsi="Traditional Arabic"/>
          <w:sz w:val="32"/>
          <w:szCs w:val="32"/>
        </w:rPr>
      </w:pPr>
      <w:r w:rsidRPr="009542D1">
        <w:rPr>
          <w:rFonts w:ascii="Traditional Arabic" w:hAnsi="Traditional Arabic"/>
          <w:sz w:val="32"/>
          <w:szCs w:val="32"/>
          <w:rtl/>
        </w:rPr>
        <w:t>(</w:t>
      </w:r>
      <w:r w:rsidRPr="009542D1">
        <w:rPr>
          <w:rStyle w:val="ae"/>
          <w:rFonts w:ascii="Traditional Arabic" w:hAnsi="Traditional Arabic"/>
          <w:sz w:val="32"/>
          <w:szCs w:val="32"/>
          <w:vertAlign w:val="baseline"/>
        </w:rPr>
        <w:footnoteRef/>
      </w:r>
      <w:r>
        <w:rPr>
          <w:rFonts w:ascii="Traditional Arabic" w:hAnsi="Traditional Arabic"/>
          <w:sz w:val="32"/>
          <w:szCs w:val="32"/>
          <w:rtl/>
        </w:rPr>
        <w:t>)</w:t>
      </w:r>
      <w:r>
        <w:rPr>
          <w:rFonts w:ascii="Traditional Arabic" w:hAnsi="Traditional Arabic" w:hint="cs"/>
          <w:sz w:val="32"/>
          <w:szCs w:val="32"/>
          <w:rtl/>
        </w:rPr>
        <w:t xml:space="preserve"> </w:t>
      </w:r>
      <w:r w:rsidRPr="009542D1">
        <w:rPr>
          <w:rFonts w:ascii="Traditional Arabic" w:hAnsi="Traditional Arabic"/>
          <w:sz w:val="32"/>
          <w:szCs w:val="32"/>
          <w:rtl/>
        </w:rPr>
        <w:t xml:space="preserve">هو </w:t>
      </w:r>
      <w:r>
        <w:rPr>
          <w:rFonts w:ascii="Traditional Arabic" w:hAnsi="Traditional Arabic"/>
          <w:sz w:val="32"/>
          <w:szCs w:val="32"/>
          <w:rtl/>
        </w:rPr>
        <w:t>الإمام</w:t>
      </w:r>
      <w:r w:rsidRPr="009542D1">
        <w:rPr>
          <w:rFonts w:ascii="Traditional Arabic" w:hAnsi="Traditional Arabic"/>
          <w:sz w:val="32"/>
          <w:szCs w:val="32"/>
          <w:rtl/>
        </w:rPr>
        <w:t xml:space="preserve"> المحدث</w:t>
      </w:r>
      <w:r>
        <w:rPr>
          <w:rFonts w:ascii="Traditional Arabic" w:hAnsi="Traditional Arabic" w:hint="cs"/>
          <w:sz w:val="32"/>
          <w:szCs w:val="32"/>
          <w:rtl/>
        </w:rPr>
        <w:t>,</w:t>
      </w:r>
      <w:r w:rsidRPr="009542D1">
        <w:rPr>
          <w:rFonts w:ascii="Traditional Arabic" w:hAnsi="Traditional Arabic"/>
          <w:sz w:val="32"/>
          <w:szCs w:val="32"/>
          <w:rtl/>
        </w:rPr>
        <w:t xml:space="preserve"> أبو عبد الله</w:t>
      </w:r>
      <w:r>
        <w:rPr>
          <w:rFonts w:ascii="Traditional Arabic" w:hAnsi="Traditional Arabic" w:hint="cs"/>
          <w:sz w:val="32"/>
          <w:szCs w:val="32"/>
          <w:rtl/>
        </w:rPr>
        <w:t>,</w:t>
      </w:r>
      <w:r w:rsidRPr="009542D1">
        <w:rPr>
          <w:rFonts w:ascii="Traditional Arabic" w:hAnsi="Traditional Arabic"/>
          <w:sz w:val="32"/>
          <w:szCs w:val="32"/>
          <w:rtl/>
        </w:rPr>
        <w:t xml:space="preserve"> محمد بن إسماعيل بن إبراهيم بن المغيرة الجعفي بالولاء، البخاري</w:t>
      </w:r>
      <w:r>
        <w:rPr>
          <w:rFonts w:ascii="Traditional Arabic" w:hAnsi="Traditional Arabic" w:hint="cs"/>
          <w:sz w:val="32"/>
          <w:szCs w:val="32"/>
          <w:rtl/>
        </w:rPr>
        <w:t>,</w:t>
      </w:r>
      <w:r w:rsidRPr="009542D1">
        <w:rPr>
          <w:rFonts w:ascii="Traditional Arabic" w:hAnsi="Traditional Arabic"/>
          <w:sz w:val="32"/>
          <w:szCs w:val="32"/>
          <w:rtl/>
        </w:rPr>
        <w:t xml:space="preserve"> الحافظ, </w:t>
      </w:r>
      <w:r>
        <w:rPr>
          <w:rFonts w:ascii="Traditional Arabic" w:hAnsi="Traditional Arabic"/>
          <w:sz w:val="32"/>
          <w:szCs w:val="32"/>
          <w:rtl/>
        </w:rPr>
        <w:t>الإمام</w:t>
      </w:r>
      <w:r w:rsidRPr="009542D1">
        <w:rPr>
          <w:rFonts w:ascii="Traditional Arabic" w:hAnsi="Traditional Arabic"/>
          <w:sz w:val="32"/>
          <w:szCs w:val="32"/>
          <w:rtl/>
        </w:rPr>
        <w:t xml:space="preserve"> في علم الحديث، صاحب "الجامع الصحيح" و"التاريخ" وغيرها، رحل في طلب الحديث إلى أكثر محدثي الأمصار</w:t>
      </w:r>
      <w:r>
        <w:rPr>
          <w:rFonts w:ascii="Traditional Arabic" w:hAnsi="Traditional Arabic" w:hint="cs"/>
          <w:sz w:val="32"/>
          <w:szCs w:val="32"/>
          <w:rtl/>
        </w:rPr>
        <w:t>,</w:t>
      </w:r>
      <w:r w:rsidRPr="009542D1">
        <w:rPr>
          <w:rFonts w:ascii="Traditional Arabic" w:hAnsi="Traditional Arabic"/>
          <w:sz w:val="32"/>
          <w:szCs w:val="32"/>
          <w:rtl/>
        </w:rPr>
        <w:t xml:space="preserve"> (ت</w:t>
      </w:r>
      <w:r>
        <w:rPr>
          <w:rFonts w:ascii="Traditional Arabic" w:hAnsi="Traditional Arabic" w:hint="cs"/>
          <w:sz w:val="32"/>
          <w:szCs w:val="32"/>
          <w:rtl/>
        </w:rPr>
        <w:t>256</w:t>
      </w:r>
      <w:r w:rsidRPr="009542D1">
        <w:rPr>
          <w:rFonts w:ascii="Traditional Arabic" w:hAnsi="Traditional Arabic"/>
          <w:sz w:val="32"/>
          <w:szCs w:val="32"/>
          <w:rtl/>
        </w:rPr>
        <w:t xml:space="preserve">ه). انظر: وفيات الأعيان (4/189), تهذيب الكمال (24/431). </w:t>
      </w:r>
    </w:p>
  </w:footnote>
  <w:footnote w:id="697">
    <w:p w:rsidR="003F128F" w:rsidRPr="00802490" w:rsidRDefault="003F128F" w:rsidP="00911ED4">
      <w:pPr>
        <w:pStyle w:val="af3"/>
        <w:rPr>
          <w:rFonts w:ascii="Traditional Arabic" w:hAnsi="Traditional Arabic"/>
          <w:sz w:val="32"/>
          <w:szCs w:val="32"/>
        </w:rPr>
      </w:pPr>
      <w:r w:rsidRPr="00802490">
        <w:rPr>
          <w:rFonts w:ascii="Traditional Arabic" w:hAnsi="Traditional Arabic"/>
          <w:sz w:val="32"/>
          <w:szCs w:val="32"/>
          <w:rtl/>
        </w:rPr>
        <w:t>(</w:t>
      </w:r>
      <w:r w:rsidRPr="00802490">
        <w:rPr>
          <w:rStyle w:val="ae"/>
          <w:rFonts w:ascii="Traditional Arabic" w:hAnsi="Traditional Arabic"/>
          <w:sz w:val="32"/>
          <w:szCs w:val="32"/>
          <w:vertAlign w:val="baseline"/>
        </w:rPr>
        <w:footnoteRef/>
      </w:r>
      <w:r>
        <w:rPr>
          <w:rFonts w:ascii="Traditional Arabic" w:hAnsi="Traditional Arabic"/>
          <w:sz w:val="32"/>
          <w:szCs w:val="32"/>
          <w:rtl/>
        </w:rPr>
        <w:t xml:space="preserve">) </w:t>
      </w:r>
      <w:r w:rsidRPr="00802490">
        <w:rPr>
          <w:rFonts w:ascii="Traditional Arabic" w:hAnsi="Traditional Arabic"/>
          <w:sz w:val="32"/>
          <w:szCs w:val="32"/>
          <w:rtl/>
        </w:rPr>
        <w:t xml:space="preserve">هو </w:t>
      </w:r>
      <w:r>
        <w:rPr>
          <w:rFonts w:ascii="Traditional Arabic" w:hAnsi="Traditional Arabic"/>
          <w:sz w:val="32"/>
          <w:szCs w:val="32"/>
          <w:rtl/>
        </w:rPr>
        <w:t>الإمام</w:t>
      </w:r>
      <w:r w:rsidRPr="00802490">
        <w:rPr>
          <w:rFonts w:ascii="Traditional Arabic" w:hAnsi="Traditional Arabic"/>
          <w:sz w:val="32"/>
          <w:szCs w:val="32"/>
          <w:rtl/>
        </w:rPr>
        <w:t xml:space="preserve"> المحدث</w:t>
      </w:r>
      <w:r>
        <w:rPr>
          <w:rFonts w:ascii="Traditional Arabic" w:hAnsi="Traditional Arabic" w:hint="cs"/>
          <w:sz w:val="32"/>
          <w:szCs w:val="32"/>
          <w:rtl/>
        </w:rPr>
        <w:t>,</w:t>
      </w:r>
      <w:r w:rsidRPr="00802490">
        <w:rPr>
          <w:rFonts w:ascii="Traditional Arabic" w:hAnsi="Traditional Arabic"/>
          <w:sz w:val="32"/>
          <w:szCs w:val="32"/>
          <w:rtl/>
        </w:rPr>
        <w:t xml:space="preserve"> أبو الحسين</w:t>
      </w:r>
      <w:r>
        <w:rPr>
          <w:rFonts w:ascii="Traditional Arabic" w:hAnsi="Traditional Arabic" w:hint="cs"/>
          <w:sz w:val="32"/>
          <w:szCs w:val="32"/>
          <w:rtl/>
        </w:rPr>
        <w:t>,</w:t>
      </w:r>
      <w:r w:rsidRPr="00802490">
        <w:rPr>
          <w:rFonts w:ascii="Traditional Arabic" w:hAnsi="Traditional Arabic"/>
          <w:sz w:val="32"/>
          <w:szCs w:val="32"/>
          <w:rtl/>
        </w:rPr>
        <w:t xml:space="preserve"> مسلم بن الحجاج بن مسلم بن ورد القشيري, النيسابوري, صاحب الصحيح, أحد الأئمة الحفاظ وأعلام المحدثين, صاحب "الصحيح", (ت261ه). وفيات الأعيان (5/194), تهذيب الكمال (27/499).</w:t>
      </w:r>
    </w:p>
  </w:footnote>
  <w:footnote w:id="698">
    <w:p w:rsidR="003F128F" w:rsidRPr="00253C89" w:rsidRDefault="003F128F" w:rsidP="00911ED4">
      <w:pPr>
        <w:pStyle w:val="af3"/>
        <w:rPr>
          <w:rFonts w:ascii="Traditional Arabic" w:hAnsi="Traditional Arabic"/>
          <w:sz w:val="32"/>
          <w:szCs w:val="32"/>
        </w:rPr>
      </w:pPr>
      <w:r w:rsidRPr="009D6646">
        <w:rPr>
          <w:rFonts w:ascii="Traditional Arabic" w:hAnsi="Traditional Arabic"/>
          <w:sz w:val="32"/>
          <w:szCs w:val="32"/>
          <w:rtl/>
        </w:rPr>
        <w:t>(</w:t>
      </w:r>
      <w:r w:rsidRPr="009D6646">
        <w:rPr>
          <w:rStyle w:val="ae"/>
          <w:rFonts w:ascii="Traditional Arabic" w:hAnsi="Traditional Arabic"/>
          <w:sz w:val="32"/>
          <w:szCs w:val="32"/>
          <w:vertAlign w:val="baseline"/>
        </w:rPr>
        <w:footnoteRef/>
      </w:r>
      <w:r w:rsidRPr="009D6646">
        <w:rPr>
          <w:rFonts w:ascii="Traditional Arabic" w:hAnsi="Traditional Arabic"/>
          <w:sz w:val="32"/>
          <w:szCs w:val="32"/>
          <w:rtl/>
        </w:rPr>
        <w:t xml:space="preserve">) أخرجه البخاري (كتاب </w:t>
      </w:r>
      <w:r w:rsidRPr="009D6646">
        <w:rPr>
          <w:rFonts w:ascii="Traditional Arabic" w:hAnsi="Traditional Arabic" w:hint="cs"/>
          <w:sz w:val="32"/>
          <w:szCs w:val="32"/>
          <w:rtl/>
        </w:rPr>
        <w:t>التفسير, باب</w:t>
      </w:r>
      <w:r>
        <w:rPr>
          <w:rFonts w:ascii="Traditional Arabic" w:hAnsi="Traditional Arabic" w:hint="cs"/>
          <w:sz w:val="32"/>
          <w:szCs w:val="32"/>
          <w:rtl/>
        </w:rPr>
        <w:t>:</w:t>
      </w:r>
      <w:r w:rsidRPr="009D6646">
        <w:rPr>
          <w:rFonts w:ascii="Traditional Arabic" w:hAnsi="Traditional Arabic" w:hint="cs"/>
          <w:sz w:val="32"/>
          <w:szCs w:val="32"/>
          <w:rtl/>
        </w:rPr>
        <w:t xml:space="preserve"> </w:t>
      </w:r>
      <w:r w:rsidRPr="009D6646">
        <w:rPr>
          <w:rFonts w:ascii="QCF_BSML" w:hAnsi="QCF_BSML" w:cs="QCF_BSML"/>
          <w:rtl/>
          <w:lang w:eastAsia="en-US"/>
        </w:rPr>
        <w:t xml:space="preserve">ﭽ </w:t>
      </w:r>
      <w:r w:rsidRPr="009D6646">
        <w:rPr>
          <w:rFonts w:ascii="QCF_P363" w:hAnsi="QCF_P363" w:cs="QCF_P363"/>
          <w:rtl/>
          <w:lang w:eastAsia="en-US"/>
        </w:rPr>
        <w:t xml:space="preserve">ﭚ    ﭛ  ﭜ  ﭝ  ﭞ  ﭟ  ﭠ  ﭡ   ﭢ  ﭣ  ﭤ  ﭥ  </w:t>
      </w:r>
      <w:r w:rsidRPr="009D6646">
        <w:rPr>
          <w:rFonts w:ascii="QCF_BSML" w:hAnsi="QCF_BSML" w:cs="QCF_BSML"/>
          <w:rtl/>
          <w:lang w:eastAsia="en-US"/>
        </w:rPr>
        <w:t>ﭼ</w:t>
      </w:r>
      <w:r w:rsidRPr="009D6646">
        <w:rPr>
          <w:rFonts w:ascii="Arial" w:hAnsi="Arial" w:cs="Arial" w:hint="cs"/>
          <w:sz w:val="32"/>
          <w:szCs w:val="32"/>
          <w:rtl/>
          <w:lang w:eastAsia="en-US"/>
        </w:rPr>
        <w:t>[</w:t>
      </w:r>
      <w:r w:rsidRPr="009D6646">
        <w:rPr>
          <w:rFonts w:ascii="Traditional Arabic" w:hAnsi="Traditional Arabic"/>
          <w:color w:val="auto"/>
          <w:sz w:val="32"/>
          <w:szCs w:val="32"/>
          <w:rtl/>
          <w:lang w:eastAsia="en-US"/>
        </w:rPr>
        <w:t>الفرقان: ٣٤</w:t>
      </w:r>
      <w:r w:rsidRPr="009D6646">
        <w:rPr>
          <w:rFonts w:ascii="Arial" w:hAnsi="Arial" w:cs="Arial" w:hint="cs"/>
          <w:color w:val="auto"/>
          <w:sz w:val="32"/>
          <w:szCs w:val="32"/>
          <w:rtl/>
          <w:lang w:eastAsia="en-US"/>
        </w:rPr>
        <w:t>]</w:t>
      </w:r>
      <w:r w:rsidRPr="009D6646">
        <w:rPr>
          <w:rFonts w:ascii="Traditional Arabic" w:hAnsi="Traditional Arabic" w:hint="cs"/>
          <w:color w:val="auto"/>
          <w:sz w:val="32"/>
          <w:szCs w:val="32"/>
          <w:rtl/>
        </w:rPr>
        <w:t>,</w:t>
      </w:r>
      <w:r w:rsidRPr="009D6646">
        <w:rPr>
          <w:rFonts w:ascii="Traditional Arabic" w:hAnsi="Traditional Arabic"/>
          <w:sz w:val="32"/>
          <w:szCs w:val="32"/>
          <w:rtl/>
        </w:rPr>
        <w:t xml:space="preserve"> </w:t>
      </w:r>
      <w:r w:rsidRPr="009D6646">
        <w:rPr>
          <w:rFonts w:ascii="Traditional Arabic" w:hAnsi="Traditional Arabic" w:hint="cs"/>
          <w:sz w:val="32"/>
          <w:szCs w:val="32"/>
          <w:rtl/>
        </w:rPr>
        <w:t>8/624</w:t>
      </w:r>
      <w:r w:rsidRPr="009D6646">
        <w:rPr>
          <w:rFonts w:ascii="Traditional Arabic" w:hAnsi="Traditional Arabic"/>
          <w:sz w:val="32"/>
          <w:szCs w:val="32"/>
          <w:rtl/>
        </w:rPr>
        <w:t xml:space="preserve"> ح</w:t>
      </w:r>
      <w:r w:rsidRPr="009D6646">
        <w:rPr>
          <w:rFonts w:ascii="Traditional Arabic" w:hAnsi="Traditional Arabic" w:hint="cs"/>
          <w:sz w:val="32"/>
          <w:szCs w:val="32"/>
          <w:rtl/>
        </w:rPr>
        <w:t>4760</w:t>
      </w:r>
      <w:r w:rsidRPr="009D6646">
        <w:rPr>
          <w:rFonts w:ascii="Traditional Arabic" w:hAnsi="Traditional Arabic"/>
          <w:sz w:val="32"/>
          <w:szCs w:val="32"/>
          <w:rtl/>
        </w:rPr>
        <w:t>, وطرفه في ح</w:t>
      </w:r>
      <w:r w:rsidRPr="009D6646">
        <w:rPr>
          <w:rFonts w:ascii="Traditional Arabic" w:hAnsi="Traditional Arabic" w:hint="cs"/>
          <w:sz w:val="32"/>
          <w:szCs w:val="32"/>
          <w:rtl/>
        </w:rPr>
        <w:t>6523</w:t>
      </w:r>
      <w:r w:rsidRPr="009D6646">
        <w:rPr>
          <w:rFonts w:ascii="Traditional Arabic" w:hAnsi="Traditional Arabic"/>
          <w:sz w:val="32"/>
          <w:szCs w:val="32"/>
          <w:rtl/>
        </w:rPr>
        <w:t xml:space="preserve">), ومسلم (كتاب </w:t>
      </w:r>
      <w:r w:rsidRPr="00253C89">
        <w:rPr>
          <w:rFonts w:ascii="Traditional Arabic" w:hAnsi="Traditional Arabic"/>
          <w:sz w:val="32"/>
          <w:szCs w:val="32"/>
          <w:rtl/>
        </w:rPr>
        <w:t>صفات المنافقين, باب</w:t>
      </w:r>
      <w:r>
        <w:rPr>
          <w:rFonts w:ascii="Traditional Arabic" w:hAnsi="Traditional Arabic" w:hint="cs"/>
          <w:sz w:val="32"/>
          <w:szCs w:val="32"/>
          <w:rtl/>
        </w:rPr>
        <w:t>:</w:t>
      </w:r>
      <w:r w:rsidRPr="00253C89">
        <w:rPr>
          <w:rFonts w:ascii="Traditional Arabic" w:hAnsi="Traditional Arabic"/>
          <w:sz w:val="32"/>
          <w:szCs w:val="32"/>
          <w:rtl/>
        </w:rPr>
        <w:t xml:space="preserve"> يحشر الكافر على وجهه, 17/146 ح7018).  </w:t>
      </w:r>
    </w:p>
  </w:footnote>
  <w:footnote w:id="699">
    <w:p w:rsidR="003F128F" w:rsidRPr="00253C89" w:rsidRDefault="003F128F" w:rsidP="006148E5">
      <w:pPr>
        <w:pStyle w:val="af3"/>
        <w:rPr>
          <w:rFonts w:ascii="Traditional Arabic" w:hAnsi="Traditional Arabic"/>
          <w:sz w:val="32"/>
          <w:szCs w:val="32"/>
        </w:rPr>
      </w:pPr>
      <w:r w:rsidRPr="00253C89">
        <w:rPr>
          <w:rFonts w:ascii="Traditional Arabic" w:hAnsi="Traditional Arabic"/>
          <w:sz w:val="32"/>
          <w:szCs w:val="32"/>
          <w:rtl/>
        </w:rPr>
        <w:t>(</w:t>
      </w:r>
      <w:r w:rsidRPr="00253C89">
        <w:rPr>
          <w:rStyle w:val="ae"/>
          <w:rFonts w:ascii="Traditional Arabic" w:hAnsi="Traditional Arabic"/>
          <w:sz w:val="32"/>
          <w:szCs w:val="32"/>
          <w:vertAlign w:val="baseline"/>
        </w:rPr>
        <w:footnoteRef/>
      </w:r>
      <w:r w:rsidRPr="00253C89">
        <w:rPr>
          <w:rFonts w:ascii="Traditional Arabic" w:hAnsi="Traditional Arabic"/>
          <w:sz w:val="32"/>
          <w:szCs w:val="32"/>
          <w:rtl/>
        </w:rPr>
        <w:t>) ذكره السمرقندي في بحر العلوم (2/330)</w:t>
      </w:r>
      <w:r w:rsidRPr="006148E5">
        <w:rPr>
          <w:rFonts w:ascii="Traditional Arabic" w:hAnsi="Traditional Arabic"/>
          <w:sz w:val="32"/>
          <w:szCs w:val="32"/>
          <w:rtl/>
        </w:rPr>
        <w:t xml:space="preserve"> </w:t>
      </w:r>
      <w:r w:rsidRPr="00253C89">
        <w:rPr>
          <w:rFonts w:ascii="Traditional Arabic" w:hAnsi="Traditional Arabic"/>
          <w:sz w:val="32"/>
          <w:szCs w:val="32"/>
          <w:rtl/>
        </w:rPr>
        <w:t>غير منسوب.</w:t>
      </w:r>
    </w:p>
  </w:footnote>
  <w:footnote w:id="700">
    <w:p w:rsidR="003F128F" w:rsidRPr="00253C89" w:rsidRDefault="003F128F" w:rsidP="00911ED4">
      <w:pPr>
        <w:pStyle w:val="af3"/>
        <w:rPr>
          <w:rFonts w:ascii="Traditional Arabic" w:hAnsi="Traditional Arabic"/>
          <w:sz w:val="32"/>
          <w:szCs w:val="32"/>
        </w:rPr>
      </w:pPr>
      <w:r w:rsidRPr="00253C89">
        <w:rPr>
          <w:rFonts w:ascii="Traditional Arabic" w:hAnsi="Traditional Arabic"/>
          <w:sz w:val="32"/>
          <w:szCs w:val="32"/>
          <w:rtl/>
        </w:rPr>
        <w:t>(</w:t>
      </w:r>
      <w:r w:rsidRPr="00253C89">
        <w:rPr>
          <w:rStyle w:val="ae"/>
          <w:rFonts w:ascii="Traditional Arabic" w:hAnsi="Traditional Arabic"/>
          <w:sz w:val="32"/>
          <w:szCs w:val="32"/>
          <w:vertAlign w:val="baseline"/>
        </w:rPr>
        <w:footnoteRef/>
      </w:r>
      <w:r w:rsidRPr="00253C89">
        <w:rPr>
          <w:rFonts w:ascii="Traditional Arabic" w:hAnsi="Traditional Arabic"/>
          <w:sz w:val="32"/>
          <w:szCs w:val="32"/>
          <w:rtl/>
        </w:rPr>
        <w:t>) ذكر بنحوه الماوردي. انظر: النكت والعيون (3/274).</w:t>
      </w:r>
    </w:p>
  </w:footnote>
  <w:footnote w:id="701">
    <w:p w:rsidR="003F128F" w:rsidRPr="00253C89" w:rsidRDefault="003F128F" w:rsidP="00911ED4">
      <w:pPr>
        <w:pStyle w:val="af3"/>
        <w:rPr>
          <w:rFonts w:ascii="Traditional Arabic" w:hAnsi="Traditional Arabic"/>
          <w:sz w:val="32"/>
          <w:szCs w:val="32"/>
        </w:rPr>
      </w:pPr>
      <w:r w:rsidRPr="00253C89">
        <w:rPr>
          <w:rFonts w:ascii="Traditional Arabic" w:hAnsi="Traditional Arabic"/>
          <w:sz w:val="32"/>
          <w:szCs w:val="32"/>
          <w:rtl/>
        </w:rPr>
        <w:t>(</w:t>
      </w:r>
      <w:r w:rsidRPr="00253C89">
        <w:rPr>
          <w:rStyle w:val="ae"/>
          <w:rFonts w:ascii="Traditional Arabic" w:hAnsi="Traditional Arabic"/>
          <w:sz w:val="32"/>
          <w:szCs w:val="32"/>
          <w:vertAlign w:val="baseline"/>
        </w:rPr>
        <w:footnoteRef/>
      </w:r>
      <w:r w:rsidRPr="00253C89">
        <w:rPr>
          <w:rFonts w:ascii="Traditional Arabic" w:hAnsi="Traditional Arabic"/>
          <w:sz w:val="32"/>
          <w:szCs w:val="32"/>
          <w:rtl/>
        </w:rPr>
        <w:t>) تفسير الطبري (17/560), النكت والعيون (3/275).</w:t>
      </w:r>
    </w:p>
  </w:footnote>
  <w:footnote w:id="702">
    <w:p w:rsidR="003F128F" w:rsidRPr="00253C89" w:rsidRDefault="003F128F" w:rsidP="00911ED4">
      <w:pPr>
        <w:pStyle w:val="af3"/>
        <w:rPr>
          <w:rFonts w:ascii="Traditional Arabic" w:hAnsi="Traditional Arabic"/>
          <w:sz w:val="32"/>
          <w:szCs w:val="32"/>
        </w:rPr>
      </w:pPr>
      <w:r w:rsidRPr="00253C89">
        <w:rPr>
          <w:rFonts w:ascii="Traditional Arabic" w:hAnsi="Traditional Arabic"/>
          <w:sz w:val="32"/>
          <w:szCs w:val="32"/>
          <w:rtl/>
        </w:rPr>
        <w:t>(</w:t>
      </w:r>
      <w:r w:rsidRPr="00253C89">
        <w:rPr>
          <w:rStyle w:val="ae"/>
          <w:rFonts w:ascii="Traditional Arabic" w:hAnsi="Traditional Arabic"/>
          <w:sz w:val="32"/>
          <w:szCs w:val="32"/>
          <w:vertAlign w:val="baseline"/>
        </w:rPr>
        <w:footnoteRef/>
      </w:r>
      <w:r w:rsidRPr="00253C89">
        <w:rPr>
          <w:rFonts w:ascii="Traditional Arabic" w:hAnsi="Traditional Arabic"/>
          <w:sz w:val="32"/>
          <w:szCs w:val="32"/>
          <w:rtl/>
        </w:rPr>
        <w:t>) انظر: التفسير الوسيط (3/129).</w:t>
      </w:r>
    </w:p>
  </w:footnote>
  <w:footnote w:id="703">
    <w:p w:rsidR="003F128F" w:rsidRPr="00253C89" w:rsidRDefault="003F128F" w:rsidP="00F2505B">
      <w:pPr>
        <w:pStyle w:val="af3"/>
        <w:rPr>
          <w:rFonts w:ascii="Traditional Arabic" w:hAnsi="Traditional Arabic"/>
          <w:sz w:val="32"/>
          <w:szCs w:val="32"/>
        </w:rPr>
      </w:pPr>
      <w:r w:rsidRPr="00253C89">
        <w:rPr>
          <w:rFonts w:ascii="Traditional Arabic" w:hAnsi="Traditional Arabic"/>
          <w:sz w:val="32"/>
          <w:szCs w:val="32"/>
          <w:rtl/>
        </w:rPr>
        <w:t>(</w:t>
      </w:r>
      <w:r w:rsidRPr="00253C89">
        <w:rPr>
          <w:rStyle w:val="ae"/>
          <w:rFonts w:ascii="Traditional Arabic" w:hAnsi="Traditional Arabic"/>
          <w:sz w:val="32"/>
          <w:szCs w:val="32"/>
          <w:vertAlign w:val="baseline"/>
        </w:rPr>
        <w:footnoteRef/>
      </w:r>
      <w:r>
        <w:rPr>
          <w:rFonts w:ascii="Traditional Arabic" w:hAnsi="Traditional Arabic"/>
          <w:sz w:val="32"/>
          <w:szCs w:val="32"/>
          <w:rtl/>
        </w:rPr>
        <w:t>)</w:t>
      </w:r>
      <w:r w:rsidRPr="00253C89">
        <w:rPr>
          <w:rFonts w:ascii="Traditional Arabic" w:hAnsi="Traditional Arabic"/>
          <w:sz w:val="32"/>
          <w:szCs w:val="32"/>
          <w:rtl/>
        </w:rPr>
        <w:t xml:space="preserve"> </w:t>
      </w:r>
      <w:r>
        <w:rPr>
          <w:rFonts w:ascii="Traditional Arabic" w:hAnsi="Traditional Arabic" w:hint="cs"/>
          <w:sz w:val="32"/>
          <w:szCs w:val="32"/>
          <w:rtl/>
        </w:rPr>
        <w:t xml:space="preserve">تفسير </w:t>
      </w:r>
      <w:r w:rsidRPr="00253C89">
        <w:rPr>
          <w:rFonts w:ascii="Traditional Arabic" w:hAnsi="Traditional Arabic"/>
          <w:sz w:val="32"/>
          <w:szCs w:val="32"/>
          <w:rtl/>
        </w:rPr>
        <w:t xml:space="preserve">الطبري (17/559), </w:t>
      </w:r>
      <w:r>
        <w:rPr>
          <w:rFonts w:ascii="Traditional Arabic" w:hAnsi="Traditional Arabic" w:hint="cs"/>
          <w:sz w:val="32"/>
          <w:szCs w:val="32"/>
          <w:rtl/>
        </w:rPr>
        <w:t>معالم التنزيل</w:t>
      </w:r>
      <w:r w:rsidRPr="00253C89">
        <w:rPr>
          <w:rFonts w:ascii="Traditional Arabic" w:hAnsi="Traditional Arabic"/>
          <w:sz w:val="32"/>
          <w:szCs w:val="32"/>
          <w:rtl/>
        </w:rPr>
        <w:t xml:space="preserve"> (5/132).</w:t>
      </w:r>
    </w:p>
  </w:footnote>
  <w:footnote w:id="704">
    <w:p w:rsidR="003F128F" w:rsidRPr="00253C89" w:rsidRDefault="003F128F" w:rsidP="00911ED4">
      <w:pPr>
        <w:pStyle w:val="af3"/>
        <w:rPr>
          <w:rFonts w:ascii="Traditional Arabic" w:hAnsi="Traditional Arabic"/>
          <w:sz w:val="32"/>
          <w:szCs w:val="32"/>
        </w:rPr>
      </w:pPr>
      <w:r w:rsidRPr="00253C89">
        <w:rPr>
          <w:rFonts w:ascii="Traditional Arabic" w:hAnsi="Traditional Arabic"/>
          <w:sz w:val="32"/>
          <w:szCs w:val="32"/>
          <w:rtl/>
        </w:rPr>
        <w:t>(</w:t>
      </w:r>
      <w:r w:rsidRPr="00253C89">
        <w:rPr>
          <w:rStyle w:val="ae"/>
          <w:rFonts w:ascii="Traditional Arabic" w:hAnsi="Traditional Arabic"/>
          <w:sz w:val="32"/>
          <w:szCs w:val="32"/>
          <w:vertAlign w:val="baseline"/>
        </w:rPr>
        <w:footnoteRef/>
      </w:r>
      <w:r w:rsidRPr="00253C89">
        <w:rPr>
          <w:rFonts w:ascii="Traditional Arabic" w:hAnsi="Traditional Arabic"/>
          <w:sz w:val="32"/>
          <w:szCs w:val="32"/>
          <w:rtl/>
        </w:rPr>
        <w:t>) انظر: تفسير مقاتل (2/551).</w:t>
      </w:r>
    </w:p>
  </w:footnote>
  <w:footnote w:id="705">
    <w:p w:rsidR="003F128F" w:rsidRPr="00253C89" w:rsidRDefault="003F128F" w:rsidP="00911ED4">
      <w:pPr>
        <w:pStyle w:val="af3"/>
        <w:rPr>
          <w:rFonts w:ascii="Traditional Arabic" w:hAnsi="Traditional Arabic"/>
          <w:sz w:val="32"/>
          <w:szCs w:val="32"/>
        </w:rPr>
      </w:pPr>
      <w:r w:rsidRPr="00253C89">
        <w:rPr>
          <w:rFonts w:ascii="Traditional Arabic" w:hAnsi="Traditional Arabic"/>
          <w:sz w:val="32"/>
          <w:szCs w:val="32"/>
          <w:rtl/>
        </w:rPr>
        <w:t>(</w:t>
      </w:r>
      <w:r w:rsidRPr="00253C89">
        <w:rPr>
          <w:rStyle w:val="ae"/>
          <w:rFonts w:ascii="Traditional Arabic" w:hAnsi="Traditional Arabic"/>
          <w:sz w:val="32"/>
          <w:szCs w:val="32"/>
          <w:vertAlign w:val="baseline"/>
        </w:rPr>
        <w:footnoteRef/>
      </w:r>
      <w:r w:rsidRPr="00253C89">
        <w:rPr>
          <w:rFonts w:ascii="Traditional Arabic" w:hAnsi="Traditional Arabic"/>
          <w:sz w:val="32"/>
          <w:szCs w:val="32"/>
          <w:rtl/>
        </w:rPr>
        <w:t xml:space="preserve">) تفسير الطبري (17/561), الكشف والبيان (6/136). </w:t>
      </w:r>
    </w:p>
  </w:footnote>
  <w:footnote w:id="706">
    <w:p w:rsidR="003F128F" w:rsidRPr="000C04D6" w:rsidRDefault="003F128F" w:rsidP="006756FA">
      <w:pPr>
        <w:pStyle w:val="af3"/>
        <w:rPr>
          <w:rFonts w:ascii="Tahoma" w:hAnsi="Tahoma"/>
        </w:rPr>
      </w:pPr>
      <w:r w:rsidRPr="00253C89">
        <w:rPr>
          <w:rFonts w:ascii="Traditional Arabic" w:hAnsi="Traditional Arabic"/>
          <w:sz w:val="32"/>
          <w:szCs w:val="32"/>
          <w:rtl/>
        </w:rPr>
        <w:t>(</w:t>
      </w:r>
      <w:r w:rsidRPr="00253C89">
        <w:rPr>
          <w:rStyle w:val="ae"/>
          <w:rFonts w:ascii="Traditional Arabic" w:hAnsi="Traditional Arabic"/>
          <w:sz w:val="32"/>
          <w:szCs w:val="32"/>
          <w:vertAlign w:val="baseline"/>
        </w:rPr>
        <w:footnoteRef/>
      </w:r>
      <w:r w:rsidRPr="00253C89">
        <w:rPr>
          <w:rFonts w:ascii="Traditional Arabic" w:hAnsi="Traditional Arabic"/>
          <w:sz w:val="32"/>
          <w:szCs w:val="32"/>
          <w:rtl/>
        </w:rPr>
        <w:t>) انظر: تفسير مقاتل (2/552), تفسير الطبري (17/561)</w:t>
      </w:r>
      <w:r>
        <w:rPr>
          <w:rFonts w:ascii="Traditional Arabic" w:hAnsi="Traditional Arabic" w:hint="cs"/>
          <w:sz w:val="32"/>
          <w:szCs w:val="32"/>
          <w:rtl/>
        </w:rPr>
        <w:t>.</w:t>
      </w:r>
    </w:p>
  </w:footnote>
  <w:footnote w:id="707">
    <w:p w:rsidR="003F128F" w:rsidRPr="002A5C2C" w:rsidRDefault="003F128F" w:rsidP="00911ED4">
      <w:pPr>
        <w:pStyle w:val="af3"/>
        <w:rPr>
          <w:rFonts w:ascii="Traditional Arabic" w:hAnsi="Traditional Arabic"/>
          <w:sz w:val="32"/>
          <w:szCs w:val="32"/>
        </w:rPr>
      </w:pPr>
      <w:r w:rsidRPr="002A5C2C">
        <w:rPr>
          <w:rFonts w:ascii="Traditional Arabic" w:hAnsi="Traditional Arabic"/>
          <w:sz w:val="32"/>
          <w:szCs w:val="32"/>
          <w:rtl/>
        </w:rPr>
        <w:t>(</w:t>
      </w:r>
      <w:r w:rsidRPr="002A5C2C">
        <w:rPr>
          <w:rStyle w:val="ae"/>
          <w:rFonts w:ascii="Traditional Arabic" w:hAnsi="Traditional Arabic"/>
          <w:sz w:val="32"/>
          <w:szCs w:val="32"/>
          <w:vertAlign w:val="baseline"/>
        </w:rPr>
        <w:footnoteRef/>
      </w:r>
      <w:r w:rsidRPr="002A5C2C">
        <w:rPr>
          <w:rFonts w:ascii="Traditional Arabic" w:hAnsi="Traditional Arabic"/>
          <w:sz w:val="32"/>
          <w:szCs w:val="32"/>
          <w:rtl/>
        </w:rPr>
        <w:t xml:space="preserve">) غريب القرآن (1/261).  </w:t>
      </w:r>
    </w:p>
  </w:footnote>
  <w:footnote w:id="708">
    <w:p w:rsidR="003F128F" w:rsidRPr="002A5C2C" w:rsidRDefault="003F128F" w:rsidP="00911ED4">
      <w:pPr>
        <w:pStyle w:val="af3"/>
        <w:rPr>
          <w:rFonts w:ascii="Traditional Arabic" w:hAnsi="Traditional Arabic"/>
          <w:sz w:val="32"/>
          <w:szCs w:val="32"/>
        </w:rPr>
      </w:pPr>
      <w:r w:rsidRPr="002A5C2C">
        <w:rPr>
          <w:rFonts w:ascii="Traditional Arabic" w:hAnsi="Traditional Arabic"/>
          <w:sz w:val="32"/>
          <w:szCs w:val="32"/>
          <w:rtl/>
        </w:rPr>
        <w:t>(</w:t>
      </w:r>
      <w:r w:rsidRPr="002A5C2C">
        <w:rPr>
          <w:rStyle w:val="ae"/>
          <w:rFonts w:ascii="Traditional Arabic" w:hAnsi="Traditional Arabic"/>
          <w:sz w:val="32"/>
          <w:szCs w:val="32"/>
          <w:vertAlign w:val="baseline"/>
        </w:rPr>
        <w:footnoteRef/>
      </w:r>
      <w:r w:rsidRPr="002A5C2C">
        <w:rPr>
          <w:rFonts w:ascii="Traditional Arabic" w:hAnsi="Traditional Arabic"/>
          <w:sz w:val="32"/>
          <w:szCs w:val="32"/>
          <w:rtl/>
        </w:rPr>
        <w:t>) انظر: تفسير الطبري (17/562), الهداية (6/4297).</w:t>
      </w:r>
    </w:p>
  </w:footnote>
  <w:footnote w:id="709">
    <w:p w:rsidR="003F128F" w:rsidRPr="002A5C2C" w:rsidRDefault="003F128F" w:rsidP="006756FA">
      <w:pPr>
        <w:pStyle w:val="af3"/>
        <w:rPr>
          <w:rFonts w:ascii="Traditional Arabic" w:hAnsi="Traditional Arabic"/>
          <w:sz w:val="32"/>
          <w:szCs w:val="32"/>
        </w:rPr>
      </w:pPr>
      <w:r w:rsidRPr="002A5C2C">
        <w:rPr>
          <w:rFonts w:ascii="Traditional Arabic" w:hAnsi="Traditional Arabic"/>
          <w:sz w:val="32"/>
          <w:szCs w:val="32"/>
          <w:rtl/>
        </w:rPr>
        <w:t>(</w:t>
      </w:r>
      <w:r w:rsidRPr="002A5C2C">
        <w:rPr>
          <w:rStyle w:val="ae"/>
          <w:rFonts w:ascii="Traditional Arabic" w:hAnsi="Traditional Arabic"/>
          <w:sz w:val="32"/>
          <w:szCs w:val="32"/>
          <w:vertAlign w:val="baseline"/>
        </w:rPr>
        <w:footnoteRef/>
      </w:r>
      <w:r w:rsidRPr="002A5C2C">
        <w:rPr>
          <w:rFonts w:ascii="Traditional Arabic" w:hAnsi="Traditional Arabic"/>
          <w:sz w:val="32"/>
          <w:szCs w:val="32"/>
          <w:rtl/>
        </w:rPr>
        <w:t>) سورة الاسراء, الآية</w:t>
      </w:r>
      <w:r>
        <w:rPr>
          <w:rFonts w:ascii="Traditional Arabic" w:hAnsi="Traditional Arabic" w:hint="cs"/>
          <w:sz w:val="32"/>
          <w:szCs w:val="32"/>
          <w:rtl/>
        </w:rPr>
        <w:t>:</w:t>
      </w:r>
      <w:r w:rsidRPr="002A5C2C">
        <w:rPr>
          <w:rFonts w:ascii="Traditional Arabic" w:hAnsi="Traditional Arabic"/>
          <w:sz w:val="32"/>
          <w:szCs w:val="32"/>
          <w:rtl/>
        </w:rPr>
        <w:t xml:space="preserve"> (49).</w:t>
      </w:r>
      <w:r>
        <w:rPr>
          <w:rFonts w:ascii="Traditional Arabic" w:hAnsi="Traditional Arabic" w:hint="cs"/>
          <w:sz w:val="32"/>
          <w:szCs w:val="32"/>
          <w:rtl/>
        </w:rPr>
        <w:t xml:space="preserve"> </w:t>
      </w:r>
      <w:r w:rsidRPr="002A5C2C">
        <w:rPr>
          <w:rFonts w:ascii="Traditional Arabic" w:hAnsi="Traditional Arabic"/>
          <w:sz w:val="32"/>
          <w:szCs w:val="32"/>
          <w:rtl/>
        </w:rPr>
        <w:t xml:space="preserve">انظر: زاد المسير (5/43-44). </w:t>
      </w:r>
    </w:p>
  </w:footnote>
  <w:footnote w:id="710">
    <w:p w:rsidR="003F128F" w:rsidRPr="002A5C2C" w:rsidRDefault="003F128F" w:rsidP="00911ED4">
      <w:pPr>
        <w:pStyle w:val="af3"/>
        <w:rPr>
          <w:rFonts w:ascii="Traditional Arabic" w:hAnsi="Traditional Arabic"/>
          <w:sz w:val="32"/>
          <w:szCs w:val="32"/>
        </w:rPr>
      </w:pPr>
      <w:r w:rsidRPr="002A5C2C">
        <w:rPr>
          <w:rFonts w:ascii="Traditional Arabic" w:hAnsi="Traditional Arabic"/>
          <w:sz w:val="32"/>
          <w:szCs w:val="32"/>
          <w:rtl/>
        </w:rPr>
        <w:t>(</w:t>
      </w:r>
      <w:r w:rsidRPr="002A5C2C">
        <w:rPr>
          <w:rStyle w:val="ae"/>
          <w:rFonts w:ascii="Traditional Arabic" w:hAnsi="Traditional Arabic"/>
          <w:sz w:val="32"/>
          <w:szCs w:val="32"/>
          <w:vertAlign w:val="baseline"/>
        </w:rPr>
        <w:footnoteRef/>
      </w:r>
      <w:r w:rsidRPr="002A5C2C">
        <w:rPr>
          <w:rFonts w:ascii="Traditional Arabic" w:hAnsi="Traditional Arabic"/>
          <w:sz w:val="32"/>
          <w:szCs w:val="32"/>
          <w:rtl/>
        </w:rPr>
        <w:t xml:space="preserve">) انظر: التفسير الوسيط (3/130). </w:t>
      </w:r>
    </w:p>
  </w:footnote>
  <w:footnote w:id="711">
    <w:p w:rsidR="003F128F" w:rsidRPr="002A5C2C" w:rsidRDefault="003F128F" w:rsidP="00911ED4">
      <w:pPr>
        <w:pStyle w:val="af3"/>
        <w:rPr>
          <w:rFonts w:ascii="Traditional Arabic" w:hAnsi="Traditional Arabic"/>
          <w:sz w:val="32"/>
          <w:szCs w:val="32"/>
        </w:rPr>
      </w:pPr>
      <w:r w:rsidRPr="002A5C2C">
        <w:rPr>
          <w:rFonts w:ascii="Traditional Arabic" w:hAnsi="Traditional Arabic"/>
          <w:sz w:val="32"/>
          <w:szCs w:val="32"/>
          <w:rtl/>
        </w:rPr>
        <w:t>(</w:t>
      </w:r>
      <w:r w:rsidRPr="002A5C2C">
        <w:rPr>
          <w:rStyle w:val="ae"/>
          <w:rFonts w:ascii="Traditional Arabic" w:hAnsi="Traditional Arabic"/>
          <w:sz w:val="32"/>
          <w:szCs w:val="32"/>
          <w:vertAlign w:val="baseline"/>
        </w:rPr>
        <w:footnoteRef/>
      </w:r>
      <w:r w:rsidRPr="002A5C2C">
        <w:rPr>
          <w:rFonts w:ascii="Traditional Arabic" w:hAnsi="Traditional Arabic"/>
          <w:sz w:val="32"/>
          <w:szCs w:val="32"/>
          <w:rtl/>
        </w:rPr>
        <w:t>) انظر: الكشف والبيان (6/137), التفسير الوسيط (3/130).</w:t>
      </w:r>
    </w:p>
  </w:footnote>
  <w:footnote w:id="712">
    <w:p w:rsidR="003F128F" w:rsidRPr="00632154" w:rsidRDefault="003F128F" w:rsidP="00911ED4">
      <w:pPr>
        <w:pStyle w:val="af3"/>
        <w:rPr>
          <w:rFonts w:ascii="Traditional Arabic" w:hAnsi="Traditional Arabic"/>
          <w:sz w:val="32"/>
          <w:szCs w:val="32"/>
        </w:rPr>
      </w:pPr>
      <w:r w:rsidRPr="00632154">
        <w:rPr>
          <w:rFonts w:ascii="Traditional Arabic" w:hAnsi="Traditional Arabic"/>
          <w:sz w:val="32"/>
          <w:szCs w:val="32"/>
          <w:rtl/>
        </w:rPr>
        <w:t>(</w:t>
      </w:r>
      <w:r w:rsidRPr="00632154">
        <w:rPr>
          <w:rStyle w:val="ae"/>
          <w:rFonts w:ascii="Traditional Arabic" w:hAnsi="Traditional Arabic"/>
          <w:sz w:val="32"/>
          <w:szCs w:val="32"/>
          <w:vertAlign w:val="baseline"/>
        </w:rPr>
        <w:footnoteRef/>
      </w:r>
      <w:r w:rsidRPr="00632154">
        <w:rPr>
          <w:rFonts w:ascii="Traditional Arabic" w:hAnsi="Traditional Arabic"/>
          <w:sz w:val="32"/>
          <w:szCs w:val="32"/>
          <w:rtl/>
        </w:rPr>
        <w:t>) هو الشاعر</w:t>
      </w:r>
      <w:r>
        <w:rPr>
          <w:rFonts w:ascii="Traditional Arabic" w:hAnsi="Traditional Arabic" w:hint="cs"/>
          <w:sz w:val="32"/>
          <w:szCs w:val="32"/>
          <w:rtl/>
        </w:rPr>
        <w:t>,</w:t>
      </w:r>
      <w:r w:rsidRPr="00632154">
        <w:rPr>
          <w:rFonts w:ascii="Traditional Arabic" w:hAnsi="Traditional Arabic"/>
          <w:sz w:val="32"/>
          <w:szCs w:val="32"/>
          <w:rtl/>
        </w:rPr>
        <w:t xml:space="preserve"> </w:t>
      </w:r>
      <w:r w:rsidRPr="00632154">
        <w:rPr>
          <w:rFonts w:ascii="Traditional Arabic" w:hAnsi="Traditional Arabic"/>
          <w:sz w:val="32"/>
          <w:szCs w:val="32"/>
          <w:rtl/>
          <w:lang w:eastAsia="en-US"/>
        </w:rPr>
        <w:t>جرير بن عبد العزِّي - أو عبد المسيح - من بني ضُبَيعة، من ربيعة, المعروف بالمتلمس, شاعر جاهلي، من أهل البحرين, وهو خال طرفة بن العبد</w:t>
      </w:r>
      <w:r w:rsidRPr="00632154">
        <w:rPr>
          <w:rFonts w:ascii="Traditional Arabic" w:hAnsi="Traditional Arabic"/>
          <w:sz w:val="32"/>
          <w:szCs w:val="32"/>
          <w:rtl/>
        </w:rPr>
        <w:t>, (ت50ق ه). انظر: الأعلام (2/119).</w:t>
      </w:r>
    </w:p>
  </w:footnote>
  <w:footnote w:id="713">
    <w:p w:rsidR="003F128F" w:rsidRPr="00632154" w:rsidRDefault="003F128F" w:rsidP="00911ED4">
      <w:pPr>
        <w:pStyle w:val="af3"/>
        <w:rPr>
          <w:rFonts w:ascii="Traditional Arabic" w:hAnsi="Traditional Arabic"/>
          <w:sz w:val="32"/>
          <w:szCs w:val="32"/>
        </w:rPr>
      </w:pPr>
      <w:r w:rsidRPr="00632154">
        <w:rPr>
          <w:rFonts w:ascii="Traditional Arabic" w:hAnsi="Traditional Arabic"/>
          <w:sz w:val="32"/>
          <w:szCs w:val="32"/>
          <w:rtl/>
        </w:rPr>
        <w:t>(</w:t>
      </w:r>
      <w:r w:rsidRPr="00632154">
        <w:rPr>
          <w:rStyle w:val="ae"/>
          <w:rFonts w:ascii="Traditional Arabic" w:hAnsi="Traditional Arabic"/>
          <w:sz w:val="32"/>
          <w:szCs w:val="32"/>
          <w:vertAlign w:val="baseline"/>
        </w:rPr>
        <w:footnoteRef/>
      </w:r>
      <w:r w:rsidRPr="00632154">
        <w:rPr>
          <w:rFonts w:ascii="Traditional Arabic" w:hAnsi="Traditional Arabic"/>
          <w:sz w:val="32"/>
          <w:szCs w:val="32"/>
          <w:rtl/>
        </w:rPr>
        <w:t>) العَرَانينِ: جمع العرنين</w:t>
      </w:r>
      <w:r>
        <w:rPr>
          <w:rFonts w:ascii="Traditional Arabic" w:hAnsi="Traditional Arabic" w:hint="cs"/>
          <w:sz w:val="32"/>
          <w:szCs w:val="32"/>
          <w:rtl/>
        </w:rPr>
        <w:t>,</w:t>
      </w:r>
      <w:r>
        <w:rPr>
          <w:rFonts w:ascii="Traditional Arabic" w:hAnsi="Traditional Arabic"/>
          <w:sz w:val="32"/>
          <w:szCs w:val="32"/>
          <w:rtl/>
        </w:rPr>
        <w:t xml:space="preserve"> وهو أول كل شيء</w:t>
      </w:r>
      <w:r>
        <w:rPr>
          <w:rFonts w:ascii="Traditional Arabic" w:hAnsi="Traditional Arabic" w:hint="cs"/>
          <w:sz w:val="32"/>
          <w:szCs w:val="32"/>
          <w:rtl/>
        </w:rPr>
        <w:t>,</w:t>
      </w:r>
      <w:r w:rsidRPr="00632154">
        <w:rPr>
          <w:rFonts w:ascii="Traditional Arabic" w:hAnsi="Traditional Arabic"/>
          <w:sz w:val="32"/>
          <w:szCs w:val="32"/>
          <w:rtl/>
        </w:rPr>
        <w:t xml:space="preserve"> وعرنين الأنف تحت مجتمع الحاجبين, وهو أول الأنف حيث يكون فيه </w:t>
      </w:r>
      <w:r>
        <w:rPr>
          <w:rFonts w:ascii="Traditional Arabic" w:hAnsi="Traditional Arabic"/>
          <w:sz w:val="32"/>
          <w:szCs w:val="32"/>
          <w:rtl/>
        </w:rPr>
        <w:t>الشم. انظر: تهذيب اللغة (2/204)</w:t>
      </w:r>
      <w:r w:rsidRPr="00632154">
        <w:rPr>
          <w:rFonts w:ascii="Traditional Arabic" w:hAnsi="Traditional Arabic"/>
          <w:sz w:val="32"/>
          <w:szCs w:val="32"/>
          <w:rtl/>
        </w:rPr>
        <w:t xml:space="preserve"> مادة (عرن). </w:t>
      </w:r>
    </w:p>
  </w:footnote>
  <w:footnote w:id="714">
    <w:p w:rsidR="003F128F" w:rsidRPr="008F273D" w:rsidRDefault="003F128F" w:rsidP="006148E5">
      <w:pPr>
        <w:pStyle w:val="af3"/>
        <w:rPr>
          <w:rFonts w:ascii="Traditional Arabic" w:hAnsi="Traditional Arabic"/>
          <w:sz w:val="32"/>
          <w:szCs w:val="32"/>
        </w:rPr>
      </w:pPr>
      <w:r w:rsidRPr="008F273D">
        <w:rPr>
          <w:rFonts w:ascii="Traditional Arabic" w:hAnsi="Traditional Arabic"/>
          <w:sz w:val="32"/>
          <w:szCs w:val="32"/>
          <w:rtl/>
        </w:rPr>
        <w:t>(</w:t>
      </w:r>
      <w:r w:rsidRPr="008F273D">
        <w:rPr>
          <w:rStyle w:val="ae"/>
          <w:rFonts w:ascii="Traditional Arabic" w:hAnsi="Traditional Arabic"/>
          <w:sz w:val="32"/>
          <w:szCs w:val="32"/>
          <w:vertAlign w:val="baseline"/>
        </w:rPr>
        <w:footnoteRef/>
      </w:r>
      <w:r w:rsidRPr="008F273D">
        <w:rPr>
          <w:rFonts w:ascii="Traditional Arabic" w:hAnsi="Traditional Arabic"/>
          <w:sz w:val="32"/>
          <w:szCs w:val="32"/>
          <w:rtl/>
        </w:rPr>
        <w:t>) الميسم: اسم للآلة التي يوسم بها</w:t>
      </w:r>
      <w:r>
        <w:rPr>
          <w:rFonts w:ascii="Traditional Arabic" w:hAnsi="Traditional Arabic"/>
          <w:sz w:val="32"/>
          <w:szCs w:val="32"/>
          <w:rtl/>
        </w:rPr>
        <w:t xml:space="preserve"> أي يكوى, واسم لأثر الوسم أيضاً</w:t>
      </w:r>
      <w:r>
        <w:rPr>
          <w:rFonts w:ascii="Traditional Arabic" w:hAnsi="Traditional Arabic" w:hint="cs"/>
          <w:sz w:val="32"/>
          <w:szCs w:val="32"/>
          <w:rtl/>
        </w:rPr>
        <w:t>,</w:t>
      </w:r>
      <w:r w:rsidRPr="008F273D">
        <w:rPr>
          <w:rFonts w:ascii="Traditional Arabic" w:hAnsi="Traditional Arabic" w:hint="cs"/>
          <w:sz w:val="32"/>
          <w:szCs w:val="32"/>
          <w:rtl/>
        </w:rPr>
        <w:t xml:space="preserve"> و</w:t>
      </w:r>
      <w:r w:rsidRPr="008F273D">
        <w:rPr>
          <w:rFonts w:ascii="Traditional Arabic" w:hAnsi="Traditional Arabic"/>
          <w:sz w:val="32"/>
          <w:szCs w:val="32"/>
          <w:rtl/>
        </w:rPr>
        <w:t>يُرِيد</w:t>
      </w:r>
      <w:r>
        <w:rPr>
          <w:rFonts w:ascii="Traditional Arabic" w:hAnsi="Traditional Arabic" w:hint="cs"/>
          <w:sz w:val="32"/>
          <w:szCs w:val="32"/>
          <w:rtl/>
        </w:rPr>
        <w:t xml:space="preserve"> الشاعر</w:t>
      </w:r>
      <w:r w:rsidRPr="008F273D">
        <w:rPr>
          <w:rFonts w:ascii="Traditional Arabic" w:hAnsi="Traditional Arabic"/>
          <w:sz w:val="32"/>
          <w:szCs w:val="32"/>
          <w:rtl/>
        </w:rPr>
        <w:t>: جعلت</w:t>
      </w:r>
      <w:r w:rsidRPr="008F273D">
        <w:rPr>
          <w:rFonts w:ascii="Traditional Arabic" w:hAnsi="Traditional Arabic" w:hint="cs"/>
          <w:sz w:val="32"/>
          <w:szCs w:val="32"/>
          <w:rtl/>
        </w:rPr>
        <w:t xml:space="preserve"> لهم</w:t>
      </w:r>
      <w:r w:rsidRPr="008F273D">
        <w:rPr>
          <w:rFonts w:ascii="Traditional Arabic" w:hAnsi="Traditional Arabic"/>
          <w:sz w:val="32"/>
          <w:szCs w:val="32"/>
          <w:rtl/>
        </w:rPr>
        <w:t xml:space="preserve"> أثَرَ وَسْمٍ</w:t>
      </w:r>
      <w:r w:rsidRPr="008F273D">
        <w:rPr>
          <w:rFonts w:ascii="Traditional Arabic" w:hAnsi="Traditional Arabic" w:hint="cs"/>
          <w:sz w:val="32"/>
          <w:szCs w:val="32"/>
          <w:rtl/>
        </w:rPr>
        <w:t>.</w:t>
      </w:r>
      <w:r w:rsidRPr="008F273D">
        <w:rPr>
          <w:rFonts w:ascii="Traditional Arabic" w:hAnsi="Traditional Arabic"/>
          <w:sz w:val="32"/>
          <w:szCs w:val="32"/>
          <w:rtl/>
        </w:rPr>
        <w:t xml:space="preserve"> انظر: العين (7/321) مادة (وسم)</w:t>
      </w:r>
      <w:r w:rsidRPr="008F273D">
        <w:rPr>
          <w:rFonts w:ascii="Traditional Arabic" w:hAnsi="Traditional Arabic" w:hint="cs"/>
          <w:sz w:val="32"/>
          <w:szCs w:val="32"/>
          <w:rtl/>
        </w:rPr>
        <w:t>, تاج العروس للزبيدي (34/46) مادة (وسم)</w:t>
      </w:r>
      <w:r>
        <w:rPr>
          <w:rFonts w:ascii="Traditional Arabic" w:hAnsi="Traditional Arabic" w:hint="cs"/>
          <w:sz w:val="32"/>
          <w:szCs w:val="32"/>
          <w:rtl/>
        </w:rPr>
        <w:t>.</w:t>
      </w:r>
      <w:r w:rsidRPr="008F273D">
        <w:rPr>
          <w:rFonts w:ascii="Traditional Arabic" w:hAnsi="Traditional Arabic" w:hint="cs"/>
          <w:sz w:val="32"/>
          <w:szCs w:val="32"/>
          <w:rtl/>
        </w:rPr>
        <w:t xml:space="preserve"> </w:t>
      </w:r>
      <w:r w:rsidRPr="008F273D">
        <w:rPr>
          <w:rFonts w:ascii="Traditional Arabic" w:hAnsi="Traditional Arabic"/>
          <w:sz w:val="32"/>
          <w:szCs w:val="32"/>
          <w:rtl/>
        </w:rPr>
        <w:t xml:space="preserve"> </w:t>
      </w:r>
    </w:p>
  </w:footnote>
  <w:footnote w:id="715">
    <w:p w:rsidR="003F128F" w:rsidRPr="00632154" w:rsidRDefault="003F128F" w:rsidP="006756FA">
      <w:pPr>
        <w:pStyle w:val="af3"/>
        <w:rPr>
          <w:rFonts w:ascii="Traditional Arabic" w:hAnsi="Traditional Arabic"/>
          <w:sz w:val="32"/>
          <w:szCs w:val="32"/>
        </w:rPr>
      </w:pPr>
      <w:r w:rsidRPr="00632154">
        <w:rPr>
          <w:rFonts w:ascii="Traditional Arabic" w:hAnsi="Traditional Arabic"/>
          <w:sz w:val="32"/>
          <w:szCs w:val="32"/>
          <w:rtl/>
        </w:rPr>
        <w:t>(</w:t>
      </w:r>
      <w:r w:rsidRPr="00632154">
        <w:rPr>
          <w:rStyle w:val="ae"/>
          <w:rFonts w:ascii="Traditional Arabic" w:hAnsi="Traditional Arabic"/>
          <w:sz w:val="32"/>
          <w:szCs w:val="32"/>
          <w:vertAlign w:val="baseline"/>
        </w:rPr>
        <w:footnoteRef/>
      </w:r>
      <w:r w:rsidRPr="00632154">
        <w:rPr>
          <w:rFonts w:ascii="Traditional Arabic" w:hAnsi="Traditional Arabic"/>
          <w:sz w:val="32"/>
          <w:szCs w:val="32"/>
          <w:rtl/>
        </w:rPr>
        <w:t>) ديوان المتلمس (ص29).</w:t>
      </w:r>
    </w:p>
  </w:footnote>
  <w:footnote w:id="716">
    <w:p w:rsidR="003F128F" w:rsidRPr="00632154" w:rsidRDefault="003F128F" w:rsidP="00911ED4">
      <w:pPr>
        <w:pStyle w:val="af3"/>
        <w:rPr>
          <w:rFonts w:ascii="Traditional Arabic" w:hAnsi="Traditional Arabic"/>
          <w:sz w:val="32"/>
          <w:szCs w:val="32"/>
        </w:rPr>
      </w:pPr>
      <w:r w:rsidRPr="00632154">
        <w:rPr>
          <w:rFonts w:ascii="Traditional Arabic" w:hAnsi="Traditional Arabic"/>
          <w:sz w:val="32"/>
          <w:szCs w:val="32"/>
          <w:rtl/>
        </w:rPr>
        <w:t>(</w:t>
      </w:r>
      <w:r w:rsidRPr="00632154">
        <w:rPr>
          <w:rStyle w:val="ae"/>
          <w:rFonts w:ascii="Traditional Arabic" w:hAnsi="Traditional Arabic"/>
          <w:sz w:val="32"/>
          <w:szCs w:val="32"/>
          <w:vertAlign w:val="baseline"/>
        </w:rPr>
        <w:footnoteRef/>
      </w:r>
      <w:r w:rsidRPr="00632154">
        <w:rPr>
          <w:rFonts w:ascii="Traditional Arabic" w:hAnsi="Traditional Arabic"/>
          <w:sz w:val="32"/>
          <w:szCs w:val="32"/>
          <w:rtl/>
        </w:rPr>
        <w:t xml:space="preserve">) انظر: معاني القرآن واعرابه (3/262). </w:t>
      </w:r>
    </w:p>
  </w:footnote>
  <w:footnote w:id="717">
    <w:p w:rsidR="003F128F" w:rsidRPr="00632154" w:rsidRDefault="003F128F" w:rsidP="00911ED4">
      <w:pPr>
        <w:pStyle w:val="af3"/>
        <w:rPr>
          <w:rFonts w:ascii="Traditional Arabic" w:hAnsi="Traditional Arabic"/>
          <w:sz w:val="32"/>
          <w:szCs w:val="32"/>
        </w:rPr>
      </w:pPr>
      <w:r w:rsidRPr="00632154">
        <w:rPr>
          <w:rFonts w:ascii="Traditional Arabic" w:hAnsi="Traditional Arabic"/>
          <w:sz w:val="32"/>
          <w:szCs w:val="32"/>
          <w:rtl/>
        </w:rPr>
        <w:t>(</w:t>
      </w:r>
      <w:r w:rsidRPr="00632154">
        <w:rPr>
          <w:rStyle w:val="ae"/>
          <w:rFonts w:ascii="Traditional Arabic" w:hAnsi="Traditional Arabic"/>
          <w:sz w:val="32"/>
          <w:szCs w:val="32"/>
          <w:vertAlign w:val="baseline"/>
        </w:rPr>
        <w:footnoteRef/>
      </w:r>
      <w:r w:rsidRPr="00632154">
        <w:rPr>
          <w:rFonts w:ascii="Traditional Arabic" w:hAnsi="Traditional Arabic"/>
          <w:sz w:val="32"/>
          <w:szCs w:val="32"/>
          <w:rtl/>
        </w:rPr>
        <w:t>) انظر: تفسير مقاتل (2/553), بحر العلوم (2/330).</w:t>
      </w:r>
    </w:p>
  </w:footnote>
  <w:footnote w:id="718">
    <w:p w:rsidR="003F128F" w:rsidRPr="005806A9" w:rsidRDefault="003F128F" w:rsidP="00911ED4">
      <w:pPr>
        <w:pStyle w:val="af3"/>
        <w:rPr>
          <w:rFonts w:ascii="Traditional Arabic" w:hAnsi="Traditional Arabic"/>
          <w:sz w:val="32"/>
          <w:szCs w:val="32"/>
        </w:rPr>
      </w:pPr>
      <w:r w:rsidRPr="005806A9">
        <w:rPr>
          <w:rFonts w:ascii="Traditional Arabic" w:hAnsi="Traditional Arabic"/>
          <w:sz w:val="32"/>
          <w:szCs w:val="32"/>
          <w:rtl/>
        </w:rPr>
        <w:t>(</w:t>
      </w:r>
      <w:r w:rsidRPr="005806A9">
        <w:rPr>
          <w:rStyle w:val="ae"/>
          <w:rFonts w:ascii="Traditional Arabic" w:hAnsi="Traditional Arabic"/>
          <w:sz w:val="32"/>
          <w:szCs w:val="32"/>
          <w:vertAlign w:val="baseline"/>
        </w:rPr>
        <w:footnoteRef/>
      </w:r>
      <w:r w:rsidRPr="005806A9">
        <w:rPr>
          <w:rFonts w:ascii="Traditional Arabic" w:hAnsi="Traditional Arabic"/>
          <w:sz w:val="32"/>
          <w:szCs w:val="32"/>
          <w:rtl/>
        </w:rPr>
        <w:t>) النكت والعيون (3/276).</w:t>
      </w:r>
    </w:p>
  </w:footnote>
  <w:footnote w:id="719">
    <w:p w:rsidR="003F128F" w:rsidRPr="005806A9" w:rsidRDefault="003F128F" w:rsidP="00911ED4">
      <w:pPr>
        <w:pStyle w:val="af3"/>
        <w:rPr>
          <w:rFonts w:ascii="Traditional Arabic" w:hAnsi="Traditional Arabic"/>
          <w:sz w:val="32"/>
          <w:szCs w:val="32"/>
        </w:rPr>
      </w:pPr>
      <w:r w:rsidRPr="005806A9">
        <w:rPr>
          <w:rFonts w:ascii="Traditional Arabic" w:hAnsi="Traditional Arabic"/>
          <w:sz w:val="32"/>
          <w:szCs w:val="32"/>
          <w:rtl/>
        </w:rPr>
        <w:t>(</w:t>
      </w:r>
      <w:r w:rsidRPr="005806A9">
        <w:rPr>
          <w:rStyle w:val="ae"/>
          <w:rFonts w:ascii="Traditional Arabic" w:hAnsi="Traditional Arabic"/>
          <w:sz w:val="32"/>
          <w:szCs w:val="32"/>
          <w:vertAlign w:val="baseline"/>
        </w:rPr>
        <w:footnoteRef/>
      </w:r>
      <w:r w:rsidRPr="005806A9">
        <w:rPr>
          <w:rFonts w:ascii="Traditional Arabic" w:hAnsi="Traditional Arabic"/>
          <w:sz w:val="32"/>
          <w:szCs w:val="32"/>
          <w:rtl/>
        </w:rPr>
        <w:t xml:space="preserve">) انظر: التفسير الوسيط (3/130). </w:t>
      </w:r>
    </w:p>
  </w:footnote>
  <w:footnote w:id="720">
    <w:p w:rsidR="003F128F" w:rsidRPr="005806A9" w:rsidRDefault="003F128F" w:rsidP="00911ED4">
      <w:pPr>
        <w:pStyle w:val="af3"/>
        <w:rPr>
          <w:rFonts w:ascii="Traditional Arabic" w:hAnsi="Traditional Arabic"/>
          <w:sz w:val="32"/>
          <w:szCs w:val="32"/>
        </w:rPr>
      </w:pPr>
      <w:r w:rsidRPr="005806A9">
        <w:rPr>
          <w:rFonts w:ascii="Traditional Arabic" w:hAnsi="Traditional Arabic"/>
          <w:sz w:val="32"/>
          <w:szCs w:val="32"/>
          <w:rtl/>
        </w:rPr>
        <w:t>(</w:t>
      </w:r>
      <w:r w:rsidRPr="005806A9">
        <w:rPr>
          <w:rStyle w:val="ae"/>
          <w:rFonts w:ascii="Traditional Arabic" w:hAnsi="Traditional Arabic"/>
          <w:sz w:val="32"/>
          <w:szCs w:val="32"/>
          <w:vertAlign w:val="baseline"/>
        </w:rPr>
        <w:footnoteRef/>
      </w:r>
      <w:r w:rsidRPr="005806A9">
        <w:rPr>
          <w:rFonts w:ascii="Traditional Arabic" w:hAnsi="Traditional Arabic"/>
          <w:sz w:val="32"/>
          <w:szCs w:val="32"/>
          <w:rtl/>
        </w:rPr>
        <w:t>) انظر: المصدر السابق (3/130).</w:t>
      </w:r>
    </w:p>
  </w:footnote>
  <w:footnote w:id="721">
    <w:p w:rsidR="003F128F" w:rsidRPr="005806A9" w:rsidRDefault="003F128F" w:rsidP="006756FA">
      <w:pPr>
        <w:pStyle w:val="af3"/>
        <w:rPr>
          <w:rFonts w:ascii="Traditional Arabic" w:hAnsi="Traditional Arabic"/>
          <w:sz w:val="32"/>
          <w:szCs w:val="32"/>
        </w:rPr>
      </w:pPr>
      <w:r w:rsidRPr="005806A9">
        <w:rPr>
          <w:rFonts w:ascii="Traditional Arabic" w:hAnsi="Traditional Arabic"/>
          <w:sz w:val="32"/>
          <w:szCs w:val="32"/>
          <w:rtl/>
        </w:rPr>
        <w:t>(</w:t>
      </w:r>
      <w:r w:rsidRPr="005806A9">
        <w:rPr>
          <w:rStyle w:val="ae"/>
          <w:rFonts w:ascii="Traditional Arabic" w:hAnsi="Traditional Arabic"/>
          <w:sz w:val="32"/>
          <w:szCs w:val="32"/>
          <w:vertAlign w:val="baseline"/>
        </w:rPr>
        <w:footnoteRef/>
      </w:r>
      <w:r>
        <w:rPr>
          <w:rFonts w:ascii="Traditional Arabic" w:hAnsi="Traditional Arabic"/>
          <w:sz w:val="32"/>
          <w:szCs w:val="32"/>
          <w:rtl/>
        </w:rPr>
        <w:t>) في (</w:t>
      </w:r>
      <w:r>
        <w:rPr>
          <w:rFonts w:ascii="Traditional Arabic" w:hAnsi="Traditional Arabic" w:hint="cs"/>
          <w:sz w:val="32"/>
          <w:szCs w:val="32"/>
          <w:rtl/>
        </w:rPr>
        <w:t>ك</w:t>
      </w:r>
      <w:r>
        <w:rPr>
          <w:rFonts w:ascii="Traditional Arabic" w:hAnsi="Traditional Arabic"/>
          <w:sz w:val="32"/>
          <w:szCs w:val="32"/>
          <w:rtl/>
        </w:rPr>
        <w:t>)</w:t>
      </w:r>
      <w:r>
        <w:rPr>
          <w:rFonts w:ascii="Traditional Arabic" w:hAnsi="Traditional Arabic" w:hint="cs"/>
          <w:sz w:val="32"/>
          <w:szCs w:val="32"/>
          <w:rtl/>
        </w:rPr>
        <w:t>: [</w:t>
      </w:r>
      <w:r>
        <w:rPr>
          <w:rFonts w:ascii="Traditional Arabic" w:hAnsi="Traditional Arabic"/>
          <w:sz w:val="32"/>
          <w:szCs w:val="32"/>
          <w:rtl/>
        </w:rPr>
        <w:t>لو ملك أحد من المخلوقين</w:t>
      </w:r>
      <w:r>
        <w:rPr>
          <w:rFonts w:ascii="Traditional Arabic" w:hAnsi="Traditional Arabic" w:hint="cs"/>
          <w:sz w:val="32"/>
          <w:szCs w:val="32"/>
          <w:rtl/>
        </w:rPr>
        <w:t>].</w:t>
      </w:r>
    </w:p>
  </w:footnote>
  <w:footnote w:id="722">
    <w:p w:rsidR="003F128F" w:rsidRPr="005806A9" w:rsidRDefault="003F128F" w:rsidP="006756FA">
      <w:pPr>
        <w:pStyle w:val="af3"/>
        <w:rPr>
          <w:rFonts w:ascii="Traditional Arabic" w:hAnsi="Traditional Arabic"/>
          <w:sz w:val="32"/>
          <w:szCs w:val="32"/>
        </w:rPr>
      </w:pPr>
      <w:r w:rsidRPr="005806A9">
        <w:rPr>
          <w:rFonts w:ascii="Traditional Arabic" w:hAnsi="Traditional Arabic"/>
          <w:sz w:val="32"/>
          <w:szCs w:val="32"/>
          <w:rtl/>
        </w:rPr>
        <w:t>(</w:t>
      </w:r>
      <w:r w:rsidRPr="005806A9">
        <w:rPr>
          <w:rStyle w:val="ae"/>
          <w:rFonts w:ascii="Traditional Arabic" w:hAnsi="Traditional Arabic"/>
          <w:sz w:val="32"/>
          <w:szCs w:val="32"/>
          <w:vertAlign w:val="baseline"/>
        </w:rPr>
        <w:footnoteRef/>
      </w:r>
      <w:r>
        <w:rPr>
          <w:rFonts w:ascii="Traditional Arabic" w:hAnsi="Traditional Arabic"/>
          <w:sz w:val="32"/>
          <w:szCs w:val="32"/>
          <w:rtl/>
        </w:rPr>
        <w:t xml:space="preserve">) في </w:t>
      </w:r>
      <w:r>
        <w:rPr>
          <w:rFonts w:ascii="Traditional Arabic" w:hAnsi="Traditional Arabic" w:hint="cs"/>
          <w:sz w:val="32"/>
          <w:szCs w:val="32"/>
          <w:rtl/>
        </w:rPr>
        <w:t>الأصل: [</w:t>
      </w:r>
      <w:r>
        <w:rPr>
          <w:rFonts w:ascii="Traditional Arabic" w:hAnsi="Traditional Arabic"/>
          <w:sz w:val="32"/>
          <w:szCs w:val="32"/>
          <w:rtl/>
        </w:rPr>
        <w:t>منه</w:t>
      </w:r>
      <w:r>
        <w:rPr>
          <w:rFonts w:ascii="Traditional Arabic" w:hAnsi="Traditional Arabic" w:hint="cs"/>
          <w:sz w:val="32"/>
          <w:szCs w:val="32"/>
          <w:rtl/>
        </w:rPr>
        <w:t>]</w:t>
      </w:r>
      <w:r w:rsidRPr="005806A9">
        <w:rPr>
          <w:rFonts w:ascii="Traditional Arabic" w:hAnsi="Traditional Arabic"/>
          <w:sz w:val="32"/>
          <w:szCs w:val="32"/>
          <w:rtl/>
        </w:rPr>
        <w:t>, والمثبت من (ب), وهو موافق لما في كتاب النكت والعيون</w:t>
      </w:r>
      <w:r>
        <w:rPr>
          <w:rFonts w:ascii="Traditional Arabic" w:hAnsi="Traditional Arabic" w:hint="cs"/>
          <w:sz w:val="32"/>
          <w:szCs w:val="32"/>
          <w:rtl/>
        </w:rPr>
        <w:t>.</w:t>
      </w:r>
    </w:p>
  </w:footnote>
  <w:footnote w:id="723">
    <w:p w:rsidR="003F128F" w:rsidRPr="005806A9" w:rsidRDefault="003F128F" w:rsidP="00911ED4">
      <w:pPr>
        <w:pStyle w:val="af3"/>
        <w:rPr>
          <w:rFonts w:ascii="Traditional Arabic" w:hAnsi="Traditional Arabic"/>
          <w:sz w:val="32"/>
          <w:szCs w:val="32"/>
        </w:rPr>
      </w:pPr>
      <w:r w:rsidRPr="005806A9">
        <w:rPr>
          <w:rFonts w:ascii="Traditional Arabic" w:hAnsi="Traditional Arabic"/>
          <w:sz w:val="32"/>
          <w:szCs w:val="32"/>
          <w:rtl/>
        </w:rPr>
        <w:t>(</w:t>
      </w:r>
      <w:r w:rsidRPr="005806A9">
        <w:rPr>
          <w:rStyle w:val="ae"/>
          <w:rFonts w:ascii="Traditional Arabic" w:hAnsi="Traditional Arabic"/>
          <w:sz w:val="32"/>
          <w:szCs w:val="32"/>
          <w:vertAlign w:val="baseline"/>
        </w:rPr>
        <w:footnoteRef/>
      </w:r>
      <w:r w:rsidRPr="005806A9">
        <w:rPr>
          <w:rFonts w:ascii="Traditional Arabic" w:hAnsi="Traditional Arabic"/>
          <w:sz w:val="32"/>
          <w:szCs w:val="32"/>
          <w:rtl/>
        </w:rPr>
        <w:t>) انظر: النكت والعيون (3/276).</w:t>
      </w:r>
    </w:p>
  </w:footnote>
  <w:footnote w:id="724">
    <w:p w:rsidR="003F128F" w:rsidRPr="005806A9" w:rsidRDefault="003F128F" w:rsidP="00911ED4">
      <w:pPr>
        <w:pStyle w:val="af3"/>
        <w:rPr>
          <w:rFonts w:ascii="Traditional Arabic" w:hAnsi="Traditional Arabic"/>
          <w:sz w:val="32"/>
          <w:szCs w:val="32"/>
          <w:rtl/>
        </w:rPr>
      </w:pPr>
      <w:r w:rsidRPr="005806A9">
        <w:rPr>
          <w:rFonts w:ascii="Traditional Arabic" w:hAnsi="Traditional Arabic"/>
          <w:sz w:val="32"/>
          <w:szCs w:val="32"/>
          <w:rtl/>
        </w:rPr>
        <w:t>(</w:t>
      </w:r>
      <w:r w:rsidRPr="005806A9">
        <w:rPr>
          <w:rStyle w:val="ae"/>
          <w:rFonts w:ascii="Traditional Arabic" w:hAnsi="Traditional Arabic"/>
          <w:sz w:val="32"/>
          <w:szCs w:val="32"/>
          <w:vertAlign w:val="baseline"/>
        </w:rPr>
        <w:footnoteRef/>
      </w:r>
      <w:r w:rsidRPr="005806A9">
        <w:rPr>
          <w:rFonts w:ascii="Traditional Arabic" w:hAnsi="Traditional Arabic"/>
          <w:sz w:val="32"/>
          <w:szCs w:val="32"/>
          <w:rtl/>
        </w:rPr>
        <w:t>) انظر: الكشف والبيان (6/138).</w:t>
      </w:r>
    </w:p>
  </w:footnote>
  <w:footnote w:id="725">
    <w:p w:rsidR="003F128F" w:rsidRPr="00632154" w:rsidRDefault="003F128F" w:rsidP="00911ED4">
      <w:pPr>
        <w:pStyle w:val="af3"/>
        <w:rPr>
          <w:rFonts w:ascii="Tahoma" w:hAnsi="Tahoma"/>
        </w:rPr>
      </w:pPr>
      <w:r w:rsidRPr="005806A9">
        <w:rPr>
          <w:rFonts w:ascii="Traditional Arabic" w:hAnsi="Traditional Arabic"/>
          <w:sz w:val="32"/>
          <w:szCs w:val="32"/>
          <w:rtl/>
        </w:rPr>
        <w:t>(</w:t>
      </w:r>
      <w:r w:rsidRPr="005806A9">
        <w:rPr>
          <w:rStyle w:val="ae"/>
          <w:rFonts w:ascii="Traditional Arabic" w:hAnsi="Traditional Arabic"/>
          <w:sz w:val="32"/>
          <w:szCs w:val="32"/>
          <w:vertAlign w:val="baseline"/>
        </w:rPr>
        <w:footnoteRef/>
      </w:r>
      <w:r>
        <w:rPr>
          <w:rFonts w:ascii="Traditional Arabic" w:hAnsi="Traditional Arabic"/>
          <w:sz w:val="32"/>
          <w:szCs w:val="32"/>
          <w:rtl/>
        </w:rPr>
        <w:t>) في (</w:t>
      </w:r>
      <w:r>
        <w:rPr>
          <w:rFonts w:ascii="Traditional Arabic" w:hAnsi="Traditional Arabic" w:hint="cs"/>
          <w:sz w:val="32"/>
          <w:szCs w:val="32"/>
          <w:rtl/>
        </w:rPr>
        <w:t>ك</w:t>
      </w:r>
      <w:r>
        <w:rPr>
          <w:rFonts w:ascii="Traditional Arabic" w:hAnsi="Traditional Arabic"/>
          <w:sz w:val="32"/>
          <w:szCs w:val="32"/>
          <w:rtl/>
        </w:rPr>
        <w:t xml:space="preserve">): </w:t>
      </w:r>
      <w:r>
        <w:rPr>
          <w:rFonts w:ascii="Traditional Arabic" w:hAnsi="Traditional Arabic" w:hint="cs"/>
          <w:sz w:val="32"/>
          <w:szCs w:val="32"/>
          <w:rtl/>
        </w:rPr>
        <w:t>[</w:t>
      </w:r>
      <w:r>
        <w:rPr>
          <w:rFonts w:ascii="Traditional Arabic" w:hAnsi="Traditional Arabic"/>
          <w:sz w:val="32"/>
          <w:szCs w:val="32"/>
          <w:rtl/>
        </w:rPr>
        <w:t>وعصاه</w:t>
      </w:r>
      <w:r>
        <w:rPr>
          <w:rFonts w:ascii="Traditional Arabic" w:hAnsi="Traditional Arabic" w:hint="cs"/>
          <w:sz w:val="32"/>
          <w:szCs w:val="32"/>
          <w:rtl/>
        </w:rPr>
        <w:t>]</w:t>
      </w:r>
      <w:r>
        <w:rPr>
          <w:rFonts w:ascii="Traditional Arabic" w:hAnsi="Traditional Arabic"/>
          <w:sz w:val="32"/>
          <w:szCs w:val="32"/>
          <w:rtl/>
        </w:rPr>
        <w:t xml:space="preserve"> بدل </w:t>
      </w:r>
      <w:r>
        <w:rPr>
          <w:rFonts w:ascii="Traditional Arabic" w:hAnsi="Traditional Arabic" w:hint="cs"/>
          <w:sz w:val="32"/>
          <w:szCs w:val="32"/>
          <w:rtl/>
        </w:rPr>
        <w:t>[</w:t>
      </w:r>
      <w:r>
        <w:rPr>
          <w:rFonts w:ascii="Traditional Arabic" w:hAnsi="Traditional Arabic"/>
          <w:sz w:val="32"/>
          <w:szCs w:val="32"/>
          <w:rtl/>
        </w:rPr>
        <w:t>والعصا</w:t>
      </w:r>
      <w:r>
        <w:rPr>
          <w:rFonts w:ascii="Traditional Arabic" w:hAnsi="Traditional Arabic" w:hint="cs"/>
          <w:sz w:val="32"/>
          <w:szCs w:val="32"/>
          <w:rtl/>
        </w:rPr>
        <w:t>]</w:t>
      </w:r>
      <w:r w:rsidRPr="005806A9">
        <w:rPr>
          <w:rFonts w:ascii="Traditional Arabic" w:hAnsi="Traditional Arabic"/>
          <w:sz w:val="32"/>
          <w:szCs w:val="32"/>
          <w:rtl/>
        </w:rPr>
        <w:t>.</w:t>
      </w:r>
    </w:p>
  </w:footnote>
  <w:footnote w:id="726">
    <w:p w:rsidR="003F128F" w:rsidRPr="002A5C2C" w:rsidRDefault="003F128F" w:rsidP="00911ED4">
      <w:pPr>
        <w:pStyle w:val="af3"/>
        <w:rPr>
          <w:rFonts w:ascii="Traditional Arabic" w:hAnsi="Traditional Arabic"/>
          <w:sz w:val="32"/>
          <w:szCs w:val="32"/>
        </w:rPr>
      </w:pPr>
      <w:r w:rsidRPr="002A5C2C">
        <w:rPr>
          <w:rFonts w:ascii="Traditional Arabic" w:hAnsi="Traditional Arabic"/>
          <w:sz w:val="32"/>
          <w:szCs w:val="32"/>
          <w:rtl/>
        </w:rPr>
        <w:t>(</w:t>
      </w:r>
      <w:r w:rsidRPr="002A5C2C">
        <w:rPr>
          <w:rStyle w:val="ae"/>
          <w:rFonts w:ascii="Traditional Arabic" w:hAnsi="Traditional Arabic"/>
          <w:sz w:val="32"/>
          <w:szCs w:val="32"/>
          <w:vertAlign w:val="baseline"/>
        </w:rPr>
        <w:footnoteRef/>
      </w:r>
      <w:r>
        <w:rPr>
          <w:rFonts w:ascii="Traditional Arabic" w:hAnsi="Traditional Arabic"/>
          <w:sz w:val="32"/>
          <w:szCs w:val="32"/>
          <w:rtl/>
        </w:rPr>
        <w:t>) انظر: ا</w:t>
      </w:r>
      <w:r>
        <w:rPr>
          <w:rFonts w:ascii="Traditional Arabic" w:hAnsi="Traditional Arabic" w:hint="cs"/>
          <w:sz w:val="32"/>
          <w:szCs w:val="32"/>
          <w:rtl/>
        </w:rPr>
        <w:t>لكشف والبيان</w:t>
      </w:r>
      <w:r w:rsidRPr="002A5C2C">
        <w:rPr>
          <w:rFonts w:ascii="Traditional Arabic" w:hAnsi="Traditional Arabic"/>
          <w:sz w:val="32"/>
          <w:szCs w:val="32"/>
          <w:rtl/>
        </w:rPr>
        <w:t xml:space="preserve"> (6/137), النكت والعيون (3/276).</w:t>
      </w:r>
    </w:p>
  </w:footnote>
  <w:footnote w:id="727">
    <w:p w:rsidR="003F128F" w:rsidRPr="002A5C2C" w:rsidRDefault="003F128F" w:rsidP="00911ED4">
      <w:pPr>
        <w:pStyle w:val="af3"/>
        <w:rPr>
          <w:rFonts w:ascii="Traditional Arabic" w:hAnsi="Traditional Arabic"/>
          <w:sz w:val="32"/>
          <w:szCs w:val="32"/>
        </w:rPr>
      </w:pPr>
      <w:r w:rsidRPr="002A5C2C">
        <w:rPr>
          <w:rFonts w:ascii="Traditional Arabic" w:hAnsi="Traditional Arabic"/>
          <w:sz w:val="32"/>
          <w:szCs w:val="32"/>
          <w:rtl/>
        </w:rPr>
        <w:t>(</w:t>
      </w:r>
      <w:r w:rsidRPr="002A5C2C">
        <w:rPr>
          <w:rStyle w:val="ae"/>
          <w:rFonts w:ascii="Traditional Arabic" w:hAnsi="Traditional Arabic"/>
          <w:sz w:val="32"/>
          <w:szCs w:val="32"/>
          <w:vertAlign w:val="baseline"/>
        </w:rPr>
        <w:footnoteRef/>
      </w:r>
      <w:r w:rsidRPr="002A5C2C">
        <w:rPr>
          <w:rFonts w:ascii="Traditional Arabic" w:hAnsi="Traditional Arabic"/>
          <w:sz w:val="32"/>
          <w:szCs w:val="32"/>
          <w:rtl/>
        </w:rPr>
        <w:t>) انظر: رموز الكنوز (4/226).</w:t>
      </w:r>
    </w:p>
  </w:footnote>
  <w:footnote w:id="728">
    <w:p w:rsidR="003F128F" w:rsidRPr="002A5C2C" w:rsidRDefault="003F128F" w:rsidP="00911ED4">
      <w:pPr>
        <w:pStyle w:val="af3"/>
        <w:rPr>
          <w:rFonts w:ascii="Traditional Arabic" w:hAnsi="Traditional Arabic"/>
          <w:sz w:val="32"/>
          <w:szCs w:val="32"/>
        </w:rPr>
      </w:pPr>
      <w:r w:rsidRPr="002A5C2C">
        <w:rPr>
          <w:rFonts w:ascii="Traditional Arabic" w:hAnsi="Traditional Arabic"/>
          <w:sz w:val="32"/>
          <w:szCs w:val="32"/>
          <w:rtl/>
        </w:rPr>
        <w:t>(</w:t>
      </w:r>
      <w:r w:rsidRPr="002A5C2C">
        <w:rPr>
          <w:rStyle w:val="ae"/>
          <w:rFonts w:ascii="Traditional Arabic" w:hAnsi="Traditional Arabic"/>
          <w:sz w:val="32"/>
          <w:szCs w:val="32"/>
          <w:vertAlign w:val="baseline"/>
        </w:rPr>
        <w:footnoteRef/>
      </w:r>
      <w:r>
        <w:rPr>
          <w:rFonts w:ascii="Traditional Arabic" w:hAnsi="Traditional Arabic"/>
          <w:sz w:val="32"/>
          <w:szCs w:val="32"/>
          <w:rtl/>
        </w:rPr>
        <w:t>) انظر: تفسير الطبري (17/566)</w:t>
      </w:r>
      <w:r>
        <w:rPr>
          <w:rFonts w:ascii="Traditional Arabic" w:hAnsi="Traditional Arabic" w:hint="cs"/>
          <w:sz w:val="32"/>
          <w:szCs w:val="32"/>
          <w:rtl/>
        </w:rPr>
        <w:t>.</w:t>
      </w:r>
      <w:r w:rsidRPr="002A5C2C">
        <w:rPr>
          <w:rFonts w:ascii="Traditional Arabic" w:hAnsi="Traditional Arabic"/>
          <w:sz w:val="32"/>
          <w:szCs w:val="32"/>
          <w:rtl/>
        </w:rPr>
        <w:t xml:space="preserve"> </w:t>
      </w:r>
    </w:p>
  </w:footnote>
  <w:footnote w:id="729">
    <w:p w:rsidR="003F128F" w:rsidRPr="002A5C2C" w:rsidRDefault="003F128F" w:rsidP="00911ED4">
      <w:pPr>
        <w:pStyle w:val="af3"/>
        <w:rPr>
          <w:rFonts w:ascii="Traditional Arabic" w:hAnsi="Traditional Arabic"/>
          <w:sz w:val="32"/>
          <w:szCs w:val="32"/>
        </w:rPr>
      </w:pPr>
      <w:r w:rsidRPr="002A5C2C">
        <w:rPr>
          <w:rFonts w:ascii="Traditional Arabic" w:hAnsi="Traditional Arabic"/>
          <w:sz w:val="32"/>
          <w:szCs w:val="32"/>
          <w:rtl/>
        </w:rPr>
        <w:t>(</w:t>
      </w:r>
      <w:r w:rsidRPr="002A5C2C">
        <w:rPr>
          <w:rStyle w:val="ae"/>
          <w:rFonts w:ascii="Traditional Arabic" w:hAnsi="Traditional Arabic"/>
          <w:sz w:val="32"/>
          <w:szCs w:val="32"/>
          <w:vertAlign w:val="baseline"/>
        </w:rPr>
        <w:footnoteRef/>
      </w:r>
      <w:r w:rsidRPr="002A5C2C">
        <w:rPr>
          <w:rFonts w:ascii="Traditional Arabic" w:hAnsi="Traditional Arabic"/>
          <w:sz w:val="32"/>
          <w:szCs w:val="32"/>
          <w:rtl/>
        </w:rPr>
        <w:t xml:space="preserve">) انظر: تفسير الطبري (17/565), الكشف والبيان (6/137).  </w:t>
      </w:r>
    </w:p>
  </w:footnote>
  <w:footnote w:id="730">
    <w:p w:rsidR="003F128F" w:rsidRPr="002A5C2C" w:rsidRDefault="003F128F" w:rsidP="00911ED4">
      <w:pPr>
        <w:pStyle w:val="af3"/>
        <w:rPr>
          <w:rFonts w:ascii="Traditional Arabic" w:hAnsi="Traditional Arabic"/>
          <w:color w:val="auto"/>
          <w:sz w:val="32"/>
          <w:szCs w:val="32"/>
        </w:rPr>
      </w:pPr>
      <w:r w:rsidRPr="002A5C2C">
        <w:rPr>
          <w:rFonts w:ascii="Traditional Arabic" w:hAnsi="Traditional Arabic"/>
          <w:color w:val="auto"/>
          <w:sz w:val="32"/>
          <w:szCs w:val="32"/>
          <w:rtl/>
        </w:rPr>
        <w:t>(</w:t>
      </w:r>
      <w:r w:rsidRPr="002A5C2C">
        <w:rPr>
          <w:rStyle w:val="ae"/>
          <w:rFonts w:ascii="Traditional Arabic" w:hAnsi="Traditional Arabic"/>
          <w:color w:val="auto"/>
          <w:sz w:val="32"/>
          <w:szCs w:val="32"/>
          <w:vertAlign w:val="baseline"/>
        </w:rPr>
        <w:footnoteRef/>
      </w:r>
      <w:r w:rsidRPr="002A5C2C">
        <w:rPr>
          <w:rFonts w:ascii="Traditional Arabic" w:hAnsi="Traditional Arabic"/>
          <w:color w:val="auto"/>
          <w:sz w:val="32"/>
          <w:szCs w:val="32"/>
          <w:rtl/>
        </w:rPr>
        <w:t xml:space="preserve">) انظر: تفسير الطبري (17/566). </w:t>
      </w:r>
    </w:p>
  </w:footnote>
  <w:footnote w:id="731">
    <w:p w:rsidR="003F128F" w:rsidRPr="002A5C2C" w:rsidRDefault="003F128F" w:rsidP="006756FA">
      <w:pPr>
        <w:pStyle w:val="af3"/>
        <w:rPr>
          <w:rFonts w:ascii="Traditional Arabic" w:hAnsi="Traditional Arabic"/>
          <w:sz w:val="32"/>
          <w:szCs w:val="32"/>
        </w:rPr>
      </w:pPr>
      <w:r w:rsidRPr="002A5C2C">
        <w:rPr>
          <w:rFonts w:ascii="Traditional Arabic" w:hAnsi="Traditional Arabic"/>
          <w:sz w:val="32"/>
          <w:szCs w:val="32"/>
          <w:rtl/>
        </w:rPr>
        <w:t>(</w:t>
      </w:r>
      <w:r w:rsidRPr="002A5C2C">
        <w:rPr>
          <w:rStyle w:val="ae"/>
          <w:rFonts w:ascii="Traditional Arabic" w:hAnsi="Traditional Arabic"/>
          <w:sz w:val="32"/>
          <w:szCs w:val="32"/>
          <w:vertAlign w:val="baseline"/>
        </w:rPr>
        <w:footnoteRef/>
      </w:r>
      <w:r w:rsidRPr="002A5C2C">
        <w:rPr>
          <w:rFonts w:ascii="Traditional Arabic" w:hAnsi="Traditional Arabic"/>
          <w:sz w:val="32"/>
          <w:szCs w:val="32"/>
          <w:rtl/>
        </w:rPr>
        <w:t xml:space="preserve">) لم أقف عليه </w:t>
      </w:r>
      <w:r>
        <w:rPr>
          <w:rFonts w:ascii="Traditional Arabic" w:hAnsi="Traditional Arabic" w:hint="cs"/>
          <w:sz w:val="32"/>
          <w:szCs w:val="32"/>
          <w:rtl/>
        </w:rPr>
        <w:t>فيما لدي من مصادر.</w:t>
      </w:r>
    </w:p>
  </w:footnote>
  <w:footnote w:id="732">
    <w:p w:rsidR="003F128F" w:rsidRPr="002A5C2C" w:rsidRDefault="003F128F" w:rsidP="00911ED4">
      <w:pPr>
        <w:pStyle w:val="af3"/>
        <w:rPr>
          <w:rFonts w:ascii="Traditional Arabic" w:hAnsi="Traditional Arabic"/>
          <w:sz w:val="32"/>
          <w:szCs w:val="32"/>
        </w:rPr>
      </w:pPr>
      <w:r w:rsidRPr="002A5C2C">
        <w:rPr>
          <w:rFonts w:ascii="Traditional Arabic" w:hAnsi="Traditional Arabic"/>
          <w:color w:val="auto"/>
          <w:sz w:val="32"/>
          <w:szCs w:val="32"/>
          <w:rtl/>
        </w:rPr>
        <w:t>(</w:t>
      </w:r>
      <w:r w:rsidRPr="002A5C2C">
        <w:rPr>
          <w:rStyle w:val="ae"/>
          <w:rFonts w:ascii="Traditional Arabic" w:hAnsi="Traditional Arabic"/>
          <w:color w:val="auto"/>
          <w:sz w:val="32"/>
          <w:szCs w:val="32"/>
          <w:vertAlign w:val="baseline"/>
        </w:rPr>
        <w:footnoteRef/>
      </w:r>
      <w:r w:rsidRPr="002A5C2C">
        <w:rPr>
          <w:rFonts w:ascii="Traditional Arabic" w:hAnsi="Traditional Arabic"/>
          <w:color w:val="auto"/>
          <w:sz w:val="32"/>
          <w:szCs w:val="32"/>
          <w:rtl/>
        </w:rPr>
        <w:t>)</w:t>
      </w:r>
      <w:r w:rsidRPr="002A5C2C">
        <w:rPr>
          <w:rFonts w:ascii="Traditional Arabic" w:eastAsia="Calibri" w:hAnsi="Traditional Arabic"/>
          <w:color w:val="auto"/>
          <w:sz w:val="32"/>
          <w:szCs w:val="32"/>
          <w:vertAlign w:val="superscript"/>
          <w:rtl/>
          <w:lang w:eastAsia="en-US"/>
        </w:rPr>
        <w:t xml:space="preserve">  </w:t>
      </w:r>
      <w:r w:rsidRPr="002A5C2C">
        <w:rPr>
          <w:rFonts w:ascii="Traditional Arabic" w:eastAsia="Calibri" w:hAnsi="Traditional Arabic"/>
          <w:color w:val="auto"/>
          <w:spacing w:val="-6"/>
          <w:sz w:val="32"/>
          <w:szCs w:val="32"/>
          <w:rtl/>
          <w:lang w:eastAsia="en-US"/>
        </w:rPr>
        <w:t xml:space="preserve">هو التابعي </w:t>
      </w:r>
      <w:r>
        <w:rPr>
          <w:rFonts w:ascii="Traditional Arabic" w:eastAsia="Calibri" w:hAnsi="Traditional Arabic"/>
          <w:color w:val="auto"/>
          <w:spacing w:val="-6"/>
          <w:sz w:val="32"/>
          <w:szCs w:val="32"/>
          <w:rtl/>
          <w:lang w:eastAsia="en-US"/>
        </w:rPr>
        <w:t>الإمام</w:t>
      </w:r>
      <w:r>
        <w:rPr>
          <w:rFonts w:ascii="Traditional Arabic" w:eastAsia="Calibri" w:hAnsi="Traditional Arabic" w:hint="cs"/>
          <w:color w:val="auto"/>
          <w:spacing w:val="-6"/>
          <w:sz w:val="32"/>
          <w:szCs w:val="32"/>
          <w:rtl/>
          <w:lang w:eastAsia="en-US"/>
        </w:rPr>
        <w:t>,</w:t>
      </w:r>
      <w:r w:rsidRPr="002A5C2C">
        <w:rPr>
          <w:rFonts w:ascii="Traditional Arabic" w:eastAsia="Calibri" w:hAnsi="Traditional Arabic"/>
          <w:color w:val="auto"/>
          <w:spacing w:val="-6"/>
          <w:sz w:val="32"/>
          <w:szCs w:val="32"/>
          <w:rtl/>
          <w:lang w:eastAsia="en-US"/>
        </w:rPr>
        <w:t xml:space="preserve">  أبو عبد الله</w:t>
      </w:r>
      <w:r>
        <w:rPr>
          <w:rFonts w:ascii="Traditional Arabic" w:eastAsia="Calibri" w:hAnsi="Traditional Arabic" w:hint="cs"/>
          <w:color w:val="auto"/>
          <w:spacing w:val="-6"/>
          <w:sz w:val="32"/>
          <w:szCs w:val="32"/>
          <w:rtl/>
          <w:lang w:eastAsia="en-US"/>
        </w:rPr>
        <w:t>,</w:t>
      </w:r>
      <w:r w:rsidRPr="002A5C2C">
        <w:rPr>
          <w:rFonts w:ascii="Traditional Arabic" w:eastAsia="Calibri" w:hAnsi="Traditional Arabic"/>
          <w:color w:val="auto"/>
          <w:spacing w:val="-6"/>
          <w:sz w:val="32"/>
          <w:szCs w:val="32"/>
          <w:rtl/>
          <w:lang w:eastAsia="en-US"/>
        </w:rPr>
        <w:t xml:space="preserve"> وهب بن منبه بن كامل بن</w:t>
      </w:r>
      <w:r w:rsidRPr="002A5C2C">
        <w:rPr>
          <w:rFonts w:ascii="Traditional Arabic" w:hAnsi="Traditional Arabic"/>
          <w:color w:val="800000"/>
          <w:sz w:val="32"/>
          <w:szCs w:val="32"/>
          <w:rtl/>
          <w:lang w:eastAsia="en-US"/>
        </w:rPr>
        <w:t xml:space="preserve"> </w:t>
      </w:r>
      <w:r w:rsidRPr="002A5C2C">
        <w:rPr>
          <w:rFonts w:ascii="Traditional Arabic" w:eastAsia="Calibri" w:hAnsi="Traditional Arabic"/>
          <w:color w:val="auto"/>
          <w:spacing w:val="-6"/>
          <w:sz w:val="32"/>
          <w:szCs w:val="32"/>
          <w:rtl/>
          <w:lang w:eastAsia="en-US"/>
        </w:rPr>
        <w:t>سِيْجِ بن ذِي كِبَار اليماني،</w:t>
      </w:r>
      <w:r w:rsidRPr="002A5C2C">
        <w:rPr>
          <w:rFonts w:ascii="Traditional Arabic" w:hAnsi="Traditional Arabic"/>
          <w:sz w:val="32"/>
          <w:szCs w:val="32"/>
          <w:rtl/>
          <w:lang w:eastAsia="en-US"/>
        </w:rPr>
        <w:t xml:space="preserve"> </w:t>
      </w:r>
      <w:r w:rsidRPr="002A5C2C">
        <w:rPr>
          <w:rFonts w:ascii="Traditional Arabic" w:eastAsia="Calibri" w:hAnsi="Traditional Arabic"/>
          <w:color w:val="auto"/>
          <w:spacing w:val="-6"/>
          <w:sz w:val="32"/>
          <w:szCs w:val="32"/>
          <w:rtl/>
          <w:lang w:eastAsia="en-US"/>
        </w:rPr>
        <w:t>الصنعاني, الذماري, أخو همام بن منبه,</w:t>
      </w:r>
      <w:r w:rsidRPr="002A5C2C">
        <w:rPr>
          <w:rFonts w:ascii="Traditional Arabic" w:hAnsi="Traditional Arabic"/>
          <w:sz w:val="32"/>
          <w:szCs w:val="32"/>
          <w:rtl/>
          <w:lang w:eastAsia="en-US"/>
        </w:rPr>
        <w:t xml:space="preserve"> </w:t>
      </w:r>
      <w:r w:rsidRPr="002A5C2C">
        <w:rPr>
          <w:rFonts w:ascii="Traditional Arabic" w:eastAsia="Calibri" w:hAnsi="Traditional Arabic"/>
          <w:color w:val="auto"/>
          <w:spacing w:val="-6"/>
          <w:sz w:val="32"/>
          <w:szCs w:val="32"/>
          <w:rtl/>
          <w:lang w:eastAsia="en-US"/>
        </w:rPr>
        <w:t>ومعقل بن منبه، وغيلان بن منبه, صاحب الأخبار والقصص والإسرائيليات، (ت110ه). انظر: وفيات الأعيان (6/35)، تهذيب الكمال (31/140), سير أعلام النبلاء (4/544).</w:t>
      </w:r>
    </w:p>
  </w:footnote>
  <w:footnote w:id="733">
    <w:p w:rsidR="003F128F" w:rsidRPr="002A5C2C" w:rsidRDefault="003F128F" w:rsidP="00911ED4">
      <w:pPr>
        <w:pStyle w:val="af3"/>
        <w:rPr>
          <w:rFonts w:ascii="Traditional Arabic" w:hAnsi="Traditional Arabic"/>
          <w:sz w:val="32"/>
          <w:szCs w:val="32"/>
        </w:rPr>
      </w:pPr>
      <w:r w:rsidRPr="002A5C2C">
        <w:rPr>
          <w:rFonts w:ascii="Traditional Arabic" w:hAnsi="Traditional Arabic"/>
          <w:sz w:val="32"/>
          <w:szCs w:val="32"/>
          <w:rtl/>
        </w:rPr>
        <w:t>(</w:t>
      </w:r>
      <w:r w:rsidRPr="002A5C2C">
        <w:rPr>
          <w:rStyle w:val="ae"/>
          <w:rFonts w:ascii="Traditional Arabic" w:hAnsi="Traditional Arabic"/>
          <w:sz w:val="32"/>
          <w:szCs w:val="32"/>
          <w:vertAlign w:val="baseline"/>
        </w:rPr>
        <w:footnoteRef/>
      </w:r>
      <w:r w:rsidRPr="002A5C2C">
        <w:rPr>
          <w:rFonts w:ascii="Traditional Arabic" w:hAnsi="Traditional Arabic"/>
          <w:sz w:val="32"/>
          <w:szCs w:val="32"/>
          <w:rtl/>
        </w:rPr>
        <w:t>) لم أقف عليه فيما لدي من مصادر.</w:t>
      </w:r>
    </w:p>
  </w:footnote>
  <w:footnote w:id="734">
    <w:p w:rsidR="003F128F" w:rsidRPr="002A5C2C" w:rsidRDefault="003F128F" w:rsidP="00911ED4">
      <w:pPr>
        <w:pStyle w:val="af3"/>
        <w:rPr>
          <w:rFonts w:ascii="Traditional Arabic" w:hAnsi="Traditional Arabic"/>
          <w:sz w:val="32"/>
          <w:szCs w:val="32"/>
        </w:rPr>
      </w:pPr>
      <w:r w:rsidRPr="002A5C2C">
        <w:rPr>
          <w:rFonts w:ascii="Traditional Arabic" w:hAnsi="Traditional Arabic"/>
          <w:sz w:val="32"/>
          <w:szCs w:val="32"/>
          <w:rtl/>
        </w:rPr>
        <w:t>(</w:t>
      </w:r>
      <w:r w:rsidRPr="002A5C2C">
        <w:rPr>
          <w:rStyle w:val="ae"/>
          <w:rFonts w:ascii="Traditional Arabic" w:hAnsi="Traditional Arabic"/>
          <w:sz w:val="32"/>
          <w:szCs w:val="32"/>
          <w:vertAlign w:val="baseline"/>
        </w:rPr>
        <w:footnoteRef/>
      </w:r>
      <w:r w:rsidRPr="002A5C2C">
        <w:rPr>
          <w:rFonts w:ascii="Traditional Arabic" w:hAnsi="Traditional Arabic"/>
          <w:sz w:val="32"/>
          <w:szCs w:val="32"/>
          <w:rtl/>
        </w:rPr>
        <w:t xml:space="preserve">) لم أقف عليه فيما لدي من مصادر, وقد ذكر البحر والحجر محمد بن كعب كما سيأتي بإذن الله. </w:t>
      </w:r>
    </w:p>
  </w:footnote>
  <w:footnote w:id="735">
    <w:p w:rsidR="003F128F" w:rsidRPr="002A5C2C" w:rsidRDefault="003F128F" w:rsidP="00911ED4">
      <w:pPr>
        <w:pStyle w:val="af3"/>
        <w:rPr>
          <w:rFonts w:ascii="Traditional Arabic" w:hAnsi="Traditional Arabic"/>
          <w:sz w:val="32"/>
          <w:szCs w:val="32"/>
        </w:rPr>
      </w:pPr>
      <w:r w:rsidRPr="002A5C2C">
        <w:rPr>
          <w:rFonts w:ascii="Traditional Arabic" w:hAnsi="Traditional Arabic"/>
          <w:sz w:val="32"/>
          <w:szCs w:val="32"/>
          <w:rtl/>
        </w:rPr>
        <w:t>(</w:t>
      </w:r>
      <w:r w:rsidRPr="002A5C2C">
        <w:rPr>
          <w:rStyle w:val="ae"/>
          <w:rFonts w:ascii="Traditional Arabic" w:hAnsi="Traditional Arabic"/>
          <w:sz w:val="32"/>
          <w:szCs w:val="32"/>
          <w:vertAlign w:val="baseline"/>
        </w:rPr>
        <w:footnoteRef/>
      </w:r>
      <w:r w:rsidRPr="002A5C2C">
        <w:rPr>
          <w:rFonts w:ascii="Traditional Arabic" w:hAnsi="Traditional Arabic"/>
          <w:sz w:val="32"/>
          <w:szCs w:val="32"/>
          <w:rtl/>
        </w:rPr>
        <w:t>) انظر: الهداية (6/4300).</w:t>
      </w:r>
    </w:p>
  </w:footnote>
  <w:footnote w:id="736">
    <w:p w:rsidR="003F128F" w:rsidRPr="003971E6" w:rsidRDefault="003F128F" w:rsidP="0094727C">
      <w:pPr>
        <w:pStyle w:val="af3"/>
        <w:rPr>
          <w:rFonts w:ascii="Traditional Arabic" w:hAnsi="Traditional Arabic"/>
          <w:sz w:val="32"/>
          <w:szCs w:val="32"/>
        </w:rPr>
      </w:pPr>
      <w:r w:rsidRPr="002A5C2C">
        <w:rPr>
          <w:rFonts w:ascii="Traditional Arabic" w:hAnsi="Traditional Arabic"/>
          <w:sz w:val="32"/>
          <w:szCs w:val="32"/>
          <w:rtl/>
        </w:rPr>
        <w:t>(</w:t>
      </w:r>
      <w:r w:rsidRPr="002A5C2C">
        <w:rPr>
          <w:rStyle w:val="ae"/>
          <w:rFonts w:ascii="Traditional Arabic" w:hAnsi="Traditional Arabic"/>
          <w:sz w:val="32"/>
          <w:szCs w:val="32"/>
          <w:vertAlign w:val="baseline"/>
        </w:rPr>
        <w:footnoteRef/>
      </w:r>
      <w:r w:rsidRPr="002A5C2C">
        <w:rPr>
          <w:rFonts w:ascii="Traditional Arabic" w:hAnsi="Traditional Arabic"/>
          <w:sz w:val="32"/>
          <w:szCs w:val="32"/>
          <w:rtl/>
        </w:rPr>
        <w:t xml:space="preserve">) انظر: التفسير الوسيط (3/130), </w:t>
      </w:r>
      <w:r>
        <w:rPr>
          <w:rFonts w:ascii="Traditional Arabic" w:hAnsi="Traditional Arabic" w:hint="cs"/>
          <w:sz w:val="32"/>
          <w:szCs w:val="32"/>
          <w:rtl/>
        </w:rPr>
        <w:t>معالم التنزيل</w:t>
      </w:r>
      <w:r w:rsidRPr="002A5C2C">
        <w:rPr>
          <w:rFonts w:ascii="Traditional Arabic" w:hAnsi="Traditional Arabic"/>
          <w:sz w:val="32"/>
          <w:szCs w:val="32"/>
          <w:rtl/>
        </w:rPr>
        <w:t xml:space="preserve"> (5/133), إلا أنهم نقلوا عنه: الطمس بدل السنون.</w:t>
      </w:r>
    </w:p>
  </w:footnote>
  <w:footnote w:id="737">
    <w:p w:rsidR="003F128F" w:rsidRPr="002C6CC7" w:rsidRDefault="003F128F" w:rsidP="006756FA">
      <w:pPr>
        <w:pStyle w:val="af3"/>
        <w:rPr>
          <w:rFonts w:ascii="Traditional Arabic" w:hAnsi="Traditional Arabic"/>
          <w:sz w:val="32"/>
          <w:szCs w:val="32"/>
        </w:rPr>
      </w:pPr>
      <w:r w:rsidRPr="002C6CC7">
        <w:rPr>
          <w:rFonts w:ascii="Traditional Arabic" w:hAnsi="Traditional Arabic"/>
          <w:sz w:val="32"/>
          <w:szCs w:val="32"/>
          <w:rtl/>
        </w:rPr>
        <w:t>(</w:t>
      </w:r>
      <w:r w:rsidRPr="002C6CC7">
        <w:rPr>
          <w:rStyle w:val="ae"/>
          <w:rFonts w:ascii="Traditional Arabic" w:hAnsi="Traditional Arabic"/>
          <w:sz w:val="32"/>
          <w:szCs w:val="32"/>
          <w:vertAlign w:val="baseline"/>
        </w:rPr>
        <w:footnoteRef/>
      </w:r>
      <w:r>
        <w:rPr>
          <w:rFonts w:ascii="Traditional Arabic" w:hAnsi="Traditional Arabic"/>
          <w:sz w:val="32"/>
          <w:szCs w:val="32"/>
          <w:rtl/>
        </w:rPr>
        <w:t>) ما بين ا</w:t>
      </w:r>
      <w:r>
        <w:rPr>
          <w:rFonts w:ascii="Traditional Arabic" w:hAnsi="Traditional Arabic" w:hint="cs"/>
          <w:sz w:val="32"/>
          <w:szCs w:val="32"/>
          <w:rtl/>
        </w:rPr>
        <w:t>لمعكوفتين</w:t>
      </w:r>
      <w:r>
        <w:rPr>
          <w:rFonts w:ascii="Traditional Arabic" w:hAnsi="Traditional Arabic"/>
          <w:sz w:val="32"/>
          <w:szCs w:val="32"/>
          <w:rtl/>
        </w:rPr>
        <w:t xml:space="preserve"> ساقط من </w:t>
      </w:r>
      <w:r>
        <w:rPr>
          <w:rFonts w:ascii="Traditional Arabic" w:hAnsi="Traditional Arabic" w:hint="cs"/>
          <w:sz w:val="32"/>
          <w:szCs w:val="32"/>
          <w:rtl/>
        </w:rPr>
        <w:t xml:space="preserve">الأصل, والمثبت من (ك) وهو موافق لما في كتاب </w:t>
      </w:r>
      <w:r>
        <w:rPr>
          <w:rFonts w:ascii="Traditional Arabic" w:hAnsi="Traditional Arabic"/>
          <w:sz w:val="32"/>
          <w:szCs w:val="32"/>
          <w:rtl/>
        </w:rPr>
        <w:t>النكت والعيون</w:t>
      </w:r>
      <w:r>
        <w:rPr>
          <w:rFonts w:ascii="Traditional Arabic" w:hAnsi="Traditional Arabic" w:hint="cs"/>
          <w:sz w:val="32"/>
          <w:szCs w:val="32"/>
          <w:rtl/>
        </w:rPr>
        <w:t>.</w:t>
      </w:r>
    </w:p>
  </w:footnote>
  <w:footnote w:id="738">
    <w:p w:rsidR="003F128F" w:rsidRPr="003971E6" w:rsidRDefault="003F128F" w:rsidP="00911ED4">
      <w:pPr>
        <w:pStyle w:val="af3"/>
        <w:rPr>
          <w:rFonts w:ascii="Traditional Arabic" w:hAnsi="Traditional Arabic"/>
          <w:sz w:val="32"/>
          <w:szCs w:val="32"/>
        </w:rPr>
      </w:pPr>
      <w:r w:rsidRPr="003971E6">
        <w:rPr>
          <w:rFonts w:ascii="Traditional Arabic" w:hAnsi="Traditional Arabic"/>
          <w:sz w:val="32"/>
          <w:szCs w:val="32"/>
          <w:rtl/>
        </w:rPr>
        <w:t>(</w:t>
      </w:r>
      <w:r w:rsidRPr="003971E6">
        <w:rPr>
          <w:rStyle w:val="ae"/>
          <w:rFonts w:ascii="Traditional Arabic" w:hAnsi="Traditional Arabic"/>
          <w:sz w:val="32"/>
          <w:szCs w:val="32"/>
          <w:vertAlign w:val="baseline"/>
        </w:rPr>
        <w:footnoteRef/>
      </w:r>
      <w:r w:rsidRPr="003971E6">
        <w:rPr>
          <w:rFonts w:ascii="Traditional Arabic" w:hAnsi="Traditional Arabic"/>
          <w:sz w:val="32"/>
          <w:szCs w:val="32"/>
          <w:rtl/>
        </w:rPr>
        <w:t>) انظر: النكت والعيون (3/276).</w:t>
      </w:r>
    </w:p>
  </w:footnote>
  <w:footnote w:id="739">
    <w:p w:rsidR="003F128F" w:rsidRPr="00DE5854" w:rsidRDefault="003F128F" w:rsidP="0094727C">
      <w:pPr>
        <w:pStyle w:val="af3"/>
        <w:rPr>
          <w:rFonts w:ascii="Traditional Arabic" w:hAnsi="Traditional Arabic"/>
          <w:sz w:val="32"/>
          <w:szCs w:val="32"/>
        </w:rPr>
      </w:pPr>
      <w:r w:rsidRPr="00DE5854">
        <w:rPr>
          <w:rFonts w:ascii="Traditional Arabic" w:hAnsi="Traditional Arabic"/>
          <w:sz w:val="32"/>
          <w:szCs w:val="32"/>
          <w:rtl/>
        </w:rPr>
        <w:t>(</w:t>
      </w:r>
      <w:r w:rsidRPr="00DE5854">
        <w:rPr>
          <w:rStyle w:val="ae"/>
          <w:rFonts w:ascii="Traditional Arabic" w:hAnsi="Traditional Arabic"/>
          <w:sz w:val="32"/>
          <w:szCs w:val="32"/>
          <w:vertAlign w:val="baseline"/>
        </w:rPr>
        <w:footnoteRef/>
      </w:r>
      <w:r w:rsidRPr="00DE5854">
        <w:rPr>
          <w:rFonts w:ascii="Traditional Arabic" w:hAnsi="Traditional Arabic"/>
          <w:sz w:val="32"/>
          <w:szCs w:val="32"/>
          <w:rtl/>
        </w:rPr>
        <w:t xml:space="preserve">) انظر: الكشف والبيان (6/138), </w:t>
      </w:r>
      <w:r>
        <w:rPr>
          <w:rFonts w:ascii="Traditional Arabic" w:hAnsi="Traditional Arabic" w:hint="cs"/>
          <w:sz w:val="32"/>
          <w:szCs w:val="32"/>
          <w:rtl/>
        </w:rPr>
        <w:t>معالم التنزيل</w:t>
      </w:r>
      <w:r w:rsidRPr="002A5C2C">
        <w:rPr>
          <w:rFonts w:ascii="Traditional Arabic" w:hAnsi="Traditional Arabic"/>
          <w:sz w:val="32"/>
          <w:szCs w:val="32"/>
          <w:rtl/>
        </w:rPr>
        <w:t xml:space="preserve"> </w:t>
      </w:r>
      <w:r w:rsidRPr="00DE5854">
        <w:rPr>
          <w:rFonts w:ascii="Traditional Arabic" w:hAnsi="Traditional Arabic"/>
          <w:sz w:val="32"/>
          <w:szCs w:val="32"/>
          <w:rtl/>
        </w:rPr>
        <w:t>(5/133).</w:t>
      </w:r>
    </w:p>
  </w:footnote>
  <w:footnote w:id="740">
    <w:p w:rsidR="003F128F" w:rsidRPr="00DE5854" w:rsidRDefault="003F128F" w:rsidP="00911ED4">
      <w:pPr>
        <w:pStyle w:val="af3"/>
        <w:rPr>
          <w:rFonts w:ascii="Traditional Arabic" w:hAnsi="Traditional Arabic"/>
          <w:sz w:val="32"/>
          <w:szCs w:val="32"/>
        </w:rPr>
      </w:pPr>
      <w:r w:rsidRPr="00DE5854">
        <w:rPr>
          <w:rFonts w:ascii="Traditional Arabic" w:hAnsi="Traditional Arabic"/>
          <w:sz w:val="32"/>
          <w:szCs w:val="32"/>
          <w:rtl/>
        </w:rPr>
        <w:t>(</w:t>
      </w:r>
      <w:r w:rsidRPr="00DE5854">
        <w:rPr>
          <w:rStyle w:val="ae"/>
          <w:rFonts w:ascii="Traditional Arabic" w:hAnsi="Traditional Arabic"/>
          <w:sz w:val="32"/>
          <w:szCs w:val="32"/>
          <w:vertAlign w:val="baseline"/>
        </w:rPr>
        <w:footnoteRef/>
      </w:r>
      <w:r>
        <w:rPr>
          <w:rFonts w:ascii="Traditional Arabic" w:hAnsi="Traditional Arabic"/>
          <w:sz w:val="32"/>
          <w:szCs w:val="32"/>
          <w:rtl/>
        </w:rPr>
        <w:t>)</w:t>
      </w:r>
      <w:r>
        <w:rPr>
          <w:rFonts w:ascii="Traditional Arabic" w:hAnsi="Traditional Arabic" w:hint="cs"/>
          <w:sz w:val="32"/>
          <w:szCs w:val="32"/>
          <w:rtl/>
        </w:rPr>
        <w:t xml:space="preserve"> </w:t>
      </w:r>
      <w:r w:rsidRPr="00DE5854">
        <w:rPr>
          <w:rFonts w:ascii="Traditional Arabic" w:hAnsi="Traditional Arabic" w:hint="cs"/>
          <w:sz w:val="32"/>
          <w:szCs w:val="32"/>
          <w:rtl/>
        </w:rPr>
        <w:t xml:space="preserve">هو </w:t>
      </w:r>
      <w:r>
        <w:rPr>
          <w:rFonts w:ascii="Traditional Arabic" w:hAnsi="Traditional Arabic" w:hint="cs"/>
          <w:sz w:val="32"/>
          <w:szCs w:val="32"/>
          <w:rtl/>
        </w:rPr>
        <w:t>الإمام</w:t>
      </w:r>
      <w:r w:rsidRPr="00DE5854">
        <w:rPr>
          <w:rFonts w:ascii="Traditional Arabic" w:hAnsi="Traditional Arabic" w:hint="cs"/>
          <w:sz w:val="32"/>
          <w:szCs w:val="32"/>
          <w:rtl/>
        </w:rPr>
        <w:t xml:space="preserve"> المحدث</w:t>
      </w:r>
      <w:r>
        <w:rPr>
          <w:rFonts w:ascii="Traditional Arabic" w:hAnsi="Traditional Arabic" w:hint="cs"/>
          <w:sz w:val="32"/>
          <w:szCs w:val="32"/>
          <w:rtl/>
        </w:rPr>
        <w:t>,</w:t>
      </w:r>
      <w:r w:rsidRPr="00DE5854">
        <w:rPr>
          <w:rFonts w:ascii="Traditional Arabic" w:hAnsi="Traditional Arabic"/>
          <w:sz w:val="32"/>
          <w:szCs w:val="32"/>
          <w:rtl/>
        </w:rPr>
        <w:t xml:space="preserve"> أبو داود</w:t>
      </w:r>
      <w:r>
        <w:rPr>
          <w:rFonts w:ascii="Traditional Arabic" w:hAnsi="Traditional Arabic" w:hint="cs"/>
          <w:sz w:val="32"/>
          <w:szCs w:val="32"/>
          <w:rtl/>
        </w:rPr>
        <w:t>,</w:t>
      </w:r>
      <w:r w:rsidRPr="00DE5854">
        <w:rPr>
          <w:rFonts w:ascii="Traditional Arabic" w:hAnsi="Traditional Arabic"/>
          <w:sz w:val="32"/>
          <w:szCs w:val="32"/>
          <w:rtl/>
        </w:rPr>
        <w:t xml:space="preserve"> سليمان بن الأشعث بن إسحاق بن بشير الأزدي</w:t>
      </w:r>
      <w:r w:rsidRPr="00DE5854">
        <w:rPr>
          <w:rFonts w:ascii="Traditional Arabic" w:hAnsi="Traditional Arabic" w:hint="cs"/>
          <w:sz w:val="32"/>
          <w:szCs w:val="32"/>
          <w:rtl/>
        </w:rPr>
        <w:t>,</w:t>
      </w:r>
      <w:r w:rsidRPr="00DE5854">
        <w:rPr>
          <w:rFonts w:ascii="Traditional Arabic" w:hAnsi="Traditional Arabic"/>
          <w:sz w:val="32"/>
          <w:szCs w:val="32"/>
          <w:rtl/>
        </w:rPr>
        <w:t xml:space="preserve"> السجستاني</w:t>
      </w:r>
      <w:r w:rsidRPr="00DE5854">
        <w:rPr>
          <w:rFonts w:ascii="Traditional Arabic" w:hAnsi="Traditional Arabic" w:hint="cs"/>
          <w:sz w:val="32"/>
          <w:szCs w:val="32"/>
          <w:rtl/>
        </w:rPr>
        <w:t>,</w:t>
      </w:r>
      <w:r w:rsidRPr="00DE5854">
        <w:rPr>
          <w:rFonts w:ascii="Traditional Arabic" w:hAnsi="Traditional Arabic"/>
          <w:sz w:val="32"/>
          <w:szCs w:val="32"/>
          <w:rtl/>
        </w:rPr>
        <w:t xml:space="preserve"> أحد حفاظ الحديث وعلمه وعلله،</w:t>
      </w:r>
      <w:r w:rsidRPr="00DE5854">
        <w:rPr>
          <w:rFonts w:ascii="Traditional Arabic" w:hAnsi="Traditional Arabic"/>
          <w:b/>
          <w:bCs/>
          <w:sz w:val="32"/>
          <w:szCs w:val="32"/>
          <w:rtl/>
          <w:lang w:eastAsia="en-US"/>
        </w:rPr>
        <w:t xml:space="preserve"> </w:t>
      </w:r>
      <w:r w:rsidRPr="00DE5854">
        <w:rPr>
          <w:rFonts w:ascii="Traditional Arabic" w:hAnsi="Traditional Arabic"/>
          <w:sz w:val="32"/>
          <w:szCs w:val="32"/>
          <w:rtl/>
        </w:rPr>
        <w:t>محدث البصرة</w:t>
      </w:r>
      <w:r w:rsidRPr="00DE5854">
        <w:rPr>
          <w:rFonts w:ascii="Traditional Arabic" w:hAnsi="Traditional Arabic" w:hint="cs"/>
          <w:b/>
          <w:bCs/>
          <w:sz w:val="32"/>
          <w:szCs w:val="32"/>
          <w:rtl/>
        </w:rPr>
        <w:t>,</w:t>
      </w:r>
      <w:r w:rsidRPr="00DE5854">
        <w:rPr>
          <w:rFonts w:ascii="Traditional Arabic" w:hAnsi="Traditional Arabic"/>
          <w:sz w:val="32"/>
          <w:szCs w:val="32"/>
          <w:rtl/>
        </w:rPr>
        <w:t xml:space="preserve"> </w:t>
      </w:r>
      <w:r w:rsidRPr="00DE5854">
        <w:rPr>
          <w:rFonts w:ascii="Traditional Arabic" w:hAnsi="Traditional Arabic" w:hint="cs"/>
          <w:sz w:val="32"/>
          <w:szCs w:val="32"/>
          <w:rtl/>
        </w:rPr>
        <w:t>صاحب</w:t>
      </w:r>
      <w:r w:rsidRPr="00DE5854">
        <w:rPr>
          <w:rFonts w:ascii="Traditional Arabic" w:hAnsi="Traditional Arabic"/>
          <w:sz w:val="32"/>
          <w:szCs w:val="32"/>
          <w:rtl/>
        </w:rPr>
        <w:t xml:space="preserve"> كتاب "السنن"</w:t>
      </w:r>
      <w:r w:rsidRPr="00DE5854">
        <w:rPr>
          <w:rFonts w:ascii="Traditional Arabic" w:eastAsia="Calibri" w:hAnsi="Traditional Arabic" w:hint="cs"/>
          <w:color w:val="auto"/>
          <w:spacing w:val="-6"/>
          <w:sz w:val="32"/>
          <w:szCs w:val="32"/>
          <w:rtl/>
          <w:lang w:eastAsia="en-US"/>
        </w:rPr>
        <w:t xml:space="preserve">، (ت316ه). </w:t>
      </w:r>
      <w:r w:rsidRPr="00DE5854">
        <w:rPr>
          <w:rFonts w:ascii="Traditional Arabic" w:hAnsi="Traditional Arabic" w:hint="cs"/>
          <w:sz w:val="32"/>
          <w:szCs w:val="32"/>
          <w:rtl/>
        </w:rPr>
        <w:t xml:space="preserve">انظر: </w:t>
      </w:r>
      <w:r w:rsidRPr="00DE5854">
        <w:rPr>
          <w:rFonts w:ascii="Traditional Arabic" w:hAnsi="Traditional Arabic"/>
          <w:sz w:val="32"/>
          <w:szCs w:val="32"/>
          <w:rtl/>
        </w:rPr>
        <w:t>وفيات الأعيان (</w:t>
      </w:r>
      <w:r w:rsidRPr="00DE5854">
        <w:rPr>
          <w:rFonts w:ascii="Traditional Arabic" w:hAnsi="Traditional Arabic" w:hint="cs"/>
          <w:sz w:val="32"/>
          <w:szCs w:val="32"/>
          <w:rtl/>
        </w:rPr>
        <w:t>2/404</w:t>
      </w:r>
      <w:r w:rsidRPr="00DE5854">
        <w:rPr>
          <w:rFonts w:ascii="Traditional Arabic" w:hAnsi="Traditional Arabic"/>
          <w:sz w:val="32"/>
          <w:szCs w:val="32"/>
          <w:rtl/>
        </w:rPr>
        <w:t>)،</w:t>
      </w:r>
      <w:r w:rsidRPr="00DE5854">
        <w:rPr>
          <w:rFonts w:ascii="Traditional Arabic" w:hAnsi="Traditional Arabic" w:hint="cs"/>
          <w:sz w:val="32"/>
          <w:szCs w:val="32"/>
          <w:rtl/>
        </w:rPr>
        <w:t xml:space="preserve"> </w:t>
      </w:r>
      <w:r w:rsidRPr="00DE5854">
        <w:rPr>
          <w:rFonts w:ascii="Traditional Arabic" w:hAnsi="Traditional Arabic"/>
          <w:sz w:val="32"/>
          <w:szCs w:val="32"/>
          <w:rtl/>
        </w:rPr>
        <w:t>تهذيب</w:t>
      </w:r>
      <w:r w:rsidRPr="00DE5854">
        <w:rPr>
          <w:rFonts w:ascii="Tahoma" w:hAnsi="Tahoma" w:hint="cs"/>
          <w:sz w:val="32"/>
          <w:szCs w:val="32"/>
          <w:rtl/>
        </w:rPr>
        <w:t xml:space="preserve"> الكمال (35/78)</w:t>
      </w:r>
      <w:r w:rsidRPr="00DE5854">
        <w:rPr>
          <w:rFonts w:ascii="Traditional Arabic" w:hAnsi="Traditional Arabic" w:hint="cs"/>
          <w:sz w:val="32"/>
          <w:szCs w:val="32"/>
          <w:rtl/>
        </w:rPr>
        <w:t xml:space="preserve">, </w:t>
      </w:r>
      <w:r w:rsidRPr="00DE5854">
        <w:rPr>
          <w:rFonts w:ascii="Traditional Arabic" w:eastAsia="Calibri" w:hAnsi="Traditional Arabic"/>
          <w:color w:val="auto"/>
          <w:spacing w:val="-6"/>
          <w:sz w:val="32"/>
          <w:szCs w:val="32"/>
          <w:rtl/>
          <w:lang w:eastAsia="en-US"/>
        </w:rPr>
        <w:t>سير أعلام النبلاء (</w:t>
      </w:r>
      <w:r w:rsidRPr="00DE5854">
        <w:rPr>
          <w:rFonts w:ascii="Traditional Arabic" w:eastAsia="Calibri" w:hAnsi="Traditional Arabic" w:hint="cs"/>
          <w:color w:val="auto"/>
          <w:spacing w:val="-6"/>
          <w:sz w:val="32"/>
          <w:szCs w:val="32"/>
          <w:rtl/>
          <w:lang w:eastAsia="en-US"/>
        </w:rPr>
        <w:t>13/203</w:t>
      </w:r>
      <w:r w:rsidRPr="00DE5854">
        <w:rPr>
          <w:rFonts w:ascii="Traditional Arabic" w:eastAsia="Calibri" w:hAnsi="Traditional Arabic"/>
          <w:color w:val="auto"/>
          <w:spacing w:val="-6"/>
          <w:sz w:val="32"/>
          <w:szCs w:val="32"/>
          <w:rtl/>
          <w:lang w:eastAsia="en-US"/>
        </w:rPr>
        <w:t>).</w:t>
      </w:r>
    </w:p>
  </w:footnote>
  <w:footnote w:id="741">
    <w:p w:rsidR="003F128F" w:rsidRPr="003971E6" w:rsidRDefault="003F128F" w:rsidP="00911ED4">
      <w:pPr>
        <w:widowControl/>
        <w:autoSpaceDE w:val="0"/>
        <w:autoSpaceDN w:val="0"/>
        <w:adjustRightInd w:val="0"/>
        <w:ind w:firstLine="0"/>
        <w:jc w:val="left"/>
        <w:rPr>
          <w:rFonts w:ascii="Traditional Arabic" w:hAnsi="Traditional Arabic"/>
          <w:sz w:val="32"/>
          <w:szCs w:val="32"/>
        </w:rPr>
      </w:pPr>
      <w:r w:rsidRPr="00DE5854">
        <w:rPr>
          <w:rFonts w:ascii="Traditional Arabic" w:hAnsi="Traditional Arabic"/>
          <w:sz w:val="32"/>
          <w:szCs w:val="32"/>
          <w:rtl/>
        </w:rPr>
        <w:t>(</w:t>
      </w:r>
      <w:r w:rsidRPr="00DE5854">
        <w:rPr>
          <w:rStyle w:val="ae"/>
          <w:rFonts w:ascii="Traditional Arabic" w:hAnsi="Traditional Arabic"/>
          <w:sz w:val="32"/>
          <w:szCs w:val="32"/>
          <w:vertAlign w:val="baseline"/>
        </w:rPr>
        <w:footnoteRef/>
      </w:r>
      <w:r w:rsidRPr="00DE5854">
        <w:rPr>
          <w:rFonts w:ascii="Traditional Arabic" w:hAnsi="Traditional Arabic"/>
          <w:sz w:val="32"/>
          <w:szCs w:val="32"/>
          <w:rtl/>
        </w:rPr>
        <w:t>)</w:t>
      </w:r>
      <w:r w:rsidRPr="00DE5854">
        <w:rPr>
          <w:rFonts w:ascii="Traditional Arabic" w:hAnsi="Traditional Arabic" w:hint="cs"/>
          <w:sz w:val="32"/>
          <w:szCs w:val="32"/>
          <w:rtl/>
        </w:rPr>
        <w:t xml:space="preserve"> </w:t>
      </w:r>
      <w:r w:rsidRPr="00DE5854">
        <w:rPr>
          <w:rFonts w:ascii="Traditional Arabic" w:hAnsi="Traditional Arabic"/>
          <w:sz w:val="32"/>
          <w:szCs w:val="32"/>
          <w:rtl/>
        </w:rPr>
        <w:t xml:space="preserve">هو صاحب رسول الله </w:t>
      </w:r>
      <w:r w:rsidRPr="00DE5854">
        <w:rPr>
          <w:rFonts w:ascii="Traditional Arabic" w:hAnsi="Traditional Arabic"/>
          <w:sz w:val="32"/>
          <w:szCs w:val="32"/>
        </w:rPr>
        <w:sym w:font="AGA Arabesque" w:char="F072"/>
      </w:r>
      <w:r>
        <w:rPr>
          <w:rFonts w:ascii="Traditional Arabic" w:hAnsi="Traditional Arabic" w:hint="cs"/>
          <w:sz w:val="32"/>
          <w:szCs w:val="32"/>
          <w:rtl/>
        </w:rPr>
        <w:t>,</w:t>
      </w:r>
      <w:r w:rsidRPr="00DE5854">
        <w:rPr>
          <w:rFonts w:ascii="Traditional Arabic" w:hAnsi="Traditional Arabic"/>
          <w:sz w:val="32"/>
          <w:szCs w:val="32"/>
          <w:rtl/>
        </w:rPr>
        <w:t xml:space="preserve"> </w:t>
      </w:r>
      <w:r w:rsidRPr="00DE5854">
        <w:rPr>
          <w:rFonts w:ascii="Traditional Arabic" w:hAnsi="Traditional Arabic"/>
          <w:color w:val="auto"/>
          <w:sz w:val="32"/>
          <w:szCs w:val="32"/>
          <w:rtl/>
          <w:lang w:eastAsia="en-US"/>
        </w:rPr>
        <w:t>صفوان بن عَسَّالٍ</w:t>
      </w:r>
      <w:r w:rsidRPr="00DE5854">
        <w:rPr>
          <w:rFonts w:ascii="Traditional Arabic" w:hAnsi="Traditional Arabic" w:hint="cs"/>
          <w:color w:val="auto"/>
          <w:sz w:val="32"/>
          <w:szCs w:val="32"/>
          <w:rtl/>
          <w:lang w:eastAsia="en-US"/>
        </w:rPr>
        <w:t xml:space="preserve"> </w:t>
      </w:r>
      <w:r w:rsidRPr="00DE5854">
        <w:rPr>
          <w:rFonts w:ascii="Traditional Arabic" w:hAnsi="Traditional Arabic"/>
          <w:color w:val="auto"/>
          <w:sz w:val="32"/>
          <w:szCs w:val="32"/>
          <w:rtl/>
          <w:lang w:eastAsia="en-US"/>
        </w:rPr>
        <w:t>الْمُرَادِيُّ وهو من بني الربض بن زاهر</w:t>
      </w:r>
      <w:r w:rsidRPr="00DE5854">
        <w:rPr>
          <w:rFonts w:ascii="Traditional Arabic" w:hAnsi="Traditional Arabic" w:hint="cs"/>
          <w:color w:val="auto"/>
          <w:sz w:val="32"/>
          <w:szCs w:val="32"/>
          <w:rtl/>
          <w:lang w:eastAsia="en-US"/>
        </w:rPr>
        <w:t>,</w:t>
      </w:r>
      <w:r w:rsidRPr="00DE5854">
        <w:rPr>
          <w:rFonts w:ascii="Traditional Arabic" w:hAnsi="Traditional Arabic"/>
          <w:sz w:val="32"/>
          <w:szCs w:val="32"/>
          <w:rtl/>
          <w:lang w:eastAsia="en-US"/>
        </w:rPr>
        <w:t xml:space="preserve"> </w:t>
      </w:r>
      <w:r w:rsidRPr="00DE5854">
        <w:rPr>
          <w:rFonts w:ascii="Traditional Arabic" w:hAnsi="Traditional Arabic"/>
          <w:color w:val="auto"/>
          <w:sz w:val="32"/>
          <w:szCs w:val="32"/>
          <w:rtl/>
          <w:lang w:eastAsia="en-US"/>
        </w:rPr>
        <w:t xml:space="preserve">سكن الكوفة، وغزا مع النبي </w:t>
      </w:r>
      <w:r w:rsidRPr="00DE5854">
        <w:rPr>
          <w:rFonts w:ascii="Traditional Arabic" w:hAnsi="Traditional Arabic"/>
          <w:sz w:val="32"/>
          <w:szCs w:val="32"/>
        </w:rPr>
        <w:t xml:space="preserve"> </w:t>
      </w:r>
      <w:r w:rsidRPr="00DE5854">
        <w:rPr>
          <w:rFonts w:ascii="Traditional Arabic" w:hAnsi="Traditional Arabic"/>
          <w:sz w:val="32"/>
          <w:szCs w:val="32"/>
        </w:rPr>
        <w:sym w:font="AGA Arabesque" w:char="F072"/>
      </w:r>
      <w:r w:rsidRPr="00DE5854">
        <w:rPr>
          <w:rFonts w:ascii="Traditional Arabic" w:hAnsi="Traditional Arabic"/>
          <w:color w:val="auto"/>
          <w:sz w:val="32"/>
          <w:szCs w:val="32"/>
          <w:rtl/>
          <w:lang w:eastAsia="en-US"/>
        </w:rPr>
        <w:t>ثنتي عشرة غزوة</w:t>
      </w:r>
      <w:r w:rsidRPr="00DE5854">
        <w:rPr>
          <w:rFonts w:ascii="Traditional Arabic" w:hAnsi="Traditional Arabic" w:hint="cs"/>
          <w:color w:val="auto"/>
          <w:sz w:val="32"/>
          <w:szCs w:val="32"/>
          <w:rtl/>
          <w:lang w:eastAsia="en-US"/>
        </w:rPr>
        <w:t>,</w:t>
      </w:r>
      <w:r w:rsidRPr="00DE5854">
        <w:rPr>
          <w:rFonts w:ascii="Traditional Arabic" w:hAnsi="Traditional Arabic"/>
          <w:sz w:val="32"/>
          <w:szCs w:val="32"/>
          <w:rtl/>
        </w:rPr>
        <w:t xml:space="preserve"> (ت40ه). انظر: طبقات ابن سعد (</w:t>
      </w:r>
      <w:r w:rsidRPr="00DE5854">
        <w:rPr>
          <w:rFonts w:ascii="Traditional Arabic" w:hAnsi="Traditional Arabic" w:hint="cs"/>
          <w:sz w:val="32"/>
          <w:szCs w:val="32"/>
          <w:rtl/>
        </w:rPr>
        <w:t>6/103</w:t>
      </w:r>
      <w:r w:rsidRPr="00DE5854">
        <w:rPr>
          <w:rFonts w:ascii="Traditional Arabic" w:hAnsi="Traditional Arabic"/>
          <w:sz w:val="32"/>
          <w:szCs w:val="32"/>
          <w:rtl/>
        </w:rPr>
        <w:t>), اسد الغابة (</w:t>
      </w:r>
      <w:r w:rsidRPr="00DE5854">
        <w:rPr>
          <w:rFonts w:ascii="Traditional Arabic" w:hAnsi="Traditional Arabic" w:hint="cs"/>
          <w:sz w:val="32"/>
          <w:szCs w:val="32"/>
          <w:rtl/>
        </w:rPr>
        <w:t>3/28</w:t>
      </w:r>
      <w:r w:rsidRPr="00DE5854">
        <w:rPr>
          <w:rFonts w:ascii="Traditional Arabic" w:hAnsi="Traditional Arabic"/>
          <w:sz w:val="32"/>
          <w:szCs w:val="32"/>
          <w:rtl/>
        </w:rPr>
        <w:t>), تهذيب الكمال (</w:t>
      </w:r>
      <w:r w:rsidRPr="00DE5854">
        <w:rPr>
          <w:rFonts w:ascii="Traditional Arabic" w:hAnsi="Traditional Arabic" w:hint="cs"/>
          <w:sz w:val="32"/>
          <w:szCs w:val="32"/>
          <w:rtl/>
        </w:rPr>
        <w:t>13/200</w:t>
      </w:r>
      <w:r w:rsidRPr="00DE5854">
        <w:rPr>
          <w:rFonts w:ascii="Traditional Arabic" w:hAnsi="Traditional Arabic"/>
          <w:sz w:val="32"/>
          <w:szCs w:val="32"/>
          <w:rtl/>
        </w:rPr>
        <w:t>)</w:t>
      </w:r>
      <w:r w:rsidRPr="00DE5854">
        <w:rPr>
          <w:rFonts w:ascii="Traditional Arabic" w:hAnsi="Traditional Arabic" w:hint="cs"/>
          <w:sz w:val="32"/>
          <w:szCs w:val="32"/>
          <w:rtl/>
        </w:rPr>
        <w:t>.</w:t>
      </w:r>
    </w:p>
  </w:footnote>
  <w:footnote w:id="742">
    <w:p w:rsidR="003F128F" w:rsidRPr="002C6CC7" w:rsidRDefault="003F128F" w:rsidP="00911ED4">
      <w:pPr>
        <w:pStyle w:val="af3"/>
        <w:rPr>
          <w:rFonts w:ascii="Traditional Arabic" w:hAnsi="Traditional Arabic"/>
          <w:sz w:val="32"/>
          <w:szCs w:val="32"/>
          <w:rtl/>
        </w:rPr>
      </w:pPr>
      <w:r w:rsidRPr="002C6CC7">
        <w:rPr>
          <w:rFonts w:ascii="Traditional Arabic" w:hAnsi="Traditional Arabic"/>
          <w:sz w:val="32"/>
          <w:szCs w:val="32"/>
          <w:rtl/>
        </w:rPr>
        <w:t>(</w:t>
      </w:r>
      <w:r w:rsidRPr="002C6CC7">
        <w:rPr>
          <w:rStyle w:val="ae"/>
          <w:rFonts w:ascii="Traditional Arabic" w:hAnsi="Traditional Arabic"/>
          <w:sz w:val="32"/>
          <w:szCs w:val="32"/>
          <w:vertAlign w:val="baseline"/>
        </w:rPr>
        <w:footnoteRef/>
      </w:r>
      <w:r>
        <w:rPr>
          <w:rFonts w:ascii="Traditional Arabic" w:hAnsi="Traditional Arabic"/>
          <w:sz w:val="32"/>
          <w:szCs w:val="32"/>
          <w:rtl/>
        </w:rPr>
        <w:t>) في (</w:t>
      </w:r>
      <w:r>
        <w:rPr>
          <w:rFonts w:ascii="Traditional Arabic" w:hAnsi="Traditional Arabic" w:hint="cs"/>
          <w:sz w:val="32"/>
          <w:szCs w:val="32"/>
          <w:rtl/>
        </w:rPr>
        <w:t>ك</w:t>
      </w:r>
      <w:r>
        <w:rPr>
          <w:rFonts w:ascii="Traditional Arabic" w:hAnsi="Traditional Arabic"/>
          <w:sz w:val="32"/>
          <w:szCs w:val="32"/>
          <w:rtl/>
        </w:rPr>
        <w:t xml:space="preserve">): </w:t>
      </w:r>
      <w:r>
        <w:rPr>
          <w:rFonts w:ascii="Traditional Arabic" w:hAnsi="Traditional Arabic" w:hint="cs"/>
          <w:sz w:val="32"/>
          <w:szCs w:val="32"/>
          <w:rtl/>
        </w:rPr>
        <w:t>[</w:t>
      </w:r>
      <w:r w:rsidRPr="002C6CC7">
        <w:rPr>
          <w:rFonts w:ascii="Traditional Arabic" w:hAnsi="Traditional Arabic"/>
          <w:sz w:val="32"/>
          <w:szCs w:val="32"/>
          <w:rtl/>
        </w:rPr>
        <w:t>صارت له أربع أعين</w:t>
      </w:r>
      <w:r>
        <w:rPr>
          <w:rFonts w:ascii="Traditional Arabic" w:hAnsi="Traditional Arabic" w:hint="cs"/>
          <w:sz w:val="32"/>
          <w:szCs w:val="32"/>
          <w:rtl/>
        </w:rPr>
        <w:t>]</w:t>
      </w:r>
      <w:r w:rsidRPr="002C6CC7">
        <w:rPr>
          <w:rFonts w:ascii="Traditional Arabic" w:hAnsi="Traditional Arabic"/>
          <w:sz w:val="32"/>
          <w:szCs w:val="32"/>
          <w:rtl/>
        </w:rPr>
        <w:t>.</w:t>
      </w:r>
    </w:p>
  </w:footnote>
  <w:footnote w:id="743">
    <w:p w:rsidR="003F128F" w:rsidRPr="009D5EA9" w:rsidRDefault="003F128F" w:rsidP="00AC48B1">
      <w:pPr>
        <w:pStyle w:val="af3"/>
        <w:rPr>
          <w:rFonts w:ascii="Traditional Arabic" w:hAnsi="Traditional Arabic"/>
          <w:sz w:val="32"/>
          <w:szCs w:val="32"/>
        </w:rPr>
      </w:pPr>
      <w:r w:rsidRPr="003971E6">
        <w:rPr>
          <w:rFonts w:ascii="Traditional Arabic" w:hAnsi="Traditional Arabic"/>
          <w:sz w:val="32"/>
          <w:szCs w:val="32"/>
          <w:rtl/>
        </w:rPr>
        <w:t>(</w:t>
      </w:r>
      <w:r w:rsidRPr="003971E6">
        <w:rPr>
          <w:rStyle w:val="ae"/>
          <w:rFonts w:ascii="Traditional Arabic" w:hAnsi="Traditional Arabic"/>
          <w:sz w:val="32"/>
          <w:szCs w:val="32"/>
          <w:vertAlign w:val="baseline"/>
        </w:rPr>
        <w:footnoteRef/>
      </w:r>
      <w:r w:rsidRPr="003971E6">
        <w:rPr>
          <w:rFonts w:ascii="Traditional Arabic" w:hAnsi="Traditional Arabic"/>
          <w:sz w:val="32"/>
          <w:szCs w:val="32"/>
          <w:rtl/>
        </w:rPr>
        <w:t>)</w:t>
      </w:r>
      <w:r>
        <w:rPr>
          <w:rFonts w:ascii="Traditional Arabic" w:hAnsi="Traditional Arabic" w:hint="cs"/>
          <w:sz w:val="32"/>
          <w:szCs w:val="32"/>
          <w:rtl/>
        </w:rPr>
        <w:t xml:space="preserve"> </w:t>
      </w:r>
      <w:r w:rsidRPr="00A91802">
        <w:rPr>
          <w:rFonts w:ascii="Traditional Arabic" w:hAnsi="Traditional Arabic"/>
          <w:sz w:val="32"/>
          <w:szCs w:val="32"/>
          <w:rtl/>
        </w:rPr>
        <w:t>أخرجه أحمد في مسنده (</w:t>
      </w:r>
      <w:r>
        <w:rPr>
          <w:rFonts w:ascii="Traditional Arabic" w:hAnsi="Traditional Arabic" w:hint="cs"/>
          <w:sz w:val="32"/>
          <w:szCs w:val="32"/>
          <w:rtl/>
        </w:rPr>
        <w:t>30/12</w:t>
      </w:r>
      <w:r w:rsidRPr="00A91802">
        <w:rPr>
          <w:rFonts w:ascii="Traditional Arabic" w:hAnsi="Traditional Arabic"/>
          <w:sz w:val="32"/>
          <w:szCs w:val="32"/>
          <w:rtl/>
        </w:rPr>
        <w:t xml:space="preserve"> </w:t>
      </w:r>
      <w:r>
        <w:rPr>
          <w:rFonts w:ascii="Traditional Arabic" w:hAnsi="Traditional Arabic" w:hint="cs"/>
          <w:sz w:val="32"/>
          <w:szCs w:val="32"/>
          <w:rtl/>
        </w:rPr>
        <w:t>ح18092, 30/21 ح18096</w:t>
      </w:r>
      <w:r w:rsidRPr="00A91802">
        <w:rPr>
          <w:rFonts w:ascii="Traditional Arabic" w:hAnsi="Traditional Arabic"/>
          <w:sz w:val="32"/>
          <w:szCs w:val="32"/>
          <w:rtl/>
        </w:rPr>
        <w:t>)،</w:t>
      </w:r>
      <w:r>
        <w:rPr>
          <w:rFonts w:ascii="Traditional Arabic" w:hAnsi="Traditional Arabic" w:hint="cs"/>
          <w:sz w:val="32"/>
          <w:szCs w:val="32"/>
          <w:rtl/>
        </w:rPr>
        <w:t xml:space="preserve"> والترمذي </w:t>
      </w:r>
      <w:r w:rsidRPr="00C41328">
        <w:rPr>
          <w:rFonts w:ascii="Traditional Arabic" w:hAnsi="Traditional Arabic"/>
          <w:sz w:val="32"/>
          <w:szCs w:val="32"/>
          <w:rtl/>
        </w:rPr>
        <w:t xml:space="preserve">في "جامعه" (كتاب </w:t>
      </w:r>
      <w:r>
        <w:rPr>
          <w:rFonts w:ascii="Traditional Arabic" w:hAnsi="Traditional Arabic" w:hint="cs"/>
          <w:sz w:val="32"/>
          <w:szCs w:val="32"/>
          <w:rtl/>
        </w:rPr>
        <w:t>الاستئذان والآداب</w:t>
      </w:r>
      <w:r w:rsidRPr="00C41328">
        <w:rPr>
          <w:rFonts w:ascii="Traditional Arabic" w:hAnsi="Traditional Arabic"/>
          <w:sz w:val="32"/>
          <w:szCs w:val="32"/>
          <w:rtl/>
        </w:rPr>
        <w:t>، باب</w:t>
      </w:r>
      <w:r>
        <w:rPr>
          <w:rFonts w:ascii="Traditional Arabic" w:hAnsi="Traditional Arabic" w:hint="cs"/>
          <w:sz w:val="32"/>
          <w:szCs w:val="32"/>
          <w:rtl/>
        </w:rPr>
        <w:t>:</w:t>
      </w:r>
      <w:r w:rsidRPr="00C41328">
        <w:rPr>
          <w:rFonts w:ascii="Traditional Arabic" w:hAnsi="Traditional Arabic"/>
          <w:sz w:val="32"/>
          <w:szCs w:val="32"/>
          <w:rtl/>
        </w:rPr>
        <w:t xml:space="preserve"> </w:t>
      </w:r>
      <w:r>
        <w:rPr>
          <w:rFonts w:ascii="Traditional Arabic" w:hAnsi="Traditional Arabic" w:hint="cs"/>
          <w:sz w:val="32"/>
          <w:szCs w:val="32"/>
          <w:rtl/>
        </w:rPr>
        <w:t>ما جاء في قبلة اليد والرجل</w:t>
      </w:r>
      <w:r w:rsidRPr="00C41328">
        <w:rPr>
          <w:rFonts w:ascii="Traditional Arabic" w:hAnsi="Traditional Arabic"/>
          <w:sz w:val="32"/>
          <w:szCs w:val="32"/>
          <w:rtl/>
          <w:lang w:eastAsia="en-US"/>
        </w:rPr>
        <w:t xml:space="preserve"> </w:t>
      </w:r>
      <w:r>
        <w:rPr>
          <w:rFonts w:ascii="Traditional Arabic" w:hAnsi="Traditional Arabic" w:hint="cs"/>
          <w:sz w:val="32"/>
          <w:szCs w:val="32"/>
          <w:rtl/>
        </w:rPr>
        <w:t>7/555</w:t>
      </w:r>
      <w:r w:rsidRPr="00C41328">
        <w:rPr>
          <w:rFonts w:ascii="Traditional Arabic" w:hAnsi="Traditional Arabic"/>
          <w:sz w:val="32"/>
          <w:szCs w:val="32"/>
          <w:rtl/>
        </w:rPr>
        <w:t xml:space="preserve"> ح</w:t>
      </w:r>
      <w:r>
        <w:rPr>
          <w:rFonts w:ascii="Traditional Arabic" w:hAnsi="Traditional Arabic" w:hint="cs"/>
          <w:sz w:val="32"/>
          <w:szCs w:val="32"/>
          <w:rtl/>
        </w:rPr>
        <w:t>2733, 3144</w:t>
      </w:r>
      <w:r>
        <w:rPr>
          <w:rFonts w:ascii="Traditional Arabic" w:hAnsi="Traditional Arabic"/>
          <w:sz w:val="32"/>
          <w:szCs w:val="32"/>
          <w:rtl/>
        </w:rPr>
        <w:t>)،</w:t>
      </w:r>
      <w:r>
        <w:rPr>
          <w:rFonts w:ascii="Traditional Arabic" w:hAnsi="Traditional Arabic" w:hint="cs"/>
          <w:sz w:val="32"/>
          <w:szCs w:val="32"/>
          <w:rtl/>
        </w:rPr>
        <w:t xml:space="preserve"> وقال: حديث حسن صحيح,</w:t>
      </w:r>
      <w:r w:rsidRPr="00A91802">
        <w:rPr>
          <w:rFonts w:ascii="Traditional Arabic" w:hAnsi="Traditional Arabic"/>
          <w:sz w:val="32"/>
          <w:szCs w:val="32"/>
          <w:rtl/>
        </w:rPr>
        <w:t xml:space="preserve"> والنسائي في السنن الكبرى (كتاب </w:t>
      </w:r>
      <w:r>
        <w:rPr>
          <w:rFonts w:ascii="Traditional Arabic" w:hAnsi="Traditional Arabic" w:hint="cs"/>
          <w:sz w:val="32"/>
          <w:szCs w:val="32"/>
          <w:rtl/>
        </w:rPr>
        <w:t>المحاربة من السنن,</w:t>
      </w:r>
      <w:r w:rsidRPr="00A91802">
        <w:rPr>
          <w:rFonts w:ascii="Traditional Arabic" w:hAnsi="Traditional Arabic"/>
          <w:sz w:val="32"/>
          <w:szCs w:val="32"/>
          <w:rtl/>
        </w:rPr>
        <w:t xml:space="preserve"> باب</w:t>
      </w:r>
      <w:r>
        <w:rPr>
          <w:rFonts w:ascii="Traditional Arabic" w:hAnsi="Traditional Arabic" w:hint="cs"/>
          <w:sz w:val="32"/>
          <w:szCs w:val="32"/>
          <w:rtl/>
        </w:rPr>
        <w:t>:</w:t>
      </w:r>
      <w:r w:rsidRPr="00A91802">
        <w:rPr>
          <w:rFonts w:ascii="Traditional Arabic" w:hAnsi="Traditional Arabic"/>
          <w:sz w:val="32"/>
          <w:szCs w:val="32"/>
          <w:rtl/>
        </w:rPr>
        <w:t xml:space="preserve"> </w:t>
      </w:r>
      <w:r>
        <w:rPr>
          <w:rFonts w:ascii="Traditional Arabic" w:hAnsi="Traditional Arabic" w:hint="cs"/>
          <w:sz w:val="32"/>
          <w:szCs w:val="32"/>
          <w:rtl/>
          <w:lang w:eastAsia="en-US"/>
        </w:rPr>
        <w:t xml:space="preserve">السحر </w:t>
      </w:r>
      <w:r>
        <w:rPr>
          <w:rFonts w:ascii="Traditional Arabic" w:hAnsi="Traditional Arabic" w:hint="cs"/>
          <w:sz w:val="32"/>
          <w:szCs w:val="32"/>
          <w:rtl/>
        </w:rPr>
        <w:t>4/545</w:t>
      </w:r>
      <w:r w:rsidRPr="00A91802">
        <w:rPr>
          <w:rFonts w:ascii="Traditional Arabic" w:hAnsi="Traditional Arabic"/>
          <w:sz w:val="32"/>
          <w:szCs w:val="32"/>
          <w:rtl/>
        </w:rPr>
        <w:t xml:space="preserve"> ح</w:t>
      </w:r>
      <w:r>
        <w:rPr>
          <w:rFonts w:ascii="Traditional Arabic" w:hAnsi="Traditional Arabic" w:hint="cs"/>
          <w:sz w:val="32"/>
          <w:szCs w:val="32"/>
          <w:rtl/>
        </w:rPr>
        <w:t>3730, وكتاب السير, باب: تاويل قول الله جل ثناؤه:</w:t>
      </w:r>
      <w:r w:rsidRPr="00C361C6">
        <w:rPr>
          <w:rFonts w:ascii="QCF_BSML" w:hAnsi="QCF_BSML" w:cs="QCF_BSML"/>
          <w:sz w:val="32"/>
          <w:szCs w:val="32"/>
          <w:rtl/>
          <w:lang w:eastAsia="en-US"/>
        </w:rPr>
        <w:t xml:space="preserve"> </w:t>
      </w:r>
      <w:r w:rsidRPr="00C361C6">
        <w:rPr>
          <w:rFonts w:ascii="QCF_BSML" w:hAnsi="QCF_BSML" w:cs="QCF_BSML"/>
          <w:rtl/>
          <w:lang w:eastAsia="en-US"/>
        </w:rPr>
        <w:t>ﭽ</w:t>
      </w:r>
      <w:r w:rsidRPr="00C361C6">
        <w:rPr>
          <w:rFonts w:ascii="QCF_P292" w:hAnsi="QCF_P292" w:cs="QCF_P292"/>
          <w:rtl/>
          <w:lang w:eastAsia="en-US"/>
        </w:rPr>
        <w:t xml:space="preserve">ﮩ  ﮪ  ﮫ  ﮬ    </w:t>
      </w:r>
      <w:r w:rsidRPr="00C361C6">
        <w:rPr>
          <w:rFonts w:ascii="QCF_P292" w:hAnsi="QCF_P292" w:cs="QCF_P292"/>
          <w:color w:val="auto"/>
          <w:rtl/>
          <w:lang w:eastAsia="en-US"/>
        </w:rPr>
        <w:t xml:space="preserve">ﮭ  ﮮﮯ </w:t>
      </w:r>
      <w:r w:rsidRPr="00C361C6">
        <w:rPr>
          <w:rFonts w:ascii="QCF_BSML" w:hAnsi="QCF_BSML" w:cs="QCF_BSML"/>
          <w:rtl/>
          <w:lang w:eastAsia="en-US"/>
        </w:rPr>
        <w:t>ﭼ</w:t>
      </w:r>
      <w:r>
        <w:rPr>
          <w:rFonts w:ascii="Traditional Arabic" w:hAnsi="Traditional Arabic" w:hint="cs"/>
          <w:sz w:val="32"/>
          <w:szCs w:val="32"/>
          <w:rtl/>
        </w:rPr>
        <w:t xml:space="preserve"> </w:t>
      </w:r>
      <w:r w:rsidRPr="00DE5854">
        <w:rPr>
          <w:rFonts w:ascii="Traditional Arabic" w:hAnsi="Traditional Arabic" w:hint="cs"/>
          <w:sz w:val="32"/>
          <w:szCs w:val="32"/>
          <w:rtl/>
        </w:rPr>
        <w:t>9</w:t>
      </w:r>
      <w:r w:rsidRPr="009D5EA9">
        <w:rPr>
          <w:rFonts w:ascii="Traditional Arabic" w:hAnsi="Traditional Arabic" w:hint="cs"/>
          <w:sz w:val="32"/>
          <w:szCs w:val="32"/>
          <w:rtl/>
        </w:rPr>
        <w:t>/113 ح8911</w:t>
      </w:r>
      <w:r w:rsidRPr="009D5EA9">
        <w:rPr>
          <w:rFonts w:ascii="Traditional Arabic" w:hAnsi="Traditional Arabic"/>
          <w:sz w:val="32"/>
          <w:szCs w:val="32"/>
          <w:rtl/>
        </w:rPr>
        <w:t xml:space="preserve">)، </w:t>
      </w:r>
      <w:r w:rsidRPr="009D5EA9">
        <w:rPr>
          <w:rFonts w:ascii="Traditional Arabic" w:hAnsi="Traditional Arabic" w:hint="cs"/>
          <w:sz w:val="32"/>
          <w:szCs w:val="32"/>
          <w:rtl/>
        </w:rPr>
        <w:t>و</w:t>
      </w:r>
      <w:r w:rsidRPr="009D5EA9">
        <w:rPr>
          <w:rFonts w:ascii="Traditional Arabic" w:hAnsi="Traditional Arabic"/>
          <w:sz w:val="32"/>
          <w:szCs w:val="32"/>
          <w:rtl/>
        </w:rPr>
        <w:t xml:space="preserve">ابن ماجة (كتاب </w:t>
      </w:r>
      <w:r w:rsidRPr="009D5EA9">
        <w:rPr>
          <w:rFonts w:ascii="Traditional Arabic" w:hAnsi="Traditional Arabic" w:hint="cs"/>
          <w:sz w:val="32"/>
          <w:szCs w:val="32"/>
          <w:rtl/>
        </w:rPr>
        <w:t>الأدب</w:t>
      </w:r>
      <w:r w:rsidRPr="009D5EA9">
        <w:rPr>
          <w:rFonts w:ascii="Traditional Arabic" w:hAnsi="Traditional Arabic"/>
          <w:sz w:val="32"/>
          <w:szCs w:val="32"/>
          <w:rtl/>
        </w:rPr>
        <w:t>, باب</w:t>
      </w:r>
      <w:r w:rsidRPr="009D5EA9">
        <w:rPr>
          <w:rFonts w:ascii="Traditional Arabic" w:hAnsi="Traditional Arabic" w:hint="cs"/>
          <w:sz w:val="32"/>
          <w:szCs w:val="32"/>
          <w:rtl/>
        </w:rPr>
        <w:t>:</w:t>
      </w:r>
      <w:r w:rsidRPr="009D5EA9">
        <w:rPr>
          <w:rFonts w:ascii="Traditional Arabic" w:hAnsi="Traditional Arabic"/>
          <w:sz w:val="32"/>
          <w:szCs w:val="32"/>
          <w:rtl/>
        </w:rPr>
        <w:t xml:space="preserve"> </w:t>
      </w:r>
      <w:r w:rsidRPr="009D5EA9">
        <w:rPr>
          <w:rFonts w:ascii="Traditional Arabic" w:hAnsi="Traditional Arabic" w:hint="cs"/>
          <w:sz w:val="32"/>
          <w:szCs w:val="32"/>
          <w:rtl/>
        </w:rPr>
        <w:t>الرجل يقبل يد الرجل</w:t>
      </w:r>
      <w:r w:rsidRPr="009D5EA9">
        <w:rPr>
          <w:rFonts w:ascii="Traditional Arabic" w:hAnsi="Traditional Arabic"/>
          <w:sz w:val="32"/>
          <w:szCs w:val="32"/>
          <w:rtl/>
        </w:rPr>
        <w:t>, 4/</w:t>
      </w:r>
      <w:r w:rsidRPr="009D5EA9">
        <w:rPr>
          <w:rFonts w:ascii="Traditional Arabic" w:hAnsi="Traditional Arabic" w:hint="cs"/>
          <w:sz w:val="32"/>
          <w:szCs w:val="32"/>
          <w:rtl/>
        </w:rPr>
        <w:t xml:space="preserve">205 </w:t>
      </w:r>
      <w:r w:rsidRPr="009D5EA9">
        <w:rPr>
          <w:rFonts w:ascii="Traditional Arabic" w:hAnsi="Traditional Arabic"/>
          <w:sz w:val="32"/>
          <w:szCs w:val="32"/>
          <w:rtl/>
        </w:rPr>
        <w:t>ح</w:t>
      </w:r>
      <w:r w:rsidRPr="009D5EA9">
        <w:rPr>
          <w:rFonts w:ascii="Traditional Arabic" w:hAnsi="Traditional Arabic" w:hint="cs"/>
          <w:sz w:val="32"/>
          <w:szCs w:val="32"/>
          <w:rtl/>
        </w:rPr>
        <w:t>3705</w:t>
      </w:r>
      <w:r w:rsidRPr="009D5EA9">
        <w:rPr>
          <w:rFonts w:ascii="Traditional Arabic" w:hAnsi="Traditional Arabic"/>
          <w:sz w:val="32"/>
          <w:szCs w:val="32"/>
          <w:rtl/>
        </w:rPr>
        <w:t>),</w:t>
      </w:r>
      <w:r w:rsidRPr="009D5EA9">
        <w:rPr>
          <w:rFonts w:ascii="Traditional Arabic" w:hAnsi="Traditional Arabic" w:hint="cs"/>
          <w:sz w:val="32"/>
          <w:szCs w:val="32"/>
          <w:rtl/>
        </w:rPr>
        <w:t xml:space="preserve"> ولم </w:t>
      </w:r>
      <w:r>
        <w:rPr>
          <w:rFonts w:ascii="Traditional Arabic" w:hAnsi="Traditional Arabic" w:hint="cs"/>
          <w:sz w:val="32"/>
          <w:szCs w:val="32"/>
          <w:rtl/>
        </w:rPr>
        <w:t>أقف عليه</w:t>
      </w:r>
      <w:r w:rsidRPr="009D5EA9">
        <w:rPr>
          <w:rFonts w:ascii="Traditional Arabic" w:hAnsi="Traditional Arabic" w:hint="cs"/>
          <w:sz w:val="32"/>
          <w:szCs w:val="32"/>
          <w:rtl/>
        </w:rPr>
        <w:t xml:space="preserve"> عند أبي داود, وأخرجه كذلك</w:t>
      </w:r>
      <w:r w:rsidRPr="009D5EA9">
        <w:rPr>
          <w:rFonts w:ascii="Traditional Arabic" w:hAnsi="Traditional Arabic"/>
          <w:sz w:val="32"/>
          <w:szCs w:val="32"/>
          <w:rtl/>
        </w:rPr>
        <w:t xml:space="preserve"> الحاكم في المستدرك (</w:t>
      </w:r>
      <w:r w:rsidRPr="009D5EA9">
        <w:rPr>
          <w:rFonts w:ascii="Traditional Arabic" w:hAnsi="Traditional Arabic" w:hint="cs"/>
          <w:sz w:val="32"/>
          <w:szCs w:val="32"/>
          <w:rtl/>
        </w:rPr>
        <w:t>1/52</w:t>
      </w:r>
      <w:r w:rsidRPr="009D5EA9">
        <w:rPr>
          <w:rFonts w:ascii="Traditional Arabic" w:hAnsi="Traditional Arabic"/>
          <w:sz w:val="32"/>
          <w:szCs w:val="32"/>
          <w:rtl/>
        </w:rPr>
        <w:t xml:space="preserve"> ح</w:t>
      </w:r>
      <w:r w:rsidRPr="009D5EA9">
        <w:rPr>
          <w:rFonts w:ascii="Traditional Arabic" w:hAnsi="Traditional Arabic" w:hint="cs"/>
          <w:sz w:val="32"/>
          <w:szCs w:val="32"/>
          <w:rtl/>
        </w:rPr>
        <w:t>20</w:t>
      </w:r>
      <w:r w:rsidRPr="009D5EA9">
        <w:rPr>
          <w:rFonts w:ascii="Traditional Arabic" w:hAnsi="Traditional Arabic"/>
          <w:sz w:val="32"/>
          <w:szCs w:val="32"/>
          <w:rtl/>
        </w:rPr>
        <w:t>)</w:t>
      </w:r>
      <w:r w:rsidRPr="009D5EA9">
        <w:rPr>
          <w:rFonts w:ascii="Traditional Arabic" w:hAnsi="Traditional Arabic" w:hint="cs"/>
          <w:sz w:val="32"/>
          <w:szCs w:val="32"/>
          <w:rtl/>
        </w:rPr>
        <w:t xml:space="preserve"> وسكت عنه وصححه الذهبي, الطبري في تفسيره </w:t>
      </w:r>
      <w:r w:rsidRPr="009D5EA9">
        <w:rPr>
          <w:rFonts w:ascii="Tahoma" w:hAnsi="Tahoma" w:hint="cs"/>
          <w:sz w:val="32"/>
          <w:szCs w:val="32"/>
          <w:rtl/>
        </w:rPr>
        <w:t>(17/566).</w:t>
      </w:r>
      <w:r w:rsidRPr="009D5EA9">
        <w:rPr>
          <w:rFonts w:ascii="Traditional Arabic" w:hAnsi="Traditional Arabic" w:hint="cs"/>
          <w:sz w:val="32"/>
          <w:szCs w:val="32"/>
          <w:rtl/>
        </w:rPr>
        <w:t xml:space="preserve"> قال ابن كثير رحمه الله في تفسيره:</w:t>
      </w:r>
      <w:r w:rsidRPr="009D5EA9">
        <w:rPr>
          <w:rFonts w:ascii="Traditional Arabic" w:hAnsi="Traditional Arabic"/>
          <w:sz w:val="32"/>
          <w:szCs w:val="32"/>
          <w:rtl/>
          <w:lang w:eastAsia="en-US"/>
        </w:rPr>
        <w:t xml:space="preserve"> </w:t>
      </w:r>
      <w:r w:rsidRPr="009D5EA9">
        <w:rPr>
          <w:rFonts w:ascii="Traditional Arabic" w:hAnsi="Traditional Arabic"/>
          <w:sz w:val="32"/>
          <w:szCs w:val="32"/>
          <w:rtl/>
        </w:rPr>
        <w:t>وهو حديث مشكل، وعبد اللَّه بن سَلَمَةَ</w:t>
      </w:r>
      <w:r>
        <w:rPr>
          <w:rFonts w:ascii="Traditional Arabic" w:hAnsi="Traditional Arabic" w:hint="cs"/>
          <w:sz w:val="32"/>
          <w:szCs w:val="32"/>
          <w:rtl/>
        </w:rPr>
        <w:t xml:space="preserve"> </w:t>
      </w:r>
      <w:r w:rsidRPr="009D5EA9">
        <w:rPr>
          <w:rFonts w:ascii="Traditional Arabic" w:hAnsi="Traditional Arabic"/>
          <w:sz w:val="32"/>
          <w:szCs w:val="32"/>
          <w:rtl/>
        </w:rPr>
        <w:t xml:space="preserve">فِي حفظه شيء، وقد تكلموا فيه، ولعله اشتبه  عليه التسع الآيات بالعشر الكلمات، فإِنها، وصايا في التوراة لا تعلق لها بقيام الحجة على فرعون، والله أعلم.  انظر: تفسير ابن كثير (5/126).  </w:t>
      </w:r>
    </w:p>
  </w:footnote>
  <w:footnote w:id="744">
    <w:p w:rsidR="003F128F" w:rsidRPr="009D5EA9" w:rsidRDefault="003F128F" w:rsidP="008F273D">
      <w:pPr>
        <w:pStyle w:val="af3"/>
        <w:rPr>
          <w:rFonts w:ascii="Traditional Arabic" w:hAnsi="Traditional Arabic"/>
          <w:sz w:val="32"/>
          <w:szCs w:val="32"/>
        </w:rPr>
      </w:pPr>
      <w:r w:rsidRPr="009D5EA9">
        <w:rPr>
          <w:rFonts w:ascii="Traditional Arabic" w:hAnsi="Traditional Arabic"/>
          <w:sz w:val="32"/>
          <w:szCs w:val="32"/>
          <w:rtl/>
        </w:rPr>
        <w:t>(</w:t>
      </w:r>
      <w:r w:rsidRPr="009D5EA9">
        <w:rPr>
          <w:rStyle w:val="ae"/>
          <w:rFonts w:ascii="Traditional Arabic" w:hAnsi="Traditional Arabic"/>
          <w:sz w:val="32"/>
          <w:szCs w:val="32"/>
          <w:vertAlign w:val="baseline"/>
        </w:rPr>
        <w:footnoteRef/>
      </w:r>
      <w:r w:rsidRPr="009D5EA9">
        <w:rPr>
          <w:rFonts w:ascii="Traditional Arabic" w:hAnsi="Traditional Arabic"/>
          <w:sz w:val="32"/>
          <w:szCs w:val="32"/>
          <w:rtl/>
        </w:rPr>
        <w:t>) انظر: البدور الزاهرة (</w:t>
      </w:r>
      <w:r>
        <w:rPr>
          <w:rFonts w:ascii="Traditional Arabic" w:hAnsi="Traditional Arabic" w:hint="cs"/>
          <w:sz w:val="32"/>
          <w:szCs w:val="32"/>
          <w:rtl/>
        </w:rPr>
        <w:t>ص509</w:t>
      </w:r>
      <w:r w:rsidRPr="009D5EA9">
        <w:rPr>
          <w:rFonts w:ascii="Traditional Arabic" w:hAnsi="Traditional Arabic"/>
          <w:sz w:val="32"/>
          <w:szCs w:val="32"/>
          <w:rtl/>
        </w:rPr>
        <w:t xml:space="preserve">).  </w:t>
      </w:r>
    </w:p>
  </w:footnote>
  <w:footnote w:id="745">
    <w:p w:rsidR="003F128F" w:rsidRPr="009D5EA9" w:rsidRDefault="003F128F" w:rsidP="00911ED4">
      <w:pPr>
        <w:pStyle w:val="af3"/>
        <w:rPr>
          <w:rFonts w:ascii="Traditional Arabic" w:hAnsi="Traditional Arabic"/>
          <w:sz w:val="32"/>
          <w:szCs w:val="32"/>
        </w:rPr>
      </w:pPr>
      <w:r w:rsidRPr="009D5EA9">
        <w:rPr>
          <w:rFonts w:ascii="Traditional Arabic" w:hAnsi="Traditional Arabic"/>
          <w:sz w:val="32"/>
          <w:szCs w:val="32"/>
          <w:rtl/>
        </w:rPr>
        <w:t>(</w:t>
      </w:r>
      <w:r w:rsidRPr="009D5EA9">
        <w:rPr>
          <w:rStyle w:val="ae"/>
          <w:rFonts w:ascii="Traditional Arabic" w:hAnsi="Traditional Arabic"/>
          <w:sz w:val="32"/>
          <w:szCs w:val="32"/>
          <w:vertAlign w:val="baseline"/>
        </w:rPr>
        <w:footnoteRef/>
      </w:r>
      <w:r w:rsidRPr="009D5EA9">
        <w:rPr>
          <w:rFonts w:ascii="Traditional Arabic" w:hAnsi="Traditional Arabic"/>
          <w:sz w:val="32"/>
          <w:szCs w:val="32"/>
          <w:rtl/>
        </w:rPr>
        <w:t>) في (</w:t>
      </w:r>
      <w:r w:rsidRPr="009D5EA9">
        <w:rPr>
          <w:rFonts w:ascii="Traditional Arabic" w:hAnsi="Traditional Arabic" w:hint="cs"/>
          <w:sz w:val="32"/>
          <w:szCs w:val="32"/>
          <w:rtl/>
        </w:rPr>
        <w:t>ك</w:t>
      </w:r>
      <w:r w:rsidRPr="009D5EA9">
        <w:rPr>
          <w:rFonts w:ascii="Traditional Arabic" w:hAnsi="Traditional Arabic"/>
          <w:sz w:val="32"/>
          <w:szCs w:val="32"/>
          <w:rtl/>
        </w:rPr>
        <w:t>)</w:t>
      </w:r>
      <w:r w:rsidRPr="009D5EA9">
        <w:rPr>
          <w:rFonts w:ascii="Traditional Arabic" w:hAnsi="Traditional Arabic" w:hint="cs"/>
          <w:sz w:val="32"/>
          <w:szCs w:val="32"/>
          <w:rtl/>
        </w:rPr>
        <w:t>:</w:t>
      </w:r>
      <w:r w:rsidRPr="009D5EA9">
        <w:rPr>
          <w:rFonts w:ascii="Traditional Arabic" w:hAnsi="Traditional Arabic"/>
          <w:sz w:val="32"/>
          <w:szCs w:val="32"/>
          <w:rtl/>
        </w:rPr>
        <w:t xml:space="preserve"> </w:t>
      </w:r>
      <w:r w:rsidRPr="009D5EA9">
        <w:rPr>
          <w:rFonts w:ascii="Traditional Arabic" w:hAnsi="Traditional Arabic" w:hint="cs"/>
          <w:sz w:val="32"/>
          <w:szCs w:val="32"/>
          <w:rtl/>
        </w:rPr>
        <w:t>[</w:t>
      </w:r>
      <w:r w:rsidRPr="009D5EA9">
        <w:rPr>
          <w:rFonts w:ascii="Traditional Arabic" w:hAnsi="Traditional Arabic"/>
          <w:sz w:val="32"/>
          <w:szCs w:val="32"/>
          <w:rtl/>
        </w:rPr>
        <w:t>أُمر أن يسأل من آمن منهم عما أُخبر به عنهم</w:t>
      </w:r>
      <w:r w:rsidRPr="009D5EA9">
        <w:rPr>
          <w:rFonts w:ascii="Traditional Arabic" w:hAnsi="Traditional Arabic" w:hint="cs"/>
          <w:sz w:val="32"/>
          <w:szCs w:val="32"/>
          <w:rtl/>
        </w:rPr>
        <w:t>]</w:t>
      </w:r>
      <w:r w:rsidRPr="009D5EA9">
        <w:rPr>
          <w:rFonts w:ascii="Traditional Arabic" w:hAnsi="Traditional Arabic"/>
          <w:sz w:val="32"/>
          <w:szCs w:val="32"/>
          <w:rtl/>
        </w:rPr>
        <w:t xml:space="preserve">. </w:t>
      </w:r>
    </w:p>
  </w:footnote>
  <w:footnote w:id="746">
    <w:p w:rsidR="003F128F" w:rsidRPr="009D5EA9" w:rsidRDefault="003F128F" w:rsidP="00911ED4">
      <w:pPr>
        <w:pStyle w:val="af3"/>
        <w:rPr>
          <w:rFonts w:ascii="Traditional Arabic" w:hAnsi="Traditional Arabic"/>
          <w:sz w:val="32"/>
          <w:szCs w:val="32"/>
        </w:rPr>
      </w:pPr>
      <w:r w:rsidRPr="009D5EA9">
        <w:rPr>
          <w:rFonts w:ascii="Traditional Arabic" w:hAnsi="Traditional Arabic"/>
          <w:sz w:val="32"/>
          <w:szCs w:val="32"/>
          <w:rtl/>
        </w:rPr>
        <w:t>(</w:t>
      </w:r>
      <w:r w:rsidRPr="009D5EA9">
        <w:rPr>
          <w:rStyle w:val="ae"/>
          <w:rFonts w:ascii="Traditional Arabic" w:hAnsi="Traditional Arabic"/>
          <w:sz w:val="32"/>
          <w:szCs w:val="32"/>
          <w:vertAlign w:val="baseline"/>
        </w:rPr>
        <w:footnoteRef/>
      </w:r>
      <w:r w:rsidRPr="009D5EA9">
        <w:rPr>
          <w:rFonts w:ascii="Traditional Arabic" w:hAnsi="Traditional Arabic"/>
          <w:sz w:val="32"/>
          <w:szCs w:val="32"/>
          <w:rtl/>
        </w:rPr>
        <w:t>) انظر: النكت والعيون (3/277), التفسير الوسيط (3/131).</w:t>
      </w:r>
    </w:p>
  </w:footnote>
  <w:footnote w:id="747">
    <w:p w:rsidR="003F128F" w:rsidRPr="009D5EA9" w:rsidRDefault="003F128F" w:rsidP="009D5EA9">
      <w:pPr>
        <w:pStyle w:val="af3"/>
        <w:rPr>
          <w:rFonts w:ascii="Traditional Arabic" w:hAnsi="Traditional Arabic"/>
          <w:sz w:val="32"/>
          <w:szCs w:val="32"/>
        </w:rPr>
      </w:pPr>
      <w:r w:rsidRPr="009D5EA9">
        <w:rPr>
          <w:rFonts w:ascii="Traditional Arabic" w:hAnsi="Traditional Arabic"/>
          <w:sz w:val="32"/>
          <w:szCs w:val="32"/>
          <w:rtl/>
        </w:rPr>
        <w:t>(</w:t>
      </w:r>
      <w:r w:rsidRPr="009D5EA9">
        <w:rPr>
          <w:rStyle w:val="ae"/>
          <w:rFonts w:ascii="Traditional Arabic" w:hAnsi="Traditional Arabic"/>
          <w:sz w:val="32"/>
          <w:szCs w:val="32"/>
          <w:vertAlign w:val="baseline"/>
        </w:rPr>
        <w:footnoteRef/>
      </w:r>
      <w:r w:rsidRPr="009D5EA9">
        <w:rPr>
          <w:rFonts w:ascii="Traditional Arabic" w:hAnsi="Traditional Arabic"/>
          <w:sz w:val="32"/>
          <w:szCs w:val="32"/>
          <w:rtl/>
        </w:rPr>
        <w:t xml:space="preserve">) </w:t>
      </w:r>
      <w:r w:rsidRPr="009D5EA9">
        <w:rPr>
          <w:rFonts w:ascii="Traditional Arabic" w:hAnsi="Traditional Arabic" w:hint="cs"/>
          <w:sz w:val="32"/>
          <w:szCs w:val="32"/>
          <w:rtl/>
        </w:rPr>
        <w:t xml:space="preserve">انظر: </w:t>
      </w:r>
      <w:r w:rsidRPr="009D5EA9">
        <w:rPr>
          <w:rFonts w:ascii="Traditional Arabic" w:hAnsi="Traditional Arabic"/>
          <w:sz w:val="32"/>
          <w:szCs w:val="32"/>
          <w:rtl/>
        </w:rPr>
        <w:t>مختصر الشواذ لابن خالويه (ص81).</w:t>
      </w:r>
    </w:p>
  </w:footnote>
  <w:footnote w:id="748">
    <w:p w:rsidR="003F128F" w:rsidRPr="009D5EA9" w:rsidRDefault="003F128F" w:rsidP="0094727C">
      <w:pPr>
        <w:pStyle w:val="af3"/>
        <w:rPr>
          <w:rFonts w:ascii="Traditional Arabic" w:hAnsi="Traditional Arabic"/>
          <w:sz w:val="32"/>
          <w:szCs w:val="32"/>
        </w:rPr>
      </w:pPr>
      <w:r w:rsidRPr="009D5EA9">
        <w:rPr>
          <w:rFonts w:ascii="Traditional Arabic" w:hAnsi="Traditional Arabic"/>
          <w:sz w:val="32"/>
          <w:szCs w:val="32"/>
          <w:rtl/>
        </w:rPr>
        <w:t>(</w:t>
      </w:r>
      <w:r w:rsidRPr="009D5EA9">
        <w:rPr>
          <w:rStyle w:val="ae"/>
          <w:rFonts w:ascii="Traditional Arabic" w:hAnsi="Traditional Arabic"/>
          <w:sz w:val="32"/>
          <w:szCs w:val="32"/>
          <w:vertAlign w:val="baseline"/>
        </w:rPr>
        <w:footnoteRef/>
      </w:r>
      <w:r w:rsidRPr="009D5EA9">
        <w:rPr>
          <w:rFonts w:ascii="Traditional Arabic" w:hAnsi="Traditional Arabic"/>
          <w:sz w:val="32"/>
          <w:szCs w:val="32"/>
          <w:rtl/>
        </w:rPr>
        <w:t xml:space="preserve">) في </w:t>
      </w:r>
      <w:r w:rsidRPr="009D5EA9">
        <w:rPr>
          <w:rFonts w:ascii="Traditional Arabic" w:hAnsi="Traditional Arabic" w:hint="cs"/>
          <w:sz w:val="32"/>
          <w:szCs w:val="32"/>
          <w:rtl/>
        </w:rPr>
        <w:t>(ك)</w:t>
      </w:r>
      <w:r w:rsidRPr="009D5EA9">
        <w:rPr>
          <w:rFonts w:ascii="Traditional Arabic" w:hAnsi="Traditional Arabic"/>
          <w:sz w:val="32"/>
          <w:szCs w:val="32"/>
          <w:rtl/>
        </w:rPr>
        <w:t xml:space="preserve">: </w:t>
      </w:r>
      <w:r w:rsidRPr="009D5EA9">
        <w:rPr>
          <w:rFonts w:hint="cs"/>
          <w:sz w:val="32"/>
          <w:szCs w:val="32"/>
          <w:rtl/>
        </w:rPr>
        <w:t>[على</w:t>
      </w:r>
      <w:r w:rsidRPr="009D5EA9">
        <w:rPr>
          <w:sz w:val="32"/>
          <w:szCs w:val="32"/>
          <w:rtl/>
        </w:rPr>
        <w:t xml:space="preserve"> معنى الخبر عن موسى</w:t>
      </w:r>
      <w:r w:rsidRPr="009D5EA9">
        <w:rPr>
          <w:rFonts w:hint="cs"/>
          <w:sz w:val="32"/>
          <w:szCs w:val="32"/>
          <w:rtl/>
        </w:rPr>
        <w:t>]</w:t>
      </w:r>
      <w:r w:rsidRPr="009D5EA9">
        <w:rPr>
          <w:rFonts w:ascii="Traditional Arabic" w:hAnsi="Traditional Arabic" w:hint="cs"/>
          <w:sz w:val="32"/>
          <w:szCs w:val="32"/>
          <w:rtl/>
        </w:rPr>
        <w:t>.</w:t>
      </w:r>
    </w:p>
  </w:footnote>
  <w:footnote w:id="749">
    <w:p w:rsidR="003F128F" w:rsidRPr="001C0689" w:rsidRDefault="003F128F" w:rsidP="00911ED4">
      <w:pPr>
        <w:pStyle w:val="af3"/>
        <w:rPr>
          <w:rFonts w:ascii="Traditional Arabic" w:hAnsi="Traditional Arabic"/>
          <w:sz w:val="32"/>
          <w:szCs w:val="32"/>
        </w:rPr>
      </w:pPr>
      <w:r w:rsidRPr="009D5EA9">
        <w:rPr>
          <w:rFonts w:ascii="Traditional Arabic" w:hAnsi="Traditional Arabic"/>
          <w:sz w:val="32"/>
          <w:szCs w:val="32"/>
          <w:rtl/>
        </w:rPr>
        <w:t>(</w:t>
      </w:r>
      <w:r w:rsidRPr="009D5EA9">
        <w:rPr>
          <w:rStyle w:val="ae"/>
          <w:rFonts w:ascii="Traditional Arabic" w:hAnsi="Traditional Arabic"/>
          <w:sz w:val="32"/>
          <w:szCs w:val="32"/>
          <w:vertAlign w:val="baseline"/>
        </w:rPr>
        <w:footnoteRef/>
      </w:r>
      <w:r w:rsidRPr="009D5EA9">
        <w:rPr>
          <w:rFonts w:ascii="Traditional Arabic" w:hAnsi="Traditional Arabic"/>
          <w:sz w:val="32"/>
          <w:szCs w:val="32"/>
          <w:rtl/>
        </w:rPr>
        <w:t>) انظر: تفسير الطبري (17/568).</w:t>
      </w:r>
      <w:r w:rsidRPr="001C0689">
        <w:rPr>
          <w:rFonts w:ascii="Traditional Arabic" w:hAnsi="Traditional Arabic"/>
          <w:sz w:val="32"/>
          <w:szCs w:val="32"/>
          <w:rtl/>
        </w:rPr>
        <w:t xml:space="preserve"> </w:t>
      </w:r>
    </w:p>
  </w:footnote>
  <w:footnote w:id="750">
    <w:p w:rsidR="003F128F" w:rsidRPr="001C0689" w:rsidRDefault="003F128F" w:rsidP="00E667B0">
      <w:pPr>
        <w:pStyle w:val="af3"/>
        <w:rPr>
          <w:rFonts w:ascii="Traditional Arabic" w:hAnsi="Traditional Arabic"/>
          <w:sz w:val="32"/>
          <w:szCs w:val="32"/>
        </w:rPr>
      </w:pPr>
      <w:r w:rsidRPr="001C0689">
        <w:rPr>
          <w:rFonts w:ascii="Traditional Arabic" w:hAnsi="Traditional Arabic"/>
          <w:sz w:val="32"/>
          <w:szCs w:val="32"/>
          <w:rtl/>
        </w:rPr>
        <w:t>(</w:t>
      </w:r>
      <w:r w:rsidRPr="001C0689">
        <w:rPr>
          <w:rStyle w:val="ae"/>
          <w:rFonts w:ascii="Traditional Arabic" w:hAnsi="Traditional Arabic"/>
          <w:sz w:val="32"/>
          <w:szCs w:val="32"/>
          <w:vertAlign w:val="baseline"/>
        </w:rPr>
        <w:footnoteRef/>
      </w:r>
      <w:r w:rsidRPr="001C0689">
        <w:rPr>
          <w:rFonts w:ascii="Traditional Arabic" w:hAnsi="Traditional Arabic"/>
          <w:sz w:val="32"/>
          <w:szCs w:val="32"/>
          <w:rtl/>
        </w:rPr>
        <w:t xml:space="preserve">) الكشف والبيان (6/138), </w:t>
      </w:r>
      <w:r>
        <w:rPr>
          <w:rFonts w:ascii="Traditional Arabic" w:hAnsi="Traditional Arabic" w:hint="cs"/>
          <w:sz w:val="32"/>
          <w:szCs w:val="32"/>
          <w:rtl/>
        </w:rPr>
        <w:t>معالم التنزيل</w:t>
      </w:r>
      <w:r w:rsidRPr="001C0689">
        <w:rPr>
          <w:rFonts w:ascii="Traditional Arabic" w:hAnsi="Traditional Arabic"/>
          <w:sz w:val="32"/>
          <w:szCs w:val="32"/>
          <w:rtl/>
        </w:rPr>
        <w:t xml:space="preserve"> (5/134), وهو كذلك قول مجاهد. انظر: تفسير السمعاني (3/246).</w:t>
      </w:r>
    </w:p>
  </w:footnote>
  <w:footnote w:id="751">
    <w:p w:rsidR="003F128F" w:rsidRPr="001C0689" w:rsidRDefault="003F128F" w:rsidP="00CA2298">
      <w:pPr>
        <w:pStyle w:val="af3"/>
        <w:rPr>
          <w:rFonts w:ascii="Traditional Arabic" w:hAnsi="Traditional Arabic"/>
          <w:sz w:val="32"/>
          <w:szCs w:val="32"/>
        </w:rPr>
      </w:pPr>
      <w:r w:rsidRPr="001C0689">
        <w:rPr>
          <w:rFonts w:ascii="Traditional Arabic" w:hAnsi="Traditional Arabic"/>
          <w:sz w:val="32"/>
          <w:szCs w:val="32"/>
          <w:rtl/>
        </w:rPr>
        <w:t>(</w:t>
      </w:r>
      <w:r w:rsidRPr="001C0689">
        <w:rPr>
          <w:rStyle w:val="ae"/>
          <w:rFonts w:ascii="Traditional Arabic" w:hAnsi="Traditional Arabic"/>
          <w:sz w:val="32"/>
          <w:szCs w:val="32"/>
          <w:vertAlign w:val="baseline"/>
        </w:rPr>
        <w:footnoteRef/>
      </w:r>
      <w:r w:rsidRPr="001C0689">
        <w:rPr>
          <w:rFonts w:ascii="Traditional Arabic" w:hAnsi="Traditional Arabic"/>
          <w:sz w:val="32"/>
          <w:szCs w:val="32"/>
          <w:rtl/>
        </w:rPr>
        <w:t>) هو أبو النضر</w:t>
      </w:r>
      <w:r>
        <w:rPr>
          <w:rFonts w:ascii="Traditional Arabic" w:hAnsi="Traditional Arabic" w:hint="cs"/>
          <w:sz w:val="32"/>
          <w:szCs w:val="32"/>
          <w:rtl/>
        </w:rPr>
        <w:t>,</w:t>
      </w:r>
      <w:r w:rsidRPr="001C0689">
        <w:rPr>
          <w:rFonts w:ascii="Traditional Arabic" w:hAnsi="Traditional Arabic"/>
          <w:sz w:val="32"/>
          <w:szCs w:val="32"/>
          <w:rtl/>
        </w:rPr>
        <w:t xml:space="preserve"> محمد بن السَّائب بن بشر بن عمرو الكلبيُّ، صاحب التفسير وعلم النسب؛ </w:t>
      </w:r>
      <w:r>
        <w:rPr>
          <w:rFonts w:ascii="Traditional Arabic" w:hAnsi="Traditional Arabic"/>
          <w:sz w:val="32"/>
          <w:szCs w:val="32"/>
          <w:rtl/>
        </w:rPr>
        <w:t xml:space="preserve">كان </w:t>
      </w:r>
      <w:r>
        <w:rPr>
          <w:rFonts w:ascii="Traditional Arabic" w:hAnsi="Traditional Arabic" w:hint="cs"/>
          <w:sz w:val="32"/>
          <w:szCs w:val="32"/>
          <w:rtl/>
        </w:rPr>
        <w:t>إ</w:t>
      </w:r>
      <w:r w:rsidRPr="001C0689">
        <w:rPr>
          <w:rFonts w:ascii="Traditional Arabic" w:hAnsi="Traditional Arabic"/>
          <w:sz w:val="32"/>
          <w:szCs w:val="32"/>
          <w:rtl/>
        </w:rPr>
        <w:t>ماما في هذين العلمين، متَّهمٌ بالكذب، شيعيٌ متروكُ الحديث، (ت146ه).</w:t>
      </w:r>
      <w:r>
        <w:rPr>
          <w:rFonts w:ascii="Traditional Arabic" w:hAnsi="Traditional Arabic" w:hint="cs"/>
          <w:sz w:val="32"/>
          <w:szCs w:val="32"/>
          <w:rtl/>
        </w:rPr>
        <w:t xml:space="preserve"> </w:t>
      </w:r>
      <w:r w:rsidRPr="001C0689">
        <w:rPr>
          <w:rFonts w:ascii="Traditional Arabic" w:hAnsi="Traditional Arabic"/>
          <w:sz w:val="32"/>
          <w:szCs w:val="32"/>
          <w:rtl/>
        </w:rPr>
        <w:t>انظر: وفيات الأعيان (4/309)، طبقات المفسرين للداوودي (2/149)، سير أعلام النبلاء (6/248).</w:t>
      </w:r>
    </w:p>
  </w:footnote>
  <w:footnote w:id="752">
    <w:p w:rsidR="003F128F" w:rsidRPr="001C0689" w:rsidRDefault="003F128F" w:rsidP="00911ED4">
      <w:pPr>
        <w:pStyle w:val="af3"/>
        <w:rPr>
          <w:rFonts w:ascii="Traditional Arabic" w:hAnsi="Traditional Arabic"/>
          <w:sz w:val="32"/>
          <w:szCs w:val="32"/>
        </w:rPr>
      </w:pPr>
      <w:r w:rsidRPr="001C0689">
        <w:rPr>
          <w:rFonts w:ascii="Traditional Arabic" w:hAnsi="Traditional Arabic"/>
          <w:sz w:val="32"/>
          <w:szCs w:val="32"/>
          <w:rtl/>
        </w:rPr>
        <w:t>(</w:t>
      </w:r>
      <w:r w:rsidRPr="001C0689">
        <w:rPr>
          <w:rStyle w:val="ae"/>
          <w:rFonts w:ascii="Traditional Arabic" w:hAnsi="Traditional Arabic"/>
          <w:sz w:val="32"/>
          <w:szCs w:val="32"/>
          <w:vertAlign w:val="baseline"/>
        </w:rPr>
        <w:footnoteRef/>
      </w:r>
      <w:r>
        <w:rPr>
          <w:rFonts w:ascii="Traditional Arabic" w:hAnsi="Traditional Arabic"/>
          <w:sz w:val="32"/>
          <w:szCs w:val="32"/>
          <w:rtl/>
        </w:rPr>
        <w:t>)</w:t>
      </w:r>
      <w:r>
        <w:rPr>
          <w:rFonts w:ascii="Traditional Arabic" w:hAnsi="Traditional Arabic" w:hint="cs"/>
          <w:sz w:val="32"/>
          <w:szCs w:val="32"/>
          <w:rtl/>
        </w:rPr>
        <w:t xml:space="preserve"> </w:t>
      </w:r>
      <w:r w:rsidRPr="001C0689">
        <w:rPr>
          <w:rFonts w:ascii="Traditional Arabic" w:hAnsi="Traditional Arabic"/>
          <w:sz w:val="32"/>
          <w:szCs w:val="32"/>
          <w:rtl/>
        </w:rPr>
        <w:t>انظر: الكشف والبيان (6/138) ونسبه للكلبي, وفي الهداية (6/4304) والنكت والعيون (3/278) غير منسوب.</w:t>
      </w:r>
    </w:p>
  </w:footnote>
  <w:footnote w:id="753">
    <w:p w:rsidR="003F128F" w:rsidRPr="001C0689" w:rsidRDefault="003F128F" w:rsidP="00911ED4">
      <w:pPr>
        <w:pStyle w:val="af3"/>
        <w:rPr>
          <w:rFonts w:ascii="Traditional Arabic" w:hAnsi="Traditional Arabic"/>
          <w:sz w:val="32"/>
          <w:szCs w:val="32"/>
        </w:rPr>
      </w:pPr>
      <w:r w:rsidRPr="001C0689">
        <w:rPr>
          <w:rFonts w:ascii="Traditional Arabic" w:hAnsi="Traditional Arabic"/>
          <w:sz w:val="32"/>
          <w:szCs w:val="32"/>
          <w:rtl/>
        </w:rPr>
        <w:t>(</w:t>
      </w:r>
      <w:r w:rsidRPr="001C0689">
        <w:rPr>
          <w:rStyle w:val="ae"/>
          <w:rFonts w:ascii="Traditional Arabic" w:hAnsi="Traditional Arabic"/>
          <w:sz w:val="32"/>
          <w:szCs w:val="32"/>
          <w:vertAlign w:val="baseline"/>
        </w:rPr>
        <w:footnoteRef/>
      </w:r>
      <w:r w:rsidRPr="001C0689">
        <w:rPr>
          <w:rFonts w:ascii="Traditional Arabic" w:hAnsi="Traditional Arabic"/>
          <w:sz w:val="32"/>
          <w:szCs w:val="32"/>
          <w:rtl/>
        </w:rPr>
        <w:t>) انظر: الكشف والبيان (6/138), التفسير الوسيط (3/131).</w:t>
      </w:r>
    </w:p>
  </w:footnote>
  <w:footnote w:id="754">
    <w:p w:rsidR="003F128F" w:rsidRPr="001C0689" w:rsidRDefault="003F128F" w:rsidP="009D5EA9">
      <w:pPr>
        <w:pStyle w:val="af3"/>
        <w:rPr>
          <w:rFonts w:ascii="Traditional Arabic" w:hAnsi="Traditional Arabic"/>
          <w:sz w:val="32"/>
          <w:szCs w:val="32"/>
        </w:rPr>
      </w:pPr>
      <w:r w:rsidRPr="001C0689">
        <w:rPr>
          <w:rFonts w:ascii="Traditional Arabic" w:hAnsi="Traditional Arabic"/>
          <w:sz w:val="32"/>
          <w:szCs w:val="32"/>
          <w:rtl/>
        </w:rPr>
        <w:t>(</w:t>
      </w:r>
      <w:r w:rsidRPr="001C0689">
        <w:rPr>
          <w:rStyle w:val="ae"/>
          <w:rFonts w:ascii="Traditional Arabic" w:hAnsi="Traditional Arabic"/>
          <w:sz w:val="32"/>
          <w:szCs w:val="32"/>
          <w:vertAlign w:val="baseline"/>
        </w:rPr>
        <w:footnoteRef/>
      </w:r>
      <w:r w:rsidRPr="001C0689">
        <w:rPr>
          <w:rFonts w:ascii="Traditional Arabic" w:hAnsi="Traditional Arabic"/>
          <w:sz w:val="32"/>
          <w:szCs w:val="32"/>
          <w:rtl/>
        </w:rPr>
        <w:t xml:space="preserve">) انظر: السبعة في القراءات (ص486). </w:t>
      </w:r>
    </w:p>
  </w:footnote>
  <w:footnote w:id="755">
    <w:p w:rsidR="003F128F" w:rsidRPr="001C0689" w:rsidRDefault="003F128F" w:rsidP="009D5EA9">
      <w:pPr>
        <w:pStyle w:val="af3"/>
        <w:rPr>
          <w:rFonts w:ascii="Traditional Arabic" w:hAnsi="Traditional Arabic"/>
          <w:sz w:val="32"/>
          <w:szCs w:val="32"/>
        </w:rPr>
      </w:pPr>
      <w:r w:rsidRPr="001C0689">
        <w:rPr>
          <w:rFonts w:ascii="Traditional Arabic" w:hAnsi="Traditional Arabic"/>
          <w:sz w:val="32"/>
          <w:szCs w:val="32"/>
          <w:rtl/>
        </w:rPr>
        <w:t>(</w:t>
      </w:r>
      <w:r w:rsidRPr="001C0689">
        <w:rPr>
          <w:rStyle w:val="ae"/>
          <w:rFonts w:ascii="Traditional Arabic" w:hAnsi="Traditional Arabic"/>
          <w:sz w:val="32"/>
          <w:szCs w:val="32"/>
          <w:vertAlign w:val="baseline"/>
        </w:rPr>
        <w:footnoteRef/>
      </w:r>
      <w:r w:rsidRPr="001C0689">
        <w:rPr>
          <w:rFonts w:ascii="Traditional Arabic" w:hAnsi="Traditional Arabic"/>
          <w:sz w:val="32"/>
          <w:szCs w:val="32"/>
          <w:rtl/>
        </w:rPr>
        <w:t>) انظر: حجة القراءات (ص411).</w:t>
      </w:r>
    </w:p>
  </w:footnote>
  <w:footnote w:id="756">
    <w:p w:rsidR="003F128F" w:rsidRPr="001C0689" w:rsidRDefault="003F128F" w:rsidP="00911ED4">
      <w:pPr>
        <w:pStyle w:val="af3"/>
        <w:rPr>
          <w:rFonts w:ascii="Traditional Arabic" w:hAnsi="Traditional Arabic"/>
          <w:sz w:val="32"/>
          <w:szCs w:val="32"/>
        </w:rPr>
      </w:pPr>
      <w:r w:rsidRPr="001C0689">
        <w:rPr>
          <w:rFonts w:ascii="Traditional Arabic" w:hAnsi="Traditional Arabic"/>
          <w:sz w:val="32"/>
          <w:szCs w:val="32"/>
          <w:rtl/>
        </w:rPr>
        <w:t>(</w:t>
      </w:r>
      <w:r w:rsidRPr="001C0689">
        <w:rPr>
          <w:rStyle w:val="ae"/>
          <w:rFonts w:ascii="Traditional Arabic" w:hAnsi="Traditional Arabic"/>
          <w:sz w:val="32"/>
          <w:szCs w:val="32"/>
          <w:vertAlign w:val="baseline"/>
        </w:rPr>
        <w:footnoteRef/>
      </w:r>
      <w:r w:rsidRPr="001C0689">
        <w:rPr>
          <w:rFonts w:ascii="Traditional Arabic" w:hAnsi="Traditional Arabic"/>
          <w:sz w:val="32"/>
          <w:szCs w:val="32"/>
          <w:rtl/>
        </w:rPr>
        <w:t xml:space="preserve">) انظر: الكشف والبيان (6/139), التفسير الوسيط (3/131). </w:t>
      </w:r>
    </w:p>
  </w:footnote>
  <w:footnote w:id="757">
    <w:p w:rsidR="003F128F" w:rsidRPr="001C0689" w:rsidRDefault="003F128F" w:rsidP="009D5EA9">
      <w:pPr>
        <w:pStyle w:val="af3"/>
        <w:rPr>
          <w:rFonts w:ascii="Traditional Arabic" w:hAnsi="Traditional Arabic"/>
          <w:sz w:val="32"/>
          <w:szCs w:val="32"/>
        </w:rPr>
      </w:pPr>
      <w:r w:rsidRPr="001C0689">
        <w:rPr>
          <w:rFonts w:ascii="Traditional Arabic" w:hAnsi="Traditional Arabic"/>
          <w:sz w:val="32"/>
          <w:szCs w:val="32"/>
          <w:rtl/>
        </w:rPr>
        <w:t>(</w:t>
      </w:r>
      <w:r w:rsidRPr="001C0689">
        <w:rPr>
          <w:rStyle w:val="ae"/>
          <w:rFonts w:ascii="Traditional Arabic" w:hAnsi="Traditional Arabic"/>
          <w:sz w:val="32"/>
          <w:szCs w:val="32"/>
          <w:vertAlign w:val="baseline"/>
        </w:rPr>
        <w:footnoteRef/>
      </w:r>
      <w:r w:rsidRPr="001C0689">
        <w:rPr>
          <w:rFonts w:ascii="Traditional Arabic" w:hAnsi="Traditional Arabic"/>
          <w:sz w:val="32"/>
          <w:szCs w:val="32"/>
          <w:rtl/>
        </w:rPr>
        <w:t>) انظر: السبعة في القراءات (ص485).</w:t>
      </w:r>
    </w:p>
  </w:footnote>
  <w:footnote w:id="758">
    <w:p w:rsidR="003F128F" w:rsidRPr="00CA2298" w:rsidRDefault="003F128F" w:rsidP="008F5589">
      <w:pPr>
        <w:pStyle w:val="af3"/>
        <w:rPr>
          <w:rFonts w:ascii="Traditional Arabic" w:hAnsi="Traditional Arabic"/>
          <w:sz w:val="32"/>
          <w:szCs w:val="32"/>
        </w:rPr>
      </w:pPr>
      <w:r w:rsidRPr="00CA2298">
        <w:rPr>
          <w:rFonts w:ascii="Traditional Arabic" w:hAnsi="Traditional Arabic"/>
          <w:sz w:val="32"/>
          <w:szCs w:val="32"/>
          <w:rtl/>
        </w:rPr>
        <w:t>(</w:t>
      </w:r>
      <w:r w:rsidRPr="00CA2298">
        <w:rPr>
          <w:rStyle w:val="ae"/>
          <w:rFonts w:ascii="Traditional Arabic" w:hAnsi="Traditional Arabic"/>
          <w:sz w:val="32"/>
          <w:szCs w:val="32"/>
          <w:vertAlign w:val="baseline"/>
        </w:rPr>
        <w:footnoteRef/>
      </w:r>
      <w:r w:rsidRPr="00CA2298">
        <w:rPr>
          <w:rFonts w:ascii="Traditional Arabic" w:hAnsi="Traditional Arabic"/>
          <w:sz w:val="32"/>
          <w:szCs w:val="32"/>
          <w:rtl/>
        </w:rPr>
        <w:t>) هو أبو العباس</w:t>
      </w:r>
      <w:r>
        <w:rPr>
          <w:rFonts w:ascii="Traditional Arabic" w:hAnsi="Traditional Arabic" w:hint="cs"/>
          <w:sz w:val="32"/>
          <w:szCs w:val="32"/>
          <w:rtl/>
        </w:rPr>
        <w:t>,</w:t>
      </w:r>
      <w:r w:rsidRPr="00CA2298">
        <w:rPr>
          <w:rFonts w:ascii="Traditional Arabic" w:hAnsi="Traditional Arabic"/>
          <w:sz w:val="32"/>
          <w:szCs w:val="32"/>
          <w:rtl/>
        </w:rPr>
        <w:t xml:space="preserve"> أحمد بن يحيى بن </w:t>
      </w:r>
      <w:r>
        <w:rPr>
          <w:rFonts w:ascii="Traditional Arabic" w:hAnsi="Traditional Arabic" w:hint="cs"/>
          <w:sz w:val="32"/>
          <w:szCs w:val="32"/>
          <w:rtl/>
        </w:rPr>
        <w:t>ي</w:t>
      </w:r>
      <w:r w:rsidRPr="00CA2298">
        <w:rPr>
          <w:rFonts w:ascii="Traditional Arabic" w:hAnsi="Traditional Arabic"/>
          <w:sz w:val="32"/>
          <w:szCs w:val="32"/>
          <w:rtl/>
        </w:rPr>
        <w:t>زيد بن سيار الشيباني بالولاء, المعروف بثعلب, النحوي,</w:t>
      </w:r>
      <w:r w:rsidRPr="00CA2298">
        <w:rPr>
          <w:rFonts w:ascii="Traditional Arabic" w:hAnsi="Traditional Arabic"/>
          <w:sz w:val="32"/>
          <w:szCs w:val="32"/>
          <w:rtl/>
          <w:lang w:eastAsia="en-US"/>
        </w:rPr>
        <w:t xml:space="preserve"> كان إمام الكوفيين في النحو واللغة</w:t>
      </w:r>
      <w:r w:rsidRPr="00CA2298">
        <w:rPr>
          <w:rFonts w:ascii="Traditional Arabic" w:hAnsi="Traditional Arabic"/>
          <w:sz w:val="32"/>
          <w:szCs w:val="32"/>
          <w:rtl/>
        </w:rPr>
        <w:t>, وكان مشهوراً بالحفظ, وصدق اللهجة, والمعرفة بالعربية, ورواية الشعر القديم, (ت291ه). انظر: وفيات الأعيان (1/102)، سير أعلام النبلاء (</w:t>
      </w:r>
      <w:r>
        <w:rPr>
          <w:rFonts w:ascii="Traditional Arabic" w:hAnsi="Traditional Arabic" w:hint="cs"/>
          <w:sz w:val="32"/>
          <w:szCs w:val="32"/>
          <w:rtl/>
        </w:rPr>
        <w:t>14/5</w:t>
      </w:r>
      <w:r w:rsidRPr="00CA2298">
        <w:rPr>
          <w:rFonts w:ascii="Traditional Arabic" w:hAnsi="Traditional Arabic"/>
          <w:sz w:val="32"/>
          <w:szCs w:val="32"/>
          <w:rtl/>
        </w:rPr>
        <w:t xml:space="preserve">). </w:t>
      </w:r>
    </w:p>
  </w:footnote>
  <w:footnote w:id="759">
    <w:p w:rsidR="003F128F" w:rsidRPr="001C0689" w:rsidRDefault="003F128F" w:rsidP="00911ED4">
      <w:pPr>
        <w:pStyle w:val="af3"/>
        <w:rPr>
          <w:rFonts w:ascii="Traditional Arabic" w:hAnsi="Traditional Arabic"/>
          <w:sz w:val="32"/>
          <w:szCs w:val="32"/>
        </w:rPr>
      </w:pPr>
      <w:r w:rsidRPr="001C0689">
        <w:rPr>
          <w:rFonts w:ascii="Traditional Arabic" w:hAnsi="Traditional Arabic"/>
          <w:sz w:val="32"/>
          <w:szCs w:val="32"/>
          <w:rtl/>
        </w:rPr>
        <w:t>(</w:t>
      </w:r>
      <w:r w:rsidRPr="001C0689">
        <w:rPr>
          <w:rStyle w:val="ae"/>
          <w:rFonts w:ascii="Traditional Arabic" w:hAnsi="Traditional Arabic"/>
          <w:sz w:val="32"/>
          <w:szCs w:val="32"/>
          <w:vertAlign w:val="baseline"/>
        </w:rPr>
        <w:footnoteRef/>
      </w:r>
      <w:r w:rsidRPr="001C0689">
        <w:rPr>
          <w:rFonts w:ascii="Traditional Arabic" w:hAnsi="Traditional Arabic"/>
          <w:sz w:val="32"/>
          <w:szCs w:val="32"/>
          <w:rtl/>
        </w:rPr>
        <w:t xml:space="preserve">) هو التابعي </w:t>
      </w:r>
      <w:r>
        <w:rPr>
          <w:rFonts w:ascii="Traditional Arabic" w:hAnsi="Traditional Arabic"/>
          <w:sz w:val="32"/>
          <w:szCs w:val="32"/>
          <w:rtl/>
        </w:rPr>
        <w:t>الإمام</w:t>
      </w:r>
      <w:r>
        <w:rPr>
          <w:rFonts w:ascii="Traditional Arabic" w:hAnsi="Traditional Arabic" w:hint="cs"/>
          <w:sz w:val="32"/>
          <w:szCs w:val="32"/>
          <w:rtl/>
        </w:rPr>
        <w:t>,</w:t>
      </w:r>
      <w:r w:rsidRPr="001C0689">
        <w:rPr>
          <w:rFonts w:ascii="Traditional Arabic" w:hAnsi="Traditional Arabic"/>
          <w:sz w:val="32"/>
          <w:szCs w:val="32"/>
          <w:rtl/>
        </w:rPr>
        <w:t xml:space="preserve"> المقرئ</w:t>
      </w:r>
      <w:r>
        <w:rPr>
          <w:rFonts w:ascii="Traditional Arabic" w:hAnsi="Traditional Arabic" w:hint="cs"/>
          <w:sz w:val="32"/>
          <w:szCs w:val="32"/>
          <w:rtl/>
        </w:rPr>
        <w:t>,</w:t>
      </w:r>
      <w:r w:rsidRPr="001C0689">
        <w:rPr>
          <w:rFonts w:ascii="Traditional Arabic" w:hAnsi="Traditional Arabic"/>
          <w:sz w:val="32"/>
          <w:szCs w:val="32"/>
          <w:rtl/>
        </w:rPr>
        <w:t xml:space="preserve"> أبو سليمان</w:t>
      </w:r>
      <w:r>
        <w:rPr>
          <w:rFonts w:ascii="Traditional Arabic" w:hAnsi="Traditional Arabic" w:hint="cs"/>
          <w:sz w:val="32"/>
          <w:szCs w:val="32"/>
          <w:rtl/>
        </w:rPr>
        <w:t>,</w:t>
      </w:r>
      <w:r w:rsidRPr="001C0689">
        <w:rPr>
          <w:rFonts w:ascii="Traditional Arabic" w:hAnsi="Traditional Arabic"/>
          <w:sz w:val="32"/>
          <w:szCs w:val="32"/>
          <w:rtl/>
        </w:rPr>
        <w:t xml:space="preserve"> يحيى بن يعمر العدوانيُّ البصريُّ، نحويٌّ, قاضٍ,كان فصيحاً مفوهاً عالماً, (ت129ه). انظر: معرفة القراء الكبار (1/37), غاية النهاية (2/381).</w:t>
      </w:r>
    </w:p>
  </w:footnote>
  <w:footnote w:id="760">
    <w:p w:rsidR="003F128F" w:rsidRPr="00C86ED1" w:rsidRDefault="003F128F" w:rsidP="00911ED4">
      <w:pPr>
        <w:pStyle w:val="af3"/>
        <w:tabs>
          <w:tab w:val="center" w:pos="4320"/>
        </w:tabs>
        <w:rPr>
          <w:rFonts w:ascii="Traditional Arabic" w:hAnsi="Traditional Arabic"/>
          <w:sz w:val="32"/>
          <w:szCs w:val="32"/>
        </w:rPr>
      </w:pPr>
      <w:r w:rsidRPr="001C0689">
        <w:rPr>
          <w:rFonts w:ascii="Traditional Arabic" w:hAnsi="Traditional Arabic"/>
          <w:sz w:val="32"/>
          <w:szCs w:val="32"/>
          <w:rtl/>
        </w:rPr>
        <w:t>(</w:t>
      </w:r>
      <w:r w:rsidRPr="001C0689">
        <w:rPr>
          <w:rStyle w:val="ae"/>
          <w:rFonts w:ascii="Traditional Arabic" w:hAnsi="Traditional Arabic"/>
          <w:sz w:val="32"/>
          <w:szCs w:val="32"/>
          <w:vertAlign w:val="baseline"/>
        </w:rPr>
        <w:footnoteRef/>
      </w:r>
      <w:r w:rsidRPr="001C0689">
        <w:rPr>
          <w:rFonts w:ascii="Traditional Arabic" w:hAnsi="Traditional Arabic"/>
          <w:sz w:val="32"/>
          <w:szCs w:val="32"/>
          <w:rtl/>
        </w:rPr>
        <w:t>) انظر: معجم القراءات (5/129).</w:t>
      </w:r>
      <w:r w:rsidRPr="001C0689">
        <w:rPr>
          <w:rFonts w:ascii="Traditional Arabic" w:hAnsi="Traditional Arabic"/>
          <w:sz w:val="32"/>
          <w:szCs w:val="32"/>
          <w:rtl/>
        </w:rPr>
        <w:tab/>
      </w:r>
    </w:p>
  </w:footnote>
  <w:footnote w:id="761">
    <w:p w:rsidR="003F128F" w:rsidRPr="00C86ED1" w:rsidRDefault="003F128F" w:rsidP="00911ED4">
      <w:pPr>
        <w:pStyle w:val="af3"/>
        <w:rPr>
          <w:rFonts w:ascii="Traditional Arabic" w:hAnsi="Traditional Arabic"/>
          <w:sz w:val="32"/>
          <w:szCs w:val="32"/>
        </w:rPr>
      </w:pPr>
      <w:r w:rsidRPr="00C86ED1">
        <w:rPr>
          <w:rFonts w:ascii="Traditional Arabic" w:hAnsi="Traditional Arabic"/>
          <w:sz w:val="32"/>
          <w:szCs w:val="32"/>
          <w:rtl/>
        </w:rPr>
        <w:t>(</w:t>
      </w:r>
      <w:r w:rsidRPr="00C86ED1">
        <w:rPr>
          <w:rStyle w:val="ae"/>
          <w:rFonts w:ascii="Traditional Arabic" w:hAnsi="Traditional Arabic"/>
          <w:sz w:val="32"/>
          <w:szCs w:val="32"/>
          <w:vertAlign w:val="baseline"/>
        </w:rPr>
        <w:footnoteRef/>
      </w:r>
      <w:r w:rsidRPr="00C86ED1">
        <w:rPr>
          <w:rFonts w:ascii="Traditional Arabic" w:hAnsi="Traditional Arabic"/>
          <w:sz w:val="32"/>
          <w:szCs w:val="32"/>
          <w:rtl/>
        </w:rPr>
        <w:t>) انظر: التفسير الوسيط (3/131).</w:t>
      </w:r>
    </w:p>
  </w:footnote>
  <w:footnote w:id="762">
    <w:p w:rsidR="003F128F" w:rsidRPr="00C24B2C" w:rsidRDefault="003F128F" w:rsidP="00911ED4">
      <w:pPr>
        <w:pStyle w:val="af3"/>
        <w:rPr>
          <w:rFonts w:ascii="Tahoma" w:hAnsi="Tahoma"/>
        </w:rPr>
      </w:pPr>
      <w:r w:rsidRPr="00C86ED1">
        <w:rPr>
          <w:rFonts w:ascii="Traditional Arabic" w:hAnsi="Traditional Arabic"/>
          <w:sz w:val="32"/>
          <w:szCs w:val="32"/>
          <w:rtl/>
        </w:rPr>
        <w:t>(</w:t>
      </w:r>
      <w:r w:rsidRPr="00C86ED1">
        <w:rPr>
          <w:rStyle w:val="ae"/>
          <w:rFonts w:ascii="Traditional Arabic" w:hAnsi="Traditional Arabic"/>
          <w:sz w:val="32"/>
          <w:szCs w:val="32"/>
          <w:vertAlign w:val="baseline"/>
        </w:rPr>
        <w:footnoteRef/>
      </w:r>
      <w:r>
        <w:rPr>
          <w:rFonts w:ascii="Traditional Arabic" w:hAnsi="Traditional Arabic"/>
          <w:sz w:val="32"/>
          <w:szCs w:val="32"/>
          <w:rtl/>
        </w:rPr>
        <w:t>) سورة الأعراف: الآية (203)</w:t>
      </w:r>
      <w:r>
        <w:rPr>
          <w:rFonts w:ascii="Traditional Arabic" w:hAnsi="Traditional Arabic" w:hint="cs"/>
          <w:sz w:val="32"/>
          <w:szCs w:val="32"/>
          <w:rtl/>
        </w:rPr>
        <w:t>.</w:t>
      </w:r>
      <w:r w:rsidRPr="00C86ED1">
        <w:rPr>
          <w:rFonts w:ascii="Traditional Arabic" w:hAnsi="Traditional Arabic"/>
          <w:sz w:val="32"/>
          <w:szCs w:val="32"/>
          <w:rtl/>
        </w:rPr>
        <w:t xml:space="preserve"> انظر: زاد المسير (3/312).</w:t>
      </w:r>
    </w:p>
  </w:footnote>
  <w:footnote w:id="763">
    <w:p w:rsidR="003F128F" w:rsidRPr="008D4D06" w:rsidRDefault="003F128F" w:rsidP="00911ED4">
      <w:pPr>
        <w:pStyle w:val="af3"/>
        <w:rPr>
          <w:rFonts w:ascii="Traditional Arabic" w:hAnsi="Traditional Arabic"/>
          <w:sz w:val="32"/>
          <w:szCs w:val="32"/>
        </w:rPr>
      </w:pPr>
      <w:r w:rsidRPr="008D4D06">
        <w:rPr>
          <w:rFonts w:ascii="Traditional Arabic" w:hAnsi="Traditional Arabic"/>
          <w:sz w:val="32"/>
          <w:szCs w:val="32"/>
          <w:rtl/>
        </w:rPr>
        <w:t>(</w:t>
      </w:r>
      <w:r w:rsidRPr="008D4D06">
        <w:rPr>
          <w:rStyle w:val="ae"/>
          <w:rFonts w:ascii="Traditional Arabic" w:hAnsi="Traditional Arabic"/>
          <w:sz w:val="32"/>
          <w:szCs w:val="32"/>
          <w:vertAlign w:val="baseline"/>
        </w:rPr>
        <w:footnoteRef/>
      </w:r>
      <w:r w:rsidRPr="008D4D06">
        <w:rPr>
          <w:rFonts w:ascii="Traditional Arabic" w:hAnsi="Traditional Arabic"/>
          <w:sz w:val="32"/>
          <w:szCs w:val="32"/>
          <w:rtl/>
        </w:rPr>
        <w:t>) انظر: تفسير مقاتل (2/553), التفسير الوسيط (3/130).</w:t>
      </w:r>
    </w:p>
  </w:footnote>
  <w:footnote w:id="764">
    <w:p w:rsidR="003F128F" w:rsidRPr="008D4D06" w:rsidRDefault="003F128F" w:rsidP="00911ED4">
      <w:pPr>
        <w:pStyle w:val="af3"/>
        <w:rPr>
          <w:rFonts w:ascii="Traditional Arabic" w:hAnsi="Traditional Arabic"/>
          <w:sz w:val="32"/>
          <w:szCs w:val="32"/>
        </w:rPr>
      </w:pPr>
      <w:r w:rsidRPr="008D4D06">
        <w:rPr>
          <w:rFonts w:ascii="Traditional Arabic" w:hAnsi="Traditional Arabic"/>
          <w:sz w:val="32"/>
          <w:szCs w:val="32"/>
          <w:rtl/>
        </w:rPr>
        <w:t>(</w:t>
      </w:r>
      <w:r w:rsidRPr="008D4D06">
        <w:rPr>
          <w:rStyle w:val="ae"/>
          <w:rFonts w:ascii="Traditional Arabic" w:hAnsi="Traditional Arabic"/>
          <w:sz w:val="32"/>
          <w:szCs w:val="32"/>
          <w:vertAlign w:val="baseline"/>
        </w:rPr>
        <w:footnoteRef/>
      </w:r>
      <w:r w:rsidRPr="008D4D06">
        <w:rPr>
          <w:rFonts w:ascii="Traditional Arabic" w:hAnsi="Traditional Arabic"/>
          <w:sz w:val="32"/>
          <w:szCs w:val="32"/>
          <w:rtl/>
        </w:rPr>
        <w:t>) الكشف والبيان (6/139), الهداية (6/4304).</w:t>
      </w:r>
    </w:p>
  </w:footnote>
  <w:footnote w:id="765">
    <w:p w:rsidR="003F128F" w:rsidRPr="008D4D06" w:rsidRDefault="003F128F" w:rsidP="00911ED4">
      <w:pPr>
        <w:pStyle w:val="af3"/>
        <w:rPr>
          <w:rFonts w:ascii="Traditional Arabic" w:hAnsi="Traditional Arabic"/>
          <w:sz w:val="32"/>
          <w:szCs w:val="32"/>
        </w:rPr>
      </w:pPr>
      <w:r w:rsidRPr="008D4D06">
        <w:rPr>
          <w:rFonts w:ascii="Traditional Arabic" w:hAnsi="Traditional Arabic"/>
          <w:sz w:val="32"/>
          <w:szCs w:val="32"/>
          <w:rtl/>
        </w:rPr>
        <w:t>(</w:t>
      </w:r>
      <w:r w:rsidRPr="008D4D06">
        <w:rPr>
          <w:rStyle w:val="ae"/>
          <w:rFonts w:ascii="Traditional Arabic" w:hAnsi="Traditional Arabic"/>
          <w:sz w:val="32"/>
          <w:szCs w:val="32"/>
          <w:vertAlign w:val="baseline"/>
        </w:rPr>
        <w:footnoteRef/>
      </w:r>
      <w:r w:rsidRPr="008D4D06">
        <w:rPr>
          <w:rFonts w:ascii="Traditional Arabic" w:hAnsi="Traditional Arabic"/>
          <w:sz w:val="32"/>
          <w:szCs w:val="32"/>
          <w:rtl/>
        </w:rPr>
        <w:t>) بحر العلوم (2/331), الهداية (6/4304).</w:t>
      </w:r>
    </w:p>
  </w:footnote>
  <w:footnote w:id="766">
    <w:p w:rsidR="003F128F" w:rsidRPr="008D4D06" w:rsidRDefault="003F128F" w:rsidP="00911ED4">
      <w:pPr>
        <w:pStyle w:val="af3"/>
        <w:rPr>
          <w:rFonts w:ascii="Traditional Arabic" w:hAnsi="Traditional Arabic"/>
          <w:sz w:val="32"/>
          <w:szCs w:val="32"/>
        </w:rPr>
      </w:pPr>
      <w:r w:rsidRPr="008D4D06">
        <w:rPr>
          <w:rFonts w:ascii="Traditional Arabic" w:hAnsi="Traditional Arabic"/>
          <w:sz w:val="32"/>
          <w:szCs w:val="32"/>
          <w:rtl/>
        </w:rPr>
        <w:t>(</w:t>
      </w:r>
      <w:r w:rsidRPr="008D4D06">
        <w:rPr>
          <w:rStyle w:val="ae"/>
          <w:rFonts w:ascii="Traditional Arabic" w:hAnsi="Traditional Arabic"/>
          <w:sz w:val="32"/>
          <w:szCs w:val="32"/>
          <w:vertAlign w:val="baseline"/>
        </w:rPr>
        <w:footnoteRef/>
      </w:r>
      <w:r w:rsidRPr="008D4D06">
        <w:rPr>
          <w:rFonts w:ascii="Traditional Arabic" w:hAnsi="Traditional Arabic"/>
          <w:sz w:val="32"/>
          <w:szCs w:val="32"/>
          <w:rtl/>
        </w:rPr>
        <w:t>) انظر: تفسير الطبري (17/568).</w:t>
      </w:r>
    </w:p>
  </w:footnote>
  <w:footnote w:id="767">
    <w:p w:rsidR="003F128F" w:rsidRPr="008D4D06" w:rsidRDefault="003F128F" w:rsidP="00911ED4">
      <w:pPr>
        <w:pStyle w:val="af3"/>
        <w:rPr>
          <w:rFonts w:ascii="Traditional Arabic" w:hAnsi="Traditional Arabic"/>
          <w:sz w:val="32"/>
          <w:szCs w:val="32"/>
        </w:rPr>
      </w:pPr>
      <w:r w:rsidRPr="008D4D06">
        <w:rPr>
          <w:rFonts w:ascii="Traditional Arabic" w:hAnsi="Traditional Arabic"/>
          <w:sz w:val="32"/>
          <w:szCs w:val="32"/>
          <w:rtl/>
        </w:rPr>
        <w:t>(</w:t>
      </w:r>
      <w:r w:rsidRPr="008D4D06">
        <w:rPr>
          <w:rStyle w:val="ae"/>
          <w:rFonts w:ascii="Traditional Arabic" w:hAnsi="Traditional Arabic"/>
          <w:sz w:val="32"/>
          <w:szCs w:val="32"/>
          <w:vertAlign w:val="baseline"/>
        </w:rPr>
        <w:footnoteRef/>
      </w:r>
      <w:r w:rsidRPr="008D4D06">
        <w:rPr>
          <w:rFonts w:ascii="Traditional Arabic" w:hAnsi="Traditional Arabic"/>
          <w:sz w:val="32"/>
          <w:szCs w:val="32"/>
          <w:rtl/>
        </w:rPr>
        <w:t xml:space="preserve">) انظر: الكشف والبيان (6/139), إيجاز البيان (2/511). </w:t>
      </w:r>
    </w:p>
  </w:footnote>
  <w:footnote w:id="768">
    <w:p w:rsidR="003F128F" w:rsidRPr="008D4D06" w:rsidRDefault="003F128F" w:rsidP="00911ED4">
      <w:pPr>
        <w:pStyle w:val="af3"/>
        <w:rPr>
          <w:rFonts w:ascii="Traditional Arabic" w:hAnsi="Traditional Arabic"/>
          <w:sz w:val="32"/>
          <w:szCs w:val="32"/>
        </w:rPr>
      </w:pPr>
      <w:r w:rsidRPr="008D4D06">
        <w:rPr>
          <w:rFonts w:ascii="Traditional Arabic" w:hAnsi="Traditional Arabic"/>
          <w:sz w:val="32"/>
          <w:szCs w:val="32"/>
          <w:rtl/>
        </w:rPr>
        <w:t>(</w:t>
      </w:r>
      <w:r w:rsidRPr="008D4D06">
        <w:rPr>
          <w:rStyle w:val="ae"/>
          <w:rFonts w:ascii="Traditional Arabic" w:hAnsi="Traditional Arabic"/>
          <w:sz w:val="32"/>
          <w:szCs w:val="32"/>
          <w:vertAlign w:val="baseline"/>
        </w:rPr>
        <w:footnoteRef/>
      </w:r>
      <w:r w:rsidRPr="008D4D06">
        <w:rPr>
          <w:rFonts w:ascii="Traditional Arabic" w:hAnsi="Traditional Arabic"/>
          <w:sz w:val="32"/>
          <w:szCs w:val="32"/>
          <w:rtl/>
        </w:rPr>
        <w:t>) لم أقف عليه</w:t>
      </w:r>
      <w:r>
        <w:rPr>
          <w:rFonts w:ascii="Traditional Arabic" w:hAnsi="Traditional Arabic" w:hint="cs"/>
          <w:sz w:val="32"/>
          <w:szCs w:val="32"/>
          <w:rtl/>
        </w:rPr>
        <w:t>,</w:t>
      </w:r>
      <w:r>
        <w:rPr>
          <w:rFonts w:ascii="Traditional Arabic" w:hAnsi="Traditional Arabic"/>
          <w:sz w:val="32"/>
          <w:szCs w:val="32"/>
          <w:rtl/>
        </w:rPr>
        <w:t xml:space="preserve"> وبه قال قتادة</w:t>
      </w:r>
      <w:r>
        <w:rPr>
          <w:rFonts w:ascii="Traditional Arabic" w:hAnsi="Traditional Arabic" w:hint="cs"/>
          <w:sz w:val="32"/>
          <w:szCs w:val="32"/>
          <w:rtl/>
        </w:rPr>
        <w:t>.</w:t>
      </w:r>
      <w:r w:rsidRPr="008D4D06">
        <w:rPr>
          <w:rFonts w:ascii="Traditional Arabic" w:hAnsi="Traditional Arabic"/>
          <w:sz w:val="32"/>
          <w:szCs w:val="32"/>
          <w:rtl/>
        </w:rPr>
        <w:t xml:space="preserve"> انظر: انظر: الكشف والبيان (6/139), </w:t>
      </w:r>
      <w:r>
        <w:rPr>
          <w:rFonts w:ascii="Traditional Arabic" w:hAnsi="Traditional Arabic" w:hint="cs"/>
          <w:sz w:val="32"/>
          <w:szCs w:val="32"/>
          <w:rtl/>
        </w:rPr>
        <w:t>معالم التنزيل</w:t>
      </w:r>
      <w:r w:rsidRPr="008D4D06">
        <w:rPr>
          <w:rFonts w:ascii="Traditional Arabic" w:hAnsi="Traditional Arabic"/>
          <w:sz w:val="32"/>
          <w:szCs w:val="32"/>
          <w:rtl/>
        </w:rPr>
        <w:t xml:space="preserve"> (5/135).</w:t>
      </w:r>
    </w:p>
  </w:footnote>
  <w:footnote w:id="769">
    <w:p w:rsidR="003F128F" w:rsidRPr="008D4D06" w:rsidRDefault="003F128F" w:rsidP="00911ED4">
      <w:pPr>
        <w:pStyle w:val="af3"/>
        <w:rPr>
          <w:rFonts w:ascii="Traditional Arabic" w:hAnsi="Traditional Arabic"/>
          <w:sz w:val="32"/>
          <w:szCs w:val="32"/>
        </w:rPr>
      </w:pPr>
      <w:r w:rsidRPr="008D4D06">
        <w:rPr>
          <w:rFonts w:ascii="Traditional Arabic" w:hAnsi="Traditional Arabic"/>
          <w:sz w:val="32"/>
          <w:szCs w:val="32"/>
          <w:rtl/>
        </w:rPr>
        <w:t>(</w:t>
      </w:r>
      <w:r w:rsidRPr="008D4D06">
        <w:rPr>
          <w:rStyle w:val="ae"/>
          <w:rFonts w:ascii="Traditional Arabic" w:hAnsi="Traditional Arabic"/>
          <w:sz w:val="32"/>
          <w:szCs w:val="32"/>
          <w:vertAlign w:val="baseline"/>
        </w:rPr>
        <w:footnoteRef/>
      </w:r>
      <w:r w:rsidRPr="008D4D06">
        <w:rPr>
          <w:rFonts w:ascii="Traditional Arabic" w:hAnsi="Traditional Arabic"/>
          <w:sz w:val="32"/>
          <w:szCs w:val="32"/>
          <w:rtl/>
        </w:rPr>
        <w:t>) انظر: مجاز القرآن (1/392).</w:t>
      </w:r>
    </w:p>
  </w:footnote>
  <w:footnote w:id="770">
    <w:p w:rsidR="003F128F" w:rsidRPr="00284B9A" w:rsidRDefault="003F128F" w:rsidP="009D5EA9">
      <w:pPr>
        <w:pStyle w:val="af3"/>
        <w:rPr>
          <w:rFonts w:ascii="Traditional Arabic" w:hAnsi="Traditional Arabic"/>
          <w:sz w:val="32"/>
          <w:szCs w:val="32"/>
        </w:rPr>
      </w:pPr>
      <w:r w:rsidRPr="00284B9A">
        <w:rPr>
          <w:rFonts w:ascii="Traditional Arabic" w:hAnsi="Traditional Arabic"/>
          <w:sz w:val="32"/>
          <w:szCs w:val="32"/>
          <w:rtl/>
        </w:rPr>
        <w:t>(</w:t>
      </w:r>
      <w:r w:rsidRPr="00284B9A">
        <w:rPr>
          <w:rStyle w:val="ae"/>
          <w:rFonts w:ascii="Traditional Arabic" w:hAnsi="Traditional Arabic"/>
          <w:sz w:val="32"/>
          <w:szCs w:val="32"/>
          <w:vertAlign w:val="baseline"/>
        </w:rPr>
        <w:footnoteRef/>
      </w:r>
      <w:r w:rsidRPr="00284B9A">
        <w:rPr>
          <w:rFonts w:ascii="Traditional Arabic" w:hAnsi="Traditional Arabic"/>
          <w:sz w:val="32"/>
          <w:szCs w:val="32"/>
          <w:rtl/>
        </w:rPr>
        <w:t xml:space="preserve">) انظر: غريب القرآن (ص261). </w:t>
      </w:r>
    </w:p>
  </w:footnote>
  <w:footnote w:id="771">
    <w:p w:rsidR="003F128F" w:rsidRPr="00284B9A" w:rsidRDefault="003F128F" w:rsidP="00911ED4">
      <w:pPr>
        <w:pStyle w:val="af3"/>
        <w:rPr>
          <w:rFonts w:ascii="Traditional Arabic" w:hAnsi="Traditional Arabic"/>
          <w:sz w:val="32"/>
          <w:szCs w:val="32"/>
        </w:rPr>
      </w:pPr>
      <w:r w:rsidRPr="00284B9A">
        <w:rPr>
          <w:rFonts w:ascii="Traditional Arabic" w:hAnsi="Traditional Arabic"/>
          <w:sz w:val="32"/>
          <w:szCs w:val="32"/>
          <w:rtl/>
        </w:rPr>
        <w:t>(</w:t>
      </w:r>
      <w:r w:rsidRPr="00284B9A">
        <w:rPr>
          <w:rStyle w:val="ae"/>
          <w:rFonts w:ascii="Traditional Arabic" w:hAnsi="Traditional Arabic"/>
          <w:sz w:val="32"/>
          <w:szCs w:val="32"/>
          <w:vertAlign w:val="baseline"/>
        </w:rPr>
        <w:footnoteRef/>
      </w:r>
      <w:r w:rsidRPr="00284B9A">
        <w:rPr>
          <w:rFonts w:ascii="Traditional Arabic" w:hAnsi="Traditional Arabic"/>
          <w:sz w:val="32"/>
          <w:szCs w:val="32"/>
          <w:rtl/>
        </w:rPr>
        <w:t>) معاني القرآن وإعرابه (3/263).</w:t>
      </w:r>
    </w:p>
  </w:footnote>
  <w:footnote w:id="772">
    <w:p w:rsidR="003F128F" w:rsidRPr="00284B9A" w:rsidRDefault="003F128F" w:rsidP="009D5EA9">
      <w:pPr>
        <w:pStyle w:val="af3"/>
        <w:rPr>
          <w:rFonts w:ascii="Traditional Arabic" w:hAnsi="Traditional Arabic"/>
          <w:sz w:val="32"/>
          <w:szCs w:val="32"/>
        </w:rPr>
      </w:pPr>
      <w:r w:rsidRPr="00284B9A">
        <w:rPr>
          <w:rFonts w:ascii="Traditional Arabic" w:hAnsi="Traditional Arabic"/>
          <w:sz w:val="32"/>
          <w:szCs w:val="32"/>
          <w:rtl/>
        </w:rPr>
        <w:t>(</w:t>
      </w:r>
      <w:r w:rsidRPr="00284B9A">
        <w:rPr>
          <w:rStyle w:val="ae"/>
          <w:rFonts w:ascii="Traditional Arabic" w:hAnsi="Traditional Arabic"/>
          <w:sz w:val="32"/>
          <w:szCs w:val="32"/>
          <w:vertAlign w:val="baseline"/>
        </w:rPr>
        <w:footnoteRef/>
      </w:r>
      <w:r w:rsidRPr="00284B9A">
        <w:rPr>
          <w:rFonts w:ascii="Traditional Arabic" w:hAnsi="Traditional Arabic"/>
          <w:sz w:val="32"/>
          <w:szCs w:val="32"/>
          <w:rtl/>
        </w:rPr>
        <w:t>) انظر:</w:t>
      </w:r>
      <w:r>
        <w:rPr>
          <w:rFonts w:ascii="Traditional Arabic" w:hAnsi="Traditional Arabic" w:hint="cs"/>
          <w:sz w:val="32"/>
          <w:szCs w:val="32"/>
          <w:rtl/>
        </w:rPr>
        <w:t xml:space="preserve"> تفسير مجاهد (ص442),</w:t>
      </w:r>
      <w:r w:rsidRPr="00284B9A">
        <w:rPr>
          <w:rFonts w:ascii="Traditional Arabic" w:hAnsi="Traditional Arabic"/>
          <w:sz w:val="32"/>
          <w:szCs w:val="32"/>
          <w:rtl/>
        </w:rPr>
        <w:t xml:space="preserve"> تفسير الطبري (17/571).</w:t>
      </w:r>
    </w:p>
  </w:footnote>
  <w:footnote w:id="773">
    <w:p w:rsidR="003F128F" w:rsidRPr="00284B9A" w:rsidRDefault="003F128F" w:rsidP="00911ED4">
      <w:pPr>
        <w:pStyle w:val="af3"/>
        <w:rPr>
          <w:rFonts w:ascii="Traditional Arabic" w:hAnsi="Traditional Arabic"/>
          <w:sz w:val="32"/>
          <w:szCs w:val="32"/>
        </w:rPr>
      </w:pPr>
      <w:r w:rsidRPr="00284B9A">
        <w:rPr>
          <w:rFonts w:ascii="Traditional Arabic" w:hAnsi="Traditional Arabic"/>
          <w:sz w:val="32"/>
          <w:szCs w:val="32"/>
          <w:rtl/>
        </w:rPr>
        <w:t>(</w:t>
      </w:r>
      <w:r w:rsidRPr="00284B9A">
        <w:rPr>
          <w:rStyle w:val="ae"/>
          <w:rFonts w:ascii="Traditional Arabic" w:hAnsi="Traditional Arabic"/>
          <w:sz w:val="32"/>
          <w:szCs w:val="32"/>
          <w:vertAlign w:val="baseline"/>
        </w:rPr>
        <w:footnoteRef/>
      </w:r>
      <w:r w:rsidRPr="00284B9A">
        <w:rPr>
          <w:rFonts w:ascii="Traditional Arabic" w:hAnsi="Traditional Arabic"/>
          <w:sz w:val="32"/>
          <w:szCs w:val="32"/>
          <w:rtl/>
        </w:rPr>
        <w:t>) انظر: معاني القرآن (2/132).</w:t>
      </w:r>
    </w:p>
  </w:footnote>
  <w:footnote w:id="774">
    <w:p w:rsidR="003F128F" w:rsidRPr="00284B9A" w:rsidRDefault="003F128F" w:rsidP="00911ED4">
      <w:pPr>
        <w:pStyle w:val="af3"/>
        <w:rPr>
          <w:rFonts w:ascii="Traditional Arabic" w:hAnsi="Traditional Arabic"/>
          <w:sz w:val="32"/>
          <w:szCs w:val="32"/>
        </w:rPr>
      </w:pPr>
      <w:r w:rsidRPr="00284B9A">
        <w:rPr>
          <w:rFonts w:ascii="Traditional Arabic" w:hAnsi="Traditional Arabic"/>
          <w:sz w:val="32"/>
          <w:szCs w:val="32"/>
          <w:rtl/>
        </w:rPr>
        <w:t>(</w:t>
      </w:r>
      <w:r w:rsidRPr="00284B9A">
        <w:rPr>
          <w:rStyle w:val="ae"/>
          <w:rFonts w:ascii="Traditional Arabic" w:hAnsi="Traditional Arabic"/>
          <w:sz w:val="32"/>
          <w:szCs w:val="32"/>
          <w:vertAlign w:val="baseline"/>
        </w:rPr>
        <w:footnoteRef/>
      </w:r>
      <w:r>
        <w:rPr>
          <w:rFonts w:ascii="Traditional Arabic" w:hAnsi="Traditional Arabic"/>
          <w:sz w:val="32"/>
          <w:szCs w:val="32"/>
          <w:rtl/>
        </w:rPr>
        <w:t>)</w:t>
      </w:r>
      <w:r w:rsidRPr="00284B9A">
        <w:rPr>
          <w:rFonts w:ascii="Traditional Arabic" w:hAnsi="Traditional Arabic"/>
          <w:sz w:val="32"/>
          <w:szCs w:val="32"/>
          <w:rtl/>
        </w:rPr>
        <w:t xml:space="preserve"> انظر: تفسير مقاتل (2/553), التفسير الوسيط (3/131).</w:t>
      </w:r>
    </w:p>
  </w:footnote>
  <w:footnote w:id="775">
    <w:p w:rsidR="003F128F" w:rsidRPr="00284B9A" w:rsidRDefault="003F128F" w:rsidP="00911ED4">
      <w:pPr>
        <w:pStyle w:val="af3"/>
        <w:rPr>
          <w:rFonts w:ascii="Traditional Arabic" w:hAnsi="Traditional Arabic"/>
          <w:sz w:val="32"/>
          <w:szCs w:val="32"/>
        </w:rPr>
      </w:pPr>
      <w:r w:rsidRPr="00284B9A">
        <w:rPr>
          <w:rFonts w:ascii="Traditional Arabic" w:hAnsi="Traditional Arabic"/>
          <w:sz w:val="32"/>
          <w:szCs w:val="32"/>
          <w:rtl/>
        </w:rPr>
        <w:t>(</w:t>
      </w:r>
      <w:r w:rsidRPr="00284B9A">
        <w:rPr>
          <w:rStyle w:val="ae"/>
          <w:rFonts w:ascii="Traditional Arabic" w:hAnsi="Traditional Arabic"/>
          <w:sz w:val="32"/>
          <w:szCs w:val="32"/>
          <w:vertAlign w:val="baseline"/>
        </w:rPr>
        <w:footnoteRef/>
      </w:r>
      <w:r w:rsidRPr="00284B9A">
        <w:rPr>
          <w:rFonts w:ascii="Traditional Arabic" w:hAnsi="Traditional Arabic"/>
          <w:sz w:val="32"/>
          <w:szCs w:val="32"/>
          <w:rtl/>
        </w:rPr>
        <w:t>) ذكره القشيري في تفسيره (2/372) غير منسوب</w:t>
      </w:r>
      <w:r>
        <w:rPr>
          <w:rFonts w:ascii="Traditional Arabic" w:hAnsi="Traditional Arabic" w:hint="cs"/>
          <w:sz w:val="32"/>
          <w:szCs w:val="32"/>
          <w:rtl/>
        </w:rPr>
        <w:t>.</w:t>
      </w:r>
    </w:p>
  </w:footnote>
  <w:footnote w:id="776">
    <w:p w:rsidR="003F128F" w:rsidRPr="00284B9A" w:rsidRDefault="003F128F" w:rsidP="009D5EA9">
      <w:pPr>
        <w:pStyle w:val="af3"/>
        <w:rPr>
          <w:rFonts w:ascii="Tahoma" w:hAnsi="Tahoma"/>
          <w:sz w:val="32"/>
          <w:szCs w:val="32"/>
        </w:rPr>
      </w:pPr>
      <w:r w:rsidRPr="00284B9A">
        <w:rPr>
          <w:rFonts w:ascii="Traditional Arabic" w:hAnsi="Traditional Arabic"/>
          <w:sz w:val="32"/>
          <w:szCs w:val="32"/>
          <w:rtl/>
        </w:rPr>
        <w:t>(</w:t>
      </w:r>
      <w:r w:rsidRPr="00284B9A">
        <w:rPr>
          <w:rStyle w:val="ae"/>
          <w:rFonts w:ascii="Traditional Arabic" w:hAnsi="Traditional Arabic"/>
          <w:sz w:val="32"/>
          <w:szCs w:val="32"/>
          <w:vertAlign w:val="baseline"/>
        </w:rPr>
        <w:footnoteRef/>
      </w:r>
      <w:r w:rsidRPr="00284B9A">
        <w:rPr>
          <w:rFonts w:ascii="Traditional Arabic" w:hAnsi="Traditional Arabic"/>
          <w:sz w:val="32"/>
          <w:szCs w:val="32"/>
          <w:rtl/>
        </w:rPr>
        <w:t>) غريب القرآن (ص262)</w:t>
      </w:r>
      <w:r w:rsidRPr="00284B9A">
        <w:rPr>
          <w:rFonts w:ascii="Tahoma" w:hAnsi="Tahoma" w:hint="cs"/>
          <w:sz w:val="32"/>
          <w:szCs w:val="32"/>
          <w:rtl/>
        </w:rPr>
        <w:t>.</w:t>
      </w:r>
    </w:p>
  </w:footnote>
  <w:footnote w:id="777">
    <w:p w:rsidR="003F128F" w:rsidRPr="00284B9A" w:rsidRDefault="003F128F" w:rsidP="00911ED4">
      <w:pPr>
        <w:pStyle w:val="af3"/>
        <w:rPr>
          <w:rFonts w:ascii="Traditional Arabic" w:hAnsi="Traditional Arabic"/>
          <w:sz w:val="32"/>
          <w:szCs w:val="32"/>
        </w:rPr>
      </w:pPr>
      <w:r w:rsidRPr="00284B9A">
        <w:rPr>
          <w:rFonts w:ascii="Traditional Arabic" w:hAnsi="Traditional Arabic"/>
          <w:sz w:val="32"/>
          <w:szCs w:val="32"/>
          <w:rtl/>
        </w:rPr>
        <w:t>(</w:t>
      </w:r>
      <w:r w:rsidRPr="00284B9A">
        <w:rPr>
          <w:rStyle w:val="ae"/>
          <w:rFonts w:ascii="Traditional Arabic" w:hAnsi="Traditional Arabic"/>
          <w:sz w:val="32"/>
          <w:szCs w:val="32"/>
          <w:vertAlign w:val="baseline"/>
        </w:rPr>
        <w:footnoteRef/>
      </w:r>
      <w:r w:rsidRPr="00284B9A">
        <w:rPr>
          <w:rFonts w:ascii="Traditional Arabic" w:hAnsi="Traditional Arabic"/>
          <w:sz w:val="32"/>
          <w:szCs w:val="32"/>
          <w:rtl/>
        </w:rPr>
        <w:t>) معاني القرآن وإعرابه (3/263).</w:t>
      </w:r>
    </w:p>
  </w:footnote>
  <w:footnote w:id="778">
    <w:p w:rsidR="003F128F" w:rsidRPr="00284B9A" w:rsidRDefault="003F128F" w:rsidP="00911ED4">
      <w:pPr>
        <w:pStyle w:val="af3"/>
        <w:rPr>
          <w:rFonts w:ascii="Traditional Arabic" w:hAnsi="Traditional Arabic"/>
          <w:sz w:val="32"/>
          <w:szCs w:val="32"/>
        </w:rPr>
      </w:pPr>
      <w:r w:rsidRPr="00284B9A">
        <w:rPr>
          <w:rFonts w:ascii="Traditional Arabic" w:hAnsi="Traditional Arabic"/>
          <w:sz w:val="32"/>
          <w:szCs w:val="32"/>
          <w:rtl/>
        </w:rPr>
        <w:t>(</w:t>
      </w:r>
      <w:r w:rsidRPr="00284B9A">
        <w:rPr>
          <w:rStyle w:val="ae"/>
          <w:rFonts w:ascii="Traditional Arabic" w:hAnsi="Traditional Arabic"/>
          <w:sz w:val="32"/>
          <w:szCs w:val="32"/>
          <w:vertAlign w:val="baseline"/>
        </w:rPr>
        <w:footnoteRef/>
      </w:r>
      <w:r w:rsidRPr="00284B9A">
        <w:rPr>
          <w:rFonts w:ascii="Traditional Arabic" w:hAnsi="Traditional Arabic"/>
          <w:sz w:val="32"/>
          <w:szCs w:val="32"/>
          <w:rtl/>
        </w:rPr>
        <w:t xml:space="preserve">) انظر: التفسير الوسيط (3/131). </w:t>
      </w:r>
    </w:p>
  </w:footnote>
  <w:footnote w:id="779">
    <w:p w:rsidR="003F128F" w:rsidRPr="00284B9A" w:rsidRDefault="003F128F" w:rsidP="00911ED4">
      <w:pPr>
        <w:pStyle w:val="af3"/>
        <w:rPr>
          <w:rFonts w:ascii="Traditional Arabic" w:hAnsi="Traditional Arabic"/>
          <w:sz w:val="32"/>
          <w:szCs w:val="32"/>
        </w:rPr>
      </w:pPr>
      <w:r w:rsidRPr="00284B9A">
        <w:rPr>
          <w:rFonts w:ascii="Traditional Arabic" w:hAnsi="Traditional Arabic"/>
          <w:sz w:val="32"/>
          <w:szCs w:val="32"/>
          <w:rtl/>
        </w:rPr>
        <w:t>(</w:t>
      </w:r>
      <w:r w:rsidRPr="00284B9A">
        <w:rPr>
          <w:rStyle w:val="ae"/>
          <w:rFonts w:ascii="Traditional Arabic" w:hAnsi="Traditional Arabic"/>
          <w:sz w:val="32"/>
          <w:szCs w:val="32"/>
          <w:vertAlign w:val="baseline"/>
        </w:rPr>
        <w:footnoteRef/>
      </w:r>
      <w:r w:rsidRPr="00284B9A">
        <w:rPr>
          <w:rFonts w:ascii="Traditional Arabic" w:hAnsi="Traditional Arabic"/>
          <w:sz w:val="32"/>
          <w:szCs w:val="32"/>
          <w:rtl/>
        </w:rPr>
        <w:t>) انظر: بحر العلوم (2/332), النكت والعيون (3/278) غير منسوب</w:t>
      </w:r>
      <w:r>
        <w:rPr>
          <w:rFonts w:ascii="Traditional Arabic" w:hAnsi="Traditional Arabic" w:hint="cs"/>
          <w:sz w:val="32"/>
          <w:szCs w:val="32"/>
          <w:rtl/>
        </w:rPr>
        <w:t>.</w:t>
      </w:r>
    </w:p>
  </w:footnote>
  <w:footnote w:id="780">
    <w:p w:rsidR="003F128F" w:rsidRPr="00284B9A" w:rsidRDefault="003F128F" w:rsidP="00911ED4">
      <w:pPr>
        <w:pStyle w:val="af3"/>
        <w:rPr>
          <w:rFonts w:ascii="Traditional Arabic" w:hAnsi="Traditional Arabic"/>
          <w:sz w:val="32"/>
          <w:szCs w:val="32"/>
        </w:rPr>
      </w:pPr>
      <w:r w:rsidRPr="00284B9A">
        <w:rPr>
          <w:rFonts w:ascii="Traditional Arabic" w:hAnsi="Traditional Arabic"/>
          <w:sz w:val="32"/>
          <w:szCs w:val="32"/>
          <w:rtl/>
        </w:rPr>
        <w:t>(</w:t>
      </w:r>
      <w:r w:rsidRPr="00284B9A">
        <w:rPr>
          <w:rStyle w:val="ae"/>
          <w:rFonts w:ascii="Traditional Arabic" w:hAnsi="Traditional Arabic"/>
          <w:sz w:val="32"/>
          <w:szCs w:val="32"/>
          <w:vertAlign w:val="baseline"/>
        </w:rPr>
        <w:footnoteRef/>
      </w:r>
      <w:r w:rsidRPr="00284B9A">
        <w:rPr>
          <w:rFonts w:ascii="Traditional Arabic" w:hAnsi="Traditional Arabic"/>
          <w:sz w:val="32"/>
          <w:szCs w:val="32"/>
          <w:rtl/>
        </w:rPr>
        <w:t>) انظر: تفسير مقاتل (2/554).</w:t>
      </w:r>
    </w:p>
  </w:footnote>
  <w:footnote w:id="781">
    <w:p w:rsidR="003F128F" w:rsidRPr="00E91A30" w:rsidRDefault="003F128F" w:rsidP="00911ED4">
      <w:pPr>
        <w:pStyle w:val="af3"/>
        <w:rPr>
          <w:rFonts w:ascii="Traditional Arabic" w:hAnsi="Traditional Arabic"/>
          <w:sz w:val="32"/>
          <w:szCs w:val="32"/>
        </w:rPr>
      </w:pPr>
      <w:r w:rsidRPr="00284B9A">
        <w:rPr>
          <w:rFonts w:ascii="Traditional Arabic" w:hAnsi="Traditional Arabic"/>
          <w:sz w:val="32"/>
          <w:szCs w:val="32"/>
          <w:rtl/>
        </w:rPr>
        <w:t>(</w:t>
      </w:r>
      <w:r w:rsidRPr="00284B9A">
        <w:rPr>
          <w:rStyle w:val="ae"/>
          <w:rFonts w:ascii="Traditional Arabic" w:hAnsi="Traditional Arabic"/>
          <w:sz w:val="32"/>
          <w:szCs w:val="32"/>
          <w:vertAlign w:val="baseline"/>
        </w:rPr>
        <w:footnoteRef/>
      </w:r>
      <w:r w:rsidRPr="00284B9A">
        <w:rPr>
          <w:rFonts w:ascii="Traditional Arabic" w:hAnsi="Traditional Arabic"/>
          <w:sz w:val="32"/>
          <w:szCs w:val="32"/>
          <w:rtl/>
        </w:rPr>
        <w:t xml:space="preserve">) الكشف والبيان (6/140), </w:t>
      </w:r>
      <w:r>
        <w:rPr>
          <w:rFonts w:ascii="Traditional Arabic" w:hAnsi="Traditional Arabic" w:hint="cs"/>
          <w:sz w:val="32"/>
          <w:szCs w:val="32"/>
          <w:rtl/>
        </w:rPr>
        <w:t>معالم التنزيل</w:t>
      </w:r>
      <w:r w:rsidRPr="008D4D06">
        <w:rPr>
          <w:rFonts w:ascii="Traditional Arabic" w:hAnsi="Traditional Arabic"/>
          <w:sz w:val="32"/>
          <w:szCs w:val="32"/>
          <w:rtl/>
        </w:rPr>
        <w:t xml:space="preserve"> </w:t>
      </w:r>
      <w:r w:rsidRPr="00284B9A">
        <w:rPr>
          <w:rFonts w:ascii="Traditional Arabic" w:hAnsi="Traditional Arabic"/>
          <w:sz w:val="32"/>
          <w:szCs w:val="32"/>
          <w:rtl/>
        </w:rPr>
        <w:t>(5/135).</w:t>
      </w:r>
    </w:p>
  </w:footnote>
  <w:footnote w:id="782">
    <w:p w:rsidR="003F128F" w:rsidRPr="00E91A30" w:rsidRDefault="003F128F" w:rsidP="00911ED4">
      <w:pPr>
        <w:pStyle w:val="af3"/>
        <w:rPr>
          <w:rFonts w:ascii="Traditional Arabic" w:hAnsi="Traditional Arabic"/>
          <w:sz w:val="32"/>
          <w:szCs w:val="32"/>
        </w:rPr>
      </w:pPr>
      <w:r w:rsidRPr="00E91A30">
        <w:rPr>
          <w:rFonts w:ascii="Traditional Arabic" w:hAnsi="Traditional Arabic"/>
          <w:sz w:val="32"/>
          <w:szCs w:val="32"/>
          <w:rtl/>
        </w:rPr>
        <w:t>(</w:t>
      </w:r>
      <w:r w:rsidRPr="00E91A30">
        <w:rPr>
          <w:rStyle w:val="ae"/>
          <w:rFonts w:ascii="Traditional Arabic" w:hAnsi="Traditional Arabic"/>
          <w:sz w:val="32"/>
          <w:szCs w:val="32"/>
          <w:vertAlign w:val="baseline"/>
        </w:rPr>
        <w:footnoteRef/>
      </w:r>
      <w:r w:rsidRPr="00E91A30">
        <w:rPr>
          <w:rFonts w:ascii="Traditional Arabic" w:hAnsi="Traditional Arabic"/>
          <w:sz w:val="32"/>
          <w:szCs w:val="32"/>
          <w:rtl/>
        </w:rPr>
        <w:t>) تفسير الطبري (17/572), الهداية (6/4305).</w:t>
      </w:r>
    </w:p>
  </w:footnote>
  <w:footnote w:id="783">
    <w:p w:rsidR="003F128F" w:rsidRPr="00E91A30" w:rsidRDefault="003F128F" w:rsidP="008C1A5E">
      <w:pPr>
        <w:pStyle w:val="af3"/>
        <w:rPr>
          <w:rFonts w:ascii="Traditional Arabic" w:hAnsi="Traditional Arabic"/>
          <w:sz w:val="32"/>
          <w:szCs w:val="32"/>
        </w:rPr>
      </w:pPr>
      <w:r w:rsidRPr="00E91A30">
        <w:rPr>
          <w:rFonts w:ascii="Traditional Arabic" w:hAnsi="Traditional Arabic"/>
          <w:sz w:val="32"/>
          <w:szCs w:val="32"/>
          <w:rtl/>
        </w:rPr>
        <w:t>(</w:t>
      </w:r>
      <w:r w:rsidRPr="00E91A30">
        <w:rPr>
          <w:rStyle w:val="ae"/>
          <w:rFonts w:ascii="Traditional Arabic" w:hAnsi="Traditional Arabic"/>
          <w:sz w:val="32"/>
          <w:szCs w:val="32"/>
          <w:vertAlign w:val="baseline"/>
        </w:rPr>
        <w:footnoteRef/>
      </w:r>
      <w:r w:rsidRPr="00E91A30">
        <w:rPr>
          <w:rFonts w:ascii="Traditional Arabic" w:hAnsi="Traditional Arabic"/>
          <w:sz w:val="32"/>
          <w:szCs w:val="32"/>
          <w:rtl/>
        </w:rPr>
        <w:t>)</w:t>
      </w:r>
      <w:r>
        <w:rPr>
          <w:rFonts w:ascii="Traditional Arabic" w:hAnsi="Traditional Arabic" w:hint="cs"/>
          <w:sz w:val="32"/>
          <w:szCs w:val="32"/>
          <w:rtl/>
        </w:rPr>
        <w:t xml:space="preserve"> تفسير مجاهد (ص443), </w:t>
      </w:r>
      <w:r w:rsidRPr="00E91A30">
        <w:rPr>
          <w:rFonts w:ascii="Traditional Arabic" w:hAnsi="Traditional Arabic"/>
          <w:sz w:val="32"/>
          <w:szCs w:val="32"/>
          <w:rtl/>
        </w:rPr>
        <w:t>تفسير الطبري (17/572)</w:t>
      </w:r>
      <w:r>
        <w:rPr>
          <w:rFonts w:ascii="Traditional Arabic" w:hAnsi="Traditional Arabic" w:hint="cs"/>
          <w:sz w:val="32"/>
          <w:szCs w:val="32"/>
          <w:rtl/>
        </w:rPr>
        <w:t>.</w:t>
      </w:r>
    </w:p>
  </w:footnote>
  <w:footnote w:id="784">
    <w:p w:rsidR="003F128F" w:rsidRPr="00E91A30" w:rsidRDefault="003F128F" w:rsidP="009D5EA9">
      <w:pPr>
        <w:pStyle w:val="af3"/>
        <w:rPr>
          <w:rFonts w:ascii="Traditional Arabic" w:hAnsi="Traditional Arabic"/>
          <w:sz w:val="32"/>
          <w:szCs w:val="32"/>
        </w:rPr>
      </w:pPr>
      <w:r w:rsidRPr="00E91A30">
        <w:rPr>
          <w:rFonts w:ascii="Traditional Arabic" w:hAnsi="Traditional Arabic"/>
          <w:sz w:val="32"/>
          <w:szCs w:val="32"/>
          <w:rtl/>
        </w:rPr>
        <w:t>(</w:t>
      </w:r>
      <w:r w:rsidRPr="00E91A30">
        <w:rPr>
          <w:rStyle w:val="ae"/>
          <w:rFonts w:ascii="Traditional Arabic" w:hAnsi="Traditional Arabic"/>
          <w:sz w:val="32"/>
          <w:szCs w:val="32"/>
          <w:vertAlign w:val="baseline"/>
        </w:rPr>
        <w:footnoteRef/>
      </w:r>
      <w:r w:rsidRPr="00E91A30">
        <w:rPr>
          <w:rFonts w:ascii="Traditional Arabic" w:hAnsi="Traditional Arabic"/>
          <w:sz w:val="32"/>
          <w:szCs w:val="32"/>
          <w:rtl/>
        </w:rPr>
        <w:t>) غريب القرآن (ص262).</w:t>
      </w:r>
    </w:p>
  </w:footnote>
  <w:footnote w:id="785">
    <w:p w:rsidR="003F128F" w:rsidRPr="00E91A30" w:rsidRDefault="003F128F" w:rsidP="00911ED4">
      <w:pPr>
        <w:pStyle w:val="af3"/>
        <w:rPr>
          <w:rFonts w:ascii="Traditional Arabic" w:hAnsi="Traditional Arabic"/>
          <w:sz w:val="32"/>
          <w:szCs w:val="32"/>
        </w:rPr>
      </w:pPr>
      <w:r w:rsidRPr="00E91A30">
        <w:rPr>
          <w:rFonts w:ascii="Traditional Arabic" w:hAnsi="Traditional Arabic"/>
          <w:sz w:val="32"/>
          <w:szCs w:val="32"/>
          <w:rtl/>
        </w:rPr>
        <w:t>(</w:t>
      </w:r>
      <w:r w:rsidRPr="00E91A30">
        <w:rPr>
          <w:rStyle w:val="ae"/>
          <w:rFonts w:ascii="Traditional Arabic" w:hAnsi="Traditional Arabic"/>
          <w:sz w:val="32"/>
          <w:szCs w:val="32"/>
          <w:vertAlign w:val="baseline"/>
        </w:rPr>
        <w:footnoteRef/>
      </w:r>
      <w:r w:rsidRPr="00E91A30">
        <w:rPr>
          <w:rFonts w:ascii="Traditional Arabic" w:hAnsi="Traditional Arabic"/>
          <w:sz w:val="32"/>
          <w:szCs w:val="32"/>
          <w:rtl/>
        </w:rPr>
        <w:t>) انظر: معاني القرآن (2/132).</w:t>
      </w:r>
    </w:p>
  </w:footnote>
  <w:footnote w:id="786">
    <w:p w:rsidR="003F128F" w:rsidRPr="00681EC5" w:rsidRDefault="003F128F" w:rsidP="00911ED4">
      <w:pPr>
        <w:pStyle w:val="af3"/>
        <w:rPr>
          <w:rFonts w:ascii="Traditional Arabic" w:hAnsi="Traditional Arabic"/>
          <w:sz w:val="32"/>
          <w:szCs w:val="32"/>
        </w:rPr>
      </w:pPr>
      <w:r w:rsidRPr="00681EC5">
        <w:rPr>
          <w:rFonts w:ascii="Traditional Arabic" w:hAnsi="Traditional Arabic"/>
          <w:sz w:val="32"/>
          <w:szCs w:val="32"/>
          <w:rtl/>
        </w:rPr>
        <w:t>(</w:t>
      </w:r>
      <w:r w:rsidRPr="00681EC5">
        <w:rPr>
          <w:rStyle w:val="ae"/>
          <w:rFonts w:ascii="Traditional Arabic" w:hAnsi="Traditional Arabic"/>
          <w:sz w:val="32"/>
          <w:szCs w:val="32"/>
          <w:vertAlign w:val="baseline"/>
        </w:rPr>
        <w:footnoteRef/>
      </w:r>
      <w:r w:rsidRPr="00681EC5">
        <w:rPr>
          <w:rFonts w:ascii="Traditional Arabic" w:hAnsi="Traditional Arabic"/>
          <w:sz w:val="32"/>
          <w:szCs w:val="32"/>
          <w:rtl/>
        </w:rPr>
        <w:t>) معاني القرآن وإعرابه (3/263).</w:t>
      </w:r>
    </w:p>
  </w:footnote>
  <w:footnote w:id="787">
    <w:p w:rsidR="003F128F" w:rsidRPr="00681EC5" w:rsidRDefault="003F128F" w:rsidP="00911ED4">
      <w:pPr>
        <w:pStyle w:val="af3"/>
        <w:rPr>
          <w:rFonts w:ascii="Traditional Arabic" w:hAnsi="Traditional Arabic"/>
          <w:sz w:val="32"/>
          <w:szCs w:val="32"/>
        </w:rPr>
      </w:pPr>
      <w:r w:rsidRPr="00681EC5">
        <w:rPr>
          <w:rFonts w:ascii="Traditional Arabic" w:hAnsi="Traditional Arabic"/>
          <w:sz w:val="32"/>
          <w:szCs w:val="32"/>
          <w:rtl/>
        </w:rPr>
        <w:t>(</w:t>
      </w:r>
      <w:r w:rsidRPr="00681EC5">
        <w:rPr>
          <w:rStyle w:val="ae"/>
          <w:rFonts w:ascii="Traditional Arabic" w:hAnsi="Traditional Arabic"/>
          <w:sz w:val="32"/>
          <w:szCs w:val="32"/>
          <w:vertAlign w:val="baseline"/>
        </w:rPr>
        <w:footnoteRef/>
      </w:r>
      <w:r w:rsidRPr="00681EC5">
        <w:rPr>
          <w:rFonts w:ascii="Traditional Arabic" w:hAnsi="Traditional Arabic"/>
          <w:sz w:val="32"/>
          <w:szCs w:val="32"/>
          <w:rtl/>
        </w:rPr>
        <w:t>)</w:t>
      </w:r>
      <w:r>
        <w:rPr>
          <w:rFonts w:ascii="Traditional Arabic" w:hAnsi="Traditional Arabic" w:hint="cs"/>
          <w:sz w:val="32"/>
          <w:szCs w:val="32"/>
          <w:rtl/>
        </w:rPr>
        <w:t xml:space="preserve"> </w:t>
      </w:r>
      <w:r w:rsidRPr="00681EC5">
        <w:rPr>
          <w:rFonts w:ascii="Traditional Arabic" w:hAnsi="Traditional Arabic"/>
          <w:sz w:val="32"/>
          <w:szCs w:val="32"/>
          <w:rtl/>
        </w:rPr>
        <w:t xml:space="preserve">انظر: التفسير الوسيط (3/132).  </w:t>
      </w:r>
    </w:p>
  </w:footnote>
  <w:footnote w:id="788">
    <w:p w:rsidR="003F128F" w:rsidRPr="00284B9A" w:rsidRDefault="003F128F" w:rsidP="00911ED4">
      <w:pPr>
        <w:pStyle w:val="af3"/>
        <w:rPr>
          <w:rFonts w:ascii="Tahoma" w:hAnsi="Tahoma"/>
          <w:sz w:val="32"/>
          <w:szCs w:val="32"/>
        </w:rPr>
      </w:pPr>
      <w:r w:rsidRPr="00681EC5">
        <w:rPr>
          <w:rFonts w:ascii="Traditional Arabic" w:hAnsi="Traditional Arabic"/>
          <w:sz w:val="32"/>
          <w:szCs w:val="32"/>
          <w:rtl/>
        </w:rPr>
        <w:t>(</w:t>
      </w:r>
      <w:r w:rsidRPr="00681EC5">
        <w:rPr>
          <w:rStyle w:val="ae"/>
          <w:rFonts w:ascii="Traditional Arabic" w:hAnsi="Traditional Arabic"/>
          <w:sz w:val="32"/>
          <w:szCs w:val="32"/>
          <w:vertAlign w:val="baseline"/>
        </w:rPr>
        <w:footnoteRef/>
      </w:r>
      <w:r w:rsidRPr="00681EC5">
        <w:rPr>
          <w:rFonts w:ascii="Traditional Arabic" w:hAnsi="Traditional Arabic"/>
          <w:sz w:val="32"/>
          <w:szCs w:val="32"/>
          <w:rtl/>
        </w:rPr>
        <w:t>)</w:t>
      </w:r>
      <w:r>
        <w:rPr>
          <w:rFonts w:ascii="Traditional Arabic" w:hAnsi="Traditional Arabic" w:hint="cs"/>
          <w:sz w:val="32"/>
          <w:szCs w:val="32"/>
          <w:rtl/>
        </w:rPr>
        <w:t xml:space="preserve"> </w:t>
      </w:r>
      <w:r>
        <w:rPr>
          <w:rFonts w:ascii="Traditional Arabic" w:hAnsi="Traditional Arabic"/>
          <w:sz w:val="32"/>
          <w:szCs w:val="32"/>
          <w:rtl/>
        </w:rPr>
        <w:t>ذكر الماوردي</w:t>
      </w:r>
      <w:r w:rsidRPr="00681EC5">
        <w:rPr>
          <w:rFonts w:ascii="Traditional Arabic" w:hAnsi="Traditional Arabic"/>
          <w:sz w:val="32"/>
          <w:szCs w:val="32"/>
          <w:rtl/>
        </w:rPr>
        <w:t xml:space="preserve"> </w:t>
      </w:r>
      <w:r>
        <w:rPr>
          <w:rFonts w:ascii="Traditional Arabic" w:hAnsi="Traditional Arabic" w:hint="cs"/>
          <w:sz w:val="32"/>
          <w:szCs w:val="32"/>
          <w:rtl/>
        </w:rPr>
        <w:t xml:space="preserve">في </w:t>
      </w:r>
      <w:r w:rsidRPr="00681EC5">
        <w:rPr>
          <w:rFonts w:ascii="Traditional Arabic" w:hAnsi="Traditional Arabic"/>
          <w:sz w:val="32"/>
          <w:szCs w:val="32"/>
          <w:rtl/>
        </w:rPr>
        <w:t>النكت والعيون (3/279), والرسعني في رموز الكنوز (4/232)</w:t>
      </w:r>
      <w:r>
        <w:rPr>
          <w:rFonts w:ascii="Traditional Arabic" w:hAnsi="Traditional Arabic" w:hint="cs"/>
          <w:sz w:val="32"/>
          <w:szCs w:val="32"/>
          <w:rtl/>
        </w:rPr>
        <w:t xml:space="preserve"> عند</w:t>
      </w:r>
      <w:r w:rsidRPr="00681EC5">
        <w:rPr>
          <w:rFonts w:ascii="Traditional Arabic" w:hAnsi="Traditional Arabic"/>
          <w:sz w:val="32"/>
          <w:szCs w:val="32"/>
          <w:rtl/>
        </w:rPr>
        <w:t xml:space="preserve"> تفسير قوله تعالى:</w:t>
      </w:r>
      <w:r>
        <w:rPr>
          <w:rFonts w:ascii="Tahoma" w:hAnsi="Tahoma" w:hint="cs"/>
          <w:rtl/>
        </w:rPr>
        <w:t xml:space="preserve"> </w:t>
      </w:r>
      <w:r w:rsidRPr="00681EC5">
        <w:rPr>
          <w:rFonts w:ascii="QCF_BSML" w:hAnsi="QCF_BSML" w:cs="QCF_BSML"/>
          <w:rtl/>
          <w:lang w:eastAsia="en-US"/>
        </w:rPr>
        <w:t>ﭽ</w:t>
      </w:r>
      <w:r w:rsidRPr="00681EC5">
        <w:rPr>
          <w:rtl/>
        </w:rPr>
        <w:t xml:space="preserve"> </w:t>
      </w:r>
      <w:r w:rsidRPr="00681EC5">
        <w:rPr>
          <w:rFonts w:ascii="QCF_P293" w:hAnsi="QCF_P293" w:cs="QCF_P293"/>
          <w:color w:val="auto"/>
          <w:rtl/>
          <w:lang w:eastAsia="en-US"/>
        </w:rPr>
        <w:t>ﭑ  ﭒ</w:t>
      </w:r>
      <w:r w:rsidRPr="00681EC5">
        <w:rPr>
          <w:rFonts w:ascii="QCF_BSML" w:hAnsi="QCF_BSML" w:cs="QCF_BSML"/>
          <w:rtl/>
          <w:lang w:eastAsia="en-US"/>
        </w:rPr>
        <w:t>ﭼ</w:t>
      </w:r>
      <w:r>
        <w:rPr>
          <w:rFonts w:ascii="QCF_P293" w:hAnsi="QCF_P293" w:cs="QCF_P293" w:hint="cs"/>
          <w:color w:val="auto"/>
          <w:sz w:val="32"/>
          <w:szCs w:val="32"/>
          <w:rtl/>
          <w:lang w:eastAsia="en-US"/>
        </w:rPr>
        <w:t xml:space="preserve"> </w:t>
      </w:r>
      <w:r>
        <w:rPr>
          <w:rFonts w:ascii="Traditional Arabic" w:hAnsi="Traditional Arabic" w:hint="cs"/>
          <w:color w:val="auto"/>
          <w:sz w:val="32"/>
          <w:szCs w:val="32"/>
          <w:rtl/>
          <w:lang w:eastAsia="en-US"/>
        </w:rPr>
        <w:t xml:space="preserve"> أي</w:t>
      </w:r>
      <w:r w:rsidRPr="00A85A0B">
        <w:rPr>
          <w:rFonts w:ascii="QCF_P293" w:hAnsi="QCF_P293" w:cs="QCF_P293"/>
          <w:color w:val="auto"/>
          <w:sz w:val="32"/>
          <w:szCs w:val="32"/>
          <w:rtl/>
          <w:lang w:eastAsia="en-US"/>
        </w:rPr>
        <w:t xml:space="preserve"> </w:t>
      </w:r>
      <w:r>
        <w:rPr>
          <w:rFonts w:ascii="QCF_P293" w:hAnsi="QCF_P293" w:cs="QCF_P293" w:hint="cs"/>
          <w:color w:val="auto"/>
          <w:sz w:val="32"/>
          <w:szCs w:val="32"/>
          <w:rtl/>
          <w:lang w:eastAsia="en-US"/>
        </w:rPr>
        <w:t xml:space="preserve"> </w:t>
      </w:r>
      <w:r>
        <w:rPr>
          <w:rFonts w:ascii="Traditional Arabic" w:hAnsi="Traditional Arabic" w:hint="cs"/>
          <w:color w:val="auto"/>
          <w:sz w:val="32"/>
          <w:szCs w:val="32"/>
          <w:rtl/>
          <w:lang w:eastAsia="en-US"/>
        </w:rPr>
        <w:t xml:space="preserve">: </w:t>
      </w:r>
      <w:r w:rsidRPr="00284B9A">
        <w:rPr>
          <w:rFonts w:ascii="Traditional Arabic" w:hAnsi="Traditional Arabic" w:hint="cs"/>
          <w:color w:val="auto"/>
          <w:sz w:val="32"/>
          <w:szCs w:val="32"/>
          <w:rtl/>
          <w:lang w:eastAsia="en-US"/>
        </w:rPr>
        <w:t xml:space="preserve">ما تضمنه من </w:t>
      </w:r>
      <w:r w:rsidRPr="00284B9A">
        <w:rPr>
          <w:rFonts w:ascii="QCF_P293" w:hAnsi="QCF_P293" w:cs="QCF_P293" w:hint="cs"/>
          <w:color w:val="auto"/>
          <w:sz w:val="32"/>
          <w:szCs w:val="32"/>
          <w:rtl/>
          <w:lang w:eastAsia="en-US"/>
        </w:rPr>
        <w:t xml:space="preserve">  </w:t>
      </w:r>
      <w:r w:rsidRPr="00284B9A">
        <w:rPr>
          <w:rFonts w:ascii="Tahoma" w:hAnsi="Tahoma" w:hint="cs"/>
          <w:sz w:val="32"/>
          <w:szCs w:val="32"/>
          <w:rtl/>
        </w:rPr>
        <w:t>بالوعد والوعيد والأمر والنهي.</w:t>
      </w:r>
    </w:p>
  </w:footnote>
  <w:footnote w:id="789">
    <w:p w:rsidR="003F128F" w:rsidRPr="00D701A2" w:rsidRDefault="003F128F" w:rsidP="00911ED4">
      <w:pPr>
        <w:pStyle w:val="af3"/>
        <w:rPr>
          <w:rFonts w:ascii="Traditional Arabic" w:hAnsi="Traditional Arabic"/>
          <w:sz w:val="32"/>
          <w:szCs w:val="32"/>
        </w:rPr>
      </w:pPr>
      <w:r w:rsidRPr="00D701A2">
        <w:rPr>
          <w:rFonts w:ascii="Traditional Arabic" w:hAnsi="Traditional Arabic"/>
          <w:sz w:val="32"/>
          <w:szCs w:val="32"/>
          <w:rtl/>
        </w:rPr>
        <w:t>(</w:t>
      </w:r>
      <w:r w:rsidRPr="00D701A2">
        <w:rPr>
          <w:rStyle w:val="ae"/>
          <w:rFonts w:ascii="Traditional Arabic" w:hAnsi="Traditional Arabic"/>
          <w:sz w:val="32"/>
          <w:szCs w:val="32"/>
          <w:vertAlign w:val="baseline"/>
        </w:rPr>
        <w:footnoteRef/>
      </w:r>
      <w:r w:rsidRPr="00D701A2">
        <w:rPr>
          <w:rFonts w:ascii="Traditional Arabic" w:hAnsi="Traditional Arabic"/>
          <w:sz w:val="32"/>
          <w:szCs w:val="32"/>
          <w:rtl/>
        </w:rPr>
        <w:t xml:space="preserve">) </w:t>
      </w:r>
      <w:r>
        <w:rPr>
          <w:rFonts w:ascii="Traditional Arabic" w:hAnsi="Traditional Arabic"/>
          <w:sz w:val="32"/>
          <w:szCs w:val="32"/>
          <w:rtl/>
        </w:rPr>
        <w:t>في (</w:t>
      </w:r>
      <w:r>
        <w:rPr>
          <w:rFonts w:ascii="Traditional Arabic" w:hAnsi="Traditional Arabic" w:hint="cs"/>
          <w:sz w:val="32"/>
          <w:szCs w:val="32"/>
          <w:rtl/>
        </w:rPr>
        <w:t>ك</w:t>
      </w:r>
      <w:r>
        <w:rPr>
          <w:rFonts w:ascii="Traditional Arabic" w:hAnsi="Traditional Arabic"/>
          <w:sz w:val="32"/>
          <w:szCs w:val="32"/>
          <w:rtl/>
        </w:rPr>
        <w:t xml:space="preserve">): </w:t>
      </w:r>
      <w:r>
        <w:rPr>
          <w:rFonts w:ascii="Traditional Arabic" w:hAnsi="Traditional Arabic" w:hint="cs"/>
          <w:sz w:val="32"/>
          <w:szCs w:val="32"/>
          <w:rtl/>
        </w:rPr>
        <w:t>[</w:t>
      </w:r>
      <w:r w:rsidRPr="00D701A2">
        <w:rPr>
          <w:rFonts w:ascii="Traditional Arabic" w:hAnsi="Traditional Arabic"/>
          <w:sz w:val="32"/>
          <w:szCs w:val="32"/>
          <w:rtl/>
        </w:rPr>
        <w:t>قرأ الجمهور بالتخفيف وقرأ علي عليه السلام</w:t>
      </w:r>
      <w:r>
        <w:rPr>
          <w:rFonts w:ascii="Traditional Arabic" w:hAnsi="Traditional Arabic" w:hint="cs"/>
          <w:sz w:val="32"/>
          <w:szCs w:val="32"/>
          <w:rtl/>
        </w:rPr>
        <w:t>...]</w:t>
      </w:r>
      <w:r w:rsidRPr="00D701A2">
        <w:rPr>
          <w:rFonts w:ascii="Traditional Arabic" w:hAnsi="Traditional Arabic"/>
          <w:sz w:val="32"/>
          <w:szCs w:val="32"/>
          <w:rtl/>
        </w:rPr>
        <w:t>.</w:t>
      </w:r>
    </w:p>
  </w:footnote>
  <w:footnote w:id="790">
    <w:p w:rsidR="003F128F" w:rsidRPr="00DE560D" w:rsidRDefault="003F128F" w:rsidP="00911ED4">
      <w:pPr>
        <w:pStyle w:val="af3"/>
        <w:rPr>
          <w:rFonts w:ascii="Traditional Arabic" w:hAnsi="Traditional Arabic"/>
          <w:color w:val="auto"/>
          <w:sz w:val="32"/>
          <w:szCs w:val="32"/>
        </w:rPr>
      </w:pPr>
      <w:r w:rsidRPr="00284B9A">
        <w:rPr>
          <w:rFonts w:ascii="Traditional Arabic" w:hAnsi="Traditional Arabic"/>
          <w:color w:val="auto"/>
          <w:sz w:val="32"/>
          <w:szCs w:val="32"/>
          <w:rtl/>
        </w:rPr>
        <w:t>(</w:t>
      </w:r>
      <w:r w:rsidRPr="00284B9A">
        <w:rPr>
          <w:rStyle w:val="ae"/>
          <w:rFonts w:ascii="Traditional Arabic" w:hAnsi="Traditional Arabic"/>
          <w:color w:val="auto"/>
          <w:sz w:val="32"/>
          <w:szCs w:val="32"/>
          <w:vertAlign w:val="baseline"/>
        </w:rPr>
        <w:footnoteRef/>
      </w:r>
      <w:r w:rsidRPr="00284B9A">
        <w:rPr>
          <w:rFonts w:ascii="Traditional Arabic" w:hAnsi="Traditional Arabic"/>
          <w:color w:val="auto"/>
          <w:sz w:val="32"/>
          <w:szCs w:val="32"/>
          <w:rtl/>
        </w:rPr>
        <w:t xml:space="preserve">) </w:t>
      </w:r>
      <w:r w:rsidRPr="00284B9A">
        <w:rPr>
          <w:rFonts w:ascii="Traditional Arabic" w:eastAsia="Calibri" w:hAnsi="Traditional Arabic"/>
          <w:color w:val="auto"/>
          <w:sz w:val="32"/>
          <w:szCs w:val="32"/>
          <w:rtl/>
          <w:lang w:eastAsia="en-US"/>
        </w:rPr>
        <w:t xml:space="preserve">هو </w:t>
      </w:r>
      <w:r w:rsidRPr="00284B9A">
        <w:rPr>
          <w:rFonts w:ascii="Traditional Arabic" w:eastAsia="Calibri" w:hAnsi="Traditional Arabic"/>
          <w:color w:val="auto"/>
          <w:spacing w:val="-8"/>
          <w:sz w:val="32"/>
          <w:szCs w:val="32"/>
          <w:rtl/>
          <w:lang w:eastAsia="en-US"/>
        </w:rPr>
        <w:t>صاحب رسول الله</w:t>
      </w:r>
      <w:r w:rsidRPr="00284B9A">
        <w:rPr>
          <w:rFonts w:ascii="Traditional Arabic" w:eastAsia="Calibri" w:hAnsi="Traditional Arabic" w:hint="cs"/>
          <w:color w:val="auto"/>
          <w:spacing w:val="-8"/>
          <w:sz w:val="32"/>
          <w:szCs w:val="32"/>
          <w:rtl/>
          <w:lang w:eastAsia="en-US"/>
        </w:rPr>
        <w:t xml:space="preserve"> </w:t>
      </w:r>
      <w:r w:rsidRPr="00284B9A">
        <w:rPr>
          <w:rFonts w:ascii="Traditional Arabic" w:eastAsia="Calibri" w:hAnsi="Traditional Arabic"/>
          <w:color w:val="auto"/>
          <w:spacing w:val="-8"/>
          <w:sz w:val="32"/>
          <w:szCs w:val="32"/>
          <w:lang w:eastAsia="en-US"/>
        </w:rPr>
        <w:sym w:font="AGA Arabesque" w:char="0072"/>
      </w:r>
      <w:r w:rsidRPr="00284B9A">
        <w:rPr>
          <w:rFonts w:ascii="Traditional Arabic" w:eastAsia="Calibri" w:hAnsi="Traditional Arabic"/>
          <w:color w:val="auto"/>
          <w:spacing w:val="-8"/>
          <w:sz w:val="32"/>
          <w:szCs w:val="32"/>
          <w:rtl/>
          <w:lang w:eastAsia="en-US"/>
        </w:rPr>
        <w:t xml:space="preserve">، </w:t>
      </w:r>
      <w:r w:rsidRPr="00284B9A">
        <w:rPr>
          <w:rFonts w:ascii="Traditional Arabic" w:eastAsia="Calibri" w:hAnsi="Traditional Arabic"/>
          <w:color w:val="auto"/>
          <w:sz w:val="32"/>
          <w:szCs w:val="32"/>
          <w:rtl/>
          <w:lang w:eastAsia="en-US"/>
        </w:rPr>
        <w:t xml:space="preserve">أبو إسحاق سعد بن مالك بن </w:t>
      </w:r>
      <w:r w:rsidRPr="00284B9A">
        <w:rPr>
          <w:rFonts w:ascii="Traditional Arabic" w:eastAsia="Calibri" w:hAnsi="Traditional Arabic" w:hint="cs"/>
          <w:color w:val="auto"/>
          <w:sz w:val="32"/>
          <w:szCs w:val="32"/>
          <w:rtl/>
          <w:lang w:eastAsia="en-US"/>
        </w:rPr>
        <w:t>و</w:t>
      </w:r>
      <w:r w:rsidRPr="00284B9A">
        <w:rPr>
          <w:rFonts w:ascii="Traditional Arabic" w:eastAsia="Calibri" w:hAnsi="Traditional Arabic"/>
          <w:color w:val="auto"/>
          <w:sz w:val="32"/>
          <w:szCs w:val="32"/>
          <w:rtl/>
          <w:lang w:eastAsia="en-US"/>
        </w:rPr>
        <w:t>هيب</w:t>
      </w:r>
      <w:r w:rsidRPr="00284B9A">
        <w:rPr>
          <w:rFonts w:ascii="Traditional Arabic" w:eastAsia="Calibri" w:hAnsi="Traditional Arabic" w:hint="cs"/>
          <w:color w:val="auto"/>
          <w:sz w:val="32"/>
          <w:szCs w:val="32"/>
          <w:rtl/>
          <w:lang w:eastAsia="en-US"/>
        </w:rPr>
        <w:t>- ويقال أهيب-</w:t>
      </w:r>
      <w:r w:rsidRPr="00284B9A">
        <w:rPr>
          <w:rFonts w:ascii="Traditional Arabic" w:eastAsia="Calibri" w:hAnsi="Traditional Arabic"/>
          <w:color w:val="auto"/>
          <w:sz w:val="32"/>
          <w:szCs w:val="32"/>
          <w:rtl/>
          <w:lang w:eastAsia="en-US"/>
        </w:rPr>
        <w:t xml:space="preserve"> بن عبد مناف الزهريُّ</w:t>
      </w:r>
      <w:r w:rsidRPr="00284B9A">
        <w:rPr>
          <w:rFonts w:ascii="Traditional Arabic" w:eastAsia="Calibri" w:hAnsi="Traditional Arabic" w:hint="cs"/>
          <w:color w:val="auto"/>
          <w:sz w:val="32"/>
          <w:szCs w:val="32"/>
          <w:rtl/>
          <w:lang w:eastAsia="en-US"/>
        </w:rPr>
        <w:t>,</w:t>
      </w:r>
      <w:r w:rsidRPr="00284B9A">
        <w:rPr>
          <w:rFonts w:ascii="Traditional Arabic" w:eastAsia="Calibri" w:hAnsi="Traditional Arabic"/>
          <w:color w:val="auto"/>
          <w:sz w:val="32"/>
          <w:szCs w:val="32"/>
          <w:rtl/>
          <w:lang w:eastAsia="en-US"/>
        </w:rPr>
        <w:t xml:space="preserve"> القرشيُّ</w:t>
      </w:r>
      <w:r w:rsidRPr="00284B9A">
        <w:rPr>
          <w:rFonts w:ascii="Traditional Arabic" w:eastAsia="Calibri" w:hAnsi="Traditional Arabic"/>
          <w:color w:val="auto"/>
          <w:sz w:val="32"/>
          <w:szCs w:val="32"/>
          <w:lang w:eastAsia="en-US"/>
        </w:rPr>
        <w:sym w:font="AGA Arabesque" w:char="F074"/>
      </w:r>
      <w:r w:rsidRPr="00284B9A">
        <w:rPr>
          <w:rFonts w:ascii="Traditional Arabic" w:eastAsia="Calibri" w:hAnsi="Traditional Arabic"/>
          <w:color w:val="auto"/>
          <w:sz w:val="32"/>
          <w:szCs w:val="32"/>
          <w:lang w:eastAsia="en-US"/>
        </w:rPr>
        <w:t xml:space="preserve"> </w:t>
      </w:r>
      <w:r w:rsidRPr="00284B9A">
        <w:rPr>
          <w:rFonts w:ascii="Traditional Arabic" w:eastAsia="Calibri" w:hAnsi="Traditional Arabic"/>
          <w:color w:val="auto"/>
          <w:sz w:val="32"/>
          <w:szCs w:val="32"/>
          <w:rtl/>
          <w:lang w:eastAsia="en-US"/>
        </w:rPr>
        <w:t>، شهد بدرا والحديبية وسائر المشاهد، وهو أحد الستة أهل الشورى، وأحد العشرة المشهود لهم بالجنة، وكان مجاب الدعوة مشهوراً بذلك، (</w:t>
      </w:r>
      <w:r w:rsidRPr="00284B9A">
        <w:rPr>
          <w:rFonts w:ascii="Traditional Arabic" w:eastAsia="Calibri" w:hAnsi="Traditional Arabic" w:hint="cs"/>
          <w:color w:val="auto"/>
          <w:sz w:val="32"/>
          <w:szCs w:val="32"/>
          <w:rtl/>
          <w:lang w:eastAsia="en-US"/>
        </w:rPr>
        <w:t>ت</w:t>
      </w:r>
      <w:r w:rsidRPr="00284B9A">
        <w:rPr>
          <w:rFonts w:ascii="Traditional Arabic" w:eastAsia="Calibri" w:hAnsi="Traditional Arabic"/>
          <w:color w:val="auto"/>
          <w:sz w:val="32"/>
          <w:szCs w:val="32"/>
          <w:rtl/>
          <w:lang w:eastAsia="en-US"/>
        </w:rPr>
        <w:t>56ه)، وقيل غير ذلك. انظر: طبقات ابن</w:t>
      </w:r>
      <w:r>
        <w:rPr>
          <w:rFonts w:ascii="Traditional Arabic" w:eastAsia="Calibri" w:hAnsi="Traditional Arabic"/>
          <w:color w:val="auto"/>
          <w:sz w:val="32"/>
          <w:szCs w:val="32"/>
          <w:rtl/>
          <w:lang w:eastAsia="en-US"/>
        </w:rPr>
        <w:t xml:space="preserve"> </w:t>
      </w:r>
      <w:r w:rsidRPr="00DE560D">
        <w:rPr>
          <w:rFonts w:ascii="Traditional Arabic" w:eastAsia="Calibri" w:hAnsi="Traditional Arabic"/>
          <w:color w:val="auto"/>
          <w:sz w:val="32"/>
          <w:szCs w:val="32"/>
          <w:rtl/>
          <w:lang w:eastAsia="en-US"/>
        </w:rPr>
        <w:t>سعد (3/101)، الاستيعاب (2/606)، الإصابة (3/61).</w:t>
      </w:r>
    </w:p>
  </w:footnote>
  <w:footnote w:id="791">
    <w:p w:rsidR="003F128F" w:rsidRPr="00DE560D" w:rsidRDefault="003F128F" w:rsidP="00911ED4">
      <w:pPr>
        <w:pStyle w:val="af3"/>
        <w:rPr>
          <w:rFonts w:ascii="Traditional Arabic" w:hAnsi="Traditional Arabic"/>
          <w:color w:val="auto"/>
          <w:sz w:val="32"/>
          <w:szCs w:val="32"/>
          <w:rtl/>
        </w:rPr>
      </w:pPr>
      <w:r w:rsidRPr="00DE560D">
        <w:rPr>
          <w:rFonts w:ascii="Traditional Arabic" w:hAnsi="Traditional Arabic"/>
          <w:color w:val="auto"/>
          <w:sz w:val="32"/>
          <w:szCs w:val="32"/>
          <w:rtl/>
        </w:rPr>
        <w:t>(</w:t>
      </w:r>
      <w:r w:rsidRPr="00DE560D">
        <w:rPr>
          <w:rStyle w:val="ae"/>
          <w:rFonts w:ascii="Traditional Arabic" w:hAnsi="Traditional Arabic"/>
          <w:color w:val="auto"/>
          <w:sz w:val="32"/>
          <w:szCs w:val="32"/>
          <w:vertAlign w:val="baseline"/>
        </w:rPr>
        <w:footnoteRef/>
      </w:r>
      <w:r w:rsidRPr="00DE560D">
        <w:rPr>
          <w:rFonts w:ascii="Traditional Arabic" w:hAnsi="Traditional Arabic"/>
          <w:color w:val="auto"/>
          <w:sz w:val="32"/>
          <w:szCs w:val="32"/>
          <w:rtl/>
        </w:rPr>
        <w:t xml:space="preserve">) </w:t>
      </w:r>
      <w:r w:rsidRPr="00DE560D">
        <w:rPr>
          <w:rFonts w:ascii="Traditional Arabic" w:eastAsia="Calibri" w:hAnsi="Traditional Arabic"/>
          <w:color w:val="auto"/>
          <w:sz w:val="32"/>
          <w:szCs w:val="32"/>
          <w:rtl/>
          <w:lang w:eastAsia="en-US"/>
        </w:rPr>
        <w:t xml:space="preserve">هو </w:t>
      </w:r>
      <w:r w:rsidRPr="00DE560D">
        <w:rPr>
          <w:rFonts w:ascii="Traditional Arabic" w:eastAsia="Calibri" w:hAnsi="Traditional Arabic"/>
          <w:color w:val="auto"/>
          <w:spacing w:val="-8"/>
          <w:sz w:val="32"/>
          <w:szCs w:val="32"/>
          <w:rtl/>
          <w:lang w:eastAsia="en-US"/>
        </w:rPr>
        <w:t xml:space="preserve">صاحب رسول الله </w:t>
      </w:r>
      <w:r w:rsidRPr="00DE560D">
        <w:rPr>
          <w:rFonts w:ascii="Traditional Arabic" w:eastAsia="Calibri" w:hAnsi="Traditional Arabic"/>
          <w:color w:val="auto"/>
          <w:spacing w:val="-8"/>
          <w:sz w:val="32"/>
          <w:szCs w:val="32"/>
          <w:lang w:eastAsia="en-US"/>
        </w:rPr>
        <w:sym w:font="AGA Arabesque" w:char="F072"/>
      </w:r>
      <w:r w:rsidRPr="00DE560D">
        <w:rPr>
          <w:rFonts w:ascii="Traditional Arabic" w:eastAsia="Calibri" w:hAnsi="Traditional Arabic"/>
          <w:color w:val="auto"/>
          <w:sz w:val="32"/>
          <w:szCs w:val="32"/>
          <w:rtl/>
          <w:lang w:eastAsia="en-US"/>
        </w:rPr>
        <w:t>، أبو المنذر أبي بن كعب بن قيس</w:t>
      </w:r>
      <w:r w:rsidRPr="00DE560D">
        <w:rPr>
          <w:rFonts w:ascii="Traditional Arabic" w:hAnsi="Traditional Arabic"/>
          <w:sz w:val="44"/>
          <w:szCs w:val="44"/>
          <w:rtl/>
          <w:lang w:eastAsia="en-US"/>
        </w:rPr>
        <w:t xml:space="preserve"> </w:t>
      </w:r>
      <w:r w:rsidRPr="00DE560D">
        <w:rPr>
          <w:rFonts w:ascii="Traditional Arabic" w:eastAsia="Calibri" w:hAnsi="Traditional Arabic"/>
          <w:color w:val="auto"/>
          <w:sz w:val="32"/>
          <w:szCs w:val="32"/>
          <w:rtl/>
          <w:lang w:eastAsia="en-US"/>
        </w:rPr>
        <w:t>بْنِ عُبَيْدِ الأنصاريُّ</w:t>
      </w:r>
      <w:r w:rsidRPr="00DE560D">
        <w:rPr>
          <w:rFonts w:ascii="Traditional Arabic" w:eastAsia="Calibri" w:hAnsi="Traditional Arabic" w:hint="cs"/>
          <w:color w:val="auto"/>
          <w:sz w:val="32"/>
          <w:szCs w:val="32"/>
          <w:rtl/>
          <w:lang w:eastAsia="en-US"/>
        </w:rPr>
        <w:t>,</w:t>
      </w:r>
      <w:r w:rsidRPr="00DE560D">
        <w:rPr>
          <w:rFonts w:ascii="Traditional Arabic" w:eastAsia="Calibri" w:hAnsi="Traditional Arabic"/>
          <w:color w:val="auto"/>
          <w:sz w:val="32"/>
          <w:szCs w:val="32"/>
          <w:rtl/>
          <w:lang w:eastAsia="en-US"/>
        </w:rPr>
        <w:t xml:space="preserve"> المدنيُّ، مقرئٌ، </w:t>
      </w:r>
      <w:r>
        <w:rPr>
          <w:rFonts w:ascii="Traditional Arabic" w:eastAsia="Calibri" w:hAnsi="Traditional Arabic" w:hint="cs"/>
          <w:color w:val="auto"/>
          <w:sz w:val="32"/>
          <w:szCs w:val="32"/>
          <w:rtl/>
          <w:lang w:eastAsia="en-US"/>
        </w:rPr>
        <w:t xml:space="preserve">من مشاهير الصحابة </w:t>
      </w:r>
      <w:r w:rsidRPr="001F3DDA">
        <w:rPr>
          <w:rFonts w:ascii="Traditional Arabic" w:eastAsia="Calibri" w:hAnsi="Traditional Arabic"/>
          <w:color w:val="auto"/>
          <w:sz w:val="32"/>
          <w:szCs w:val="32"/>
          <w:lang w:eastAsia="en-US"/>
        </w:rPr>
        <w:sym w:font="AGA Arabesque" w:char="F074"/>
      </w:r>
      <w:r w:rsidRPr="001F3DDA">
        <w:rPr>
          <w:rFonts w:ascii="Traditional Arabic" w:eastAsia="Calibri" w:hAnsi="Traditional Arabic"/>
          <w:color w:val="auto"/>
          <w:sz w:val="32"/>
          <w:szCs w:val="32"/>
          <w:rtl/>
          <w:lang w:eastAsia="en-US"/>
        </w:rPr>
        <w:t>،</w:t>
      </w:r>
      <w:r>
        <w:rPr>
          <w:rFonts w:ascii="Traditional Arabic" w:eastAsia="Calibri" w:hAnsi="Traditional Arabic" w:hint="cs"/>
          <w:color w:val="auto"/>
          <w:sz w:val="32"/>
          <w:szCs w:val="32"/>
          <w:rtl/>
          <w:lang w:eastAsia="en-US"/>
        </w:rPr>
        <w:t xml:space="preserve"> </w:t>
      </w:r>
      <w:r w:rsidRPr="00DE560D">
        <w:rPr>
          <w:rFonts w:ascii="Traditional Arabic" w:eastAsia="Calibri" w:hAnsi="Traditional Arabic"/>
          <w:color w:val="auto"/>
          <w:sz w:val="32"/>
          <w:szCs w:val="32"/>
          <w:rtl/>
          <w:lang w:eastAsia="en-US"/>
        </w:rPr>
        <w:t>(ت21ه). انظر: طبقات ابن سعد (3/</w:t>
      </w:r>
      <w:r w:rsidRPr="00DE560D">
        <w:rPr>
          <w:rFonts w:ascii="Traditional Arabic" w:eastAsia="Calibri" w:hAnsi="Traditional Arabic" w:hint="cs"/>
          <w:color w:val="auto"/>
          <w:sz w:val="32"/>
          <w:szCs w:val="32"/>
          <w:rtl/>
          <w:lang w:eastAsia="en-US"/>
        </w:rPr>
        <w:t>278</w:t>
      </w:r>
      <w:r w:rsidRPr="00DE560D">
        <w:rPr>
          <w:rFonts w:ascii="Traditional Arabic" w:eastAsia="Calibri" w:hAnsi="Traditional Arabic"/>
          <w:color w:val="auto"/>
          <w:sz w:val="32"/>
          <w:szCs w:val="32"/>
          <w:rtl/>
          <w:lang w:eastAsia="en-US"/>
        </w:rPr>
        <w:t>)، الاستيعاب (1/65)، أسد الغابة (1/</w:t>
      </w:r>
      <w:r w:rsidRPr="00DE560D">
        <w:rPr>
          <w:rFonts w:ascii="Traditional Arabic" w:eastAsia="Calibri" w:hAnsi="Traditional Arabic" w:hint="cs"/>
          <w:color w:val="auto"/>
          <w:sz w:val="32"/>
          <w:szCs w:val="32"/>
          <w:rtl/>
          <w:lang w:eastAsia="en-US"/>
        </w:rPr>
        <w:t>168</w:t>
      </w:r>
      <w:r w:rsidRPr="00DE560D">
        <w:rPr>
          <w:rFonts w:ascii="Traditional Arabic" w:eastAsia="Calibri" w:hAnsi="Traditional Arabic"/>
          <w:color w:val="auto"/>
          <w:sz w:val="32"/>
          <w:szCs w:val="32"/>
          <w:rtl/>
          <w:lang w:eastAsia="en-US"/>
        </w:rPr>
        <w:t>).</w:t>
      </w:r>
    </w:p>
  </w:footnote>
  <w:footnote w:id="792">
    <w:p w:rsidR="003F128F" w:rsidRPr="0036152B" w:rsidRDefault="003F128F" w:rsidP="008C1A5E">
      <w:pPr>
        <w:pStyle w:val="af3"/>
        <w:rPr>
          <w:rFonts w:ascii="Traditional Arabic" w:hAnsi="Traditional Arabic"/>
          <w:sz w:val="32"/>
          <w:szCs w:val="32"/>
        </w:rPr>
      </w:pPr>
      <w:r w:rsidRPr="0036152B">
        <w:rPr>
          <w:rFonts w:ascii="Traditional Arabic" w:hAnsi="Traditional Arabic"/>
          <w:color w:val="auto"/>
          <w:sz w:val="32"/>
          <w:szCs w:val="32"/>
          <w:rtl/>
        </w:rPr>
        <w:t>(</w:t>
      </w:r>
      <w:r w:rsidRPr="0036152B">
        <w:rPr>
          <w:rStyle w:val="ae"/>
          <w:rFonts w:ascii="Traditional Arabic" w:hAnsi="Traditional Arabic"/>
          <w:color w:val="auto"/>
          <w:sz w:val="32"/>
          <w:szCs w:val="32"/>
          <w:vertAlign w:val="baseline"/>
        </w:rPr>
        <w:footnoteRef/>
      </w:r>
      <w:r w:rsidRPr="0036152B">
        <w:rPr>
          <w:rFonts w:ascii="Traditional Arabic" w:hAnsi="Traditional Arabic"/>
          <w:color w:val="auto"/>
          <w:sz w:val="32"/>
          <w:szCs w:val="32"/>
          <w:rtl/>
        </w:rPr>
        <w:t xml:space="preserve">) </w:t>
      </w:r>
      <w:r w:rsidRPr="0036152B">
        <w:rPr>
          <w:rFonts w:ascii="Traditional Arabic" w:eastAsia="Calibri" w:hAnsi="Traditional Arabic"/>
          <w:color w:val="auto"/>
          <w:sz w:val="32"/>
          <w:szCs w:val="32"/>
          <w:rtl/>
          <w:lang w:eastAsia="en-US"/>
        </w:rPr>
        <w:t>هو أبو حفصٍ محمد</w:t>
      </w:r>
      <w:r>
        <w:rPr>
          <w:rFonts w:ascii="Traditional Arabic" w:eastAsia="Calibri" w:hAnsi="Traditional Arabic" w:hint="cs"/>
          <w:color w:val="auto"/>
          <w:sz w:val="32"/>
          <w:szCs w:val="32"/>
          <w:rtl/>
          <w:lang w:eastAsia="en-US"/>
        </w:rPr>
        <w:t xml:space="preserve"> </w:t>
      </w:r>
      <w:r w:rsidRPr="0036152B">
        <w:rPr>
          <w:rFonts w:ascii="Traditional Arabic" w:eastAsia="Calibri" w:hAnsi="Traditional Arabic"/>
          <w:color w:val="auto"/>
          <w:sz w:val="32"/>
          <w:szCs w:val="32"/>
          <w:rtl/>
          <w:lang w:eastAsia="en-US"/>
        </w:rPr>
        <w:t>- وقيل عمر - بن عبد الرحمن بن محيصن السهميُّ, مولاهم المكيُّ، قارئ أهل مكة، شُهد له بالعلم في الأثر والعربية والقراءات, (ت123ه). انظر: معرفة القراء الكبار (ص56), غاية النهاية (2/167).</w:t>
      </w:r>
    </w:p>
  </w:footnote>
  <w:footnote w:id="793">
    <w:p w:rsidR="003F128F" w:rsidRPr="0036152B" w:rsidRDefault="003F128F" w:rsidP="009D5EA9">
      <w:pPr>
        <w:pStyle w:val="af3"/>
        <w:rPr>
          <w:rFonts w:ascii="Traditional Arabic" w:hAnsi="Traditional Arabic"/>
          <w:sz w:val="32"/>
          <w:szCs w:val="32"/>
        </w:rPr>
      </w:pPr>
      <w:r w:rsidRPr="0036152B">
        <w:rPr>
          <w:rFonts w:ascii="Traditional Arabic" w:hAnsi="Traditional Arabic"/>
          <w:sz w:val="32"/>
          <w:szCs w:val="32"/>
          <w:rtl/>
        </w:rPr>
        <w:t>(</w:t>
      </w:r>
      <w:r w:rsidRPr="0036152B">
        <w:rPr>
          <w:rStyle w:val="ae"/>
          <w:rFonts w:ascii="Traditional Arabic" w:hAnsi="Traditional Arabic"/>
          <w:sz w:val="32"/>
          <w:szCs w:val="32"/>
          <w:vertAlign w:val="baseline"/>
        </w:rPr>
        <w:footnoteRef/>
      </w:r>
      <w:r w:rsidRPr="0036152B">
        <w:rPr>
          <w:rFonts w:ascii="Traditional Arabic" w:hAnsi="Traditional Arabic"/>
          <w:sz w:val="32"/>
          <w:szCs w:val="32"/>
          <w:rtl/>
        </w:rPr>
        <w:t>)</w:t>
      </w:r>
      <w:r>
        <w:rPr>
          <w:rFonts w:ascii="Traditional Arabic" w:hAnsi="Traditional Arabic" w:hint="cs"/>
          <w:sz w:val="32"/>
          <w:szCs w:val="32"/>
          <w:rtl/>
        </w:rPr>
        <w:t xml:space="preserve"> </w:t>
      </w:r>
      <w:r w:rsidRPr="0036152B">
        <w:rPr>
          <w:rFonts w:ascii="Traditional Arabic" w:hAnsi="Traditional Arabic"/>
          <w:sz w:val="32"/>
          <w:szCs w:val="32"/>
          <w:rtl/>
        </w:rPr>
        <w:t>انظر: المحتسب لابن جني (2/23), مختصر الشواذ (ص81).</w:t>
      </w:r>
    </w:p>
  </w:footnote>
  <w:footnote w:id="794">
    <w:p w:rsidR="003F128F" w:rsidRPr="00634C30" w:rsidRDefault="003F128F" w:rsidP="009D5EA9">
      <w:pPr>
        <w:pStyle w:val="af3"/>
        <w:rPr>
          <w:rFonts w:ascii="Traditional Arabic" w:hAnsi="Traditional Arabic"/>
          <w:sz w:val="32"/>
          <w:szCs w:val="32"/>
        </w:rPr>
      </w:pPr>
      <w:r w:rsidRPr="00634C30">
        <w:rPr>
          <w:rFonts w:ascii="Traditional Arabic" w:hAnsi="Traditional Arabic"/>
          <w:sz w:val="32"/>
          <w:szCs w:val="32"/>
          <w:rtl/>
        </w:rPr>
        <w:t>(</w:t>
      </w:r>
      <w:r w:rsidRPr="00634C30">
        <w:rPr>
          <w:rStyle w:val="ae"/>
          <w:rFonts w:ascii="Traditional Arabic" w:hAnsi="Traditional Arabic"/>
          <w:sz w:val="32"/>
          <w:szCs w:val="32"/>
          <w:vertAlign w:val="baseline"/>
        </w:rPr>
        <w:footnoteRef/>
      </w:r>
      <w:r w:rsidRPr="00634C30">
        <w:rPr>
          <w:rFonts w:ascii="Traditional Arabic" w:hAnsi="Traditional Arabic"/>
          <w:sz w:val="32"/>
          <w:szCs w:val="32"/>
          <w:rtl/>
        </w:rPr>
        <w:t>) انظر: الكامل في القراءات (ص589).</w:t>
      </w:r>
    </w:p>
  </w:footnote>
  <w:footnote w:id="795">
    <w:p w:rsidR="003F128F" w:rsidRPr="00634C30" w:rsidRDefault="003F128F" w:rsidP="00911ED4">
      <w:pPr>
        <w:pStyle w:val="af3"/>
        <w:rPr>
          <w:rFonts w:ascii="Traditional Arabic" w:hAnsi="Traditional Arabic"/>
          <w:sz w:val="32"/>
          <w:szCs w:val="32"/>
        </w:rPr>
      </w:pPr>
      <w:r w:rsidRPr="00634C30">
        <w:rPr>
          <w:rFonts w:ascii="Traditional Arabic" w:hAnsi="Traditional Arabic"/>
          <w:sz w:val="32"/>
          <w:szCs w:val="32"/>
          <w:rtl/>
        </w:rPr>
        <w:t>(</w:t>
      </w:r>
      <w:r w:rsidRPr="00634C30">
        <w:rPr>
          <w:rStyle w:val="ae"/>
          <w:rFonts w:ascii="Traditional Arabic" w:hAnsi="Traditional Arabic"/>
          <w:sz w:val="32"/>
          <w:szCs w:val="32"/>
          <w:vertAlign w:val="baseline"/>
        </w:rPr>
        <w:footnoteRef/>
      </w:r>
      <w:r>
        <w:rPr>
          <w:rFonts w:ascii="Traditional Arabic" w:hAnsi="Traditional Arabic"/>
          <w:sz w:val="32"/>
          <w:szCs w:val="32"/>
          <w:rtl/>
        </w:rPr>
        <w:t xml:space="preserve">) في </w:t>
      </w:r>
      <w:r>
        <w:rPr>
          <w:rFonts w:ascii="Traditional Arabic" w:hAnsi="Traditional Arabic" w:hint="cs"/>
          <w:sz w:val="32"/>
          <w:szCs w:val="32"/>
          <w:rtl/>
        </w:rPr>
        <w:t>(ك)</w:t>
      </w:r>
      <w:r>
        <w:rPr>
          <w:rFonts w:ascii="Traditional Arabic" w:hAnsi="Traditional Arabic"/>
          <w:sz w:val="32"/>
          <w:szCs w:val="32"/>
          <w:rtl/>
        </w:rPr>
        <w:t xml:space="preserve">: </w:t>
      </w:r>
      <w:r>
        <w:rPr>
          <w:rFonts w:ascii="Traditional Arabic" w:hAnsi="Traditional Arabic" w:hint="cs"/>
          <w:sz w:val="32"/>
          <w:szCs w:val="32"/>
          <w:rtl/>
        </w:rPr>
        <w:t>[</w:t>
      </w:r>
      <w:r>
        <w:rPr>
          <w:rFonts w:ascii="Traditional Arabic" w:hAnsi="Traditional Arabic"/>
          <w:sz w:val="32"/>
          <w:szCs w:val="32"/>
          <w:rtl/>
        </w:rPr>
        <w:t>ففي</w:t>
      </w:r>
      <w:r>
        <w:rPr>
          <w:rFonts w:ascii="Traditional Arabic" w:hAnsi="Traditional Arabic" w:hint="cs"/>
          <w:sz w:val="32"/>
          <w:szCs w:val="32"/>
          <w:rtl/>
        </w:rPr>
        <w:t xml:space="preserve"> معناها</w:t>
      </w:r>
      <w:r>
        <w:rPr>
          <w:rFonts w:ascii="Traditional Arabic" w:hAnsi="Traditional Arabic"/>
          <w:sz w:val="32"/>
          <w:szCs w:val="32"/>
          <w:rtl/>
        </w:rPr>
        <w:t xml:space="preserve"> ثلاثة أقوال</w:t>
      </w:r>
      <w:r>
        <w:rPr>
          <w:rFonts w:ascii="Traditional Arabic" w:hAnsi="Traditional Arabic" w:hint="cs"/>
          <w:sz w:val="32"/>
          <w:szCs w:val="32"/>
          <w:rtl/>
        </w:rPr>
        <w:t>]</w:t>
      </w:r>
      <w:r w:rsidRPr="00634C30">
        <w:rPr>
          <w:rFonts w:ascii="Traditional Arabic" w:hAnsi="Traditional Arabic"/>
          <w:sz w:val="32"/>
          <w:szCs w:val="32"/>
          <w:rtl/>
        </w:rPr>
        <w:t>.</w:t>
      </w:r>
    </w:p>
  </w:footnote>
  <w:footnote w:id="796">
    <w:p w:rsidR="003F128F" w:rsidRPr="00634C30" w:rsidRDefault="003F128F" w:rsidP="009D5EA9">
      <w:pPr>
        <w:pStyle w:val="af3"/>
        <w:rPr>
          <w:rFonts w:ascii="Traditional Arabic" w:hAnsi="Traditional Arabic"/>
          <w:sz w:val="32"/>
          <w:szCs w:val="32"/>
        </w:rPr>
      </w:pPr>
      <w:r w:rsidRPr="00634C30">
        <w:rPr>
          <w:rFonts w:ascii="Traditional Arabic" w:hAnsi="Traditional Arabic"/>
          <w:sz w:val="32"/>
          <w:szCs w:val="32"/>
          <w:rtl/>
        </w:rPr>
        <w:t>(</w:t>
      </w:r>
      <w:r w:rsidRPr="00634C30">
        <w:rPr>
          <w:rStyle w:val="ae"/>
          <w:rFonts w:ascii="Traditional Arabic" w:hAnsi="Traditional Arabic"/>
          <w:sz w:val="32"/>
          <w:szCs w:val="32"/>
          <w:vertAlign w:val="baseline"/>
        </w:rPr>
        <w:footnoteRef/>
      </w:r>
      <w:r w:rsidRPr="00634C30">
        <w:rPr>
          <w:rFonts w:ascii="Traditional Arabic" w:hAnsi="Traditional Arabic"/>
          <w:sz w:val="32"/>
          <w:szCs w:val="32"/>
          <w:rtl/>
        </w:rPr>
        <w:t xml:space="preserve">) </w:t>
      </w:r>
      <w:r>
        <w:rPr>
          <w:rFonts w:ascii="Traditional Arabic" w:hAnsi="Traditional Arabic" w:hint="cs"/>
          <w:sz w:val="32"/>
          <w:szCs w:val="32"/>
          <w:rtl/>
        </w:rPr>
        <w:t>انظر:</w:t>
      </w:r>
      <w:r>
        <w:rPr>
          <w:rFonts w:ascii="Traditional Arabic" w:hAnsi="Traditional Arabic"/>
          <w:sz w:val="32"/>
          <w:szCs w:val="32"/>
          <w:rtl/>
        </w:rPr>
        <w:t xml:space="preserve"> رموز الكنوز (4/232), و</w:t>
      </w:r>
      <w:r>
        <w:rPr>
          <w:rFonts w:ascii="Traditional Arabic" w:hAnsi="Traditional Arabic" w:hint="cs"/>
          <w:sz w:val="32"/>
          <w:szCs w:val="32"/>
          <w:rtl/>
        </w:rPr>
        <w:t xml:space="preserve">قد ذكره السمرقندي في </w:t>
      </w:r>
      <w:r w:rsidRPr="00634C30">
        <w:rPr>
          <w:rFonts w:ascii="Traditional Arabic" w:hAnsi="Traditional Arabic"/>
          <w:sz w:val="32"/>
          <w:szCs w:val="32"/>
          <w:rtl/>
        </w:rPr>
        <w:t>بحر العلوم (2/332) غير منسوب.</w:t>
      </w:r>
    </w:p>
  </w:footnote>
  <w:footnote w:id="797">
    <w:p w:rsidR="003F128F" w:rsidRPr="00634C30" w:rsidRDefault="003F128F" w:rsidP="00911ED4">
      <w:pPr>
        <w:pStyle w:val="af3"/>
        <w:rPr>
          <w:rFonts w:ascii="Traditional Arabic" w:hAnsi="Traditional Arabic"/>
          <w:sz w:val="32"/>
          <w:szCs w:val="32"/>
        </w:rPr>
      </w:pPr>
      <w:r w:rsidRPr="00634C30">
        <w:rPr>
          <w:rFonts w:ascii="Traditional Arabic" w:hAnsi="Traditional Arabic"/>
          <w:sz w:val="32"/>
          <w:szCs w:val="32"/>
          <w:rtl/>
        </w:rPr>
        <w:t>(</w:t>
      </w:r>
      <w:r w:rsidRPr="00634C30">
        <w:rPr>
          <w:rStyle w:val="ae"/>
          <w:rFonts w:ascii="Traditional Arabic" w:hAnsi="Traditional Arabic"/>
          <w:sz w:val="32"/>
          <w:szCs w:val="32"/>
          <w:vertAlign w:val="baseline"/>
        </w:rPr>
        <w:footnoteRef/>
      </w:r>
      <w:r>
        <w:rPr>
          <w:rFonts w:ascii="Traditional Arabic" w:hAnsi="Traditional Arabic"/>
          <w:sz w:val="32"/>
          <w:szCs w:val="32"/>
          <w:rtl/>
        </w:rPr>
        <w:t>) في (</w:t>
      </w:r>
      <w:r>
        <w:rPr>
          <w:rFonts w:ascii="Traditional Arabic" w:hAnsi="Traditional Arabic" w:hint="cs"/>
          <w:sz w:val="32"/>
          <w:szCs w:val="32"/>
          <w:rtl/>
        </w:rPr>
        <w:t>ك</w:t>
      </w:r>
      <w:r>
        <w:rPr>
          <w:rFonts w:ascii="Traditional Arabic" w:hAnsi="Traditional Arabic"/>
          <w:sz w:val="32"/>
          <w:szCs w:val="32"/>
          <w:rtl/>
        </w:rPr>
        <w:t xml:space="preserve">): </w:t>
      </w:r>
      <w:r>
        <w:rPr>
          <w:rFonts w:ascii="Traditional Arabic" w:hAnsi="Traditional Arabic" w:hint="cs"/>
          <w:sz w:val="32"/>
          <w:szCs w:val="32"/>
          <w:rtl/>
        </w:rPr>
        <w:t>[</w:t>
      </w:r>
      <w:r>
        <w:rPr>
          <w:rFonts w:ascii="Traditional Arabic" w:hAnsi="Traditional Arabic"/>
          <w:sz w:val="32"/>
          <w:szCs w:val="32"/>
          <w:rtl/>
        </w:rPr>
        <w:t>فرقنا به بين الحق والباطل</w:t>
      </w:r>
      <w:r>
        <w:rPr>
          <w:rFonts w:ascii="Traditional Arabic" w:hAnsi="Traditional Arabic" w:hint="cs"/>
          <w:sz w:val="32"/>
          <w:szCs w:val="32"/>
          <w:rtl/>
        </w:rPr>
        <w:t>]</w:t>
      </w:r>
      <w:r w:rsidRPr="00634C30">
        <w:rPr>
          <w:rFonts w:ascii="Traditional Arabic" w:hAnsi="Traditional Arabic"/>
          <w:sz w:val="32"/>
          <w:szCs w:val="32"/>
          <w:rtl/>
        </w:rPr>
        <w:t xml:space="preserve">. </w:t>
      </w:r>
    </w:p>
  </w:footnote>
  <w:footnote w:id="798">
    <w:p w:rsidR="003F128F" w:rsidRPr="00634C30" w:rsidRDefault="003F128F" w:rsidP="009D5EA9">
      <w:pPr>
        <w:pStyle w:val="af3"/>
        <w:rPr>
          <w:rFonts w:ascii="Traditional Arabic" w:hAnsi="Traditional Arabic"/>
          <w:sz w:val="32"/>
          <w:szCs w:val="32"/>
        </w:rPr>
      </w:pPr>
      <w:r w:rsidRPr="00634C30">
        <w:rPr>
          <w:rFonts w:ascii="Traditional Arabic" w:hAnsi="Traditional Arabic"/>
          <w:sz w:val="32"/>
          <w:szCs w:val="32"/>
          <w:rtl/>
        </w:rPr>
        <w:t>(</w:t>
      </w:r>
      <w:r w:rsidRPr="00634C30">
        <w:rPr>
          <w:rStyle w:val="ae"/>
          <w:rFonts w:ascii="Traditional Arabic" w:hAnsi="Traditional Arabic"/>
          <w:sz w:val="32"/>
          <w:szCs w:val="32"/>
          <w:vertAlign w:val="baseline"/>
        </w:rPr>
        <w:footnoteRef/>
      </w:r>
      <w:r>
        <w:rPr>
          <w:rFonts w:ascii="Traditional Arabic" w:hAnsi="Traditional Arabic"/>
          <w:sz w:val="32"/>
          <w:szCs w:val="32"/>
          <w:rtl/>
        </w:rPr>
        <w:t>) ما بين ال</w:t>
      </w:r>
      <w:r>
        <w:rPr>
          <w:rFonts w:ascii="Traditional Arabic" w:hAnsi="Traditional Arabic" w:hint="cs"/>
          <w:sz w:val="32"/>
          <w:szCs w:val="32"/>
          <w:rtl/>
        </w:rPr>
        <w:t>معكوفتين</w:t>
      </w:r>
      <w:r w:rsidRPr="00634C30">
        <w:rPr>
          <w:rFonts w:ascii="Traditional Arabic" w:hAnsi="Traditional Arabic"/>
          <w:sz w:val="32"/>
          <w:szCs w:val="32"/>
          <w:rtl/>
        </w:rPr>
        <w:t xml:space="preserve"> ساقط من </w:t>
      </w:r>
      <w:r>
        <w:rPr>
          <w:rFonts w:ascii="Traditional Arabic" w:hAnsi="Traditional Arabic" w:hint="cs"/>
          <w:sz w:val="32"/>
          <w:szCs w:val="32"/>
          <w:rtl/>
        </w:rPr>
        <w:t>الأصل, والمثبت من (ك)</w:t>
      </w:r>
      <w:r w:rsidRPr="00634C30">
        <w:rPr>
          <w:rFonts w:ascii="Traditional Arabic" w:hAnsi="Traditional Arabic"/>
          <w:sz w:val="32"/>
          <w:szCs w:val="32"/>
          <w:rtl/>
        </w:rPr>
        <w:t>.</w:t>
      </w:r>
    </w:p>
  </w:footnote>
  <w:footnote w:id="799">
    <w:p w:rsidR="003F128F" w:rsidRPr="0036152B" w:rsidRDefault="003F128F" w:rsidP="00911ED4">
      <w:pPr>
        <w:pStyle w:val="af3"/>
        <w:rPr>
          <w:rFonts w:ascii="Traditional Arabic" w:hAnsi="Traditional Arabic"/>
          <w:sz w:val="32"/>
          <w:szCs w:val="32"/>
        </w:rPr>
      </w:pPr>
      <w:r w:rsidRPr="0036152B">
        <w:rPr>
          <w:rFonts w:ascii="Traditional Arabic" w:hAnsi="Traditional Arabic"/>
          <w:sz w:val="32"/>
          <w:szCs w:val="32"/>
          <w:rtl/>
        </w:rPr>
        <w:t>(</w:t>
      </w:r>
      <w:r w:rsidRPr="0036152B">
        <w:rPr>
          <w:rStyle w:val="ae"/>
          <w:rFonts w:ascii="Traditional Arabic" w:hAnsi="Traditional Arabic"/>
          <w:sz w:val="32"/>
          <w:szCs w:val="32"/>
          <w:vertAlign w:val="baseline"/>
        </w:rPr>
        <w:footnoteRef/>
      </w:r>
      <w:r w:rsidRPr="0036152B">
        <w:rPr>
          <w:rFonts w:ascii="Traditional Arabic" w:hAnsi="Traditional Arabic"/>
          <w:sz w:val="32"/>
          <w:szCs w:val="32"/>
          <w:rtl/>
        </w:rPr>
        <w:t>) انظر: الكشف والبيان (6/140), النكت والعيون (3/279).</w:t>
      </w:r>
    </w:p>
  </w:footnote>
  <w:footnote w:id="800">
    <w:p w:rsidR="003F128F" w:rsidRPr="00E91A30" w:rsidRDefault="003F128F" w:rsidP="00911ED4">
      <w:pPr>
        <w:pStyle w:val="af3"/>
        <w:rPr>
          <w:rFonts w:ascii="Tahoma" w:hAnsi="Tahoma"/>
        </w:rPr>
      </w:pPr>
      <w:r w:rsidRPr="0036152B">
        <w:rPr>
          <w:rFonts w:ascii="Traditional Arabic" w:hAnsi="Traditional Arabic"/>
          <w:sz w:val="32"/>
          <w:szCs w:val="32"/>
          <w:rtl/>
        </w:rPr>
        <w:t>(</w:t>
      </w:r>
      <w:r w:rsidRPr="0036152B">
        <w:rPr>
          <w:rStyle w:val="ae"/>
          <w:rFonts w:ascii="Traditional Arabic" w:hAnsi="Traditional Arabic"/>
          <w:sz w:val="32"/>
          <w:szCs w:val="32"/>
          <w:vertAlign w:val="baseline"/>
        </w:rPr>
        <w:footnoteRef/>
      </w:r>
      <w:r w:rsidRPr="0036152B">
        <w:rPr>
          <w:rFonts w:ascii="Traditional Arabic" w:hAnsi="Traditional Arabic"/>
          <w:sz w:val="32"/>
          <w:szCs w:val="32"/>
          <w:rtl/>
        </w:rPr>
        <w:t>) انظر: معاني القرآن (2/133).</w:t>
      </w:r>
    </w:p>
  </w:footnote>
  <w:footnote w:id="801">
    <w:p w:rsidR="003F128F" w:rsidRPr="0036152B" w:rsidRDefault="003F128F" w:rsidP="00911ED4">
      <w:pPr>
        <w:pStyle w:val="af3"/>
        <w:rPr>
          <w:rFonts w:ascii="Traditional Arabic" w:hAnsi="Traditional Arabic"/>
          <w:sz w:val="32"/>
          <w:szCs w:val="32"/>
        </w:rPr>
      </w:pPr>
      <w:r w:rsidRPr="0036152B">
        <w:rPr>
          <w:rFonts w:ascii="Traditional Arabic" w:hAnsi="Traditional Arabic"/>
          <w:sz w:val="32"/>
          <w:szCs w:val="32"/>
          <w:rtl/>
        </w:rPr>
        <w:t>(</w:t>
      </w:r>
      <w:r w:rsidRPr="0036152B">
        <w:rPr>
          <w:rStyle w:val="ae"/>
          <w:rFonts w:ascii="Traditional Arabic" w:hAnsi="Traditional Arabic"/>
          <w:sz w:val="32"/>
          <w:szCs w:val="32"/>
          <w:vertAlign w:val="baseline"/>
        </w:rPr>
        <w:footnoteRef/>
      </w:r>
      <w:r w:rsidRPr="0036152B">
        <w:rPr>
          <w:rFonts w:ascii="Traditional Arabic" w:hAnsi="Traditional Arabic"/>
          <w:sz w:val="32"/>
          <w:szCs w:val="32"/>
          <w:rtl/>
        </w:rPr>
        <w:t>) انظر: تفسير الطبري (17/574), الكشف والبيان (6/140).</w:t>
      </w:r>
    </w:p>
  </w:footnote>
  <w:footnote w:id="802">
    <w:p w:rsidR="003F128F" w:rsidRPr="0036152B" w:rsidRDefault="003F128F" w:rsidP="00911ED4">
      <w:pPr>
        <w:pStyle w:val="af3"/>
        <w:rPr>
          <w:rFonts w:ascii="Traditional Arabic" w:hAnsi="Traditional Arabic"/>
          <w:color w:val="auto"/>
          <w:sz w:val="32"/>
          <w:szCs w:val="32"/>
        </w:rPr>
      </w:pPr>
      <w:r w:rsidRPr="0036152B">
        <w:rPr>
          <w:rFonts w:ascii="Traditional Arabic" w:hAnsi="Traditional Arabic"/>
          <w:color w:val="auto"/>
          <w:sz w:val="32"/>
          <w:szCs w:val="32"/>
          <w:rtl/>
        </w:rPr>
        <w:t>(</w:t>
      </w:r>
      <w:r w:rsidRPr="0036152B">
        <w:rPr>
          <w:rStyle w:val="ae"/>
          <w:rFonts w:ascii="Traditional Arabic" w:hAnsi="Traditional Arabic"/>
          <w:color w:val="auto"/>
          <w:sz w:val="32"/>
          <w:szCs w:val="32"/>
          <w:vertAlign w:val="baseline"/>
        </w:rPr>
        <w:footnoteRef/>
      </w:r>
      <w:r w:rsidRPr="0036152B">
        <w:rPr>
          <w:rFonts w:ascii="Traditional Arabic" w:hAnsi="Traditional Arabic"/>
          <w:color w:val="auto"/>
          <w:sz w:val="32"/>
          <w:szCs w:val="32"/>
          <w:rtl/>
        </w:rPr>
        <w:t xml:space="preserve">) انظر: زاد المسير (1/5).  </w:t>
      </w:r>
    </w:p>
  </w:footnote>
  <w:footnote w:id="803">
    <w:p w:rsidR="003F128F" w:rsidRPr="0036152B" w:rsidRDefault="003F128F" w:rsidP="00911ED4">
      <w:pPr>
        <w:pStyle w:val="af3"/>
        <w:rPr>
          <w:rFonts w:ascii="Traditional Arabic" w:hAnsi="Traditional Arabic"/>
          <w:color w:val="auto"/>
          <w:sz w:val="32"/>
          <w:szCs w:val="32"/>
        </w:rPr>
      </w:pPr>
      <w:r w:rsidRPr="0036152B">
        <w:rPr>
          <w:rFonts w:ascii="Traditional Arabic" w:hAnsi="Traditional Arabic"/>
          <w:color w:val="auto"/>
          <w:sz w:val="32"/>
          <w:szCs w:val="32"/>
          <w:rtl/>
        </w:rPr>
        <w:t>(</w:t>
      </w:r>
      <w:r w:rsidRPr="0036152B">
        <w:rPr>
          <w:rStyle w:val="ae"/>
          <w:rFonts w:ascii="Traditional Arabic" w:hAnsi="Traditional Arabic"/>
          <w:color w:val="auto"/>
          <w:sz w:val="32"/>
          <w:szCs w:val="32"/>
          <w:vertAlign w:val="baseline"/>
        </w:rPr>
        <w:footnoteRef/>
      </w:r>
      <w:r w:rsidRPr="0036152B">
        <w:rPr>
          <w:rFonts w:ascii="Traditional Arabic" w:hAnsi="Traditional Arabic"/>
          <w:color w:val="auto"/>
          <w:sz w:val="32"/>
          <w:szCs w:val="32"/>
          <w:rtl/>
        </w:rPr>
        <w:t xml:space="preserve">) </w:t>
      </w:r>
      <w:r w:rsidRPr="0036152B">
        <w:rPr>
          <w:rFonts w:ascii="Traditional Arabic" w:eastAsia="Calibri" w:hAnsi="Traditional Arabic"/>
          <w:color w:val="auto"/>
          <w:sz w:val="32"/>
          <w:szCs w:val="32"/>
          <w:rtl/>
          <w:lang w:eastAsia="en-US"/>
        </w:rPr>
        <w:t xml:space="preserve">هو </w:t>
      </w:r>
      <w:r>
        <w:rPr>
          <w:rFonts w:ascii="Traditional Arabic" w:eastAsia="Calibri" w:hAnsi="Traditional Arabic"/>
          <w:color w:val="auto"/>
          <w:sz w:val="32"/>
          <w:szCs w:val="32"/>
          <w:rtl/>
          <w:lang w:eastAsia="en-US"/>
        </w:rPr>
        <w:t>الإمام</w:t>
      </w:r>
      <w:r w:rsidRPr="0036152B">
        <w:rPr>
          <w:rFonts w:ascii="Traditional Arabic" w:eastAsia="Calibri" w:hAnsi="Traditional Arabic"/>
          <w:color w:val="auto"/>
          <w:sz w:val="32"/>
          <w:szCs w:val="32"/>
          <w:rtl/>
          <w:lang w:eastAsia="en-US"/>
        </w:rPr>
        <w:t xml:space="preserve"> المقرئ أبو سعد أبان بن تغلب بن رباح الربعي،</w:t>
      </w:r>
      <w:r w:rsidRPr="0036152B">
        <w:rPr>
          <w:rFonts w:ascii="Traditional Arabic" w:hAnsi="Traditional Arabic"/>
          <w:color w:val="auto"/>
          <w:sz w:val="32"/>
          <w:szCs w:val="32"/>
          <w:rtl/>
          <w:lang w:eastAsia="en-US"/>
        </w:rPr>
        <w:t xml:space="preserve"> </w:t>
      </w:r>
      <w:r w:rsidRPr="0036152B">
        <w:rPr>
          <w:rFonts w:ascii="Traditional Arabic" w:eastAsia="Calibri" w:hAnsi="Traditional Arabic"/>
          <w:color w:val="auto"/>
          <w:sz w:val="32"/>
          <w:szCs w:val="32"/>
          <w:rtl/>
          <w:lang w:eastAsia="en-US"/>
        </w:rPr>
        <w:t>الكوفي النحوي الجليل، قرأ على عاصم وغيره, شيعيٌّ مذموم المذهب, (ت141ه). انظر: تهذيب الكمال (2/7), غاية النهاية (1/4).</w:t>
      </w:r>
    </w:p>
  </w:footnote>
  <w:footnote w:id="804">
    <w:p w:rsidR="003F128F" w:rsidRPr="0036152B" w:rsidRDefault="003F128F" w:rsidP="00AE1D9F">
      <w:pPr>
        <w:pStyle w:val="af3"/>
        <w:rPr>
          <w:rFonts w:ascii="Traditional Arabic" w:hAnsi="Traditional Arabic"/>
          <w:color w:val="auto"/>
          <w:sz w:val="32"/>
          <w:szCs w:val="32"/>
        </w:rPr>
      </w:pPr>
      <w:r w:rsidRPr="0036152B">
        <w:rPr>
          <w:rFonts w:ascii="Traditional Arabic" w:hAnsi="Traditional Arabic"/>
          <w:color w:val="auto"/>
          <w:sz w:val="32"/>
          <w:szCs w:val="32"/>
          <w:rtl/>
        </w:rPr>
        <w:t>(</w:t>
      </w:r>
      <w:r w:rsidRPr="0036152B">
        <w:rPr>
          <w:rStyle w:val="ae"/>
          <w:rFonts w:ascii="Traditional Arabic" w:hAnsi="Traditional Arabic"/>
          <w:color w:val="auto"/>
          <w:sz w:val="32"/>
          <w:szCs w:val="32"/>
          <w:vertAlign w:val="baseline"/>
        </w:rPr>
        <w:footnoteRef/>
      </w:r>
      <w:r w:rsidRPr="0036152B">
        <w:rPr>
          <w:rFonts w:ascii="Traditional Arabic" w:hAnsi="Traditional Arabic"/>
          <w:color w:val="auto"/>
          <w:sz w:val="32"/>
          <w:szCs w:val="32"/>
          <w:rtl/>
        </w:rPr>
        <w:t>)</w:t>
      </w:r>
      <w:r w:rsidRPr="0036152B">
        <w:rPr>
          <w:rFonts w:ascii="Traditional Arabic" w:hAnsi="Traditional Arabic"/>
          <w:sz w:val="32"/>
          <w:szCs w:val="32"/>
          <w:rtl/>
        </w:rPr>
        <w:t xml:space="preserve"> انظر: مختصر الشواذ (ص81), الكامل في القراءات العشر (ص589).</w:t>
      </w:r>
    </w:p>
  </w:footnote>
  <w:footnote w:id="805">
    <w:p w:rsidR="003F128F" w:rsidRPr="00634C30" w:rsidRDefault="003F128F" w:rsidP="00FD2023">
      <w:pPr>
        <w:pStyle w:val="af3"/>
        <w:rPr>
          <w:rFonts w:ascii="Traditional Arabic" w:hAnsi="Traditional Arabic"/>
          <w:sz w:val="32"/>
          <w:szCs w:val="32"/>
        </w:rPr>
      </w:pPr>
      <w:r w:rsidRPr="00634C30">
        <w:rPr>
          <w:rFonts w:ascii="Traditional Arabic" w:hAnsi="Traditional Arabic"/>
          <w:sz w:val="32"/>
          <w:szCs w:val="32"/>
          <w:rtl/>
        </w:rPr>
        <w:t>(</w:t>
      </w:r>
      <w:r w:rsidRPr="00634C30">
        <w:rPr>
          <w:rStyle w:val="ae"/>
          <w:rFonts w:ascii="Traditional Arabic" w:hAnsi="Traditional Arabic"/>
          <w:sz w:val="32"/>
          <w:szCs w:val="32"/>
          <w:vertAlign w:val="baseline"/>
        </w:rPr>
        <w:footnoteRef/>
      </w:r>
      <w:r>
        <w:rPr>
          <w:rFonts w:ascii="Traditional Arabic" w:hAnsi="Traditional Arabic"/>
          <w:sz w:val="32"/>
          <w:szCs w:val="32"/>
          <w:rtl/>
        </w:rPr>
        <w:t xml:space="preserve">) </w:t>
      </w:r>
      <w:r>
        <w:rPr>
          <w:rFonts w:ascii="Traditional Arabic" w:hAnsi="Traditional Arabic" w:hint="cs"/>
          <w:sz w:val="32"/>
          <w:szCs w:val="32"/>
          <w:rtl/>
        </w:rPr>
        <w:t>في (ك): [لكفار أهل مكة]</w:t>
      </w:r>
      <w:r w:rsidRPr="00634C30">
        <w:rPr>
          <w:rFonts w:ascii="Traditional Arabic" w:hAnsi="Traditional Arabic"/>
          <w:sz w:val="32"/>
          <w:szCs w:val="32"/>
          <w:rtl/>
        </w:rPr>
        <w:t xml:space="preserve">. </w:t>
      </w:r>
    </w:p>
  </w:footnote>
  <w:footnote w:id="806">
    <w:p w:rsidR="003F128F" w:rsidRPr="00634C30" w:rsidRDefault="003F128F" w:rsidP="00911ED4">
      <w:pPr>
        <w:pStyle w:val="af3"/>
        <w:rPr>
          <w:rFonts w:ascii="Traditional Arabic" w:hAnsi="Traditional Arabic"/>
          <w:sz w:val="32"/>
          <w:szCs w:val="32"/>
        </w:rPr>
      </w:pPr>
      <w:r w:rsidRPr="00634C30">
        <w:rPr>
          <w:rFonts w:ascii="Traditional Arabic" w:hAnsi="Traditional Arabic"/>
          <w:color w:val="auto"/>
          <w:sz w:val="32"/>
          <w:szCs w:val="32"/>
          <w:rtl/>
        </w:rPr>
        <w:t>(</w:t>
      </w:r>
      <w:r w:rsidRPr="00634C30">
        <w:rPr>
          <w:rStyle w:val="ae"/>
          <w:rFonts w:ascii="Traditional Arabic" w:hAnsi="Traditional Arabic"/>
          <w:color w:val="auto"/>
          <w:sz w:val="32"/>
          <w:szCs w:val="32"/>
          <w:vertAlign w:val="baseline"/>
        </w:rPr>
        <w:footnoteRef/>
      </w:r>
      <w:r w:rsidRPr="00634C30">
        <w:rPr>
          <w:rFonts w:ascii="Traditional Arabic" w:hAnsi="Traditional Arabic"/>
          <w:color w:val="auto"/>
          <w:sz w:val="32"/>
          <w:szCs w:val="32"/>
          <w:rtl/>
        </w:rPr>
        <w:t xml:space="preserve">) </w:t>
      </w:r>
      <w:r w:rsidRPr="00634C30">
        <w:rPr>
          <w:rFonts w:ascii="Traditional Arabic" w:hAnsi="Traditional Arabic"/>
          <w:sz w:val="32"/>
          <w:szCs w:val="32"/>
          <w:rtl/>
        </w:rPr>
        <w:t>انظر: تفسير مقاتل (2/555), التفسير الوسيط (3/132).</w:t>
      </w:r>
      <w:r w:rsidRPr="00634C30">
        <w:rPr>
          <w:rFonts w:ascii="Traditional Arabic" w:hAnsi="Traditional Arabic"/>
          <w:color w:val="auto"/>
          <w:sz w:val="32"/>
          <w:szCs w:val="32"/>
          <w:rtl/>
        </w:rPr>
        <w:t xml:space="preserve"> </w:t>
      </w:r>
    </w:p>
  </w:footnote>
  <w:footnote w:id="807">
    <w:p w:rsidR="003F128F" w:rsidRPr="00634C30" w:rsidRDefault="003F128F" w:rsidP="00911ED4">
      <w:pPr>
        <w:pStyle w:val="af3"/>
        <w:rPr>
          <w:rFonts w:ascii="Traditional Arabic" w:hAnsi="Traditional Arabic"/>
          <w:sz w:val="32"/>
          <w:szCs w:val="32"/>
        </w:rPr>
      </w:pPr>
      <w:r w:rsidRPr="00634C30">
        <w:rPr>
          <w:rFonts w:ascii="Traditional Arabic" w:hAnsi="Traditional Arabic"/>
          <w:sz w:val="32"/>
          <w:szCs w:val="32"/>
          <w:rtl/>
        </w:rPr>
        <w:t>(</w:t>
      </w:r>
      <w:r w:rsidRPr="00634C30">
        <w:rPr>
          <w:rStyle w:val="ae"/>
          <w:rFonts w:ascii="Traditional Arabic" w:hAnsi="Traditional Arabic"/>
          <w:sz w:val="32"/>
          <w:szCs w:val="32"/>
          <w:vertAlign w:val="baseline"/>
        </w:rPr>
        <w:footnoteRef/>
      </w:r>
      <w:r w:rsidRPr="00634C30">
        <w:rPr>
          <w:rFonts w:ascii="Traditional Arabic" w:hAnsi="Traditional Arabic"/>
          <w:sz w:val="32"/>
          <w:szCs w:val="32"/>
          <w:rtl/>
        </w:rPr>
        <w:t>) تفسير الطبري (17/578), الكشف والبيان (6/140).</w:t>
      </w:r>
    </w:p>
  </w:footnote>
  <w:footnote w:id="808">
    <w:p w:rsidR="003F128F" w:rsidRPr="00634C30" w:rsidRDefault="003F128F" w:rsidP="00911ED4">
      <w:pPr>
        <w:pStyle w:val="af3"/>
        <w:rPr>
          <w:rFonts w:ascii="Traditional Arabic" w:hAnsi="Traditional Arabic"/>
          <w:sz w:val="32"/>
          <w:szCs w:val="32"/>
        </w:rPr>
      </w:pPr>
      <w:r w:rsidRPr="00634C30">
        <w:rPr>
          <w:rFonts w:ascii="Traditional Arabic" w:hAnsi="Traditional Arabic"/>
          <w:sz w:val="32"/>
          <w:szCs w:val="32"/>
          <w:rtl/>
        </w:rPr>
        <w:t>(</w:t>
      </w:r>
      <w:r w:rsidRPr="00634C30">
        <w:rPr>
          <w:rStyle w:val="ae"/>
          <w:rFonts w:ascii="Traditional Arabic" w:hAnsi="Traditional Arabic"/>
          <w:sz w:val="32"/>
          <w:szCs w:val="32"/>
          <w:vertAlign w:val="baseline"/>
        </w:rPr>
        <w:footnoteRef/>
      </w:r>
      <w:r w:rsidRPr="00634C30">
        <w:rPr>
          <w:rFonts w:ascii="Traditional Arabic" w:hAnsi="Traditional Arabic"/>
          <w:sz w:val="32"/>
          <w:szCs w:val="32"/>
          <w:rtl/>
        </w:rPr>
        <w:t xml:space="preserve">) انظر: تفسير الطبري (17/578), الهداية (6/4308).  </w:t>
      </w:r>
    </w:p>
  </w:footnote>
  <w:footnote w:id="809">
    <w:p w:rsidR="003F128F" w:rsidRPr="00634C30" w:rsidRDefault="003F128F" w:rsidP="00AE1D9F">
      <w:pPr>
        <w:pStyle w:val="af3"/>
        <w:rPr>
          <w:rFonts w:ascii="Traditional Arabic" w:hAnsi="Traditional Arabic"/>
          <w:color w:val="auto"/>
          <w:sz w:val="32"/>
          <w:szCs w:val="32"/>
        </w:rPr>
      </w:pPr>
      <w:r w:rsidRPr="00634C30">
        <w:rPr>
          <w:rFonts w:ascii="Traditional Arabic" w:hAnsi="Traditional Arabic"/>
          <w:color w:val="auto"/>
          <w:sz w:val="32"/>
          <w:szCs w:val="32"/>
          <w:rtl/>
        </w:rPr>
        <w:t>(</w:t>
      </w:r>
      <w:r w:rsidRPr="00634C30">
        <w:rPr>
          <w:rStyle w:val="ae"/>
          <w:rFonts w:ascii="Traditional Arabic" w:hAnsi="Traditional Arabic"/>
          <w:color w:val="auto"/>
          <w:sz w:val="32"/>
          <w:szCs w:val="32"/>
          <w:vertAlign w:val="baseline"/>
        </w:rPr>
        <w:footnoteRef/>
      </w:r>
      <w:r w:rsidRPr="00634C30">
        <w:rPr>
          <w:rFonts w:ascii="Traditional Arabic" w:hAnsi="Traditional Arabic"/>
          <w:color w:val="auto"/>
          <w:sz w:val="32"/>
          <w:szCs w:val="32"/>
          <w:rtl/>
        </w:rPr>
        <w:t xml:space="preserve">) </w:t>
      </w:r>
      <w:r w:rsidRPr="00634C30">
        <w:rPr>
          <w:rFonts w:ascii="Traditional Arabic" w:eastAsia="Calibri" w:hAnsi="Traditional Arabic"/>
          <w:color w:val="auto"/>
          <w:sz w:val="32"/>
          <w:szCs w:val="32"/>
          <w:rtl/>
          <w:lang w:eastAsia="en-US"/>
        </w:rPr>
        <w:t xml:space="preserve">هو </w:t>
      </w:r>
      <w:r w:rsidRPr="00634C30">
        <w:rPr>
          <w:rFonts w:ascii="Traditional Arabic" w:eastAsia="Calibri" w:hAnsi="Traditional Arabic"/>
          <w:color w:val="auto"/>
          <w:spacing w:val="-8"/>
          <w:sz w:val="32"/>
          <w:szCs w:val="32"/>
          <w:rtl/>
          <w:lang w:eastAsia="en-US"/>
        </w:rPr>
        <w:t xml:space="preserve">صاحب رسول الله </w:t>
      </w:r>
      <w:r w:rsidRPr="00634C30">
        <w:rPr>
          <w:rFonts w:ascii="Traditional Arabic" w:eastAsia="Calibri" w:hAnsi="Traditional Arabic"/>
          <w:color w:val="auto"/>
          <w:spacing w:val="-8"/>
          <w:sz w:val="32"/>
          <w:szCs w:val="32"/>
          <w:lang w:eastAsia="en-US"/>
        </w:rPr>
        <w:sym w:font="AGA Arabesque" w:char="0072"/>
      </w:r>
      <w:r w:rsidRPr="00634C30">
        <w:rPr>
          <w:rFonts w:ascii="Traditional Arabic" w:eastAsia="Calibri" w:hAnsi="Traditional Arabic"/>
          <w:color w:val="auto"/>
          <w:sz w:val="32"/>
          <w:szCs w:val="32"/>
          <w:rtl/>
          <w:lang w:eastAsia="en-US"/>
        </w:rPr>
        <w:t xml:space="preserve">، جندب بن جنادة بن قيس الغفاريُّ </w:t>
      </w:r>
      <w:r w:rsidRPr="00634C30">
        <w:rPr>
          <w:rFonts w:ascii="Traditional Arabic" w:eastAsia="Calibri" w:hAnsi="Traditional Arabic"/>
          <w:color w:val="auto"/>
          <w:sz w:val="32"/>
          <w:szCs w:val="32"/>
          <w:lang w:eastAsia="en-US"/>
        </w:rPr>
        <w:sym w:font="AGA Arabesque" w:char="F074"/>
      </w:r>
      <w:r w:rsidRPr="00634C30">
        <w:rPr>
          <w:rFonts w:ascii="Traditional Arabic" w:eastAsia="Calibri" w:hAnsi="Traditional Arabic"/>
          <w:color w:val="auto"/>
          <w:sz w:val="32"/>
          <w:szCs w:val="32"/>
          <w:rtl/>
          <w:lang w:eastAsia="en-US"/>
        </w:rPr>
        <w:t xml:space="preserve">، من كبار الصحابة، قديم الإسلام، يقال: أسلم بعد أربعة فكان خامساً ثم انصرف إلى بلاد قومه فأقام بها حتى قدم النبي </w:t>
      </w:r>
      <w:r w:rsidRPr="00634C30">
        <w:rPr>
          <w:rFonts w:ascii="Traditional Arabic" w:eastAsia="Calibri" w:hAnsi="Traditional Arabic"/>
          <w:color w:val="auto"/>
          <w:sz w:val="32"/>
          <w:szCs w:val="32"/>
          <w:lang w:eastAsia="en-US"/>
        </w:rPr>
        <w:sym w:font="AGA Arabesque" w:char="F072"/>
      </w:r>
      <w:r w:rsidRPr="00634C30">
        <w:rPr>
          <w:rFonts w:ascii="Traditional Arabic" w:eastAsia="Calibri" w:hAnsi="Traditional Arabic"/>
          <w:color w:val="auto"/>
          <w:sz w:val="32"/>
          <w:szCs w:val="32"/>
          <w:rtl/>
          <w:lang w:eastAsia="en-US"/>
        </w:rPr>
        <w:t xml:space="preserve"> المدينة، (ت32ه). انظر: طبقات ابن سعد (4/165), الاستيعاب (1/252)، الإصابة (7/105).</w:t>
      </w:r>
    </w:p>
  </w:footnote>
  <w:footnote w:id="810">
    <w:p w:rsidR="003F128F" w:rsidRPr="00634C30" w:rsidRDefault="003F128F" w:rsidP="00911ED4">
      <w:pPr>
        <w:pStyle w:val="af3"/>
        <w:rPr>
          <w:rFonts w:ascii="Traditional Arabic" w:hAnsi="Traditional Arabic"/>
          <w:sz w:val="32"/>
          <w:szCs w:val="32"/>
        </w:rPr>
      </w:pPr>
      <w:r w:rsidRPr="00634C30">
        <w:rPr>
          <w:rFonts w:ascii="Traditional Arabic" w:hAnsi="Traditional Arabic"/>
          <w:color w:val="auto"/>
          <w:sz w:val="32"/>
          <w:szCs w:val="32"/>
          <w:rtl/>
        </w:rPr>
        <w:t>(</w:t>
      </w:r>
      <w:r w:rsidRPr="00634C30">
        <w:rPr>
          <w:rStyle w:val="ae"/>
          <w:rFonts w:ascii="Traditional Arabic" w:hAnsi="Traditional Arabic"/>
          <w:color w:val="auto"/>
          <w:sz w:val="32"/>
          <w:szCs w:val="32"/>
          <w:vertAlign w:val="baseline"/>
        </w:rPr>
        <w:footnoteRef/>
      </w:r>
      <w:r w:rsidRPr="00634C30">
        <w:rPr>
          <w:rFonts w:ascii="Traditional Arabic" w:hAnsi="Traditional Arabic"/>
          <w:color w:val="auto"/>
          <w:sz w:val="32"/>
          <w:szCs w:val="32"/>
          <w:rtl/>
        </w:rPr>
        <w:t xml:space="preserve">) هو ورقة بن نوفل بن أسد ابن عبد العزى بن قصي بن كلاب القرشي الأسدي, ابن عم خديجة أم المؤمنين رضي الله عنها,كان ممن رغب عن عبادة الأوثان، وسأل عن الدين الحنيف, وقدم البلقاء مع زيد بن عمرو بن نفيل, قيل: إنه أسلم والصحيح أن ورقة توفي أول ما تبدى جبريل للنبي </w:t>
      </w:r>
      <w:r w:rsidRPr="00634C30">
        <w:rPr>
          <w:rFonts w:ascii="Traditional Arabic" w:hAnsi="Traditional Arabic"/>
          <w:color w:val="auto"/>
          <w:sz w:val="32"/>
          <w:szCs w:val="32"/>
        </w:rPr>
        <w:sym w:font="AGA Arabesque" w:char="F072"/>
      </w:r>
      <w:r w:rsidRPr="00634C30">
        <w:rPr>
          <w:rFonts w:ascii="Traditional Arabic" w:hAnsi="Traditional Arabic"/>
          <w:color w:val="auto"/>
          <w:sz w:val="32"/>
          <w:szCs w:val="32"/>
          <w:rtl/>
          <w:lang w:eastAsia="en-US"/>
        </w:rPr>
        <w:t>.</w:t>
      </w:r>
      <w:r w:rsidRPr="00634C30">
        <w:rPr>
          <w:rFonts w:ascii="Traditional Arabic" w:eastAsia="Calibri" w:hAnsi="Traditional Arabic"/>
          <w:color w:val="auto"/>
          <w:spacing w:val="4"/>
          <w:sz w:val="32"/>
          <w:szCs w:val="32"/>
          <w:rtl/>
          <w:lang w:val="x-none" w:eastAsia="x-none"/>
        </w:rPr>
        <w:t xml:space="preserve"> </w:t>
      </w:r>
      <w:r w:rsidRPr="00634C30">
        <w:rPr>
          <w:rFonts w:ascii="Traditional Arabic" w:hAnsi="Traditional Arabic"/>
          <w:color w:val="auto"/>
          <w:sz w:val="32"/>
          <w:szCs w:val="32"/>
          <w:rtl/>
        </w:rPr>
        <w:t>انظر: الأعلام للزركلي (8/115).</w:t>
      </w:r>
    </w:p>
  </w:footnote>
  <w:footnote w:id="811">
    <w:p w:rsidR="003F128F" w:rsidRPr="00634C30" w:rsidRDefault="003F128F" w:rsidP="00FD2023">
      <w:pPr>
        <w:pStyle w:val="af3"/>
        <w:ind w:left="423" w:hanging="425"/>
        <w:rPr>
          <w:rFonts w:ascii="Traditional Arabic" w:hAnsi="Traditional Arabic"/>
          <w:color w:val="auto"/>
          <w:sz w:val="32"/>
          <w:szCs w:val="32"/>
        </w:rPr>
      </w:pPr>
      <w:r w:rsidRPr="00634C30">
        <w:rPr>
          <w:rFonts w:ascii="Traditional Arabic" w:hAnsi="Traditional Arabic"/>
          <w:color w:val="auto"/>
          <w:sz w:val="32"/>
          <w:szCs w:val="32"/>
          <w:rtl/>
        </w:rPr>
        <w:t>(</w:t>
      </w:r>
      <w:r w:rsidRPr="00634C30">
        <w:rPr>
          <w:rStyle w:val="ae"/>
          <w:rFonts w:ascii="Traditional Arabic" w:hAnsi="Traditional Arabic"/>
          <w:color w:val="auto"/>
          <w:sz w:val="32"/>
          <w:szCs w:val="32"/>
          <w:vertAlign w:val="baseline"/>
        </w:rPr>
        <w:footnoteRef/>
      </w:r>
      <w:r w:rsidRPr="00634C30">
        <w:rPr>
          <w:rFonts w:ascii="Traditional Arabic" w:hAnsi="Traditional Arabic"/>
          <w:color w:val="auto"/>
          <w:sz w:val="32"/>
          <w:szCs w:val="32"/>
          <w:rtl/>
        </w:rPr>
        <w:t xml:space="preserve">) </w:t>
      </w:r>
      <w:r w:rsidRPr="00634C30">
        <w:rPr>
          <w:rFonts w:ascii="Traditional Arabic" w:eastAsia="Calibri" w:hAnsi="Traditional Arabic"/>
          <w:color w:val="auto"/>
          <w:spacing w:val="4"/>
          <w:sz w:val="32"/>
          <w:szCs w:val="32"/>
          <w:rtl/>
          <w:lang w:val="x-none" w:eastAsia="x-none"/>
        </w:rPr>
        <w:t>هو زيد بن عمرو بن نفيل بن</w:t>
      </w:r>
      <w:r>
        <w:rPr>
          <w:rFonts w:ascii="Traditional Arabic" w:eastAsia="Calibri" w:hAnsi="Traditional Arabic"/>
          <w:color w:val="auto"/>
          <w:spacing w:val="4"/>
          <w:sz w:val="32"/>
          <w:szCs w:val="32"/>
          <w:rtl/>
          <w:lang w:val="x-none" w:eastAsia="x-none"/>
        </w:rPr>
        <w:t xml:space="preserve"> عبد العزَّى القرشيُّ العدويُّ،</w:t>
      </w:r>
      <w:r>
        <w:rPr>
          <w:rFonts w:ascii="Traditional Arabic" w:eastAsia="Calibri" w:hAnsi="Traditional Arabic" w:hint="cs"/>
          <w:color w:val="auto"/>
          <w:spacing w:val="4"/>
          <w:sz w:val="32"/>
          <w:szCs w:val="32"/>
          <w:rtl/>
          <w:lang w:val="x-none" w:eastAsia="x-none"/>
        </w:rPr>
        <w:t xml:space="preserve"> </w:t>
      </w:r>
      <w:r w:rsidRPr="00634C30">
        <w:rPr>
          <w:rFonts w:ascii="Traditional Arabic" w:eastAsia="Calibri" w:hAnsi="Traditional Arabic"/>
          <w:color w:val="auto"/>
          <w:spacing w:val="4"/>
          <w:sz w:val="32"/>
          <w:szCs w:val="32"/>
          <w:rtl/>
          <w:lang w:val="x-none" w:eastAsia="x-none"/>
        </w:rPr>
        <w:t>كان يكره عبادة الأوثان, ولا يأكل مما ذبح عليها, وكان عدوًّا لوأد البنات، لا يعلم ببنت يراد دفنها حيةً إلا قصد أباها وكفاه مؤنتها، فيربيها حتى إذا ترعرعت عرضها على أبيها فإن لم يأخذها بحث لها عن كفؤ فزوجها به، لم يدرك الإسلام، ومات على دين إبراهيم</w:t>
      </w:r>
      <w:r w:rsidRPr="00634C30">
        <w:rPr>
          <w:rFonts w:ascii="Traditional Arabic" w:eastAsia="Calibri" w:hAnsi="Traditional Arabic"/>
          <w:color w:val="auto"/>
          <w:spacing w:val="4"/>
          <w:sz w:val="32"/>
          <w:szCs w:val="32"/>
          <w:lang w:val="x-none" w:eastAsia="x-none"/>
        </w:rPr>
        <w:sym w:font="AGA Arabesque" w:char="F072"/>
      </w:r>
      <w:r w:rsidRPr="00634C30">
        <w:rPr>
          <w:rFonts w:ascii="Traditional Arabic" w:eastAsia="Calibri" w:hAnsi="Traditional Arabic"/>
          <w:color w:val="auto"/>
          <w:spacing w:val="4"/>
          <w:sz w:val="32"/>
          <w:szCs w:val="32"/>
          <w:rtl/>
          <w:lang w:val="x-none" w:eastAsia="x-none"/>
        </w:rPr>
        <w:t>. انظر: الأعلام للزركلي (3/60).</w:t>
      </w:r>
    </w:p>
  </w:footnote>
  <w:footnote w:id="812">
    <w:p w:rsidR="003F128F" w:rsidRPr="00634C30" w:rsidRDefault="003F128F" w:rsidP="00911ED4">
      <w:pPr>
        <w:pStyle w:val="af3"/>
        <w:rPr>
          <w:rFonts w:ascii="Traditional Arabic" w:hAnsi="Traditional Arabic"/>
          <w:color w:val="auto"/>
          <w:sz w:val="32"/>
          <w:szCs w:val="32"/>
        </w:rPr>
      </w:pPr>
      <w:r w:rsidRPr="00634C30">
        <w:rPr>
          <w:rFonts w:ascii="Traditional Arabic" w:hAnsi="Traditional Arabic"/>
          <w:color w:val="auto"/>
          <w:sz w:val="32"/>
          <w:szCs w:val="32"/>
          <w:rtl/>
        </w:rPr>
        <w:t>(</w:t>
      </w:r>
      <w:r w:rsidRPr="00634C30">
        <w:rPr>
          <w:rStyle w:val="ae"/>
          <w:rFonts w:ascii="Traditional Arabic" w:hAnsi="Traditional Arabic"/>
          <w:color w:val="auto"/>
          <w:sz w:val="32"/>
          <w:szCs w:val="32"/>
          <w:vertAlign w:val="baseline"/>
        </w:rPr>
        <w:footnoteRef/>
      </w:r>
      <w:r w:rsidRPr="00634C30">
        <w:rPr>
          <w:rFonts w:ascii="Traditional Arabic" w:hAnsi="Traditional Arabic"/>
          <w:color w:val="auto"/>
          <w:sz w:val="32"/>
          <w:szCs w:val="32"/>
          <w:rtl/>
        </w:rPr>
        <w:t xml:space="preserve">) انظر: </w:t>
      </w:r>
      <w:r w:rsidRPr="00634C30">
        <w:rPr>
          <w:rFonts w:ascii="Traditional Arabic" w:hAnsi="Traditional Arabic"/>
          <w:sz w:val="32"/>
          <w:szCs w:val="32"/>
          <w:rtl/>
        </w:rPr>
        <w:t>التفسير الوسيط (3/132).</w:t>
      </w:r>
    </w:p>
  </w:footnote>
  <w:footnote w:id="813">
    <w:p w:rsidR="003F128F" w:rsidRPr="00284B9A" w:rsidRDefault="003F128F" w:rsidP="00911ED4">
      <w:pPr>
        <w:pStyle w:val="af3"/>
        <w:rPr>
          <w:rFonts w:ascii="Traditional Arabic" w:hAnsi="Traditional Arabic"/>
          <w:color w:val="auto"/>
          <w:sz w:val="32"/>
          <w:szCs w:val="32"/>
        </w:rPr>
      </w:pPr>
      <w:r w:rsidRPr="00634C30">
        <w:rPr>
          <w:rFonts w:ascii="Traditional Arabic" w:hAnsi="Traditional Arabic"/>
          <w:color w:val="auto"/>
          <w:sz w:val="32"/>
          <w:szCs w:val="32"/>
          <w:rtl/>
        </w:rPr>
        <w:t>(</w:t>
      </w:r>
      <w:r w:rsidRPr="00634C30">
        <w:rPr>
          <w:rStyle w:val="ae"/>
          <w:rFonts w:ascii="Traditional Arabic" w:hAnsi="Traditional Arabic"/>
          <w:color w:val="auto"/>
          <w:sz w:val="32"/>
          <w:szCs w:val="32"/>
          <w:vertAlign w:val="baseline"/>
        </w:rPr>
        <w:footnoteRef/>
      </w:r>
      <w:r w:rsidRPr="00634C30">
        <w:rPr>
          <w:rFonts w:ascii="Traditional Arabic" w:hAnsi="Traditional Arabic"/>
          <w:color w:val="auto"/>
          <w:sz w:val="32"/>
          <w:szCs w:val="32"/>
          <w:rtl/>
        </w:rPr>
        <w:t xml:space="preserve">) </w:t>
      </w:r>
      <w:r w:rsidRPr="00634C30">
        <w:rPr>
          <w:rFonts w:ascii="Traditional Arabic" w:hAnsi="Traditional Arabic"/>
          <w:sz w:val="32"/>
          <w:szCs w:val="32"/>
          <w:rtl/>
        </w:rPr>
        <w:t>انظر: تفسير مقاتل (2/555), تفسير الطبري (17/578).</w:t>
      </w:r>
    </w:p>
  </w:footnote>
  <w:footnote w:id="814">
    <w:p w:rsidR="003F128F" w:rsidRPr="00284B9A" w:rsidRDefault="003F128F" w:rsidP="00911ED4">
      <w:pPr>
        <w:pStyle w:val="af3"/>
        <w:rPr>
          <w:rFonts w:ascii="Traditional Arabic" w:hAnsi="Traditional Arabic"/>
          <w:color w:val="auto"/>
          <w:sz w:val="32"/>
          <w:szCs w:val="32"/>
        </w:rPr>
      </w:pPr>
      <w:r w:rsidRPr="00284B9A">
        <w:rPr>
          <w:rFonts w:ascii="Traditional Arabic" w:hAnsi="Traditional Arabic"/>
          <w:color w:val="auto"/>
          <w:sz w:val="32"/>
          <w:szCs w:val="32"/>
          <w:rtl/>
        </w:rPr>
        <w:t>(</w:t>
      </w:r>
      <w:r w:rsidRPr="00284B9A">
        <w:rPr>
          <w:rStyle w:val="ae"/>
          <w:rFonts w:ascii="Traditional Arabic" w:hAnsi="Traditional Arabic"/>
          <w:color w:val="auto"/>
          <w:sz w:val="32"/>
          <w:szCs w:val="32"/>
          <w:vertAlign w:val="baseline"/>
        </w:rPr>
        <w:footnoteRef/>
      </w:r>
      <w:r w:rsidRPr="00284B9A">
        <w:rPr>
          <w:rFonts w:ascii="Traditional Arabic" w:hAnsi="Traditional Arabic"/>
          <w:color w:val="auto"/>
          <w:sz w:val="32"/>
          <w:szCs w:val="32"/>
          <w:rtl/>
        </w:rPr>
        <w:t xml:space="preserve">) </w:t>
      </w:r>
      <w:r w:rsidRPr="00284B9A">
        <w:rPr>
          <w:rFonts w:ascii="Traditional Arabic" w:hAnsi="Traditional Arabic"/>
          <w:sz w:val="32"/>
          <w:szCs w:val="32"/>
          <w:rtl/>
        </w:rPr>
        <w:t>انظر: تفسير الطبري (17/578),</w:t>
      </w:r>
      <w:r w:rsidRPr="00284B9A">
        <w:rPr>
          <w:rFonts w:ascii="Traditional Arabic" w:hAnsi="Traditional Arabic"/>
          <w:color w:val="auto"/>
          <w:sz w:val="32"/>
          <w:szCs w:val="32"/>
          <w:rtl/>
        </w:rPr>
        <w:t xml:space="preserve"> </w:t>
      </w:r>
      <w:r w:rsidRPr="00284B9A">
        <w:rPr>
          <w:rFonts w:ascii="Traditional Arabic" w:hAnsi="Traditional Arabic"/>
          <w:sz w:val="32"/>
          <w:szCs w:val="32"/>
          <w:rtl/>
        </w:rPr>
        <w:t>الهداية (6/4308).</w:t>
      </w:r>
    </w:p>
  </w:footnote>
  <w:footnote w:id="815">
    <w:p w:rsidR="003F128F" w:rsidRPr="001F2028" w:rsidRDefault="003F128F" w:rsidP="00911ED4">
      <w:pPr>
        <w:pStyle w:val="af3"/>
        <w:rPr>
          <w:rFonts w:ascii="Traditional Arabic" w:hAnsi="Traditional Arabic"/>
          <w:color w:val="auto"/>
          <w:sz w:val="32"/>
          <w:szCs w:val="32"/>
        </w:rPr>
      </w:pPr>
      <w:r w:rsidRPr="001F2028">
        <w:rPr>
          <w:rFonts w:ascii="Traditional Arabic" w:hAnsi="Traditional Arabic"/>
          <w:color w:val="auto"/>
          <w:sz w:val="32"/>
          <w:szCs w:val="32"/>
          <w:rtl/>
        </w:rPr>
        <w:t>(</w:t>
      </w:r>
      <w:r w:rsidRPr="001F2028">
        <w:rPr>
          <w:rStyle w:val="ae"/>
          <w:rFonts w:ascii="Traditional Arabic" w:hAnsi="Traditional Arabic"/>
          <w:color w:val="auto"/>
          <w:sz w:val="32"/>
          <w:szCs w:val="32"/>
          <w:vertAlign w:val="baseline"/>
        </w:rPr>
        <w:footnoteRef/>
      </w:r>
      <w:r w:rsidRPr="001F2028">
        <w:rPr>
          <w:rFonts w:ascii="Traditional Arabic" w:hAnsi="Traditional Arabic"/>
          <w:color w:val="auto"/>
          <w:sz w:val="32"/>
          <w:szCs w:val="32"/>
          <w:rtl/>
        </w:rPr>
        <w:t>)</w:t>
      </w:r>
      <w:r w:rsidRPr="001F2028">
        <w:rPr>
          <w:rFonts w:ascii="Traditional Arabic" w:hAnsi="Traditional Arabic"/>
          <w:sz w:val="32"/>
          <w:szCs w:val="32"/>
          <w:rtl/>
        </w:rPr>
        <w:t xml:space="preserve"> تفسير مقاتل (2/555), تفسير الطبري (17/577).</w:t>
      </w:r>
      <w:r w:rsidRPr="001F2028">
        <w:rPr>
          <w:rFonts w:ascii="Traditional Arabic" w:hAnsi="Traditional Arabic"/>
          <w:color w:val="auto"/>
          <w:sz w:val="32"/>
          <w:szCs w:val="32"/>
          <w:rtl/>
        </w:rPr>
        <w:t xml:space="preserve"> </w:t>
      </w:r>
    </w:p>
  </w:footnote>
  <w:footnote w:id="816">
    <w:p w:rsidR="003F128F" w:rsidRPr="001F2028" w:rsidRDefault="003F128F" w:rsidP="00911ED4">
      <w:pPr>
        <w:pStyle w:val="af3"/>
        <w:rPr>
          <w:rFonts w:ascii="Traditional Arabic" w:hAnsi="Traditional Arabic"/>
          <w:color w:val="auto"/>
          <w:sz w:val="32"/>
          <w:szCs w:val="32"/>
        </w:rPr>
      </w:pPr>
      <w:r w:rsidRPr="001F2028">
        <w:rPr>
          <w:rFonts w:ascii="Traditional Arabic" w:hAnsi="Traditional Arabic"/>
          <w:color w:val="auto"/>
          <w:sz w:val="32"/>
          <w:szCs w:val="32"/>
          <w:rtl/>
        </w:rPr>
        <w:t>(</w:t>
      </w:r>
      <w:r w:rsidRPr="001F2028">
        <w:rPr>
          <w:rStyle w:val="ae"/>
          <w:rFonts w:ascii="Traditional Arabic" w:hAnsi="Traditional Arabic"/>
          <w:color w:val="auto"/>
          <w:sz w:val="32"/>
          <w:szCs w:val="32"/>
          <w:vertAlign w:val="baseline"/>
        </w:rPr>
        <w:footnoteRef/>
      </w:r>
      <w:r w:rsidRPr="001F2028">
        <w:rPr>
          <w:rFonts w:ascii="Traditional Arabic" w:hAnsi="Traditional Arabic"/>
          <w:color w:val="auto"/>
          <w:sz w:val="32"/>
          <w:szCs w:val="32"/>
          <w:rtl/>
        </w:rPr>
        <w:t xml:space="preserve">) انظر: </w:t>
      </w:r>
      <w:r w:rsidRPr="001F2028">
        <w:rPr>
          <w:rFonts w:ascii="Traditional Arabic" w:hAnsi="Traditional Arabic"/>
          <w:sz w:val="32"/>
          <w:szCs w:val="32"/>
          <w:rtl/>
        </w:rPr>
        <w:t>معاني القرآن وإعرابه (3/264).</w:t>
      </w:r>
    </w:p>
  </w:footnote>
  <w:footnote w:id="817">
    <w:p w:rsidR="003F128F" w:rsidRPr="001F2028" w:rsidRDefault="003F128F" w:rsidP="00FD2023">
      <w:pPr>
        <w:pStyle w:val="af3"/>
        <w:rPr>
          <w:rFonts w:ascii="Traditional Arabic" w:hAnsi="Traditional Arabic"/>
          <w:sz w:val="32"/>
          <w:szCs w:val="32"/>
        </w:rPr>
      </w:pPr>
      <w:r w:rsidRPr="001F2028">
        <w:rPr>
          <w:rFonts w:ascii="Traditional Arabic" w:hAnsi="Traditional Arabic"/>
          <w:sz w:val="32"/>
          <w:szCs w:val="32"/>
          <w:rtl/>
        </w:rPr>
        <w:t>(</w:t>
      </w:r>
      <w:r w:rsidRPr="001F2028">
        <w:rPr>
          <w:rStyle w:val="ae"/>
          <w:rFonts w:ascii="Traditional Arabic" w:hAnsi="Traditional Arabic"/>
          <w:sz w:val="32"/>
          <w:szCs w:val="32"/>
          <w:vertAlign w:val="baseline"/>
        </w:rPr>
        <w:footnoteRef/>
      </w:r>
      <w:r>
        <w:rPr>
          <w:rFonts w:ascii="Traditional Arabic" w:hAnsi="Traditional Arabic"/>
          <w:sz w:val="32"/>
          <w:szCs w:val="32"/>
          <w:rtl/>
        </w:rPr>
        <w:t>) في (</w:t>
      </w:r>
      <w:r>
        <w:rPr>
          <w:rFonts w:ascii="Traditional Arabic" w:hAnsi="Traditional Arabic" w:hint="cs"/>
          <w:sz w:val="32"/>
          <w:szCs w:val="32"/>
          <w:rtl/>
        </w:rPr>
        <w:t>ك</w:t>
      </w:r>
      <w:r w:rsidRPr="001F2028">
        <w:rPr>
          <w:rFonts w:ascii="Traditional Arabic" w:hAnsi="Traditional Arabic"/>
          <w:sz w:val="32"/>
          <w:szCs w:val="32"/>
          <w:rtl/>
        </w:rPr>
        <w:t xml:space="preserve">): </w:t>
      </w:r>
      <w:r>
        <w:rPr>
          <w:rFonts w:ascii="Traditional Arabic" w:hAnsi="Traditional Arabic" w:hint="cs"/>
          <w:sz w:val="32"/>
          <w:szCs w:val="32"/>
          <w:rtl/>
        </w:rPr>
        <w:t>[</w:t>
      </w:r>
      <w:r>
        <w:rPr>
          <w:rFonts w:ascii="Traditional Arabic" w:hAnsi="Traditional Arabic"/>
          <w:sz w:val="32"/>
          <w:szCs w:val="32"/>
          <w:rtl/>
        </w:rPr>
        <w:t>وبالبعض من الجنس</w:t>
      </w:r>
      <w:r>
        <w:rPr>
          <w:rFonts w:ascii="Traditional Arabic" w:hAnsi="Traditional Arabic" w:hint="cs"/>
          <w:sz w:val="32"/>
          <w:szCs w:val="32"/>
          <w:rtl/>
        </w:rPr>
        <w:t>]</w:t>
      </w:r>
      <w:r w:rsidRPr="001F2028">
        <w:rPr>
          <w:rFonts w:ascii="Traditional Arabic" w:hAnsi="Traditional Arabic"/>
          <w:sz w:val="32"/>
          <w:szCs w:val="32"/>
          <w:rtl/>
        </w:rPr>
        <w:t>.</w:t>
      </w:r>
    </w:p>
  </w:footnote>
  <w:footnote w:id="818">
    <w:p w:rsidR="003F128F" w:rsidRPr="00284B9A" w:rsidRDefault="003F128F" w:rsidP="00FD2023">
      <w:pPr>
        <w:pStyle w:val="af3"/>
        <w:rPr>
          <w:rFonts w:ascii="Traditional Arabic" w:hAnsi="Traditional Arabic"/>
          <w:color w:val="auto"/>
          <w:sz w:val="32"/>
          <w:szCs w:val="32"/>
        </w:rPr>
      </w:pPr>
      <w:r w:rsidRPr="001F2028">
        <w:rPr>
          <w:rFonts w:ascii="Traditional Arabic" w:hAnsi="Traditional Arabic"/>
          <w:color w:val="auto"/>
          <w:sz w:val="32"/>
          <w:szCs w:val="32"/>
          <w:rtl/>
        </w:rPr>
        <w:t>(</w:t>
      </w:r>
      <w:r w:rsidRPr="001F2028">
        <w:rPr>
          <w:rStyle w:val="ae"/>
          <w:rFonts w:ascii="Traditional Arabic" w:hAnsi="Traditional Arabic"/>
          <w:color w:val="auto"/>
          <w:sz w:val="32"/>
          <w:szCs w:val="32"/>
          <w:vertAlign w:val="baseline"/>
        </w:rPr>
        <w:footnoteRef/>
      </w:r>
      <w:r w:rsidRPr="001F2028">
        <w:rPr>
          <w:rFonts w:ascii="Traditional Arabic" w:hAnsi="Traditional Arabic"/>
          <w:color w:val="auto"/>
          <w:sz w:val="32"/>
          <w:szCs w:val="32"/>
          <w:rtl/>
        </w:rPr>
        <w:t>) ذكر بنحوه السمرقندي في بحر</w:t>
      </w:r>
      <w:r w:rsidRPr="00284B9A">
        <w:rPr>
          <w:rFonts w:ascii="Traditional Arabic" w:hAnsi="Traditional Arabic"/>
          <w:color w:val="auto"/>
          <w:sz w:val="32"/>
          <w:szCs w:val="32"/>
          <w:rtl/>
        </w:rPr>
        <w:t xml:space="preserve"> العلوم (2/332), والماوردي في </w:t>
      </w:r>
      <w:r w:rsidRPr="00284B9A">
        <w:rPr>
          <w:rFonts w:ascii="Traditional Arabic" w:hAnsi="Traditional Arabic"/>
          <w:sz w:val="32"/>
          <w:szCs w:val="32"/>
          <w:rtl/>
        </w:rPr>
        <w:t>النكت والعيون (3/279)</w:t>
      </w:r>
      <w:r>
        <w:rPr>
          <w:rFonts w:ascii="Traditional Arabic" w:hAnsi="Traditional Arabic" w:hint="cs"/>
          <w:sz w:val="32"/>
          <w:szCs w:val="32"/>
          <w:rtl/>
        </w:rPr>
        <w:t>.</w:t>
      </w:r>
    </w:p>
  </w:footnote>
  <w:footnote w:id="819">
    <w:p w:rsidR="003F128F" w:rsidRPr="00284B9A" w:rsidRDefault="003F128F" w:rsidP="00911ED4">
      <w:pPr>
        <w:pStyle w:val="af3"/>
        <w:rPr>
          <w:rFonts w:ascii="Traditional Arabic" w:hAnsi="Traditional Arabic"/>
          <w:sz w:val="32"/>
          <w:szCs w:val="32"/>
        </w:rPr>
      </w:pPr>
      <w:r w:rsidRPr="00284B9A">
        <w:rPr>
          <w:rFonts w:ascii="Traditional Arabic" w:hAnsi="Traditional Arabic"/>
          <w:sz w:val="32"/>
          <w:szCs w:val="32"/>
          <w:rtl/>
        </w:rPr>
        <w:t>(</w:t>
      </w:r>
      <w:r w:rsidRPr="00284B9A">
        <w:rPr>
          <w:rStyle w:val="ae"/>
          <w:rFonts w:ascii="Traditional Arabic" w:hAnsi="Traditional Arabic"/>
          <w:sz w:val="32"/>
          <w:szCs w:val="32"/>
          <w:vertAlign w:val="baseline"/>
        </w:rPr>
        <w:footnoteRef/>
      </w:r>
      <w:r w:rsidRPr="00284B9A">
        <w:rPr>
          <w:rFonts w:ascii="Traditional Arabic" w:hAnsi="Traditional Arabic"/>
          <w:sz w:val="32"/>
          <w:szCs w:val="32"/>
          <w:rtl/>
        </w:rPr>
        <w:t>)</w:t>
      </w:r>
      <w:r w:rsidRPr="00284B9A">
        <w:rPr>
          <w:rFonts w:ascii="Traditional Arabic" w:hAnsi="Traditional Arabic"/>
          <w:color w:val="auto"/>
          <w:sz w:val="32"/>
          <w:szCs w:val="32"/>
          <w:rtl/>
        </w:rPr>
        <w:t xml:space="preserve"> انظر: </w:t>
      </w:r>
      <w:r w:rsidRPr="00284B9A">
        <w:rPr>
          <w:rFonts w:ascii="Traditional Arabic" w:hAnsi="Traditional Arabic"/>
          <w:sz w:val="32"/>
          <w:szCs w:val="32"/>
          <w:rtl/>
        </w:rPr>
        <w:t xml:space="preserve">التفسير الوسيط (3/132). </w:t>
      </w:r>
    </w:p>
  </w:footnote>
  <w:footnote w:id="820">
    <w:p w:rsidR="003F128F" w:rsidRPr="002417DB" w:rsidRDefault="003F128F" w:rsidP="00911ED4">
      <w:pPr>
        <w:pStyle w:val="af3"/>
        <w:rPr>
          <w:rFonts w:ascii="Tahoma" w:hAnsi="Tahoma"/>
        </w:rPr>
      </w:pPr>
      <w:r w:rsidRPr="00284B9A">
        <w:rPr>
          <w:rFonts w:ascii="Traditional Arabic" w:hAnsi="Traditional Arabic"/>
          <w:sz w:val="32"/>
          <w:szCs w:val="32"/>
          <w:rtl/>
        </w:rPr>
        <w:t>(</w:t>
      </w:r>
      <w:r w:rsidRPr="00284B9A">
        <w:rPr>
          <w:rStyle w:val="ae"/>
          <w:rFonts w:ascii="Traditional Arabic" w:hAnsi="Traditional Arabic"/>
          <w:sz w:val="32"/>
          <w:szCs w:val="32"/>
          <w:vertAlign w:val="baseline"/>
        </w:rPr>
        <w:footnoteRef/>
      </w:r>
      <w:r w:rsidRPr="00284B9A">
        <w:rPr>
          <w:rFonts w:ascii="Traditional Arabic" w:hAnsi="Traditional Arabic"/>
          <w:sz w:val="32"/>
          <w:szCs w:val="32"/>
          <w:rtl/>
        </w:rPr>
        <w:t>) انظر: الكشف والبيان (6/140)</w:t>
      </w:r>
      <w:r w:rsidRPr="00284B9A">
        <w:rPr>
          <w:rFonts w:ascii="Traditional Arabic" w:hAnsi="Traditional Arabic"/>
          <w:color w:val="auto"/>
          <w:sz w:val="32"/>
          <w:szCs w:val="32"/>
          <w:rtl/>
        </w:rPr>
        <w:t xml:space="preserve">, </w:t>
      </w:r>
      <w:r w:rsidRPr="00284B9A">
        <w:rPr>
          <w:rFonts w:ascii="Traditional Arabic" w:hAnsi="Traditional Arabic"/>
          <w:sz w:val="32"/>
          <w:szCs w:val="32"/>
          <w:rtl/>
        </w:rPr>
        <w:t>التفسير الوسيط (3/132).</w:t>
      </w:r>
      <w:r>
        <w:rPr>
          <w:rFonts w:ascii="Tahoma" w:hAnsi="Tahoma"/>
          <w:rtl/>
        </w:rPr>
        <w:t xml:space="preserve"> </w:t>
      </w:r>
    </w:p>
  </w:footnote>
  <w:footnote w:id="821">
    <w:p w:rsidR="003F128F" w:rsidRPr="00B24C9C" w:rsidRDefault="003F128F" w:rsidP="005D4DF6">
      <w:pPr>
        <w:pStyle w:val="af3"/>
        <w:rPr>
          <w:rFonts w:ascii="Traditional Arabic" w:hAnsi="Traditional Arabic"/>
          <w:sz w:val="32"/>
          <w:szCs w:val="32"/>
        </w:rPr>
      </w:pPr>
      <w:r w:rsidRPr="00B24C9C">
        <w:rPr>
          <w:rFonts w:ascii="Traditional Arabic" w:hAnsi="Traditional Arabic"/>
          <w:sz w:val="32"/>
          <w:szCs w:val="32"/>
          <w:rtl/>
        </w:rPr>
        <w:t>(</w:t>
      </w:r>
      <w:r w:rsidRPr="00B24C9C">
        <w:rPr>
          <w:rStyle w:val="ae"/>
          <w:rFonts w:ascii="Traditional Arabic" w:hAnsi="Traditional Arabic"/>
          <w:sz w:val="32"/>
          <w:szCs w:val="32"/>
          <w:vertAlign w:val="baseline"/>
        </w:rPr>
        <w:footnoteRef/>
      </w:r>
      <w:r w:rsidRPr="00B24C9C">
        <w:rPr>
          <w:rFonts w:ascii="Traditional Arabic" w:hAnsi="Traditional Arabic"/>
          <w:sz w:val="32"/>
          <w:szCs w:val="32"/>
          <w:rtl/>
        </w:rPr>
        <w:t xml:space="preserve">) هو </w:t>
      </w:r>
      <w:r>
        <w:rPr>
          <w:rFonts w:ascii="Traditional Arabic" w:hAnsi="Traditional Arabic"/>
          <w:sz w:val="32"/>
          <w:szCs w:val="32"/>
          <w:rtl/>
        </w:rPr>
        <w:t>الإمام</w:t>
      </w:r>
      <w:r w:rsidRPr="00B24C9C">
        <w:rPr>
          <w:rFonts w:ascii="Traditional Arabic" w:hAnsi="Traditional Arabic"/>
          <w:sz w:val="32"/>
          <w:szCs w:val="32"/>
          <w:rtl/>
        </w:rPr>
        <w:t xml:space="preserve"> عبد الاعلى</w:t>
      </w:r>
      <w:r>
        <w:rPr>
          <w:rFonts w:ascii="Traditional Arabic" w:hAnsi="Traditional Arabic" w:hint="cs"/>
          <w:sz w:val="32"/>
          <w:szCs w:val="32"/>
          <w:rtl/>
        </w:rPr>
        <w:t xml:space="preserve"> التيمي,</w:t>
      </w:r>
      <w:r w:rsidRPr="00B24C9C">
        <w:rPr>
          <w:rFonts w:ascii="Traditional Arabic" w:hAnsi="Traditional Arabic"/>
          <w:sz w:val="32"/>
          <w:szCs w:val="32"/>
          <w:rtl/>
        </w:rPr>
        <w:t xml:space="preserve"> الكوفي, </w:t>
      </w:r>
      <w:r w:rsidRPr="00B24C9C">
        <w:rPr>
          <w:rFonts w:ascii="Traditional Arabic" w:hAnsi="Traditional Arabic"/>
          <w:sz w:val="32"/>
          <w:szCs w:val="32"/>
          <w:rtl/>
          <w:lang w:eastAsia="en-US"/>
        </w:rPr>
        <w:t>رجل صالح,</w:t>
      </w:r>
      <w:r w:rsidRPr="00B24C9C">
        <w:rPr>
          <w:rFonts w:ascii="Traditional Arabic" w:hAnsi="Traditional Arabic"/>
          <w:sz w:val="32"/>
          <w:szCs w:val="32"/>
          <w:rtl/>
        </w:rPr>
        <w:t xml:space="preserve"> وأحد العباد الخائفين,</w:t>
      </w:r>
      <w:r w:rsidRPr="00B24C9C">
        <w:rPr>
          <w:rFonts w:ascii="Traditional Arabic" w:hAnsi="Traditional Arabic"/>
          <w:sz w:val="32"/>
          <w:szCs w:val="32"/>
          <w:rtl/>
          <w:lang w:eastAsia="en-US"/>
        </w:rPr>
        <w:t xml:space="preserve"> </w:t>
      </w:r>
      <w:r>
        <w:rPr>
          <w:rFonts w:ascii="Traditional Arabic" w:hAnsi="Traditional Arabic"/>
          <w:sz w:val="32"/>
          <w:szCs w:val="32"/>
          <w:rtl/>
        </w:rPr>
        <w:t>روى عن إب</w:t>
      </w:r>
      <w:r w:rsidRPr="00B24C9C">
        <w:rPr>
          <w:rFonts w:ascii="Traditional Arabic" w:hAnsi="Traditional Arabic"/>
          <w:sz w:val="32"/>
          <w:szCs w:val="32"/>
          <w:rtl/>
        </w:rPr>
        <w:t>ر</w:t>
      </w:r>
      <w:r>
        <w:rPr>
          <w:rFonts w:ascii="Traditional Arabic" w:hAnsi="Traditional Arabic"/>
          <w:sz w:val="32"/>
          <w:szCs w:val="32"/>
          <w:rtl/>
        </w:rPr>
        <w:t>اهيم التيمي، وغيره</w:t>
      </w:r>
      <w:r>
        <w:rPr>
          <w:rFonts w:ascii="Traditional Arabic" w:hAnsi="Traditional Arabic" w:hint="cs"/>
          <w:sz w:val="32"/>
          <w:szCs w:val="32"/>
          <w:rtl/>
        </w:rPr>
        <w:t>,</w:t>
      </w:r>
      <w:r w:rsidRPr="005D4DF6">
        <w:rPr>
          <w:rFonts w:ascii="Traditional Arabic" w:hAnsi="Traditional Arabic"/>
          <w:b/>
          <w:bCs/>
          <w:sz w:val="44"/>
          <w:szCs w:val="44"/>
          <w:rtl/>
          <w:lang w:eastAsia="en-US"/>
        </w:rPr>
        <w:t xml:space="preserve"> </w:t>
      </w:r>
      <w:r w:rsidRPr="005D4DF6">
        <w:rPr>
          <w:rFonts w:ascii="Traditional Arabic" w:hAnsi="Traditional Arabic"/>
          <w:sz w:val="32"/>
          <w:szCs w:val="32"/>
          <w:rtl/>
        </w:rPr>
        <w:t>روى عَنْهُ مسعر بْن كدام</w:t>
      </w:r>
      <w:r>
        <w:rPr>
          <w:rFonts w:ascii="Traditional Arabic" w:hAnsi="Traditional Arabic" w:hint="cs"/>
          <w:sz w:val="32"/>
          <w:szCs w:val="32"/>
          <w:rtl/>
        </w:rPr>
        <w:t>, وغيره</w:t>
      </w:r>
      <w:r w:rsidRPr="005D4DF6">
        <w:rPr>
          <w:rFonts w:ascii="Traditional Arabic" w:hAnsi="Traditional Arabic"/>
          <w:sz w:val="32"/>
          <w:szCs w:val="32"/>
          <w:rtl/>
        </w:rPr>
        <w:t xml:space="preserve"> (</w:t>
      </w:r>
      <w:r w:rsidRPr="00B24C9C">
        <w:rPr>
          <w:rFonts w:ascii="Traditional Arabic" w:hAnsi="Traditional Arabic"/>
          <w:sz w:val="32"/>
          <w:szCs w:val="32"/>
          <w:rtl/>
        </w:rPr>
        <w:t>ت131-140ه). انظر:</w:t>
      </w:r>
      <w:r w:rsidRPr="00B24C9C">
        <w:rPr>
          <w:rFonts w:ascii="Traditional Arabic" w:hAnsi="Traditional Arabic"/>
          <w:sz w:val="32"/>
          <w:szCs w:val="32"/>
          <w:rtl/>
          <w:lang w:eastAsia="en-US"/>
        </w:rPr>
        <w:t xml:space="preserve"> </w:t>
      </w:r>
      <w:r w:rsidRPr="00B24C9C">
        <w:rPr>
          <w:rFonts w:ascii="Traditional Arabic" w:hAnsi="Traditional Arabic"/>
          <w:sz w:val="32"/>
          <w:szCs w:val="32"/>
          <w:rtl/>
        </w:rPr>
        <w:t xml:space="preserve">تاريخ أسماء الثقات لابن شاهين (ص170), تاريخ الاسلام للذهبي (3/675). </w:t>
      </w:r>
    </w:p>
  </w:footnote>
  <w:footnote w:id="822">
    <w:p w:rsidR="003F128F" w:rsidRPr="001F2028" w:rsidRDefault="003F128F" w:rsidP="00911ED4">
      <w:pPr>
        <w:pStyle w:val="af3"/>
        <w:rPr>
          <w:rFonts w:ascii="Traditional Arabic" w:hAnsi="Traditional Arabic"/>
          <w:sz w:val="32"/>
          <w:szCs w:val="32"/>
        </w:rPr>
      </w:pPr>
      <w:r w:rsidRPr="001F2028">
        <w:rPr>
          <w:rFonts w:ascii="Traditional Arabic" w:hAnsi="Traditional Arabic"/>
          <w:sz w:val="32"/>
          <w:szCs w:val="32"/>
          <w:rtl/>
        </w:rPr>
        <w:t>(</w:t>
      </w:r>
      <w:r w:rsidRPr="001F2028">
        <w:rPr>
          <w:rStyle w:val="ae"/>
          <w:rFonts w:ascii="Traditional Arabic" w:hAnsi="Traditional Arabic"/>
          <w:sz w:val="32"/>
          <w:szCs w:val="32"/>
          <w:vertAlign w:val="baseline"/>
        </w:rPr>
        <w:footnoteRef/>
      </w:r>
      <w:r w:rsidRPr="001F2028">
        <w:rPr>
          <w:rFonts w:ascii="Traditional Arabic" w:hAnsi="Traditional Arabic"/>
          <w:sz w:val="32"/>
          <w:szCs w:val="32"/>
          <w:rtl/>
        </w:rPr>
        <w:t>) لَخَلِيق: أي لجدير و</w:t>
      </w:r>
      <w:r w:rsidRPr="001F2028">
        <w:rPr>
          <w:rFonts w:ascii="Traditional Arabic" w:hAnsi="Traditional Arabic"/>
          <w:sz w:val="32"/>
          <w:szCs w:val="32"/>
          <w:rtl/>
          <w:lang w:eastAsia="en-US"/>
        </w:rPr>
        <w:t>لحَرِيٌّ</w:t>
      </w:r>
      <w:r>
        <w:rPr>
          <w:rFonts w:ascii="Traditional Arabic" w:hAnsi="Traditional Arabic"/>
          <w:sz w:val="32"/>
          <w:szCs w:val="32"/>
          <w:rtl/>
        </w:rPr>
        <w:t>. انظر: العين (3/286) مادة (خلق), تهذيب اللغة (7/17)</w:t>
      </w:r>
      <w:r w:rsidRPr="001F2028">
        <w:rPr>
          <w:rFonts w:ascii="Traditional Arabic" w:hAnsi="Traditional Arabic"/>
          <w:sz w:val="32"/>
          <w:szCs w:val="32"/>
          <w:rtl/>
        </w:rPr>
        <w:t xml:space="preserve"> مادة (خلق).</w:t>
      </w:r>
    </w:p>
  </w:footnote>
  <w:footnote w:id="823">
    <w:p w:rsidR="003F128F" w:rsidRPr="001F2028" w:rsidRDefault="003F128F" w:rsidP="00911ED4">
      <w:pPr>
        <w:pStyle w:val="af3"/>
        <w:rPr>
          <w:rFonts w:ascii="Traditional Arabic" w:hAnsi="Traditional Arabic"/>
          <w:sz w:val="32"/>
          <w:szCs w:val="32"/>
        </w:rPr>
      </w:pPr>
      <w:r w:rsidRPr="001F2028">
        <w:rPr>
          <w:rFonts w:ascii="Traditional Arabic" w:hAnsi="Traditional Arabic"/>
          <w:sz w:val="32"/>
          <w:szCs w:val="32"/>
          <w:rtl/>
        </w:rPr>
        <w:t>(</w:t>
      </w:r>
      <w:r w:rsidRPr="001F2028">
        <w:rPr>
          <w:rStyle w:val="ae"/>
          <w:rFonts w:ascii="Traditional Arabic" w:hAnsi="Traditional Arabic"/>
          <w:sz w:val="32"/>
          <w:szCs w:val="32"/>
          <w:vertAlign w:val="baseline"/>
        </w:rPr>
        <w:footnoteRef/>
      </w:r>
      <w:r w:rsidRPr="001F2028">
        <w:rPr>
          <w:rFonts w:ascii="Traditional Arabic" w:hAnsi="Traditional Arabic"/>
          <w:sz w:val="32"/>
          <w:szCs w:val="32"/>
          <w:rtl/>
        </w:rPr>
        <w:t>) انظر: تفسير الطبري (17/579), الكشف والبيان (6/141)</w:t>
      </w:r>
      <w:r w:rsidRPr="001F2028">
        <w:rPr>
          <w:rFonts w:ascii="Traditional Arabic" w:hAnsi="Traditional Arabic"/>
          <w:color w:val="auto"/>
          <w:sz w:val="32"/>
          <w:szCs w:val="32"/>
          <w:rtl/>
        </w:rPr>
        <w:t xml:space="preserve">, </w:t>
      </w:r>
      <w:r w:rsidRPr="001F2028">
        <w:rPr>
          <w:rFonts w:ascii="Traditional Arabic" w:hAnsi="Traditional Arabic"/>
          <w:sz w:val="32"/>
          <w:szCs w:val="32"/>
          <w:rtl/>
        </w:rPr>
        <w:t>التفسير الوسيط (3/132).</w:t>
      </w:r>
    </w:p>
  </w:footnote>
  <w:footnote w:id="824">
    <w:p w:rsidR="003F128F" w:rsidRPr="001F2028" w:rsidRDefault="003F128F" w:rsidP="009D5EA9">
      <w:pPr>
        <w:pStyle w:val="af3"/>
        <w:rPr>
          <w:rFonts w:ascii="Traditional Arabic" w:hAnsi="Traditional Arabic"/>
          <w:sz w:val="32"/>
          <w:szCs w:val="32"/>
        </w:rPr>
      </w:pPr>
      <w:r w:rsidRPr="001F2028">
        <w:rPr>
          <w:rFonts w:ascii="Traditional Arabic" w:hAnsi="Traditional Arabic"/>
          <w:sz w:val="32"/>
          <w:szCs w:val="32"/>
          <w:rtl/>
        </w:rPr>
        <w:t>(</w:t>
      </w:r>
      <w:r w:rsidRPr="001F2028">
        <w:rPr>
          <w:rStyle w:val="ae"/>
          <w:rFonts w:ascii="Traditional Arabic" w:hAnsi="Traditional Arabic"/>
          <w:sz w:val="32"/>
          <w:szCs w:val="32"/>
          <w:vertAlign w:val="baseline"/>
        </w:rPr>
        <w:footnoteRef/>
      </w:r>
      <w:r>
        <w:rPr>
          <w:rFonts w:ascii="Traditional Arabic" w:hAnsi="Traditional Arabic"/>
          <w:sz w:val="32"/>
          <w:szCs w:val="32"/>
          <w:rtl/>
        </w:rPr>
        <w:t>) ما بين ال</w:t>
      </w:r>
      <w:r>
        <w:rPr>
          <w:rFonts w:ascii="Traditional Arabic" w:hAnsi="Traditional Arabic" w:hint="cs"/>
          <w:sz w:val="32"/>
          <w:szCs w:val="32"/>
          <w:rtl/>
        </w:rPr>
        <w:t>معكوفتين</w:t>
      </w:r>
      <w:r w:rsidRPr="001F2028">
        <w:rPr>
          <w:rFonts w:ascii="Traditional Arabic" w:hAnsi="Traditional Arabic"/>
          <w:sz w:val="32"/>
          <w:szCs w:val="32"/>
          <w:rtl/>
        </w:rPr>
        <w:t xml:space="preserve"> ساقط من</w:t>
      </w:r>
      <w:r>
        <w:rPr>
          <w:rFonts w:ascii="Traditional Arabic" w:hAnsi="Traditional Arabic" w:hint="cs"/>
          <w:sz w:val="32"/>
          <w:szCs w:val="32"/>
          <w:rtl/>
        </w:rPr>
        <w:t xml:space="preserve"> الأصل, والمثبت من (ك)</w:t>
      </w:r>
      <w:r w:rsidRPr="001F2028">
        <w:rPr>
          <w:rFonts w:ascii="Traditional Arabic" w:hAnsi="Traditional Arabic"/>
          <w:sz w:val="32"/>
          <w:szCs w:val="32"/>
          <w:rtl/>
        </w:rPr>
        <w:t xml:space="preserve">.  </w:t>
      </w:r>
    </w:p>
  </w:footnote>
  <w:footnote w:id="825">
    <w:p w:rsidR="003F128F" w:rsidRPr="001F2028" w:rsidRDefault="003F128F" w:rsidP="005D4DF6">
      <w:pPr>
        <w:pStyle w:val="af3"/>
        <w:rPr>
          <w:rFonts w:ascii="Traditional Arabic" w:hAnsi="Traditional Arabic"/>
          <w:sz w:val="32"/>
          <w:szCs w:val="32"/>
        </w:rPr>
      </w:pPr>
      <w:r w:rsidRPr="001F2028">
        <w:rPr>
          <w:rFonts w:ascii="Traditional Arabic" w:hAnsi="Traditional Arabic"/>
          <w:sz w:val="32"/>
          <w:szCs w:val="32"/>
          <w:rtl/>
        </w:rPr>
        <w:t>(</w:t>
      </w:r>
      <w:r w:rsidRPr="001F2028">
        <w:rPr>
          <w:rStyle w:val="ae"/>
          <w:rFonts w:ascii="Traditional Arabic" w:hAnsi="Traditional Arabic"/>
          <w:sz w:val="32"/>
          <w:szCs w:val="32"/>
          <w:vertAlign w:val="baseline"/>
        </w:rPr>
        <w:footnoteRef/>
      </w:r>
      <w:r w:rsidRPr="001F2028">
        <w:rPr>
          <w:rFonts w:ascii="Traditional Arabic" w:hAnsi="Traditional Arabic"/>
          <w:sz w:val="32"/>
          <w:szCs w:val="32"/>
          <w:rtl/>
        </w:rPr>
        <w:t xml:space="preserve">) أخرجه الطبري في تفسيره (17/580), وذكره السيوطي في الدر المنثور (5/348) وزاد نسبته لابن مردويه, واللفظ بدون ذكر مسيلمة كلاهما عن ابن عباس. </w:t>
      </w:r>
      <w:r>
        <w:rPr>
          <w:rFonts w:ascii="Traditional Arabic" w:hAnsi="Traditional Arabic" w:hint="cs"/>
          <w:sz w:val="32"/>
          <w:szCs w:val="32"/>
          <w:rtl/>
        </w:rPr>
        <w:t>قال</w:t>
      </w:r>
      <w:r w:rsidRPr="001F2028">
        <w:rPr>
          <w:rFonts w:ascii="Traditional Arabic" w:hAnsi="Traditional Arabic"/>
          <w:sz w:val="32"/>
          <w:szCs w:val="32"/>
          <w:rtl/>
        </w:rPr>
        <w:t xml:space="preserve"> في كتاب الاستيعاب في معرفة الأسباب (2/464): "وهذا اسناد ضعيف؛ محمد بن كثير المصيصي؛ صدوق كثير الغلط, والحسين هو سنيد صاحب التفسير؛ ضعيف كما في التقريب". </w:t>
      </w:r>
    </w:p>
  </w:footnote>
  <w:footnote w:id="826">
    <w:p w:rsidR="003F128F" w:rsidRPr="001F2028" w:rsidRDefault="003F128F" w:rsidP="00911ED4">
      <w:pPr>
        <w:pStyle w:val="af3"/>
        <w:rPr>
          <w:rFonts w:ascii="Traditional Arabic" w:hAnsi="Traditional Arabic"/>
          <w:sz w:val="32"/>
          <w:szCs w:val="32"/>
        </w:rPr>
      </w:pPr>
      <w:r w:rsidRPr="001F2028">
        <w:rPr>
          <w:rFonts w:ascii="Traditional Arabic" w:hAnsi="Traditional Arabic"/>
          <w:sz w:val="32"/>
          <w:szCs w:val="32"/>
          <w:rtl/>
        </w:rPr>
        <w:t>(</w:t>
      </w:r>
      <w:r w:rsidRPr="001F2028">
        <w:rPr>
          <w:rStyle w:val="ae"/>
          <w:rFonts w:ascii="Traditional Arabic" w:hAnsi="Traditional Arabic"/>
          <w:sz w:val="32"/>
          <w:szCs w:val="32"/>
          <w:vertAlign w:val="baseline"/>
        </w:rPr>
        <w:footnoteRef/>
      </w:r>
      <w:r>
        <w:rPr>
          <w:rFonts w:ascii="Traditional Arabic" w:hAnsi="Traditional Arabic"/>
          <w:sz w:val="32"/>
          <w:szCs w:val="32"/>
          <w:rtl/>
        </w:rPr>
        <w:t>) في (</w:t>
      </w:r>
      <w:r>
        <w:rPr>
          <w:rFonts w:ascii="Traditional Arabic" w:hAnsi="Traditional Arabic" w:hint="cs"/>
          <w:sz w:val="32"/>
          <w:szCs w:val="32"/>
          <w:rtl/>
        </w:rPr>
        <w:t>ك</w:t>
      </w:r>
      <w:r>
        <w:rPr>
          <w:rFonts w:ascii="Traditional Arabic" w:hAnsi="Traditional Arabic"/>
          <w:sz w:val="32"/>
          <w:szCs w:val="32"/>
          <w:rtl/>
        </w:rPr>
        <w:t xml:space="preserve">): </w:t>
      </w:r>
      <w:r>
        <w:rPr>
          <w:rFonts w:ascii="Traditional Arabic" w:hAnsi="Traditional Arabic" w:hint="cs"/>
          <w:sz w:val="32"/>
          <w:szCs w:val="32"/>
          <w:rtl/>
        </w:rPr>
        <w:t>[</w:t>
      </w:r>
      <w:r>
        <w:rPr>
          <w:rFonts w:ascii="Traditional Arabic" w:hAnsi="Traditional Arabic"/>
          <w:sz w:val="32"/>
          <w:szCs w:val="32"/>
          <w:rtl/>
        </w:rPr>
        <w:t>حتى نزلت</w:t>
      </w:r>
      <w:r>
        <w:rPr>
          <w:rFonts w:ascii="Traditional Arabic" w:hAnsi="Traditional Arabic" w:hint="cs"/>
          <w:sz w:val="32"/>
          <w:szCs w:val="32"/>
          <w:rtl/>
        </w:rPr>
        <w:t>]</w:t>
      </w:r>
      <w:r w:rsidRPr="001F2028">
        <w:rPr>
          <w:rFonts w:ascii="Traditional Arabic" w:hAnsi="Traditional Arabic"/>
          <w:sz w:val="32"/>
          <w:szCs w:val="32"/>
          <w:rtl/>
        </w:rPr>
        <w:t xml:space="preserve">. </w:t>
      </w:r>
    </w:p>
  </w:footnote>
  <w:footnote w:id="827">
    <w:p w:rsidR="003F128F" w:rsidRPr="00284B9A" w:rsidRDefault="003F128F" w:rsidP="009D5EA9">
      <w:pPr>
        <w:pStyle w:val="af3"/>
        <w:rPr>
          <w:rFonts w:ascii="Traditional Arabic" w:hAnsi="Traditional Arabic"/>
          <w:sz w:val="32"/>
          <w:szCs w:val="32"/>
        </w:rPr>
      </w:pPr>
      <w:r w:rsidRPr="001F2028">
        <w:rPr>
          <w:rFonts w:ascii="Traditional Arabic" w:hAnsi="Traditional Arabic"/>
          <w:sz w:val="32"/>
          <w:szCs w:val="32"/>
          <w:rtl/>
        </w:rPr>
        <w:t>(</w:t>
      </w:r>
      <w:r w:rsidRPr="001F2028">
        <w:rPr>
          <w:rStyle w:val="ae"/>
          <w:rFonts w:ascii="Traditional Arabic" w:hAnsi="Traditional Arabic"/>
          <w:sz w:val="32"/>
          <w:szCs w:val="32"/>
          <w:vertAlign w:val="baseline"/>
        </w:rPr>
        <w:footnoteRef/>
      </w:r>
      <w:r w:rsidRPr="001F2028">
        <w:rPr>
          <w:rFonts w:ascii="Traditional Arabic" w:hAnsi="Traditional Arabic"/>
          <w:sz w:val="32"/>
          <w:szCs w:val="32"/>
          <w:rtl/>
        </w:rPr>
        <w:t>) ذكره الثعلبي في الكشف والبيان (6/141), والواحدي في أسباب النزول (ص212) عن ميمون بن مهران مرسلا هكذا بلا سند.</w:t>
      </w:r>
    </w:p>
  </w:footnote>
  <w:footnote w:id="828">
    <w:p w:rsidR="003F128F" w:rsidRPr="00284B9A" w:rsidRDefault="003F128F" w:rsidP="009D5EA9">
      <w:pPr>
        <w:pStyle w:val="af3"/>
        <w:rPr>
          <w:rFonts w:ascii="Traditional Arabic" w:hAnsi="Traditional Arabic"/>
          <w:sz w:val="32"/>
          <w:szCs w:val="32"/>
        </w:rPr>
      </w:pPr>
      <w:r w:rsidRPr="00284B9A">
        <w:rPr>
          <w:rFonts w:ascii="Traditional Arabic" w:hAnsi="Traditional Arabic"/>
          <w:sz w:val="32"/>
          <w:szCs w:val="32"/>
          <w:rtl/>
        </w:rPr>
        <w:t>(</w:t>
      </w:r>
      <w:r w:rsidRPr="00284B9A">
        <w:rPr>
          <w:rStyle w:val="ae"/>
          <w:rFonts w:ascii="Traditional Arabic" w:hAnsi="Traditional Arabic"/>
          <w:sz w:val="32"/>
          <w:szCs w:val="32"/>
          <w:vertAlign w:val="baseline"/>
        </w:rPr>
        <w:footnoteRef/>
      </w:r>
      <w:r>
        <w:rPr>
          <w:rFonts w:ascii="Traditional Arabic" w:hAnsi="Traditional Arabic"/>
          <w:sz w:val="32"/>
          <w:szCs w:val="32"/>
          <w:rtl/>
        </w:rPr>
        <w:t>)</w:t>
      </w:r>
      <w:r>
        <w:rPr>
          <w:rFonts w:ascii="Traditional Arabic" w:hAnsi="Traditional Arabic" w:hint="cs"/>
          <w:sz w:val="32"/>
          <w:szCs w:val="32"/>
          <w:rtl/>
        </w:rPr>
        <w:t xml:space="preserve"> </w:t>
      </w:r>
      <w:r w:rsidRPr="00284B9A">
        <w:rPr>
          <w:rFonts w:ascii="Traditional Arabic" w:hAnsi="Traditional Arabic"/>
          <w:sz w:val="32"/>
          <w:szCs w:val="32"/>
          <w:rtl/>
        </w:rPr>
        <w:t xml:space="preserve">ذكره الثعلبي في الكشف والبيان (6/141), والواحدي في أسباب النزول (ص212) والرسعني في رموز الكنوز (4/235) عن الضحاك به مرسلا هكذا بلا سند. ثم إن السورة مكية، وأخبار يهود مدنية. </w:t>
      </w:r>
    </w:p>
  </w:footnote>
  <w:footnote w:id="829">
    <w:p w:rsidR="003F128F" w:rsidRPr="00284B9A" w:rsidRDefault="003F128F" w:rsidP="00911ED4">
      <w:pPr>
        <w:pStyle w:val="af3"/>
        <w:rPr>
          <w:rFonts w:ascii="Traditional Arabic" w:hAnsi="Traditional Arabic"/>
          <w:sz w:val="32"/>
          <w:szCs w:val="32"/>
        </w:rPr>
      </w:pPr>
      <w:r w:rsidRPr="00284B9A">
        <w:rPr>
          <w:rFonts w:ascii="Traditional Arabic" w:hAnsi="Traditional Arabic"/>
          <w:sz w:val="32"/>
          <w:szCs w:val="32"/>
          <w:rtl/>
        </w:rPr>
        <w:t>(</w:t>
      </w:r>
      <w:r w:rsidRPr="00284B9A">
        <w:rPr>
          <w:rStyle w:val="ae"/>
          <w:rFonts w:ascii="Traditional Arabic" w:hAnsi="Traditional Arabic"/>
          <w:sz w:val="32"/>
          <w:szCs w:val="32"/>
          <w:vertAlign w:val="baseline"/>
        </w:rPr>
        <w:footnoteRef/>
      </w:r>
      <w:r w:rsidRPr="00284B9A">
        <w:rPr>
          <w:rFonts w:ascii="Traditional Arabic" w:hAnsi="Traditional Arabic"/>
          <w:sz w:val="32"/>
          <w:szCs w:val="32"/>
          <w:rtl/>
        </w:rPr>
        <w:t>) أخرجه</w:t>
      </w:r>
      <w:r w:rsidRPr="00631AAA">
        <w:rPr>
          <w:rFonts w:ascii="Traditional Arabic" w:hAnsi="Traditional Arabic"/>
          <w:sz w:val="32"/>
          <w:szCs w:val="32"/>
          <w:rtl/>
        </w:rPr>
        <w:t xml:space="preserve"> البخاري (كتاب ال</w:t>
      </w:r>
      <w:r>
        <w:rPr>
          <w:rFonts w:ascii="Traditional Arabic" w:hAnsi="Traditional Arabic" w:hint="cs"/>
          <w:sz w:val="32"/>
          <w:szCs w:val="32"/>
          <w:rtl/>
        </w:rPr>
        <w:t>تفسير</w:t>
      </w:r>
      <w:r w:rsidRPr="00631AAA">
        <w:rPr>
          <w:rFonts w:ascii="Traditional Arabic" w:hAnsi="Traditional Arabic"/>
          <w:sz w:val="32"/>
          <w:szCs w:val="32"/>
          <w:rtl/>
        </w:rPr>
        <w:t>, باب</w:t>
      </w:r>
      <w:r>
        <w:rPr>
          <w:rFonts w:ascii="Traditional Arabic" w:hAnsi="Traditional Arabic" w:hint="cs"/>
          <w:sz w:val="32"/>
          <w:szCs w:val="32"/>
          <w:rtl/>
        </w:rPr>
        <w:t>:</w:t>
      </w:r>
      <w:r w:rsidRPr="00631AAA">
        <w:rPr>
          <w:rFonts w:ascii="Traditional Arabic" w:hAnsi="Traditional Arabic"/>
          <w:sz w:val="32"/>
          <w:szCs w:val="32"/>
          <w:rtl/>
        </w:rPr>
        <w:t xml:space="preserve"> </w:t>
      </w:r>
      <w:r w:rsidRPr="004704B8">
        <w:rPr>
          <w:rFonts w:ascii="QCF_BSML" w:hAnsi="QCF_BSML" w:cs="QCF_BSML"/>
          <w:rtl/>
          <w:lang w:eastAsia="en-US"/>
        </w:rPr>
        <w:t>ﭽ</w:t>
      </w:r>
      <w:r w:rsidRPr="004704B8">
        <w:rPr>
          <w:rFonts w:ascii="QCF_P293" w:hAnsi="QCF_P293" w:cs="QCF_P293"/>
          <w:color w:val="auto"/>
          <w:rtl/>
          <w:lang w:eastAsia="en-US"/>
        </w:rPr>
        <w:t xml:space="preserve"> ﮘ  ﮙ  ﮚ  ﮛ  ﮜ  ﮝ </w:t>
      </w:r>
      <w:r w:rsidRPr="004704B8">
        <w:rPr>
          <w:rFonts w:ascii="QCF_BSML" w:hAnsi="QCF_BSML" w:cs="QCF_BSML"/>
          <w:rtl/>
          <w:lang w:eastAsia="en-US"/>
        </w:rPr>
        <w:t>ﭼ</w:t>
      </w:r>
      <w:r w:rsidRPr="00E93C28">
        <w:rPr>
          <w:rFonts w:ascii="QCF_P293" w:hAnsi="QCF_P293" w:cs="QCF_P293"/>
          <w:color w:val="auto"/>
          <w:sz w:val="32"/>
          <w:szCs w:val="32"/>
          <w:rtl/>
          <w:lang w:eastAsia="en-US"/>
        </w:rPr>
        <w:t xml:space="preserve"> </w:t>
      </w:r>
      <w:r>
        <w:rPr>
          <w:rFonts w:ascii="Traditional Arabic" w:hAnsi="Traditional Arabic" w:hint="cs"/>
          <w:sz w:val="32"/>
          <w:szCs w:val="32"/>
          <w:rtl/>
        </w:rPr>
        <w:t>8</w:t>
      </w:r>
      <w:r w:rsidRPr="00284B9A">
        <w:rPr>
          <w:rFonts w:ascii="Traditional Arabic" w:hAnsi="Traditional Arabic"/>
          <w:sz w:val="32"/>
          <w:szCs w:val="32"/>
          <w:rtl/>
        </w:rPr>
        <w:t>/514  ح4722, وأطرافه في ح7490, 7525, 7547), ومسلم (كتاب الصلاة, باب</w:t>
      </w:r>
      <w:r>
        <w:rPr>
          <w:rFonts w:ascii="Traditional Arabic" w:hAnsi="Traditional Arabic" w:hint="cs"/>
          <w:sz w:val="32"/>
          <w:szCs w:val="32"/>
          <w:rtl/>
        </w:rPr>
        <w:t>:</w:t>
      </w:r>
      <w:r w:rsidRPr="00284B9A">
        <w:rPr>
          <w:rFonts w:ascii="Traditional Arabic" w:hAnsi="Traditional Arabic"/>
          <w:sz w:val="32"/>
          <w:szCs w:val="32"/>
          <w:rtl/>
        </w:rPr>
        <w:t xml:space="preserve"> التوسط في القراءة في الصلاة الجهرية بين الجهر والإسرار إذا خاف من الجهر مفسدة 4/385</w:t>
      </w:r>
      <w:r>
        <w:rPr>
          <w:rFonts w:ascii="Traditional Arabic" w:hAnsi="Traditional Arabic" w:hint="cs"/>
          <w:sz w:val="32"/>
          <w:szCs w:val="32"/>
          <w:rtl/>
        </w:rPr>
        <w:t xml:space="preserve"> </w:t>
      </w:r>
      <w:r w:rsidRPr="00284B9A">
        <w:rPr>
          <w:rFonts w:ascii="Traditional Arabic" w:hAnsi="Traditional Arabic"/>
          <w:sz w:val="32"/>
          <w:szCs w:val="32"/>
          <w:rtl/>
        </w:rPr>
        <w:t>ح1000).</w:t>
      </w:r>
    </w:p>
  </w:footnote>
  <w:footnote w:id="830">
    <w:p w:rsidR="003F128F" w:rsidRPr="007E7E06" w:rsidRDefault="003F128F" w:rsidP="00BA4C65">
      <w:pPr>
        <w:pStyle w:val="af3"/>
        <w:rPr>
          <w:rFonts w:ascii="Traditional Arabic" w:hAnsi="Traditional Arabic"/>
          <w:sz w:val="32"/>
          <w:szCs w:val="32"/>
        </w:rPr>
      </w:pPr>
      <w:r w:rsidRPr="00284B9A">
        <w:rPr>
          <w:rFonts w:ascii="Traditional Arabic" w:hAnsi="Traditional Arabic"/>
          <w:sz w:val="32"/>
          <w:szCs w:val="32"/>
          <w:rtl/>
        </w:rPr>
        <w:t>(</w:t>
      </w:r>
      <w:r w:rsidRPr="00284B9A">
        <w:rPr>
          <w:rStyle w:val="ae"/>
          <w:rFonts w:ascii="Traditional Arabic" w:hAnsi="Traditional Arabic"/>
          <w:sz w:val="32"/>
          <w:szCs w:val="32"/>
          <w:vertAlign w:val="baseline"/>
        </w:rPr>
        <w:footnoteRef/>
      </w:r>
      <w:r w:rsidRPr="00284B9A">
        <w:rPr>
          <w:rFonts w:ascii="Traditional Arabic" w:hAnsi="Traditional Arabic"/>
          <w:sz w:val="32"/>
          <w:szCs w:val="32"/>
          <w:rtl/>
        </w:rPr>
        <w:t>) ذكره الواحدي في أسباب النزول (ص212) بدون إسناد لعائشة</w:t>
      </w:r>
      <w:r>
        <w:rPr>
          <w:rFonts w:ascii="Traditional Arabic" w:hAnsi="Traditional Arabic" w:hint="cs"/>
          <w:sz w:val="32"/>
          <w:szCs w:val="32"/>
          <w:rtl/>
        </w:rPr>
        <w:t xml:space="preserve"> رضي الله عنها</w:t>
      </w:r>
      <w:r w:rsidRPr="00284B9A">
        <w:rPr>
          <w:rFonts w:ascii="Traditional Arabic" w:hAnsi="Traditional Arabic"/>
          <w:sz w:val="32"/>
          <w:szCs w:val="32"/>
          <w:rtl/>
        </w:rPr>
        <w:t>. وأخرجه الطبري في تفسيره (17/580) عن عبد الله بن شداد به, وسنده مرسل لأن عبد الله بن شداد تابعي، ثم إن السورة مكية، والأعراب إنما أسلموا في المدينة. وإنما أخرج البخاري في (كتاب التفسير, باب</w:t>
      </w:r>
      <w:r>
        <w:rPr>
          <w:rFonts w:ascii="Traditional Arabic" w:hAnsi="Traditional Arabic" w:hint="cs"/>
          <w:sz w:val="32"/>
          <w:szCs w:val="32"/>
          <w:rtl/>
        </w:rPr>
        <w:t>:</w:t>
      </w:r>
      <w:r w:rsidRPr="00284B9A">
        <w:rPr>
          <w:rFonts w:ascii="Traditional Arabic" w:hAnsi="Traditional Arabic"/>
          <w:sz w:val="32"/>
          <w:szCs w:val="32"/>
          <w:rtl/>
        </w:rPr>
        <w:t xml:space="preserve"> </w:t>
      </w:r>
      <w:r w:rsidRPr="004704B8">
        <w:rPr>
          <w:rFonts w:ascii="QCF_BSML" w:hAnsi="QCF_BSML" w:cs="QCF_BSML"/>
          <w:rtl/>
          <w:lang w:eastAsia="en-US"/>
        </w:rPr>
        <w:t>ﭽ</w:t>
      </w:r>
      <w:r w:rsidRPr="004704B8">
        <w:rPr>
          <w:rFonts w:ascii="QCF_P293" w:hAnsi="QCF_P293" w:cs="QCF_P293"/>
          <w:color w:val="auto"/>
          <w:rtl/>
          <w:lang w:eastAsia="en-US"/>
        </w:rPr>
        <w:t xml:space="preserve"> ﮘ  ﮙ  ﮚ  ﮛ  ﮜ  ﮝ </w:t>
      </w:r>
      <w:r w:rsidRPr="004704B8">
        <w:rPr>
          <w:rFonts w:ascii="QCF_BSML" w:hAnsi="QCF_BSML" w:cs="QCF_BSML"/>
          <w:rtl/>
          <w:lang w:eastAsia="en-US"/>
        </w:rPr>
        <w:t>ﭼ</w:t>
      </w:r>
      <w:r w:rsidRPr="007E7E06">
        <w:rPr>
          <w:rFonts w:ascii="Traditional Arabic" w:hAnsi="Traditional Arabic"/>
          <w:color w:val="auto"/>
          <w:sz w:val="32"/>
          <w:szCs w:val="32"/>
          <w:rtl/>
          <w:lang w:eastAsia="en-US"/>
        </w:rPr>
        <w:t xml:space="preserve"> </w:t>
      </w:r>
      <w:r w:rsidRPr="007E7E06">
        <w:rPr>
          <w:rFonts w:ascii="Traditional Arabic" w:hAnsi="Traditional Arabic"/>
          <w:sz w:val="32"/>
          <w:szCs w:val="32"/>
          <w:rtl/>
        </w:rPr>
        <w:t>8/514  ح4723, وأطرافه في ح6327, 7526), ومسلم في (كتاب الصلاة, باب</w:t>
      </w:r>
      <w:r>
        <w:rPr>
          <w:rFonts w:ascii="Traditional Arabic" w:hAnsi="Traditional Arabic" w:hint="cs"/>
          <w:sz w:val="32"/>
          <w:szCs w:val="32"/>
          <w:rtl/>
        </w:rPr>
        <w:t>:</w:t>
      </w:r>
      <w:r w:rsidRPr="007E7E06">
        <w:rPr>
          <w:rFonts w:ascii="Traditional Arabic" w:hAnsi="Traditional Arabic"/>
          <w:sz w:val="32"/>
          <w:szCs w:val="32"/>
          <w:rtl/>
        </w:rPr>
        <w:t xml:space="preserve"> التوسط في القراءة في الصلاة الجهرية بين الجهر والإسرار إذا</w:t>
      </w:r>
      <w:r>
        <w:rPr>
          <w:rFonts w:ascii="Traditional Arabic" w:hAnsi="Traditional Arabic"/>
          <w:sz w:val="32"/>
          <w:szCs w:val="32"/>
          <w:rtl/>
        </w:rPr>
        <w:t xml:space="preserve"> خاف من الجهر مفسدة 4/386ح1001)</w:t>
      </w:r>
      <w:r w:rsidRPr="007E7E06">
        <w:rPr>
          <w:rFonts w:ascii="Traditional Arabic" w:hAnsi="Traditional Arabic"/>
          <w:sz w:val="32"/>
          <w:szCs w:val="32"/>
          <w:rtl/>
        </w:rPr>
        <w:t xml:space="preserve"> عن هشام عن أبيه عن عائشة رضي الله عنها قالت: " أُنزل في الدعاء". ولم يذكر فيه الأعرابي. </w:t>
      </w:r>
    </w:p>
  </w:footnote>
  <w:footnote w:id="831">
    <w:p w:rsidR="003F128F" w:rsidRPr="007849E8" w:rsidRDefault="003F128F" w:rsidP="00911ED4">
      <w:pPr>
        <w:pStyle w:val="af3"/>
        <w:rPr>
          <w:rFonts w:ascii="Traditional Arabic" w:hAnsi="Traditional Arabic"/>
          <w:sz w:val="32"/>
          <w:szCs w:val="32"/>
        </w:rPr>
      </w:pPr>
      <w:r w:rsidRPr="007849E8">
        <w:rPr>
          <w:rFonts w:ascii="Traditional Arabic" w:hAnsi="Traditional Arabic"/>
          <w:sz w:val="32"/>
          <w:szCs w:val="32"/>
          <w:rtl/>
        </w:rPr>
        <w:t>(</w:t>
      </w:r>
      <w:r w:rsidRPr="007849E8">
        <w:rPr>
          <w:rStyle w:val="ae"/>
          <w:rFonts w:ascii="Traditional Arabic" w:hAnsi="Traditional Arabic"/>
          <w:sz w:val="32"/>
          <w:szCs w:val="32"/>
          <w:vertAlign w:val="baseline"/>
        </w:rPr>
        <w:footnoteRef/>
      </w:r>
      <w:r w:rsidRPr="007849E8">
        <w:rPr>
          <w:rFonts w:ascii="Traditional Arabic" w:hAnsi="Traditional Arabic"/>
          <w:sz w:val="32"/>
          <w:szCs w:val="32"/>
          <w:rtl/>
        </w:rPr>
        <w:t>) ذكره مقاتل في تفسيره (2/555) بدون إسناد, ونقله عنه الثعلبي في الكشف والبيان (6/142).</w:t>
      </w:r>
    </w:p>
  </w:footnote>
  <w:footnote w:id="832">
    <w:p w:rsidR="003F128F" w:rsidRPr="00BA6C1B" w:rsidRDefault="003F128F" w:rsidP="00BA6C1B">
      <w:pPr>
        <w:pStyle w:val="af3"/>
        <w:tabs>
          <w:tab w:val="center" w:pos="4251"/>
        </w:tabs>
        <w:rPr>
          <w:rFonts w:ascii="Traditional Arabic" w:hAnsi="Traditional Arabic"/>
          <w:sz w:val="32"/>
          <w:szCs w:val="32"/>
        </w:rPr>
      </w:pPr>
      <w:r w:rsidRPr="00BA6C1B">
        <w:rPr>
          <w:rFonts w:ascii="Traditional Arabic" w:hAnsi="Traditional Arabic"/>
          <w:sz w:val="32"/>
          <w:szCs w:val="32"/>
          <w:rtl/>
        </w:rPr>
        <w:t>(</w:t>
      </w:r>
      <w:r w:rsidRPr="00BA6C1B">
        <w:rPr>
          <w:rStyle w:val="ae"/>
          <w:rFonts w:ascii="Traditional Arabic" w:hAnsi="Traditional Arabic"/>
          <w:sz w:val="32"/>
          <w:szCs w:val="32"/>
          <w:vertAlign w:val="baseline"/>
        </w:rPr>
        <w:footnoteRef/>
      </w:r>
      <w:r w:rsidRPr="00BA6C1B">
        <w:rPr>
          <w:rFonts w:ascii="Traditional Arabic" w:hAnsi="Traditional Arabic"/>
          <w:sz w:val="32"/>
          <w:szCs w:val="32"/>
          <w:rtl/>
        </w:rPr>
        <w:t xml:space="preserve">) </w:t>
      </w:r>
      <w:r w:rsidRPr="00BA6C1B">
        <w:rPr>
          <w:rFonts w:ascii="Traditional Arabic" w:hAnsi="Traditional Arabic"/>
          <w:color w:val="auto"/>
          <w:sz w:val="32"/>
          <w:szCs w:val="32"/>
          <w:rtl/>
        </w:rPr>
        <w:t xml:space="preserve">انظر: </w:t>
      </w:r>
      <w:r w:rsidRPr="00BA6C1B">
        <w:rPr>
          <w:rFonts w:ascii="Traditional Arabic" w:hAnsi="Traditional Arabic"/>
          <w:sz w:val="32"/>
          <w:szCs w:val="32"/>
          <w:rtl/>
        </w:rPr>
        <w:t xml:space="preserve">التفسير الوسيط (3/133). </w:t>
      </w:r>
      <w:r w:rsidRPr="00BA6C1B">
        <w:rPr>
          <w:rFonts w:ascii="Traditional Arabic" w:hAnsi="Traditional Arabic"/>
          <w:sz w:val="32"/>
          <w:szCs w:val="32"/>
        </w:rPr>
        <w:tab/>
      </w:r>
    </w:p>
  </w:footnote>
  <w:footnote w:id="833">
    <w:p w:rsidR="003F128F" w:rsidRPr="00BA6C1B" w:rsidRDefault="003F128F" w:rsidP="00BA6C1B">
      <w:pPr>
        <w:pStyle w:val="af3"/>
        <w:rPr>
          <w:rFonts w:ascii="Traditional Arabic" w:hAnsi="Traditional Arabic"/>
          <w:sz w:val="32"/>
          <w:szCs w:val="32"/>
        </w:rPr>
      </w:pPr>
      <w:r w:rsidRPr="00BA6C1B">
        <w:rPr>
          <w:rFonts w:ascii="Traditional Arabic" w:hAnsi="Traditional Arabic"/>
          <w:sz w:val="32"/>
          <w:szCs w:val="32"/>
          <w:rtl/>
        </w:rPr>
        <w:t>(</w:t>
      </w:r>
      <w:r w:rsidRPr="00BA6C1B">
        <w:rPr>
          <w:rStyle w:val="ae"/>
          <w:rFonts w:ascii="Traditional Arabic" w:hAnsi="Traditional Arabic"/>
          <w:sz w:val="32"/>
          <w:szCs w:val="32"/>
          <w:vertAlign w:val="baseline"/>
        </w:rPr>
        <w:footnoteRef/>
      </w:r>
      <w:r w:rsidRPr="00BA6C1B">
        <w:rPr>
          <w:rFonts w:ascii="Traditional Arabic" w:hAnsi="Traditional Arabic"/>
          <w:sz w:val="32"/>
          <w:szCs w:val="32"/>
          <w:rtl/>
        </w:rPr>
        <w:t xml:space="preserve">) في </w:t>
      </w:r>
      <w:r w:rsidRPr="00BA6C1B">
        <w:rPr>
          <w:rFonts w:ascii="Traditional Arabic" w:hAnsi="Traditional Arabic" w:hint="cs"/>
          <w:sz w:val="32"/>
          <w:szCs w:val="32"/>
          <w:rtl/>
        </w:rPr>
        <w:t>(ك): [</w:t>
      </w:r>
      <w:r w:rsidRPr="00BA6C1B">
        <w:rPr>
          <w:sz w:val="32"/>
          <w:szCs w:val="32"/>
          <w:rtl/>
        </w:rPr>
        <w:t>وتكون في معنى: أيّ معادَة لمَّا اختلف لفظهما</w:t>
      </w:r>
      <w:r w:rsidRPr="00BA6C1B">
        <w:rPr>
          <w:rFonts w:hint="cs"/>
          <w:sz w:val="32"/>
          <w:szCs w:val="32"/>
          <w:rtl/>
        </w:rPr>
        <w:t>].</w:t>
      </w:r>
    </w:p>
  </w:footnote>
  <w:footnote w:id="834">
    <w:p w:rsidR="003F128F" w:rsidRPr="00BA6C1B" w:rsidRDefault="003F128F" w:rsidP="00911ED4">
      <w:pPr>
        <w:pStyle w:val="af3"/>
        <w:rPr>
          <w:rFonts w:ascii="Traditional Arabic" w:hAnsi="Traditional Arabic"/>
          <w:sz w:val="32"/>
          <w:szCs w:val="32"/>
        </w:rPr>
      </w:pPr>
      <w:r w:rsidRPr="00BA6C1B">
        <w:rPr>
          <w:rFonts w:ascii="Traditional Arabic" w:hAnsi="Traditional Arabic"/>
          <w:sz w:val="32"/>
          <w:szCs w:val="32"/>
          <w:rtl/>
        </w:rPr>
        <w:t>(</w:t>
      </w:r>
      <w:r w:rsidRPr="00BA6C1B">
        <w:rPr>
          <w:rStyle w:val="ae"/>
          <w:rFonts w:ascii="Traditional Arabic" w:hAnsi="Traditional Arabic"/>
          <w:sz w:val="32"/>
          <w:szCs w:val="32"/>
          <w:vertAlign w:val="baseline"/>
        </w:rPr>
        <w:footnoteRef/>
      </w:r>
      <w:r w:rsidRPr="00BA6C1B">
        <w:rPr>
          <w:rFonts w:ascii="Traditional Arabic" w:hAnsi="Traditional Arabic"/>
          <w:sz w:val="32"/>
          <w:szCs w:val="32"/>
          <w:rtl/>
        </w:rPr>
        <w:t>) انظر: معاني القرآن (2/133).</w:t>
      </w:r>
    </w:p>
  </w:footnote>
  <w:footnote w:id="835">
    <w:p w:rsidR="003F128F" w:rsidRPr="00284B9A" w:rsidRDefault="003F128F" w:rsidP="00911ED4">
      <w:pPr>
        <w:pStyle w:val="af3"/>
        <w:rPr>
          <w:rFonts w:ascii="Traditional Arabic" w:hAnsi="Traditional Arabic"/>
          <w:sz w:val="32"/>
          <w:szCs w:val="32"/>
        </w:rPr>
      </w:pPr>
      <w:r w:rsidRPr="00284B9A">
        <w:rPr>
          <w:rFonts w:ascii="Traditional Arabic" w:hAnsi="Traditional Arabic"/>
          <w:sz w:val="32"/>
          <w:szCs w:val="32"/>
          <w:rtl/>
        </w:rPr>
        <w:t>(</w:t>
      </w:r>
      <w:r w:rsidRPr="00284B9A">
        <w:rPr>
          <w:rStyle w:val="ae"/>
          <w:rFonts w:ascii="Traditional Arabic" w:hAnsi="Traditional Arabic"/>
          <w:sz w:val="32"/>
          <w:szCs w:val="32"/>
          <w:vertAlign w:val="baseline"/>
        </w:rPr>
        <w:footnoteRef/>
      </w:r>
      <w:r w:rsidRPr="00284B9A">
        <w:rPr>
          <w:rFonts w:ascii="Traditional Arabic" w:hAnsi="Traditional Arabic"/>
          <w:sz w:val="32"/>
          <w:szCs w:val="32"/>
          <w:rtl/>
        </w:rPr>
        <w:t>) تفسير الطبري (17/583), النكت والعيون (3/281).</w:t>
      </w:r>
    </w:p>
  </w:footnote>
  <w:footnote w:id="836">
    <w:p w:rsidR="003F128F" w:rsidRPr="00284B9A" w:rsidRDefault="003F128F" w:rsidP="00911ED4">
      <w:pPr>
        <w:pStyle w:val="af3"/>
        <w:rPr>
          <w:rFonts w:ascii="Traditional Arabic" w:hAnsi="Traditional Arabic"/>
          <w:sz w:val="32"/>
          <w:szCs w:val="32"/>
        </w:rPr>
      </w:pPr>
      <w:r w:rsidRPr="00284B9A">
        <w:rPr>
          <w:rFonts w:ascii="Traditional Arabic" w:hAnsi="Traditional Arabic"/>
          <w:sz w:val="32"/>
          <w:szCs w:val="32"/>
          <w:rtl/>
        </w:rPr>
        <w:t>(</w:t>
      </w:r>
      <w:r w:rsidRPr="00284B9A">
        <w:rPr>
          <w:rStyle w:val="ae"/>
          <w:rFonts w:ascii="Traditional Arabic" w:hAnsi="Traditional Arabic"/>
          <w:sz w:val="32"/>
          <w:szCs w:val="32"/>
          <w:vertAlign w:val="baseline"/>
        </w:rPr>
        <w:footnoteRef/>
      </w:r>
      <w:r w:rsidRPr="00284B9A">
        <w:rPr>
          <w:rFonts w:ascii="Traditional Arabic" w:hAnsi="Traditional Arabic"/>
          <w:sz w:val="32"/>
          <w:szCs w:val="32"/>
          <w:rtl/>
        </w:rPr>
        <w:t>) انظر: تفسير الطبري (17/583), النكت والعيون (3/281).</w:t>
      </w:r>
    </w:p>
  </w:footnote>
  <w:footnote w:id="837">
    <w:p w:rsidR="003F128F" w:rsidRPr="00284B9A" w:rsidRDefault="003F128F" w:rsidP="00BA4C65">
      <w:pPr>
        <w:pStyle w:val="af3"/>
        <w:rPr>
          <w:rFonts w:ascii="Traditional Arabic" w:hAnsi="Traditional Arabic"/>
          <w:sz w:val="32"/>
          <w:szCs w:val="32"/>
        </w:rPr>
      </w:pPr>
      <w:r w:rsidRPr="00284B9A">
        <w:rPr>
          <w:rFonts w:ascii="Traditional Arabic" w:hAnsi="Traditional Arabic"/>
          <w:sz w:val="32"/>
          <w:szCs w:val="32"/>
          <w:rtl/>
        </w:rPr>
        <w:t>(</w:t>
      </w:r>
      <w:r w:rsidRPr="00284B9A">
        <w:rPr>
          <w:rStyle w:val="ae"/>
          <w:rFonts w:ascii="Traditional Arabic" w:hAnsi="Traditional Arabic"/>
          <w:sz w:val="32"/>
          <w:szCs w:val="32"/>
          <w:vertAlign w:val="baseline"/>
        </w:rPr>
        <w:footnoteRef/>
      </w:r>
      <w:r w:rsidRPr="00284B9A">
        <w:rPr>
          <w:rFonts w:ascii="Traditional Arabic" w:hAnsi="Traditional Arabic"/>
          <w:sz w:val="32"/>
          <w:szCs w:val="32"/>
          <w:rtl/>
        </w:rPr>
        <w:t>) ذكر بنحوه أهل التفسير</w:t>
      </w:r>
      <w:r>
        <w:rPr>
          <w:rFonts w:ascii="Traditional Arabic" w:hAnsi="Traditional Arabic" w:hint="cs"/>
          <w:sz w:val="32"/>
          <w:szCs w:val="32"/>
          <w:rtl/>
        </w:rPr>
        <w:t>.</w:t>
      </w:r>
      <w:r w:rsidRPr="00284B9A">
        <w:rPr>
          <w:rFonts w:ascii="Traditional Arabic" w:hAnsi="Traditional Arabic"/>
          <w:sz w:val="32"/>
          <w:szCs w:val="32"/>
          <w:rtl/>
        </w:rPr>
        <w:t xml:space="preserve"> انظر: تفسير مقاتل (2/556), تفسير الطبري (17/583), الوجيز للواحدي (ص651).</w:t>
      </w:r>
    </w:p>
  </w:footnote>
  <w:footnote w:id="838">
    <w:p w:rsidR="003F128F" w:rsidRPr="00284B9A" w:rsidRDefault="003F128F" w:rsidP="00911ED4">
      <w:pPr>
        <w:pStyle w:val="af3"/>
        <w:rPr>
          <w:rFonts w:ascii="Traditional Arabic" w:hAnsi="Traditional Arabic"/>
          <w:sz w:val="32"/>
          <w:szCs w:val="32"/>
        </w:rPr>
      </w:pPr>
      <w:r w:rsidRPr="00284B9A">
        <w:rPr>
          <w:rFonts w:ascii="Traditional Arabic" w:hAnsi="Traditional Arabic"/>
          <w:sz w:val="32"/>
          <w:szCs w:val="32"/>
          <w:rtl/>
        </w:rPr>
        <w:t>(</w:t>
      </w:r>
      <w:r w:rsidRPr="00284B9A">
        <w:rPr>
          <w:rStyle w:val="ae"/>
          <w:rFonts w:ascii="Traditional Arabic" w:hAnsi="Traditional Arabic"/>
          <w:sz w:val="32"/>
          <w:szCs w:val="32"/>
          <w:vertAlign w:val="baseline"/>
        </w:rPr>
        <w:footnoteRef/>
      </w:r>
      <w:r w:rsidRPr="00284B9A">
        <w:rPr>
          <w:rFonts w:ascii="Traditional Arabic" w:hAnsi="Traditional Arabic"/>
          <w:sz w:val="32"/>
          <w:szCs w:val="32"/>
          <w:rtl/>
        </w:rPr>
        <w:t>) لم أقف عليه ولكن أورد المؤلف رحمه الله بعضاً منه في تفسيره هذا. انظر: زاد المسير (1/383).</w:t>
      </w:r>
    </w:p>
  </w:footnote>
  <w:footnote w:id="839">
    <w:p w:rsidR="003F128F" w:rsidRPr="00E528FF" w:rsidRDefault="003F128F" w:rsidP="00911ED4">
      <w:pPr>
        <w:pStyle w:val="af3"/>
        <w:rPr>
          <w:rFonts w:ascii="Tahoma" w:hAnsi="Tahoma"/>
        </w:rPr>
      </w:pPr>
      <w:r w:rsidRPr="00284B9A">
        <w:rPr>
          <w:rFonts w:ascii="Traditional Arabic" w:hAnsi="Traditional Arabic"/>
          <w:sz w:val="32"/>
          <w:szCs w:val="32"/>
          <w:rtl/>
        </w:rPr>
        <w:t>(</w:t>
      </w:r>
      <w:r w:rsidRPr="00284B9A">
        <w:rPr>
          <w:rStyle w:val="ae"/>
          <w:rFonts w:ascii="Traditional Arabic" w:hAnsi="Traditional Arabic"/>
          <w:sz w:val="32"/>
          <w:szCs w:val="32"/>
          <w:vertAlign w:val="baseline"/>
        </w:rPr>
        <w:footnoteRef/>
      </w:r>
      <w:r>
        <w:rPr>
          <w:rFonts w:ascii="Traditional Arabic" w:hAnsi="Traditional Arabic"/>
          <w:sz w:val="32"/>
          <w:szCs w:val="32"/>
          <w:rtl/>
        </w:rPr>
        <w:t>)</w:t>
      </w:r>
      <w:r w:rsidRPr="00284B9A">
        <w:rPr>
          <w:rFonts w:ascii="Traditional Arabic" w:hAnsi="Traditional Arabic"/>
          <w:sz w:val="32"/>
          <w:szCs w:val="32"/>
          <w:rtl/>
        </w:rPr>
        <w:t xml:space="preserve"> ذكره السيوطي في الدر المنثور (</w:t>
      </w:r>
      <w:r>
        <w:rPr>
          <w:rFonts w:ascii="Traditional Arabic" w:hAnsi="Traditional Arabic" w:hint="cs"/>
          <w:sz w:val="32"/>
          <w:szCs w:val="32"/>
          <w:rtl/>
        </w:rPr>
        <w:t>5/351</w:t>
      </w:r>
      <w:r w:rsidRPr="00284B9A">
        <w:rPr>
          <w:rFonts w:ascii="Traditional Arabic" w:hAnsi="Traditional Arabic"/>
          <w:sz w:val="32"/>
          <w:szCs w:val="32"/>
          <w:rtl/>
        </w:rPr>
        <w:t>) وعزاه لابن أبي حاتم والطبراني.</w:t>
      </w:r>
    </w:p>
  </w:footnote>
  <w:footnote w:id="840">
    <w:p w:rsidR="003F128F" w:rsidRPr="00284B9A" w:rsidRDefault="003F128F" w:rsidP="00BA6C1B">
      <w:pPr>
        <w:pStyle w:val="af3"/>
        <w:rPr>
          <w:rFonts w:ascii="Traditional Arabic" w:hAnsi="Traditional Arabic"/>
          <w:sz w:val="32"/>
          <w:szCs w:val="32"/>
        </w:rPr>
      </w:pPr>
      <w:r w:rsidRPr="00284B9A">
        <w:rPr>
          <w:rFonts w:ascii="Traditional Arabic" w:hAnsi="Traditional Arabic"/>
          <w:sz w:val="32"/>
          <w:szCs w:val="32"/>
          <w:rtl/>
        </w:rPr>
        <w:t>(</w:t>
      </w:r>
      <w:r w:rsidRPr="00284B9A">
        <w:rPr>
          <w:rStyle w:val="ae"/>
          <w:rFonts w:ascii="Traditional Arabic" w:hAnsi="Traditional Arabic"/>
          <w:sz w:val="32"/>
          <w:szCs w:val="32"/>
          <w:vertAlign w:val="baseline"/>
        </w:rPr>
        <w:footnoteRef/>
      </w:r>
      <w:r w:rsidRPr="00284B9A">
        <w:rPr>
          <w:rFonts w:ascii="Traditional Arabic" w:hAnsi="Traditional Arabic"/>
          <w:sz w:val="32"/>
          <w:szCs w:val="32"/>
          <w:rtl/>
        </w:rPr>
        <w:t>) انظر: تفسير الطبري (17/586), الهداية (6/4313)</w:t>
      </w:r>
      <w:r>
        <w:rPr>
          <w:rFonts w:ascii="Traditional Arabic" w:hAnsi="Traditional Arabic" w:hint="cs"/>
          <w:sz w:val="32"/>
          <w:szCs w:val="32"/>
          <w:rtl/>
        </w:rPr>
        <w:t>.</w:t>
      </w:r>
    </w:p>
  </w:footnote>
  <w:footnote w:id="841">
    <w:p w:rsidR="003F128F" w:rsidRPr="00284B9A" w:rsidRDefault="003F128F" w:rsidP="00487E5E">
      <w:pPr>
        <w:pStyle w:val="af3"/>
        <w:rPr>
          <w:rFonts w:ascii="Traditional Arabic" w:hAnsi="Traditional Arabic"/>
          <w:sz w:val="32"/>
          <w:szCs w:val="32"/>
        </w:rPr>
      </w:pPr>
      <w:r w:rsidRPr="00284B9A">
        <w:rPr>
          <w:rFonts w:ascii="Traditional Arabic" w:hAnsi="Traditional Arabic"/>
          <w:sz w:val="32"/>
          <w:szCs w:val="32"/>
          <w:rtl/>
        </w:rPr>
        <w:t>(</w:t>
      </w:r>
      <w:r w:rsidRPr="00284B9A">
        <w:rPr>
          <w:rStyle w:val="ae"/>
          <w:rFonts w:ascii="Traditional Arabic" w:hAnsi="Traditional Arabic"/>
          <w:sz w:val="32"/>
          <w:szCs w:val="32"/>
          <w:vertAlign w:val="baseline"/>
        </w:rPr>
        <w:footnoteRef/>
      </w:r>
      <w:r w:rsidRPr="00284B9A">
        <w:rPr>
          <w:rFonts w:ascii="Traditional Arabic" w:hAnsi="Traditional Arabic"/>
          <w:sz w:val="32"/>
          <w:szCs w:val="32"/>
          <w:rtl/>
        </w:rPr>
        <w:t xml:space="preserve">) هو التابعي </w:t>
      </w:r>
      <w:r>
        <w:rPr>
          <w:rFonts w:ascii="Traditional Arabic" w:hAnsi="Traditional Arabic"/>
          <w:sz w:val="32"/>
          <w:szCs w:val="32"/>
          <w:rtl/>
        </w:rPr>
        <w:t>الإمام</w:t>
      </w:r>
      <w:r w:rsidRPr="00284B9A">
        <w:rPr>
          <w:rFonts w:ascii="Traditional Arabic" w:hAnsi="Traditional Arabic"/>
          <w:sz w:val="32"/>
          <w:szCs w:val="32"/>
          <w:rtl/>
        </w:rPr>
        <w:t xml:space="preserve"> أبو بكر محمد بن سيرين الأنصاريُّ البصريُّ، إمامٌ في الحديث والفقه والتفسير والقضاء والفرائض، عابدٌ كبير القدر, شديدُ الورع, (ت110ه). انظر: سير أعلام النبلاء (4/606)، طبقات المفسرين للأدنه وي (ص14). </w:t>
      </w:r>
    </w:p>
  </w:footnote>
  <w:footnote w:id="842">
    <w:p w:rsidR="003F128F" w:rsidRPr="00284B9A" w:rsidRDefault="003F128F" w:rsidP="00BA6C1B">
      <w:pPr>
        <w:pStyle w:val="af3"/>
        <w:rPr>
          <w:rFonts w:ascii="Traditional Arabic" w:hAnsi="Traditional Arabic"/>
          <w:sz w:val="32"/>
          <w:szCs w:val="32"/>
        </w:rPr>
      </w:pPr>
      <w:r w:rsidRPr="00284B9A">
        <w:rPr>
          <w:rFonts w:ascii="Traditional Arabic" w:hAnsi="Traditional Arabic"/>
          <w:sz w:val="32"/>
          <w:szCs w:val="32"/>
          <w:rtl/>
        </w:rPr>
        <w:t>(</w:t>
      </w:r>
      <w:r w:rsidRPr="00284B9A">
        <w:rPr>
          <w:rStyle w:val="ae"/>
          <w:rFonts w:ascii="Traditional Arabic" w:hAnsi="Traditional Arabic"/>
          <w:sz w:val="32"/>
          <w:szCs w:val="32"/>
          <w:vertAlign w:val="baseline"/>
        </w:rPr>
        <w:footnoteRef/>
      </w:r>
      <w:r w:rsidRPr="00284B9A">
        <w:rPr>
          <w:rFonts w:ascii="Traditional Arabic" w:hAnsi="Traditional Arabic"/>
          <w:sz w:val="32"/>
          <w:szCs w:val="32"/>
          <w:rtl/>
        </w:rPr>
        <w:t>) انظر: تفسير الط</w:t>
      </w:r>
      <w:r>
        <w:rPr>
          <w:rFonts w:ascii="Traditional Arabic" w:hAnsi="Traditional Arabic"/>
          <w:sz w:val="32"/>
          <w:szCs w:val="32"/>
          <w:rtl/>
        </w:rPr>
        <w:t>بري (17/586), الهداية (6/4313)</w:t>
      </w:r>
      <w:r>
        <w:rPr>
          <w:rFonts w:ascii="Traditional Arabic" w:hAnsi="Traditional Arabic" w:hint="cs"/>
          <w:sz w:val="32"/>
          <w:szCs w:val="32"/>
          <w:rtl/>
        </w:rPr>
        <w:t>.</w:t>
      </w:r>
    </w:p>
  </w:footnote>
  <w:footnote w:id="843">
    <w:p w:rsidR="003F128F" w:rsidRPr="00284B9A" w:rsidRDefault="003F128F" w:rsidP="00911ED4">
      <w:pPr>
        <w:pStyle w:val="af3"/>
        <w:rPr>
          <w:rFonts w:ascii="Traditional Arabic" w:hAnsi="Traditional Arabic"/>
          <w:sz w:val="32"/>
          <w:szCs w:val="32"/>
        </w:rPr>
      </w:pPr>
      <w:r w:rsidRPr="00284B9A">
        <w:rPr>
          <w:rFonts w:ascii="Traditional Arabic" w:hAnsi="Traditional Arabic"/>
          <w:sz w:val="32"/>
          <w:szCs w:val="32"/>
          <w:rtl/>
        </w:rPr>
        <w:t>(</w:t>
      </w:r>
      <w:r w:rsidRPr="00284B9A">
        <w:rPr>
          <w:rStyle w:val="ae"/>
          <w:rFonts w:ascii="Traditional Arabic" w:hAnsi="Traditional Arabic"/>
          <w:sz w:val="32"/>
          <w:szCs w:val="32"/>
          <w:vertAlign w:val="baseline"/>
        </w:rPr>
        <w:footnoteRef/>
      </w:r>
      <w:r w:rsidRPr="00284B9A">
        <w:rPr>
          <w:rFonts w:ascii="Traditional Arabic" w:hAnsi="Traditional Arabic"/>
          <w:sz w:val="32"/>
          <w:szCs w:val="32"/>
          <w:rtl/>
        </w:rPr>
        <w:t>) انظر: تفسير الطبري (17/587), النكت والعيون(3/281).</w:t>
      </w:r>
    </w:p>
  </w:footnote>
  <w:footnote w:id="844">
    <w:p w:rsidR="003F128F" w:rsidRPr="00284B9A" w:rsidRDefault="003F128F" w:rsidP="00911ED4">
      <w:pPr>
        <w:pStyle w:val="af3"/>
        <w:rPr>
          <w:rFonts w:ascii="Traditional Arabic" w:hAnsi="Traditional Arabic"/>
          <w:sz w:val="32"/>
          <w:szCs w:val="32"/>
        </w:rPr>
      </w:pPr>
      <w:r w:rsidRPr="00284B9A">
        <w:rPr>
          <w:rFonts w:ascii="Traditional Arabic" w:hAnsi="Traditional Arabic"/>
          <w:sz w:val="32"/>
          <w:szCs w:val="32"/>
          <w:rtl/>
        </w:rPr>
        <w:t>(</w:t>
      </w:r>
      <w:r w:rsidRPr="00284B9A">
        <w:rPr>
          <w:rStyle w:val="ae"/>
          <w:rFonts w:ascii="Traditional Arabic" w:hAnsi="Traditional Arabic"/>
          <w:sz w:val="32"/>
          <w:szCs w:val="32"/>
          <w:vertAlign w:val="baseline"/>
        </w:rPr>
        <w:footnoteRef/>
      </w:r>
      <w:r w:rsidRPr="00284B9A">
        <w:rPr>
          <w:rFonts w:ascii="Traditional Arabic" w:hAnsi="Traditional Arabic"/>
          <w:sz w:val="32"/>
          <w:szCs w:val="32"/>
          <w:rtl/>
        </w:rPr>
        <w:t>) انظر: تفسير الطبري (17/587), النكت والعيون (3/281).</w:t>
      </w:r>
    </w:p>
  </w:footnote>
  <w:footnote w:id="845">
    <w:p w:rsidR="003F128F" w:rsidRPr="00284B9A" w:rsidRDefault="003F128F" w:rsidP="00911ED4">
      <w:pPr>
        <w:pStyle w:val="af3"/>
        <w:rPr>
          <w:rFonts w:ascii="Traditional Arabic" w:hAnsi="Traditional Arabic"/>
          <w:sz w:val="32"/>
          <w:szCs w:val="32"/>
        </w:rPr>
      </w:pPr>
      <w:r w:rsidRPr="00284B9A">
        <w:rPr>
          <w:rFonts w:ascii="Traditional Arabic" w:hAnsi="Traditional Arabic"/>
          <w:sz w:val="32"/>
          <w:szCs w:val="32"/>
          <w:rtl/>
        </w:rPr>
        <w:t>(</w:t>
      </w:r>
      <w:r w:rsidRPr="00284B9A">
        <w:rPr>
          <w:rStyle w:val="ae"/>
          <w:rFonts w:ascii="Traditional Arabic" w:hAnsi="Traditional Arabic"/>
          <w:sz w:val="32"/>
          <w:szCs w:val="32"/>
          <w:vertAlign w:val="baseline"/>
        </w:rPr>
        <w:footnoteRef/>
      </w:r>
      <w:r w:rsidRPr="00284B9A">
        <w:rPr>
          <w:rFonts w:ascii="Traditional Arabic" w:hAnsi="Traditional Arabic"/>
          <w:sz w:val="32"/>
          <w:szCs w:val="32"/>
          <w:rtl/>
        </w:rPr>
        <w:t>) ذكره الجصاص في أحكام القرآن (3/274), والسمرقندي في بحر العلوم (2/333), والماوردي في النكت والعيون (3/281)كلهم غير منسوب.</w:t>
      </w:r>
    </w:p>
  </w:footnote>
  <w:footnote w:id="846">
    <w:p w:rsidR="003F128F" w:rsidRPr="00284B9A" w:rsidRDefault="003F128F" w:rsidP="00911ED4">
      <w:pPr>
        <w:pStyle w:val="af3"/>
        <w:rPr>
          <w:rFonts w:ascii="Traditional Arabic" w:hAnsi="Traditional Arabic"/>
          <w:sz w:val="32"/>
          <w:szCs w:val="32"/>
        </w:rPr>
      </w:pPr>
      <w:r w:rsidRPr="00284B9A">
        <w:rPr>
          <w:rFonts w:ascii="Traditional Arabic" w:hAnsi="Traditional Arabic"/>
          <w:sz w:val="32"/>
          <w:szCs w:val="32"/>
          <w:rtl/>
        </w:rPr>
        <w:t>(</w:t>
      </w:r>
      <w:r w:rsidRPr="00284B9A">
        <w:rPr>
          <w:rStyle w:val="ae"/>
          <w:rFonts w:ascii="Traditional Arabic" w:hAnsi="Traditional Arabic"/>
          <w:sz w:val="32"/>
          <w:szCs w:val="32"/>
          <w:vertAlign w:val="baseline"/>
        </w:rPr>
        <w:footnoteRef/>
      </w:r>
      <w:r w:rsidRPr="00284B9A">
        <w:rPr>
          <w:rFonts w:ascii="Traditional Arabic" w:hAnsi="Traditional Arabic"/>
          <w:sz w:val="32"/>
          <w:szCs w:val="32"/>
          <w:rtl/>
        </w:rPr>
        <w:t>) انظر: تفسير الطبري (17/581), الهداية (6/4313).</w:t>
      </w:r>
    </w:p>
  </w:footnote>
  <w:footnote w:id="847">
    <w:p w:rsidR="003F128F" w:rsidRPr="00284B9A" w:rsidRDefault="003F128F" w:rsidP="00911ED4">
      <w:pPr>
        <w:pStyle w:val="af3"/>
        <w:rPr>
          <w:rFonts w:ascii="Traditional Arabic" w:hAnsi="Traditional Arabic"/>
          <w:sz w:val="32"/>
          <w:szCs w:val="32"/>
        </w:rPr>
      </w:pPr>
      <w:r w:rsidRPr="00284B9A">
        <w:rPr>
          <w:rFonts w:ascii="Traditional Arabic" w:hAnsi="Traditional Arabic"/>
          <w:sz w:val="32"/>
          <w:szCs w:val="32"/>
          <w:rtl/>
        </w:rPr>
        <w:t>(</w:t>
      </w:r>
      <w:r w:rsidRPr="00284B9A">
        <w:rPr>
          <w:rStyle w:val="ae"/>
          <w:rFonts w:ascii="Traditional Arabic" w:hAnsi="Traditional Arabic"/>
          <w:sz w:val="32"/>
          <w:szCs w:val="32"/>
          <w:vertAlign w:val="baseline"/>
        </w:rPr>
        <w:footnoteRef/>
      </w:r>
      <w:r w:rsidRPr="00284B9A">
        <w:rPr>
          <w:rFonts w:ascii="Traditional Arabic" w:hAnsi="Traditional Arabic"/>
          <w:sz w:val="32"/>
          <w:szCs w:val="32"/>
          <w:rtl/>
        </w:rPr>
        <w:t>) عزاه السيوطي في الدر المنثور (</w:t>
      </w:r>
      <w:r>
        <w:rPr>
          <w:rFonts w:ascii="Traditional Arabic" w:hAnsi="Traditional Arabic" w:hint="cs"/>
          <w:sz w:val="32"/>
          <w:szCs w:val="32"/>
          <w:rtl/>
        </w:rPr>
        <w:t>5/351</w:t>
      </w:r>
      <w:r w:rsidRPr="00284B9A">
        <w:rPr>
          <w:rFonts w:ascii="Traditional Arabic" w:hAnsi="Traditional Arabic"/>
          <w:sz w:val="32"/>
          <w:szCs w:val="32"/>
          <w:rtl/>
        </w:rPr>
        <w:t xml:space="preserve">) لمحمد بن نصر وابن مردويه. </w:t>
      </w:r>
    </w:p>
  </w:footnote>
  <w:footnote w:id="848">
    <w:p w:rsidR="003F128F" w:rsidRPr="00284B9A" w:rsidRDefault="003F128F" w:rsidP="00BA4C65">
      <w:pPr>
        <w:pStyle w:val="af3"/>
        <w:rPr>
          <w:rFonts w:ascii="Traditional Arabic" w:hAnsi="Traditional Arabic"/>
          <w:sz w:val="32"/>
          <w:szCs w:val="32"/>
        </w:rPr>
      </w:pPr>
      <w:r w:rsidRPr="00284B9A">
        <w:rPr>
          <w:rFonts w:ascii="Traditional Arabic" w:hAnsi="Traditional Arabic"/>
          <w:sz w:val="32"/>
          <w:szCs w:val="32"/>
          <w:rtl/>
        </w:rPr>
        <w:t>(</w:t>
      </w:r>
      <w:r w:rsidRPr="00284B9A">
        <w:rPr>
          <w:rStyle w:val="ae"/>
          <w:rFonts w:ascii="Traditional Arabic" w:hAnsi="Traditional Arabic"/>
          <w:sz w:val="32"/>
          <w:szCs w:val="32"/>
          <w:vertAlign w:val="baseline"/>
        </w:rPr>
        <w:footnoteRef/>
      </w:r>
      <w:r>
        <w:rPr>
          <w:rFonts w:ascii="Traditional Arabic" w:hAnsi="Traditional Arabic"/>
          <w:sz w:val="32"/>
          <w:szCs w:val="32"/>
          <w:rtl/>
        </w:rPr>
        <w:t>)</w:t>
      </w:r>
      <w:r w:rsidRPr="00284B9A">
        <w:rPr>
          <w:rFonts w:ascii="Traditional Arabic" w:hAnsi="Traditional Arabic"/>
          <w:sz w:val="32"/>
          <w:szCs w:val="32"/>
          <w:rtl/>
        </w:rPr>
        <w:t xml:space="preserve"> انظر:</w:t>
      </w:r>
      <w:r w:rsidRPr="0036382D">
        <w:rPr>
          <w:rFonts w:ascii="Traditional Arabic" w:hAnsi="Traditional Arabic" w:hint="cs"/>
          <w:sz w:val="32"/>
          <w:szCs w:val="32"/>
          <w:rtl/>
        </w:rPr>
        <w:t xml:space="preserve"> </w:t>
      </w:r>
      <w:r>
        <w:rPr>
          <w:rFonts w:ascii="Traditional Arabic" w:hAnsi="Traditional Arabic" w:hint="cs"/>
          <w:sz w:val="32"/>
          <w:szCs w:val="32"/>
          <w:rtl/>
        </w:rPr>
        <w:t>تفسير مجاهد (ص443),</w:t>
      </w:r>
      <w:r w:rsidRPr="00284B9A">
        <w:rPr>
          <w:rFonts w:ascii="Traditional Arabic" w:hAnsi="Traditional Arabic"/>
          <w:sz w:val="32"/>
          <w:szCs w:val="32"/>
          <w:rtl/>
        </w:rPr>
        <w:t xml:space="preserve"> تفسير الطبري (17/582)</w:t>
      </w:r>
      <w:r>
        <w:rPr>
          <w:rFonts w:ascii="Traditional Arabic" w:hAnsi="Traditional Arabic" w:hint="cs"/>
          <w:sz w:val="32"/>
          <w:szCs w:val="32"/>
          <w:rtl/>
        </w:rPr>
        <w:t>.</w:t>
      </w:r>
    </w:p>
  </w:footnote>
  <w:footnote w:id="849">
    <w:p w:rsidR="003F128F" w:rsidRPr="00284B9A" w:rsidRDefault="003F128F" w:rsidP="00911ED4">
      <w:pPr>
        <w:pStyle w:val="af3"/>
        <w:rPr>
          <w:rFonts w:ascii="Traditional Arabic" w:hAnsi="Traditional Arabic"/>
          <w:sz w:val="32"/>
          <w:szCs w:val="32"/>
        </w:rPr>
      </w:pPr>
      <w:r w:rsidRPr="00284B9A">
        <w:rPr>
          <w:rFonts w:ascii="Traditional Arabic" w:hAnsi="Traditional Arabic"/>
          <w:sz w:val="32"/>
          <w:szCs w:val="32"/>
          <w:rtl/>
        </w:rPr>
        <w:t>(</w:t>
      </w:r>
      <w:r w:rsidRPr="00284B9A">
        <w:rPr>
          <w:rStyle w:val="ae"/>
          <w:rFonts w:ascii="Traditional Arabic" w:hAnsi="Traditional Arabic"/>
          <w:sz w:val="32"/>
          <w:szCs w:val="32"/>
          <w:vertAlign w:val="baseline"/>
        </w:rPr>
        <w:footnoteRef/>
      </w:r>
      <w:r w:rsidRPr="00284B9A">
        <w:rPr>
          <w:rFonts w:ascii="Traditional Arabic" w:hAnsi="Traditional Arabic"/>
          <w:sz w:val="32"/>
          <w:szCs w:val="32"/>
          <w:rtl/>
        </w:rPr>
        <w:t>) انظر: معاني القرآن وإعرابه (3/264), التفسير الوسيط (3/133).</w:t>
      </w:r>
    </w:p>
  </w:footnote>
  <w:footnote w:id="850">
    <w:p w:rsidR="003F128F" w:rsidRPr="00332474" w:rsidRDefault="003F128F" w:rsidP="00BA4C65">
      <w:pPr>
        <w:pStyle w:val="af3"/>
        <w:rPr>
          <w:rFonts w:ascii="Tahoma" w:hAnsi="Tahoma"/>
        </w:rPr>
      </w:pPr>
      <w:r w:rsidRPr="00284B9A">
        <w:rPr>
          <w:rFonts w:ascii="Traditional Arabic" w:hAnsi="Traditional Arabic"/>
          <w:sz w:val="32"/>
          <w:szCs w:val="32"/>
          <w:rtl/>
        </w:rPr>
        <w:t>(</w:t>
      </w:r>
      <w:r w:rsidRPr="00284B9A">
        <w:rPr>
          <w:rStyle w:val="ae"/>
          <w:rFonts w:ascii="Traditional Arabic" w:hAnsi="Traditional Arabic"/>
          <w:sz w:val="32"/>
          <w:szCs w:val="32"/>
          <w:vertAlign w:val="baseline"/>
        </w:rPr>
        <w:footnoteRef/>
      </w:r>
      <w:r w:rsidRPr="00284B9A">
        <w:rPr>
          <w:rFonts w:ascii="Traditional Arabic" w:hAnsi="Traditional Arabic"/>
          <w:sz w:val="32"/>
          <w:szCs w:val="32"/>
          <w:rtl/>
        </w:rPr>
        <w:t>)</w:t>
      </w:r>
      <w:r w:rsidRPr="00284B9A">
        <w:rPr>
          <w:rFonts w:ascii="Tahoma" w:hAnsi="Tahoma"/>
          <w:sz w:val="32"/>
          <w:szCs w:val="32"/>
          <w:rtl/>
        </w:rPr>
        <w:t xml:space="preserve"> </w:t>
      </w:r>
      <w:r w:rsidRPr="00284B9A">
        <w:rPr>
          <w:rFonts w:ascii="Tahoma" w:hAnsi="Tahoma" w:hint="cs"/>
          <w:sz w:val="32"/>
          <w:szCs w:val="32"/>
          <w:rtl/>
        </w:rPr>
        <w:t xml:space="preserve">انظر: الناسخ والمنسوخ للنحاس (ص552), </w:t>
      </w:r>
      <w:r w:rsidRPr="00284B9A">
        <w:rPr>
          <w:rFonts w:ascii="Traditional Arabic" w:hAnsi="Traditional Arabic"/>
          <w:sz w:val="32"/>
          <w:szCs w:val="32"/>
          <w:rtl/>
        </w:rPr>
        <w:t>الهداية (6/431</w:t>
      </w:r>
      <w:r w:rsidRPr="00284B9A">
        <w:rPr>
          <w:rFonts w:ascii="Traditional Arabic" w:hAnsi="Traditional Arabic" w:hint="cs"/>
          <w:sz w:val="32"/>
          <w:szCs w:val="32"/>
          <w:rtl/>
        </w:rPr>
        <w:t>2</w:t>
      </w:r>
      <w:r w:rsidRPr="00284B9A">
        <w:rPr>
          <w:rFonts w:ascii="Traditional Arabic" w:hAnsi="Traditional Arabic"/>
          <w:sz w:val="32"/>
          <w:szCs w:val="32"/>
          <w:rtl/>
        </w:rPr>
        <w:t>).</w:t>
      </w:r>
      <w:r w:rsidRPr="00284B9A">
        <w:rPr>
          <w:rFonts w:ascii="Tahoma" w:hAnsi="Tahoma"/>
          <w:sz w:val="32"/>
          <w:szCs w:val="32"/>
          <w:rtl/>
        </w:rPr>
        <w:t xml:space="preserve"> </w:t>
      </w:r>
    </w:p>
  </w:footnote>
  <w:footnote w:id="851">
    <w:p w:rsidR="003F128F" w:rsidRPr="00284B9A" w:rsidRDefault="003F128F" w:rsidP="00911ED4">
      <w:pPr>
        <w:pStyle w:val="af3"/>
        <w:rPr>
          <w:rFonts w:ascii="Traditional Arabic" w:hAnsi="Traditional Arabic"/>
          <w:sz w:val="32"/>
          <w:szCs w:val="32"/>
        </w:rPr>
      </w:pPr>
      <w:r w:rsidRPr="00284B9A">
        <w:rPr>
          <w:rFonts w:ascii="Traditional Arabic" w:hAnsi="Traditional Arabic"/>
          <w:sz w:val="32"/>
          <w:szCs w:val="32"/>
          <w:rtl/>
        </w:rPr>
        <w:t>(</w:t>
      </w:r>
      <w:r w:rsidRPr="00284B9A">
        <w:rPr>
          <w:rStyle w:val="ae"/>
          <w:rFonts w:ascii="Traditional Arabic" w:hAnsi="Traditional Arabic"/>
          <w:sz w:val="32"/>
          <w:szCs w:val="32"/>
          <w:vertAlign w:val="baseline"/>
        </w:rPr>
        <w:footnoteRef/>
      </w:r>
      <w:r w:rsidRPr="00284B9A">
        <w:rPr>
          <w:rFonts w:ascii="Traditional Arabic" w:hAnsi="Traditional Arabic"/>
          <w:sz w:val="32"/>
          <w:szCs w:val="32"/>
          <w:rtl/>
        </w:rPr>
        <w:t>) أورد المصنف رحمه الله قول ابن السائب في كتابه نواسخ القرآن (2/503), وقال فيه: "وهذا القول ليس بصحيح وليس بين الآيات تناف ولا وجه للنسخ".</w:t>
      </w:r>
    </w:p>
  </w:footnote>
  <w:footnote w:id="852">
    <w:p w:rsidR="003F128F" w:rsidRPr="00284B9A" w:rsidRDefault="003F128F" w:rsidP="00911ED4">
      <w:pPr>
        <w:pStyle w:val="af3"/>
        <w:rPr>
          <w:rFonts w:ascii="Traditional Arabic" w:hAnsi="Traditional Arabic"/>
          <w:sz w:val="32"/>
          <w:szCs w:val="32"/>
        </w:rPr>
      </w:pPr>
      <w:r w:rsidRPr="00284B9A">
        <w:rPr>
          <w:rFonts w:ascii="Traditional Arabic" w:hAnsi="Traditional Arabic"/>
          <w:sz w:val="32"/>
          <w:szCs w:val="32"/>
          <w:rtl/>
        </w:rPr>
        <w:t>(</w:t>
      </w:r>
      <w:r w:rsidRPr="00284B9A">
        <w:rPr>
          <w:rStyle w:val="ae"/>
          <w:rFonts w:ascii="Traditional Arabic" w:hAnsi="Traditional Arabic"/>
          <w:sz w:val="32"/>
          <w:szCs w:val="32"/>
          <w:vertAlign w:val="baseline"/>
        </w:rPr>
        <w:footnoteRef/>
      </w:r>
      <w:r w:rsidRPr="00284B9A">
        <w:rPr>
          <w:rFonts w:ascii="Traditional Arabic" w:hAnsi="Traditional Arabic"/>
          <w:sz w:val="32"/>
          <w:szCs w:val="32"/>
          <w:rtl/>
        </w:rPr>
        <w:t xml:space="preserve">) هو التابعي </w:t>
      </w:r>
      <w:r>
        <w:rPr>
          <w:rFonts w:ascii="Traditional Arabic" w:hAnsi="Traditional Arabic"/>
          <w:sz w:val="32"/>
          <w:szCs w:val="32"/>
          <w:rtl/>
        </w:rPr>
        <w:t>الإمام</w:t>
      </w:r>
      <w:r>
        <w:rPr>
          <w:rFonts w:ascii="Traditional Arabic" w:hAnsi="Traditional Arabic" w:hint="cs"/>
          <w:sz w:val="32"/>
          <w:szCs w:val="32"/>
          <w:rtl/>
        </w:rPr>
        <w:t>,</w:t>
      </w:r>
      <w:r w:rsidRPr="00284B9A">
        <w:rPr>
          <w:rFonts w:ascii="Traditional Arabic" w:hAnsi="Traditional Arabic"/>
          <w:sz w:val="32"/>
          <w:szCs w:val="32"/>
          <w:rtl/>
        </w:rPr>
        <w:t xml:space="preserve"> المقرئ</w:t>
      </w:r>
      <w:r>
        <w:rPr>
          <w:rFonts w:ascii="Traditional Arabic" w:hAnsi="Traditional Arabic" w:hint="cs"/>
          <w:sz w:val="32"/>
          <w:szCs w:val="32"/>
          <w:rtl/>
        </w:rPr>
        <w:t>,</w:t>
      </w:r>
      <w:r w:rsidRPr="00284B9A">
        <w:rPr>
          <w:rFonts w:ascii="Traditional Arabic" w:hAnsi="Traditional Arabic"/>
          <w:sz w:val="32"/>
          <w:szCs w:val="32"/>
          <w:rtl/>
        </w:rPr>
        <w:t xml:space="preserve"> أبو محمد، طلحة بن مصرف بْن عَمْرو بْن كعب الهمداني اليامي، ويُقال: أبو عبد الله الكوفي، له اختيار في القراءة ينسب إليه,</w:t>
      </w:r>
      <w:r w:rsidRPr="00284B9A">
        <w:rPr>
          <w:rFonts w:ascii="Traditional Arabic" w:hAnsi="Traditional Arabic"/>
          <w:sz w:val="32"/>
          <w:szCs w:val="32"/>
          <w:rtl/>
          <w:lang w:eastAsia="en-US"/>
        </w:rPr>
        <w:t xml:space="preserve"> </w:t>
      </w:r>
      <w:r w:rsidRPr="00284B9A">
        <w:rPr>
          <w:rFonts w:ascii="Traditional Arabic" w:hAnsi="Traditional Arabic"/>
          <w:sz w:val="32"/>
          <w:szCs w:val="32"/>
          <w:rtl/>
        </w:rPr>
        <w:t xml:space="preserve">كانوا يسمونه سيد القراءة, (ت112ه). انظر: تهذيب الكمال (13/433), غاية النهاية (1/343). </w:t>
      </w:r>
    </w:p>
  </w:footnote>
  <w:footnote w:id="853">
    <w:p w:rsidR="003F128F" w:rsidRPr="00284B9A" w:rsidRDefault="003F128F" w:rsidP="00BA4C65">
      <w:pPr>
        <w:pStyle w:val="af3"/>
        <w:rPr>
          <w:rFonts w:ascii="Traditional Arabic" w:hAnsi="Traditional Arabic"/>
          <w:sz w:val="32"/>
          <w:szCs w:val="32"/>
        </w:rPr>
      </w:pPr>
      <w:r w:rsidRPr="00284B9A">
        <w:rPr>
          <w:rFonts w:ascii="Traditional Arabic" w:hAnsi="Traditional Arabic"/>
          <w:sz w:val="32"/>
          <w:szCs w:val="32"/>
          <w:rtl/>
        </w:rPr>
        <w:t>(</w:t>
      </w:r>
      <w:r w:rsidRPr="00284B9A">
        <w:rPr>
          <w:rStyle w:val="ae"/>
          <w:rFonts w:ascii="Traditional Arabic" w:hAnsi="Traditional Arabic"/>
          <w:sz w:val="32"/>
          <w:szCs w:val="32"/>
          <w:vertAlign w:val="baseline"/>
        </w:rPr>
        <w:footnoteRef/>
      </w:r>
      <w:r w:rsidRPr="00284B9A">
        <w:rPr>
          <w:rFonts w:ascii="Traditional Arabic" w:hAnsi="Traditional Arabic"/>
          <w:sz w:val="32"/>
          <w:szCs w:val="32"/>
          <w:rtl/>
        </w:rPr>
        <w:t>)</w:t>
      </w:r>
      <w:r>
        <w:rPr>
          <w:rFonts w:ascii="Traditional Arabic" w:hAnsi="Traditional Arabic" w:hint="cs"/>
          <w:sz w:val="32"/>
          <w:szCs w:val="32"/>
          <w:rtl/>
        </w:rPr>
        <w:t xml:space="preserve"> </w:t>
      </w:r>
      <w:r w:rsidRPr="00284B9A">
        <w:rPr>
          <w:rFonts w:ascii="Traditional Arabic" w:hAnsi="Traditional Arabic"/>
          <w:sz w:val="32"/>
          <w:szCs w:val="32"/>
          <w:rtl/>
        </w:rPr>
        <w:t xml:space="preserve">انظر: مختصر الشواذ لابن خالويه (ص81). </w:t>
      </w:r>
    </w:p>
  </w:footnote>
  <w:footnote w:id="854">
    <w:p w:rsidR="003F128F" w:rsidRPr="00284B9A" w:rsidRDefault="003F128F" w:rsidP="00DD1859">
      <w:pPr>
        <w:pStyle w:val="af3"/>
        <w:rPr>
          <w:rFonts w:ascii="Traditional Arabic" w:hAnsi="Traditional Arabic"/>
          <w:sz w:val="32"/>
          <w:szCs w:val="32"/>
        </w:rPr>
      </w:pPr>
      <w:r w:rsidRPr="00284B9A">
        <w:rPr>
          <w:rFonts w:ascii="Traditional Arabic" w:hAnsi="Traditional Arabic"/>
          <w:sz w:val="32"/>
          <w:szCs w:val="32"/>
          <w:rtl/>
        </w:rPr>
        <w:t>(</w:t>
      </w:r>
      <w:r w:rsidRPr="00284B9A">
        <w:rPr>
          <w:rStyle w:val="ae"/>
          <w:rFonts w:ascii="Traditional Arabic" w:hAnsi="Traditional Arabic"/>
          <w:sz w:val="32"/>
          <w:szCs w:val="32"/>
          <w:vertAlign w:val="baseline"/>
        </w:rPr>
        <w:footnoteRef/>
      </w:r>
      <w:r w:rsidRPr="00284B9A">
        <w:rPr>
          <w:rFonts w:ascii="Traditional Arabic" w:hAnsi="Traditional Arabic"/>
          <w:sz w:val="32"/>
          <w:szCs w:val="32"/>
          <w:rtl/>
        </w:rPr>
        <w:t>)</w:t>
      </w:r>
      <w:r>
        <w:rPr>
          <w:rFonts w:ascii="Traditional Arabic" w:hAnsi="Traditional Arabic" w:hint="cs"/>
          <w:sz w:val="32"/>
          <w:szCs w:val="32"/>
          <w:rtl/>
        </w:rPr>
        <w:t xml:space="preserve"> تفسير مجاهد (ص444), </w:t>
      </w:r>
      <w:r>
        <w:rPr>
          <w:rFonts w:ascii="Traditional Arabic" w:hAnsi="Traditional Arabic"/>
          <w:sz w:val="32"/>
          <w:szCs w:val="32"/>
          <w:rtl/>
        </w:rPr>
        <w:t>تفسير الطبري (17/590)</w:t>
      </w:r>
      <w:r>
        <w:rPr>
          <w:rFonts w:ascii="Traditional Arabic" w:hAnsi="Traditional Arabic" w:hint="cs"/>
          <w:sz w:val="32"/>
          <w:szCs w:val="32"/>
          <w:rtl/>
        </w:rPr>
        <w:t>.</w:t>
      </w:r>
    </w:p>
  </w:footnote>
  <w:footnote w:id="855">
    <w:p w:rsidR="003F128F" w:rsidRPr="00E36E6A" w:rsidRDefault="003F128F" w:rsidP="00BA6C1B">
      <w:pPr>
        <w:pStyle w:val="af3"/>
        <w:rPr>
          <w:rFonts w:ascii="Tahoma" w:hAnsi="Tahoma"/>
        </w:rPr>
      </w:pPr>
      <w:r w:rsidRPr="00284B9A">
        <w:rPr>
          <w:rFonts w:ascii="Traditional Arabic" w:hAnsi="Traditional Arabic"/>
          <w:sz w:val="32"/>
          <w:szCs w:val="32"/>
          <w:rtl/>
        </w:rPr>
        <w:t>(</w:t>
      </w:r>
      <w:r w:rsidRPr="00284B9A">
        <w:rPr>
          <w:rStyle w:val="ae"/>
          <w:rFonts w:ascii="Traditional Arabic" w:hAnsi="Traditional Arabic"/>
          <w:sz w:val="32"/>
          <w:szCs w:val="32"/>
          <w:vertAlign w:val="baseline"/>
        </w:rPr>
        <w:footnoteRef/>
      </w:r>
      <w:r w:rsidRPr="00284B9A">
        <w:rPr>
          <w:rFonts w:ascii="Traditional Arabic" w:hAnsi="Traditional Arabic"/>
          <w:sz w:val="32"/>
          <w:szCs w:val="32"/>
          <w:rtl/>
        </w:rPr>
        <w:t>) انظر: تفسير مقاتل (2/556), تفسير الطبري (17/590)</w:t>
      </w:r>
      <w:r>
        <w:rPr>
          <w:rFonts w:ascii="Traditional Arabic" w:hAnsi="Traditional Arabic" w:hint="cs"/>
          <w:sz w:val="32"/>
          <w:szCs w:val="32"/>
          <w:rtl/>
        </w:rPr>
        <w:t>.</w:t>
      </w:r>
    </w:p>
  </w:footnote>
  <w:footnote w:id="856">
    <w:p w:rsidR="003F128F" w:rsidRPr="00DC3B0F" w:rsidRDefault="003F128F" w:rsidP="00DD1859">
      <w:pPr>
        <w:pStyle w:val="af3"/>
        <w:rPr>
          <w:rFonts w:ascii="Traditional Arabic" w:hAnsi="Traditional Arabic"/>
          <w:sz w:val="32"/>
          <w:szCs w:val="32"/>
        </w:rPr>
      </w:pPr>
      <w:r w:rsidRPr="00DC3B0F">
        <w:rPr>
          <w:rFonts w:ascii="Traditional Arabic" w:hAnsi="Traditional Arabic"/>
          <w:sz w:val="32"/>
          <w:szCs w:val="32"/>
          <w:rtl/>
        </w:rPr>
        <w:t>(</w:t>
      </w:r>
      <w:r w:rsidRPr="00DC3B0F">
        <w:rPr>
          <w:rStyle w:val="ae"/>
          <w:rFonts w:ascii="Traditional Arabic" w:hAnsi="Traditional Arabic"/>
          <w:sz w:val="32"/>
          <w:szCs w:val="32"/>
          <w:vertAlign w:val="baseline"/>
        </w:rPr>
        <w:footnoteRef/>
      </w:r>
      <w:r w:rsidRPr="00DC3B0F">
        <w:rPr>
          <w:rFonts w:ascii="Traditional Arabic" w:hAnsi="Traditional Arabic"/>
          <w:sz w:val="32"/>
          <w:szCs w:val="32"/>
          <w:rtl/>
        </w:rPr>
        <w:t>) انظر: الناسخ والنسوخ للنحاس</w:t>
      </w:r>
      <w:r>
        <w:rPr>
          <w:rFonts w:ascii="Traditional Arabic" w:hAnsi="Traditional Arabic" w:hint="cs"/>
          <w:sz w:val="32"/>
          <w:szCs w:val="32"/>
          <w:rtl/>
        </w:rPr>
        <w:t xml:space="preserve"> </w:t>
      </w:r>
      <w:r w:rsidRPr="00DC3B0F">
        <w:rPr>
          <w:rFonts w:ascii="Traditional Arabic" w:hAnsi="Traditional Arabic"/>
          <w:sz w:val="32"/>
          <w:szCs w:val="32"/>
          <w:rtl/>
        </w:rPr>
        <w:t>(ص555), وذكره السيوطي في الدر المنثور (5/354), وزاد نسبته لابن مردويه.</w:t>
      </w:r>
    </w:p>
  </w:footnote>
  <w:footnote w:id="857">
    <w:p w:rsidR="003F128F" w:rsidRPr="00DC3B0F" w:rsidRDefault="003F128F" w:rsidP="005C21CD">
      <w:pPr>
        <w:pStyle w:val="af3"/>
        <w:rPr>
          <w:rFonts w:ascii="Traditional Arabic" w:hAnsi="Traditional Arabic"/>
          <w:sz w:val="32"/>
          <w:szCs w:val="32"/>
        </w:rPr>
      </w:pPr>
      <w:r w:rsidRPr="00DC3B0F">
        <w:rPr>
          <w:rFonts w:ascii="Traditional Arabic" w:hAnsi="Traditional Arabic"/>
          <w:sz w:val="32"/>
          <w:szCs w:val="32"/>
          <w:rtl/>
        </w:rPr>
        <w:t>(</w:t>
      </w:r>
      <w:r w:rsidRPr="00DC3B0F">
        <w:rPr>
          <w:rStyle w:val="ae"/>
          <w:rFonts w:ascii="Traditional Arabic" w:hAnsi="Traditional Arabic"/>
          <w:sz w:val="32"/>
          <w:szCs w:val="32"/>
          <w:vertAlign w:val="baseline"/>
        </w:rPr>
        <w:footnoteRef/>
      </w:r>
      <w:r w:rsidRPr="00DC3B0F">
        <w:rPr>
          <w:rFonts w:ascii="Traditional Arabic" w:hAnsi="Traditional Arabic"/>
          <w:sz w:val="32"/>
          <w:szCs w:val="32"/>
          <w:rtl/>
        </w:rPr>
        <w:t xml:space="preserve">) انظر: التفسير الكبير للرازي (21/421), تفسير اللباب لابن عادل (12/415).  </w:t>
      </w:r>
    </w:p>
  </w:footnote>
  <w:footnote w:id="858">
    <w:p w:rsidR="003F128F" w:rsidRPr="00DC3B0F" w:rsidRDefault="003F128F" w:rsidP="005C21CD">
      <w:pPr>
        <w:pStyle w:val="af3"/>
        <w:rPr>
          <w:rFonts w:ascii="Traditional Arabic" w:hAnsi="Traditional Arabic"/>
          <w:sz w:val="32"/>
          <w:szCs w:val="32"/>
        </w:rPr>
      </w:pPr>
      <w:r w:rsidRPr="00DC3B0F">
        <w:rPr>
          <w:rFonts w:ascii="Traditional Arabic" w:hAnsi="Traditional Arabic"/>
          <w:sz w:val="32"/>
          <w:szCs w:val="32"/>
          <w:rtl/>
        </w:rPr>
        <w:t>(</w:t>
      </w:r>
      <w:r w:rsidRPr="00DC3B0F">
        <w:rPr>
          <w:rStyle w:val="ae"/>
          <w:rFonts w:ascii="Traditional Arabic" w:hAnsi="Traditional Arabic"/>
          <w:sz w:val="32"/>
          <w:szCs w:val="32"/>
          <w:vertAlign w:val="baseline"/>
        </w:rPr>
        <w:footnoteRef/>
      </w:r>
      <w:r w:rsidRPr="00DC3B0F">
        <w:rPr>
          <w:rFonts w:ascii="Traditional Arabic" w:hAnsi="Traditional Arabic"/>
          <w:sz w:val="32"/>
          <w:szCs w:val="32"/>
          <w:rtl/>
        </w:rPr>
        <w:t>) انظر: التفسير الكبير للرازي (21/421), تفسير الثعالبي (3/505).</w:t>
      </w:r>
    </w:p>
  </w:footnote>
  <w:footnote w:id="859">
    <w:p w:rsidR="003F128F" w:rsidRPr="00564905" w:rsidRDefault="003F128F" w:rsidP="005C21CD">
      <w:pPr>
        <w:pStyle w:val="af3"/>
        <w:rPr>
          <w:rFonts w:ascii="Traditional Arabic" w:hAnsi="Traditional Arabic"/>
          <w:sz w:val="32"/>
          <w:szCs w:val="32"/>
        </w:rPr>
      </w:pPr>
      <w:r w:rsidRPr="00564905">
        <w:rPr>
          <w:rFonts w:ascii="Traditional Arabic" w:hAnsi="Traditional Arabic"/>
          <w:sz w:val="32"/>
          <w:szCs w:val="32"/>
          <w:rtl/>
        </w:rPr>
        <w:t>(</w:t>
      </w:r>
      <w:r w:rsidRPr="00564905">
        <w:rPr>
          <w:rStyle w:val="ae"/>
          <w:rFonts w:ascii="Traditional Arabic" w:hAnsi="Traditional Arabic"/>
          <w:sz w:val="32"/>
          <w:szCs w:val="32"/>
          <w:vertAlign w:val="baseline"/>
        </w:rPr>
        <w:footnoteRef/>
      </w:r>
      <w:r>
        <w:rPr>
          <w:rFonts w:ascii="Traditional Arabic" w:hAnsi="Traditional Arabic"/>
          <w:sz w:val="32"/>
          <w:szCs w:val="32"/>
          <w:rtl/>
        </w:rPr>
        <w:t>) في (</w:t>
      </w:r>
      <w:r>
        <w:rPr>
          <w:rFonts w:ascii="Traditional Arabic" w:hAnsi="Traditional Arabic" w:hint="cs"/>
          <w:sz w:val="32"/>
          <w:szCs w:val="32"/>
          <w:rtl/>
        </w:rPr>
        <w:t>ك</w:t>
      </w:r>
      <w:r>
        <w:rPr>
          <w:rFonts w:ascii="Traditional Arabic" w:hAnsi="Traditional Arabic"/>
          <w:sz w:val="32"/>
          <w:szCs w:val="32"/>
          <w:rtl/>
        </w:rPr>
        <w:t xml:space="preserve">): </w:t>
      </w:r>
      <w:r>
        <w:rPr>
          <w:rFonts w:ascii="Traditional Arabic" w:hAnsi="Traditional Arabic" w:hint="cs"/>
          <w:sz w:val="32"/>
          <w:szCs w:val="32"/>
          <w:rtl/>
        </w:rPr>
        <w:t>[</w:t>
      </w:r>
      <w:r>
        <w:rPr>
          <w:rFonts w:ascii="Traditional Arabic" w:hAnsi="Traditional Arabic"/>
          <w:sz w:val="32"/>
          <w:szCs w:val="32"/>
          <w:rtl/>
        </w:rPr>
        <w:t>أنّ فيها آية مدنيّة</w:t>
      </w:r>
      <w:r>
        <w:rPr>
          <w:rFonts w:ascii="Traditional Arabic" w:hAnsi="Traditional Arabic" w:hint="cs"/>
          <w:sz w:val="32"/>
          <w:szCs w:val="32"/>
          <w:rtl/>
        </w:rPr>
        <w:t>]</w:t>
      </w:r>
      <w:r w:rsidRPr="00564905">
        <w:rPr>
          <w:rFonts w:ascii="Traditional Arabic" w:hAnsi="Traditional Arabic"/>
          <w:sz w:val="32"/>
          <w:szCs w:val="32"/>
          <w:rtl/>
        </w:rPr>
        <w:t xml:space="preserve">. </w:t>
      </w:r>
    </w:p>
  </w:footnote>
  <w:footnote w:id="860">
    <w:p w:rsidR="003F128F" w:rsidRPr="00DC3B0F" w:rsidRDefault="003F128F" w:rsidP="005C21CD">
      <w:pPr>
        <w:pStyle w:val="af3"/>
        <w:rPr>
          <w:rFonts w:ascii="Traditional Arabic" w:hAnsi="Traditional Arabic"/>
          <w:sz w:val="32"/>
          <w:szCs w:val="32"/>
        </w:rPr>
      </w:pPr>
      <w:r w:rsidRPr="00DC3B0F">
        <w:rPr>
          <w:rFonts w:ascii="Traditional Arabic" w:hAnsi="Traditional Arabic"/>
          <w:sz w:val="32"/>
          <w:szCs w:val="32"/>
          <w:rtl/>
        </w:rPr>
        <w:t>(</w:t>
      </w:r>
      <w:r w:rsidRPr="00DC3B0F">
        <w:rPr>
          <w:rStyle w:val="ae"/>
          <w:rFonts w:ascii="Traditional Arabic" w:hAnsi="Traditional Arabic"/>
          <w:sz w:val="32"/>
          <w:szCs w:val="32"/>
          <w:vertAlign w:val="baseline"/>
        </w:rPr>
        <w:footnoteRef/>
      </w:r>
      <w:r>
        <w:rPr>
          <w:rFonts w:ascii="Traditional Arabic" w:hAnsi="Traditional Arabic"/>
          <w:sz w:val="32"/>
          <w:szCs w:val="32"/>
          <w:rtl/>
        </w:rPr>
        <w:t>)</w:t>
      </w:r>
      <w:r w:rsidRPr="00DC3B0F">
        <w:rPr>
          <w:rFonts w:ascii="Traditional Arabic" w:hAnsi="Traditional Arabic"/>
          <w:sz w:val="32"/>
          <w:szCs w:val="32"/>
          <w:rtl/>
        </w:rPr>
        <w:t xml:space="preserve"> انظر: تفسير مقاتل (2/572), وذكره ابن عطية كذلك, انظر: المحرر الوجيز (3/513).</w:t>
      </w:r>
    </w:p>
  </w:footnote>
  <w:footnote w:id="861">
    <w:p w:rsidR="003F128F" w:rsidRPr="00DC3B0F" w:rsidRDefault="003F128F" w:rsidP="00BA6C1B">
      <w:pPr>
        <w:pStyle w:val="af3"/>
        <w:rPr>
          <w:rFonts w:ascii="Traditional Arabic" w:hAnsi="Traditional Arabic"/>
          <w:sz w:val="32"/>
          <w:szCs w:val="32"/>
        </w:rPr>
      </w:pPr>
      <w:r w:rsidRPr="00DC3B0F">
        <w:rPr>
          <w:rFonts w:ascii="Traditional Arabic" w:hAnsi="Traditional Arabic"/>
          <w:sz w:val="32"/>
          <w:szCs w:val="32"/>
          <w:rtl/>
        </w:rPr>
        <w:t>(</w:t>
      </w:r>
      <w:r w:rsidRPr="00DC3B0F">
        <w:rPr>
          <w:rStyle w:val="ae"/>
          <w:rFonts w:ascii="Traditional Arabic" w:hAnsi="Traditional Arabic"/>
          <w:sz w:val="32"/>
          <w:szCs w:val="32"/>
          <w:vertAlign w:val="baseline"/>
        </w:rPr>
        <w:footnoteRef/>
      </w:r>
      <w:r w:rsidRPr="00DC3B0F">
        <w:rPr>
          <w:rFonts w:ascii="Traditional Arabic" w:hAnsi="Traditional Arabic"/>
          <w:sz w:val="32"/>
          <w:szCs w:val="32"/>
          <w:rtl/>
        </w:rPr>
        <w:t xml:space="preserve">) هو صاحب رسول الله </w:t>
      </w:r>
      <w:r w:rsidRPr="00DC3B0F">
        <w:rPr>
          <w:rFonts w:ascii="Traditional Arabic" w:hAnsi="Traditional Arabic"/>
          <w:sz w:val="32"/>
          <w:szCs w:val="32"/>
        </w:rPr>
        <w:sym w:font="AGA Arabesque" w:char="F072"/>
      </w:r>
      <w:r w:rsidRPr="00DC3B0F">
        <w:rPr>
          <w:rFonts w:ascii="Traditional Arabic" w:hAnsi="Traditional Arabic"/>
          <w:sz w:val="32"/>
          <w:szCs w:val="32"/>
          <w:rtl/>
        </w:rPr>
        <w:t xml:space="preserve"> أبو الدرداء عويمر بن زيد</w:t>
      </w:r>
      <w:r>
        <w:rPr>
          <w:rFonts w:ascii="Traditional Arabic" w:hAnsi="Traditional Arabic" w:hint="cs"/>
          <w:sz w:val="32"/>
          <w:szCs w:val="32"/>
          <w:rtl/>
        </w:rPr>
        <w:t xml:space="preserve"> </w:t>
      </w:r>
      <w:r w:rsidRPr="00DC3B0F">
        <w:rPr>
          <w:rFonts w:ascii="Traditional Arabic" w:hAnsi="Traditional Arabic"/>
          <w:sz w:val="32"/>
          <w:szCs w:val="32"/>
          <w:rtl/>
        </w:rPr>
        <w:t>- وقيل ابن عامر- بن قيس الخزرجي</w:t>
      </w:r>
      <w:r w:rsidRPr="00DC3B0F">
        <w:rPr>
          <w:rFonts w:ascii="Traditional Arabic" w:hAnsi="Traditional Arabic"/>
          <w:sz w:val="32"/>
          <w:szCs w:val="32"/>
          <w:rtl/>
          <w:lang w:eastAsia="en-US"/>
        </w:rPr>
        <w:t xml:space="preserve"> </w:t>
      </w:r>
      <w:r w:rsidRPr="00DC3B0F">
        <w:rPr>
          <w:rFonts w:ascii="Traditional Arabic" w:hAnsi="Traditional Arabic"/>
          <w:sz w:val="32"/>
          <w:szCs w:val="32"/>
          <w:rtl/>
        </w:rPr>
        <w:t xml:space="preserve">الأنصاري, قاضي دمشق, </w:t>
      </w:r>
      <w:r w:rsidRPr="00DC3B0F">
        <w:rPr>
          <w:rFonts w:ascii="Traditional Arabic" w:hAnsi="Traditional Arabic"/>
          <w:sz w:val="32"/>
          <w:szCs w:val="32"/>
          <w:rtl/>
          <w:lang w:eastAsia="en-US"/>
        </w:rPr>
        <w:t xml:space="preserve">حكيم هذه الأمة، وسيد القُرَّاء بدمشق, </w:t>
      </w:r>
      <w:r w:rsidRPr="00DC3B0F">
        <w:rPr>
          <w:rFonts w:ascii="Traditional Arabic" w:hAnsi="Traditional Arabic"/>
          <w:sz w:val="32"/>
          <w:szCs w:val="32"/>
          <w:rtl/>
        </w:rPr>
        <w:t>مشهور بكنيته, (ت30ه). انظر: طبقات ابن سعد (7/274), تهذيب الكمال (22/470), سير أعلام النبلاء (2/335).</w:t>
      </w:r>
    </w:p>
  </w:footnote>
  <w:footnote w:id="862">
    <w:p w:rsidR="003F128F" w:rsidRPr="006E7275" w:rsidRDefault="003F128F" w:rsidP="005B4598">
      <w:pPr>
        <w:pStyle w:val="af3"/>
        <w:rPr>
          <w:rFonts w:ascii="Traditional Arabic" w:hAnsi="Traditional Arabic"/>
          <w:sz w:val="32"/>
          <w:szCs w:val="32"/>
        </w:rPr>
      </w:pPr>
      <w:r w:rsidRPr="00DC3B0F">
        <w:rPr>
          <w:rFonts w:ascii="Traditional Arabic" w:hAnsi="Traditional Arabic"/>
          <w:sz w:val="32"/>
          <w:szCs w:val="32"/>
          <w:rtl/>
        </w:rPr>
        <w:t>(</w:t>
      </w:r>
      <w:r w:rsidRPr="00DC3B0F">
        <w:rPr>
          <w:rStyle w:val="ae"/>
          <w:rFonts w:ascii="Traditional Arabic" w:hAnsi="Traditional Arabic"/>
          <w:sz w:val="32"/>
          <w:szCs w:val="32"/>
          <w:vertAlign w:val="baseline"/>
        </w:rPr>
        <w:footnoteRef/>
      </w:r>
      <w:r w:rsidRPr="00DC3B0F">
        <w:rPr>
          <w:rFonts w:ascii="Traditional Arabic" w:hAnsi="Traditional Arabic"/>
          <w:sz w:val="32"/>
          <w:szCs w:val="32"/>
          <w:rtl/>
        </w:rPr>
        <w:t xml:space="preserve">) أخرجه أبو عُبيد القاسم بن سلاّم في فضائل القرآن (ص245), وذكره السيوطي في الدر المنثور (5/354), وزاد نسبته لابن مردويه. وأخرج مسلم في </w:t>
      </w:r>
      <w:r>
        <w:rPr>
          <w:rFonts w:ascii="Traditional Arabic" w:hAnsi="Traditional Arabic" w:hint="cs"/>
          <w:sz w:val="32"/>
          <w:szCs w:val="32"/>
          <w:rtl/>
        </w:rPr>
        <w:t xml:space="preserve">صحيحه </w:t>
      </w:r>
      <w:r w:rsidRPr="00DC3B0F">
        <w:rPr>
          <w:rFonts w:ascii="Traditional Arabic" w:hAnsi="Traditional Arabic"/>
          <w:sz w:val="32"/>
          <w:szCs w:val="32"/>
          <w:rtl/>
        </w:rPr>
        <w:t>(كتاب صلاة المسافرين وقصرها, باب</w:t>
      </w:r>
      <w:r>
        <w:rPr>
          <w:rFonts w:ascii="Traditional Arabic" w:hAnsi="Traditional Arabic" w:hint="cs"/>
          <w:sz w:val="32"/>
          <w:szCs w:val="32"/>
          <w:rtl/>
        </w:rPr>
        <w:t>:</w:t>
      </w:r>
      <w:r w:rsidRPr="00DC3B0F">
        <w:rPr>
          <w:rFonts w:ascii="Traditional Arabic" w:hAnsi="Traditional Arabic"/>
          <w:sz w:val="32"/>
          <w:szCs w:val="32"/>
          <w:rtl/>
        </w:rPr>
        <w:t xml:space="preserve"> فضل سورة الكهف وآية الكرسي 6/333 ح1880) وغيره من حديث أبي الدرداء عن النبي </w:t>
      </w:r>
      <w:r w:rsidRPr="00DC3B0F">
        <w:rPr>
          <w:rFonts w:ascii="Traditional Arabic" w:hAnsi="Traditional Arabic"/>
          <w:sz w:val="32"/>
          <w:szCs w:val="32"/>
        </w:rPr>
        <w:sym w:font="AGA Arabesque" w:char="F072"/>
      </w:r>
      <w:r w:rsidRPr="00DC3B0F">
        <w:rPr>
          <w:rFonts w:ascii="Traditional Arabic" w:hAnsi="Traditional Arabic"/>
          <w:sz w:val="32"/>
          <w:szCs w:val="32"/>
          <w:rtl/>
        </w:rPr>
        <w:t xml:space="preserve"> قال: «من حفظ عشر آيات من أول سورة الكهف عصم من فتنة الدجّال».</w:t>
      </w:r>
    </w:p>
  </w:footnote>
  <w:footnote w:id="863">
    <w:p w:rsidR="003F128F" w:rsidRPr="00460872" w:rsidRDefault="003F128F" w:rsidP="005C21CD">
      <w:pPr>
        <w:pStyle w:val="af3"/>
        <w:rPr>
          <w:rFonts w:ascii="Traditional Arabic" w:hAnsi="Traditional Arabic"/>
          <w:sz w:val="32"/>
          <w:szCs w:val="32"/>
        </w:rPr>
      </w:pPr>
      <w:r w:rsidRPr="00460872">
        <w:rPr>
          <w:rFonts w:ascii="Traditional Arabic" w:hAnsi="Traditional Arabic"/>
          <w:sz w:val="32"/>
          <w:szCs w:val="32"/>
          <w:rtl/>
        </w:rPr>
        <w:t>(</w:t>
      </w:r>
      <w:r w:rsidRPr="00460872">
        <w:rPr>
          <w:rStyle w:val="ae"/>
          <w:rFonts w:ascii="Traditional Arabic" w:hAnsi="Traditional Arabic"/>
          <w:sz w:val="32"/>
          <w:szCs w:val="32"/>
          <w:vertAlign w:val="baseline"/>
        </w:rPr>
        <w:footnoteRef/>
      </w:r>
      <w:r w:rsidRPr="00460872">
        <w:rPr>
          <w:rFonts w:ascii="Traditional Arabic" w:hAnsi="Traditional Arabic"/>
          <w:sz w:val="32"/>
          <w:szCs w:val="32"/>
          <w:rtl/>
        </w:rPr>
        <w:t xml:space="preserve">) انظر: زاد المسير (1/10). </w:t>
      </w:r>
    </w:p>
  </w:footnote>
  <w:footnote w:id="864">
    <w:p w:rsidR="003F128F" w:rsidRPr="00460872" w:rsidRDefault="003F128F" w:rsidP="005C21CD">
      <w:pPr>
        <w:pStyle w:val="af3"/>
        <w:rPr>
          <w:rFonts w:ascii="Traditional Arabic" w:hAnsi="Traditional Arabic"/>
          <w:sz w:val="32"/>
          <w:szCs w:val="32"/>
        </w:rPr>
      </w:pPr>
      <w:r w:rsidRPr="00460872">
        <w:rPr>
          <w:rFonts w:ascii="Traditional Arabic" w:hAnsi="Traditional Arabic"/>
          <w:sz w:val="32"/>
          <w:szCs w:val="32"/>
          <w:rtl/>
        </w:rPr>
        <w:t>(</w:t>
      </w:r>
      <w:r w:rsidRPr="00460872">
        <w:rPr>
          <w:rStyle w:val="ae"/>
          <w:rFonts w:ascii="Traditional Arabic" w:hAnsi="Traditional Arabic"/>
          <w:sz w:val="32"/>
          <w:szCs w:val="32"/>
          <w:vertAlign w:val="baseline"/>
        </w:rPr>
        <w:footnoteRef/>
      </w:r>
      <w:r w:rsidRPr="00460872">
        <w:rPr>
          <w:rFonts w:ascii="Traditional Arabic" w:hAnsi="Traditional Arabic"/>
          <w:sz w:val="32"/>
          <w:szCs w:val="32"/>
          <w:rtl/>
        </w:rPr>
        <w:t xml:space="preserve">) انظر: النكت والعيون (3/283). </w:t>
      </w:r>
    </w:p>
  </w:footnote>
  <w:footnote w:id="865">
    <w:p w:rsidR="003F128F" w:rsidRPr="00460872" w:rsidRDefault="003F128F" w:rsidP="005C21CD">
      <w:pPr>
        <w:pStyle w:val="af3"/>
        <w:rPr>
          <w:rFonts w:ascii="Traditional Arabic" w:hAnsi="Traditional Arabic"/>
          <w:sz w:val="32"/>
          <w:szCs w:val="32"/>
        </w:rPr>
      </w:pPr>
      <w:r w:rsidRPr="00460872">
        <w:rPr>
          <w:rFonts w:ascii="Traditional Arabic" w:hAnsi="Traditional Arabic"/>
          <w:sz w:val="32"/>
          <w:szCs w:val="32"/>
          <w:rtl/>
        </w:rPr>
        <w:t>(</w:t>
      </w:r>
      <w:r w:rsidRPr="00460872">
        <w:rPr>
          <w:rStyle w:val="ae"/>
          <w:rFonts w:ascii="Traditional Arabic" w:hAnsi="Traditional Arabic"/>
          <w:sz w:val="32"/>
          <w:szCs w:val="32"/>
          <w:vertAlign w:val="baseline"/>
        </w:rPr>
        <w:footnoteRef/>
      </w:r>
      <w:r w:rsidRPr="00460872">
        <w:rPr>
          <w:rFonts w:ascii="Traditional Arabic" w:hAnsi="Traditional Arabic"/>
          <w:sz w:val="32"/>
          <w:szCs w:val="32"/>
          <w:rtl/>
        </w:rPr>
        <w:t>) انظر: معاني القرآن وإعرابه (3/267), بحر العلوم (2/334).</w:t>
      </w:r>
    </w:p>
  </w:footnote>
  <w:footnote w:id="866">
    <w:p w:rsidR="003F128F" w:rsidRPr="00460872" w:rsidRDefault="003F128F" w:rsidP="005C21CD">
      <w:pPr>
        <w:pStyle w:val="af3"/>
        <w:rPr>
          <w:rFonts w:ascii="Traditional Arabic" w:hAnsi="Traditional Arabic"/>
          <w:sz w:val="32"/>
          <w:szCs w:val="32"/>
        </w:rPr>
      </w:pPr>
      <w:r w:rsidRPr="00460872">
        <w:rPr>
          <w:rFonts w:ascii="Traditional Arabic" w:hAnsi="Traditional Arabic"/>
          <w:sz w:val="32"/>
          <w:szCs w:val="32"/>
          <w:rtl/>
        </w:rPr>
        <w:t>(</w:t>
      </w:r>
      <w:r w:rsidRPr="00460872">
        <w:rPr>
          <w:rStyle w:val="ae"/>
          <w:rFonts w:ascii="Traditional Arabic" w:hAnsi="Traditional Arabic"/>
          <w:sz w:val="32"/>
          <w:szCs w:val="32"/>
          <w:vertAlign w:val="baseline"/>
        </w:rPr>
        <w:footnoteRef/>
      </w:r>
      <w:r w:rsidRPr="00460872">
        <w:rPr>
          <w:rFonts w:ascii="Traditional Arabic" w:hAnsi="Traditional Arabic"/>
          <w:sz w:val="32"/>
          <w:szCs w:val="32"/>
          <w:rtl/>
        </w:rPr>
        <w:t xml:space="preserve">) هو </w:t>
      </w:r>
      <w:r>
        <w:rPr>
          <w:rFonts w:ascii="Traditional Arabic" w:hAnsi="Traditional Arabic"/>
          <w:sz w:val="32"/>
          <w:szCs w:val="32"/>
          <w:rtl/>
        </w:rPr>
        <w:t>الإمام</w:t>
      </w:r>
      <w:r w:rsidRPr="00460872">
        <w:rPr>
          <w:rFonts w:ascii="Traditional Arabic" w:hAnsi="Traditional Arabic"/>
          <w:sz w:val="32"/>
          <w:szCs w:val="32"/>
          <w:rtl/>
        </w:rPr>
        <w:t xml:space="preserve"> المقرئ أبو محمد سليمان بن مهران الأسديُّ مولاهم،</w:t>
      </w:r>
      <w:r>
        <w:rPr>
          <w:rFonts w:ascii="Traditional Arabic" w:hAnsi="Traditional Arabic" w:hint="cs"/>
          <w:sz w:val="32"/>
          <w:szCs w:val="32"/>
          <w:rtl/>
        </w:rPr>
        <w:t xml:space="preserve"> الأعمش,</w:t>
      </w:r>
      <w:r w:rsidRPr="00460872">
        <w:rPr>
          <w:rFonts w:ascii="Traditional Arabic" w:hAnsi="Traditional Arabic"/>
          <w:sz w:val="32"/>
          <w:szCs w:val="32"/>
          <w:rtl/>
        </w:rPr>
        <w:t xml:space="preserve"> المشهور, كان ثقةً, عالماً, فقيهاً, فاضلاً، (ت148ه). انظر: وفيات الأعيان (2/400), معرفة القراء الكبار (1/54).</w:t>
      </w:r>
    </w:p>
  </w:footnote>
  <w:footnote w:id="867">
    <w:p w:rsidR="003F128F" w:rsidRPr="00460872" w:rsidRDefault="003F128F" w:rsidP="00B12BFE">
      <w:pPr>
        <w:pStyle w:val="af3"/>
        <w:rPr>
          <w:rFonts w:ascii="Traditional Arabic" w:hAnsi="Traditional Arabic"/>
          <w:sz w:val="32"/>
          <w:szCs w:val="32"/>
        </w:rPr>
      </w:pPr>
      <w:r w:rsidRPr="00460872">
        <w:rPr>
          <w:rFonts w:ascii="Traditional Arabic" w:hAnsi="Traditional Arabic"/>
          <w:sz w:val="32"/>
          <w:szCs w:val="32"/>
          <w:rtl/>
        </w:rPr>
        <w:t>(</w:t>
      </w:r>
      <w:r w:rsidRPr="00460872">
        <w:rPr>
          <w:rStyle w:val="ae"/>
          <w:rFonts w:ascii="Traditional Arabic" w:hAnsi="Traditional Arabic"/>
          <w:sz w:val="32"/>
          <w:szCs w:val="32"/>
          <w:vertAlign w:val="baseline"/>
        </w:rPr>
        <w:footnoteRef/>
      </w:r>
      <w:r w:rsidRPr="00460872">
        <w:rPr>
          <w:rFonts w:ascii="Traditional Arabic" w:hAnsi="Traditional Arabic"/>
          <w:sz w:val="32"/>
          <w:szCs w:val="32"/>
          <w:rtl/>
        </w:rPr>
        <w:t>)</w:t>
      </w:r>
      <w:r>
        <w:rPr>
          <w:rFonts w:ascii="Traditional Arabic" w:hAnsi="Traditional Arabic" w:hint="cs"/>
          <w:sz w:val="32"/>
          <w:szCs w:val="32"/>
          <w:rtl/>
        </w:rPr>
        <w:t xml:space="preserve"> انظر: مختصر في الشواذ لابن خالويه (ص81), الكامل في القراءات العشر (ص589).</w:t>
      </w:r>
      <w:r w:rsidRPr="00460872">
        <w:rPr>
          <w:rFonts w:ascii="Traditional Arabic" w:hAnsi="Traditional Arabic"/>
          <w:sz w:val="32"/>
          <w:szCs w:val="32"/>
          <w:rtl/>
        </w:rPr>
        <w:t xml:space="preserve"> </w:t>
      </w:r>
    </w:p>
  </w:footnote>
  <w:footnote w:id="868">
    <w:p w:rsidR="003F128F" w:rsidRPr="00460872" w:rsidRDefault="003F128F" w:rsidP="005C21CD">
      <w:pPr>
        <w:pStyle w:val="af3"/>
        <w:rPr>
          <w:rFonts w:ascii="Traditional Arabic" w:hAnsi="Traditional Arabic"/>
          <w:sz w:val="32"/>
          <w:szCs w:val="32"/>
        </w:rPr>
      </w:pPr>
      <w:r w:rsidRPr="00460872">
        <w:rPr>
          <w:rFonts w:ascii="Traditional Arabic" w:hAnsi="Traditional Arabic"/>
          <w:sz w:val="32"/>
          <w:szCs w:val="32"/>
          <w:rtl/>
        </w:rPr>
        <w:t>(</w:t>
      </w:r>
      <w:r w:rsidRPr="00460872">
        <w:rPr>
          <w:rStyle w:val="ae"/>
          <w:rFonts w:ascii="Traditional Arabic" w:hAnsi="Traditional Arabic"/>
          <w:sz w:val="32"/>
          <w:szCs w:val="32"/>
          <w:vertAlign w:val="baseline"/>
        </w:rPr>
        <w:footnoteRef/>
      </w:r>
      <w:r w:rsidRPr="00460872">
        <w:rPr>
          <w:rFonts w:ascii="Traditional Arabic" w:hAnsi="Traditional Arabic"/>
          <w:sz w:val="32"/>
          <w:szCs w:val="32"/>
          <w:rtl/>
        </w:rPr>
        <w:t xml:space="preserve">) </w:t>
      </w:r>
      <w:r>
        <w:rPr>
          <w:rFonts w:ascii="Traditional Arabic" w:hAnsi="Traditional Arabic"/>
          <w:sz w:val="32"/>
          <w:szCs w:val="32"/>
          <w:rtl/>
        </w:rPr>
        <w:t>سورة الأنعام</w:t>
      </w:r>
      <w:r>
        <w:rPr>
          <w:rFonts w:ascii="Traditional Arabic" w:hAnsi="Traditional Arabic" w:hint="cs"/>
          <w:sz w:val="32"/>
          <w:szCs w:val="32"/>
          <w:rtl/>
        </w:rPr>
        <w:t>, الآية:</w:t>
      </w:r>
      <w:r w:rsidRPr="00460872">
        <w:rPr>
          <w:rFonts w:ascii="Traditional Arabic" w:hAnsi="Traditional Arabic"/>
          <w:sz w:val="32"/>
          <w:szCs w:val="32"/>
          <w:rtl/>
        </w:rPr>
        <w:t xml:space="preserve"> </w:t>
      </w:r>
      <w:r>
        <w:rPr>
          <w:rFonts w:ascii="Traditional Arabic" w:hAnsi="Traditional Arabic" w:hint="cs"/>
          <w:sz w:val="32"/>
          <w:szCs w:val="32"/>
          <w:rtl/>
        </w:rPr>
        <w:t>(</w:t>
      </w:r>
      <w:r w:rsidRPr="00460872">
        <w:rPr>
          <w:rFonts w:ascii="Traditional Arabic" w:hAnsi="Traditional Arabic"/>
          <w:sz w:val="32"/>
          <w:szCs w:val="32"/>
          <w:rtl/>
        </w:rPr>
        <w:t>161</w:t>
      </w:r>
      <w:r>
        <w:rPr>
          <w:rFonts w:ascii="Traditional Arabic" w:hAnsi="Traditional Arabic" w:hint="cs"/>
          <w:sz w:val="32"/>
          <w:szCs w:val="32"/>
          <w:rtl/>
        </w:rPr>
        <w:t>). انظر: زاد المسير (3/160).</w:t>
      </w:r>
      <w:r w:rsidRPr="00460872">
        <w:rPr>
          <w:rFonts w:ascii="Traditional Arabic" w:hAnsi="Traditional Arabic"/>
          <w:sz w:val="32"/>
          <w:szCs w:val="32"/>
          <w:rtl/>
        </w:rPr>
        <w:t xml:space="preserve"> </w:t>
      </w:r>
    </w:p>
  </w:footnote>
  <w:footnote w:id="869">
    <w:p w:rsidR="003F128F" w:rsidRPr="00460872" w:rsidRDefault="003F128F" w:rsidP="005C21CD">
      <w:pPr>
        <w:pStyle w:val="af3"/>
        <w:rPr>
          <w:rFonts w:ascii="Traditional Arabic" w:hAnsi="Traditional Arabic"/>
          <w:sz w:val="32"/>
          <w:szCs w:val="32"/>
        </w:rPr>
      </w:pPr>
      <w:r w:rsidRPr="00460872">
        <w:rPr>
          <w:rFonts w:ascii="Traditional Arabic" w:hAnsi="Traditional Arabic"/>
          <w:sz w:val="32"/>
          <w:szCs w:val="32"/>
          <w:rtl/>
        </w:rPr>
        <w:t>(</w:t>
      </w:r>
      <w:r w:rsidRPr="00460872">
        <w:rPr>
          <w:rStyle w:val="ae"/>
          <w:rFonts w:ascii="Traditional Arabic" w:hAnsi="Traditional Arabic"/>
          <w:sz w:val="32"/>
          <w:szCs w:val="32"/>
          <w:vertAlign w:val="baseline"/>
        </w:rPr>
        <w:footnoteRef/>
      </w:r>
      <w:r w:rsidRPr="00460872">
        <w:rPr>
          <w:rFonts w:ascii="Traditional Arabic" w:hAnsi="Traditional Arabic"/>
          <w:sz w:val="32"/>
          <w:szCs w:val="32"/>
          <w:rtl/>
        </w:rPr>
        <w:t xml:space="preserve">) </w:t>
      </w:r>
      <w:r>
        <w:rPr>
          <w:rFonts w:ascii="Traditional Arabic" w:hAnsi="Traditional Arabic"/>
          <w:sz w:val="32"/>
          <w:szCs w:val="32"/>
          <w:rtl/>
        </w:rPr>
        <w:t>سورة آل عمران</w:t>
      </w:r>
      <w:r>
        <w:rPr>
          <w:rFonts w:ascii="Traditional Arabic" w:hAnsi="Traditional Arabic" w:hint="cs"/>
          <w:sz w:val="32"/>
          <w:szCs w:val="32"/>
          <w:rtl/>
        </w:rPr>
        <w:t>, الآية:</w:t>
      </w:r>
      <w:r w:rsidRPr="00460872">
        <w:rPr>
          <w:rFonts w:ascii="Traditional Arabic" w:hAnsi="Traditional Arabic"/>
          <w:sz w:val="32"/>
          <w:szCs w:val="32"/>
          <w:rtl/>
        </w:rPr>
        <w:t xml:space="preserve"> </w:t>
      </w:r>
      <w:r>
        <w:rPr>
          <w:rFonts w:ascii="Traditional Arabic" w:hAnsi="Traditional Arabic" w:hint="cs"/>
          <w:sz w:val="32"/>
          <w:szCs w:val="32"/>
          <w:rtl/>
        </w:rPr>
        <w:t>(</w:t>
      </w:r>
      <w:r w:rsidRPr="00460872">
        <w:rPr>
          <w:rFonts w:ascii="Traditional Arabic" w:hAnsi="Traditional Arabic"/>
          <w:sz w:val="32"/>
          <w:szCs w:val="32"/>
          <w:rtl/>
        </w:rPr>
        <w:t>99</w:t>
      </w:r>
      <w:r>
        <w:rPr>
          <w:rFonts w:ascii="Traditional Arabic" w:hAnsi="Traditional Arabic" w:hint="cs"/>
          <w:sz w:val="32"/>
          <w:szCs w:val="32"/>
          <w:rtl/>
        </w:rPr>
        <w:t>). انظر: زاد المسير (1/340).</w:t>
      </w:r>
    </w:p>
  </w:footnote>
  <w:footnote w:id="870">
    <w:p w:rsidR="003F128F" w:rsidRPr="005D37E8" w:rsidRDefault="003F128F" w:rsidP="00BA6C1B">
      <w:pPr>
        <w:pStyle w:val="af3"/>
        <w:rPr>
          <w:rFonts w:ascii="Traditional Arabic" w:hAnsi="Traditional Arabic"/>
          <w:sz w:val="32"/>
          <w:szCs w:val="32"/>
        </w:rPr>
      </w:pPr>
      <w:r w:rsidRPr="005D37E8">
        <w:rPr>
          <w:rFonts w:ascii="Traditional Arabic" w:hAnsi="Traditional Arabic"/>
          <w:sz w:val="32"/>
          <w:szCs w:val="32"/>
          <w:rtl/>
        </w:rPr>
        <w:t>(</w:t>
      </w:r>
      <w:r w:rsidRPr="005D37E8">
        <w:rPr>
          <w:rStyle w:val="ae"/>
          <w:rFonts w:ascii="Traditional Arabic" w:hAnsi="Traditional Arabic"/>
          <w:sz w:val="32"/>
          <w:szCs w:val="32"/>
          <w:vertAlign w:val="baseline"/>
        </w:rPr>
        <w:footnoteRef/>
      </w:r>
      <w:r w:rsidRPr="005D37E8">
        <w:rPr>
          <w:rFonts w:ascii="Traditional Arabic" w:hAnsi="Traditional Arabic"/>
          <w:sz w:val="32"/>
          <w:szCs w:val="32"/>
          <w:rtl/>
        </w:rPr>
        <w:t>) انظر: تفسير الطبري (17/595</w:t>
      </w:r>
      <w:r>
        <w:rPr>
          <w:rFonts w:ascii="Traditional Arabic" w:hAnsi="Traditional Arabic"/>
          <w:sz w:val="32"/>
          <w:szCs w:val="32"/>
          <w:rtl/>
        </w:rPr>
        <w:t>), معاني القرآن وإعرابه (3/268)</w:t>
      </w:r>
      <w:r>
        <w:rPr>
          <w:rFonts w:ascii="Traditional Arabic" w:hAnsi="Traditional Arabic" w:hint="cs"/>
          <w:sz w:val="32"/>
          <w:szCs w:val="32"/>
          <w:rtl/>
        </w:rPr>
        <w:t>.</w:t>
      </w:r>
    </w:p>
  </w:footnote>
  <w:footnote w:id="871">
    <w:p w:rsidR="003F128F" w:rsidRPr="00F21DA0" w:rsidRDefault="003F128F" w:rsidP="005C21CD">
      <w:pPr>
        <w:pStyle w:val="af3"/>
        <w:rPr>
          <w:rFonts w:ascii="Traditional Arabic" w:hAnsi="Traditional Arabic"/>
          <w:sz w:val="32"/>
          <w:szCs w:val="32"/>
        </w:rPr>
      </w:pPr>
      <w:r w:rsidRPr="00F21DA0">
        <w:rPr>
          <w:rFonts w:ascii="Traditional Arabic" w:hAnsi="Traditional Arabic"/>
          <w:sz w:val="32"/>
          <w:szCs w:val="32"/>
          <w:rtl/>
        </w:rPr>
        <w:t>(</w:t>
      </w:r>
      <w:r w:rsidRPr="00F21DA0">
        <w:rPr>
          <w:rStyle w:val="ae"/>
          <w:rFonts w:ascii="Traditional Arabic" w:hAnsi="Traditional Arabic"/>
          <w:sz w:val="32"/>
          <w:szCs w:val="32"/>
          <w:vertAlign w:val="baseline"/>
        </w:rPr>
        <w:footnoteRef/>
      </w:r>
      <w:r w:rsidRPr="00F21DA0">
        <w:rPr>
          <w:rFonts w:ascii="Traditional Arabic" w:hAnsi="Traditional Arabic"/>
          <w:sz w:val="32"/>
          <w:szCs w:val="32"/>
          <w:rtl/>
        </w:rPr>
        <w:t>) انظر: التفسير الوسيط (3/136), المحرر الوجيز (3/495).</w:t>
      </w:r>
    </w:p>
  </w:footnote>
  <w:footnote w:id="872">
    <w:p w:rsidR="003F128F" w:rsidRPr="00F21DA0" w:rsidRDefault="003F128F" w:rsidP="00B12BFE">
      <w:pPr>
        <w:pStyle w:val="af3"/>
        <w:rPr>
          <w:rFonts w:ascii="Traditional Arabic" w:hAnsi="Traditional Arabic"/>
          <w:sz w:val="32"/>
          <w:szCs w:val="32"/>
        </w:rPr>
      </w:pPr>
      <w:r w:rsidRPr="00F21DA0">
        <w:rPr>
          <w:rFonts w:ascii="Traditional Arabic" w:hAnsi="Traditional Arabic"/>
          <w:sz w:val="32"/>
          <w:szCs w:val="32"/>
          <w:rtl/>
        </w:rPr>
        <w:t>(</w:t>
      </w:r>
      <w:r w:rsidRPr="00F21DA0">
        <w:rPr>
          <w:rStyle w:val="ae"/>
          <w:rFonts w:ascii="Traditional Arabic" w:hAnsi="Traditional Arabic"/>
          <w:sz w:val="32"/>
          <w:szCs w:val="32"/>
          <w:vertAlign w:val="baseline"/>
        </w:rPr>
        <w:footnoteRef/>
      </w:r>
      <w:r w:rsidRPr="00F21DA0">
        <w:rPr>
          <w:rFonts w:ascii="Traditional Arabic" w:hAnsi="Traditional Arabic"/>
          <w:sz w:val="32"/>
          <w:szCs w:val="32"/>
          <w:rtl/>
        </w:rPr>
        <w:t>)</w:t>
      </w:r>
      <w:r>
        <w:rPr>
          <w:rFonts w:ascii="Traditional Arabic" w:hAnsi="Traditional Arabic" w:hint="cs"/>
          <w:sz w:val="32"/>
          <w:szCs w:val="32"/>
          <w:rtl/>
        </w:rPr>
        <w:t xml:space="preserve"> </w:t>
      </w:r>
      <w:r w:rsidRPr="00F21DA0">
        <w:rPr>
          <w:rFonts w:ascii="Traditional Arabic" w:hAnsi="Traditional Arabic"/>
          <w:sz w:val="32"/>
          <w:szCs w:val="32"/>
          <w:rtl/>
        </w:rPr>
        <w:t>انظر: المحتسب (2/24), مختصر في الشواذ لابن خالويه (ص81)</w:t>
      </w:r>
      <w:r>
        <w:rPr>
          <w:rFonts w:ascii="Traditional Arabic" w:hAnsi="Traditional Arabic" w:hint="cs"/>
          <w:sz w:val="32"/>
          <w:szCs w:val="32"/>
          <w:rtl/>
        </w:rPr>
        <w:t>.</w:t>
      </w:r>
    </w:p>
  </w:footnote>
  <w:footnote w:id="873">
    <w:p w:rsidR="003F128F" w:rsidRPr="00F21DA0" w:rsidRDefault="003F128F" w:rsidP="005C21CD">
      <w:pPr>
        <w:pStyle w:val="af3"/>
        <w:rPr>
          <w:rFonts w:ascii="Traditional Arabic" w:hAnsi="Traditional Arabic"/>
          <w:sz w:val="32"/>
          <w:szCs w:val="32"/>
        </w:rPr>
      </w:pPr>
      <w:r w:rsidRPr="00F21DA0">
        <w:rPr>
          <w:rFonts w:ascii="Traditional Arabic" w:hAnsi="Traditional Arabic"/>
          <w:sz w:val="32"/>
          <w:szCs w:val="32"/>
          <w:rtl/>
        </w:rPr>
        <w:t>(</w:t>
      </w:r>
      <w:r w:rsidRPr="00F21DA0">
        <w:rPr>
          <w:rStyle w:val="ae"/>
          <w:rFonts w:ascii="Traditional Arabic" w:hAnsi="Traditional Arabic"/>
          <w:sz w:val="32"/>
          <w:szCs w:val="32"/>
          <w:vertAlign w:val="baseline"/>
        </w:rPr>
        <w:footnoteRef/>
      </w:r>
      <w:r w:rsidRPr="00F21DA0">
        <w:rPr>
          <w:rFonts w:ascii="Traditional Arabic" w:hAnsi="Traditional Arabic"/>
          <w:sz w:val="32"/>
          <w:szCs w:val="32"/>
          <w:rtl/>
        </w:rPr>
        <w:t xml:space="preserve">) انظر: معاني القرآن (2/134). </w:t>
      </w:r>
    </w:p>
  </w:footnote>
  <w:footnote w:id="874">
    <w:p w:rsidR="003F128F" w:rsidRPr="00F21DA0" w:rsidRDefault="003F128F" w:rsidP="005C21CD">
      <w:pPr>
        <w:pStyle w:val="af3"/>
        <w:rPr>
          <w:rFonts w:ascii="Traditional Arabic" w:hAnsi="Traditional Arabic"/>
          <w:sz w:val="32"/>
          <w:szCs w:val="32"/>
        </w:rPr>
      </w:pPr>
      <w:r w:rsidRPr="00F21DA0">
        <w:rPr>
          <w:rFonts w:ascii="Traditional Arabic" w:hAnsi="Traditional Arabic"/>
          <w:sz w:val="32"/>
          <w:szCs w:val="32"/>
          <w:rtl/>
        </w:rPr>
        <w:t>(</w:t>
      </w:r>
      <w:r w:rsidRPr="00F21DA0">
        <w:rPr>
          <w:rStyle w:val="ae"/>
          <w:rFonts w:ascii="Traditional Arabic" w:hAnsi="Traditional Arabic"/>
          <w:sz w:val="32"/>
          <w:szCs w:val="32"/>
          <w:vertAlign w:val="baseline"/>
        </w:rPr>
        <w:footnoteRef/>
      </w:r>
      <w:r w:rsidRPr="00F21DA0">
        <w:rPr>
          <w:rFonts w:ascii="Traditional Arabic" w:hAnsi="Traditional Arabic"/>
          <w:sz w:val="32"/>
          <w:szCs w:val="32"/>
          <w:rtl/>
        </w:rPr>
        <w:t>) انظر: معاني القرآن وإعرابه (3/268).</w:t>
      </w:r>
    </w:p>
  </w:footnote>
  <w:footnote w:id="875">
    <w:p w:rsidR="003F128F" w:rsidRPr="00F21DA0" w:rsidRDefault="003F128F" w:rsidP="00B12BFE">
      <w:pPr>
        <w:pStyle w:val="af3"/>
        <w:rPr>
          <w:rFonts w:ascii="Traditional Arabic" w:hAnsi="Traditional Arabic"/>
          <w:sz w:val="32"/>
          <w:szCs w:val="32"/>
        </w:rPr>
      </w:pPr>
      <w:r w:rsidRPr="00F21DA0">
        <w:rPr>
          <w:rFonts w:ascii="Traditional Arabic" w:hAnsi="Traditional Arabic"/>
          <w:sz w:val="32"/>
          <w:szCs w:val="32"/>
          <w:rtl/>
        </w:rPr>
        <w:t>(</w:t>
      </w:r>
      <w:r w:rsidRPr="00F21DA0">
        <w:rPr>
          <w:rStyle w:val="ae"/>
          <w:rFonts w:ascii="Traditional Arabic" w:hAnsi="Traditional Arabic"/>
          <w:sz w:val="32"/>
          <w:szCs w:val="32"/>
          <w:vertAlign w:val="baseline"/>
        </w:rPr>
        <w:footnoteRef/>
      </w:r>
      <w:r>
        <w:rPr>
          <w:rFonts w:ascii="Traditional Arabic" w:hAnsi="Traditional Arabic"/>
          <w:sz w:val="32"/>
          <w:szCs w:val="32"/>
          <w:rtl/>
        </w:rPr>
        <w:t xml:space="preserve">) </w:t>
      </w:r>
      <w:r w:rsidRPr="00F21DA0">
        <w:rPr>
          <w:rFonts w:ascii="Traditional Arabic" w:hAnsi="Traditional Arabic"/>
          <w:sz w:val="32"/>
          <w:szCs w:val="32"/>
          <w:rtl/>
        </w:rPr>
        <w:t>انظر: شواذ القراءات للكرماني (ص139).</w:t>
      </w:r>
    </w:p>
  </w:footnote>
  <w:footnote w:id="876">
    <w:p w:rsidR="003F128F" w:rsidRPr="00447836" w:rsidRDefault="003F128F" w:rsidP="005C21CD">
      <w:pPr>
        <w:pStyle w:val="af3"/>
        <w:rPr>
          <w:rFonts w:ascii="Tahoma" w:hAnsi="Tahoma"/>
        </w:rPr>
      </w:pPr>
      <w:r w:rsidRPr="00F21DA0">
        <w:rPr>
          <w:rFonts w:ascii="Traditional Arabic" w:hAnsi="Traditional Arabic"/>
          <w:sz w:val="32"/>
          <w:szCs w:val="32"/>
          <w:rtl/>
        </w:rPr>
        <w:t>(</w:t>
      </w:r>
      <w:r w:rsidRPr="00F21DA0">
        <w:rPr>
          <w:rStyle w:val="ae"/>
          <w:rFonts w:ascii="Traditional Arabic" w:hAnsi="Traditional Arabic"/>
          <w:sz w:val="32"/>
          <w:szCs w:val="32"/>
          <w:vertAlign w:val="baseline"/>
        </w:rPr>
        <w:footnoteRef/>
      </w:r>
      <w:r w:rsidRPr="00F21DA0">
        <w:rPr>
          <w:rFonts w:ascii="Traditional Arabic" w:hAnsi="Traditional Arabic"/>
          <w:sz w:val="32"/>
          <w:szCs w:val="32"/>
          <w:rtl/>
        </w:rPr>
        <w:t>) انظر</w:t>
      </w:r>
      <w:r>
        <w:rPr>
          <w:rFonts w:ascii="Traditional Arabic" w:hAnsi="Traditional Arabic" w:hint="cs"/>
          <w:sz w:val="32"/>
          <w:szCs w:val="32"/>
          <w:rtl/>
        </w:rPr>
        <w:t>:</w:t>
      </w:r>
      <w:r w:rsidRPr="00F21DA0">
        <w:rPr>
          <w:rFonts w:ascii="Traditional Arabic" w:hAnsi="Traditional Arabic"/>
          <w:sz w:val="32"/>
          <w:szCs w:val="32"/>
          <w:rtl/>
        </w:rPr>
        <w:t xml:space="preserve"> تفسير مقاتل (2/573), تفسير عبد الرزاق (2/324), معاني القرآن وإعرابه (3/268).</w:t>
      </w:r>
    </w:p>
  </w:footnote>
  <w:footnote w:id="877">
    <w:p w:rsidR="003F128F" w:rsidRPr="00E30A41" w:rsidRDefault="003F128F" w:rsidP="001D6D10">
      <w:pPr>
        <w:pStyle w:val="af3"/>
        <w:rPr>
          <w:rFonts w:ascii="Traditional Arabic" w:hAnsi="Traditional Arabic"/>
          <w:sz w:val="32"/>
          <w:szCs w:val="32"/>
        </w:rPr>
      </w:pPr>
      <w:r w:rsidRPr="00E30A41">
        <w:rPr>
          <w:rFonts w:ascii="Traditional Arabic" w:hAnsi="Traditional Arabic"/>
          <w:sz w:val="32"/>
          <w:szCs w:val="32"/>
          <w:rtl/>
        </w:rPr>
        <w:t>(</w:t>
      </w:r>
      <w:r w:rsidRPr="00E30A41">
        <w:rPr>
          <w:rStyle w:val="ae"/>
          <w:rFonts w:ascii="Traditional Arabic" w:hAnsi="Traditional Arabic"/>
          <w:sz w:val="32"/>
          <w:szCs w:val="32"/>
          <w:vertAlign w:val="baseline"/>
        </w:rPr>
        <w:footnoteRef/>
      </w:r>
      <w:r w:rsidRPr="00E30A41">
        <w:rPr>
          <w:rFonts w:ascii="Traditional Arabic" w:hAnsi="Traditional Arabic"/>
          <w:sz w:val="32"/>
          <w:szCs w:val="32"/>
          <w:rtl/>
        </w:rPr>
        <w:t xml:space="preserve">) ديوان </w:t>
      </w:r>
      <w:r>
        <w:rPr>
          <w:rFonts w:ascii="Traditional Arabic" w:hAnsi="Traditional Arabic" w:hint="cs"/>
          <w:sz w:val="32"/>
          <w:szCs w:val="32"/>
          <w:rtl/>
        </w:rPr>
        <w:t>ذو</w:t>
      </w:r>
      <w:r w:rsidRPr="00E30A41">
        <w:rPr>
          <w:rFonts w:ascii="Traditional Arabic" w:hAnsi="Traditional Arabic"/>
          <w:sz w:val="32"/>
          <w:szCs w:val="32"/>
          <w:rtl/>
        </w:rPr>
        <w:t xml:space="preserve"> الرمة (ص118).</w:t>
      </w:r>
    </w:p>
  </w:footnote>
  <w:footnote w:id="878">
    <w:p w:rsidR="003F128F" w:rsidRPr="00E30A41" w:rsidRDefault="003F128F" w:rsidP="005C21CD">
      <w:pPr>
        <w:pStyle w:val="af3"/>
        <w:rPr>
          <w:rFonts w:ascii="Traditional Arabic" w:hAnsi="Traditional Arabic"/>
          <w:sz w:val="32"/>
          <w:szCs w:val="32"/>
        </w:rPr>
      </w:pPr>
      <w:r w:rsidRPr="00E30A41">
        <w:rPr>
          <w:rFonts w:ascii="Traditional Arabic" w:hAnsi="Traditional Arabic"/>
          <w:sz w:val="32"/>
          <w:szCs w:val="32"/>
          <w:rtl/>
        </w:rPr>
        <w:t>(</w:t>
      </w:r>
      <w:r w:rsidRPr="00E30A41">
        <w:rPr>
          <w:rStyle w:val="ae"/>
          <w:rFonts w:ascii="Traditional Arabic" w:hAnsi="Traditional Arabic"/>
          <w:sz w:val="32"/>
          <w:szCs w:val="32"/>
          <w:vertAlign w:val="baseline"/>
        </w:rPr>
        <w:footnoteRef/>
      </w:r>
      <w:r w:rsidRPr="00E30A41">
        <w:rPr>
          <w:rFonts w:ascii="Traditional Arabic" w:hAnsi="Traditional Arabic"/>
          <w:sz w:val="32"/>
          <w:szCs w:val="32"/>
          <w:rtl/>
        </w:rPr>
        <w:t xml:space="preserve">) مجاز القرآن (1/393). </w:t>
      </w:r>
    </w:p>
  </w:footnote>
  <w:footnote w:id="879">
    <w:p w:rsidR="003F128F" w:rsidRPr="00E30A41" w:rsidRDefault="003F128F" w:rsidP="005C21CD">
      <w:pPr>
        <w:pStyle w:val="af3"/>
        <w:rPr>
          <w:rFonts w:ascii="Traditional Arabic" w:hAnsi="Traditional Arabic"/>
          <w:sz w:val="32"/>
          <w:szCs w:val="32"/>
        </w:rPr>
      </w:pPr>
      <w:r w:rsidRPr="00E30A41">
        <w:rPr>
          <w:rFonts w:ascii="Traditional Arabic" w:hAnsi="Traditional Arabic"/>
          <w:sz w:val="32"/>
          <w:szCs w:val="32"/>
          <w:rtl/>
        </w:rPr>
        <w:t>(</w:t>
      </w:r>
      <w:r w:rsidRPr="00E30A41">
        <w:rPr>
          <w:rStyle w:val="ae"/>
          <w:rFonts w:ascii="Traditional Arabic" w:hAnsi="Traditional Arabic"/>
          <w:sz w:val="32"/>
          <w:szCs w:val="32"/>
          <w:vertAlign w:val="baseline"/>
        </w:rPr>
        <w:footnoteRef/>
      </w:r>
      <w:r w:rsidRPr="00E30A41">
        <w:rPr>
          <w:rFonts w:ascii="Traditional Arabic" w:hAnsi="Traditional Arabic"/>
          <w:sz w:val="32"/>
          <w:szCs w:val="32"/>
          <w:rtl/>
        </w:rPr>
        <w:t>) لم أقف عليه فيما لدي من مصادر.</w:t>
      </w:r>
    </w:p>
  </w:footnote>
  <w:footnote w:id="880">
    <w:p w:rsidR="003F128F" w:rsidRPr="00E30A41" w:rsidRDefault="003F128F" w:rsidP="005C21CD">
      <w:pPr>
        <w:pStyle w:val="af3"/>
        <w:rPr>
          <w:rFonts w:ascii="Traditional Arabic" w:hAnsi="Traditional Arabic"/>
          <w:sz w:val="32"/>
          <w:szCs w:val="32"/>
        </w:rPr>
      </w:pPr>
      <w:r w:rsidRPr="00E30A41">
        <w:rPr>
          <w:rFonts w:ascii="Traditional Arabic" w:hAnsi="Traditional Arabic"/>
          <w:sz w:val="32"/>
          <w:szCs w:val="32"/>
          <w:rtl/>
        </w:rPr>
        <w:t>(</w:t>
      </w:r>
      <w:r w:rsidRPr="00E30A41">
        <w:rPr>
          <w:rStyle w:val="ae"/>
          <w:rFonts w:ascii="Traditional Arabic" w:hAnsi="Traditional Arabic"/>
          <w:sz w:val="32"/>
          <w:szCs w:val="32"/>
          <w:vertAlign w:val="baseline"/>
        </w:rPr>
        <w:footnoteRef/>
      </w:r>
      <w:r w:rsidRPr="00E30A41">
        <w:rPr>
          <w:rFonts w:ascii="Traditional Arabic" w:hAnsi="Traditional Arabic"/>
          <w:sz w:val="32"/>
          <w:szCs w:val="32"/>
          <w:rtl/>
        </w:rPr>
        <w:t xml:space="preserve">) </w:t>
      </w:r>
      <w:r>
        <w:rPr>
          <w:rFonts w:ascii="Traditional Arabic" w:hAnsi="Traditional Arabic" w:hint="cs"/>
          <w:sz w:val="32"/>
          <w:szCs w:val="32"/>
          <w:rtl/>
        </w:rPr>
        <w:t xml:space="preserve">انظر: </w:t>
      </w:r>
      <w:r w:rsidRPr="00E30A41">
        <w:rPr>
          <w:rFonts w:ascii="Traditional Arabic" w:hAnsi="Traditional Arabic"/>
          <w:sz w:val="32"/>
          <w:szCs w:val="32"/>
          <w:rtl/>
        </w:rPr>
        <w:t>التفسير الوسيط (3/136)</w:t>
      </w:r>
      <w:r>
        <w:rPr>
          <w:rFonts w:ascii="Traditional Arabic" w:hAnsi="Traditional Arabic" w:hint="cs"/>
          <w:sz w:val="32"/>
          <w:szCs w:val="32"/>
          <w:rtl/>
        </w:rPr>
        <w:t>,</w:t>
      </w:r>
      <w:r w:rsidRPr="003A34E8">
        <w:rPr>
          <w:rFonts w:ascii="Traditional Arabic" w:hAnsi="Traditional Arabic"/>
          <w:sz w:val="32"/>
          <w:szCs w:val="32"/>
          <w:rtl/>
        </w:rPr>
        <w:t xml:space="preserve"> </w:t>
      </w:r>
      <w:r>
        <w:rPr>
          <w:rFonts w:ascii="Traditional Arabic" w:hAnsi="Traditional Arabic" w:hint="cs"/>
          <w:sz w:val="32"/>
          <w:szCs w:val="32"/>
          <w:rtl/>
        </w:rPr>
        <w:t>و</w:t>
      </w:r>
      <w:r>
        <w:rPr>
          <w:rFonts w:ascii="Traditional Arabic" w:hAnsi="Traditional Arabic"/>
          <w:sz w:val="32"/>
          <w:szCs w:val="32"/>
          <w:rtl/>
        </w:rPr>
        <w:t>أخرج</w:t>
      </w:r>
      <w:r>
        <w:rPr>
          <w:rFonts w:ascii="Traditional Arabic" w:hAnsi="Traditional Arabic" w:hint="cs"/>
          <w:sz w:val="32"/>
          <w:szCs w:val="32"/>
          <w:rtl/>
        </w:rPr>
        <w:t>ه</w:t>
      </w:r>
      <w:r w:rsidRPr="003A34E8">
        <w:rPr>
          <w:rFonts w:ascii="Traditional Arabic" w:hAnsi="Traditional Arabic"/>
          <w:sz w:val="32"/>
          <w:szCs w:val="32"/>
          <w:rtl/>
        </w:rPr>
        <w:t xml:space="preserve"> الطبري (</w:t>
      </w:r>
      <w:r>
        <w:rPr>
          <w:rFonts w:ascii="Traditional Arabic" w:hAnsi="Traditional Arabic" w:hint="cs"/>
          <w:sz w:val="32"/>
          <w:szCs w:val="32"/>
          <w:rtl/>
        </w:rPr>
        <w:t>17/598</w:t>
      </w:r>
      <w:r w:rsidRPr="003A34E8">
        <w:rPr>
          <w:rFonts w:ascii="Traditional Arabic" w:hAnsi="Traditional Arabic"/>
          <w:sz w:val="32"/>
          <w:szCs w:val="32"/>
          <w:rtl/>
        </w:rPr>
        <w:t>) ، وابن أبي حاتم (7/2344</w:t>
      </w:r>
      <w:r>
        <w:rPr>
          <w:rFonts w:ascii="Traditional Arabic" w:hAnsi="Traditional Arabic"/>
          <w:sz w:val="32"/>
          <w:szCs w:val="32"/>
          <w:rtl/>
        </w:rPr>
        <w:t>) كلاهما عن قتادة</w:t>
      </w:r>
      <w:r w:rsidRPr="00E30A41">
        <w:rPr>
          <w:rFonts w:ascii="Traditional Arabic" w:hAnsi="Traditional Arabic"/>
          <w:sz w:val="32"/>
          <w:szCs w:val="32"/>
          <w:rtl/>
        </w:rPr>
        <w:t>.</w:t>
      </w:r>
    </w:p>
  </w:footnote>
  <w:footnote w:id="881">
    <w:p w:rsidR="003F128F" w:rsidRPr="00E30A41" w:rsidRDefault="003F128F" w:rsidP="005C21CD">
      <w:pPr>
        <w:pStyle w:val="af3"/>
        <w:rPr>
          <w:rFonts w:ascii="Traditional Arabic" w:hAnsi="Traditional Arabic"/>
          <w:sz w:val="32"/>
          <w:szCs w:val="32"/>
        </w:rPr>
      </w:pPr>
      <w:r w:rsidRPr="00E30A41">
        <w:rPr>
          <w:rFonts w:ascii="Traditional Arabic" w:hAnsi="Traditional Arabic"/>
          <w:sz w:val="32"/>
          <w:szCs w:val="32"/>
          <w:rtl/>
        </w:rPr>
        <w:t>(</w:t>
      </w:r>
      <w:r w:rsidRPr="00E30A41">
        <w:rPr>
          <w:rStyle w:val="ae"/>
          <w:rFonts w:ascii="Traditional Arabic" w:hAnsi="Traditional Arabic"/>
          <w:sz w:val="32"/>
          <w:szCs w:val="32"/>
          <w:vertAlign w:val="baseline"/>
        </w:rPr>
        <w:footnoteRef/>
      </w:r>
      <w:r w:rsidRPr="00E30A41">
        <w:rPr>
          <w:rFonts w:ascii="Traditional Arabic" w:hAnsi="Traditional Arabic"/>
          <w:sz w:val="32"/>
          <w:szCs w:val="32"/>
          <w:rtl/>
        </w:rPr>
        <w:t>) غريب القرآن (1/263).</w:t>
      </w:r>
    </w:p>
  </w:footnote>
  <w:footnote w:id="882">
    <w:p w:rsidR="003F128F" w:rsidRPr="00E30A41" w:rsidRDefault="003F128F" w:rsidP="00B12BFE">
      <w:pPr>
        <w:pStyle w:val="af3"/>
        <w:rPr>
          <w:rFonts w:ascii="Traditional Arabic" w:hAnsi="Traditional Arabic"/>
          <w:sz w:val="32"/>
          <w:szCs w:val="32"/>
        </w:rPr>
      </w:pPr>
      <w:r w:rsidRPr="00E30A41">
        <w:rPr>
          <w:rFonts w:ascii="Traditional Arabic" w:hAnsi="Traditional Arabic"/>
          <w:sz w:val="32"/>
          <w:szCs w:val="32"/>
          <w:rtl/>
        </w:rPr>
        <w:t>(</w:t>
      </w:r>
      <w:r w:rsidRPr="00E30A41">
        <w:rPr>
          <w:rStyle w:val="ae"/>
          <w:rFonts w:ascii="Traditional Arabic" w:hAnsi="Traditional Arabic"/>
          <w:sz w:val="32"/>
          <w:szCs w:val="32"/>
          <w:vertAlign w:val="baseline"/>
        </w:rPr>
        <w:footnoteRef/>
      </w:r>
      <w:r w:rsidRPr="00E30A41">
        <w:rPr>
          <w:rFonts w:ascii="Traditional Arabic" w:hAnsi="Traditional Arabic"/>
          <w:sz w:val="32"/>
          <w:szCs w:val="32"/>
          <w:rtl/>
        </w:rPr>
        <w:t>)</w:t>
      </w:r>
      <w:r>
        <w:rPr>
          <w:rFonts w:ascii="Traditional Arabic" w:hAnsi="Traditional Arabic" w:hint="cs"/>
          <w:sz w:val="32"/>
          <w:szCs w:val="32"/>
          <w:rtl/>
        </w:rPr>
        <w:t xml:space="preserve"> تفسير مجاهد (ص445),</w:t>
      </w:r>
      <w:r w:rsidRPr="00E30A41">
        <w:rPr>
          <w:rFonts w:ascii="Traditional Arabic" w:hAnsi="Traditional Arabic"/>
          <w:sz w:val="32"/>
          <w:szCs w:val="32"/>
          <w:rtl/>
        </w:rPr>
        <w:t xml:space="preserve"> تفسير يحيى بن سلام (1/172)</w:t>
      </w:r>
      <w:r>
        <w:rPr>
          <w:rFonts w:ascii="Traditional Arabic" w:hAnsi="Traditional Arabic" w:hint="cs"/>
          <w:sz w:val="32"/>
          <w:szCs w:val="32"/>
          <w:rtl/>
        </w:rPr>
        <w:t>.</w:t>
      </w:r>
    </w:p>
  </w:footnote>
  <w:footnote w:id="883">
    <w:p w:rsidR="003F128F" w:rsidRPr="00E30A41" w:rsidRDefault="003F128F" w:rsidP="005C21CD">
      <w:pPr>
        <w:pStyle w:val="af3"/>
        <w:rPr>
          <w:rFonts w:ascii="Traditional Arabic" w:hAnsi="Traditional Arabic"/>
          <w:sz w:val="32"/>
          <w:szCs w:val="32"/>
        </w:rPr>
      </w:pPr>
      <w:r w:rsidRPr="00E30A41">
        <w:rPr>
          <w:rFonts w:ascii="Traditional Arabic" w:hAnsi="Traditional Arabic"/>
          <w:sz w:val="32"/>
          <w:szCs w:val="32"/>
          <w:rtl/>
        </w:rPr>
        <w:t>(</w:t>
      </w:r>
      <w:r w:rsidRPr="00E30A41">
        <w:rPr>
          <w:rStyle w:val="ae"/>
          <w:rFonts w:ascii="Traditional Arabic" w:hAnsi="Traditional Arabic"/>
          <w:sz w:val="32"/>
          <w:szCs w:val="32"/>
          <w:vertAlign w:val="baseline"/>
        </w:rPr>
        <w:footnoteRef/>
      </w:r>
      <w:r w:rsidRPr="00E30A41">
        <w:rPr>
          <w:rFonts w:ascii="Traditional Arabic" w:hAnsi="Traditional Arabic"/>
          <w:sz w:val="32"/>
          <w:szCs w:val="32"/>
          <w:rtl/>
        </w:rPr>
        <w:t xml:space="preserve">) تفسير يحيى بن سلام (1/172), تفسير الطبري (17/598). </w:t>
      </w:r>
    </w:p>
  </w:footnote>
  <w:footnote w:id="884">
    <w:p w:rsidR="003F128F" w:rsidRPr="00E30A41" w:rsidRDefault="003F128F" w:rsidP="005C21CD">
      <w:pPr>
        <w:pStyle w:val="af3"/>
        <w:rPr>
          <w:rFonts w:ascii="Traditional Arabic" w:hAnsi="Traditional Arabic"/>
          <w:sz w:val="32"/>
          <w:szCs w:val="32"/>
        </w:rPr>
      </w:pPr>
      <w:r w:rsidRPr="00E30A41">
        <w:rPr>
          <w:rFonts w:ascii="Traditional Arabic" w:hAnsi="Traditional Arabic"/>
          <w:sz w:val="32"/>
          <w:szCs w:val="32"/>
          <w:rtl/>
        </w:rPr>
        <w:t>(</w:t>
      </w:r>
      <w:r w:rsidRPr="00E30A41">
        <w:rPr>
          <w:rStyle w:val="ae"/>
          <w:rFonts w:ascii="Traditional Arabic" w:hAnsi="Traditional Arabic"/>
          <w:sz w:val="32"/>
          <w:szCs w:val="32"/>
          <w:vertAlign w:val="baseline"/>
        </w:rPr>
        <w:footnoteRef/>
      </w:r>
      <w:r w:rsidRPr="00E30A41">
        <w:rPr>
          <w:rFonts w:ascii="Traditional Arabic" w:hAnsi="Traditional Arabic"/>
          <w:sz w:val="32"/>
          <w:szCs w:val="32"/>
          <w:rtl/>
        </w:rPr>
        <w:t>) انظر: النكت والعيون (3/285), وذكر السيوطي قول السدي في الدر المنثور وعزاه لابن أبي حاتم (5/360).</w:t>
      </w:r>
    </w:p>
  </w:footnote>
  <w:footnote w:id="885">
    <w:p w:rsidR="003F128F" w:rsidRPr="00E30A41" w:rsidRDefault="003F128F" w:rsidP="005C21CD">
      <w:pPr>
        <w:pStyle w:val="af3"/>
        <w:rPr>
          <w:rFonts w:ascii="Traditional Arabic" w:hAnsi="Traditional Arabic"/>
          <w:sz w:val="32"/>
          <w:szCs w:val="32"/>
        </w:rPr>
      </w:pPr>
      <w:r w:rsidRPr="00E30A41">
        <w:rPr>
          <w:rFonts w:ascii="Traditional Arabic" w:hAnsi="Traditional Arabic"/>
          <w:sz w:val="32"/>
          <w:szCs w:val="32"/>
          <w:rtl/>
        </w:rPr>
        <w:t>(</w:t>
      </w:r>
      <w:r w:rsidRPr="00E30A41">
        <w:rPr>
          <w:rStyle w:val="ae"/>
          <w:rFonts w:ascii="Traditional Arabic" w:hAnsi="Traditional Arabic"/>
          <w:sz w:val="32"/>
          <w:szCs w:val="32"/>
          <w:vertAlign w:val="baseline"/>
        </w:rPr>
        <w:footnoteRef/>
      </w:r>
      <w:r>
        <w:rPr>
          <w:rFonts w:ascii="Traditional Arabic" w:hAnsi="Traditional Arabic"/>
          <w:sz w:val="32"/>
          <w:szCs w:val="32"/>
          <w:rtl/>
        </w:rPr>
        <w:t>)</w:t>
      </w:r>
      <w:r w:rsidRPr="00E30A41">
        <w:rPr>
          <w:rFonts w:ascii="Traditional Arabic" w:hAnsi="Traditional Arabic"/>
          <w:sz w:val="32"/>
          <w:szCs w:val="32"/>
          <w:rtl/>
        </w:rPr>
        <w:t xml:space="preserve"> مجاز القرآن (1/393).</w:t>
      </w:r>
    </w:p>
  </w:footnote>
  <w:footnote w:id="886">
    <w:p w:rsidR="003F128F" w:rsidRPr="0022067E" w:rsidRDefault="003F128F" w:rsidP="005C21CD">
      <w:pPr>
        <w:pStyle w:val="af3"/>
        <w:rPr>
          <w:rFonts w:ascii="Traditional Arabic" w:hAnsi="Traditional Arabic"/>
          <w:sz w:val="32"/>
          <w:szCs w:val="32"/>
        </w:rPr>
      </w:pPr>
      <w:r w:rsidRPr="007512E3">
        <w:rPr>
          <w:rFonts w:ascii="Tahoma" w:hAnsi="Tahoma"/>
          <w:sz w:val="32"/>
          <w:szCs w:val="32"/>
          <w:rtl/>
        </w:rPr>
        <w:t>(</w:t>
      </w:r>
      <w:r w:rsidRPr="0022067E">
        <w:rPr>
          <w:rStyle w:val="ae"/>
          <w:rFonts w:ascii="Traditional Arabic" w:hAnsi="Traditional Arabic"/>
          <w:sz w:val="32"/>
          <w:szCs w:val="32"/>
          <w:vertAlign w:val="baseline"/>
        </w:rPr>
        <w:footnoteRef/>
      </w:r>
      <w:r w:rsidRPr="0022067E">
        <w:rPr>
          <w:rFonts w:ascii="Traditional Arabic" w:hAnsi="Traditional Arabic"/>
          <w:sz w:val="32"/>
          <w:szCs w:val="32"/>
          <w:rtl/>
        </w:rPr>
        <w:t>) الكَشْح: ما بَيْنَ الخاصِرة إلى الضِلَع الخَلْف، وهو مَوضِع مَوقِع السَّيْف إلى ا</w:t>
      </w:r>
      <w:r>
        <w:rPr>
          <w:rFonts w:ascii="Traditional Arabic" w:hAnsi="Traditional Arabic"/>
          <w:sz w:val="32"/>
          <w:szCs w:val="32"/>
          <w:rtl/>
        </w:rPr>
        <w:t>لمُتَقَلِّد. انظر: العين (3/57)</w:t>
      </w:r>
      <w:r w:rsidRPr="0022067E">
        <w:rPr>
          <w:rFonts w:ascii="Traditional Arabic" w:hAnsi="Traditional Arabic"/>
          <w:sz w:val="32"/>
          <w:szCs w:val="32"/>
          <w:rtl/>
        </w:rPr>
        <w:t xml:space="preserve"> مادة (كشح).</w:t>
      </w:r>
    </w:p>
  </w:footnote>
  <w:footnote w:id="887">
    <w:p w:rsidR="003F128F" w:rsidRPr="0022067E" w:rsidRDefault="003F128F" w:rsidP="00DD1859">
      <w:pPr>
        <w:pStyle w:val="af3"/>
        <w:rPr>
          <w:rFonts w:ascii="Traditional Arabic" w:hAnsi="Traditional Arabic"/>
          <w:sz w:val="32"/>
          <w:szCs w:val="32"/>
        </w:rPr>
      </w:pPr>
      <w:r w:rsidRPr="0022067E">
        <w:rPr>
          <w:rFonts w:ascii="Traditional Arabic" w:hAnsi="Traditional Arabic"/>
          <w:sz w:val="32"/>
          <w:szCs w:val="32"/>
          <w:rtl/>
        </w:rPr>
        <w:t>(</w:t>
      </w:r>
      <w:r w:rsidRPr="0022067E">
        <w:rPr>
          <w:rStyle w:val="ae"/>
          <w:rFonts w:ascii="Traditional Arabic" w:hAnsi="Traditional Arabic"/>
          <w:sz w:val="32"/>
          <w:szCs w:val="32"/>
          <w:vertAlign w:val="baseline"/>
        </w:rPr>
        <w:footnoteRef/>
      </w:r>
      <w:r w:rsidRPr="0022067E">
        <w:rPr>
          <w:rFonts w:ascii="Traditional Arabic" w:hAnsi="Traditional Arabic"/>
          <w:sz w:val="32"/>
          <w:szCs w:val="32"/>
          <w:rtl/>
        </w:rPr>
        <w:t xml:space="preserve">) ديوان الأعشى (ص115). والمعنى: كَأَن يَده قطعت فقد ضمهَا إِلَى كشحيه وَذكر الْكَفّ على تذكير الْعُضْو من الْأَعْضَاء, والمخضب فِي بعض اللُّغَات: إِنَاء يُتَوَضَّأ فِيهِ من حِجَارَة, وقيل: كأَن يدَه قُطِعت فاختَضَبتْ بدَمِها فيَغضَب لذَلِك. انظر: جمهرة اللغة (1/291), تهذيب اللغة (13/66). </w:t>
      </w:r>
    </w:p>
  </w:footnote>
  <w:footnote w:id="888">
    <w:p w:rsidR="003F128F" w:rsidRPr="0022067E" w:rsidRDefault="003F128F" w:rsidP="005C21CD">
      <w:pPr>
        <w:pStyle w:val="af3"/>
        <w:rPr>
          <w:rFonts w:ascii="Traditional Arabic" w:hAnsi="Traditional Arabic"/>
          <w:sz w:val="32"/>
          <w:szCs w:val="32"/>
        </w:rPr>
      </w:pPr>
      <w:r w:rsidRPr="0022067E">
        <w:rPr>
          <w:rFonts w:ascii="Traditional Arabic" w:hAnsi="Traditional Arabic"/>
          <w:sz w:val="32"/>
          <w:szCs w:val="32"/>
          <w:rtl/>
        </w:rPr>
        <w:t>(</w:t>
      </w:r>
      <w:r w:rsidRPr="0022067E">
        <w:rPr>
          <w:rStyle w:val="ae"/>
          <w:rFonts w:ascii="Traditional Arabic" w:hAnsi="Traditional Arabic"/>
          <w:sz w:val="32"/>
          <w:szCs w:val="32"/>
          <w:vertAlign w:val="baseline"/>
        </w:rPr>
        <w:footnoteRef/>
      </w:r>
      <w:r w:rsidRPr="0022067E">
        <w:rPr>
          <w:rFonts w:ascii="Traditional Arabic" w:hAnsi="Traditional Arabic"/>
          <w:sz w:val="32"/>
          <w:szCs w:val="32"/>
          <w:rtl/>
        </w:rPr>
        <w:t xml:space="preserve">) انظر: معاني القرآن وإعرابه (3/269). </w:t>
      </w:r>
    </w:p>
  </w:footnote>
  <w:footnote w:id="889">
    <w:p w:rsidR="003F128F" w:rsidRPr="0022067E" w:rsidRDefault="003F128F" w:rsidP="005C21CD">
      <w:pPr>
        <w:pStyle w:val="af3"/>
        <w:rPr>
          <w:rFonts w:ascii="Traditional Arabic" w:hAnsi="Traditional Arabic"/>
          <w:sz w:val="32"/>
          <w:szCs w:val="32"/>
        </w:rPr>
      </w:pPr>
      <w:r w:rsidRPr="0022067E">
        <w:rPr>
          <w:rFonts w:ascii="Traditional Arabic" w:hAnsi="Traditional Arabic"/>
          <w:sz w:val="32"/>
          <w:szCs w:val="32"/>
          <w:rtl/>
        </w:rPr>
        <w:t>(</w:t>
      </w:r>
      <w:r w:rsidRPr="0022067E">
        <w:rPr>
          <w:rStyle w:val="ae"/>
          <w:rFonts w:ascii="Traditional Arabic" w:hAnsi="Traditional Arabic"/>
          <w:sz w:val="32"/>
          <w:szCs w:val="32"/>
          <w:vertAlign w:val="baseline"/>
        </w:rPr>
        <w:footnoteRef/>
      </w:r>
      <w:r w:rsidRPr="0022067E">
        <w:rPr>
          <w:rFonts w:ascii="Traditional Arabic" w:hAnsi="Traditional Arabic"/>
          <w:sz w:val="32"/>
          <w:szCs w:val="32"/>
          <w:rtl/>
        </w:rPr>
        <w:t xml:space="preserve">) انظر: التفسير الوسيط (3/136). </w:t>
      </w:r>
    </w:p>
  </w:footnote>
  <w:footnote w:id="890">
    <w:p w:rsidR="003F128F" w:rsidRPr="0022067E" w:rsidRDefault="003F128F" w:rsidP="005C21CD">
      <w:pPr>
        <w:pStyle w:val="af3"/>
        <w:rPr>
          <w:rFonts w:ascii="Traditional Arabic" w:hAnsi="Traditional Arabic"/>
          <w:sz w:val="32"/>
          <w:szCs w:val="32"/>
        </w:rPr>
      </w:pPr>
      <w:r w:rsidRPr="0022067E">
        <w:rPr>
          <w:rFonts w:ascii="Traditional Arabic" w:hAnsi="Traditional Arabic"/>
          <w:sz w:val="32"/>
          <w:szCs w:val="32"/>
          <w:rtl/>
        </w:rPr>
        <w:t>(</w:t>
      </w:r>
      <w:r w:rsidRPr="0022067E">
        <w:rPr>
          <w:rStyle w:val="ae"/>
          <w:rFonts w:ascii="Traditional Arabic" w:hAnsi="Traditional Arabic"/>
          <w:sz w:val="32"/>
          <w:szCs w:val="32"/>
          <w:vertAlign w:val="baseline"/>
        </w:rPr>
        <w:footnoteRef/>
      </w:r>
      <w:r w:rsidRPr="0022067E">
        <w:rPr>
          <w:rFonts w:ascii="Traditional Arabic" w:hAnsi="Traditional Arabic"/>
          <w:sz w:val="32"/>
          <w:szCs w:val="32"/>
          <w:rtl/>
        </w:rPr>
        <w:t xml:space="preserve">) </w:t>
      </w:r>
      <w:r>
        <w:rPr>
          <w:rFonts w:ascii="Traditional Arabic" w:hAnsi="Traditional Arabic" w:hint="cs"/>
          <w:sz w:val="32"/>
          <w:szCs w:val="32"/>
          <w:rtl/>
        </w:rPr>
        <w:t>ذكره</w:t>
      </w:r>
      <w:r w:rsidRPr="0022067E">
        <w:rPr>
          <w:rFonts w:ascii="Traditional Arabic" w:hAnsi="Traditional Arabic"/>
          <w:sz w:val="32"/>
          <w:szCs w:val="32"/>
          <w:rtl/>
        </w:rPr>
        <w:t xml:space="preserve"> ابن عطية</w:t>
      </w:r>
      <w:r>
        <w:rPr>
          <w:rFonts w:ascii="Traditional Arabic" w:hAnsi="Traditional Arabic" w:hint="cs"/>
          <w:sz w:val="32"/>
          <w:szCs w:val="32"/>
          <w:rtl/>
        </w:rPr>
        <w:t xml:space="preserve"> في تفسيره</w:t>
      </w:r>
      <w:r>
        <w:rPr>
          <w:rFonts w:ascii="Traditional Arabic" w:hAnsi="Traditional Arabic"/>
          <w:sz w:val="32"/>
          <w:szCs w:val="32"/>
          <w:rtl/>
        </w:rPr>
        <w:t xml:space="preserve"> (3/496), و</w:t>
      </w:r>
      <w:r w:rsidRPr="0022067E">
        <w:rPr>
          <w:rFonts w:ascii="Traditional Arabic" w:hAnsi="Traditional Arabic"/>
          <w:sz w:val="32"/>
          <w:szCs w:val="32"/>
          <w:rtl/>
        </w:rPr>
        <w:t>السيوطي في الدر المنثور (5/361) وعزاه لابن المنذر وابن مردويه.</w:t>
      </w:r>
    </w:p>
  </w:footnote>
  <w:footnote w:id="891">
    <w:p w:rsidR="003F128F" w:rsidRPr="0022067E" w:rsidRDefault="003F128F" w:rsidP="00DD1859">
      <w:pPr>
        <w:pStyle w:val="af3"/>
        <w:rPr>
          <w:rFonts w:ascii="Traditional Arabic" w:hAnsi="Traditional Arabic"/>
          <w:sz w:val="32"/>
          <w:szCs w:val="32"/>
        </w:rPr>
      </w:pPr>
      <w:r w:rsidRPr="0022067E">
        <w:rPr>
          <w:rFonts w:ascii="Traditional Arabic" w:hAnsi="Traditional Arabic"/>
          <w:sz w:val="32"/>
          <w:szCs w:val="32"/>
          <w:rtl/>
        </w:rPr>
        <w:t>(</w:t>
      </w:r>
      <w:r w:rsidRPr="0022067E">
        <w:rPr>
          <w:rStyle w:val="ae"/>
          <w:rFonts w:ascii="Traditional Arabic" w:hAnsi="Traditional Arabic"/>
          <w:sz w:val="32"/>
          <w:szCs w:val="32"/>
          <w:vertAlign w:val="baseline"/>
        </w:rPr>
        <w:footnoteRef/>
      </w:r>
      <w:r w:rsidRPr="0022067E">
        <w:rPr>
          <w:rFonts w:ascii="Traditional Arabic" w:hAnsi="Traditional Arabic"/>
          <w:sz w:val="32"/>
          <w:szCs w:val="32"/>
          <w:rtl/>
        </w:rPr>
        <w:t>)</w:t>
      </w:r>
      <w:r>
        <w:rPr>
          <w:rFonts w:ascii="Traditional Arabic" w:hAnsi="Traditional Arabic"/>
          <w:sz w:val="32"/>
          <w:szCs w:val="32"/>
          <w:rtl/>
        </w:rPr>
        <w:t xml:space="preserve"> </w:t>
      </w:r>
      <w:r>
        <w:rPr>
          <w:rFonts w:ascii="Traditional Arabic" w:hAnsi="Traditional Arabic" w:hint="cs"/>
          <w:sz w:val="32"/>
          <w:szCs w:val="32"/>
          <w:rtl/>
        </w:rPr>
        <w:t>ذكره</w:t>
      </w:r>
      <w:r w:rsidRPr="0022067E">
        <w:rPr>
          <w:rFonts w:ascii="Traditional Arabic" w:hAnsi="Traditional Arabic"/>
          <w:sz w:val="32"/>
          <w:szCs w:val="32"/>
          <w:rtl/>
        </w:rPr>
        <w:t xml:space="preserve"> ابن عطية</w:t>
      </w:r>
      <w:r>
        <w:rPr>
          <w:rFonts w:ascii="Traditional Arabic" w:hAnsi="Traditional Arabic" w:hint="cs"/>
          <w:sz w:val="32"/>
          <w:szCs w:val="32"/>
          <w:rtl/>
        </w:rPr>
        <w:t xml:space="preserve"> في المحرر الوجيز</w:t>
      </w:r>
      <w:r w:rsidRPr="0022067E">
        <w:rPr>
          <w:rFonts w:ascii="Traditional Arabic" w:hAnsi="Traditional Arabic"/>
          <w:sz w:val="32"/>
          <w:szCs w:val="32"/>
          <w:rtl/>
        </w:rPr>
        <w:t xml:space="preserve"> (3/496), </w:t>
      </w:r>
      <w:r>
        <w:rPr>
          <w:rFonts w:ascii="Traditional Arabic" w:hAnsi="Traditional Arabic"/>
          <w:sz w:val="32"/>
          <w:szCs w:val="32"/>
          <w:rtl/>
        </w:rPr>
        <w:t>وذكره مكي في الهداية (6/4325)</w:t>
      </w:r>
      <w:r>
        <w:rPr>
          <w:rFonts w:ascii="Traditional Arabic" w:hAnsi="Traditional Arabic" w:hint="cs"/>
          <w:sz w:val="32"/>
          <w:szCs w:val="32"/>
          <w:rtl/>
        </w:rPr>
        <w:t xml:space="preserve"> عن عكرمة عن ابن عباس.</w:t>
      </w:r>
      <w:r w:rsidRPr="0022067E">
        <w:rPr>
          <w:rFonts w:ascii="Traditional Arabic" w:hAnsi="Traditional Arabic"/>
          <w:sz w:val="32"/>
          <w:szCs w:val="32"/>
          <w:rtl/>
        </w:rPr>
        <w:t xml:space="preserve"> قال: "وروى عكرمة</w:t>
      </w:r>
      <w:r>
        <w:rPr>
          <w:rFonts w:ascii="Traditional Arabic" w:hAnsi="Traditional Arabic"/>
          <w:sz w:val="32"/>
          <w:szCs w:val="32"/>
          <w:rtl/>
        </w:rPr>
        <w:t xml:space="preserve"> عن ابن عباس أنه قال: " الزينة</w:t>
      </w:r>
      <w:r w:rsidRPr="0022067E">
        <w:rPr>
          <w:rFonts w:ascii="Traditional Arabic" w:hAnsi="Traditional Arabic"/>
          <w:sz w:val="32"/>
          <w:szCs w:val="32"/>
          <w:rtl/>
        </w:rPr>
        <w:t>: الخلفاء، والعلماء، والأمراء". وذكره</w:t>
      </w:r>
      <w:r>
        <w:rPr>
          <w:rFonts w:ascii="Traditional Arabic" w:hAnsi="Traditional Arabic" w:hint="cs"/>
          <w:sz w:val="32"/>
          <w:szCs w:val="32"/>
          <w:rtl/>
        </w:rPr>
        <w:t xml:space="preserve"> أيضاً</w:t>
      </w:r>
      <w:r w:rsidRPr="0022067E">
        <w:rPr>
          <w:rFonts w:ascii="Traditional Arabic" w:hAnsi="Traditional Arabic"/>
          <w:sz w:val="32"/>
          <w:szCs w:val="32"/>
          <w:rtl/>
        </w:rPr>
        <w:t xml:space="preserve"> السيوطي في الدر المنثور (5/361) وعزاه لأبي نصر السجزي.</w:t>
      </w:r>
    </w:p>
  </w:footnote>
  <w:footnote w:id="892">
    <w:p w:rsidR="003F128F" w:rsidRPr="0022067E" w:rsidRDefault="003F128F" w:rsidP="005C21CD">
      <w:pPr>
        <w:pStyle w:val="af3"/>
        <w:rPr>
          <w:rFonts w:ascii="Traditional Arabic" w:hAnsi="Traditional Arabic"/>
          <w:sz w:val="32"/>
          <w:szCs w:val="32"/>
        </w:rPr>
      </w:pPr>
      <w:r w:rsidRPr="0022067E">
        <w:rPr>
          <w:rFonts w:ascii="Traditional Arabic" w:hAnsi="Traditional Arabic"/>
          <w:sz w:val="32"/>
          <w:szCs w:val="32"/>
          <w:rtl/>
        </w:rPr>
        <w:t>(</w:t>
      </w:r>
      <w:r w:rsidRPr="0022067E">
        <w:rPr>
          <w:rStyle w:val="ae"/>
          <w:rFonts w:ascii="Traditional Arabic" w:hAnsi="Traditional Arabic"/>
          <w:sz w:val="32"/>
          <w:szCs w:val="32"/>
          <w:vertAlign w:val="baseline"/>
        </w:rPr>
        <w:footnoteRef/>
      </w:r>
      <w:r>
        <w:rPr>
          <w:rFonts w:ascii="Traditional Arabic" w:hAnsi="Traditional Arabic"/>
          <w:sz w:val="32"/>
          <w:szCs w:val="32"/>
          <w:rtl/>
        </w:rPr>
        <w:t>)</w:t>
      </w:r>
      <w:r w:rsidRPr="0022067E">
        <w:rPr>
          <w:rFonts w:ascii="Traditional Arabic" w:hAnsi="Traditional Arabic"/>
          <w:sz w:val="32"/>
          <w:szCs w:val="32"/>
          <w:rtl/>
        </w:rPr>
        <w:t xml:space="preserve"> ذكر بنحوه مكي في الهداية (6/4325).</w:t>
      </w:r>
    </w:p>
  </w:footnote>
  <w:footnote w:id="893">
    <w:p w:rsidR="003F128F" w:rsidRPr="0022067E" w:rsidRDefault="003F128F" w:rsidP="00B12BFE">
      <w:pPr>
        <w:pStyle w:val="af3"/>
        <w:rPr>
          <w:rFonts w:ascii="Traditional Arabic" w:hAnsi="Traditional Arabic"/>
          <w:sz w:val="32"/>
          <w:szCs w:val="32"/>
        </w:rPr>
      </w:pPr>
      <w:r w:rsidRPr="0022067E">
        <w:rPr>
          <w:rFonts w:ascii="Traditional Arabic" w:hAnsi="Traditional Arabic"/>
          <w:sz w:val="32"/>
          <w:szCs w:val="32"/>
          <w:rtl/>
        </w:rPr>
        <w:t>(</w:t>
      </w:r>
      <w:r w:rsidRPr="0022067E">
        <w:rPr>
          <w:rStyle w:val="ae"/>
          <w:rFonts w:ascii="Traditional Arabic" w:hAnsi="Traditional Arabic"/>
          <w:sz w:val="32"/>
          <w:szCs w:val="32"/>
          <w:vertAlign w:val="baseline"/>
        </w:rPr>
        <w:footnoteRef/>
      </w:r>
      <w:r w:rsidRPr="0022067E">
        <w:rPr>
          <w:rFonts w:ascii="Traditional Arabic" w:hAnsi="Traditional Arabic"/>
          <w:sz w:val="32"/>
          <w:szCs w:val="32"/>
          <w:rtl/>
        </w:rPr>
        <w:t>) تفسير مجاهد (ص445), تفسير الطبري (17/598)</w:t>
      </w:r>
      <w:r>
        <w:rPr>
          <w:rFonts w:ascii="Traditional Arabic" w:hAnsi="Traditional Arabic" w:hint="cs"/>
          <w:sz w:val="32"/>
          <w:szCs w:val="32"/>
          <w:rtl/>
        </w:rPr>
        <w:t>.</w:t>
      </w:r>
    </w:p>
  </w:footnote>
  <w:footnote w:id="894">
    <w:p w:rsidR="003F128F" w:rsidRPr="00447836" w:rsidRDefault="003F128F" w:rsidP="00BA6C1B">
      <w:pPr>
        <w:pStyle w:val="af3"/>
        <w:rPr>
          <w:rFonts w:ascii="Tahoma" w:hAnsi="Tahoma"/>
        </w:rPr>
      </w:pPr>
      <w:r w:rsidRPr="0022067E">
        <w:rPr>
          <w:rFonts w:ascii="Traditional Arabic" w:hAnsi="Traditional Arabic"/>
          <w:sz w:val="32"/>
          <w:szCs w:val="32"/>
          <w:rtl/>
        </w:rPr>
        <w:t>(</w:t>
      </w:r>
      <w:r w:rsidRPr="0022067E">
        <w:rPr>
          <w:rStyle w:val="ae"/>
          <w:rFonts w:ascii="Traditional Arabic" w:hAnsi="Traditional Arabic"/>
          <w:sz w:val="32"/>
          <w:szCs w:val="32"/>
          <w:vertAlign w:val="baseline"/>
        </w:rPr>
        <w:footnoteRef/>
      </w:r>
      <w:r w:rsidRPr="0022067E">
        <w:rPr>
          <w:rFonts w:ascii="Traditional Arabic" w:hAnsi="Traditional Arabic"/>
          <w:sz w:val="32"/>
          <w:szCs w:val="32"/>
          <w:rtl/>
        </w:rPr>
        <w:t>) انظر: تفسير مقاتل (2/573),</w:t>
      </w:r>
      <w:r>
        <w:rPr>
          <w:rFonts w:ascii="Traditional Arabic" w:hAnsi="Traditional Arabic" w:hint="cs"/>
          <w:sz w:val="32"/>
          <w:szCs w:val="32"/>
          <w:rtl/>
        </w:rPr>
        <w:t xml:space="preserve"> بحر العلوم (2/335)</w:t>
      </w:r>
      <w:r w:rsidRPr="0022067E">
        <w:rPr>
          <w:rFonts w:ascii="Traditional Arabic" w:hAnsi="Traditional Arabic"/>
          <w:sz w:val="32"/>
          <w:szCs w:val="32"/>
          <w:rtl/>
        </w:rPr>
        <w:t>.</w:t>
      </w:r>
    </w:p>
  </w:footnote>
  <w:footnote w:id="895">
    <w:p w:rsidR="003F128F" w:rsidRPr="00EE5231" w:rsidRDefault="003F128F" w:rsidP="005C21CD">
      <w:pPr>
        <w:pStyle w:val="af3"/>
        <w:rPr>
          <w:rFonts w:ascii="Traditional Arabic" w:hAnsi="Traditional Arabic"/>
          <w:sz w:val="32"/>
          <w:szCs w:val="32"/>
        </w:rPr>
      </w:pPr>
      <w:r w:rsidRPr="00BC5714">
        <w:rPr>
          <w:rFonts w:ascii="Traditional Arabic" w:hAnsi="Traditional Arabic"/>
          <w:sz w:val="32"/>
          <w:szCs w:val="32"/>
          <w:rtl/>
        </w:rPr>
        <w:t>(</w:t>
      </w:r>
      <w:r w:rsidRPr="00BC5714">
        <w:rPr>
          <w:rStyle w:val="ae"/>
          <w:rFonts w:ascii="Traditional Arabic" w:hAnsi="Traditional Arabic"/>
          <w:sz w:val="32"/>
          <w:szCs w:val="32"/>
          <w:vertAlign w:val="baseline"/>
        </w:rPr>
        <w:footnoteRef/>
      </w:r>
      <w:r w:rsidRPr="00BC5714">
        <w:rPr>
          <w:rFonts w:ascii="Traditional Arabic" w:hAnsi="Traditional Arabic"/>
          <w:sz w:val="32"/>
          <w:szCs w:val="32"/>
          <w:rtl/>
        </w:rPr>
        <w:t xml:space="preserve">) سَمِجاً: أي قبيحاً, يقال: سمُج الشيء بالضم سماجة أي قبح فهو سمج. انظر: الصحاح للجوهري </w:t>
      </w:r>
      <w:r w:rsidRPr="00EE5231">
        <w:rPr>
          <w:rFonts w:ascii="Traditional Arabic" w:hAnsi="Traditional Arabic"/>
          <w:sz w:val="32"/>
          <w:szCs w:val="32"/>
          <w:rtl/>
        </w:rPr>
        <w:t>(1/322).</w:t>
      </w:r>
    </w:p>
  </w:footnote>
  <w:footnote w:id="896">
    <w:p w:rsidR="003F128F" w:rsidRPr="00EE5231" w:rsidRDefault="003F128F" w:rsidP="00B12BFE">
      <w:pPr>
        <w:pStyle w:val="af3"/>
        <w:rPr>
          <w:rFonts w:ascii="Traditional Arabic" w:hAnsi="Traditional Arabic"/>
          <w:sz w:val="32"/>
          <w:szCs w:val="32"/>
        </w:rPr>
      </w:pPr>
      <w:r w:rsidRPr="00EE5231">
        <w:rPr>
          <w:rFonts w:ascii="Traditional Arabic" w:hAnsi="Traditional Arabic"/>
          <w:sz w:val="32"/>
          <w:szCs w:val="32"/>
          <w:rtl/>
        </w:rPr>
        <w:t>(</w:t>
      </w:r>
      <w:r w:rsidRPr="00EE5231">
        <w:rPr>
          <w:rStyle w:val="ae"/>
          <w:rFonts w:ascii="Traditional Arabic" w:hAnsi="Traditional Arabic"/>
          <w:sz w:val="32"/>
          <w:szCs w:val="32"/>
          <w:vertAlign w:val="baseline"/>
        </w:rPr>
        <w:footnoteRef/>
      </w:r>
      <w:r>
        <w:rPr>
          <w:rFonts w:ascii="Traditional Arabic" w:hAnsi="Traditional Arabic"/>
          <w:sz w:val="32"/>
          <w:szCs w:val="32"/>
          <w:rtl/>
        </w:rPr>
        <w:t>) ما بين ال</w:t>
      </w:r>
      <w:r>
        <w:rPr>
          <w:rFonts w:ascii="Traditional Arabic" w:hAnsi="Traditional Arabic" w:hint="cs"/>
          <w:sz w:val="32"/>
          <w:szCs w:val="32"/>
          <w:rtl/>
        </w:rPr>
        <w:t>معكوفتين</w:t>
      </w:r>
      <w:r>
        <w:rPr>
          <w:rFonts w:ascii="Traditional Arabic" w:hAnsi="Traditional Arabic"/>
          <w:sz w:val="32"/>
          <w:szCs w:val="32"/>
          <w:rtl/>
        </w:rPr>
        <w:t xml:space="preserve"> ساقط من </w:t>
      </w:r>
      <w:r>
        <w:rPr>
          <w:rFonts w:ascii="Traditional Arabic" w:hAnsi="Traditional Arabic" w:hint="cs"/>
          <w:sz w:val="32"/>
          <w:szCs w:val="32"/>
          <w:rtl/>
        </w:rPr>
        <w:t>الأصل, والمثبت من (ك)</w:t>
      </w:r>
      <w:r w:rsidRPr="00EE5231">
        <w:rPr>
          <w:rFonts w:ascii="Traditional Arabic" w:hAnsi="Traditional Arabic"/>
          <w:sz w:val="32"/>
          <w:szCs w:val="32"/>
          <w:rtl/>
        </w:rPr>
        <w:t>.</w:t>
      </w:r>
    </w:p>
  </w:footnote>
  <w:footnote w:id="897">
    <w:p w:rsidR="003F128F" w:rsidRPr="00EE5231" w:rsidRDefault="003F128F" w:rsidP="005C21CD">
      <w:pPr>
        <w:pStyle w:val="af3"/>
        <w:rPr>
          <w:rFonts w:ascii="Traditional Arabic" w:hAnsi="Traditional Arabic"/>
          <w:sz w:val="32"/>
          <w:szCs w:val="32"/>
        </w:rPr>
      </w:pPr>
      <w:r w:rsidRPr="00EE5231">
        <w:rPr>
          <w:rFonts w:ascii="Traditional Arabic" w:hAnsi="Traditional Arabic"/>
          <w:sz w:val="32"/>
          <w:szCs w:val="32"/>
          <w:rtl/>
        </w:rPr>
        <w:t>(</w:t>
      </w:r>
      <w:r w:rsidRPr="00EE5231">
        <w:rPr>
          <w:rStyle w:val="ae"/>
          <w:rFonts w:ascii="Traditional Arabic" w:hAnsi="Traditional Arabic"/>
          <w:sz w:val="32"/>
          <w:szCs w:val="32"/>
          <w:vertAlign w:val="baseline"/>
        </w:rPr>
        <w:footnoteRef/>
      </w:r>
      <w:r>
        <w:rPr>
          <w:rFonts w:ascii="Traditional Arabic" w:hAnsi="Traditional Arabic"/>
          <w:sz w:val="32"/>
          <w:szCs w:val="32"/>
          <w:rtl/>
        </w:rPr>
        <w:t>) في (</w:t>
      </w:r>
      <w:r>
        <w:rPr>
          <w:rFonts w:ascii="Traditional Arabic" w:hAnsi="Traditional Arabic" w:hint="cs"/>
          <w:sz w:val="32"/>
          <w:szCs w:val="32"/>
          <w:rtl/>
        </w:rPr>
        <w:t>ك</w:t>
      </w:r>
      <w:r>
        <w:rPr>
          <w:rFonts w:ascii="Traditional Arabic" w:hAnsi="Traditional Arabic"/>
          <w:sz w:val="32"/>
          <w:szCs w:val="32"/>
          <w:rtl/>
        </w:rPr>
        <w:t xml:space="preserve">): </w:t>
      </w:r>
      <w:r>
        <w:rPr>
          <w:rFonts w:ascii="Traditional Arabic" w:hAnsi="Traditional Arabic" w:hint="cs"/>
          <w:sz w:val="32"/>
          <w:szCs w:val="32"/>
          <w:rtl/>
        </w:rPr>
        <w:t>[</w:t>
      </w:r>
      <w:r>
        <w:rPr>
          <w:rFonts w:ascii="Traditional Arabic" w:hAnsi="Traditional Arabic"/>
          <w:sz w:val="32"/>
          <w:szCs w:val="32"/>
          <w:rtl/>
        </w:rPr>
        <w:t>فإن قلنا</w:t>
      </w:r>
      <w:r>
        <w:rPr>
          <w:rFonts w:ascii="Traditional Arabic" w:hAnsi="Traditional Arabic" w:hint="cs"/>
          <w:sz w:val="32"/>
          <w:szCs w:val="32"/>
          <w:rtl/>
        </w:rPr>
        <w:t>]</w:t>
      </w:r>
      <w:r w:rsidRPr="00EE5231">
        <w:rPr>
          <w:rFonts w:ascii="Traditional Arabic" w:hAnsi="Traditional Arabic"/>
          <w:sz w:val="32"/>
          <w:szCs w:val="32"/>
          <w:rtl/>
        </w:rPr>
        <w:t>.</w:t>
      </w:r>
    </w:p>
  </w:footnote>
  <w:footnote w:id="898">
    <w:p w:rsidR="003F128F" w:rsidRPr="00EE5231" w:rsidRDefault="003F128F" w:rsidP="005C21CD">
      <w:pPr>
        <w:pStyle w:val="af3"/>
        <w:rPr>
          <w:rFonts w:ascii="Traditional Arabic" w:hAnsi="Traditional Arabic"/>
          <w:sz w:val="32"/>
          <w:szCs w:val="32"/>
        </w:rPr>
      </w:pPr>
      <w:r w:rsidRPr="00EE5231">
        <w:rPr>
          <w:rFonts w:ascii="Traditional Arabic" w:hAnsi="Traditional Arabic"/>
          <w:sz w:val="32"/>
          <w:szCs w:val="32"/>
          <w:rtl/>
        </w:rPr>
        <w:t>(</w:t>
      </w:r>
      <w:r w:rsidRPr="00EE5231">
        <w:rPr>
          <w:rStyle w:val="ae"/>
          <w:rFonts w:ascii="Traditional Arabic" w:hAnsi="Traditional Arabic"/>
          <w:sz w:val="32"/>
          <w:szCs w:val="32"/>
          <w:vertAlign w:val="baseline"/>
        </w:rPr>
        <w:footnoteRef/>
      </w:r>
      <w:r w:rsidRPr="00EE5231">
        <w:rPr>
          <w:rFonts w:ascii="Traditional Arabic" w:hAnsi="Traditional Arabic"/>
          <w:sz w:val="32"/>
          <w:szCs w:val="32"/>
          <w:rtl/>
        </w:rPr>
        <w:t>) انظر: الهداية (6/4325).</w:t>
      </w:r>
    </w:p>
  </w:footnote>
  <w:footnote w:id="899">
    <w:p w:rsidR="003F128F" w:rsidRPr="00EE5231" w:rsidRDefault="003F128F" w:rsidP="005C21CD">
      <w:pPr>
        <w:pStyle w:val="af3"/>
        <w:rPr>
          <w:rFonts w:ascii="Traditional Arabic" w:hAnsi="Traditional Arabic"/>
          <w:sz w:val="32"/>
          <w:szCs w:val="32"/>
        </w:rPr>
      </w:pPr>
      <w:r w:rsidRPr="00EE5231">
        <w:rPr>
          <w:rFonts w:ascii="Traditional Arabic" w:hAnsi="Traditional Arabic"/>
          <w:sz w:val="32"/>
          <w:szCs w:val="32"/>
          <w:rtl/>
        </w:rPr>
        <w:t>(</w:t>
      </w:r>
      <w:r w:rsidRPr="00EE5231">
        <w:rPr>
          <w:rStyle w:val="ae"/>
          <w:rFonts w:ascii="Traditional Arabic" w:hAnsi="Traditional Arabic"/>
          <w:sz w:val="32"/>
          <w:szCs w:val="32"/>
          <w:vertAlign w:val="baseline"/>
        </w:rPr>
        <w:footnoteRef/>
      </w:r>
      <w:r>
        <w:rPr>
          <w:rFonts w:ascii="Traditional Arabic" w:hAnsi="Traditional Arabic"/>
          <w:sz w:val="32"/>
          <w:szCs w:val="32"/>
          <w:rtl/>
        </w:rPr>
        <w:t>) في (</w:t>
      </w:r>
      <w:r>
        <w:rPr>
          <w:rFonts w:ascii="Traditional Arabic" w:hAnsi="Traditional Arabic" w:hint="cs"/>
          <w:sz w:val="32"/>
          <w:szCs w:val="32"/>
          <w:rtl/>
        </w:rPr>
        <w:t>ك</w:t>
      </w:r>
      <w:r>
        <w:rPr>
          <w:rFonts w:ascii="Traditional Arabic" w:hAnsi="Traditional Arabic"/>
          <w:sz w:val="32"/>
          <w:szCs w:val="32"/>
          <w:rtl/>
        </w:rPr>
        <w:t xml:space="preserve">): </w:t>
      </w:r>
      <w:r>
        <w:rPr>
          <w:rFonts w:ascii="Traditional Arabic" w:hAnsi="Traditional Arabic" w:hint="cs"/>
          <w:sz w:val="32"/>
          <w:szCs w:val="32"/>
          <w:rtl/>
        </w:rPr>
        <w:t>[</w:t>
      </w:r>
      <w:r>
        <w:rPr>
          <w:rFonts w:ascii="Traditional Arabic" w:hAnsi="Traditional Arabic"/>
          <w:sz w:val="32"/>
          <w:szCs w:val="32"/>
          <w:rtl/>
        </w:rPr>
        <w:t>يجري</w:t>
      </w:r>
      <w:r>
        <w:rPr>
          <w:rFonts w:ascii="Traditional Arabic" w:hAnsi="Traditional Arabic" w:hint="cs"/>
          <w:sz w:val="32"/>
          <w:szCs w:val="32"/>
          <w:rtl/>
        </w:rPr>
        <w:t>]</w:t>
      </w:r>
      <w:r>
        <w:rPr>
          <w:rFonts w:ascii="Traditional Arabic" w:hAnsi="Traditional Arabic"/>
          <w:sz w:val="32"/>
          <w:szCs w:val="32"/>
          <w:rtl/>
        </w:rPr>
        <w:t xml:space="preserve"> بدل </w:t>
      </w:r>
      <w:r>
        <w:rPr>
          <w:rFonts w:ascii="Traditional Arabic" w:hAnsi="Traditional Arabic" w:hint="cs"/>
          <w:sz w:val="32"/>
          <w:szCs w:val="32"/>
          <w:rtl/>
        </w:rPr>
        <w:t>[</w:t>
      </w:r>
      <w:r>
        <w:rPr>
          <w:rFonts w:ascii="Traditional Arabic" w:hAnsi="Traditional Arabic"/>
          <w:sz w:val="32"/>
          <w:szCs w:val="32"/>
          <w:rtl/>
        </w:rPr>
        <w:t>تجري</w:t>
      </w:r>
      <w:r>
        <w:rPr>
          <w:rFonts w:ascii="Traditional Arabic" w:hAnsi="Traditional Arabic" w:hint="cs"/>
          <w:sz w:val="32"/>
          <w:szCs w:val="32"/>
          <w:rtl/>
        </w:rPr>
        <w:t>]</w:t>
      </w:r>
      <w:r w:rsidRPr="00EE5231">
        <w:rPr>
          <w:rFonts w:ascii="Traditional Arabic" w:hAnsi="Traditional Arabic"/>
          <w:sz w:val="32"/>
          <w:szCs w:val="32"/>
          <w:rtl/>
        </w:rPr>
        <w:t xml:space="preserve">.  </w:t>
      </w:r>
    </w:p>
  </w:footnote>
  <w:footnote w:id="900">
    <w:p w:rsidR="003F128F" w:rsidRPr="00BC5714" w:rsidRDefault="003F128F" w:rsidP="005C21CD">
      <w:pPr>
        <w:pStyle w:val="af3"/>
        <w:rPr>
          <w:rFonts w:ascii="Traditional Arabic" w:hAnsi="Traditional Arabic"/>
          <w:sz w:val="32"/>
          <w:szCs w:val="32"/>
        </w:rPr>
      </w:pPr>
      <w:r w:rsidRPr="00EE5231">
        <w:rPr>
          <w:rFonts w:ascii="Traditional Arabic" w:hAnsi="Traditional Arabic"/>
          <w:sz w:val="32"/>
          <w:szCs w:val="32"/>
          <w:rtl/>
        </w:rPr>
        <w:t>(</w:t>
      </w:r>
      <w:r w:rsidRPr="00EE5231">
        <w:rPr>
          <w:rStyle w:val="ae"/>
          <w:rFonts w:ascii="Traditional Arabic" w:hAnsi="Traditional Arabic"/>
          <w:sz w:val="32"/>
          <w:szCs w:val="32"/>
          <w:vertAlign w:val="baseline"/>
        </w:rPr>
        <w:footnoteRef/>
      </w:r>
      <w:r w:rsidRPr="00EE5231">
        <w:rPr>
          <w:rFonts w:ascii="Traditional Arabic" w:hAnsi="Traditional Arabic"/>
          <w:sz w:val="32"/>
          <w:szCs w:val="32"/>
          <w:rtl/>
        </w:rPr>
        <w:t>) انظر:</w:t>
      </w:r>
      <w:r>
        <w:rPr>
          <w:rFonts w:ascii="Traditional Arabic" w:hAnsi="Traditional Arabic" w:hint="cs"/>
          <w:sz w:val="32"/>
          <w:szCs w:val="32"/>
          <w:rtl/>
        </w:rPr>
        <w:t xml:space="preserve"> معالم التنزيل</w:t>
      </w:r>
      <w:r w:rsidRPr="00EE5231">
        <w:rPr>
          <w:rFonts w:ascii="Traditional Arabic" w:hAnsi="Traditional Arabic"/>
          <w:sz w:val="32"/>
          <w:szCs w:val="32"/>
          <w:rtl/>
        </w:rPr>
        <w:t xml:space="preserve"> (5/144).  </w:t>
      </w:r>
    </w:p>
  </w:footnote>
  <w:footnote w:id="901">
    <w:p w:rsidR="003F128F" w:rsidRPr="00BC5714" w:rsidRDefault="003F128F" w:rsidP="005C21CD">
      <w:pPr>
        <w:pStyle w:val="af3"/>
        <w:rPr>
          <w:rFonts w:ascii="Traditional Arabic" w:hAnsi="Traditional Arabic"/>
          <w:sz w:val="32"/>
          <w:szCs w:val="32"/>
        </w:rPr>
      </w:pPr>
      <w:r w:rsidRPr="00BC5714">
        <w:rPr>
          <w:rFonts w:ascii="Traditional Arabic" w:hAnsi="Traditional Arabic"/>
          <w:sz w:val="32"/>
          <w:szCs w:val="32"/>
          <w:rtl/>
        </w:rPr>
        <w:t>(</w:t>
      </w:r>
      <w:r w:rsidRPr="00BC5714">
        <w:rPr>
          <w:rStyle w:val="ae"/>
          <w:rFonts w:ascii="Traditional Arabic" w:hAnsi="Traditional Arabic"/>
          <w:sz w:val="32"/>
          <w:szCs w:val="32"/>
          <w:vertAlign w:val="baseline"/>
        </w:rPr>
        <w:footnoteRef/>
      </w:r>
      <w:r w:rsidRPr="00BC5714">
        <w:rPr>
          <w:rFonts w:ascii="Traditional Arabic" w:hAnsi="Traditional Arabic"/>
          <w:sz w:val="32"/>
          <w:szCs w:val="32"/>
          <w:rtl/>
        </w:rPr>
        <w:t xml:space="preserve">) انظر: الهداية (6/4325), </w:t>
      </w:r>
      <w:r>
        <w:rPr>
          <w:rFonts w:ascii="Traditional Arabic" w:hAnsi="Traditional Arabic" w:hint="cs"/>
          <w:sz w:val="32"/>
          <w:szCs w:val="32"/>
          <w:rtl/>
        </w:rPr>
        <w:t>معالم التنزيل</w:t>
      </w:r>
      <w:r w:rsidRPr="00EE5231">
        <w:rPr>
          <w:rFonts w:ascii="Traditional Arabic" w:hAnsi="Traditional Arabic"/>
          <w:sz w:val="32"/>
          <w:szCs w:val="32"/>
          <w:rtl/>
        </w:rPr>
        <w:t xml:space="preserve"> </w:t>
      </w:r>
      <w:r w:rsidRPr="00BC5714">
        <w:rPr>
          <w:rFonts w:ascii="Traditional Arabic" w:hAnsi="Traditional Arabic"/>
          <w:sz w:val="32"/>
          <w:szCs w:val="32"/>
          <w:rtl/>
        </w:rPr>
        <w:t>(5/144).</w:t>
      </w:r>
    </w:p>
  </w:footnote>
  <w:footnote w:id="902">
    <w:p w:rsidR="003F128F" w:rsidRPr="00BC5714" w:rsidRDefault="003F128F" w:rsidP="00791DC8">
      <w:pPr>
        <w:pStyle w:val="af3"/>
        <w:rPr>
          <w:rFonts w:ascii="Traditional Arabic" w:hAnsi="Traditional Arabic"/>
          <w:sz w:val="32"/>
          <w:szCs w:val="32"/>
        </w:rPr>
      </w:pPr>
      <w:r w:rsidRPr="00BC5714">
        <w:rPr>
          <w:rFonts w:ascii="Traditional Arabic" w:hAnsi="Traditional Arabic"/>
          <w:sz w:val="32"/>
          <w:szCs w:val="32"/>
          <w:rtl/>
        </w:rPr>
        <w:t>(</w:t>
      </w:r>
      <w:r w:rsidRPr="00BC5714">
        <w:rPr>
          <w:rStyle w:val="ae"/>
          <w:rFonts w:ascii="Traditional Arabic" w:hAnsi="Traditional Arabic"/>
          <w:sz w:val="32"/>
          <w:szCs w:val="32"/>
          <w:vertAlign w:val="baseline"/>
        </w:rPr>
        <w:footnoteRef/>
      </w:r>
      <w:r w:rsidRPr="00BC5714">
        <w:rPr>
          <w:rFonts w:ascii="Traditional Arabic" w:hAnsi="Traditional Arabic"/>
          <w:sz w:val="32"/>
          <w:szCs w:val="32"/>
          <w:rtl/>
        </w:rPr>
        <w:t>)</w:t>
      </w:r>
      <w:r>
        <w:rPr>
          <w:rFonts w:ascii="Traditional Arabic" w:hAnsi="Traditional Arabic" w:hint="cs"/>
          <w:sz w:val="32"/>
          <w:szCs w:val="32"/>
          <w:rtl/>
        </w:rPr>
        <w:t xml:space="preserve"> انظر:</w:t>
      </w:r>
      <w:r w:rsidRPr="00BC5714">
        <w:rPr>
          <w:rFonts w:ascii="Traditional Arabic" w:hAnsi="Traditional Arabic"/>
          <w:sz w:val="32"/>
          <w:szCs w:val="32"/>
          <w:rtl/>
        </w:rPr>
        <w:t xml:space="preserve"> </w:t>
      </w:r>
      <w:r>
        <w:rPr>
          <w:rFonts w:ascii="Traditional Arabic" w:hAnsi="Traditional Arabic" w:hint="cs"/>
          <w:sz w:val="32"/>
          <w:szCs w:val="32"/>
          <w:rtl/>
        </w:rPr>
        <w:t>تفسير مقاتل (2/573), النكت والعون (2/335).</w:t>
      </w:r>
      <w:r w:rsidRPr="00BC5714">
        <w:rPr>
          <w:rFonts w:ascii="Traditional Arabic" w:hAnsi="Traditional Arabic"/>
          <w:sz w:val="32"/>
          <w:szCs w:val="32"/>
          <w:rtl/>
        </w:rPr>
        <w:t xml:space="preserve"> </w:t>
      </w:r>
    </w:p>
  </w:footnote>
  <w:footnote w:id="903">
    <w:p w:rsidR="003F128F" w:rsidRPr="00BC5714" w:rsidRDefault="003F128F" w:rsidP="005C21CD">
      <w:pPr>
        <w:pStyle w:val="af3"/>
        <w:rPr>
          <w:rFonts w:ascii="Traditional Arabic" w:hAnsi="Traditional Arabic"/>
          <w:sz w:val="32"/>
          <w:szCs w:val="32"/>
        </w:rPr>
      </w:pPr>
      <w:r w:rsidRPr="00BC5714">
        <w:rPr>
          <w:rFonts w:ascii="Traditional Arabic" w:hAnsi="Traditional Arabic"/>
          <w:sz w:val="32"/>
          <w:szCs w:val="32"/>
          <w:rtl/>
        </w:rPr>
        <w:t>(</w:t>
      </w:r>
      <w:r w:rsidRPr="00BC5714">
        <w:rPr>
          <w:rStyle w:val="ae"/>
          <w:rFonts w:ascii="Traditional Arabic" w:hAnsi="Traditional Arabic"/>
          <w:sz w:val="32"/>
          <w:szCs w:val="32"/>
          <w:vertAlign w:val="baseline"/>
        </w:rPr>
        <w:footnoteRef/>
      </w:r>
      <w:r w:rsidRPr="00BC5714">
        <w:rPr>
          <w:rFonts w:ascii="Traditional Arabic" w:hAnsi="Traditional Arabic"/>
          <w:sz w:val="32"/>
          <w:szCs w:val="32"/>
          <w:rtl/>
        </w:rPr>
        <w:t xml:space="preserve">) انظر: </w:t>
      </w:r>
      <w:r>
        <w:rPr>
          <w:rFonts w:ascii="Traditional Arabic" w:hAnsi="Traditional Arabic" w:hint="cs"/>
          <w:sz w:val="32"/>
          <w:szCs w:val="32"/>
          <w:rtl/>
        </w:rPr>
        <w:t>معالم التنزيل</w:t>
      </w:r>
      <w:r w:rsidRPr="00EE5231">
        <w:rPr>
          <w:rFonts w:ascii="Traditional Arabic" w:hAnsi="Traditional Arabic"/>
          <w:sz w:val="32"/>
          <w:szCs w:val="32"/>
          <w:rtl/>
        </w:rPr>
        <w:t xml:space="preserve"> </w:t>
      </w:r>
      <w:r w:rsidRPr="00BC5714">
        <w:rPr>
          <w:rFonts w:ascii="Traditional Arabic" w:hAnsi="Traditional Arabic"/>
          <w:sz w:val="32"/>
          <w:szCs w:val="32"/>
          <w:rtl/>
        </w:rPr>
        <w:t>(5/144).</w:t>
      </w:r>
    </w:p>
  </w:footnote>
  <w:footnote w:id="904">
    <w:p w:rsidR="003F128F" w:rsidRPr="00BC5714" w:rsidRDefault="003F128F" w:rsidP="005C21CD">
      <w:pPr>
        <w:pStyle w:val="af3"/>
        <w:rPr>
          <w:rFonts w:ascii="Traditional Arabic" w:hAnsi="Traditional Arabic"/>
          <w:sz w:val="32"/>
          <w:szCs w:val="32"/>
        </w:rPr>
      </w:pPr>
      <w:r w:rsidRPr="00BC5714">
        <w:rPr>
          <w:rFonts w:ascii="Traditional Arabic" w:hAnsi="Traditional Arabic"/>
          <w:sz w:val="32"/>
          <w:szCs w:val="32"/>
          <w:rtl/>
        </w:rPr>
        <w:t>(</w:t>
      </w:r>
      <w:r w:rsidRPr="00BC5714">
        <w:rPr>
          <w:rStyle w:val="ae"/>
          <w:rFonts w:ascii="Traditional Arabic" w:hAnsi="Traditional Arabic"/>
          <w:sz w:val="32"/>
          <w:szCs w:val="32"/>
          <w:vertAlign w:val="baseline"/>
        </w:rPr>
        <w:footnoteRef/>
      </w:r>
      <w:r w:rsidRPr="00BC5714">
        <w:rPr>
          <w:rFonts w:ascii="Traditional Arabic" w:hAnsi="Traditional Arabic"/>
          <w:sz w:val="32"/>
          <w:szCs w:val="32"/>
          <w:rtl/>
        </w:rPr>
        <w:t xml:space="preserve">) انظر: بحر العلوم (2/335). </w:t>
      </w:r>
    </w:p>
  </w:footnote>
  <w:footnote w:id="905">
    <w:p w:rsidR="003F128F" w:rsidRPr="00BC5714" w:rsidRDefault="003F128F" w:rsidP="005C21CD">
      <w:pPr>
        <w:pStyle w:val="af3"/>
        <w:rPr>
          <w:rFonts w:ascii="Traditional Arabic" w:hAnsi="Traditional Arabic"/>
          <w:sz w:val="32"/>
          <w:szCs w:val="32"/>
        </w:rPr>
      </w:pPr>
      <w:r w:rsidRPr="00BC5714">
        <w:rPr>
          <w:rFonts w:ascii="Traditional Arabic" w:hAnsi="Traditional Arabic"/>
          <w:sz w:val="32"/>
          <w:szCs w:val="32"/>
          <w:rtl/>
        </w:rPr>
        <w:t>(</w:t>
      </w:r>
      <w:r w:rsidRPr="00BC5714">
        <w:rPr>
          <w:rStyle w:val="ae"/>
          <w:rFonts w:ascii="Traditional Arabic" w:hAnsi="Traditional Arabic"/>
          <w:sz w:val="32"/>
          <w:szCs w:val="32"/>
          <w:vertAlign w:val="baseline"/>
        </w:rPr>
        <w:footnoteRef/>
      </w:r>
      <w:r w:rsidRPr="00BC5714">
        <w:rPr>
          <w:rFonts w:ascii="Traditional Arabic" w:hAnsi="Traditional Arabic"/>
          <w:sz w:val="32"/>
          <w:szCs w:val="32"/>
          <w:rtl/>
        </w:rPr>
        <w:t>) انظر: معاني القرآن وإعرابه (3/269).</w:t>
      </w:r>
    </w:p>
  </w:footnote>
  <w:footnote w:id="906">
    <w:p w:rsidR="003F128F" w:rsidRPr="00BC5714" w:rsidRDefault="003F128F" w:rsidP="001870A3">
      <w:pPr>
        <w:pStyle w:val="af3"/>
        <w:rPr>
          <w:rFonts w:ascii="Traditional Arabic" w:hAnsi="Traditional Arabic"/>
          <w:sz w:val="32"/>
          <w:szCs w:val="32"/>
        </w:rPr>
      </w:pPr>
      <w:r w:rsidRPr="00BC5714">
        <w:rPr>
          <w:rFonts w:ascii="Traditional Arabic" w:hAnsi="Traditional Arabic"/>
          <w:sz w:val="32"/>
          <w:szCs w:val="32"/>
          <w:rtl/>
        </w:rPr>
        <w:t>(</w:t>
      </w:r>
      <w:r w:rsidRPr="00BC5714">
        <w:rPr>
          <w:rStyle w:val="ae"/>
          <w:rFonts w:ascii="Traditional Arabic" w:hAnsi="Traditional Arabic"/>
          <w:sz w:val="32"/>
          <w:szCs w:val="32"/>
          <w:vertAlign w:val="baseline"/>
        </w:rPr>
        <w:footnoteRef/>
      </w:r>
      <w:r>
        <w:rPr>
          <w:rFonts w:ascii="Traditional Arabic" w:hAnsi="Traditional Arabic"/>
          <w:sz w:val="32"/>
          <w:szCs w:val="32"/>
          <w:rtl/>
        </w:rPr>
        <w:t>)</w:t>
      </w:r>
      <w:r>
        <w:rPr>
          <w:rFonts w:ascii="Traditional Arabic" w:hAnsi="Traditional Arabic" w:hint="cs"/>
          <w:sz w:val="32"/>
          <w:szCs w:val="32"/>
          <w:rtl/>
        </w:rPr>
        <w:t xml:space="preserve"> قال ابن أبي حاتم في تفسيره </w:t>
      </w:r>
      <w:r w:rsidRPr="0022067E">
        <w:rPr>
          <w:rFonts w:ascii="Traditional Arabic" w:hAnsi="Traditional Arabic"/>
          <w:sz w:val="32"/>
          <w:szCs w:val="32"/>
          <w:rtl/>
        </w:rPr>
        <w:t>(7/2345)</w:t>
      </w:r>
      <w:r>
        <w:rPr>
          <w:rFonts w:ascii="Traditional Arabic" w:hAnsi="Traditional Arabic" w:hint="cs"/>
          <w:sz w:val="32"/>
          <w:szCs w:val="32"/>
          <w:rtl/>
        </w:rPr>
        <w:t xml:space="preserve">: </w:t>
      </w:r>
      <w:r>
        <w:rPr>
          <w:rFonts w:ascii="Traditional Arabic" w:hAnsi="Traditional Arabic"/>
          <w:sz w:val="32"/>
          <w:szCs w:val="32"/>
          <w:rtl/>
        </w:rPr>
        <w:t>عن الحسن في قوله</w:t>
      </w:r>
      <w:r>
        <w:rPr>
          <w:rFonts w:ascii="Traditional Arabic" w:hAnsi="Traditional Arabic" w:hint="cs"/>
          <w:sz w:val="32"/>
          <w:szCs w:val="32"/>
          <w:rtl/>
        </w:rPr>
        <w:t xml:space="preserve"> تعالى</w:t>
      </w:r>
      <w:r w:rsidRPr="004E21E5">
        <w:rPr>
          <w:rFonts w:ascii="Traditional Arabic" w:hAnsi="Traditional Arabic"/>
          <w:sz w:val="32"/>
          <w:szCs w:val="32"/>
          <w:rtl/>
        </w:rPr>
        <w:t>:</w:t>
      </w:r>
      <w:r>
        <w:rPr>
          <w:rFonts w:ascii="Traditional Arabic" w:hAnsi="Traditional Arabic" w:hint="cs"/>
          <w:sz w:val="32"/>
          <w:szCs w:val="32"/>
          <w:rtl/>
        </w:rPr>
        <w:t xml:space="preserve"> </w:t>
      </w:r>
      <w:r w:rsidRPr="004E21E5">
        <w:rPr>
          <w:rFonts w:ascii="Traditional Arabic" w:hAnsi="Traditional Arabic"/>
          <w:b/>
          <w:bCs/>
          <w:sz w:val="32"/>
          <w:szCs w:val="32"/>
          <w:rtl/>
        </w:rPr>
        <w:t xml:space="preserve"> </w:t>
      </w:r>
      <w:r w:rsidRPr="004E21E5">
        <w:rPr>
          <w:rFonts w:ascii="QCF_BSML" w:hAnsi="QCF_BSML" w:cs="QCF_BSML"/>
          <w:color w:val="auto"/>
          <w:rtl/>
          <w:lang w:eastAsia="en-US"/>
        </w:rPr>
        <w:t>ﭽ</w:t>
      </w:r>
      <w:r w:rsidRPr="004E21E5">
        <w:rPr>
          <w:rFonts w:ascii="QCF_P294" w:hAnsi="QCF_P294" w:cs="QCF_P294"/>
          <w:rtl/>
          <w:lang w:eastAsia="en-US"/>
        </w:rPr>
        <w:t xml:space="preserve"> ﭷ    ﭸ  ﭹ  ﭺ</w:t>
      </w:r>
      <w:r w:rsidRPr="004E21E5">
        <w:rPr>
          <w:rFonts w:ascii="QCF_BSML" w:hAnsi="QCF_BSML" w:cs="QCF_BSML"/>
          <w:color w:val="auto"/>
          <w:rtl/>
          <w:lang w:eastAsia="en-US"/>
        </w:rPr>
        <w:t xml:space="preserve"> ﭼ</w:t>
      </w:r>
      <w:r w:rsidRPr="004E21E5">
        <w:rPr>
          <w:rFonts w:ascii="QCF_P294" w:hAnsi="QCF_P294" w:cs="QCF_P294"/>
          <w:rtl/>
          <w:lang w:eastAsia="en-US"/>
        </w:rPr>
        <w:t xml:space="preserve">   </w:t>
      </w:r>
      <w:r>
        <w:rPr>
          <w:rFonts w:ascii="Traditional Arabic" w:hAnsi="Traditional Arabic"/>
          <w:sz w:val="32"/>
          <w:szCs w:val="32"/>
          <w:rtl/>
        </w:rPr>
        <w:t>قال</w:t>
      </w:r>
      <w:r w:rsidRPr="004E21E5">
        <w:rPr>
          <w:rFonts w:ascii="Traditional Arabic" w:hAnsi="Traditional Arabic"/>
          <w:sz w:val="32"/>
          <w:szCs w:val="32"/>
          <w:rtl/>
        </w:rPr>
        <w:t>: أشدهم للدنيا تركًا.</w:t>
      </w:r>
      <w:r w:rsidRPr="00BC5714">
        <w:rPr>
          <w:rFonts w:ascii="Traditional Arabic" w:hAnsi="Traditional Arabic"/>
          <w:sz w:val="32"/>
          <w:szCs w:val="32"/>
          <w:rtl/>
        </w:rPr>
        <w:t xml:space="preserve"> </w:t>
      </w:r>
      <w:r>
        <w:rPr>
          <w:rFonts w:ascii="Traditional Arabic" w:hAnsi="Traditional Arabic" w:hint="cs"/>
          <w:sz w:val="32"/>
          <w:szCs w:val="32"/>
          <w:rtl/>
        </w:rPr>
        <w:t xml:space="preserve">وانظر: </w:t>
      </w:r>
      <w:r w:rsidRPr="00BC5714">
        <w:rPr>
          <w:rFonts w:ascii="Traditional Arabic" w:hAnsi="Traditional Arabic"/>
          <w:sz w:val="32"/>
          <w:szCs w:val="32"/>
          <w:rtl/>
        </w:rPr>
        <w:t>التفسير الوسيط (3/136).</w:t>
      </w:r>
    </w:p>
  </w:footnote>
  <w:footnote w:id="907">
    <w:p w:rsidR="003F128F" w:rsidRPr="008C1F6D" w:rsidRDefault="003F128F" w:rsidP="005C21CD">
      <w:pPr>
        <w:pStyle w:val="af3"/>
        <w:rPr>
          <w:rFonts w:ascii="Traditional Arabic" w:hAnsi="Traditional Arabic"/>
          <w:sz w:val="32"/>
          <w:szCs w:val="32"/>
        </w:rPr>
      </w:pPr>
      <w:r w:rsidRPr="008C1F6D">
        <w:rPr>
          <w:rFonts w:ascii="Traditional Arabic" w:hAnsi="Traditional Arabic"/>
          <w:sz w:val="32"/>
          <w:szCs w:val="32"/>
          <w:rtl/>
        </w:rPr>
        <w:t>(</w:t>
      </w:r>
      <w:r w:rsidRPr="008C1F6D">
        <w:rPr>
          <w:rStyle w:val="ae"/>
          <w:rFonts w:ascii="Traditional Arabic" w:hAnsi="Traditional Arabic"/>
          <w:sz w:val="32"/>
          <w:szCs w:val="32"/>
          <w:vertAlign w:val="baseline"/>
        </w:rPr>
        <w:footnoteRef/>
      </w:r>
      <w:r w:rsidRPr="008C1F6D">
        <w:rPr>
          <w:rFonts w:ascii="Traditional Arabic" w:hAnsi="Traditional Arabic"/>
          <w:sz w:val="32"/>
          <w:szCs w:val="32"/>
          <w:rtl/>
        </w:rPr>
        <w:t>) سورة هود, الآية</w:t>
      </w:r>
      <w:r>
        <w:rPr>
          <w:rFonts w:ascii="Traditional Arabic" w:hAnsi="Traditional Arabic" w:hint="cs"/>
          <w:sz w:val="32"/>
          <w:szCs w:val="32"/>
          <w:rtl/>
        </w:rPr>
        <w:t>:</w:t>
      </w:r>
      <w:r w:rsidRPr="008C1F6D">
        <w:rPr>
          <w:rFonts w:ascii="Traditional Arabic" w:hAnsi="Traditional Arabic"/>
          <w:sz w:val="32"/>
          <w:szCs w:val="32"/>
          <w:rtl/>
        </w:rPr>
        <w:t xml:space="preserve"> (7). انظر: زاد المسير: (4/79). </w:t>
      </w:r>
    </w:p>
  </w:footnote>
  <w:footnote w:id="908">
    <w:p w:rsidR="003F128F" w:rsidRPr="008C1F6D" w:rsidRDefault="003F128F" w:rsidP="005C21CD">
      <w:pPr>
        <w:pStyle w:val="af3"/>
        <w:rPr>
          <w:rFonts w:ascii="Traditional Arabic" w:hAnsi="Traditional Arabic"/>
          <w:sz w:val="32"/>
          <w:szCs w:val="32"/>
        </w:rPr>
      </w:pPr>
      <w:r w:rsidRPr="008C1F6D">
        <w:rPr>
          <w:rFonts w:ascii="Traditional Arabic" w:hAnsi="Traditional Arabic"/>
          <w:sz w:val="32"/>
          <w:szCs w:val="32"/>
          <w:rtl/>
        </w:rPr>
        <w:t>(</w:t>
      </w:r>
      <w:r w:rsidRPr="008C1F6D">
        <w:rPr>
          <w:rStyle w:val="ae"/>
          <w:rFonts w:ascii="Traditional Arabic" w:hAnsi="Traditional Arabic"/>
          <w:sz w:val="32"/>
          <w:szCs w:val="32"/>
          <w:vertAlign w:val="baseline"/>
        </w:rPr>
        <w:footnoteRef/>
      </w:r>
      <w:r w:rsidRPr="008C1F6D">
        <w:rPr>
          <w:rFonts w:ascii="Traditional Arabic" w:hAnsi="Traditional Arabic"/>
          <w:sz w:val="32"/>
          <w:szCs w:val="32"/>
          <w:rtl/>
        </w:rPr>
        <w:t xml:space="preserve">) معاني القرآن وإعرابه (3/269). </w:t>
      </w:r>
    </w:p>
  </w:footnote>
  <w:footnote w:id="909">
    <w:p w:rsidR="003F128F" w:rsidRPr="008C1F6D" w:rsidRDefault="003F128F" w:rsidP="005C21CD">
      <w:pPr>
        <w:pStyle w:val="af3"/>
        <w:rPr>
          <w:rFonts w:ascii="Traditional Arabic" w:hAnsi="Traditional Arabic"/>
          <w:sz w:val="32"/>
          <w:szCs w:val="32"/>
        </w:rPr>
      </w:pPr>
      <w:r w:rsidRPr="008C1F6D">
        <w:rPr>
          <w:rFonts w:ascii="Traditional Arabic" w:hAnsi="Traditional Arabic"/>
          <w:sz w:val="32"/>
          <w:szCs w:val="32"/>
          <w:rtl/>
        </w:rPr>
        <w:t>(</w:t>
      </w:r>
      <w:r w:rsidRPr="008C1F6D">
        <w:rPr>
          <w:rStyle w:val="ae"/>
          <w:rFonts w:ascii="Traditional Arabic" w:hAnsi="Traditional Arabic"/>
          <w:sz w:val="32"/>
          <w:szCs w:val="32"/>
          <w:vertAlign w:val="baseline"/>
        </w:rPr>
        <w:footnoteRef/>
      </w:r>
      <w:r w:rsidRPr="008C1F6D">
        <w:rPr>
          <w:rFonts w:ascii="Traditional Arabic" w:hAnsi="Traditional Arabic"/>
          <w:sz w:val="32"/>
          <w:szCs w:val="32"/>
          <w:rtl/>
        </w:rPr>
        <w:t>) انظر: تفسير الطبري (17/599), بحر العلوم (2/335).</w:t>
      </w:r>
    </w:p>
  </w:footnote>
  <w:footnote w:id="910">
    <w:p w:rsidR="003F128F" w:rsidRPr="00B12BFE" w:rsidRDefault="003F128F" w:rsidP="00DD1859">
      <w:pPr>
        <w:pStyle w:val="af3"/>
        <w:rPr>
          <w:rFonts w:ascii="Traditional Arabic" w:hAnsi="Traditional Arabic"/>
          <w:sz w:val="32"/>
          <w:szCs w:val="32"/>
        </w:rPr>
      </w:pPr>
      <w:r w:rsidRPr="00B12BFE">
        <w:rPr>
          <w:rFonts w:ascii="Traditional Arabic" w:hAnsi="Traditional Arabic"/>
          <w:sz w:val="32"/>
          <w:szCs w:val="32"/>
          <w:rtl/>
        </w:rPr>
        <w:t>(</w:t>
      </w:r>
      <w:r w:rsidRPr="00B12BFE">
        <w:rPr>
          <w:rStyle w:val="ae"/>
          <w:rFonts w:ascii="Traditional Arabic" w:hAnsi="Traditional Arabic"/>
          <w:sz w:val="32"/>
          <w:szCs w:val="32"/>
          <w:vertAlign w:val="baseline"/>
        </w:rPr>
        <w:footnoteRef/>
      </w:r>
      <w:r w:rsidRPr="00B12BFE">
        <w:rPr>
          <w:rFonts w:ascii="Traditional Arabic" w:hAnsi="Traditional Arabic"/>
          <w:sz w:val="32"/>
          <w:szCs w:val="32"/>
          <w:rtl/>
        </w:rPr>
        <w:t>) انظر: كتاب فيه لغات القرآن</w:t>
      </w:r>
      <w:r w:rsidRPr="00B12BFE">
        <w:rPr>
          <w:rFonts w:ascii="Traditional Arabic" w:hAnsi="Traditional Arabic" w:hint="cs"/>
          <w:sz w:val="32"/>
          <w:szCs w:val="32"/>
          <w:rtl/>
        </w:rPr>
        <w:t xml:space="preserve"> للفراء (ص85).</w:t>
      </w:r>
    </w:p>
  </w:footnote>
  <w:footnote w:id="911">
    <w:p w:rsidR="003F128F" w:rsidRPr="00633313" w:rsidRDefault="003F128F" w:rsidP="005C21CD">
      <w:pPr>
        <w:pStyle w:val="af3"/>
        <w:rPr>
          <w:rFonts w:ascii="Traditional Arabic" w:hAnsi="Traditional Arabic"/>
          <w:sz w:val="32"/>
          <w:szCs w:val="32"/>
        </w:rPr>
      </w:pPr>
      <w:r w:rsidRPr="00633313">
        <w:rPr>
          <w:rFonts w:ascii="Traditional Arabic" w:hAnsi="Traditional Arabic"/>
          <w:sz w:val="32"/>
          <w:szCs w:val="32"/>
          <w:rtl/>
        </w:rPr>
        <w:t>(</w:t>
      </w:r>
      <w:r w:rsidRPr="00633313">
        <w:rPr>
          <w:rStyle w:val="ae"/>
          <w:rFonts w:ascii="Traditional Arabic" w:hAnsi="Traditional Arabic"/>
          <w:sz w:val="32"/>
          <w:szCs w:val="32"/>
          <w:vertAlign w:val="baseline"/>
        </w:rPr>
        <w:footnoteRef/>
      </w:r>
      <w:r w:rsidRPr="00633313">
        <w:rPr>
          <w:rFonts w:ascii="Traditional Arabic" w:hAnsi="Traditional Arabic"/>
          <w:sz w:val="32"/>
          <w:szCs w:val="32"/>
          <w:rtl/>
        </w:rPr>
        <w:t>) انظر: مجاز القرآن (1/393), والبيت في تفسير الطبري (17/600) غير منسوب.</w:t>
      </w:r>
    </w:p>
  </w:footnote>
  <w:footnote w:id="912">
    <w:p w:rsidR="003F128F" w:rsidRPr="005118F9" w:rsidRDefault="003F128F" w:rsidP="005C21CD">
      <w:pPr>
        <w:pStyle w:val="af3"/>
        <w:rPr>
          <w:rFonts w:ascii="Traditional Arabic" w:hAnsi="Traditional Arabic"/>
          <w:sz w:val="32"/>
          <w:szCs w:val="32"/>
        </w:rPr>
      </w:pPr>
      <w:r w:rsidRPr="005118F9">
        <w:rPr>
          <w:rFonts w:ascii="Traditional Arabic" w:hAnsi="Traditional Arabic"/>
          <w:sz w:val="32"/>
          <w:szCs w:val="32"/>
          <w:rtl/>
        </w:rPr>
        <w:t>(</w:t>
      </w:r>
      <w:r w:rsidRPr="005118F9">
        <w:rPr>
          <w:rStyle w:val="ae"/>
          <w:rFonts w:ascii="Traditional Arabic" w:hAnsi="Traditional Arabic"/>
          <w:sz w:val="32"/>
          <w:szCs w:val="32"/>
          <w:vertAlign w:val="baseline"/>
        </w:rPr>
        <w:footnoteRef/>
      </w:r>
      <w:r w:rsidRPr="005118F9">
        <w:rPr>
          <w:rFonts w:ascii="Traditional Arabic" w:hAnsi="Traditional Arabic"/>
          <w:sz w:val="32"/>
          <w:szCs w:val="32"/>
          <w:rtl/>
        </w:rPr>
        <w:t>) معاني القرآن وإعرابه (3/269).</w:t>
      </w:r>
    </w:p>
  </w:footnote>
  <w:footnote w:id="913">
    <w:p w:rsidR="003F128F" w:rsidRPr="005118F9" w:rsidRDefault="003F128F" w:rsidP="00144946">
      <w:pPr>
        <w:pStyle w:val="af3"/>
        <w:rPr>
          <w:rFonts w:ascii="Traditional Arabic" w:hAnsi="Traditional Arabic"/>
          <w:sz w:val="32"/>
          <w:szCs w:val="32"/>
        </w:rPr>
      </w:pPr>
      <w:r w:rsidRPr="005118F9">
        <w:rPr>
          <w:rFonts w:ascii="Traditional Arabic" w:hAnsi="Traditional Arabic"/>
          <w:sz w:val="32"/>
          <w:szCs w:val="32"/>
          <w:rtl/>
        </w:rPr>
        <w:t>(</w:t>
      </w:r>
      <w:r w:rsidRPr="005118F9">
        <w:rPr>
          <w:rStyle w:val="ae"/>
          <w:rFonts w:ascii="Traditional Arabic" w:hAnsi="Traditional Arabic"/>
          <w:sz w:val="32"/>
          <w:szCs w:val="32"/>
          <w:vertAlign w:val="baseline"/>
        </w:rPr>
        <w:footnoteRef/>
      </w:r>
      <w:r w:rsidRPr="005118F9">
        <w:rPr>
          <w:rFonts w:ascii="Traditional Arabic" w:hAnsi="Traditional Arabic"/>
          <w:sz w:val="32"/>
          <w:szCs w:val="32"/>
          <w:rtl/>
        </w:rPr>
        <w:t>) ما بين المعكوفتين ساقط من الأصل, والمثبت من (ك).</w:t>
      </w:r>
    </w:p>
  </w:footnote>
  <w:footnote w:id="914">
    <w:p w:rsidR="003F128F" w:rsidRPr="005118F9" w:rsidRDefault="003F128F" w:rsidP="00AA150E">
      <w:pPr>
        <w:pStyle w:val="af3"/>
        <w:rPr>
          <w:rFonts w:ascii="Traditional Arabic" w:hAnsi="Traditional Arabic"/>
          <w:sz w:val="32"/>
          <w:szCs w:val="32"/>
        </w:rPr>
      </w:pPr>
      <w:r w:rsidRPr="005118F9">
        <w:rPr>
          <w:rFonts w:ascii="Traditional Arabic" w:hAnsi="Traditional Arabic"/>
          <w:sz w:val="32"/>
          <w:szCs w:val="32"/>
          <w:rtl/>
        </w:rPr>
        <w:t>(</w:t>
      </w:r>
      <w:r w:rsidRPr="005118F9">
        <w:rPr>
          <w:rStyle w:val="ae"/>
          <w:rFonts w:ascii="Traditional Arabic" w:hAnsi="Traditional Arabic"/>
          <w:sz w:val="32"/>
          <w:szCs w:val="32"/>
          <w:vertAlign w:val="baseline"/>
        </w:rPr>
        <w:footnoteRef/>
      </w:r>
      <w:r w:rsidRPr="005118F9">
        <w:rPr>
          <w:rFonts w:ascii="Traditional Arabic" w:hAnsi="Traditional Arabic"/>
          <w:sz w:val="32"/>
          <w:szCs w:val="32"/>
          <w:rtl/>
        </w:rPr>
        <w:t xml:space="preserve">) ذكر بنحوه الأزهري في تهذيب اللغة (10/321) مادة (جرز). </w:t>
      </w:r>
    </w:p>
  </w:footnote>
  <w:footnote w:id="915">
    <w:p w:rsidR="003F128F" w:rsidRPr="005118F9" w:rsidRDefault="003F128F" w:rsidP="005C21CD">
      <w:pPr>
        <w:pStyle w:val="af3"/>
        <w:rPr>
          <w:rFonts w:ascii="Traditional Arabic" w:hAnsi="Traditional Arabic"/>
          <w:sz w:val="32"/>
          <w:szCs w:val="32"/>
        </w:rPr>
      </w:pPr>
      <w:r w:rsidRPr="005118F9">
        <w:rPr>
          <w:rFonts w:ascii="Traditional Arabic" w:hAnsi="Traditional Arabic"/>
          <w:sz w:val="32"/>
          <w:szCs w:val="32"/>
          <w:rtl/>
        </w:rPr>
        <w:t>(</w:t>
      </w:r>
      <w:r w:rsidRPr="005118F9">
        <w:rPr>
          <w:rStyle w:val="ae"/>
          <w:rFonts w:ascii="Traditional Arabic" w:hAnsi="Traditional Arabic"/>
          <w:sz w:val="32"/>
          <w:szCs w:val="32"/>
          <w:vertAlign w:val="baseline"/>
        </w:rPr>
        <w:footnoteRef/>
      </w:r>
      <w:r w:rsidRPr="005118F9">
        <w:rPr>
          <w:rFonts w:ascii="Traditional Arabic" w:hAnsi="Traditional Arabic"/>
          <w:sz w:val="32"/>
          <w:szCs w:val="32"/>
          <w:rtl/>
        </w:rPr>
        <w:t xml:space="preserve">) انظر: تفسير مقاتل (2/573), بحر العلوم (2/335). </w:t>
      </w:r>
    </w:p>
  </w:footnote>
  <w:footnote w:id="916">
    <w:p w:rsidR="003F128F" w:rsidRPr="005118F9" w:rsidRDefault="003F128F" w:rsidP="00144946">
      <w:pPr>
        <w:pStyle w:val="af3"/>
        <w:rPr>
          <w:rFonts w:ascii="Traditional Arabic" w:hAnsi="Traditional Arabic"/>
          <w:sz w:val="32"/>
          <w:szCs w:val="32"/>
        </w:rPr>
      </w:pPr>
      <w:r w:rsidRPr="005118F9">
        <w:rPr>
          <w:rFonts w:ascii="Traditional Arabic" w:hAnsi="Traditional Arabic"/>
          <w:sz w:val="32"/>
          <w:szCs w:val="32"/>
          <w:rtl/>
        </w:rPr>
        <w:t>(</w:t>
      </w:r>
      <w:r w:rsidRPr="005118F9">
        <w:rPr>
          <w:rStyle w:val="ae"/>
          <w:rFonts w:ascii="Traditional Arabic" w:hAnsi="Traditional Arabic"/>
          <w:sz w:val="32"/>
          <w:szCs w:val="32"/>
          <w:vertAlign w:val="baseline"/>
        </w:rPr>
        <w:footnoteRef/>
      </w:r>
      <w:r w:rsidRPr="005118F9">
        <w:rPr>
          <w:rFonts w:ascii="Traditional Arabic" w:hAnsi="Traditional Arabic"/>
          <w:sz w:val="32"/>
          <w:szCs w:val="32"/>
          <w:rtl/>
        </w:rPr>
        <w:t>) سبق ذكره في (ص136).</w:t>
      </w:r>
    </w:p>
  </w:footnote>
  <w:footnote w:id="917">
    <w:p w:rsidR="003F128F" w:rsidRPr="005118F9" w:rsidRDefault="003F128F" w:rsidP="00F52C74">
      <w:pPr>
        <w:pStyle w:val="af3"/>
        <w:rPr>
          <w:rFonts w:ascii="Traditional Arabic" w:hAnsi="Traditional Arabic"/>
          <w:sz w:val="32"/>
          <w:szCs w:val="32"/>
        </w:rPr>
      </w:pPr>
      <w:r w:rsidRPr="005118F9">
        <w:rPr>
          <w:rFonts w:ascii="Traditional Arabic" w:hAnsi="Traditional Arabic"/>
          <w:sz w:val="32"/>
          <w:szCs w:val="32"/>
          <w:rtl/>
        </w:rPr>
        <w:t>(</w:t>
      </w:r>
      <w:r w:rsidRPr="005118F9">
        <w:rPr>
          <w:rStyle w:val="ae"/>
          <w:rFonts w:ascii="Traditional Arabic" w:hAnsi="Traditional Arabic"/>
          <w:sz w:val="32"/>
          <w:szCs w:val="32"/>
          <w:vertAlign w:val="baseline"/>
        </w:rPr>
        <w:footnoteRef/>
      </w:r>
      <w:r w:rsidRPr="005118F9">
        <w:rPr>
          <w:rFonts w:ascii="Traditional Arabic" w:hAnsi="Traditional Arabic"/>
          <w:sz w:val="32"/>
          <w:szCs w:val="32"/>
          <w:rtl/>
        </w:rPr>
        <w:t>) غريب القرآن (ص263).</w:t>
      </w:r>
    </w:p>
  </w:footnote>
  <w:footnote w:id="918">
    <w:p w:rsidR="003F128F" w:rsidRPr="005118F9" w:rsidRDefault="003F128F" w:rsidP="005C21CD">
      <w:pPr>
        <w:pStyle w:val="af3"/>
        <w:rPr>
          <w:rFonts w:ascii="Traditional Arabic" w:hAnsi="Traditional Arabic"/>
          <w:sz w:val="32"/>
          <w:szCs w:val="32"/>
        </w:rPr>
      </w:pPr>
      <w:r w:rsidRPr="005118F9">
        <w:rPr>
          <w:rFonts w:ascii="Traditional Arabic" w:hAnsi="Traditional Arabic"/>
          <w:sz w:val="32"/>
          <w:szCs w:val="32"/>
          <w:rtl/>
        </w:rPr>
        <w:t>(</w:t>
      </w:r>
      <w:r w:rsidRPr="005118F9">
        <w:rPr>
          <w:rStyle w:val="ae"/>
          <w:rFonts w:ascii="Traditional Arabic" w:hAnsi="Traditional Arabic"/>
          <w:sz w:val="32"/>
          <w:szCs w:val="32"/>
          <w:vertAlign w:val="baseline"/>
        </w:rPr>
        <w:footnoteRef/>
      </w:r>
      <w:r w:rsidRPr="005118F9">
        <w:rPr>
          <w:rFonts w:ascii="Traditional Arabic" w:hAnsi="Traditional Arabic"/>
          <w:sz w:val="32"/>
          <w:szCs w:val="32"/>
          <w:rtl/>
        </w:rPr>
        <w:t xml:space="preserve">) التفسير الوسيط (3/137). </w:t>
      </w:r>
    </w:p>
  </w:footnote>
  <w:footnote w:id="919">
    <w:p w:rsidR="003F128F" w:rsidRPr="005118F9" w:rsidRDefault="003F128F" w:rsidP="00144946">
      <w:pPr>
        <w:pStyle w:val="af3"/>
        <w:rPr>
          <w:rFonts w:ascii="Traditional Arabic" w:hAnsi="Traditional Arabic"/>
          <w:sz w:val="32"/>
          <w:szCs w:val="32"/>
        </w:rPr>
      </w:pPr>
      <w:r w:rsidRPr="005118F9">
        <w:rPr>
          <w:rFonts w:ascii="Traditional Arabic" w:hAnsi="Traditional Arabic"/>
          <w:sz w:val="32"/>
          <w:szCs w:val="32"/>
          <w:rtl/>
        </w:rPr>
        <w:t>(</w:t>
      </w:r>
      <w:r w:rsidRPr="005118F9">
        <w:rPr>
          <w:rStyle w:val="ae"/>
          <w:rFonts w:ascii="Traditional Arabic" w:hAnsi="Traditional Arabic"/>
          <w:sz w:val="32"/>
          <w:szCs w:val="32"/>
          <w:vertAlign w:val="baseline"/>
        </w:rPr>
        <w:footnoteRef/>
      </w:r>
      <w:r w:rsidRPr="005118F9">
        <w:rPr>
          <w:rFonts w:ascii="Traditional Arabic" w:hAnsi="Traditional Arabic"/>
          <w:sz w:val="32"/>
          <w:szCs w:val="32"/>
          <w:rtl/>
        </w:rPr>
        <w:t xml:space="preserve">) ما بين المعكوفتين ساقط من الأصل, والمثبت من (ك). </w:t>
      </w:r>
    </w:p>
  </w:footnote>
  <w:footnote w:id="920">
    <w:p w:rsidR="003F128F" w:rsidRPr="008C1F6D" w:rsidRDefault="003F128F" w:rsidP="005C21CD">
      <w:pPr>
        <w:pStyle w:val="af3"/>
        <w:rPr>
          <w:rFonts w:ascii="Traditional Arabic" w:hAnsi="Traditional Arabic"/>
          <w:sz w:val="32"/>
          <w:szCs w:val="32"/>
        </w:rPr>
      </w:pPr>
      <w:r w:rsidRPr="005118F9">
        <w:rPr>
          <w:rFonts w:ascii="Traditional Arabic" w:hAnsi="Traditional Arabic"/>
          <w:sz w:val="32"/>
          <w:szCs w:val="32"/>
          <w:rtl/>
        </w:rPr>
        <w:t>(</w:t>
      </w:r>
      <w:r w:rsidRPr="005118F9">
        <w:rPr>
          <w:rStyle w:val="ae"/>
          <w:rFonts w:ascii="Traditional Arabic" w:hAnsi="Traditional Arabic"/>
          <w:sz w:val="32"/>
          <w:szCs w:val="32"/>
          <w:vertAlign w:val="baseline"/>
        </w:rPr>
        <w:footnoteRef/>
      </w:r>
      <w:r w:rsidRPr="005118F9">
        <w:rPr>
          <w:rFonts w:ascii="Traditional Arabic" w:hAnsi="Traditional Arabic"/>
          <w:sz w:val="32"/>
          <w:szCs w:val="32"/>
          <w:rtl/>
        </w:rPr>
        <w:t>) ذكر بنحوه الزجاج في معاني القرآن وإعرابه (3/269).</w:t>
      </w:r>
    </w:p>
  </w:footnote>
  <w:footnote w:id="921">
    <w:p w:rsidR="003F128F" w:rsidRPr="008C1F6D" w:rsidRDefault="003F128F" w:rsidP="00144946">
      <w:pPr>
        <w:pStyle w:val="af3"/>
        <w:rPr>
          <w:rFonts w:ascii="Traditional Arabic" w:hAnsi="Traditional Arabic"/>
          <w:sz w:val="32"/>
          <w:szCs w:val="32"/>
        </w:rPr>
      </w:pPr>
      <w:r w:rsidRPr="008C1F6D">
        <w:rPr>
          <w:rFonts w:ascii="Traditional Arabic" w:hAnsi="Traditional Arabic"/>
          <w:sz w:val="32"/>
          <w:szCs w:val="32"/>
          <w:rtl/>
        </w:rPr>
        <w:t>(</w:t>
      </w:r>
      <w:r w:rsidRPr="008C1F6D">
        <w:rPr>
          <w:rStyle w:val="ae"/>
          <w:rFonts w:ascii="Traditional Arabic" w:hAnsi="Traditional Arabic"/>
          <w:sz w:val="32"/>
          <w:szCs w:val="32"/>
          <w:vertAlign w:val="baseline"/>
        </w:rPr>
        <w:footnoteRef/>
      </w:r>
      <w:r w:rsidRPr="008C1F6D">
        <w:rPr>
          <w:rFonts w:ascii="Traditional Arabic" w:hAnsi="Traditional Arabic"/>
          <w:sz w:val="32"/>
          <w:szCs w:val="32"/>
          <w:rtl/>
        </w:rPr>
        <w:t xml:space="preserve">) انظر: تفسير الطبري (17/603), </w:t>
      </w:r>
      <w:r>
        <w:rPr>
          <w:rFonts w:ascii="Traditional Arabic" w:hAnsi="Traditional Arabic" w:hint="cs"/>
          <w:sz w:val="32"/>
          <w:szCs w:val="32"/>
          <w:rtl/>
        </w:rPr>
        <w:t xml:space="preserve">تفسير </w:t>
      </w:r>
      <w:r w:rsidRPr="008C1F6D">
        <w:rPr>
          <w:rFonts w:ascii="Traditional Arabic" w:hAnsi="Traditional Arabic"/>
          <w:sz w:val="32"/>
          <w:szCs w:val="32"/>
          <w:rtl/>
        </w:rPr>
        <w:t xml:space="preserve">ابن أبي حاتم (7/2346). </w:t>
      </w:r>
    </w:p>
  </w:footnote>
  <w:footnote w:id="922">
    <w:p w:rsidR="003F128F" w:rsidRPr="008C1F6D" w:rsidRDefault="003F128F" w:rsidP="005C21CD">
      <w:pPr>
        <w:pStyle w:val="af3"/>
        <w:rPr>
          <w:rFonts w:ascii="Traditional Arabic" w:hAnsi="Traditional Arabic"/>
          <w:sz w:val="32"/>
          <w:szCs w:val="32"/>
        </w:rPr>
      </w:pPr>
      <w:r w:rsidRPr="008C1F6D">
        <w:rPr>
          <w:rFonts w:ascii="Traditional Arabic" w:hAnsi="Traditional Arabic"/>
          <w:sz w:val="32"/>
          <w:szCs w:val="32"/>
          <w:rtl/>
        </w:rPr>
        <w:t>(</w:t>
      </w:r>
      <w:r w:rsidRPr="008C1F6D">
        <w:rPr>
          <w:rStyle w:val="ae"/>
          <w:rFonts w:ascii="Traditional Arabic" w:hAnsi="Traditional Arabic"/>
          <w:sz w:val="32"/>
          <w:szCs w:val="32"/>
          <w:vertAlign w:val="baseline"/>
        </w:rPr>
        <w:footnoteRef/>
      </w:r>
      <w:r>
        <w:rPr>
          <w:rFonts w:ascii="Traditional Arabic" w:hAnsi="Traditional Arabic"/>
          <w:sz w:val="32"/>
          <w:szCs w:val="32"/>
          <w:rtl/>
        </w:rPr>
        <w:t xml:space="preserve">) </w:t>
      </w:r>
      <w:r>
        <w:rPr>
          <w:rFonts w:ascii="Traditional Arabic" w:hAnsi="Traditional Arabic" w:hint="cs"/>
          <w:sz w:val="32"/>
          <w:szCs w:val="32"/>
          <w:rtl/>
        </w:rPr>
        <w:t>انظر: تفسير عبد الرزاق (3/325).</w:t>
      </w:r>
    </w:p>
  </w:footnote>
  <w:footnote w:id="923">
    <w:p w:rsidR="003F128F" w:rsidRPr="008C1F6D" w:rsidRDefault="003F128F" w:rsidP="00144946">
      <w:pPr>
        <w:pStyle w:val="af3"/>
        <w:rPr>
          <w:rFonts w:ascii="Traditional Arabic" w:hAnsi="Traditional Arabic"/>
          <w:sz w:val="32"/>
          <w:szCs w:val="32"/>
        </w:rPr>
      </w:pPr>
      <w:r w:rsidRPr="008C1F6D">
        <w:rPr>
          <w:rFonts w:ascii="Traditional Arabic" w:hAnsi="Traditional Arabic"/>
          <w:sz w:val="32"/>
          <w:szCs w:val="32"/>
          <w:rtl/>
        </w:rPr>
        <w:t>(</w:t>
      </w:r>
      <w:r w:rsidRPr="008C1F6D">
        <w:rPr>
          <w:rStyle w:val="ae"/>
          <w:rFonts w:ascii="Traditional Arabic" w:hAnsi="Traditional Arabic"/>
          <w:sz w:val="32"/>
          <w:szCs w:val="32"/>
          <w:vertAlign w:val="baseline"/>
        </w:rPr>
        <w:footnoteRef/>
      </w:r>
      <w:r w:rsidRPr="008C1F6D">
        <w:rPr>
          <w:rFonts w:ascii="Traditional Arabic" w:hAnsi="Traditional Arabic"/>
          <w:sz w:val="32"/>
          <w:szCs w:val="32"/>
          <w:rtl/>
        </w:rPr>
        <w:t xml:space="preserve">) انظر: تفسير الطبري (17/603), </w:t>
      </w:r>
      <w:r>
        <w:rPr>
          <w:rFonts w:ascii="Traditional Arabic" w:hAnsi="Traditional Arabic" w:hint="cs"/>
          <w:sz w:val="32"/>
          <w:szCs w:val="32"/>
          <w:rtl/>
        </w:rPr>
        <w:t xml:space="preserve">تفسير </w:t>
      </w:r>
      <w:r w:rsidRPr="008C1F6D">
        <w:rPr>
          <w:rFonts w:ascii="Traditional Arabic" w:hAnsi="Traditional Arabic"/>
          <w:sz w:val="32"/>
          <w:szCs w:val="32"/>
          <w:rtl/>
        </w:rPr>
        <w:t xml:space="preserve">ابن أبي حاتم (7/2346).  </w:t>
      </w:r>
    </w:p>
  </w:footnote>
  <w:footnote w:id="924">
    <w:p w:rsidR="003F128F" w:rsidRPr="008C1F6D" w:rsidRDefault="003F128F" w:rsidP="00791DC8">
      <w:pPr>
        <w:pStyle w:val="af3"/>
        <w:rPr>
          <w:rFonts w:ascii="Traditional Arabic" w:hAnsi="Traditional Arabic"/>
          <w:sz w:val="32"/>
          <w:szCs w:val="32"/>
        </w:rPr>
      </w:pPr>
      <w:r w:rsidRPr="008C1F6D">
        <w:rPr>
          <w:rFonts w:ascii="Traditional Arabic" w:hAnsi="Traditional Arabic"/>
          <w:sz w:val="32"/>
          <w:szCs w:val="32"/>
          <w:rtl/>
        </w:rPr>
        <w:t>(</w:t>
      </w:r>
      <w:r w:rsidRPr="008C1F6D">
        <w:rPr>
          <w:rStyle w:val="ae"/>
          <w:rFonts w:ascii="Traditional Arabic" w:hAnsi="Traditional Arabic"/>
          <w:sz w:val="32"/>
          <w:szCs w:val="32"/>
          <w:vertAlign w:val="baseline"/>
        </w:rPr>
        <w:footnoteRef/>
      </w:r>
      <w:r>
        <w:rPr>
          <w:rFonts w:ascii="Traditional Arabic" w:hAnsi="Traditional Arabic"/>
          <w:sz w:val="32"/>
          <w:szCs w:val="32"/>
          <w:rtl/>
        </w:rPr>
        <w:t xml:space="preserve">) </w:t>
      </w:r>
      <w:r>
        <w:rPr>
          <w:rFonts w:ascii="Traditional Arabic" w:hAnsi="Traditional Arabic" w:hint="cs"/>
          <w:sz w:val="32"/>
          <w:szCs w:val="32"/>
          <w:rtl/>
        </w:rPr>
        <w:t xml:space="preserve">انظر: تفسير </w:t>
      </w:r>
      <w:r>
        <w:rPr>
          <w:rFonts w:ascii="Traditional Arabic" w:hAnsi="Traditional Arabic"/>
          <w:sz w:val="32"/>
          <w:szCs w:val="32"/>
          <w:rtl/>
        </w:rPr>
        <w:t>ابن أبي حاتم (7/2346)</w:t>
      </w:r>
      <w:r>
        <w:rPr>
          <w:rFonts w:ascii="Traditional Arabic" w:hAnsi="Traditional Arabic" w:hint="cs"/>
          <w:sz w:val="32"/>
          <w:szCs w:val="32"/>
          <w:rtl/>
        </w:rPr>
        <w:t>,</w:t>
      </w:r>
      <w:r w:rsidRPr="005F19F8">
        <w:rPr>
          <w:rFonts w:ascii="Traditional Arabic" w:hAnsi="Traditional Arabic"/>
          <w:sz w:val="32"/>
          <w:szCs w:val="32"/>
          <w:rtl/>
        </w:rPr>
        <w:t xml:space="preserve"> </w:t>
      </w:r>
      <w:r>
        <w:rPr>
          <w:rFonts w:ascii="Traditional Arabic" w:hAnsi="Traditional Arabic"/>
          <w:sz w:val="32"/>
          <w:szCs w:val="32"/>
          <w:rtl/>
        </w:rPr>
        <w:t>بحر العلوم (2/33</w:t>
      </w:r>
      <w:r>
        <w:rPr>
          <w:rFonts w:ascii="Traditional Arabic" w:hAnsi="Traditional Arabic" w:hint="cs"/>
          <w:sz w:val="32"/>
          <w:szCs w:val="32"/>
          <w:rtl/>
        </w:rPr>
        <w:t>7</w:t>
      </w:r>
      <w:r>
        <w:rPr>
          <w:rFonts w:ascii="Traditional Arabic" w:hAnsi="Traditional Arabic"/>
          <w:sz w:val="32"/>
          <w:szCs w:val="32"/>
          <w:rtl/>
        </w:rPr>
        <w:t>)</w:t>
      </w:r>
      <w:r>
        <w:rPr>
          <w:rFonts w:ascii="Traditional Arabic" w:hAnsi="Traditional Arabic" w:hint="cs"/>
          <w:sz w:val="32"/>
          <w:szCs w:val="32"/>
          <w:rtl/>
        </w:rPr>
        <w:t>.</w:t>
      </w:r>
    </w:p>
  </w:footnote>
  <w:footnote w:id="925">
    <w:p w:rsidR="003F128F" w:rsidRPr="008C1F6D" w:rsidRDefault="003F128F" w:rsidP="005C21CD">
      <w:pPr>
        <w:pStyle w:val="af3"/>
        <w:rPr>
          <w:rFonts w:ascii="Traditional Arabic" w:hAnsi="Traditional Arabic"/>
          <w:sz w:val="32"/>
          <w:szCs w:val="32"/>
        </w:rPr>
      </w:pPr>
      <w:r w:rsidRPr="008C1F6D">
        <w:rPr>
          <w:rFonts w:ascii="Traditional Arabic" w:hAnsi="Traditional Arabic"/>
          <w:sz w:val="32"/>
          <w:szCs w:val="32"/>
          <w:rtl/>
        </w:rPr>
        <w:t>(</w:t>
      </w:r>
      <w:r w:rsidRPr="008C1F6D">
        <w:rPr>
          <w:rStyle w:val="ae"/>
          <w:rFonts w:ascii="Traditional Arabic" w:hAnsi="Traditional Arabic"/>
          <w:sz w:val="32"/>
          <w:szCs w:val="32"/>
          <w:vertAlign w:val="baseline"/>
        </w:rPr>
        <w:footnoteRef/>
      </w:r>
      <w:r w:rsidRPr="008C1F6D">
        <w:rPr>
          <w:rFonts w:ascii="Traditional Arabic" w:hAnsi="Traditional Arabic"/>
          <w:sz w:val="32"/>
          <w:szCs w:val="32"/>
          <w:rtl/>
        </w:rPr>
        <w:t>)</w:t>
      </w:r>
      <w:r>
        <w:rPr>
          <w:rFonts w:ascii="Traditional Arabic" w:hAnsi="Traditional Arabic" w:hint="cs"/>
          <w:sz w:val="32"/>
          <w:szCs w:val="32"/>
          <w:rtl/>
        </w:rPr>
        <w:t xml:space="preserve"> </w:t>
      </w:r>
      <w:r w:rsidRPr="008C1F6D">
        <w:rPr>
          <w:rFonts w:ascii="Traditional Arabic" w:hAnsi="Traditional Arabic"/>
          <w:sz w:val="32"/>
          <w:szCs w:val="32"/>
          <w:rtl/>
        </w:rPr>
        <w:t>انظر: تفسير مقاتل (2/57</w:t>
      </w:r>
      <w:r>
        <w:rPr>
          <w:rFonts w:ascii="Traditional Arabic" w:hAnsi="Traditional Arabic" w:hint="cs"/>
          <w:sz w:val="32"/>
          <w:szCs w:val="32"/>
          <w:rtl/>
        </w:rPr>
        <w:t>4</w:t>
      </w:r>
      <w:r>
        <w:rPr>
          <w:rFonts w:ascii="Traditional Arabic" w:hAnsi="Traditional Arabic"/>
          <w:sz w:val="32"/>
          <w:szCs w:val="32"/>
          <w:rtl/>
        </w:rPr>
        <w:t>)</w:t>
      </w:r>
      <w:r>
        <w:rPr>
          <w:rFonts w:ascii="Traditional Arabic" w:hAnsi="Traditional Arabic" w:hint="cs"/>
          <w:sz w:val="32"/>
          <w:szCs w:val="32"/>
          <w:rtl/>
        </w:rPr>
        <w:t>.</w:t>
      </w:r>
      <w:r w:rsidRPr="008C1F6D">
        <w:rPr>
          <w:rFonts w:ascii="Traditional Arabic" w:hAnsi="Traditional Arabic"/>
          <w:sz w:val="32"/>
          <w:szCs w:val="32"/>
          <w:rtl/>
        </w:rPr>
        <w:t xml:space="preserve">  </w:t>
      </w:r>
    </w:p>
  </w:footnote>
  <w:footnote w:id="926">
    <w:p w:rsidR="003F128F" w:rsidRPr="00C574F6" w:rsidRDefault="003F128F" w:rsidP="005C21CD">
      <w:pPr>
        <w:pStyle w:val="af3"/>
        <w:rPr>
          <w:rFonts w:ascii="Traditional Arabic" w:hAnsi="Traditional Arabic"/>
          <w:sz w:val="32"/>
          <w:szCs w:val="32"/>
        </w:rPr>
      </w:pPr>
      <w:r w:rsidRPr="008C1F6D">
        <w:rPr>
          <w:rFonts w:ascii="Traditional Arabic" w:hAnsi="Traditional Arabic"/>
          <w:sz w:val="32"/>
          <w:szCs w:val="32"/>
          <w:rtl/>
        </w:rPr>
        <w:t>(</w:t>
      </w:r>
      <w:r w:rsidRPr="008C1F6D">
        <w:rPr>
          <w:rStyle w:val="ae"/>
          <w:rFonts w:ascii="Traditional Arabic" w:hAnsi="Traditional Arabic"/>
          <w:sz w:val="32"/>
          <w:szCs w:val="32"/>
          <w:vertAlign w:val="baseline"/>
        </w:rPr>
        <w:footnoteRef/>
      </w:r>
      <w:r>
        <w:rPr>
          <w:rFonts w:ascii="Traditional Arabic" w:hAnsi="Traditional Arabic"/>
          <w:sz w:val="32"/>
          <w:szCs w:val="32"/>
          <w:rtl/>
        </w:rPr>
        <w:t>)</w:t>
      </w:r>
      <w:r w:rsidRPr="008C1F6D">
        <w:rPr>
          <w:rFonts w:ascii="Traditional Arabic" w:hAnsi="Traditional Arabic"/>
          <w:sz w:val="32"/>
          <w:szCs w:val="32"/>
          <w:rtl/>
        </w:rPr>
        <w:t xml:space="preserve"> انظر: معاني القرآن (2/</w:t>
      </w:r>
      <w:r>
        <w:rPr>
          <w:rFonts w:ascii="Traditional Arabic" w:hAnsi="Traditional Arabic" w:hint="cs"/>
          <w:sz w:val="32"/>
          <w:szCs w:val="32"/>
          <w:rtl/>
        </w:rPr>
        <w:t>134</w:t>
      </w:r>
      <w:r w:rsidRPr="008C1F6D">
        <w:rPr>
          <w:rFonts w:ascii="Traditional Arabic" w:hAnsi="Traditional Arabic"/>
          <w:sz w:val="32"/>
          <w:szCs w:val="32"/>
          <w:rtl/>
        </w:rPr>
        <w:t xml:space="preserve">). </w:t>
      </w:r>
    </w:p>
  </w:footnote>
  <w:footnote w:id="927">
    <w:p w:rsidR="003F128F" w:rsidRPr="008C1F6D" w:rsidRDefault="003F128F" w:rsidP="00144946">
      <w:pPr>
        <w:pStyle w:val="af3"/>
        <w:rPr>
          <w:rFonts w:ascii="Traditional Arabic" w:hAnsi="Traditional Arabic"/>
          <w:sz w:val="32"/>
          <w:szCs w:val="32"/>
        </w:rPr>
      </w:pPr>
      <w:r w:rsidRPr="008C1F6D">
        <w:rPr>
          <w:rFonts w:ascii="Traditional Arabic" w:hAnsi="Traditional Arabic"/>
          <w:sz w:val="32"/>
          <w:szCs w:val="32"/>
          <w:rtl/>
        </w:rPr>
        <w:t>(</w:t>
      </w:r>
      <w:r w:rsidRPr="008C1F6D">
        <w:rPr>
          <w:rStyle w:val="ae"/>
          <w:rFonts w:ascii="Traditional Arabic" w:hAnsi="Traditional Arabic"/>
          <w:sz w:val="32"/>
          <w:szCs w:val="32"/>
          <w:vertAlign w:val="baseline"/>
        </w:rPr>
        <w:footnoteRef/>
      </w:r>
      <w:r w:rsidRPr="008C1F6D">
        <w:rPr>
          <w:rFonts w:ascii="Traditional Arabic" w:hAnsi="Traditional Arabic"/>
          <w:sz w:val="32"/>
          <w:szCs w:val="32"/>
          <w:rtl/>
        </w:rPr>
        <w:t>)</w:t>
      </w:r>
      <w:r>
        <w:rPr>
          <w:rFonts w:ascii="Traditional Arabic" w:hAnsi="Traditional Arabic" w:hint="cs"/>
          <w:sz w:val="32"/>
          <w:szCs w:val="32"/>
          <w:rtl/>
        </w:rPr>
        <w:t xml:space="preserve"> </w:t>
      </w:r>
      <w:r w:rsidRPr="008C1F6D">
        <w:rPr>
          <w:rFonts w:ascii="Traditional Arabic" w:hAnsi="Traditional Arabic"/>
          <w:sz w:val="32"/>
          <w:szCs w:val="32"/>
          <w:rtl/>
        </w:rPr>
        <w:t xml:space="preserve">انظر: مجاز القرآن </w:t>
      </w:r>
      <w:r>
        <w:rPr>
          <w:rFonts w:ascii="Traditional Arabic" w:hAnsi="Traditional Arabic" w:hint="cs"/>
          <w:sz w:val="32"/>
          <w:szCs w:val="32"/>
          <w:rtl/>
        </w:rPr>
        <w:t xml:space="preserve">لأبي عبيدة </w:t>
      </w:r>
      <w:r w:rsidRPr="008C1F6D">
        <w:rPr>
          <w:rFonts w:ascii="Traditional Arabic" w:hAnsi="Traditional Arabic"/>
          <w:sz w:val="32"/>
          <w:szCs w:val="32"/>
          <w:rtl/>
        </w:rPr>
        <w:t>(1/393)</w:t>
      </w:r>
      <w:r>
        <w:rPr>
          <w:rFonts w:ascii="Traditional Arabic" w:hAnsi="Traditional Arabic" w:hint="cs"/>
          <w:sz w:val="32"/>
          <w:szCs w:val="32"/>
          <w:rtl/>
        </w:rPr>
        <w:t>, و</w:t>
      </w:r>
      <w:r w:rsidRPr="00E30A41">
        <w:rPr>
          <w:rFonts w:ascii="Traditional Arabic" w:hAnsi="Traditional Arabic"/>
          <w:sz w:val="32"/>
          <w:szCs w:val="32"/>
          <w:rtl/>
        </w:rPr>
        <w:t xml:space="preserve">غريب القرآن </w:t>
      </w:r>
      <w:r>
        <w:rPr>
          <w:rFonts w:ascii="Traditional Arabic" w:hAnsi="Traditional Arabic" w:hint="cs"/>
          <w:sz w:val="32"/>
          <w:szCs w:val="32"/>
          <w:rtl/>
        </w:rPr>
        <w:t xml:space="preserve">لابن قتيبة </w:t>
      </w:r>
      <w:r w:rsidRPr="00E30A41">
        <w:rPr>
          <w:rFonts w:ascii="Traditional Arabic" w:hAnsi="Traditional Arabic"/>
          <w:sz w:val="32"/>
          <w:szCs w:val="32"/>
          <w:rtl/>
        </w:rPr>
        <w:t>(</w:t>
      </w:r>
      <w:r>
        <w:rPr>
          <w:rFonts w:ascii="Traditional Arabic" w:hAnsi="Traditional Arabic" w:hint="cs"/>
          <w:sz w:val="32"/>
          <w:szCs w:val="32"/>
          <w:rtl/>
        </w:rPr>
        <w:t>ص</w:t>
      </w:r>
      <w:r w:rsidRPr="00E30A41">
        <w:rPr>
          <w:rFonts w:ascii="Traditional Arabic" w:hAnsi="Traditional Arabic"/>
          <w:sz w:val="32"/>
          <w:szCs w:val="32"/>
          <w:rtl/>
        </w:rPr>
        <w:t>263).</w:t>
      </w:r>
    </w:p>
  </w:footnote>
  <w:footnote w:id="928">
    <w:p w:rsidR="003F128F" w:rsidRPr="00484F74" w:rsidRDefault="003F128F" w:rsidP="005C21CD">
      <w:pPr>
        <w:pStyle w:val="af3"/>
        <w:rPr>
          <w:rFonts w:ascii="Traditional Arabic" w:hAnsi="Traditional Arabic"/>
          <w:sz w:val="32"/>
          <w:szCs w:val="32"/>
        </w:rPr>
      </w:pPr>
      <w:r w:rsidRPr="00484F74">
        <w:rPr>
          <w:rFonts w:ascii="Traditional Arabic" w:hAnsi="Traditional Arabic"/>
          <w:sz w:val="32"/>
          <w:szCs w:val="32"/>
          <w:rtl/>
        </w:rPr>
        <w:t>(</w:t>
      </w:r>
      <w:r w:rsidRPr="00484F74">
        <w:rPr>
          <w:rStyle w:val="ae"/>
          <w:rFonts w:ascii="Traditional Arabic" w:hAnsi="Traditional Arabic"/>
          <w:sz w:val="32"/>
          <w:szCs w:val="32"/>
          <w:vertAlign w:val="baseline"/>
        </w:rPr>
        <w:footnoteRef/>
      </w:r>
      <w:r>
        <w:rPr>
          <w:rFonts w:ascii="Traditional Arabic" w:hAnsi="Traditional Arabic"/>
          <w:sz w:val="32"/>
          <w:szCs w:val="32"/>
          <w:rtl/>
        </w:rPr>
        <w:t xml:space="preserve">) </w:t>
      </w:r>
      <w:r>
        <w:rPr>
          <w:rFonts w:ascii="Traditional Arabic" w:hAnsi="Traditional Arabic" w:hint="cs"/>
          <w:sz w:val="32"/>
          <w:szCs w:val="32"/>
          <w:rtl/>
        </w:rPr>
        <w:t xml:space="preserve">هو التابعي الإمام, </w:t>
      </w:r>
      <w:r w:rsidRPr="004B340C">
        <w:rPr>
          <w:rFonts w:ascii="Traditional Arabic" w:hAnsi="Traditional Arabic" w:hint="cs"/>
          <w:sz w:val="32"/>
          <w:szCs w:val="32"/>
          <w:rtl/>
        </w:rPr>
        <w:t>أبو إسحاق</w:t>
      </w:r>
      <w:r>
        <w:rPr>
          <w:rFonts w:ascii="Traditional Arabic" w:hAnsi="Traditional Arabic" w:hint="cs"/>
          <w:sz w:val="32"/>
          <w:szCs w:val="32"/>
          <w:rtl/>
        </w:rPr>
        <w:t>,</w:t>
      </w:r>
      <w:r w:rsidRPr="004B340C">
        <w:rPr>
          <w:rFonts w:ascii="Traditional Arabic" w:hAnsi="Traditional Arabic" w:hint="cs"/>
          <w:sz w:val="32"/>
          <w:szCs w:val="32"/>
          <w:rtl/>
        </w:rPr>
        <w:t xml:space="preserve"> كعب بن ماتع الحميريُّ اليمانيٌ، المعروف بكعب الأحبار، كان من أحبار اليهود؛ ثمُّ أسلم بعد وفاة الرسول</w:t>
      </w:r>
      <w:r w:rsidRPr="004B340C">
        <w:rPr>
          <w:rFonts w:ascii="Traditional Arabic" w:hAnsi="Traditional Arabic" w:hint="cs"/>
          <w:sz w:val="32"/>
          <w:szCs w:val="32"/>
        </w:rPr>
        <w:sym w:font="AGA Arabesque" w:char="F072"/>
      </w:r>
      <w:r w:rsidRPr="004B340C">
        <w:rPr>
          <w:rFonts w:ascii="Traditional Arabic" w:hAnsi="Traditional Arabic" w:hint="cs"/>
          <w:sz w:val="32"/>
          <w:szCs w:val="32"/>
          <w:rtl/>
        </w:rPr>
        <w:t>، خبيرٌ بكتب اليهود، له ذوق في معرفة صحيحها من باطلها</w:t>
      </w:r>
      <w:r>
        <w:rPr>
          <w:rFonts w:ascii="Traditional Arabic" w:hAnsi="Traditional Arabic" w:hint="cs"/>
          <w:sz w:val="32"/>
          <w:szCs w:val="32"/>
          <w:rtl/>
        </w:rPr>
        <w:t>,</w:t>
      </w:r>
      <w:r w:rsidRPr="004B340C">
        <w:rPr>
          <w:rFonts w:ascii="Traditional Arabic" w:hAnsi="Traditional Arabic" w:hint="cs"/>
          <w:sz w:val="32"/>
          <w:szCs w:val="32"/>
          <w:rtl/>
        </w:rPr>
        <w:t xml:space="preserve"> (</w:t>
      </w:r>
      <w:r>
        <w:rPr>
          <w:rFonts w:ascii="Traditional Arabic" w:hAnsi="Traditional Arabic" w:hint="cs"/>
          <w:sz w:val="32"/>
          <w:szCs w:val="32"/>
          <w:rtl/>
        </w:rPr>
        <w:t>ت32ه), وقيل غير ذلك.</w:t>
      </w:r>
      <w:r w:rsidRPr="004B340C">
        <w:rPr>
          <w:rFonts w:ascii="Traditional Arabic" w:hAnsi="Traditional Arabic" w:hint="cs"/>
          <w:sz w:val="32"/>
          <w:szCs w:val="32"/>
          <w:rtl/>
        </w:rPr>
        <w:t xml:space="preserve"> انظر: </w:t>
      </w:r>
      <w:r w:rsidRPr="004B340C">
        <w:rPr>
          <w:rFonts w:ascii="Traditional Arabic" w:hAnsi="Traditional Arabic"/>
          <w:sz w:val="32"/>
          <w:szCs w:val="32"/>
          <w:rtl/>
        </w:rPr>
        <w:t>تهذيب التهذيب (8/438)،</w:t>
      </w:r>
      <w:r w:rsidRPr="004B340C">
        <w:rPr>
          <w:rFonts w:ascii="Traditional Arabic" w:hAnsi="Traditional Arabic" w:hint="cs"/>
          <w:sz w:val="32"/>
          <w:szCs w:val="32"/>
          <w:rtl/>
        </w:rPr>
        <w:t xml:space="preserve"> </w:t>
      </w:r>
      <w:r w:rsidRPr="004B340C">
        <w:rPr>
          <w:rFonts w:ascii="Traditional Arabic" w:hAnsi="Traditional Arabic"/>
          <w:sz w:val="32"/>
          <w:szCs w:val="32"/>
          <w:rtl/>
        </w:rPr>
        <w:t>سير أعلام النبلاء (3/489)</w:t>
      </w:r>
      <w:r>
        <w:rPr>
          <w:rFonts w:ascii="Traditional Arabic" w:hAnsi="Traditional Arabic" w:hint="cs"/>
          <w:sz w:val="32"/>
          <w:szCs w:val="32"/>
          <w:rtl/>
        </w:rPr>
        <w:t>.</w:t>
      </w:r>
    </w:p>
  </w:footnote>
  <w:footnote w:id="929">
    <w:p w:rsidR="003F128F" w:rsidRPr="00484F74" w:rsidRDefault="003F128F" w:rsidP="00791DC8">
      <w:pPr>
        <w:pStyle w:val="af3"/>
        <w:rPr>
          <w:rFonts w:ascii="Traditional Arabic" w:hAnsi="Traditional Arabic"/>
          <w:sz w:val="32"/>
          <w:szCs w:val="32"/>
        </w:rPr>
      </w:pPr>
      <w:r w:rsidRPr="00484F74">
        <w:rPr>
          <w:rFonts w:ascii="Traditional Arabic" w:hAnsi="Traditional Arabic"/>
          <w:sz w:val="32"/>
          <w:szCs w:val="32"/>
          <w:rtl/>
        </w:rPr>
        <w:t>(</w:t>
      </w:r>
      <w:r w:rsidRPr="00484F74">
        <w:rPr>
          <w:rStyle w:val="ae"/>
          <w:rFonts w:ascii="Traditional Arabic" w:hAnsi="Traditional Arabic"/>
          <w:sz w:val="32"/>
          <w:szCs w:val="32"/>
          <w:vertAlign w:val="baseline"/>
        </w:rPr>
        <w:footnoteRef/>
      </w:r>
      <w:r>
        <w:rPr>
          <w:rFonts w:ascii="Traditional Arabic" w:hAnsi="Traditional Arabic"/>
          <w:sz w:val="32"/>
          <w:szCs w:val="32"/>
          <w:rtl/>
        </w:rPr>
        <w:t>)</w:t>
      </w:r>
      <w:r w:rsidRPr="00484F74">
        <w:rPr>
          <w:rFonts w:ascii="Traditional Arabic" w:hAnsi="Traditional Arabic"/>
          <w:sz w:val="32"/>
          <w:szCs w:val="32"/>
          <w:rtl/>
        </w:rPr>
        <w:t xml:space="preserve"> تفسير عبد الرزاق (</w:t>
      </w:r>
      <w:r>
        <w:rPr>
          <w:rFonts w:ascii="Traditional Arabic" w:hAnsi="Traditional Arabic" w:hint="cs"/>
          <w:sz w:val="32"/>
          <w:szCs w:val="32"/>
          <w:rtl/>
        </w:rPr>
        <w:t>2</w:t>
      </w:r>
      <w:r>
        <w:rPr>
          <w:rFonts w:ascii="Traditional Arabic" w:hAnsi="Traditional Arabic"/>
          <w:sz w:val="32"/>
          <w:szCs w:val="32"/>
          <w:rtl/>
        </w:rPr>
        <w:t>/325), تفسير الطبري (17/602)</w:t>
      </w:r>
      <w:r>
        <w:rPr>
          <w:rFonts w:ascii="Traditional Arabic" w:hAnsi="Traditional Arabic" w:hint="cs"/>
          <w:sz w:val="32"/>
          <w:szCs w:val="32"/>
          <w:rtl/>
        </w:rPr>
        <w:t>.</w:t>
      </w:r>
    </w:p>
  </w:footnote>
  <w:footnote w:id="930">
    <w:p w:rsidR="003F128F" w:rsidRPr="00484F74" w:rsidRDefault="003F128F" w:rsidP="005C21CD">
      <w:pPr>
        <w:pStyle w:val="af3"/>
        <w:rPr>
          <w:rFonts w:ascii="Traditional Arabic" w:hAnsi="Traditional Arabic"/>
          <w:sz w:val="32"/>
          <w:szCs w:val="32"/>
        </w:rPr>
      </w:pPr>
      <w:r w:rsidRPr="00484F74">
        <w:rPr>
          <w:rFonts w:ascii="Traditional Arabic" w:hAnsi="Traditional Arabic"/>
          <w:sz w:val="32"/>
          <w:szCs w:val="32"/>
          <w:rtl/>
        </w:rPr>
        <w:t>(</w:t>
      </w:r>
      <w:r w:rsidRPr="00484F74">
        <w:rPr>
          <w:rStyle w:val="ae"/>
          <w:rFonts w:ascii="Traditional Arabic" w:hAnsi="Traditional Arabic"/>
          <w:sz w:val="32"/>
          <w:szCs w:val="32"/>
          <w:vertAlign w:val="baseline"/>
        </w:rPr>
        <w:footnoteRef/>
      </w:r>
      <w:r w:rsidRPr="00484F74">
        <w:rPr>
          <w:rFonts w:ascii="Traditional Arabic" w:hAnsi="Traditional Arabic"/>
          <w:sz w:val="32"/>
          <w:szCs w:val="32"/>
          <w:rtl/>
        </w:rPr>
        <w:t>) أخرجه الطبري في تفسيره (17/603) عن ابن عباس. وانظر: النكت والعيون (3/286).</w:t>
      </w:r>
    </w:p>
  </w:footnote>
  <w:footnote w:id="931">
    <w:p w:rsidR="003F128F" w:rsidRPr="00484F74" w:rsidRDefault="003F128F" w:rsidP="00AA150E">
      <w:pPr>
        <w:pStyle w:val="af3"/>
        <w:rPr>
          <w:rFonts w:ascii="Traditional Arabic" w:hAnsi="Traditional Arabic"/>
          <w:sz w:val="32"/>
          <w:szCs w:val="32"/>
        </w:rPr>
      </w:pPr>
      <w:r w:rsidRPr="00484F74">
        <w:rPr>
          <w:rFonts w:ascii="Traditional Arabic" w:hAnsi="Traditional Arabic"/>
          <w:sz w:val="32"/>
          <w:szCs w:val="32"/>
          <w:rtl/>
        </w:rPr>
        <w:t>(</w:t>
      </w:r>
      <w:r w:rsidRPr="00484F74">
        <w:rPr>
          <w:rStyle w:val="ae"/>
          <w:rFonts w:ascii="Traditional Arabic" w:hAnsi="Traditional Arabic"/>
          <w:sz w:val="32"/>
          <w:szCs w:val="32"/>
          <w:vertAlign w:val="baseline"/>
        </w:rPr>
        <w:footnoteRef/>
      </w:r>
      <w:r w:rsidRPr="00484F74">
        <w:rPr>
          <w:rFonts w:ascii="Traditional Arabic" w:hAnsi="Traditional Arabic"/>
          <w:sz w:val="32"/>
          <w:szCs w:val="32"/>
          <w:rtl/>
        </w:rPr>
        <w:t xml:space="preserve">) الذي </w:t>
      </w:r>
      <w:r>
        <w:rPr>
          <w:rFonts w:ascii="Traditional Arabic" w:hAnsi="Traditional Arabic" w:hint="cs"/>
          <w:sz w:val="32"/>
          <w:szCs w:val="32"/>
          <w:rtl/>
        </w:rPr>
        <w:t>وقفت عليه</w:t>
      </w:r>
      <w:r w:rsidRPr="00484F74">
        <w:rPr>
          <w:rFonts w:ascii="Traditional Arabic" w:hAnsi="Traditional Arabic"/>
          <w:sz w:val="32"/>
          <w:szCs w:val="32"/>
          <w:rtl/>
        </w:rPr>
        <w:t xml:space="preserve"> عن عطية أنه قال في الرقيم:</w:t>
      </w:r>
      <w:r w:rsidRPr="00484F74">
        <w:rPr>
          <w:rFonts w:ascii="Traditional Arabic" w:hAnsi="Traditional Arabic"/>
          <w:sz w:val="32"/>
          <w:szCs w:val="32"/>
          <w:rtl/>
          <w:lang w:eastAsia="en-US"/>
        </w:rPr>
        <w:t xml:space="preserve"> </w:t>
      </w:r>
      <w:r w:rsidRPr="00484F74">
        <w:rPr>
          <w:rFonts w:ascii="Traditional Arabic" w:hAnsi="Traditional Arabic"/>
          <w:sz w:val="32"/>
          <w:szCs w:val="32"/>
          <w:rtl/>
        </w:rPr>
        <w:t>"الوادي الذي فيه أصحاب الكهف". انظر: تفسير الطبري (17/602), الهداية (6/4325), النكت والعيون (3/286).</w:t>
      </w:r>
    </w:p>
  </w:footnote>
  <w:footnote w:id="932">
    <w:p w:rsidR="003F128F" w:rsidRPr="00484F74" w:rsidRDefault="003F128F" w:rsidP="00144946">
      <w:pPr>
        <w:pStyle w:val="af3"/>
        <w:rPr>
          <w:rFonts w:ascii="Traditional Arabic" w:hAnsi="Traditional Arabic"/>
          <w:sz w:val="32"/>
          <w:szCs w:val="32"/>
        </w:rPr>
      </w:pPr>
      <w:r w:rsidRPr="00484F74">
        <w:rPr>
          <w:rFonts w:ascii="Traditional Arabic" w:hAnsi="Traditional Arabic"/>
          <w:sz w:val="32"/>
          <w:szCs w:val="32"/>
          <w:rtl/>
        </w:rPr>
        <w:t>(</w:t>
      </w:r>
      <w:r w:rsidRPr="00484F74">
        <w:rPr>
          <w:rStyle w:val="ae"/>
          <w:rFonts w:ascii="Traditional Arabic" w:hAnsi="Traditional Arabic"/>
          <w:sz w:val="32"/>
          <w:szCs w:val="32"/>
          <w:vertAlign w:val="baseline"/>
        </w:rPr>
        <w:footnoteRef/>
      </w:r>
      <w:r>
        <w:rPr>
          <w:rFonts w:ascii="Traditional Arabic" w:hAnsi="Traditional Arabic"/>
          <w:sz w:val="32"/>
          <w:szCs w:val="32"/>
          <w:rtl/>
        </w:rPr>
        <w:t>) الدَّوَاة</w:t>
      </w:r>
      <w:r w:rsidRPr="00484F74">
        <w:rPr>
          <w:rFonts w:ascii="Traditional Arabic" w:hAnsi="Traditional Arabic"/>
          <w:sz w:val="32"/>
          <w:szCs w:val="32"/>
          <w:rtl/>
        </w:rPr>
        <w:t xml:space="preserve"> بالفتح</w:t>
      </w:r>
      <w:r>
        <w:rPr>
          <w:rFonts w:ascii="Traditional Arabic" w:hAnsi="Traditional Arabic" w:hint="cs"/>
          <w:sz w:val="32"/>
          <w:szCs w:val="32"/>
          <w:rtl/>
        </w:rPr>
        <w:t>:</w:t>
      </w:r>
      <w:r w:rsidRPr="00484F74">
        <w:rPr>
          <w:rFonts w:ascii="Traditional Arabic" w:hAnsi="Traditional Arabic"/>
          <w:sz w:val="32"/>
          <w:szCs w:val="32"/>
          <w:rtl/>
        </w:rPr>
        <w:t xml:space="preserve"> المَحْبَرَة. انظر: مختار الصحاح (ص110)</w:t>
      </w:r>
      <w:r>
        <w:rPr>
          <w:rFonts w:ascii="Traditional Arabic" w:hAnsi="Traditional Arabic" w:hint="cs"/>
          <w:sz w:val="32"/>
          <w:szCs w:val="32"/>
          <w:rtl/>
        </w:rPr>
        <w:t xml:space="preserve"> مادة (دوى)</w:t>
      </w:r>
      <w:r w:rsidRPr="00484F74">
        <w:rPr>
          <w:rFonts w:ascii="Traditional Arabic" w:hAnsi="Traditional Arabic"/>
          <w:sz w:val="32"/>
          <w:szCs w:val="32"/>
          <w:rtl/>
        </w:rPr>
        <w:t>.</w:t>
      </w:r>
    </w:p>
  </w:footnote>
  <w:footnote w:id="933">
    <w:p w:rsidR="003F128F" w:rsidRPr="00484F74" w:rsidRDefault="003F128F" w:rsidP="005C21CD">
      <w:pPr>
        <w:pStyle w:val="af3"/>
        <w:rPr>
          <w:rFonts w:ascii="Traditional Arabic" w:hAnsi="Traditional Arabic"/>
          <w:sz w:val="32"/>
          <w:szCs w:val="32"/>
        </w:rPr>
      </w:pPr>
      <w:r w:rsidRPr="00484F74">
        <w:rPr>
          <w:rFonts w:ascii="Traditional Arabic" w:hAnsi="Traditional Arabic"/>
          <w:sz w:val="32"/>
          <w:szCs w:val="32"/>
          <w:rtl/>
        </w:rPr>
        <w:t>(</w:t>
      </w:r>
      <w:r w:rsidRPr="00484F74">
        <w:rPr>
          <w:rStyle w:val="ae"/>
          <w:rFonts w:ascii="Traditional Arabic" w:hAnsi="Traditional Arabic"/>
          <w:sz w:val="32"/>
          <w:szCs w:val="32"/>
          <w:vertAlign w:val="baseline"/>
        </w:rPr>
        <w:footnoteRef/>
      </w:r>
      <w:r w:rsidRPr="00484F74">
        <w:rPr>
          <w:rFonts w:ascii="Traditional Arabic" w:hAnsi="Traditional Arabic"/>
          <w:sz w:val="32"/>
          <w:szCs w:val="32"/>
          <w:rtl/>
        </w:rPr>
        <w:t xml:space="preserve">) انظر: الهداية (6/4329), المحرر الوجيز (3/498). </w:t>
      </w:r>
    </w:p>
  </w:footnote>
  <w:footnote w:id="934">
    <w:p w:rsidR="003F128F" w:rsidRPr="00484F74" w:rsidRDefault="003F128F" w:rsidP="005C21CD">
      <w:pPr>
        <w:pStyle w:val="af3"/>
        <w:rPr>
          <w:rFonts w:ascii="Traditional Arabic" w:hAnsi="Traditional Arabic"/>
          <w:sz w:val="32"/>
          <w:szCs w:val="32"/>
        </w:rPr>
      </w:pPr>
      <w:r w:rsidRPr="00484F74">
        <w:rPr>
          <w:rFonts w:ascii="Traditional Arabic" w:hAnsi="Traditional Arabic"/>
          <w:sz w:val="32"/>
          <w:szCs w:val="32"/>
          <w:rtl/>
        </w:rPr>
        <w:t>(</w:t>
      </w:r>
      <w:r w:rsidRPr="00484F74">
        <w:rPr>
          <w:rStyle w:val="ae"/>
          <w:rFonts w:ascii="Traditional Arabic" w:hAnsi="Traditional Arabic"/>
          <w:sz w:val="32"/>
          <w:szCs w:val="32"/>
          <w:vertAlign w:val="baseline"/>
        </w:rPr>
        <w:footnoteRef/>
      </w:r>
      <w:r w:rsidRPr="00484F74">
        <w:rPr>
          <w:rFonts w:ascii="Traditional Arabic" w:hAnsi="Traditional Arabic"/>
          <w:sz w:val="32"/>
          <w:szCs w:val="32"/>
          <w:rtl/>
        </w:rPr>
        <w:t>) ذكر الماوردي في النكت والعيون هذا القول ونسبه لأبي صالح (3/287).</w:t>
      </w:r>
    </w:p>
  </w:footnote>
  <w:footnote w:id="935">
    <w:p w:rsidR="003F128F" w:rsidRPr="004C18ED" w:rsidRDefault="003F128F" w:rsidP="00556FED">
      <w:pPr>
        <w:pStyle w:val="af3"/>
        <w:rPr>
          <w:rFonts w:ascii="Traditional Arabic" w:hAnsi="Traditional Arabic"/>
          <w:sz w:val="32"/>
          <w:szCs w:val="32"/>
        </w:rPr>
      </w:pPr>
      <w:r w:rsidRPr="004C18ED">
        <w:rPr>
          <w:rFonts w:ascii="Traditional Arabic" w:hAnsi="Traditional Arabic"/>
          <w:sz w:val="32"/>
          <w:szCs w:val="32"/>
          <w:rtl/>
        </w:rPr>
        <w:t>(</w:t>
      </w:r>
      <w:r w:rsidRPr="004C18ED">
        <w:rPr>
          <w:rStyle w:val="ae"/>
          <w:rFonts w:ascii="Traditional Arabic" w:hAnsi="Traditional Arabic"/>
          <w:sz w:val="32"/>
          <w:szCs w:val="32"/>
          <w:vertAlign w:val="baseline"/>
        </w:rPr>
        <w:footnoteRef/>
      </w:r>
      <w:r w:rsidRPr="004C18ED">
        <w:rPr>
          <w:rFonts w:ascii="Traditional Arabic" w:hAnsi="Traditional Arabic"/>
          <w:sz w:val="32"/>
          <w:szCs w:val="32"/>
          <w:rtl/>
        </w:rPr>
        <w:t xml:space="preserve">) النكت والعيون (3/287), وهو قول أنس بن مالك </w:t>
      </w:r>
      <w:r w:rsidRPr="004C18ED">
        <w:rPr>
          <w:rFonts w:ascii="Traditional Arabic" w:hAnsi="Traditional Arabic"/>
          <w:sz w:val="32"/>
          <w:szCs w:val="32"/>
        </w:rPr>
        <w:t xml:space="preserve"> </w:t>
      </w:r>
      <w:r w:rsidRPr="004C18ED">
        <w:rPr>
          <w:rFonts w:ascii="Traditional Arabic" w:hAnsi="Traditional Arabic"/>
          <w:sz w:val="32"/>
          <w:szCs w:val="32"/>
        </w:rPr>
        <w:sym w:font="AGA Arabesque" w:char="F074"/>
      </w:r>
      <w:r w:rsidRPr="004C18ED">
        <w:rPr>
          <w:rFonts w:ascii="Traditional Arabic" w:hAnsi="Traditional Arabic"/>
          <w:sz w:val="32"/>
          <w:szCs w:val="32"/>
          <w:rtl/>
        </w:rPr>
        <w:t>وغيره. انظر: الهداية (6/4329)</w:t>
      </w:r>
      <w:r>
        <w:rPr>
          <w:rFonts w:ascii="Traditional Arabic" w:hAnsi="Traditional Arabic" w:hint="cs"/>
          <w:sz w:val="32"/>
          <w:szCs w:val="32"/>
          <w:rtl/>
        </w:rPr>
        <w:t>.</w:t>
      </w:r>
    </w:p>
  </w:footnote>
  <w:footnote w:id="936">
    <w:p w:rsidR="003F128F" w:rsidRPr="004C18ED" w:rsidRDefault="003F128F" w:rsidP="005C21CD">
      <w:pPr>
        <w:pStyle w:val="af3"/>
        <w:rPr>
          <w:rFonts w:ascii="Traditional Arabic" w:hAnsi="Traditional Arabic"/>
          <w:sz w:val="32"/>
          <w:szCs w:val="32"/>
        </w:rPr>
      </w:pPr>
      <w:r w:rsidRPr="004C18ED">
        <w:rPr>
          <w:rFonts w:ascii="Traditional Arabic" w:hAnsi="Traditional Arabic"/>
          <w:sz w:val="32"/>
          <w:szCs w:val="32"/>
          <w:rtl/>
        </w:rPr>
        <w:t>(</w:t>
      </w:r>
      <w:r w:rsidRPr="004C18ED">
        <w:rPr>
          <w:rStyle w:val="ae"/>
          <w:rFonts w:ascii="Traditional Arabic" w:hAnsi="Traditional Arabic"/>
          <w:sz w:val="32"/>
          <w:szCs w:val="32"/>
          <w:vertAlign w:val="baseline"/>
        </w:rPr>
        <w:footnoteRef/>
      </w:r>
      <w:r w:rsidRPr="004C18ED">
        <w:rPr>
          <w:rFonts w:ascii="Traditional Arabic" w:hAnsi="Traditional Arabic"/>
          <w:sz w:val="32"/>
          <w:szCs w:val="32"/>
          <w:rtl/>
        </w:rPr>
        <w:t>) تفسير الطبري (17/602), الهداية (6/4328).</w:t>
      </w:r>
    </w:p>
  </w:footnote>
  <w:footnote w:id="937">
    <w:p w:rsidR="003F128F" w:rsidRPr="004C18ED" w:rsidRDefault="003F128F" w:rsidP="005C21CD">
      <w:pPr>
        <w:pStyle w:val="af3"/>
        <w:rPr>
          <w:rFonts w:ascii="Traditional Arabic" w:hAnsi="Traditional Arabic"/>
          <w:sz w:val="32"/>
          <w:szCs w:val="32"/>
        </w:rPr>
      </w:pPr>
      <w:r w:rsidRPr="004C18ED">
        <w:rPr>
          <w:rFonts w:ascii="Traditional Arabic" w:hAnsi="Traditional Arabic"/>
          <w:sz w:val="32"/>
          <w:szCs w:val="32"/>
          <w:rtl/>
        </w:rPr>
        <w:t>(</w:t>
      </w:r>
      <w:r w:rsidRPr="004C18ED">
        <w:rPr>
          <w:rStyle w:val="ae"/>
          <w:rFonts w:ascii="Traditional Arabic" w:hAnsi="Traditional Arabic"/>
          <w:sz w:val="32"/>
          <w:szCs w:val="32"/>
          <w:vertAlign w:val="baseline"/>
        </w:rPr>
        <w:footnoteRef/>
      </w:r>
      <w:r w:rsidRPr="004C18ED">
        <w:rPr>
          <w:rFonts w:ascii="Traditional Arabic" w:hAnsi="Traditional Arabic"/>
          <w:sz w:val="32"/>
          <w:szCs w:val="32"/>
          <w:rtl/>
        </w:rPr>
        <w:t>) تفسير الطبري (17/602), النكت والعيون (3/286).</w:t>
      </w:r>
    </w:p>
  </w:footnote>
  <w:footnote w:id="938">
    <w:p w:rsidR="003F128F" w:rsidRPr="002E33E2" w:rsidRDefault="003F128F" w:rsidP="005C21CD">
      <w:pPr>
        <w:pStyle w:val="af3"/>
        <w:rPr>
          <w:rFonts w:ascii="Traditional Arabic" w:hAnsi="Traditional Arabic"/>
          <w:sz w:val="32"/>
          <w:szCs w:val="32"/>
        </w:rPr>
      </w:pPr>
      <w:r w:rsidRPr="002E33E2">
        <w:rPr>
          <w:rFonts w:ascii="Traditional Arabic" w:hAnsi="Traditional Arabic"/>
          <w:sz w:val="32"/>
          <w:szCs w:val="32"/>
          <w:rtl/>
        </w:rPr>
        <w:t>(</w:t>
      </w:r>
      <w:r w:rsidRPr="002E33E2">
        <w:rPr>
          <w:rStyle w:val="ae"/>
          <w:rFonts w:ascii="Traditional Arabic" w:hAnsi="Traditional Arabic"/>
          <w:sz w:val="32"/>
          <w:szCs w:val="32"/>
          <w:vertAlign w:val="baseline"/>
        </w:rPr>
        <w:footnoteRef/>
      </w:r>
      <w:r w:rsidRPr="002E33E2">
        <w:rPr>
          <w:rFonts w:ascii="Traditional Arabic" w:hAnsi="Traditional Arabic"/>
          <w:sz w:val="32"/>
          <w:szCs w:val="32"/>
          <w:rtl/>
        </w:rPr>
        <w:t>) انظر: تفسير الطبري (17/600), معاني القرآن وإعرابه (3/270).</w:t>
      </w:r>
    </w:p>
  </w:footnote>
  <w:footnote w:id="939">
    <w:p w:rsidR="003F128F" w:rsidRPr="002E33E2" w:rsidRDefault="003F128F" w:rsidP="00791DC8">
      <w:pPr>
        <w:pStyle w:val="af3"/>
        <w:rPr>
          <w:rFonts w:ascii="Traditional Arabic" w:hAnsi="Traditional Arabic"/>
          <w:sz w:val="32"/>
          <w:szCs w:val="32"/>
        </w:rPr>
      </w:pPr>
      <w:r w:rsidRPr="002E33E2">
        <w:rPr>
          <w:rFonts w:ascii="Traditional Arabic" w:hAnsi="Traditional Arabic"/>
          <w:sz w:val="32"/>
          <w:szCs w:val="32"/>
          <w:rtl/>
        </w:rPr>
        <w:t>(</w:t>
      </w:r>
      <w:r w:rsidRPr="002E33E2">
        <w:rPr>
          <w:rStyle w:val="ae"/>
          <w:rFonts w:ascii="Traditional Arabic" w:hAnsi="Traditional Arabic"/>
          <w:sz w:val="32"/>
          <w:szCs w:val="32"/>
          <w:vertAlign w:val="baseline"/>
        </w:rPr>
        <w:footnoteRef/>
      </w:r>
      <w:r>
        <w:rPr>
          <w:rFonts w:ascii="Traditional Arabic" w:hAnsi="Traditional Arabic"/>
          <w:sz w:val="32"/>
          <w:szCs w:val="32"/>
          <w:rtl/>
        </w:rPr>
        <w:t>) في</w:t>
      </w:r>
      <w:r>
        <w:rPr>
          <w:rFonts w:ascii="Traditional Arabic" w:hAnsi="Traditional Arabic" w:hint="cs"/>
          <w:sz w:val="32"/>
          <w:szCs w:val="32"/>
          <w:rtl/>
        </w:rPr>
        <w:t xml:space="preserve"> (م)</w:t>
      </w:r>
      <w:r>
        <w:rPr>
          <w:rFonts w:ascii="Traditional Arabic" w:hAnsi="Traditional Arabic"/>
          <w:sz w:val="32"/>
          <w:szCs w:val="32"/>
          <w:rtl/>
        </w:rPr>
        <w:t xml:space="preserve"> </w:t>
      </w:r>
      <w:r>
        <w:rPr>
          <w:rFonts w:ascii="Traditional Arabic" w:hAnsi="Traditional Arabic" w:hint="cs"/>
          <w:sz w:val="32"/>
          <w:szCs w:val="32"/>
          <w:rtl/>
        </w:rPr>
        <w:t>[</w:t>
      </w:r>
      <w:r>
        <w:rPr>
          <w:rFonts w:ascii="Traditional Arabic" w:hAnsi="Traditional Arabic"/>
          <w:sz w:val="32"/>
          <w:szCs w:val="32"/>
          <w:rtl/>
        </w:rPr>
        <w:t>قال</w:t>
      </w:r>
      <w:r>
        <w:rPr>
          <w:rFonts w:ascii="Traditional Arabic" w:hAnsi="Traditional Arabic" w:hint="cs"/>
          <w:sz w:val="32"/>
          <w:szCs w:val="32"/>
          <w:rtl/>
        </w:rPr>
        <w:t>]</w:t>
      </w:r>
      <w:r>
        <w:rPr>
          <w:rFonts w:ascii="Traditional Arabic" w:hAnsi="Traditional Arabic"/>
          <w:sz w:val="32"/>
          <w:szCs w:val="32"/>
          <w:rtl/>
        </w:rPr>
        <w:t xml:space="preserve"> بدل </w:t>
      </w:r>
      <w:r>
        <w:rPr>
          <w:rFonts w:ascii="Traditional Arabic" w:hAnsi="Traditional Arabic" w:hint="cs"/>
          <w:sz w:val="32"/>
          <w:szCs w:val="32"/>
          <w:rtl/>
        </w:rPr>
        <w:t>[</w:t>
      </w:r>
      <w:r>
        <w:rPr>
          <w:rFonts w:ascii="Traditional Arabic" w:hAnsi="Traditional Arabic"/>
          <w:sz w:val="32"/>
          <w:szCs w:val="32"/>
          <w:rtl/>
        </w:rPr>
        <w:t>وقال</w:t>
      </w:r>
      <w:r>
        <w:rPr>
          <w:rFonts w:ascii="Traditional Arabic" w:hAnsi="Traditional Arabic" w:hint="cs"/>
          <w:sz w:val="32"/>
          <w:szCs w:val="32"/>
          <w:rtl/>
        </w:rPr>
        <w:t>]</w:t>
      </w:r>
      <w:r w:rsidRPr="002E33E2">
        <w:rPr>
          <w:rFonts w:ascii="Traditional Arabic" w:hAnsi="Traditional Arabic"/>
          <w:sz w:val="32"/>
          <w:szCs w:val="32"/>
          <w:rtl/>
        </w:rPr>
        <w:t>.</w:t>
      </w:r>
    </w:p>
  </w:footnote>
  <w:footnote w:id="940">
    <w:p w:rsidR="003F128F" w:rsidRPr="002E33E2" w:rsidRDefault="003F128F" w:rsidP="005C21CD">
      <w:pPr>
        <w:pStyle w:val="af3"/>
        <w:rPr>
          <w:rFonts w:ascii="Traditional Arabic" w:hAnsi="Traditional Arabic"/>
          <w:sz w:val="32"/>
          <w:szCs w:val="32"/>
        </w:rPr>
      </w:pPr>
      <w:r w:rsidRPr="002E33E2">
        <w:rPr>
          <w:rFonts w:ascii="Traditional Arabic" w:hAnsi="Traditional Arabic"/>
          <w:sz w:val="32"/>
          <w:szCs w:val="32"/>
          <w:rtl/>
        </w:rPr>
        <w:t>(</w:t>
      </w:r>
      <w:r w:rsidRPr="002E33E2">
        <w:rPr>
          <w:rStyle w:val="ae"/>
          <w:rFonts w:ascii="Traditional Arabic" w:hAnsi="Traditional Arabic"/>
          <w:sz w:val="32"/>
          <w:szCs w:val="32"/>
          <w:vertAlign w:val="baseline"/>
        </w:rPr>
        <w:footnoteRef/>
      </w:r>
      <w:r w:rsidRPr="002E33E2">
        <w:rPr>
          <w:rFonts w:ascii="Traditional Arabic" w:hAnsi="Traditional Arabic"/>
          <w:sz w:val="32"/>
          <w:szCs w:val="32"/>
          <w:rtl/>
        </w:rPr>
        <w:t>) انظر: تفسير الطبري (17/601), تفسير ابن أبي حاتم (7/2346).</w:t>
      </w:r>
    </w:p>
  </w:footnote>
  <w:footnote w:id="941">
    <w:p w:rsidR="003F128F" w:rsidRPr="002E33E2" w:rsidRDefault="003F128F" w:rsidP="005C21CD">
      <w:pPr>
        <w:pStyle w:val="af3"/>
        <w:rPr>
          <w:rFonts w:ascii="Traditional Arabic" w:hAnsi="Traditional Arabic"/>
          <w:sz w:val="32"/>
          <w:szCs w:val="32"/>
        </w:rPr>
      </w:pPr>
      <w:r w:rsidRPr="002E33E2">
        <w:rPr>
          <w:rFonts w:ascii="Traditional Arabic" w:hAnsi="Traditional Arabic"/>
          <w:sz w:val="32"/>
          <w:szCs w:val="32"/>
          <w:rtl/>
        </w:rPr>
        <w:t>(</w:t>
      </w:r>
      <w:r w:rsidRPr="002E33E2">
        <w:rPr>
          <w:rStyle w:val="ae"/>
          <w:rFonts w:ascii="Traditional Arabic" w:hAnsi="Traditional Arabic"/>
          <w:sz w:val="32"/>
          <w:szCs w:val="32"/>
          <w:vertAlign w:val="baseline"/>
        </w:rPr>
        <w:footnoteRef/>
      </w:r>
      <w:r w:rsidRPr="002E33E2">
        <w:rPr>
          <w:rFonts w:ascii="Traditional Arabic" w:hAnsi="Traditional Arabic"/>
          <w:sz w:val="32"/>
          <w:szCs w:val="32"/>
          <w:rtl/>
        </w:rPr>
        <w:t xml:space="preserve">) معاني القرآن وإعرابه (3/270). </w:t>
      </w:r>
    </w:p>
  </w:footnote>
  <w:footnote w:id="942">
    <w:p w:rsidR="003F128F" w:rsidRPr="002E33E2" w:rsidRDefault="003F128F" w:rsidP="00791DC8">
      <w:pPr>
        <w:pStyle w:val="af3"/>
        <w:rPr>
          <w:rFonts w:ascii="Traditional Arabic" w:hAnsi="Traditional Arabic"/>
          <w:sz w:val="32"/>
          <w:szCs w:val="32"/>
        </w:rPr>
      </w:pPr>
      <w:r w:rsidRPr="002E33E2">
        <w:rPr>
          <w:rFonts w:ascii="Traditional Arabic" w:hAnsi="Traditional Arabic"/>
          <w:sz w:val="32"/>
          <w:szCs w:val="32"/>
          <w:rtl/>
        </w:rPr>
        <w:t>(</w:t>
      </w:r>
      <w:r w:rsidRPr="002E33E2">
        <w:rPr>
          <w:rStyle w:val="ae"/>
          <w:rFonts w:ascii="Traditional Arabic" w:hAnsi="Traditional Arabic"/>
          <w:sz w:val="32"/>
          <w:szCs w:val="32"/>
          <w:vertAlign w:val="baseline"/>
        </w:rPr>
        <w:footnoteRef/>
      </w:r>
      <w:r>
        <w:rPr>
          <w:rFonts w:ascii="Traditional Arabic" w:hAnsi="Traditional Arabic"/>
          <w:sz w:val="32"/>
          <w:szCs w:val="32"/>
          <w:rtl/>
        </w:rPr>
        <w:t>) في (</w:t>
      </w:r>
      <w:r>
        <w:rPr>
          <w:rFonts w:ascii="Traditional Arabic" w:hAnsi="Traditional Arabic" w:hint="cs"/>
          <w:sz w:val="32"/>
          <w:szCs w:val="32"/>
          <w:rtl/>
        </w:rPr>
        <w:t>ك</w:t>
      </w:r>
      <w:r>
        <w:rPr>
          <w:rFonts w:ascii="Traditional Arabic" w:hAnsi="Traditional Arabic"/>
          <w:sz w:val="32"/>
          <w:szCs w:val="32"/>
          <w:rtl/>
        </w:rPr>
        <w:t xml:space="preserve">): </w:t>
      </w:r>
      <w:r>
        <w:rPr>
          <w:rFonts w:ascii="Traditional Arabic" w:hAnsi="Traditional Arabic" w:hint="cs"/>
          <w:sz w:val="32"/>
          <w:szCs w:val="32"/>
          <w:rtl/>
        </w:rPr>
        <w:t>[</w:t>
      </w:r>
      <w:r>
        <w:rPr>
          <w:rFonts w:ascii="Traditional Arabic" w:hAnsi="Traditional Arabic"/>
          <w:sz w:val="32"/>
          <w:szCs w:val="32"/>
          <w:rtl/>
        </w:rPr>
        <w:t>قال</w:t>
      </w:r>
      <w:r>
        <w:rPr>
          <w:rFonts w:ascii="Traditional Arabic" w:hAnsi="Traditional Arabic" w:hint="cs"/>
          <w:sz w:val="32"/>
          <w:szCs w:val="32"/>
          <w:rtl/>
        </w:rPr>
        <w:t>]</w:t>
      </w:r>
      <w:r>
        <w:rPr>
          <w:rFonts w:ascii="Traditional Arabic" w:hAnsi="Traditional Arabic"/>
          <w:sz w:val="32"/>
          <w:szCs w:val="32"/>
          <w:rtl/>
        </w:rPr>
        <w:t xml:space="preserve"> بدل </w:t>
      </w:r>
      <w:r>
        <w:rPr>
          <w:rFonts w:ascii="Traditional Arabic" w:hAnsi="Traditional Arabic" w:hint="cs"/>
          <w:sz w:val="32"/>
          <w:szCs w:val="32"/>
          <w:rtl/>
        </w:rPr>
        <w:t>[</w:t>
      </w:r>
      <w:r>
        <w:rPr>
          <w:rFonts w:ascii="Traditional Arabic" w:hAnsi="Traditional Arabic"/>
          <w:sz w:val="32"/>
          <w:szCs w:val="32"/>
          <w:rtl/>
        </w:rPr>
        <w:t>وقال</w:t>
      </w:r>
      <w:r>
        <w:rPr>
          <w:rFonts w:ascii="Traditional Arabic" w:hAnsi="Traditional Arabic" w:hint="cs"/>
          <w:sz w:val="32"/>
          <w:szCs w:val="32"/>
          <w:rtl/>
        </w:rPr>
        <w:t>]</w:t>
      </w:r>
      <w:r w:rsidRPr="002E33E2">
        <w:rPr>
          <w:rFonts w:ascii="Traditional Arabic" w:hAnsi="Traditional Arabic"/>
          <w:sz w:val="32"/>
          <w:szCs w:val="32"/>
          <w:rtl/>
        </w:rPr>
        <w:t>.</w:t>
      </w:r>
    </w:p>
  </w:footnote>
  <w:footnote w:id="943">
    <w:p w:rsidR="003F128F" w:rsidRPr="002E33E2" w:rsidRDefault="003F128F" w:rsidP="005C21CD">
      <w:pPr>
        <w:pStyle w:val="af3"/>
        <w:rPr>
          <w:rFonts w:ascii="Traditional Arabic" w:hAnsi="Traditional Arabic"/>
          <w:sz w:val="32"/>
          <w:szCs w:val="32"/>
        </w:rPr>
      </w:pPr>
      <w:r w:rsidRPr="002E33E2">
        <w:rPr>
          <w:rFonts w:ascii="Traditional Arabic" w:hAnsi="Traditional Arabic"/>
          <w:sz w:val="32"/>
          <w:szCs w:val="32"/>
          <w:rtl/>
        </w:rPr>
        <w:t>(</w:t>
      </w:r>
      <w:r w:rsidRPr="002E33E2">
        <w:rPr>
          <w:rStyle w:val="ae"/>
          <w:rFonts w:ascii="Traditional Arabic" w:hAnsi="Traditional Arabic"/>
          <w:sz w:val="32"/>
          <w:szCs w:val="32"/>
          <w:vertAlign w:val="baseline"/>
        </w:rPr>
        <w:footnoteRef/>
      </w:r>
      <w:r w:rsidRPr="002E33E2">
        <w:rPr>
          <w:rFonts w:ascii="Traditional Arabic" w:hAnsi="Traditional Arabic"/>
          <w:sz w:val="32"/>
          <w:szCs w:val="32"/>
          <w:rtl/>
        </w:rPr>
        <w:t>) التفسير الوسيط (3/137).</w:t>
      </w:r>
    </w:p>
  </w:footnote>
  <w:footnote w:id="944">
    <w:p w:rsidR="003F128F" w:rsidRPr="002E33E2" w:rsidRDefault="003F128F" w:rsidP="005C21CD">
      <w:pPr>
        <w:pStyle w:val="af3"/>
        <w:rPr>
          <w:rFonts w:ascii="Traditional Arabic" w:hAnsi="Traditional Arabic"/>
          <w:sz w:val="32"/>
          <w:szCs w:val="32"/>
        </w:rPr>
      </w:pPr>
      <w:r w:rsidRPr="002E33E2">
        <w:rPr>
          <w:rFonts w:ascii="Traditional Arabic" w:hAnsi="Traditional Arabic"/>
          <w:sz w:val="32"/>
          <w:szCs w:val="32"/>
          <w:rtl/>
        </w:rPr>
        <w:t>(</w:t>
      </w:r>
      <w:r w:rsidRPr="002E33E2">
        <w:rPr>
          <w:rStyle w:val="ae"/>
          <w:rFonts w:ascii="Traditional Arabic" w:hAnsi="Traditional Arabic"/>
          <w:sz w:val="32"/>
          <w:szCs w:val="32"/>
          <w:vertAlign w:val="baseline"/>
        </w:rPr>
        <w:footnoteRef/>
      </w:r>
      <w:r w:rsidRPr="002E33E2">
        <w:rPr>
          <w:rFonts w:ascii="Traditional Arabic" w:hAnsi="Traditional Arabic"/>
          <w:sz w:val="32"/>
          <w:szCs w:val="32"/>
          <w:rtl/>
        </w:rPr>
        <w:t>) يعني به ابن قتيبة.</w:t>
      </w:r>
    </w:p>
  </w:footnote>
  <w:footnote w:id="945">
    <w:p w:rsidR="003F128F" w:rsidRPr="002E33E2" w:rsidRDefault="003F128F" w:rsidP="005C21CD">
      <w:pPr>
        <w:pStyle w:val="af3"/>
        <w:rPr>
          <w:rFonts w:ascii="Traditional Arabic" w:hAnsi="Traditional Arabic"/>
          <w:sz w:val="32"/>
          <w:szCs w:val="32"/>
        </w:rPr>
      </w:pPr>
      <w:r w:rsidRPr="002E33E2">
        <w:rPr>
          <w:rFonts w:ascii="Traditional Arabic" w:hAnsi="Traditional Arabic"/>
          <w:sz w:val="32"/>
          <w:szCs w:val="32"/>
          <w:rtl/>
        </w:rPr>
        <w:t>(</w:t>
      </w:r>
      <w:r w:rsidRPr="002E33E2">
        <w:rPr>
          <w:rStyle w:val="ae"/>
          <w:rFonts w:ascii="Traditional Arabic" w:hAnsi="Traditional Arabic"/>
          <w:sz w:val="32"/>
          <w:szCs w:val="32"/>
          <w:vertAlign w:val="baseline"/>
        </w:rPr>
        <w:footnoteRef/>
      </w:r>
      <w:r w:rsidRPr="002E33E2">
        <w:rPr>
          <w:rFonts w:ascii="Traditional Arabic" w:hAnsi="Traditional Arabic"/>
          <w:sz w:val="32"/>
          <w:szCs w:val="32"/>
          <w:rtl/>
        </w:rPr>
        <w:t>) انظر: زاد المسير (2/56).</w:t>
      </w:r>
    </w:p>
  </w:footnote>
  <w:footnote w:id="946">
    <w:p w:rsidR="003F128F" w:rsidRPr="002E33E2" w:rsidRDefault="003F128F" w:rsidP="005C21CD">
      <w:pPr>
        <w:pStyle w:val="af3"/>
        <w:rPr>
          <w:rFonts w:ascii="Traditional Arabic" w:hAnsi="Traditional Arabic"/>
          <w:sz w:val="32"/>
          <w:szCs w:val="32"/>
        </w:rPr>
      </w:pPr>
      <w:r w:rsidRPr="002E33E2">
        <w:rPr>
          <w:rFonts w:ascii="Traditional Arabic" w:hAnsi="Traditional Arabic"/>
          <w:sz w:val="32"/>
          <w:szCs w:val="32"/>
          <w:rtl/>
        </w:rPr>
        <w:t>(</w:t>
      </w:r>
      <w:r w:rsidRPr="002E33E2">
        <w:rPr>
          <w:rStyle w:val="ae"/>
          <w:rFonts w:ascii="Traditional Arabic" w:hAnsi="Traditional Arabic"/>
          <w:sz w:val="32"/>
          <w:szCs w:val="32"/>
          <w:vertAlign w:val="baseline"/>
        </w:rPr>
        <w:footnoteRef/>
      </w:r>
      <w:r>
        <w:rPr>
          <w:rFonts w:ascii="Traditional Arabic" w:hAnsi="Traditional Arabic"/>
          <w:sz w:val="32"/>
          <w:szCs w:val="32"/>
          <w:rtl/>
        </w:rPr>
        <w:t>) في (</w:t>
      </w:r>
      <w:r>
        <w:rPr>
          <w:rFonts w:ascii="Traditional Arabic" w:hAnsi="Traditional Arabic" w:hint="cs"/>
          <w:sz w:val="32"/>
          <w:szCs w:val="32"/>
          <w:rtl/>
        </w:rPr>
        <w:t>ك</w:t>
      </w:r>
      <w:r>
        <w:rPr>
          <w:rFonts w:ascii="Traditional Arabic" w:hAnsi="Traditional Arabic"/>
          <w:sz w:val="32"/>
          <w:szCs w:val="32"/>
          <w:rtl/>
        </w:rPr>
        <w:t xml:space="preserve">): </w:t>
      </w:r>
      <w:r>
        <w:rPr>
          <w:rFonts w:ascii="Traditional Arabic" w:hAnsi="Traditional Arabic" w:hint="cs"/>
          <w:sz w:val="32"/>
          <w:szCs w:val="32"/>
          <w:rtl/>
        </w:rPr>
        <w:t>[</w:t>
      </w:r>
      <w:r>
        <w:rPr>
          <w:rFonts w:ascii="Traditional Arabic" w:hAnsi="Traditional Arabic"/>
          <w:sz w:val="32"/>
          <w:szCs w:val="32"/>
          <w:rtl/>
        </w:rPr>
        <w:t>أرشدنا إِلى يقرّبنا منك</w:t>
      </w:r>
      <w:r>
        <w:rPr>
          <w:rFonts w:ascii="Traditional Arabic" w:hAnsi="Traditional Arabic" w:hint="cs"/>
          <w:sz w:val="32"/>
          <w:szCs w:val="32"/>
          <w:rtl/>
        </w:rPr>
        <w:t>]</w:t>
      </w:r>
      <w:r w:rsidRPr="002E33E2">
        <w:rPr>
          <w:rFonts w:ascii="Traditional Arabic" w:hAnsi="Traditional Arabic"/>
          <w:sz w:val="32"/>
          <w:szCs w:val="32"/>
          <w:rtl/>
        </w:rPr>
        <w:t>.</w:t>
      </w:r>
    </w:p>
  </w:footnote>
  <w:footnote w:id="947">
    <w:p w:rsidR="003F128F" w:rsidRPr="004C18ED" w:rsidRDefault="003F128F" w:rsidP="005C21CD">
      <w:pPr>
        <w:pStyle w:val="af3"/>
        <w:rPr>
          <w:rFonts w:ascii="Tahoma" w:hAnsi="Tahoma"/>
        </w:rPr>
      </w:pPr>
      <w:r w:rsidRPr="002E33E2">
        <w:rPr>
          <w:rFonts w:ascii="Traditional Arabic" w:hAnsi="Traditional Arabic"/>
          <w:sz w:val="32"/>
          <w:szCs w:val="32"/>
          <w:rtl/>
        </w:rPr>
        <w:t>(</w:t>
      </w:r>
      <w:r w:rsidRPr="002E33E2">
        <w:rPr>
          <w:rStyle w:val="ae"/>
          <w:rFonts w:ascii="Traditional Arabic" w:hAnsi="Traditional Arabic"/>
          <w:sz w:val="32"/>
          <w:szCs w:val="32"/>
          <w:vertAlign w:val="baseline"/>
        </w:rPr>
        <w:footnoteRef/>
      </w:r>
      <w:r w:rsidRPr="002E33E2">
        <w:rPr>
          <w:rFonts w:ascii="Traditional Arabic" w:hAnsi="Traditional Arabic"/>
          <w:sz w:val="32"/>
          <w:szCs w:val="32"/>
          <w:rtl/>
        </w:rPr>
        <w:t>) انظر: التفسير الوسيط (3/137).</w:t>
      </w:r>
      <w:r w:rsidRPr="008C1F6D">
        <w:rPr>
          <w:rFonts w:ascii="Traditional Arabic" w:hAnsi="Traditional Arabic"/>
          <w:sz w:val="32"/>
          <w:szCs w:val="32"/>
          <w:rtl/>
        </w:rPr>
        <w:t xml:space="preserve"> </w:t>
      </w:r>
      <w:r>
        <w:rPr>
          <w:rFonts w:ascii="Tahoma" w:hAnsi="Tahoma"/>
          <w:rtl/>
        </w:rPr>
        <w:t xml:space="preserve"> </w:t>
      </w:r>
    </w:p>
  </w:footnote>
  <w:footnote w:id="948">
    <w:p w:rsidR="003F128F" w:rsidRPr="0061194D" w:rsidRDefault="003F128F" w:rsidP="005C21CD">
      <w:pPr>
        <w:pStyle w:val="af3"/>
        <w:rPr>
          <w:rFonts w:ascii="Traditional Arabic" w:hAnsi="Traditional Arabic"/>
          <w:sz w:val="32"/>
          <w:szCs w:val="32"/>
        </w:rPr>
      </w:pPr>
      <w:r w:rsidRPr="0061194D">
        <w:rPr>
          <w:rFonts w:ascii="Traditional Arabic" w:hAnsi="Traditional Arabic"/>
          <w:sz w:val="32"/>
          <w:szCs w:val="32"/>
          <w:rtl/>
        </w:rPr>
        <w:t>(</w:t>
      </w:r>
      <w:r w:rsidRPr="0061194D">
        <w:rPr>
          <w:rStyle w:val="ae"/>
          <w:rFonts w:ascii="Traditional Arabic" w:hAnsi="Traditional Arabic"/>
          <w:sz w:val="32"/>
          <w:szCs w:val="32"/>
          <w:vertAlign w:val="baseline"/>
        </w:rPr>
        <w:footnoteRef/>
      </w:r>
      <w:r w:rsidRPr="0061194D">
        <w:rPr>
          <w:rFonts w:ascii="Traditional Arabic" w:hAnsi="Traditional Arabic"/>
          <w:sz w:val="32"/>
          <w:szCs w:val="32"/>
          <w:rtl/>
        </w:rPr>
        <w:t xml:space="preserve">) التابوت: </w:t>
      </w:r>
      <w:r>
        <w:rPr>
          <w:rFonts w:ascii="Traditional Arabic" w:hAnsi="Traditional Arabic"/>
          <w:sz w:val="32"/>
          <w:szCs w:val="32"/>
          <w:rtl/>
        </w:rPr>
        <w:t>الصندوق الذي يُحْرَز فيه الم</w:t>
      </w:r>
      <w:r w:rsidRPr="0061194D">
        <w:rPr>
          <w:rFonts w:ascii="Traditional Arabic" w:hAnsi="Traditional Arabic"/>
          <w:sz w:val="32"/>
          <w:szCs w:val="32"/>
          <w:rtl/>
        </w:rPr>
        <w:t>تاع.</w:t>
      </w:r>
      <w:r>
        <w:rPr>
          <w:rFonts w:ascii="Traditional Arabic" w:hAnsi="Traditional Arabic" w:hint="cs"/>
          <w:sz w:val="32"/>
          <w:szCs w:val="32"/>
          <w:rtl/>
        </w:rPr>
        <w:t xml:space="preserve"> انظر: لسان العرب (2/17) مادة (تبت).</w:t>
      </w:r>
    </w:p>
  </w:footnote>
  <w:footnote w:id="949">
    <w:p w:rsidR="003F128F" w:rsidRPr="004A795E" w:rsidRDefault="003F128F" w:rsidP="00791DC8">
      <w:pPr>
        <w:pStyle w:val="af3"/>
        <w:rPr>
          <w:rFonts w:ascii="Traditional Arabic" w:hAnsi="Traditional Arabic"/>
          <w:sz w:val="32"/>
          <w:szCs w:val="32"/>
        </w:rPr>
      </w:pPr>
      <w:r w:rsidRPr="004A795E">
        <w:rPr>
          <w:rFonts w:ascii="Traditional Arabic" w:hAnsi="Traditional Arabic"/>
          <w:sz w:val="32"/>
          <w:szCs w:val="32"/>
          <w:rtl/>
        </w:rPr>
        <w:t>(</w:t>
      </w:r>
      <w:r w:rsidRPr="004A795E">
        <w:rPr>
          <w:rStyle w:val="ae"/>
          <w:rFonts w:ascii="Traditional Arabic" w:hAnsi="Traditional Arabic"/>
          <w:sz w:val="32"/>
          <w:szCs w:val="32"/>
          <w:vertAlign w:val="baseline"/>
        </w:rPr>
        <w:footnoteRef/>
      </w:r>
      <w:r w:rsidRPr="004A795E">
        <w:rPr>
          <w:rFonts w:ascii="Traditional Arabic" w:hAnsi="Traditional Arabic"/>
          <w:sz w:val="32"/>
          <w:szCs w:val="32"/>
          <w:rtl/>
        </w:rPr>
        <w:t>)</w:t>
      </w:r>
      <w:r>
        <w:rPr>
          <w:rFonts w:ascii="Traditional Arabic" w:hAnsi="Traditional Arabic" w:hint="cs"/>
          <w:sz w:val="32"/>
          <w:szCs w:val="32"/>
          <w:rtl/>
        </w:rPr>
        <w:t xml:space="preserve"> </w:t>
      </w:r>
      <w:r>
        <w:rPr>
          <w:rFonts w:ascii="Traditional Arabic" w:hAnsi="Traditional Arabic"/>
          <w:sz w:val="32"/>
          <w:szCs w:val="32"/>
          <w:rtl/>
        </w:rPr>
        <w:t xml:space="preserve">ذكره الطبري </w:t>
      </w:r>
      <w:r>
        <w:rPr>
          <w:rFonts w:ascii="Traditional Arabic" w:hAnsi="Traditional Arabic" w:hint="cs"/>
          <w:sz w:val="32"/>
          <w:szCs w:val="32"/>
          <w:rtl/>
        </w:rPr>
        <w:t xml:space="preserve">في تفسيره </w:t>
      </w:r>
      <w:r>
        <w:rPr>
          <w:rFonts w:ascii="Traditional Arabic" w:hAnsi="Traditional Arabic"/>
          <w:sz w:val="32"/>
          <w:szCs w:val="32"/>
          <w:rtl/>
        </w:rPr>
        <w:t>(</w:t>
      </w:r>
      <w:r>
        <w:rPr>
          <w:rFonts w:ascii="Traditional Arabic" w:hAnsi="Traditional Arabic" w:hint="cs"/>
          <w:sz w:val="32"/>
          <w:szCs w:val="32"/>
          <w:rtl/>
        </w:rPr>
        <w:t>17/607</w:t>
      </w:r>
      <w:r>
        <w:rPr>
          <w:rFonts w:ascii="Traditional Arabic" w:hAnsi="Traditional Arabic"/>
          <w:sz w:val="32"/>
          <w:szCs w:val="32"/>
          <w:rtl/>
        </w:rPr>
        <w:t>) مطولاً</w:t>
      </w:r>
      <w:r>
        <w:rPr>
          <w:rFonts w:ascii="Traditional Arabic" w:hAnsi="Traditional Arabic" w:hint="cs"/>
          <w:sz w:val="32"/>
          <w:szCs w:val="32"/>
          <w:rtl/>
        </w:rPr>
        <w:t>,</w:t>
      </w:r>
      <w:r w:rsidRPr="004A795E">
        <w:rPr>
          <w:rFonts w:ascii="Traditional Arabic" w:hAnsi="Traditional Arabic"/>
          <w:sz w:val="32"/>
          <w:szCs w:val="32"/>
          <w:rtl/>
        </w:rPr>
        <w:t xml:space="preserve"> </w:t>
      </w:r>
      <w:r>
        <w:rPr>
          <w:rFonts w:ascii="Traditional Arabic" w:hAnsi="Traditional Arabic" w:hint="cs"/>
          <w:sz w:val="32"/>
          <w:szCs w:val="32"/>
          <w:rtl/>
        </w:rPr>
        <w:t>و</w:t>
      </w:r>
      <w:r w:rsidRPr="004A795E">
        <w:rPr>
          <w:rFonts w:ascii="Traditional Arabic" w:hAnsi="Traditional Arabic"/>
          <w:sz w:val="32"/>
          <w:szCs w:val="32"/>
          <w:rtl/>
        </w:rPr>
        <w:t>السمرقندي في بحر العلوم (2/336), والثعلبي في الكشف والبيان (6/148)</w:t>
      </w:r>
      <w:r>
        <w:rPr>
          <w:rFonts w:ascii="Traditional Arabic" w:hAnsi="Traditional Arabic" w:hint="cs"/>
          <w:sz w:val="32"/>
          <w:szCs w:val="32"/>
          <w:rtl/>
        </w:rPr>
        <w:t>.</w:t>
      </w:r>
    </w:p>
  </w:footnote>
  <w:footnote w:id="950">
    <w:p w:rsidR="003F128F" w:rsidRPr="004A795E" w:rsidRDefault="003F128F" w:rsidP="005C21CD">
      <w:pPr>
        <w:pStyle w:val="af3"/>
        <w:rPr>
          <w:rFonts w:ascii="Traditional Arabic" w:hAnsi="Traditional Arabic"/>
          <w:sz w:val="32"/>
          <w:szCs w:val="32"/>
        </w:rPr>
      </w:pPr>
      <w:r w:rsidRPr="004A795E">
        <w:rPr>
          <w:rFonts w:ascii="Traditional Arabic" w:hAnsi="Traditional Arabic"/>
          <w:sz w:val="32"/>
          <w:szCs w:val="32"/>
          <w:rtl/>
        </w:rPr>
        <w:t>(</w:t>
      </w:r>
      <w:r w:rsidRPr="004A795E">
        <w:rPr>
          <w:rStyle w:val="ae"/>
          <w:rFonts w:ascii="Traditional Arabic" w:hAnsi="Traditional Arabic"/>
          <w:sz w:val="32"/>
          <w:szCs w:val="32"/>
          <w:vertAlign w:val="baseline"/>
        </w:rPr>
        <w:footnoteRef/>
      </w:r>
      <w:r w:rsidRPr="004A795E">
        <w:rPr>
          <w:rFonts w:ascii="Traditional Arabic" w:hAnsi="Traditional Arabic"/>
          <w:sz w:val="32"/>
          <w:szCs w:val="32"/>
          <w:rtl/>
        </w:rPr>
        <w:t>)</w:t>
      </w:r>
      <w:r>
        <w:rPr>
          <w:rFonts w:ascii="Traditional Arabic" w:hAnsi="Traditional Arabic" w:hint="cs"/>
          <w:sz w:val="32"/>
          <w:szCs w:val="32"/>
          <w:rtl/>
        </w:rPr>
        <w:t xml:space="preserve"> </w:t>
      </w:r>
      <w:r w:rsidRPr="004A795E">
        <w:rPr>
          <w:rFonts w:ascii="Traditional Arabic" w:hAnsi="Traditional Arabic"/>
          <w:sz w:val="32"/>
          <w:szCs w:val="32"/>
          <w:rtl/>
        </w:rPr>
        <w:t>أخرجه الطبري في تفسيره (17/609) عن عبد الله بن عبيد بن عمير, وانظر: الكشف والبيان (6/150)</w:t>
      </w:r>
      <w:r w:rsidRPr="004A795E">
        <w:rPr>
          <w:rFonts w:ascii="Traditional Arabic" w:hAnsi="Traditional Arabic" w:hint="cs"/>
          <w:sz w:val="32"/>
          <w:szCs w:val="32"/>
          <w:rtl/>
        </w:rPr>
        <w:t xml:space="preserve">, </w:t>
      </w:r>
      <w:r>
        <w:rPr>
          <w:rFonts w:ascii="Traditional Arabic" w:hAnsi="Traditional Arabic" w:hint="cs"/>
          <w:sz w:val="32"/>
          <w:szCs w:val="32"/>
          <w:rtl/>
        </w:rPr>
        <w:t>معالم التنزيل</w:t>
      </w:r>
      <w:r w:rsidRPr="004A795E">
        <w:rPr>
          <w:rFonts w:ascii="Traditional Arabic" w:hAnsi="Traditional Arabic" w:hint="cs"/>
          <w:sz w:val="32"/>
          <w:szCs w:val="32"/>
          <w:rtl/>
        </w:rPr>
        <w:t xml:space="preserve"> (3/499)</w:t>
      </w:r>
      <w:r w:rsidRPr="004A795E">
        <w:rPr>
          <w:rFonts w:ascii="Traditional Arabic" w:hAnsi="Traditional Arabic"/>
          <w:sz w:val="32"/>
          <w:szCs w:val="32"/>
          <w:rtl/>
        </w:rPr>
        <w:t>.</w:t>
      </w:r>
    </w:p>
  </w:footnote>
  <w:footnote w:id="951">
    <w:p w:rsidR="003F128F" w:rsidRPr="004A795E" w:rsidRDefault="003F128F" w:rsidP="005C21CD">
      <w:pPr>
        <w:pStyle w:val="af3"/>
        <w:rPr>
          <w:rFonts w:ascii="Traditional Arabic" w:hAnsi="Traditional Arabic"/>
          <w:sz w:val="32"/>
          <w:szCs w:val="32"/>
        </w:rPr>
      </w:pPr>
      <w:r w:rsidRPr="004A795E">
        <w:rPr>
          <w:rFonts w:ascii="Traditional Arabic" w:hAnsi="Traditional Arabic"/>
          <w:sz w:val="32"/>
          <w:szCs w:val="32"/>
          <w:rtl/>
        </w:rPr>
        <w:t>(</w:t>
      </w:r>
      <w:r w:rsidRPr="004A795E">
        <w:rPr>
          <w:rStyle w:val="ae"/>
          <w:rFonts w:ascii="Traditional Arabic" w:hAnsi="Traditional Arabic"/>
          <w:sz w:val="32"/>
          <w:szCs w:val="32"/>
          <w:vertAlign w:val="baseline"/>
        </w:rPr>
        <w:footnoteRef/>
      </w:r>
      <w:r w:rsidRPr="004A795E">
        <w:rPr>
          <w:rFonts w:ascii="Traditional Arabic" w:hAnsi="Traditional Arabic"/>
          <w:sz w:val="32"/>
          <w:szCs w:val="32"/>
          <w:rtl/>
        </w:rPr>
        <w:t>) الحمّام: مكان للاستحمام وهو مُشْتَقّ من الحَمِيمِ تُذَكِّره الْعَرَب, ويقال:</w:t>
      </w:r>
      <w:r w:rsidRPr="004A795E">
        <w:rPr>
          <w:rFonts w:ascii="Traditional Arabic" w:hAnsi="Traditional Arabic"/>
          <w:sz w:val="32"/>
          <w:szCs w:val="32"/>
          <w:rtl/>
          <w:lang w:eastAsia="en-US"/>
        </w:rPr>
        <w:t xml:space="preserve"> استَحَمّ إِذا اغْتسل بِالْمَاءِ الحَار</w:t>
      </w:r>
      <w:r>
        <w:rPr>
          <w:rFonts w:ascii="Traditional Arabic" w:hAnsi="Traditional Arabic"/>
          <w:sz w:val="32"/>
          <w:szCs w:val="32"/>
          <w:rtl/>
        </w:rPr>
        <w:t>. انظر: تهذيب اللغة (4/11)</w:t>
      </w:r>
      <w:r w:rsidRPr="004A795E">
        <w:rPr>
          <w:rFonts w:ascii="Traditional Arabic" w:hAnsi="Traditional Arabic"/>
          <w:sz w:val="32"/>
          <w:szCs w:val="32"/>
          <w:rtl/>
        </w:rPr>
        <w:t xml:space="preserve"> مادة (حَمّ). </w:t>
      </w:r>
    </w:p>
  </w:footnote>
  <w:footnote w:id="952">
    <w:p w:rsidR="003F128F" w:rsidRPr="004A795E" w:rsidRDefault="003F128F" w:rsidP="005C21CD">
      <w:pPr>
        <w:pStyle w:val="af3"/>
        <w:rPr>
          <w:rFonts w:ascii="Traditional Arabic" w:hAnsi="Traditional Arabic"/>
          <w:sz w:val="32"/>
          <w:szCs w:val="32"/>
        </w:rPr>
      </w:pPr>
      <w:r w:rsidRPr="004A795E">
        <w:rPr>
          <w:rFonts w:ascii="Traditional Arabic" w:hAnsi="Traditional Arabic"/>
          <w:sz w:val="32"/>
          <w:szCs w:val="32"/>
          <w:rtl/>
        </w:rPr>
        <w:t>(</w:t>
      </w:r>
      <w:r w:rsidRPr="004A795E">
        <w:rPr>
          <w:rStyle w:val="ae"/>
          <w:rFonts w:ascii="Traditional Arabic" w:hAnsi="Traditional Arabic"/>
          <w:sz w:val="32"/>
          <w:szCs w:val="32"/>
          <w:vertAlign w:val="baseline"/>
        </w:rPr>
        <w:footnoteRef/>
      </w:r>
      <w:r w:rsidRPr="004A795E">
        <w:rPr>
          <w:rFonts w:ascii="Traditional Arabic" w:hAnsi="Traditional Arabic"/>
          <w:sz w:val="32"/>
          <w:szCs w:val="32"/>
          <w:rtl/>
        </w:rPr>
        <w:t>) عَلِقَهُ: أي تعلقوا به. يقال: عُلِّقْتُ فُلانةً: أي أحْ</w:t>
      </w:r>
      <w:r>
        <w:rPr>
          <w:rFonts w:ascii="Traditional Arabic" w:hAnsi="Traditional Arabic"/>
          <w:sz w:val="32"/>
          <w:szCs w:val="32"/>
          <w:rtl/>
        </w:rPr>
        <w:t>بَبْتها. انظر: العين (1/161)</w:t>
      </w:r>
      <w:r w:rsidRPr="004A795E">
        <w:rPr>
          <w:rFonts w:ascii="Traditional Arabic" w:hAnsi="Traditional Arabic"/>
          <w:sz w:val="32"/>
          <w:szCs w:val="32"/>
          <w:rtl/>
        </w:rPr>
        <w:t xml:space="preserve"> مادة (علق).</w:t>
      </w:r>
    </w:p>
  </w:footnote>
  <w:footnote w:id="953">
    <w:p w:rsidR="003F128F" w:rsidRPr="00870A7B" w:rsidRDefault="003F128F" w:rsidP="005C21CD">
      <w:pPr>
        <w:pStyle w:val="af3"/>
        <w:rPr>
          <w:rFonts w:ascii="Tahoma" w:hAnsi="Tahoma"/>
        </w:rPr>
      </w:pPr>
      <w:r w:rsidRPr="004A795E">
        <w:rPr>
          <w:rFonts w:ascii="Traditional Arabic" w:hAnsi="Traditional Arabic"/>
          <w:sz w:val="32"/>
          <w:szCs w:val="32"/>
          <w:rtl/>
        </w:rPr>
        <w:t>(</w:t>
      </w:r>
      <w:r w:rsidRPr="004A795E">
        <w:rPr>
          <w:rStyle w:val="ae"/>
          <w:rFonts w:ascii="Traditional Arabic" w:hAnsi="Traditional Arabic"/>
          <w:sz w:val="32"/>
          <w:szCs w:val="32"/>
          <w:vertAlign w:val="baseline"/>
        </w:rPr>
        <w:footnoteRef/>
      </w:r>
      <w:r w:rsidRPr="004A795E">
        <w:rPr>
          <w:rFonts w:ascii="Traditional Arabic" w:hAnsi="Traditional Arabic"/>
          <w:sz w:val="32"/>
          <w:szCs w:val="32"/>
          <w:rtl/>
        </w:rPr>
        <w:t>) أخرجه عبد الرزاق في تفسيره (2/325) والطبري في تفسيره (17/612)</w:t>
      </w:r>
      <w:r w:rsidRPr="004A795E">
        <w:rPr>
          <w:rFonts w:ascii="Traditional Arabic" w:hAnsi="Traditional Arabic" w:hint="cs"/>
          <w:sz w:val="32"/>
          <w:szCs w:val="32"/>
          <w:rtl/>
        </w:rPr>
        <w:t>, وذكره السيوطي في الدر المنثور (5/369) وزاد نسبته لابن المنذر</w:t>
      </w:r>
      <w:r w:rsidRPr="004A795E">
        <w:rPr>
          <w:rFonts w:ascii="Traditional Arabic" w:hAnsi="Traditional Arabic"/>
          <w:sz w:val="32"/>
          <w:szCs w:val="32"/>
          <w:rtl/>
        </w:rPr>
        <w:t>.</w:t>
      </w:r>
    </w:p>
  </w:footnote>
  <w:footnote w:id="954">
    <w:p w:rsidR="003F128F" w:rsidRPr="00EC2CC9" w:rsidRDefault="003F128F" w:rsidP="005C21CD">
      <w:pPr>
        <w:pStyle w:val="af3"/>
        <w:rPr>
          <w:rFonts w:ascii="Traditional Arabic" w:hAnsi="Traditional Arabic"/>
          <w:sz w:val="32"/>
          <w:szCs w:val="32"/>
        </w:rPr>
      </w:pPr>
      <w:r w:rsidRPr="00EC2CC9">
        <w:rPr>
          <w:rFonts w:ascii="Traditional Arabic" w:hAnsi="Traditional Arabic"/>
          <w:sz w:val="32"/>
          <w:szCs w:val="32"/>
          <w:rtl/>
        </w:rPr>
        <w:t>(</w:t>
      </w:r>
      <w:r w:rsidRPr="00EC2CC9">
        <w:rPr>
          <w:rStyle w:val="ae"/>
          <w:rFonts w:ascii="Traditional Arabic" w:hAnsi="Traditional Arabic"/>
          <w:sz w:val="32"/>
          <w:szCs w:val="32"/>
          <w:vertAlign w:val="baseline"/>
        </w:rPr>
        <w:footnoteRef/>
      </w:r>
      <w:r w:rsidRPr="00EC2CC9">
        <w:rPr>
          <w:rFonts w:ascii="Traditional Arabic" w:hAnsi="Traditional Arabic"/>
          <w:sz w:val="32"/>
          <w:szCs w:val="32"/>
          <w:rtl/>
        </w:rPr>
        <w:t xml:space="preserve">) أخرجه الطبري في تفسيره (17/609), وانظر: </w:t>
      </w:r>
      <w:r>
        <w:rPr>
          <w:rFonts w:ascii="Traditional Arabic" w:hAnsi="Traditional Arabic" w:hint="cs"/>
          <w:sz w:val="32"/>
          <w:szCs w:val="32"/>
          <w:rtl/>
        </w:rPr>
        <w:t xml:space="preserve">الهداية (6/4350), </w:t>
      </w:r>
      <w:r w:rsidRPr="00EC2CC9">
        <w:rPr>
          <w:rFonts w:ascii="Traditional Arabic" w:hAnsi="Traditional Arabic"/>
          <w:sz w:val="32"/>
          <w:szCs w:val="32"/>
          <w:rtl/>
        </w:rPr>
        <w:t>النكت والعيون (3/287).</w:t>
      </w:r>
    </w:p>
  </w:footnote>
  <w:footnote w:id="955">
    <w:p w:rsidR="003F128F" w:rsidRPr="00EC2CC9" w:rsidRDefault="003F128F" w:rsidP="005C21CD">
      <w:pPr>
        <w:pStyle w:val="af3"/>
        <w:rPr>
          <w:rFonts w:ascii="Traditional Arabic" w:hAnsi="Traditional Arabic"/>
          <w:sz w:val="32"/>
          <w:szCs w:val="32"/>
        </w:rPr>
      </w:pPr>
      <w:r w:rsidRPr="00EC2CC9">
        <w:rPr>
          <w:rFonts w:ascii="Traditional Arabic" w:hAnsi="Traditional Arabic"/>
          <w:sz w:val="32"/>
          <w:szCs w:val="32"/>
          <w:rtl/>
        </w:rPr>
        <w:t>(</w:t>
      </w:r>
      <w:r w:rsidRPr="00EC2CC9">
        <w:rPr>
          <w:rStyle w:val="ae"/>
          <w:rFonts w:ascii="Traditional Arabic" w:hAnsi="Traditional Arabic"/>
          <w:sz w:val="32"/>
          <w:szCs w:val="32"/>
          <w:vertAlign w:val="baseline"/>
        </w:rPr>
        <w:footnoteRef/>
      </w:r>
      <w:r w:rsidRPr="00EC2CC9">
        <w:rPr>
          <w:rFonts w:ascii="Traditional Arabic" w:hAnsi="Traditional Arabic"/>
          <w:sz w:val="32"/>
          <w:szCs w:val="32"/>
          <w:rtl/>
        </w:rPr>
        <w:t>) ذكره يحيى بن سلام في تفسيره (1/177) عن قتادة عن عكرمة به, وهو قريب من قول مجاهد.</w:t>
      </w:r>
    </w:p>
  </w:footnote>
  <w:footnote w:id="956">
    <w:p w:rsidR="003F128F" w:rsidRPr="00CC26D9" w:rsidRDefault="003F128F" w:rsidP="00CC26D9">
      <w:pPr>
        <w:pStyle w:val="af3"/>
        <w:rPr>
          <w:rFonts w:ascii="Traditional Arabic" w:hAnsi="Traditional Arabic"/>
          <w:sz w:val="32"/>
          <w:szCs w:val="32"/>
        </w:rPr>
      </w:pPr>
      <w:r w:rsidRPr="00CC26D9">
        <w:rPr>
          <w:rFonts w:ascii="Traditional Arabic" w:hAnsi="Traditional Arabic"/>
          <w:sz w:val="32"/>
          <w:szCs w:val="32"/>
          <w:rtl/>
        </w:rPr>
        <w:t>(</w:t>
      </w:r>
      <w:r w:rsidRPr="00CC26D9">
        <w:rPr>
          <w:rStyle w:val="ae"/>
          <w:rFonts w:ascii="Traditional Arabic" w:hAnsi="Traditional Arabic"/>
          <w:sz w:val="32"/>
          <w:szCs w:val="32"/>
          <w:vertAlign w:val="baseline"/>
        </w:rPr>
        <w:footnoteRef/>
      </w:r>
      <w:r w:rsidRPr="00CC26D9">
        <w:rPr>
          <w:rFonts w:ascii="Traditional Arabic" w:hAnsi="Traditional Arabic"/>
          <w:sz w:val="32"/>
          <w:szCs w:val="32"/>
          <w:rtl/>
        </w:rPr>
        <w:t>) المَسوخ: نوعٌ من البُسْطِ</w:t>
      </w:r>
      <w:r w:rsidRPr="00CC26D9">
        <w:rPr>
          <w:rFonts w:ascii="Traditional Arabic" w:hAnsi="Traditional Arabic" w:hint="cs"/>
          <w:sz w:val="32"/>
          <w:szCs w:val="32"/>
          <w:rtl/>
        </w:rPr>
        <w:t>,</w:t>
      </w:r>
      <w:r w:rsidRPr="00CC26D9">
        <w:rPr>
          <w:rFonts w:ascii="Traditional Arabic" w:hAnsi="Traditional Arabic"/>
          <w:sz w:val="32"/>
          <w:szCs w:val="32"/>
          <w:rtl/>
          <w:lang w:eastAsia="en-US"/>
        </w:rPr>
        <w:t xml:space="preserve"> </w:t>
      </w:r>
      <w:r w:rsidRPr="00CC26D9">
        <w:rPr>
          <w:rFonts w:ascii="Traditional Arabic" w:hAnsi="Traditional Arabic" w:hint="cs"/>
          <w:sz w:val="32"/>
          <w:szCs w:val="32"/>
          <w:rtl/>
          <w:lang w:eastAsia="en-US"/>
        </w:rPr>
        <w:t>و</w:t>
      </w:r>
      <w:r w:rsidRPr="00CC26D9">
        <w:rPr>
          <w:rFonts w:ascii="Traditional Arabic" w:hAnsi="Traditional Arabic"/>
          <w:sz w:val="32"/>
          <w:szCs w:val="32"/>
          <w:rtl/>
        </w:rPr>
        <w:t>الماسِخِيَّةُ: الأقواسُ</w:t>
      </w:r>
      <w:r w:rsidRPr="00CC26D9">
        <w:rPr>
          <w:rFonts w:ascii="Traditional Arabic" w:hAnsi="Traditional Arabic" w:hint="cs"/>
          <w:sz w:val="32"/>
          <w:szCs w:val="32"/>
          <w:rtl/>
        </w:rPr>
        <w:t>. انظر:</w:t>
      </w:r>
      <w:r w:rsidRPr="00CC26D9">
        <w:rPr>
          <w:rFonts w:ascii="Traditional Arabic" w:hAnsi="Traditional Arabic"/>
          <w:sz w:val="32"/>
          <w:szCs w:val="32"/>
          <w:rtl/>
        </w:rPr>
        <w:t xml:space="preserve"> القاموس المحي</w:t>
      </w:r>
      <w:r>
        <w:rPr>
          <w:rFonts w:ascii="Traditional Arabic" w:hAnsi="Traditional Arabic"/>
          <w:sz w:val="32"/>
          <w:szCs w:val="32"/>
          <w:rtl/>
        </w:rPr>
        <w:t>ط للفيروزآبادي (ص260) مادة (مسخ</w:t>
      </w:r>
      <w:r w:rsidRPr="00CC26D9">
        <w:rPr>
          <w:rFonts w:ascii="Traditional Arabic" w:hAnsi="Traditional Arabic"/>
          <w:sz w:val="32"/>
          <w:szCs w:val="32"/>
          <w:rtl/>
        </w:rPr>
        <w:t xml:space="preserve">). </w:t>
      </w:r>
    </w:p>
  </w:footnote>
  <w:footnote w:id="957">
    <w:p w:rsidR="003F128F" w:rsidRPr="00CC26D9" w:rsidRDefault="003F128F" w:rsidP="005C21CD">
      <w:pPr>
        <w:pStyle w:val="af3"/>
        <w:rPr>
          <w:rFonts w:ascii="Traditional Arabic" w:hAnsi="Traditional Arabic"/>
          <w:sz w:val="32"/>
          <w:szCs w:val="32"/>
          <w:rtl/>
        </w:rPr>
      </w:pPr>
      <w:r w:rsidRPr="00CC26D9">
        <w:rPr>
          <w:rFonts w:ascii="Traditional Arabic" w:hAnsi="Traditional Arabic"/>
          <w:sz w:val="32"/>
          <w:szCs w:val="32"/>
          <w:rtl/>
        </w:rPr>
        <w:t>(</w:t>
      </w:r>
      <w:r w:rsidRPr="00CC26D9">
        <w:rPr>
          <w:rStyle w:val="ae"/>
          <w:rFonts w:ascii="Traditional Arabic" w:hAnsi="Traditional Arabic"/>
          <w:sz w:val="32"/>
          <w:szCs w:val="32"/>
          <w:vertAlign w:val="baseline"/>
        </w:rPr>
        <w:footnoteRef/>
      </w:r>
      <w:r w:rsidRPr="00CC26D9">
        <w:rPr>
          <w:rFonts w:ascii="Traditional Arabic" w:hAnsi="Traditional Arabic"/>
          <w:sz w:val="32"/>
          <w:szCs w:val="32"/>
          <w:rtl/>
        </w:rPr>
        <w:t xml:space="preserve">) ذكره يحيى بن سلام في تفسيره (1/177), وابن أبي حاتم في تفسيره (7/2349). </w:t>
      </w:r>
    </w:p>
  </w:footnote>
  <w:footnote w:id="958">
    <w:p w:rsidR="003F128F" w:rsidRPr="00CC26D9" w:rsidRDefault="003F128F" w:rsidP="00791DC8">
      <w:pPr>
        <w:pStyle w:val="af3"/>
        <w:rPr>
          <w:rFonts w:ascii="Traditional Arabic" w:hAnsi="Traditional Arabic"/>
          <w:sz w:val="32"/>
          <w:szCs w:val="32"/>
        </w:rPr>
      </w:pPr>
      <w:r w:rsidRPr="00CC26D9">
        <w:rPr>
          <w:rFonts w:ascii="Traditional Arabic" w:hAnsi="Traditional Arabic"/>
          <w:sz w:val="32"/>
          <w:szCs w:val="32"/>
          <w:rtl/>
        </w:rPr>
        <w:t>(</w:t>
      </w:r>
      <w:r w:rsidRPr="00CC26D9">
        <w:rPr>
          <w:rStyle w:val="ae"/>
          <w:rFonts w:ascii="Traditional Arabic" w:hAnsi="Traditional Arabic"/>
          <w:sz w:val="32"/>
          <w:szCs w:val="32"/>
          <w:vertAlign w:val="baseline"/>
        </w:rPr>
        <w:footnoteRef/>
      </w:r>
      <w:r w:rsidRPr="00CC26D9">
        <w:rPr>
          <w:rFonts w:ascii="Traditional Arabic" w:hAnsi="Traditional Arabic"/>
          <w:sz w:val="32"/>
          <w:szCs w:val="32"/>
          <w:rtl/>
        </w:rPr>
        <w:t>) أخرجه الطبري (15/205) ، وعبدالرزاق في مصنفه (5/423 ح9752) . وذكره السيوطي في الدر (5/369) و</w:t>
      </w:r>
      <w:r w:rsidRPr="00CC26D9">
        <w:rPr>
          <w:rFonts w:ascii="Traditional Arabic" w:hAnsi="Traditional Arabic" w:hint="cs"/>
          <w:sz w:val="32"/>
          <w:szCs w:val="32"/>
          <w:rtl/>
        </w:rPr>
        <w:t>زاد نسبته ل</w:t>
      </w:r>
      <w:r w:rsidRPr="00CC26D9">
        <w:rPr>
          <w:rFonts w:ascii="Traditional Arabic" w:hAnsi="Traditional Arabic"/>
          <w:sz w:val="32"/>
          <w:szCs w:val="32"/>
          <w:rtl/>
        </w:rPr>
        <w:t>ابن المنذ</w:t>
      </w:r>
      <w:r w:rsidRPr="00CC26D9">
        <w:rPr>
          <w:rFonts w:ascii="Traditional Arabic" w:hAnsi="Traditional Arabic" w:hint="cs"/>
          <w:sz w:val="32"/>
          <w:szCs w:val="32"/>
          <w:rtl/>
        </w:rPr>
        <w:t>ر</w:t>
      </w:r>
      <w:r w:rsidRPr="00CC26D9">
        <w:rPr>
          <w:rFonts w:ascii="Traditional Arabic" w:hAnsi="Traditional Arabic"/>
          <w:sz w:val="32"/>
          <w:szCs w:val="32"/>
          <w:rtl/>
        </w:rPr>
        <w:t>.</w:t>
      </w:r>
    </w:p>
  </w:footnote>
  <w:footnote w:id="959">
    <w:p w:rsidR="003F128F" w:rsidRPr="00CC26D9" w:rsidRDefault="003F128F" w:rsidP="005C21CD">
      <w:pPr>
        <w:pStyle w:val="af3"/>
        <w:rPr>
          <w:rFonts w:ascii="Traditional Arabic" w:hAnsi="Traditional Arabic"/>
          <w:sz w:val="32"/>
          <w:szCs w:val="32"/>
        </w:rPr>
      </w:pPr>
      <w:r w:rsidRPr="00CC26D9">
        <w:rPr>
          <w:rFonts w:ascii="Traditional Arabic" w:hAnsi="Traditional Arabic"/>
          <w:sz w:val="32"/>
          <w:szCs w:val="32"/>
          <w:rtl/>
        </w:rPr>
        <w:t>(</w:t>
      </w:r>
      <w:r w:rsidRPr="00CC26D9">
        <w:rPr>
          <w:rStyle w:val="ae"/>
          <w:rFonts w:ascii="Traditional Arabic" w:hAnsi="Traditional Arabic"/>
          <w:sz w:val="32"/>
          <w:szCs w:val="32"/>
          <w:vertAlign w:val="baseline"/>
        </w:rPr>
        <w:footnoteRef/>
      </w:r>
      <w:r w:rsidRPr="00CC26D9">
        <w:rPr>
          <w:rFonts w:ascii="Traditional Arabic" w:hAnsi="Traditional Arabic"/>
          <w:sz w:val="32"/>
          <w:szCs w:val="32"/>
          <w:rtl/>
        </w:rPr>
        <w:t>) ذكره الواحدي في التفسير الوسيط (3/141) غير منسوب.</w:t>
      </w:r>
    </w:p>
  </w:footnote>
  <w:footnote w:id="960">
    <w:p w:rsidR="003F128F" w:rsidRPr="00CC26D9" w:rsidRDefault="003F128F" w:rsidP="005C21CD">
      <w:pPr>
        <w:pStyle w:val="af3"/>
        <w:rPr>
          <w:rFonts w:ascii="Traditional Arabic" w:hAnsi="Traditional Arabic"/>
          <w:sz w:val="32"/>
          <w:szCs w:val="32"/>
        </w:rPr>
      </w:pPr>
      <w:r w:rsidRPr="00CC26D9">
        <w:rPr>
          <w:rFonts w:ascii="Traditional Arabic" w:hAnsi="Traditional Arabic"/>
          <w:sz w:val="32"/>
          <w:szCs w:val="32"/>
          <w:rtl/>
        </w:rPr>
        <w:t>(</w:t>
      </w:r>
      <w:r w:rsidRPr="00CC26D9">
        <w:rPr>
          <w:rStyle w:val="ae"/>
          <w:rFonts w:ascii="Traditional Arabic" w:hAnsi="Traditional Arabic"/>
          <w:sz w:val="32"/>
          <w:szCs w:val="32"/>
          <w:vertAlign w:val="baseline"/>
        </w:rPr>
        <w:footnoteRef/>
      </w:r>
      <w:r w:rsidRPr="00CC26D9">
        <w:rPr>
          <w:rFonts w:ascii="Traditional Arabic" w:hAnsi="Traditional Arabic"/>
          <w:sz w:val="32"/>
          <w:szCs w:val="32"/>
          <w:rtl/>
        </w:rPr>
        <w:t>) هو الإمام أبو بكر -وقيل أبو عبد الله- محمد بن إسحاق بن يسار بن خيار المطلبي بالولاء, المديني, صاحب المغازي والسير, كان يتشيع، وينسب إِلى القدر، ويدلس في حديثه, (ت151ه), وقيل غير ذلك. انظر: وفيات الأعيان (4/276), تهذيب الكمال (24/405).</w:t>
      </w:r>
    </w:p>
  </w:footnote>
  <w:footnote w:id="961">
    <w:p w:rsidR="003F128F" w:rsidRPr="00CC26D9" w:rsidRDefault="003F128F" w:rsidP="00CC26D9">
      <w:pPr>
        <w:pStyle w:val="af3"/>
        <w:rPr>
          <w:rFonts w:ascii="Traditional Arabic" w:hAnsi="Traditional Arabic"/>
          <w:sz w:val="32"/>
          <w:szCs w:val="32"/>
        </w:rPr>
      </w:pPr>
      <w:r w:rsidRPr="00CC26D9">
        <w:rPr>
          <w:rFonts w:ascii="Traditional Arabic" w:hAnsi="Traditional Arabic"/>
          <w:sz w:val="32"/>
          <w:szCs w:val="32"/>
          <w:rtl/>
        </w:rPr>
        <w:t>(</w:t>
      </w:r>
      <w:r w:rsidRPr="00CC26D9">
        <w:rPr>
          <w:rStyle w:val="ae"/>
          <w:rFonts w:ascii="Traditional Arabic" w:hAnsi="Traditional Arabic"/>
          <w:sz w:val="32"/>
          <w:szCs w:val="32"/>
          <w:vertAlign w:val="baseline"/>
        </w:rPr>
        <w:footnoteRef/>
      </w:r>
      <w:r w:rsidRPr="00CC26D9">
        <w:rPr>
          <w:rFonts w:ascii="Traditional Arabic" w:hAnsi="Traditional Arabic"/>
          <w:sz w:val="32"/>
          <w:szCs w:val="32"/>
          <w:rtl/>
        </w:rPr>
        <w:t>)</w:t>
      </w:r>
      <w:r w:rsidRPr="00CC26D9">
        <w:rPr>
          <w:rFonts w:hint="cs"/>
          <w:sz w:val="32"/>
          <w:szCs w:val="32"/>
          <w:rtl/>
        </w:rPr>
        <w:t xml:space="preserve"> قوله: [</w:t>
      </w:r>
      <w:r w:rsidRPr="00CC26D9">
        <w:rPr>
          <w:sz w:val="32"/>
          <w:szCs w:val="32"/>
          <w:rtl/>
        </w:rPr>
        <w:t>فهدم ذلك السدَّ، فبنى به، فانفتح باب الكهف. وقال ابن إِسحاق: ألقى الله في نفس رجل من أهل البلد أن يهدم ذلك البنيان فيبني به حظيرة لغنمه</w:t>
      </w:r>
      <w:r w:rsidRPr="00CC26D9">
        <w:rPr>
          <w:rFonts w:hint="cs"/>
          <w:sz w:val="32"/>
          <w:szCs w:val="32"/>
          <w:rtl/>
        </w:rPr>
        <w:t>]</w:t>
      </w:r>
      <w:r w:rsidRPr="00CC26D9">
        <w:rPr>
          <w:rFonts w:ascii="Traditional Arabic" w:hAnsi="Traditional Arabic" w:hint="cs"/>
          <w:sz w:val="32"/>
          <w:szCs w:val="32"/>
          <w:rtl/>
        </w:rPr>
        <w:t xml:space="preserve"> ليس في (ك).</w:t>
      </w:r>
    </w:p>
  </w:footnote>
  <w:footnote w:id="962">
    <w:p w:rsidR="003F128F" w:rsidRPr="00CC26D9" w:rsidRDefault="003F128F" w:rsidP="005C21CD">
      <w:pPr>
        <w:pStyle w:val="af3"/>
        <w:rPr>
          <w:rFonts w:ascii="Traditional Arabic" w:hAnsi="Traditional Arabic"/>
          <w:sz w:val="32"/>
          <w:szCs w:val="32"/>
        </w:rPr>
      </w:pPr>
      <w:r w:rsidRPr="00CC26D9">
        <w:rPr>
          <w:rFonts w:ascii="Traditional Arabic" w:hAnsi="Traditional Arabic"/>
          <w:sz w:val="32"/>
          <w:szCs w:val="32"/>
          <w:rtl/>
        </w:rPr>
        <w:t>(</w:t>
      </w:r>
      <w:r w:rsidRPr="00CC26D9">
        <w:rPr>
          <w:rStyle w:val="ae"/>
          <w:rFonts w:ascii="Traditional Arabic" w:hAnsi="Traditional Arabic"/>
          <w:sz w:val="32"/>
          <w:szCs w:val="32"/>
          <w:vertAlign w:val="baseline"/>
        </w:rPr>
        <w:footnoteRef/>
      </w:r>
      <w:r w:rsidRPr="00CC26D9">
        <w:rPr>
          <w:rFonts w:ascii="Traditional Arabic" w:hAnsi="Traditional Arabic"/>
          <w:sz w:val="32"/>
          <w:szCs w:val="32"/>
          <w:rtl/>
        </w:rPr>
        <w:t>) في (</w:t>
      </w:r>
      <w:r w:rsidRPr="00CC26D9">
        <w:rPr>
          <w:rFonts w:ascii="Traditional Arabic" w:hAnsi="Traditional Arabic" w:hint="cs"/>
          <w:sz w:val="32"/>
          <w:szCs w:val="32"/>
          <w:rtl/>
        </w:rPr>
        <w:t>ك</w:t>
      </w:r>
      <w:r w:rsidRPr="00CC26D9">
        <w:rPr>
          <w:rFonts w:ascii="Traditional Arabic" w:hAnsi="Traditional Arabic"/>
          <w:sz w:val="32"/>
          <w:szCs w:val="32"/>
          <w:rtl/>
        </w:rPr>
        <w:t xml:space="preserve">): </w:t>
      </w:r>
      <w:r w:rsidRPr="00CC26D9">
        <w:rPr>
          <w:rFonts w:ascii="Traditional Arabic" w:hAnsi="Traditional Arabic" w:hint="cs"/>
          <w:sz w:val="32"/>
          <w:szCs w:val="32"/>
          <w:rtl/>
        </w:rPr>
        <w:t>[</w:t>
      </w:r>
      <w:r w:rsidRPr="00CC26D9">
        <w:rPr>
          <w:rFonts w:ascii="Traditional Arabic" w:hAnsi="Traditional Arabic"/>
          <w:sz w:val="32"/>
          <w:szCs w:val="32"/>
          <w:rtl/>
        </w:rPr>
        <w:t>ولا أجسادهم ما يكرهونه</w:t>
      </w:r>
      <w:r w:rsidRPr="00CC26D9">
        <w:rPr>
          <w:rFonts w:ascii="Traditional Arabic" w:hAnsi="Traditional Arabic" w:hint="cs"/>
          <w:sz w:val="32"/>
          <w:szCs w:val="32"/>
          <w:rtl/>
        </w:rPr>
        <w:t>]</w:t>
      </w:r>
      <w:r w:rsidRPr="00CC26D9">
        <w:rPr>
          <w:rFonts w:ascii="Traditional Arabic" w:hAnsi="Traditional Arabic"/>
          <w:sz w:val="32"/>
          <w:szCs w:val="32"/>
          <w:rtl/>
        </w:rPr>
        <w:t xml:space="preserve">. </w:t>
      </w:r>
    </w:p>
  </w:footnote>
  <w:footnote w:id="963">
    <w:p w:rsidR="003F128F" w:rsidRPr="00CE7A14" w:rsidRDefault="003F128F" w:rsidP="005C21CD">
      <w:pPr>
        <w:pStyle w:val="af3"/>
        <w:rPr>
          <w:rFonts w:ascii="Traditional Arabic" w:hAnsi="Traditional Arabic"/>
          <w:sz w:val="32"/>
          <w:szCs w:val="32"/>
        </w:rPr>
      </w:pPr>
      <w:r w:rsidRPr="00CC26D9">
        <w:rPr>
          <w:rFonts w:ascii="Traditional Arabic" w:hAnsi="Traditional Arabic"/>
          <w:sz w:val="32"/>
          <w:szCs w:val="32"/>
          <w:rtl/>
        </w:rPr>
        <w:t>(</w:t>
      </w:r>
      <w:r w:rsidRPr="00CC26D9">
        <w:rPr>
          <w:rStyle w:val="ae"/>
          <w:rFonts w:ascii="Traditional Arabic" w:hAnsi="Traditional Arabic"/>
          <w:sz w:val="32"/>
          <w:szCs w:val="32"/>
          <w:vertAlign w:val="baseline"/>
        </w:rPr>
        <w:footnoteRef/>
      </w:r>
      <w:r w:rsidRPr="00CC26D9">
        <w:rPr>
          <w:rFonts w:ascii="Traditional Arabic" w:hAnsi="Traditional Arabic"/>
          <w:sz w:val="32"/>
          <w:szCs w:val="32"/>
          <w:rtl/>
        </w:rPr>
        <w:t>) في (</w:t>
      </w:r>
      <w:r w:rsidRPr="00CC26D9">
        <w:rPr>
          <w:rFonts w:ascii="Traditional Arabic" w:hAnsi="Traditional Arabic" w:hint="cs"/>
          <w:sz w:val="32"/>
          <w:szCs w:val="32"/>
          <w:rtl/>
        </w:rPr>
        <w:t>ك</w:t>
      </w:r>
      <w:r w:rsidRPr="00CC26D9">
        <w:rPr>
          <w:rFonts w:ascii="Traditional Arabic" w:hAnsi="Traditional Arabic"/>
          <w:sz w:val="32"/>
          <w:szCs w:val="32"/>
          <w:rtl/>
        </w:rPr>
        <w:t xml:space="preserve">): </w:t>
      </w:r>
      <w:r w:rsidRPr="00CC26D9">
        <w:rPr>
          <w:rFonts w:ascii="Traditional Arabic" w:hAnsi="Traditional Arabic" w:hint="cs"/>
          <w:sz w:val="32"/>
          <w:szCs w:val="32"/>
          <w:rtl/>
        </w:rPr>
        <w:t>[</w:t>
      </w:r>
      <w:r w:rsidRPr="00CC26D9">
        <w:rPr>
          <w:rFonts w:ascii="Traditional Arabic" w:hAnsi="Traditional Arabic"/>
          <w:sz w:val="32"/>
          <w:szCs w:val="32"/>
          <w:rtl/>
        </w:rPr>
        <w:t>إنما هم كهيئتهم</w:t>
      </w:r>
      <w:r w:rsidRPr="00CC26D9">
        <w:rPr>
          <w:rFonts w:ascii="Traditional Arabic" w:hAnsi="Traditional Arabic" w:hint="cs"/>
          <w:sz w:val="32"/>
          <w:szCs w:val="32"/>
          <w:rtl/>
        </w:rPr>
        <w:t>]</w:t>
      </w:r>
      <w:r w:rsidRPr="00CC26D9">
        <w:rPr>
          <w:rFonts w:ascii="Traditional Arabic" w:hAnsi="Traditional Arabic"/>
          <w:sz w:val="32"/>
          <w:szCs w:val="32"/>
          <w:rtl/>
        </w:rPr>
        <w:t xml:space="preserve">. </w:t>
      </w:r>
    </w:p>
  </w:footnote>
  <w:footnote w:id="964">
    <w:p w:rsidR="003F128F" w:rsidRPr="00CE7A14" w:rsidRDefault="003F128F" w:rsidP="00C76CC2">
      <w:pPr>
        <w:pStyle w:val="af3"/>
        <w:rPr>
          <w:rFonts w:ascii="Tahoma" w:hAnsi="Tahoma"/>
        </w:rPr>
      </w:pPr>
      <w:r w:rsidRPr="00CE7A14">
        <w:rPr>
          <w:rFonts w:ascii="Traditional Arabic" w:hAnsi="Traditional Arabic"/>
          <w:sz w:val="32"/>
          <w:szCs w:val="32"/>
          <w:rtl/>
        </w:rPr>
        <w:t>(</w:t>
      </w:r>
      <w:r w:rsidRPr="00CE7A14">
        <w:rPr>
          <w:rStyle w:val="ae"/>
          <w:rFonts w:ascii="Traditional Arabic" w:hAnsi="Traditional Arabic"/>
          <w:sz w:val="32"/>
          <w:szCs w:val="32"/>
          <w:vertAlign w:val="baseline"/>
        </w:rPr>
        <w:footnoteRef/>
      </w:r>
      <w:r>
        <w:rPr>
          <w:rFonts w:ascii="Traditional Arabic" w:hAnsi="Traditional Arabic"/>
          <w:sz w:val="32"/>
          <w:szCs w:val="32"/>
          <w:rtl/>
        </w:rPr>
        <w:t>) ما بين ال</w:t>
      </w:r>
      <w:r>
        <w:rPr>
          <w:rFonts w:ascii="Traditional Arabic" w:hAnsi="Traditional Arabic" w:hint="cs"/>
          <w:sz w:val="32"/>
          <w:szCs w:val="32"/>
          <w:rtl/>
        </w:rPr>
        <w:t>معكوفتين</w:t>
      </w:r>
      <w:r>
        <w:rPr>
          <w:rFonts w:ascii="Traditional Arabic" w:hAnsi="Traditional Arabic"/>
          <w:sz w:val="32"/>
          <w:szCs w:val="32"/>
          <w:rtl/>
        </w:rPr>
        <w:t xml:space="preserve"> ساقط </w:t>
      </w:r>
      <w:r>
        <w:rPr>
          <w:rFonts w:ascii="Traditional Arabic" w:hAnsi="Traditional Arabic" w:hint="cs"/>
          <w:sz w:val="32"/>
          <w:szCs w:val="32"/>
          <w:rtl/>
        </w:rPr>
        <w:t>من الأصل, والمثبت من (ك)</w:t>
      </w:r>
      <w:r w:rsidRPr="00CE7A14">
        <w:rPr>
          <w:rFonts w:ascii="Traditional Arabic" w:hAnsi="Traditional Arabic"/>
          <w:sz w:val="32"/>
          <w:szCs w:val="32"/>
          <w:rtl/>
        </w:rPr>
        <w:t>.</w:t>
      </w:r>
    </w:p>
  </w:footnote>
  <w:footnote w:id="965">
    <w:p w:rsidR="003F128F" w:rsidRPr="00CE7A14" w:rsidRDefault="003F128F" w:rsidP="005C21CD">
      <w:pPr>
        <w:pStyle w:val="af3"/>
        <w:rPr>
          <w:rFonts w:ascii="Traditional Arabic" w:hAnsi="Traditional Arabic"/>
          <w:sz w:val="32"/>
          <w:szCs w:val="32"/>
        </w:rPr>
      </w:pPr>
      <w:r w:rsidRPr="00CE7A14">
        <w:rPr>
          <w:rFonts w:ascii="Traditional Arabic" w:hAnsi="Traditional Arabic"/>
          <w:sz w:val="32"/>
          <w:szCs w:val="32"/>
          <w:rtl/>
        </w:rPr>
        <w:t>(</w:t>
      </w:r>
      <w:r w:rsidRPr="00CE7A14">
        <w:rPr>
          <w:rStyle w:val="ae"/>
          <w:rFonts w:ascii="Traditional Arabic" w:hAnsi="Traditional Arabic"/>
          <w:sz w:val="32"/>
          <w:szCs w:val="32"/>
          <w:vertAlign w:val="baseline"/>
        </w:rPr>
        <w:footnoteRef/>
      </w:r>
      <w:r>
        <w:rPr>
          <w:rFonts w:ascii="Traditional Arabic" w:hAnsi="Traditional Arabic"/>
          <w:sz w:val="32"/>
          <w:szCs w:val="32"/>
          <w:rtl/>
        </w:rPr>
        <w:t>) في (</w:t>
      </w:r>
      <w:r>
        <w:rPr>
          <w:rFonts w:ascii="Traditional Arabic" w:hAnsi="Traditional Arabic" w:hint="cs"/>
          <w:sz w:val="32"/>
          <w:szCs w:val="32"/>
          <w:rtl/>
        </w:rPr>
        <w:t>ك</w:t>
      </w:r>
      <w:r>
        <w:rPr>
          <w:rFonts w:ascii="Traditional Arabic" w:hAnsi="Traditional Arabic"/>
          <w:sz w:val="32"/>
          <w:szCs w:val="32"/>
          <w:rtl/>
        </w:rPr>
        <w:t xml:space="preserve">): </w:t>
      </w:r>
      <w:r>
        <w:rPr>
          <w:rFonts w:ascii="Traditional Arabic" w:hAnsi="Traditional Arabic" w:hint="cs"/>
          <w:sz w:val="32"/>
          <w:szCs w:val="32"/>
          <w:rtl/>
        </w:rPr>
        <w:t>[</w:t>
      </w:r>
      <w:r>
        <w:rPr>
          <w:rFonts w:ascii="Traditional Arabic" w:hAnsi="Traditional Arabic"/>
          <w:sz w:val="32"/>
          <w:szCs w:val="32"/>
          <w:rtl/>
        </w:rPr>
        <w:t>فلا حاجة لي إِليه</w:t>
      </w:r>
      <w:r>
        <w:rPr>
          <w:rFonts w:ascii="Traditional Arabic" w:hAnsi="Traditional Arabic" w:hint="cs"/>
          <w:sz w:val="32"/>
          <w:szCs w:val="32"/>
          <w:rtl/>
        </w:rPr>
        <w:t>]</w:t>
      </w:r>
      <w:r w:rsidRPr="00CE7A14">
        <w:rPr>
          <w:rFonts w:ascii="Traditional Arabic" w:hAnsi="Traditional Arabic"/>
          <w:sz w:val="32"/>
          <w:szCs w:val="32"/>
          <w:rtl/>
        </w:rPr>
        <w:t>.</w:t>
      </w:r>
    </w:p>
  </w:footnote>
  <w:footnote w:id="966">
    <w:p w:rsidR="003F128F" w:rsidRPr="00CE7A14" w:rsidRDefault="003F128F" w:rsidP="005C21CD">
      <w:pPr>
        <w:pStyle w:val="af3"/>
        <w:rPr>
          <w:rFonts w:ascii="Traditional Arabic" w:hAnsi="Traditional Arabic"/>
          <w:sz w:val="32"/>
          <w:szCs w:val="32"/>
        </w:rPr>
      </w:pPr>
      <w:r w:rsidRPr="00CE7A14">
        <w:rPr>
          <w:rFonts w:ascii="Traditional Arabic" w:hAnsi="Traditional Arabic"/>
          <w:sz w:val="32"/>
          <w:szCs w:val="32"/>
          <w:rtl/>
        </w:rPr>
        <w:t>(</w:t>
      </w:r>
      <w:r w:rsidRPr="00CE7A14">
        <w:rPr>
          <w:rStyle w:val="ae"/>
          <w:rFonts w:ascii="Traditional Arabic" w:hAnsi="Traditional Arabic"/>
          <w:sz w:val="32"/>
          <w:szCs w:val="32"/>
          <w:vertAlign w:val="baseline"/>
        </w:rPr>
        <w:footnoteRef/>
      </w:r>
      <w:r w:rsidRPr="00CE7A14">
        <w:rPr>
          <w:rFonts w:ascii="Traditional Arabic" w:hAnsi="Traditional Arabic"/>
          <w:sz w:val="32"/>
          <w:szCs w:val="32"/>
          <w:rtl/>
        </w:rPr>
        <w:t xml:space="preserve">) ذكره الثعلبي في الكشف والبيان (6/151), والبغوي في معالم التنزيل (5/150). </w:t>
      </w:r>
    </w:p>
  </w:footnote>
  <w:footnote w:id="967">
    <w:p w:rsidR="003F128F" w:rsidRPr="00CE7A14" w:rsidRDefault="003F128F" w:rsidP="005C21CD">
      <w:pPr>
        <w:pStyle w:val="af3"/>
        <w:rPr>
          <w:rFonts w:ascii="Tahoma" w:hAnsi="Tahoma"/>
        </w:rPr>
      </w:pPr>
      <w:r w:rsidRPr="00CE7A14">
        <w:rPr>
          <w:rFonts w:ascii="Traditional Arabic" w:hAnsi="Traditional Arabic"/>
          <w:sz w:val="32"/>
          <w:szCs w:val="32"/>
          <w:rtl/>
        </w:rPr>
        <w:t>(</w:t>
      </w:r>
      <w:r w:rsidRPr="00CE7A14">
        <w:rPr>
          <w:rStyle w:val="ae"/>
          <w:rFonts w:ascii="Traditional Arabic" w:hAnsi="Traditional Arabic"/>
          <w:sz w:val="32"/>
          <w:szCs w:val="32"/>
          <w:vertAlign w:val="baseline"/>
        </w:rPr>
        <w:footnoteRef/>
      </w:r>
      <w:r>
        <w:rPr>
          <w:rFonts w:ascii="Traditional Arabic" w:hAnsi="Traditional Arabic"/>
          <w:sz w:val="32"/>
          <w:szCs w:val="32"/>
          <w:rtl/>
        </w:rPr>
        <w:t>) في (</w:t>
      </w:r>
      <w:r>
        <w:rPr>
          <w:rFonts w:ascii="Traditional Arabic" w:hAnsi="Traditional Arabic" w:hint="cs"/>
          <w:sz w:val="32"/>
          <w:szCs w:val="32"/>
          <w:rtl/>
        </w:rPr>
        <w:t>ك</w:t>
      </w:r>
      <w:r>
        <w:rPr>
          <w:rFonts w:ascii="Traditional Arabic" w:hAnsi="Traditional Arabic"/>
          <w:sz w:val="32"/>
          <w:szCs w:val="32"/>
          <w:rtl/>
        </w:rPr>
        <w:t xml:space="preserve">): </w:t>
      </w:r>
      <w:r>
        <w:rPr>
          <w:rFonts w:ascii="Traditional Arabic" w:hAnsi="Traditional Arabic" w:hint="cs"/>
          <w:sz w:val="32"/>
          <w:szCs w:val="32"/>
          <w:rtl/>
        </w:rPr>
        <w:t>[</w:t>
      </w:r>
      <w:r>
        <w:rPr>
          <w:rFonts w:ascii="Traditional Arabic" w:hAnsi="Traditional Arabic"/>
          <w:sz w:val="32"/>
          <w:szCs w:val="32"/>
          <w:rtl/>
        </w:rPr>
        <w:t>قال</w:t>
      </w:r>
      <w:r>
        <w:rPr>
          <w:rFonts w:ascii="Traditional Arabic" w:hAnsi="Traditional Arabic" w:hint="cs"/>
          <w:sz w:val="32"/>
          <w:szCs w:val="32"/>
          <w:rtl/>
        </w:rPr>
        <w:t>ا]</w:t>
      </w:r>
      <w:r>
        <w:rPr>
          <w:rFonts w:ascii="Traditional Arabic" w:hAnsi="Traditional Arabic"/>
          <w:sz w:val="32"/>
          <w:szCs w:val="32"/>
          <w:rtl/>
        </w:rPr>
        <w:t xml:space="preserve"> بدل </w:t>
      </w:r>
      <w:r>
        <w:rPr>
          <w:rFonts w:ascii="Traditional Arabic" w:hAnsi="Traditional Arabic" w:hint="cs"/>
          <w:sz w:val="32"/>
          <w:szCs w:val="32"/>
          <w:rtl/>
        </w:rPr>
        <w:t>[</w:t>
      </w:r>
      <w:r>
        <w:rPr>
          <w:rFonts w:ascii="Traditional Arabic" w:hAnsi="Traditional Arabic"/>
          <w:sz w:val="32"/>
          <w:szCs w:val="32"/>
          <w:rtl/>
        </w:rPr>
        <w:t>قالوا</w:t>
      </w:r>
      <w:r>
        <w:rPr>
          <w:rFonts w:ascii="Traditional Arabic" w:hAnsi="Traditional Arabic" w:hint="cs"/>
          <w:sz w:val="32"/>
          <w:szCs w:val="32"/>
          <w:rtl/>
        </w:rPr>
        <w:t>]</w:t>
      </w:r>
      <w:r w:rsidRPr="00CE7A14">
        <w:rPr>
          <w:rFonts w:ascii="Traditional Arabic" w:hAnsi="Traditional Arabic"/>
          <w:sz w:val="32"/>
          <w:szCs w:val="32"/>
          <w:rtl/>
        </w:rPr>
        <w:t>.</w:t>
      </w:r>
    </w:p>
  </w:footnote>
  <w:footnote w:id="968">
    <w:p w:rsidR="003F128F" w:rsidRPr="002D4155" w:rsidRDefault="003F128F" w:rsidP="005C21CD">
      <w:pPr>
        <w:pStyle w:val="af3"/>
        <w:rPr>
          <w:rFonts w:ascii="Tahoma" w:hAnsi="Tahoma"/>
        </w:rPr>
      </w:pPr>
      <w:r w:rsidRPr="002D4155">
        <w:rPr>
          <w:rFonts w:ascii="Tahoma" w:hAnsi="Tahoma"/>
          <w:rtl/>
        </w:rPr>
        <w:t>(</w:t>
      </w:r>
      <w:r w:rsidRPr="002D4155">
        <w:rPr>
          <w:rStyle w:val="ae"/>
          <w:rFonts w:ascii="Tahoma" w:hAnsi="Tahoma"/>
          <w:vertAlign w:val="baseline"/>
        </w:rPr>
        <w:footnoteRef/>
      </w:r>
      <w:r w:rsidRPr="002D4155">
        <w:rPr>
          <w:rFonts w:ascii="Tahoma" w:hAnsi="Tahoma"/>
          <w:rtl/>
        </w:rPr>
        <w:t>)</w:t>
      </w:r>
      <w:r>
        <w:rPr>
          <w:rFonts w:ascii="Tahoma" w:hAnsi="Tahoma"/>
          <w:rtl/>
        </w:rPr>
        <w:t xml:space="preserve"> </w:t>
      </w:r>
      <w:r>
        <w:rPr>
          <w:rFonts w:ascii="Tahoma" w:hAnsi="Tahoma" w:hint="cs"/>
          <w:rtl/>
        </w:rPr>
        <w:t xml:space="preserve">ذكره </w:t>
      </w:r>
      <w:r w:rsidRPr="004A795E">
        <w:rPr>
          <w:rFonts w:ascii="Traditional Arabic" w:hAnsi="Traditional Arabic"/>
          <w:sz w:val="32"/>
          <w:szCs w:val="32"/>
          <w:rtl/>
        </w:rPr>
        <w:t>السمرقندي في بحر العلوم (2/3</w:t>
      </w:r>
      <w:r>
        <w:rPr>
          <w:rFonts w:ascii="Traditional Arabic" w:hAnsi="Traditional Arabic" w:hint="cs"/>
          <w:sz w:val="32"/>
          <w:szCs w:val="32"/>
          <w:rtl/>
        </w:rPr>
        <w:t>41</w:t>
      </w:r>
      <w:r w:rsidRPr="004A795E">
        <w:rPr>
          <w:rFonts w:ascii="Traditional Arabic" w:hAnsi="Traditional Arabic"/>
          <w:sz w:val="32"/>
          <w:szCs w:val="32"/>
          <w:rtl/>
        </w:rPr>
        <w:t>)</w:t>
      </w:r>
      <w:r>
        <w:rPr>
          <w:rFonts w:ascii="Traditional Arabic" w:hAnsi="Traditional Arabic" w:hint="cs"/>
          <w:sz w:val="32"/>
          <w:szCs w:val="32"/>
          <w:rtl/>
        </w:rPr>
        <w:t>.</w:t>
      </w:r>
    </w:p>
  </w:footnote>
  <w:footnote w:id="969">
    <w:p w:rsidR="003F128F" w:rsidRPr="002B4111" w:rsidRDefault="003F128F" w:rsidP="005C21CD">
      <w:pPr>
        <w:pStyle w:val="af3"/>
        <w:rPr>
          <w:rFonts w:ascii="Traditional Arabic" w:hAnsi="Traditional Arabic"/>
          <w:sz w:val="32"/>
          <w:szCs w:val="32"/>
        </w:rPr>
      </w:pPr>
      <w:r w:rsidRPr="002B4111">
        <w:rPr>
          <w:rFonts w:ascii="Traditional Arabic" w:hAnsi="Traditional Arabic"/>
          <w:sz w:val="32"/>
          <w:szCs w:val="32"/>
          <w:rtl/>
        </w:rPr>
        <w:t>(</w:t>
      </w:r>
      <w:r w:rsidRPr="002B4111">
        <w:rPr>
          <w:rStyle w:val="ae"/>
          <w:rFonts w:ascii="Traditional Arabic" w:hAnsi="Traditional Arabic"/>
          <w:sz w:val="32"/>
          <w:szCs w:val="32"/>
          <w:vertAlign w:val="baseline"/>
        </w:rPr>
        <w:footnoteRef/>
      </w:r>
      <w:r w:rsidRPr="002B4111">
        <w:rPr>
          <w:rFonts w:ascii="Traditional Arabic" w:hAnsi="Traditional Arabic"/>
          <w:sz w:val="32"/>
          <w:szCs w:val="32"/>
          <w:rtl/>
        </w:rPr>
        <w:t>) انظر: معاني القرآن وإعرابه (3/271).</w:t>
      </w:r>
    </w:p>
  </w:footnote>
  <w:footnote w:id="970">
    <w:p w:rsidR="003F128F" w:rsidRPr="002B4111" w:rsidRDefault="003F128F" w:rsidP="005C21CD">
      <w:pPr>
        <w:pStyle w:val="af3"/>
        <w:rPr>
          <w:rFonts w:ascii="Traditional Arabic" w:hAnsi="Traditional Arabic"/>
          <w:sz w:val="32"/>
          <w:szCs w:val="32"/>
        </w:rPr>
      </w:pPr>
      <w:r w:rsidRPr="002B4111">
        <w:rPr>
          <w:rFonts w:ascii="Traditional Arabic" w:hAnsi="Traditional Arabic"/>
          <w:sz w:val="32"/>
          <w:szCs w:val="32"/>
          <w:rtl/>
        </w:rPr>
        <w:t>(</w:t>
      </w:r>
      <w:r w:rsidRPr="002B4111">
        <w:rPr>
          <w:rStyle w:val="ae"/>
          <w:rFonts w:ascii="Traditional Arabic" w:hAnsi="Traditional Arabic"/>
          <w:sz w:val="32"/>
          <w:szCs w:val="32"/>
          <w:vertAlign w:val="baseline"/>
        </w:rPr>
        <w:footnoteRef/>
      </w:r>
      <w:r w:rsidRPr="002B4111">
        <w:rPr>
          <w:rFonts w:ascii="Traditional Arabic" w:hAnsi="Traditional Arabic"/>
          <w:sz w:val="32"/>
          <w:szCs w:val="32"/>
          <w:rtl/>
        </w:rPr>
        <w:t>) انظر: النكت والعيون (3/28</w:t>
      </w:r>
      <w:r>
        <w:rPr>
          <w:rFonts w:ascii="Traditional Arabic" w:hAnsi="Traditional Arabic" w:hint="cs"/>
          <w:sz w:val="32"/>
          <w:szCs w:val="32"/>
          <w:rtl/>
        </w:rPr>
        <w:t>8</w:t>
      </w:r>
      <w:r w:rsidRPr="002B4111">
        <w:rPr>
          <w:rFonts w:ascii="Traditional Arabic" w:hAnsi="Traditional Arabic"/>
          <w:sz w:val="32"/>
          <w:szCs w:val="32"/>
          <w:rtl/>
        </w:rPr>
        <w:t xml:space="preserve">). </w:t>
      </w:r>
    </w:p>
  </w:footnote>
  <w:footnote w:id="971">
    <w:p w:rsidR="003F128F" w:rsidRPr="002B4111" w:rsidRDefault="003F128F" w:rsidP="00A34A43">
      <w:pPr>
        <w:pStyle w:val="af3"/>
        <w:rPr>
          <w:rFonts w:ascii="Traditional Arabic" w:hAnsi="Traditional Arabic"/>
          <w:sz w:val="32"/>
          <w:szCs w:val="32"/>
        </w:rPr>
      </w:pPr>
      <w:r w:rsidRPr="002B4111">
        <w:rPr>
          <w:rFonts w:ascii="Traditional Arabic" w:hAnsi="Traditional Arabic"/>
          <w:sz w:val="32"/>
          <w:szCs w:val="32"/>
          <w:rtl/>
        </w:rPr>
        <w:t>(</w:t>
      </w:r>
      <w:r w:rsidRPr="002B4111">
        <w:rPr>
          <w:rStyle w:val="ae"/>
          <w:rFonts w:ascii="Traditional Arabic" w:hAnsi="Traditional Arabic"/>
          <w:sz w:val="32"/>
          <w:szCs w:val="32"/>
          <w:vertAlign w:val="baseline"/>
        </w:rPr>
        <w:footnoteRef/>
      </w:r>
      <w:r w:rsidRPr="002B4111">
        <w:rPr>
          <w:rFonts w:ascii="Traditional Arabic" w:hAnsi="Traditional Arabic"/>
          <w:sz w:val="32"/>
          <w:szCs w:val="32"/>
          <w:rtl/>
        </w:rPr>
        <w:t>)</w:t>
      </w:r>
      <w:r>
        <w:rPr>
          <w:rFonts w:ascii="Traditional Arabic" w:hAnsi="Traditional Arabic"/>
          <w:sz w:val="32"/>
          <w:szCs w:val="32"/>
          <w:rtl/>
        </w:rPr>
        <w:t xml:space="preserve"> </w:t>
      </w:r>
      <w:r>
        <w:rPr>
          <w:rFonts w:ascii="Traditional Arabic" w:hAnsi="Traditional Arabic" w:hint="cs"/>
          <w:sz w:val="32"/>
          <w:szCs w:val="32"/>
          <w:rtl/>
        </w:rPr>
        <w:t>تفسير مقاتل (2/576),</w:t>
      </w:r>
      <w:r w:rsidRPr="002B4111">
        <w:rPr>
          <w:rFonts w:ascii="Traditional Arabic" w:hAnsi="Traditional Arabic"/>
          <w:sz w:val="32"/>
          <w:szCs w:val="32"/>
          <w:rtl/>
        </w:rPr>
        <w:t xml:space="preserve"> النكت والعيون (3/28</w:t>
      </w:r>
      <w:r>
        <w:rPr>
          <w:rFonts w:ascii="Traditional Arabic" w:hAnsi="Traditional Arabic" w:hint="cs"/>
          <w:sz w:val="32"/>
          <w:szCs w:val="32"/>
          <w:rtl/>
        </w:rPr>
        <w:t>8</w:t>
      </w:r>
      <w:r>
        <w:rPr>
          <w:rFonts w:ascii="Traditional Arabic" w:hAnsi="Traditional Arabic"/>
          <w:sz w:val="32"/>
          <w:szCs w:val="32"/>
          <w:rtl/>
        </w:rPr>
        <w:t>)</w:t>
      </w:r>
      <w:r>
        <w:rPr>
          <w:rFonts w:ascii="Traditional Arabic" w:hAnsi="Traditional Arabic" w:hint="cs"/>
          <w:sz w:val="32"/>
          <w:szCs w:val="32"/>
          <w:rtl/>
        </w:rPr>
        <w:t>.</w:t>
      </w:r>
    </w:p>
  </w:footnote>
  <w:footnote w:id="972">
    <w:p w:rsidR="003F128F" w:rsidRPr="002B4111" w:rsidRDefault="003F128F" w:rsidP="005C21CD">
      <w:pPr>
        <w:pStyle w:val="af3"/>
        <w:rPr>
          <w:rFonts w:ascii="Traditional Arabic" w:hAnsi="Traditional Arabic"/>
          <w:sz w:val="32"/>
          <w:szCs w:val="32"/>
        </w:rPr>
      </w:pPr>
      <w:r w:rsidRPr="002B4111">
        <w:rPr>
          <w:rFonts w:ascii="Traditional Arabic" w:hAnsi="Traditional Arabic"/>
          <w:sz w:val="32"/>
          <w:szCs w:val="32"/>
          <w:rtl/>
        </w:rPr>
        <w:t>(</w:t>
      </w:r>
      <w:r w:rsidRPr="002B4111">
        <w:rPr>
          <w:rStyle w:val="ae"/>
          <w:rFonts w:ascii="Traditional Arabic" w:hAnsi="Traditional Arabic"/>
          <w:sz w:val="32"/>
          <w:szCs w:val="32"/>
          <w:vertAlign w:val="baseline"/>
        </w:rPr>
        <w:footnoteRef/>
      </w:r>
      <w:r w:rsidRPr="002B4111">
        <w:rPr>
          <w:rFonts w:ascii="Traditional Arabic" w:hAnsi="Traditional Arabic"/>
          <w:sz w:val="32"/>
          <w:szCs w:val="32"/>
          <w:rtl/>
        </w:rPr>
        <w:t>)</w:t>
      </w:r>
      <w:r>
        <w:rPr>
          <w:rFonts w:ascii="Traditional Arabic" w:hAnsi="Traditional Arabic" w:hint="cs"/>
          <w:sz w:val="32"/>
          <w:szCs w:val="32"/>
          <w:rtl/>
        </w:rPr>
        <w:t xml:space="preserve"> تفسير الطبري (17/613), الكشف والبيان (6/158).</w:t>
      </w:r>
      <w:r w:rsidRPr="002B4111">
        <w:rPr>
          <w:rFonts w:ascii="Traditional Arabic" w:hAnsi="Traditional Arabic"/>
          <w:sz w:val="32"/>
          <w:szCs w:val="32"/>
          <w:rtl/>
        </w:rPr>
        <w:t xml:space="preserve"> </w:t>
      </w:r>
    </w:p>
  </w:footnote>
  <w:footnote w:id="973">
    <w:p w:rsidR="003F128F" w:rsidRPr="00A11306" w:rsidRDefault="003F128F" w:rsidP="00612C9C">
      <w:pPr>
        <w:pStyle w:val="af3"/>
        <w:rPr>
          <w:rFonts w:ascii="Traditional Arabic" w:hAnsi="Traditional Arabic"/>
          <w:sz w:val="32"/>
          <w:szCs w:val="32"/>
        </w:rPr>
      </w:pPr>
      <w:r w:rsidRPr="00A11306">
        <w:rPr>
          <w:rFonts w:ascii="Traditional Arabic" w:hAnsi="Traditional Arabic"/>
          <w:sz w:val="32"/>
          <w:szCs w:val="32"/>
          <w:rtl/>
        </w:rPr>
        <w:t>(</w:t>
      </w:r>
      <w:r w:rsidRPr="00A11306">
        <w:rPr>
          <w:rStyle w:val="ae"/>
          <w:rFonts w:ascii="Traditional Arabic" w:hAnsi="Traditional Arabic"/>
          <w:sz w:val="32"/>
          <w:szCs w:val="32"/>
          <w:vertAlign w:val="baseline"/>
        </w:rPr>
        <w:footnoteRef/>
      </w:r>
      <w:r w:rsidRPr="00A11306">
        <w:rPr>
          <w:rFonts w:ascii="Traditional Arabic" w:hAnsi="Traditional Arabic"/>
          <w:sz w:val="32"/>
          <w:szCs w:val="32"/>
          <w:rtl/>
        </w:rPr>
        <w:t>)</w:t>
      </w:r>
      <w:r>
        <w:rPr>
          <w:rFonts w:ascii="Traditional Arabic" w:hAnsi="Traditional Arabic" w:hint="cs"/>
          <w:sz w:val="32"/>
          <w:szCs w:val="32"/>
          <w:rtl/>
        </w:rPr>
        <w:t xml:space="preserve"> </w:t>
      </w:r>
      <w:r w:rsidRPr="00A11306">
        <w:rPr>
          <w:rFonts w:ascii="Traditional Arabic" w:hAnsi="Traditional Arabic"/>
          <w:sz w:val="32"/>
          <w:szCs w:val="32"/>
          <w:rtl/>
        </w:rPr>
        <w:t>انظر: مختصر الشواذ (ص82).</w:t>
      </w:r>
    </w:p>
  </w:footnote>
  <w:footnote w:id="974">
    <w:p w:rsidR="003F128F" w:rsidRPr="00A11306" w:rsidRDefault="003F128F" w:rsidP="00612C9C">
      <w:pPr>
        <w:pStyle w:val="af3"/>
        <w:rPr>
          <w:rFonts w:ascii="Traditional Arabic" w:hAnsi="Traditional Arabic"/>
          <w:sz w:val="32"/>
          <w:szCs w:val="32"/>
        </w:rPr>
      </w:pPr>
      <w:r w:rsidRPr="00A11306">
        <w:rPr>
          <w:rFonts w:ascii="Traditional Arabic" w:hAnsi="Traditional Arabic"/>
          <w:sz w:val="32"/>
          <w:szCs w:val="32"/>
          <w:rtl/>
        </w:rPr>
        <w:t>(</w:t>
      </w:r>
      <w:r w:rsidRPr="00A11306">
        <w:rPr>
          <w:rStyle w:val="ae"/>
          <w:rFonts w:ascii="Traditional Arabic" w:hAnsi="Traditional Arabic"/>
          <w:sz w:val="32"/>
          <w:szCs w:val="32"/>
          <w:vertAlign w:val="baseline"/>
        </w:rPr>
        <w:footnoteRef/>
      </w:r>
      <w:r>
        <w:rPr>
          <w:rFonts w:ascii="Traditional Arabic" w:hAnsi="Traditional Arabic"/>
          <w:sz w:val="32"/>
          <w:szCs w:val="32"/>
          <w:rtl/>
        </w:rPr>
        <w:t xml:space="preserve">) في </w:t>
      </w:r>
      <w:r>
        <w:rPr>
          <w:rFonts w:ascii="Traditional Arabic" w:hAnsi="Traditional Arabic" w:hint="cs"/>
          <w:sz w:val="32"/>
          <w:szCs w:val="32"/>
          <w:rtl/>
        </w:rPr>
        <w:t>الأصل:</w:t>
      </w:r>
      <w:r>
        <w:rPr>
          <w:rFonts w:ascii="Traditional Arabic" w:hAnsi="Traditional Arabic"/>
          <w:sz w:val="32"/>
          <w:szCs w:val="32"/>
          <w:rtl/>
        </w:rPr>
        <w:t xml:space="preserve"> </w:t>
      </w:r>
      <w:r>
        <w:rPr>
          <w:rFonts w:ascii="Traditional Arabic" w:hAnsi="Traditional Arabic" w:hint="cs"/>
          <w:sz w:val="32"/>
          <w:szCs w:val="32"/>
          <w:rtl/>
        </w:rPr>
        <w:t>[</w:t>
      </w:r>
      <w:r>
        <w:rPr>
          <w:rFonts w:ascii="Traditional Arabic" w:hAnsi="Traditional Arabic"/>
          <w:sz w:val="32"/>
          <w:szCs w:val="32"/>
          <w:rtl/>
        </w:rPr>
        <w:t>يعني</w:t>
      </w:r>
      <w:r>
        <w:rPr>
          <w:rFonts w:ascii="Traditional Arabic" w:hAnsi="Traditional Arabic" w:hint="cs"/>
          <w:sz w:val="32"/>
          <w:szCs w:val="32"/>
          <w:rtl/>
        </w:rPr>
        <w:t>], والمثبت من (ك).</w:t>
      </w:r>
    </w:p>
  </w:footnote>
  <w:footnote w:id="975">
    <w:p w:rsidR="003F128F" w:rsidRPr="00A11306" w:rsidRDefault="003F128F" w:rsidP="00A34A43">
      <w:pPr>
        <w:pStyle w:val="af3"/>
        <w:rPr>
          <w:rFonts w:ascii="Traditional Arabic" w:hAnsi="Traditional Arabic"/>
          <w:sz w:val="32"/>
          <w:szCs w:val="32"/>
        </w:rPr>
      </w:pPr>
      <w:r w:rsidRPr="00A11306">
        <w:rPr>
          <w:rFonts w:ascii="Traditional Arabic" w:hAnsi="Traditional Arabic"/>
          <w:sz w:val="32"/>
          <w:szCs w:val="32"/>
          <w:rtl/>
        </w:rPr>
        <w:t>(</w:t>
      </w:r>
      <w:r w:rsidRPr="00A11306">
        <w:rPr>
          <w:rStyle w:val="ae"/>
          <w:rFonts w:ascii="Traditional Arabic" w:hAnsi="Traditional Arabic"/>
          <w:sz w:val="32"/>
          <w:szCs w:val="32"/>
          <w:vertAlign w:val="baseline"/>
        </w:rPr>
        <w:footnoteRef/>
      </w:r>
      <w:r w:rsidRPr="00A11306">
        <w:rPr>
          <w:rFonts w:ascii="Traditional Arabic" w:hAnsi="Traditional Arabic"/>
          <w:sz w:val="32"/>
          <w:szCs w:val="32"/>
          <w:rtl/>
        </w:rPr>
        <w:t>) انظر: تفسير مقاتل (2/5</w:t>
      </w:r>
      <w:r>
        <w:rPr>
          <w:rFonts w:ascii="Traditional Arabic" w:hAnsi="Traditional Arabic"/>
          <w:sz w:val="32"/>
          <w:szCs w:val="32"/>
          <w:rtl/>
        </w:rPr>
        <w:t>76), تفسير يحيى بن سلام (1/173)</w:t>
      </w:r>
      <w:r>
        <w:rPr>
          <w:rFonts w:ascii="Traditional Arabic" w:hAnsi="Traditional Arabic" w:hint="cs"/>
          <w:sz w:val="32"/>
          <w:szCs w:val="32"/>
          <w:rtl/>
        </w:rPr>
        <w:t>.</w:t>
      </w:r>
      <w:r w:rsidRPr="00A11306">
        <w:rPr>
          <w:rFonts w:ascii="Traditional Arabic" w:hAnsi="Traditional Arabic"/>
          <w:sz w:val="32"/>
          <w:szCs w:val="32"/>
          <w:rtl/>
        </w:rPr>
        <w:t xml:space="preserve"> </w:t>
      </w:r>
    </w:p>
  </w:footnote>
  <w:footnote w:id="976">
    <w:p w:rsidR="003F128F" w:rsidRPr="00A11306" w:rsidRDefault="003F128F" w:rsidP="005C21CD">
      <w:pPr>
        <w:pStyle w:val="af3"/>
        <w:rPr>
          <w:rFonts w:ascii="Tahoma" w:hAnsi="Tahoma"/>
        </w:rPr>
      </w:pPr>
      <w:r w:rsidRPr="00A11306">
        <w:rPr>
          <w:rFonts w:ascii="Traditional Arabic" w:hAnsi="Traditional Arabic"/>
          <w:sz w:val="32"/>
          <w:szCs w:val="32"/>
          <w:rtl/>
        </w:rPr>
        <w:t>(</w:t>
      </w:r>
      <w:r w:rsidRPr="00A11306">
        <w:rPr>
          <w:rStyle w:val="ae"/>
          <w:rFonts w:ascii="Traditional Arabic" w:hAnsi="Traditional Arabic"/>
          <w:sz w:val="32"/>
          <w:szCs w:val="32"/>
          <w:vertAlign w:val="baseline"/>
        </w:rPr>
        <w:footnoteRef/>
      </w:r>
      <w:r>
        <w:rPr>
          <w:rFonts w:ascii="Traditional Arabic" w:hAnsi="Traditional Arabic"/>
          <w:sz w:val="32"/>
          <w:szCs w:val="32"/>
          <w:rtl/>
        </w:rPr>
        <w:t xml:space="preserve">) في </w:t>
      </w:r>
      <w:r>
        <w:rPr>
          <w:rFonts w:ascii="Traditional Arabic" w:hAnsi="Traditional Arabic" w:hint="cs"/>
          <w:sz w:val="32"/>
          <w:szCs w:val="32"/>
          <w:rtl/>
        </w:rPr>
        <w:t>(ك)</w:t>
      </w:r>
      <w:r>
        <w:rPr>
          <w:rFonts w:ascii="Traditional Arabic" w:hAnsi="Traditional Arabic"/>
          <w:sz w:val="32"/>
          <w:szCs w:val="32"/>
          <w:rtl/>
        </w:rPr>
        <w:t xml:space="preserve">: </w:t>
      </w:r>
      <w:r>
        <w:rPr>
          <w:rFonts w:ascii="Traditional Arabic" w:hAnsi="Traditional Arabic" w:hint="cs"/>
          <w:sz w:val="32"/>
          <w:szCs w:val="32"/>
          <w:rtl/>
        </w:rPr>
        <w:t>[</w:t>
      </w:r>
      <w:r>
        <w:rPr>
          <w:rFonts w:ascii="Traditional Arabic" w:hAnsi="Traditional Arabic"/>
          <w:sz w:val="32"/>
          <w:szCs w:val="32"/>
          <w:rtl/>
        </w:rPr>
        <w:t xml:space="preserve">أحصى </w:t>
      </w:r>
      <w:r>
        <w:rPr>
          <w:rFonts w:ascii="Traditional Arabic" w:hAnsi="Traditional Arabic" w:hint="cs"/>
          <w:sz w:val="32"/>
          <w:szCs w:val="32"/>
          <w:rtl/>
        </w:rPr>
        <w:t>ل</w:t>
      </w:r>
      <w:r>
        <w:rPr>
          <w:rFonts w:ascii="Traditional Arabic" w:hAnsi="Traditional Arabic"/>
          <w:sz w:val="32"/>
          <w:szCs w:val="32"/>
          <w:rtl/>
        </w:rPr>
        <w:t>لأمد</w:t>
      </w:r>
      <w:r>
        <w:rPr>
          <w:rFonts w:ascii="Traditional Arabic" w:hAnsi="Traditional Arabic" w:hint="cs"/>
          <w:sz w:val="32"/>
          <w:szCs w:val="32"/>
          <w:rtl/>
        </w:rPr>
        <w:t>]</w:t>
      </w:r>
      <w:r w:rsidRPr="00A11306">
        <w:rPr>
          <w:rFonts w:ascii="Traditional Arabic" w:hAnsi="Traditional Arabic"/>
          <w:sz w:val="32"/>
          <w:szCs w:val="32"/>
          <w:rtl/>
        </w:rPr>
        <w:t xml:space="preserve">. </w:t>
      </w:r>
    </w:p>
  </w:footnote>
  <w:footnote w:id="977">
    <w:p w:rsidR="003F128F" w:rsidRPr="002B4111" w:rsidRDefault="003F128F" w:rsidP="00A34A43">
      <w:pPr>
        <w:pStyle w:val="af3"/>
        <w:rPr>
          <w:rFonts w:ascii="Traditional Arabic" w:hAnsi="Traditional Arabic"/>
          <w:sz w:val="32"/>
          <w:szCs w:val="32"/>
        </w:rPr>
      </w:pPr>
      <w:r w:rsidRPr="002B4111">
        <w:rPr>
          <w:rFonts w:ascii="Traditional Arabic" w:hAnsi="Traditional Arabic"/>
          <w:sz w:val="32"/>
          <w:szCs w:val="32"/>
          <w:rtl/>
        </w:rPr>
        <w:t>(</w:t>
      </w:r>
      <w:r w:rsidRPr="002B4111">
        <w:rPr>
          <w:rStyle w:val="ae"/>
          <w:rFonts w:ascii="Traditional Arabic" w:hAnsi="Traditional Arabic"/>
          <w:sz w:val="32"/>
          <w:szCs w:val="32"/>
          <w:vertAlign w:val="baseline"/>
        </w:rPr>
        <w:footnoteRef/>
      </w:r>
      <w:r w:rsidRPr="002B4111">
        <w:rPr>
          <w:rFonts w:ascii="Traditional Arabic" w:hAnsi="Traditional Arabic"/>
          <w:sz w:val="32"/>
          <w:szCs w:val="32"/>
          <w:rtl/>
        </w:rPr>
        <w:t xml:space="preserve">) </w:t>
      </w:r>
      <w:r>
        <w:rPr>
          <w:rFonts w:ascii="Traditional Arabic" w:hAnsi="Traditional Arabic" w:hint="cs"/>
          <w:sz w:val="32"/>
          <w:szCs w:val="32"/>
          <w:rtl/>
        </w:rPr>
        <w:t>انظر: تفسير الطبري (17/614),</w:t>
      </w:r>
      <w:r w:rsidRPr="00380BB3">
        <w:rPr>
          <w:rFonts w:ascii="Traditional Arabic" w:hAnsi="Traditional Arabic" w:hint="cs"/>
          <w:sz w:val="32"/>
          <w:szCs w:val="32"/>
          <w:rtl/>
        </w:rPr>
        <w:t xml:space="preserve"> </w:t>
      </w:r>
      <w:r>
        <w:rPr>
          <w:rFonts w:ascii="Traditional Arabic" w:hAnsi="Traditional Arabic" w:hint="cs"/>
          <w:sz w:val="32"/>
          <w:szCs w:val="32"/>
          <w:rtl/>
        </w:rPr>
        <w:t>الكشف والبيان (6/158).</w:t>
      </w:r>
    </w:p>
  </w:footnote>
  <w:footnote w:id="978">
    <w:p w:rsidR="003F128F" w:rsidRPr="002B4111" w:rsidRDefault="003F128F" w:rsidP="005C21CD">
      <w:pPr>
        <w:pStyle w:val="af3"/>
        <w:rPr>
          <w:rFonts w:ascii="Traditional Arabic" w:hAnsi="Traditional Arabic"/>
          <w:sz w:val="32"/>
          <w:szCs w:val="32"/>
          <w:rtl/>
        </w:rPr>
      </w:pPr>
      <w:r w:rsidRPr="002B4111">
        <w:rPr>
          <w:rFonts w:ascii="Traditional Arabic" w:hAnsi="Traditional Arabic"/>
          <w:sz w:val="32"/>
          <w:szCs w:val="32"/>
          <w:rtl/>
        </w:rPr>
        <w:t>(</w:t>
      </w:r>
      <w:r w:rsidRPr="002B4111">
        <w:rPr>
          <w:rStyle w:val="ae"/>
          <w:rFonts w:ascii="Traditional Arabic" w:hAnsi="Traditional Arabic"/>
          <w:sz w:val="32"/>
          <w:szCs w:val="32"/>
          <w:vertAlign w:val="baseline"/>
        </w:rPr>
        <w:footnoteRef/>
      </w:r>
      <w:r w:rsidRPr="002B4111">
        <w:rPr>
          <w:rFonts w:ascii="Traditional Arabic" w:hAnsi="Traditional Arabic"/>
          <w:sz w:val="32"/>
          <w:szCs w:val="32"/>
          <w:rtl/>
        </w:rPr>
        <w:t>)</w:t>
      </w:r>
      <w:r>
        <w:rPr>
          <w:rFonts w:ascii="Traditional Arabic" w:hAnsi="Traditional Arabic" w:hint="cs"/>
          <w:sz w:val="32"/>
          <w:szCs w:val="32"/>
          <w:rtl/>
        </w:rPr>
        <w:t xml:space="preserve"> انظر: تفسير الطبري (17/614), تفسير</w:t>
      </w:r>
      <w:r w:rsidRPr="002B4111">
        <w:rPr>
          <w:rFonts w:ascii="Traditional Arabic" w:hAnsi="Traditional Arabic"/>
          <w:sz w:val="32"/>
          <w:szCs w:val="32"/>
          <w:rtl/>
        </w:rPr>
        <w:t xml:space="preserve"> </w:t>
      </w:r>
      <w:r w:rsidRPr="00E11388">
        <w:rPr>
          <w:rFonts w:ascii="Traditional Arabic" w:hAnsi="Traditional Arabic"/>
          <w:sz w:val="32"/>
          <w:szCs w:val="32"/>
          <w:rtl/>
        </w:rPr>
        <w:t>ابن أبي حاتم (7/23</w:t>
      </w:r>
      <w:r>
        <w:rPr>
          <w:rFonts w:ascii="Traditional Arabic" w:hAnsi="Traditional Arabic" w:hint="cs"/>
          <w:sz w:val="32"/>
          <w:szCs w:val="32"/>
          <w:rtl/>
        </w:rPr>
        <w:t>50</w:t>
      </w:r>
      <w:r w:rsidRPr="00E11388">
        <w:rPr>
          <w:rFonts w:ascii="Traditional Arabic" w:hAnsi="Traditional Arabic"/>
          <w:sz w:val="32"/>
          <w:szCs w:val="32"/>
          <w:rtl/>
        </w:rPr>
        <w:t>).</w:t>
      </w:r>
    </w:p>
  </w:footnote>
  <w:footnote w:id="979">
    <w:p w:rsidR="003F128F" w:rsidRPr="002B4111" w:rsidRDefault="003F128F" w:rsidP="005C21CD">
      <w:pPr>
        <w:pStyle w:val="af3"/>
        <w:rPr>
          <w:rFonts w:ascii="Traditional Arabic" w:hAnsi="Traditional Arabic"/>
          <w:sz w:val="32"/>
          <w:szCs w:val="32"/>
        </w:rPr>
      </w:pPr>
      <w:r w:rsidRPr="002B4111">
        <w:rPr>
          <w:rFonts w:ascii="Traditional Arabic" w:hAnsi="Traditional Arabic"/>
          <w:sz w:val="32"/>
          <w:szCs w:val="32"/>
          <w:rtl/>
        </w:rPr>
        <w:t>(</w:t>
      </w:r>
      <w:r w:rsidRPr="002B4111">
        <w:rPr>
          <w:rStyle w:val="ae"/>
          <w:rFonts w:ascii="Traditional Arabic" w:hAnsi="Traditional Arabic"/>
          <w:sz w:val="32"/>
          <w:szCs w:val="32"/>
          <w:vertAlign w:val="baseline"/>
        </w:rPr>
        <w:footnoteRef/>
      </w:r>
      <w:r>
        <w:rPr>
          <w:rFonts w:ascii="Traditional Arabic" w:hAnsi="Traditional Arabic"/>
          <w:sz w:val="32"/>
          <w:szCs w:val="32"/>
          <w:rtl/>
        </w:rPr>
        <w:t>)</w:t>
      </w:r>
      <w:r>
        <w:rPr>
          <w:rFonts w:ascii="Traditional Arabic" w:hAnsi="Traditional Arabic" w:hint="cs"/>
          <w:sz w:val="32"/>
          <w:szCs w:val="32"/>
          <w:rtl/>
        </w:rPr>
        <w:t xml:space="preserve"> انظر: تفسير مقاتل (2/576).</w:t>
      </w:r>
    </w:p>
  </w:footnote>
  <w:footnote w:id="980">
    <w:p w:rsidR="003F128F" w:rsidRPr="002D4155" w:rsidRDefault="003F128F" w:rsidP="005C21CD">
      <w:pPr>
        <w:pStyle w:val="af3"/>
        <w:rPr>
          <w:rFonts w:ascii="Tahoma" w:hAnsi="Tahoma"/>
        </w:rPr>
      </w:pPr>
      <w:r w:rsidRPr="002B4111">
        <w:rPr>
          <w:rFonts w:ascii="Traditional Arabic" w:hAnsi="Traditional Arabic"/>
          <w:sz w:val="32"/>
          <w:szCs w:val="32"/>
          <w:rtl/>
        </w:rPr>
        <w:t>(</w:t>
      </w:r>
      <w:r w:rsidRPr="002B4111">
        <w:rPr>
          <w:rStyle w:val="ae"/>
          <w:rFonts w:ascii="Traditional Arabic" w:hAnsi="Traditional Arabic"/>
          <w:sz w:val="32"/>
          <w:szCs w:val="32"/>
          <w:vertAlign w:val="baseline"/>
        </w:rPr>
        <w:footnoteRef/>
      </w:r>
      <w:r w:rsidRPr="002B4111">
        <w:rPr>
          <w:rFonts w:ascii="Traditional Arabic" w:hAnsi="Traditional Arabic"/>
          <w:sz w:val="32"/>
          <w:szCs w:val="32"/>
          <w:rtl/>
        </w:rPr>
        <w:t>)</w:t>
      </w:r>
      <w:r>
        <w:rPr>
          <w:rFonts w:ascii="Tahoma" w:hAnsi="Tahoma"/>
          <w:rtl/>
        </w:rPr>
        <w:t xml:space="preserve"> </w:t>
      </w:r>
      <w:r>
        <w:rPr>
          <w:rFonts w:ascii="Traditional Arabic" w:hAnsi="Traditional Arabic" w:hint="cs"/>
          <w:sz w:val="32"/>
          <w:szCs w:val="32"/>
          <w:rtl/>
        </w:rPr>
        <w:t>ذكر بنحوه الجصاص في أحكام القرآن (3/276).</w:t>
      </w:r>
    </w:p>
  </w:footnote>
  <w:footnote w:id="981">
    <w:p w:rsidR="003F128F" w:rsidRPr="00671F66" w:rsidRDefault="003F128F" w:rsidP="00A34A43">
      <w:pPr>
        <w:pStyle w:val="af3"/>
        <w:rPr>
          <w:rFonts w:ascii="Traditional Arabic" w:hAnsi="Traditional Arabic"/>
          <w:sz w:val="32"/>
          <w:szCs w:val="32"/>
        </w:rPr>
      </w:pPr>
      <w:r w:rsidRPr="00671F66">
        <w:rPr>
          <w:rFonts w:ascii="Traditional Arabic" w:hAnsi="Traditional Arabic"/>
          <w:sz w:val="32"/>
          <w:szCs w:val="32"/>
          <w:rtl/>
        </w:rPr>
        <w:t>(</w:t>
      </w:r>
      <w:r w:rsidRPr="00671F66">
        <w:rPr>
          <w:rStyle w:val="ae"/>
          <w:rFonts w:ascii="Traditional Arabic" w:hAnsi="Traditional Arabic"/>
          <w:sz w:val="32"/>
          <w:szCs w:val="32"/>
          <w:vertAlign w:val="baseline"/>
        </w:rPr>
        <w:footnoteRef/>
      </w:r>
      <w:r w:rsidRPr="00671F66">
        <w:rPr>
          <w:rFonts w:ascii="Traditional Arabic" w:hAnsi="Traditional Arabic"/>
          <w:sz w:val="32"/>
          <w:szCs w:val="32"/>
          <w:rtl/>
        </w:rPr>
        <w:t>) انظر: تفسير الطبري (</w:t>
      </w:r>
      <w:r>
        <w:rPr>
          <w:rFonts w:ascii="Traditional Arabic" w:hAnsi="Traditional Arabic"/>
          <w:sz w:val="32"/>
          <w:szCs w:val="32"/>
          <w:rtl/>
        </w:rPr>
        <w:t>17/615), الكشف والبيان (6/158)</w:t>
      </w:r>
      <w:r>
        <w:rPr>
          <w:rFonts w:ascii="Traditional Arabic" w:hAnsi="Traditional Arabic" w:hint="cs"/>
          <w:sz w:val="32"/>
          <w:szCs w:val="32"/>
          <w:rtl/>
        </w:rPr>
        <w:t>.</w:t>
      </w:r>
    </w:p>
  </w:footnote>
  <w:footnote w:id="982">
    <w:p w:rsidR="003F128F" w:rsidRPr="00671F66" w:rsidRDefault="003F128F" w:rsidP="005C21CD">
      <w:pPr>
        <w:pStyle w:val="af3"/>
        <w:rPr>
          <w:rFonts w:ascii="Traditional Arabic" w:hAnsi="Traditional Arabic"/>
          <w:sz w:val="32"/>
          <w:szCs w:val="32"/>
          <w:rtl/>
        </w:rPr>
      </w:pPr>
      <w:r w:rsidRPr="00671F66">
        <w:rPr>
          <w:rFonts w:ascii="Traditional Arabic" w:hAnsi="Traditional Arabic"/>
          <w:sz w:val="32"/>
          <w:szCs w:val="32"/>
          <w:rtl/>
        </w:rPr>
        <w:t>(</w:t>
      </w:r>
      <w:r w:rsidRPr="00671F66">
        <w:rPr>
          <w:rStyle w:val="ae"/>
          <w:rFonts w:ascii="Traditional Arabic" w:hAnsi="Traditional Arabic"/>
          <w:sz w:val="32"/>
          <w:szCs w:val="32"/>
          <w:vertAlign w:val="baseline"/>
        </w:rPr>
        <w:footnoteRef/>
      </w:r>
      <w:r w:rsidRPr="00671F66">
        <w:rPr>
          <w:rFonts w:ascii="Traditional Arabic" w:hAnsi="Traditional Arabic"/>
          <w:sz w:val="32"/>
          <w:szCs w:val="32"/>
          <w:rtl/>
        </w:rPr>
        <w:t>)</w:t>
      </w:r>
      <w:r>
        <w:rPr>
          <w:rFonts w:ascii="Traditional Arabic" w:hAnsi="Traditional Arabic" w:hint="cs"/>
          <w:sz w:val="32"/>
          <w:szCs w:val="32"/>
          <w:rtl/>
        </w:rPr>
        <w:t xml:space="preserve"> لم أجد قول الحسن هذا, ولكن بنحوه ذكر أهل التفسير. انظر:</w:t>
      </w:r>
      <w:r w:rsidRPr="00671F66">
        <w:rPr>
          <w:rFonts w:ascii="Traditional Arabic" w:hAnsi="Traditional Arabic"/>
          <w:sz w:val="32"/>
          <w:szCs w:val="32"/>
          <w:rtl/>
        </w:rPr>
        <w:t xml:space="preserve"> تفسير الطبري (17/615), الكشف والبيان (6/158)</w:t>
      </w:r>
      <w:r>
        <w:rPr>
          <w:rFonts w:ascii="Traditional Arabic" w:hAnsi="Traditional Arabic" w:hint="cs"/>
          <w:sz w:val="32"/>
          <w:szCs w:val="32"/>
          <w:rtl/>
        </w:rPr>
        <w:t>.</w:t>
      </w:r>
    </w:p>
  </w:footnote>
  <w:footnote w:id="983">
    <w:p w:rsidR="003F128F" w:rsidRPr="00671F66" w:rsidRDefault="003F128F" w:rsidP="00824744">
      <w:pPr>
        <w:pStyle w:val="af3"/>
        <w:rPr>
          <w:rFonts w:ascii="Traditional Arabic" w:hAnsi="Traditional Arabic"/>
          <w:sz w:val="32"/>
          <w:szCs w:val="32"/>
        </w:rPr>
      </w:pPr>
      <w:r w:rsidRPr="00671F66">
        <w:rPr>
          <w:rFonts w:ascii="Traditional Arabic" w:hAnsi="Traditional Arabic"/>
          <w:sz w:val="32"/>
          <w:szCs w:val="32"/>
          <w:rtl/>
        </w:rPr>
        <w:t>(</w:t>
      </w:r>
      <w:r w:rsidRPr="00671F66">
        <w:rPr>
          <w:rStyle w:val="ae"/>
          <w:rFonts w:ascii="Traditional Arabic" w:hAnsi="Traditional Arabic"/>
          <w:sz w:val="32"/>
          <w:szCs w:val="32"/>
          <w:vertAlign w:val="baseline"/>
        </w:rPr>
        <w:footnoteRef/>
      </w:r>
      <w:r w:rsidRPr="00671F66">
        <w:rPr>
          <w:rFonts w:ascii="Traditional Arabic" w:hAnsi="Traditional Arabic"/>
          <w:sz w:val="32"/>
          <w:szCs w:val="32"/>
          <w:rtl/>
        </w:rPr>
        <w:t>) تقدم في (</w:t>
      </w:r>
      <w:r>
        <w:rPr>
          <w:rFonts w:ascii="Traditional Arabic" w:hAnsi="Traditional Arabic" w:hint="cs"/>
          <w:sz w:val="32"/>
          <w:szCs w:val="32"/>
          <w:rtl/>
        </w:rPr>
        <w:t>ص175</w:t>
      </w:r>
      <w:r w:rsidRPr="00671F66">
        <w:rPr>
          <w:rFonts w:ascii="Traditional Arabic" w:hAnsi="Traditional Arabic"/>
          <w:sz w:val="32"/>
          <w:szCs w:val="32"/>
          <w:rtl/>
        </w:rPr>
        <w:t>), وهو قول مجاهد.</w:t>
      </w:r>
    </w:p>
  </w:footnote>
  <w:footnote w:id="984">
    <w:p w:rsidR="003F128F" w:rsidRPr="00671F66" w:rsidRDefault="003F128F" w:rsidP="00A34A43">
      <w:pPr>
        <w:pStyle w:val="af3"/>
        <w:rPr>
          <w:rFonts w:ascii="Traditional Arabic" w:hAnsi="Traditional Arabic"/>
          <w:sz w:val="32"/>
          <w:szCs w:val="32"/>
        </w:rPr>
      </w:pPr>
      <w:r w:rsidRPr="00671F66">
        <w:rPr>
          <w:rFonts w:ascii="Traditional Arabic" w:hAnsi="Traditional Arabic"/>
          <w:sz w:val="32"/>
          <w:szCs w:val="32"/>
          <w:rtl/>
        </w:rPr>
        <w:t>(</w:t>
      </w:r>
      <w:r w:rsidRPr="00671F66">
        <w:rPr>
          <w:rStyle w:val="ae"/>
          <w:rFonts w:ascii="Traditional Arabic" w:hAnsi="Traditional Arabic"/>
          <w:sz w:val="32"/>
          <w:szCs w:val="32"/>
          <w:vertAlign w:val="baseline"/>
        </w:rPr>
        <w:footnoteRef/>
      </w:r>
      <w:r w:rsidRPr="00671F66">
        <w:rPr>
          <w:rFonts w:ascii="Traditional Arabic" w:hAnsi="Traditional Arabic"/>
          <w:sz w:val="32"/>
          <w:szCs w:val="32"/>
          <w:rtl/>
        </w:rPr>
        <w:t>) تفسير مقاتل (2/576), تفسير ابن أبي حاتم (7/2351).</w:t>
      </w:r>
    </w:p>
  </w:footnote>
  <w:footnote w:id="985">
    <w:p w:rsidR="003F128F" w:rsidRPr="00671F66" w:rsidRDefault="003F128F" w:rsidP="005C21CD">
      <w:pPr>
        <w:pStyle w:val="af3"/>
        <w:rPr>
          <w:rFonts w:ascii="Traditional Arabic" w:hAnsi="Traditional Arabic"/>
          <w:sz w:val="32"/>
          <w:szCs w:val="32"/>
        </w:rPr>
      </w:pPr>
      <w:r w:rsidRPr="00671F66">
        <w:rPr>
          <w:rFonts w:ascii="Traditional Arabic" w:hAnsi="Traditional Arabic"/>
          <w:sz w:val="32"/>
          <w:szCs w:val="32"/>
          <w:rtl/>
        </w:rPr>
        <w:t>(</w:t>
      </w:r>
      <w:r w:rsidRPr="00671F66">
        <w:rPr>
          <w:rStyle w:val="ae"/>
          <w:rFonts w:ascii="Traditional Arabic" w:hAnsi="Traditional Arabic"/>
          <w:sz w:val="32"/>
          <w:szCs w:val="32"/>
          <w:vertAlign w:val="baseline"/>
        </w:rPr>
        <w:footnoteRef/>
      </w:r>
      <w:r w:rsidRPr="00671F66">
        <w:rPr>
          <w:rFonts w:ascii="Traditional Arabic" w:hAnsi="Traditional Arabic"/>
          <w:sz w:val="32"/>
          <w:szCs w:val="32"/>
          <w:rtl/>
        </w:rPr>
        <w:t xml:space="preserve">) معاني القرآن وإعرابه (3/272). </w:t>
      </w:r>
    </w:p>
  </w:footnote>
  <w:footnote w:id="986">
    <w:p w:rsidR="003F128F" w:rsidRPr="00671F66" w:rsidRDefault="003F128F" w:rsidP="005C21CD">
      <w:pPr>
        <w:pStyle w:val="af3"/>
        <w:rPr>
          <w:rFonts w:ascii="Traditional Arabic" w:hAnsi="Traditional Arabic"/>
          <w:sz w:val="32"/>
          <w:szCs w:val="32"/>
        </w:rPr>
      </w:pPr>
      <w:r w:rsidRPr="00671F66">
        <w:rPr>
          <w:rFonts w:ascii="Traditional Arabic" w:hAnsi="Traditional Arabic"/>
          <w:sz w:val="32"/>
          <w:szCs w:val="32"/>
          <w:rtl/>
        </w:rPr>
        <w:t>(</w:t>
      </w:r>
      <w:r w:rsidRPr="00671F66">
        <w:rPr>
          <w:rStyle w:val="ae"/>
          <w:rFonts w:ascii="Traditional Arabic" w:hAnsi="Traditional Arabic"/>
          <w:sz w:val="32"/>
          <w:szCs w:val="32"/>
          <w:vertAlign w:val="baseline"/>
        </w:rPr>
        <w:footnoteRef/>
      </w:r>
      <w:r w:rsidRPr="00671F66">
        <w:rPr>
          <w:rFonts w:ascii="Traditional Arabic" w:hAnsi="Traditional Arabic"/>
          <w:sz w:val="32"/>
          <w:szCs w:val="32"/>
          <w:rtl/>
        </w:rPr>
        <w:t>) انظر: الكشف والبيان (6/158), التفسير الوسيط (3/138).</w:t>
      </w:r>
    </w:p>
  </w:footnote>
  <w:footnote w:id="987">
    <w:p w:rsidR="003F128F" w:rsidRPr="00A751F9" w:rsidRDefault="003F128F" w:rsidP="00824744">
      <w:pPr>
        <w:pStyle w:val="af3"/>
        <w:rPr>
          <w:rFonts w:ascii="Traditional Arabic" w:hAnsi="Traditional Arabic"/>
          <w:sz w:val="32"/>
          <w:szCs w:val="32"/>
        </w:rPr>
      </w:pPr>
      <w:r w:rsidRPr="00A751F9">
        <w:rPr>
          <w:rFonts w:ascii="Traditional Arabic" w:hAnsi="Traditional Arabic"/>
          <w:sz w:val="32"/>
          <w:szCs w:val="32"/>
          <w:rtl/>
        </w:rPr>
        <w:t>(</w:t>
      </w:r>
      <w:r w:rsidRPr="00A751F9">
        <w:rPr>
          <w:rStyle w:val="ae"/>
          <w:rFonts w:ascii="Traditional Arabic" w:hAnsi="Traditional Arabic"/>
          <w:sz w:val="32"/>
          <w:szCs w:val="32"/>
          <w:vertAlign w:val="baseline"/>
        </w:rPr>
        <w:footnoteRef/>
      </w:r>
      <w:r>
        <w:rPr>
          <w:rFonts w:ascii="Traditional Arabic" w:hAnsi="Traditional Arabic"/>
          <w:sz w:val="32"/>
          <w:szCs w:val="32"/>
          <w:rtl/>
        </w:rPr>
        <w:t>) ما بين ال</w:t>
      </w:r>
      <w:r>
        <w:rPr>
          <w:rFonts w:ascii="Traditional Arabic" w:hAnsi="Traditional Arabic" w:hint="cs"/>
          <w:sz w:val="32"/>
          <w:szCs w:val="32"/>
          <w:rtl/>
        </w:rPr>
        <w:t>معكوفتين</w:t>
      </w:r>
      <w:r>
        <w:rPr>
          <w:rFonts w:ascii="Traditional Arabic" w:hAnsi="Traditional Arabic"/>
          <w:sz w:val="32"/>
          <w:szCs w:val="32"/>
          <w:rtl/>
        </w:rPr>
        <w:t xml:space="preserve"> ساقط من</w:t>
      </w:r>
      <w:r>
        <w:rPr>
          <w:rFonts w:ascii="Traditional Arabic" w:hAnsi="Traditional Arabic" w:hint="cs"/>
          <w:sz w:val="32"/>
          <w:szCs w:val="32"/>
          <w:rtl/>
        </w:rPr>
        <w:t xml:space="preserve"> الأصل, والمثبت من (ك)</w:t>
      </w:r>
      <w:r w:rsidRPr="00A751F9">
        <w:rPr>
          <w:rFonts w:ascii="Traditional Arabic" w:hAnsi="Traditional Arabic"/>
          <w:sz w:val="32"/>
          <w:szCs w:val="32"/>
          <w:rtl/>
        </w:rPr>
        <w:t>.</w:t>
      </w:r>
    </w:p>
  </w:footnote>
  <w:footnote w:id="988">
    <w:p w:rsidR="003F128F" w:rsidRPr="008963FA" w:rsidRDefault="003F128F" w:rsidP="005C21CD">
      <w:pPr>
        <w:pStyle w:val="af3"/>
        <w:rPr>
          <w:rFonts w:ascii="Traditional Arabic" w:hAnsi="Traditional Arabic"/>
          <w:sz w:val="32"/>
          <w:szCs w:val="32"/>
        </w:rPr>
      </w:pPr>
      <w:r w:rsidRPr="008963FA">
        <w:rPr>
          <w:rFonts w:ascii="Traditional Arabic" w:hAnsi="Traditional Arabic"/>
          <w:sz w:val="32"/>
          <w:szCs w:val="32"/>
          <w:rtl/>
        </w:rPr>
        <w:t>(</w:t>
      </w:r>
      <w:r w:rsidRPr="008963FA">
        <w:rPr>
          <w:rStyle w:val="ae"/>
          <w:rFonts w:ascii="Traditional Arabic" w:hAnsi="Traditional Arabic"/>
          <w:sz w:val="32"/>
          <w:szCs w:val="32"/>
          <w:vertAlign w:val="baseline"/>
        </w:rPr>
        <w:footnoteRef/>
      </w:r>
      <w:r w:rsidRPr="008963FA">
        <w:rPr>
          <w:rFonts w:ascii="Traditional Arabic" w:hAnsi="Traditional Arabic"/>
          <w:sz w:val="32"/>
          <w:szCs w:val="32"/>
          <w:rtl/>
        </w:rPr>
        <w:t>) انظر: التفسير الوسيط (3/138) رموز الكنوز للرسعني (4/256).</w:t>
      </w:r>
    </w:p>
  </w:footnote>
  <w:footnote w:id="989">
    <w:p w:rsidR="003F128F" w:rsidRPr="008963FA" w:rsidRDefault="003F128F" w:rsidP="005C21CD">
      <w:pPr>
        <w:pStyle w:val="af3"/>
        <w:rPr>
          <w:rFonts w:ascii="Traditional Arabic" w:hAnsi="Traditional Arabic"/>
          <w:sz w:val="32"/>
          <w:szCs w:val="32"/>
        </w:rPr>
      </w:pPr>
      <w:r w:rsidRPr="008963FA">
        <w:rPr>
          <w:rFonts w:ascii="Traditional Arabic" w:hAnsi="Traditional Arabic"/>
          <w:sz w:val="32"/>
          <w:szCs w:val="32"/>
          <w:rtl/>
        </w:rPr>
        <w:t>(</w:t>
      </w:r>
      <w:r w:rsidRPr="008963FA">
        <w:rPr>
          <w:rStyle w:val="ae"/>
          <w:rFonts w:ascii="Traditional Arabic" w:hAnsi="Traditional Arabic"/>
          <w:sz w:val="32"/>
          <w:szCs w:val="32"/>
          <w:vertAlign w:val="baseline"/>
        </w:rPr>
        <w:footnoteRef/>
      </w:r>
      <w:r w:rsidRPr="008963FA">
        <w:rPr>
          <w:rFonts w:ascii="Traditional Arabic" w:hAnsi="Traditional Arabic"/>
          <w:sz w:val="32"/>
          <w:szCs w:val="32"/>
          <w:rtl/>
        </w:rPr>
        <w:t xml:space="preserve">) هو </w:t>
      </w:r>
      <w:r>
        <w:rPr>
          <w:rFonts w:ascii="Traditional Arabic" w:hAnsi="Traditional Arabic"/>
          <w:sz w:val="32"/>
          <w:szCs w:val="32"/>
          <w:rtl/>
        </w:rPr>
        <w:t>الإمام</w:t>
      </w:r>
      <w:r w:rsidRPr="008963FA">
        <w:rPr>
          <w:rFonts w:ascii="Traditional Arabic" w:hAnsi="Traditional Arabic"/>
          <w:sz w:val="32"/>
          <w:szCs w:val="32"/>
          <w:rtl/>
        </w:rPr>
        <w:t xml:space="preserve"> المحدث</w:t>
      </w:r>
      <w:r>
        <w:rPr>
          <w:rFonts w:ascii="Traditional Arabic" w:hAnsi="Traditional Arabic" w:hint="cs"/>
          <w:sz w:val="32"/>
          <w:szCs w:val="32"/>
          <w:rtl/>
        </w:rPr>
        <w:t>,</w:t>
      </w:r>
      <w:r w:rsidRPr="008963FA">
        <w:rPr>
          <w:rFonts w:ascii="Traditional Arabic" w:hAnsi="Traditional Arabic"/>
          <w:sz w:val="32"/>
          <w:szCs w:val="32"/>
          <w:rtl/>
        </w:rPr>
        <w:t xml:space="preserve"> أبو أيوب</w:t>
      </w:r>
      <w:r>
        <w:rPr>
          <w:rFonts w:ascii="Traditional Arabic" w:hAnsi="Traditional Arabic" w:hint="cs"/>
          <w:sz w:val="32"/>
          <w:szCs w:val="32"/>
          <w:rtl/>
        </w:rPr>
        <w:t>,</w:t>
      </w:r>
      <w:r w:rsidRPr="008963FA">
        <w:rPr>
          <w:rFonts w:ascii="Traditional Arabic" w:hAnsi="Traditional Arabic"/>
          <w:sz w:val="32"/>
          <w:szCs w:val="32"/>
          <w:rtl/>
        </w:rPr>
        <w:t xml:space="preserve"> عطاء بن أَبي مسلم عبد الله، ويُقال: ميسرة الخراساني, البلخي, مولى المهلب بن أَبي صفرة الأزدي، الواعظ, نزيل دمشق والقدس, (ت135ه). انظر: تهذيب الكمال (20/106), سير أعلام النبلاء (6/140).</w:t>
      </w:r>
    </w:p>
  </w:footnote>
  <w:footnote w:id="990">
    <w:p w:rsidR="003F128F" w:rsidRPr="005C2A66" w:rsidRDefault="003F128F" w:rsidP="005C21CD">
      <w:pPr>
        <w:pStyle w:val="af3"/>
        <w:rPr>
          <w:rFonts w:ascii="Traditional Arabic" w:hAnsi="Traditional Arabic"/>
          <w:sz w:val="32"/>
          <w:szCs w:val="32"/>
        </w:rPr>
      </w:pPr>
      <w:r w:rsidRPr="005C2A66">
        <w:rPr>
          <w:rFonts w:ascii="Traditional Arabic" w:hAnsi="Traditional Arabic"/>
          <w:sz w:val="32"/>
          <w:szCs w:val="32"/>
          <w:rtl/>
        </w:rPr>
        <w:t>(</w:t>
      </w:r>
      <w:r w:rsidRPr="005C2A66">
        <w:rPr>
          <w:rStyle w:val="ae"/>
          <w:rFonts w:ascii="Traditional Arabic" w:hAnsi="Traditional Arabic"/>
          <w:sz w:val="32"/>
          <w:szCs w:val="32"/>
          <w:vertAlign w:val="baseline"/>
        </w:rPr>
        <w:footnoteRef/>
      </w:r>
      <w:r w:rsidRPr="005C2A66">
        <w:rPr>
          <w:rFonts w:ascii="Traditional Arabic" w:hAnsi="Traditional Arabic"/>
          <w:sz w:val="32"/>
          <w:szCs w:val="32"/>
          <w:rtl/>
        </w:rPr>
        <w:t>) انظر: تفسير ابن أبي حاتم (7/2351), وذكره السيوطي في الدر المنثور (5م371), وزاد نسبته لسعيد بن منصور وابن المنذر.</w:t>
      </w:r>
    </w:p>
  </w:footnote>
  <w:footnote w:id="991">
    <w:p w:rsidR="003F128F" w:rsidRPr="005C2A66" w:rsidRDefault="003F128F" w:rsidP="005C21CD">
      <w:pPr>
        <w:pStyle w:val="af3"/>
        <w:rPr>
          <w:rFonts w:ascii="Traditional Arabic" w:hAnsi="Traditional Arabic"/>
          <w:sz w:val="32"/>
          <w:szCs w:val="32"/>
        </w:rPr>
      </w:pPr>
      <w:r w:rsidRPr="005C2A66">
        <w:rPr>
          <w:rFonts w:ascii="Traditional Arabic" w:hAnsi="Traditional Arabic"/>
          <w:sz w:val="32"/>
          <w:szCs w:val="32"/>
          <w:rtl/>
        </w:rPr>
        <w:t>(</w:t>
      </w:r>
      <w:r w:rsidRPr="005C2A66">
        <w:rPr>
          <w:rStyle w:val="ae"/>
          <w:rFonts w:ascii="Traditional Arabic" w:hAnsi="Traditional Arabic"/>
          <w:sz w:val="32"/>
          <w:szCs w:val="32"/>
          <w:vertAlign w:val="baseline"/>
        </w:rPr>
        <w:footnoteRef/>
      </w:r>
      <w:r w:rsidRPr="005C2A66">
        <w:rPr>
          <w:rFonts w:ascii="Traditional Arabic" w:hAnsi="Traditional Arabic"/>
          <w:sz w:val="32"/>
          <w:szCs w:val="32"/>
          <w:rtl/>
        </w:rPr>
        <w:t>) انظر: معاني القرآن (2/</w:t>
      </w:r>
      <w:r w:rsidRPr="005C2A66">
        <w:rPr>
          <w:rFonts w:ascii="Traditional Arabic" w:hAnsi="Traditional Arabic" w:hint="cs"/>
          <w:sz w:val="32"/>
          <w:szCs w:val="32"/>
          <w:rtl/>
        </w:rPr>
        <w:t>136</w:t>
      </w:r>
      <w:r w:rsidRPr="005C2A66">
        <w:rPr>
          <w:rFonts w:ascii="Traditional Arabic" w:hAnsi="Traditional Arabic"/>
          <w:sz w:val="32"/>
          <w:szCs w:val="32"/>
          <w:rtl/>
        </w:rPr>
        <w:t>).</w:t>
      </w:r>
    </w:p>
  </w:footnote>
  <w:footnote w:id="992">
    <w:p w:rsidR="003F128F" w:rsidRPr="005C2A66" w:rsidRDefault="003F128F" w:rsidP="00C76CC2">
      <w:pPr>
        <w:pStyle w:val="af3"/>
        <w:rPr>
          <w:rFonts w:ascii="Traditional Arabic" w:hAnsi="Traditional Arabic"/>
          <w:sz w:val="32"/>
          <w:szCs w:val="32"/>
        </w:rPr>
      </w:pPr>
      <w:r w:rsidRPr="005C2A66">
        <w:rPr>
          <w:rFonts w:ascii="Traditional Arabic" w:hAnsi="Traditional Arabic"/>
          <w:sz w:val="32"/>
          <w:szCs w:val="32"/>
          <w:rtl/>
        </w:rPr>
        <w:t>(</w:t>
      </w:r>
      <w:r w:rsidRPr="005C2A66">
        <w:rPr>
          <w:rStyle w:val="ae"/>
          <w:rFonts w:ascii="Traditional Arabic" w:hAnsi="Traditional Arabic"/>
          <w:sz w:val="32"/>
          <w:szCs w:val="32"/>
          <w:vertAlign w:val="baseline"/>
        </w:rPr>
        <w:footnoteRef/>
      </w:r>
      <w:r w:rsidRPr="005C2A66">
        <w:rPr>
          <w:rFonts w:ascii="Traditional Arabic" w:hAnsi="Traditional Arabic"/>
          <w:sz w:val="32"/>
          <w:szCs w:val="32"/>
          <w:rtl/>
        </w:rPr>
        <w:t xml:space="preserve">) يعني ابن مسعود </w:t>
      </w:r>
      <w:r>
        <w:rPr>
          <w:rFonts w:ascii="Traditional Arabic" w:hAnsi="Traditional Arabic"/>
          <w:sz w:val="32"/>
          <w:szCs w:val="32"/>
        </w:rPr>
        <w:sym w:font="AGA Arabesque" w:char="F074"/>
      </w:r>
      <w:r w:rsidRPr="005C2A66">
        <w:rPr>
          <w:rFonts w:ascii="Traditional Arabic" w:hAnsi="Traditional Arabic"/>
          <w:sz w:val="32"/>
          <w:szCs w:val="32"/>
          <w:rtl/>
        </w:rPr>
        <w:t xml:space="preserve">. </w:t>
      </w:r>
      <w:r>
        <w:rPr>
          <w:rFonts w:ascii="Traditional Arabic" w:hAnsi="Traditional Arabic"/>
          <w:sz w:val="32"/>
          <w:szCs w:val="32"/>
        </w:rPr>
        <w:t xml:space="preserve"> </w:t>
      </w:r>
    </w:p>
  </w:footnote>
  <w:footnote w:id="993">
    <w:p w:rsidR="003F128F" w:rsidRPr="005C2A66" w:rsidRDefault="003F128F" w:rsidP="00A34A43">
      <w:pPr>
        <w:pStyle w:val="af3"/>
        <w:rPr>
          <w:rFonts w:ascii="Traditional Arabic" w:hAnsi="Traditional Arabic"/>
          <w:sz w:val="32"/>
          <w:szCs w:val="32"/>
        </w:rPr>
      </w:pPr>
      <w:r w:rsidRPr="005C2A66">
        <w:rPr>
          <w:rFonts w:ascii="Traditional Arabic" w:hAnsi="Traditional Arabic"/>
          <w:sz w:val="32"/>
          <w:szCs w:val="32"/>
          <w:rtl/>
        </w:rPr>
        <w:t>(</w:t>
      </w:r>
      <w:r w:rsidRPr="005C2A66">
        <w:rPr>
          <w:rStyle w:val="ae"/>
          <w:rFonts w:ascii="Traditional Arabic" w:hAnsi="Traditional Arabic"/>
          <w:sz w:val="32"/>
          <w:szCs w:val="32"/>
          <w:vertAlign w:val="baseline"/>
        </w:rPr>
        <w:footnoteRef/>
      </w:r>
      <w:r w:rsidRPr="005C2A66">
        <w:rPr>
          <w:rFonts w:ascii="Traditional Arabic" w:hAnsi="Traditional Arabic"/>
          <w:sz w:val="32"/>
          <w:szCs w:val="32"/>
          <w:rtl/>
        </w:rPr>
        <w:t>)</w:t>
      </w:r>
      <w:r w:rsidRPr="005C2A66">
        <w:rPr>
          <w:rFonts w:ascii="Traditional Arabic" w:hAnsi="Traditional Arabic" w:hint="cs"/>
          <w:sz w:val="32"/>
          <w:szCs w:val="32"/>
          <w:rtl/>
        </w:rPr>
        <w:t xml:space="preserve"> </w:t>
      </w:r>
      <w:r w:rsidRPr="005C2A66">
        <w:rPr>
          <w:rFonts w:ascii="Traditional Arabic" w:hAnsi="Traditional Arabic"/>
          <w:sz w:val="32"/>
          <w:szCs w:val="32"/>
          <w:rtl/>
        </w:rPr>
        <w:t>تفسير الطبري (17/617), تفسير ابن أبي حاتم (7/2351)</w:t>
      </w:r>
      <w:r>
        <w:rPr>
          <w:rFonts w:ascii="Traditional Arabic" w:hAnsi="Traditional Arabic" w:hint="cs"/>
          <w:sz w:val="32"/>
          <w:szCs w:val="32"/>
          <w:rtl/>
        </w:rPr>
        <w:t>.</w:t>
      </w:r>
    </w:p>
  </w:footnote>
  <w:footnote w:id="994">
    <w:p w:rsidR="003F128F" w:rsidRPr="005C2A66" w:rsidRDefault="003F128F" w:rsidP="005C21CD">
      <w:pPr>
        <w:pStyle w:val="af3"/>
        <w:rPr>
          <w:rFonts w:ascii="Traditional Arabic" w:hAnsi="Traditional Arabic"/>
          <w:sz w:val="32"/>
          <w:szCs w:val="32"/>
        </w:rPr>
      </w:pPr>
      <w:r w:rsidRPr="005C2A66">
        <w:rPr>
          <w:rFonts w:ascii="Traditional Arabic" w:hAnsi="Traditional Arabic"/>
          <w:sz w:val="32"/>
          <w:szCs w:val="32"/>
          <w:rtl/>
        </w:rPr>
        <w:t>(</w:t>
      </w:r>
      <w:r w:rsidRPr="005C2A66">
        <w:rPr>
          <w:rStyle w:val="ae"/>
          <w:rFonts w:ascii="Traditional Arabic" w:hAnsi="Traditional Arabic"/>
          <w:sz w:val="32"/>
          <w:szCs w:val="32"/>
          <w:vertAlign w:val="baseline"/>
        </w:rPr>
        <w:footnoteRef/>
      </w:r>
      <w:r w:rsidRPr="005C2A66">
        <w:rPr>
          <w:rFonts w:ascii="Traditional Arabic" w:hAnsi="Traditional Arabic"/>
          <w:sz w:val="32"/>
          <w:szCs w:val="32"/>
          <w:rtl/>
        </w:rPr>
        <w:t xml:space="preserve">) </w:t>
      </w:r>
      <w:r w:rsidRPr="005C2A66">
        <w:rPr>
          <w:rFonts w:ascii="Traditional Arabic" w:hAnsi="Traditional Arabic" w:hint="cs"/>
          <w:sz w:val="32"/>
          <w:szCs w:val="32"/>
          <w:rtl/>
        </w:rPr>
        <w:t>انظر:</w:t>
      </w:r>
      <w:r w:rsidRPr="005C2A66">
        <w:rPr>
          <w:rFonts w:ascii="Traditional Arabic" w:hAnsi="Traditional Arabic"/>
          <w:sz w:val="32"/>
          <w:szCs w:val="32"/>
          <w:rtl/>
        </w:rPr>
        <w:t xml:space="preserve"> تفسير مقاتل (2/57</w:t>
      </w:r>
      <w:r w:rsidRPr="005C2A66">
        <w:rPr>
          <w:rFonts w:ascii="Traditional Arabic" w:hAnsi="Traditional Arabic" w:hint="cs"/>
          <w:sz w:val="32"/>
          <w:szCs w:val="32"/>
          <w:rtl/>
        </w:rPr>
        <w:t>7</w:t>
      </w:r>
      <w:r w:rsidRPr="005C2A66">
        <w:rPr>
          <w:rFonts w:ascii="Traditional Arabic" w:hAnsi="Traditional Arabic"/>
          <w:sz w:val="32"/>
          <w:szCs w:val="32"/>
          <w:rtl/>
        </w:rPr>
        <w:t>),</w:t>
      </w:r>
      <w:r w:rsidRPr="005C2A66">
        <w:rPr>
          <w:rFonts w:ascii="Traditional Arabic" w:hAnsi="Traditional Arabic" w:hint="cs"/>
          <w:sz w:val="32"/>
          <w:szCs w:val="32"/>
          <w:rtl/>
        </w:rPr>
        <w:t xml:space="preserve"> بحر العلوم (2/340).</w:t>
      </w:r>
    </w:p>
  </w:footnote>
  <w:footnote w:id="995">
    <w:p w:rsidR="003F128F" w:rsidRPr="00671F66" w:rsidRDefault="003F128F" w:rsidP="00824744">
      <w:pPr>
        <w:pStyle w:val="af3"/>
        <w:rPr>
          <w:rFonts w:ascii="Tahoma" w:hAnsi="Tahoma"/>
        </w:rPr>
      </w:pPr>
      <w:r w:rsidRPr="005C2A66">
        <w:rPr>
          <w:rFonts w:ascii="Traditional Arabic" w:hAnsi="Traditional Arabic"/>
          <w:sz w:val="32"/>
          <w:szCs w:val="32"/>
          <w:rtl/>
        </w:rPr>
        <w:t>(</w:t>
      </w:r>
      <w:r w:rsidRPr="005C2A66">
        <w:rPr>
          <w:rStyle w:val="ae"/>
          <w:rFonts w:ascii="Traditional Arabic" w:hAnsi="Traditional Arabic"/>
          <w:sz w:val="32"/>
          <w:szCs w:val="32"/>
          <w:vertAlign w:val="baseline"/>
        </w:rPr>
        <w:footnoteRef/>
      </w:r>
      <w:r w:rsidRPr="005C2A66">
        <w:rPr>
          <w:rFonts w:ascii="Traditional Arabic" w:hAnsi="Traditional Arabic"/>
          <w:sz w:val="32"/>
          <w:szCs w:val="32"/>
          <w:rtl/>
        </w:rPr>
        <w:t>)</w:t>
      </w:r>
      <w:r w:rsidRPr="005C2A66">
        <w:rPr>
          <w:rFonts w:ascii="Tahoma" w:hAnsi="Tahoma"/>
          <w:sz w:val="32"/>
          <w:szCs w:val="32"/>
          <w:rtl/>
        </w:rPr>
        <w:t xml:space="preserve"> </w:t>
      </w:r>
      <w:r w:rsidRPr="005C2A66">
        <w:rPr>
          <w:rFonts w:ascii="Tahoma" w:hAnsi="Tahoma" w:hint="cs"/>
          <w:sz w:val="32"/>
          <w:szCs w:val="32"/>
          <w:rtl/>
        </w:rPr>
        <w:t>انظر: السبعة في القراءات (ص388).</w:t>
      </w:r>
      <w:r w:rsidRPr="005C2A66">
        <w:rPr>
          <w:rFonts w:ascii="Tahoma" w:hAnsi="Tahoma"/>
          <w:sz w:val="32"/>
          <w:szCs w:val="32"/>
          <w:rtl/>
        </w:rPr>
        <w:t xml:space="preserve"> </w:t>
      </w:r>
    </w:p>
  </w:footnote>
  <w:footnote w:id="996">
    <w:p w:rsidR="003F128F" w:rsidRPr="005161BE" w:rsidRDefault="003F128F" w:rsidP="00824744">
      <w:pPr>
        <w:pStyle w:val="af3"/>
        <w:rPr>
          <w:rFonts w:ascii="Traditional Arabic" w:hAnsi="Traditional Arabic"/>
          <w:sz w:val="32"/>
          <w:szCs w:val="32"/>
        </w:rPr>
      </w:pPr>
      <w:r w:rsidRPr="005161BE">
        <w:rPr>
          <w:rFonts w:ascii="Traditional Arabic" w:hAnsi="Traditional Arabic"/>
          <w:sz w:val="32"/>
          <w:szCs w:val="32"/>
          <w:rtl/>
        </w:rPr>
        <w:t>(</w:t>
      </w:r>
      <w:r w:rsidRPr="005161BE">
        <w:rPr>
          <w:rStyle w:val="ae"/>
          <w:rFonts w:ascii="Traditional Arabic" w:hAnsi="Traditional Arabic"/>
          <w:sz w:val="32"/>
          <w:szCs w:val="32"/>
          <w:vertAlign w:val="baseline"/>
        </w:rPr>
        <w:footnoteRef/>
      </w:r>
      <w:r w:rsidRPr="005161BE">
        <w:rPr>
          <w:rFonts w:ascii="Traditional Arabic" w:hAnsi="Traditional Arabic"/>
          <w:sz w:val="32"/>
          <w:szCs w:val="32"/>
          <w:rtl/>
        </w:rPr>
        <w:t>)</w:t>
      </w:r>
      <w:r>
        <w:rPr>
          <w:rFonts w:ascii="Traditional Arabic" w:hAnsi="Traditional Arabic" w:hint="cs"/>
          <w:sz w:val="32"/>
          <w:szCs w:val="32"/>
          <w:rtl/>
        </w:rPr>
        <w:t xml:space="preserve"> </w:t>
      </w:r>
      <w:r w:rsidRPr="005161BE">
        <w:rPr>
          <w:rFonts w:ascii="Traditional Arabic" w:hAnsi="Traditional Arabic"/>
          <w:sz w:val="32"/>
          <w:szCs w:val="32"/>
          <w:rtl/>
        </w:rPr>
        <w:t>انظر: السبعة في القراءات (ص388).</w:t>
      </w:r>
    </w:p>
  </w:footnote>
  <w:footnote w:id="997">
    <w:p w:rsidR="003F128F" w:rsidRPr="005161BE" w:rsidRDefault="003F128F" w:rsidP="005C21CD">
      <w:pPr>
        <w:pStyle w:val="af3"/>
        <w:rPr>
          <w:rFonts w:ascii="Traditional Arabic" w:hAnsi="Traditional Arabic"/>
          <w:sz w:val="32"/>
          <w:szCs w:val="32"/>
        </w:rPr>
      </w:pPr>
      <w:r w:rsidRPr="005161BE">
        <w:rPr>
          <w:rFonts w:ascii="Traditional Arabic" w:hAnsi="Traditional Arabic"/>
          <w:sz w:val="32"/>
          <w:szCs w:val="32"/>
          <w:rtl/>
        </w:rPr>
        <w:t>(</w:t>
      </w:r>
      <w:r w:rsidRPr="005161BE">
        <w:rPr>
          <w:rStyle w:val="ae"/>
          <w:rFonts w:ascii="Traditional Arabic" w:hAnsi="Traditional Arabic"/>
          <w:sz w:val="32"/>
          <w:szCs w:val="32"/>
          <w:vertAlign w:val="baseline"/>
        </w:rPr>
        <w:footnoteRef/>
      </w:r>
      <w:r w:rsidRPr="005161BE">
        <w:rPr>
          <w:rFonts w:ascii="Traditional Arabic" w:hAnsi="Traditional Arabic"/>
          <w:sz w:val="32"/>
          <w:szCs w:val="32"/>
          <w:rtl/>
        </w:rPr>
        <w:t>) انظر: معاني القرآن (2/136).</w:t>
      </w:r>
    </w:p>
  </w:footnote>
  <w:footnote w:id="998">
    <w:p w:rsidR="003F128F" w:rsidRPr="005161BE" w:rsidRDefault="003F128F" w:rsidP="005C21CD">
      <w:pPr>
        <w:pStyle w:val="af3"/>
        <w:rPr>
          <w:rFonts w:ascii="Traditional Arabic" w:hAnsi="Traditional Arabic"/>
          <w:sz w:val="32"/>
          <w:szCs w:val="32"/>
        </w:rPr>
      </w:pPr>
      <w:r w:rsidRPr="005161BE">
        <w:rPr>
          <w:rFonts w:ascii="Traditional Arabic" w:hAnsi="Traditional Arabic"/>
          <w:sz w:val="32"/>
          <w:szCs w:val="32"/>
          <w:rtl/>
        </w:rPr>
        <w:t>(</w:t>
      </w:r>
      <w:r w:rsidRPr="005161BE">
        <w:rPr>
          <w:rStyle w:val="ae"/>
          <w:rFonts w:ascii="Traditional Arabic" w:hAnsi="Traditional Arabic"/>
          <w:sz w:val="32"/>
          <w:szCs w:val="32"/>
          <w:vertAlign w:val="baseline"/>
        </w:rPr>
        <w:footnoteRef/>
      </w:r>
      <w:r w:rsidRPr="005161BE">
        <w:rPr>
          <w:rFonts w:ascii="Traditional Arabic" w:hAnsi="Traditional Arabic"/>
          <w:sz w:val="32"/>
          <w:szCs w:val="32"/>
          <w:rtl/>
        </w:rPr>
        <w:t xml:space="preserve">) الطهيَان: </w:t>
      </w:r>
      <w:r w:rsidRPr="005161BE">
        <w:rPr>
          <w:rFonts w:ascii="Traditional Arabic" w:hAnsi="Traditional Arabic"/>
          <w:sz w:val="32"/>
          <w:szCs w:val="32"/>
          <w:rtl/>
          <w:lang w:eastAsia="en-US"/>
        </w:rPr>
        <w:t>خَشَبَةٌ يُبرَّد عَلَيْهَا الْمَاءُ</w:t>
      </w:r>
      <w:r w:rsidRPr="005161BE">
        <w:rPr>
          <w:rFonts w:ascii="Traditional Arabic" w:hAnsi="Traditional Arabic"/>
          <w:sz w:val="32"/>
          <w:szCs w:val="32"/>
          <w:rtl/>
        </w:rPr>
        <w:t>, وه</w:t>
      </w:r>
      <w:r>
        <w:rPr>
          <w:rFonts w:ascii="Traditional Arabic" w:hAnsi="Traditional Arabic"/>
          <w:sz w:val="32"/>
          <w:szCs w:val="32"/>
          <w:rtl/>
        </w:rPr>
        <w:t>ي البَرّادة. انظر: العين (4/75) مادة (طهو)</w:t>
      </w:r>
      <w:r>
        <w:rPr>
          <w:rFonts w:ascii="Traditional Arabic" w:hAnsi="Traditional Arabic" w:hint="cs"/>
          <w:sz w:val="32"/>
          <w:szCs w:val="32"/>
          <w:rtl/>
        </w:rPr>
        <w:t>,</w:t>
      </w:r>
      <w:r>
        <w:rPr>
          <w:rFonts w:ascii="Traditional Arabic" w:hAnsi="Traditional Arabic"/>
          <w:sz w:val="32"/>
          <w:szCs w:val="32"/>
          <w:rtl/>
        </w:rPr>
        <w:t xml:space="preserve"> لسان العرب (15/18)</w:t>
      </w:r>
      <w:r w:rsidRPr="005161BE">
        <w:rPr>
          <w:rFonts w:ascii="Traditional Arabic" w:hAnsi="Traditional Arabic"/>
          <w:sz w:val="32"/>
          <w:szCs w:val="32"/>
          <w:rtl/>
        </w:rPr>
        <w:t xml:space="preserve"> مادة (طها).</w:t>
      </w:r>
    </w:p>
  </w:footnote>
  <w:footnote w:id="999">
    <w:p w:rsidR="003F128F" w:rsidRPr="005161BE" w:rsidRDefault="003F128F" w:rsidP="005C21CD">
      <w:pPr>
        <w:pStyle w:val="af3"/>
        <w:rPr>
          <w:rFonts w:ascii="Traditional Arabic" w:hAnsi="Traditional Arabic"/>
          <w:sz w:val="32"/>
          <w:szCs w:val="32"/>
        </w:rPr>
      </w:pPr>
      <w:r w:rsidRPr="005161BE">
        <w:rPr>
          <w:rFonts w:ascii="Traditional Arabic" w:hAnsi="Traditional Arabic"/>
          <w:sz w:val="32"/>
          <w:szCs w:val="32"/>
          <w:rtl/>
        </w:rPr>
        <w:t>(</w:t>
      </w:r>
      <w:r w:rsidRPr="005161BE">
        <w:rPr>
          <w:rStyle w:val="ae"/>
          <w:rFonts w:ascii="Traditional Arabic" w:hAnsi="Traditional Arabic"/>
          <w:sz w:val="32"/>
          <w:szCs w:val="32"/>
          <w:vertAlign w:val="baseline"/>
        </w:rPr>
        <w:footnoteRef/>
      </w:r>
      <w:r w:rsidRPr="005161BE">
        <w:rPr>
          <w:rFonts w:ascii="Traditional Arabic" w:hAnsi="Traditional Arabic"/>
          <w:sz w:val="32"/>
          <w:szCs w:val="32"/>
          <w:rtl/>
        </w:rPr>
        <w:t xml:space="preserve">) البيت أنشده الباهلي للأحول الكندي. </w:t>
      </w:r>
      <w:r>
        <w:rPr>
          <w:rFonts w:ascii="Traditional Arabic" w:hAnsi="Traditional Arabic"/>
          <w:sz w:val="32"/>
          <w:szCs w:val="32"/>
          <w:rtl/>
        </w:rPr>
        <w:t>انظر: تهذيب اللغة (6/200) مادة (طها), لسان العرب (15/17)</w:t>
      </w:r>
      <w:r w:rsidRPr="005161BE">
        <w:rPr>
          <w:rFonts w:ascii="Traditional Arabic" w:hAnsi="Traditional Arabic"/>
          <w:sz w:val="32"/>
          <w:szCs w:val="32"/>
          <w:rtl/>
        </w:rPr>
        <w:t xml:space="preserve"> مادة (طها). </w:t>
      </w:r>
    </w:p>
  </w:footnote>
  <w:footnote w:id="1000">
    <w:p w:rsidR="003F128F" w:rsidRPr="005161BE" w:rsidRDefault="003F128F" w:rsidP="00824744">
      <w:pPr>
        <w:pStyle w:val="af3"/>
        <w:rPr>
          <w:rFonts w:ascii="Traditional Arabic" w:hAnsi="Traditional Arabic"/>
          <w:sz w:val="32"/>
          <w:szCs w:val="32"/>
        </w:rPr>
      </w:pPr>
      <w:r w:rsidRPr="005161BE">
        <w:rPr>
          <w:rFonts w:ascii="Traditional Arabic" w:hAnsi="Traditional Arabic"/>
          <w:sz w:val="32"/>
          <w:szCs w:val="32"/>
          <w:rtl/>
        </w:rPr>
        <w:t>(</w:t>
      </w:r>
      <w:r w:rsidRPr="005161BE">
        <w:rPr>
          <w:rStyle w:val="ae"/>
          <w:rFonts w:ascii="Traditional Arabic" w:hAnsi="Traditional Arabic"/>
          <w:sz w:val="32"/>
          <w:szCs w:val="32"/>
          <w:vertAlign w:val="baseline"/>
        </w:rPr>
        <w:footnoteRef/>
      </w:r>
      <w:r w:rsidRPr="005161BE">
        <w:rPr>
          <w:rFonts w:ascii="Traditional Arabic" w:hAnsi="Traditional Arabic"/>
          <w:sz w:val="32"/>
          <w:szCs w:val="32"/>
          <w:rtl/>
        </w:rPr>
        <w:t>) انظر: البحر المحيط (7/150), اللباب في علوم الكتاب (10/92)</w:t>
      </w:r>
      <w:r>
        <w:rPr>
          <w:rFonts w:ascii="Traditional Arabic" w:hAnsi="Traditional Arabic" w:hint="cs"/>
          <w:sz w:val="32"/>
          <w:szCs w:val="32"/>
          <w:rtl/>
        </w:rPr>
        <w:t>.</w:t>
      </w:r>
    </w:p>
  </w:footnote>
  <w:footnote w:id="1001">
    <w:p w:rsidR="003F128F" w:rsidRPr="005161BE" w:rsidRDefault="003F128F" w:rsidP="005C21CD">
      <w:pPr>
        <w:pStyle w:val="af3"/>
        <w:rPr>
          <w:rFonts w:ascii="Traditional Arabic" w:hAnsi="Traditional Arabic"/>
          <w:sz w:val="32"/>
          <w:szCs w:val="32"/>
        </w:rPr>
      </w:pPr>
      <w:r w:rsidRPr="005161BE">
        <w:rPr>
          <w:rFonts w:ascii="Traditional Arabic" w:hAnsi="Traditional Arabic"/>
          <w:sz w:val="32"/>
          <w:szCs w:val="32"/>
          <w:rtl/>
        </w:rPr>
        <w:t>(</w:t>
      </w:r>
      <w:r w:rsidRPr="005161BE">
        <w:rPr>
          <w:rStyle w:val="ae"/>
          <w:rFonts w:ascii="Traditional Arabic" w:hAnsi="Traditional Arabic"/>
          <w:sz w:val="32"/>
          <w:szCs w:val="32"/>
          <w:vertAlign w:val="baseline"/>
        </w:rPr>
        <w:footnoteRef/>
      </w:r>
      <w:r w:rsidRPr="005161BE">
        <w:rPr>
          <w:rFonts w:ascii="Traditional Arabic" w:hAnsi="Traditional Arabic"/>
          <w:sz w:val="32"/>
          <w:szCs w:val="32"/>
          <w:rtl/>
        </w:rPr>
        <w:t>) انظر: التفسير الوسيط (3/138).</w:t>
      </w:r>
    </w:p>
  </w:footnote>
  <w:footnote w:id="1002">
    <w:p w:rsidR="003F128F" w:rsidRPr="005161BE" w:rsidRDefault="003F128F" w:rsidP="005C21CD">
      <w:pPr>
        <w:pStyle w:val="af3"/>
        <w:rPr>
          <w:rFonts w:ascii="Traditional Arabic" w:hAnsi="Traditional Arabic"/>
          <w:sz w:val="32"/>
          <w:szCs w:val="32"/>
        </w:rPr>
      </w:pPr>
      <w:r w:rsidRPr="005161BE">
        <w:rPr>
          <w:rFonts w:ascii="Traditional Arabic" w:hAnsi="Traditional Arabic"/>
          <w:sz w:val="32"/>
          <w:szCs w:val="32"/>
          <w:rtl/>
        </w:rPr>
        <w:t>(</w:t>
      </w:r>
      <w:r w:rsidRPr="005161BE">
        <w:rPr>
          <w:rStyle w:val="ae"/>
          <w:rFonts w:ascii="Traditional Arabic" w:hAnsi="Traditional Arabic"/>
          <w:sz w:val="32"/>
          <w:szCs w:val="32"/>
          <w:vertAlign w:val="baseline"/>
        </w:rPr>
        <w:footnoteRef/>
      </w:r>
      <w:r w:rsidRPr="005161BE">
        <w:rPr>
          <w:rFonts w:ascii="Traditional Arabic" w:hAnsi="Traditional Arabic"/>
          <w:sz w:val="32"/>
          <w:szCs w:val="32"/>
          <w:rtl/>
        </w:rPr>
        <w:t>) انظر: المصدر السابق (3/138).</w:t>
      </w:r>
    </w:p>
  </w:footnote>
  <w:footnote w:id="1003">
    <w:p w:rsidR="003F128F" w:rsidRPr="005161BE" w:rsidRDefault="003F128F" w:rsidP="00824744">
      <w:pPr>
        <w:pStyle w:val="af3"/>
        <w:rPr>
          <w:rFonts w:ascii="Traditional Arabic" w:hAnsi="Traditional Arabic"/>
          <w:sz w:val="32"/>
          <w:szCs w:val="32"/>
        </w:rPr>
      </w:pPr>
      <w:r w:rsidRPr="005161BE">
        <w:rPr>
          <w:rFonts w:ascii="Traditional Arabic" w:hAnsi="Traditional Arabic"/>
          <w:sz w:val="32"/>
          <w:szCs w:val="32"/>
          <w:rtl/>
        </w:rPr>
        <w:t>(</w:t>
      </w:r>
      <w:r w:rsidRPr="005161BE">
        <w:rPr>
          <w:rStyle w:val="ae"/>
          <w:rFonts w:ascii="Traditional Arabic" w:hAnsi="Traditional Arabic"/>
          <w:sz w:val="32"/>
          <w:szCs w:val="32"/>
          <w:vertAlign w:val="baseline"/>
        </w:rPr>
        <w:footnoteRef/>
      </w:r>
      <w:r w:rsidRPr="005161BE">
        <w:rPr>
          <w:rFonts w:ascii="Traditional Arabic" w:hAnsi="Traditional Arabic"/>
          <w:sz w:val="32"/>
          <w:szCs w:val="32"/>
          <w:rtl/>
        </w:rPr>
        <w:t>)</w:t>
      </w:r>
      <w:r>
        <w:rPr>
          <w:rFonts w:ascii="Traditional Arabic" w:hAnsi="Traditional Arabic" w:hint="cs"/>
          <w:sz w:val="32"/>
          <w:szCs w:val="32"/>
          <w:rtl/>
        </w:rPr>
        <w:t xml:space="preserve"> </w:t>
      </w:r>
      <w:r w:rsidRPr="005161BE">
        <w:rPr>
          <w:rFonts w:ascii="Traditional Arabic" w:hAnsi="Traditional Arabic"/>
          <w:sz w:val="32"/>
          <w:szCs w:val="32"/>
          <w:rtl/>
        </w:rPr>
        <w:t xml:space="preserve">انظر: السبعة في القراءات (ص388), معاني القراءات (2/106). </w:t>
      </w:r>
    </w:p>
  </w:footnote>
  <w:footnote w:id="1004">
    <w:p w:rsidR="003F128F" w:rsidRPr="005161BE" w:rsidRDefault="003F128F" w:rsidP="00824744">
      <w:pPr>
        <w:pStyle w:val="af3"/>
        <w:rPr>
          <w:rFonts w:ascii="Traditional Arabic" w:hAnsi="Traditional Arabic"/>
          <w:sz w:val="32"/>
          <w:szCs w:val="32"/>
        </w:rPr>
      </w:pPr>
      <w:r w:rsidRPr="005161BE">
        <w:rPr>
          <w:rFonts w:ascii="Traditional Arabic" w:hAnsi="Traditional Arabic"/>
          <w:sz w:val="32"/>
          <w:szCs w:val="32"/>
          <w:rtl/>
        </w:rPr>
        <w:t>(</w:t>
      </w:r>
      <w:r w:rsidRPr="005161BE">
        <w:rPr>
          <w:rStyle w:val="ae"/>
          <w:rFonts w:ascii="Traditional Arabic" w:hAnsi="Traditional Arabic"/>
          <w:sz w:val="32"/>
          <w:szCs w:val="32"/>
          <w:vertAlign w:val="baseline"/>
        </w:rPr>
        <w:footnoteRef/>
      </w:r>
      <w:r w:rsidRPr="005161BE">
        <w:rPr>
          <w:rFonts w:ascii="Traditional Arabic" w:hAnsi="Traditional Arabic"/>
          <w:sz w:val="32"/>
          <w:szCs w:val="32"/>
          <w:rtl/>
        </w:rPr>
        <w:t>)</w:t>
      </w:r>
      <w:r>
        <w:rPr>
          <w:rFonts w:ascii="Traditional Arabic" w:hAnsi="Traditional Arabic" w:hint="cs"/>
          <w:sz w:val="32"/>
          <w:szCs w:val="32"/>
          <w:rtl/>
        </w:rPr>
        <w:t xml:space="preserve"> </w:t>
      </w:r>
      <w:r w:rsidRPr="005161BE">
        <w:rPr>
          <w:rFonts w:ascii="Traditional Arabic" w:hAnsi="Traditional Arabic"/>
          <w:sz w:val="32"/>
          <w:szCs w:val="32"/>
          <w:rtl/>
        </w:rPr>
        <w:t>انظر: مختصر الشواذ لابن خالويه (ص82)</w:t>
      </w:r>
      <w:r>
        <w:rPr>
          <w:rFonts w:ascii="Traditional Arabic" w:hAnsi="Traditional Arabic" w:hint="cs"/>
          <w:sz w:val="32"/>
          <w:szCs w:val="32"/>
          <w:rtl/>
        </w:rPr>
        <w:t>.</w:t>
      </w:r>
      <w:r w:rsidRPr="005161BE">
        <w:rPr>
          <w:rFonts w:ascii="Traditional Arabic" w:hAnsi="Traditional Arabic"/>
          <w:sz w:val="32"/>
          <w:szCs w:val="32"/>
          <w:rtl/>
        </w:rPr>
        <w:t xml:space="preserve">  </w:t>
      </w:r>
    </w:p>
  </w:footnote>
  <w:footnote w:id="1005">
    <w:p w:rsidR="003F128F" w:rsidRPr="00671F66" w:rsidRDefault="003F128F" w:rsidP="00824744">
      <w:pPr>
        <w:pStyle w:val="af3"/>
        <w:rPr>
          <w:rFonts w:ascii="Tahoma" w:hAnsi="Tahoma"/>
        </w:rPr>
      </w:pPr>
      <w:r w:rsidRPr="005161BE">
        <w:rPr>
          <w:rFonts w:ascii="Traditional Arabic" w:hAnsi="Traditional Arabic"/>
          <w:sz w:val="32"/>
          <w:szCs w:val="32"/>
          <w:rtl/>
        </w:rPr>
        <w:t>(</w:t>
      </w:r>
      <w:r w:rsidRPr="005161BE">
        <w:rPr>
          <w:rStyle w:val="ae"/>
          <w:rFonts w:ascii="Traditional Arabic" w:hAnsi="Traditional Arabic"/>
          <w:sz w:val="32"/>
          <w:szCs w:val="32"/>
          <w:vertAlign w:val="baseline"/>
        </w:rPr>
        <w:footnoteRef/>
      </w:r>
      <w:r w:rsidRPr="005161BE">
        <w:rPr>
          <w:rFonts w:ascii="Traditional Arabic" w:hAnsi="Traditional Arabic"/>
          <w:sz w:val="32"/>
          <w:szCs w:val="32"/>
          <w:rtl/>
        </w:rPr>
        <w:t>)</w:t>
      </w:r>
      <w:r>
        <w:rPr>
          <w:rFonts w:ascii="Traditional Arabic" w:hAnsi="Traditional Arabic" w:hint="cs"/>
          <w:sz w:val="32"/>
          <w:szCs w:val="32"/>
          <w:rtl/>
        </w:rPr>
        <w:t xml:space="preserve"> </w:t>
      </w:r>
      <w:r w:rsidRPr="005161BE">
        <w:rPr>
          <w:rFonts w:ascii="Traditional Arabic" w:hAnsi="Traditional Arabic"/>
          <w:sz w:val="32"/>
          <w:szCs w:val="32"/>
          <w:rtl/>
        </w:rPr>
        <w:t xml:space="preserve">انظر: </w:t>
      </w:r>
      <w:r>
        <w:rPr>
          <w:rFonts w:ascii="Traditional Arabic" w:hAnsi="Traditional Arabic" w:hint="cs"/>
          <w:sz w:val="32"/>
          <w:szCs w:val="32"/>
          <w:rtl/>
        </w:rPr>
        <w:t>المصدر السابق</w:t>
      </w:r>
      <w:r w:rsidRPr="005161BE">
        <w:rPr>
          <w:rFonts w:ascii="Traditional Arabic" w:hAnsi="Traditional Arabic"/>
          <w:sz w:val="32"/>
          <w:szCs w:val="32"/>
          <w:rtl/>
        </w:rPr>
        <w:t xml:space="preserve"> (ص82)</w:t>
      </w:r>
      <w:r>
        <w:rPr>
          <w:rFonts w:ascii="Tahoma" w:hAnsi="Tahoma" w:hint="cs"/>
          <w:rtl/>
        </w:rPr>
        <w:t>.</w:t>
      </w:r>
      <w:r>
        <w:rPr>
          <w:rFonts w:ascii="Tahoma" w:hAnsi="Tahoma"/>
          <w:rtl/>
        </w:rPr>
        <w:t xml:space="preserve">  </w:t>
      </w:r>
    </w:p>
  </w:footnote>
  <w:footnote w:id="1006">
    <w:p w:rsidR="003F128F" w:rsidRPr="00C80086" w:rsidRDefault="003F128F" w:rsidP="005C21CD">
      <w:pPr>
        <w:pStyle w:val="af3"/>
        <w:rPr>
          <w:rFonts w:ascii="Traditional Arabic" w:hAnsi="Traditional Arabic"/>
          <w:sz w:val="32"/>
          <w:szCs w:val="32"/>
        </w:rPr>
      </w:pPr>
      <w:r w:rsidRPr="00C80086">
        <w:rPr>
          <w:rFonts w:ascii="Traditional Arabic" w:hAnsi="Traditional Arabic"/>
          <w:color w:val="auto"/>
          <w:sz w:val="32"/>
          <w:szCs w:val="32"/>
          <w:rtl/>
        </w:rPr>
        <w:t>(</w:t>
      </w:r>
      <w:r w:rsidRPr="00C80086">
        <w:rPr>
          <w:rStyle w:val="ae"/>
          <w:rFonts w:ascii="Traditional Arabic" w:hAnsi="Traditional Arabic"/>
          <w:color w:val="auto"/>
          <w:sz w:val="32"/>
          <w:szCs w:val="32"/>
          <w:vertAlign w:val="baseline"/>
        </w:rPr>
        <w:footnoteRef/>
      </w:r>
      <w:r w:rsidRPr="00C80086">
        <w:rPr>
          <w:rFonts w:ascii="Traditional Arabic" w:hAnsi="Traditional Arabic"/>
          <w:color w:val="auto"/>
          <w:sz w:val="32"/>
          <w:szCs w:val="32"/>
          <w:rtl/>
        </w:rPr>
        <w:t>)</w:t>
      </w:r>
      <w:r w:rsidRPr="00C80086">
        <w:rPr>
          <w:rFonts w:ascii="Traditional Arabic" w:hAnsi="Traditional Arabic"/>
          <w:color w:val="auto"/>
          <w:sz w:val="32"/>
          <w:szCs w:val="32"/>
          <w:rtl/>
          <w:lang w:eastAsia="en-US"/>
        </w:rPr>
        <w:t xml:space="preserve"> هو أبو السَمّال</w:t>
      </w:r>
      <w:r>
        <w:rPr>
          <w:rFonts w:ascii="Traditional Arabic" w:hAnsi="Traditional Arabic" w:hint="cs"/>
          <w:color w:val="auto"/>
          <w:sz w:val="32"/>
          <w:szCs w:val="32"/>
          <w:rtl/>
          <w:lang w:eastAsia="en-US"/>
        </w:rPr>
        <w:t>,</w:t>
      </w:r>
      <w:r w:rsidRPr="00C80086">
        <w:rPr>
          <w:rFonts w:ascii="Traditional Arabic" w:hAnsi="Traditional Arabic"/>
          <w:color w:val="auto"/>
          <w:sz w:val="32"/>
          <w:szCs w:val="32"/>
          <w:rtl/>
          <w:lang w:eastAsia="en-US"/>
        </w:rPr>
        <w:t xml:space="preserve"> قعنب بن أبي قعنب -بفتح السين وتشديد الميم- العدوي البصري، كان إماما في العربية, له اختيار في القراءة شاذ عن العامة</w:t>
      </w:r>
      <w:r w:rsidRPr="00C80086">
        <w:rPr>
          <w:rFonts w:ascii="Traditional Arabic" w:hAnsi="Traditional Arabic"/>
          <w:color w:val="auto"/>
          <w:sz w:val="32"/>
          <w:szCs w:val="32"/>
          <w:rtl/>
        </w:rPr>
        <w:t>, (ت160ه). انظر: الوافي بالوفيات (24/197), غاية النهاية (2/27).</w:t>
      </w:r>
    </w:p>
  </w:footnote>
  <w:footnote w:id="1007">
    <w:p w:rsidR="003F128F" w:rsidRPr="00824744" w:rsidRDefault="003F128F" w:rsidP="005C21CD">
      <w:pPr>
        <w:pStyle w:val="af3"/>
        <w:rPr>
          <w:rFonts w:ascii="Traditional Arabic" w:hAnsi="Traditional Arabic"/>
          <w:sz w:val="32"/>
          <w:szCs w:val="32"/>
        </w:rPr>
      </w:pPr>
      <w:r w:rsidRPr="00824744">
        <w:rPr>
          <w:rFonts w:ascii="Traditional Arabic" w:hAnsi="Traditional Arabic"/>
          <w:sz w:val="32"/>
          <w:szCs w:val="32"/>
          <w:rtl/>
        </w:rPr>
        <w:t>(</w:t>
      </w:r>
      <w:r w:rsidRPr="00824744">
        <w:rPr>
          <w:rStyle w:val="ae"/>
          <w:rFonts w:ascii="Traditional Arabic" w:hAnsi="Traditional Arabic"/>
          <w:sz w:val="32"/>
          <w:szCs w:val="32"/>
          <w:vertAlign w:val="baseline"/>
        </w:rPr>
        <w:footnoteRef/>
      </w:r>
      <w:r w:rsidRPr="00824744">
        <w:rPr>
          <w:rFonts w:ascii="Traditional Arabic" w:hAnsi="Traditional Arabic"/>
          <w:sz w:val="32"/>
          <w:szCs w:val="32"/>
          <w:rtl/>
        </w:rPr>
        <w:t>) في (ك): [مثل: تكوّر والمعنى تميل و تعدل].</w:t>
      </w:r>
    </w:p>
  </w:footnote>
  <w:footnote w:id="1008">
    <w:p w:rsidR="003F128F" w:rsidRPr="00824744" w:rsidRDefault="003F128F" w:rsidP="00824744">
      <w:pPr>
        <w:pStyle w:val="af3"/>
        <w:rPr>
          <w:rFonts w:ascii="Traditional Arabic" w:hAnsi="Traditional Arabic"/>
          <w:sz w:val="32"/>
          <w:szCs w:val="32"/>
        </w:rPr>
      </w:pPr>
      <w:r w:rsidRPr="00824744">
        <w:rPr>
          <w:rFonts w:ascii="Traditional Arabic" w:hAnsi="Traditional Arabic"/>
          <w:sz w:val="32"/>
          <w:szCs w:val="32"/>
          <w:rtl/>
        </w:rPr>
        <w:t>(</w:t>
      </w:r>
      <w:r w:rsidRPr="00824744">
        <w:rPr>
          <w:rStyle w:val="ae"/>
          <w:rFonts w:ascii="Traditional Arabic" w:hAnsi="Traditional Arabic"/>
          <w:sz w:val="32"/>
          <w:szCs w:val="32"/>
          <w:vertAlign w:val="baseline"/>
        </w:rPr>
        <w:footnoteRef/>
      </w:r>
      <w:r w:rsidRPr="00824744">
        <w:rPr>
          <w:rFonts w:ascii="Traditional Arabic" w:hAnsi="Traditional Arabic"/>
          <w:sz w:val="32"/>
          <w:szCs w:val="32"/>
          <w:rtl/>
        </w:rPr>
        <w:t>) انظر: شواذ القراءات للكرماني (ص139).</w:t>
      </w:r>
    </w:p>
  </w:footnote>
  <w:footnote w:id="1009">
    <w:p w:rsidR="003F128F" w:rsidRPr="00824744" w:rsidRDefault="003F128F" w:rsidP="00824744">
      <w:pPr>
        <w:pStyle w:val="af3"/>
        <w:rPr>
          <w:rFonts w:ascii="Traditional Arabic" w:hAnsi="Traditional Arabic"/>
          <w:sz w:val="32"/>
          <w:szCs w:val="32"/>
        </w:rPr>
      </w:pPr>
      <w:r w:rsidRPr="00824744">
        <w:rPr>
          <w:rFonts w:ascii="Traditional Arabic" w:hAnsi="Traditional Arabic"/>
          <w:sz w:val="32"/>
          <w:szCs w:val="32"/>
          <w:rtl/>
        </w:rPr>
        <w:t>(</w:t>
      </w:r>
      <w:r w:rsidRPr="00824744">
        <w:rPr>
          <w:rStyle w:val="ae"/>
          <w:rFonts w:ascii="Traditional Arabic" w:hAnsi="Traditional Arabic"/>
          <w:sz w:val="32"/>
          <w:szCs w:val="32"/>
          <w:vertAlign w:val="baseline"/>
        </w:rPr>
        <w:footnoteRef/>
      </w:r>
      <w:r w:rsidRPr="00824744">
        <w:rPr>
          <w:rFonts w:ascii="Traditional Arabic" w:hAnsi="Traditional Arabic"/>
          <w:sz w:val="32"/>
          <w:szCs w:val="32"/>
          <w:rtl/>
        </w:rPr>
        <w:t>) مُشْرِف والفوارس: موضعان بنجد. انظر: معجم من استعجم (3/1030,  4/1231).</w:t>
      </w:r>
    </w:p>
  </w:footnote>
  <w:footnote w:id="1010">
    <w:p w:rsidR="003F128F" w:rsidRPr="00824744" w:rsidRDefault="003F128F" w:rsidP="00824744">
      <w:pPr>
        <w:pStyle w:val="af3"/>
        <w:rPr>
          <w:rFonts w:ascii="Tahoma" w:hAnsi="Tahoma"/>
        </w:rPr>
      </w:pPr>
      <w:r w:rsidRPr="00824744">
        <w:rPr>
          <w:rFonts w:ascii="Traditional Arabic" w:hAnsi="Traditional Arabic"/>
          <w:sz w:val="32"/>
          <w:szCs w:val="32"/>
          <w:rtl/>
        </w:rPr>
        <w:t>(</w:t>
      </w:r>
      <w:r w:rsidRPr="00824744">
        <w:rPr>
          <w:rStyle w:val="ae"/>
          <w:rFonts w:ascii="Traditional Arabic" w:hAnsi="Traditional Arabic"/>
          <w:sz w:val="32"/>
          <w:szCs w:val="32"/>
          <w:vertAlign w:val="baseline"/>
        </w:rPr>
        <w:footnoteRef/>
      </w:r>
      <w:r w:rsidRPr="00824744">
        <w:rPr>
          <w:rFonts w:ascii="Traditional Arabic" w:hAnsi="Traditional Arabic"/>
          <w:sz w:val="32"/>
          <w:szCs w:val="32"/>
          <w:rtl/>
        </w:rPr>
        <w:t>) ديوان ذو الرمة (ص144).</w:t>
      </w:r>
      <w:r w:rsidRPr="00C80086">
        <w:rPr>
          <w:rFonts w:ascii="Traditional Arabic" w:hAnsi="Traditional Arabic"/>
          <w:sz w:val="32"/>
          <w:szCs w:val="32"/>
          <w:rtl/>
        </w:rPr>
        <w:t xml:space="preserve"> </w:t>
      </w:r>
      <w:r>
        <w:rPr>
          <w:rFonts w:ascii="Tahoma" w:hAnsi="Tahoma"/>
          <w:rtl/>
        </w:rPr>
        <w:t xml:space="preserve"> </w:t>
      </w:r>
    </w:p>
  </w:footnote>
  <w:footnote w:id="1011">
    <w:p w:rsidR="003F128F" w:rsidRPr="00C80086" w:rsidRDefault="003F128F" w:rsidP="005C21CD">
      <w:pPr>
        <w:pStyle w:val="af3"/>
        <w:rPr>
          <w:rFonts w:ascii="Traditional Arabic" w:hAnsi="Traditional Arabic"/>
          <w:sz w:val="32"/>
          <w:szCs w:val="32"/>
        </w:rPr>
      </w:pPr>
      <w:r w:rsidRPr="00C80086">
        <w:rPr>
          <w:rFonts w:ascii="Traditional Arabic" w:hAnsi="Traditional Arabic"/>
          <w:sz w:val="32"/>
          <w:szCs w:val="32"/>
          <w:rtl/>
        </w:rPr>
        <w:t>(</w:t>
      </w:r>
      <w:r w:rsidRPr="00C80086">
        <w:rPr>
          <w:rStyle w:val="ae"/>
          <w:rFonts w:ascii="Traditional Arabic" w:hAnsi="Traditional Arabic"/>
          <w:sz w:val="32"/>
          <w:szCs w:val="32"/>
          <w:vertAlign w:val="baseline"/>
        </w:rPr>
        <w:footnoteRef/>
      </w:r>
      <w:r w:rsidRPr="00C80086">
        <w:rPr>
          <w:rFonts w:ascii="Traditional Arabic" w:hAnsi="Traditional Arabic"/>
          <w:sz w:val="32"/>
          <w:szCs w:val="32"/>
          <w:rtl/>
        </w:rPr>
        <w:t xml:space="preserve">) انظر: معاني القرآن وإعرابه (3/273). </w:t>
      </w:r>
    </w:p>
  </w:footnote>
  <w:footnote w:id="1012">
    <w:p w:rsidR="003F128F" w:rsidRPr="00C80086" w:rsidRDefault="003F128F" w:rsidP="00F642AB">
      <w:pPr>
        <w:pStyle w:val="af3"/>
        <w:rPr>
          <w:rFonts w:ascii="Traditional Arabic" w:hAnsi="Traditional Arabic"/>
          <w:sz w:val="32"/>
          <w:szCs w:val="32"/>
        </w:rPr>
      </w:pPr>
      <w:r w:rsidRPr="0081383B">
        <w:rPr>
          <w:rFonts w:ascii="Traditional Arabic" w:hAnsi="Traditional Arabic"/>
          <w:color w:val="auto"/>
          <w:sz w:val="32"/>
          <w:szCs w:val="32"/>
          <w:rtl/>
        </w:rPr>
        <w:t>(</w:t>
      </w:r>
      <w:r w:rsidRPr="0081383B">
        <w:rPr>
          <w:rStyle w:val="ae"/>
          <w:rFonts w:ascii="Traditional Arabic" w:hAnsi="Traditional Arabic"/>
          <w:color w:val="auto"/>
          <w:sz w:val="32"/>
          <w:szCs w:val="32"/>
          <w:vertAlign w:val="baseline"/>
        </w:rPr>
        <w:footnoteRef/>
      </w:r>
      <w:r>
        <w:rPr>
          <w:rFonts w:ascii="Traditional Arabic" w:hAnsi="Traditional Arabic"/>
          <w:color w:val="auto"/>
          <w:sz w:val="32"/>
          <w:szCs w:val="32"/>
          <w:rtl/>
        </w:rPr>
        <w:t xml:space="preserve">) بنات نعش: سبعة </w:t>
      </w:r>
      <w:r>
        <w:rPr>
          <w:rFonts w:ascii="Traditional Arabic" w:hAnsi="Traditional Arabic" w:hint="cs"/>
          <w:color w:val="auto"/>
          <w:sz w:val="32"/>
          <w:szCs w:val="32"/>
          <w:rtl/>
        </w:rPr>
        <w:t>نجوم</w:t>
      </w:r>
      <w:r w:rsidRPr="0081383B">
        <w:rPr>
          <w:rFonts w:ascii="Traditional Arabic" w:hAnsi="Traditional Arabic"/>
          <w:color w:val="auto"/>
          <w:sz w:val="32"/>
          <w:szCs w:val="32"/>
          <w:rtl/>
        </w:rPr>
        <w:t>، أربعةٌ نعش وثلاثةٌ بنات, والواحد ابن نعش،</w:t>
      </w:r>
      <w:r w:rsidRPr="0081383B">
        <w:rPr>
          <w:rFonts w:ascii="Traditional Arabic" w:hAnsi="Traditional Arabic" w:hint="cs"/>
          <w:color w:val="auto"/>
          <w:sz w:val="32"/>
          <w:szCs w:val="32"/>
          <w:rtl/>
        </w:rPr>
        <w:t xml:space="preserve"> وهي كبرى وصغرى فأما</w:t>
      </w:r>
      <w:r w:rsidRPr="0081383B">
        <w:rPr>
          <w:rFonts w:ascii="Traditional Arabic" w:hAnsi="Traditional Arabic"/>
          <w:color w:val="auto"/>
          <w:sz w:val="32"/>
          <w:szCs w:val="32"/>
          <w:rtl/>
        </w:rPr>
        <w:t xml:space="preserve"> بنات نعش</w:t>
      </w:r>
      <w:r w:rsidRPr="0081383B">
        <w:rPr>
          <w:rFonts w:ascii="Traditional Arabic" w:hAnsi="Traditional Arabic" w:hint="cs"/>
          <w:color w:val="auto"/>
          <w:sz w:val="32"/>
          <w:szCs w:val="32"/>
          <w:rtl/>
        </w:rPr>
        <w:t xml:space="preserve"> الكبرى </w:t>
      </w:r>
      <w:r w:rsidRPr="0081383B">
        <w:rPr>
          <w:rFonts w:ascii="Traditional Arabic" w:hAnsi="Traditional Arabic" w:hint="cs"/>
          <w:color w:val="auto"/>
          <w:sz w:val="32"/>
          <w:szCs w:val="32"/>
          <w:rtl/>
          <w:lang w:eastAsia="en-US"/>
        </w:rPr>
        <w:t xml:space="preserve">فهي </w:t>
      </w:r>
      <w:r w:rsidRPr="0081383B">
        <w:rPr>
          <w:rFonts w:ascii="Traditional Arabic" w:hAnsi="Traditional Arabic"/>
          <w:color w:val="auto"/>
          <w:sz w:val="32"/>
          <w:szCs w:val="32"/>
          <w:rtl/>
          <w:lang w:eastAsia="en-US"/>
        </w:rPr>
        <w:t>تشاهد جهة القطب الشماليّ</w:t>
      </w:r>
      <w:r w:rsidRPr="0081383B">
        <w:rPr>
          <w:rFonts w:ascii="Traditional Arabic" w:hAnsi="Traditional Arabic" w:hint="cs"/>
          <w:color w:val="auto"/>
          <w:sz w:val="32"/>
          <w:szCs w:val="32"/>
          <w:rtl/>
          <w:lang w:eastAsia="en-US"/>
        </w:rPr>
        <w:t xml:space="preserve"> وتسمى الدب الأكبر, وأما </w:t>
      </w:r>
      <w:r w:rsidRPr="0081383B">
        <w:rPr>
          <w:rFonts w:ascii="Traditional Arabic" w:hAnsi="Traditional Arabic"/>
          <w:color w:val="auto"/>
          <w:sz w:val="32"/>
          <w:szCs w:val="32"/>
          <w:rtl/>
        </w:rPr>
        <w:t>بنات نعش</w:t>
      </w:r>
      <w:r w:rsidRPr="0081383B">
        <w:rPr>
          <w:rFonts w:ascii="Traditional Arabic" w:hAnsi="Traditional Arabic" w:hint="cs"/>
          <w:color w:val="auto"/>
          <w:sz w:val="32"/>
          <w:szCs w:val="32"/>
          <w:rtl/>
        </w:rPr>
        <w:t xml:space="preserve"> </w:t>
      </w:r>
      <w:r w:rsidRPr="0081383B">
        <w:rPr>
          <w:rFonts w:ascii="Traditional Arabic" w:hAnsi="Traditional Arabic" w:hint="cs"/>
          <w:color w:val="auto"/>
          <w:sz w:val="32"/>
          <w:szCs w:val="32"/>
          <w:rtl/>
          <w:lang w:eastAsia="en-US"/>
        </w:rPr>
        <w:t>الصغرى تقع قريباً منها وتسمى الدب الأصغر</w:t>
      </w:r>
      <w:r w:rsidRPr="0081383B">
        <w:rPr>
          <w:rFonts w:ascii="Traditional Arabic" w:hAnsi="Traditional Arabic"/>
          <w:color w:val="auto"/>
          <w:sz w:val="32"/>
          <w:szCs w:val="32"/>
          <w:rtl/>
          <w:lang w:eastAsia="en-US"/>
        </w:rPr>
        <w:t>.</w:t>
      </w:r>
      <w:r w:rsidRPr="0081383B">
        <w:rPr>
          <w:rFonts w:ascii="Traditional Arabic" w:hAnsi="Traditional Arabic"/>
          <w:color w:val="auto"/>
          <w:sz w:val="32"/>
          <w:szCs w:val="32"/>
          <w:rtl/>
        </w:rPr>
        <w:t xml:space="preserve"> انظر: العين (1/259), مادة (نعش)</w:t>
      </w:r>
      <w:r>
        <w:rPr>
          <w:rFonts w:ascii="Traditional Arabic" w:hAnsi="Traditional Arabic" w:hint="cs"/>
          <w:color w:val="auto"/>
          <w:sz w:val="32"/>
          <w:szCs w:val="32"/>
          <w:rtl/>
        </w:rPr>
        <w:t>, المحكم والمحيط لابن سيده (9/279) مادة (دبب)</w:t>
      </w:r>
      <w:r w:rsidRPr="0081383B">
        <w:rPr>
          <w:rFonts w:ascii="Traditional Arabic" w:hAnsi="Traditional Arabic"/>
          <w:color w:val="auto"/>
          <w:sz w:val="32"/>
          <w:szCs w:val="32"/>
          <w:rtl/>
        </w:rPr>
        <w:t>.</w:t>
      </w:r>
      <w:r w:rsidRPr="0081383B">
        <w:rPr>
          <w:rFonts w:ascii="Traditional Arabic" w:hAnsi="Traditional Arabic" w:hint="cs"/>
          <w:b/>
          <w:bCs/>
          <w:color w:val="auto"/>
          <w:sz w:val="32"/>
          <w:szCs w:val="32"/>
          <w:rtl/>
        </w:rPr>
        <w:t xml:space="preserve"> </w:t>
      </w:r>
    </w:p>
  </w:footnote>
  <w:footnote w:id="1013">
    <w:p w:rsidR="003F128F" w:rsidRPr="00C80086" w:rsidRDefault="003F128F" w:rsidP="00A94AF8">
      <w:pPr>
        <w:pStyle w:val="af3"/>
        <w:rPr>
          <w:rFonts w:ascii="Traditional Arabic" w:hAnsi="Traditional Arabic"/>
          <w:sz w:val="32"/>
          <w:szCs w:val="32"/>
        </w:rPr>
      </w:pPr>
      <w:r w:rsidRPr="00C80086">
        <w:rPr>
          <w:rFonts w:ascii="Traditional Arabic" w:hAnsi="Traditional Arabic"/>
          <w:sz w:val="32"/>
          <w:szCs w:val="32"/>
          <w:rtl/>
        </w:rPr>
        <w:t>(</w:t>
      </w:r>
      <w:r w:rsidRPr="00C80086">
        <w:rPr>
          <w:rStyle w:val="ae"/>
          <w:rFonts w:ascii="Traditional Arabic" w:hAnsi="Traditional Arabic"/>
          <w:sz w:val="32"/>
          <w:szCs w:val="32"/>
          <w:vertAlign w:val="baseline"/>
        </w:rPr>
        <w:footnoteRef/>
      </w:r>
      <w:r w:rsidRPr="00C80086">
        <w:rPr>
          <w:rFonts w:ascii="Traditional Arabic" w:hAnsi="Traditional Arabic"/>
          <w:sz w:val="32"/>
          <w:szCs w:val="32"/>
          <w:rtl/>
        </w:rPr>
        <w:t>) انظر: معاني القرآن وإعرا</w:t>
      </w:r>
      <w:r>
        <w:rPr>
          <w:rFonts w:ascii="Traditional Arabic" w:hAnsi="Traditional Arabic"/>
          <w:sz w:val="32"/>
          <w:szCs w:val="32"/>
          <w:rtl/>
        </w:rPr>
        <w:t>به (3/273), بحر العلوم (2/340)</w:t>
      </w:r>
      <w:r>
        <w:rPr>
          <w:rFonts w:ascii="Traditional Arabic" w:hAnsi="Traditional Arabic" w:hint="cs"/>
          <w:sz w:val="32"/>
          <w:szCs w:val="32"/>
          <w:rtl/>
        </w:rPr>
        <w:t>.</w:t>
      </w:r>
    </w:p>
  </w:footnote>
  <w:footnote w:id="1014">
    <w:p w:rsidR="003F128F" w:rsidRPr="00C80086" w:rsidRDefault="003F128F" w:rsidP="005C21CD">
      <w:pPr>
        <w:pStyle w:val="af3"/>
        <w:rPr>
          <w:rFonts w:ascii="Traditional Arabic" w:hAnsi="Traditional Arabic"/>
          <w:sz w:val="32"/>
          <w:szCs w:val="32"/>
        </w:rPr>
      </w:pPr>
      <w:r w:rsidRPr="00C80086">
        <w:rPr>
          <w:rFonts w:ascii="Traditional Arabic" w:hAnsi="Traditional Arabic"/>
          <w:sz w:val="32"/>
          <w:szCs w:val="32"/>
          <w:rtl/>
        </w:rPr>
        <w:t>(</w:t>
      </w:r>
      <w:r w:rsidRPr="00C80086">
        <w:rPr>
          <w:rStyle w:val="ae"/>
          <w:rFonts w:ascii="Traditional Arabic" w:hAnsi="Traditional Arabic"/>
          <w:sz w:val="32"/>
          <w:szCs w:val="32"/>
          <w:vertAlign w:val="baseline"/>
        </w:rPr>
        <w:footnoteRef/>
      </w:r>
      <w:r w:rsidRPr="00C80086">
        <w:rPr>
          <w:rFonts w:ascii="Traditional Arabic" w:hAnsi="Traditional Arabic"/>
          <w:sz w:val="32"/>
          <w:szCs w:val="32"/>
          <w:rtl/>
        </w:rPr>
        <w:t>) انظر: التفسير الوسيط (3/139).</w:t>
      </w:r>
    </w:p>
  </w:footnote>
  <w:footnote w:id="1015">
    <w:p w:rsidR="003F128F" w:rsidRPr="00C80086" w:rsidRDefault="003F128F" w:rsidP="00F642AB">
      <w:pPr>
        <w:pStyle w:val="af3"/>
        <w:rPr>
          <w:rFonts w:ascii="Traditional Arabic" w:hAnsi="Traditional Arabic"/>
          <w:sz w:val="32"/>
          <w:szCs w:val="32"/>
        </w:rPr>
      </w:pPr>
      <w:r w:rsidRPr="00C80086">
        <w:rPr>
          <w:rFonts w:ascii="Traditional Arabic" w:hAnsi="Traditional Arabic"/>
          <w:sz w:val="32"/>
          <w:szCs w:val="32"/>
          <w:rtl/>
        </w:rPr>
        <w:t>(</w:t>
      </w:r>
      <w:r w:rsidRPr="00C80086">
        <w:rPr>
          <w:rStyle w:val="ae"/>
          <w:rFonts w:ascii="Traditional Arabic" w:hAnsi="Traditional Arabic"/>
          <w:sz w:val="32"/>
          <w:szCs w:val="32"/>
          <w:vertAlign w:val="baseline"/>
        </w:rPr>
        <w:footnoteRef/>
      </w:r>
      <w:r>
        <w:rPr>
          <w:rFonts w:ascii="Traditional Arabic" w:hAnsi="Traditional Arabic"/>
          <w:sz w:val="32"/>
          <w:szCs w:val="32"/>
          <w:rtl/>
        </w:rPr>
        <w:t>) ما بين ال</w:t>
      </w:r>
      <w:r>
        <w:rPr>
          <w:rFonts w:ascii="Traditional Arabic" w:hAnsi="Traditional Arabic" w:hint="cs"/>
          <w:sz w:val="32"/>
          <w:szCs w:val="32"/>
          <w:rtl/>
        </w:rPr>
        <w:t>معكوفتين</w:t>
      </w:r>
      <w:r>
        <w:rPr>
          <w:rFonts w:ascii="Traditional Arabic" w:hAnsi="Traditional Arabic"/>
          <w:sz w:val="32"/>
          <w:szCs w:val="32"/>
          <w:rtl/>
        </w:rPr>
        <w:t xml:space="preserve"> ساقط م</w:t>
      </w:r>
      <w:r>
        <w:rPr>
          <w:rFonts w:ascii="Traditional Arabic" w:hAnsi="Traditional Arabic" w:hint="cs"/>
          <w:sz w:val="32"/>
          <w:szCs w:val="32"/>
          <w:rtl/>
        </w:rPr>
        <w:t>ن الأصل, والمثبت من (ك)</w:t>
      </w:r>
      <w:r w:rsidRPr="00C80086">
        <w:rPr>
          <w:rFonts w:ascii="Traditional Arabic" w:hAnsi="Traditional Arabic"/>
          <w:sz w:val="32"/>
          <w:szCs w:val="32"/>
          <w:rtl/>
        </w:rPr>
        <w:t xml:space="preserve">. </w:t>
      </w:r>
    </w:p>
  </w:footnote>
  <w:footnote w:id="1016">
    <w:p w:rsidR="003F128F" w:rsidRPr="00C80086" w:rsidRDefault="003F128F" w:rsidP="005C21CD">
      <w:pPr>
        <w:pStyle w:val="af3"/>
        <w:rPr>
          <w:rFonts w:ascii="Traditional Arabic" w:hAnsi="Traditional Arabic"/>
          <w:sz w:val="32"/>
          <w:szCs w:val="32"/>
        </w:rPr>
      </w:pPr>
      <w:r w:rsidRPr="00C80086">
        <w:rPr>
          <w:rFonts w:ascii="Traditional Arabic" w:hAnsi="Traditional Arabic"/>
          <w:sz w:val="32"/>
          <w:szCs w:val="32"/>
          <w:rtl/>
        </w:rPr>
        <w:t>(</w:t>
      </w:r>
      <w:r w:rsidRPr="00C80086">
        <w:rPr>
          <w:rStyle w:val="ae"/>
          <w:rFonts w:ascii="Traditional Arabic" w:hAnsi="Traditional Arabic"/>
          <w:sz w:val="32"/>
          <w:szCs w:val="32"/>
          <w:vertAlign w:val="baseline"/>
        </w:rPr>
        <w:footnoteRef/>
      </w:r>
      <w:r w:rsidRPr="00C80086">
        <w:rPr>
          <w:rFonts w:ascii="Traditional Arabic" w:hAnsi="Traditional Arabic"/>
          <w:sz w:val="32"/>
          <w:szCs w:val="32"/>
          <w:rtl/>
        </w:rPr>
        <w:t>) مجاز القرآن (1/396).</w:t>
      </w:r>
    </w:p>
  </w:footnote>
  <w:footnote w:id="1017">
    <w:p w:rsidR="003F128F" w:rsidRPr="00671F66" w:rsidRDefault="003F128F" w:rsidP="005C21CD">
      <w:pPr>
        <w:pStyle w:val="af3"/>
        <w:rPr>
          <w:rFonts w:ascii="Tahoma" w:hAnsi="Tahoma"/>
        </w:rPr>
      </w:pPr>
      <w:r w:rsidRPr="00C80086">
        <w:rPr>
          <w:rFonts w:ascii="Traditional Arabic" w:hAnsi="Traditional Arabic"/>
          <w:sz w:val="32"/>
          <w:szCs w:val="32"/>
          <w:rtl/>
        </w:rPr>
        <w:t>(</w:t>
      </w:r>
      <w:r w:rsidRPr="00C80086">
        <w:rPr>
          <w:rStyle w:val="ae"/>
          <w:rFonts w:ascii="Traditional Arabic" w:hAnsi="Traditional Arabic"/>
          <w:sz w:val="32"/>
          <w:szCs w:val="32"/>
          <w:vertAlign w:val="baseline"/>
        </w:rPr>
        <w:footnoteRef/>
      </w:r>
      <w:r w:rsidRPr="00C80086">
        <w:rPr>
          <w:rFonts w:ascii="Traditional Arabic" w:hAnsi="Traditional Arabic"/>
          <w:sz w:val="32"/>
          <w:szCs w:val="32"/>
          <w:rtl/>
        </w:rPr>
        <w:t>) انظر: معاني القرآن وإعرابه (3/274).</w:t>
      </w:r>
    </w:p>
  </w:footnote>
  <w:footnote w:id="1018">
    <w:p w:rsidR="003F128F" w:rsidRPr="00F97FD2" w:rsidRDefault="003F128F" w:rsidP="00A94AF8">
      <w:pPr>
        <w:pStyle w:val="af3"/>
        <w:rPr>
          <w:rFonts w:ascii="Traditional Arabic" w:hAnsi="Traditional Arabic"/>
          <w:sz w:val="32"/>
          <w:szCs w:val="32"/>
        </w:rPr>
      </w:pPr>
      <w:r w:rsidRPr="00F97FD2">
        <w:rPr>
          <w:rFonts w:ascii="Traditional Arabic" w:hAnsi="Traditional Arabic"/>
          <w:sz w:val="32"/>
          <w:szCs w:val="32"/>
          <w:rtl/>
        </w:rPr>
        <w:t>(</w:t>
      </w:r>
      <w:r w:rsidRPr="00F97FD2">
        <w:rPr>
          <w:rStyle w:val="ae"/>
          <w:rFonts w:ascii="Traditional Arabic" w:hAnsi="Traditional Arabic"/>
          <w:sz w:val="32"/>
          <w:szCs w:val="32"/>
          <w:vertAlign w:val="baseline"/>
        </w:rPr>
        <w:footnoteRef/>
      </w:r>
      <w:r w:rsidRPr="00F97FD2">
        <w:rPr>
          <w:rFonts w:ascii="Traditional Arabic" w:hAnsi="Traditional Arabic"/>
          <w:sz w:val="32"/>
          <w:szCs w:val="32"/>
          <w:rtl/>
        </w:rPr>
        <w:t>) انظر: تفسير الطبري (17/623), بحر العلوم (2/340)</w:t>
      </w:r>
      <w:r>
        <w:rPr>
          <w:rFonts w:ascii="Traditional Arabic" w:hAnsi="Traditional Arabic" w:hint="cs"/>
          <w:sz w:val="32"/>
          <w:szCs w:val="32"/>
          <w:rtl/>
        </w:rPr>
        <w:t>.</w:t>
      </w:r>
    </w:p>
  </w:footnote>
  <w:footnote w:id="1019">
    <w:p w:rsidR="003F128F" w:rsidRPr="00F97FD2" w:rsidRDefault="003F128F" w:rsidP="005C21CD">
      <w:pPr>
        <w:pStyle w:val="af3"/>
        <w:rPr>
          <w:rFonts w:ascii="Traditional Arabic" w:hAnsi="Traditional Arabic"/>
          <w:sz w:val="32"/>
          <w:szCs w:val="32"/>
        </w:rPr>
      </w:pPr>
      <w:r w:rsidRPr="00F97FD2">
        <w:rPr>
          <w:rFonts w:ascii="Traditional Arabic" w:hAnsi="Traditional Arabic"/>
          <w:sz w:val="32"/>
          <w:szCs w:val="32"/>
          <w:rtl/>
        </w:rPr>
        <w:t>(</w:t>
      </w:r>
      <w:r w:rsidRPr="00F97FD2">
        <w:rPr>
          <w:rStyle w:val="ae"/>
          <w:rFonts w:ascii="Traditional Arabic" w:hAnsi="Traditional Arabic"/>
          <w:sz w:val="32"/>
          <w:szCs w:val="32"/>
          <w:vertAlign w:val="baseline"/>
        </w:rPr>
        <w:footnoteRef/>
      </w:r>
      <w:r w:rsidRPr="00F97FD2">
        <w:rPr>
          <w:rFonts w:ascii="Traditional Arabic" w:hAnsi="Traditional Arabic"/>
          <w:sz w:val="32"/>
          <w:szCs w:val="32"/>
          <w:rtl/>
        </w:rPr>
        <w:t>) التفسير الوسيط (3/139).</w:t>
      </w:r>
    </w:p>
  </w:footnote>
  <w:footnote w:id="1020">
    <w:p w:rsidR="003F128F" w:rsidRPr="00F97FD2" w:rsidRDefault="003F128F" w:rsidP="005C21CD">
      <w:pPr>
        <w:pStyle w:val="af3"/>
        <w:rPr>
          <w:rFonts w:ascii="Traditional Arabic" w:hAnsi="Traditional Arabic"/>
          <w:sz w:val="32"/>
          <w:szCs w:val="32"/>
        </w:rPr>
      </w:pPr>
      <w:r w:rsidRPr="00F97FD2">
        <w:rPr>
          <w:rFonts w:ascii="Traditional Arabic" w:hAnsi="Traditional Arabic"/>
          <w:sz w:val="32"/>
          <w:szCs w:val="32"/>
          <w:rtl/>
        </w:rPr>
        <w:t>(</w:t>
      </w:r>
      <w:r w:rsidRPr="00F97FD2">
        <w:rPr>
          <w:rStyle w:val="ae"/>
          <w:rFonts w:ascii="Traditional Arabic" w:hAnsi="Traditional Arabic"/>
          <w:sz w:val="32"/>
          <w:szCs w:val="32"/>
          <w:vertAlign w:val="baseline"/>
        </w:rPr>
        <w:footnoteRef/>
      </w:r>
      <w:r w:rsidRPr="00F97FD2">
        <w:rPr>
          <w:rFonts w:ascii="Traditional Arabic" w:hAnsi="Traditional Arabic"/>
          <w:sz w:val="32"/>
          <w:szCs w:val="32"/>
          <w:rtl/>
        </w:rPr>
        <w:t xml:space="preserve">) انظر: معاني القرآن وإعرابه (3/274). </w:t>
      </w:r>
    </w:p>
  </w:footnote>
  <w:footnote w:id="1021">
    <w:p w:rsidR="003F128F" w:rsidRPr="00F97FD2" w:rsidRDefault="003F128F" w:rsidP="005C21CD">
      <w:pPr>
        <w:pStyle w:val="af3"/>
        <w:rPr>
          <w:rFonts w:ascii="Traditional Arabic" w:hAnsi="Traditional Arabic"/>
          <w:sz w:val="32"/>
          <w:szCs w:val="32"/>
        </w:rPr>
      </w:pPr>
      <w:r w:rsidRPr="00F97FD2">
        <w:rPr>
          <w:rFonts w:ascii="Traditional Arabic" w:hAnsi="Traditional Arabic"/>
          <w:sz w:val="32"/>
          <w:szCs w:val="32"/>
          <w:rtl/>
        </w:rPr>
        <w:t>(</w:t>
      </w:r>
      <w:r w:rsidRPr="00F97FD2">
        <w:rPr>
          <w:rStyle w:val="ae"/>
          <w:rFonts w:ascii="Traditional Arabic" w:hAnsi="Traditional Arabic"/>
          <w:sz w:val="32"/>
          <w:szCs w:val="32"/>
          <w:vertAlign w:val="baseline"/>
        </w:rPr>
        <w:footnoteRef/>
      </w:r>
      <w:r w:rsidRPr="00F97FD2">
        <w:rPr>
          <w:rFonts w:ascii="Traditional Arabic" w:hAnsi="Traditional Arabic"/>
          <w:sz w:val="32"/>
          <w:szCs w:val="32"/>
          <w:rtl/>
        </w:rPr>
        <w:t>) انظر: معاني القرآن (2/137).</w:t>
      </w:r>
    </w:p>
  </w:footnote>
  <w:footnote w:id="1022">
    <w:p w:rsidR="003F128F" w:rsidRPr="00F97FD2" w:rsidRDefault="003F128F" w:rsidP="005C21CD">
      <w:pPr>
        <w:pStyle w:val="af3"/>
        <w:rPr>
          <w:rFonts w:ascii="Traditional Arabic" w:hAnsi="Traditional Arabic"/>
          <w:sz w:val="32"/>
          <w:szCs w:val="32"/>
        </w:rPr>
      </w:pPr>
      <w:r w:rsidRPr="00F97FD2">
        <w:rPr>
          <w:rFonts w:ascii="Traditional Arabic" w:hAnsi="Traditional Arabic"/>
          <w:sz w:val="32"/>
          <w:szCs w:val="32"/>
          <w:rtl/>
        </w:rPr>
        <w:t>(</w:t>
      </w:r>
      <w:r w:rsidRPr="00F97FD2">
        <w:rPr>
          <w:rStyle w:val="ae"/>
          <w:rFonts w:ascii="Traditional Arabic" w:hAnsi="Traditional Arabic"/>
          <w:sz w:val="32"/>
          <w:szCs w:val="32"/>
          <w:vertAlign w:val="baseline"/>
        </w:rPr>
        <w:footnoteRef/>
      </w:r>
      <w:r w:rsidRPr="00F97FD2">
        <w:rPr>
          <w:rFonts w:ascii="Traditional Arabic" w:hAnsi="Traditional Arabic"/>
          <w:sz w:val="32"/>
          <w:szCs w:val="32"/>
          <w:rtl/>
        </w:rPr>
        <w:t xml:space="preserve">) التفسير الوسيط (3/139), وابن السائب هو الكلبي. </w:t>
      </w:r>
    </w:p>
  </w:footnote>
  <w:footnote w:id="1023">
    <w:p w:rsidR="003F128F" w:rsidRPr="00F97FD2" w:rsidRDefault="003F128F" w:rsidP="00A94AF8">
      <w:pPr>
        <w:pStyle w:val="af3"/>
        <w:rPr>
          <w:rFonts w:ascii="Traditional Arabic" w:hAnsi="Traditional Arabic"/>
          <w:sz w:val="32"/>
          <w:szCs w:val="32"/>
        </w:rPr>
      </w:pPr>
      <w:r w:rsidRPr="00F97FD2">
        <w:rPr>
          <w:rFonts w:ascii="Traditional Arabic" w:hAnsi="Traditional Arabic"/>
          <w:sz w:val="32"/>
          <w:szCs w:val="32"/>
          <w:rtl/>
        </w:rPr>
        <w:t>(</w:t>
      </w:r>
      <w:r w:rsidRPr="00F97FD2">
        <w:rPr>
          <w:rStyle w:val="ae"/>
          <w:rFonts w:ascii="Traditional Arabic" w:hAnsi="Traditional Arabic"/>
          <w:sz w:val="32"/>
          <w:szCs w:val="32"/>
          <w:vertAlign w:val="baseline"/>
        </w:rPr>
        <w:footnoteRef/>
      </w:r>
      <w:r w:rsidRPr="00F97FD2">
        <w:rPr>
          <w:rFonts w:ascii="Traditional Arabic" w:hAnsi="Traditional Arabic"/>
          <w:sz w:val="32"/>
          <w:szCs w:val="32"/>
          <w:rtl/>
        </w:rPr>
        <w:t>) انظر: تفسير مقاتل (2/578)</w:t>
      </w:r>
      <w:r>
        <w:rPr>
          <w:rFonts w:ascii="Traditional Arabic" w:hAnsi="Traditional Arabic"/>
          <w:sz w:val="32"/>
          <w:szCs w:val="32"/>
          <w:rtl/>
        </w:rPr>
        <w:t>, معاني القرآن وإعرابه (3/274)</w:t>
      </w:r>
      <w:r>
        <w:rPr>
          <w:rFonts w:ascii="Traditional Arabic" w:hAnsi="Traditional Arabic" w:hint="cs"/>
          <w:sz w:val="32"/>
          <w:szCs w:val="32"/>
          <w:rtl/>
        </w:rPr>
        <w:t>.</w:t>
      </w:r>
    </w:p>
  </w:footnote>
  <w:footnote w:id="1024">
    <w:p w:rsidR="003F128F" w:rsidRPr="00F97FD2" w:rsidRDefault="003F128F" w:rsidP="005C21CD">
      <w:pPr>
        <w:pStyle w:val="af3"/>
        <w:rPr>
          <w:rFonts w:ascii="Traditional Arabic" w:hAnsi="Traditional Arabic"/>
          <w:sz w:val="32"/>
          <w:szCs w:val="32"/>
        </w:rPr>
      </w:pPr>
      <w:r w:rsidRPr="00F97FD2">
        <w:rPr>
          <w:rFonts w:ascii="Traditional Arabic" w:hAnsi="Traditional Arabic"/>
          <w:sz w:val="32"/>
          <w:szCs w:val="32"/>
          <w:rtl/>
        </w:rPr>
        <w:t>(</w:t>
      </w:r>
      <w:r w:rsidRPr="00F97FD2">
        <w:rPr>
          <w:rStyle w:val="ae"/>
          <w:rFonts w:ascii="Traditional Arabic" w:hAnsi="Traditional Arabic"/>
          <w:sz w:val="32"/>
          <w:szCs w:val="32"/>
          <w:vertAlign w:val="baseline"/>
        </w:rPr>
        <w:footnoteRef/>
      </w:r>
      <w:r w:rsidRPr="00F97FD2">
        <w:rPr>
          <w:rFonts w:ascii="Traditional Arabic" w:hAnsi="Traditional Arabic"/>
          <w:sz w:val="32"/>
          <w:szCs w:val="32"/>
          <w:rtl/>
        </w:rPr>
        <w:t>) لم أقف عليه فيما لدي من مصادر.</w:t>
      </w:r>
    </w:p>
  </w:footnote>
  <w:footnote w:id="1025">
    <w:p w:rsidR="003F128F" w:rsidRPr="00F97FD2" w:rsidRDefault="003F128F" w:rsidP="00824744">
      <w:pPr>
        <w:pStyle w:val="af3"/>
        <w:rPr>
          <w:rFonts w:ascii="Traditional Arabic" w:hAnsi="Traditional Arabic"/>
          <w:sz w:val="32"/>
          <w:szCs w:val="32"/>
        </w:rPr>
      </w:pPr>
      <w:r w:rsidRPr="00F97FD2">
        <w:rPr>
          <w:rFonts w:ascii="Traditional Arabic" w:hAnsi="Traditional Arabic"/>
          <w:sz w:val="32"/>
          <w:szCs w:val="32"/>
          <w:rtl/>
        </w:rPr>
        <w:t>(</w:t>
      </w:r>
      <w:r w:rsidRPr="00F97FD2">
        <w:rPr>
          <w:rStyle w:val="ae"/>
          <w:rFonts w:ascii="Traditional Arabic" w:hAnsi="Traditional Arabic"/>
          <w:sz w:val="32"/>
          <w:szCs w:val="32"/>
          <w:vertAlign w:val="baseline"/>
        </w:rPr>
        <w:footnoteRef/>
      </w:r>
      <w:r w:rsidRPr="00F97FD2">
        <w:rPr>
          <w:rFonts w:ascii="Traditional Arabic" w:hAnsi="Traditional Arabic"/>
          <w:sz w:val="32"/>
          <w:szCs w:val="32"/>
          <w:rtl/>
        </w:rPr>
        <w:t>)</w:t>
      </w:r>
      <w:r>
        <w:rPr>
          <w:rFonts w:ascii="Traditional Arabic" w:hAnsi="Traditional Arabic" w:hint="cs"/>
          <w:sz w:val="32"/>
          <w:szCs w:val="32"/>
          <w:rtl/>
        </w:rPr>
        <w:t xml:space="preserve"> </w:t>
      </w:r>
      <w:r w:rsidRPr="00F97FD2">
        <w:rPr>
          <w:rFonts w:ascii="Traditional Arabic" w:hAnsi="Traditional Arabic"/>
          <w:sz w:val="32"/>
          <w:szCs w:val="32"/>
          <w:rtl/>
        </w:rPr>
        <w:t>انظر: مختصر الشواذ لابن خالويه (ص82), الكامل في القراءات العشر</w:t>
      </w:r>
      <w:r>
        <w:rPr>
          <w:rFonts w:ascii="Traditional Arabic" w:hAnsi="Traditional Arabic"/>
          <w:sz w:val="32"/>
          <w:szCs w:val="32"/>
          <w:rtl/>
        </w:rPr>
        <w:t xml:space="preserve"> (ص590).</w:t>
      </w:r>
    </w:p>
  </w:footnote>
  <w:footnote w:id="1026">
    <w:p w:rsidR="003F128F" w:rsidRPr="00F97FD2" w:rsidRDefault="003F128F" w:rsidP="00F16D3A">
      <w:pPr>
        <w:pStyle w:val="af3"/>
        <w:rPr>
          <w:rFonts w:ascii="Tahoma" w:hAnsi="Tahoma"/>
          <w:sz w:val="32"/>
          <w:szCs w:val="32"/>
        </w:rPr>
      </w:pPr>
      <w:r w:rsidRPr="00F97FD2">
        <w:rPr>
          <w:rFonts w:ascii="Traditional Arabic" w:hAnsi="Traditional Arabic"/>
          <w:sz w:val="32"/>
          <w:szCs w:val="32"/>
          <w:rtl/>
        </w:rPr>
        <w:t>(</w:t>
      </w:r>
      <w:r w:rsidRPr="00F97FD2">
        <w:rPr>
          <w:rStyle w:val="ae"/>
          <w:rFonts w:ascii="Traditional Arabic" w:hAnsi="Traditional Arabic"/>
          <w:sz w:val="32"/>
          <w:szCs w:val="32"/>
          <w:vertAlign w:val="baseline"/>
        </w:rPr>
        <w:footnoteRef/>
      </w:r>
      <w:r w:rsidRPr="00F97FD2">
        <w:rPr>
          <w:rFonts w:ascii="Traditional Arabic" w:hAnsi="Traditional Arabic"/>
          <w:sz w:val="32"/>
          <w:szCs w:val="32"/>
          <w:rtl/>
        </w:rPr>
        <w:t>)</w:t>
      </w:r>
      <w:r>
        <w:rPr>
          <w:rFonts w:ascii="Traditional Arabic" w:hAnsi="Traditional Arabic" w:hint="cs"/>
          <w:sz w:val="32"/>
          <w:szCs w:val="32"/>
          <w:rtl/>
        </w:rPr>
        <w:t xml:space="preserve"> </w:t>
      </w:r>
      <w:r w:rsidRPr="00F97FD2">
        <w:rPr>
          <w:rFonts w:ascii="Traditional Arabic" w:hAnsi="Traditional Arabic"/>
          <w:sz w:val="32"/>
          <w:szCs w:val="32"/>
          <w:rtl/>
        </w:rPr>
        <w:t>انظر: مختصر الشواذ (ص82)</w:t>
      </w:r>
      <w:r w:rsidRPr="00F97FD2">
        <w:rPr>
          <w:rFonts w:ascii="Tahoma" w:hAnsi="Tahoma" w:hint="cs"/>
          <w:sz w:val="32"/>
          <w:szCs w:val="32"/>
          <w:rtl/>
        </w:rPr>
        <w:t>.</w:t>
      </w:r>
      <w:r w:rsidRPr="00F97FD2">
        <w:rPr>
          <w:rFonts w:ascii="Tahoma" w:hAnsi="Tahoma"/>
          <w:sz w:val="32"/>
          <w:szCs w:val="32"/>
          <w:rtl/>
        </w:rPr>
        <w:t xml:space="preserve">   </w:t>
      </w:r>
    </w:p>
  </w:footnote>
  <w:footnote w:id="1027">
    <w:p w:rsidR="003F128F" w:rsidRPr="00D33633" w:rsidRDefault="003F128F" w:rsidP="005C21CD">
      <w:pPr>
        <w:pStyle w:val="af3"/>
        <w:rPr>
          <w:rFonts w:ascii="Traditional Arabic" w:hAnsi="Traditional Arabic"/>
          <w:sz w:val="32"/>
          <w:szCs w:val="32"/>
        </w:rPr>
      </w:pPr>
      <w:r w:rsidRPr="00F97FD2">
        <w:rPr>
          <w:rFonts w:ascii="Traditional Arabic" w:hAnsi="Traditional Arabic"/>
          <w:sz w:val="32"/>
          <w:szCs w:val="32"/>
          <w:rtl/>
        </w:rPr>
        <w:t>(</w:t>
      </w:r>
      <w:r w:rsidRPr="00F97FD2">
        <w:rPr>
          <w:rStyle w:val="ae"/>
          <w:rFonts w:ascii="Traditional Arabic" w:hAnsi="Traditional Arabic"/>
          <w:sz w:val="32"/>
          <w:szCs w:val="32"/>
          <w:vertAlign w:val="baseline"/>
        </w:rPr>
        <w:footnoteRef/>
      </w:r>
      <w:r w:rsidRPr="00F97FD2">
        <w:rPr>
          <w:rFonts w:ascii="Traditional Arabic" w:hAnsi="Traditional Arabic"/>
          <w:sz w:val="32"/>
          <w:szCs w:val="32"/>
          <w:rtl/>
        </w:rPr>
        <w:t>) انظر: تفسير الطبري (17/624), تفسير ابن أبي حاتم (7/2352).</w:t>
      </w:r>
    </w:p>
  </w:footnote>
  <w:footnote w:id="1028">
    <w:p w:rsidR="003F128F" w:rsidRPr="009F2C1E" w:rsidRDefault="003F128F" w:rsidP="005C21CD">
      <w:pPr>
        <w:pStyle w:val="af3"/>
        <w:rPr>
          <w:rFonts w:ascii="Traditional Arabic" w:hAnsi="Traditional Arabic"/>
          <w:sz w:val="32"/>
          <w:szCs w:val="32"/>
        </w:rPr>
      </w:pPr>
      <w:r w:rsidRPr="009F2C1E">
        <w:rPr>
          <w:rFonts w:ascii="Traditional Arabic" w:hAnsi="Traditional Arabic"/>
          <w:sz w:val="32"/>
          <w:szCs w:val="32"/>
          <w:rtl/>
        </w:rPr>
        <w:t>(</w:t>
      </w:r>
      <w:r w:rsidRPr="009F2C1E">
        <w:rPr>
          <w:rStyle w:val="ae"/>
          <w:rFonts w:ascii="Traditional Arabic" w:hAnsi="Traditional Arabic"/>
          <w:sz w:val="32"/>
          <w:szCs w:val="32"/>
          <w:vertAlign w:val="baseline"/>
        </w:rPr>
        <w:footnoteRef/>
      </w:r>
      <w:r w:rsidRPr="009F2C1E">
        <w:rPr>
          <w:rFonts w:ascii="Traditional Arabic" w:hAnsi="Traditional Arabic"/>
          <w:sz w:val="32"/>
          <w:szCs w:val="32"/>
          <w:rtl/>
        </w:rPr>
        <w:t>) انظر: تفسير ابن أبي حاتم (7/2352), بحر العلوم (2/341).</w:t>
      </w:r>
    </w:p>
  </w:footnote>
  <w:footnote w:id="1029">
    <w:p w:rsidR="003F128F" w:rsidRPr="009F2C1E" w:rsidRDefault="003F128F" w:rsidP="005C21CD">
      <w:pPr>
        <w:pStyle w:val="af3"/>
        <w:rPr>
          <w:rFonts w:ascii="Traditional Arabic" w:hAnsi="Traditional Arabic"/>
          <w:sz w:val="32"/>
          <w:szCs w:val="32"/>
        </w:rPr>
      </w:pPr>
      <w:r w:rsidRPr="009F2C1E">
        <w:rPr>
          <w:rFonts w:ascii="Traditional Arabic" w:hAnsi="Traditional Arabic"/>
          <w:sz w:val="32"/>
          <w:szCs w:val="32"/>
          <w:rtl/>
        </w:rPr>
        <w:t>(</w:t>
      </w:r>
      <w:r w:rsidRPr="009F2C1E">
        <w:rPr>
          <w:rStyle w:val="ae"/>
          <w:rFonts w:ascii="Traditional Arabic" w:hAnsi="Traditional Arabic"/>
          <w:sz w:val="32"/>
          <w:szCs w:val="32"/>
          <w:vertAlign w:val="baseline"/>
        </w:rPr>
        <w:footnoteRef/>
      </w:r>
      <w:r w:rsidRPr="009F2C1E">
        <w:rPr>
          <w:rFonts w:ascii="Traditional Arabic" w:hAnsi="Traditional Arabic"/>
          <w:sz w:val="32"/>
          <w:szCs w:val="32"/>
          <w:rtl/>
        </w:rPr>
        <w:t xml:space="preserve">) في (ك): [فهو في رأي العين].  </w:t>
      </w:r>
    </w:p>
  </w:footnote>
  <w:footnote w:id="1030">
    <w:p w:rsidR="003F128F" w:rsidRPr="009F2C1E" w:rsidRDefault="003F128F" w:rsidP="005C21CD">
      <w:pPr>
        <w:pStyle w:val="af3"/>
        <w:rPr>
          <w:rFonts w:ascii="Traditional Arabic" w:hAnsi="Traditional Arabic"/>
          <w:sz w:val="32"/>
          <w:szCs w:val="32"/>
        </w:rPr>
      </w:pPr>
      <w:r w:rsidRPr="009F2C1E">
        <w:rPr>
          <w:rFonts w:ascii="Traditional Arabic" w:hAnsi="Traditional Arabic"/>
          <w:sz w:val="32"/>
          <w:szCs w:val="32"/>
          <w:rtl/>
        </w:rPr>
        <w:t>(</w:t>
      </w:r>
      <w:r w:rsidRPr="009F2C1E">
        <w:rPr>
          <w:rStyle w:val="ae"/>
          <w:rFonts w:ascii="Traditional Arabic" w:hAnsi="Traditional Arabic"/>
          <w:sz w:val="32"/>
          <w:szCs w:val="32"/>
          <w:vertAlign w:val="baseline"/>
        </w:rPr>
        <w:footnoteRef/>
      </w:r>
      <w:r w:rsidRPr="009F2C1E">
        <w:rPr>
          <w:rFonts w:ascii="Traditional Arabic" w:hAnsi="Traditional Arabic"/>
          <w:sz w:val="32"/>
          <w:szCs w:val="32"/>
          <w:rtl/>
        </w:rPr>
        <w:t xml:space="preserve">) انظر: تفسير مقاتل (2/578). </w:t>
      </w:r>
    </w:p>
  </w:footnote>
  <w:footnote w:id="1031">
    <w:p w:rsidR="003F128F" w:rsidRPr="009F2C1E" w:rsidRDefault="003F128F" w:rsidP="005C21CD">
      <w:pPr>
        <w:pStyle w:val="af3"/>
        <w:rPr>
          <w:rFonts w:ascii="Traditional Arabic" w:hAnsi="Traditional Arabic"/>
          <w:sz w:val="32"/>
          <w:szCs w:val="32"/>
        </w:rPr>
      </w:pPr>
      <w:r w:rsidRPr="009F2C1E">
        <w:rPr>
          <w:rFonts w:ascii="Traditional Arabic" w:hAnsi="Traditional Arabic"/>
          <w:sz w:val="32"/>
          <w:szCs w:val="32"/>
          <w:rtl/>
        </w:rPr>
        <w:t>(</w:t>
      </w:r>
      <w:r w:rsidRPr="009F2C1E">
        <w:rPr>
          <w:rStyle w:val="ae"/>
          <w:rFonts w:ascii="Traditional Arabic" w:hAnsi="Traditional Arabic"/>
          <w:sz w:val="32"/>
          <w:szCs w:val="32"/>
          <w:vertAlign w:val="baseline"/>
        </w:rPr>
        <w:footnoteRef/>
      </w:r>
      <w:r w:rsidRPr="009F2C1E">
        <w:rPr>
          <w:rFonts w:ascii="Traditional Arabic" w:hAnsi="Traditional Arabic"/>
          <w:sz w:val="32"/>
          <w:szCs w:val="32"/>
          <w:rtl/>
        </w:rPr>
        <w:t>) تفسير الطبري (17/624), تفسير ابن أبي حاتم (7/2353).</w:t>
      </w:r>
    </w:p>
  </w:footnote>
  <w:footnote w:id="1032">
    <w:p w:rsidR="003F128F" w:rsidRPr="009F2C1E" w:rsidRDefault="003F128F" w:rsidP="005C21CD">
      <w:pPr>
        <w:pStyle w:val="af3"/>
        <w:rPr>
          <w:rFonts w:ascii="Traditional Arabic" w:hAnsi="Traditional Arabic"/>
          <w:sz w:val="32"/>
          <w:szCs w:val="32"/>
        </w:rPr>
      </w:pPr>
      <w:r w:rsidRPr="009F2C1E">
        <w:rPr>
          <w:rFonts w:ascii="Traditional Arabic" w:hAnsi="Traditional Arabic"/>
          <w:sz w:val="32"/>
          <w:szCs w:val="32"/>
          <w:rtl/>
        </w:rPr>
        <w:t>(</w:t>
      </w:r>
      <w:r w:rsidRPr="009F2C1E">
        <w:rPr>
          <w:rStyle w:val="ae"/>
          <w:rFonts w:ascii="Traditional Arabic" w:hAnsi="Traditional Arabic"/>
          <w:sz w:val="32"/>
          <w:szCs w:val="32"/>
          <w:vertAlign w:val="baseline"/>
        </w:rPr>
        <w:footnoteRef/>
      </w:r>
      <w:r w:rsidRPr="009F2C1E">
        <w:rPr>
          <w:rFonts w:ascii="Traditional Arabic" w:hAnsi="Traditional Arabic"/>
          <w:sz w:val="32"/>
          <w:szCs w:val="32"/>
          <w:rtl/>
        </w:rPr>
        <w:t>) تفسير الطبري (17/624), الهداية (6/4344).</w:t>
      </w:r>
    </w:p>
  </w:footnote>
  <w:footnote w:id="1033">
    <w:p w:rsidR="003F128F" w:rsidRPr="009F2C1E" w:rsidRDefault="003F128F" w:rsidP="002A556C">
      <w:pPr>
        <w:pStyle w:val="af3"/>
        <w:rPr>
          <w:rFonts w:ascii="Traditional Arabic" w:hAnsi="Traditional Arabic"/>
          <w:sz w:val="32"/>
          <w:szCs w:val="32"/>
        </w:rPr>
      </w:pPr>
      <w:r w:rsidRPr="009F2C1E">
        <w:rPr>
          <w:rFonts w:ascii="Traditional Arabic" w:hAnsi="Traditional Arabic"/>
          <w:sz w:val="32"/>
          <w:szCs w:val="32"/>
          <w:rtl/>
        </w:rPr>
        <w:t>(</w:t>
      </w:r>
      <w:r w:rsidRPr="009F2C1E">
        <w:rPr>
          <w:rStyle w:val="ae"/>
          <w:rFonts w:ascii="Traditional Arabic" w:hAnsi="Traditional Arabic"/>
          <w:sz w:val="32"/>
          <w:szCs w:val="32"/>
          <w:vertAlign w:val="baseline"/>
        </w:rPr>
        <w:footnoteRef/>
      </w:r>
      <w:r w:rsidRPr="009F2C1E">
        <w:rPr>
          <w:rFonts w:ascii="Traditional Arabic" w:hAnsi="Traditional Arabic"/>
          <w:sz w:val="32"/>
          <w:szCs w:val="32"/>
          <w:rtl/>
        </w:rPr>
        <w:t>) تفسير مجاهد (ص446), تفسير الطبري (17/624).</w:t>
      </w:r>
    </w:p>
  </w:footnote>
  <w:footnote w:id="1034">
    <w:p w:rsidR="003F128F" w:rsidRPr="009F2C1E" w:rsidRDefault="003F128F" w:rsidP="005C21CD">
      <w:pPr>
        <w:pStyle w:val="af3"/>
        <w:rPr>
          <w:rFonts w:ascii="Traditional Arabic" w:hAnsi="Traditional Arabic"/>
          <w:sz w:val="32"/>
          <w:szCs w:val="32"/>
        </w:rPr>
      </w:pPr>
      <w:r w:rsidRPr="009F2C1E">
        <w:rPr>
          <w:rFonts w:ascii="Traditional Arabic" w:hAnsi="Traditional Arabic"/>
          <w:sz w:val="32"/>
          <w:szCs w:val="32"/>
          <w:rtl/>
        </w:rPr>
        <w:t>(</w:t>
      </w:r>
      <w:r w:rsidRPr="009F2C1E">
        <w:rPr>
          <w:rStyle w:val="ae"/>
          <w:rFonts w:ascii="Traditional Arabic" w:hAnsi="Traditional Arabic"/>
          <w:sz w:val="32"/>
          <w:szCs w:val="32"/>
          <w:vertAlign w:val="baseline"/>
        </w:rPr>
        <w:footnoteRef/>
      </w:r>
      <w:r w:rsidRPr="009F2C1E">
        <w:rPr>
          <w:rFonts w:ascii="Traditional Arabic" w:hAnsi="Traditional Arabic"/>
          <w:sz w:val="32"/>
          <w:szCs w:val="32"/>
          <w:rtl/>
        </w:rPr>
        <w:t xml:space="preserve">) تفسير الطبري (17/625), الكشف والبيان (6/160). </w:t>
      </w:r>
    </w:p>
  </w:footnote>
  <w:footnote w:id="1035">
    <w:p w:rsidR="003F128F" w:rsidRPr="009F2C1E" w:rsidRDefault="003F128F" w:rsidP="00F16D3A">
      <w:pPr>
        <w:pStyle w:val="af3"/>
        <w:rPr>
          <w:rFonts w:ascii="Traditional Arabic" w:hAnsi="Traditional Arabic"/>
          <w:sz w:val="32"/>
          <w:szCs w:val="32"/>
        </w:rPr>
      </w:pPr>
      <w:r w:rsidRPr="009F2C1E">
        <w:rPr>
          <w:rFonts w:ascii="Traditional Arabic" w:hAnsi="Traditional Arabic"/>
          <w:sz w:val="32"/>
          <w:szCs w:val="32"/>
          <w:rtl/>
        </w:rPr>
        <w:t>(</w:t>
      </w:r>
      <w:r w:rsidRPr="009F2C1E">
        <w:rPr>
          <w:rStyle w:val="ae"/>
          <w:rFonts w:ascii="Traditional Arabic" w:hAnsi="Traditional Arabic"/>
          <w:sz w:val="32"/>
          <w:szCs w:val="32"/>
          <w:vertAlign w:val="baseline"/>
        </w:rPr>
        <w:footnoteRef/>
      </w:r>
      <w:r w:rsidRPr="009F2C1E">
        <w:rPr>
          <w:rFonts w:ascii="Traditional Arabic" w:hAnsi="Traditional Arabic"/>
          <w:sz w:val="32"/>
          <w:szCs w:val="32"/>
          <w:rtl/>
        </w:rPr>
        <w:t>) تفسير يحيى بن سلام (1/175), تفسير عبدالرزاق (2/328)</w:t>
      </w:r>
      <w:r>
        <w:rPr>
          <w:rFonts w:ascii="Traditional Arabic" w:hAnsi="Traditional Arabic" w:hint="cs"/>
          <w:sz w:val="32"/>
          <w:szCs w:val="32"/>
          <w:rtl/>
        </w:rPr>
        <w:t>.</w:t>
      </w:r>
    </w:p>
  </w:footnote>
  <w:footnote w:id="1036">
    <w:p w:rsidR="003F128F" w:rsidRPr="009F2C1E" w:rsidRDefault="003F128F" w:rsidP="002A556C">
      <w:pPr>
        <w:pStyle w:val="af3"/>
        <w:rPr>
          <w:rFonts w:ascii="Traditional Arabic" w:hAnsi="Traditional Arabic"/>
          <w:sz w:val="32"/>
          <w:szCs w:val="32"/>
        </w:rPr>
      </w:pPr>
      <w:r w:rsidRPr="009F2C1E">
        <w:rPr>
          <w:rFonts w:ascii="Traditional Arabic" w:hAnsi="Traditional Arabic"/>
          <w:sz w:val="32"/>
          <w:szCs w:val="32"/>
          <w:rtl/>
        </w:rPr>
        <w:t>(</w:t>
      </w:r>
      <w:r w:rsidRPr="009F2C1E">
        <w:rPr>
          <w:rStyle w:val="ae"/>
          <w:rFonts w:ascii="Traditional Arabic" w:hAnsi="Traditional Arabic"/>
          <w:sz w:val="32"/>
          <w:szCs w:val="32"/>
          <w:vertAlign w:val="baseline"/>
        </w:rPr>
        <w:footnoteRef/>
      </w:r>
      <w:r w:rsidRPr="009F2C1E">
        <w:rPr>
          <w:rFonts w:ascii="Traditional Arabic" w:hAnsi="Traditional Arabic"/>
          <w:sz w:val="32"/>
          <w:szCs w:val="32"/>
          <w:rtl/>
        </w:rPr>
        <w:t>) في الأصل: [الإكفاف], والمثبت من (ك).</w:t>
      </w:r>
    </w:p>
  </w:footnote>
  <w:footnote w:id="1037">
    <w:p w:rsidR="003F128F" w:rsidRPr="009F2C1E" w:rsidRDefault="003F128F" w:rsidP="009F2C1E">
      <w:pPr>
        <w:pStyle w:val="af3"/>
        <w:rPr>
          <w:rFonts w:ascii="Traditional Arabic" w:hAnsi="Traditional Arabic"/>
          <w:sz w:val="32"/>
          <w:szCs w:val="32"/>
        </w:rPr>
      </w:pPr>
      <w:r w:rsidRPr="009F2C1E">
        <w:rPr>
          <w:rFonts w:ascii="Traditional Arabic" w:hAnsi="Traditional Arabic"/>
          <w:sz w:val="32"/>
          <w:szCs w:val="32"/>
          <w:rtl/>
        </w:rPr>
        <w:t>(</w:t>
      </w:r>
      <w:r w:rsidRPr="009F2C1E">
        <w:rPr>
          <w:rStyle w:val="ae"/>
          <w:rFonts w:ascii="Traditional Arabic" w:hAnsi="Traditional Arabic"/>
          <w:sz w:val="32"/>
          <w:szCs w:val="32"/>
          <w:vertAlign w:val="baseline"/>
        </w:rPr>
        <w:footnoteRef/>
      </w:r>
      <w:r w:rsidRPr="009F2C1E">
        <w:rPr>
          <w:rFonts w:ascii="Traditional Arabic" w:hAnsi="Traditional Arabic"/>
          <w:sz w:val="32"/>
          <w:szCs w:val="32"/>
          <w:rtl/>
        </w:rPr>
        <w:t>) الإكاف: البرذعة</w:t>
      </w:r>
      <w:r w:rsidRPr="009F2C1E">
        <w:rPr>
          <w:rFonts w:ascii="Traditional Arabic" w:hAnsi="Traditional Arabic"/>
          <w:sz w:val="32"/>
          <w:szCs w:val="32"/>
          <w:rtl/>
          <w:lang w:eastAsia="en-US"/>
        </w:rPr>
        <w:t xml:space="preserve"> </w:t>
      </w:r>
      <w:r>
        <w:rPr>
          <w:rFonts w:ascii="Traditional Arabic" w:hAnsi="Traditional Arabic"/>
          <w:sz w:val="32"/>
          <w:szCs w:val="32"/>
          <w:rtl/>
        </w:rPr>
        <w:t>التي توضع على ظهر ال</w:t>
      </w:r>
      <w:r>
        <w:rPr>
          <w:rFonts w:ascii="Traditional Arabic" w:hAnsi="Traditional Arabic" w:hint="cs"/>
          <w:sz w:val="32"/>
          <w:szCs w:val="32"/>
          <w:rtl/>
        </w:rPr>
        <w:t>حصان أو الحمار</w:t>
      </w:r>
      <w:r w:rsidRPr="009F2C1E">
        <w:rPr>
          <w:rFonts w:ascii="Traditional Arabic" w:hAnsi="Traditional Arabic"/>
          <w:sz w:val="32"/>
          <w:szCs w:val="32"/>
          <w:rtl/>
        </w:rPr>
        <w:t>. انظر: تاج العروس للزبيدي (23/27) مادة (أكف)</w:t>
      </w:r>
      <w:r>
        <w:rPr>
          <w:rFonts w:ascii="Traditional Arabic" w:hAnsi="Traditional Arabic" w:hint="cs"/>
          <w:sz w:val="32"/>
          <w:szCs w:val="32"/>
          <w:rtl/>
        </w:rPr>
        <w:t>.</w:t>
      </w:r>
    </w:p>
  </w:footnote>
  <w:footnote w:id="1038">
    <w:p w:rsidR="003F128F" w:rsidRPr="009F2C1E" w:rsidRDefault="003F128F" w:rsidP="005C21CD">
      <w:pPr>
        <w:pStyle w:val="af3"/>
        <w:rPr>
          <w:rFonts w:ascii="Traditional Arabic" w:hAnsi="Traditional Arabic"/>
          <w:sz w:val="32"/>
          <w:szCs w:val="32"/>
        </w:rPr>
      </w:pPr>
      <w:r w:rsidRPr="009F2C1E">
        <w:rPr>
          <w:rFonts w:ascii="Traditional Arabic" w:hAnsi="Traditional Arabic"/>
          <w:sz w:val="32"/>
          <w:szCs w:val="32"/>
          <w:rtl/>
        </w:rPr>
        <w:t>(</w:t>
      </w:r>
      <w:r w:rsidRPr="009F2C1E">
        <w:rPr>
          <w:rStyle w:val="ae"/>
          <w:rFonts w:ascii="Traditional Arabic" w:hAnsi="Traditional Arabic"/>
          <w:sz w:val="32"/>
          <w:szCs w:val="32"/>
          <w:vertAlign w:val="baseline"/>
        </w:rPr>
        <w:footnoteRef/>
      </w:r>
      <w:r w:rsidRPr="009F2C1E">
        <w:rPr>
          <w:rFonts w:ascii="Traditional Arabic" w:hAnsi="Traditional Arabic"/>
          <w:sz w:val="32"/>
          <w:szCs w:val="32"/>
          <w:rtl/>
        </w:rPr>
        <w:t>) انظر: معاني القرآن (2/137).</w:t>
      </w:r>
    </w:p>
  </w:footnote>
  <w:footnote w:id="1039">
    <w:p w:rsidR="003F128F" w:rsidRPr="009F2C1E" w:rsidRDefault="003F128F" w:rsidP="005C21CD">
      <w:pPr>
        <w:pStyle w:val="af3"/>
        <w:rPr>
          <w:rFonts w:ascii="Traditional Arabic" w:hAnsi="Traditional Arabic"/>
          <w:sz w:val="32"/>
          <w:szCs w:val="32"/>
        </w:rPr>
      </w:pPr>
      <w:r w:rsidRPr="009F2C1E">
        <w:rPr>
          <w:rFonts w:ascii="Traditional Arabic" w:hAnsi="Traditional Arabic"/>
          <w:sz w:val="32"/>
          <w:szCs w:val="32"/>
          <w:rtl/>
        </w:rPr>
        <w:t>(</w:t>
      </w:r>
      <w:r w:rsidRPr="009F2C1E">
        <w:rPr>
          <w:rStyle w:val="ae"/>
          <w:rFonts w:ascii="Traditional Arabic" w:hAnsi="Traditional Arabic"/>
          <w:sz w:val="32"/>
          <w:szCs w:val="32"/>
          <w:vertAlign w:val="baseline"/>
        </w:rPr>
        <w:footnoteRef/>
      </w:r>
      <w:r w:rsidRPr="009F2C1E">
        <w:rPr>
          <w:rFonts w:ascii="Traditional Arabic" w:hAnsi="Traditional Arabic"/>
          <w:sz w:val="32"/>
          <w:szCs w:val="32"/>
          <w:rtl/>
        </w:rPr>
        <w:t>) تفسير الطبري (17/625), الكشف والبيان (6/160).</w:t>
      </w:r>
    </w:p>
  </w:footnote>
  <w:footnote w:id="1040">
    <w:p w:rsidR="003F128F" w:rsidRPr="009F2C1E" w:rsidRDefault="003F128F" w:rsidP="005C21CD">
      <w:pPr>
        <w:pStyle w:val="af3"/>
        <w:rPr>
          <w:rFonts w:ascii="Traditional Arabic" w:hAnsi="Traditional Arabic"/>
          <w:sz w:val="32"/>
          <w:szCs w:val="32"/>
        </w:rPr>
      </w:pPr>
      <w:r w:rsidRPr="009F2C1E">
        <w:rPr>
          <w:rFonts w:ascii="Traditional Arabic" w:hAnsi="Traditional Arabic"/>
          <w:sz w:val="32"/>
          <w:szCs w:val="32"/>
          <w:rtl/>
        </w:rPr>
        <w:t>(</w:t>
      </w:r>
      <w:r w:rsidRPr="009F2C1E">
        <w:rPr>
          <w:rStyle w:val="ae"/>
          <w:rFonts w:ascii="Traditional Arabic" w:hAnsi="Traditional Arabic"/>
          <w:sz w:val="32"/>
          <w:szCs w:val="32"/>
          <w:vertAlign w:val="baseline"/>
        </w:rPr>
        <w:footnoteRef/>
      </w:r>
      <w:r w:rsidRPr="009F2C1E">
        <w:rPr>
          <w:rFonts w:ascii="Traditional Arabic" w:hAnsi="Traditional Arabic"/>
          <w:sz w:val="32"/>
          <w:szCs w:val="32"/>
          <w:rtl/>
        </w:rPr>
        <w:t>) الكشف والبيان (6/160), معالم التنزيل (5/158).</w:t>
      </w:r>
    </w:p>
  </w:footnote>
  <w:footnote w:id="1041">
    <w:p w:rsidR="003F128F" w:rsidRPr="002A1207" w:rsidRDefault="003F128F" w:rsidP="005C21CD">
      <w:pPr>
        <w:pStyle w:val="af3"/>
        <w:rPr>
          <w:rFonts w:ascii="Traditional Arabic" w:hAnsi="Traditional Arabic"/>
          <w:sz w:val="32"/>
          <w:szCs w:val="32"/>
          <w:rtl/>
        </w:rPr>
      </w:pPr>
      <w:r w:rsidRPr="009F2C1E">
        <w:rPr>
          <w:rFonts w:ascii="Traditional Arabic" w:hAnsi="Traditional Arabic"/>
          <w:sz w:val="32"/>
          <w:szCs w:val="32"/>
          <w:rtl/>
        </w:rPr>
        <w:t>(</w:t>
      </w:r>
      <w:r w:rsidRPr="009F2C1E">
        <w:rPr>
          <w:rStyle w:val="ae"/>
          <w:rFonts w:ascii="Traditional Arabic" w:hAnsi="Traditional Arabic"/>
          <w:sz w:val="32"/>
          <w:szCs w:val="32"/>
          <w:vertAlign w:val="baseline"/>
        </w:rPr>
        <w:footnoteRef/>
      </w:r>
      <w:r w:rsidRPr="009F2C1E">
        <w:rPr>
          <w:rFonts w:ascii="Traditional Arabic" w:hAnsi="Traditional Arabic"/>
          <w:sz w:val="32"/>
          <w:szCs w:val="32"/>
          <w:rtl/>
        </w:rPr>
        <w:t xml:space="preserve">) </w:t>
      </w:r>
      <w:r w:rsidRPr="009F2C1E">
        <w:rPr>
          <w:rFonts w:ascii="Traditional Arabic" w:hAnsi="Traditional Arabic"/>
          <w:sz w:val="32"/>
          <w:szCs w:val="32"/>
          <w:rtl/>
          <w:lang w:eastAsia="en-US"/>
        </w:rPr>
        <w:t>البيت لعبيد بن وهب العبسي، كما في سيرة ابن هشام (1/305), وذكره ابن قتيبة في</w:t>
      </w:r>
      <w:r w:rsidRPr="009F2C1E">
        <w:rPr>
          <w:rFonts w:ascii="Traditional Arabic" w:hAnsi="Traditional Arabic"/>
          <w:sz w:val="32"/>
          <w:szCs w:val="32"/>
          <w:rtl/>
        </w:rPr>
        <w:t xml:space="preserve"> غريب القرآن (1/265) غير منسوب</w:t>
      </w:r>
      <w:r w:rsidRPr="009F2C1E">
        <w:rPr>
          <w:rFonts w:ascii="Traditional Arabic" w:hAnsi="Traditional Arabic"/>
          <w:sz w:val="32"/>
          <w:szCs w:val="32"/>
          <w:rtl/>
          <w:lang w:eastAsia="en-US"/>
        </w:rPr>
        <w:t>.</w:t>
      </w:r>
    </w:p>
  </w:footnote>
  <w:footnote w:id="1042">
    <w:p w:rsidR="003F128F" w:rsidRPr="00097C13" w:rsidRDefault="003F128F" w:rsidP="005C21CD">
      <w:pPr>
        <w:pStyle w:val="af3"/>
        <w:rPr>
          <w:rFonts w:ascii="Tahoma" w:hAnsi="Tahoma"/>
        </w:rPr>
      </w:pPr>
      <w:r w:rsidRPr="002A1207">
        <w:rPr>
          <w:rFonts w:ascii="Traditional Arabic" w:hAnsi="Traditional Arabic"/>
          <w:sz w:val="32"/>
          <w:szCs w:val="32"/>
          <w:rtl/>
        </w:rPr>
        <w:t>(</w:t>
      </w:r>
      <w:r w:rsidRPr="002A1207">
        <w:rPr>
          <w:rStyle w:val="ae"/>
          <w:rFonts w:ascii="Traditional Arabic" w:hAnsi="Traditional Arabic"/>
          <w:sz w:val="32"/>
          <w:szCs w:val="32"/>
          <w:vertAlign w:val="baseline"/>
        </w:rPr>
        <w:footnoteRef/>
      </w:r>
      <w:r w:rsidRPr="002A1207">
        <w:rPr>
          <w:rFonts w:ascii="Traditional Arabic" w:hAnsi="Traditional Arabic"/>
          <w:sz w:val="32"/>
          <w:szCs w:val="32"/>
          <w:rtl/>
        </w:rPr>
        <w:t xml:space="preserve">) تفسير الطبري (17/625), تفسير ابن أبي حاتم (7/2352).  </w:t>
      </w:r>
    </w:p>
  </w:footnote>
  <w:footnote w:id="1043">
    <w:p w:rsidR="003F128F" w:rsidRPr="00560B8A" w:rsidRDefault="003F128F" w:rsidP="005C21CD">
      <w:pPr>
        <w:pStyle w:val="af3"/>
        <w:rPr>
          <w:rFonts w:ascii="Traditional Arabic" w:hAnsi="Traditional Arabic"/>
          <w:sz w:val="32"/>
          <w:szCs w:val="32"/>
        </w:rPr>
      </w:pPr>
      <w:r w:rsidRPr="00560B8A">
        <w:rPr>
          <w:rFonts w:ascii="Traditional Arabic" w:hAnsi="Traditional Arabic"/>
          <w:sz w:val="32"/>
          <w:szCs w:val="32"/>
          <w:rtl/>
        </w:rPr>
        <w:t>(</w:t>
      </w:r>
      <w:r w:rsidRPr="00560B8A">
        <w:rPr>
          <w:rStyle w:val="ae"/>
          <w:rFonts w:ascii="Traditional Arabic" w:hAnsi="Traditional Arabic"/>
          <w:sz w:val="32"/>
          <w:szCs w:val="32"/>
          <w:vertAlign w:val="baseline"/>
        </w:rPr>
        <w:footnoteRef/>
      </w:r>
      <w:r w:rsidRPr="00560B8A">
        <w:rPr>
          <w:rFonts w:ascii="Traditional Arabic" w:hAnsi="Traditional Arabic"/>
          <w:sz w:val="32"/>
          <w:szCs w:val="32"/>
          <w:rtl/>
        </w:rPr>
        <w:t xml:space="preserve">) قول سعيد بن جبير أخرجه الطبري في تفسيره (17/625), وابن أبي حاتم في تفسيره (7/2353), وأما قول مجاهد فلم أجده.  </w:t>
      </w:r>
    </w:p>
  </w:footnote>
  <w:footnote w:id="1044">
    <w:p w:rsidR="003F128F" w:rsidRPr="00560B8A" w:rsidRDefault="003F128F" w:rsidP="00A94AF8">
      <w:pPr>
        <w:pStyle w:val="af3"/>
        <w:rPr>
          <w:rFonts w:ascii="Traditional Arabic" w:hAnsi="Traditional Arabic"/>
          <w:sz w:val="32"/>
          <w:szCs w:val="32"/>
        </w:rPr>
      </w:pPr>
      <w:r w:rsidRPr="00560B8A">
        <w:rPr>
          <w:rFonts w:ascii="Traditional Arabic" w:hAnsi="Traditional Arabic"/>
          <w:sz w:val="32"/>
          <w:szCs w:val="32"/>
          <w:rtl/>
        </w:rPr>
        <w:t>(</w:t>
      </w:r>
      <w:r w:rsidRPr="00560B8A">
        <w:rPr>
          <w:rStyle w:val="ae"/>
          <w:rFonts w:ascii="Traditional Arabic" w:hAnsi="Traditional Arabic"/>
          <w:sz w:val="32"/>
          <w:szCs w:val="32"/>
          <w:vertAlign w:val="baseline"/>
        </w:rPr>
        <w:footnoteRef/>
      </w:r>
      <w:r w:rsidRPr="00560B8A">
        <w:rPr>
          <w:rFonts w:ascii="Traditional Arabic" w:hAnsi="Traditional Arabic"/>
          <w:sz w:val="32"/>
          <w:szCs w:val="32"/>
          <w:rtl/>
        </w:rPr>
        <w:t>) الكشف والبيان (6/160), غرائب التفسير (1/654).</w:t>
      </w:r>
    </w:p>
  </w:footnote>
  <w:footnote w:id="1045">
    <w:p w:rsidR="003F128F" w:rsidRPr="002A1207" w:rsidRDefault="003F128F" w:rsidP="005C21CD">
      <w:pPr>
        <w:pStyle w:val="af3"/>
        <w:rPr>
          <w:rFonts w:ascii="Traditional Arabic" w:hAnsi="Traditional Arabic"/>
          <w:sz w:val="32"/>
          <w:szCs w:val="32"/>
        </w:rPr>
      </w:pPr>
      <w:r w:rsidRPr="002A1207">
        <w:rPr>
          <w:rFonts w:ascii="Traditional Arabic" w:hAnsi="Traditional Arabic"/>
          <w:sz w:val="32"/>
          <w:szCs w:val="32"/>
          <w:rtl/>
        </w:rPr>
        <w:t>(</w:t>
      </w:r>
      <w:r w:rsidRPr="002A1207">
        <w:rPr>
          <w:rStyle w:val="ae"/>
          <w:rFonts w:ascii="Traditional Arabic" w:hAnsi="Traditional Arabic"/>
          <w:sz w:val="32"/>
          <w:szCs w:val="32"/>
          <w:vertAlign w:val="baseline"/>
        </w:rPr>
        <w:footnoteRef/>
      </w:r>
      <w:r>
        <w:rPr>
          <w:rFonts w:ascii="Traditional Arabic" w:hAnsi="Traditional Arabic"/>
          <w:sz w:val="32"/>
          <w:szCs w:val="32"/>
          <w:rtl/>
        </w:rPr>
        <w:t>) في (</w:t>
      </w:r>
      <w:r>
        <w:rPr>
          <w:rFonts w:ascii="Traditional Arabic" w:hAnsi="Traditional Arabic" w:hint="cs"/>
          <w:sz w:val="32"/>
          <w:szCs w:val="32"/>
          <w:rtl/>
        </w:rPr>
        <w:t>ك</w:t>
      </w:r>
      <w:r>
        <w:rPr>
          <w:rFonts w:ascii="Traditional Arabic" w:hAnsi="Traditional Arabic"/>
          <w:sz w:val="32"/>
          <w:szCs w:val="32"/>
          <w:rtl/>
        </w:rPr>
        <w:t xml:space="preserve">): </w:t>
      </w:r>
      <w:r>
        <w:rPr>
          <w:rFonts w:ascii="Traditional Arabic" w:hAnsi="Traditional Arabic" w:hint="cs"/>
          <w:sz w:val="32"/>
          <w:szCs w:val="32"/>
          <w:rtl/>
        </w:rPr>
        <w:t>[</w:t>
      </w:r>
      <w:r>
        <w:rPr>
          <w:rFonts w:ascii="Traditional Arabic" w:hAnsi="Traditional Arabic"/>
          <w:sz w:val="32"/>
          <w:szCs w:val="32"/>
          <w:rtl/>
        </w:rPr>
        <w:t>أراد أن الكلب بموضع</w:t>
      </w:r>
      <w:r>
        <w:rPr>
          <w:rFonts w:ascii="Traditional Arabic" w:hAnsi="Traditional Arabic" w:hint="cs"/>
          <w:sz w:val="32"/>
          <w:szCs w:val="32"/>
          <w:rtl/>
        </w:rPr>
        <w:t>]</w:t>
      </w:r>
      <w:r w:rsidRPr="002A1207">
        <w:rPr>
          <w:rFonts w:ascii="Traditional Arabic" w:hAnsi="Traditional Arabic"/>
          <w:sz w:val="32"/>
          <w:szCs w:val="32"/>
          <w:rtl/>
        </w:rPr>
        <w:t xml:space="preserve">.   </w:t>
      </w:r>
    </w:p>
  </w:footnote>
  <w:footnote w:id="1046">
    <w:p w:rsidR="003F128F" w:rsidRPr="00560B8A" w:rsidRDefault="003F128F" w:rsidP="005C21CD">
      <w:pPr>
        <w:pStyle w:val="af3"/>
        <w:rPr>
          <w:rFonts w:ascii="Traditional Arabic" w:hAnsi="Traditional Arabic"/>
          <w:sz w:val="32"/>
          <w:szCs w:val="32"/>
        </w:rPr>
      </w:pPr>
      <w:r w:rsidRPr="00560B8A">
        <w:rPr>
          <w:rFonts w:ascii="Traditional Arabic" w:hAnsi="Traditional Arabic"/>
          <w:sz w:val="32"/>
          <w:szCs w:val="32"/>
          <w:rtl/>
        </w:rPr>
        <w:t>(</w:t>
      </w:r>
      <w:r w:rsidRPr="00560B8A">
        <w:rPr>
          <w:rStyle w:val="ae"/>
          <w:rFonts w:ascii="Traditional Arabic" w:hAnsi="Traditional Arabic"/>
          <w:sz w:val="32"/>
          <w:szCs w:val="32"/>
          <w:vertAlign w:val="baseline"/>
        </w:rPr>
        <w:footnoteRef/>
      </w:r>
      <w:r w:rsidRPr="00560B8A">
        <w:rPr>
          <w:rFonts w:ascii="Traditional Arabic" w:hAnsi="Traditional Arabic"/>
          <w:sz w:val="32"/>
          <w:szCs w:val="32"/>
          <w:rtl/>
        </w:rPr>
        <w:t>)</w:t>
      </w:r>
      <w:r w:rsidRPr="00560B8A">
        <w:rPr>
          <w:rFonts w:ascii="Traditional Arabic" w:hAnsi="Traditional Arabic"/>
          <w:sz w:val="32"/>
          <w:szCs w:val="32"/>
          <w:rtl/>
          <w:lang w:eastAsia="en-US"/>
        </w:rPr>
        <w:t xml:space="preserve"> انظر: </w:t>
      </w:r>
      <w:r w:rsidRPr="00560B8A">
        <w:rPr>
          <w:rFonts w:ascii="Traditional Arabic" w:hAnsi="Traditional Arabic"/>
          <w:sz w:val="32"/>
          <w:szCs w:val="32"/>
          <w:rtl/>
        </w:rPr>
        <w:t>غريب القرآن (1/265)</w:t>
      </w:r>
      <w:r w:rsidRPr="00560B8A">
        <w:rPr>
          <w:rFonts w:ascii="Traditional Arabic" w:hAnsi="Traditional Arabic"/>
          <w:sz w:val="32"/>
          <w:szCs w:val="32"/>
          <w:rtl/>
          <w:lang w:eastAsia="en-US"/>
        </w:rPr>
        <w:t>.</w:t>
      </w:r>
      <w:r w:rsidRPr="00560B8A">
        <w:rPr>
          <w:rFonts w:ascii="Traditional Arabic" w:hAnsi="Traditional Arabic"/>
          <w:sz w:val="32"/>
          <w:szCs w:val="32"/>
          <w:rtl/>
        </w:rPr>
        <w:t xml:space="preserve"> </w:t>
      </w:r>
    </w:p>
  </w:footnote>
  <w:footnote w:id="1047">
    <w:p w:rsidR="003F128F" w:rsidRPr="00560B8A" w:rsidRDefault="003F128F" w:rsidP="002A556C">
      <w:pPr>
        <w:pStyle w:val="af3"/>
        <w:rPr>
          <w:rFonts w:ascii="Traditional Arabic" w:hAnsi="Traditional Arabic"/>
          <w:sz w:val="32"/>
          <w:szCs w:val="32"/>
        </w:rPr>
      </w:pPr>
      <w:r w:rsidRPr="00560B8A">
        <w:rPr>
          <w:rFonts w:ascii="Traditional Arabic" w:hAnsi="Traditional Arabic"/>
          <w:sz w:val="32"/>
          <w:szCs w:val="32"/>
          <w:rtl/>
        </w:rPr>
        <w:t>(</w:t>
      </w:r>
      <w:r w:rsidRPr="00560B8A">
        <w:rPr>
          <w:rStyle w:val="ae"/>
          <w:rFonts w:ascii="Traditional Arabic" w:hAnsi="Traditional Arabic"/>
          <w:sz w:val="32"/>
          <w:szCs w:val="32"/>
          <w:vertAlign w:val="baseline"/>
        </w:rPr>
        <w:footnoteRef/>
      </w:r>
      <w:r w:rsidRPr="00560B8A">
        <w:rPr>
          <w:rFonts w:ascii="Traditional Arabic" w:hAnsi="Traditional Arabic"/>
          <w:sz w:val="32"/>
          <w:szCs w:val="32"/>
          <w:rtl/>
        </w:rPr>
        <w:t xml:space="preserve">) هو التابعي </w:t>
      </w:r>
      <w:r>
        <w:rPr>
          <w:rFonts w:ascii="Traditional Arabic" w:hAnsi="Traditional Arabic"/>
          <w:sz w:val="32"/>
          <w:szCs w:val="32"/>
          <w:rtl/>
        </w:rPr>
        <w:t>الإمام</w:t>
      </w:r>
      <w:r>
        <w:rPr>
          <w:rFonts w:ascii="Traditional Arabic" w:hAnsi="Traditional Arabic" w:hint="cs"/>
          <w:sz w:val="32"/>
          <w:szCs w:val="32"/>
          <w:rtl/>
        </w:rPr>
        <w:t>,</w:t>
      </w:r>
      <w:r w:rsidRPr="00560B8A">
        <w:rPr>
          <w:rFonts w:ascii="Traditional Arabic" w:hAnsi="Traditional Arabic"/>
          <w:sz w:val="32"/>
          <w:szCs w:val="32"/>
          <w:rtl/>
        </w:rPr>
        <w:t xml:space="preserve"> المقرئ</w:t>
      </w:r>
      <w:r>
        <w:rPr>
          <w:rFonts w:ascii="Traditional Arabic" w:hAnsi="Traditional Arabic" w:hint="cs"/>
          <w:sz w:val="32"/>
          <w:szCs w:val="32"/>
          <w:rtl/>
        </w:rPr>
        <w:t>,</w:t>
      </w:r>
      <w:r w:rsidRPr="00560B8A">
        <w:rPr>
          <w:rFonts w:ascii="Traditional Arabic" w:hAnsi="Traditional Arabic"/>
          <w:sz w:val="32"/>
          <w:szCs w:val="32"/>
          <w:rtl/>
        </w:rPr>
        <w:t xml:space="preserve"> أبو حصين</w:t>
      </w:r>
      <w:r>
        <w:rPr>
          <w:rFonts w:ascii="Traditional Arabic" w:hAnsi="Traditional Arabic" w:hint="cs"/>
          <w:sz w:val="32"/>
          <w:szCs w:val="32"/>
          <w:rtl/>
        </w:rPr>
        <w:t>,</w:t>
      </w:r>
      <w:r w:rsidRPr="00560B8A">
        <w:rPr>
          <w:rFonts w:ascii="Traditional Arabic" w:hAnsi="Traditional Arabic"/>
          <w:sz w:val="32"/>
          <w:szCs w:val="32"/>
          <w:rtl/>
        </w:rPr>
        <w:t xml:space="preserve"> عثمان بن عاصم بن حصين بن كثير الأسدي, الكوفي, الحافظ،</w:t>
      </w:r>
      <w:r w:rsidRPr="00560B8A">
        <w:rPr>
          <w:rFonts w:ascii="Traditional Arabic" w:hAnsi="Traditional Arabic"/>
          <w:sz w:val="32"/>
          <w:szCs w:val="32"/>
          <w:rtl/>
          <w:lang w:eastAsia="en-US"/>
        </w:rPr>
        <w:t xml:space="preserve"> </w:t>
      </w:r>
      <w:r w:rsidRPr="00560B8A">
        <w:rPr>
          <w:rFonts w:ascii="Traditional Arabic" w:hAnsi="Traditional Arabic"/>
          <w:sz w:val="32"/>
          <w:szCs w:val="32"/>
          <w:rtl/>
        </w:rPr>
        <w:t>كان صاحب سنة, (ت127ه). انظر: تهذيب الكمال (19/401), سير أعلام النبلاء (5/412), غاية النهاية (1/505).</w:t>
      </w:r>
    </w:p>
  </w:footnote>
  <w:footnote w:id="1048">
    <w:p w:rsidR="003F128F" w:rsidRPr="00560B8A" w:rsidRDefault="003F128F" w:rsidP="00E67848">
      <w:pPr>
        <w:pStyle w:val="af3"/>
        <w:rPr>
          <w:rFonts w:ascii="Traditional Arabic" w:hAnsi="Traditional Arabic"/>
          <w:sz w:val="32"/>
          <w:szCs w:val="32"/>
        </w:rPr>
      </w:pPr>
      <w:r w:rsidRPr="00560B8A">
        <w:rPr>
          <w:rFonts w:ascii="Traditional Arabic" w:hAnsi="Traditional Arabic"/>
          <w:sz w:val="32"/>
          <w:szCs w:val="32"/>
          <w:rtl/>
        </w:rPr>
        <w:t>(</w:t>
      </w:r>
      <w:r w:rsidRPr="00560B8A">
        <w:rPr>
          <w:rStyle w:val="ae"/>
          <w:rFonts w:ascii="Traditional Arabic" w:hAnsi="Traditional Arabic"/>
          <w:sz w:val="32"/>
          <w:szCs w:val="32"/>
          <w:vertAlign w:val="baseline"/>
        </w:rPr>
        <w:footnoteRef/>
      </w:r>
      <w:r w:rsidRPr="00560B8A">
        <w:rPr>
          <w:rFonts w:ascii="Traditional Arabic" w:hAnsi="Traditional Arabic"/>
          <w:sz w:val="32"/>
          <w:szCs w:val="32"/>
          <w:rtl/>
        </w:rPr>
        <w:t>)</w:t>
      </w:r>
      <w:r>
        <w:rPr>
          <w:rFonts w:ascii="Traditional Arabic" w:hAnsi="Traditional Arabic" w:hint="cs"/>
          <w:sz w:val="32"/>
          <w:szCs w:val="32"/>
          <w:rtl/>
        </w:rPr>
        <w:t xml:space="preserve"> </w:t>
      </w:r>
      <w:r w:rsidRPr="00560B8A">
        <w:rPr>
          <w:rFonts w:ascii="Traditional Arabic" w:hAnsi="Traditional Arabic"/>
          <w:sz w:val="32"/>
          <w:szCs w:val="32"/>
          <w:rtl/>
        </w:rPr>
        <w:t xml:space="preserve">انظر: مختصر الشواذ لابن خالويه (ص82).   </w:t>
      </w:r>
    </w:p>
  </w:footnote>
  <w:footnote w:id="1049">
    <w:p w:rsidR="003F128F" w:rsidRPr="002A1207" w:rsidRDefault="003F128F" w:rsidP="00E67848">
      <w:pPr>
        <w:pStyle w:val="af3"/>
        <w:rPr>
          <w:rFonts w:ascii="Tahoma" w:hAnsi="Tahoma"/>
        </w:rPr>
      </w:pPr>
      <w:r w:rsidRPr="002A1207">
        <w:rPr>
          <w:rFonts w:ascii="Traditional Arabic" w:hAnsi="Traditional Arabic"/>
          <w:sz w:val="32"/>
          <w:szCs w:val="32"/>
          <w:rtl/>
        </w:rPr>
        <w:t>(</w:t>
      </w:r>
      <w:r w:rsidRPr="002A1207">
        <w:rPr>
          <w:rStyle w:val="ae"/>
          <w:rFonts w:ascii="Traditional Arabic" w:hAnsi="Traditional Arabic"/>
          <w:sz w:val="32"/>
          <w:szCs w:val="32"/>
          <w:vertAlign w:val="baseline"/>
        </w:rPr>
        <w:footnoteRef/>
      </w:r>
      <w:r>
        <w:rPr>
          <w:rFonts w:ascii="Traditional Arabic" w:hAnsi="Traditional Arabic"/>
          <w:sz w:val="32"/>
          <w:szCs w:val="32"/>
          <w:rtl/>
        </w:rPr>
        <w:t>) ما بين ال</w:t>
      </w:r>
      <w:r>
        <w:rPr>
          <w:rFonts w:ascii="Traditional Arabic" w:hAnsi="Traditional Arabic" w:hint="cs"/>
          <w:sz w:val="32"/>
          <w:szCs w:val="32"/>
          <w:rtl/>
        </w:rPr>
        <w:t>معكوفتين</w:t>
      </w:r>
      <w:r>
        <w:rPr>
          <w:rFonts w:ascii="Traditional Arabic" w:hAnsi="Traditional Arabic"/>
          <w:sz w:val="32"/>
          <w:szCs w:val="32"/>
          <w:rtl/>
        </w:rPr>
        <w:t xml:space="preserve"> ساقط من</w:t>
      </w:r>
      <w:r>
        <w:rPr>
          <w:rFonts w:ascii="Traditional Arabic" w:hAnsi="Traditional Arabic" w:hint="cs"/>
          <w:sz w:val="32"/>
          <w:szCs w:val="32"/>
          <w:rtl/>
        </w:rPr>
        <w:t xml:space="preserve"> الأصل, </w:t>
      </w:r>
      <w:r>
        <w:rPr>
          <w:rFonts w:ascii="Traditional Arabic" w:hAnsi="Traditional Arabic"/>
          <w:sz w:val="32"/>
          <w:szCs w:val="32"/>
          <w:rtl/>
        </w:rPr>
        <w:t>و</w:t>
      </w:r>
      <w:r>
        <w:rPr>
          <w:rFonts w:ascii="Traditional Arabic" w:hAnsi="Traditional Arabic" w:hint="cs"/>
          <w:sz w:val="32"/>
          <w:szCs w:val="32"/>
          <w:rtl/>
        </w:rPr>
        <w:t>المثبت</w:t>
      </w:r>
      <w:r>
        <w:rPr>
          <w:rFonts w:ascii="Traditional Arabic" w:hAnsi="Traditional Arabic"/>
          <w:sz w:val="32"/>
          <w:szCs w:val="32"/>
          <w:rtl/>
        </w:rPr>
        <w:t xml:space="preserve"> من (</w:t>
      </w:r>
      <w:r>
        <w:rPr>
          <w:rFonts w:ascii="Traditional Arabic" w:hAnsi="Traditional Arabic" w:hint="cs"/>
          <w:sz w:val="32"/>
          <w:szCs w:val="32"/>
          <w:rtl/>
        </w:rPr>
        <w:t>ك</w:t>
      </w:r>
      <w:r w:rsidRPr="002A1207">
        <w:rPr>
          <w:rFonts w:ascii="Traditional Arabic" w:hAnsi="Traditional Arabic"/>
          <w:sz w:val="32"/>
          <w:szCs w:val="32"/>
          <w:rtl/>
        </w:rPr>
        <w:t>)</w:t>
      </w:r>
      <w:r>
        <w:rPr>
          <w:rFonts w:ascii="Traditional Arabic" w:hAnsi="Traditional Arabic" w:hint="cs"/>
          <w:sz w:val="32"/>
          <w:szCs w:val="32"/>
          <w:rtl/>
        </w:rPr>
        <w:t>.</w:t>
      </w:r>
    </w:p>
  </w:footnote>
  <w:footnote w:id="1050">
    <w:p w:rsidR="003F128F" w:rsidRPr="008265A7" w:rsidRDefault="003F128F" w:rsidP="005C21CD">
      <w:pPr>
        <w:pStyle w:val="af3"/>
        <w:rPr>
          <w:rFonts w:ascii="Traditional Arabic" w:hAnsi="Traditional Arabic"/>
          <w:sz w:val="32"/>
          <w:szCs w:val="32"/>
        </w:rPr>
      </w:pPr>
      <w:r w:rsidRPr="008265A7">
        <w:rPr>
          <w:rFonts w:ascii="Traditional Arabic" w:hAnsi="Traditional Arabic"/>
          <w:sz w:val="32"/>
          <w:szCs w:val="32"/>
          <w:rtl/>
        </w:rPr>
        <w:t>(</w:t>
      </w:r>
      <w:r w:rsidRPr="008265A7">
        <w:rPr>
          <w:rStyle w:val="ae"/>
          <w:rFonts w:ascii="Traditional Arabic" w:hAnsi="Traditional Arabic"/>
          <w:sz w:val="32"/>
          <w:szCs w:val="32"/>
          <w:vertAlign w:val="baseline"/>
        </w:rPr>
        <w:footnoteRef/>
      </w:r>
      <w:r>
        <w:rPr>
          <w:rFonts w:ascii="Traditional Arabic" w:hAnsi="Traditional Arabic"/>
          <w:sz w:val="32"/>
          <w:szCs w:val="32"/>
          <w:rtl/>
        </w:rPr>
        <w:t>) في (</w:t>
      </w:r>
      <w:r>
        <w:rPr>
          <w:rFonts w:ascii="Traditional Arabic" w:hAnsi="Traditional Arabic" w:hint="cs"/>
          <w:sz w:val="32"/>
          <w:szCs w:val="32"/>
          <w:rtl/>
        </w:rPr>
        <w:t>ك</w:t>
      </w:r>
      <w:r>
        <w:rPr>
          <w:rFonts w:ascii="Traditional Arabic" w:hAnsi="Traditional Arabic"/>
          <w:sz w:val="32"/>
          <w:szCs w:val="32"/>
          <w:rtl/>
        </w:rPr>
        <w:t xml:space="preserve">): </w:t>
      </w:r>
      <w:r>
        <w:rPr>
          <w:rFonts w:ascii="Traditional Arabic" w:hAnsi="Traditional Arabic" w:hint="cs"/>
          <w:sz w:val="32"/>
          <w:szCs w:val="32"/>
          <w:rtl/>
        </w:rPr>
        <w:t>[</w:t>
      </w:r>
      <w:r>
        <w:rPr>
          <w:rFonts w:ascii="Traditional Arabic" w:hAnsi="Traditional Arabic"/>
          <w:sz w:val="32"/>
          <w:szCs w:val="32"/>
          <w:rtl/>
        </w:rPr>
        <w:t>رهبة منهم</w:t>
      </w:r>
      <w:r>
        <w:rPr>
          <w:rFonts w:ascii="Traditional Arabic" w:hAnsi="Traditional Arabic" w:hint="cs"/>
          <w:sz w:val="32"/>
          <w:szCs w:val="32"/>
          <w:rtl/>
        </w:rPr>
        <w:t>]</w:t>
      </w:r>
      <w:r w:rsidRPr="008265A7">
        <w:rPr>
          <w:rFonts w:ascii="Traditional Arabic" w:hAnsi="Traditional Arabic"/>
          <w:sz w:val="32"/>
          <w:szCs w:val="32"/>
          <w:rtl/>
        </w:rPr>
        <w:t xml:space="preserve">.    </w:t>
      </w:r>
    </w:p>
  </w:footnote>
  <w:footnote w:id="1051">
    <w:p w:rsidR="003F128F" w:rsidRPr="008265A7" w:rsidRDefault="003F128F" w:rsidP="00E67848">
      <w:pPr>
        <w:pStyle w:val="af3"/>
        <w:rPr>
          <w:rFonts w:ascii="Traditional Arabic" w:hAnsi="Traditional Arabic"/>
          <w:sz w:val="32"/>
          <w:szCs w:val="32"/>
        </w:rPr>
      </w:pPr>
      <w:r w:rsidRPr="008265A7">
        <w:rPr>
          <w:rFonts w:ascii="Traditional Arabic" w:hAnsi="Traditional Arabic"/>
          <w:sz w:val="32"/>
          <w:szCs w:val="32"/>
          <w:rtl/>
        </w:rPr>
        <w:t>(</w:t>
      </w:r>
      <w:r w:rsidRPr="008265A7">
        <w:rPr>
          <w:rStyle w:val="ae"/>
          <w:rFonts w:ascii="Traditional Arabic" w:hAnsi="Traditional Arabic"/>
          <w:sz w:val="32"/>
          <w:szCs w:val="32"/>
          <w:vertAlign w:val="baseline"/>
        </w:rPr>
        <w:footnoteRef/>
      </w:r>
      <w:r w:rsidRPr="008265A7">
        <w:rPr>
          <w:rFonts w:ascii="Traditional Arabic" w:hAnsi="Traditional Arabic"/>
          <w:sz w:val="32"/>
          <w:szCs w:val="32"/>
          <w:rtl/>
        </w:rPr>
        <w:t>)</w:t>
      </w:r>
      <w:r>
        <w:rPr>
          <w:rFonts w:ascii="Traditional Arabic" w:hAnsi="Traditional Arabic" w:hint="cs"/>
          <w:sz w:val="32"/>
          <w:szCs w:val="32"/>
          <w:rtl/>
        </w:rPr>
        <w:t xml:space="preserve"> </w:t>
      </w:r>
      <w:r w:rsidRPr="008265A7">
        <w:rPr>
          <w:rFonts w:ascii="Traditional Arabic" w:hAnsi="Traditional Arabic"/>
          <w:sz w:val="32"/>
          <w:szCs w:val="32"/>
          <w:rtl/>
        </w:rPr>
        <w:t xml:space="preserve">انظر: السبعة في القراءات (ص389), معاني القراءات (2/107).  </w:t>
      </w:r>
    </w:p>
  </w:footnote>
  <w:footnote w:id="1052">
    <w:p w:rsidR="003F128F" w:rsidRPr="00F97FD2" w:rsidRDefault="003F128F" w:rsidP="00E67848">
      <w:pPr>
        <w:pStyle w:val="af3"/>
        <w:rPr>
          <w:rFonts w:ascii="Tahoma" w:hAnsi="Tahoma"/>
          <w:sz w:val="32"/>
          <w:szCs w:val="32"/>
        </w:rPr>
      </w:pPr>
      <w:r w:rsidRPr="008265A7">
        <w:rPr>
          <w:rFonts w:ascii="Traditional Arabic" w:hAnsi="Traditional Arabic"/>
          <w:sz w:val="32"/>
          <w:szCs w:val="32"/>
          <w:rtl/>
        </w:rPr>
        <w:t>(</w:t>
      </w:r>
      <w:r w:rsidRPr="008265A7">
        <w:rPr>
          <w:rStyle w:val="ae"/>
          <w:rFonts w:ascii="Traditional Arabic" w:hAnsi="Traditional Arabic"/>
          <w:sz w:val="32"/>
          <w:szCs w:val="32"/>
          <w:vertAlign w:val="baseline"/>
        </w:rPr>
        <w:footnoteRef/>
      </w:r>
      <w:r w:rsidRPr="008265A7">
        <w:rPr>
          <w:rFonts w:ascii="Traditional Arabic" w:hAnsi="Traditional Arabic"/>
          <w:sz w:val="32"/>
          <w:szCs w:val="32"/>
          <w:rtl/>
        </w:rPr>
        <w:t>)</w:t>
      </w:r>
      <w:r>
        <w:rPr>
          <w:rFonts w:ascii="Traditional Arabic" w:hAnsi="Traditional Arabic" w:hint="cs"/>
          <w:sz w:val="32"/>
          <w:szCs w:val="32"/>
          <w:rtl/>
        </w:rPr>
        <w:t xml:space="preserve"> </w:t>
      </w:r>
      <w:r>
        <w:rPr>
          <w:rFonts w:ascii="Traditional Arabic" w:hAnsi="Traditional Arabic"/>
          <w:sz w:val="32"/>
          <w:szCs w:val="32"/>
          <w:rtl/>
        </w:rPr>
        <w:t>ما بين ال</w:t>
      </w:r>
      <w:r>
        <w:rPr>
          <w:rFonts w:ascii="Traditional Arabic" w:hAnsi="Traditional Arabic" w:hint="cs"/>
          <w:sz w:val="32"/>
          <w:szCs w:val="32"/>
          <w:rtl/>
        </w:rPr>
        <w:t>معكوفتين</w:t>
      </w:r>
      <w:r>
        <w:rPr>
          <w:rFonts w:ascii="Traditional Arabic" w:hAnsi="Traditional Arabic"/>
          <w:sz w:val="32"/>
          <w:szCs w:val="32"/>
          <w:rtl/>
        </w:rPr>
        <w:t xml:space="preserve"> ساقط من</w:t>
      </w:r>
      <w:r>
        <w:rPr>
          <w:rFonts w:ascii="Traditional Arabic" w:hAnsi="Traditional Arabic" w:hint="cs"/>
          <w:sz w:val="32"/>
          <w:szCs w:val="32"/>
          <w:rtl/>
        </w:rPr>
        <w:t xml:space="preserve"> الأصل, </w:t>
      </w:r>
      <w:r>
        <w:rPr>
          <w:rFonts w:ascii="Traditional Arabic" w:hAnsi="Traditional Arabic"/>
          <w:sz w:val="32"/>
          <w:szCs w:val="32"/>
          <w:rtl/>
        </w:rPr>
        <w:t>و</w:t>
      </w:r>
      <w:r>
        <w:rPr>
          <w:rFonts w:ascii="Traditional Arabic" w:hAnsi="Traditional Arabic" w:hint="cs"/>
          <w:sz w:val="32"/>
          <w:szCs w:val="32"/>
          <w:rtl/>
        </w:rPr>
        <w:t>المثبت</w:t>
      </w:r>
      <w:r>
        <w:rPr>
          <w:rFonts w:ascii="Traditional Arabic" w:hAnsi="Traditional Arabic"/>
          <w:sz w:val="32"/>
          <w:szCs w:val="32"/>
          <w:rtl/>
        </w:rPr>
        <w:t xml:space="preserve"> من (</w:t>
      </w:r>
      <w:r>
        <w:rPr>
          <w:rFonts w:ascii="Traditional Arabic" w:hAnsi="Traditional Arabic" w:hint="cs"/>
          <w:sz w:val="32"/>
          <w:szCs w:val="32"/>
          <w:rtl/>
        </w:rPr>
        <w:t>ك</w:t>
      </w:r>
      <w:r w:rsidRPr="002A1207">
        <w:rPr>
          <w:rFonts w:ascii="Traditional Arabic" w:hAnsi="Traditional Arabic"/>
          <w:sz w:val="32"/>
          <w:szCs w:val="32"/>
          <w:rtl/>
        </w:rPr>
        <w:t>)</w:t>
      </w:r>
      <w:r>
        <w:rPr>
          <w:rFonts w:ascii="Traditional Arabic" w:hAnsi="Traditional Arabic" w:hint="cs"/>
          <w:sz w:val="32"/>
          <w:szCs w:val="32"/>
          <w:rtl/>
        </w:rPr>
        <w:t>.</w:t>
      </w:r>
    </w:p>
  </w:footnote>
  <w:footnote w:id="1053">
    <w:p w:rsidR="003F128F" w:rsidRPr="00097C13" w:rsidRDefault="003F128F" w:rsidP="005C21CD">
      <w:pPr>
        <w:pStyle w:val="af3"/>
        <w:rPr>
          <w:rFonts w:ascii="Tahoma" w:hAnsi="Tahoma"/>
        </w:rPr>
      </w:pPr>
      <w:r w:rsidRPr="00F97FD2">
        <w:rPr>
          <w:rFonts w:ascii="Traditional Arabic" w:hAnsi="Traditional Arabic"/>
          <w:sz w:val="32"/>
          <w:szCs w:val="32"/>
          <w:rtl/>
        </w:rPr>
        <w:t>(</w:t>
      </w:r>
      <w:r w:rsidRPr="00F97FD2">
        <w:rPr>
          <w:rStyle w:val="ae"/>
          <w:rFonts w:ascii="Traditional Arabic" w:hAnsi="Traditional Arabic"/>
          <w:sz w:val="32"/>
          <w:szCs w:val="32"/>
          <w:vertAlign w:val="baseline"/>
        </w:rPr>
        <w:footnoteRef/>
      </w:r>
      <w:r w:rsidRPr="00F97FD2">
        <w:rPr>
          <w:rFonts w:ascii="Traditional Arabic" w:hAnsi="Traditional Arabic"/>
          <w:sz w:val="32"/>
          <w:szCs w:val="32"/>
          <w:rtl/>
        </w:rPr>
        <w:t>) انظر: معاني القرآن وإعرابه (3/275).</w:t>
      </w:r>
      <w:r>
        <w:rPr>
          <w:rFonts w:ascii="Tahoma" w:hAnsi="Tahoma"/>
          <w:rtl/>
        </w:rPr>
        <w:t xml:space="preserve">  </w:t>
      </w:r>
    </w:p>
  </w:footnote>
  <w:footnote w:id="1054">
    <w:p w:rsidR="003F128F" w:rsidRPr="00BE4CF7" w:rsidRDefault="003F128F" w:rsidP="005C21CD">
      <w:pPr>
        <w:pStyle w:val="af3"/>
        <w:rPr>
          <w:rFonts w:ascii="Traditional Arabic" w:hAnsi="Traditional Arabic"/>
          <w:sz w:val="32"/>
          <w:szCs w:val="32"/>
          <w:rtl/>
        </w:rPr>
      </w:pPr>
      <w:r w:rsidRPr="00BE4CF7">
        <w:rPr>
          <w:rFonts w:ascii="Traditional Arabic" w:hAnsi="Traditional Arabic"/>
          <w:sz w:val="32"/>
          <w:szCs w:val="32"/>
          <w:rtl/>
        </w:rPr>
        <w:t>(</w:t>
      </w:r>
      <w:r w:rsidRPr="00BE4CF7">
        <w:rPr>
          <w:rStyle w:val="ae"/>
          <w:rFonts w:ascii="Traditional Arabic" w:hAnsi="Traditional Arabic"/>
          <w:sz w:val="32"/>
          <w:szCs w:val="32"/>
          <w:vertAlign w:val="baseline"/>
        </w:rPr>
        <w:footnoteRef/>
      </w:r>
      <w:r w:rsidRPr="00BE4CF7">
        <w:rPr>
          <w:rFonts w:ascii="Traditional Arabic" w:hAnsi="Traditional Arabic"/>
          <w:sz w:val="32"/>
          <w:szCs w:val="32"/>
          <w:rtl/>
        </w:rPr>
        <w:t>) انظر: تفسير الطبري (17/627), الكشف والبيان (6/161).</w:t>
      </w:r>
    </w:p>
  </w:footnote>
  <w:footnote w:id="1055">
    <w:p w:rsidR="003F128F" w:rsidRPr="00BE4CF7" w:rsidRDefault="003F128F" w:rsidP="00032CCE">
      <w:pPr>
        <w:pStyle w:val="af3"/>
        <w:rPr>
          <w:rFonts w:ascii="Traditional Arabic" w:hAnsi="Traditional Arabic"/>
          <w:sz w:val="32"/>
          <w:szCs w:val="32"/>
        </w:rPr>
      </w:pPr>
      <w:r w:rsidRPr="00BE4CF7">
        <w:rPr>
          <w:rFonts w:ascii="Traditional Arabic" w:hAnsi="Traditional Arabic"/>
          <w:sz w:val="32"/>
          <w:szCs w:val="32"/>
          <w:rtl/>
        </w:rPr>
        <w:t>(</w:t>
      </w:r>
      <w:r w:rsidRPr="00BE4CF7">
        <w:rPr>
          <w:rStyle w:val="ae"/>
          <w:rFonts w:ascii="Traditional Arabic" w:hAnsi="Traditional Arabic"/>
          <w:sz w:val="32"/>
          <w:szCs w:val="32"/>
          <w:vertAlign w:val="baseline"/>
        </w:rPr>
        <w:footnoteRef/>
      </w:r>
      <w:r w:rsidRPr="00BE4CF7">
        <w:rPr>
          <w:rFonts w:ascii="Traditional Arabic" w:hAnsi="Traditional Arabic"/>
          <w:sz w:val="32"/>
          <w:szCs w:val="32"/>
          <w:rtl/>
        </w:rPr>
        <w:t>) انظر: تفسير مقاتل (2/579), تفسير يحيى بن سلام (1/175)</w:t>
      </w:r>
      <w:r>
        <w:rPr>
          <w:rFonts w:ascii="Traditional Arabic" w:hAnsi="Traditional Arabic" w:hint="cs"/>
          <w:sz w:val="32"/>
          <w:szCs w:val="32"/>
          <w:rtl/>
        </w:rPr>
        <w:t>.</w:t>
      </w:r>
    </w:p>
  </w:footnote>
  <w:footnote w:id="1056">
    <w:p w:rsidR="003F128F" w:rsidRPr="00BE4CF7" w:rsidRDefault="003F128F" w:rsidP="005C21CD">
      <w:pPr>
        <w:pStyle w:val="af3"/>
        <w:rPr>
          <w:rFonts w:ascii="Traditional Arabic" w:hAnsi="Traditional Arabic"/>
          <w:sz w:val="32"/>
          <w:szCs w:val="32"/>
        </w:rPr>
      </w:pPr>
      <w:r w:rsidRPr="00BE4CF7">
        <w:rPr>
          <w:rFonts w:ascii="Traditional Arabic" w:hAnsi="Traditional Arabic"/>
          <w:sz w:val="32"/>
          <w:szCs w:val="32"/>
          <w:rtl/>
        </w:rPr>
        <w:t>(</w:t>
      </w:r>
      <w:r w:rsidRPr="00BE4CF7">
        <w:rPr>
          <w:rStyle w:val="ae"/>
          <w:rFonts w:ascii="Traditional Arabic" w:hAnsi="Traditional Arabic"/>
          <w:sz w:val="32"/>
          <w:szCs w:val="32"/>
          <w:vertAlign w:val="baseline"/>
        </w:rPr>
        <w:footnoteRef/>
      </w:r>
      <w:r w:rsidRPr="00BE4CF7">
        <w:rPr>
          <w:rFonts w:ascii="Traditional Arabic" w:hAnsi="Traditional Arabic"/>
          <w:sz w:val="32"/>
          <w:szCs w:val="32"/>
          <w:rtl/>
        </w:rPr>
        <w:t>)</w:t>
      </w:r>
      <w:r>
        <w:rPr>
          <w:rFonts w:ascii="Traditional Arabic" w:hAnsi="Traditional Arabic" w:hint="cs"/>
          <w:sz w:val="32"/>
          <w:szCs w:val="32"/>
          <w:rtl/>
        </w:rPr>
        <w:t xml:space="preserve"> انظر: </w:t>
      </w:r>
      <w:r w:rsidRPr="00311634">
        <w:rPr>
          <w:rFonts w:ascii="Traditional Arabic" w:hAnsi="Traditional Arabic"/>
          <w:sz w:val="32"/>
          <w:szCs w:val="32"/>
          <w:rtl/>
        </w:rPr>
        <w:t>التفسير الوسيط (3/1</w:t>
      </w:r>
      <w:r>
        <w:rPr>
          <w:rFonts w:ascii="Traditional Arabic" w:hAnsi="Traditional Arabic" w:hint="cs"/>
          <w:sz w:val="32"/>
          <w:szCs w:val="32"/>
          <w:rtl/>
        </w:rPr>
        <w:t>40</w:t>
      </w:r>
      <w:r w:rsidRPr="00311634">
        <w:rPr>
          <w:rFonts w:ascii="Traditional Arabic" w:hAnsi="Traditional Arabic"/>
          <w:sz w:val="32"/>
          <w:szCs w:val="32"/>
          <w:rtl/>
        </w:rPr>
        <w:t>).</w:t>
      </w:r>
    </w:p>
  </w:footnote>
  <w:footnote w:id="1057">
    <w:p w:rsidR="003F128F" w:rsidRPr="00BE4CF7" w:rsidRDefault="003F128F" w:rsidP="00032CCE">
      <w:pPr>
        <w:pStyle w:val="af3"/>
        <w:rPr>
          <w:rFonts w:ascii="Traditional Arabic" w:hAnsi="Traditional Arabic"/>
          <w:sz w:val="32"/>
          <w:szCs w:val="32"/>
        </w:rPr>
      </w:pPr>
      <w:r w:rsidRPr="00BE4CF7">
        <w:rPr>
          <w:rFonts w:ascii="Traditional Arabic" w:hAnsi="Traditional Arabic"/>
          <w:sz w:val="32"/>
          <w:szCs w:val="32"/>
          <w:rtl/>
        </w:rPr>
        <w:t>(</w:t>
      </w:r>
      <w:r w:rsidRPr="00BE4CF7">
        <w:rPr>
          <w:rStyle w:val="ae"/>
          <w:rFonts w:ascii="Traditional Arabic" w:hAnsi="Traditional Arabic"/>
          <w:sz w:val="32"/>
          <w:szCs w:val="32"/>
          <w:vertAlign w:val="baseline"/>
        </w:rPr>
        <w:footnoteRef/>
      </w:r>
      <w:r w:rsidRPr="00BE4CF7">
        <w:rPr>
          <w:rFonts w:ascii="Traditional Arabic" w:hAnsi="Traditional Arabic"/>
          <w:sz w:val="32"/>
          <w:szCs w:val="32"/>
          <w:rtl/>
        </w:rPr>
        <w:t>)</w:t>
      </w:r>
      <w:r>
        <w:rPr>
          <w:rFonts w:ascii="Traditional Arabic" w:hAnsi="Traditional Arabic" w:hint="cs"/>
          <w:sz w:val="32"/>
          <w:szCs w:val="32"/>
          <w:rtl/>
        </w:rPr>
        <w:t xml:space="preserve"> </w:t>
      </w:r>
      <w:r w:rsidRPr="00BE4CF7">
        <w:rPr>
          <w:rFonts w:ascii="Traditional Arabic" w:hAnsi="Traditional Arabic"/>
          <w:sz w:val="32"/>
          <w:szCs w:val="32"/>
          <w:rtl/>
        </w:rPr>
        <w:t xml:space="preserve">انظر: </w:t>
      </w:r>
      <w:r>
        <w:rPr>
          <w:rFonts w:ascii="Traditional Arabic" w:hAnsi="Traditional Arabic" w:hint="cs"/>
          <w:sz w:val="32"/>
          <w:szCs w:val="32"/>
          <w:rtl/>
        </w:rPr>
        <w:t xml:space="preserve">النكت والعيون (3/294), وقد جاء في </w:t>
      </w:r>
      <w:r w:rsidRPr="00BE4CF7">
        <w:rPr>
          <w:rFonts w:ascii="Traditional Arabic" w:hAnsi="Traditional Arabic"/>
          <w:sz w:val="32"/>
          <w:szCs w:val="32"/>
          <w:rtl/>
        </w:rPr>
        <w:t xml:space="preserve">تفسير مقاتل (2/579), </w:t>
      </w:r>
      <w:r>
        <w:rPr>
          <w:rFonts w:ascii="Traditional Arabic" w:hAnsi="Traditional Arabic" w:hint="cs"/>
          <w:sz w:val="32"/>
          <w:szCs w:val="32"/>
          <w:rtl/>
        </w:rPr>
        <w:t>و</w:t>
      </w:r>
      <w:r w:rsidRPr="00BE4CF7">
        <w:rPr>
          <w:rFonts w:ascii="Traditional Arabic" w:hAnsi="Traditional Arabic"/>
          <w:sz w:val="32"/>
          <w:szCs w:val="32"/>
          <w:rtl/>
        </w:rPr>
        <w:t>الكشف والبيان (6/161)</w:t>
      </w:r>
      <w:r>
        <w:rPr>
          <w:rFonts w:ascii="Traditional Arabic" w:hAnsi="Traditional Arabic" w:hint="cs"/>
          <w:sz w:val="32"/>
          <w:szCs w:val="32"/>
          <w:rtl/>
        </w:rPr>
        <w:t xml:space="preserve"> وغيرها غير منسوب</w:t>
      </w:r>
      <w:r w:rsidRPr="00BE4CF7">
        <w:rPr>
          <w:rFonts w:ascii="Traditional Arabic" w:hAnsi="Traditional Arabic"/>
          <w:sz w:val="32"/>
          <w:szCs w:val="32"/>
          <w:rtl/>
        </w:rPr>
        <w:t xml:space="preserve">. </w:t>
      </w:r>
    </w:p>
  </w:footnote>
  <w:footnote w:id="1058">
    <w:p w:rsidR="003F128F" w:rsidRPr="00BE4CF7" w:rsidRDefault="003F128F" w:rsidP="005C21CD">
      <w:pPr>
        <w:pStyle w:val="af3"/>
        <w:rPr>
          <w:rFonts w:ascii="Traditional Arabic" w:hAnsi="Traditional Arabic"/>
          <w:sz w:val="32"/>
          <w:szCs w:val="32"/>
        </w:rPr>
      </w:pPr>
      <w:r w:rsidRPr="00BE4CF7">
        <w:rPr>
          <w:rFonts w:ascii="Traditional Arabic" w:hAnsi="Traditional Arabic"/>
          <w:sz w:val="32"/>
          <w:szCs w:val="32"/>
          <w:rtl/>
        </w:rPr>
        <w:t>(</w:t>
      </w:r>
      <w:r w:rsidRPr="00BE4CF7">
        <w:rPr>
          <w:rStyle w:val="ae"/>
          <w:rFonts w:ascii="Traditional Arabic" w:hAnsi="Traditional Arabic"/>
          <w:sz w:val="32"/>
          <w:szCs w:val="32"/>
          <w:vertAlign w:val="baseline"/>
        </w:rPr>
        <w:footnoteRef/>
      </w:r>
      <w:r>
        <w:rPr>
          <w:rFonts w:ascii="Traditional Arabic" w:hAnsi="Traditional Arabic"/>
          <w:sz w:val="32"/>
          <w:szCs w:val="32"/>
          <w:rtl/>
        </w:rPr>
        <w:t xml:space="preserve">) </w:t>
      </w:r>
      <w:r>
        <w:rPr>
          <w:rFonts w:ascii="Traditional Arabic" w:hAnsi="Traditional Arabic" w:hint="cs"/>
          <w:sz w:val="32"/>
          <w:szCs w:val="32"/>
          <w:rtl/>
        </w:rPr>
        <w:t>ذكر بنحوه ابن جزي في التسهيل (1/461), والثعالبي في الجواهر الحسان (3/515).</w:t>
      </w:r>
    </w:p>
  </w:footnote>
  <w:footnote w:id="1059">
    <w:p w:rsidR="003F128F" w:rsidRPr="00BE4CF7" w:rsidRDefault="003F128F" w:rsidP="008265A7">
      <w:pPr>
        <w:pStyle w:val="af3"/>
        <w:rPr>
          <w:rFonts w:ascii="Traditional Arabic" w:hAnsi="Traditional Arabic"/>
          <w:sz w:val="32"/>
          <w:szCs w:val="32"/>
        </w:rPr>
      </w:pPr>
      <w:r w:rsidRPr="00BE4CF7">
        <w:rPr>
          <w:rFonts w:ascii="Traditional Arabic" w:hAnsi="Traditional Arabic"/>
          <w:sz w:val="32"/>
          <w:szCs w:val="32"/>
          <w:rtl/>
        </w:rPr>
        <w:t>(</w:t>
      </w:r>
      <w:r w:rsidRPr="00BE4CF7">
        <w:rPr>
          <w:rStyle w:val="ae"/>
          <w:rFonts w:ascii="Traditional Arabic" w:hAnsi="Traditional Arabic"/>
          <w:sz w:val="32"/>
          <w:szCs w:val="32"/>
          <w:vertAlign w:val="baseline"/>
        </w:rPr>
        <w:footnoteRef/>
      </w:r>
      <w:r w:rsidRPr="00BE4CF7">
        <w:rPr>
          <w:rFonts w:ascii="Traditional Arabic" w:hAnsi="Traditional Arabic"/>
          <w:sz w:val="32"/>
          <w:szCs w:val="32"/>
          <w:rtl/>
        </w:rPr>
        <w:t xml:space="preserve">) </w:t>
      </w:r>
      <w:r>
        <w:rPr>
          <w:rFonts w:ascii="Traditional Arabic" w:hAnsi="Traditional Arabic" w:hint="cs"/>
          <w:sz w:val="32"/>
          <w:szCs w:val="32"/>
          <w:rtl/>
        </w:rPr>
        <w:t>انظر:</w:t>
      </w:r>
      <w:r w:rsidRPr="00276A09">
        <w:rPr>
          <w:rFonts w:ascii="Traditional Arabic" w:hAnsi="Traditional Arabic"/>
          <w:sz w:val="32"/>
          <w:szCs w:val="32"/>
          <w:rtl/>
        </w:rPr>
        <w:t xml:space="preserve"> </w:t>
      </w:r>
      <w:r>
        <w:rPr>
          <w:rFonts w:ascii="Traditional Arabic" w:hAnsi="Traditional Arabic"/>
          <w:sz w:val="32"/>
          <w:szCs w:val="32"/>
          <w:rtl/>
        </w:rPr>
        <w:t>الكشف والبيان (6/161)</w:t>
      </w:r>
      <w:r>
        <w:rPr>
          <w:rFonts w:ascii="Traditional Arabic" w:hAnsi="Traditional Arabic" w:hint="cs"/>
          <w:sz w:val="32"/>
          <w:szCs w:val="32"/>
          <w:rtl/>
        </w:rPr>
        <w:t>,</w:t>
      </w:r>
      <w:r w:rsidRPr="00BE4CF7">
        <w:rPr>
          <w:rFonts w:ascii="Traditional Arabic" w:hAnsi="Traditional Arabic"/>
          <w:sz w:val="32"/>
          <w:szCs w:val="32"/>
          <w:rtl/>
        </w:rPr>
        <w:t xml:space="preserve"> </w:t>
      </w:r>
      <w:r>
        <w:rPr>
          <w:rFonts w:ascii="Traditional Arabic" w:hAnsi="Traditional Arabic" w:hint="cs"/>
          <w:sz w:val="32"/>
          <w:szCs w:val="32"/>
          <w:rtl/>
        </w:rPr>
        <w:t>معالم التنزيل (5/160).</w:t>
      </w:r>
    </w:p>
  </w:footnote>
  <w:footnote w:id="1060">
    <w:p w:rsidR="003F128F" w:rsidRPr="00AF4DF4" w:rsidRDefault="003F128F" w:rsidP="00E67848">
      <w:pPr>
        <w:pStyle w:val="af3"/>
        <w:rPr>
          <w:rFonts w:ascii="Traditional Arabic" w:hAnsi="Traditional Arabic"/>
          <w:sz w:val="32"/>
          <w:szCs w:val="32"/>
        </w:rPr>
      </w:pPr>
      <w:r w:rsidRPr="00AF4DF4">
        <w:rPr>
          <w:rFonts w:ascii="Traditional Arabic" w:hAnsi="Traditional Arabic"/>
          <w:sz w:val="32"/>
          <w:szCs w:val="32"/>
          <w:rtl/>
        </w:rPr>
        <w:t>(</w:t>
      </w:r>
      <w:r w:rsidRPr="00AF4DF4">
        <w:rPr>
          <w:rStyle w:val="ae"/>
          <w:rFonts w:ascii="Traditional Arabic" w:hAnsi="Traditional Arabic"/>
          <w:sz w:val="32"/>
          <w:szCs w:val="32"/>
          <w:vertAlign w:val="baseline"/>
        </w:rPr>
        <w:footnoteRef/>
      </w:r>
      <w:r w:rsidRPr="00AF4DF4">
        <w:rPr>
          <w:rFonts w:ascii="Traditional Arabic" w:hAnsi="Traditional Arabic"/>
          <w:sz w:val="32"/>
          <w:szCs w:val="32"/>
          <w:rtl/>
        </w:rPr>
        <w:t>) ذكر بنحوه الشربيني في السراج المنير (2/358), والألوسي في روح المعاني (15/245).</w:t>
      </w:r>
    </w:p>
  </w:footnote>
  <w:footnote w:id="1061">
    <w:p w:rsidR="003F128F" w:rsidRPr="00AF4DF4" w:rsidRDefault="003F128F" w:rsidP="00E67848">
      <w:pPr>
        <w:pStyle w:val="af3"/>
        <w:rPr>
          <w:rFonts w:ascii="Traditional Arabic" w:hAnsi="Traditional Arabic"/>
          <w:sz w:val="32"/>
          <w:szCs w:val="32"/>
        </w:rPr>
      </w:pPr>
      <w:r w:rsidRPr="00AF4DF4">
        <w:rPr>
          <w:rFonts w:ascii="Traditional Arabic" w:hAnsi="Traditional Arabic"/>
          <w:sz w:val="32"/>
          <w:szCs w:val="32"/>
          <w:rtl/>
        </w:rPr>
        <w:t>(</w:t>
      </w:r>
      <w:r w:rsidRPr="00AF4DF4">
        <w:rPr>
          <w:rStyle w:val="ae"/>
          <w:rFonts w:ascii="Traditional Arabic" w:hAnsi="Traditional Arabic"/>
          <w:sz w:val="32"/>
          <w:szCs w:val="32"/>
          <w:vertAlign w:val="baseline"/>
        </w:rPr>
        <w:footnoteRef/>
      </w:r>
      <w:r w:rsidRPr="00AF4DF4">
        <w:rPr>
          <w:rFonts w:ascii="Traditional Arabic" w:hAnsi="Traditional Arabic"/>
          <w:sz w:val="32"/>
          <w:szCs w:val="32"/>
          <w:rtl/>
        </w:rPr>
        <w:t>)</w:t>
      </w:r>
      <w:r>
        <w:rPr>
          <w:rFonts w:ascii="Traditional Arabic" w:hAnsi="Traditional Arabic" w:hint="cs"/>
          <w:sz w:val="32"/>
          <w:szCs w:val="32"/>
          <w:rtl/>
        </w:rPr>
        <w:t xml:space="preserve"> </w:t>
      </w:r>
      <w:r w:rsidRPr="00560B8A">
        <w:rPr>
          <w:rFonts w:ascii="Traditional Arabic" w:hAnsi="Traditional Arabic"/>
          <w:sz w:val="32"/>
          <w:szCs w:val="32"/>
          <w:rtl/>
        </w:rPr>
        <w:t xml:space="preserve">انظر: السبعة في القراءات (ص389), معاني القراءات (2/107).  </w:t>
      </w:r>
      <w:r w:rsidRPr="00AF4DF4">
        <w:rPr>
          <w:rFonts w:ascii="Traditional Arabic" w:hAnsi="Traditional Arabic"/>
          <w:sz w:val="32"/>
          <w:szCs w:val="32"/>
          <w:rtl/>
        </w:rPr>
        <w:t xml:space="preserve"> </w:t>
      </w:r>
    </w:p>
  </w:footnote>
  <w:footnote w:id="1062">
    <w:p w:rsidR="003F128F" w:rsidRPr="006B62D9" w:rsidRDefault="003F128F" w:rsidP="005C21CD">
      <w:pPr>
        <w:pStyle w:val="af3"/>
        <w:rPr>
          <w:rFonts w:ascii="Traditional Arabic" w:hAnsi="Traditional Arabic"/>
          <w:sz w:val="32"/>
          <w:szCs w:val="32"/>
        </w:rPr>
      </w:pPr>
      <w:r w:rsidRPr="006B62D9">
        <w:rPr>
          <w:rFonts w:ascii="Traditional Arabic" w:hAnsi="Traditional Arabic"/>
          <w:sz w:val="32"/>
          <w:szCs w:val="32"/>
          <w:rtl/>
        </w:rPr>
        <w:t>(</w:t>
      </w:r>
      <w:r w:rsidRPr="006B62D9">
        <w:rPr>
          <w:rStyle w:val="ae"/>
          <w:rFonts w:ascii="Traditional Arabic" w:hAnsi="Traditional Arabic"/>
          <w:sz w:val="32"/>
          <w:szCs w:val="32"/>
          <w:vertAlign w:val="baseline"/>
        </w:rPr>
        <w:footnoteRef/>
      </w:r>
      <w:r w:rsidRPr="006B62D9">
        <w:rPr>
          <w:rFonts w:ascii="Traditional Arabic" w:hAnsi="Traditional Arabic"/>
          <w:sz w:val="32"/>
          <w:szCs w:val="32"/>
          <w:rtl/>
        </w:rPr>
        <w:t>)</w:t>
      </w:r>
      <w:r w:rsidRPr="006B62D9">
        <w:rPr>
          <w:rFonts w:ascii="Traditional Arabic" w:hAnsi="Traditional Arabic" w:hint="cs"/>
          <w:sz w:val="32"/>
          <w:szCs w:val="32"/>
          <w:rtl/>
        </w:rPr>
        <w:t xml:space="preserve"> أي: </w:t>
      </w:r>
      <w:r w:rsidRPr="006B62D9">
        <w:rPr>
          <w:rFonts w:ascii="Traditional Arabic" w:hAnsi="Traditional Arabic"/>
          <w:sz w:val="32"/>
          <w:szCs w:val="32"/>
          <w:rtl/>
        </w:rPr>
        <w:t xml:space="preserve">تدغم القاف في الكاف </w:t>
      </w:r>
      <w:r w:rsidRPr="006B62D9">
        <w:rPr>
          <w:rFonts w:ascii="Traditional Arabic" w:hAnsi="Traditional Arabic" w:hint="cs"/>
          <w:sz w:val="32"/>
          <w:szCs w:val="32"/>
          <w:rtl/>
        </w:rPr>
        <w:t>ف</w:t>
      </w:r>
      <w:r w:rsidRPr="006B62D9">
        <w:rPr>
          <w:rFonts w:ascii="Traditional Arabic" w:hAnsi="Traditional Arabic"/>
          <w:sz w:val="32"/>
          <w:szCs w:val="32"/>
          <w:rtl/>
        </w:rPr>
        <w:t>تصِيرُ كافاً خَالِصَةً</w:t>
      </w:r>
      <w:r w:rsidRPr="006B62D9">
        <w:rPr>
          <w:rFonts w:ascii="Traditional Arabic" w:hAnsi="Traditional Arabic" w:hint="cs"/>
          <w:sz w:val="32"/>
          <w:szCs w:val="32"/>
          <w:rtl/>
        </w:rPr>
        <w:t xml:space="preserve">. </w:t>
      </w:r>
      <w:r w:rsidRPr="006B62D9">
        <w:rPr>
          <w:rFonts w:ascii="Traditional Arabic" w:hAnsi="Traditional Arabic"/>
          <w:sz w:val="32"/>
          <w:szCs w:val="32"/>
          <w:rtl/>
        </w:rPr>
        <w:t>انظر: معاني القرآن وإعرابه (3/275).</w:t>
      </w:r>
      <w:r w:rsidRPr="006B62D9">
        <w:rPr>
          <w:rFonts w:ascii="Tahoma" w:hAnsi="Tahoma"/>
          <w:rtl/>
        </w:rPr>
        <w:t xml:space="preserve">  </w:t>
      </w:r>
      <w:r w:rsidRPr="006B62D9">
        <w:rPr>
          <w:rFonts w:ascii="Traditional Arabic" w:hAnsi="Traditional Arabic"/>
          <w:sz w:val="32"/>
          <w:szCs w:val="32"/>
          <w:rtl/>
        </w:rPr>
        <w:t xml:space="preserve"> </w:t>
      </w:r>
    </w:p>
  </w:footnote>
  <w:footnote w:id="1063">
    <w:p w:rsidR="003F128F" w:rsidRPr="00AF4DF4" w:rsidRDefault="003F128F" w:rsidP="005C21CD">
      <w:pPr>
        <w:pStyle w:val="af3"/>
        <w:rPr>
          <w:rFonts w:ascii="Traditional Arabic" w:hAnsi="Traditional Arabic"/>
          <w:sz w:val="32"/>
          <w:szCs w:val="32"/>
        </w:rPr>
      </w:pPr>
      <w:r w:rsidRPr="00AF4DF4">
        <w:rPr>
          <w:rFonts w:ascii="Traditional Arabic" w:hAnsi="Traditional Arabic"/>
          <w:sz w:val="32"/>
          <w:szCs w:val="32"/>
          <w:rtl/>
        </w:rPr>
        <w:t>(</w:t>
      </w:r>
      <w:r w:rsidRPr="00AF4DF4">
        <w:rPr>
          <w:rStyle w:val="ae"/>
          <w:rFonts w:ascii="Traditional Arabic" w:hAnsi="Traditional Arabic"/>
          <w:sz w:val="32"/>
          <w:szCs w:val="32"/>
          <w:vertAlign w:val="baseline"/>
        </w:rPr>
        <w:footnoteRef/>
      </w:r>
      <w:r w:rsidRPr="00AF4DF4">
        <w:rPr>
          <w:rFonts w:ascii="Traditional Arabic" w:hAnsi="Traditional Arabic"/>
          <w:sz w:val="32"/>
          <w:szCs w:val="32"/>
          <w:rtl/>
        </w:rPr>
        <w:t>)</w:t>
      </w:r>
      <w:r>
        <w:rPr>
          <w:rFonts w:ascii="Traditional Arabic" w:hAnsi="Traditional Arabic" w:hint="cs"/>
          <w:sz w:val="32"/>
          <w:szCs w:val="32"/>
          <w:rtl/>
        </w:rPr>
        <w:t xml:space="preserve"> </w:t>
      </w:r>
      <w:r w:rsidRPr="00311634">
        <w:rPr>
          <w:rFonts w:ascii="Traditional Arabic" w:hAnsi="Traditional Arabic"/>
          <w:sz w:val="32"/>
          <w:szCs w:val="32"/>
          <w:rtl/>
        </w:rPr>
        <w:t>انظر: معاني القرآن (2/137).</w:t>
      </w:r>
    </w:p>
  </w:footnote>
  <w:footnote w:id="1064">
    <w:p w:rsidR="003F128F" w:rsidRPr="00001530" w:rsidRDefault="003F128F" w:rsidP="005C21CD">
      <w:pPr>
        <w:widowControl/>
        <w:autoSpaceDE w:val="0"/>
        <w:autoSpaceDN w:val="0"/>
        <w:adjustRightInd w:val="0"/>
        <w:ind w:firstLine="0"/>
        <w:jc w:val="left"/>
        <w:rPr>
          <w:rFonts w:ascii="Traditional Arabic" w:hAnsi="Traditional Arabic"/>
          <w:sz w:val="32"/>
          <w:szCs w:val="32"/>
        </w:rPr>
      </w:pPr>
      <w:r w:rsidRPr="00001530">
        <w:rPr>
          <w:rFonts w:ascii="Traditional Arabic" w:hAnsi="Traditional Arabic"/>
          <w:sz w:val="32"/>
          <w:szCs w:val="32"/>
          <w:rtl/>
        </w:rPr>
        <w:t>(</w:t>
      </w:r>
      <w:r w:rsidRPr="00001530">
        <w:rPr>
          <w:rStyle w:val="ae"/>
          <w:rFonts w:ascii="Traditional Arabic" w:hAnsi="Traditional Arabic"/>
          <w:sz w:val="32"/>
          <w:szCs w:val="32"/>
          <w:vertAlign w:val="baseline"/>
        </w:rPr>
        <w:footnoteRef/>
      </w:r>
      <w:r w:rsidRPr="00001530">
        <w:rPr>
          <w:rFonts w:ascii="Traditional Arabic" w:hAnsi="Traditional Arabic"/>
          <w:sz w:val="32"/>
          <w:szCs w:val="32"/>
          <w:rtl/>
        </w:rPr>
        <w:t>)</w:t>
      </w:r>
      <w:r>
        <w:rPr>
          <w:rFonts w:ascii="Traditional Arabic" w:hAnsi="Traditional Arabic" w:hint="cs"/>
          <w:sz w:val="32"/>
          <w:szCs w:val="32"/>
          <w:rtl/>
        </w:rPr>
        <w:t xml:space="preserve"> </w:t>
      </w:r>
      <w:r w:rsidRPr="00001530">
        <w:rPr>
          <w:rFonts w:ascii="Traditional Arabic" w:hAnsi="Traditional Arabic"/>
          <w:sz w:val="32"/>
          <w:szCs w:val="32"/>
          <w:rtl/>
        </w:rPr>
        <w:t xml:space="preserve">هو صاحب رسول الله </w:t>
      </w:r>
      <w:r w:rsidRPr="00001530">
        <w:rPr>
          <w:rFonts w:ascii="Traditional Arabic" w:hAnsi="Traditional Arabic"/>
          <w:sz w:val="32"/>
          <w:szCs w:val="32"/>
        </w:rPr>
        <w:sym w:font="AGA Arabesque" w:char="F072"/>
      </w:r>
      <w:r w:rsidRPr="00001530">
        <w:rPr>
          <w:rFonts w:ascii="Traditional Arabic" w:hAnsi="Traditional Arabic"/>
          <w:sz w:val="32"/>
          <w:szCs w:val="32"/>
          <w:rtl/>
        </w:rPr>
        <w:t xml:space="preserve"> </w:t>
      </w:r>
      <w:r w:rsidRPr="00001530">
        <w:rPr>
          <w:rFonts w:ascii="Traditional Arabic" w:hAnsi="Traditional Arabic" w:hint="cs"/>
          <w:sz w:val="32"/>
          <w:szCs w:val="32"/>
          <w:rtl/>
        </w:rPr>
        <w:t>عرفجة بن أسعد</w:t>
      </w:r>
      <w:r w:rsidRPr="00001530">
        <w:rPr>
          <w:rFonts w:ascii="Traditional Arabic" w:hAnsi="Traditional Arabic"/>
          <w:sz w:val="32"/>
          <w:szCs w:val="32"/>
          <w:rtl/>
        </w:rPr>
        <w:t xml:space="preserve">  بْنِ كَرِبٍ الْعُطَارِدِيُّ</w:t>
      </w:r>
      <w:r w:rsidRPr="00001530">
        <w:rPr>
          <w:rFonts w:ascii="Traditional Arabic" w:hAnsi="Traditional Arabic" w:hint="cs"/>
          <w:sz w:val="32"/>
          <w:szCs w:val="32"/>
          <w:rtl/>
        </w:rPr>
        <w:t xml:space="preserve">, وقيل السعدي, </w:t>
      </w:r>
      <w:r w:rsidRPr="00001530">
        <w:rPr>
          <w:rFonts w:ascii="Traditional Arabic" w:hAnsi="Traditional Arabic"/>
          <w:sz w:val="32"/>
          <w:szCs w:val="32"/>
          <w:rtl/>
        </w:rPr>
        <w:t xml:space="preserve">كان من الفرسان في الجاهلية، وشهد الكلاب، فأصيب أنفه، ثم أسلم، فأذن له النبيّ </w:t>
      </w:r>
      <w:r w:rsidRPr="00001530">
        <w:rPr>
          <w:rFonts w:ascii="Traditional Arabic" w:hAnsi="Traditional Arabic"/>
          <w:sz w:val="32"/>
          <w:szCs w:val="32"/>
        </w:rPr>
        <w:sym w:font="AGA Arabesque" w:char="F072"/>
      </w:r>
      <w:r w:rsidRPr="00001530">
        <w:rPr>
          <w:rFonts w:ascii="Traditional Arabic" w:hAnsi="Traditional Arabic"/>
          <w:sz w:val="32"/>
          <w:szCs w:val="32"/>
          <w:rtl/>
        </w:rPr>
        <w:t>أن يتخذ أنفا من ذهب</w:t>
      </w:r>
      <w:r>
        <w:rPr>
          <w:rFonts w:ascii="Traditional Arabic" w:hAnsi="Traditional Arabic" w:hint="cs"/>
          <w:sz w:val="32"/>
          <w:szCs w:val="32"/>
          <w:rtl/>
        </w:rPr>
        <w:t>, لم أقف على سنة وفاته.</w:t>
      </w:r>
      <w:r w:rsidRPr="00001530">
        <w:rPr>
          <w:rFonts w:ascii="Traditional Arabic" w:hAnsi="Traditional Arabic"/>
          <w:sz w:val="32"/>
          <w:szCs w:val="32"/>
          <w:rtl/>
        </w:rPr>
        <w:t xml:space="preserve"> انظر: طبقات ابن سعد (7/</w:t>
      </w:r>
      <w:r w:rsidRPr="00001530">
        <w:rPr>
          <w:rFonts w:ascii="Traditional Arabic" w:hAnsi="Traditional Arabic" w:hint="cs"/>
          <w:sz w:val="32"/>
          <w:szCs w:val="32"/>
          <w:rtl/>
        </w:rPr>
        <w:t>32</w:t>
      </w:r>
      <w:r w:rsidRPr="00001530">
        <w:rPr>
          <w:rFonts w:ascii="Traditional Arabic" w:hAnsi="Traditional Arabic"/>
          <w:sz w:val="32"/>
          <w:szCs w:val="32"/>
          <w:rtl/>
        </w:rPr>
        <w:t>), اسد الغابة (4/</w:t>
      </w:r>
      <w:r w:rsidRPr="00001530">
        <w:rPr>
          <w:rFonts w:ascii="Traditional Arabic" w:hAnsi="Traditional Arabic" w:hint="cs"/>
          <w:sz w:val="32"/>
          <w:szCs w:val="32"/>
          <w:rtl/>
        </w:rPr>
        <w:t>21</w:t>
      </w:r>
      <w:r w:rsidRPr="00001530">
        <w:rPr>
          <w:rFonts w:ascii="Traditional Arabic" w:hAnsi="Traditional Arabic"/>
          <w:sz w:val="32"/>
          <w:szCs w:val="32"/>
          <w:rtl/>
        </w:rPr>
        <w:t xml:space="preserve">), </w:t>
      </w:r>
      <w:r w:rsidRPr="00001530">
        <w:rPr>
          <w:rFonts w:ascii="Traditional Arabic" w:hAnsi="Traditional Arabic" w:hint="cs"/>
          <w:sz w:val="32"/>
          <w:szCs w:val="32"/>
          <w:rtl/>
        </w:rPr>
        <w:t>ال</w:t>
      </w:r>
      <w:r>
        <w:rPr>
          <w:rFonts w:ascii="Traditional Arabic" w:hAnsi="Traditional Arabic" w:hint="cs"/>
          <w:sz w:val="32"/>
          <w:szCs w:val="32"/>
          <w:rtl/>
        </w:rPr>
        <w:t>إ</w:t>
      </w:r>
      <w:r w:rsidRPr="00001530">
        <w:rPr>
          <w:rFonts w:ascii="Traditional Arabic" w:hAnsi="Traditional Arabic" w:hint="cs"/>
          <w:sz w:val="32"/>
          <w:szCs w:val="32"/>
          <w:rtl/>
        </w:rPr>
        <w:t>صابة (4/400).</w:t>
      </w:r>
    </w:p>
  </w:footnote>
  <w:footnote w:id="1065">
    <w:p w:rsidR="003F128F" w:rsidRPr="0037389E" w:rsidRDefault="003F128F" w:rsidP="005C21CD">
      <w:pPr>
        <w:pStyle w:val="af3"/>
        <w:rPr>
          <w:rFonts w:ascii="Traditional Arabic" w:hAnsi="Traditional Arabic"/>
          <w:sz w:val="32"/>
          <w:szCs w:val="32"/>
        </w:rPr>
      </w:pPr>
      <w:r w:rsidRPr="00AF4DF4">
        <w:rPr>
          <w:rFonts w:ascii="Traditional Arabic" w:hAnsi="Traditional Arabic"/>
          <w:sz w:val="32"/>
          <w:szCs w:val="32"/>
          <w:rtl/>
        </w:rPr>
        <w:t>(</w:t>
      </w:r>
      <w:r w:rsidRPr="00AF4DF4">
        <w:rPr>
          <w:rStyle w:val="ae"/>
          <w:rFonts w:ascii="Traditional Arabic" w:hAnsi="Traditional Arabic"/>
          <w:sz w:val="32"/>
          <w:szCs w:val="32"/>
          <w:vertAlign w:val="baseline"/>
        </w:rPr>
        <w:footnoteRef/>
      </w:r>
      <w:r w:rsidRPr="00AF4DF4">
        <w:rPr>
          <w:rFonts w:ascii="Traditional Arabic" w:hAnsi="Traditional Arabic"/>
          <w:sz w:val="32"/>
          <w:szCs w:val="32"/>
          <w:rtl/>
        </w:rPr>
        <w:t>)</w:t>
      </w:r>
      <w:r>
        <w:rPr>
          <w:rFonts w:ascii="Traditional Arabic" w:hAnsi="Traditional Arabic" w:hint="cs"/>
          <w:sz w:val="32"/>
          <w:szCs w:val="32"/>
          <w:rtl/>
        </w:rPr>
        <w:t xml:space="preserve"> </w:t>
      </w:r>
      <w:r w:rsidRPr="00560B8A">
        <w:rPr>
          <w:rFonts w:ascii="Traditional Arabic" w:hAnsi="Traditional Arabic"/>
          <w:sz w:val="32"/>
          <w:szCs w:val="32"/>
          <w:rtl/>
          <w:lang w:eastAsia="en-US"/>
        </w:rPr>
        <w:t xml:space="preserve">انظر: </w:t>
      </w:r>
      <w:r w:rsidRPr="00560B8A">
        <w:rPr>
          <w:rFonts w:ascii="Traditional Arabic" w:hAnsi="Traditional Arabic"/>
          <w:sz w:val="32"/>
          <w:szCs w:val="32"/>
          <w:rtl/>
        </w:rPr>
        <w:t>غريب القرآن (1/265)</w:t>
      </w:r>
      <w:r>
        <w:rPr>
          <w:rFonts w:ascii="Traditional Arabic" w:hAnsi="Traditional Arabic" w:hint="cs"/>
          <w:sz w:val="32"/>
          <w:szCs w:val="32"/>
          <w:rtl/>
          <w:lang w:eastAsia="en-US"/>
        </w:rPr>
        <w:t>,</w:t>
      </w:r>
      <w:r>
        <w:rPr>
          <w:rFonts w:ascii="Traditional Arabic" w:hAnsi="Traditional Arabic" w:hint="cs"/>
          <w:sz w:val="32"/>
          <w:szCs w:val="32"/>
          <w:rtl/>
        </w:rPr>
        <w:t xml:space="preserve"> والحديث</w:t>
      </w:r>
      <w:r w:rsidRPr="00115623">
        <w:rPr>
          <w:rFonts w:ascii="Traditional Arabic" w:hAnsi="Traditional Arabic"/>
          <w:sz w:val="32"/>
          <w:szCs w:val="32"/>
          <w:rtl/>
        </w:rPr>
        <w:t xml:space="preserve"> </w:t>
      </w:r>
      <w:r w:rsidRPr="00A91802">
        <w:rPr>
          <w:rFonts w:ascii="Traditional Arabic" w:hAnsi="Traditional Arabic"/>
          <w:sz w:val="32"/>
          <w:szCs w:val="32"/>
          <w:rtl/>
        </w:rPr>
        <w:t>أخرجه أحمد في مسنده (</w:t>
      </w:r>
      <w:r>
        <w:rPr>
          <w:rFonts w:ascii="Traditional Arabic" w:hAnsi="Traditional Arabic" w:hint="cs"/>
          <w:sz w:val="32"/>
          <w:szCs w:val="32"/>
          <w:rtl/>
        </w:rPr>
        <w:t>31/344</w:t>
      </w:r>
      <w:r w:rsidRPr="00A91802">
        <w:rPr>
          <w:rFonts w:ascii="Traditional Arabic" w:hAnsi="Traditional Arabic"/>
          <w:sz w:val="32"/>
          <w:szCs w:val="32"/>
          <w:rtl/>
        </w:rPr>
        <w:t xml:space="preserve"> </w:t>
      </w:r>
      <w:r>
        <w:rPr>
          <w:rFonts w:ascii="Traditional Arabic" w:hAnsi="Traditional Arabic" w:hint="cs"/>
          <w:sz w:val="32"/>
          <w:szCs w:val="32"/>
          <w:rtl/>
        </w:rPr>
        <w:t>ح19006</w:t>
      </w:r>
      <w:r w:rsidRPr="00A91802">
        <w:rPr>
          <w:rFonts w:ascii="Traditional Arabic" w:hAnsi="Traditional Arabic"/>
          <w:sz w:val="32"/>
          <w:szCs w:val="32"/>
          <w:rtl/>
        </w:rPr>
        <w:t>)،</w:t>
      </w:r>
      <w:r w:rsidRPr="00646903">
        <w:rPr>
          <w:rFonts w:ascii="Traditional Arabic" w:hAnsi="Traditional Arabic"/>
          <w:sz w:val="32"/>
          <w:szCs w:val="32"/>
          <w:rtl/>
        </w:rPr>
        <w:t xml:space="preserve"> والترمذي</w:t>
      </w:r>
      <w:r w:rsidRPr="00D56034">
        <w:rPr>
          <w:rFonts w:ascii="Traditional Arabic" w:hAnsi="Traditional Arabic"/>
          <w:sz w:val="32"/>
          <w:szCs w:val="32"/>
          <w:rtl/>
        </w:rPr>
        <w:t xml:space="preserve"> </w:t>
      </w:r>
      <w:r w:rsidRPr="00C41328">
        <w:rPr>
          <w:rFonts w:ascii="Traditional Arabic" w:hAnsi="Traditional Arabic"/>
          <w:sz w:val="32"/>
          <w:szCs w:val="32"/>
          <w:rtl/>
        </w:rPr>
        <w:t xml:space="preserve">في "جامعه" </w:t>
      </w:r>
      <w:r>
        <w:rPr>
          <w:rFonts w:ascii="Traditional Arabic" w:hAnsi="Traditional Arabic" w:hint="cs"/>
          <w:sz w:val="32"/>
          <w:szCs w:val="32"/>
          <w:rtl/>
        </w:rPr>
        <w:t>(كتاب</w:t>
      </w:r>
      <w:r w:rsidRPr="00D56034">
        <w:rPr>
          <w:rFonts w:ascii="Traditional Arabic" w:hAnsi="Traditional Arabic"/>
          <w:sz w:val="32"/>
          <w:szCs w:val="32"/>
          <w:rtl/>
        </w:rPr>
        <w:t xml:space="preserve"> </w:t>
      </w:r>
      <w:r>
        <w:rPr>
          <w:rFonts w:ascii="Traditional Arabic" w:hAnsi="Traditional Arabic"/>
          <w:sz w:val="32"/>
          <w:szCs w:val="32"/>
          <w:rtl/>
        </w:rPr>
        <w:t>اللباس</w:t>
      </w:r>
      <w:r>
        <w:rPr>
          <w:rFonts w:ascii="Traditional Arabic" w:hAnsi="Traditional Arabic" w:hint="cs"/>
          <w:sz w:val="32"/>
          <w:szCs w:val="32"/>
          <w:rtl/>
        </w:rPr>
        <w:t>,</w:t>
      </w:r>
      <w:r w:rsidRPr="00646903">
        <w:rPr>
          <w:rFonts w:ascii="Traditional Arabic" w:hAnsi="Traditional Arabic"/>
          <w:sz w:val="32"/>
          <w:szCs w:val="32"/>
          <w:rtl/>
        </w:rPr>
        <w:t xml:space="preserve"> باب</w:t>
      </w:r>
      <w:r>
        <w:rPr>
          <w:rFonts w:ascii="Traditional Arabic" w:hAnsi="Traditional Arabic" w:hint="cs"/>
          <w:sz w:val="32"/>
          <w:szCs w:val="32"/>
          <w:rtl/>
        </w:rPr>
        <w:t>:</w:t>
      </w:r>
      <w:r w:rsidRPr="00646903">
        <w:rPr>
          <w:rFonts w:ascii="Traditional Arabic" w:hAnsi="Traditional Arabic"/>
          <w:sz w:val="32"/>
          <w:szCs w:val="32"/>
          <w:rtl/>
        </w:rPr>
        <w:t xml:space="preserve"> ما جاء في شد الأسنان بالذهب</w:t>
      </w:r>
      <w:r>
        <w:rPr>
          <w:rFonts w:ascii="Traditional Arabic" w:hAnsi="Traditional Arabic" w:hint="cs"/>
          <w:sz w:val="32"/>
          <w:szCs w:val="32"/>
          <w:rtl/>
        </w:rPr>
        <w:t xml:space="preserve"> 5/467 ح</w:t>
      </w:r>
      <w:r w:rsidRPr="00646903">
        <w:rPr>
          <w:rFonts w:ascii="Traditional Arabic" w:hAnsi="Traditional Arabic"/>
          <w:sz w:val="32"/>
          <w:szCs w:val="32"/>
          <w:rtl/>
        </w:rPr>
        <w:t>1770)</w:t>
      </w:r>
      <w:r>
        <w:rPr>
          <w:rFonts w:ascii="Traditional Arabic" w:hAnsi="Traditional Arabic" w:hint="cs"/>
          <w:sz w:val="32"/>
          <w:szCs w:val="32"/>
          <w:rtl/>
        </w:rPr>
        <w:t>, وقال: هذا حديث حسن.</w:t>
      </w:r>
      <w:r w:rsidRPr="00646903">
        <w:rPr>
          <w:rFonts w:ascii="Traditional Arabic" w:hAnsi="Traditional Arabic"/>
          <w:sz w:val="32"/>
          <w:szCs w:val="32"/>
          <w:rtl/>
        </w:rPr>
        <w:t xml:space="preserve"> </w:t>
      </w:r>
      <w:r>
        <w:rPr>
          <w:rFonts w:ascii="Traditional Arabic" w:hAnsi="Traditional Arabic" w:hint="cs"/>
          <w:sz w:val="32"/>
          <w:szCs w:val="32"/>
          <w:rtl/>
        </w:rPr>
        <w:t xml:space="preserve">وأخرجه </w:t>
      </w:r>
      <w:r w:rsidRPr="00646903">
        <w:rPr>
          <w:rFonts w:ascii="Traditional Arabic" w:hAnsi="Traditional Arabic"/>
          <w:sz w:val="32"/>
          <w:szCs w:val="32"/>
          <w:rtl/>
        </w:rPr>
        <w:t>أبو داود</w:t>
      </w:r>
      <w:r>
        <w:rPr>
          <w:rFonts w:ascii="Traditional Arabic" w:hAnsi="Traditional Arabic" w:hint="cs"/>
          <w:sz w:val="32"/>
          <w:szCs w:val="32"/>
          <w:rtl/>
        </w:rPr>
        <w:t xml:space="preserve"> في سننه (كتاب </w:t>
      </w:r>
      <w:r>
        <w:rPr>
          <w:rFonts w:ascii="Traditional Arabic" w:hAnsi="Traditional Arabic"/>
          <w:sz w:val="32"/>
          <w:szCs w:val="32"/>
          <w:rtl/>
        </w:rPr>
        <w:t>الخاتم</w:t>
      </w:r>
      <w:r>
        <w:rPr>
          <w:rFonts w:ascii="Traditional Arabic" w:hAnsi="Traditional Arabic" w:hint="cs"/>
          <w:sz w:val="32"/>
          <w:szCs w:val="32"/>
          <w:rtl/>
        </w:rPr>
        <w:t>,</w:t>
      </w:r>
      <w:r w:rsidRPr="00646903">
        <w:rPr>
          <w:rFonts w:ascii="Traditional Arabic" w:hAnsi="Traditional Arabic"/>
          <w:sz w:val="32"/>
          <w:szCs w:val="32"/>
          <w:rtl/>
        </w:rPr>
        <w:t xml:space="preserve"> باب</w:t>
      </w:r>
      <w:r>
        <w:rPr>
          <w:rFonts w:ascii="Traditional Arabic" w:hAnsi="Traditional Arabic" w:hint="cs"/>
          <w:sz w:val="32"/>
          <w:szCs w:val="32"/>
          <w:rtl/>
        </w:rPr>
        <w:t>: ما جاء</w:t>
      </w:r>
      <w:r w:rsidRPr="00646903">
        <w:rPr>
          <w:rFonts w:ascii="Traditional Arabic" w:hAnsi="Traditional Arabic"/>
          <w:sz w:val="32"/>
          <w:szCs w:val="32"/>
          <w:rtl/>
        </w:rPr>
        <w:t xml:space="preserve"> في ربط الأسنان بالذهب </w:t>
      </w:r>
      <w:r>
        <w:rPr>
          <w:rFonts w:ascii="Traditional Arabic" w:hAnsi="Traditional Arabic" w:hint="cs"/>
          <w:sz w:val="32"/>
          <w:szCs w:val="32"/>
          <w:rtl/>
        </w:rPr>
        <w:t>6/250 ح</w:t>
      </w:r>
      <w:r w:rsidRPr="00646903">
        <w:rPr>
          <w:rFonts w:ascii="Traditional Arabic" w:hAnsi="Traditional Arabic"/>
          <w:sz w:val="32"/>
          <w:szCs w:val="32"/>
          <w:rtl/>
        </w:rPr>
        <w:t>4232</w:t>
      </w:r>
      <w:r>
        <w:rPr>
          <w:rFonts w:ascii="Traditional Arabic" w:hAnsi="Traditional Arabic" w:hint="cs"/>
          <w:sz w:val="32"/>
          <w:szCs w:val="32"/>
          <w:rtl/>
        </w:rPr>
        <w:t>, 4233, 4234</w:t>
      </w:r>
      <w:r w:rsidRPr="00646903">
        <w:rPr>
          <w:rFonts w:ascii="Traditional Arabic" w:hAnsi="Traditional Arabic"/>
          <w:sz w:val="32"/>
          <w:szCs w:val="32"/>
          <w:rtl/>
        </w:rPr>
        <w:t>)</w:t>
      </w:r>
      <w:r>
        <w:rPr>
          <w:rFonts w:ascii="Traditional Arabic" w:hAnsi="Traditional Arabic" w:hint="cs"/>
          <w:sz w:val="32"/>
          <w:szCs w:val="32"/>
          <w:rtl/>
        </w:rPr>
        <w:t>,</w:t>
      </w:r>
      <w:r w:rsidRPr="00646903">
        <w:rPr>
          <w:rFonts w:ascii="Traditional Arabic" w:hAnsi="Traditional Arabic"/>
          <w:sz w:val="32"/>
          <w:szCs w:val="32"/>
          <w:rtl/>
        </w:rPr>
        <w:t xml:space="preserve"> والنسائي</w:t>
      </w:r>
      <w:r>
        <w:rPr>
          <w:rFonts w:ascii="Traditional Arabic" w:hAnsi="Traditional Arabic" w:hint="cs"/>
          <w:sz w:val="32"/>
          <w:szCs w:val="32"/>
          <w:rtl/>
        </w:rPr>
        <w:t xml:space="preserve"> في الصغرى (كتاب</w:t>
      </w:r>
      <w:r>
        <w:rPr>
          <w:rFonts w:ascii="Traditional Arabic" w:hAnsi="Traditional Arabic"/>
          <w:sz w:val="32"/>
          <w:szCs w:val="32"/>
          <w:rtl/>
        </w:rPr>
        <w:t xml:space="preserve"> الزينة</w:t>
      </w:r>
      <w:r>
        <w:rPr>
          <w:rFonts w:ascii="Traditional Arabic" w:hAnsi="Traditional Arabic" w:hint="cs"/>
          <w:sz w:val="32"/>
          <w:szCs w:val="32"/>
          <w:rtl/>
        </w:rPr>
        <w:t>,</w:t>
      </w:r>
      <w:r w:rsidRPr="00646903">
        <w:rPr>
          <w:rFonts w:ascii="Traditional Arabic" w:hAnsi="Traditional Arabic"/>
          <w:sz w:val="32"/>
          <w:szCs w:val="32"/>
          <w:rtl/>
        </w:rPr>
        <w:t xml:space="preserve"> باب</w:t>
      </w:r>
      <w:r>
        <w:rPr>
          <w:rFonts w:ascii="Traditional Arabic" w:hAnsi="Traditional Arabic" w:hint="cs"/>
          <w:sz w:val="32"/>
          <w:szCs w:val="32"/>
          <w:rtl/>
        </w:rPr>
        <w:t>:</w:t>
      </w:r>
      <w:r w:rsidRPr="00646903">
        <w:rPr>
          <w:rFonts w:ascii="Traditional Arabic" w:hAnsi="Traditional Arabic"/>
          <w:sz w:val="32"/>
          <w:szCs w:val="32"/>
          <w:rtl/>
        </w:rPr>
        <w:t xml:space="preserve"> من أصيب أنفه</w:t>
      </w:r>
      <w:r>
        <w:rPr>
          <w:rFonts w:ascii="Traditional Arabic" w:hAnsi="Traditional Arabic" w:hint="cs"/>
          <w:sz w:val="32"/>
          <w:szCs w:val="32"/>
          <w:rtl/>
        </w:rPr>
        <w:t>,</w:t>
      </w:r>
      <w:r w:rsidRPr="00646903">
        <w:rPr>
          <w:rFonts w:ascii="Traditional Arabic" w:hAnsi="Traditional Arabic"/>
          <w:sz w:val="32"/>
          <w:szCs w:val="32"/>
          <w:rtl/>
        </w:rPr>
        <w:t xml:space="preserve"> هل يتخذ أنفا من ذهب</w:t>
      </w:r>
      <w:r>
        <w:rPr>
          <w:rFonts w:ascii="Traditional Arabic" w:hAnsi="Traditional Arabic" w:hint="cs"/>
          <w:sz w:val="32"/>
          <w:szCs w:val="32"/>
          <w:rtl/>
        </w:rPr>
        <w:t xml:space="preserve">؟ </w:t>
      </w:r>
      <w:r w:rsidRPr="00646903">
        <w:rPr>
          <w:rFonts w:ascii="Traditional Arabic" w:hAnsi="Traditional Arabic"/>
          <w:sz w:val="32"/>
          <w:szCs w:val="32"/>
          <w:rtl/>
        </w:rPr>
        <w:t xml:space="preserve"> </w:t>
      </w:r>
      <w:r>
        <w:rPr>
          <w:rFonts w:ascii="Traditional Arabic" w:hAnsi="Traditional Arabic" w:hint="cs"/>
          <w:sz w:val="32"/>
          <w:szCs w:val="32"/>
          <w:rtl/>
        </w:rPr>
        <w:t>8/164 ح5176, 5177), والكبرى (كتاب</w:t>
      </w:r>
      <w:r>
        <w:rPr>
          <w:rFonts w:ascii="Traditional Arabic" w:hAnsi="Traditional Arabic"/>
          <w:sz w:val="32"/>
          <w:szCs w:val="32"/>
          <w:rtl/>
        </w:rPr>
        <w:t xml:space="preserve"> الزينة</w:t>
      </w:r>
      <w:r>
        <w:rPr>
          <w:rFonts w:ascii="Traditional Arabic" w:hAnsi="Traditional Arabic" w:hint="cs"/>
          <w:sz w:val="32"/>
          <w:szCs w:val="32"/>
          <w:rtl/>
        </w:rPr>
        <w:t>,</w:t>
      </w:r>
      <w:r w:rsidRPr="00646903">
        <w:rPr>
          <w:rFonts w:ascii="Traditional Arabic" w:hAnsi="Traditional Arabic"/>
          <w:sz w:val="32"/>
          <w:szCs w:val="32"/>
          <w:rtl/>
        </w:rPr>
        <w:t xml:space="preserve"> </w:t>
      </w:r>
      <w:r w:rsidRPr="0037389E">
        <w:rPr>
          <w:rFonts w:ascii="Traditional Arabic" w:hAnsi="Traditional Arabic"/>
          <w:sz w:val="32"/>
          <w:szCs w:val="32"/>
          <w:rtl/>
        </w:rPr>
        <w:t xml:space="preserve">باب: من أصيب أنفه, هل يتخذ أنفا من ذهب؟  9/411 ح9597, 9598), وغيرهم. </w:t>
      </w:r>
    </w:p>
  </w:footnote>
  <w:footnote w:id="1066">
    <w:p w:rsidR="003F128F" w:rsidRPr="0037389E" w:rsidRDefault="003F128F" w:rsidP="0037389E">
      <w:pPr>
        <w:pStyle w:val="af3"/>
        <w:rPr>
          <w:rFonts w:ascii="Traditional Arabic" w:hAnsi="Traditional Arabic"/>
          <w:sz w:val="32"/>
          <w:szCs w:val="32"/>
        </w:rPr>
      </w:pPr>
      <w:r w:rsidRPr="0037389E">
        <w:rPr>
          <w:rFonts w:ascii="Traditional Arabic" w:hAnsi="Traditional Arabic"/>
          <w:sz w:val="32"/>
          <w:szCs w:val="32"/>
          <w:rtl/>
        </w:rPr>
        <w:t>(</w:t>
      </w:r>
      <w:r w:rsidRPr="0037389E">
        <w:rPr>
          <w:rStyle w:val="ae"/>
          <w:rFonts w:ascii="Traditional Arabic" w:hAnsi="Traditional Arabic"/>
          <w:sz w:val="32"/>
          <w:szCs w:val="32"/>
          <w:vertAlign w:val="baseline"/>
        </w:rPr>
        <w:footnoteRef/>
      </w:r>
      <w:r w:rsidRPr="0037389E">
        <w:rPr>
          <w:rFonts w:ascii="Traditional Arabic" w:hAnsi="Traditional Arabic"/>
          <w:sz w:val="32"/>
          <w:szCs w:val="32"/>
          <w:rtl/>
        </w:rPr>
        <w:t>) طرسوس: مدينة بثغور الشام بين أنطاكية وحلب وبلاد الروم. انظر: معجم البلدان (4/28).</w:t>
      </w:r>
    </w:p>
  </w:footnote>
  <w:footnote w:id="1067">
    <w:p w:rsidR="003F128F" w:rsidRPr="00AF4DF4" w:rsidRDefault="003F128F" w:rsidP="00F16D3A">
      <w:pPr>
        <w:pStyle w:val="af3"/>
        <w:rPr>
          <w:rFonts w:ascii="Traditional Arabic" w:hAnsi="Traditional Arabic"/>
          <w:sz w:val="32"/>
          <w:szCs w:val="32"/>
        </w:rPr>
      </w:pPr>
      <w:r w:rsidRPr="0037389E">
        <w:rPr>
          <w:rFonts w:ascii="Traditional Arabic" w:hAnsi="Traditional Arabic"/>
          <w:sz w:val="32"/>
          <w:szCs w:val="32"/>
          <w:rtl/>
        </w:rPr>
        <w:t>(</w:t>
      </w:r>
      <w:r w:rsidRPr="0037389E">
        <w:rPr>
          <w:rStyle w:val="ae"/>
          <w:rFonts w:ascii="Traditional Arabic" w:hAnsi="Traditional Arabic"/>
          <w:sz w:val="32"/>
          <w:szCs w:val="32"/>
          <w:vertAlign w:val="baseline"/>
        </w:rPr>
        <w:footnoteRef/>
      </w:r>
      <w:r w:rsidRPr="0037389E">
        <w:rPr>
          <w:rFonts w:ascii="Traditional Arabic" w:hAnsi="Traditional Arabic"/>
          <w:sz w:val="32"/>
          <w:szCs w:val="32"/>
          <w:rtl/>
        </w:rPr>
        <w:t>) انظر: التفسير الوسيط (3/141), معالم التنزيل (5/160).</w:t>
      </w:r>
      <w:r w:rsidRPr="0037389E">
        <w:rPr>
          <w:rFonts w:ascii="Traditional Arabic" w:hAnsi="Traditional Arabic"/>
          <w:sz w:val="32"/>
          <w:szCs w:val="32"/>
          <w:rtl/>
          <w:lang w:eastAsia="en-US"/>
        </w:rPr>
        <w:t xml:space="preserve"> </w:t>
      </w:r>
    </w:p>
  </w:footnote>
  <w:footnote w:id="1068">
    <w:p w:rsidR="003F128F" w:rsidRPr="009D2D70" w:rsidRDefault="003F128F" w:rsidP="005C21CD">
      <w:pPr>
        <w:pStyle w:val="af3"/>
        <w:rPr>
          <w:rFonts w:ascii="Traditional Arabic" w:hAnsi="Traditional Arabic"/>
          <w:sz w:val="32"/>
          <w:szCs w:val="32"/>
        </w:rPr>
      </w:pPr>
      <w:r w:rsidRPr="009D2D70">
        <w:rPr>
          <w:rFonts w:ascii="Traditional Arabic" w:hAnsi="Traditional Arabic"/>
          <w:sz w:val="32"/>
          <w:szCs w:val="32"/>
          <w:rtl/>
        </w:rPr>
        <w:t>(</w:t>
      </w:r>
      <w:r w:rsidRPr="009D2D70">
        <w:rPr>
          <w:rStyle w:val="ae"/>
          <w:rFonts w:ascii="Traditional Arabic" w:hAnsi="Traditional Arabic"/>
          <w:sz w:val="32"/>
          <w:szCs w:val="32"/>
          <w:vertAlign w:val="baseline"/>
        </w:rPr>
        <w:footnoteRef/>
      </w:r>
      <w:r w:rsidRPr="009D2D70">
        <w:rPr>
          <w:rFonts w:ascii="Traditional Arabic" w:hAnsi="Traditional Arabic"/>
          <w:sz w:val="32"/>
          <w:szCs w:val="32"/>
          <w:rtl/>
        </w:rPr>
        <w:t xml:space="preserve">) معاني القرآن وإعرابه (3/275).   </w:t>
      </w:r>
    </w:p>
  </w:footnote>
  <w:footnote w:id="1069">
    <w:p w:rsidR="003F128F" w:rsidRPr="009D2D70" w:rsidRDefault="003F128F" w:rsidP="005C21CD">
      <w:pPr>
        <w:pStyle w:val="af3"/>
        <w:rPr>
          <w:rFonts w:ascii="Traditional Arabic" w:hAnsi="Traditional Arabic"/>
          <w:sz w:val="32"/>
          <w:szCs w:val="32"/>
        </w:rPr>
      </w:pPr>
      <w:r w:rsidRPr="009D2D70">
        <w:rPr>
          <w:rFonts w:ascii="Traditional Arabic" w:hAnsi="Traditional Arabic"/>
          <w:sz w:val="32"/>
          <w:szCs w:val="32"/>
          <w:rtl/>
        </w:rPr>
        <w:t>(</w:t>
      </w:r>
      <w:r w:rsidRPr="009D2D70">
        <w:rPr>
          <w:rStyle w:val="ae"/>
          <w:rFonts w:ascii="Traditional Arabic" w:hAnsi="Traditional Arabic"/>
          <w:sz w:val="32"/>
          <w:szCs w:val="32"/>
          <w:vertAlign w:val="baseline"/>
        </w:rPr>
        <w:footnoteRef/>
      </w:r>
      <w:r w:rsidRPr="009D2D70">
        <w:rPr>
          <w:rFonts w:ascii="Traditional Arabic" w:hAnsi="Traditional Arabic"/>
          <w:sz w:val="32"/>
          <w:szCs w:val="32"/>
          <w:rtl/>
        </w:rPr>
        <w:t>) بحر العلوم (2/342), الكشف والبيان (6/161),</w:t>
      </w:r>
    </w:p>
  </w:footnote>
  <w:footnote w:id="1070">
    <w:p w:rsidR="003F128F" w:rsidRPr="009D2D70" w:rsidRDefault="003F128F" w:rsidP="005C21CD">
      <w:pPr>
        <w:pStyle w:val="af3"/>
        <w:rPr>
          <w:rFonts w:ascii="Traditional Arabic" w:hAnsi="Traditional Arabic"/>
          <w:sz w:val="32"/>
          <w:szCs w:val="32"/>
        </w:rPr>
      </w:pPr>
      <w:r w:rsidRPr="009D2D70">
        <w:rPr>
          <w:rFonts w:ascii="Traditional Arabic" w:hAnsi="Traditional Arabic"/>
          <w:sz w:val="32"/>
          <w:szCs w:val="32"/>
          <w:rtl/>
        </w:rPr>
        <w:t>(</w:t>
      </w:r>
      <w:r w:rsidRPr="009D2D70">
        <w:rPr>
          <w:rStyle w:val="ae"/>
          <w:rFonts w:ascii="Traditional Arabic" w:hAnsi="Traditional Arabic"/>
          <w:sz w:val="32"/>
          <w:szCs w:val="32"/>
          <w:vertAlign w:val="baseline"/>
        </w:rPr>
        <w:footnoteRef/>
      </w:r>
      <w:r>
        <w:rPr>
          <w:rFonts w:ascii="Traditional Arabic" w:hAnsi="Traditional Arabic"/>
          <w:sz w:val="32"/>
          <w:szCs w:val="32"/>
          <w:rtl/>
        </w:rPr>
        <w:t>) انظر: التفسير الوسيط (3/141)</w:t>
      </w:r>
      <w:r>
        <w:rPr>
          <w:rFonts w:ascii="Traditional Arabic" w:hAnsi="Traditional Arabic" w:hint="cs"/>
          <w:sz w:val="32"/>
          <w:szCs w:val="32"/>
          <w:rtl/>
        </w:rPr>
        <w:t>.</w:t>
      </w:r>
    </w:p>
  </w:footnote>
  <w:footnote w:id="1071">
    <w:p w:rsidR="003F128F" w:rsidRPr="009D2D70" w:rsidRDefault="003F128F" w:rsidP="00032CCE">
      <w:pPr>
        <w:pStyle w:val="af3"/>
        <w:rPr>
          <w:rFonts w:ascii="Traditional Arabic" w:hAnsi="Traditional Arabic"/>
          <w:sz w:val="32"/>
          <w:szCs w:val="32"/>
        </w:rPr>
      </w:pPr>
      <w:r w:rsidRPr="009D2D70">
        <w:rPr>
          <w:rFonts w:ascii="Traditional Arabic" w:hAnsi="Traditional Arabic"/>
          <w:sz w:val="32"/>
          <w:szCs w:val="32"/>
          <w:rtl/>
        </w:rPr>
        <w:t>(</w:t>
      </w:r>
      <w:r w:rsidRPr="009D2D70">
        <w:rPr>
          <w:rStyle w:val="ae"/>
          <w:rFonts w:ascii="Traditional Arabic" w:hAnsi="Traditional Arabic"/>
          <w:sz w:val="32"/>
          <w:szCs w:val="32"/>
          <w:vertAlign w:val="baseline"/>
        </w:rPr>
        <w:footnoteRef/>
      </w:r>
      <w:r w:rsidRPr="009D2D70">
        <w:rPr>
          <w:rFonts w:ascii="Traditional Arabic" w:hAnsi="Traditional Arabic"/>
          <w:sz w:val="32"/>
          <w:szCs w:val="32"/>
          <w:rtl/>
        </w:rPr>
        <w:t>) تفسير يحيى بن سلام (1/</w:t>
      </w:r>
      <w:r>
        <w:rPr>
          <w:rFonts w:ascii="Traditional Arabic" w:hAnsi="Traditional Arabic"/>
          <w:sz w:val="32"/>
          <w:szCs w:val="32"/>
          <w:rtl/>
        </w:rPr>
        <w:t>175), تفسير عبد الرزاق (2/329)</w:t>
      </w:r>
      <w:r>
        <w:rPr>
          <w:rFonts w:ascii="Traditional Arabic" w:hAnsi="Traditional Arabic" w:hint="cs"/>
          <w:sz w:val="32"/>
          <w:szCs w:val="32"/>
          <w:rtl/>
        </w:rPr>
        <w:t>.</w:t>
      </w:r>
    </w:p>
  </w:footnote>
  <w:footnote w:id="1072">
    <w:p w:rsidR="003F128F" w:rsidRPr="009D2D70" w:rsidRDefault="003F128F" w:rsidP="005C21CD">
      <w:pPr>
        <w:pStyle w:val="af3"/>
        <w:rPr>
          <w:rFonts w:ascii="Traditional Arabic" w:hAnsi="Traditional Arabic"/>
          <w:sz w:val="32"/>
          <w:szCs w:val="32"/>
        </w:rPr>
      </w:pPr>
      <w:r w:rsidRPr="009D2D70">
        <w:rPr>
          <w:rFonts w:ascii="Traditional Arabic" w:hAnsi="Traditional Arabic"/>
          <w:sz w:val="32"/>
          <w:szCs w:val="32"/>
          <w:rtl/>
        </w:rPr>
        <w:t>(</w:t>
      </w:r>
      <w:r w:rsidRPr="009D2D70">
        <w:rPr>
          <w:rStyle w:val="ae"/>
          <w:rFonts w:ascii="Traditional Arabic" w:hAnsi="Traditional Arabic"/>
          <w:sz w:val="32"/>
          <w:szCs w:val="32"/>
          <w:vertAlign w:val="baseline"/>
        </w:rPr>
        <w:footnoteRef/>
      </w:r>
      <w:r w:rsidRPr="009D2D70">
        <w:rPr>
          <w:rFonts w:ascii="Traditional Arabic" w:hAnsi="Traditional Arabic"/>
          <w:sz w:val="32"/>
          <w:szCs w:val="32"/>
          <w:rtl/>
        </w:rPr>
        <w:t xml:space="preserve">) البحر المحيط (7/156), رموز الكنوز (4/261). </w:t>
      </w:r>
    </w:p>
  </w:footnote>
  <w:footnote w:id="1073">
    <w:p w:rsidR="003F128F" w:rsidRPr="009D2D70" w:rsidRDefault="003F128F" w:rsidP="005C21CD">
      <w:pPr>
        <w:pStyle w:val="af3"/>
        <w:rPr>
          <w:rFonts w:ascii="Traditional Arabic" w:hAnsi="Traditional Arabic"/>
          <w:sz w:val="32"/>
          <w:szCs w:val="32"/>
        </w:rPr>
      </w:pPr>
      <w:r w:rsidRPr="009D2D70">
        <w:rPr>
          <w:rFonts w:ascii="Traditional Arabic" w:hAnsi="Traditional Arabic"/>
          <w:sz w:val="32"/>
          <w:szCs w:val="32"/>
          <w:rtl/>
        </w:rPr>
        <w:t>(</w:t>
      </w:r>
      <w:r w:rsidRPr="009D2D70">
        <w:rPr>
          <w:rStyle w:val="ae"/>
          <w:rFonts w:ascii="Traditional Arabic" w:hAnsi="Traditional Arabic"/>
          <w:sz w:val="32"/>
          <w:szCs w:val="32"/>
          <w:vertAlign w:val="baseline"/>
        </w:rPr>
        <w:footnoteRef/>
      </w:r>
      <w:r w:rsidRPr="009D2D70">
        <w:rPr>
          <w:rFonts w:ascii="Traditional Arabic" w:hAnsi="Traditional Arabic"/>
          <w:sz w:val="32"/>
          <w:szCs w:val="32"/>
          <w:rtl/>
        </w:rPr>
        <w:t>) التفسير الوسيط (3/141)</w:t>
      </w:r>
      <w:r>
        <w:rPr>
          <w:rFonts w:ascii="Traditional Arabic" w:hAnsi="Traditional Arabic" w:hint="cs"/>
          <w:sz w:val="32"/>
          <w:szCs w:val="32"/>
          <w:rtl/>
        </w:rPr>
        <w:t xml:space="preserve">, التفسير البسيط </w:t>
      </w:r>
      <w:r w:rsidRPr="00017841">
        <w:rPr>
          <w:rFonts w:ascii="Traditional Arabic" w:hAnsi="Traditional Arabic"/>
          <w:sz w:val="32"/>
          <w:szCs w:val="32"/>
          <w:rtl/>
        </w:rPr>
        <w:t>(13/56</w:t>
      </w:r>
      <w:r>
        <w:rPr>
          <w:rFonts w:ascii="Traditional Arabic" w:hAnsi="Traditional Arabic" w:hint="cs"/>
          <w:sz w:val="32"/>
          <w:szCs w:val="32"/>
          <w:rtl/>
        </w:rPr>
        <w:t>8</w:t>
      </w:r>
      <w:r>
        <w:rPr>
          <w:rFonts w:ascii="Traditional Arabic" w:hAnsi="Traditional Arabic"/>
          <w:sz w:val="32"/>
          <w:szCs w:val="32"/>
          <w:rtl/>
        </w:rPr>
        <w:t>)</w:t>
      </w:r>
      <w:r>
        <w:rPr>
          <w:rFonts w:ascii="Traditional Arabic" w:hAnsi="Traditional Arabic" w:hint="cs"/>
          <w:sz w:val="32"/>
          <w:szCs w:val="32"/>
          <w:rtl/>
        </w:rPr>
        <w:t>.</w:t>
      </w:r>
    </w:p>
  </w:footnote>
  <w:footnote w:id="1074">
    <w:p w:rsidR="003F128F" w:rsidRPr="009D2D70" w:rsidRDefault="003F128F" w:rsidP="005C21CD">
      <w:pPr>
        <w:pStyle w:val="af3"/>
        <w:rPr>
          <w:rFonts w:ascii="Traditional Arabic" w:hAnsi="Traditional Arabic"/>
          <w:sz w:val="32"/>
          <w:szCs w:val="32"/>
        </w:rPr>
      </w:pPr>
      <w:r w:rsidRPr="009D2D70">
        <w:rPr>
          <w:rFonts w:ascii="Traditional Arabic" w:hAnsi="Traditional Arabic"/>
          <w:sz w:val="32"/>
          <w:szCs w:val="32"/>
          <w:rtl/>
        </w:rPr>
        <w:t>(</w:t>
      </w:r>
      <w:r w:rsidRPr="009D2D70">
        <w:rPr>
          <w:rStyle w:val="ae"/>
          <w:rFonts w:ascii="Traditional Arabic" w:hAnsi="Traditional Arabic"/>
          <w:sz w:val="32"/>
          <w:szCs w:val="32"/>
          <w:vertAlign w:val="baseline"/>
        </w:rPr>
        <w:footnoteRef/>
      </w:r>
      <w:r w:rsidRPr="009D2D70">
        <w:rPr>
          <w:rFonts w:ascii="Traditional Arabic" w:hAnsi="Traditional Arabic"/>
          <w:sz w:val="32"/>
          <w:szCs w:val="32"/>
          <w:rtl/>
        </w:rPr>
        <w:t xml:space="preserve">) تفسير عبد الرزاق (2/329), تفسير الطبري (17/637). </w:t>
      </w:r>
    </w:p>
  </w:footnote>
  <w:footnote w:id="1075">
    <w:p w:rsidR="003F128F" w:rsidRPr="009D2D70" w:rsidRDefault="003F128F" w:rsidP="005C21CD">
      <w:pPr>
        <w:pStyle w:val="af3"/>
        <w:rPr>
          <w:rFonts w:ascii="Traditional Arabic" w:hAnsi="Traditional Arabic"/>
          <w:sz w:val="32"/>
          <w:szCs w:val="32"/>
        </w:rPr>
      </w:pPr>
      <w:r w:rsidRPr="009D2D70">
        <w:rPr>
          <w:rFonts w:ascii="Traditional Arabic" w:hAnsi="Traditional Arabic"/>
          <w:sz w:val="32"/>
          <w:szCs w:val="32"/>
          <w:rtl/>
        </w:rPr>
        <w:t>(</w:t>
      </w:r>
      <w:r w:rsidRPr="009D2D70">
        <w:rPr>
          <w:rStyle w:val="ae"/>
          <w:rFonts w:ascii="Traditional Arabic" w:hAnsi="Traditional Arabic"/>
          <w:sz w:val="32"/>
          <w:szCs w:val="32"/>
          <w:vertAlign w:val="baseline"/>
        </w:rPr>
        <w:footnoteRef/>
      </w:r>
      <w:r w:rsidRPr="009D2D70">
        <w:rPr>
          <w:rFonts w:ascii="Traditional Arabic" w:hAnsi="Traditional Arabic"/>
          <w:sz w:val="32"/>
          <w:szCs w:val="32"/>
          <w:rtl/>
        </w:rPr>
        <w:t>) تفسير عبد الرزاق (2/328), تفسير الطبري (17/638).</w:t>
      </w:r>
    </w:p>
  </w:footnote>
  <w:footnote w:id="1076">
    <w:p w:rsidR="003F128F" w:rsidRPr="009D2D70" w:rsidRDefault="003F128F" w:rsidP="005C21CD">
      <w:pPr>
        <w:pStyle w:val="af3"/>
        <w:rPr>
          <w:rFonts w:ascii="Traditional Arabic" w:hAnsi="Traditional Arabic"/>
          <w:sz w:val="32"/>
          <w:szCs w:val="32"/>
        </w:rPr>
      </w:pPr>
      <w:r w:rsidRPr="009D2D70">
        <w:rPr>
          <w:rFonts w:ascii="Traditional Arabic" w:hAnsi="Traditional Arabic"/>
          <w:sz w:val="32"/>
          <w:szCs w:val="32"/>
          <w:rtl/>
        </w:rPr>
        <w:t>(</w:t>
      </w:r>
      <w:r w:rsidRPr="009D2D70">
        <w:rPr>
          <w:rStyle w:val="ae"/>
          <w:rFonts w:ascii="Traditional Arabic" w:hAnsi="Traditional Arabic"/>
          <w:sz w:val="32"/>
          <w:szCs w:val="32"/>
          <w:vertAlign w:val="baseline"/>
        </w:rPr>
        <w:footnoteRef/>
      </w:r>
      <w:r w:rsidRPr="009D2D70">
        <w:rPr>
          <w:rFonts w:ascii="Traditional Arabic" w:hAnsi="Traditional Arabic"/>
          <w:sz w:val="32"/>
          <w:szCs w:val="32"/>
          <w:rtl/>
        </w:rPr>
        <w:t>) النكت والعيون (3/294).</w:t>
      </w:r>
    </w:p>
  </w:footnote>
  <w:footnote w:id="1077">
    <w:p w:rsidR="003F128F" w:rsidRPr="009D2D70" w:rsidRDefault="003F128F" w:rsidP="005C21CD">
      <w:pPr>
        <w:pStyle w:val="af3"/>
        <w:rPr>
          <w:rFonts w:ascii="Traditional Arabic" w:hAnsi="Traditional Arabic"/>
          <w:sz w:val="32"/>
          <w:szCs w:val="32"/>
        </w:rPr>
      </w:pPr>
      <w:r w:rsidRPr="009D2D70">
        <w:rPr>
          <w:rFonts w:ascii="Traditional Arabic" w:hAnsi="Traditional Arabic"/>
          <w:sz w:val="32"/>
          <w:szCs w:val="32"/>
          <w:rtl/>
        </w:rPr>
        <w:t>(</w:t>
      </w:r>
      <w:r w:rsidRPr="009D2D70">
        <w:rPr>
          <w:rStyle w:val="ae"/>
          <w:rFonts w:ascii="Traditional Arabic" w:hAnsi="Traditional Arabic"/>
          <w:sz w:val="32"/>
          <w:szCs w:val="32"/>
          <w:vertAlign w:val="baseline"/>
        </w:rPr>
        <w:footnoteRef/>
      </w:r>
      <w:r w:rsidRPr="009D2D70">
        <w:rPr>
          <w:rFonts w:ascii="Traditional Arabic" w:hAnsi="Traditional Arabic"/>
          <w:sz w:val="32"/>
          <w:szCs w:val="32"/>
          <w:rtl/>
        </w:rPr>
        <w:t>) تفسير مقاتل (2/579).</w:t>
      </w:r>
    </w:p>
  </w:footnote>
  <w:footnote w:id="1078">
    <w:p w:rsidR="003F128F" w:rsidRPr="009D2D70" w:rsidRDefault="003F128F" w:rsidP="005C21CD">
      <w:pPr>
        <w:pStyle w:val="af3"/>
        <w:rPr>
          <w:rFonts w:ascii="Traditional Arabic" w:hAnsi="Traditional Arabic"/>
          <w:sz w:val="32"/>
          <w:szCs w:val="32"/>
        </w:rPr>
      </w:pPr>
      <w:r w:rsidRPr="009D2D70">
        <w:rPr>
          <w:rFonts w:ascii="Traditional Arabic" w:hAnsi="Traditional Arabic"/>
          <w:sz w:val="32"/>
          <w:szCs w:val="32"/>
          <w:rtl/>
        </w:rPr>
        <w:t>(</w:t>
      </w:r>
      <w:r w:rsidRPr="009D2D70">
        <w:rPr>
          <w:rStyle w:val="ae"/>
          <w:rFonts w:ascii="Traditional Arabic" w:hAnsi="Traditional Arabic"/>
          <w:sz w:val="32"/>
          <w:szCs w:val="32"/>
          <w:vertAlign w:val="baseline"/>
        </w:rPr>
        <w:footnoteRef/>
      </w:r>
      <w:r w:rsidRPr="009D2D70">
        <w:rPr>
          <w:rFonts w:ascii="Traditional Arabic" w:hAnsi="Traditional Arabic"/>
          <w:sz w:val="32"/>
          <w:szCs w:val="32"/>
          <w:rtl/>
        </w:rPr>
        <w:t>) الكشف والبيان (6/161).</w:t>
      </w:r>
    </w:p>
  </w:footnote>
  <w:footnote w:id="1079">
    <w:p w:rsidR="003F128F" w:rsidRPr="009D2D70" w:rsidRDefault="003F128F" w:rsidP="00E67848">
      <w:pPr>
        <w:pStyle w:val="af3"/>
        <w:rPr>
          <w:rFonts w:ascii="Traditional Arabic" w:hAnsi="Traditional Arabic"/>
          <w:sz w:val="32"/>
          <w:szCs w:val="32"/>
        </w:rPr>
      </w:pPr>
      <w:r w:rsidRPr="009D2D70">
        <w:rPr>
          <w:rFonts w:ascii="Traditional Arabic" w:hAnsi="Traditional Arabic"/>
          <w:sz w:val="32"/>
          <w:szCs w:val="32"/>
          <w:rtl/>
        </w:rPr>
        <w:t>(</w:t>
      </w:r>
      <w:r w:rsidRPr="009D2D70">
        <w:rPr>
          <w:rStyle w:val="ae"/>
          <w:rFonts w:ascii="Traditional Arabic" w:hAnsi="Traditional Arabic"/>
          <w:sz w:val="32"/>
          <w:szCs w:val="32"/>
          <w:vertAlign w:val="baseline"/>
        </w:rPr>
        <w:footnoteRef/>
      </w:r>
      <w:r w:rsidRPr="009D2D70">
        <w:rPr>
          <w:rFonts w:ascii="Traditional Arabic" w:hAnsi="Traditional Arabic"/>
          <w:sz w:val="32"/>
          <w:szCs w:val="32"/>
          <w:rtl/>
        </w:rPr>
        <w:t>)</w:t>
      </w:r>
      <w:r w:rsidRPr="009D2D70">
        <w:rPr>
          <w:rFonts w:ascii="Traditional Arabic" w:hAnsi="Traditional Arabic"/>
          <w:sz w:val="32"/>
          <w:szCs w:val="32"/>
          <w:rtl/>
          <w:lang w:eastAsia="en-US"/>
        </w:rPr>
        <w:t xml:space="preserve"> </w:t>
      </w:r>
      <w:r w:rsidRPr="009D2D70">
        <w:rPr>
          <w:rFonts w:ascii="Traditional Arabic" w:hAnsi="Traditional Arabic"/>
          <w:sz w:val="32"/>
          <w:szCs w:val="32"/>
          <w:rtl/>
        </w:rPr>
        <w:t>غريب القرآن (</w:t>
      </w:r>
      <w:r>
        <w:rPr>
          <w:rFonts w:ascii="Traditional Arabic" w:hAnsi="Traditional Arabic" w:hint="cs"/>
          <w:sz w:val="32"/>
          <w:szCs w:val="32"/>
          <w:rtl/>
        </w:rPr>
        <w:t>ص265</w:t>
      </w:r>
      <w:r w:rsidRPr="009D2D70">
        <w:rPr>
          <w:rFonts w:ascii="Traditional Arabic" w:hAnsi="Traditional Arabic"/>
          <w:sz w:val="32"/>
          <w:szCs w:val="32"/>
          <w:rtl/>
        </w:rPr>
        <w:t>)</w:t>
      </w:r>
      <w:r w:rsidRPr="009D2D70">
        <w:rPr>
          <w:rFonts w:ascii="Traditional Arabic" w:hAnsi="Traditional Arabic"/>
          <w:sz w:val="32"/>
          <w:szCs w:val="32"/>
          <w:rtl/>
          <w:lang w:eastAsia="en-US"/>
        </w:rPr>
        <w:t>.</w:t>
      </w:r>
      <w:r w:rsidRPr="009D2D70">
        <w:rPr>
          <w:rFonts w:ascii="Traditional Arabic" w:hAnsi="Traditional Arabic"/>
          <w:sz w:val="32"/>
          <w:szCs w:val="32"/>
          <w:rtl/>
        </w:rPr>
        <w:t xml:space="preserve">  </w:t>
      </w:r>
    </w:p>
  </w:footnote>
  <w:footnote w:id="1080">
    <w:p w:rsidR="003F128F" w:rsidRPr="00EF2C08" w:rsidRDefault="003F128F" w:rsidP="005C21CD">
      <w:pPr>
        <w:pStyle w:val="af3"/>
        <w:rPr>
          <w:rFonts w:ascii="Traditional Arabic" w:hAnsi="Traditional Arabic"/>
          <w:sz w:val="32"/>
          <w:szCs w:val="32"/>
        </w:rPr>
      </w:pPr>
      <w:r w:rsidRPr="00EF2C08">
        <w:rPr>
          <w:rFonts w:ascii="Traditional Arabic" w:hAnsi="Traditional Arabic"/>
          <w:sz w:val="32"/>
          <w:szCs w:val="32"/>
          <w:rtl/>
        </w:rPr>
        <w:t>(</w:t>
      </w:r>
      <w:r w:rsidRPr="00EF2C08">
        <w:rPr>
          <w:rStyle w:val="ae"/>
          <w:rFonts w:ascii="Traditional Arabic" w:hAnsi="Traditional Arabic"/>
          <w:sz w:val="32"/>
          <w:szCs w:val="32"/>
          <w:vertAlign w:val="baseline"/>
        </w:rPr>
        <w:footnoteRef/>
      </w:r>
      <w:r>
        <w:rPr>
          <w:rFonts w:ascii="Traditional Arabic" w:hAnsi="Traditional Arabic"/>
          <w:sz w:val="32"/>
          <w:szCs w:val="32"/>
          <w:rtl/>
        </w:rPr>
        <w:t>) في (</w:t>
      </w:r>
      <w:r>
        <w:rPr>
          <w:rFonts w:ascii="Traditional Arabic" w:hAnsi="Traditional Arabic" w:hint="cs"/>
          <w:sz w:val="32"/>
          <w:szCs w:val="32"/>
          <w:rtl/>
        </w:rPr>
        <w:t>ك</w:t>
      </w:r>
      <w:r>
        <w:rPr>
          <w:rFonts w:ascii="Traditional Arabic" w:hAnsi="Traditional Arabic"/>
          <w:sz w:val="32"/>
          <w:szCs w:val="32"/>
          <w:rtl/>
        </w:rPr>
        <w:t xml:space="preserve">): </w:t>
      </w:r>
      <w:r>
        <w:rPr>
          <w:rFonts w:ascii="Traditional Arabic" w:hAnsi="Traditional Arabic" w:hint="cs"/>
          <w:sz w:val="32"/>
          <w:szCs w:val="32"/>
          <w:rtl/>
        </w:rPr>
        <w:t>[</w:t>
      </w:r>
      <w:r>
        <w:rPr>
          <w:rFonts w:ascii="Traditional Arabic" w:hAnsi="Traditional Arabic"/>
          <w:sz w:val="32"/>
          <w:szCs w:val="32"/>
          <w:rtl/>
        </w:rPr>
        <w:t>ليدقِّق النظر، وليحتل</w:t>
      </w:r>
      <w:r>
        <w:rPr>
          <w:rFonts w:ascii="Traditional Arabic" w:hAnsi="Traditional Arabic" w:hint="cs"/>
          <w:sz w:val="32"/>
          <w:szCs w:val="32"/>
          <w:rtl/>
        </w:rPr>
        <w:t>]</w:t>
      </w:r>
      <w:r w:rsidRPr="00EF2C08">
        <w:rPr>
          <w:rFonts w:ascii="Traditional Arabic" w:hAnsi="Traditional Arabic"/>
          <w:sz w:val="32"/>
          <w:szCs w:val="32"/>
          <w:rtl/>
        </w:rPr>
        <w:t xml:space="preserve">.     </w:t>
      </w:r>
    </w:p>
  </w:footnote>
  <w:footnote w:id="1081">
    <w:p w:rsidR="003F128F" w:rsidRPr="00786BCD" w:rsidRDefault="003F128F" w:rsidP="005C21CD">
      <w:pPr>
        <w:pStyle w:val="af3"/>
        <w:rPr>
          <w:rFonts w:ascii="Traditional Arabic" w:hAnsi="Traditional Arabic"/>
          <w:sz w:val="32"/>
          <w:szCs w:val="32"/>
        </w:rPr>
      </w:pPr>
      <w:r w:rsidRPr="009D2D70">
        <w:rPr>
          <w:rFonts w:ascii="Traditional Arabic" w:hAnsi="Traditional Arabic"/>
          <w:sz w:val="32"/>
          <w:szCs w:val="32"/>
          <w:rtl/>
        </w:rPr>
        <w:t>(</w:t>
      </w:r>
      <w:r w:rsidRPr="009D2D70">
        <w:rPr>
          <w:rStyle w:val="ae"/>
          <w:rFonts w:ascii="Traditional Arabic" w:hAnsi="Traditional Arabic"/>
          <w:sz w:val="32"/>
          <w:szCs w:val="32"/>
          <w:vertAlign w:val="baseline"/>
        </w:rPr>
        <w:footnoteRef/>
      </w:r>
      <w:r w:rsidRPr="009D2D70">
        <w:rPr>
          <w:rFonts w:ascii="Traditional Arabic" w:hAnsi="Traditional Arabic"/>
          <w:sz w:val="32"/>
          <w:szCs w:val="32"/>
          <w:rtl/>
        </w:rPr>
        <w:t>) انظر: تفسير مقاتل (2/579), تفسير الطبري (17/639).</w:t>
      </w:r>
      <w:r w:rsidRPr="00786BCD">
        <w:rPr>
          <w:rFonts w:ascii="Traditional Arabic" w:hAnsi="Traditional Arabic"/>
          <w:sz w:val="32"/>
          <w:szCs w:val="32"/>
          <w:rtl/>
        </w:rPr>
        <w:t xml:space="preserve"> </w:t>
      </w:r>
    </w:p>
  </w:footnote>
  <w:footnote w:id="1082">
    <w:p w:rsidR="003F128F" w:rsidRPr="00BF277F" w:rsidRDefault="003F128F" w:rsidP="00032CCE">
      <w:pPr>
        <w:pStyle w:val="af3"/>
        <w:rPr>
          <w:rFonts w:ascii="Traditional Arabic" w:hAnsi="Traditional Arabic"/>
          <w:sz w:val="32"/>
          <w:szCs w:val="32"/>
        </w:rPr>
      </w:pPr>
      <w:r w:rsidRPr="00BF277F">
        <w:rPr>
          <w:rFonts w:ascii="Traditional Arabic" w:hAnsi="Traditional Arabic"/>
          <w:sz w:val="32"/>
          <w:szCs w:val="32"/>
          <w:rtl/>
        </w:rPr>
        <w:t>(</w:t>
      </w:r>
      <w:r w:rsidRPr="00BF277F">
        <w:rPr>
          <w:rStyle w:val="ae"/>
          <w:rFonts w:ascii="Traditional Arabic" w:hAnsi="Traditional Arabic"/>
          <w:sz w:val="32"/>
          <w:szCs w:val="32"/>
          <w:vertAlign w:val="baseline"/>
        </w:rPr>
        <w:footnoteRef/>
      </w:r>
      <w:r w:rsidRPr="00BF277F">
        <w:rPr>
          <w:rFonts w:ascii="Traditional Arabic" w:hAnsi="Traditional Arabic"/>
          <w:sz w:val="32"/>
          <w:szCs w:val="32"/>
          <w:rtl/>
        </w:rPr>
        <w:t>) ذكره الواحدي في التفسير البسيط (13/569), وذُكر بدون نسبة في تفسير مقاتل (2/579), وتفسير يحيى بن سلام (1/176), وبحر العلوم (2/342) وغيرها.</w:t>
      </w:r>
    </w:p>
  </w:footnote>
  <w:footnote w:id="1083">
    <w:p w:rsidR="003F128F" w:rsidRPr="00BF277F" w:rsidRDefault="003F128F" w:rsidP="005C21CD">
      <w:pPr>
        <w:pStyle w:val="af3"/>
        <w:rPr>
          <w:rFonts w:ascii="Traditional Arabic" w:hAnsi="Traditional Arabic"/>
          <w:sz w:val="32"/>
          <w:szCs w:val="32"/>
        </w:rPr>
      </w:pPr>
      <w:r w:rsidRPr="00BF277F">
        <w:rPr>
          <w:rFonts w:ascii="Traditional Arabic" w:hAnsi="Traditional Arabic"/>
          <w:sz w:val="32"/>
          <w:szCs w:val="32"/>
          <w:rtl/>
        </w:rPr>
        <w:t>(</w:t>
      </w:r>
      <w:r w:rsidRPr="00BF277F">
        <w:rPr>
          <w:rStyle w:val="ae"/>
          <w:rFonts w:ascii="Traditional Arabic" w:hAnsi="Traditional Arabic"/>
          <w:sz w:val="32"/>
          <w:szCs w:val="32"/>
          <w:vertAlign w:val="baseline"/>
        </w:rPr>
        <w:footnoteRef/>
      </w:r>
      <w:r w:rsidRPr="00BF277F">
        <w:rPr>
          <w:rFonts w:ascii="Traditional Arabic" w:hAnsi="Traditional Arabic"/>
          <w:sz w:val="32"/>
          <w:szCs w:val="32"/>
          <w:rtl/>
        </w:rPr>
        <w:t>) معاني القرآن وإعرابه (3/276).</w:t>
      </w:r>
    </w:p>
  </w:footnote>
  <w:footnote w:id="1084">
    <w:p w:rsidR="003F128F" w:rsidRPr="00BF277F" w:rsidRDefault="003F128F" w:rsidP="005C21CD">
      <w:pPr>
        <w:pStyle w:val="af3"/>
        <w:rPr>
          <w:rFonts w:ascii="Traditional Arabic" w:hAnsi="Traditional Arabic"/>
          <w:sz w:val="32"/>
          <w:szCs w:val="32"/>
        </w:rPr>
      </w:pPr>
      <w:r w:rsidRPr="00BF277F">
        <w:rPr>
          <w:rFonts w:ascii="Traditional Arabic" w:hAnsi="Traditional Arabic"/>
          <w:sz w:val="32"/>
          <w:szCs w:val="32"/>
          <w:rtl/>
        </w:rPr>
        <w:t>(</w:t>
      </w:r>
      <w:r w:rsidRPr="00BF277F">
        <w:rPr>
          <w:rStyle w:val="ae"/>
          <w:rFonts w:ascii="Traditional Arabic" w:hAnsi="Traditional Arabic"/>
          <w:sz w:val="32"/>
          <w:szCs w:val="32"/>
          <w:vertAlign w:val="baseline"/>
        </w:rPr>
        <w:footnoteRef/>
      </w:r>
      <w:r w:rsidRPr="00BF277F">
        <w:rPr>
          <w:rFonts w:ascii="Traditional Arabic" w:hAnsi="Traditional Arabic"/>
          <w:sz w:val="32"/>
          <w:szCs w:val="32"/>
          <w:rtl/>
        </w:rPr>
        <w:t>) النكت والعيون (3/295).</w:t>
      </w:r>
    </w:p>
  </w:footnote>
  <w:footnote w:id="1085">
    <w:p w:rsidR="003F128F" w:rsidRPr="00BF277F" w:rsidRDefault="003F128F" w:rsidP="005C21CD">
      <w:pPr>
        <w:pStyle w:val="af3"/>
        <w:rPr>
          <w:rFonts w:ascii="Traditional Arabic" w:hAnsi="Traditional Arabic"/>
          <w:sz w:val="32"/>
          <w:szCs w:val="32"/>
        </w:rPr>
      </w:pPr>
      <w:r w:rsidRPr="00BF277F">
        <w:rPr>
          <w:rFonts w:ascii="Traditional Arabic" w:hAnsi="Traditional Arabic"/>
          <w:sz w:val="32"/>
          <w:szCs w:val="32"/>
          <w:rtl/>
        </w:rPr>
        <w:t>(</w:t>
      </w:r>
      <w:r w:rsidRPr="00BF277F">
        <w:rPr>
          <w:rStyle w:val="ae"/>
          <w:rFonts w:ascii="Traditional Arabic" w:hAnsi="Traditional Arabic"/>
          <w:sz w:val="32"/>
          <w:szCs w:val="32"/>
          <w:vertAlign w:val="baseline"/>
        </w:rPr>
        <w:footnoteRef/>
      </w:r>
      <w:r w:rsidRPr="00BF277F">
        <w:rPr>
          <w:rFonts w:ascii="Traditional Arabic" w:hAnsi="Traditional Arabic"/>
          <w:sz w:val="32"/>
          <w:szCs w:val="32"/>
          <w:rtl/>
        </w:rPr>
        <w:t>) لم أقف على قول مجاهد</w:t>
      </w:r>
      <w:r>
        <w:rPr>
          <w:rFonts w:ascii="Traditional Arabic" w:hAnsi="Traditional Arabic" w:hint="cs"/>
          <w:sz w:val="32"/>
          <w:szCs w:val="32"/>
          <w:rtl/>
        </w:rPr>
        <w:t xml:space="preserve"> فيما لدي من مصادر</w:t>
      </w:r>
      <w:r w:rsidRPr="00BF277F">
        <w:rPr>
          <w:rFonts w:ascii="Traditional Arabic" w:hAnsi="Traditional Arabic"/>
          <w:sz w:val="32"/>
          <w:szCs w:val="32"/>
          <w:rtl/>
        </w:rPr>
        <w:t>.</w:t>
      </w:r>
    </w:p>
  </w:footnote>
  <w:footnote w:id="1086">
    <w:p w:rsidR="003F128F" w:rsidRPr="00BF277F" w:rsidRDefault="003F128F" w:rsidP="00032CCE">
      <w:pPr>
        <w:pStyle w:val="af3"/>
        <w:rPr>
          <w:rFonts w:ascii="Traditional Arabic" w:hAnsi="Traditional Arabic"/>
          <w:sz w:val="32"/>
          <w:szCs w:val="32"/>
        </w:rPr>
      </w:pPr>
      <w:r w:rsidRPr="00BF277F">
        <w:rPr>
          <w:rFonts w:ascii="Traditional Arabic" w:hAnsi="Traditional Arabic"/>
          <w:sz w:val="32"/>
          <w:szCs w:val="32"/>
          <w:rtl/>
        </w:rPr>
        <w:t>(</w:t>
      </w:r>
      <w:r w:rsidRPr="00BF277F">
        <w:rPr>
          <w:rStyle w:val="ae"/>
          <w:rFonts w:ascii="Traditional Arabic" w:hAnsi="Traditional Arabic"/>
          <w:sz w:val="32"/>
          <w:szCs w:val="32"/>
          <w:vertAlign w:val="baseline"/>
        </w:rPr>
        <w:footnoteRef/>
      </w:r>
      <w:r w:rsidRPr="00BF277F">
        <w:rPr>
          <w:rFonts w:ascii="Traditional Arabic" w:hAnsi="Traditional Arabic"/>
          <w:sz w:val="32"/>
          <w:szCs w:val="32"/>
          <w:rtl/>
        </w:rPr>
        <w:t xml:space="preserve">) تفسير الطبري </w:t>
      </w:r>
      <w:r>
        <w:rPr>
          <w:rFonts w:ascii="Traditional Arabic" w:hAnsi="Traditional Arabic"/>
          <w:sz w:val="32"/>
          <w:szCs w:val="32"/>
          <w:rtl/>
        </w:rPr>
        <w:t>(17/639), الكشف والبيان (6/162)</w:t>
      </w:r>
      <w:r w:rsidRPr="00BF277F">
        <w:rPr>
          <w:rFonts w:ascii="Traditional Arabic" w:hAnsi="Traditional Arabic"/>
          <w:sz w:val="32"/>
          <w:szCs w:val="32"/>
          <w:rtl/>
        </w:rPr>
        <w:t>.</w:t>
      </w:r>
    </w:p>
  </w:footnote>
  <w:footnote w:id="1087">
    <w:p w:rsidR="003F128F" w:rsidRPr="00E0509F" w:rsidRDefault="003F128F" w:rsidP="005C21CD">
      <w:pPr>
        <w:pStyle w:val="af3"/>
        <w:rPr>
          <w:rFonts w:ascii="Tahoma" w:hAnsi="Tahoma"/>
        </w:rPr>
      </w:pPr>
      <w:r w:rsidRPr="00BF277F">
        <w:rPr>
          <w:rFonts w:ascii="Traditional Arabic" w:hAnsi="Traditional Arabic"/>
          <w:sz w:val="32"/>
          <w:szCs w:val="32"/>
          <w:rtl/>
        </w:rPr>
        <w:t>(</w:t>
      </w:r>
      <w:r w:rsidRPr="00BF277F">
        <w:rPr>
          <w:rStyle w:val="ae"/>
          <w:rFonts w:ascii="Traditional Arabic" w:hAnsi="Traditional Arabic"/>
          <w:sz w:val="32"/>
          <w:szCs w:val="32"/>
          <w:vertAlign w:val="baseline"/>
        </w:rPr>
        <w:footnoteRef/>
      </w:r>
      <w:r w:rsidRPr="00BF277F">
        <w:rPr>
          <w:rFonts w:ascii="Traditional Arabic" w:hAnsi="Traditional Arabic"/>
          <w:sz w:val="32"/>
          <w:szCs w:val="32"/>
          <w:rtl/>
        </w:rPr>
        <w:t>)</w:t>
      </w:r>
      <w:r>
        <w:rPr>
          <w:rFonts w:ascii="Traditional Arabic" w:hAnsi="Traditional Arabic" w:hint="cs"/>
          <w:sz w:val="32"/>
          <w:szCs w:val="32"/>
          <w:rtl/>
        </w:rPr>
        <w:t xml:space="preserve"> انظر: </w:t>
      </w:r>
      <w:r w:rsidRPr="009D2D70">
        <w:rPr>
          <w:rFonts w:ascii="Traditional Arabic" w:hAnsi="Traditional Arabic"/>
          <w:sz w:val="32"/>
          <w:szCs w:val="32"/>
          <w:rtl/>
        </w:rPr>
        <w:t>التفسير الوسيط (3/141</w:t>
      </w:r>
      <w:r>
        <w:rPr>
          <w:rFonts w:ascii="Traditional Arabic" w:hAnsi="Traditional Arabic" w:hint="cs"/>
          <w:sz w:val="32"/>
          <w:szCs w:val="32"/>
          <w:rtl/>
        </w:rPr>
        <w:t>).</w:t>
      </w:r>
      <w:r>
        <w:rPr>
          <w:rFonts w:ascii="Tahoma" w:hAnsi="Tahoma"/>
          <w:rtl/>
        </w:rPr>
        <w:t xml:space="preserve"> </w:t>
      </w:r>
    </w:p>
  </w:footnote>
  <w:footnote w:id="1088">
    <w:p w:rsidR="003F128F" w:rsidRPr="002E251D" w:rsidRDefault="003F128F" w:rsidP="00E67848">
      <w:pPr>
        <w:pStyle w:val="af3"/>
        <w:rPr>
          <w:rFonts w:ascii="Traditional Arabic" w:hAnsi="Traditional Arabic"/>
          <w:sz w:val="32"/>
          <w:szCs w:val="32"/>
        </w:rPr>
      </w:pPr>
      <w:r w:rsidRPr="002E251D">
        <w:rPr>
          <w:rFonts w:ascii="Traditional Arabic" w:hAnsi="Traditional Arabic"/>
          <w:sz w:val="32"/>
          <w:szCs w:val="32"/>
          <w:rtl/>
        </w:rPr>
        <w:t>(</w:t>
      </w:r>
      <w:r w:rsidRPr="002E251D">
        <w:rPr>
          <w:rStyle w:val="ae"/>
          <w:rFonts w:ascii="Traditional Arabic" w:hAnsi="Traditional Arabic"/>
          <w:sz w:val="32"/>
          <w:szCs w:val="32"/>
          <w:vertAlign w:val="baseline"/>
        </w:rPr>
        <w:footnoteRef/>
      </w:r>
      <w:r w:rsidRPr="002E251D">
        <w:rPr>
          <w:rFonts w:ascii="Traditional Arabic" w:hAnsi="Traditional Arabic"/>
          <w:sz w:val="32"/>
          <w:szCs w:val="32"/>
          <w:rtl/>
        </w:rPr>
        <w:t>)</w:t>
      </w:r>
      <w:r w:rsidRPr="002E251D">
        <w:rPr>
          <w:rFonts w:ascii="Traditional Arabic" w:hAnsi="Traditional Arabic"/>
          <w:sz w:val="32"/>
          <w:szCs w:val="32"/>
          <w:rtl/>
          <w:lang w:eastAsia="en-US"/>
        </w:rPr>
        <w:t xml:space="preserve"> </w:t>
      </w:r>
      <w:r w:rsidRPr="002E251D">
        <w:rPr>
          <w:rFonts w:ascii="Traditional Arabic" w:hAnsi="Traditional Arabic"/>
          <w:sz w:val="32"/>
          <w:szCs w:val="32"/>
          <w:rtl/>
        </w:rPr>
        <w:t>تأويل مشكل القرآن لابن قتيبة (ص91).</w:t>
      </w:r>
    </w:p>
  </w:footnote>
  <w:footnote w:id="1089">
    <w:p w:rsidR="003F128F" w:rsidRPr="002E251D" w:rsidRDefault="003F128F" w:rsidP="00E67848">
      <w:pPr>
        <w:pStyle w:val="af3"/>
        <w:rPr>
          <w:rFonts w:ascii="Traditional Arabic" w:hAnsi="Traditional Arabic"/>
          <w:sz w:val="32"/>
          <w:szCs w:val="32"/>
        </w:rPr>
      </w:pPr>
      <w:r w:rsidRPr="002E251D">
        <w:rPr>
          <w:rFonts w:ascii="Traditional Arabic" w:hAnsi="Traditional Arabic"/>
          <w:sz w:val="32"/>
          <w:szCs w:val="32"/>
          <w:rtl/>
        </w:rPr>
        <w:t>(</w:t>
      </w:r>
      <w:r w:rsidRPr="002E251D">
        <w:rPr>
          <w:rStyle w:val="ae"/>
          <w:rFonts w:ascii="Traditional Arabic" w:hAnsi="Traditional Arabic"/>
          <w:sz w:val="32"/>
          <w:szCs w:val="32"/>
          <w:vertAlign w:val="baseline"/>
        </w:rPr>
        <w:footnoteRef/>
      </w:r>
      <w:r w:rsidRPr="002E251D">
        <w:rPr>
          <w:rFonts w:ascii="Traditional Arabic" w:hAnsi="Traditional Arabic"/>
          <w:sz w:val="32"/>
          <w:szCs w:val="32"/>
          <w:rtl/>
        </w:rPr>
        <w:t>) انظر: تفسير مقاتل (2/579), تفسير يحيى بن سلام (1/176)</w:t>
      </w:r>
      <w:r>
        <w:rPr>
          <w:rFonts w:ascii="Traditional Arabic" w:hAnsi="Traditional Arabic" w:hint="cs"/>
          <w:sz w:val="32"/>
          <w:szCs w:val="32"/>
          <w:rtl/>
        </w:rPr>
        <w:t>.</w:t>
      </w:r>
    </w:p>
  </w:footnote>
  <w:footnote w:id="1090">
    <w:p w:rsidR="003F128F" w:rsidRPr="002E251D" w:rsidRDefault="003F128F" w:rsidP="005C21CD">
      <w:pPr>
        <w:pStyle w:val="af3"/>
        <w:rPr>
          <w:rFonts w:ascii="Traditional Arabic" w:hAnsi="Traditional Arabic"/>
          <w:sz w:val="32"/>
          <w:szCs w:val="32"/>
        </w:rPr>
      </w:pPr>
      <w:r w:rsidRPr="002E251D">
        <w:rPr>
          <w:rFonts w:ascii="Traditional Arabic" w:hAnsi="Traditional Arabic"/>
          <w:sz w:val="32"/>
          <w:szCs w:val="32"/>
          <w:rtl/>
        </w:rPr>
        <w:t>(</w:t>
      </w:r>
      <w:r w:rsidRPr="002E251D">
        <w:rPr>
          <w:rStyle w:val="ae"/>
          <w:rFonts w:ascii="Traditional Arabic" w:hAnsi="Traditional Arabic"/>
          <w:sz w:val="32"/>
          <w:szCs w:val="32"/>
          <w:vertAlign w:val="baseline"/>
        </w:rPr>
        <w:footnoteRef/>
      </w:r>
      <w:r w:rsidRPr="002E251D">
        <w:rPr>
          <w:rFonts w:ascii="Traditional Arabic" w:hAnsi="Traditional Arabic"/>
          <w:sz w:val="32"/>
          <w:szCs w:val="32"/>
          <w:rtl/>
        </w:rPr>
        <w:t xml:space="preserve">) النكت والعيون (3/295). </w:t>
      </w:r>
    </w:p>
  </w:footnote>
  <w:footnote w:id="1091">
    <w:p w:rsidR="003F128F" w:rsidRPr="00E67848" w:rsidRDefault="003F128F" w:rsidP="005C21CD">
      <w:pPr>
        <w:pStyle w:val="af3"/>
        <w:rPr>
          <w:rFonts w:ascii="Traditional Arabic" w:hAnsi="Traditional Arabic"/>
          <w:sz w:val="32"/>
          <w:szCs w:val="32"/>
        </w:rPr>
      </w:pPr>
      <w:r w:rsidRPr="00E67848">
        <w:rPr>
          <w:rFonts w:ascii="Traditional Arabic" w:hAnsi="Traditional Arabic"/>
          <w:sz w:val="32"/>
          <w:szCs w:val="32"/>
          <w:rtl/>
        </w:rPr>
        <w:t>(</w:t>
      </w:r>
      <w:r w:rsidRPr="00E67848">
        <w:rPr>
          <w:rStyle w:val="ae"/>
          <w:rFonts w:ascii="Traditional Arabic" w:hAnsi="Traditional Arabic"/>
          <w:sz w:val="32"/>
          <w:szCs w:val="32"/>
          <w:vertAlign w:val="baseline"/>
        </w:rPr>
        <w:footnoteRef/>
      </w:r>
      <w:r w:rsidRPr="00E67848">
        <w:rPr>
          <w:rFonts w:ascii="Traditional Arabic" w:hAnsi="Traditional Arabic"/>
          <w:sz w:val="32"/>
          <w:szCs w:val="32"/>
          <w:rtl/>
        </w:rPr>
        <w:t>) لم أقف على كلام ابن الأنباري فيما لدي من مصادر.</w:t>
      </w:r>
    </w:p>
  </w:footnote>
  <w:footnote w:id="1092">
    <w:p w:rsidR="003F128F" w:rsidRPr="00E67848" w:rsidRDefault="003F128F" w:rsidP="001436F6">
      <w:pPr>
        <w:pStyle w:val="af3"/>
        <w:rPr>
          <w:rFonts w:ascii="Traditional Arabic" w:hAnsi="Traditional Arabic"/>
          <w:sz w:val="32"/>
          <w:szCs w:val="32"/>
        </w:rPr>
      </w:pPr>
      <w:r w:rsidRPr="00E67848">
        <w:rPr>
          <w:rFonts w:ascii="Traditional Arabic" w:hAnsi="Traditional Arabic"/>
          <w:sz w:val="32"/>
          <w:szCs w:val="32"/>
          <w:rtl/>
        </w:rPr>
        <w:t>(</w:t>
      </w:r>
      <w:r w:rsidRPr="00E67848">
        <w:rPr>
          <w:rStyle w:val="ae"/>
          <w:rFonts w:ascii="Traditional Arabic" w:hAnsi="Traditional Arabic"/>
          <w:sz w:val="32"/>
          <w:szCs w:val="32"/>
          <w:vertAlign w:val="baseline"/>
        </w:rPr>
        <w:footnoteRef/>
      </w:r>
      <w:r w:rsidRPr="00E67848">
        <w:rPr>
          <w:rFonts w:ascii="Traditional Arabic" w:hAnsi="Traditional Arabic"/>
          <w:sz w:val="32"/>
          <w:szCs w:val="32"/>
          <w:rtl/>
        </w:rPr>
        <w:t>)</w:t>
      </w:r>
      <w:r>
        <w:rPr>
          <w:rFonts w:ascii="Traditional Arabic" w:hAnsi="Traditional Arabic" w:hint="cs"/>
          <w:sz w:val="32"/>
          <w:szCs w:val="32"/>
          <w:rtl/>
        </w:rPr>
        <w:t xml:space="preserve"> لا يجوز </w:t>
      </w:r>
      <w:r w:rsidRPr="00E67848">
        <w:rPr>
          <w:rFonts w:ascii="Traditional Arabic" w:hAnsi="Traditional Arabic"/>
          <w:sz w:val="32"/>
          <w:szCs w:val="32"/>
          <w:rtl/>
        </w:rPr>
        <w:t>بناء المساجد على القبور</w:t>
      </w:r>
      <w:r>
        <w:rPr>
          <w:rFonts w:ascii="Traditional Arabic" w:hAnsi="Traditional Arabic" w:hint="cs"/>
          <w:sz w:val="32"/>
          <w:szCs w:val="32"/>
          <w:rtl/>
        </w:rPr>
        <w:t>, وهو</w:t>
      </w:r>
      <w:r w:rsidRPr="00E67848">
        <w:rPr>
          <w:rFonts w:ascii="Traditional Arabic" w:hAnsi="Traditional Arabic"/>
          <w:sz w:val="32"/>
          <w:szCs w:val="32"/>
          <w:rtl/>
        </w:rPr>
        <w:t xml:space="preserve"> منكر عظيم، </w:t>
      </w:r>
      <w:r>
        <w:rPr>
          <w:rFonts w:ascii="Traditional Arabic" w:hAnsi="Traditional Arabic" w:hint="cs"/>
          <w:sz w:val="32"/>
          <w:szCs w:val="32"/>
          <w:rtl/>
        </w:rPr>
        <w:t>و</w:t>
      </w:r>
      <w:r w:rsidRPr="00E67848">
        <w:rPr>
          <w:rFonts w:ascii="Traditional Arabic" w:hAnsi="Traditional Arabic"/>
          <w:sz w:val="32"/>
          <w:szCs w:val="32"/>
          <w:rtl/>
        </w:rPr>
        <w:t xml:space="preserve">من وسائل الشرك؛ لقول النبي </w:t>
      </w:r>
      <w:r w:rsidRPr="00001530">
        <w:rPr>
          <w:rFonts w:ascii="Traditional Arabic" w:hAnsi="Traditional Arabic"/>
          <w:sz w:val="32"/>
          <w:szCs w:val="32"/>
        </w:rPr>
        <w:sym w:font="AGA Arabesque" w:char="F072"/>
      </w:r>
      <w:r w:rsidRPr="00E67848">
        <w:rPr>
          <w:rFonts w:ascii="Traditional Arabic" w:hAnsi="Traditional Arabic"/>
          <w:sz w:val="32"/>
          <w:szCs w:val="32"/>
          <w:rtl/>
        </w:rPr>
        <w:t>: «لعن الله اليهود والنصارى اتخذوا قبور أنبيائهم مساجد</w:t>
      </w:r>
      <w:r>
        <w:rPr>
          <w:rFonts w:ascii="Traditional Arabic" w:hAnsi="Traditional Arabic"/>
          <w:sz w:val="32"/>
          <w:szCs w:val="32"/>
          <w:rtl/>
        </w:rPr>
        <w:t>»</w:t>
      </w:r>
      <w:r>
        <w:rPr>
          <w:rFonts w:ascii="Traditional Arabic" w:hAnsi="Traditional Arabic" w:hint="cs"/>
          <w:sz w:val="32"/>
          <w:szCs w:val="32"/>
          <w:rtl/>
        </w:rPr>
        <w:t xml:space="preserve"> من حديث عائشة رضي الله عنها. أخرجه البخاري في (كتاب الجنائز</w:t>
      </w:r>
      <w:r w:rsidRPr="00E67848">
        <w:rPr>
          <w:rFonts w:ascii="Traditional Arabic" w:hAnsi="Traditional Arabic"/>
          <w:sz w:val="32"/>
          <w:szCs w:val="32"/>
          <w:rtl/>
        </w:rPr>
        <w:t>،</w:t>
      </w:r>
      <w:r>
        <w:rPr>
          <w:rFonts w:ascii="Traditional Arabic" w:hAnsi="Traditional Arabic" w:hint="cs"/>
          <w:sz w:val="32"/>
          <w:szCs w:val="32"/>
          <w:rtl/>
        </w:rPr>
        <w:t xml:space="preserve"> باب: ما جاء في قبر النبي </w:t>
      </w:r>
      <w:r w:rsidRPr="00001530">
        <w:rPr>
          <w:rFonts w:ascii="Traditional Arabic" w:hAnsi="Traditional Arabic"/>
          <w:sz w:val="32"/>
          <w:szCs w:val="32"/>
        </w:rPr>
        <w:sym w:font="AGA Arabesque" w:char="F072"/>
      </w:r>
      <w:r w:rsidRPr="00E67848">
        <w:rPr>
          <w:rFonts w:ascii="Traditional Arabic" w:hAnsi="Traditional Arabic"/>
          <w:sz w:val="32"/>
          <w:szCs w:val="32"/>
          <w:rtl/>
        </w:rPr>
        <w:t xml:space="preserve"> </w:t>
      </w:r>
      <w:r>
        <w:rPr>
          <w:rFonts w:ascii="Traditional Arabic" w:hAnsi="Traditional Arabic" w:hint="cs"/>
          <w:sz w:val="32"/>
          <w:szCs w:val="32"/>
          <w:rtl/>
        </w:rPr>
        <w:t>وأبي بكر وعمر رضي الله عنهما 3/322 ح1390), ومسلم في (كتاب المساجد</w:t>
      </w:r>
      <w:r w:rsidRPr="000A1ED3">
        <w:rPr>
          <w:rFonts w:ascii="Traditional Arabic" w:hAnsi="Traditional Arabic"/>
          <w:color w:val="auto"/>
          <w:sz w:val="32"/>
          <w:szCs w:val="32"/>
          <w:rtl/>
          <w:lang w:eastAsia="en-US"/>
        </w:rPr>
        <w:t xml:space="preserve"> </w:t>
      </w:r>
      <w:r w:rsidRPr="00E67848">
        <w:rPr>
          <w:rFonts w:ascii="Traditional Arabic" w:hAnsi="Traditional Arabic"/>
          <w:color w:val="auto"/>
          <w:sz w:val="32"/>
          <w:szCs w:val="32"/>
          <w:rtl/>
          <w:lang w:eastAsia="en-US"/>
        </w:rPr>
        <w:t>ومواضع الصلاة</w:t>
      </w:r>
      <w:r>
        <w:rPr>
          <w:rFonts w:ascii="Traditional Arabic" w:hAnsi="Traditional Arabic" w:hint="cs"/>
          <w:sz w:val="32"/>
          <w:szCs w:val="32"/>
          <w:rtl/>
        </w:rPr>
        <w:t>, باب: النهي عن بناء المساجد على القبور, واتخاذ الصور فيها, والنهي عن اتخاذ القبور مساجد 3/15 ح1184). قال</w:t>
      </w:r>
      <w:r w:rsidRPr="001436F6">
        <w:rPr>
          <w:rFonts w:ascii="Traditional Arabic" w:hAnsi="Traditional Arabic" w:hint="cs"/>
          <w:sz w:val="32"/>
          <w:szCs w:val="32"/>
          <w:rtl/>
        </w:rPr>
        <w:t xml:space="preserve"> الشيخ ابن باز رحمه الله</w:t>
      </w:r>
      <w:r>
        <w:rPr>
          <w:rFonts w:ascii="Traditional Arabic" w:hAnsi="Traditional Arabic" w:hint="cs"/>
          <w:sz w:val="32"/>
          <w:szCs w:val="32"/>
          <w:rtl/>
        </w:rPr>
        <w:t xml:space="preserve">: </w:t>
      </w:r>
      <w:r w:rsidRPr="00E67848">
        <w:rPr>
          <w:rFonts w:ascii="Traditional Arabic" w:hAnsi="Traditional Arabic"/>
          <w:sz w:val="32"/>
          <w:szCs w:val="32"/>
          <w:rtl/>
        </w:rPr>
        <w:t>لا يجوز البناء على القبور ولا اتخاذ</w:t>
      </w:r>
      <w:r>
        <w:rPr>
          <w:rFonts w:ascii="Traditional Arabic" w:hAnsi="Traditional Arabic"/>
          <w:sz w:val="32"/>
          <w:szCs w:val="32"/>
          <w:rtl/>
        </w:rPr>
        <w:t xml:space="preserve"> المساجد عليها، ولا جعلها مصلى،</w:t>
      </w:r>
      <w:r>
        <w:rPr>
          <w:rFonts w:ascii="Traditional Arabic" w:hAnsi="Traditional Arabic" w:hint="cs"/>
          <w:sz w:val="32"/>
          <w:szCs w:val="32"/>
          <w:rtl/>
        </w:rPr>
        <w:t xml:space="preserve"> </w:t>
      </w:r>
      <w:r w:rsidRPr="00E67848">
        <w:rPr>
          <w:rFonts w:ascii="Traditional Arabic" w:hAnsi="Traditional Arabic"/>
          <w:sz w:val="32"/>
          <w:szCs w:val="32"/>
          <w:rtl/>
        </w:rPr>
        <w:t>لأن الرسول</w:t>
      </w:r>
      <w:r>
        <w:rPr>
          <w:rFonts w:ascii="Traditional Arabic" w:hAnsi="Traditional Arabic" w:hint="cs"/>
          <w:sz w:val="32"/>
          <w:szCs w:val="32"/>
          <w:rtl/>
        </w:rPr>
        <w:t xml:space="preserve"> </w:t>
      </w:r>
      <w:r w:rsidRPr="00001530">
        <w:rPr>
          <w:rFonts w:ascii="Traditional Arabic" w:hAnsi="Traditional Arabic"/>
          <w:sz w:val="32"/>
          <w:szCs w:val="32"/>
        </w:rPr>
        <w:sym w:font="AGA Arabesque" w:char="F072"/>
      </w:r>
      <w:r w:rsidRPr="00E67848">
        <w:rPr>
          <w:rFonts w:ascii="Traditional Arabic" w:hAnsi="Traditional Arabic"/>
          <w:sz w:val="32"/>
          <w:szCs w:val="32"/>
          <w:rtl/>
        </w:rPr>
        <w:t xml:space="preserve"> نهى عنها، ولعن من فعل ذلك، وقال في الحديث</w:t>
      </w:r>
      <w:r>
        <w:rPr>
          <w:rFonts w:ascii="Traditional Arabic" w:hAnsi="Traditional Arabic" w:hint="cs"/>
          <w:sz w:val="32"/>
          <w:szCs w:val="32"/>
          <w:rtl/>
        </w:rPr>
        <w:t>:</w:t>
      </w:r>
      <w:r w:rsidRPr="00E67848">
        <w:rPr>
          <w:rFonts w:ascii="Traditional Arabic" w:hAnsi="Traditional Arabic"/>
          <w:sz w:val="32"/>
          <w:szCs w:val="32"/>
          <w:rtl/>
        </w:rPr>
        <w:t xml:space="preserve"> «ألا وإن من كان قبلكم كانوا يتخذون قبور أنبيائهم وصالحيهم مساجد، ألا فلا تتخذوها مساجد فإني أنهاكم عن ذلك</w:t>
      </w:r>
      <w:r>
        <w:rPr>
          <w:rFonts w:ascii="Traditional Arabic" w:hAnsi="Traditional Arabic"/>
          <w:sz w:val="32"/>
          <w:szCs w:val="32"/>
          <w:rtl/>
        </w:rPr>
        <w:t>»</w:t>
      </w:r>
      <w:r w:rsidRPr="00E67848">
        <w:rPr>
          <w:rFonts w:ascii="Traditional Arabic" w:hAnsi="Traditional Arabic"/>
          <w:sz w:val="32"/>
          <w:szCs w:val="32"/>
          <w:rtl/>
          <w:lang w:eastAsia="en-US"/>
        </w:rPr>
        <w:t xml:space="preserve"> </w:t>
      </w:r>
      <w:r w:rsidRPr="00E67848">
        <w:rPr>
          <w:rFonts w:ascii="Traditional Arabic" w:hAnsi="Traditional Arabic"/>
          <w:color w:val="auto"/>
          <w:sz w:val="32"/>
          <w:szCs w:val="32"/>
          <w:rtl/>
          <w:lang w:eastAsia="en-US"/>
        </w:rPr>
        <w:t xml:space="preserve">أخرجه الإمام مسلم في </w:t>
      </w:r>
      <w:r>
        <w:rPr>
          <w:rFonts w:ascii="Traditional Arabic" w:hAnsi="Traditional Arabic" w:hint="cs"/>
          <w:color w:val="auto"/>
          <w:sz w:val="32"/>
          <w:szCs w:val="32"/>
          <w:rtl/>
          <w:lang w:eastAsia="en-US"/>
        </w:rPr>
        <w:t>(</w:t>
      </w:r>
      <w:r w:rsidRPr="00E67848">
        <w:rPr>
          <w:rFonts w:ascii="Traditional Arabic" w:hAnsi="Traditional Arabic"/>
          <w:color w:val="auto"/>
          <w:sz w:val="32"/>
          <w:szCs w:val="32"/>
          <w:rtl/>
          <w:lang w:eastAsia="en-US"/>
        </w:rPr>
        <w:t>كتاب المساجد ومواضع الصلاة، باب النهي عن بناء المساجد على القبور</w:t>
      </w:r>
      <w:r>
        <w:rPr>
          <w:rFonts w:ascii="Traditional Arabic" w:hAnsi="Traditional Arabic" w:hint="cs"/>
          <w:sz w:val="32"/>
          <w:szCs w:val="32"/>
          <w:rtl/>
        </w:rPr>
        <w:t>, واتخاذ الصور فيها, والنهي عن اتخاذ القبور مساجد 3/15 ح1188). انظر: مجموع فتاوى ومقالات متنوعة لابن باز (1/433).</w:t>
      </w:r>
    </w:p>
  </w:footnote>
  <w:footnote w:id="1093">
    <w:p w:rsidR="003F128F" w:rsidRPr="00E67848" w:rsidRDefault="003F128F" w:rsidP="00032CCE">
      <w:pPr>
        <w:pStyle w:val="af3"/>
        <w:rPr>
          <w:rFonts w:ascii="Traditional Arabic" w:hAnsi="Traditional Arabic"/>
          <w:sz w:val="32"/>
          <w:szCs w:val="32"/>
        </w:rPr>
      </w:pPr>
      <w:r w:rsidRPr="00E67848">
        <w:rPr>
          <w:rFonts w:ascii="Traditional Arabic" w:hAnsi="Traditional Arabic"/>
          <w:sz w:val="32"/>
          <w:szCs w:val="32"/>
          <w:rtl/>
        </w:rPr>
        <w:t>(</w:t>
      </w:r>
      <w:r w:rsidRPr="00E67848">
        <w:rPr>
          <w:rStyle w:val="ae"/>
          <w:rFonts w:ascii="Traditional Arabic" w:hAnsi="Traditional Arabic"/>
          <w:sz w:val="32"/>
          <w:szCs w:val="32"/>
          <w:vertAlign w:val="baseline"/>
        </w:rPr>
        <w:footnoteRef/>
      </w:r>
      <w:r w:rsidRPr="00E67848">
        <w:rPr>
          <w:rFonts w:ascii="Traditional Arabic" w:hAnsi="Traditional Arabic"/>
          <w:sz w:val="32"/>
          <w:szCs w:val="32"/>
          <w:rtl/>
        </w:rPr>
        <w:t>) انظر: الكشف والبيان (6/162), التفسير البسيط (13/573).</w:t>
      </w:r>
    </w:p>
  </w:footnote>
  <w:footnote w:id="1094">
    <w:p w:rsidR="003F128F" w:rsidRPr="00E67848" w:rsidRDefault="003F128F" w:rsidP="00032CCE">
      <w:pPr>
        <w:pStyle w:val="af3"/>
        <w:rPr>
          <w:rFonts w:ascii="Traditional Arabic" w:hAnsi="Traditional Arabic"/>
          <w:sz w:val="32"/>
          <w:szCs w:val="32"/>
        </w:rPr>
      </w:pPr>
      <w:r w:rsidRPr="00E67848">
        <w:rPr>
          <w:rFonts w:ascii="Traditional Arabic" w:hAnsi="Traditional Arabic"/>
          <w:sz w:val="32"/>
          <w:szCs w:val="32"/>
          <w:rtl/>
        </w:rPr>
        <w:t>(</w:t>
      </w:r>
      <w:r w:rsidRPr="00E67848">
        <w:rPr>
          <w:rStyle w:val="ae"/>
          <w:rFonts w:ascii="Traditional Arabic" w:hAnsi="Traditional Arabic"/>
          <w:sz w:val="32"/>
          <w:szCs w:val="32"/>
          <w:vertAlign w:val="baseline"/>
        </w:rPr>
        <w:footnoteRef/>
      </w:r>
      <w:r w:rsidRPr="00E67848">
        <w:rPr>
          <w:rFonts w:ascii="Traditional Arabic" w:hAnsi="Traditional Arabic"/>
          <w:sz w:val="32"/>
          <w:szCs w:val="32"/>
          <w:rtl/>
        </w:rPr>
        <w:t>) انظر: الكشف والبيان (6/162), التفسير البسيط (13/572).</w:t>
      </w:r>
    </w:p>
  </w:footnote>
  <w:footnote w:id="1095">
    <w:p w:rsidR="003F128F" w:rsidRPr="00E67848" w:rsidRDefault="003F128F" w:rsidP="005C21CD">
      <w:pPr>
        <w:pStyle w:val="af3"/>
        <w:rPr>
          <w:rFonts w:ascii="Traditional Arabic" w:hAnsi="Traditional Arabic"/>
          <w:sz w:val="32"/>
          <w:szCs w:val="32"/>
        </w:rPr>
      </w:pPr>
      <w:r w:rsidRPr="00E67848">
        <w:rPr>
          <w:rFonts w:ascii="Traditional Arabic" w:hAnsi="Traditional Arabic"/>
          <w:sz w:val="32"/>
          <w:szCs w:val="32"/>
          <w:rtl/>
        </w:rPr>
        <w:t>(</w:t>
      </w:r>
      <w:r w:rsidRPr="00E67848">
        <w:rPr>
          <w:rStyle w:val="ae"/>
          <w:rFonts w:ascii="Traditional Arabic" w:hAnsi="Traditional Arabic"/>
          <w:sz w:val="32"/>
          <w:szCs w:val="32"/>
          <w:vertAlign w:val="baseline"/>
        </w:rPr>
        <w:footnoteRef/>
      </w:r>
      <w:r w:rsidRPr="00E67848">
        <w:rPr>
          <w:rFonts w:ascii="Traditional Arabic" w:hAnsi="Traditional Arabic"/>
          <w:sz w:val="32"/>
          <w:szCs w:val="32"/>
          <w:rtl/>
        </w:rPr>
        <w:t>) انظر: تفسير مقاتل (2/579).</w:t>
      </w:r>
    </w:p>
  </w:footnote>
  <w:footnote w:id="1096">
    <w:p w:rsidR="003F128F" w:rsidRPr="00E67848" w:rsidRDefault="003F128F" w:rsidP="00032CCE">
      <w:pPr>
        <w:pStyle w:val="af3"/>
        <w:rPr>
          <w:rFonts w:ascii="Traditional Arabic" w:hAnsi="Traditional Arabic"/>
          <w:sz w:val="32"/>
          <w:szCs w:val="32"/>
        </w:rPr>
      </w:pPr>
      <w:r w:rsidRPr="00E67848">
        <w:rPr>
          <w:rFonts w:ascii="Traditional Arabic" w:hAnsi="Traditional Arabic"/>
          <w:sz w:val="32"/>
          <w:szCs w:val="32"/>
          <w:rtl/>
        </w:rPr>
        <w:t>(</w:t>
      </w:r>
      <w:r w:rsidRPr="00E67848">
        <w:rPr>
          <w:rStyle w:val="ae"/>
          <w:rFonts w:ascii="Traditional Arabic" w:hAnsi="Traditional Arabic"/>
          <w:sz w:val="32"/>
          <w:szCs w:val="32"/>
          <w:vertAlign w:val="baseline"/>
        </w:rPr>
        <w:footnoteRef/>
      </w:r>
      <w:r w:rsidRPr="00E67848">
        <w:rPr>
          <w:rFonts w:ascii="Traditional Arabic" w:hAnsi="Traditional Arabic"/>
          <w:sz w:val="32"/>
          <w:szCs w:val="32"/>
          <w:rtl/>
        </w:rPr>
        <w:t>) الكشف والبيان (6/162)</w:t>
      </w:r>
      <w:r>
        <w:rPr>
          <w:rFonts w:ascii="Traditional Arabic" w:hAnsi="Traditional Arabic" w:hint="cs"/>
          <w:sz w:val="32"/>
          <w:szCs w:val="32"/>
          <w:rtl/>
        </w:rPr>
        <w:t>.</w:t>
      </w:r>
    </w:p>
  </w:footnote>
  <w:footnote w:id="1097">
    <w:p w:rsidR="003F128F" w:rsidRPr="00E67848" w:rsidRDefault="003F128F" w:rsidP="005C21CD">
      <w:pPr>
        <w:pStyle w:val="af3"/>
        <w:rPr>
          <w:rFonts w:ascii="Traditional Arabic" w:hAnsi="Traditional Arabic"/>
          <w:sz w:val="32"/>
          <w:szCs w:val="32"/>
        </w:rPr>
      </w:pPr>
      <w:r w:rsidRPr="00E67848">
        <w:rPr>
          <w:rFonts w:ascii="Traditional Arabic" w:hAnsi="Traditional Arabic"/>
          <w:sz w:val="32"/>
          <w:szCs w:val="32"/>
          <w:rtl/>
        </w:rPr>
        <w:t>(</w:t>
      </w:r>
      <w:r w:rsidRPr="00E67848">
        <w:rPr>
          <w:rStyle w:val="ae"/>
          <w:rFonts w:ascii="Traditional Arabic" w:hAnsi="Traditional Arabic"/>
          <w:sz w:val="32"/>
          <w:szCs w:val="32"/>
          <w:vertAlign w:val="baseline"/>
        </w:rPr>
        <w:footnoteRef/>
      </w:r>
      <w:r w:rsidRPr="00E67848">
        <w:rPr>
          <w:rFonts w:ascii="Traditional Arabic" w:hAnsi="Traditional Arabic"/>
          <w:sz w:val="32"/>
          <w:szCs w:val="32"/>
          <w:rtl/>
        </w:rPr>
        <w:t>) انظر: التفسير الوسيط (3/141).</w:t>
      </w:r>
    </w:p>
  </w:footnote>
  <w:footnote w:id="1098">
    <w:p w:rsidR="003F128F" w:rsidRPr="00E67848" w:rsidRDefault="003F128F" w:rsidP="005A6369">
      <w:pPr>
        <w:pStyle w:val="af3"/>
        <w:rPr>
          <w:rFonts w:ascii="Traditional Arabic" w:hAnsi="Traditional Arabic"/>
          <w:sz w:val="32"/>
          <w:szCs w:val="32"/>
        </w:rPr>
      </w:pPr>
      <w:r w:rsidRPr="00E67848">
        <w:rPr>
          <w:rFonts w:ascii="Traditional Arabic" w:hAnsi="Traditional Arabic"/>
          <w:sz w:val="32"/>
          <w:szCs w:val="32"/>
          <w:rtl/>
        </w:rPr>
        <w:t>(</w:t>
      </w:r>
      <w:r w:rsidRPr="00E67848">
        <w:rPr>
          <w:rStyle w:val="ae"/>
          <w:rFonts w:ascii="Traditional Arabic" w:hAnsi="Traditional Arabic"/>
          <w:sz w:val="32"/>
          <w:szCs w:val="32"/>
          <w:vertAlign w:val="baseline"/>
        </w:rPr>
        <w:footnoteRef/>
      </w:r>
      <w:r w:rsidRPr="00E67848">
        <w:rPr>
          <w:rFonts w:ascii="Traditional Arabic" w:hAnsi="Traditional Arabic"/>
          <w:sz w:val="32"/>
          <w:szCs w:val="32"/>
          <w:rtl/>
        </w:rPr>
        <w:t xml:space="preserve">) تقدم </w:t>
      </w:r>
      <w:r>
        <w:rPr>
          <w:rFonts w:ascii="Traditional Arabic" w:hAnsi="Traditional Arabic" w:hint="cs"/>
          <w:sz w:val="32"/>
          <w:szCs w:val="32"/>
          <w:rtl/>
        </w:rPr>
        <w:t>في (ص190).</w:t>
      </w:r>
    </w:p>
  </w:footnote>
  <w:footnote w:id="1099">
    <w:p w:rsidR="003F128F" w:rsidRPr="00B63449" w:rsidRDefault="003F128F" w:rsidP="005C21CD">
      <w:pPr>
        <w:pStyle w:val="af3"/>
        <w:rPr>
          <w:rFonts w:ascii="Traditional Arabic" w:hAnsi="Traditional Arabic"/>
          <w:sz w:val="32"/>
          <w:szCs w:val="32"/>
        </w:rPr>
      </w:pPr>
      <w:r w:rsidRPr="00E67848">
        <w:rPr>
          <w:rFonts w:ascii="Traditional Arabic" w:hAnsi="Traditional Arabic"/>
          <w:sz w:val="32"/>
          <w:szCs w:val="32"/>
          <w:rtl/>
        </w:rPr>
        <w:t>(</w:t>
      </w:r>
      <w:r w:rsidRPr="00E67848">
        <w:rPr>
          <w:rStyle w:val="ae"/>
          <w:rFonts w:ascii="Traditional Arabic" w:hAnsi="Traditional Arabic"/>
          <w:sz w:val="32"/>
          <w:szCs w:val="32"/>
          <w:vertAlign w:val="baseline"/>
        </w:rPr>
        <w:footnoteRef/>
      </w:r>
      <w:r w:rsidRPr="00E67848">
        <w:rPr>
          <w:rFonts w:ascii="Traditional Arabic" w:hAnsi="Traditional Arabic"/>
          <w:sz w:val="32"/>
          <w:szCs w:val="32"/>
          <w:rtl/>
        </w:rPr>
        <w:t>) لم أقف عليه</w:t>
      </w:r>
      <w:r>
        <w:rPr>
          <w:rFonts w:ascii="Traditional Arabic" w:hAnsi="Traditional Arabic" w:hint="cs"/>
          <w:sz w:val="32"/>
          <w:szCs w:val="32"/>
          <w:rtl/>
        </w:rPr>
        <w:t xml:space="preserve"> فيما لدي من مصادر</w:t>
      </w:r>
      <w:r w:rsidRPr="00E67848">
        <w:rPr>
          <w:rFonts w:ascii="Traditional Arabic" w:hAnsi="Traditional Arabic"/>
          <w:sz w:val="32"/>
          <w:szCs w:val="32"/>
          <w:rtl/>
        </w:rPr>
        <w:t>.</w:t>
      </w:r>
      <w:r w:rsidRPr="00B63449">
        <w:rPr>
          <w:rFonts w:ascii="Traditional Arabic" w:hAnsi="Traditional Arabic"/>
          <w:sz w:val="32"/>
          <w:szCs w:val="32"/>
          <w:rtl/>
        </w:rPr>
        <w:t xml:space="preserve"> </w:t>
      </w:r>
    </w:p>
  </w:footnote>
  <w:footnote w:id="1100">
    <w:p w:rsidR="003F128F" w:rsidRPr="00B63449" w:rsidRDefault="003F128F" w:rsidP="005A6369">
      <w:pPr>
        <w:pStyle w:val="af3"/>
        <w:rPr>
          <w:rFonts w:ascii="Traditional Arabic" w:hAnsi="Traditional Arabic"/>
          <w:sz w:val="32"/>
          <w:szCs w:val="32"/>
        </w:rPr>
      </w:pPr>
      <w:r w:rsidRPr="00B63449">
        <w:rPr>
          <w:rFonts w:ascii="Traditional Arabic" w:hAnsi="Traditional Arabic"/>
          <w:sz w:val="32"/>
          <w:szCs w:val="32"/>
          <w:rtl/>
        </w:rPr>
        <w:t>(</w:t>
      </w:r>
      <w:r w:rsidRPr="00B63449">
        <w:rPr>
          <w:rStyle w:val="ae"/>
          <w:rFonts w:ascii="Traditional Arabic" w:hAnsi="Traditional Arabic"/>
          <w:sz w:val="32"/>
          <w:szCs w:val="32"/>
          <w:vertAlign w:val="baseline"/>
        </w:rPr>
        <w:footnoteRef/>
      </w:r>
      <w:r w:rsidRPr="00B63449">
        <w:rPr>
          <w:rFonts w:ascii="Traditional Arabic" w:hAnsi="Traditional Arabic"/>
          <w:sz w:val="32"/>
          <w:szCs w:val="32"/>
          <w:rtl/>
        </w:rPr>
        <w:t>) غريب القرآن (</w:t>
      </w:r>
      <w:r>
        <w:rPr>
          <w:rFonts w:ascii="Traditional Arabic" w:hAnsi="Traditional Arabic" w:hint="cs"/>
          <w:sz w:val="32"/>
          <w:szCs w:val="32"/>
          <w:rtl/>
        </w:rPr>
        <w:t>ص</w:t>
      </w:r>
      <w:r w:rsidRPr="00B63449">
        <w:rPr>
          <w:rFonts w:ascii="Traditional Arabic" w:hAnsi="Traditional Arabic"/>
          <w:sz w:val="32"/>
          <w:szCs w:val="32"/>
          <w:rtl/>
        </w:rPr>
        <w:t>266)</w:t>
      </w:r>
      <w:r w:rsidRPr="00B63449">
        <w:rPr>
          <w:rFonts w:ascii="Traditional Arabic" w:hAnsi="Traditional Arabic"/>
          <w:sz w:val="32"/>
          <w:szCs w:val="32"/>
          <w:rtl/>
          <w:lang w:eastAsia="en-US"/>
        </w:rPr>
        <w:t>.</w:t>
      </w:r>
      <w:r w:rsidRPr="00B63449">
        <w:rPr>
          <w:rFonts w:ascii="Traditional Arabic" w:hAnsi="Traditional Arabic"/>
          <w:sz w:val="32"/>
          <w:szCs w:val="32"/>
          <w:rtl/>
        </w:rPr>
        <w:t xml:space="preserve">  </w:t>
      </w:r>
    </w:p>
  </w:footnote>
  <w:footnote w:id="1101">
    <w:p w:rsidR="003F128F" w:rsidRPr="002866D3" w:rsidRDefault="003F128F" w:rsidP="00032CCE">
      <w:pPr>
        <w:pStyle w:val="af3"/>
        <w:rPr>
          <w:rFonts w:ascii="Tahoma" w:hAnsi="Tahoma"/>
        </w:rPr>
      </w:pPr>
      <w:r w:rsidRPr="00B63449">
        <w:rPr>
          <w:rFonts w:ascii="Traditional Arabic" w:hAnsi="Traditional Arabic"/>
          <w:sz w:val="32"/>
          <w:szCs w:val="32"/>
          <w:rtl/>
        </w:rPr>
        <w:t>(</w:t>
      </w:r>
      <w:r w:rsidRPr="00B63449">
        <w:rPr>
          <w:rStyle w:val="ae"/>
          <w:rFonts w:ascii="Traditional Arabic" w:hAnsi="Traditional Arabic"/>
          <w:sz w:val="32"/>
          <w:szCs w:val="32"/>
          <w:vertAlign w:val="baseline"/>
        </w:rPr>
        <w:footnoteRef/>
      </w:r>
      <w:r w:rsidRPr="00B63449">
        <w:rPr>
          <w:rFonts w:ascii="Traditional Arabic" w:hAnsi="Traditional Arabic"/>
          <w:sz w:val="32"/>
          <w:szCs w:val="32"/>
          <w:rtl/>
        </w:rPr>
        <w:t>) تفسير ابن أبي حاتم (7</w:t>
      </w:r>
      <w:r>
        <w:rPr>
          <w:rFonts w:ascii="Traditional Arabic" w:hAnsi="Traditional Arabic"/>
          <w:sz w:val="32"/>
          <w:szCs w:val="32"/>
          <w:rtl/>
        </w:rPr>
        <w:t>/2354), الكشف والبيان (6/162)</w:t>
      </w:r>
      <w:r w:rsidRPr="00B63449">
        <w:rPr>
          <w:rFonts w:ascii="Traditional Arabic" w:hAnsi="Traditional Arabic"/>
          <w:sz w:val="32"/>
          <w:szCs w:val="32"/>
          <w:rtl/>
        </w:rPr>
        <w:t>.</w:t>
      </w:r>
    </w:p>
  </w:footnote>
  <w:footnote w:id="1102">
    <w:p w:rsidR="003F128F" w:rsidRPr="00FB660D" w:rsidRDefault="003F128F" w:rsidP="00727CE5">
      <w:pPr>
        <w:pStyle w:val="af3"/>
        <w:rPr>
          <w:rFonts w:ascii="Traditional Arabic" w:hAnsi="Traditional Arabic"/>
          <w:sz w:val="32"/>
          <w:szCs w:val="32"/>
        </w:rPr>
      </w:pPr>
      <w:r w:rsidRPr="00FB660D">
        <w:rPr>
          <w:rFonts w:ascii="Traditional Arabic" w:hAnsi="Traditional Arabic"/>
          <w:sz w:val="32"/>
          <w:szCs w:val="32"/>
          <w:rtl/>
        </w:rPr>
        <w:t>(</w:t>
      </w:r>
      <w:r w:rsidRPr="00FB660D">
        <w:rPr>
          <w:rStyle w:val="ae"/>
          <w:rFonts w:ascii="Traditional Arabic" w:hAnsi="Traditional Arabic"/>
          <w:sz w:val="32"/>
          <w:szCs w:val="32"/>
          <w:vertAlign w:val="baseline"/>
        </w:rPr>
        <w:footnoteRef/>
      </w:r>
      <w:r w:rsidRPr="00FB660D">
        <w:rPr>
          <w:rFonts w:ascii="Traditional Arabic" w:hAnsi="Traditional Arabic"/>
          <w:sz w:val="32"/>
          <w:szCs w:val="32"/>
          <w:rtl/>
        </w:rPr>
        <w:t>)</w:t>
      </w:r>
      <w:r>
        <w:rPr>
          <w:rFonts w:ascii="Traditional Arabic" w:hAnsi="Traditional Arabic" w:hint="cs"/>
          <w:sz w:val="32"/>
          <w:szCs w:val="32"/>
          <w:rtl/>
        </w:rPr>
        <w:t xml:space="preserve"> </w:t>
      </w:r>
      <w:r w:rsidRPr="00727CE5">
        <w:rPr>
          <w:rFonts w:ascii="Traditional Arabic" w:hAnsi="Traditional Arabic"/>
          <w:sz w:val="32"/>
          <w:szCs w:val="32"/>
          <w:rtl/>
        </w:rPr>
        <w:t>البِيعَةُ: كَنِيسَة النَّصَارَى، وَقيل: كَنِيسَة الْيَهُود.</w:t>
      </w:r>
      <w:r w:rsidRPr="00727CE5">
        <w:rPr>
          <w:rFonts w:ascii="Traditional Arabic" w:hAnsi="Traditional Arabic" w:hint="cs"/>
          <w:sz w:val="32"/>
          <w:szCs w:val="32"/>
          <w:rtl/>
        </w:rPr>
        <w:t xml:space="preserve"> انظر: المحكم والمحيط لابن سيده (2/263)</w:t>
      </w:r>
      <w:r>
        <w:rPr>
          <w:rFonts w:ascii="Traditional Arabic" w:hAnsi="Traditional Arabic" w:hint="cs"/>
          <w:sz w:val="32"/>
          <w:szCs w:val="32"/>
          <w:rtl/>
        </w:rPr>
        <w:t>.</w:t>
      </w:r>
    </w:p>
  </w:footnote>
  <w:footnote w:id="1103">
    <w:p w:rsidR="003F128F" w:rsidRPr="00727CE5" w:rsidRDefault="003F128F" w:rsidP="00727CE5">
      <w:pPr>
        <w:pStyle w:val="af3"/>
        <w:rPr>
          <w:rFonts w:ascii="Tahoma" w:hAnsi="Tahoma"/>
        </w:rPr>
      </w:pPr>
      <w:r w:rsidRPr="00727CE5">
        <w:rPr>
          <w:rFonts w:ascii="Tahoma" w:hAnsi="Tahoma"/>
          <w:rtl/>
        </w:rPr>
        <w:t>(</w:t>
      </w:r>
      <w:r w:rsidRPr="00727CE5">
        <w:rPr>
          <w:rStyle w:val="ae"/>
          <w:rFonts w:ascii="Tahoma" w:hAnsi="Tahoma"/>
          <w:vertAlign w:val="baseline"/>
        </w:rPr>
        <w:footnoteRef/>
      </w:r>
      <w:r w:rsidRPr="00727CE5">
        <w:rPr>
          <w:rFonts w:ascii="Tahoma" w:hAnsi="Tahoma"/>
          <w:rtl/>
        </w:rPr>
        <w:t>)</w:t>
      </w:r>
      <w:r>
        <w:rPr>
          <w:rFonts w:ascii="Tahoma" w:hAnsi="Tahoma" w:hint="cs"/>
          <w:rtl/>
        </w:rPr>
        <w:t xml:space="preserve"> </w:t>
      </w:r>
      <w:r w:rsidRPr="00FB660D">
        <w:rPr>
          <w:rFonts w:ascii="Traditional Arabic" w:hAnsi="Traditional Arabic"/>
          <w:sz w:val="32"/>
          <w:szCs w:val="32"/>
          <w:rtl/>
        </w:rPr>
        <w:t>أورده ابن عطية في المحرر الوجيز (3/507) غير منسوب.</w:t>
      </w:r>
      <w:r>
        <w:rPr>
          <w:rFonts w:ascii="Tahoma" w:hAnsi="Tahoma"/>
          <w:rtl/>
        </w:rPr>
        <w:t xml:space="preserve">  </w:t>
      </w:r>
    </w:p>
  </w:footnote>
  <w:footnote w:id="1104">
    <w:p w:rsidR="003F128F" w:rsidRPr="002E251D" w:rsidRDefault="003F128F" w:rsidP="005A6369">
      <w:pPr>
        <w:pStyle w:val="af3"/>
        <w:rPr>
          <w:rFonts w:ascii="Traditional Arabic" w:hAnsi="Traditional Arabic"/>
          <w:sz w:val="32"/>
          <w:szCs w:val="32"/>
        </w:rPr>
      </w:pPr>
      <w:r w:rsidRPr="002E251D">
        <w:rPr>
          <w:rFonts w:ascii="Traditional Arabic" w:hAnsi="Traditional Arabic"/>
          <w:sz w:val="32"/>
          <w:szCs w:val="32"/>
          <w:rtl/>
        </w:rPr>
        <w:t>(</w:t>
      </w:r>
      <w:r w:rsidRPr="002E251D">
        <w:rPr>
          <w:rStyle w:val="ae"/>
          <w:rFonts w:ascii="Traditional Arabic" w:hAnsi="Traditional Arabic"/>
          <w:sz w:val="32"/>
          <w:szCs w:val="32"/>
          <w:vertAlign w:val="baseline"/>
        </w:rPr>
        <w:footnoteRef/>
      </w:r>
      <w:r w:rsidRPr="002E251D">
        <w:rPr>
          <w:rFonts w:ascii="Traditional Arabic" w:hAnsi="Traditional Arabic"/>
          <w:sz w:val="32"/>
          <w:szCs w:val="32"/>
          <w:rtl/>
        </w:rPr>
        <w:t>)</w:t>
      </w:r>
      <w:r>
        <w:rPr>
          <w:rFonts w:ascii="Traditional Arabic" w:hAnsi="Traditional Arabic" w:hint="cs"/>
          <w:sz w:val="32"/>
          <w:szCs w:val="32"/>
          <w:rtl/>
        </w:rPr>
        <w:t xml:space="preserve"> </w:t>
      </w:r>
      <w:r>
        <w:rPr>
          <w:rFonts w:ascii="Traditional Arabic" w:hAnsi="Traditional Arabic"/>
          <w:sz w:val="32"/>
          <w:szCs w:val="32"/>
          <w:rtl/>
        </w:rPr>
        <w:t>ما بين ال</w:t>
      </w:r>
      <w:r>
        <w:rPr>
          <w:rFonts w:ascii="Traditional Arabic" w:hAnsi="Traditional Arabic" w:hint="cs"/>
          <w:sz w:val="32"/>
          <w:szCs w:val="32"/>
          <w:rtl/>
        </w:rPr>
        <w:t>معكوفتين</w:t>
      </w:r>
      <w:r>
        <w:rPr>
          <w:rFonts w:ascii="Traditional Arabic" w:hAnsi="Traditional Arabic"/>
          <w:sz w:val="32"/>
          <w:szCs w:val="32"/>
          <w:rtl/>
        </w:rPr>
        <w:t xml:space="preserve"> ساقط من</w:t>
      </w:r>
      <w:r>
        <w:rPr>
          <w:rFonts w:ascii="Traditional Arabic" w:hAnsi="Traditional Arabic" w:hint="cs"/>
          <w:sz w:val="32"/>
          <w:szCs w:val="32"/>
          <w:rtl/>
        </w:rPr>
        <w:t xml:space="preserve"> الأصل, </w:t>
      </w:r>
      <w:r>
        <w:rPr>
          <w:rFonts w:ascii="Traditional Arabic" w:hAnsi="Traditional Arabic"/>
          <w:sz w:val="32"/>
          <w:szCs w:val="32"/>
          <w:rtl/>
        </w:rPr>
        <w:t>و</w:t>
      </w:r>
      <w:r>
        <w:rPr>
          <w:rFonts w:ascii="Traditional Arabic" w:hAnsi="Traditional Arabic" w:hint="cs"/>
          <w:sz w:val="32"/>
          <w:szCs w:val="32"/>
          <w:rtl/>
        </w:rPr>
        <w:t>المثبت</w:t>
      </w:r>
      <w:r>
        <w:rPr>
          <w:rFonts w:ascii="Traditional Arabic" w:hAnsi="Traditional Arabic"/>
          <w:sz w:val="32"/>
          <w:szCs w:val="32"/>
          <w:rtl/>
        </w:rPr>
        <w:t xml:space="preserve"> من (</w:t>
      </w:r>
      <w:r>
        <w:rPr>
          <w:rFonts w:ascii="Traditional Arabic" w:hAnsi="Traditional Arabic" w:hint="cs"/>
          <w:sz w:val="32"/>
          <w:szCs w:val="32"/>
          <w:rtl/>
        </w:rPr>
        <w:t>ك</w:t>
      </w:r>
      <w:r w:rsidRPr="002A1207">
        <w:rPr>
          <w:rFonts w:ascii="Traditional Arabic" w:hAnsi="Traditional Arabic"/>
          <w:sz w:val="32"/>
          <w:szCs w:val="32"/>
          <w:rtl/>
        </w:rPr>
        <w:t>)</w:t>
      </w:r>
      <w:r>
        <w:rPr>
          <w:rFonts w:ascii="Traditional Arabic" w:hAnsi="Traditional Arabic" w:hint="cs"/>
          <w:sz w:val="32"/>
          <w:szCs w:val="32"/>
          <w:rtl/>
        </w:rPr>
        <w:t>.</w:t>
      </w:r>
    </w:p>
  </w:footnote>
  <w:footnote w:id="1105">
    <w:p w:rsidR="003F128F" w:rsidRPr="00FB660D" w:rsidRDefault="003F128F" w:rsidP="005C21CD">
      <w:pPr>
        <w:pStyle w:val="af3"/>
        <w:rPr>
          <w:rFonts w:ascii="Traditional Arabic" w:hAnsi="Traditional Arabic"/>
          <w:sz w:val="32"/>
          <w:szCs w:val="32"/>
        </w:rPr>
      </w:pPr>
      <w:r w:rsidRPr="00FB660D">
        <w:rPr>
          <w:rFonts w:ascii="Traditional Arabic" w:hAnsi="Traditional Arabic"/>
          <w:sz w:val="32"/>
          <w:szCs w:val="32"/>
          <w:rtl/>
        </w:rPr>
        <w:t>(</w:t>
      </w:r>
      <w:r w:rsidRPr="00FB660D">
        <w:rPr>
          <w:rStyle w:val="ae"/>
          <w:rFonts w:ascii="Traditional Arabic" w:hAnsi="Traditional Arabic"/>
          <w:sz w:val="32"/>
          <w:szCs w:val="32"/>
          <w:vertAlign w:val="baseline"/>
        </w:rPr>
        <w:footnoteRef/>
      </w:r>
      <w:r w:rsidRPr="00FB660D">
        <w:rPr>
          <w:rFonts w:ascii="Traditional Arabic" w:hAnsi="Traditional Arabic"/>
          <w:sz w:val="32"/>
          <w:szCs w:val="32"/>
          <w:rtl/>
        </w:rPr>
        <w:t>) معاني القرآن وإعرابه (3/276).</w:t>
      </w:r>
    </w:p>
  </w:footnote>
  <w:footnote w:id="1106">
    <w:p w:rsidR="003F128F" w:rsidRPr="00FB660D" w:rsidRDefault="003F128F" w:rsidP="001C6638">
      <w:pPr>
        <w:pStyle w:val="af3"/>
        <w:rPr>
          <w:rFonts w:ascii="Traditional Arabic" w:hAnsi="Traditional Arabic"/>
          <w:sz w:val="32"/>
          <w:szCs w:val="32"/>
        </w:rPr>
      </w:pPr>
      <w:r w:rsidRPr="00FB660D">
        <w:rPr>
          <w:rFonts w:ascii="Traditional Arabic" w:hAnsi="Traditional Arabic"/>
          <w:sz w:val="32"/>
          <w:szCs w:val="32"/>
          <w:rtl/>
        </w:rPr>
        <w:t>(</w:t>
      </w:r>
      <w:r w:rsidRPr="00FB660D">
        <w:rPr>
          <w:rStyle w:val="ae"/>
          <w:rFonts w:ascii="Traditional Arabic" w:hAnsi="Traditional Arabic"/>
          <w:sz w:val="32"/>
          <w:szCs w:val="32"/>
          <w:vertAlign w:val="baseline"/>
        </w:rPr>
        <w:footnoteRef/>
      </w:r>
      <w:r w:rsidRPr="00FB660D">
        <w:rPr>
          <w:rFonts w:ascii="Traditional Arabic" w:hAnsi="Traditional Arabic"/>
          <w:sz w:val="32"/>
          <w:szCs w:val="32"/>
          <w:rtl/>
        </w:rPr>
        <w:t xml:space="preserve">) نَجْرَان: بفتح النون وإسكان الجيم: بين مكة واليمن، قيل: أول من عمرها نجران بن زيدان بن سبأ بن قحطان، وكان أهلها يدينون بالنصرانية، حتى فتحت </w:t>
      </w:r>
      <w:r>
        <w:rPr>
          <w:rFonts w:ascii="Traditional Arabic" w:hAnsi="Traditional Arabic" w:hint="cs"/>
          <w:sz w:val="32"/>
          <w:szCs w:val="32"/>
          <w:rtl/>
        </w:rPr>
        <w:t>في ال</w:t>
      </w:r>
      <w:r w:rsidRPr="00FB660D">
        <w:rPr>
          <w:rFonts w:ascii="Traditional Arabic" w:hAnsi="Traditional Arabic"/>
          <w:sz w:val="32"/>
          <w:szCs w:val="32"/>
          <w:rtl/>
        </w:rPr>
        <w:t xml:space="preserve">سنة </w:t>
      </w:r>
      <w:r>
        <w:rPr>
          <w:rFonts w:ascii="Traditional Arabic" w:hAnsi="Traditional Arabic" w:hint="cs"/>
          <w:sz w:val="32"/>
          <w:szCs w:val="32"/>
          <w:rtl/>
        </w:rPr>
        <w:t>ال</w:t>
      </w:r>
      <w:r>
        <w:rPr>
          <w:rFonts w:ascii="Traditional Arabic" w:hAnsi="Traditional Arabic"/>
          <w:sz w:val="32"/>
          <w:szCs w:val="32"/>
          <w:rtl/>
        </w:rPr>
        <w:t>ع</w:t>
      </w:r>
      <w:r>
        <w:rPr>
          <w:rFonts w:ascii="Traditional Arabic" w:hAnsi="Traditional Arabic" w:hint="cs"/>
          <w:sz w:val="32"/>
          <w:szCs w:val="32"/>
          <w:rtl/>
        </w:rPr>
        <w:t>اشرة من الهجرة</w:t>
      </w:r>
      <w:r w:rsidRPr="00FB660D">
        <w:rPr>
          <w:rFonts w:ascii="Traditional Arabic" w:hAnsi="Traditional Arabic"/>
          <w:sz w:val="32"/>
          <w:szCs w:val="32"/>
          <w:rtl/>
        </w:rPr>
        <w:t xml:space="preserve"> صلحًا، انظر: معجم ما استعجم </w:t>
      </w:r>
      <w:r>
        <w:rPr>
          <w:rFonts w:ascii="Traditional Arabic" w:hAnsi="Traditional Arabic" w:hint="cs"/>
          <w:sz w:val="32"/>
          <w:szCs w:val="32"/>
          <w:rtl/>
        </w:rPr>
        <w:t xml:space="preserve">لأبي عبيد البكري </w:t>
      </w:r>
      <w:r w:rsidRPr="00FB660D">
        <w:rPr>
          <w:rFonts w:ascii="Traditional Arabic" w:hAnsi="Traditional Arabic"/>
          <w:sz w:val="32"/>
          <w:szCs w:val="32"/>
          <w:rtl/>
        </w:rPr>
        <w:t>(</w:t>
      </w:r>
      <w:r>
        <w:rPr>
          <w:rFonts w:ascii="Traditional Arabic" w:hAnsi="Traditional Arabic" w:hint="cs"/>
          <w:sz w:val="32"/>
          <w:szCs w:val="32"/>
          <w:rtl/>
        </w:rPr>
        <w:t>4/</w:t>
      </w:r>
      <w:r w:rsidRPr="00FB660D">
        <w:rPr>
          <w:rFonts w:ascii="Traditional Arabic" w:hAnsi="Traditional Arabic"/>
          <w:sz w:val="32"/>
          <w:szCs w:val="32"/>
          <w:rtl/>
        </w:rPr>
        <w:t>1298)،</w:t>
      </w:r>
      <w:r w:rsidRPr="00D91617">
        <w:rPr>
          <w:rFonts w:ascii="Traditional Arabic" w:hAnsi="Traditional Arabic"/>
          <w:sz w:val="32"/>
          <w:szCs w:val="32"/>
          <w:rtl/>
        </w:rPr>
        <w:t xml:space="preserve"> </w:t>
      </w:r>
      <w:r w:rsidRPr="00FB660D">
        <w:rPr>
          <w:rFonts w:ascii="Traditional Arabic" w:hAnsi="Traditional Arabic"/>
          <w:sz w:val="32"/>
          <w:szCs w:val="32"/>
          <w:rtl/>
        </w:rPr>
        <w:t>معجم البلدان</w:t>
      </w:r>
      <w:r>
        <w:rPr>
          <w:rFonts w:ascii="Traditional Arabic" w:hAnsi="Traditional Arabic" w:hint="cs"/>
          <w:sz w:val="32"/>
          <w:szCs w:val="32"/>
          <w:rtl/>
        </w:rPr>
        <w:t xml:space="preserve"> للحموي</w:t>
      </w:r>
      <w:r w:rsidRPr="00FB660D">
        <w:rPr>
          <w:rFonts w:ascii="Traditional Arabic" w:hAnsi="Traditional Arabic"/>
          <w:sz w:val="32"/>
          <w:szCs w:val="32"/>
          <w:rtl/>
        </w:rPr>
        <w:t xml:space="preserve"> (5/266)</w:t>
      </w:r>
      <w:r>
        <w:rPr>
          <w:rFonts w:ascii="Traditional Arabic" w:hAnsi="Traditional Arabic" w:hint="cs"/>
          <w:sz w:val="32"/>
          <w:szCs w:val="32"/>
          <w:rtl/>
        </w:rPr>
        <w:t xml:space="preserve">, </w:t>
      </w:r>
      <w:r w:rsidRPr="00FB660D">
        <w:rPr>
          <w:rFonts w:ascii="Traditional Arabic" w:hAnsi="Traditional Arabic"/>
          <w:sz w:val="32"/>
          <w:szCs w:val="32"/>
          <w:rtl/>
        </w:rPr>
        <w:t>تهذيب الأسماء واللغات</w:t>
      </w:r>
      <w:r>
        <w:rPr>
          <w:rFonts w:ascii="Traditional Arabic" w:hAnsi="Traditional Arabic" w:hint="cs"/>
          <w:sz w:val="32"/>
          <w:szCs w:val="32"/>
          <w:rtl/>
        </w:rPr>
        <w:t xml:space="preserve"> للنووي</w:t>
      </w:r>
      <w:r w:rsidRPr="00FB660D">
        <w:rPr>
          <w:rFonts w:ascii="Traditional Arabic" w:hAnsi="Traditional Arabic"/>
          <w:sz w:val="32"/>
          <w:szCs w:val="32"/>
          <w:rtl/>
        </w:rPr>
        <w:t xml:space="preserve"> (</w:t>
      </w:r>
      <w:r>
        <w:rPr>
          <w:rFonts w:ascii="Traditional Arabic" w:hAnsi="Traditional Arabic" w:hint="cs"/>
          <w:sz w:val="32"/>
          <w:szCs w:val="32"/>
          <w:rtl/>
        </w:rPr>
        <w:t>4</w:t>
      </w:r>
      <w:r w:rsidRPr="00FB660D">
        <w:rPr>
          <w:rFonts w:ascii="Traditional Arabic" w:hAnsi="Traditional Arabic"/>
          <w:sz w:val="32"/>
          <w:szCs w:val="32"/>
          <w:rtl/>
        </w:rPr>
        <w:t>/176)</w:t>
      </w:r>
      <w:r>
        <w:rPr>
          <w:rFonts w:ascii="Traditional Arabic" w:hAnsi="Traditional Arabic" w:hint="cs"/>
          <w:sz w:val="32"/>
          <w:szCs w:val="32"/>
          <w:rtl/>
        </w:rPr>
        <w:t>.</w:t>
      </w:r>
    </w:p>
  </w:footnote>
  <w:footnote w:id="1107">
    <w:p w:rsidR="003F128F" w:rsidRPr="00FB660D" w:rsidRDefault="003F128F" w:rsidP="005A6369">
      <w:pPr>
        <w:pStyle w:val="af3"/>
        <w:rPr>
          <w:rFonts w:ascii="Traditional Arabic" w:hAnsi="Traditional Arabic"/>
          <w:color w:val="auto"/>
          <w:sz w:val="32"/>
          <w:szCs w:val="32"/>
        </w:rPr>
      </w:pPr>
      <w:r w:rsidRPr="00FB660D">
        <w:rPr>
          <w:rFonts w:ascii="Traditional Arabic" w:hAnsi="Traditional Arabic"/>
          <w:sz w:val="32"/>
          <w:szCs w:val="32"/>
          <w:rtl/>
        </w:rPr>
        <w:t>(</w:t>
      </w:r>
      <w:r w:rsidRPr="00FB660D">
        <w:rPr>
          <w:rStyle w:val="ae"/>
          <w:rFonts w:ascii="Traditional Arabic" w:hAnsi="Traditional Arabic"/>
          <w:color w:val="auto"/>
          <w:sz w:val="32"/>
          <w:szCs w:val="32"/>
          <w:vertAlign w:val="baseline"/>
        </w:rPr>
        <w:footnoteRef/>
      </w:r>
      <w:r w:rsidRPr="00FB660D">
        <w:rPr>
          <w:rFonts w:ascii="Traditional Arabic" w:hAnsi="Traditional Arabic"/>
          <w:color w:val="auto"/>
          <w:sz w:val="32"/>
          <w:szCs w:val="32"/>
          <w:rtl/>
        </w:rPr>
        <w:t xml:space="preserve">) تسمى الملكانية: </w:t>
      </w:r>
      <w:r w:rsidRPr="00FB660D">
        <w:rPr>
          <w:rFonts w:ascii="Traditional Arabic" w:hAnsi="Traditional Arabic"/>
          <w:color w:val="auto"/>
          <w:sz w:val="32"/>
          <w:szCs w:val="32"/>
          <w:rtl/>
          <w:lang w:eastAsia="en-US"/>
        </w:rPr>
        <w:t>وهي فرقة من فرق النصارى,</w:t>
      </w:r>
      <w:r>
        <w:rPr>
          <w:rFonts w:ascii="Traditional Arabic" w:hAnsi="Traditional Arabic" w:hint="cs"/>
          <w:sz w:val="32"/>
          <w:szCs w:val="32"/>
          <w:rtl/>
          <w:lang w:eastAsia="en-US"/>
        </w:rPr>
        <w:t xml:space="preserve"> سميت بذلك نسبة إلى الملك</w:t>
      </w:r>
      <w:r>
        <w:rPr>
          <w:rFonts w:ascii="Traditional Arabic" w:hAnsi="Traditional Arabic" w:hint="cs"/>
          <w:color w:val="auto"/>
          <w:sz w:val="32"/>
          <w:szCs w:val="32"/>
          <w:rtl/>
          <w:lang w:eastAsia="en-US"/>
        </w:rPr>
        <w:t xml:space="preserve"> مرقيانوس,</w:t>
      </w:r>
      <w:r w:rsidRPr="00FB660D">
        <w:rPr>
          <w:rFonts w:ascii="Traditional Arabic" w:hAnsi="Traditional Arabic"/>
          <w:color w:val="auto"/>
          <w:sz w:val="32"/>
          <w:szCs w:val="32"/>
          <w:rtl/>
          <w:lang w:eastAsia="en-US"/>
        </w:rPr>
        <w:t xml:space="preserve"> ومعظم الروم ملكانية, قالوا: إن الكلمة اتحدت بجسد المسيح، وتدرعت بناسوته, ويعنون بالكلمة: أقنوم العلم، ويعنون بروح القدس أقنوم الحياة. انظر: </w:t>
      </w:r>
      <w:r w:rsidRPr="00FB660D">
        <w:rPr>
          <w:rFonts w:ascii="Traditional Arabic" w:hAnsi="Traditional Arabic"/>
          <w:color w:val="auto"/>
          <w:sz w:val="32"/>
          <w:szCs w:val="32"/>
          <w:rtl/>
        </w:rPr>
        <w:t xml:space="preserve">الفصل في الملل والأهواء والنحل لابن حزم الأندلسي (1/48), </w:t>
      </w:r>
      <w:r w:rsidRPr="00FB660D">
        <w:rPr>
          <w:rFonts w:ascii="Traditional Arabic" w:hAnsi="Traditional Arabic"/>
          <w:sz w:val="32"/>
          <w:szCs w:val="32"/>
          <w:rtl/>
        </w:rPr>
        <w:t>الملل والنحل للشهرستاني (</w:t>
      </w:r>
      <w:r>
        <w:rPr>
          <w:rFonts w:ascii="Traditional Arabic" w:hAnsi="Traditional Arabic" w:hint="cs"/>
          <w:sz w:val="32"/>
          <w:szCs w:val="32"/>
          <w:rtl/>
        </w:rPr>
        <w:t>ص244</w:t>
      </w:r>
      <w:r w:rsidRPr="00FB660D">
        <w:rPr>
          <w:rFonts w:ascii="Traditional Arabic" w:hAnsi="Traditional Arabic"/>
          <w:sz w:val="32"/>
          <w:szCs w:val="32"/>
          <w:rtl/>
        </w:rPr>
        <w:t>)</w:t>
      </w:r>
      <w:r w:rsidRPr="00FB660D">
        <w:rPr>
          <w:rFonts w:ascii="Traditional Arabic" w:hAnsi="Traditional Arabic"/>
          <w:color w:val="auto"/>
          <w:sz w:val="32"/>
          <w:szCs w:val="32"/>
          <w:rtl/>
        </w:rPr>
        <w:t>.</w:t>
      </w:r>
    </w:p>
  </w:footnote>
  <w:footnote w:id="1108">
    <w:p w:rsidR="003F128F" w:rsidRPr="00FB660D" w:rsidRDefault="003F128F" w:rsidP="005A6369">
      <w:pPr>
        <w:pStyle w:val="af3"/>
        <w:rPr>
          <w:rFonts w:ascii="Traditional Arabic" w:hAnsi="Traditional Arabic"/>
          <w:sz w:val="32"/>
          <w:szCs w:val="32"/>
        </w:rPr>
      </w:pPr>
      <w:r w:rsidRPr="00FB660D">
        <w:rPr>
          <w:rFonts w:ascii="Traditional Arabic" w:hAnsi="Traditional Arabic"/>
          <w:sz w:val="32"/>
          <w:szCs w:val="32"/>
          <w:rtl/>
        </w:rPr>
        <w:t>(</w:t>
      </w:r>
      <w:r w:rsidRPr="00FB660D">
        <w:rPr>
          <w:rStyle w:val="ae"/>
          <w:rFonts w:ascii="Traditional Arabic" w:hAnsi="Traditional Arabic"/>
          <w:sz w:val="32"/>
          <w:szCs w:val="32"/>
          <w:vertAlign w:val="baseline"/>
        </w:rPr>
        <w:footnoteRef/>
      </w:r>
      <w:r w:rsidRPr="00FB660D">
        <w:rPr>
          <w:rFonts w:ascii="Traditional Arabic" w:hAnsi="Traditional Arabic"/>
          <w:sz w:val="32"/>
          <w:szCs w:val="32"/>
          <w:rtl/>
        </w:rPr>
        <w:t>) اليعقوبية: فرقة من النصارى، منسوبون إلى يعقوب البرذعاني وكان راهبًا بالقسطنطينية، قالوا: إن المسيح هو الله نفسه -تعالى الله عما يقولون علوًّا كبيرًا- وإنه تعالى مات، وإن العالم بقي ثلاثة أيام بلا مدبر، ثم قام ورجع كما كان، وإنه عاد محدثًا وأن المحدث عاد قديمًا. انظر:</w:t>
      </w:r>
      <w:r w:rsidRPr="00FB660D">
        <w:rPr>
          <w:rFonts w:ascii="Traditional Arabic" w:hAnsi="Traditional Arabic"/>
          <w:color w:val="auto"/>
          <w:sz w:val="32"/>
          <w:szCs w:val="32"/>
          <w:rtl/>
        </w:rPr>
        <w:t xml:space="preserve"> الفصل في الملل والأهواء والنحل (1/48), </w:t>
      </w:r>
      <w:r w:rsidRPr="00FB660D">
        <w:rPr>
          <w:rFonts w:ascii="Traditional Arabic" w:hAnsi="Traditional Arabic"/>
          <w:sz w:val="32"/>
          <w:szCs w:val="32"/>
          <w:rtl/>
        </w:rPr>
        <w:t>الملل والنحل (</w:t>
      </w:r>
      <w:r>
        <w:rPr>
          <w:rFonts w:ascii="Traditional Arabic" w:hAnsi="Traditional Arabic" w:hint="cs"/>
          <w:sz w:val="32"/>
          <w:szCs w:val="32"/>
          <w:rtl/>
        </w:rPr>
        <w:t>ص247</w:t>
      </w:r>
      <w:r w:rsidRPr="00FB660D">
        <w:rPr>
          <w:rFonts w:ascii="Traditional Arabic" w:hAnsi="Traditional Arabic"/>
          <w:sz w:val="32"/>
          <w:szCs w:val="32"/>
          <w:rtl/>
        </w:rPr>
        <w:t>)</w:t>
      </w:r>
      <w:r w:rsidRPr="00FB660D">
        <w:rPr>
          <w:rFonts w:ascii="Traditional Arabic" w:hAnsi="Traditional Arabic"/>
          <w:color w:val="auto"/>
          <w:sz w:val="32"/>
          <w:szCs w:val="32"/>
          <w:rtl/>
        </w:rPr>
        <w:t>.</w:t>
      </w:r>
    </w:p>
  </w:footnote>
  <w:footnote w:id="1109">
    <w:p w:rsidR="003F128F" w:rsidRPr="005E6663" w:rsidRDefault="003F128F" w:rsidP="005A6369">
      <w:pPr>
        <w:pStyle w:val="af3"/>
        <w:rPr>
          <w:rFonts w:ascii="Traditional Arabic" w:hAnsi="Traditional Arabic"/>
          <w:sz w:val="32"/>
          <w:szCs w:val="32"/>
        </w:rPr>
      </w:pPr>
      <w:r w:rsidRPr="005E6663">
        <w:rPr>
          <w:rFonts w:ascii="Traditional Arabic" w:hAnsi="Traditional Arabic"/>
          <w:sz w:val="32"/>
          <w:szCs w:val="32"/>
          <w:rtl/>
        </w:rPr>
        <w:t>(</w:t>
      </w:r>
      <w:r w:rsidRPr="005E6663">
        <w:rPr>
          <w:rStyle w:val="ae"/>
          <w:rFonts w:ascii="Traditional Arabic" w:hAnsi="Traditional Arabic"/>
          <w:sz w:val="32"/>
          <w:szCs w:val="32"/>
          <w:vertAlign w:val="baseline"/>
        </w:rPr>
        <w:footnoteRef/>
      </w:r>
      <w:r w:rsidRPr="005E6663">
        <w:rPr>
          <w:rFonts w:ascii="Traditional Arabic" w:hAnsi="Traditional Arabic"/>
          <w:sz w:val="32"/>
          <w:szCs w:val="32"/>
          <w:rtl/>
        </w:rPr>
        <w:t xml:space="preserve">) النسطورية: فرقة من فرق النصارى، منسوبون إلى نسطور، وكان بالقسطنطينة، قالوا: إن مريم لم تلد الإله، وإنما ولدت الإنسان، وإن الله تعالى لم يلد الإنسان </w:t>
      </w:r>
      <w:r w:rsidRPr="005E6663">
        <w:rPr>
          <w:rFonts w:ascii="Traditional Arabic" w:hAnsi="Traditional Arabic"/>
          <w:sz w:val="32"/>
          <w:szCs w:val="32"/>
          <w:rtl/>
          <w:lang w:eastAsia="en-US"/>
        </w:rPr>
        <w:t xml:space="preserve">وإنما ولد الإله -تعالى الله عما يقولون- </w:t>
      </w:r>
      <w:r w:rsidRPr="005E6663">
        <w:rPr>
          <w:rFonts w:ascii="Traditional Arabic" w:hAnsi="Traditional Arabic"/>
          <w:sz w:val="32"/>
          <w:szCs w:val="32"/>
          <w:rtl/>
        </w:rPr>
        <w:t>انظر:</w:t>
      </w:r>
      <w:r w:rsidRPr="005E6663">
        <w:rPr>
          <w:rFonts w:ascii="Traditional Arabic" w:hAnsi="Traditional Arabic"/>
          <w:color w:val="auto"/>
          <w:sz w:val="32"/>
          <w:szCs w:val="32"/>
          <w:rtl/>
        </w:rPr>
        <w:t xml:space="preserve"> الفصل في الملل والأهواء والنحل (1/48), </w:t>
      </w:r>
      <w:r w:rsidRPr="005E6663">
        <w:rPr>
          <w:rFonts w:ascii="Traditional Arabic" w:hAnsi="Traditional Arabic"/>
          <w:sz w:val="32"/>
          <w:szCs w:val="32"/>
          <w:rtl/>
        </w:rPr>
        <w:t>الملل والنحل (ص246)</w:t>
      </w:r>
      <w:r w:rsidRPr="005E6663">
        <w:rPr>
          <w:rFonts w:ascii="Traditional Arabic" w:hAnsi="Traditional Arabic"/>
          <w:color w:val="auto"/>
          <w:sz w:val="32"/>
          <w:szCs w:val="32"/>
          <w:rtl/>
        </w:rPr>
        <w:t>.</w:t>
      </w:r>
    </w:p>
  </w:footnote>
  <w:footnote w:id="1110">
    <w:p w:rsidR="003F128F" w:rsidRPr="005E6663" w:rsidRDefault="003F128F" w:rsidP="00D126DB">
      <w:pPr>
        <w:ind w:firstLine="0"/>
        <w:rPr>
          <w:rFonts w:ascii="Traditional Arabic" w:hAnsi="Traditional Arabic"/>
          <w:sz w:val="32"/>
          <w:szCs w:val="32"/>
        </w:rPr>
      </w:pPr>
      <w:r w:rsidRPr="005E6663">
        <w:rPr>
          <w:rFonts w:ascii="Traditional Arabic" w:hAnsi="Traditional Arabic"/>
          <w:sz w:val="32"/>
          <w:szCs w:val="32"/>
          <w:rtl/>
        </w:rPr>
        <w:t>(</w:t>
      </w:r>
      <w:r w:rsidRPr="005E6663">
        <w:rPr>
          <w:rStyle w:val="ae"/>
          <w:rFonts w:ascii="Traditional Arabic" w:hAnsi="Traditional Arabic"/>
          <w:sz w:val="32"/>
          <w:szCs w:val="32"/>
          <w:vertAlign w:val="baseline"/>
        </w:rPr>
        <w:footnoteRef/>
      </w:r>
      <w:r w:rsidRPr="005E6663">
        <w:rPr>
          <w:rFonts w:ascii="Traditional Arabic" w:hAnsi="Traditional Arabic"/>
          <w:sz w:val="32"/>
          <w:szCs w:val="32"/>
          <w:rtl/>
        </w:rPr>
        <w:t>) ذكره أهل التفسير غير منسوب. انظر: بحر العلوم</w:t>
      </w:r>
      <w:r>
        <w:rPr>
          <w:rFonts w:ascii="Traditional Arabic" w:hAnsi="Traditional Arabic"/>
          <w:sz w:val="32"/>
          <w:szCs w:val="32"/>
          <w:rtl/>
        </w:rPr>
        <w:t xml:space="preserve"> (2/342), الكشف والبيان (6/162)</w:t>
      </w:r>
      <w:r>
        <w:rPr>
          <w:rFonts w:ascii="Traditional Arabic" w:hAnsi="Traditional Arabic" w:hint="cs"/>
          <w:sz w:val="32"/>
          <w:szCs w:val="32"/>
          <w:rtl/>
        </w:rPr>
        <w:t>.</w:t>
      </w:r>
      <w:r w:rsidRPr="005E6663">
        <w:rPr>
          <w:rFonts w:ascii="Traditional Arabic" w:hAnsi="Traditional Arabic"/>
          <w:sz w:val="32"/>
          <w:szCs w:val="32"/>
          <w:rtl/>
        </w:rPr>
        <w:t xml:space="preserve"> </w:t>
      </w:r>
    </w:p>
  </w:footnote>
  <w:footnote w:id="1111">
    <w:p w:rsidR="003F128F" w:rsidRPr="005E6663" w:rsidRDefault="003F128F" w:rsidP="005C21CD">
      <w:pPr>
        <w:pStyle w:val="af3"/>
        <w:rPr>
          <w:rFonts w:ascii="Traditional Arabic" w:hAnsi="Traditional Arabic"/>
          <w:sz w:val="32"/>
          <w:szCs w:val="32"/>
        </w:rPr>
      </w:pPr>
      <w:r w:rsidRPr="005E6663">
        <w:rPr>
          <w:rFonts w:ascii="Traditional Arabic" w:hAnsi="Traditional Arabic"/>
          <w:sz w:val="32"/>
          <w:szCs w:val="32"/>
          <w:rtl/>
        </w:rPr>
        <w:t>(</w:t>
      </w:r>
      <w:r w:rsidRPr="005E6663">
        <w:rPr>
          <w:rStyle w:val="ae"/>
          <w:rFonts w:ascii="Traditional Arabic" w:hAnsi="Traditional Arabic"/>
          <w:sz w:val="32"/>
          <w:szCs w:val="32"/>
          <w:vertAlign w:val="baseline"/>
        </w:rPr>
        <w:footnoteRef/>
      </w:r>
      <w:r w:rsidRPr="005E6663">
        <w:rPr>
          <w:rFonts w:ascii="Traditional Arabic" w:hAnsi="Traditional Arabic"/>
          <w:sz w:val="32"/>
          <w:szCs w:val="32"/>
          <w:rtl/>
        </w:rPr>
        <w:t>) انظر: النكت والعيون (3/297).</w:t>
      </w:r>
    </w:p>
  </w:footnote>
  <w:footnote w:id="1112">
    <w:p w:rsidR="003F128F" w:rsidRPr="005E6663" w:rsidRDefault="003F128F" w:rsidP="005C21CD">
      <w:pPr>
        <w:pStyle w:val="af3"/>
        <w:rPr>
          <w:rFonts w:ascii="Traditional Arabic" w:hAnsi="Traditional Arabic"/>
          <w:sz w:val="32"/>
          <w:szCs w:val="32"/>
        </w:rPr>
      </w:pPr>
      <w:r w:rsidRPr="005E6663">
        <w:rPr>
          <w:rFonts w:ascii="Traditional Arabic" w:hAnsi="Traditional Arabic"/>
          <w:sz w:val="32"/>
          <w:szCs w:val="32"/>
          <w:rtl/>
        </w:rPr>
        <w:t>(</w:t>
      </w:r>
      <w:r w:rsidRPr="005E6663">
        <w:rPr>
          <w:rStyle w:val="ae"/>
          <w:rFonts w:ascii="Traditional Arabic" w:hAnsi="Traditional Arabic"/>
          <w:sz w:val="32"/>
          <w:szCs w:val="32"/>
          <w:vertAlign w:val="baseline"/>
        </w:rPr>
        <w:footnoteRef/>
      </w:r>
      <w:r w:rsidRPr="005E6663">
        <w:rPr>
          <w:rFonts w:ascii="Traditional Arabic" w:hAnsi="Traditional Arabic"/>
          <w:sz w:val="32"/>
          <w:szCs w:val="32"/>
          <w:rtl/>
        </w:rPr>
        <w:t xml:space="preserve">) هو </w:t>
      </w:r>
      <w:r>
        <w:rPr>
          <w:rFonts w:ascii="Traditional Arabic" w:hAnsi="Traditional Arabic" w:hint="cs"/>
          <w:sz w:val="32"/>
          <w:szCs w:val="32"/>
          <w:rtl/>
        </w:rPr>
        <w:t xml:space="preserve">الشاعر </w:t>
      </w:r>
      <w:r w:rsidRPr="005E6663">
        <w:rPr>
          <w:rFonts w:ascii="Traditional Arabic" w:hAnsi="Traditional Arabic"/>
          <w:sz w:val="32"/>
          <w:szCs w:val="32"/>
          <w:rtl/>
        </w:rPr>
        <w:t>أبو كعب زهير بن أبي سلمى بن رياح بن قرة المزني، من مضر, حكيم الشعراء في الجاهلية, قيل: كان ينظم القصيدة في شهر وينقحها ويهذبها في سنة فكانت قصائده تسمى (الحوليّات), (ت13ق ه). انظر: الأعلام للزركلي (3/52)، معجم المؤلفين</w:t>
      </w:r>
      <w:r>
        <w:rPr>
          <w:rFonts w:ascii="Traditional Arabic" w:hAnsi="Traditional Arabic" w:hint="cs"/>
          <w:sz w:val="32"/>
          <w:szCs w:val="32"/>
          <w:rtl/>
        </w:rPr>
        <w:t xml:space="preserve"> لعمر كحالة</w:t>
      </w:r>
      <w:r w:rsidRPr="005E6663">
        <w:rPr>
          <w:rFonts w:ascii="Traditional Arabic" w:hAnsi="Traditional Arabic"/>
          <w:sz w:val="32"/>
          <w:szCs w:val="32"/>
          <w:rtl/>
        </w:rPr>
        <w:t xml:space="preserve"> (4/186).</w:t>
      </w:r>
    </w:p>
  </w:footnote>
  <w:footnote w:id="1113">
    <w:p w:rsidR="003F128F" w:rsidRPr="005E6663" w:rsidRDefault="003F128F" w:rsidP="005A6369">
      <w:pPr>
        <w:pStyle w:val="af3"/>
        <w:rPr>
          <w:rFonts w:ascii="Traditional Arabic" w:hAnsi="Traditional Arabic"/>
          <w:sz w:val="32"/>
          <w:szCs w:val="32"/>
        </w:rPr>
      </w:pPr>
      <w:r w:rsidRPr="005E6663">
        <w:rPr>
          <w:rFonts w:ascii="Traditional Arabic" w:hAnsi="Traditional Arabic"/>
          <w:sz w:val="32"/>
          <w:szCs w:val="32"/>
          <w:rtl/>
        </w:rPr>
        <w:t>(</w:t>
      </w:r>
      <w:r w:rsidRPr="005E6663">
        <w:rPr>
          <w:rStyle w:val="ae"/>
          <w:rFonts w:ascii="Traditional Arabic" w:hAnsi="Traditional Arabic"/>
          <w:sz w:val="32"/>
          <w:szCs w:val="32"/>
          <w:vertAlign w:val="baseline"/>
        </w:rPr>
        <w:footnoteRef/>
      </w:r>
      <w:r w:rsidRPr="005E6663">
        <w:rPr>
          <w:rFonts w:ascii="Traditional Arabic" w:hAnsi="Traditional Arabic"/>
          <w:sz w:val="32"/>
          <w:szCs w:val="32"/>
          <w:rtl/>
        </w:rPr>
        <w:t xml:space="preserve">) ديوان زهير (ص107). </w:t>
      </w:r>
    </w:p>
  </w:footnote>
  <w:footnote w:id="1114">
    <w:p w:rsidR="003F128F" w:rsidRPr="005E6663" w:rsidRDefault="003F128F" w:rsidP="005C21CD">
      <w:pPr>
        <w:pStyle w:val="af3"/>
        <w:rPr>
          <w:rFonts w:ascii="Traditional Arabic" w:hAnsi="Traditional Arabic"/>
          <w:sz w:val="32"/>
          <w:szCs w:val="32"/>
        </w:rPr>
      </w:pPr>
      <w:r w:rsidRPr="005E6663">
        <w:rPr>
          <w:rFonts w:ascii="Traditional Arabic" w:hAnsi="Traditional Arabic"/>
          <w:sz w:val="32"/>
          <w:szCs w:val="32"/>
          <w:rtl/>
        </w:rPr>
        <w:t>(</w:t>
      </w:r>
      <w:r w:rsidRPr="005E6663">
        <w:rPr>
          <w:rStyle w:val="ae"/>
          <w:rFonts w:ascii="Traditional Arabic" w:hAnsi="Traditional Arabic"/>
          <w:sz w:val="32"/>
          <w:szCs w:val="32"/>
          <w:vertAlign w:val="baseline"/>
        </w:rPr>
        <w:footnoteRef/>
      </w:r>
      <w:r w:rsidRPr="005E6663">
        <w:rPr>
          <w:rFonts w:ascii="Traditional Arabic" w:hAnsi="Traditional Arabic"/>
          <w:sz w:val="32"/>
          <w:szCs w:val="32"/>
          <w:rtl/>
        </w:rPr>
        <w:t xml:space="preserve">) </w:t>
      </w:r>
      <w:r>
        <w:rPr>
          <w:rFonts w:ascii="Traditional Arabic" w:hAnsi="Traditional Arabic" w:hint="cs"/>
          <w:sz w:val="32"/>
          <w:szCs w:val="32"/>
          <w:rtl/>
        </w:rPr>
        <w:t xml:space="preserve">انظر: </w:t>
      </w:r>
      <w:r w:rsidRPr="00FB660D">
        <w:rPr>
          <w:rFonts w:ascii="Traditional Arabic" w:hAnsi="Traditional Arabic"/>
          <w:sz w:val="32"/>
          <w:szCs w:val="32"/>
          <w:rtl/>
        </w:rPr>
        <w:t>معاني القرآن وإعرابه (3/276).</w:t>
      </w:r>
    </w:p>
  </w:footnote>
  <w:footnote w:id="1115">
    <w:p w:rsidR="003F128F" w:rsidRPr="00396414" w:rsidRDefault="003F128F" w:rsidP="005A6369">
      <w:pPr>
        <w:pStyle w:val="af3"/>
        <w:rPr>
          <w:rFonts w:ascii="Traditional Arabic" w:hAnsi="Traditional Arabic"/>
          <w:sz w:val="32"/>
          <w:szCs w:val="32"/>
        </w:rPr>
      </w:pPr>
      <w:r w:rsidRPr="00396414">
        <w:rPr>
          <w:rFonts w:ascii="Traditional Arabic" w:hAnsi="Traditional Arabic"/>
          <w:sz w:val="32"/>
          <w:szCs w:val="32"/>
          <w:rtl/>
        </w:rPr>
        <w:t>(</w:t>
      </w:r>
      <w:r w:rsidRPr="00396414">
        <w:rPr>
          <w:rStyle w:val="ae"/>
          <w:rFonts w:ascii="Traditional Arabic" w:hAnsi="Traditional Arabic"/>
          <w:sz w:val="32"/>
          <w:szCs w:val="32"/>
          <w:vertAlign w:val="baseline"/>
        </w:rPr>
        <w:footnoteRef/>
      </w:r>
      <w:r w:rsidRPr="00396414">
        <w:rPr>
          <w:rFonts w:ascii="Traditional Arabic" w:hAnsi="Traditional Arabic"/>
          <w:sz w:val="32"/>
          <w:szCs w:val="32"/>
          <w:rtl/>
        </w:rPr>
        <w:t>)</w:t>
      </w:r>
      <w:r>
        <w:rPr>
          <w:rFonts w:ascii="Traditional Arabic" w:hAnsi="Traditional Arabic" w:hint="cs"/>
          <w:sz w:val="32"/>
          <w:szCs w:val="32"/>
          <w:rtl/>
        </w:rPr>
        <w:t xml:space="preserve"> </w:t>
      </w:r>
      <w:r>
        <w:rPr>
          <w:rFonts w:ascii="Traditional Arabic" w:hAnsi="Traditional Arabic"/>
          <w:sz w:val="32"/>
          <w:szCs w:val="32"/>
          <w:rtl/>
        </w:rPr>
        <w:t>ما بين ال</w:t>
      </w:r>
      <w:r>
        <w:rPr>
          <w:rFonts w:ascii="Traditional Arabic" w:hAnsi="Traditional Arabic" w:hint="cs"/>
          <w:sz w:val="32"/>
          <w:szCs w:val="32"/>
          <w:rtl/>
        </w:rPr>
        <w:t>معكوفتين</w:t>
      </w:r>
      <w:r>
        <w:rPr>
          <w:rFonts w:ascii="Traditional Arabic" w:hAnsi="Traditional Arabic"/>
          <w:sz w:val="32"/>
          <w:szCs w:val="32"/>
          <w:rtl/>
        </w:rPr>
        <w:t xml:space="preserve"> ساقط من</w:t>
      </w:r>
      <w:r>
        <w:rPr>
          <w:rFonts w:ascii="Traditional Arabic" w:hAnsi="Traditional Arabic" w:hint="cs"/>
          <w:sz w:val="32"/>
          <w:szCs w:val="32"/>
          <w:rtl/>
        </w:rPr>
        <w:t xml:space="preserve"> الأصل, </w:t>
      </w:r>
      <w:r>
        <w:rPr>
          <w:rFonts w:ascii="Traditional Arabic" w:hAnsi="Traditional Arabic"/>
          <w:sz w:val="32"/>
          <w:szCs w:val="32"/>
          <w:rtl/>
        </w:rPr>
        <w:t>و</w:t>
      </w:r>
      <w:r>
        <w:rPr>
          <w:rFonts w:ascii="Traditional Arabic" w:hAnsi="Traditional Arabic" w:hint="cs"/>
          <w:sz w:val="32"/>
          <w:szCs w:val="32"/>
          <w:rtl/>
        </w:rPr>
        <w:t>المثبت</w:t>
      </w:r>
      <w:r>
        <w:rPr>
          <w:rFonts w:ascii="Traditional Arabic" w:hAnsi="Traditional Arabic"/>
          <w:sz w:val="32"/>
          <w:szCs w:val="32"/>
          <w:rtl/>
        </w:rPr>
        <w:t xml:space="preserve"> من (</w:t>
      </w:r>
      <w:r>
        <w:rPr>
          <w:rFonts w:ascii="Traditional Arabic" w:hAnsi="Traditional Arabic" w:hint="cs"/>
          <w:sz w:val="32"/>
          <w:szCs w:val="32"/>
          <w:rtl/>
        </w:rPr>
        <w:t>ك</w:t>
      </w:r>
      <w:r w:rsidRPr="002A1207">
        <w:rPr>
          <w:rFonts w:ascii="Traditional Arabic" w:hAnsi="Traditional Arabic"/>
          <w:sz w:val="32"/>
          <w:szCs w:val="32"/>
          <w:rtl/>
        </w:rPr>
        <w:t>)</w:t>
      </w:r>
      <w:r>
        <w:rPr>
          <w:rFonts w:ascii="Traditional Arabic" w:hAnsi="Traditional Arabic" w:hint="cs"/>
          <w:sz w:val="32"/>
          <w:szCs w:val="32"/>
          <w:rtl/>
        </w:rPr>
        <w:t>.</w:t>
      </w:r>
    </w:p>
  </w:footnote>
  <w:footnote w:id="1116">
    <w:p w:rsidR="003F128F" w:rsidRPr="00EF611E" w:rsidRDefault="003F128F" w:rsidP="005A6369">
      <w:pPr>
        <w:pStyle w:val="af3"/>
        <w:rPr>
          <w:rFonts w:ascii="Traditional Arabic" w:hAnsi="Traditional Arabic"/>
          <w:sz w:val="32"/>
          <w:szCs w:val="32"/>
        </w:rPr>
      </w:pPr>
      <w:r w:rsidRPr="00EF611E">
        <w:rPr>
          <w:rFonts w:ascii="Traditional Arabic" w:hAnsi="Traditional Arabic"/>
          <w:sz w:val="32"/>
          <w:szCs w:val="32"/>
          <w:rtl/>
        </w:rPr>
        <w:t>(</w:t>
      </w:r>
      <w:r w:rsidRPr="00EF611E">
        <w:rPr>
          <w:rStyle w:val="ae"/>
          <w:rFonts w:ascii="Traditional Arabic" w:hAnsi="Traditional Arabic"/>
          <w:sz w:val="32"/>
          <w:szCs w:val="32"/>
          <w:vertAlign w:val="baseline"/>
        </w:rPr>
        <w:footnoteRef/>
      </w:r>
      <w:r>
        <w:rPr>
          <w:rFonts w:ascii="Traditional Arabic" w:hAnsi="Traditional Arabic"/>
          <w:sz w:val="32"/>
          <w:szCs w:val="32"/>
          <w:rtl/>
        </w:rPr>
        <w:t>) هو أَبُو نصر</w:t>
      </w:r>
      <w:r>
        <w:rPr>
          <w:rFonts w:ascii="Traditional Arabic" w:hAnsi="Traditional Arabic" w:hint="cs"/>
          <w:sz w:val="32"/>
          <w:szCs w:val="32"/>
          <w:rtl/>
        </w:rPr>
        <w:t>,</w:t>
      </w:r>
      <w:r>
        <w:rPr>
          <w:rFonts w:ascii="Traditional Arabic" w:hAnsi="Traditional Arabic"/>
          <w:sz w:val="32"/>
          <w:szCs w:val="32"/>
          <w:rtl/>
        </w:rPr>
        <w:t xml:space="preserve"> ال</w:t>
      </w:r>
      <w:r>
        <w:rPr>
          <w:rFonts w:ascii="Traditional Arabic" w:hAnsi="Traditional Arabic" w:hint="cs"/>
          <w:sz w:val="32"/>
          <w:szCs w:val="32"/>
          <w:rtl/>
        </w:rPr>
        <w:t>حس</w:t>
      </w:r>
      <w:r>
        <w:rPr>
          <w:rFonts w:ascii="Traditional Arabic" w:hAnsi="Traditional Arabic"/>
          <w:sz w:val="32"/>
          <w:szCs w:val="32"/>
          <w:rtl/>
        </w:rPr>
        <w:t xml:space="preserve">ن بن أسد بن </w:t>
      </w:r>
      <w:r>
        <w:rPr>
          <w:rFonts w:ascii="Traditional Arabic" w:hAnsi="Traditional Arabic" w:hint="cs"/>
          <w:sz w:val="32"/>
          <w:szCs w:val="32"/>
          <w:rtl/>
        </w:rPr>
        <w:t>ال</w:t>
      </w:r>
      <w:r w:rsidRPr="00EF611E">
        <w:rPr>
          <w:rFonts w:ascii="Traditional Arabic" w:hAnsi="Traditional Arabic"/>
          <w:sz w:val="32"/>
          <w:szCs w:val="32"/>
          <w:rtl/>
        </w:rPr>
        <w:t xml:space="preserve">حسن </w:t>
      </w:r>
      <w:r w:rsidRPr="00EF611E">
        <w:rPr>
          <w:rFonts w:ascii="Traditional Arabic" w:hAnsi="Traditional Arabic"/>
          <w:color w:val="auto"/>
          <w:sz w:val="32"/>
          <w:szCs w:val="32"/>
          <w:rtl/>
          <w:lang w:eastAsia="en-US"/>
        </w:rPr>
        <w:t>الفَارِقِيُّ</w:t>
      </w:r>
      <w:r w:rsidRPr="00EF611E">
        <w:rPr>
          <w:rFonts w:ascii="Traditional Arabic" w:hAnsi="Traditional Arabic"/>
          <w:color w:val="auto"/>
          <w:sz w:val="32"/>
          <w:szCs w:val="32"/>
          <w:rtl/>
        </w:rPr>
        <w:t>, النَّحْوِيّ</w:t>
      </w:r>
      <w:r w:rsidRPr="00EF611E">
        <w:rPr>
          <w:rFonts w:ascii="Traditional Arabic" w:hAnsi="Traditional Arabic"/>
          <w:sz w:val="32"/>
          <w:szCs w:val="32"/>
          <w:rtl/>
        </w:rPr>
        <w:t>, الشاعر, شيخ الأدب, تولى الوزارة بأيام نظام الْملك بآمد, من تصانيفه "شرح اللمع لِابْنِ جنى", و"الألغاز", وغيرها, (ت487ه). انظر: سير أعلام النبلاء (19/81), الوافي بالوفيات (11/308),كشف الظنون (2/1562).</w:t>
      </w:r>
    </w:p>
  </w:footnote>
  <w:footnote w:id="1117">
    <w:p w:rsidR="003F128F" w:rsidRPr="00EF611E" w:rsidRDefault="003F128F" w:rsidP="008265A7">
      <w:pPr>
        <w:pStyle w:val="af3"/>
        <w:rPr>
          <w:rFonts w:ascii="Traditional Arabic" w:hAnsi="Traditional Arabic"/>
          <w:sz w:val="32"/>
          <w:szCs w:val="32"/>
        </w:rPr>
      </w:pPr>
      <w:r w:rsidRPr="00EF611E">
        <w:rPr>
          <w:rFonts w:ascii="Traditional Arabic" w:hAnsi="Traditional Arabic"/>
          <w:sz w:val="32"/>
          <w:szCs w:val="32"/>
          <w:rtl/>
        </w:rPr>
        <w:t>(</w:t>
      </w:r>
      <w:r w:rsidRPr="00EF611E">
        <w:rPr>
          <w:rStyle w:val="ae"/>
          <w:rFonts w:ascii="Traditional Arabic" w:hAnsi="Traditional Arabic"/>
          <w:sz w:val="32"/>
          <w:szCs w:val="32"/>
          <w:vertAlign w:val="baseline"/>
        </w:rPr>
        <w:footnoteRef/>
      </w:r>
      <w:r w:rsidRPr="00EF611E">
        <w:rPr>
          <w:rFonts w:ascii="Traditional Arabic" w:hAnsi="Traditional Arabic"/>
          <w:sz w:val="32"/>
          <w:szCs w:val="32"/>
          <w:rtl/>
        </w:rPr>
        <w:t>) لم أقف على كتابه شرح اللمع, وبنحو كلامه ذكر</w:t>
      </w:r>
      <w:r>
        <w:rPr>
          <w:rFonts w:ascii="Traditional Arabic" w:hAnsi="Traditional Arabic" w:hint="cs"/>
          <w:sz w:val="32"/>
          <w:szCs w:val="32"/>
          <w:rtl/>
        </w:rPr>
        <w:t xml:space="preserve"> بعض</w:t>
      </w:r>
      <w:r w:rsidRPr="00EF611E">
        <w:rPr>
          <w:rFonts w:ascii="Traditional Arabic" w:hAnsi="Traditional Arabic"/>
          <w:sz w:val="32"/>
          <w:szCs w:val="32"/>
          <w:rtl/>
        </w:rPr>
        <w:t xml:space="preserve"> </w:t>
      </w:r>
      <w:r>
        <w:rPr>
          <w:rFonts w:ascii="Traditional Arabic" w:hAnsi="Traditional Arabic" w:hint="cs"/>
          <w:sz w:val="32"/>
          <w:szCs w:val="32"/>
          <w:rtl/>
        </w:rPr>
        <w:t>المفسرين</w:t>
      </w:r>
      <w:r w:rsidRPr="00EF611E">
        <w:rPr>
          <w:rFonts w:ascii="Traditional Arabic" w:hAnsi="Traditional Arabic"/>
          <w:sz w:val="32"/>
          <w:szCs w:val="32"/>
          <w:rtl/>
        </w:rPr>
        <w:t>. انظر: رموز الكنوز (4/265).</w:t>
      </w:r>
    </w:p>
  </w:footnote>
  <w:footnote w:id="1118">
    <w:p w:rsidR="003F128F" w:rsidRPr="00396414" w:rsidRDefault="003F128F" w:rsidP="005C21CD">
      <w:pPr>
        <w:pStyle w:val="af3"/>
        <w:rPr>
          <w:rFonts w:ascii="Traditional Arabic" w:hAnsi="Traditional Arabic"/>
          <w:sz w:val="32"/>
          <w:szCs w:val="32"/>
        </w:rPr>
      </w:pPr>
      <w:r w:rsidRPr="00396414">
        <w:rPr>
          <w:rFonts w:ascii="Traditional Arabic" w:hAnsi="Traditional Arabic"/>
          <w:sz w:val="32"/>
          <w:szCs w:val="32"/>
          <w:rtl/>
        </w:rPr>
        <w:t>(</w:t>
      </w:r>
      <w:r w:rsidRPr="00396414">
        <w:rPr>
          <w:rStyle w:val="ae"/>
          <w:rFonts w:ascii="Traditional Arabic" w:hAnsi="Traditional Arabic"/>
          <w:sz w:val="32"/>
          <w:szCs w:val="32"/>
          <w:vertAlign w:val="baseline"/>
        </w:rPr>
        <w:footnoteRef/>
      </w:r>
      <w:r w:rsidRPr="00396414">
        <w:rPr>
          <w:rFonts w:ascii="Traditional Arabic" w:hAnsi="Traditional Arabic"/>
          <w:sz w:val="32"/>
          <w:szCs w:val="32"/>
          <w:rtl/>
        </w:rPr>
        <w:t xml:space="preserve">) انظر: معاني القرآن وإعرابه (3/277). </w:t>
      </w:r>
    </w:p>
  </w:footnote>
  <w:footnote w:id="1119">
    <w:p w:rsidR="003F128F" w:rsidRPr="00396414" w:rsidRDefault="003F128F" w:rsidP="005C21CD">
      <w:pPr>
        <w:pStyle w:val="af3"/>
        <w:rPr>
          <w:rFonts w:ascii="Traditional Arabic" w:hAnsi="Traditional Arabic"/>
          <w:sz w:val="32"/>
          <w:szCs w:val="32"/>
        </w:rPr>
      </w:pPr>
      <w:r w:rsidRPr="00396414">
        <w:rPr>
          <w:rFonts w:ascii="Traditional Arabic" w:hAnsi="Traditional Arabic"/>
          <w:sz w:val="32"/>
          <w:szCs w:val="32"/>
          <w:rtl/>
        </w:rPr>
        <w:t>(</w:t>
      </w:r>
      <w:r w:rsidRPr="00396414">
        <w:rPr>
          <w:rStyle w:val="ae"/>
          <w:rFonts w:ascii="Traditional Arabic" w:hAnsi="Traditional Arabic"/>
          <w:sz w:val="32"/>
          <w:szCs w:val="32"/>
          <w:vertAlign w:val="baseline"/>
        </w:rPr>
        <w:footnoteRef/>
      </w:r>
      <w:r>
        <w:rPr>
          <w:rFonts w:ascii="Traditional Arabic" w:hAnsi="Traditional Arabic"/>
          <w:sz w:val="32"/>
          <w:szCs w:val="32"/>
          <w:rtl/>
        </w:rPr>
        <w:t>) في (</w:t>
      </w:r>
      <w:r>
        <w:rPr>
          <w:rFonts w:ascii="Traditional Arabic" w:hAnsi="Traditional Arabic" w:hint="cs"/>
          <w:sz w:val="32"/>
          <w:szCs w:val="32"/>
          <w:rtl/>
        </w:rPr>
        <w:t>ك</w:t>
      </w:r>
      <w:r>
        <w:rPr>
          <w:rFonts w:ascii="Traditional Arabic" w:hAnsi="Traditional Arabic"/>
          <w:sz w:val="32"/>
          <w:szCs w:val="32"/>
          <w:rtl/>
        </w:rPr>
        <w:t xml:space="preserve">): </w:t>
      </w:r>
      <w:r>
        <w:rPr>
          <w:rFonts w:ascii="Traditional Arabic" w:hAnsi="Traditional Arabic" w:hint="cs"/>
          <w:sz w:val="32"/>
          <w:szCs w:val="32"/>
          <w:rtl/>
        </w:rPr>
        <w:t>[</w:t>
      </w:r>
      <w:r>
        <w:rPr>
          <w:rFonts w:ascii="Traditional Arabic" w:hAnsi="Traditional Arabic"/>
          <w:sz w:val="32"/>
          <w:szCs w:val="32"/>
          <w:rtl/>
        </w:rPr>
        <w:t>وهو مذهب</w:t>
      </w:r>
      <w:r>
        <w:rPr>
          <w:rFonts w:ascii="Traditional Arabic" w:hAnsi="Traditional Arabic" w:hint="cs"/>
          <w:sz w:val="32"/>
          <w:szCs w:val="32"/>
          <w:rtl/>
        </w:rPr>
        <w:t>] بدل [وهو قول]</w:t>
      </w:r>
      <w:r w:rsidRPr="00396414">
        <w:rPr>
          <w:rFonts w:ascii="Traditional Arabic" w:hAnsi="Traditional Arabic"/>
          <w:sz w:val="32"/>
          <w:szCs w:val="32"/>
          <w:rtl/>
        </w:rPr>
        <w:t xml:space="preserve">.      </w:t>
      </w:r>
    </w:p>
  </w:footnote>
  <w:footnote w:id="1120">
    <w:p w:rsidR="003F128F" w:rsidRPr="00EF611E" w:rsidRDefault="003F128F" w:rsidP="005C21CD">
      <w:pPr>
        <w:pStyle w:val="af3"/>
        <w:rPr>
          <w:rFonts w:ascii="Traditional Arabic" w:hAnsi="Traditional Arabic"/>
          <w:sz w:val="32"/>
          <w:szCs w:val="32"/>
        </w:rPr>
      </w:pPr>
      <w:r w:rsidRPr="00396414">
        <w:rPr>
          <w:rFonts w:ascii="Traditional Arabic" w:hAnsi="Traditional Arabic"/>
          <w:sz w:val="32"/>
          <w:szCs w:val="32"/>
          <w:rtl/>
        </w:rPr>
        <w:t>(</w:t>
      </w:r>
      <w:r w:rsidRPr="00396414">
        <w:rPr>
          <w:rStyle w:val="ae"/>
          <w:rFonts w:ascii="Traditional Arabic" w:hAnsi="Traditional Arabic"/>
          <w:sz w:val="32"/>
          <w:szCs w:val="32"/>
          <w:vertAlign w:val="baseline"/>
        </w:rPr>
        <w:footnoteRef/>
      </w:r>
      <w:r w:rsidRPr="00396414">
        <w:rPr>
          <w:rFonts w:ascii="Traditional Arabic" w:hAnsi="Traditional Arabic"/>
          <w:sz w:val="32"/>
          <w:szCs w:val="32"/>
          <w:rtl/>
        </w:rPr>
        <w:t>) انظر: تفسير مقاتل (2/580).</w:t>
      </w:r>
      <w:r w:rsidRPr="00EF611E">
        <w:rPr>
          <w:rFonts w:ascii="Traditional Arabic" w:hAnsi="Traditional Arabic"/>
          <w:sz w:val="32"/>
          <w:szCs w:val="32"/>
          <w:rtl/>
        </w:rPr>
        <w:t xml:space="preserve"> </w:t>
      </w:r>
    </w:p>
  </w:footnote>
  <w:footnote w:id="1121">
    <w:p w:rsidR="003F128F" w:rsidRPr="00EF611E" w:rsidRDefault="003F128F" w:rsidP="005C21CD">
      <w:pPr>
        <w:pStyle w:val="af3"/>
        <w:rPr>
          <w:rFonts w:ascii="Traditional Arabic" w:hAnsi="Traditional Arabic"/>
          <w:sz w:val="32"/>
          <w:szCs w:val="32"/>
        </w:rPr>
      </w:pPr>
      <w:r w:rsidRPr="00EF611E">
        <w:rPr>
          <w:rFonts w:ascii="Traditional Arabic" w:hAnsi="Traditional Arabic"/>
          <w:sz w:val="32"/>
          <w:szCs w:val="32"/>
          <w:rtl/>
        </w:rPr>
        <w:t>(</w:t>
      </w:r>
      <w:r w:rsidRPr="00EF611E">
        <w:rPr>
          <w:rStyle w:val="ae"/>
          <w:rFonts w:ascii="Traditional Arabic" w:hAnsi="Traditional Arabic"/>
          <w:sz w:val="32"/>
          <w:szCs w:val="32"/>
          <w:vertAlign w:val="baseline"/>
        </w:rPr>
        <w:footnoteRef/>
      </w:r>
      <w:r w:rsidRPr="00EF611E">
        <w:rPr>
          <w:rFonts w:ascii="Traditional Arabic" w:hAnsi="Traditional Arabic"/>
          <w:sz w:val="32"/>
          <w:szCs w:val="32"/>
          <w:rtl/>
        </w:rPr>
        <w:t>) قال الثعلبي في تفسيره:</w:t>
      </w:r>
      <w:r w:rsidRPr="00EF611E">
        <w:rPr>
          <w:rFonts w:ascii="Traditional Arabic" w:hAnsi="Traditional Arabic"/>
          <w:sz w:val="32"/>
          <w:szCs w:val="32"/>
          <w:rtl/>
          <w:lang w:eastAsia="en-US"/>
        </w:rPr>
        <w:t xml:space="preserve"> </w:t>
      </w:r>
      <w:r w:rsidRPr="00EF611E">
        <w:rPr>
          <w:rFonts w:ascii="Traditional Arabic" w:hAnsi="Traditional Arabic"/>
          <w:sz w:val="32"/>
          <w:szCs w:val="32"/>
          <w:rtl/>
        </w:rPr>
        <w:t>"وقال بعضهم: هذه واو الحكم والتحقيق..."الخ. انظر: الكشف والبيان (6/163).</w:t>
      </w:r>
    </w:p>
  </w:footnote>
  <w:footnote w:id="1122">
    <w:p w:rsidR="003F128F" w:rsidRPr="00EF611E" w:rsidRDefault="003F128F" w:rsidP="00D126DB">
      <w:pPr>
        <w:pStyle w:val="af3"/>
        <w:rPr>
          <w:rFonts w:ascii="Traditional Arabic" w:hAnsi="Traditional Arabic"/>
          <w:sz w:val="32"/>
          <w:szCs w:val="32"/>
        </w:rPr>
      </w:pPr>
      <w:r w:rsidRPr="00EF611E">
        <w:rPr>
          <w:rFonts w:ascii="Traditional Arabic" w:hAnsi="Traditional Arabic"/>
          <w:sz w:val="32"/>
          <w:szCs w:val="32"/>
          <w:rtl/>
        </w:rPr>
        <w:t>(</w:t>
      </w:r>
      <w:r w:rsidRPr="00EF611E">
        <w:rPr>
          <w:rStyle w:val="ae"/>
          <w:rFonts w:ascii="Traditional Arabic" w:hAnsi="Traditional Arabic"/>
          <w:sz w:val="32"/>
          <w:szCs w:val="32"/>
          <w:vertAlign w:val="baseline"/>
        </w:rPr>
        <w:footnoteRef/>
      </w:r>
      <w:r w:rsidRPr="00EF611E">
        <w:rPr>
          <w:rFonts w:ascii="Traditional Arabic" w:hAnsi="Traditional Arabic"/>
          <w:sz w:val="32"/>
          <w:szCs w:val="32"/>
          <w:rtl/>
        </w:rPr>
        <w:t>) انظر: الكشف والبيان (6/163), الت</w:t>
      </w:r>
      <w:r>
        <w:rPr>
          <w:rFonts w:ascii="Traditional Arabic" w:hAnsi="Traditional Arabic"/>
          <w:sz w:val="32"/>
          <w:szCs w:val="32"/>
          <w:rtl/>
        </w:rPr>
        <w:t>فسير الوسيط (3/142)</w:t>
      </w:r>
      <w:r>
        <w:rPr>
          <w:rFonts w:ascii="Traditional Arabic" w:hAnsi="Traditional Arabic" w:hint="cs"/>
          <w:sz w:val="32"/>
          <w:szCs w:val="32"/>
          <w:rtl/>
        </w:rPr>
        <w:t>.</w:t>
      </w:r>
    </w:p>
  </w:footnote>
  <w:footnote w:id="1123">
    <w:p w:rsidR="003F128F" w:rsidRPr="00EF611E" w:rsidRDefault="003F128F" w:rsidP="005C21CD">
      <w:pPr>
        <w:pStyle w:val="af3"/>
        <w:rPr>
          <w:rFonts w:ascii="Traditional Arabic" w:hAnsi="Traditional Arabic"/>
          <w:sz w:val="32"/>
          <w:szCs w:val="32"/>
        </w:rPr>
      </w:pPr>
      <w:r w:rsidRPr="00EF611E">
        <w:rPr>
          <w:rFonts w:ascii="Traditional Arabic" w:hAnsi="Traditional Arabic"/>
          <w:sz w:val="32"/>
          <w:szCs w:val="32"/>
          <w:rtl/>
        </w:rPr>
        <w:t>(</w:t>
      </w:r>
      <w:r w:rsidRPr="00EF611E">
        <w:rPr>
          <w:rStyle w:val="ae"/>
          <w:rFonts w:ascii="Traditional Arabic" w:hAnsi="Traditional Arabic"/>
          <w:sz w:val="32"/>
          <w:szCs w:val="32"/>
          <w:vertAlign w:val="baseline"/>
        </w:rPr>
        <w:footnoteRef/>
      </w:r>
      <w:r w:rsidRPr="00EF611E">
        <w:rPr>
          <w:rFonts w:ascii="Traditional Arabic" w:hAnsi="Traditional Arabic"/>
          <w:sz w:val="32"/>
          <w:szCs w:val="32"/>
          <w:rtl/>
        </w:rPr>
        <w:t xml:space="preserve">) انظر: الكشف والبيان (6/163). </w:t>
      </w:r>
    </w:p>
  </w:footnote>
  <w:footnote w:id="1124">
    <w:p w:rsidR="003F128F" w:rsidRPr="00EF611E" w:rsidRDefault="003F128F" w:rsidP="00D126DB">
      <w:pPr>
        <w:pStyle w:val="af3"/>
        <w:rPr>
          <w:rFonts w:ascii="Traditional Arabic" w:hAnsi="Traditional Arabic"/>
          <w:sz w:val="32"/>
          <w:szCs w:val="32"/>
        </w:rPr>
      </w:pPr>
      <w:r w:rsidRPr="00EF611E">
        <w:rPr>
          <w:rFonts w:ascii="Traditional Arabic" w:hAnsi="Traditional Arabic"/>
          <w:sz w:val="32"/>
          <w:szCs w:val="32"/>
          <w:rtl/>
        </w:rPr>
        <w:t>(</w:t>
      </w:r>
      <w:r w:rsidRPr="00EF611E">
        <w:rPr>
          <w:rStyle w:val="ae"/>
          <w:rFonts w:ascii="Traditional Arabic" w:hAnsi="Traditional Arabic"/>
          <w:sz w:val="32"/>
          <w:szCs w:val="32"/>
          <w:vertAlign w:val="baseline"/>
        </w:rPr>
        <w:footnoteRef/>
      </w:r>
      <w:r w:rsidRPr="00EF611E">
        <w:rPr>
          <w:rFonts w:ascii="Traditional Arabic" w:hAnsi="Traditional Arabic"/>
          <w:sz w:val="32"/>
          <w:szCs w:val="32"/>
          <w:rtl/>
        </w:rPr>
        <w:t xml:space="preserve">) </w:t>
      </w:r>
      <w:r>
        <w:rPr>
          <w:rFonts w:ascii="Traditional Arabic" w:hAnsi="Traditional Arabic" w:hint="cs"/>
          <w:sz w:val="32"/>
          <w:szCs w:val="32"/>
          <w:rtl/>
        </w:rPr>
        <w:t>تفسير يحيى بن سلام (1/178), تفسير عبد الرزاق (2/329).</w:t>
      </w:r>
    </w:p>
  </w:footnote>
  <w:footnote w:id="1125">
    <w:p w:rsidR="003F128F" w:rsidRPr="00E953F5" w:rsidRDefault="003F128F" w:rsidP="008265A7">
      <w:pPr>
        <w:pStyle w:val="af3"/>
        <w:tabs>
          <w:tab w:val="center" w:pos="4251"/>
        </w:tabs>
        <w:rPr>
          <w:rFonts w:ascii="Traditional Arabic" w:hAnsi="Traditional Arabic"/>
          <w:sz w:val="32"/>
          <w:szCs w:val="32"/>
        </w:rPr>
      </w:pPr>
      <w:r w:rsidRPr="00E953F5">
        <w:rPr>
          <w:rFonts w:ascii="Traditional Arabic" w:hAnsi="Traditional Arabic"/>
          <w:sz w:val="32"/>
          <w:szCs w:val="32"/>
          <w:rtl/>
        </w:rPr>
        <w:t>(</w:t>
      </w:r>
      <w:r w:rsidRPr="00E953F5">
        <w:rPr>
          <w:rStyle w:val="ae"/>
          <w:rFonts w:ascii="Traditional Arabic" w:hAnsi="Traditional Arabic"/>
          <w:sz w:val="32"/>
          <w:szCs w:val="32"/>
          <w:vertAlign w:val="baseline"/>
        </w:rPr>
        <w:footnoteRef/>
      </w:r>
      <w:r w:rsidRPr="00E953F5">
        <w:rPr>
          <w:rFonts w:ascii="Traditional Arabic" w:hAnsi="Traditional Arabic"/>
          <w:sz w:val="32"/>
          <w:szCs w:val="32"/>
          <w:rtl/>
        </w:rPr>
        <w:t xml:space="preserve">) النكت والعيون (3/297). </w:t>
      </w:r>
      <w:r>
        <w:rPr>
          <w:rFonts w:ascii="Traditional Arabic" w:hAnsi="Traditional Arabic"/>
          <w:sz w:val="32"/>
          <w:szCs w:val="32"/>
        </w:rPr>
        <w:tab/>
      </w:r>
    </w:p>
  </w:footnote>
  <w:footnote w:id="1126">
    <w:p w:rsidR="003F128F" w:rsidRPr="00E953F5" w:rsidRDefault="003F128F" w:rsidP="005C21CD">
      <w:pPr>
        <w:pStyle w:val="af3"/>
        <w:rPr>
          <w:rFonts w:ascii="Traditional Arabic" w:hAnsi="Traditional Arabic"/>
          <w:sz w:val="32"/>
          <w:szCs w:val="32"/>
        </w:rPr>
      </w:pPr>
      <w:r w:rsidRPr="00E953F5">
        <w:rPr>
          <w:rFonts w:ascii="Traditional Arabic" w:hAnsi="Traditional Arabic"/>
          <w:sz w:val="32"/>
          <w:szCs w:val="32"/>
          <w:rtl/>
        </w:rPr>
        <w:t>(</w:t>
      </w:r>
      <w:r w:rsidRPr="00E953F5">
        <w:rPr>
          <w:rStyle w:val="ae"/>
          <w:rFonts w:ascii="Traditional Arabic" w:hAnsi="Traditional Arabic"/>
          <w:sz w:val="32"/>
          <w:szCs w:val="32"/>
          <w:vertAlign w:val="baseline"/>
        </w:rPr>
        <w:footnoteRef/>
      </w:r>
      <w:r w:rsidRPr="00E953F5">
        <w:rPr>
          <w:rFonts w:ascii="Traditional Arabic" w:hAnsi="Traditional Arabic"/>
          <w:sz w:val="32"/>
          <w:szCs w:val="32"/>
          <w:rtl/>
        </w:rPr>
        <w:t>) هو محمد بن إسحاق. انظر: النكت والعيون (3/297), معالم التنزيل (5/162).</w:t>
      </w:r>
    </w:p>
  </w:footnote>
  <w:footnote w:id="1127">
    <w:p w:rsidR="003F128F" w:rsidRPr="00E953F5" w:rsidRDefault="003F128F" w:rsidP="005C21CD">
      <w:pPr>
        <w:pStyle w:val="af3"/>
        <w:rPr>
          <w:rFonts w:ascii="Traditional Arabic" w:hAnsi="Traditional Arabic"/>
          <w:sz w:val="32"/>
          <w:szCs w:val="32"/>
        </w:rPr>
      </w:pPr>
      <w:r w:rsidRPr="00E953F5">
        <w:rPr>
          <w:rFonts w:ascii="Traditional Arabic" w:hAnsi="Traditional Arabic"/>
          <w:sz w:val="32"/>
          <w:szCs w:val="32"/>
          <w:rtl/>
        </w:rPr>
        <w:t>(</w:t>
      </w:r>
      <w:r w:rsidRPr="00E953F5">
        <w:rPr>
          <w:rStyle w:val="ae"/>
          <w:rFonts w:ascii="Traditional Arabic" w:hAnsi="Traditional Arabic"/>
          <w:sz w:val="32"/>
          <w:szCs w:val="32"/>
          <w:vertAlign w:val="baseline"/>
        </w:rPr>
        <w:footnoteRef/>
      </w:r>
      <w:r w:rsidRPr="00E953F5">
        <w:rPr>
          <w:rFonts w:ascii="Traditional Arabic" w:hAnsi="Traditional Arabic"/>
          <w:sz w:val="32"/>
          <w:szCs w:val="32"/>
          <w:rtl/>
        </w:rPr>
        <w:t>) هو أبو عديٍّ</w:t>
      </w:r>
      <w:r>
        <w:rPr>
          <w:rFonts w:ascii="Traditional Arabic" w:hAnsi="Traditional Arabic" w:hint="cs"/>
          <w:sz w:val="32"/>
          <w:szCs w:val="32"/>
          <w:rtl/>
        </w:rPr>
        <w:t>,</w:t>
      </w:r>
      <w:r w:rsidRPr="00E953F5">
        <w:rPr>
          <w:rFonts w:ascii="Traditional Arabic" w:hAnsi="Traditional Arabic"/>
          <w:sz w:val="32"/>
          <w:szCs w:val="32"/>
          <w:rtl/>
        </w:rPr>
        <w:t xml:space="preserve"> حاتم بن عبد الله بن سعد</w:t>
      </w:r>
      <w:r>
        <w:rPr>
          <w:rFonts w:ascii="Traditional Arabic" w:hAnsi="Traditional Arabic" w:hint="cs"/>
          <w:sz w:val="32"/>
          <w:szCs w:val="32"/>
          <w:rtl/>
        </w:rPr>
        <w:t xml:space="preserve"> بن الحشرج</w:t>
      </w:r>
      <w:r w:rsidRPr="00E953F5">
        <w:rPr>
          <w:rFonts w:ascii="Traditional Arabic" w:hAnsi="Traditional Arabic"/>
          <w:sz w:val="32"/>
          <w:szCs w:val="32"/>
          <w:rtl/>
        </w:rPr>
        <w:t xml:space="preserve"> الطَّائيُّ</w:t>
      </w:r>
      <w:r>
        <w:rPr>
          <w:rFonts w:ascii="Traditional Arabic" w:hAnsi="Traditional Arabic" w:hint="cs"/>
          <w:sz w:val="32"/>
          <w:szCs w:val="32"/>
          <w:rtl/>
        </w:rPr>
        <w:t>,</w:t>
      </w:r>
      <w:r w:rsidRPr="00E953F5">
        <w:rPr>
          <w:rFonts w:ascii="Traditional Arabic" w:hAnsi="Traditional Arabic"/>
          <w:sz w:val="32"/>
          <w:szCs w:val="32"/>
          <w:rtl/>
        </w:rPr>
        <w:t xml:space="preserve"> القحطانيُّ، شاعرٌ جاهليٌ،</w:t>
      </w:r>
      <w:r w:rsidRPr="005B01A6">
        <w:rPr>
          <w:rFonts w:ascii="Traditional Arabic" w:hAnsi="Traditional Arabic"/>
          <w:sz w:val="32"/>
          <w:szCs w:val="32"/>
          <w:rtl/>
        </w:rPr>
        <w:t xml:space="preserve"> </w:t>
      </w:r>
      <w:r w:rsidRPr="00E953F5">
        <w:rPr>
          <w:rFonts w:ascii="Traditional Arabic" w:hAnsi="Traditional Arabic"/>
          <w:sz w:val="32"/>
          <w:szCs w:val="32"/>
          <w:rtl/>
        </w:rPr>
        <w:t>يتميز شعره بذكر السخاء والكرم، والحكم الجاهلية</w:t>
      </w:r>
      <w:r>
        <w:rPr>
          <w:rFonts w:ascii="Traditional Arabic" w:hAnsi="Traditional Arabic" w:hint="cs"/>
          <w:sz w:val="32"/>
          <w:szCs w:val="32"/>
          <w:rtl/>
        </w:rPr>
        <w:t>,</w:t>
      </w:r>
      <w:r w:rsidRPr="00E953F5">
        <w:rPr>
          <w:rFonts w:ascii="Traditional Arabic" w:hAnsi="Traditional Arabic"/>
          <w:sz w:val="32"/>
          <w:szCs w:val="32"/>
          <w:rtl/>
        </w:rPr>
        <w:t xml:space="preserve"> يضرب به المثل في الجود والكرم، توفي بعد مولد النبي</w:t>
      </w:r>
      <w:r w:rsidRPr="00E953F5">
        <w:rPr>
          <w:rFonts w:ascii="Traditional Arabic" w:hAnsi="Traditional Arabic"/>
          <w:sz w:val="32"/>
          <w:szCs w:val="32"/>
        </w:rPr>
        <w:sym w:font="AGA Arabesque" w:char="F072"/>
      </w:r>
      <w:r w:rsidRPr="00E953F5">
        <w:rPr>
          <w:rFonts w:ascii="Traditional Arabic" w:hAnsi="Traditional Arabic"/>
          <w:sz w:val="32"/>
          <w:szCs w:val="32"/>
          <w:rtl/>
        </w:rPr>
        <w:t xml:space="preserve"> بثمان سنين. انظر:</w:t>
      </w:r>
      <w:r>
        <w:rPr>
          <w:rFonts w:ascii="Traditional Arabic" w:hAnsi="Traditional Arabic" w:hint="cs"/>
          <w:sz w:val="32"/>
          <w:szCs w:val="32"/>
          <w:rtl/>
        </w:rPr>
        <w:t xml:space="preserve"> الشعر والشعراء لابن قتيبة (1/235),</w:t>
      </w:r>
      <w:r w:rsidRPr="00E953F5">
        <w:rPr>
          <w:rFonts w:ascii="Traditional Arabic" w:hAnsi="Traditional Arabic"/>
          <w:sz w:val="32"/>
          <w:szCs w:val="32"/>
          <w:rtl/>
        </w:rPr>
        <w:t xml:space="preserve"> الأعلام للزركلي (2/151).</w:t>
      </w:r>
      <w:r>
        <w:rPr>
          <w:rFonts w:ascii="Traditional Arabic" w:hAnsi="Traditional Arabic" w:hint="cs"/>
          <w:sz w:val="32"/>
          <w:szCs w:val="32"/>
          <w:rtl/>
        </w:rPr>
        <w:t xml:space="preserve"> </w:t>
      </w:r>
    </w:p>
  </w:footnote>
  <w:footnote w:id="1128">
    <w:p w:rsidR="003F128F" w:rsidRPr="00845848" w:rsidRDefault="003F128F" w:rsidP="005C21CD">
      <w:pPr>
        <w:pStyle w:val="af3"/>
        <w:rPr>
          <w:rFonts w:ascii="Traditional Arabic" w:hAnsi="Traditional Arabic"/>
          <w:sz w:val="32"/>
          <w:szCs w:val="32"/>
        </w:rPr>
      </w:pPr>
      <w:r w:rsidRPr="00845848">
        <w:rPr>
          <w:rFonts w:ascii="Traditional Arabic" w:hAnsi="Traditional Arabic"/>
          <w:sz w:val="32"/>
          <w:szCs w:val="32"/>
          <w:rtl/>
        </w:rPr>
        <w:t>(</w:t>
      </w:r>
      <w:r w:rsidRPr="00845848">
        <w:rPr>
          <w:rStyle w:val="ae"/>
          <w:rFonts w:ascii="Traditional Arabic" w:hAnsi="Traditional Arabic"/>
          <w:sz w:val="32"/>
          <w:szCs w:val="32"/>
          <w:vertAlign w:val="baseline"/>
        </w:rPr>
        <w:footnoteRef/>
      </w:r>
      <w:r w:rsidRPr="00845848">
        <w:rPr>
          <w:rFonts w:ascii="Traditional Arabic" w:hAnsi="Traditional Arabic"/>
          <w:sz w:val="32"/>
          <w:szCs w:val="32"/>
          <w:rtl/>
        </w:rPr>
        <w:t xml:space="preserve">) رموز الكنوز (4/265).  </w:t>
      </w:r>
    </w:p>
  </w:footnote>
  <w:footnote w:id="1129">
    <w:p w:rsidR="003F128F" w:rsidRPr="00845848" w:rsidRDefault="003F128F" w:rsidP="00F51C75">
      <w:pPr>
        <w:pStyle w:val="af3"/>
        <w:rPr>
          <w:rFonts w:ascii="Traditional Arabic" w:hAnsi="Traditional Arabic"/>
          <w:sz w:val="32"/>
          <w:szCs w:val="32"/>
        </w:rPr>
      </w:pPr>
      <w:r w:rsidRPr="00845848">
        <w:rPr>
          <w:rFonts w:ascii="Traditional Arabic" w:hAnsi="Traditional Arabic"/>
          <w:sz w:val="32"/>
          <w:szCs w:val="32"/>
          <w:rtl/>
        </w:rPr>
        <w:t>(</w:t>
      </w:r>
      <w:r w:rsidRPr="00845848">
        <w:rPr>
          <w:rStyle w:val="ae"/>
          <w:rFonts w:ascii="Traditional Arabic" w:hAnsi="Traditional Arabic"/>
          <w:sz w:val="32"/>
          <w:szCs w:val="32"/>
          <w:vertAlign w:val="baseline"/>
        </w:rPr>
        <w:footnoteRef/>
      </w:r>
      <w:r w:rsidRPr="00845848">
        <w:rPr>
          <w:rFonts w:ascii="Traditional Arabic" w:hAnsi="Traditional Arabic"/>
          <w:sz w:val="32"/>
          <w:szCs w:val="32"/>
          <w:rtl/>
        </w:rPr>
        <w:t xml:space="preserve">) هو </w:t>
      </w:r>
      <w:r>
        <w:rPr>
          <w:rFonts w:ascii="Traditional Arabic" w:hAnsi="Traditional Arabic"/>
          <w:sz w:val="32"/>
          <w:szCs w:val="32"/>
          <w:rtl/>
        </w:rPr>
        <w:t>الإمام</w:t>
      </w:r>
      <w:r w:rsidRPr="00845848">
        <w:rPr>
          <w:rFonts w:ascii="Traditional Arabic" w:hAnsi="Traditional Arabic"/>
          <w:sz w:val="32"/>
          <w:szCs w:val="32"/>
          <w:rtl/>
        </w:rPr>
        <w:t xml:space="preserve"> أبو معاوية</w:t>
      </w:r>
      <w:r>
        <w:rPr>
          <w:rFonts w:ascii="Traditional Arabic" w:hAnsi="Traditional Arabic" w:hint="cs"/>
          <w:sz w:val="32"/>
          <w:szCs w:val="32"/>
          <w:rtl/>
        </w:rPr>
        <w:t>,</w:t>
      </w:r>
      <w:r w:rsidRPr="00845848">
        <w:rPr>
          <w:rFonts w:ascii="Traditional Arabic" w:hAnsi="Traditional Arabic"/>
          <w:sz w:val="32"/>
          <w:szCs w:val="32"/>
          <w:rtl/>
        </w:rPr>
        <w:t xml:space="preserve"> هشيم بن بشير بن أبي خازم قاسم بن دينار السلمي</w:t>
      </w:r>
      <w:r w:rsidRPr="00845848">
        <w:rPr>
          <w:rFonts w:ascii="Traditional Arabic" w:hAnsi="Traditional Arabic"/>
          <w:sz w:val="32"/>
          <w:szCs w:val="32"/>
          <w:rtl/>
          <w:lang w:eastAsia="en-US"/>
        </w:rPr>
        <w:t xml:space="preserve"> مولاهم، الوَاسِطِي</w:t>
      </w:r>
      <w:r w:rsidRPr="00845848">
        <w:rPr>
          <w:rFonts w:ascii="Traditional Arabic" w:hAnsi="Traditional Arabic"/>
          <w:sz w:val="32"/>
          <w:szCs w:val="32"/>
          <w:rtl/>
        </w:rPr>
        <w:t>,</w:t>
      </w:r>
      <w:r w:rsidRPr="00845848">
        <w:rPr>
          <w:rFonts w:ascii="Traditional Arabic" w:hAnsi="Traditional Arabic"/>
          <w:sz w:val="32"/>
          <w:szCs w:val="32"/>
          <w:rtl/>
          <w:lang w:eastAsia="en-US"/>
        </w:rPr>
        <w:t xml:space="preserve"> مُحدث بغداد، وحافظها،</w:t>
      </w:r>
      <w:r w:rsidRPr="00845848">
        <w:rPr>
          <w:rFonts w:ascii="Traditional Arabic" w:hAnsi="Traditional Arabic"/>
          <w:sz w:val="32"/>
          <w:szCs w:val="32"/>
          <w:rtl/>
        </w:rPr>
        <w:t xml:space="preserve"> كان رأساً في الحفظ، إلا أنه صاحب تدليس كثير، قد عرف بذلك, (ت183ه). انظر: تهذيب الكمال (30/272), سير أعلام النبلاء (8/289)</w:t>
      </w:r>
      <w:r>
        <w:rPr>
          <w:rFonts w:ascii="Traditional Arabic" w:hAnsi="Traditional Arabic" w:hint="cs"/>
          <w:sz w:val="32"/>
          <w:szCs w:val="32"/>
          <w:rtl/>
        </w:rPr>
        <w:t>.</w:t>
      </w:r>
    </w:p>
  </w:footnote>
  <w:footnote w:id="1130">
    <w:p w:rsidR="003F128F" w:rsidRPr="00504402" w:rsidRDefault="003F128F" w:rsidP="00D126DB">
      <w:pPr>
        <w:pStyle w:val="af3"/>
        <w:rPr>
          <w:rFonts w:ascii="Traditional Arabic" w:hAnsi="Traditional Arabic"/>
          <w:sz w:val="32"/>
          <w:szCs w:val="32"/>
          <w:rtl/>
        </w:rPr>
      </w:pPr>
      <w:r w:rsidRPr="0047358B">
        <w:rPr>
          <w:rFonts w:ascii="Traditional Arabic" w:hAnsi="Traditional Arabic"/>
          <w:sz w:val="32"/>
          <w:szCs w:val="32"/>
          <w:rtl/>
        </w:rPr>
        <w:t>(</w:t>
      </w:r>
      <w:r w:rsidRPr="0047358B">
        <w:rPr>
          <w:rStyle w:val="ae"/>
          <w:rFonts w:ascii="Traditional Arabic" w:hAnsi="Traditional Arabic"/>
          <w:sz w:val="32"/>
          <w:szCs w:val="32"/>
          <w:vertAlign w:val="baseline"/>
        </w:rPr>
        <w:footnoteRef/>
      </w:r>
      <w:r w:rsidRPr="0047358B">
        <w:rPr>
          <w:rFonts w:ascii="Traditional Arabic" w:hAnsi="Traditional Arabic"/>
          <w:sz w:val="32"/>
          <w:szCs w:val="32"/>
          <w:rtl/>
        </w:rPr>
        <w:t xml:space="preserve">) </w:t>
      </w:r>
      <w:r w:rsidRPr="0047358B">
        <w:rPr>
          <w:rFonts w:ascii="Traditional Arabic" w:hAnsi="Traditional Arabic" w:hint="cs"/>
          <w:sz w:val="32"/>
          <w:szCs w:val="32"/>
          <w:rtl/>
        </w:rPr>
        <w:t>لم أجد قول ه</w:t>
      </w:r>
      <w:r>
        <w:rPr>
          <w:rFonts w:ascii="Traditional Arabic" w:hAnsi="Traditional Arabic" w:hint="cs"/>
          <w:sz w:val="32"/>
          <w:szCs w:val="32"/>
          <w:rtl/>
        </w:rPr>
        <w:t>ُ</w:t>
      </w:r>
      <w:r w:rsidRPr="0047358B">
        <w:rPr>
          <w:rFonts w:ascii="Traditional Arabic" w:hAnsi="Traditional Arabic" w:hint="cs"/>
          <w:sz w:val="32"/>
          <w:szCs w:val="32"/>
          <w:rtl/>
        </w:rPr>
        <w:t xml:space="preserve">شيم, ولكن جاء عن ابن عباس رضي الله  عنهما </w:t>
      </w:r>
      <w:r>
        <w:rPr>
          <w:rFonts w:ascii="Traditional Arabic" w:hAnsi="Traditional Arabic"/>
          <w:sz w:val="32"/>
          <w:szCs w:val="32"/>
          <w:rtl/>
        </w:rPr>
        <w:t>في قول</w:t>
      </w:r>
      <w:r w:rsidRPr="0047358B">
        <w:rPr>
          <w:rFonts w:ascii="Traditional Arabic" w:hAnsi="Traditional Arabic"/>
          <w:sz w:val="32"/>
          <w:szCs w:val="32"/>
          <w:rtl/>
        </w:rPr>
        <w:t>ه</w:t>
      </w:r>
      <w:r w:rsidRPr="0047358B">
        <w:rPr>
          <w:rFonts w:ascii="Traditional Arabic" w:hAnsi="Traditional Arabic"/>
          <w:b/>
          <w:bCs/>
          <w:sz w:val="32"/>
          <w:szCs w:val="32"/>
          <w:rtl/>
        </w:rPr>
        <w:t>:</w:t>
      </w:r>
      <w:r w:rsidRPr="00504402">
        <w:rPr>
          <w:rFonts w:ascii="Traditional Arabic" w:hAnsi="Traditional Arabic"/>
          <w:b/>
          <w:bCs/>
          <w:rtl/>
        </w:rPr>
        <w:t xml:space="preserve"> </w:t>
      </w:r>
      <w:r w:rsidRPr="00504402">
        <w:rPr>
          <w:rFonts w:ascii="QCF_BSML" w:hAnsi="QCF_BSML" w:cs="QCF_BSML"/>
          <w:color w:val="auto"/>
          <w:rtl/>
          <w:lang w:eastAsia="en-US"/>
        </w:rPr>
        <w:t>ﭽ</w:t>
      </w:r>
      <w:r w:rsidRPr="00504402">
        <w:rPr>
          <w:rFonts w:ascii="QCF_P296" w:hAnsi="QCF_P296" w:cs="QCF_P296"/>
          <w:color w:val="auto"/>
          <w:rtl/>
          <w:lang w:eastAsia="en-US"/>
        </w:rPr>
        <w:t xml:space="preserve"> ﮉ  ﮊ  ﮋ  ﮌﮍ  </w:t>
      </w:r>
      <w:r w:rsidRPr="00504402">
        <w:rPr>
          <w:rFonts w:ascii="QCF_BSML" w:hAnsi="QCF_BSML" w:cs="QCF_BSML"/>
          <w:color w:val="auto"/>
          <w:rtl/>
          <w:lang w:eastAsia="en-US"/>
        </w:rPr>
        <w:t>ﭼ</w:t>
      </w:r>
      <w:r>
        <w:rPr>
          <w:rFonts w:hint="cs"/>
          <w:rtl/>
        </w:rPr>
        <w:t xml:space="preserve"> </w:t>
      </w:r>
      <w:r>
        <w:rPr>
          <w:rFonts w:ascii="Traditional Arabic" w:hAnsi="Traditional Arabic"/>
          <w:sz w:val="32"/>
          <w:szCs w:val="32"/>
          <w:rtl/>
        </w:rPr>
        <w:t>قال: أن</w:t>
      </w:r>
      <w:r w:rsidRPr="00504402">
        <w:rPr>
          <w:rFonts w:ascii="Traditional Arabic" w:hAnsi="Traditional Arabic"/>
          <w:sz w:val="32"/>
          <w:szCs w:val="32"/>
          <w:rtl/>
        </w:rPr>
        <w:t xml:space="preserve">ا </w:t>
      </w:r>
      <w:r>
        <w:rPr>
          <w:rFonts w:ascii="Traditional Arabic" w:hAnsi="Traditional Arabic"/>
          <w:sz w:val="32"/>
          <w:szCs w:val="32"/>
          <w:rtl/>
        </w:rPr>
        <w:t>من أُولئك القليل</w:t>
      </w:r>
      <w:r w:rsidRPr="00B63563">
        <w:rPr>
          <w:rFonts w:ascii="Traditional Arabic" w:hAnsi="Traditional Arabic"/>
          <w:sz w:val="32"/>
          <w:szCs w:val="32"/>
          <w:rtl/>
        </w:rPr>
        <w:t>، وَهُمْ: مَكْسَلْمِينَا، وَتَمْلِيخَا، وَمَرْطُونَسَ، وَبَنْيُونَسَ، وَسَارَيُونَسَ، ودَ</w:t>
      </w:r>
      <w:r>
        <w:rPr>
          <w:rFonts w:ascii="Traditional Arabic" w:hAnsi="Traditional Arabic"/>
          <w:sz w:val="32"/>
          <w:szCs w:val="32"/>
          <w:rtl/>
        </w:rPr>
        <w:t>نْوَانَسَ، وَكينشيطيونسَ، وهو</w:t>
      </w:r>
      <w:r w:rsidRPr="00B63563">
        <w:rPr>
          <w:rFonts w:ascii="Traditional Arabic" w:hAnsi="Traditional Arabic"/>
          <w:sz w:val="32"/>
          <w:szCs w:val="32"/>
          <w:rtl/>
        </w:rPr>
        <w:t xml:space="preserve"> </w:t>
      </w:r>
      <w:r>
        <w:rPr>
          <w:rFonts w:ascii="Traditional Arabic" w:hAnsi="Traditional Arabic"/>
          <w:sz w:val="32"/>
          <w:szCs w:val="32"/>
          <w:rtl/>
        </w:rPr>
        <w:t>الراع</w:t>
      </w:r>
      <w:r w:rsidRPr="00B63563">
        <w:rPr>
          <w:rFonts w:ascii="Traditional Arabic" w:hAnsi="Traditional Arabic"/>
          <w:sz w:val="32"/>
          <w:szCs w:val="32"/>
          <w:rtl/>
        </w:rPr>
        <w:t>ي</w:t>
      </w:r>
      <w:r w:rsidRPr="00B63563">
        <w:rPr>
          <w:rFonts w:ascii="Traditional Arabic" w:hAnsi="Traditional Arabic" w:hint="cs"/>
          <w:sz w:val="32"/>
          <w:szCs w:val="32"/>
          <w:rtl/>
        </w:rPr>
        <w:t xml:space="preserve">, </w:t>
      </w:r>
      <w:r w:rsidRPr="00B63563">
        <w:rPr>
          <w:rFonts w:ascii="Traditional Arabic" w:hAnsi="Traditional Arabic"/>
          <w:sz w:val="32"/>
          <w:szCs w:val="32"/>
          <w:rtl/>
        </w:rPr>
        <w:t>وَالْكَلْبُ اسْمُهُ قِطْمِيرٌ</w:t>
      </w:r>
      <w:r w:rsidRPr="00B63563">
        <w:rPr>
          <w:rFonts w:ascii="Traditional Arabic" w:hAnsi="Traditional Arabic" w:hint="cs"/>
          <w:sz w:val="32"/>
          <w:szCs w:val="32"/>
          <w:rtl/>
        </w:rPr>
        <w:t xml:space="preserve">, </w:t>
      </w:r>
      <w:r w:rsidRPr="00B63563">
        <w:rPr>
          <w:rFonts w:ascii="Traditional Arabic" w:hAnsi="Traditional Arabic"/>
          <w:sz w:val="32"/>
          <w:szCs w:val="32"/>
          <w:rtl/>
        </w:rPr>
        <w:t>كَلْبٌ أَنْمَرُ فَوْقَ الْقَلَطِيِّ وَدُونَ الْكُرْدِيِّ</w:t>
      </w:r>
      <w:r w:rsidRPr="00B63563">
        <w:rPr>
          <w:rFonts w:ascii="Traditional Arabic" w:hAnsi="Traditional Arabic" w:hint="cs"/>
          <w:sz w:val="32"/>
          <w:szCs w:val="32"/>
          <w:rtl/>
        </w:rPr>
        <w:t>.</w:t>
      </w:r>
      <w:r w:rsidRPr="0047358B">
        <w:rPr>
          <w:rFonts w:ascii="Traditional Arabic" w:hAnsi="Traditional Arabic"/>
          <w:sz w:val="32"/>
          <w:szCs w:val="32"/>
          <w:rtl/>
        </w:rPr>
        <w:t xml:space="preserve"> </w:t>
      </w:r>
      <w:r>
        <w:rPr>
          <w:rFonts w:ascii="Traditional Arabic" w:hAnsi="Traditional Arabic" w:hint="cs"/>
          <w:sz w:val="32"/>
          <w:szCs w:val="32"/>
          <w:rtl/>
        </w:rPr>
        <w:t>أخرجه الطبري (17/607), والطبراني في الأوسط (6/175 ح6113), وانظر:</w:t>
      </w:r>
      <w:r w:rsidRPr="00504402">
        <w:rPr>
          <w:rFonts w:ascii="Traditional Arabic" w:hAnsi="Traditional Arabic" w:hint="cs"/>
          <w:sz w:val="32"/>
          <w:szCs w:val="32"/>
          <w:rtl/>
        </w:rPr>
        <w:t xml:space="preserve"> بحر العلوم (2/343),</w:t>
      </w:r>
      <w:r>
        <w:rPr>
          <w:rFonts w:ascii="Traditional Arabic" w:hAnsi="Traditional Arabic"/>
          <w:sz w:val="32"/>
          <w:szCs w:val="32"/>
          <w:rtl/>
        </w:rPr>
        <w:t xml:space="preserve"> الكشف والبيان (6/163)</w:t>
      </w:r>
      <w:r>
        <w:rPr>
          <w:rFonts w:ascii="Traditional Arabic" w:hAnsi="Traditional Arabic" w:hint="cs"/>
          <w:sz w:val="32"/>
          <w:szCs w:val="32"/>
          <w:rtl/>
        </w:rPr>
        <w:t>.</w:t>
      </w:r>
    </w:p>
  </w:footnote>
  <w:footnote w:id="1131">
    <w:p w:rsidR="003F128F" w:rsidRPr="00BA6446" w:rsidRDefault="003F128F" w:rsidP="00BA6446">
      <w:pPr>
        <w:pStyle w:val="af3"/>
        <w:rPr>
          <w:rFonts w:ascii="Traditional Arabic" w:hAnsi="Traditional Arabic"/>
          <w:sz w:val="32"/>
          <w:szCs w:val="32"/>
        </w:rPr>
      </w:pPr>
      <w:r w:rsidRPr="00BA6446">
        <w:rPr>
          <w:rFonts w:ascii="Traditional Arabic" w:hAnsi="Traditional Arabic"/>
          <w:sz w:val="32"/>
          <w:szCs w:val="32"/>
          <w:rtl/>
        </w:rPr>
        <w:t>(</w:t>
      </w:r>
      <w:r w:rsidRPr="00BA6446">
        <w:rPr>
          <w:rStyle w:val="ae"/>
          <w:rFonts w:ascii="Traditional Arabic" w:hAnsi="Traditional Arabic"/>
          <w:sz w:val="32"/>
          <w:szCs w:val="32"/>
          <w:vertAlign w:val="baseline"/>
        </w:rPr>
        <w:footnoteRef/>
      </w:r>
      <w:r w:rsidRPr="00BA6446">
        <w:rPr>
          <w:rFonts w:ascii="Traditional Arabic" w:hAnsi="Traditional Arabic"/>
          <w:sz w:val="32"/>
          <w:szCs w:val="32"/>
          <w:rtl/>
        </w:rPr>
        <w:t xml:space="preserve">)  الوقوف على أسمائهم، والكشف عن صفاتهم وأحوالهم زيادة على ما ذكر القرآن إنما هو مجرد تخمين,  وليس فيه كبير فائدة.  </w:t>
      </w:r>
    </w:p>
  </w:footnote>
  <w:footnote w:id="1132">
    <w:p w:rsidR="003F128F" w:rsidRPr="00845848" w:rsidRDefault="003F128F" w:rsidP="00D126DB">
      <w:pPr>
        <w:pStyle w:val="af3"/>
        <w:rPr>
          <w:rFonts w:ascii="Traditional Arabic" w:hAnsi="Traditional Arabic"/>
          <w:sz w:val="32"/>
          <w:szCs w:val="32"/>
        </w:rPr>
      </w:pPr>
      <w:r w:rsidRPr="00504402">
        <w:rPr>
          <w:rFonts w:ascii="Traditional Arabic" w:hAnsi="Traditional Arabic"/>
          <w:sz w:val="32"/>
          <w:szCs w:val="32"/>
          <w:rtl/>
        </w:rPr>
        <w:t>(</w:t>
      </w:r>
      <w:r w:rsidRPr="00504402">
        <w:rPr>
          <w:rStyle w:val="ae"/>
          <w:rFonts w:ascii="Traditional Arabic" w:hAnsi="Traditional Arabic"/>
          <w:sz w:val="32"/>
          <w:szCs w:val="32"/>
          <w:vertAlign w:val="baseline"/>
        </w:rPr>
        <w:footnoteRef/>
      </w:r>
      <w:r w:rsidRPr="00504402">
        <w:rPr>
          <w:rFonts w:ascii="Traditional Arabic" w:hAnsi="Traditional Arabic"/>
          <w:sz w:val="32"/>
          <w:szCs w:val="32"/>
          <w:rtl/>
        </w:rPr>
        <w:t>)</w:t>
      </w:r>
      <w:r>
        <w:rPr>
          <w:rFonts w:ascii="Traditional Arabic" w:hAnsi="Traditional Arabic" w:hint="cs"/>
          <w:sz w:val="32"/>
          <w:szCs w:val="32"/>
          <w:rtl/>
        </w:rPr>
        <w:t xml:space="preserve"> انظر:</w:t>
      </w:r>
      <w:r w:rsidRPr="00845848">
        <w:rPr>
          <w:rFonts w:ascii="Traditional Arabic" w:hAnsi="Traditional Arabic"/>
          <w:sz w:val="32"/>
          <w:szCs w:val="32"/>
          <w:rtl/>
        </w:rPr>
        <w:t xml:space="preserve"> </w:t>
      </w:r>
      <w:r>
        <w:rPr>
          <w:rFonts w:ascii="Traditional Arabic" w:hAnsi="Traditional Arabic" w:hint="cs"/>
          <w:sz w:val="32"/>
          <w:szCs w:val="32"/>
          <w:rtl/>
        </w:rPr>
        <w:t xml:space="preserve">الكشف والبيان (6/148), </w:t>
      </w:r>
      <w:r w:rsidRPr="00504402">
        <w:rPr>
          <w:rFonts w:ascii="Traditional Arabic" w:hAnsi="Traditional Arabic"/>
          <w:sz w:val="32"/>
          <w:szCs w:val="32"/>
          <w:rtl/>
        </w:rPr>
        <w:t>التفسير الوسيط (3/1</w:t>
      </w:r>
      <w:r>
        <w:rPr>
          <w:rFonts w:ascii="Traditional Arabic" w:hAnsi="Traditional Arabic" w:hint="cs"/>
          <w:sz w:val="32"/>
          <w:szCs w:val="32"/>
          <w:rtl/>
        </w:rPr>
        <w:t>39</w:t>
      </w:r>
      <w:r w:rsidRPr="00504402">
        <w:rPr>
          <w:rFonts w:ascii="Traditional Arabic" w:hAnsi="Traditional Arabic"/>
          <w:sz w:val="32"/>
          <w:szCs w:val="32"/>
          <w:rtl/>
        </w:rPr>
        <w:t>)</w:t>
      </w:r>
      <w:r>
        <w:rPr>
          <w:rFonts w:ascii="Traditional Arabic" w:hAnsi="Traditional Arabic" w:hint="cs"/>
          <w:sz w:val="32"/>
          <w:szCs w:val="32"/>
          <w:rtl/>
        </w:rPr>
        <w:t>.</w:t>
      </w:r>
    </w:p>
  </w:footnote>
  <w:footnote w:id="1133">
    <w:p w:rsidR="003F128F" w:rsidRPr="00845848" w:rsidRDefault="003F128F" w:rsidP="00D126DB">
      <w:pPr>
        <w:pStyle w:val="af3"/>
        <w:rPr>
          <w:rFonts w:ascii="Traditional Arabic" w:hAnsi="Traditional Arabic"/>
          <w:sz w:val="32"/>
          <w:szCs w:val="32"/>
        </w:rPr>
      </w:pPr>
      <w:r w:rsidRPr="00845848">
        <w:rPr>
          <w:rFonts w:ascii="Traditional Arabic" w:hAnsi="Traditional Arabic"/>
          <w:sz w:val="32"/>
          <w:szCs w:val="32"/>
          <w:rtl/>
        </w:rPr>
        <w:t>(</w:t>
      </w:r>
      <w:r w:rsidRPr="00845848">
        <w:rPr>
          <w:rStyle w:val="ae"/>
          <w:rFonts w:ascii="Traditional Arabic" w:hAnsi="Traditional Arabic"/>
          <w:sz w:val="32"/>
          <w:szCs w:val="32"/>
          <w:vertAlign w:val="baseline"/>
        </w:rPr>
        <w:footnoteRef/>
      </w:r>
      <w:r>
        <w:rPr>
          <w:rFonts w:ascii="Traditional Arabic" w:hAnsi="Traditional Arabic"/>
          <w:sz w:val="32"/>
          <w:szCs w:val="32"/>
          <w:rtl/>
        </w:rPr>
        <w:t>)</w:t>
      </w:r>
      <w:r w:rsidRPr="00845848">
        <w:rPr>
          <w:rFonts w:ascii="Traditional Arabic" w:hAnsi="Traditional Arabic"/>
          <w:sz w:val="32"/>
          <w:szCs w:val="32"/>
          <w:rtl/>
        </w:rPr>
        <w:t xml:space="preserve"> </w:t>
      </w:r>
      <w:r>
        <w:rPr>
          <w:rFonts w:ascii="Traditional Arabic" w:hAnsi="Traditional Arabic" w:hint="cs"/>
          <w:sz w:val="32"/>
          <w:szCs w:val="32"/>
          <w:rtl/>
        </w:rPr>
        <w:t>انظر: تفسير الطبري (17/609),</w:t>
      </w:r>
      <w:r w:rsidRPr="00215C59">
        <w:rPr>
          <w:rFonts w:ascii="Traditional Arabic" w:hAnsi="Traditional Arabic" w:hint="cs"/>
          <w:sz w:val="32"/>
          <w:szCs w:val="32"/>
          <w:rtl/>
        </w:rPr>
        <w:t xml:space="preserve"> </w:t>
      </w:r>
      <w:r>
        <w:rPr>
          <w:rFonts w:ascii="Traditional Arabic" w:hAnsi="Traditional Arabic" w:hint="cs"/>
          <w:sz w:val="32"/>
          <w:szCs w:val="32"/>
          <w:rtl/>
        </w:rPr>
        <w:t>الكشف والبيان (6/150).</w:t>
      </w:r>
    </w:p>
  </w:footnote>
  <w:footnote w:id="1134">
    <w:p w:rsidR="003F128F" w:rsidRPr="00845848" w:rsidRDefault="003F128F" w:rsidP="00D126DB">
      <w:pPr>
        <w:pStyle w:val="af3"/>
        <w:rPr>
          <w:rFonts w:ascii="Traditional Arabic" w:hAnsi="Traditional Arabic"/>
          <w:sz w:val="32"/>
          <w:szCs w:val="32"/>
        </w:rPr>
      </w:pPr>
      <w:r w:rsidRPr="00845848">
        <w:rPr>
          <w:rFonts w:ascii="Traditional Arabic" w:hAnsi="Traditional Arabic"/>
          <w:sz w:val="32"/>
          <w:szCs w:val="32"/>
          <w:rtl/>
        </w:rPr>
        <w:t>(</w:t>
      </w:r>
      <w:r w:rsidRPr="00845848">
        <w:rPr>
          <w:rStyle w:val="ae"/>
          <w:rFonts w:ascii="Traditional Arabic" w:hAnsi="Traditional Arabic"/>
          <w:sz w:val="32"/>
          <w:szCs w:val="32"/>
          <w:vertAlign w:val="baseline"/>
        </w:rPr>
        <w:footnoteRef/>
      </w:r>
      <w:r>
        <w:rPr>
          <w:rFonts w:ascii="Traditional Arabic" w:hAnsi="Traditional Arabic"/>
          <w:sz w:val="32"/>
          <w:szCs w:val="32"/>
          <w:rtl/>
        </w:rPr>
        <w:t xml:space="preserve">) </w:t>
      </w:r>
      <w:r>
        <w:rPr>
          <w:rFonts w:ascii="Traditional Arabic" w:hAnsi="Traditional Arabic" w:hint="cs"/>
          <w:sz w:val="32"/>
          <w:szCs w:val="32"/>
          <w:rtl/>
        </w:rPr>
        <w:t>انظر:</w:t>
      </w:r>
      <w:r w:rsidRPr="00637402">
        <w:rPr>
          <w:rFonts w:ascii="Traditional Arabic" w:hAnsi="Traditional Arabic" w:hint="cs"/>
          <w:sz w:val="32"/>
          <w:szCs w:val="32"/>
          <w:rtl/>
        </w:rPr>
        <w:t xml:space="preserve"> </w:t>
      </w:r>
      <w:r>
        <w:rPr>
          <w:rFonts w:ascii="Traditional Arabic" w:hAnsi="Traditional Arabic" w:hint="cs"/>
          <w:sz w:val="32"/>
          <w:szCs w:val="32"/>
          <w:rtl/>
        </w:rPr>
        <w:t xml:space="preserve">الكشف والبيان (6/148), </w:t>
      </w:r>
      <w:r w:rsidRPr="00504402">
        <w:rPr>
          <w:rFonts w:ascii="Traditional Arabic" w:hAnsi="Traditional Arabic"/>
          <w:sz w:val="32"/>
          <w:szCs w:val="32"/>
          <w:rtl/>
        </w:rPr>
        <w:t>التفسير الوسيط (3/1</w:t>
      </w:r>
      <w:r>
        <w:rPr>
          <w:rFonts w:ascii="Traditional Arabic" w:hAnsi="Traditional Arabic" w:hint="cs"/>
          <w:sz w:val="32"/>
          <w:szCs w:val="32"/>
          <w:rtl/>
        </w:rPr>
        <w:t>39</w:t>
      </w:r>
      <w:r>
        <w:rPr>
          <w:rFonts w:ascii="Traditional Arabic" w:hAnsi="Traditional Arabic"/>
          <w:sz w:val="32"/>
          <w:szCs w:val="32"/>
          <w:rtl/>
        </w:rPr>
        <w:t>)</w:t>
      </w:r>
      <w:r>
        <w:rPr>
          <w:rFonts w:ascii="Traditional Arabic" w:hAnsi="Traditional Arabic" w:hint="cs"/>
          <w:sz w:val="32"/>
          <w:szCs w:val="32"/>
          <w:rtl/>
        </w:rPr>
        <w:t>.</w:t>
      </w:r>
    </w:p>
  </w:footnote>
  <w:footnote w:id="1135">
    <w:p w:rsidR="003F128F" w:rsidRPr="00845848" w:rsidRDefault="003F128F" w:rsidP="005C21CD">
      <w:pPr>
        <w:pStyle w:val="af3"/>
        <w:rPr>
          <w:rFonts w:ascii="Traditional Arabic" w:hAnsi="Traditional Arabic"/>
          <w:sz w:val="32"/>
          <w:szCs w:val="32"/>
        </w:rPr>
      </w:pPr>
      <w:r w:rsidRPr="00845848">
        <w:rPr>
          <w:rFonts w:ascii="Traditional Arabic" w:hAnsi="Traditional Arabic"/>
          <w:sz w:val="32"/>
          <w:szCs w:val="32"/>
          <w:rtl/>
        </w:rPr>
        <w:t>(</w:t>
      </w:r>
      <w:r w:rsidRPr="00845848">
        <w:rPr>
          <w:rStyle w:val="ae"/>
          <w:rFonts w:ascii="Traditional Arabic" w:hAnsi="Traditional Arabic"/>
          <w:sz w:val="32"/>
          <w:szCs w:val="32"/>
          <w:vertAlign w:val="baseline"/>
        </w:rPr>
        <w:footnoteRef/>
      </w:r>
      <w:r w:rsidRPr="00845848">
        <w:rPr>
          <w:rFonts w:ascii="Traditional Arabic" w:hAnsi="Traditional Arabic"/>
          <w:sz w:val="32"/>
          <w:szCs w:val="32"/>
          <w:rtl/>
        </w:rPr>
        <w:t xml:space="preserve">) </w:t>
      </w:r>
      <w:r>
        <w:rPr>
          <w:rFonts w:ascii="Traditional Arabic" w:hAnsi="Traditional Arabic" w:hint="cs"/>
          <w:sz w:val="32"/>
          <w:szCs w:val="32"/>
          <w:rtl/>
        </w:rPr>
        <w:t xml:space="preserve">انظر: </w:t>
      </w:r>
      <w:r w:rsidRPr="00504402">
        <w:rPr>
          <w:rFonts w:ascii="Traditional Arabic" w:hAnsi="Traditional Arabic" w:hint="cs"/>
          <w:sz w:val="32"/>
          <w:szCs w:val="32"/>
          <w:rtl/>
        </w:rPr>
        <w:t>بحر العلوم (2/343),</w:t>
      </w:r>
      <w:r w:rsidRPr="00504402">
        <w:rPr>
          <w:rFonts w:ascii="Traditional Arabic" w:hAnsi="Traditional Arabic"/>
          <w:sz w:val="32"/>
          <w:szCs w:val="32"/>
          <w:rtl/>
        </w:rPr>
        <w:t xml:space="preserve"> معالم التنزيل (5/16</w:t>
      </w:r>
      <w:r>
        <w:rPr>
          <w:rFonts w:ascii="Traditional Arabic" w:hAnsi="Traditional Arabic" w:hint="cs"/>
          <w:sz w:val="32"/>
          <w:szCs w:val="32"/>
          <w:rtl/>
        </w:rPr>
        <w:t>2</w:t>
      </w:r>
      <w:r w:rsidRPr="00504402">
        <w:rPr>
          <w:rFonts w:ascii="Traditional Arabic" w:hAnsi="Traditional Arabic"/>
          <w:sz w:val="32"/>
          <w:szCs w:val="32"/>
          <w:rtl/>
        </w:rPr>
        <w:t>)</w:t>
      </w:r>
      <w:r>
        <w:rPr>
          <w:rFonts w:ascii="Traditional Arabic" w:hAnsi="Traditional Arabic" w:hint="cs"/>
          <w:sz w:val="32"/>
          <w:szCs w:val="32"/>
          <w:rtl/>
        </w:rPr>
        <w:t>,</w:t>
      </w:r>
      <w:r w:rsidRPr="00215C59">
        <w:rPr>
          <w:rFonts w:ascii="Traditional Arabic" w:hAnsi="Traditional Arabic" w:hint="cs"/>
          <w:sz w:val="32"/>
          <w:szCs w:val="32"/>
          <w:rtl/>
        </w:rPr>
        <w:t xml:space="preserve"> </w:t>
      </w:r>
      <w:r>
        <w:rPr>
          <w:rFonts w:ascii="Traditional Arabic" w:hAnsi="Traditional Arabic" w:hint="cs"/>
          <w:sz w:val="32"/>
          <w:szCs w:val="32"/>
          <w:rtl/>
        </w:rPr>
        <w:t xml:space="preserve">وذكره الطبراني في الأوسط (6/175), والثعلبي في </w:t>
      </w:r>
      <w:r w:rsidRPr="00504402">
        <w:rPr>
          <w:rFonts w:ascii="Traditional Arabic" w:hAnsi="Traditional Arabic"/>
          <w:sz w:val="32"/>
          <w:szCs w:val="32"/>
          <w:rtl/>
        </w:rPr>
        <w:t>الكشف والبيان (6/163)</w:t>
      </w:r>
      <w:r>
        <w:rPr>
          <w:rFonts w:ascii="Traditional Arabic" w:hAnsi="Traditional Arabic" w:hint="cs"/>
          <w:sz w:val="32"/>
          <w:szCs w:val="32"/>
          <w:rtl/>
        </w:rPr>
        <w:t xml:space="preserve">, والواحدي في </w:t>
      </w:r>
      <w:r w:rsidRPr="00504402">
        <w:rPr>
          <w:rFonts w:ascii="Traditional Arabic" w:hAnsi="Traditional Arabic"/>
          <w:sz w:val="32"/>
          <w:szCs w:val="32"/>
          <w:rtl/>
        </w:rPr>
        <w:t>التفسير الوسيط (3/142),</w:t>
      </w:r>
      <w:r>
        <w:rPr>
          <w:rFonts w:ascii="Traditional Arabic" w:hAnsi="Traditional Arabic" w:hint="cs"/>
          <w:sz w:val="32"/>
          <w:szCs w:val="32"/>
          <w:rtl/>
        </w:rPr>
        <w:t xml:space="preserve"> عن الضحاك عن ابن عباس رضي الله عنهما به</w:t>
      </w:r>
      <w:r w:rsidRPr="00504402">
        <w:rPr>
          <w:rFonts w:ascii="Traditional Arabic" w:hAnsi="Traditional Arabic"/>
          <w:sz w:val="32"/>
          <w:szCs w:val="32"/>
          <w:rtl/>
        </w:rPr>
        <w:t>.</w:t>
      </w:r>
    </w:p>
  </w:footnote>
  <w:footnote w:id="1136">
    <w:p w:rsidR="003F128F" w:rsidRPr="00845848" w:rsidRDefault="003F128F" w:rsidP="000951E6">
      <w:pPr>
        <w:pStyle w:val="af3"/>
        <w:rPr>
          <w:rFonts w:ascii="Traditional Arabic" w:hAnsi="Traditional Arabic"/>
          <w:color w:val="auto"/>
          <w:sz w:val="32"/>
          <w:szCs w:val="32"/>
        </w:rPr>
      </w:pPr>
      <w:r w:rsidRPr="00845848">
        <w:rPr>
          <w:rFonts w:ascii="Traditional Arabic" w:hAnsi="Traditional Arabic"/>
          <w:color w:val="auto"/>
          <w:sz w:val="32"/>
          <w:szCs w:val="32"/>
          <w:rtl/>
        </w:rPr>
        <w:t>(</w:t>
      </w:r>
      <w:r w:rsidRPr="00845848">
        <w:rPr>
          <w:rStyle w:val="ae"/>
          <w:rFonts w:ascii="Traditional Arabic" w:hAnsi="Traditional Arabic"/>
          <w:color w:val="auto"/>
          <w:sz w:val="32"/>
          <w:szCs w:val="32"/>
          <w:vertAlign w:val="baseline"/>
        </w:rPr>
        <w:footnoteRef/>
      </w:r>
      <w:r>
        <w:rPr>
          <w:rFonts w:ascii="Traditional Arabic" w:hAnsi="Traditional Arabic"/>
          <w:color w:val="auto"/>
          <w:sz w:val="32"/>
          <w:szCs w:val="32"/>
          <w:rtl/>
        </w:rPr>
        <w:t xml:space="preserve">) </w:t>
      </w:r>
      <w:r>
        <w:rPr>
          <w:rFonts w:ascii="Traditional Arabic" w:hAnsi="Traditional Arabic" w:hint="cs"/>
          <w:color w:val="auto"/>
          <w:sz w:val="32"/>
          <w:szCs w:val="32"/>
          <w:rtl/>
        </w:rPr>
        <w:t>تقدم في (ص171).</w:t>
      </w:r>
    </w:p>
  </w:footnote>
  <w:footnote w:id="1137">
    <w:p w:rsidR="003F128F" w:rsidRPr="00E44916" w:rsidRDefault="003F128F" w:rsidP="005C21CD">
      <w:pPr>
        <w:pStyle w:val="af3"/>
        <w:rPr>
          <w:rFonts w:ascii="Traditional Arabic" w:hAnsi="Traditional Arabic"/>
          <w:sz w:val="32"/>
          <w:szCs w:val="32"/>
        </w:rPr>
      </w:pPr>
      <w:r w:rsidRPr="00E44916">
        <w:rPr>
          <w:rFonts w:ascii="Traditional Arabic" w:hAnsi="Traditional Arabic"/>
          <w:color w:val="auto"/>
          <w:sz w:val="32"/>
          <w:szCs w:val="32"/>
          <w:rtl/>
        </w:rPr>
        <w:t>(</w:t>
      </w:r>
      <w:r w:rsidRPr="00E44916">
        <w:rPr>
          <w:rStyle w:val="ae"/>
          <w:rFonts w:ascii="Traditional Arabic" w:hAnsi="Traditional Arabic"/>
          <w:color w:val="auto"/>
          <w:sz w:val="32"/>
          <w:szCs w:val="32"/>
          <w:vertAlign w:val="baseline"/>
        </w:rPr>
        <w:footnoteRef/>
      </w:r>
      <w:r w:rsidRPr="00E44916">
        <w:rPr>
          <w:rFonts w:ascii="Traditional Arabic" w:hAnsi="Traditional Arabic"/>
          <w:color w:val="auto"/>
          <w:sz w:val="32"/>
          <w:szCs w:val="32"/>
          <w:rtl/>
        </w:rPr>
        <w:t xml:space="preserve">) </w:t>
      </w:r>
      <w:r w:rsidRPr="00E44916">
        <w:rPr>
          <w:rFonts w:ascii="Traditional Arabic" w:hAnsi="Traditional Arabic"/>
          <w:sz w:val="32"/>
          <w:szCs w:val="32"/>
          <w:rtl/>
        </w:rPr>
        <w:t>الكشف والبيان (6/160), وأخرجه ابن أبي حاتم في تفسيره (7/2352) عن مجاهد وابن جريج, وذكره السيوطي في الدر (5/373) وعزاه لابن المنذر.</w:t>
      </w:r>
    </w:p>
  </w:footnote>
  <w:footnote w:id="1138">
    <w:p w:rsidR="003F128F" w:rsidRPr="00E44916" w:rsidRDefault="003F128F" w:rsidP="005C21CD">
      <w:pPr>
        <w:pStyle w:val="af3"/>
        <w:rPr>
          <w:rFonts w:ascii="Traditional Arabic" w:hAnsi="Traditional Arabic"/>
          <w:sz w:val="32"/>
          <w:szCs w:val="32"/>
        </w:rPr>
      </w:pPr>
      <w:r w:rsidRPr="00E44916">
        <w:rPr>
          <w:rFonts w:ascii="Traditional Arabic" w:hAnsi="Traditional Arabic"/>
          <w:sz w:val="32"/>
          <w:szCs w:val="32"/>
          <w:rtl/>
        </w:rPr>
        <w:t>(</w:t>
      </w:r>
      <w:r w:rsidRPr="00E44916">
        <w:rPr>
          <w:rStyle w:val="ae"/>
          <w:rFonts w:ascii="Traditional Arabic" w:hAnsi="Traditional Arabic"/>
          <w:sz w:val="32"/>
          <w:szCs w:val="32"/>
          <w:vertAlign w:val="baseline"/>
        </w:rPr>
        <w:footnoteRef/>
      </w:r>
      <w:r w:rsidRPr="00E44916">
        <w:rPr>
          <w:rFonts w:ascii="Traditional Arabic" w:hAnsi="Traditional Arabic"/>
          <w:sz w:val="32"/>
          <w:szCs w:val="32"/>
          <w:rtl/>
        </w:rPr>
        <w:t>) هو التابعي شعيب بن الأسود البجلي, الجبائي, المحدث من أقران طاووس،</w:t>
      </w:r>
      <w:r w:rsidRPr="00E44916">
        <w:rPr>
          <w:rFonts w:ascii="Traditional Arabic" w:hAnsi="Traditional Arabic"/>
          <w:sz w:val="32"/>
          <w:szCs w:val="32"/>
          <w:rtl/>
          <w:lang w:eastAsia="en-US"/>
        </w:rPr>
        <w:t xml:space="preserve"> </w:t>
      </w:r>
      <w:r w:rsidRPr="00E44916">
        <w:rPr>
          <w:rFonts w:ascii="Traditional Arabic" w:hAnsi="Traditional Arabic"/>
          <w:sz w:val="32"/>
          <w:szCs w:val="32"/>
          <w:rtl/>
        </w:rPr>
        <w:t xml:space="preserve">صاحب الملاحم, أخباري متروك, وجبأ من أعمال الجند باليمن. انظر: تهذيب الكمال (11/328), ميزان الاعتدال للذهبي (2/287). </w:t>
      </w:r>
    </w:p>
  </w:footnote>
  <w:footnote w:id="1139">
    <w:p w:rsidR="003F128F" w:rsidRPr="00E44916" w:rsidRDefault="003F128F" w:rsidP="00D126DB">
      <w:pPr>
        <w:pStyle w:val="af3"/>
        <w:rPr>
          <w:rFonts w:ascii="Traditional Arabic" w:hAnsi="Traditional Arabic"/>
          <w:sz w:val="32"/>
          <w:szCs w:val="32"/>
        </w:rPr>
      </w:pPr>
      <w:r w:rsidRPr="00E44916">
        <w:rPr>
          <w:rFonts w:ascii="Traditional Arabic" w:hAnsi="Traditional Arabic"/>
          <w:sz w:val="32"/>
          <w:szCs w:val="32"/>
          <w:rtl/>
        </w:rPr>
        <w:t>(</w:t>
      </w:r>
      <w:r w:rsidRPr="00E44916">
        <w:rPr>
          <w:rStyle w:val="ae"/>
          <w:rFonts w:ascii="Traditional Arabic" w:hAnsi="Traditional Arabic"/>
          <w:sz w:val="32"/>
          <w:szCs w:val="32"/>
          <w:vertAlign w:val="baseline"/>
        </w:rPr>
        <w:footnoteRef/>
      </w:r>
      <w:r w:rsidRPr="00E44916">
        <w:rPr>
          <w:rFonts w:ascii="Traditional Arabic" w:hAnsi="Traditional Arabic"/>
          <w:sz w:val="32"/>
          <w:szCs w:val="32"/>
          <w:rtl/>
        </w:rPr>
        <w:t xml:space="preserve">) تفسير الطبري </w:t>
      </w:r>
      <w:r>
        <w:rPr>
          <w:rFonts w:ascii="Traditional Arabic" w:hAnsi="Traditional Arabic"/>
          <w:sz w:val="32"/>
          <w:szCs w:val="32"/>
          <w:rtl/>
        </w:rPr>
        <w:t>(17/603), الكشف والبيان (6/160)</w:t>
      </w:r>
      <w:r w:rsidRPr="00E44916">
        <w:rPr>
          <w:rFonts w:ascii="Traditional Arabic" w:hAnsi="Traditional Arabic"/>
          <w:sz w:val="32"/>
          <w:szCs w:val="32"/>
          <w:rtl/>
        </w:rPr>
        <w:t>.</w:t>
      </w:r>
    </w:p>
  </w:footnote>
  <w:footnote w:id="1140">
    <w:p w:rsidR="003F128F" w:rsidRPr="00E44916" w:rsidRDefault="003F128F" w:rsidP="005C21CD">
      <w:pPr>
        <w:pStyle w:val="af3"/>
        <w:rPr>
          <w:rFonts w:ascii="Traditional Arabic" w:hAnsi="Traditional Arabic"/>
          <w:sz w:val="32"/>
          <w:szCs w:val="32"/>
        </w:rPr>
      </w:pPr>
      <w:r w:rsidRPr="00E44916">
        <w:rPr>
          <w:rFonts w:ascii="Traditional Arabic" w:hAnsi="Traditional Arabic"/>
          <w:sz w:val="32"/>
          <w:szCs w:val="32"/>
          <w:rtl/>
        </w:rPr>
        <w:t>(</w:t>
      </w:r>
      <w:r w:rsidRPr="00E44916">
        <w:rPr>
          <w:rStyle w:val="ae"/>
          <w:rFonts w:ascii="Traditional Arabic" w:hAnsi="Traditional Arabic"/>
          <w:sz w:val="32"/>
          <w:szCs w:val="32"/>
          <w:vertAlign w:val="baseline"/>
        </w:rPr>
        <w:footnoteRef/>
      </w:r>
      <w:r w:rsidRPr="00E44916">
        <w:rPr>
          <w:rFonts w:ascii="Traditional Arabic" w:hAnsi="Traditional Arabic"/>
          <w:sz w:val="32"/>
          <w:szCs w:val="32"/>
          <w:rtl/>
        </w:rPr>
        <w:t xml:space="preserve">) هو التابعي </w:t>
      </w:r>
      <w:r>
        <w:rPr>
          <w:rFonts w:ascii="Traditional Arabic" w:hAnsi="Traditional Arabic"/>
          <w:sz w:val="32"/>
          <w:szCs w:val="32"/>
          <w:rtl/>
        </w:rPr>
        <w:t>الإمام</w:t>
      </w:r>
      <w:r>
        <w:rPr>
          <w:rFonts w:ascii="Traditional Arabic" w:hAnsi="Traditional Arabic" w:hint="cs"/>
          <w:sz w:val="32"/>
          <w:szCs w:val="32"/>
          <w:rtl/>
        </w:rPr>
        <w:t>,</w:t>
      </w:r>
      <w:r w:rsidRPr="00E44916">
        <w:rPr>
          <w:rFonts w:ascii="Traditional Arabic" w:hAnsi="Traditional Arabic"/>
          <w:sz w:val="32"/>
          <w:szCs w:val="32"/>
          <w:rtl/>
        </w:rPr>
        <w:t xml:space="preserve"> المحدث</w:t>
      </w:r>
      <w:r>
        <w:rPr>
          <w:rFonts w:ascii="Traditional Arabic" w:hAnsi="Traditional Arabic" w:hint="cs"/>
          <w:sz w:val="32"/>
          <w:szCs w:val="32"/>
          <w:rtl/>
        </w:rPr>
        <w:t>,</w:t>
      </w:r>
      <w:r w:rsidRPr="00E44916">
        <w:rPr>
          <w:rFonts w:ascii="Traditional Arabic" w:hAnsi="Traditional Arabic"/>
          <w:sz w:val="32"/>
          <w:szCs w:val="32"/>
          <w:rtl/>
        </w:rPr>
        <w:t xml:space="preserve"> أبو عبد الله</w:t>
      </w:r>
      <w:r>
        <w:rPr>
          <w:rFonts w:ascii="Traditional Arabic" w:hAnsi="Traditional Arabic" w:hint="cs"/>
          <w:sz w:val="32"/>
          <w:szCs w:val="32"/>
          <w:rtl/>
        </w:rPr>
        <w:t>,</w:t>
      </w:r>
      <w:r w:rsidRPr="00E44916">
        <w:rPr>
          <w:rFonts w:ascii="Traditional Arabic" w:hAnsi="Traditional Arabic"/>
          <w:sz w:val="32"/>
          <w:szCs w:val="32"/>
          <w:rtl/>
        </w:rPr>
        <w:t xml:space="preserve"> سفيان بن سعيد بن مسروق بن حبيب الثوري, الكوفي, كان إماماً في علم الحديث وغيره من العلوم، وأجمع الناس على دينه وورعه وزهده وثقته، وهو أحد الأئمة المجتهدين، (ت161ه). انظر: وفيات الأعيان (2/386), تهذيب الكمال (11/154), سير أعلام النبلاء (7/229).</w:t>
      </w:r>
    </w:p>
  </w:footnote>
  <w:footnote w:id="1141">
    <w:p w:rsidR="003F128F" w:rsidRPr="00E44916" w:rsidRDefault="003F128F" w:rsidP="005C21CD">
      <w:pPr>
        <w:pStyle w:val="af3"/>
        <w:rPr>
          <w:rFonts w:ascii="Traditional Arabic" w:hAnsi="Traditional Arabic"/>
          <w:sz w:val="32"/>
          <w:szCs w:val="32"/>
        </w:rPr>
      </w:pPr>
      <w:r w:rsidRPr="00E44916">
        <w:rPr>
          <w:rFonts w:ascii="Traditional Arabic" w:hAnsi="Traditional Arabic"/>
          <w:sz w:val="32"/>
          <w:szCs w:val="32"/>
          <w:rtl/>
        </w:rPr>
        <w:t>(</w:t>
      </w:r>
      <w:r w:rsidRPr="00E44916">
        <w:rPr>
          <w:rStyle w:val="ae"/>
          <w:rFonts w:ascii="Traditional Arabic" w:hAnsi="Traditional Arabic"/>
          <w:sz w:val="32"/>
          <w:szCs w:val="32"/>
          <w:vertAlign w:val="baseline"/>
        </w:rPr>
        <w:footnoteRef/>
      </w:r>
      <w:r w:rsidRPr="00E44916">
        <w:rPr>
          <w:rFonts w:ascii="Traditional Arabic" w:hAnsi="Traditional Arabic"/>
          <w:sz w:val="32"/>
          <w:szCs w:val="32"/>
          <w:rtl/>
        </w:rPr>
        <w:t xml:space="preserve">) انظر: تفسير ابن أبي حاتم (7/2352). </w:t>
      </w:r>
    </w:p>
  </w:footnote>
  <w:footnote w:id="1142">
    <w:p w:rsidR="003F128F" w:rsidRPr="00E44916" w:rsidRDefault="003F128F" w:rsidP="005C21CD">
      <w:pPr>
        <w:pStyle w:val="af3"/>
        <w:rPr>
          <w:rFonts w:ascii="Traditional Arabic" w:hAnsi="Traditional Arabic"/>
          <w:sz w:val="32"/>
          <w:szCs w:val="32"/>
        </w:rPr>
      </w:pPr>
      <w:r w:rsidRPr="00E44916">
        <w:rPr>
          <w:rFonts w:ascii="Traditional Arabic" w:hAnsi="Traditional Arabic"/>
          <w:sz w:val="32"/>
          <w:szCs w:val="32"/>
          <w:rtl/>
        </w:rPr>
        <w:t>(</w:t>
      </w:r>
      <w:r w:rsidRPr="00E44916">
        <w:rPr>
          <w:rStyle w:val="ae"/>
          <w:rFonts w:ascii="Traditional Arabic" w:hAnsi="Traditional Arabic"/>
          <w:sz w:val="32"/>
          <w:szCs w:val="32"/>
          <w:vertAlign w:val="baseline"/>
        </w:rPr>
        <w:footnoteRef/>
      </w:r>
      <w:r w:rsidRPr="00E44916">
        <w:rPr>
          <w:rFonts w:ascii="Traditional Arabic" w:hAnsi="Traditional Arabic"/>
          <w:sz w:val="32"/>
          <w:szCs w:val="32"/>
          <w:rtl/>
        </w:rPr>
        <w:t>) النكت والعيون (3/292).</w:t>
      </w:r>
    </w:p>
  </w:footnote>
  <w:footnote w:id="1143">
    <w:p w:rsidR="003F128F" w:rsidRPr="00E6039A" w:rsidRDefault="003F128F" w:rsidP="00E6039A">
      <w:pPr>
        <w:pStyle w:val="af3"/>
        <w:rPr>
          <w:rFonts w:ascii="Traditional Arabic" w:hAnsi="Traditional Arabic"/>
          <w:sz w:val="32"/>
          <w:szCs w:val="32"/>
        </w:rPr>
      </w:pPr>
      <w:r w:rsidRPr="00E6039A">
        <w:rPr>
          <w:rFonts w:ascii="Traditional Arabic" w:hAnsi="Traditional Arabic"/>
          <w:sz w:val="32"/>
          <w:szCs w:val="32"/>
          <w:rtl/>
        </w:rPr>
        <w:t>(</w:t>
      </w:r>
      <w:r w:rsidRPr="00E6039A">
        <w:rPr>
          <w:rStyle w:val="ae"/>
          <w:rFonts w:ascii="Traditional Arabic" w:hAnsi="Traditional Arabic"/>
          <w:sz w:val="32"/>
          <w:szCs w:val="32"/>
          <w:vertAlign w:val="baseline"/>
        </w:rPr>
        <w:footnoteRef/>
      </w:r>
      <w:r w:rsidRPr="00E6039A">
        <w:rPr>
          <w:rFonts w:ascii="Traditional Arabic" w:hAnsi="Traditional Arabic"/>
          <w:sz w:val="32"/>
          <w:szCs w:val="32"/>
          <w:rtl/>
        </w:rPr>
        <w:t>)</w:t>
      </w:r>
      <w:r>
        <w:rPr>
          <w:rFonts w:ascii="Traditional Arabic" w:hAnsi="Traditional Arabic" w:hint="cs"/>
          <w:sz w:val="32"/>
          <w:szCs w:val="32"/>
          <w:rtl/>
          <w:lang w:eastAsia="en-US"/>
        </w:rPr>
        <w:t xml:space="preserve"> </w:t>
      </w:r>
      <w:r w:rsidRPr="00E6039A">
        <w:rPr>
          <w:rFonts w:ascii="Traditional Arabic" w:hAnsi="Traditional Arabic"/>
          <w:sz w:val="32"/>
          <w:szCs w:val="32"/>
          <w:rtl/>
          <w:lang w:eastAsia="en-US"/>
        </w:rPr>
        <w:t>البَلَقُ</w:t>
      </w:r>
      <w:r w:rsidRPr="00E6039A">
        <w:rPr>
          <w:rFonts w:ascii="Traditional Arabic" w:hAnsi="Traditional Arabic"/>
          <w:sz w:val="32"/>
          <w:szCs w:val="32"/>
          <w:rtl/>
        </w:rPr>
        <w:t>: سوادٌ وبياضٌ. انظر: لسان العرب (10/25) مادة (بلق).</w:t>
      </w:r>
    </w:p>
  </w:footnote>
  <w:footnote w:id="1144">
    <w:p w:rsidR="003F128F" w:rsidRPr="00F01FFE" w:rsidRDefault="003F128F" w:rsidP="00B66B69">
      <w:pPr>
        <w:pStyle w:val="af3"/>
        <w:rPr>
          <w:rFonts w:ascii="Traditional Arabic" w:hAnsi="Traditional Arabic"/>
          <w:sz w:val="32"/>
          <w:szCs w:val="32"/>
        </w:rPr>
      </w:pPr>
      <w:r w:rsidRPr="00E44916">
        <w:rPr>
          <w:rFonts w:ascii="Traditional Arabic" w:hAnsi="Traditional Arabic"/>
          <w:sz w:val="32"/>
          <w:szCs w:val="32"/>
          <w:rtl/>
        </w:rPr>
        <w:t>(</w:t>
      </w:r>
      <w:r w:rsidRPr="00F01FFE">
        <w:rPr>
          <w:rStyle w:val="ae"/>
          <w:rFonts w:ascii="Traditional Arabic" w:hAnsi="Traditional Arabic"/>
          <w:sz w:val="32"/>
          <w:szCs w:val="32"/>
          <w:vertAlign w:val="baseline"/>
        </w:rPr>
        <w:footnoteRef/>
      </w:r>
      <w:r w:rsidRPr="00F01FFE">
        <w:rPr>
          <w:rFonts w:ascii="Traditional Arabic" w:hAnsi="Traditional Arabic"/>
          <w:sz w:val="32"/>
          <w:szCs w:val="32"/>
          <w:rtl/>
        </w:rPr>
        <w:t>)</w:t>
      </w:r>
      <w:r>
        <w:rPr>
          <w:rFonts w:ascii="Traditional Arabic" w:hAnsi="Traditional Arabic" w:hint="cs"/>
          <w:sz w:val="32"/>
          <w:szCs w:val="32"/>
          <w:rtl/>
          <w:lang w:eastAsia="en-US"/>
        </w:rPr>
        <w:t xml:space="preserve"> </w:t>
      </w:r>
      <w:r>
        <w:rPr>
          <w:rFonts w:ascii="Traditional Arabic" w:hAnsi="Traditional Arabic" w:hint="cs"/>
          <w:sz w:val="32"/>
          <w:szCs w:val="32"/>
          <w:rtl/>
        </w:rPr>
        <w:t>لم أقف عليه فيما لدي من مصادر.</w:t>
      </w:r>
    </w:p>
  </w:footnote>
  <w:footnote w:id="1145">
    <w:p w:rsidR="003F128F" w:rsidRPr="00F01FFE" w:rsidRDefault="003F128F" w:rsidP="00B66B69">
      <w:pPr>
        <w:pStyle w:val="af3"/>
        <w:rPr>
          <w:rFonts w:ascii="Traditional Arabic" w:hAnsi="Traditional Arabic"/>
          <w:sz w:val="32"/>
          <w:szCs w:val="32"/>
        </w:rPr>
      </w:pPr>
      <w:r w:rsidRPr="00F01FFE">
        <w:rPr>
          <w:rFonts w:ascii="Traditional Arabic" w:hAnsi="Traditional Arabic"/>
          <w:sz w:val="32"/>
          <w:szCs w:val="32"/>
          <w:rtl/>
        </w:rPr>
        <w:t>(</w:t>
      </w:r>
      <w:r w:rsidRPr="00F01FFE">
        <w:rPr>
          <w:rStyle w:val="ae"/>
          <w:rFonts w:ascii="Traditional Arabic" w:hAnsi="Traditional Arabic"/>
          <w:sz w:val="32"/>
          <w:szCs w:val="32"/>
          <w:vertAlign w:val="baseline"/>
        </w:rPr>
        <w:footnoteRef/>
      </w:r>
      <w:r w:rsidRPr="00F01FFE">
        <w:rPr>
          <w:rFonts w:ascii="Traditional Arabic" w:hAnsi="Traditional Arabic"/>
          <w:sz w:val="32"/>
          <w:szCs w:val="32"/>
          <w:rtl/>
        </w:rPr>
        <w:t>)</w:t>
      </w:r>
      <w:r>
        <w:rPr>
          <w:rFonts w:ascii="Traditional Arabic" w:hAnsi="Traditional Arabic" w:hint="cs"/>
          <w:sz w:val="32"/>
          <w:szCs w:val="32"/>
          <w:rtl/>
        </w:rPr>
        <w:t xml:space="preserve"> </w:t>
      </w:r>
      <w:r w:rsidRPr="00F01FFE">
        <w:rPr>
          <w:rFonts w:ascii="Traditional Arabic" w:hAnsi="Traditional Arabic"/>
          <w:sz w:val="32"/>
          <w:szCs w:val="32"/>
          <w:rtl/>
        </w:rPr>
        <w:t xml:space="preserve">انظر: معاني القراءات (2/109).   </w:t>
      </w:r>
    </w:p>
  </w:footnote>
  <w:footnote w:id="1146">
    <w:p w:rsidR="003F128F" w:rsidRPr="00901229" w:rsidRDefault="003F128F" w:rsidP="005C21CD">
      <w:pPr>
        <w:pStyle w:val="af3"/>
        <w:rPr>
          <w:rFonts w:ascii="Traditional Arabic" w:hAnsi="Traditional Arabic"/>
          <w:sz w:val="32"/>
          <w:szCs w:val="32"/>
        </w:rPr>
      </w:pPr>
      <w:r w:rsidRPr="00901229">
        <w:rPr>
          <w:rFonts w:ascii="Traditional Arabic" w:hAnsi="Traditional Arabic"/>
          <w:sz w:val="32"/>
          <w:szCs w:val="32"/>
          <w:rtl/>
        </w:rPr>
        <w:t>(</w:t>
      </w:r>
      <w:r w:rsidRPr="00901229">
        <w:rPr>
          <w:rStyle w:val="ae"/>
          <w:rFonts w:ascii="Traditional Arabic" w:hAnsi="Traditional Arabic"/>
          <w:sz w:val="32"/>
          <w:szCs w:val="32"/>
          <w:vertAlign w:val="baseline"/>
        </w:rPr>
        <w:footnoteRef/>
      </w:r>
      <w:r w:rsidRPr="00901229">
        <w:rPr>
          <w:rFonts w:ascii="Traditional Arabic" w:hAnsi="Traditional Arabic"/>
          <w:sz w:val="32"/>
          <w:szCs w:val="32"/>
          <w:rtl/>
        </w:rPr>
        <w:t>) انظر: الكشف والبيان (6/163), التفسير البسيط (13/579).</w:t>
      </w:r>
    </w:p>
  </w:footnote>
  <w:footnote w:id="1147">
    <w:p w:rsidR="003F128F" w:rsidRPr="00901229" w:rsidRDefault="003F128F" w:rsidP="005C21CD">
      <w:pPr>
        <w:pStyle w:val="af3"/>
        <w:rPr>
          <w:rFonts w:ascii="Traditional Arabic" w:hAnsi="Traditional Arabic"/>
          <w:sz w:val="32"/>
          <w:szCs w:val="32"/>
        </w:rPr>
      </w:pPr>
      <w:r w:rsidRPr="00901229">
        <w:rPr>
          <w:rFonts w:ascii="Traditional Arabic" w:hAnsi="Traditional Arabic"/>
          <w:sz w:val="32"/>
          <w:szCs w:val="32"/>
          <w:rtl/>
        </w:rPr>
        <w:t>(</w:t>
      </w:r>
      <w:r w:rsidRPr="00901229">
        <w:rPr>
          <w:rStyle w:val="ae"/>
          <w:rFonts w:ascii="Traditional Arabic" w:hAnsi="Traditional Arabic"/>
          <w:sz w:val="32"/>
          <w:szCs w:val="32"/>
          <w:vertAlign w:val="baseline"/>
        </w:rPr>
        <w:footnoteRef/>
      </w:r>
      <w:r>
        <w:rPr>
          <w:rFonts w:ascii="Traditional Arabic" w:hAnsi="Traditional Arabic"/>
          <w:sz w:val="32"/>
          <w:szCs w:val="32"/>
          <w:rtl/>
        </w:rPr>
        <w:t>) قو</w:t>
      </w:r>
      <w:r w:rsidRPr="00901229">
        <w:rPr>
          <w:rFonts w:ascii="Traditional Arabic" w:hAnsi="Traditional Arabic"/>
          <w:sz w:val="32"/>
          <w:szCs w:val="32"/>
          <w:rtl/>
        </w:rPr>
        <w:t>ل ابن عباس رضي اله عنهما أخرجه الطبري في تفسيره (17/643), وذكره مكي في الهداية (6/4354), وقول قتادة أخرجه عبد الرزاق في تفسيره (2/329), وابن أبي حاتم في تفسيره (7/2354), والطبري في تفسيره (17/643), وغيرهم.</w:t>
      </w:r>
    </w:p>
  </w:footnote>
  <w:footnote w:id="1148">
    <w:p w:rsidR="003F128F" w:rsidRPr="00901229" w:rsidRDefault="003F128F" w:rsidP="005C21CD">
      <w:pPr>
        <w:pStyle w:val="af3"/>
        <w:rPr>
          <w:rFonts w:ascii="Traditional Arabic" w:hAnsi="Traditional Arabic"/>
          <w:sz w:val="32"/>
          <w:szCs w:val="32"/>
        </w:rPr>
      </w:pPr>
      <w:r w:rsidRPr="00901229">
        <w:rPr>
          <w:rFonts w:ascii="Traditional Arabic" w:hAnsi="Traditional Arabic"/>
          <w:sz w:val="32"/>
          <w:szCs w:val="32"/>
          <w:rtl/>
        </w:rPr>
        <w:t>(</w:t>
      </w:r>
      <w:r w:rsidRPr="00901229">
        <w:rPr>
          <w:rStyle w:val="ae"/>
          <w:rFonts w:ascii="Traditional Arabic" w:hAnsi="Traditional Arabic"/>
          <w:sz w:val="32"/>
          <w:szCs w:val="32"/>
          <w:vertAlign w:val="baseline"/>
        </w:rPr>
        <w:footnoteRef/>
      </w:r>
      <w:r w:rsidRPr="00901229">
        <w:rPr>
          <w:rFonts w:ascii="Traditional Arabic" w:hAnsi="Traditional Arabic"/>
          <w:sz w:val="32"/>
          <w:szCs w:val="32"/>
          <w:rtl/>
        </w:rPr>
        <w:t xml:space="preserve">) انظر: تفسير الطبري (17/643), الهداية (6/4354). </w:t>
      </w:r>
    </w:p>
  </w:footnote>
  <w:footnote w:id="1149">
    <w:p w:rsidR="003F128F" w:rsidRPr="00901229" w:rsidRDefault="003F128F" w:rsidP="005C21CD">
      <w:pPr>
        <w:pStyle w:val="af3"/>
        <w:rPr>
          <w:rFonts w:ascii="Traditional Arabic" w:hAnsi="Traditional Arabic"/>
          <w:sz w:val="32"/>
          <w:szCs w:val="32"/>
        </w:rPr>
      </w:pPr>
      <w:r w:rsidRPr="00901229">
        <w:rPr>
          <w:rFonts w:ascii="Traditional Arabic" w:hAnsi="Traditional Arabic"/>
          <w:sz w:val="32"/>
          <w:szCs w:val="32"/>
          <w:rtl/>
        </w:rPr>
        <w:t>(</w:t>
      </w:r>
      <w:r w:rsidRPr="00901229">
        <w:rPr>
          <w:rStyle w:val="ae"/>
          <w:rFonts w:ascii="Traditional Arabic" w:hAnsi="Traditional Arabic"/>
          <w:sz w:val="32"/>
          <w:szCs w:val="32"/>
          <w:vertAlign w:val="baseline"/>
        </w:rPr>
        <w:footnoteRef/>
      </w:r>
      <w:r w:rsidRPr="00901229">
        <w:rPr>
          <w:rFonts w:ascii="Traditional Arabic" w:hAnsi="Traditional Arabic"/>
          <w:sz w:val="32"/>
          <w:szCs w:val="32"/>
          <w:rtl/>
        </w:rPr>
        <w:t xml:space="preserve">) النكت والعيون (3/298). </w:t>
      </w:r>
    </w:p>
  </w:footnote>
  <w:footnote w:id="1150">
    <w:p w:rsidR="003F128F" w:rsidRPr="00901229" w:rsidRDefault="003F128F" w:rsidP="005C21CD">
      <w:pPr>
        <w:pStyle w:val="af3"/>
        <w:rPr>
          <w:rFonts w:ascii="Traditional Arabic" w:hAnsi="Traditional Arabic"/>
          <w:sz w:val="32"/>
          <w:szCs w:val="32"/>
        </w:rPr>
      </w:pPr>
      <w:r w:rsidRPr="00901229">
        <w:rPr>
          <w:rFonts w:ascii="Traditional Arabic" w:hAnsi="Traditional Arabic"/>
          <w:sz w:val="32"/>
          <w:szCs w:val="32"/>
          <w:rtl/>
        </w:rPr>
        <w:t>(</w:t>
      </w:r>
      <w:r w:rsidRPr="00901229">
        <w:rPr>
          <w:rStyle w:val="ae"/>
          <w:rFonts w:ascii="Traditional Arabic" w:hAnsi="Traditional Arabic"/>
          <w:sz w:val="32"/>
          <w:szCs w:val="32"/>
          <w:vertAlign w:val="baseline"/>
        </w:rPr>
        <w:footnoteRef/>
      </w:r>
      <w:r w:rsidRPr="00901229">
        <w:rPr>
          <w:rFonts w:ascii="Traditional Arabic" w:hAnsi="Traditional Arabic"/>
          <w:sz w:val="32"/>
          <w:szCs w:val="32"/>
          <w:rtl/>
        </w:rPr>
        <w:t>) انظر: جمهر</w:t>
      </w:r>
      <w:r>
        <w:rPr>
          <w:rFonts w:ascii="Traditional Arabic" w:hAnsi="Traditional Arabic"/>
          <w:sz w:val="32"/>
          <w:szCs w:val="32"/>
          <w:rtl/>
        </w:rPr>
        <w:t>ة اللغة (2/1069)</w:t>
      </w:r>
      <w:r w:rsidRPr="00901229">
        <w:rPr>
          <w:rFonts w:ascii="Traditional Arabic" w:hAnsi="Traditional Arabic"/>
          <w:sz w:val="32"/>
          <w:szCs w:val="32"/>
          <w:rtl/>
        </w:rPr>
        <w:t xml:space="preserve"> مادة (رمواي).</w:t>
      </w:r>
    </w:p>
  </w:footnote>
  <w:footnote w:id="1151">
    <w:p w:rsidR="003F128F" w:rsidRPr="00901229" w:rsidRDefault="003F128F" w:rsidP="005C21CD">
      <w:pPr>
        <w:pStyle w:val="af3"/>
        <w:rPr>
          <w:rFonts w:ascii="Traditional Arabic" w:hAnsi="Traditional Arabic"/>
          <w:sz w:val="32"/>
          <w:szCs w:val="32"/>
        </w:rPr>
      </w:pPr>
      <w:r w:rsidRPr="00901229">
        <w:rPr>
          <w:rFonts w:ascii="Traditional Arabic" w:hAnsi="Traditional Arabic"/>
          <w:sz w:val="32"/>
          <w:szCs w:val="32"/>
          <w:rtl/>
        </w:rPr>
        <w:t>(</w:t>
      </w:r>
      <w:r w:rsidRPr="00901229">
        <w:rPr>
          <w:rStyle w:val="ae"/>
          <w:rFonts w:ascii="Traditional Arabic" w:hAnsi="Traditional Arabic"/>
          <w:sz w:val="32"/>
          <w:szCs w:val="32"/>
          <w:vertAlign w:val="baseline"/>
        </w:rPr>
        <w:footnoteRef/>
      </w:r>
      <w:r w:rsidRPr="00901229">
        <w:rPr>
          <w:rFonts w:ascii="Traditional Arabic" w:hAnsi="Traditional Arabic"/>
          <w:sz w:val="32"/>
          <w:szCs w:val="32"/>
          <w:rtl/>
        </w:rPr>
        <w:t>) انظر: البحر المحيط (7/162), روح المعاني (15/280).</w:t>
      </w:r>
    </w:p>
  </w:footnote>
  <w:footnote w:id="1152">
    <w:p w:rsidR="003F128F" w:rsidRPr="00901229" w:rsidRDefault="003F128F" w:rsidP="005C21CD">
      <w:pPr>
        <w:pStyle w:val="af3"/>
        <w:rPr>
          <w:rFonts w:ascii="Traditional Arabic" w:hAnsi="Traditional Arabic"/>
          <w:sz w:val="32"/>
          <w:szCs w:val="32"/>
        </w:rPr>
      </w:pPr>
      <w:r w:rsidRPr="00901229">
        <w:rPr>
          <w:rFonts w:ascii="Traditional Arabic" w:hAnsi="Traditional Arabic"/>
          <w:sz w:val="32"/>
          <w:szCs w:val="32"/>
          <w:rtl/>
        </w:rPr>
        <w:t>(</w:t>
      </w:r>
      <w:r w:rsidRPr="00901229">
        <w:rPr>
          <w:rStyle w:val="ae"/>
          <w:rFonts w:ascii="Traditional Arabic" w:hAnsi="Traditional Arabic"/>
          <w:sz w:val="32"/>
          <w:szCs w:val="32"/>
          <w:vertAlign w:val="baseline"/>
        </w:rPr>
        <w:footnoteRef/>
      </w:r>
      <w:r>
        <w:rPr>
          <w:rFonts w:ascii="Traditional Arabic" w:hAnsi="Traditional Arabic"/>
          <w:sz w:val="32"/>
          <w:szCs w:val="32"/>
          <w:rtl/>
        </w:rPr>
        <w:t>) انظر: تهذيب اللغة (15/204)</w:t>
      </w:r>
      <w:r w:rsidRPr="00901229">
        <w:rPr>
          <w:rFonts w:ascii="Traditional Arabic" w:hAnsi="Traditional Arabic"/>
          <w:sz w:val="32"/>
          <w:szCs w:val="32"/>
          <w:rtl/>
        </w:rPr>
        <w:t xml:space="preserve"> مادة (مري).</w:t>
      </w:r>
    </w:p>
  </w:footnote>
  <w:footnote w:id="1153">
    <w:p w:rsidR="003F128F" w:rsidRPr="003048BA" w:rsidRDefault="003F128F" w:rsidP="00D126DB">
      <w:pPr>
        <w:pStyle w:val="af3"/>
        <w:rPr>
          <w:rFonts w:ascii="Traditional Arabic" w:hAnsi="Traditional Arabic"/>
          <w:sz w:val="32"/>
          <w:szCs w:val="32"/>
        </w:rPr>
      </w:pPr>
      <w:r w:rsidRPr="003048BA">
        <w:rPr>
          <w:rFonts w:ascii="Traditional Arabic" w:hAnsi="Traditional Arabic"/>
          <w:sz w:val="32"/>
          <w:szCs w:val="32"/>
          <w:rtl/>
        </w:rPr>
        <w:t>(</w:t>
      </w:r>
      <w:r w:rsidRPr="003048BA">
        <w:rPr>
          <w:rStyle w:val="ae"/>
          <w:rFonts w:ascii="Traditional Arabic" w:hAnsi="Traditional Arabic"/>
          <w:sz w:val="32"/>
          <w:szCs w:val="32"/>
          <w:vertAlign w:val="baseline"/>
        </w:rPr>
        <w:footnoteRef/>
      </w:r>
      <w:r w:rsidRPr="003048BA">
        <w:rPr>
          <w:rFonts w:ascii="Traditional Arabic" w:hAnsi="Traditional Arabic"/>
          <w:sz w:val="32"/>
          <w:szCs w:val="32"/>
          <w:rtl/>
        </w:rPr>
        <w:t>) تفسير الطبري (17/643</w:t>
      </w:r>
      <w:r>
        <w:rPr>
          <w:rFonts w:ascii="Traditional Arabic" w:hAnsi="Traditional Arabic"/>
          <w:sz w:val="32"/>
          <w:szCs w:val="32"/>
          <w:rtl/>
        </w:rPr>
        <w:t>), تفسير ابن أبي حاتم (7/2355)</w:t>
      </w:r>
      <w:r>
        <w:rPr>
          <w:rFonts w:ascii="Traditional Arabic" w:hAnsi="Traditional Arabic" w:hint="cs"/>
          <w:sz w:val="32"/>
          <w:szCs w:val="32"/>
          <w:rtl/>
        </w:rPr>
        <w:t>.</w:t>
      </w:r>
    </w:p>
  </w:footnote>
  <w:footnote w:id="1154">
    <w:p w:rsidR="003F128F" w:rsidRPr="003048BA" w:rsidRDefault="003F128F" w:rsidP="005C21CD">
      <w:pPr>
        <w:pStyle w:val="af3"/>
        <w:rPr>
          <w:rFonts w:ascii="Traditional Arabic" w:hAnsi="Traditional Arabic"/>
          <w:sz w:val="32"/>
          <w:szCs w:val="32"/>
        </w:rPr>
      </w:pPr>
      <w:r w:rsidRPr="003048BA">
        <w:rPr>
          <w:rFonts w:ascii="Traditional Arabic" w:hAnsi="Traditional Arabic"/>
          <w:sz w:val="32"/>
          <w:szCs w:val="32"/>
          <w:rtl/>
        </w:rPr>
        <w:t>(</w:t>
      </w:r>
      <w:r w:rsidRPr="003048BA">
        <w:rPr>
          <w:rStyle w:val="ae"/>
          <w:rFonts w:ascii="Traditional Arabic" w:hAnsi="Traditional Arabic"/>
          <w:sz w:val="32"/>
          <w:szCs w:val="32"/>
          <w:vertAlign w:val="baseline"/>
        </w:rPr>
        <w:footnoteRef/>
      </w:r>
      <w:r w:rsidRPr="003048BA">
        <w:rPr>
          <w:rFonts w:ascii="Traditional Arabic" w:hAnsi="Traditional Arabic"/>
          <w:sz w:val="32"/>
          <w:szCs w:val="32"/>
          <w:rtl/>
        </w:rPr>
        <w:t>) معاني القرآن (2/138), التفسير الوسيط (3/143).</w:t>
      </w:r>
    </w:p>
  </w:footnote>
  <w:footnote w:id="1155">
    <w:p w:rsidR="003F128F" w:rsidRPr="007D5EB4" w:rsidRDefault="003F128F" w:rsidP="005C21CD">
      <w:pPr>
        <w:pStyle w:val="af3"/>
        <w:rPr>
          <w:rFonts w:ascii="Traditional Arabic" w:hAnsi="Traditional Arabic"/>
          <w:sz w:val="32"/>
          <w:szCs w:val="32"/>
          <w:rtl/>
        </w:rPr>
      </w:pPr>
      <w:r w:rsidRPr="007D5EB4">
        <w:rPr>
          <w:rFonts w:ascii="Traditional Arabic" w:hAnsi="Traditional Arabic"/>
          <w:sz w:val="32"/>
          <w:szCs w:val="32"/>
          <w:rtl/>
        </w:rPr>
        <w:t>(</w:t>
      </w:r>
      <w:r w:rsidRPr="007D5EB4">
        <w:rPr>
          <w:rStyle w:val="ae"/>
          <w:rFonts w:ascii="Traditional Arabic" w:hAnsi="Traditional Arabic"/>
          <w:sz w:val="32"/>
          <w:szCs w:val="32"/>
          <w:vertAlign w:val="baseline"/>
        </w:rPr>
        <w:footnoteRef/>
      </w:r>
      <w:r w:rsidRPr="007D5EB4">
        <w:rPr>
          <w:rFonts w:ascii="Traditional Arabic" w:hAnsi="Traditional Arabic"/>
          <w:sz w:val="32"/>
          <w:szCs w:val="32"/>
          <w:rtl/>
        </w:rPr>
        <w:t xml:space="preserve">) ذكره السمرقندي في بحر العلوم (2/335), والسيوطي في الدر المنثور (5/357) وعزاه لأبي نعيم. </w:t>
      </w:r>
    </w:p>
    <w:p w:rsidR="003F128F" w:rsidRPr="007D5EB4" w:rsidRDefault="003F128F" w:rsidP="005C21CD">
      <w:pPr>
        <w:pStyle w:val="af3"/>
        <w:rPr>
          <w:rFonts w:ascii="Traditional Arabic" w:hAnsi="Traditional Arabic"/>
          <w:sz w:val="32"/>
          <w:szCs w:val="32"/>
        </w:rPr>
      </w:pPr>
      <w:r w:rsidRPr="007D5EB4">
        <w:rPr>
          <w:rFonts w:ascii="Traditional Arabic" w:hAnsi="Traditional Arabic"/>
          <w:sz w:val="32"/>
          <w:szCs w:val="32"/>
          <w:rtl/>
        </w:rPr>
        <w:t xml:space="preserve">وذكره السمعاني في تفسيره (3/273) عن عطاء عن ابن عباس رضي الله عنهما به. </w:t>
      </w:r>
    </w:p>
  </w:footnote>
  <w:footnote w:id="1156">
    <w:p w:rsidR="003F128F" w:rsidRPr="007D5EB4" w:rsidRDefault="003F128F" w:rsidP="00D126DB">
      <w:pPr>
        <w:pStyle w:val="af3"/>
        <w:rPr>
          <w:rFonts w:ascii="Traditional Arabic" w:hAnsi="Traditional Arabic"/>
          <w:sz w:val="32"/>
          <w:szCs w:val="32"/>
        </w:rPr>
      </w:pPr>
      <w:r w:rsidRPr="007D5EB4">
        <w:rPr>
          <w:rFonts w:ascii="Traditional Arabic" w:hAnsi="Traditional Arabic"/>
          <w:sz w:val="32"/>
          <w:szCs w:val="32"/>
          <w:rtl/>
        </w:rPr>
        <w:t>(</w:t>
      </w:r>
      <w:r w:rsidRPr="007D5EB4">
        <w:rPr>
          <w:rStyle w:val="ae"/>
          <w:rFonts w:ascii="Traditional Arabic" w:hAnsi="Traditional Arabic"/>
          <w:sz w:val="32"/>
          <w:szCs w:val="32"/>
          <w:vertAlign w:val="baseline"/>
        </w:rPr>
        <w:footnoteRef/>
      </w:r>
      <w:r w:rsidRPr="007D5EB4">
        <w:rPr>
          <w:rFonts w:ascii="Traditional Arabic" w:hAnsi="Traditional Arabic"/>
          <w:sz w:val="32"/>
          <w:szCs w:val="32"/>
          <w:rtl/>
        </w:rPr>
        <w:t>) انظر: تفسير الطب</w:t>
      </w:r>
      <w:r>
        <w:rPr>
          <w:rFonts w:ascii="Traditional Arabic" w:hAnsi="Traditional Arabic"/>
          <w:sz w:val="32"/>
          <w:szCs w:val="32"/>
          <w:rtl/>
        </w:rPr>
        <w:t>ري (17/645), بحر العلوم (2/343)</w:t>
      </w:r>
      <w:r w:rsidRPr="007D5EB4">
        <w:rPr>
          <w:rFonts w:ascii="Traditional Arabic" w:hAnsi="Traditional Arabic"/>
          <w:sz w:val="32"/>
          <w:szCs w:val="32"/>
          <w:rtl/>
        </w:rPr>
        <w:t>.</w:t>
      </w:r>
    </w:p>
  </w:footnote>
  <w:footnote w:id="1157">
    <w:p w:rsidR="003F128F" w:rsidRPr="007D5EB4" w:rsidRDefault="003F128F" w:rsidP="005C21CD">
      <w:pPr>
        <w:pStyle w:val="af3"/>
        <w:rPr>
          <w:rFonts w:ascii="Traditional Arabic" w:hAnsi="Traditional Arabic"/>
          <w:sz w:val="32"/>
          <w:szCs w:val="32"/>
        </w:rPr>
      </w:pPr>
      <w:r w:rsidRPr="007D5EB4">
        <w:rPr>
          <w:rFonts w:ascii="Traditional Arabic" w:hAnsi="Traditional Arabic"/>
          <w:sz w:val="32"/>
          <w:szCs w:val="32"/>
          <w:rtl/>
        </w:rPr>
        <w:t>(</w:t>
      </w:r>
      <w:r w:rsidRPr="007D5EB4">
        <w:rPr>
          <w:rStyle w:val="ae"/>
          <w:rFonts w:ascii="Traditional Arabic" w:hAnsi="Traditional Arabic"/>
          <w:sz w:val="32"/>
          <w:szCs w:val="32"/>
          <w:vertAlign w:val="baseline"/>
        </w:rPr>
        <w:footnoteRef/>
      </w:r>
      <w:r w:rsidRPr="007D5EB4">
        <w:rPr>
          <w:rFonts w:ascii="Traditional Arabic" w:hAnsi="Traditional Arabic"/>
          <w:sz w:val="32"/>
          <w:szCs w:val="32"/>
          <w:rtl/>
        </w:rPr>
        <w:t>) انظر: البحر المحيط (7/162), رموز الكنوز (4/268).</w:t>
      </w:r>
    </w:p>
  </w:footnote>
  <w:footnote w:id="1158">
    <w:p w:rsidR="003F128F" w:rsidRPr="007D5EB4" w:rsidRDefault="003F128F" w:rsidP="005C21CD">
      <w:pPr>
        <w:pStyle w:val="af3"/>
        <w:rPr>
          <w:rFonts w:ascii="Traditional Arabic" w:hAnsi="Traditional Arabic"/>
          <w:sz w:val="32"/>
          <w:szCs w:val="32"/>
        </w:rPr>
      </w:pPr>
      <w:r w:rsidRPr="007D5EB4">
        <w:rPr>
          <w:rFonts w:ascii="Traditional Arabic" w:hAnsi="Traditional Arabic"/>
          <w:sz w:val="32"/>
          <w:szCs w:val="32"/>
          <w:rtl/>
        </w:rPr>
        <w:t>(</w:t>
      </w:r>
      <w:r w:rsidRPr="007D5EB4">
        <w:rPr>
          <w:rStyle w:val="ae"/>
          <w:rFonts w:ascii="Traditional Arabic" w:hAnsi="Traditional Arabic"/>
          <w:sz w:val="32"/>
          <w:szCs w:val="32"/>
          <w:vertAlign w:val="baseline"/>
        </w:rPr>
        <w:footnoteRef/>
      </w:r>
      <w:r w:rsidRPr="007D5EB4">
        <w:rPr>
          <w:rFonts w:ascii="Traditional Arabic" w:hAnsi="Traditional Arabic"/>
          <w:sz w:val="32"/>
          <w:szCs w:val="32"/>
          <w:rtl/>
        </w:rPr>
        <w:t xml:space="preserve">) انظر: التفسير الوسيط (3/143), الكشاف (2/668), وذكره السيوطي في الدر المنثور (5/377) وعزاه لابن المنذر.  </w:t>
      </w:r>
    </w:p>
  </w:footnote>
  <w:footnote w:id="1159">
    <w:p w:rsidR="003F128F" w:rsidRPr="007D5EB4" w:rsidRDefault="003F128F" w:rsidP="00D126DB">
      <w:pPr>
        <w:pStyle w:val="af3"/>
        <w:rPr>
          <w:rFonts w:ascii="Traditional Arabic" w:hAnsi="Traditional Arabic"/>
          <w:sz w:val="32"/>
          <w:szCs w:val="32"/>
        </w:rPr>
      </w:pPr>
      <w:r w:rsidRPr="007D5EB4">
        <w:rPr>
          <w:rFonts w:ascii="Traditional Arabic" w:hAnsi="Traditional Arabic"/>
          <w:sz w:val="32"/>
          <w:szCs w:val="32"/>
          <w:rtl/>
        </w:rPr>
        <w:t>(</w:t>
      </w:r>
      <w:r w:rsidRPr="007D5EB4">
        <w:rPr>
          <w:rStyle w:val="ae"/>
          <w:rFonts w:ascii="Traditional Arabic" w:hAnsi="Traditional Arabic"/>
          <w:sz w:val="32"/>
          <w:szCs w:val="32"/>
          <w:vertAlign w:val="baseline"/>
        </w:rPr>
        <w:footnoteRef/>
      </w:r>
      <w:r w:rsidRPr="007D5EB4">
        <w:rPr>
          <w:rFonts w:ascii="Traditional Arabic" w:hAnsi="Traditional Arabic"/>
          <w:sz w:val="32"/>
          <w:szCs w:val="32"/>
          <w:rtl/>
        </w:rPr>
        <w:t>) انظر: تفسير مقاتل (2/581), تفسير الطبري (16/645), تفسير ابن أبي حاتم (7/2355)</w:t>
      </w:r>
      <w:r>
        <w:rPr>
          <w:rFonts w:ascii="Traditional Arabic" w:hAnsi="Traditional Arabic" w:hint="cs"/>
          <w:sz w:val="32"/>
          <w:szCs w:val="32"/>
          <w:rtl/>
        </w:rPr>
        <w:t>.</w:t>
      </w:r>
    </w:p>
  </w:footnote>
  <w:footnote w:id="1160">
    <w:p w:rsidR="003F128F" w:rsidRPr="007D5EB4" w:rsidRDefault="003F128F" w:rsidP="00D126DB">
      <w:pPr>
        <w:pStyle w:val="af3"/>
        <w:rPr>
          <w:rFonts w:ascii="Traditional Arabic" w:hAnsi="Traditional Arabic"/>
          <w:sz w:val="32"/>
          <w:szCs w:val="32"/>
        </w:rPr>
      </w:pPr>
      <w:r w:rsidRPr="007D5EB4">
        <w:rPr>
          <w:rFonts w:ascii="Traditional Arabic" w:hAnsi="Traditional Arabic"/>
          <w:sz w:val="32"/>
          <w:szCs w:val="32"/>
          <w:rtl/>
        </w:rPr>
        <w:t>(</w:t>
      </w:r>
      <w:r w:rsidRPr="007D5EB4">
        <w:rPr>
          <w:rStyle w:val="ae"/>
          <w:rFonts w:ascii="Traditional Arabic" w:hAnsi="Traditional Arabic"/>
          <w:sz w:val="32"/>
          <w:szCs w:val="32"/>
          <w:vertAlign w:val="baseline"/>
        </w:rPr>
        <w:footnoteRef/>
      </w:r>
      <w:r w:rsidRPr="007D5EB4">
        <w:rPr>
          <w:rFonts w:ascii="Traditional Arabic" w:hAnsi="Traditional Arabic"/>
          <w:sz w:val="32"/>
          <w:szCs w:val="32"/>
          <w:rtl/>
        </w:rPr>
        <w:t xml:space="preserve">) </w:t>
      </w:r>
      <w:r>
        <w:rPr>
          <w:rFonts w:ascii="Traditional Arabic" w:hAnsi="Traditional Arabic" w:hint="cs"/>
          <w:sz w:val="32"/>
          <w:szCs w:val="32"/>
          <w:rtl/>
        </w:rPr>
        <w:t xml:space="preserve">انظر: </w:t>
      </w:r>
      <w:r w:rsidRPr="007D5EB4">
        <w:rPr>
          <w:rFonts w:ascii="Traditional Arabic" w:hAnsi="Traditional Arabic"/>
          <w:sz w:val="32"/>
          <w:szCs w:val="32"/>
          <w:rtl/>
        </w:rPr>
        <w:t>تفسير الطبري (16/645)</w:t>
      </w:r>
      <w:r w:rsidRPr="007D5EB4">
        <w:rPr>
          <w:rFonts w:ascii="Traditional Arabic" w:hAnsi="Traditional Arabic"/>
          <w:sz w:val="32"/>
          <w:szCs w:val="32"/>
          <w:rtl/>
          <w:lang w:eastAsia="en-US"/>
        </w:rPr>
        <w:t xml:space="preserve"> </w:t>
      </w:r>
      <w:r w:rsidRPr="007D5EB4">
        <w:rPr>
          <w:rFonts w:ascii="Traditional Arabic" w:hAnsi="Traditional Arabic"/>
          <w:sz w:val="32"/>
          <w:szCs w:val="32"/>
          <w:rtl/>
        </w:rPr>
        <w:t>بلفظ: «عصي</w:t>
      </w:r>
      <w:r>
        <w:rPr>
          <w:rFonts w:ascii="Traditional Arabic" w:hAnsi="Traditional Arabic"/>
          <w:sz w:val="32"/>
          <w:szCs w:val="32"/>
          <w:rtl/>
        </w:rPr>
        <w:t>ت», تفسير ابن أبي حاتم (7/2355)</w:t>
      </w:r>
      <w:r>
        <w:rPr>
          <w:rFonts w:ascii="Traditional Arabic" w:hAnsi="Traditional Arabic" w:hint="cs"/>
          <w:sz w:val="32"/>
          <w:szCs w:val="32"/>
          <w:rtl/>
        </w:rPr>
        <w:t>.</w:t>
      </w:r>
    </w:p>
  </w:footnote>
  <w:footnote w:id="1161">
    <w:p w:rsidR="003F128F" w:rsidRPr="007D5EB4" w:rsidRDefault="003F128F" w:rsidP="005C21CD">
      <w:pPr>
        <w:pStyle w:val="af3"/>
        <w:rPr>
          <w:rFonts w:ascii="Traditional Arabic" w:hAnsi="Traditional Arabic"/>
          <w:sz w:val="32"/>
          <w:szCs w:val="32"/>
        </w:rPr>
      </w:pPr>
      <w:r w:rsidRPr="007D5EB4">
        <w:rPr>
          <w:rFonts w:ascii="Traditional Arabic" w:hAnsi="Traditional Arabic"/>
          <w:sz w:val="32"/>
          <w:szCs w:val="32"/>
          <w:rtl/>
        </w:rPr>
        <w:t>(</w:t>
      </w:r>
      <w:r w:rsidRPr="007D5EB4">
        <w:rPr>
          <w:rStyle w:val="ae"/>
          <w:rFonts w:ascii="Traditional Arabic" w:hAnsi="Traditional Arabic"/>
          <w:sz w:val="32"/>
          <w:szCs w:val="32"/>
          <w:vertAlign w:val="baseline"/>
        </w:rPr>
        <w:footnoteRef/>
      </w:r>
      <w:r w:rsidRPr="007D5EB4">
        <w:rPr>
          <w:rFonts w:ascii="Traditional Arabic" w:hAnsi="Traditional Arabic"/>
          <w:sz w:val="32"/>
          <w:szCs w:val="32"/>
          <w:rtl/>
        </w:rPr>
        <w:t>) ذكر بنحوه الألوسي في روح المعاني (15/287).</w:t>
      </w:r>
    </w:p>
  </w:footnote>
  <w:footnote w:id="1162">
    <w:p w:rsidR="003F128F" w:rsidRPr="00A742E0" w:rsidRDefault="003F128F" w:rsidP="005C21CD">
      <w:pPr>
        <w:pStyle w:val="af3"/>
        <w:rPr>
          <w:rFonts w:ascii="Tahoma" w:hAnsi="Tahoma"/>
        </w:rPr>
      </w:pPr>
      <w:r w:rsidRPr="007D5EB4">
        <w:rPr>
          <w:rFonts w:ascii="Traditional Arabic" w:hAnsi="Traditional Arabic"/>
          <w:sz w:val="32"/>
          <w:szCs w:val="32"/>
          <w:rtl/>
        </w:rPr>
        <w:t>(</w:t>
      </w:r>
      <w:r w:rsidRPr="007D5EB4">
        <w:rPr>
          <w:rStyle w:val="ae"/>
          <w:rFonts w:ascii="Traditional Arabic" w:hAnsi="Traditional Arabic"/>
          <w:sz w:val="32"/>
          <w:szCs w:val="32"/>
          <w:vertAlign w:val="baseline"/>
        </w:rPr>
        <w:footnoteRef/>
      </w:r>
      <w:r w:rsidRPr="007D5EB4">
        <w:rPr>
          <w:rFonts w:ascii="Traditional Arabic" w:hAnsi="Traditional Arabic"/>
          <w:sz w:val="32"/>
          <w:szCs w:val="32"/>
          <w:rtl/>
        </w:rPr>
        <w:t>) النكت والعيون (3/299).</w:t>
      </w:r>
      <w:r>
        <w:rPr>
          <w:rFonts w:ascii="Tahoma" w:hAnsi="Tahoma"/>
          <w:rtl/>
        </w:rPr>
        <w:t xml:space="preserve"> </w:t>
      </w:r>
    </w:p>
  </w:footnote>
  <w:footnote w:id="1163">
    <w:p w:rsidR="003F128F" w:rsidRPr="008423F5" w:rsidRDefault="003F128F" w:rsidP="00B66B69">
      <w:pPr>
        <w:pStyle w:val="af3"/>
        <w:rPr>
          <w:rFonts w:ascii="Traditional Arabic" w:hAnsi="Traditional Arabic"/>
          <w:sz w:val="32"/>
          <w:szCs w:val="32"/>
        </w:rPr>
      </w:pPr>
      <w:r w:rsidRPr="008423F5">
        <w:rPr>
          <w:rFonts w:ascii="Traditional Arabic" w:hAnsi="Traditional Arabic"/>
          <w:sz w:val="32"/>
          <w:szCs w:val="32"/>
          <w:rtl/>
        </w:rPr>
        <w:t>(</w:t>
      </w:r>
      <w:r w:rsidRPr="008423F5">
        <w:rPr>
          <w:rStyle w:val="ae"/>
          <w:rFonts w:ascii="Traditional Arabic" w:hAnsi="Traditional Arabic"/>
          <w:sz w:val="32"/>
          <w:szCs w:val="32"/>
          <w:vertAlign w:val="baseline"/>
        </w:rPr>
        <w:footnoteRef/>
      </w:r>
      <w:r w:rsidRPr="008423F5">
        <w:rPr>
          <w:rFonts w:ascii="Traditional Arabic" w:hAnsi="Traditional Arabic"/>
          <w:sz w:val="32"/>
          <w:szCs w:val="32"/>
          <w:rtl/>
        </w:rPr>
        <w:t>) الع</w:t>
      </w:r>
      <w:r>
        <w:rPr>
          <w:rFonts w:ascii="Traditional Arabic" w:hAnsi="Traditional Arabic" w:hint="cs"/>
          <w:sz w:val="32"/>
          <w:szCs w:val="32"/>
          <w:rtl/>
        </w:rPr>
        <w:t>ِ</w:t>
      </w:r>
      <w:r w:rsidRPr="008423F5">
        <w:rPr>
          <w:rFonts w:ascii="Traditional Arabic" w:hAnsi="Traditional Arabic"/>
          <w:sz w:val="32"/>
          <w:szCs w:val="32"/>
          <w:rtl/>
        </w:rPr>
        <w:t>ت</w:t>
      </w:r>
      <w:r>
        <w:rPr>
          <w:rFonts w:ascii="Traditional Arabic" w:hAnsi="Traditional Arabic" w:hint="cs"/>
          <w:sz w:val="32"/>
          <w:szCs w:val="32"/>
          <w:rtl/>
        </w:rPr>
        <w:t>َ</w:t>
      </w:r>
      <w:r w:rsidRPr="008423F5">
        <w:rPr>
          <w:rFonts w:ascii="Traditional Arabic" w:hAnsi="Traditional Arabic"/>
          <w:sz w:val="32"/>
          <w:szCs w:val="32"/>
          <w:rtl/>
        </w:rPr>
        <w:t>اق: الحرية</w:t>
      </w:r>
      <w:r>
        <w:rPr>
          <w:rFonts w:ascii="Traditional Arabic" w:hAnsi="Traditional Arabic" w:hint="cs"/>
          <w:sz w:val="32"/>
          <w:szCs w:val="32"/>
          <w:rtl/>
        </w:rPr>
        <w:t>,</w:t>
      </w:r>
      <w:r w:rsidRPr="008423F5">
        <w:rPr>
          <w:rFonts w:ascii="Traditional Arabic" w:hAnsi="Traditional Arabic"/>
          <w:sz w:val="32"/>
          <w:szCs w:val="32"/>
          <w:rtl/>
        </w:rPr>
        <w:t xml:space="preserve"> </w:t>
      </w:r>
      <w:r>
        <w:rPr>
          <w:rFonts w:ascii="Traditional Arabic" w:hAnsi="Traditional Arabic" w:hint="cs"/>
          <w:sz w:val="32"/>
          <w:szCs w:val="32"/>
          <w:rtl/>
        </w:rPr>
        <w:t xml:space="preserve">يقال: </w:t>
      </w:r>
      <w:r w:rsidRPr="008423F5">
        <w:rPr>
          <w:rFonts w:ascii="Traditional Arabic" w:hAnsi="Traditional Arabic"/>
          <w:sz w:val="32"/>
          <w:szCs w:val="32"/>
          <w:rtl/>
        </w:rPr>
        <w:t>عُتِقَ الْمَمْلُوك ع</w:t>
      </w:r>
      <w:r>
        <w:rPr>
          <w:rFonts w:ascii="Traditional Arabic" w:hAnsi="Traditional Arabic" w:hint="cs"/>
          <w:sz w:val="32"/>
          <w:szCs w:val="32"/>
          <w:rtl/>
        </w:rPr>
        <w:t>ِ</w:t>
      </w:r>
      <w:r w:rsidRPr="008423F5">
        <w:rPr>
          <w:rFonts w:ascii="Traditional Arabic" w:hAnsi="Traditional Arabic"/>
          <w:sz w:val="32"/>
          <w:szCs w:val="32"/>
          <w:rtl/>
        </w:rPr>
        <w:t>ت</w:t>
      </w:r>
      <w:r>
        <w:rPr>
          <w:rFonts w:ascii="Traditional Arabic" w:hAnsi="Traditional Arabic" w:hint="cs"/>
          <w:sz w:val="32"/>
          <w:szCs w:val="32"/>
          <w:rtl/>
        </w:rPr>
        <w:t>ْ</w:t>
      </w:r>
      <w:r w:rsidRPr="008423F5">
        <w:rPr>
          <w:rFonts w:ascii="Traditional Arabic" w:hAnsi="Traditional Arabic"/>
          <w:sz w:val="32"/>
          <w:szCs w:val="32"/>
          <w:rtl/>
        </w:rPr>
        <w:t>ق</w:t>
      </w:r>
      <w:r>
        <w:rPr>
          <w:rFonts w:ascii="Traditional Arabic" w:hAnsi="Traditional Arabic" w:hint="cs"/>
          <w:sz w:val="32"/>
          <w:szCs w:val="32"/>
          <w:rtl/>
        </w:rPr>
        <w:t>َ</w:t>
      </w:r>
      <w:r w:rsidRPr="008423F5">
        <w:rPr>
          <w:rFonts w:ascii="Traditional Arabic" w:hAnsi="Traditional Arabic"/>
          <w:sz w:val="32"/>
          <w:szCs w:val="32"/>
          <w:rtl/>
        </w:rPr>
        <w:t>اً إِذا صَار حراً وَأعْتقهُ سَيّد</w:t>
      </w:r>
      <w:r>
        <w:rPr>
          <w:rFonts w:ascii="Traditional Arabic" w:hAnsi="Traditional Arabic"/>
          <w:sz w:val="32"/>
          <w:szCs w:val="32"/>
          <w:rtl/>
        </w:rPr>
        <w:t>ه. انظر: العين (1/146)</w:t>
      </w:r>
      <w:r w:rsidRPr="008423F5">
        <w:rPr>
          <w:rFonts w:ascii="Traditional Arabic" w:hAnsi="Traditional Arabic"/>
          <w:sz w:val="32"/>
          <w:szCs w:val="32"/>
          <w:rtl/>
        </w:rPr>
        <w:t xml:space="preserve"> </w:t>
      </w:r>
      <w:r>
        <w:rPr>
          <w:rFonts w:ascii="Traditional Arabic" w:hAnsi="Traditional Arabic"/>
          <w:sz w:val="32"/>
          <w:szCs w:val="32"/>
          <w:rtl/>
        </w:rPr>
        <w:t>مادة (عتق), جمهرة اللغة (1/402)</w:t>
      </w:r>
      <w:r w:rsidRPr="008423F5">
        <w:rPr>
          <w:rFonts w:ascii="Traditional Arabic" w:hAnsi="Traditional Arabic"/>
          <w:sz w:val="32"/>
          <w:szCs w:val="32"/>
          <w:rtl/>
        </w:rPr>
        <w:t xml:space="preserve"> مادة (عتق).</w:t>
      </w:r>
    </w:p>
  </w:footnote>
  <w:footnote w:id="1164">
    <w:p w:rsidR="003F128F" w:rsidRPr="009356A2" w:rsidRDefault="003F128F" w:rsidP="005C21CD">
      <w:pPr>
        <w:pStyle w:val="af3"/>
        <w:rPr>
          <w:rFonts w:ascii="Traditional Arabic" w:hAnsi="Traditional Arabic"/>
          <w:sz w:val="32"/>
          <w:szCs w:val="32"/>
        </w:rPr>
      </w:pPr>
      <w:r w:rsidRPr="001D0602">
        <w:rPr>
          <w:rFonts w:ascii="Traditional Arabic" w:hAnsi="Traditional Arabic"/>
          <w:sz w:val="32"/>
          <w:szCs w:val="32"/>
          <w:rtl/>
        </w:rPr>
        <w:t>(</w:t>
      </w:r>
      <w:r w:rsidRPr="001D0602">
        <w:rPr>
          <w:rStyle w:val="ae"/>
          <w:rFonts w:ascii="Traditional Arabic" w:hAnsi="Traditional Arabic"/>
          <w:sz w:val="32"/>
          <w:szCs w:val="32"/>
          <w:vertAlign w:val="baseline"/>
        </w:rPr>
        <w:footnoteRef/>
      </w:r>
      <w:r>
        <w:rPr>
          <w:rFonts w:ascii="Traditional Arabic" w:hAnsi="Traditional Arabic"/>
          <w:sz w:val="32"/>
          <w:szCs w:val="32"/>
          <w:rtl/>
        </w:rPr>
        <w:t xml:space="preserve">) </w:t>
      </w:r>
      <w:r w:rsidRPr="001D0602">
        <w:rPr>
          <w:rFonts w:ascii="Traditional Arabic" w:hAnsi="Traditional Arabic"/>
          <w:sz w:val="32"/>
          <w:szCs w:val="32"/>
          <w:rtl/>
        </w:rPr>
        <w:t xml:space="preserve">هو </w:t>
      </w:r>
      <w:r>
        <w:rPr>
          <w:rFonts w:ascii="Traditional Arabic" w:hAnsi="Traditional Arabic"/>
          <w:sz w:val="32"/>
          <w:szCs w:val="32"/>
          <w:rtl/>
        </w:rPr>
        <w:t>الإمام</w:t>
      </w:r>
      <w:r w:rsidRPr="001D0602">
        <w:rPr>
          <w:rFonts w:ascii="Traditional Arabic" w:hAnsi="Traditional Arabic"/>
          <w:sz w:val="32"/>
          <w:szCs w:val="32"/>
          <w:rtl/>
        </w:rPr>
        <w:t xml:space="preserve"> أبو عبد الله</w:t>
      </w:r>
      <w:r>
        <w:rPr>
          <w:rFonts w:ascii="Traditional Arabic" w:hAnsi="Traditional Arabic" w:hint="cs"/>
          <w:sz w:val="32"/>
          <w:szCs w:val="32"/>
          <w:rtl/>
        </w:rPr>
        <w:t>,</w:t>
      </w:r>
      <w:r w:rsidRPr="001D0602">
        <w:rPr>
          <w:rFonts w:ascii="Traditional Arabic" w:hAnsi="Traditional Arabic"/>
          <w:sz w:val="32"/>
          <w:szCs w:val="32"/>
          <w:rtl/>
        </w:rPr>
        <w:t xml:space="preserve"> مالك بن أنس بن مالك بن أبي عامر الحِمْيَرِيُّ, الأصبحي, المدني, إمام دار الهجرة, وأحد الأئمة الأعلام, (ت179ه). انظر: وفيات الأعيان (4/135), تهذيب الكمال </w:t>
      </w:r>
      <w:r w:rsidRPr="009356A2">
        <w:rPr>
          <w:rFonts w:ascii="Traditional Arabic" w:hAnsi="Traditional Arabic"/>
          <w:sz w:val="32"/>
          <w:szCs w:val="32"/>
          <w:rtl/>
        </w:rPr>
        <w:t>(11/154), سير أعلام النبلاء (8/48).</w:t>
      </w:r>
    </w:p>
  </w:footnote>
  <w:footnote w:id="1165">
    <w:p w:rsidR="003F128F" w:rsidRPr="009356A2" w:rsidRDefault="003F128F" w:rsidP="005C21CD">
      <w:pPr>
        <w:pStyle w:val="af3"/>
        <w:rPr>
          <w:rFonts w:ascii="Traditional Arabic" w:hAnsi="Traditional Arabic"/>
          <w:sz w:val="32"/>
          <w:szCs w:val="32"/>
        </w:rPr>
      </w:pPr>
      <w:r w:rsidRPr="009356A2">
        <w:rPr>
          <w:rFonts w:ascii="Traditional Arabic" w:hAnsi="Traditional Arabic"/>
          <w:sz w:val="32"/>
          <w:szCs w:val="32"/>
          <w:rtl/>
        </w:rPr>
        <w:t>(</w:t>
      </w:r>
      <w:r w:rsidRPr="009356A2">
        <w:rPr>
          <w:rStyle w:val="ae"/>
          <w:rFonts w:ascii="Traditional Arabic" w:hAnsi="Traditional Arabic"/>
          <w:sz w:val="32"/>
          <w:szCs w:val="32"/>
          <w:vertAlign w:val="baseline"/>
        </w:rPr>
        <w:footnoteRef/>
      </w:r>
      <w:r w:rsidRPr="009356A2">
        <w:rPr>
          <w:rFonts w:ascii="Traditional Arabic" w:hAnsi="Traditional Arabic"/>
          <w:sz w:val="32"/>
          <w:szCs w:val="32"/>
          <w:rtl/>
        </w:rPr>
        <w:t>) انظر: المدونة للإمام مالك (2/59),</w:t>
      </w:r>
      <w:r w:rsidRPr="009356A2">
        <w:rPr>
          <w:rFonts w:ascii="Traditional Arabic" w:hAnsi="Traditional Arabic" w:hint="cs"/>
          <w:sz w:val="32"/>
          <w:szCs w:val="32"/>
          <w:rtl/>
        </w:rPr>
        <w:t xml:space="preserve"> </w:t>
      </w:r>
      <w:r w:rsidRPr="009356A2">
        <w:rPr>
          <w:rFonts w:ascii="Traditional Arabic" w:hAnsi="Traditional Arabic"/>
          <w:sz w:val="32"/>
          <w:szCs w:val="32"/>
          <w:rtl/>
        </w:rPr>
        <w:t>الكافي في فقه أهل المدينة</w:t>
      </w:r>
      <w:r w:rsidRPr="009356A2">
        <w:rPr>
          <w:rFonts w:ascii="Traditional Arabic" w:hAnsi="Traditional Arabic" w:hint="cs"/>
          <w:sz w:val="32"/>
          <w:szCs w:val="32"/>
          <w:rtl/>
        </w:rPr>
        <w:t xml:space="preserve"> لابن عبد البر (2/580)</w:t>
      </w:r>
      <w:r w:rsidRPr="009356A2">
        <w:rPr>
          <w:rFonts w:ascii="Traditional Arabic" w:hAnsi="Traditional Arabic"/>
          <w:sz w:val="32"/>
          <w:szCs w:val="32"/>
          <w:rtl/>
        </w:rPr>
        <w:t>.</w:t>
      </w:r>
    </w:p>
  </w:footnote>
  <w:footnote w:id="1166">
    <w:p w:rsidR="003F128F" w:rsidRPr="00A742E0" w:rsidRDefault="003F128F" w:rsidP="005C21CD">
      <w:pPr>
        <w:pStyle w:val="af3"/>
        <w:rPr>
          <w:rFonts w:ascii="Tahoma" w:hAnsi="Tahoma"/>
        </w:rPr>
      </w:pPr>
      <w:r w:rsidRPr="009356A2">
        <w:rPr>
          <w:rFonts w:ascii="Traditional Arabic" w:hAnsi="Traditional Arabic"/>
          <w:sz w:val="32"/>
          <w:szCs w:val="32"/>
          <w:rtl/>
        </w:rPr>
        <w:t>(</w:t>
      </w:r>
      <w:r w:rsidRPr="009356A2">
        <w:rPr>
          <w:rStyle w:val="ae"/>
          <w:rFonts w:ascii="Traditional Arabic" w:hAnsi="Traditional Arabic"/>
          <w:sz w:val="32"/>
          <w:szCs w:val="32"/>
          <w:vertAlign w:val="baseline"/>
        </w:rPr>
        <w:footnoteRef/>
      </w:r>
      <w:r w:rsidRPr="009356A2">
        <w:rPr>
          <w:rFonts w:ascii="Traditional Arabic" w:hAnsi="Traditional Arabic"/>
          <w:sz w:val="32"/>
          <w:szCs w:val="32"/>
          <w:rtl/>
        </w:rPr>
        <w:t xml:space="preserve">) هو </w:t>
      </w:r>
      <w:r>
        <w:rPr>
          <w:rFonts w:ascii="Traditional Arabic" w:hAnsi="Traditional Arabic"/>
          <w:sz w:val="32"/>
          <w:szCs w:val="32"/>
          <w:rtl/>
        </w:rPr>
        <w:t>الإمام</w:t>
      </w:r>
      <w:r w:rsidRPr="009356A2">
        <w:rPr>
          <w:rFonts w:ascii="Traditional Arabic" w:hAnsi="Traditional Arabic"/>
          <w:sz w:val="32"/>
          <w:szCs w:val="32"/>
          <w:rtl/>
        </w:rPr>
        <w:t xml:space="preserve"> أبو حنيفة</w:t>
      </w:r>
      <w:r>
        <w:rPr>
          <w:rFonts w:ascii="Traditional Arabic" w:hAnsi="Traditional Arabic" w:hint="cs"/>
          <w:sz w:val="32"/>
          <w:szCs w:val="32"/>
          <w:rtl/>
        </w:rPr>
        <w:t>,</w:t>
      </w:r>
      <w:r w:rsidRPr="009356A2">
        <w:rPr>
          <w:rFonts w:ascii="Traditional Arabic" w:hAnsi="Traditional Arabic"/>
          <w:sz w:val="32"/>
          <w:szCs w:val="32"/>
          <w:rtl/>
        </w:rPr>
        <w:t xml:space="preserve"> النعمان بن ثابت بن زُوْطَى بن ماه التيمي بالولاء، مولى تيم الله ابن ثعلبة, الكوفي, الفقيه, المجتهد, المحقق, فقيه أهل العراق، وإمام أصحاب الرأي, (ت150ه). انظر: وفيات الأعيان (5/405), تهذيب الكمال (29/417), سير أعلام النبلاء (6/403).</w:t>
      </w:r>
    </w:p>
  </w:footnote>
  <w:footnote w:id="1167">
    <w:p w:rsidR="003F128F" w:rsidRPr="007C0636" w:rsidRDefault="003F128F" w:rsidP="005C21CD">
      <w:pPr>
        <w:pStyle w:val="af3"/>
        <w:rPr>
          <w:rFonts w:ascii="Traditional Arabic" w:hAnsi="Traditional Arabic"/>
          <w:sz w:val="32"/>
          <w:szCs w:val="32"/>
        </w:rPr>
      </w:pPr>
      <w:r w:rsidRPr="001D7FEF">
        <w:rPr>
          <w:rFonts w:ascii="Traditional Arabic" w:hAnsi="Traditional Arabic"/>
          <w:sz w:val="32"/>
          <w:szCs w:val="32"/>
          <w:rtl/>
        </w:rPr>
        <w:t>(</w:t>
      </w:r>
      <w:r w:rsidRPr="001D7FEF">
        <w:rPr>
          <w:rStyle w:val="ae"/>
          <w:rFonts w:ascii="Traditional Arabic" w:hAnsi="Traditional Arabic"/>
          <w:sz w:val="32"/>
          <w:szCs w:val="32"/>
          <w:vertAlign w:val="baseline"/>
        </w:rPr>
        <w:footnoteRef/>
      </w:r>
      <w:r w:rsidRPr="001D7FEF">
        <w:rPr>
          <w:rFonts w:ascii="Traditional Arabic" w:hAnsi="Traditional Arabic"/>
          <w:sz w:val="32"/>
          <w:szCs w:val="32"/>
          <w:rtl/>
        </w:rPr>
        <w:t xml:space="preserve">) هو </w:t>
      </w:r>
      <w:r>
        <w:rPr>
          <w:rFonts w:ascii="Traditional Arabic" w:hAnsi="Traditional Arabic"/>
          <w:sz w:val="32"/>
          <w:szCs w:val="32"/>
          <w:rtl/>
        </w:rPr>
        <w:t>الإمام</w:t>
      </w:r>
      <w:r w:rsidRPr="001D7FEF">
        <w:rPr>
          <w:rFonts w:ascii="Traditional Arabic" w:hAnsi="Traditional Arabic"/>
          <w:sz w:val="32"/>
          <w:szCs w:val="32"/>
          <w:rtl/>
        </w:rPr>
        <w:t xml:space="preserve"> أبو عبد الله</w:t>
      </w:r>
      <w:r>
        <w:rPr>
          <w:rFonts w:ascii="Traditional Arabic" w:hAnsi="Traditional Arabic" w:hint="cs"/>
          <w:sz w:val="32"/>
          <w:szCs w:val="32"/>
          <w:rtl/>
        </w:rPr>
        <w:t>,</w:t>
      </w:r>
      <w:r w:rsidRPr="001D7FEF">
        <w:rPr>
          <w:rFonts w:ascii="Traditional Arabic" w:hAnsi="Traditional Arabic"/>
          <w:sz w:val="32"/>
          <w:szCs w:val="32"/>
          <w:rtl/>
        </w:rPr>
        <w:t xml:space="preserve"> محمد بن إدريس بن العباس بن عثمان القرشي</w:t>
      </w:r>
      <w:r>
        <w:rPr>
          <w:rFonts w:ascii="Traditional Arabic" w:hAnsi="Traditional Arabic" w:hint="cs"/>
          <w:sz w:val="32"/>
          <w:szCs w:val="32"/>
          <w:rtl/>
        </w:rPr>
        <w:t>,</w:t>
      </w:r>
      <w:r w:rsidRPr="001D7FEF">
        <w:rPr>
          <w:rFonts w:ascii="Traditional Arabic" w:hAnsi="Traditional Arabic"/>
          <w:sz w:val="32"/>
          <w:szCs w:val="32"/>
          <w:rtl/>
        </w:rPr>
        <w:t xml:space="preserve"> المطلبي</w:t>
      </w:r>
      <w:r>
        <w:rPr>
          <w:rFonts w:ascii="Traditional Arabic" w:hAnsi="Traditional Arabic" w:hint="cs"/>
          <w:sz w:val="32"/>
          <w:szCs w:val="32"/>
          <w:rtl/>
        </w:rPr>
        <w:t>,</w:t>
      </w:r>
      <w:r w:rsidRPr="001D7FEF">
        <w:rPr>
          <w:rFonts w:ascii="Traditional Arabic" w:hAnsi="Traditional Arabic"/>
          <w:sz w:val="32"/>
          <w:szCs w:val="32"/>
          <w:rtl/>
        </w:rPr>
        <w:t xml:space="preserve"> الشافعي</w:t>
      </w:r>
      <w:r>
        <w:rPr>
          <w:rFonts w:ascii="Traditional Arabic" w:hAnsi="Traditional Arabic" w:hint="cs"/>
          <w:sz w:val="32"/>
          <w:szCs w:val="32"/>
          <w:rtl/>
        </w:rPr>
        <w:t>,</w:t>
      </w:r>
      <w:r w:rsidRPr="001D7FEF">
        <w:rPr>
          <w:rFonts w:ascii="Traditional Arabic" w:hAnsi="Traditional Arabic"/>
          <w:sz w:val="32"/>
          <w:szCs w:val="32"/>
          <w:rtl/>
        </w:rPr>
        <w:t xml:space="preserve"> المكي, نزيل مصر، إمام عصره, وفريد دهره, كثير المناقب, جم المفاخر, منقطع القرين, (ت</w:t>
      </w:r>
      <w:r>
        <w:rPr>
          <w:rFonts w:ascii="Traditional Arabic" w:hAnsi="Traditional Arabic" w:hint="cs"/>
          <w:sz w:val="32"/>
          <w:szCs w:val="32"/>
          <w:rtl/>
        </w:rPr>
        <w:t>204</w:t>
      </w:r>
      <w:r w:rsidRPr="001D7FEF">
        <w:rPr>
          <w:rFonts w:ascii="Traditional Arabic" w:hAnsi="Traditional Arabic"/>
          <w:sz w:val="32"/>
          <w:szCs w:val="32"/>
          <w:rtl/>
        </w:rPr>
        <w:t xml:space="preserve">ه). انظر: وفيات </w:t>
      </w:r>
      <w:r w:rsidRPr="007C0636">
        <w:rPr>
          <w:rFonts w:ascii="Traditional Arabic" w:hAnsi="Traditional Arabic"/>
          <w:sz w:val="32"/>
          <w:szCs w:val="32"/>
          <w:rtl/>
        </w:rPr>
        <w:t>الأعيان (4/163), تهذيب الكمال (24/355), سير أعلام النبلاء (10/5).</w:t>
      </w:r>
    </w:p>
  </w:footnote>
  <w:footnote w:id="1168">
    <w:p w:rsidR="003F128F" w:rsidRPr="0015332F" w:rsidRDefault="003F128F" w:rsidP="005C21CD">
      <w:pPr>
        <w:pStyle w:val="af3"/>
        <w:rPr>
          <w:rFonts w:ascii="Traditional Arabic" w:hAnsi="Traditional Arabic"/>
          <w:sz w:val="32"/>
          <w:szCs w:val="32"/>
        </w:rPr>
      </w:pPr>
      <w:r w:rsidRPr="007C0636">
        <w:rPr>
          <w:rFonts w:ascii="Traditional Arabic" w:hAnsi="Traditional Arabic"/>
          <w:sz w:val="32"/>
          <w:szCs w:val="32"/>
          <w:rtl/>
        </w:rPr>
        <w:t>(</w:t>
      </w:r>
      <w:r w:rsidRPr="007C0636">
        <w:rPr>
          <w:rStyle w:val="ae"/>
          <w:rFonts w:ascii="Traditional Arabic" w:hAnsi="Traditional Arabic"/>
          <w:sz w:val="32"/>
          <w:szCs w:val="32"/>
          <w:vertAlign w:val="baseline"/>
        </w:rPr>
        <w:footnoteRef/>
      </w:r>
      <w:r w:rsidRPr="007C0636">
        <w:rPr>
          <w:rFonts w:ascii="Traditional Arabic" w:hAnsi="Traditional Arabic"/>
          <w:sz w:val="32"/>
          <w:szCs w:val="32"/>
          <w:rtl/>
        </w:rPr>
        <w:t xml:space="preserve">) </w:t>
      </w:r>
      <w:r>
        <w:rPr>
          <w:rFonts w:ascii="Traditional Arabic" w:hAnsi="Traditional Arabic" w:hint="cs"/>
          <w:sz w:val="32"/>
          <w:szCs w:val="32"/>
          <w:rtl/>
        </w:rPr>
        <w:t xml:space="preserve">قول أبي حنيفة رحمه الله ينظر في: كتاب الأصل لمحمد بن الحسن الشيباني (2/301), والمبسوط للسرخسي (30/297), وتحفة الفقهاء للسمرقندي (2/193), </w:t>
      </w:r>
      <w:r w:rsidRPr="007C0636">
        <w:rPr>
          <w:rFonts w:ascii="Traditional Arabic" w:hAnsi="Traditional Arabic"/>
          <w:sz w:val="32"/>
          <w:szCs w:val="32"/>
          <w:rtl/>
        </w:rPr>
        <w:t xml:space="preserve">وأما قول الشافعي فينظر في: كتابه </w:t>
      </w:r>
      <w:r w:rsidRPr="0015332F">
        <w:rPr>
          <w:rFonts w:ascii="Traditional Arabic" w:hAnsi="Traditional Arabic"/>
          <w:sz w:val="32"/>
          <w:szCs w:val="32"/>
          <w:rtl/>
        </w:rPr>
        <w:t>الأم (5/201), والحاوي الكبير للماوردي (</w:t>
      </w:r>
      <w:r>
        <w:rPr>
          <w:rFonts w:ascii="Traditional Arabic" w:hAnsi="Traditional Arabic" w:hint="cs"/>
          <w:sz w:val="32"/>
          <w:szCs w:val="32"/>
          <w:rtl/>
        </w:rPr>
        <w:t>10/260</w:t>
      </w:r>
      <w:r w:rsidRPr="0015332F">
        <w:rPr>
          <w:rFonts w:ascii="Traditional Arabic" w:hAnsi="Traditional Arabic"/>
          <w:sz w:val="32"/>
          <w:szCs w:val="32"/>
          <w:rtl/>
        </w:rPr>
        <w:t>).</w:t>
      </w:r>
    </w:p>
  </w:footnote>
  <w:footnote w:id="1169">
    <w:p w:rsidR="003F128F" w:rsidRPr="00EE56FE" w:rsidRDefault="003F128F" w:rsidP="00B66B69">
      <w:pPr>
        <w:pStyle w:val="af3"/>
        <w:rPr>
          <w:rFonts w:ascii="Traditional Arabic" w:hAnsi="Traditional Arabic"/>
          <w:sz w:val="32"/>
          <w:szCs w:val="32"/>
        </w:rPr>
      </w:pPr>
      <w:r w:rsidRPr="00EE56FE">
        <w:rPr>
          <w:rFonts w:ascii="Traditional Arabic" w:hAnsi="Traditional Arabic"/>
          <w:sz w:val="32"/>
          <w:szCs w:val="32"/>
          <w:rtl/>
        </w:rPr>
        <w:t>(</w:t>
      </w:r>
      <w:r w:rsidRPr="00EE56FE">
        <w:rPr>
          <w:rStyle w:val="ae"/>
          <w:rFonts w:ascii="Traditional Arabic" w:hAnsi="Traditional Arabic"/>
          <w:sz w:val="32"/>
          <w:szCs w:val="32"/>
          <w:vertAlign w:val="baseline"/>
        </w:rPr>
        <w:footnoteRef/>
      </w:r>
      <w:r w:rsidRPr="00EE56FE">
        <w:rPr>
          <w:rFonts w:ascii="Traditional Arabic" w:hAnsi="Traditional Arabic"/>
          <w:sz w:val="32"/>
          <w:szCs w:val="32"/>
          <w:rtl/>
        </w:rPr>
        <w:t xml:space="preserve">) انظر: الهداية على مذهب </w:t>
      </w:r>
      <w:r>
        <w:rPr>
          <w:rFonts w:ascii="Traditional Arabic" w:hAnsi="Traditional Arabic"/>
          <w:sz w:val="32"/>
          <w:szCs w:val="32"/>
          <w:rtl/>
        </w:rPr>
        <w:t>الإمام</w:t>
      </w:r>
      <w:r w:rsidRPr="00EE56FE">
        <w:rPr>
          <w:rFonts w:ascii="Traditional Arabic" w:hAnsi="Traditional Arabic"/>
          <w:sz w:val="32"/>
          <w:szCs w:val="32"/>
          <w:rtl/>
        </w:rPr>
        <w:t xml:space="preserve"> أحمد للكلوذاني (ص607), الكافي لابن قدامة</w:t>
      </w:r>
      <w:r>
        <w:rPr>
          <w:rFonts w:ascii="Traditional Arabic" w:hAnsi="Traditional Arabic" w:hint="cs"/>
          <w:sz w:val="32"/>
          <w:szCs w:val="32"/>
          <w:rtl/>
        </w:rPr>
        <w:t xml:space="preserve"> </w:t>
      </w:r>
      <w:r w:rsidRPr="00EE56FE">
        <w:rPr>
          <w:rFonts w:ascii="Traditional Arabic" w:hAnsi="Traditional Arabic"/>
          <w:sz w:val="32"/>
          <w:szCs w:val="32"/>
          <w:rtl/>
        </w:rPr>
        <w:t xml:space="preserve">(3/125). </w:t>
      </w:r>
    </w:p>
  </w:footnote>
  <w:footnote w:id="1170">
    <w:p w:rsidR="003F128F" w:rsidRPr="00EE56FE" w:rsidRDefault="003F128F" w:rsidP="005C21CD">
      <w:pPr>
        <w:pStyle w:val="af3"/>
        <w:rPr>
          <w:rFonts w:ascii="Traditional Arabic" w:hAnsi="Traditional Arabic"/>
          <w:sz w:val="32"/>
          <w:szCs w:val="32"/>
        </w:rPr>
      </w:pPr>
      <w:r w:rsidRPr="00EE56FE">
        <w:rPr>
          <w:rFonts w:ascii="Traditional Arabic" w:hAnsi="Traditional Arabic"/>
          <w:sz w:val="32"/>
          <w:szCs w:val="32"/>
          <w:rtl/>
        </w:rPr>
        <w:t>(</w:t>
      </w:r>
      <w:r w:rsidRPr="00EE56FE">
        <w:rPr>
          <w:rStyle w:val="ae"/>
          <w:rFonts w:ascii="Traditional Arabic" w:hAnsi="Traditional Arabic"/>
          <w:sz w:val="32"/>
          <w:szCs w:val="32"/>
          <w:vertAlign w:val="baseline"/>
        </w:rPr>
        <w:footnoteRef/>
      </w:r>
      <w:r w:rsidRPr="00EE56FE">
        <w:rPr>
          <w:rFonts w:ascii="Traditional Arabic" w:hAnsi="Traditional Arabic"/>
          <w:sz w:val="32"/>
          <w:szCs w:val="32"/>
          <w:rtl/>
        </w:rPr>
        <w:t>) انظر: الحاوي الكبير للماوردي (7/20), الكافي في فقه أهل المدينة (1</w:t>
      </w:r>
      <w:r>
        <w:rPr>
          <w:rFonts w:ascii="Traditional Arabic" w:hAnsi="Traditional Arabic"/>
          <w:sz w:val="32"/>
          <w:szCs w:val="32"/>
          <w:rtl/>
        </w:rPr>
        <w:t>/449), والمبسوط للسرخسي (18/7)</w:t>
      </w:r>
      <w:r w:rsidRPr="00EE56FE">
        <w:rPr>
          <w:rFonts w:ascii="Traditional Arabic" w:hAnsi="Traditional Arabic"/>
          <w:sz w:val="32"/>
          <w:szCs w:val="32"/>
          <w:rtl/>
        </w:rPr>
        <w:t xml:space="preserve">. </w:t>
      </w:r>
    </w:p>
  </w:footnote>
  <w:footnote w:id="1171">
    <w:p w:rsidR="003F128F" w:rsidRPr="00EE56FE" w:rsidRDefault="003F128F" w:rsidP="000E1CBB">
      <w:pPr>
        <w:pStyle w:val="af3"/>
        <w:rPr>
          <w:rFonts w:ascii="Traditional Arabic" w:hAnsi="Traditional Arabic"/>
          <w:sz w:val="32"/>
          <w:szCs w:val="32"/>
        </w:rPr>
      </w:pPr>
      <w:r w:rsidRPr="00EE56FE">
        <w:rPr>
          <w:rFonts w:ascii="Traditional Arabic" w:hAnsi="Traditional Arabic"/>
          <w:sz w:val="32"/>
          <w:szCs w:val="32"/>
          <w:rtl/>
        </w:rPr>
        <w:t>(</w:t>
      </w:r>
      <w:r w:rsidRPr="00EE56FE">
        <w:rPr>
          <w:rStyle w:val="ae"/>
          <w:rFonts w:ascii="Traditional Arabic" w:hAnsi="Traditional Arabic"/>
          <w:sz w:val="32"/>
          <w:szCs w:val="32"/>
          <w:vertAlign w:val="baseline"/>
        </w:rPr>
        <w:footnoteRef/>
      </w:r>
      <w:r w:rsidRPr="00EE56FE">
        <w:rPr>
          <w:rFonts w:ascii="Traditional Arabic" w:hAnsi="Traditional Arabic"/>
          <w:sz w:val="32"/>
          <w:szCs w:val="32"/>
          <w:rtl/>
        </w:rPr>
        <w:t>) انظر: تفسير يحيى بن سلام (1/17</w:t>
      </w:r>
      <w:r>
        <w:rPr>
          <w:rFonts w:ascii="Traditional Arabic" w:hAnsi="Traditional Arabic"/>
          <w:sz w:val="32"/>
          <w:szCs w:val="32"/>
          <w:rtl/>
        </w:rPr>
        <w:t>9), أحكام القرآن للجصاص (3/278)</w:t>
      </w:r>
      <w:r>
        <w:rPr>
          <w:rFonts w:ascii="Traditional Arabic" w:hAnsi="Traditional Arabic" w:hint="cs"/>
          <w:sz w:val="32"/>
          <w:szCs w:val="32"/>
          <w:rtl/>
        </w:rPr>
        <w:t>.</w:t>
      </w:r>
    </w:p>
  </w:footnote>
  <w:footnote w:id="1172">
    <w:p w:rsidR="003F128F" w:rsidRPr="00EE56FE" w:rsidRDefault="003F128F" w:rsidP="005C21CD">
      <w:pPr>
        <w:pStyle w:val="af3"/>
        <w:rPr>
          <w:rFonts w:ascii="Traditional Arabic" w:hAnsi="Traditional Arabic"/>
          <w:sz w:val="32"/>
          <w:szCs w:val="32"/>
        </w:rPr>
      </w:pPr>
      <w:r w:rsidRPr="00EE56FE">
        <w:rPr>
          <w:rFonts w:ascii="Traditional Arabic" w:hAnsi="Traditional Arabic"/>
          <w:sz w:val="32"/>
          <w:szCs w:val="32"/>
          <w:rtl/>
        </w:rPr>
        <w:t>(</w:t>
      </w:r>
      <w:r w:rsidRPr="00EE56FE">
        <w:rPr>
          <w:rStyle w:val="ae"/>
          <w:rFonts w:ascii="Traditional Arabic" w:hAnsi="Traditional Arabic"/>
          <w:sz w:val="32"/>
          <w:szCs w:val="32"/>
          <w:vertAlign w:val="baseline"/>
        </w:rPr>
        <w:footnoteRef/>
      </w:r>
      <w:r w:rsidRPr="00EE56FE">
        <w:rPr>
          <w:rFonts w:ascii="Traditional Arabic" w:hAnsi="Traditional Arabic"/>
          <w:sz w:val="32"/>
          <w:szCs w:val="32"/>
          <w:rtl/>
        </w:rPr>
        <w:t xml:space="preserve">) هو التابعي </w:t>
      </w:r>
      <w:r>
        <w:rPr>
          <w:rFonts w:ascii="Traditional Arabic" w:hAnsi="Traditional Arabic"/>
          <w:sz w:val="32"/>
          <w:szCs w:val="32"/>
          <w:rtl/>
        </w:rPr>
        <w:t>الإمام</w:t>
      </w:r>
      <w:r>
        <w:rPr>
          <w:rFonts w:ascii="Traditional Arabic" w:hAnsi="Traditional Arabic" w:hint="cs"/>
          <w:sz w:val="32"/>
          <w:szCs w:val="32"/>
          <w:rtl/>
        </w:rPr>
        <w:t>,</w:t>
      </w:r>
      <w:r w:rsidRPr="00EE56FE">
        <w:rPr>
          <w:rFonts w:ascii="Traditional Arabic" w:hAnsi="Traditional Arabic"/>
          <w:sz w:val="32"/>
          <w:szCs w:val="32"/>
          <w:rtl/>
        </w:rPr>
        <w:t xml:space="preserve"> أبو عبد الرحمن</w:t>
      </w:r>
      <w:r>
        <w:rPr>
          <w:rFonts w:ascii="Traditional Arabic" w:hAnsi="Traditional Arabic" w:hint="cs"/>
          <w:sz w:val="32"/>
          <w:szCs w:val="32"/>
          <w:rtl/>
        </w:rPr>
        <w:t>,</w:t>
      </w:r>
      <w:r w:rsidRPr="00EE56FE">
        <w:rPr>
          <w:rFonts w:ascii="Traditional Arabic" w:hAnsi="Traditional Arabic"/>
          <w:sz w:val="32"/>
          <w:szCs w:val="32"/>
          <w:rtl/>
        </w:rPr>
        <w:t xml:space="preserve"> طاووس بن كيسان الخولاني, اليماني، من أبناء الفرس,</w:t>
      </w:r>
      <w:r w:rsidRPr="00EE56FE">
        <w:rPr>
          <w:rFonts w:ascii="Traditional Arabic" w:hAnsi="Traditional Arabic"/>
          <w:sz w:val="32"/>
          <w:szCs w:val="32"/>
          <w:rtl/>
          <w:lang w:eastAsia="en-US"/>
        </w:rPr>
        <w:t xml:space="preserve"> </w:t>
      </w:r>
      <w:r w:rsidRPr="00EE56FE">
        <w:rPr>
          <w:rFonts w:ascii="Traditional Arabic" w:hAnsi="Traditional Arabic"/>
          <w:sz w:val="32"/>
          <w:szCs w:val="32"/>
          <w:rtl/>
        </w:rPr>
        <w:t>الفقيه، القدوة, أحد الأعلام, كان جليل القدر, قيل: سمي طاووساً لأنه كان طاووس القراء. (ت106ه). انظر: وفيات الأعيان (2/509), تهذيب الكمال (13/357), سير أعلام النبلاء (5/38).</w:t>
      </w:r>
    </w:p>
  </w:footnote>
  <w:footnote w:id="1173">
    <w:p w:rsidR="003F128F" w:rsidRPr="00EB7096" w:rsidRDefault="003F128F" w:rsidP="000E1CBB">
      <w:pPr>
        <w:pStyle w:val="af3"/>
        <w:rPr>
          <w:rFonts w:ascii="Traditional Arabic" w:hAnsi="Traditional Arabic"/>
          <w:sz w:val="32"/>
          <w:szCs w:val="32"/>
        </w:rPr>
      </w:pPr>
      <w:r w:rsidRPr="00EB7096">
        <w:rPr>
          <w:rFonts w:ascii="Traditional Arabic" w:hAnsi="Traditional Arabic"/>
          <w:sz w:val="32"/>
          <w:szCs w:val="32"/>
          <w:rtl/>
        </w:rPr>
        <w:t>(</w:t>
      </w:r>
      <w:r w:rsidRPr="00EB7096">
        <w:rPr>
          <w:rStyle w:val="ae"/>
          <w:rFonts w:ascii="Traditional Arabic" w:hAnsi="Traditional Arabic"/>
          <w:sz w:val="32"/>
          <w:szCs w:val="32"/>
          <w:vertAlign w:val="baseline"/>
        </w:rPr>
        <w:footnoteRef/>
      </w:r>
      <w:r w:rsidRPr="00EB7096">
        <w:rPr>
          <w:rFonts w:ascii="Traditional Arabic" w:hAnsi="Traditional Arabic"/>
          <w:sz w:val="32"/>
          <w:szCs w:val="32"/>
          <w:rtl/>
        </w:rPr>
        <w:t>) انظر: تفسير ابن أبي حاتم (7/2355), أحكام القرآن للجصاص (3/278)</w:t>
      </w:r>
      <w:r>
        <w:rPr>
          <w:rFonts w:ascii="Traditional Arabic" w:hAnsi="Traditional Arabic" w:hint="cs"/>
          <w:sz w:val="32"/>
          <w:szCs w:val="32"/>
          <w:rtl/>
        </w:rPr>
        <w:t>.</w:t>
      </w:r>
    </w:p>
  </w:footnote>
  <w:footnote w:id="1174">
    <w:p w:rsidR="003F128F" w:rsidRPr="00EB7096" w:rsidRDefault="003F128F" w:rsidP="00EE175F">
      <w:pPr>
        <w:pStyle w:val="af3"/>
        <w:rPr>
          <w:rFonts w:ascii="Traditional Arabic" w:hAnsi="Traditional Arabic"/>
          <w:sz w:val="32"/>
          <w:szCs w:val="32"/>
        </w:rPr>
      </w:pPr>
      <w:r w:rsidRPr="00EB7096">
        <w:rPr>
          <w:rFonts w:ascii="Traditional Arabic" w:hAnsi="Traditional Arabic"/>
          <w:sz w:val="32"/>
          <w:szCs w:val="32"/>
          <w:rtl/>
        </w:rPr>
        <w:t>(</w:t>
      </w:r>
      <w:r w:rsidRPr="00EB7096">
        <w:rPr>
          <w:rStyle w:val="ae"/>
          <w:rFonts w:ascii="Traditional Arabic" w:hAnsi="Traditional Arabic"/>
          <w:sz w:val="32"/>
          <w:szCs w:val="32"/>
          <w:vertAlign w:val="baseline"/>
        </w:rPr>
        <w:footnoteRef/>
      </w:r>
      <w:r w:rsidRPr="00EB7096">
        <w:rPr>
          <w:rFonts w:ascii="Traditional Arabic" w:hAnsi="Traditional Arabic"/>
          <w:sz w:val="32"/>
          <w:szCs w:val="32"/>
          <w:rtl/>
        </w:rPr>
        <w:t>) انظر: الهداية للكلوذاني (ص371), الكافي (4/188), والمغني (13/485) لابن قدامة.</w:t>
      </w:r>
    </w:p>
  </w:footnote>
  <w:footnote w:id="1175">
    <w:p w:rsidR="003F128F" w:rsidRPr="00EB7096" w:rsidRDefault="003F128F" w:rsidP="000E1CBB">
      <w:pPr>
        <w:pStyle w:val="af3"/>
        <w:rPr>
          <w:rFonts w:ascii="Traditional Arabic" w:hAnsi="Traditional Arabic"/>
          <w:sz w:val="32"/>
          <w:szCs w:val="32"/>
        </w:rPr>
      </w:pPr>
      <w:r w:rsidRPr="00EB7096">
        <w:rPr>
          <w:rFonts w:ascii="Traditional Arabic" w:hAnsi="Traditional Arabic"/>
          <w:sz w:val="32"/>
          <w:szCs w:val="32"/>
          <w:rtl/>
        </w:rPr>
        <w:t>(</w:t>
      </w:r>
      <w:r w:rsidRPr="00EB7096">
        <w:rPr>
          <w:rStyle w:val="ae"/>
          <w:rFonts w:ascii="Traditional Arabic" w:hAnsi="Traditional Arabic"/>
          <w:sz w:val="32"/>
          <w:szCs w:val="32"/>
          <w:vertAlign w:val="baseline"/>
        </w:rPr>
        <w:footnoteRef/>
      </w:r>
      <w:r w:rsidRPr="00EB7096">
        <w:rPr>
          <w:rFonts w:ascii="Traditional Arabic" w:hAnsi="Traditional Arabic"/>
          <w:sz w:val="32"/>
          <w:szCs w:val="32"/>
          <w:rtl/>
        </w:rPr>
        <w:t>) انظر: تفسير الطبري (17/645), تفسير ابن أبي حاتم (7/2355).</w:t>
      </w:r>
    </w:p>
  </w:footnote>
  <w:footnote w:id="1176">
    <w:p w:rsidR="003F128F" w:rsidRPr="00EB7096" w:rsidRDefault="003F128F" w:rsidP="000E1CBB">
      <w:pPr>
        <w:pStyle w:val="af3"/>
        <w:rPr>
          <w:rFonts w:ascii="Traditional Arabic" w:hAnsi="Traditional Arabic"/>
          <w:sz w:val="32"/>
          <w:szCs w:val="32"/>
        </w:rPr>
      </w:pPr>
      <w:r w:rsidRPr="00EB7096">
        <w:rPr>
          <w:rFonts w:ascii="Traditional Arabic" w:hAnsi="Traditional Arabic"/>
          <w:sz w:val="32"/>
          <w:szCs w:val="32"/>
          <w:rtl/>
        </w:rPr>
        <w:t>(</w:t>
      </w:r>
      <w:r w:rsidRPr="00EB7096">
        <w:rPr>
          <w:rStyle w:val="ae"/>
          <w:rFonts w:ascii="Traditional Arabic" w:hAnsi="Traditional Arabic"/>
          <w:sz w:val="32"/>
          <w:szCs w:val="32"/>
          <w:vertAlign w:val="baseline"/>
        </w:rPr>
        <w:footnoteRef/>
      </w:r>
      <w:r w:rsidRPr="00EB7096">
        <w:rPr>
          <w:rFonts w:ascii="Traditional Arabic" w:hAnsi="Traditional Arabic"/>
          <w:sz w:val="32"/>
          <w:szCs w:val="32"/>
          <w:rtl/>
        </w:rPr>
        <w:t>) انظر: تفسير الطبري (17/645), الكشف والبيان</w:t>
      </w:r>
      <w:r>
        <w:rPr>
          <w:rFonts w:ascii="Traditional Arabic" w:hAnsi="Traditional Arabic"/>
          <w:sz w:val="32"/>
          <w:szCs w:val="32"/>
          <w:rtl/>
        </w:rPr>
        <w:t xml:space="preserve"> (6/164)</w:t>
      </w:r>
      <w:r>
        <w:rPr>
          <w:rFonts w:ascii="Traditional Arabic" w:hAnsi="Traditional Arabic" w:hint="cs"/>
          <w:sz w:val="32"/>
          <w:szCs w:val="32"/>
          <w:rtl/>
        </w:rPr>
        <w:t>.</w:t>
      </w:r>
    </w:p>
  </w:footnote>
  <w:footnote w:id="1177">
    <w:p w:rsidR="003F128F" w:rsidRPr="00F712EC" w:rsidRDefault="003F128F" w:rsidP="005C21CD">
      <w:pPr>
        <w:pStyle w:val="af3"/>
        <w:rPr>
          <w:rFonts w:ascii="Traditional Arabic" w:hAnsi="Traditional Arabic"/>
          <w:sz w:val="32"/>
          <w:szCs w:val="32"/>
        </w:rPr>
      </w:pPr>
      <w:r w:rsidRPr="00F712EC">
        <w:rPr>
          <w:rFonts w:ascii="Traditional Arabic" w:hAnsi="Traditional Arabic"/>
          <w:sz w:val="32"/>
          <w:szCs w:val="32"/>
          <w:rtl/>
        </w:rPr>
        <w:t>(</w:t>
      </w:r>
      <w:r w:rsidRPr="00F712EC">
        <w:rPr>
          <w:rStyle w:val="ae"/>
          <w:rFonts w:ascii="Traditional Arabic" w:hAnsi="Traditional Arabic"/>
          <w:sz w:val="32"/>
          <w:szCs w:val="32"/>
          <w:vertAlign w:val="baseline"/>
        </w:rPr>
        <w:footnoteRef/>
      </w:r>
      <w:r w:rsidRPr="00F712EC">
        <w:rPr>
          <w:rFonts w:ascii="Traditional Arabic" w:hAnsi="Traditional Arabic"/>
          <w:sz w:val="32"/>
          <w:szCs w:val="32"/>
          <w:rtl/>
        </w:rPr>
        <w:t>) انظر: التفسير الوسيط (3/143), وذكره السيوطي في الدر  المنثور (5/377) وزاد نسبته لابن المنذر.</w:t>
      </w:r>
    </w:p>
  </w:footnote>
  <w:footnote w:id="1178">
    <w:p w:rsidR="003F128F" w:rsidRPr="00F712EC" w:rsidRDefault="003F128F" w:rsidP="000E1CBB">
      <w:pPr>
        <w:pStyle w:val="af3"/>
        <w:rPr>
          <w:rFonts w:ascii="Traditional Arabic" w:hAnsi="Traditional Arabic"/>
          <w:sz w:val="32"/>
          <w:szCs w:val="32"/>
        </w:rPr>
      </w:pPr>
      <w:r w:rsidRPr="00F712EC">
        <w:rPr>
          <w:rFonts w:ascii="Traditional Arabic" w:hAnsi="Traditional Arabic"/>
          <w:sz w:val="32"/>
          <w:szCs w:val="32"/>
          <w:rtl/>
        </w:rPr>
        <w:t>(</w:t>
      </w:r>
      <w:r w:rsidRPr="00F712EC">
        <w:rPr>
          <w:rStyle w:val="ae"/>
          <w:rFonts w:ascii="Traditional Arabic" w:hAnsi="Traditional Arabic"/>
          <w:sz w:val="32"/>
          <w:szCs w:val="32"/>
          <w:vertAlign w:val="baseline"/>
        </w:rPr>
        <w:footnoteRef/>
      </w:r>
      <w:r w:rsidRPr="00F712EC">
        <w:rPr>
          <w:rFonts w:ascii="Traditional Arabic" w:hAnsi="Traditional Arabic"/>
          <w:sz w:val="32"/>
          <w:szCs w:val="32"/>
          <w:rtl/>
        </w:rPr>
        <w:t>) انظر: تفسير الطبري (</w:t>
      </w:r>
      <w:r>
        <w:rPr>
          <w:rFonts w:ascii="Traditional Arabic" w:hAnsi="Traditional Arabic"/>
          <w:sz w:val="32"/>
          <w:szCs w:val="32"/>
          <w:rtl/>
        </w:rPr>
        <w:t>17/645), الكشف والبيان (6/164)</w:t>
      </w:r>
      <w:r>
        <w:rPr>
          <w:rFonts w:ascii="Traditional Arabic" w:hAnsi="Traditional Arabic" w:hint="cs"/>
          <w:sz w:val="32"/>
          <w:szCs w:val="32"/>
          <w:rtl/>
        </w:rPr>
        <w:t>.</w:t>
      </w:r>
    </w:p>
  </w:footnote>
  <w:footnote w:id="1179">
    <w:p w:rsidR="003F128F" w:rsidRPr="00F712EC" w:rsidRDefault="003F128F" w:rsidP="00597356">
      <w:pPr>
        <w:pStyle w:val="af3"/>
        <w:rPr>
          <w:rFonts w:ascii="Traditional Arabic" w:hAnsi="Traditional Arabic"/>
          <w:sz w:val="32"/>
          <w:szCs w:val="32"/>
        </w:rPr>
      </w:pPr>
      <w:r w:rsidRPr="00F712EC">
        <w:rPr>
          <w:rFonts w:ascii="Traditional Arabic" w:hAnsi="Traditional Arabic"/>
          <w:sz w:val="32"/>
          <w:szCs w:val="32"/>
          <w:rtl/>
        </w:rPr>
        <w:t>(</w:t>
      </w:r>
      <w:r w:rsidRPr="00F712EC">
        <w:rPr>
          <w:rStyle w:val="ae"/>
          <w:rFonts w:ascii="Traditional Arabic" w:hAnsi="Traditional Arabic"/>
          <w:sz w:val="32"/>
          <w:szCs w:val="32"/>
          <w:vertAlign w:val="baseline"/>
        </w:rPr>
        <w:footnoteRef/>
      </w:r>
      <w:r w:rsidRPr="00F712EC">
        <w:rPr>
          <w:rFonts w:ascii="Traditional Arabic" w:hAnsi="Traditional Arabic"/>
          <w:sz w:val="32"/>
          <w:szCs w:val="32"/>
          <w:rtl/>
        </w:rPr>
        <w:t>) انظر: تفسير الطبري (17/645).</w:t>
      </w:r>
    </w:p>
  </w:footnote>
  <w:footnote w:id="1180">
    <w:p w:rsidR="003F128F" w:rsidRPr="00A61FC8" w:rsidRDefault="003F128F" w:rsidP="00B66B69">
      <w:pPr>
        <w:pStyle w:val="af3"/>
        <w:rPr>
          <w:rFonts w:ascii="Tahoma" w:hAnsi="Tahoma"/>
        </w:rPr>
      </w:pPr>
      <w:r w:rsidRPr="00F712EC">
        <w:rPr>
          <w:rFonts w:ascii="Traditional Arabic" w:hAnsi="Traditional Arabic"/>
          <w:sz w:val="32"/>
          <w:szCs w:val="32"/>
          <w:rtl/>
        </w:rPr>
        <w:t>(</w:t>
      </w:r>
      <w:r w:rsidRPr="00F712EC">
        <w:rPr>
          <w:rStyle w:val="ae"/>
          <w:rFonts w:ascii="Traditional Arabic" w:hAnsi="Traditional Arabic"/>
          <w:sz w:val="32"/>
          <w:szCs w:val="32"/>
          <w:vertAlign w:val="baseline"/>
        </w:rPr>
        <w:footnoteRef/>
      </w:r>
      <w:r>
        <w:rPr>
          <w:rFonts w:ascii="Traditional Arabic" w:hAnsi="Traditional Arabic"/>
          <w:sz w:val="32"/>
          <w:szCs w:val="32"/>
          <w:rtl/>
        </w:rPr>
        <w:t>) في</w:t>
      </w:r>
      <w:r>
        <w:rPr>
          <w:rFonts w:ascii="Traditional Arabic" w:hAnsi="Traditional Arabic" w:hint="cs"/>
          <w:sz w:val="32"/>
          <w:szCs w:val="32"/>
          <w:rtl/>
        </w:rPr>
        <w:t xml:space="preserve"> الأصل:</w:t>
      </w:r>
      <w:r>
        <w:rPr>
          <w:rFonts w:ascii="Traditional Arabic" w:hAnsi="Traditional Arabic"/>
          <w:sz w:val="32"/>
          <w:szCs w:val="32"/>
          <w:rtl/>
        </w:rPr>
        <w:t xml:space="preserve"> </w:t>
      </w:r>
      <w:r>
        <w:rPr>
          <w:rFonts w:ascii="Traditional Arabic" w:hAnsi="Traditional Arabic" w:hint="cs"/>
          <w:sz w:val="32"/>
          <w:szCs w:val="32"/>
          <w:rtl/>
        </w:rPr>
        <w:t>[</w:t>
      </w:r>
      <w:r w:rsidRPr="00F712EC">
        <w:rPr>
          <w:rFonts w:ascii="Traditional Arabic" w:hAnsi="Traditional Arabic"/>
          <w:sz w:val="32"/>
          <w:szCs w:val="32"/>
          <w:rtl/>
        </w:rPr>
        <w:t>بياء في ا</w:t>
      </w:r>
      <w:r>
        <w:rPr>
          <w:rFonts w:ascii="Traditional Arabic" w:hAnsi="Traditional Arabic"/>
          <w:sz w:val="32"/>
          <w:szCs w:val="32"/>
          <w:rtl/>
        </w:rPr>
        <w:t>لوصل والوقف</w:t>
      </w:r>
      <w:r>
        <w:rPr>
          <w:rFonts w:ascii="Traditional Arabic" w:hAnsi="Traditional Arabic" w:hint="cs"/>
          <w:sz w:val="32"/>
          <w:szCs w:val="32"/>
          <w:rtl/>
        </w:rPr>
        <w:t>], والمثبت من (ك) وهو موافق لما في كتب القراءات</w:t>
      </w:r>
      <w:r w:rsidRPr="00F712EC">
        <w:rPr>
          <w:rFonts w:ascii="Traditional Arabic" w:hAnsi="Traditional Arabic"/>
          <w:sz w:val="32"/>
          <w:szCs w:val="32"/>
          <w:rtl/>
        </w:rPr>
        <w:t>.</w:t>
      </w:r>
      <w:r>
        <w:rPr>
          <w:rFonts w:ascii="Tahoma" w:hAnsi="Tahoma"/>
          <w:rtl/>
        </w:rPr>
        <w:t xml:space="preserve">  </w:t>
      </w:r>
    </w:p>
  </w:footnote>
  <w:footnote w:id="1181">
    <w:p w:rsidR="003F128F" w:rsidRPr="00EB7096" w:rsidRDefault="003F128F" w:rsidP="00B66B69">
      <w:pPr>
        <w:pStyle w:val="af3"/>
        <w:rPr>
          <w:rFonts w:ascii="Traditional Arabic" w:hAnsi="Traditional Arabic"/>
          <w:sz w:val="32"/>
          <w:szCs w:val="32"/>
        </w:rPr>
      </w:pPr>
      <w:r w:rsidRPr="00EB7096">
        <w:rPr>
          <w:rFonts w:ascii="Traditional Arabic" w:hAnsi="Traditional Arabic"/>
          <w:sz w:val="32"/>
          <w:szCs w:val="32"/>
          <w:rtl/>
        </w:rPr>
        <w:t>(</w:t>
      </w:r>
      <w:r w:rsidRPr="00EB7096">
        <w:rPr>
          <w:rStyle w:val="ae"/>
          <w:rFonts w:ascii="Traditional Arabic" w:hAnsi="Traditional Arabic"/>
          <w:sz w:val="32"/>
          <w:szCs w:val="32"/>
          <w:vertAlign w:val="baseline"/>
        </w:rPr>
        <w:footnoteRef/>
      </w:r>
      <w:r w:rsidRPr="00EB7096">
        <w:rPr>
          <w:rFonts w:ascii="Traditional Arabic" w:hAnsi="Traditional Arabic"/>
          <w:sz w:val="32"/>
          <w:szCs w:val="32"/>
          <w:rtl/>
        </w:rPr>
        <w:t>)</w:t>
      </w:r>
      <w:r>
        <w:rPr>
          <w:rFonts w:ascii="Traditional Arabic" w:hAnsi="Traditional Arabic" w:hint="cs"/>
          <w:sz w:val="32"/>
          <w:szCs w:val="32"/>
          <w:rtl/>
        </w:rPr>
        <w:t xml:space="preserve"> </w:t>
      </w:r>
      <w:r w:rsidRPr="00EB7096">
        <w:rPr>
          <w:rFonts w:ascii="Traditional Arabic" w:hAnsi="Traditional Arabic"/>
          <w:sz w:val="32"/>
          <w:szCs w:val="32"/>
          <w:rtl/>
        </w:rPr>
        <w:t>انظر: السبعة في القراءات (ص389</w:t>
      </w:r>
      <w:r>
        <w:rPr>
          <w:rFonts w:ascii="Traditional Arabic" w:hAnsi="Traditional Arabic" w:hint="cs"/>
          <w:sz w:val="32"/>
          <w:szCs w:val="32"/>
          <w:rtl/>
        </w:rPr>
        <w:t>, 391</w:t>
      </w:r>
      <w:r w:rsidRPr="00EB7096">
        <w:rPr>
          <w:rFonts w:ascii="Traditional Arabic" w:hAnsi="Traditional Arabic"/>
          <w:sz w:val="32"/>
          <w:szCs w:val="32"/>
          <w:rtl/>
        </w:rPr>
        <w:t>).</w:t>
      </w:r>
    </w:p>
  </w:footnote>
  <w:footnote w:id="1182">
    <w:p w:rsidR="003F128F" w:rsidRPr="008265A7" w:rsidRDefault="003F128F" w:rsidP="005C21CD">
      <w:pPr>
        <w:pStyle w:val="af3"/>
        <w:rPr>
          <w:rFonts w:ascii="Traditional Arabic" w:hAnsi="Traditional Arabic"/>
          <w:sz w:val="32"/>
          <w:szCs w:val="32"/>
        </w:rPr>
      </w:pPr>
      <w:r w:rsidRPr="008265A7">
        <w:rPr>
          <w:rFonts w:ascii="Traditional Arabic" w:hAnsi="Traditional Arabic"/>
          <w:sz w:val="32"/>
          <w:szCs w:val="32"/>
          <w:rtl/>
        </w:rPr>
        <w:t>(</w:t>
      </w:r>
      <w:r w:rsidRPr="008265A7">
        <w:rPr>
          <w:rStyle w:val="ae"/>
          <w:rFonts w:ascii="Traditional Arabic" w:hAnsi="Traditional Arabic"/>
          <w:sz w:val="32"/>
          <w:szCs w:val="32"/>
          <w:vertAlign w:val="baseline"/>
        </w:rPr>
        <w:footnoteRef/>
      </w:r>
      <w:r>
        <w:rPr>
          <w:rFonts w:ascii="Traditional Arabic" w:hAnsi="Traditional Arabic"/>
          <w:sz w:val="32"/>
          <w:szCs w:val="32"/>
          <w:rtl/>
        </w:rPr>
        <w:t>) في (</w:t>
      </w:r>
      <w:r>
        <w:rPr>
          <w:rFonts w:ascii="Traditional Arabic" w:hAnsi="Traditional Arabic" w:hint="cs"/>
          <w:sz w:val="32"/>
          <w:szCs w:val="32"/>
          <w:rtl/>
        </w:rPr>
        <w:t>ك</w:t>
      </w:r>
      <w:r>
        <w:rPr>
          <w:rFonts w:ascii="Traditional Arabic" w:hAnsi="Traditional Arabic"/>
          <w:sz w:val="32"/>
          <w:szCs w:val="32"/>
          <w:rtl/>
        </w:rPr>
        <w:t xml:space="preserve">): </w:t>
      </w:r>
      <w:r>
        <w:rPr>
          <w:rFonts w:ascii="Traditional Arabic" w:hAnsi="Traditional Arabic" w:hint="cs"/>
          <w:sz w:val="32"/>
          <w:szCs w:val="32"/>
          <w:rtl/>
        </w:rPr>
        <w:t>[</w:t>
      </w:r>
      <w:r>
        <w:rPr>
          <w:rFonts w:ascii="Traditional Arabic" w:hAnsi="Traditional Arabic"/>
          <w:sz w:val="32"/>
          <w:szCs w:val="32"/>
          <w:rtl/>
        </w:rPr>
        <w:t>ففعل الله به</w:t>
      </w:r>
      <w:r>
        <w:rPr>
          <w:rFonts w:ascii="Traditional Arabic" w:hAnsi="Traditional Arabic" w:hint="cs"/>
          <w:sz w:val="32"/>
          <w:szCs w:val="32"/>
          <w:rtl/>
        </w:rPr>
        <w:t>]</w:t>
      </w:r>
      <w:r w:rsidRPr="008265A7">
        <w:rPr>
          <w:rFonts w:ascii="Traditional Arabic" w:hAnsi="Traditional Arabic"/>
          <w:sz w:val="32"/>
          <w:szCs w:val="32"/>
          <w:rtl/>
        </w:rPr>
        <w:t xml:space="preserve">.      </w:t>
      </w:r>
    </w:p>
  </w:footnote>
  <w:footnote w:id="1183">
    <w:p w:rsidR="003F128F" w:rsidRPr="008265A7" w:rsidRDefault="003F128F" w:rsidP="005C21CD">
      <w:pPr>
        <w:pStyle w:val="af3"/>
        <w:rPr>
          <w:rFonts w:ascii="Traditional Arabic" w:hAnsi="Traditional Arabic"/>
          <w:sz w:val="32"/>
          <w:szCs w:val="32"/>
        </w:rPr>
      </w:pPr>
      <w:r w:rsidRPr="008265A7">
        <w:rPr>
          <w:rFonts w:ascii="Traditional Arabic" w:hAnsi="Traditional Arabic"/>
          <w:sz w:val="32"/>
          <w:szCs w:val="32"/>
          <w:rtl/>
        </w:rPr>
        <w:t>(</w:t>
      </w:r>
      <w:r w:rsidRPr="008265A7">
        <w:rPr>
          <w:rStyle w:val="ae"/>
          <w:rFonts w:ascii="Traditional Arabic" w:hAnsi="Traditional Arabic"/>
          <w:sz w:val="32"/>
          <w:szCs w:val="32"/>
          <w:vertAlign w:val="baseline"/>
        </w:rPr>
        <w:footnoteRef/>
      </w:r>
      <w:r w:rsidRPr="008265A7">
        <w:rPr>
          <w:rFonts w:ascii="Traditional Arabic" w:hAnsi="Traditional Arabic"/>
          <w:sz w:val="32"/>
          <w:szCs w:val="32"/>
          <w:rtl/>
        </w:rPr>
        <w:t>) انظر: معاني القرآن وإعرابه (3/278).</w:t>
      </w:r>
    </w:p>
  </w:footnote>
  <w:footnote w:id="1184">
    <w:p w:rsidR="003F128F" w:rsidRPr="000D348E" w:rsidRDefault="003F128F" w:rsidP="00EE175F">
      <w:pPr>
        <w:pStyle w:val="af3"/>
        <w:rPr>
          <w:rFonts w:ascii="Traditional Arabic" w:hAnsi="Traditional Arabic"/>
          <w:sz w:val="32"/>
          <w:szCs w:val="32"/>
        </w:rPr>
      </w:pPr>
      <w:r w:rsidRPr="008265A7">
        <w:rPr>
          <w:rFonts w:ascii="Traditional Arabic" w:hAnsi="Traditional Arabic"/>
          <w:sz w:val="32"/>
          <w:szCs w:val="32"/>
          <w:rtl/>
        </w:rPr>
        <w:t>(</w:t>
      </w:r>
      <w:r w:rsidRPr="008265A7">
        <w:rPr>
          <w:rStyle w:val="ae"/>
          <w:rFonts w:ascii="Traditional Arabic" w:hAnsi="Traditional Arabic"/>
          <w:sz w:val="32"/>
          <w:szCs w:val="32"/>
          <w:vertAlign w:val="baseline"/>
        </w:rPr>
        <w:footnoteRef/>
      </w:r>
      <w:r w:rsidRPr="008265A7">
        <w:rPr>
          <w:rFonts w:ascii="Traditional Arabic" w:hAnsi="Traditional Arabic"/>
          <w:sz w:val="32"/>
          <w:szCs w:val="32"/>
          <w:rtl/>
        </w:rPr>
        <w:t xml:space="preserve">) سبق تخريجه </w:t>
      </w:r>
      <w:r>
        <w:rPr>
          <w:rFonts w:ascii="Traditional Arabic" w:hAnsi="Traditional Arabic" w:hint="cs"/>
          <w:sz w:val="32"/>
          <w:szCs w:val="32"/>
          <w:rtl/>
        </w:rPr>
        <w:t>(ص197)</w:t>
      </w:r>
      <w:r>
        <w:rPr>
          <w:rFonts w:ascii="QCF_BSML" w:hAnsi="QCF_BSML" w:cs="QCF_BSML" w:hint="cs"/>
          <w:color w:val="auto"/>
          <w:rtl/>
          <w:lang w:eastAsia="en-US"/>
        </w:rPr>
        <w:t xml:space="preserve"> </w:t>
      </w:r>
      <w:r>
        <w:rPr>
          <w:rFonts w:ascii="Tahoma" w:hAnsi="Tahoma" w:hint="cs"/>
          <w:sz w:val="32"/>
          <w:szCs w:val="32"/>
          <w:rtl/>
        </w:rPr>
        <w:t>.</w:t>
      </w:r>
    </w:p>
  </w:footnote>
  <w:footnote w:id="1185">
    <w:p w:rsidR="003F128F" w:rsidRPr="008265A7" w:rsidRDefault="003F128F" w:rsidP="005C21CD">
      <w:pPr>
        <w:pStyle w:val="af3"/>
        <w:rPr>
          <w:rFonts w:ascii="Traditional Arabic" w:hAnsi="Traditional Arabic"/>
          <w:sz w:val="32"/>
          <w:szCs w:val="32"/>
        </w:rPr>
      </w:pPr>
      <w:r w:rsidRPr="008265A7">
        <w:rPr>
          <w:rFonts w:ascii="Traditional Arabic" w:hAnsi="Traditional Arabic"/>
          <w:sz w:val="32"/>
          <w:szCs w:val="32"/>
          <w:rtl/>
        </w:rPr>
        <w:t>(</w:t>
      </w:r>
      <w:r w:rsidRPr="008265A7">
        <w:rPr>
          <w:rStyle w:val="ae"/>
          <w:rFonts w:ascii="Traditional Arabic" w:hAnsi="Traditional Arabic"/>
          <w:sz w:val="32"/>
          <w:szCs w:val="32"/>
          <w:vertAlign w:val="baseline"/>
        </w:rPr>
        <w:footnoteRef/>
      </w:r>
      <w:r w:rsidRPr="008265A7">
        <w:rPr>
          <w:rFonts w:ascii="Traditional Arabic" w:hAnsi="Traditional Arabic"/>
          <w:sz w:val="32"/>
          <w:szCs w:val="32"/>
          <w:rtl/>
        </w:rPr>
        <w:t>) انظر: البحر المحيط (7/163), رموز الكنوز (4/270), روح المعاني (15/288).</w:t>
      </w:r>
    </w:p>
  </w:footnote>
  <w:footnote w:id="1186">
    <w:p w:rsidR="003F128F" w:rsidRPr="008265A7" w:rsidRDefault="003F128F" w:rsidP="00B66B69">
      <w:pPr>
        <w:pStyle w:val="af3"/>
        <w:rPr>
          <w:rFonts w:ascii="Traditional Arabic" w:hAnsi="Traditional Arabic"/>
          <w:sz w:val="32"/>
          <w:szCs w:val="32"/>
        </w:rPr>
      </w:pPr>
      <w:r w:rsidRPr="008265A7">
        <w:rPr>
          <w:rFonts w:ascii="Traditional Arabic" w:hAnsi="Traditional Arabic"/>
          <w:sz w:val="32"/>
          <w:szCs w:val="32"/>
          <w:rtl/>
        </w:rPr>
        <w:t>(</w:t>
      </w:r>
      <w:r w:rsidRPr="008265A7">
        <w:rPr>
          <w:rStyle w:val="ae"/>
          <w:rFonts w:ascii="Traditional Arabic" w:hAnsi="Traditional Arabic"/>
          <w:sz w:val="32"/>
          <w:szCs w:val="32"/>
          <w:vertAlign w:val="baseline"/>
        </w:rPr>
        <w:footnoteRef/>
      </w:r>
      <w:r w:rsidRPr="008265A7">
        <w:rPr>
          <w:rFonts w:ascii="Traditional Arabic" w:hAnsi="Traditional Arabic"/>
          <w:sz w:val="32"/>
          <w:szCs w:val="32"/>
          <w:rtl/>
        </w:rPr>
        <w:t>)</w:t>
      </w:r>
      <w:r>
        <w:rPr>
          <w:rFonts w:ascii="Traditional Arabic" w:hAnsi="Traditional Arabic" w:hint="cs"/>
          <w:sz w:val="32"/>
          <w:szCs w:val="32"/>
          <w:rtl/>
        </w:rPr>
        <w:t xml:space="preserve"> </w:t>
      </w:r>
      <w:r w:rsidRPr="008265A7">
        <w:rPr>
          <w:rFonts w:ascii="Traditional Arabic" w:hAnsi="Traditional Arabic"/>
          <w:sz w:val="32"/>
          <w:szCs w:val="32"/>
          <w:rtl/>
        </w:rPr>
        <w:t xml:space="preserve">انظر: السبعة في القراءات (ص389), معاني القراءات (2/108). </w:t>
      </w:r>
    </w:p>
  </w:footnote>
  <w:footnote w:id="1187">
    <w:p w:rsidR="003F128F" w:rsidRPr="008265A7" w:rsidRDefault="003F128F" w:rsidP="005C21CD">
      <w:pPr>
        <w:pStyle w:val="af3"/>
        <w:rPr>
          <w:rFonts w:ascii="Traditional Arabic" w:hAnsi="Traditional Arabic"/>
          <w:sz w:val="32"/>
          <w:szCs w:val="32"/>
        </w:rPr>
      </w:pPr>
      <w:r w:rsidRPr="008265A7">
        <w:rPr>
          <w:rFonts w:ascii="Traditional Arabic" w:hAnsi="Traditional Arabic"/>
          <w:sz w:val="32"/>
          <w:szCs w:val="32"/>
          <w:rtl/>
        </w:rPr>
        <w:t>(</w:t>
      </w:r>
      <w:r w:rsidRPr="008265A7">
        <w:rPr>
          <w:rStyle w:val="ae"/>
          <w:rFonts w:ascii="Traditional Arabic" w:hAnsi="Traditional Arabic"/>
          <w:sz w:val="32"/>
          <w:szCs w:val="32"/>
          <w:vertAlign w:val="baseline"/>
        </w:rPr>
        <w:footnoteRef/>
      </w:r>
      <w:r w:rsidRPr="008265A7">
        <w:rPr>
          <w:rFonts w:ascii="Traditional Arabic" w:hAnsi="Traditional Arabic"/>
          <w:sz w:val="32"/>
          <w:szCs w:val="32"/>
          <w:rtl/>
        </w:rPr>
        <w:t xml:space="preserve">) يعني الفارسي. </w:t>
      </w:r>
    </w:p>
  </w:footnote>
  <w:footnote w:id="1188">
    <w:p w:rsidR="003F128F" w:rsidRPr="008265A7" w:rsidRDefault="003F128F" w:rsidP="005C21CD">
      <w:pPr>
        <w:pStyle w:val="af3"/>
        <w:rPr>
          <w:rFonts w:ascii="Traditional Arabic" w:hAnsi="Traditional Arabic"/>
          <w:sz w:val="32"/>
          <w:szCs w:val="32"/>
        </w:rPr>
      </w:pPr>
      <w:r w:rsidRPr="008265A7">
        <w:rPr>
          <w:rFonts w:ascii="Traditional Arabic" w:hAnsi="Traditional Arabic"/>
          <w:sz w:val="32"/>
          <w:szCs w:val="32"/>
          <w:rtl/>
        </w:rPr>
        <w:t>(</w:t>
      </w:r>
      <w:r w:rsidRPr="008265A7">
        <w:rPr>
          <w:rStyle w:val="ae"/>
          <w:rFonts w:ascii="Traditional Arabic" w:hAnsi="Traditional Arabic"/>
          <w:sz w:val="32"/>
          <w:szCs w:val="32"/>
          <w:vertAlign w:val="baseline"/>
        </w:rPr>
        <w:footnoteRef/>
      </w:r>
      <w:r w:rsidRPr="008265A7">
        <w:rPr>
          <w:rFonts w:ascii="Traditional Arabic" w:hAnsi="Traditional Arabic"/>
          <w:sz w:val="32"/>
          <w:szCs w:val="32"/>
          <w:rtl/>
        </w:rPr>
        <w:t>) السّحق: الثوب ا</w:t>
      </w:r>
      <w:r>
        <w:rPr>
          <w:rFonts w:ascii="Traditional Arabic" w:hAnsi="Traditional Arabic"/>
          <w:sz w:val="32"/>
          <w:szCs w:val="32"/>
          <w:rtl/>
        </w:rPr>
        <w:t>لخلق البالي. انظر: العين (3/36)</w:t>
      </w:r>
      <w:r w:rsidRPr="008265A7">
        <w:rPr>
          <w:rFonts w:ascii="Traditional Arabic" w:hAnsi="Traditional Arabic"/>
          <w:sz w:val="32"/>
          <w:szCs w:val="32"/>
          <w:rtl/>
        </w:rPr>
        <w:t xml:space="preserve"> مادة (سحق), </w:t>
      </w:r>
      <w:r w:rsidRPr="008265A7">
        <w:rPr>
          <w:rFonts w:ascii="Traditional Arabic" w:hAnsi="Traditional Arabic"/>
          <w:sz w:val="32"/>
          <w:szCs w:val="32"/>
          <w:rtl/>
          <w:lang w:eastAsia="en-US"/>
        </w:rPr>
        <w:t>تهذيب اللغة (4/17)</w:t>
      </w:r>
      <w:r w:rsidRPr="008265A7">
        <w:rPr>
          <w:rFonts w:ascii="Traditional Arabic" w:hAnsi="Traditional Arabic"/>
          <w:sz w:val="32"/>
          <w:szCs w:val="32"/>
          <w:rtl/>
        </w:rPr>
        <w:t xml:space="preserve"> مادة (سحق).</w:t>
      </w:r>
    </w:p>
  </w:footnote>
  <w:footnote w:id="1189">
    <w:p w:rsidR="003F128F" w:rsidRPr="008265A7" w:rsidRDefault="003F128F" w:rsidP="005C21CD">
      <w:pPr>
        <w:pStyle w:val="af3"/>
        <w:rPr>
          <w:rFonts w:ascii="Traditional Arabic" w:hAnsi="Traditional Arabic"/>
          <w:sz w:val="32"/>
          <w:szCs w:val="32"/>
        </w:rPr>
      </w:pPr>
      <w:r w:rsidRPr="008265A7">
        <w:rPr>
          <w:rFonts w:ascii="Traditional Arabic" w:hAnsi="Traditional Arabic"/>
          <w:sz w:val="32"/>
          <w:szCs w:val="32"/>
          <w:rtl/>
        </w:rPr>
        <w:t>(</w:t>
      </w:r>
      <w:r w:rsidRPr="008265A7">
        <w:rPr>
          <w:rStyle w:val="ae"/>
          <w:rFonts w:ascii="Traditional Arabic" w:hAnsi="Traditional Arabic"/>
          <w:sz w:val="32"/>
          <w:szCs w:val="32"/>
          <w:vertAlign w:val="baseline"/>
        </w:rPr>
        <w:footnoteRef/>
      </w:r>
      <w:r w:rsidRPr="008265A7">
        <w:rPr>
          <w:rFonts w:ascii="Traditional Arabic" w:hAnsi="Traditional Arabic"/>
          <w:sz w:val="32"/>
          <w:szCs w:val="32"/>
          <w:rtl/>
        </w:rPr>
        <w:t>) القَسِيُّ: هُوَ الدِّرْهَمُ الرَّدِيءُ وَالشَّيْءُ الْم</w:t>
      </w:r>
      <w:r>
        <w:rPr>
          <w:rFonts w:ascii="Traditional Arabic" w:hAnsi="Traditional Arabic"/>
          <w:sz w:val="32"/>
          <w:szCs w:val="32"/>
          <w:rtl/>
        </w:rPr>
        <w:t>َرْذُولُ. انظر: اللسان (15/181)</w:t>
      </w:r>
      <w:r w:rsidRPr="008265A7">
        <w:rPr>
          <w:rFonts w:ascii="Traditional Arabic" w:hAnsi="Traditional Arabic"/>
          <w:sz w:val="32"/>
          <w:szCs w:val="32"/>
          <w:rtl/>
        </w:rPr>
        <w:t xml:space="preserve"> مادة (قسا).</w:t>
      </w:r>
    </w:p>
  </w:footnote>
  <w:footnote w:id="1190">
    <w:p w:rsidR="003F128F" w:rsidRPr="008265A7" w:rsidRDefault="003F128F" w:rsidP="00641A12">
      <w:pPr>
        <w:pStyle w:val="af3"/>
        <w:rPr>
          <w:rFonts w:ascii="Traditional Arabic" w:hAnsi="Traditional Arabic"/>
          <w:sz w:val="32"/>
          <w:szCs w:val="32"/>
        </w:rPr>
      </w:pPr>
      <w:r w:rsidRPr="008265A7">
        <w:rPr>
          <w:rFonts w:ascii="Traditional Arabic" w:hAnsi="Traditional Arabic"/>
          <w:sz w:val="32"/>
          <w:szCs w:val="32"/>
          <w:rtl/>
        </w:rPr>
        <w:t>(</w:t>
      </w:r>
      <w:r w:rsidRPr="008265A7">
        <w:rPr>
          <w:rStyle w:val="ae"/>
          <w:rFonts w:ascii="Traditional Arabic" w:hAnsi="Traditional Arabic"/>
          <w:sz w:val="32"/>
          <w:szCs w:val="32"/>
          <w:vertAlign w:val="baseline"/>
        </w:rPr>
        <w:footnoteRef/>
      </w:r>
      <w:r w:rsidRPr="008265A7">
        <w:rPr>
          <w:rFonts w:ascii="Traditional Arabic" w:hAnsi="Traditional Arabic"/>
          <w:sz w:val="32"/>
          <w:szCs w:val="32"/>
          <w:rtl/>
        </w:rPr>
        <w:t xml:space="preserve">) </w:t>
      </w:r>
      <w:r w:rsidRPr="008265A7">
        <w:rPr>
          <w:rFonts w:ascii="Traditional Arabic" w:hAnsi="Traditional Arabic"/>
          <w:sz w:val="32"/>
          <w:szCs w:val="32"/>
          <w:rtl/>
          <w:lang w:eastAsia="en-US"/>
        </w:rPr>
        <w:t xml:space="preserve">البيت لمزرّد بن ضرار. انظر: تهذيب </w:t>
      </w:r>
      <w:r>
        <w:rPr>
          <w:rFonts w:ascii="Traditional Arabic" w:hAnsi="Traditional Arabic"/>
          <w:sz w:val="32"/>
          <w:szCs w:val="32"/>
          <w:rtl/>
          <w:lang w:eastAsia="en-US"/>
        </w:rPr>
        <w:t>اللغة (15/443)</w:t>
      </w:r>
      <w:r>
        <w:rPr>
          <w:rFonts w:ascii="Traditional Arabic" w:hAnsi="Traditional Arabic" w:hint="cs"/>
          <w:sz w:val="32"/>
          <w:szCs w:val="32"/>
          <w:rtl/>
          <w:lang w:eastAsia="en-US"/>
        </w:rPr>
        <w:t xml:space="preserve"> مادة (مأى)</w:t>
      </w:r>
      <w:r>
        <w:rPr>
          <w:rFonts w:ascii="Traditional Arabic" w:hAnsi="Traditional Arabic"/>
          <w:sz w:val="32"/>
          <w:szCs w:val="32"/>
          <w:rtl/>
          <w:lang w:eastAsia="en-US"/>
        </w:rPr>
        <w:t>, الصحاح (6/2489)</w:t>
      </w:r>
      <w:r w:rsidRPr="008265A7">
        <w:rPr>
          <w:rFonts w:ascii="Traditional Arabic" w:hAnsi="Traditional Arabic"/>
          <w:sz w:val="32"/>
          <w:szCs w:val="32"/>
          <w:rtl/>
          <w:lang w:eastAsia="en-US"/>
        </w:rPr>
        <w:t xml:space="preserve"> مادة </w:t>
      </w:r>
      <w:r>
        <w:rPr>
          <w:rFonts w:ascii="Traditional Arabic" w:hAnsi="Traditional Arabic"/>
          <w:sz w:val="32"/>
          <w:szCs w:val="32"/>
          <w:rtl/>
        </w:rPr>
        <w:t>(مأ</w:t>
      </w:r>
      <w:r>
        <w:rPr>
          <w:rFonts w:ascii="Traditional Arabic" w:hAnsi="Traditional Arabic" w:hint="cs"/>
          <w:sz w:val="32"/>
          <w:szCs w:val="32"/>
          <w:rtl/>
        </w:rPr>
        <w:t>ى</w:t>
      </w:r>
      <w:r>
        <w:rPr>
          <w:rFonts w:ascii="Traditional Arabic" w:hAnsi="Traditional Arabic"/>
          <w:sz w:val="32"/>
          <w:szCs w:val="32"/>
          <w:rtl/>
        </w:rPr>
        <w:t>)</w:t>
      </w:r>
      <w:r>
        <w:rPr>
          <w:rFonts w:ascii="Traditional Arabic" w:hAnsi="Traditional Arabic" w:hint="cs"/>
          <w:sz w:val="32"/>
          <w:szCs w:val="32"/>
          <w:rtl/>
        </w:rPr>
        <w:t>.</w:t>
      </w:r>
    </w:p>
  </w:footnote>
  <w:footnote w:id="1191">
    <w:p w:rsidR="003F128F" w:rsidRPr="001040AE" w:rsidRDefault="003F128F" w:rsidP="005C21CD">
      <w:pPr>
        <w:pStyle w:val="af3"/>
        <w:rPr>
          <w:rFonts w:ascii="Traditional Arabic" w:hAnsi="Traditional Arabic"/>
          <w:sz w:val="32"/>
          <w:szCs w:val="32"/>
        </w:rPr>
      </w:pPr>
      <w:r w:rsidRPr="008265A7">
        <w:rPr>
          <w:rFonts w:ascii="Traditional Arabic" w:hAnsi="Traditional Arabic"/>
          <w:sz w:val="32"/>
          <w:szCs w:val="32"/>
          <w:rtl/>
        </w:rPr>
        <w:t>(</w:t>
      </w:r>
      <w:r w:rsidRPr="008265A7">
        <w:rPr>
          <w:rStyle w:val="ae"/>
          <w:rFonts w:ascii="Traditional Arabic" w:hAnsi="Traditional Arabic"/>
          <w:sz w:val="32"/>
          <w:szCs w:val="32"/>
          <w:vertAlign w:val="baseline"/>
        </w:rPr>
        <w:footnoteRef/>
      </w:r>
      <w:r w:rsidRPr="008265A7">
        <w:rPr>
          <w:rFonts w:ascii="Traditional Arabic" w:hAnsi="Traditional Arabic"/>
          <w:sz w:val="32"/>
          <w:szCs w:val="32"/>
          <w:rtl/>
        </w:rPr>
        <w:t>) انظر: الحجة للقراء السبعة لأبي علي الفارسي (5/137).</w:t>
      </w:r>
      <w:r w:rsidRPr="001040AE">
        <w:rPr>
          <w:rFonts w:ascii="Traditional Arabic" w:hAnsi="Traditional Arabic"/>
          <w:sz w:val="32"/>
          <w:szCs w:val="32"/>
          <w:rtl/>
        </w:rPr>
        <w:t xml:space="preserve"> </w:t>
      </w:r>
    </w:p>
  </w:footnote>
  <w:footnote w:id="1192">
    <w:p w:rsidR="003F128F" w:rsidRPr="001040AE" w:rsidRDefault="003F128F" w:rsidP="00641A12">
      <w:pPr>
        <w:pStyle w:val="af3"/>
        <w:rPr>
          <w:rFonts w:ascii="Traditional Arabic" w:hAnsi="Traditional Arabic"/>
          <w:sz w:val="32"/>
          <w:szCs w:val="32"/>
        </w:rPr>
      </w:pPr>
      <w:r w:rsidRPr="001040AE">
        <w:rPr>
          <w:rFonts w:ascii="Traditional Arabic" w:hAnsi="Traditional Arabic"/>
          <w:sz w:val="32"/>
          <w:szCs w:val="32"/>
          <w:rtl/>
        </w:rPr>
        <w:t>(</w:t>
      </w:r>
      <w:r w:rsidRPr="001040AE">
        <w:rPr>
          <w:rStyle w:val="ae"/>
          <w:rFonts w:ascii="Traditional Arabic" w:hAnsi="Traditional Arabic"/>
          <w:sz w:val="32"/>
          <w:szCs w:val="32"/>
          <w:vertAlign w:val="baseline"/>
        </w:rPr>
        <w:footnoteRef/>
      </w:r>
      <w:r w:rsidRPr="001040AE">
        <w:rPr>
          <w:rFonts w:ascii="Traditional Arabic" w:hAnsi="Traditional Arabic"/>
          <w:sz w:val="32"/>
          <w:szCs w:val="32"/>
          <w:rtl/>
        </w:rPr>
        <w:t xml:space="preserve">) انظر: تفسير ابن أبي حاتم (7/2355), وذكره السيوطي في الدر  المنثور (5/379), ولباب النقول (ص129) وزاد نسبته لابن مردويه.  </w:t>
      </w:r>
    </w:p>
  </w:footnote>
  <w:footnote w:id="1193">
    <w:p w:rsidR="003F128F" w:rsidRPr="001040AE" w:rsidRDefault="003F128F" w:rsidP="000E1CBB">
      <w:pPr>
        <w:pStyle w:val="af3"/>
        <w:rPr>
          <w:rFonts w:ascii="Traditional Arabic" w:hAnsi="Traditional Arabic"/>
          <w:sz w:val="32"/>
          <w:szCs w:val="32"/>
        </w:rPr>
      </w:pPr>
      <w:r w:rsidRPr="001040AE">
        <w:rPr>
          <w:rFonts w:ascii="Traditional Arabic" w:hAnsi="Traditional Arabic"/>
          <w:sz w:val="32"/>
          <w:szCs w:val="32"/>
          <w:rtl/>
        </w:rPr>
        <w:t>(</w:t>
      </w:r>
      <w:r w:rsidRPr="001040AE">
        <w:rPr>
          <w:rStyle w:val="ae"/>
          <w:rFonts w:ascii="Traditional Arabic" w:hAnsi="Traditional Arabic"/>
          <w:sz w:val="32"/>
          <w:szCs w:val="32"/>
          <w:vertAlign w:val="baseline"/>
        </w:rPr>
        <w:footnoteRef/>
      </w:r>
      <w:r w:rsidRPr="001040AE">
        <w:rPr>
          <w:rFonts w:ascii="Traditional Arabic" w:hAnsi="Traditional Arabic"/>
          <w:sz w:val="32"/>
          <w:szCs w:val="32"/>
          <w:rtl/>
        </w:rPr>
        <w:t>) تفسير يحيى بن سلام (1/180), تفسير الطبري (17/647).</w:t>
      </w:r>
    </w:p>
  </w:footnote>
  <w:footnote w:id="1194">
    <w:p w:rsidR="003F128F" w:rsidRPr="001040AE" w:rsidRDefault="003F128F" w:rsidP="00641A12">
      <w:pPr>
        <w:pStyle w:val="af3"/>
        <w:rPr>
          <w:rFonts w:ascii="Traditional Arabic" w:hAnsi="Traditional Arabic"/>
          <w:sz w:val="32"/>
          <w:szCs w:val="32"/>
        </w:rPr>
      </w:pPr>
      <w:r w:rsidRPr="001040AE">
        <w:rPr>
          <w:rFonts w:ascii="Traditional Arabic" w:hAnsi="Traditional Arabic"/>
          <w:sz w:val="32"/>
          <w:szCs w:val="32"/>
          <w:rtl/>
        </w:rPr>
        <w:t>(</w:t>
      </w:r>
      <w:r w:rsidRPr="001040AE">
        <w:rPr>
          <w:rStyle w:val="ae"/>
          <w:rFonts w:ascii="Traditional Arabic" w:hAnsi="Traditional Arabic"/>
          <w:sz w:val="32"/>
          <w:szCs w:val="32"/>
          <w:vertAlign w:val="baseline"/>
        </w:rPr>
        <w:footnoteRef/>
      </w:r>
      <w:r>
        <w:rPr>
          <w:rFonts w:ascii="Traditional Arabic" w:hAnsi="Traditional Arabic"/>
          <w:sz w:val="32"/>
          <w:szCs w:val="32"/>
          <w:rtl/>
        </w:rPr>
        <w:t>) أحكام القرآن للجصاص (3/279)</w:t>
      </w:r>
      <w:r>
        <w:rPr>
          <w:rFonts w:ascii="Traditional Arabic" w:hAnsi="Traditional Arabic" w:hint="cs"/>
          <w:sz w:val="32"/>
          <w:szCs w:val="32"/>
          <w:rtl/>
        </w:rPr>
        <w:t xml:space="preserve">, وقد ذكره الطبري في </w:t>
      </w:r>
      <w:r w:rsidRPr="001040AE">
        <w:rPr>
          <w:rFonts w:ascii="Traditional Arabic" w:hAnsi="Traditional Arabic"/>
          <w:sz w:val="32"/>
          <w:szCs w:val="32"/>
          <w:rtl/>
        </w:rPr>
        <w:t>تفسير</w:t>
      </w:r>
      <w:r>
        <w:rPr>
          <w:rFonts w:ascii="Traditional Arabic" w:hAnsi="Traditional Arabic" w:hint="cs"/>
          <w:sz w:val="32"/>
          <w:szCs w:val="32"/>
          <w:rtl/>
        </w:rPr>
        <w:t xml:space="preserve">ه </w:t>
      </w:r>
      <w:r>
        <w:rPr>
          <w:rFonts w:ascii="Traditional Arabic" w:hAnsi="Traditional Arabic"/>
          <w:sz w:val="32"/>
          <w:szCs w:val="32"/>
          <w:rtl/>
        </w:rPr>
        <w:t xml:space="preserve">(17/648), </w:t>
      </w:r>
      <w:r>
        <w:rPr>
          <w:rFonts w:ascii="Traditional Arabic" w:hAnsi="Traditional Arabic" w:hint="cs"/>
          <w:sz w:val="32"/>
          <w:szCs w:val="32"/>
          <w:rtl/>
        </w:rPr>
        <w:t xml:space="preserve">والواحدي في </w:t>
      </w:r>
      <w:r w:rsidRPr="001040AE">
        <w:rPr>
          <w:rFonts w:ascii="Traditional Arabic" w:hAnsi="Traditional Arabic"/>
          <w:sz w:val="32"/>
          <w:szCs w:val="32"/>
          <w:rtl/>
        </w:rPr>
        <w:t>التفسير البسيط (13/588) عن عبد الله بن عبيد بن عمير.</w:t>
      </w:r>
    </w:p>
  </w:footnote>
  <w:footnote w:id="1195">
    <w:p w:rsidR="003F128F" w:rsidRPr="001040AE" w:rsidRDefault="003F128F" w:rsidP="00641A12">
      <w:pPr>
        <w:pStyle w:val="af3"/>
        <w:rPr>
          <w:rFonts w:ascii="Traditional Arabic" w:hAnsi="Traditional Arabic"/>
          <w:sz w:val="32"/>
          <w:szCs w:val="32"/>
        </w:rPr>
      </w:pPr>
      <w:r w:rsidRPr="001040AE">
        <w:rPr>
          <w:rFonts w:ascii="Traditional Arabic" w:hAnsi="Traditional Arabic"/>
          <w:sz w:val="32"/>
          <w:szCs w:val="32"/>
          <w:rtl/>
        </w:rPr>
        <w:t>(</w:t>
      </w:r>
      <w:r w:rsidRPr="001040AE">
        <w:rPr>
          <w:rStyle w:val="ae"/>
          <w:rFonts w:ascii="Traditional Arabic" w:hAnsi="Traditional Arabic"/>
          <w:sz w:val="32"/>
          <w:szCs w:val="32"/>
          <w:vertAlign w:val="baseline"/>
        </w:rPr>
        <w:footnoteRef/>
      </w:r>
      <w:r w:rsidRPr="001040AE">
        <w:rPr>
          <w:rFonts w:ascii="Traditional Arabic" w:hAnsi="Traditional Arabic"/>
          <w:sz w:val="32"/>
          <w:szCs w:val="32"/>
          <w:rtl/>
        </w:rPr>
        <w:t>) تفسير مجاهد</w:t>
      </w:r>
      <w:r>
        <w:rPr>
          <w:rFonts w:ascii="Traditional Arabic" w:hAnsi="Traditional Arabic"/>
          <w:sz w:val="32"/>
          <w:szCs w:val="32"/>
          <w:rtl/>
        </w:rPr>
        <w:t xml:space="preserve"> (ص446), تفسير الطبري (17/648)</w:t>
      </w:r>
      <w:r w:rsidRPr="001040AE">
        <w:rPr>
          <w:rFonts w:ascii="Traditional Arabic" w:hAnsi="Traditional Arabic"/>
          <w:sz w:val="32"/>
          <w:szCs w:val="32"/>
          <w:rtl/>
        </w:rPr>
        <w:t>.</w:t>
      </w:r>
    </w:p>
  </w:footnote>
  <w:footnote w:id="1196">
    <w:p w:rsidR="003F128F" w:rsidRPr="001040AE" w:rsidRDefault="003F128F" w:rsidP="000E1CBB">
      <w:pPr>
        <w:pStyle w:val="af3"/>
        <w:rPr>
          <w:rFonts w:ascii="Traditional Arabic" w:hAnsi="Traditional Arabic"/>
          <w:sz w:val="32"/>
          <w:szCs w:val="32"/>
        </w:rPr>
      </w:pPr>
      <w:r w:rsidRPr="001040AE">
        <w:rPr>
          <w:rFonts w:ascii="Traditional Arabic" w:hAnsi="Traditional Arabic"/>
          <w:sz w:val="32"/>
          <w:szCs w:val="32"/>
          <w:rtl/>
        </w:rPr>
        <w:t>(</w:t>
      </w:r>
      <w:r w:rsidRPr="001040AE">
        <w:rPr>
          <w:rStyle w:val="ae"/>
          <w:rFonts w:ascii="Traditional Arabic" w:hAnsi="Traditional Arabic"/>
          <w:sz w:val="32"/>
          <w:szCs w:val="32"/>
          <w:vertAlign w:val="baseline"/>
        </w:rPr>
        <w:footnoteRef/>
      </w:r>
      <w:r w:rsidRPr="001040AE">
        <w:rPr>
          <w:rFonts w:ascii="Traditional Arabic" w:hAnsi="Traditional Arabic"/>
          <w:sz w:val="32"/>
          <w:szCs w:val="32"/>
          <w:rtl/>
        </w:rPr>
        <w:t>) تفسير الطبري (17/648</w:t>
      </w:r>
      <w:r>
        <w:rPr>
          <w:rFonts w:ascii="Traditional Arabic" w:hAnsi="Traditional Arabic"/>
          <w:sz w:val="32"/>
          <w:szCs w:val="32"/>
          <w:rtl/>
        </w:rPr>
        <w:t>), تفسير ابن أبي حاتم (7/2356)</w:t>
      </w:r>
      <w:r>
        <w:rPr>
          <w:rFonts w:ascii="Traditional Arabic" w:hAnsi="Traditional Arabic" w:hint="cs"/>
          <w:sz w:val="32"/>
          <w:szCs w:val="32"/>
          <w:rtl/>
        </w:rPr>
        <w:t>.</w:t>
      </w:r>
    </w:p>
  </w:footnote>
  <w:footnote w:id="1197">
    <w:p w:rsidR="003F128F" w:rsidRPr="001040AE" w:rsidRDefault="003F128F" w:rsidP="005C21CD">
      <w:pPr>
        <w:pStyle w:val="af3"/>
        <w:rPr>
          <w:rFonts w:ascii="Traditional Arabic" w:hAnsi="Traditional Arabic"/>
          <w:sz w:val="32"/>
          <w:szCs w:val="32"/>
        </w:rPr>
      </w:pPr>
      <w:r w:rsidRPr="001040AE">
        <w:rPr>
          <w:rFonts w:ascii="Traditional Arabic" w:hAnsi="Traditional Arabic"/>
          <w:sz w:val="32"/>
          <w:szCs w:val="32"/>
          <w:rtl/>
        </w:rPr>
        <w:t>(</w:t>
      </w:r>
      <w:r w:rsidRPr="001040AE">
        <w:rPr>
          <w:rStyle w:val="ae"/>
          <w:rFonts w:ascii="Traditional Arabic" w:hAnsi="Traditional Arabic"/>
          <w:sz w:val="32"/>
          <w:szCs w:val="32"/>
          <w:vertAlign w:val="baseline"/>
        </w:rPr>
        <w:footnoteRef/>
      </w:r>
      <w:r w:rsidRPr="001040AE">
        <w:rPr>
          <w:rFonts w:ascii="Traditional Arabic" w:hAnsi="Traditional Arabic"/>
          <w:sz w:val="32"/>
          <w:szCs w:val="32"/>
          <w:rtl/>
        </w:rPr>
        <w:t>) لم أقف على قول ابن زيد.</w:t>
      </w:r>
    </w:p>
  </w:footnote>
  <w:footnote w:id="1198">
    <w:p w:rsidR="003F128F" w:rsidRPr="001040AE" w:rsidRDefault="003F128F" w:rsidP="005C21CD">
      <w:pPr>
        <w:pStyle w:val="af3"/>
        <w:rPr>
          <w:rFonts w:ascii="Traditional Arabic" w:hAnsi="Traditional Arabic"/>
          <w:sz w:val="32"/>
          <w:szCs w:val="32"/>
        </w:rPr>
      </w:pPr>
      <w:r w:rsidRPr="001040AE">
        <w:rPr>
          <w:rFonts w:ascii="Traditional Arabic" w:hAnsi="Traditional Arabic"/>
          <w:sz w:val="32"/>
          <w:szCs w:val="32"/>
          <w:rtl/>
        </w:rPr>
        <w:t>(</w:t>
      </w:r>
      <w:r w:rsidRPr="001040AE">
        <w:rPr>
          <w:rStyle w:val="ae"/>
          <w:rFonts w:ascii="Traditional Arabic" w:hAnsi="Traditional Arabic"/>
          <w:sz w:val="32"/>
          <w:szCs w:val="32"/>
          <w:vertAlign w:val="baseline"/>
        </w:rPr>
        <w:footnoteRef/>
      </w:r>
      <w:r w:rsidRPr="001040AE">
        <w:rPr>
          <w:rFonts w:ascii="Traditional Arabic" w:hAnsi="Traditional Arabic"/>
          <w:sz w:val="32"/>
          <w:szCs w:val="32"/>
          <w:rtl/>
        </w:rPr>
        <w:t>) معاني القرآن (2/138).</w:t>
      </w:r>
    </w:p>
  </w:footnote>
  <w:footnote w:id="1199">
    <w:p w:rsidR="003F128F" w:rsidRPr="001040AE" w:rsidRDefault="003F128F" w:rsidP="005C21CD">
      <w:pPr>
        <w:pStyle w:val="af3"/>
        <w:rPr>
          <w:rFonts w:ascii="Traditional Arabic" w:hAnsi="Traditional Arabic"/>
          <w:sz w:val="32"/>
          <w:szCs w:val="32"/>
        </w:rPr>
      </w:pPr>
      <w:r w:rsidRPr="001040AE">
        <w:rPr>
          <w:rFonts w:ascii="Traditional Arabic" w:hAnsi="Traditional Arabic"/>
          <w:sz w:val="32"/>
          <w:szCs w:val="32"/>
          <w:rtl/>
        </w:rPr>
        <w:t>(</w:t>
      </w:r>
      <w:r w:rsidRPr="001040AE">
        <w:rPr>
          <w:rStyle w:val="ae"/>
          <w:rFonts w:ascii="Traditional Arabic" w:hAnsi="Traditional Arabic"/>
          <w:sz w:val="32"/>
          <w:szCs w:val="32"/>
          <w:vertAlign w:val="baseline"/>
        </w:rPr>
        <w:footnoteRef/>
      </w:r>
      <w:r w:rsidRPr="001040AE">
        <w:rPr>
          <w:rFonts w:ascii="Traditional Arabic" w:hAnsi="Traditional Arabic"/>
          <w:sz w:val="32"/>
          <w:szCs w:val="32"/>
          <w:rtl/>
        </w:rPr>
        <w:t xml:space="preserve">) مجاز القرآن (1/398).  </w:t>
      </w:r>
    </w:p>
  </w:footnote>
  <w:footnote w:id="1200">
    <w:p w:rsidR="003F128F" w:rsidRPr="00E8694A" w:rsidRDefault="003F128F" w:rsidP="005C21CD">
      <w:pPr>
        <w:pStyle w:val="af3"/>
        <w:rPr>
          <w:rFonts w:ascii="Tahoma" w:hAnsi="Tahoma"/>
        </w:rPr>
      </w:pPr>
      <w:r w:rsidRPr="001040AE">
        <w:rPr>
          <w:rFonts w:ascii="Traditional Arabic" w:hAnsi="Traditional Arabic"/>
          <w:sz w:val="32"/>
          <w:szCs w:val="32"/>
          <w:rtl/>
        </w:rPr>
        <w:t>(</w:t>
      </w:r>
      <w:r w:rsidRPr="001040AE">
        <w:rPr>
          <w:rStyle w:val="ae"/>
          <w:rFonts w:ascii="Traditional Arabic" w:hAnsi="Traditional Arabic"/>
          <w:sz w:val="32"/>
          <w:szCs w:val="32"/>
          <w:vertAlign w:val="baseline"/>
        </w:rPr>
        <w:footnoteRef/>
      </w:r>
      <w:r w:rsidRPr="001040AE">
        <w:rPr>
          <w:rFonts w:ascii="Traditional Arabic" w:hAnsi="Traditional Arabic"/>
          <w:sz w:val="32"/>
          <w:szCs w:val="32"/>
          <w:rtl/>
        </w:rPr>
        <w:t>) الكشف والبيان (6/165), التفسير الوسيط (3/144).</w:t>
      </w:r>
    </w:p>
  </w:footnote>
  <w:footnote w:id="1201">
    <w:p w:rsidR="003F128F" w:rsidRPr="0096171A" w:rsidRDefault="003F128F" w:rsidP="005C21CD">
      <w:pPr>
        <w:pStyle w:val="af3"/>
        <w:rPr>
          <w:rFonts w:ascii="Traditional Arabic" w:hAnsi="Traditional Arabic"/>
          <w:sz w:val="32"/>
          <w:szCs w:val="32"/>
        </w:rPr>
      </w:pPr>
      <w:r w:rsidRPr="0096171A">
        <w:rPr>
          <w:rFonts w:ascii="Traditional Arabic" w:hAnsi="Traditional Arabic"/>
          <w:sz w:val="32"/>
          <w:szCs w:val="32"/>
          <w:rtl/>
        </w:rPr>
        <w:t>(</w:t>
      </w:r>
      <w:r w:rsidRPr="0096171A">
        <w:rPr>
          <w:rStyle w:val="ae"/>
          <w:rFonts w:ascii="Traditional Arabic" w:hAnsi="Traditional Arabic"/>
          <w:sz w:val="32"/>
          <w:szCs w:val="32"/>
          <w:vertAlign w:val="baseline"/>
        </w:rPr>
        <w:footnoteRef/>
      </w:r>
      <w:r w:rsidRPr="0096171A">
        <w:rPr>
          <w:rFonts w:ascii="Traditional Arabic" w:hAnsi="Traditional Arabic"/>
          <w:sz w:val="32"/>
          <w:szCs w:val="32"/>
          <w:rtl/>
        </w:rPr>
        <w:t>) انظر: معاني القرآن وإعرابه (3/278).</w:t>
      </w:r>
    </w:p>
  </w:footnote>
  <w:footnote w:id="1202">
    <w:p w:rsidR="003F128F" w:rsidRPr="0096171A" w:rsidRDefault="003F128F" w:rsidP="00205C94">
      <w:pPr>
        <w:pStyle w:val="af3"/>
        <w:rPr>
          <w:rFonts w:ascii="Traditional Arabic" w:hAnsi="Traditional Arabic"/>
          <w:sz w:val="32"/>
          <w:szCs w:val="32"/>
        </w:rPr>
      </w:pPr>
      <w:r w:rsidRPr="0096171A">
        <w:rPr>
          <w:rFonts w:ascii="Traditional Arabic" w:hAnsi="Traditional Arabic"/>
          <w:sz w:val="32"/>
          <w:szCs w:val="32"/>
          <w:rtl/>
        </w:rPr>
        <w:t>(</w:t>
      </w:r>
      <w:r w:rsidRPr="0096171A">
        <w:rPr>
          <w:rStyle w:val="ae"/>
          <w:rFonts w:ascii="Traditional Arabic" w:hAnsi="Traditional Arabic"/>
          <w:sz w:val="32"/>
          <w:szCs w:val="32"/>
          <w:vertAlign w:val="baseline"/>
        </w:rPr>
        <w:footnoteRef/>
      </w:r>
      <w:r w:rsidRPr="0096171A">
        <w:rPr>
          <w:rFonts w:ascii="Traditional Arabic" w:hAnsi="Traditional Arabic"/>
          <w:sz w:val="32"/>
          <w:szCs w:val="32"/>
          <w:rtl/>
        </w:rPr>
        <w:t>) غريب القرآن (</w:t>
      </w:r>
      <w:r>
        <w:rPr>
          <w:rFonts w:ascii="Traditional Arabic" w:hAnsi="Traditional Arabic" w:hint="cs"/>
          <w:sz w:val="32"/>
          <w:szCs w:val="32"/>
          <w:rtl/>
        </w:rPr>
        <w:t>ص</w:t>
      </w:r>
      <w:r w:rsidRPr="0096171A">
        <w:rPr>
          <w:rFonts w:ascii="Traditional Arabic" w:hAnsi="Traditional Arabic"/>
          <w:sz w:val="32"/>
          <w:szCs w:val="32"/>
          <w:rtl/>
        </w:rPr>
        <w:t>266).</w:t>
      </w:r>
    </w:p>
  </w:footnote>
  <w:footnote w:id="1203">
    <w:p w:rsidR="003F128F" w:rsidRPr="0096171A" w:rsidRDefault="003F128F" w:rsidP="005C21CD">
      <w:pPr>
        <w:pStyle w:val="af3"/>
        <w:rPr>
          <w:rFonts w:ascii="Traditional Arabic" w:hAnsi="Traditional Arabic"/>
          <w:sz w:val="32"/>
          <w:szCs w:val="32"/>
        </w:rPr>
      </w:pPr>
      <w:r w:rsidRPr="0096171A">
        <w:rPr>
          <w:rFonts w:ascii="Traditional Arabic" w:hAnsi="Traditional Arabic"/>
          <w:sz w:val="32"/>
          <w:szCs w:val="32"/>
          <w:rtl/>
        </w:rPr>
        <w:t>(</w:t>
      </w:r>
      <w:r w:rsidRPr="0096171A">
        <w:rPr>
          <w:rStyle w:val="ae"/>
          <w:rFonts w:ascii="Traditional Arabic" w:hAnsi="Traditional Arabic"/>
          <w:sz w:val="32"/>
          <w:szCs w:val="32"/>
          <w:vertAlign w:val="baseline"/>
        </w:rPr>
        <w:footnoteRef/>
      </w:r>
      <w:r w:rsidRPr="0096171A">
        <w:rPr>
          <w:rFonts w:ascii="Traditional Arabic" w:hAnsi="Traditional Arabic"/>
          <w:sz w:val="32"/>
          <w:szCs w:val="32"/>
          <w:rtl/>
        </w:rPr>
        <w:t xml:space="preserve">) انظر: الحجة للقراء السبعة (5/140). </w:t>
      </w:r>
    </w:p>
  </w:footnote>
  <w:footnote w:id="1204">
    <w:p w:rsidR="003F128F" w:rsidRPr="00F712EC" w:rsidRDefault="003F128F" w:rsidP="005C21CD">
      <w:pPr>
        <w:pStyle w:val="af3"/>
        <w:rPr>
          <w:rFonts w:ascii="Traditional Arabic" w:hAnsi="Traditional Arabic"/>
          <w:sz w:val="32"/>
          <w:szCs w:val="32"/>
        </w:rPr>
      </w:pPr>
      <w:r w:rsidRPr="0096171A">
        <w:rPr>
          <w:rFonts w:ascii="Traditional Arabic" w:hAnsi="Traditional Arabic"/>
          <w:sz w:val="32"/>
          <w:szCs w:val="32"/>
          <w:rtl/>
        </w:rPr>
        <w:t>(</w:t>
      </w:r>
      <w:r w:rsidRPr="0096171A">
        <w:rPr>
          <w:rStyle w:val="ae"/>
          <w:rFonts w:ascii="Traditional Arabic" w:hAnsi="Traditional Arabic"/>
          <w:sz w:val="32"/>
          <w:szCs w:val="32"/>
          <w:vertAlign w:val="baseline"/>
        </w:rPr>
        <w:footnoteRef/>
      </w:r>
      <w:r w:rsidRPr="0096171A">
        <w:rPr>
          <w:rFonts w:ascii="Traditional Arabic" w:hAnsi="Traditional Arabic"/>
          <w:sz w:val="32"/>
          <w:szCs w:val="32"/>
          <w:rtl/>
        </w:rPr>
        <w:t xml:space="preserve">) أخرجه الطبري في تفسيره (17/648), وابن أبي حاتم في تفسيره (7/2356), وذكره السيوطي في </w:t>
      </w:r>
      <w:r w:rsidRPr="00F712EC">
        <w:rPr>
          <w:rFonts w:ascii="Traditional Arabic" w:hAnsi="Traditional Arabic"/>
          <w:sz w:val="32"/>
          <w:szCs w:val="32"/>
          <w:rtl/>
        </w:rPr>
        <w:t>الدر  المنثور (5/379), وزاد نسبته لابن أبي شيبة وابن المنذر.</w:t>
      </w:r>
    </w:p>
  </w:footnote>
  <w:footnote w:id="1205">
    <w:p w:rsidR="003F128F" w:rsidRPr="00F712EC" w:rsidRDefault="003F128F" w:rsidP="005C21CD">
      <w:pPr>
        <w:pStyle w:val="af3"/>
        <w:rPr>
          <w:rFonts w:ascii="Traditional Arabic" w:hAnsi="Traditional Arabic"/>
          <w:sz w:val="32"/>
          <w:szCs w:val="32"/>
        </w:rPr>
      </w:pPr>
      <w:r w:rsidRPr="00F712EC">
        <w:rPr>
          <w:rFonts w:ascii="Traditional Arabic" w:hAnsi="Traditional Arabic"/>
          <w:sz w:val="32"/>
          <w:szCs w:val="32"/>
          <w:rtl/>
        </w:rPr>
        <w:t>(</w:t>
      </w:r>
      <w:r w:rsidRPr="00F712EC">
        <w:rPr>
          <w:rStyle w:val="ae"/>
          <w:rFonts w:ascii="Traditional Arabic" w:hAnsi="Traditional Arabic"/>
          <w:sz w:val="32"/>
          <w:szCs w:val="32"/>
          <w:vertAlign w:val="baseline"/>
        </w:rPr>
        <w:footnoteRef/>
      </w:r>
      <w:r>
        <w:rPr>
          <w:rFonts w:ascii="Traditional Arabic" w:hAnsi="Traditional Arabic"/>
          <w:sz w:val="32"/>
          <w:szCs w:val="32"/>
          <w:rtl/>
        </w:rPr>
        <w:t>) في (</w:t>
      </w:r>
      <w:r>
        <w:rPr>
          <w:rFonts w:ascii="Traditional Arabic" w:hAnsi="Traditional Arabic" w:hint="cs"/>
          <w:sz w:val="32"/>
          <w:szCs w:val="32"/>
          <w:rtl/>
        </w:rPr>
        <w:t>ك</w:t>
      </w:r>
      <w:r>
        <w:rPr>
          <w:rFonts w:ascii="Traditional Arabic" w:hAnsi="Traditional Arabic"/>
          <w:sz w:val="32"/>
          <w:szCs w:val="32"/>
          <w:rtl/>
        </w:rPr>
        <w:t xml:space="preserve">): </w:t>
      </w:r>
      <w:r>
        <w:rPr>
          <w:rFonts w:ascii="Traditional Arabic" w:hAnsi="Traditional Arabic" w:hint="cs"/>
          <w:sz w:val="32"/>
          <w:szCs w:val="32"/>
          <w:rtl/>
        </w:rPr>
        <w:t>[</w:t>
      </w:r>
      <w:r>
        <w:rPr>
          <w:rFonts w:ascii="Traditional Arabic" w:hAnsi="Traditional Arabic"/>
          <w:sz w:val="32"/>
          <w:szCs w:val="32"/>
          <w:rtl/>
        </w:rPr>
        <w:t>لما تقدَّم</w:t>
      </w:r>
      <w:r>
        <w:rPr>
          <w:rFonts w:ascii="Traditional Arabic" w:hAnsi="Traditional Arabic" w:hint="cs"/>
          <w:sz w:val="32"/>
          <w:szCs w:val="32"/>
          <w:rtl/>
        </w:rPr>
        <w:t>]</w:t>
      </w:r>
      <w:r>
        <w:rPr>
          <w:rFonts w:ascii="Traditional Arabic" w:hAnsi="Traditional Arabic"/>
          <w:sz w:val="32"/>
          <w:szCs w:val="32"/>
          <w:rtl/>
        </w:rPr>
        <w:t xml:space="preserve"> بدل </w:t>
      </w:r>
      <w:r>
        <w:rPr>
          <w:rFonts w:ascii="Traditional Arabic" w:hAnsi="Traditional Arabic" w:hint="cs"/>
          <w:sz w:val="32"/>
          <w:szCs w:val="32"/>
          <w:rtl/>
        </w:rPr>
        <w:t>[</w:t>
      </w:r>
      <w:r>
        <w:rPr>
          <w:rFonts w:ascii="Traditional Arabic" w:hAnsi="Traditional Arabic"/>
          <w:sz w:val="32"/>
          <w:szCs w:val="32"/>
          <w:rtl/>
        </w:rPr>
        <w:t>بما تقدَّم</w:t>
      </w:r>
      <w:r>
        <w:rPr>
          <w:rFonts w:ascii="Traditional Arabic" w:hAnsi="Traditional Arabic" w:hint="cs"/>
          <w:sz w:val="32"/>
          <w:szCs w:val="32"/>
          <w:rtl/>
        </w:rPr>
        <w:t>]</w:t>
      </w:r>
      <w:r w:rsidRPr="00F712EC">
        <w:rPr>
          <w:rFonts w:ascii="Traditional Arabic" w:hAnsi="Traditional Arabic"/>
          <w:sz w:val="32"/>
          <w:szCs w:val="32"/>
          <w:rtl/>
        </w:rPr>
        <w:t xml:space="preserve">.      </w:t>
      </w:r>
    </w:p>
  </w:footnote>
  <w:footnote w:id="1206">
    <w:p w:rsidR="003F128F" w:rsidRPr="00F712EC" w:rsidRDefault="003F128F" w:rsidP="005C21CD">
      <w:pPr>
        <w:pStyle w:val="af3"/>
        <w:rPr>
          <w:rFonts w:ascii="Traditional Arabic" w:hAnsi="Traditional Arabic"/>
          <w:sz w:val="32"/>
          <w:szCs w:val="32"/>
        </w:rPr>
      </w:pPr>
      <w:r w:rsidRPr="00F712EC">
        <w:rPr>
          <w:rFonts w:ascii="Traditional Arabic" w:hAnsi="Traditional Arabic"/>
          <w:sz w:val="32"/>
          <w:szCs w:val="32"/>
          <w:rtl/>
        </w:rPr>
        <w:t>(</w:t>
      </w:r>
      <w:r w:rsidRPr="00F712EC">
        <w:rPr>
          <w:rStyle w:val="ae"/>
          <w:rFonts w:ascii="Traditional Arabic" w:hAnsi="Traditional Arabic"/>
          <w:sz w:val="32"/>
          <w:szCs w:val="32"/>
          <w:vertAlign w:val="baseline"/>
        </w:rPr>
        <w:footnoteRef/>
      </w:r>
      <w:r w:rsidRPr="00F712EC">
        <w:rPr>
          <w:rFonts w:ascii="Traditional Arabic" w:hAnsi="Traditional Arabic"/>
          <w:sz w:val="32"/>
          <w:szCs w:val="32"/>
          <w:rtl/>
        </w:rPr>
        <w:t>) انظر: التفسير الوسيط (3/144).</w:t>
      </w:r>
    </w:p>
  </w:footnote>
  <w:footnote w:id="1207">
    <w:p w:rsidR="003F128F" w:rsidRPr="00F712EC" w:rsidRDefault="003F128F" w:rsidP="000E1CBB">
      <w:pPr>
        <w:pStyle w:val="af3"/>
        <w:rPr>
          <w:rFonts w:ascii="Traditional Arabic" w:hAnsi="Traditional Arabic"/>
          <w:sz w:val="32"/>
          <w:szCs w:val="32"/>
        </w:rPr>
      </w:pPr>
      <w:r w:rsidRPr="00F712EC">
        <w:rPr>
          <w:rFonts w:ascii="Traditional Arabic" w:hAnsi="Traditional Arabic"/>
          <w:sz w:val="32"/>
          <w:szCs w:val="32"/>
          <w:rtl/>
        </w:rPr>
        <w:t>(</w:t>
      </w:r>
      <w:r w:rsidRPr="00F712EC">
        <w:rPr>
          <w:rStyle w:val="ae"/>
          <w:rFonts w:ascii="Traditional Arabic" w:hAnsi="Traditional Arabic"/>
          <w:sz w:val="32"/>
          <w:szCs w:val="32"/>
          <w:vertAlign w:val="baseline"/>
        </w:rPr>
        <w:footnoteRef/>
      </w:r>
      <w:r w:rsidRPr="00F712EC">
        <w:rPr>
          <w:rFonts w:ascii="Traditional Arabic" w:hAnsi="Traditional Arabic"/>
          <w:sz w:val="32"/>
          <w:szCs w:val="32"/>
          <w:rtl/>
        </w:rPr>
        <w:t>) انظر: الكشف والبيان (6/165), التفسير الوسيط (3/144).</w:t>
      </w:r>
    </w:p>
  </w:footnote>
  <w:footnote w:id="1208">
    <w:p w:rsidR="003F128F" w:rsidRPr="00F712EC" w:rsidRDefault="003F128F" w:rsidP="005C21CD">
      <w:pPr>
        <w:pStyle w:val="af3"/>
        <w:rPr>
          <w:rFonts w:ascii="Traditional Arabic" w:hAnsi="Traditional Arabic"/>
          <w:sz w:val="32"/>
          <w:szCs w:val="32"/>
        </w:rPr>
      </w:pPr>
      <w:r w:rsidRPr="00F712EC">
        <w:rPr>
          <w:rFonts w:ascii="Traditional Arabic" w:hAnsi="Traditional Arabic"/>
          <w:sz w:val="32"/>
          <w:szCs w:val="32"/>
          <w:rtl/>
        </w:rPr>
        <w:t>(</w:t>
      </w:r>
      <w:r w:rsidRPr="00F712EC">
        <w:rPr>
          <w:rStyle w:val="ae"/>
          <w:rFonts w:ascii="Traditional Arabic" w:hAnsi="Traditional Arabic"/>
          <w:sz w:val="32"/>
          <w:szCs w:val="32"/>
          <w:vertAlign w:val="baseline"/>
        </w:rPr>
        <w:footnoteRef/>
      </w:r>
      <w:r>
        <w:rPr>
          <w:rFonts w:ascii="Traditional Arabic" w:hAnsi="Traditional Arabic"/>
          <w:sz w:val="32"/>
          <w:szCs w:val="32"/>
          <w:rtl/>
        </w:rPr>
        <w:t>) في (</w:t>
      </w:r>
      <w:r>
        <w:rPr>
          <w:rFonts w:ascii="Traditional Arabic" w:hAnsi="Traditional Arabic" w:hint="cs"/>
          <w:sz w:val="32"/>
          <w:szCs w:val="32"/>
          <w:rtl/>
        </w:rPr>
        <w:t>ك</w:t>
      </w:r>
      <w:r>
        <w:rPr>
          <w:rFonts w:ascii="Traditional Arabic" w:hAnsi="Traditional Arabic"/>
          <w:sz w:val="32"/>
          <w:szCs w:val="32"/>
          <w:rtl/>
        </w:rPr>
        <w:t xml:space="preserve">): </w:t>
      </w:r>
      <w:r>
        <w:rPr>
          <w:rFonts w:ascii="Traditional Arabic" w:hAnsi="Traditional Arabic" w:hint="cs"/>
          <w:sz w:val="32"/>
          <w:szCs w:val="32"/>
          <w:rtl/>
        </w:rPr>
        <w:t>[</w:t>
      </w:r>
      <w:r w:rsidRPr="00F712EC">
        <w:rPr>
          <w:rFonts w:ascii="Traditional Arabic" w:hAnsi="Traditional Arabic"/>
          <w:sz w:val="32"/>
          <w:szCs w:val="32"/>
          <w:rtl/>
        </w:rPr>
        <w:t>إِن للفتية منذ دخلوا الكهف</w:t>
      </w:r>
      <w:r>
        <w:rPr>
          <w:rFonts w:ascii="Traditional Arabic" w:hAnsi="Traditional Arabic" w:hint="cs"/>
          <w:sz w:val="32"/>
          <w:szCs w:val="32"/>
          <w:rtl/>
        </w:rPr>
        <w:t>]</w:t>
      </w:r>
      <w:r w:rsidRPr="00F712EC">
        <w:rPr>
          <w:rFonts w:ascii="Traditional Arabic" w:hAnsi="Traditional Arabic"/>
          <w:sz w:val="32"/>
          <w:szCs w:val="32"/>
          <w:rtl/>
        </w:rPr>
        <w:t xml:space="preserve">.       </w:t>
      </w:r>
    </w:p>
  </w:footnote>
  <w:footnote w:id="1209">
    <w:p w:rsidR="003F128F" w:rsidRPr="00F712EC" w:rsidRDefault="003F128F" w:rsidP="005C21CD">
      <w:pPr>
        <w:pStyle w:val="af3"/>
        <w:rPr>
          <w:rFonts w:ascii="Traditional Arabic" w:hAnsi="Traditional Arabic"/>
          <w:sz w:val="32"/>
          <w:szCs w:val="32"/>
        </w:rPr>
      </w:pPr>
      <w:r w:rsidRPr="00F712EC">
        <w:rPr>
          <w:rFonts w:ascii="Traditional Arabic" w:hAnsi="Traditional Arabic"/>
          <w:sz w:val="32"/>
          <w:szCs w:val="32"/>
          <w:rtl/>
        </w:rPr>
        <w:t>(</w:t>
      </w:r>
      <w:r w:rsidRPr="00F712EC">
        <w:rPr>
          <w:rStyle w:val="ae"/>
          <w:rFonts w:ascii="Traditional Arabic" w:hAnsi="Traditional Arabic"/>
          <w:sz w:val="32"/>
          <w:szCs w:val="32"/>
          <w:vertAlign w:val="baseline"/>
        </w:rPr>
        <w:footnoteRef/>
      </w:r>
      <w:r w:rsidRPr="00F712EC">
        <w:rPr>
          <w:rFonts w:ascii="Traditional Arabic" w:hAnsi="Traditional Arabic"/>
          <w:sz w:val="32"/>
          <w:szCs w:val="32"/>
          <w:rtl/>
        </w:rPr>
        <w:t>) انظر: الكشف والبيان (6/165), الهداية (6/4360).</w:t>
      </w:r>
    </w:p>
  </w:footnote>
  <w:footnote w:id="1210">
    <w:p w:rsidR="003F128F" w:rsidRPr="002734D7" w:rsidRDefault="003F128F" w:rsidP="005C21CD">
      <w:pPr>
        <w:pStyle w:val="af3"/>
        <w:rPr>
          <w:rFonts w:ascii="Tahoma" w:hAnsi="Tahoma"/>
        </w:rPr>
      </w:pPr>
      <w:r w:rsidRPr="00F712EC">
        <w:rPr>
          <w:rFonts w:ascii="Traditional Arabic" w:hAnsi="Traditional Arabic"/>
          <w:sz w:val="32"/>
          <w:szCs w:val="32"/>
          <w:rtl/>
        </w:rPr>
        <w:t>(</w:t>
      </w:r>
      <w:r w:rsidRPr="00F712EC">
        <w:rPr>
          <w:rStyle w:val="ae"/>
          <w:rFonts w:ascii="Traditional Arabic" w:hAnsi="Traditional Arabic"/>
          <w:sz w:val="32"/>
          <w:szCs w:val="32"/>
          <w:vertAlign w:val="baseline"/>
        </w:rPr>
        <w:footnoteRef/>
      </w:r>
      <w:r w:rsidRPr="00F712EC">
        <w:rPr>
          <w:rFonts w:ascii="Traditional Arabic" w:hAnsi="Traditional Arabic"/>
          <w:sz w:val="32"/>
          <w:szCs w:val="32"/>
          <w:rtl/>
        </w:rPr>
        <w:t>) انظر: النكت والعيون (3/300).</w:t>
      </w:r>
    </w:p>
  </w:footnote>
  <w:footnote w:id="1211">
    <w:p w:rsidR="003F128F" w:rsidRPr="00157461" w:rsidRDefault="003F128F" w:rsidP="005C21CD">
      <w:pPr>
        <w:pStyle w:val="af3"/>
        <w:rPr>
          <w:rFonts w:ascii="Traditional Arabic" w:hAnsi="Traditional Arabic"/>
          <w:sz w:val="32"/>
          <w:szCs w:val="32"/>
        </w:rPr>
      </w:pPr>
      <w:r w:rsidRPr="00157461">
        <w:rPr>
          <w:rFonts w:ascii="Traditional Arabic" w:hAnsi="Traditional Arabic"/>
          <w:sz w:val="32"/>
          <w:szCs w:val="32"/>
          <w:rtl/>
        </w:rPr>
        <w:t>(</w:t>
      </w:r>
      <w:r w:rsidRPr="00157461">
        <w:rPr>
          <w:rStyle w:val="ae"/>
          <w:rFonts w:ascii="Traditional Arabic" w:hAnsi="Traditional Arabic"/>
          <w:sz w:val="32"/>
          <w:szCs w:val="32"/>
          <w:vertAlign w:val="baseline"/>
        </w:rPr>
        <w:footnoteRef/>
      </w:r>
      <w:r w:rsidRPr="00157461">
        <w:rPr>
          <w:rFonts w:ascii="Traditional Arabic" w:hAnsi="Traditional Arabic"/>
          <w:sz w:val="32"/>
          <w:szCs w:val="32"/>
          <w:rtl/>
        </w:rPr>
        <w:t>) انظر: معاني القرآن وإعرابه (3/280).</w:t>
      </w:r>
    </w:p>
  </w:footnote>
  <w:footnote w:id="1212">
    <w:p w:rsidR="003F128F" w:rsidRPr="00157461" w:rsidRDefault="003F128F" w:rsidP="005C21CD">
      <w:pPr>
        <w:pStyle w:val="af3"/>
        <w:rPr>
          <w:rFonts w:ascii="Traditional Arabic" w:hAnsi="Traditional Arabic"/>
          <w:sz w:val="32"/>
          <w:szCs w:val="32"/>
        </w:rPr>
      </w:pPr>
      <w:r w:rsidRPr="00157461">
        <w:rPr>
          <w:rFonts w:ascii="Traditional Arabic" w:hAnsi="Traditional Arabic"/>
          <w:sz w:val="32"/>
          <w:szCs w:val="32"/>
          <w:rtl/>
        </w:rPr>
        <w:t>(</w:t>
      </w:r>
      <w:r w:rsidRPr="00157461">
        <w:rPr>
          <w:rStyle w:val="ae"/>
          <w:rFonts w:ascii="Traditional Arabic" w:hAnsi="Traditional Arabic"/>
          <w:sz w:val="32"/>
          <w:szCs w:val="32"/>
          <w:vertAlign w:val="baseline"/>
        </w:rPr>
        <w:footnoteRef/>
      </w:r>
      <w:r w:rsidRPr="00157461">
        <w:rPr>
          <w:rFonts w:ascii="Traditional Arabic" w:hAnsi="Traditional Arabic"/>
          <w:sz w:val="32"/>
          <w:szCs w:val="32"/>
          <w:rtl/>
        </w:rPr>
        <w:t xml:space="preserve">) انظر: البحر المحيط (7/165), روح المعاني (15/297). </w:t>
      </w:r>
    </w:p>
  </w:footnote>
  <w:footnote w:id="1213">
    <w:p w:rsidR="003F128F" w:rsidRPr="00157461" w:rsidRDefault="003F128F" w:rsidP="000E1CBB">
      <w:pPr>
        <w:pStyle w:val="af3"/>
        <w:rPr>
          <w:rFonts w:ascii="Traditional Arabic" w:hAnsi="Traditional Arabic"/>
          <w:sz w:val="32"/>
          <w:szCs w:val="32"/>
        </w:rPr>
      </w:pPr>
      <w:r w:rsidRPr="00157461">
        <w:rPr>
          <w:rFonts w:ascii="Traditional Arabic" w:hAnsi="Traditional Arabic"/>
          <w:sz w:val="32"/>
          <w:szCs w:val="32"/>
          <w:rtl/>
        </w:rPr>
        <w:t>(</w:t>
      </w:r>
      <w:r w:rsidRPr="00157461">
        <w:rPr>
          <w:rStyle w:val="ae"/>
          <w:rFonts w:ascii="Traditional Arabic" w:hAnsi="Traditional Arabic"/>
          <w:sz w:val="32"/>
          <w:szCs w:val="32"/>
          <w:vertAlign w:val="baseline"/>
        </w:rPr>
        <w:footnoteRef/>
      </w:r>
      <w:r w:rsidRPr="00157461">
        <w:rPr>
          <w:rFonts w:ascii="Traditional Arabic" w:hAnsi="Traditional Arabic"/>
          <w:sz w:val="32"/>
          <w:szCs w:val="32"/>
          <w:rtl/>
        </w:rPr>
        <w:t>) انظر: الكشف والبيان</w:t>
      </w:r>
      <w:r>
        <w:rPr>
          <w:rFonts w:ascii="Traditional Arabic" w:hAnsi="Traditional Arabic"/>
          <w:sz w:val="32"/>
          <w:szCs w:val="32"/>
          <w:rtl/>
        </w:rPr>
        <w:t xml:space="preserve"> (6/165), النكت والعيون (3/300)</w:t>
      </w:r>
      <w:r w:rsidRPr="00157461">
        <w:rPr>
          <w:rFonts w:ascii="Traditional Arabic" w:hAnsi="Traditional Arabic"/>
          <w:sz w:val="32"/>
          <w:szCs w:val="32"/>
          <w:rtl/>
        </w:rPr>
        <w:t>.</w:t>
      </w:r>
    </w:p>
  </w:footnote>
  <w:footnote w:id="1214">
    <w:p w:rsidR="003F128F" w:rsidRPr="00157461" w:rsidRDefault="003F128F" w:rsidP="00205C94">
      <w:pPr>
        <w:pStyle w:val="af3"/>
        <w:rPr>
          <w:rFonts w:ascii="Traditional Arabic" w:hAnsi="Traditional Arabic"/>
          <w:sz w:val="32"/>
          <w:szCs w:val="32"/>
        </w:rPr>
      </w:pPr>
      <w:r w:rsidRPr="00157461">
        <w:rPr>
          <w:rFonts w:ascii="Traditional Arabic" w:hAnsi="Traditional Arabic"/>
          <w:sz w:val="32"/>
          <w:szCs w:val="32"/>
          <w:rtl/>
        </w:rPr>
        <w:t>(</w:t>
      </w:r>
      <w:r w:rsidRPr="00157461">
        <w:rPr>
          <w:rStyle w:val="ae"/>
          <w:rFonts w:ascii="Traditional Arabic" w:hAnsi="Traditional Arabic"/>
          <w:sz w:val="32"/>
          <w:szCs w:val="32"/>
          <w:vertAlign w:val="baseline"/>
        </w:rPr>
        <w:footnoteRef/>
      </w:r>
      <w:r w:rsidRPr="00157461">
        <w:rPr>
          <w:rFonts w:ascii="Traditional Arabic" w:hAnsi="Traditional Arabic"/>
          <w:sz w:val="32"/>
          <w:szCs w:val="32"/>
          <w:rtl/>
        </w:rPr>
        <w:t>)</w:t>
      </w:r>
      <w:r>
        <w:rPr>
          <w:rFonts w:ascii="Traditional Arabic" w:hAnsi="Traditional Arabic" w:hint="cs"/>
          <w:sz w:val="32"/>
          <w:szCs w:val="32"/>
          <w:rtl/>
        </w:rPr>
        <w:t xml:space="preserve"> </w:t>
      </w:r>
      <w:r w:rsidRPr="00157461">
        <w:rPr>
          <w:rFonts w:ascii="Traditional Arabic" w:hAnsi="Traditional Arabic"/>
          <w:sz w:val="32"/>
          <w:szCs w:val="32"/>
          <w:rtl/>
        </w:rPr>
        <w:t>انظر: السبعة في القراءات (ص390), معاني القراءات (2/109).</w:t>
      </w:r>
    </w:p>
  </w:footnote>
  <w:footnote w:id="1215">
    <w:p w:rsidR="003F128F" w:rsidRPr="00157461" w:rsidRDefault="003F128F" w:rsidP="000E1CBB">
      <w:pPr>
        <w:pStyle w:val="af3"/>
        <w:rPr>
          <w:rFonts w:ascii="Traditional Arabic" w:hAnsi="Traditional Arabic"/>
          <w:sz w:val="32"/>
          <w:szCs w:val="32"/>
        </w:rPr>
      </w:pPr>
      <w:r w:rsidRPr="00157461">
        <w:rPr>
          <w:rFonts w:ascii="Traditional Arabic" w:hAnsi="Traditional Arabic"/>
          <w:sz w:val="32"/>
          <w:szCs w:val="32"/>
          <w:rtl/>
        </w:rPr>
        <w:t>(</w:t>
      </w:r>
      <w:r w:rsidRPr="00157461">
        <w:rPr>
          <w:rStyle w:val="ae"/>
          <w:rFonts w:ascii="Traditional Arabic" w:hAnsi="Traditional Arabic"/>
          <w:sz w:val="32"/>
          <w:szCs w:val="32"/>
          <w:vertAlign w:val="baseline"/>
        </w:rPr>
        <w:footnoteRef/>
      </w:r>
      <w:r w:rsidRPr="00157461">
        <w:rPr>
          <w:rFonts w:ascii="Traditional Arabic" w:hAnsi="Traditional Arabic"/>
          <w:sz w:val="32"/>
          <w:szCs w:val="32"/>
          <w:rtl/>
        </w:rPr>
        <w:t>) انظر: تفسير الطب</w:t>
      </w:r>
      <w:r>
        <w:rPr>
          <w:rFonts w:ascii="Traditional Arabic" w:hAnsi="Traditional Arabic"/>
          <w:sz w:val="32"/>
          <w:szCs w:val="32"/>
          <w:rtl/>
        </w:rPr>
        <w:t>ري (17/651), بحر العلوم (2/344)</w:t>
      </w:r>
      <w:r>
        <w:rPr>
          <w:rFonts w:ascii="Traditional Arabic" w:hAnsi="Traditional Arabic" w:hint="cs"/>
          <w:sz w:val="32"/>
          <w:szCs w:val="32"/>
          <w:rtl/>
        </w:rPr>
        <w:t>.</w:t>
      </w:r>
    </w:p>
  </w:footnote>
  <w:footnote w:id="1216">
    <w:p w:rsidR="003F128F" w:rsidRPr="00157461" w:rsidRDefault="003F128F" w:rsidP="000E1CBB">
      <w:pPr>
        <w:pStyle w:val="af3"/>
        <w:rPr>
          <w:rFonts w:ascii="Traditional Arabic" w:hAnsi="Traditional Arabic"/>
          <w:sz w:val="32"/>
          <w:szCs w:val="32"/>
        </w:rPr>
      </w:pPr>
      <w:r w:rsidRPr="00157461">
        <w:rPr>
          <w:rFonts w:ascii="Traditional Arabic" w:hAnsi="Traditional Arabic"/>
          <w:sz w:val="32"/>
          <w:szCs w:val="32"/>
          <w:rtl/>
        </w:rPr>
        <w:t>(</w:t>
      </w:r>
      <w:r w:rsidRPr="00157461">
        <w:rPr>
          <w:rStyle w:val="ae"/>
          <w:rFonts w:ascii="Traditional Arabic" w:hAnsi="Traditional Arabic"/>
          <w:sz w:val="32"/>
          <w:szCs w:val="32"/>
          <w:vertAlign w:val="baseline"/>
        </w:rPr>
        <w:footnoteRef/>
      </w:r>
      <w:r w:rsidRPr="00157461">
        <w:rPr>
          <w:rFonts w:ascii="Traditional Arabic" w:hAnsi="Traditional Arabic"/>
          <w:sz w:val="32"/>
          <w:szCs w:val="32"/>
          <w:rtl/>
        </w:rPr>
        <w:t xml:space="preserve">) انظر: تفسير الطبري </w:t>
      </w:r>
      <w:r>
        <w:rPr>
          <w:rFonts w:ascii="Traditional Arabic" w:hAnsi="Traditional Arabic"/>
          <w:sz w:val="32"/>
          <w:szCs w:val="32"/>
          <w:rtl/>
        </w:rPr>
        <w:t>(17/651), الكشف والبيان (6/165)</w:t>
      </w:r>
      <w:r>
        <w:rPr>
          <w:rFonts w:ascii="Traditional Arabic" w:hAnsi="Traditional Arabic" w:hint="cs"/>
          <w:sz w:val="32"/>
          <w:szCs w:val="32"/>
          <w:rtl/>
        </w:rPr>
        <w:t>.</w:t>
      </w:r>
    </w:p>
  </w:footnote>
  <w:footnote w:id="1217">
    <w:p w:rsidR="003F128F" w:rsidRPr="002709C2" w:rsidRDefault="003F128F" w:rsidP="005C21CD">
      <w:pPr>
        <w:pStyle w:val="af3"/>
        <w:rPr>
          <w:rFonts w:ascii="Tahoma" w:hAnsi="Tahoma"/>
        </w:rPr>
      </w:pPr>
      <w:r w:rsidRPr="00157461">
        <w:rPr>
          <w:rFonts w:ascii="Traditional Arabic" w:hAnsi="Traditional Arabic"/>
          <w:sz w:val="32"/>
          <w:szCs w:val="32"/>
          <w:rtl/>
        </w:rPr>
        <w:t>(</w:t>
      </w:r>
      <w:r w:rsidRPr="00157461">
        <w:rPr>
          <w:rStyle w:val="ae"/>
          <w:rFonts w:ascii="Traditional Arabic" w:hAnsi="Traditional Arabic"/>
          <w:sz w:val="32"/>
          <w:szCs w:val="32"/>
          <w:vertAlign w:val="baseline"/>
        </w:rPr>
        <w:footnoteRef/>
      </w:r>
      <w:r>
        <w:rPr>
          <w:rFonts w:ascii="Traditional Arabic" w:hAnsi="Traditional Arabic"/>
          <w:sz w:val="32"/>
          <w:szCs w:val="32"/>
          <w:rtl/>
        </w:rPr>
        <w:t>) سورة الأنعام, الآية: (115)</w:t>
      </w:r>
      <w:r>
        <w:rPr>
          <w:rFonts w:ascii="Traditional Arabic" w:hAnsi="Traditional Arabic" w:hint="cs"/>
          <w:sz w:val="32"/>
          <w:szCs w:val="32"/>
          <w:rtl/>
        </w:rPr>
        <w:t>.</w:t>
      </w:r>
      <w:r w:rsidRPr="00157461">
        <w:rPr>
          <w:rFonts w:ascii="Traditional Arabic" w:hAnsi="Traditional Arabic"/>
          <w:sz w:val="32"/>
          <w:szCs w:val="32"/>
          <w:rtl/>
        </w:rPr>
        <w:t xml:space="preserve"> انظر: زاد المسير (3/111).</w:t>
      </w:r>
    </w:p>
  </w:footnote>
  <w:footnote w:id="1218">
    <w:p w:rsidR="003F128F" w:rsidRPr="004320A6" w:rsidRDefault="003F128F" w:rsidP="00205C94">
      <w:pPr>
        <w:pStyle w:val="af3"/>
        <w:rPr>
          <w:rFonts w:ascii="Traditional Arabic" w:hAnsi="Traditional Arabic"/>
          <w:sz w:val="32"/>
          <w:szCs w:val="32"/>
        </w:rPr>
      </w:pPr>
      <w:r w:rsidRPr="004320A6">
        <w:rPr>
          <w:rFonts w:ascii="Traditional Arabic" w:hAnsi="Traditional Arabic"/>
          <w:sz w:val="32"/>
          <w:szCs w:val="32"/>
          <w:rtl/>
        </w:rPr>
        <w:t>(</w:t>
      </w:r>
      <w:r w:rsidRPr="004320A6">
        <w:rPr>
          <w:rStyle w:val="ae"/>
          <w:rFonts w:ascii="Traditional Arabic" w:hAnsi="Traditional Arabic"/>
          <w:sz w:val="32"/>
          <w:szCs w:val="32"/>
          <w:vertAlign w:val="baseline"/>
        </w:rPr>
        <w:footnoteRef/>
      </w:r>
      <w:r w:rsidRPr="004320A6">
        <w:rPr>
          <w:rFonts w:ascii="Traditional Arabic" w:hAnsi="Traditional Arabic"/>
          <w:sz w:val="32"/>
          <w:szCs w:val="32"/>
          <w:rtl/>
        </w:rPr>
        <w:t>) تفسير مجاهد</w:t>
      </w:r>
      <w:r>
        <w:rPr>
          <w:rFonts w:ascii="Traditional Arabic" w:hAnsi="Traditional Arabic"/>
          <w:sz w:val="32"/>
          <w:szCs w:val="32"/>
          <w:rtl/>
        </w:rPr>
        <w:t xml:space="preserve"> (ص446), تفسير الطبري (17/651)</w:t>
      </w:r>
      <w:r w:rsidRPr="004320A6">
        <w:rPr>
          <w:rFonts w:ascii="Traditional Arabic" w:hAnsi="Traditional Arabic"/>
          <w:sz w:val="32"/>
          <w:szCs w:val="32"/>
          <w:rtl/>
        </w:rPr>
        <w:t>.</w:t>
      </w:r>
    </w:p>
  </w:footnote>
  <w:footnote w:id="1219">
    <w:p w:rsidR="003F128F" w:rsidRPr="004320A6" w:rsidRDefault="003F128F" w:rsidP="005C21CD">
      <w:pPr>
        <w:pStyle w:val="af3"/>
        <w:rPr>
          <w:rFonts w:ascii="Traditional Arabic" w:hAnsi="Traditional Arabic"/>
          <w:sz w:val="32"/>
          <w:szCs w:val="32"/>
        </w:rPr>
      </w:pPr>
      <w:r w:rsidRPr="004320A6">
        <w:rPr>
          <w:rFonts w:ascii="Traditional Arabic" w:hAnsi="Traditional Arabic"/>
          <w:sz w:val="32"/>
          <w:szCs w:val="32"/>
          <w:rtl/>
        </w:rPr>
        <w:t>(</w:t>
      </w:r>
      <w:r w:rsidRPr="004320A6">
        <w:rPr>
          <w:rStyle w:val="ae"/>
          <w:rFonts w:ascii="Traditional Arabic" w:hAnsi="Traditional Arabic"/>
          <w:sz w:val="32"/>
          <w:szCs w:val="32"/>
          <w:vertAlign w:val="baseline"/>
        </w:rPr>
        <w:footnoteRef/>
      </w:r>
      <w:r w:rsidRPr="004320A6">
        <w:rPr>
          <w:rFonts w:ascii="Traditional Arabic" w:hAnsi="Traditional Arabic"/>
          <w:sz w:val="32"/>
          <w:szCs w:val="32"/>
          <w:rtl/>
        </w:rPr>
        <w:t xml:space="preserve">) معاني القرآن (2/139). </w:t>
      </w:r>
    </w:p>
  </w:footnote>
  <w:footnote w:id="1220">
    <w:p w:rsidR="003F128F" w:rsidRPr="004320A6" w:rsidRDefault="003F128F" w:rsidP="005C21CD">
      <w:pPr>
        <w:pStyle w:val="af3"/>
        <w:rPr>
          <w:rFonts w:ascii="Traditional Arabic" w:hAnsi="Traditional Arabic"/>
          <w:sz w:val="32"/>
          <w:szCs w:val="32"/>
        </w:rPr>
      </w:pPr>
      <w:r w:rsidRPr="004320A6">
        <w:rPr>
          <w:rFonts w:ascii="Traditional Arabic" w:hAnsi="Traditional Arabic"/>
          <w:sz w:val="32"/>
          <w:szCs w:val="32"/>
          <w:rtl/>
        </w:rPr>
        <w:t>(</w:t>
      </w:r>
      <w:r w:rsidRPr="004320A6">
        <w:rPr>
          <w:rStyle w:val="ae"/>
          <w:rFonts w:ascii="Traditional Arabic" w:hAnsi="Traditional Arabic"/>
          <w:sz w:val="32"/>
          <w:szCs w:val="32"/>
          <w:vertAlign w:val="baseline"/>
        </w:rPr>
        <w:footnoteRef/>
      </w:r>
      <w:r w:rsidRPr="004320A6">
        <w:rPr>
          <w:rFonts w:ascii="Traditional Arabic" w:hAnsi="Traditional Arabic"/>
          <w:sz w:val="32"/>
          <w:szCs w:val="32"/>
          <w:rtl/>
        </w:rPr>
        <w:t>) معاني القرآن وإعرابه (3/280).</w:t>
      </w:r>
    </w:p>
  </w:footnote>
  <w:footnote w:id="1221">
    <w:p w:rsidR="003F128F" w:rsidRPr="004320A6" w:rsidRDefault="003F128F" w:rsidP="00205C94">
      <w:pPr>
        <w:pStyle w:val="af3"/>
        <w:rPr>
          <w:rFonts w:ascii="Traditional Arabic" w:hAnsi="Traditional Arabic"/>
          <w:sz w:val="32"/>
          <w:szCs w:val="32"/>
        </w:rPr>
      </w:pPr>
      <w:r w:rsidRPr="004320A6">
        <w:rPr>
          <w:rFonts w:ascii="Traditional Arabic" w:hAnsi="Traditional Arabic"/>
          <w:sz w:val="32"/>
          <w:szCs w:val="32"/>
          <w:rtl/>
        </w:rPr>
        <w:t>(</w:t>
      </w:r>
      <w:r w:rsidRPr="004320A6">
        <w:rPr>
          <w:rStyle w:val="ae"/>
          <w:rFonts w:ascii="Traditional Arabic" w:hAnsi="Traditional Arabic"/>
          <w:sz w:val="32"/>
          <w:szCs w:val="32"/>
          <w:vertAlign w:val="baseline"/>
        </w:rPr>
        <w:footnoteRef/>
      </w:r>
      <w:r w:rsidRPr="004320A6">
        <w:rPr>
          <w:rFonts w:ascii="Traditional Arabic" w:hAnsi="Traditional Arabic"/>
          <w:sz w:val="32"/>
          <w:szCs w:val="32"/>
          <w:rtl/>
        </w:rPr>
        <w:t>) انظر: الكشف وا</w:t>
      </w:r>
      <w:r>
        <w:rPr>
          <w:rFonts w:ascii="Traditional Arabic" w:hAnsi="Traditional Arabic"/>
          <w:sz w:val="32"/>
          <w:szCs w:val="32"/>
          <w:rtl/>
        </w:rPr>
        <w:t>لبيان (6/165), الهداية (6/4364)</w:t>
      </w:r>
      <w:r>
        <w:rPr>
          <w:rFonts w:ascii="Traditional Arabic" w:hAnsi="Traditional Arabic" w:hint="cs"/>
          <w:sz w:val="32"/>
          <w:szCs w:val="32"/>
          <w:rtl/>
        </w:rPr>
        <w:t>.</w:t>
      </w:r>
    </w:p>
  </w:footnote>
  <w:footnote w:id="1222">
    <w:p w:rsidR="003F128F" w:rsidRPr="004320A6" w:rsidRDefault="003F128F" w:rsidP="005C21CD">
      <w:pPr>
        <w:pStyle w:val="af3"/>
        <w:rPr>
          <w:rFonts w:ascii="Traditional Arabic" w:hAnsi="Traditional Arabic"/>
          <w:sz w:val="32"/>
          <w:szCs w:val="32"/>
        </w:rPr>
      </w:pPr>
      <w:r w:rsidRPr="004320A6">
        <w:rPr>
          <w:rFonts w:ascii="Traditional Arabic" w:hAnsi="Traditional Arabic"/>
          <w:sz w:val="32"/>
          <w:szCs w:val="32"/>
          <w:rtl/>
        </w:rPr>
        <w:t>(</w:t>
      </w:r>
      <w:r w:rsidRPr="004320A6">
        <w:rPr>
          <w:rStyle w:val="ae"/>
          <w:rFonts w:ascii="Traditional Arabic" w:hAnsi="Traditional Arabic"/>
          <w:sz w:val="32"/>
          <w:szCs w:val="32"/>
          <w:vertAlign w:val="baseline"/>
        </w:rPr>
        <w:footnoteRef/>
      </w:r>
      <w:r w:rsidRPr="004320A6">
        <w:rPr>
          <w:rFonts w:ascii="Traditional Arabic" w:hAnsi="Traditional Arabic"/>
          <w:sz w:val="32"/>
          <w:szCs w:val="32"/>
          <w:rtl/>
        </w:rPr>
        <w:t>) هو أبو مالك</w:t>
      </w:r>
      <w:r>
        <w:rPr>
          <w:rFonts w:ascii="Traditional Arabic" w:hAnsi="Traditional Arabic" w:hint="cs"/>
          <w:sz w:val="32"/>
          <w:szCs w:val="32"/>
          <w:rtl/>
        </w:rPr>
        <w:t>,</w:t>
      </w:r>
      <w:r w:rsidRPr="004320A6">
        <w:rPr>
          <w:rFonts w:ascii="Traditional Arabic" w:hAnsi="Traditional Arabic"/>
          <w:sz w:val="32"/>
          <w:szCs w:val="32"/>
          <w:rtl/>
        </w:rPr>
        <w:t xml:space="preserve"> عيينة بن حصين بن حذيفة بن بدر الفزاري,  أسلم بعد الفتح، وقيل: قبله، وشهد حنينًا والطائف، وكان من المؤلفة, والأعراب الجفاة، ارتد وتبع طليحة الأسدي، وقاتل معه، فأسره الصحابة، وحملوه إلى أبى بكر الصديق، رضى الله عنه، فأسلم فأطلقه, لم أقف على سنة وفاته. انظر:</w:t>
      </w:r>
      <w:r w:rsidRPr="004320A6">
        <w:rPr>
          <w:rFonts w:ascii="Traditional Arabic" w:hAnsi="Traditional Arabic"/>
          <w:sz w:val="32"/>
          <w:szCs w:val="32"/>
          <w:rtl/>
          <w:lang w:eastAsia="en-US"/>
        </w:rPr>
        <w:t xml:space="preserve"> </w:t>
      </w:r>
      <w:r w:rsidRPr="004320A6">
        <w:rPr>
          <w:rFonts w:ascii="Traditional Arabic" w:hAnsi="Traditional Arabic"/>
          <w:sz w:val="32"/>
          <w:szCs w:val="32"/>
          <w:rtl/>
        </w:rPr>
        <w:t>غوامض الأسماء المبهمة لابي القاسم (1/329), تهذيب الأسماء واللغات (2/48).</w:t>
      </w:r>
    </w:p>
  </w:footnote>
  <w:footnote w:id="1223">
    <w:p w:rsidR="003F128F" w:rsidRPr="004320A6" w:rsidRDefault="003F128F" w:rsidP="005C21CD">
      <w:pPr>
        <w:pStyle w:val="af3"/>
        <w:rPr>
          <w:rFonts w:ascii="Traditional Arabic" w:hAnsi="Traditional Arabic"/>
          <w:sz w:val="32"/>
          <w:szCs w:val="32"/>
        </w:rPr>
      </w:pPr>
      <w:r w:rsidRPr="004320A6">
        <w:rPr>
          <w:rFonts w:ascii="Traditional Arabic" w:hAnsi="Traditional Arabic"/>
          <w:color w:val="auto"/>
          <w:sz w:val="32"/>
          <w:szCs w:val="32"/>
          <w:rtl/>
        </w:rPr>
        <w:t>(</w:t>
      </w:r>
      <w:r w:rsidRPr="004320A6">
        <w:rPr>
          <w:rStyle w:val="ae"/>
          <w:rFonts w:ascii="Traditional Arabic" w:hAnsi="Traditional Arabic"/>
          <w:color w:val="auto"/>
          <w:sz w:val="32"/>
          <w:szCs w:val="32"/>
          <w:vertAlign w:val="baseline"/>
        </w:rPr>
        <w:footnoteRef/>
      </w:r>
      <w:r w:rsidRPr="004320A6">
        <w:rPr>
          <w:rFonts w:ascii="Traditional Arabic" w:hAnsi="Traditional Arabic"/>
          <w:color w:val="auto"/>
          <w:sz w:val="32"/>
          <w:szCs w:val="32"/>
          <w:rtl/>
        </w:rPr>
        <w:t xml:space="preserve">) </w:t>
      </w:r>
      <w:r w:rsidRPr="004320A6">
        <w:rPr>
          <w:rFonts w:ascii="Traditional Arabic" w:hAnsi="Traditional Arabic"/>
          <w:sz w:val="32"/>
          <w:szCs w:val="32"/>
          <w:rtl/>
        </w:rPr>
        <w:t xml:space="preserve">هو صاحب رسول الله </w:t>
      </w:r>
      <w:r w:rsidRPr="004320A6">
        <w:rPr>
          <w:rFonts w:ascii="Traditional Arabic" w:hAnsi="Traditional Arabic"/>
          <w:sz w:val="32"/>
          <w:szCs w:val="32"/>
        </w:rPr>
        <w:sym w:font="AGA Arabesque" w:char="F072"/>
      </w:r>
      <w:r>
        <w:rPr>
          <w:rFonts w:ascii="Traditional Arabic" w:hAnsi="Traditional Arabic" w:hint="cs"/>
          <w:sz w:val="32"/>
          <w:szCs w:val="32"/>
          <w:rtl/>
        </w:rPr>
        <w:t>,</w:t>
      </w:r>
      <w:r w:rsidRPr="004320A6">
        <w:rPr>
          <w:rFonts w:ascii="Traditional Arabic" w:hAnsi="Traditional Arabic"/>
          <w:sz w:val="32"/>
          <w:szCs w:val="32"/>
          <w:rtl/>
        </w:rPr>
        <w:t xml:space="preserve"> </w:t>
      </w:r>
      <w:r w:rsidRPr="004320A6">
        <w:rPr>
          <w:rFonts w:ascii="Traditional Arabic" w:hAnsi="Traditional Arabic"/>
          <w:color w:val="auto"/>
          <w:sz w:val="32"/>
          <w:szCs w:val="32"/>
          <w:rtl/>
          <w:lang w:eastAsia="en-US"/>
        </w:rPr>
        <w:t>الأقرع بن حابس بن عقال بن محمد</w:t>
      </w:r>
      <w:r w:rsidRPr="004320A6">
        <w:rPr>
          <w:rFonts w:ascii="Traditional Arabic" w:hAnsi="Traditional Arabic"/>
          <w:sz w:val="32"/>
          <w:szCs w:val="32"/>
          <w:rtl/>
        </w:rPr>
        <w:t xml:space="preserve"> التميمي, المجاشعي, أحد المؤلفة قلوبهم,</w:t>
      </w:r>
      <w:r w:rsidRPr="004320A6">
        <w:rPr>
          <w:rFonts w:ascii="Traditional Arabic" w:hAnsi="Traditional Arabic"/>
          <w:b/>
          <w:bCs/>
          <w:sz w:val="32"/>
          <w:szCs w:val="32"/>
          <w:rtl/>
          <w:lang w:eastAsia="en-US"/>
        </w:rPr>
        <w:t xml:space="preserve"> </w:t>
      </w:r>
      <w:r w:rsidRPr="004320A6">
        <w:rPr>
          <w:rFonts w:ascii="Traditional Arabic" w:hAnsi="Traditional Arabic"/>
          <w:sz w:val="32"/>
          <w:szCs w:val="32"/>
          <w:rtl/>
        </w:rPr>
        <w:t>وقد حسن إسلامه, وهو أحد الأشراف, كان كبيرا في قومه, قيل: اسمه فراس بن حابس, ولقب الأقرع لقرع برأسه, (ت13ه). انظر: طبقات ابن سعد (7/27), اسد الغابة (1/264), سير أعلام النبلاء (2/137), الإصابة (1/252).</w:t>
      </w:r>
    </w:p>
  </w:footnote>
  <w:footnote w:id="1224">
    <w:p w:rsidR="003F128F" w:rsidRPr="00ED06D0" w:rsidRDefault="003F128F" w:rsidP="005C21CD">
      <w:pPr>
        <w:pStyle w:val="af3"/>
        <w:rPr>
          <w:rFonts w:ascii="Traditional Arabic" w:hAnsi="Traditional Arabic"/>
          <w:sz w:val="32"/>
          <w:szCs w:val="32"/>
        </w:rPr>
      </w:pPr>
      <w:r w:rsidRPr="00ED06D0">
        <w:rPr>
          <w:rFonts w:ascii="Traditional Arabic" w:hAnsi="Traditional Arabic"/>
          <w:sz w:val="32"/>
          <w:szCs w:val="32"/>
          <w:rtl/>
        </w:rPr>
        <w:t>(</w:t>
      </w:r>
      <w:r w:rsidRPr="00ED06D0">
        <w:rPr>
          <w:rStyle w:val="ae"/>
          <w:rFonts w:ascii="Traditional Arabic" w:hAnsi="Traditional Arabic"/>
          <w:sz w:val="32"/>
          <w:szCs w:val="32"/>
          <w:vertAlign w:val="baseline"/>
        </w:rPr>
        <w:footnoteRef/>
      </w:r>
      <w:r>
        <w:rPr>
          <w:rFonts w:ascii="Traditional Arabic" w:hAnsi="Traditional Arabic"/>
          <w:sz w:val="32"/>
          <w:szCs w:val="32"/>
          <w:rtl/>
        </w:rPr>
        <w:t>) في (</w:t>
      </w:r>
      <w:r>
        <w:rPr>
          <w:rFonts w:ascii="Traditional Arabic" w:hAnsi="Traditional Arabic" w:hint="cs"/>
          <w:sz w:val="32"/>
          <w:szCs w:val="32"/>
          <w:rtl/>
        </w:rPr>
        <w:t>ك</w:t>
      </w:r>
      <w:r>
        <w:rPr>
          <w:rFonts w:ascii="Traditional Arabic" w:hAnsi="Traditional Arabic"/>
          <w:sz w:val="32"/>
          <w:szCs w:val="32"/>
          <w:rtl/>
        </w:rPr>
        <w:t xml:space="preserve">): </w:t>
      </w:r>
      <w:r>
        <w:rPr>
          <w:rFonts w:ascii="Traditional Arabic" w:hAnsi="Traditional Arabic" w:hint="cs"/>
          <w:sz w:val="32"/>
          <w:szCs w:val="32"/>
          <w:rtl/>
        </w:rPr>
        <w:t>[</w:t>
      </w:r>
      <w:r w:rsidRPr="00ED06D0">
        <w:rPr>
          <w:rFonts w:ascii="Traditional Arabic" w:hAnsi="Traditional Arabic"/>
          <w:sz w:val="32"/>
          <w:szCs w:val="32"/>
          <w:rtl/>
        </w:rPr>
        <w:t>فقالوا: يا رسول الله:</w:t>
      </w:r>
      <w:r>
        <w:rPr>
          <w:rFonts w:ascii="Traditional Arabic" w:hAnsi="Traditional Arabic"/>
          <w:sz w:val="32"/>
          <w:szCs w:val="32"/>
          <w:rtl/>
        </w:rPr>
        <w:t xml:space="preserve"> </w:t>
      </w:r>
      <w:r>
        <w:rPr>
          <w:rFonts w:ascii="Traditional Arabic" w:hAnsi="Traditional Arabic" w:hint="cs"/>
          <w:sz w:val="32"/>
          <w:szCs w:val="32"/>
          <w:rtl/>
        </w:rPr>
        <w:t>إ</w:t>
      </w:r>
      <w:r>
        <w:rPr>
          <w:rFonts w:ascii="Traditional Arabic" w:hAnsi="Traditional Arabic"/>
          <w:sz w:val="32"/>
          <w:szCs w:val="32"/>
          <w:rtl/>
        </w:rPr>
        <w:t>نك لو جلست</w:t>
      </w:r>
      <w:r>
        <w:rPr>
          <w:rFonts w:ascii="Traditional Arabic" w:hAnsi="Traditional Arabic" w:hint="cs"/>
          <w:sz w:val="32"/>
          <w:szCs w:val="32"/>
          <w:rtl/>
        </w:rPr>
        <w:t>]</w:t>
      </w:r>
      <w:r w:rsidRPr="00ED06D0">
        <w:rPr>
          <w:rFonts w:ascii="Traditional Arabic" w:hAnsi="Traditional Arabic"/>
          <w:sz w:val="32"/>
          <w:szCs w:val="32"/>
          <w:rtl/>
        </w:rPr>
        <w:t xml:space="preserve">.       </w:t>
      </w:r>
    </w:p>
  </w:footnote>
  <w:footnote w:id="1225">
    <w:p w:rsidR="003F128F" w:rsidRPr="00567690" w:rsidRDefault="003F128F" w:rsidP="00205C94">
      <w:pPr>
        <w:ind w:firstLine="0"/>
        <w:rPr>
          <w:rFonts w:ascii="Traditional Arabic" w:hAnsi="Traditional Arabic"/>
          <w:sz w:val="32"/>
          <w:szCs w:val="32"/>
        </w:rPr>
      </w:pPr>
      <w:r w:rsidRPr="004320A6">
        <w:rPr>
          <w:rFonts w:ascii="Traditional Arabic" w:hAnsi="Traditional Arabic"/>
          <w:sz w:val="32"/>
          <w:szCs w:val="32"/>
          <w:rtl/>
        </w:rPr>
        <w:t>(</w:t>
      </w:r>
      <w:r w:rsidRPr="004320A6">
        <w:rPr>
          <w:rStyle w:val="ae"/>
          <w:rFonts w:ascii="Traditional Arabic" w:hAnsi="Traditional Arabic"/>
          <w:sz w:val="32"/>
          <w:szCs w:val="32"/>
          <w:vertAlign w:val="baseline"/>
        </w:rPr>
        <w:footnoteRef/>
      </w:r>
      <w:r w:rsidRPr="004320A6">
        <w:rPr>
          <w:rFonts w:ascii="Traditional Arabic" w:hAnsi="Traditional Arabic"/>
          <w:sz w:val="32"/>
          <w:szCs w:val="32"/>
          <w:rtl/>
        </w:rPr>
        <w:t>) أخرجه الطبري (18/7), وأبو نعيم في حلية الأولياء (1/345), والبيهقي في شعب الإيمان (13/99</w:t>
      </w:r>
      <w:r>
        <w:rPr>
          <w:rFonts w:ascii="Traditional Arabic" w:hAnsi="Traditional Arabic" w:hint="cs"/>
          <w:sz w:val="32"/>
          <w:szCs w:val="32"/>
          <w:rtl/>
        </w:rPr>
        <w:t xml:space="preserve"> ح10012</w:t>
      </w:r>
      <w:r w:rsidRPr="004320A6">
        <w:rPr>
          <w:rFonts w:ascii="Traditional Arabic" w:hAnsi="Traditional Arabic"/>
          <w:sz w:val="32"/>
          <w:szCs w:val="32"/>
          <w:rtl/>
        </w:rPr>
        <w:t>), والواحدي في أسباب النزول (ص214), والوسيط (3/145), وذكره السيوطي في الدر  المنثور (5/379), وزاد نسبته لابن مردويه. قال في كتاب الاستيعاب عن هذا الحديث: ضعيف جداً. انظر</w:t>
      </w:r>
      <w:r w:rsidRPr="00190082">
        <w:rPr>
          <w:rFonts w:ascii="Traditional Arabic" w:hAnsi="Traditional Arabic"/>
          <w:sz w:val="32"/>
          <w:szCs w:val="32"/>
          <w:rtl/>
        </w:rPr>
        <w:t xml:space="preserve">: </w:t>
      </w:r>
      <w:r w:rsidRPr="00567690">
        <w:rPr>
          <w:rFonts w:ascii="Traditional Arabic" w:hAnsi="Traditional Arabic"/>
          <w:sz w:val="32"/>
          <w:szCs w:val="32"/>
          <w:rtl/>
        </w:rPr>
        <w:t>الاستيعاب في بيان الأسباب (2/473).</w:t>
      </w:r>
    </w:p>
  </w:footnote>
  <w:footnote w:id="1226">
    <w:p w:rsidR="003F128F" w:rsidRPr="00567690" w:rsidRDefault="003F128F" w:rsidP="000E1CBB">
      <w:pPr>
        <w:pStyle w:val="af3"/>
        <w:rPr>
          <w:rFonts w:ascii="Traditional Arabic" w:hAnsi="Traditional Arabic"/>
          <w:sz w:val="32"/>
          <w:szCs w:val="32"/>
        </w:rPr>
      </w:pPr>
      <w:r w:rsidRPr="00567690">
        <w:rPr>
          <w:rFonts w:ascii="Traditional Arabic" w:hAnsi="Traditional Arabic"/>
          <w:sz w:val="32"/>
          <w:szCs w:val="32"/>
          <w:rtl/>
        </w:rPr>
        <w:t>(</w:t>
      </w:r>
      <w:r w:rsidRPr="00567690">
        <w:rPr>
          <w:rStyle w:val="ae"/>
          <w:rFonts w:ascii="Traditional Arabic" w:hAnsi="Traditional Arabic"/>
          <w:sz w:val="32"/>
          <w:szCs w:val="32"/>
          <w:vertAlign w:val="baseline"/>
        </w:rPr>
        <w:footnoteRef/>
      </w:r>
      <w:r w:rsidRPr="00567690">
        <w:rPr>
          <w:rFonts w:ascii="Traditional Arabic" w:hAnsi="Traditional Arabic"/>
          <w:sz w:val="32"/>
          <w:szCs w:val="32"/>
          <w:rtl/>
        </w:rPr>
        <w:t>) انظر: تفسير مقاتل (2/5</w:t>
      </w:r>
      <w:r>
        <w:rPr>
          <w:rFonts w:ascii="Traditional Arabic" w:hAnsi="Traditional Arabic"/>
          <w:sz w:val="32"/>
          <w:szCs w:val="32"/>
          <w:rtl/>
        </w:rPr>
        <w:t>82), تفسير عبد الرزاق (2/331)</w:t>
      </w:r>
      <w:r>
        <w:rPr>
          <w:rFonts w:ascii="Traditional Arabic" w:hAnsi="Traditional Arabic" w:hint="cs"/>
          <w:sz w:val="32"/>
          <w:szCs w:val="32"/>
          <w:rtl/>
        </w:rPr>
        <w:t>.</w:t>
      </w:r>
    </w:p>
  </w:footnote>
  <w:footnote w:id="1227">
    <w:p w:rsidR="003F128F" w:rsidRPr="00567690" w:rsidRDefault="003F128F" w:rsidP="005C21CD">
      <w:pPr>
        <w:pStyle w:val="af3"/>
        <w:rPr>
          <w:rFonts w:ascii="Traditional Arabic" w:hAnsi="Traditional Arabic"/>
          <w:sz w:val="32"/>
          <w:szCs w:val="32"/>
        </w:rPr>
      </w:pPr>
      <w:r w:rsidRPr="00567690">
        <w:rPr>
          <w:rFonts w:ascii="Traditional Arabic" w:hAnsi="Traditional Arabic"/>
          <w:sz w:val="32"/>
          <w:szCs w:val="32"/>
          <w:rtl/>
        </w:rPr>
        <w:t>(</w:t>
      </w:r>
      <w:r w:rsidRPr="00567690">
        <w:rPr>
          <w:rStyle w:val="ae"/>
          <w:rFonts w:ascii="Traditional Arabic" w:hAnsi="Traditional Arabic"/>
          <w:sz w:val="32"/>
          <w:szCs w:val="32"/>
          <w:vertAlign w:val="baseline"/>
        </w:rPr>
        <w:footnoteRef/>
      </w:r>
      <w:r>
        <w:rPr>
          <w:rFonts w:ascii="Traditional Arabic" w:hAnsi="Traditional Arabic"/>
          <w:sz w:val="32"/>
          <w:szCs w:val="32"/>
          <w:rtl/>
        </w:rPr>
        <w:t>) سورة الأنعام, الآية: (53)</w:t>
      </w:r>
      <w:r>
        <w:rPr>
          <w:rFonts w:ascii="Traditional Arabic" w:hAnsi="Traditional Arabic" w:hint="cs"/>
          <w:sz w:val="32"/>
          <w:szCs w:val="32"/>
          <w:rtl/>
        </w:rPr>
        <w:t>.</w:t>
      </w:r>
      <w:r w:rsidRPr="00567690">
        <w:rPr>
          <w:rFonts w:ascii="Traditional Arabic" w:hAnsi="Traditional Arabic"/>
          <w:sz w:val="32"/>
          <w:szCs w:val="32"/>
          <w:rtl/>
        </w:rPr>
        <w:t xml:space="preserve"> انظر: زاد المسير (3/44-47).</w:t>
      </w:r>
    </w:p>
  </w:footnote>
  <w:footnote w:id="1228">
    <w:p w:rsidR="003F128F" w:rsidRPr="00567690" w:rsidRDefault="003F128F" w:rsidP="000E1CBB">
      <w:pPr>
        <w:pStyle w:val="af3"/>
        <w:rPr>
          <w:rFonts w:ascii="Traditional Arabic" w:hAnsi="Traditional Arabic"/>
          <w:sz w:val="32"/>
          <w:szCs w:val="32"/>
        </w:rPr>
      </w:pPr>
      <w:r w:rsidRPr="00567690">
        <w:rPr>
          <w:rFonts w:ascii="Traditional Arabic" w:hAnsi="Traditional Arabic"/>
          <w:sz w:val="32"/>
          <w:szCs w:val="32"/>
          <w:rtl/>
        </w:rPr>
        <w:t>(</w:t>
      </w:r>
      <w:r w:rsidRPr="00567690">
        <w:rPr>
          <w:rStyle w:val="ae"/>
          <w:rFonts w:ascii="Traditional Arabic" w:hAnsi="Traditional Arabic"/>
          <w:sz w:val="32"/>
          <w:szCs w:val="32"/>
          <w:vertAlign w:val="baseline"/>
        </w:rPr>
        <w:footnoteRef/>
      </w:r>
      <w:r w:rsidRPr="00567690">
        <w:rPr>
          <w:rFonts w:ascii="Traditional Arabic" w:hAnsi="Traditional Arabic"/>
          <w:sz w:val="32"/>
          <w:szCs w:val="32"/>
          <w:rtl/>
        </w:rPr>
        <w:t>) انظر: تفسير ال</w:t>
      </w:r>
      <w:r>
        <w:rPr>
          <w:rFonts w:ascii="Traditional Arabic" w:hAnsi="Traditional Arabic"/>
          <w:sz w:val="32"/>
          <w:szCs w:val="32"/>
          <w:rtl/>
        </w:rPr>
        <w:t>طبري (18/5), بحر العلوم (2/344)</w:t>
      </w:r>
      <w:r>
        <w:rPr>
          <w:rFonts w:ascii="Traditional Arabic" w:hAnsi="Traditional Arabic" w:hint="cs"/>
          <w:sz w:val="32"/>
          <w:szCs w:val="32"/>
          <w:rtl/>
        </w:rPr>
        <w:t>.</w:t>
      </w:r>
    </w:p>
  </w:footnote>
  <w:footnote w:id="1229">
    <w:p w:rsidR="003F128F" w:rsidRPr="00ED06D0" w:rsidRDefault="003F128F" w:rsidP="00205C94">
      <w:pPr>
        <w:pStyle w:val="af3"/>
        <w:rPr>
          <w:rFonts w:ascii="Traditional Arabic" w:hAnsi="Traditional Arabic"/>
          <w:sz w:val="32"/>
          <w:szCs w:val="32"/>
        </w:rPr>
      </w:pPr>
      <w:r w:rsidRPr="00ED06D0">
        <w:rPr>
          <w:rFonts w:ascii="Traditional Arabic" w:hAnsi="Traditional Arabic"/>
          <w:sz w:val="32"/>
          <w:szCs w:val="32"/>
          <w:rtl/>
        </w:rPr>
        <w:t>(</w:t>
      </w:r>
      <w:r w:rsidRPr="00ED06D0">
        <w:rPr>
          <w:rStyle w:val="ae"/>
          <w:rFonts w:ascii="Traditional Arabic" w:hAnsi="Traditional Arabic"/>
          <w:sz w:val="32"/>
          <w:szCs w:val="32"/>
          <w:vertAlign w:val="baseline"/>
        </w:rPr>
        <w:footnoteRef/>
      </w:r>
      <w:r>
        <w:rPr>
          <w:rFonts w:ascii="Traditional Arabic" w:hAnsi="Traditional Arabic"/>
          <w:sz w:val="32"/>
          <w:szCs w:val="32"/>
          <w:rtl/>
        </w:rPr>
        <w:t xml:space="preserve">) في </w:t>
      </w:r>
      <w:r>
        <w:rPr>
          <w:rFonts w:ascii="Traditional Arabic" w:hAnsi="Traditional Arabic" w:hint="cs"/>
          <w:sz w:val="32"/>
          <w:szCs w:val="32"/>
          <w:rtl/>
        </w:rPr>
        <w:t>الأصل:</w:t>
      </w:r>
      <w:r>
        <w:rPr>
          <w:rFonts w:ascii="Traditional Arabic" w:hAnsi="Traditional Arabic"/>
          <w:sz w:val="32"/>
          <w:szCs w:val="32"/>
          <w:rtl/>
        </w:rPr>
        <w:t xml:space="preserve"> </w:t>
      </w:r>
      <w:r>
        <w:rPr>
          <w:rFonts w:ascii="Traditional Arabic" w:hAnsi="Traditional Arabic" w:hint="cs"/>
          <w:sz w:val="32"/>
          <w:szCs w:val="32"/>
          <w:rtl/>
        </w:rPr>
        <w:t>[</w:t>
      </w:r>
      <w:r>
        <w:rPr>
          <w:rFonts w:ascii="Traditional Arabic" w:hAnsi="Traditional Arabic"/>
          <w:sz w:val="32"/>
          <w:szCs w:val="32"/>
          <w:rtl/>
        </w:rPr>
        <w:t>أن أُمية بن عمرو</w:t>
      </w:r>
      <w:r>
        <w:rPr>
          <w:rFonts w:ascii="Traditional Arabic" w:hAnsi="Traditional Arabic" w:hint="cs"/>
          <w:sz w:val="32"/>
          <w:szCs w:val="32"/>
          <w:rtl/>
        </w:rPr>
        <w:t>], والمثبت من (ك) وهو موافق لما في مصادر الحديث.</w:t>
      </w:r>
    </w:p>
  </w:footnote>
  <w:footnote w:id="1230">
    <w:p w:rsidR="003F128F" w:rsidRPr="00567690" w:rsidRDefault="003F128F" w:rsidP="00205C94">
      <w:pPr>
        <w:ind w:firstLine="0"/>
        <w:rPr>
          <w:rFonts w:ascii="Traditional Arabic" w:hAnsi="Traditional Arabic"/>
          <w:sz w:val="32"/>
          <w:szCs w:val="32"/>
        </w:rPr>
      </w:pPr>
      <w:r w:rsidRPr="00567690">
        <w:rPr>
          <w:rFonts w:ascii="Traditional Arabic" w:hAnsi="Traditional Arabic"/>
          <w:sz w:val="32"/>
          <w:szCs w:val="32"/>
          <w:rtl/>
        </w:rPr>
        <w:t>(</w:t>
      </w:r>
      <w:r w:rsidRPr="00567690">
        <w:rPr>
          <w:rStyle w:val="ae"/>
          <w:rFonts w:ascii="Traditional Arabic" w:hAnsi="Traditional Arabic"/>
          <w:sz w:val="32"/>
          <w:szCs w:val="32"/>
          <w:vertAlign w:val="baseline"/>
        </w:rPr>
        <w:footnoteRef/>
      </w:r>
      <w:r w:rsidRPr="00567690">
        <w:rPr>
          <w:rFonts w:ascii="Traditional Arabic" w:hAnsi="Traditional Arabic"/>
          <w:sz w:val="32"/>
          <w:szCs w:val="32"/>
          <w:rtl/>
        </w:rPr>
        <w:t xml:space="preserve">) أخرجه الواحدي في أسباب النزول (ص214), وذكره السيوطي في الدر  المنثور (5/382), ولباب النقول (ص130) من طريق جويبر عن الضحاك عن ابن عباس. وزاد نسبته لابن مردويه. قال في كتاب الاستيعاب: وهذا اسناد ضعيف جداً؛ جويبر ذا واهٍ بمرة, والضحاك لم يلق ابن عباس. انظر: الاستيعاب في بيان الأسباب (2/474). </w:t>
      </w:r>
    </w:p>
  </w:footnote>
  <w:footnote w:id="1231">
    <w:p w:rsidR="003F128F" w:rsidRPr="00567690" w:rsidRDefault="003F128F" w:rsidP="005C21CD">
      <w:pPr>
        <w:pStyle w:val="af3"/>
        <w:rPr>
          <w:rFonts w:ascii="Traditional Arabic" w:hAnsi="Traditional Arabic"/>
          <w:sz w:val="32"/>
          <w:szCs w:val="32"/>
        </w:rPr>
      </w:pPr>
      <w:r w:rsidRPr="00567690">
        <w:rPr>
          <w:rFonts w:ascii="Traditional Arabic" w:hAnsi="Traditional Arabic"/>
          <w:sz w:val="32"/>
          <w:szCs w:val="32"/>
          <w:rtl/>
        </w:rPr>
        <w:t>(</w:t>
      </w:r>
      <w:r w:rsidRPr="00567690">
        <w:rPr>
          <w:rStyle w:val="ae"/>
          <w:rFonts w:ascii="Traditional Arabic" w:hAnsi="Traditional Arabic"/>
          <w:sz w:val="32"/>
          <w:szCs w:val="32"/>
          <w:vertAlign w:val="baseline"/>
        </w:rPr>
        <w:footnoteRef/>
      </w:r>
      <w:r w:rsidRPr="00567690">
        <w:rPr>
          <w:rFonts w:ascii="Traditional Arabic" w:hAnsi="Traditional Arabic"/>
          <w:sz w:val="32"/>
          <w:szCs w:val="32"/>
          <w:rtl/>
        </w:rPr>
        <w:t>) انظر: بحر العلوم (2/344), التفسير الوسيط (3/145).</w:t>
      </w:r>
    </w:p>
  </w:footnote>
  <w:footnote w:id="1232">
    <w:p w:rsidR="003F128F" w:rsidRPr="00567690" w:rsidRDefault="003F128F" w:rsidP="000E1CBB">
      <w:pPr>
        <w:pStyle w:val="af3"/>
        <w:rPr>
          <w:rFonts w:ascii="Traditional Arabic" w:hAnsi="Traditional Arabic"/>
          <w:sz w:val="32"/>
          <w:szCs w:val="32"/>
        </w:rPr>
      </w:pPr>
      <w:r w:rsidRPr="00567690">
        <w:rPr>
          <w:rFonts w:ascii="Traditional Arabic" w:hAnsi="Traditional Arabic"/>
          <w:sz w:val="32"/>
          <w:szCs w:val="32"/>
          <w:rtl/>
        </w:rPr>
        <w:t>(</w:t>
      </w:r>
      <w:r w:rsidRPr="00567690">
        <w:rPr>
          <w:rStyle w:val="ae"/>
          <w:rFonts w:ascii="Traditional Arabic" w:hAnsi="Traditional Arabic"/>
          <w:sz w:val="32"/>
          <w:szCs w:val="32"/>
          <w:vertAlign w:val="baseline"/>
        </w:rPr>
        <w:footnoteRef/>
      </w:r>
      <w:r w:rsidRPr="00567690">
        <w:rPr>
          <w:rFonts w:ascii="Traditional Arabic" w:hAnsi="Traditional Arabic"/>
          <w:sz w:val="32"/>
          <w:szCs w:val="32"/>
          <w:rtl/>
        </w:rPr>
        <w:t xml:space="preserve">) النكت والعيون </w:t>
      </w:r>
      <w:r>
        <w:rPr>
          <w:rFonts w:ascii="Traditional Arabic" w:hAnsi="Traditional Arabic"/>
          <w:sz w:val="32"/>
          <w:szCs w:val="32"/>
          <w:rtl/>
        </w:rPr>
        <w:t>(3/302), التفسير الوسيط (3/146)</w:t>
      </w:r>
      <w:r>
        <w:rPr>
          <w:rFonts w:ascii="Traditional Arabic" w:hAnsi="Traditional Arabic" w:hint="cs"/>
          <w:sz w:val="32"/>
          <w:szCs w:val="32"/>
          <w:rtl/>
        </w:rPr>
        <w:t>.</w:t>
      </w:r>
      <w:r w:rsidRPr="00567690">
        <w:rPr>
          <w:rFonts w:ascii="Traditional Arabic" w:hAnsi="Traditional Arabic"/>
          <w:sz w:val="32"/>
          <w:szCs w:val="32"/>
          <w:rtl/>
        </w:rPr>
        <w:t xml:space="preserve"> </w:t>
      </w:r>
    </w:p>
  </w:footnote>
  <w:footnote w:id="1233">
    <w:p w:rsidR="003F128F" w:rsidRPr="00567690" w:rsidRDefault="003F128F" w:rsidP="00205C94">
      <w:pPr>
        <w:pStyle w:val="af3"/>
        <w:rPr>
          <w:rFonts w:ascii="Traditional Arabic" w:hAnsi="Traditional Arabic"/>
          <w:sz w:val="32"/>
          <w:szCs w:val="32"/>
        </w:rPr>
      </w:pPr>
      <w:r w:rsidRPr="00567690">
        <w:rPr>
          <w:rFonts w:ascii="Traditional Arabic" w:hAnsi="Traditional Arabic"/>
          <w:sz w:val="32"/>
          <w:szCs w:val="32"/>
          <w:rtl/>
        </w:rPr>
        <w:t>(</w:t>
      </w:r>
      <w:r w:rsidRPr="00567690">
        <w:rPr>
          <w:rStyle w:val="ae"/>
          <w:rFonts w:ascii="Traditional Arabic" w:hAnsi="Traditional Arabic"/>
          <w:sz w:val="32"/>
          <w:szCs w:val="32"/>
          <w:vertAlign w:val="baseline"/>
        </w:rPr>
        <w:footnoteRef/>
      </w:r>
      <w:r w:rsidRPr="00567690">
        <w:rPr>
          <w:rFonts w:ascii="Traditional Arabic" w:hAnsi="Traditional Arabic"/>
          <w:sz w:val="32"/>
          <w:szCs w:val="32"/>
          <w:rtl/>
        </w:rPr>
        <w:t>)</w:t>
      </w:r>
      <w:r>
        <w:rPr>
          <w:rFonts w:ascii="Traditional Arabic" w:hAnsi="Traditional Arabic" w:hint="cs"/>
          <w:sz w:val="32"/>
          <w:szCs w:val="32"/>
          <w:rtl/>
        </w:rPr>
        <w:t xml:space="preserve"> </w:t>
      </w:r>
      <w:r w:rsidRPr="00567690">
        <w:rPr>
          <w:rFonts w:ascii="Traditional Arabic" w:hAnsi="Traditional Arabic"/>
          <w:sz w:val="32"/>
          <w:szCs w:val="32"/>
          <w:rtl/>
        </w:rPr>
        <w:t xml:space="preserve">انظر: مختصر الشواذ (ص83), المحتسب (2/28). </w:t>
      </w:r>
    </w:p>
  </w:footnote>
  <w:footnote w:id="1234">
    <w:p w:rsidR="003F128F" w:rsidRPr="00190082" w:rsidRDefault="003F128F" w:rsidP="005C21CD">
      <w:pPr>
        <w:pStyle w:val="af3"/>
        <w:rPr>
          <w:rFonts w:ascii="Traditional Arabic" w:hAnsi="Traditional Arabic"/>
          <w:sz w:val="32"/>
          <w:szCs w:val="32"/>
        </w:rPr>
      </w:pPr>
      <w:r w:rsidRPr="00567690">
        <w:rPr>
          <w:rFonts w:ascii="Traditional Arabic" w:hAnsi="Traditional Arabic"/>
          <w:sz w:val="32"/>
          <w:szCs w:val="32"/>
          <w:rtl/>
        </w:rPr>
        <w:t>(</w:t>
      </w:r>
      <w:r w:rsidRPr="00567690">
        <w:rPr>
          <w:rStyle w:val="ae"/>
          <w:rFonts w:ascii="Traditional Arabic" w:hAnsi="Traditional Arabic"/>
          <w:sz w:val="32"/>
          <w:szCs w:val="32"/>
          <w:vertAlign w:val="baseline"/>
        </w:rPr>
        <w:footnoteRef/>
      </w:r>
      <w:r w:rsidRPr="00567690">
        <w:rPr>
          <w:rFonts w:ascii="Traditional Arabic" w:hAnsi="Traditional Arabic"/>
          <w:sz w:val="32"/>
          <w:szCs w:val="32"/>
          <w:rtl/>
        </w:rPr>
        <w:t>) انظر: التفسير الوسيط (3/145).</w:t>
      </w:r>
    </w:p>
  </w:footnote>
  <w:footnote w:id="1235">
    <w:p w:rsidR="003F128F" w:rsidRPr="00567690" w:rsidRDefault="003F128F" w:rsidP="00EE175F">
      <w:pPr>
        <w:pStyle w:val="af3"/>
        <w:rPr>
          <w:rFonts w:ascii="Traditional Arabic" w:hAnsi="Traditional Arabic"/>
          <w:sz w:val="32"/>
          <w:szCs w:val="32"/>
        </w:rPr>
      </w:pPr>
      <w:r w:rsidRPr="00567690">
        <w:rPr>
          <w:rFonts w:ascii="Traditional Arabic" w:hAnsi="Traditional Arabic"/>
          <w:sz w:val="32"/>
          <w:szCs w:val="32"/>
          <w:rtl/>
        </w:rPr>
        <w:t>(</w:t>
      </w:r>
      <w:r w:rsidRPr="00567690">
        <w:rPr>
          <w:rStyle w:val="ae"/>
          <w:rFonts w:ascii="Traditional Arabic" w:hAnsi="Traditional Arabic"/>
          <w:sz w:val="32"/>
          <w:szCs w:val="32"/>
          <w:vertAlign w:val="baseline"/>
        </w:rPr>
        <w:footnoteRef/>
      </w:r>
      <w:r w:rsidRPr="00567690">
        <w:rPr>
          <w:rFonts w:ascii="Traditional Arabic" w:hAnsi="Traditional Arabic"/>
          <w:sz w:val="32"/>
          <w:szCs w:val="32"/>
          <w:rtl/>
        </w:rPr>
        <w:t xml:space="preserve">) نسبة إلى مضر بن نزار بن معد بن عدنان, أحد أجداد النبي </w:t>
      </w:r>
      <w:r w:rsidRPr="00567690">
        <w:rPr>
          <w:rFonts w:ascii="Traditional Arabic" w:hAnsi="Traditional Arabic"/>
          <w:sz w:val="32"/>
          <w:szCs w:val="32"/>
        </w:rPr>
        <w:sym w:font="AGA Arabesque" w:char="F072"/>
      </w:r>
      <w:r w:rsidRPr="00567690">
        <w:rPr>
          <w:rFonts w:ascii="Traditional Arabic" w:hAnsi="Traditional Arabic"/>
          <w:sz w:val="32"/>
          <w:szCs w:val="32"/>
          <w:rtl/>
        </w:rPr>
        <w:t xml:space="preserve"> ,كان مضر من أحسن الناس صوتا, هو أول من حدا. انظر: نسب معد واليمن الكبير لهشام الكلبي (1/18), أنساب الأشراف للبلاذري (1/30), الإنباه على قبائل الرواة لابن عبد البر (ص38). </w:t>
      </w:r>
    </w:p>
  </w:footnote>
  <w:footnote w:id="1236">
    <w:p w:rsidR="003F128F" w:rsidRPr="00567690" w:rsidRDefault="003F128F" w:rsidP="005C21CD">
      <w:pPr>
        <w:pStyle w:val="af3"/>
        <w:rPr>
          <w:rFonts w:ascii="Traditional Arabic" w:hAnsi="Traditional Arabic"/>
          <w:sz w:val="32"/>
          <w:szCs w:val="32"/>
        </w:rPr>
      </w:pPr>
      <w:r w:rsidRPr="00567690">
        <w:rPr>
          <w:rFonts w:ascii="Traditional Arabic" w:hAnsi="Traditional Arabic"/>
          <w:sz w:val="32"/>
          <w:szCs w:val="32"/>
          <w:rtl/>
        </w:rPr>
        <w:t>(</w:t>
      </w:r>
      <w:r w:rsidRPr="00567690">
        <w:rPr>
          <w:rStyle w:val="ae"/>
          <w:rFonts w:ascii="Traditional Arabic" w:hAnsi="Traditional Arabic"/>
          <w:sz w:val="32"/>
          <w:szCs w:val="32"/>
          <w:vertAlign w:val="baseline"/>
        </w:rPr>
        <w:footnoteRef/>
      </w:r>
      <w:r w:rsidRPr="00567690">
        <w:rPr>
          <w:rFonts w:ascii="Traditional Arabic" w:hAnsi="Traditional Arabic"/>
          <w:sz w:val="32"/>
          <w:szCs w:val="32"/>
          <w:rtl/>
        </w:rPr>
        <w:t xml:space="preserve">) ذكره الواحدي في التفسير البسيط (13/601) عن عطاء عن ابن عباس رضي الله عنهما, وذكره البغوي في معالم التنزيل (5/167) غير منسوب </w:t>
      </w:r>
    </w:p>
  </w:footnote>
  <w:footnote w:id="1237">
    <w:p w:rsidR="003F128F" w:rsidRPr="00567690" w:rsidRDefault="003F128F" w:rsidP="00205C94">
      <w:pPr>
        <w:pStyle w:val="af3"/>
        <w:rPr>
          <w:rFonts w:ascii="Traditional Arabic" w:hAnsi="Traditional Arabic"/>
          <w:sz w:val="32"/>
          <w:szCs w:val="32"/>
        </w:rPr>
      </w:pPr>
      <w:r w:rsidRPr="00567690">
        <w:rPr>
          <w:rFonts w:ascii="Traditional Arabic" w:hAnsi="Traditional Arabic"/>
          <w:sz w:val="32"/>
          <w:szCs w:val="32"/>
          <w:rtl/>
        </w:rPr>
        <w:t>(</w:t>
      </w:r>
      <w:r w:rsidRPr="00567690">
        <w:rPr>
          <w:rStyle w:val="ae"/>
          <w:rFonts w:ascii="Traditional Arabic" w:hAnsi="Traditional Arabic"/>
          <w:sz w:val="32"/>
          <w:szCs w:val="32"/>
          <w:vertAlign w:val="baseline"/>
        </w:rPr>
        <w:footnoteRef/>
      </w:r>
      <w:r w:rsidRPr="00567690">
        <w:rPr>
          <w:rFonts w:ascii="Traditional Arabic" w:hAnsi="Traditional Arabic"/>
          <w:sz w:val="32"/>
          <w:szCs w:val="32"/>
          <w:rtl/>
        </w:rPr>
        <w:t>) تفسير مجاهد (ص44</w:t>
      </w:r>
      <w:r>
        <w:rPr>
          <w:rFonts w:ascii="Traditional Arabic" w:hAnsi="Traditional Arabic"/>
          <w:sz w:val="32"/>
          <w:szCs w:val="32"/>
          <w:rtl/>
        </w:rPr>
        <w:t>6), تفسير يحيى بن سلام (1/182)</w:t>
      </w:r>
      <w:r>
        <w:rPr>
          <w:rFonts w:ascii="Traditional Arabic" w:hAnsi="Traditional Arabic" w:hint="cs"/>
          <w:sz w:val="32"/>
          <w:szCs w:val="32"/>
          <w:rtl/>
        </w:rPr>
        <w:t>.</w:t>
      </w:r>
    </w:p>
  </w:footnote>
  <w:footnote w:id="1238">
    <w:p w:rsidR="003F128F" w:rsidRPr="00567690" w:rsidRDefault="003F128F" w:rsidP="005C21CD">
      <w:pPr>
        <w:pStyle w:val="af3"/>
        <w:rPr>
          <w:rFonts w:ascii="Traditional Arabic" w:hAnsi="Traditional Arabic"/>
          <w:sz w:val="32"/>
          <w:szCs w:val="32"/>
        </w:rPr>
      </w:pPr>
      <w:r w:rsidRPr="00567690">
        <w:rPr>
          <w:rFonts w:ascii="Traditional Arabic" w:hAnsi="Traditional Arabic"/>
          <w:sz w:val="32"/>
          <w:szCs w:val="32"/>
          <w:rtl/>
        </w:rPr>
        <w:t>(</w:t>
      </w:r>
      <w:r w:rsidRPr="00567690">
        <w:rPr>
          <w:rStyle w:val="ae"/>
          <w:rFonts w:ascii="Traditional Arabic" w:hAnsi="Traditional Arabic"/>
          <w:sz w:val="32"/>
          <w:szCs w:val="32"/>
          <w:vertAlign w:val="baseline"/>
        </w:rPr>
        <w:footnoteRef/>
      </w:r>
      <w:r w:rsidRPr="00567690">
        <w:rPr>
          <w:rFonts w:ascii="Traditional Arabic" w:hAnsi="Traditional Arabic"/>
          <w:sz w:val="32"/>
          <w:szCs w:val="32"/>
          <w:rtl/>
        </w:rPr>
        <w:t xml:space="preserve">) مجاز القرآن (1/398).  </w:t>
      </w:r>
    </w:p>
  </w:footnote>
  <w:footnote w:id="1239">
    <w:p w:rsidR="003F128F" w:rsidRPr="00567690" w:rsidRDefault="003F128F" w:rsidP="00205C94">
      <w:pPr>
        <w:pStyle w:val="af3"/>
        <w:rPr>
          <w:rFonts w:ascii="Traditional Arabic" w:hAnsi="Traditional Arabic"/>
          <w:sz w:val="32"/>
          <w:szCs w:val="32"/>
        </w:rPr>
      </w:pPr>
      <w:r w:rsidRPr="00567690">
        <w:rPr>
          <w:rFonts w:ascii="Traditional Arabic" w:hAnsi="Traditional Arabic"/>
          <w:sz w:val="32"/>
          <w:szCs w:val="32"/>
          <w:rtl/>
        </w:rPr>
        <w:t>(</w:t>
      </w:r>
      <w:r w:rsidRPr="00567690">
        <w:rPr>
          <w:rStyle w:val="ae"/>
          <w:rFonts w:ascii="Traditional Arabic" w:hAnsi="Traditional Arabic"/>
          <w:sz w:val="32"/>
          <w:szCs w:val="32"/>
          <w:vertAlign w:val="baseline"/>
        </w:rPr>
        <w:footnoteRef/>
      </w:r>
      <w:r w:rsidRPr="00567690">
        <w:rPr>
          <w:rFonts w:ascii="Traditional Arabic" w:hAnsi="Traditional Arabic"/>
          <w:sz w:val="32"/>
          <w:szCs w:val="32"/>
          <w:rtl/>
        </w:rPr>
        <w:t>) غريب القرآن (</w:t>
      </w:r>
      <w:r>
        <w:rPr>
          <w:rFonts w:ascii="Traditional Arabic" w:hAnsi="Traditional Arabic" w:hint="cs"/>
          <w:sz w:val="32"/>
          <w:szCs w:val="32"/>
          <w:rtl/>
        </w:rPr>
        <w:t>ص</w:t>
      </w:r>
      <w:r w:rsidRPr="00567690">
        <w:rPr>
          <w:rFonts w:ascii="Traditional Arabic" w:hAnsi="Traditional Arabic"/>
          <w:sz w:val="32"/>
          <w:szCs w:val="32"/>
          <w:rtl/>
        </w:rPr>
        <w:t>266).</w:t>
      </w:r>
    </w:p>
  </w:footnote>
  <w:footnote w:id="1240">
    <w:p w:rsidR="003F128F" w:rsidRPr="00567690" w:rsidRDefault="003F128F" w:rsidP="005C21CD">
      <w:pPr>
        <w:pStyle w:val="af3"/>
        <w:rPr>
          <w:rFonts w:ascii="Traditional Arabic" w:hAnsi="Traditional Arabic"/>
          <w:sz w:val="32"/>
          <w:szCs w:val="32"/>
          <w:rtl/>
        </w:rPr>
      </w:pPr>
      <w:r w:rsidRPr="00567690">
        <w:rPr>
          <w:rFonts w:ascii="Traditional Arabic" w:hAnsi="Traditional Arabic"/>
          <w:sz w:val="32"/>
          <w:szCs w:val="32"/>
          <w:rtl/>
        </w:rPr>
        <w:t>(</w:t>
      </w:r>
      <w:r w:rsidRPr="00567690">
        <w:rPr>
          <w:rStyle w:val="ae"/>
          <w:rFonts w:ascii="Traditional Arabic" w:hAnsi="Traditional Arabic"/>
          <w:sz w:val="32"/>
          <w:szCs w:val="32"/>
          <w:vertAlign w:val="baseline"/>
        </w:rPr>
        <w:footnoteRef/>
      </w:r>
      <w:r w:rsidRPr="00567690">
        <w:rPr>
          <w:rFonts w:ascii="Traditional Arabic" w:hAnsi="Traditional Arabic"/>
          <w:sz w:val="32"/>
          <w:szCs w:val="32"/>
          <w:rtl/>
        </w:rPr>
        <w:t>) معاني القرآن وإعرابه (3/281).</w:t>
      </w:r>
    </w:p>
  </w:footnote>
  <w:footnote w:id="1241">
    <w:p w:rsidR="003F128F" w:rsidRPr="00567690" w:rsidRDefault="003F128F" w:rsidP="000E1CBB">
      <w:pPr>
        <w:pStyle w:val="af3"/>
        <w:rPr>
          <w:rFonts w:ascii="Traditional Arabic" w:hAnsi="Traditional Arabic"/>
          <w:sz w:val="32"/>
          <w:szCs w:val="32"/>
        </w:rPr>
      </w:pPr>
      <w:r w:rsidRPr="00567690">
        <w:rPr>
          <w:rFonts w:ascii="Traditional Arabic" w:hAnsi="Traditional Arabic"/>
          <w:sz w:val="32"/>
          <w:szCs w:val="32"/>
          <w:rtl/>
        </w:rPr>
        <w:t>(</w:t>
      </w:r>
      <w:r w:rsidRPr="00567690">
        <w:rPr>
          <w:rStyle w:val="ae"/>
          <w:rFonts w:ascii="Traditional Arabic" w:hAnsi="Traditional Arabic"/>
          <w:sz w:val="32"/>
          <w:szCs w:val="32"/>
          <w:vertAlign w:val="baseline"/>
        </w:rPr>
        <w:footnoteRef/>
      </w:r>
      <w:r w:rsidRPr="00567690">
        <w:rPr>
          <w:rFonts w:ascii="Traditional Arabic" w:hAnsi="Traditional Arabic"/>
          <w:sz w:val="32"/>
          <w:szCs w:val="32"/>
          <w:rtl/>
        </w:rPr>
        <w:t xml:space="preserve">) </w:t>
      </w:r>
      <w:r>
        <w:rPr>
          <w:rFonts w:ascii="Traditional Arabic" w:hAnsi="Traditional Arabic" w:hint="cs"/>
          <w:sz w:val="32"/>
          <w:szCs w:val="32"/>
          <w:rtl/>
        </w:rPr>
        <w:t>المصدر السابق</w:t>
      </w:r>
      <w:r w:rsidRPr="00567690">
        <w:rPr>
          <w:rFonts w:ascii="Traditional Arabic" w:hAnsi="Traditional Arabic"/>
          <w:sz w:val="32"/>
          <w:szCs w:val="32"/>
          <w:rtl/>
        </w:rPr>
        <w:t xml:space="preserve"> (3/281). </w:t>
      </w:r>
    </w:p>
  </w:footnote>
  <w:footnote w:id="1242">
    <w:p w:rsidR="003F128F" w:rsidRPr="00567690" w:rsidRDefault="003F128F" w:rsidP="000E1CBB">
      <w:pPr>
        <w:pStyle w:val="af3"/>
        <w:rPr>
          <w:rFonts w:ascii="Traditional Arabic" w:hAnsi="Traditional Arabic"/>
          <w:sz w:val="32"/>
          <w:szCs w:val="32"/>
        </w:rPr>
      </w:pPr>
      <w:r w:rsidRPr="00567690">
        <w:rPr>
          <w:rFonts w:ascii="Traditional Arabic" w:hAnsi="Traditional Arabic"/>
          <w:sz w:val="32"/>
          <w:szCs w:val="32"/>
          <w:rtl/>
        </w:rPr>
        <w:t>(</w:t>
      </w:r>
      <w:r w:rsidRPr="00567690">
        <w:rPr>
          <w:rStyle w:val="ae"/>
          <w:rFonts w:ascii="Traditional Arabic" w:hAnsi="Traditional Arabic"/>
          <w:sz w:val="32"/>
          <w:szCs w:val="32"/>
          <w:vertAlign w:val="baseline"/>
        </w:rPr>
        <w:footnoteRef/>
      </w:r>
      <w:r w:rsidRPr="00567690">
        <w:rPr>
          <w:rFonts w:ascii="Traditional Arabic" w:hAnsi="Traditional Arabic"/>
          <w:sz w:val="32"/>
          <w:szCs w:val="32"/>
          <w:rtl/>
        </w:rPr>
        <w:t>) تفسير الطبري (18/10</w:t>
      </w:r>
      <w:r>
        <w:rPr>
          <w:rFonts w:ascii="Traditional Arabic" w:hAnsi="Traditional Arabic"/>
          <w:sz w:val="32"/>
          <w:szCs w:val="32"/>
          <w:rtl/>
        </w:rPr>
        <w:t>), تفسير ابن أبي حاتم (7/2358)</w:t>
      </w:r>
      <w:r>
        <w:rPr>
          <w:rFonts w:ascii="Traditional Arabic" w:hAnsi="Traditional Arabic" w:hint="cs"/>
          <w:sz w:val="32"/>
          <w:szCs w:val="32"/>
          <w:rtl/>
        </w:rPr>
        <w:t>.</w:t>
      </w:r>
    </w:p>
  </w:footnote>
  <w:footnote w:id="1243">
    <w:p w:rsidR="003F128F" w:rsidRPr="00567690" w:rsidRDefault="003F128F" w:rsidP="005C21CD">
      <w:pPr>
        <w:pStyle w:val="af3"/>
        <w:rPr>
          <w:rFonts w:ascii="Traditional Arabic" w:hAnsi="Traditional Arabic"/>
          <w:sz w:val="32"/>
          <w:szCs w:val="32"/>
        </w:rPr>
      </w:pPr>
      <w:r w:rsidRPr="00567690">
        <w:rPr>
          <w:rFonts w:ascii="Traditional Arabic" w:hAnsi="Traditional Arabic"/>
          <w:sz w:val="32"/>
          <w:szCs w:val="32"/>
          <w:rtl/>
        </w:rPr>
        <w:t>(</w:t>
      </w:r>
      <w:r w:rsidRPr="00567690">
        <w:rPr>
          <w:rStyle w:val="ae"/>
          <w:rFonts w:ascii="Traditional Arabic" w:hAnsi="Traditional Arabic"/>
          <w:sz w:val="32"/>
          <w:szCs w:val="32"/>
          <w:vertAlign w:val="baseline"/>
        </w:rPr>
        <w:footnoteRef/>
      </w:r>
      <w:r w:rsidRPr="00567690">
        <w:rPr>
          <w:rFonts w:ascii="Traditional Arabic" w:hAnsi="Traditional Arabic"/>
          <w:sz w:val="32"/>
          <w:szCs w:val="32"/>
          <w:rtl/>
        </w:rPr>
        <w:t>) انظر: معاني القرآن وإعرابه (3/281).</w:t>
      </w:r>
    </w:p>
  </w:footnote>
  <w:footnote w:id="1244">
    <w:p w:rsidR="003F128F" w:rsidRPr="00D7415C" w:rsidRDefault="003F128F" w:rsidP="005C21CD">
      <w:pPr>
        <w:pStyle w:val="af3"/>
        <w:tabs>
          <w:tab w:val="left" w:pos="3630"/>
        </w:tabs>
        <w:rPr>
          <w:rFonts w:ascii="Traditional Arabic" w:hAnsi="Traditional Arabic"/>
          <w:sz w:val="32"/>
          <w:szCs w:val="32"/>
        </w:rPr>
      </w:pPr>
      <w:r w:rsidRPr="00567690">
        <w:rPr>
          <w:rFonts w:ascii="Traditional Arabic" w:hAnsi="Traditional Arabic"/>
          <w:sz w:val="32"/>
          <w:szCs w:val="32"/>
          <w:rtl/>
        </w:rPr>
        <w:t>(</w:t>
      </w:r>
      <w:r w:rsidRPr="00567690">
        <w:rPr>
          <w:rStyle w:val="ae"/>
          <w:rFonts w:ascii="Traditional Arabic" w:hAnsi="Traditional Arabic"/>
          <w:sz w:val="32"/>
          <w:szCs w:val="32"/>
          <w:vertAlign w:val="baseline"/>
        </w:rPr>
        <w:footnoteRef/>
      </w:r>
      <w:r w:rsidRPr="00567690">
        <w:rPr>
          <w:rFonts w:ascii="Traditional Arabic" w:hAnsi="Traditional Arabic"/>
          <w:sz w:val="32"/>
          <w:szCs w:val="32"/>
          <w:rtl/>
        </w:rPr>
        <w:t>) انظر: النكت والعيون (3/303).</w:t>
      </w:r>
      <w:r w:rsidRPr="00567690">
        <w:rPr>
          <w:rFonts w:ascii="Traditional Arabic" w:hAnsi="Traditional Arabic"/>
          <w:sz w:val="32"/>
          <w:szCs w:val="32"/>
          <w:rtl/>
        </w:rPr>
        <w:tab/>
      </w:r>
      <w:r w:rsidRPr="00567690">
        <w:rPr>
          <w:rFonts w:ascii="Traditional Arabic" w:hAnsi="Traditional Arabic"/>
          <w:sz w:val="32"/>
          <w:szCs w:val="32"/>
          <w:rtl/>
        </w:rPr>
        <w:tab/>
      </w:r>
    </w:p>
  </w:footnote>
  <w:footnote w:id="1245">
    <w:p w:rsidR="003F128F" w:rsidRPr="00D7415C" w:rsidRDefault="003F128F" w:rsidP="005C21CD">
      <w:pPr>
        <w:pStyle w:val="af3"/>
        <w:rPr>
          <w:rFonts w:ascii="Traditional Arabic" w:hAnsi="Traditional Arabic"/>
          <w:sz w:val="32"/>
          <w:szCs w:val="32"/>
        </w:rPr>
      </w:pPr>
      <w:r w:rsidRPr="00D7415C">
        <w:rPr>
          <w:rFonts w:ascii="Traditional Arabic" w:hAnsi="Traditional Arabic"/>
          <w:sz w:val="32"/>
          <w:szCs w:val="32"/>
          <w:rtl/>
        </w:rPr>
        <w:t>(</w:t>
      </w:r>
      <w:r w:rsidRPr="00D7415C">
        <w:rPr>
          <w:rStyle w:val="ae"/>
          <w:rFonts w:ascii="Traditional Arabic" w:hAnsi="Traditional Arabic"/>
          <w:sz w:val="32"/>
          <w:szCs w:val="32"/>
          <w:vertAlign w:val="baseline"/>
        </w:rPr>
        <w:footnoteRef/>
      </w:r>
      <w:r w:rsidRPr="00D7415C">
        <w:rPr>
          <w:rFonts w:ascii="Traditional Arabic" w:hAnsi="Traditional Arabic"/>
          <w:sz w:val="32"/>
          <w:szCs w:val="32"/>
          <w:rtl/>
        </w:rPr>
        <w:t xml:space="preserve">) انظر: تفسير الطبري (18/10), رموز الكنوز (4/278). </w:t>
      </w:r>
    </w:p>
  </w:footnote>
  <w:footnote w:id="1246">
    <w:p w:rsidR="003F128F" w:rsidRPr="00D7415C" w:rsidRDefault="003F128F" w:rsidP="005C21CD">
      <w:pPr>
        <w:pStyle w:val="af3"/>
        <w:rPr>
          <w:rFonts w:ascii="Traditional Arabic" w:hAnsi="Traditional Arabic"/>
          <w:sz w:val="32"/>
          <w:szCs w:val="32"/>
        </w:rPr>
      </w:pPr>
      <w:r w:rsidRPr="00D7415C">
        <w:rPr>
          <w:rFonts w:ascii="Traditional Arabic" w:hAnsi="Traditional Arabic"/>
          <w:sz w:val="32"/>
          <w:szCs w:val="32"/>
          <w:rtl/>
        </w:rPr>
        <w:t>(</w:t>
      </w:r>
      <w:r w:rsidRPr="00D7415C">
        <w:rPr>
          <w:rStyle w:val="ae"/>
          <w:rFonts w:ascii="Traditional Arabic" w:hAnsi="Traditional Arabic"/>
          <w:sz w:val="32"/>
          <w:szCs w:val="32"/>
          <w:vertAlign w:val="baseline"/>
        </w:rPr>
        <w:footnoteRef/>
      </w:r>
      <w:r w:rsidRPr="00D7415C">
        <w:rPr>
          <w:rFonts w:ascii="Traditional Arabic" w:hAnsi="Traditional Arabic"/>
          <w:sz w:val="32"/>
          <w:szCs w:val="32"/>
          <w:rtl/>
        </w:rPr>
        <w:t xml:space="preserve">) انظر: زاد المسير (4/215).  </w:t>
      </w:r>
    </w:p>
  </w:footnote>
  <w:footnote w:id="1247">
    <w:p w:rsidR="003F128F" w:rsidRPr="007F0E28" w:rsidRDefault="003F128F" w:rsidP="000E1CBB">
      <w:pPr>
        <w:pStyle w:val="af3"/>
        <w:rPr>
          <w:rFonts w:ascii="Traditional Arabic" w:hAnsi="Traditional Arabic"/>
          <w:sz w:val="32"/>
          <w:szCs w:val="32"/>
        </w:rPr>
      </w:pPr>
      <w:r w:rsidRPr="00D7415C">
        <w:rPr>
          <w:rFonts w:ascii="Traditional Arabic" w:hAnsi="Traditional Arabic"/>
          <w:sz w:val="32"/>
          <w:szCs w:val="32"/>
          <w:rtl/>
        </w:rPr>
        <w:t>(</w:t>
      </w:r>
      <w:r w:rsidRPr="00D7415C">
        <w:rPr>
          <w:rStyle w:val="ae"/>
          <w:rFonts w:ascii="Traditional Arabic" w:hAnsi="Traditional Arabic"/>
          <w:sz w:val="32"/>
          <w:szCs w:val="32"/>
          <w:vertAlign w:val="baseline"/>
        </w:rPr>
        <w:footnoteRef/>
      </w:r>
      <w:r w:rsidRPr="00D7415C">
        <w:rPr>
          <w:rFonts w:ascii="Traditional Arabic" w:hAnsi="Traditional Arabic"/>
          <w:sz w:val="32"/>
          <w:szCs w:val="32"/>
          <w:rtl/>
        </w:rPr>
        <w:t>) تفسير الطب</w:t>
      </w:r>
      <w:r>
        <w:rPr>
          <w:rFonts w:ascii="Traditional Arabic" w:hAnsi="Traditional Arabic"/>
          <w:sz w:val="32"/>
          <w:szCs w:val="32"/>
          <w:rtl/>
        </w:rPr>
        <w:t>ري (18/10), بحر العلوم (2/345</w:t>
      </w:r>
      <w:r>
        <w:rPr>
          <w:rFonts w:ascii="Traditional Arabic" w:hAnsi="Traditional Arabic" w:hint="cs"/>
          <w:sz w:val="32"/>
          <w:szCs w:val="32"/>
          <w:rtl/>
        </w:rPr>
        <w:t>).</w:t>
      </w:r>
    </w:p>
  </w:footnote>
  <w:footnote w:id="1248">
    <w:p w:rsidR="003F128F" w:rsidRPr="007F0E28" w:rsidRDefault="003F128F" w:rsidP="005C21CD">
      <w:pPr>
        <w:pStyle w:val="af3"/>
        <w:rPr>
          <w:rFonts w:ascii="Traditional Arabic" w:hAnsi="Traditional Arabic"/>
          <w:sz w:val="32"/>
          <w:szCs w:val="32"/>
        </w:rPr>
      </w:pPr>
      <w:r w:rsidRPr="007F0E28">
        <w:rPr>
          <w:rFonts w:ascii="Traditional Arabic" w:hAnsi="Traditional Arabic"/>
          <w:sz w:val="32"/>
          <w:szCs w:val="32"/>
          <w:rtl/>
        </w:rPr>
        <w:t>(</w:t>
      </w:r>
      <w:r w:rsidRPr="007F0E28">
        <w:rPr>
          <w:rStyle w:val="ae"/>
          <w:rFonts w:ascii="Traditional Arabic" w:hAnsi="Traditional Arabic"/>
          <w:sz w:val="32"/>
          <w:szCs w:val="32"/>
          <w:vertAlign w:val="baseline"/>
        </w:rPr>
        <w:footnoteRef/>
      </w:r>
      <w:r w:rsidRPr="007F0E28">
        <w:rPr>
          <w:rFonts w:ascii="Traditional Arabic" w:hAnsi="Traditional Arabic"/>
          <w:sz w:val="32"/>
          <w:szCs w:val="32"/>
          <w:rtl/>
        </w:rPr>
        <w:t>) معاني القرآن وإعرابه (3/282).</w:t>
      </w:r>
    </w:p>
  </w:footnote>
  <w:footnote w:id="1249">
    <w:p w:rsidR="003F128F" w:rsidRPr="007F0E28" w:rsidRDefault="003F128F" w:rsidP="005C21CD">
      <w:pPr>
        <w:pStyle w:val="af3"/>
        <w:rPr>
          <w:rFonts w:ascii="Traditional Arabic" w:hAnsi="Traditional Arabic"/>
          <w:sz w:val="32"/>
          <w:szCs w:val="32"/>
        </w:rPr>
      </w:pPr>
      <w:r w:rsidRPr="007F0E28">
        <w:rPr>
          <w:rFonts w:ascii="Traditional Arabic" w:hAnsi="Traditional Arabic"/>
          <w:sz w:val="32"/>
          <w:szCs w:val="32"/>
          <w:rtl/>
        </w:rPr>
        <w:t>(</w:t>
      </w:r>
      <w:r w:rsidRPr="007F0E28">
        <w:rPr>
          <w:rStyle w:val="ae"/>
          <w:rFonts w:ascii="Traditional Arabic" w:hAnsi="Traditional Arabic"/>
          <w:sz w:val="32"/>
          <w:szCs w:val="32"/>
          <w:vertAlign w:val="baseline"/>
        </w:rPr>
        <w:footnoteRef/>
      </w:r>
      <w:r w:rsidRPr="007F0E28">
        <w:rPr>
          <w:rFonts w:ascii="Traditional Arabic" w:hAnsi="Traditional Arabic"/>
          <w:sz w:val="32"/>
          <w:szCs w:val="32"/>
          <w:rtl/>
        </w:rPr>
        <w:t>) الفسطاط: ضَرْب من الأبنية, والفُسْطاط: مُجْتَمعُ أهل الكُورةِ حَوالَي مسجدهم، و</w:t>
      </w:r>
      <w:r>
        <w:rPr>
          <w:rFonts w:ascii="Traditional Arabic" w:hAnsi="Traditional Arabic"/>
          <w:sz w:val="32"/>
          <w:szCs w:val="32"/>
          <w:rtl/>
        </w:rPr>
        <w:t>هم الجماعة. انظر: العين (7/217)</w:t>
      </w:r>
      <w:r w:rsidRPr="007F0E28">
        <w:rPr>
          <w:rFonts w:ascii="Traditional Arabic" w:hAnsi="Traditional Arabic"/>
          <w:sz w:val="32"/>
          <w:szCs w:val="32"/>
          <w:rtl/>
        </w:rPr>
        <w:t xml:space="preserve"> مادة (فسط), </w:t>
      </w:r>
      <w:r w:rsidRPr="007F0E28">
        <w:rPr>
          <w:rFonts w:ascii="Traditional Arabic" w:hAnsi="Traditional Arabic"/>
          <w:sz w:val="32"/>
          <w:szCs w:val="32"/>
          <w:rtl/>
          <w:lang w:eastAsia="en-US"/>
        </w:rPr>
        <w:t>تهذيب اللغة (12/238)</w:t>
      </w:r>
      <w:r w:rsidRPr="007F0E28">
        <w:rPr>
          <w:rFonts w:ascii="Traditional Arabic" w:hAnsi="Traditional Arabic"/>
          <w:sz w:val="32"/>
          <w:szCs w:val="32"/>
          <w:rtl/>
        </w:rPr>
        <w:t xml:space="preserve"> مادة (فسط).</w:t>
      </w:r>
    </w:p>
  </w:footnote>
  <w:footnote w:id="1250">
    <w:p w:rsidR="003F128F" w:rsidRPr="007F0E28" w:rsidRDefault="003F128F" w:rsidP="00205C94">
      <w:pPr>
        <w:pStyle w:val="af3"/>
        <w:rPr>
          <w:rFonts w:ascii="Traditional Arabic" w:hAnsi="Traditional Arabic"/>
          <w:sz w:val="32"/>
          <w:szCs w:val="32"/>
        </w:rPr>
      </w:pPr>
      <w:r w:rsidRPr="007F0E28">
        <w:rPr>
          <w:rFonts w:ascii="Traditional Arabic" w:hAnsi="Traditional Arabic"/>
          <w:sz w:val="32"/>
          <w:szCs w:val="32"/>
          <w:rtl/>
        </w:rPr>
        <w:t>(</w:t>
      </w:r>
      <w:r w:rsidRPr="007F0E28">
        <w:rPr>
          <w:rStyle w:val="ae"/>
          <w:rFonts w:ascii="Traditional Arabic" w:hAnsi="Traditional Arabic"/>
          <w:sz w:val="32"/>
          <w:szCs w:val="32"/>
          <w:vertAlign w:val="baseline"/>
        </w:rPr>
        <w:footnoteRef/>
      </w:r>
      <w:r w:rsidRPr="007F0E28">
        <w:rPr>
          <w:rFonts w:ascii="Traditional Arabic" w:hAnsi="Traditional Arabic"/>
          <w:sz w:val="32"/>
          <w:szCs w:val="32"/>
          <w:rtl/>
        </w:rPr>
        <w:t>) غريب القرآن (</w:t>
      </w:r>
      <w:r>
        <w:rPr>
          <w:rFonts w:ascii="Traditional Arabic" w:hAnsi="Traditional Arabic" w:hint="cs"/>
          <w:sz w:val="32"/>
          <w:szCs w:val="32"/>
          <w:rtl/>
        </w:rPr>
        <w:t>ص267</w:t>
      </w:r>
      <w:r w:rsidRPr="007F0E28">
        <w:rPr>
          <w:rFonts w:ascii="Traditional Arabic" w:hAnsi="Traditional Arabic"/>
          <w:sz w:val="32"/>
          <w:szCs w:val="32"/>
          <w:rtl/>
        </w:rPr>
        <w:t>).</w:t>
      </w:r>
    </w:p>
  </w:footnote>
  <w:footnote w:id="1251">
    <w:p w:rsidR="003F128F" w:rsidRPr="002B7FD4" w:rsidRDefault="003F128F" w:rsidP="005C21CD">
      <w:pPr>
        <w:pStyle w:val="af3"/>
        <w:rPr>
          <w:rFonts w:ascii="Traditional Arabic" w:hAnsi="Traditional Arabic"/>
          <w:sz w:val="32"/>
          <w:szCs w:val="32"/>
        </w:rPr>
      </w:pPr>
      <w:r w:rsidRPr="002B7FD4">
        <w:rPr>
          <w:rFonts w:ascii="Traditional Arabic" w:hAnsi="Traditional Arabic"/>
          <w:sz w:val="32"/>
          <w:szCs w:val="32"/>
          <w:rtl/>
        </w:rPr>
        <w:t>(</w:t>
      </w:r>
      <w:r w:rsidRPr="002B7FD4">
        <w:rPr>
          <w:rStyle w:val="ae"/>
          <w:rFonts w:ascii="Traditional Arabic" w:hAnsi="Traditional Arabic"/>
          <w:sz w:val="32"/>
          <w:szCs w:val="32"/>
          <w:vertAlign w:val="baseline"/>
        </w:rPr>
        <w:footnoteRef/>
      </w:r>
      <w:r>
        <w:rPr>
          <w:rFonts w:ascii="Traditional Arabic" w:hAnsi="Traditional Arabic"/>
          <w:sz w:val="32"/>
          <w:szCs w:val="32"/>
          <w:rtl/>
        </w:rPr>
        <w:t>)</w:t>
      </w:r>
      <w:r w:rsidRPr="002B7FD4">
        <w:rPr>
          <w:rFonts w:ascii="Traditional Arabic" w:hAnsi="Traditional Arabic"/>
          <w:sz w:val="32"/>
          <w:szCs w:val="32"/>
          <w:rtl/>
        </w:rPr>
        <w:t xml:space="preserve"> هو </w:t>
      </w:r>
      <w:r>
        <w:rPr>
          <w:rFonts w:ascii="Traditional Arabic" w:hAnsi="Traditional Arabic"/>
          <w:sz w:val="32"/>
          <w:szCs w:val="32"/>
          <w:rtl/>
        </w:rPr>
        <w:t>الإمام</w:t>
      </w:r>
      <w:r w:rsidRPr="002B7FD4">
        <w:rPr>
          <w:rFonts w:ascii="Traditional Arabic" w:hAnsi="Traditional Arabic"/>
          <w:sz w:val="32"/>
          <w:szCs w:val="32"/>
          <w:rtl/>
        </w:rPr>
        <w:t xml:space="preserve"> أبو منصور</w:t>
      </w:r>
      <w:r>
        <w:rPr>
          <w:rFonts w:ascii="Traditional Arabic" w:hAnsi="Traditional Arabic" w:hint="cs"/>
          <w:sz w:val="32"/>
          <w:szCs w:val="32"/>
          <w:rtl/>
        </w:rPr>
        <w:t>,</w:t>
      </w:r>
      <w:r w:rsidRPr="002B7FD4">
        <w:rPr>
          <w:rFonts w:ascii="Traditional Arabic" w:hAnsi="Traditional Arabic"/>
          <w:sz w:val="32"/>
          <w:szCs w:val="32"/>
          <w:rtl/>
        </w:rPr>
        <w:t xml:space="preserve"> موهوب بن أبي طاهر أحمد بن محمد بن الخضر، الجواليقي, البغدادي, الأديب اللغوي, كان إماماً في فنون الأدب، وهو من مفاخر بغداد, </w:t>
      </w:r>
      <w:r w:rsidRPr="002B7FD4">
        <w:rPr>
          <w:rFonts w:ascii="Traditional Arabic" w:hAnsi="Traditional Arabic"/>
          <w:sz w:val="32"/>
          <w:szCs w:val="32"/>
          <w:rtl/>
          <w:lang w:eastAsia="en-US"/>
        </w:rPr>
        <w:t>صنف التصانيف</w:t>
      </w:r>
      <w:r w:rsidRPr="002B7FD4">
        <w:rPr>
          <w:rFonts w:ascii="Traditional Arabic" w:hAnsi="Traditional Arabic"/>
          <w:sz w:val="32"/>
          <w:szCs w:val="32"/>
          <w:rtl/>
        </w:rPr>
        <w:t xml:space="preserve"> منها: "المعرب", (ت540ه). انظر: وفيات الأعيان (5/342), سير أعلام النبلاء (20/89).</w:t>
      </w:r>
    </w:p>
  </w:footnote>
  <w:footnote w:id="1252">
    <w:p w:rsidR="003F128F" w:rsidRPr="002B7FD4" w:rsidRDefault="003F128F" w:rsidP="005C21CD">
      <w:pPr>
        <w:pStyle w:val="af3"/>
        <w:rPr>
          <w:rFonts w:ascii="Traditional Arabic" w:hAnsi="Traditional Arabic"/>
          <w:sz w:val="32"/>
          <w:szCs w:val="32"/>
        </w:rPr>
      </w:pPr>
      <w:r w:rsidRPr="002B7FD4">
        <w:rPr>
          <w:rFonts w:ascii="Traditional Arabic" w:hAnsi="Traditional Arabic"/>
          <w:sz w:val="32"/>
          <w:szCs w:val="32"/>
          <w:rtl/>
        </w:rPr>
        <w:t>(</w:t>
      </w:r>
      <w:r w:rsidRPr="002B7FD4">
        <w:rPr>
          <w:rStyle w:val="ae"/>
          <w:rFonts w:ascii="Traditional Arabic" w:hAnsi="Traditional Arabic"/>
          <w:sz w:val="32"/>
          <w:szCs w:val="32"/>
          <w:vertAlign w:val="baseline"/>
        </w:rPr>
        <w:footnoteRef/>
      </w:r>
      <w:r w:rsidRPr="002B7FD4">
        <w:rPr>
          <w:rFonts w:ascii="Traditional Arabic" w:hAnsi="Traditional Arabic"/>
          <w:sz w:val="32"/>
          <w:szCs w:val="32"/>
          <w:rtl/>
        </w:rPr>
        <w:t>)</w:t>
      </w:r>
      <w:r w:rsidRPr="002B7FD4">
        <w:rPr>
          <w:rFonts w:ascii="Traditional Arabic" w:hAnsi="Traditional Arabic"/>
          <w:b/>
          <w:bCs/>
          <w:sz w:val="32"/>
          <w:szCs w:val="32"/>
          <w:rtl/>
        </w:rPr>
        <w:t xml:space="preserve"> </w:t>
      </w:r>
      <w:r w:rsidRPr="002B7FD4">
        <w:rPr>
          <w:rFonts w:ascii="Traditional Arabic" w:hAnsi="Traditional Arabic"/>
          <w:sz w:val="32"/>
          <w:szCs w:val="32"/>
          <w:rtl/>
        </w:rPr>
        <w:t xml:space="preserve">الدِهْليزُ بالكسر: ما بين الباب والدار، </w:t>
      </w:r>
      <w:r>
        <w:rPr>
          <w:rFonts w:ascii="Traditional Arabic" w:hAnsi="Traditional Arabic" w:hint="cs"/>
          <w:sz w:val="32"/>
          <w:szCs w:val="32"/>
          <w:rtl/>
        </w:rPr>
        <w:t xml:space="preserve">وهو </w:t>
      </w:r>
      <w:r w:rsidRPr="002B7FD4">
        <w:rPr>
          <w:rFonts w:ascii="Traditional Arabic" w:hAnsi="Traditional Arabic"/>
          <w:sz w:val="32"/>
          <w:szCs w:val="32"/>
          <w:rtl/>
        </w:rPr>
        <w:t>فارس</w:t>
      </w:r>
      <w:r>
        <w:rPr>
          <w:rFonts w:ascii="Traditional Arabic" w:hAnsi="Traditional Arabic"/>
          <w:sz w:val="32"/>
          <w:szCs w:val="32"/>
          <w:rtl/>
        </w:rPr>
        <w:t>يٌّ معرّب. انظر: الصحاح (3/878)</w:t>
      </w:r>
      <w:r w:rsidRPr="002B7FD4">
        <w:rPr>
          <w:rFonts w:ascii="Traditional Arabic" w:hAnsi="Traditional Arabic"/>
          <w:sz w:val="32"/>
          <w:szCs w:val="32"/>
          <w:rtl/>
        </w:rPr>
        <w:t xml:space="preserve"> </w:t>
      </w:r>
      <w:r>
        <w:rPr>
          <w:rFonts w:ascii="Traditional Arabic" w:hAnsi="Traditional Arabic"/>
          <w:sz w:val="32"/>
          <w:szCs w:val="32"/>
          <w:rtl/>
        </w:rPr>
        <w:t>مادة (دهلز), لسان العرب (5/349)</w:t>
      </w:r>
      <w:r w:rsidRPr="002B7FD4">
        <w:rPr>
          <w:rFonts w:ascii="Traditional Arabic" w:hAnsi="Traditional Arabic"/>
          <w:sz w:val="32"/>
          <w:szCs w:val="32"/>
          <w:rtl/>
        </w:rPr>
        <w:t xml:space="preserve"> مادة (دهلز).</w:t>
      </w:r>
    </w:p>
  </w:footnote>
  <w:footnote w:id="1253">
    <w:p w:rsidR="003F128F" w:rsidRPr="00D10D7D" w:rsidRDefault="003F128F" w:rsidP="00205C94">
      <w:pPr>
        <w:pStyle w:val="af3"/>
        <w:rPr>
          <w:rFonts w:ascii="Traditional Arabic" w:hAnsi="Traditional Arabic"/>
          <w:sz w:val="32"/>
          <w:szCs w:val="32"/>
        </w:rPr>
      </w:pPr>
      <w:r w:rsidRPr="00D10D7D">
        <w:rPr>
          <w:rFonts w:ascii="Traditional Arabic" w:hAnsi="Traditional Arabic"/>
          <w:sz w:val="32"/>
          <w:szCs w:val="32"/>
          <w:rtl/>
        </w:rPr>
        <w:t>(</w:t>
      </w:r>
      <w:r w:rsidRPr="00D10D7D">
        <w:rPr>
          <w:rStyle w:val="ae"/>
          <w:rFonts w:ascii="Traditional Arabic" w:hAnsi="Traditional Arabic"/>
          <w:sz w:val="32"/>
          <w:szCs w:val="32"/>
          <w:vertAlign w:val="baseline"/>
        </w:rPr>
        <w:footnoteRef/>
      </w:r>
      <w:r>
        <w:rPr>
          <w:rFonts w:ascii="Traditional Arabic" w:hAnsi="Traditional Arabic"/>
          <w:sz w:val="32"/>
          <w:szCs w:val="32"/>
          <w:rtl/>
        </w:rPr>
        <w:t xml:space="preserve">) في </w:t>
      </w:r>
      <w:r>
        <w:rPr>
          <w:rFonts w:ascii="Traditional Arabic" w:hAnsi="Traditional Arabic" w:hint="cs"/>
          <w:sz w:val="32"/>
          <w:szCs w:val="32"/>
          <w:rtl/>
        </w:rPr>
        <w:t>الأصل:</w:t>
      </w:r>
      <w:r>
        <w:rPr>
          <w:rFonts w:ascii="Traditional Arabic" w:hAnsi="Traditional Arabic"/>
          <w:sz w:val="32"/>
          <w:szCs w:val="32"/>
          <w:rtl/>
        </w:rPr>
        <w:t xml:space="preserve"> </w:t>
      </w:r>
      <w:r>
        <w:rPr>
          <w:rFonts w:ascii="Traditional Arabic" w:hAnsi="Traditional Arabic" w:hint="cs"/>
          <w:sz w:val="32"/>
          <w:szCs w:val="32"/>
          <w:rtl/>
        </w:rPr>
        <w:t>[</w:t>
      </w:r>
      <w:r>
        <w:rPr>
          <w:rFonts w:ascii="Traditional Arabic" w:hAnsi="Traditional Arabic"/>
          <w:sz w:val="32"/>
          <w:szCs w:val="32"/>
          <w:rtl/>
        </w:rPr>
        <w:t>لها</w:t>
      </w:r>
      <w:r>
        <w:rPr>
          <w:rFonts w:ascii="Traditional Arabic" w:hAnsi="Traditional Arabic" w:hint="cs"/>
          <w:sz w:val="32"/>
          <w:szCs w:val="32"/>
          <w:rtl/>
        </w:rPr>
        <w:t>], والمثبت من (ك) وهو موافق لما في ديوان الفرزدق</w:t>
      </w:r>
      <w:r w:rsidRPr="00D10D7D">
        <w:rPr>
          <w:rFonts w:ascii="Traditional Arabic" w:hAnsi="Traditional Arabic"/>
          <w:sz w:val="32"/>
          <w:szCs w:val="32"/>
          <w:rtl/>
        </w:rPr>
        <w:t>.</w:t>
      </w:r>
    </w:p>
  </w:footnote>
  <w:footnote w:id="1254">
    <w:p w:rsidR="003F128F" w:rsidRPr="002B7FD4" w:rsidRDefault="003F128F" w:rsidP="00205C94">
      <w:pPr>
        <w:pStyle w:val="af3"/>
        <w:ind w:left="0" w:firstLine="0"/>
        <w:rPr>
          <w:rFonts w:ascii="Traditional Arabic" w:hAnsi="Traditional Arabic"/>
          <w:sz w:val="32"/>
          <w:szCs w:val="32"/>
        </w:rPr>
      </w:pPr>
      <w:r w:rsidRPr="00D10D7D">
        <w:rPr>
          <w:rFonts w:ascii="Traditional Arabic" w:hAnsi="Traditional Arabic"/>
          <w:sz w:val="32"/>
          <w:szCs w:val="32"/>
          <w:rtl/>
        </w:rPr>
        <w:t>(</w:t>
      </w:r>
      <w:r w:rsidRPr="00D10D7D">
        <w:rPr>
          <w:rStyle w:val="ae"/>
          <w:rFonts w:ascii="Traditional Arabic" w:hAnsi="Traditional Arabic"/>
          <w:sz w:val="32"/>
          <w:szCs w:val="32"/>
          <w:vertAlign w:val="baseline"/>
        </w:rPr>
        <w:footnoteRef/>
      </w:r>
      <w:r w:rsidRPr="00D10D7D">
        <w:rPr>
          <w:rFonts w:ascii="Traditional Arabic" w:hAnsi="Traditional Arabic"/>
          <w:sz w:val="32"/>
          <w:szCs w:val="32"/>
          <w:rtl/>
        </w:rPr>
        <w:t>) ديوان الفرزدق (ص405</w:t>
      </w:r>
      <w:r w:rsidRPr="002B7FD4">
        <w:rPr>
          <w:rFonts w:ascii="Traditional Arabic" w:hAnsi="Traditional Arabic"/>
          <w:sz w:val="32"/>
          <w:szCs w:val="32"/>
          <w:rtl/>
        </w:rPr>
        <w:t>).</w:t>
      </w:r>
    </w:p>
  </w:footnote>
  <w:footnote w:id="1255">
    <w:p w:rsidR="003F128F" w:rsidRPr="002B7FD4" w:rsidRDefault="003F128F" w:rsidP="00205C94">
      <w:pPr>
        <w:pStyle w:val="af3"/>
        <w:rPr>
          <w:rFonts w:ascii="Traditional Arabic" w:hAnsi="Traditional Arabic"/>
          <w:sz w:val="32"/>
          <w:szCs w:val="32"/>
        </w:rPr>
      </w:pPr>
      <w:r w:rsidRPr="002B7FD4">
        <w:rPr>
          <w:rFonts w:ascii="Traditional Arabic" w:hAnsi="Traditional Arabic"/>
          <w:sz w:val="32"/>
          <w:szCs w:val="32"/>
          <w:rtl/>
        </w:rPr>
        <w:t>(</w:t>
      </w:r>
      <w:r w:rsidRPr="002B7FD4">
        <w:rPr>
          <w:rStyle w:val="ae"/>
          <w:rFonts w:ascii="Traditional Arabic" w:hAnsi="Traditional Arabic"/>
          <w:sz w:val="32"/>
          <w:szCs w:val="32"/>
          <w:vertAlign w:val="baseline"/>
        </w:rPr>
        <w:footnoteRef/>
      </w:r>
      <w:r w:rsidRPr="002B7FD4">
        <w:rPr>
          <w:rFonts w:ascii="Traditional Arabic" w:hAnsi="Traditional Arabic"/>
          <w:sz w:val="32"/>
          <w:szCs w:val="32"/>
          <w:rtl/>
        </w:rPr>
        <w:t>) المعرب من الكلام الأعجمي لأبي منصور اللغوي (ص248).</w:t>
      </w:r>
    </w:p>
  </w:footnote>
  <w:footnote w:id="1256">
    <w:p w:rsidR="003F128F" w:rsidRPr="002B7FD4" w:rsidRDefault="003F128F" w:rsidP="005069F6">
      <w:pPr>
        <w:pStyle w:val="af3"/>
        <w:rPr>
          <w:rFonts w:ascii="Tahoma" w:hAnsi="Tahoma"/>
          <w:sz w:val="32"/>
          <w:szCs w:val="32"/>
        </w:rPr>
      </w:pPr>
      <w:r w:rsidRPr="002B7FD4">
        <w:rPr>
          <w:rFonts w:ascii="Traditional Arabic" w:hAnsi="Traditional Arabic"/>
          <w:sz w:val="32"/>
          <w:szCs w:val="32"/>
          <w:rtl/>
        </w:rPr>
        <w:t>(</w:t>
      </w:r>
      <w:r w:rsidRPr="002B7FD4">
        <w:rPr>
          <w:rStyle w:val="ae"/>
          <w:rFonts w:ascii="Traditional Arabic" w:hAnsi="Traditional Arabic"/>
          <w:sz w:val="32"/>
          <w:szCs w:val="32"/>
          <w:vertAlign w:val="baseline"/>
        </w:rPr>
        <w:footnoteRef/>
      </w:r>
      <w:r w:rsidRPr="002B7FD4">
        <w:rPr>
          <w:rFonts w:ascii="Traditional Arabic" w:hAnsi="Traditional Arabic"/>
          <w:sz w:val="32"/>
          <w:szCs w:val="32"/>
          <w:rtl/>
        </w:rPr>
        <w:t>)</w:t>
      </w:r>
      <w:r w:rsidRPr="002B7FD4">
        <w:rPr>
          <w:rFonts w:ascii="Tahoma" w:hAnsi="Tahoma"/>
          <w:sz w:val="32"/>
          <w:szCs w:val="32"/>
          <w:rtl/>
        </w:rPr>
        <w:t xml:space="preserve"> </w:t>
      </w:r>
      <w:r w:rsidRPr="002B7FD4">
        <w:rPr>
          <w:rFonts w:ascii="Tahoma" w:hAnsi="Tahoma" w:hint="cs"/>
          <w:sz w:val="32"/>
          <w:szCs w:val="32"/>
          <w:rtl/>
        </w:rPr>
        <w:t>انظر:</w:t>
      </w:r>
      <w:r w:rsidRPr="002B7FD4">
        <w:rPr>
          <w:rFonts w:ascii="Traditional Arabic" w:hAnsi="Traditional Arabic"/>
          <w:sz w:val="32"/>
          <w:szCs w:val="32"/>
          <w:rtl/>
        </w:rPr>
        <w:t xml:space="preserve"> تفسير الطبري (18/1</w:t>
      </w:r>
      <w:r w:rsidRPr="002B7FD4">
        <w:rPr>
          <w:rFonts w:ascii="Traditional Arabic" w:hAnsi="Traditional Arabic" w:hint="cs"/>
          <w:sz w:val="32"/>
          <w:szCs w:val="32"/>
          <w:rtl/>
        </w:rPr>
        <w:t>1</w:t>
      </w:r>
      <w:r w:rsidRPr="002B7FD4">
        <w:rPr>
          <w:rFonts w:ascii="Traditional Arabic" w:hAnsi="Traditional Arabic"/>
          <w:sz w:val="32"/>
          <w:szCs w:val="32"/>
          <w:rtl/>
        </w:rPr>
        <w:t>), الكشف والبيان (6/167)</w:t>
      </w:r>
      <w:r>
        <w:rPr>
          <w:rFonts w:ascii="Traditional Arabic" w:hAnsi="Traditional Arabic" w:hint="cs"/>
          <w:sz w:val="32"/>
          <w:szCs w:val="32"/>
          <w:rtl/>
        </w:rPr>
        <w:t>.</w:t>
      </w:r>
      <w:r w:rsidRPr="002B7FD4">
        <w:rPr>
          <w:rFonts w:ascii="Tahoma" w:hAnsi="Tahoma"/>
          <w:sz w:val="32"/>
          <w:szCs w:val="32"/>
          <w:rtl/>
        </w:rPr>
        <w:t xml:space="preserve"> </w:t>
      </w:r>
    </w:p>
  </w:footnote>
  <w:footnote w:id="1257">
    <w:p w:rsidR="003F128F" w:rsidRPr="00B67478" w:rsidRDefault="003F128F" w:rsidP="005C21CD">
      <w:pPr>
        <w:pStyle w:val="af3"/>
        <w:rPr>
          <w:rFonts w:ascii="Traditional Arabic" w:hAnsi="Traditional Arabic"/>
          <w:sz w:val="32"/>
          <w:szCs w:val="32"/>
        </w:rPr>
      </w:pPr>
      <w:r w:rsidRPr="002B7FD4">
        <w:rPr>
          <w:rFonts w:ascii="Traditional Arabic" w:hAnsi="Traditional Arabic"/>
          <w:sz w:val="32"/>
          <w:szCs w:val="32"/>
          <w:rtl/>
        </w:rPr>
        <w:t>(</w:t>
      </w:r>
      <w:r w:rsidRPr="002B7FD4">
        <w:rPr>
          <w:rStyle w:val="ae"/>
          <w:rFonts w:ascii="Traditional Arabic" w:hAnsi="Traditional Arabic"/>
          <w:sz w:val="32"/>
          <w:szCs w:val="32"/>
          <w:vertAlign w:val="baseline"/>
        </w:rPr>
        <w:footnoteRef/>
      </w:r>
      <w:r w:rsidRPr="002B7FD4">
        <w:rPr>
          <w:rFonts w:ascii="Traditional Arabic" w:hAnsi="Traditional Arabic"/>
          <w:sz w:val="32"/>
          <w:szCs w:val="32"/>
          <w:rtl/>
        </w:rPr>
        <w:t>)</w:t>
      </w:r>
      <w:r w:rsidRPr="002B7FD4">
        <w:rPr>
          <w:rFonts w:ascii="Traditional Arabic" w:hAnsi="Traditional Arabic" w:hint="cs"/>
          <w:sz w:val="32"/>
          <w:szCs w:val="32"/>
          <w:rtl/>
        </w:rPr>
        <w:t xml:space="preserve"> </w:t>
      </w:r>
      <w:r w:rsidRPr="002B7FD4">
        <w:rPr>
          <w:rFonts w:ascii="Traditional Arabic" w:hAnsi="Traditional Arabic"/>
          <w:sz w:val="32"/>
          <w:szCs w:val="32"/>
          <w:rtl/>
        </w:rPr>
        <w:t xml:space="preserve">هو صاحب رسول الله </w:t>
      </w:r>
      <w:r w:rsidRPr="002B7FD4">
        <w:rPr>
          <w:rFonts w:ascii="Traditional Arabic" w:hAnsi="Traditional Arabic"/>
          <w:sz w:val="32"/>
          <w:szCs w:val="32"/>
        </w:rPr>
        <w:sym w:font="AGA Arabesque" w:char="F072"/>
      </w:r>
      <w:r>
        <w:rPr>
          <w:rFonts w:ascii="Traditional Arabic" w:hAnsi="Traditional Arabic" w:hint="cs"/>
          <w:sz w:val="32"/>
          <w:szCs w:val="32"/>
          <w:rtl/>
        </w:rPr>
        <w:t>,</w:t>
      </w:r>
      <w:r w:rsidRPr="002B7FD4">
        <w:rPr>
          <w:rFonts w:ascii="Traditional Arabic" w:hAnsi="Traditional Arabic"/>
          <w:sz w:val="32"/>
          <w:szCs w:val="32"/>
          <w:rtl/>
        </w:rPr>
        <w:t xml:space="preserve"> أَبو سعيد</w:t>
      </w:r>
      <w:r>
        <w:rPr>
          <w:rFonts w:ascii="Traditional Arabic" w:hAnsi="Traditional Arabic" w:hint="cs"/>
          <w:sz w:val="32"/>
          <w:szCs w:val="32"/>
          <w:rtl/>
        </w:rPr>
        <w:t>,</w:t>
      </w:r>
      <w:r w:rsidRPr="002B7FD4">
        <w:rPr>
          <w:rFonts w:ascii="Traditional Arabic" w:hAnsi="Traditional Arabic"/>
          <w:sz w:val="32"/>
          <w:szCs w:val="32"/>
          <w:rtl/>
        </w:rPr>
        <w:t xml:space="preserve"> سعد بن مالك بن سِنَان بن ثعلبة الخُدْرِيُّ</w:t>
      </w:r>
      <w:r w:rsidRPr="002B7FD4">
        <w:rPr>
          <w:rFonts w:ascii="Traditional Arabic" w:hAnsi="Traditional Arabic" w:hint="cs"/>
          <w:sz w:val="32"/>
          <w:szCs w:val="32"/>
          <w:rtl/>
        </w:rPr>
        <w:t xml:space="preserve">, </w:t>
      </w:r>
      <w:r w:rsidRPr="002B7FD4">
        <w:rPr>
          <w:rFonts w:ascii="Traditional Arabic" w:hAnsi="Traditional Arabic"/>
          <w:sz w:val="32"/>
          <w:szCs w:val="32"/>
          <w:rtl/>
        </w:rPr>
        <w:t>الخزرجي</w:t>
      </w:r>
      <w:r w:rsidRPr="002B7FD4">
        <w:rPr>
          <w:rFonts w:ascii="Traditional Arabic" w:hAnsi="Traditional Arabic" w:hint="cs"/>
          <w:sz w:val="32"/>
          <w:szCs w:val="32"/>
          <w:rtl/>
        </w:rPr>
        <w:t>,</w:t>
      </w:r>
      <w:r w:rsidRPr="002B7FD4">
        <w:rPr>
          <w:rFonts w:ascii="Traditional Arabic" w:hAnsi="Traditional Arabic"/>
          <w:sz w:val="32"/>
          <w:szCs w:val="32"/>
          <w:rtl/>
        </w:rPr>
        <w:t xml:space="preserve"> </w:t>
      </w:r>
      <w:r>
        <w:rPr>
          <w:rFonts w:ascii="Traditional Arabic" w:hAnsi="Traditional Arabic"/>
          <w:sz w:val="32"/>
          <w:szCs w:val="32"/>
          <w:rtl/>
        </w:rPr>
        <w:t>الإمام</w:t>
      </w:r>
      <w:r w:rsidRPr="002B7FD4">
        <w:rPr>
          <w:rFonts w:ascii="Traditional Arabic" w:hAnsi="Traditional Arabic"/>
          <w:sz w:val="32"/>
          <w:szCs w:val="32"/>
          <w:rtl/>
        </w:rPr>
        <w:t>، المجاهد، مفتي المدينة</w:t>
      </w:r>
      <w:r w:rsidRPr="002B7FD4">
        <w:rPr>
          <w:rFonts w:ascii="Traditional Arabic" w:hAnsi="Traditional Arabic" w:hint="cs"/>
          <w:sz w:val="32"/>
          <w:szCs w:val="32"/>
          <w:rtl/>
        </w:rPr>
        <w:t>,</w:t>
      </w:r>
      <w:r w:rsidRPr="002B7FD4">
        <w:rPr>
          <w:rFonts w:ascii="Traditional Arabic" w:hAnsi="Traditional Arabic"/>
          <w:sz w:val="32"/>
          <w:szCs w:val="32"/>
          <w:rtl/>
        </w:rPr>
        <w:t xml:space="preserve"> كان من الحفاظ لحديث رسول الله  </w:t>
      </w:r>
      <w:r w:rsidRPr="002B7FD4">
        <w:rPr>
          <w:rFonts w:ascii="Traditional Arabic" w:hAnsi="Traditional Arabic"/>
          <w:sz w:val="32"/>
          <w:szCs w:val="32"/>
        </w:rPr>
        <w:sym w:font="AGA Arabesque" w:char="F072"/>
      </w:r>
      <w:r w:rsidRPr="002B7FD4">
        <w:rPr>
          <w:rFonts w:ascii="Traditional Arabic" w:hAnsi="Traditional Arabic" w:hint="cs"/>
          <w:sz w:val="32"/>
          <w:szCs w:val="32"/>
          <w:rtl/>
        </w:rPr>
        <w:t>,</w:t>
      </w:r>
      <w:r w:rsidRPr="002B7FD4">
        <w:rPr>
          <w:rFonts w:ascii="Traditional Arabic" w:hAnsi="Traditional Arabic"/>
          <w:sz w:val="32"/>
          <w:szCs w:val="32"/>
          <w:rtl/>
        </w:rPr>
        <w:t xml:space="preserve"> المكثرين، ومن العلماء الفضلاء العقلاء</w:t>
      </w:r>
      <w:r w:rsidRPr="002B7FD4">
        <w:rPr>
          <w:rFonts w:ascii="Traditional Arabic" w:hAnsi="Traditional Arabic" w:hint="cs"/>
          <w:sz w:val="32"/>
          <w:szCs w:val="32"/>
          <w:rtl/>
        </w:rPr>
        <w:t>,</w:t>
      </w:r>
      <w:r w:rsidRPr="002B7FD4">
        <w:rPr>
          <w:rFonts w:ascii="Traditional Arabic" w:hAnsi="Traditional Arabic"/>
          <w:sz w:val="32"/>
          <w:szCs w:val="32"/>
          <w:rtl/>
        </w:rPr>
        <w:t xml:space="preserve"> (ت</w:t>
      </w:r>
      <w:r w:rsidRPr="002B7FD4">
        <w:rPr>
          <w:rFonts w:ascii="Traditional Arabic" w:hAnsi="Traditional Arabic" w:hint="cs"/>
          <w:sz w:val="32"/>
          <w:szCs w:val="32"/>
          <w:rtl/>
        </w:rPr>
        <w:t>74</w:t>
      </w:r>
      <w:r w:rsidRPr="002B7FD4">
        <w:rPr>
          <w:rFonts w:ascii="Traditional Arabic" w:hAnsi="Traditional Arabic"/>
          <w:sz w:val="32"/>
          <w:szCs w:val="32"/>
          <w:rtl/>
        </w:rPr>
        <w:t>ه). انظر: طبقات ابن سعد (</w:t>
      </w:r>
      <w:r w:rsidRPr="002B7FD4">
        <w:rPr>
          <w:rFonts w:ascii="Traditional Arabic" w:hAnsi="Traditional Arabic" w:hint="cs"/>
          <w:sz w:val="32"/>
          <w:szCs w:val="32"/>
          <w:rtl/>
        </w:rPr>
        <w:t>5/205</w:t>
      </w:r>
      <w:r w:rsidRPr="002B7FD4">
        <w:rPr>
          <w:rFonts w:ascii="Traditional Arabic" w:hAnsi="Traditional Arabic"/>
          <w:sz w:val="32"/>
          <w:szCs w:val="32"/>
          <w:rtl/>
        </w:rPr>
        <w:t>), اسد الغابة (</w:t>
      </w:r>
      <w:r w:rsidRPr="002B7FD4">
        <w:rPr>
          <w:rFonts w:ascii="Traditional Arabic" w:hAnsi="Traditional Arabic" w:hint="cs"/>
          <w:sz w:val="32"/>
          <w:szCs w:val="32"/>
          <w:rtl/>
        </w:rPr>
        <w:t>6/138</w:t>
      </w:r>
      <w:r w:rsidRPr="002B7FD4">
        <w:rPr>
          <w:rFonts w:ascii="Traditional Arabic" w:hAnsi="Traditional Arabic"/>
          <w:sz w:val="32"/>
          <w:szCs w:val="32"/>
          <w:rtl/>
        </w:rPr>
        <w:t>),</w:t>
      </w:r>
      <w:r w:rsidRPr="002B7FD4">
        <w:rPr>
          <w:rFonts w:ascii="Traditional Arabic" w:hAnsi="Traditional Arabic" w:hint="cs"/>
          <w:sz w:val="32"/>
          <w:szCs w:val="32"/>
          <w:rtl/>
        </w:rPr>
        <w:t xml:space="preserve"> تهذيب الكمال </w:t>
      </w:r>
      <w:r w:rsidRPr="00B67478">
        <w:rPr>
          <w:rFonts w:ascii="Traditional Arabic" w:hAnsi="Traditional Arabic"/>
          <w:sz w:val="32"/>
          <w:szCs w:val="32"/>
          <w:rtl/>
        </w:rPr>
        <w:t xml:space="preserve">(10/246), سير أعلام النبلاء (3/168), الإصابة (3/65). </w:t>
      </w:r>
    </w:p>
  </w:footnote>
  <w:footnote w:id="1258">
    <w:p w:rsidR="003F128F" w:rsidRPr="00B67478" w:rsidRDefault="003F128F" w:rsidP="00205C94">
      <w:pPr>
        <w:pStyle w:val="af3"/>
        <w:rPr>
          <w:rFonts w:ascii="Traditional Arabic" w:hAnsi="Traditional Arabic"/>
          <w:sz w:val="32"/>
          <w:szCs w:val="32"/>
        </w:rPr>
      </w:pPr>
      <w:r w:rsidRPr="00B67478">
        <w:rPr>
          <w:rFonts w:ascii="Traditional Arabic" w:hAnsi="Traditional Arabic"/>
          <w:sz w:val="32"/>
          <w:szCs w:val="32"/>
          <w:rtl/>
        </w:rPr>
        <w:t>(</w:t>
      </w:r>
      <w:r w:rsidRPr="00B67478">
        <w:rPr>
          <w:rStyle w:val="ae"/>
          <w:rFonts w:ascii="Traditional Arabic" w:hAnsi="Traditional Arabic"/>
          <w:sz w:val="32"/>
          <w:szCs w:val="32"/>
          <w:vertAlign w:val="baseline"/>
        </w:rPr>
        <w:footnoteRef/>
      </w:r>
      <w:r w:rsidRPr="00B67478">
        <w:rPr>
          <w:rFonts w:ascii="Traditional Arabic" w:hAnsi="Traditional Arabic"/>
          <w:sz w:val="32"/>
          <w:szCs w:val="32"/>
          <w:rtl/>
        </w:rPr>
        <w:t>) أخرجه أحمد في مسنده (17/</w:t>
      </w:r>
      <w:r>
        <w:rPr>
          <w:rFonts w:ascii="Traditional Arabic" w:hAnsi="Traditional Arabic"/>
          <w:sz w:val="32"/>
          <w:szCs w:val="32"/>
          <w:rtl/>
        </w:rPr>
        <w:t>335 ح11234)، والترمذي في جامعه</w:t>
      </w:r>
      <w:r w:rsidRPr="00B67478">
        <w:rPr>
          <w:rFonts w:ascii="Traditional Arabic" w:hAnsi="Traditional Arabic"/>
          <w:sz w:val="32"/>
          <w:szCs w:val="32"/>
          <w:rtl/>
        </w:rPr>
        <w:t xml:space="preserve"> (كتاب صفة جهنم, باب</w:t>
      </w:r>
      <w:r>
        <w:rPr>
          <w:rFonts w:ascii="Traditional Arabic" w:hAnsi="Traditional Arabic" w:hint="cs"/>
          <w:sz w:val="32"/>
          <w:szCs w:val="32"/>
          <w:rtl/>
        </w:rPr>
        <w:t>:</w:t>
      </w:r>
      <w:r w:rsidRPr="00B67478">
        <w:rPr>
          <w:rFonts w:ascii="Traditional Arabic" w:hAnsi="Traditional Arabic"/>
          <w:sz w:val="32"/>
          <w:szCs w:val="32"/>
          <w:rtl/>
        </w:rPr>
        <w:t xml:space="preserve"> ما جاء في صفة شراب أهل النار 7/344 ح2584), والحاكم في المستدرك (4/643) وقال:</w:t>
      </w:r>
      <w:r w:rsidRPr="00B67478">
        <w:rPr>
          <w:rFonts w:ascii="Traditional Arabic" w:hAnsi="Traditional Arabic"/>
          <w:sz w:val="32"/>
          <w:szCs w:val="32"/>
          <w:rtl/>
          <w:lang w:eastAsia="en-US"/>
        </w:rPr>
        <w:t xml:space="preserve"> </w:t>
      </w:r>
      <w:r w:rsidRPr="00B67478">
        <w:rPr>
          <w:rFonts w:ascii="Traditional Arabic" w:hAnsi="Traditional Arabic"/>
          <w:sz w:val="32"/>
          <w:szCs w:val="32"/>
          <w:rtl/>
        </w:rPr>
        <w:t xml:space="preserve">هذا حديث صحيح الإِسناد ولم يخرجاه. وسكت عنه الذهبي, وأخرجه ابن أبي الدنيا في صفة النار (1/18), وأبو يعلى في مسنده (2/526 ح1389), الطبري في تفسيره (18/12), وابن أبي حاتم في تفسيره (12/648), والواحدي في الوسيط (3/146), والبغوي في معالم التنزيل (5/168), وذكره السيوطي في الدر المنثور (5/384) وزاد نسبته لابن حبان وأبو الشيخ وابن مردويه, والحديث ضعفه الألباني كما في ضعيف سنن الترمذي (ص305 ح479), وضعيف الجامع الصغير (ص674ح4675).  </w:t>
      </w:r>
    </w:p>
  </w:footnote>
  <w:footnote w:id="1259">
    <w:p w:rsidR="003F128F" w:rsidRPr="00A05E14" w:rsidRDefault="003F128F" w:rsidP="00A77542">
      <w:pPr>
        <w:pStyle w:val="af3"/>
        <w:rPr>
          <w:rFonts w:ascii="Tahoma" w:hAnsi="Tahoma"/>
        </w:rPr>
      </w:pPr>
      <w:r w:rsidRPr="00B67478">
        <w:rPr>
          <w:rFonts w:ascii="Traditional Arabic" w:hAnsi="Traditional Arabic"/>
          <w:sz w:val="32"/>
          <w:szCs w:val="32"/>
          <w:rtl/>
        </w:rPr>
        <w:t>(</w:t>
      </w:r>
      <w:r w:rsidRPr="00B67478">
        <w:rPr>
          <w:rStyle w:val="ae"/>
          <w:rFonts w:ascii="Traditional Arabic" w:hAnsi="Traditional Arabic"/>
          <w:sz w:val="32"/>
          <w:szCs w:val="32"/>
          <w:vertAlign w:val="baseline"/>
        </w:rPr>
        <w:footnoteRef/>
      </w:r>
      <w:r w:rsidRPr="00B67478">
        <w:rPr>
          <w:rFonts w:ascii="Traditional Arabic" w:hAnsi="Traditional Arabic"/>
          <w:sz w:val="32"/>
          <w:szCs w:val="32"/>
          <w:rtl/>
        </w:rPr>
        <w:t>)</w:t>
      </w:r>
      <w:r>
        <w:rPr>
          <w:rFonts w:ascii="Traditional Arabic" w:hAnsi="Traditional Arabic" w:hint="cs"/>
          <w:sz w:val="32"/>
          <w:szCs w:val="32"/>
          <w:rtl/>
        </w:rPr>
        <w:t xml:space="preserve"> انظر:</w:t>
      </w:r>
      <w:r>
        <w:rPr>
          <w:rFonts w:ascii="Traditional Arabic" w:hAnsi="Traditional Arabic"/>
          <w:sz w:val="32"/>
          <w:szCs w:val="32"/>
          <w:rtl/>
        </w:rPr>
        <w:t xml:space="preserve"> تفسير</w:t>
      </w:r>
      <w:r>
        <w:rPr>
          <w:rFonts w:ascii="Traditional Arabic" w:hAnsi="Traditional Arabic" w:hint="cs"/>
          <w:sz w:val="32"/>
          <w:szCs w:val="32"/>
          <w:rtl/>
        </w:rPr>
        <w:t xml:space="preserve"> مقاتل</w:t>
      </w:r>
      <w:r w:rsidRPr="00B67478">
        <w:rPr>
          <w:rFonts w:ascii="Traditional Arabic" w:hAnsi="Traditional Arabic"/>
          <w:sz w:val="32"/>
          <w:szCs w:val="32"/>
          <w:rtl/>
        </w:rPr>
        <w:t xml:space="preserve"> (2/583) معاني القرآن</w:t>
      </w:r>
      <w:r>
        <w:rPr>
          <w:rFonts w:ascii="Traditional Arabic" w:hAnsi="Traditional Arabic" w:hint="cs"/>
          <w:sz w:val="32"/>
          <w:szCs w:val="32"/>
          <w:rtl/>
        </w:rPr>
        <w:t xml:space="preserve"> للفراء</w:t>
      </w:r>
      <w:r>
        <w:rPr>
          <w:rFonts w:ascii="Traditional Arabic" w:hAnsi="Traditional Arabic"/>
          <w:sz w:val="32"/>
          <w:szCs w:val="32"/>
          <w:rtl/>
        </w:rPr>
        <w:t xml:space="preserve"> (3/224)</w:t>
      </w:r>
      <w:r w:rsidRPr="00B67478">
        <w:rPr>
          <w:rFonts w:ascii="Traditional Arabic" w:hAnsi="Traditional Arabic"/>
          <w:sz w:val="32"/>
          <w:szCs w:val="32"/>
          <w:rtl/>
        </w:rPr>
        <w:t>كلاهما غير منسوب, و</w:t>
      </w:r>
      <w:r>
        <w:rPr>
          <w:rFonts w:ascii="Traditional Arabic" w:hAnsi="Traditional Arabic" w:hint="cs"/>
          <w:sz w:val="32"/>
          <w:szCs w:val="32"/>
          <w:rtl/>
        </w:rPr>
        <w:t xml:space="preserve">ذكره </w:t>
      </w:r>
      <w:r w:rsidRPr="00B67478">
        <w:rPr>
          <w:rFonts w:ascii="Traditional Arabic" w:hAnsi="Traditional Arabic"/>
          <w:sz w:val="32"/>
          <w:szCs w:val="32"/>
          <w:rtl/>
        </w:rPr>
        <w:t>السمرقندي في بحر العلوم (2/345) ونسبه للكلبي ومقاتل</w:t>
      </w:r>
      <w:r>
        <w:rPr>
          <w:rFonts w:ascii="Traditional Arabic" w:hAnsi="Traditional Arabic" w:hint="cs"/>
          <w:sz w:val="32"/>
          <w:szCs w:val="32"/>
          <w:rtl/>
        </w:rPr>
        <w:t>.</w:t>
      </w:r>
    </w:p>
  </w:footnote>
  <w:footnote w:id="1260">
    <w:p w:rsidR="003F128F" w:rsidRPr="006532CA" w:rsidRDefault="003F128F" w:rsidP="00DC21B6">
      <w:pPr>
        <w:pStyle w:val="af3"/>
        <w:rPr>
          <w:rFonts w:ascii="Traditional Arabic" w:hAnsi="Traditional Arabic"/>
          <w:sz w:val="32"/>
          <w:szCs w:val="32"/>
        </w:rPr>
      </w:pPr>
      <w:r w:rsidRPr="006532CA">
        <w:rPr>
          <w:rFonts w:ascii="Traditional Arabic" w:hAnsi="Traditional Arabic"/>
          <w:sz w:val="32"/>
          <w:szCs w:val="32"/>
          <w:rtl/>
        </w:rPr>
        <w:t>(</w:t>
      </w:r>
      <w:r w:rsidRPr="006532CA">
        <w:rPr>
          <w:rStyle w:val="ae"/>
          <w:rFonts w:ascii="Traditional Arabic" w:hAnsi="Traditional Arabic"/>
          <w:sz w:val="32"/>
          <w:szCs w:val="32"/>
          <w:vertAlign w:val="baseline"/>
        </w:rPr>
        <w:footnoteRef/>
      </w:r>
      <w:r w:rsidRPr="006532CA">
        <w:rPr>
          <w:rFonts w:ascii="Traditional Arabic" w:hAnsi="Traditional Arabic"/>
          <w:sz w:val="32"/>
          <w:szCs w:val="32"/>
          <w:rtl/>
        </w:rPr>
        <w:t xml:space="preserve">) سورة المرسلات, الآية: (30).  </w:t>
      </w:r>
    </w:p>
  </w:footnote>
  <w:footnote w:id="1261">
    <w:p w:rsidR="003F128F" w:rsidRPr="006532CA" w:rsidRDefault="003F128F" w:rsidP="00DC21B6">
      <w:pPr>
        <w:pStyle w:val="af3"/>
        <w:rPr>
          <w:rFonts w:ascii="Traditional Arabic" w:hAnsi="Traditional Arabic"/>
          <w:sz w:val="32"/>
          <w:szCs w:val="32"/>
        </w:rPr>
      </w:pPr>
      <w:r w:rsidRPr="006532CA">
        <w:rPr>
          <w:rFonts w:ascii="Traditional Arabic" w:hAnsi="Traditional Arabic"/>
          <w:sz w:val="32"/>
          <w:szCs w:val="32"/>
          <w:rtl/>
        </w:rPr>
        <w:t>(</w:t>
      </w:r>
      <w:r w:rsidRPr="006532CA">
        <w:rPr>
          <w:rStyle w:val="ae"/>
          <w:rFonts w:ascii="Traditional Arabic" w:hAnsi="Traditional Arabic"/>
          <w:sz w:val="32"/>
          <w:szCs w:val="32"/>
          <w:vertAlign w:val="baseline"/>
        </w:rPr>
        <w:footnoteRef/>
      </w:r>
      <w:r w:rsidRPr="006532CA">
        <w:rPr>
          <w:rFonts w:ascii="Traditional Arabic" w:hAnsi="Traditional Arabic"/>
          <w:sz w:val="32"/>
          <w:szCs w:val="32"/>
          <w:rtl/>
        </w:rPr>
        <w:t xml:space="preserve">) غريب القرآن (ص267). </w:t>
      </w:r>
    </w:p>
  </w:footnote>
  <w:footnote w:id="1262">
    <w:p w:rsidR="003F128F" w:rsidRPr="006532CA" w:rsidRDefault="003F128F" w:rsidP="00DC21B6">
      <w:pPr>
        <w:pStyle w:val="af3"/>
        <w:rPr>
          <w:rFonts w:ascii="Traditional Arabic" w:hAnsi="Traditional Arabic"/>
          <w:sz w:val="32"/>
          <w:szCs w:val="32"/>
        </w:rPr>
      </w:pPr>
      <w:r w:rsidRPr="006532CA">
        <w:rPr>
          <w:rFonts w:ascii="Traditional Arabic" w:hAnsi="Traditional Arabic"/>
          <w:sz w:val="32"/>
          <w:szCs w:val="32"/>
          <w:rtl/>
        </w:rPr>
        <w:t>(</w:t>
      </w:r>
      <w:r w:rsidRPr="006532CA">
        <w:rPr>
          <w:rStyle w:val="ae"/>
          <w:rFonts w:ascii="Traditional Arabic" w:hAnsi="Traditional Arabic"/>
          <w:sz w:val="32"/>
          <w:szCs w:val="32"/>
          <w:vertAlign w:val="baseline"/>
        </w:rPr>
        <w:footnoteRef/>
      </w:r>
      <w:r w:rsidRPr="006532CA">
        <w:rPr>
          <w:rFonts w:ascii="Traditional Arabic" w:hAnsi="Traditional Arabic"/>
          <w:sz w:val="32"/>
          <w:szCs w:val="32"/>
          <w:rtl/>
        </w:rPr>
        <w:t>) انظر: تفسير الطبري (18/12), بحر العلوم (2/345), التفسير الوسيط (3/146).</w:t>
      </w:r>
    </w:p>
  </w:footnote>
  <w:footnote w:id="1263">
    <w:p w:rsidR="003F128F" w:rsidRPr="006532CA" w:rsidRDefault="003F128F" w:rsidP="00DC21B6">
      <w:pPr>
        <w:pStyle w:val="af3"/>
        <w:rPr>
          <w:rFonts w:ascii="Traditional Arabic" w:hAnsi="Traditional Arabic"/>
          <w:sz w:val="32"/>
          <w:szCs w:val="32"/>
        </w:rPr>
      </w:pPr>
      <w:r w:rsidRPr="006532CA">
        <w:rPr>
          <w:rFonts w:ascii="Traditional Arabic" w:hAnsi="Traditional Arabic"/>
          <w:sz w:val="32"/>
          <w:szCs w:val="32"/>
          <w:rtl/>
        </w:rPr>
        <w:t>(</w:t>
      </w:r>
      <w:r w:rsidRPr="006532CA">
        <w:rPr>
          <w:rStyle w:val="ae"/>
          <w:rFonts w:ascii="Traditional Arabic" w:hAnsi="Traditional Arabic"/>
          <w:sz w:val="32"/>
          <w:szCs w:val="32"/>
          <w:vertAlign w:val="baseline"/>
        </w:rPr>
        <w:footnoteRef/>
      </w:r>
      <w:r w:rsidRPr="006532CA">
        <w:rPr>
          <w:rFonts w:ascii="Traditional Arabic" w:hAnsi="Traditional Arabic"/>
          <w:sz w:val="32"/>
          <w:szCs w:val="32"/>
          <w:rtl/>
        </w:rPr>
        <w:t>) دُرْدِي</w:t>
      </w:r>
      <w:r>
        <w:rPr>
          <w:rFonts w:ascii="Traditional Arabic" w:hAnsi="Traditional Arabic"/>
          <w:sz w:val="32"/>
          <w:szCs w:val="32"/>
          <w:rtl/>
        </w:rPr>
        <w:t>ُّ الزيت: ما يبقى</w:t>
      </w:r>
      <w:r>
        <w:rPr>
          <w:rFonts w:ascii="Traditional Arabic" w:hAnsi="Traditional Arabic" w:hint="cs"/>
          <w:sz w:val="32"/>
          <w:szCs w:val="32"/>
          <w:rtl/>
        </w:rPr>
        <w:t xml:space="preserve"> ويركد</w:t>
      </w:r>
      <w:r>
        <w:rPr>
          <w:rFonts w:ascii="Traditional Arabic" w:hAnsi="Traditional Arabic"/>
          <w:sz w:val="32"/>
          <w:szCs w:val="32"/>
          <w:rtl/>
        </w:rPr>
        <w:t xml:space="preserve"> في أسفله. انظر: مختار الصحاح (ص103)</w:t>
      </w:r>
      <w:r w:rsidRPr="006532CA">
        <w:rPr>
          <w:rFonts w:ascii="Traditional Arabic" w:hAnsi="Traditional Arabic"/>
          <w:sz w:val="32"/>
          <w:szCs w:val="32"/>
          <w:rtl/>
        </w:rPr>
        <w:t xml:space="preserve"> مادة (درد)</w:t>
      </w:r>
      <w:r>
        <w:rPr>
          <w:rFonts w:ascii="Traditional Arabic" w:hAnsi="Traditional Arabic" w:hint="cs"/>
          <w:sz w:val="32"/>
          <w:szCs w:val="32"/>
          <w:rtl/>
        </w:rPr>
        <w:t>, لسان العرب (3/166) مادة (درد)</w:t>
      </w:r>
      <w:r w:rsidRPr="006532CA">
        <w:rPr>
          <w:rFonts w:ascii="Traditional Arabic" w:hAnsi="Traditional Arabic"/>
          <w:sz w:val="32"/>
          <w:szCs w:val="32"/>
          <w:rtl/>
        </w:rPr>
        <w:t>.</w:t>
      </w:r>
    </w:p>
  </w:footnote>
  <w:footnote w:id="1264">
    <w:p w:rsidR="003F128F" w:rsidRPr="006532CA" w:rsidRDefault="003F128F" w:rsidP="00DC21B6">
      <w:pPr>
        <w:pStyle w:val="af3"/>
        <w:rPr>
          <w:rFonts w:ascii="Traditional Arabic" w:hAnsi="Traditional Arabic"/>
          <w:sz w:val="32"/>
          <w:szCs w:val="32"/>
        </w:rPr>
      </w:pPr>
      <w:r w:rsidRPr="006532CA">
        <w:rPr>
          <w:rFonts w:ascii="Traditional Arabic" w:hAnsi="Traditional Arabic"/>
          <w:sz w:val="32"/>
          <w:szCs w:val="32"/>
          <w:rtl/>
        </w:rPr>
        <w:t>(</w:t>
      </w:r>
      <w:r w:rsidRPr="006532CA">
        <w:rPr>
          <w:rStyle w:val="ae"/>
          <w:rFonts w:ascii="Traditional Arabic" w:hAnsi="Traditional Arabic"/>
          <w:sz w:val="32"/>
          <w:szCs w:val="32"/>
          <w:vertAlign w:val="baseline"/>
        </w:rPr>
        <w:footnoteRef/>
      </w:r>
      <w:r w:rsidRPr="006532CA">
        <w:rPr>
          <w:rFonts w:ascii="Traditional Arabic" w:hAnsi="Traditional Arabic"/>
          <w:sz w:val="32"/>
          <w:szCs w:val="32"/>
          <w:rtl/>
        </w:rPr>
        <w:t>) انظر: تفسير الطبري (18/13), تفسير ابن أبي حاتم (7/2358).</w:t>
      </w:r>
    </w:p>
  </w:footnote>
  <w:footnote w:id="1265">
    <w:p w:rsidR="003F128F" w:rsidRPr="006532CA" w:rsidRDefault="003F128F" w:rsidP="00DC21B6">
      <w:pPr>
        <w:pStyle w:val="af3"/>
        <w:rPr>
          <w:rFonts w:ascii="Traditional Arabic" w:hAnsi="Traditional Arabic"/>
          <w:sz w:val="32"/>
          <w:szCs w:val="32"/>
        </w:rPr>
      </w:pPr>
      <w:r w:rsidRPr="006532CA">
        <w:rPr>
          <w:rFonts w:ascii="Traditional Arabic" w:hAnsi="Traditional Arabic"/>
          <w:sz w:val="32"/>
          <w:szCs w:val="32"/>
          <w:rtl/>
        </w:rPr>
        <w:t>(</w:t>
      </w:r>
      <w:r w:rsidRPr="006532CA">
        <w:rPr>
          <w:rStyle w:val="ae"/>
          <w:rFonts w:ascii="Traditional Arabic" w:hAnsi="Traditional Arabic"/>
          <w:sz w:val="32"/>
          <w:szCs w:val="32"/>
          <w:vertAlign w:val="baseline"/>
        </w:rPr>
        <w:footnoteRef/>
      </w:r>
      <w:r>
        <w:rPr>
          <w:rFonts w:ascii="Traditional Arabic" w:hAnsi="Traditional Arabic"/>
          <w:sz w:val="32"/>
          <w:szCs w:val="32"/>
          <w:rtl/>
        </w:rPr>
        <w:t xml:space="preserve">) في الأصل: </w:t>
      </w:r>
      <w:r>
        <w:rPr>
          <w:rFonts w:ascii="Traditional Arabic" w:hAnsi="Traditional Arabic" w:hint="cs"/>
          <w:sz w:val="32"/>
          <w:szCs w:val="32"/>
          <w:rtl/>
        </w:rPr>
        <w:t>[إ</w:t>
      </w:r>
      <w:r w:rsidRPr="006532CA">
        <w:rPr>
          <w:rFonts w:ascii="Traditional Arabic" w:hAnsi="Traditional Arabic"/>
          <w:sz w:val="32"/>
          <w:szCs w:val="32"/>
          <w:rtl/>
        </w:rPr>
        <w:t>م</w:t>
      </w:r>
      <w:r>
        <w:rPr>
          <w:rFonts w:ascii="Traditional Arabic" w:hAnsi="Traditional Arabic" w:hint="cs"/>
          <w:sz w:val="32"/>
          <w:szCs w:val="32"/>
          <w:rtl/>
        </w:rPr>
        <w:t>ّ</w:t>
      </w:r>
      <w:r w:rsidRPr="006532CA">
        <w:rPr>
          <w:rFonts w:ascii="Traditional Arabic" w:hAnsi="Traditional Arabic"/>
          <w:sz w:val="32"/>
          <w:szCs w:val="32"/>
          <w:rtl/>
        </w:rPr>
        <w:t>اع</w:t>
      </w:r>
      <w:r>
        <w:rPr>
          <w:rFonts w:ascii="Traditional Arabic" w:hAnsi="Traditional Arabic" w:hint="cs"/>
          <w:sz w:val="32"/>
          <w:szCs w:val="32"/>
          <w:rtl/>
        </w:rPr>
        <w:t xml:space="preserve">], </w:t>
      </w:r>
      <w:r w:rsidRPr="006532CA">
        <w:rPr>
          <w:rFonts w:ascii="Traditional Arabic" w:hAnsi="Traditional Arabic"/>
          <w:sz w:val="32"/>
          <w:szCs w:val="32"/>
          <w:rtl/>
        </w:rPr>
        <w:t xml:space="preserve">والمثبت من (ك) وهو موافق لمصادر هذا القول. </w:t>
      </w:r>
    </w:p>
  </w:footnote>
  <w:footnote w:id="1266">
    <w:p w:rsidR="003F128F" w:rsidRPr="006532CA" w:rsidRDefault="003F128F" w:rsidP="00DC21B6">
      <w:pPr>
        <w:pStyle w:val="af3"/>
        <w:rPr>
          <w:rFonts w:ascii="Traditional Arabic" w:hAnsi="Traditional Arabic"/>
          <w:sz w:val="32"/>
          <w:szCs w:val="32"/>
        </w:rPr>
      </w:pPr>
      <w:r w:rsidRPr="006532CA">
        <w:rPr>
          <w:rFonts w:ascii="Traditional Arabic" w:hAnsi="Traditional Arabic"/>
          <w:sz w:val="32"/>
          <w:szCs w:val="32"/>
          <w:rtl/>
        </w:rPr>
        <w:t>(</w:t>
      </w:r>
      <w:r w:rsidRPr="006532CA">
        <w:rPr>
          <w:rStyle w:val="ae"/>
          <w:rFonts w:ascii="Traditional Arabic" w:hAnsi="Traditional Arabic"/>
          <w:sz w:val="32"/>
          <w:szCs w:val="32"/>
          <w:vertAlign w:val="baseline"/>
        </w:rPr>
        <w:footnoteRef/>
      </w:r>
      <w:r w:rsidRPr="006532CA">
        <w:rPr>
          <w:rFonts w:ascii="Traditional Arabic" w:hAnsi="Traditional Arabic"/>
          <w:sz w:val="32"/>
          <w:szCs w:val="32"/>
          <w:rtl/>
        </w:rPr>
        <w:t>) إنماع: أي سال وجرى وانبسط على وَجه الأَرْض. انظر: العين (2/269) مادة (ميع), تهذيب اللغة (3/160) مادة (ميع).</w:t>
      </w:r>
    </w:p>
  </w:footnote>
  <w:footnote w:id="1267">
    <w:p w:rsidR="003F128F" w:rsidRPr="006532CA" w:rsidRDefault="003F128F" w:rsidP="00DC21B6">
      <w:pPr>
        <w:pStyle w:val="af3"/>
        <w:rPr>
          <w:rFonts w:ascii="Traditional Arabic" w:hAnsi="Traditional Arabic"/>
          <w:sz w:val="32"/>
          <w:szCs w:val="32"/>
        </w:rPr>
      </w:pPr>
      <w:r w:rsidRPr="006532CA">
        <w:rPr>
          <w:rFonts w:ascii="Traditional Arabic" w:hAnsi="Traditional Arabic"/>
          <w:sz w:val="32"/>
          <w:szCs w:val="32"/>
          <w:rtl/>
        </w:rPr>
        <w:t>(</w:t>
      </w:r>
      <w:r w:rsidRPr="006532CA">
        <w:rPr>
          <w:rStyle w:val="ae"/>
          <w:rFonts w:ascii="Traditional Arabic" w:hAnsi="Traditional Arabic"/>
          <w:sz w:val="32"/>
          <w:szCs w:val="32"/>
          <w:vertAlign w:val="baseline"/>
        </w:rPr>
        <w:footnoteRef/>
      </w:r>
      <w:r w:rsidRPr="006532CA">
        <w:rPr>
          <w:rFonts w:ascii="Traditional Arabic" w:hAnsi="Traditional Arabic"/>
          <w:sz w:val="32"/>
          <w:szCs w:val="32"/>
          <w:rtl/>
        </w:rPr>
        <w:t>) انظر: تفسير يحيى بن سلام (1/183), تفسير الطبري (18/13)</w:t>
      </w:r>
      <w:r>
        <w:rPr>
          <w:rFonts w:ascii="Traditional Arabic" w:hAnsi="Traditional Arabic" w:hint="cs"/>
          <w:sz w:val="32"/>
          <w:szCs w:val="32"/>
          <w:rtl/>
        </w:rPr>
        <w:t>.</w:t>
      </w:r>
    </w:p>
  </w:footnote>
  <w:footnote w:id="1268">
    <w:p w:rsidR="003F128F" w:rsidRPr="006532CA" w:rsidRDefault="003F128F" w:rsidP="00DC21B6">
      <w:pPr>
        <w:pStyle w:val="af3"/>
        <w:rPr>
          <w:rFonts w:ascii="Traditional Arabic" w:hAnsi="Traditional Arabic"/>
          <w:sz w:val="32"/>
          <w:szCs w:val="32"/>
        </w:rPr>
      </w:pPr>
      <w:r w:rsidRPr="006532CA">
        <w:rPr>
          <w:rFonts w:ascii="Traditional Arabic" w:hAnsi="Traditional Arabic"/>
          <w:sz w:val="32"/>
          <w:szCs w:val="32"/>
          <w:rtl/>
        </w:rPr>
        <w:t>(</w:t>
      </w:r>
      <w:r w:rsidRPr="006532CA">
        <w:rPr>
          <w:rStyle w:val="ae"/>
          <w:rFonts w:ascii="Traditional Arabic" w:hAnsi="Traditional Arabic"/>
          <w:sz w:val="32"/>
          <w:szCs w:val="32"/>
          <w:vertAlign w:val="baseline"/>
        </w:rPr>
        <w:footnoteRef/>
      </w:r>
      <w:r w:rsidRPr="006532CA">
        <w:rPr>
          <w:rFonts w:ascii="Traditional Arabic" w:hAnsi="Traditional Arabic"/>
          <w:sz w:val="32"/>
          <w:szCs w:val="32"/>
          <w:rtl/>
        </w:rPr>
        <w:t>) انظر: مجاز القرآن (1/400), معاني القرآن وإعرابه (3/282).</w:t>
      </w:r>
    </w:p>
  </w:footnote>
  <w:footnote w:id="1269">
    <w:p w:rsidR="003F128F" w:rsidRPr="006532CA" w:rsidRDefault="003F128F" w:rsidP="00DC21B6">
      <w:pPr>
        <w:pStyle w:val="af3"/>
        <w:rPr>
          <w:rFonts w:ascii="Traditional Arabic" w:hAnsi="Traditional Arabic"/>
          <w:sz w:val="32"/>
          <w:szCs w:val="32"/>
        </w:rPr>
      </w:pPr>
      <w:r w:rsidRPr="006532CA">
        <w:rPr>
          <w:rFonts w:ascii="Traditional Arabic" w:hAnsi="Traditional Arabic"/>
          <w:sz w:val="32"/>
          <w:szCs w:val="32"/>
          <w:rtl/>
        </w:rPr>
        <w:t>(</w:t>
      </w:r>
      <w:r w:rsidRPr="006532CA">
        <w:rPr>
          <w:rStyle w:val="ae"/>
          <w:rFonts w:ascii="Traditional Arabic" w:hAnsi="Traditional Arabic"/>
          <w:sz w:val="32"/>
          <w:szCs w:val="32"/>
          <w:vertAlign w:val="baseline"/>
        </w:rPr>
        <w:footnoteRef/>
      </w:r>
      <w:r w:rsidRPr="006532CA">
        <w:rPr>
          <w:rFonts w:ascii="Traditional Arabic" w:hAnsi="Traditional Arabic"/>
          <w:sz w:val="32"/>
          <w:szCs w:val="32"/>
          <w:rtl/>
        </w:rPr>
        <w:t>) تفسير مجاهد (ص447), تفسير الطبري (18/13).</w:t>
      </w:r>
    </w:p>
  </w:footnote>
  <w:footnote w:id="1270">
    <w:p w:rsidR="003F128F" w:rsidRPr="006532CA" w:rsidRDefault="003F128F" w:rsidP="00DC21B6">
      <w:pPr>
        <w:pStyle w:val="af3"/>
        <w:rPr>
          <w:rFonts w:ascii="Traditional Arabic" w:hAnsi="Traditional Arabic"/>
          <w:sz w:val="32"/>
          <w:szCs w:val="32"/>
        </w:rPr>
      </w:pPr>
      <w:r w:rsidRPr="006532CA">
        <w:rPr>
          <w:rFonts w:ascii="Traditional Arabic" w:hAnsi="Traditional Arabic"/>
          <w:sz w:val="32"/>
          <w:szCs w:val="32"/>
          <w:rtl/>
        </w:rPr>
        <w:t>(</w:t>
      </w:r>
      <w:r w:rsidRPr="006532CA">
        <w:rPr>
          <w:rStyle w:val="ae"/>
          <w:rFonts w:ascii="Traditional Arabic" w:hAnsi="Traditional Arabic"/>
          <w:sz w:val="32"/>
          <w:szCs w:val="32"/>
          <w:vertAlign w:val="baseline"/>
        </w:rPr>
        <w:footnoteRef/>
      </w:r>
      <w:r w:rsidRPr="006532CA">
        <w:rPr>
          <w:rFonts w:ascii="Traditional Arabic" w:hAnsi="Traditional Arabic"/>
          <w:sz w:val="32"/>
          <w:szCs w:val="32"/>
          <w:rtl/>
        </w:rPr>
        <w:t>) لم أجد قول مجاهد, ولكن جاء بنحوه عن ابن مسعود</w:t>
      </w:r>
      <w:r>
        <w:rPr>
          <w:rFonts w:ascii="Traditional Arabic" w:hAnsi="Traditional Arabic"/>
          <w:sz w:val="32"/>
          <w:szCs w:val="32"/>
        </w:rPr>
        <w:sym w:font="AGA Arabesque" w:char="F074"/>
      </w:r>
      <w:r w:rsidRPr="006532CA">
        <w:rPr>
          <w:rFonts w:ascii="Traditional Arabic" w:hAnsi="Traditional Arabic"/>
          <w:sz w:val="32"/>
          <w:szCs w:val="32"/>
          <w:rtl/>
        </w:rPr>
        <w:t xml:space="preserve"> انظر: تفسير عبدالرزاق (2/331), تفسير </w:t>
      </w:r>
      <w:r>
        <w:rPr>
          <w:rFonts w:ascii="Traditional Arabic" w:hAnsi="Traditional Arabic"/>
          <w:sz w:val="32"/>
          <w:szCs w:val="32"/>
          <w:rtl/>
        </w:rPr>
        <w:t xml:space="preserve"> </w:t>
      </w:r>
      <w:r w:rsidRPr="006532CA">
        <w:rPr>
          <w:rFonts w:ascii="Traditional Arabic" w:hAnsi="Traditional Arabic"/>
          <w:sz w:val="32"/>
          <w:szCs w:val="32"/>
          <w:rtl/>
        </w:rPr>
        <w:t xml:space="preserve">ابن أبي حاتم (7/2359). </w:t>
      </w:r>
    </w:p>
  </w:footnote>
  <w:footnote w:id="1271">
    <w:p w:rsidR="003F128F" w:rsidRPr="006532CA" w:rsidRDefault="003F128F" w:rsidP="00DC21B6">
      <w:pPr>
        <w:pStyle w:val="af3"/>
        <w:rPr>
          <w:rFonts w:ascii="Traditional Arabic" w:hAnsi="Traditional Arabic"/>
          <w:sz w:val="32"/>
          <w:szCs w:val="32"/>
        </w:rPr>
      </w:pPr>
      <w:r w:rsidRPr="006532CA">
        <w:rPr>
          <w:rFonts w:ascii="Traditional Arabic" w:hAnsi="Traditional Arabic"/>
          <w:sz w:val="32"/>
          <w:szCs w:val="32"/>
          <w:rtl/>
        </w:rPr>
        <w:t>(</w:t>
      </w:r>
      <w:r w:rsidRPr="006532CA">
        <w:rPr>
          <w:rStyle w:val="ae"/>
          <w:rFonts w:ascii="Traditional Arabic" w:hAnsi="Traditional Arabic"/>
          <w:sz w:val="32"/>
          <w:szCs w:val="32"/>
          <w:vertAlign w:val="baseline"/>
        </w:rPr>
        <w:footnoteRef/>
      </w:r>
      <w:r>
        <w:rPr>
          <w:rFonts w:ascii="Traditional Arabic" w:hAnsi="Traditional Arabic"/>
          <w:sz w:val="32"/>
          <w:szCs w:val="32"/>
          <w:rtl/>
        </w:rPr>
        <w:t>)</w:t>
      </w:r>
      <w:r w:rsidRPr="006532CA">
        <w:rPr>
          <w:rFonts w:ascii="Traditional Arabic" w:hAnsi="Traditional Arabic"/>
          <w:sz w:val="32"/>
          <w:szCs w:val="32"/>
          <w:rtl/>
        </w:rPr>
        <w:t xml:space="preserve"> ما بين المعكوفتين ساقط من الأصل, والمثبت من (ك)</w:t>
      </w:r>
      <w:r w:rsidRPr="00B16DF1">
        <w:rPr>
          <w:rFonts w:ascii="Traditional Arabic" w:hAnsi="Traditional Arabic"/>
          <w:sz w:val="32"/>
          <w:szCs w:val="32"/>
          <w:rtl/>
        </w:rPr>
        <w:t xml:space="preserve"> </w:t>
      </w:r>
      <w:r>
        <w:rPr>
          <w:rFonts w:ascii="Traditional Arabic" w:hAnsi="Traditional Arabic"/>
          <w:sz w:val="32"/>
          <w:szCs w:val="32"/>
          <w:rtl/>
        </w:rPr>
        <w:t>وهو موافق لمصادر هذا القول</w:t>
      </w:r>
      <w:r w:rsidRPr="006532CA">
        <w:rPr>
          <w:rFonts w:ascii="Traditional Arabic" w:hAnsi="Traditional Arabic"/>
          <w:sz w:val="32"/>
          <w:szCs w:val="32"/>
          <w:rtl/>
        </w:rPr>
        <w:t>.</w:t>
      </w:r>
    </w:p>
  </w:footnote>
  <w:footnote w:id="1272">
    <w:p w:rsidR="003F128F" w:rsidRPr="000F7D05" w:rsidRDefault="003F128F" w:rsidP="00DC21B6">
      <w:pPr>
        <w:pStyle w:val="af3"/>
        <w:rPr>
          <w:rFonts w:ascii="Traditional Arabic" w:hAnsi="Traditional Arabic"/>
          <w:sz w:val="32"/>
          <w:szCs w:val="32"/>
        </w:rPr>
      </w:pPr>
      <w:r w:rsidRPr="006532CA">
        <w:rPr>
          <w:rFonts w:ascii="Traditional Arabic" w:hAnsi="Traditional Arabic"/>
          <w:sz w:val="32"/>
          <w:szCs w:val="32"/>
          <w:rtl/>
        </w:rPr>
        <w:t>(</w:t>
      </w:r>
      <w:r w:rsidRPr="006532CA">
        <w:rPr>
          <w:rStyle w:val="ae"/>
          <w:rFonts w:ascii="Traditional Arabic" w:hAnsi="Traditional Arabic"/>
          <w:sz w:val="32"/>
          <w:szCs w:val="32"/>
          <w:vertAlign w:val="baseline"/>
        </w:rPr>
        <w:footnoteRef/>
      </w:r>
      <w:r w:rsidRPr="006532CA">
        <w:rPr>
          <w:rFonts w:ascii="Traditional Arabic" w:hAnsi="Traditional Arabic"/>
          <w:sz w:val="32"/>
          <w:szCs w:val="32"/>
          <w:rtl/>
        </w:rPr>
        <w:t>) انظر: تفسير الطبري (18/13), الكشف والبيان (6/168)</w:t>
      </w:r>
      <w:r>
        <w:rPr>
          <w:rFonts w:ascii="Traditional Arabic" w:hAnsi="Traditional Arabic" w:hint="cs"/>
          <w:sz w:val="32"/>
          <w:szCs w:val="32"/>
          <w:rtl/>
        </w:rPr>
        <w:t>.</w:t>
      </w:r>
    </w:p>
  </w:footnote>
  <w:footnote w:id="1273">
    <w:p w:rsidR="003F128F" w:rsidRPr="00E43542" w:rsidRDefault="003F128F" w:rsidP="00DC21B6">
      <w:pPr>
        <w:pStyle w:val="af3"/>
        <w:rPr>
          <w:rFonts w:ascii="Traditional Arabic" w:hAnsi="Traditional Arabic"/>
          <w:sz w:val="32"/>
          <w:szCs w:val="32"/>
        </w:rPr>
      </w:pPr>
      <w:r w:rsidRPr="00E43542">
        <w:rPr>
          <w:rFonts w:ascii="Traditional Arabic" w:hAnsi="Traditional Arabic"/>
          <w:sz w:val="32"/>
          <w:szCs w:val="32"/>
          <w:rtl/>
        </w:rPr>
        <w:t>(</w:t>
      </w:r>
      <w:r w:rsidRPr="00E43542">
        <w:rPr>
          <w:rStyle w:val="ae"/>
          <w:rFonts w:ascii="Traditional Arabic" w:hAnsi="Traditional Arabic"/>
          <w:sz w:val="32"/>
          <w:szCs w:val="32"/>
          <w:vertAlign w:val="baseline"/>
        </w:rPr>
        <w:footnoteRef/>
      </w:r>
      <w:r w:rsidRPr="00E43542">
        <w:rPr>
          <w:rFonts w:ascii="Traditional Arabic" w:hAnsi="Traditional Arabic"/>
          <w:sz w:val="32"/>
          <w:szCs w:val="32"/>
          <w:rtl/>
        </w:rPr>
        <w:t xml:space="preserve">) </w:t>
      </w:r>
      <w:r w:rsidRPr="00E43542">
        <w:rPr>
          <w:rFonts w:ascii="Traditional Arabic" w:hAnsi="Traditional Arabic" w:hint="cs"/>
          <w:sz w:val="32"/>
          <w:szCs w:val="32"/>
          <w:rtl/>
        </w:rPr>
        <w:t>انظر: البحر المحيط (7/169), وذكره ابن عطية في المحرر الوجيز (3/514), والرسعني في رموز الكنوز (4/280) كلاهما غير منسوب.</w:t>
      </w:r>
    </w:p>
  </w:footnote>
  <w:footnote w:id="1274">
    <w:p w:rsidR="003F128F" w:rsidRPr="00E43542" w:rsidRDefault="003F128F" w:rsidP="00DC21B6">
      <w:pPr>
        <w:pStyle w:val="af3"/>
        <w:rPr>
          <w:rFonts w:ascii="Traditional Arabic" w:hAnsi="Traditional Arabic"/>
          <w:sz w:val="32"/>
          <w:szCs w:val="32"/>
        </w:rPr>
      </w:pPr>
      <w:r w:rsidRPr="00E43542">
        <w:rPr>
          <w:rFonts w:ascii="Traditional Arabic" w:hAnsi="Traditional Arabic"/>
          <w:sz w:val="32"/>
          <w:szCs w:val="32"/>
          <w:rtl/>
        </w:rPr>
        <w:t>(</w:t>
      </w:r>
      <w:r w:rsidRPr="00E43542">
        <w:rPr>
          <w:rStyle w:val="ae"/>
          <w:rFonts w:ascii="Traditional Arabic" w:hAnsi="Traditional Arabic"/>
          <w:sz w:val="32"/>
          <w:szCs w:val="32"/>
          <w:vertAlign w:val="baseline"/>
        </w:rPr>
        <w:footnoteRef/>
      </w:r>
      <w:r w:rsidRPr="00E43542">
        <w:rPr>
          <w:rFonts w:ascii="Traditional Arabic" w:hAnsi="Traditional Arabic"/>
          <w:sz w:val="32"/>
          <w:szCs w:val="32"/>
          <w:rtl/>
        </w:rPr>
        <w:t xml:space="preserve">) </w:t>
      </w:r>
      <w:r w:rsidRPr="00E43542">
        <w:rPr>
          <w:rFonts w:ascii="Traditional Arabic" w:hAnsi="Traditional Arabic" w:hint="cs"/>
          <w:sz w:val="32"/>
          <w:szCs w:val="32"/>
          <w:rtl/>
        </w:rPr>
        <w:t xml:space="preserve">هو التابعي الإمام </w:t>
      </w:r>
      <w:r w:rsidRPr="00E43542">
        <w:rPr>
          <w:rFonts w:ascii="Traditional Arabic" w:hAnsi="Traditional Arabic"/>
          <w:sz w:val="32"/>
          <w:szCs w:val="32"/>
          <w:rtl/>
        </w:rPr>
        <w:t>أبو أيوب مُغيث بن سُمي الأَوزاعِي</w:t>
      </w:r>
      <w:r>
        <w:rPr>
          <w:rFonts w:ascii="Traditional Arabic" w:hAnsi="Traditional Arabic" w:hint="cs"/>
          <w:sz w:val="32"/>
          <w:szCs w:val="32"/>
          <w:rtl/>
        </w:rPr>
        <w:t>,</w:t>
      </w:r>
      <w:r w:rsidRPr="00E43542">
        <w:rPr>
          <w:rFonts w:ascii="Traditional Arabic" w:hAnsi="Traditional Arabic"/>
          <w:sz w:val="32"/>
          <w:szCs w:val="32"/>
          <w:rtl/>
        </w:rPr>
        <w:t xml:space="preserve"> الشامي</w:t>
      </w:r>
      <w:r w:rsidRPr="00E43542">
        <w:rPr>
          <w:rFonts w:ascii="Traditional Arabic" w:hAnsi="Traditional Arabic" w:hint="cs"/>
          <w:sz w:val="32"/>
          <w:szCs w:val="32"/>
          <w:rtl/>
        </w:rPr>
        <w:t xml:space="preserve">, </w:t>
      </w:r>
      <w:r w:rsidRPr="00E43542">
        <w:rPr>
          <w:rFonts w:ascii="Traditional Arabic" w:hAnsi="Traditional Arabic"/>
          <w:sz w:val="32"/>
          <w:szCs w:val="32"/>
          <w:rtl/>
        </w:rPr>
        <w:t>كان صاحب كتب كأبي الجلد، ووهب بن منبه</w:t>
      </w:r>
      <w:r w:rsidRPr="00E43542">
        <w:rPr>
          <w:rFonts w:ascii="Traditional Arabic" w:hAnsi="Traditional Arabic" w:hint="cs"/>
          <w:sz w:val="32"/>
          <w:szCs w:val="32"/>
          <w:rtl/>
        </w:rPr>
        <w:t xml:space="preserve">, </w:t>
      </w:r>
      <w:r w:rsidRPr="00E43542">
        <w:rPr>
          <w:rFonts w:ascii="Traditional Arabic" w:hAnsi="Traditional Arabic"/>
          <w:sz w:val="32"/>
          <w:szCs w:val="32"/>
          <w:rtl/>
        </w:rPr>
        <w:t>وكان شيخا صالحا</w:t>
      </w:r>
      <w:r w:rsidRPr="00E43542">
        <w:rPr>
          <w:rFonts w:ascii="Traditional Arabic" w:hAnsi="Traditional Arabic" w:hint="cs"/>
          <w:sz w:val="32"/>
          <w:szCs w:val="32"/>
          <w:rtl/>
        </w:rPr>
        <w:t xml:space="preserve">, </w:t>
      </w:r>
      <w:r w:rsidRPr="00E43542">
        <w:rPr>
          <w:rFonts w:ascii="Traditional Arabic" w:hAnsi="Traditional Arabic"/>
          <w:sz w:val="32"/>
          <w:szCs w:val="32"/>
          <w:rtl/>
        </w:rPr>
        <w:t>مات بالشام</w:t>
      </w:r>
      <w:r w:rsidRPr="00E43542">
        <w:rPr>
          <w:rFonts w:ascii="Traditional Arabic" w:hAnsi="Traditional Arabic" w:hint="cs"/>
          <w:sz w:val="32"/>
          <w:szCs w:val="32"/>
          <w:rtl/>
        </w:rPr>
        <w:t xml:space="preserve"> (101-110ه)</w:t>
      </w:r>
      <w:r w:rsidRPr="00E43542">
        <w:rPr>
          <w:rFonts w:ascii="Traditional Arabic" w:hAnsi="Traditional Arabic"/>
          <w:sz w:val="32"/>
          <w:szCs w:val="32"/>
          <w:rtl/>
        </w:rPr>
        <w:t>.</w:t>
      </w:r>
      <w:r w:rsidRPr="00E43542">
        <w:rPr>
          <w:rFonts w:ascii="Traditional Arabic" w:hAnsi="Traditional Arabic" w:hint="cs"/>
          <w:sz w:val="32"/>
          <w:szCs w:val="32"/>
          <w:rtl/>
        </w:rPr>
        <w:t xml:space="preserve"> انظر: التاريخ الكبير للبخاري (8/24), تاريخ دمشق لابن عساكر (59/450), تاريخ الاسلام للذهبي (3/169). </w:t>
      </w:r>
    </w:p>
  </w:footnote>
  <w:footnote w:id="1275">
    <w:p w:rsidR="003F128F" w:rsidRPr="006532CA" w:rsidRDefault="003F128F" w:rsidP="00DC21B6">
      <w:pPr>
        <w:pStyle w:val="af3"/>
        <w:rPr>
          <w:rFonts w:ascii="Traditional Arabic" w:hAnsi="Traditional Arabic"/>
          <w:sz w:val="32"/>
          <w:szCs w:val="32"/>
        </w:rPr>
      </w:pPr>
      <w:r w:rsidRPr="006532CA">
        <w:rPr>
          <w:rFonts w:ascii="Traditional Arabic" w:hAnsi="Traditional Arabic"/>
          <w:sz w:val="32"/>
          <w:szCs w:val="32"/>
          <w:rtl/>
        </w:rPr>
        <w:t>(</w:t>
      </w:r>
      <w:r w:rsidRPr="006532CA">
        <w:rPr>
          <w:rStyle w:val="ae"/>
          <w:rFonts w:ascii="Traditional Arabic" w:hAnsi="Traditional Arabic"/>
          <w:sz w:val="32"/>
          <w:szCs w:val="32"/>
          <w:vertAlign w:val="baseline"/>
        </w:rPr>
        <w:footnoteRef/>
      </w:r>
      <w:r>
        <w:rPr>
          <w:rFonts w:ascii="Traditional Arabic" w:hAnsi="Traditional Arabic"/>
          <w:sz w:val="32"/>
          <w:szCs w:val="32"/>
          <w:rtl/>
        </w:rPr>
        <w:t xml:space="preserve">) في الأصل: </w:t>
      </w:r>
      <w:r>
        <w:rPr>
          <w:rFonts w:ascii="Traditional Arabic" w:hAnsi="Traditional Arabic" w:hint="cs"/>
          <w:sz w:val="32"/>
          <w:szCs w:val="32"/>
          <w:rtl/>
        </w:rPr>
        <w:t>[</w:t>
      </w:r>
      <w:r>
        <w:rPr>
          <w:rFonts w:ascii="Traditional Arabic" w:hAnsi="Traditional Arabic"/>
          <w:sz w:val="32"/>
          <w:szCs w:val="32"/>
          <w:rtl/>
        </w:rPr>
        <w:t>جرى</w:t>
      </w:r>
      <w:r>
        <w:rPr>
          <w:rFonts w:ascii="Traditional Arabic" w:hAnsi="Traditional Arabic" w:hint="cs"/>
          <w:sz w:val="32"/>
          <w:szCs w:val="32"/>
          <w:rtl/>
        </w:rPr>
        <w:t>],</w:t>
      </w:r>
      <w:r w:rsidRPr="006532CA">
        <w:rPr>
          <w:rFonts w:ascii="Traditional Arabic" w:hAnsi="Traditional Arabic"/>
          <w:sz w:val="32"/>
          <w:szCs w:val="32"/>
          <w:rtl/>
        </w:rPr>
        <w:t xml:space="preserve"> والمثبت من (ك).  </w:t>
      </w:r>
    </w:p>
  </w:footnote>
  <w:footnote w:id="1276">
    <w:p w:rsidR="003F128F" w:rsidRPr="00E43542" w:rsidRDefault="003F128F" w:rsidP="00DC21B6">
      <w:pPr>
        <w:pStyle w:val="af3"/>
        <w:rPr>
          <w:rFonts w:ascii="Traditional Arabic" w:hAnsi="Traditional Arabic"/>
          <w:sz w:val="32"/>
          <w:szCs w:val="32"/>
        </w:rPr>
      </w:pPr>
      <w:r w:rsidRPr="006532CA">
        <w:rPr>
          <w:rFonts w:ascii="Traditional Arabic" w:hAnsi="Traditional Arabic"/>
          <w:sz w:val="32"/>
          <w:szCs w:val="32"/>
          <w:rtl/>
        </w:rPr>
        <w:t>(</w:t>
      </w:r>
      <w:r w:rsidRPr="006532CA">
        <w:rPr>
          <w:rStyle w:val="ae"/>
          <w:rFonts w:ascii="Traditional Arabic" w:hAnsi="Traditional Arabic"/>
          <w:sz w:val="32"/>
          <w:szCs w:val="32"/>
          <w:vertAlign w:val="baseline"/>
        </w:rPr>
        <w:footnoteRef/>
      </w:r>
      <w:r w:rsidRPr="006532CA">
        <w:rPr>
          <w:rFonts w:ascii="Traditional Arabic" w:hAnsi="Traditional Arabic"/>
          <w:sz w:val="32"/>
          <w:szCs w:val="32"/>
          <w:rtl/>
        </w:rPr>
        <w:t>) بحثت عنه فلم أجده.</w:t>
      </w:r>
      <w:r w:rsidRPr="00E43542">
        <w:rPr>
          <w:rFonts w:ascii="Traditional Arabic" w:hAnsi="Traditional Arabic"/>
          <w:sz w:val="32"/>
          <w:szCs w:val="32"/>
          <w:rtl/>
        </w:rPr>
        <w:t xml:space="preserve"> </w:t>
      </w:r>
    </w:p>
  </w:footnote>
  <w:footnote w:id="1277">
    <w:p w:rsidR="003F128F" w:rsidRPr="00E43542" w:rsidRDefault="003F128F" w:rsidP="00DC21B6">
      <w:pPr>
        <w:pStyle w:val="af3"/>
        <w:rPr>
          <w:rFonts w:ascii="Traditional Arabic" w:hAnsi="Traditional Arabic"/>
          <w:sz w:val="32"/>
          <w:szCs w:val="32"/>
        </w:rPr>
      </w:pPr>
      <w:r w:rsidRPr="00E43542">
        <w:rPr>
          <w:rFonts w:ascii="Traditional Arabic" w:hAnsi="Traditional Arabic"/>
          <w:sz w:val="32"/>
          <w:szCs w:val="32"/>
          <w:rtl/>
        </w:rPr>
        <w:t>(</w:t>
      </w:r>
      <w:r w:rsidRPr="00E43542">
        <w:rPr>
          <w:rStyle w:val="ae"/>
          <w:rFonts w:ascii="Traditional Arabic" w:hAnsi="Traditional Arabic"/>
          <w:sz w:val="32"/>
          <w:szCs w:val="32"/>
          <w:vertAlign w:val="baseline"/>
        </w:rPr>
        <w:footnoteRef/>
      </w:r>
      <w:r w:rsidRPr="00E43542">
        <w:rPr>
          <w:rFonts w:ascii="Traditional Arabic" w:hAnsi="Traditional Arabic"/>
          <w:sz w:val="32"/>
          <w:szCs w:val="32"/>
          <w:rtl/>
        </w:rPr>
        <w:t>)</w:t>
      </w:r>
      <w:r w:rsidRPr="00E43542">
        <w:rPr>
          <w:rFonts w:ascii="Traditional Arabic" w:hAnsi="Traditional Arabic" w:hint="cs"/>
          <w:sz w:val="32"/>
          <w:szCs w:val="32"/>
          <w:rtl/>
        </w:rPr>
        <w:t xml:space="preserve"> </w:t>
      </w:r>
      <w:r w:rsidRPr="00E43542">
        <w:rPr>
          <w:rFonts w:ascii="Traditional Arabic" w:hAnsi="Traditional Arabic"/>
          <w:sz w:val="32"/>
          <w:szCs w:val="32"/>
          <w:rtl/>
        </w:rPr>
        <w:t>التَّنُّور</w:t>
      </w:r>
      <w:r w:rsidRPr="00E43542">
        <w:rPr>
          <w:rFonts w:ascii="Traditional Arabic" w:hAnsi="Traditional Arabic" w:hint="cs"/>
          <w:sz w:val="32"/>
          <w:szCs w:val="32"/>
          <w:rtl/>
        </w:rPr>
        <w:t xml:space="preserve">: </w:t>
      </w:r>
      <w:r w:rsidRPr="00E43542">
        <w:rPr>
          <w:rFonts w:ascii="Traditional Arabic" w:hAnsi="Traditional Arabic"/>
          <w:sz w:val="32"/>
          <w:szCs w:val="32"/>
          <w:rtl/>
        </w:rPr>
        <w:t>حجارة مدورة</w:t>
      </w:r>
      <w:r w:rsidRPr="00E43542">
        <w:rPr>
          <w:rFonts w:ascii="Traditional Arabic" w:hAnsi="Traditional Arabic" w:hint="cs"/>
          <w:sz w:val="32"/>
          <w:szCs w:val="32"/>
          <w:rtl/>
        </w:rPr>
        <w:t>,</w:t>
      </w:r>
      <w:r w:rsidRPr="00E43542">
        <w:rPr>
          <w:rFonts w:ascii="Traditional Arabic" w:hAnsi="Traditional Arabic"/>
          <w:sz w:val="32"/>
          <w:szCs w:val="32"/>
          <w:rtl/>
        </w:rPr>
        <w:t xml:space="preserve"> </w:t>
      </w:r>
      <w:r>
        <w:rPr>
          <w:rFonts w:ascii="Traditional Arabic" w:hAnsi="Traditional Arabic" w:hint="cs"/>
          <w:sz w:val="32"/>
          <w:szCs w:val="32"/>
          <w:rtl/>
        </w:rPr>
        <w:t xml:space="preserve">وهي </w:t>
      </w:r>
      <w:r w:rsidRPr="00E43542">
        <w:rPr>
          <w:rFonts w:ascii="Traditional Arabic" w:hAnsi="Traditional Arabic" w:hint="cs"/>
          <w:sz w:val="32"/>
          <w:szCs w:val="32"/>
          <w:rtl/>
        </w:rPr>
        <w:t>المكان الذي يخبز فيه. انظر: الزاهر في معاني كلمات الناس لابن الأنباري (2/96), الصحاح (2/602) مادة (تنر).</w:t>
      </w:r>
    </w:p>
  </w:footnote>
  <w:footnote w:id="1278">
    <w:p w:rsidR="003F128F" w:rsidRPr="00E43542" w:rsidRDefault="003F128F" w:rsidP="00DC21B6">
      <w:pPr>
        <w:pStyle w:val="af3"/>
        <w:rPr>
          <w:rFonts w:ascii="Traditional Arabic" w:hAnsi="Traditional Arabic"/>
          <w:sz w:val="32"/>
          <w:szCs w:val="32"/>
        </w:rPr>
      </w:pPr>
      <w:r w:rsidRPr="00E43542">
        <w:rPr>
          <w:rFonts w:ascii="Traditional Arabic" w:hAnsi="Traditional Arabic"/>
          <w:sz w:val="32"/>
          <w:szCs w:val="32"/>
          <w:rtl/>
        </w:rPr>
        <w:t>(</w:t>
      </w:r>
      <w:r w:rsidRPr="00E43542">
        <w:rPr>
          <w:rStyle w:val="ae"/>
          <w:rFonts w:ascii="Traditional Arabic" w:hAnsi="Traditional Arabic"/>
          <w:sz w:val="32"/>
          <w:szCs w:val="32"/>
          <w:vertAlign w:val="baseline"/>
        </w:rPr>
        <w:footnoteRef/>
      </w:r>
      <w:r w:rsidRPr="00E43542">
        <w:rPr>
          <w:rFonts w:ascii="Traditional Arabic" w:hAnsi="Traditional Arabic"/>
          <w:sz w:val="32"/>
          <w:szCs w:val="32"/>
          <w:rtl/>
        </w:rPr>
        <w:t>) ذكره أبو حيان في البحر المحيط (7/169)</w:t>
      </w:r>
      <w:r w:rsidRPr="006F7CD4">
        <w:rPr>
          <w:rFonts w:ascii="Traditional Arabic" w:hAnsi="Traditional Arabic"/>
          <w:sz w:val="32"/>
          <w:szCs w:val="32"/>
          <w:rtl/>
        </w:rPr>
        <w:t xml:space="preserve"> </w:t>
      </w:r>
      <w:r w:rsidRPr="00E43542">
        <w:rPr>
          <w:rFonts w:ascii="Traditional Arabic" w:hAnsi="Traditional Arabic"/>
          <w:sz w:val="32"/>
          <w:szCs w:val="32"/>
          <w:rtl/>
        </w:rPr>
        <w:t xml:space="preserve">ونسبه للحسن. </w:t>
      </w:r>
    </w:p>
  </w:footnote>
  <w:footnote w:id="1279">
    <w:p w:rsidR="003F128F" w:rsidRPr="00C950ED" w:rsidRDefault="003F128F" w:rsidP="00E14A40">
      <w:pPr>
        <w:pStyle w:val="af3"/>
        <w:rPr>
          <w:rFonts w:ascii="Traditional Arabic" w:hAnsi="Traditional Arabic"/>
          <w:sz w:val="32"/>
          <w:szCs w:val="32"/>
        </w:rPr>
      </w:pPr>
      <w:r w:rsidRPr="00C950ED">
        <w:rPr>
          <w:rFonts w:ascii="Traditional Arabic" w:hAnsi="Traditional Arabic"/>
          <w:sz w:val="32"/>
          <w:szCs w:val="32"/>
          <w:rtl/>
        </w:rPr>
        <w:t>(</w:t>
      </w:r>
      <w:r w:rsidRPr="00C950ED">
        <w:rPr>
          <w:rStyle w:val="ae"/>
          <w:rFonts w:ascii="Traditional Arabic" w:hAnsi="Traditional Arabic"/>
          <w:sz w:val="32"/>
          <w:szCs w:val="32"/>
          <w:vertAlign w:val="baseline"/>
        </w:rPr>
        <w:footnoteRef/>
      </w:r>
      <w:r>
        <w:rPr>
          <w:rFonts w:ascii="Traditional Arabic" w:hAnsi="Traditional Arabic"/>
          <w:sz w:val="32"/>
          <w:szCs w:val="32"/>
          <w:rtl/>
        </w:rPr>
        <w:t xml:space="preserve">) </w:t>
      </w:r>
      <w:r>
        <w:rPr>
          <w:rFonts w:ascii="Traditional Arabic" w:hAnsi="Traditional Arabic" w:hint="cs"/>
          <w:sz w:val="32"/>
          <w:szCs w:val="32"/>
          <w:rtl/>
        </w:rPr>
        <w:t>انظر: التفسير الوسيط (3/146), وجملة</w:t>
      </w:r>
      <w:r w:rsidRPr="00C950ED">
        <w:rPr>
          <w:rFonts w:ascii="Traditional Arabic" w:hAnsi="Traditional Arabic" w:hint="cs"/>
          <w:sz w:val="32"/>
          <w:szCs w:val="32"/>
          <w:rtl/>
        </w:rPr>
        <w:t xml:space="preserve"> "</w:t>
      </w:r>
      <w:r w:rsidRPr="00C950ED">
        <w:rPr>
          <w:rFonts w:ascii="Traditional Arabic" w:hAnsi="Traditional Arabic"/>
          <w:sz w:val="32"/>
          <w:szCs w:val="32"/>
          <w:rtl/>
        </w:rPr>
        <w:t>إِذا قرَّبه إِليه سقطت فروة وجهه فيه</w:t>
      </w:r>
      <w:r w:rsidRPr="00C950ED">
        <w:rPr>
          <w:rFonts w:ascii="Traditional Arabic" w:hAnsi="Traditional Arabic" w:hint="cs"/>
          <w:sz w:val="32"/>
          <w:szCs w:val="32"/>
          <w:rtl/>
        </w:rPr>
        <w:t>" جاءت</w:t>
      </w:r>
      <w:r w:rsidRPr="00C950ED">
        <w:rPr>
          <w:rFonts w:ascii="Traditional Arabic" w:hAnsi="Traditional Arabic"/>
          <w:sz w:val="32"/>
          <w:szCs w:val="32"/>
          <w:rtl/>
        </w:rPr>
        <w:t xml:space="preserve"> من حديث أبي سعيد الخدري </w:t>
      </w:r>
      <w:r>
        <w:rPr>
          <w:rFonts w:ascii="Traditional Arabic" w:hAnsi="Traditional Arabic"/>
          <w:sz w:val="32"/>
          <w:szCs w:val="32"/>
        </w:rPr>
        <w:t xml:space="preserve"> </w:t>
      </w:r>
      <w:r>
        <w:rPr>
          <w:rFonts w:ascii="Traditional Arabic" w:hAnsi="Traditional Arabic" w:hint="cs"/>
          <w:sz w:val="32"/>
          <w:szCs w:val="32"/>
        </w:rPr>
        <w:sym w:font="AGA Arabesque" w:char="F074"/>
      </w:r>
      <w:r w:rsidRPr="00C950ED">
        <w:rPr>
          <w:rFonts w:ascii="Traditional Arabic" w:hAnsi="Traditional Arabic" w:hint="cs"/>
          <w:sz w:val="32"/>
          <w:szCs w:val="32"/>
          <w:rtl/>
        </w:rPr>
        <w:t>عن النبي</w:t>
      </w:r>
      <w:r w:rsidRPr="00C950ED">
        <w:rPr>
          <w:rFonts w:ascii="Tahoma" w:hAnsi="Tahoma"/>
          <w:sz w:val="32"/>
          <w:szCs w:val="32"/>
          <w:rtl/>
        </w:rPr>
        <w:t xml:space="preserve"> </w:t>
      </w:r>
      <w:r w:rsidRPr="006279C1">
        <w:rPr>
          <w:rFonts w:ascii="Traditional Arabic" w:hAnsi="Traditional Arabic"/>
        </w:rPr>
        <w:sym w:font="AGA Arabesque" w:char="F072"/>
      </w:r>
      <w:r w:rsidRPr="006279C1">
        <w:rPr>
          <w:rtl/>
        </w:rPr>
        <w:t xml:space="preserve"> </w:t>
      </w:r>
      <w:r>
        <w:rPr>
          <w:rFonts w:ascii="Tahoma" w:hAnsi="Tahoma" w:hint="cs"/>
          <w:sz w:val="32"/>
          <w:szCs w:val="32"/>
          <w:rtl/>
        </w:rPr>
        <w:t xml:space="preserve">في قوله: </w:t>
      </w:r>
      <w:r w:rsidRPr="00C950ED">
        <w:rPr>
          <w:rFonts w:ascii="QCF_BSML" w:hAnsi="QCF_BSML" w:cs="QCF_BSML"/>
          <w:color w:val="auto"/>
          <w:rtl/>
          <w:lang w:eastAsia="en-US"/>
        </w:rPr>
        <w:t>ﭽ</w:t>
      </w:r>
      <w:r w:rsidRPr="00C950ED">
        <w:rPr>
          <w:rFonts w:ascii="QCF_P297" w:hAnsi="QCF_P297" w:cs="QCF_P297"/>
          <w:color w:val="auto"/>
          <w:rtl/>
          <w:lang w:eastAsia="en-US"/>
        </w:rPr>
        <w:t xml:space="preserve"> ﮉ  ﮊ </w:t>
      </w:r>
      <w:r w:rsidRPr="00C950ED">
        <w:rPr>
          <w:rFonts w:ascii="QCF_BSML" w:hAnsi="QCF_BSML" w:cs="QCF_BSML"/>
          <w:color w:val="auto"/>
          <w:rtl/>
          <w:lang w:eastAsia="en-US"/>
        </w:rPr>
        <w:t>ﭼ</w:t>
      </w:r>
      <w:r w:rsidRPr="00C950ED">
        <w:rPr>
          <w:rFonts w:ascii="Tahoma" w:hAnsi="Tahoma"/>
          <w:sz w:val="32"/>
          <w:szCs w:val="32"/>
          <w:rtl/>
        </w:rPr>
        <w:t xml:space="preserve"> قال: «كعكر الزيت فإذا قرب </w:t>
      </w:r>
      <w:r>
        <w:rPr>
          <w:rFonts w:ascii="Tahoma" w:hAnsi="Tahoma"/>
          <w:sz w:val="32"/>
          <w:szCs w:val="32"/>
          <w:rtl/>
        </w:rPr>
        <w:t xml:space="preserve"> </w:t>
      </w:r>
      <w:r w:rsidRPr="00C950ED">
        <w:rPr>
          <w:rFonts w:ascii="Tahoma" w:hAnsi="Tahoma"/>
          <w:sz w:val="32"/>
          <w:szCs w:val="32"/>
          <w:rtl/>
        </w:rPr>
        <w:t>إليه سقطت فر</w:t>
      </w:r>
      <w:r>
        <w:rPr>
          <w:rFonts w:ascii="Tahoma" w:hAnsi="Tahoma"/>
          <w:sz w:val="32"/>
          <w:szCs w:val="32"/>
          <w:rtl/>
        </w:rPr>
        <w:t>وة وجهه فيه»</w:t>
      </w:r>
      <w:r w:rsidRPr="00C950ED">
        <w:rPr>
          <w:rFonts w:ascii="Tahoma" w:hAnsi="Tahoma"/>
          <w:sz w:val="32"/>
          <w:szCs w:val="32"/>
          <w:rtl/>
        </w:rPr>
        <w:t>. أخرجه</w:t>
      </w:r>
      <w:r w:rsidRPr="00C950ED">
        <w:rPr>
          <w:rFonts w:ascii="Traditional Arabic" w:hAnsi="Traditional Arabic"/>
          <w:sz w:val="32"/>
          <w:szCs w:val="32"/>
          <w:rtl/>
        </w:rPr>
        <w:t xml:space="preserve"> أحمد في مسنده (</w:t>
      </w:r>
      <w:r>
        <w:rPr>
          <w:rFonts w:ascii="Traditional Arabic" w:hAnsi="Traditional Arabic" w:hint="cs"/>
          <w:sz w:val="32"/>
          <w:szCs w:val="32"/>
          <w:rtl/>
        </w:rPr>
        <w:t>18/210</w:t>
      </w:r>
      <w:r w:rsidRPr="00C950ED">
        <w:rPr>
          <w:rFonts w:ascii="Traditional Arabic" w:hAnsi="Traditional Arabic"/>
          <w:sz w:val="32"/>
          <w:szCs w:val="32"/>
          <w:rtl/>
        </w:rPr>
        <w:t xml:space="preserve"> </w:t>
      </w:r>
      <w:r w:rsidRPr="00C950ED">
        <w:rPr>
          <w:rFonts w:ascii="Traditional Arabic" w:hAnsi="Traditional Arabic" w:hint="cs"/>
          <w:sz w:val="32"/>
          <w:szCs w:val="32"/>
          <w:rtl/>
        </w:rPr>
        <w:t>ح</w:t>
      </w:r>
      <w:r>
        <w:rPr>
          <w:rFonts w:ascii="Traditional Arabic" w:hAnsi="Traditional Arabic" w:hint="cs"/>
          <w:sz w:val="32"/>
          <w:szCs w:val="32"/>
          <w:rtl/>
        </w:rPr>
        <w:t>11672</w:t>
      </w:r>
      <w:r w:rsidRPr="00C950ED">
        <w:rPr>
          <w:rFonts w:ascii="Traditional Arabic" w:hAnsi="Traditional Arabic"/>
          <w:sz w:val="32"/>
          <w:szCs w:val="32"/>
          <w:rtl/>
        </w:rPr>
        <w:t>)،</w:t>
      </w:r>
      <w:r w:rsidRPr="00C950ED">
        <w:rPr>
          <w:rFonts w:ascii="Tahoma" w:hAnsi="Tahoma"/>
          <w:sz w:val="32"/>
          <w:szCs w:val="32"/>
          <w:rtl/>
        </w:rPr>
        <w:t xml:space="preserve"> </w:t>
      </w:r>
      <w:r>
        <w:rPr>
          <w:rFonts w:ascii="Traditional Arabic" w:hAnsi="Traditional Arabic"/>
          <w:sz w:val="32"/>
          <w:szCs w:val="32"/>
          <w:rtl/>
        </w:rPr>
        <w:t>والترمذي في جامعه</w:t>
      </w:r>
      <w:r w:rsidRPr="00C950ED">
        <w:rPr>
          <w:rFonts w:ascii="Traditional Arabic" w:hAnsi="Traditional Arabic"/>
          <w:sz w:val="32"/>
          <w:szCs w:val="32"/>
          <w:rtl/>
        </w:rPr>
        <w:t xml:space="preserve"> </w:t>
      </w:r>
      <w:r w:rsidRPr="00C950ED">
        <w:rPr>
          <w:rFonts w:ascii="Traditional Arabic" w:hAnsi="Traditional Arabic" w:hint="cs"/>
          <w:sz w:val="32"/>
          <w:szCs w:val="32"/>
          <w:rtl/>
        </w:rPr>
        <w:t>(كتاب</w:t>
      </w:r>
      <w:r w:rsidRPr="00C950ED">
        <w:rPr>
          <w:rFonts w:ascii="Traditional Arabic" w:hAnsi="Traditional Arabic"/>
          <w:sz w:val="32"/>
          <w:szCs w:val="32"/>
          <w:rtl/>
        </w:rPr>
        <w:t xml:space="preserve"> </w:t>
      </w:r>
      <w:r>
        <w:rPr>
          <w:rFonts w:ascii="Traditional Arabic" w:hAnsi="Traditional Arabic" w:hint="cs"/>
          <w:sz w:val="32"/>
          <w:szCs w:val="32"/>
          <w:rtl/>
        </w:rPr>
        <w:t>صفة جهنم</w:t>
      </w:r>
      <w:r w:rsidRPr="00C950ED">
        <w:rPr>
          <w:rFonts w:ascii="Traditional Arabic" w:hAnsi="Traditional Arabic" w:hint="cs"/>
          <w:sz w:val="32"/>
          <w:szCs w:val="32"/>
          <w:rtl/>
        </w:rPr>
        <w:t>,</w:t>
      </w:r>
      <w:r w:rsidRPr="00C950ED">
        <w:rPr>
          <w:rFonts w:ascii="Traditional Arabic" w:hAnsi="Traditional Arabic"/>
          <w:sz w:val="32"/>
          <w:szCs w:val="32"/>
          <w:rtl/>
        </w:rPr>
        <w:t xml:space="preserve"> باب</w:t>
      </w:r>
      <w:r>
        <w:rPr>
          <w:rFonts w:ascii="Traditional Arabic" w:hAnsi="Traditional Arabic" w:hint="cs"/>
          <w:sz w:val="32"/>
          <w:szCs w:val="32"/>
          <w:rtl/>
        </w:rPr>
        <w:t>:</w:t>
      </w:r>
      <w:r w:rsidRPr="00C950ED">
        <w:rPr>
          <w:rFonts w:ascii="Traditional Arabic" w:hAnsi="Traditional Arabic"/>
          <w:sz w:val="32"/>
          <w:szCs w:val="32"/>
          <w:rtl/>
        </w:rPr>
        <w:t xml:space="preserve"> ما جاء في </w:t>
      </w:r>
      <w:r>
        <w:rPr>
          <w:rFonts w:ascii="Traditional Arabic" w:hAnsi="Traditional Arabic" w:hint="cs"/>
          <w:sz w:val="32"/>
          <w:szCs w:val="32"/>
          <w:rtl/>
        </w:rPr>
        <w:t>صفة شراب أهل النار</w:t>
      </w:r>
      <w:r w:rsidRPr="00C950ED">
        <w:rPr>
          <w:rFonts w:ascii="Traditional Arabic" w:hAnsi="Traditional Arabic" w:hint="cs"/>
          <w:sz w:val="32"/>
          <w:szCs w:val="32"/>
          <w:rtl/>
        </w:rPr>
        <w:t xml:space="preserve"> </w:t>
      </w:r>
      <w:r>
        <w:rPr>
          <w:rFonts w:ascii="Traditional Arabic" w:hAnsi="Traditional Arabic" w:hint="cs"/>
          <w:sz w:val="32"/>
          <w:szCs w:val="32"/>
          <w:rtl/>
        </w:rPr>
        <w:t>7/341</w:t>
      </w:r>
      <w:r w:rsidRPr="00C950ED">
        <w:rPr>
          <w:rFonts w:ascii="Traditional Arabic" w:hAnsi="Traditional Arabic" w:hint="cs"/>
          <w:sz w:val="32"/>
          <w:szCs w:val="32"/>
          <w:rtl/>
        </w:rPr>
        <w:t xml:space="preserve"> ح</w:t>
      </w:r>
      <w:r>
        <w:rPr>
          <w:rFonts w:ascii="Traditional Arabic" w:hAnsi="Traditional Arabic" w:hint="cs"/>
          <w:sz w:val="32"/>
          <w:szCs w:val="32"/>
          <w:rtl/>
        </w:rPr>
        <w:t>2581, 2584, كتب التفسير, باب: ومن سورة سأل سائل 9/221 ح3322</w:t>
      </w:r>
      <w:r w:rsidRPr="00C950ED">
        <w:rPr>
          <w:rFonts w:ascii="Traditional Arabic" w:hAnsi="Traditional Arabic"/>
          <w:sz w:val="32"/>
          <w:szCs w:val="32"/>
          <w:rtl/>
        </w:rPr>
        <w:t>)</w:t>
      </w:r>
      <w:r w:rsidRPr="00C950ED">
        <w:rPr>
          <w:rFonts w:ascii="Traditional Arabic" w:hAnsi="Traditional Arabic" w:hint="cs"/>
          <w:sz w:val="32"/>
          <w:szCs w:val="32"/>
          <w:rtl/>
        </w:rPr>
        <w:t>,</w:t>
      </w:r>
      <w:r w:rsidRPr="00BD6044">
        <w:rPr>
          <w:rFonts w:ascii="Tahoma" w:hAnsi="Tahoma"/>
          <w:sz w:val="32"/>
          <w:szCs w:val="32"/>
          <w:rtl/>
        </w:rPr>
        <w:t xml:space="preserve"> </w:t>
      </w:r>
      <w:r w:rsidRPr="00C950ED">
        <w:rPr>
          <w:rFonts w:ascii="Tahoma" w:hAnsi="Tahoma"/>
          <w:sz w:val="32"/>
          <w:szCs w:val="32"/>
          <w:rtl/>
        </w:rPr>
        <w:t xml:space="preserve">وابن حبان </w:t>
      </w:r>
      <w:r>
        <w:rPr>
          <w:rFonts w:ascii="Tahoma" w:hAnsi="Tahoma" w:hint="cs"/>
          <w:sz w:val="32"/>
          <w:szCs w:val="32"/>
          <w:rtl/>
        </w:rPr>
        <w:t>(16/514 ح</w:t>
      </w:r>
      <w:r w:rsidRPr="00C950ED">
        <w:rPr>
          <w:rFonts w:ascii="Tahoma" w:hAnsi="Tahoma"/>
          <w:sz w:val="32"/>
          <w:szCs w:val="32"/>
          <w:rtl/>
        </w:rPr>
        <w:t>7473</w:t>
      </w:r>
      <w:r>
        <w:rPr>
          <w:rFonts w:ascii="Tahoma" w:hAnsi="Tahoma" w:hint="cs"/>
          <w:sz w:val="32"/>
          <w:szCs w:val="32"/>
          <w:rtl/>
        </w:rPr>
        <w:t>),</w:t>
      </w:r>
      <w:r w:rsidRPr="00BD6044">
        <w:rPr>
          <w:rFonts w:ascii="Tahoma" w:hAnsi="Tahoma"/>
          <w:sz w:val="32"/>
          <w:szCs w:val="32"/>
          <w:rtl/>
        </w:rPr>
        <w:t xml:space="preserve"> </w:t>
      </w:r>
      <w:r w:rsidRPr="00C950ED">
        <w:rPr>
          <w:rFonts w:ascii="Tahoma" w:hAnsi="Tahoma"/>
          <w:sz w:val="32"/>
          <w:szCs w:val="32"/>
          <w:rtl/>
        </w:rPr>
        <w:t>والحاكم</w:t>
      </w:r>
      <w:r>
        <w:rPr>
          <w:rFonts w:ascii="Tahoma" w:hAnsi="Tahoma" w:hint="cs"/>
          <w:sz w:val="32"/>
          <w:szCs w:val="32"/>
          <w:rtl/>
        </w:rPr>
        <w:t xml:space="preserve"> في المستدرك (2/544 ح3850),</w:t>
      </w:r>
      <w:r w:rsidRPr="00BD6044">
        <w:rPr>
          <w:rFonts w:ascii="Tahoma" w:hAnsi="Tahoma"/>
          <w:sz w:val="32"/>
          <w:szCs w:val="32"/>
          <w:rtl/>
        </w:rPr>
        <w:t xml:space="preserve"> </w:t>
      </w:r>
      <w:r w:rsidRPr="00C950ED">
        <w:rPr>
          <w:rFonts w:ascii="Tahoma" w:hAnsi="Tahoma"/>
          <w:sz w:val="32"/>
          <w:szCs w:val="32"/>
          <w:rtl/>
        </w:rPr>
        <w:t>والبيهقي في «البعث»</w:t>
      </w:r>
      <w:r>
        <w:rPr>
          <w:rFonts w:ascii="Tahoma" w:hAnsi="Tahoma" w:hint="cs"/>
          <w:sz w:val="32"/>
          <w:szCs w:val="32"/>
          <w:rtl/>
        </w:rPr>
        <w:t xml:space="preserve"> (ص305 ح</w:t>
      </w:r>
      <w:r w:rsidRPr="00C950ED">
        <w:rPr>
          <w:rFonts w:ascii="Tahoma" w:hAnsi="Tahoma"/>
          <w:sz w:val="32"/>
          <w:szCs w:val="32"/>
          <w:rtl/>
        </w:rPr>
        <w:t>550</w:t>
      </w:r>
      <w:r>
        <w:rPr>
          <w:rFonts w:ascii="Tahoma" w:hAnsi="Tahoma" w:hint="cs"/>
          <w:sz w:val="32"/>
          <w:szCs w:val="32"/>
          <w:rtl/>
        </w:rPr>
        <w:t xml:space="preserve">), </w:t>
      </w:r>
      <w:r w:rsidRPr="00C950ED">
        <w:rPr>
          <w:rFonts w:ascii="Tahoma" w:hAnsi="Tahoma"/>
          <w:sz w:val="32"/>
          <w:szCs w:val="32"/>
          <w:rtl/>
        </w:rPr>
        <w:t>والطبري</w:t>
      </w:r>
      <w:r>
        <w:rPr>
          <w:rFonts w:ascii="Tahoma" w:hAnsi="Tahoma" w:hint="cs"/>
          <w:sz w:val="32"/>
          <w:szCs w:val="32"/>
          <w:rtl/>
        </w:rPr>
        <w:t xml:space="preserve"> في تفسيره</w:t>
      </w:r>
      <w:r w:rsidRPr="00C950ED">
        <w:rPr>
          <w:rFonts w:ascii="Tahoma" w:hAnsi="Tahoma"/>
          <w:sz w:val="32"/>
          <w:szCs w:val="32"/>
          <w:rtl/>
        </w:rPr>
        <w:t xml:space="preserve"> </w:t>
      </w:r>
      <w:r>
        <w:rPr>
          <w:rFonts w:ascii="Tahoma" w:hAnsi="Tahoma" w:hint="cs"/>
          <w:sz w:val="32"/>
          <w:szCs w:val="32"/>
          <w:rtl/>
        </w:rPr>
        <w:t>(18/12), وابن أبي حاتم في تفسيره (7/2358), والحديث ضعفه الشيخ الألباني كما في ضعيف سنن الترمذي (ص303 ح475).</w:t>
      </w:r>
    </w:p>
  </w:footnote>
  <w:footnote w:id="1280">
    <w:p w:rsidR="003F128F" w:rsidRPr="00E64A08" w:rsidRDefault="003F128F" w:rsidP="00DC21B6">
      <w:pPr>
        <w:pStyle w:val="af3"/>
        <w:rPr>
          <w:rFonts w:ascii="Traditional Arabic" w:hAnsi="Traditional Arabic"/>
          <w:sz w:val="32"/>
          <w:szCs w:val="32"/>
        </w:rPr>
      </w:pPr>
      <w:r w:rsidRPr="00E64A08">
        <w:rPr>
          <w:rFonts w:ascii="Traditional Arabic" w:hAnsi="Traditional Arabic"/>
          <w:sz w:val="32"/>
          <w:szCs w:val="32"/>
          <w:rtl/>
        </w:rPr>
        <w:t>(</w:t>
      </w:r>
      <w:r w:rsidRPr="00E64A08">
        <w:rPr>
          <w:rStyle w:val="ae"/>
          <w:rFonts w:ascii="Traditional Arabic" w:hAnsi="Traditional Arabic"/>
          <w:sz w:val="32"/>
          <w:szCs w:val="32"/>
          <w:vertAlign w:val="baseline"/>
        </w:rPr>
        <w:footnoteRef/>
      </w:r>
      <w:r w:rsidRPr="00E64A08">
        <w:rPr>
          <w:rFonts w:ascii="Traditional Arabic" w:hAnsi="Traditional Arabic"/>
          <w:sz w:val="32"/>
          <w:szCs w:val="32"/>
          <w:rtl/>
        </w:rPr>
        <w:t xml:space="preserve">) الكشف والبيان (6/168), معالم التنزيل (5/168). </w:t>
      </w:r>
    </w:p>
  </w:footnote>
  <w:footnote w:id="1281">
    <w:p w:rsidR="003F128F" w:rsidRPr="00E64A08" w:rsidRDefault="003F128F" w:rsidP="00DC21B6">
      <w:pPr>
        <w:pStyle w:val="af3"/>
        <w:rPr>
          <w:rFonts w:ascii="Traditional Arabic" w:hAnsi="Traditional Arabic"/>
          <w:sz w:val="32"/>
          <w:szCs w:val="32"/>
        </w:rPr>
      </w:pPr>
      <w:r w:rsidRPr="00E64A08">
        <w:rPr>
          <w:rFonts w:ascii="Traditional Arabic" w:hAnsi="Traditional Arabic"/>
          <w:sz w:val="32"/>
          <w:szCs w:val="32"/>
          <w:rtl/>
        </w:rPr>
        <w:t>(</w:t>
      </w:r>
      <w:r w:rsidRPr="00E64A08">
        <w:rPr>
          <w:rStyle w:val="ae"/>
          <w:rFonts w:ascii="Traditional Arabic" w:hAnsi="Traditional Arabic"/>
          <w:sz w:val="32"/>
          <w:szCs w:val="32"/>
          <w:vertAlign w:val="baseline"/>
        </w:rPr>
        <w:footnoteRef/>
      </w:r>
      <w:r w:rsidRPr="00E64A08">
        <w:rPr>
          <w:rFonts w:ascii="Traditional Arabic" w:hAnsi="Traditional Arabic"/>
          <w:sz w:val="32"/>
          <w:szCs w:val="32"/>
          <w:rtl/>
        </w:rPr>
        <w:t>) تفسير مجاهد (ص447), يحيى بن سلام (1/183), تفسير الطبري (18/15).</w:t>
      </w:r>
    </w:p>
  </w:footnote>
  <w:footnote w:id="1282">
    <w:p w:rsidR="003F128F" w:rsidRPr="00295A68" w:rsidRDefault="003F128F" w:rsidP="00DC21B6">
      <w:pPr>
        <w:pStyle w:val="af3"/>
        <w:rPr>
          <w:rFonts w:ascii="Traditional Arabic" w:hAnsi="Traditional Arabic"/>
          <w:sz w:val="32"/>
          <w:szCs w:val="32"/>
        </w:rPr>
      </w:pPr>
      <w:r w:rsidRPr="00295A68">
        <w:rPr>
          <w:rFonts w:ascii="Traditional Arabic" w:hAnsi="Traditional Arabic"/>
          <w:sz w:val="32"/>
          <w:szCs w:val="32"/>
          <w:rtl/>
        </w:rPr>
        <w:t>(</w:t>
      </w:r>
      <w:r w:rsidRPr="00295A68">
        <w:rPr>
          <w:rStyle w:val="ae"/>
          <w:rFonts w:ascii="Traditional Arabic" w:hAnsi="Traditional Arabic"/>
          <w:sz w:val="32"/>
          <w:szCs w:val="32"/>
          <w:vertAlign w:val="baseline"/>
        </w:rPr>
        <w:footnoteRef/>
      </w:r>
      <w:r w:rsidRPr="00295A68">
        <w:rPr>
          <w:rFonts w:ascii="Traditional Arabic" w:hAnsi="Traditional Arabic"/>
          <w:sz w:val="32"/>
          <w:szCs w:val="32"/>
          <w:rtl/>
        </w:rPr>
        <w:t xml:space="preserve">) </w:t>
      </w:r>
      <w:r w:rsidRPr="00295A68">
        <w:rPr>
          <w:rFonts w:ascii="Traditional Arabic" w:hAnsi="Traditional Arabic" w:hint="cs"/>
          <w:sz w:val="32"/>
          <w:szCs w:val="32"/>
          <w:rtl/>
        </w:rPr>
        <w:t>هو التابعي</w:t>
      </w:r>
      <w:r>
        <w:rPr>
          <w:rFonts w:ascii="Traditional Arabic" w:hAnsi="Traditional Arabic" w:hint="cs"/>
          <w:sz w:val="32"/>
          <w:szCs w:val="32"/>
          <w:rtl/>
        </w:rPr>
        <w:t>,</w:t>
      </w:r>
      <w:r w:rsidRPr="00295A68">
        <w:rPr>
          <w:rFonts w:ascii="Traditional Arabic" w:hAnsi="Traditional Arabic" w:hint="cs"/>
          <w:sz w:val="32"/>
          <w:szCs w:val="32"/>
          <w:rtl/>
        </w:rPr>
        <w:t xml:space="preserve"> الشاعر</w:t>
      </w:r>
      <w:r>
        <w:rPr>
          <w:rFonts w:ascii="Traditional Arabic" w:hAnsi="Traditional Arabic" w:hint="cs"/>
          <w:sz w:val="32"/>
          <w:szCs w:val="32"/>
          <w:rtl/>
        </w:rPr>
        <w:t>,</w:t>
      </w:r>
      <w:r w:rsidRPr="00295A68">
        <w:rPr>
          <w:rFonts w:ascii="Traditional Arabic" w:hAnsi="Traditional Arabic"/>
          <w:sz w:val="32"/>
          <w:szCs w:val="32"/>
          <w:rtl/>
        </w:rPr>
        <w:t xml:space="preserve"> أَبُو ذُؤَيْب</w:t>
      </w:r>
      <w:r>
        <w:rPr>
          <w:rFonts w:ascii="Traditional Arabic" w:hAnsi="Traditional Arabic" w:hint="cs"/>
          <w:sz w:val="32"/>
          <w:szCs w:val="32"/>
          <w:rtl/>
        </w:rPr>
        <w:t>,</w:t>
      </w:r>
      <w:r w:rsidRPr="00295A68">
        <w:rPr>
          <w:rFonts w:ascii="Traditional Arabic" w:hAnsi="Traditional Arabic"/>
          <w:color w:val="FF0000"/>
          <w:sz w:val="32"/>
          <w:szCs w:val="32"/>
          <w:rtl/>
          <w:lang w:eastAsia="en-US"/>
        </w:rPr>
        <w:t xml:space="preserve"> </w:t>
      </w:r>
      <w:r w:rsidRPr="00295A68">
        <w:rPr>
          <w:rFonts w:ascii="Traditional Arabic" w:hAnsi="Traditional Arabic"/>
          <w:sz w:val="32"/>
          <w:szCs w:val="32"/>
          <w:rtl/>
        </w:rPr>
        <w:t>خويلد بن خَالِد بن محرِّثٍ الهذليّ</w:t>
      </w:r>
      <w:r w:rsidRPr="00295A68">
        <w:rPr>
          <w:rFonts w:ascii="Traditional Arabic" w:hAnsi="Traditional Arabic" w:hint="cs"/>
          <w:sz w:val="32"/>
          <w:szCs w:val="32"/>
          <w:rtl/>
        </w:rPr>
        <w:t>,</w:t>
      </w:r>
      <w:r w:rsidRPr="00295A68">
        <w:rPr>
          <w:rFonts w:ascii="Traditional Arabic" w:hAnsi="Traditional Arabic"/>
          <w:sz w:val="32"/>
          <w:szCs w:val="32"/>
          <w:rtl/>
        </w:rPr>
        <w:t xml:space="preserve"> أدرك الجاهلية وأسلم في خلافة الصديق، وكان أشعر هذيل،</w:t>
      </w:r>
      <w:r w:rsidRPr="00295A68">
        <w:rPr>
          <w:rFonts w:ascii="Traditional Arabic" w:hAnsi="Traditional Arabic" w:hint="cs"/>
          <w:sz w:val="32"/>
          <w:szCs w:val="32"/>
          <w:rtl/>
        </w:rPr>
        <w:t xml:space="preserve"> ومن</w:t>
      </w:r>
      <w:r w:rsidRPr="00295A68">
        <w:rPr>
          <w:rFonts w:ascii="Traditional Arabic" w:hAnsi="Traditional Arabic"/>
          <w:sz w:val="32"/>
          <w:szCs w:val="32"/>
          <w:rtl/>
        </w:rPr>
        <w:t xml:space="preserve"> المخضرمين</w:t>
      </w:r>
      <w:r w:rsidRPr="00295A68">
        <w:rPr>
          <w:rFonts w:ascii="Traditional Arabic" w:hAnsi="Traditional Arabic" w:hint="cs"/>
          <w:sz w:val="32"/>
          <w:szCs w:val="32"/>
          <w:rtl/>
          <w:lang w:eastAsia="en-US"/>
        </w:rPr>
        <w:t>,</w:t>
      </w:r>
      <w:r w:rsidRPr="00295A68">
        <w:rPr>
          <w:rFonts w:ascii="Traditional Arabic" w:hAnsi="Traditional Arabic"/>
          <w:sz w:val="32"/>
          <w:szCs w:val="32"/>
          <w:rtl/>
          <w:lang w:eastAsia="en-US"/>
        </w:rPr>
        <w:t xml:space="preserve"> </w:t>
      </w:r>
      <w:r w:rsidRPr="00295A68">
        <w:rPr>
          <w:rFonts w:ascii="Traditional Arabic" w:hAnsi="Traditional Arabic"/>
          <w:sz w:val="32"/>
          <w:szCs w:val="32"/>
          <w:rtl/>
        </w:rPr>
        <w:t>وكانت هذيل أشعر العرب</w:t>
      </w:r>
      <w:r w:rsidRPr="00295A68">
        <w:rPr>
          <w:rFonts w:ascii="Traditional Arabic" w:hAnsi="Traditional Arabic" w:hint="cs"/>
          <w:sz w:val="32"/>
          <w:szCs w:val="32"/>
          <w:rtl/>
        </w:rPr>
        <w:t xml:space="preserve"> (ت27ه). انظر:</w:t>
      </w:r>
      <w:r>
        <w:rPr>
          <w:rFonts w:ascii="Traditional Arabic" w:hAnsi="Traditional Arabic" w:hint="cs"/>
          <w:sz w:val="32"/>
          <w:szCs w:val="32"/>
          <w:rtl/>
        </w:rPr>
        <w:t xml:space="preserve"> سير أعلام النبلاء (2/221), الوافي بالوفيات (13/274).</w:t>
      </w:r>
    </w:p>
  </w:footnote>
  <w:footnote w:id="1283">
    <w:p w:rsidR="003F128F" w:rsidRPr="005D7B95" w:rsidRDefault="003F128F" w:rsidP="00DC21B6">
      <w:pPr>
        <w:ind w:firstLine="0"/>
        <w:rPr>
          <w:rFonts w:ascii="Traditional Arabic" w:hAnsi="Traditional Arabic"/>
          <w:sz w:val="32"/>
          <w:szCs w:val="32"/>
        </w:rPr>
      </w:pPr>
      <w:r w:rsidRPr="005D7B95">
        <w:rPr>
          <w:rFonts w:ascii="Traditional Arabic" w:hAnsi="Traditional Arabic"/>
          <w:sz w:val="32"/>
          <w:szCs w:val="32"/>
          <w:rtl/>
        </w:rPr>
        <w:t>(</w:t>
      </w:r>
      <w:r w:rsidRPr="005D7B95">
        <w:rPr>
          <w:rStyle w:val="ae"/>
          <w:rFonts w:ascii="Traditional Arabic" w:hAnsi="Traditional Arabic"/>
          <w:sz w:val="32"/>
          <w:szCs w:val="32"/>
          <w:vertAlign w:val="baseline"/>
        </w:rPr>
        <w:footnoteRef/>
      </w:r>
      <w:r w:rsidRPr="005D7B95">
        <w:rPr>
          <w:rFonts w:ascii="Traditional Arabic" w:hAnsi="Traditional Arabic"/>
          <w:sz w:val="32"/>
          <w:szCs w:val="32"/>
          <w:rtl/>
        </w:rPr>
        <w:t xml:space="preserve">) البيت في ديوان الهذليين </w:t>
      </w:r>
      <w:r w:rsidRPr="005D7B95">
        <w:rPr>
          <w:rFonts w:ascii="Traditional Arabic" w:hAnsi="Traditional Arabic" w:hint="cs"/>
          <w:sz w:val="32"/>
          <w:szCs w:val="32"/>
          <w:rtl/>
        </w:rPr>
        <w:t>(</w:t>
      </w:r>
      <w:r w:rsidRPr="005D7B95">
        <w:rPr>
          <w:rFonts w:ascii="Traditional Arabic" w:hAnsi="Traditional Arabic"/>
          <w:sz w:val="32"/>
          <w:szCs w:val="32"/>
          <w:rtl/>
        </w:rPr>
        <w:t>1/104</w:t>
      </w:r>
      <w:r w:rsidRPr="005D7B95">
        <w:rPr>
          <w:rFonts w:ascii="Traditional Arabic" w:hAnsi="Traditional Arabic" w:hint="cs"/>
          <w:sz w:val="32"/>
          <w:szCs w:val="32"/>
          <w:rtl/>
        </w:rPr>
        <w:t>), وصدره: "نَامَ الخَليُّ وبِتُ الليل مُشّتَجِراً...". ومعنى "</w:t>
      </w:r>
      <w:r w:rsidRPr="005D7B95">
        <w:rPr>
          <w:rFonts w:ascii="Traditional Arabic" w:hAnsi="Traditional Arabic"/>
          <w:sz w:val="32"/>
          <w:szCs w:val="32"/>
          <w:rtl/>
        </w:rPr>
        <w:t>مُرْتَفِقاً</w:t>
      </w:r>
      <w:r w:rsidRPr="005D7B95">
        <w:rPr>
          <w:rFonts w:ascii="Traditional Arabic" w:hAnsi="Traditional Arabic" w:hint="cs"/>
          <w:sz w:val="32"/>
          <w:szCs w:val="32"/>
          <w:rtl/>
        </w:rPr>
        <w:t>":</w:t>
      </w:r>
      <w:r w:rsidRPr="005D7B95">
        <w:rPr>
          <w:rFonts w:ascii="Traditional Arabic" w:hAnsi="Traditional Arabic"/>
          <w:sz w:val="44"/>
          <w:szCs w:val="44"/>
          <w:rtl/>
          <w:lang w:eastAsia="en-US"/>
        </w:rPr>
        <w:t xml:space="preserve"> </w:t>
      </w:r>
      <w:r w:rsidRPr="005D7B95">
        <w:rPr>
          <w:rFonts w:ascii="Traditional Arabic" w:hAnsi="Traditional Arabic"/>
          <w:sz w:val="32"/>
          <w:szCs w:val="32"/>
          <w:rtl/>
        </w:rPr>
        <w:t>متَّكئاً على مِرْفَقِ يده</w:t>
      </w:r>
      <w:r>
        <w:rPr>
          <w:rFonts w:ascii="Traditional Arabic" w:hAnsi="Traditional Arabic" w:hint="cs"/>
          <w:sz w:val="32"/>
          <w:szCs w:val="32"/>
          <w:rtl/>
        </w:rPr>
        <w:t>.</w:t>
      </w:r>
      <w:r w:rsidRPr="005D7B95">
        <w:rPr>
          <w:rFonts w:ascii="Traditional Arabic" w:hAnsi="Traditional Arabic" w:hint="cs"/>
          <w:sz w:val="32"/>
          <w:szCs w:val="32"/>
          <w:rtl/>
        </w:rPr>
        <w:t xml:space="preserve"> انظر: الصحاح (4/1482) مادة (رفق), </w:t>
      </w:r>
      <w:r w:rsidRPr="005D7B95">
        <w:rPr>
          <w:rFonts w:ascii="Traditional Arabic" w:hAnsi="Traditional Arabic"/>
          <w:sz w:val="32"/>
          <w:szCs w:val="32"/>
          <w:rtl/>
        </w:rPr>
        <w:t>و</w:t>
      </w:r>
      <w:r>
        <w:rPr>
          <w:rFonts w:ascii="Traditional Arabic" w:hAnsi="Traditional Arabic" w:hint="cs"/>
          <w:sz w:val="32"/>
          <w:szCs w:val="32"/>
          <w:rtl/>
        </w:rPr>
        <w:t>"</w:t>
      </w:r>
      <w:r w:rsidRPr="005D7B95">
        <w:rPr>
          <w:rFonts w:ascii="Traditional Arabic" w:hAnsi="Traditional Arabic"/>
          <w:sz w:val="32"/>
          <w:szCs w:val="32"/>
          <w:rtl/>
        </w:rPr>
        <w:t>الصّاب</w:t>
      </w:r>
      <w:r>
        <w:rPr>
          <w:rFonts w:ascii="Traditional Arabic" w:hAnsi="Traditional Arabic" w:hint="cs"/>
          <w:sz w:val="32"/>
          <w:szCs w:val="32"/>
          <w:rtl/>
        </w:rPr>
        <w:t>"</w:t>
      </w:r>
      <w:r w:rsidRPr="005D7B95">
        <w:rPr>
          <w:rFonts w:ascii="Traditional Arabic" w:hAnsi="Traditional Arabic"/>
          <w:sz w:val="32"/>
          <w:szCs w:val="32"/>
          <w:rtl/>
        </w:rPr>
        <w:t>: عصارة شجر مرّ، إذا وقعت قطرة في العين كأنها شهاب نار، وربما أضعف البصر.</w:t>
      </w:r>
      <w:r w:rsidRPr="005D7B95">
        <w:rPr>
          <w:rFonts w:ascii="Traditional Arabic" w:hAnsi="Traditional Arabic" w:hint="cs"/>
          <w:sz w:val="32"/>
          <w:szCs w:val="32"/>
          <w:rtl/>
        </w:rPr>
        <w:t xml:space="preserve"> انظر: اللسان (1/537) مادة (صوب)</w:t>
      </w:r>
      <w:r>
        <w:rPr>
          <w:rFonts w:ascii="Traditional Arabic" w:hAnsi="Traditional Arabic" w:hint="cs"/>
          <w:sz w:val="32"/>
          <w:szCs w:val="32"/>
          <w:rtl/>
        </w:rPr>
        <w:t>,</w:t>
      </w:r>
      <w:r w:rsidRPr="005D7B95">
        <w:rPr>
          <w:rFonts w:ascii="Traditional Arabic" w:hAnsi="Traditional Arabic"/>
          <w:sz w:val="32"/>
          <w:szCs w:val="32"/>
          <w:rtl/>
        </w:rPr>
        <w:t xml:space="preserve"> و</w:t>
      </w:r>
      <w:r>
        <w:rPr>
          <w:rFonts w:ascii="Traditional Arabic" w:hAnsi="Traditional Arabic" w:hint="cs"/>
          <w:sz w:val="32"/>
          <w:szCs w:val="32"/>
          <w:rtl/>
        </w:rPr>
        <w:t>"</w:t>
      </w:r>
      <w:r w:rsidRPr="005D7B95">
        <w:rPr>
          <w:rFonts w:ascii="Traditional Arabic" w:hAnsi="Traditional Arabic"/>
          <w:sz w:val="32"/>
          <w:szCs w:val="32"/>
          <w:rtl/>
        </w:rPr>
        <w:t>مذبوح</w:t>
      </w:r>
      <w:r>
        <w:rPr>
          <w:rFonts w:ascii="Traditional Arabic" w:hAnsi="Traditional Arabic" w:hint="cs"/>
          <w:sz w:val="32"/>
          <w:szCs w:val="32"/>
          <w:rtl/>
        </w:rPr>
        <w:t>"</w:t>
      </w:r>
      <w:r w:rsidRPr="005D7B95">
        <w:rPr>
          <w:rFonts w:ascii="Traditional Arabic" w:hAnsi="Traditional Arabic"/>
          <w:sz w:val="32"/>
          <w:szCs w:val="32"/>
          <w:rtl/>
        </w:rPr>
        <w:t>: مشقوق</w:t>
      </w:r>
      <w:r w:rsidRPr="005D7B95">
        <w:rPr>
          <w:rFonts w:ascii="Traditional Arabic" w:hAnsi="Traditional Arabic" w:hint="cs"/>
          <w:sz w:val="32"/>
          <w:szCs w:val="32"/>
          <w:rtl/>
        </w:rPr>
        <w:t>. انظر: تهذيب اللغة (4/272) مادة (ذبح).</w:t>
      </w:r>
    </w:p>
  </w:footnote>
  <w:footnote w:id="1284">
    <w:p w:rsidR="003F128F" w:rsidRPr="00E64A08" w:rsidRDefault="003F128F" w:rsidP="00DC21B6">
      <w:pPr>
        <w:pStyle w:val="af3"/>
        <w:rPr>
          <w:rFonts w:ascii="Traditional Arabic" w:hAnsi="Traditional Arabic"/>
          <w:sz w:val="32"/>
          <w:szCs w:val="32"/>
        </w:rPr>
      </w:pPr>
      <w:r w:rsidRPr="00E64A08">
        <w:rPr>
          <w:rFonts w:ascii="Traditional Arabic" w:hAnsi="Traditional Arabic"/>
          <w:sz w:val="32"/>
          <w:szCs w:val="32"/>
          <w:rtl/>
        </w:rPr>
        <w:t>(</w:t>
      </w:r>
      <w:r w:rsidRPr="00E64A08">
        <w:rPr>
          <w:rStyle w:val="ae"/>
          <w:rFonts w:ascii="Traditional Arabic" w:hAnsi="Traditional Arabic"/>
          <w:sz w:val="32"/>
          <w:szCs w:val="32"/>
          <w:vertAlign w:val="baseline"/>
        </w:rPr>
        <w:footnoteRef/>
      </w:r>
      <w:r w:rsidRPr="00E64A08">
        <w:rPr>
          <w:rFonts w:ascii="Traditional Arabic" w:hAnsi="Traditional Arabic"/>
          <w:sz w:val="32"/>
          <w:szCs w:val="32"/>
          <w:rtl/>
        </w:rPr>
        <w:t>)</w:t>
      </w:r>
      <w:r>
        <w:rPr>
          <w:rFonts w:ascii="Traditional Arabic" w:hAnsi="Traditional Arabic" w:hint="cs"/>
          <w:sz w:val="32"/>
          <w:szCs w:val="32"/>
          <w:rtl/>
        </w:rPr>
        <w:t xml:space="preserve"> انظر: مجاز القرآن (1/400).</w:t>
      </w:r>
    </w:p>
  </w:footnote>
  <w:footnote w:id="1285">
    <w:p w:rsidR="003F128F" w:rsidRPr="00E64A08" w:rsidRDefault="003F128F" w:rsidP="00DC21B6">
      <w:pPr>
        <w:pStyle w:val="af3"/>
        <w:rPr>
          <w:rFonts w:ascii="Traditional Arabic" w:hAnsi="Traditional Arabic"/>
          <w:sz w:val="32"/>
          <w:szCs w:val="32"/>
        </w:rPr>
      </w:pPr>
      <w:r w:rsidRPr="00E64A08">
        <w:rPr>
          <w:rFonts w:ascii="Traditional Arabic" w:hAnsi="Traditional Arabic"/>
          <w:sz w:val="32"/>
          <w:szCs w:val="32"/>
          <w:rtl/>
        </w:rPr>
        <w:t>(</w:t>
      </w:r>
      <w:r w:rsidRPr="00E64A08">
        <w:rPr>
          <w:rStyle w:val="ae"/>
          <w:rFonts w:ascii="Traditional Arabic" w:hAnsi="Traditional Arabic"/>
          <w:sz w:val="32"/>
          <w:szCs w:val="32"/>
          <w:vertAlign w:val="baseline"/>
        </w:rPr>
        <w:footnoteRef/>
      </w:r>
      <w:r w:rsidRPr="00E64A08">
        <w:rPr>
          <w:rFonts w:ascii="Traditional Arabic" w:hAnsi="Traditional Arabic"/>
          <w:sz w:val="32"/>
          <w:szCs w:val="32"/>
          <w:rtl/>
        </w:rPr>
        <w:t>)</w:t>
      </w:r>
      <w:r>
        <w:rPr>
          <w:rFonts w:ascii="Traditional Arabic" w:hAnsi="Traditional Arabic" w:hint="cs"/>
          <w:sz w:val="32"/>
          <w:szCs w:val="32"/>
          <w:rtl/>
        </w:rPr>
        <w:t xml:space="preserve"> انظر: معاني القرآن وإعرابه (3/282).</w:t>
      </w:r>
      <w:r w:rsidRPr="00E64A08">
        <w:rPr>
          <w:rFonts w:ascii="Traditional Arabic" w:hAnsi="Traditional Arabic"/>
          <w:sz w:val="32"/>
          <w:szCs w:val="32"/>
          <w:rtl/>
        </w:rPr>
        <w:t xml:space="preserve"> </w:t>
      </w:r>
    </w:p>
  </w:footnote>
  <w:footnote w:id="1286">
    <w:p w:rsidR="003F128F" w:rsidRPr="00E64A08" w:rsidRDefault="003F128F" w:rsidP="00DC21B6">
      <w:pPr>
        <w:pStyle w:val="af3"/>
        <w:rPr>
          <w:rFonts w:ascii="Traditional Arabic" w:hAnsi="Traditional Arabic"/>
          <w:sz w:val="32"/>
          <w:szCs w:val="32"/>
        </w:rPr>
      </w:pPr>
      <w:r w:rsidRPr="00E64A08">
        <w:rPr>
          <w:rFonts w:ascii="Traditional Arabic" w:hAnsi="Traditional Arabic"/>
          <w:sz w:val="32"/>
          <w:szCs w:val="32"/>
          <w:rtl/>
        </w:rPr>
        <w:t>(</w:t>
      </w:r>
      <w:r w:rsidRPr="00E64A08">
        <w:rPr>
          <w:rStyle w:val="ae"/>
          <w:rFonts w:ascii="Traditional Arabic" w:hAnsi="Traditional Arabic"/>
          <w:sz w:val="32"/>
          <w:szCs w:val="32"/>
          <w:vertAlign w:val="baseline"/>
        </w:rPr>
        <w:footnoteRef/>
      </w:r>
      <w:r w:rsidRPr="00E64A08">
        <w:rPr>
          <w:rFonts w:ascii="Traditional Arabic" w:hAnsi="Traditional Arabic"/>
          <w:sz w:val="32"/>
          <w:szCs w:val="32"/>
          <w:rtl/>
        </w:rPr>
        <w:t>)</w:t>
      </w:r>
      <w:r>
        <w:rPr>
          <w:rFonts w:ascii="Traditional Arabic" w:hAnsi="Traditional Arabic" w:hint="cs"/>
          <w:sz w:val="32"/>
          <w:szCs w:val="32"/>
          <w:rtl/>
        </w:rPr>
        <w:t xml:space="preserve"> انظر: </w:t>
      </w:r>
      <w:r w:rsidRPr="001F0260">
        <w:rPr>
          <w:rFonts w:ascii="Traditional Arabic" w:hAnsi="Traditional Arabic" w:hint="cs"/>
          <w:sz w:val="32"/>
          <w:szCs w:val="32"/>
          <w:rtl/>
        </w:rPr>
        <w:t>غريب القرآن (ص267).</w:t>
      </w:r>
      <w:r w:rsidRPr="001F0260">
        <w:rPr>
          <w:rFonts w:ascii="Traditional Arabic" w:hAnsi="Traditional Arabic"/>
          <w:sz w:val="32"/>
          <w:szCs w:val="32"/>
          <w:rtl/>
        </w:rPr>
        <w:t xml:space="preserve"> </w:t>
      </w:r>
      <w:r w:rsidRPr="00E64A08">
        <w:rPr>
          <w:rFonts w:ascii="Traditional Arabic" w:hAnsi="Traditional Arabic"/>
          <w:sz w:val="32"/>
          <w:szCs w:val="32"/>
          <w:rtl/>
        </w:rPr>
        <w:t xml:space="preserve"> </w:t>
      </w:r>
    </w:p>
  </w:footnote>
  <w:footnote w:id="1287">
    <w:p w:rsidR="003F128F" w:rsidRPr="00E64A08" w:rsidRDefault="003F128F" w:rsidP="00DC21B6">
      <w:pPr>
        <w:pStyle w:val="af3"/>
        <w:rPr>
          <w:rFonts w:ascii="Traditional Arabic" w:hAnsi="Traditional Arabic"/>
          <w:sz w:val="32"/>
          <w:szCs w:val="32"/>
        </w:rPr>
      </w:pPr>
      <w:r w:rsidRPr="00E64A08">
        <w:rPr>
          <w:rFonts w:ascii="Traditional Arabic" w:hAnsi="Traditional Arabic"/>
          <w:sz w:val="32"/>
          <w:szCs w:val="32"/>
          <w:rtl/>
        </w:rPr>
        <w:t>(</w:t>
      </w:r>
      <w:r w:rsidRPr="00E64A08">
        <w:rPr>
          <w:rStyle w:val="ae"/>
          <w:rFonts w:ascii="Traditional Arabic" w:hAnsi="Traditional Arabic"/>
          <w:sz w:val="32"/>
          <w:szCs w:val="32"/>
          <w:vertAlign w:val="baseline"/>
        </w:rPr>
        <w:footnoteRef/>
      </w:r>
      <w:r w:rsidRPr="00E64A08">
        <w:rPr>
          <w:rFonts w:ascii="Traditional Arabic" w:hAnsi="Traditional Arabic"/>
          <w:sz w:val="32"/>
          <w:szCs w:val="32"/>
          <w:rtl/>
        </w:rPr>
        <w:t xml:space="preserve">) </w:t>
      </w:r>
      <w:r>
        <w:rPr>
          <w:rFonts w:ascii="Traditional Arabic" w:hAnsi="Traditional Arabic" w:hint="cs"/>
          <w:sz w:val="32"/>
          <w:szCs w:val="32"/>
          <w:rtl/>
        </w:rPr>
        <w:t>انظر: البحر المحيط (7/170), روح المعاني (15/326).</w:t>
      </w:r>
      <w:r w:rsidRPr="00E64A08">
        <w:rPr>
          <w:rFonts w:ascii="Traditional Arabic" w:hAnsi="Traditional Arabic"/>
          <w:sz w:val="32"/>
          <w:szCs w:val="32"/>
          <w:rtl/>
        </w:rPr>
        <w:t xml:space="preserve"> </w:t>
      </w:r>
    </w:p>
  </w:footnote>
  <w:footnote w:id="1288">
    <w:p w:rsidR="003F128F" w:rsidRPr="00E64A08" w:rsidRDefault="003F128F" w:rsidP="00DC21B6">
      <w:pPr>
        <w:pStyle w:val="af3"/>
        <w:rPr>
          <w:rFonts w:ascii="Traditional Arabic" w:hAnsi="Traditional Arabic"/>
          <w:sz w:val="32"/>
          <w:szCs w:val="32"/>
        </w:rPr>
      </w:pPr>
      <w:r w:rsidRPr="00E64A08">
        <w:rPr>
          <w:rFonts w:ascii="Traditional Arabic" w:hAnsi="Traditional Arabic"/>
          <w:sz w:val="32"/>
          <w:szCs w:val="32"/>
          <w:rtl/>
        </w:rPr>
        <w:t>(</w:t>
      </w:r>
      <w:r w:rsidRPr="00E64A08">
        <w:rPr>
          <w:rStyle w:val="ae"/>
          <w:rFonts w:ascii="Traditional Arabic" w:hAnsi="Traditional Arabic"/>
          <w:sz w:val="32"/>
          <w:szCs w:val="32"/>
          <w:vertAlign w:val="baseline"/>
        </w:rPr>
        <w:footnoteRef/>
      </w:r>
      <w:r w:rsidRPr="00E64A08">
        <w:rPr>
          <w:rFonts w:ascii="Traditional Arabic" w:hAnsi="Traditional Arabic"/>
          <w:sz w:val="32"/>
          <w:szCs w:val="32"/>
          <w:rtl/>
        </w:rPr>
        <w:t>)</w:t>
      </w:r>
      <w:r>
        <w:rPr>
          <w:rFonts w:ascii="Traditional Arabic" w:hAnsi="Traditional Arabic" w:hint="cs"/>
          <w:sz w:val="32"/>
          <w:szCs w:val="32"/>
          <w:rtl/>
        </w:rPr>
        <w:t xml:space="preserve"> </w:t>
      </w:r>
      <w:r w:rsidRPr="005D7B95">
        <w:rPr>
          <w:rFonts w:ascii="Traditional Arabic" w:hAnsi="Traditional Arabic" w:hint="cs"/>
          <w:sz w:val="32"/>
          <w:szCs w:val="32"/>
          <w:rtl/>
        </w:rPr>
        <w:t>ان</w:t>
      </w:r>
      <w:r>
        <w:rPr>
          <w:rFonts w:ascii="Traditional Arabic" w:hAnsi="Traditional Arabic" w:hint="cs"/>
          <w:sz w:val="32"/>
          <w:szCs w:val="32"/>
          <w:rtl/>
        </w:rPr>
        <w:t>ظر: تهذيب اللغة (9/102) مادة (رفق), الصحاح (4/1482) مادة (رفق).</w:t>
      </w:r>
      <w:r w:rsidRPr="00E64A08">
        <w:rPr>
          <w:rFonts w:ascii="Traditional Arabic" w:hAnsi="Traditional Arabic"/>
          <w:sz w:val="32"/>
          <w:szCs w:val="32"/>
          <w:rtl/>
        </w:rPr>
        <w:t xml:space="preserve">  </w:t>
      </w:r>
    </w:p>
  </w:footnote>
  <w:footnote w:id="1289">
    <w:p w:rsidR="003F128F" w:rsidRPr="00A862F1" w:rsidRDefault="003F128F" w:rsidP="00DC21B6">
      <w:pPr>
        <w:pStyle w:val="af3"/>
        <w:rPr>
          <w:rFonts w:ascii="Traditional Arabic" w:hAnsi="Traditional Arabic"/>
          <w:sz w:val="32"/>
          <w:szCs w:val="32"/>
        </w:rPr>
      </w:pPr>
      <w:r w:rsidRPr="00A862F1">
        <w:rPr>
          <w:rFonts w:ascii="Traditional Arabic" w:hAnsi="Traditional Arabic"/>
          <w:sz w:val="32"/>
          <w:szCs w:val="32"/>
          <w:rtl/>
        </w:rPr>
        <w:t>(</w:t>
      </w:r>
      <w:r w:rsidRPr="00A862F1">
        <w:rPr>
          <w:rStyle w:val="ae"/>
          <w:rFonts w:ascii="Traditional Arabic" w:hAnsi="Traditional Arabic"/>
          <w:sz w:val="32"/>
          <w:szCs w:val="32"/>
          <w:vertAlign w:val="baseline"/>
        </w:rPr>
        <w:footnoteRef/>
      </w:r>
      <w:r w:rsidRPr="00A862F1">
        <w:rPr>
          <w:rFonts w:ascii="Traditional Arabic" w:hAnsi="Traditional Arabic"/>
          <w:sz w:val="32"/>
          <w:szCs w:val="32"/>
          <w:rtl/>
        </w:rPr>
        <w:t>) انظر: معاني القرآن وإعرابه (3/283).</w:t>
      </w:r>
    </w:p>
  </w:footnote>
  <w:footnote w:id="1290">
    <w:p w:rsidR="003F128F" w:rsidRPr="00A862F1" w:rsidRDefault="003F128F" w:rsidP="00DC21B6">
      <w:pPr>
        <w:pStyle w:val="af3"/>
        <w:rPr>
          <w:rFonts w:ascii="Traditional Arabic" w:hAnsi="Traditional Arabic"/>
          <w:sz w:val="32"/>
          <w:szCs w:val="32"/>
        </w:rPr>
      </w:pPr>
      <w:r w:rsidRPr="00A862F1">
        <w:rPr>
          <w:rFonts w:ascii="Traditional Arabic" w:hAnsi="Traditional Arabic"/>
          <w:sz w:val="32"/>
          <w:szCs w:val="32"/>
          <w:rtl/>
        </w:rPr>
        <w:t>(</w:t>
      </w:r>
      <w:r w:rsidRPr="00A862F1">
        <w:rPr>
          <w:rStyle w:val="ae"/>
          <w:rFonts w:ascii="Traditional Arabic" w:hAnsi="Traditional Arabic"/>
          <w:sz w:val="32"/>
          <w:szCs w:val="32"/>
          <w:vertAlign w:val="baseline"/>
        </w:rPr>
        <w:footnoteRef/>
      </w:r>
      <w:r w:rsidRPr="00A862F1">
        <w:rPr>
          <w:rFonts w:ascii="Traditional Arabic" w:hAnsi="Traditional Arabic"/>
          <w:sz w:val="32"/>
          <w:szCs w:val="32"/>
          <w:rtl/>
        </w:rPr>
        <w:t>) انظر: الكشف والبيان (6/168), التفسير الوسيط (3/147).</w:t>
      </w:r>
    </w:p>
  </w:footnote>
  <w:footnote w:id="1291">
    <w:p w:rsidR="003F128F" w:rsidRPr="00A862F1" w:rsidRDefault="003F128F" w:rsidP="00DC21B6">
      <w:pPr>
        <w:pStyle w:val="af3"/>
        <w:rPr>
          <w:rFonts w:ascii="Traditional Arabic" w:hAnsi="Traditional Arabic"/>
          <w:sz w:val="32"/>
          <w:szCs w:val="32"/>
        </w:rPr>
      </w:pPr>
      <w:r w:rsidRPr="00A862F1">
        <w:rPr>
          <w:rFonts w:ascii="Traditional Arabic" w:hAnsi="Traditional Arabic"/>
          <w:sz w:val="32"/>
          <w:szCs w:val="32"/>
          <w:rtl/>
        </w:rPr>
        <w:t>(</w:t>
      </w:r>
      <w:r w:rsidRPr="00A862F1">
        <w:rPr>
          <w:rStyle w:val="ae"/>
          <w:rFonts w:ascii="Traditional Arabic" w:hAnsi="Traditional Arabic"/>
          <w:sz w:val="32"/>
          <w:szCs w:val="32"/>
          <w:vertAlign w:val="baseline"/>
        </w:rPr>
        <w:footnoteRef/>
      </w:r>
      <w:r w:rsidRPr="00A862F1">
        <w:rPr>
          <w:rFonts w:ascii="Traditional Arabic" w:hAnsi="Traditional Arabic"/>
          <w:sz w:val="32"/>
          <w:szCs w:val="32"/>
          <w:rtl/>
        </w:rPr>
        <w:t>) انظر: كتاب في</w:t>
      </w:r>
      <w:r>
        <w:rPr>
          <w:rFonts w:ascii="Traditional Arabic" w:hAnsi="Traditional Arabic" w:hint="cs"/>
          <w:sz w:val="32"/>
          <w:szCs w:val="32"/>
          <w:rtl/>
        </w:rPr>
        <w:t>ه</w:t>
      </w:r>
      <w:r w:rsidRPr="00A862F1">
        <w:rPr>
          <w:rFonts w:ascii="Traditional Arabic" w:hAnsi="Traditional Arabic"/>
          <w:sz w:val="32"/>
          <w:szCs w:val="32"/>
          <w:rtl/>
        </w:rPr>
        <w:t xml:space="preserve"> لغات العرب (ص100). </w:t>
      </w:r>
    </w:p>
  </w:footnote>
  <w:footnote w:id="1292">
    <w:p w:rsidR="003F128F" w:rsidRPr="00A862F1" w:rsidRDefault="003F128F" w:rsidP="00DC21B6">
      <w:pPr>
        <w:pStyle w:val="af3"/>
        <w:rPr>
          <w:rFonts w:ascii="Traditional Arabic" w:hAnsi="Traditional Arabic"/>
          <w:sz w:val="32"/>
          <w:szCs w:val="32"/>
        </w:rPr>
      </w:pPr>
      <w:r w:rsidRPr="00A862F1">
        <w:rPr>
          <w:rFonts w:ascii="Traditional Arabic" w:hAnsi="Traditional Arabic"/>
          <w:sz w:val="32"/>
          <w:szCs w:val="32"/>
          <w:rtl/>
        </w:rPr>
        <w:t>(</w:t>
      </w:r>
      <w:r w:rsidRPr="00A862F1">
        <w:rPr>
          <w:rStyle w:val="ae"/>
          <w:rFonts w:ascii="Traditional Arabic" w:hAnsi="Traditional Arabic"/>
          <w:sz w:val="32"/>
          <w:szCs w:val="32"/>
          <w:vertAlign w:val="baseline"/>
        </w:rPr>
        <w:footnoteRef/>
      </w:r>
      <w:r w:rsidRPr="00A862F1">
        <w:rPr>
          <w:rFonts w:ascii="Traditional Arabic" w:hAnsi="Traditional Arabic"/>
          <w:sz w:val="32"/>
          <w:szCs w:val="32"/>
          <w:rtl/>
        </w:rPr>
        <w:t xml:space="preserve">) انظر: معاني القرآن وإعرابه (3/283).  </w:t>
      </w:r>
    </w:p>
  </w:footnote>
  <w:footnote w:id="1293">
    <w:p w:rsidR="003F128F" w:rsidRPr="00A862F1" w:rsidRDefault="003F128F" w:rsidP="00DC21B6">
      <w:pPr>
        <w:pStyle w:val="af3"/>
        <w:rPr>
          <w:rFonts w:ascii="Traditional Arabic" w:hAnsi="Traditional Arabic"/>
          <w:sz w:val="32"/>
          <w:szCs w:val="32"/>
        </w:rPr>
      </w:pPr>
      <w:r w:rsidRPr="00A862F1">
        <w:rPr>
          <w:rFonts w:ascii="Traditional Arabic" w:hAnsi="Traditional Arabic"/>
          <w:sz w:val="32"/>
          <w:szCs w:val="32"/>
          <w:rtl/>
        </w:rPr>
        <w:t>(</w:t>
      </w:r>
      <w:r w:rsidRPr="00A862F1">
        <w:rPr>
          <w:rStyle w:val="ae"/>
          <w:rFonts w:ascii="Traditional Arabic" w:hAnsi="Traditional Arabic"/>
          <w:sz w:val="32"/>
          <w:szCs w:val="32"/>
          <w:vertAlign w:val="baseline"/>
        </w:rPr>
        <w:footnoteRef/>
      </w:r>
      <w:r w:rsidRPr="00A862F1">
        <w:rPr>
          <w:rFonts w:ascii="Traditional Arabic" w:hAnsi="Traditional Arabic"/>
          <w:sz w:val="32"/>
          <w:szCs w:val="32"/>
          <w:rtl/>
        </w:rPr>
        <w:t>) انظر: التفسير الوسيط (3/147), رموز الكنوز (4/282).</w:t>
      </w:r>
    </w:p>
  </w:footnote>
  <w:footnote w:id="1294">
    <w:p w:rsidR="003F128F" w:rsidRPr="009125D3" w:rsidRDefault="003F128F" w:rsidP="00DC21B6">
      <w:pPr>
        <w:pStyle w:val="af3"/>
        <w:rPr>
          <w:rFonts w:ascii="Traditional Arabic" w:hAnsi="Traditional Arabic"/>
          <w:sz w:val="32"/>
          <w:szCs w:val="32"/>
        </w:rPr>
      </w:pPr>
      <w:r w:rsidRPr="009125D3">
        <w:rPr>
          <w:rFonts w:ascii="Traditional Arabic" w:hAnsi="Traditional Arabic"/>
          <w:sz w:val="32"/>
          <w:szCs w:val="32"/>
          <w:rtl/>
        </w:rPr>
        <w:t>(</w:t>
      </w:r>
      <w:r w:rsidRPr="009125D3">
        <w:rPr>
          <w:rStyle w:val="ae"/>
          <w:rFonts w:ascii="Traditional Arabic" w:hAnsi="Traditional Arabic"/>
          <w:sz w:val="32"/>
          <w:szCs w:val="32"/>
          <w:vertAlign w:val="baseline"/>
        </w:rPr>
        <w:footnoteRef/>
      </w:r>
      <w:r w:rsidRPr="009125D3">
        <w:rPr>
          <w:rFonts w:ascii="Traditional Arabic" w:hAnsi="Traditional Arabic"/>
          <w:sz w:val="32"/>
          <w:szCs w:val="32"/>
          <w:rtl/>
        </w:rPr>
        <w:t>) الكشف والبيان (6/169), التفسير الوسيط (3/147).</w:t>
      </w:r>
    </w:p>
  </w:footnote>
  <w:footnote w:id="1295">
    <w:p w:rsidR="003F128F" w:rsidRPr="009125D3" w:rsidRDefault="003F128F" w:rsidP="00DC21B6">
      <w:pPr>
        <w:pStyle w:val="af3"/>
        <w:rPr>
          <w:rFonts w:ascii="Traditional Arabic" w:hAnsi="Traditional Arabic"/>
          <w:sz w:val="32"/>
          <w:szCs w:val="32"/>
        </w:rPr>
      </w:pPr>
      <w:r w:rsidRPr="009125D3">
        <w:rPr>
          <w:rFonts w:ascii="Traditional Arabic" w:hAnsi="Traditional Arabic"/>
          <w:sz w:val="32"/>
          <w:szCs w:val="32"/>
          <w:rtl/>
        </w:rPr>
        <w:t>(</w:t>
      </w:r>
      <w:r w:rsidRPr="009125D3">
        <w:rPr>
          <w:rStyle w:val="ae"/>
          <w:rFonts w:ascii="Traditional Arabic" w:hAnsi="Traditional Arabic"/>
          <w:sz w:val="32"/>
          <w:szCs w:val="32"/>
          <w:vertAlign w:val="baseline"/>
        </w:rPr>
        <w:footnoteRef/>
      </w:r>
      <w:r w:rsidRPr="009125D3">
        <w:rPr>
          <w:rFonts w:ascii="Traditional Arabic" w:hAnsi="Traditional Arabic"/>
          <w:sz w:val="32"/>
          <w:szCs w:val="32"/>
          <w:rtl/>
        </w:rPr>
        <w:t xml:space="preserve">) الديباج: ضرب من الثياب. انظر: </w:t>
      </w:r>
      <w:r w:rsidRPr="009125D3">
        <w:rPr>
          <w:rFonts w:ascii="Traditional Arabic" w:hAnsi="Traditional Arabic"/>
          <w:sz w:val="32"/>
          <w:szCs w:val="32"/>
          <w:rtl/>
          <w:lang w:eastAsia="en-US"/>
        </w:rPr>
        <w:t>المحكم والمحيط الأعظم</w:t>
      </w:r>
      <w:r w:rsidRPr="009125D3">
        <w:rPr>
          <w:rFonts w:ascii="Traditional Arabic" w:hAnsi="Traditional Arabic"/>
          <w:sz w:val="32"/>
          <w:szCs w:val="32"/>
          <w:rtl/>
        </w:rPr>
        <w:t xml:space="preserve"> (7/347) مادة (دبج).</w:t>
      </w:r>
    </w:p>
  </w:footnote>
  <w:footnote w:id="1296">
    <w:p w:rsidR="003F128F" w:rsidRPr="009125D3" w:rsidRDefault="003F128F" w:rsidP="00DC21B6">
      <w:pPr>
        <w:pStyle w:val="af3"/>
        <w:rPr>
          <w:rFonts w:ascii="Traditional Arabic" w:hAnsi="Traditional Arabic"/>
          <w:sz w:val="32"/>
          <w:szCs w:val="32"/>
        </w:rPr>
      </w:pPr>
      <w:r w:rsidRPr="009125D3">
        <w:rPr>
          <w:rFonts w:ascii="Traditional Arabic" w:hAnsi="Traditional Arabic"/>
          <w:sz w:val="32"/>
          <w:szCs w:val="32"/>
          <w:rtl/>
        </w:rPr>
        <w:t>(</w:t>
      </w:r>
      <w:r w:rsidRPr="009125D3">
        <w:rPr>
          <w:rStyle w:val="ae"/>
          <w:rFonts w:ascii="Traditional Arabic" w:hAnsi="Traditional Arabic"/>
          <w:sz w:val="32"/>
          <w:szCs w:val="32"/>
          <w:vertAlign w:val="baseline"/>
        </w:rPr>
        <w:footnoteRef/>
      </w:r>
      <w:r w:rsidRPr="009125D3">
        <w:rPr>
          <w:rFonts w:ascii="Traditional Arabic" w:hAnsi="Traditional Arabic"/>
          <w:sz w:val="32"/>
          <w:szCs w:val="32"/>
          <w:rtl/>
        </w:rPr>
        <w:t>) انظر: غريب القرآن (ص267).</w:t>
      </w:r>
    </w:p>
  </w:footnote>
  <w:footnote w:id="1297">
    <w:p w:rsidR="003F128F" w:rsidRPr="00FD79E6" w:rsidRDefault="003F128F" w:rsidP="00DC21B6">
      <w:pPr>
        <w:pStyle w:val="af3"/>
        <w:rPr>
          <w:rFonts w:ascii="Traditional Arabic" w:hAnsi="Traditional Arabic"/>
          <w:sz w:val="32"/>
          <w:szCs w:val="32"/>
        </w:rPr>
      </w:pPr>
      <w:r w:rsidRPr="00FD79E6">
        <w:rPr>
          <w:rFonts w:ascii="Traditional Arabic" w:hAnsi="Traditional Arabic"/>
          <w:sz w:val="32"/>
          <w:szCs w:val="32"/>
          <w:rtl/>
        </w:rPr>
        <w:t>(</w:t>
      </w:r>
      <w:r w:rsidRPr="00FD79E6">
        <w:rPr>
          <w:rStyle w:val="ae"/>
          <w:rFonts w:ascii="Traditional Arabic" w:hAnsi="Traditional Arabic"/>
          <w:sz w:val="32"/>
          <w:szCs w:val="32"/>
          <w:vertAlign w:val="baseline"/>
        </w:rPr>
        <w:footnoteRef/>
      </w:r>
      <w:r w:rsidRPr="00FD79E6">
        <w:rPr>
          <w:rFonts w:ascii="Traditional Arabic" w:hAnsi="Traditional Arabic"/>
          <w:sz w:val="32"/>
          <w:szCs w:val="32"/>
          <w:rtl/>
        </w:rPr>
        <w:t xml:space="preserve">) </w:t>
      </w:r>
      <w:r w:rsidRPr="00FD79E6">
        <w:rPr>
          <w:rFonts w:ascii="Traditional Arabic" w:hAnsi="Traditional Arabic" w:hint="cs"/>
          <w:sz w:val="32"/>
          <w:szCs w:val="32"/>
          <w:rtl/>
        </w:rPr>
        <w:t>قوله: [</w:t>
      </w:r>
      <w:r w:rsidRPr="00FD79E6">
        <w:rPr>
          <w:rFonts w:ascii="Traditional Arabic" w:hAnsi="Traditional Arabic"/>
          <w:sz w:val="32"/>
          <w:szCs w:val="32"/>
          <w:rtl/>
        </w:rPr>
        <w:t>والإِستبرق ثخينه. وقرأت على شيخنا أبي منصور اللغوي، قال: السندس: رقيق الديباج</w:t>
      </w:r>
      <w:r w:rsidRPr="00FD79E6">
        <w:rPr>
          <w:rFonts w:ascii="Traditional Arabic" w:hAnsi="Traditional Arabic" w:hint="cs"/>
          <w:sz w:val="32"/>
          <w:szCs w:val="32"/>
          <w:rtl/>
        </w:rPr>
        <w:t>] ليس في</w:t>
      </w:r>
      <w:r w:rsidRPr="00FD79E6">
        <w:rPr>
          <w:rFonts w:ascii="Traditional Arabic" w:hAnsi="Traditional Arabic"/>
          <w:sz w:val="32"/>
          <w:szCs w:val="32"/>
          <w:rtl/>
        </w:rPr>
        <w:t xml:space="preserve"> (ك).</w:t>
      </w:r>
    </w:p>
  </w:footnote>
  <w:footnote w:id="1298">
    <w:p w:rsidR="003F128F" w:rsidRPr="00FD79E6" w:rsidRDefault="003F128F" w:rsidP="00DC21B6">
      <w:pPr>
        <w:pStyle w:val="af3"/>
        <w:rPr>
          <w:rFonts w:ascii="Traditional Arabic" w:hAnsi="Traditional Arabic"/>
          <w:sz w:val="32"/>
          <w:szCs w:val="32"/>
        </w:rPr>
      </w:pPr>
      <w:r w:rsidRPr="00FD79E6">
        <w:rPr>
          <w:rFonts w:ascii="Traditional Arabic" w:hAnsi="Traditional Arabic"/>
          <w:sz w:val="32"/>
          <w:szCs w:val="32"/>
          <w:rtl/>
        </w:rPr>
        <w:t>(</w:t>
      </w:r>
      <w:r w:rsidRPr="00FD79E6">
        <w:rPr>
          <w:rStyle w:val="ae"/>
          <w:rFonts w:ascii="Traditional Arabic" w:hAnsi="Traditional Arabic"/>
          <w:sz w:val="32"/>
          <w:szCs w:val="32"/>
          <w:vertAlign w:val="baseline"/>
        </w:rPr>
        <w:footnoteRef/>
      </w:r>
      <w:r w:rsidRPr="00FD79E6">
        <w:rPr>
          <w:rFonts w:ascii="Traditional Arabic" w:hAnsi="Traditional Arabic"/>
          <w:sz w:val="32"/>
          <w:szCs w:val="32"/>
          <w:rtl/>
        </w:rPr>
        <w:t>) الحِنْدس: الليل الشديد الظلمة. انظر: الصحاح (3/916) مادة (حدس).</w:t>
      </w:r>
    </w:p>
  </w:footnote>
  <w:footnote w:id="1299">
    <w:p w:rsidR="003F128F" w:rsidRPr="00FD79E6" w:rsidRDefault="003F128F" w:rsidP="00DC21B6">
      <w:pPr>
        <w:pStyle w:val="af3"/>
        <w:rPr>
          <w:rFonts w:ascii="Traditional Arabic" w:hAnsi="Traditional Arabic"/>
          <w:sz w:val="32"/>
          <w:szCs w:val="32"/>
        </w:rPr>
      </w:pPr>
      <w:r w:rsidRPr="00FD79E6">
        <w:rPr>
          <w:rFonts w:ascii="Traditional Arabic" w:hAnsi="Traditional Arabic"/>
          <w:sz w:val="32"/>
          <w:szCs w:val="32"/>
          <w:rtl/>
        </w:rPr>
        <w:t>(</w:t>
      </w:r>
      <w:r w:rsidRPr="00FD79E6">
        <w:rPr>
          <w:rStyle w:val="ae"/>
          <w:rFonts w:ascii="Traditional Arabic" w:hAnsi="Traditional Arabic"/>
          <w:sz w:val="32"/>
          <w:szCs w:val="32"/>
          <w:vertAlign w:val="baseline"/>
        </w:rPr>
        <w:footnoteRef/>
      </w:r>
      <w:r w:rsidRPr="00FD79E6">
        <w:rPr>
          <w:rFonts w:ascii="Traditional Arabic" w:hAnsi="Traditional Arabic"/>
          <w:sz w:val="32"/>
          <w:szCs w:val="32"/>
          <w:rtl/>
        </w:rPr>
        <w:t>) المعرب من الكلام الأعجمي (ص225).</w:t>
      </w:r>
    </w:p>
  </w:footnote>
  <w:footnote w:id="1300">
    <w:p w:rsidR="003F128F" w:rsidRPr="00FD79E6" w:rsidRDefault="003F128F" w:rsidP="00DC21B6">
      <w:pPr>
        <w:pStyle w:val="af3"/>
        <w:rPr>
          <w:rFonts w:ascii="Traditional Arabic" w:hAnsi="Traditional Arabic"/>
          <w:sz w:val="32"/>
          <w:szCs w:val="32"/>
        </w:rPr>
      </w:pPr>
      <w:r w:rsidRPr="00FD79E6">
        <w:rPr>
          <w:rFonts w:ascii="Traditional Arabic" w:hAnsi="Traditional Arabic"/>
          <w:sz w:val="32"/>
          <w:szCs w:val="32"/>
          <w:rtl/>
        </w:rPr>
        <w:t>(</w:t>
      </w:r>
      <w:r w:rsidRPr="00FD79E6">
        <w:rPr>
          <w:rStyle w:val="ae"/>
          <w:rFonts w:ascii="Traditional Arabic" w:hAnsi="Traditional Arabic"/>
          <w:sz w:val="32"/>
          <w:szCs w:val="32"/>
          <w:vertAlign w:val="baseline"/>
        </w:rPr>
        <w:footnoteRef/>
      </w:r>
      <w:r w:rsidRPr="00FD79E6">
        <w:rPr>
          <w:rFonts w:ascii="Traditional Arabic" w:hAnsi="Traditional Arabic"/>
          <w:sz w:val="32"/>
          <w:szCs w:val="32"/>
          <w:rtl/>
        </w:rPr>
        <w:t>) المصدر السابق (ص63).</w:t>
      </w:r>
    </w:p>
  </w:footnote>
  <w:footnote w:id="1301">
    <w:p w:rsidR="003F128F" w:rsidRPr="00FD79E6" w:rsidRDefault="003F128F" w:rsidP="00DC21B6">
      <w:pPr>
        <w:pStyle w:val="af3"/>
        <w:rPr>
          <w:rFonts w:ascii="Traditional Arabic" w:hAnsi="Traditional Arabic"/>
          <w:sz w:val="32"/>
          <w:szCs w:val="32"/>
        </w:rPr>
      </w:pPr>
      <w:r w:rsidRPr="00FD79E6">
        <w:rPr>
          <w:rFonts w:ascii="Traditional Arabic" w:hAnsi="Traditional Arabic"/>
          <w:sz w:val="32"/>
          <w:szCs w:val="32"/>
          <w:rtl/>
        </w:rPr>
        <w:t>(</w:t>
      </w:r>
      <w:r w:rsidRPr="00FD79E6">
        <w:rPr>
          <w:rStyle w:val="ae"/>
          <w:rFonts w:ascii="Traditional Arabic" w:hAnsi="Traditional Arabic"/>
          <w:sz w:val="32"/>
          <w:szCs w:val="32"/>
          <w:vertAlign w:val="baseline"/>
        </w:rPr>
        <w:footnoteRef/>
      </w:r>
      <w:r w:rsidRPr="00FD79E6">
        <w:rPr>
          <w:rFonts w:ascii="Traditional Arabic" w:hAnsi="Traditional Arabic"/>
          <w:sz w:val="32"/>
          <w:szCs w:val="32"/>
          <w:rtl/>
        </w:rPr>
        <w:t>) هو الامام أبو بكر</w:t>
      </w:r>
      <w:r>
        <w:rPr>
          <w:rFonts w:ascii="Traditional Arabic" w:hAnsi="Traditional Arabic" w:hint="cs"/>
          <w:sz w:val="32"/>
          <w:szCs w:val="32"/>
          <w:rtl/>
        </w:rPr>
        <w:t>,</w:t>
      </w:r>
      <w:r w:rsidRPr="00FD79E6">
        <w:rPr>
          <w:rFonts w:ascii="Traditional Arabic" w:hAnsi="Traditional Arabic"/>
          <w:sz w:val="32"/>
          <w:szCs w:val="32"/>
          <w:rtl/>
        </w:rPr>
        <w:t xml:space="preserve"> محمد بن الحسن بن دريد بن عتاهية الأزدي, اللغوي, البصري, إمام عصره في اللغة والآداب والشعر الفائق, من مصنفاته "الجمهرة", "الاشتقاق", وغيرها, (ت321ه). انظر: وفيات الأعيان (4/323), سير أعلام النبلاء (15/96). </w:t>
      </w:r>
    </w:p>
  </w:footnote>
  <w:footnote w:id="1302">
    <w:p w:rsidR="003F128F" w:rsidRPr="00FD79E6" w:rsidRDefault="003F128F" w:rsidP="00DC21B6">
      <w:pPr>
        <w:pStyle w:val="af3"/>
        <w:rPr>
          <w:rFonts w:ascii="Traditional Arabic" w:hAnsi="Traditional Arabic"/>
          <w:sz w:val="32"/>
          <w:szCs w:val="32"/>
        </w:rPr>
      </w:pPr>
      <w:r w:rsidRPr="00FD79E6">
        <w:rPr>
          <w:rFonts w:ascii="Traditional Arabic" w:hAnsi="Traditional Arabic"/>
          <w:sz w:val="32"/>
          <w:szCs w:val="32"/>
          <w:rtl/>
        </w:rPr>
        <w:t>(</w:t>
      </w:r>
      <w:r w:rsidRPr="00FD79E6">
        <w:rPr>
          <w:rStyle w:val="ae"/>
          <w:rFonts w:ascii="Traditional Arabic" w:hAnsi="Traditional Arabic"/>
          <w:sz w:val="32"/>
          <w:szCs w:val="32"/>
          <w:vertAlign w:val="baseline"/>
        </w:rPr>
        <w:footnoteRef/>
      </w:r>
      <w:r w:rsidRPr="00FD79E6">
        <w:rPr>
          <w:rFonts w:ascii="Traditional Arabic" w:hAnsi="Traditional Arabic"/>
          <w:sz w:val="32"/>
          <w:szCs w:val="32"/>
          <w:rtl/>
        </w:rPr>
        <w:t>) انظر: جمهرة اللغة لابن دريد (3/1326).</w:t>
      </w:r>
    </w:p>
  </w:footnote>
  <w:footnote w:id="1303">
    <w:p w:rsidR="003F128F" w:rsidRPr="00FD79E6" w:rsidRDefault="003F128F" w:rsidP="00DC21B6">
      <w:pPr>
        <w:pStyle w:val="af3"/>
        <w:rPr>
          <w:rFonts w:ascii="Traditional Arabic" w:hAnsi="Traditional Arabic"/>
          <w:sz w:val="32"/>
          <w:szCs w:val="32"/>
        </w:rPr>
      </w:pPr>
      <w:r w:rsidRPr="00FD79E6">
        <w:rPr>
          <w:rFonts w:ascii="Traditional Arabic" w:hAnsi="Traditional Arabic"/>
          <w:sz w:val="32"/>
          <w:szCs w:val="32"/>
          <w:rtl/>
        </w:rPr>
        <w:t>(</w:t>
      </w:r>
      <w:r w:rsidRPr="00FD79E6">
        <w:rPr>
          <w:rStyle w:val="ae"/>
          <w:rFonts w:ascii="Traditional Arabic" w:hAnsi="Traditional Arabic"/>
          <w:sz w:val="32"/>
          <w:szCs w:val="32"/>
          <w:vertAlign w:val="baseline"/>
        </w:rPr>
        <w:footnoteRef/>
      </w:r>
      <w:r w:rsidRPr="00FD79E6">
        <w:rPr>
          <w:rFonts w:ascii="Traditional Arabic" w:hAnsi="Traditional Arabic"/>
          <w:sz w:val="32"/>
          <w:szCs w:val="32"/>
          <w:rtl/>
        </w:rPr>
        <w:t>) انظر: العين (5/422) مادة (وكأ).</w:t>
      </w:r>
    </w:p>
  </w:footnote>
  <w:footnote w:id="1304">
    <w:p w:rsidR="003F128F" w:rsidRPr="00FD79E6" w:rsidRDefault="003F128F" w:rsidP="00DC21B6">
      <w:pPr>
        <w:pStyle w:val="af3"/>
        <w:rPr>
          <w:rFonts w:ascii="Traditional Arabic" w:hAnsi="Traditional Arabic"/>
          <w:sz w:val="32"/>
          <w:szCs w:val="32"/>
        </w:rPr>
      </w:pPr>
      <w:r w:rsidRPr="00FD79E6">
        <w:rPr>
          <w:rFonts w:ascii="Traditional Arabic" w:hAnsi="Traditional Arabic"/>
          <w:sz w:val="32"/>
          <w:szCs w:val="32"/>
          <w:rtl/>
        </w:rPr>
        <w:t>(</w:t>
      </w:r>
      <w:r w:rsidRPr="00FD79E6">
        <w:rPr>
          <w:rStyle w:val="ae"/>
          <w:rFonts w:ascii="Traditional Arabic" w:hAnsi="Traditional Arabic"/>
          <w:sz w:val="32"/>
          <w:szCs w:val="32"/>
          <w:vertAlign w:val="baseline"/>
        </w:rPr>
        <w:footnoteRef/>
      </w:r>
      <w:r w:rsidRPr="00FD79E6">
        <w:rPr>
          <w:rFonts w:ascii="Traditional Arabic" w:hAnsi="Traditional Arabic"/>
          <w:sz w:val="32"/>
          <w:szCs w:val="32"/>
          <w:rtl/>
        </w:rPr>
        <w:t>) انظر: مجاز القرآن (1/401).</w:t>
      </w:r>
    </w:p>
  </w:footnote>
  <w:footnote w:id="1305">
    <w:p w:rsidR="003F128F" w:rsidRPr="00FD79E6" w:rsidRDefault="003F128F" w:rsidP="00DC21B6">
      <w:pPr>
        <w:pStyle w:val="af3"/>
        <w:rPr>
          <w:rFonts w:ascii="Traditional Arabic" w:hAnsi="Traditional Arabic"/>
          <w:sz w:val="32"/>
          <w:szCs w:val="32"/>
        </w:rPr>
      </w:pPr>
      <w:r w:rsidRPr="00FD79E6">
        <w:rPr>
          <w:rFonts w:ascii="Traditional Arabic" w:hAnsi="Traditional Arabic"/>
          <w:sz w:val="32"/>
          <w:szCs w:val="32"/>
          <w:rtl/>
        </w:rPr>
        <w:t>(</w:t>
      </w:r>
      <w:r w:rsidRPr="00FD79E6">
        <w:rPr>
          <w:rStyle w:val="ae"/>
          <w:rFonts w:ascii="Traditional Arabic" w:hAnsi="Traditional Arabic"/>
          <w:sz w:val="32"/>
          <w:szCs w:val="32"/>
          <w:vertAlign w:val="baseline"/>
        </w:rPr>
        <w:footnoteRef/>
      </w:r>
      <w:r w:rsidRPr="00FD79E6">
        <w:rPr>
          <w:rFonts w:ascii="Traditional Arabic" w:hAnsi="Traditional Arabic"/>
          <w:sz w:val="32"/>
          <w:szCs w:val="32"/>
          <w:rtl/>
        </w:rPr>
        <w:t xml:space="preserve">) غريب القرآن (ص267).   </w:t>
      </w:r>
    </w:p>
  </w:footnote>
  <w:footnote w:id="1306">
    <w:p w:rsidR="003F128F" w:rsidRPr="00FD79E6" w:rsidRDefault="003F128F" w:rsidP="00DC21B6">
      <w:pPr>
        <w:pStyle w:val="af3"/>
        <w:rPr>
          <w:rFonts w:ascii="Traditional Arabic" w:hAnsi="Traditional Arabic"/>
          <w:sz w:val="32"/>
          <w:szCs w:val="32"/>
        </w:rPr>
      </w:pPr>
      <w:r w:rsidRPr="00FD79E6">
        <w:rPr>
          <w:rFonts w:ascii="Traditional Arabic" w:hAnsi="Traditional Arabic"/>
          <w:sz w:val="32"/>
          <w:szCs w:val="32"/>
          <w:rtl/>
        </w:rPr>
        <w:t>(</w:t>
      </w:r>
      <w:r w:rsidRPr="00FD79E6">
        <w:rPr>
          <w:rStyle w:val="ae"/>
          <w:rFonts w:ascii="Traditional Arabic" w:hAnsi="Traditional Arabic"/>
          <w:sz w:val="32"/>
          <w:szCs w:val="32"/>
          <w:vertAlign w:val="baseline"/>
        </w:rPr>
        <w:footnoteRef/>
      </w:r>
      <w:r w:rsidRPr="00FD79E6">
        <w:rPr>
          <w:rFonts w:ascii="Traditional Arabic" w:hAnsi="Traditional Arabic"/>
          <w:sz w:val="32"/>
          <w:szCs w:val="32"/>
          <w:rtl/>
        </w:rPr>
        <w:t xml:space="preserve">) التفسير الوسيط (3/516), رموز الكنوز (4/283). </w:t>
      </w:r>
    </w:p>
  </w:footnote>
  <w:footnote w:id="1307">
    <w:p w:rsidR="003F128F" w:rsidRPr="00C62AB8" w:rsidRDefault="003F128F" w:rsidP="00DC21B6">
      <w:pPr>
        <w:pStyle w:val="af3"/>
        <w:rPr>
          <w:rFonts w:ascii="Tahoma" w:hAnsi="Tahoma"/>
        </w:rPr>
      </w:pPr>
      <w:r w:rsidRPr="00FD79E6">
        <w:rPr>
          <w:rFonts w:ascii="Traditional Arabic" w:hAnsi="Traditional Arabic"/>
          <w:sz w:val="32"/>
          <w:szCs w:val="32"/>
          <w:rtl/>
        </w:rPr>
        <w:t>(</w:t>
      </w:r>
      <w:r w:rsidRPr="00FD79E6">
        <w:rPr>
          <w:rStyle w:val="ae"/>
          <w:rFonts w:ascii="Traditional Arabic" w:hAnsi="Traditional Arabic"/>
          <w:sz w:val="32"/>
          <w:szCs w:val="32"/>
          <w:vertAlign w:val="baseline"/>
        </w:rPr>
        <w:footnoteRef/>
      </w:r>
      <w:r w:rsidRPr="00FD79E6">
        <w:rPr>
          <w:rFonts w:ascii="Traditional Arabic" w:hAnsi="Traditional Arabic"/>
          <w:sz w:val="32"/>
          <w:szCs w:val="32"/>
          <w:rtl/>
        </w:rPr>
        <w:t xml:space="preserve">) </w:t>
      </w:r>
      <w:r w:rsidRPr="00FD79E6">
        <w:rPr>
          <w:rFonts w:ascii="Traditional Arabic" w:hAnsi="Traditional Arabic" w:hint="cs"/>
          <w:sz w:val="32"/>
          <w:szCs w:val="32"/>
          <w:rtl/>
        </w:rPr>
        <w:t>انظر: أدب الكاتب لابن قتيبة (ص62).</w:t>
      </w:r>
    </w:p>
  </w:footnote>
  <w:footnote w:id="1308">
    <w:p w:rsidR="003F128F" w:rsidRPr="00954A8F" w:rsidRDefault="003F128F" w:rsidP="00DC21B6">
      <w:pPr>
        <w:pStyle w:val="af3"/>
        <w:rPr>
          <w:rFonts w:ascii="Traditional Arabic" w:hAnsi="Traditional Arabic"/>
          <w:sz w:val="32"/>
          <w:szCs w:val="32"/>
        </w:rPr>
      </w:pPr>
      <w:r w:rsidRPr="00954A8F">
        <w:rPr>
          <w:rFonts w:ascii="Traditional Arabic" w:hAnsi="Traditional Arabic"/>
          <w:sz w:val="32"/>
          <w:szCs w:val="32"/>
          <w:rtl/>
        </w:rPr>
        <w:t>(</w:t>
      </w:r>
      <w:r w:rsidRPr="00954A8F">
        <w:rPr>
          <w:rStyle w:val="ae"/>
          <w:rFonts w:ascii="Traditional Arabic" w:hAnsi="Traditional Arabic"/>
          <w:sz w:val="32"/>
          <w:szCs w:val="32"/>
          <w:vertAlign w:val="baseline"/>
        </w:rPr>
        <w:footnoteRef/>
      </w:r>
      <w:r w:rsidRPr="00954A8F">
        <w:rPr>
          <w:rFonts w:ascii="Traditional Arabic" w:hAnsi="Traditional Arabic"/>
          <w:sz w:val="32"/>
          <w:szCs w:val="32"/>
          <w:rtl/>
        </w:rPr>
        <w:t xml:space="preserve">) انظر: معاني القرآن وإعرابه (4/292).   </w:t>
      </w:r>
    </w:p>
  </w:footnote>
  <w:footnote w:id="1309">
    <w:p w:rsidR="003F128F" w:rsidRPr="00954A8F" w:rsidRDefault="003F128F" w:rsidP="00DC21B6">
      <w:pPr>
        <w:pStyle w:val="af3"/>
        <w:rPr>
          <w:rFonts w:ascii="Traditional Arabic" w:hAnsi="Traditional Arabic"/>
          <w:sz w:val="32"/>
          <w:szCs w:val="32"/>
        </w:rPr>
      </w:pPr>
      <w:r w:rsidRPr="00954A8F">
        <w:rPr>
          <w:rFonts w:ascii="Traditional Arabic" w:hAnsi="Traditional Arabic"/>
          <w:sz w:val="32"/>
          <w:szCs w:val="32"/>
          <w:rtl/>
        </w:rPr>
        <w:t>(</w:t>
      </w:r>
      <w:r w:rsidRPr="00954A8F">
        <w:rPr>
          <w:rStyle w:val="ae"/>
          <w:rFonts w:ascii="Traditional Arabic" w:hAnsi="Traditional Arabic"/>
          <w:sz w:val="32"/>
          <w:szCs w:val="32"/>
          <w:vertAlign w:val="baseline"/>
        </w:rPr>
        <w:footnoteRef/>
      </w:r>
      <w:r w:rsidRPr="00954A8F">
        <w:rPr>
          <w:rFonts w:ascii="Traditional Arabic" w:hAnsi="Traditional Arabic"/>
          <w:sz w:val="32"/>
          <w:szCs w:val="32"/>
          <w:rtl/>
        </w:rPr>
        <w:t xml:space="preserve">) انظر: بحر العلوم </w:t>
      </w:r>
      <w:r>
        <w:rPr>
          <w:rFonts w:ascii="Traditional Arabic" w:hAnsi="Traditional Arabic"/>
          <w:sz w:val="32"/>
          <w:szCs w:val="32"/>
          <w:rtl/>
        </w:rPr>
        <w:t>(2/346), الكشف والبيان (6/169)</w:t>
      </w:r>
      <w:r>
        <w:rPr>
          <w:rFonts w:ascii="Traditional Arabic" w:hAnsi="Traditional Arabic" w:hint="cs"/>
          <w:sz w:val="32"/>
          <w:szCs w:val="32"/>
          <w:rtl/>
        </w:rPr>
        <w:t>.</w:t>
      </w:r>
    </w:p>
  </w:footnote>
  <w:footnote w:id="1310">
    <w:p w:rsidR="003F128F" w:rsidRPr="00954A8F" w:rsidRDefault="003F128F" w:rsidP="00DC21B6">
      <w:pPr>
        <w:pStyle w:val="af3"/>
        <w:rPr>
          <w:rFonts w:ascii="Traditional Arabic" w:hAnsi="Traditional Arabic"/>
          <w:sz w:val="32"/>
          <w:szCs w:val="32"/>
        </w:rPr>
      </w:pPr>
      <w:r w:rsidRPr="00954A8F">
        <w:rPr>
          <w:rFonts w:ascii="Traditional Arabic" w:hAnsi="Traditional Arabic"/>
          <w:sz w:val="32"/>
          <w:szCs w:val="32"/>
          <w:rtl/>
        </w:rPr>
        <w:t>(</w:t>
      </w:r>
      <w:r w:rsidRPr="00954A8F">
        <w:rPr>
          <w:rStyle w:val="ae"/>
          <w:rFonts w:ascii="Traditional Arabic" w:hAnsi="Traditional Arabic"/>
          <w:sz w:val="32"/>
          <w:szCs w:val="32"/>
          <w:vertAlign w:val="baseline"/>
        </w:rPr>
        <w:footnoteRef/>
      </w:r>
      <w:r w:rsidRPr="00954A8F">
        <w:rPr>
          <w:rFonts w:ascii="Traditional Arabic" w:hAnsi="Traditional Arabic"/>
          <w:sz w:val="32"/>
          <w:szCs w:val="32"/>
          <w:rtl/>
        </w:rPr>
        <w:t>) انظر: بحر العلوم (2/346), الكشف والبيان (6/169).</w:t>
      </w:r>
    </w:p>
  </w:footnote>
  <w:footnote w:id="1311">
    <w:p w:rsidR="003F128F" w:rsidRPr="00954A8F" w:rsidRDefault="003F128F" w:rsidP="00DC21B6">
      <w:pPr>
        <w:pStyle w:val="af3"/>
        <w:rPr>
          <w:rFonts w:ascii="Traditional Arabic" w:hAnsi="Traditional Arabic"/>
          <w:sz w:val="32"/>
          <w:szCs w:val="32"/>
        </w:rPr>
      </w:pPr>
      <w:r w:rsidRPr="00954A8F">
        <w:rPr>
          <w:rFonts w:ascii="Traditional Arabic" w:hAnsi="Traditional Arabic"/>
          <w:sz w:val="32"/>
          <w:szCs w:val="32"/>
          <w:rtl/>
        </w:rPr>
        <w:t>(</w:t>
      </w:r>
      <w:r w:rsidRPr="00954A8F">
        <w:rPr>
          <w:rStyle w:val="ae"/>
          <w:rFonts w:ascii="Traditional Arabic" w:hAnsi="Traditional Arabic"/>
          <w:sz w:val="32"/>
          <w:szCs w:val="32"/>
          <w:vertAlign w:val="baseline"/>
        </w:rPr>
        <w:footnoteRef/>
      </w:r>
      <w:r w:rsidRPr="00954A8F">
        <w:rPr>
          <w:rFonts w:ascii="Traditional Arabic" w:hAnsi="Traditional Arabic"/>
          <w:sz w:val="32"/>
          <w:szCs w:val="32"/>
          <w:rtl/>
        </w:rPr>
        <w:t xml:space="preserve">) تفسير مقاتل (2/584). </w:t>
      </w:r>
    </w:p>
  </w:footnote>
  <w:footnote w:id="1312">
    <w:p w:rsidR="003F128F" w:rsidRPr="00B16DF1" w:rsidRDefault="003F128F" w:rsidP="00DC21B6">
      <w:pPr>
        <w:pStyle w:val="af3"/>
        <w:rPr>
          <w:rFonts w:ascii="Traditional Arabic" w:hAnsi="Traditional Arabic"/>
          <w:sz w:val="32"/>
          <w:szCs w:val="32"/>
        </w:rPr>
      </w:pPr>
      <w:r w:rsidRPr="00B16DF1">
        <w:rPr>
          <w:rFonts w:ascii="Traditional Arabic" w:hAnsi="Traditional Arabic"/>
          <w:sz w:val="32"/>
          <w:szCs w:val="32"/>
          <w:rtl/>
        </w:rPr>
        <w:t>(</w:t>
      </w:r>
      <w:r w:rsidRPr="00B16DF1">
        <w:rPr>
          <w:rStyle w:val="ae"/>
          <w:rFonts w:ascii="Traditional Arabic" w:hAnsi="Traditional Arabic"/>
          <w:sz w:val="32"/>
          <w:szCs w:val="32"/>
          <w:vertAlign w:val="baseline"/>
        </w:rPr>
        <w:footnoteRef/>
      </w:r>
      <w:r w:rsidRPr="00B16DF1">
        <w:rPr>
          <w:rFonts w:ascii="Traditional Arabic" w:hAnsi="Traditional Arabic"/>
          <w:sz w:val="32"/>
          <w:szCs w:val="32"/>
          <w:rtl/>
        </w:rPr>
        <w:t>) في (ك): [هذا المَثَل ضُرِبَ لعيينة].</w:t>
      </w:r>
    </w:p>
  </w:footnote>
  <w:footnote w:id="1313">
    <w:p w:rsidR="003F128F" w:rsidRPr="009125D3" w:rsidRDefault="003F128F" w:rsidP="00DC21B6">
      <w:pPr>
        <w:pStyle w:val="af3"/>
        <w:rPr>
          <w:rFonts w:ascii="Traditional Arabic" w:hAnsi="Traditional Arabic"/>
          <w:sz w:val="32"/>
          <w:szCs w:val="32"/>
        </w:rPr>
      </w:pPr>
      <w:r w:rsidRPr="009125D3">
        <w:rPr>
          <w:rFonts w:ascii="Traditional Arabic" w:hAnsi="Traditional Arabic"/>
          <w:sz w:val="32"/>
          <w:szCs w:val="32"/>
          <w:rtl/>
        </w:rPr>
        <w:t>(</w:t>
      </w:r>
      <w:r w:rsidRPr="009125D3">
        <w:rPr>
          <w:rStyle w:val="ae"/>
          <w:rFonts w:ascii="Traditional Arabic" w:hAnsi="Traditional Arabic"/>
          <w:sz w:val="32"/>
          <w:szCs w:val="32"/>
          <w:vertAlign w:val="baseline"/>
        </w:rPr>
        <w:footnoteRef/>
      </w:r>
      <w:r w:rsidRPr="009125D3">
        <w:rPr>
          <w:rFonts w:ascii="Traditional Arabic" w:hAnsi="Traditional Arabic"/>
          <w:sz w:val="32"/>
          <w:szCs w:val="32"/>
          <w:rtl/>
        </w:rPr>
        <w:t>) انظر: الكشف والبيان (6/169), معالم التنزيل (5/170).</w:t>
      </w:r>
    </w:p>
  </w:footnote>
  <w:footnote w:id="1314">
    <w:p w:rsidR="003F128F" w:rsidRPr="009125D3" w:rsidRDefault="003F128F" w:rsidP="00DC21B6">
      <w:pPr>
        <w:pStyle w:val="af3"/>
        <w:rPr>
          <w:rFonts w:ascii="Traditional Arabic" w:hAnsi="Traditional Arabic"/>
          <w:sz w:val="32"/>
          <w:szCs w:val="32"/>
        </w:rPr>
      </w:pPr>
      <w:r w:rsidRPr="009125D3">
        <w:rPr>
          <w:rFonts w:ascii="Traditional Arabic" w:hAnsi="Traditional Arabic"/>
          <w:sz w:val="32"/>
          <w:szCs w:val="32"/>
          <w:rtl/>
        </w:rPr>
        <w:t>(</w:t>
      </w:r>
      <w:r w:rsidRPr="009125D3">
        <w:rPr>
          <w:rStyle w:val="ae"/>
          <w:rFonts w:ascii="Traditional Arabic" w:hAnsi="Traditional Arabic"/>
          <w:sz w:val="32"/>
          <w:szCs w:val="32"/>
          <w:vertAlign w:val="baseline"/>
        </w:rPr>
        <w:footnoteRef/>
      </w:r>
      <w:r w:rsidRPr="009125D3">
        <w:rPr>
          <w:rFonts w:ascii="Traditional Arabic" w:hAnsi="Traditional Arabic"/>
          <w:sz w:val="32"/>
          <w:szCs w:val="32"/>
          <w:rtl/>
        </w:rPr>
        <w:t xml:space="preserve">) انظر: معاني القرآن وإعرابه (3/284), التفسير الوسيط (3/148). ومعنى مُطِيفاً: محيطاً. انظر: تهذيب اللغة (14/25) مادة (طوف).    </w:t>
      </w:r>
    </w:p>
  </w:footnote>
  <w:footnote w:id="1315">
    <w:p w:rsidR="003F128F" w:rsidRPr="009125D3" w:rsidRDefault="003F128F" w:rsidP="00DC21B6">
      <w:pPr>
        <w:pStyle w:val="af3"/>
        <w:rPr>
          <w:rFonts w:ascii="Traditional Arabic" w:hAnsi="Traditional Arabic"/>
          <w:sz w:val="32"/>
          <w:szCs w:val="32"/>
        </w:rPr>
      </w:pPr>
      <w:r w:rsidRPr="009125D3">
        <w:rPr>
          <w:rFonts w:ascii="Traditional Arabic" w:hAnsi="Traditional Arabic"/>
          <w:sz w:val="32"/>
          <w:szCs w:val="32"/>
          <w:rtl/>
        </w:rPr>
        <w:t>(</w:t>
      </w:r>
      <w:r w:rsidRPr="009125D3">
        <w:rPr>
          <w:rStyle w:val="ae"/>
          <w:rFonts w:ascii="Traditional Arabic" w:hAnsi="Traditional Arabic"/>
          <w:sz w:val="32"/>
          <w:szCs w:val="32"/>
          <w:vertAlign w:val="baseline"/>
        </w:rPr>
        <w:footnoteRef/>
      </w:r>
      <w:r w:rsidRPr="009125D3">
        <w:rPr>
          <w:rFonts w:ascii="Traditional Arabic" w:hAnsi="Traditional Arabic"/>
          <w:sz w:val="32"/>
          <w:szCs w:val="32"/>
          <w:rtl/>
        </w:rPr>
        <w:t xml:space="preserve">) انظر: معاني القرآن وإعرابه (3/284), الكشاف (2/721). </w:t>
      </w:r>
    </w:p>
  </w:footnote>
  <w:footnote w:id="1316">
    <w:p w:rsidR="003F128F" w:rsidRPr="009125D3" w:rsidRDefault="003F128F" w:rsidP="00DC21B6">
      <w:pPr>
        <w:pStyle w:val="af3"/>
        <w:rPr>
          <w:rFonts w:ascii="Traditional Arabic" w:hAnsi="Traditional Arabic"/>
          <w:sz w:val="32"/>
          <w:szCs w:val="32"/>
        </w:rPr>
      </w:pPr>
      <w:r w:rsidRPr="009125D3">
        <w:rPr>
          <w:rFonts w:ascii="Traditional Arabic" w:hAnsi="Traditional Arabic"/>
          <w:sz w:val="32"/>
          <w:szCs w:val="32"/>
          <w:rtl/>
        </w:rPr>
        <w:t>(</w:t>
      </w:r>
      <w:r w:rsidRPr="009125D3">
        <w:rPr>
          <w:rStyle w:val="ae"/>
          <w:rFonts w:ascii="Traditional Arabic" w:hAnsi="Traditional Arabic"/>
          <w:sz w:val="32"/>
          <w:szCs w:val="32"/>
          <w:vertAlign w:val="baseline"/>
        </w:rPr>
        <w:footnoteRef/>
      </w:r>
      <w:r w:rsidRPr="009125D3">
        <w:rPr>
          <w:rFonts w:ascii="Traditional Arabic" w:hAnsi="Traditional Arabic"/>
          <w:sz w:val="32"/>
          <w:szCs w:val="32"/>
          <w:rtl/>
        </w:rPr>
        <w:t xml:space="preserve">) لم أقف على قائل هذا البيت.  </w:t>
      </w:r>
    </w:p>
  </w:footnote>
  <w:footnote w:id="1317">
    <w:p w:rsidR="003F128F" w:rsidRPr="00D52175" w:rsidRDefault="003F128F" w:rsidP="00DC21B6">
      <w:pPr>
        <w:pStyle w:val="af3"/>
        <w:rPr>
          <w:rFonts w:ascii="Traditional Arabic" w:hAnsi="Traditional Arabic"/>
          <w:sz w:val="32"/>
          <w:szCs w:val="32"/>
        </w:rPr>
      </w:pPr>
      <w:r w:rsidRPr="00D52175">
        <w:rPr>
          <w:rFonts w:ascii="Traditional Arabic" w:hAnsi="Traditional Arabic"/>
          <w:sz w:val="32"/>
          <w:szCs w:val="32"/>
          <w:rtl/>
        </w:rPr>
        <w:t>(</w:t>
      </w:r>
      <w:r w:rsidRPr="00D52175">
        <w:rPr>
          <w:rStyle w:val="ae"/>
          <w:rFonts w:ascii="Traditional Arabic" w:hAnsi="Traditional Arabic"/>
          <w:sz w:val="32"/>
          <w:szCs w:val="32"/>
          <w:vertAlign w:val="baseline"/>
        </w:rPr>
        <w:footnoteRef/>
      </w:r>
      <w:r w:rsidRPr="00D52175">
        <w:rPr>
          <w:rFonts w:ascii="Traditional Arabic" w:hAnsi="Traditional Arabic"/>
          <w:sz w:val="32"/>
          <w:szCs w:val="32"/>
          <w:rtl/>
        </w:rPr>
        <w:t xml:space="preserve">) انظر: معاني القرآن (2/142).    </w:t>
      </w:r>
    </w:p>
  </w:footnote>
  <w:footnote w:id="1318">
    <w:p w:rsidR="003F128F" w:rsidRPr="00F25AEC" w:rsidRDefault="003F128F" w:rsidP="00DC21B6">
      <w:pPr>
        <w:pStyle w:val="af3"/>
        <w:rPr>
          <w:rFonts w:ascii="Traditional Arabic" w:hAnsi="Traditional Arabic"/>
          <w:sz w:val="32"/>
          <w:szCs w:val="32"/>
        </w:rPr>
      </w:pPr>
      <w:r w:rsidRPr="00F25AEC">
        <w:rPr>
          <w:rFonts w:ascii="Traditional Arabic" w:hAnsi="Traditional Arabic"/>
          <w:sz w:val="32"/>
          <w:szCs w:val="32"/>
          <w:rtl/>
        </w:rPr>
        <w:t>(</w:t>
      </w:r>
      <w:r w:rsidRPr="00F25AEC">
        <w:rPr>
          <w:rStyle w:val="ae"/>
          <w:rFonts w:ascii="Traditional Arabic" w:hAnsi="Traditional Arabic"/>
          <w:sz w:val="32"/>
          <w:szCs w:val="32"/>
          <w:vertAlign w:val="baseline"/>
        </w:rPr>
        <w:footnoteRef/>
      </w:r>
      <w:r w:rsidRPr="00F25AEC">
        <w:rPr>
          <w:rFonts w:ascii="Traditional Arabic" w:hAnsi="Traditional Arabic"/>
          <w:sz w:val="32"/>
          <w:szCs w:val="32"/>
          <w:rtl/>
        </w:rPr>
        <w:t xml:space="preserve">) في (ك): </w:t>
      </w:r>
      <w:r>
        <w:rPr>
          <w:rFonts w:ascii="Traditional Arabic" w:hAnsi="Traditional Arabic" w:hint="cs"/>
          <w:sz w:val="32"/>
          <w:szCs w:val="32"/>
          <w:rtl/>
        </w:rPr>
        <w:t>[</w:t>
      </w:r>
      <w:r>
        <w:rPr>
          <w:rFonts w:ascii="Traditional Arabic" w:hAnsi="Traditional Arabic"/>
          <w:sz w:val="32"/>
          <w:szCs w:val="32"/>
          <w:rtl/>
        </w:rPr>
        <w:t>آتتا أُكُلَهما</w:t>
      </w:r>
      <w:r>
        <w:rPr>
          <w:rFonts w:ascii="Traditional Arabic" w:hAnsi="Traditional Arabic" w:hint="cs"/>
          <w:sz w:val="32"/>
          <w:szCs w:val="32"/>
          <w:rtl/>
        </w:rPr>
        <w:t>].</w:t>
      </w:r>
    </w:p>
  </w:footnote>
  <w:footnote w:id="1319">
    <w:p w:rsidR="003F128F" w:rsidRPr="00F25AEC" w:rsidRDefault="003F128F" w:rsidP="00990DB0">
      <w:pPr>
        <w:pStyle w:val="af3"/>
        <w:rPr>
          <w:rFonts w:ascii="Traditional Arabic" w:hAnsi="Traditional Arabic"/>
          <w:sz w:val="32"/>
          <w:szCs w:val="32"/>
        </w:rPr>
      </w:pPr>
      <w:r w:rsidRPr="00F25AEC">
        <w:rPr>
          <w:rFonts w:ascii="Traditional Arabic" w:hAnsi="Traditional Arabic"/>
          <w:sz w:val="32"/>
          <w:szCs w:val="32"/>
          <w:rtl/>
        </w:rPr>
        <w:t>(</w:t>
      </w:r>
      <w:r w:rsidRPr="00F25AEC">
        <w:rPr>
          <w:rStyle w:val="ae"/>
          <w:rFonts w:ascii="Traditional Arabic" w:hAnsi="Traditional Arabic"/>
          <w:sz w:val="32"/>
          <w:szCs w:val="32"/>
          <w:vertAlign w:val="baseline"/>
        </w:rPr>
        <w:footnoteRef/>
      </w:r>
      <w:r w:rsidRPr="00F25AEC">
        <w:rPr>
          <w:rFonts w:ascii="Traditional Arabic" w:hAnsi="Traditional Arabic"/>
          <w:sz w:val="32"/>
          <w:szCs w:val="32"/>
          <w:rtl/>
        </w:rPr>
        <w:t>) البيت من شعر تميم بن أبي بن مقبل كما في ديوانه (</w:t>
      </w:r>
      <w:r>
        <w:rPr>
          <w:rFonts w:ascii="Traditional Arabic" w:hAnsi="Traditional Arabic" w:hint="cs"/>
          <w:sz w:val="32"/>
          <w:szCs w:val="32"/>
          <w:rtl/>
        </w:rPr>
        <w:t>ص39</w:t>
      </w:r>
      <w:r w:rsidRPr="00F25AEC">
        <w:rPr>
          <w:rFonts w:ascii="Traditional Arabic" w:hAnsi="Traditional Arabic"/>
          <w:sz w:val="32"/>
          <w:szCs w:val="32"/>
          <w:rtl/>
        </w:rPr>
        <w:t xml:space="preserve">). </w:t>
      </w:r>
    </w:p>
  </w:footnote>
  <w:footnote w:id="1320">
    <w:p w:rsidR="003F128F" w:rsidRPr="00F25AEC" w:rsidRDefault="003F128F" w:rsidP="00DC21B6">
      <w:pPr>
        <w:pStyle w:val="af3"/>
        <w:rPr>
          <w:rFonts w:ascii="Traditional Arabic" w:hAnsi="Traditional Arabic"/>
          <w:sz w:val="32"/>
          <w:szCs w:val="32"/>
        </w:rPr>
      </w:pPr>
      <w:r w:rsidRPr="00F25AEC">
        <w:rPr>
          <w:rFonts w:ascii="Traditional Arabic" w:hAnsi="Traditional Arabic"/>
          <w:sz w:val="32"/>
          <w:szCs w:val="32"/>
          <w:rtl/>
        </w:rPr>
        <w:t>(</w:t>
      </w:r>
      <w:r w:rsidRPr="00F25AEC">
        <w:rPr>
          <w:rStyle w:val="ae"/>
          <w:rFonts w:ascii="Traditional Arabic" w:hAnsi="Traditional Arabic"/>
          <w:sz w:val="32"/>
          <w:szCs w:val="32"/>
          <w:vertAlign w:val="baseline"/>
        </w:rPr>
        <w:footnoteRef/>
      </w:r>
      <w:r>
        <w:rPr>
          <w:rFonts w:ascii="Traditional Arabic" w:hAnsi="Traditional Arabic"/>
          <w:sz w:val="32"/>
          <w:szCs w:val="32"/>
          <w:rtl/>
        </w:rPr>
        <w:t xml:space="preserve">) في (ك): </w:t>
      </w:r>
      <w:r>
        <w:rPr>
          <w:rFonts w:ascii="Traditional Arabic" w:hAnsi="Traditional Arabic" w:hint="cs"/>
          <w:sz w:val="32"/>
          <w:szCs w:val="32"/>
          <w:rtl/>
        </w:rPr>
        <w:t>[</w:t>
      </w:r>
      <w:r>
        <w:rPr>
          <w:rFonts w:ascii="Traditional Arabic" w:hAnsi="Traditional Arabic"/>
          <w:sz w:val="32"/>
          <w:szCs w:val="32"/>
          <w:rtl/>
        </w:rPr>
        <w:t>كلكم ذاهب</w:t>
      </w:r>
      <w:r>
        <w:rPr>
          <w:rFonts w:ascii="Traditional Arabic" w:hAnsi="Traditional Arabic" w:hint="cs"/>
          <w:sz w:val="32"/>
          <w:szCs w:val="32"/>
          <w:rtl/>
        </w:rPr>
        <w:t>]</w:t>
      </w:r>
      <w:r w:rsidRPr="00F25AEC">
        <w:rPr>
          <w:rFonts w:ascii="Traditional Arabic" w:hAnsi="Traditional Arabic"/>
          <w:sz w:val="32"/>
          <w:szCs w:val="32"/>
          <w:rtl/>
        </w:rPr>
        <w:t xml:space="preserve">. </w:t>
      </w:r>
    </w:p>
  </w:footnote>
  <w:footnote w:id="1321">
    <w:p w:rsidR="003F128F" w:rsidRPr="00F25AEC" w:rsidRDefault="003F128F" w:rsidP="00DC21B6">
      <w:pPr>
        <w:pStyle w:val="af3"/>
        <w:rPr>
          <w:rFonts w:ascii="Traditional Arabic" w:hAnsi="Traditional Arabic"/>
          <w:sz w:val="32"/>
          <w:szCs w:val="32"/>
        </w:rPr>
      </w:pPr>
      <w:r w:rsidRPr="00F25AEC">
        <w:rPr>
          <w:rFonts w:ascii="Traditional Arabic" w:hAnsi="Traditional Arabic"/>
          <w:sz w:val="32"/>
          <w:szCs w:val="32"/>
          <w:rtl/>
        </w:rPr>
        <w:t>(</w:t>
      </w:r>
      <w:r w:rsidRPr="00F25AEC">
        <w:rPr>
          <w:rStyle w:val="ae"/>
          <w:rFonts w:ascii="Traditional Arabic" w:hAnsi="Traditional Arabic"/>
          <w:sz w:val="32"/>
          <w:szCs w:val="32"/>
          <w:vertAlign w:val="baseline"/>
        </w:rPr>
        <w:footnoteRef/>
      </w:r>
      <w:r w:rsidRPr="00F25AEC">
        <w:rPr>
          <w:rFonts w:ascii="Traditional Arabic" w:hAnsi="Traditional Arabic"/>
          <w:sz w:val="32"/>
          <w:szCs w:val="32"/>
          <w:rtl/>
        </w:rPr>
        <w:t>) بحثت عنه فلم أجده, ولكن ذكر بنحوه الفراء كما في معاني القرآن (2/142).</w:t>
      </w:r>
    </w:p>
  </w:footnote>
  <w:footnote w:id="1322">
    <w:p w:rsidR="003F128F" w:rsidRPr="00F25AEC" w:rsidRDefault="003F128F" w:rsidP="00DC21B6">
      <w:pPr>
        <w:pStyle w:val="af3"/>
        <w:rPr>
          <w:rFonts w:ascii="Traditional Arabic" w:hAnsi="Traditional Arabic"/>
          <w:sz w:val="32"/>
          <w:szCs w:val="32"/>
        </w:rPr>
      </w:pPr>
      <w:r w:rsidRPr="00F25AEC">
        <w:rPr>
          <w:rFonts w:ascii="Traditional Arabic" w:hAnsi="Traditional Arabic"/>
          <w:sz w:val="32"/>
          <w:szCs w:val="32"/>
          <w:rtl/>
        </w:rPr>
        <w:t>(</w:t>
      </w:r>
      <w:r w:rsidRPr="00F25AEC">
        <w:rPr>
          <w:rStyle w:val="ae"/>
          <w:rFonts w:ascii="Traditional Arabic" w:hAnsi="Traditional Arabic"/>
          <w:sz w:val="32"/>
          <w:szCs w:val="32"/>
          <w:vertAlign w:val="baseline"/>
        </w:rPr>
        <w:footnoteRef/>
      </w:r>
      <w:r w:rsidRPr="00F25AEC">
        <w:rPr>
          <w:rFonts w:ascii="Traditional Arabic" w:hAnsi="Traditional Arabic"/>
          <w:sz w:val="32"/>
          <w:szCs w:val="32"/>
          <w:rtl/>
        </w:rPr>
        <w:t>) انظر: معاني القرآن وإعرابه (3/285).</w:t>
      </w:r>
    </w:p>
  </w:footnote>
  <w:footnote w:id="1323">
    <w:p w:rsidR="003F128F" w:rsidRPr="00F25AEC" w:rsidRDefault="003F128F" w:rsidP="00DC21B6">
      <w:pPr>
        <w:pStyle w:val="af3"/>
        <w:rPr>
          <w:rFonts w:ascii="Traditional Arabic" w:hAnsi="Traditional Arabic"/>
          <w:sz w:val="32"/>
          <w:szCs w:val="32"/>
        </w:rPr>
      </w:pPr>
      <w:r w:rsidRPr="00F25AEC">
        <w:rPr>
          <w:rFonts w:ascii="Traditional Arabic" w:hAnsi="Traditional Arabic"/>
          <w:sz w:val="32"/>
          <w:szCs w:val="32"/>
          <w:rtl/>
        </w:rPr>
        <w:t>(</w:t>
      </w:r>
      <w:r w:rsidRPr="00F25AEC">
        <w:rPr>
          <w:rStyle w:val="ae"/>
          <w:rFonts w:ascii="Traditional Arabic" w:hAnsi="Traditional Arabic"/>
          <w:sz w:val="32"/>
          <w:szCs w:val="32"/>
          <w:vertAlign w:val="baseline"/>
        </w:rPr>
        <w:footnoteRef/>
      </w:r>
      <w:r w:rsidRPr="00F25AEC">
        <w:rPr>
          <w:rFonts w:ascii="Traditional Arabic" w:hAnsi="Traditional Arabic"/>
          <w:sz w:val="32"/>
          <w:szCs w:val="32"/>
          <w:rtl/>
        </w:rPr>
        <w:t xml:space="preserve">) انظر: معاني القرآن (2/144).    </w:t>
      </w:r>
    </w:p>
  </w:footnote>
  <w:footnote w:id="1324">
    <w:p w:rsidR="003F128F" w:rsidRPr="00F25AEC" w:rsidRDefault="003F128F" w:rsidP="00DC21B6">
      <w:pPr>
        <w:pStyle w:val="af3"/>
        <w:rPr>
          <w:rFonts w:ascii="Traditional Arabic" w:hAnsi="Traditional Arabic"/>
          <w:sz w:val="32"/>
          <w:szCs w:val="32"/>
          <w:rtl/>
        </w:rPr>
      </w:pPr>
      <w:r w:rsidRPr="00F25AEC">
        <w:rPr>
          <w:rFonts w:ascii="Traditional Arabic" w:hAnsi="Traditional Arabic"/>
          <w:sz w:val="32"/>
          <w:szCs w:val="32"/>
          <w:rtl/>
        </w:rPr>
        <w:t>(</w:t>
      </w:r>
      <w:r w:rsidRPr="00F25AEC">
        <w:rPr>
          <w:rStyle w:val="ae"/>
          <w:rFonts w:ascii="Traditional Arabic" w:hAnsi="Traditional Arabic"/>
          <w:sz w:val="32"/>
          <w:szCs w:val="32"/>
          <w:vertAlign w:val="baseline"/>
        </w:rPr>
        <w:footnoteRef/>
      </w:r>
      <w:r w:rsidRPr="00F25AEC">
        <w:rPr>
          <w:rFonts w:ascii="Traditional Arabic" w:hAnsi="Traditional Arabic"/>
          <w:sz w:val="32"/>
          <w:szCs w:val="32"/>
          <w:rtl/>
        </w:rPr>
        <w:t>)</w:t>
      </w:r>
      <w:r>
        <w:rPr>
          <w:rFonts w:ascii="Traditional Arabic" w:hAnsi="Traditional Arabic" w:hint="cs"/>
          <w:sz w:val="32"/>
          <w:szCs w:val="32"/>
          <w:rtl/>
        </w:rPr>
        <w:t xml:space="preserve"> </w:t>
      </w:r>
      <w:r w:rsidRPr="00F25AEC">
        <w:rPr>
          <w:rFonts w:ascii="Traditional Arabic" w:hAnsi="Traditional Arabic"/>
          <w:sz w:val="32"/>
          <w:szCs w:val="32"/>
          <w:rtl/>
        </w:rPr>
        <w:t xml:space="preserve">انظر: المبسوط في القراءات العشر (ص277), الكامل في القراءات العشر (ص588), معجم القراءات (5/205). </w:t>
      </w:r>
    </w:p>
  </w:footnote>
  <w:footnote w:id="1325">
    <w:p w:rsidR="003F128F" w:rsidRPr="00F25AEC" w:rsidRDefault="003F128F" w:rsidP="00DC21B6">
      <w:pPr>
        <w:pStyle w:val="af3"/>
        <w:rPr>
          <w:rFonts w:ascii="Traditional Arabic" w:hAnsi="Traditional Arabic"/>
          <w:sz w:val="32"/>
          <w:szCs w:val="32"/>
        </w:rPr>
      </w:pPr>
      <w:r w:rsidRPr="00F25AEC">
        <w:rPr>
          <w:rFonts w:ascii="Traditional Arabic" w:hAnsi="Traditional Arabic"/>
          <w:sz w:val="32"/>
          <w:szCs w:val="32"/>
          <w:rtl/>
        </w:rPr>
        <w:t>(</w:t>
      </w:r>
      <w:r w:rsidRPr="00F25AEC">
        <w:rPr>
          <w:rStyle w:val="ae"/>
          <w:rFonts w:ascii="Traditional Arabic" w:hAnsi="Traditional Arabic"/>
          <w:sz w:val="32"/>
          <w:szCs w:val="32"/>
          <w:vertAlign w:val="baseline"/>
        </w:rPr>
        <w:footnoteRef/>
      </w:r>
      <w:r w:rsidRPr="00F25AEC">
        <w:rPr>
          <w:rFonts w:ascii="Traditional Arabic" w:hAnsi="Traditional Arabic"/>
          <w:sz w:val="32"/>
          <w:szCs w:val="32"/>
          <w:rtl/>
        </w:rPr>
        <w:t xml:space="preserve">) انظر: معجم القراءات (5/206).   </w:t>
      </w:r>
    </w:p>
  </w:footnote>
  <w:footnote w:id="1326">
    <w:p w:rsidR="003F128F" w:rsidRPr="00AA7B97" w:rsidRDefault="003F128F" w:rsidP="00DC21B6">
      <w:pPr>
        <w:pStyle w:val="af3"/>
        <w:tabs>
          <w:tab w:val="left" w:pos="5205"/>
        </w:tabs>
        <w:rPr>
          <w:rFonts w:ascii="Traditional Arabic" w:hAnsi="Traditional Arabic"/>
          <w:sz w:val="32"/>
          <w:szCs w:val="32"/>
        </w:rPr>
      </w:pPr>
      <w:r w:rsidRPr="00F25AEC">
        <w:rPr>
          <w:rFonts w:ascii="Traditional Arabic" w:hAnsi="Traditional Arabic"/>
          <w:sz w:val="32"/>
          <w:szCs w:val="32"/>
          <w:rtl/>
        </w:rPr>
        <w:t>(</w:t>
      </w:r>
      <w:r w:rsidRPr="00F25AEC">
        <w:rPr>
          <w:rStyle w:val="ae"/>
          <w:rFonts w:ascii="Traditional Arabic" w:hAnsi="Traditional Arabic"/>
          <w:sz w:val="32"/>
          <w:szCs w:val="32"/>
          <w:vertAlign w:val="baseline"/>
        </w:rPr>
        <w:footnoteRef/>
      </w:r>
      <w:r w:rsidRPr="00F25AEC">
        <w:rPr>
          <w:rFonts w:ascii="Traditional Arabic" w:hAnsi="Traditional Arabic"/>
          <w:sz w:val="32"/>
          <w:szCs w:val="32"/>
          <w:rtl/>
        </w:rPr>
        <w:t>) انظر: المحرر الوجيز (3/516), البحر المحيط (7/175), معجم القراءات (5/206).</w:t>
      </w:r>
      <w:r w:rsidRPr="00AA7B97">
        <w:rPr>
          <w:rFonts w:ascii="Traditional Arabic" w:hAnsi="Traditional Arabic"/>
          <w:sz w:val="32"/>
          <w:szCs w:val="32"/>
          <w:rtl/>
        </w:rPr>
        <w:t xml:space="preserve">   </w:t>
      </w:r>
    </w:p>
  </w:footnote>
  <w:footnote w:id="1327">
    <w:p w:rsidR="003F128F" w:rsidRPr="00AA7B97" w:rsidRDefault="003F128F" w:rsidP="00DC21B6">
      <w:pPr>
        <w:pStyle w:val="af3"/>
        <w:rPr>
          <w:rFonts w:ascii="Traditional Arabic" w:hAnsi="Traditional Arabic"/>
          <w:sz w:val="32"/>
          <w:szCs w:val="32"/>
        </w:rPr>
      </w:pPr>
      <w:r w:rsidRPr="00AA7B97">
        <w:rPr>
          <w:rFonts w:ascii="Traditional Arabic" w:hAnsi="Traditional Arabic"/>
          <w:sz w:val="32"/>
          <w:szCs w:val="32"/>
          <w:rtl/>
        </w:rPr>
        <w:t>(</w:t>
      </w:r>
      <w:r w:rsidRPr="00AA7B97">
        <w:rPr>
          <w:rStyle w:val="ae"/>
          <w:rFonts w:ascii="Traditional Arabic" w:hAnsi="Traditional Arabic"/>
          <w:sz w:val="32"/>
          <w:szCs w:val="32"/>
          <w:vertAlign w:val="baseline"/>
        </w:rPr>
        <w:footnoteRef/>
      </w:r>
      <w:r w:rsidRPr="00AA7B97">
        <w:rPr>
          <w:rFonts w:ascii="Traditional Arabic" w:hAnsi="Traditional Arabic"/>
          <w:sz w:val="32"/>
          <w:szCs w:val="32"/>
          <w:rtl/>
        </w:rPr>
        <w:t>)</w:t>
      </w:r>
      <w:r>
        <w:rPr>
          <w:rFonts w:ascii="Traditional Arabic" w:hAnsi="Traditional Arabic" w:hint="cs"/>
          <w:sz w:val="32"/>
          <w:szCs w:val="32"/>
          <w:rtl/>
        </w:rPr>
        <w:t xml:space="preserve"> </w:t>
      </w:r>
      <w:r w:rsidRPr="00AA7B97">
        <w:rPr>
          <w:rFonts w:ascii="Traditional Arabic" w:hAnsi="Traditional Arabic"/>
          <w:sz w:val="32"/>
          <w:szCs w:val="32"/>
          <w:rtl/>
        </w:rPr>
        <w:t>انظر: السبعة في القراءات (ص390), المبسوط في القراءات العشر (ص277).</w:t>
      </w:r>
    </w:p>
  </w:footnote>
  <w:footnote w:id="1328">
    <w:p w:rsidR="003F128F" w:rsidRPr="00890768" w:rsidRDefault="003F128F" w:rsidP="00DC21B6">
      <w:pPr>
        <w:pStyle w:val="af3"/>
        <w:rPr>
          <w:rFonts w:ascii="Traditional Arabic" w:hAnsi="Traditional Arabic"/>
          <w:sz w:val="32"/>
          <w:szCs w:val="32"/>
        </w:rPr>
      </w:pPr>
      <w:r w:rsidRPr="00AA7B97">
        <w:rPr>
          <w:rFonts w:ascii="Traditional Arabic" w:hAnsi="Traditional Arabic"/>
          <w:sz w:val="32"/>
          <w:szCs w:val="32"/>
          <w:rtl/>
        </w:rPr>
        <w:t>(</w:t>
      </w:r>
      <w:r w:rsidRPr="00AA7B97">
        <w:rPr>
          <w:rStyle w:val="ae"/>
          <w:rFonts w:ascii="Traditional Arabic" w:hAnsi="Traditional Arabic"/>
          <w:sz w:val="32"/>
          <w:szCs w:val="32"/>
          <w:vertAlign w:val="baseline"/>
        </w:rPr>
        <w:footnoteRef/>
      </w:r>
      <w:r w:rsidRPr="00AA7B97">
        <w:rPr>
          <w:rFonts w:ascii="Traditional Arabic" w:hAnsi="Traditional Arabic"/>
          <w:sz w:val="32"/>
          <w:szCs w:val="32"/>
          <w:rtl/>
        </w:rPr>
        <w:t>)</w:t>
      </w:r>
      <w:r>
        <w:rPr>
          <w:rFonts w:ascii="Traditional Arabic" w:hAnsi="Traditional Arabic" w:hint="cs"/>
          <w:sz w:val="32"/>
          <w:szCs w:val="32"/>
          <w:rtl/>
        </w:rPr>
        <w:t xml:space="preserve"> </w:t>
      </w:r>
      <w:r w:rsidRPr="00A862F1">
        <w:rPr>
          <w:rFonts w:ascii="Traditional Arabic" w:hAnsi="Traditional Arabic"/>
          <w:sz w:val="32"/>
          <w:szCs w:val="32"/>
          <w:rtl/>
        </w:rPr>
        <w:t>انظر: كتاب في</w:t>
      </w:r>
      <w:r>
        <w:rPr>
          <w:rFonts w:ascii="Traditional Arabic" w:hAnsi="Traditional Arabic" w:hint="cs"/>
          <w:sz w:val="32"/>
          <w:szCs w:val="32"/>
          <w:rtl/>
        </w:rPr>
        <w:t>ه</w:t>
      </w:r>
      <w:r w:rsidRPr="00A862F1">
        <w:rPr>
          <w:rFonts w:ascii="Traditional Arabic" w:hAnsi="Traditional Arabic"/>
          <w:sz w:val="32"/>
          <w:szCs w:val="32"/>
          <w:rtl/>
        </w:rPr>
        <w:t xml:space="preserve"> لغات العرب (ص</w:t>
      </w:r>
      <w:r>
        <w:rPr>
          <w:rFonts w:ascii="Traditional Arabic" w:hAnsi="Traditional Arabic" w:hint="cs"/>
          <w:sz w:val="32"/>
          <w:szCs w:val="32"/>
          <w:rtl/>
        </w:rPr>
        <w:t>86</w:t>
      </w:r>
      <w:r w:rsidRPr="00A862F1">
        <w:rPr>
          <w:rFonts w:ascii="Traditional Arabic" w:hAnsi="Traditional Arabic"/>
          <w:sz w:val="32"/>
          <w:szCs w:val="32"/>
          <w:rtl/>
        </w:rPr>
        <w:t>).</w:t>
      </w:r>
    </w:p>
  </w:footnote>
  <w:footnote w:id="1329">
    <w:p w:rsidR="003F128F" w:rsidRPr="0023058A" w:rsidRDefault="003F128F" w:rsidP="00DC21B6">
      <w:pPr>
        <w:pStyle w:val="af3"/>
        <w:rPr>
          <w:rFonts w:ascii="Traditional Arabic" w:hAnsi="Traditional Arabic"/>
          <w:sz w:val="32"/>
          <w:szCs w:val="32"/>
        </w:rPr>
      </w:pPr>
      <w:r w:rsidRPr="0023058A">
        <w:rPr>
          <w:rFonts w:ascii="Traditional Arabic" w:hAnsi="Traditional Arabic"/>
          <w:sz w:val="32"/>
          <w:szCs w:val="32"/>
          <w:rtl/>
        </w:rPr>
        <w:t>(</w:t>
      </w:r>
      <w:r w:rsidRPr="0023058A">
        <w:rPr>
          <w:rStyle w:val="ae"/>
          <w:rFonts w:ascii="Traditional Arabic" w:hAnsi="Traditional Arabic"/>
          <w:sz w:val="32"/>
          <w:szCs w:val="32"/>
          <w:vertAlign w:val="baseline"/>
        </w:rPr>
        <w:footnoteRef/>
      </w:r>
      <w:r w:rsidRPr="0023058A">
        <w:rPr>
          <w:rFonts w:ascii="Traditional Arabic" w:hAnsi="Traditional Arabic"/>
          <w:sz w:val="32"/>
          <w:szCs w:val="32"/>
          <w:rtl/>
        </w:rPr>
        <w:t xml:space="preserve">) لم أقف عليه فيما لدي من مصادر, ولكن ذكر بنحوه الطبري في تفسيره (18/21), وكذلك أهل اللغة. انظر: الصحاح (2/605) مادة (ثمر).  </w:t>
      </w:r>
    </w:p>
  </w:footnote>
  <w:footnote w:id="1330">
    <w:p w:rsidR="003F128F" w:rsidRPr="0023058A" w:rsidRDefault="003F128F" w:rsidP="00DC21B6">
      <w:pPr>
        <w:pStyle w:val="af3"/>
        <w:rPr>
          <w:rFonts w:ascii="Traditional Arabic" w:hAnsi="Traditional Arabic"/>
          <w:sz w:val="32"/>
          <w:szCs w:val="32"/>
        </w:rPr>
      </w:pPr>
      <w:r w:rsidRPr="0023058A">
        <w:rPr>
          <w:rFonts w:ascii="Traditional Arabic" w:hAnsi="Traditional Arabic"/>
          <w:sz w:val="32"/>
          <w:szCs w:val="32"/>
          <w:rtl/>
        </w:rPr>
        <w:t>(</w:t>
      </w:r>
      <w:r w:rsidRPr="0023058A">
        <w:rPr>
          <w:rStyle w:val="ae"/>
          <w:rFonts w:ascii="Traditional Arabic" w:hAnsi="Traditional Arabic"/>
          <w:sz w:val="32"/>
          <w:szCs w:val="32"/>
          <w:vertAlign w:val="baseline"/>
        </w:rPr>
        <w:footnoteRef/>
      </w:r>
      <w:r w:rsidRPr="0023058A">
        <w:rPr>
          <w:rFonts w:ascii="Traditional Arabic" w:hAnsi="Traditional Arabic"/>
          <w:sz w:val="32"/>
          <w:szCs w:val="32"/>
          <w:rtl/>
        </w:rPr>
        <w:t>) انظر: الحجة للقراء السبعة (5/143), والطُّنْبُ: حَبلُ الخِباء والسرادق ونحوهما.</w:t>
      </w:r>
      <w:r w:rsidRPr="0023058A">
        <w:rPr>
          <w:rFonts w:ascii="Traditional Arabic" w:hAnsi="Traditional Arabic"/>
          <w:sz w:val="32"/>
          <w:szCs w:val="32"/>
          <w:rtl/>
          <w:lang w:eastAsia="en-US"/>
        </w:rPr>
        <w:t xml:space="preserve"> </w:t>
      </w:r>
      <w:r w:rsidRPr="0023058A">
        <w:rPr>
          <w:rFonts w:ascii="Traditional Arabic" w:hAnsi="Traditional Arabic"/>
          <w:sz w:val="32"/>
          <w:szCs w:val="32"/>
          <w:rtl/>
        </w:rPr>
        <w:t xml:space="preserve">وأطناب الشَّجر: عروقها. انظر: العين (7/438) مادة (طنب). </w:t>
      </w:r>
    </w:p>
  </w:footnote>
  <w:footnote w:id="1331">
    <w:p w:rsidR="003F128F" w:rsidRPr="0023058A" w:rsidRDefault="003F128F" w:rsidP="00DC21B6">
      <w:pPr>
        <w:pStyle w:val="af3"/>
        <w:rPr>
          <w:rFonts w:ascii="Traditional Arabic" w:hAnsi="Traditional Arabic"/>
          <w:sz w:val="32"/>
          <w:szCs w:val="32"/>
        </w:rPr>
      </w:pPr>
      <w:r w:rsidRPr="0023058A">
        <w:rPr>
          <w:rFonts w:ascii="Traditional Arabic" w:hAnsi="Traditional Arabic"/>
          <w:sz w:val="32"/>
          <w:szCs w:val="32"/>
          <w:rtl/>
        </w:rPr>
        <w:t>(</w:t>
      </w:r>
      <w:r w:rsidRPr="0023058A">
        <w:rPr>
          <w:rStyle w:val="ae"/>
          <w:rFonts w:ascii="Traditional Arabic" w:hAnsi="Traditional Arabic"/>
          <w:sz w:val="32"/>
          <w:szCs w:val="32"/>
          <w:vertAlign w:val="baseline"/>
        </w:rPr>
        <w:footnoteRef/>
      </w:r>
      <w:r w:rsidRPr="0023058A">
        <w:rPr>
          <w:rFonts w:ascii="Traditional Arabic" w:hAnsi="Traditional Arabic"/>
          <w:sz w:val="32"/>
          <w:szCs w:val="32"/>
          <w:rtl/>
        </w:rPr>
        <w:t xml:space="preserve">) انظر: تفسير الطبري (18/21), النكت والعيون (3/306).  </w:t>
      </w:r>
    </w:p>
  </w:footnote>
  <w:footnote w:id="1332">
    <w:p w:rsidR="003F128F" w:rsidRPr="0023058A" w:rsidRDefault="003F128F" w:rsidP="00DC21B6">
      <w:pPr>
        <w:pStyle w:val="af3"/>
        <w:rPr>
          <w:rFonts w:ascii="Traditional Arabic" w:hAnsi="Traditional Arabic"/>
          <w:sz w:val="32"/>
          <w:szCs w:val="32"/>
        </w:rPr>
      </w:pPr>
      <w:r w:rsidRPr="0023058A">
        <w:rPr>
          <w:rFonts w:ascii="Traditional Arabic" w:hAnsi="Traditional Arabic"/>
          <w:sz w:val="32"/>
          <w:szCs w:val="32"/>
          <w:rtl/>
        </w:rPr>
        <w:t>(</w:t>
      </w:r>
      <w:r w:rsidRPr="0023058A">
        <w:rPr>
          <w:rStyle w:val="ae"/>
          <w:rFonts w:ascii="Traditional Arabic" w:hAnsi="Traditional Arabic"/>
          <w:sz w:val="32"/>
          <w:szCs w:val="32"/>
          <w:vertAlign w:val="baseline"/>
        </w:rPr>
        <w:footnoteRef/>
      </w:r>
      <w:r w:rsidRPr="0023058A">
        <w:rPr>
          <w:rFonts w:ascii="Traditional Arabic" w:hAnsi="Traditional Arabic"/>
          <w:sz w:val="32"/>
          <w:szCs w:val="32"/>
          <w:rtl/>
        </w:rPr>
        <w:t>) انظر: تفسير مجاهد (ص447), تفسير عبد الرزاق (2/335).</w:t>
      </w:r>
    </w:p>
  </w:footnote>
  <w:footnote w:id="1333">
    <w:p w:rsidR="003F128F" w:rsidRPr="0023058A" w:rsidRDefault="003F128F" w:rsidP="00DC21B6">
      <w:pPr>
        <w:pStyle w:val="af3"/>
        <w:rPr>
          <w:rFonts w:ascii="Traditional Arabic" w:hAnsi="Traditional Arabic"/>
          <w:sz w:val="32"/>
          <w:szCs w:val="32"/>
        </w:rPr>
      </w:pPr>
      <w:r w:rsidRPr="0023058A">
        <w:rPr>
          <w:rFonts w:ascii="Traditional Arabic" w:hAnsi="Traditional Arabic"/>
          <w:sz w:val="32"/>
          <w:szCs w:val="32"/>
          <w:rtl/>
        </w:rPr>
        <w:t>(</w:t>
      </w:r>
      <w:r w:rsidRPr="0023058A">
        <w:rPr>
          <w:rStyle w:val="ae"/>
          <w:rFonts w:ascii="Traditional Arabic" w:hAnsi="Traditional Arabic"/>
          <w:sz w:val="32"/>
          <w:szCs w:val="32"/>
          <w:vertAlign w:val="baseline"/>
        </w:rPr>
        <w:footnoteRef/>
      </w:r>
      <w:r w:rsidRPr="0023058A">
        <w:rPr>
          <w:rFonts w:ascii="Traditional Arabic" w:hAnsi="Traditional Arabic"/>
          <w:sz w:val="32"/>
          <w:szCs w:val="32"/>
          <w:rtl/>
        </w:rPr>
        <w:t xml:space="preserve">) انظر: معاني القرآن وإعرابه (3/285). </w:t>
      </w:r>
    </w:p>
  </w:footnote>
  <w:footnote w:id="1334">
    <w:p w:rsidR="003F128F" w:rsidRPr="0023058A" w:rsidRDefault="003F128F" w:rsidP="00DC21B6">
      <w:pPr>
        <w:pStyle w:val="af3"/>
        <w:rPr>
          <w:rFonts w:ascii="Traditional Arabic" w:hAnsi="Traditional Arabic"/>
          <w:sz w:val="32"/>
          <w:szCs w:val="32"/>
        </w:rPr>
      </w:pPr>
      <w:r w:rsidRPr="0023058A">
        <w:rPr>
          <w:rFonts w:ascii="Traditional Arabic" w:hAnsi="Traditional Arabic"/>
          <w:sz w:val="32"/>
          <w:szCs w:val="32"/>
          <w:rtl/>
        </w:rPr>
        <w:t>(</w:t>
      </w:r>
      <w:r w:rsidRPr="0023058A">
        <w:rPr>
          <w:rStyle w:val="ae"/>
          <w:rFonts w:ascii="Traditional Arabic" w:hAnsi="Traditional Arabic"/>
          <w:sz w:val="32"/>
          <w:szCs w:val="32"/>
          <w:vertAlign w:val="baseline"/>
        </w:rPr>
        <w:footnoteRef/>
      </w:r>
      <w:r w:rsidRPr="0023058A">
        <w:rPr>
          <w:rFonts w:ascii="Traditional Arabic" w:hAnsi="Traditional Arabic"/>
          <w:sz w:val="32"/>
          <w:szCs w:val="32"/>
          <w:rtl/>
        </w:rPr>
        <w:t xml:space="preserve">) انظر: النكت والعيون (3/306).  </w:t>
      </w:r>
    </w:p>
  </w:footnote>
  <w:footnote w:id="1335">
    <w:p w:rsidR="003F128F" w:rsidRPr="0023058A" w:rsidRDefault="003F128F" w:rsidP="00DC21B6">
      <w:pPr>
        <w:pStyle w:val="af3"/>
        <w:rPr>
          <w:rFonts w:ascii="Traditional Arabic" w:hAnsi="Traditional Arabic"/>
          <w:sz w:val="32"/>
          <w:szCs w:val="32"/>
        </w:rPr>
      </w:pPr>
      <w:r w:rsidRPr="0023058A">
        <w:rPr>
          <w:rFonts w:ascii="Traditional Arabic" w:hAnsi="Traditional Arabic"/>
          <w:sz w:val="32"/>
          <w:szCs w:val="32"/>
          <w:rtl/>
        </w:rPr>
        <w:t>(</w:t>
      </w:r>
      <w:r w:rsidRPr="0023058A">
        <w:rPr>
          <w:rStyle w:val="ae"/>
          <w:rFonts w:ascii="Traditional Arabic" w:hAnsi="Traditional Arabic"/>
          <w:sz w:val="32"/>
          <w:szCs w:val="32"/>
          <w:vertAlign w:val="baseline"/>
        </w:rPr>
        <w:footnoteRef/>
      </w:r>
      <w:r w:rsidRPr="0023058A">
        <w:rPr>
          <w:rFonts w:ascii="Traditional Arabic" w:hAnsi="Traditional Arabic"/>
          <w:sz w:val="32"/>
          <w:szCs w:val="32"/>
          <w:rtl/>
        </w:rPr>
        <w:t xml:space="preserve">) في (ك): [ذكرهما].  </w:t>
      </w:r>
    </w:p>
  </w:footnote>
  <w:footnote w:id="1336">
    <w:p w:rsidR="003F128F" w:rsidRPr="0023058A" w:rsidRDefault="003F128F" w:rsidP="00DC21B6">
      <w:pPr>
        <w:pStyle w:val="af3"/>
        <w:rPr>
          <w:rFonts w:ascii="Traditional Arabic" w:hAnsi="Traditional Arabic"/>
          <w:sz w:val="32"/>
          <w:szCs w:val="32"/>
        </w:rPr>
      </w:pPr>
      <w:r w:rsidRPr="0023058A">
        <w:rPr>
          <w:rFonts w:ascii="Traditional Arabic" w:hAnsi="Traditional Arabic"/>
          <w:sz w:val="32"/>
          <w:szCs w:val="32"/>
          <w:rtl/>
        </w:rPr>
        <w:t>(</w:t>
      </w:r>
      <w:r w:rsidRPr="0023058A">
        <w:rPr>
          <w:rStyle w:val="ae"/>
          <w:rFonts w:ascii="Traditional Arabic" w:hAnsi="Traditional Arabic"/>
          <w:sz w:val="32"/>
          <w:szCs w:val="32"/>
          <w:vertAlign w:val="baseline"/>
        </w:rPr>
        <w:footnoteRef/>
      </w:r>
      <w:r w:rsidRPr="0023058A">
        <w:rPr>
          <w:rFonts w:ascii="Traditional Arabic" w:hAnsi="Traditional Arabic"/>
          <w:sz w:val="32"/>
          <w:szCs w:val="32"/>
          <w:rtl/>
        </w:rPr>
        <w:t>) بحثت عنه فلم أجده.</w:t>
      </w:r>
    </w:p>
  </w:footnote>
  <w:footnote w:id="1337">
    <w:p w:rsidR="003F128F" w:rsidRPr="00853932" w:rsidRDefault="003F128F" w:rsidP="00DC21B6">
      <w:pPr>
        <w:pStyle w:val="af3"/>
        <w:rPr>
          <w:rFonts w:ascii="Tahoma" w:hAnsi="Tahoma"/>
        </w:rPr>
      </w:pPr>
      <w:r w:rsidRPr="0023058A">
        <w:rPr>
          <w:rFonts w:ascii="Traditional Arabic" w:hAnsi="Traditional Arabic"/>
          <w:sz w:val="32"/>
          <w:szCs w:val="32"/>
          <w:rtl/>
        </w:rPr>
        <w:t>(</w:t>
      </w:r>
      <w:r w:rsidRPr="0023058A">
        <w:rPr>
          <w:rStyle w:val="ae"/>
          <w:rFonts w:ascii="Traditional Arabic" w:hAnsi="Traditional Arabic"/>
          <w:sz w:val="32"/>
          <w:szCs w:val="32"/>
          <w:vertAlign w:val="baseline"/>
        </w:rPr>
        <w:footnoteRef/>
      </w:r>
      <w:r w:rsidRPr="0023058A">
        <w:rPr>
          <w:rFonts w:ascii="Traditional Arabic" w:hAnsi="Traditional Arabic"/>
          <w:sz w:val="32"/>
          <w:szCs w:val="32"/>
          <w:rtl/>
        </w:rPr>
        <w:t>) انظر: الحجة للقراء السبعة (3/370).</w:t>
      </w:r>
    </w:p>
  </w:footnote>
  <w:footnote w:id="1338">
    <w:p w:rsidR="003F128F" w:rsidRPr="000D26E7" w:rsidRDefault="003F128F" w:rsidP="00DC21B6">
      <w:pPr>
        <w:pStyle w:val="af3"/>
        <w:rPr>
          <w:rFonts w:ascii="Traditional Arabic" w:hAnsi="Traditional Arabic"/>
          <w:sz w:val="32"/>
          <w:szCs w:val="32"/>
        </w:rPr>
      </w:pPr>
      <w:r w:rsidRPr="000D26E7">
        <w:rPr>
          <w:rFonts w:ascii="Traditional Arabic" w:hAnsi="Traditional Arabic"/>
          <w:sz w:val="32"/>
          <w:szCs w:val="32"/>
          <w:rtl/>
        </w:rPr>
        <w:t>(</w:t>
      </w:r>
      <w:r w:rsidRPr="000D26E7">
        <w:rPr>
          <w:rStyle w:val="ae"/>
          <w:rFonts w:ascii="Traditional Arabic" w:hAnsi="Traditional Arabic"/>
          <w:sz w:val="32"/>
          <w:szCs w:val="32"/>
          <w:vertAlign w:val="baseline"/>
        </w:rPr>
        <w:footnoteRef/>
      </w:r>
      <w:r w:rsidRPr="000D26E7">
        <w:rPr>
          <w:rFonts w:ascii="Traditional Arabic" w:hAnsi="Traditional Arabic"/>
          <w:sz w:val="32"/>
          <w:szCs w:val="32"/>
          <w:rtl/>
        </w:rPr>
        <w:t>)  انظر: تفسير مقاتل (2/5</w:t>
      </w:r>
      <w:r>
        <w:rPr>
          <w:rFonts w:ascii="Traditional Arabic" w:hAnsi="Traditional Arabic"/>
          <w:sz w:val="32"/>
          <w:szCs w:val="32"/>
          <w:rtl/>
        </w:rPr>
        <w:t>85), تفسير يحيى بن سلام (1/186)</w:t>
      </w:r>
      <w:r>
        <w:rPr>
          <w:rFonts w:ascii="Traditional Arabic" w:hAnsi="Traditional Arabic" w:hint="cs"/>
          <w:sz w:val="32"/>
          <w:szCs w:val="32"/>
          <w:rtl/>
        </w:rPr>
        <w:t>.</w:t>
      </w:r>
    </w:p>
  </w:footnote>
  <w:footnote w:id="1339">
    <w:p w:rsidR="003F128F" w:rsidRPr="000D26E7" w:rsidRDefault="003F128F" w:rsidP="00DC21B6">
      <w:pPr>
        <w:pStyle w:val="af3"/>
        <w:rPr>
          <w:rFonts w:ascii="Traditional Arabic" w:hAnsi="Traditional Arabic"/>
          <w:sz w:val="32"/>
          <w:szCs w:val="32"/>
        </w:rPr>
      </w:pPr>
      <w:r w:rsidRPr="000D26E7">
        <w:rPr>
          <w:rFonts w:ascii="Traditional Arabic" w:hAnsi="Traditional Arabic"/>
          <w:sz w:val="32"/>
          <w:szCs w:val="32"/>
          <w:rtl/>
        </w:rPr>
        <w:t>(</w:t>
      </w:r>
      <w:r w:rsidRPr="000D26E7">
        <w:rPr>
          <w:rStyle w:val="ae"/>
          <w:rFonts w:ascii="Traditional Arabic" w:hAnsi="Traditional Arabic"/>
          <w:sz w:val="32"/>
          <w:szCs w:val="32"/>
          <w:vertAlign w:val="baseline"/>
        </w:rPr>
        <w:footnoteRef/>
      </w:r>
      <w:r w:rsidRPr="000D26E7">
        <w:rPr>
          <w:rFonts w:ascii="Traditional Arabic" w:hAnsi="Traditional Arabic"/>
          <w:sz w:val="32"/>
          <w:szCs w:val="32"/>
          <w:rtl/>
        </w:rPr>
        <w:t xml:space="preserve">) انظر: النكت والعيون (3/307).    </w:t>
      </w:r>
    </w:p>
  </w:footnote>
  <w:footnote w:id="1340">
    <w:p w:rsidR="003F128F" w:rsidRPr="000D26E7" w:rsidRDefault="003F128F" w:rsidP="00DC21B6">
      <w:pPr>
        <w:pStyle w:val="af3"/>
        <w:rPr>
          <w:rFonts w:ascii="Traditional Arabic" w:hAnsi="Traditional Arabic"/>
          <w:sz w:val="32"/>
          <w:szCs w:val="32"/>
        </w:rPr>
      </w:pPr>
      <w:r w:rsidRPr="000D26E7">
        <w:rPr>
          <w:rFonts w:ascii="Traditional Arabic" w:hAnsi="Traditional Arabic"/>
          <w:sz w:val="32"/>
          <w:szCs w:val="32"/>
          <w:rtl/>
        </w:rPr>
        <w:t>(</w:t>
      </w:r>
      <w:r w:rsidRPr="000D26E7">
        <w:rPr>
          <w:rStyle w:val="ae"/>
          <w:rFonts w:ascii="Traditional Arabic" w:hAnsi="Traditional Arabic"/>
          <w:sz w:val="32"/>
          <w:szCs w:val="32"/>
          <w:vertAlign w:val="baseline"/>
        </w:rPr>
        <w:footnoteRef/>
      </w:r>
      <w:r w:rsidRPr="000D26E7">
        <w:rPr>
          <w:rFonts w:ascii="Traditional Arabic" w:hAnsi="Traditional Arabic"/>
          <w:sz w:val="32"/>
          <w:szCs w:val="32"/>
          <w:rtl/>
        </w:rPr>
        <w:t xml:space="preserve">) انظر: تهذيب اللغة (15/151) مادة (نفر). </w:t>
      </w:r>
    </w:p>
  </w:footnote>
  <w:footnote w:id="1341">
    <w:p w:rsidR="003F128F" w:rsidRPr="000D26E7" w:rsidRDefault="003F128F" w:rsidP="00DC21B6">
      <w:pPr>
        <w:pStyle w:val="af3"/>
        <w:rPr>
          <w:rFonts w:ascii="Traditional Arabic" w:hAnsi="Traditional Arabic"/>
          <w:sz w:val="32"/>
          <w:szCs w:val="32"/>
        </w:rPr>
      </w:pPr>
      <w:r w:rsidRPr="000D26E7">
        <w:rPr>
          <w:rFonts w:ascii="Traditional Arabic" w:hAnsi="Traditional Arabic"/>
          <w:sz w:val="32"/>
          <w:szCs w:val="32"/>
          <w:rtl/>
        </w:rPr>
        <w:t>(</w:t>
      </w:r>
      <w:r w:rsidRPr="000D26E7">
        <w:rPr>
          <w:rStyle w:val="ae"/>
          <w:rFonts w:ascii="Traditional Arabic" w:hAnsi="Traditional Arabic"/>
          <w:sz w:val="32"/>
          <w:szCs w:val="32"/>
          <w:vertAlign w:val="baseline"/>
        </w:rPr>
        <w:footnoteRef/>
      </w:r>
      <w:r w:rsidRPr="000D26E7">
        <w:rPr>
          <w:rFonts w:ascii="Traditional Arabic" w:hAnsi="Traditional Arabic"/>
          <w:sz w:val="32"/>
          <w:szCs w:val="32"/>
          <w:rtl/>
        </w:rPr>
        <w:t>) هو الامام أبو الحسين</w:t>
      </w:r>
      <w:r>
        <w:rPr>
          <w:rFonts w:ascii="Traditional Arabic" w:hAnsi="Traditional Arabic" w:hint="cs"/>
          <w:sz w:val="32"/>
          <w:szCs w:val="32"/>
          <w:rtl/>
        </w:rPr>
        <w:t>,</w:t>
      </w:r>
      <w:r w:rsidRPr="000D26E7">
        <w:rPr>
          <w:rFonts w:ascii="Traditional Arabic" w:hAnsi="Traditional Arabic"/>
          <w:sz w:val="32"/>
          <w:szCs w:val="32"/>
          <w:rtl/>
        </w:rPr>
        <w:t xml:space="preserve"> أحمد بن فارس بن </w:t>
      </w:r>
      <w:r w:rsidRPr="000D26E7">
        <w:rPr>
          <w:rFonts w:ascii="Traditional Arabic" w:hAnsi="Traditional Arabic" w:hint="cs"/>
          <w:sz w:val="32"/>
          <w:szCs w:val="32"/>
          <w:rtl/>
        </w:rPr>
        <w:t>زكريا</w:t>
      </w:r>
      <w:r>
        <w:rPr>
          <w:rFonts w:ascii="Traditional Arabic" w:hAnsi="Traditional Arabic" w:hint="cs"/>
          <w:sz w:val="32"/>
          <w:szCs w:val="32"/>
          <w:rtl/>
        </w:rPr>
        <w:t>ء</w:t>
      </w:r>
      <w:r w:rsidRPr="000D26E7">
        <w:rPr>
          <w:rFonts w:ascii="Traditional Arabic" w:hAnsi="Traditional Arabic"/>
          <w:sz w:val="32"/>
          <w:szCs w:val="32"/>
          <w:rtl/>
        </w:rPr>
        <w:t xml:space="preserve"> بن محمد القزويني, الرازي، اللغوي, المُحَدِّثُ, كان إماماً في علوم شتى، وخصوصاً اللغة فإنه أتقنها، من مؤلفاته: "المجمل في اللغة", و"مقاييس اللغة", وغيرها, (ت395هـ). انظر: وفيات الأعيان (1/118), سير أعلام النبلاء (17/103).</w:t>
      </w:r>
    </w:p>
  </w:footnote>
  <w:footnote w:id="1342">
    <w:p w:rsidR="003F128F" w:rsidRPr="000D26E7" w:rsidRDefault="003F128F" w:rsidP="00DC21B6">
      <w:pPr>
        <w:pStyle w:val="af3"/>
        <w:rPr>
          <w:rFonts w:ascii="Traditional Arabic" w:hAnsi="Traditional Arabic"/>
          <w:sz w:val="32"/>
          <w:szCs w:val="32"/>
        </w:rPr>
      </w:pPr>
      <w:r w:rsidRPr="000D26E7">
        <w:rPr>
          <w:rFonts w:ascii="Traditional Arabic" w:hAnsi="Traditional Arabic"/>
          <w:sz w:val="32"/>
          <w:szCs w:val="32"/>
          <w:rtl/>
        </w:rPr>
        <w:t>(</w:t>
      </w:r>
      <w:r w:rsidRPr="000D26E7">
        <w:rPr>
          <w:rStyle w:val="ae"/>
          <w:rFonts w:ascii="Traditional Arabic" w:hAnsi="Traditional Arabic"/>
          <w:sz w:val="32"/>
          <w:szCs w:val="32"/>
          <w:vertAlign w:val="baseline"/>
        </w:rPr>
        <w:footnoteRef/>
      </w:r>
      <w:r w:rsidRPr="000D26E7">
        <w:rPr>
          <w:rFonts w:ascii="Traditional Arabic" w:hAnsi="Traditional Arabic"/>
          <w:sz w:val="32"/>
          <w:szCs w:val="32"/>
          <w:rtl/>
        </w:rPr>
        <w:t>) مجمل اللغة لابن فارس (1/878) مادة (نفر).</w:t>
      </w:r>
    </w:p>
  </w:footnote>
  <w:footnote w:id="1343">
    <w:p w:rsidR="003F128F" w:rsidRPr="000D26E7" w:rsidRDefault="003F128F" w:rsidP="00DC21B6">
      <w:pPr>
        <w:pStyle w:val="af3"/>
        <w:rPr>
          <w:rFonts w:ascii="Traditional Arabic" w:hAnsi="Traditional Arabic"/>
          <w:sz w:val="32"/>
          <w:szCs w:val="32"/>
        </w:rPr>
      </w:pPr>
      <w:r w:rsidRPr="000D26E7">
        <w:rPr>
          <w:rFonts w:ascii="Traditional Arabic" w:hAnsi="Traditional Arabic"/>
          <w:sz w:val="32"/>
          <w:szCs w:val="32"/>
          <w:rtl/>
        </w:rPr>
        <w:t>(</w:t>
      </w:r>
      <w:r w:rsidRPr="000D26E7">
        <w:rPr>
          <w:rStyle w:val="ae"/>
          <w:rFonts w:ascii="Traditional Arabic" w:hAnsi="Traditional Arabic"/>
          <w:sz w:val="32"/>
          <w:szCs w:val="32"/>
          <w:vertAlign w:val="baseline"/>
        </w:rPr>
        <w:footnoteRef/>
      </w:r>
      <w:r w:rsidRPr="000D26E7">
        <w:rPr>
          <w:rFonts w:ascii="Traditional Arabic" w:hAnsi="Traditional Arabic"/>
          <w:sz w:val="32"/>
          <w:szCs w:val="32"/>
          <w:rtl/>
        </w:rPr>
        <w:t>) انظر: التفسير الوسيط (3/148), وقد ذكره السمرق</w:t>
      </w:r>
      <w:r>
        <w:rPr>
          <w:rFonts w:ascii="Traditional Arabic" w:hAnsi="Traditional Arabic" w:hint="cs"/>
          <w:sz w:val="32"/>
          <w:szCs w:val="32"/>
          <w:rtl/>
        </w:rPr>
        <w:t>ن</w:t>
      </w:r>
      <w:r w:rsidRPr="000D26E7">
        <w:rPr>
          <w:rFonts w:ascii="Traditional Arabic" w:hAnsi="Traditional Arabic"/>
          <w:sz w:val="32"/>
          <w:szCs w:val="32"/>
          <w:rtl/>
        </w:rPr>
        <w:t>دي في بحر العلوم (2/347), ومكي في الهداية (6/4</w:t>
      </w:r>
      <w:r>
        <w:rPr>
          <w:rFonts w:ascii="Traditional Arabic" w:hAnsi="Traditional Arabic"/>
          <w:sz w:val="32"/>
          <w:szCs w:val="32"/>
          <w:rtl/>
        </w:rPr>
        <w:t>379)</w:t>
      </w:r>
      <w:r>
        <w:rPr>
          <w:rFonts w:ascii="Traditional Arabic" w:hAnsi="Traditional Arabic" w:hint="cs"/>
          <w:sz w:val="32"/>
          <w:szCs w:val="32"/>
          <w:rtl/>
        </w:rPr>
        <w:t>, وابن عطية في المحرر الوجيز (3/541)</w:t>
      </w:r>
      <w:r>
        <w:rPr>
          <w:rFonts w:ascii="Traditional Arabic" w:hAnsi="Traditional Arabic"/>
          <w:sz w:val="32"/>
          <w:szCs w:val="32"/>
          <w:rtl/>
        </w:rPr>
        <w:t xml:space="preserve"> كلهم</w:t>
      </w:r>
      <w:r w:rsidRPr="000D26E7">
        <w:rPr>
          <w:rFonts w:ascii="Traditional Arabic" w:hAnsi="Traditional Arabic"/>
          <w:sz w:val="32"/>
          <w:szCs w:val="32"/>
          <w:rtl/>
        </w:rPr>
        <w:t xml:space="preserve"> غير منسوب</w:t>
      </w:r>
      <w:r>
        <w:rPr>
          <w:rFonts w:ascii="Traditional Arabic" w:hAnsi="Traditional Arabic" w:hint="cs"/>
          <w:sz w:val="32"/>
          <w:szCs w:val="32"/>
          <w:rtl/>
        </w:rPr>
        <w:t>.</w:t>
      </w:r>
    </w:p>
  </w:footnote>
  <w:footnote w:id="1344">
    <w:p w:rsidR="003F128F" w:rsidRPr="000D26E7" w:rsidRDefault="003F128F" w:rsidP="00DC21B6">
      <w:pPr>
        <w:pStyle w:val="af3"/>
        <w:rPr>
          <w:rFonts w:ascii="Traditional Arabic" w:hAnsi="Traditional Arabic"/>
          <w:sz w:val="32"/>
          <w:szCs w:val="32"/>
        </w:rPr>
      </w:pPr>
      <w:r w:rsidRPr="000D26E7">
        <w:rPr>
          <w:rFonts w:ascii="Traditional Arabic" w:hAnsi="Traditional Arabic"/>
          <w:sz w:val="32"/>
          <w:szCs w:val="32"/>
          <w:rtl/>
        </w:rPr>
        <w:t>(</w:t>
      </w:r>
      <w:r w:rsidRPr="000D26E7">
        <w:rPr>
          <w:rStyle w:val="ae"/>
          <w:rFonts w:ascii="Traditional Arabic" w:hAnsi="Traditional Arabic"/>
          <w:sz w:val="32"/>
          <w:szCs w:val="32"/>
          <w:vertAlign w:val="baseline"/>
        </w:rPr>
        <w:footnoteRef/>
      </w:r>
      <w:r w:rsidRPr="000D26E7">
        <w:rPr>
          <w:rFonts w:ascii="Traditional Arabic" w:hAnsi="Traditional Arabic"/>
          <w:sz w:val="32"/>
          <w:szCs w:val="32"/>
          <w:rtl/>
        </w:rPr>
        <w:t>) تفسير مقاتل (2/585).</w:t>
      </w:r>
    </w:p>
  </w:footnote>
  <w:footnote w:id="1345">
    <w:p w:rsidR="003F128F" w:rsidRPr="000D26E7" w:rsidRDefault="003F128F" w:rsidP="00DC21B6">
      <w:pPr>
        <w:pStyle w:val="af3"/>
        <w:rPr>
          <w:rFonts w:ascii="Traditional Arabic" w:hAnsi="Traditional Arabic"/>
          <w:sz w:val="32"/>
          <w:szCs w:val="32"/>
        </w:rPr>
      </w:pPr>
      <w:r w:rsidRPr="000D26E7">
        <w:rPr>
          <w:rFonts w:ascii="Traditional Arabic" w:hAnsi="Traditional Arabic"/>
          <w:sz w:val="32"/>
          <w:szCs w:val="32"/>
          <w:rtl/>
        </w:rPr>
        <w:t>(</w:t>
      </w:r>
      <w:r w:rsidRPr="000D26E7">
        <w:rPr>
          <w:rStyle w:val="ae"/>
          <w:rFonts w:ascii="Traditional Arabic" w:hAnsi="Traditional Arabic"/>
          <w:sz w:val="32"/>
          <w:szCs w:val="32"/>
          <w:vertAlign w:val="baseline"/>
        </w:rPr>
        <w:footnoteRef/>
      </w:r>
      <w:r w:rsidRPr="000D26E7">
        <w:rPr>
          <w:rFonts w:ascii="Traditional Arabic" w:hAnsi="Traditional Arabic"/>
          <w:sz w:val="32"/>
          <w:szCs w:val="32"/>
          <w:rtl/>
        </w:rPr>
        <w:t>) لم أجد قول سليمان, وقد ذكر هذا القول الطبري في تفسيره (18/21), والثعلبي في الكشف والبيان (6/170), والبغوي</w:t>
      </w:r>
      <w:r>
        <w:rPr>
          <w:rFonts w:ascii="Traditional Arabic" w:hAnsi="Traditional Arabic"/>
          <w:sz w:val="32"/>
          <w:szCs w:val="32"/>
          <w:rtl/>
        </w:rPr>
        <w:t xml:space="preserve"> في معالم التنزيل (5/171)</w:t>
      </w:r>
      <w:r>
        <w:rPr>
          <w:rFonts w:ascii="Traditional Arabic" w:hAnsi="Traditional Arabic" w:hint="cs"/>
          <w:sz w:val="32"/>
          <w:szCs w:val="32"/>
          <w:rtl/>
        </w:rPr>
        <w:t xml:space="preserve"> كلهم غير منسوب</w:t>
      </w:r>
      <w:r w:rsidRPr="000D26E7">
        <w:rPr>
          <w:rFonts w:ascii="Traditional Arabic" w:hAnsi="Traditional Arabic"/>
          <w:sz w:val="32"/>
          <w:szCs w:val="32"/>
          <w:rtl/>
        </w:rPr>
        <w:t xml:space="preserve">.  </w:t>
      </w:r>
    </w:p>
  </w:footnote>
  <w:footnote w:id="1346">
    <w:p w:rsidR="003F128F" w:rsidRPr="00D72B4D" w:rsidRDefault="003F128F" w:rsidP="00DC21B6">
      <w:pPr>
        <w:pStyle w:val="af3"/>
        <w:rPr>
          <w:rFonts w:ascii="Traditional Arabic" w:hAnsi="Traditional Arabic"/>
          <w:color w:val="auto"/>
          <w:sz w:val="32"/>
          <w:szCs w:val="32"/>
        </w:rPr>
      </w:pPr>
      <w:r w:rsidRPr="00D72B4D">
        <w:rPr>
          <w:rFonts w:ascii="Traditional Arabic" w:hAnsi="Traditional Arabic"/>
          <w:color w:val="auto"/>
          <w:sz w:val="32"/>
          <w:szCs w:val="32"/>
          <w:rtl/>
        </w:rPr>
        <w:t>(</w:t>
      </w:r>
      <w:r w:rsidRPr="00D72B4D">
        <w:rPr>
          <w:rStyle w:val="ae"/>
          <w:rFonts w:ascii="Traditional Arabic" w:hAnsi="Traditional Arabic"/>
          <w:color w:val="auto"/>
          <w:sz w:val="32"/>
          <w:szCs w:val="32"/>
          <w:vertAlign w:val="baseline"/>
        </w:rPr>
        <w:footnoteRef/>
      </w:r>
      <w:r w:rsidRPr="00D72B4D">
        <w:rPr>
          <w:rFonts w:ascii="Traditional Arabic" w:hAnsi="Traditional Arabic"/>
          <w:color w:val="auto"/>
          <w:sz w:val="32"/>
          <w:szCs w:val="32"/>
          <w:rtl/>
        </w:rPr>
        <w:t xml:space="preserve">) في (ك): [وكان قد أخذ]. </w:t>
      </w:r>
    </w:p>
  </w:footnote>
  <w:footnote w:id="1347">
    <w:p w:rsidR="003F128F" w:rsidRPr="00AF4699" w:rsidRDefault="003F128F" w:rsidP="00DC21B6">
      <w:pPr>
        <w:pStyle w:val="af3"/>
        <w:rPr>
          <w:rFonts w:ascii="Traditional Arabic" w:hAnsi="Traditional Arabic"/>
          <w:sz w:val="32"/>
          <w:szCs w:val="32"/>
        </w:rPr>
      </w:pPr>
      <w:r w:rsidRPr="00AF4699">
        <w:rPr>
          <w:rFonts w:ascii="Traditional Arabic" w:hAnsi="Traditional Arabic"/>
          <w:color w:val="auto"/>
          <w:sz w:val="32"/>
          <w:szCs w:val="32"/>
          <w:rtl/>
        </w:rPr>
        <w:t>(</w:t>
      </w:r>
      <w:r w:rsidRPr="00AF4699">
        <w:rPr>
          <w:rStyle w:val="ae"/>
          <w:rFonts w:ascii="Traditional Arabic" w:hAnsi="Traditional Arabic"/>
          <w:color w:val="auto"/>
          <w:sz w:val="32"/>
          <w:szCs w:val="32"/>
          <w:vertAlign w:val="baseline"/>
        </w:rPr>
        <w:footnoteRef/>
      </w:r>
      <w:r w:rsidRPr="00AF4699">
        <w:rPr>
          <w:rFonts w:ascii="Traditional Arabic" w:hAnsi="Traditional Arabic"/>
          <w:color w:val="auto"/>
          <w:sz w:val="32"/>
          <w:szCs w:val="32"/>
          <w:rtl/>
        </w:rPr>
        <w:t xml:space="preserve">) في (ك): [وهذا شك منه في البعث]. </w:t>
      </w:r>
    </w:p>
  </w:footnote>
  <w:footnote w:id="1348">
    <w:p w:rsidR="003F128F" w:rsidRPr="00D72B4D" w:rsidRDefault="003F128F" w:rsidP="00DC21B6">
      <w:pPr>
        <w:pStyle w:val="af3"/>
        <w:rPr>
          <w:rFonts w:ascii="Traditional Arabic" w:hAnsi="Traditional Arabic"/>
          <w:color w:val="auto"/>
          <w:sz w:val="32"/>
          <w:szCs w:val="32"/>
        </w:rPr>
      </w:pPr>
      <w:r w:rsidRPr="00D72B4D">
        <w:rPr>
          <w:rFonts w:ascii="Traditional Arabic" w:hAnsi="Traditional Arabic"/>
          <w:color w:val="auto"/>
          <w:sz w:val="32"/>
          <w:szCs w:val="32"/>
          <w:rtl/>
        </w:rPr>
        <w:t>(</w:t>
      </w:r>
      <w:r w:rsidRPr="00D72B4D">
        <w:rPr>
          <w:rStyle w:val="ae"/>
          <w:rFonts w:ascii="Traditional Arabic" w:hAnsi="Traditional Arabic"/>
          <w:color w:val="auto"/>
          <w:sz w:val="32"/>
          <w:szCs w:val="32"/>
          <w:vertAlign w:val="baseline"/>
        </w:rPr>
        <w:footnoteRef/>
      </w:r>
      <w:r w:rsidRPr="00D72B4D">
        <w:rPr>
          <w:rFonts w:ascii="Traditional Arabic" w:hAnsi="Traditional Arabic"/>
          <w:color w:val="auto"/>
          <w:sz w:val="32"/>
          <w:szCs w:val="32"/>
          <w:rtl/>
        </w:rPr>
        <w:t>) ما بين المعكوفتين ساقط من الأصل, والمثبت من (ك)</w:t>
      </w:r>
      <w:r>
        <w:rPr>
          <w:rFonts w:ascii="Traditional Arabic" w:hAnsi="Traditional Arabic" w:hint="cs"/>
          <w:color w:val="auto"/>
          <w:sz w:val="32"/>
          <w:szCs w:val="32"/>
          <w:rtl/>
        </w:rPr>
        <w:t xml:space="preserve"> وهو موافق لما في كتاب التفسير الوسيط</w:t>
      </w:r>
      <w:r w:rsidRPr="00D72B4D">
        <w:rPr>
          <w:rFonts w:ascii="Traditional Arabic" w:hAnsi="Traditional Arabic"/>
          <w:color w:val="auto"/>
          <w:sz w:val="32"/>
          <w:szCs w:val="32"/>
          <w:rtl/>
        </w:rPr>
        <w:t xml:space="preserve">. </w:t>
      </w:r>
    </w:p>
  </w:footnote>
  <w:footnote w:id="1349">
    <w:p w:rsidR="003F128F" w:rsidRPr="00D72B4D" w:rsidRDefault="003F128F" w:rsidP="00DC21B6">
      <w:pPr>
        <w:pStyle w:val="af3"/>
        <w:rPr>
          <w:rFonts w:ascii="Traditional Arabic" w:hAnsi="Traditional Arabic"/>
          <w:color w:val="auto"/>
          <w:sz w:val="32"/>
          <w:szCs w:val="32"/>
        </w:rPr>
      </w:pPr>
      <w:r w:rsidRPr="00D72B4D">
        <w:rPr>
          <w:rFonts w:ascii="Traditional Arabic" w:hAnsi="Traditional Arabic"/>
          <w:color w:val="auto"/>
          <w:sz w:val="32"/>
          <w:szCs w:val="32"/>
          <w:rtl/>
        </w:rPr>
        <w:t>(</w:t>
      </w:r>
      <w:r w:rsidRPr="00D72B4D">
        <w:rPr>
          <w:rStyle w:val="ae"/>
          <w:rFonts w:ascii="Traditional Arabic" w:hAnsi="Traditional Arabic"/>
          <w:color w:val="auto"/>
          <w:sz w:val="32"/>
          <w:szCs w:val="32"/>
          <w:vertAlign w:val="baseline"/>
        </w:rPr>
        <w:footnoteRef/>
      </w:r>
      <w:r w:rsidRPr="00D72B4D">
        <w:rPr>
          <w:rFonts w:ascii="Traditional Arabic" w:hAnsi="Traditional Arabic"/>
          <w:color w:val="auto"/>
          <w:sz w:val="32"/>
          <w:szCs w:val="32"/>
          <w:rtl/>
        </w:rPr>
        <w:t xml:space="preserve">) انظر: التفسير الوسيط (3/149).  </w:t>
      </w:r>
    </w:p>
  </w:footnote>
  <w:footnote w:id="1350">
    <w:p w:rsidR="003F128F" w:rsidRPr="00D72B4D" w:rsidRDefault="003F128F" w:rsidP="00DC21B6">
      <w:pPr>
        <w:pStyle w:val="af3"/>
        <w:rPr>
          <w:rFonts w:ascii="Traditional Arabic" w:hAnsi="Traditional Arabic"/>
          <w:color w:val="auto"/>
          <w:sz w:val="32"/>
          <w:szCs w:val="32"/>
        </w:rPr>
      </w:pPr>
      <w:r w:rsidRPr="00D72B4D">
        <w:rPr>
          <w:rFonts w:ascii="Traditional Arabic" w:hAnsi="Traditional Arabic"/>
          <w:color w:val="auto"/>
          <w:sz w:val="32"/>
          <w:szCs w:val="32"/>
          <w:rtl/>
        </w:rPr>
        <w:t>(</w:t>
      </w:r>
      <w:r w:rsidRPr="00D72B4D">
        <w:rPr>
          <w:rStyle w:val="ae"/>
          <w:rFonts w:ascii="Traditional Arabic" w:hAnsi="Traditional Arabic"/>
          <w:color w:val="auto"/>
          <w:sz w:val="32"/>
          <w:szCs w:val="32"/>
          <w:vertAlign w:val="baseline"/>
        </w:rPr>
        <w:footnoteRef/>
      </w:r>
      <w:r w:rsidRPr="00D72B4D">
        <w:rPr>
          <w:rFonts w:ascii="Traditional Arabic" w:hAnsi="Traditional Arabic"/>
          <w:color w:val="auto"/>
          <w:sz w:val="32"/>
          <w:szCs w:val="32"/>
          <w:rtl/>
        </w:rPr>
        <w:t>) انظر: السبعة في القراءات (ص390), معاني القراءات (2/109).</w:t>
      </w:r>
    </w:p>
  </w:footnote>
  <w:footnote w:id="1351">
    <w:p w:rsidR="003F128F" w:rsidRPr="00D72B4D" w:rsidRDefault="003F128F" w:rsidP="00DC21B6">
      <w:pPr>
        <w:pStyle w:val="af3"/>
        <w:rPr>
          <w:rFonts w:ascii="Traditional Arabic" w:hAnsi="Traditional Arabic"/>
          <w:color w:val="auto"/>
          <w:sz w:val="32"/>
          <w:szCs w:val="32"/>
        </w:rPr>
      </w:pPr>
      <w:r w:rsidRPr="00D72B4D">
        <w:rPr>
          <w:rFonts w:ascii="Traditional Arabic" w:hAnsi="Traditional Arabic"/>
          <w:color w:val="auto"/>
          <w:sz w:val="32"/>
          <w:szCs w:val="32"/>
          <w:rtl/>
        </w:rPr>
        <w:t>(</w:t>
      </w:r>
      <w:r w:rsidRPr="00D72B4D">
        <w:rPr>
          <w:rStyle w:val="ae"/>
          <w:rFonts w:ascii="Traditional Arabic" w:hAnsi="Traditional Arabic"/>
          <w:color w:val="auto"/>
          <w:sz w:val="32"/>
          <w:szCs w:val="32"/>
          <w:vertAlign w:val="baseline"/>
        </w:rPr>
        <w:footnoteRef/>
      </w:r>
      <w:r w:rsidRPr="00D72B4D">
        <w:rPr>
          <w:rFonts w:ascii="Traditional Arabic" w:hAnsi="Traditional Arabic"/>
          <w:color w:val="auto"/>
          <w:sz w:val="32"/>
          <w:szCs w:val="32"/>
          <w:rtl/>
        </w:rPr>
        <w:t xml:space="preserve">) انظر: الحجة للقراء السبعة (5/144). </w:t>
      </w:r>
    </w:p>
  </w:footnote>
  <w:footnote w:id="1352">
    <w:p w:rsidR="003F128F" w:rsidRPr="00F25AEC" w:rsidRDefault="003F128F" w:rsidP="00DC21B6">
      <w:pPr>
        <w:pStyle w:val="af3"/>
        <w:rPr>
          <w:rFonts w:ascii="Traditional Arabic" w:hAnsi="Traditional Arabic"/>
          <w:sz w:val="32"/>
          <w:szCs w:val="32"/>
        </w:rPr>
      </w:pPr>
      <w:r w:rsidRPr="00D72B4D">
        <w:rPr>
          <w:rFonts w:ascii="Traditional Arabic" w:hAnsi="Traditional Arabic"/>
          <w:color w:val="auto"/>
          <w:sz w:val="32"/>
          <w:szCs w:val="32"/>
          <w:rtl/>
        </w:rPr>
        <w:t>(</w:t>
      </w:r>
      <w:r w:rsidRPr="00D72B4D">
        <w:rPr>
          <w:rStyle w:val="ae"/>
          <w:rFonts w:ascii="Traditional Arabic" w:hAnsi="Traditional Arabic"/>
          <w:color w:val="auto"/>
          <w:sz w:val="32"/>
          <w:szCs w:val="32"/>
          <w:vertAlign w:val="baseline"/>
        </w:rPr>
        <w:footnoteRef/>
      </w:r>
      <w:r w:rsidRPr="00D72B4D">
        <w:rPr>
          <w:rFonts w:ascii="Traditional Arabic" w:hAnsi="Traditional Arabic"/>
          <w:color w:val="auto"/>
          <w:sz w:val="32"/>
          <w:szCs w:val="32"/>
          <w:rtl/>
        </w:rPr>
        <w:t>) انظر: تفسير الطبري (18/23), الكشف والبيان (6/171).</w:t>
      </w:r>
    </w:p>
  </w:footnote>
  <w:footnote w:id="1353">
    <w:p w:rsidR="003F128F" w:rsidRPr="00363437" w:rsidRDefault="003F128F" w:rsidP="00DC21B6">
      <w:pPr>
        <w:pStyle w:val="af3"/>
        <w:rPr>
          <w:rFonts w:ascii="Traditional Arabic" w:hAnsi="Traditional Arabic"/>
          <w:sz w:val="32"/>
          <w:szCs w:val="32"/>
        </w:rPr>
      </w:pPr>
      <w:r w:rsidRPr="00363437">
        <w:rPr>
          <w:rFonts w:ascii="Traditional Arabic" w:hAnsi="Traditional Arabic"/>
          <w:sz w:val="32"/>
          <w:szCs w:val="32"/>
          <w:rtl/>
        </w:rPr>
        <w:t>(</w:t>
      </w:r>
      <w:r w:rsidRPr="00363437">
        <w:rPr>
          <w:rStyle w:val="ae"/>
          <w:rFonts w:ascii="Traditional Arabic" w:hAnsi="Traditional Arabic"/>
          <w:sz w:val="32"/>
          <w:szCs w:val="32"/>
          <w:vertAlign w:val="baseline"/>
        </w:rPr>
        <w:footnoteRef/>
      </w:r>
      <w:r w:rsidRPr="00363437">
        <w:rPr>
          <w:rFonts w:ascii="Traditional Arabic" w:hAnsi="Traditional Arabic"/>
          <w:sz w:val="32"/>
          <w:szCs w:val="32"/>
          <w:rtl/>
        </w:rPr>
        <w:t>) انظر: تفسير الطبري (18/23), الهداية (6/4383).</w:t>
      </w:r>
    </w:p>
  </w:footnote>
  <w:footnote w:id="1354">
    <w:p w:rsidR="003F128F" w:rsidRPr="00363437" w:rsidRDefault="003F128F" w:rsidP="002B6148">
      <w:pPr>
        <w:pStyle w:val="af3"/>
        <w:rPr>
          <w:rFonts w:ascii="Traditional Arabic" w:hAnsi="Traditional Arabic"/>
          <w:sz w:val="32"/>
          <w:szCs w:val="32"/>
        </w:rPr>
      </w:pPr>
      <w:r w:rsidRPr="00363437">
        <w:rPr>
          <w:rFonts w:ascii="Traditional Arabic" w:hAnsi="Traditional Arabic"/>
          <w:sz w:val="32"/>
          <w:szCs w:val="32"/>
          <w:rtl/>
        </w:rPr>
        <w:t>(</w:t>
      </w:r>
      <w:r w:rsidRPr="00363437">
        <w:rPr>
          <w:rStyle w:val="ae"/>
          <w:rFonts w:ascii="Traditional Arabic" w:hAnsi="Traditional Arabic"/>
          <w:sz w:val="32"/>
          <w:szCs w:val="32"/>
          <w:vertAlign w:val="baseline"/>
        </w:rPr>
        <w:footnoteRef/>
      </w:r>
      <w:r w:rsidRPr="00363437">
        <w:rPr>
          <w:rFonts w:ascii="Traditional Arabic" w:hAnsi="Traditional Arabic"/>
          <w:sz w:val="32"/>
          <w:szCs w:val="32"/>
          <w:rtl/>
        </w:rPr>
        <w:t>) هو الامام المقرئ</w:t>
      </w:r>
      <w:r>
        <w:rPr>
          <w:rFonts w:ascii="Traditional Arabic" w:hAnsi="Traditional Arabic" w:hint="cs"/>
          <w:sz w:val="32"/>
          <w:szCs w:val="32"/>
          <w:rtl/>
        </w:rPr>
        <w:t>,</w:t>
      </w:r>
      <w:r w:rsidRPr="00363437">
        <w:rPr>
          <w:rFonts w:ascii="Traditional Arabic" w:hAnsi="Traditional Arabic"/>
          <w:sz w:val="32"/>
          <w:szCs w:val="32"/>
          <w:rtl/>
        </w:rPr>
        <w:t xml:space="preserve"> أبو محمد</w:t>
      </w:r>
      <w:r>
        <w:rPr>
          <w:rFonts w:ascii="Traditional Arabic" w:hAnsi="Traditional Arabic" w:hint="cs"/>
          <w:sz w:val="32"/>
          <w:szCs w:val="32"/>
          <w:rtl/>
        </w:rPr>
        <w:t>,</w:t>
      </w:r>
      <w:r w:rsidRPr="00363437">
        <w:rPr>
          <w:rFonts w:ascii="Traditional Arabic" w:hAnsi="Traditional Arabic"/>
          <w:sz w:val="32"/>
          <w:szCs w:val="32"/>
          <w:rtl/>
        </w:rPr>
        <w:t xml:space="preserve"> إسحاق بن محمد بن عبد الرحمن بن عبدالله المُسَيّبي،</w:t>
      </w:r>
      <w:r w:rsidRPr="00363437">
        <w:rPr>
          <w:rFonts w:ascii="Traditional Arabic" w:hAnsi="Traditional Arabic"/>
          <w:sz w:val="32"/>
          <w:szCs w:val="32"/>
          <w:rtl/>
          <w:lang w:eastAsia="en-US"/>
        </w:rPr>
        <w:t xml:space="preserve"> المخزومي, المدني،</w:t>
      </w:r>
      <w:r w:rsidRPr="00363437">
        <w:rPr>
          <w:rFonts w:ascii="Traditional Arabic" w:hAnsi="Traditional Arabic"/>
          <w:sz w:val="32"/>
          <w:szCs w:val="32"/>
          <w:rtl/>
        </w:rPr>
        <w:t xml:space="preserve"> إمام جليل، عالم بالحديث, قرأ على نافع بن أبي نعيم، وهو من جلة أصحاب</w:t>
      </w:r>
      <w:r>
        <w:rPr>
          <w:rFonts w:ascii="Traditional Arabic" w:hAnsi="Traditional Arabic"/>
          <w:sz w:val="32"/>
          <w:szCs w:val="32"/>
          <w:rtl/>
        </w:rPr>
        <w:t>ه المحققين، (ت236ه</w:t>
      </w:r>
      <w:r>
        <w:rPr>
          <w:rFonts w:ascii="Traditional Arabic" w:hAnsi="Traditional Arabic" w:hint="cs"/>
          <w:sz w:val="32"/>
          <w:szCs w:val="32"/>
          <w:rtl/>
        </w:rPr>
        <w:t>)</w:t>
      </w:r>
      <w:r w:rsidRPr="00363437">
        <w:rPr>
          <w:rFonts w:ascii="Traditional Arabic" w:hAnsi="Traditional Arabic"/>
          <w:sz w:val="32"/>
          <w:szCs w:val="32"/>
          <w:rtl/>
        </w:rPr>
        <w:t xml:space="preserve">. انظر: معرفة القراء الكبار (ص88), غاية النهاية (2/98). </w:t>
      </w:r>
    </w:p>
  </w:footnote>
  <w:footnote w:id="1355">
    <w:p w:rsidR="003F128F" w:rsidRPr="00AF4699" w:rsidRDefault="003F128F" w:rsidP="00DC21B6">
      <w:pPr>
        <w:pStyle w:val="af3"/>
        <w:rPr>
          <w:rFonts w:ascii="Traditional Arabic" w:hAnsi="Traditional Arabic"/>
          <w:sz w:val="32"/>
          <w:szCs w:val="32"/>
        </w:rPr>
      </w:pPr>
      <w:r w:rsidRPr="00AF4699">
        <w:rPr>
          <w:rFonts w:ascii="Traditional Arabic" w:hAnsi="Traditional Arabic"/>
          <w:sz w:val="32"/>
          <w:szCs w:val="32"/>
          <w:rtl/>
        </w:rPr>
        <w:t>(</w:t>
      </w:r>
      <w:r w:rsidRPr="00AF4699">
        <w:rPr>
          <w:rStyle w:val="ae"/>
          <w:rFonts w:ascii="Traditional Arabic" w:hAnsi="Traditional Arabic"/>
          <w:sz w:val="32"/>
          <w:szCs w:val="32"/>
          <w:vertAlign w:val="baseline"/>
        </w:rPr>
        <w:footnoteRef/>
      </w:r>
      <w:r w:rsidRPr="00AF4699">
        <w:rPr>
          <w:rFonts w:ascii="Traditional Arabic" w:hAnsi="Traditional Arabic"/>
          <w:sz w:val="32"/>
          <w:szCs w:val="32"/>
          <w:rtl/>
        </w:rPr>
        <w:t>)</w:t>
      </w:r>
      <w:r w:rsidRPr="00AF4699">
        <w:rPr>
          <w:rFonts w:ascii="Traditional Arabic" w:hAnsi="Traditional Arabic" w:hint="cs"/>
          <w:sz w:val="32"/>
          <w:szCs w:val="32"/>
          <w:rtl/>
        </w:rPr>
        <w:t xml:space="preserve"> </w:t>
      </w:r>
      <w:r w:rsidRPr="00AF4699">
        <w:rPr>
          <w:rFonts w:ascii="Traditional Arabic" w:hAnsi="Traditional Arabic"/>
          <w:sz w:val="32"/>
          <w:szCs w:val="32"/>
          <w:rtl/>
        </w:rPr>
        <w:t>انظر: السبعة في القراءات (ص390), معاني القراءات (2/109).</w:t>
      </w:r>
    </w:p>
  </w:footnote>
  <w:footnote w:id="1356">
    <w:p w:rsidR="003F128F" w:rsidRPr="00AF4699" w:rsidRDefault="003F128F" w:rsidP="00DC21B6">
      <w:pPr>
        <w:pStyle w:val="af3"/>
        <w:rPr>
          <w:rFonts w:ascii="Traditional Arabic" w:hAnsi="Traditional Arabic"/>
          <w:sz w:val="32"/>
          <w:szCs w:val="32"/>
        </w:rPr>
      </w:pPr>
      <w:r w:rsidRPr="00AF4699">
        <w:rPr>
          <w:rFonts w:ascii="Traditional Arabic" w:hAnsi="Traditional Arabic"/>
          <w:sz w:val="32"/>
          <w:szCs w:val="32"/>
          <w:rtl/>
        </w:rPr>
        <w:t>(</w:t>
      </w:r>
      <w:r w:rsidRPr="00AF4699">
        <w:rPr>
          <w:rStyle w:val="ae"/>
          <w:rFonts w:ascii="Traditional Arabic" w:hAnsi="Traditional Arabic"/>
          <w:sz w:val="32"/>
          <w:szCs w:val="32"/>
          <w:vertAlign w:val="baseline"/>
        </w:rPr>
        <w:footnoteRef/>
      </w:r>
      <w:r w:rsidRPr="00AF4699">
        <w:rPr>
          <w:rFonts w:ascii="Traditional Arabic" w:hAnsi="Traditional Arabic"/>
          <w:sz w:val="32"/>
          <w:szCs w:val="32"/>
          <w:rtl/>
        </w:rPr>
        <w:t xml:space="preserve">) </w:t>
      </w:r>
      <w:r w:rsidRPr="00AF4699">
        <w:rPr>
          <w:rFonts w:ascii="Traditional Arabic" w:hAnsi="Traditional Arabic" w:hint="cs"/>
          <w:sz w:val="32"/>
          <w:szCs w:val="32"/>
          <w:rtl/>
        </w:rPr>
        <w:t>قوله: [</w:t>
      </w:r>
      <w:r w:rsidRPr="00AF4699">
        <w:rPr>
          <w:rFonts w:ascii="Traditional Arabic" w:hAnsi="Traditional Arabic"/>
          <w:sz w:val="32"/>
          <w:szCs w:val="32"/>
          <w:rtl/>
        </w:rPr>
        <w:t>وقرأ أبو رجاء: «لكنْ» بإسكان النون خفيفة من غير ألف في الحالين</w:t>
      </w:r>
      <w:r w:rsidRPr="00AF4699">
        <w:rPr>
          <w:rFonts w:ascii="Traditional Arabic" w:hAnsi="Traditional Arabic" w:hint="cs"/>
          <w:sz w:val="32"/>
          <w:szCs w:val="32"/>
          <w:rtl/>
        </w:rPr>
        <w:t>] ليس في</w:t>
      </w:r>
      <w:r w:rsidRPr="00AF4699">
        <w:rPr>
          <w:rFonts w:ascii="Traditional Arabic" w:hAnsi="Traditional Arabic"/>
          <w:sz w:val="32"/>
          <w:szCs w:val="32"/>
          <w:rtl/>
        </w:rPr>
        <w:t xml:space="preserve"> (ك).  </w:t>
      </w:r>
    </w:p>
  </w:footnote>
  <w:footnote w:id="1357">
    <w:p w:rsidR="003F128F" w:rsidRPr="00AF4699" w:rsidRDefault="003F128F" w:rsidP="00DC21B6">
      <w:pPr>
        <w:pStyle w:val="af3"/>
        <w:rPr>
          <w:rFonts w:ascii="Traditional Arabic" w:hAnsi="Traditional Arabic"/>
          <w:sz w:val="32"/>
          <w:szCs w:val="32"/>
          <w:rtl/>
        </w:rPr>
      </w:pPr>
      <w:r w:rsidRPr="00AF4699">
        <w:rPr>
          <w:rFonts w:ascii="Traditional Arabic" w:hAnsi="Traditional Arabic"/>
          <w:sz w:val="32"/>
          <w:szCs w:val="32"/>
          <w:rtl/>
        </w:rPr>
        <w:t>(</w:t>
      </w:r>
      <w:r w:rsidRPr="00AF4699">
        <w:rPr>
          <w:rStyle w:val="ae"/>
          <w:rFonts w:ascii="Traditional Arabic" w:hAnsi="Traditional Arabic"/>
          <w:sz w:val="32"/>
          <w:szCs w:val="32"/>
          <w:vertAlign w:val="baseline"/>
        </w:rPr>
        <w:footnoteRef/>
      </w:r>
      <w:r w:rsidRPr="00AF4699">
        <w:rPr>
          <w:rFonts w:ascii="Traditional Arabic" w:hAnsi="Traditional Arabic"/>
          <w:sz w:val="32"/>
          <w:szCs w:val="32"/>
          <w:rtl/>
        </w:rPr>
        <w:t>)</w:t>
      </w:r>
      <w:r w:rsidRPr="00AF4699">
        <w:rPr>
          <w:rFonts w:ascii="Traditional Arabic" w:hAnsi="Traditional Arabic" w:hint="cs"/>
          <w:sz w:val="32"/>
          <w:szCs w:val="32"/>
          <w:rtl/>
        </w:rPr>
        <w:t xml:space="preserve"> </w:t>
      </w:r>
      <w:r w:rsidRPr="00AF4699">
        <w:rPr>
          <w:rFonts w:ascii="Traditional Arabic" w:hAnsi="Traditional Arabic"/>
          <w:sz w:val="32"/>
          <w:szCs w:val="32"/>
          <w:rtl/>
        </w:rPr>
        <w:t xml:space="preserve">ذكرها ابن جني في المحتسب (2/29) ونسبها لعيسى الثقفي, وكذلك أبو حيان في البحر المحيط (7/179). </w:t>
      </w:r>
    </w:p>
  </w:footnote>
  <w:footnote w:id="1358">
    <w:p w:rsidR="003F128F" w:rsidRPr="00363437" w:rsidRDefault="003F128F" w:rsidP="00DC21B6">
      <w:pPr>
        <w:pStyle w:val="af3"/>
        <w:rPr>
          <w:rFonts w:ascii="Traditional Arabic" w:hAnsi="Traditional Arabic"/>
          <w:sz w:val="32"/>
          <w:szCs w:val="32"/>
        </w:rPr>
      </w:pPr>
      <w:r w:rsidRPr="00363437">
        <w:rPr>
          <w:rFonts w:ascii="Traditional Arabic" w:hAnsi="Traditional Arabic"/>
          <w:sz w:val="32"/>
          <w:szCs w:val="32"/>
          <w:rtl/>
        </w:rPr>
        <w:t>(</w:t>
      </w:r>
      <w:r w:rsidRPr="00363437">
        <w:rPr>
          <w:rStyle w:val="ae"/>
          <w:rFonts w:ascii="Traditional Arabic" w:hAnsi="Traditional Arabic"/>
          <w:sz w:val="32"/>
          <w:szCs w:val="32"/>
          <w:vertAlign w:val="baseline"/>
        </w:rPr>
        <w:footnoteRef/>
      </w:r>
      <w:r w:rsidRPr="00363437">
        <w:rPr>
          <w:rFonts w:ascii="Traditional Arabic" w:hAnsi="Traditional Arabic"/>
          <w:sz w:val="32"/>
          <w:szCs w:val="32"/>
          <w:rtl/>
        </w:rPr>
        <w:t>)</w:t>
      </w:r>
      <w:r>
        <w:rPr>
          <w:rFonts w:ascii="Traditional Arabic" w:hAnsi="Traditional Arabic" w:hint="cs"/>
          <w:sz w:val="32"/>
          <w:szCs w:val="32"/>
          <w:rtl/>
        </w:rPr>
        <w:t xml:space="preserve"> </w:t>
      </w:r>
      <w:r w:rsidRPr="00363437">
        <w:rPr>
          <w:rFonts w:ascii="Traditional Arabic" w:hAnsi="Traditional Arabic"/>
          <w:sz w:val="32"/>
          <w:szCs w:val="32"/>
          <w:rtl/>
        </w:rPr>
        <w:t xml:space="preserve">انظر: البحر المحيط (7/179), معجم القراءات (5/213). </w:t>
      </w:r>
    </w:p>
  </w:footnote>
  <w:footnote w:id="1359">
    <w:p w:rsidR="003F128F" w:rsidRPr="00363437" w:rsidRDefault="003F128F" w:rsidP="00DC21B6">
      <w:pPr>
        <w:pStyle w:val="af3"/>
        <w:rPr>
          <w:rFonts w:ascii="Traditional Arabic" w:hAnsi="Traditional Arabic"/>
          <w:sz w:val="32"/>
          <w:szCs w:val="32"/>
        </w:rPr>
      </w:pPr>
      <w:r w:rsidRPr="00363437">
        <w:rPr>
          <w:rFonts w:ascii="Traditional Arabic" w:hAnsi="Traditional Arabic"/>
          <w:sz w:val="32"/>
          <w:szCs w:val="32"/>
          <w:rtl/>
        </w:rPr>
        <w:t>(</w:t>
      </w:r>
      <w:r w:rsidRPr="00363437">
        <w:rPr>
          <w:rStyle w:val="ae"/>
          <w:rFonts w:ascii="Traditional Arabic" w:hAnsi="Traditional Arabic"/>
          <w:sz w:val="32"/>
          <w:szCs w:val="32"/>
          <w:vertAlign w:val="baseline"/>
        </w:rPr>
        <w:footnoteRef/>
      </w:r>
      <w:r w:rsidRPr="00363437">
        <w:rPr>
          <w:rFonts w:ascii="Traditional Arabic" w:hAnsi="Traditional Arabic"/>
          <w:sz w:val="32"/>
          <w:szCs w:val="32"/>
          <w:rtl/>
        </w:rPr>
        <w:t>) انظر: مختصر الشواذ لابن خالويه (ص83), المحتسب لابن جني (2/29).</w:t>
      </w:r>
    </w:p>
  </w:footnote>
  <w:footnote w:id="1360">
    <w:p w:rsidR="003F128F" w:rsidRPr="009D513E" w:rsidRDefault="003F128F" w:rsidP="00DC21B6">
      <w:pPr>
        <w:pStyle w:val="af3"/>
        <w:rPr>
          <w:rFonts w:ascii="Traditional Arabic" w:hAnsi="Traditional Arabic"/>
          <w:sz w:val="32"/>
          <w:szCs w:val="32"/>
        </w:rPr>
      </w:pPr>
      <w:r w:rsidRPr="00363437">
        <w:rPr>
          <w:rFonts w:ascii="Traditional Arabic" w:hAnsi="Traditional Arabic"/>
          <w:sz w:val="32"/>
          <w:szCs w:val="32"/>
          <w:rtl/>
        </w:rPr>
        <w:t>(</w:t>
      </w:r>
      <w:r w:rsidRPr="00363437">
        <w:rPr>
          <w:rStyle w:val="ae"/>
          <w:rFonts w:ascii="Traditional Arabic" w:hAnsi="Traditional Arabic"/>
          <w:sz w:val="32"/>
          <w:szCs w:val="32"/>
          <w:vertAlign w:val="baseline"/>
        </w:rPr>
        <w:footnoteRef/>
      </w:r>
      <w:r w:rsidRPr="00363437">
        <w:rPr>
          <w:rFonts w:ascii="Traditional Arabic" w:hAnsi="Traditional Arabic"/>
          <w:sz w:val="32"/>
          <w:szCs w:val="32"/>
          <w:rtl/>
        </w:rPr>
        <w:t>) هو أبو ثروان</w:t>
      </w:r>
      <w:r>
        <w:rPr>
          <w:rFonts w:ascii="Traditional Arabic" w:hAnsi="Traditional Arabic" w:hint="cs"/>
          <w:sz w:val="32"/>
          <w:szCs w:val="32"/>
          <w:rtl/>
        </w:rPr>
        <w:t>,</w:t>
      </w:r>
      <w:r w:rsidRPr="00363437">
        <w:rPr>
          <w:rFonts w:ascii="Traditional Arabic" w:hAnsi="Traditional Arabic"/>
          <w:color w:val="800000"/>
          <w:sz w:val="32"/>
          <w:szCs w:val="32"/>
          <w:rtl/>
          <w:lang w:eastAsia="en-US"/>
        </w:rPr>
        <w:t xml:space="preserve"> </w:t>
      </w:r>
      <w:r w:rsidRPr="00363437">
        <w:rPr>
          <w:rFonts w:ascii="Traditional Arabic" w:hAnsi="Traditional Arabic"/>
          <w:sz w:val="32"/>
          <w:szCs w:val="32"/>
          <w:rtl/>
        </w:rPr>
        <w:t>عَليّ بن إِبْرَاهِيم العكلي,</w:t>
      </w:r>
      <w:r w:rsidRPr="00363437">
        <w:rPr>
          <w:rFonts w:ascii="Traditional Arabic" w:hAnsi="Traditional Arabic"/>
          <w:sz w:val="32"/>
          <w:szCs w:val="32"/>
          <w:rtl/>
          <w:lang w:eastAsia="en-US"/>
        </w:rPr>
        <w:t xml:space="preserve"> وعكل اسْم امرأةٍ حضنت ولد عَوْف بن وَائِل,</w:t>
      </w:r>
      <w:r w:rsidRPr="00363437">
        <w:rPr>
          <w:rFonts w:ascii="Traditional Arabic" w:hAnsi="Traditional Arabic"/>
          <w:sz w:val="32"/>
          <w:szCs w:val="32"/>
          <w:rtl/>
        </w:rPr>
        <w:t xml:space="preserve"> كَانَ أَبُو ثروان أَعْرَابِيًا بدوياً تعلم فِي الْبَادِيَة, وَكَانَ فصيحاً وَله من الْكتب كتاب "مَعَاني الشّعْر", و"خلق الْفرس", لم أقف على سنة وفاته. انظر: معجم الأدباء لياقوت الحموي (2/775), الوافي بالوفيات (11/7).</w:t>
      </w:r>
    </w:p>
  </w:footnote>
  <w:footnote w:id="1361">
    <w:p w:rsidR="003F128F" w:rsidRPr="00363437" w:rsidRDefault="003F128F" w:rsidP="00DC21B6">
      <w:pPr>
        <w:pStyle w:val="af3"/>
        <w:rPr>
          <w:rFonts w:ascii="Traditional Arabic" w:hAnsi="Traditional Arabic"/>
          <w:sz w:val="32"/>
          <w:szCs w:val="32"/>
        </w:rPr>
      </w:pPr>
      <w:r w:rsidRPr="00363437">
        <w:rPr>
          <w:rFonts w:ascii="Traditional Arabic" w:hAnsi="Traditional Arabic"/>
          <w:sz w:val="32"/>
          <w:szCs w:val="32"/>
          <w:rtl/>
        </w:rPr>
        <w:t>(</w:t>
      </w:r>
      <w:r w:rsidRPr="00363437">
        <w:rPr>
          <w:rStyle w:val="ae"/>
          <w:rFonts w:ascii="Traditional Arabic" w:hAnsi="Traditional Arabic"/>
          <w:sz w:val="32"/>
          <w:szCs w:val="32"/>
          <w:vertAlign w:val="baseline"/>
        </w:rPr>
        <w:footnoteRef/>
      </w:r>
      <w:r w:rsidRPr="00363437">
        <w:rPr>
          <w:rFonts w:ascii="Traditional Arabic" w:hAnsi="Traditional Arabic"/>
          <w:sz w:val="32"/>
          <w:szCs w:val="32"/>
          <w:rtl/>
        </w:rPr>
        <w:t xml:space="preserve">) كتاب فيه لغات العرب (ص85), خزانة الأدب للبغدادي (11/225). </w:t>
      </w:r>
    </w:p>
  </w:footnote>
  <w:footnote w:id="1362">
    <w:p w:rsidR="003F128F" w:rsidRPr="00363437" w:rsidRDefault="003F128F" w:rsidP="00DC21B6">
      <w:pPr>
        <w:pStyle w:val="af3"/>
        <w:rPr>
          <w:rFonts w:ascii="Traditional Arabic" w:hAnsi="Traditional Arabic"/>
          <w:sz w:val="32"/>
          <w:szCs w:val="32"/>
        </w:rPr>
      </w:pPr>
      <w:r w:rsidRPr="00363437">
        <w:rPr>
          <w:rFonts w:ascii="Traditional Arabic" w:hAnsi="Traditional Arabic"/>
          <w:sz w:val="32"/>
          <w:szCs w:val="32"/>
          <w:rtl/>
        </w:rPr>
        <w:t>(</w:t>
      </w:r>
      <w:r w:rsidRPr="00363437">
        <w:rPr>
          <w:rStyle w:val="ae"/>
          <w:rFonts w:ascii="Traditional Arabic" w:hAnsi="Traditional Arabic"/>
          <w:sz w:val="32"/>
          <w:szCs w:val="32"/>
          <w:vertAlign w:val="baseline"/>
        </w:rPr>
        <w:footnoteRef/>
      </w:r>
      <w:r w:rsidRPr="00363437">
        <w:rPr>
          <w:rFonts w:ascii="Traditional Arabic" w:hAnsi="Traditional Arabic"/>
          <w:sz w:val="32"/>
          <w:szCs w:val="32"/>
          <w:rtl/>
        </w:rPr>
        <w:t xml:space="preserve">) انظر: مجاز القرآن (1/403). </w:t>
      </w:r>
    </w:p>
  </w:footnote>
  <w:footnote w:id="1363">
    <w:p w:rsidR="003F128F" w:rsidRPr="00363437" w:rsidRDefault="003F128F" w:rsidP="00DC21B6">
      <w:pPr>
        <w:ind w:firstLine="0"/>
        <w:rPr>
          <w:rFonts w:ascii="Traditional Arabic" w:hAnsi="Traditional Arabic"/>
          <w:sz w:val="32"/>
          <w:szCs w:val="32"/>
        </w:rPr>
      </w:pPr>
      <w:r w:rsidRPr="00363437">
        <w:rPr>
          <w:rFonts w:ascii="Traditional Arabic" w:hAnsi="Traditional Arabic"/>
          <w:sz w:val="32"/>
          <w:szCs w:val="32"/>
          <w:rtl/>
        </w:rPr>
        <w:t>(</w:t>
      </w:r>
      <w:r w:rsidRPr="00363437">
        <w:rPr>
          <w:rStyle w:val="ae"/>
          <w:rFonts w:ascii="Traditional Arabic" w:hAnsi="Traditional Arabic"/>
          <w:sz w:val="32"/>
          <w:szCs w:val="32"/>
          <w:vertAlign w:val="baseline"/>
        </w:rPr>
        <w:footnoteRef/>
      </w:r>
      <w:r w:rsidRPr="00363437">
        <w:rPr>
          <w:rFonts w:ascii="Traditional Arabic" w:hAnsi="Traditional Arabic"/>
          <w:sz w:val="32"/>
          <w:szCs w:val="32"/>
          <w:rtl/>
        </w:rPr>
        <w:t>) هو صدر بيتٍ لحميد بن ثور الهلالي كما في ديوانه (ص133) وعجزه: «حميداً قد تذرّيت السّناما».</w:t>
      </w:r>
    </w:p>
  </w:footnote>
  <w:footnote w:id="1364">
    <w:p w:rsidR="003F128F" w:rsidRPr="00363437" w:rsidRDefault="003F128F" w:rsidP="00DC21B6">
      <w:pPr>
        <w:pStyle w:val="af3"/>
        <w:rPr>
          <w:rFonts w:ascii="Traditional Arabic" w:hAnsi="Traditional Arabic"/>
          <w:sz w:val="32"/>
          <w:szCs w:val="32"/>
        </w:rPr>
      </w:pPr>
      <w:r w:rsidRPr="00363437">
        <w:rPr>
          <w:rFonts w:ascii="Traditional Arabic" w:hAnsi="Traditional Arabic"/>
          <w:sz w:val="32"/>
          <w:szCs w:val="32"/>
          <w:rtl/>
        </w:rPr>
        <w:t>(</w:t>
      </w:r>
      <w:r w:rsidRPr="00363437">
        <w:rPr>
          <w:rStyle w:val="ae"/>
          <w:rFonts w:ascii="Traditional Arabic" w:hAnsi="Traditional Arabic"/>
          <w:sz w:val="32"/>
          <w:szCs w:val="32"/>
          <w:vertAlign w:val="baseline"/>
        </w:rPr>
        <w:footnoteRef/>
      </w:r>
      <w:r w:rsidRPr="00363437">
        <w:rPr>
          <w:rFonts w:ascii="Traditional Arabic" w:hAnsi="Traditional Arabic"/>
          <w:sz w:val="32"/>
          <w:szCs w:val="32"/>
          <w:rtl/>
        </w:rPr>
        <w:t>) انظر: معاني القرآن وإعرابه (3/286-287).</w:t>
      </w:r>
    </w:p>
  </w:footnote>
  <w:footnote w:id="1365">
    <w:p w:rsidR="003F128F" w:rsidRPr="00363437" w:rsidRDefault="003F128F" w:rsidP="00DC21B6">
      <w:pPr>
        <w:pStyle w:val="af3"/>
        <w:rPr>
          <w:rFonts w:ascii="Traditional Arabic" w:hAnsi="Traditional Arabic"/>
          <w:sz w:val="32"/>
          <w:szCs w:val="32"/>
        </w:rPr>
      </w:pPr>
      <w:r w:rsidRPr="00363437">
        <w:rPr>
          <w:rFonts w:ascii="Traditional Arabic" w:hAnsi="Traditional Arabic"/>
          <w:sz w:val="32"/>
          <w:szCs w:val="32"/>
          <w:rtl/>
        </w:rPr>
        <w:t>(</w:t>
      </w:r>
      <w:r w:rsidRPr="00363437">
        <w:rPr>
          <w:rStyle w:val="ae"/>
          <w:rFonts w:ascii="Traditional Arabic" w:hAnsi="Traditional Arabic"/>
          <w:sz w:val="32"/>
          <w:szCs w:val="32"/>
          <w:vertAlign w:val="baseline"/>
        </w:rPr>
        <w:footnoteRef/>
      </w:r>
      <w:r w:rsidRPr="00363437">
        <w:rPr>
          <w:rFonts w:ascii="Traditional Arabic" w:hAnsi="Traditional Arabic"/>
          <w:sz w:val="32"/>
          <w:szCs w:val="32"/>
          <w:rtl/>
        </w:rPr>
        <w:t>) ما بين المعكوفتين ساقط من الأصل, والمثبت من (ك) وهو موافق لما في معاني القرآن للفراء.</w:t>
      </w:r>
    </w:p>
  </w:footnote>
  <w:footnote w:id="1366">
    <w:p w:rsidR="003F128F" w:rsidRPr="00363437" w:rsidRDefault="003F128F" w:rsidP="00DC21B6">
      <w:pPr>
        <w:pStyle w:val="af3"/>
        <w:rPr>
          <w:rFonts w:ascii="Traditional Arabic" w:hAnsi="Traditional Arabic"/>
          <w:sz w:val="32"/>
          <w:szCs w:val="32"/>
        </w:rPr>
      </w:pPr>
      <w:r w:rsidRPr="00363437">
        <w:rPr>
          <w:rFonts w:ascii="Traditional Arabic" w:hAnsi="Traditional Arabic"/>
          <w:sz w:val="32"/>
          <w:szCs w:val="32"/>
          <w:rtl/>
        </w:rPr>
        <w:t>(</w:t>
      </w:r>
      <w:r w:rsidRPr="00363437">
        <w:rPr>
          <w:rStyle w:val="ae"/>
          <w:rFonts w:ascii="Traditional Arabic" w:hAnsi="Traditional Arabic"/>
          <w:sz w:val="32"/>
          <w:szCs w:val="32"/>
          <w:vertAlign w:val="baseline"/>
        </w:rPr>
        <w:footnoteRef/>
      </w:r>
      <w:r w:rsidRPr="00363437">
        <w:rPr>
          <w:rFonts w:ascii="Traditional Arabic" w:hAnsi="Traditional Arabic"/>
          <w:sz w:val="32"/>
          <w:szCs w:val="32"/>
          <w:rtl/>
        </w:rPr>
        <w:t xml:space="preserve">) انظر: معاني القرآن (2/145).  </w:t>
      </w:r>
    </w:p>
  </w:footnote>
  <w:footnote w:id="1367">
    <w:p w:rsidR="003F128F" w:rsidRPr="00D34757" w:rsidRDefault="003F128F" w:rsidP="00DC21B6">
      <w:pPr>
        <w:pStyle w:val="af3"/>
        <w:rPr>
          <w:rFonts w:ascii="Traditional Arabic" w:hAnsi="Traditional Arabic"/>
          <w:sz w:val="32"/>
          <w:szCs w:val="32"/>
        </w:rPr>
      </w:pPr>
      <w:r w:rsidRPr="00363437">
        <w:rPr>
          <w:rFonts w:ascii="Traditional Arabic" w:hAnsi="Traditional Arabic"/>
          <w:sz w:val="32"/>
          <w:szCs w:val="32"/>
          <w:rtl/>
        </w:rPr>
        <w:t>(</w:t>
      </w:r>
      <w:r w:rsidRPr="00363437">
        <w:rPr>
          <w:rStyle w:val="ae"/>
          <w:rFonts w:ascii="Traditional Arabic" w:hAnsi="Traditional Arabic"/>
          <w:sz w:val="32"/>
          <w:szCs w:val="32"/>
          <w:vertAlign w:val="baseline"/>
        </w:rPr>
        <w:footnoteRef/>
      </w:r>
      <w:r w:rsidRPr="00363437">
        <w:rPr>
          <w:rFonts w:ascii="Traditional Arabic" w:hAnsi="Traditional Arabic"/>
          <w:sz w:val="32"/>
          <w:szCs w:val="32"/>
          <w:rtl/>
        </w:rPr>
        <w:t>) انظر: معاني القرآن وإعرابه (3/388).</w:t>
      </w:r>
      <w:r w:rsidRPr="00D34757">
        <w:rPr>
          <w:rFonts w:ascii="Traditional Arabic" w:hAnsi="Traditional Arabic"/>
          <w:sz w:val="32"/>
          <w:szCs w:val="32"/>
          <w:rtl/>
        </w:rPr>
        <w:t xml:space="preserve"> </w:t>
      </w:r>
    </w:p>
  </w:footnote>
  <w:footnote w:id="1368">
    <w:p w:rsidR="003F128F" w:rsidRPr="00363437" w:rsidRDefault="003F128F" w:rsidP="00DC21B6">
      <w:pPr>
        <w:pStyle w:val="af3"/>
        <w:rPr>
          <w:rFonts w:ascii="Tahoma" w:hAnsi="Tahoma"/>
        </w:rPr>
      </w:pPr>
      <w:r w:rsidRPr="00363437">
        <w:rPr>
          <w:rFonts w:ascii="Tahoma" w:hAnsi="Tahoma"/>
          <w:rtl/>
        </w:rPr>
        <w:t>(</w:t>
      </w:r>
      <w:r w:rsidRPr="00363437">
        <w:rPr>
          <w:rStyle w:val="ae"/>
          <w:rFonts w:ascii="Tahoma" w:hAnsi="Tahoma"/>
          <w:vertAlign w:val="baseline"/>
        </w:rPr>
        <w:footnoteRef/>
      </w:r>
      <w:r w:rsidRPr="00363437">
        <w:rPr>
          <w:rFonts w:ascii="Tahoma" w:hAnsi="Tahoma"/>
          <w:rtl/>
        </w:rPr>
        <w:t>)</w:t>
      </w:r>
      <w:r>
        <w:rPr>
          <w:rFonts w:ascii="Traditional Arabic" w:hAnsi="Traditional Arabic" w:hint="cs"/>
          <w:sz w:val="32"/>
          <w:szCs w:val="32"/>
          <w:rtl/>
        </w:rPr>
        <w:t xml:space="preserve"> </w:t>
      </w:r>
      <w:r w:rsidRPr="00363437">
        <w:rPr>
          <w:rFonts w:ascii="Traditional Arabic" w:hAnsi="Traditional Arabic"/>
          <w:sz w:val="32"/>
          <w:szCs w:val="32"/>
          <w:rtl/>
        </w:rPr>
        <w:t>ما بين المعكوفتين ساقط من الأصل, والمثبت من (ك)</w:t>
      </w:r>
      <w:r>
        <w:rPr>
          <w:rFonts w:ascii="Traditional Arabic" w:hAnsi="Traditional Arabic" w:hint="cs"/>
          <w:sz w:val="32"/>
          <w:szCs w:val="32"/>
          <w:rtl/>
        </w:rPr>
        <w:t>.</w:t>
      </w:r>
      <w:r>
        <w:rPr>
          <w:rFonts w:ascii="Tahoma" w:hAnsi="Tahoma"/>
          <w:rtl/>
        </w:rPr>
        <w:t xml:space="preserve"> </w:t>
      </w:r>
    </w:p>
  </w:footnote>
  <w:footnote w:id="1369">
    <w:p w:rsidR="003F128F" w:rsidRPr="00363437" w:rsidRDefault="003F128F" w:rsidP="00DC21B6">
      <w:pPr>
        <w:pStyle w:val="af3"/>
        <w:rPr>
          <w:rFonts w:ascii="Traditional Arabic" w:hAnsi="Traditional Arabic"/>
          <w:sz w:val="32"/>
          <w:szCs w:val="32"/>
        </w:rPr>
      </w:pPr>
      <w:r w:rsidRPr="00363437">
        <w:rPr>
          <w:rFonts w:ascii="Traditional Arabic" w:hAnsi="Traditional Arabic"/>
          <w:sz w:val="32"/>
          <w:szCs w:val="32"/>
          <w:rtl/>
        </w:rPr>
        <w:t>(</w:t>
      </w:r>
      <w:r w:rsidRPr="00363437">
        <w:rPr>
          <w:rStyle w:val="ae"/>
          <w:rFonts w:ascii="Traditional Arabic" w:hAnsi="Traditional Arabic"/>
          <w:sz w:val="32"/>
          <w:szCs w:val="32"/>
          <w:vertAlign w:val="baseline"/>
        </w:rPr>
        <w:footnoteRef/>
      </w:r>
      <w:r w:rsidRPr="00363437">
        <w:rPr>
          <w:rFonts w:ascii="Traditional Arabic" w:hAnsi="Traditional Arabic"/>
          <w:sz w:val="32"/>
          <w:szCs w:val="32"/>
          <w:rtl/>
        </w:rPr>
        <w:t>)</w:t>
      </w:r>
      <w:r>
        <w:rPr>
          <w:rFonts w:ascii="Traditional Arabic" w:hAnsi="Traditional Arabic" w:hint="cs"/>
          <w:sz w:val="32"/>
          <w:szCs w:val="32"/>
          <w:rtl/>
        </w:rPr>
        <w:t xml:space="preserve"> </w:t>
      </w:r>
      <w:r w:rsidRPr="00363437">
        <w:rPr>
          <w:rFonts w:ascii="Traditional Arabic" w:hAnsi="Traditional Arabic"/>
          <w:sz w:val="32"/>
          <w:szCs w:val="32"/>
          <w:rtl/>
        </w:rPr>
        <w:t xml:space="preserve">انظر: السبعة في القراءات (ص391), الحجة للقراء السبعة (5/144). </w:t>
      </w:r>
    </w:p>
  </w:footnote>
  <w:footnote w:id="1370">
    <w:p w:rsidR="003F128F" w:rsidRPr="00363437" w:rsidRDefault="003F128F" w:rsidP="00DC21B6">
      <w:pPr>
        <w:pStyle w:val="af3"/>
        <w:rPr>
          <w:rFonts w:ascii="Traditional Arabic" w:hAnsi="Traditional Arabic"/>
          <w:sz w:val="32"/>
          <w:szCs w:val="32"/>
        </w:rPr>
      </w:pPr>
      <w:r w:rsidRPr="00363437">
        <w:rPr>
          <w:rFonts w:ascii="Traditional Arabic" w:hAnsi="Traditional Arabic"/>
          <w:sz w:val="32"/>
          <w:szCs w:val="32"/>
          <w:rtl/>
        </w:rPr>
        <w:t>(</w:t>
      </w:r>
      <w:r w:rsidRPr="00363437">
        <w:rPr>
          <w:rStyle w:val="ae"/>
          <w:rFonts w:ascii="Traditional Arabic" w:hAnsi="Traditional Arabic"/>
          <w:sz w:val="32"/>
          <w:szCs w:val="32"/>
          <w:vertAlign w:val="baseline"/>
        </w:rPr>
        <w:footnoteRef/>
      </w:r>
      <w:r w:rsidRPr="00363437">
        <w:rPr>
          <w:rFonts w:ascii="Traditional Arabic" w:hAnsi="Traditional Arabic"/>
          <w:sz w:val="32"/>
          <w:szCs w:val="32"/>
          <w:rtl/>
        </w:rPr>
        <w:t>) في (ك):</w:t>
      </w:r>
      <w:r>
        <w:rPr>
          <w:rFonts w:ascii="Traditional Arabic" w:hAnsi="Traditional Arabic"/>
          <w:sz w:val="32"/>
          <w:szCs w:val="32"/>
          <w:rtl/>
        </w:rPr>
        <w:t xml:space="preserve"> </w:t>
      </w:r>
      <w:r>
        <w:rPr>
          <w:rFonts w:ascii="Traditional Arabic" w:hAnsi="Traditional Arabic" w:hint="cs"/>
          <w:sz w:val="32"/>
          <w:szCs w:val="32"/>
          <w:rtl/>
        </w:rPr>
        <w:t>[</w:t>
      </w:r>
      <w:r>
        <w:rPr>
          <w:rFonts w:ascii="Traditional Arabic" w:hAnsi="Traditional Arabic"/>
          <w:sz w:val="32"/>
          <w:szCs w:val="32"/>
          <w:rtl/>
        </w:rPr>
        <w:t>وقرأ ابن أبي عبلة: «أقل</w:t>
      </w:r>
      <w:r>
        <w:rPr>
          <w:rFonts w:ascii="Traditional Arabic" w:hAnsi="Traditional Arabic" w:hint="cs"/>
          <w:sz w:val="32"/>
          <w:szCs w:val="32"/>
          <w:rtl/>
        </w:rPr>
        <w:t>ُّ</w:t>
      </w:r>
      <w:r w:rsidRPr="00363437">
        <w:rPr>
          <w:rFonts w:ascii="Traditional Arabic" w:hAnsi="Traditional Arabic"/>
          <w:sz w:val="32"/>
          <w:szCs w:val="32"/>
          <w:rtl/>
        </w:rPr>
        <w:t>»</w:t>
      </w:r>
      <w:r w:rsidRPr="00363437">
        <w:rPr>
          <w:rFonts w:ascii="Traditional Arabic" w:hAnsi="Traditional Arabic"/>
          <w:sz w:val="32"/>
          <w:szCs w:val="32"/>
          <w:vertAlign w:val="superscript"/>
          <w:rtl/>
        </w:rPr>
        <w:t xml:space="preserve"> </w:t>
      </w:r>
      <w:r w:rsidRPr="00363437">
        <w:rPr>
          <w:rFonts w:ascii="Traditional Arabic" w:hAnsi="Traditional Arabic"/>
          <w:sz w:val="32"/>
          <w:szCs w:val="32"/>
          <w:rtl/>
        </w:rPr>
        <w:t>برفع اللام</w:t>
      </w:r>
      <w:r>
        <w:rPr>
          <w:rFonts w:ascii="Traditional Arabic" w:hAnsi="Traditional Arabic" w:hint="cs"/>
          <w:sz w:val="32"/>
          <w:szCs w:val="32"/>
          <w:rtl/>
        </w:rPr>
        <w:t>]</w:t>
      </w:r>
      <w:r w:rsidRPr="00363437">
        <w:rPr>
          <w:rFonts w:ascii="Traditional Arabic" w:hAnsi="Traditional Arabic"/>
          <w:sz w:val="32"/>
          <w:szCs w:val="32"/>
          <w:rtl/>
        </w:rPr>
        <w:t xml:space="preserve">.  </w:t>
      </w:r>
    </w:p>
  </w:footnote>
  <w:footnote w:id="1371">
    <w:p w:rsidR="003F128F" w:rsidRPr="00363437" w:rsidRDefault="003F128F" w:rsidP="00DC21B6">
      <w:pPr>
        <w:pStyle w:val="af3"/>
        <w:rPr>
          <w:rFonts w:ascii="Traditional Arabic" w:hAnsi="Traditional Arabic"/>
          <w:sz w:val="32"/>
          <w:szCs w:val="32"/>
        </w:rPr>
      </w:pPr>
      <w:r w:rsidRPr="00363437">
        <w:rPr>
          <w:rFonts w:ascii="Traditional Arabic" w:hAnsi="Traditional Arabic"/>
          <w:sz w:val="32"/>
          <w:szCs w:val="32"/>
          <w:rtl/>
        </w:rPr>
        <w:t>(</w:t>
      </w:r>
      <w:r w:rsidRPr="00363437">
        <w:rPr>
          <w:rStyle w:val="ae"/>
          <w:rFonts w:ascii="Traditional Arabic" w:hAnsi="Traditional Arabic"/>
          <w:sz w:val="32"/>
          <w:szCs w:val="32"/>
          <w:vertAlign w:val="baseline"/>
        </w:rPr>
        <w:footnoteRef/>
      </w:r>
      <w:r w:rsidRPr="00363437">
        <w:rPr>
          <w:rFonts w:ascii="Traditional Arabic" w:hAnsi="Traditional Arabic"/>
          <w:sz w:val="32"/>
          <w:szCs w:val="32"/>
          <w:rtl/>
        </w:rPr>
        <w:t>)</w:t>
      </w:r>
      <w:r>
        <w:rPr>
          <w:rFonts w:ascii="Traditional Arabic" w:hAnsi="Traditional Arabic" w:hint="cs"/>
          <w:sz w:val="32"/>
          <w:szCs w:val="32"/>
          <w:rtl/>
        </w:rPr>
        <w:t xml:space="preserve"> </w:t>
      </w:r>
      <w:r w:rsidRPr="00363437">
        <w:rPr>
          <w:rFonts w:ascii="Traditional Arabic" w:hAnsi="Traditional Arabic"/>
          <w:sz w:val="32"/>
          <w:szCs w:val="32"/>
          <w:rtl/>
        </w:rPr>
        <w:t xml:space="preserve">انظر: شواذ القراءة للكرماني (ص41), الكامل في القراءات العشر (ص591). </w:t>
      </w:r>
    </w:p>
  </w:footnote>
  <w:footnote w:id="1372">
    <w:p w:rsidR="003F128F" w:rsidRPr="00363437" w:rsidRDefault="003F128F" w:rsidP="00DC21B6">
      <w:pPr>
        <w:pStyle w:val="af3"/>
        <w:rPr>
          <w:rFonts w:ascii="Traditional Arabic" w:hAnsi="Traditional Arabic"/>
          <w:sz w:val="32"/>
          <w:szCs w:val="32"/>
        </w:rPr>
      </w:pPr>
      <w:r w:rsidRPr="00363437">
        <w:rPr>
          <w:rFonts w:ascii="Traditional Arabic" w:hAnsi="Traditional Arabic"/>
          <w:sz w:val="32"/>
          <w:szCs w:val="32"/>
          <w:rtl/>
        </w:rPr>
        <w:t>(</w:t>
      </w:r>
      <w:r w:rsidRPr="00363437">
        <w:rPr>
          <w:rStyle w:val="ae"/>
          <w:rFonts w:ascii="Traditional Arabic" w:hAnsi="Traditional Arabic"/>
          <w:sz w:val="32"/>
          <w:szCs w:val="32"/>
          <w:vertAlign w:val="baseline"/>
        </w:rPr>
        <w:footnoteRef/>
      </w:r>
      <w:r w:rsidRPr="00363437">
        <w:rPr>
          <w:rFonts w:ascii="Traditional Arabic" w:hAnsi="Traditional Arabic"/>
          <w:sz w:val="32"/>
          <w:szCs w:val="32"/>
          <w:rtl/>
        </w:rPr>
        <w:t>) انظر: معاني القرآن (2/145).</w:t>
      </w:r>
    </w:p>
  </w:footnote>
  <w:footnote w:id="1373">
    <w:p w:rsidR="003F128F" w:rsidRPr="00363437" w:rsidRDefault="003F128F" w:rsidP="00DC21B6">
      <w:pPr>
        <w:pStyle w:val="af3"/>
        <w:rPr>
          <w:rFonts w:ascii="Traditional Arabic" w:hAnsi="Traditional Arabic"/>
          <w:sz w:val="32"/>
          <w:szCs w:val="32"/>
        </w:rPr>
      </w:pPr>
      <w:r w:rsidRPr="00363437">
        <w:rPr>
          <w:rFonts w:ascii="Traditional Arabic" w:hAnsi="Traditional Arabic"/>
          <w:sz w:val="32"/>
          <w:szCs w:val="32"/>
          <w:rtl/>
        </w:rPr>
        <w:t>(</w:t>
      </w:r>
      <w:r w:rsidRPr="00363437">
        <w:rPr>
          <w:rStyle w:val="ae"/>
          <w:rFonts w:ascii="Traditional Arabic" w:hAnsi="Traditional Arabic"/>
          <w:sz w:val="32"/>
          <w:szCs w:val="32"/>
          <w:vertAlign w:val="baseline"/>
        </w:rPr>
        <w:footnoteRef/>
      </w:r>
      <w:r w:rsidRPr="00363437">
        <w:rPr>
          <w:rFonts w:ascii="Traditional Arabic" w:hAnsi="Traditional Arabic"/>
          <w:sz w:val="32"/>
          <w:szCs w:val="32"/>
          <w:rtl/>
        </w:rPr>
        <w:t>) تفسير الطبري (18/25), النكت والعيون (3/307).</w:t>
      </w:r>
    </w:p>
  </w:footnote>
  <w:footnote w:id="1374">
    <w:p w:rsidR="003F128F" w:rsidRPr="00363437" w:rsidRDefault="003F128F" w:rsidP="00DC21B6">
      <w:pPr>
        <w:pStyle w:val="af3"/>
        <w:rPr>
          <w:rFonts w:ascii="Traditional Arabic" w:hAnsi="Traditional Arabic"/>
          <w:sz w:val="32"/>
          <w:szCs w:val="32"/>
        </w:rPr>
      </w:pPr>
      <w:r w:rsidRPr="00363437">
        <w:rPr>
          <w:rFonts w:ascii="Traditional Arabic" w:hAnsi="Traditional Arabic"/>
          <w:sz w:val="32"/>
          <w:szCs w:val="32"/>
          <w:rtl/>
        </w:rPr>
        <w:t>(</w:t>
      </w:r>
      <w:r w:rsidRPr="00363437">
        <w:rPr>
          <w:rStyle w:val="ae"/>
          <w:rFonts w:ascii="Traditional Arabic" w:hAnsi="Traditional Arabic"/>
          <w:sz w:val="32"/>
          <w:szCs w:val="32"/>
          <w:vertAlign w:val="baseline"/>
        </w:rPr>
        <w:footnoteRef/>
      </w:r>
      <w:r w:rsidRPr="00363437">
        <w:rPr>
          <w:rFonts w:ascii="Traditional Arabic" w:hAnsi="Traditional Arabic"/>
          <w:sz w:val="32"/>
          <w:szCs w:val="32"/>
          <w:rtl/>
        </w:rPr>
        <w:t xml:space="preserve">) تفسير عبد الرزاق (2/335)، تفسير الطبري (18/25). </w:t>
      </w:r>
    </w:p>
  </w:footnote>
  <w:footnote w:id="1375">
    <w:p w:rsidR="003F128F" w:rsidRPr="00363437" w:rsidRDefault="003F128F" w:rsidP="00DC21B6">
      <w:pPr>
        <w:pStyle w:val="af3"/>
        <w:rPr>
          <w:rFonts w:ascii="Traditional Arabic" w:hAnsi="Traditional Arabic"/>
          <w:sz w:val="32"/>
          <w:szCs w:val="32"/>
        </w:rPr>
      </w:pPr>
      <w:r w:rsidRPr="00363437">
        <w:rPr>
          <w:rFonts w:ascii="Traditional Arabic" w:hAnsi="Traditional Arabic"/>
          <w:sz w:val="32"/>
          <w:szCs w:val="32"/>
          <w:rtl/>
        </w:rPr>
        <w:t>(</w:t>
      </w:r>
      <w:r w:rsidRPr="00363437">
        <w:rPr>
          <w:rStyle w:val="ae"/>
          <w:rFonts w:ascii="Traditional Arabic" w:hAnsi="Traditional Arabic"/>
          <w:sz w:val="32"/>
          <w:szCs w:val="32"/>
          <w:vertAlign w:val="baseline"/>
        </w:rPr>
        <w:footnoteRef/>
      </w:r>
      <w:r w:rsidRPr="00363437">
        <w:rPr>
          <w:rFonts w:ascii="Traditional Arabic" w:hAnsi="Traditional Arabic"/>
          <w:sz w:val="32"/>
          <w:szCs w:val="32"/>
          <w:rtl/>
        </w:rPr>
        <w:t>) تفسير الطبري (18/25), تفسير ابن أبي حاتم (7/2363).</w:t>
      </w:r>
    </w:p>
  </w:footnote>
  <w:footnote w:id="1376">
    <w:p w:rsidR="003F128F" w:rsidRPr="00363437" w:rsidRDefault="003F128F" w:rsidP="00DC21B6">
      <w:pPr>
        <w:pStyle w:val="af3"/>
        <w:rPr>
          <w:rFonts w:ascii="Traditional Arabic" w:hAnsi="Traditional Arabic"/>
          <w:sz w:val="32"/>
          <w:szCs w:val="32"/>
        </w:rPr>
      </w:pPr>
      <w:r w:rsidRPr="00363437">
        <w:rPr>
          <w:rFonts w:ascii="Traditional Arabic" w:hAnsi="Traditional Arabic"/>
          <w:sz w:val="32"/>
          <w:szCs w:val="32"/>
          <w:rtl/>
        </w:rPr>
        <w:t>(</w:t>
      </w:r>
      <w:r w:rsidRPr="00363437">
        <w:rPr>
          <w:rStyle w:val="ae"/>
          <w:rFonts w:ascii="Traditional Arabic" w:hAnsi="Traditional Arabic"/>
          <w:sz w:val="32"/>
          <w:szCs w:val="32"/>
          <w:vertAlign w:val="baseline"/>
        </w:rPr>
        <w:footnoteRef/>
      </w:r>
      <w:r w:rsidRPr="00363437">
        <w:rPr>
          <w:rFonts w:ascii="Traditional Arabic" w:hAnsi="Traditional Arabic"/>
          <w:sz w:val="32"/>
          <w:szCs w:val="32"/>
          <w:rtl/>
        </w:rPr>
        <w:t>) الكشف والبيان (6/171), معالم التنزيل (5/173).</w:t>
      </w:r>
    </w:p>
  </w:footnote>
  <w:footnote w:id="1377">
    <w:p w:rsidR="003F128F" w:rsidRPr="00363437" w:rsidRDefault="003F128F" w:rsidP="00DC21B6">
      <w:pPr>
        <w:pStyle w:val="af3"/>
        <w:rPr>
          <w:rFonts w:ascii="Traditional Arabic" w:hAnsi="Traditional Arabic"/>
          <w:sz w:val="32"/>
          <w:szCs w:val="32"/>
        </w:rPr>
      </w:pPr>
      <w:r w:rsidRPr="00363437">
        <w:rPr>
          <w:rFonts w:ascii="Traditional Arabic" w:hAnsi="Traditional Arabic"/>
          <w:sz w:val="32"/>
          <w:szCs w:val="32"/>
          <w:rtl/>
        </w:rPr>
        <w:t>(</w:t>
      </w:r>
      <w:r w:rsidRPr="00363437">
        <w:rPr>
          <w:rStyle w:val="ae"/>
          <w:rFonts w:ascii="Traditional Arabic" w:hAnsi="Traditional Arabic"/>
          <w:sz w:val="32"/>
          <w:szCs w:val="32"/>
          <w:vertAlign w:val="baseline"/>
        </w:rPr>
        <w:footnoteRef/>
      </w:r>
      <w:r w:rsidRPr="00363437">
        <w:rPr>
          <w:rFonts w:ascii="Traditional Arabic" w:hAnsi="Traditional Arabic"/>
          <w:sz w:val="32"/>
          <w:szCs w:val="32"/>
          <w:rtl/>
        </w:rPr>
        <w:t>) تفسير الطبري (18/25), الكشف والبيان (6/171).</w:t>
      </w:r>
    </w:p>
  </w:footnote>
  <w:footnote w:id="1378">
    <w:p w:rsidR="003F128F" w:rsidRPr="00363437" w:rsidRDefault="003F128F" w:rsidP="00DC21B6">
      <w:pPr>
        <w:pStyle w:val="af3"/>
        <w:rPr>
          <w:rFonts w:ascii="Traditional Arabic" w:hAnsi="Traditional Arabic"/>
          <w:sz w:val="32"/>
          <w:szCs w:val="32"/>
        </w:rPr>
      </w:pPr>
      <w:r w:rsidRPr="00363437">
        <w:rPr>
          <w:rFonts w:ascii="Traditional Arabic" w:hAnsi="Traditional Arabic"/>
          <w:sz w:val="32"/>
          <w:szCs w:val="32"/>
          <w:rtl/>
        </w:rPr>
        <w:t>(</w:t>
      </w:r>
      <w:r w:rsidRPr="00363437">
        <w:rPr>
          <w:rStyle w:val="ae"/>
          <w:rFonts w:ascii="Traditional Arabic" w:hAnsi="Traditional Arabic"/>
          <w:sz w:val="32"/>
          <w:szCs w:val="32"/>
          <w:vertAlign w:val="baseline"/>
        </w:rPr>
        <w:footnoteRef/>
      </w:r>
      <w:r w:rsidRPr="00363437">
        <w:rPr>
          <w:rFonts w:ascii="Traditional Arabic" w:hAnsi="Traditional Arabic"/>
          <w:sz w:val="32"/>
          <w:szCs w:val="32"/>
          <w:rtl/>
        </w:rPr>
        <w:t>) انظر: مجاز القرآن</w:t>
      </w:r>
      <w:r>
        <w:rPr>
          <w:rFonts w:ascii="Traditional Arabic" w:hAnsi="Traditional Arabic" w:hint="cs"/>
          <w:sz w:val="32"/>
          <w:szCs w:val="32"/>
          <w:rtl/>
        </w:rPr>
        <w:t xml:space="preserve"> لأبي عبيدة</w:t>
      </w:r>
      <w:r w:rsidRPr="00363437">
        <w:rPr>
          <w:rFonts w:ascii="Traditional Arabic" w:hAnsi="Traditional Arabic"/>
          <w:sz w:val="32"/>
          <w:szCs w:val="32"/>
          <w:rtl/>
        </w:rPr>
        <w:t xml:space="preserve"> (1/403), وغريب القرآن</w:t>
      </w:r>
      <w:r>
        <w:rPr>
          <w:rFonts w:ascii="Traditional Arabic" w:hAnsi="Traditional Arabic" w:hint="cs"/>
          <w:sz w:val="32"/>
          <w:szCs w:val="32"/>
          <w:rtl/>
        </w:rPr>
        <w:t xml:space="preserve"> لابن قتيبة</w:t>
      </w:r>
      <w:r w:rsidRPr="00363437">
        <w:rPr>
          <w:rFonts w:ascii="Traditional Arabic" w:hAnsi="Traditional Arabic"/>
          <w:sz w:val="32"/>
          <w:szCs w:val="32"/>
          <w:rtl/>
        </w:rPr>
        <w:t xml:space="preserve"> (ص267).</w:t>
      </w:r>
    </w:p>
  </w:footnote>
  <w:footnote w:id="1379">
    <w:p w:rsidR="003F128F" w:rsidRPr="00363437" w:rsidRDefault="003F128F" w:rsidP="00DC21B6">
      <w:pPr>
        <w:pStyle w:val="af3"/>
        <w:rPr>
          <w:rFonts w:ascii="Traditional Arabic" w:hAnsi="Traditional Arabic"/>
          <w:sz w:val="32"/>
          <w:szCs w:val="32"/>
        </w:rPr>
      </w:pPr>
      <w:r w:rsidRPr="00363437">
        <w:rPr>
          <w:rFonts w:ascii="Traditional Arabic" w:hAnsi="Traditional Arabic"/>
          <w:sz w:val="32"/>
          <w:szCs w:val="32"/>
          <w:rtl/>
        </w:rPr>
        <w:t>(</w:t>
      </w:r>
      <w:r w:rsidRPr="00363437">
        <w:rPr>
          <w:rStyle w:val="ae"/>
          <w:rFonts w:ascii="Traditional Arabic" w:hAnsi="Traditional Arabic"/>
          <w:sz w:val="32"/>
          <w:szCs w:val="32"/>
          <w:vertAlign w:val="baseline"/>
        </w:rPr>
        <w:footnoteRef/>
      </w:r>
      <w:r w:rsidRPr="00363437">
        <w:rPr>
          <w:rFonts w:ascii="Traditional Arabic" w:hAnsi="Traditional Arabic"/>
          <w:sz w:val="32"/>
          <w:szCs w:val="32"/>
          <w:rtl/>
        </w:rPr>
        <w:t>) هو أبو الحسن</w:t>
      </w:r>
      <w:r>
        <w:rPr>
          <w:rFonts w:ascii="Traditional Arabic" w:hAnsi="Traditional Arabic" w:hint="cs"/>
          <w:sz w:val="32"/>
          <w:szCs w:val="32"/>
          <w:rtl/>
        </w:rPr>
        <w:t>,</w:t>
      </w:r>
      <w:r w:rsidRPr="00363437">
        <w:rPr>
          <w:rFonts w:ascii="Traditional Arabic" w:hAnsi="Traditional Arabic"/>
          <w:sz w:val="32"/>
          <w:szCs w:val="32"/>
          <w:rtl/>
        </w:rPr>
        <w:t xml:space="preserve"> النَضْر بن شُمَيْل بن خَرَشَة بن يزيد بن كلثوم المازني, النحوي, البصري،</w:t>
      </w:r>
      <w:r w:rsidRPr="00363437">
        <w:rPr>
          <w:rFonts w:ascii="Traditional Arabic" w:hAnsi="Traditional Arabic"/>
          <w:sz w:val="32"/>
          <w:szCs w:val="32"/>
          <w:rtl/>
          <w:lang w:eastAsia="en-US"/>
        </w:rPr>
        <w:t xml:space="preserve"> </w:t>
      </w:r>
      <w:r w:rsidRPr="00363437">
        <w:rPr>
          <w:rFonts w:ascii="Traditional Arabic" w:hAnsi="Traditional Arabic"/>
          <w:sz w:val="32"/>
          <w:szCs w:val="32"/>
          <w:rtl/>
        </w:rPr>
        <w:t>كان عَالما بفنون من الْعلم</w:t>
      </w:r>
      <w:r>
        <w:rPr>
          <w:rFonts w:ascii="Traditional Arabic" w:hAnsi="Traditional Arabic" w:hint="cs"/>
          <w:sz w:val="32"/>
          <w:szCs w:val="32"/>
          <w:rtl/>
        </w:rPr>
        <w:t>,</w:t>
      </w:r>
      <w:r w:rsidRPr="00363437">
        <w:rPr>
          <w:rFonts w:ascii="Traditional Arabic" w:hAnsi="Traditional Arabic"/>
          <w:sz w:val="32"/>
          <w:szCs w:val="32"/>
          <w:rtl/>
        </w:rPr>
        <w:t xml:space="preserve"> صَدُوقًا</w:t>
      </w:r>
      <w:r>
        <w:rPr>
          <w:rFonts w:ascii="Traditional Arabic" w:hAnsi="Traditional Arabic" w:hint="cs"/>
          <w:sz w:val="32"/>
          <w:szCs w:val="32"/>
          <w:rtl/>
        </w:rPr>
        <w:t>,</w:t>
      </w:r>
      <w:r w:rsidRPr="00363437">
        <w:rPr>
          <w:rFonts w:ascii="Traditional Arabic" w:hAnsi="Traditional Arabic"/>
          <w:sz w:val="32"/>
          <w:szCs w:val="32"/>
          <w:rtl/>
        </w:rPr>
        <w:t xml:space="preserve"> ثِقَةً</w:t>
      </w:r>
      <w:r>
        <w:rPr>
          <w:rFonts w:ascii="Traditional Arabic" w:hAnsi="Traditional Arabic" w:hint="cs"/>
          <w:b/>
          <w:bCs/>
          <w:sz w:val="32"/>
          <w:szCs w:val="32"/>
          <w:rtl/>
        </w:rPr>
        <w:t>,</w:t>
      </w:r>
      <w:r w:rsidRPr="00363437">
        <w:rPr>
          <w:rFonts w:ascii="Traditional Arabic" w:hAnsi="Traditional Arabic"/>
          <w:b/>
          <w:bCs/>
          <w:sz w:val="32"/>
          <w:szCs w:val="32"/>
          <w:rtl/>
        </w:rPr>
        <w:t xml:space="preserve"> </w:t>
      </w:r>
      <w:r w:rsidRPr="00363437">
        <w:rPr>
          <w:rFonts w:ascii="Traditional Arabic" w:hAnsi="Traditional Arabic"/>
          <w:sz w:val="32"/>
          <w:szCs w:val="32"/>
          <w:rtl/>
        </w:rPr>
        <w:t>صاحب غريبٍ</w:t>
      </w:r>
      <w:r>
        <w:rPr>
          <w:rFonts w:ascii="Traditional Arabic" w:hAnsi="Traditional Arabic" w:hint="cs"/>
          <w:sz w:val="32"/>
          <w:szCs w:val="32"/>
          <w:rtl/>
        </w:rPr>
        <w:t>,</w:t>
      </w:r>
      <w:r w:rsidRPr="00363437">
        <w:rPr>
          <w:rFonts w:ascii="Traditional Arabic" w:hAnsi="Traditional Arabic"/>
          <w:sz w:val="32"/>
          <w:szCs w:val="32"/>
          <w:rtl/>
        </w:rPr>
        <w:t xml:space="preserve"> وفقهٍ</w:t>
      </w:r>
      <w:r>
        <w:rPr>
          <w:rFonts w:ascii="Traditional Arabic" w:hAnsi="Traditional Arabic" w:hint="cs"/>
          <w:sz w:val="32"/>
          <w:szCs w:val="32"/>
          <w:rtl/>
        </w:rPr>
        <w:t>,</w:t>
      </w:r>
      <w:r w:rsidRPr="00363437">
        <w:rPr>
          <w:rFonts w:ascii="Traditional Arabic" w:hAnsi="Traditional Arabic"/>
          <w:sz w:val="32"/>
          <w:szCs w:val="32"/>
          <w:rtl/>
        </w:rPr>
        <w:t xml:space="preserve"> وشعرٍ</w:t>
      </w:r>
      <w:r>
        <w:rPr>
          <w:rFonts w:ascii="Traditional Arabic" w:hAnsi="Traditional Arabic" w:hint="cs"/>
          <w:sz w:val="32"/>
          <w:szCs w:val="32"/>
          <w:rtl/>
        </w:rPr>
        <w:t>,</w:t>
      </w:r>
      <w:r w:rsidRPr="00363437">
        <w:rPr>
          <w:rFonts w:ascii="Traditional Arabic" w:hAnsi="Traditional Arabic"/>
          <w:sz w:val="32"/>
          <w:szCs w:val="32"/>
          <w:rtl/>
        </w:rPr>
        <w:t xml:space="preserve"> ومعرفةٍ بأيام العرب</w:t>
      </w:r>
      <w:r>
        <w:rPr>
          <w:rFonts w:ascii="Traditional Arabic" w:hAnsi="Traditional Arabic" w:hint="cs"/>
          <w:sz w:val="32"/>
          <w:szCs w:val="32"/>
          <w:rtl/>
        </w:rPr>
        <w:t>,</w:t>
      </w:r>
      <w:r w:rsidRPr="00363437">
        <w:rPr>
          <w:rFonts w:ascii="Traditional Arabic" w:hAnsi="Traditional Arabic"/>
          <w:sz w:val="32"/>
          <w:szCs w:val="32"/>
          <w:rtl/>
        </w:rPr>
        <w:t xml:space="preserve"> ورواية الحديث, كان أروى الناس عن شعبة, (ت204ه). انظر: وفيات الأعيان (5/397), تهذيب الكمال (29/397).</w:t>
      </w:r>
    </w:p>
  </w:footnote>
  <w:footnote w:id="1380">
    <w:p w:rsidR="003F128F" w:rsidRPr="00363437" w:rsidRDefault="003F128F" w:rsidP="00DC21B6">
      <w:pPr>
        <w:pStyle w:val="af3"/>
        <w:rPr>
          <w:rFonts w:ascii="Traditional Arabic" w:hAnsi="Traditional Arabic"/>
          <w:sz w:val="32"/>
          <w:szCs w:val="32"/>
        </w:rPr>
      </w:pPr>
      <w:r w:rsidRPr="00363437">
        <w:rPr>
          <w:rFonts w:ascii="Traditional Arabic" w:hAnsi="Traditional Arabic"/>
          <w:sz w:val="32"/>
          <w:szCs w:val="32"/>
          <w:rtl/>
        </w:rPr>
        <w:t>(</w:t>
      </w:r>
      <w:r w:rsidRPr="00363437">
        <w:rPr>
          <w:rStyle w:val="ae"/>
          <w:rFonts w:ascii="Traditional Arabic" w:hAnsi="Traditional Arabic"/>
          <w:sz w:val="32"/>
          <w:szCs w:val="32"/>
          <w:vertAlign w:val="baseline"/>
        </w:rPr>
        <w:footnoteRef/>
      </w:r>
      <w:r w:rsidRPr="00363437">
        <w:rPr>
          <w:rFonts w:ascii="Traditional Arabic" w:hAnsi="Traditional Arabic"/>
          <w:sz w:val="32"/>
          <w:szCs w:val="32"/>
          <w:rtl/>
        </w:rPr>
        <w:t>) التفسير الوسيط (3/149), رموز الكنوز (4/290).</w:t>
      </w:r>
    </w:p>
  </w:footnote>
  <w:footnote w:id="1381">
    <w:p w:rsidR="003F128F" w:rsidRPr="00A95723" w:rsidRDefault="003F128F" w:rsidP="00DC21B6">
      <w:pPr>
        <w:pStyle w:val="af3"/>
        <w:rPr>
          <w:rFonts w:ascii="Traditional Arabic" w:hAnsi="Traditional Arabic"/>
          <w:color w:val="auto"/>
          <w:sz w:val="32"/>
          <w:szCs w:val="32"/>
        </w:rPr>
      </w:pPr>
      <w:r w:rsidRPr="00A95723">
        <w:rPr>
          <w:rFonts w:ascii="Traditional Arabic" w:hAnsi="Traditional Arabic"/>
          <w:color w:val="auto"/>
          <w:sz w:val="32"/>
          <w:szCs w:val="32"/>
          <w:rtl/>
        </w:rPr>
        <w:t>(</w:t>
      </w:r>
      <w:r w:rsidRPr="00A95723">
        <w:rPr>
          <w:rStyle w:val="ae"/>
          <w:rFonts w:ascii="Traditional Arabic" w:hAnsi="Traditional Arabic"/>
          <w:color w:val="auto"/>
          <w:sz w:val="32"/>
          <w:szCs w:val="32"/>
          <w:vertAlign w:val="baseline"/>
        </w:rPr>
        <w:footnoteRef/>
      </w:r>
      <w:r w:rsidRPr="00A95723">
        <w:rPr>
          <w:rFonts w:ascii="Traditional Arabic" w:hAnsi="Traditional Arabic"/>
          <w:color w:val="auto"/>
          <w:sz w:val="32"/>
          <w:szCs w:val="32"/>
          <w:rtl/>
        </w:rPr>
        <w:t xml:space="preserve">) انظر: معاني القرآن وإعرابه (3/389).  </w:t>
      </w:r>
    </w:p>
  </w:footnote>
  <w:footnote w:id="1382">
    <w:p w:rsidR="003F128F" w:rsidRPr="0023058A" w:rsidRDefault="003F128F" w:rsidP="00DC21B6">
      <w:pPr>
        <w:pStyle w:val="af3"/>
        <w:rPr>
          <w:rFonts w:ascii="Traditional Arabic" w:hAnsi="Traditional Arabic"/>
          <w:color w:val="auto"/>
          <w:sz w:val="32"/>
          <w:szCs w:val="32"/>
        </w:rPr>
      </w:pPr>
      <w:r w:rsidRPr="0023058A">
        <w:rPr>
          <w:rFonts w:ascii="Traditional Arabic" w:hAnsi="Traditional Arabic"/>
          <w:color w:val="auto"/>
          <w:sz w:val="32"/>
          <w:szCs w:val="32"/>
          <w:rtl/>
        </w:rPr>
        <w:t>(</w:t>
      </w:r>
      <w:r w:rsidRPr="0023058A">
        <w:rPr>
          <w:rStyle w:val="ae"/>
          <w:rFonts w:ascii="Traditional Arabic" w:hAnsi="Traditional Arabic"/>
          <w:color w:val="auto"/>
          <w:sz w:val="32"/>
          <w:szCs w:val="32"/>
          <w:vertAlign w:val="baseline"/>
        </w:rPr>
        <w:footnoteRef/>
      </w:r>
      <w:r w:rsidRPr="0023058A">
        <w:rPr>
          <w:rFonts w:ascii="Traditional Arabic" w:hAnsi="Traditional Arabic"/>
          <w:color w:val="auto"/>
          <w:sz w:val="32"/>
          <w:szCs w:val="32"/>
          <w:rtl/>
        </w:rPr>
        <w:t>) انظر: غريب القرآن (ص267, 467).</w:t>
      </w:r>
    </w:p>
  </w:footnote>
  <w:footnote w:id="1383">
    <w:p w:rsidR="003F128F" w:rsidRPr="0023058A" w:rsidRDefault="003F128F" w:rsidP="00DC21B6">
      <w:pPr>
        <w:pStyle w:val="af3"/>
        <w:rPr>
          <w:rFonts w:ascii="Traditional Arabic" w:hAnsi="Traditional Arabic"/>
          <w:sz w:val="32"/>
          <w:szCs w:val="32"/>
        </w:rPr>
      </w:pPr>
      <w:r w:rsidRPr="0023058A">
        <w:rPr>
          <w:rFonts w:ascii="Traditional Arabic" w:hAnsi="Traditional Arabic"/>
          <w:sz w:val="32"/>
          <w:szCs w:val="32"/>
          <w:rtl/>
        </w:rPr>
        <w:t>(</w:t>
      </w:r>
      <w:r w:rsidRPr="0023058A">
        <w:rPr>
          <w:rStyle w:val="ae"/>
          <w:rFonts w:ascii="Traditional Arabic" w:hAnsi="Traditional Arabic"/>
          <w:sz w:val="32"/>
          <w:szCs w:val="32"/>
          <w:vertAlign w:val="baseline"/>
        </w:rPr>
        <w:footnoteRef/>
      </w:r>
      <w:r w:rsidRPr="0023058A">
        <w:rPr>
          <w:rFonts w:ascii="Traditional Arabic" w:hAnsi="Traditional Arabic"/>
          <w:sz w:val="32"/>
          <w:szCs w:val="32"/>
          <w:rtl/>
        </w:rPr>
        <w:t xml:space="preserve">) في (ك): [أثر تطلبه, ولا تناله]. </w:t>
      </w:r>
    </w:p>
  </w:footnote>
  <w:footnote w:id="1384">
    <w:p w:rsidR="003F128F" w:rsidRPr="0023058A" w:rsidRDefault="003F128F" w:rsidP="00DC21B6">
      <w:pPr>
        <w:pStyle w:val="af3"/>
        <w:rPr>
          <w:rFonts w:ascii="Traditional Arabic" w:hAnsi="Traditional Arabic"/>
          <w:color w:val="auto"/>
          <w:sz w:val="32"/>
          <w:szCs w:val="32"/>
        </w:rPr>
      </w:pPr>
      <w:r w:rsidRPr="0023058A">
        <w:rPr>
          <w:rFonts w:ascii="Traditional Arabic" w:hAnsi="Traditional Arabic"/>
          <w:color w:val="auto"/>
          <w:sz w:val="32"/>
          <w:szCs w:val="32"/>
          <w:rtl/>
        </w:rPr>
        <w:t>(</w:t>
      </w:r>
      <w:r w:rsidRPr="0023058A">
        <w:rPr>
          <w:rStyle w:val="ae"/>
          <w:rFonts w:ascii="Traditional Arabic" w:hAnsi="Traditional Arabic"/>
          <w:color w:val="auto"/>
          <w:sz w:val="32"/>
          <w:szCs w:val="32"/>
          <w:vertAlign w:val="baseline"/>
        </w:rPr>
        <w:footnoteRef/>
      </w:r>
      <w:r w:rsidRPr="0023058A">
        <w:rPr>
          <w:rFonts w:ascii="Traditional Arabic" w:hAnsi="Traditional Arabic"/>
          <w:color w:val="auto"/>
          <w:sz w:val="32"/>
          <w:szCs w:val="32"/>
          <w:rtl/>
        </w:rPr>
        <w:t>) التفسير الوسيط (3/149), رموز الكنوز (4/290). والأرشية: جمع رشاء وهو حبل الدَّلو. انظر: العين (6/281) مادة (رشو), تهذيب اللغة (11/279) مادة (رشا).</w:t>
      </w:r>
    </w:p>
  </w:footnote>
  <w:footnote w:id="1385">
    <w:p w:rsidR="003F128F" w:rsidRPr="0023058A" w:rsidRDefault="003F128F" w:rsidP="00DC21B6">
      <w:pPr>
        <w:pStyle w:val="af3"/>
        <w:rPr>
          <w:rFonts w:ascii="Traditional Arabic" w:hAnsi="Traditional Arabic"/>
          <w:sz w:val="32"/>
          <w:szCs w:val="32"/>
        </w:rPr>
      </w:pPr>
      <w:r w:rsidRPr="0023058A">
        <w:rPr>
          <w:rFonts w:ascii="Traditional Arabic" w:hAnsi="Traditional Arabic"/>
          <w:sz w:val="32"/>
          <w:szCs w:val="32"/>
          <w:rtl/>
        </w:rPr>
        <w:t>(</w:t>
      </w:r>
      <w:r w:rsidRPr="0023058A">
        <w:rPr>
          <w:rStyle w:val="ae"/>
          <w:rFonts w:ascii="Traditional Arabic" w:hAnsi="Traditional Arabic"/>
          <w:sz w:val="32"/>
          <w:szCs w:val="32"/>
          <w:vertAlign w:val="baseline"/>
        </w:rPr>
        <w:footnoteRef/>
      </w:r>
      <w:r w:rsidRPr="0023058A">
        <w:rPr>
          <w:rFonts w:ascii="Traditional Arabic" w:hAnsi="Traditional Arabic"/>
          <w:sz w:val="32"/>
          <w:szCs w:val="32"/>
          <w:rtl/>
        </w:rPr>
        <w:t>)</w:t>
      </w:r>
      <w:r w:rsidRPr="0023058A">
        <w:rPr>
          <w:rFonts w:ascii="Traditional Arabic" w:hAnsi="Traditional Arabic"/>
          <w:color w:val="auto"/>
          <w:sz w:val="32"/>
          <w:szCs w:val="32"/>
          <w:rtl/>
        </w:rPr>
        <w:t xml:space="preserve"> في (ك): [</w:t>
      </w:r>
      <w:r w:rsidRPr="00E7300D">
        <w:rPr>
          <w:rFonts w:ascii="QCF_BSML" w:hAnsi="QCF_BSML" w:cs="QCF_BSML"/>
          <w:rtl/>
          <w:lang w:eastAsia="en-US"/>
        </w:rPr>
        <w:t>ﭽ</w:t>
      </w:r>
      <w:r w:rsidRPr="00E7300D">
        <w:rPr>
          <w:rFonts w:ascii="QCF_P298" w:hAnsi="QCF_P298" w:cs="QCF_P298"/>
          <w:color w:val="auto"/>
          <w:rtl/>
          <w:lang w:eastAsia="en-US"/>
        </w:rPr>
        <w:t xml:space="preserve">ﮭ </w:t>
      </w:r>
      <w:r w:rsidRPr="00E7300D">
        <w:rPr>
          <w:rFonts w:ascii="QCF_BSML" w:hAnsi="QCF_BSML" w:cs="QCF_BSML"/>
          <w:rtl/>
          <w:lang w:eastAsia="en-US"/>
        </w:rPr>
        <w:t>ﭼ</w:t>
      </w:r>
      <w:r w:rsidRPr="0023058A">
        <w:rPr>
          <w:rFonts w:ascii="Traditional Arabic" w:hAnsi="Traditional Arabic"/>
          <w:sz w:val="32"/>
          <w:szCs w:val="32"/>
          <w:rtl/>
        </w:rPr>
        <w:t xml:space="preserve"> أي: إِذا غوَّر]</w:t>
      </w:r>
      <w:r w:rsidRPr="0023058A">
        <w:rPr>
          <w:rFonts w:ascii="Traditional Arabic" w:hAnsi="Traditional Arabic"/>
          <w:color w:val="auto"/>
          <w:sz w:val="32"/>
          <w:szCs w:val="32"/>
          <w:rtl/>
        </w:rPr>
        <w:t xml:space="preserve">. </w:t>
      </w:r>
      <w:r w:rsidRPr="0023058A">
        <w:rPr>
          <w:rFonts w:ascii="Traditional Arabic" w:hAnsi="Traditional Arabic"/>
          <w:sz w:val="32"/>
          <w:szCs w:val="32"/>
          <w:rtl/>
        </w:rPr>
        <w:t xml:space="preserve">  </w:t>
      </w:r>
    </w:p>
  </w:footnote>
  <w:footnote w:id="1386">
    <w:p w:rsidR="003F128F" w:rsidRPr="0023058A" w:rsidRDefault="003F128F" w:rsidP="00DC21B6">
      <w:pPr>
        <w:pStyle w:val="af3"/>
        <w:rPr>
          <w:rFonts w:ascii="Traditional Arabic" w:hAnsi="Traditional Arabic"/>
          <w:color w:val="auto"/>
          <w:sz w:val="32"/>
          <w:szCs w:val="32"/>
        </w:rPr>
      </w:pPr>
      <w:r w:rsidRPr="0023058A">
        <w:rPr>
          <w:rFonts w:ascii="Traditional Arabic" w:hAnsi="Traditional Arabic"/>
          <w:color w:val="auto"/>
          <w:sz w:val="32"/>
          <w:szCs w:val="32"/>
          <w:rtl/>
        </w:rPr>
        <w:t>(</w:t>
      </w:r>
      <w:r w:rsidRPr="0023058A">
        <w:rPr>
          <w:rStyle w:val="ae"/>
          <w:rFonts w:ascii="Traditional Arabic" w:hAnsi="Traditional Arabic"/>
          <w:color w:val="auto"/>
          <w:sz w:val="32"/>
          <w:szCs w:val="32"/>
          <w:vertAlign w:val="baseline"/>
        </w:rPr>
        <w:footnoteRef/>
      </w:r>
      <w:r w:rsidRPr="0023058A">
        <w:rPr>
          <w:rFonts w:ascii="Traditional Arabic" w:hAnsi="Traditional Arabic"/>
          <w:color w:val="auto"/>
          <w:sz w:val="32"/>
          <w:szCs w:val="32"/>
          <w:rtl/>
        </w:rPr>
        <w:t xml:space="preserve">) انظر: رموز الكنوز (4/291).  </w:t>
      </w:r>
    </w:p>
  </w:footnote>
  <w:footnote w:id="1387">
    <w:p w:rsidR="003F128F" w:rsidRPr="0023058A" w:rsidRDefault="003F128F" w:rsidP="00DC21B6">
      <w:pPr>
        <w:pStyle w:val="af3"/>
        <w:rPr>
          <w:rFonts w:ascii="Traditional Arabic" w:hAnsi="Traditional Arabic"/>
          <w:sz w:val="32"/>
          <w:szCs w:val="32"/>
        </w:rPr>
      </w:pPr>
      <w:r w:rsidRPr="0023058A">
        <w:rPr>
          <w:rFonts w:ascii="Traditional Arabic" w:hAnsi="Traditional Arabic"/>
          <w:sz w:val="32"/>
          <w:szCs w:val="32"/>
          <w:rtl/>
        </w:rPr>
        <w:t>(</w:t>
      </w:r>
      <w:r w:rsidRPr="0023058A">
        <w:rPr>
          <w:rStyle w:val="ae"/>
          <w:rFonts w:ascii="Traditional Arabic" w:hAnsi="Traditional Arabic"/>
          <w:sz w:val="32"/>
          <w:szCs w:val="32"/>
          <w:vertAlign w:val="baseline"/>
        </w:rPr>
        <w:footnoteRef/>
      </w:r>
      <w:r w:rsidRPr="0023058A">
        <w:rPr>
          <w:rFonts w:ascii="Traditional Arabic" w:hAnsi="Traditional Arabic"/>
          <w:sz w:val="32"/>
          <w:szCs w:val="32"/>
          <w:rtl/>
        </w:rPr>
        <w:t xml:space="preserve">) في (ك): [وقرأ أبو المتوكّل وأبو الجوزاء]. </w:t>
      </w:r>
    </w:p>
  </w:footnote>
  <w:footnote w:id="1388">
    <w:p w:rsidR="003F128F" w:rsidRPr="0023058A" w:rsidRDefault="003F128F" w:rsidP="00DC21B6">
      <w:pPr>
        <w:pStyle w:val="af3"/>
        <w:rPr>
          <w:rFonts w:ascii="Traditional Arabic" w:hAnsi="Traditional Arabic"/>
          <w:sz w:val="32"/>
          <w:szCs w:val="32"/>
        </w:rPr>
      </w:pPr>
      <w:r w:rsidRPr="0023058A">
        <w:rPr>
          <w:rFonts w:ascii="Traditional Arabic" w:hAnsi="Traditional Arabic"/>
          <w:sz w:val="32"/>
          <w:szCs w:val="32"/>
          <w:rtl/>
        </w:rPr>
        <w:t>(</w:t>
      </w:r>
      <w:r w:rsidRPr="0023058A">
        <w:rPr>
          <w:rStyle w:val="ae"/>
          <w:rFonts w:ascii="Traditional Arabic" w:hAnsi="Traditional Arabic"/>
          <w:sz w:val="32"/>
          <w:szCs w:val="32"/>
          <w:vertAlign w:val="baseline"/>
        </w:rPr>
        <w:footnoteRef/>
      </w:r>
      <w:r w:rsidRPr="0023058A">
        <w:rPr>
          <w:rFonts w:ascii="Traditional Arabic" w:hAnsi="Traditional Arabic"/>
          <w:sz w:val="32"/>
          <w:szCs w:val="32"/>
          <w:rtl/>
        </w:rPr>
        <w:t xml:space="preserve">) في الأصل: "غوراً برفع الغين والواو جميعاً", والمثبت من (ك). </w:t>
      </w:r>
    </w:p>
  </w:footnote>
  <w:footnote w:id="1389">
    <w:p w:rsidR="003F128F" w:rsidRPr="0023058A" w:rsidRDefault="003F128F" w:rsidP="00DC21B6">
      <w:pPr>
        <w:pStyle w:val="af3"/>
        <w:rPr>
          <w:rFonts w:ascii="Traditional Arabic" w:hAnsi="Traditional Arabic"/>
          <w:sz w:val="32"/>
          <w:szCs w:val="32"/>
        </w:rPr>
      </w:pPr>
      <w:r w:rsidRPr="0023058A">
        <w:rPr>
          <w:rFonts w:ascii="Traditional Arabic" w:hAnsi="Traditional Arabic"/>
          <w:color w:val="auto"/>
          <w:sz w:val="32"/>
          <w:szCs w:val="32"/>
          <w:rtl/>
        </w:rPr>
        <w:t>(</w:t>
      </w:r>
      <w:r w:rsidRPr="0023058A">
        <w:rPr>
          <w:rStyle w:val="ae"/>
          <w:rFonts w:ascii="Traditional Arabic" w:hAnsi="Traditional Arabic"/>
          <w:color w:val="auto"/>
          <w:sz w:val="32"/>
          <w:szCs w:val="32"/>
          <w:vertAlign w:val="baseline"/>
        </w:rPr>
        <w:footnoteRef/>
      </w:r>
      <w:r w:rsidRPr="0023058A">
        <w:rPr>
          <w:rFonts w:ascii="Traditional Arabic" w:hAnsi="Traditional Arabic"/>
          <w:color w:val="auto"/>
          <w:sz w:val="32"/>
          <w:szCs w:val="32"/>
          <w:rtl/>
        </w:rPr>
        <w:t>) انظر: البحر المحيط (7/180), الدر المصون للسمين الحلبي (7/497), اللباب لابن عادل (12/494), كلهم ذكر القراءة غير منسوبة.</w:t>
      </w:r>
    </w:p>
  </w:footnote>
  <w:footnote w:id="1390">
    <w:p w:rsidR="003F128F" w:rsidRPr="00AF4699" w:rsidRDefault="003F128F" w:rsidP="00251FC4">
      <w:pPr>
        <w:pStyle w:val="af3"/>
        <w:rPr>
          <w:rFonts w:ascii="Traditional Arabic" w:hAnsi="Traditional Arabic"/>
          <w:sz w:val="32"/>
          <w:szCs w:val="32"/>
        </w:rPr>
      </w:pPr>
      <w:r w:rsidRPr="0023058A">
        <w:rPr>
          <w:rFonts w:ascii="Traditional Arabic" w:hAnsi="Traditional Arabic"/>
          <w:sz w:val="32"/>
          <w:szCs w:val="32"/>
          <w:rtl/>
        </w:rPr>
        <w:t>(</w:t>
      </w:r>
      <w:r w:rsidRPr="0023058A">
        <w:rPr>
          <w:rStyle w:val="ae"/>
          <w:rFonts w:ascii="Traditional Arabic" w:hAnsi="Traditional Arabic"/>
          <w:sz w:val="32"/>
          <w:szCs w:val="32"/>
          <w:vertAlign w:val="baseline"/>
        </w:rPr>
        <w:footnoteRef/>
      </w:r>
      <w:r w:rsidRPr="0023058A">
        <w:rPr>
          <w:rFonts w:ascii="Traditional Arabic" w:hAnsi="Traditional Arabic"/>
          <w:sz w:val="32"/>
          <w:szCs w:val="32"/>
          <w:rtl/>
        </w:rPr>
        <w:t>) سبق ذكره في (</w:t>
      </w:r>
      <w:r>
        <w:rPr>
          <w:rFonts w:ascii="Traditional Arabic" w:hAnsi="Traditional Arabic" w:hint="cs"/>
          <w:sz w:val="32"/>
          <w:szCs w:val="32"/>
          <w:rtl/>
        </w:rPr>
        <w:t>ص215</w:t>
      </w:r>
      <w:r w:rsidRPr="0023058A">
        <w:rPr>
          <w:rFonts w:ascii="Traditional Arabic" w:hAnsi="Traditional Arabic"/>
          <w:sz w:val="32"/>
          <w:szCs w:val="32"/>
          <w:rtl/>
        </w:rPr>
        <w:t>).</w:t>
      </w:r>
      <w:r w:rsidRPr="00E7300D">
        <w:rPr>
          <w:rFonts w:ascii="Traditional Arabic" w:hAnsi="Traditional Arabic"/>
          <w:rtl/>
        </w:rPr>
        <w:t xml:space="preserve"> </w:t>
      </w:r>
    </w:p>
  </w:footnote>
  <w:footnote w:id="1391">
    <w:p w:rsidR="003F128F" w:rsidRPr="00AF4699" w:rsidRDefault="003F128F" w:rsidP="00DC21B6">
      <w:pPr>
        <w:pStyle w:val="af3"/>
        <w:rPr>
          <w:rFonts w:ascii="Traditional Arabic" w:hAnsi="Traditional Arabic"/>
          <w:sz w:val="32"/>
          <w:szCs w:val="32"/>
        </w:rPr>
      </w:pPr>
      <w:r w:rsidRPr="00AF4699">
        <w:rPr>
          <w:rFonts w:ascii="Traditional Arabic" w:hAnsi="Traditional Arabic"/>
          <w:sz w:val="32"/>
          <w:szCs w:val="32"/>
          <w:rtl/>
        </w:rPr>
        <w:t>(</w:t>
      </w:r>
      <w:r w:rsidRPr="00AF4699">
        <w:rPr>
          <w:rStyle w:val="ae"/>
          <w:rFonts w:ascii="Traditional Arabic" w:hAnsi="Traditional Arabic"/>
          <w:sz w:val="32"/>
          <w:szCs w:val="32"/>
          <w:vertAlign w:val="baseline"/>
        </w:rPr>
        <w:footnoteRef/>
      </w:r>
      <w:r w:rsidRPr="00AF4699">
        <w:rPr>
          <w:rFonts w:ascii="Traditional Arabic" w:hAnsi="Traditional Arabic"/>
          <w:sz w:val="32"/>
          <w:szCs w:val="32"/>
          <w:rtl/>
        </w:rPr>
        <w:t xml:space="preserve">) انظر: معاني القرآن وإعرابه (3/389), الكشف والبيان (6/172).  </w:t>
      </w:r>
    </w:p>
  </w:footnote>
  <w:footnote w:id="1392">
    <w:p w:rsidR="003F128F" w:rsidRPr="00AF4699" w:rsidRDefault="003F128F" w:rsidP="00DC21B6">
      <w:pPr>
        <w:pStyle w:val="af3"/>
        <w:rPr>
          <w:rFonts w:ascii="Traditional Arabic" w:hAnsi="Traditional Arabic"/>
          <w:sz w:val="32"/>
          <w:szCs w:val="32"/>
        </w:rPr>
      </w:pPr>
      <w:r w:rsidRPr="00AF4699">
        <w:rPr>
          <w:rFonts w:ascii="Traditional Arabic" w:hAnsi="Traditional Arabic"/>
          <w:sz w:val="32"/>
          <w:szCs w:val="32"/>
          <w:rtl/>
        </w:rPr>
        <w:t>(</w:t>
      </w:r>
      <w:r w:rsidRPr="00AF4699">
        <w:rPr>
          <w:rStyle w:val="ae"/>
          <w:rFonts w:ascii="Traditional Arabic" w:hAnsi="Traditional Arabic"/>
          <w:sz w:val="32"/>
          <w:szCs w:val="32"/>
          <w:vertAlign w:val="baseline"/>
        </w:rPr>
        <w:footnoteRef/>
      </w:r>
      <w:r w:rsidRPr="00AF4699">
        <w:rPr>
          <w:rFonts w:ascii="Traditional Arabic" w:hAnsi="Traditional Arabic"/>
          <w:sz w:val="32"/>
          <w:szCs w:val="32"/>
          <w:rtl/>
        </w:rPr>
        <w:t>) في (ك): [ما أنذره به أخوه].</w:t>
      </w:r>
    </w:p>
  </w:footnote>
  <w:footnote w:id="1393">
    <w:p w:rsidR="003F128F" w:rsidRPr="00AF4699" w:rsidRDefault="003F128F" w:rsidP="00DC21B6">
      <w:pPr>
        <w:pStyle w:val="af3"/>
        <w:rPr>
          <w:rFonts w:ascii="Traditional Arabic" w:hAnsi="Traditional Arabic"/>
          <w:sz w:val="32"/>
          <w:szCs w:val="32"/>
        </w:rPr>
      </w:pPr>
      <w:r w:rsidRPr="00AF4699">
        <w:rPr>
          <w:rFonts w:ascii="Traditional Arabic" w:hAnsi="Traditional Arabic"/>
          <w:sz w:val="32"/>
          <w:szCs w:val="32"/>
          <w:rtl/>
        </w:rPr>
        <w:t>(</w:t>
      </w:r>
      <w:r w:rsidRPr="00AF4699">
        <w:rPr>
          <w:rStyle w:val="ae"/>
          <w:rFonts w:ascii="Traditional Arabic" w:hAnsi="Traditional Arabic"/>
          <w:sz w:val="32"/>
          <w:szCs w:val="32"/>
          <w:vertAlign w:val="baseline"/>
        </w:rPr>
        <w:footnoteRef/>
      </w:r>
      <w:r w:rsidRPr="00AF4699">
        <w:rPr>
          <w:rFonts w:ascii="Traditional Arabic" w:hAnsi="Traditional Arabic"/>
          <w:sz w:val="32"/>
          <w:szCs w:val="32"/>
          <w:rtl/>
        </w:rPr>
        <w:t>) انظر: الهداية (6/4388), التفسير الوسيط (3/149).</w:t>
      </w:r>
    </w:p>
  </w:footnote>
  <w:footnote w:id="1394">
    <w:p w:rsidR="003F128F" w:rsidRPr="00AF4699" w:rsidRDefault="003F128F" w:rsidP="00DC21B6">
      <w:pPr>
        <w:pStyle w:val="af3"/>
        <w:rPr>
          <w:rFonts w:ascii="Traditional Arabic" w:hAnsi="Traditional Arabic"/>
          <w:sz w:val="32"/>
          <w:szCs w:val="32"/>
        </w:rPr>
      </w:pPr>
      <w:r w:rsidRPr="00AF4699">
        <w:rPr>
          <w:rFonts w:ascii="Traditional Arabic" w:hAnsi="Traditional Arabic"/>
          <w:sz w:val="32"/>
          <w:szCs w:val="32"/>
          <w:rtl/>
        </w:rPr>
        <w:t>(</w:t>
      </w:r>
      <w:r w:rsidRPr="00AF4699">
        <w:rPr>
          <w:rStyle w:val="ae"/>
          <w:rFonts w:ascii="Traditional Arabic" w:hAnsi="Traditional Arabic"/>
          <w:sz w:val="32"/>
          <w:szCs w:val="32"/>
          <w:vertAlign w:val="baseline"/>
        </w:rPr>
        <w:footnoteRef/>
      </w:r>
      <w:r w:rsidRPr="00AF4699">
        <w:rPr>
          <w:rFonts w:ascii="Traditional Arabic" w:hAnsi="Traditional Arabic"/>
          <w:sz w:val="32"/>
          <w:szCs w:val="32"/>
          <w:rtl/>
        </w:rPr>
        <w:t>) في (ك): [إِنما يقول هذا يوم القيامة].</w:t>
      </w:r>
    </w:p>
  </w:footnote>
  <w:footnote w:id="1395">
    <w:p w:rsidR="003F128F" w:rsidRPr="00AF4699" w:rsidRDefault="003F128F" w:rsidP="00DC21B6">
      <w:pPr>
        <w:pStyle w:val="af3"/>
        <w:rPr>
          <w:rFonts w:ascii="Traditional Arabic" w:hAnsi="Traditional Arabic"/>
          <w:sz w:val="32"/>
          <w:szCs w:val="32"/>
          <w:rtl/>
        </w:rPr>
      </w:pPr>
      <w:r w:rsidRPr="00AF4699">
        <w:rPr>
          <w:rFonts w:ascii="Traditional Arabic" w:hAnsi="Traditional Arabic"/>
          <w:sz w:val="32"/>
          <w:szCs w:val="32"/>
          <w:rtl/>
        </w:rPr>
        <w:t>(</w:t>
      </w:r>
      <w:r w:rsidRPr="00AF4699">
        <w:rPr>
          <w:rStyle w:val="ae"/>
          <w:rFonts w:ascii="Traditional Arabic" w:hAnsi="Traditional Arabic"/>
          <w:sz w:val="32"/>
          <w:szCs w:val="32"/>
          <w:vertAlign w:val="baseline"/>
        </w:rPr>
        <w:footnoteRef/>
      </w:r>
      <w:r w:rsidRPr="00AF4699">
        <w:rPr>
          <w:rFonts w:ascii="Traditional Arabic" w:hAnsi="Traditional Arabic"/>
          <w:sz w:val="32"/>
          <w:szCs w:val="32"/>
          <w:rtl/>
        </w:rPr>
        <w:t>) انظر: تفسير يحيى بن سلام (1/188), بحر العلوم (2/348), الهداية (6/4389) كلهم غير منسوب.</w:t>
      </w:r>
    </w:p>
  </w:footnote>
  <w:footnote w:id="1396">
    <w:p w:rsidR="003F128F" w:rsidRPr="00AF4699" w:rsidRDefault="003F128F" w:rsidP="00DC21B6">
      <w:pPr>
        <w:pStyle w:val="af3"/>
        <w:rPr>
          <w:rFonts w:ascii="Traditional Arabic" w:hAnsi="Traditional Arabic"/>
          <w:sz w:val="32"/>
          <w:szCs w:val="32"/>
        </w:rPr>
      </w:pPr>
      <w:r w:rsidRPr="00AF4699">
        <w:rPr>
          <w:rFonts w:ascii="Traditional Arabic" w:hAnsi="Traditional Arabic"/>
          <w:sz w:val="32"/>
          <w:szCs w:val="32"/>
          <w:rtl/>
        </w:rPr>
        <w:t>(</w:t>
      </w:r>
      <w:r w:rsidRPr="00AF4699">
        <w:rPr>
          <w:rStyle w:val="ae"/>
          <w:rFonts w:ascii="Traditional Arabic" w:hAnsi="Traditional Arabic"/>
          <w:sz w:val="32"/>
          <w:szCs w:val="32"/>
          <w:vertAlign w:val="baseline"/>
        </w:rPr>
        <w:footnoteRef/>
      </w:r>
      <w:r w:rsidRPr="00AF4699">
        <w:rPr>
          <w:rFonts w:ascii="Traditional Arabic" w:hAnsi="Traditional Arabic"/>
          <w:sz w:val="32"/>
          <w:szCs w:val="32"/>
          <w:rtl/>
        </w:rPr>
        <w:t>) انظر: السبعة في القراءات (ص392), معاني القراءات (2/111).</w:t>
      </w:r>
    </w:p>
  </w:footnote>
  <w:footnote w:id="1397">
    <w:p w:rsidR="003F128F" w:rsidRPr="00A95723" w:rsidRDefault="003F128F" w:rsidP="00DC21B6">
      <w:pPr>
        <w:pStyle w:val="af3"/>
        <w:rPr>
          <w:rFonts w:ascii="Traditional Arabic" w:hAnsi="Traditional Arabic"/>
          <w:sz w:val="32"/>
          <w:szCs w:val="32"/>
        </w:rPr>
      </w:pPr>
      <w:r w:rsidRPr="00AF4699">
        <w:rPr>
          <w:rFonts w:ascii="Traditional Arabic" w:hAnsi="Traditional Arabic"/>
          <w:sz w:val="32"/>
          <w:szCs w:val="32"/>
          <w:rtl/>
        </w:rPr>
        <w:t>(</w:t>
      </w:r>
      <w:r w:rsidRPr="00AF4699">
        <w:rPr>
          <w:rStyle w:val="ae"/>
          <w:rFonts w:ascii="Traditional Arabic" w:hAnsi="Traditional Arabic"/>
          <w:sz w:val="32"/>
          <w:szCs w:val="32"/>
          <w:vertAlign w:val="baseline"/>
        </w:rPr>
        <w:footnoteRef/>
      </w:r>
      <w:r w:rsidRPr="00AF4699">
        <w:rPr>
          <w:rFonts w:ascii="Traditional Arabic" w:hAnsi="Traditional Arabic"/>
          <w:sz w:val="32"/>
          <w:szCs w:val="32"/>
          <w:rtl/>
        </w:rPr>
        <w:t>) انظر: الكشف والبيان (6/172), معالم التنزيل (5/173).</w:t>
      </w:r>
      <w:r w:rsidRPr="00A95723">
        <w:rPr>
          <w:rFonts w:ascii="Traditional Arabic" w:hAnsi="Traditional Arabic"/>
          <w:sz w:val="32"/>
          <w:szCs w:val="32"/>
          <w:rtl/>
        </w:rPr>
        <w:t xml:space="preserve">  </w:t>
      </w:r>
    </w:p>
  </w:footnote>
  <w:footnote w:id="1398">
    <w:p w:rsidR="003F128F" w:rsidRPr="00C01675" w:rsidRDefault="003F128F" w:rsidP="00DC21B6">
      <w:pPr>
        <w:pStyle w:val="af3"/>
        <w:rPr>
          <w:rFonts w:ascii="Traditional Arabic" w:hAnsi="Traditional Arabic"/>
          <w:sz w:val="32"/>
          <w:szCs w:val="32"/>
        </w:rPr>
      </w:pPr>
      <w:r w:rsidRPr="00C01675">
        <w:rPr>
          <w:rFonts w:ascii="Traditional Arabic" w:hAnsi="Traditional Arabic"/>
          <w:sz w:val="32"/>
          <w:szCs w:val="32"/>
          <w:rtl/>
        </w:rPr>
        <w:t>(</w:t>
      </w:r>
      <w:r w:rsidRPr="00C01675">
        <w:rPr>
          <w:rStyle w:val="ae"/>
          <w:rFonts w:ascii="Traditional Arabic" w:hAnsi="Traditional Arabic"/>
          <w:sz w:val="32"/>
          <w:szCs w:val="32"/>
          <w:vertAlign w:val="baseline"/>
        </w:rPr>
        <w:footnoteRef/>
      </w:r>
      <w:r w:rsidRPr="00C01675">
        <w:rPr>
          <w:rFonts w:ascii="Traditional Arabic" w:hAnsi="Traditional Arabic"/>
          <w:sz w:val="32"/>
          <w:szCs w:val="32"/>
          <w:rtl/>
        </w:rPr>
        <w:t>)</w:t>
      </w:r>
      <w:r>
        <w:rPr>
          <w:rFonts w:ascii="Traditional Arabic" w:hAnsi="Traditional Arabic" w:hint="cs"/>
          <w:sz w:val="32"/>
          <w:szCs w:val="32"/>
          <w:rtl/>
        </w:rPr>
        <w:t xml:space="preserve"> </w:t>
      </w:r>
      <w:r w:rsidRPr="00C01675">
        <w:rPr>
          <w:rFonts w:ascii="Traditional Arabic" w:hAnsi="Traditional Arabic"/>
          <w:sz w:val="32"/>
          <w:szCs w:val="32"/>
          <w:rtl/>
        </w:rPr>
        <w:t xml:space="preserve">انظر: السبعة في القراءات (ص392), الحجة للقراء السبعة (2/111). </w:t>
      </w:r>
    </w:p>
  </w:footnote>
  <w:footnote w:id="1399">
    <w:p w:rsidR="003F128F" w:rsidRPr="00C01675" w:rsidRDefault="003F128F" w:rsidP="00DC21B6">
      <w:pPr>
        <w:pStyle w:val="af3"/>
        <w:rPr>
          <w:rFonts w:ascii="Traditional Arabic" w:hAnsi="Traditional Arabic"/>
          <w:sz w:val="32"/>
          <w:szCs w:val="32"/>
        </w:rPr>
      </w:pPr>
      <w:r w:rsidRPr="00C01675">
        <w:rPr>
          <w:rFonts w:ascii="Traditional Arabic" w:hAnsi="Traditional Arabic"/>
          <w:sz w:val="32"/>
          <w:szCs w:val="32"/>
          <w:rtl/>
        </w:rPr>
        <w:t>(</w:t>
      </w:r>
      <w:r w:rsidRPr="00C01675">
        <w:rPr>
          <w:rStyle w:val="ae"/>
          <w:rFonts w:ascii="Traditional Arabic" w:hAnsi="Traditional Arabic"/>
          <w:sz w:val="32"/>
          <w:szCs w:val="32"/>
          <w:vertAlign w:val="baseline"/>
        </w:rPr>
        <w:footnoteRef/>
      </w:r>
      <w:r w:rsidRPr="00C01675">
        <w:rPr>
          <w:rFonts w:ascii="Traditional Arabic" w:hAnsi="Traditional Arabic"/>
          <w:sz w:val="32"/>
          <w:szCs w:val="32"/>
          <w:rtl/>
        </w:rPr>
        <w:t>) ما بين المعكوفتين ساقط من الأصل, والمثبت من (ك)</w:t>
      </w:r>
      <w:r>
        <w:rPr>
          <w:rFonts w:ascii="Traditional Arabic" w:hAnsi="Traditional Arabic" w:hint="cs"/>
          <w:sz w:val="32"/>
          <w:szCs w:val="32"/>
          <w:rtl/>
        </w:rPr>
        <w:t xml:space="preserve"> وهو موافق لما في كتاب </w:t>
      </w:r>
      <w:r w:rsidRPr="00C01675">
        <w:rPr>
          <w:rFonts w:ascii="Traditional Arabic" w:hAnsi="Traditional Arabic"/>
          <w:sz w:val="32"/>
          <w:szCs w:val="32"/>
          <w:rtl/>
        </w:rPr>
        <w:t xml:space="preserve">معاني القرآن وإعرابه.  </w:t>
      </w:r>
    </w:p>
  </w:footnote>
  <w:footnote w:id="1400">
    <w:p w:rsidR="003F128F" w:rsidRPr="00C01675" w:rsidRDefault="003F128F" w:rsidP="00DC21B6">
      <w:pPr>
        <w:pStyle w:val="af3"/>
        <w:rPr>
          <w:rFonts w:ascii="Traditional Arabic" w:hAnsi="Traditional Arabic"/>
          <w:sz w:val="32"/>
          <w:szCs w:val="32"/>
        </w:rPr>
      </w:pPr>
      <w:r w:rsidRPr="00C01675">
        <w:rPr>
          <w:rFonts w:ascii="Traditional Arabic" w:hAnsi="Traditional Arabic"/>
          <w:sz w:val="32"/>
          <w:szCs w:val="32"/>
          <w:rtl/>
        </w:rPr>
        <w:t>(</w:t>
      </w:r>
      <w:r w:rsidRPr="00C01675">
        <w:rPr>
          <w:rStyle w:val="ae"/>
          <w:rFonts w:ascii="Traditional Arabic" w:hAnsi="Traditional Arabic"/>
          <w:sz w:val="32"/>
          <w:szCs w:val="32"/>
          <w:vertAlign w:val="baseline"/>
        </w:rPr>
        <w:footnoteRef/>
      </w:r>
      <w:r w:rsidRPr="00C01675">
        <w:rPr>
          <w:rFonts w:ascii="Traditional Arabic" w:hAnsi="Traditional Arabic"/>
          <w:sz w:val="32"/>
          <w:szCs w:val="32"/>
          <w:rtl/>
        </w:rPr>
        <w:t>) انظر: معاني القرآن وإعرابه (3/290).</w:t>
      </w:r>
    </w:p>
  </w:footnote>
  <w:footnote w:id="1401">
    <w:p w:rsidR="003F128F" w:rsidRPr="00E7300D" w:rsidRDefault="003F128F" w:rsidP="00DC21B6">
      <w:pPr>
        <w:pStyle w:val="af3"/>
        <w:rPr>
          <w:rFonts w:ascii="Traditional Arabic" w:hAnsi="Traditional Arabic"/>
          <w:sz w:val="32"/>
          <w:szCs w:val="32"/>
        </w:rPr>
      </w:pPr>
      <w:r w:rsidRPr="00E7300D">
        <w:rPr>
          <w:rFonts w:ascii="Traditional Arabic" w:hAnsi="Traditional Arabic"/>
          <w:sz w:val="32"/>
          <w:szCs w:val="32"/>
          <w:rtl/>
        </w:rPr>
        <w:t>(</w:t>
      </w:r>
      <w:r w:rsidRPr="00E7300D">
        <w:rPr>
          <w:rStyle w:val="ae"/>
          <w:rFonts w:ascii="Traditional Arabic" w:hAnsi="Traditional Arabic"/>
          <w:sz w:val="32"/>
          <w:szCs w:val="32"/>
          <w:vertAlign w:val="baseline"/>
        </w:rPr>
        <w:footnoteRef/>
      </w:r>
      <w:r w:rsidRPr="00E7300D">
        <w:rPr>
          <w:rFonts w:ascii="Traditional Arabic" w:hAnsi="Traditional Arabic"/>
          <w:sz w:val="32"/>
          <w:szCs w:val="32"/>
          <w:rtl/>
        </w:rPr>
        <w:t>) انظر: الكشف والبيان (6/172), التفسير الوسيط (3/150).</w:t>
      </w:r>
    </w:p>
  </w:footnote>
  <w:footnote w:id="1402">
    <w:p w:rsidR="003F128F" w:rsidRPr="00E7300D" w:rsidRDefault="003F128F" w:rsidP="00DC21B6">
      <w:pPr>
        <w:pStyle w:val="af3"/>
        <w:rPr>
          <w:rFonts w:ascii="Traditional Arabic" w:hAnsi="Traditional Arabic"/>
          <w:sz w:val="32"/>
          <w:szCs w:val="32"/>
        </w:rPr>
      </w:pPr>
      <w:r w:rsidRPr="00E7300D">
        <w:rPr>
          <w:rFonts w:ascii="Traditional Arabic" w:hAnsi="Traditional Arabic"/>
          <w:sz w:val="32"/>
          <w:szCs w:val="32"/>
          <w:rtl/>
        </w:rPr>
        <w:t>(</w:t>
      </w:r>
      <w:r w:rsidRPr="00E7300D">
        <w:rPr>
          <w:rStyle w:val="ae"/>
          <w:rFonts w:ascii="Traditional Arabic" w:hAnsi="Traditional Arabic"/>
          <w:sz w:val="32"/>
          <w:szCs w:val="32"/>
          <w:vertAlign w:val="baseline"/>
        </w:rPr>
        <w:footnoteRef/>
      </w:r>
      <w:r w:rsidRPr="00E7300D">
        <w:rPr>
          <w:rFonts w:ascii="Traditional Arabic" w:hAnsi="Traditional Arabic"/>
          <w:sz w:val="32"/>
          <w:szCs w:val="32"/>
          <w:rtl/>
        </w:rPr>
        <w:t>) سورة الأنفال, الآية</w:t>
      </w:r>
      <w:r w:rsidRPr="00E7300D">
        <w:rPr>
          <w:rFonts w:ascii="Traditional Arabic" w:hAnsi="Traditional Arabic" w:hint="cs"/>
          <w:sz w:val="32"/>
          <w:szCs w:val="32"/>
          <w:rtl/>
        </w:rPr>
        <w:t>:</w:t>
      </w:r>
      <w:r w:rsidRPr="00E7300D">
        <w:rPr>
          <w:rFonts w:ascii="Traditional Arabic" w:hAnsi="Traditional Arabic"/>
          <w:sz w:val="32"/>
          <w:szCs w:val="32"/>
          <w:rtl/>
        </w:rPr>
        <w:t xml:space="preserve"> (72). انظر: زاد المسير (3/385). </w:t>
      </w:r>
    </w:p>
  </w:footnote>
  <w:footnote w:id="1403">
    <w:p w:rsidR="003F128F" w:rsidRPr="00E7300D" w:rsidRDefault="003F128F" w:rsidP="00DC21B6">
      <w:pPr>
        <w:pStyle w:val="af3"/>
        <w:rPr>
          <w:rFonts w:ascii="Traditional Arabic" w:hAnsi="Traditional Arabic"/>
          <w:sz w:val="32"/>
          <w:szCs w:val="32"/>
        </w:rPr>
      </w:pPr>
      <w:r w:rsidRPr="00E7300D">
        <w:rPr>
          <w:rFonts w:ascii="Traditional Arabic" w:hAnsi="Traditional Arabic"/>
          <w:sz w:val="32"/>
          <w:szCs w:val="32"/>
          <w:rtl/>
        </w:rPr>
        <w:t>(</w:t>
      </w:r>
      <w:r w:rsidRPr="00E7300D">
        <w:rPr>
          <w:rStyle w:val="ae"/>
          <w:rFonts w:ascii="Traditional Arabic" w:hAnsi="Traditional Arabic"/>
          <w:sz w:val="32"/>
          <w:szCs w:val="32"/>
          <w:vertAlign w:val="baseline"/>
        </w:rPr>
        <w:footnoteRef/>
      </w:r>
      <w:r w:rsidRPr="00E7300D">
        <w:rPr>
          <w:rFonts w:ascii="Traditional Arabic" w:hAnsi="Traditional Arabic"/>
          <w:sz w:val="32"/>
          <w:szCs w:val="32"/>
          <w:rtl/>
        </w:rPr>
        <w:t xml:space="preserve">) انظر: غريب القرآن (ص268). </w:t>
      </w:r>
    </w:p>
  </w:footnote>
  <w:footnote w:id="1404">
    <w:p w:rsidR="003F128F" w:rsidRPr="00E7300D" w:rsidRDefault="003F128F" w:rsidP="00DC21B6">
      <w:pPr>
        <w:pStyle w:val="af3"/>
        <w:rPr>
          <w:rFonts w:ascii="Traditional Arabic" w:hAnsi="Traditional Arabic"/>
          <w:sz w:val="32"/>
          <w:szCs w:val="32"/>
        </w:rPr>
      </w:pPr>
      <w:r w:rsidRPr="00E7300D">
        <w:rPr>
          <w:rFonts w:ascii="Traditional Arabic" w:hAnsi="Traditional Arabic"/>
          <w:sz w:val="32"/>
          <w:szCs w:val="32"/>
          <w:rtl/>
        </w:rPr>
        <w:t>(</w:t>
      </w:r>
      <w:r w:rsidRPr="00E7300D">
        <w:rPr>
          <w:rStyle w:val="ae"/>
          <w:rFonts w:ascii="Traditional Arabic" w:hAnsi="Traditional Arabic"/>
          <w:sz w:val="32"/>
          <w:szCs w:val="32"/>
          <w:vertAlign w:val="baseline"/>
        </w:rPr>
        <w:footnoteRef/>
      </w:r>
      <w:r w:rsidRPr="00E7300D">
        <w:rPr>
          <w:rFonts w:ascii="Traditional Arabic" w:hAnsi="Traditional Arabic"/>
          <w:sz w:val="32"/>
          <w:szCs w:val="32"/>
          <w:rtl/>
        </w:rPr>
        <w:t xml:space="preserve">) انظر: التفسير الوسيط (3/150). </w:t>
      </w:r>
    </w:p>
  </w:footnote>
  <w:footnote w:id="1405">
    <w:p w:rsidR="003F128F" w:rsidRPr="00E7300D" w:rsidRDefault="003F128F" w:rsidP="00DC21B6">
      <w:pPr>
        <w:pStyle w:val="af3"/>
        <w:rPr>
          <w:rFonts w:ascii="Traditional Arabic" w:hAnsi="Traditional Arabic"/>
          <w:sz w:val="32"/>
          <w:szCs w:val="32"/>
        </w:rPr>
      </w:pPr>
      <w:r w:rsidRPr="00E7300D">
        <w:rPr>
          <w:rFonts w:ascii="Traditional Arabic" w:hAnsi="Traditional Arabic"/>
          <w:sz w:val="32"/>
          <w:szCs w:val="32"/>
          <w:rtl/>
        </w:rPr>
        <w:t>(</w:t>
      </w:r>
      <w:r w:rsidRPr="00E7300D">
        <w:rPr>
          <w:rStyle w:val="ae"/>
          <w:rFonts w:ascii="Traditional Arabic" w:hAnsi="Traditional Arabic"/>
          <w:sz w:val="32"/>
          <w:szCs w:val="32"/>
          <w:vertAlign w:val="baseline"/>
        </w:rPr>
        <w:footnoteRef/>
      </w:r>
      <w:r w:rsidRPr="00E7300D">
        <w:rPr>
          <w:rFonts w:ascii="Traditional Arabic" w:hAnsi="Traditional Arabic"/>
          <w:sz w:val="32"/>
          <w:szCs w:val="32"/>
          <w:rtl/>
        </w:rPr>
        <w:t xml:space="preserve">) انظر: الحجة للقراء السبعة (5/150). </w:t>
      </w:r>
    </w:p>
  </w:footnote>
  <w:footnote w:id="1406">
    <w:p w:rsidR="003F128F" w:rsidRPr="00E7300D" w:rsidRDefault="003F128F" w:rsidP="00DC21B6">
      <w:pPr>
        <w:pStyle w:val="af3"/>
        <w:rPr>
          <w:rFonts w:ascii="Traditional Arabic" w:hAnsi="Traditional Arabic"/>
          <w:sz w:val="32"/>
          <w:szCs w:val="32"/>
        </w:rPr>
      </w:pPr>
      <w:r w:rsidRPr="00E7300D">
        <w:rPr>
          <w:rFonts w:ascii="Traditional Arabic" w:hAnsi="Traditional Arabic"/>
          <w:sz w:val="32"/>
          <w:szCs w:val="32"/>
          <w:rtl/>
        </w:rPr>
        <w:t>(</w:t>
      </w:r>
      <w:r w:rsidRPr="00E7300D">
        <w:rPr>
          <w:rStyle w:val="ae"/>
          <w:rFonts w:ascii="Traditional Arabic" w:hAnsi="Traditional Arabic"/>
          <w:sz w:val="32"/>
          <w:szCs w:val="32"/>
          <w:vertAlign w:val="baseline"/>
        </w:rPr>
        <w:footnoteRef/>
      </w:r>
      <w:r w:rsidRPr="00E7300D">
        <w:rPr>
          <w:rFonts w:ascii="Traditional Arabic" w:hAnsi="Traditional Arabic"/>
          <w:sz w:val="32"/>
          <w:szCs w:val="32"/>
          <w:rtl/>
        </w:rPr>
        <w:t xml:space="preserve">) </w:t>
      </w:r>
      <w:r w:rsidRPr="00E7300D">
        <w:rPr>
          <w:rFonts w:ascii="Traditional Arabic" w:hAnsi="Traditional Arabic" w:hint="cs"/>
          <w:sz w:val="32"/>
          <w:szCs w:val="32"/>
          <w:rtl/>
        </w:rPr>
        <w:t xml:space="preserve">في </w:t>
      </w:r>
      <w:r w:rsidRPr="00E7300D">
        <w:rPr>
          <w:rFonts w:ascii="Traditional Arabic" w:hAnsi="Traditional Arabic"/>
          <w:sz w:val="32"/>
          <w:szCs w:val="32"/>
          <w:rtl/>
        </w:rPr>
        <w:t>(ك)</w:t>
      </w:r>
      <w:r w:rsidRPr="00E7300D">
        <w:rPr>
          <w:rFonts w:ascii="Traditional Arabic" w:hAnsi="Traditional Arabic" w:hint="cs"/>
          <w:sz w:val="32"/>
          <w:szCs w:val="32"/>
          <w:rtl/>
        </w:rPr>
        <w:t>: [</w:t>
      </w:r>
      <w:r w:rsidRPr="00E7300D">
        <w:rPr>
          <w:rFonts w:ascii="Traditional Arabic" w:hAnsi="Traditional Arabic"/>
          <w:sz w:val="32"/>
          <w:szCs w:val="32"/>
          <w:rtl/>
        </w:rPr>
        <w:t>وهو مصدر</w:t>
      </w:r>
      <w:r w:rsidRPr="00E7300D">
        <w:rPr>
          <w:rFonts w:ascii="Traditional Arabic" w:hAnsi="Traditional Arabic" w:hint="cs"/>
          <w:sz w:val="32"/>
          <w:szCs w:val="32"/>
          <w:rtl/>
        </w:rPr>
        <w:t xml:space="preserve"> مُذَكَّرٌ]</w:t>
      </w:r>
      <w:r w:rsidRPr="00E7300D">
        <w:rPr>
          <w:rFonts w:ascii="Traditional Arabic" w:hAnsi="Traditional Arabic"/>
          <w:sz w:val="32"/>
          <w:szCs w:val="32"/>
          <w:rtl/>
        </w:rPr>
        <w:t xml:space="preserve">.   </w:t>
      </w:r>
    </w:p>
  </w:footnote>
  <w:footnote w:id="1407">
    <w:p w:rsidR="003F128F" w:rsidRPr="00E7300D" w:rsidRDefault="003F128F" w:rsidP="00DC21B6">
      <w:pPr>
        <w:pStyle w:val="af3"/>
        <w:rPr>
          <w:rFonts w:ascii="Traditional Arabic" w:hAnsi="Traditional Arabic"/>
          <w:sz w:val="32"/>
          <w:szCs w:val="32"/>
        </w:rPr>
      </w:pPr>
      <w:r w:rsidRPr="00E7300D">
        <w:rPr>
          <w:rFonts w:ascii="Traditional Arabic" w:hAnsi="Traditional Arabic"/>
          <w:sz w:val="32"/>
          <w:szCs w:val="32"/>
          <w:rtl/>
        </w:rPr>
        <w:t>(</w:t>
      </w:r>
      <w:r w:rsidRPr="00E7300D">
        <w:rPr>
          <w:rStyle w:val="ae"/>
          <w:rFonts w:ascii="Traditional Arabic" w:hAnsi="Traditional Arabic"/>
          <w:sz w:val="32"/>
          <w:szCs w:val="32"/>
          <w:vertAlign w:val="baseline"/>
        </w:rPr>
        <w:footnoteRef/>
      </w:r>
      <w:r w:rsidRPr="00E7300D">
        <w:rPr>
          <w:rFonts w:ascii="Traditional Arabic" w:hAnsi="Traditional Arabic"/>
          <w:sz w:val="32"/>
          <w:szCs w:val="32"/>
          <w:rtl/>
        </w:rPr>
        <w:t>) انظر: رموز الكنوز (4/294).</w:t>
      </w:r>
    </w:p>
  </w:footnote>
  <w:footnote w:id="1408">
    <w:p w:rsidR="003F128F" w:rsidRPr="00E7300D" w:rsidRDefault="003F128F" w:rsidP="00DC21B6">
      <w:pPr>
        <w:pStyle w:val="af3"/>
        <w:rPr>
          <w:rFonts w:ascii="Traditional Arabic" w:hAnsi="Traditional Arabic"/>
          <w:sz w:val="32"/>
          <w:szCs w:val="32"/>
        </w:rPr>
      </w:pPr>
      <w:r w:rsidRPr="00E7300D">
        <w:rPr>
          <w:rFonts w:ascii="Traditional Arabic" w:hAnsi="Traditional Arabic"/>
          <w:sz w:val="32"/>
          <w:szCs w:val="32"/>
          <w:rtl/>
        </w:rPr>
        <w:t>(</w:t>
      </w:r>
      <w:r w:rsidRPr="00E7300D">
        <w:rPr>
          <w:rStyle w:val="ae"/>
          <w:rFonts w:ascii="Traditional Arabic" w:hAnsi="Traditional Arabic"/>
          <w:sz w:val="32"/>
          <w:szCs w:val="32"/>
          <w:vertAlign w:val="baseline"/>
        </w:rPr>
        <w:footnoteRef/>
      </w:r>
      <w:r w:rsidRPr="00E7300D">
        <w:rPr>
          <w:rFonts w:ascii="Traditional Arabic" w:hAnsi="Traditional Arabic"/>
          <w:sz w:val="32"/>
          <w:szCs w:val="32"/>
          <w:rtl/>
        </w:rPr>
        <w:t>) انظر: التفسير الوسيط (3/150), معالم التنزيل (5/174).</w:t>
      </w:r>
    </w:p>
  </w:footnote>
  <w:footnote w:id="1409">
    <w:p w:rsidR="003F128F" w:rsidRPr="00C01675" w:rsidRDefault="003F128F" w:rsidP="00DC21B6">
      <w:pPr>
        <w:pStyle w:val="af3"/>
        <w:rPr>
          <w:rFonts w:ascii="Traditional Arabic" w:hAnsi="Traditional Arabic"/>
          <w:sz w:val="32"/>
          <w:szCs w:val="32"/>
        </w:rPr>
      </w:pPr>
      <w:r w:rsidRPr="00E7300D">
        <w:rPr>
          <w:rFonts w:ascii="Traditional Arabic" w:hAnsi="Traditional Arabic"/>
          <w:sz w:val="32"/>
          <w:szCs w:val="32"/>
          <w:rtl/>
        </w:rPr>
        <w:t>(</w:t>
      </w:r>
      <w:r w:rsidRPr="00E7300D">
        <w:rPr>
          <w:rStyle w:val="ae"/>
          <w:rFonts w:ascii="Traditional Arabic" w:hAnsi="Traditional Arabic"/>
          <w:sz w:val="32"/>
          <w:szCs w:val="32"/>
          <w:vertAlign w:val="baseline"/>
        </w:rPr>
        <w:footnoteRef/>
      </w:r>
      <w:r w:rsidRPr="00E7300D">
        <w:rPr>
          <w:rFonts w:ascii="Traditional Arabic" w:hAnsi="Traditional Arabic"/>
          <w:sz w:val="32"/>
          <w:szCs w:val="32"/>
          <w:rtl/>
        </w:rPr>
        <w:t>)</w:t>
      </w:r>
      <w:r w:rsidRPr="00E7300D">
        <w:rPr>
          <w:rFonts w:ascii="Traditional Arabic" w:hAnsi="Traditional Arabic" w:hint="cs"/>
          <w:sz w:val="32"/>
          <w:szCs w:val="32"/>
          <w:rtl/>
        </w:rPr>
        <w:t xml:space="preserve"> </w:t>
      </w:r>
      <w:r w:rsidRPr="00E7300D">
        <w:rPr>
          <w:rFonts w:ascii="Traditional Arabic" w:hAnsi="Traditional Arabic"/>
          <w:sz w:val="32"/>
          <w:szCs w:val="32"/>
          <w:rtl/>
        </w:rPr>
        <w:t xml:space="preserve">انظر: السبعة في القراءات (ص392), معاني القراءات (2/111).  </w:t>
      </w:r>
    </w:p>
  </w:footnote>
  <w:footnote w:id="1410">
    <w:p w:rsidR="003F128F" w:rsidRPr="00C01675" w:rsidRDefault="003F128F" w:rsidP="00DC21B6">
      <w:pPr>
        <w:pStyle w:val="af3"/>
        <w:rPr>
          <w:rFonts w:ascii="Traditional Arabic" w:hAnsi="Traditional Arabic"/>
          <w:sz w:val="32"/>
          <w:szCs w:val="32"/>
        </w:rPr>
      </w:pPr>
      <w:r w:rsidRPr="00C01675">
        <w:rPr>
          <w:rFonts w:ascii="Traditional Arabic" w:hAnsi="Traditional Arabic"/>
          <w:sz w:val="32"/>
          <w:szCs w:val="32"/>
          <w:rtl/>
        </w:rPr>
        <w:t>(</w:t>
      </w:r>
      <w:r w:rsidRPr="00C01675">
        <w:rPr>
          <w:rStyle w:val="ae"/>
          <w:rFonts w:ascii="Traditional Arabic" w:hAnsi="Traditional Arabic"/>
          <w:sz w:val="32"/>
          <w:szCs w:val="32"/>
          <w:vertAlign w:val="baseline"/>
        </w:rPr>
        <w:footnoteRef/>
      </w:r>
      <w:r w:rsidRPr="00C01675">
        <w:rPr>
          <w:rFonts w:ascii="Traditional Arabic" w:hAnsi="Traditional Arabic"/>
          <w:sz w:val="32"/>
          <w:szCs w:val="32"/>
          <w:rtl/>
        </w:rPr>
        <w:t xml:space="preserve">) ما بين المعكوفتين ساقط من الأصل, والمثبت من (ك), وهو موافق لما في كتاب الحجة للقراء السبعة.    </w:t>
      </w:r>
    </w:p>
  </w:footnote>
  <w:footnote w:id="1411">
    <w:p w:rsidR="003F128F" w:rsidRPr="00C01675" w:rsidRDefault="003F128F" w:rsidP="00DC21B6">
      <w:pPr>
        <w:pStyle w:val="af3"/>
        <w:rPr>
          <w:rFonts w:ascii="Traditional Arabic" w:hAnsi="Traditional Arabic"/>
          <w:sz w:val="32"/>
          <w:szCs w:val="32"/>
        </w:rPr>
      </w:pPr>
      <w:r w:rsidRPr="00C01675">
        <w:rPr>
          <w:rFonts w:ascii="Traditional Arabic" w:hAnsi="Traditional Arabic"/>
          <w:sz w:val="32"/>
          <w:szCs w:val="32"/>
          <w:rtl/>
        </w:rPr>
        <w:t>(</w:t>
      </w:r>
      <w:r w:rsidRPr="00C01675">
        <w:rPr>
          <w:rStyle w:val="ae"/>
          <w:rFonts w:ascii="Traditional Arabic" w:hAnsi="Traditional Arabic"/>
          <w:sz w:val="32"/>
          <w:szCs w:val="32"/>
          <w:vertAlign w:val="baseline"/>
        </w:rPr>
        <w:footnoteRef/>
      </w:r>
      <w:r w:rsidRPr="00C01675">
        <w:rPr>
          <w:rFonts w:ascii="Traditional Arabic" w:hAnsi="Traditional Arabic"/>
          <w:sz w:val="32"/>
          <w:szCs w:val="32"/>
          <w:rtl/>
        </w:rPr>
        <w:t xml:space="preserve">) الحجة للقراء السبعة (5/151).   </w:t>
      </w:r>
    </w:p>
  </w:footnote>
  <w:footnote w:id="1412">
    <w:p w:rsidR="003F128F" w:rsidRPr="00C01675" w:rsidRDefault="003F128F" w:rsidP="00DC21B6">
      <w:pPr>
        <w:pStyle w:val="af3"/>
        <w:rPr>
          <w:rFonts w:ascii="Traditional Arabic" w:hAnsi="Traditional Arabic"/>
          <w:sz w:val="32"/>
          <w:szCs w:val="32"/>
        </w:rPr>
      </w:pPr>
      <w:r w:rsidRPr="00C01675">
        <w:rPr>
          <w:rFonts w:ascii="Traditional Arabic" w:hAnsi="Traditional Arabic"/>
          <w:sz w:val="32"/>
          <w:szCs w:val="32"/>
          <w:rtl/>
        </w:rPr>
        <w:t>(</w:t>
      </w:r>
      <w:r w:rsidRPr="00C01675">
        <w:rPr>
          <w:rStyle w:val="ae"/>
          <w:rFonts w:ascii="Traditional Arabic" w:hAnsi="Traditional Arabic"/>
          <w:sz w:val="32"/>
          <w:szCs w:val="32"/>
          <w:vertAlign w:val="baseline"/>
        </w:rPr>
        <w:footnoteRef/>
      </w:r>
      <w:r w:rsidRPr="00C01675">
        <w:rPr>
          <w:rFonts w:ascii="Traditional Arabic" w:hAnsi="Traditional Arabic"/>
          <w:sz w:val="32"/>
          <w:szCs w:val="32"/>
          <w:rtl/>
        </w:rPr>
        <w:t xml:space="preserve">) انظر: مجاز القرآن (1/405). </w:t>
      </w:r>
    </w:p>
  </w:footnote>
  <w:footnote w:id="1413">
    <w:p w:rsidR="003F128F" w:rsidRPr="00C01675" w:rsidRDefault="003F128F" w:rsidP="00DC21B6">
      <w:pPr>
        <w:pStyle w:val="af3"/>
        <w:rPr>
          <w:rFonts w:ascii="Traditional Arabic" w:hAnsi="Traditional Arabic"/>
          <w:sz w:val="32"/>
          <w:szCs w:val="32"/>
        </w:rPr>
      </w:pPr>
      <w:r w:rsidRPr="00C01675">
        <w:rPr>
          <w:rFonts w:ascii="Traditional Arabic" w:hAnsi="Traditional Arabic"/>
          <w:sz w:val="32"/>
          <w:szCs w:val="32"/>
          <w:rtl/>
        </w:rPr>
        <w:t>(</w:t>
      </w:r>
      <w:r w:rsidRPr="00C01675">
        <w:rPr>
          <w:rStyle w:val="ae"/>
          <w:rFonts w:ascii="Traditional Arabic" w:hAnsi="Traditional Arabic"/>
          <w:sz w:val="32"/>
          <w:szCs w:val="32"/>
          <w:vertAlign w:val="baseline"/>
        </w:rPr>
        <w:footnoteRef/>
      </w:r>
      <w:r w:rsidRPr="00C01675">
        <w:rPr>
          <w:rFonts w:ascii="Traditional Arabic" w:hAnsi="Traditional Arabic"/>
          <w:sz w:val="32"/>
          <w:szCs w:val="32"/>
          <w:rtl/>
        </w:rPr>
        <w:t xml:space="preserve">) التَّرَح: </w:t>
      </w:r>
      <w:r>
        <w:rPr>
          <w:rFonts w:ascii="Traditional Arabic" w:hAnsi="Traditional Arabic" w:hint="cs"/>
          <w:sz w:val="32"/>
          <w:szCs w:val="32"/>
          <w:rtl/>
        </w:rPr>
        <w:t xml:space="preserve">الحزن وهو </w:t>
      </w:r>
      <w:r>
        <w:rPr>
          <w:rFonts w:ascii="Traditional Arabic" w:hAnsi="Traditional Arabic"/>
          <w:sz w:val="32"/>
          <w:szCs w:val="32"/>
          <w:rtl/>
        </w:rPr>
        <w:t>ضِدُّ الفَرَح</w:t>
      </w:r>
      <w:r>
        <w:rPr>
          <w:rFonts w:ascii="Traditional Arabic" w:hAnsi="Traditional Arabic" w:hint="cs"/>
          <w:sz w:val="32"/>
          <w:szCs w:val="32"/>
          <w:rtl/>
        </w:rPr>
        <w:t>.</w:t>
      </w:r>
      <w:r w:rsidRPr="00C01675">
        <w:rPr>
          <w:rFonts w:ascii="Traditional Arabic" w:hAnsi="Traditional Arabic"/>
          <w:sz w:val="32"/>
          <w:szCs w:val="32"/>
          <w:rtl/>
          <w:lang w:eastAsia="en-US"/>
        </w:rPr>
        <w:t xml:space="preserve"> </w:t>
      </w:r>
      <w:r w:rsidRPr="00C01675">
        <w:rPr>
          <w:rFonts w:ascii="Traditional Arabic" w:hAnsi="Traditional Arabic"/>
          <w:sz w:val="32"/>
          <w:szCs w:val="32"/>
          <w:rtl/>
        </w:rPr>
        <w:t xml:space="preserve">انظر: </w:t>
      </w:r>
      <w:r>
        <w:rPr>
          <w:rFonts w:ascii="Traditional Arabic" w:hAnsi="Traditional Arabic" w:hint="cs"/>
          <w:sz w:val="32"/>
          <w:szCs w:val="32"/>
          <w:rtl/>
        </w:rPr>
        <w:t>جمهرة اللغة (1/583) مادة (ترح).</w:t>
      </w:r>
    </w:p>
  </w:footnote>
  <w:footnote w:id="1414">
    <w:p w:rsidR="003F128F" w:rsidRPr="00C01675" w:rsidRDefault="003F128F" w:rsidP="00DC21B6">
      <w:pPr>
        <w:pStyle w:val="af3"/>
        <w:rPr>
          <w:rFonts w:ascii="Traditional Arabic" w:hAnsi="Traditional Arabic"/>
          <w:sz w:val="32"/>
          <w:szCs w:val="32"/>
        </w:rPr>
      </w:pPr>
      <w:r w:rsidRPr="00C01675">
        <w:rPr>
          <w:rFonts w:ascii="Traditional Arabic" w:hAnsi="Traditional Arabic"/>
          <w:sz w:val="32"/>
          <w:szCs w:val="32"/>
          <w:rtl/>
        </w:rPr>
        <w:t>(</w:t>
      </w:r>
      <w:r w:rsidRPr="00C01675">
        <w:rPr>
          <w:rStyle w:val="ae"/>
          <w:rFonts w:ascii="Traditional Arabic" w:hAnsi="Traditional Arabic"/>
          <w:sz w:val="32"/>
          <w:szCs w:val="32"/>
          <w:vertAlign w:val="baseline"/>
        </w:rPr>
        <w:footnoteRef/>
      </w:r>
      <w:r w:rsidRPr="00C01675">
        <w:rPr>
          <w:rFonts w:ascii="Traditional Arabic" w:hAnsi="Traditional Arabic"/>
          <w:sz w:val="32"/>
          <w:szCs w:val="32"/>
          <w:rtl/>
        </w:rPr>
        <w:t>) سورة يونس, الآية</w:t>
      </w:r>
      <w:r>
        <w:rPr>
          <w:rFonts w:ascii="Traditional Arabic" w:hAnsi="Traditional Arabic" w:hint="cs"/>
          <w:sz w:val="32"/>
          <w:szCs w:val="32"/>
          <w:rtl/>
        </w:rPr>
        <w:t>:</w:t>
      </w:r>
      <w:r w:rsidRPr="00C01675">
        <w:rPr>
          <w:rFonts w:ascii="Traditional Arabic" w:hAnsi="Traditional Arabic"/>
          <w:sz w:val="32"/>
          <w:szCs w:val="32"/>
          <w:rtl/>
        </w:rPr>
        <w:t xml:space="preserve"> (24). انظر: زاد المسير (4/21).</w:t>
      </w:r>
    </w:p>
  </w:footnote>
  <w:footnote w:id="1415">
    <w:p w:rsidR="003F128F" w:rsidRPr="00C01675" w:rsidRDefault="003F128F" w:rsidP="00DC21B6">
      <w:pPr>
        <w:pStyle w:val="af3"/>
        <w:rPr>
          <w:rFonts w:ascii="Traditional Arabic" w:hAnsi="Traditional Arabic"/>
          <w:sz w:val="32"/>
          <w:szCs w:val="32"/>
        </w:rPr>
      </w:pPr>
      <w:r w:rsidRPr="00C01675">
        <w:rPr>
          <w:rFonts w:ascii="Traditional Arabic" w:hAnsi="Traditional Arabic"/>
          <w:sz w:val="32"/>
          <w:szCs w:val="32"/>
          <w:rtl/>
        </w:rPr>
        <w:t>(</w:t>
      </w:r>
      <w:r w:rsidRPr="00C01675">
        <w:rPr>
          <w:rStyle w:val="ae"/>
          <w:rFonts w:ascii="Traditional Arabic" w:hAnsi="Traditional Arabic"/>
          <w:sz w:val="32"/>
          <w:szCs w:val="32"/>
          <w:vertAlign w:val="baseline"/>
        </w:rPr>
        <w:footnoteRef/>
      </w:r>
      <w:r w:rsidRPr="00C01675">
        <w:rPr>
          <w:rFonts w:ascii="Traditional Arabic" w:hAnsi="Traditional Arabic"/>
          <w:sz w:val="32"/>
          <w:szCs w:val="32"/>
          <w:rtl/>
        </w:rPr>
        <w:t xml:space="preserve">) انظر: معاني القرآن (3/109). </w:t>
      </w:r>
    </w:p>
  </w:footnote>
  <w:footnote w:id="1416">
    <w:p w:rsidR="003F128F" w:rsidRPr="00C01675" w:rsidRDefault="003F128F" w:rsidP="00DC21B6">
      <w:pPr>
        <w:pStyle w:val="af3"/>
        <w:rPr>
          <w:rFonts w:ascii="Traditional Arabic" w:hAnsi="Traditional Arabic"/>
          <w:sz w:val="32"/>
          <w:szCs w:val="32"/>
        </w:rPr>
      </w:pPr>
      <w:r w:rsidRPr="00C01675">
        <w:rPr>
          <w:rFonts w:ascii="Traditional Arabic" w:hAnsi="Traditional Arabic"/>
          <w:sz w:val="32"/>
          <w:szCs w:val="32"/>
          <w:rtl/>
        </w:rPr>
        <w:t>(</w:t>
      </w:r>
      <w:r w:rsidRPr="00C01675">
        <w:rPr>
          <w:rStyle w:val="ae"/>
          <w:rFonts w:ascii="Traditional Arabic" w:hAnsi="Traditional Arabic"/>
          <w:sz w:val="32"/>
          <w:szCs w:val="32"/>
          <w:vertAlign w:val="baseline"/>
        </w:rPr>
        <w:footnoteRef/>
      </w:r>
      <w:r w:rsidRPr="00C01675">
        <w:rPr>
          <w:rFonts w:ascii="Traditional Arabic" w:hAnsi="Traditional Arabic"/>
          <w:sz w:val="32"/>
          <w:szCs w:val="32"/>
          <w:rtl/>
        </w:rPr>
        <w:t xml:space="preserve">) معاني القرآن وإعرابه (3/291). </w:t>
      </w:r>
    </w:p>
  </w:footnote>
  <w:footnote w:id="1417">
    <w:p w:rsidR="003F128F" w:rsidRPr="00E41AD8" w:rsidRDefault="003F128F" w:rsidP="00DC21B6">
      <w:pPr>
        <w:pStyle w:val="af3"/>
        <w:rPr>
          <w:rFonts w:ascii="Traditional Arabic" w:hAnsi="Traditional Arabic"/>
          <w:sz w:val="32"/>
          <w:szCs w:val="32"/>
        </w:rPr>
      </w:pPr>
      <w:r w:rsidRPr="00C01675">
        <w:rPr>
          <w:rFonts w:ascii="Traditional Arabic" w:hAnsi="Traditional Arabic"/>
          <w:sz w:val="32"/>
          <w:szCs w:val="32"/>
          <w:rtl/>
        </w:rPr>
        <w:t>(</w:t>
      </w:r>
      <w:r w:rsidRPr="00C01675">
        <w:rPr>
          <w:rStyle w:val="ae"/>
          <w:rFonts w:ascii="Traditional Arabic" w:hAnsi="Traditional Arabic"/>
          <w:sz w:val="32"/>
          <w:szCs w:val="32"/>
          <w:vertAlign w:val="baseline"/>
        </w:rPr>
        <w:footnoteRef/>
      </w:r>
      <w:r w:rsidRPr="00C01675">
        <w:rPr>
          <w:rFonts w:ascii="Traditional Arabic" w:hAnsi="Traditional Arabic"/>
          <w:sz w:val="32"/>
          <w:szCs w:val="32"/>
          <w:rtl/>
        </w:rPr>
        <w:t>) غريب القرآن (ص268).</w:t>
      </w:r>
      <w:r w:rsidRPr="00E41AD8">
        <w:rPr>
          <w:rFonts w:ascii="Traditional Arabic" w:hAnsi="Traditional Arabic"/>
          <w:sz w:val="32"/>
          <w:szCs w:val="32"/>
          <w:rtl/>
        </w:rPr>
        <w:t xml:space="preserve">  </w:t>
      </w:r>
    </w:p>
  </w:footnote>
  <w:footnote w:id="1418">
    <w:p w:rsidR="003F128F" w:rsidRPr="00C01675" w:rsidRDefault="003F128F" w:rsidP="00DC21B6">
      <w:pPr>
        <w:pStyle w:val="af3"/>
        <w:rPr>
          <w:rFonts w:ascii="Traditional Arabic" w:hAnsi="Traditional Arabic"/>
          <w:sz w:val="32"/>
          <w:szCs w:val="32"/>
        </w:rPr>
      </w:pPr>
      <w:r w:rsidRPr="00C01675">
        <w:rPr>
          <w:rFonts w:ascii="Traditional Arabic" w:hAnsi="Traditional Arabic"/>
          <w:sz w:val="32"/>
          <w:szCs w:val="32"/>
          <w:rtl/>
        </w:rPr>
        <w:t>(</w:t>
      </w:r>
      <w:r w:rsidRPr="00C01675">
        <w:rPr>
          <w:rStyle w:val="ae"/>
          <w:rFonts w:ascii="Traditional Arabic" w:hAnsi="Traditional Arabic"/>
          <w:sz w:val="32"/>
          <w:szCs w:val="32"/>
          <w:vertAlign w:val="baseline"/>
        </w:rPr>
        <w:footnoteRef/>
      </w:r>
      <w:r w:rsidRPr="00C01675">
        <w:rPr>
          <w:rFonts w:ascii="Traditional Arabic" w:hAnsi="Traditional Arabic"/>
          <w:sz w:val="32"/>
          <w:szCs w:val="32"/>
          <w:rtl/>
        </w:rPr>
        <w:t>)</w:t>
      </w:r>
      <w:r>
        <w:rPr>
          <w:rFonts w:ascii="Traditional Arabic" w:hAnsi="Traditional Arabic" w:hint="cs"/>
          <w:sz w:val="32"/>
          <w:szCs w:val="32"/>
          <w:rtl/>
        </w:rPr>
        <w:t xml:space="preserve"> </w:t>
      </w:r>
      <w:r w:rsidRPr="00C01675">
        <w:rPr>
          <w:rFonts w:ascii="Traditional Arabic" w:hAnsi="Traditional Arabic"/>
          <w:sz w:val="32"/>
          <w:szCs w:val="32"/>
          <w:rtl/>
        </w:rPr>
        <w:t>انظر: مختصر الشواذ (ص83), شواذ القراءة (ص141).</w:t>
      </w:r>
    </w:p>
  </w:footnote>
  <w:footnote w:id="1419">
    <w:p w:rsidR="003F128F" w:rsidRPr="00C01675" w:rsidRDefault="003F128F" w:rsidP="00DC21B6">
      <w:pPr>
        <w:pStyle w:val="af3"/>
        <w:rPr>
          <w:rFonts w:ascii="Traditional Arabic" w:hAnsi="Traditional Arabic"/>
          <w:sz w:val="32"/>
          <w:szCs w:val="32"/>
        </w:rPr>
      </w:pPr>
      <w:r w:rsidRPr="00C01675">
        <w:rPr>
          <w:rFonts w:ascii="Traditional Arabic" w:hAnsi="Traditional Arabic"/>
          <w:sz w:val="32"/>
          <w:szCs w:val="32"/>
          <w:rtl/>
        </w:rPr>
        <w:t>(</w:t>
      </w:r>
      <w:r w:rsidRPr="00C01675">
        <w:rPr>
          <w:rStyle w:val="ae"/>
          <w:rFonts w:ascii="Traditional Arabic" w:hAnsi="Traditional Arabic"/>
          <w:sz w:val="32"/>
          <w:szCs w:val="32"/>
          <w:vertAlign w:val="baseline"/>
        </w:rPr>
        <w:footnoteRef/>
      </w:r>
      <w:r w:rsidRPr="00C01675">
        <w:rPr>
          <w:rFonts w:ascii="Traditional Arabic" w:hAnsi="Traditional Arabic"/>
          <w:sz w:val="32"/>
          <w:szCs w:val="32"/>
          <w:rtl/>
        </w:rPr>
        <w:t>)</w:t>
      </w:r>
      <w:r>
        <w:rPr>
          <w:rFonts w:ascii="Traditional Arabic" w:hAnsi="Traditional Arabic" w:hint="cs"/>
          <w:sz w:val="32"/>
          <w:szCs w:val="32"/>
          <w:rtl/>
        </w:rPr>
        <w:t xml:space="preserve"> </w:t>
      </w:r>
      <w:r w:rsidRPr="00C01675">
        <w:rPr>
          <w:rFonts w:ascii="Traditional Arabic" w:hAnsi="Traditional Arabic"/>
          <w:sz w:val="32"/>
          <w:szCs w:val="32"/>
          <w:rtl/>
        </w:rPr>
        <w:t>انظر: مختصر الشواذ (ص83), البحر المحيط (7/185)</w:t>
      </w:r>
      <w:r>
        <w:rPr>
          <w:rFonts w:ascii="Traditional Arabic" w:hAnsi="Traditional Arabic" w:hint="cs"/>
          <w:sz w:val="32"/>
          <w:szCs w:val="32"/>
          <w:rtl/>
        </w:rPr>
        <w:t>.</w:t>
      </w:r>
    </w:p>
  </w:footnote>
  <w:footnote w:id="1420">
    <w:p w:rsidR="003F128F" w:rsidRPr="00C01675" w:rsidRDefault="003F128F" w:rsidP="00DC21B6">
      <w:pPr>
        <w:pStyle w:val="af3"/>
        <w:rPr>
          <w:rFonts w:ascii="Traditional Arabic" w:hAnsi="Traditional Arabic"/>
          <w:sz w:val="32"/>
          <w:szCs w:val="32"/>
        </w:rPr>
      </w:pPr>
      <w:r w:rsidRPr="00C01675">
        <w:rPr>
          <w:rFonts w:ascii="Traditional Arabic" w:hAnsi="Traditional Arabic"/>
          <w:sz w:val="32"/>
          <w:szCs w:val="32"/>
          <w:rtl/>
        </w:rPr>
        <w:t>(</w:t>
      </w:r>
      <w:r w:rsidRPr="00C01675">
        <w:rPr>
          <w:rStyle w:val="ae"/>
          <w:rFonts w:ascii="Traditional Arabic" w:hAnsi="Traditional Arabic"/>
          <w:sz w:val="32"/>
          <w:szCs w:val="32"/>
          <w:vertAlign w:val="baseline"/>
        </w:rPr>
        <w:footnoteRef/>
      </w:r>
      <w:r w:rsidRPr="00C01675">
        <w:rPr>
          <w:rFonts w:ascii="Traditional Arabic" w:hAnsi="Traditional Arabic"/>
          <w:sz w:val="32"/>
          <w:szCs w:val="32"/>
          <w:rtl/>
        </w:rPr>
        <w:t>) معاني القرآن وإعرابه (3/291), التفسير الوسيط (3/150)</w:t>
      </w:r>
      <w:r>
        <w:rPr>
          <w:rFonts w:ascii="Traditional Arabic" w:hAnsi="Traditional Arabic" w:hint="cs"/>
          <w:sz w:val="32"/>
          <w:szCs w:val="32"/>
          <w:rtl/>
        </w:rPr>
        <w:t>.</w:t>
      </w:r>
    </w:p>
  </w:footnote>
  <w:footnote w:id="1421">
    <w:p w:rsidR="003F128F" w:rsidRPr="00C01675" w:rsidRDefault="003F128F" w:rsidP="00DC21B6">
      <w:pPr>
        <w:pStyle w:val="af3"/>
        <w:rPr>
          <w:rFonts w:ascii="Traditional Arabic" w:hAnsi="Traditional Arabic"/>
          <w:sz w:val="32"/>
          <w:szCs w:val="32"/>
        </w:rPr>
      </w:pPr>
      <w:r w:rsidRPr="00C01675">
        <w:rPr>
          <w:rFonts w:ascii="Traditional Arabic" w:hAnsi="Traditional Arabic"/>
          <w:sz w:val="32"/>
          <w:szCs w:val="32"/>
          <w:rtl/>
        </w:rPr>
        <w:t>(</w:t>
      </w:r>
      <w:r w:rsidRPr="00C01675">
        <w:rPr>
          <w:rStyle w:val="ae"/>
          <w:rFonts w:ascii="Traditional Arabic" w:hAnsi="Traditional Arabic"/>
          <w:sz w:val="32"/>
          <w:szCs w:val="32"/>
          <w:vertAlign w:val="baseline"/>
        </w:rPr>
        <w:footnoteRef/>
      </w:r>
      <w:r>
        <w:rPr>
          <w:rFonts w:ascii="Traditional Arabic" w:hAnsi="Traditional Arabic"/>
          <w:sz w:val="32"/>
          <w:szCs w:val="32"/>
          <w:rtl/>
        </w:rPr>
        <w:t xml:space="preserve">) في (ك): </w:t>
      </w:r>
      <w:r>
        <w:rPr>
          <w:rFonts w:ascii="Traditional Arabic" w:hAnsi="Traditional Arabic" w:hint="cs"/>
          <w:sz w:val="32"/>
          <w:szCs w:val="32"/>
          <w:rtl/>
        </w:rPr>
        <w:t>[</w:t>
      </w:r>
      <w:r>
        <w:rPr>
          <w:rFonts w:ascii="Traditional Arabic" w:hAnsi="Traditional Arabic"/>
          <w:sz w:val="32"/>
          <w:szCs w:val="32"/>
          <w:rtl/>
        </w:rPr>
        <w:t>لا مما ينفع</w:t>
      </w:r>
      <w:r>
        <w:rPr>
          <w:rFonts w:ascii="Traditional Arabic" w:hAnsi="Traditional Arabic" w:hint="cs"/>
          <w:sz w:val="32"/>
          <w:szCs w:val="32"/>
          <w:rtl/>
        </w:rPr>
        <w:t>]</w:t>
      </w:r>
      <w:r w:rsidRPr="00C01675">
        <w:rPr>
          <w:rFonts w:ascii="Traditional Arabic" w:hAnsi="Traditional Arabic"/>
          <w:sz w:val="32"/>
          <w:szCs w:val="32"/>
          <w:rtl/>
        </w:rPr>
        <w:t>.</w:t>
      </w:r>
    </w:p>
  </w:footnote>
  <w:footnote w:id="1422">
    <w:p w:rsidR="003F128F" w:rsidRPr="00C01675" w:rsidRDefault="003F128F" w:rsidP="00DC21B6">
      <w:pPr>
        <w:pStyle w:val="af3"/>
        <w:rPr>
          <w:rFonts w:ascii="Traditional Arabic" w:hAnsi="Traditional Arabic"/>
          <w:sz w:val="32"/>
          <w:szCs w:val="32"/>
        </w:rPr>
      </w:pPr>
      <w:r w:rsidRPr="00C01675">
        <w:rPr>
          <w:rFonts w:ascii="Traditional Arabic" w:hAnsi="Traditional Arabic"/>
          <w:sz w:val="32"/>
          <w:szCs w:val="32"/>
          <w:rtl/>
        </w:rPr>
        <w:t>(</w:t>
      </w:r>
      <w:r w:rsidRPr="00C01675">
        <w:rPr>
          <w:rStyle w:val="ae"/>
          <w:rFonts w:ascii="Traditional Arabic" w:hAnsi="Traditional Arabic"/>
          <w:sz w:val="32"/>
          <w:szCs w:val="32"/>
          <w:vertAlign w:val="baseline"/>
        </w:rPr>
        <w:footnoteRef/>
      </w:r>
      <w:r w:rsidRPr="00C01675">
        <w:rPr>
          <w:rFonts w:ascii="Traditional Arabic" w:hAnsi="Traditional Arabic"/>
          <w:sz w:val="32"/>
          <w:szCs w:val="32"/>
          <w:rtl/>
        </w:rPr>
        <w:t>) انظر: تفسير الطبري (18/244), التفسير الوسيط (3/151).</w:t>
      </w:r>
    </w:p>
  </w:footnote>
  <w:footnote w:id="1423">
    <w:p w:rsidR="003F128F" w:rsidRPr="00C01675" w:rsidRDefault="003F128F" w:rsidP="00DC21B6">
      <w:pPr>
        <w:pStyle w:val="af3"/>
        <w:rPr>
          <w:rFonts w:ascii="Traditional Arabic" w:hAnsi="Traditional Arabic"/>
          <w:sz w:val="32"/>
          <w:szCs w:val="32"/>
        </w:rPr>
      </w:pPr>
      <w:r w:rsidRPr="00C01675">
        <w:rPr>
          <w:rFonts w:ascii="Traditional Arabic" w:hAnsi="Traditional Arabic"/>
          <w:sz w:val="32"/>
          <w:szCs w:val="32"/>
          <w:rtl/>
        </w:rPr>
        <w:t>(</w:t>
      </w:r>
      <w:r w:rsidRPr="00C01675">
        <w:rPr>
          <w:rStyle w:val="ae"/>
          <w:rFonts w:ascii="Traditional Arabic" w:hAnsi="Traditional Arabic"/>
          <w:sz w:val="32"/>
          <w:szCs w:val="32"/>
          <w:vertAlign w:val="baseline"/>
        </w:rPr>
        <w:footnoteRef/>
      </w:r>
      <w:r w:rsidRPr="00C01675">
        <w:rPr>
          <w:rFonts w:ascii="Traditional Arabic" w:hAnsi="Traditional Arabic"/>
          <w:sz w:val="32"/>
          <w:szCs w:val="32"/>
          <w:rtl/>
        </w:rPr>
        <w:t>) تفسير مقاتل (2/588), تفسير سفيان الثوري (ص189)</w:t>
      </w:r>
      <w:r>
        <w:rPr>
          <w:rFonts w:ascii="Traditional Arabic" w:hAnsi="Traditional Arabic" w:hint="cs"/>
          <w:sz w:val="32"/>
          <w:szCs w:val="32"/>
          <w:rtl/>
        </w:rPr>
        <w:t>.</w:t>
      </w:r>
    </w:p>
  </w:footnote>
  <w:footnote w:id="1424">
    <w:p w:rsidR="003F128F" w:rsidRPr="00C01675" w:rsidRDefault="003F128F" w:rsidP="00DC21B6">
      <w:pPr>
        <w:ind w:firstLine="0"/>
        <w:rPr>
          <w:rFonts w:ascii="Traditional Arabic" w:hAnsi="Traditional Arabic"/>
          <w:sz w:val="32"/>
          <w:szCs w:val="32"/>
        </w:rPr>
      </w:pPr>
      <w:r w:rsidRPr="00C01675">
        <w:rPr>
          <w:rFonts w:ascii="Traditional Arabic" w:hAnsi="Traditional Arabic"/>
          <w:sz w:val="32"/>
          <w:szCs w:val="32"/>
          <w:rtl/>
        </w:rPr>
        <w:t>(</w:t>
      </w:r>
      <w:r w:rsidRPr="00C01675">
        <w:rPr>
          <w:rStyle w:val="ae"/>
          <w:rFonts w:ascii="Traditional Arabic" w:hAnsi="Traditional Arabic"/>
          <w:sz w:val="32"/>
          <w:szCs w:val="32"/>
          <w:vertAlign w:val="baseline"/>
        </w:rPr>
        <w:footnoteRef/>
      </w:r>
      <w:r w:rsidRPr="00C01675">
        <w:rPr>
          <w:rFonts w:ascii="Traditional Arabic" w:hAnsi="Traditional Arabic"/>
          <w:sz w:val="32"/>
          <w:szCs w:val="32"/>
          <w:rtl/>
        </w:rPr>
        <w:t>) أخرجه النسائي في السنن الكبرى (كتاب عمل اليوم والليلة, باب</w:t>
      </w:r>
      <w:r>
        <w:rPr>
          <w:rFonts w:ascii="Traditional Arabic" w:hAnsi="Traditional Arabic" w:hint="cs"/>
          <w:sz w:val="32"/>
          <w:szCs w:val="32"/>
          <w:rtl/>
        </w:rPr>
        <w:t>:</w:t>
      </w:r>
      <w:r w:rsidRPr="00C01675">
        <w:rPr>
          <w:rFonts w:ascii="Traditional Arabic" w:hAnsi="Traditional Arabic"/>
          <w:sz w:val="32"/>
          <w:szCs w:val="32"/>
          <w:rtl/>
        </w:rPr>
        <w:t xml:space="preserve"> ثواب من سبح الله مائة تسبيحة وتحميدة وتكبيرة 10/326 ح10794), والطبراني في المعجم الصغير (ص238 ح407), والحاكم في المستدرك (1/725 ح1985) وصححه ووافقه الذهبي, والطبري في تفسيره (18/34), وصححه الألباني في الجامع الصغير (1/612 ح3214). </w:t>
      </w:r>
    </w:p>
  </w:footnote>
  <w:footnote w:id="1425">
    <w:p w:rsidR="003F128F" w:rsidRPr="00C01675" w:rsidRDefault="003F128F" w:rsidP="00DC21B6">
      <w:pPr>
        <w:pStyle w:val="af3"/>
        <w:rPr>
          <w:rFonts w:ascii="Traditional Arabic" w:hAnsi="Traditional Arabic"/>
          <w:sz w:val="32"/>
          <w:szCs w:val="32"/>
        </w:rPr>
      </w:pPr>
      <w:r w:rsidRPr="00C01675">
        <w:rPr>
          <w:rFonts w:ascii="Traditional Arabic" w:hAnsi="Traditional Arabic"/>
          <w:sz w:val="32"/>
          <w:szCs w:val="32"/>
          <w:rtl/>
        </w:rPr>
        <w:t>(</w:t>
      </w:r>
      <w:r w:rsidRPr="00C01675">
        <w:rPr>
          <w:rStyle w:val="ae"/>
          <w:rFonts w:ascii="Traditional Arabic" w:hAnsi="Traditional Arabic"/>
          <w:sz w:val="32"/>
          <w:szCs w:val="32"/>
          <w:vertAlign w:val="baseline"/>
        </w:rPr>
        <w:footnoteRef/>
      </w:r>
      <w:r w:rsidRPr="00C01675">
        <w:rPr>
          <w:rFonts w:ascii="Traditional Arabic" w:hAnsi="Traditional Arabic"/>
          <w:sz w:val="32"/>
          <w:szCs w:val="32"/>
          <w:rtl/>
        </w:rPr>
        <w:t xml:space="preserve">) تفسير الطبري (18/33), التفسير الوسيط (3/151).  </w:t>
      </w:r>
    </w:p>
  </w:footnote>
  <w:footnote w:id="1426">
    <w:p w:rsidR="003F128F" w:rsidRPr="00C01675" w:rsidRDefault="003F128F" w:rsidP="00DC21B6">
      <w:pPr>
        <w:pStyle w:val="af3"/>
        <w:rPr>
          <w:rFonts w:ascii="Traditional Arabic" w:hAnsi="Traditional Arabic"/>
          <w:sz w:val="32"/>
          <w:szCs w:val="32"/>
        </w:rPr>
      </w:pPr>
      <w:r w:rsidRPr="00C01675">
        <w:rPr>
          <w:rFonts w:ascii="Traditional Arabic" w:hAnsi="Traditional Arabic"/>
          <w:sz w:val="32"/>
          <w:szCs w:val="32"/>
          <w:rtl/>
        </w:rPr>
        <w:t>(</w:t>
      </w:r>
      <w:r w:rsidRPr="00C01675">
        <w:rPr>
          <w:rStyle w:val="ae"/>
          <w:rFonts w:ascii="Traditional Arabic" w:hAnsi="Traditional Arabic"/>
          <w:sz w:val="32"/>
          <w:szCs w:val="32"/>
          <w:vertAlign w:val="baseline"/>
        </w:rPr>
        <w:footnoteRef/>
      </w:r>
      <w:r w:rsidRPr="00C01675">
        <w:rPr>
          <w:rFonts w:ascii="Traditional Arabic" w:hAnsi="Traditional Arabic"/>
          <w:sz w:val="32"/>
          <w:szCs w:val="32"/>
          <w:rtl/>
        </w:rPr>
        <w:t xml:space="preserve">) تفسير عبد الرزاق (2/343), تفسير الطبري (18/34).  </w:t>
      </w:r>
    </w:p>
  </w:footnote>
  <w:footnote w:id="1427">
    <w:p w:rsidR="003F128F" w:rsidRPr="00C01675" w:rsidRDefault="003F128F" w:rsidP="00DC21B6">
      <w:pPr>
        <w:pStyle w:val="af3"/>
        <w:rPr>
          <w:rFonts w:ascii="Traditional Arabic" w:hAnsi="Traditional Arabic"/>
          <w:sz w:val="32"/>
          <w:szCs w:val="32"/>
        </w:rPr>
      </w:pPr>
      <w:r w:rsidRPr="00C01675">
        <w:rPr>
          <w:rFonts w:ascii="Traditional Arabic" w:hAnsi="Traditional Arabic"/>
          <w:sz w:val="32"/>
          <w:szCs w:val="32"/>
          <w:rtl/>
        </w:rPr>
        <w:t>(</w:t>
      </w:r>
      <w:r w:rsidRPr="00C01675">
        <w:rPr>
          <w:rStyle w:val="ae"/>
          <w:rFonts w:ascii="Traditional Arabic" w:hAnsi="Traditional Arabic"/>
          <w:sz w:val="32"/>
          <w:szCs w:val="32"/>
          <w:vertAlign w:val="baseline"/>
        </w:rPr>
        <w:footnoteRef/>
      </w:r>
      <w:r w:rsidRPr="00C01675">
        <w:rPr>
          <w:rFonts w:ascii="Traditional Arabic" w:hAnsi="Traditional Arabic"/>
          <w:sz w:val="32"/>
          <w:szCs w:val="32"/>
          <w:rtl/>
        </w:rPr>
        <w:t>) الكشف والبيان (6/173), التفسير الوسيط (3/151).</w:t>
      </w:r>
    </w:p>
  </w:footnote>
  <w:footnote w:id="1428">
    <w:p w:rsidR="003F128F" w:rsidRPr="00C83536" w:rsidRDefault="003F128F" w:rsidP="007B00D1">
      <w:pPr>
        <w:pStyle w:val="af3"/>
        <w:jc w:val="lowKashida"/>
        <w:rPr>
          <w:rFonts w:ascii="Traditional Arabic" w:hAnsi="Traditional Arabic"/>
          <w:sz w:val="32"/>
          <w:szCs w:val="32"/>
        </w:rPr>
      </w:pPr>
      <w:r w:rsidRPr="00B76F42">
        <w:rPr>
          <w:rFonts w:ascii="Traditional Arabic" w:hAnsi="Traditional Arabic"/>
          <w:sz w:val="32"/>
          <w:szCs w:val="32"/>
          <w:rtl/>
        </w:rPr>
        <w:t>(</w:t>
      </w:r>
      <w:r w:rsidRPr="00B76F42">
        <w:rPr>
          <w:rStyle w:val="ae"/>
          <w:rFonts w:ascii="Traditional Arabic" w:hAnsi="Traditional Arabic"/>
          <w:sz w:val="32"/>
          <w:szCs w:val="32"/>
          <w:vertAlign w:val="baseline"/>
        </w:rPr>
        <w:footnoteRef/>
      </w:r>
      <w:r w:rsidRPr="00B76F42">
        <w:rPr>
          <w:rFonts w:ascii="Traditional Arabic" w:hAnsi="Traditional Arabic"/>
          <w:sz w:val="32"/>
          <w:szCs w:val="32"/>
          <w:rtl/>
        </w:rPr>
        <w:t xml:space="preserve">) </w:t>
      </w:r>
      <w:r w:rsidRPr="00B76F42">
        <w:rPr>
          <w:rFonts w:ascii="Traditional Arabic" w:hAnsi="Traditional Arabic" w:hint="cs"/>
          <w:sz w:val="32"/>
          <w:szCs w:val="32"/>
          <w:rtl/>
        </w:rPr>
        <w:t>هو صاحب رسول الله</w:t>
      </w:r>
      <w:r>
        <w:rPr>
          <w:rFonts w:ascii="Traditional Arabic" w:hAnsi="Traditional Arabic" w:hint="cs"/>
          <w:sz w:val="32"/>
          <w:szCs w:val="32"/>
          <w:rtl/>
        </w:rPr>
        <w:t xml:space="preserve"> </w:t>
      </w:r>
      <w:r>
        <w:rPr>
          <w:rFonts w:ascii="Traditional Arabic" w:hAnsi="Traditional Arabic" w:hint="cs"/>
          <w:sz w:val="32"/>
          <w:szCs w:val="32"/>
        </w:rPr>
        <w:sym w:font="AGA Arabesque" w:char="F072"/>
      </w:r>
      <w:r>
        <w:rPr>
          <w:rFonts w:ascii="Traditional Arabic" w:hAnsi="Traditional Arabic" w:hint="cs"/>
          <w:sz w:val="32"/>
          <w:szCs w:val="32"/>
          <w:rtl/>
        </w:rPr>
        <w:t>,</w:t>
      </w:r>
      <w:r w:rsidRPr="00B76F42">
        <w:rPr>
          <w:rFonts w:ascii="Traditional Arabic" w:hAnsi="Traditional Arabic" w:hint="cs"/>
          <w:sz w:val="32"/>
          <w:szCs w:val="32"/>
          <w:rtl/>
        </w:rPr>
        <w:t xml:space="preserve"> أبو عبدالله</w:t>
      </w:r>
      <w:r>
        <w:rPr>
          <w:rFonts w:ascii="Traditional Arabic" w:hAnsi="Traditional Arabic" w:hint="cs"/>
          <w:sz w:val="32"/>
          <w:szCs w:val="32"/>
          <w:rtl/>
        </w:rPr>
        <w:t>,</w:t>
      </w:r>
      <w:r w:rsidRPr="00B76F42">
        <w:rPr>
          <w:rFonts w:ascii="Traditional Arabic" w:hAnsi="Traditional Arabic" w:hint="cs"/>
          <w:sz w:val="32"/>
          <w:szCs w:val="32"/>
          <w:rtl/>
        </w:rPr>
        <w:t xml:space="preserve"> </w:t>
      </w:r>
      <w:r w:rsidRPr="00B76F42">
        <w:rPr>
          <w:rFonts w:ascii="Traditional Arabic" w:hAnsi="Traditional Arabic"/>
          <w:sz w:val="32"/>
          <w:szCs w:val="32"/>
          <w:rtl/>
        </w:rPr>
        <w:t>عثمان بن عفان</w:t>
      </w:r>
      <w:r w:rsidRPr="00B76F42">
        <w:rPr>
          <w:rFonts w:ascii="Traditional Arabic" w:hAnsi="Traditional Arabic" w:hint="cs"/>
          <w:sz w:val="32"/>
          <w:szCs w:val="32"/>
          <w:rtl/>
        </w:rPr>
        <w:t xml:space="preserve"> </w:t>
      </w:r>
      <w:r w:rsidRPr="00B76F42">
        <w:rPr>
          <w:rFonts w:ascii="Traditional Arabic" w:hAnsi="Traditional Arabic"/>
          <w:sz w:val="32"/>
          <w:szCs w:val="32"/>
          <w:rtl/>
        </w:rPr>
        <w:t>ابن أبي العاص بْن أمية الْقُرَشِيّ</w:t>
      </w:r>
      <w:r w:rsidRPr="00B76F42">
        <w:rPr>
          <w:rFonts w:ascii="Traditional Arabic" w:hAnsi="Traditional Arabic" w:hint="cs"/>
          <w:sz w:val="32"/>
          <w:szCs w:val="32"/>
          <w:rtl/>
        </w:rPr>
        <w:t>,</w:t>
      </w:r>
      <w:r w:rsidRPr="00B76F42">
        <w:rPr>
          <w:rFonts w:ascii="Traditional Arabic" w:hAnsi="Traditional Arabic"/>
          <w:sz w:val="32"/>
          <w:szCs w:val="32"/>
          <w:rtl/>
        </w:rPr>
        <w:t xml:space="preserve"> الأموي</w:t>
      </w:r>
      <w:r>
        <w:rPr>
          <w:rFonts w:ascii="Traditional Arabic" w:hAnsi="Traditional Arabic" w:hint="cs"/>
          <w:sz w:val="32"/>
          <w:szCs w:val="32"/>
          <w:rtl/>
        </w:rPr>
        <w:t xml:space="preserve">, </w:t>
      </w:r>
      <w:r w:rsidRPr="00B76F42">
        <w:rPr>
          <w:rFonts w:ascii="Traditional Arabic" w:hAnsi="Traditional Arabic" w:hint="cs"/>
          <w:sz w:val="32"/>
          <w:szCs w:val="32"/>
          <w:rtl/>
        </w:rPr>
        <w:t xml:space="preserve">ثالث </w:t>
      </w:r>
      <w:r>
        <w:rPr>
          <w:rFonts w:ascii="Traditional Arabic" w:hAnsi="Traditional Arabic"/>
          <w:sz w:val="32"/>
          <w:szCs w:val="32"/>
          <w:rtl/>
        </w:rPr>
        <w:t xml:space="preserve"> </w:t>
      </w:r>
      <w:r w:rsidRPr="00B76F42">
        <w:rPr>
          <w:rFonts w:ascii="Traditional Arabic" w:hAnsi="Traditional Arabic" w:hint="cs"/>
          <w:sz w:val="32"/>
          <w:szCs w:val="32"/>
          <w:rtl/>
        </w:rPr>
        <w:t>الخلفاء الراشدين,</w:t>
      </w:r>
      <w:r w:rsidRPr="00B76F42">
        <w:rPr>
          <w:rFonts w:ascii="Traditional Arabic" w:hAnsi="Traditional Arabic"/>
          <w:sz w:val="44"/>
          <w:szCs w:val="44"/>
          <w:rtl/>
          <w:lang w:eastAsia="en-US"/>
        </w:rPr>
        <w:t xml:space="preserve"> </w:t>
      </w:r>
      <w:r w:rsidRPr="00B76F42">
        <w:rPr>
          <w:rFonts w:ascii="Traditional Arabic" w:hAnsi="Traditional Arabic"/>
          <w:sz w:val="32"/>
          <w:szCs w:val="32"/>
          <w:rtl/>
        </w:rPr>
        <w:t>أحد السابقين الأولين، وذو النورين، وصاحب الهجرتين</w:t>
      </w:r>
      <w:r w:rsidRPr="00B76F42">
        <w:rPr>
          <w:rFonts w:ascii="Traditional Arabic" w:hAnsi="Traditional Arabic" w:hint="cs"/>
          <w:sz w:val="32"/>
          <w:szCs w:val="32"/>
          <w:rtl/>
        </w:rPr>
        <w:t>,</w:t>
      </w:r>
      <w:r>
        <w:rPr>
          <w:rFonts w:ascii="Traditional Arabic" w:hAnsi="Traditional Arabic" w:hint="cs"/>
          <w:sz w:val="32"/>
          <w:szCs w:val="32"/>
          <w:rtl/>
        </w:rPr>
        <w:t xml:space="preserve"> </w:t>
      </w:r>
      <w:r w:rsidRPr="00C83536">
        <w:rPr>
          <w:rFonts w:ascii="Traditional Arabic" w:hAnsi="Traditional Arabic"/>
          <w:sz w:val="32"/>
          <w:szCs w:val="32"/>
          <w:rtl/>
        </w:rPr>
        <w:t>(ت35ه). انظر: طبقات ابن سعد (3/39), أسد الغابة (3/578), سير أعلام النبلاء (2/150).</w:t>
      </w:r>
    </w:p>
  </w:footnote>
  <w:footnote w:id="1429">
    <w:p w:rsidR="003F128F" w:rsidRPr="00C83536" w:rsidRDefault="003F128F" w:rsidP="00DC21B6">
      <w:pPr>
        <w:pStyle w:val="af3"/>
        <w:rPr>
          <w:rFonts w:ascii="Traditional Arabic" w:hAnsi="Traditional Arabic"/>
          <w:sz w:val="32"/>
          <w:szCs w:val="32"/>
        </w:rPr>
      </w:pPr>
      <w:r w:rsidRPr="00C83536">
        <w:rPr>
          <w:rFonts w:ascii="Traditional Arabic" w:hAnsi="Traditional Arabic"/>
          <w:sz w:val="32"/>
          <w:szCs w:val="32"/>
          <w:rtl/>
        </w:rPr>
        <w:t>(</w:t>
      </w:r>
      <w:r w:rsidRPr="00C83536">
        <w:rPr>
          <w:rStyle w:val="ae"/>
          <w:rFonts w:ascii="Traditional Arabic" w:hAnsi="Traditional Arabic"/>
          <w:sz w:val="32"/>
          <w:szCs w:val="32"/>
          <w:vertAlign w:val="baseline"/>
        </w:rPr>
        <w:footnoteRef/>
      </w:r>
      <w:r w:rsidRPr="00C83536">
        <w:rPr>
          <w:rFonts w:ascii="Traditional Arabic" w:hAnsi="Traditional Arabic"/>
          <w:sz w:val="32"/>
          <w:szCs w:val="32"/>
          <w:rtl/>
        </w:rPr>
        <w:t xml:space="preserve">) تفسير الطبري (18/32), الكشف والبيان (6/173).  </w:t>
      </w:r>
    </w:p>
  </w:footnote>
  <w:footnote w:id="1430">
    <w:p w:rsidR="003F128F" w:rsidRPr="00C83536" w:rsidRDefault="003F128F" w:rsidP="00DC21B6">
      <w:pPr>
        <w:pStyle w:val="af3"/>
        <w:rPr>
          <w:rFonts w:ascii="Traditional Arabic" w:hAnsi="Traditional Arabic"/>
          <w:sz w:val="32"/>
          <w:szCs w:val="32"/>
        </w:rPr>
      </w:pPr>
      <w:r w:rsidRPr="00C83536">
        <w:rPr>
          <w:rFonts w:ascii="Traditional Arabic" w:hAnsi="Traditional Arabic"/>
          <w:sz w:val="32"/>
          <w:szCs w:val="32"/>
          <w:rtl/>
        </w:rPr>
        <w:t>(</w:t>
      </w:r>
      <w:r w:rsidRPr="00C83536">
        <w:rPr>
          <w:rStyle w:val="ae"/>
          <w:rFonts w:ascii="Traditional Arabic" w:hAnsi="Traditional Arabic"/>
          <w:sz w:val="32"/>
          <w:szCs w:val="32"/>
          <w:vertAlign w:val="baseline"/>
        </w:rPr>
        <w:footnoteRef/>
      </w:r>
      <w:r w:rsidRPr="00C83536">
        <w:rPr>
          <w:rFonts w:ascii="Traditional Arabic" w:hAnsi="Traditional Arabic"/>
          <w:sz w:val="32"/>
          <w:szCs w:val="32"/>
          <w:rtl/>
        </w:rPr>
        <w:t xml:space="preserve">) تفسير الطبري (18/33), الكشف والبيان (6/173).  </w:t>
      </w:r>
    </w:p>
  </w:footnote>
  <w:footnote w:id="1431">
    <w:p w:rsidR="003F128F" w:rsidRPr="00C83536" w:rsidRDefault="003F128F" w:rsidP="00DC21B6">
      <w:pPr>
        <w:pStyle w:val="af3"/>
        <w:rPr>
          <w:rFonts w:ascii="Traditional Arabic" w:hAnsi="Traditional Arabic"/>
          <w:sz w:val="32"/>
          <w:szCs w:val="32"/>
        </w:rPr>
      </w:pPr>
      <w:r w:rsidRPr="00C83536">
        <w:rPr>
          <w:rFonts w:ascii="Traditional Arabic" w:hAnsi="Traditional Arabic"/>
          <w:sz w:val="32"/>
          <w:szCs w:val="32"/>
          <w:rtl/>
        </w:rPr>
        <w:t>(</w:t>
      </w:r>
      <w:r w:rsidRPr="00C83536">
        <w:rPr>
          <w:rStyle w:val="ae"/>
          <w:rFonts w:ascii="Traditional Arabic" w:hAnsi="Traditional Arabic"/>
          <w:sz w:val="32"/>
          <w:szCs w:val="32"/>
          <w:vertAlign w:val="baseline"/>
        </w:rPr>
        <w:footnoteRef/>
      </w:r>
      <w:r w:rsidRPr="00C83536">
        <w:rPr>
          <w:rFonts w:ascii="Traditional Arabic" w:hAnsi="Traditional Arabic"/>
          <w:sz w:val="32"/>
          <w:szCs w:val="32"/>
          <w:rtl/>
        </w:rPr>
        <w:t>) قوله: [والحمد لله] ليس في (ك).</w:t>
      </w:r>
    </w:p>
  </w:footnote>
  <w:footnote w:id="1432">
    <w:p w:rsidR="003F128F" w:rsidRPr="00C83536" w:rsidRDefault="003F128F" w:rsidP="00DC21B6">
      <w:pPr>
        <w:ind w:firstLine="0"/>
        <w:rPr>
          <w:rFonts w:ascii="Traditional Arabic" w:hAnsi="Traditional Arabic"/>
          <w:sz w:val="32"/>
          <w:szCs w:val="32"/>
        </w:rPr>
      </w:pPr>
      <w:r w:rsidRPr="00C83536">
        <w:rPr>
          <w:rFonts w:ascii="Traditional Arabic" w:hAnsi="Traditional Arabic"/>
          <w:sz w:val="32"/>
          <w:szCs w:val="32"/>
          <w:rtl/>
        </w:rPr>
        <w:t>(</w:t>
      </w:r>
      <w:r w:rsidRPr="00C83536">
        <w:rPr>
          <w:rStyle w:val="ae"/>
          <w:rFonts w:ascii="Traditional Arabic" w:hAnsi="Traditional Arabic"/>
          <w:sz w:val="32"/>
          <w:szCs w:val="32"/>
          <w:vertAlign w:val="baseline"/>
        </w:rPr>
        <w:footnoteRef/>
      </w:r>
      <w:r w:rsidRPr="00C83536">
        <w:rPr>
          <w:rFonts w:ascii="Traditional Arabic" w:hAnsi="Traditional Arabic"/>
          <w:sz w:val="32"/>
          <w:szCs w:val="32"/>
          <w:rtl/>
        </w:rPr>
        <w:t>) أخرجه يحيى بن سلام في تفسيره (1/189) موقوفاً, وكذلك ابن العربي في أحكام القرآن (3/235), وعزاه السيوطي الدر المنثور (5/397)</w:t>
      </w:r>
      <w:r w:rsidRPr="00552608">
        <w:rPr>
          <w:rFonts w:ascii="Traditional Arabic" w:hAnsi="Traditional Arabic"/>
          <w:sz w:val="32"/>
          <w:szCs w:val="32"/>
          <w:rtl/>
        </w:rPr>
        <w:t xml:space="preserve"> </w:t>
      </w:r>
      <w:r>
        <w:rPr>
          <w:rFonts w:ascii="Traditional Arabic" w:hAnsi="Traditional Arabic"/>
          <w:sz w:val="32"/>
          <w:szCs w:val="32"/>
          <w:rtl/>
        </w:rPr>
        <w:t>لابن مردويه</w:t>
      </w:r>
      <w:r>
        <w:rPr>
          <w:rFonts w:ascii="Traditional Arabic" w:hAnsi="Traditional Arabic" w:hint="cs"/>
          <w:sz w:val="32"/>
          <w:szCs w:val="32"/>
          <w:rtl/>
        </w:rPr>
        <w:t>.</w:t>
      </w:r>
    </w:p>
  </w:footnote>
  <w:footnote w:id="1433">
    <w:p w:rsidR="003F128F" w:rsidRPr="00C83536" w:rsidRDefault="003F128F" w:rsidP="00DC21B6">
      <w:pPr>
        <w:pStyle w:val="af3"/>
        <w:rPr>
          <w:rFonts w:ascii="Traditional Arabic" w:hAnsi="Traditional Arabic"/>
          <w:sz w:val="32"/>
          <w:szCs w:val="32"/>
        </w:rPr>
      </w:pPr>
      <w:r w:rsidRPr="00C83536">
        <w:rPr>
          <w:rFonts w:ascii="Traditional Arabic" w:hAnsi="Traditional Arabic"/>
          <w:sz w:val="32"/>
          <w:szCs w:val="32"/>
          <w:rtl/>
        </w:rPr>
        <w:t>(</w:t>
      </w:r>
      <w:r w:rsidRPr="00C83536">
        <w:rPr>
          <w:rStyle w:val="ae"/>
          <w:rFonts w:ascii="Traditional Arabic" w:hAnsi="Traditional Arabic"/>
          <w:sz w:val="32"/>
          <w:szCs w:val="32"/>
          <w:vertAlign w:val="baseline"/>
        </w:rPr>
        <w:footnoteRef/>
      </w:r>
      <w:r w:rsidRPr="00C83536">
        <w:rPr>
          <w:rFonts w:ascii="Traditional Arabic" w:hAnsi="Traditional Arabic"/>
          <w:sz w:val="32"/>
          <w:szCs w:val="32"/>
          <w:rtl/>
        </w:rPr>
        <w:t xml:space="preserve">) تفسير عبد الرزاق (2/362), تفسير الطبري (18/32).  </w:t>
      </w:r>
    </w:p>
  </w:footnote>
  <w:footnote w:id="1434">
    <w:p w:rsidR="003F128F" w:rsidRPr="00C83536" w:rsidRDefault="003F128F" w:rsidP="00DC21B6">
      <w:pPr>
        <w:pStyle w:val="af3"/>
        <w:rPr>
          <w:rFonts w:ascii="Traditional Arabic" w:hAnsi="Traditional Arabic"/>
          <w:sz w:val="32"/>
          <w:szCs w:val="32"/>
        </w:rPr>
      </w:pPr>
      <w:r w:rsidRPr="00C83536">
        <w:rPr>
          <w:rFonts w:ascii="Traditional Arabic" w:hAnsi="Traditional Arabic"/>
          <w:sz w:val="32"/>
          <w:szCs w:val="32"/>
          <w:rtl/>
        </w:rPr>
        <w:t>(</w:t>
      </w:r>
      <w:r w:rsidRPr="00C83536">
        <w:rPr>
          <w:rStyle w:val="ae"/>
          <w:rFonts w:ascii="Traditional Arabic" w:hAnsi="Traditional Arabic"/>
          <w:sz w:val="32"/>
          <w:szCs w:val="32"/>
          <w:vertAlign w:val="baseline"/>
        </w:rPr>
        <w:footnoteRef/>
      </w:r>
      <w:r w:rsidRPr="00C83536">
        <w:rPr>
          <w:rFonts w:ascii="Traditional Arabic" w:hAnsi="Traditional Arabic"/>
          <w:sz w:val="32"/>
          <w:szCs w:val="32"/>
          <w:rtl/>
        </w:rPr>
        <w:t>) التفسير الوسيط (3/151), معالم التنزيل (5/175).</w:t>
      </w:r>
    </w:p>
  </w:footnote>
  <w:footnote w:id="1435">
    <w:p w:rsidR="003F128F" w:rsidRPr="00C83536" w:rsidRDefault="003F128F" w:rsidP="00DC21B6">
      <w:pPr>
        <w:pStyle w:val="af3"/>
        <w:rPr>
          <w:rFonts w:ascii="Traditional Arabic" w:hAnsi="Traditional Arabic"/>
          <w:sz w:val="32"/>
          <w:szCs w:val="32"/>
        </w:rPr>
      </w:pPr>
      <w:r w:rsidRPr="00C83536">
        <w:rPr>
          <w:rFonts w:ascii="Traditional Arabic" w:hAnsi="Traditional Arabic"/>
          <w:sz w:val="32"/>
          <w:szCs w:val="32"/>
          <w:rtl/>
        </w:rPr>
        <w:t>(</w:t>
      </w:r>
      <w:r w:rsidRPr="00C83536">
        <w:rPr>
          <w:rStyle w:val="ae"/>
          <w:rFonts w:ascii="Traditional Arabic" w:hAnsi="Traditional Arabic"/>
          <w:sz w:val="32"/>
          <w:szCs w:val="32"/>
          <w:vertAlign w:val="baseline"/>
        </w:rPr>
        <w:footnoteRef/>
      </w:r>
      <w:r w:rsidRPr="00C83536">
        <w:rPr>
          <w:rFonts w:ascii="Traditional Arabic" w:hAnsi="Traditional Arabic"/>
          <w:sz w:val="32"/>
          <w:szCs w:val="32"/>
          <w:rtl/>
        </w:rPr>
        <w:t>) تفسير الطبري (18/35), تفسير ابن أبي حاتم (7/2364).</w:t>
      </w:r>
    </w:p>
  </w:footnote>
  <w:footnote w:id="1436">
    <w:p w:rsidR="003F128F" w:rsidRPr="00C83536" w:rsidRDefault="003F128F" w:rsidP="00DC21B6">
      <w:pPr>
        <w:pStyle w:val="af3"/>
        <w:rPr>
          <w:rFonts w:ascii="Traditional Arabic" w:hAnsi="Traditional Arabic"/>
          <w:sz w:val="32"/>
          <w:szCs w:val="32"/>
        </w:rPr>
      </w:pPr>
      <w:r w:rsidRPr="00C83536">
        <w:rPr>
          <w:rFonts w:ascii="Traditional Arabic" w:hAnsi="Traditional Arabic"/>
          <w:sz w:val="32"/>
          <w:szCs w:val="32"/>
          <w:rtl/>
        </w:rPr>
        <w:t>(</w:t>
      </w:r>
      <w:r w:rsidRPr="00C83536">
        <w:rPr>
          <w:rStyle w:val="ae"/>
          <w:rFonts w:ascii="Traditional Arabic" w:hAnsi="Traditional Arabic"/>
          <w:sz w:val="32"/>
          <w:szCs w:val="32"/>
          <w:vertAlign w:val="baseline"/>
        </w:rPr>
        <w:footnoteRef/>
      </w:r>
      <w:r w:rsidRPr="00C83536">
        <w:rPr>
          <w:rFonts w:ascii="Traditional Arabic" w:hAnsi="Traditional Arabic"/>
          <w:sz w:val="32"/>
          <w:szCs w:val="32"/>
          <w:rtl/>
        </w:rPr>
        <w:t xml:space="preserve">) انظر: تفسير الطبري (18/35), الكشف والبيان (6/174).  </w:t>
      </w:r>
    </w:p>
  </w:footnote>
  <w:footnote w:id="1437">
    <w:p w:rsidR="003F128F" w:rsidRPr="0004117E" w:rsidRDefault="003F128F" w:rsidP="00DC21B6">
      <w:pPr>
        <w:pStyle w:val="af3"/>
        <w:rPr>
          <w:rFonts w:ascii="Traditional Arabic" w:hAnsi="Traditional Arabic"/>
          <w:sz w:val="32"/>
          <w:szCs w:val="32"/>
        </w:rPr>
      </w:pPr>
      <w:r w:rsidRPr="00C83536">
        <w:rPr>
          <w:rFonts w:ascii="Traditional Arabic" w:hAnsi="Traditional Arabic"/>
          <w:sz w:val="32"/>
          <w:szCs w:val="32"/>
          <w:rtl/>
        </w:rPr>
        <w:t>(</w:t>
      </w:r>
      <w:r w:rsidRPr="00C83536">
        <w:rPr>
          <w:rStyle w:val="ae"/>
          <w:rFonts w:ascii="Traditional Arabic" w:hAnsi="Traditional Arabic"/>
          <w:sz w:val="32"/>
          <w:szCs w:val="32"/>
          <w:vertAlign w:val="baseline"/>
        </w:rPr>
        <w:footnoteRef/>
      </w:r>
      <w:r w:rsidRPr="00C83536">
        <w:rPr>
          <w:rFonts w:ascii="Traditional Arabic" w:hAnsi="Traditional Arabic"/>
          <w:sz w:val="32"/>
          <w:szCs w:val="32"/>
          <w:rtl/>
        </w:rPr>
        <w:t>) انظر: تفسير مقاتل (2/588), النكت والعيون (3/311).</w:t>
      </w:r>
    </w:p>
  </w:footnote>
  <w:footnote w:id="1438">
    <w:p w:rsidR="003F128F" w:rsidRPr="00FD2CFA" w:rsidRDefault="003F128F" w:rsidP="00E14A40">
      <w:pPr>
        <w:pStyle w:val="af3"/>
        <w:rPr>
          <w:rFonts w:ascii="Traditional Arabic" w:hAnsi="Traditional Arabic"/>
          <w:sz w:val="32"/>
          <w:szCs w:val="32"/>
        </w:rPr>
      </w:pPr>
      <w:r w:rsidRPr="00FD2CFA">
        <w:rPr>
          <w:rFonts w:ascii="Traditional Arabic" w:hAnsi="Traditional Arabic"/>
          <w:sz w:val="32"/>
          <w:szCs w:val="32"/>
          <w:rtl/>
        </w:rPr>
        <w:t>(</w:t>
      </w:r>
      <w:r w:rsidRPr="00FD2CFA">
        <w:rPr>
          <w:rStyle w:val="ae"/>
          <w:rFonts w:ascii="Traditional Arabic" w:hAnsi="Traditional Arabic"/>
          <w:sz w:val="32"/>
          <w:szCs w:val="32"/>
          <w:vertAlign w:val="baseline"/>
        </w:rPr>
        <w:footnoteRef/>
      </w:r>
      <w:r w:rsidRPr="00FD2CFA">
        <w:rPr>
          <w:rFonts w:ascii="Traditional Arabic" w:hAnsi="Traditional Arabic"/>
          <w:sz w:val="32"/>
          <w:szCs w:val="32"/>
          <w:rtl/>
        </w:rPr>
        <w:t>)</w:t>
      </w:r>
      <w:r>
        <w:rPr>
          <w:rFonts w:ascii="Traditional Arabic" w:hAnsi="Traditional Arabic" w:hint="cs"/>
          <w:sz w:val="32"/>
          <w:szCs w:val="32"/>
          <w:rtl/>
        </w:rPr>
        <w:t xml:space="preserve"> </w:t>
      </w:r>
      <w:r w:rsidRPr="00FD2CFA">
        <w:rPr>
          <w:rFonts w:ascii="Traditional Arabic" w:hAnsi="Traditional Arabic"/>
          <w:sz w:val="32"/>
          <w:szCs w:val="32"/>
          <w:rtl/>
        </w:rPr>
        <w:t xml:space="preserve">انظر: السبعة في القراءات (ص393), معاني القراءات (2/112). </w:t>
      </w:r>
    </w:p>
  </w:footnote>
  <w:footnote w:id="1439">
    <w:p w:rsidR="003F128F" w:rsidRPr="00FD2CFA" w:rsidRDefault="003F128F" w:rsidP="00E14A40">
      <w:pPr>
        <w:pStyle w:val="af3"/>
        <w:rPr>
          <w:rFonts w:ascii="Traditional Arabic" w:hAnsi="Traditional Arabic"/>
          <w:sz w:val="32"/>
          <w:szCs w:val="32"/>
        </w:rPr>
      </w:pPr>
      <w:r w:rsidRPr="00FD2CFA">
        <w:rPr>
          <w:rFonts w:ascii="Traditional Arabic" w:hAnsi="Traditional Arabic"/>
          <w:sz w:val="32"/>
          <w:szCs w:val="32"/>
          <w:rtl/>
        </w:rPr>
        <w:t>(</w:t>
      </w:r>
      <w:r w:rsidRPr="00FD2CFA">
        <w:rPr>
          <w:rStyle w:val="ae"/>
          <w:rFonts w:ascii="Traditional Arabic" w:hAnsi="Traditional Arabic"/>
          <w:sz w:val="32"/>
          <w:szCs w:val="32"/>
          <w:vertAlign w:val="baseline"/>
        </w:rPr>
        <w:footnoteRef/>
      </w:r>
      <w:r w:rsidRPr="00FD2CFA">
        <w:rPr>
          <w:rFonts w:ascii="Traditional Arabic" w:hAnsi="Traditional Arabic"/>
          <w:sz w:val="32"/>
          <w:szCs w:val="32"/>
          <w:rtl/>
        </w:rPr>
        <w:t>)</w:t>
      </w:r>
      <w:r>
        <w:rPr>
          <w:rFonts w:ascii="Traditional Arabic" w:hAnsi="Traditional Arabic" w:hint="cs"/>
          <w:sz w:val="32"/>
          <w:szCs w:val="32"/>
          <w:rtl/>
        </w:rPr>
        <w:t xml:space="preserve"> </w:t>
      </w:r>
      <w:r w:rsidRPr="00FD2CFA">
        <w:rPr>
          <w:rFonts w:ascii="Traditional Arabic" w:hAnsi="Traditional Arabic"/>
          <w:sz w:val="32"/>
          <w:szCs w:val="32"/>
          <w:rtl/>
        </w:rPr>
        <w:t xml:space="preserve">انظر: مختصر الشواذ (ص83), الكامل في القراءات العشر (ص591). </w:t>
      </w:r>
    </w:p>
  </w:footnote>
  <w:footnote w:id="1440">
    <w:p w:rsidR="003F128F" w:rsidRPr="00FD2CFA" w:rsidRDefault="003F128F" w:rsidP="00E14A40">
      <w:pPr>
        <w:pStyle w:val="af3"/>
        <w:rPr>
          <w:rFonts w:ascii="Traditional Arabic" w:hAnsi="Traditional Arabic"/>
          <w:sz w:val="32"/>
          <w:szCs w:val="32"/>
        </w:rPr>
      </w:pPr>
      <w:r w:rsidRPr="00FD2CFA">
        <w:rPr>
          <w:rFonts w:ascii="Traditional Arabic" w:hAnsi="Traditional Arabic"/>
          <w:sz w:val="32"/>
          <w:szCs w:val="32"/>
          <w:rtl/>
        </w:rPr>
        <w:t>(</w:t>
      </w:r>
      <w:r w:rsidRPr="00FD2CFA">
        <w:rPr>
          <w:rStyle w:val="ae"/>
          <w:rFonts w:ascii="Traditional Arabic" w:hAnsi="Traditional Arabic"/>
          <w:sz w:val="32"/>
          <w:szCs w:val="32"/>
          <w:vertAlign w:val="baseline"/>
        </w:rPr>
        <w:footnoteRef/>
      </w:r>
      <w:r w:rsidRPr="00FD2CFA">
        <w:rPr>
          <w:rFonts w:ascii="Traditional Arabic" w:hAnsi="Traditional Arabic"/>
          <w:sz w:val="32"/>
          <w:szCs w:val="32"/>
          <w:rtl/>
        </w:rPr>
        <w:t>) ما بين المعكوفتين ساقط من الأصل, والمثبت من (ك)</w:t>
      </w:r>
      <w:r>
        <w:rPr>
          <w:rFonts w:ascii="Traditional Arabic" w:hAnsi="Traditional Arabic" w:hint="cs"/>
          <w:sz w:val="32"/>
          <w:szCs w:val="32"/>
          <w:rtl/>
        </w:rPr>
        <w:t xml:space="preserve"> وهو موافق لما في كتاب </w:t>
      </w:r>
      <w:r w:rsidRPr="00C83536">
        <w:rPr>
          <w:rFonts w:ascii="Traditional Arabic" w:hAnsi="Traditional Arabic"/>
          <w:sz w:val="32"/>
          <w:szCs w:val="32"/>
          <w:rtl/>
        </w:rPr>
        <w:t>معاني القرآن وإعرابه</w:t>
      </w:r>
      <w:r w:rsidRPr="00FD2CFA">
        <w:rPr>
          <w:rFonts w:ascii="Traditional Arabic" w:hAnsi="Traditional Arabic"/>
          <w:sz w:val="32"/>
          <w:szCs w:val="32"/>
          <w:rtl/>
        </w:rPr>
        <w:t>.</w:t>
      </w:r>
    </w:p>
  </w:footnote>
  <w:footnote w:id="1441">
    <w:p w:rsidR="003F128F" w:rsidRPr="00FD2CFA" w:rsidRDefault="003F128F" w:rsidP="00E14A40">
      <w:pPr>
        <w:pStyle w:val="af3"/>
        <w:rPr>
          <w:rFonts w:ascii="Traditional Arabic" w:hAnsi="Traditional Arabic"/>
          <w:sz w:val="32"/>
          <w:szCs w:val="32"/>
        </w:rPr>
      </w:pPr>
      <w:r w:rsidRPr="00FD2CFA">
        <w:rPr>
          <w:rFonts w:ascii="Traditional Arabic" w:hAnsi="Traditional Arabic"/>
          <w:sz w:val="32"/>
          <w:szCs w:val="32"/>
          <w:rtl/>
        </w:rPr>
        <w:t>(</w:t>
      </w:r>
      <w:r w:rsidRPr="00FD2CFA">
        <w:rPr>
          <w:rStyle w:val="ae"/>
          <w:rFonts w:ascii="Traditional Arabic" w:hAnsi="Traditional Arabic"/>
          <w:sz w:val="32"/>
          <w:szCs w:val="32"/>
          <w:vertAlign w:val="baseline"/>
        </w:rPr>
        <w:footnoteRef/>
      </w:r>
      <w:r w:rsidRPr="00FD2CFA">
        <w:rPr>
          <w:rFonts w:ascii="Traditional Arabic" w:hAnsi="Traditional Arabic"/>
          <w:sz w:val="32"/>
          <w:szCs w:val="32"/>
          <w:rtl/>
        </w:rPr>
        <w:t>) معاني القرآن وإعرابه (3/292).</w:t>
      </w:r>
    </w:p>
  </w:footnote>
  <w:footnote w:id="1442">
    <w:p w:rsidR="003F128F" w:rsidRPr="00FD2CFA" w:rsidRDefault="003F128F" w:rsidP="00E14A40">
      <w:pPr>
        <w:pStyle w:val="af3"/>
        <w:rPr>
          <w:rFonts w:ascii="Traditional Arabic" w:hAnsi="Traditional Arabic"/>
          <w:sz w:val="32"/>
          <w:szCs w:val="32"/>
        </w:rPr>
      </w:pPr>
      <w:r w:rsidRPr="00FD2CFA">
        <w:rPr>
          <w:rFonts w:ascii="Traditional Arabic" w:hAnsi="Traditional Arabic"/>
          <w:sz w:val="32"/>
          <w:szCs w:val="32"/>
          <w:rtl/>
        </w:rPr>
        <w:t>(</w:t>
      </w:r>
      <w:r w:rsidRPr="00FD2CFA">
        <w:rPr>
          <w:rStyle w:val="ae"/>
          <w:rFonts w:ascii="Traditional Arabic" w:hAnsi="Traditional Arabic"/>
          <w:sz w:val="32"/>
          <w:szCs w:val="32"/>
          <w:vertAlign w:val="baseline"/>
        </w:rPr>
        <w:footnoteRef/>
      </w:r>
      <w:r w:rsidRPr="00FD2CFA">
        <w:rPr>
          <w:rFonts w:ascii="Traditional Arabic" w:hAnsi="Traditional Arabic"/>
          <w:sz w:val="32"/>
          <w:szCs w:val="32"/>
          <w:rtl/>
        </w:rPr>
        <w:t xml:space="preserve">) التفسير الوسيط (3/152), رموز الكنوز (4/299).  </w:t>
      </w:r>
    </w:p>
  </w:footnote>
  <w:footnote w:id="1443">
    <w:p w:rsidR="003F128F" w:rsidRPr="00FD2CFA" w:rsidRDefault="003F128F" w:rsidP="00E14A40">
      <w:pPr>
        <w:pStyle w:val="af3"/>
        <w:rPr>
          <w:rFonts w:ascii="Traditional Arabic" w:hAnsi="Traditional Arabic"/>
          <w:sz w:val="32"/>
          <w:szCs w:val="32"/>
        </w:rPr>
      </w:pPr>
      <w:r w:rsidRPr="00FD2CFA">
        <w:rPr>
          <w:rFonts w:ascii="Traditional Arabic" w:hAnsi="Traditional Arabic"/>
          <w:sz w:val="32"/>
          <w:szCs w:val="32"/>
          <w:rtl/>
        </w:rPr>
        <w:t>(</w:t>
      </w:r>
      <w:r w:rsidRPr="00FD2CFA">
        <w:rPr>
          <w:rStyle w:val="ae"/>
          <w:rFonts w:ascii="Traditional Arabic" w:hAnsi="Traditional Arabic"/>
          <w:sz w:val="32"/>
          <w:szCs w:val="32"/>
          <w:vertAlign w:val="baseline"/>
        </w:rPr>
        <w:footnoteRef/>
      </w:r>
      <w:r w:rsidRPr="00FD2CFA">
        <w:rPr>
          <w:rFonts w:ascii="Traditional Arabic" w:hAnsi="Traditional Arabic"/>
          <w:sz w:val="32"/>
          <w:szCs w:val="32"/>
          <w:rtl/>
        </w:rPr>
        <w:t>) هو صاحب رسول الله</w:t>
      </w:r>
      <w:r w:rsidRPr="00FD2CFA">
        <w:rPr>
          <w:rFonts w:ascii="Traditional Arabic" w:hAnsi="Traditional Arabic"/>
          <w:sz w:val="32"/>
          <w:szCs w:val="32"/>
        </w:rPr>
        <w:sym w:font="AGA Arabesque" w:char="F072"/>
      </w:r>
      <w:r w:rsidRPr="00FD2CFA">
        <w:rPr>
          <w:rFonts w:ascii="Traditional Arabic" w:hAnsi="Traditional Arabic"/>
          <w:sz w:val="32"/>
          <w:szCs w:val="32"/>
        </w:rPr>
        <w:t xml:space="preserve"> </w:t>
      </w:r>
      <w:r>
        <w:rPr>
          <w:rFonts w:ascii="Traditional Arabic" w:hAnsi="Traditional Arabic" w:hint="cs"/>
          <w:sz w:val="32"/>
          <w:szCs w:val="32"/>
          <w:rtl/>
        </w:rPr>
        <w:t>,</w:t>
      </w:r>
      <w:r w:rsidRPr="00FD2CFA">
        <w:rPr>
          <w:rFonts w:ascii="Traditional Arabic" w:hAnsi="Traditional Arabic"/>
          <w:sz w:val="32"/>
          <w:szCs w:val="32"/>
          <w:rtl/>
        </w:rPr>
        <w:t xml:space="preserve"> أبو عبدالله</w:t>
      </w:r>
      <w:r>
        <w:rPr>
          <w:rFonts w:ascii="Traditional Arabic" w:hAnsi="Traditional Arabic" w:hint="cs"/>
          <w:sz w:val="32"/>
          <w:szCs w:val="32"/>
          <w:rtl/>
        </w:rPr>
        <w:t>,</w:t>
      </w:r>
      <w:r w:rsidRPr="00FD2CFA">
        <w:rPr>
          <w:rFonts w:ascii="Traditional Arabic" w:hAnsi="Traditional Arabic"/>
          <w:sz w:val="32"/>
          <w:szCs w:val="32"/>
          <w:rtl/>
        </w:rPr>
        <w:t xml:space="preserve"> عَمْرو بْن العاص بْن وائل بْن هاشم الْقُرَشِيّ, السهمي,</w:t>
      </w:r>
      <w:r w:rsidRPr="00FD2CFA">
        <w:rPr>
          <w:rFonts w:ascii="Traditional Arabic" w:hAnsi="Traditional Arabic"/>
          <w:sz w:val="32"/>
          <w:szCs w:val="32"/>
          <w:rtl/>
          <w:lang w:eastAsia="en-US"/>
        </w:rPr>
        <w:t xml:space="preserve"> </w:t>
      </w:r>
      <w:r w:rsidRPr="00FD2CFA">
        <w:rPr>
          <w:rFonts w:ascii="Traditional Arabic" w:hAnsi="Traditional Arabic"/>
          <w:sz w:val="32"/>
          <w:szCs w:val="32"/>
          <w:rtl/>
        </w:rPr>
        <w:t>داهية قريش، ومن يُضرب به المثل في الفطنة، والدَّهاء، والحزم, له مناقب كثيرة (ت43ه). انظر: طبقات ابن سعد (4/191), أسد الغابة (4/232), سير أعلام النبلاء (3/54).</w:t>
      </w:r>
    </w:p>
  </w:footnote>
  <w:footnote w:id="1444">
    <w:p w:rsidR="003F128F" w:rsidRPr="00FD2CFA" w:rsidRDefault="003F128F" w:rsidP="00E14A40">
      <w:pPr>
        <w:pStyle w:val="af3"/>
        <w:rPr>
          <w:rFonts w:ascii="Traditional Arabic" w:hAnsi="Traditional Arabic"/>
          <w:sz w:val="32"/>
          <w:szCs w:val="32"/>
        </w:rPr>
      </w:pPr>
      <w:r w:rsidRPr="00FD2CFA">
        <w:rPr>
          <w:rFonts w:ascii="Traditional Arabic" w:hAnsi="Traditional Arabic"/>
          <w:sz w:val="32"/>
          <w:szCs w:val="32"/>
          <w:rtl/>
        </w:rPr>
        <w:t>(</w:t>
      </w:r>
      <w:r w:rsidRPr="00FD2CFA">
        <w:rPr>
          <w:rStyle w:val="ae"/>
          <w:rFonts w:ascii="Traditional Arabic" w:hAnsi="Traditional Arabic"/>
          <w:sz w:val="32"/>
          <w:szCs w:val="32"/>
          <w:vertAlign w:val="baseline"/>
        </w:rPr>
        <w:footnoteRef/>
      </w:r>
      <w:r w:rsidRPr="00FD2CFA">
        <w:rPr>
          <w:rFonts w:ascii="Traditional Arabic" w:hAnsi="Traditional Arabic"/>
          <w:sz w:val="32"/>
          <w:szCs w:val="32"/>
          <w:rtl/>
        </w:rPr>
        <w:t>)</w:t>
      </w:r>
      <w:r>
        <w:rPr>
          <w:rFonts w:ascii="Traditional Arabic" w:hAnsi="Traditional Arabic" w:hint="cs"/>
          <w:sz w:val="32"/>
          <w:szCs w:val="32"/>
          <w:rtl/>
        </w:rPr>
        <w:t xml:space="preserve"> </w:t>
      </w:r>
      <w:r w:rsidRPr="00FD2CFA">
        <w:rPr>
          <w:rFonts w:ascii="Traditional Arabic" w:hAnsi="Traditional Arabic"/>
          <w:sz w:val="32"/>
          <w:szCs w:val="32"/>
          <w:rtl/>
        </w:rPr>
        <w:t>انظر: مختصر الشواذ (ص83) ونسبها لعيسى القارئ.</w:t>
      </w:r>
    </w:p>
  </w:footnote>
  <w:footnote w:id="1445">
    <w:p w:rsidR="003F128F" w:rsidRPr="001C6FB3" w:rsidRDefault="003F128F" w:rsidP="00E14A40">
      <w:pPr>
        <w:pStyle w:val="af3"/>
        <w:rPr>
          <w:rFonts w:ascii="Traditional Arabic" w:hAnsi="Traditional Arabic"/>
          <w:sz w:val="32"/>
          <w:szCs w:val="32"/>
        </w:rPr>
      </w:pPr>
      <w:r w:rsidRPr="00FD2CFA">
        <w:rPr>
          <w:rFonts w:ascii="Traditional Arabic" w:hAnsi="Traditional Arabic"/>
          <w:sz w:val="32"/>
          <w:szCs w:val="32"/>
          <w:rtl/>
        </w:rPr>
        <w:t>(</w:t>
      </w:r>
      <w:r w:rsidRPr="00FD2CFA">
        <w:rPr>
          <w:rStyle w:val="ae"/>
          <w:rFonts w:ascii="Traditional Arabic" w:hAnsi="Traditional Arabic"/>
          <w:sz w:val="32"/>
          <w:szCs w:val="32"/>
          <w:vertAlign w:val="baseline"/>
        </w:rPr>
        <w:footnoteRef/>
      </w:r>
      <w:r w:rsidRPr="00FD2CFA">
        <w:rPr>
          <w:rFonts w:ascii="Traditional Arabic" w:hAnsi="Traditional Arabic"/>
          <w:sz w:val="32"/>
          <w:szCs w:val="32"/>
          <w:rtl/>
        </w:rPr>
        <w:t>)</w:t>
      </w:r>
      <w:r>
        <w:rPr>
          <w:rFonts w:ascii="Traditional Arabic" w:hAnsi="Traditional Arabic" w:hint="cs"/>
          <w:sz w:val="32"/>
          <w:szCs w:val="32"/>
          <w:rtl/>
        </w:rPr>
        <w:t xml:space="preserve"> </w:t>
      </w:r>
      <w:r w:rsidRPr="00FD2CFA">
        <w:rPr>
          <w:rFonts w:ascii="Traditional Arabic" w:hAnsi="Traditional Arabic"/>
          <w:sz w:val="32"/>
          <w:szCs w:val="32"/>
          <w:rtl/>
        </w:rPr>
        <w:t>انظر: شواذ القراءة للكرماني (ص42) غير منسوبة.</w:t>
      </w:r>
      <w:r w:rsidRPr="001C6FB3">
        <w:rPr>
          <w:rFonts w:ascii="Traditional Arabic" w:hAnsi="Traditional Arabic"/>
          <w:sz w:val="32"/>
          <w:szCs w:val="32"/>
          <w:rtl/>
        </w:rPr>
        <w:t xml:space="preserve"> </w:t>
      </w:r>
    </w:p>
  </w:footnote>
  <w:footnote w:id="1446">
    <w:p w:rsidR="003F128F" w:rsidRPr="002A305D" w:rsidRDefault="003F128F" w:rsidP="00E14A40">
      <w:pPr>
        <w:pStyle w:val="af3"/>
        <w:rPr>
          <w:rFonts w:ascii="Traditional Arabic" w:hAnsi="Traditional Arabic"/>
          <w:sz w:val="32"/>
          <w:szCs w:val="32"/>
        </w:rPr>
      </w:pPr>
      <w:r w:rsidRPr="002A305D">
        <w:rPr>
          <w:rFonts w:ascii="Traditional Arabic" w:hAnsi="Traditional Arabic"/>
          <w:sz w:val="32"/>
          <w:szCs w:val="32"/>
          <w:rtl/>
        </w:rPr>
        <w:t>(</w:t>
      </w:r>
      <w:r w:rsidRPr="002A305D">
        <w:rPr>
          <w:rStyle w:val="ae"/>
          <w:rFonts w:ascii="Traditional Arabic" w:hAnsi="Traditional Arabic"/>
          <w:sz w:val="32"/>
          <w:szCs w:val="32"/>
          <w:vertAlign w:val="baseline"/>
        </w:rPr>
        <w:footnoteRef/>
      </w:r>
      <w:r w:rsidRPr="002A305D">
        <w:rPr>
          <w:rFonts w:ascii="Traditional Arabic" w:hAnsi="Traditional Arabic"/>
          <w:sz w:val="32"/>
          <w:szCs w:val="32"/>
          <w:rtl/>
        </w:rPr>
        <w:t>) ما بين المعكوفتين ساقط من الأصل, والمثبت من (ك)</w:t>
      </w:r>
      <w:r>
        <w:rPr>
          <w:rFonts w:ascii="Traditional Arabic" w:hAnsi="Traditional Arabic" w:hint="cs"/>
          <w:sz w:val="32"/>
          <w:szCs w:val="32"/>
          <w:rtl/>
        </w:rPr>
        <w:t xml:space="preserve"> وهو موافق لمصادر القول</w:t>
      </w:r>
      <w:r w:rsidRPr="002A305D">
        <w:rPr>
          <w:rFonts w:ascii="Traditional Arabic" w:hAnsi="Traditional Arabic"/>
          <w:sz w:val="32"/>
          <w:szCs w:val="32"/>
          <w:rtl/>
        </w:rPr>
        <w:t>.</w:t>
      </w:r>
    </w:p>
  </w:footnote>
  <w:footnote w:id="1447">
    <w:p w:rsidR="003F128F" w:rsidRPr="002A305D" w:rsidRDefault="003F128F" w:rsidP="00E14A40">
      <w:pPr>
        <w:pStyle w:val="af3"/>
        <w:rPr>
          <w:rFonts w:ascii="Traditional Arabic" w:hAnsi="Traditional Arabic"/>
          <w:sz w:val="32"/>
          <w:szCs w:val="32"/>
        </w:rPr>
      </w:pPr>
      <w:r w:rsidRPr="002A305D">
        <w:rPr>
          <w:rFonts w:ascii="Traditional Arabic" w:hAnsi="Traditional Arabic"/>
          <w:sz w:val="32"/>
          <w:szCs w:val="32"/>
          <w:rtl/>
        </w:rPr>
        <w:t>(</w:t>
      </w:r>
      <w:r w:rsidRPr="002A305D">
        <w:rPr>
          <w:rStyle w:val="ae"/>
          <w:rFonts w:ascii="Traditional Arabic" w:hAnsi="Traditional Arabic"/>
          <w:sz w:val="32"/>
          <w:szCs w:val="32"/>
          <w:vertAlign w:val="baseline"/>
        </w:rPr>
        <w:footnoteRef/>
      </w:r>
      <w:r>
        <w:rPr>
          <w:rFonts w:ascii="Traditional Arabic" w:hAnsi="Traditional Arabic"/>
          <w:sz w:val="32"/>
          <w:szCs w:val="32"/>
          <w:rtl/>
        </w:rPr>
        <w:t xml:space="preserve">) في (ك): </w:t>
      </w:r>
      <w:r>
        <w:rPr>
          <w:rFonts w:ascii="Traditional Arabic" w:hAnsi="Traditional Arabic" w:hint="cs"/>
          <w:sz w:val="32"/>
          <w:szCs w:val="32"/>
          <w:rtl/>
        </w:rPr>
        <w:t>[</w:t>
      </w:r>
      <w:r>
        <w:rPr>
          <w:rFonts w:ascii="Traditional Arabic" w:hAnsi="Traditional Arabic"/>
          <w:sz w:val="32"/>
          <w:szCs w:val="32"/>
          <w:rtl/>
        </w:rPr>
        <w:t>شجر أو نبات</w:t>
      </w:r>
      <w:r>
        <w:rPr>
          <w:rFonts w:ascii="Traditional Arabic" w:hAnsi="Traditional Arabic" w:hint="cs"/>
          <w:sz w:val="32"/>
          <w:szCs w:val="32"/>
          <w:rtl/>
        </w:rPr>
        <w:t>].</w:t>
      </w:r>
    </w:p>
  </w:footnote>
  <w:footnote w:id="1448">
    <w:p w:rsidR="003F128F" w:rsidRPr="002A305D" w:rsidRDefault="003F128F" w:rsidP="00E14A40">
      <w:pPr>
        <w:pStyle w:val="af3"/>
        <w:rPr>
          <w:rFonts w:ascii="Traditional Arabic" w:hAnsi="Traditional Arabic"/>
          <w:sz w:val="32"/>
          <w:szCs w:val="32"/>
        </w:rPr>
      </w:pPr>
      <w:r w:rsidRPr="002A305D">
        <w:rPr>
          <w:rFonts w:ascii="Traditional Arabic" w:hAnsi="Traditional Arabic"/>
          <w:sz w:val="32"/>
          <w:szCs w:val="32"/>
          <w:rtl/>
        </w:rPr>
        <w:t>(</w:t>
      </w:r>
      <w:r w:rsidRPr="002A305D">
        <w:rPr>
          <w:rStyle w:val="ae"/>
          <w:rFonts w:ascii="Traditional Arabic" w:hAnsi="Traditional Arabic"/>
          <w:sz w:val="32"/>
          <w:szCs w:val="32"/>
          <w:vertAlign w:val="baseline"/>
        </w:rPr>
        <w:footnoteRef/>
      </w:r>
      <w:r w:rsidRPr="002A305D">
        <w:rPr>
          <w:rFonts w:ascii="Traditional Arabic" w:hAnsi="Traditional Arabic"/>
          <w:sz w:val="32"/>
          <w:szCs w:val="32"/>
          <w:rtl/>
        </w:rPr>
        <w:t xml:space="preserve">) انظر: تفسير مقاتل (2/588), تفسير يحيى بن سلام (1/189), تفسير الطبري (18/32). </w:t>
      </w:r>
    </w:p>
  </w:footnote>
  <w:footnote w:id="1449">
    <w:p w:rsidR="003F128F" w:rsidRPr="00C83536" w:rsidRDefault="003F128F" w:rsidP="00E14A40">
      <w:pPr>
        <w:pStyle w:val="af3"/>
        <w:rPr>
          <w:rFonts w:ascii="Traditional Arabic" w:hAnsi="Traditional Arabic"/>
          <w:sz w:val="32"/>
          <w:szCs w:val="32"/>
        </w:rPr>
      </w:pPr>
      <w:r w:rsidRPr="00C83536">
        <w:rPr>
          <w:rFonts w:ascii="Traditional Arabic" w:hAnsi="Traditional Arabic"/>
          <w:sz w:val="32"/>
          <w:szCs w:val="32"/>
          <w:rtl/>
        </w:rPr>
        <w:t>(</w:t>
      </w:r>
      <w:r w:rsidRPr="00C83536">
        <w:rPr>
          <w:rStyle w:val="ae"/>
          <w:rFonts w:ascii="Traditional Arabic" w:hAnsi="Traditional Arabic"/>
          <w:sz w:val="32"/>
          <w:szCs w:val="32"/>
          <w:vertAlign w:val="baseline"/>
        </w:rPr>
        <w:footnoteRef/>
      </w:r>
      <w:r w:rsidRPr="00C83536">
        <w:rPr>
          <w:rFonts w:ascii="Traditional Arabic" w:hAnsi="Traditional Arabic"/>
          <w:sz w:val="32"/>
          <w:szCs w:val="32"/>
          <w:rtl/>
        </w:rPr>
        <w:t xml:space="preserve">) انظر: معاني القرآن (2/146). </w:t>
      </w:r>
    </w:p>
  </w:footnote>
  <w:footnote w:id="1450">
    <w:p w:rsidR="003F128F" w:rsidRPr="00C83536" w:rsidRDefault="003F128F" w:rsidP="00E14A40">
      <w:pPr>
        <w:pStyle w:val="af3"/>
        <w:rPr>
          <w:rFonts w:ascii="Traditional Arabic" w:hAnsi="Traditional Arabic"/>
          <w:sz w:val="32"/>
          <w:szCs w:val="32"/>
          <w:rtl/>
        </w:rPr>
      </w:pPr>
      <w:r w:rsidRPr="00C83536">
        <w:rPr>
          <w:rFonts w:ascii="Traditional Arabic" w:hAnsi="Traditional Arabic"/>
          <w:sz w:val="32"/>
          <w:szCs w:val="32"/>
          <w:rtl/>
        </w:rPr>
        <w:t>(</w:t>
      </w:r>
      <w:r w:rsidRPr="00C83536">
        <w:rPr>
          <w:rStyle w:val="ae"/>
          <w:rFonts w:ascii="Traditional Arabic" w:hAnsi="Traditional Arabic"/>
          <w:sz w:val="32"/>
          <w:szCs w:val="32"/>
          <w:vertAlign w:val="baseline"/>
        </w:rPr>
        <w:footnoteRef/>
      </w:r>
      <w:r w:rsidRPr="00C83536">
        <w:rPr>
          <w:rFonts w:ascii="Traditional Arabic" w:hAnsi="Traditional Arabic"/>
          <w:sz w:val="32"/>
          <w:szCs w:val="32"/>
          <w:rtl/>
        </w:rPr>
        <w:t>) غريب القرآن (ص268).</w:t>
      </w:r>
    </w:p>
  </w:footnote>
  <w:footnote w:id="1451">
    <w:p w:rsidR="003F128F" w:rsidRPr="00C83536" w:rsidRDefault="003F128F" w:rsidP="00E14A40">
      <w:pPr>
        <w:pStyle w:val="af3"/>
        <w:rPr>
          <w:rFonts w:ascii="Traditional Arabic" w:hAnsi="Traditional Arabic"/>
          <w:sz w:val="32"/>
          <w:szCs w:val="32"/>
        </w:rPr>
      </w:pPr>
      <w:r w:rsidRPr="00C83536">
        <w:rPr>
          <w:rFonts w:ascii="Traditional Arabic" w:hAnsi="Traditional Arabic"/>
          <w:sz w:val="32"/>
          <w:szCs w:val="32"/>
          <w:rtl/>
        </w:rPr>
        <w:t>(</w:t>
      </w:r>
      <w:r w:rsidRPr="00C83536">
        <w:rPr>
          <w:rStyle w:val="ae"/>
          <w:rFonts w:ascii="Traditional Arabic" w:hAnsi="Traditional Arabic"/>
          <w:sz w:val="32"/>
          <w:szCs w:val="32"/>
          <w:vertAlign w:val="baseline"/>
        </w:rPr>
        <w:footnoteRef/>
      </w:r>
      <w:r w:rsidRPr="00C83536">
        <w:rPr>
          <w:rFonts w:ascii="Traditional Arabic" w:hAnsi="Traditional Arabic"/>
          <w:sz w:val="32"/>
          <w:szCs w:val="32"/>
          <w:rtl/>
        </w:rPr>
        <w:t>) انظر: مختصر الشواذ (ص83), و</w:t>
      </w:r>
      <w:r>
        <w:rPr>
          <w:rFonts w:ascii="Traditional Arabic" w:hAnsi="Traditional Arabic" w:hint="cs"/>
          <w:sz w:val="32"/>
          <w:szCs w:val="32"/>
          <w:rtl/>
        </w:rPr>
        <w:t>قد نسبها ا</w:t>
      </w:r>
      <w:r w:rsidRPr="00552608">
        <w:rPr>
          <w:rFonts w:ascii="Traditional Arabic" w:hAnsi="Traditional Arabic"/>
          <w:sz w:val="32"/>
          <w:szCs w:val="32"/>
          <w:rtl/>
        </w:rPr>
        <w:t xml:space="preserve">لكرماني </w:t>
      </w:r>
      <w:r>
        <w:rPr>
          <w:rFonts w:ascii="Traditional Arabic" w:hAnsi="Traditional Arabic" w:hint="cs"/>
          <w:sz w:val="32"/>
          <w:szCs w:val="32"/>
          <w:rtl/>
        </w:rPr>
        <w:t xml:space="preserve">في </w:t>
      </w:r>
      <w:r>
        <w:rPr>
          <w:rFonts w:ascii="Traditional Arabic" w:hAnsi="Traditional Arabic"/>
          <w:sz w:val="32"/>
          <w:szCs w:val="32"/>
          <w:rtl/>
        </w:rPr>
        <w:t>شواذ القراءة</w:t>
      </w:r>
      <w:r>
        <w:rPr>
          <w:rFonts w:ascii="Traditional Arabic" w:hAnsi="Traditional Arabic" w:hint="cs"/>
          <w:sz w:val="32"/>
          <w:szCs w:val="32"/>
          <w:rtl/>
        </w:rPr>
        <w:t xml:space="preserve"> </w:t>
      </w:r>
      <w:r>
        <w:rPr>
          <w:rFonts w:ascii="Traditional Arabic" w:hAnsi="Traditional Arabic"/>
          <w:sz w:val="32"/>
          <w:szCs w:val="32"/>
          <w:rtl/>
        </w:rPr>
        <w:t xml:space="preserve">(ص42) </w:t>
      </w:r>
      <w:r w:rsidRPr="00C83536">
        <w:rPr>
          <w:rFonts w:ascii="Traditional Arabic" w:hAnsi="Traditional Arabic"/>
          <w:sz w:val="32"/>
          <w:szCs w:val="32"/>
          <w:rtl/>
        </w:rPr>
        <w:t xml:space="preserve">لقتادة.  </w:t>
      </w:r>
    </w:p>
  </w:footnote>
  <w:footnote w:id="1452">
    <w:p w:rsidR="003F128F" w:rsidRPr="00C83536" w:rsidRDefault="003F128F" w:rsidP="00E14A40">
      <w:pPr>
        <w:pStyle w:val="af3"/>
        <w:rPr>
          <w:rFonts w:ascii="Traditional Arabic" w:hAnsi="Traditional Arabic"/>
          <w:sz w:val="32"/>
          <w:szCs w:val="32"/>
        </w:rPr>
      </w:pPr>
      <w:r w:rsidRPr="00C83536">
        <w:rPr>
          <w:rFonts w:ascii="Traditional Arabic" w:hAnsi="Traditional Arabic"/>
          <w:sz w:val="32"/>
          <w:szCs w:val="32"/>
          <w:rtl/>
        </w:rPr>
        <w:t>(</w:t>
      </w:r>
      <w:r w:rsidRPr="00C83536">
        <w:rPr>
          <w:rStyle w:val="ae"/>
          <w:rFonts w:ascii="Traditional Arabic" w:hAnsi="Traditional Arabic"/>
          <w:sz w:val="32"/>
          <w:szCs w:val="32"/>
          <w:vertAlign w:val="baseline"/>
        </w:rPr>
        <w:footnoteRef/>
      </w:r>
      <w:r w:rsidRPr="00C83536">
        <w:rPr>
          <w:rFonts w:ascii="Traditional Arabic" w:hAnsi="Traditional Arabic"/>
          <w:sz w:val="32"/>
          <w:szCs w:val="32"/>
          <w:rtl/>
        </w:rPr>
        <w:t xml:space="preserve">) في (ك): [فكيف عُبِّر عنه بالماضي].  </w:t>
      </w:r>
    </w:p>
  </w:footnote>
  <w:footnote w:id="1453">
    <w:p w:rsidR="003F128F" w:rsidRPr="00C83536" w:rsidRDefault="003F128F" w:rsidP="00E14A40">
      <w:pPr>
        <w:pStyle w:val="af3"/>
        <w:rPr>
          <w:rFonts w:ascii="Traditional Arabic" w:hAnsi="Traditional Arabic"/>
          <w:sz w:val="32"/>
          <w:szCs w:val="32"/>
        </w:rPr>
      </w:pPr>
      <w:r w:rsidRPr="00C83536">
        <w:rPr>
          <w:rFonts w:ascii="Traditional Arabic" w:hAnsi="Traditional Arabic"/>
          <w:sz w:val="32"/>
          <w:szCs w:val="32"/>
          <w:rtl/>
        </w:rPr>
        <w:t>(</w:t>
      </w:r>
      <w:r w:rsidRPr="00C83536">
        <w:rPr>
          <w:rStyle w:val="ae"/>
          <w:rFonts w:ascii="Traditional Arabic" w:hAnsi="Traditional Arabic"/>
          <w:sz w:val="32"/>
          <w:szCs w:val="32"/>
          <w:vertAlign w:val="baseline"/>
        </w:rPr>
        <w:footnoteRef/>
      </w:r>
      <w:r w:rsidRPr="00C83536">
        <w:rPr>
          <w:rFonts w:ascii="Traditional Arabic" w:hAnsi="Traditional Arabic"/>
          <w:sz w:val="32"/>
          <w:szCs w:val="32"/>
          <w:rtl/>
        </w:rPr>
        <w:t xml:space="preserve">) انظر: تفسير مقاتل (2/588). </w:t>
      </w:r>
    </w:p>
  </w:footnote>
  <w:footnote w:id="1454">
    <w:p w:rsidR="003F128F" w:rsidRPr="002A305D" w:rsidRDefault="003F128F" w:rsidP="00E14A40">
      <w:pPr>
        <w:pStyle w:val="af3"/>
        <w:rPr>
          <w:rFonts w:ascii="Traditional Arabic" w:hAnsi="Traditional Arabic"/>
          <w:sz w:val="32"/>
          <w:szCs w:val="32"/>
        </w:rPr>
      </w:pPr>
      <w:r w:rsidRPr="00C83536">
        <w:rPr>
          <w:rFonts w:ascii="Traditional Arabic" w:hAnsi="Traditional Arabic"/>
          <w:sz w:val="32"/>
          <w:szCs w:val="32"/>
          <w:rtl/>
        </w:rPr>
        <w:t>(</w:t>
      </w:r>
      <w:r w:rsidRPr="00C83536">
        <w:rPr>
          <w:rStyle w:val="ae"/>
          <w:rFonts w:ascii="Traditional Arabic" w:hAnsi="Traditional Arabic"/>
          <w:sz w:val="32"/>
          <w:szCs w:val="32"/>
          <w:vertAlign w:val="baseline"/>
        </w:rPr>
        <w:footnoteRef/>
      </w:r>
      <w:r w:rsidRPr="00C83536">
        <w:rPr>
          <w:rFonts w:ascii="Traditional Arabic" w:hAnsi="Traditional Arabic"/>
          <w:sz w:val="32"/>
          <w:szCs w:val="32"/>
          <w:rtl/>
        </w:rPr>
        <w:t>) التفسير الوسيط (3/152), التبيان</w:t>
      </w:r>
      <w:r w:rsidRPr="002A305D">
        <w:rPr>
          <w:rFonts w:ascii="Traditional Arabic" w:hAnsi="Traditional Arabic"/>
          <w:sz w:val="32"/>
          <w:szCs w:val="32"/>
          <w:rtl/>
        </w:rPr>
        <w:t xml:space="preserve"> في إعراب القرآن لأبي البقاء العكبري (2/850).</w:t>
      </w:r>
    </w:p>
  </w:footnote>
  <w:footnote w:id="1455">
    <w:p w:rsidR="003F128F" w:rsidRPr="002A305D" w:rsidRDefault="003F128F" w:rsidP="00E14A40">
      <w:pPr>
        <w:pStyle w:val="af3"/>
        <w:rPr>
          <w:rFonts w:ascii="Traditional Arabic" w:hAnsi="Traditional Arabic"/>
          <w:sz w:val="32"/>
          <w:szCs w:val="32"/>
        </w:rPr>
      </w:pPr>
      <w:r w:rsidRPr="002A305D">
        <w:rPr>
          <w:rFonts w:ascii="Traditional Arabic" w:hAnsi="Traditional Arabic"/>
          <w:sz w:val="32"/>
          <w:szCs w:val="32"/>
          <w:rtl/>
        </w:rPr>
        <w:t>(</w:t>
      </w:r>
      <w:r w:rsidRPr="002A305D">
        <w:rPr>
          <w:rStyle w:val="ae"/>
          <w:rFonts w:ascii="Traditional Arabic" w:hAnsi="Traditional Arabic"/>
          <w:sz w:val="32"/>
          <w:szCs w:val="32"/>
          <w:vertAlign w:val="baseline"/>
        </w:rPr>
        <w:footnoteRef/>
      </w:r>
      <w:r>
        <w:rPr>
          <w:rFonts w:ascii="Traditional Arabic" w:hAnsi="Traditional Arabic"/>
          <w:sz w:val="32"/>
          <w:szCs w:val="32"/>
          <w:rtl/>
        </w:rPr>
        <w:t xml:space="preserve">) في (ك): </w:t>
      </w:r>
      <w:r>
        <w:rPr>
          <w:rFonts w:ascii="Traditional Arabic" w:hAnsi="Traditional Arabic" w:hint="cs"/>
          <w:sz w:val="32"/>
          <w:szCs w:val="32"/>
          <w:rtl/>
        </w:rPr>
        <w:t>[</w:t>
      </w:r>
      <w:r w:rsidRPr="002A305D">
        <w:rPr>
          <w:rFonts w:ascii="Traditional Arabic" w:hAnsi="Traditional Arabic"/>
          <w:sz w:val="32"/>
          <w:szCs w:val="32"/>
          <w:rtl/>
        </w:rPr>
        <w:t>ل</w:t>
      </w:r>
      <w:r>
        <w:rPr>
          <w:rFonts w:ascii="Traditional Arabic" w:hAnsi="Traditional Arabic"/>
          <w:sz w:val="32"/>
          <w:szCs w:val="32"/>
          <w:rtl/>
        </w:rPr>
        <w:t>م يَغِبْ عن الله منهم رجلاً أحد</w:t>
      </w:r>
      <w:r>
        <w:rPr>
          <w:rFonts w:ascii="Traditional Arabic" w:hAnsi="Traditional Arabic" w:hint="cs"/>
          <w:sz w:val="32"/>
          <w:szCs w:val="32"/>
          <w:rtl/>
        </w:rPr>
        <w:t>]</w:t>
      </w:r>
      <w:r>
        <w:rPr>
          <w:rFonts w:ascii="Traditional Arabic" w:hAnsi="Traditional Arabic"/>
          <w:sz w:val="32"/>
          <w:szCs w:val="32"/>
          <w:rtl/>
        </w:rPr>
        <w:t>.</w:t>
      </w:r>
    </w:p>
  </w:footnote>
  <w:footnote w:id="1456">
    <w:p w:rsidR="003F128F" w:rsidRPr="00FD2CFA" w:rsidRDefault="003F128F" w:rsidP="00E14A40">
      <w:pPr>
        <w:pStyle w:val="af3"/>
        <w:rPr>
          <w:rFonts w:ascii="Traditional Arabic" w:hAnsi="Traditional Arabic"/>
          <w:sz w:val="32"/>
          <w:szCs w:val="32"/>
        </w:rPr>
      </w:pPr>
      <w:r w:rsidRPr="002A305D">
        <w:rPr>
          <w:rFonts w:ascii="Traditional Arabic" w:hAnsi="Traditional Arabic"/>
          <w:sz w:val="32"/>
          <w:szCs w:val="32"/>
          <w:rtl/>
        </w:rPr>
        <w:t>(</w:t>
      </w:r>
      <w:r w:rsidRPr="002A305D">
        <w:rPr>
          <w:rStyle w:val="ae"/>
          <w:rFonts w:ascii="Traditional Arabic" w:hAnsi="Traditional Arabic"/>
          <w:sz w:val="32"/>
          <w:szCs w:val="32"/>
          <w:vertAlign w:val="baseline"/>
        </w:rPr>
        <w:footnoteRef/>
      </w:r>
      <w:r w:rsidRPr="002A305D">
        <w:rPr>
          <w:rFonts w:ascii="Traditional Arabic" w:hAnsi="Traditional Arabic"/>
          <w:sz w:val="32"/>
          <w:szCs w:val="32"/>
          <w:rtl/>
        </w:rPr>
        <w:t>) لم أقف عليه فيما لدي من مصادر.</w:t>
      </w:r>
    </w:p>
  </w:footnote>
  <w:footnote w:id="1457">
    <w:p w:rsidR="003F128F" w:rsidRPr="00FD2CFA" w:rsidRDefault="003F128F" w:rsidP="00E14A40">
      <w:pPr>
        <w:pStyle w:val="af3"/>
        <w:rPr>
          <w:rFonts w:ascii="Traditional Arabic" w:hAnsi="Traditional Arabic"/>
          <w:sz w:val="32"/>
          <w:szCs w:val="32"/>
        </w:rPr>
      </w:pPr>
      <w:r w:rsidRPr="00FD2CFA">
        <w:rPr>
          <w:rFonts w:ascii="Traditional Arabic" w:hAnsi="Traditional Arabic"/>
          <w:sz w:val="32"/>
          <w:szCs w:val="32"/>
          <w:rtl/>
        </w:rPr>
        <w:t>(</w:t>
      </w:r>
      <w:r w:rsidRPr="00FD2CFA">
        <w:rPr>
          <w:rStyle w:val="ae"/>
          <w:rFonts w:ascii="Traditional Arabic" w:hAnsi="Traditional Arabic"/>
          <w:sz w:val="32"/>
          <w:szCs w:val="32"/>
          <w:vertAlign w:val="baseline"/>
        </w:rPr>
        <w:footnoteRef/>
      </w:r>
      <w:r w:rsidRPr="00FD2CFA">
        <w:rPr>
          <w:rFonts w:ascii="Traditional Arabic" w:hAnsi="Traditional Arabic"/>
          <w:sz w:val="32"/>
          <w:szCs w:val="32"/>
          <w:rtl/>
        </w:rPr>
        <w:t xml:space="preserve">) التفسير الوسيط (3/152).  </w:t>
      </w:r>
    </w:p>
  </w:footnote>
  <w:footnote w:id="1458">
    <w:p w:rsidR="003F128F" w:rsidRPr="006F5804" w:rsidRDefault="003F128F" w:rsidP="00E14A40">
      <w:pPr>
        <w:pStyle w:val="af3"/>
        <w:rPr>
          <w:rFonts w:ascii="Traditional Arabic" w:hAnsi="Traditional Arabic"/>
          <w:sz w:val="32"/>
          <w:szCs w:val="32"/>
        </w:rPr>
      </w:pPr>
      <w:r w:rsidRPr="006F5804">
        <w:rPr>
          <w:rFonts w:ascii="Traditional Arabic" w:hAnsi="Traditional Arabic"/>
          <w:sz w:val="32"/>
          <w:szCs w:val="32"/>
          <w:rtl/>
        </w:rPr>
        <w:t>(</w:t>
      </w:r>
      <w:r w:rsidRPr="006F5804">
        <w:rPr>
          <w:rStyle w:val="ae"/>
          <w:rFonts w:ascii="Traditional Arabic" w:hAnsi="Traditional Arabic"/>
          <w:sz w:val="32"/>
          <w:szCs w:val="32"/>
          <w:vertAlign w:val="baseline"/>
        </w:rPr>
        <w:footnoteRef/>
      </w:r>
      <w:r w:rsidRPr="006F5804">
        <w:rPr>
          <w:rFonts w:ascii="Traditional Arabic" w:hAnsi="Traditional Arabic"/>
          <w:sz w:val="32"/>
          <w:szCs w:val="32"/>
          <w:rtl/>
        </w:rPr>
        <w:t>)  انظر: تفسير الطبري (18/37), معاني القرآن وإعرابه (3/292).</w:t>
      </w:r>
    </w:p>
  </w:footnote>
  <w:footnote w:id="1459">
    <w:p w:rsidR="003F128F" w:rsidRPr="006F5804" w:rsidRDefault="003F128F" w:rsidP="00E14A40">
      <w:pPr>
        <w:pStyle w:val="af3"/>
        <w:rPr>
          <w:rFonts w:ascii="Traditional Arabic" w:hAnsi="Traditional Arabic"/>
          <w:sz w:val="32"/>
          <w:szCs w:val="32"/>
        </w:rPr>
      </w:pPr>
      <w:r w:rsidRPr="006F5804">
        <w:rPr>
          <w:rFonts w:ascii="Traditional Arabic" w:hAnsi="Traditional Arabic"/>
          <w:sz w:val="32"/>
          <w:szCs w:val="32"/>
          <w:rtl/>
        </w:rPr>
        <w:t>(</w:t>
      </w:r>
      <w:r w:rsidRPr="006F5804">
        <w:rPr>
          <w:rStyle w:val="ae"/>
          <w:rFonts w:ascii="Traditional Arabic" w:hAnsi="Traditional Arabic"/>
          <w:sz w:val="32"/>
          <w:szCs w:val="32"/>
          <w:vertAlign w:val="baseline"/>
        </w:rPr>
        <w:footnoteRef/>
      </w:r>
      <w:r w:rsidRPr="006F5804">
        <w:rPr>
          <w:rFonts w:ascii="Traditional Arabic" w:hAnsi="Traditional Arabic"/>
          <w:sz w:val="32"/>
          <w:szCs w:val="32"/>
          <w:rtl/>
        </w:rPr>
        <w:t>) انظر: الكشف والبيان (6/175), التفسير الوسيط (3/152).</w:t>
      </w:r>
    </w:p>
  </w:footnote>
  <w:footnote w:id="1460">
    <w:p w:rsidR="003F128F" w:rsidRPr="006F5804" w:rsidRDefault="003F128F" w:rsidP="00E14A40">
      <w:pPr>
        <w:pStyle w:val="af3"/>
        <w:rPr>
          <w:rFonts w:ascii="Traditional Arabic" w:hAnsi="Traditional Arabic"/>
          <w:sz w:val="32"/>
          <w:szCs w:val="32"/>
        </w:rPr>
      </w:pPr>
      <w:r w:rsidRPr="006F5804">
        <w:rPr>
          <w:rFonts w:ascii="Traditional Arabic" w:hAnsi="Traditional Arabic"/>
          <w:sz w:val="32"/>
          <w:szCs w:val="32"/>
          <w:rtl/>
        </w:rPr>
        <w:t>(</w:t>
      </w:r>
      <w:r w:rsidRPr="006F5804">
        <w:rPr>
          <w:rStyle w:val="ae"/>
          <w:rFonts w:ascii="Traditional Arabic" w:hAnsi="Traditional Arabic"/>
          <w:sz w:val="32"/>
          <w:szCs w:val="32"/>
          <w:vertAlign w:val="baseline"/>
        </w:rPr>
        <w:footnoteRef/>
      </w:r>
      <w:r w:rsidRPr="006F5804">
        <w:rPr>
          <w:rFonts w:ascii="Traditional Arabic" w:hAnsi="Traditional Arabic"/>
          <w:sz w:val="32"/>
          <w:szCs w:val="32"/>
          <w:rtl/>
        </w:rPr>
        <w:t>) سورة الأنعام, الآية</w:t>
      </w:r>
      <w:r>
        <w:rPr>
          <w:rFonts w:ascii="Traditional Arabic" w:hAnsi="Traditional Arabic" w:hint="cs"/>
          <w:sz w:val="32"/>
          <w:szCs w:val="32"/>
          <w:rtl/>
        </w:rPr>
        <w:t>:</w:t>
      </w:r>
      <w:r w:rsidRPr="006F5804">
        <w:rPr>
          <w:rFonts w:ascii="Traditional Arabic" w:hAnsi="Traditional Arabic"/>
          <w:sz w:val="32"/>
          <w:szCs w:val="32"/>
          <w:rtl/>
        </w:rPr>
        <w:t xml:space="preserve"> (94). انظر: زاد المسير (3/88). </w:t>
      </w:r>
    </w:p>
  </w:footnote>
  <w:footnote w:id="1461">
    <w:p w:rsidR="003F128F" w:rsidRPr="006F5804" w:rsidRDefault="003F128F" w:rsidP="00E14A40">
      <w:pPr>
        <w:pStyle w:val="af3"/>
        <w:rPr>
          <w:rFonts w:ascii="Traditional Arabic" w:hAnsi="Traditional Arabic"/>
          <w:sz w:val="32"/>
          <w:szCs w:val="32"/>
        </w:rPr>
      </w:pPr>
      <w:r w:rsidRPr="006F5804">
        <w:rPr>
          <w:rFonts w:ascii="Traditional Arabic" w:hAnsi="Traditional Arabic"/>
          <w:sz w:val="32"/>
          <w:szCs w:val="32"/>
          <w:rtl/>
        </w:rPr>
        <w:t>(</w:t>
      </w:r>
      <w:r w:rsidRPr="006F5804">
        <w:rPr>
          <w:rStyle w:val="ae"/>
          <w:rFonts w:ascii="Traditional Arabic" w:hAnsi="Traditional Arabic"/>
          <w:sz w:val="32"/>
          <w:szCs w:val="32"/>
          <w:vertAlign w:val="baseline"/>
        </w:rPr>
        <w:footnoteRef/>
      </w:r>
      <w:r w:rsidRPr="006F5804">
        <w:rPr>
          <w:rFonts w:ascii="Traditional Arabic" w:hAnsi="Traditional Arabic"/>
          <w:sz w:val="32"/>
          <w:szCs w:val="32"/>
          <w:rtl/>
        </w:rPr>
        <w:t xml:space="preserve">) انظر: الكشف والبيان (6/175), التفسير الوسيط (3/152). </w:t>
      </w:r>
    </w:p>
  </w:footnote>
  <w:footnote w:id="1462">
    <w:p w:rsidR="003F128F" w:rsidRPr="006F5804" w:rsidRDefault="003F128F" w:rsidP="00E14A40">
      <w:pPr>
        <w:pStyle w:val="af3"/>
        <w:rPr>
          <w:rFonts w:ascii="Traditional Arabic" w:hAnsi="Traditional Arabic"/>
          <w:sz w:val="32"/>
          <w:szCs w:val="32"/>
        </w:rPr>
      </w:pPr>
      <w:r w:rsidRPr="006F5804">
        <w:rPr>
          <w:rFonts w:ascii="Traditional Arabic" w:hAnsi="Traditional Arabic"/>
          <w:sz w:val="32"/>
          <w:szCs w:val="32"/>
          <w:rtl/>
        </w:rPr>
        <w:t>(</w:t>
      </w:r>
      <w:r w:rsidRPr="006F5804">
        <w:rPr>
          <w:rStyle w:val="ae"/>
          <w:rFonts w:ascii="Traditional Arabic" w:hAnsi="Traditional Arabic"/>
          <w:sz w:val="32"/>
          <w:szCs w:val="32"/>
          <w:vertAlign w:val="baseline"/>
        </w:rPr>
        <w:footnoteRef/>
      </w:r>
      <w:r w:rsidRPr="006F5804">
        <w:rPr>
          <w:rFonts w:ascii="Traditional Arabic" w:hAnsi="Traditional Arabic"/>
          <w:sz w:val="32"/>
          <w:szCs w:val="32"/>
          <w:rtl/>
        </w:rPr>
        <w:t>) انظر: رموز الكنوز (6/578) غير منسوب.</w:t>
      </w:r>
    </w:p>
  </w:footnote>
  <w:footnote w:id="1463">
    <w:p w:rsidR="003F128F" w:rsidRPr="006F5804" w:rsidRDefault="003F128F" w:rsidP="00E14A40">
      <w:pPr>
        <w:pStyle w:val="af3"/>
        <w:rPr>
          <w:rFonts w:ascii="Traditional Arabic" w:hAnsi="Traditional Arabic"/>
          <w:sz w:val="32"/>
          <w:szCs w:val="32"/>
        </w:rPr>
      </w:pPr>
      <w:r w:rsidRPr="006F5804">
        <w:rPr>
          <w:rFonts w:ascii="Traditional Arabic" w:hAnsi="Traditional Arabic"/>
          <w:sz w:val="32"/>
          <w:szCs w:val="32"/>
          <w:rtl/>
        </w:rPr>
        <w:t>(</w:t>
      </w:r>
      <w:r w:rsidRPr="006F5804">
        <w:rPr>
          <w:rStyle w:val="ae"/>
          <w:rFonts w:ascii="Traditional Arabic" w:hAnsi="Traditional Arabic"/>
          <w:sz w:val="32"/>
          <w:szCs w:val="32"/>
          <w:vertAlign w:val="baseline"/>
        </w:rPr>
        <w:footnoteRef/>
      </w:r>
      <w:r w:rsidRPr="006F5804">
        <w:rPr>
          <w:rFonts w:ascii="Traditional Arabic" w:hAnsi="Traditional Arabic"/>
          <w:sz w:val="32"/>
          <w:szCs w:val="32"/>
          <w:rtl/>
        </w:rPr>
        <w:t xml:space="preserve">) النكت والعيون (3/312).  </w:t>
      </w:r>
    </w:p>
  </w:footnote>
  <w:footnote w:id="1464">
    <w:p w:rsidR="003F128F" w:rsidRPr="006F5804" w:rsidRDefault="003F128F" w:rsidP="00E14A40">
      <w:pPr>
        <w:pStyle w:val="af3"/>
        <w:rPr>
          <w:rFonts w:ascii="Traditional Arabic" w:hAnsi="Traditional Arabic"/>
          <w:sz w:val="32"/>
          <w:szCs w:val="32"/>
          <w:rtl/>
        </w:rPr>
      </w:pPr>
      <w:r w:rsidRPr="006F5804">
        <w:rPr>
          <w:rFonts w:ascii="Traditional Arabic" w:hAnsi="Traditional Arabic"/>
          <w:sz w:val="32"/>
          <w:szCs w:val="32"/>
          <w:rtl/>
        </w:rPr>
        <w:t>(</w:t>
      </w:r>
      <w:r w:rsidRPr="006F5804">
        <w:rPr>
          <w:rStyle w:val="ae"/>
          <w:rFonts w:ascii="Traditional Arabic" w:hAnsi="Traditional Arabic"/>
          <w:sz w:val="32"/>
          <w:szCs w:val="32"/>
          <w:vertAlign w:val="baseline"/>
        </w:rPr>
        <w:footnoteRef/>
      </w:r>
      <w:r w:rsidRPr="006F5804">
        <w:rPr>
          <w:rFonts w:ascii="Traditional Arabic" w:hAnsi="Traditional Arabic"/>
          <w:sz w:val="32"/>
          <w:szCs w:val="32"/>
          <w:rtl/>
        </w:rPr>
        <w:t>) انظر: تفسير مقاتل (2/589).</w:t>
      </w:r>
    </w:p>
  </w:footnote>
  <w:footnote w:id="1465">
    <w:p w:rsidR="003F128F" w:rsidRPr="006F5804" w:rsidRDefault="003F128F" w:rsidP="00E14A40">
      <w:pPr>
        <w:pStyle w:val="af3"/>
        <w:rPr>
          <w:rFonts w:ascii="Traditional Arabic" w:hAnsi="Traditional Arabic"/>
          <w:color w:val="auto"/>
          <w:sz w:val="32"/>
          <w:szCs w:val="32"/>
        </w:rPr>
      </w:pPr>
      <w:r w:rsidRPr="006F5804">
        <w:rPr>
          <w:rFonts w:ascii="Traditional Arabic" w:hAnsi="Traditional Arabic"/>
          <w:color w:val="auto"/>
          <w:sz w:val="32"/>
          <w:szCs w:val="32"/>
          <w:rtl/>
        </w:rPr>
        <w:t>(</w:t>
      </w:r>
      <w:r w:rsidRPr="006F5804">
        <w:rPr>
          <w:rStyle w:val="ae"/>
          <w:rFonts w:ascii="Traditional Arabic" w:hAnsi="Traditional Arabic"/>
          <w:color w:val="auto"/>
          <w:sz w:val="32"/>
          <w:szCs w:val="32"/>
          <w:vertAlign w:val="baseline"/>
        </w:rPr>
        <w:footnoteRef/>
      </w:r>
      <w:r w:rsidRPr="006F5804">
        <w:rPr>
          <w:rFonts w:ascii="Traditional Arabic" w:hAnsi="Traditional Arabic"/>
          <w:color w:val="auto"/>
          <w:sz w:val="32"/>
          <w:szCs w:val="32"/>
          <w:rtl/>
        </w:rPr>
        <w:t xml:space="preserve">) انظر: تفسير الطبري (18/38). </w:t>
      </w:r>
    </w:p>
  </w:footnote>
  <w:footnote w:id="1466">
    <w:p w:rsidR="003F128F" w:rsidRPr="006F5804" w:rsidRDefault="003F128F" w:rsidP="00E14A40">
      <w:pPr>
        <w:pStyle w:val="af3"/>
        <w:rPr>
          <w:rFonts w:ascii="Traditional Arabic" w:hAnsi="Traditional Arabic"/>
          <w:sz w:val="32"/>
          <w:szCs w:val="32"/>
        </w:rPr>
      </w:pPr>
      <w:r w:rsidRPr="006F5804">
        <w:rPr>
          <w:rFonts w:ascii="Traditional Arabic" w:hAnsi="Traditional Arabic"/>
          <w:sz w:val="32"/>
          <w:szCs w:val="32"/>
          <w:rtl/>
        </w:rPr>
        <w:t>(</w:t>
      </w:r>
      <w:r w:rsidRPr="006F5804">
        <w:rPr>
          <w:rStyle w:val="ae"/>
          <w:rFonts w:ascii="Traditional Arabic" w:hAnsi="Traditional Arabic"/>
          <w:sz w:val="32"/>
          <w:szCs w:val="32"/>
          <w:vertAlign w:val="baseline"/>
        </w:rPr>
        <w:footnoteRef/>
      </w:r>
      <w:r w:rsidRPr="006F5804">
        <w:rPr>
          <w:rFonts w:ascii="Traditional Arabic" w:hAnsi="Traditional Arabic"/>
          <w:sz w:val="32"/>
          <w:szCs w:val="32"/>
          <w:rtl/>
        </w:rPr>
        <w:t>) في (ك): [قال مجاهد: هم الكافرون].</w:t>
      </w:r>
    </w:p>
  </w:footnote>
  <w:footnote w:id="1467">
    <w:p w:rsidR="003F128F" w:rsidRPr="006F5804" w:rsidRDefault="003F128F" w:rsidP="00E14A40">
      <w:pPr>
        <w:pStyle w:val="af3"/>
        <w:rPr>
          <w:rFonts w:ascii="Traditional Arabic" w:hAnsi="Traditional Arabic"/>
          <w:sz w:val="32"/>
          <w:szCs w:val="32"/>
        </w:rPr>
      </w:pPr>
      <w:r w:rsidRPr="006F5804">
        <w:rPr>
          <w:rFonts w:ascii="Traditional Arabic" w:hAnsi="Traditional Arabic"/>
          <w:color w:val="auto"/>
          <w:sz w:val="32"/>
          <w:szCs w:val="32"/>
          <w:rtl/>
        </w:rPr>
        <w:t>(</w:t>
      </w:r>
      <w:r w:rsidRPr="006F5804">
        <w:rPr>
          <w:rStyle w:val="ae"/>
          <w:rFonts w:ascii="Traditional Arabic" w:hAnsi="Traditional Arabic"/>
          <w:color w:val="auto"/>
          <w:sz w:val="32"/>
          <w:szCs w:val="32"/>
          <w:vertAlign w:val="baseline"/>
        </w:rPr>
        <w:footnoteRef/>
      </w:r>
      <w:r w:rsidRPr="006F5804">
        <w:rPr>
          <w:rFonts w:ascii="Traditional Arabic" w:hAnsi="Traditional Arabic"/>
          <w:color w:val="auto"/>
          <w:sz w:val="32"/>
          <w:szCs w:val="32"/>
          <w:rtl/>
        </w:rPr>
        <w:t xml:space="preserve">) انظر: أنموذج جليل في أسئلة وأجوبة عن غرائب آي التنزيل لزين الدين الرازي (ص298). </w:t>
      </w:r>
    </w:p>
  </w:footnote>
  <w:footnote w:id="1468">
    <w:p w:rsidR="003F128F" w:rsidRPr="006F5804" w:rsidRDefault="003F128F" w:rsidP="00E14A40">
      <w:pPr>
        <w:pStyle w:val="af3"/>
        <w:rPr>
          <w:rFonts w:ascii="Traditional Arabic" w:hAnsi="Traditional Arabic"/>
          <w:sz w:val="32"/>
          <w:szCs w:val="32"/>
        </w:rPr>
      </w:pPr>
      <w:r w:rsidRPr="006F5804">
        <w:rPr>
          <w:rFonts w:ascii="Traditional Arabic" w:hAnsi="Traditional Arabic"/>
          <w:sz w:val="32"/>
          <w:szCs w:val="32"/>
          <w:rtl/>
        </w:rPr>
        <w:t>(</w:t>
      </w:r>
      <w:r w:rsidRPr="006F5804">
        <w:rPr>
          <w:rStyle w:val="ae"/>
          <w:rFonts w:ascii="Traditional Arabic" w:hAnsi="Traditional Arabic"/>
          <w:sz w:val="32"/>
          <w:szCs w:val="32"/>
          <w:vertAlign w:val="baseline"/>
        </w:rPr>
        <w:footnoteRef/>
      </w:r>
      <w:r w:rsidRPr="006F5804">
        <w:rPr>
          <w:rFonts w:ascii="Traditional Arabic" w:hAnsi="Traditional Arabic"/>
          <w:sz w:val="32"/>
          <w:szCs w:val="32"/>
          <w:rtl/>
        </w:rPr>
        <w:t>) انظر: معاني القرآن وإعرابه (3/293), الهداية (7/4736).</w:t>
      </w:r>
    </w:p>
  </w:footnote>
  <w:footnote w:id="1469">
    <w:p w:rsidR="003F128F" w:rsidRPr="004859D7" w:rsidRDefault="003F128F" w:rsidP="00E14A40">
      <w:pPr>
        <w:pStyle w:val="af3"/>
        <w:rPr>
          <w:rFonts w:ascii="Traditional Arabic" w:hAnsi="Traditional Arabic"/>
          <w:sz w:val="32"/>
          <w:szCs w:val="32"/>
        </w:rPr>
      </w:pPr>
      <w:r w:rsidRPr="006F5804">
        <w:rPr>
          <w:rFonts w:ascii="Traditional Arabic" w:hAnsi="Traditional Arabic"/>
          <w:sz w:val="32"/>
          <w:szCs w:val="32"/>
          <w:rtl/>
        </w:rPr>
        <w:t>(</w:t>
      </w:r>
      <w:r w:rsidRPr="006F5804">
        <w:rPr>
          <w:rStyle w:val="ae"/>
          <w:rFonts w:ascii="Traditional Arabic" w:hAnsi="Traditional Arabic"/>
          <w:sz w:val="32"/>
          <w:szCs w:val="32"/>
          <w:vertAlign w:val="baseline"/>
        </w:rPr>
        <w:footnoteRef/>
      </w:r>
      <w:r w:rsidRPr="006F5804">
        <w:rPr>
          <w:rFonts w:ascii="Traditional Arabic" w:hAnsi="Traditional Arabic"/>
          <w:sz w:val="32"/>
          <w:szCs w:val="32"/>
          <w:rtl/>
        </w:rPr>
        <w:t>) انظر: زاد المسير (3/25).</w:t>
      </w:r>
      <w:r w:rsidRPr="00941567">
        <w:rPr>
          <w:rFonts w:ascii="Traditional Arabic" w:hAnsi="Traditional Arabic"/>
          <w:sz w:val="32"/>
          <w:szCs w:val="32"/>
          <w:rtl/>
        </w:rPr>
        <w:t xml:space="preserve"> </w:t>
      </w:r>
      <w:r w:rsidRPr="004859D7">
        <w:rPr>
          <w:rFonts w:ascii="Traditional Arabic" w:hAnsi="Traditional Arabic"/>
          <w:sz w:val="32"/>
          <w:szCs w:val="32"/>
          <w:rtl/>
        </w:rPr>
        <w:t xml:space="preserve"> </w:t>
      </w:r>
    </w:p>
  </w:footnote>
  <w:footnote w:id="1470">
    <w:p w:rsidR="003F128F" w:rsidRPr="00A4312B" w:rsidRDefault="003F128F" w:rsidP="00E14A40">
      <w:pPr>
        <w:pStyle w:val="af3"/>
        <w:rPr>
          <w:rFonts w:ascii="Traditional Arabic" w:hAnsi="Traditional Arabic"/>
          <w:sz w:val="32"/>
          <w:szCs w:val="32"/>
        </w:rPr>
      </w:pPr>
      <w:r w:rsidRPr="00A4312B">
        <w:rPr>
          <w:rFonts w:ascii="Traditional Arabic" w:hAnsi="Traditional Arabic"/>
          <w:sz w:val="32"/>
          <w:szCs w:val="32"/>
          <w:rtl/>
        </w:rPr>
        <w:t>(</w:t>
      </w:r>
      <w:r w:rsidRPr="00A4312B">
        <w:rPr>
          <w:rStyle w:val="ae"/>
          <w:rFonts w:ascii="Traditional Arabic" w:hAnsi="Traditional Arabic"/>
          <w:sz w:val="32"/>
          <w:szCs w:val="32"/>
          <w:vertAlign w:val="baseline"/>
        </w:rPr>
        <w:footnoteRef/>
      </w:r>
      <w:r w:rsidRPr="00A4312B">
        <w:rPr>
          <w:rFonts w:ascii="Traditional Arabic" w:hAnsi="Traditional Arabic"/>
          <w:sz w:val="32"/>
          <w:szCs w:val="32"/>
          <w:rtl/>
        </w:rPr>
        <w:t>) الكشف والبيان (6/175), الهداية (6/4400), وذكره السيوطي في الدر المنثور (5/401) وعزاه لابن مردويه.</w:t>
      </w:r>
    </w:p>
  </w:footnote>
  <w:footnote w:id="1471">
    <w:p w:rsidR="003F128F" w:rsidRPr="00A4312B" w:rsidRDefault="003F128F" w:rsidP="00E14A40">
      <w:pPr>
        <w:pStyle w:val="af3"/>
        <w:rPr>
          <w:rFonts w:ascii="Traditional Arabic" w:hAnsi="Traditional Arabic"/>
          <w:sz w:val="32"/>
          <w:szCs w:val="32"/>
        </w:rPr>
      </w:pPr>
      <w:r w:rsidRPr="00A4312B">
        <w:rPr>
          <w:rFonts w:ascii="Traditional Arabic" w:hAnsi="Traditional Arabic"/>
          <w:sz w:val="32"/>
          <w:szCs w:val="32"/>
          <w:rtl/>
        </w:rPr>
        <w:t>(</w:t>
      </w:r>
      <w:r w:rsidRPr="00A4312B">
        <w:rPr>
          <w:rStyle w:val="ae"/>
          <w:rFonts w:ascii="Traditional Arabic" w:hAnsi="Traditional Arabic"/>
          <w:sz w:val="32"/>
          <w:szCs w:val="32"/>
          <w:vertAlign w:val="baseline"/>
        </w:rPr>
        <w:footnoteRef/>
      </w:r>
      <w:r w:rsidRPr="00A4312B">
        <w:rPr>
          <w:rFonts w:ascii="Traditional Arabic" w:hAnsi="Traditional Arabic"/>
          <w:sz w:val="32"/>
          <w:szCs w:val="32"/>
          <w:rtl/>
        </w:rPr>
        <w:t>) في (ك): [والاستهزاء بالمؤمن].</w:t>
      </w:r>
    </w:p>
  </w:footnote>
  <w:footnote w:id="1472">
    <w:p w:rsidR="003F128F" w:rsidRPr="00A4312B" w:rsidRDefault="003F128F" w:rsidP="00154407">
      <w:pPr>
        <w:pStyle w:val="af3"/>
        <w:rPr>
          <w:rFonts w:ascii="Traditional Arabic" w:hAnsi="Traditional Arabic"/>
          <w:sz w:val="32"/>
          <w:szCs w:val="32"/>
        </w:rPr>
      </w:pPr>
      <w:r w:rsidRPr="00A4312B">
        <w:rPr>
          <w:rFonts w:ascii="Traditional Arabic" w:hAnsi="Traditional Arabic"/>
          <w:sz w:val="32"/>
          <w:szCs w:val="32"/>
          <w:rtl/>
        </w:rPr>
        <w:t>(</w:t>
      </w:r>
      <w:r w:rsidRPr="00A4312B">
        <w:rPr>
          <w:rStyle w:val="ae"/>
          <w:rFonts w:ascii="Traditional Arabic" w:hAnsi="Traditional Arabic"/>
          <w:sz w:val="32"/>
          <w:szCs w:val="32"/>
          <w:vertAlign w:val="baseline"/>
        </w:rPr>
        <w:footnoteRef/>
      </w:r>
      <w:r w:rsidRPr="00A4312B">
        <w:rPr>
          <w:rFonts w:ascii="Traditional Arabic" w:hAnsi="Traditional Arabic"/>
          <w:sz w:val="32"/>
          <w:szCs w:val="32"/>
          <w:rtl/>
        </w:rPr>
        <w:t>) انظر: ذم الغيبة لابن أبي الدنيا (ص45), تفسير ابن أبي حاتم (7/3265), وذكره السيوطي في الدر المنثور (5/401).</w:t>
      </w:r>
    </w:p>
  </w:footnote>
  <w:footnote w:id="1473">
    <w:p w:rsidR="003F128F" w:rsidRPr="00A4312B" w:rsidRDefault="003F128F" w:rsidP="00E14A40">
      <w:pPr>
        <w:pStyle w:val="af3"/>
        <w:rPr>
          <w:rFonts w:ascii="Traditional Arabic" w:hAnsi="Traditional Arabic"/>
          <w:sz w:val="32"/>
          <w:szCs w:val="32"/>
        </w:rPr>
      </w:pPr>
      <w:r w:rsidRPr="00A4312B">
        <w:rPr>
          <w:rFonts w:ascii="Traditional Arabic" w:hAnsi="Traditional Arabic"/>
          <w:sz w:val="32"/>
          <w:szCs w:val="32"/>
          <w:rtl/>
        </w:rPr>
        <w:t>(</w:t>
      </w:r>
      <w:r w:rsidRPr="00A4312B">
        <w:rPr>
          <w:rStyle w:val="ae"/>
          <w:rFonts w:ascii="Traditional Arabic" w:hAnsi="Traditional Arabic"/>
          <w:sz w:val="32"/>
          <w:szCs w:val="32"/>
          <w:vertAlign w:val="baseline"/>
        </w:rPr>
        <w:footnoteRef/>
      </w:r>
      <w:r w:rsidRPr="00A4312B">
        <w:rPr>
          <w:rFonts w:ascii="Traditional Arabic" w:hAnsi="Traditional Arabic"/>
          <w:sz w:val="32"/>
          <w:szCs w:val="32"/>
          <w:rtl/>
        </w:rPr>
        <w:t>) انظر: روح المعاني (15/374).</w:t>
      </w:r>
    </w:p>
  </w:footnote>
  <w:footnote w:id="1474">
    <w:p w:rsidR="003F128F" w:rsidRPr="00A4312B" w:rsidRDefault="003F128F" w:rsidP="00E14A40">
      <w:pPr>
        <w:pStyle w:val="af3"/>
        <w:rPr>
          <w:rFonts w:ascii="Traditional Arabic" w:hAnsi="Traditional Arabic"/>
          <w:sz w:val="32"/>
          <w:szCs w:val="32"/>
        </w:rPr>
      </w:pPr>
      <w:r w:rsidRPr="00A4312B">
        <w:rPr>
          <w:rFonts w:ascii="Traditional Arabic" w:hAnsi="Traditional Arabic"/>
          <w:sz w:val="32"/>
          <w:szCs w:val="32"/>
          <w:rtl/>
        </w:rPr>
        <w:t>(</w:t>
      </w:r>
      <w:r w:rsidRPr="00A4312B">
        <w:rPr>
          <w:rStyle w:val="ae"/>
          <w:rFonts w:ascii="Traditional Arabic" w:hAnsi="Traditional Arabic"/>
          <w:sz w:val="32"/>
          <w:szCs w:val="32"/>
          <w:vertAlign w:val="baseline"/>
        </w:rPr>
        <w:footnoteRef/>
      </w:r>
      <w:r w:rsidRPr="00A4312B">
        <w:rPr>
          <w:rFonts w:ascii="Traditional Arabic" w:hAnsi="Traditional Arabic"/>
          <w:sz w:val="32"/>
          <w:szCs w:val="32"/>
          <w:rtl/>
        </w:rPr>
        <w:t xml:space="preserve">) انظر: الكشف والبيان (6/175), الهداية (6/4400), التفسير الوسيط (3/152).  </w:t>
      </w:r>
    </w:p>
  </w:footnote>
  <w:footnote w:id="1475">
    <w:p w:rsidR="003F128F" w:rsidRPr="00A4312B" w:rsidRDefault="003F128F" w:rsidP="00E14A40">
      <w:pPr>
        <w:pStyle w:val="af3"/>
        <w:rPr>
          <w:rFonts w:ascii="Traditional Arabic" w:hAnsi="Traditional Arabic"/>
          <w:sz w:val="32"/>
          <w:szCs w:val="32"/>
        </w:rPr>
      </w:pPr>
      <w:r w:rsidRPr="00A4312B">
        <w:rPr>
          <w:rFonts w:ascii="Traditional Arabic" w:hAnsi="Traditional Arabic"/>
          <w:sz w:val="32"/>
          <w:szCs w:val="32"/>
          <w:rtl/>
        </w:rPr>
        <w:t>(</w:t>
      </w:r>
      <w:r w:rsidRPr="00A4312B">
        <w:rPr>
          <w:rStyle w:val="ae"/>
          <w:rFonts w:ascii="Traditional Arabic" w:hAnsi="Traditional Arabic"/>
          <w:sz w:val="32"/>
          <w:szCs w:val="32"/>
          <w:vertAlign w:val="baseline"/>
        </w:rPr>
        <w:footnoteRef/>
      </w:r>
      <w:r w:rsidRPr="00A4312B">
        <w:rPr>
          <w:rFonts w:ascii="Traditional Arabic" w:hAnsi="Traditional Arabic"/>
          <w:sz w:val="32"/>
          <w:szCs w:val="32"/>
          <w:rtl/>
        </w:rPr>
        <w:t>) انظر: تفسير الطبري (18/39), الكشف والبيان (6/175), التفسير الوسيط (3/152).</w:t>
      </w:r>
    </w:p>
  </w:footnote>
  <w:footnote w:id="1476">
    <w:p w:rsidR="003F128F" w:rsidRPr="00A4312B" w:rsidRDefault="003F128F" w:rsidP="00E14A40">
      <w:pPr>
        <w:pStyle w:val="af3"/>
        <w:rPr>
          <w:rFonts w:ascii="Traditional Arabic" w:hAnsi="Traditional Arabic"/>
          <w:sz w:val="32"/>
          <w:szCs w:val="32"/>
        </w:rPr>
      </w:pPr>
      <w:r w:rsidRPr="00A4312B">
        <w:rPr>
          <w:rFonts w:ascii="Traditional Arabic" w:hAnsi="Traditional Arabic"/>
          <w:sz w:val="32"/>
          <w:szCs w:val="32"/>
          <w:rtl/>
        </w:rPr>
        <w:t>(</w:t>
      </w:r>
      <w:r w:rsidRPr="00A4312B">
        <w:rPr>
          <w:rStyle w:val="ae"/>
          <w:rFonts w:ascii="Traditional Arabic" w:hAnsi="Traditional Arabic"/>
          <w:sz w:val="32"/>
          <w:szCs w:val="32"/>
          <w:vertAlign w:val="baseline"/>
        </w:rPr>
        <w:footnoteRef/>
      </w:r>
      <w:r w:rsidRPr="00A4312B">
        <w:rPr>
          <w:rFonts w:ascii="Traditional Arabic" w:hAnsi="Traditional Arabic"/>
          <w:sz w:val="32"/>
          <w:szCs w:val="32"/>
          <w:rtl/>
        </w:rPr>
        <w:t>) ذكر بنحوه الماوردي في النكت والعيون (3/313), والقرطبي في الجامع لأحكام القرآن (13/299).</w:t>
      </w:r>
    </w:p>
  </w:footnote>
  <w:footnote w:id="1477">
    <w:p w:rsidR="003F128F" w:rsidRPr="00C13590" w:rsidRDefault="003F128F" w:rsidP="00E14A40">
      <w:pPr>
        <w:pStyle w:val="af3"/>
        <w:rPr>
          <w:rFonts w:ascii="Tahoma" w:hAnsi="Tahoma"/>
        </w:rPr>
      </w:pPr>
      <w:r w:rsidRPr="00F31522">
        <w:rPr>
          <w:rFonts w:ascii="Traditional Arabic" w:hAnsi="Traditional Arabic"/>
          <w:sz w:val="32"/>
          <w:szCs w:val="32"/>
          <w:rtl/>
        </w:rPr>
        <w:t>(</w:t>
      </w:r>
      <w:r w:rsidRPr="00F31522">
        <w:rPr>
          <w:rStyle w:val="ae"/>
          <w:rFonts w:ascii="Traditional Arabic" w:hAnsi="Traditional Arabic"/>
          <w:sz w:val="32"/>
          <w:szCs w:val="32"/>
          <w:vertAlign w:val="baseline"/>
        </w:rPr>
        <w:footnoteRef/>
      </w:r>
      <w:r w:rsidRPr="00F31522">
        <w:rPr>
          <w:rFonts w:ascii="Traditional Arabic" w:hAnsi="Traditional Arabic"/>
          <w:sz w:val="32"/>
          <w:szCs w:val="32"/>
          <w:rtl/>
        </w:rPr>
        <w:t>)</w:t>
      </w:r>
      <w:r w:rsidRPr="00F31522">
        <w:rPr>
          <w:rFonts w:ascii="Traditional Arabic" w:hAnsi="Traditional Arabic" w:hint="cs"/>
          <w:sz w:val="32"/>
          <w:szCs w:val="32"/>
          <w:rtl/>
        </w:rPr>
        <w:t xml:space="preserve"> </w:t>
      </w:r>
      <w:r w:rsidRPr="00F31522">
        <w:rPr>
          <w:rFonts w:ascii="Traditional Arabic" w:hAnsi="Traditional Arabic"/>
          <w:sz w:val="32"/>
          <w:szCs w:val="32"/>
          <w:rtl/>
        </w:rPr>
        <w:t>انظر: تفسير الطبري (18/3</w:t>
      </w:r>
      <w:r w:rsidRPr="00F31522">
        <w:rPr>
          <w:rFonts w:ascii="Traditional Arabic" w:hAnsi="Traditional Arabic" w:hint="cs"/>
          <w:sz w:val="32"/>
          <w:szCs w:val="32"/>
          <w:rtl/>
        </w:rPr>
        <w:t>9</w:t>
      </w:r>
      <w:r w:rsidRPr="00F31522">
        <w:rPr>
          <w:rFonts w:ascii="Traditional Arabic" w:hAnsi="Traditional Arabic"/>
          <w:sz w:val="32"/>
          <w:szCs w:val="32"/>
          <w:rtl/>
        </w:rPr>
        <w:t>), الكشف والبيان (6/175)</w:t>
      </w:r>
      <w:r w:rsidRPr="00F31522">
        <w:rPr>
          <w:rFonts w:ascii="Tahoma" w:hAnsi="Tahoma" w:hint="cs"/>
          <w:sz w:val="32"/>
          <w:szCs w:val="32"/>
          <w:rtl/>
        </w:rPr>
        <w:t xml:space="preserve">, </w:t>
      </w:r>
      <w:r w:rsidRPr="00F31522">
        <w:rPr>
          <w:rFonts w:ascii="Tahoma" w:hAnsi="Tahoma"/>
          <w:sz w:val="32"/>
          <w:szCs w:val="32"/>
          <w:rtl/>
        </w:rPr>
        <w:t>التفسير الوسيط (3/152).</w:t>
      </w:r>
    </w:p>
  </w:footnote>
  <w:footnote w:id="1478">
    <w:p w:rsidR="003F128F" w:rsidRPr="00906756" w:rsidRDefault="003F128F" w:rsidP="00E14A40">
      <w:pPr>
        <w:pStyle w:val="af3"/>
        <w:rPr>
          <w:rFonts w:ascii="Traditional Arabic" w:hAnsi="Traditional Arabic"/>
          <w:sz w:val="32"/>
          <w:szCs w:val="32"/>
        </w:rPr>
      </w:pPr>
      <w:r w:rsidRPr="00906756">
        <w:rPr>
          <w:rFonts w:ascii="Traditional Arabic" w:hAnsi="Traditional Arabic"/>
          <w:sz w:val="32"/>
          <w:szCs w:val="32"/>
          <w:rtl/>
        </w:rPr>
        <w:t>(</w:t>
      </w:r>
      <w:r w:rsidRPr="00906756">
        <w:rPr>
          <w:rStyle w:val="ae"/>
          <w:rFonts w:ascii="Traditional Arabic" w:hAnsi="Traditional Arabic"/>
          <w:sz w:val="32"/>
          <w:szCs w:val="32"/>
          <w:vertAlign w:val="baseline"/>
        </w:rPr>
        <w:footnoteRef/>
      </w:r>
      <w:r w:rsidRPr="00906756">
        <w:rPr>
          <w:rFonts w:ascii="Traditional Arabic" w:hAnsi="Traditional Arabic"/>
          <w:sz w:val="32"/>
          <w:szCs w:val="32"/>
          <w:rtl/>
        </w:rPr>
        <w:t>) انظر: تفسير يحيى بن سلام (1/191), النكت والعيون (3/313).</w:t>
      </w:r>
    </w:p>
  </w:footnote>
  <w:footnote w:id="1479">
    <w:p w:rsidR="003F128F" w:rsidRPr="00906756" w:rsidRDefault="003F128F" w:rsidP="00E14A40">
      <w:pPr>
        <w:pStyle w:val="af3"/>
        <w:rPr>
          <w:rFonts w:ascii="Traditional Arabic" w:hAnsi="Traditional Arabic"/>
          <w:sz w:val="32"/>
          <w:szCs w:val="32"/>
        </w:rPr>
      </w:pPr>
      <w:r w:rsidRPr="00906756">
        <w:rPr>
          <w:rFonts w:ascii="Traditional Arabic" w:hAnsi="Traditional Arabic"/>
          <w:sz w:val="32"/>
          <w:szCs w:val="32"/>
          <w:rtl/>
        </w:rPr>
        <w:t>(</w:t>
      </w:r>
      <w:r w:rsidRPr="00906756">
        <w:rPr>
          <w:rStyle w:val="ae"/>
          <w:rFonts w:ascii="Traditional Arabic" w:hAnsi="Traditional Arabic"/>
          <w:sz w:val="32"/>
          <w:szCs w:val="32"/>
          <w:vertAlign w:val="baseline"/>
        </w:rPr>
        <w:footnoteRef/>
      </w:r>
      <w:r w:rsidRPr="00906756">
        <w:rPr>
          <w:rFonts w:ascii="Traditional Arabic" w:hAnsi="Traditional Arabic"/>
          <w:sz w:val="32"/>
          <w:szCs w:val="32"/>
          <w:rtl/>
        </w:rPr>
        <w:t>) انظر: تفسير يحيى بن سلام (1/191), تفسير الطبري (18/40), الكشف والبيان (6/175).</w:t>
      </w:r>
    </w:p>
  </w:footnote>
  <w:footnote w:id="1480">
    <w:p w:rsidR="003F128F" w:rsidRPr="00906756" w:rsidRDefault="003F128F" w:rsidP="00E14A40">
      <w:pPr>
        <w:pStyle w:val="af3"/>
        <w:rPr>
          <w:rFonts w:ascii="Traditional Arabic" w:hAnsi="Traditional Arabic"/>
          <w:sz w:val="32"/>
          <w:szCs w:val="32"/>
        </w:rPr>
      </w:pPr>
      <w:r w:rsidRPr="00906756">
        <w:rPr>
          <w:rFonts w:ascii="Traditional Arabic" w:hAnsi="Traditional Arabic"/>
          <w:sz w:val="32"/>
          <w:szCs w:val="32"/>
          <w:rtl/>
        </w:rPr>
        <w:t>(</w:t>
      </w:r>
      <w:r w:rsidRPr="00906756">
        <w:rPr>
          <w:rStyle w:val="ae"/>
          <w:rFonts w:ascii="Traditional Arabic" w:hAnsi="Traditional Arabic"/>
          <w:sz w:val="32"/>
          <w:szCs w:val="32"/>
          <w:vertAlign w:val="baseline"/>
        </w:rPr>
        <w:footnoteRef/>
      </w:r>
      <w:r w:rsidRPr="00906756">
        <w:rPr>
          <w:rFonts w:ascii="Traditional Arabic" w:hAnsi="Traditional Arabic"/>
          <w:sz w:val="32"/>
          <w:szCs w:val="32"/>
          <w:rtl/>
        </w:rPr>
        <w:t>) سورة البقرة, الآية</w:t>
      </w:r>
      <w:r>
        <w:rPr>
          <w:rFonts w:ascii="Traditional Arabic" w:hAnsi="Traditional Arabic" w:hint="cs"/>
          <w:sz w:val="32"/>
          <w:szCs w:val="32"/>
          <w:rtl/>
        </w:rPr>
        <w:t>:</w:t>
      </w:r>
      <w:r w:rsidRPr="00906756">
        <w:rPr>
          <w:rFonts w:ascii="Traditional Arabic" w:hAnsi="Traditional Arabic"/>
          <w:sz w:val="32"/>
          <w:szCs w:val="32"/>
          <w:rtl/>
        </w:rPr>
        <w:t xml:space="preserve"> (34). انظر: زاد المسير (1/65).</w:t>
      </w:r>
    </w:p>
  </w:footnote>
  <w:footnote w:id="1481">
    <w:p w:rsidR="003F128F" w:rsidRPr="00A4312B" w:rsidRDefault="003F128F" w:rsidP="00E14A40">
      <w:pPr>
        <w:pStyle w:val="af3"/>
        <w:rPr>
          <w:rFonts w:ascii="Traditional Arabic" w:hAnsi="Traditional Arabic"/>
          <w:sz w:val="32"/>
          <w:szCs w:val="32"/>
        </w:rPr>
      </w:pPr>
      <w:r w:rsidRPr="00A4312B">
        <w:rPr>
          <w:rFonts w:ascii="Traditional Arabic" w:hAnsi="Traditional Arabic"/>
          <w:sz w:val="32"/>
          <w:szCs w:val="32"/>
          <w:rtl/>
        </w:rPr>
        <w:t>(</w:t>
      </w:r>
      <w:r w:rsidRPr="00A4312B">
        <w:rPr>
          <w:rStyle w:val="ae"/>
          <w:rFonts w:ascii="Traditional Arabic" w:hAnsi="Traditional Arabic"/>
          <w:sz w:val="32"/>
          <w:szCs w:val="32"/>
          <w:vertAlign w:val="baseline"/>
        </w:rPr>
        <w:footnoteRef/>
      </w:r>
      <w:r w:rsidRPr="00A4312B">
        <w:rPr>
          <w:rFonts w:ascii="Traditional Arabic" w:hAnsi="Traditional Arabic"/>
          <w:sz w:val="32"/>
          <w:szCs w:val="32"/>
          <w:rtl/>
        </w:rPr>
        <w:t xml:space="preserve">) انظر: معاني القرآن (2/147), غريب القرآن (ص268).  </w:t>
      </w:r>
    </w:p>
  </w:footnote>
  <w:footnote w:id="1482">
    <w:p w:rsidR="003F128F" w:rsidRPr="00A4312B" w:rsidRDefault="003F128F" w:rsidP="00225EA4">
      <w:pPr>
        <w:pStyle w:val="af3"/>
        <w:rPr>
          <w:rFonts w:ascii="Traditional Arabic" w:hAnsi="Traditional Arabic"/>
          <w:sz w:val="32"/>
          <w:szCs w:val="32"/>
        </w:rPr>
      </w:pPr>
      <w:r w:rsidRPr="00A4312B">
        <w:rPr>
          <w:rFonts w:ascii="Traditional Arabic" w:hAnsi="Traditional Arabic"/>
          <w:sz w:val="32"/>
          <w:szCs w:val="32"/>
          <w:rtl/>
        </w:rPr>
        <w:t>(</w:t>
      </w:r>
      <w:r w:rsidRPr="00A4312B">
        <w:rPr>
          <w:rStyle w:val="ae"/>
          <w:rFonts w:ascii="Traditional Arabic" w:hAnsi="Traditional Arabic"/>
          <w:sz w:val="32"/>
          <w:szCs w:val="32"/>
          <w:vertAlign w:val="baseline"/>
        </w:rPr>
        <w:footnoteRef/>
      </w:r>
      <w:r w:rsidRPr="00A4312B">
        <w:rPr>
          <w:rFonts w:ascii="Traditional Arabic" w:hAnsi="Traditional Arabic"/>
          <w:sz w:val="32"/>
          <w:szCs w:val="32"/>
          <w:rtl/>
        </w:rPr>
        <w:t xml:space="preserve">) في </w:t>
      </w:r>
      <w:r>
        <w:rPr>
          <w:rFonts w:ascii="Traditional Arabic" w:hAnsi="Traditional Arabic" w:hint="cs"/>
          <w:sz w:val="32"/>
          <w:szCs w:val="32"/>
          <w:rtl/>
        </w:rPr>
        <w:t>(م)</w:t>
      </w:r>
      <w:r w:rsidRPr="00A4312B">
        <w:rPr>
          <w:rFonts w:ascii="Traditional Arabic" w:hAnsi="Traditional Arabic"/>
          <w:sz w:val="32"/>
          <w:szCs w:val="32"/>
          <w:rtl/>
        </w:rPr>
        <w:t xml:space="preserve">: [حكاه], والمثبت من (ك) وهو موافق لما في كتاب معاني القرآن وإعرابه. </w:t>
      </w:r>
    </w:p>
  </w:footnote>
  <w:footnote w:id="1483">
    <w:p w:rsidR="003F128F" w:rsidRPr="00906756" w:rsidRDefault="003F128F" w:rsidP="00E14A40">
      <w:pPr>
        <w:pStyle w:val="af3"/>
        <w:rPr>
          <w:rFonts w:ascii="Traditional Arabic" w:hAnsi="Traditional Arabic"/>
          <w:sz w:val="32"/>
          <w:szCs w:val="32"/>
        </w:rPr>
      </w:pPr>
      <w:r w:rsidRPr="00A4312B">
        <w:rPr>
          <w:rFonts w:ascii="Traditional Arabic" w:hAnsi="Traditional Arabic"/>
          <w:color w:val="auto"/>
          <w:sz w:val="32"/>
          <w:szCs w:val="32"/>
          <w:rtl/>
        </w:rPr>
        <w:t>(</w:t>
      </w:r>
      <w:r w:rsidRPr="00A4312B">
        <w:rPr>
          <w:rStyle w:val="ae"/>
          <w:rFonts w:ascii="Traditional Arabic" w:hAnsi="Traditional Arabic"/>
          <w:color w:val="auto"/>
          <w:sz w:val="32"/>
          <w:szCs w:val="32"/>
          <w:vertAlign w:val="baseline"/>
        </w:rPr>
        <w:footnoteRef/>
      </w:r>
      <w:r w:rsidRPr="00A4312B">
        <w:rPr>
          <w:rFonts w:ascii="Traditional Arabic" w:hAnsi="Traditional Arabic"/>
          <w:color w:val="auto"/>
          <w:sz w:val="32"/>
          <w:szCs w:val="32"/>
          <w:rtl/>
        </w:rPr>
        <w:t>) هو الامام أبو عبد الرحمن</w:t>
      </w:r>
      <w:r>
        <w:rPr>
          <w:rFonts w:ascii="Traditional Arabic" w:hAnsi="Traditional Arabic" w:hint="cs"/>
          <w:color w:val="auto"/>
          <w:sz w:val="32"/>
          <w:szCs w:val="32"/>
          <w:rtl/>
        </w:rPr>
        <w:t>,</w:t>
      </w:r>
      <w:r w:rsidRPr="00A4312B">
        <w:rPr>
          <w:rFonts w:ascii="Traditional Arabic" w:hAnsi="Traditional Arabic"/>
          <w:color w:val="auto"/>
          <w:sz w:val="32"/>
          <w:szCs w:val="32"/>
          <w:rtl/>
        </w:rPr>
        <w:t xml:space="preserve"> الخليل بن أحمد بن عمرو بن تميم</w:t>
      </w:r>
      <w:r w:rsidRPr="00906756">
        <w:rPr>
          <w:rFonts w:ascii="Traditional Arabic" w:hAnsi="Traditional Arabic"/>
          <w:color w:val="auto"/>
          <w:sz w:val="32"/>
          <w:szCs w:val="32"/>
          <w:rtl/>
        </w:rPr>
        <w:t xml:space="preserve"> الفراهيدي,</w:t>
      </w:r>
      <w:r w:rsidRPr="00906756">
        <w:rPr>
          <w:rFonts w:ascii="Traditional Arabic" w:hAnsi="Traditional Arabic"/>
          <w:color w:val="auto"/>
          <w:sz w:val="32"/>
          <w:szCs w:val="32"/>
          <w:rtl/>
          <w:lang w:eastAsia="en-US"/>
        </w:rPr>
        <w:t xml:space="preserve"> الأزدي، البصري، كان إماماً في علم النحو, ومُنْشِئُ علم العروض، صاحب كتاب "العين" فِي اللغة.</w:t>
      </w:r>
      <w:r w:rsidRPr="00906756">
        <w:rPr>
          <w:rFonts w:ascii="Traditional Arabic" w:hAnsi="Traditional Arabic"/>
          <w:color w:val="auto"/>
          <w:sz w:val="32"/>
          <w:szCs w:val="32"/>
          <w:rtl/>
        </w:rPr>
        <w:t xml:space="preserve"> (ت160ه). انظر: وفيات الأعيان (2/244), تهذيب الكمال (8/326), سير أعلام النبلاء (7/429).</w:t>
      </w:r>
    </w:p>
  </w:footnote>
  <w:footnote w:id="1484">
    <w:p w:rsidR="003F128F" w:rsidRPr="00FD6755" w:rsidRDefault="003F128F" w:rsidP="00E14A40">
      <w:pPr>
        <w:pStyle w:val="af3"/>
        <w:rPr>
          <w:rFonts w:ascii="Traditional Arabic" w:hAnsi="Traditional Arabic"/>
          <w:sz w:val="32"/>
          <w:szCs w:val="32"/>
        </w:rPr>
      </w:pPr>
      <w:r w:rsidRPr="00FD6755">
        <w:rPr>
          <w:rFonts w:ascii="Traditional Arabic" w:hAnsi="Traditional Arabic"/>
          <w:color w:val="auto"/>
          <w:sz w:val="32"/>
          <w:szCs w:val="32"/>
          <w:rtl/>
        </w:rPr>
        <w:t>(</w:t>
      </w:r>
      <w:r w:rsidRPr="00FD6755">
        <w:rPr>
          <w:rStyle w:val="ae"/>
          <w:rFonts w:ascii="Traditional Arabic" w:hAnsi="Traditional Arabic"/>
          <w:color w:val="auto"/>
          <w:sz w:val="32"/>
          <w:szCs w:val="32"/>
          <w:vertAlign w:val="baseline"/>
        </w:rPr>
        <w:footnoteRef/>
      </w:r>
      <w:r w:rsidRPr="00FD6755">
        <w:rPr>
          <w:rFonts w:ascii="Traditional Arabic" w:hAnsi="Traditional Arabic"/>
          <w:color w:val="auto"/>
          <w:sz w:val="32"/>
          <w:szCs w:val="32"/>
          <w:rtl/>
        </w:rPr>
        <w:t xml:space="preserve">) هو الامام </w:t>
      </w:r>
      <w:r w:rsidRPr="00FD6755">
        <w:rPr>
          <w:rFonts w:ascii="Traditional Arabic" w:hAnsi="Traditional Arabic"/>
          <w:color w:val="auto"/>
          <w:sz w:val="32"/>
          <w:szCs w:val="32"/>
          <w:rtl/>
          <w:lang w:eastAsia="en-US"/>
        </w:rPr>
        <w:t>أبو بِشْرٍ</w:t>
      </w:r>
      <w:r>
        <w:rPr>
          <w:rFonts w:ascii="Traditional Arabic" w:hAnsi="Traditional Arabic" w:hint="cs"/>
          <w:color w:val="auto"/>
          <w:sz w:val="32"/>
          <w:szCs w:val="32"/>
          <w:rtl/>
        </w:rPr>
        <w:t>,</w:t>
      </w:r>
      <w:r w:rsidRPr="00FD6755">
        <w:rPr>
          <w:rFonts w:ascii="Traditional Arabic" w:hAnsi="Traditional Arabic"/>
          <w:color w:val="auto"/>
          <w:sz w:val="32"/>
          <w:szCs w:val="32"/>
          <w:rtl/>
        </w:rPr>
        <w:t xml:space="preserve"> عمرو بن عثمان </w:t>
      </w:r>
      <w:r w:rsidRPr="00FD6755">
        <w:rPr>
          <w:rFonts w:ascii="Traditional Arabic" w:hAnsi="Traditional Arabic"/>
          <w:color w:val="auto"/>
          <w:sz w:val="32"/>
          <w:szCs w:val="32"/>
          <w:rtl/>
          <w:lang w:eastAsia="en-US"/>
        </w:rPr>
        <w:t>بن قَنْبَرٍ الفارسي</w:t>
      </w:r>
      <w:r w:rsidRPr="00FD6755">
        <w:rPr>
          <w:rFonts w:ascii="Traditional Arabic" w:hAnsi="Traditional Arabic"/>
          <w:color w:val="auto"/>
          <w:sz w:val="32"/>
          <w:szCs w:val="32"/>
          <w:rtl/>
        </w:rPr>
        <w:t>,</w:t>
      </w:r>
      <w:r w:rsidRPr="00FD6755">
        <w:rPr>
          <w:rFonts w:ascii="Traditional Arabic" w:hAnsi="Traditional Arabic"/>
          <w:color w:val="auto"/>
          <w:sz w:val="32"/>
          <w:szCs w:val="32"/>
          <w:rtl/>
          <w:lang w:eastAsia="en-US"/>
        </w:rPr>
        <w:t xml:space="preserve"> ثم البصري</w:t>
      </w:r>
      <w:r w:rsidRPr="00FD6755">
        <w:rPr>
          <w:rFonts w:ascii="Traditional Arabic" w:hAnsi="Traditional Arabic" w:hint="cs"/>
          <w:color w:val="auto"/>
          <w:sz w:val="32"/>
          <w:szCs w:val="32"/>
          <w:rtl/>
        </w:rPr>
        <w:t>,</w:t>
      </w:r>
      <w:r w:rsidRPr="00FD6755">
        <w:rPr>
          <w:rFonts w:ascii="Traditional Arabic" w:hAnsi="Traditional Arabic"/>
          <w:color w:val="auto"/>
          <w:sz w:val="32"/>
          <w:szCs w:val="32"/>
          <w:rtl/>
        </w:rPr>
        <w:t xml:space="preserve"> الملقب س</w:t>
      </w:r>
      <w:r>
        <w:rPr>
          <w:rFonts w:ascii="Traditional Arabic" w:hAnsi="Traditional Arabic" w:hint="cs"/>
          <w:color w:val="auto"/>
          <w:sz w:val="32"/>
          <w:szCs w:val="32"/>
          <w:rtl/>
        </w:rPr>
        <w:t>ِ</w:t>
      </w:r>
      <w:r w:rsidRPr="00FD6755">
        <w:rPr>
          <w:rFonts w:ascii="Traditional Arabic" w:hAnsi="Traditional Arabic"/>
          <w:color w:val="auto"/>
          <w:sz w:val="32"/>
          <w:szCs w:val="32"/>
          <w:rtl/>
        </w:rPr>
        <w:t>ي</w:t>
      </w:r>
      <w:r>
        <w:rPr>
          <w:rFonts w:ascii="Traditional Arabic" w:hAnsi="Traditional Arabic" w:hint="cs"/>
          <w:color w:val="auto"/>
          <w:sz w:val="32"/>
          <w:szCs w:val="32"/>
          <w:rtl/>
        </w:rPr>
        <w:t>ْ</w:t>
      </w:r>
      <w:r w:rsidRPr="00FD6755">
        <w:rPr>
          <w:rFonts w:ascii="Traditional Arabic" w:hAnsi="Traditional Arabic"/>
          <w:color w:val="auto"/>
          <w:sz w:val="32"/>
          <w:szCs w:val="32"/>
          <w:rtl/>
        </w:rPr>
        <w:t>ب</w:t>
      </w:r>
      <w:r>
        <w:rPr>
          <w:rFonts w:ascii="Traditional Arabic" w:hAnsi="Traditional Arabic" w:hint="cs"/>
          <w:color w:val="auto"/>
          <w:sz w:val="32"/>
          <w:szCs w:val="32"/>
          <w:rtl/>
        </w:rPr>
        <w:t>َ</w:t>
      </w:r>
      <w:r w:rsidRPr="00FD6755">
        <w:rPr>
          <w:rFonts w:ascii="Traditional Arabic" w:hAnsi="Traditional Arabic"/>
          <w:color w:val="auto"/>
          <w:sz w:val="32"/>
          <w:szCs w:val="32"/>
          <w:rtl/>
        </w:rPr>
        <w:t>و</w:t>
      </w:r>
      <w:r>
        <w:rPr>
          <w:rFonts w:ascii="Traditional Arabic" w:hAnsi="Traditional Arabic" w:hint="cs"/>
          <w:color w:val="auto"/>
          <w:sz w:val="32"/>
          <w:szCs w:val="32"/>
          <w:rtl/>
        </w:rPr>
        <w:t>ْ</w:t>
      </w:r>
      <w:r w:rsidRPr="00FD6755">
        <w:rPr>
          <w:rFonts w:ascii="Traditional Arabic" w:hAnsi="Traditional Arabic"/>
          <w:color w:val="auto"/>
          <w:sz w:val="32"/>
          <w:szCs w:val="32"/>
          <w:rtl/>
        </w:rPr>
        <w:t>ي</w:t>
      </w:r>
      <w:r>
        <w:rPr>
          <w:rFonts w:ascii="Traditional Arabic" w:hAnsi="Traditional Arabic" w:hint="cs"/>
          <w:color w:val="auto"/>
          <w:sz w:val="32"/>
          <w:szCs w:val="32"/>
          <w:rtl/>
        </w:rPr>
        <w:t>َ</w:t>
      </w:r>
      <w:r w:rsidRPr="00FD6755">
        <w:rPr>
          <w:rFonts w:ascii="Traditional Arabic" w:hAnsi="Traditional Arabic"/>
          <w:color w:val="auto"/>
          <w:sz w:val="32"/>
          <w:szCs w:val="32"/>
          <w:rtl/>
        </w:rPr>
        <w:t>ه،</w:t>
      </w:r>
      <w:r w:rsidRPr="00FD6755">
        <w:rPr>
          <w:rFonts w:ascii="Traditional Arabic" w:hAnsi="Traditional Arabic"/>
          <w:color w:val="auto"/>
          <w:sz w:val="32"/>
          <w:szCs w:val="32"/>
          <w:rtl/>
          <w:lang w:eastAsia="en-US"/>
        </w:rPr>
        <w:t xml:space="preserve"> </w:t>
      </w:r>
      <w:r w:rsidRPr="00FD6755">
        <w:rPr>
          <w:rFonts w:ascii="Traditional Arabic" w:hAnsi="Traditional Arabic"/>
          <w:color w:val="auto"/>
          <w:sz w:val="32"/>
          <w:szCs w:val="32"/>
          <w:rtl/>
        </w:rPr>
        <w:t>إمام النحو، حُجَّةُ العرب، كان أعلم المتقدمين والمتأخرين بالنحو،</w:t>
      </w:r>
      <w:r>
        <w:rPr>
          <w:rFonts w:ascii="Traditional Arabic" w:hAnsi="Traditional Arabic" w:hint="cs"/>
          <w:color w:val="auto"/>
          <w:sz w:val="32"/>
          <w:szCs w:val="32"/>
          <w:rtl/>
        </w:rPr>
        <w:t xml:space="preserve"> ومن مصنفاته "الكتاب"</w:t>
      </w:r>
      <w:r w:rsidRPr="00FD6755">
        <w:rPr>
          <w:rFonts w:ascii="Traditional Arabic" w:hAnsi="Traditional Arabic" w:hint="cs"/>
          <w:color w:val="auto"/>
          <w:sz w:val="32"/>
          <w:szCs w:val="32"/>
          <w:rtl/>
        </w:rPr>
        <w:t>,</w:t>
      </w:r>
      <w:r w:rsidRPr="00FD6755">
        <w:rPr>
          <w:rFonts w:ascii="Traditional Arabic" w:hAnsi="Traditional Arabic"/>
          <w:color w:val="auto"/>
          <w:sz w:val="32"/>
          <w:szCs w:val="32"/>
          <w:rtl/>
        </w:rPr>
        <w:t xml:space="preserve"> وس</w:t>
      </w:r>
      <w:r>
        <w:rPr>
          <w:rFonts w:ascii="Traditional Arabic" w:hAnsi="Traditional Arabic" w:hint="cs"/>
          <w:color w:val="auto"/>
          <w:sz w:val="32"/>
          <w:szCs w:val="32"/>
          <w:rtl/>
        </w:rPr>
        <w:t>ِ</w:t>
      </w:r>
      <w:r w:rsidRPr="00FD6755">
        <w:rPr>
          <w:rFonts w:ascii="Traditional Arabic" w:hAnsi="Traditional Arabic"/>
          <w:color w:val="auto"/>
          <w:sz w:val="32"/>
          <w:szCs w:val="32"/>
          <w:rtl/>
        </w:rPr>
        <w:t>ي</w:t>
      </w:r>
      <w:r>
        <w:rPr>
          <w:rFonts w:ascii="Traditional Arabic" w:hAnsi="Traditional Arabic" w:hint="cs"/>
          <w:color w:val="auto"/>
          <w:sz w:val="32"/>
          <w:szCs w:val="32"/>
          <w:rtl/>
        </w:rPr>
        <w:t>ْ</w:t>
      </w:r>
      <w:r w:rsidRPr="00FD6755">
        <w:rPr>
          <w:rFonts w:ascii="Traditional Arabic" w:hAnsi="Traditional Arabic"/>
          <w:color w:val="auto"/>
          <w:sz w:val="32"/>
          <w:szCs w:val="32"/>
          <w:rtl/>
        </w:rPr>
        <w:t>ب</w:t>
      </w:r>
      <w:r>
        <w:rPr>
          <w:rFonts w:ascii="Traditional Arabic" w:hAnsi="Traditional Arabic" w:hint="cs"/>
          <w:color w:val="auto"/>
          <w:sz w:val="32"/>
          <w:szCs w:val="32"/>
          <w:rtl/>
        </w:rPr>
        <w:t>َ</w:t>
      </w:r>
      <w:r w:rsidRPr="00FD6755">
        <w:rPr>
          <w:rFonts w:ascii="Traditional Arabic" w:hAnsi="Traditional Arabic"/>
          <w:color w:val="auto"/>
          <w:sz w:val="32"/>
          <w:szCs w:val="32"/>
          <w:rtl/>
        </w:rPr>
        <w:t>و</w:t>
      </w:r>
      <w:r>
        <w:rPr>
          <w:rFonts w:ascii="Traditional Arabic" w:hAnsi="Traditional Arabic" w:hint="cs"/>
          <w:color w:val="auto"/>
          <w:sz w:val="32"/>
          <w:szCs w:val="32"/>
          <w:rtl/>
        </w:rPr>
        <w:t>ْ</w:t>
      </w:r>
      <w:r w:rsidRPr="00FD6755">
        <w:rPr>
          <w:rFonts w:ascii="Traditional Arabic" w:hAnsi="Traditional Arabic"/>
          <w:color w:val="auto"/>
          <w:sz w:val="32"/>
          <w:szCs w:val="32"/>
          <w:rtl/>
        </w:rPr>
        <w:t>ي</w:t>
      </w:r>
      <w:r>
        <w:rPr>
          <w:rFonts w:ascii="Traditional Arabic" w:hAnsi="Traditional Arabic" w:hint="cs"/>
          <w:color w:val="auto"/>
          <w:sz w:val="32"/>
          <w:szCs w:val="32"/>
          <w:rtl/>
        </w:rPr>
        <w:t>َ</w:t>
      </w:r>
      <w:r w:rsidRPr="00FD6755">
        <w:rPr>
          <w:rFonts w:ascii="Traditional Arabic" w:hAnsi="Traditional Arabic"/>
          <w:color w:val="auto"/>
          <w:sz w:val="32"/>
          <w:szCs w:val="32"/>
          <w:rtl/>
        </w:rPr>
        <w:t>ه</w:t>
      </w:r>
      <w:r>
        <w:rPr>
          <w:rFonts w:ascii="Traditional Arabic" w:hAnsi="Traditional Arabic" w:hint="cs"/>
          <w:color w:val="auto"/>
          <w:sz w:val="32"/>
          <w:szCs w:val="32"/>
          <w:rtl/>
        </w:rPr>
        <w:t>: لقب فارسي معناه بالعربية</w:t>
      </w:r>
      <w:r w:rsidRPr="00FD6755">
        <w:rPr>
          <w:rFonts w:ascii="Traditional Arabic" w:hAnsi="Traditional Arabic"/>
          <w:color w:val="auto"/>
          <w:sz w:val="32"/>
          <w:szCs w:val="32"/>
          <w:rtl/>
        </w:rPr>
        <w:t xml:space="preserve"> رائحة التفاح</w:t>
      </w:r>
      <w:r w:rsidRPr="00FD6755">
        <w:rPr>
          <w:rFonts w:ascii="Traditional Arabic" w:hAnsi="Traditional Arabic" w:hint="cs"/>
          <w:color w:val="auto"/>
          <w:sz w:val="32"/>
          <w:szCs w:val="32"/>
          <w:rtl/>
        </w:rPr>
        <w:t>,</w:t>
      </w:r>
      <w:r w:rsidRPr="00FD6755">
        <w:rPr>
          <w:rFonts w:ascii="Traditional Arabic" w:hAnsi="Traditional Arabic"/>
          <w:color w:val="auto"/>
          <w:sz w:val="32"/>
          <w:szCs w:val="32"/>
          <w:rtl/>
        </w:rPr>
        <w:t xml:space="preserve"> (ت1</w:t>
      </w:r>
      <w:r w:rsidRPr="00FD6755">
        <w:rPr>
          <w:rFonts w:ascii="Traditional Arabic" w:hAnsi="Traditional Arabic" w:hint="cs"/>
          <w:color w:val="auto"/>
          <w:sz w:val="32"/>
          <w:szCs w:val="32"/>
          <w:rtl/>
        </w:rPr>
        <w:t>80</w:t>
      </w:r>
      <w:r w:rsidRPr="00FD6755">
        <w:rPr>
          <w:rFonts w:ascii="Traditional Arabic" w:hAnsi="Traditional Arabic"/>
          <w:color w:val="auto"/>
          <w:sz w:val="32"/>
          <w:szCs w:val="32"/>
          <w:rtl/>
        </w:rPr>
        <w:t>ه). انظر: وفيات الأعيان (3/463), سير أعلام النبلاء (8/351).</w:t>
      </w:r>
    </w:p>
  </w:footnote>
  <w:footnote w:id="1485">
    <w:p w:rsidR="003F128F" w:rsidRPr="00FD6755" w:rsidRDefault="003F128F" w:rsidP="00E14A40">
      <w:pPr>
        <w:pStyle w:val="af3"/>
        <w:rPr>
          <w:rFonts w:ascii="Traditional Arabic" w:hAnsi="Traditional Arabic"/>
          <w:sz w:val="32"/>
          <w:szCs w:val="32"/>
        </w:rPr>
      </w:pPr>
      <w:r w:rsidRPr="00FD6755">
        <w:rPr>
          <w:rFonts w:ascii="Traditional Arabic" w:hAnsi="Traditional Arabic"/>
          <w:sz w:val="32"/>
          <w:szCs w:val="32"/>
          <w:rtl/>
        </w:rPr>
        <w:t>(</w:t>
      </w:r>
      <w:r w:rsidRPr="00FD6755">
        <w:rPr>
          <w:rStyle w:val="ae"/>
          <w:rFonts w:ascii="Traditional Arabic" w:hAnsi="Traditional Arabic"/>
          <w:sz w:val="32"/>
          <w:szCs w:val="32"/>
          <w:vertAlign w:val="baseline"/>
        </w:rPr>
        <w:footnoteRef/>
      </w:r>
      <w:r w:rsidRPr="00FD6755">
        <w:rPr>
          <w:rFonts w:ascii="Traditional Arabic" w:hAnsi="Traditional Arabic"/>
          <w:sz w:val="32"/>
          <w:szCs w:val="32"/>
          <w:rtl/>
        </w:rPr>
        <w:t xml:space="preserve">) انظر: معاني القرآن وإعرابه (3/294). </w:t>
      </w:r>
    </w:p>
  </w:footnote>
  <w:footnote w:id="1486">
    <w:p w:rsidR="003F128F" w:rsidRPr="00735A75" w:rsidRDefault="003F128F" w:rsidP="00E14A40">
      <w:pPr>
        <w:pStyle w:val="af3"/>
        <w:rPr>
          <w:rFonts w:ascii="Traditional Arabic" w:hAnsi="Traditional Arabic"/>
          <w:sz w:val="32"/>
          <w:szCs w:val="32"/>
        </w:rPr>
      </w:pPr>
      <w:r w:rsidRPr="00735A75">
        <w:rPr>
          <w:rFonts w:ascii="Traditional Arabic" w:hAnsi="Traditional Arabic"/>
          <w:color w:val="auto"/>
          <w:sz w:val="32"/>
          <w:szCs w:val="32"/>
          <w:rtl/>
        </w:rPr>
        <w:t>(</w:t>
      </w:r>
      <w:r w:rsidRPr="00735A75">
        <w:rPr>
          <w:rStyle w:val="ae"/>
          <w:rFonts w:ascii="Traditional Arabic" w:hAnsi="Traditional Arabic"/>
          <w:color w:val="auto"/>
          <w:sz w:val="32"/>
          <w:szCs w:val="32"/>
          <w:vertAlign w:val="baseline"/>
        </w:rPr>
        <w:footnoteRef/>
      </w:r>
      <w:r>
        <w:rPr>
          <w:rFonts w:ascii="Traditional Arabic" w:hAnsi="Traditional Arabic"/>
          <w:color w:val="auto"/>
          <w:sz w:val="32"/>
          <w:szCs w:val="32"/>
          <w:rtl/>
        </w:rPr>
        <w:t>) هو ال</w:t>
      </w:r>
      <w:r>
        <w:rPr>
          <w:rFonts w:ascii="Traditional Arabic" w:hAnsi="Traditional Arabic" w:hint="cs"/>
          <w:color w:val="auto"/>
          <w:sz w:val="32"/>
          <w:szCs w:val="32"/>
          <w:rtl/>
        </w:rPr>
        <w:t>إ</w:t>
      </w:r>
      <w:r w:rsidRPr="00735A75">
        <w:rPr>
          <w:rFonts w:ascii="Traditional Arabic" w:hAnsi="Traditional Arabic"/>
          <w:color w:val="auto"/>
          <w:sz w:val="32"/>
          <w:szCs w:val="32"/>
          <w:rtl/>
        </w:rPr>
        <w:t>مام</w:t>
      </w:r>
      <w:r w:rsidRPr="00735A75">
        <w:rPr>
          <w:rFonts w:ascii="Traditional Arabic" w:hAnsi="Traditional Arabic"/>
          <w:color w:val="auto"/>
          <w:sz w:val="32"/>
          <w:szCs w:val="32"/>
          <w:rtl/>
          <w:lang w:eastAsia="en-US"/>
        </w:rPr>
        <w:t xml:space="preserve"> </w:t>
      </w:r>
      <w:r w:rsidRPr="00735A75">
        <w:rPr>
          <w:rFonts w:ascii="Traditional Arabic" w:hAnsi="Traditional Arabic"/>
          <w:color w:val="auto"/>
          <w:sz w:val="32"/>
          <w:szCs w:val="32"/>
          <w:rtl/>
        </w:rPr>
        <w:t>أبو علي</w:t>
      </w:r>
      <w:r>
        <w:rPr>
          <w:rFonts w:ascii="Traditional Arabic" w:hAnsi="Traditional Arabic" w:hint="cs"/>
          <w:color w:val="auto"/>
          <w:sz w:val="32"/>
          <w:szCs w:val="32"/>
          <w:rtl/>
        </w:rPr>
        <w:t>,</w:t>
      </w:r>
      <w:r w:rsidRPr="00735A75">
        <w:rPr>
          <w:rFonts w:ascii="Traditional Arabic" w:hAnsi="Traditional Arabic"/>
          <w:color w:val="auto"/>
          <w:sz w:val="32"/>
          <w:szCs w:val="32"/>
          <w:rtl/>
        </w:rPr>
        <w:t xml:space="preserve"> محمد بن المستنير بن أحمد النحوي, اللغوي, البصري، </w:t>
      </w:r>
      <w:r w:rsidRPr="00735A75">
        <w:rPr>
          <w:rFonts w:ascii="Traditional Arabic" w:hAnsi="Traditional Arabic"/>
          <w:color w:val="auto"/>
          <w:sz w:val="32"/>
          <w:szCs w:val="32"/>
          <w:rtl/>
          <w:lang w:eastAsia="en-US"/>
        </w:rPr>
        <w:t>المعروف بقُطْرُب</w:t>
      </w:r>
      <w:r w:rsidRPr="00735A75">
        <w:rPr>
          <w:rFonts w:ascii="Traditional Arabic" w:hAnsi="Traditional Arabic"/>
          <w:color w:val="auto"/>
          <w:sz w:val="32"/>
          <w:szCs w:val="32"/>
          <w:rtl/>
        </w:rPr>
        <w:t xml:space="preserve">, كان يبكر إِلى سيبويه قبل حضور التلاميذ إليه فقال له: مَا أَنْت إِلَّا </w:t>
      </w:r>
      <w:r>
        <w:rPr>
          <w:rFonts w:ascii="Traditional Arabic" w:hAnsi="Traditional Arabic"/>
          <w:color w:val="auto"/>
          <w:sz w:val="32"/>
          <w:szCs w:val="32"/>
          <w:rtl/>
        </w:rPr>
        <w:t>قطرب ليل</w:t>
      </w:r>
      <w:r>
        <w:rPr>
          <w:rFonts w:ascii="Traditional Arabic" w:hAnsi="Traditional Arabic" w:hint="cs"/>
          <w:color w:val="auto"/>
          <w:sz w:val="32"/>
          <w:szCs w:val="32"/>
          <w:rtl/>
        </w:rPr>
        <w:t>.</w:t>
      </w:r>
      <w:r>
        <w:rPr>
          <w:rFonts w:ascii="Traditional Arabic" w:hAnsi="Traditional Arabic"/>
          <w:color w:val="auto"/>
          <w:sz w:val="32"/>
          <w:szCs w:val="32"/>
          <w:rtl/>
        </w:rPr>
        <w:t xml:space="preserve"> فَبَقيَ علماً عَلَيْهِ</w:t>
      </w:r>
      <w:r>
        <w:rPr>
          <w:rFonts w:ascii="Traditional Arabic" w:hAnsi="Traditional Arabic" w:hint="cs"/>
          <w:color w:val="auto"/>
          <w:sz w:val="32"/>
          <w:szCs w:val="32"/>
          <w:rtl/>
        </w:rPr>
        <w:t>,</w:t>
      </w:r>
      <w:r w:rsidRPr="00735A75">
        <w:rPr>
          <w:rFonts w:ascii="Traditional Arabic" w:hAnsi="Traditional Arabic"/>
          <w:color w:val="auto"/>
          <w:sz w:val="32"/>
          <w:szCs w:val="32"/>
          <w:rtl/>
        </w:rPr>
        <w:t xml:space="preserve"> وال</w:t>
      </w:r>
      <w:r w:rsidRPr="00735A75">
        <w:rPr>
          <w:rFonts w:ascii="Traditional Arabic" w:hAnsi="Traditional Arabic"/>
          <w:color w:val="auto"/>
          <w:sz w:val="32"/>
          <w:szCs w:val="32"/>
          <w:rtl/>
          <w:lang w:eastAsia="en-US"/>
        </w:rPr>
        <w:t>قُطْرُب</w:t>
      </w:r>
      <w:r>
        <w:rPr>
          <w:rFonts w:ascii="Traditional Arabic" w:hAnsi="Traditional Arabic" w:hint="cs"/>
          <w:color w:val="auto"/>
          <w:sz w:val="32"/>
          <w:szCs w:val="32"/>
          <w:rtl/>
          <w:lang w:eastAsia="en-US"/>
        </w:rPr>
        <w:t>:</w:t>
      </w:r>
      <w:r w:rsidRPr="00735A75">
        <w:rPr>
          <w:rFonts w:ascii="Traditional Arabic" w:hAnsi="Traditional Arabic"/>
          <w:color w:val="auto"/>
          <w:sz w:val="32"/>
          <w:szCs w:val="32"/>
          <w:rtl/>
        </w:rPr>
        <w:t xml:space="preserve"> دويبة لَا تزَال تدب وَلَا تفتر, له من التصانيف كتاب "معاني القرآن" وغيرها,</w:t>
      </w:r>
      <w:r w:rsidRPr="00735A75">
        <w:rPr>
          <w:rFonts w:ascii="Traditional Arabic" w:hAnsi="Traditional Arabic"/>
          <w:sz w:val="32"/>
          <w:szCs w:val="32"/>
          <w:rtl/>
          <w:lang w:eastAsia="en-US"/>
        </w:rPr>
        <w:t xml:space="preserve"> </w:t>
      </w:r>
      <w:r w:rsidRPr="00735A75">
        <w:rPr>
          <w:rFonts w:ascii="Traditional Arabic" w:hAnsi="Traditional Arabic"/>
          <w:color w:val="auto"/>
          <w:sz w:val="32"/>
          <w:szCs w:val="32"/>
          <w:rtl/>
        </w:rPr>
        <w:t>(ت206ه). انظر: وفيات الأعيان (4/312), الوافي بالوفيات (5/14).</w:t>
      </w:r>
    </w:p>
  </w:footnote>
  <w:footnote w:id="1487">
    <w:p w:rsidR="003F128F" w:rsidRPr="00735A75" w:rsidRDefault="003F128F" w:rsidP="00E14A40">
      <w:pPr>
        <w:pStyle w:val="af3"/>
        <w:rPr>
          <w:rFonts w:ascii="Traditional Arabic" w:hAnsi="Traditional Arabic"/>
          <w:sz w:val="32"/>
          <w:szCs w:val="32"/>
        </w:rPr>
      </w:pPr>
      <w:r w:rsidRPr="00735A75">
        <w:rPr>
          <w:rFonts w:ascii="Traditional Arabic" w:hAnsi="Traditional Arabic"/>
          <w:sz w:val="32"/>
          <w:szCs w:val="32"/>
          <w:rtl/>
        </w:rPr>
        <w:t>(</w:t>
      </w:r>
      <w:r w:rsidRPr="00735A75">
        <w:rPr>
          <w:rStyle w:val="ae"/>
          <w:rFonts w:ascii="Traditional Arabic" w:hAnsi="Traditional Arabic"/>
          <w:sz w:val="32"/>
          <w:szCs w:val="32"/>
          <w:vertAlign w:val="baseline"/>
        </w:rPr>
        <w:footnoteRef/>
      </w:r>
      <w:r w:rsidRPr="00735A75">
        <w:rPr>
          <w:rFonts w:ascii="Traditional Arabic" w:hAnsi="Traditional Arabic"/>
          <w:sz w:val="32"/>
          <w:szCs w:val="32"/>
          <w:rtl/>
        </w:rPr>
        <w:t xml:space="preserve">) انظر: معاني القرآن وإعرابه (3/294).  </w:t>
      </w:r>
    </w:p>
  </w:footnote>
  <w:footnote w:id="1488">
    <w:p w:rsidR="003F128F" w:rsidRPr="00735A75" w:rsidRDefault="003F128F" w:rsidP="00E14A40">
      <w:pPr>
        <w:pStyle w:val="af3"/>
        <w:rPr>
          <w:rFonts w:ascii="Traditional Arabic" w:hAnsi="Traditional Arabic"/>
          <w:sz w:val="32"/>
          <w:szCs w:val="32"/>
        </w:rPr>
      </w:pPr>
      <w:r w:rsidRPr="00735A75">
        <w:rPr>
          <w:rFonts w:ascii="Traditional Arabic" w:hAnsi="Traditional Arabic"/>
          <w:sz w:val="32"/>
          <w:szCs w:val="32"/>
          <w:rtl/>
        </w:rPr>
        <w:t>(</w:t>
      </w:r>
      <w:r w:rsidRPr="00735A75">
        <w:rPr>
          <w:rStyle w:val="ae"/>
          <w:rFonts w:ascii="Traditional Arabic" w:hAnsi="Traditional Arabic"/>
          <w:sz w:val="32"/>
          <w:szCs w:val="32"/>
          <w:vertAlign w:val="baseline"/>
        </w:rPr>
        <w:footnoteRef/>
      </w:r>
      <w:r w:rsidRPr="00735A75">
        <w:rPr>
          <w:rFonts w:ascii="Traditional Arabic" w:hAnsi="Traditional Arabic"/>
          <w:sz w:val="32"/>
          <w:szCs w:val="32"/>
          <w:rtl/>
        </w:rPr>
        <w:t xml:space="preserve">) انظر: تفسير الطبري (1/506, 18/44), التفسير الوسيط (3/153). </w:t>
      </w:r>
    </w:p>
  </w:footnote>
  <w:footnote w:id="1489">
    <w:p w:rsidR="003F128F" w:rsidRPr="00735A75" w:rsidRDefault="003F128F" w:rsidP="00E14A40">
      <w:pPr>
        <w:pStyle w:val="af3"/>
        <w:rPr>
          <w:rFonts w:ascii="Traditional Arabic" w:hAnsi="Traditional Arabic"/>
          <w:sz w:val="32"/>
          <w:szCs w:val="32"/>
        </w:rPr>
      </w:pPr>
      <w:r w:rsidRPr="00735A75">
        <w:rPr>
          <w:rFonts w:ascii="Traditional Arabic" w:hAnsi="Traditional Arabic"/>
          <w:sz w:val="32"/>
          <w:szCs w:val="32"/>
          <w:rtl/>
        </w:rPr>
        <w:t>(</w:t>
      </w:r>
      <w:r w:rsidRPr="00735A75">
        <w:rPr>
          <w:rStyle w:val="ae"/>
          <w:rFonts w:ascii="Traditional Arabic" w:hAnsi="Traditional Arabic"/>
          <w:sz w:val="32"/>
          <w:szCs w:val="32"/>
          <w:vertAlign w:val="baseline"/>
        </w:rPr>
        <w:footnoteRef/>
      </w:r>
      <w:r w:rsidRPr="00735A75">
        <w:rPr>
          <w:rFonts w:ascii="Traditional Arabic" w:hAnsi="Traditional Arabic"/>
          <w:sz w:val="32"/>
          <w:szCs w:val="32"/>
          <w:rtl/>
        </w:rPr>
        <w:t xml:space="preserve">) انظر: تفسير الطبري (18/43), تفسير ابن أبي حاتم (7/2367), التفسير الوسيط (3/153). </w:t>
      </w:r>
      <w:r w:rsidRPr="00230D9B">
        <w:rPr>
          <w:rFonts w:ascii="Traditional Arabic" w:hAnsi="Traditional Arabic"/>
          <w:sz w:val="32"/>
          <w:szCs w:val="32"/>
          <w:rtl/>
        </w:rPr>
        <w:t>وفي هجاء بعض الأسماء خلاف لم نشر إليه، إذ لا فائدة من ذلك</w:t>
      </w:r>
      <w:r>
        <w:rPr>
          <w:rFonts w:ascii="Traditional Arabic" w:hAnsi="Traditional Arabic" w:hint="cs"/>
          <w:sz w:val="32"/>
          <w:szCs w:val="32"/>
          <w:rtl/>
        </w:rPr>
        <w:t>.</w:t>
      </w:r>
      <w:r w:rsidRPr="00735A75">
        <w:rPr>
          <w:rFonts w:ascii="Traditional Arabic" w:hAnsi="Traditional Arabic"/>
          <w:sz w:val="32"/>
          <w:szCs w:val="32"/>
          <w:rtl/>
        </w:rPr>
        <w:t xml:space="preserve"> </w:t>
      </w:r>
    </w:p>
  </w:footnote>
  <w:footnote w:id="1490">
    <w:p w:rsidR="003F128F" w:rsidRPr="00735A75" w:rsidRDefault="003F128F" w:rsidP="00E14A40">
      <w:pPr>
        <w:pStyle w:val="af3"/>
        <w:rPr>
          <w:rFonts w:ascii="Traditional Arabic" w:hAnsi="Traditional Arabic"/>
          <w:sz w:val="32"/>
          <w:szCs w:val="32"/>
        </w:rPr>
      </w:pPr>
      <w:r w:rsidRPr="00735A75">
        <w:rPr>
          <w:rFonts w:ascii="Traditional Arabic" w:hAnsi="Traditional Arabic"/>
          <w:sz w:val="32"/>
          <w:szCs w:val="32"/>
          <w:rtl/>
        </w:rPr>
        <w:t>(</w:t>
      </w:r>
      <w:r w:rsidRPr="00735A75">
        <w:rPr>
          <w:rStyle w:val="ae"/>
          <w:rFonts w:ascii="Traditional Arabic" w:hAnsi="Traditional Arabic"/>
          <w:sz w:val="32"/>
          <w:szCs w:val="32"/>
          <w:vertAlign w:val="baseline"/>
        </w:rPr>
        <w:footnoteRef/>
      </w:r>
      <w:r w:rsidRPr="00735A75">
        <w:rPr>
          <w:rFonts w:ascii="Traditional Arabic" w:hAnsi="Traditional Arabic"/>
          <w:sz w:val="32"/>
          <w:szCs w:val="32"/>
          <w:rtl/>
        </w:rPr>
        <w:t xml:space="preserve">) انظر: تفسير الطبري (18/40), الكشف والبيان (6/175), الهداية (6/4402).    </w:t>
      </w:r>
    </w:p>
  </w:footnote>
  <w:footnote w:id="1491">
    <w:p w:rsidR="003F128F" w:rsidRPr="00735A75" w:rsidRDefault="003F128F" w:rsidP="00E14A40">
      <w:pPr>
        <w:pStyle w:val="af3"/>
        <w:rPr>
          <w:rFonts w:ascii="Traditional Arabic" w:hAnsi="Traditional Arabic"/>
          <w:sz w:val="32"/>
          <w:szCs w:val="32"/>
        </w:rPr>
      </w:pPr>
      <w:r w:rsidRPr="00735A75">
        <w:rPr>
          <w:rFonts w:ascii="Traditional Arabic" w:hAnsi="Traditional Arabic"/>
          <w:sz w:val="32"/>
          <w:szCs w:val="32"/>
          <w:rtl/>
        </w:rPr>
        <w:t>(</w:t>
      </w:r>
      <w:r w:rsidRPr="00735A75">
        <w:rPr>
          <w:rStyle w:val="ae"/>
          <w:rFonts w:ascii="Traditional Arabic" w:hAnsi="Traditional Arabic"/>
          <w:sz w:val="32"/>
          <w:szCs w:val="32"/>
          <w:vertAlign w:val="baseline"/>
        </w:rPr>
        <w:footnoteRef/>
      </w:r>
      <w:r w:rsidRPr="00735A75">
        <w:rPr>
          <w:rFonts w:ascii="Traditional Arabic" w:hAnsi="Traditional Arabic"/>
          <w:sz w:val="32"/>
          <w:szCs w:val="32"/>
          <w:rtl/>
        </w:rPr>
        <w:t>) لم أقف عليه, ولكن بنحوه ذكر أهل التفسير. انظر: معاني القرآن وإعرابه (3/294), معاني القرآن (2/141), رموز الكنوز (4/303).</w:t>
      </w:r>
    </w:p>
  </w:footnote>
  <w:footnote w:id="1492">
    <w:p w:rsidR="003F128F" w:rsidRPr="009E3306" w:rsidRDefault="003F128F" w:rsidP="00E14A40">
      <w:pPr>
        <w:pStyle w:val="af3"/>
        <w:rPr>
          <w:rFonts w:ascii="Traditional Arabic" w:hAnsi="Traditional Arabic"/>
          <w:sz w:val="32"/>
          <w:szCs w:val="32"/>
        </w:rPr>
      </w:pPr>
      <w:r w:rsidRPr="009E3306">
        <w:rPr>
          <w:rFonts w:ascii="Traditional Arabic" w:hAnsi="Traditional Arabic"/>
          <w:sz w:val="32"/>
          <w:szCs w:val="32"/>
          <w:rtl/>
        </w:rPr>
        <w:t>(</w:t>
      </w:r>
      <w:r w:rsidRPr="009E3306">
        <w:rPr>
          <w:rStyle w:val="ae"/>
          <w:rFonts w:ascii="Traditional Arabic" w:hAnsi="Traditional Arabic"/>
          <w:sz w:val="32"/>
          <w:szCs w:val="32"/>
          <w:vertAlign w:val="baseline"/>
        </w:rPr>
        <w:footnoteRef/>
      </w:r>
      <w:r w:rsidRPr="009E3306">
        <w:rPr>
          <w:rFonts w:ascii="Traditional Arabic" w:hAnsi="Traditional Arabic"/>
          <w:sz w:val="32"/>
          <w:szCs w:val="32"/>
          <w:rtl/>
        </w:rPr>
        <w:t>) انظر: النشر في القراءات العشر لابن الجزري (2/311), البدور الزاهرة (ص526).</w:t>
      </w:r>
    </w:p>
  </w:footnote>
  <w:footnote w:id="1493">
    <w:p w:rsidR="003F128F" w:rsidRPr="000A1732" w:rsidRDefault="003F128F" w:rsidP="00E14A40">
      <w:pPr>
        <w:pStyle w:val="af3"/>
        <w:rPr>
          <w:rFonts w:ascii="Traditional Arabic" w:hAnsi="Traditional Arabic"/>
          <w:sz w:val="32"/>
          <w:szCs w:val="32"/>
        </w:rPr>
      </w:pPr>
      <w:r w:rsidRPr="000A1732">
        <w:rPr>
          <w:rFonts w:ascii="Traditional Arabic" w:hAnsi="Traditional Arabic"/>
          <w:sz w:val="32"/>
          <w:szCs w:val="32"/>
          <w:rtl/>
        </w:rPr>
        <w:t>(</w:t>
      </w:r>
      <w:r w:rsidRPr="000A1732">
        <w:rPr>
          <w:rStyle w:val="ae"/>
          <w:rFonts w:ascii="Traditional Arabic" w:hAnsi="Traditional Arabic"/>
          <w:sz w:val="32"/>
          <w:szCs w:val="32"/>
          <w:vertAlign w:val="baseline"/>
        </w:rPr>
        <w:footnoteRef/>
      </w:r>
      <w:r w:rsidRPr="000A1732">
        <w:rPr>
          <w:rFonts w:ascii="Traditional Arabic" w:hAnsi="Traditional Arabic"/>
          <w:sz w:val="32"/>
          <w:szCs w:val="32"/>
          <w:rtl/>
        </w:rPr>
        <w:t xml:space="preserve">) انظر: تفسير مقاتل (2/589), تفسير الطبري (18/32), تفسير ابن أبي حاتم (7/2367).  </w:t>
      </w:r>
    </w:p>
  </w:footnote>
  <w:footnote w:id="1494">
    <w:p w:rsidR="003F128F" w:rsidRPr="000A1732" w:rsidRDefault="003F128F" w:rsidP="00E14A40">
      <w:pPr>
        <w:pStyle w:val="af3"/>
        <w:rPr>
          <w:rFonts w:ascii="Traditional Arabic" w:hAnsi="Traditional Arabic"/>
          <w:sz w:val="32"/>
          <w:szCs w:val="32"/>
        </w:rPr>
      </w:pPr>
      <w:r w:rsidRPr="000A1732">
        <w:rPr>
          <w:rFonts w:ascii="Traditional Arabic" w:hAnsi="Traditional Arabic"/>
          <w:sz w:val="32"/>
          <w:szCs w:val="32"/>
          <w:rtl/>
        </w:rPr>
        <w:t>(</w:t>
      </w:r>
      <w:r w:rsidRPr="000A1732">
        <w:rPr>
          <w:rStyle w:val="ae"/>
          <w:rFonts w:ascii="Traditional Arabic" w:hAnsi="Traditional Arabic"/>
          <w:sz w:val="32"/>
          <w:szCs w:val="32"/>
          <w:vertAlign w:val="baseline"/>
        </w:rPr>
        <w:footnoteRef/>
      </w:r>
      <w:r w:rsidRPr="000A1732">
        <w:rPr>
          <w:rFonts w:ascii="Traditional Arabic" w:hAnsi="Traditional Arabic"/>
          <w:sz w:val="32"/>
          <w:szCs w:val="32"/>
          <w:rtl/>
        </w:rPr>
        <w:t>) انظر: الكشف والبيان (6/177), معالم التنزيل (5/180).</w:t>
      </w:r>
    </w:p>
  </w:footnote>
  <w:footnote w:id="1495">
    <w:p w:rsidR="003F128F" w:rsidRPr="000A1732" w:rsidRDefault="003F128F" w:rsidP="00E14A40">
      <w:pPr>
        <w:pStyle w:val="af3"/>
        <w:rPr>
          <w:rFonts w:ascii="Traditional Arabic" w:hAnsi="Traditional Arabic"/>
          <w:sz w:val="32"/>
          <w:szCs w:val="32"/>
        </w:rPr>
      </w:pPr>
      <w:r w:rsidRPr="000A1732">
        <w:rPr>
          <w:rFonts w:ascii="Traditional Arabic" w:hAnsi="Traditional Arabic"/>
          <w:sz w:val="32"/>
          <w:szCs w:val="32"/>
          <w:rtl/>
        </w:rPr>
        <w:t>(</w:t>
      </w:r>
      <w:r w:rsidRPr="000A1732">
        <w:rPr>
          <w:rStyle w:val="ae"/>
          <w:rFonts w:ascii="Traditional Arabic" w:hAnsi="Traditional Arabic"/>
          <w:sz w:val="32"/>
          <w:szCs w:val="32"/>
          <w:vertAlign w:val="baseline"/>
        </w:rPr>
        <w:footnoteRef/>
      </w:r>
      <w:r w:rsidRPr="000A1732">
        <w:rPr>
          <w:rFonts w:ascii="Traditional Arabic" w:hAnsi="Traditional Arabic"/>
          <w:sz w:val="32"/>
          <w:szCs w:val="32"/>
          <w:rtl/>
        </w:rPr>
        <w:t>) انظر: النكت والعيون (3/315), معالم التنزيل (5/180).</w:t>
      </w:r>
    </w:p>
  </w:footnote>
  <w:footnote w:id="1496">
    <w:p w:rsidR="003F128F" w:rsidRPr="000A1732" w:rsidRDefault="003F128F" w:rsidP="00E14A40">
      <w:pPr>
        <w:pStyle w:val="af3"/>
        <w:rPr>
          <w:rFonts w:ascii="Traditional Arabic" w:hAnsi="Traditional Arabic"/>
          <w:sz w:val="32"/>
          <w:szCs w:val="32"/>
        </w:rPr>
      </w:pPr>
      <w:r w:rsidRPr="000A1732">
        <w:rPr>
          <w:rFonts w:ascii="Traditional Arabic" w:hAnsi="Traditional Arabic"/>
          <w:sz w:val="32"/>
          <w:szCs w:val="32"/>
          <w:rtl/>
        </w:rPr>
        <w:t>(</w:t>
      </w:r>
      <w:r w:rsidRPr="000A1732">
        <w:rPr>
          <w:rStyle w:val="ae"/>
          <w:rFonts w:ascii="Traditional Arabic" w:hAnsi="Traditional Arabic"/>
          <w:sz w:val="32"/>
          <w:szCs w:val="32"/>
          <w:vertAlign w:val="baseline"/>
        </w:rPr>
        <w:footnoteRef/>
      </w:r>
      <w:r w:rsidRPr="000A1732">
        <w:rPr>
          <w:rFonts w:ascii="Traditional Arabic" w:hAnsi="Traditional Arabic"/>
          <w:sz w:val="32"/>
          <w:szCs w:val="32"/>
          <w:rtl/>
        </w:rPr>
        <w:t xml:space="preserve">) في الأصل: [أشاورهُنّ], والمثبت من (ك).  </w:t>
      </w:r>
    </w:p>
  </w:footnote>
  <w:footnote w:id="1497">
    <w:p w:rsidR="003F128F" w:rsidRPr="000A1732" w:rsidRDefault="003F128F" w:rsidP="00E14A40">
      <w:pPr>
        <w:pStyle w:val="af3"/>
        <w:rPr>
          <w:rFonts w:ascii="Traditional Arabic" w:hAnsi="Traditional Arabic"/>
          <w:sz w:val="32"/>
          <w:szCs w:val="32"/>
        </w:rPr>
      </w:pPr>
      <w:r w:rsidRPr="000A1732">
        <w:rPr>
          <w:rFonts w:ascii="Traditional Arabic" w:hAnsi="Traditional Arabic"/>
          <w:sz w:val="32"/>
          <w:szCs w:val="32"/>
          <w:rtl/>
        </w:rPr>
        <w:t>(</w:t>
      </w:r>
      <w:r w:rsidRPr="000A1732">
        <w:rPr>
          <w:rStyle w:val="ae"/>
          <w:rFonts w:ascii="Traditional Arabic" w:hAnsi="Traditional Arabic"/>
          <w:sz w:val="32"/>
          <w:szCs w:val="32"/>
          <w:vertAlign w:val="baseline"/>
        </w:rPr>
        <w:footnoteRef/>
      </w:r>
      <w:r w:rsidRPr="000A1732">
        <w:rPr>
          <w:rFonts w:ascii="Traditional Arabic" w:hAnsi="Traditional Arabic"/>
          <w:sz w:val="32"/>
          <w:szCs w:val="32"/>
          <w:rtl/>
        </w:rPr>
        <w:t>) في (ك): [لكمال القدرة].</w:t>
      </w:r>
    </w:p>
  </w:footnote>
  <w:footnote w:id="1498">
    <w:p w:rsidR="003F128F" w:rsidRPr="000A1732" w:rsidRDefault="003F128F" w:rsidP="00E14A40">
      <w:pPr>
        <w:pStyle w:val="af3"/>
        <w:rPr>
          <w:rFonts w:ascii="Traditional Arabic" w:hAnsi="Traditional Arabic"/>
          <w:sz w:val="32"/>
          <w:szCs w:val="32"/>
        </w:rPr>
      </w:pPr>
      <w:r w:rsidRPr="000A1732">
        <w:rPr>
          <w:rFonts w:ascii="Traditional Arabic" w:hAnsi="Traditional Arabic"/>
          <w:sz w:val="32"/>
          <w:szCs w:val="32"/>
          <w:rtl/>
        </w:rPr>
        <w:t>(</w:t>
      </w:r>
      <w:r w:rsidRPr="000A1732">
        <w:rPr>
          <w:rStyle w:val="ae"/>
          <w:rFonts w:ascii="Traditional Arabic" w:hAnsi="Traditional Arabic"/>
          <w:sz w:val="32"/>
          <w:szCs w:val="32"/>
          <w:vertAlign w:val="baseline"/>
        </w:rPr>
        <w:footnoteRef/>
      </w:r>
      <w:r w:rsidRPr="000A1732">
        <w:rPr>
          <w:rFonts w:ascii="Traditional Arabic" w:hAnsi="Traditional Arabic"/>
          <w:sz w:val="32"/>
          <w:szCs w:val="32"/>
          <w:rtl/>
        </w:rPr>
        <w:t xml:space="preserve">) انظر: التفسير الوسيط (3/153), معالم التنزيل (5/180).  </w:t>
      </w:r>
    </w:p>
  </w:footnote>
  <w:footnote w:id="1499">
    <w:p w:rsidR="003F128F" w:rsidRPr="000A1732" w:rsidRDefault="003F128F" w:rsidP="00E14A40">
      <w:pPr>
        <w:pStyle w:val="af3"/>
        <w:rPr>
          <w:rFonts w:ascii="Traditional Arabic" w:hAnsi="Traditional Arabic"/>
          <w:sz w:val="32"/>
          <w:szCs w:val="32"/>
        </w:rPr>
      </w:pPr>
      <w:r w:rsidRPr="000A1732">
        <w:rPr>
          <w:rFonts w:ascii="Traditional Arabic" w:hAnsi="Traditional Arabic"/>
          <w:sz w:val="32"/>
          <w:szCs w:val="32"/>
          <w:rtl/>
        </w:rPr>
        <w:t>(</w:t>
      </w:r>
      <w:r w:rsidRPr="000A1732">
        <w:rPr>
          <w:rStyle w:val="ae"/>
          <w:rFonts w:ascii="Traditional Arabic" w:hAnsi="Traditional Arabic"/>
          <w:sz w:val="32"/>
          <w:szCs w:val="32"/>
          <w:vertAlign w:val="baseline"/>
        </w:rPr>
        <w:footnoteRef/>
      </w:r>
      <w:r w:rsidRPr="000A1732">
        <w:rPr>
          <w:rFonts w:ascii="Traditional Arabic" w:hAnsi="Traditional Arabic"/>
          <w:sz w:val="32"/>
          <w:szCs w:val="32"/>
          <w:rtl/>
        </w:rPr>
        <w:t xml:space="preserve">) ما بين المعكوفتين ساقط من الأصل, والمثبت من (ك).  </w:t>
      </w:r>
    </w:p>
  </w:footnote>
  <w:footnote w:id="1500">
    <w:p w:rsidR="003F128F" w:rsidRPr="000A1732" w:rsidRDefault="003F128F" w:rsidP="00E14A40">
      <w:pPr>
        <w:pStyle w:val="af3"/>
        <w:rPr>
          <w:rFonts w:ascii="Traditional Arabic" w:hAnsi="Traditional Arabic"/>
          <w:sz w:val="32"/>
          <w:szCs w:val="32"/>
        </w:rPr>
      </w:pPr>
      <w:r w:rsidRPr="000A1732">
        <w:rPr>
          <w:rFonts w:ascii="Traditional Arabic" w:hAnsi="Traditional Arabic"/>
          <w:sz w:val="32"/>
          <w:szCs w:val="32"/>
          <w:rtl/>
        </w:rPr>
        <w:t>(</w:t>
      </w:r>
      <w:r w:rsidRPr="000A1732">
        <w:rPr>
          <w:rStyle w:val="ae"/>
          <w:rFonts w:ascii="Traditional Arabic" w:hAnsi="Traditional Arabic"/>
          <w:sz w:val="32"/>
          <w:szCs w:val="32"/>
          <w:vertAlign w:val="baseline"/>
        </w:rPr>
        <w:footnoteRef/>
      </w:r>
      <w:r w:rsidRPr="000A1732">
        <w:rPr>
          <w:rFonts w:ascii="Traditional Arabic" w:hAnsi="Traditional Arabic"/>
          <w:sz w:val="32"/>
          <w:szCs w:val="32"/>
          <w:rtl/>
        </w:rPr>
        <w:t xml:space="preserve">) في (ك): [قِوام اليد]. </w:t>
      </w:r>
    </w:p>
  </w:footnote>
  <w:footnote w:id="1501">
    <w:p w:rsidR="003F128F" w:rsidRPr="000A1732" w:rsidRDefault="003F128F" w:rsidP="00E14A40">
      <w:pPr>
        <w:pStyle w:val="af3"/>
        <w:rPr>
          <w:rFonts w:ascii="Traditional Arabic" w:hAnsi="Traditional Arabic"/>
          <w:sz w:val="32"/>
          <w:szCs w:val="32"/>
        </w:rPr>
      </w:pPr>
      <w:r w:rsidRPr="000A1732">
        <w:rPr>
          <w:rFonts w:ascii="Traditional Arabic" w:hAnsi="Traditional Arabic"/>
          <w:sz w:val="32"/>
          <w:szCs w:val="32"/>
          <w:rtl/>
        </w:rPr>
        <w:t>(</w:t>
      </w:r>
      <w:r w:rsidRPr="000A1732">
        <w:rPr>
          <w:rStyle w:val="ae"/>
          <w:rFonts w:ascii="Traditional Arabic" w:hAnsi="Traditional Arabic"/>
          <w:sz w:val="32"/>
          <w:szCs w:val="32"/>
          <w:vertAlign w:val="baseline"/>
        </w:rPr>
        <w:footnoteRef/>
      </w:r>
      <w:r w:rsidRPr="000A1732">
        <w:rPr>
          <w:rFonts w:ascii="Traditional Arabic" w:hAnsi="Traditional Arabic"/>
          <w:sz w:val="32"/>
          <w:szCs w:val="32"/>
          <w:rtl/>
        </w:rPr>
        <w:t xml:space="preserve">) انظر: معاني القرآن وإعرابه (3/294).   </w:t>
      </w:r>
    </w:p>
  </w:footnote>
  <w:footnote w:id="1502">
    <w:p w:rsidR="003F128F" w:rsidRPr="000A1732" w:rsidRDefault="003F128F" w:rsidP="00E14A40">
      <w:pPr>
        <w:pStyle w:val="af3"/>
        <w:rPr>
          <w:rFonts w:ascii="Traditional Arabic" w:hAnsi="Traditional Arabic"/>
          <w:sz w:val="32"/>
          <w:szCs w:val="32"/>
        </w:rPr>
      </w:pPr>
      <w:r w:rsidRPr="000A1732">
        <w:rPr>
          <w:rFonts w:ascii="Traditional Arabic" w:hAnsi="Traditional Arabic"/>
          <w:sz w:val="32"/>
          <w:szCs w:val="32"/>
          <w:rtl/>
        </w:rPr>
        <w:t>(</w:t>
      </w:r>
      <w:r w:rsidRPr="000A1732">
        <w:rPr>
          <w:rStyle w:val="ae"/>
          <w:rFonts w:ascii="Traditional Arabic" w:hAnsi="Traditional Arabic"/>
          <w:sz w:val="32"/>
          <w:szCs w:val="32"/>
          <w:vertAlign w:val="baseline"/>
        </w:rPr>
        <w:footnoteRef/>
      </w:r>
      <w:r w:rsidRPr="000A1732">
        <w:rPr>
          <w:rFonts w:ascii="Traditional Arabic" w:hAnsi="Traditional Arabic"/>
          <w:sz w:val="32"/>
          <w:szCs w:val="32"/>
          <w:rtl/>
        </w:rPr>
        <w:t>) انظر: تفسير يحيى بن سلام (1/192).</w:t>
      </w:r>
    </w:p>
  </w:footnote>
  <w:footnote w:id="1503">
    <w:p w:rsidR="003F128F" w:rsidRPr="000A1732" w:rsidRDefault="003F128F" w:rsidP="00E14A40">
      <w:pPr>
        <w:pStyle w:val="af3"/>
        <w:rPr>
          <w:rFonts w:ascii="Traditional Arabic" w:hAnsi="Traditional Arabic"/>
          <w:sz w:val="32"/>
          <w:szCs w:val="32"/>
        </w:rPr>
      </w:pPr>
      <w:r w:rsidRPr="000A1732">
        <w:rPr>
          <w:rFonts w:ascii="Traditional Arabic" w:hAnsi="Traditional Arabic"/>
          <w:sz w:val="32"/>
          <w:szCs w:val="32"/>
          <w:rtl/>
        </w:rPr>
        <w:t>(</w:t>
      </w:r>
      <w:r w:rsidRPr="000A1732">
        <w:rPr>
          <w:rStyle w:val="ae"/>
          <w:rFonts w:ascii="Traditional Arabic" w:hAnsi="Traditional Arabic"/>
          <w:sz w:val="32"/>
          <w:szCs w:val="32"/>
          <w:vertAlign w:val="baseline"/>
        </w:rPr>
        <w:footnoteRef/>
      </w:r>
      <w:r w:rsidRPr="000A1732">
        <w:rPr>
          <w:rFonts w:ascii="Traditional Arabic" w:hAnsi="Traditional Arabic"/>
          <w:sz w:val="32"/>
          <w:szCs w:val="32"/>
          <w:rtl/>
        </w:rPr>
        <w:t>) انظر: تفسير مقاتل (2/590).</w:t>
      </w:r>
    </w:p>
  </w:footnote>
  <w:footnote w:id="1504">
    <w:p w:rsidR="003F128F" w:rsidRPr="003837E8" w:rsidRDefault="003F128F" w:rsidP="00E14A40">
      <w:pPr>
        <w:pStyle w:val="af3"/>
        <w:rPr>
          <w:rFonts w:ascii="Traditional Arabic" w:hAnsi="Traditional Arabic"/>
          <w:sz w:val="32"/>
          <w:szCs w:val="32"/>
        </w:rPr>
      </w:pPr>
      <w:r w:rsidRPr="000A1732">
        <w:rPr>
          <w:rFonts w:ascii="Traditional Arabic" w:hAnsi="Traditional Arabic"/>
          <w:sz w:val="32"/>
          <w:szCs w:val="32"/>
          <w:rtl/>
        </w:rPr>
        <w:t>(</w:t>
      </w:r>
      <w:r w:rsidRPr="000A1732">
        <w:rPr>
          <w:rStyle w:val="ae"/>
          <w:rFonts w:ascii="Traditional Arabic" w:hAnsi="Traditional Arabic"/>
          <w:sz w:val="32"/>
          <w:szCs w:val="32"/>
          <w:vertAlign w:val="baseline"/>
        </w:rPr>
        <w:footnoteRef/>
      </w:r>
      <w:r w:rsidRPr="000A1732">
        <w:rPr>
          <w:rFonts w:ascii="Traditional Arabic" w:hAnsi="Traditional Arabic"/>
          <w:sz w:val="32"/>
          <w:szCs w:val="32"/>
          <w:rtl/>
        </w:rPr>
        <w:t>) انظر: الكامل في القراءات العشر (ص592), النشر في القراءات العشر (2/311).</w:t>
      </w:r>
    </w:p>
  </w:footnote>
  <w:footnote w:id="1505">
    <w:p w:rsidR="003F128F" w:rsidRPr="00EC6658" w:rsidRDefault="003F128F" w:rsidP="00E14A40">
      <w:pPr>
        <w:pStyle w:val="af3"/>
        <w:rPr>
          <w:rFonts w:ascii="Traditional Arabic" w:hAnsi="Traditional Arabic"/>
          <w:sz w:val="32"/>
          <w:szCs w:val="32"/>
        </w:rPr>
      </w:pPr>
      <w:r w:rsidRPr="00EC6658">
        <w:rPr>
          <w:rFonts w:ascii="Traditional Arabic" w:hAnsi="Traditional Arabic"/>
          <w:sz w:val="32"/>
          <w:szCs w:val="32"/>
          <w:rtl/>
        </w:rPr>
        <w:t>(</w:t>
      </w:r>
      <w:r w:rsidRPr="00EC6658">
        <w:rPr>
          <w:rStyle w:val="ae"/>
          <w:rFonts w:ascii="Traditional Arabic" w:hAnsi="Traditional Arabic"/>
          <w:sz w:val="32"/>
          <w:szCs w:val="32"/>
          <w:vertAlign w:val="baseline"/>
        </w:rPr>
        <w:footnoteRef/>
      </w:r>
      <w:r w:rsidRPr="00EC6658">
        <w:rPr>
          <w:rFonts w:ascii="Traditional Arabic" w:hAnsi="Traditional Arabic"/>
          <w:sz w:val="32"/>
          <w:szCs w:val="32"/>
          <w:rtl/>
        </w:rPr>
        <w:t>) انظر: السبعة في القراءات (ص393), معاني القراءات (2/113).</w:t>
      </w:r>
    </w:p>
  </w:footnote>
  <w:footnote w:id="1506">
    <w:p w:rsidR="003F128F" w:rsidRPr="00EC6658" w:rsidRDefault="003F128F" w:rsidP="00E14A40">
      <w:pPr>
        <w:pStyle w:val="af3"/>
        <w:rPr>
          <w:rFonts w:ascii="Traditional Arabic" w:hAnsi="Traditional Arabic"/>
          <w:sz w:val="32"/>
          <w:szCs w:val="32"/>
        </w:rPr>
      </w:pPr>
      <w:r w:rsidRPr="00EC6658">
        <w:rPr>
          <w:rFonts w:ascii="Traditional Arabic" w:hAnsi="Traditional Arabic"/>
          <w:sz w:val="32"/>
          <w:szCs w:val="32"/>
          <w:rtl/>
        </w:rPr>
        <w:t>(</w:t>
      </w:r>
      <w:r w:rsidRPr="00EC6658">
        <w:rPr>
          <w:rStyle w:val="ae"/>
          <w:rFonts w:ascii="Traditional Arabic" w:hAnsi="Traditional Arabic"/>
          <w:sz w:val="32"/>
          <w:szCs w:val="32"/>
          <w:vertAlign w:val="baseline"/>
        </w:rPr>
        <w:footnoteRef/>
      </w:r>
      <w:r w:rsidRPr="00EC6658">
        <w:rPr>
          <w:rFonts w:ascii="Traditional Arabic" w:hAnsi="Traditional Arabic"/>
          <w:sz w:val="32"/>
          <w:szCs w:val="32"/>
          <w:rtl/>
        </w:rPr>
        <w:t xml:space="preserve">) انظر: تفسير مقاتل (2/590), تفسير الطبري (18/45). </w:t>
      </w:r>
    </w:p>
  </w:footnote>
  <w:footnote w:id="1507">
    <w:p w:rsidR="003F128F" w:rsidRPr="00EC6658" w:rsidRDefault="003F128F" w:rsidP="00E14A40">
      <w:pPr>
        <w:pStyle w:val="af3"/>
        <w:rPr>
          <w:rFonts w:ascii="Traditional Arabic" w:hAnsi="Traditional Arabic"/>
          <w:sz w:val="32"/>
          <w:szCs w:val="32"/>
        </w:rPr>
      </w:pPr>
      <w:r w:rsidRPr="00EC6658">
        <w:rPr>
          <w:rFonts w:ascii="Traditional Arabic" w:hAnsi="Traditional Arabic"/>
          <w:sz w:val="32"/>
          <w:szCs w:val="32"/>
          <w:rtl/>
        </w:rPr>
        <w:t>(</w:t>
      </w:r>
      <w:r w:rsidRPr="00EC6658">
        <w:rPr>
          <w:rStyle w:val="ae"/>
          <w:rFonts w:ascii="Traditional Arabic" w:hAnsi="Traditional Arabic"/>
          <w:sz w:val="32"/>
          <w:szCs w:val="32"/>
          <w:vertAlign w:val="baseline"/>
        </w:rPr>
        <w:footnoteRef/>
      </w:r>
      <w:r w:rsidRPr="00EC6658">
        <w:rPr>
          <w:rFonts w:ascii="Traditional Arabic" w:hAnsi="Traditional Arabic"/>
          <w:sz w:val="32"/>
          <w:szCs w:val="32"/>
          <w:rtl/>
        </w:rPr>
        <w:t>) انظر: تفسير الطبري (18/46), الكشف والبيان (6/177).</w:t>
      </w:r>
    </w:p>
  </w:footnote>
  <w:footnote w:id="1508">
    <w:p w:rsidR="003F128F" w:rsidRPr="00EC6658" w:rsidRDefault="003F128F" w:rsidP="00E14A40">
      <w:pPr>
        <w:pStyle w:val="af3"/>
        <w:rPr>
          <w:rFonts w:ascii="Traditional Arabic" w:hAnsi="Traditional Arabic"/>
          <w:sz w:val="32"/>
          <w:szCs w:val="32"/>
        </w:rPr>
      </w:pPr>
      <w:r w:rsidRPr="00EC6658">
        <w:rPr>
          <w:rFonts w:ascii="Traditional Arabic" w:hAnsi="Traditional Arabic"/>
          <w:sz w:val="32"/>
          <w:szCs w:val="32"/>
          <w:rtl/>
        </w:rPr>
        <w:t>(</w:t>
      </w:r>
      <w:r w:rsidRPr="00EC6658">
        <w:rPr>
          <w:rStyle w:val="ae"/>
          <w:rFonts w:ascii="Traditional Arabic" w:hAnsi="Traditional Arabic"/>
          <w:sz w:val="32"/>
          <w:szCs w:val="32"/>
          <w:vertAlign w:val="baseline"/>
        </w:rPr>
        <w:footnoteRef/>
      </w:r>
      <w:r w:rsidRPr="00EC6658">
        <w:rPr>
          <w:rFonts w:ascii="Traditional Arabic" w:hAnsi="Traditional Arabic"/>
          <w:sz w:val="32"/>
          <w:szCs w:val="32"/>
          <w:rtl/>
        </w:rPr>
        <w:t xml:space="preserve">) تفسير الطبري (18/46), تفسير ابن ابي حاتم  (7/2367).  </w:t>
      </w:r>
    </w:p>
  </w:footnote>
  <w:footnote w:id="1509">
    <w:p w:rsidR="003F128F" w:rsidRPr="00EC6658" w:rsidRDefault="003F128F" w:rsidP="00E14A40">
      <w:pPr>
        <w:pStyle w:val="af3"/>
        <w:rPr>
          <w:rFonts w:ascii="Traditional Arabic" w:hAnsi="Traditional Arabic"/>
          <w:sz w:val="32"/>
          <w:szCs w:val="32"/>
        </w:rPr>
      </w:pPr>
      <w:r w:rsidRPr="00EC6658">
        <w:rPr>
          <w:rFonts w:ascii="Traditional Arabic" w:hAnsi="Traditional Arabic"/>
          <w:sz w:val="32"/>
          <w:szCs w:val="32"/>
          <w:rtl/>
        </w:rPr>
        <w:t>(</w:t>
      </w:r>
      <w:r w:rsidRPr="00EC6658">
        <w:rPr>
          <w:rStyle w:val="ae"/>
          <w:rFonts w:ascii="Traditional Arabic" w:hAnsi="Traditional Arabic"/>
          <w:sz w:val="32"/>
          <w:szCs w:val="32"/>
          <w:vertAlign w:val="baseline"/>
        </w:rPr>
        <w:footnoteRef/>
      </w:r>
      <w:r w:rsidRPr="00EC6658">
        <w:rPr>
          <w:rFonts w:ascii="Traditional Arabic" w:hAnsi="Traditional Arabic"/>
          <w:sz w:val="32"/>
          <w:szCs w:val="32"/>
          <w:rtl/>
        </w:rPr>
        <w:t xml:space="preserve">) تفسير عبد الرزاق (2/335), تفسير الطبري (18/46). </w:t>
      </w:r>
    </w:p>
  </w:footnote>
  <w:footnote w:id="1510">
    <w:p w:rsidR="003F128F" w:rsidRPr="00EC6658" w:rsidRDefault="003F128F" w:rsidP="00E14A40">
      <w:pPr>
        <w:pStyle w:val="af3"/>
        <w:rPr>
          <w:rFonts w:ascii="Traditional Arabic" w:hAnsi="Traditional Arabic"/>
          <w:sz w:val="32"/>
          <w:szCs w:val="32"/>
        </w:rPr>
      </w:pPr>
      <w:r w:rsidRPr="00EC6658">
        <w:rPr>
          <w:rFonts w:ascii="Traditional Arabic" w:hAnsi="Traditional Arabic"/>
          <w:sz w:val="32"/>
          <w:szCs w:val="32"/>
          <w:rtl/>
        </w:rPr>
        <w:t>(</w:t>
      </w:r>
      <w:r w:rsidRPr="00EC6658">
        <w:rPr>
          <w:rStyle w:val="ae"/>
          <w:rFonts w:ascii="Traditional Arabic" w:hAnsi="Traditional Arabic"/>
          <w:sz w:val="32"/>
          <w:szCs w:val="32"/>
          <w:vertAlign w:val="baseline"/>
        </w:rPr>
        <w:footnoteRef/>
      </w:r>
      <w:r w:rsidRPr="00EC6658">
        <w:rPr>
          <w:rFonts w:ascii="Traditional Arabic" w:hAnsi="Traditional Arabic"/>
          <w:sz w:val="32"/>
          <w:szCs w:val="32"/>
          <w:rtl/>
        </w:rPr>
        <w:t>) تفسير الطبري (18/46), الكشف والبيان (6/177).</w:t>
      </w:r>
    </w:p>
  </w:footnote>
  <w:footnote w:id="1511">
    <w:p w:rsidR="003F128F" w:rsidRPr="00EC6658" w:rsidRDefault="003F128F" w:rsidP="00E14A40">
      <w:pPr>
        <w:pStyle w:val="af3"/>
        <w:rPr>
          <w:rFonts w:ascii="Traditional Arabic" w:hAnsi="Traditional Arabic"/>
          <w:sz w:val="32"/>
          <w:szCs w:val="32"/>
        </w:rPr>
      </w:pPr>
      <w:r w:rsidRPr="00EC6658">
        <w:rPr>
          <w:rFonts w:ascii="Traditional Arabic" w:hAnsi="Traditional Arabic"/>
          <w:sz w:val="32"/>
          <w:szCs w:val="32"/>
          <w:rtl/>
        </w:rPr>
        <w:t>(</w:t>
      </w:r>
      <w:r w:rsidRPr="00EC6658">
        <w:rPr>
          <w:rStyle w:val="ae"/>
          <w:rFonts w:ascii="Traditional Arabic" w:hAnsi="Traditional Arabic"/>
          <w:sz w:val="32"/>
          <w:szCs w:val="32"/>
          <w:vertAlign w:val="baseline"/>
        </w:rPr>
        <w:footnoteRef/>
      </w:r>
      <w:r w:rsidRPr="00EC6658">
        <w:rPr>
          <w:rFonts w:ascii="Traditional Arabic" w:hAnsi="Traditional Arabic"/>
          <w:sz w:val="32"/>
          <w:szCs w:val="32"/>
          <w:rtl/>
        </w:rPr>
        <w:t xml:space="preserve">) في </w:t>
      </w:r>
      <w:r>
        <w:rPr>
          <w:rFonts w:ascii="Traditional Arabic" w:hAnsi="Traditional Arabic" w:hint="cs"/>
          <w:sz w:val="32"/>
          <w:szCs w:val="32"/>
          <w:rtl/>
        </w:rPr>
        <w:t>(م)</w:t>
      </w:r>
      <w:r w:rsidRPr="00EC6658">
        <w:rPr>
          <w:rFonts w:ascii="Traditional Arabic" w:hAnsi="Traditional Arabic"/>
          <w:sz w:val="32"/>
          <w:szCs w:val="32"/>
          <w:rtl/>
        </w:rPr>
        <w:t xml:space="preserve">: [أهليهم] والمثبت من (ك) وهو موافق لما في كتاب غريب القرآن. </w:t>
      </w:r>
    </w:p>
  </w:footnote>
  <w:footnote w:id="1512">
    <w:p w:rsidR="003F128F" w:rsidRPr="00EC6658" w:rsidRDefault="003F128F" w:rsidP="00E14A40">
      <w:pPr>
        <w:pStyle w:val="af3"/>
        <w:rPr>
          <w:rFonts w:ascii="Traditional Arabic" w:hAnsi="Traditional Arabic"/>
          <w:sz w:val="32"/>
          <w:szCs w:val="32"/>
        </w:rPr>
      </w:pPr>
      <w:r w:rsidRPr="00EC6658">
        <w:rPr>
          <w:rFonts w:ascii="Traditional Arabic" w:hAnsi="Traditional Arabic"/>
          <w:sz w:val="32"/>
          <w:szCs w:val="32"/>
          <w:rtl/>
        </w:rPr>
        <w:t>(</w:t>
      </w:r>
      <w:r w:rsidRPr="00EC6658">
        <w:rPr>
          <w:rStyle w:val="ae"/>
          <w:rFonts w:ascii="Traditional Arabic" w:hAnsi="Traditional Arabic"/>
          <w:sz w:val="32"/>
          <w:szCs w:val="32"/>
          <w:vertAlign w:val="baseline"/>
        </w:rPr>
        <w:footnoteRef/>
      </w:r>
      <w:r w:rsidRPr="00EC6658">
        <w:rPr>
          <w:rFonts w:ascii="Traditional Arabic" w:hAnsi="Traditional Arabic"/>
          <w:sz w:val="32"/>
          <w:szCs w:val="32"/>
          <w:rtl/>
        </w:rPr>
        <w:t>) ما بين المعكوفتين ساقط من الأصل, والمثبت من (ك) وهو موافق لما في كتاب غريب القرآن.</w:t>
      </w:r>
    </w:p>
  </w:footnote>
  <w:footnote w:id="1513">
    <w:p w:rsidR="003F128F" w:rsidRPr="00EC6658" w:rsidRDefault="003F128F" w:rsidP="00E14A40">
      <w:pPr>
        <w:pStyle w:val="af3"/>
        <w:rPr>
          <w:rFonts w:ascii="Traditional Arabic" w:hAnsi="Traditional Arabic"/>
          <w:sz w:val="32"/>
          <w:szCs w:val="32"/>
        </w:rPr>
      </w:pPr>
      <w:r w:rsidRPr="00EC6658">
        <w:rPr>
          <w:rFonts w:ascii="Traditional Arabic" w:hAnsi="Traditional Arabic"/>
          <w:sz w:val="32"/>
          <w:szCs w:val="32"/>
          <w:rtl/>
        </w:rPr>
        <w:t>(</w:t>
      </w:r>
      <w:r w:rsidRPr="00EC6658">
        <w:rPr>
          <w:rStyle w:val="ae"/>
          <w:rFonts w:ascii="Traditional Arabic" w:hAnsi="Traditional Arabic"/>
          <w:sz w:val="32"/>
          <w:szCs w:val="32"/>
          <w:vertAlign w:val="baseline"/>
        </w:rPr>
        <w:footnoteRef/>
      </w:r>
      <w:r w:rsidRPr="00EC6658">
        <w:rPr>
          <w:rFonts w:ascii="Traditional Arabic" w:hAnsi="Traditional Arabic"/>
          <w:sz w:val="32"/>
          <w:szCs w:val="32"/>
          <w:rtl/>
        </w:rPr>
        <w:t xml:space="preserve">) انظر: غريب القرآن (ص269).  </w:t>
      </w:r>
    </w:p>
  </w:footnote>
  <w:footnote w:id="1514">
    <w:p w:rsidR="003F128F" w:rsidRPr="00EC6658" w:rsidRDefault="003F128F" w:rsidP="00E14A40">
      <w:pPr>
        <w:pStyle w:val="af3"/>
        <w:rPr>
          <w:rFonts w:ascii="Traditional Arabic" w:hAnsi="Traditional Arabic"/>
          <w:sz w:val="32"/>
          <w:szCs w:val="32"/>
        </w:rPr>
      </w:pPr>
      <w:r w:rsidRPr="00EC6658">
        <w:rPr>
          <w:rFonts w:ascii="Traditional Arabic" w:hAnsi="Traditional Arabic"/>
          <w:sz w:val="32"/>
          <w:szCs w:val="32"/>
          <w:rtl/>
        </w:rPr>
        <w:t>(</w:t>
      </w:r>
      <w:r w:rsidRPr="00EC6658">
        <w:rPr>
          <w:rStyle w:val="ae"/>
          <w:rFonts w:ascii="Traditional Arabic" w:hAnsi="Traditional Arabic"/>
          <w:sz w:val="32"/>
          <w:szCs w:val="32"/>
          <w:vertAlign w:val="baseline"/>
        </w:rPr>
        <w:footnoteRef/>
      </w:r>
      <w:r w:rsidRPr="00EC6658">
        <w:rPr>
          <w:rFonts w:ascii="Traditional Arabic" w:hAnsi="Traditional Arabic"/>
          <w:sz w:val="32"/>
          <w:szCs w:val="32"/>
          <w:rtl/>
        </w:rPr>
        <w:t xml:space="preserve">) في (ك): [وقال الزجاج: المعنى: جعلنا بينهم من العذاب مَا يُوبِقُهم]. </w:t>
      </w:r>
    </w:p>
  </w:footnote>
  <w:footnote w:id="1515">
    <w:p w:rsidR="003F128F" w:rsidRPr="00EC6658" w:rsidRDefault="003F128F" w:rsidP="00E14A40">
      <w:pPr>
        <w:pStyle w:val="af3"/>
        <w:rPr>
          <w:rFonts w:ascii="Traditional Arabic" w:hAnsi="Traditional Arabic"/>
          <w:sz w:val="32"/>
          <w:szCs w:val="32"/>
        </w:rPr>
      </w:pPr>
      <w:r w:rsidRPr="00EC6658">
        <w:rPr>
          <w:rFonts w:ascii="Traditional Arabic" w:hAnsi="Traditional Arabic"/>
          <w:sz w:val="32"/>
          <w:szCs w:val="32"/>
          <w:rtl/>
        </w:rPr>
        <w:t>(</w:t>
      </w:r>
      <w:r w:rsidRPr="00EC6658">
        <w:rPr>
          <w:rStyle w:val="ae"/>
          <w:rFonts w:ascii="Traditional Arabic" w:hAnsi="Traditional Arabic"/>
          <w:sz w:val="32"/>
          <w:szCs w:val="32"/>
          <w:vertAlign w:val="baseline"/>
        </w:rPr>
        <w:footnoteRef/>
      </w:r>
      <w:r w:rsidRPr="00EC6658">
        <w:rPr>
          <w:rFonts w:ascii="Traditional Arabic" w:hAnsi="Traditional Arabic"/>
          <w:sz w:val="32"/>
          <w:szCs w:val="32"/>
          <w:rtl/>
        </w:rPr>
        <w:t xml:space="preserve">) انظر: معاني القرآن وإعرابه (3/295).    </w:t>
      </w:r>
    </w:p>
  </w:footnote>
  <w:footnote w:id="1516">
    <w:p w:rsidR="003F128F" w:rsidRPr="000A1732" w:rsidRDefault="003F128F" w:rsidP="00E14A40">
      <w:pPr>
        <w:pStyle w:val="af3"/>
        <w:rPr>
          <w:rFonts w:ascii="Traditional Arabic" w:hAnsi="Traditional Arabic"/>
          <w:sz w:val="32"/>
          <w:szCs w:val="32"/>
        </w:rPr>
      </w:pPr>
      <w:r w:rsidRPr="00EC6658">
        <w:rPr>
          <w:rFonts w:ascii="Traditional Arabic" w:hAnsi="Traditional Arabic"/>
          <w:sz w:val="32"/>
          <w:szCs w:val="32"/>
          <w:rtl/>
        </w:rPr>
        <w:t>(</w:t>
      </w:r>
      <w:r w:rsidRPr="00EC6658">
        <w:rPr>
          <w:rStyle w:val="ae"/>
          <w:rFonts w:ascii="Traditional Arabic" w:hAnsi="Traditional Arabic"/>
          <w:sz w:val="32"/>
          <w:szCs w:val="32"/>
          <w:vertAlign w:val="baseline"/>
        </w:rPr>
        <w:footnoteRef/>
      </w:r>
      <w:r w:rsidRPr="00EC6658">
        <w:rPr>
          <w:rFonts w:ascii="Traditional Arabic" w:hAnsi="Traditional Arabic"/>
          <w:sz w:val="32"/>
          <w:szCs w:val="32"/>
          <w:rtl/>
        </w:rPr>
        <w:t xml:space="preserve">) انظر: معاني القرآن (2/147).    </w:t>
      </w:r>
    </w:p>
  </w:footnote>
  <w:footnote w:id="1517">
    <w:p w:rsidR="003F128F" w:rsidRPr="000A1732" w:rsidRDefault="003F128F" w:rsidP="00E14A40">
      <w:pPr>
        <w:pStyle w:val="af3"/>
        <w:rPr>
          <w:rFonts w:ascii="Traditional Arabic" w:hAnsi="Traditional Arabic"/>
          <w:sz w:val="32"/>
          <w:szCs w:val="32"/>
          <w:rtl/>
        </w:rPr>
      </w:pPr>
      <w:r w:rsidRPr="000A1732">
        <w:rPr>
          <w:rFonts w:ascii="Traditional Arabic" w:hAnsi="Traditional Arabic"/>
          <w:sz w:val="32"/>
          <w:szCs w:val="32"/>
          <w:rtl/>
        </w:rPr>
        <w:t>(</w:t>
      </w:r>
      <w:r w:rsidRPr="000A1732">
        <w:rPr>
          <w:rStyle w:val="ae"/>
          <w:rFonts w:ascii="Traditional Arabic" w:hAnsi="Traditional Arabic"/>
          <w:sz w:val="32"/>
          <w:szCs w:val="32"/>
          <w:vertAlign w:val="baseline"/>
        </w:rPr>
        <w:footnoteRef/>
      </w:r>
      <w:r w:rsidRPr="000A1732">
        <w:rPr>
          <w:rFonts w:ascii="Traditional Arabic" w:hAnsi="Traditional Arabic"/>
          <w:sz w:val="32"/>
          <w:szCs w:val="32"/>
          <w:rtl/>
        </w:rPr>
        <w:t xml:space="preserve">) انظر: التفسير الوسيط (3/153), معالم التنزيل (5/181).  </w:t>
      </w:r>
    </w:p>
  </w:footnote>
  <w:footnote w:id="1518">
    <w:p w:rsidR="003F128F" w:rsidRPr="00CF2C22" w:rsidRDefault="003F128F" w:rsidP="00E14A40">
      <w:pPr>
        <w:pStyle w:val="af3"/>
        <w:rPr>
          <w:rFonts w:ascii="Traditional Arabic" w:hAnsi="Traditional Arabic"/>
          <w:sz w:val="32"/>
          <w:szCs w:val="32"/>
        </w:rPr>
      </w:pPr>
      <w:r w:rsidRPr="00CF2C22">
        <w:rPr>
          <w:rFonts w:ascii="Traditional Arabic" w:hAnsi="Traditional Arabic"/>
          <w:sz w:val="32"/>
          <w:szCs w:val="32"/>
          <w:rtl/>
        </w:rPr>
        <w:t>(</w:t>
      </w:r>
      <w:r w:rsidRPr="00CF2C22">
        <w:rPr>
          <w:rStyle w:val="ae"/>
          <w:rFonts w:ascii="Traditional Arabic" w:hAnsi="Traditional Arabic"/>
          <w:sz w:val="32"/>
          <w:szCs w:val="32"/>
          <w:vertAlign w:val="baseline"/>
        </w:rPr>
        <w:footnoteRef/>
      </w:r>
      <w:r w:rsidRPr="00CF2C22">
        <w:rPr>
          <w:rFonts w:ascii="Traditional Arabic" w:hAnsi="Traditional Arabic"/>
          <w:sz w:val="32"/>
          <w:szCs w:val="32"/>
          <w:rtl/>
        </w:rPr>
        <w:t>) تفسير الطبري (18/46), تفسير ابن ابي حاتم (7/2368).</w:t>
      </w:r>
    </w:p>
  </w:footnote>
  <w:footnote w:id="1519">
    <w:p w:rsidR="003F128F" w:rsidRPr="00CF2C22" w:rsidRDefault="003F128F" w:rsidP="00E14A40">
      <w:pPr>
        <w:pStyle w:val="af3"/>
        <w:rPr>
          <w:rFonts w:ascii="Traditional Arabic" w:hAnsi="Traditional Arabic"/>
          <w:sz w:val="32"/>
          <w:szCs w:val="32"/>
        </w:rPr>
      </w:pPr>
      <w:r w:rsidRPr="00CF2C22">
        <w:rPr>
          <w:rFonts w:ascii="Traditional Arabic" w:hAnsi="Traditional Arabic"/>
          <w:sz w:val="32"/>
          <w:szCs w:val="32"/>
          <w:rtl/>
        </w:rPr>
        <w:t>(</w:t>
      </w:r>
      <w:r w:rsidRPr="00CF2C22">
        <w:rPr>
          <w:rStyle w:val="ae"/>
          <w:rFonts w:ascii="Traditional Arabic" w:hAnsi="Traditional Arabic"/>
          <w:sz w:val="32"/>
          <w:szCs w:val="32"/>
          <w:vertAlign w:val="baseline"/>
        </w:rPr>
        <w:footnoteRef/>
      </w:r>
      <w:r w:rsidRPr="00CF2C22">
        <w:rPr>
          <w:rFonts w:ascii="Traditional Arabic" w:hAnsi="Traditional Arabic"/>
          <w:sz w:val="32"/>
          <w:szCs w:val="32"/>
          <w:rtl/>
        </w:rPr>
        <w:t xml:space="preserve">) تفسير الطبري (18/46), تفسير ابن ابي حاتم (7/2367).    </w:t>
      </w:r>
    </w:p>
  </w:footnote>
  <w:footnote w:id="1520">
    <w:p w:rsidR="003F128F" w:rsidRPr="00CF2C22" w:rsidRDefault="003F128F" w:rsidP="00E14A40">
      <w:pPr>
        <w:pStyle w:val="af3"/>
        <w:rPr>
          <w:rFonts w:ascii="Traditional Arabic" w:hAnsi="Traditional Arabic"/>
          <w:sz w:val="32"/>
          <w:szCs w:val="32"/>
        </w:rPr>
      </w:pPr>
      <w:r w:rsidRPr="00CF2C22">
        <w:rPr>
          <w:rFonts w:ascii="Traditional Arabic" w:hAnsi="Traditional Arabic"/>
          <w:sz w:val="32"/>
          <w:szCs w:val="32"/>
          <w:rtl/>
        </w:rPr>
        <w:t>(</w:t>
      </w:r>
      <w:r w:rsidRPr="00CF2C22">
        <w:rPr>
          <w:rStyle w:val="ae"/>
          <w:rFonts w:ascii="Traditional Arabic" w:hAnsi="Traditional Arabic"/>
          <w:sz w:val="32"/>
          <w:szCs w:val="32"/>
          <w:vertAlign w:val="baseline"/>
        </w:rPr>
        <w:footnoteRef/>
      </w:r>
      <w:r w:rsidRPr="00CF2C22">
        <w:rPr>
          <w:rFonts w:ascii="Traditional Arabic" w:hAnsi="Traditional Arabic"/>
          <w:sz w:val="32"/>
          <w:szCs w:val="32"/>
          <w:rtl/>
        </w:rPr>
        <w:t xml:space="preserve">) انظر: تفسير مجاهد (ص448), تفسير الطبري (18/46).   </w:t>
      </w:r>
    </w:p>
  </w:footnote>
  <w:footnote w:id="1521">
    <w:p w:rsidR="003F128F" w:rsidRPr="00872850" w:rsidRDefault="003F128F" w:rsidP="00E14A40">
      <w:pPr>
        <w:pStyle w:val="af3"/>
        <w:rPr>
          <w:rFonts w:ascii="Traditional Arabic" w:hAnsi="Traditional Arabic"/>
          <w:sz w:val="32"/>
          <w:szCs w:val="32"/>
        </w:rPr>
      </w:pPr>
      <w:r w:rsidRPr="00872850">
        <w:rPr>
          <w:rFonts w:ascii="Traditional Arabic" w:hAnsi="Traditional Arabic"/>
          <w:sz w:val="32"/>
          <w:szCs w:val="32"/>
          <w:rtl/>
        </w:rPr>
        <w:t>(</w:t>
      </w:r>
      <w:r w:rsidRPr="00872850">
        <w:rPr>
          <w:rStyle w:val="ae"/>
          <w:rFonts w:ascii="Traditional Arabic" w:hAnsi="Traditional Arabic"/>
          <w:sz w:val="32"/>
          <w:szCs w:val="32"/>
          <w:vertAlign w:val="baseline"/>
        </w:rPr>
        <w:footnoteRef/>
      </w:r>
      <w:r w:rsidRPr="00872850">
        <w:rPr>
          <w:rFonts w:ascii="Traditional Arabic" w:hAnsi="Traditional Arabic"/>
          <w:sz w:val="32"/>
          <w:szCs w:val="32"/>
          <w:rtl/>
        </w:rPr>
        <w:t>) تفسير الطبري (18/46), الكشف والبيان (6/177).</w:t>
      </w:r>
    </w:p>
  </w:footnote>
  <w:footnote w:id="1522">
    <w:p w:rsidR="003F128F" w:rsidRPr="00872850" w:rsidRDefault="003F128F" w:rsidP="00E14A40">
      <w:pPr>
        <w:pStyle w:val="af3"/>
        <w:rPr>
          <w:rFonts w:ascii="Traditional Arabic" w:hAnsi="Traditional Arabic"/>
          <w:sz w:val="32"/>
          <w:szCs w:val="32"/>
        </w:rPr>
      </w:pPr>
      <w:r w:rsidRPr="00872850">
        <w:rPr>
          <w:rFonts w:ascii="Traditional Arabic" w:hAnsi="Traditional Arabic"/>
          <w:sz w:val="32"/>
          <w:szCs w:val="32"/>
          <w:rtl/>
        </w:rPr>
        <w:t>(</w:t>
      </w:r>
      <w:r w:rsidRPr="00872850">
        <w:rPr>
          <w:rStyle w:val="ae"/>
          <w:rFonts w:ascii="Traditional Arabic" w:hAnsi="Traditional Arabic"/>
          <w:sz w:val="32"/>
          <w:szCs w:val="32"/>
          <w:vertAlign w:val="baseline"/>
        </w:rPr>
        <w:footnoteRef/>
      </w:r>
      <w:r w:rsidRPr="00872850">
        <w:rPr>
          <w:rFonts w:ascii="Traditional Arabic" w:hAnsi="Traditional Arabic"/>
          <w:sz w:val="32"/>
          <w:szCs w:val="32"/>
          <w:rtl/>
        </w:rPr>
        <w:t xml:space="preserve">) ذكره الماوردي في النكت والعون (3/316) عن الربيع بلفظ: "مجلساً" بدل: "المحبس", وذكره النيسابوري في إيجاز البيان (2/523) غير منسوب. </w:t>
      </w:r>
    </w:p>
  </w:footnote>
  <w:footnote w:id="1523">
    <w:p w:rsidR="003F128F" w:rsidRPr="00872850" w:rsidRDefault="003F128F" w:rsidP="00154407">
      <w:pPr>
        <w:pStyle w:val="af3"/>
        <w:rPr>
          <w:rFonts w:ascii="Traditional Arabic" w:hAnsi="Traditional Arabic"/>
          <w:sz w:val="32"/>
          <w:szCs w:val="32"/>
        </w:rPr>
      </w:pPr>
      <w:r w:rsidRPr="00872850">
        <w:rPr>
          <w:rFonts w:ascii="Traditional Arabic" w:hAnsi="Traditional Arabic"/>
          <w:sz w:val="32"/>
          <w:szCs w:val="32"/>
          <w:rtl/>
        </w:rPr>
        <w:t>(</w:t>
      </w:r>
      <w:r w:rsidRPr="00872850">
        <w:rPr>
          <w:rStyle w:val="ae"/>
          <w:rFonts w:ascii="Traditional Arabic" w:hAnsi="Traditional Arabic"/>
          <w:sz w:val="32"/>
          <w:szCs w:val="32"/>
          <w:vertAlign w:val="baseline"/>
        </w:rPr>
        <w:footnoteRef/>
      </w:r>
      <w:r w:rsidRPr="00872850">
        <w:rPr>
          <w:rFonts w:ascii="Traditional Arabic" w:hAnsi="Traditional Arabic"/>
          <w:sz w:val="32"/>
          <w:szCs w:val="32"/>
          <w:rtl/>
        </w:rPr>
        <w:t>) مجاز القرآن (</w:t>
      </w:r>
      <w:r>
        <w:rPr>
          <w:rFonts w:ascii="Traditional Arabic" w:hAnsi="Traditional Arabic" w:hint="cs"/>
          <w:sz w:val="32"/>
          <w:szCs w:val="32"/>
          <w:rtl/>
        </w:rPr>
        <w:t>1/</w:t>
      </w:r>
      <w:r w:rsidRPr="00872850">
        <w:rPr>
          <w:rFonts w:ascii="Traditional Arabic" w:hAnsi="Traditional Arabic"/>
          <w:sz w:val="32"/>
          <w:szCs w:val="32"/>
          <w:rtl/>
        </w:rPr>
        <w:t>406).</w:t>
      </w:r>
    </w:p>
  </w:footnote>
  <w:footnote w:id="1524">
    <w:p w:rsidR="003F128F" w:rsidRPr="00872850" w:rsidRDefault="003F128F" w:rsidP="00E14A40">
      <w:pPr>
        <w:pStyle w:val="af3"/>
        <w:rPr>
          <w:rFonts w:ascii="Traditional Arabic" w:hAnsi="Traditional Arabic"/>
          <w:sz w:val="32"/>
          <w:szCs w:val="32"/>
        </w:rPr>
      </w:pPr>
      <w:r w:rsidRPr="00872850">
        <w:rPr>
          <w:rFonts w:ascii="Traditional Arabic" w:hAnsi="Traditional Arabic"/>
          <w:sz w:val="32"/>
          <w:szCs w:val="32"/>
          <w:rtl/>
        </w:rPr>
        <w:t>(</w:t>
      </w:r>
      <w:r w:rsidRPr="00872850">
        <w:rPr>
          <w:rStyle w:val="ae"/>
          <w:rFonts w:ascii="Traditional Arabic" w:hAnsi="Traditional Arabic"/>
          <w:sz w:val="32"/>
          <w:szCs w:val="32"/>
          <w:vertAlign w:val="baseline"/>
        </w:rPr>
        <w:footnoteRef/>
      </w:r>
      <w:r w:rsidRPr="00872850">
        <w:rPr>
          <w:rFonts w:ascii="Traditional Arabic" w:hAnsi="Traditional Arabic"/>
          <w:sz w:val="32"/>
          <w:szCs w:val="32"/>
          <w:rtl/>
        </w:rPr>
        <w:t>) لم أقف عليه, ولكن</w:t>
      </w:r>
      <w:r>
        <w:rPr>
          <w:rFonts w:ascii="Traditional Arabic" w:hAnsi="Traditional Arabic" w:hint="cs"/>
          <w:sz w:val="32"/>
          <w:szCs w:val="32"/>
          <w:rtl/>
        </w:rPr>
        <w:t xml:space="preserve"> ذكر</w:t>
      </w:r>
      <w:r w:rsidRPr="00872850">
        <w:rPr>
          <w:rFonts w:ascii="Traditional Arabic" w:hAnsi="Traditional Arabic"/>
          <w:sz w:val="32"/>
          <w:szCs w:val="32"/>
          <w:rtl/>
        </w:rPr>
        <w:t xml:space="preserve"> بنحوه عبد القاهر الجرجاني في درج الدرر في تفسير الآي والسور (3/1151).</w:t>
      </w:r>
    </w:p>
  </w:footnote>
  <w:footnote w:id="1525">
    <w:p w:rsidR="003F128F" w:rsidRPr="00872850" w:rsidRDefault="003F128F" w:rsidP="00E14A40">
      <w:pPr>
        <w:pStyle w:val="af3"/>
        <w:rPr>
          <w:rFonts w:ascii="Traditional Arabic" w:hAnsi="Traditional Arabic"/>
          <w:sz w:val="32"/>
          <w:szCs w:val="32"/>
        </w:rPr>
      </w:pPr>
      <w:r w:rsidRPr="00872850">
        <w:rPr>
          <w:rFonts w:ascii="Traditional Arabic" w:hAnsi="Traditional Arabic"/>
          <w:sz w:val="32"/>
          <w:szCs w:val="32"/>
          <w:rtl/>
        </w:rPr>
        <w:t>(</w:t>
      </w:r>
      <w:r w:rsidRPr="00872850">
        <w:rPr>
          <w:rStyle w:val="ae"/>
          <w:rFonts w:ascii="Traditional Arabic" w:hAnsi="Traditional Arabic"/>
          <w:sz w:val="32"/>
          <w:szCs w:val="32"/>
          <w:vertAlign w:val="baseline"/>
        </w:rPr>
        <w:footnoteRef/>
      </w:r>
      <w:r w:rsidRPr="00872850">
        <w:rPr>
          <w:rFonts w:ascii="Traditional Arabic" w:hAnsi="Traditional Arabic"/>
          <w:sz w:val="32"/>
          <w:szCs w:val="32"/>
          <w:rtl/>
        </w:rPr>
        <w:t xml:space="preserve">) انظر: التفسير الوسيط (3/154), رموز الكنوز (4/306).    </w:t>
      </w:r>
    </w:p>
  </w:footnote>
  <w:footnote w:id="1526">
    <w:p w:rsidR="003F128F" w:rsidRPr="00872850" w:rsidRDefault="003F128F" w:rsidP="00E14A40">
      <w:pPr>
        <w:pStyle w:val="af3"/>
        <w:rPr>
          <w:rFonts w:ascii="Traditional Arabic" w:hAnsi="Traditional Arabic"/>
          <w:sz w:val="32"/>
          <w:szCs w:val="32"/>
        </w:rPr>
      </w:pPr>
      <w:r w:rsidRPr="00872850">
        <w:rPr>
          <w:rFonts w:ascii="Traditional Arabic" w:hAnsi="Traditional Arabic"/>
          <w:sz w:val="32"/>
          <w:szCs w:val="32"/>
          <w:rtl/>
        </w:rPr>
        <w:t>(</w:t>
      </w:r>
      <w:r w:rsidRPr="00872850">
        <w:rPr>
          <w:rStyle w:val="ae"/>
          <w:rFonts w:ascii="Traditional Arabic" w:hAnsi="Traditional Arabic"/>
          <w:sz w:val="32"/>
          <w:szCs w:val="32"/>
          <w:vertAlign w:val="baseline"/>
        </w:rPr>
        <w:footnoteRef/>
      </w:r>
      <w:r w:rsidRPr="00872850">
        <w:rPr>
          <w:rFonts w:ascii="Traditional Arabic" w:hAnsi="Traditional Arabic"/>
          <w:sz w:val="32"/>
          <w:szCs w:val="32"/>
          <w:rtl/>
        </w:rPr>
        <w:t xml:space="preserve">) انظر: التفسير الوسيط (3/154), معالم التنزيل (5/181).   </w:t>
      </w:r>
    </w:p>
  </w:footnote>
  <w:footnote w:id="1527">
    <w:p w:rsidR="003F128F" w:rsidRPr="00EC6658" w:rsidRDefault="003F128F" w:rsidP="00E14A40">
      <w:pPr>
        <w:pStyle w:val="af3"/>
        <w:rPr>
          <w:rFonts w:ascii="Traditional Arabic" w:hAnsi="Traditional Arabic"/>
          <w:sz w:val="32"/>
          <w:szCs w:val="32"/>
        </w:rPr>
      </w:pPr>
      <w:r w:rsidRPr="00EC6658">
        <w:rPr>
          <w:rFonts w:ascii="Traditional Arabic" w:hAnsi="Traditional Arabic"/>
          <w:sz w:val="32"/>
          <w:szCs w:val="32"/>
          <w:rtl/>
        </w:rPr>
        <w:t>(</w:t>
      </w:r>
      <w:r w:rsidRPr="00EC6658">
        <w:rPr>
          <w:rStyle w:val="ae"/>
          <w:rFonts w:ascii="Traditional Arabic" w:hAnsi="Traditional Arabic"/>
          <w:sz w:val="32"/>
          <w:szCs w:val="32"/>
          <w:vertAlign w:val="baseline"/>
        </w:rPr>
        <w:footnoteRef/>
      </w:r>
      <w:r w:rsidRPr="00EC6658">
        <w:rPr>
          <w:rFonts w:ascii="Traditional Arabic" w:hAnsi="Traditional Arabic"/>
          <w:sz w:val="32"/>
          <w:szCs w:val="32"/>
          <w:rtl/>
        </w:rPr>
        <w:t>) سورة الإسراء, الآية (41). انظر: زاد المسير (5/37).</w:t>
      </w:r>
    </w:p>
  </w:footnote>
  <w:footnote w:id="1528">
    <w:p w:rsidR="003F128F" w:rsidRPr="00EC6658" w:rsidRDefault="003F128F" w:rsidP="00E14A40">
      <w:pPr>
        <w:pStyle w:val="af3"/>
        <w:rPr>
          <w:rFonts w:ascii="Traditional Arabic" w:hAnsi="Traditional Arabic"/>
          <w:sz w:val="32"/>
          <w:szCs w:val="32"/>
        </w:rPr>
      </w:pPr>
      <w:r w:rsidRPr="00EC6658">
        <w:rPr>
          <w:rFonts w:ascii="Traditional Arabic" w:hAnsi="Traditional Arabic"/>
          <w:sz w:val="32"/>
          <w:szCs w:val="32"/>
          <w:rtl/>
        </w:rPr>
        <w:t>(</w:t>
      </w:r>
      <w:r w:rsidRPr="00EC6658">
        <w:rPr>
          <w:rStyle w:val="ae"/>
          <w:rFonts w:ascii="Traditional Arabic" w:hAnsi="Traditional Arabic"/>
          <w:sz w:val="32"/>
          <w:szCs w:val="32"/>
          <w:vertAlign w:val="baseline"/>
        </w:rPr>
        <w:footnoteRef/>
      </w:r>
      <w:r w:rsidRPr="00EC6658">
        <w:rPr>
          <w:rFonts w:ascii="Traditional Arabic" w:hAnsi="Traditional Arabic"/>
          <w:sz w:val="32"/>
          <w:szCs w:val="32"/>
          <w:rtl/>
        </w:rPr>
        <w:t>) في (ك): [فيمن نزلت فيه قولان].</w:t>
      </w:r>
    </w:p>
  </w:footnote>
  <w:footnote w:id="1529">
    <w:p w:rsidR="003F128F" w:rsidRPr="00EC6658" w:rsidRDefault="003F128F" w:rsidP="00E14A40">
      <w:pPr>
        <w:pStyle w:val="af3"/>
        <w:rPr>
          <w:rFonts w:ascii="Traditional Arabic" w:hAnsi="Traditional Arabic"/>
          <w:sz w:val="32"/>
          <w:szCs w:val="32"/>
        </w:rPr>
      </w:pPr>
      <w:r w:rsidRPr="00EC6658">
        <w:rPr>
          <w:rFonts w:ascii="Traditional Arabic" w:hAnsi="Traditional Arabic"/>
          <w:sz w:val="32"/>
          <w:szCs w:val="32"/>
          <w:rtl/>
        </w:rPr>
        <w:t>(</w:t>
      </w:r>
      <w:r w:rsidRPr="00EC6658">
        <w:rPr>
          <w:rStyle w:val="ae"/>
          <w:rFonts w:ascii="Traditional Arabic" w:hAnsi="Traditional Arabic"/>
          <w:sz w:val="32"/>
          <w:szCs w:val="32"/>
          <w:vertAlign w:val="baseline"/>
        </w:rPr>
        <w:footnoteRef/>
      </w:r>
      <w:r w:rsidRPr="00EC6658">
        <w:rPr>
          <w:rFonts w:ascii="Traditional Arabic" w:hAnsi="Traditional Arabic"/>
          <w:sz w:val="32"/>
          <w:szCs w:val="32"/>
          <w:rtl/>
        </w:rPr>
        <w:t>) ذكره الواحدي في التفسير الوسيط (3/154), والبغوي في معالم التنزيل (5/181).</w:t>
      </w:r>
    </w:p>
  </w:footnote>
  <w:footnote w:id="1530">
    <w:p w:rsidR="003F128F" w:rsidRPr="00EC6658" w:rsidRDefault="003F128F" w:rsidP="00E14A40">
      <w:pPr>
        <w:pStyle w:val="af3"/>
        <w:rPr>
          <w:rFonts w:ascii="Traditional Arabic" w:hAnsi="Traditional Arabic"/>
          <w:sz w:val="32"/>
          <w:szCs w:val="32"/>
        </w:rPr>
      </w:pPr>
      <w:r w:rsidRPr="00EC6658">
        <w:rPr>
          <w:rFonts w:ascii="Traditional Arabic" w:hAnsi="Traditional Arabic"/>
          <w:sz w:val="32"/>
          <w:szCs w:val="32"/>
          <w:rtl/>
        </w:rPr>
        <w:t>(</w:t>
      </w:r>
      <w:r w:rsidRPr="00EC6658">
        <w:rPr>
          <w:rStyle w:val="ae"/>
          <w:rFonts w:ascii="Traditional Arabic" w:hAnsi="Traditional Arabic"/>
          <w:sz w:val="32"/>
          <w:szCs w:val="32"/>
          <w:vertAlign w:val="baseline"/>
        </w:rPr>
        <w:footnoteRef/>
      </w:r>
      <w:r w:rsidRPr="00EC6658">
        <w:rPr>
          <w:rFonts w:ascii="Traditional Arabic" w:hAnsi="Traditional Arabic"/>
          <w:sz w:val="32"/>
          <w:szCs w:val="32"/>
          <w:rtl/>
        </w:rPr>
        <w:t>) ذكره الواحدي في التفسير الوسيط (3/154), والبغوي في معالم التنزيل (5/181), وابن السائب هو الكلبي.</w:t>
      </w:r>
    </w:p>
  </w:footnote>
  <w:footnote w:id="1531">
    <w:p w:rsidR="003F128F" w:rsidRPr="002C20F5" w:rsidRDefault="003F128F" w:rsidP="00E14A40">
      <w:pPr>
        <w:pStyle w:val="af3"/>
        <w:rPr>
          <w:rFonts w:ascii="Traditional Arabic" w:hAnsi="Traditional Arabic"/>
          <w:sz w:val="32"/>
          <w:szCs w:val="32"/>
        </w:rPr>
      </w:pPr>
      <w:r w:rsidRPr="002C20F5">
        <w:rPr>
          <w:rFonts w:ascii="Traditional Arabic" w:hAnsi="Traditional Arabic"/>
          <w:sz w:val="32"/>
          <w:szCs w:val="32"/>
          <w:rtl/>
        </w:rPr>
        <w:t>(</w:t>
      </w:r>
      <w:r w:rsidRPr="002C20F5">
        <w:rPr>
          <w:rStyle w:val="ae"/>
          <w:rFonts w:ascii="Traditional Arabic" w:hAnsi="Traditional Arabic"/>
          <w:sz w:val="32"/>
          <w:szCs w:val="32"/>
          <w:vertAlign w:val="baseline"/>
        </w:rPr>
        <w:footnoteRef/>
      </w:r>
      <w:r w:rsidRPr="002C20F5">
        <w:rPr>
          <w:rFonts w:ascii="Traditional Arabic" w:hAnsi="Traditional Arabic"/>
          <w:sz w:val="32"/>
          <w:szCs w:val="32"/>
          <w:rtl/>
        </w:rPr>
        <w:t xml:space="preserve">) معاني القرآن وإعرابه (3/296).    </w:t>
      </w:r>
    </w:p>
  </w:footnote>
  <w:footnote w:id="1532">
    <w:p w:rsidR="003F128F" w:rsidRPr="002C20F5" w:rsidRDefault="003F128F" w:rsidP="00E14A40">
      <w:pPr>
        <w:pStyle w:val="af3"/>
        <w:rPr>
          <w:rFonts w:ascii="Traditional Arabic" w:hAnsi="Traditional Arabic"/>
          <w:sz w:val="32"/>
          <w:szCs w:val="32"/>
        </w:rPr>
      </w:pPr>
      <w:r w:rsidRPr="002C20F5">
        <w:rPr>
          <w:rFonts w:ascii="Traditional Arabic" w:hAnsi="Traditional Arabic"/>
          <w:sz w:val="32"/>
          <w:szCs w:val="32"/>
          <w:rtl/>
        </w:rPr>
        <w:t>(</w:t>
      </w:r>
      <w:r w:rsidRPr="002C20F5">
        <w:rPr>
          <w:rStyle w:val="ae"/>
          <w:rFonts w:ascii="Traditional Arabic" w:hAnsi="Traditional Arabic"/>
          <w:sz w:val="32"/>
          <w:szCs w:val="32"/>
          <w:vertAlign w:val="baseline"/>
        </w:rPr>
        <w:footnoteRef/>
      </w:r>
      <w:r w:rsidRPr="002C20F5">
        <w:rPr>
          <w:rFonts w:ascii="Traditional Arabic" w:hAnsi="Traditional Arabic"/>
          <w:sz w:val="32"/>
          <w:szCs w:val="32"/>
          <w:rtl/>
        </w:rPr>
        <w:t>) انظر: الكشف والبيان (6/178), النكت والعيون (3/274), التفسير الوسيط (3/154).</w:t>
      </w:r>
    </w:p>
  </w:footnote>
  <w:footnote w:id="1533">
    <w:p w:rsidR="003F128F" w:rsidRPr="002C20F5" w:rsidRDefault="003F128F" w:rsidP="00E14A40">
      <w:pPr>
        <w:pStyle w:val="af3"/>
        <w:rPr>
          <w:rFonts w:ascii="Traditional Arabic" w:hAnsi="Traditional Arabic"/>
          <w:sz w:val="32"/>
          <w:szCs w:val="32"/>
        </w:rPr>
      </w:pPr>
      <w:r w:rsidRPr="002C20F5">
        <w:rPr>
          <w:rFonts w:ascii="Traditional Arabic" w:hAnsi="Traditional Arabic"/>
          <w:sz w:val="32"/>
          <w:szCs w:val="32"/>
          <w:rtl/>
        </w:rPr>
        <w:t>(</w:t>
      </w:r>
      <w:r w:rsidRPr="002C20F5">
        <w:rPr>
          <w:rStyle w:val="ae"/>
          <w:rFonts w:ascii="Traditional Arabic" w:hAnsi="Traditional Arabic"/>
          <w:sz w:val="32"/>
          <w:szCs w:val="32"/>
          <w:vertAlign w:val="baseline"/>
        </w:rPr>
        <w:footnoteRef/>
      </w:r>
      <w:r w:rsidRPr="002C20F5">
        <w:rPr>
          <w:rFonts w:ascii="Traditional Arabic" w:hAnsi="Traditional Arabic"/>
          <w:sz w:val="32"/>
          <w:szCs w:val="32"/>
          <w:rtl/>
        </w:rPr>
        <w:t xml:space="preserve">) انظر: معاني القرآن وإعرابه (3/296). </w:t>
      </w:r>
    </w:p>
  </w:footnote>
  <w:footnote w:id="1534">
    <w:p w:rsidR="003F128F" w:rsidRPr="002C20F5" w:rsidRDefault="003F128F" w:rsidP="00E14A40">
      <w:pPr>
        <w:pStyle w:val="af3"/>
        <w:rPr>
          <w:rFonts w:ascii="Traditional Arabic" w:hAnsi="Traditional Arabic"/>
          <w:sz w:val="32"/>
          <w:szCs w:val="32"/>
        </w:rPr>
      </w:pPr>
      <w:r w:rsidRPr="002C20F5">
        <w:rPr>
          <w:rFonts w:ascii="Traditional Arabic" w:hAnsi="Traditional Arabic"/>
          <w:sz w:val="32"/>
          <w:szCs w:val="32"/>
          <w:rtl/>
        </w:rPr>
        <w:t>(</w:t>
      </w:r>
      <w:r w:rsidRPr="002C20F5">
        <w:rPr>
          <w:rStyle w:val="ae"/>
          <w:rFonts w:ascii="Traditional Arabic" w:hAnsi="Traditional Arabic"/>
          <w:sz w:val="32"/>
          <w:szCs w:val="32"/>
          <w:vertAlign w:val="baseline"/>
        </w:rPr>
        <w:footnoteRef/>
      </w:r>
      <w:r w:rsidRPr="002C20F5">
        <w:rPr>
          <w:rFonts w:ascii="Traditional Arabic" w:hAnsi="Traditional Arabic"/>
          <w:sz w:val="32"/>
          <w:szCs w:val="32"/>
          <w:rtl/>
        </w:rPr>
        <w:t>) أورده الرسعني عن ابن الأنباري في رموز الكنوز (4/306), وذكر بنحوه الماوردي في النكت والعيون (3/274) غير منسوب.</w:t>
      </w:r>
    </w:p>
  </w:footnote>
  <w:footnote w:id="1535">
    <w:p w:rsidR="003F128F" w:rsidRPr="008143E7" w:rsidRDefault="003F128F" w:rsidP="00E14A40">
      <w:pPr>
        <w:pStyle w:val="af3"/>
        <w:rPr>
          <w:rFonts w:ascii="Traditional Arabic" w:hAnsi="Traditional Arabic"/>
          <w:sz w:val="32"/>
          <w:szCs w:val="32"/>
        </w:rPr>
      </w:pPr>
      <w:r w:rsidRPr="008143E7">
        <w:rPr>
          <w:rFonts w:ascii="Traditional Arabic" w:hAnsi="Traditional Arabic"/>
          <w:sz w:val="32"/>
          <w:szCs w:val="32"/>
          <w:rtl/>
        </w:rPr>
        <w:t>(</w:t>
      </w:r>
      <w:r w:rsidRPr="008143E7">
        <w:rPr>
          <w:rStyle w:val="ae"/>
          <w:rFonts w:ascii="Traditional Arabic" w:hAnsi="Traditional Arabic"/>
          <w:sz w:val="32"/>
          <w:szCs w:val="32"/>
          <w:vertAlign w:val="baseline"/>
        </w:rPr>
        <w:footnoteRef/>
      </w:r>
      <w:r w:rsidRPr="008143E7">
        <w:rPr>
          <w:rFonts w:ascii="Traditional Arabic" w:hAnsi="Traditional Arabic"/>
          <w:sz w:val="32"/>
          <w:szCs w:val="32"/>
          <w:rtl/>
        </w:rPr>
        <w:t>) انظر: التفسير الوسيط (3/154).</w:t>
      </w:r>
    </w:p>
  </w:footnote>
  <w:footnote w:id="1536">
    <w:p w:rsidR="003F128F" w:rsidRPr="008143E7" w:rsidRDefault="003F128F" w:rsidP="00E14A40">
      <w:pPr>
        <w:pStyle w:val="af3"/>
        <w:rPr>
          <w:rFonts w:ascii="Traditional Arabic" w:hAnsi="Traditional Arabic"/>
          <w:sz w:val="32"/>
          <w:szCs w:val="32"/>
        </w:rPr>
      </w:pPr>
      <w:r w:rsidRPr="008143E7">
        <w:rPr>
          <w:rFonts w:ascii="Traditional Arabic" w:hAnsi="Traditional Arabic"/>
          <w:sz w:val="32"/>
          <w:szCs w:val="32"/>
          <w:rtl/>
        </w:rPr>
        <w:t>(</w:t>
      </w:r>
      <w:r w:rsidRPr="008143E7">
        <w:rPr>
          <w:rStyle w:val="ae"/>
          <w:rFonts w:ascii="Traditional Arabic" w:hAnsi="Traditional Arabic"/>
          <w:sz w:val="32"/>
          <w:szCs w:val="32"/>
          <w:vertAlign w:val="baseline"/>
        </w:rPr>
        <w:footnoteRef/>
      </w:r>
      <w:r w:rsidRPr="008143E7">
        <w:rPr>
          <w:rFonts w:ascii="Traditional Arabic" w:hAnsi="Traditional Arabic"/>
          <w:sz w:val="32"/>
          <w:szCs w:val="32"/>
          <w:rtl/>
        </w:rPr>
        <w:t>) ما بين المعكوفتين ساقط من الأصل, والمثبت من (ك).</w:t>
      </w:r>
    </w:p>
  </w:footnote>
  <w:footnote w:id="1537">
    <w:p w:rsidR="003F128F" w:rsidRPr="008143E7" w:rsidRDefault="003F128F" w:rsidP="00E14A40">
      <w:pPr>
        <w:pStyle w:val="af3"/>
        <w:rPr>
          <w:rFonts w:ascii="Traditional Arabic" w:hAnsi="Traditional Arabic"/>
          <w:sz w:val="32"/>
          <w:szCs w:val="32"/>
        </w:rPr>
      </w:pPr>
      <w:r w:rsidRPr="008143E7">
        <w:rPr>
          <w:rFonts w:ascii="Traditional Arabic" w:hAnsi="Traditional Arabic"/>
          <w:sz w:val="32"/>
          <w:szCs w:val="32"/>
          <w:rtl/>
        </w:rPr>
        <w:t>(</w:t>
      </w:r>
      <w:r w:rsidRPr="008143E7">
        <w:rPr>
          <w:rStyle w:val="ae"/>
          <w:rFonts w:ascii="Traditional Arabic" w:hAnsi="Traditional Arabic"/>
          <w:sz w:val="32"/>
          <w:szCs w:val="32"/>
          <w:vertAlign w:val="baseline"/>
        </w:rPr>
        <w:footnoteRef/>
      </w:r>
      <w:r w:rsidRPr="008143E7">
        <w:rPr>
          <w:rFonts w:ascii="Traditional Arabic" w:hAnsi="Traditional Arabic"/>
          <w:sz w:val="32"/>
          <w:szCs w:val="32"/>
          <w:rtl/>
        </w:rPr>
        <w:t xml:space="preserve">) انظر: زاد المسير (1/41). </w:t>
      </w:r>
    </w:p>
  </w:footnote>
  <w:footnote w:id="1538">
    <w:p w:rsidR="003F128F" w:rsidRPr="008143E7" w:rsidRDefault="003F128F" w:rsidP="00E14A40">
      <w:pPr>
        <w:pStyle w:val="af3"/>
        <w:rPr>
          <w:rFonts w:ascii="Traditional Arabic" w:hAnsi="Traditional Arabic"/>
          <w:sz w:val="32"/>
          <w:szCs w:val="32"/>
        </w:rPr>
      </w:pPr>
      <w:r w:rsidRPr="008143E7">
        <w:rPr>
          <w:rFonts w:ascii="Traditional Arabic" w:hAnsi="Traditional Arabic"/>
          <w:sz w:val="32"/>
          <w:szCs w:val="32"/>
          <w:rtl/>
        </w:rPr>
        <w:t>(</w:t>
      </w:r>
      <w:r w:rsidRPr="008143E7">
        <w:rPr>
          <w:rStyle w:val="ae"/>
          <w:rFonts w:ascii="Traditional Arabic" w:hAnsi="Traditional Arabic"/>
          <w:sz w:val="32"/>
          <w:szCs w:val="32"/>
          <w:vertAlign w:val="baseline"/>
        </w:rPr>
        <w:footnoteRef/>
      </w:r>
      <w:r w:rsidRPr="008143E7">
        <w:rPr>
          <w:rFonts w:ascii="Traditional Arabic" w:hAnsi="Traditional Arabic"/>
          <w:sz w:val="32"/>
          <w:szCs w:val="32"/>
          <w:rtl/>
        </w:rPr>
        <w:t xml:space="preserve">) انظر: السبعة في القراءات (ص393), معاني القراءات (1/380).  </w:t>
      </w:r>
    </w:p>
  </w:footnote>
  <w:footnote w:id="1539">
    <w:p w:rsidR="003F128F" w:rsidRPr="008143E7" w:rsidRDefault="003F128F" w:rsidP="00E14A40">
      <w:pPr>
        <w:pStyle w:val="af3"/>
        <w:rPr>
          <w:rFonts w:ascii="Traditional Arabic" w:hAnsi="Traditional Arabic"/>
          <w:sz w:val="32"/>
          <w:szCs w:val="32"/>
        </w:rPr>
      </w:pPr>
      <w:r w:rsidRPr="008143E7">
        <w:rPr>
          <w:rFonts w:ascii="Traditional Arabic" w:hAnsi="Traditional Arabic"/>
          <w:sz w:val="32"/>
          <w:szCs w:val="32"/>
          <w:rtl/>
        </w:rPr>
        <w:t>(</w:t>
      </w:r>
      <w:r w:rsidRPr="008143E7">
        <w:rPr>
          <w:rStyle w:val="ae"/>
          <w:rFonts w:ascii="Traditional Arabic" w:hAnsi="Traditional Arabic"/>
          <w:sz w:val="32"/>
          <w:szCs w:val="32"/>
          <w:vertAlign w:val="baseline"/>
        </w:rPr>
        <w:footnoteRef/>
      </w:r>
      <w:r w:rsidRPr="008143E7">
        <w:rPr>
          <w:rFonts w:ascii="Traditional Arabic" w:hAnsi="Traditional Arabic"/>
          <w:sz w:val="32"/>
          <w:szCs w:val="32"/>
          <w:rtl/>
        </w:rPr>
        <w:t>) سورة الأنعام, الآية (111). انظر: زاد المسير (3/107).</w:t>
      </w:r>
    </w:p>
  </w:footnote>
  <w:footnote w:id="1540">
    <w:p w:rsidR="003F128F" w:rsidRPr="008143E7" w:rsidRDefault="003F128F" w:rsidP="00E14A40">
      <w:pPr>
        <w:pStyle w:val="af3"/>
        <w:rPr>
          <w:rFonts w:ascii="Traditional Arabic" w:hAnsi="Traditional Arabic"/>
          <w:sz w:val="32"/>
          <w:szCs w:val="32"/>
        </w:rPr>
      </w:pPr>
      <w:r w:rsidRPr="008143E7">
        <w:rPr>
          <w:rFonts w:ascii="Traditional Arabic" w:hAnsi="Traditional Arabic"/>
          <w:sz w:val="32"/>
          <w:szCs w:val="32"/>
          <w:rtl/>
        </w:rPr>
        <w:t>(</w:t>
      </w:r>
      <w:r w:rsidRPr="008143E7">
        <w:rPr>
          <w:rStyle w:val="ae"/>
          <w:rFonts w:ascii="Traditional Arabic" w:hAnsi="Traditional Arabic"/>
          <w:sz w:val="32"/>
          <w:szCs w:val="32"/>
          <w:vertAlign w:val="baseline"/>
        </w:rPr>
        <w:footnoteRef/>
      </w:r>
      <w:r w:rsidRPr="008143E7">
        <w:rPr>
          <w:rFonts w:ascii="Traditional Arabic" w:hAnsi="Traditional Arabic"/>
          <w:sz w:val="32"/>
          <w:szCs w:val="32"/>
          <w:rtl/>
        </w:rPr>
        <w:t>) انظر: شواذ القراءة للكرماني (ص142), البحر المحيط (7/194).</w:t>
      </w:r>
    </w:p>
  </w:footnote>
  <w:footnote w:id="1541">
    <w:p w:rsidR="003F128F" w:rsidRPr="008143E7" w:rsidRDefault="003F128F" w:rsidP="00E14A40">
      <w:pPr>
        <w:pStyle w:val="af3"/>
        <w:rPr>
          <w:rFonts w:ascii="Traditional Arabic" w:hAnsi="Traditional Arabic"/>
          <w:sz w:val="32"/>
          <w:szCs w:val="32"/>
        </w:rPr>
      </w:pPr>
      <w:r w:rsidRPr="008143E7">
        <w:rPr>
          <w:rFonts w:ascii="Traditional Arabic" w:hAnsi="Traditional Arabic"/>
          <w:sz w:val="32"/>
          <w:szCs w:val="32"/>
          <w:rtl/>
        </w:rPr>
        <w:t>(</w:t>
      </w:r>
      <w:r w:rsidRPr="008143E7">
        <w:rPr>
          <w:rStyle w:val="ae"/>
          <w:rFonts w:ascii="Traditional Arabic" w:hAnsi="Traditional Arabic"/>
          <w:sz w:val="32"/>
          <w:szCs w:val="32"/>
          <w:vertAlign w:val="baseline"/>
        </w:rPr>
        <w:footnoteRef/>
      </w:r>
      <w:r w:rsidRPr="008143E7">
        <w:rPr>
          <w:rFonts w:ascii="Traditional Arabic" w:hAnsi="Traditional Arabic"/>
          <w:sz w:val="32"/>
          <w:szCs w:val="32"/>
          <w:rtl/>
        </w:rPr>
        <w:t>) انظر: معاني القرآن وإعرابه (1/4</w:t>
      </w:r>
      <w:r>
        <w:rPr>
          <w:rFonts w:ascii="Traditional Arabic" w:hAnsi="Traditional Arabic"/>
          <w:sz w:val="32"/>
          <w:szCs w:val="32"/>
          <w:rtl/>
        </w:rPr>
        <w:t>02), الكشاف (2/729) كلاهما ذكر</w:t>
      </w:r>
      <w:r>
        <w:rPr>
          <w:rFonts w:ascii="Traditional Arabic" w:hAnsi="Traditional Arabic" w:hint="cs"/>
          <w:sz w:val="32"/>
          <w:szCs w:val="32"/>
          <w:rtl/>
        </w:rPr>
        <w:t xml:space="preserve"> القراءة</w:t>
      </w:r>
      <w:r w:rsidRPr="008143E7">
        <w:rPr>
          <w:rFonts w:ascii="Traditional Arabic" w:hAnsi="Traditional Arabic"/>
          <w:sz w:val="32"/>
          <w:szCs w:val="32"/>
          <w:rtl/>
        </w:rPr>
        <w:t xml:space="preserve"> غير منسوبة.</w:t>
      </w:r>
    </w:p>
  </w:footnote>
  <w:footnote w:id="1542">
    <w:p w:rsidR="003F128F" w:rsidRPr="008143E7" w:rsidRDefault="003F128F" w:rsidP="00E14A40">
      <w:pPr>
        <w:pStyle w:val="af3"/>
        <w:rPr>
          <w:rFonts w:ascii="Traditional Arabic" w:hAnsi="Traditional Arabic"/>
          <w:sz w:val="32"/>
          <w:szCs w:val="32"/>
        </w:rPr>
      </w:pPr>
      <w:r w:rsidRPr="008143E7">
        <w:rPr>
          <w:rFonts w:ascii="Traditional Arabic" w:hAnsi="Traditional Arabic"/>
          <w:sz w:val="32"/>
          <w:szCs w:val="32"/>
          <w:rtl/>
        </w:rPr>
        <w:t>(</w:t>
      </w:r>
      <w:r w:rsidRPr="008143E7">
        <w:rPr>
          <w:rStyle w:val="ae"/>
          <w:rFonts w:ascii="Traditional Arabic" w:hAnsi="Traditional Arabic"/>
          <w:sz w:val="32"/>
          <w:szCs w:val="32"/>
          <w:vertAlign w:val="baseline"/>
        </w:rPr>
        <w:footnoteRef/>
      </w:r>
      <w:r w:rsidRPr="008143E7">
        <w:rPr>
          <w:rFonts w:ascii="Traditional Arabic" w:hAnsi="Traditional Arabic"/>
          <w:sz w:val="32"/>
          <w:szCs w:val="32"/>
          <w:rtl/>
        </w:rPr>
        <w:t xml:space="preserve">) انظر: غريب القرآن (ص269).  </w:t>
      </w:r>
    </w:p>
  </w:footnote>
  <w:footnote w:id="1543">
    <w:p w:rsidR="003F128F" w:rsidRPr="00EE3F4D" w:rsidRDefault="003F128F" w:rsidP="00E14A40">
      <w:pPr>
        <w:pStyle w:val="af3"/>
        <w:rPr>
          <w:rFonts w:ascii="Tahoma" w:hAnsi="Tahoma"/>
        </w:rPr>
      </w:pPr>
      <w:r w:rsidRPr="008143E7">
        <w:rPr>
          <w:rFonts w:ascii="Traditional Arabic" w:hAnsi="Traditional Arabic"/>
          <w:sz w:val="32"/>
          <w:szCs w:val="32"/>
          <w:rtl/>
        </w:rPr>
        <w:t>(</w:t>
      </w:r>
      <w:r w:rsidRPr="008143E7">
        <w:rPr>
          <w:rStyle w:val="ae"/>
          <w:rFonts w:ascii="Traditional Arabic" w:hAnsi="Traditional Arabic"/>
          <w:sz w:val="32"/>
          <w:szCs w:val="32"/>
          <w:vertAlign w:val="baseline"/>
        </w:rPr>
        <w:footnoteRef/>
      </w:r>
      <w:r w:rsidRPr="008143E7">
        <w:rPr>
          <w:rFonts w:ascii="Traditional Arabic" w:hAnsi="Traditional Arabic"/>
          <w:sz w:val="32"/>
          <w:szCs w:val="32"/>
          <w:rtl/>
        </w:rPr>
        <w:t>) انظر: تفسير مقاتل (2/590)</w:t>
      </w:r>
    </w:p>
  </w:footnote>
  <w:footnote w:id="1544">
    <w:p w:rsidR="003F128F" w:rsidRPr="006355AF" w:rsidRDefault="003F128F" w:rsidP="00E14A40">
      <w:pPr>
        <w:pStyle w:val="af3"/>
        <w:rPr>
          <w:rFonts w:ascii="Traditional Arabic" w:hAnsi="Traditional Arabic"/>
          <w:sz w:val="32"/>
          <w:szCs w:val="32"/>
        </w:rPr>
      </w:pPr>
      <w:r w:rsidRPr="006355AF">
        <w:rPr>
          <w:rFonts w:ascii="Traditional Arabic" w:hAnsi="Traditional Arabic"/>
          <w:sz w:val="32"/>
          <w:szCs w:val="32"/>
          <w:rtl/>
        </w:rPr>
        <w:t>(</w:t>
      </w:r>
      <w:r w:rsidRPr="006355AF">
        <w:rPr>
          <w:rStyle w:val="ae"/>
          <w:rFonts w:ascii="Traditional Arabic" w:hAnsi="Traditional Arabic"/>
          <w:sz w:val="32"/>
          <w:szCs w:val="32"/>
          <w:vertAlign w:val="baseline"/>
        </w:rPr>
        <w:footnoteRef/>
      </w:r>
      <w:r w:rsidRPr="006355AF">
        <w:rPr>
          <w:rFonts w:ascii="Traditional Arabic" w:hAnsi="Traditional Arabic"/>
          <w:sz w:val="32"/>
          <w:szCs w:val="32"/>
          <w:rtl/>
        </w:rPr>
        <w:t>) انظر: التفسير الوسيط (3/154).</w:t>
      </w:r>
    </w:p>
  </w:footnote>
  <w:footnote w:id="1545">
    <w:p w:rsidR="003F128F" w:rsidRPr="006355AF" w:rsidRDefault="003F128F" w:rsidP="00E14A40">
      <w:pPr>
        <w:pStyle w:val="af3"/>
        <w:rPr>
          <w:rFonts w:ascii="Traditional Arabic" w:hAnsi="Traditional Arabic"/>
          <w:sz w:val="32"/>
          <w:szCs w:val="32"/>
        </w:rPr>
      </w:pPr>
      <w:r w:rsidRPr="006355AF">
        <w:rPr>
          <w:rFonts w:ascii="Traditional Arabic" w:hAnsi="Traditional Arabic"/>
          <w:sz w:val="32"/>
          <w:szCs w:val="32"/>
          <w:rtl/>
        </w:rPr>
        <w:t>(</w:t>
      </w:r>
      <w:r w:rsidRPr="006355AF">
        <w:rPr>
          <w:rStyle w:val="ae"/>
          <w:rFonts w:ascii="Traditional Arabic" w:hAnsi="Traditional Arabic"/>
          <w:sz w:val="32"/>
          <w:szCs w:val="32"/>
          <w:vertAlign w:val="baseline"/>
        </w:rPr>
        <w:footnoteRef/>
      </w:r>
      <w:r w:rsidRPr="006355AF">
        <w:rPr>
          <w:rFonts w:ascii="Traditional Arabic" w:hAnsi="Traditional Arabic"/>
          <w:sz w:val="32"/>
          <w:szCs w:val="32"/>
          <w:rtl/>
        </w:rPr>
        <w:t xml:space="preserve">) انظر: المصدر السابق (3/154). </w:t>
      </w:r>
    </w:p>
  </w:footnote>
  <w:footnote w:id="1546">
    <w:p w:rsidR="003F128F" w:rsidRPr="006355AF" w:rsidRDefault="003F128F" w:rsidP="00154407">
      <w:pPr>
        <w:pStyle w:val="af3"/>
        <w:rPr>
          <w:rFonts w:ascii="Traditional Arabic" w:hAnsi="Traditional Arabic"/>
          <w:sz w:val="32"/>
          <w:szCs w:val="32"/>
        </w:rPr>
      </w:pPr>
      <w:r w:rsidRPr="006355AF">
        <w:rPr>
          <w:rFonts w:ascii="Traditional Arabic" w:hAnsi="Traditional Arabic"/>
          <w:sz w:val="32"/>
          <w:szCs w:val="32"/>
          <w:rtl/>
        </w:rPr>
        <w:t>(</w:t>
      </w:r>
      <w:r w:rsidRPr="006355AF">
        <w:rPr>
          <w:rStyle w:val="ae"/>
          <w:rFonts w:ascii="Traditional Arabic" w:hAnsi="Traditional Arabic"/>
          <w:sz w:val="32"/>
          <w:szCs w:val="32"/>
          <w:vertAlign w:val="baseline"/>
        </w:rPr>
        <w:footnoteRef/>
      </w:r>
      <w:r w:rsidRPr="006355AF">
        <w:rPr>
          <w:rFonts w:ascii="Traditional Arabic" w:hAnsi="Traditional Arabic"/>
          <w:sz w:val="32"/>
          <w:szCs w:val="32"/>
          <w:rtl/>
        </w:rPr>
        <w:t xml:space="preserve">) </w:t>
      </w:r>
      <w:r>
        <w:rPr>
          <w:rFonts w:ascii="Traditional Arabic" w:hAnsi="Traditional Arabic" w:hint="cs"/>
          <w:sz w:val="32"/>
          <w:szCs w:val="32"/>
          <w:rtl/>
        </w:rPr>
        <w:t xml:space="preserve">انظر: </w:t>
      </w:r>
      <w:r w:rsidRPr="006355AF">
        <w:rPr>
          <w:rFonts w:ascii="Traditional Arabic" w:hAnsi="Traditional Arabic"/>
          <w:sz w:val="32"/>
          <w:szCs w:val="32"/>
          <w:rtl/>
        </w:rPr>
        <w:t>مجاز القرآن (</w:t>
      </w:r>
      <w:r>
        <w:rPr>
          <w:rFonts w:ascii="Traditional Arabic" w:hAnsi="Traditional Arabic" w:hint="cs"/>
          <w:sz w:val="32"/>
          <w:szCs w:val="32"/>
          <w:rtl/>
        </w:rPr>
        <w:t>1/</w:t>
      </w:r>
      <w:r w:rsidRPr="006355AF">
        <w:rPr>
          <w:rFonts w:ascii="Traditional Arabic" w:hAnsi="Traditional Arabic"/>
          <w:sz w:val="32"/>
          <w:szCs w:val="32"/>
          <w:rtl/>
        </w:rPr>
        <w:t>40</w:t>
      </w:r>
      <w:r>
        <w:rPr>
          <w:rFonts w:ascii="Traditional Arabic" w:hAnsi="Traditional Arabic" w:hint="cs"/>
          <w:sz w:val="32"/>
          <w:szCs w:val="32"/>
          <w:rtl/>
        </w:rPr>
        <w:t>8</w:t>
      </w:r>
      <w:r w:rsidRPr="006355AF">
        <w:rPr>
          <w:rFonts w:ascii="Traditional Arabic" w:hAnsi="Traditional Arabic"/>
          <w:sz w:val="32"/>
          <w:szCs w:val="32"/>
          <w:rtl/>
        </w:rPr>
        <w:t>).</w:t>
      </w:r>
    </w:p>
  </w:footnote>
  <w:footnote w:id="1547">
    <w:p w:rsidR="003F128F" w:rsidRPr="006355AF" w:rsidRDefault="003F128F" w:rsidP="00E14A40">
      <w:pPr>
        <w:pStyle w:val="af3"/>
        <w:rPr>
          <w:rFonts w:ascii="Traditional Arabic" w:hAnsi="Traditional Arabic"/>
          <w:sz w:val="32"/>
          <w:szCs w:val="32"/>
        </w:rPr>
      </w:pPr>
      <w:r w:rsidRPr="006355AF">
        <w:rPr>
          <w:rFonts w:ascii="Traditional Arabic" w:hAnsi="Traditional Arabic"/>
          <w:sz w:val="32"/>
          <w:szCs w:val="32"/>
          <w:rtl/>
        </w:rPr>
        <w:t>(</w:t>
      </w:r>
      <w:r w:rsidRPr="006355AF">
        <w:rPr>
          <w:rStyle w:val="ae"/>
          <w:rFonts w:ascii="Traditional Arabic" w:hAnsi="Traditional Arabic"/>
          <w:sz w:val="32"/>
          <w:szCs w:val="32"/>
          <w:vertAlign w:val="baseline"/>
        </w:rPr>
        <w:footnoteRef/>
      </w:r>
      <w:r>
        <w:rPr>
          <w:rFonts w:ascii="Traditional Arabic" w:hAnsi="Traditional Arabic"/>
          <w:sz w:val="32"/>
          <w:szCs w:val="32"/>
          <w:rtl/>
        </w:rPr>
        <w:t>)</w:t>
      </w:r>
      <w:r w:rsidRPr="006355AF">
        <w:rPr>
          <w:rFonts w:ascii="Traditional Arabic" w:hAnsi="Traditional Arabic"/>
          <w:sz w:val="32"/>
          <w:szCs w:val="32"/>
          <w:rtl/>
        </w:rPr>
        <w:t xml:space="preserve"> </w:t>
      </w:r>
      <w:r w:rsidRPr="00036021">
        <w:rPr>
          <w:rFonts w:ascii="Traditional Arabic" w:hAnsi="Traditional Arabic"/>
          <w:sz w:val="32"/>
          <w:szCs w:val="32"/>
          <w:rtl/>
        </w:rPr>
        <w:t>انظر: تفسير مقاتل (2/59</w:t>
      </w:r>
      <w:r>
        <w:rPr>
          <w:rFonts w:ascii="Traditional Arabic" w:hAnsi="Traditional Arabic" w:hint="cs"/>
          <w:sz w:val="32"/>
          <w:szCs w:val="32"/>
          <w:rtl/>
        </w:rPr>
        <w:t>1</w:t>
      </w:r>
      <w:r w:rsidRPr="00036021">
        <w:rPr>
          <w:rFonts w:ascii="Traditional Arabic" w:hAnsi="Traditional Arabic"/>
          <w:sz w:val="32"/>
          <w:szCs w:val="32"/>
          <w:rtl/>
        </w:rPr>
        <w:t>), تفسير الطبري (18/</w:t>
      </w:r>
      <w:r>
        <w:rPr>
          <w:rFonts w:ascii="Traditional Arabic" w:hAnsi="Traditional Arabic" w:hint="cs"/>
          <w:sz w:val="32"/>
          <w:szCs w:val="32"/>
          <w:rtl/>
        </w:rPr>
        <w:t>51</w:t>
      </w:r>
      <w:r w:rsidRPr="00036021">
        <w:rPr>
          <w:rFonts w:ascii="Traditional Arabic" w:hAnsi="Traditional Arabic"/>
          <w:sz w:val="32"/>
          <w:szCs w:val="32"/>
          <w:rtl/>
        </w:rPr>
        <w:t>).</w:t>
      </w:r>
    </w:p>
  </w:footnote>
  <w:footnote w:id="1548">
    <w:p w:rsidR="003F128F" w:rsidRPr="006355AF" w:rsidRDefault="003F128F" w:rsidP="00E14A40">
      <w:pPr>
        <w:pStyle w:val="af3"/>
        <w:rPr>
          <w:rFonts w:ascii="Traditional Arabic" w:hAnsi="Traditional Arabic"/>
          <w:sz w:val="32"/>
          <w:szCs w:val="32"/>
        </w:rPr>
      </w:pPr>
      <w:r w:rsidRPr="006355AF">
        <w:rPr>
          <w:rFonts w:ascii="Traditional Arabic" w:hAnsi="Traditional Arabic"/>
          <w:sz w:val="32"/>
          <w:szCs w:val="32"/>
          <w:rtl/>
        </w:rPr>
        <w:t>(</w:t>
      </w:r>
      <w:r w:rsidRPr="006355AF">
        <w:rPr>
          <w:rStyle w:val="ae"/>
          <w:rFonts w:ascii="Traditional Arabic" w:hAnsi="Traditional Arabic"/>
          <w:sz w:val="32"/>
          <w:szCs w:val="32"/>
          <w:vertAlign w:val="baseline"/>
        </w:rPr>
        <w:footnoteRef/>
      </w:r>
      <w:r w:rsidRPr="006355AF">
        <w:rPr>
          <w:rFonts w:ascii="Traditional Arabic" w:hAnsi="Traditional Arabic"/>
          <w:sz w:val="32"/>
          <w:szCs w:val="32"/>
          <w:rtl/>
        </w:rPr>
        <w:t>) سورة البقرة, الآية</w:t>
      </w:r>
      <w:r>
        <w:rPr>
          <w:rFonts w:ascii="Traditional Arabic" w:hAnsi="Traditional Arabic" w:hint="cs"/>
          <w:sz w:val="32"/>
          <w:szCs w:val="32"/>
          <w:rtl/>
        </w:rPr>
        <w:t>:</w:t>
      </w:r>
      <w:r w:rsidRPr="006355AF">
        <w:rPr>
          <w:rFonts w:ascii="Traditional Arabic" w:hAnsi="Traditional Arabic"/>
          <w:sz w:val="32"/>
          <w:szCs w:val="32"/>
          <w:rtl/>
        </w:rPr>
        <w:t xml:space="preserve"> (114) انظر: زاد المسير (</w:t>
      </w:r>
      <w:r>
        <w:rPr>
          <w:rFonts w:ascii="Traditional Arabic" w:hAnsi="Traditional Arabic" w:hint="cs"/>
          <w:sz w:val="32"/>
          <w:szCs w:val="32"/>
          <w:rtl/>
        </w:rPr>
        <w:t>1/133</w:t>
      </w:r>
      <w:r w:rsidRPr="006355AF">
        <w:rPr>
          <w:rFonts w:ascii="Traditional Arabic" w:hAnsi="Traditional Arabic"/>
          <w:sz w:val="32"/>
          <w:szCs w:val="32"/>
          <w:rtl/>
        </w:rPr>
        <w:t xml:space="preserve">).  </w:t>
      </w:r>
    </w:p>
  </w:footnote>
  <w:footnote w:id="1549">
    <w:p w:rsidR="003F128F" w:rsidRPr="008143E7" w:rsidRDefault="003F128F" w:rsidP="00E14A40">
      <w:pPr>
        <w:pStyle w:val="af3"/>
        <w:rPr>
          <w:rFonts w:ascii="Traditional Arabic" w:hAnsi="Traditional Arabic"/>
          <w:sz w:val="32"/>
          <w:szCs w:val="32"/>
        </w:rPr>
      </w:pPr>
      <w:r w:rsidRPr="008143E7">
        <w:rPr>
          <w:rFonts w:ascii="Traditional Arabic" w:hAnsi="Traditional Arabic"/>
          <w:sz w:val="32"/>
          <w:szCs w:val="32"/>
          <w:rtl/>
        </w:rPr>
        <w:t>(</w:t>
      </w:r>
      <w:r w:rsidRPr="008143E7">
        <w:rPr>
          <w:rStyle w:val="ae"/>
          <w:rFonts w:ascii="Traditional Arabic" w:hAnsi="Traditional Arabic"/>
          <w:sz w:val="32"/>
          <w:szCs w:val="32"/>
          <w:vertAlign w:val="baseline"/>
        </w:rPr>
        <w:footnoteRef/>
      </w:r>
      <w:r w:rsidRPr="008143E7">
        <w:rPr>
          <w:rFonts w:ascii="Traditional Arabic" w:hAnsi="Traditional Arabic"/>
          <w:sz w:val="32"/>
          <w:szCs w:val="32"/>
          <w:rtl/>
        </w:rPr>
        <w:t>) انظر: تفسير مقاتل (2/591), تفسير الطبري (18/51).</w:t>
      </w:r>
    </w:p>
  </w:footnote>
  <w:footnote w:id="1550">
    <w:p w:rsidR="003F128F" w:rsidRPr="008143E7" w:rsidRDefault="003F128F" w:rsidP="00E14A40">
      <w:pPr>
        <w:pStyle w:val="af3"/>
        <w:rPr>
          <w:rFonts w:ascii="Traditional Arabic" w:hAnsi="Traditional Arabic"/>
          <w:sz w:val="32"/>
          <w:szCs w:val="32"/>
        </w:rPr>
      </w:pPr>
      <w:r w:rsidRPr="008143E7">
        <w:rPr>
          <w:rFonts w:ascii="Traditional Arabic" w:hAnsi="Traditional Arabic"/>
          <w:sz w:val="32"/>
          <w:szCs w:val="32"/>
          <w:rtl/>
        </w:rPr>
        <w:t>(</w:t>
      </w:r>
      <w:r w:rsidRPr="008143E7">
        <w:rPr>
          <w:rStyle w:val="ae"/>
          <w:rFonts w:ascii="Traditional Arabic" w:hAnsi="Traditional Arabic"/>
          <w:sz w:val="32"/>
          <w:szCs w:val="32"/>
          <w:vertAlign w:val="baseline"/>
        </w:rPr>
        <w:footnoteRef/>
      </w:r>
      <w:r w:rsidRPr="008143E7">
        <w:rPr>
          <w:rFonts w:ascii="Traditional Arabic" w:hAnsi="Traditional Arabic"/>
          <w:sz w:val="32"/>
          <w:szCs w:val="32"/>
          <w:rtl/>
        </w:rPr>
        <w:t>) سورة الأنعام, الآية</w:t>
      </w:r>
      <w:r>
        <w:rPr>
          <w:rFonts w:ascii="Traditional Arabic" w:hAnsi="Traditional Arabic" w:hint="cs"/>
          <w:sz w:val="32"/>
          <w:szCs w:val="32"/>
          <w:rtl/>
        </w:rPr>
        <w:t>:</w:t>
      </w:r>
      <w:r w:rsidRPr="008143E7">
        <w:rPr>
          <w:rFonts w:ascii="Traditional Arabic" w:hAnsi="Traditional Arabic"/>
          <w:sz w:val="32"/>
          <w:szCs w:val="32"/>
          <w:rtl/>
        </w:rPr>
        <w:t xml:space="preserve"> (21). انظر: زاد المسير (3/15).</w:t>
      </w:r>
    </w:p>
  </w:footnote>
  <w:footnote w:id="1551">
    <w:p w:rsidR="003F128F" w:rsidRPr="008143E7" w:rsidRDefault="003F128F" w:rsidP="00E14A40">
      <w:pPr>
        <w:pStyle w:val="af3"/>
        <w:rPr>
          <w:rFonts w:ascii="Traditional Arabic" w:hAnsi="Traditional Arabic"/>
          <w:sz w:val="32"/>
          <w:szCs w:val="32"/>
        </w:rPr>
      </w:pPr>
      <w:r w:rsidRPr="008143E7">
        <w:rPr>
          <w:rFonts w:ascii="Traditional Arabic" w:hAnsi="Traditional Arabic"/>
          <w:sz w:val="32"/>
          <w:szCs w:val="32"/>
          <w:rtl/>
        </w:rPr>
        <w:t>(</w:t>
      </w:r>
      <w:r w:rsidRPr="008143E7">
        <w:rPr>
          <w:rStyle w:val="ae"/>
          <w:rFonts w:ascii="Traditional Arabic" w:hAnsi="Traditional Arabic"/>
          <w:sz w:val="32"/>
          <w:szCs w:val="32"/>
          <w:vertAlign w:val="baseline"/>
        </w:rPr>
        <w:footnoteRef/>
      </w:r>
      <w:r w:rsidRPr="008143E7">
        <w:rPr>
          <w:rFonts w:ascii="Traditional Arabic" w:hAnsi="Traditional Arabic"/>
          <w:sz w:val="32"/>
          <w:szCs w:val="32"/>
          <w:rtl/>
        </w:rPr>
        <w:t>) انظر: تفسير مقاتل (2/591), تفسير الطبري (18/52)</w:t>
      </w:r>
      <w:r>
        <w:rPr>
          <w:rFonts w:ascii="Traditional Arabic" w:hAnsi="Traditional Arabic" w:hint="cs"/>
          <w:sz w:val="32"/>
          <w:szCs w:val="32"/>
          <w:rtl/>
        </w:rPr>
        <w:t>.</w:t>
      </w:r>
    </w:p>
  </w:footnote>
  <w:footnote w:id="1552">
    <w:p w:rsidR="003F128F" w:rsidRPr="008143E7" w:rsidRDefault="003F128F" w:rsidP="00E14A40">
      <w:pPr>
        <w:pStyle w:val="af3"/>
        <w:rPr>
          <w:rFonts w:ascii="Traditional Arabic" w:hAnsi="Traditional Arabic"/>
          <w:color w:val="auto"/>
          <w:sz w:val="32"/>
          <w:szCs w:val="32"/>
        </w:rPr>
      </w:pPr>
      <w:r w:rsidRPr="008143E7">
        <w:rPr>
          <w:rFonts w:ascii="Traditional Arabic" w:hAnsi="Traditional Arabic"/>
          <w:color w:val="auto"/>
          <w:sz w:val="32"/>
          <w:szCs w:val="32"/>
          <w:rtl/>
        </w:rPr>
        <w:t>(</w:t>
      </w:r>
      <w:r w:rsidRPr="008143E7">
        <w:rPr>
          <w:rStyle w:val="ae"/>
          <w:rFonts w:ascii="Traditional Arabic" w:hAnsi="Traditional Arabic"/>
          <w:color w:val="auto"/>
          <w:sz w:val="32"/>
          <w:szCs w:val="32"/>
          <w:vertAlign w:val="baseline"/>
        </w:rPr>
        <w:footnoteRef/>
      </w:r>
      <w:r w:rsidRPr="008143E7">
        <w:rPr>
          <w:rFonts w:ascii="Traditional Arabic" w:hAnsi="Traditional Arabic"/>
          <w:color w:val="auto"/>
          <w:sz w:val="32"/>
          <w:szCs w:val="32"/>
          <w:rtl/>
        </w:rPr>
        <w:t xml:space="preserve">) </w:t>
      </w:r>
      <w:r w:rsidRPr="008143E7">
        <w:rPr>
          <w:rFonts w:ascii="Traditional Arabic" w:hAnsi="Traditional Arabic"/>
          <w:color w:val="auto"/>
          <w:sz w:val="32"/>
          <w:szCs w:val="32"/>
          <w:rtl/>
          <w:lang w:eastAsia="en-US"/>
        </w:rPr>
        <w:t xml:space="preserve">البيت: من شواهد الفراء في </w:t>
      </w:r>
      <w:r>
        <w:rPr>
          <w:rFonts w:ascii="Traditional Arabic" w:hAnsi="Traditional Arabic"/>
          <w:color w:val="auto"/>
          <w:sz w:val="32"/>
          <w:szCs w:val="32"/>
          <w:rtl/>
        </w:rPr>
        <w:t>معاني القرآن (2/148), و</w:t>
      </w:r>
      <w:r>
        <w:rPr>
          <w:rFonts w:ascii="Traditional Arabic" w:hAnsi="Traditional Arabic" w:hint="cs"/>
          <w:color w:val="auto"/>
          <w:sz w:val="32"/>
          <w:szCs w:val="32"/>
          <w:rtl/>
        </w:rPr>
        <w:t>انظر:</w:t>
      </w:r>
      <w:r w:rsidRPr="008143E7">
        <w:rPr>
          <w:rFonts w:ascii="Traditional Arabic" w:hAnsi="Traditional Arabic"/>
          <w:color w:val="auto"/>
          <w:sz w:val="32"/>
          <w:szCs w:val="32"/>
          <w:rtl/>
        </w:rPr>
        <w:t xml:space="preserve"> تهذيب</w:t>
      </w:r>
      <w:r>
        <w:rPr>
          <w:rFonts w:ascii="Traditional Arabic" w:hAnsi="Traditional Arabic"/>
          <w:color w:val="auto"/>
          <w:sz w:val="32"/>
          <w:szCs w:val="32"/>
          <w:rtl/>
        </w:rPr>
        <w:t xml:space="preserve"> اللغة (15/318) مادة (وَأَلَ), </w:t>
      </w:r>
      <w:r w:rsidRPr="008143E7">
        <w:rPr>
          <w:rFonts w:ascii="Traditional Arabic" w:hAnsi="Traditional Arabic"/>
          <w:color w:val="auto"/>
          <w:sz w:val="32"/>
          <w:szCs w:val="32"/>
          <w:rtl/>
        </w:rPr>
        <w:t xml:space="preserve">لسان العرب (11/715) مادة (وَأَلَ).  </w:t>
      </w:r>
    </w:p>
  </w:footnote>
  <w:footnote w:id="1553">
    <w:p w:rsidR="003F128F" w:rsidRPr="008143E7" w:rsidRDefault="003F128F" w:rsidP="00E14A40">
      <w:pPr>
        <w:pStyle w:val="af3"/>
        <w:rPr>
          <w:rFonts w:ascii="Traditional Arabic" w:hAnsi="Traditional Arabic"/>
          <w:color w:val="auto"/>
          <w:sz w:val="32"/>
          <w:szCs w:val="32"/>
        </w:rPr>
      </w:pPr>
      <w:r w:rsidRPr="008143E7">
        <w:rPr>
          <w:rFonts w:ascii="Traditional Arabic" w:hAnsi="Traditional Arabic"/>
          <w:color w:val="auto"/>
          <w:sz w:val="32"/>
          <w:szCs w:val="32"/>
          <w:rtl/>
        </w:rPr>
        <w:t>(</w:t>
      </w:r>
      <w:r w:rsidRPr="008143E7">
        <w:rPr>
          <w:rStyle w:val="ae"/>
          <w:rFonts w:ascii="Traditional Arabic" w:hAnsi="Traditional Arabic"/>
          <w:color w:val="auto"/>
          <w:sz w:val="32"/>
          <w:szCs w:val="32"/>
          <w:vertAlign w:val="baseline"/>
        </w:rPr>
        <w:footnoteRef/>
      </w:r>
      <w:r w:rsidRPr="008143E7">
        <w:rPr>
          <w:rFonts w:ascii="Traditional Arabic" w:hAnsi="Traditional Arabic"/>
          <w:color w:val="auto"/>
          <w:sz w:val="32"/>
          <w:szCs w:val="32"/>
          <w:rtl/>
        </w:rPr>
        <w:t xml:space="preserve">) الخَلْسُ: الأَخذ فِي نُهْزَةٍ ومُخاتلة. انظر: لسان العرب (6/65) مادة (خلس). </w:t>
      </w:r>
    </w:p>
  </w:footnote>
  <w:footnote w:id="1554">
    <w:p w:rsidR="003F128F" w:rsidRPr="008143E7" w:rsidRDefault="003F128F" w:rsidP="00E14A40">
      <w:pPr>
        <w:pStyle w:val="af3"/>
        <w:rPr>
          <w:rFonts w:ascii="Traditional Arabic" w:hAnsi="Traditional Arabic"/>
          <w:color w:val="auto"/>
          <w:sz w:val="32"/>
          <w:szCs w:val="32"/>
        </w:rPr>
      </w:pPr>
      <w:r w:rsidRPr="008143E7">
        <w:rPr>
          <w:rFonts w:ascii="Traditional Arabic" w:hAnsi="Traditional Arabic"/>
          <w:color w:val="auto"/>
          <w:sz w:val="32"/>
          <w:szCs w:val="32"/>
          <w:rtl/>
        </w:rPr>
        <w:t>(</w:t>
      </w:r>
      <w:r w:rsidRPr="008143E7">
        <w:rPr>
          <w:rStyle w:val="ae"/>
          <w:rFonts w:ascii="Traditional Arabic" w:hAnsi="Traditional Arabic"/>
          <w:color w:val="auto"/>
          <w:sz w:val="32"/>
          <w:szCs w:val="32"/>
          <w:vertAlign w:val="baseline"/>
        </w:rPr>
        <w:footnoteRef/>
      </w:r>
      <w:r w:rsidRPr="008143E7">
        <w:rPr>
          <w:rFonts w:ascii="Traditional Arabic" w:hAnsi="Traditional Arabic"/>
          <w:color w:val="auto"/>
          <w:sz w:val="32"/>
          <w:szCs w:val="32"/>
          <w:rtl/>
        </w:rPr>
        <w:t>) البيت: من لامية الأعشى ميمون بن قيس في ديوانه (ص59).</w:t>
      </w:r>
    </w:p>
  </w:footnote>
  <w:footnote w:id="1555">
    <w:p w:rsidR="003F128F" w:rsidRPr="008143E7" w:rsidRDefault="003F128F" w:rsidP="00154407">
      <w:pPr>
        <w:pStyle w:val="af3"/>
        <w:rPr>
          <w:rFonts w:ascii="Traditional Arabic" w:hAnsi="Traditional Arabic"/>
          <w:sz w:val="32"/>
          <w:szCs w:val="32"/>
        </w:rPr>
      </w:pPr>
      <w:r w:rsidRPr="008143E7">
        <w:rPr>
          <w:rFonts w:ascii="Traditional Arabic" w:hAnsi="Traditional Arabic"/>
          <w:color w:val="auto"/>
          <w:sz w:val="32"/>
          <w:szCs w:val="32"/>
          <w:rtl/>
        </w:rPr>
        <w:t>(</w:t>
      </w:r>
      <w:r w:rsidRPr="008143E7">
        <w:rPr>
          <w:rStyle w:val="ae"/>
          <w:rFonts w:ascii="Traditional Arabic" w:hAnsi="Traditional Arabic"/>
          <w:color w:val="auto"/>
          <w:sz w:val="32"/>
          <w:szCs w:val="32"/>
          <w:vertAlign w:val="baseline"/>
        </w:rPr>
        <w:footnoteRef/>
      </w:r>
      <w:r w:rsidRPr="008143E7">
        <w:rPr>
          <w:rFonts w:ascii="Traditional Arabic" w:hAnsi="Traditional Arabic"/>
          <w:color w:val="auto"/>
          <w:sz w:val="32"/>
          <w:szCs w:val="32"/>
          <w:rtl/>
        </w:rPr>
        <w:t>) انظر: مجاز القرآن (</w:t>
      </w:r>
      <w:r>
        <w:rPr>
          <w:rFonts w:ascii="Traditional Arabic" w:hAnsi="Traditional Arabic" w:hint="cs"/>
          <w:color w:val="auto"/>
          <w:sz w:val="32"/>
          <w:szCs w:val="32"/>
          <w:rtl/>
        </w:rPr>
        <w:t>1/</w:t>
      </w:r>
      <w:r w:rsidRPr="008143E7">
        <w:rPr>
          <w:rFonts w:ascii="Traditional Arabic" w:hAnsi="Traditional Arabic"/>
          <w:color w:val="auto"/>
          <w:sz w:val="32"/>
          <w:szCs w:val="32"/>
          <w:rtl/>
        </w:rPr>
        <w:t xml:space="preserve">408). </w:t>
      </w:r>
    </w:p>
  </w:footnote>
  <w:footnote w:id="1556">
    <w:p w:rsidR="003F128F" w:rsidRPr="008A2D02" w:rsidRDefault="003F128F" w:rsidP="00E14A40">
      <w:pPr>
        <w:pStyle w:val="af3"/>
        <w:rPr>
          <w:rFonts w:ascii="Traditional Arabic" w:hAnsi="Traditional Arabic"/>
          <w:sz w:val="32"/>
          <w:szCs w:val="32"/>
        </w:rPr>
      </w:pPr>
      <w:r w:rsidRPr="008A2D02">
        <w:rPr>
          <w:rFonts w:ascii="Traditional Arabic" w:hAnsi="Traditional Arabic"/>
          <w:sz w:val="32"/>
          <w:szCs w:val="32"/>
          <w:rtl/>
        </w:rPr>
        <w:t>(</w:t>
      </w:r>
      <w:r w:rsidRPr="008A2D02">
        <w:rPr>
          <w:rStyle w:val="ae"/>
          <w:rFonts w:ascii="Traditional Arabic" w:hAnsi="Traditional Arabic"/>
          <w:sz w:val="32"/>
          <w:szCs w:val="32"/>
          <w:vertAlign w:val="baseline"/>
        </w:rPr>
        <w:footnoteRef/>
      </w:r>
      <w:r w:rsidRPr="008A2D02">
        <w:rPr>
          <w:rFonts w:ascii="Traditional Arabic" w:hAnsi="Traditional Arabic"/>
          <w:sz w:val="32"/>
          <w:szCs w:val="32"/>
          <w:rtl/>
        </w:rPr>
        <w:t xml:space="preserve">) انظر: غريب القرآن (ص269).   </w:t>
      </w:r>
    </w:p>
  </w:footnote>
  <w:footnote w:id="1557">
    <w:p w:rsidR="003F128F" w:rsidRPr="008A2D02" w:rsidRDefault="003F128F" w:rsidP="00E14A40">
      <w:pPr>
        <w:pStyle w:val="af3"/>
        <w:rPr>
          <w:rFonts w:ascii="Tahoma" w:hAnsi="Tahoma"/>
        </w:rPr>
      </w:pPr>
      <w:r w:rsidRPr="008A2D02">
        <w:rPr>
          <w:rFonts w:ascii="Traditional Arabic" w:hAnsi="Traditional Arabic"/>
          <w:sz w:val="32"/>
          <w:szCs w:val="32"/>
          <w:rtl/>
        </w:rPr>
        <w:t>(</w:t>
      </w:r>
      <w:r w:rsidRPr="008A2D02">
        <w:rPr>
          <w:rStyle w:val="ae"/>
          <w:rFonts w:ascii="Traditional Arabic" w:hAnsi="Traditional Arabic"/>
          <w:sz w:val="32"/>
          <w:szCs w:val="32"/>
          <w:vertAlign w:val="baseline"/>
        </w:rPr>
        <w:footnoteRef/>
      </w:r>
      <w:r w:rsidRPr="008A2D02">
        <w:rPr>
          <w:rFonts w:ascii="Traditional Arabic" w:hAnsi="Traditional Arabic"/>
          <w:sz w:val="32"/>
          <w:szCs w:val="32"/>
          <w:rtl/>
        </w:rPr>
        <w:t>) في (ك): [أحدهما: أنّ الرّحمة ها هنا بمعنى النعمة].</w:t>
      </w:r>
    </w:p>
  </w:footnote>
  <w:footnote w:id="1558">
    <w:p w:rsidR="003F128F" w:rsidRPr="008143E7" w:rsidRDefault="003F128F" w:rsidP="00E14A40">
      <w:pPr>
        <w:pStyle w:val="af3"/>
        <w:rPr>
          <w:rFonts w:ascii="Traditional Arabic" w:hAnsi="Traditional Arabic"/>
          <w:sz w:val="32"/>
          <w:szCs w:val="32"/>
        </w:rPr>
      </w:pPr>
      <w:r w:rsidRPr="008143E7">
        <w:rPr>
          <w:rFonts w:ascii="Traditional Arabic" w:hAnsi="Traditional Arabic"/>
          <w:sz w:val="32"/>
          <w:szCs w:val="32"/>
          <w:rtl/>
        </w:rPr>
        <w:t>(</w:t>
      </w:r>
      <w:r w:rsidRPr="008143E7">
        <w:rPr>
          <w:rStyle w:val="ae"/>
          <w:rFonts w:ascii="Traditional Arabic" w:hAnsi="Traditional Arabic"/>
          <w:sz w:val="32"/>
          <w:szCs w:val="32"/>
          <w:vertAlign w:val="baseline"/>
        </w:rPr>
        <w:footnoteRef/>
      </w:r>
      <w:r w:rsidRPr="008143E7">
        <w:rPr>
          <w:rFonts w:ascii="Traditional Arabic" w:hAnsi="Traditional Arabic"/>
          <w:sz w:val="32"/>
          <w:szCs w:val="32"/>
          <w:rtl/>
        </w:rPr>
        <w:t xml:space="preserve">) انظر: النكت والعون (3/320), الجامع للقرطبي (13/313). </w:t>
      </w:r>
    </w:p>
  </w:footnote>
  <w:footnote w:id="1559">
    <w:p w:rsidR="003F128F" w:rsidRPr="008143E7" w:rsidRDefault="003F128F" w:rsidP="00E14A40">
      <w:pPr>
        <w:pStyle w:val="af3"/>
        <w:rPr>
          <w:rFonts w:ascii="Traditional Arabic" w:hAnsi="Traditional Arabic"/>
          <w:sz w:val="32"/>
          <w:szCs w:val="32"/>
        </w:rPr>
      </w:pPr>
      <w:r w:rsidRPr="008143E7">
        <w:rPr>
          <w:rFonts w:ascii="Traditional Arabic" w:hAnsi="Traditional Arabic"/>
          <w:sz w:val="32"/>
          <w:szCs w:val="32"/>
          <w:rtl/>
        </w:rPr>
        <w:t>(</w:t>
      </w:r>
      <w:r w:rsidRPr="008143E7">
        <w:rPr>
          <w:rStyle w:val="ae"/>
          <w:rFonts w:ascii="Traditional Arabic" w:hAnsi="Traditional Arabic"/>
          <w:sz w:val="32"/>
          <w:szCs w:val="32"/>
          <w:vertAlign w:val="baseline"/>
        </w:rPr>
        <w:footnoteRef/>
      </w:r>
      <w:r w:rsidRPr="008143E7">
        <w:rPr>
          <w:rFonts w:ascii="Traditional Arabic" w:hAnsi="Traditional Arabic"/>
          <w:sz w:val="32"/>
          <w:szCs w:val="32"/>
          <w:rtl/>
        </w:rPr>
        <w:t xml:space="preserve">) </w:t>
      </w:r>
      <w:r>
        <w:rPr>
          <w:rFonts w:ascii="Traditional Arabic" w:hAnsi="Traditional Arabic" w:hint="cs"/>
          <w:sz w:val="32"/>
          <w:szCs w:val="32"/>
          <w:rtl/>
        </w:rPr>
        <w:t xml:space="preserve">قوله: </w:t>
      </w:r>
      <w:r w:rsidRPr="008A2D02">
        <w:rPr>
          <w:rFonts w:ascii="Traditional Arabic" w:hAnsi="Traditional Arabic" w:hint="cs"/>
          <w:sz w:val="32"/>
          <w:szCs w:val="32"/>
          <w:rtl/>
        </w:rPr>
        <w:t>[</w:t>
      </w:r>
      <w:r w:rsidRPr="008A2D02">
        <w:rPr>
          <w:rFonts w:ascii="Traditional Arabic" w:hAnsi="Traditional Arabic"/>
          <w:sz w:val="32"/>
          <w:szCs w:val="32"/>
          <w:rtl/>
        </w:rPr>
        <w:t>يريد: التي قصصنا عليكَ ذِكْرها، والمراد: أهلها، ولذلك قال</w:t>
      </w:r>
      <w:r w:rsidRPr="008A2D02">
        <w:rPr>
          <w:rFonts w:ascii="Traditional Arabic" w:hAnsi="Traditional Arabic" w:hint="cs"/>
          <w:sz w:val="32"/>
          <w:szCs w:val="32"/>
          <w:rtl/>
        </w:rPr>
        <w:t>]</w:t>
      </w:r>
      <w:r w:rsidRPr="008A2D02">
        <w:rPr>
          <w:rFonts w:ascii="Traditional Arabic" w:hAnsi="Traditional Arabic"/>
          <w:sz w:val="32"/>
          <w:szCs w:val="32"/>
          <w:rtl/>
        </w:rPr>
        <w:t xml:space="preserve"> </w:t>
      </w:r>
      <w:r>
        <w:rPr>
          <w:rFonts w:ascii="Traditional Arabic" w:hAnsi="Traditional Arabic" w:hint="cs"/>
          <w:sz w:val="32"/>
          <w:szCs w:val="32"/>
          <w:rtl/>
        </w:rPr>
        <w:t xml:space="preserve">ليس في </w:t>
      </w:r>
      <w:r w:rsidRPr="008143E7">
        <w:rPr>
          <w:rFonts w:ascii="Traditional Arabic" w:hAnsi="Traditional Arabic"/>
          <w:sz w:val="32"/>
          <w:szCs w:val="32"/>
          <w:rtl/>
        </w:rPr>
        <w:t>(ك).</w:t>
      </w:r>
    </w:p>
  </w:footnote>
  <w:footnote w:id="1560">
    <w:p w:rsidR="003F128F" w:rsidRPr="008143E7" w:rsidRDefault="003F128F" w:rsidP="00E14A40">
      <w:pPr>
        <w:pStyle w:val="af3"/>
        <w:rPr>
          <w:rFonts w:ascii="Traditional Arabic" w:hAnsi="Traditional Arabic"/>
          <w:sz w:val="32"/>
          <w:szCs w:val="32"/>
        </w:rPr>
      </w:pPr>
      <w:r w:rsidRPr="008143E7">
        <w:rPr>
          <w:rFonts w:ascii="Traditional Arabic" w:hAnsi="Traditional Arabic"/>
          <w:sz w:val="32"/>
          <w:szCs w:val="32"/>
          <w:rtl/>
        </w:rPr>
        <w:t>(</w:t>
      </w:r>
      <w:r w:rsidRPr="008143E7">
        <w:rPr>
          <w:rStyle w:val="ae"/>
          <w:rFonts w:ascii="Traditional Arabic" w:hAnsi="Traditional Arabic"/>
          <w:sz w:val="32"/>
          <w:szCs w:val="32"/>
          <w:vertAlign w:val="baseline"/>
        </w:rPr>
        <w:footnoteRef/>
      </w:r>
      <w:r w:rsidRPr="008143E7">
        <w:rPr>
          <w:rFonts w:ascii="Traditional Arabic" w:hAnsi="Traditional Arabic"/>
          <w:sz w:val="32"/>
          <w:szCs w:val="32"/>
          <w:rtl/>
        </w:rPr>
        <w:t xml:space="preserve">) في (ك): [قوم صالح، ولوط، وشعيب]. </w:t>
      </w:r>
    </w:p>
  </w:footnote>
  <w:footnote w:id="1561">
    <w:p w:rsidR="003F128F" w:rsidRPr="008143E7" w:rsidRDefault="003F128F" w:rsidP="00E14A40">
      <w:pPr>
        <w:pStyle w:val="af3"/>
        <w:rPr>
          <w:rFonts w:ascii="Traditional Arabic" w:hAnsi="Traditional Arabic"/>
          <w:sz w:val="32"/>
          <w:szCs w:val="32"/>
        </w:rPr>
      </w:pPr>
      <w:r w:rsidRPr="008143E7">
        <w:rPr>
          <w:rFonts w:ascii="Traditional Arabic" w:hAnsi="Traditional Arabic"/>
          <w:sz w:val="32"/>
          <w:szCs w:val="32"/>
          <w:rtl/>
        </w:rPr>
        <w:t>(</w:t>
      </w:r>
      <w:r w:rsidRPr="008143E7">
        <w:rPr>
          <w:rStyle w:val="ae"/>
          <w:rFonts w:ascii="Traditional Arabic" w:hAnsi="Traditional Arabic"/>
          <w:sz w:val="32"/>
          <w:szCs w:val="32"/>
          <w:vertAlign w:val="baseline"/>
        </w:rPr>
        <w:footnoteRef/>
      </w:r>
      <w:r w:rsidRPr="008143E7">
        <w:rPr>
          <w:rFonts w:ascii="Traditional Arabic" w:hAnsi="Traditional Arabic"/>
          <w:sz w:val="32"/>
          <w:szCs w:val="32"/>
          <w:rtl/>
        </w:rPr>
        <w:t xml:space="preserve">) انظر: معاني القرآن وإعرابه (3/297), معالم التنزيل (5/183).  </w:t>
      </w:r>
    </w:p>
  </w:footnote>
  <w:footnote w:id="1562">
    <w:p w:rsidR="003F128F" w:rsidRPr="008143E7" w:rsidRDefault="003F128F" w:rsidP="00E14A40">
      <w:pPr>
        <w:pStyle w:val="af3"/>
        <w:rPr>
          <w:rFonts w:ascii="Traditional Arabic" w:hAnsi="Traditional Arabic"/>
          <w:sz w:val="32"/>
          <w:szCs w:val="32"/>
        </w:rPr>
      </w:pPr>
      <w:r w:rsidRPr="008143E7">
        <w:rPr>
          <w:rFonts w:ascii="Traditional Arabic" w:hAnsi="Traditional Arabic"/>
          <w:sz w:val="32"/>
          <w:szCs w:val="32"/>
          <w:rtl/>
        </w:rPr>
        <w:t>(</w:t>
      </w:r>
      <w:r w:rsidRPr="008143E7">
        <w:rPr>
          <w:rStyle w:val="ae"/>
          <w:rFonts w:ascii="Traditional Arabic" w:hAnsi="Traditional Arabic"/>
          <w:sz w:val="32"/>
          <w:szCs w:val="32"/>
          <w:vertAlign w:val="baseline"/>
        </w:rPr>
        <w:footnoteRef/>
      </w:r>
      <w:r w:rsidRPr="008143E7">
        <w:rPr>
          <w:rFonts w:ascii="Traditional Arabic" w:hAnsi="Traditional Arabic"/>
          <w:sz w:val="32"/>
          <w:szCs w:val="32"/>
          <w:rtl/>
        </w:rPr>
        <w:t>) بحثت عنه فلم أجده.</w:t>
      </w:r>
    </w:p>
  </w:footnote>
  <w:footnote w:id="1563">
    <w:p w:rsidR="003F128F" w:rsidRPr="008143E7" w:rsidRDefault="003F128F" w:rsidP="00E14A40">
      <w:pPr>
        <w:pStyle w:val="af3"/>
        <w:rPr>
          <w:rFonts w:ascii="Traditional Arabic" w:hAnsi="Traditional Arabic"/>
          <w:sz w:val="32"/>
          <w:szCs w:val="32"/>
        </w:rPr>
      </w:pPr>
      <w:r w:rsidRPr="008143E7">
        <w:rPr>
          <w:rFonts w:ascii="Traditional Arabic" w:hAnsi="Traditional Arabic"/>
          <w:sz w:val="32"/>
          <w:szCs w:val="32"/>
          <w:rtl/>
        </w:rPr>
        <w:t>(</w:t>
      </w:r>
      <w:r w:rsidRPr="008143E7">
        <w:rPr>
          <w:rStyle w:val="ae"/>
          <w:rFonts w:ascii="Traditional Arabic" w:hAnsi="Traditional Arabic"/>
          <w:sz w:val="32"/>
          <w:szCs w:val="32"/>
          <w:vertAlign w:val="baseline"/>
        </w:rPr>
        <w:footnoteRef/>
      </w:r>
      <w:r w:rsidRPr="008143E7">
        <w:rPr>
          <w:rFonts w:ascii="Traditional Arabic" w:hAnsi="Traditional Arabic"/>
          <w:sz w:val="32"/>
          <w:szCs w:val="32"/>
          <w:rtl/>
        </w:rPr>
        <w:t xml:space="preserve">) انظر: السبعة في القراءات (ص393), معاني القراءات (2/114).  </w:t>
      </w:r>
    </w:p>
  </w:footnote>
  <w:footnote w:id="1564">
    <w:p w:rsidR="003F128F" w:rsidRPr="008143E7" w:rsidRDefault="003F128F" w:rsidP="00E14A40">
      <w:pPr>
        <w:pStyle w:val="af3"/>
        <w:rPr>
          <w:rFonts w:ascii="Traditional Arabic" w:hAnsi="Traditional Arabic"/>
          <w:sz w:val="32"/>
          <w:szCs w:val="32"/>
        </w:rPr>
      </w:pPr>
      <w:r w:rsidRPr="008143E7">
        <w:rPr>
          <w:rFonts w:ascii="Traditional Arabic" w:hAnsi="Traditional Arabic"/>
          <w:sz w:val="32"/>
          <w:szCs w:val="32"/>
          <w:rtl/>
        </w:rPr>
        <w:t>(</w:t>
      </w:r>
      <w:r w:rsidRPr="008143E7">
        <w:rPr>
          <w:rStyle w:val="ae"/>
          <w:rFonts w:ascii="Traditional Arabic" w:hAnsi="Traditional Arabic"/>
          <w:sz w:val="32"/>
          <w:szCs w:val="32"/>
          <w:vertAlign w:val="baseline"/>
        </w:rPr>
        <w:footnoteRef/>
      </w:r>
      <w:r w:rsidRPr="008143E7">
        <w:rPr>
          <w:rFonts w:ascii="Traditional Arabic" w:hAnsi="Traditional Arabic"/>
          <w:sz w:val="32"/>
          <w:szCs w:val="32"/>
          <w:rtl/>
        </w:rPr>
        <w:t xml:space="preserve">) انظر: معاني القرآن وإعرابه (3/297).  </w:t>
      </w:r>
    </w:p>
  </w:footnote>
  <w:footnote w:id="1565">
    <w:p w:rsidR="003F128F" w:rsidRPr="003112EB" w:rsidRDefault="003F128F" w:rsidP="00E14A40">
      <w:pPr>
        <w:pStyle w:val="af3"/>
        <w:rPr>
          <w:rFonts w:ascii="Tahoma" w:hAnsi="Tahoma"/>
        </w:rPr>
      </w:pPr>
      <w:r w:rsidRPr="008143E7">
        <w:rPr>
          <w:rFonts w:ascii="Traditional Arabic" w:hAnsi="Traditional Arabic"/>
          <w:sz w:val="32"/>
          <w:szCs w:val="32"/>
          <w:rtl/>
        </w:rPr>
        <w:t>(</w:t>
      </w:r>
      <w:r w:rsidRPr="008143E7">
        <w:rPr>
          <w:rStyle w:val="ae"/>
          <w:rFonts w:ascii="Traditional Arabic" w:hAnsi="Traditional Arabic"/>
          <w:sz w:val="32"/>
          <w:szCs w:val="32"/>
          <w:vertAlign w:val="baseline"/>
        </w:rPr>
        <w:footnoteRef/>
      </w:r>
      <w:r w:rsidRPr="008143E7">
        <w:rPr>
          <w:rFonts w:ascii="Traditional Arabic" w:hAnsi="Traditional Arabic"/>
          <w:sz w:val="32"/>
          <w:szCs w:val="32"/>
          <w:rtl/>
        </w:rPr>
        <w:t>) انظر: السبعة في القراءات (ص393), معاني القراءات (2/114).</w:t>
      </w:r>
      <w:r w:rsidRPr="007B4BEF">
        <w:rPr>
          <w:rFonts w:ascii="Traditional Arabic" w:hAnsi="Traditional Arabic"/>
          <w:sz w:val="32"/>
          <w:szCs w:val="32"/>
          <w:rtl/>
        </w:rPr>
        <w:t xml:space="preserve">  </w:t>
      </w:r>
      <w:r>
        <w:rPr>
          <w:rFonts w:ascii="Tahoma" w:hAnsi="Tahoma"/>
          <w:rtl/>
        </w:rPr>
        <w:t xml:space="preserve"> </w:t>
      </w:r>
    </w:p>
  </w:footnote>
  <w:footnote w:id="1566">
    <w:p w:rsidR="003F128F" w:rsidRPr="00DE544A" w:rsidRDefault="003F128F" w:rsidP="00885058">
      <w:pPr>
        <w:pStyle w:val="af3"/>
        <w:rPr>
          <w:rFonts w:ascii="Traditional Arabic" w:hAnsi="Traditional Arabic"/>
          <w:sz w:val="32"/>
          <w:szCs w:val="32"/>
        </w:rPr>
      </w:pPr>
      <w:r w:rsidRPr="00DE544A">
        <w:rPr>
          <w:rFonts w:ascii="Traditional Arabic" w:hAnsi="Traditional Arabic"/>
          <w:sz w:val="32"/>
          <w:szCs w:val="32"/>
          <w:rtl/>
        </w:rPr>
        <w:t>(</w:t>
      </w:r>
      <w:r w:rsidRPr="00DE544A">
        <w:rPr>
          <w:rStyle w:val="ae"/>
          <w:rFonts w:ascii="Traditional Arabic" w:hAnsi="Traditional Arabic"/>
          <w:sz w:val="32"/>
          <w:szCs w:val="32"/>
          <w:vertAlign w:val="baseline"/>
        </w:rPr>
        <w:footnoteRef/>
      </w:r>
      <w:r w:rsidRPr="00DE544A">
        <w:rPr>
          <w:rFonts w:ascii="Traditional Arabic" w:hAnsi="Traditional Arabic"/>
          <w:sz w:val="32"/>
          <w:szCs w:val="32"/>
          <w:rtl/>
        </w:rPr>
        <w:t>) الم</w:t>
      </w:r>
      <w:r>
        <w:rPr>
          <w:rFonts w:ascii="Traditional Arabic" w:hAnsi="Traditional Arabic" w:hint="cs"/>
          <w:sz w:val="32"/>
          <w:szCs w:val="32"/>
          <w:rtl/>
        </w:rPr>
        <w:t>ِ</w:t>
      </w:r>
      <w:r w:rsidRPr="00DE544A">
        <w:rPr>
          <w:rFonts w:ascii="Traditional Arabic" w:hAnsi="Traditional Arabic"/>
          <w:sz w:val="32"/>
          <w:szCs w:val="32"/>
          <w:rtl/>
        </w:rPr>
        <w:t>ك</w:t>
      </w:r>
      <w:r>
        <w:rPr>
          <w:rFonts w:ascii="Traditional Arabic" w:hAnsi="Traditional Arabic" w:hint="cs"/>
          <w:sz w:val="32"/>
          <w:szCs w:val="32"/>
          <w:rtl/>
        </w:rPr>
        <w:t>ْ</w:t>
      </w:r>
      <w:r w:rsidRPr="00DE544A">
        <w:rPr>
          <w:rFonts w:ascii="Traditional Arabic" w:hAnsi="Traditional Arabic"/>
          <w:sz w:val="32"/>
          <w:szCs w:val="32"/>
          <w:rtl/>
        </w:rPr>
        <w:t>ت</w:t>
      </w:r>
      <w:r>
        <w:rPr>
          <w:rFonts w:ascii="Traditional Arabic" w:hAnsi="Traditional Arabic" w:hint="cs"/>
          <w:sz w:val="32"/>
          <w:szCs w:val="32"/>
          <w:rtl/>
        </w:rPr>
        <w:t>َ</w:t>
      </w:r>
      <w:r w:rsidRPr="00DE544A">
        <w:rPr>
          <w:rFonts w:ascii="Traditional Arabic" w:hAnsi="Traditional Arabic"/>
          <w:sz w:val="32"/>
          <w:szCs w:val="32"/>
          <w:rtl/>
        </w:rPr>
        <w:t>ل: الزبيل</w:t>
      </w:r>
      <w:r>
        <w:rPr>
          <w:rFonts w:ascii="Traditional Arabic" w:hAnsi="Traditional Arabic" w:hint="cs"/>
          <w:sz w:val="32"/>
          <w:szCs w:val="32"/>
          <w:rtl/>
        </w:rPr>
        <w:t xml:space="preserve"> الذي</w:t>
      </w:r>
      <w:r w:rsidRPr="00DE544A">
        <w:rPr>
          <w:rFonts w:ascii="Traditional Arabic" w:hAnsi="Traditional Arabic"/>
          <w:sz w:val="32"/>
          <w:szCs w:val="32"/>
          <w:rtl/>
        </w:rPr>
        <w:t xml:space="preserve"> يحمل فِيهِ التَّمْر وَغَيره, انظر: الفائق في غريب الحديث</w:t>
      </w:r>
      <w:r>
        <w:rPr>
          <w:rFonts w:ascii="Traditional Arabic" w:hAnsi="Traditional Arabic" w:hint="cs"/>
          <w:sz w:val="32"/>
          <w:szCs w:val="32"/>
          <w:rtl/>
        </w:rPr>
        <w:t xml:space="preserve"> للزمخشري</w:t>
      </w:r>
      <w:r w:rsidRPr="00DE544A">
        <w:rPr>
          <w:rFonts w:ascii="Traditional Arabic" w:hAnsi="Traditional Arabic"/>
          <w:sz w:val="32"/>
          <w:szCs w:val="32"/>
          <w:rtl/>
        </w:rPr>
        <w:t xml:space="preserve"> (1/439), غريب الحديث لابن الجوزي (2/368).</w:t>
      </w:r>
    </w:p>
  </w:footnote>
  <w:footnote w:id="1567">
    <w:p w:rsidR="003F128F" w:rsidRPr="00AB002D" w:rsidRDefault="003F128F" w:rsidP="00885058">
      <w:pPr>
        <w:ind w:firstLine="0"/>
        <w:rPr>
          <w:rFonts w:ascii="Traditional Arabic" w:hAnsi="Traditional Arabic"/>
          <w:sz w:val="32"/>
          <w:szCs w:val="32"/>
        </w:rPr>
      </w:pPr>
      <w:r w:rsidRPr="00AB002D">
        <w:rPr>
          <w:rFonts w:ascii="Traditional Arabic" w:hAnsi="Traditional Arabic"/>
          <w:sz w:val="32"/>
          <w:szCs w:val="32"/>
          <w:rtl/>
        </w:rPr>
        <w:t>(</w:t>
      </w:r>
      <w:r w:rsidRPr="00AB002D">
        <w:rPr>
          <w:rStyle w:val="ae"/>
          <w:rFonts w:ascii="Traditional Arabic" w:hAnsi="Traditional Arabic"/>
          <w:sz w:val="32"/>
          <w:szCs w:val="32"/>
          <w:vertAlign w:val="baseline"/>
        </w:rPr>
        <w:footnoteRef/>
      </w:r>
      <w:r w:rsidRPr="00AB002D">
        <w:rPr>
          <w:rFonts w:ascii="Traditional Arabic" w:hAnsi="Traditional Arabic"/>
          <w:sz w:val="32"/>
          <w:szCs w:val="32"/>
          <w:rtl/>
        </w:rPr>
        <w:t>) مثل الطاق: أَي</w:t>
      </w:r>
      <w:r w:rsidRPr="00AB002D">
        <w:rPr>
          <w:rFonts w:ascii="Traditional Arabic" w:hAnsi="Traditional Arabic" w:hint="cs"/>
          <w:sz w:val="32"/>
          <w:szCs w:val="32"/>
          <w:rtl/>
        </w:rPr>
        <w:t xml:space="preserve"> أن</w:t>
      </w:r>
      <w:r w:rsidRPr="00AB002D">
        <w:rPr>
          <w:rFonts w:ascii="Traditional Arabic" w:hAnsi="Traditional Arabic"/>
          <w:sz w:val="32"/>
          <w:szCs w:val="32"/>
          <w:rtl/>
        </w:rPr>
        <w:t xml:space="preserve"> أثر الحوت في البحر مثل طاق الْبناء الفارغ مَا تَحْتَهُ</w:t>
      </w:r>
      <w:r w:rsidRPr="00AB002D">
        <w:rPr>
          <w:rFonts w:ascii="Traditional Arabic" w:hAnsi="Traditional Arabic" w:hint="cs"/>
          <w:sz w:val="32"/>
          <w:szCs w:val="32"/>
          <w:rtl/>
        </w:rPr>
        <w:t>.</w:t>
      </w:r>
      <w:r w:rsidRPr="00AB002D">
        <w:rPr>
          <w:rFonts w:ascii="Traditional Arabic" w:hAnsi="Traditional Arabic"/>
          <w:sz w:val="32"/>
          <w:szCs w:val="32"/>
          <w:rtl/>
          <w:lang w:eastAsia="en-US"/>
        </w:rPr>
        <w:t xml:space="preserve"> وقد فسره </w:t>
      </w:r>
      <w:r w:rsidRPr="00AB002D">
        <w:rPr>
          <w:rFonts w:ascii="Traditional Arabic" w:hAnsi="Traditional Arabic"/>
          <w:sz w:val="32"/>
          <w:szCs w:val="32"/>
          <w:rtl/>
        </w:rPr>
        <w:t>بقوله</w:t>
      </w:r>
      <w:r>
        <w:rPr>
          <w:rFonts w:ascii="Traditional Arabic" w:hAnsi="Traditional Arabic" w:hint="cs"/>
          <w:sz w:val="32"/>
          <w:szCs w:val="32"/>
          <w:rtl/>
        </w:rPr>
        <w:t xml:space="preserve"> </w:t>
      </w:r>
      <w:r w:rsidRPr="00901D81">
        <w:rPr>
          <w:rFonts w:ascii="Traditional Arabic" w:hAnsi="Traditional Arabic"/>
          <w:sz w:val="32"/>
          <w:szCs w:val="32"/>
        </w:rPr>
        <w:sym w:font="AGA Arabesque" w:char="F072"/>
      </w:r>
      <w:r>
        <w:rPr>
          <w:rFonts w:ascii="Traditional Arabic" w:hAnsi="Traditional Arabic" w:hint="cs"/>
          <w:sz w:val="32"/>
          <w:szCs w:val="32"/>
          <w:rtl/>
        </w:rPr>
        <w:t xml:space="preserve"> في الحديث الآخر</w:t>
      </w:r>
      <w:r>
        <w:rPr>
          <w:rFonts w:ascii="Traditional Arabic" w:hAnsi="Traditional Arabic"/>
          <w:sz w:val="32"/>
          <w:szCs w:val="32"/>
          <w:rtl/>
        </w:rPr>
        <w:t>: "أمسك الله عنه جِرْيَةَ الماء</w:t>
      </w:r>
      <w:r w:rsidRPr="00AB002D">
        <w:rPr>
          <w:rFonts w:ascii="Traditional Arabic" w:hAnsi="Traditional Arabic"/>
          <w:sz w:val="32"/>
          <w:szCs w:val="32"/>
          <w:rtl/>
        </w:rPr>
        <w:t>، كَأَنَّ أَ</w:t>
      </w:r>
      <w:r>
        <w:rPr>
          <w:rFonts w:ascii="Traditional Arabic" w:hAnsi="Traditional Arabic"/>
          <w:sz w:val="32"/>
          <w:szCs w:val="32"/>
          <w:rtl/>
        </w:rPr>
        <w:t>ثَرَهُ في حَجَرٍ، وحَلَّقَ بي</w:t>
      </w:r>
      <w:r w:rsidRPr="00AB002D">
        <w:rPr>
          <w:rFonts w:ascii="Traditional Arabic" w:hAnsi="Traditional Arabic"/>
          <w:sz w:val="32"/>
          <w:szCs w:val="32"/>
          <w:rtl/>
        </w:rPr>
        <w:t>ن</w:t>
      </w:r>
      <w:r>
        <w:rPr>
          <w:rFonts w:ascii="Traditional Arabic" w:hAnsi="Traditional Arabic"/>
          <w:sz w:val="32"/>
          <w:szCs w:val="32"/>
          <w:rtl/>
        </w:rPr>
        <w:t xml:space="preserve"> إبهامه والت</w:t>
      </w:r>
      <w:r>
        <w:rPr>
          <w:rFonts w:ascii="Traditional Arabic" w:hAnsi="Traditional Arabic" w:hint="cs"/>
          <w:sz w:val="32"/>
          <w:szCs w:val="32"/>
          <w:rtl/>
        </w:rPr>
        <w:t>ي</w:t>
      </w:r>
      <w:r>
        <w:rPr>
          <w:rFonts w:ascii="Traditional Arabic" w:hAnsi="Traditional Arabic"/>
          <w:sz w:val="32"/>
          <w:szCs w:val="32"/>
          <w:rtl/>
        </w:rPr>
        <w:t xml:space="preserve"> تليه</w:t>
      </w:r>
      <w:r w:rsidRPr="00AB002D">
        <w:rPr>
          <w:rFonts w:ascii="Traditional Arabic" w:hAnsi="Traditional Arabic"/>
          <w:sz w:val="32"/>
          <w:szCs w:val="32"/>
          <w:rtl/>
        </w:rPr>
        <w:t xml:space="preserve">ا" </w:t>
      </w:r>
      <w:r>
        <w:rPr>
          <w:rFonts w:ascii="Traditional Arabic" w:hAnsi="Traditional Arabic"/>
          <w:sz w:val="32"/>
          <w:szCs w:val="32"/>
          <w:rtl/>
        </w:rPr>
        <w:t>أخرجه البخاري (كتاب ال</w:t>
      </w:r>
      <w:r>
        <w:rPr>
          <w:rFonts w:ascii="Traditional Arabic" w:hAnsi="Traditional Arabic" w:hint="cs"/>
          <w:sz w:val="32"/>
          <w:szCs w:val="32"/>
          <w:rtl/>
        </w:rPr>
        <w:t>تفسير</w:t>
      </w:r>
      <w:r w:rsidRPr="00AB002D">
        <w:rPr>
          <w:rFonts w:ascii="Traditional Arabic" w:hAnsi="Traditional Arabic"/>
          <w:sz w:val="32"/>
          <w:szCs w:val="32"/>
          <w:rtl/>
        </w:rPr>
        <w:t>, باب</w:t>
      </w:r>
      <w:r>
        <w:rPr>
          <w:rFonts w:ascii="Traditional Arabic" w:hAnsi="Traditional Arabic" w:hint="cs"/>
          <w:sz w:val="32"/>
          <w:szCs w:val="32"/>
          <w:rtl/>
        </w:rPr>
        <w:t>:</w:t>
      </w:r>
      <w:r w:rsidRPr="00AB002D">
        <w:rPr>
          <w:rFonts w:ascii="Traditional Arabic" w:hAnsi="Traditional Arabic"/>
          <w:sz w:val="32"/>
          <w:szCs w:val="32"/>
          <w:rtl/>
        </w:rPr>
        <w:t xml:space="preserve"> </w:t>
      </w:r>
      <w:r w:rsidRPr="00901D81">
        <w:rPr>
          <w:rFonts w:ascii="QCF_BSML" w:hAnsi="QCF_BSML" w:cs="QCF_BSML"/>
          <w:color w:val="auto"/>
          <w:sz w:val="28"/>
          <w:szCs w:val="28"/>
          <w:rtl/>
          <w:lang w:eastAsia="en-US"/>
        </w:rPr>
        <w:t>ﭽ</w:t>
      </w:r>
      <w:r w:rsidRPr="00901D81">
        <w:rPr>
          <w:rFonts w:ascii="QCF_P300" w:hAnsi="QCF_P300" w:cs="QCF_P300"/>
          <w:color w:val="auto"/>
          <w:sz w:val="28"/>
          <w:szCs w:val="28"/>
          <w:rtl/>
          <w:lang w:eastAsia="en-US"/>
        </w:rPr>
        <w:t xml:space="preserve">ﯹ  ﯺ   ﯻ  ﯼ   ﯽ  ﯾ  ﯿ  ﰀ  ﰁ  ﰂ    ﰃ  </w:t>
      </w:r>
      <w:r w:rsidRPr="00901D81">
        <w:rPr>
          <w:rFonts w:ascii="QCF_BSML" w:hAnsi="QCF_BSML" w:cs="QCF_BSML"/>
          <w:color w:val="auto"/>
          <w:sz w:val="28"/>
          <w:szCs w:val="28"/>
          <w:rtl/>
          <w:lang w:eastAsia="en-US"/>
        </w:rPr>
        <w:t>ﭼ</w:t>
      </w:r>
      <w:r>
        <w:rPr>
          <w:rFonts w:ascii="Traditional Arabic" w:hAnsi="Traditional Arabic" w:hint="cs"/>
          <w:sz w:val="32"/>
          <w:szCs w:val="32"/>
          <w:rtl/>
        </w:rPr>
        <w:t xml:space="preserve"> [الكهف:61]: مذهباً يسرب: يسلك, ومنه</w:t>
      </w:r>
      <w:r>
        <w:rPr>
          <w:rFonts w:ascii="QCF_BSML" w:hAnsi="QCF_BSML" w:cs="QCF_BSML"/>
          <w:sz w:val="47"/>
          <w:szCs w:val="47"/>
          <w:rtl/>
          <w:lang w:eastAsia="en-US"/>
        </w:rPr>
        <w:t xml:space="preserve"> </w:t>
      </w:r>
      <w:r w:rsidRPr="00901D81">
        <w:rPr>
          <w:rFonts w:ascii="QCF_BSML" w:hAnsi="QCF_BSML" w:cs="QCF_BSML"/>
          <w:sz w:val="28"/>
          <w:szCs w:val="28"/>
          <w:rtl/>
          <w:lang w:eastAsia="en-US"/>
        </w:rPr>
        <w:t xml:space="preserve">ﭽ </w:t>
      </w:r>
      <w:r w:rsidRPr="00901D81">
        <w:rPr>
          <w:rFonts w:ascii="QCF_P250" w:hAnsi="QCF_P250" w:cs="QCF_P250"/>
          <w:sz w:val="28"/>
          <w:szCs w:val="28"/>
          <w:rtl/>
          <w:lang w:eastAsia="en-US"/>
        </w:rPr>
        <w:t xml:space="preserve">ﮝ   ﮞ    </w:t>
      </w:r>
      <w:r w:rsidRPr="00901D81">
        <w:rPr>
          <w:rFonts w:ascii="QCF_BSML" w:hAnsi="QCF_BSML" w:cs="QCF_BSML"/>
          <w:sz w:val="28"/>
          <w:szCs w:val="28"/>
          <w:rtl/>
          <w:lang w:eastAsia="en-US"/>
        </w:rPr>
        <w:t>ﭼ</w:t>
      </w:r>
      <w:r w:rsidRPr="00901D81">
        <w:rPr>
          <w:rFonts w:ascii="Arial" w:hAnsi="Arial" w:cs="Arial"/>
          <w:sz w:val="32"/>
          <w:szCs w:val="32"/>
          <w:rtl/>
          <w:lang w:eastAsia="en-US"/>
        </w:rPr>
        <w:t xml:space="preserve"> </w:t>
      </w:r>
      <w:r w:rsidRPr="00901D81">
        <w:rPr>
          <w:rFonts w:ascii="Traditional Arabic" w:hAnsi="Traditional Arabic"/>
          <w:color w:val="auto"/>
          <w:sz w:val="32"/>
          <w:szCs w:val="32"/>
          <w:rtl/>
          <w:lang w:eastAsia="en-US"/>
        </w:rPr>
        <w:t>[الرعد:١٠]</w:t>
      </w:r>
      <w:r w:rsidRPr="00901D81">
        <w:rPr>
          <w:rFonts w:ascii="Traditional Arabic" w:hAnsi="Traditional Arabic"/>
          <w:color w:val="auto"/>
          <w:sz w:val="32"/>
          <w:szCs w:val="32"/>
          <w:rtl/>
        </w:rPr>
        <w:t>,</w:t>
      </w:r>
      <w:r w:rsidRPr="00901D81">
        <w:rPr>
          <w:rFonts w:ascii="Traditional Arabic" w:hAnsi="Traditional Arabic"/>
          <w:color w:val="auto"/>
          <w:rtl/>
        </w:rPr>
        <w:t xml:space="preserve"> </w:t>
      </w:r>
      <w:r>
        <w:rPr>
          <w:rFonts w:ascii="Traditional Arabic" w:hAnsi="Traditional Arabic" w:hint="cs"/>
          <w:sz w:val="32"/>
          <w:szCs w:val="32"/>
          <w:rtl/>
        </w:rPr>
        <w:t xml:space="preserve">8/522 </w:t>
      </w:r>
      <w:r>
        <w:rPr>
          <w:rFonts w:ascii="Traditional Arabic" w:hAnsi="Traditional Arabic"/>
          <w:sz w:val="32"/>
          <w:szCs w:val="32"/>
          <w:rtl/>
        </w:rPr>
        <w:t>ح</w:t>
      </w:r>
      <w:r>
        <w:rPr>
          <w:rFonts w:ascii="Traditional Arabic" w:hAnsi="Traditional Arabic" w:hint="cs"/>
          <w:sz w:val="32"/>
          <w:szCs w:val="32"/>
          <w:rtl/>
        </w:rPr>
        <w:t xml:space="preserve">4726). انظر: مطالع الأنوار على صحاح الآثار لابن قرقول (3/286). </w:t>
      </w:r>
    </w:p>
  </w:footnote>
  <w:footnote w:id="1568">
    <w:p w:rsidR="003F128F" w:rsidRPr="002B11BF" w:rsidRDefault="003F128F" w:rsidP="00885058">
      <w:pPr>
        <w:pStyle w:val="af3"/>
        <w:rPr>
          <w:rFonts w:ascii="Traditional Arabic" w:hAnsi="Traditional Arabic"/>
          <w:sz w:val="32"/>
          <w:szCs w:val="32"/>
        </w:rPr>
      </w:pPr>
      <w:r w:rsidRPr="002B11BF">
        <w:rPr>
          <w:rFonts w:ascii="Traditional Arabic" w:hAnsi="Traditional Arabic"/>
          <w:sz w:val="32"/>
          <w:szCs w:val="32"/>
          <w:rtl/>
        </w:rPr>
        <w:t>(</w:t>
      </w:r>
      <w:r w:rsidRPr="002B11BF">
        <w:rPr>
          <w:rStyle w:val="ae"/>
          <w:rFonts w:ascii="Traditional Arabic" w:hAnsi="Traditional Arabic"/>
          <w:sz w:val="32"/>
          <w:szCs w:val="32"/>
          <w:vertAlign w:val="baseline"/>
        </w:rPr>
        <w:footnoteRef/>
      </w:r>
      <w:r>
        <w:rPr>
          <w:rFonts w:ascii="Traditional Arabic" w:hAnsi="Traditional Arabic"/>
          <w:sz w:val="32"/>
          <w:szCs w:val="32"/>
          <w:rtl/>
        </w:rPr>
        <w:t>) الن</w:t>
      </w:r>
      <w:r>
        <w:rPr>
          <w:rFonts w:ascii="Traditional Arabic" w:hAnsi="Traditional Arabic" w:hint="cs"/>
          <w:sz w:val="32"/>
          <w:szCs w:val="32"/>
          <w:rtl/>
        </w:rPr>
        <w:t>َ</w:t>
      </w:r>
      <w:r>
        <w:rPr>
          <w:rFonts w:ascii="Traditional Arabic" w:hAnsi="Traditional Arabic"/>
          <w:sz w:val="32"/>
          <w:szCs w:val="32"/>
          <w:rtl/>
        </w:rPr>
        <w:t>و</w:t>
      </w:r>
      <w:r w:rsidRPr="002B11BF">
        <w:rPr>
          <w:rFonts w:ascii="Traditional Arabic" w:hAnsi="Traditional Arabic"/>
          <w:sz w:val="32"/>
          <w:szCs w:val="32"/>
          <w:rtl/>
        </w:rPr>
        <w:t>ل: العطاء. انظر: غريب الحديث للخطابي (1/189).</w:t>
      </w:r>
    </w:p>
  </w:footnote>
  <w:footnote w:id="1569">
    <w:p w:rsidR="003F128F" w:rsidRPr="002B11BF" w:rsidRDefault="003F128F" w:rsidP="00885058">
      <w:pPr>
        <w:pStyle w:val="af3"/>
        <w:rPr>
          <w:rFonts w:ascii="Traditional Arabic" w:hAnsi="Traditional Arabic"/>
          <w:sz w:val="32"/>
          <w:szCs w:val="32"/>
        </w:rPr>
      </w:pPr>
      <w:r w:rsidRPr="002B11BF">
        <w:rPr>
          <w:rFonts w:ascii="Traditional Arabic" w:hAnsi="Traditional Arabic"/>
          <w:sz w:val="32"/>
          <w:szCs w:val="32"/>
          <w:rtl/>
        </w:rPr>
        <w:t>(</w:t>
      </w:r>
      <w:r w:rsidRPr="002B11BF">
        <w:rPr>
          <w:rStyle w:val="ae"/>
          <w:rFonts w:ascii="Traditional Arabic" w:hAnsi="Traditional Arabic"/>
          <w:sz w:val="32"/>
          <w:szCs w:val="32"/>
          <w:vertAlign w:val="baseline"/>
        </w:rPr>
        <w:footnoteRef/>
      </w:r>
      <w:r w:rsidRPr="002B11BF">
        <w:rPr>
          <w:rFonts w:ascii="Traditional Arabic" w:hAnsi="Traditional Arabic"/>
          <w:sz w:val="32"/>
          <w:szCs w:val="32"/>
          <w:rtl/>
        </w:rPr>
        <w:t>) القَدُوم: هِيَ آلَة النجار الْمَعْرُوفَة. انظر: مشارق الأنوار لليحصبي (2/174).</w:t>
      </w:r>
    </w:p>
  </w:footnote>
  <w:footnote w:id="1570">
    <w:p w:rsidR="003F128F" w:rsidRPr="007E014E" w:rsidRDefault="003F128F" w:rsidP="00885058">
      <w:pPr>
        <w:pStyle w:val="af3"/>
        <w:rPr>
          <w:rFonts w:ascii="Tahoma" w:hAnsi="Tahoma"/>
        </w:rPr>
      </w:pPr>
      <w:r w:rsidRPr="002B11BF">
        <w:rPr>
          <w:rFonts w:ascii="Traditional Arabic" w:hAnsi="Traditional Arabic"/>
          <w:sz w:val="32"/>
          <w:szCs w:val="32"/>
          <w:rtl/>
        </w:rPr>
        <w:t>(</w:t>
      </w:r>
      <w:r w:rsidRPr="002B11BF">
        <w:rPr>
          <w:rStyle w:val="ae"/>
          <w:rFonts w:ascii="Traditional Arabic" w:hAnsi="Traditional Arabic"/>
          <w:sz w:val="32"/>
          <w:szCs w:val="32"/>
          <w:vertAlign w:val="baseline"/>
        </w:rPr>
        <w:footnoteRef/>
      </w:r>
      <w:r w:rsidRPr="002B11BF">
        <w:rPr>
          <w:rFonts w:ascii="Traditional Arabic" w:hAnsi="Traditional Arabic"/>
          <w:sz w:val="32"/>
          <w:szCs w:val="32"/>
          <w:rtl/>
        </w:rPr>
        <w:t>) على ح</w:t>
      </w:r>
      <w:r>
        <w:rPr>
          <w:rFonts w:ascii="Traditional Arabic" w:hAnsi="Traditional Arabic" w:hint="cs"/>
          <w:sz w:val="32"/>
          <w:szCs w:val="32"/>
          <w:rtl/>
        </w:rPr>
        <w:t>َ</w:t>
      </w:r>
      <w:r w:rsidRPr="002B11BF">
        <w:rPr>
          <w:rFonts w:ascii="Traditional Arabic" w:hAnsi="Traditional Arabic"/>
          <w:sz w:val="32"/>
          <w:szCs w:val="32"/>
          <w:rtl/>
        </w:rPr>
        <w:t>رف: أي على طرف. انظر: الفائق في غريب الحديث (1/274).</w:t>
      </w:r>
    </w:p>
  </w:footnote>
  <w:footnote w:id="1571">
    <w:p w:rsidR="003F128F" w:rsidRPr="00845F39" w:rsidRDefault="003F128F" w:rsidP="00885058">
      <w:pPr>
        <w:pStyle w:val="af3"/>
        <w:rPr>
          <w:rFonts w:ascii="Traditional Arabic" w:hAnsi="Traditional Arabic"/>
          <w:sz w:val="32"/>
          <w:szCs w:val="32"/>
        </w:rPr>
      </w:pPr>
      <w:r w:rsidRPr="00845F39">
        <w:rPr>
          <w:rFonts w:ascii="Traditional Arabic" w:hAnsi="Traditional Arabic"/>
          <w:sz w:val="32"/>
          <w:szCs w:val="32"/>
          <w:rtl/>
        </w:rPr>
        <w:t>(</w:t>
      </w:r>
      <w:r w:rsidRPr="00845F39">
        <w:rPr>
          <w:rStyle w:val="ae"/>
          <w:rFonts w:ascii="Traditional Arabic" w:hAnsi="Traditional Arabic"/>
          <w:sz w:val="32"/>
          <w:szCs w:val="32"/>
          <w:vertAlign w:val="baseline"/>
        </w:rPr>
        <w:footnoteRef/>
      </w:r>
      <w:r w:rsidRPr="00845F39">
        <w:rPr>
          <w:rFonts w:ascii="Traditional Arabic" w:hAnsi="Traditional Arabic"/>
          <w:sz w:val="32"/>
          <w:szCs w:val="32"/>
          <w:rtl/>
        </w:rPr>
        <w:t>) ما بين المعكوفتين ساقط من الأصل, والمثبت من (ك)</w:t>
      </w:r>
      <w:r>
        <w:rPr>
          <w:rFonts w:ascii="Traditional Arabic" w:hAnsi="Traditional Arabic" w:hint="cs"/>
          <w:sz w:val="32"/>
          <w:szCs w:val="32"/>
          <w:rtl/>
        </w:rPr>
        <w:t xml:space="preserve"> وهو موافق لمصادر الحديث</w:t>
      </w:r>
      <w:r w:rsidRPr="00845F39">
        <w:rPr>
          <w:rFonts w:ascii="Traditional Arabic" w:hAnsi="Traditional Arabic"/>
          <w:sz w:val="32"/>
          <w:szCs w:val="32"/>
          <w:rtl/>
        </w:rPr>
        <w:t>.</w:t>
      </w:r>
    </w:p>
  </w:footnote>
  <w:footnote w:id="1572">
    <w:p w:rsidR="003F128F" w:rsidRPr="00845F39" w:rsidRDefault="003F128F" w:rsidP="00885058">
      <w:pPr>
        <w:pStyle w:val="af3"/>
        <w:rPr>
          <w:rFonts w:ascii="Traditional Arabic" w:hAnsi="Traditional Arabic"/>
          <w:sz w:val="32"/>
          <w:szCs w:val="32"/>
        </w:rPr>
      </w:pPr>
      <w:r w:rsidRPr="00845F39">
        <w:rPr>
          <w:rFonts w:ascii="Traditional Arabic" w:hAnsi="Traditional Arabic"/>
          <w:sz w:val="32"/>
          <w:szCs w:val="32"/>
          <w:rtl/>
        </w:rPr>
        <w:t>(</w:t>
      </w:r>
      <w:r w:rsidRPr="00845F39">
        <w:rPr>
          <w:rStyle w:val="ae"/>
          <w:rFonts w:ascii="Traditional Arabic" w:hAnsi="Traditional Arabic"/>
          <w:sz w:val="32"/>
          <w:szCs w:val="32"/>
          <w:vertAlign w:val="baseline"/>
        </w:rPr>
        <w:footnoteRef/>
      </w:r>
      <w:r w:rsidRPr="00845F39">
        <w:rPr>
          <w:rFonts w:ascii="Traditional Arabic" w:hAnsi="Traditional Arabic"/>
          <w:sz w:val="32"/>
          <w:szCs w:val="32"/>
          <w:rtl/>
        </w:rPr>
        <w:t xml:space="preserve">) في (ك): [قرأ إلى قوله]. </w:t>
      </w:r>
    </w:p>
  </w:footnote>
  <w:footnote w:id="1573">
    <w:p w:rsidR="003F128F" w:rsidRPr="00845F39" w:rsidRDefault="003F128F" w:rsidP="00885058">
      <w:pPr>
        <w:pStyle w:val="af3"/>
        <w:rPr>
          <w:rFonts w:ascii="Traditional Arabic" w:hAnsi="Traditional Arabic"/>
          <w:sz w:val="32"/>
          <w:szCs w:val="32"/>
        </w:rPr>
      </w:pPr>
      <w:r w:rsidRPr="00845F39">
        <w:rPr>
          <w:rFonts w:ascii="Traditional Arabic" w:hAnsi="Traditional Arabic"/>
          <w:sz w:val="32"/>
          <w:szCs w:val="32"/>
          <w:rtl/>
        </w:rPr>
        <w:t>(</w:t>
      </w:r>
      <w:r w:rsidRPr="00845F39">
        <w:rPr>
          <w:rStyle w:val="ae"/>
          <w:rFonts w:ascii="Traditional Arabic" w:hAnsi="Traditional Arabic"/>
          <w:sz w:val="32"/>
          <w:szCs w:val="32"/>
          <w:vertAlign w:val="baseline"/>
        </w:rPr>
        <w:footnoteRef/>
      </w:r>
      <w:r w:rsidRPr="00845F39">
        <w:rPr>
          <w:rFonts w:ascii="Traditional Arabic" w:hAnsi="Traditional Arabic"/>
          <w:sz w:val="32"/>
          <w:szCs w:val="32"/>
          <w:rtl/>
        </w:rPr>
        <w:t>) بيده هكذا: أَي أَشَارَ بِيَدِهِ أَو تنَاول. انظر: مشارق الأنوار لليحصبي (2/194).</w:t>
      </w:r>
    </w:p>
  </w:footnote>
  <w:footnote w:id="1574">
    <w:p w:rsidR="003F128F" w:rsidRPr="00845F39" w:rsidRDefault="003F128F" w:rsidP="00885058">
      <w:pPr>
        <w:ind w:firstLine="0"/>
        <w:rPr>
          <w:rFonts w:ascii="Traditional Arabic" w:hAnsi="Traditional Arabic"/>
          <w:sz w:val="32"/>
          <w:szCs w:val="32"/>
        </w:rPr>
      </w:pPr>
      <w:r w:rsidRPr="00845F39">
        <w:rPr>
          <w:rFonts w:ascii="Traditional Arabic" w:hAnsi="Traditional Arabic"/>
          <w:sz w:val="32"/>
          <w:szCs w:val="32"/>
          <w:rtl/>
        </w:rPr>
        <w:t>(</w:t>
      </w:r>
      <w:r w:rsidRPr="00845F39">
        <w:rPr>
          <w:rStyle w:val="ae"/>
          <w:rFonts w:ascii="Traditional Arabic" w:hAnsi="Traditional Arabic"/>
          <w:sz w:val="32"/>
          <w:szCs w:val="32"/>
          <w:vertAlign w:val="baseline"/>
        </w:rPr>
        <w:footnoteRef/>
      </w:r>
      <w:r w:rsidRPr="00845F39">
        <w:rPr>
          <w:rFonts w:ascii="Traditional Arabic" w:hAnsi="Traditional Arabic"/>
          <w:sz w:val="32"/>
          <w:szCs w:val="32"/>
          <w:rtl/>
        </w:rPr>
        <w:t>) أخرجه البخاري (كتاب العلم, باب</w:t>
      </w:r>
      <w:r>
        <w:rPr>
          <w:rFonts w:ascii="Traditional Arabic" w:hAnsi="Traditional Arabic" w:hint="cs"/>
          <w:sz w:val="32"/>
          <w:szCs w:val="32"/>
          <w:rtl/>
        </w:rPr>
        <w:t>:</w:t>
      </w:r>
      <w:r w:rsidRPr="00845F39">
        <w:rPr>
          <w:rFonts w:ascii="Traditional Arabic" w:hAnsi="Traditional Arabic"/>
          <w:sz w:val="32"/>
          <w:szCs w:val="32"/>
          <w:rtl/>
        </w:rPr>
        <w:t xml:space="preserve"> ما يستحب للعالم إذا سئل أي الناس أعلم فيكل العلم إلى الله, 1/287 ح122, وأطرافه في ح3278, 3401, 4727, 6672), ومسلم (كتاب الفضائل, باب</w:t>
      </w:r>
      <w:r>
        <w:rPr>
          <w:rFonts w:ascii="Traditional Arabic" w:hAnsi="Traditional Arabic" w:hint="cs"/>
          <w:sz w:val="32"/>
          <w:szCs w:val="32"/>
          <w:rtl/>
        </w:rPr>
        <w:t>:</w:t>
      </w:r>
      <w:r w:rsidRPr="00845F39">
        <w:rPr>
          <w:rFonts w:ascii="Traditional Arabic" w:hAnsi="Traditional Arabic"/>
          <w:sz w:val="32"/>
          <w:szCs w:val="32"/>
          <w:rtl/>
        </w:rPr>
        <w:t xml:space="preserve"> من فضائل الخضر عليه السلام, 15/133 ح6113). </w:t>
      </w:r>
    </w:p>
  </w:footnote>
  <w:footnote w:id="1575">
    <w:p w:rsidR="003F128F" w:rsidRPr="00845F39" w:rsidRDefault="003F128F" w:rsidP="00885058">
      <w:pPr>
        <w:pStyle w:val="af3"/>
        <w:rPr>
          <w:rFonts w:ascii="Traditional Arabic" w:hAnsi="Traditional Arabic"/>
          <w:sz w:val="32"/>
          <w:szCs w:val="32"/>
        </w:rPr>
      </w:pPr>
      <w:r w:rsidRPr="00845F39">
        <w:rPr>
          <w:rFonts w:ascii="Traditional Arabic" w:hAnsi="Traditional Arabic"/>
          <w:sz w:val="32"/>
          <w:szCs w:val="32"/>
          <w:rtl/>
        </w:rPr>
        <w:t>(</w:t>
      </w:r>
      <w:r w:rsidRPr="00845F39">
        <w:rPr>
          <w:rStyle w:val="ae"/>
          <w:rFonts w:ascii="Traditional Arabic" w:hAnsi="Traditional Arabic"/>
          <w:sz w:val="32"/>
          <w:szCs w:val="32"/>
          <w:vertAlign w:val="baseline"/>
        </w:rPr>
        <w:footnoteRef/>
      </w:r>
      <w:r w:rsidRPr="00845F39">
        <w:rPr>
          <w:rFonts w:ascii="Traditional Arabic" w:hAnsi="Traditional Arabic"/>
          <w:sz w:val="32"/>
          <w:szCs w:val="32"/>
          <w:rtl/>
        </w:rPr>
        <w:t>) كتاب الحدائق في علم الحديث والزهديات للمؤلف نفسه رحمه الله (1/126).</w:t>
      </w:r>
    </w:p>
  </w:footnote>
  <w:footnote w:id="1576">
    <w:p w:rsidR="003F128F" w:rsidRPr="00845F39" w:rsidRDefault="003F128F" w:rsidP="00885058">
      <w:pPr>
        <w:pStyle w:val="af3"/>
        <w:rPr>
          <w:rFonts w:ascii="Traditional Arabic" w:hAnsi="Traditional Arabic"/>
          <w:sz w:val="32"/>
          <w:szCs w:val="32"/>
        </w:rPr>
      </w:pPr>
      <w:r w:rsidRPr="00845F39">
        <w:rPr>
          <w:rFonts w:ascii="Traditional Arabic" w:hAnsi="Traditional Arabic"/>
          <w:sz w:val="32"/>
          <w:szCs w:val="32"/>
          <w:rtl/>
        </w:rPr>
        <w:t>(</w:t>
      </w:r>
      <w:r w:rsidRPr="00845F39">
        <w:rPr>
          <w:rStyle w:val="ae"/>
          <w:rFonts w:ascii="Traditional Arabic" w:hAnsi="Traditional Arabic"/>
          <w:sz w:val="32"/>
          <w:szCs w:val="32"/>
          <w:vertAlign w:val="baseline"/>
        </w:rPr>
        <w:footnoteRef/>
      </w:r>
      <w:r w:rsidRPr="00845F39">
        <w:rPr>
          <w:rFonts w:ascii="Traditional Arabic" w:hAnsi="Traditional Arabic"/>
          <w:sz w:val="32"/>
          <w:szCs w:val="32"/>
          <w:rtl/>
        </w:rPr>
        <w:t>) انظر: تفسير الطبري (18/55), بحر العلوم (2/353), الكشف والبيان (6/180).</w:t>
      </w:r>
    </w:p>
  </w:footnote>
  <w:footnote w:id="1577">
    <w:p w:rsidR="003F128F" w:rsidRPr="00845F39" w:rsidRDefault="003F128F" w:rsidP="00885058">
      <w:pPr>
        <w:pStyle w:val="af3"/>
        <w:rPr>
          <w:rFonts w:ascii="Traditional Arabic" w:hAnsi="Traditional Arabic"/>
          <w:sz w:val="32"/>
          <w:szCs w:val="32"/>
        </w:rPr>
      </w:pPr>
      <w:r w:rsidRPr="00845F39">
        <w:rPr>
          <w:rFonts w:ascii="Traditional Arabic" w:hAnsi="Traditional Arabic"/>
          <w:sz w:val="32"/>
          <w:szCs w:val="32"/>
          <w:rtl/>
        </w:rPr>
        <w:t>(</w:t>
      </w:r>
      <w:r w:rsidRPr="00845F39">
        <w:rPr>
          <w:rStyle w:val="ae"/>
          <w:rFonts w:ascii="Traditional Arabic" w:hAnsi="Traditional Arabic"/>
          <w:sz w:val="32"/>
          <w:szCs w:val="32"/>
          <w:vertAlign w:val="baseline"/>
        </w:rPr>
        <w:footnoteRef/>
      </w:r>
      <w:r>
        <w:rPr>
          <w:rFonts w:ascii="Traditional Arabic" w:hAnsi="Traditional Arabic"/>
          <w:sz w:val="32"/>
          <w:szCs w:val="32"/>
          <w:rtl/>
        </w:rPr>
        <w:t>) هو التابعي ال</w:t>
      </w:r>
      <w:r>
        <w:rPr>
          <w:rFonts w:ascii="Traditional Arabic" w:hAnsi="Traditional Arabic" w:hint="cs"/>
          <w:sz w:val="32"/>
          <w:szCs w:val="32"/>
          <w:rtl/>
        </w:rPr>
        <w:t>إ</w:t>
      </w:r>
      <w:r w:rsidRPr="00845F39">
        <w:rPr>
          <w:rFonts w:ascii="Traditional Arabic" w:hAnsi="Traditional Arabic"/>
          <w:sz w:val="32"/>
          <w:szCs w:val="32"/>
          <w:rtl/>
        </w:rPr>
        <w:t>مام</w:t>
      </w:r>
      <w:r>
        <w:rPr>
          <w:rFonts w:ascii="Traditional Arabic" w:hAnsi="Traditional Arabic" w:hint="cs"/>
          <w:sz w:val="32"/>
          <w:szCs w:val="32"/>
          <w:rtl/>
        </w:rPr>
        <w:t>,</w:t>
      </w:r>
      <w:r w:rsidRPr="00845F39">
        <w:rPr>
          <w:rFonts w:ascii="Traditional Arabic" w:hAnsi="Traditional Arabic"/>
          <w:sz w:val="32"/>
          <w:szCs w:val="32"/>
          <w:rtl/>
        </w:rPr>
        <w:t xml:space="preserve"> أَبو يَزِيد</w:t>
      </w:r>
      <w:r>
        <w:rPr>
          <w:rFonts w:ascii="Traditional Arabic" w:hAnsi="Traditional Arabic" w:hint="cs"/>
          <w:sz w:val="32"/>
          <w:szCs w:val="32"/>
          <w:rtl/>
        </w:rPr>
        <w:t>,</w:t>
      </w:r>
      <w:r w:rsidRPr="00845F39">
        <w:rPr>
          <w:rFonts w:ascii="Traditional Arabic" w:hAnsi="Traditional Arabic"/>
          <w:sz w:val="32"/>
          <w:szCs w:val="32"/>
          <w:rtl/>
        </w:rPr>
        <w:t xml:space="preserve"> نَوف بْن فَضالَة البِكالِيُّ، الحِميَريُّ, ابن امرأة كعب الأحبار </w:t>
      </w:r>
      <w:r w:rsidRPr="00845F39">
        <w:rPr>
          <w:rFonts w:ascii="Traditional Arabic" w:hAnsi="Traditional Arabic"/>
          <w:sz w:val="32"/>
          <w:szCs w:val="32"/>
        </w:rPr>
        <w:sym w:font="AGA Arabesque" w:char="F074"/>
      </w:r>
      <w:r w:rsidRPr="00845F39">
        <w:rPr>
          <w:rFonts w:ascii="Traditional Arabic" w:hAnsi="Traditional Arabic"/>
          <w:sz w:val="32"/>
          <w:szCs w:val="32"/>
          <w:rtl/>
        </w:rPr>
        <w:t>, من أهل  دمشق ويقال من أهل فلسطين,</w:t>
      </w:r>
      <w:r w:rsidRPr="00845F39">
        <w:rPr>
          <w:rFonts w:ascii="Traditional Arabic" w:hAnsi="Traditional Arabic"/>
          <w:sz w:val="32"/>
          <w:szCs w:val="32"/>
          <w:rtl/>
          <w:lang w:eastAsia="en-US"/>
        </w:rPr>
        <w:t xml:space="preserve"> </w:t>
      </w:r>
      <w:r w:rsidRPr="00845F39">
        <w:rPr>
          <w:rFonts w:ascii="Traditional Arabic" w:hAnsi="Traditional Arabic"/>
          <w:sz w:val="32"/>
          <w:szCs w:val="32"/>
          <w:rtl/>
        </w:rPr>
        <w:t>ورد ذكره في الصحيحين, كان راويا للقصص, (ت90-100ه). انظر: التاريخ الأوسط للبخاري (2/899), تهذيب الكمال (30/65).</w:t>
      </w:r>
    </w:p>
  </w:footnote>
  <w:footnote w:id="1578">
    <w:p w:rsidR="003F128F" w:rsidRPr="00845F39" w:rsidRDefault="003F128F" w:rsidP="008C14FD">
      <w:pPr>
        <w:ind w:firstLine="0"/>
        <w:rPr>
          <w:rFonts w:ascii="Traditional Arabic" w:hAnsi="Traditional Arabic"/>
          <w:sz w:val="32"/>
          <w:szCs w:val="32"/>
        </w:rPr>
      </w:pPr>
      <w:r w:rsidRPr="00845F39">
        <w:rPr>
          <w:rFonts w:ascii="Traditional Arabic" w:hAnsi="Traditional Arabic"/>
          <w:sz w:val="32"/>
          <w:szCs w:val="32"/>
          <w:rtl/>
        </w:rPr>
        <w:t>(</w:t>
      </w:r>
      <w:r w:rsidRPr="00845F39">
        <w:rPr>
          <w:rStyle w:val="ae"/>
          <w:rFonts w:ascii="Traditional Arabic" w:hAnsi="Traditional Arabic"/>
          <w:sz w:val="32"/>
          <w:szCs w:val="32"/>
          <w:vertAlign w:val="baseline"/>
        </w:rPr>
        <w:footnoteRef/>
      </w:r>
      <w:r w:rsidRPr="00845F39">
        <w:rPr>
          <w:rFonts w:ascii="Traditional Arabic" w:hAnsi="Traditional Arabic"/>
          <w:sz w:val="32"/>
          <w:szCs w:val="32"/>
          <w:rtl/>
        </w:rPr>
        <w:t>) هو المتقدم في (</w:t>
      </w:r>
      <w:r>
        <w:rPr>
          <w:rFonts w:ascii="Traditional Arabic" w:hAnsi="Traditional Arabic" w:hint="cs"/>
          <w:sz w:val="32"/>
          <w:szCs w:val="32"/>
          <w:rtl/>
        </w:rPr>
        <w:t>ص241</w:t>
      </w:r>
      <w:r w:rsidRPr="00845F39">
        <w:rPr>
          <w:rFonts w:ascii="Traditional Arabic" w:hAnsi="Traditional Arabic"/>
          <w:sz w:val="32"/>
          <w:szCs w:val="32"/>
          <w:rtl/>
        </w:rPr>
        <w:t>).</w:t>
      </w:r>
      <w:r w:rsidRPr="00901D81">
        <w:rPr>
          <w:rFonts w:ascii="Traditional Arabic" w:hAnsi="Traditional Arabic"/>
          <w:color w:val="auto"/>
          <w:rtl/>
        </w:rPr>
        <w:t xml:space="preserve"> </w:t>
      </w:r>
    </w:p>
  </w:footnote>
  <w:footnote w:id="1579">
    <w:p w:rsidR="003F128F" w:rsidRPr="00845F39" w:rsidRDefault="003F128F" w:rsidP="00885058">
      <w:pPr>
        <w:pStyle w:val="af3"/>
        <w:rPr>
          <w:rFonts w:ascii="Traditional Arabic" w:hAnsi="Traditional Arabic"/>
          <w:sz w:val="32"/>
          <w:szCs w:val="32"/>
        </w:rPr>
      </w:pPr>
      <w:r w:rsidRPr="00845F39">
        <w:rPr>
          <w:rFonts w:ascii="Traditional Arabic" w:hAnsi="Traditional Arabic"/>
          <w:sz w:val="32"/>
          <w:szCs w:val="32"/>
          <w:rtl/>
        </w:rPr>
        <w:t>(</w:t>
      </w:r>
      <w:r w:rsidRPr="00845F39">
        <w:rPr>
          <w:rStyle w:val="ae"/>
          <w:rFonts w:ascii="Traditional Arabic" w:hAnsi="Traditional Arabic"/>
          <w:sz w:val="32"/>
          <w:szCs w:val="32"/>
          <w:vertAlign w:val="baseline"/>
        </w:rPr>
        <w:footnoteRef/>
      </w:r>
      <w:r w:rsidRPr="00845F39">
        <w:rPr>
          <w:rFonts w:ascii="Traditional Arabic" w:hAnsi="Traditional Arabic"/>
          <w:sz w:val="32"/>
          <w:szCs w:val="32"/>
          <w:rtl/>
        </w:rPr>
        <w:t xml:space="preserve">) انظر: النكت والعيون (3/321), وذكره السمرقندي في بحر العلوم (2/353) ونسبه للقتبي, والبغوي في معالم التنزيل (5/183) غير منسوب. </w:t>
      </w:r>
    </w:p>
  </w:footnote>
  <w:footnote w:id="1580">
    <w:p w:rsidR="003F128F" w:rsidRPr="002B11BF" w:rsidRDefault="003F128F" w:rsidP="00885058">
      <w:pPr>
        <w:pStyle w:val="af3"/>
        <w:rPr>
          <w:rFonts w:ascii="Traditional Arabic" w:hAnsi="Traditional Arabic"/>
          <w:sz w:val="32"/>
          <w:szCs w:val="32"/>
        </w:rPr>
      </w:pPr>
      <w:r w:rsidRPr="002B11BF">
        <w:rPr>
          <w:rFonts w:ascii="Traditional Arabic" w:hAnsi="Traditional Arabic"/>
          <w:sz w:val="32"/>
          <w:szCs w:val="32"/>
          <w:rtl/>
        </w:rPr>
        <w:t>(</w:t>
      </w:r>
      <w:r w:rsidRPr="002B11BF">
        <w:rPr>
          <w:rStyle w:val="ae"/>
          <w:rFonts w:ascii="Traditional Arabic" w:hAnsi="Traditional Arabic"/>
          <w:sz w:val="32"/>
          <w:szCs w:val="32"/>
          <w:vertAlign w:val="baseline"/>
        </w:rPr>
        <w:footnoteRef/>
      </w:r>
      <w:r>
        <w:rPr>
          <w:rFonts w:ascii="Traditional Arabic" w:hAnsi="Traditional Arabic"/>
          <w:sz w:val="32"/>
          <w:szCs w:val="32"/>
          <w:rtl/>
        </w:rPr>
        <w:t xml:space="preserve">) </w:t>
      </w:r>
      <w:r>
        <w:rPr>
          <w:rFonts w:ascii="Traditional Arabic" w:hAnsi="Traditional Arabic" w:hint="cs"/>
          <w:sz w:val="32"/>
          <w:szCs w:val="32"/>
          <w:rtl/>
        </w:rPr>
        <w:t>انظر: تفسير الطبري (18/55), بحر العلوم (2/353).</w:t>
      </w:r>
      <w:r w:rsidRPr="002B11BF">
        <w:rPr>
          <w:rFonts w:ascii="Traditional Arabic" w:hAnsi="Traditional Arabic"/>
          <w:sz w:val="32"/>
          <w:szCs w:val="32"/>
          <w:rtl/>
        </w:rPr>
        <w:t xml:space="preserve">  </w:t>
      </w:r>
    </w:p>
  </w:footnote>
  <w:footnote w:id="1581">
    <w:p w:rsidR="003F128F" w:rsidRPr="00845F39" w:rsidRDefault="003F128F" w:rsidP="00885058">
      <w:pPr>
        <w:pStyle w:val="af3"/>
        <w:rPr>
          <w:rFonts w:ascii="Traditional Arabic" w:hAnsi="Traditional Arabic"/>
          <w:sz w:val="32"/>
          <w:szCs w:val="32"/>
        </w:rPr>
      </w:pPr>
      <w:r w:rsidRPr="00845F39">
        <w:rPr>
          <w:rFonts w:ascii="Traditional Arabic" w:hAnsi="Traditional Arabic"/>
          <w:sz w:val="32"/>
          <w:szCs w:val="32"/>
          <w:rtl/>
        </w:rPr>
        <w:t>(</w:t>
      </w:r>
      <w:r w:rsidRPr="00845F39">
        <w:rPr>
          <w:rStyle w:val="ae"/>
          <w:rFonts w:ascii="Traditional Arabic" w:hAnsi="Traditional Arabic"/>
          <w:sz w:val="32"/>
          <w:szCs w:val="32"/>
          <w:vertAlign w:val="baseline"/>
        </w:rPr>
        <w:footnoteRef/>
      </w:r>
      <w:r w:rsidRPr="00845F39">
        <w:rPr>
          <w:rFonts w:ascii="Traditional Arabic" w:hAnsi="Traditional Arabic"/>
          <w:sz w:val="32"/>
          <w:szCs w:val="32"/>
          <w:rtl/>
        </w:rPr>
        <w:t>) البيت لبيهس العذري كما في اللسان (2/541) مادة (فرح).</w:t>
      </w:r>
    </w:p>
  </w:footnote>
  <w:footnote w:id="1582">
    <w:p w:rsidR="003F128F" w:rsidRPr="00845F39" w:rsidRDefault="003F128F" w:rsidP="00885058">
      <w:pPr>
        <w:pStyle w:val="af3"/>
        <w:rPr>
          <w:rFonts w:ascii="Traditional Arabic" w:hAnsi="Traditional Arabic"/>
          <w:sz w:val="32"/>
          <w:szCs w:val="32"/>
        </w:rPr>
      </w:pPr>
      <w:r w:rsidRPr="00845F39">
        <w:rPr>
          <w:rFonts w:ascii="Traditional Arabic" w:hAnsi="Traditional Arabic"/>
          <w:sz w:val="32"/>
          <w:szCs w:val="32"/>
          <w:rtl/>
        </w:rPr>
        <w:t>(</w:t>
      </w:r>
      <w:r w:rsidRPr="00845F39">
        <w:rPr>
          <w:rStyle w:val="ae"/>
          <w:rFonts w:ascii="Traditional Arabic" w:hAnsi="Traditional Arabic"/>
          <w:sz w:val="32"/>
          <w:szCs w:val="32"/>
          <w:vertAlign w:val="baseline"/>
        </w:rPr>
        <w:footnoteRef/>
      </w:r>
      <w:r w:rsidRPr="00845F39">
        <w:rPr>
          <w:rFonts w:ascii="Traditional Arabic" w:hAnsi="Traditional Arabic"/>
          <w:sz w:val="32"/>
          <w:szCs w:val="32"/>
          <w:rtl/>
        </w:rPr>
        <w:t xml:space="preserve">) في الأصل: [قاله], والمثبت من (ك). </w:t>
      </w:r>
    </w:p>
  </w:footnote>
  <w:footnote w:id="1583">
    <w:p w:rsidR="003F128F" w:rsidRPr="00223133" w:rsidRDefault="003F128F" w:rsidP="00885058">
      <w:pPr>
        <w:pStyle w:val="af3"/>
        <w:rPr>
          <w:rFonts w:ascii="Traditional Arabic" w:hAnsi="Traditional Arabic"/>
          <w:sz w:val="32"/>
          <w:szCs w:val="32"/>
        </w:rPr>
      </w:pPr>
      <w:r w:rsidRPr="00845F39">
        <w:rPr>
          <w:rFonts w:ascii="Traditional Arabic" w:hAnsi="Traditional Arabic"/>
          <w:sz w:val="32"/>
          <w:szCs w:val="32"/>
          <w:rtl/>
        </w:rPr>
        <w:t>(</w:t>
      </w:r>
      <w:r w:rsidRPr="00845F39">
        <w:rPr>
          <w:rStyle w:val="ae"/>
          <w:rFonts w:ascii="Traditional Arabic" w:hAnsi="Traditional Arabic"/>
          <w:sz w:val="32"/>
          <w:szCs w:val="32"/>
          <w:vertAlign w:val="baseline"/>
        </w:rPr>
        <w:footnoteRef/>
      </w:r>
      <w:r w:rsidRPr="00845F39">
        <w:rPr>
          <w:rFonts w:ascii="Traditional Arabic" w:hAnsi="Traditional Arabic"/>
          <w:sz w:val="32"/>
          <w:szCs w:val="32"/>
          <w:rtl/>
        </w:rPr>
        <w:t>) انظر: تفسير يحيى بن سلام (1/195), تفسير</w:t>
      </w:r>
      <w:r w:rsidRPr="00223133">
        <w:rPr>
          <w:rFonts w:ascii="Traditional Arabic" w:hAnsi="Traditional Arabic"/>
          <w:sz w:val="32"/>
          <w:szCs w:val="32"/>
          <w:rtl/>
        </w:rPr>
        <w:t xml:space="preserve"> عبد الرزاق (3/266)</w:t>
      </w:r>
      <w:r>
        <w:rPr>
          <w:rFonts w:ascii="Traditional Arabic" w:hAnsi="Traditional Arabic" w:hint="cs"/>
          <w:sz w:val="32"/>
          <w:szCs w:val="32"/>
          <w:rtl/>
        </w:rPr>
        <w:t>.</w:t>
      </w:r>
    </w:p>
  </w:footnote>
  <w:footnote w:id="1584">
    <w:p w:rsidR="003F128F" w:rsidRPr="00223133" w:rsidRDefault="003F128F" w:rsidP="00885058">
      <w:pPr>
        <w:pStyle w:val="af3"/>
        <w:rPr>
          <w:rFonts w:ascii="Traditional Arabic" w:hAnsi="Traditional Arabic"/>
          <w:sz w:val="32"/>
          <w:szCs w:val="32"/>
        </w:rPr>
      </w:pPr>
      <w:r w:rsidRPr="00223133">
        <w:rPr>
          <w:rFonts w:ascii="Traditional Arabic" w:hAnsi="Traditional Arabic"/>
          <w:sz w:val="32"/>
          <w:szCs w:val="32"/>
          <w:rtl/>
        </w:rPr>
        <w:t>(</w:t>
      </w:r>
      <w:r w:rsidRPr="00223133">
        <w:rPr>
          <w:rStyle w:val="ae"/>
          <w:rFonts w:ascii="Traditional Arabic" w:hAnsi="Traditional Arabic"/>
          <w:sz w:val="32"/>
          <w:szCs w:val="32"/>
          <w:vertAlign w:val="baseline"/>
        </w:rPr>
        <w:footnoteRef/>
      </w:r>
      <w:r w:rsidRPr="00223133">
        <w:rPr>
          <w:rFonts w:ascii="Traditional Arabic" w:hAnsi="Traditional Arabic"/>
          <w:sz w:val="32"/>
          <w:szCs w:val="32"/>
          <w:rtl/>
        </w:rPr>
        <w:t>) تفسير ابن أبي حاتم (7/2375),  الكشف والبيان (6/180)</w:t>
      </w:r>
      <w:r>
        <w:rPr>
          <w:rFonts w:ascii="Traditional Arabic" w:hAnsi="Traditional Arabic" w:hint="cs"/>
          <w:sz w:val="32"/>
          <w:szCs w:val="32"/>
          <w:rtl/>
        </w:rPr>
        <w:t>.</w:t>
      </w:r>
    </w:p>
  </w:footnote>
  <w:footnote w:id="1585">
    <w:p w:rsidR="003F128F" w:rsidRPr="00223133" w:rsidRDefault="003F128F" w:rsidP="00885058">
      <w:pPr>
        <w:pStyle w:val="af3"/>
        <w:rPr>
          <w:rFonts w:ascii="Traditional Arabic" w:hAnsi="Traditional Arabic"/>
          <w:sz w:val="32"/>
          <w:szCs w:val="32"/>
          <w:rtl/>
        </w:rPr>
      </w:pPr>
      <w:r w:rsidRPr="00223133">
        <w:rPr>
          <w:rFonts w:ascii="Traditional Arabic" w:hAnsi="Traditional Arabic"/>
          <w:sz w:val="32"/>
          <w:szCs w:val="32"/>
          <w:rtl/>
        </w:rPr>
        <w:t>(</w:t>
      </w:r>
      <w:r w:rsidRPr="00223133">
        <w:rPr>
          <w:rStyle w:val="ae"/>
          <w:rFonts w:ascii="Traditional Arabic" w:hAnsi="Traditional Arabic"/>
          <w:sz w:val="32"/>
          <w:szCs w:val="32"/>
          <w:vertAlign w:val="baseline"/>
        </w:rPr>
        <w:footnoteRef/>
      </w:r>
      <w:r w:rsidRPr="00223133">
        <w:rPr>
          <w:rFonts w:ascii="Traditional Arabic" w:hAnsi="Traditional Arabic"/>
          <w:sz w:val="32"/>
          <w:szCs w:val="32"/>
          <w:rtl/>
        </w:rPr>
        <w:t xml:space="preserve">) تفسير الطبري (18/55), تفسير ابن أبي حاتم (7/2376). </w:t>
      </w:r>
    </w:p>
  </w:footnote>
  <w:footnote w:id="1586">
    <w:p w:rsidR="003F128F" w:rsidRPr="00223133" w:rsidRDefault="003F128F" w:rsidP="00885058">
      <w:pPr>
        <w:pStyle w:val="af3"/>
        <w:rPr>
          <w:rFonts w:ascii="Traditional Arabic" w:hAnsi="Traditional Arabic"/>
          <w:sz w:val="32"/>
          <w:szCs w:val="32"/>
        </w:rPr>
      </w:pPr>
      <w:r w:rsidRPr="00223133">
        <w:rPr>
          <w:rFonts w:ascii="Traditional Arabic" w:hAnsi="Traditional Arabic"/>
          <w:sz w:val="32"/>
          <w:szCs w:val="32"/>
          <w:rtl/>
        </w:rPr>
        <w:t>(</w:t>
      </w:r>
      <w:r w:rsidRPr="00223133">
        <w:rPr>
          <w:rStyle w:val="ae"/>
          <w:rFonts w:ascii="Traditional Arabic" w:hAnsi="Traditional Arabic"/>
          <w:sz w:val="32"/>
          <w:szCs w:val="32"/>
          <w:vertAlign w:val="baseline"/>
        </w:rPr>
        <w:footnoteRef/>
      </w:r>
      <w:r w:rsidRPr="00223133">
        <w:rPr>
          <w:rFonts w:ascii="Traditional Arabic" w:hAnsi="Traditional Arabic"/>
          <w:sz w:val="32"/>
          <w:szCs w:val="32"/>
          <w:rtl/>
        </w:rPr>
        <w:t>)</w:t>
      </w:r>
      <w:r>
        <w:rPr>
          <w:rFonts w:ascii="Traditional Arabic" w:hAnsi="Traditional Arabic" w:hint="cs"/>
          <w:sz w:val="32"/>
          <w:szCs w:val="32"/>
          <w:rtl/>
        </w:rPr>
        <w:t xml:space="preserve"> </w:t>
      </w:r>
      <w:r w:rsidRPr="00223133">
        <w:rPr>
          <w:rFonts w:ascii="Traditional Arabic" w:hAnsi="Traditional Arabic"/>
          <w:sz w:val="32"/>
          <w:szCs w:val="32"/>
          <w:rtl/>
        </w:rPr>
        <w:t xml:space="preserve">انظر: مختصر الشواذ لابن خالويه (ص83) ونسبها للحسن, وكذلك ابن عطية في المحرر الوجيز (3/528), معجم القراءات (5/253). </w:t>
      </w:r>
    </w:p>
  </w:footnote>
  <w:footnote w:id="1587">
    <w:p w:rsidR="003F128F" w:rsidRPr="00223133" w:rsidRDefault="003F128F" w:rsidP="00885058">
      <w:pPr>
        <w:pStyle w:val="af3"/>
        <w:rPr>
          <w:rFonts w:ascii="Traditional Arabic" w:hAnsi="Traditional Arabic"/>
          <w:sz w:val="32"/>
          <w:szCs w:val="32"/>
        </w:rPr>
      </w:pPr>
      <w:r w:rsidRPr="00223133">
        <w:rPr>
          <w:rFonts w:ascii="Traditional Arabic" w:hAnsi="Traditional Arabic"/>
          <w:sz w:val="32"/>
          <w:szCs w:val="32"/>
          <w:rtl/>
        </w:rPr>
        <w:t>(</w:t>
      </w:r>
      <w:r w:rsidRPr="00223133">
        <w:rPr>
          <w:rStyle w:val="ae"/>
          <w:rFonts w:ascii="Traditional Arabic" w:hAnsi="Traditional Arabic"/>
          <w:sz w:val="32"/>
          <w:szCs w:val="32"/>
          <w:vertAlign w:val="baseline"/>
        </w:rPr>
        <w:footnoteRef/>
      </w:r>
      <w:r w:rsidRPr="00223133">
        <w:rPr>
          <w:rFonts w:ascii="Traditional Arabic" w:hAnsi="Traditional Arabic"/>
          <w:sz w:val="32"/>
          <w:szCs w:val="32"/>
          <w:rtl/>
        </w:rPr>
        <w:t xml:space="preserve">) أدب الكاتب (ص95). </w:t>
      </w:r>
    </w:p>
  </w:footnote>
  <w:footnote w:id="1588">
    <w:p w:rsidR="003F128F" w:rsidRPr="00223133" w:rsidRDefault="003F128F" w:rsidP="00885058">
      <w:pPr>
        <w:pStyle w:val="af3"/>
        <w:rPr>
          <w:rFonts w:ascii="Traditional Arabic" w:hAnsi="Traditional Arabic"/>
          <w:sz w:val="32"/>
          <w:szCs w:val="32"/>
        </w:rPr>
      </w:pPr>
      <w:r w:rsidRPr="00223133">
        <w:rPr>
          <w:rFonts w:ascii="Traditional Arabic" w:hAnsi="Traditional Arabic"/>
          <w:sz w:val="32"/>
          <w:szCs w:val="32"/>
          <w:rtl/>
        </w:rPr>
        <w:t>(</w:t>
      </w:r>
      <w:r w:rsidRPr="00223133">
        <w:rPr>
          <w:rStyle w:val="ae"/>
          <w:rFonts w:ascii="Traditional Arabic" w:hAnsi="Traditional Arabic"/>
          <w:sz w:val="32"/>
          <w:szCs w:val="32"/>
          <w:vertAlign w:val="baseline"/>
        </w:rPr>
        <w:footnoteRef/>
      </w:r>
      <w:r w:rsidRPr="00223133">
        <w:rPr>
          <w:rFonts w:ascii="Traditional Arabic" w:hAnsi="Traditional Arabic"/>
          <w:sz w:val="32"/>
          <w:szCs w:val="32"/>
          <w:rtl/>
        </w:rPr>
        <w:t>)</w:t>
      </w:r>
      <w:r>
        <w:rPr>
          <w:rFonts w:ascii="Traditional Arabic" w:hAnsi="Traditional Arabic" w:hint="cs"/>
          <w:sz w:val="32"/>
          <w:szCs w:val="32"/>
          <w:rtl/>
        </w:rPr>
        <w:t xml:space="preserve"> </w:t>
      </w:r>
      <w:r w:rsidRPr="00223133">
        <w:rPr>
          <w:rFonts w:ascii="Traditional Arabic" w:hAnsi="Traditional Arabic"/>
          <w:sz w:val="32"/>
          <w:szCs w:val="32"/>
          <w:rtl/>
        </w:rPr>
        <w:t>تفسير الطبري (18/5</w:t>
      </w:r>
      <w:r>
        <w:rPr>
          <w:rFonts w:ascii="Traditional Arabic" w:hAnsi="Traditional Arabic" w:hint="cs"/>
          <w:sz w:val="32"/>
          <w:szCs w:val="32"/>
          <w:rtl/>
        </w:rPr>
        <w:t>6</w:t>
      </w:r>
      <w:r w:rsidRPr="00223133">
        <w:rPr>
          <w:rFonts w:ascii="Traditional Arabic" w:hAnsi="Traditional Arabic"/>
          <w:sz w:val="32"/>
          <w:szCs w:val="32"/>
          <w:rtl/>
        </w:rPr>
        <w:t>)</w:t>
      </w:r>
      <w:r>
        <w:rPr>
          <w:rFonts w:ascii="Traditional Arabic" w:hAnsi="Traditional Arabic" w:hint="cs"/>
          <w:sz w:val="32"/>
          <w:szCs w:val="32"/>
          <w:rtl/>
        </w:rPr>
        <w:t xml:space="preserve">, </w:t>
      </w:r>
      <w:r>
        <w:rPr>
          <w:rFonts w:ascii="Traditional Arabic" w:hAnsi="Traditional Arabic"/>
          <w:sz w:val="32"/>
          <w:szCs w:val="32"/>
          <w:rtl/>
        </w:rPr>
        <w:t>تفسير ابن أبي حاتم (7/237</w:t>
      </w:r>
      <w:r>
        <w:rPr>
          <w:rFonts w:ascii="Traditional Arabic" w:hAnsi="Traditional Arabic" w:hint="cs"/>
          <w:sz w:val="32"/>
          <w:szCs w:val="32"/>
          <w:rtl/>
        </w:rPr>
        <w:t>6</w:t>
      </w:r>
      <w:r>
        <w:rPr>
          <w:rFonts w:ascii="Traditional Arabic" w:hAnsi="Traditional Arabic"/>
          <w:sz w:val="32"/>
          <w:szCs w:val="32"/>
          <w:rtl/>
        </w:rPr>
        <w:t>)</w:t>
      </w:r>
      <w:r>
        <w:rPr>
          <w:rFonts w:ascii="Traditional Arabic" w:hAnsi="Traditional Arabic" w:hint="cs"/>
          <w:sz w:val="32"/>
          <w:szCs w:val="32"/>
          <w:rtl/>
        </w:rPr>
        <w:t>.</w:t>
      </w:r>
      <w:r>
        <w:rPr>
          <w:rFonts w:ascii="Tahoma" w:hAnsi="Tahoma"/>
          <w:rtl/>
        </w:rPr>
        <w:t xml:space="preserve"> </w:t>
      </w:r>
      <w:r w:rsidRPr="00223133">
        <w:rPr>
          <w:rFonts w:ascii="Traditional Arabic" w:hAnsi="Traditional Arabic"/>
          <w:sz w:val="32"/>
          <w:szCs w:val="32"/>
          <w:rtl/>
        </w:rPr>
        <w:t xml:space="preserve"> </w:t>
      </w:r>
    </w:p>
  </w:footnote>
  <w:footnote w:id="1589">
    <w:p w:rsidR="003F128F" w:rsidRPr="00F91474" w:rsidRDefault="003F128F" w:rsidP="00885058">
      <w:pPr>
        <w:pStyle w:val="af3"/>
        <w:rPr>
          <w:rFonts w:ascii="Traditional Arabic" w:hAnsi="Traditional Arabic"/>
          <w:color w:val="auto"/>
          <w:sz w:val="32"/>
          <w:szCs w:val="32"/>
        </w:rPr>
      </w:pPr>
      <w:r w:rsidRPr="00F91474">
        <w:rPr>
          <w:rFonts w:ascii="Traditional Arabic" w:hAnsi="Traditional Arabic"/>
          <w:color w:val="auto"/>
          <w:sz w:val="32"/>
          <w:szCs w:val="32"/>
          <w:rtl/>
        </w:rPr>
        <w:t>(</w:t>
      </w:r>
      <w:r w:rsidRPr="00F91474">
        <w:rPr>
          <w:rStyle w:val="ae"/>
          <w:rFonts w:ascii="Traditional Arabic" w:hAnsi="Traditional Arabic"/>
          <w:color w:val="auto"/>
          <w:sz w:val="32"/>
          <w:szCs w:val="32"/>
          <w:vertAlign w:val="baseline"/>
        </w:rPr>
        <w:footnoteRef/>
      </w:r>
      <w:r w:rsidRPr="00F91474">
        <w:rPr>
          <w:rFonts w:ascii="Traditional Arabic" w:hAnsi="Traditional Arabic"/>
          <w:color w:val="auto"/>
          <w:sz w:val="32"/>
          <w:szCs w:val="32"/>
          <w:rtl/>
        </w:rPr>
        <w:t xml:space="preserve">) تفسير الطبري (18/56), الكشف والبيان (6/181). </w:t>
      </w:r>
    </w:p>
  </w:footnote>
  <w:footnote w:id="1590">
    <w:p w:rsidR="003F128F" w:rsidRPr="00F91474" w:rsidRDefault="003F128F" w:rsidP="00885058">
      <w:pPr>
        <w:pStyle w:val="af3"/>
        <w:rPr>
          <w:rFonts w:ascii="Traditional Arabic" w:hAnsi="Traditional Arabic"/>
          <w:color w:val="auto"/>
          <w:sz w:val="32"/>
          <w:szCs w:val="32"/>
        </w:rPr>
      </w:pPr>
      <w:r w:rsidRPr="00F91474">
        <w:rPr>
          <w:rFonts w:ascii="Traditional Arabic" w:hAnsi="Traditional Arabic"/>
          <w:color w:val="auto"/>
          <w:sz w:val="32"/>
          <w:szCs w:val="32"/>
          <w:rtl/>
        </w:rPr>
        <w:t>(</w:t>
      </w:r>
      <w:r w:rsidRPr="00F91474">
        <w:rPr>
          <w:rStyle w:val="ae"/>
          <w:rFonts w:ascii="Traditional Arabic" w:hAnsi="Traditional Arabic"/>
          <w:color w:val="auto"/>
          <w:sz w:val="32"/>
          <w:szCs w:val="32"/>
          <w:vertAlign w:val="baseline"/>
        </w:rPr>
        <w:footnoteRef/>
      </w:r>
      <w:r w:rsidRPr="00F91474">
        <w:rPr>
          <w:rFonts w:ascii="Traditional Arabic" w:hAnsi="Traditional Arabic"/>
          <w:color w:val="auto"/>
          <w:sz w:val="32"/>
          <w:szCs w:val="32"/>
          <w:rtl/>
        </w:rPr>
        <w:t xml:space="preserve">) تفسير الطبري (24/161), النكت والعيون (6/186). </w:t>
      </w:r>
    </w:p>
  </w:footnote>
  <w:footnote w:id="1591">
    <w:p w:rsidR="003F128F" w:rsidRPr="00F91474" w:rsidRDefault="003F128F" w:rsidP="00885058">
      <w:pPr>
        <w:pStyle w:val="af3"/>
        <w:rPr>
          <w:rFonts w:ascii="Traditional Arabic" w:hAnsi="Traditional Arabic"/>
          <w:color w:val="auto"/>
          <w:sz w:val="32"/>
          <w:szCs w:val="32"/>
        </w:rPr>
      </w:pPr>
      <w:r w:rsidRPr="00F91474">
        <w:rPr>
          <w:rFonts w:ascii="Traditional Arabic" w:hAnsi="Traditional Arabic"/>
          <w:color w:val="auto"/>
          <w:sz w:val="32"/>
          <w:szCs w:val="32"/>
          <w:rtl/>
        </w:rPr>
        <w:t>(</w:t>
      </w:r>
      <w:r w:rsidRPr="00F91474">
        <w:rPr>
          <w:rStyle w:val="ae"/>
          <w:rFonts w:ascii="Traditional Arabic" w:hAnsi="Traditional Arabic"/>
          <w:color w:val="auto"/>
          <w:sz w:val="32"/>
          <w:szCs w:val="32"/>
          <w:vertAlign w:val="baseline"/>
        </w:rPr>
        <w:footnoteRef/>
      </w:r>
      <w:r w:rsidRPr="00F91474">
        <w:rPr>
          <w:rFonts w:ascii="Traditional Arabic" w:hAnsi="Traditional Arabic"/>
          <w:color w:val="auto"/>
          <w:sz w:val="32"/>
          <w:szCs w:val="32"/>
          <w:rtl/>
        </w:rPr>
        <w:t xml:space="preserve">) انظر: تفسير الطبري (24/162), الكشف والبيان (10/116). </w:t>
      </w:r>
    </w:p>
  </w:footnote>
  <w:footnote w:id="1592">
    <w:p w:rsidR="003F128F" w:rsidRPr="00F91474" w:rsidRDefault="003F128F" w:rsidP="00885058">
      <w:pPr>
        <w:pStyle w:val="af3"/>
        <w:rPr>
          <w:rFonts w:ascii="Traditional Arabic" w:hAnsi="Traditional Arabic"/>
          <w:color w:val="auto"/>
          <w:sz w:val="32"/>
          <w:szCs w:val="32"/>
        </w:rPr>
      </w:pPr>
      <w:r w:rsidRPr="00F91474">
        <w:rPr>
          <w:rFonts w:ascii="Traditional Arabic" w:hAnsi="Traditional Arabic"/>
          <w:color w:val="auto"/>
          <w:sz w:val="32"/>
          <w:szCs w:val="32"/>
          <w:rtl/>
        </w:rPr>
        <w:t>(</w:t>
      </w:r>
      <w:r w:rsidRPr="00F91474">
        <w:rPr>
          <w:rStyle w:val="ae"/>
          <w:rFonts w:ascii="Traditional Arabic" w:hAnsi="Traditional Arabic"/>
          <w:color w:val="auto"/>
          <w:sz w:val="32"/>
          <w:szCs w:val="32"/>
          <w:vertAlign w:val="baseline"/>
        </w:rPr>
        <w:footnoteRef/>
      </w:r>
      <w:r w:rsidRPr="00F91474">
        <w:rPr>
          <w:rFonts w:ascii="Traditional Arabic" w:hAnsi="Traditional Arabic"/>
          <w:color w:val="auto"/>
          <w:sz w:val="32"/>
          <w:szCs w:val="32"/>
          <w:rtl/>
        </w:rPr>
        <w:t>) تفسير يحيى بن سلام (1/195), تفسير الطبري (18/56).</w:t>
      </w:r>
    </w:p>
  </w:footnote>
  <w:footnote w:id="1593">
    <w:p w:rsidR="003F128F" w:rsidRPr="00F91474" w:rsidRDefault="003F128F" w:rsidP="00885058">
      <w:pPr>
        <w:pStyle w:val="af3"/>
        <w:rPr>
          <w:rFonts w:ascii="Traditional Arabic" w:hAnsi="Traditional Arabic"/>
          <w:color w:val="auto"/>
          <w:sz w:val="32"/>
          <w:szCs w:val="32"/>
        </w:rPr>
      </w:pPr>
      <w:r w:rsidRPr="00F91474">
        <w:rPr>
          <w:rFonts w:ascii="Traditional Arabic" w:hAnsi="Traditional Arabic"/>
          <w:color w:val="auto"/>
          <w:sz w:val="32"/>
          <w:szCs w:val="32"/>
          <w:rtl/>
        </w:rPr>
        <w:t>(</w:t>
      </w:r>
      <w:r w:rsidRPr="00F91474">
        <w:rPr>
          <w:rStyle w:val="ae"/>
          <w:rFonts w:ascii="Traditional Arabic" w:hAnsi="Traditional Arabic"/>
          <w:color w:val="auto"/>
          <w:sz w:val="32"/>
          <w:szCs w:val="32"/>
          <w:vertAlign w:val="baseline"/>
        </w:rPr>
        <w:footnoteRef/>
      </w:r>
      <w:r w:rsidRPr="00F91474">
        <w:rPr>
          <w:rFonts w:ascii="Traditional Arabic" w:hAnsi="Traditional Arabic"/>
          <w:color w:val="auto"/>
          <w:sz w:val="32"/>
          <w:szCs w:val="32"/>
          <w:rtl/>
        </w:rPr>
        <w:t xml:space="preserve">) في (ك): [والخامس: أنه سبعة عشر ألف سنة].  </w:t>
      </w:r>
    </w:p>
  </w:footnote>
  <w:footnote w:id="1594">
    <w:p w:rsidR="003F128F" w:rsidRPr="00F91474" w:rsidRDefault="003F128F" w:rsidP="00885058">
      <w:pPr>
        <w:pStyle w:val="af3"/>
        <w:rPr>
          <w:rFonts w:ascii="Traditional Arabic" w:hAnsi="Traditional Arabic"/>
          <w:color w:val="auto"/>
          <w:sz w:val="32"/>
          <w:szCs w:val="32"/>
        </w:rPr>
      </w:pPr>
      <w:r w:rsidRPr="00F91474">
        <w:rPr>
          <w:rFonts w:ascii="Traditional Arabic" w:hAnsi="Traditional Arabic"/>
          <w:color w:val="auto"/>
          <w:sz w:val="32"/>
          <w:szCs w:val="32"/>
          <w:rtl/>
        </w:rPr>
        <w:t>(</w:t>
      </w:r>
      <w:r w:rsidRPr="00F91474">
        <w:rPr>
          <w:rStyle w:val="ae"/>
          <w:rFonts w:ascii="Traditional Arabic" w:hAnsi="Traditional Arabic"/>
          <w:color w:val="auto"/>
          <w:sz w:val="32"/>
          <w:szCs w:val="32"/>
          <w:vertAlign w:val="baseline"/>
        </w:rPr>
        <w:footnoteRef/>
      </w:r>
      <w:r w:rsidRPr="00F91474">
        <w:rPr>
          <w:rFonts w:ascii="Traditional Arabic" w:hAnsi="Traditional Arabic"/>
          <w:color w:val="auto"/>
          <w:sz w:val="32"/>
          <w:szCs w:val="32"/>
          <w:rtl/>
        </w:rPr>
        <w:t>) الكشف والبيان (10/116), المحرر الوجيز (3/526).</w:t>
      </w:r>
    </w:p>
  </w:footnote>
  <w:footnote w:id="1595">
    <w:p w:rsidR="003F128F" w:rsidRPr="00F91474" w:rsidRDefault="003F128F" w:rsidP="00885058">
      <w:pPr>
        <w:pStyle w:val="af3"/>
        <w:rPr>
          <w:rFonts w:ascii="Traditional Arabic" w:hAnsi="Traditional Arabic"/>
          <w:color w:val="auto"/>
          <w:sz w:val="32"/>
          <w:szCs w:val="32"/>
        </w:rPr>
      </w:pPr>
      <w:r w:rsidRPr="00F91474">
        <w:rPr>
          <w:rFonts w:ascii="Traditional Arabic" w:hAnsi="Traditional Arabic"/>
          <w:color w:val="auto"/>
          <w:sz w:val="32"/>
          <w:szCs w:val="32"/>
          <w:rtl/>
        </w:rPr>
        <w:t>(</w:t>
      </w:r>
      <w:r w:rsidRPr="00F91474">
        <w:rPr>
          <w:rStyle w:val="ae"/>
          <w:rFonts w:ascii="Traditional Arabic" w:hAnsi="Traditional Arabic"/>
          <w:color w:val="auto"/>
          <w:sz w:val="32"/>
          <w:szCs w:val="32"/>
          <w:vertAlign w:val="baseline"/>
        </w:rPr>
        <w:footnoteRef/>
      </w:r>
      <w:r w:rsidRPr="00F91474">
        <w:rPr>
          <w:rFonts w:ascii="Traditional Arabic" w:hAnsi="Traditional Arabic"/>
          <w:color w:val="auto"/>
          <w:sz w:val="32"/>
          <w:szCs w:val="32"/>
          <w:rtl/>
        </w:rPr>
        <w:t xml:space="preserve">) انظر: معاني القرآن (2/154). </w:t>
      </w:r>
    </w:p>
  </w:footnote>
  <w:footnote w:id="1596">
    <w:p w:rsidR="003F128F" w:rsidRPr="00FA5EDA" w:rsidRDefault="003F128F" w:rsidP="00885058">
      <w:pPr>
        <w:pStyle w:val="af3"/>
        <w:rPr>
          <w:rFonts w:ascii="Traditional Arabic" w:hAnsi="Traditional Arabic"/>
          <w:sz w:val="32"/>
          <w:szCs w:val="32"/>
        </w:rPr>
      </w:pPr>
      <w:r w:rsidRPr="00F91474">
        <w:rPr>
          <w:rFonts w:ascii="Traditional Arabic" w:hAnsi="Traditional Arabic"/>
          <w:color w:val="auto"/>
          <w:sz w:val="32"/>
          <w:szCs w:val="32"/>
          <w:rtl/>
        </w:rPr>
        <w:t>(</w:t>
      </w:r>
      <w:r w:rsidRPr="00F91474">
        <w:rPr>
          <w:rStyle w:val="ae"/>
          <w:rFonts w:ascii="Traditional Arabic" w:hAnsi="Traditional Arabic"/>
          <w:color w:val="auto"/>
          <w:sz w:val="32"/>
          <w:szCs w:val="32"/>
          <w:vertAlign w:val="baseline"/>
        </w:rPr>
        <w:footnoteRef/>
      </w:r>
      <w:r w:rsidRPr="00F91474">
        <w:rPr>
          <w:rFonts w:ascii="Traditional Arabic" w:hAnsi="Traditional Arabic"/>
          <w:color w:val="auto"/>
          <w:sz w:val="32"/>
          <w:szCs w:val="32"/>
          <w:rtl/>
        </w:rPr>
        <w:t xml:space="preserve">) انظر: مجاز القرآن (1/409). </w:t>
      </w:r>
    </w:p>
  </w:footnote>
  <w:footnote w:id="1597">
    <w:p w:rsidR="003F128F" w:rsidRPr="00FA5EDA" w:rsidRDefault="003F128F" w:rsidP="00885058">
      <w:pPr>
        <w:pStyle w:val="af3"/>
        <w:rPr>
          <w:rFonts w:ascii="Traditional Arabic" w:hAnsi="Traditional Arabic"/>
          <w:sz w:val="32"/>
          <w:szCs w:val="32"/>
        </w:rPr>
      </w:pPr>
      <w:r w:rsidRPr="00FA5EDA">
        <w:rPr>
          <w:rFonts w:ascii="Traditional Arabic" w:hAnsi="Traditional Arabic"/>
          <w:sz w:val="32"/>
          <w:szCs w:val="32"/>
          <w:rtl/>
        </w:rPr>
        <w:t>(</w:t>
      </w:r>
      <w:r w:rsidRPr="00FA5EDA">
        <w:rPr>
          <w:rStyle w:val="ae"/>
          <w:rFonts w:ascii="Traditional Arabic" w:hAnsi="Traditional Arabic"/>
          <w:sz w:val="32"/>
          <w:szCs w:val="32"/>
          <w:vertAlign w:val="baseline"/>
        </w:rPr>
        <w:footnoteRef/>
      </w:r>
      <w:r w:rsidRPr="00FA5EDA">
        <w:rPr>
          <w:rFonts w:ascii="Traditional Arabic" w:hAnsi="Traditional Arabic"/>
          <w:sz w:val="32"/>
          <w:szCs w:val="32"/>
          <w:rtl/>
        </w:rPr>
        <w:t xml:space="preserve">) انظر: تفسير الطبري (18/55), التفسير الوسيط (3/157). </w:t>
      </w:r>
    </w:p>
  </w:footnote>
  <w:footnote w:id="1598">
    <w:p w:rsidR="003F128F" w:rsidRPr="00FA5EDA" w:rsidRDefault="003F128F" w:rsidP="00885058">
      <w:pPr>
        <w:pStyle w:val="af3"/>
        <w:rPr>
          <w:rFonts w:ascii="Traditional Arabic" w:hAnsi="Traditional Arabic"/>
          <w:sz w:val="32"/>
          <w:szCs w:val="32"/>
        </w:rPr>
      </w:pPr>
      <w:r w:rsidRPr="00FA5EDA">
        <w:rPr>
          <w:rFonts w:ascii="Traditional Arabic" w:hAnsi="Traditional Arabic"/>
          <w:sz w:val="32"/>
          <w:szCs w:val="32"/>
          <w:rtl/>
        </w:rPr>
        <w:t>(</w:t>
      </w:r>
      <w:r w:rsidRPr="00FA5EDA">
        <w:rPr>
          <w:rStyle w:val="ae"/>
          <w:rFonts w:ascii="Traditional Arabic" w:hAnsi="Traditional Arabic"/>
          <w:sz w:val="32"/>
          <w:szCs w:val="32"/>
          <w:vertAlign w:val="baseline"/>
        </w:rPr>
        <w:footnoteRef/>
      </w:r>
      <w:r w:rsidRPr="00FA5EDA">
        <w:rPr>
          <w:rFonts w:ascii="Traditional Arabic" w:hAnsi="Traditional Arabic"/>
          <w:sz w:val="32"/>
          <w:szCs w:val="32"/>
          <w:rtl/>
        </w:rPr>
        <w:t>) الزبيل: وعاءٌ يُحمل فيه, مَنْسوج مِنْ نَسَائج الخُوص. انظر: غريب الحديث لابن الجوزي (1/492), النهاية في غريب الحديث (6/2729).</w:t>
      </w:r>
    </w:p>
  </w:footnote>
  <w:footnote w:id="1599">
    <w:p w:rsidR="003F128F" w:rsidRPr="00FA5EDA" w:rsidRDefault="003F128F" w:rsidP="00885058">
      <w:pPr>
        <w:pStyle w:val="af3"/>
        <w:rPr>
          <w:rFonts w:ascii="Traditional Arabic" w:hAnsi="Traditional Arabic"/>
          <w:sz w:val="32"/>
          <w:szCs w:val="32"/>
        </w:rPr>
      </w:pPr>
      <w:r w:rsidRPr="00FA5EDA">
        <w:rPr>
          <w:rFonts w:ascii="Traditional Arabic" w:hAnsi="Traditional Arabic"/>
          <w:sz w:val="32"/>
          <w:szCs w:val="32"/>
          <w:rtl/>
        </w:rPr>
        <w:t>(</w:t>
      </w:r>
      <w:r w:rsidRPr="00FA5EDA">
        <w:rPr>
          <w:rStyle w:val="ae"/>
          <w:rFonts w:ascii="Traditional Arabic" w:hAnsi="Traditional Arabic"/>
          <w:sz w:val="32"/>
          <w:szCs w:val="32"/>
          <w:vertAlign w:val="baseline"/>
        </w:rPr>
        <w:footnoteRef/>
      </w:r>
      <w:r w:rsidRPr="00FA5EDA">
        <w:rPr>
          <w:rFonts w:ascii="Traditional Arabic" w:hAnsi="Traditional Arabic"/>
          <w:sz w:val="32"/>
          <w:szCs w:val="32"/>
          <w:rtl/>
        </w:rPr>
        <w:t xml:space="preserve">) انظر: الهداية (6/4425), التفسير الوسيط (3/157).  </w:t>
      </w:r>
    </w:p>
  </w:footnote>
  <w:footnote w:id="1600">
    <w:p w:rsidR="003F128F" w:rsidRPr="003F6D3F" w:rsidRDefault="003F128F" w:rsidP="00885058">
      <w:pPr>
        <w:pStyle w:val="af3"/>
        <w:rPr>
          <w:rFonts w:ascii="Traditional Arabic" w:hAnsi="Traditional Arabic"/>
          <w:sz w:val="32"/>
          <w:szCs w:val="32"/>
        </w:rPr>
      </w:pPr>
      <w:r w:rsidRPr="003F6D3F">
        <w:rPr>
          <w:rFonts w:ascii="Traditional Arabic" w:hAnsi="Traditional Arabic"/>
          <w:sz w:val="32"/>
          <w:szCs w:val="32"/>
          <w:rtl/>
        </w:rPr>
        <w:t>(</w:t>
      </w:r>
      <w:r w:rsidRPr="003F6D3F">
        <w:rPr>
          <w:rStyle w:val="ae"/>
          <w:rFonts w:ascii="Traditional Arabic" w:hAnsi="Traditional Arabic"/>
          <w:sz w:val="32"/>
          <w:szCs w:val="32"/>
          <w:vertAlign w:val="baseline"/>
        </w:rPr>
        <w:footnoteRef/>
      </w:r>
      <w:r w:rsidRPr="003F6D3F">
        <w:rPr>
          <w:rFonts w:ascii="Traditional Arabic" w:hAnsi="Traditional Arabic"/>
          <w:sz w:val="32"/>
          <w:szCs w:val="32"/>
          <w:rtl/>
        </w:rPr>
        <w:t>) انظر: تفسير مقاتل (2/59</w:t>
      </w:r>
      <w:r>
        <w:rPr>
          <w:rFonts w:ascii="Traditional Arabic" w:hAnsi="Traditional Arabic"/>
          <w:sz w:val="32"/>
          <w:szCs w:val="32"/>
          <w:rtl/>
        </w:rPr>
        <w:t>3), تفسير ابن أبي حاتم (7/2377)</w:t>
      </w:r>
      <w:r>
        <w:rPr>
          <w:rFonts w:ascii="Traditional Arabic" w:hAnsi="Traditional Arabic" w:hint="cs"/>
          <w:sz w:val="32"/>
          <w:szCs w:val="32"/>
          <w:rtl/>
        </w:rPr>
        <w:t>.</w:t>
      </w:r>
      <w:r w:rsidRPr="003F6D3F">
        <w:rPr>
          <w:rFonts w:ascii="Traditional Arabic" w:hAnsi="Traditional Arabic"/>
          <w:sz w:val="32"/>
          <w:szCs w:val="32"/>
          <w:rtl/>
        </w:rPr>
        <w:t xml:space="preserve"> </w:t>
      </w:r>
    </w:p>
  </w:footnote>
  <w:footnote w:id="1601">
    <w:p w:rsidR="003F128F" w:rsidRPr="003F6D3F" w:rsidRDefault="003F128F" w:rsidP="00885058">
      <w:pPr>
        <w:pStyle w:val="af3"/>
        <w:rPr>
          <w:rFonts w:ascii="Traditional Arabic" w:hAnsi="Traditional Arabic"/>
          <w:sz w:val="32"/>
          <w:szCs w:val="32"/>
        </w:rPr>
      </w:pPr>
      <w:r w:rsidRPr="003F6D3F">
        <w:rPr>
          <w:rFonts w:ascii="Traditional Arabic" w:hAnsi="Traditional Arabic"/>
          <w:sz w:val="32"/>
          <w:szCs w:val="32"/>
          <w:rtl/>
        </w:rPr>
        <w:t>(</w:t>
      </w:r>
      <w:r w:rsidRPr="003F6D3F">
        <w:rPr>
          <w:rStyle w:val="ae"/>
          <w:rFonts w:ascii="Traditional Arabic" w:hAnsi="Traditional Arabic"/>
          <w:sz w:val="32"/>
          <w:szCs w:val="32"/>
          <w:vertAlign w:val="baseline"/>
        </w:rPr>
        <w:footnoteRef/>
      </w:r>
      <w:r w:rsidRPr="003F6D3F">
        <w:rPr>
          <w:rFonts w:ascii="Traditional Arabic" w:hAnsi="Traditional Arabic"/>
          <w:sz w:val="32"/>
          <w:szCs w:val="32"/>
          <w:rtl/>
        </w:rPr>
        <w:t>) الكشف والبيان (6/181), الهداية (6/4417).</w:t>
      </w:r>
    </w:p>
  </w:footnote>
  <w:footnote w:id="1602">
    <w:p w:rsidR="003F128F" w:rsidRPr="00555937" w:rsidRDefault="003F128F" w:rsidP="00885058">
      <w:pPr>
        <w:pStyle w:val="af3"/>
        <w:rPr>
          <w:rFonts w:ascii="Traditional Arabic" w:hAnsi="Traditional Arabic"/>
          <w:sz w:val="32"/>
          <w:szCs w:val="32"/>
        </w:rPr>
      </w:pPr>
      <w:r w:rsidRPr="003F6D3F">
        <w:rPr>
          <w:rFonts w:ascii="Traditional Arabic" w:hAnsi="Traditional Arabic"/>
          <w:sz w:val="32"/>
          <w:szCs w:val="32"/>
          <w:rtl/>
        </w:rPr>
        <w:t>(</w:t>
      </w:r>
      <w:r w:rsidRPr="003F6D3F">
        <w:rPr>
          <w:rStyle w:val="ae"/>
          <w:rFonts w:ascii="Traditional Arabic" w:hAnsi="Traditional Arabic"/>
          <w:sz w:val="32"/>
          <w:szCs w:val="32"/>
          <w:vertAlign w:val="baseline"/>
        </w:rPr>
        <w:footnoteRef/>
      </w:r>
      <w:r w:rsidRPr="003F6D3F">
        <w:rPr>
          <w:rFonts w:ascii="Traditional Arabic" w:hAnsi="Traditional Arabic"/>
          <w:sz w:val="32"/>
          <w:szCs w:val="32"/>
          <w:rtl/>
        </w:rPr>
        <w:t>) انظر: معاني القرآن (2/154).</w:t>
      </w:r>
      <w:r w:rsidRPr="00555937">
        <w:rPr>
          <w:rFonts w:ascii="Traditional Arabic" w:hAnsi="Traditional Arabic"/>
          <w:sz w:val="32"/>
          <w:szCs w:val="32"/>
          <w:rtl/>
        </w:rPr>
        <w:t xml:space="preserve">  </w:t>
      </w:r>
    </w:p>
  </w:footnote>
  <w:footnote w:id="1603">
    <w:p w:rsidR="003F128F" w:rsidRPr="00F559F1" w:rsidRDefault="003F128F" w:rsidP="00885058">
      <w:pPr>
        <w:pStyle w:val="af3"/>
        <w:rPr>
          <w:rFonts w:ascii="Traditional Arabic" w:hAnsi="Traditional Arabic"/>
          <w:sz w:val="32"/>
          <w:szCs w:val="32"/>
        </w:rPr>
      </w:pPr>
      <w:r w:rsidRPr="00F559F1">
        <w:rPr>
          <w:rFonts w:ascii="Traditional Arabic" w:hAnsi="Traditional Arabic"/>
          <w:sz w:val="32"/>
          <w:szCs w:val="32"/>
          <w:rtl/>
        </w:rPr>
        <w:t>(</w:t>
      </w:r>
      <w:r w:rsidRPr="00F559F1">
        <w:rPr>
          <w:rStyle w:val="ae"/>
          <w:rFonts w:ascii="Traditional Arabic" w:hAnsi="Traditional Arabic"/>
          <w:sz w:val="32"/>
          <w:szCs w:val="32"/>
          <w:vertAlign w:val="baseline"/>
        </w:rPr>
        <w:footnoteRef/>
      </w:r>
      <w:r w:rsidRPr="00F559F1">
        <w:rPr>
          <w:rFonts w:ascii="Traditional Arabic" w:hAnsi="Traditional Arabic"/>
          <w:sz w:val="32"/>
          <w:szCs w:val="32"/>
          <w:rtl/>
        </w:rPr>
        <w:t>) التفسير البسيط (14/74), الكشاف (2/732).</w:t>
      </w:r>
    </w:p>
  </w:footnote>
  <w:footnote w:id="1604">
    <w:p w:rsidR="003F128F" w:rsidRPr="00F559F1" w:rsidRDefault="003F128F" w:rsidP="00885058">
      <w:pPr>
        <w:pStyle w:val="af3"/>
        <w:rPr>
          <w:rFonts w:ascii="Traditional Arabic" w:hAnsi="Traditional Arabic"/>
          <w:sz w:val="32"/>
          <w:szCs w:val="32"/>
        </w:rPr>
      </w:pPr>
      <w:r w:rsidRPr="00F559F1">
        <w:rPr>
          <w:rFonts w:ascii="Traditional Arabic" w:hAnsi="Traditional Arabic"/>
          <w:sz w:val="32"/>
          <w:szCs w:val="32"/>
          <w:rtl/>
        </w:rPr>
        <w:t>(</w:t>
      </w:r>
      <w:r w:rsidRPr="00F559F1">
        <w:rPr>
          <w:rStyle w:val="ae"/>
          <w:rFonts w:ascii="Traditional Arabic" w:hAnsi="Traditional Arabic"/>
          <w:sz w:val="32"/>
          <w:szCs w:val="32"/>
          <w:vertAlign w:val="baseline"/>
        </w:rPr>
        <w:footnoteRef/>
      </w:r>
      <w:r w:rsidRPr="00F559F1">
        <w:rPr>
          <w:rFonts w:ascii="Traditional Arabic" w:hAnsi="Traditional Arabic"/>
          <w:sz w:val="32"/>
          <w:szCs w:val="32"/>
          <w:rtl/>
        </w:rPr>
        <w:t>) ذكر هذان القولان الطبري في تفسيره (18/59), والثعلبي في الكشف والبيان (6/181).</w:t>
      </w:r>
    </w:p>
  </w:footnote>
  <w:footnote w:id="1605">
    <w:p w:rsidR="003F128F" w:rsidRPr="00F559F1" w:rsidRDefault="003F128F" w:rsidP="008C14FD">
      <w:pPr>
        <w:pStyle w:val="af3"/>
        <w:rPr>
          <w:rFonts w:ascii="Traditional Arabic" w:hAnsi="Traditional Arabic"/>
          <w:sz w:val="32"/>
          <w:szCs w:val="32"/>
        </w:rPr>
      </w:pPr>
      <w:r w:rsidRPr="00F559F1">
        <w:rPr>
          <w:rFonts w:ascii="Traditional Arabic" w:hAnsi="Traditional Arabic"/>
          <w:sz w:val="32"/>
          <w:szCs w:val="32"/>
          <w:rtl/>
        </w:rPr>
        <w:t>(</w:t>
      </w:r>
      <w:r w:rsidRPr="00F559F1">
        <w:rPr>
          <w:rStyle w:val="ae"/>
          <w:rFonts w:ascii="Traditional Arabic" w:hAnsi="Traditional Arabic"/>
          <w:sz w:val="32"/>
          <w:szCs w:val="32"/>
          <w:vertAlign w:val="baseline"/>
        </w:rPr>
        <w:footnoteRef/>
      </w:r>
      <w:r w:rsidRPr="00F559F1">
        <w:rPr>
          <w:rFonts w:ascii="Traditional Arabic" w:hAnsi="Traditional Arabic"/>
          <w:sz w:val="32"/>
          <w:szCs w:val="32"/>
          <w:rtl/>
        </w:rPr>
        <w:t>) هو المتقدم في (</w:t>
      </w:r>
      <w:r>
        <w:rPr>
          <w:rFonts w:ascii="Traditional Arabic" w:hAnsi="Traditional Arabic" w:hint="cs"/>
          <w:sz w:val="32"/>
          <w:szCs w:val="32"/>
          <w:rtl/>
        </w:rPr>
        <w:t>ص241).</w:t>
      </w:r>
      <w:r w:rsidRPr="00F559F1">
        <w:rPr>
          <w:rFonts w:ascii="Traditional Arabic" w:hAnsi="Traditional Arabic"/>
          <w:sz w:val="32"/>
          <w:szCs w:val="32"/>
          <w:rtl/>
        </w:rPr>
        <w:t xml:space="preserve">  </w:t>
      </w:r>
    </w:p>
  </w:footnote>
  <w:footnote w:id="1606">
    <w:p w:rsidR="003F128F" w:rsidRPr="00F559F1" w:rsidRDefault="003F128F" w:rsidP="00885058">
      <w:pPr>
        <w:pStyle w:val="af3"/>
        <w:rPr>
          <w:rFonts w:ascii="Traditional Arabic" w:hAnsi="Traditional Arabic"/>
          <w:sz w:val="32"/>
          <w:szCs w:val="32"/>
        </w:rPr>
      </w:pPr>
      <w:r w:rsidRPr="00F559F1">
        <w:rPr>
          <w:rFonts w:ascii="Traditional Arabic" w:hAnsi="Traditional Arabic"/>
          <w:sz w:val="32"/>
          <w:szCs w:val="32"/>
          <w:rtl/>
        </w:rPr>
        <w:t>(</w:t>
      </w:r>
      <w:r w:rsidRPr="00F559F1">
        <w:rPr>
          <w:rStyle w:val="ae"/>
          <w:rFonts w:ascii="Traditional Arabic" w:hAnsi="Traditional Arabic"/>
          <w:sz w:val="32"/>
          <w:szCs w:val="32"/>
          <w:vertAlign w:val="baseline"/>
        </w:rPr>
        <w:footnoteRef/>
      </w:r>
      <w:r w:rsidRPr="00F559F1">
        <w:rPr>
          <w:rFonts w:ascii="Traditional Arabic" w:hAnsi="Traditional Arabic"/>
          <w:sz w:val="32"/>
          <w:szCs w:val="32"/>
          <w:rtl/>
        </w:rPr>
        <w:t>) انظر: العين (7/135) مادة (نصب), تهذيب اللغة (12/147) مادة (نصب).</w:t>
      </w:r>
    </w:p>
  </w:footnote>
  <w:footnote w:id="1607">
    <w:p w:rsidR="003F128F" w:rsidRPr="00F559F1" w:rsidRDefault="003F128F" w:rsidP="00885058">
      <w:pPr>
        <w:pStyle w:val="af3"/>
        <w:rPr>
          <w:rFonts w:ascii="Tahoma" w:hAnsi="Tahoma"/>
        </w:rPr>
      </w:pPr>
      <w:r w:rsidRPr="00F559F1">
        <w:rPr>
          <w:rFonts w:ascii="Traditional Arabic" w:hAnsi="Traditional Arabic"/>
          <w:sz w:val="32"/>
          <w:szCs w:val="32"/>
          <w:rtl/>
        </w:rPr>
        <w:t>(</w:t>
      </w:r>
      <w:r w:rsidRPr="00F559F1">
        <w:rPr>
          <w:rStyle w:val="ae"/>
          <w:rFonts w:ascii="Traditional Arabic" w:hAnsi="Traditional Arabic"/>
          <w:sz w:val="32"/>
          <w:szCs w:val="32"/>
          <w:vertAlign w:val="baseline"/>
        </w:rPr>
        <w:footnoteRef/>
      </w:r>
      <w:r w:rsidRPr="00F559F1">
        <w:rPr>
          <w:rFonts w:ascii="Traditional Arabic" w:hAnsi="Traditional Arabic"/>
          <w:sz w:val="32"/>
          <w:szCs w:val="32"/>
          <w:rtl/>
        </w:rPr>
        <w:t xml:space="preserve">) ذكر بنحوه الجصاص في أحكام القرآن (3/280). </w:t>
      </w:r>
    </w:p>
  </w:footnote>
  <w:footnote w:id="1608">
    <w:p w:rsidR="003F128F" w:rsidRPr="008673F9" w:rsidRDefault="003F128F" w:rsidP="00885058">
      <w:pPr>
        <w:pStyle w:val="af3"/>
        <w:rPr>
          <w:rFonts w:ascii="Traditional Arabic" w:hAnsi="Traditional Arabic"/>
          <w:sz w:val="32"/>
          <w:szCs w:val="32"/>
          <w:rtl/>
        </w:rPr>
      </w:pPr>
      <w:r w:rsidRPr="00B97C67">
        <w:rPr>
          <w:rFonts w:ascii="Traditional Arabic" w:hAnsi="Traditional Arabic"/>
          <w:sz w:val="32"/>
          <w:szCs w:val="32"/>
          <w:rtl/>
        </w:rPr>
        <w:t>(</w:t>
      </w:r>
      <w:r w:rsidRPr="00B97C67">
        <w:rPr>
          <w:rStyle w:val="ae"/>
          <w:rFonts w:ascii="Traditional Arabic" w:hAnsi="Traditional Arabic"/>
          <w:sz w:val="32"/>
          <w:szCs w:val="32"/>
          <w:vertAlign w:val="baseline"/>
        </w:rPr>
        <w:footnoteRef/>
      </w:r>
      <w:r w:rsidRPr="00B97C67">
        <w:rPr>
          <w:rFonts w:ascii="Traditional Arabic" w:hAnsi="Traditional Arabic"/>
          <w:sz w:val="32"/>
          <w:szCs w:val="32"/>
          <w:rtl/>
        </w:rPr>
        <w:t>)</w:t>
      </w:r>
      <w:r w:rsidRPr="008673F9">
        <w:rPr>
          <w:rFonts w:ascii="Traditional Arabic" w:hAnsi="Traditional Arabic"/>
          <w:sz w:val="32"/>
          <w:szCs w:val="32"/>
          <w:rtl/>
        </w:rPr>
        <w:t xml:space="preserve"> </w:t>
      </w:r>
      <w:r>
        <w:rPr>
          <w:rFonts w:ascii="Traditional Arabic" w:hAnsi="Traditional Arabic" w:hint="cs"/>
          <w:sz w:val="32"/>
          <w:szCs w:val="32"/>
          <w:rtl/>
        </w:rPr>
        <w:t>ذكرهما الماوردي في النكت والعيون</w:t>
      </w:r>
      <w:r w:rsidRPr="008673F9">
        <w:rPr>
          <w:rFonts w:ascii="Traditional Arabic" w:hAnsi="Traditional Arabic"/>
          <w:sz w:val="32"/>
          <w:szCs w:val="32"/>
          <w:rtl/>
        </w:rPr>
        <w:t xml:space="preserve"> </w:t>
      </w:r>
      <w:r>
        <w:rPr>
          <w:rFonts w:ascii="Traditional Arabic" w:hAnsi="Traditional Arabic" w:hint="cs"/>
          <w:sz w:val="32"/>
          <w:szCs w:val="32"/>
          <w:rtl/>
        </w:rPr>
        <w:t>(3/324) بدون نسبة, وكذلك الرسعني في رموز الكنوز (4/320).</w:t>
      </w:r>
    </w:p>
  </w:footnote>
  <w:footnote w:id="1609">
    <w:p w:rsidR="003F128F" w:rsidRPr="008673F9" w:rsidRDefault="003F128F" w:rsidP="00885058">
      <w:pPr>
        <w:pStyle w:val="af3"/>
        <w:rPr>
          <w:rFonts w:ascii="Traditional Arabic" w:hAnsi="Traditional Arabic"/>
          <w:sz w:val="32"/>
          <w:szCs w:val="32"/>
        </w:rPr>
      </w:pPr>
      <w:r w:rsidRPr="008673F9">
        <w:rPr>
          <w:rFonts w:ascii="Traditional Arabic" w:hAnsi="Traditional Arabic"/>
          <w:sz w:val="32"/>
          <w:szCs w:val="32"/>
          <w:rtl/>
        </w:rPr>
        <w:t>(</w:t>
      </w:r>
      <w:r w:rsidRPr="008673F9">
        <w:rPr>
          <w:rStyle w:val="ae"/>
          <w:rFonts w:ascii="Traditional Arabic" w:hAnsi="Traditional Arabic"/>
          <w:sz w:val="32"/>
          <w:szCs w:val="32"/>
          <w:vertAlign w:val="baseline"/>
        </w:rPr>
        <w:footnoteRef/>
      </w:r>
      <w:r w:rsidRPr="008673F9">
        <w:rPr>
          <w:rFonts w:ascii="Traditional Arabic" w:hAnsi="Traditional Arabic"/>
          <w:sz w:val="32"/>
          <w:szCs w:val="32"/>
          <w:rtl/>
        </w:rPr>
        <w:t>)</w:t>
      </w:r>
      <w:r>
        <w:rPr>
          <w:rFonts w:ascii="Traditional Arabic" w:hAnsi="Traditional Arabic" w:hint="cs"/>
          <w:sz w:val="32"/>
          <w:szCs w:val="32"/>
          <w:rtl/>
        </w:rPr>
        <w:t xml:space="preserve"> انظر: السبعة في القراءات (ص393), معاني القراءات (2/113).</w:t>
      </w:r>
    </w:p>
  </w:footnote>
  <w:footnote w:id="1610">
    <w:p w:rsidR="003F128F" w:rsidRPr="00F91474" w:rsidRDefault="003F128F" w:rsidP="00885058">
      <w:pPr>
        <w:pStyle w:val="af3"/>
        <w:rPr>
          <w:rFonts w:ascii="Traditional Arabic" w:hAnsi="Traditional Arabic"/>
          <w:sz w:val="32"/>
          <w:szCs w:val="32"/>
        </w:rPr>
      </w:pPr>
      <w:r w:rsidRPr="00F91474">
        <w:rPr>
          <w:rFonts w:ascii="Traditional Arabic" w:hAnsi="Traditional Arabic"/>
          <w:sz w:val="32"/>
          <w:szCs w:val="32"/>
          <w:rtl/>
        </w:rPr>
        <w:t>(</w:t>
      </w:r>
      <w:r w:rsidRPr="00F91474">
        <w:rPr>
          <w:rStyle w:val="ae"/>
          <w:rFonts w:ascii="Traditional Arabic" w:hAnsi="Traditional Arabic"/>
          <w:sz w:val="32"/>
          <w:szCs w:val="32"/>
          <w:vertAlign w:val="baseline"/>
        </w:rPr>
        <w:footnoteRef/>
      </w:r>
      <w:r w:rsidRPr="00F91474">
        <w:rPr>
          <w:rFonts w:ascii="Traditional Arabic" w:hAnsi="Traditional Arabic"/>
          <w:sz w:val="32"/>
          <w:szCs w:val="32"/>
          <w:rtl/>
        </w:rPr>
        <w:t xml:space="preserve">) انظر: التفسير الوسيط (3/157). </w:t>
      </w:r>
    </w:p>
  </w:footnote>
  <w:footnote w:id="1611">
    <w:p w:rsidR="003F128F" w:rsidRPr="00F91474" w:rsidRDefault="003F128F" w:rsidP="00885058">
      <w:pPr>
        <w:pStyle w:val="af3"/>
        <w:rPr>
          <w:rFonts w:ascii="Traditional Arabic" w:hAnsi="Traditional Arabic"/>
          <w:sz w:val="32"/>
          <w:szCs w:val="32"/>
        </w:rPr>
      </w:pPr>
      <w:r w:rsidRPr="00F91474">
        <w:rPr>
          <w:rFonts w:ascii="Traditional Arabic" w:hAnsi="Traditional Arabic"/>
          <w:sz w:val="32"/>
          <w:szCs w:val="32"/>
          <w:rtl/>
        </w:rPr>
        <w:t>(</w:t>
      </w:r>
      <w:r w:rsidRPr="00F91474">
        <w:rPr>
          <w:rStyle w:val="ae"/>
          <w:rFonts w:ascii="Traditional Arabic" w:hAnsi="Traditional Arabic"/>
          <w:sz w:val="32"/>
          <w:szCs w:val="32"/>
          <w:vertAlign w:val="baseline"/>
        </w:rPr>
        <w:footnoteRef/>
      </w:r>
      <w:r w:rsidRPr="00F91474">
        <w:rPr>
          <w:rFonts w:ascii="Traditional Arabic" w:hAnsi="Traditional Arabic"/>
          <w:sz w:val="32"/>
          <w:szCs w:val="32"/>
          <w:rtl/>
        </w:rPr>
        <w:t xml:space="preserve">) لم أقف عليها فيما لدي من مصادر. </w:t>
      </w:r>
    </w:p>
  </w:footnote>
  <w:footnote w:id="1612">
    <w:p w:rsidR="003F128F" w:rsidRPr="00F91474" w:rsidRDefault="003F128F" w:rsidP="00885058">
      <w:pPr>
        <w:pStyle w:val="af3"/>
        <w:rPr>
          <w:rFonts w:ascii="Traditional Arabic" w:hAnsi="Traditional Arabic"/>
          <w:sz w:val="32"/>
          <w:szCs w:val="32"/>
        </w:rPr>
      </w:pPr>
      <w:r w:rsidRPr="00F91474">
        <w:rPr>
          <w:rFonts w:ascii="Traditional Arabic" w:hAnsi="Traditional Arabic"/>
          <w:sz w:val="32"/>
          <w:szCs w:val="32"/>
          <w:rtl/>
        </w:rPr>
        <w:t>(</w:t>
      </w:r>
      <w:r w:rsidRPr="00F91474">
        <w:rPr>
          <w:rStyle w:val="ae"/>
          <w:rFonts w:ascii="Traditional Arabic" w:hAnsi="Traditional Arabic"/>
          <w:sz w:val="32"/>
          <w:szCs w:val="32"/>
          <w:vertAlign w:val="baseline"/>
        </w:rPr>
        <w:footnoteRef/>
      </w:r>
      <w:r w:rsidRPr="00F91474">
        <w:rPr>
          <w:rFonts w:ascii="Traditional Arabic" w:hAnsi="Traditional Arabic"/>
          <w:sz w:val="32"/>
          <w:szCs w:val="32"/>
          <w:rtl/>
        </w:rPr>
        <w:t>) في (ك): [والثاني: أن المخبر عن الحوت يوشع].</w:t>
      </w:r>
    </w:p>
  </w:footnote>
  <w:footnote w:id="1613">
    <w:p w:rsidR="003F128F" w:rsidRPr="00FA5EDA" w:rsidRDefault="003F128F" w:rsidP="00885058">
      <w:pPr>
        <w:pStyle w:val="af3"/>
        <w:rPr>
          <w:rFonts w:ascii="Traditional Arabic" w:hAnsi="Traditional Arabic"/>
          <w:sz w:val="32"/>
          <w:szCs w:val="32"/>
        </w:rPr>
      </w:pPr>
      <w:r w:rsidRPr="00F91474">
        <w:rPr>
          <w:rFonts w:ascii="Traditional Arabic" w:hAnsi="Traditional Arabic"/>
          <w:sz w:val="32"/>
          <w:szCs w:val="32"/>
          <w:rtl/>
        </w:rPr>
        <w:t>(</w:t>
      </w:r>
      <w:r w:rsidRPr="00F91474">
        <w:rPr>
          <w:rStyle w:val="ae"/>
          <w:rFonts w:ascii="Traditional Arabic" w:hAnsi="Traditional Arabic"/>
          <w:sz w:val="32"/>
          <w:szCs w:val="32"/>
          <w:vertAlign w:val="baseline"/>
        </w:rPr>
        <w:footnoteRef/>
      </w:r>
      <w:r w:rsidRPr="00F91474">
        <w:rPr>
          <w:rFonts w:ascii="Traditional Arabic" w:hAnsi="Traditional Arabic"/>
          <w:sz w:val="32"/>
          <w:szCs w:val="32"/>
          <w:rtl/>
        </w:rPr>
        <w:t>) انظر: تفسير مقاتل (2/594),</w:t>
      </w:r>
      <w:r w:rsidRPr="00FA5EDA">
        <w:rPr>
          <w:rFonts w:ascii="Traditional Arabic" w:hAnsi="Traditional Arabic"/>
          <w:sz w:val="32"/>
          <w:szCs w:val="32"/>
          <w:rtl/>
        </w:rPr>
        <w:t xml:space="preserve"> بحر العلوم (2/354)كلهما غير منسوب.</w:t>
      </w:r>
    </w:p>
  </w:footnote>
  <w:footnote w:id="1614">
    <w:p w:rsidR="003F128F" w:rsidRPr="00FA5EDA" w:rsidRDefault="003F128F" w:rsidP="00885058">
      <w:pPr>
        <w:pStyle w:val="af3"/>
        <w:rPr>
          <w:rFonts w:ascii="Traditional Arabic" w:hAnsi="Traditional Arabic"/>
          <w:sz w:val="32"/>
          <w:szCs w:val="32"/>
        </w:rPr>
      </w:pPr>
      <w:r w:rsidRPr="00FA5EDA">
        <w:rPr>
          <w:rFonts w:ascii="Traditional Arabic" w:hAnsi="Traditional Arabic"/>
          <w:sz w:val="32"/>
          <w:szCs w:val="32"/>
          <w:rtl/>
        </w:rPr>
        <w:t>(</w:t>
      </w:r>
      <w:r w:rsidRPr="00FA5EDA">
        <w:rPr>
          <w:rStyle w:val="ae"/>
          <w:rFonts w:ascii="Traditional Arabic" w:hAnsi="Traditional Arabic"/>
          <w:sz w:val="32"/>
          <w:szCs w:val="32"/>
          <w:vertAlign w:val="baseline"/>
        </w:rPr>
        <w:footnoteRef/>
      </w:r>
      <w:r w:rsidRPr="00FA5EDA">
        <w:rPr>
          <w:rFonts w:ascii="Traditional Arabic" w:hAnsi="Traditional Arabic"/>
          <w:sz w:val="32"/>
          <w:szCs w:val="32"/>
          <w:rtl/>
        </w:rPr>
        <w:t xml:space="preserve">) انظر: تفسير الطبري (18/69), تفسير ابن أبي حاتم (7/2373). </w:t>
      </w:r>
    </w:p>
  </w:footnote>
  <w:footnote w:id="1615">
    <w:p w:rsidR="003F128F" w:rsidRPr="00FA5EDA" w:rsidRDefault="003F128F" w:rsidP="00885058">
      <w:pPr>
        <w:pStyle w:val="af3"/>
        <w:rPr>
          <w:rFonts w:ascii="Traditional Arabic" w:hAnsi="Traditional Arabic"/>
          <w:sz w:val="32"/>
          <w:szCs w:val="32"/>
        </w:rPr>
      </w:pPr>
      <w:r w:rsidRPr="00FA5EDA">
        <w:rPr>
          <w:rFonts w:ascii="Traditional Arabic" w:hAnsi="Traditional Arabic"/>
          <w:sz w:val="32"/>
          <w:szCs w:val="32"/>
          <w:rtl/>
        </w:rPr>
        <w:t>(</w:t>
      </w:r>
      <w:r w:rsidRPr="00FA5EDA">
        <w:rPr>
          <w:rStyle w:val="ae"/>
          <w:rFonts w:ascii="Traditional Arabic" w:hAnsi="Traditional Arabic"/>
          <w:sz w:val="32"/>
          <w:szCs w:val="32"/>
          <w:vertAlign w:val="baseline"/>
        </w:rPr>
        <w:footnoteRef/>
      </w:r>
      <w:r w:rsidRPr="00FA5EDA">
        <w:rPr>
          <w:rFonts w:ascii="Traditional Arabic" w:hAnsi="Traditional Arabic"/>
          <w:sz w:val="32"/>
          <w:szCs w:val="32"/>
          <w:rtl/>
        </w:rPr>
        <w:t xml:space="preserve">) انظر: السبعة في القراءات (ص393), معاني القراءات (2/113). </w:t>
      </w:r>
    </w:p>
  </w:footnote>
  <w:footnote w:id="1616">
    <w:p w:rsidR="003F128F" w:rsidRPr="00FA5EDA" w:rsidRDefault="003F128F" w:rsidP="00885058">
      <w:pPr>
        <w:pStyle w:val="af3"/>
        <w:rPr>
          <w:rFonts w:ascii="Traditional Arabic" w:hAnsi="Traditional Arabic"/>
          <w:sz w:val="32"/>
          <w:szCs w:val="32"/>
        </w:rPr>
      </w:pPr>
      <w:r w:rsidRPr="00FA5EDA">
        <w:rPr>
          <w:rFonts w:ascii="Traditional Arabic" w:hAnsi="Traditional Arabic"/>
          <w:sz w:val="32"/>
          <w:szCs w:val="32"/>
          <w:rtl/>
        </w:rPr>
        <w:t>(</w:t>
      </w:r>
      <w:r w:rsidRPr="00FA5EDA">
        <w:rPr>
          <w:rStyle w:val="ae"/>
          <w:rFonts w:ascii="Traditional Arabic" w:hAnsi="Traditional Arabic"/>
          <w:sz w:val="32"/>
          <w:szCs w:val="32"/>
          <w:vertAlign w:val="baseline"/>
        </w:rPr>
        <w:footnoteRef/>
      </w:r>
      <w:r w:rsidRPr="00FA5EDA">
        <w:rPr>
          <w:rFonts w:ascii="Traditional Arabic" w:hAnsi="Traditional Arabic"/>
          <w:sz w:val="32"/>
          <w:szCs w:val="32"/>
          <w:rtl/>
        </w:rPr>
        <w:t xml:space="preserve">) انظر: معاني القرآن وإعرابه (3/300). </w:t>
      </w:r>
    </w:p>
  </w:footnote>
  <w:footnote w:id="1617">
    <w:p w:rsidR="003F128F" w:rsidRPr="00FA5EDA" w:rsidRDefault="003F128F" w:rsidP="00885058">
      <w:pPr>
        <w:pStyle w:val="af3"/>
        <w:rPr>
          <w:rFonts w:ascii="Traditional Arabic" w:hAnsi="Traditional Arabic"/>
          <w:sz w:val="32"/>
          <w:szCs w:val="32"/>
        </w:rPr>
      </w:pPr>
      <w:r w:rsidRPr="00FA5EDA">
        <w:rPr>
          <w:rFonts w:ascii="Traditional Arabic" w:hAnsi="Traditional Arabic"/>
          <w:sz w:val="32"/>
          <w:szCs w:val="32"/>
          <w:rtl/>
        </w:rPr>
        <w:t>(</w:t>
      </w:r>
      <w:r w:rsidRPr="00FA5EDA">
        <w:rPr>
          <w:rStyle w:val="ae"/>
          <w:rFonts w:ascii="Traditional Arabic" w:hAnsi="Traditional Arabic"/>
          <w:sz w:val="32"/>
          <w:szCs w:val="32"/>
          <w:vertAlign w:val="baseline"/>
        </w:rPr>
        <w:footnoteRef/>
      </w:r>
      <w:r w:rsidRPr="00FA5EDA">
        <w:rPr>
          <w:rFonts w:ascii="Traditional Arabic" w:hAnsi="Traditional Arabic"/>
          <w:sz w:val="32"/>
          <w:szCs w:val="32"/>
          <w:rtl/>
        </w:rPr>
        <w:t>) رموز الكنوز (4/322).</w:t>
      </w:r>
    </w:p>
  </w:footnote>
  <w:footnote w:id="1618">
    <w:p w:rsidR="003F128F" w:rsidRPr="00B45A3D" w:rsidRDefault="003F128F" w:rsidP="00885058">
      <w:pPr>
        <w:pStyle w:val="af3"/>
        <w:rPr>
          <w:rFonts w:ascii="Traditional Arabic" w:hAnsi="Traditional Arabic"/>
          <w:sz w:val="32"/>
          <w:szCs w:val="32"/>
        </w:rPr>
      </w:pPr>
      <w:r w:rsidRPr="00FA5EDA">
        <w:rPr>
          <w:rFonts w:ascii="Traditional Arabic" w:hAnsi="Traditional Arabic"/>
          <w:sz w:val="32"/>
          <w:szCs w:val="32"/>
          <w:rtl/>
        </w:rPr>
        <w:t>(</w:t>
      </w:r>
      <w:r w:rsidRPr="00FA5EDA">
        <w:rPr>
          <w:rStyle w:val="ae"/>
          <w:rFonts w:ascii="Traditional Arabic" w:hAnsi="Traditional Arabic"/>
          <w:sz w:val="32"/>
          <w:szCs w:val="32"/>
          <w:vertAlign w:val="baseline"/>
        </w:rPr>
        <w:footnoteRef/>
      </w:r>
      <w:r w:rsidRPr="00FA5EDA">
        <w:rPr>
          <w:rFonts w:ascii="Traditional Arabic" w:hAnsi="Traditional Arabic"/>
          <w:sz w:val="32"/>
          <w:szCs w:val="32"/>
          <w:rtl/>
        </w:rPr>
        <w:t>) تفسير مقاتل (2/594).</w:t>
      </w:r>
      <w:r w:rsidRPr="00B45A3D">
        <w:rPr>
          <w:rFonts w:ascii="Traditional Arabic" w:hAnsi="Traditional Arabic"/>
          <w:sz w:val="32"/>
          <w:szCs w:val="32"/>
          <w:rtl/>
        </w:rPr>
        <w:t xml:space="preserve"> </w:t>
      </w:r>
    </w:p>
  </w:footnote>
  <w:footnote w:id="1619">
    <w:p w:rsidR="003F128F" w:rsidRPr="00B45A3D" w:rsidRDefault="003F128F" w:rsidP="00885058">
      <w:pPr>
        <w:pStyle w:val="af3"/>
        <w:rPr>
          <w:rFonts w:ascii="Traditional Arabic" w:hAnsi="Traditional Arabic"/>
          <w:sz w:val="32"/>
          <w:szCs w:val="32"/>
        </w:rPr>
      </w:pPr>
      <w:r w:rsidRPr="00B45A3D">
        <w:rPr>
          <w:rFonts w:ascii="Traditional Arabic" w:hAnsi="Traditional Arabic"/>
          <w:sz w:val="32"/>
          <w:szCs w:val="32"/>
          <w:rtl/>
        </w:rPr>
        <w:t>(</w:t>
      </w:r>
      <w:r w:rsidRPr="00692756">
        <w:rPr>
          <w:rStyle w:val="ae"/>
          <w:rFonts w:ascii="Traditional Arabic" w:hAnsi="Traditional Arabic"/>
          <w:sz w:val="32"/>
          <w:szCs w:val="32"/>
          <w:vertAlign w:val="baseline"/>
        </w:rPr>
        <w:footnoteRef/>
      </w:r>
      <w:r w:rsidRPr="00692756">
        <w:rPr>
          <w:rFonts w:ascii="Traditional Arabic" w:hAnsi="Traditional Arabic"/>
          <w:sz w:val="32"/>
          <w:szCs w:val="32"/>
          <w:rtl/>
        </w:rPr>
        <w:t xml:space="preserve">) </w:t>
      </w:r>
      <w:r w:rsidRPr="00692756">
        <w:rPr>
          <w:rFonts w:ascii="Traditional Arabic" w:hAnsi="Traditional Arabic" w:hint="cs"/>
          <w:sz w:val="32"/>
          <w:szCs w:val="32"/>
          <w:rtl/>
        </w:rPr>
        <w:t xml:space="preserve">هو </w:t>
      </w:r>
      <w:r>
        <w:rPr>
          <w:rFonts w:ascii="Traditional Arabic" w:hAnsi="Traditional Arabic"/>
          <w:sz w:val="32"/>
          <w:szCs w:val="32"/>
          <w:rtl/>
        </w:rPr>
        <w:t>الإِمام الم</w:t>
      </w:r>
      <w:r w:rsidRPr="00692756">
        <w:rPr>
          <w:rFonts w:ascii="Traditional Arabic" w:hAnsi="Traditional Arabic"/>
          <w:sz w:val="32"/>
          <w:szCs w:val="32"/>
          <w:rtl/>
        </w:rPr>
        <w:t>ق</w:t>
      </w:r>
      <w:r>
        <w:rPr>
          <w:rFonts w:ascii="Traditional Arabic" w:hAnsi="Traditional Arabic"/>
          <w:sz w:val="32"/>
          <w:szCs w:val="32"/>
          <w:rtl/>
        </w:rPr>
        <w:t>رئ</w:t>
      </w:r>
      <w:r>
        <w:rPr>
          <w:rFonts w:ascii="Traditional Arabic" w:hAnsi="Traditional Arabic" w:hint="cs"/>
          <w:sz w:val="32"/>
          <w:szCs w:val="32"/>
          <w:rtl/>
        </w:rPr>
        <w:t>,</w:t>
      </w:r>
      <w:r>
        <w:rPr>
          <w:rFonts w:ascii="Traditional Arabic" w:hAnsi="Traditional Arabic"/>
          <w:sz w:val="32"/>
          <w:szCs w:val="32"/>
          <w:rtl/>
        </w:rPr>
        <w:t xml:space="preserve"> الحافظ</w:t>
      </w:r>
      <w:r>
        <w:rPr>
          <w:rFonts w:ascii="Traditional Arabic" w:hAnsi="Traditional Arabic" w:hint="cs"/>
          <w:sz w:val="32"/>
          <w:szCs w:val="32"/>
          <w:rtl/>
        </w:rPr>
        <w:t>,</w:t>
      </w:r>
      <w:r>
        <w:rPr>
          <w:rFonts w:ascii="Traditional Arabic" w:hAnsi="Traditional Arabic"/>
          <w:sz w:val="32"/>
          <w:szCs w:val="32"/>
          <w:rtl/>
        </w:rPr>
        <w:t xml:space="preserve"> أبو الحسين</w:t>
      </w:r>
      <w:r>
        <w:rPr>
          <w:rFonts w:ascii="Traditional Arabic" w:hAnsi="Traditional Arabic" w:hint="cs"/>
          <w:sz w:val="32"/>
          <w:szCs w:val="32"/>
          <w:rtl/>
        </w:rPr>
        <w:t>,</w:t>
      </w:r>
      <w:r>
        <w:rPr>
          <w:rFonts w:ascii="Traditional Arabic" w:hAnsi="Traditional Arabic"/>
          <w:sz w:val="32"/>
          <w:szCs w:val="32"/>
          <w:rtl/>
        </w:rPr>
        <w:t xml:space="preserve"> أحمد بن جعفر بن</w:t>
      </w:r>
      <w:r w:rsidRPr="00692756">
        <w:rPr>
          <w:rFonts w:ascii="Traditional Arabic" w:hAnsi="Traditional Arabic"/>
          <w:sz w:val="32"/>
          <w:szCs w:val="32"/>
          <w:rtl/>
        </w:rPr>
        <w:t xml:space="preserve"> </w:t>
      </w:r>
      <w:r>
        <w:rPr>
          <w:rFonts w:ascii="Traditional Arabic" w:hAnsi="Traditional Arabic"/>
          <w:sz w:val="32"/>
          <w:szCs w:val="32"/>
          <w:rtl/>
        </w:rPr>
        <w:t>محمد بن عبيد الله</w:t>
      </w:r>
      <w:r w:rsidRPr="00692756">
        <w:rPr>
          <w:rFonts w:ascii="Traditional Arabic" w:hAnsi="Traditional Arabic"/>
          <w:sz w:val="32"/>
          <w:szCs w:val="32"/>
          <w:rtl/>
        </w:rPr>
        <w:t xml:space="preserve"> </w:t>
      </w:r>
      <w:r>
        <w:rPr>
          <w:rFonts w:ascii="Traditional Arabic" w:hAnsi="Traditional Arabic"/>
          <w:sz w:val="32"/>
          <w:szCs w:val="32"/>
          <w:rtl/>
        </w:rPr>
        <w:t>بن المناد</w:t>
      </w:r>
      <w:r w:rsidRPr="00692756">
        <w:rPr>
          <w:rFonts w:ascii="Traditional Arabic" w:hAnsi="Traditional Arabic"/>
          <w:sz w:val="32"/>
          <w:szCs w:val="32"/>
          <w:rtl/>
        </w:rPr>
        <w:t>ي</w:t>
      </w:r>
      <w:r>
        <w:rPr>
          <w:rFonts w:ascii="Traditional Arabic" w:hAnsi="Traditional Arabic"/>
          <w:sz w:val="32"/>
          <w:szCs w:val="32"/>
          <w:rtl/>
        </w:rPr>
        <w:t>، البغدادي،</w:t>
      </w:r>
      <w:r>
        <w:rPr>
          <w:rFonts w:ascii="Traditional Arabic" w:hAnsi="Traditional Arabic" w:hint="cs"/>
          <w:sz w:val="32"/>
          <w:szCs w:val="32"/>
          <w:rtl/>
        </w:rPr>
        <w:t xml:space="preserve"> </w:t>
      </w:r>
      <w:r w:rsidRPr="00692756">
        <w:rPr>
          <w:rFonts w:ascii="Traditional Arabic" w:hAnsi="Traditional Arabic" w:hint="cs"/>
          <w:sz w:val="32"/>
          <w:szCs w:val="32"/>
          <w:rtl/>
        </w:rPr>
        <w:t xml:space="preserve">كان </w:t>
      </w:r>
      <w:r>
        <w:rPr>
          <w:rFonts w:ascii="Traditional Arabic" w:hAnsi="Traditional Arabic"/>
          <w:sz w:val="32"/>
          <w:szCs w:val="32"/>
          <w:rtl/>
        </w:rPr>
        <w:t>فصيح اللس</w:t>
      </w:r>
      <w:r w:rsidRPr="00692756">
        <w:rPr>
          <w:rFonts w:ascii="Traditional Arabic" w:hAnsi="Traditional Arabic"/>
          <w:sz w:val="32"/>
          <w:szCs w:val="32"/>
          <w:rtl/>
        </w:rPr>
        <w:t>ان،</w:t>
      </w:r>
      <w:r>
        <w:rPr>
          <w:rFonts w:ascii="Traditional Arabic" w:hAnsi="Traditional Arabic"/>
          <w:sz w:val="32"/>
          <w:szCs w:val="32"/>
          <w:rtl/>
        </w:rPr>
        <w:t xml:space="preserve"> عالم بالآث</w:t>
      </w:r>
      <w:r w:rsidRPr="00692756">
        <w:rPr>
          <w:rFonts w:ascii="Traditional Arabic" w:hAnsi="Traditional Arabic"/>
          <w:sz w:val="32"/>
          <w:szCs w:val="32"/>
          <w:rtl/>
        </w:rPr>
        <w:t>ا</w:t>
      </w:r>
      <w:r>
        <w:rPr>
          <w:rFonts w:ascii="Traditional Arabic" w:hAnsi="Traditional Arabic"/>
          <w:sz w:val="32"/>
          <w:szCs w:val="32"/>
          <w:rtl/>
        </w:rPr>
        <w:t>ر، نهاية في علم العربي</w:t>
      </w:r>
      <w:r w:rsidRPr="00692756">
        <w:rPr>
          <w:rFonts w:ascii="Traditional Arabic" w:hAnsi="Traditional Arabic"/>
          <w:sz w:val="32"/>
          <w:szCs w:val="32"/>
          <w:rtl/>
        </w:rPr>
        <w:t>ة،</w:t>
      </w:r>
      <w:r>
        <w:rPr>
          <w:rFonts w:ascii="Traditional Arabic" w:hAnsi="Traditional Arabic"/>
          <w:sz w:val="32"/>
          <w:szCs w:val="32"/>
          <w:rtl/>
        </w:rPr>
        <w:t xml:space="preserve"> صاحب سنَّة، ثقةٌ مأمون</w:t>
      </w:r>
      <w:r w:rsidRPr="00692756">
        <w:rPr>
          <w:rFonts w:ascii="Traditional Arabic" w:hAnsi="Traditional Arabic" w:hint="cs"/>
          <w:sz w:val="32"/>
          <w:szCs w:val="32"/>
          <w:rtl/>
        </w:rPr>
        <w:t xml:space="preserve">, (ت336ه). انظر: </w:t>
      </w:r>
      <w:r>
        <w:rPr>
          <w:rFonts w:ascii="Traditional Arabic" w:hAnsi="Traditional Arabic" w:hint="cs"/>
          <w:sz w:val="32"/>
          <w:szCs w:val="32"/>
          <w:rtl/>
        </w:rPr>
        <w:t>تاريخ بغداد (5/110), سير أعلام النبلاء (15/362).</w:t>
      </w:r>
    </w:p>
  </w:footnote>
  <w:footnote w:id="1620">
    <w:p w:rsidR="003F128F" w:rsidRPr="00B45A3D" w:rsidRDefault="003F128F" w:rsidP="00885058">
      <w:pPr>
        <w:pStyle w:val="af3"/>
        <w:rPr>
          <w:rFonts w:ascii="Traditional Arabic" w:hAnsi="Traditional Arabic"/>
          <w:sz w:val="32"/>
          <w:szCs w:val="32"/>
        </w:rPr>
      </w:pPr>
      <w:r w:rsidRPr="00B45A3D">
        <w:rPr>
          <w:rFonts w:ascii="Traditional Arabic" w:hAnsi="Traditional Arabic"/>
          <w:sz w:val="32"/>
          <w:szCs w:val="32"/>
          <w:rtl/>
        </w:rPr>
        <w:t>(</w:t>
      </w:r>
      <w:r w:rsidRPr="00B45A3D">
        <w:rPr>
          <w:rStyle w:val="ae"/>
          <w:rFonts w:ascii="Traditional Arabic" w:hAnsi="Traditional Arabic"/>
          <w:sz w:val="32"/>
          <w:szCs w:val="32"/>
          <w:vertAlign w:val="baseline"/>
        </w:rPr>
        <w:footnoteRef/>
      </w:r>
      <w:r w:rsidRPr="00B45A3D">
        <w:rPr>
          <w:rFonts w:ascii="Traditional Arabic" w:hAnsi="Traditional Arabic"/>
          <w:sz w:val="32"/>
          <w:szCs w:val="32"/>
          <w:rtl/>
        </w:rPr>
        <w:t>)</w:t>
      </w:r>
      <w:r>
        <w:rPr>
          <w:rFonts w:ascii="Traditional Arabic" w:hAnsi="Traditional Arabic" w:hint="cs"/>
          <w:sz w:val="32"/>
          <w:szCs w:val="32"/>
          <w:rtl/>
        </w:rPr>
        <w:t xml:space="preserve"> رموز الكنوز (4/322).</w:t>
      </w:r>
      <w:r w:rsidRPr="00B45A3D">
        <w:rPr>
          <w:rFonts w:ascii="Traditional Arabic" w:hAnsi="Traditional Arabic"/>
          <w:sz w:val="32"/>
          <w:szCs w:val="32"/>
          <w:rtl/>
        </w:rPr>
        <w:t xml:space="preserve"> </w:t>
      </w:r>
    </w:p>
  </w:footnote>
  <w:footnote w:id="1621">
    <w:p w:rsidR="003F128F" w:rsidRPr="00B77CBB" w:rsidRDefault="003F128F" w:rsidP="00885058">
      <w:pPr>
        <w:pStyle w:val="af3"/>
        <w:rPr>
          <w:rFonts w:ascii="Traditional Arabic" w:hAnsi="Traditional Arabic"/>
          <w:sz w:val="32"/>
          <w:szCs w:val="32"/>
          <w:rtl/>
        </w:rPr>
      </w:pPr>
      <w:r w:rsidRPr="00B77CBB">
        <w:rPr>
          <w:rFonts w:ascii="Traditional Arabic" w:hAnsi="Traditional Arabic"/>
          <w:sz w:val="32"/>
          <w:szCs w:val="32"/>
          <w:rtl/>
        </w:rPr>
        <w:t>(</w:t>
      </w:r>
      <w:r w:rsidRPr="00B77CBB">
        <w:rPr>
          <w:rStyle w:val="ae"/>
          <w:rFonts w:ascii="Traditional Arabic" w:hAnsi="Traditional Arabic"/>
          <w:sz w:val="32"/>
          <w:szCs w:val="32"/>
          <w:vertAlign w:val="baseline"/>
        </w:rPr>
        <w:footnoteRef/>
      </w:r>
      <w:r w:rsidRPr="00B77CBB">
        <w:rPr>
          <w:rFonts w:ascii="Traditional Arabic" w:hAnsi="Traditional Arabic"/>
          <w:sz w:val="32"/>
          <w:szCs w:val="32"/>
          <w:rtl/>
        </w:rPr>
        <w:t>) انظر: التفسير البسيط (14/81), والوسيط (3/157).</w:t>
      </w:r>
    </w:p>
  </w:footnote>
  <w:footnote w:id="1622">
    <w:p w:rsidR="003F128F" w:rsidRPr="00B77CBB" w:rsidRDefault="003F128F" w:rsidP="00885058">
      <w:pPr>
        <w:ind w:firstLine="0"/>
        <w:rPr>
          <w:rFonts w:ascii="Traditional Arabic" w:hAnsi="Traditional Arabic"/>
          <w:sz w:val="32"/>
          <w:szCs w:val="32"/>
        </w:rPr>
      </w:pPr>
      <w:r w:rsidRPr="00B77CBB">
        <w:rPr>
          <w:rFonts w:ascii="Traditional Arabic" w:hAnsi="Traditional Arabic"/>
          <w:sz w:val="32"/>
          <w:szCs w:val="32"/>
          <w:rtl/>
        </w:rPr>
        <w:t>(</w:t>
      </w:r>
      <w:r w:rsidRPr="00B77CBB">
        <w:rPr>
          <w:rStyle w:val="ae"/>
          <w:rFonts w:ascii="Traditional Arabic" w:hAnsi="Traditional Arabic"/>
          <w:sz w:val="32"/>
          <w:szCs w:val="32"/>
          <w:vertAlign w:val="baseline"/>
        </w:rPr>
        <w:footnoteRef/>
      </w:r>
      <w:r w:rsidRPr="00B77CBB">
        <w:rPr>
          <w:rFonts w:ascii="Traditional Arabic" w:hAnsi="Traditional Arabic"/>
          <w:sz w:val="32"/>
          <w:szCs w:val="32"/>
          <w:rtl/>
        </w:rPr>
        <w:t>) أخرجه البخاري (كتاب أحاديث الأنبياء, باب</w:t>
      </w:r>
      <w:r>
        <w:rPr>
          <w:rFonts w:ascii="Traditional Arabic" w:hAnsi="Traditional Arabic" w:hint="cs"/>
          <w:sz w:val="32"/>
          <w:szCs w:val="32"/>
          <w:rtl/>
        </w:rPr>
        <w:t>:</w:t>
      </w:r>
      <w:r w:rsidRPr="00B77CBB">
        <w:rPr>
          <w:rFonts w:ascii="Traditional Arabic" w:hAnsi="Traditional Arabic"/>
          <w:sz w:val="32"/>
          <w:szCs w:val="32"/>
          <w:rtl/>
        </w:rPr>
        <w:t xml:space="preserve"> حديث الخضر مع موسى عليهما السلام, 6/526 ح3402) من حديث أبي هريرة </w:t>
      </w:r>
      <w:r w:rsidRPr="00B77CBB">
        <w:rPr>
          <w:rFonts w:ascii="Traditional Arabic" w:hAnsi="Traditional Arabic"/>
          <w:sz w:val="32"/>
          <w:szCs w:val="32"/>
        </w:rPr>
        <w:sym w:font="AGA Arabesque" w:char="F074"/>
      </w:r>
      <w:r w:rsidRPr="00B77CBB">
        <w:rPr>
          <w:rFonts w:ascii="Traditional Arabic" w:hAnsi="Traditional Arabic"/>
          <w:sz w:val="32"/>
          <w:szCs w:val="32"/>
          <w:rtl/>
        </w:rPr>
        <w:t xml:space="preserve"> قال: قال رسول الله </w:t>
      </w:r>
      <w:r w:rsidRPr="00B77CBB">
        <w:rPr>
          <w:rFonts w:ascii="Traditional Arabic" w:hAnsi="Traditional Arabic"/>
          <w:sz w:val="32"/>
          <w:szCs w:val="32"/>
        </w:rPr>
        <w:sym w:font="AGA Arabesque" w:char="F072"/>
      </w:r>
      <w:r w:rsidRPr="00B77CBB">
        <w:rPr>
          <w:rFonts w:ascii="Traditional Arabic" w:hAnsi="Traditional Arabic"/>
          <w:sz w:val="32"/>
          <w:szCs w:val="32"/>
          <w:rtl/>
        </w:rPr>
        <w:t xml:space="preserve">: «إنما سمي الخضر لأنه جلس على فروةٍ  بيضاء،  فإذا هي تهتز من خلفه خضراء».  </w:t>
      </w:r>
    </w:p>
  </w:footnote>
  <w:footnote w:id="1623">
    <w:p w:rsidR="003F128F" w:rsidRPr="00B77CBB" w:rsidRDefault="003F128F" w:rsidP="00885058">
      <w:pPr>
        <w:pStyle w:val="af3"/>
        <w:rPr>
          <w:rFonts w:ascii="Traditional Arabic" w:hAnsi="Traditional Arabic"/>
          <w:sz w:val="32"/>
          <w:szCs w:val="32"/>
        </w:rPr>
      </w:pPr>
      <w:r w:rsidRPr="00B77CBB">
        <w:rPr>
          <w:rFonts w:ascii="Traditional Arabic" w:hAnsi="Traditional Arabic"/>
          <w:sz w:val="32"/>
          <w:szCs w:val="32"/>
          <w:rtl/>
        </w:rPr>
        <w:t>(</w:t>
      </w:r>
      <w:r w:rsidRPr="00B77CBB">
        <w:rPr>
          <w:rStyle w:val="ae"/>
          <w:rFonts w:ascii="Traditional Arabic" w:hAnsi="Traditional Arabic"/>
          <w:sz w:val="32"/>
          <w:szCs w:val="32"/>
          <w:vertAlign w:val="baseline"/>
        </w:rPr>
        <w:footnoteRef/>
      </w:r>
      <w:r w:rsidRPr="00B77CBB">
        <w:rPr>
          <w:rFonts w:ascii="Traditional Arabic" w:hAnsi="Traditional Arabic"/>
          <w:sz w:val="32"/>
          <w:szCs w:val="32"/>
          <w:rtl/>
        </w:rPr>
        <w:t>) انظر: تفسير الطبري (18/70), تفسير ابن أبي حاتم (7/2375), الكشف والبيان (6/182).</w:t>
      </w:r>
    </w:p>
  </w:footnote>
  <w:footnote w:id="1624">
    <w:p w:rsidR="003F128F" w:rsidRPr="00B77CBB" w:rsidRDefault="003F128F" w:rsidP="00885058">
      <w:pPr>
        <w:pStyle w:val="af3"/>
        <w:rPr>
          <w:rFonts w:ascii="Traditional Arabic" w:hAnsi="Traditional Arabic"/>
          <w:sz w:val="32"/>
          <w:szCs w:val="32"/>
        </w:rPr>
      </w:pPr>
      <w:r w:rsidRPr="00B77CBB">
        <w:rPr>
          <w:rFonts w:ascii="Traditional Arabic" w:hAnsi="Traditional Arabic"/>
          <w:sz w:val="32"/>
          <w:szCs w:val="32"/>
          <w:rtl/>
        </w:rPr>
        <w:t>(</w:t>
      </w:r>
      <w:r w:rsidRPr="00B77CBB">
        <w:rPr>
          <w:rStyle w:val="ae"/>
          <w:rFonts w:ascii="Traditional Arabic" w:hAnsi="Traditional Arabic"/>
          <w:sz w:val="32"/>
          <w:szCs w:val="32"/>
          <w:vertAlign w:val="baseline"/>
        </w:rPr>
        <w:footnoteRef/>
      </w:r>
      <w:r w:rsidRPr="00B77CBB">
        <w:rPr>
          <w:rFonts w:ascii="Traditional Arabic" w:hAnsi="Traditional Arabic"/>
          <w:sz w:val="32"/>
          <w:szCs w:val="32"/>
          <w:rtl/>
        </w:rPr>
        <w:t>) تفسير ابن أبي حاتم (7/2377), وذكره السيوطي في الدر المنثور (5/425).</w:t>
      </w:r>
    </w:p>
  </w:footnote>
  <w:footnote w:id="1625">
    <w:p w:rsidR="003F128F" w:rsidRPr="00B77CBB" w:rsidRDefault="003F128F" w:rsidP="00885058">
      <w:pPr>
        <w:pStyle w:val="af3"/>
        <w:rPr>
          <w:rFonts w:ascii="Traditional Arabic" w:hAnsi="Traditional Arabic"/>
          <w:sz w:val="32"/>
          <w:szCs w:val="32"/>
        </w:rPr>
      </w:pPr>
      <w:r w:rsidRPr="00B77CBB">
        <w:rPr>
          <w:rFonts w:ascii="Traditional Arabic" w:hAnsi="Traditional Arabic"/>
          <w:sz w:val="32"/>
          <w:szCs w:val="32"/>
          <w:rtl/>
        </w:rPr>
        <w:t>(</w:t>
      </w:r>
      <w:r w:rsidRPr="00B77CBB">
        <w:rPr>
          <w:rStyle w:val="ae"/>
          <w:rFonts w:ascii="Traditional Arabic" w:hAnsi="Traditional Arabic"/>
          <w:sz w:val="32"/>
          <w:szCs w:val="32"/>
          <w:vertAlign w:val="baseline"/>
        </w:rPr>
        <w:footnoteRef/>
      </w:r>
      <w:r w:rsidRPr="00B77CBB">
        <w:rPr>
          <w:rFonts w:ascii="Traditional Arabic" w:hAnsi="Traditional Arabic"/>
          <w:sz w:val="32"/>
          <w:szCs w:val="32"/>
          <w:rtl/>
        </w:rPr>
        <w:t>) بحر العلوم (2/359), الكشف والبيان (6/182), معالم التنزيل (5/188).</w:t>
      </w:r>
    </w:p>
  </w:footnote>
  <w:footnote w:id="1626">
    <w:p w:rsidR="003F128F" w:rsidRPr="00B77CBB" w:rsidRDefault="003F128F" w:rsidP="00885058">
      <w:pPr>
        <w:pStyle w:val="af3"/>
        <w:rPr>
          <w:rFonts w:ascii="Traditional Arabic" w:hAnsi="Traditional Arabic"/>
          <w:sz w:val="32"/>
          <w:szCs w:val="32"/>
        </w:rPr>
      </w:pPr>
      <w:r w:rsidRPr="00B77CBB">
        <w:rPr>
          <w:rFonts w:ascii="Traditional Arabic" w:hAnsi="Traditional Arabic"/>
          <w:sz w:val="32"/>
          <w:szCs w:val="32"/>
          <w:rtl/>
        </w:rPr>
        <w:t>(</w:t>
      </w:r>
      <w:r w:rsidRPr="00B77CBB">
        <w:rPr>
          <w:rStyle w:val="ae"/>
          <w:rFonts w:ascii="Traditional Arabic" w:hAnsi="Traditional Arabic"/>
          <w:sz w:val="32"/>
          <w:szCs w:val="32"/>
          <w:vertAlign w:val="baseline"/>
        </w:rPr>
        <w:footnoteRef/>
      </w:r>
      <w:r>
        <w:rPr>
          <w:rFonts w:ascii="Traditional Arabic" w:hAnsi="Traditional Arabic"/>
          <w:sz w:val="32"/>
          <w:szCs w:val="32"/>
          <w:rtl/>
        </w:rPr>
        <w:t>)</w:t>
      </w:r>
      <w:r>
        <w:rPr>
          <w:rFonts w:ascii="Traditional Arabic" w:hAnsi="Traditional Arabic" w:hint="cs"/>
          <w:sz w:val="32"/>
          <w:szCs w:val="32"/>
          <w:rtl/>
        </w:rPr>
        <w:t xml:space="preserve"> لم أقف عليه, ولكن ذكر بنحوه أهل التفسير. انظر: تفسير الطبري (17/377), </w:t>
      </w:r>
      <w:r w:rsidRPr="00B77CBB">
        <w:rPr>
          <w:rFonts w:ascii="Traditional Arabic" w:hAnsi="Traditional Arabic"/>
          <w:sz w:val="32"/>
          <w:szCs w:val="32"/>
          <w:rtl/>
        </w:rPr>
        <w:t>بحر العلوم (2/359), الكشف والبيان (6/</w:t>
      </w:r>
      <w:r>
        <w:rPr>
          <w:rFonts w:ascii="Traditional Arabic" w:hAnsi="Traditional Arabic" w:hint="cs"/>
          <w:sz w:val="32"/>
          <w:szCs w:val="32"/>
          <w:rtl/>
        </w:rPr>
        <w:t>75</w:t>
      </w:r>
      <w:r w:rsidRPr="00B77CBB">
        <w:rPr>
          <w:rFonts w:ascii="Traditional Arabic" w:hAnsi="Traditional Arabic"/>
          <w:sz w:val="32"/>
          <w:szCs w:val="32"/>
          <w:rtl/>
        </w:rPr>
        <w:t>)</w:t>
      </w:r>
      <w:r>
        <w:rPr>
          <w:rFonts w:ascii="Traditional Arabic" w:hAnsi="Traditional Arabic" w:hint="cs"/>
          <w:sz w:val="32"/>
          <w:szCs w:val="32"/>
          <w:rtl/>
        </w:rPr>
        <w:t>, وغيرها.</w:t>
      </w:r>
      <w:r w:rsidRPr="00B77CBB">
        <w:rPr>
          <w:rFonts w:ascii="Traditional Arabic" w:hAnsi="Traditional Arabic"/>
          <w:sz w:val="32"/>
          <w:szCs w:val="32"/>
          <w:rtl/>
        </w:rPr>
        <w:t xml:space="preserve">  </w:t>
      </w:r>
    </w:p>
  </w:footnote>
  <w:footnote w:id="1627">
    <w:p w:rsidR="003F128F" w:rsidRPr="00B77CBB" w:rsidRDefault="003F128F" w:rsidP="00885058">
      <w:pPr>
        <w:pStyle w:val="af3"/>
        <w:rPr>
          <w:rFonts w:ascii="Traditional Arabic" w:hAnsi="Traditional Arabic"/>
          <w:sz w:val="32"/>
          <w:szCs w:val="32"/>
        </w:rPr>
      </w:pPr>
      <w:r w:rsidRPr="00B77CBB">
        <w:rPr>
          <w:rFonts w:ascii="Traditional Arabic" w:hAnsi="Traditional Arabic"/>
          <w:sz w:val="32"/>
          <w:szCs w:val="32"/>
          <w:rtl/>
        </w:rPr>
        <w:t>(</w:t>
      </w:r>
      <w:r w:rsidRPr="00B77CBB">
        <w:rPr>
          <w:rStyle w:val="ae"/>
          <w:rFonts w:ascii="Traditional Arabic" w:hAnsi="Traditional Arabic"/>
          <w:sz w:val="32"/>
          <w:szCs w:val="32"/>
          <w:vertAlign w:val="baseline"/>
        </w:rPr>
        <w:footnoteRef/>
      </w:r>
      <w:r w:rsidRPr="00B77CBB">
        <w:rPr>
          <w:rFonts w:ascii="Traditional Arabic" w:hAnsi="Traditional Arabic"/>
          <w:sz w:val="32"/>
          <w:szCs w:val="32"/>
          <w:rtl/>
        </w:rPr>
        <w:t>)</w:t>
      </w:r>
      <w:r>
        <w:rPr>
          <w:rFonts w:ascii="Traditional Arabic" w:hAnsi="Traditional Arabic" w:hint="cs"/>
          <w:sz w:val="32"/>
          <w:szCs w:val="32"/>
          <w:rtl/>
        </w:rPr>
        <w:t xml:space="preserve"> النكت والعيون</w:t>
      </w:r>
      <w:r w:rsidRPr="008673F9">
        <w:rPr>
          <w:rFonts w:ascii="Traditional Arabic" w:hAnsi="Traditional Arabic"/>
          <w:sz w:val="32"/>
          <w:szCs w:val="32"/>
          <w:rtl/>
        </w:rPr>
        <w:t xml:space="preserve"> </w:t>
      </w:r>
      <w:r>
        <w:rPr>
          <w:rFonts w:ascii="Traditional Arabic" w:hAnsi="Traditional Arabic" w:hint="cs"/>
          <w:sz w:val="32"/>
          <w:szCs w:val="32"/>
          <w:rtl/>
        </w:rPr>
        <w:t xml:space="preserve">(3/324). </w:t>
      </w:r>
      <w:r w:rsidRPr="00B77CBB">
        <w:rPr>
          <w:rFonts w:ascii="Traditional Arabic" w:hAnsi="Traditional Arabic"/>
          <w:sz w:val="32"/>
          <w:szCs w:val="32"/>
          <w:rtl/>
        </w:rPr>
        <w:t xml:space="preserve"> </w:t>
      </w:r>
    </w:p>
  </w:footnote>
  <w:footnote w:id="1628">
    <w:p w:rsidR="003F128F" w:rsidRPr="00B77CBB" w:rsidRDefault="003F128F" w:rsidP="00885058">
      <w:pPr>
        <w:pStyle w:val="af3"/>
        <w:rPr>
          <w:rFonts w:ascii="Tahoma" w:hAnsi="Tahoma"/>
        </w:rPr>
      </w:pPr>
      <w:r w:rsidRPr="00B77CBB">
        <w:rPr>
          <w:rFonts w:ascii="Tahoma" w:hAnsi="Tahoma"/>
          <w:rtl/>
        </w:rPr>
        <w:t>(</w:t>
      </w:r>
      <w:r w:rsidRPr="00B77CBB">
        <w:rPr>
          <w:rStyle w:val="ae"/>
          <w:rFonts w:ascii="Tahoma" w:hAnsi="Tahoma"/>
          <w:vertAlign w:val="baseline"/>
        </w:rPr>
        <w:footnoteRef/>
      </w:r>
      <w:r w:rsidRPr="00B77CBB">
        <w:rPr>
          <w:rFonts w:ascii="Tahoma" w:hAnsi="Tahoma"/>
          <w:rtl/>
        </w:rPr>
        <w:t>)</w:t>
      </w:r>
      <w:r>
        <w:rPr>
          <w:rFonts w:ascii="Traditional Arabic" w:hAnsi="Traditional Arabic" w:hint="cs"/>
          <w:sz w:val="32"/>
          <w:szCs w:val="32"/>
          <w:rtl/>
        </w:rPr>
        <w:t xml:space="preserve"> رموز الكنوز (4/324)</w:t>
      </w:r>
      <w:r>
        <w:rPr>
          <w:rFonts w:ascii="Tahoma" w:hAnsi="Tahoma" w:hint="cs"/>
          <w:rtl/>
        </w:rPr>
        <w:t>.</w:t>
      </w:r>
      <w:r>
        <w:rPr>
          <w:rFonts w:ascii="Tahoma" w:hAnsi="Tahoma"/>
          <w:rtl/>
        </w:rPr>
        <w:t xml:space="preserve"> </w:t>
      </w:r>
    </w:p>
  </w:footnote>
  <w:footnote w:id="1629">
    <w:p w:rsidR="003F128F" w:rsidRPr="00301983" w:rsidRDefault="003F128F" w:rsidP="00885058">
      <w:pPr>
        <w:pStyle w:val="af3"/>
        <w:rPr>
          <w:rFonts w:ascii="Traditional Arabic" w:hAnsi="Traditional Arabic"/>
          <w:sz w:val="32"/>
          <w:szCs w:val="32"/>
        </w:rPr>
      </w:pPr>
      <w:r w:rsidRPr="00301983">
        <w:rPr>
          <w:rFonts w:ascii="Traditional Arabic" w:hAnsi="Traditional Arabic"/>
          <w:sz w:val="32"/>
          <w:szCs w:val="32"/>
          <w:rtl/>
        </w:rPr>
        <w:t>(</w:t>
      </w:r>
      <w:r w:rsidRPr="00301983">
        <w:rPr>
          <w:rStyle w:val="ae"/>
          <w:rFonts w:ascii="Traditional Arabic" w:hAnsi="Traditional Arabic"/>
          <w:sz w:val="32"/>
          <w:szCs w:val="32"/>
          <w:vertAlign w:val="baseline"/>
        </w:rPr>
        <w:footnoteRef/>
      </w:r>
      <w:r w:rsidRPr="00301983">
        <w:rPr>
          <w:rFonts w:ascii="Traditional Arabic" w:hAnsi="Traditional Arabic"/>
          <w:sz w:val="32"/>
          <w:szCs w:val="32"/>
          <w:rtl/>
        </w:rPr>
        <w:t xml:space="preserve">) </w:t>
      </w:r>
      <w:r w:rsidRPr="00301983">
        <w:rPr>
          <w:rFonts w:ascii="Traditional Arabic" w:hAnsi="Traditional Arabic" w:hint="cs"/>
          <w:sz w:val="32"/>
          <w:szCs w:val="32"/>
          <w:rtl/>
        </w:rPr>
        <w:t>انظر: رموز الكنوز (4/324), روح المعاني (15/437).</w:t>
      </w:r>
      <w:r w:rsidRPr="00301983">
        <w:rPr>
          <w:rFonts w:ascii="Traditional Arabic" w:hAnsi="Traditional Arabic"/>
          <w:sz w:val="32"/>
          <w:szCs w:val="32"/>
          <w:rtl/>
        </w:rPr>
        <w:t xml:space="preserve"> </w:t>
      </w:r>
    </w:p>
  </w:footnote>
  <w:footnote w:id="1630">
    <w:p w:rsidR="003F128F" w:rsidRPr="00FA5EDA" w:rsidRDefault="003F128F" w:rsidP="00885058">
      <w:pPr>
        <w:pStyle w:val="af3"/>
        <w:rPr>
          <w:rFonts w:ascii="Traditional Arabic" w:hAnsi="Traditional Arabic"/>
          <w:sz w:val="32"/>
          <w:szCs w:val="32"/>
        </w:rPr>
      </w:pPr>
      <w:r w:rsidRPr="00FA5EDA">
        <w:rPr>
          <w:rFonts w:ascii="Traditional Arabic" w:hAnsi="Traditional Arabic"/>
          <w:sz w:val="32"/>
          <w:szCs w:val="32"/>
          <w:rtl/>
        </w:rPr>
        <w:t>(</w:t>
      </w:r>
      <w:r w:rsidRPr="00FA5EDA">
        <w:rPr>
          <w:rStyle w:val="ae"/>
          <w:rFonts w:ascii="Traditional Arabic" w:hAnsi="Traditional Arabic"/>
          <w:sz w:val="32"/>
          <w:szCs w:val="32"/>
          <w:vertAlign w:val="baseline"/>
        </w:rPr>
        <w:footnoteRef/>
      </w:r>
      <w:r w:rsidRPr="00FA5EDA">
        <w:rPr>
          <w:rFonts w:ascii="Traditional Arabic" w:hAnsi="Traditional Arabic"/>
          <w:sz w:val="32"/>
          <w:szCs w:val="32"/>
          <w:rtl/>
        </w:rPr>
        <w:t>) هو الامام أبو بكر</w:t>
      </w:r>
      <w:r>
        <w:rPr>
          <w:rFonts w:ascii="Traditional Arabic" w:hAnsi="Traditional Arabic" w:hint="cs"/>
          <w:sz w:val="32"/>
          <w:szCs w:val="32"/>
          <w:rtl/>
        </w:rPr>
        <w:t>,</w:t>
      </w:r>
      <w:r w:rsidRPr="00FA5EDA">
        <w:rPr>
          <w:rFonts w:ascii="Traditional Arabic" w:hAnsi="Traditional Arabic"/>
          <w:sz w:val="32"/>
          <w:szCs w:val="32"/>
          <w:rtl/>
        </w:rPr>
        <w:t xml:space="preserve"> محمد بن الحسن بن محمد بن زياد المقرئ، المعروف بالنقاش، الموصلي الاصل</w:t>
      </w:r>
      <w:r>
        <w:rPr>
          <w:rFonts w:ascii="Traditional Arabic" w:hAnsi="Traditional Arabic" w:hint="cs"/>
          <w:sz w:val="32"/>
          <w:szCs w:val="32"/>
          <w:rtl/>
        </w:rPr>
        <w:t>,</w:t>
      </w:r>
      <w:r w:rsidRPr="00FA5EDA">
        <w:rPr>
          <w:rFonts w:ascii="Traditional Arabic" w:hAnsi="Traditional Arabic"/>
          <w:sz w:val="32"/>
          <w:szCs w:val="32"/>
          <w:rtl/>
        </w:rPr>
        <w:t xml:space="preserve"> البغدادي, العَلاَّمَةُ، المفسِّر، كان عالما بالقرآن والتفسير,</w:t>
      </w:r>
      <w:r w:rsidRPr="00FA5EDA">
        <w:rPr>
          <w:rFonts w:ascii="Traditional Arabic" w:hAnsi="Traditional Arabic"/>
          <w:sz w:val="32"/>
          <w:szCs w:val="32"/>
          <w:rtl/>
          <w:lang w:eastAsia="en-US"/>
        </w:rPr>
        <w:t xml:space="preserve"> </w:t>
      </w:r>
      <w:r w:rsidRPr="00FA5EDA">
        <w:rPr>
          <w:rFonts w:ascii="Traditional Arabic" w:hAnsi="Traditional Arabic"/>
          <w:sz w:val="32"/>
          <w:szCs w:val="32"/>
          <w:rtl/>
        </w:rPr>
        <w:t xml:space="preserve">وَهُوَ فِي القرَاءاتِ أَقوَى مِنْهُ فِي الرِّوَايَات, متهم بالكذب, (ت351ه). انظر: وفيات الأعيان (4/298), سير أعلام النبلاء (15/574).  </w:t>
      </w:r>
    </w:p>
  </w:footnote>
  <w:footnote w:id="1631">
    <w:p w:rsidR="003F128F" w:rsidRPr="00FA5EDA" w:rsidRDefault="003F128F" w:rsidP="00885058">
      <w:pPr>
        <w:ind w:firstLine="0"/>
        <w:rPr>
          <w:rFonts w:ascii="Traditional Arabic" w:hAnsi="Traditional Arabic"/>
          <w:sz w:val="32"/>
          <w:szCs w:val="32"/>
        </w:rPr>
      </w:pPr>
      <w:r w:rsidRPr="00FA5EDA">
        <w:rPr>
          <w:rFonts w:ascii="Traditional Arabic" w:hAnsi="Traditional Arabic"/>
          <w:sz w:val="32"/>
          <w:szCs w:val="32"/>
          <w:rtl/>
        </w:rPr>
        <w:t>(</w:t>
      </w:r>
      <w:r w:rsidRPr="00FA5EDA">
        <w:rPr>
          <w:rStyle w:val="ae"/>
          <w:rFonts w:ascii="Traditional Arabic" w:hAnsi="Traditional Arabic"/>
          <w:sz w:val="32"/>
          <w:szCs w:val="32"/>
          <w:vertAlign w:val="baseline"/>
        </w:rPr>
        <w:footnoteRef/>
      </w:r>
      <w:r w:rsidRPr="00FA5EDA">
        <w:rPr>
          <w:rFonts w:ascii="Traditional Arabic" w:hAnsi="Traditional Arabic"/>
          <w:sz w:val="32"/>
          <w:szCs w:val="32"/>
          <w:rtl/>
        </w:rPr>
        <w:t>) أخرجه البخاري (كتاب العلم, باب</w:t>
      </w:r>
      <w:r>
        <w:rPr>
          <w:rFonts w:ascii="Traditional Arabic" w:hAnsi="Traditional Arabic" w:hint="cs"/>
          <w:sz w:val="32"/>
          <w:szCs w:val="32"/>
          <w:rtl/>
        </w:rPr>
        <w:t>:</w:t>
      </w:r>
      <w:r w:rsidRPr="00FA5EDA">
        <w:rPr>
          <w:rFonts w:ascii="Traditional Arabic" w:hAnsi="Traditional Arabic"/>
          <w:sz w:val="32"/>
          <w:szCs w:val="32"/>
          <w:rtl/>
        </w:rPr>
        <w:t xml:space="preserve"> السمر في العلم, 1/279 ح116, وأطرافه في ح564, 601), ومسلم (كتاب فضائل الصحابة, باب</w:t>
      </w:r>
      <w:r>
        <w:rPr>
          <w:rFonts w:ascii="Traditional Arabic" w:hAnsi="Traditional Arabic" w:hint="cs"/>
          <w:sz w:val="32"/>
          <w:szCs w:val="32"/>
          <w:rtl/>
        </w:rPr>
        <w:t>:</w:t>
      </w:r>
      <w:r w:rsidRPr="00FA5EDA">
        <w:rPr>
          <w:rFonts w:ascii="Traditional Arabic" w:hAnsi="Traditional Arabic"/>
          <w:sz w:val="32"/>
          <w:szCs w:val="32"/>
          <w:rtl/>
        </w:rPr>
        <w:t xml:space="preserve"> قوله </w:t>
      </w:r>
      <w:r w:rsidRPr="00FA5EDA">
        <w:rPr>
          <w:rFonts w:ascii="Traditional Arabic" w:hAnsi="Traditional Arabic"/>
          <w:sz w:val="32"/>
          <w:szCs w:val="32"/>
        </w:rPr>
        <w:sym w:font="AGA Arabesque" w:char="F072"/>
      </w:r>
      <w:r w:rsidRPr="00FA5EDA">
        <w:rPr>
          <w:rFonts w:ascii="Traditional Arabic" w:hAnsi="Traditional Arabic"/>
          <w:sz w:val="32"/>
          <w:szCs w:val="32"/>
          <w:rtl/>
        </w:rPr>
        <w:t xml:space="preserve">: "لا يأتي مائة سنة وعلى الأرض نفس منفوسة اليوم", 16/306 ح6426). </w:t>
      </w:r>
    </w:p>
  </w:footnote>
  <w:footnote w:id="1632">
    <w:p w:rsidR="003F128F" w:rsidRPr="00FA5EDA" w:rsidRDefault="003F128F" w:rsidP="00885058">
      <w:pPr>
        <w:pStyle w:val="af3"/>
        <w:rPr>
          <w:rFonts w:ascii="Traditional Arabic" w:hAnsi="Traditional Arabic"/>
          <w:sz w:val="32"/>
          <w:szCs w:val="32"/>
        </w:rPr>
      </w:pPr>
      <w:r w:rsidRPr="00FA5EDA">
        <w:rPr>
          <w:rFonts w:ascii="Traditional Arabic" w:hAnsi="Traditional Arabic"/>
          <w:sz w:val="32"/>
          <w:szCs w:val="32"/>
          <w:rtl/>
        </w:rPr>
        <w:t>(</w:t>
      </w:r>
      <w:r w:rsidRPr="00FA5EDA">
        <w:rPr>
          <w:rStyle w:val="ae"/>
          <w:rFonts w:ascii="Traditional Arabic" w:hAnsi="Traditional Arabic"/>
          <w:sz w:val="32"/>
          <w:szCs w:val="32"/>
          <w:vertAlign w:val="baseline"/>
        </w:rPr>
        <w:footnoteRef/>
      </w:r>
      <w:r w:rsidRPr="00FA5EDA">
        <w:rPr>
          <w:rFonts w:ascii="Traditional Arabic" w:hAnsi="Traditional Arabic"/>
          <w:sz w:val="32"/>
          <w:szCs w:val="32"/>
          <w:rtl/>
        </w:rPr>
        <w:t xml:space="preserve">) تفسير مقاتل (2/594). </w:t>
      </w:r>
    </w:p>
  </w:footnote>
  <w:footnote w:id="1633">
    <w:p w:rsidR="003F128F" w:rsidRPr="00FA5EDA" w:rsidRDefault="003F128F" w:rsidP="00885058">
      <w:pPr>
        <w:pStyle w:val="af3"/>
        <w:rPr>
          <w:rFonts w:ascii="Traditional Arabic" w:hAnsi="Traditional Arabic"/>
          <w:sz w:val="32"/>
          <w:szCs w:val="32"/>
        </w:rPr>
      </w:pPr>
      <w:r w:rsidRPr="00FA5EDA">
        <w:rPr>
          <w:rFonts w:ascii="Traditional Arabic" w:hAnsi="Traditional Arabic"/>
          <w:sz w:val="32"/>
          <w:szCs w:val="32"/>
          <w:rtl/>
        </w:rPr>
        <w:t>(</w:t>
      </w:r>
      <w:r w:rsidRPr="00FA5EDA">
        <w:rPr>
          <w:rStyle w:val="ae"/>
          <w:rFonts w:ascii="Traditional Arabic" w:hAnsi="Traditional Arabic"/>
          <w:sz w:val="32"/>
          <w:szCs w:val="32"/>
          <w:vertAlign w:val="baseline"/>
        </w:rPr>
        <w:footnoteRef/>
      </w:r>
      <w:r w:rsidRPr="00FA5EDA">
        <w:rPr>
          <w:rFonts w:ascii="Traditional Arabic" w:hAnsi="Traditional Arabic"/>
          <w:sz w:val="32"/>
          <w:szCs w:val="32"/>
          <w:rtl/>
        </w:rPr>
        <w:t>) رموز الكنوز (4/324) غير منسوب.</w:t>
      </w:r>
    </w:p>
  </w:footnote>
  <w:footnote w:id="1634">
    <w:p w:rsidR="003F128F" w:rsidRPr="00FA5EDA" w:rsidRDefault="003F128F" w:rsidP="00885058">
      <w:pPr>
        <w:pStyle w:val="af3"/>
        <w:rPr>
          <w:rFonts w:ascii="Traditional Arabic" w:hAnsi="Traditional Arabic"/>
          <w:sz w:val="32"/>
          <w:szCs w:val="32"/>
        </w:rPr>
      </w:pPr>
      <w:r w:rsidRPr="00FA5EDA">
        <w:rPr>
          <w:rFonts w:ascii="Traditional Arabic" w:hAnsi="Traditional Arabic"/>
          <w:sz w:val="32"/>
          <w:szCs w:val="32"/>
          <w:rtl/>
        </w:rPr>
        <w:t>(</w:t>
      </w:r>
      <w:r w:rsidRPr="00FA5EDA">
        <w:rPr>
          <w:rStyle w:val="ae"/>
          <w:rFonts w:ascii="Traditional Arabic" w:hAnsi="Traditional Arabic"/>
          <w:sz w:val="32"/>
          <w:szCs w:val="32"/>
          <w:vertAlign w:val="baseline"/>
        </w:rPr>
        <w:footnoteRef/>
      </w:r>
      <w:r w:rsidRPr="00FA5EDA">
        <w:rPr>
          <w:rFonts w:ascii="Traditional Arabic" w:hAnsi="Traditional Arabic"/>
          <w:sz w:val="32"/>
          <w:szCs w:val="32"/>
          <w:rtl/>
        </w:rPr>
        <w:t xml:space="preserve">) النكت والعيون (3/324) معالم التنزيل (5/188) كلهما غير منسوب.  </w:t>
      </w:r>
    </w:p>
  </w:footnote>
  <w:footnote w:id="1635">
    <w:p w:rsidR="003F128F" w:rsidRPr="00FA5EDA" w:rsidRDefault="003F128F" w:rsidP="00885058">
      <w:pPr>
        <w:pStyle w:val="af3"/>
        <w:rPr>
          <w:rFonts w:ascii="Traditional Arabic" w:hAnsi="Traditional Arabic"/>
          <w:sz w:val="32"/>
          <w:szCs w:val="32"/>
        </w:rPr>
      </w:pPr>
      <w:r w:rsidRPr="00FA5EDA">
        <w:rPr>
          <w:rFonts w:ascii="Traditional Arabic" w:hAnsi="Traditional Arabic"/>
          <w:sz w:val="32"/>
          <w:szCs w:val="32"/>
          <w:rtl/>
        </w:rPr>
        <w:t>(</w:t>
      </w:r>
      <w:r w:rsidRPr="00FA5EDA">
        <w:rPr>
          <w:rStyle w:val="ae"/>
          <w:rFonts w:ascii="Traditional Arabic" w:hAnsi="Traditional Arabic"/>
          <w:sz w:val="32"/>
          <w:szCs w:val="32"/>
          <w:vertAlign w:val="baseline"/>
        </w:rPr>
        <w:footnoteRef/>
      </w:r>
      <w:r w:rsidRPr="00FA5EDA">
        <w:rPr>
          <w:rFonts w:ascii="Traditional Arabic" w:hAnsi="Traditional Arabic"/>
          <w:sz w:val="32"/>
          <w:szCs w:val="32"/>
          <w:rtl/>
        </w:rPr>
        <w:t xml:space="preserve">) انظر: تفسير الطبري (18/67), التفسير الوسيط (3/157). </w:t>
      </w:r>
    </w:p>
  </w:footnote>
  <w:footnote w:id="1636">
    <w:p w:rsidR="003F128F" w:rsidRPr="00FA5EDA" w:rsidRDefault="003F128F" w:rsidP="00885058">
      <w:pPr>
        <w:pStyle w:val="af3"/>
        <w:rPr>
          <w:rFonts w:ascii="Traditional Arabic" w:hAnsi="Traditional Arabic"/>
          <w:sz w:val="32"/>
          <w:szCs w:val="32"/>
        </w:rPr>
      </w:pPr>
      <w:r w:rsidRPr="00FA5EDA">
        <w:rPr>
          <w:rFonts w:ascii="Traditional Arabic" w:hAnsi="Traditional Arabic"/>
          <w:sz w:val="32"/>
          <w:szCs w:val="32"/>
          <w:rtl/>
        </w:rPr>
        <w:t>(</w:t>
      </w:r>
      <w:r w:rsidRPr="00FA5EDA">
        <w:rPr>
          <w:rStyle w:val="ae"/>
          <w:rFonts w:ascii="Traditional Arabic" w:hAnsi="Traditional Arabic"/>
          <w:sz w:val="32"/>
          <w:szCs w:val="32"/>
          <w:vertAlign w:val="baseline"/>
        </w:rPr>
        <w:footnoteRef/>
      </w:r>
      <w:r w:rsidRPr="00FA5EDA">
        <w:rPr>
          <w:rFonts w:ascii="Traditional Arabic" w:hAnsi="Traditional Arabic"/>
          <w:sz w:val="32"/>
          <w:szCs w:val="32"/>
          <w:rtl/>
        </w:rPr>
        <w:t xml:space="preserve">) في </w:t>
      </w:r>
      <w:r>
        <w:rPr>
          <w:rFonts w:ascii="Traditional Arabic" w:hAnsi="Traditional Arabic" w:hint="cs"/>
          <w:sz w:val="32"/>
          <w:szCs w:val="32"/>
          <w:rtl/>
        </w:rPr>
        <w:t>(م)</w:t>
      </w:r>
      <w:r w:rsidRPr="00FA5EDA">
        <w:rPr>
          <w:rFonts w:ascii="Traditional Arabic" w:hAnsi="Traditional Arabic"/>
          <w:sz w:val="32"/>
          <w:szCs w:val="32"/>
          <w:rtl/>
        </w:rPr>
        <w:t>: [حقيقةً], والمثبت من (ك) وهو موافق لمصادر هذه القراءة.</w:t>
      </w:r>
    </w:p>
  </w:footnote>
  <w:footnote w:id="1637">
    <w:p w:rsidR="003F128F" w:rsidRPr="00FA5EDA" w:rsidRDefault="003F128F" w:rsidP="00885058">
      <w:pPr>
        <w:pStyle w:val="af3"/>
        <w:rPr>
          <w:rFonts w:ascii="Traditional Arabic" w:hAnsi="Traditional Arabic"/>
          <w:sz w:val="32"/>
          <w:szCs w:val="32"/>
        </w:rPr>
      </w:pPr>
      <w:r w:rsidRPr="00FA5EDA">
        <w:rPr>
          <w:rFonts w:ascii="Traditional Arabic" w:hAnsi="Traditional Arabic"/>
          <w:sz w:val="32"/>
          <w:szCs w:val="32"/>
          <w:rtl/>
        </w:rPr>
        <w:t>(</w:t>
      </w:r>
      <w:r w:rsidRPr="00FA5EDA">
        <w:rPr>
          <w:rStyle w:val="ae"/>
          <w:rFonts w:ascii="Traditional Arabic" w:hAnsi="Traditional Arabic"/>
          <w:sz w:val="32"/>
          <w:szCs w:val="32"/>
          <w:vertAlign w:val="baseline"/>
        </w:rPr>
        <w:footnoteRef/>
      </w:r>
      <w:r w:rsidRPr="00FA5EDA">
        <w:rPr>
          <w:rFonts w:ascii="Traditional Arabic" w:hAnsi="Traditional Arabic"/>
          <w:sz w:val="32"/>
          <w:szCs w:val="32"/>
          <w:rtl/>
        </w:rPr>
        <w:t>)</w:t>
      </w:r>
      <w:r>
        <w:rPr>
          <w:rFonts w:ascii="Traditional Arabic" w:hAnsi="Traditional Arabic" w:hint="cs"/>
          <w:sz w:val="32"/>
          <w:szCs w:val="32"/>
          <w:rtl/>
        </w:rPr>
        <w:t xml:space="preserve"> </w:t>
      </w:r>
      <w:r w:rsidRPr="00FA5EDA">
        <w:rPr>
          <w:rFonts w:ascii="Traditional Arabic" w:hAnsi="Traditional Arabic"/>
          <w:sz w:val="32"/>
          <w:szCs w:val="32"/>
          <w:rtl/>
        </w:rPr>
        <w:t xml:space="preserve">انظر: السبعة في القراءات (ص391), معاني القراءات (2/128). </w:t>
      </w:r>
    </w:p>
  </w:footnote>
  <w:footnote w:id="1638">
    <w:p w:rsidR="003F128F" w:rsidRPr="00EF435F" w:rsidRDefault="003F128F" w:rsidP="00885058">
      <w:pPr>
        <w:pStyle w:val="af3"/>
        <w:rPr>
          <w:rFonts w:ascii="Traditional Arabic" w:hAnsi="Traditional Arabic"/>
          <w:sz w:val="32"/>
          <w:szCs w:val="32"/>
        </w:rPr>
      </w:pPr>
      <w:r w:rsidRPr="00FA5EDA">
        <w:rPr>
          <w:rFonts w:ascii="Traditional Arabic" w:hAnsi="Traditional Arabic"/>
          <w:sz w:val="32"/>
          <w:szCs w:val="32"/>
          <w:rtl/>
        </w:rPr>
        <w:t>(</w:t>
      </w:r>
      <w:r w:rsidRPr="00FA5EDA">
        <w:rPr>
          <w:rStyle w:val="ae"/>
          <w:rFonts w:ascii="Traditional Arabic" w:hAnsi="Traditional Arabic"/>
          <w:sz w:val="32"/>
          <w:szCs w:val="32"/>
          <w:vertAlign w:val="baseline"/>
        </w:rPr>
        <w:footnoteRef/>
      </w:r>
      <w:r w:rsidRPr="00FA5EDA">
        <w:rPr>
          <w:rFonts w:ascii="Traditional Arabic" w:hAnsi="Traditional Arabic"/>
          <w:sz w:val="32"/>
          <w:szCs w:val="32"/>
          <w:rtl/>
        </w:rPr>
        <w:t>) التفسير الوسيط (3/158), الكشاف (2/733), رموز الكنوز (4/324</w:t>
      </w:r>
      <w:r w:rsidRPr="00EF435F">
        <w:rPr>
          <w:rFonts w:ascii="Traditional Arabic" w:hAnsi="Traditional Arabic"/>
          <w:sz w:val="32"/>
          <w:szCs w:val="32"/>
          <w:rtl/>
        </w:rPr>
        <w:t>).</w:t>
      </w:r>
    </w:p>
  </w:footnote>
  <w:footnote w:id="1639">
    <w:p w:rsidR="003F128F" w:rsidRPr="00E953C3" w:rsidRDefault="003F128F" w:rsidP="00885058">
      <w:pPr>
        <w:pStyle w:val="af3"/>
        <w:rPr>
          <w:rFonts w:ascii="Traditional Arabic" w:hAnsi="Traditional Arabic"/>
          <w:sz w:val="32"/>
          <w:szCs w:val="32"/>
        </w:rPr>
      </w:pPr>
      <w:r w:rsidRPr="00E953C3">
        <w:rPr>
          <w:rFonts w:ascii="Traditional Arabic" w:hAnsi="Traditional Arabic"/>
          <w:sz w:val="32"/>
          <w:szCs w:val="32"/>
          <w:rtl/>
        </w:rPr>
        <w:t>(</w:t>
      </w:r>
      <w:r w:rsidRPr="00E953C3">
        <w:rPr>
          <w:rStyle w:val="ae"/>
          <w:rFonts w:ascii="Traditional Arabic" w:hAnsi="Traditional Arabic"/>
          <w:sz w:val="32"/>
          <w:szCs w:val="32"/>
          <w:vertAlign w:val="baseline"/>
        </w:rPr>
        <w:footnoteRef/>
      </w:r>
      <w:r w:rsidRPr="00E953C3">
        <w:rPr>
          <w:rFonts w:ascii="Traditional Arabic" w:hAnsi="Traditional Arabic"/>
          <w:sz w:val="32"/>
          <w:szCs w:val="32"/>
          <w:rtl/>
        </w:rPr>
        <w:t>) انظر: المحرر الوجيز (3/527), البحر المحيط (7/205), رموز الكنوز (4/325).</w:t>
      </w:r>
    </w:p>
  </w:footnote>
  <w:footnote w:id="1640">
    <w:p w:rsidR="003F128F" w:rsidRPr="00E953C3" w:rsidRDefault="003F128F" w:rsidP="00885058">
      <w:pPr>
        <w:pStyle w:val="af3"/>
        <w:rPr>
          <w:rFonts w:ascii="Traditional Arabic" w:hAnsi="Traditional Arabic"/>
          <w:sz w:val="32"/>
          <w:szCs w:val="32"/>
        </w:rPr>
      </w:pPr>
      <w:r w:rsidRPr="00E953C3">
        <w:rPr>
          <w:rFonts w:ascii="Traditional Arabic" w:hAnsi="Traditional Arabic"/>
          <w:sz w:val="32"/>
          <w:szCs w:val="32"/>
          <w:rtl/>
        </w:rPr>
        <w:t>(</w:t>
      </w:r>
      <w:r w:rsidRPr="00E953C3">
        <w:rPr>
          <w:rStyle w:val="ae"/>
          <w:rFonts w:ascii="Traditional Arabic" w:hAnsi="Traditional Arabic"/>
          <w:sz w:val="32"/>
          <w:szCs w:val="32"/>
          <w:vertAlign w:val="baseline"/>
        </w:rPr>
        <w:footnoteRef/>
      </w:r>
      <w:r w:rsidRPr="00E953C3">
        <w:rPr>
          <w:rFonts w:ascii="Traditional Arabic" w:hAnsi="Traditional Arabic"/>
          <w:sz w:val="32"/>
          <w:szCs w:val="32"/>
          <w:rtl/>
        </w:rPr>
        <w:t>) انظر: تفسير الطبري (18/66), تفسير ابن أبي حاتم (7/2370), التفسير الوسيط (3/158).</w:t>
      </w:r>
    </w:p>
  </w:footnote>
  <w:footnote w:id="1641">
    <w:p w:rsidR="003F128F" w:rsidRPr="00E953C3" w:rsidRDefault="003F128F" w:rsidP="00885058">
      <w:pPr>
        <w:pStyle w:val="af3"/>
        <w:rPr>
          <w:rFonts w:ascii="Traditional Arabic" w:hAnsi="Traditional Arabic"/>
          <w:sz w:val="32"/>
          <w:szCs w:val="32"/>
        </w:rPr>
      </w:pPr>
      <w:r w:rsidRPr="00E953C3">
        <w:rPr>
          <w:rFonts w:ascii="Traditional Arabic" w:hAnsi="Traditional Arabic"/>
          <w:sz w:val="32"/>
          <w:szCs w:val="32"/>
          <w:rtl/>
        </w:rPr>
        <w:t>(</w:t>
      </w:r>
      <w:r w:rsidRPr="00E953C3">
        <w:rPr>
          <w:rStyle w:val="ae"/>
          <w:rFonts w:ascii="Traditional Arabic" w:hAnsi="Traditional Arabic"/>
          <w:sz w:val="32"/>
          <w:szCs w:val="32"/>
          <w:vertAlign w:val="baseline"/>
        </w:rPr>
        <w:footnoteRef/>
      </w:r>
      <w:r w:rsidRPr="00E953C3">
        <w:rPr>
          <w:rFonts w:ascii="Traditional Arabic" w:hAnsi="Traditional Arabic"/>
          <w:sz w:val="32"/>
          <w:szCs w:val="32"/>
          <w:rtl/>
        </w:rPr>
        <w:t xml:space="preserve">) انظر: النكت والعيون (3/326). </w:t>
      </w:r>
    </w:p>
  </w:footnote>
  <w:footnote w:id="1642">
    <w:p w:rsidR="003F128F" w:rsidRPr="00E953C3" w:rsidRDefault="003F128F" w:rsidP="00885058">
      <w:pPr>
        <w:pStyle w:val="af3"/>
        <w:rPr>
          <w:rFonts w:ascii="Traditional Arabic" w:hAnsi="Traditional Arabic"/>
          <w:sz w:val="32"/>
          <w:szCs w:val="32"/>
        </w:rPr>
      </w:pPr>
      <w:r w:rsidRPr="00E953C3">
        <w:rPr>
          <w:rFonts w:ascii="Traditional Arabic" w:hAnsi="Traditional Arabic"/>
          <w:sz w:val="32"/>
          <w:szCs w:val="32"/>
          <w:rtl/>
        </w:rPr>
        <w:t>(</w:t>
      </w:r>
      <w:r w:rsidRPr="00E953C3">
        <w:rPr>
          <w:rStyle w:val="ae"/>
          <w:rFonts w:ascii="Traditional Arabic" w:hAnsi="Traditional Arabic"/>
          <w:sz w:val="32"/>
          <w:szCs w:val="32"/>
          <w:vertAlign w:val="baseline"/>
        </w:rPr>
        <w:footnoteRef/>
      </w:r>
      <w:r w:rsidRPr="00E953C3">
        <w:rPr>
          <w:rFonts w:ascii="Traditional Arabic" w:hAnsi="Traditional Arabic"/>
          <w:sz w:val="32"/>
          <w:szCs w:val="32"/>
          <w:rtl/>
        </w:rPr>
        <w:t xml:space="preserve">) انظر: معاني القرآن وإعرابه (3/301), بحر العلوم (2/355), التفسير الوسيط (3/158). </w:t>
      </w:r>
    </w:p>
  </w:footnote>
  <w:footnote w:id="1643">
    <w:p w:rsidR="003F128F" w:rsidRPr="00E953C3" w:rsidRDefault="003F128F" w:rsidP="00885058">
      <w:pPr>
        <w:pStyle w:val="af3"/>
        <w:rPr>
          <w:rFonts w:ascii="Traditional Arabic" w:hAnsi="Traditional Arabic"/>
          <w:color w:val="auto"/>
          <w:sz w:val="32"/>
          <w:szCs w:val="32"/>
        </w:rPr>
      </w:pPr>
      <w:r w:rsidRPr="00E953C3">
        <w:rPr>
          <w:rFonts w:ascii="Traditional Arabic" w:hAnsi="Traditional Arabic"/>
          <w:color w:val="auto"/>
          <w:sz w:val="32"/>
          <w:szCs w:val="32"/>
          <w:rtl/>
        </w:rPr>
        <w:t>(</w:t>
      </w:r>
      <w:r w:rsidRPr="00E953C3">
        <w:rPr>
          <w:rStyle w:val="ae"/>
          <w:rFonts w:ascii="Traditional Arabic" w:hAnsi="Traditional Arabic"/>
          <w:color w:val="auto"/>
          <w:sz w:val="32"/>
          <w:szCs w:val="32"/>
          <w:vertAlign w:val="baseline"/>
        </w:rPr>
        <w:footnoteRef/>
      </w:r>
      <w:r w:rsidRPr="00E953C3">
        <w:rPr>
          <w:rFonts w:ascii="Traditional Arabic" w:hAnsi="Traditional Arabic"/>
          <w:color w:val="auto"/>
          <w:sz w:val="32"/>
          <w:szCs w:val="32"/>
          <w:rtl/>
        </w:rPr>
        <w:t xml:space="preserve">) ذكر بنحوه أبو حيان في البحر المحيط (7/205), والرسعني في رموز الكنوز (4/326). </w:t>
      </w:r>
    </w:p>
  </w:footnote>
  <w:footnote w:id="1644">
    <w:p w:rsidR="003F128F" w:rsidRPr="00E953C3" w:rsidRDefault="003F128F" w:rsidP="00885058">
      <w:pPr>
        <w:pStyle w:val="af3"/>
        <w:rPr>
          <w:rFonts w:ascii="Traditional Arabic" w:hAnsi="Traditional Arabic"/>
          <w:sz w:val="32"/>
          <w:szCs w:val="32"/>
        </w:rPr>
      </w:pPr>
      <w:r w:rsidRPr="00E953C3">
        <w:rPr>
          <w:rFonts w:ascii="Traditional Arabic" w:hAnsi="Traditional Arabic"/>
          <w:sz w:val="32"/>
          <w:szCs w:val="32"/>
          <w:rtl/>
        </w:rPr>
        <w:t>(</w:t>
      </w:r>
      <w:r w:rsidRPr="00E953C3">
        <w:rPr>
          <w:rStyle w:val="ae"/>
          <w:rFonts w:ascii="Traditional Arabic" w:hAnsi="Traditional Arabic"/>
          <w:sz w:val="32"/>
          <w:szCs w:val="32"/>
          <w:vertAlign w:val="baseline"/>
        </w:rPr>
        <w:footnoteRef/>
      </w:r>
      <w:r w:rsidRPr="00E953C3">
        <w:rPr>
          <w:rFonts w:ascii="Traditional Arabic" w:hAnsi="Traditional Arabic"/>
          <w:sz w:val="32"/>
          <w:szCs w:val="32"/>
          <w:rtl/>
        </w:rPr>
        <w:t xml:space="preserve">) في (ك): [وقرأ نافع </w:t>
      </w:r>
      <w:r>
        <w:rPr>
          <w:rFonts w:ascii="Traditional Arabic" w:hAnsi="Traditional Arabic"/>
          <w:sz w:val="32"/>
          <w:szCs w:val="32"/>
          <w:rtl/>
        </w:rPr>
        <w:t>تسأَلَنِّي</w:t>
      </w:r>
      <w:r>
        <w:rPr>
          <w:rFonts w:ascii="Traditional Arabic" w:hAnsi="Traditional Arabic" w:hint="cs"/>
          <w:sz w:val="32"/>
          <w:szCs w:val="32"/>
          <w:rtl/>
        </w:rPr>
        <w:t>]</w:t>
      </w:r>
      <w:r w:rsidRPr="00E953C3">
        <w:rPr>
          <w:rFonts w:ascii="Traditional Arabic" w:hAnsi="Traditional Arabic"/>
          <w:sz w:val="32"/>
          <w:szCs w:val="32"/>
          <w:rtl/>
        </w:rPr>
        <w:t>.</w:t>
      </w:r>
    </w:p>
  </w:footnote>
  <w:footnote w:id="1645">
    <w:p w:rsidR="003F128F" w:rsidRPr="00E953C3" w:rsidRDefault="003F128F" w:rsidP="00885058">
      <w:pPr>
        <w:pStyle w:val="af3"/>
        <w:rPr>
          <w:rFonts w:ascii="Traditional Arabic" w:hAnsi="Traditional Arabic"/>
          <w:sz w:val="32"/>
          <w:szCs w:val="32"/>
        </w:rPr>
      </w:pPr>
      <w:r w:rsidRPr="00E953C3">
        <w:rPr>
          <w:rFonts w:ascii="Traditional Arabic" w:hAnsi="Traditional Arabic"/>
          <w:color w:val="auto"/>
          <w:sz w:val="32"/>
          <w:szCs w:val="32"/>
          <w:rtl/>
        </w:rPr>
        <w:t>(</w:t>
      </w:r>
      <w:r w:rsidRPr="00E953C3">
        <w:rPr>
          <w:rStyle w:val="ae"/>
          <w:rFonts w:ascii="Traditional Arabic" w:hAnsi="Traditional Arabic"/>
          <w:color w:val="auto"/>
          <w:sz w:val="32"/>
          <w:szCs w:val="32"/>
          <w:vertAlign w:val="baseline"/>
        </w:rPr>
        <w:footnoteRef/>
      </w:r>
      <w:r w:rsidRPr="00E953C3">
        <w:rPr>
          <w:rFonts w:ascii="Traditional Arabic" w:hAnsi="Traditional Arabic"/>
          <w:color w:val="auto"/>
          <w:sz w:val="32"/>
          <w:szCs w:val="32"/>
          <w:rtl/>
        </w:rPr>
        <w:t>) هو الامام المقرئ أبو بكر محمد بن أحمد بن عمر</w:t>
      </w:r>
      <w:r w:rsidRPr="00E953C3">
        <w:rPr>
          <w:rFonts w:ascii="Traditional Arabic" w:hAnsi="Traditional Arabic"/>
          <w:color w:val="auto"/>
          <w:sz w:val="32"/>
          <w:szCs w:val="32"/>
          <w:rtl/>
          <w:lang w:eastAsia="en-US"/>
        </w:rPr>
        <w:t xml:space="preserve"> </w:t>
      </w:r>
      <w:r w:rsidRPr="00E953C3">
        <w:rPr>
          <w:rFonts w:ascii="Traditional Arabic" w:hAnsi="Traditional Arabic"/>
          <w:color w:val="auto"/>
          <w:sz w:val="32"/>
          <w:szCs w:val="32"/>
          <w:rtl/>
        </w:rPr>
        <w:t>بن أحمد الرملي, الداجوني الكبير, الضرير, رحل إلى الشيوخ وجمع القراءات,</w:t>
      </w:r>
      <w:r w:rsidRPr="00E953C3">
        <w:rPr>
          <w:rFonts w:ascii="Traditional Arabic" w:hAnsi="Traditional Arabic"/>
          <w:color w:val="auto"/>
          <w:sz w:val="32"/>
          <w:szCs w:val="32"/>
          <w:rtl/>
          <w:lang w:eastAsia="en-US"/>
        </w:rPr>
        <w:t xml:space="preserve"> ناقل, رحال, مشهور, ثقة، و</w:t>
      </w:r>
      <w:r w:rsidRPr="00E953C3">
        <w:rPr>
          <w:rFonts w:ascii="Traditional Arabic" w:hAnsi="Traditional Arabic"/>
          <w:color w:val="auto"/>
          <w:sz w:val="32"/>
          <w:szCs w:val="32"/>
          <w:rtl/>
        </w:rPr>
        <w:t xml:space="preserve">الداجَوني بفتح الجيم: نسبة إلى داجَون: قرية من قرى الرملة, (ت324ه). انظر: معرفة القراء الكبار (ص152), غاية النهاية (2/108).   </w:t>
      </w:r>
    </w:p>
  </w:footnote>
  <w:footnote w:id="1646">
    <w:p w:rsidR="003F128F" w:rsidRPr="00E953C3" w:rsidRDefault="003F128F" w:rsidP="00885058">
      <w:pPr>
        <w:pStyle w:val="af3"/>
        <w:rPr>
          <w:rFonts w:ascii="Traditional Arabic" w:hAnsi="Traditional Arabic"/>
          <w:sz w:val="32"/>
          <w:szCs w:val="32"/>
        </w:rPr>
      </w:pPr>
      <w:r w:rsidRPr="00E953C3">
        <w:rPr>
          <w:rFonts w:ascii="Traditional Arabic" w:hAnsi="Traditional Arabic"/>
          <w:sz w:val="32"/>
          <w:szCs w:val="32"/>
          <w:rtl/>
        </w:rPr>
        <w:t>(</w:t>
      </w:r>
      <w:r w:rsidRPr="00E953C3">
        <w:rPr>
          <w:rStyle w:val="ae"/>
          <w:rFonts w:ascii="Traditional Arabic" w:hAnsi="Traditional Arabic"/>
          <w:sz w:val="32"/>
          <w:szCs w:val="32"/>
          <w:vertAlign w:val="baseline"/>
        </w:rPr>
        <w:footnoteRef/>
      </w:r>
      <w:r w:rsidRPr="00E953C3">
        <w:rPr>
          <w:rFonts w:ascii="Traditional Arabic" w:hAnsi="Traditional Arabic"/>
          <w:sz w:val="32"/>
          <w:szCs w:val="32"/>
          <w:rtl/>
        </w:rPr>
        <w:t>)</w:t>
      </w:r>
      <w:r>
        <w:rPr>
          <w:rFonts w:ascii="Traditional Arabic" w:hAnsi="Traditional Arabic" w:hint="cs"/>
          <w:sz w:val="32"/>
          <w:szCs w:val="32"/>
          <w:rtl/>
        </w:rPr>
        <w:t xml:space="preserve"> </w:t>
      </w:r>
      <w:r w:rsidRPr="00E953C3">
        <w:rPr>
          <w:rFonts w:ascii="Traditional Arabic" w:hAnsi="Traditional Arabic"/>
          <w:sz w:val="32"/>
          <w:szCs w:val="32"/>
          <w:rtl/>
        </w:rPr>
        <w:t xml:space="preserve">انظر: السبعة في القراءات (ص394), معاني القراءات (2/114).   </w:t>
      </w:r>
    </w:p>
  </w:footnote>
  <w:footnote w:id="1647">
    <w:p w:rsidR="003F128F" w:rsidRPr="00DD3B1C" w:rsidRDefault="003F128F" w:rsidP="00885058">
      <w:pPr>
        <w:pStyle w:val="af3"/>
        <w:rPr>
          <w:rFonts w:ascii="Traditional Arabic" w:hAnsi="Traditional Arabic"/>
          <w:sz w:val="32"/>
          <w:szCs w:val="32"/>
        </w:rPr>
      </w:pPr>
      <w:r w:rsidRPr="00E953C3">
        <w:rPr>
          <w:rFonts w:ascii="Traditional Arabic" w:hAnsi="Traditional Arabic"/>
          <w:sz w:val="32"/>
          <w:szCs w:val="32"/>
          <w:rtl/>
        </w:rPr>
        <w:t>(</w:t>
      </w:r>
      <w:r w:rsidRPr="00E953C3">
        <w:rPr>
          <w:rStyle w:val="ae"/>
          <w:rFonts w:ascii="Traditional Arabic" w:hAnsi="Traditional Arabic"/>
          <w:sz w:val="32"/>
          <w:szCs w:val="32"/>
          <w:vertAlign w:val="baseline"/>
        </w:rPr>
        <w:footnoteRef/>
      </w:r>
      <w:r w:rsidRPr="00E953C3">
        <w:rPr>
          <w:rFonts w:ascii="Traditional Arabic" w:hAnsi="Traditional Arabic"/>
          <w:sz w:val="32"/>
          <w:szCs w:val="32"/>
          <w:rtl/>
        </w:rPr>
        <w:t xml:space="preserve">) انظر: تفسير مقاتل (2/595), تفسير الطبري (18/72), التفسير الوسيط (3/158).  </w:t>
      </w:r>
    </w:p>
  </w:footnote>
  <w:footnote w:id="1648">
    <w:p w:rsidR="003F128F" w:rsidRPr="00E953C3" w:rsidRDefault="003F128F" w:rsidP="00885058">
      <w:pPr>
        <w:pStyle w:val="af3"/>
        <w:rPr>
          <w:rFonts w:ascii="Traditional Arabic" w:hAnsi="Traditional Arabic"/>
          <w:sz w:val="32"/>
          <w:szCs w:val="32"/>
        </w:rPr>
      </w:pPr>
      <w:r w:rsidRPr="00E953C3">
        <w:rPr>
          <w:rFonts w:ascii="Traditional Arabic" w:hAnsi="Traditional Arabic"/>
          <w:sz w:val="32"/>
          <w:szCs w:val="32"/>
          <w:rtl/>
        </w:rPr>
        <w:t>(</w:t>
      </w:r>
      <w:r w:rsidRPr="00E953C3">
        <w:rPr>
          <w:rStyle w:val="ae"/>
          <w:rFonts w:ascii="Traditional Arabic" w:hAnsi="Traditional Arabic"/>
          <w:sz w:val="32"/>
          <w:szCs w:val="32"/>
          <w:vertAlign w:val="baseline"/>
        </w:rPr>
        <w:footnoteRef/>
      </w:r>
      <w:r w:rsidRPr="00E953C3">
        <w:rPr>
          <w:rFonts w:ascii="Traditional Arabic" w:hAnsi="Traditional Arabic"/>
          <w:sz w:val="32"/>
          <w:szCs w:val="32"/>
          <w:rtl/>
        </w:rPr>
        <w:t xml:space="preserve">) انظر: معاني القرآن وإعرابه (3/302), الكشف والبيان (3/158)  </w:t>
      </w:r>
    </w:p>
  </w:footnote>
  <w:footnote w:id="1649">
    <w:p w:rsidR="003F128F" w:rsidRPr="00E953C3" w:rsidRDefault="003F128F" w:rsidP="00885058">
      <w:pPr>
        <w:pStyle w:val="af3"/>
        <w:rPr>
          <w:rFonts w:ascii="Traditional Arabic" w:hAnsi="Traditional Arabic"/>
          <w:sz w:val="32"/>
          <w:szCs w:val="32"/>
        </w:rPr>
      </w:pPr>
      <w:r w:rsidRPr="00E953C3">
        <w:rPr>
          <w:rFonts w:ascii="Traditional Arabic" w:hAnsi="Traditional Arabic"/>
          <w:sz w:val="32"/>
          <w:szCs w:val="32"/>
          <w:rtl/>
        </w:rPr>
        <w:t>(</w:t>
      </w:r>
      <w:r w:rsidRPr="00E953C3">
        <w:rPr>
          <w:rStyle w:val="ae"/>
          <w:rFonts w:ascii="Traditional Arabic" w:hAnsi="Traditional Arabic"/>
          <w:sz w:val="32"/>
          <w:szCs w:val="32"/>
          <w:vertAlign w:val="baseline"/>
        </w:rPr>
        <w:footnoteRef/>
      </w:r>
      <w:r w:rsidRPr="00E953C3">
        <w:rPr>
          <w:rFonts w:ascii="Traditional Arabic" w:hAnsi="Traditional Arabic"/>
          <w:sz w:val="32"/>
          <w:szCs w:val="32"/>
          <w:rtl/>
        </w:rPr>
        <w:t>) في (ك): [ليغرق أهلها برفع اللام].</w:t>
      </w:r>
    </w:p>
  </w:footnote>
  <w:footnote w:id="1650">
    <w:p w:rsidR="003F128F" w:rsidRPr="00E953C3" w:rsidRDefault="003F128F" w:rsidP="00885058">
      <w:pPr>
        <w:pStyle w:val="af3"/>
        <w:rPr>
          <w:rFonts w:ascii="Traditional Arabic" w:hAnsi="Traditional Arabic"/>
          <w:sz w:val="32"/>
          <w:szCs w:val="32"/>
        </w:rPr>
      </w:pPr>
      <w:r w:rsidRPr="00E953C3">
        <w:rPr>
          <w:rFonts w:ascii="Traditional Arabic" w:hAnsi="Traditional Arabic"/>
          <w:sz w:val="32"/>
          <w:szCs w:val="32"/>
          <w:rtl/>
        </w:rPr>
        <w:t>(</w:t>
      </w:r>
      <w:r w:rsidRPr="00E953C3">
        <w:rPr>
          <w:rStyle w:val="ae"/>
          <w:rFonts w:ascii="Traditional Arabic" w:hAnsi="Traditional Arabic"/>
          <w:sz w:val="32"/>
          <w:szCs w:val="32"/>
          <w:vertAlign w:val="baseline"/>
        </w:rPr>
        <w:footnoteRef/>
      </w:r>
      <w:r w:rsidRPr="00E953C3">
        <w:rPr>
          <w:rFonts w:ascii="Traditional Arabic" w:hAnsi="Traditional Arabic"/>
          <w:sz w:val="32"/>
          <w:szCs w:val="32"/>
          <w:rtl/>
        </w:rPr>
        <w:t>)</w:t>
      </w:r>
      <w:r>
        <w:rPr>
          <w:rFonts w:ascii="Traditional Arabic" w:hAnsi="Traditional Arabic" w:hint="cs"/>
          <w:sz w:val="32"/>
          <w:szCs w:val="32"/>
          <w:rtl/>
        </w:rPr>
        <w:t xml:space="preserve"> </w:t>
      </w:r>
      <w:r w:rsidRPr="00E953C3">
        <w:rPr>
          <w:rFonts w:ascii="Traditional Arabic" w:hAnsi="Traditional Arabic"/>
          <w:sz w:val="32"/>
          <w:szCs w:val="32"/>
          <w:rtl/>
        </w:rPr>
        <w:t xml:space="preserve">انظر: السبعة في القراءات (ص395), معاني القراءات (2/115). </w:t>
      </w:r>
    </w:p>
  </w:footnote>
  <w:footnote w:id="1651">
    <w:p w:rsidR="003F128F" w:rsidRPr="00E953C3" w:rsidRDefault="003F128F" w:rsidP="00885058">
      <w:pPr>
        <w:pStyle w:val="af3"/>
        <w:rPr>
          <w:rFonts w:ascii="Traditional Arabic" w:hAnsi="Traditional Arabic"/>
          <w:sz w:val="32"/>
          <w:szCs w:val="32"/>
        </w:rPr>
      </w:pPr>
      <w:r w:rsidRPr="00E953C3">
        <w:rPr>
          <w:rFonts w:ascii="Traditional Arabic" w:hAnsi="Traditional Arabic"/>
          <w:sz w:val="32"/>
          <w:szCs w:val="32"/>
          <w:rtl/>
        </w:rPr>
        <w:t>(</w:t>
      </w:r>
      <w:r w:rsidRPr="00E953C3">
        <w:rPr>
          <w:rStyle w:val="ae"/>
          <w:rFonts w:ascii="Traditional Arabic" w:hAnsi="Traditional Arabic"/>
          <w:sz w:val="32"/>
          <w:szCs w:val="32"/>
          <w:vertAlign w:val="baseline"/>
        </w:rPr>
        <w:footnoteRef/>
      </w:r>
      <w:r w:rsidRPr="00E953C3">
        <w:rPr>
          <w:rFonts w:ascii="Traditional Arabic" w:hAnsi="Traditional Arabic"/>
          <w:sz w:val="32"/>
          <w:szCs w:val="32"/>
          <w:rtl/>
        </w:rPr>
        <w:t>) تفسير مجاهد (ص450), تفسير يحيى بن سلام (1/198)</w:t>
      </w:r>
      <w:r>
        <w:rPr>
          <w:rFonts w:ascii="Traditional Arabic" w:hAnsi="Traditional Arabic" w:hint="cs"/>
          <w:sz w:val="32"/>
          <w:szCs w:val="32"/>
          <w:rtl/>
        </w:rPr>
        <w:t>.</w:t>
      </w:r>
    </w:p>
  </w:footnote>
  <w:footnote w:id="1652">
    <w:p w:rsidR="003F128F" w:rsidRPr="00E953C3" w:rsidRDefault="003F128F" w:rsidP="00885058">
      <w:pPr>
        <w:pStyle w:val="af3"/>
        <w:rPr>
          <w:rFonts w:ascii="Traditional Arabic" w:hAnsi="Traditional Arabic"/>
          <w:sz w:val="32"/>
          <w:szCs w:val="32"/>
        </w:rPr>
      </w:pPr>
      <w:r w:rsidRPr="00E953C3">
        <w:rPr>
          <w:rFonts w:ascii="Traditional Arabic" w:hAnsi="Traditional Arabic"/>
          <w:sz w:val="32"/>
          <w:szCs w:val="32"/>
          <w:rtl/>
        </w:rPr>
        <w:t>(</w:t>
      </w:r>
      <w:r w:rsidRPr="00E953C3">
        <w:rPr>
          <w:rStyle w:val="ae"/>
          <w:rFonts w:ascii="Traditional Arabic" w:hAnsi="Traditional Arabic"/>
          <w:sz w:val="32"/>
          <w:szCs w:val="32"/>
          <w:vertAlign w:val="baseline"/>
        </w:rPr>
        <w:footnoteRef/>
      </w:r>
      <w:r w:rsidRPr="00E953C3">
        <w:rPr>
          <w:rFonts w:ascii="Traditional Arabic" w:hAnsi="Traditional Arabic"/>
          <w:sz w:val="32"/>
          <w:szCs w:val="32"/>
          <w:rtl/>
        </w:rPr>
        <w:t xml:space="preserve">) انظر: معاني القرآن وإعرابه (3/300).  </w:t>
      </w:r>
    </w:p>
  </w:footnote>
  <w:footnote w:id="1653">
    <w:p w:rsidR="003F128F" w:rsidRPr="00E953C3" w:rsidRDefault="003F128F" w:rsidP="00885058">
      <w:pPr>
        <w:pStyle w:val="af3"/>
        <w:rPr>
          <w:rFonts w:ascii="Traditional Arabic" w:hAnsi="Traditional Arabic"/>
          <w:sz w:val="32"/>
          <w:szCs w:val="32"/>
        </w:rPr>
      </w:pPr>
      <w:r w:rsidRPr="00E953C3">
        <w:rPr>
          <w:rFonts w:ascii="Traditional Arabic" w:hAnsi="Traditional Arabic"/>
          <w:sz w:val="32"/>
          <w:szCs w:val="32"/>
          <w:rtl/>
        </w:rPr>
        <w:t>(</w:t>
      </w:r>
      <w:r w:rsidRPr="00E953C3">
        <w:rPr>
          <w:rStyle w:val="ae"/>
          <w:rFonts w:ascii="Traditional Arabic" w:hAnsi="Traditional Arabic"/>
          <w:sz w:val="32"/>
          <w:szCs w:val="32"/>
          <w:vertAlign w:val="baseline"/>
        </w:rPr>
        <w:footnoteRef/>
      </w:r>
      <w:r w:rsidRPr="00E953C3">
        <w:rPr>
          <w:rFonts w:ascii="Traditional Arabic" w:hAnsi="Traditional Arabic"/>
          <w:sz w:val="32"/>
          <w:szCs w:val="32"/>
          <w:rtl/>
        </w:rPr>
        <w:t>) قول قتادة أخرجه الطبري في تفسيره (18/72), وابن أبي حاتم في تفسيره (7/2370), وأما قول ابن قتيبة فقد ذكره في غريب القرآن (ص269).</w:t>
      </w:r>
    </w:p>
  </w:footnote>
  <w:footnote w:id="1654">
    <w:p w:rsidR="003F128F" w:rsidRPr="00E953C3" w:rsidRDefault="003F128F" w:rsidP="00885058">
      <w:pPr>
        <w:pStyle w:val="af3"/>
        <w:rPr>
          <w:rFonts w:ascii="Traditional Arabic" w:hAnsi="Traditional Arabic"/>
          <w:sz w:val="32"/>
          <w:szCs w:val="32"/>
        </w:rPr>
      </w:pPr>
      <w:r w:rsidRPr="00E953C3">
        <w:rPr>
          <w:rFonts w:ascii="Traditional Arabic" w:hAnsi="Traditional Arabic"/>
          <w:sz w:val="32"/>
          <w:szCs w:val="32"/>
          <w:rtl/>
        </w:rPr>
        <w:t>(</w:t>
      </w:r>
      <w:r w:rsidRPr="00E953C3">
        <w:rPr>
          <w:rStyle w:val="ae"/>
          <w:rFonts w:ascii="Traditional Arabic" w:hAnsi="Traditional Arabic"/>
          <w:sz w:val="32"/>
          <w:szCs w:val="32"/>
          <w:vertAlign w:val="baseline"/>
        </w:rPr>
        <w:footnoteRef/>
      </w:r>
      <w:r w:rsidRPr="00E953C3">
        <w:rPr>
          <w:rFonts w:ascii="Traditional Arabic" w:hAnsi="Traditional Arabic"/>
          <w:sz w:val="32"/>
          <w:szCs w:val="32"/>
          <w:rtl/>
        </w:rPr>
        <w:t>) مجاز القرآن (1/409).</w:t>
      </w:r>
    </w:p>
  </w:footnote>
  <w:footnote w:id="1655">
    <w:p w:rsidR="003F128F" w:rsidRPr="00E953C3" w:rsidRDefault="003F128F" w:rsidP="00237681">
      <w:pPr>
        <w:ind w:firstLine="0"/>
        <w:rPr>
          <w:rFonts w:ascii="Traditional Arabic" w:hAnsi="Traditional Arabic"/>
          <w:sz w:val="32"/>
          <w:szCs w:val="32"/>
        </w:rPr>
      </w:pPr>
      <w:r w:rsidRPr="00E953C3">
        <w:rPr>
          <w:rFonts w:ascii="Traditional Arabic" w:hAnsi="Traditional Arabic"/>
          <w:sz w:val="32"/>
          <w:szCs w:val="32"/>
          <w:rtl/>
        </w:rPr>
        <w:t>(</w:t>
      </w:r>
      <w:r w:rsidRPr="00E953C3">
        <w:rPr>
          <w:rStyle w:val="ae"/>
          <w:rFonts w:ascii="Traditional Arabic" w:hAnsi="Traditional Arabic"/>
          <w:sz w:val="32"/>
          <w:szCs w:val="32"/>
          <w:vertAlign w:val="baseline"/>
        </w:rPr>
        <w:footnoteRef/>
      </w:r>
      <w:r w:rsidRPr="00E953C3">
        <w:rPr>
          <w:rFonts w:ascii="Traditional Arabic" w:hAnsi="Traditional Arabic"/>
          <w:sz w:val="32"/>
          <w:szCs w:val="32"/>
          <w:rtl/>
        </w:rPr>
        <w:t>) هو بعض الحديث المتقدم في (</w:t>
      </w:r>
      <w:r>
        <w:rPr>
          <w:rFonts w:ascii="Traditional Arabic" w:hAnsi="Traditional Arabic" w:hint="cs"/>
          <w:sz w:val="32"/>
          <w:szCs w:val="32"/>
          <w:rtl/>
        </w:rPr>
        <w:t>ص241</w:t>
      </w:r>
      <w:r w:rsidRPr="00E953C3">
        <w:rPr>
          <w:rFonts w:ascii="Traditional Arabic" w:hAnsi="Traditional Arabic"/>
          <w:sz w:val="32"/>
          <w:szCs w:val="32"/>
          <w:rtl/>
        </w:rPr>
        <w:t xml:space="preserve">).  </w:t>
      </w:r>
    </w:p>
  </w:footnote>
  <w:footnote w:id="1656">
    <w:p w:rsidR="003F128F" w:rsidRPr="00E953C3" w:rsidRDefault="003F128F" w:rsidP="00885058">
      <w:pPr>
        <w:pStyle w:val="af3"/>
        <w:rPr>
          <w:rFonts w:ascii="Traditional Arabic" w:hAnsi="Traditional Arabic"/>
          <w:sz w:val="32"/>
          <w:szCs w:val="32"/>
        </w:rPr>
      </w:pPr>
      <w:r w:rsidRPr="00E953C3">
        <w:rPr>
          <w:rFonts w:ascii="Traditional Arabic" w:hAnsi="Traditional Arabic"/>
          <w:sz w:val="32"/>
          <w:szCs w:val="32"/>
          <w:rtl/>
        </w:rPr>
        <w:t>(</w:t>
      </w:r>
      <w:r w:rsidRPr="00E953C3">
        <w:rPr>
          <w:rStyle w:val="ae"/>
          <w:rFonts w:ascii="Traditional Arabic" w:hAnsi="Traditional Arabic"/>
          <w:sz w:val="32"/>
          <w:szCs w:val="32"/>
          <w:vertAlign w:val="baseline"/>
        </w:rPr>
        <w:footnoteRef/>
      </w:r>
      <w:r w:rsidRPr="00E953C3">
        <w:rPr>
          <w:rFonts w:ascii="Traditional Arabic" w:hAnsi="Traditional Arabic"/>
          <w:sz w:val="32"/>
          <w:szCs w:val="32"/>
          <w:rtl/>
        </w:rPr>
        <w:t>) انظر: تفسير الطبري (18/74), الكشف والبيان (6/184)</w:t>
      </w:r>
      <w:r>
        <w:rPr>
          <w:rFonts w:ascii="Traditional Arabic" w:hAnsi="Traditional Arabic" w:hint="cs"/>
          <w:sz w:val="32"/>
          <w:szCs w:val="32"/>
          <w:rtl/>
        </w:rPr>
        <w:t>.</w:t>
      </w:r>
    </w:p>
  </w:footnote>
  <w:footnote w:id="1657">
    <w:p w:rsidR="003F128F" w:rsidRPr="00E953C3" w:rsidRDefault="003F128F" w:rsidP="00885058">
      <w:pPr>
        <w:pStyle w:val="af3"/>
        <w:rPr>
          <w:rFonts w:ascii="Traditional Arabic" w:hAnsi="Traditional Arabic"/>
          <w:sz w:val="32"/>
          <w:szCs w:val="32"/>
        </w:rPr>
      </w:pPr>
      <w:r w:rsidRPr="00E953C3">
        <w:rPr>
          <w:rFonts w:ascii="Traditional Arabic" w:hAnsi="Traditional Arabic"/>
          <w:sz w:val="32"/>
          <w:szCs w:val="32"/>
          <w:rtl/>
        </w:rPr>
        <w:t>(</w:t>
      </w:r>
      <w:r w:rsidRPr="00E953C3">
        <w:rPr>
          <w:rStyle w:val="ae"/>
          <w:rFonts w:ascii="Traditional Arabic" w:hAnsi="Traditional Arabic"/>
          <w:sz w:val="32"/>
          <w:szCs w:val="32"/>
          <w:vertAlign w:val="baseline"/>
        </w:rPr>
        <w:footnoteRef/>
      </w:r>
      <w:r w:rsidRPr="00E953C3">
        <w:rPr>
          <w:rFonts w:ascii="Traditional Arabic" w:hAnsi="Traditional Arabic"/>
          <w:sz w:val="32"/>
          <w:szCs w:val="32"/>
          <w:rtl/>
        </w:rPr>
        <w:t>) انظر: تفسير مقاتل (3/51), بحر العلوم (2/356)</w:t>
      </w:r>
      <w:r>
        <w:rPr>
          <w:rFonts w:ascii="Traditional Arabic" w:hAnsi="Traditional Arabic" w:hint="cs"/>
          <w:sz w:val="32"/>
          <w:szCs w:val="32"/>
          <w:rtl/>
        </w:rPr>
        <w:t>.</w:t>
      </w:r>
    </w:p>
  </w:footnote>
  <w:footnote w:id="1658">
    <w:p w:rsidR="003F128F" w:rsidRPr="00E953C3" w:rsidRDefault="003F128F" w:rsidP="00885058">
      <w:pPr>
        <w:pStyle w:val="af3"/>
        <w:rPr>
          <w:rFonts w:ascii="Traditional Arabic" w:hAnsi="Traditional Arabic"/>
          <w:sz w:val="32"/>
          <w:szCs w:val="32"/>
        </w:rPr>
      </w:pPr>
      <w:r w:rsidRPr="00E953C3">
        <w:rPr>
          <w:rFonts w:ascii="Traditional Arabic" w:hAnsi="Traditional Arabic"/>
          <w:sz w:val="32"/>
          <w:szCs w:val="32"/>
          <w:rtl/>
        </w:rPr>
        <w:t>(</w:t>
      </w:r>
      <w:r w:rsidRPr="00E953C3">
        <w:rPr>
          <w:rStyle w:val="ae"/>
          <w:rFonts w:ascii="Traditional Arabic" w:hAnsi="Traditional Arabic"/>
          <w:sz w:val="32"/>
          <w:szCs w:val="32"/>
          <w:vertAlign w:val="baseline"/>
        </w:rPr>
        <w:footnoteRef/>
      </w:r>
      <w:r w:rsidRPr="00E953C3">
        <w:rPr>
          <w:rFonts w:ascii="Traditional Arabic" w:hAnsi="Traditional Arabic"/>
          <w:sz w:val="32"/>
          <w:szCs w:val="32"/>
          <w:rtl/>
        </w:rPr>
        <w:t>) ذكر بنحوه الواحدي في التفسير الوسيط (3/158), والرسعني في رموز الكنوز (4/328).</w:t>
      </w:r>
    </w:p>
  </w:footnote>
  <w:footnote w:id="1659">
    <w:p w:rsidR="003F128F" w:rsidRPr="00E953C3" w:rsidRDefault="003F128F" w:rsidP="00885058">
      <w:pPr>
        <w:pStyle w:val="af3"/>
        <w:rPr>
          <w:rFonts w:ascii="Traditional Arabic" w:hAnsi="Traditional Arabic"/>
          <w:sz w:val="32"/>
          <w:szCs w:val="32"/>
        </w:rPr>
      </w:pPr>
      <w:r w:rsidRPr="00E953C3">
        <w:rPr>
          <w:rFonts w:ascii="Traditional Arabic" w:hAnsi="Traditional Arabic"/>
          <w:sz w:val="32"/>
          <w:szCs w:val="32"/>
          <w:rtl/>
        </w:rPr>
        <w:t>(</w:t>
      </w:r>
      <w:r w:rsidRPr="00E953C3">
        <w:rPr>
          <w:rStyle w:val="ae"/>
          <w:rFonts w:ascii="Traditional Arabic" w:hAnsi="Traditional Arabic"/>
          <w:sz w:val="32"/>
          <w:szCs w:val="32"/>
          <w:vertAlign w:val="baseline"/>
        </w:rPr>
        <w:footnoteRef/>
      </w:r>
      <w:r w:rsidRPr="00E953C3">
        <w:rPr>
          <w:rFonts w:ascii="Traditional Arabic" w:hAnsi="Traditional Arabic"/>
          <w:sz w:val="32"/>
          <w:szCs w:val="32"/>
          <w:rtl/>
        </w:rPr>
        <w:t>) انظر: معاني القرآن (2/154).</w:t>
      </w:r>
    </w:p>
  </w:footnote>
  <w:footnote w:id="1660">
    <w:p w:rsidR="003F128F" w:rsidRPr="00E953C3" w:rsidRDefault="003F128F" w:rsidP="00885058">
      <w:pPr>
        <w:pStyle w:val="af3"/>
        <w:rPr>
          <w:rFonts w:ascii="Traditional Arabic" w:hAnsi="Traditional Arabic"/>
          <w:sz w:val="32"/>
          <w:szCs w:val="32"/>
        </w:rPr>
      </w:pPr>
      <w:r w:rsidRPr="00E953C3">
        <w:rPr>
          <w:rFonts w:ascii="Traditional Arabic" w:hAnsi="Traditional Arabic"/>
          <w:sz w:val="32"/>
          <w:szCs w:val="32"/>
          <w:rtl/>
        </w:rPr>
        <w:t>(</w:t>
      </w:r>
      <w:r w:rsidRPr="00E953C3">
        <w:rPr>
          <w:rStyle w:val="ae"/>
          <w:rFonts w:ascii="Traditional Arabic" w:hAnsi="Traditional Arabic"/>
          <w:sz w:val="32"/>
          <w:szCs w:val="32"/>
          <w:vertAlign w:val="baseline"/>
        </w:rPr>
        <w:footnoteRef/>
      </w:r>
      <w:r w:rsidRPr="00E953C3">
        <w:rPr>
          <w:rFonts w:ascii="Traditional Arabic" w:hAnsi="Traditional Arabic"/>
          <w:sz w:val="32"/>
          <w:szCs w:val="32"/>
          <w:rtl/>
        </w:rPr>
        <w:t xml:space="preserve">) معاني القرآن وإعرابه (3/302), مجاز القرآن (1/410), غريب القرآن (ص270). </w:t>
      </w:r>
    </w:p>
  </w:footnote>
  <w:footnote w:id="1661">
    <w:p w:rsidR="003F128F" w:rsidRPr="00E953C3" w:rsidRDefault="003F128F" w:rsidP="00885058">
      <w:pPr>
        <w:pStyle w:val="af3"/>
        <w:rPr>
          <w:rFonts w:ascii="Traditional Arabic" w:hAnsi="Traditional Arabic"/>
          <w:sz w:val="32"/>
          <w:szCs w:val="32"/>
        </w:rPr>
      </w:pPr>
      <w:r w:rsidRPr="00E953C3">
        <w:rPr>
          <w:rFonts w:ascii="Traditional Arabic" w:hAnsi="Traditional Arabic"/>
          <w:sz w:val="32"/>
          <w:szCs w:val="32"/>
          <w:rtl/>
        </w:rPr>
        <w:t>(</w:t>
      </w:r>
      <w:r w:rsidRPr="00E953C3">
        <w:rPr>
          <w:rStyle w:val="ae"/>
          <w:rFonts w:ascii="Traditional Arabic" w:hAnsi="Traditional Arabic"/>
          <w:sz w:val="32"/>
          <w:szCs w:val="32"/>
          <w:vertAlign w:val="baseline"/>
        </w:rPr>
        <w:footnoteRef/>
      </w:r>
      <w:r w:rsidRPr="00E953C3">
        <w:rPr>
          <w:rFonts w:ascii="Traditional Arabic" w:hAnsi="Traditional Arabic"/>
          <w:sz w:val="32"/>
          <w:szCs w:val="32"/>
          <w:rtl/>
        </w:rPr>
        <w:t xml:space="preserve">) انظر: تهذيب اللغة (5/259) مادة (رهق). </w:t>
      </w:r>
    </w:p>
  </w:footnote>
  <w:footnote w:id="1662">
    <w:p w:rsidR="003F128F" w:rsidRPr="00A94C46" w:rsidRDefault="003F128F" w:rsidP="00885058">
      <w:pPr>
        <w:pStyle w:val="af3"/>
        <w:rPr>
          <w:rFonts w:ascii="Traditional Arabic" w:hAnsi="Traditional Arabic"/>
          <w:sz w:val="32"/>
          <w:szCs w:val="32"/>
        </w:rPr>
      </w:pPr>
      <w:r w:rsidRPr="00A94C46">
        <w:rPr>
          <w:rFonts w:ascii="Traditional Arabic" w:hAnsi="Traditional Arabic"/>
          <w:sz w:val="32"/>
          <w:szCs w:val="32"/>
          <w:rtl/>
        </w:rPr>
        <w:t>(</w:t>
      </w:r>
      <w:r w:rsidRPr="00A94C46">
        <w:rPr>
          <w:rStyle w:val="ae"/>
          <w:rFonts w:ascii="Traditional Arabic" w:hAnsi="Traditional Arabic"/>
          <w:sz w:val="32"/>
          <w:szCs w:val="32"/>
          <w:vertAlign w:val="baseline"/>
        </w:rPr>
        <w:footnoteRef/>
      </w:r>
      <w:r w:rsidRPr="00A94C46">
        <w:rPr>
          <w:rFonts w:ascii="Traditional Arabic" w:hAnsi="Traditional Arabic"/>
          <w:sz w:val="32"/>
          <w:szCs w:val="32"/>
          <w:rtl/>
        </w:rPr>
        <w:t>)</w:t>
      </w:r>
      <w:r>
        <w:rPr>
          <w:rFonts w:ascii="Traditional Arabic" w:hAnsi="Traditional Arabic" w:hint="cs"/>
          <w:sz w:val="32"/>
          <w:szCs w:val="32"/>
          <w:rtl/>
        </w:rPr>
        <w:t xml:space="preserve"> </w:t>
      </w:r>
      <w:r w:rsidRPr="00A94C46">
        <w:rPr>
          <w:rFonts w:ascii="Traditional Arabic" w:hAnsi="Traditional Arabic"/>
          <w:sz w:val="32"/>
          <w:szCs w:val="32"/>
          <w:rtl/>
        </w:rPr>
        <w:t>انظر: معاني القرآن وإعرابه (3/30</w:t>
      </w:r>
      <w:r>
        <w:rPr>
          <w:rFonts w:ascii="Traditional Arabic" w:hAnsi="Traditional Arabic" w:hint="cs"/>
          <w:sz w:val="32"/>
          <w:szCs w:val="32"/>
          <w:rtl/>
        </w:rPr>
        <w:t>2</w:t>
      </w:r>
      <w:r w:rsidRPr="00A94C46">
        <w:rPr>
          <w:rFonts w:ascii="Traditional Arabic" w:hAnsi="Traditional Arabic"/>
          <w:sz w:val="32"/>
          <w:szCs w:val="32"/>
          <w:rtl/>
        </w:rPr>
        <w:t xml:space="preserve">).   </w:t>
      </w:r>
    </w:p>
  </w:footnote>
  <w:footnote w:id="1663">
    <w:p w:rsidR="003F128F" w:rsidRPr="00A94C46" w:rsidRDefault="003F128F" w:rsidP="00885058">
      <w:pPr>
        <w:pStyle w:val="af3"/>
        <w:rPr>
          <w:rFonts w:ascii="Traditional Arabic" w:hAnsi="Traditional Arabic"/>
          <w:sz w:val="32"/>
          <w:szCs w:val="32"/>
        </w:rPr>
      </w:pPr>
      <w:r w:rsidRPr="00A94C46">
        <w:rPr>
          <w:rFonts w:ascii="Traditional Arabic" w:hAnsi="Traditional Arabic"/>
          <w:sz w:val="32"/>
          <w:szCs w:val="32"/>
          <w:rtl/>
        </w:rPr>
        <w:t>(</w:t>
      </w:r>
      <w:r w:rsidRPr="00A94C46">
        <w:rPr>
          <w:rStyle w:val="ae"/>
          <w:rFonts w:ascii="Traditional Arabic" w:hAnsi="Traditional Arabic"/>
          <w:sz w:val="32"/>
          <w:szCs w:val="32"/>
          <w:vertAlign w:val="baseline"/>
        </w:rPr>
        <w:footnoteRef/>
      </w:r>
      <w:r w:rsidRPr="00A94C46">
        <w:rPr>
          <w:rFonts w:ascii="Traditional Arabic" w:hAnsi="Traditional Arabic"/>
          <w:sz w:val="32"/>
          <w:szCs w:val="32"/>
          <w:rtl/>
        </w:rPr>
        <w:t>)</w:t>
      </w:r>
      <w:r>
        <w:rPr>
          <w:rFonts w:ascii="Traditional Arabic" w:hAnsi="Traditional Arabic" w:hint="cs"/>
          <w:sz w:val="32"/>
          <w:szCs w:val="32"/>
          <w:rtl/>
        </w:rPr>
        <w:t xml:space="preserve"> انظر: </w:t>
      </w:r>
      <w:r w:rsidRPr="00A94C46">
        <w:rPr>
          <w:rFonts w:ascii="Traditional Arabic" w:hAnsi="Traditional Arabic"/>
          <w:sz w:val="32"/>
          <w:szCs w:val="32"/>
          <w:rtl/>
        </w:rPr>
        <w:t>النكت والعيون (3/32</w:t>
      </w:r>
      <w:r>
        <w:rPr>
          <w:rFonts w:ascii="Traditional Arabic" w:hAnsi="Traditional Arabic" w:hint="cs"/>
          <w:sz w:val="32"/>
          <w:szCs w:val="32"/>
          <w:rtl/>
        </w:rPr>
        <w:t>8</w:t>
      </w:r>
      <w:r w:rsidRPr="00A94C46">
        <w:rPr>
          <w:rFonts w:ascii="Traditional Arabic" w:hAnsi="Traditional Arabic"/>
          <w:sz w:val="32"/>
          <w:szCs w:val="32"/>
          <w:rtl/>
        </w:rPr>
        <w:t xml:space="preserve">). </w:t>
      </w:r>
    </w:p>
  </w:footnote>
  <w:footnote w:id="1664">
    <w:p w:rsidR="003F128F" w:rsidRPr="00F049CB" w:rsidRDefault="003F128F" w:rsidP="00885058">
      <w:pPr>
        <w:pStyle w:val="af3"/>
        <w:rPr>
          <w:rFonts w:ascii="Traditional Arabic" w:hAnsi="Traditional Arabic"/>
          <w:sz w:val="32"/>
          <w:szCs w:val="32"/>
        </w:rPr>
      </w:pPr>
      <w:r w:rsidRPr="00A94C46">
        <w:rPr>
          <w:rFonts w:ascii="Traditional Arabic" w:hAnsi="Traditional Arabic"/>
          <w:sz w:val="32"/>
          <w:szCs w:val="32"/>
          <w:rtl/>
        </w:rPr>
        <w:t>(</w:t>
      </w:r>
      <w:r w:rsidRPr="00A94C46">
        <w:rPr>
          <w:rStyle w:val="ae"/>
          <w:rFonts w:ascii="Traditional Arabic" w:hAnsi="Traditional Arabic"/>
          <w:sz w:val="32"/>
          <w:szCs w:val="32"/>
          <w:vertAlign w:val="baseline"/>
        </w:rPr>
        <w:footnoteRef/>
      </w:r>
      <w:r w:rsidRPr="00A94C46">
        <w:rPr>
          <w:rFonts w:ascii="Traditional Arabic" w:hAnsi="Traditional Arabic"/>
          <w:sz w:val="32"/>
          <w:szCs w:val="32"/>
          <w:rtl/>
        </w:rPr>
        <w:t>)</w:t>
      </w:r>
      <w:r>
        <w:rPr>
          <w:rFonts w:ascii="Traditional Arabic" w:hAnsi="Traditional Arabic"/>
          <w:sz w:val="32"/>
          <w:szCs w:val="32"/>
          <w:rtl/>
        </w:rPr>
        <w:t xml:space="preserve"> </w:t>
      </w:r>
      <w:r>
        <w:rPr>
          <w:rFonts w:ascii="Traditional Arabic" w:hAnsi="Traditional Arabic" w:hint="cs"/>
          <w:sz w:val="32"/>
          <w:szCs w:val="32"/>
          <w:rtl/>
        </w:rPr>
        <w:t xml:space="preserve">انظر: الكشف والبيان (6/184), </w:t>
      </w:r>
      <w:r w:rsidRPr="00A94C46">
        <w:rPr>
          <w:rFonts w:ascii="Traditional Arabic" w:hAnsi="Traditional Arabic"/>
          <w:sz w:val="32"/>
          <w:szCs w:val="32"/>
          <w:rtl/>
        </w:rPr>
        <w:t>النكت والعيون (3/32</w:t>
      </w:r>
      <w:r>
        <w:rPr>
          <w:rFonts w:ascii="Traditional Arabic" w:hAnsi="Traditional Arabic" w:hint="cs"/>
          <w:sz w:val="32"/>
          <w:szCs w:val="32"/>
          <w:rtl/>
        </w:rPr>
        <w:t>8</w:t>
      </w:r>
      <w:r w:rsidRPr="00A94C46">
        <w:rPr>
          <w:rFonts w:ascii="Traditional Arabic" w:hAnsi="Traditional Arabic"/>
          <w:sz w:val="32"/>
          <w:szCs w:val="32"/>
          <w:rtl/>
        </w:rPr>
        <w:t>)</w:t>
      </w:r>
      <w:r>
        <w:rPr>
          <w:rFonts w:ascii="Traditional Arabic" w:hAnsi="Traditional Arabic" w:hint="cs"/>
          <w:sz w:val="32"/>
          <w:szCs w:val="32"/>
          <w:rtl/>
        </w:rPr>
        <w:t>.</w:t>
      </w:r>
    </w:p>
  </w:footnote>
  <w:footnote w:id="1665">
    <w:p w:rsidR="003F128F" w:rsidRPr="0051046E" w:rsidRDefault="003F128F" w:rsidP="00885058">
      <w:pPr>
        <w:pStyle w:val="af3"/>
        <w:rPr>
          <w:rFonts w:ascii="Traditional Arabic" w:hAnsi="Traditional Arabic"/>
          <w:sz w:val="32"/>
          <w:szCs w:val="32"/>
        </w:rPr>
      </w:pPr>
      <w:r w:rsidRPr="0051046E">
        <w:rPr>
          <w:rFonts w:ascii="Traditional Arabic" w:hAnsi="Traditional Arabic"/>
          <w:sz w:val="32"/>
          <w:szCs w:val="32"/>
          <w:rtl/>
        </w:rPr>
        <w:t>(</w:t>
      </w:r>
      <w:r w:rsidRPr="0051046E">
        <w:rPr>
          <w:rStyle w:val="ae"/>
          <w:rFonts w:ascii="Traditional Arabic" w:hAnsi="Traditional Arabic"/>
          <w:sz w:val="32"/>
          <w:szCs w:val="32"/>
          <w:vertAlign w:val="baseline"/>
        </w:rPr>
        <w:footnoteRef/>
      </w:r>
      <w:r w:rsidRPr="0051046E">
        <w:rPr>
          <w:rFonts w:ascii="Traditional Arabic" w:hAnsi="Traditional Arabic"/>
          <w:sz w:val="32"/>
          <w:szCs w:val="32"/>
          <w:rtl/>
        </w:rPr>
        <w:t>) هي ليلى بنت عبد الله بن الرحال</w:t>
      </w:r>
      <w:r>
        <w:rPr>
          <w:rFonts w:ascii="Traditional Arabic" w:hAnsi="Traditional Arabic" w:hint="cs"/>
          <w:sz w:val="32"/>
          <w:szCs w:val="32"/>
          <w:rtl/>
        </w:rPr>
        <w:t>,</w:t>
      </w:r>
      <w:r w:rsidRPr="0051046E">
        <w:rPr>
          <w:rFonts w:ascii="Traditional Arabic" w:hAnsi="Traditional Arabic"/>
          <w:sz w:val="32"/>
          <w:szCs w:val="32"/>
          <w:rtl/>
        </w:rPr>
        <w:t xml:space="preserve"> ويقال</w:t>
      </w:r>
      <w:r>
        <w:rPr>
          <w:rFonts w:ascii="Traditional Arabic" w:hAnsi="Traditional Arabic" w:hint="cs"/>
          <w:sz w:val="32"/>
          <w:szCs w:val="32"/>
          <w:rtl/>
        </w:rPr>
        <w:t>:</w:t>
      </w:r>
      <w:r w:rsidRPr="0051046E">
        <w:rPr>
          <w:rFonts w:ascii="Traditional Arabic" w:hAnsi="Traditional Arabic"/>
          <w:sz w:val="32"/>
          <w:szCs w:val="32"/>
          <w:rtl/>
        </w:rPr>
        <w:t xml:space="preserve"> الرحالة</w:t>
      </w:r>
      <w:r>
        <w:rPr>
          <w:rFonts w:ascii="Traditional Arabic" w:hAnsi="Traditional Arabic" w:hint="cs"/>
          <w:sz w:val="32"/>
          <w:szCs w:val="32"/>
          <w:rtl/>
        </w:rPr>
        <w:t>َ</w:t>
      </w:r>
      <w:r>
        <w:rPr>
          <w:rFonts w:ascii="Traditional Arabic" w:hAnsi="Traditional Arabic"/>
          <w:sz w:val="32"/>
          <w:szCs w:val="32"/>
          <w:rtl/>
        </w:rPr>
        <w:t xml:space="preserve"> </w:t>
      </w:r>
      <w:r w:rsidRPr="0051046E">
        <w:rPr>
          <w:rFonts w:ascii="Traditional Arabic" w:hAnsi="Traditional Arabic"/>
          <w:sz w:val="32"/>
          <w:szCs w:val="32"/>
          <w:rtl/>
        </w:rPr>
        <w:t>بن شداد الأخيلية,</w:t>
      </w:r>
      <w:r w:rsidRPr="0051046E">
        <w:rPr>
          <w:rFonts w:ascii="Traditional Arabic" w:hAnsi="Traditional Arabic"/>
          <w:sz w:val="32"/>
          <w:szCs w:val="32"/>
          <w:rtl/>
          <w:lang w:eastAsia="en-US"/>
        </w:rPr>
        <w:t xml:space="preserve"> </w:t>
      </w:r>
      <w:r w:rsidRPr="0051046E">
        <w:rPr>
          <w:rFonts w:ascii="Traditional Arabic" w:hAnsi="Traditional Arabic"/>
          <w:sz w:val="32"/>
          <w:szCs w:val="32"/>
          <w:rtl/>
        </w:rPr>
        <w:t>امرأة شاعرة مقدمة في النساء الشواعر,</w:t>
      </w:r>
      <w:r>
        <w:rPr>
          <w:rFonts w:ascii="Traditional Arabic" w:hAnsi="Traditional Arabic"/>
          <w:color w:val="auto"/>
          <w:sz w:val="32"/>
          <w:szCs w:val="32"/>
          <w:rtl/>
        </w:rPr>
        <w:t xml:space="preserve"> لا يُقَدم عليها في الشعر غَيْر</w:t>
      </w:r>
      <w:r>
        <w:rPr>
          <w:rFonts w:ascii="Traditional Arabic" w:hAnsi="Traditional Arabic" w:hint="cs"/>
          <w:color w:val="auto"/>
          <w:sz w:val="32"/>
          <w:szCs w:val="32"/>
          <w:rtl/>
        </w:rPr>
        <w:t>ُ</w:t>
      </w:r>
      <w:r w:rsidRPr="0051046E">
        <w:rPr>
          <w:rFonts w:ascii="Traditional Arabic" w:hAnsi="Traditional Arabic"/>
          <w:color w:val="auto"/>
          <w:sz w:val="32"/>
          <w:szCs w:val="32"/>
          <w:rtl/>
        </w:rPr>
        <w:t xml:space="preserve"> الْخَنْسَاءِ, اشتهرت بأخبارها مع توبة بن الحمير, </w:t>
      </w:r>
      <w:r w:rsidRPr="0051046E">
        <w:rPr>
          <w:rFonts w:ascii="Traditional Arabic" w:hAnsi="Traditional Arabic"/>
          <w:sz w:val="32"/>
          <w:szCs w:val="32"/>
          <w:rtl/>
        </w:rPr>
        <w:t xml:space="preserve">(ت80ه). انظر: تاريخ دمشق (70/60), تاريخ الاسلام (2/878).   </w:t>
      </w:r>
    </w:p>
  </w:footnote>
  <w:footnote w:id="1666">
    <w:p w:rsidR="003F128F" w:rsidRPr="0051046E" w:rsidRDefault="003F128F" w:rsidP="00B40209">
      <w:pPr>
        <w:pStyle w:val="af3"/>
        <w:rPr>
          <w:rFonts w:ascii="Traditional Arabic" w:hAnsi="Traditional Arabic"/>
          <w:sz w:val="32"/>
          <w:szCs w:val="32"/>
        </w:rPr>
      </w:pPr>
      <w:r w:rsidRPr="0051046E">
        <w:rPr>
          <w:rFonts w:ascii="Traditional Arabic" w:hAnsi="Traditional Arabic"/>
          <w:sz w:val="32"/>
          <w:szCs w:val="32"/>
          <w:rtl/>
        </w:rPr>
        <w:t>(</w:t>
      </w:r>
      <w:r w:rsidRPr="0051046E">
        <w:rPr>
          <w:rStyle w:val="ae"/>
          <w:rFonts w:ascii="Traditional Arabic" w:hAnsi="Traditional Arabic"/>
          <w:sz w:val="32"/>
          <w:szCs w:val="32"/>
          <w:vertAlign w:val="baseline"/>
        </w:rPr>
        <w:footnoteRef/>
      </w:r>
      <w:r w:rsidRPr="0051046E">
        <w:rPr>
          <w:rFonts w:ascii="Traditional Arabic" w:hAnsi="Traditional Arabic"/>
          <w:sz w:val="32"/>
          <w:szCs w:val="32"/>
          <w:rtl/>
        </w:rPr>
        <w:t>) هو أبو محمد</w:t>
      </w:r>
      <w:r>
        <w:rPr>
          <w:rFonts w:ascii="Traditional Arabic" w:hAnsi="Traditional Arabic" w:hint="cs"/>
          <w:sz w:val="32"/>
          <w:szCs w:val="32"/>
          <w:rtl/>
        </w:rPr>
        <w:t>,</w:t>
      </w:r>
      <w:r w:rsidRPr="0051046E">
        <w:rPr>
          <w:rFonts w:ascii="Traditional Arabic" w:hAnsi="Traditional Arabic"/>
          <w:sz w:val="32"/>
          <w:szCs w:val="32"/>
          <w:rtl/>
        </w:rPr>
        <w:t xml:space="preserve"> الحجاج بن يوسف بن الحكم بن أبي عقيل بن مسعود الثقفي, بغدادي المولد والمنشأ, كان ذا شجاعة، وإقدام، ومكر، ودهاء، وفصاحة، وبلاغة، وتعظيم للق</w:t>
      </w:r>
      <w:r>
        <w:rPr>
          <w:rFonts w:ascii="Traditional Arabic" w:hAnsi="Traditional Arabic"/>
          <w:sz w:val="32"/>
          <w:szCs w:val="32"/>
          <w:rtl/>
        </w:rPr>
        <w:t>رآن, وكان ظَلُوْماً، جَبَّاراً</w:t>
      </w:r>
      <w:r w:rsidRPr="0051046E">
        <w:rPr>
          <w:rFonts w:ascii="Traditional Arabic" w:hAnsi="Traditional Arabic"/>
          <w:sz w:val="32"/>
          <w:szCs w:val="32"/>
          <w:rtl/>
        </w:rPr>
        <w:t xml:space="preserve">، سَفَّاكاً للدِّماء، (ت95ه) انظر: وفيات الأعيان (2/29), تهذيب الكمال (5/466), سير أعلام النبلاء (4/343).   </w:t>
      </w:r>
    </w:p>
  </w:footnote>
  <w:footnote w:id="1667">
    <w:p w:rsidR="003F128F" w:rsidRPr="0051046E" w:rsidRDefault="003F128F" w:rsidP="00885058">
      <w:pPr>
        <w:ind w:firstLine="0"/>
        <w:rPr>
          <w:rFonts w:ascii="Traditional Arabic" w:hAnsi="Traditional Arabic"/>
          <w:sz w:val="32"/>
          <w:szCs w:val="32"/>
        </w:rPr>
      </w:pPr>
      <w:r w:rsidRPr="0051046E">
        <w:rPr>
          <w:rFonts w:ascii="Traditional Arabic" w:hAnsi="Traditional Arabic"/>
          <w:sz w:val="32"/>
          <w:szCs w:val="32"/>
          <w:rtl/>
        </w:rPr>
        <w:t>(</w:t>
      </w:r>
      <w:r w:rsidRPr="0051046E">
        <w:rPr>
          <w:rStyle w:val="ae"/>
          <w:rFonts w:ascii="Traditional Arabic" w:hAnsi="Traditional Arabic"/>
          <w:sz w:val="32"/>
          <w:szCs w:val="32"/>
          <w:vertAlign w:val="baseline"/>
        </w:rPr>
        <w:footnoteRef/>
      </w:r>
      <w:r w:rsidRPr="0051046E">
        <w:rPr>
          <w:rFonts w:ascii="Traditional Arabic" w:hAnsi="Traditional Arabic"/>
          <w:sz w:val="32"/>
          <w:szCs w:val="32"/>
          <w:rtl/>
        </w:rPr>
        <w:t xml:space="preserve">) هو صدر بيت وعجزه: </w:t>
      </w:r>
      <w:r>
        <w:rPr>
          <w:rFonts w:ascii="Traditional Arabic" w:hAnsi="Traditional Arabic" w:hint="cs"/>
          <w:sz w:val="32"/>
          <w:szCs w:val="32"/>
          <w:rtl/>
        </w:rPr>
        <w:t>"</w:t>
      </w:r>
      <w:r w:rsidRPr="0051046E">
        <w:rPr>
          <w:rFonts w:ascii="Traditional Arabic" w:hAnsi="Traditional Arabic"/>
          <w:sz w:val="32"/>
          <w:szCs w:val="32"/>
          <w:rtl/>
        </w:rPr>
        <w:t>غلام إذا هزّ القناة سقاها</w:t>
      </w:r>
      <w:r>
        <w:rPr>
          <w:rFonts w:ascii="Traditional Arabic" w:hAnsi="Traditional Arabic" w:hint="cs"/>
          <w:sz w:val="32"/>
          <w:szCs w:val="32"/>
          <w:rtl/>
        </w:rPr>
        <w:t>"</w:t>
      </w:r>
      <w:r w:rsidRPr="0051046E">
        <w:rPr>
          <w:rFonts w:ascii="Traditional Arabic" w:hAnsi="Traditional Arabic"/>
          <w:sz w:val="32"/>
          <w:szCs w:val="32"/>
          <w:rtl/>
        </w:rPr>
        <w:t>. كما في اللسان (11/452) مادة (عضل).</w:t>
      </w:r>
    </w:p>
  </w:footnote>
  <w:footnote w:id="1668">
    <w:p w:rsidR="003F128F" w:rsidRPr="0051046E" w:rsidRDefault="003F128F" w:rsidP="00885058">
      <w:pPr>
        <w:pStyle w:val="af3"/>
        <w:rPr>
          <w:rFonts w:ascii="Traditional Arabic" w:hAnsi="Traditional Arabic"/>
          <w:sz w:val="32"/>
          <w:szCs w:val="32"/>
        </w:rPr>
      </w:pPr>
      <w:r w:rsidRPr="0051046E">
        <w:rPr>
          <w:rFonts w:ascii="Traditional Arabic" w:hAnsi="Traditional Arabic"/>
          <w:sz w:val="32"/>
          <w:szCs w:val="32"/>
          <w:rtl/>
        </w:rPr>
        <w:t>(</w:t>
      </w:r>
      <w:r w:rsidRPr="0051046E">
        <w:rPr>
          <w:rStyle w:val="ae"/>
          <w:rFonts w:ascii="Traditional Arabic" w:hAnsi="Traditional Arabic"/>
          <w:sz w:val="32"/>
          <w:szCs w:val="32"/>
          <w:vertAlign w:val="baseline"/>
        </w:rPr>
        <w:footnoteRef/>
      </w:r>
      <w:r w:rsidRPr="0051046E">
        <w:rPr>
          <w:rFonts w:ascii="Traditional Arabic" w:hAnsi="Traditional Arabic"/>
          <w:sz w:val="32"/>
          <w:szCs w:val="32"/>
          <w:rtl/>
        </w:rPr>
        <w:t>) انظر: النكت والعيون (3/328).</w:t>
      </w:r>
    </w:p>
  </w:footnote>
  <w:footnote w:id="1669">
    <w:p w:rsidR="003F128F" w:rsidRPr="0051046E" w:rsidRDefault="003F128F" w:rsidP="00237681">
      <w:pPr>
        <w:pStyle w:val="af3"/>
        <w:rPr>
          <w:rFonts w:ascii="Traditional Arabic" w:hAnsi="Traditional Arabic"/>
          <w:sz w:val="32"/>
          <w:szCs w:val="32"/>
        </w:rPr>
      </w:pPr>
      <w:r w:rsidRPr="0051046E">
        <w:rPr>
          <w:rFonts w:ascii="Traditional Arabic" w:hAnsi="Traditional Arabic"/>
          <w:sz w:val="32"/>
          <w:szCs w:val="32"/>
          <w:rtl/>
        </w:rPr>
        <w:t>(</w:t>
      </w:r>
      <w:r w:rsidRPr="0051046E">
        <w:rPr>
          <w:rStyle w:val="ae"/>
          <w:rFonts w:ascii="Traditional Arabic" w:hAnsi="Traditional Arabic"/>
          <w:sz w:val="32"/>
          <w:szCs w:val="32"/>
          <w:vertAlign w:val="baseline"/>
        </w:rPr>
        <w:footnoteRef/>
      </w:r>
      <w:r w:rsidRPr="0051046E">
        <w:rPr>
          <w:rFonts w:ascii="Traditional Arabic" w:hAnsi="Traditional Arabic"/>
          <w:sz w:val="32"/>
          <w:szCs w:val="32"/>
          <w:rtl/>
        </w:rPr>
        <w:t>) هو المتقدم في (</w:t>
      </w:r>
      <w:r>
        <w:rPr>
          <w:rFonts w:ascii="Traditional Arabic" w:hAnsi="Traditional Arabic" w:hint="cs"/>
          <w:sz w:val="32"/>
          <w:szCs w:val="32"/>
          <w:rtl/>
        </w:rPr>
        <w:t>ص241</w:t>
      </w:r>
      <w:r w:rsidRPr="0051046E">
        <w:rPr>
          <w:rFonts w:ascii="Traditional Arabic" w:hAnsi="Traditional Arabic"/>
          <w:sz w:val="32"/>
          <w:szCs w:val="32"/>
          <w:rtl/>
        </w:rPr>
        <w:t xml:space="preserve">).   </w:t>
      </w:r>
    </w:p>
  </w:footnote>
  <w:footnote w:id="1670">
    <w:p w:rsidR="003F128F" w:rsidRPr="0051046E" w:rsidRDefault="003F128F" w:rsidP="00885058">
      <w:pPr>
        <w:pStyle w:val="af3"/>
        <w:rPr>
          <w:rFonts w:ascii="Traditional Arabic" w:hAnsi="Traditional Arabic"/>
          <w:sz w:val="32"/>
          <w:szCs w:val="32"/>
        </w:rPr>
      </w:pPr>
      <w:r w:rsidRPr="0051046E">
        <w:rPr>
          <w:rFonts w:ascii="Traditional Arabic" w:hAnsi="Traditional Arabic"/>
          <w:sz w:val="32"/>
          <w:szCs w:val="32"/>
          <w:rtl/>
        </w:rPr>
        <w:t>(</w:t>
      </w:r>
      <w:r w:rsidRPr="0051046E">
        <w:rPr>
          <w:rStyle w:val="ae"/>
          <w:rFonts w:ascii="Traditional Arabic" w:hAnsi="Traditional Arabic"/>
          <w:sz w:val="32"/>
          <w:szCs w:val="32"/>
          <w:vertAlign w:val="baseline"/>
        </w:rPr>
        <w:footnoteRef/>
      </w:r>
      <w:r w:rsidRPr="0051046E">
        <w:rPr>
          <w:rFonts w:ascii="Traditional Arabic" w:hAnsi="Traditional Arabic"/>
          <w:sz w:val="32"/>
          <w:szCs w:val="32"/>
          <w:rtl/>
        </w:rPr>
        <w:t xml:space="preserve">) انظر: التفسير الوسيط (3/160), معالم التنزيل (5/191). </w:t>
      </w:r>
    </w:p>
  </w:footnote>
  <w:footnote w:id="1671">
    <w:p w:rsidR="003F128F" w:rsidRPr="0051046E" w:rsidRDefault="003F128F" w:rsidP="00885058">
      <w:pPr>
        <w:pStyle w:val="af3"/>
        <w:rPr>
          <w:rFonts w:ascii="Traditional Arabic" w:hAnsi="Traditional Arabic"/>
          <w:sz w:val="32"/>
          <w:szCs w:val="32"/>
        </w:rPr>
      </w:pPr>
      <w:r w:rsidRPr="0051046E">
        <w:rPr>
          <w:rFonts w:ascii="Traditional Arabic" w:hAnsi="Traditional Arabic"/>
          <w:sz w:val="32"/>
          <w:szCs w:val="32"/>
          <w:rtl/>
        </w:rPr>
        <w:t>(</w:t>
      </w:r>
      <w:r w:rsidRPr="0051046E">
        <w:rPr>
          <w:rStyle w:val="ae"/>
          <w:rFonts w:ascii="Traditional Arabic" w:hAnsi="Traditional Arabic"/>
          <w:sz w:val="32"/>
          <w:szCs w:val="32"/>
          <w:vertAlign w:val="baseline"/>
        </w:rPr>
        <w:footnoteRef/>
      </w:r>
      <w:r w:rsidRPr="0051046E">
        <w:rPr>
          <w:rFonts w:ascii="Traditional Arabic" w:hAnsi="Traditional Arabic"/>
          <w:sz w:val="32"/>
          <w:szCs w:val="32"/>
          <w:rtl/>
        </w:rPr>
        <w:t>) انظر: تفسير ابن أبي حاتم (7/2371), الكشف والبيان (6/184)</w:t>
      </w:r>
      <w:r>
        <w:rPr>
          <w:rFonts w:ascii="Traditional Arabic" w:hAnsi="Traditional Arabic" w:hint="cs"/>
          <w:sz w:val="32"/>
          <w:szCs w:val="32"/>
          <w:rtl/>
        </w:rPr>
        <w:t>.</w:t>
      </w:r>
    </w:p>
  </w:footnote>
  <w:footnote w:id="1672">
    <w:p w:rsidR="003F128F" w:rsidRPr="007B2C3A" w:rsidRDefault="003F128F" w:rsidP="00885058">
      <w:pPr>
        <w:pStyle w:val="af3"/>
        <w:rPr>
          <w:rFonts w:ascii="Traditional Arabic" w:hAnsi="Traditional Arabic"/>
          <w:sz w:val="32"/>
          <w:szCs w:val="32"/>
        </w:rPr>
      </w:pPr>
      <w:r w:rsidRPr="007B2C3A">
        <w:rPr>
          <w:rFonts w:ascii="Traditional Arabic" w:hAnsi="Traditional Arabic"/>
          <w:sz w:val="32"/>
          <w:szCs w:val="32"/>
          <w:rtl/>
        </w:rPr>
        <w:t>(</w:t>
      </w:r>
      <w:r w:rsidRPr="007B2C3A">
        <w:rPr>
          <w:rStyle w:val="ae"/>
          <w:rFonts w:ascii="Traditional Arabic" w:hAnsi="Traditional Arabic"/>
          <w:sz w:val="32"/>
          <w:szCs w:val="32"/>
          <w:vertAlign w:val="baseline"/>
        </w:rPr>
        <w:footnoteRef/>
      </w:r>
      <w:r w:rsidRPr="007B2C3A">
        <w:rPr>
          <w:rFonts w:ascii="Traditional Arabic" w:hAnsi="Traditional Arabic"/>
          <w:sz w:val="32"/>
          <w:szCs w:val="32"/>
          <w:rtl/>
        </w:rPr>
        <w:t xml:space="preserve">) انظر: السبعة في القراءات (ص395), معاني القراءات (2/115).    </w:t>
      </w:r>
    </w:p>
  </w:footnote>
  <w:footnote w:id="1673">
    <w:p w:rsidR="003F128F" w:rsidRPr="007B2C3A" w:rsidRDefault="003F128F" w:rsidP="00885058">
      <w:pPr>
        <w:pStyle w:val="af3"/>
        <w:rPr>
          <w:rFonts w:ascii="Traditional Arabic" w:hAnsi="Traditional Arabic"/>
          <w:sz w:val="32"/>
          <w:szCs w:val="32"/>
        </w:rPr>
      </w:pPr>
      <w:r w:rsidRPr="007B2C3A">
        <w:rPr>
          <w:rFonts w:ascii="Traditional Arabic" w:hAnsi="Traditional Arabic"/>
          <w:sz w:val="32"/>
          <w:szCs w:val="32"/>
          <w:rtl/>
        </w:rPr>
        <w:t>(</w:t>
      </w:r>
      <w:r w:rsidRPr="007B2C3A">
        <w:rPr>
          <w:rStyle w:val="ae"/>
          <w:rFonts w:ascii="Traditional Arabic" w:hAnsi="Traditional Arabic"/>
          <w:sz w:val="32"/>
          <w:szCs w:val="32"/>
          <w:vertAlign w:val="baseline"/>
        </w:rPr>
        <w:footnoteRef/>
      </w:r>
      <w:r w:rsidRPr="007B2C3A">
        <w:rPr>
          <w:rFonts w:ascii="Traditional Arabic" w:hAnsi="Traditional Arabic"/>
          <w:sz w:val="32"/>
          <w:szCs w:val="32"/>
          <w:rtl/>
        </w:rPr>
        <w:t>) تفسير الطبري (18/75), الهداية (6/4430).</w:t>
      </w:r>
    </w:p>
  </w:footnote>
  <w:footnote w:id="1674">
    <w:p w:rsidR="003F128F" w:rsidRPr="007B2C3A" w:rsidRDefault="003F128F" w:rsidP="00885058">
      <w:pPr>
        <w:pStyle w:val="af3"/>
        <w:rPr>
          <w:rFonts w:ascii="Traditional Arabic" w:hAnsi="Traditional Arabic"/>
          <w:sz w:val="32"/>
          <w:szCs w:val="32"/>
        </w:rPr>
      </w:pPr>
      <w:r w:rsidRPr="007B2C3A">
        <w:rPr>
          <w:rFonts w:ascii="Traditional Arabic" w:hAnsi="Traditional Arabic"/>
          <w:sz w:val="32"/>
          <w:szCs w:val="32"/>
          <w:rtl/>
        </w:rPr>
        <w:t>(</w:t>
      </w:r>
      <w:r w:rsidRPr="007B2C3A">
        <w:rPr>
          <w:rStyle w:val="ae"/>
          <w:rFonts w:ascii="Traditional Arabic" w:hAnsi="Traditional Arabic"/>
          <w:sz w:val="32"/>
          <w:szCs w:val="32"/>
          <w:vertAlign w:val="baseline"/>
        </w:rPr>
        <w:footnoteRef/>
      </w:r>
      <w:r w:rsidRPr="007B2C3A">
        <w:rPr>
          <w:rFonts w:ascii="Traditional Arabic" w:hAnsi="Traditional Arabic"/>
          <w:sz w:val="32"/>
          <w:szCs w:val="32"/>
          <w:rtl/>
        </w:rPr>
        <w:t xml:space="preserve">) ما بين المعكوفتين ساقط من الأصل, والمثبت من (ك). </w:t>
      </w:r>
    </w:p>
  </w:footnote>
  <w:footnote w:id="1675">
    <w:p w:rsidR="003F128F" w:rsidRPr="007B2C3A" w:rsidRDefault="003F128F" w:rsidP="00885058">
      <w:pPr>
        <w:pStyle w:val="af3"/>
        <w:rPr>
          <w:rFonts w:ascii="Traditional Arabic" w:hAnsi="Traditional Arabic"/>
          <w:sz w:val="32"/>
          <w:szCs w:val="32"/>
        </w:rPr>
      </w:pPr>
      <w:r w:rsidRPr="007B2C3A">
        <w:rPr>
          <w:rFonts w:ascii="Traditional Arabic" w:hAnsi="Traditional Arabic"/>
          <w:sz w:val="32"/>
          <w:szCs w:val="32"/>
          <w:rtl/>
        </w:rPr>
        <w:t>(</w:t>
      </w:r>
      <w:r w:rsidRPr="007B2C3A">
        <w:rPr>
          <w:rStyle w:val="ae"/>
          <w:rFonts w:ascii="Traditional Arabic" w:hAnsi="Traditional Arabic"/>
          <w:sz w:val="32"/>
          <w:szCs w:val="32"/>
          <w:vertAlign w:val="baseline"/>
        </w:rPr>
        <w:footnoteRef/>
      </w:r>
      <w:r w:rsidRPr="007B2C3A">
        <w:rPr>
          <w:rFonts w:ascii="Traditional Arabic" w:hAnsi="Traditional Arabic"/>
          <w:sz w:val="32"/>
          <w:szCs w:val="32"/>
          <w:rtl/>
        </w:rPr>
        <w:t xml:space="preserve">) تفسير الطبري (18/74), التفسير البسيط (14/92). </w:t>
      </w:r>
    </w:p>
  </w:footnote>
  <w:footnote w:id="1676">
    <w:p w:rsidR="003F128F" w:rsidRPr="007B2C3A" w:rsidRDefault="003F128F" w:rsidP="00885058">
      <w:pPr>
        <w:pStyle w:val="af3"/>
        <w:rPr>
          <w:rFonts w:ascii="Traditional Arabic" w:hAnsi="Traditional Arabic"/>
          <w:sz w:val="32"/>
          <w:szCs w:val="32"/>
        </w:rPr>
      </w:pPr>
      <w:r w:rsidRPr="007B2C3A">
        <w:rPr>
          <w:rFonts w:ascii="Traditional Arabic" w:hAnsi="Traditional Arabic"/>
          <w:sz w:val="32"/>
          <w:szCs w:val="32"/>
          <w:rtl/>
        </w:rPr>
        <w:t>(</w:t>
      </w:r>
      <w:r w:rsidRPr="007B2C3A">
        <w:rPr>
          <w:rStyle w:val="ae"/>
          <w:rFonts w:ascii="Traditional Arabic" w:hAnsi="Traditional Arabic"/>
          <w:sz w:val="32"/>
          <w:szCs w:val="32"/>
          <w:vertAlign w:val="baseline"/>
        </w:rPr>
        <w:footnoteRef/>
      </w:r>
      <w:r w:rsidRPr="007B2C3A">
        <w:rPr>
          <w:rFonts w:ascii="Traditional Arabic" w:hAnsi="Traditional Arabic"/>
          <w:sz w:val="32"/>
          <w:szCs w:val="32"/>
          <w:rtl/>
        </w:rPr>
        <w:t xml:space="preserve">) تفسير ابن أبي حاتم (7/2372), النكت والعيون (3/329). </w:t>
      </w:r>
    </w:p>
  </w:footnote>
  <w:footnote w:id="1677">
    <w:p w:rsidR="003F128F" w:rsidRPr="007B2C3A" w:rsidRDefault="003F128F" w:rsidP="00885058">
      <w:pPr>
        <w:pStyle w:val="af3"/>
        <w:rPr>
          <w:rFonts w:ascii="Traditional Arabic" w:hAnsi="Traditional Arabic"/>
          <w:sz w:val="32"/>
          <w:szCs w:val="32"/>
        </w:rPr>
      </w:pPr>
      <w:r w:rsidRPr="007B2C3A">
        <w:rPr>
          <w:rFonts w:ascii="Traditional Arabic" w:hAnsi="Traditional Arabic"/>
          <w:sz w:val="32"/>
          <w:szCs w:val="32"/>
          <w:rtl/>
        </w:rPr>
        <w:t>(</w:t>
      </w:r>
      <w:r w:rsidRPr="007B2C3A">
        <w:rPr>
          <w:rStyle w:val="ae"/>
          <w:rFonts w:ascii="Traditional Arabic" w:hAnsi="Traditional Arabic"/>
          <w:sz w:val="32"/>
          <w:szCs w:val="32"/>
          <w:vertAlign w:val="baseline"/>
        </w:rPr>
        <w:footnoteRef/>
      </w:r>
      <w:r w:rsidRPr="007B2C3A">
        <w:rPr>
          <w:rFonts w:ascii="Traditional Arabic" w:hAnsi="Traditional Arabic"/>
          <w:sz w:val="32"/>
          <w:szCs w:val="32"/>
          <w:rtl/>
        </w:rPr>
        <w:t>) تفسير ابن أبي حاتم (7/2378), الهداية (6/4430).</w:t>
      </w:r>
    </w:p>
  </w:footnote>
  <w:footnote w:id="1678">
    <w:p w:rsidR="003F128F" w:rsidRPr="007B2C3A" w:rsidRDefault="003F128F" w:rsidP="00885058">
      <w:pPr>
        <w:pStyle w:val="af3"/>
        <w:rPr>
          <w:rFonts w:ascii="Traditional Arabic" w:hAnsi="Traditional Arabic"/>
          <w:sz w:val="32"/>
          <w:szCs w:val="32"/>
        </w:rPr>
      </w:pPr>
      <w:r w:rsidRPr="007B2C3A">
        <w:rPr>
          <w:rFonts w:ascii="Traditional Arabic" w:hAnsi="Traditional Arabic"/>
          <w:sz w:val="32"/>
          <w:szCs w:val="32"/>
          <w:rtl/>
        </w:rPr>
        <w:t>(</w:t>
      </w:r>
      <w:r w:rsidRPr="007B2C3A">
        <w:rPr>
          <w:rStyle w:val="ae"/>
          <w:rFonts w:ascii="Traditional Arabic" w:hAnsi="Traditional Arabic"/>
          <w:sz w:val="32"/>
          <w:szCs w:val="32"/>
          <w:vertAlign w:val="baseline"/>
        </w:rPr>
        <w:footnoteRef/>
      </w:r>
      <w:r w:rsidRPr="007B2C3A">
        <w:rPr>
          <w:rFonts w:ascii="Traditional Arabic" w:hAnsi="Traditional Arabic"/>
          <w:sz w:val="32"/>
          <w:szCs w:val="32"/>
          <w:rtl/>
        </w:rPr>
        <w:t xml:space="preserve">) انظر: النكت والعيون (3/329) غير منسوب, وذكره الواحدي في التفسير البسيط (14/92).   </w:t>
      </w:r>
    </w:p>
  </w:footnote>
  <w:footnote w:id="1679">
    <w:p w:rsidR="003F128F" w:rsidRPr="007B2C3A" w:rsidRDefault="003F128F" w:rsidP="00885058">
      <w:pPr>
        <w:pStyle w:val="af3"/>
        <w:rPr>
          <w:rFonts w:ascii="Traditional Arabic" w:hAnsi="Traditional Arabic"/>
          <w:sz w:val="32"/>
          <w:szCs w:val="32"/>
        </w:rPr>
      </w:pPr>
      <w:r w:rsidRPr="007B2C3A">
        <w:rPr>
          <w:rFonts w:ascii="Traditional Arabic" w:hAnsi="Traditional Arabic"/>
          <w:sz w:val="32"/>
          <w:szCs w:val="32"/>
          <w:rtl/>
        </w:rPr>
        <w:t>(</w:t>
      </w:r>
      <w:r w:rsidRPr="007B2C3A">
        <w:rPr>
          <w:rStyle w:val="ae"/>
          <w:rFonts w:ascii="Traditional Arabic" w:hAnsi="Traditional Arabic"/>
          <w:sz w:val="32"/>
          <w:szCs w:val="32"/>
          <w:vertAlign w:val="baseline"/>
        </w:rPr>
        <w:footnoteRef/>
      </w:r>
      <w:r w:rsidRPr="007B2C3A">
        <w:rPr>
          <w:rFonts w:ascii="Traditional Arabic" w:hAnsi="Traditional Arabic"/>
          <w:sz w:val="32"/>
          <w:szCs w:val="32"/>
          <w:rtl/>
        </w:rPr>
        <w:t xml:space="preserve">) لم أقف عليه فيما لدي من مصادر. </w:t>
      </w:r>
    </w:p>
  </w:footnote>
  <w:footnote w:id="1680">
    <w:p w:rsidR="003F128F" w:rsidRPr="007B2C3A" w:rsidRDefault="003F128F" w:rsidP="00885058">
      <w:pPr>
        <w:pStyle w:val="af3"/>
        <w:rPr>
          <w:rFonts w:ascii="Traditional Arabic" w:hAnsi="Traditional Arabic"/>
          <w:sz w:val="32"/>
          <w:szCs w:val="32"/>
        </w:rPr>
      </w:pPr>
      <w:r w:rsidRPr="007B2C3A">
        <w:rPr>
          <w:rFonts w:ascii="Traditional Arabic" w:hAnsi="Traditional Arabic"/>
          <w:sz w:val="32"/>
          <w:szCs w:val="32"/>
          <w:rtl/>
        </w:rPr>
        <w:t>(</w:t>
      </w:r>
      <w:r w:rsidRPr="007B2C3A">
        <w:rPr>
          <w:rStyle w:val="ae"/>
          <w:rFonts w:ascii="Traditional Arabic" w:hAnsi="Traditional Arabic"/>
          <w:sz w:val="32"/>
          <w:szCs w:val="32"/>
          <w:vertAlign w:val="baseline"/>
        </w:rPr>
        <w:footnoteRef/>
      </w:r>
      <w:r w:rsidRPr="007B2C3A">
        <w:rPr>
          <w:rFonts w:ascii="Traditional Arabic" w:hAnsi="Traditional Arabic"/>
          <w:sz w:val="32"/>
          <w:szCs w:val="32"/>
          <w:rtl/>
        </w:rPr>
        <w:t xml:space="preserve">) مجاز القرآن (1/410). </w:t>
      </w:r>
    </w:p>
  </w:footnote>
  <w:footnote w:id="1681">
    <w:p w:rsidR="003F128F" w:rsidRPr="007B2C3A" w:rsidRDefault="003F128F" w:rsidP="00885058">
      <w:pPr>
        <w:pStyle w:val="af3"/>
        <w:rPr>
          <w:rFonts w:ascii="Traditional Arabic" w:hAnsi="Traditional Arabic"/>
          <w:sz w:val="32"/>
          <w:szCs w:val="32"/>
        </w:rPr>
      </w:pPr>
      <w:r w:rsidRPr="007B2C3A">
        <w:rPr>
          <w:rFonts w:ascii="Traditional Arabic" w:hAnsi="Traditional Arabic"/>
          <w:sz w:val="32"/>
          <w:szCs w:val="32"/>
          <w:rtl/>
        </w:rPr>
        <w:t>(</w:t>
      </w:r>
      <w:r w:rsidRPr="007B2C3A">
        <w:rPr>
          <w:rStyle w:val="ae"/>
          <w:rFonts w:ascii="Traditional Arabic" w:hAnsi="Traditional Arabic"/>
          <w:sz w:val="32"/>
          <w:szCs w:val="32"/>
          <w:vertAlign w:val="baseline"/>
        </w:rPr>
        <w:footnoteRef/>
      </w:r>
      <w:r w:rsidRPr="007B2C3A">
        <w:rPr>
          <w:rFonts w:ascii="Traditional Arabic" w:hAnsi="Traditional Arabic"/>
          <w:sz w:val="32"/>
          <w:szCs w:val="32"/>
          <w:rtl/>
        </w:rPr>
        <w:t>) انظر: معاني القرآن وإعرابه (3/303).</w:t>
      </w:r>
    </w:p>
  </w:footnote>
  <w:footnote w:id="1682">
    <w:p w:rsidR="003F128F" w:rsidRPr="007B2C3A" w:rsidRDefault="003F128F" w:rsidP="00885058">
      <w:pPr>
        <w:pStyle w:val="af3"/>
        <w:rPr>
          <w:rFonts w:ascii="Traditional Arabic" w:hAnsi="Traditional Arabic"/>
          <w:sz w:val="32"/>
          <w:szCs w:val="32"/>
        </w:rPr>
      </w:pPr>
      <w:r w:rsidRPr="007B2C3A">
        <w:rPr>
          <w:rFonts w:ascii="Traditional Arabic" w:hAnsi="Traditional Arabic"/>
          <w:sz w:val="32"/>
          <w:szCs w:val="32"/>
          <w:rtl/>
        </w:rPr>
        <w:t>(</w:t>
      </w:r>
      <w:r w:rsidRPr="007B2C3A">
        <w:rPr>
          <w:rStyle w:val="ae"/>
          <w:rFonts w:ascii="Traditional Arabic" w:hAnsi="Traditional Arabic"/>
          <w:sz w:val="32"/>
          <w:szCs w:val="32"/>
          <w:vertAlign w:val="baseline"/>
        </w:rPr>
        <w:footnoteRef/>
      </w:r>
      <w:r w:rsidRPr="007B2C3A">
        <w:rPr>
          <w:rFonts w:ascii="Traditional Arabic" w:hAnsi="Traditional Arabic"/>
          <w:sz w:val="32"/>
          <w:szCs w:val="32"/>
          <w:rtl/>
        </w:rPr>
        <w:t>) انظر: تفسير الطبري (18/75) غير منسوب, الكشف والبيان (6/184)</w:t>
      </w:r>
      <w:r>
        <w:rPr>
          <w:rFonts w:ascii="Traditional Arabic" w:hAnsi="Traditional Arabic" w:hint="cs"/>
          <w:sz w:val="32"/>
          <w:szCs w:val="32"/>
          <w:rtl/>
        </w:rPr>
        <w:t>.</w:t>
      </w:r>
      <w:r w:rsidRPr="007B2C3A">
        <w:rPr>
          <w:rFonts w:ascii="Traditional Arabic" w:hAnsi="Traditional Arabic"/>
          <w:sz w:val="32"/>
          <w:szCs w:val="32"/>
          <w:rtl/>
        </w:rPr>
        <w:t xml:space="preserve"> </w:t>
      </w:r>
    </w:p>
  </w:footnote>
  <w:footnote w:id="1683">
    <w:p w:rsidR="003F128F" w:rsidRPr="00D42F3F" w:rsidRDefault="003F128F" w:rsidP="00885058">
      <w:pPr>
        <w:pStyle w:val="af3"/>
        <w:rPr>
          <w:rFonts w:ascii="Traditional Arabic" w:hAnsi="Traditional Arabic"/>
          <w:sz w:val="32"/>
          <w:szCs w:val="32"/>
        </w:rPr>
      </w:pPr>
      <w:r w:rsidRPr="007B2C3A">
        <w:rPr>
          <w:rFonts w:ascii="Traditional Arabic" w:hAnsi="Traditional Arabic"/>
          <w:sz w:val="32"/>
          <w:szCs w:val="32"/>
          <w:rtl/>
        </w:rPr>
        <w:t>(</w:t>
      </w:r>
      <w:r w:rsidRPr="007B2C3A">
        <w:rPr>
          <w:rStyle w:val="ae"/>
          <w:rFonts w:ascii="Traditional Arabic" w:hAnsi="Traditional Arabic"/>
          <w:sz w:val="32"/>
          <w:szCs w:val="32"/>
          <w:vertAlign w:val="baseline"/>
        </w:rPr>
        <w:footnoteRef/>
      </w:r>
      <w:r w:rsidRPr="007B2C3A">
        <w:rPr>
          <w:rFonts w:ascii="Traditional Arabic" w:hAnsi="Traditional Arabic"/>
          <w:sz w:val="32"/>
          <w:szCs w:val="32"/>
          <w:rtl/>
        </w:rPr>
        <w:t>) النكت والعيون (3/329), وذكره النيسابوري في باهر البرهان (2/873) غير منسوب.</w:t>
      </w:r>
      <w:r>
        <w:rPr>
          <w:rFonts w:ascii="Traditional Arabic" w:hAnsi="Traditional Arabic" w:hint="cs"/>
          <w:sz w:val="32"/>
          <w:szCs w:val="32"/>
          <w:rtl/>
        </w:rPr>
        <w:t xml:space="preserve"> </w:t>
      </w:r>
      <w:r w:rsidRPr="00D42F3F">
        <w:rPr>
          <w:rFonts w:ascii="Traditional Arabic" w:hAnsi="Traditional Arabic"/>
          <w:sz w:val="32"/>
          <w:szCs w:val="32"/>
          <w:rtl/>
        </w:rPr>
        <w:t xml:space="preserve">  </w:t>
      </w:r>
    </w:p>
  </w:footnote>
  <w:footnote w:id="1684">
    <w:p w:rsidR="003F128F" w:rsidRPr="00D42F3F" w:rsidRDefault="003F128F" w:rsidP="00885058">
      <w:pPr>
        <w:pStyle w:val="af3"/>
        <w:rPr>
          <w:rFonts w:ascii="Traditional Arabic" w:hAnsi="Traditional Arabic"/>
          <w:sz w:val="32"/>
          <w:szCs w:val="32"/>
        </w:rPr>
      </w:pPr>
      <w:r w:rsidRPr="00D42F3F">
        <w:rPr>
          <w:rFonts w:ascii="Traditional Arabic" w:hAnsi="Traditional Arabic"/>
          <w:sz w:val="32"/>
          <w:szCs w:val="32"/>
          <w:rtl/>
        </w:rPr>
        <w:t>(</w:t>
      </w:r>
      <w:r w:rsidRPr="00D42F3F">
        <w:rPr>
          <w:rStyle w:val="ae"/>
          <w:rFonts w:ascii="Traditional Arabic" w:hAnsi="Traditional Arabic"/>
          <w:sz w:val="32"/>
          <w:szCs w:val="32"/>
          <w:vertAlign w:val="baseline"/>
        </w:rPr>
        <w:footnoteRef/>
      </w:r>
      <w:r w:rsidRPr="00D42F3F">
        <w:rPr>
          <w:rFonts w:ascii="Traditional Arabic" w:hAnsi="Traditional Arabic"/>
          <w:sz w:val="32"/>
          <w:szCs w:val="32"/>
          <w:rtl/>
        </w:rPr>
        <w:t>)</w:t>
      </w:r>
      <w:r>
        <w:rPr>
          <w:rFonts w:ascii="Traditional Arabic" w:hAnsi="Traditional Arabic" w:hint="cs"/>
          <w:sz w:val="32"/>
          <w:szCs w:val="32"/>
          <w:rtl/>
        </w:rPr>
        <w:t xml:space="preserve"> </w:t>
      </w:r>
      <w:r w:rsidRPr="0051046E">
        <w:rPr>
          <w:rFonts w:ascii="Traditional Arabic" w:hAnsi="Traditional Arabic"/>
          <w:sz w:val="32"/>
          <w:szCs w:val="32"/>
          <w:rtl/>
        </w:rPr>
        <w:t>انظر: السبعة في القراءات (ص39</w:t>
      </w:r>
      <w:r>
        <w:rPr>
          <w:rFonts w:ascii="Traditional Arabic" w:hAnsi="Traditional Arabic" w:hint="cs"/>
          <w:sz w:val="32"/>
          <w:szCs w:val="32"/>
          <w:rtl/>
        </w:rPr>
        <w:t>5</w:t>
      </w:r>
      <w:r w:rsidRPr="0051046E">
        <w:rPr>
          <w:rFonts w:ascii="Traditional Arabic" w:hAnsi="Traditional Arabic"/>
          <w:sz w:val="32"/>
          <w:szCs w:val="32"/>
          <w:rtl/>
        </w:rPr>
        <w:t>), معاني القراءات (2/11</w:t>
      </w:r>
      <w:r>
        <w:rPr>
          <w:rFonts w:ascii="Traditional Arabic" w:hAnsi="Traditional Arabic" w:hint="cs"/>
          <w:sz w:val="32"/>
          <w:szCs w:val="32"/>
          <w:rtl/>
        </w:rPr>
        <w:t>6</w:t>
      </w:r>
      <w:r w:rsidRPr="0051046E">
        <w:rPr>
          <w:rFonts w:ascii="Traditional Arabic" w:hAnsi="Traditional Arabic"/>
          <w:sz w:val="32"/>
          <w:szCs w:val="32"/>
          <w:rtl/>
        </w:rPr>
        <w:t xml:space="preserve">).    </w:t>
      </w:r>
      <w:r w:rsidRPr="00D42F3F">
        <w:rPr>
          <w:rFonts w:ascii="Traditional Arabic" w:hAnsi="Traditional Arabic"/>
          <w:sz w:val="32"/>
          <w:szCs w:val="32"/>
          <w:rtl/>
        </w:rPr>
        <w:t xml:space="preserve"> </w:t>
      </w:r>
    </w:p>
  </w:footnote>
  <w:footnote w:id="1685">
    <w:p w:rsidR="003F128F" w:rsidRPr="00D42F3F" w:rsidRDefault="003F128F" w:rsidP="00885058">
      <w:pPr>
        <w:pStyle w:val="af3"/>
        <w:rPr>
          <w:rFonts w:ascii="Traditional Arabic" w:hAnsi="Traditional Arabic"/>
          <w:sz w:val="32"/>
          <w:szCs w:val="32"/>
        </w:rPr>
      </w:pPr>
      <w:r w:rsidRPr="00D42F3F">
        <w:rPr>
          <w:rFonts w:ascii="Traditional Arabic" w:hAnsi="Traditional Arabic"/>
          <w:sz w:val="32"/>
          <w:szCs w:val="32"/>
          <w:rtl/>
        </w:rPr>
        <w:t>(</w:t>
      </w:r>
      <w:r w:rsidRPr="00D42F3F">
        <w:rPr>
          <w:rStyle w:val="ae"/>
          <w:rFonts w:ascii="Traditional Arabic" w:hAnsi="Traditional Arabic"/>
          <w:sz w:val="32"/>
          <w:szCs w:val="32"/>
          <w:vertAlign w:val="baseline"/>
        </w:rPr>
        <w:footnoteRef/>
      </w:r>
      <w:r>
        <w:rPr>
          <w:rFonts w:ascii="Traditional Arabic" w:hAnsi="Traditional Arabic"/>
          <w:sz w:val="32"/>
          <w:szCs w:val="32"/>
          <w:rtl/>
        </w:rPr>
        <w:t>)</w:t>
      </w:r>
      <w:r w:rsidRPr="00D42F3F">
        <w:rPr>
          <w:rFonts w:ascii="Traditional Arabic" w:hAnsi="Traditional Arabic"/>
          <w:sz w:val="32"/>
          <w:szCs w:val="32"/>
          <w:rtl/>
        </w:rPr>
        <w:t xml:space="preserve"> انظر: معاني القرآن وإعرابه (3/303).</w:t>
      </w:r>
    </w:p>
  </w:footnote>
  <w:footnote w:id="1686">
    <w:p w:rsidR="003F128F" w:rsidRPr="00C2374C" w:rsidRDefault="003F128F" w:rsidP="00885058">
      <w:pPr>
        <w:pStyle w:val="af3"/>
        <w:rPr>
          <w:rFonts w:ascii="Traditional Arabic" w:hAnsi="Traditional Arabic"/>
          <w:sz w:val="32"/>
          <w:szCs w:val="32"/>
        </w:rPr>
      </w:pPr>
      <w:r w:rsidRPr="00C2374C">
        <w:rPr>
          <w:rFonts w:ascii="Traditional Arabic" w:hAnsi="Traditional Arabic"/>
          <w:sz w:val="32"/>
          <w:szCs w:val="32"/>
          <w:rtl/>
        </w:rPr>
        <w:t>(</w:t>
      </w:r>
      <w:r w:rsidRPr="00C2374C">
        <w:rPr>
          <w:rStyle w:val="ae"/>
          <w:rFonts w:ascii="Traditional Arabic" w:hAnsi="Traditional Arabic"/>
          <w:sz w:val="32"/>
          <w:szCs w:val="32"/>
          <w:vertAlign w:val="baseline"/>
        </w:rPr>
        <w:footnoteRef/>
      </w:r>
      <w:r>
        <w:rPr>
          <w:rFonts w:ascii="Traditional Arabic" w:hAnsi="Traditional Arabic"/>
          <w:sz w:val="32"/>
          <w:szCs w:val="32"/>
          <w:rtl/>
        </w:rPr>
        <w:t>)</w:t>
      </w:r>
      <w:r w:rsidRPr="00C2374C">
        <w:rPr>
          <w:rFonts w:ascii="Traditional Arabic" w:hAnsi="Traditional Arabic"/>
          <w:sz w:val="32"/>
          <w:szCs w:val="32"/>
          <w:rtl/>
        </w:rPr>
        <w:t xml:space="preserve"> انظر: بحر العلوم (2/357), درة التنزيل وغرة التأويل للخطيب الإسكافي</w:t>
      </w:r>
      <w:r>
        <w:rPr>
          <w:rFonts w:ascii="Traditional Arabic" w:hAnsi="Traditional Arabic" w:hint="cs"/>
          <w:sz w:val="32"/>
          <w:szCs w:val="32"/>
          <w:rtl/>
        </w:rPr>
        <w:t xml:space="preserve"> (1/881).</w:t>
      </w:r>
    </w:p>
  </w:footnote>
  <w:footnote w:id="1687">
    <w:p w:rsidR="003F128F" w:rsidRPr="006B013D" w:rsidRDefault="003F128F" w:rsidP="001130B8">
      <w:pPr>
        <w:pStyle w:val="af3"/>
        <w:rPr>
          <w:rFonts w:ascii="Tahoma" w:hAnsi="Tahoma"/>
        </w:rPr>
      </w:pPr>
      <w:r w:rsidRPr="006B013D">
        <w:rPr>
          <w:rFonts w:ascii="Tahoma" w:hAnsi="Tahoma"/>
          <w:rtl/>
        </w:rPr>
        <w:t>(</w:t>
      </w:r>
      <w:r w:rsidRPr="006B013D">
        <w:rPr>
          <w:rStyle w:val="ae"/>
          <w:rFonts w:ascii="Tahoma" w:hAnsi="Tahoma"/>
          <w:vertAlign w:val="baseline"/>
        </w:rPr>
        <w:footnoteRef/>
      </w:r>
      <w:r w:rsidRPr="006B013D">
        <w:rPr>
          <w:rFonts w:ascii="Tahoma" w:hAnsi="Tahoma"/>
          <w:rtl/>
        </w:rPr>
        <w:t>)</w:t>
      </w:r>
      <w:r w:rsidRPr="006B013D">
        <w:rPr>
          <w:rFonts w:ascii="Tahoma" w:hAnsi="Tahoma" w:hint="cs"/>
          <w:sz w:val="32"/>
          <w:szCs w:val="32"/>
          <w:rtl/>
        </w:rPr>
        <w:t xml:space="preserve"> </w:t>
      </w:r>
      <w:r w:rsidRPr="006B013D">
        <w:rPr>
          <w:rFonts w:ascii="Tahoma" w:hAnsi="Tahoma"/>
          <w:sz w:val="32"/>
          <w:szCs w:val="32"/>
          <w:rtl/>
        </w:rPr>
        <w:t>آلَ المصْطَلِقْ</w:t>
      </w:r>
      <w:r w:rsidRPr="006B013D">
        <w:rPr>
          <w:rFonts w:ascii="Tahoma" w:hAnsi="Tahoma" w:hint="cs"/>
          <w:sz w:val="32"/>
          <w:szCs w:val="32"/>
          <w:rtl/>
        </w:rPr>
        <w:t xml:space="preserve">: </w:t>
      </w:r>
      <w:r w:rsidRPr="006B013D">
        <w:rPr>
          <w:rFonts w:ascii="Tahoma" w:hAnsi="Tahoma"/>
          <w:sz w:val="32"/>
          <w:szCs w:val="32"/>
          <w:rtl/>
        </w:rPr>
        <w:t xml:space="preserve">بطن من </w:t>
      </w:r>
      <w:r w:rsidRPr="001130B8">
        <w:rPr>
          <w:rFonts w:ascii="Tahoma" w:hAnsi="Tahoma"/>
          <w:sz w:val="32"/>
          <w:szCs w:val="32"/>
          <w:rtl/>
        </w:rPr>
        <w:t>خزاع</w:t>
      </w:r>
      <w:r w:rsidRPr="001130B8">
        <w:rPr>
          <w:rFonts w:ascii="Tahoma" w:hAnsi="Tahoma" w:hint="cs"/>
          <w:sz w:val="32"/>
          <w:szCs w:val="32"/>
          <w:rtl/>
        </w:rPr>
        <w:t>ة</w:t>
      </w:r>
      <w:r w:rsidRPr="001130B8">
        <w:rPr>
          <w:rFonts w:ascii="Traditional Arabic" w:hAnsi="Traditional Arabic"/>
          <w:sz w:val="44"/>
          <w:szCs w:val="44"/>
          <w:rtl/>
          <w:lang w:eastAsia="en-US"/>
        </w:rPr>
        <w:t xml:space="preserve"> </w:t>
      </w:r>
      <w:r w:rsidRPr="001130B8">
        <w:rPr>
          <w:rFonts w:ascii="Tahoma" w:hAnsi="Tahoma"/>
          <w:sz w:val="32"/>
          <w:szCs w:val="32"/>
          <w:rtl/>
        </w:rPr>
        <w:t>من الأزد من القحطانية</w:t>
      </w:r>
      <w:r w:rsidRPr="001130B8">
        <w:rPr>
          <w:rFonts w:ascii="Tahoma" w:hAnsi="Tahoma" w:hint="cs"/>
          <w:sz w:val="32"/>
          <w:szCs w:val="32"/>
          <w:rtl/>
        </w:rPr>
        <w:t>,</w:t>
      </w:r>
      <w:r w:rsidRPr="006B013D">
        <w:rPr>
          <w:rFonts w:ascii="Tahoma" w:hAnsi="Tahoma" w:hint="cs"/>
          <w:sz w:val="32"/>
          <w:szCs w:val="32"/>
          <w:rtl/>
        </w:rPr>
        <w:t xml:space="preserve"> والمصطلق هو </w:t>
      </w:r>
      <w:r w:rsidRPr="006B013D">
        <w:rPr>
          <w:rFonts w:ascii="Tahoma" w:hAnsi="Tahoma"/>
          <w:sz w:val="32"/>
          <w:szCs w:val="32"/>
          <w:rtl/>
        </w:rPr>
        <w:t>خزيمة بن سعد بن ع</w:t>
      </w:r>
      <w:r w:rsidRPr="001130B8">
        <w:rPr>
          <w:rFonts w:ascii="Tahoma" w:hAnsi="Tahoma"/>
          <w:sz w:val="32"/>
          <w:szCs w:val="32"/>
          <w:rtl/>
        </w:rPr>
        <w:t>مر</w:t>
      </w:r>
      <w:r w:rsidRPr="001130B8">
        <w:rPr>
          <w:rFonts w:ascii="Traditional Arabic" w:hAnsi="Traditional Arabic"/>
          <w:sz w:val="44"/>
          <w:szCs w:val="44"/>
          <w:rtl/>
          <w:lang w:eastAsia="en-US"/>
        </w:rPr>
        <w:t xml:space="preserve"> </w:t>
      </w:r>
      <w:r w:rsidRPr="001130B8">
        <w:rPr>
          <w:rFonts w:ascii="Tahoma" w:hAnsi="Tahoma"/>
          <w:sz w:val="32"/>
          <w:szCs w:val="32"/>
          <w:rtl/>
        </w:rPr>
        <w:t xml:space="preserve">بن </w:t>
      </w:r>
      <w:r>
        <w:rPr>
          <w:rFonts w:ascii="Tahoma" w:hAnsi="Tahoma"/>
          <w:sz w:val="32"/>
          <w:szCs w:val="32"/>
          <w:rtl/>
        </w:rPr>
        <w:t xml:space="preserve">ربيعة بن حارثة </w:t>
      </w:r>
      <w:r w:rsidRPr="001130B8">
        <w:rPr>
          <w:rFonts w:ascii="Tahoma" w:hAnsi="Tahoma"/>
          <w:sz w:val="32"/>
          <w:szCs w:val="32"/>
          <w:rtl/>
        </w:rPr>
        <w:t>بن مزيقيا</w:t>
      </w:r>
      <w:r w:rsidRPr="001130B8">
        <w:rPr>
          <w:rFonts w:ascii="Tahoma" w:hAnsi="Tahoma" w:hint="cs"/>
          <w:sz w:val="32"/>
          <w:szCs w:val="32"/>
          <w:rtl/>
        </w:rPr>
        <w:t xml:space="preserve">. </w:t>
      </w:r>
      <w:r>
        <w:rPr>
          <w:rFonts w:ascii="Tahoma" w:hAnsi="Tahoma" w:hint="cs"/>
          <w:sz w:val="32"/>
          <w:szCs w:val="32"/>
          <w:rtl/>
        </w:rPr>
        <w:t>انظر: نهاية الأ</w:t>
      </w:r>
      <w:r w:rsidRPr="006B013D">
        <w:rPr>
          <w:rFonts w:ascii="Tahoma" w:hAnsi="Tahoma" w:hint="cs"/>
          <w:sz w:val="32"/>
          <w:szCs w:val="32"/>
          <w:rtl/>
        </w:rPr>
        <w:t>ر</w:t>
      </w:r>
      <w:r>
        <w:rPr>
          <w:rFonts w:ascii="Tahoma" w:hAnsi="Tahoma" w:hint="cs"/>
          <w:sz w:val="32"/>
          <w:szCs w:val="32"/>
          <w:rtl/>
        </w:rPr>
        <w:t>َ</w:t>
      </w:r>
      <w:r w:rsidRPr="006B013D">
        <w:rPr>
          <w:rFonts w:ascii="Tahoma" w:hAnsi="Tahoma" w:hint="cs"/>
          <w:sz w:val="32"/>
          <w:szCs w:val="32"/>
          <w:rtl/>
        </w:rPr>
        <w:t>ب</w:t>
      </w:r>
      <w:r>
        <w:rPr>
          <w:rFonts w:ascii="Tahoma" w:hAnsi="Tahoma" w:hint="cs"/>
          <w:sz w:val="32"/>
          <w:szCs w:val="32"/>
          <w:rtl/>
        </w:rPr>
        <w:t xml:space="preserve"> في معرفة أنساب العرب</w:t>
      </w:r>
      <w:r w:rsidRPr="006B013D">
        <w:rPr>
          <w:rFonts w:ascii="Tahoma" w:hAnsi="Tahoma" w:hint="cs"/>
          <w:sz w:val="32"/>
          <w:szCs w:val="32"/>
          <w:rtl/>
        </w:rPr>
        <w:t xml:space="preserve"> (ص72).</w:t>
      </w:r>
      <w:r w:rsidRPr="006B013D">
        <w:rPr>
          <w:rFonts w:ascii="Tahoma" w:hAnsi="Tahoma"/>
          <w:sz w:val="32"/>
          <w:szCs w:val="32"/>
          <w:rtl/>
        </w:rPr>
        <w:t xml:space="preserve"> </w:t>
      </w:r>
    </w:p>
  </w:footnote>
  <w:footnote w:id="1688">
    <w:p w:rsidR="003F128F" w:rsidRPr="0063736E" w:rsidRDefault="003F128F" w:rsidP="00885058">
      <w:pPr>
        <w:pStyle w:val="af3"/>
        <w:rPr>
          <w:rFonts w:ascii="Traditional Arabic" w:hAnsi="Traditional Arabic"/>
          <w:sz w:val="32"/>
          <w:szCs w:val="32"/>
        </w:rPr>
      </w:pPr>
      <w:r w:rsidRPr="0063736E">
        <w:rPr>
          <w:rFonts w:ascii="Traditional Arabic" w:hAnsi="Traditional Arabic"/>
          <w:sz w:val="32"/>
          <w:szCs w:val="32"/>
          <w:rtl/>
        </w:rPr>
        <w:t>(</w:t>
      </w:r>
      <w:r w:rsidRPr="0063736E">
        <w:rPr>
          <w:rStyle w:val="ae"/>
          <w:rFonts w:ascii="Traditional Arabic" w:hAnsi="Traditional Arabic"/>
          <w:sz w:val="32"/>
          <w:szCs w:val="32"/>
          <w:vertAlign w:val="baseline"/>
        </w:rPr>
        <w:footnoteRef/>
      </w:r>
      <w:r w:rsidRPr="0063736E">
        <w:rPr>
          <w:rFonts w:ascii="Traditional Arabic" w:hAnsi="Traditional Arabic"/>
          <w:sz w:val="32"/>
          <w:szCs w:val="32"/>
          <w:rtl/>
        </w:rPr>
        <w:t>) انظر: الاشتقاق لابن دريد (ص297).</w:t>
      </w:r>
    </w:p>
  </w:footnote>
  <w:footnote w:id="1689">
    <w:p w:rsidR="003F128F" w:rsidRPr="00134C12" w:rsidRDefault="003F128F" w:rsidP="00885058">
      <w:pPr>
        <w:pStyle w:val="af3"/>
        <w:rPr>
          <w:rFonts w:ascii="Traditional Arabic" w:hAnsi="Traditional Arabic"/>
          <w:sz w:val="32"/>
          <w:szCs w:val="32"/>
          <w:rtl/>
        </w:rPr>
      </w:pPr>
      <w:r w:rsidRPr="00134C12">
        <w:rPr>
          <w:rFonts w:ascii="Traditional Arabic" w:hAnsi="Traditional Arabic"/>
          <w:sz w:val="32"/>
          <w:szCs w:val="32"/>
          <w:rtl/>
        </w:rPr>
        <w:t>(</w:t>
      </w:r>
      <w:r w:rsidRPr="00134C12">
        <w:rPr>
          <w:rStyle w:val="ae"/>
          <w:rFonts w:ascii="Traditional Arabic" w:hAnsi="Traditional Arabic"/>
          <w:sz w:val="32"/>
          <w:szCs w:val="32"/>
          <w:vertAlign w:val="baseline"/>
        </w:rPr>
        <w:footnoteRef/>
      </w:r>
      <w:r w:rsidRPr="00134C12">
        <w:rPr>
          <w:rFonts w:ascii="Traditional Arabic" w:hAnsi="Traditional Arabic"/>
          <w:sz w:val="32"/>
          <w:szCs w:val="32"/>
          <w:rtl/>
        </w:rPr>
        <w:t>)</w:t>
      </w:r>
      <w:r w:rsidRPr="00134C12">
        <w:rPr>
          <w:rFonts w:ascii="Traditional Arabic" w:hAnsi="Traditional Arabic" w:hint="cs"/>
          <w:sz w:val="32"/>
          <w:szCs w:val="32"/>
          <w:rtl/>
        </w:rPr>
        <w:t xml:space="preserve"> هو الامام </w:t>
      </w:r>
      <w:r w:rsidRPr="00134C12">
        <w:rPr>
          <w:rFonts w:ascii="Traditional Arabic" w:hAnsi="Traditional Arabic"/>
          <w:sz w:val="32"/>
          <w:szCs w:val="32"/>
          <w:rtl/>
        </w:rPr>
        <w:t>أبو محمد</w:t>
      </w:r>
      <w:r>
        <w:rPr>
          <w:rFonts w:ascii="Traditional Arabic" w:hAnsi="Traditional Arabic" w:hint="cs"/>
          <w:sz w:val="32"/>
          <w:szCs w:val="32"/>
          <w:rtl/>
        </w:rPr>
        <w:t>,</w:t>
      </w:r>
      <w:r w:rsidRPr="00134C12">
        <w:rPr>
          <w:rFonts w:ascii="Traditional Arabic" w:hAnsi="Traditional Arabic"/>
          <w:sz w:val="32"/>
          <w:szCs w:val="32"/>
          <w:rtl/>
        </w:rPr>
        <w:t xml:space="preserve"> عبد الله بن أحمد بن أحمد</w:t>
      </w:r>
      <w:r>
        <w:rPr>
          <w:rFonts w:ascii="Traditional Arabic" w:hAnsi="Traditional Arabic" w:hint="cs"/>
          <w:sz w:val="32"/>
          <w:szCs w:val="32"/>
          <w:rtl/>
        </w:rPr>
        <w:t>,</w:t>
      </w:r>
      <w:r w:rsidRPr="00134C12">
        <w:rPr>
          <w:rFonts w:ascii="Traditional Arabic" w:hAnsi="Traditional Arabic"/>
          <w:sz w:val="32"/>
          <w:szCs w:val="32"/>
          <w:rtl/>
        </w:rPr>
        <w:t xml:space="preserve"> المعروف بابن الخشاب البغدادي؛ العالم المشهور في الأدب</w:t>
      </w:r>
      <w:r w:rsidRPr="00134C12">
        <w:rPr>
          <w:rFonts w:ascii="Traditional Arabic" w:hAnsi="Traditional Arabic" w:hint="cs"/>
          <w:sz w:val="32"/>
          <w:szCs w:val="32"/>
          <w:rtl/>
        </w:rPr>
        <w:t>,</w:t>
      </w:r>
      <w:r w:rsidRPr="00134C12">
        <w:rPr>
          <w:rFonts w:ascii="Traditional Arabic" w:hAnsi="Traditional Arabic"/>
          <w:sz w:val="32"/>
          <w:szCs w:val="32"/>
          <w:rtl/>
        </w:rPr>
        <w:t xml:space="preserve"> والنحو</w:t>
      </w:r>
      <w:r w:rsidRPr="00134C12">
        <w:rPr>
          <w:rFonts w:ascii="Traditional Arabic" w:hAnsi="Traditional Arabic" w:hint="cs"/>
          <w:sz w:val="32"/>
          <w:szCs w:val="32"/>
          <w:rtl/>
        </w:rPr>
        <w:t>,</w:t>
      </w:r>
      <w:r w:rsidRPr="00134C12">
        <w:rPr>
          <w:rFonts w:ascii="Traditional Arabic" w:hAnsi="Traditional Arabic"/>
          <w:sz w:val="32"/>
          <w:szCs w:val="32"/>
          <w:rtl/>
        </w:rPr>
        <w:t xml:space="preserve"> والتفسير</w:t>
      </w:r>
      <w:r w:rsidRPr="00134C12">
        <w:rPr>
          <w:rFonts w:ascii="Traditional Arabic" w:hAnsi="Traditional Arabic" w:hint="cs"/>
          <w:sz w:val="32"/>
          <w:szCs w:val="32"/>
          <w:rtl/>
        </w:rPr>
        <w:t>,</w:t>
      </w:r>
      <w:r w:rsidRPr="00134C12">
        <w:rPr>
          <w:rFonts w:ascii="Traditional Arabic" w:hAnsi="Traditional Arabic"/>
          <w:sz w:val="32"/>
          <w:szCs w:val="32"/>
          <w:rtl/>
        </w:rPr>
        <w:t xml:space="preserve"> والحديث</w:t>
      </w:r>
      <w:r w:rsidRPr="00134C12">
        <w:rPr>
          <w:rFonts w:ascii="Traditional Arabic" w:hAnsi="Traditional Arabic" w:hint="cs"/>
          <w:sz w:val="32"/>
          <w:szCs w:val="32"/>
          <w:rtl/>
        </w:rPr>
        <w:t>,</w:t>
      </w:r>
      <w:r w:rsidRPr="00134C12">
        <w:rPr>
          <w:rFonts w:ascii="Traditional Arabic" w:hAnsi="Traditional Arabic"/>
          <w:sz w:val="32"/>
          <w:szCs w:val="32"/>
          <w:rtl/>
        </w:rPr>
        <w:t xml:space="preserve"> </w:t>
      </w:r>
      <w:r w:rsidRPr="00134C12">
        <w:rPr>
          <w:rFonts w:ascii="Traditional Arabic" w:hAnsi="Traditional Arabic" w:hint="cs"/>
          <w:sz w:val="32"/>
          <w:szCs w:val="32"/>
          <w:rtl/>
        </w:rPr>
        <w:t>وغيرها,</w:t>
      </w:r>
      <w:r w:rsidRPr="00134C12">
        <w:rPr>
          <w:rFonts w:ascii="Traditional Arabic" w:hAnsi="Traditional Arabic" w:hint="cs"/>
          <w:sz w:val="32"/>
          <w:szCs w:val="32"/>
          <w:rtl/>
          <w:lang w:eastAsia="en-US"/>
        </w:rPr>
        <w:t xml:space="preserve"> كان</w:t>
      </w:r>
      <w:r w:rsidRPr="00134C12">
        <w:rPr>
          <w:rFonts w:ascii="Traditional Arabic" w:hAnsi="Traditional Arabic"/>
          <w:sz w:val="32"/>
          <w:szCs w:val="32"/>
          <w:rtl/>
          <w:lang w:eastAsia="en-US"/>
        </w:rPr>
        <w:t xml:space="preserve"> </w:t>
      </w:r>
      <w:r w:rsidRPr="00134C12">
        <w:rPr>
          <w:rFonts w:ascii="Traditional Arabic" w:hAnsi="Traditional Arabic"/>
          <w:sz w:val="32"/>
          <w:szCs w:val="32"/>
          <w:rtl/>
        </w:rPr>
        <w:t>يُضْرَبُ</w:t>
      </w:r>
      <w:r>
        <w:rPr>
          <w:rFonts w:ascii="Traditional Arabic" w:hAnsi="Traditional Arabic"/>
          <w:sz w:val="32"/>
          <w:szCs w:val="32"/>
          <w:rtl/>
        </w:rPr>
        <w:t xml:space="preserve"> به المثل في العربية</w:t>
      </w:r>
      <w:r>
        <w:rPr>
          <w:rFonts w:ascii="Traditional Arabic" w:hAnsi="Traditional Arabic" w:hint="cs"/>
          <w:sz w:val="32"/>
          <w:szCs w:val="32"/>
          <w:rtl/>
        </w:rPr>
        <w:t>,</w:t>
      </w:r>
      <w:r w:rsidRPr="00134C12">
        <w:rPr>
          <w:rFonts w:ascii="Traditional Arabic" w:hAnsi="Traditional Arabic"/>
          <w:sz w:val="32"/>
          <w:szCs w:val="32"/>
          <w:rtl/>
        </w:rPr>
        <w:t xml:space="preserve"> (ت</w:t>
      </w:r>
      <w:r w:rsidRPr="00134C12">
        <w:rPr>
          <w:rFonts w:ascii="Traditional Arabic" w:hAnsi="Traditional Arabic" w:hint="cs"/>
          <w:sz w:val="32"/>
          <w:szCs w:val="32"/>
          <w:rtl/>
        </w:rPr>
        <w:t>567</w:t>
      </w:r>
      <w:r w:rsidRPr="00134C12">
        <w:rPr>
          <w:rFonts w:ascii="Traditional Arabic" w:hAnsi="Traditional Arabic"/>
          <w:sz w:val="32"/>
          <w:szCs w:val="32"/>
          <w:rtl/>
        </w:rPr>
        <w:t>ه) انظر: وفيات الأعيان (</w:t>
      </w:r>
      <w:r w:rsidRPr="00134C12">
        <w:rPr>
          <w:rFonts w:ascii="Traditional Arabic" w:hAnsi="Traditional Arabic" w:hint="cs"/>
          <w:sz w:val="32"/>
          <w:szCs w:val="32"/>
          <w:rtl/>
        </w:rPr>
        <w:t>3/102</w:t>
      </w:r>
      <w:r w:rsidRPr="00134C12">
        <w:rPr>
          <w:rFonts w:ascii="Traditional Arabic" w:hAnsi="Traditional Arabic"/>
          <w:sz w:val="32"/>
          <w:szCs w:val="32"/>
          <w:rtl/>
        </w:rPr>
        <w:t>), سير أعلام النبلاء (</w:t>
      </w:r>
      <w:r>
        <w:rPr>
          <w:rFonts w:ascii="Traditional Arabic" w:hAnsi="Traditional Arabic" w:hint="cs"/>
          <w:sz w:val="32"/>
          <w:szCs w:val="32"/>
          <w:rtl/>
        </w:rPr>
        <w:t>20/523</w:t>
      </w:r>
      <w:r w:rsidRPr="00134C12">
        <w:rPr>
          <w:rFonts w:ascii="Traditional Arabic" w:hAnsi="Traditional Arabic"/>
          <w:sz w:val="32"/>
          <w:szCs w:val="32"/>
          <w:rtl/>
        </w:rPr>
        <w:t xml:space="preserve">).   </w:t>
      </w:r>
    </w:p>
  </w:footnote>
  <w:footnote w:id="1690">
    <w:p w:rsidR="003F128F" w:rsidRPr="0063736E" w:rsidRDefault="003F128F" w:rsidP="00885058">
      <w:pPr>
        <w:pStyle w:val="af3"/>
        <w:rPr>
          <w:rFonts w:ascii="Traditional Arabic" w:hAnsi="Traditional Arabic"/>
          <w:sz w:val="32"/>
          <w:szCs w:val="32"/>
        </w:rPr>
      </w:pPr>
      <w:r w:rsidRPr="0063736E">
        <w:rPr>
          <w:rFonts w:ascii="Traditional Arabic" w:hAnsi="Traditional Arabic"/>
          <w:sz w:val="32"/>
          <w:szCs w:val="32"/>
          <w:rtl/>
        </w:rPr>
        <w:t>(</w:t>
      </w:r>
      <w:r w:rsidRPr="0063736E">
        <w:rPr>
          <w:rStyle w:val="ae"/>
          <w:rFonts w:ascii="Traditional Arabic" w:hAnsi="Traditional Arabic"/>
          <w:sz w:val="32"/>
          <w:szCs w:val="32"/>
          <w:vertAlign w:val="baseline"/>
        </w:rPr>
        <w:footnoteRef/>
      </w:r>
      <w:r w:rsidRPr="0063736E">
        <w:rPr>
          <w:rFonts w:ascii="Traditional Arabic" w:hAnsi="Traditional Arabic"/>
          <w:sz w:val="32"/>
          <w:szCs w:val="32"/>
          <w:rtl/>
        </w:rPr>
        <w:t xml:space="preserve">) </w:t>
      </w:r>
      <w:r>
        <w:rPr>
          <w:rFonts w:ascii="Traditional Arabic" w:hAnsi="Traditional Arabic" w:hint="cs"/>
          <w:sz w:val="32"/>
          <w:szCs w:val="32"/>
          <w:rtl/>
        </w:rPr>
        <w:t>ذكر بنحوه النحاس في معاني القرآن (4/271),</w:t>
      </w:r>
      <w:r w:rsidRPr="0063736E">
        <w:rPr>
          <w:rFonts w:ascii="Traditional Arabic" w:hAnsi="Traditional Arabic"/>
          <w:sz w:val="32"/>
          <w:szCs w:val="32"/>
          <w:rtl/>
        </w:rPr>
        <w:t xml:space="preserve"> </w:t>
      </w:r>
    </w:p>
  </w:footnote>
  <w:footnote w:id="1691">
    <w:p w:rsidR="003F128F" w:rsidRPr="004A7AB4" w:rsidRDefault="003F128F" w:rsidP="006B013D">
      <w:pPr>
        <w:pStyle w:val="af3"/>
        <w:rPr>
          <w:rFonts w:ascii="Traditional Arabic" w:hAnsi="Traditional Arabic"/>
          <w:sz w:val="32"/>
          <w:szCs w:val="32"/>
        </w:rPr>
      </w:pPr>
      <w:r w:rsidRPr="004A7AB4">
        <w:rPr>
          <w:rFonts w:ascii="Traditional Arabic" w:hAnsi="Traditional Arabic"/>
          <w:sz w:val="32"/>
          <w:szCs w:val="32"/>
          <w:rtl/>
        </w:rPr>
        <w:t>(</w:t>
      </w:r>
      <w:r w:rsidRPr="004A7AB4">
        <w:rPr>
          <w:rStyle w:val="ae"/>
          <w:rFonts w:ascii="Traditional Arabic" w:hAnsi="Traditional Arabic"/>
          <w:sz w:val="32"/>
          <w:szCs w:val="32"/>
          <w:vertAlign w:val="baseline"/>
        </w:rPr>
        <w:footnoteRef/>
      </w:r>
      <w:r w:rsidRPr="004A7AB4">
        <w:rPr>
          <w:rFonts w:ascii="Traditional Arabic" w:hAnsi="Traditional Arabic"/>
          <w:sz w:val="32"/>
          <w:szCs w:val="32"/>
          <w:rtl/>
        </w:rPr>
        <w:t xml:space="preserve">) </w:t>
      </w:r>
      <w:r w:rsidRPr="004A7AB4">
        <w:rPr>
          <w:rFonts w:ascii="Traditional Arabic" w:hAnsi="Traditional Arabic" w:hint="cs"/>
          <w:sz w:val="32"/>
          <w:szCs w:val="32"/>
          <w:rtl/>
        </w:rPr>
        <w:t xml:space="preserve">هو </w:t>
      </w:r>
      <w:r>
        <w:rPr>
          <w:rFonts w:ascii="Traditional Arabic" w:hAnsi="Traditional Arabic" w:hint="cs"/>
          <w:sz w:val="32"/>
          <w:szCs w:val="32"/>
          <w:rtl/>
        </w:rPr>
        <w:t xml:space="preserve">الامام </w:t>
      </w:r>
      <w:r w:rsidRPr="004A7AB4">
        <w:rPr>
          <w:rFonts w:ascii="Traditional Arabic" w:hAnsi="Traditional Arabic"/>
          <w:sz w:val="32"/>
          <w:szCs w:val="32"/>
          <w:rtl/>
        </w:rPr>
        <w:t>أبو نهيك</w:t>
      </w:r>
      <w:r>
        <w:rPr>
          <w:rFonts w:ascii="Traditional Arabic" w:hAnsi="Traditional Arabic" w:hint="cs"/>
          <w:sz w:val="32"/>
          <w:szCs w:val="32"/>
          <w:rtl/>
        </w:rPr>
        <w:t>,</w:t>
      </w:r>
      <w:r w:rsidRPr="004A7AB4">
        <w:rPr>
          <w:rFonts w:ascii="Traditional Arabic" w:hAnsi="Traditional Arabic"/>
          <w:sz w:val="32"/>
          <w:szCs w:val="32"/>
          <w:rtl/>
        </w:rPr>
        <w:t xml:space="preserve"> ع</w:t>
      </w:r>
      <w:r>
        <w:rPr>
          <w:rFonts w:ascii="Traditional Arabic" w:hAnsi="Traditional Arabic" w:hint="cs"/>
          <w:sz w:val="32"/>
          <w:szCs w:val="32"/>
          <w:rtl/>
        </w:rPr>
        <w:t>ِ</w:t>
      </w:r>
      <w:r w:rsidRPr="004A7AB4">
        <w:rPr>
          <w:rFonts w:ascii="Traditional Arabic" w:hAnsi="Traditional Arabic"/>
          <w:sz w:val="32"/>
          <w:szCs w:val="32"/>
          <w:rtl/>
        </w:rPr>
        <w:t>لباء بن أحمر اليشكري</w:t>
      </w:r>
      <w:r w:rsidRPr="004A7AB4">
        <w:rPr>
          <w:rFonts w:ascii="Traditional Arabic" w:hAnsi="Traditional Arabic" w:hint="cs"/>
          <w:sz w:val="32"/>
          <w:szCs w:val="32"/>
          <w:rtl/>
        </w:rPr>
        <w:t>,</w:t>
      </w:r>
      <w:r w:rsidRPr="004A7AB4">
        <w:rPr>
          <w:rFonts w:ascii="Traditional Arabic" w:hAnsi="Traditional Arabic"/>
          <w:sz w:val="32"/>
          <w:szCs w:val="32"/>
          <w:rtl/>
        </w:rPr>
        <w:t xml:space="preserve"> الخراساني، له حروف من الشواذ تنسب إليه، وقد وثقوه، عرض على شهر بن حوشب وعكرمة مولى ابن عبا</w:t>
      </w:r>
      <w:r w:rsidRPr="004A7AB4">
        <w:rPr>
          <w:rFonts w:ascii="Traditional Arabic" w:hAnsi="Traditional Arabic" w:hint="cs"/>
          <w:sz w:val="32"/>
          <w:szCs w:val="32"/>
          <w:rtl/>
        </w:rPr>
        <w:t>س</w:t>
      </w:r>
      <w:r w:rsidRPr="004A7AB4">
        <w:rPr>
          <w:rFonts w:ascii="Traditional Arabic" w:hAnsi="Traditional Arabic" w:hint="cs"/>
          <w:sz w:val="32"/>
          <w:szCs w:val="32"/>
        </w:rPr>
        <w:sym w:font="AGA Arabesque" w:char="F074"/>
      </w:r>
      <w:r w:rsidRPr="004A7AB4">
        <w:rPr>
          <w:rFonts w:ascii="Traditional Arabic" w:hAnsi="Traditional Arabic" w:hint="cs"/>
          <w:sz w:val="32"/>
          <w:szCs w:val="32"/>
          <w:rtl/>
        </w:rPr>
        <w:t>,</w:t>
      </w:r>
      <w:r w:rsidRPr="004A7AB4">
        <w:rPr>
          <w:rFonts w:ascii="Traditional Arabic" w:hAnsi="Traditional Arabic"/>
          <w:sz w:val="44"/>
          <w:szCs w:val="44"/>
          <w:rtl/>
          <w:lang w:eastAsia="en-US"/>
        </w:rPr>
        <w:t xml:space="preserve"> </w:t>
      </w:r>
      <w:r w:rsidRPr="004A7AB4">
        <w:rPr>
          <w:rFonts w:ascii="Traditional Arabic" w:hAnsi="Traditional Arabic"/>
          <w:sz w:val="32"/>
          <w:szCs w:val="32"/>
          <w:rtl/>
        </w:rPr>
        <w:t>وعِلباء بكسر العين</w:t>
      </w:r>
      <w:r>
        <w:rPr>
          <w:rFonts w:ascii="Traditional Arabic" w:hAnsi="Traditional Arabic" w:hint="cs"/>
          <w:sz w:val="32"/>
          <w:szCs w:val="32"/>
          <w:rtl/>
        </w:rPr>
        <w:t>, (ت101-110ه).</w:t>
      </w:r>
      <w:r w:rsidRPr="004A7AB4">
        <w:rPr>
          <w:rFonts w:ascii="Traditional Arabic" w:hAnsi="Traditional Arabic" w:hint="cs"/>
          <w:sz w:val="32"/>
          <w:szCs w:val="32"/>
          <w:rtl/>
        </w:rPr>
        <w:t xml:space="preserve"> </w:t>
      </w:r>
      <w:r w:rsidRPr="004A7AB4">
        <w:rPr>
          <w:rFonts w:ascii="Traditional Arabic" w:hAnsi="Traditional Arabic"/>
          <w:sz w:val="32"/>
          <w:szCs w:val="32"/>
          <w:rtl/>
        </w:rPr>
        <w:t>انظر:</w:t>
      </w:r>
      <w:r w:rsidRPr="004A7AB4">
        <w:rPr>
          <w:rFonts w:ascii="Traditional Arabic" w:hAnsi="Traditional Arabic" w:hint="cs"/>
          <w:sz w:val="32"/>
          <w:szCs w:val="32"/>
          <w:rtl/>
        </w:rPr>
        <w:t xml:space="preserve"> </w:t>
      </w:r>
      <w:r>
        <w:rPr>
          <w:rFonts w:ascii="Traditional Arabic" w:hAnsi="Traditional Arabic" w:hint="cs"/>
          <w:sz w:val="32"/>
          <w:szCs w:val="32"/>
          <w:rtl/>
        </w:rPr>
        <w:t xml:space="preserve">تاريخ الاسلام للذهبي (3/112), </w:t>
      </w:r>
      <w:r w:rsidRPr="004A7AB4">
        <w:rPr>
          <w:rFonts w:ascii="Traditional Arabic" w:hAnsi="Traditional Arabic" w:hint="cs"/>
          <w:sz w:val="32"/>
          <w:szCs w:val="32"/>
          <w:rtl/>
        </w:rPr>
        <w:t xml:space="preserve">غاية </w:t>
      </w:r>
      <w:r>
        <w:rPr>
          <w:rFonts w:ascii="Traditional Arabic" w:hAnsi="Traditional Arabic"/>
          <w:sz w:val="32"/>
          <w:szCs w:val="32"/>
          <w:rtl/>
        </w:rPr>
        <w:t xml:space="preserve"> </w:t>
      </w:r>
      <w:r w:rsidRPr="004A7AB4">
        <w:rPr>
          <w:rFonts w:ascii="Traditional Arabic" w:hAnsi="Traditional Arabic" w:hint="cs"/>
          <w:sz w:val="32"/>
          <w:szCs w:val="32"/>
          <w:rtl/>
        </w:rPr>
        <w:t>النهاية (1/717).</w:t>
      </w:r>
    </w:p>
  </w:footnote>
  <w:footnote w:id="1692">
    <w:p w:rsidR="003F128F" w:rsidRPr="0063736E" w:rsidRDefault="003F128F" w:rsidP="00885058">
      <w:pPr>
        <w:pStyle w:val="af3"/>
        <w:rPr>
          <w:rFonts w:ascii="Traditional Arabic" w:hAnsi="Traditional Arabic"/>
          <w:sz w:val="32"/>
          <w:szCs w:val="32"/>
        </w:rPr>
      </w:pPr>
      <w:r w:rsidRPr="0063736E">
        <w:rPr>
          <w:rFonts w:ascii="Traditional Arabic" w:hAnsi="Traditional Arabic"/>
          <w:sz w:val="32"/>
          <w:szCs w:val="32"/>
          <w:rtl/>
        </w:rPr>
        <w:t>(</w:t>
      </w:r>
      <w:r w:rsidRPr="0063736E">
        <w:rPr>
          <w:rStyle w:val="ae"/>
          <w:rFonts w:ascii="Traditional Arabic" w:hAnsi="Traditional Arabic"/>
          <w:sz w:val="32"/>
          <w:szCs w:val="32"/>
          <w:vertAlign w:val="baseline"/>
        </w:rPr>
        <w:footnoteRef/>
      </w:r>
      <w:r w:rsidRPr="0063736E">
        <w:rPr>
          <w:rFonts w:ascii="Traditional Arabic" w:hAnsi="Traditional Arabic"/>
          <w:sz w:val="32"/>
          <w:szCs w:val="32"/>
          <w:rtl/>
        </w:rPr>
        <w:t>)</w:t>
      </w:r>
      <w:r>
        <w:rPr>
          <w:rFonts w:ascii="Traditional Arabic" w:hAnsi="Traditional Arabic" w:hint="cs"/>
          <w:sz w:val="32"/>
          <w:szCs w:val="32"/>
          <w:rtl/>
        </w:rPr>
        <w:t xml:space="preserve"> انظر:</w:t>
      </w:r>
      <w:r w:rsidRPr="0063736E">
        <w:rPr>
          <w:rFonts w:ascii="Traditional Arabic" w:hAnsi="Traditional Arabic"/>
          <w:sz w:val="32"/>
          <w:szCs w:val="32"/>
          <w:rtl/>
        </w:rPr>
        <w:t xml:space="preserve"> </w:t>
      </w:r>
      <w:r w:rsidRPr="00D42F3F">
        <w:rPr>
          <w:rFonts w:ascii="Traditional Arabic" w:hAnsi="Traditional Arabic"/>
          <w:sz w:val="32"/>
          <w:szCs w:val="32"/>
          <w:rtl/>
        </w:rPr>
        <w:t>معاني القرآن وإعرابه (3/303)</w:t>
      </w:r>
      <w:r>
        <w:rPr>
          <w:rFonts w:ascii="Traditional Arabic" w:hAnsi="Traditional Arabic" w:hint="cs"/>
          <w:sz w:val="32"/>
          <w:szCs w:val="32"/>
          <w:rtl/>
        </w:rPr>
        <w:t>,</w:t>
      </w:r>
      <w:r w:rsidRPr="00E50415">
        <w:rPr>
          <w:rFonts w:ascii="Traditional Arabic" w:hAnsi="Traditional Arabic" w:hint="cs"/>
          <w:sz w:val="32"/>
          <w:szCs w:val="32"/>
          <w:rtl/>
        </w:rPr>
        <w:t xml:space="preserve"> </w:t>
      </w:r>
      <w:r>
        <w:rPr>
          <w:rFonts w:ascii="Traditional Arabic" w:hAnsi="Traditional Arabic" w:hint="cs"/>
          <w:sz w:val="32"/>
          <w:szCs w:val="32"/>
          <w:rtl/>
        </w:rPr>
        <w:t>شواذ القراءة (ص142), البحر المحيط (7/209)</w:t>
      </w:r>
      <w:r w:rsidRPr="00D42F3F">
        <w:rPr>
          <w:rFonts w:ascii="Traditional Arabic" w:hAnsi="Traditional Arabic"/>
          <w:sz w:val="32"/>
          <w:szCs w:val="32"/>
          <w:rtl/>
        </w:rPr>
        <w:t>.</w:t>
      </w:r>
    </w:p>
  </w:footnote>
  <w:footnote w:id="1693">
    <w:p w:rsidR="003F128F" w:rsidRPr="0063736E" w:rsidRDefault="003F128F" w:rsidP="00885058">
      <w:pPr>
        <w:pStyle w:val="af3"/>
        <w:rPr>
          <w:rFonts w:ascii="Traditional Arabic" w:hAnsi="Traditional Arabic"/>
          <w:sz w:val="32"/>
          <w:szCs w:val="32"/>
        </w:rPr>
      </w:pPr>
      <w:r w:rsidRPr="0063736E">
        <w:rPr>
          <w:rFonts w:ascii="Traditional Arabic" w:hAnsi="Traditional Arabic"/>
          <w:sz w:val="32"/>
          <w:szCs w:val="32"/>
          <w:rtl/>
        </w:rPr>
        <w:t>(</w:t>
      </w:r>
      <w:r w:rsidRPr="0063736E">
        <w:rPr>
          <w:rStyle w:val="ae"/>
          <w:rFonts w:ascii="Traditional Arabic" w:hAnsi="Traditional Arabic"/>
          <w:sz w:val="32"/>
          <w:szCs w:val="32"/>
          <w:vertAlign w:val="baseline"/>
        </w:rPr>
        <w:footnoteRef/>
      </w:r>
      <w:r>
        <w:rPr>
          <w:rFonts w:ascii="Traditional Arabic" w:hAnsi="Traditional Arabic"/>
          <w:sz w:val="32"/>
          <w:szCs w:val="32"/>
          <w:rtl/>
        </w:rPr>
        <w:t>)</w:t>
      </w:r>
      <w:r w:rsidRPr="0063736E">
        <w:rPr>
          <w:rFonts w:ascii="Traditional Arabic" w:hAnsi="Traditional Arabic"/>
          <w:sz w:val="32"/>
          <w:szCs w:val="32"/>
          <w:rtl/>
        </w:rPr>
        <w:t xml:space="preserve"> </w:t>
      </w:r>
      <w:r w:rsidRPr="00D42F3F">
        <w:rPr>
          <w:rFonts w:ascii="Traditional Arabic" w:hAnsi="Traditional Arabic"/>
          <w:sz w:val="32"/>
          <w:szCs w:val="32"/>
          <w:rtl/>
        </w:rPr>
        <w:t>انظر: معاني القرآن وإعرابه (3/303).</w:t>
      </w:r>
    </w:p>
  </w:footnote>
  <w:footnote w:id="1694">
    <w:p w:rsidR="003F128F" w:rsidRPr="0063736E" w:rsidRDefault="003F128F" w:rsidP="00885058">
      <w:pPr>
        <w:pStyle w:val="af3"/>
        <w:rPr>
          <w:rFonts w:ascii="Traditional Arabic" w:hAnsi="Traditional Arabic"/>
          <w:sz w:val="32"/>
          <w:szCs w:val="32"/>
        </w:rPr>
      </w:pPr>
      <w:r w:rsidRPr="0063736E">
        <w:rPr>
          <w:rFonts w:ascii="Traditional Arabic" w:hAnsi="Traditional Arabic"/>
          <w:sz w:val="32"/>
          <w:szCs w:val="32"/>
          <w:rtl/>
        </w:rPr>
        <w:t>(</w:t>
      </w:r>
      <w:r w:rsidRPr="0063736E">
        <w:rPr>
          <w:rStyle w:val="ae"/>
          <w:rFonts w:ascii="Traditional Arabic" w:hAnsi="Traditional Arabic"/>
          <w:sz w:val="32"/>
          <w:szCs w:val="32"/>
          <w:vertAlign w:val="baseline"/>
        </w:rPr>
        <w:footnoteRef/>
      </w:r>
      <w:r w:rsidRPr="0063736E">
        <w:rPr>
          <w:rFonts w:ascii="Traditional Arabic" w:hAnsi="Traditional Arabic"/>
          <w:sz w:val="32"/>
          <w:szCs w:val="32"/>
          <w:rtl/>
        </w:rPr>
        <w:t>)</w:t>
      </w:r>
      <w:r>
        <w:rPr>
          <w:rFonts w:ascii="Traditional Arabic" w:hAnsi="Traditional Arabic" w:hint="cs"/>
          <w:sz w:val="32"/>
          <w:szCs w:val="32"/>
          <w:rtl/>
        </w:rPr>
        <w:t xml:space="preserve"> انظر: مختصر الشواذ (ص84),</w:t>
      </w:r>
      <w:r w:rsidRPr="0063736E">
        <w:rPr>
          <w:rFonts w:ascii="Traditional Arabic" w:hAnsi="Traditional Arabic"/>
          <w:sz w:val="32"/>
          <w:szCs w:val="32"/>
          <w:rtl/>
        </w:rPr>
        <w:t xml:space="preserve"> </w:t>
      </w:r>
      <w:r>
        <w:rPr>
          <w:rFonts w:ascii="Traditional Arabic" w:hAnsi="Traditional Arabic" w:hint="cs"/>
          <w:sz w:val="32"/>
          <w:szCs w:val="32"/>
          <w:rtl/>
        </w:rPr>
        <w:t>الكامل في القراءات العشر (ص593).</w:t>
      </w:r>
    </w:p>
  </w:footnote>
  <w:footnote w:id="1695">
    <w:p w:rsidR="003F128F" w:rsidRPr="0063736E" w:rsidRDefault="003F128F" w:rsidP="00885058">
      <w:pPr>
        <w:pStyle w:val="af3"/>
        <w:rPr>
          <w:rFonts w:ascii="Traditional Arabic" w:hAnsi="Traditional Arabic"/>
          <w:sz w:val="32"/>
          <w:szCs w:val="32"/>
        </w:rPr>
      </w:pPr>
      <w:r w:rsidRPr="0063736E">
        <w:rPr>
          <w:rFonts w:ascii="Traditional Arabic" w:hAnsi="Traditional Arabic"/>
          <w:sz w:val="32"/>
          <w:szCs w:val="32"/>
          <w:rtl/>
        </w:rPr>
        <w:t>(</w:t>
      </w:r>
      <w:r w:rsidRPr="0063736E">
        <w:rPr>
          <w:rStyle w:val="ae"/>
          <w:rFonts w:ascii="Traditional Arabic" w:hAnsi="Traditional Arabic"/>
          <w:sz w:val="32"/>
          <w:szCs w:val="32"/>
          <w:vertAlign w:val="baseline"/>
        </w:rPr>
        <w:footnoteRef/>
      </w:r>
      <w:r>
        <w:rPr>
          <w:rFonts w:ascii="Traditional Arabic" w:hAnsi="Traditional Arabic"/>
          <w:sz w:val="32"/>
          <w:szCs w:val="32"/>
          <w:rtl/>
        </w:rPr>
        <w:t>)</w:t>
      </w:r>
      <w:r>
        <w:rPr>
          <w:rFonts w:ascii="Traditional Arabic" w:hAnsi="Traditional Arabic" w:hint="cs"/>
          <w:sz w:val="32"/>
          <w:szCs w:val="32"/>
          <w:rtl/>
        </w:rPr>
        <w:t xml:space="preserve"> انظر: مختصر الشواذ (ص84), شواذ القراءة (ص142).</w:t>
      </w:r>
    </w:p>
  </w:footnote>
  <w:footnote w:id="1696">
    <w:p w:rsidR="003F128F" w:rsidRPr="0063736E" w:rsidRDefault="003F128F" w:rsidP="00885058">
      <w:pPr>
        <w:pStyle w:val="af3"/>
        <w:rPr>
          <w:rFonts w:ascii="Traditional Arabic" w:hAnsi="Traditional Arabic"/>
          <w:sz w:val="32"/>
          <w:szCs w:val="32"/>
        </w:rPr>
      </w:pPr>
      <w:r w:rsidRPr="00224C1F">
        <w:rPr>
          <w:rFonts w:ascii="Traditional Arabic" w:hAnsi="Traditional Arabic"/>
          <w:sz w:val="32"/>
          <w:szCs w:val="32"/>
          <w:rtl/>
        </w:rPr>
        <w:t>(</w:t>
      </w:r>
      <w:r w:rsidRPr="00224C1F">
        <w:rPr>
          <w:rStyle w:val="ae"/>
          <w:rFonts w:ascii="Traditional Arabic" w:hAnsi="Traditional Arabic"/>
          <w:sz w:val="32"/>
          <w:szCs w:val="32"/>
          <w:vertAlign w:val="baseline"/>
        </w:rPr>
        <w:footnoteRef/>
      </w:r>
      <w:r w:rsidRPr="00224C1F">
        <w:rPr>
          <w:rFonts w:ascii="Traditional Arabic" w:hAnsi="Traditional Arabic"/>
          <w:sz w:val="32"/>
          <w:szCs w:val="32"/>
          <w:rtl/>
        </w:rPr>
        <w:t xml:space="preserve">) </w:t>
      </w:r>
      <w:r w:rsidRPr="00224C1F">
        <w:rPr>
          <w:rFonts w:ascii="Traditional Arabic" w:hAnsi="Traditional Arabic" w:hint="cs"/>
          <w:sz w:val="32"/>
          <w:szCs w:val="32"/>
          <w:rtl/>
        </w:rPr>
        <w:t>هو التابعي الامام</w:t>
      </w:r>
      <w:r>
        <w:rPr>
          <w:rFonts w:ascii="Traditional Arabic" w:hAnsi="Traditional Arabic" w:hint="cs"/>
          <w:sz w:val="32"/>
          <w:szCs w:val="32"/>
          <w:rtl/>
        </w:rPr>
        <w:t>, أبو عثمان,</w:t>
      </w:r>
      <w:r w:rsidRPr="00224C1F">
        <w:rPr>
          <w:rFonts w:ascii="Traditional Arabic" w:hAnsi="Traditional Arabic" w:hint="cs"/>
          <w:sz w:val="32"/>
          <w:szCs w:val="32"/>
          <w:rtl/>
        </w:rPr>
        <w:t xml:space="preserve"> </w:t>
      </w:r>
      <w:r>
        <w:rPr>
          <w:rFonts w:ascii="Traditional Arabic" w:hAnsi="Traditional Arabic"/>
          <w:sz w:val="32"/>
          <w:szCs w:val="32"/>
          <w:rtl/>
        </w:rPr>
        <w:t>عبدالرحمن بن</w:t>
      </w:r>
      <w:r w:rsidRPr="00224C1F">
        <w:rPr>
          <w:rFonts w:ascii="Traditional Arabic" w:hAnsi="Traditional Arabic"/>
          <w:sz w:val="32"/>
          <w:szCs w:val="32"/>
          <w:rtl/>
        </w:rPr>
        <w:t xml:space="preserve"> </w:t>
      </w:r>
      <w:r>
        <w:rPr>
          <w:rFonts w:ascii="Traditional Arabic" w:hAnsi="Traditional Arabic"/>
          <w:sz w:val="32"/>
          <w:szCs w:val="32"/>
          <w:rtl/>
        </w:rPr>
        <w:t>مُلٍّ -وقيل: ابن مَلِيٍّ- ابن</w:t>
      </w:r>
      <w:r w:rsidRPr="00224C1F">
        <w:rPr>
          <w:rFonts w:ascii="Traditional Arabic" w:hAnsi="Traditional Arabic"/>
          <w:sz w:val="32"/>
          <w:szCs w:val="32"/>
          <w:rtl/>
        </w:rPr>
        <w:t xml:space="preserve"> </w:t>
      </w:r>
      <w:r>
        <w:rPr>
          <w:rFonts w:ascii="Traditional Arabic" w:hAnsi="Traditional Arabic"/>
          <w:sz w:val="32"/>
          <w:szCs w:val="32"/>
          <w:rtl/>
        </w:rPr>
        <w:t>عمرو بن</w:t>
      </w:r>
      <w:r w:rsidRPr="00224C1F">
        <w:rPr>
          <w:rFonts w:ascii="Traditional Arabic" w:hAnsi="Traditional Arabic"/>
          <w:sz w:val="32"/>
          <w:szCs w:val="32"/>
          <w:rtl/>
        </w:rPr>
        <w:t xml:space="preserve"> عَدِيٍّ</w:t>
      </w:r>
      <w:r w:rsidRPr="00224C1F">
        <w:rPr>
          <w:rFonts w:ascii="Traditional Arabic" w:hAnsi="Traditional Arabic"/>
          <w:color w:val="800000"/>
          <w:sz w:val="44"/>
          <w:szCs w:val="44"/>
          <w:rtl/>
          <w:lang w:eastAsia="en-US"/>
        </w:rPr>
        <w:t xml:space="preserve"> </w:t>
      </w:r>
      <w:r w:rsidRPr="00224C1F">
        <w:rPr>
          <w:rFonts w:ascii="Traditional Arabic" w:hAnsi="Traditional Arabic"/>
          <w:sz w:val="32"/>
          <w:szCs w:val="32"/>
          <w:rtl/>
        </w:rPr>
        <w:t>النَّهْدِيّ</w:t>
      </w:r>
      <w:r w:rsidRPr="00224C1F">
        <w:rPr>
          <w:rFonts w:ascii="Traditional Arabic" w:hAnsi="Traditional Arabic" w:hint="cs"/>
          <w:sz w:val="32"/>
          <w:szCs w:val="32"/>
          <w:rtl/>
        </w:rPr>
        <w:t>,</w:t>
      </w:r>
      <w:r w:rsidRPr="00224C1F">
        <w:rPr>
          <w:rFonts w:ascii="Traditional Arabic" w:hAnsi="Traditional Arabic"/>
          <w:sz w:val="32"/>
          <w:szCs w:val="32"/>
          <w:rtl/>
        </w:rPr>
        <w:t xml:space="preserve"> الكوفي،</w:t>
      </w:r>
      <w:r w:rsidRPr="00224C1F">
        <w:rPr>
          <w:rFonts w:ascii="Traditional Arabic" w:hAnsi="Traditional Arabic"/>
          <w:b/>
          <w:bCs/>
          <w:sz w:val="32"/>
          <w:szCs w:val="32"/>
          <w:rtl/>
        </w:rPr>
        <w:t xml:space="preserve"> </w:t>
      </w:r>
      <w:r>
        <w:rPr>
          <w:rFonts w:ascii="Traditional Arabic" w:hAnsi="Traditional Arabic"/>
          <w:sz w:val="32"/>
          <w:szCs w:val="32"/>
          <w:rtl/>
        </w:rPr>
        <w:t>الحجة، شيخ الوقت،</w:t>
      </w:r>
      <w:r w:rsidRPr="00224C1F">
        <w:rPr>
          <w:rFonts w:ascii="Traditional Arabic" w:hAnsi="Traditional Arabic"/>
          <w:sz w:val="32"/>
          <w:szCs w:val="32"/>
          <w:rtl/>
        </w:rPr>
        <w:t xml:space="preserve"> </w:t>
      </w:r>
      <w:r>
        <w:rPr>
          <w:rFonts w:ascii="Traditional Arabic" w:hAnsi="Traditional Arabic"/>
          <w:sz w:val="32"/>
          <w:szCs w:val="32"/>
          <w:rtl/>
        </w:rPr>
        <w:t>مُخَضْرَم، مُعَمَّر، أدرك الجاهلية والإسلام</w:t>
      </w:r>
      <w:r>
        <w:rPr>
          <w:rFonts w:ascii="Traditional Arabic" w:hAnsi="Traditional Arabic" w:hint="cs"/>
          <w:sz w:val="32"/>
          <w:szCs w:val="32"/>
          <w:rtl/>
        </w:rPr>
        <w:t>,</w:t>
      </w:r>
      <w:r w:rsidRPr="00224C1F">
        <w:rPr>
          <w:rFonts w:ascii="Traditional Arabic" w:hAnsi="Traditional Arabic"/>
          <w:sz w:val="32"/>
          <w:szCs w:val="32"/>
          <w:rtl/>
        </w:rPr>
        <w:t xml:space="preserve"> (ت</w:t>
      </w:r>
      <w:r>
        <w:rPr>
          <w:rFonts w:ascii="Traditional Arabic" w:hAnsi="Traditional Arabic" w:hint="cs"/>
          <w:sz w:val="32"/>
          <w:szCs w:val="32"/>
          <w:rtl/>
        </w:rPr>
        <w:t>100</w:t>
      </w:r>
      <w:r w:rsidRPr="00224C1F">
        <w:rPr>
          <w:rFonts w:ascii="Traditional Arabic" w:hAnsi="Traditional Arabic"/>
          <w:sz w:val="32"/>
          <w:szCs w:val="32"/>
          <w:rtl/>
        </w:rPr>
        <w:t xml:space="preserve">ه) انظر: </w:t>
      </w:r>
      <w:r>
        <w:rPr>
          <w:rFonts w:ascii="Traditional Arabic" w:hAnsi="Traditional Arabic" w:hint="cs"/>
          <w:sz w:val="32"/>
          <w:szCs w:val="32"/>
          <w:rtl/>
        </w:rPr>
        <w:t>تهذيب الكمال (17/424),</w:t>
      </w:r>
      <w:r w:rsidRPr="00224C1F">
        <w:rPr>
          <w:rFonts w:ascii="Traditional Arabic" w:hAnsi="Traditional Arabic"/>
          <w:sz w:val="32"/>
          <w:szCs w:val="32"/>
          <w:rtl/>
        </w:rPr>
        <w:t xml:space="preserve"> سير أعلام النبلاء (</w:t>
      </w:r>
      <w:r>
        <w:rPr>
          <w:rFonts w:ascii="Traditional Arabic" w:hAnsi="Traditional Arabic" w:hint="cs"/>
          <w:sz w:val="32"/>
          <w:szCs w:val="32"/>
          <w:rtl/>
        </w:rPr>
        <w:t>4/175</w:t>
      </w:r>
      <w:r>
        <w:rPr>
          <w:rFonts w:ascii="Traditional Arabic" w:hAnsi="Traditional Arabic"/>
          <w:sz w:val="32"/>
          <w:szCs w:val="32"/>
          <w:rtl/>
        </w:rPr>
        <w:t xml:space="preserve">). </w:t>
      </w:r>
    </w:p>
  </w:footnote>
  <w:footnote w:id="1697">
    <w:p w:rsidR="003F128F" w:rsidRPr="00E50415" w:rsidRDefault="003F128F" w:rsidP="00885058">
      <w:pPr>
        <w:pStyle w:val="af3"/>
        <w:rPr>
          <w:rFonts w:ascii="Traditional Arabic" w:hAnsi="Traditional Arabic"/>
          <w:sz w:val="32"/>
          <w:szCs w:val="32"/>
        </w:rPr>
      </w:pPr>
      <w:r w:rsidRPr="00E50415">
        <w:rPr>
          <w:rFonts w:ascii="Traditional Arabic" w:hAnsi="Traditional Arabic"/>
          <w:sz w:val="32"/>
          <w:szCs w:val="32"/>
          <w:rtl/>
        </w:rPr>
        <w:t>(</w:t>
      </w:r>
      <w:r w:rsidRPr="00E50415">
        <w:rPr>
          <w:rStyle w:val="ae"/>
          <w:rFonts w:ascii="Traditional Arabic" w:hAnsi="Traditional Arabic"/>
          <w:sz w:val="32"/>
          <w:szCs w:val="32"/>
          <w:vertAlign w:val="baseline"/>
        </w:rPr>
        <w:footnoteRef/>
      </w:r>
      <w:r w:rsidRPr="00E50415">
        <w:rPr>
          <w:rFonts w:ascii="Traditional Arabic" w:hAnsi="Traditional Arabic"/>
          <w:sz w:val="32"/>
          <w:szCs w:val="32"/>
          <w:rtl/>
        </w:rPr>
        <w:t>)</w:t>
      </w:r>
      <w:r>
        <w:rPr>
          <w:rFonts w:ascii="Traditional Arabic" w:hAnsi="Traditional Arabic" w:hint="cs"/>
          <w:sz w:val="32"/>
          <w:szCs w:val="32"/>
          <w:rtl/>
        </w:rPr>
        <w:t xml:space="preserve"> </w:t>
      </w:r>
      <w:r w:rsidRPr="00E50415">
        <w:rPr>
          <w:rFonts w:ascii="Traditional Arabic" w:hAnsi="Traditional Arabic"/>
          <w:sz w:val="32"/>
          <w:szCs w:val="32"/>
          <w:rtl/>
        </w:rPr>
        <w:t xml:space="preserve">انظر: مختصر الشواذ (ص84), معاني القرآن وإعرابه (3/303) شواذ القراءة (ص142). </w:t>
      </w:r>
    </w:p>
  </w:footnote>
  <w:footnote w:id="1698">
    <w:p w:rsidR="003F128F" w:rsidRPr="007B2C3A" w:rsidRDefault="003F128F" w:rsidP="00885058">
      <w:pPr>
        <w:pStyle w:val="af3"/>
        <w:rPr>
          <w:rFonts w:ascii="Traditional Arabic" w:hAnsi="Traditional Arabic"/>
          <w:sz w:val="32"/>
          <w:szCs w:val="32"/>
        </w:rPr>
      </w:pPr>
      <w:r w:rsidRPr="007B2C3A">
        <w:rPr>
          <w:rFonts w:ascii="Traditional Arabic" w:hAnsi="Traditional Arabic"/>
          <w:sz w:val="32"/>
          <w:szCs w:val="32"/>
          <w:rtl/>
        </w:rPr>
        <w:t>(</w:t>
      </w:r>
      <w:r w:rsidRPr="007B2C3A">
        <w:rPr>
          <w:rStyle w:val="ae"/>
          <w:rFonts w:ascii="Traditional Arabic" w:hAnsi="Traditional Arabic"/>
          <w:sz w:val="32"/>
          <w:szCs w:val="32"/>
          <w:vertAlign w:val="baseline"/>
        </w:rPr>
        <w:footnoteRef/>
      </w:r>
      <w:r w:rsidRPr="007B2C3A">
        <w:rPr>
          <w:rFonts w:ascii="Traditional Arabic" w:hAnsi="Traditional Arabic"/>
          <w:sz w:val="32"/>
          <w:szCs w:val="32"/>
          <w:rtl/>
        </w:rPr>
        <w:t>) في (ك): [فيها</w:t>
      </w:r>
      <w:r>
        <w:rPr>
          <w:rFonts w:ascii="Traditional Arabic" w:hAnsi="Traditional Arabic" w:hint="cs"/>
          <w:sz w:val="32"/>
          <w:szCs w:val="32"/>
          <w:rtl/>
        </w:rPr>
        <w:t xml:space="preserve"> وجهان</w:t>
      </w:r>
      <w:r w:rsidRPr="007B2C3A">
        <w:rPr>
          <w:rFonts w:ascii="Traditional Arabic" w:hAnsi="Traditional Arabic"/>
          <w:sz w:val="32"/>
          <w:szCs w:val="32"/>
          <w:rtl/>
        </w:rPr>
        <w:t>].</w:t>
      </w:r>
    </w:p>
  </w:footnote>
  <w:footnote w:id="1699">
    <w:p w:rsidR="003F128F" w:rsidRPr="00E50415" w:rsidRDefault="003F128F" w:rsidP="00885058">
      <w:pPr>
        <w:pStyle w:val="af3"/>
        <w:rPr>
          <w:rFonts w:ascii="Traditional Arabic" w:hAnsi="Traditional Arabic"/>
          <w:sz w:val="32"/>
          <w:szCs w:val="32"/>
        </w:rPr>
      </w:pPr>
      <w:r w:rsidRPr="00E50415">
        <w:rPr>
          <w:rFonts w:ascii="Traditional Arabic" w:hAnsi="Traditional Arabic"/>
          <w:sz w:val="32"/>
          <w:szCs w:val="32"/>
          <w:rtl/>
        </w:rPr>
        <w:t>(</w:t>
      </w:r>
      <w:r w:rsidRPr="00E50415">
        <w:rPr>
          <w:rStyle w:val="ae"/>
          <w:rFonts w:ascii="Traditional Arabic" w:hAnsi="Traditional Arabic"/>
          <w:sz w:val="32"/>
          <w:szCs w:val="32"/>
          <w:vertAlign w:val="baseline"/>
        </w:rPr>
        <w:footnoteRef/>
      </w:r>
      <w:r w:rsidRPr="00E50415">
        <w:rPr>
          <w:rFonts w:ascii="Traditional Arabic" w:hAnsi="Traditional Arabic"/>
          <w:sz w:val="32"/>
          <w:szCs w:val="32"/>
          <w:rtl/>
        </w:rPr>
        <w:t>) انظر: معاني القرآن وإعرابه (3/303).</w:t>
      </w:r>
    </w:p>
  </w:footnote>
  <w:footnote w:id="1700">
    <w:p w:rsidR="003F128F" w:rsidRPr="00E50415" w:rsidRDefault="003F128F" w:rsidP="00885058">
      <w:pPr>
        <w:pStyle w:val="af3"/>
        <w:rPr>
          <w:rFonts w:ascii="Traditional Arabic" w:hAnsi="Traditional Arabic"/>
          <w:sz w:val="32"/>
          <w:szCs w:val="32"/>
        </w:rPr>
      </w:pPr>
      <w:r w:rsidRPr="00E50415">
        <w:rPr>
          <w:rFonts w:ascii="Traditional Arabic" w:hAnsi="Traditional Arabic"/>
          <w:sz w:val="32"/>
          <w:szCs w:val="32"/>
          <w:rtl/>
        </w:rPr>
        <w:t>(</w:t>
      </w:r>
      <w:r w:rsidRPr="00E50415">
        <w:rPr>
          <w:rStyle w:val="ae"/>
          <w:rFonts w:ascii="Traditional Arabic" w:hAnsi="Traditional Arabic"/>
          <w:sz w:val="32"/>
          <w:szCs w:val="32"/>
          <w:vertAlign w:val="baseline"/>
        </w:rPr>
        <w:footnoteRef/>
      </w:r>
      <w:r w:rsidRPr="00E50415">
        <w:rPr>
          <w:rFonts w:ascii="Traditional Arabic" w:hAnsi="Traditional Arabic"/>
          <w:sz w:val="32"/>
          <w:szCs w:val="32"/>
          <w:rtl/>
        </w:rPr>
        <w:t>)</w:t>
      </w:r>
      <w:r>
        <w:rPr>
          <w:rFonts w:ascii="Traditional Arabic" w:hAnsi="Traditional Arabic" w:hint="cs"/>
          <w:sz w:val="32"/>
          <w:szCs w:val="32"/>
          <w:rtl/>
        </w:rPr>
        <w:t xml:space="preserve"> </w:t>
      </w:r>
      <w:r w:rsidRPr="00E50415">
        <w:rPr>
          <w:rFonts w:ascii="Traditional Arabic" w:hAnsi="Traditional Arabic"/>
          <w:sz w:val="32"/>
          <w:szCs w:val="32"/>
          <w:rtl/>
        </w:rPr>
        <w:t>انظر: السبعة في القراءات (ص39</w:t>
      </w:r>
      <w:r>
        <w:rPr>
          <w:rFonts w:ascii="Traditional Arabic" w:hAnsi="Traditional Arabic" w:hint="cs"/>
          <w:sz w:val="32"/>
          <w:szCs w:val="32"/>
          <w:rtl/>
        </w:rPr>
        <w:t>6</w:t>
      </w:r>
      <w:r w:rsidRPr="00E50415">
        <w:rPr>
          <w:rFonts w:ascii="Traditional Arabic" w:hAnsi="Traditional Arabic"/>
          <w:sz w:val="32"/>
          <w:szCs w:val="32"/>
          <w:rtl/>
        </w:rPr>
        <w:t xml:space="preserve">), معاني القراءات (2/116).    </w:t>
      </w:r>
    </w:p>
  </w:footnote>
  <w:footnote w:id="1701">
    <w:p w:rsidR="003F128F" w:rsidRPr="00E50415" w:rsidRDefault="003F128F" w:rsidP="00885058">
      <w:pPr>
        <w:pStyle w:val="af3"/>
        <w:rPr>
          <w:rFonts w:ascii="Traditional Arabic" w:hAnsi="Traditional Arabic"/>
          <w:sz w:val="32"/>
          <w:szCs w:val="32"/>
        </w:rPr>
      </w:pPr>
      <w:r w:rsidRPr="00E50415">
        <w:rPr>
          <w:rFonts w:ascii="Traditional Arabic" w:hAnsi="Traditional Arabic"/>
          <w:sz w:val="32"/>
          <w:szCs w:val="32"/>
          <w:rtl/>
        </w:rPr>
        <w:t>(</w:t>
      </w:r>
      <w:r w:rsidRPr="00E50415">
        <w:rPr>
          <w:rStyle w:val="ae"/>
          <w:rFonts w:ascii="Traditional Arabic" w:hAnsi="Traditional Arabic"/>
          <w:sz w:val="32"/>
          <w:szCs w:val="32"/>
          <w:vertAlign w:val="baseline"/>
        </w:rPr>
        <w:footnoteRef/>
      </w:r>
      <w:r w:rsidRPr="00E50415">
        <w:rPr>
          <w:rFonts w:ascii="Traditional Arabic" w:hAnsi="Traditional Arabic"/>
          <w:sz w:val="32"/>
          <w:szCs w:val="32"/>
          <w:rtl/>
        </w:rPr>
        <w:t xml:space="preserve">) انظر: معاني القرآن وإعرابه (3/303). </w:t>
      </w:r>
    </w:p>
  </w:footnote>
  <w:footnote w:id="1702">
    <w:p w:rsidR="003F128F" w:rsidRPr="00E50415" w:rsidRDefault="003F128F" w:rsidP="00885058">
      <w:pPr>
        <w:pStyle w:val="af3"/>
        <w:rPr>
          <w:rFonts w:ascii="Traditional Arabic" w:hAnsi="Traditional Arabic"/>
          <w:sz w:val="32"/>
          <w:szCs w:val="32"/>
        </w:rPr>
      </w:pPr>
      <w:r w:rsidRPr="00E50415">
        <w:rPr>
          <w:rFonts w:ascii="Traditional Arabic" w:hAnsi="Traditional Arabic"/>
          <w:sz w:val="32"/>
          <w:szCs w:val="32"/>
          <w:rtl/>
        </w:rPr>
        <w:t>(</w:t>
      </w:r>
      <w:r w:rsidRPr="00E50415">
        <w:rPr>
          <w:rStyle w:val="ae"/>
          <w:rFonts w:ascii="Traditional Arabic" w:hAnsi="Traditional Arabic"/>
          <w:sz w:val="32"/>
          <w:szCs w:val="32"/>
          <w:vertAlign w:val="baseline"/>
        </w:rPr>
        <w:footnoteRef/>
      </w:r>
      <w:r w:rsidRPr="00E50415">
        <w:rPr>
          <w:rFonts w:ascii="Traditional Arabic" w:hAnsi="Traditional Arabic"/>
          <w:sz w:val="32"/>
          <w:szCs w:val="32"/>
          <w:rtl/>
        </w:rPr>
        <w:t>)</w:t>
      </w:r>
      <w:r>
        <w:rPr>
          <w:rFonts w:ascii="Traditional Arabic" w:hAnsi="Traditional Arabic"/>
          <w:sz w:val="32"/>
          <w:szCs w:val="32"/>
          <w:rtl/>
        </w:rPr>
        <w:t xml:space="preserve"> </w:t>
      </w:r>
      <w:r>
        <w:rPr>
          <w:rFonts w:ascii="Traditional Arabic" w:hAnsi="Traditional Arabic" w:hint="cs"/>
          <w:sz w:val="32"/>
          <w:szCs w:val="32"/>
          <w:rtl/>
        </w:rPr>
        <w:t>انظر: تفسير الطبري (18/66), التفسير الوسيط (3/159).</w:t>
      </w:r>
    </w:p>
  </w:footnote>
  <w:footnote w:id="1703">
    <w:p w:rsidR="003F128F" w:rsidRPr="00BF5A87" w:rsidRDefault="003F128F" w:rsidP="00885058">
      <w:pPr>
        <w:pStyle w:val="af3"/>
        <w:rPr>
          <w:rFonts w:ascii="Traditional Arabic" w:hAnsi="Traditional Arabic"/>
          <w:sz w:val="32"/>
          <w:szCs w:val="32"/>
        </w:rPr>
      </w:pPr>
      <w:r w:rsidRPr="00BF5A87">
        <w:rPr>
          <w:rFonts w:ascii="Traditional Arabic" w:hAnsi="Traditional Arabic"/>
          <w:sz w:val="32"/>
          <w:szCs w:val="32"/>
          <w:rtl/>
        </w:rPr>
        <w:t>(</w:t>
      </w:r>
      <w:r w:rsidRPr="00BF5A87">
        <w:rPr>
          <w:rStyle w:val="ae"/>
          <w:rFonts w:ascii="Traditional Arabic" w:hAnsi="Traditional Arabic"/>
          <w:sz w:val="32"/>
          <w:szCs w:val="32"/>
          <w:vertAlign w:val="baseline"/>
        </w:rPr>
        <w:footnoteRef/>
      </w:r>
      <w:r w:rsidRPr="00BF5A87">
        <w:rPr>
          <w:rFonts w:ascii="Traditional Arabic" w:hAnsi="Traditional Arabic"/>
          <w:sz w:val="32"/>
          <w:szCs w:val="32"/>
          <w:rtl/>
        </w:rPr>
        <w:t>) أنطاكيّة</w:t>
      </w:r>
      <w:r w:rsidRPr="00BF5A87">
        <w:rPr>
          <w:rFonts w:ascii="Traditional Arabic" w:hAnsi="Traditional Arabic" w:hint="cs"/>
          <w:sz w:val="32"/>
          <w:szCs w:val="32"/>
          <w:rtl/>
        </w:rPr>
        <w:t xml:space="preserve">: </w:t>
      </w:r>
      <w:r w:rsidRPr="00BF5A87">
        <w:rPr>
          <w:rFonts w:ascii="Traditional Arabic" w:hAnsi="Traditional Arabic"/>
          <w:sz w:val="32"/>
          <w:szCs w:val="32"/>
          <w:rtl/>
        </w:rPr>
        <w:t>بالفتح ثم السكون، والياء مخففة،</w:t>
      </w:r>
      <w:r w:rsidRPr="00BF5A87">
        <w:rPr>
          <w:rFonts w:ascii="Traditional Arabic" w:hAnsi="Traditional Arabic"/>
          <w:sz w:val="44"/>
          <w:szCs w:val="44"/>
          <w:rtl/>
          <w:lang w:eastAsia="en-US"/>
        </w:rPr>
        <w:t xml:space="preserve"> </w:t>
      </w:r>
      <w:r w:rsidRPr="00BF5A87">
        <w:rPr>
          <w:rFonts w:ascii="Traditional Arabic" w:hAnsi="Traditional Arabic"/>
          <w:sz w:val="32"/>
          <w:szCs w:val="32"/>
          <w:rtl/>
        </w:rPr>
        <w:t>قصبة العواصم من الثغور الشامية،</w:t>
      </w:r>
      <w:r w:rsidRPr="00BF5A87">
        <w:rPr>
          <w:rFonts w:ascii="Traditional Arabic" w:hAnsi="Traditional Arabic"/>
          <w:sz w:val="44"/>
          <w:szCs w:val="44"/>
          <w:rtl/>
          <w:lang w:eastAsia="en-US"/>
        </w:rPr>
        <w:t xml:space="preserve"> </w:t>
      </w:r>
      <w:r w:rsidRPr="00BF5A87">
        <w:rPr>
          <w:rFonts w:ascii="Traditional Arabic" w:hAnsi="Traditional Arabic"/>
          <w:sz w:val="32"/>
          <w:szCs w:val="32"/>
          <w:rtl/>
        </w:rPr>
        <w:t>موصوفة بالنزاهة والحسن وطيب الهواء وعذوبة الماء وكثرة الفواكه وسعة الخير</w:t>
      </w:r>
      <w:r>
        <w:rPr>
          <w:rFonts w:ascii="Traditional Arabic" w:hAnsi="Traditional Arabic" w:hint="cs"/>
          <w:sz w:val="32"/>
          <w:szCs w:val="32"/>
          <w:rtl/>
        </w:rPr>
        <w:t>. انظر: معجم البلدان (1/266).</w:t>
      </w:r>
    </w:p>
  </w:footnote>
  <w:footnote w:id="1704">
    <w:p w:rsidR="003F128F" w:rsidRPr="00E50415" w:rsidRDefault="003F128F" w:rsidP="00885058">
      <w:pPr>
        <w:pStyle w:val="af3"/>
        <w:rPr>
          <w:rFonts w:ascii="Traditional Arabic" w:hAnsi="Traditional Arabic"/>
          <w:sz w:val="32"/>
          <w:szCs w:val="32"/>
        </w:rPr>
      </w:pPr>
      <w:r w:rsidRPr="00E50415">
        <w:rPr>
          <w:rFonts w:ascii="Traditional Arabic" w:hAnsi="Traditional Arabic"/>
          <w:sz w:val="32"/>
          <w:szCs w:val="32"/>
          <w:rtl/>
        </w:rPr>
        <w:t>(</w:t>
      </w:r>
      <w:r w:rsidRPr="00E50415">
        <w:rPr>
          <w:rStyle w:val="ae"/>
          <w:rFonts w:ascii="Traditional Arabic" w:hAnsi="Traditional Arabic"/>
          <w:sz w:val="32"/>
          <w:szCs w:val="32"/>
          <w:vertAlign w:val="baseline"/>
        </w:rPr>
        <w:footnoteRef/>
      </w:r>
      <w:r w:rsidRPr="00E50415">
        <w:rPr>
          <w:rFonts w:ascii="Traditional Arabic" w:hAnsi="Traditional Arabic"/>
          <w:sz w:val="32"/>
          <w:szCs w:val="32"/>
          <w:rtl/>
        </w:rPr>
        <w:t xml:space="preserve">) </w:t>
      </w:r>
      <w:r>
        <w:rPr>
          <w:rFonts w:ascii="Traditional Arabic" w:hAnsi="Traditional Arabic" w:hint="cs"/>
          <w:sz w:val="32"/>
          <w:szCs w:val="32"/>
          <w:rtl/>
        </w:rPr>
        <w:t>بحر العلوم (2/357), الكشف والبيان (6/185),</w:t>
      </w:r>
      <w:r w:rsidRPr="00E50415">
        <w:rPr>
          <w:rFonts w:ascii="Traditional Arabic" w:hAnsi="Traditional Arabic"/>
          <w:sz w:val="32"/>
          <w:szCs w:val="32"/>
          <w:rtl/>
        </w:rPr>
        <w:t xml:space="preserve"> </w:t>
      </w:r>
      <w:r>
        <w:rPr>
          <w:rFonts w:ascii="Traditional Arabic" w:hAnsi="Traditional Arabic" w:hint="cs"/>
          <w:sz w:val="32"/>
          <w:szCs w:val="32"/>
          <w:rtl/>
        </w:rPr>
        <w:t>التفسير الوسيط (3/160).</w:t>
      </w:r>
    </w:p>
  </w:footnote>
  <w:footnote w:id="1705">
    <w:p w:rsidR="003F128F" w:rsidRPr="00035B64" w:rsidRDefault="003F128F" w:rsidP="00885058">
      <w:pPr>
        <w:pStyle w:val="af3"/>
        <w:rPr>
          <w:rFonts w:ascii="Traditional Arabic" w:hAnsi="Traditional Arabic"/>
          <w:sz w:val="32"/>
          <w:szCs w:val="32"/>
        </w:rPr>
      </w:pPr>
      <w:r w:rsidRPr="00035B64">
        <w:rPr>
          <w:rFonts w:ascii="Traditional Arabic" w:hAnsi="Traditional Arabic"/>
          <w:sz w:val="32"/>
          <w:szCs w:val="32"/>
          <w:rtl/>
        </w:rPr>
        <w:t>(</w:t>
      </w:r>
      <w:r w:rsidRPr="00035B64">
        <w:rPr>
          <w:rStyle w:val="ae"/>
          <w:rFonts w:ascii="Traditional Arabic" w:hAnsi="Traditional Arabic"/>
          <w:sz w:val="32"/>
          <w:szCs w:val="32"/>
          <w:vertAlign w:val="baseline"/>
        </w:rPr>
        <w:footnoteRef/>
      </w:r>
      <w:r w:rsidRPr="00035B64">
        <w:rPr>
          <w:rFonts w:ascii="Traditional Arabic" w:hAnsi="Traditional Arabic"/>
          <w:sz w:val="32"/>
          <w:szCs w:val="32"/>
          <w:rtl/>
        </w:rPr>
        <w:t xml:space="preserve">) الأُبُلَّة: بضم الهمزة والباء وتشديد اللام: بلدة على شاطئ دجلة البصرة العظمى في زاوية الخليج الذي يدخل إلى مدينة البصرة، وهي أقدم من البصرة. انظر: معجم البلدان (1/77). </w:t>
      </w:r>
    </w:p>
  </w:footnote>
  <w:footnote w:id="1706">
    <w:p w:rsidR="003F128F" w:rsidRPr="00035B64" w:rsidRDefault="003F128F" w:rsidP="00885058">
      <w:pPr>
        <w:pStyle w:val="af3"/>
        <w:rPr>
          <w:rFonts w:ascii="Traditional Arabic" w:hAnsi="Traditional Arabic"/>
          <w:sz w:val="32"/>
          <w:szCs w:val="32"/>
        </w:rPr>
      </w:pPr>
      <w:r w:rsidRPr="00035B64">
        <w:rPr>
          <w:rFonts w:ascii="Traditional Arabic" w:hAnsi="Traditional Arabic"/>
          <w:sz w:val="32"/>
          <w:szCs w:val="32"/>
          <w:rtl/>
        </w:rPr>
        <w:t>(</w:t>
      </w:r>
      <w:r w:rsidRPr="00035B64">
        <w:rPr>
          <w:rStyle w:val="ae"/>
          <w:rFonts w:ascii="Traditional Arabic" w:hAnsi="Traditional Arabic"/>
          <w:sz w:val="32"/>
          <w:szCs w:val="32"/>
          <w:vertAlign w:val="baseline"/>
        </w:rPr>
        <w:footnoteRef/>
      </w:r>
      <w:r w:rsidRPr="00035B64">
        <w:rPr>
          <w:rFonts w:ascii="Traditional Arabic" w:hAnsi="Traditional Arabic"/>
          <w:sz w:val="32"/>
          <w:szCs w:val="32"/>
          <w:rtl/>
        </w:rPr>
        <w:t>) انظر: الكشف والبيان (6/185), التفسير الوسيط (3/160), معالم التنزيل (5/192).</w:t>
      </w:r>
    </w:p>
  </w:footnote>
  <w:footnote w:id="1707">
    <w:p w:rsidR="003F128F" w:rsidRPr="00035B64" w:rsidRDefault="003F128F" w:rsidP="00885058">
      <w:pPr>
        <w:pStyle w:val="af3"/>
        <w:rPr>
          <w:rFonts w:ascii="Traditional Arabic" w:hAnsi="Traditional Arabic"/>
          <w:sz w:val="32"/>
          <w:szCs w:val="32"/>
        </w:rPr>
      </w:pPr>
      <w:r w:rsidRPr="00035B64">
        <w:rPr>
          <w:rFonts w:ascii="Traditional Arabic" w:hAnsi="Traditional Arabic"/>
          <w:sz w:val="32"/>
          <w:szCs w:val="32"/>
          <w:rtl/>
        </w:rPr>
        <w:t>(</w:t>
      </w:r>
      <w:r w:rsidRPr="00035B64">
        <w:rPr>
          <w:rStyle w:val="ae"/>
          <w:rFonts w:ascii="Traditional Arabic" w:hAnsi="Traditional Arabic"/>
          <w:sz w:val="32"/>
          <w:szCs w:val="32"/>
          <w:vertAlign w:val="baseline"/>
        </w:rPr>
        <w:footnoteRef/>
      </w:r>
      <w:r w:rsidRPr="00035B64">
        <w:rPr>
          <w:rFonts w:ascii="Traditional Arabic" w:hAnsi="Traditional Arabic"/>
          <w:sz w:val="32"/>
          <w:szCs w:val="32"/>
          <w:rtl/>
        </w:rPr>
        <w:t>) باجَرْوَانُ:</w:t>
      </w:r>
      <w:r w:rsidRPr="00035B64">
        <w:rPr>
          <w:rFonts w:ascii="Traditional Arabic" w:hAnsi="Traditional Arabic"/>
          <w:sz w:val="32"/>
          <w:szCs w:val="32"/>
          <w:rtl/>
          <w:lang w:eastAsia="en-US"/>
        </w:rPr>
        <w:t xml:space="preserve"> بفتح الجيم، والراء المهملة الساكنة، بعدها واو وألف ونون،</w:t>
      </w:r>
      <w:r w:rsidRPr="00035B64">
        <w:rPr>
          <w:rFonts w:ascii="Traditional Arabic" w:hAnsi="Traditional Arabic"/>
          <w:sz w:val="32"/>
          <w:szCs w:val="32"/>
          <w:rtl/>
        </w:rPr>
        <w:t xml:space="preserve"> قرية من ديار مضر بالجزيرة، من أعمال البليخ. وباجَرْوَانُ أيضا: مدينة من نواحي باب الأبواب قرب شروان. انظر: معجم ما استعجم (1/220), معجم البلدان (1/77).</w:t>
      </w:r>
    </w:p>
  </w:footnote>
  <w:footnote w:id="1708">
    <w:p w:rsidR="003F128F" w:rsidRPr="00035B64" w:rsidRDefault="003F128F" w:rsidP="00885058">
      <w:pPr>
        <w:pStyle w:val="af3"/>
        <w:rPr>
          <w:rFonts w:ascii="Traditional Arabic" w:hAnsi="Traditional Arabic"/>
          <w:sz w:val="32"/>
          <w:szCs w:val="32"/>
        </w:rPr>
      </w:pPr>
      <w:r w:rsidRPr="00035B64">
        <w:rPr>
          <w:rFonts w:ascii="Traditional Arabic" w:hAnsi="Traditional Arabic"/>
          <w:sz w:val="32"/>
          <w:szCs w:val="32"/>
          <w:rtl/>
        </w:rPr>
        <w:t>(</w:t>
      </w:r>
      <w:r w:rsidRPr="00035B64">
        <w:rPr>
          <w:rStyle w:val="ae"/>
          <w:rFonts w:ascii="Traditional Arabic" w:hAnsi="Traditional Arabic"/>
          <w:sz w:val="32"/>
          <w:szCs w:val="32"/>
          <w:vertAlign w:val="baseline"/>
        </w:rPr>
        <w:footnoteRef/>
      </w:r>
      <w:r w:rsidRPr="00035B64">
        <w:rPr>
          <w:rFonts w:ascii="Traditional Arabic" w:hAnsi="Traditional Arabic"/>
          <w:sz w:val="32"/>
          <w:szCs w:val="32"/>
          <w:rtl/>
        </w:rPr>
        <w:t>) تفسير مقاتل (2/597).</w:t>
      </w:r>
    </w:p>
  </w:footnote>
  <w:footnote w:id="1709">
    <w:p w:rsidR="003F128F" w:rsidRPr="00F81BF3" w:rsidRDefault="003F128F" w:rsidP="00885058">
      <w:pPr>
        <w:pStyle w:val="af3"/>
        <w:rPr>
          <w:rFonts w:ascii="Traditional Arabic" w:hAnsi="Traditional Arabic"/>
          <w:sz w:val="32"/>
          <w:szCs w:val="32"/>
        </w:rPr>
      </w:pPr>
      <w:r w:rsidRPr="00035B64">
        <w:rPr>
          <w:rFonts w:ascii="Traditional Arabic" w:hAnsi="Traditional Arabic"/>
          <w:sz w:val="32"/>
          <w:szCs w:val="32"/>
          <w:rtl/>
        </w:rPr>
        <w:t>(</w:t>
      </w:r>
      <w:r w:rsidRPr="00035B64">
        <w:rPr>
          <w:rStyle w:val="ae"/>
          <w:rFonts w:ascii="Traditional Arabic" w:hAnsi="Traditional Arabic"/>
          <w:sz w:val="32"/>
          <w:szCs w:val="32"/>
          <w:vertAlign w:val="baseline"/>
        </w:rPr>
        <w:footnoteRef/>
      </w:r>
      <w:r w:rsidRPr="00035B64">
        <w:rPr>
          <w:rFonts w:ascii="Traditional Arabic" w:hAnsi="Traditional Arabic"/>
          <w:sz w:val="32"/>
          <w:szCs w:val="32"/>
          <w:rtl/>
        </w:rPr>
        <w:t>) هو الامام المقرئ أبو محمد المفضل بن محمد بن يعلى بن عامر</w:t>
      </w:r>
      <w:r w:rsidRPr="00035B64">
        <w:rPr>
          <w:rFonts w:ascii="Traditional Arabic" w:hAnsi="Traditional Arabic"/>
          <w:sz w:val="32"/>
          <w:szCs w:val="32"/>
          <w:rtl/>
          <w:lang w:eastAsia="en-US"/>
        </w:rPr>
        <w:t xml:space="preserve"> </w:t>
      </w:r>
      <w:r w:rsidRPr="00035B64">
        <w:rPr>
          <w:rFonts w:ascii="Traditional Arabic" w:hAnsi="Traditional Arabic"/>
          <w:sz w:val="32"/>
          <w:szCs w:val="32"/>
          <w:rtl/>
        </w:rPr>
        <w:t xml:space="preserve">الضبي, الكوفي، من جلة أصحاب </w:t>
      </w:r>
      <w:r w:rsidRPr="00F81BF3">
        <w:rPr>
          <w:rFonts w:ascii="Traditional Arabic" w:hAnsi="Traditional Arabic"/>
          <w:sz w:val="32"/>
          <w:szCs w:val="32"/>
          <w:rtl/>
        </w:rPr>
        <w:t xml:space="preserve">عاصم, كان علامة إخباريًّا موثقًا، وقيل هو ثقة في الأشعار, غير ثقة في الحروف (ت168ه). انظر: معرفة القراء الكبار (ص79), غاية النهاية (2/402). </w:t>
      </w:r>
    </w:p>
  </w:footnote>
  <w:footnote w:id="1710">
    <w:p w:rsidR="003F128F" w:rsidRPr="00F81BF3" w:rsidRDefault="003F128F" w:rsidP="00885058">
      <w:pPr>
        <w:pStyle w:val="af3"/>
        <w:rPr>
          <w:rFonts w:ascii="Traditional Arabic" w:hAnsi="Traditional Arabic"/>
          <w:sz w:val="32"/>
          <w:szCs w:val="32"/>
        </w:rPr>
      </w:pPr>
      <w:r w:rsidRPr="00F81BF3">
        <w:rPr>
          <w:rFonts w:ascii="Traditional Arabic" w:hAnsi="Traditional Arabic"/>
          <w:sz w:val="32"/>
          <w:szCs w:val="32"/>
          <w:rtl/>
        </w:rPr>
        <w:t>(</w:t>
      </w:r>
      <w:r w:rsidRPr="00F81BF3">
        <w:rPr>
          <w:rStyle w:val="ae"/>
          <w:rFonts w:ascii="Traditional Arabic" w:hAnsi="Traditional Arabic"/>
          <w:sz w:val="32"/>
          <w:szCs w:val="32"/>
          <w:vertAlign w:val="baseline"/>
        </w:rPr>
        <w:footnoteRef/>
      </w:r>
      <w:r w:rsidRPr="00F81BF3">
        <w:rPr>
          <w:rFonts w:ascii="Traditional Arabic" w:hAnsi="Traditional Arabic"/>
          <w:sz w:val="32"/>
          <w:szCs w:val="32"/>
          <w:rtl/>
        </w:rPr>
        <w:t xml:space="preserve">) انظر: مختصر الشواذ (ص84), شواذ القراءة (ص142).  </w:t>
      </w:r>
    </w:p>
  </w:footnote>
  <w:footnote w:id="1711">
    <w:p w:rsidR="003F128F" w:rsidRPr="00F81BF3" w:rsidRDefault="003F128F" w:rsidP="00885058">
      <w:pPr>
        <w:pStyle w:val="af3"/>
        <w:rPr>
          <w:rFonts w:ascii="Traditional Arabic" w:hAnsi="Traditional Arabic"/>
          <w:sz w:val="32"/>
          <w:szCs w:val="32"/>
        </w:rPr>
      </w:pPr>
      <w:r w:rsidRPr="00F81BF3">
        <w:rPr>
          <w:rFonts w:ascii="Traditional Arabic" w:hAnsi="Traditional Arabic"/>
          <w:sz w:val="32"/>
          <w:szCs w:val="32"/>
          <w:rtl/>
        </w:rPr>
        <w:t>(</w:t>
      </w:r>
      <w:r w:rsidRPr="00F81BF3">
        <w:rPr>
          <w:rStyle w:val="ae"/>
          <w:rFonts w:ascii="Traditional Arabic" w:hAnsi="Traditional Arabic"/>
          <w:sz w:val="32"/>
          <w:szCs w:val="32"/>
          <w:vertAlign w:val="baseline"/>
        </w:rPr>
        <w:footnoteRef/>
      </w:r>
      <w:r w:rsidRPr="00F81BF3">
        <w:rPr>
          <w:rFonts w:ascii="Traditional Arabic" w:hAnsi="Traditional Arabic"/>
          <w:sz w:val="32"/>
          <w:szCs w:val="32"/>
          <w:rtl/>
        </w:rPr>
        <w:t xml:space="preserve">) ما بين المعكوفتين ساقط من الأصل, والمثبت من (ك) وهو موافق لمصدر القراءة.  </w:t>
      </w:r>
    </w:p>
  </w:footnote>
  <w:footnote w:id="1712">
    <w:p w:rsidR="003F128F" w:rsidRPr="00F81BF3" w:rsidRDefault="003F128F" w:rsidP="00885058">
      <w:pPr>
        <w:pStyle w:val="af3"/>
        <w:rPr>
          <w:rFonts w:ascii="Traditional Arabic" w:hAnsi="Traditional Arabic"/>
          <w:sz w:val="32"/>
          <w:szCs w:val="32"/>
        </w:rPr>
      </w:pPr>
      <w:r w:rsidRPr="00F81BF3">
        <w:rPr>
          <w:rFonts w:ascii="Traditional Arabic" w:hAnsi="Traditional Arabic"/>
          <w:sz w:val="32"/>
          <w:szCs w:val="32"/>
          <w:rtl/>
        </w:rPr>
        <w:t>(</w:t>
      </w:r>
      <w:r w:rsidRPr="00F81BF3">
        <w:rPr>
          <w:rStyle w:val="ae"/>
          <w:rFonts w:ascii="Traditional Arabic" w:hAnsi="Traditional Arabic"/>
          <w:sz w:val="32"/>
          <w:szCs w:val="32"/>
          <w:vertAlign w:val="baseline"/>
        </w:rPr>
        <w:footnoteRef/>
      </w:r>
      <w:r>
        <w:rPr>
          <w:rFonts w:ascii="Traditional Arabic" w:hAnsi="Traditional Arabic"/>
          <w:sz w:val="32"/>
          <w:szCs w:val="32"/>
          <w:rtl/>
        </w:rPr>
        <w:t xml:space="preserve">) انظر: </w:t>
      </w:r>
      <w:r w:rsidRPr="00F81BF3">
        <w:rPr>
          <w:rFonts w:ascii="Traditional Arabic" w:hAnsi="Traditional Arabic"/>
          <w:sz w:val="32"/>
          <w:szCs w:val="32"/>
          <w:rtl/>
        </w:rPr>
        <w:t xml:space="preserve">شواذ القراءة (ص142).  </w:t>
      </w:r>
    </w:p>
  </w:footnote>
  <w:footnote w:id="1713">
    <w:p w:rsidR="003F128F" w:rsidRPr="00F81BF3" w:rsidRDefault="003F128F" w:rsidP="00885058">
      <w:pPr>
        <w:pStyle w:val="af3"/>
        <w:rPr>
          <w:rFonts w:ascii="Traditional Arabic" w:hAnsi="Traditional Arabic"/>
          <w:sz w:val="32"/>
          <w:szCs w:val="32"/>
        </w:rPr>
      </w:pPr>
      <w:r w:rsidRPr="00F81BF3">
        <w:rPr>
          <w:rFonts w:ascii="Traditional Arabic" w:hAnsi="Traditional Arabic"/>
          <w:sz w:val="32"/>
          <w:szCs w:val="32"/>
          <w:rtl/>
        </w:rPr>
        <w:t>(</w:t>
      </w:r>
      <w:r w:rsidRPr="00F81BF3">
        <w:rPr>
          <w:rStyle w:val="ae"/>
          <w:rFonts w:ascii="Traditional Arabic" w:hAnsi="Traditional Arabic"/>
          <w:sz w:val="32"/>
          <w:szCs w:val="32"/>
          <w:vertAlign w:val="baseline"/>
        </w:rPr>
        <w:footnoteRef/>
      </w:r>
      <w:r w:rsidRPr="00F81BF3">
        <w:rPr>
          <w:rFonts w:ascii="Traditional Arabic" w:hAnsi="Traditional Arabic"/>
          <w:sz w:val="32"/>
          <w:szCs w:val="32"/>
          <w:rtl/>
        </w:rPr>
        <w:t xml:space="preserve">) انظر: اتحاف فضلاء البشر (ص371).     </w:t>
      </w:r>
    </w:p>
  </w:footnote>
  <w:footnote w:id="1714">
    <w:p w:rsidR="003F128F" w:rsidRPr="00F81BF3" w:rsidRDefault="003F128F" w:rsidP="00885058">
      <w:pPr>
        <w:pStyle w:val="af3"/>
        <w:rPr>
          <w:rFonts w:ascii="Traditional Arabic" w:hAnsi="Traditional Arabic"/>
          <w:sz w:val="32"/>
          <w:szCs w:val="32"/>
        </w:rPr>
      </w:pPr>
      <w:r w:rsidRPr="00F81BF3">
        <w:rPr>
          <w:rFonts w:ascii="Traditional Arabic" w:hAnsi="Traditional Arabic"/>
          <w:sz w:val="32"/>
          <w:szCs w:val="32"/>
          <w:rtl/>
        </w:rPr>
        <w:t>(</w:t>
      </w:r>
      <w:r w:rsidRPr="00F81BF3">
        <w:rPr>
          <w:rStyle w:val="ae"/>
          <w:rFonts w:ascii="Traditional Arabic" w:hAnsi="Traditional Arabic"/>
          <w:sz w:val="32"/>
          <w:szCs w:val="32"/>
          <w:vertAlign w:val="baseline"/>
        </w:rPr>
        <w:footnoteRef/>
      </w:r>
      <w:r w:rsidRPr="00F81BF3">
        <w:rPr>
          <w:rFonts w:ascii="Traditional Arabic" w:hAnsi="Traditional Arabic"/>
          <w:sz w:val="32"/>
          <w:szCs w:val="32"/>
          <w:rtl/>
        </w:rPr>
        <w:t xml:space="preserve">) مجاز القرآن (1/410). </w:t>
      </w:r>
    </w:p>
  </w:footnote>
  <w:footnote w:id="1715">
    <w:p w:rsidR="003F128F" w:rsidRPr="00035B64" w:rsidRDefault="003F128F" w:rsidP="00885058">
      <w:pPr>
        <w:pStyle w:val="af3"/>
        <w:rPr>
          <w:rFonts w:ascii="Traditional Arabic" w:hAnsi="Traditional Arabic"/>
          <w:sz w:val="32"/>
          <w:szCs w:val="32"/>
        </w:rPr>
      </w:pPr>
      <w:r w:rsidRPr="00F81BF3">
        <w:rPr>
          <w:rFonts w:ascii="Traditional Arabic" w:hAnsi="Traditional Arabic"/>
          <w:sz w:val="32"/>
          <w:szCs w:val="32"/>
          <w:rtl/>
        </w:rPr>
        <w:t>(</w:t>
      </w:r>
      <w:r w:rsidRPr="00F81BF3">
        <w:rPr>
          <w:rStyle w:val="ae"/>
          <w:rFonts w:ascii="Traditional Arabic" w:hAnsi="Traditional Arabic"/>
          <w:sz w:val="32"/>
          <w:szCs w:val="32"/>
          <w:vertAlign w:val="baseline"/>
        </w:rPr>
        <w:footnoteRef/>
      </w:r>
      <w:r w:rsidRPr="00F81BF3">
        <w:rPr>
          <w:rFonts w:ascii="Traditional Arabic" w:hAnsi="Traditional Arabic"/>
          <w:sz w:val="32"/>
          <w:szCs w:val="32"/>
          <w:rtl/>
        </w:rPr>
        <w:t>) انظر: معاني القرآن وإعرابه (3/306).</w:t>
      </w:r>
      <w:r w:rsidRPr="00035B64">
        <w:rPr>
          <w:rFonts w:ascii="Traditional Arabic" w:hAnsi="Traditional Arabic"/>
          <w:sz w:val="32"/>
          <w:szCs w:val="32"/>
          <w:rtl/>
        </w:rPr>
        <w:t xml:space="preserve"> </w:t>
      </w:r>
    </w:p>
  </w:footnote>
  <w:footnote w:id="1716">
    <w:p w:rsidR="003F128F" w:rsidRPr="00035B64" w:rsidRDefault="003F128F" w:rsidP="00885058">
      <w:pPr>
        <w:pStyle w:val="af3"/>
        <w:rPr>
          <w:rFonts w:ascii="Traditional Arabic" w:hAnsi="Traditional Arabic"/>
          <w:sz w:val="32"/>
          <w:szCs w:val="32"/>
        </w:rPr>
      </w:pPr>
      <w:r w:rsidRPr="00035B64">
        <w:rPr>
          <w:rFonts w:ascii="Traditional Arabic" w:hAnsi="Traditional Arabic"/>
          <w:sz w:val="32"/>
          <w:szCs w:val="32"/>
          <w:rtl/>
        </w:rPr>
        <w:t>(</w:t>
      </w:r>
      <w:r w:rsidRPr="00035B64">
        <w:rPr>
          <w:rStyle w:val="ae"/>
          <w:rFonts w:ascii="Traditional Arabic" w:hAnsi="Traditional Arabic"/>
          <w:sz w:val="32"/>
          <w:szCs w:val="32"/>
          <w:vertAlign w:val="baseline"/>
        </w:rPr>
        <w:footnoteRef/>
      </w:r>
      <w:r w:rsidRPr="00035B64">
        <w:rPr>
          <w:rFonts w:ascii="Traditional Arabic" w:hAnsi="Traditional Arabic"/>
          <w:sz w:val="32"/>
          <w:szCs w:val="32"/>
          <w:rtl/>
        </w:rPr>
        <w:t xml:space="preserve">) انظر: أدب الكاتب (ص350) </w:t>
      </w:r>
    </w:p>
  </w:footnote>
  <w:footnote w:id="1717">
    <w:p w:rsidR="003F128F" w:rsidRPr="00067584" w:rsidRDefault="003F128F" w:rsidP="00237681">
      <w:pPr>
        <w:ind w:firstLine="0"/>
        <w:rPr>
          <w:rFonts w:ascii="Tahoma" w:hAnsi="Tahoma"/>
          <w:sz w:val="28"/>
          <w:szCs w:val="28"/>
        </w:rPr>
      </w:pPr>
      <w:r w:rsidRPr="00035B64">
        <w:rPr>
          <w:rFonts w:ascii="Traditional Arabic" w:hAnsi="Traditional Arabic"/>
          <w:sz w:val="32"/>
          <w:szCs w:val="32"/>
          <w:rtl/>
        </w:rPr>
        <w:t>(</w:t>
      </w:r>
      <w:r w:rsidRPr="00035B64">
        <w:rPr>
          <w:rStyle w:val="ae"/>
          <w:rFonts w:ascii="Traditional Arabic" w:hAnsi="Traditional Arabic"/>
          <w:sz w:val="32"/>
          <w:szCs w:val="32"/>
          <w:vertAlign w:val="baseline"/>
        </w:rPr>
        <w:footnoteRef/>
      </w:r>
      <w:r w:rsidRPr="00035B64">
        <w:rPr>
          <w:rFonts w:ascii="Traditional Arabic" w:hAnsi="Traditional Arabic"/>
          <w:sz w:val="32"/>
          <w:szCs w:val="32"/>
          <w:rtl/>
        </w:rPr>
        <w:t>)</w:t>
      </w:r>
      <w:r>
        <w:rPr>
          <w:rFonts w:ascii="Traditional Arabic" w:hAnsi="Traditional Arabic" w:hint="cs"/>
          <w:sz w:val="32"/>
          <w:szCs w:val="32"/>
          <w:rtl/>
        </w:rPr>
        <w:t xml:space="preserve"> تقدم تخريجه في</w:t>
      </w:r>
      <w:r w:rsidRPr="00035B64">
        <w:rPr>
          <w:rFonts w:ascii="Traditional Arabic" w:hAnsi="Traditional Arabic"/>
          <w:sz w:val="32"/>
          <w:szCs w:val="32"/>
          <w:rtl/>
        </w:rPr>
        <w:t xml:space="preserve"> (</w:t>
      </w:r>
      <w:r>
        <w:rPr>
          <w:rFonts w:ascii="Traditional Arabic" w:hAnsi="Traditional Arabic" w:hint="cs"/>
          <w:sz w:val="32"/>
          <w:szCs w:val="32"/>
          <w:rtl/>
        </w:rPr>
        <w:t>ص243</w:t>
      </w:r>
      <w:r w:rsidRPr="00035B64">
        <w:rPr>
          <w:rFonts w:ascii="Traditional Arabic" w:hAnsi="Traditional Arabic"/>
          <w:sz w:val="32"/>
          <w:szCs w:val="32"/>
          <w:rtl/>
        </w:rPr>
        <w:t xml:space="preserve">).    </w:t>
      </w:r>
    </w:p>
  </w:footnote>
  <w:footnote w:id="1718">
    <w:p w:rsidR="003F128F" w:rsidRPr="00067584" w:rsidRDefault="003F128F" w:rsidP="00885058">
      <w:pPr>
        <w:pStyle w:val="af3"/>
        <w:rPr>
          <w:rFonts w:ascii="Tahoma" w:hAnsi="Tahoma"/>
        </w:rPr>
      </w:pPr>
      <w:r w:rsidRPr="0099714E">
        <w:rPr>
          <w:rFonts w:ascii="Traditional Arabic" w:hAnsi="Traditional Arabic"/>
          <w:sz w:val="32"/>
          <w:szCs w:val="32"/>
          <w:rtl/>
        </w:rPr>
        <w:t>(</w:t>
      </w:r>
      <w:r w:rsidRPr="0099714E">
        <w:rPr>
          <w:rStyle w:val="ae"/>
          <w:rFonts w:ascii="Traditional Arabic" w:hAnsi="Traditional Arabic"/>
          <w:sz w:val="32"/>
          <w:szCs w:val="32"/>
          <w:vertAlign w:val="baseline"/>
        </w:rPr>
        <w:footnoteRef/>
      </w:r>
      <w:r w:rsidRPr="0099714E">
        <w:rPr>
          <w:rFonts w:ascii="Traditional Arabic" w:hAnsi="Traditional Arabic"/>
          <w:sz w:val="32"/>
          <w:szCs w:val="32"/>
          <w:rtl/>
        </w:rPr>
        <w:t>) أخرجه البخاري (كتاب المساقاة, باب</w:t>
      </w:r>
      <w:r>
        <w:rPr>
          <w:rFonts w:ascii="Traditional Arabic" w:hAnsi="Traditional Arabic" w:hint="cs"/>
          <w:sz w:val="32"/>
          <w:szCs w:val="32"/>
          <w:rtl/>
        </w:rPr>
        <w:t>:</w:t>
      </w:r>
      <w:r w:rsidRPr="0099714E">
        <w:rPr>
          <w:rFonts w:ascii="Traditional Arabic" w:hAnsi="Traditional Arabic"/>
          <w:sz w:val="32"/>
          <w:szCs w:val="32"/>
          <w:rtl/>
        </w:rPr>
        <w:t xml:space="preserve"> سَكرِ الأنهارِ, 5/44 ح2359), ومسلم (كتاب الفضائل, باب</w:t>
      </w:r>
      <w:r>
        <w:rPr>
          <w:rFonts w:ascii="Traditional Arabic" w:hAnsi="Traditional Arabic" w:hint="cs"/>
          <w:sz w:val="32"/>
          <w:szCs w:val="32"/>
          <w:rtl/>
        </w:rPr>
        <w:t>:</w:t>
      </w:r>
      <w:r w:rsidRPr="0099714E">
        <w:rPr>
          <w:rFonts w:ascii="Traditional Arabic" w:hAnsi="Traditional Arabic"/>
          <w:sz w:val="32"/>
          <w:szCs w:val="32"/>
          <w:rtl/>
        </w:rPr>
        <w:t xml:space="preserve"> وجوب اتباعه </w:t>
      </w:r>
      <w:r w:rsidRPr="0099714E">
        <w:rPr>
          <w:rFonts w:ascii="Traditional Arabic" w:hAnsi="Traditional Arabic"/>
          <w:sz w:val="32"/>
          <w:szCs w:val="32"/>
        </w:rPr>
        <w:sym w:font="AGA Arabesque" w:char="F072"/>
      </w:r>
      <w:r w:rsidRPr="0099714E">
        <w:rPr>
          <w:rFonts w:ascii="Traditional Arabic" w:hAnsi="Traditional Arabic"/>
          <w:sz w:val="32"/>
          <w:szCs w:val="32"/>
          <w:rtl/>
        </w:rPr>
        <w:t>, 15/107 ح6065) ولفظ البخاري</w:t>
      </w:r>
      <w:r>
        <w:rPr>
          <w:rFonts w:ascii="Traditional Arabic" w:hAnsi="Traditional Arabic" w:hint="cs"/>
          <w:sz w:val="32"/>
          <w:szCs w:val="32"/>
          <w:rtl/>
        </w:rPr>
        <w:t xml:space="preserve"> قال:</w:t>
      </w:r>
      <w:r w:rsidRPr="0099714E">
        <w:rPr>
          <w:rFonts w:ascii="Traditional Arabic" w:hAnsi="Traditional Arabic"/>
          <w:sz w:val="32"/>
          <w:szCs w:val="32"/>
          <w:rtl/>
          <w:lang w:eastAsia="en-US"/>
        </w:rPr>
        <w:t xml:space="preserve"> </w:t>
      </w:r>
      <w:r>
        <w:rPr>
          <w:rFonts w:ascii="Traditional Arabic" w:hAnsi="Traditional Arabic"/>
          <w:sz w:val="32"/>
          <w:szCs w:val="32"/>
          <w:rtl/>
        </w:rPr>
        <w:t>حدثنا علي بن عبد اللَّه، حدثن</w:t>
      </w:r>
      <w:r w:rsidRPr="0099714E">
        <w:rPr>
          <w:rFonts w:ascii="Traditional Arabic" w:hAnsi="Traditional Arabic"/>
          <w:sz w:val="32"/>
          <w:szCs w:val="32"/>
          <w:rtl/>
        </w:rPr>
        <w:t>ا</w:t>
      </w:r>
      <w:r>
        <w:rPr>
          <w:rFonts w:ascii="Traditional Arabic" w:hAnsi="Traditional Arabic"/>
          <w:sz w:val="32"/>
          <w:szCs w:val="32"/>
          <w:rtl/>
        </w:rPr>
        <w:t xml:space="preserve"> محمد بن جعفر، أخبرنا معمر، عن الزهري، عن عروة، قال: خاصم</w:t>
      </w:r>
      <w:r w:rsidRPr="0099714E">
        <w:rPr>
          <w:rFonts w:ascii="Traditional Arabic" w:hAnsi="Traditional Arabic"/>
          <w:sz w:val="32"/>
          <w:szCs w:val="32"/>
          <w:rtl/>
        </w:rPr>
        <w:t xml:space="preserve"> ا</w:t>
      </w:r>
      <w:r>
        <w:rPr>
          <w:rFonts w:ascii="Traditional Arabic" w:hAnsi="Traditional Arabic"/>
          <w:sz w:val="32"/>
          <w:szCs w:val="32"/>
          <w:rtl/>
        </w:rPr>
        <w:t>لزبير رجلًا من الأنص</w:t>
      </w:r>
      <w:r w:rsidRPr="0099714E">
        <w:rPr>
          <w:rFonts w:ascii="Traditional Arabic" w:hAnsi="Traditional Arabic"/>
          <w:sz w:val="32"/>
          <w:szCs w:val="32"/>
          <w:rtl/>
        </w:rPr>
        <w:t>ا</w:t>
      </w:r>
      <w:r>
        <w:rPr>
          <w:rFonts w:ascii="Traditional Arabic" w:hAnsi="Traditional Arabic"/>
          <w:sz w:val="32"/>
          <w:szCs w:val="32"/>
          <w:rtl/>
        </w:rPr>
        <w:t>ر في شَرِيجٍ من الحَرَّةِ، فقال النبي</w:t>
      </w:r>
      <w:r w:rsidRPr="0099714E">
        <w:rPr>
          <w:rFonts w:ascii="Traditional Arabic" w:hAnsi="Traditional Arabic"/>
          <w:sz w:val="32"/>
          <w:szCs w:val="32"/>
          <w:rtl/>
        </w:rPr>
        <w:t xml:space="preserve"> </w:t>
      </w:r>
      <w:r w:rsidRPr="0099714E">
        <w:rPr>
          <w:rFonts w:ascii="Traditional Arabic" w:hAnsi="Traditional Arabic"/>
          <w:sz w:val="32"/>
          <w:szCs w:val="32"/>
        </w:rPr>
        <w:sym w:font="AGA Arabesque" w:char="F072"/>
      </w:r>
      <w:r>
        <w:rPr>
          <w:rFonts w:ascii="Traditional Arabic" w:hAnsi="Traditional Arabic"/>
          <w:sz w:val="32"/>
          <w:szCs w:val="32"/>
          <w:rtl/>
        </w:rPr>
        <w:t>: «اسْقِ يَا زُبَيْرُ، ثم</w:t>
      </w:r>
      <w:r w:rsidRPr="0099714E">
        <w:rPr>
          <w:rFonts w:ascii="Traditional Arabic" w:hAnsi="Traditional Arabic"/>
          <w:sz w:val="32"/>
          <w:szCs w:val="32"/>
          <w:rtl/>
        </w:rPr>
        <w:t xml:space="preserve"> أَرْ</w:t>
      </w:r>
      <w:r>
        <w:rPr>
          <w:rFonts w:ascii="Traditional Arabic" w:hAnsi="Traditional Arabic"/>
          <w:sz w:val="32"/>
          <w:szCs w:val="32"/>
          <w:rtl/>
        </w:rPr>
        <w:t>سِلِ الماء إِلى جَارِكَ» ، ف</w:t>
      </w:r>
      <w:r w:rsidRPr="0099714E">
        <w:rPr>
          <w:rFonts w:ascii="Traditional Arabic" w:hAnsi="Traditional Arabic"/>
          <w:sz w:val="32"/>
          <w:szCs w:val="32"/>
          <w:rtl/>
        </w:rPr>
        <w:t>ق</w:t>
      </w:r>
      <w:r>
        <w:rPr>
          <w:rFonts w:ascii="Traditional Arabic" w:hAnsi="Traditional Arabic"/>
          <w:sz w:val="32"/>
          <w:szCs w:val="32"/>
          <w:rtl/>
        </w:rPr>
        <w:t>ال الأَنصاري: يا رسول</w:t>
      </w:r>
      <w:r w:rsidRPr="0099714E">
        <w:rPr>
          <w:rFonts w:ascii="Traditional Arabic" w:hAnsi="Traditional Arabic"/>
          <w:sz w:val="32"/>
          <w:szCs w:val="32"/>
          <w:rtl/>
        </w:rPr>
        <w:t xml:space="preserve"> ال</w:t>
      </w:r>
      <w:r>
        <w:rPr>
          <w:rFonts w:ascii="Traditional Arabic" w:hAnsi="Traditional Arabic"/>
          <w:sz w:val="32"/>
          <w:szCs w:val="32"/>
          <w:rtl/>
        </w:rPr>
        <w:t>لَّه، أَنْ كان ابن</w:t>
      </w:r>
      <w:r w:rsidRPr="0099714E">
        <w:rPr>
          <w:rFonts w:ascii="Traditional Arabic" w:hAnsi="Traditional Arabic"/>
          <w:sz w:val="32"/>
          <w:szCs w:val="32"/>
          <w:rtl/>
        </w:rPr>
        <w:t xml:space="preserve"> عَمَّتِك، فَ</w:t>
      </w:r>
      <w:r>
        <w:rPr>
          <w:rFonts w:ascii="Traditional Arabic" w:hAnsi="Traditional Arabic"/>
          <w:sz w:val="32"/>
          <w:szCs w:val="32"/>
          <w:rtl/>
        </w:rPr>
        <w:t>تَلَوَّنَ وجه رسول اللَّه</w:t>
      </w:r>
      <w:r w:rsidRPr="0099714E">
        <w:rPr>
          <w:rFonts w:ascii="Traditional Arabic" w:hAnsi="Traditional Arabic"/>
          <w:sz w:val="32"/>
          <w:szCs w:val="32"/>
          <w:rtl/>
        </w:rPr>
        <w:t xml:space="preserve"> </w:t>
      </w:r>
      <w:r w:rsidRPr="0099714E">
        <w:rPr>
          <w:rFonts w:ascii="Traditional Arabic" w:hAnsi="Traditional Arabic"/>
          <w:sz w:val="32"/>
          <w:szCs w:val="32"/>
        </w:rPr>
        <w:sym w:font="AGA Arabesque" w:char="F072"/>
      </w:r>
      <w:r>
        <w:rPr>
          <w:rFonts w:ascii="Traditional Arabic" w:hAnsi="Traditional Arabic"/>
          <w:sz w:val="32"/>
          <w:szCs w:val="32"/>
          <w:rtl/>
        </w:rPr>
        <w:t>، ثم قال</w:t>
      </w:r>
      <w:r w:rsidRPr="0099714E">
        <w:rPr>
          <w:rFonts w:ascii="Traditional Arabic" w:hAnsi="Traditional Arabic"/>
          <w:sz w:val="32"/>
          <w:szCs w:val="32"/>
          <w:rtl/>
        </w:rPr>
        <w:t xml:space="preserve">: «اسْقِ </w:t>
      </w:r>
      <w:r>
        <w:rPr>
          <w:rFonts w:ascii="Traditional Arabic" w:hAnsi="Traditional Arabic"/>
          <w:sz w:val="32"/>
          <w:szCs w:val="32"/>
          <w:rtl/>
        </w:rPr>
        <w:t>يَا زُبَيْر، ثم احْبِس الماء حتى يرجع إِل</w:t>
      </w:r>
      <w:r w:rsidRPr="0099714E">
        <w:rPr>
          <w:rFonts w:ascii="Traditional Arabic" w:hAnsi="Traditional Arabic"/>
          <w:sz w:val="32"/>
          <w:szCs w:val="32"/>
          <w:rtl/>
        </w:rPr>
        <w:t>ى الجَدْ</w:t>
      </w:r>
      <w:r>
        <w:rPr>
          <w:rFonts w:ascii="Traditional Arabic" w:hAnsi="Traditional Arabic"/>
          <w:sz w:val="32"/>
          <w:szCs w:val="32"/>
          <w:rtl/>
        </w:rPr>
        <w:t>رِ، ثم أرسل الماء إِل</w:t>
      </w:r>
      <w:r w:rsidRPr="0099714E">
        <w:rPr>
          <w:rFonts w:ascii="Traditional Arabic" w:hAnsi="Traditional Arabic"/>
          <w:sz w:val="32"/>
          <w:szCs w:val="32"/>
          <w:rtl/>
        </w:rPr>
        <w:t>ى جَ</w:t>
      </w:r>
      <w:r>
        <w:rPr>
          <w:rFonts w:ascii="Traditional Arabic" w:hAnsi="Traditional Arabic"/>
          <w:sz w:val="32"/>
          <w:szCs w:val="32"/>
          <w:rtl/>
        </w:rPr>
        <w:t>ارك» ، واستوعى النبي</w:t>
      </w:r>
      <w:r w:rsidRPr="0099714E">
        <w:rPr>
          <w:rFonts w:ascii="Traditional Arabic" w:hAnsi="Traditional Arabic"/>
          <w:sz w:val="32"/>
          <w:szCs w:val="32"/>
          <w:rtl/>
        </w:rPr>
        <w:t xml:space="preserve"> </w:t>
      </w:r>
      <w:r w:rsidRPr="0099714E">
        <w:rPr>
          <w:rFonts w:ascii="Traditional Arabic" w:hAnsi="Traditional Arabic"/>
          <w:sz w:val="32"/>
          <w:szCs w:val="32"/>
        </w:rPr>
        <w:sym w:font="AGA Arabesque" w:char="F072"/>
      </w:r>
      <w:r>
        <w:rPr>
          <w:rFonts w:ascii="Traditional Arabic" w:hAnsi="Traditional Arabic" w:hint="cs"/>
          <w:sz w:val="32"/>
          <w:szCs w:val="32"/>
          <w:rtl/>
        </w:rPr>
        <w:t xml:space="preserve"> </w:t>
      </w:r>
      <w:r>
        <w:rPr>
          <w:rFonts w:ascii="Traditional Arabic" w:hAnsi="Traditional Arabic"/>
          <w:sz w:val="32"/>
          <w:szCs w:val="32"/>
          <w:rtl/>
        </w:rPr>
        <w:t>للزبير حقه في صريح</w:t>
      </w:r>
      <w:r w:rsidRPr="0099714E">
        <w:rPr>
          <w:rFonts w:ascii="Traditional Arabic" w:hAnsi="Traditional Arabic"/>
          <w:sz w:val="32"/>
          <w:szCs w:val="32"/>
          <w:rtl/>
        </w:rPr>
        <w:t xml:space="preserve"> ال</w:t>
      </w:r>
      <w:r>
        <w:rPr>
          <w:rFonts w:ascii="Traditional Arabic" w:hAnsi="Traditional Arabic"/>
          <w:sz w:val="32"/>
          <w:szCs w:val="32"/>
          <w:rtl/>
        </w:rPr>
        <w:t>حكم حين أحفظه الأنصاري، كان أَشار عليهم</w:t>
      </w:r>
      <w:r w:rsidRPr="0099714E">
        <w:rPr>
          <w:rFonts w:ascii="Traditional Arabic" w:hAnsi="Traditional Arabic"/>
          <w:sz w:val="32"/>
          <w:szCs w:val="32"/>
          <w:rtl/>
        </w:rPr>
        <w:t>ا</w:t>
      </w:r>
      <w:r>
        <w:rPr>
          <w:rFonts w:ascii="Traditional Arabic" w:hAnsi="Traditional Arabic"/>
          <w:sz w:val="32"/>
          <w:szCs w:val="32"/>
          <w:rtl/>
        </w:rPr>
        <w:t xml:space="preserve"> بأمر لهما فيه سعة، قال</w:t>
      </w:r>
      <w:r w:rsidRPr="0099714E">
        <w:rPr>
          <w:rFonts w:ascii="Traditional Arabic" w:hAnsi="Traditional Arabic"/>
          <w:sz w:val="32"/>
          <w:szCs w:val="32"/>
          <w:rtl/>
        </w:rPr>
        <w:t xml:space="preserve"> ال</w:t>
      </w:r>
      <w:r>
        <w:rPr>
          <w:rFonts w:ascii="Traditional Arabic" w:hAnsi="Traditional Arabic"/>
          <w:sz w:val="32"/>
          <w:szCs w:val="32"/>
          <w:rtl/>
        </w:rPr>
        <w:t>زبير: فما أحسب هذه</w:t>
      </w:r>
      <w:r w:rsidRPr="0099714E">
        <w:rPr>
          <w:rFonts w:ascii="Traditional Arabic" w:hAnsi="Traditional Arabic"/>
          <w:sz w:val="32"/>
          <w:szCs w:val="32"/>
          <w:rtl/>
        </w:rPr>
        <w:t xml:space="preserve"> الآ</w:t>
      </w:r>
      <w:r>
        <w:rPr>
          <w:rFonts w:ascii="Traditional Arabic" w:hAnsi="Traditional Arabic"/>
          <w:sz w:val="32"/>
          <w:szCs w:val="32"/>
          <w:rtl/>
        </w:rPr>
        <w:t>يات إلَّا نزلت في ذلك</w:t>
      </w:r>
      <w:r w:rsidRPr="0099714E">
        <w:rPr>
          <w:rFonts w:ascii="Traditional Arabic" w:hAnsi="Traditional Arabic"/>
          <w:sz w:val="32"/>
          <w:szCs w:val="32"/>
          <w:rtl/>
        </w:rPr>
        <w:t xml:space="preserve">: </w:t>
      </w:r>
      <w:r w:rsidRPr="005B4885">
        <w:rPr>
          <w:rFonts w:ascii="QCF_BSML" w:hAnsi="QCF_BSML" w:cs="QCF_BSML"/>
          <w:rtl/>
          <w:lang w:eastAsia="en-US"/>
        </w:rPr>
        <w:t xml:space="preserve">ﭽ </w:t>
      </w:r>
      <w:r w:rsidRPr="005B4885">
        <w:rPr>
          <w:rFonts w:ascii="QCF_P088" w:hAnsi="QCF_P088" w:cs="QCF_P088"/>
          <w:rtl/>
          <w:lang w:eastAsia="en-US"/>
        </w:rPr>
        <w:t xml:space="preserve">ﯜ  ﯝ  ﯞ   ﯟ      ﯠ  ﯡ  ﯢ  ﯣ  ﯤ    </w:t>
      </w:r>
      <w:r w:rsidRPr="005B4885">
        <w:rPr>
          <w:rFonts w:ascii="QCF_BSML" w:hAnsi="QCF_BSML" w:cs="QCF_BSML"/>
          <w:rtl/>
          <w:lang w:eastAsia="en-US"/>
        </w:rPr>
        <w:t>ﭼ</w:t>
      </w:r>
      <w:r w:rsidRPr="005B4885">
        <w:rPr>
          <w:rFonts w:ascii="Arial" w:hAnsi="Arial" w:cs="Arial"/>
          <w:rtl/>
          <w:lang w:eastAsia="en-US"/>
        </w:rPr>
        <w:t xml:space="preserve"> </w:t>
      </w:r>
      <w:r w:rsidRPr="0099714E">
        <w:rPr>
          <w:rFonts w:ascii="Traditional Arabic" w:hAnsi="Traditional Arabic"/>
          <w:sz w:val="32"/>
          <w:szCs w:val="32"/>
          <w:rtl/>
        </w:rPr>
        <w:t>[النساء: 65]</w:t>
      </w:r>
      <w:r>
        <w:rPr>
          <w:rFonts w:ascii="Traditional Arabic" w:hAnsi="Traditional Arabic" w:hint="cs"/>
          <w:sz w:val="32"/>
          <w:szCs w:val="32"/>
          <w:rtl/>
        </w:rPr>
        <w:t xml:space="preserve">. </w:t>
      </w:r>
    </w:p>
  </w:footnote>
  <w:footnote w:id="1719">
    <w:p w:rsidR="003F128F" w:rsidRPr="002B2072" w:rsidRDefault="003F128F" w:rsidP="00885058">
      <w:pPr>
        <w:pStyle w:val="af3"/>
        <w:rPr>
          <w:rFonts w:ascii="Traditional Arabic" w:hAnsi="Traditional Arabic"/>
          <w:sz w:val="32"/>
          <w:szCs w:val="32"/>
        </w:rPr>
      </w:pPr>
      <w:r w:rsidRPr="002B2072">
        <w:rPr>
          <w:rFonts w:ascii="Traditional Arabic" w:hAnsi="Traditional Arabic"/>
          <w:sz w:val="32"/>
          <w:szCs w:val="32"/>
          <w:rtl/>
        </w:rPr>
        <w:t>(</w:t>
      </w:r>
      <w:r w:rsidRPr="002B2072">
        <w:rPr>
          <w:rStyle w:val="ae"/>
          <w:rFonts w:ascii="Traditional Arabic" w:hAnsi="Traditional Arabic"/>
          <w:sz w:val="32"/>
          <w:szCs w:val="32"/>
          <w:vertAlign w:val="baseline"/>
        </w:rPr>
        <w:footnoteRef/>
      </w:r>
      <w:r w:rsidRPr="002B2072">
        <w:rPr>
          <w:rFonts w:ascii="Traditional Arabic" w:hAnsi="Traditional Arabic"/>
          <w:sz w:val="32"/>
          <w:szCs w:val="32"/>
          <w:rtl/>
        </w:rPr>
        <w:t>) انظر: مجمل اللغة (1/178).</w:t>
      </w:r>
    </w:p>
  </w:footnote>
  <w:footnote w:id="1720">
    <w:p w:rsidR="003F128F" w:rsidRPr="003062C1" w:rsidRDefault="003F128F" w:rsidP="00885058">
      <w:pPr>
        <w:pStyle w:val="af3"/>
        <w:rPr>
          <w:rFonts w:ascii="Traditional Arabic" w:hAnsi="Traditional Arabic"/>
          <w:sz w:val="32"/>
          <w:szCs w:val="32"/>
        </w:rPr>
      </w:pPr>
      <w:r w:rsidRPr="003062C1">
        <w:rPr>
          <w:rFonts w:ascii="Traditional Arabic" w:hAnsi="Traditional Arabic"/>
          <w:sz w:val="32"/>
          <w:szCs w:val="32"/>
          <w:rtl/>
        </w:rPr>
        <w:t>(</w:t>
      </w:r>
      <w:r w:rsidRPr="003062C1">
        <w:rPr>
          <w:rStyle w:val="ae"/>
          <w:rFonts w:ascii="Traditional Arabic" w:hAnsi="Traditional Arabic"/>
          <w:sz w:val="32"/>
          <w:szCs w:val="32"/>
          <w:vertAlign w:val="baseline"/>
        </w:rPr>
        <w:footnoteRef/>
      </w:r>
      <w:r w:rsidRPr="003062C1">
        <w:rPr>
          <w:rFonts w:ascii="Traditional Arabic" w:hAnsi="Traditional Arabic"/>
          <w:sz w:val="32"/>
          <w:szCs w:val="32"/>
          <w:rtl/>
        </w:rPr>
        <w:t xml:space="preserve">) انظر: مختصر الشواذ (ص84), شواذ القراءة (ص142).  </w:t>
      </w:r>
    </w:p>
  </w:footnote>
  <w:footnote w:id="1721">
    <w:p w:rsidR="003F128F" w:rsidRPr="003062C1" w:rsidRDefault="003F128F" w:rsidP="00885058">
      <w:pPr>
        <w:pStyle w:val="af3"/>
        <w:rPr>
          <w:rFonts w:ascii="Traditional Arabic" w:hAnsi="Traditional Arabic"/>
          <w:sz w:val="32"/>
          <w:szCs w:val="32"/>
        </w:rPr>
      </w:pPr>
      <w:r w:rsidRPr="003062C1">
        <w:rPr>
          <w:rFonts w:ascii="Traditional Arabic" w:hAnsi="Traditional Arabic"/>
          <w:sz w:val="32"/>
          <w:szCs w:val="32"/>
          <w:rtl/>
        </w:rPr>
        <w:t>(</w:t>
      </w:r>
      <w:r w:rsidRPr="003062C1">
        <w:rPr>
          <w:rStyle w:val="ae"/>
          <w:rFonts w:ascii="Traditional Arabic" w:hAnsi="Traditional Arabic"/>
          <w:sz w:val="32"/>
          <w:szCs w:val="32"/>
          <w:vertAlign w:val="baseline"/>
        </w:rPr>
        <w:footnoteRef/>
      </w:r>
      <w:r>
        <w:rPr>
          <w:rFonts w:ascii="Traditional Arabic" w:hAnsi="Traditional Arabic"/>
          <w:sz w:val="32"/>
          <w:szCs w:val="32"/>
          <w:rtl/>
        </w:rPr>
        <w:t>) في (ك): [</w:t>
      </w:r>
      <w:r>
        <w:rPr>
          <w:rFonts w:ascii="Traditional Arabic" w:hAnsi="Traditional Arabic" w:hint="cs"/>
          <w:sz w:val="32"/>
          <w:szCs w:val="32"/>
          <w:rtl/>
        </w:rPr>
        <w:t>ا</w:t>
      </w:r>
      <w:r w:rsidRPr="003062C1">
        <w:rPr>
          <w:rFonts w:ascii="Traditional Arabic" w:hAnsi="Traditional Arabic" w:hint="cs"/>
          <w:sz w:val="32"/>
          <w:szCs w:val="32"/>
          <w:rtl/>
        </w:rPr>
        <w:t>نقاصت</w:t>
      </w:r>
      <w:r w:rsidRPr="003062C1">
        <w:rPr>
          <w:rFonts w:ascii="Traditional Arabic" w:hAnsi="Traditional Arabic"/>
          <w:sz w:val="32"/>
          <w:szCs w:val="32"/>
          <w:rtl/>
        </w:rPr>
        <w:t>] بالصاد, والذي في الأصل موافق لما في كتاب معاني القرآن وإعرابه.</w:t>
      </w:r>
    </w:p>
  </w:footnote>
  <w:footnote w:id="1722">
    <w:p w:rsidR="003F128F" w:rsidRPr="003062C1" w:rsidRDefault="003F128F" w:rsidP="00885058">
      <w:pPr>
        <w:pStyle w:val="af3"/>
        <w:rPr>
          <w:rFonts w:ascii="Traditional Arabic" w:hAnsi="Traditional Arabic"/>
          <w:sz w:val="32"/>
          <w:szCs w:val="32"/>
        </w:rPr>
      </w:pPr>
      <w:r w:rsidRPr="003062C1">
        <w:rPr>
          <w:rFonts w:ascii="Traditional Arabic" w:hAnsi="Traditional Arabic"/>
          <w:sz w:val="32"/>
          <w:szCs w:val="32"/>
          <w:rtl/>
        </w:rPr>
        <w:t>(</w:t>
      </w:r>
      <w:r w:rsidRPr="003062C1">
        <w:rPr>
          <w:rStyle w:val="ae"/>
          <w:rFonts w:ascii="Traditional Arabic" w:hAnsi="Traditional Arabic"/>
          <w:sz w:val="32"/>
          <w:szCs w:val="32"/>
          <w:vertAlign w:val="baseline"/>
        </w:rPr>
        <w:footnoteRef/>
      </w:r>
      <w:r w:rsidRPr="003062C1">
        <w:rPr>
          <w:rFonts w:ascii="Traditional Arabic" w:hAnsi="Traditional Arabic"/>
          <w:sz w:val="32"/>
          <w:szCs w:val="32"/>
          <w:rtl/>
        </w:rPr>
        <w:t xml:space="preserve">) انظر: معاني القرآن وإعرابه (3/306).  </w:t>
      </w:r>
    </w:p>
  </w:footnote>
  <w:footnote w:id="1723">
    <w:p w:rsidR="003F128F" w:rsidRPr="002B2072" w:rsidRDefault="003F128F" w:rsidP="00885058">
      <w:pPr>
        <w:pStyle w:val="af3"/>
        <w:rPr>
          <w:rFonts w:ascii="Traditional Arabic" w:hAnsi="Traditional Arabic"/>
          <w:sz w:val="32"/>
          <w:szCs w:val="32"/>
        </w:rPr>
      </w:pPr>
      <w:r w:rsidRPr="003062C1">
        <w:rPr>
          <w:rFonts w:ascii="Traditional Arabic" w:hAnsi="Traditional Arabic"/>
          <w:sz w:val="32"/>
          <w:szCs w:val="32"/>
          <w:rtl/>
        </w:rPr>
        <w:t>(</w:t>
      </w:r>
      <w:r w:rsidRPr="003062C1">
        <w:rPr>
          <w:rStyle w:val="ae"/>
          <w:rFonts w:ascii="Traditional Arabic" w:hAnsi="Traditional Arabic"/>
          <w:sz w:val="32"/>
          <w:szCs w:val="32"/>
          <w:vertAlign w:val="baseline"/>
        </w:rPr>
        <w:footnoteRef/>
      </w:r>
      <w:r w:rsidRPr="003062C1">
        <w:rPr>
          <w:rFonts w:ascii="Traditional Arabic" w:hAnsi="Traditional Arabic"/>
          <w:sz w:val="32"/>
          <w:szCs w:val="32"/>
          <w:rtl/>
        </w:rPr>
        <w:t>) هو التابعي الامام</w:t>
      </w:r>
      <w:r>
        <w:rPr>
          <w:rFonts w:ascii="Traditional Arabic" w:hAnsi="Traditional Arabic" w:hint="cs"/>
          <w:sz w:val="32"/>
          <w:szCs w:val="32"/>
          <w:rtl/>
        </w:rPr>
        <w:t>,</w:t>
      </w:r>
      <w:r w:rsidRPr="003062C1">
        <w:rPr>
          <w:rFonts w:ascii="Traditional Arabic" w:hAnsi="Traditional Arabic"/>
          <w:sz w:val="32"/>
          <w:szCs w:val="32"/>
          <w:rtl/>
        </w:rPr>
        <w:t xml:space="preserve"> المقرئ</w:t>
      </w:r>
      <w:r>
        <w:rPr>
          <w:rFonts w:ascii="Traditional Arabic" w:hAnsi="Traditional Arabic" w:hint="cs"/>
          <w:sz w:val="32"/>
          <w:szCs w:val="32"/>
          <w:rtl/>
        </w:rPr>
        <w:t>,</w:t>
      </w:r>
      <w:r w:rsidRPr="003062C1">
        <w:rPr>
          <w:rFonts w:ascii="Traditional Arabic" w:hAnsi="Traditional Arabic"/>
          <w:sz w:val="32"/>
          <w:szCs w:val="32"/>
          <w:rtl/>
        </w:rPr>
        <w:t xml:space="preserve"> أبو هاشم</w:t>
      </w:r>
      <w:r>
        <w:rPr>
          <w:rFonts w:ascii="Traditional Arabic" w:hAnsi="Traditional Arabic" w:hint="cs"/>
          <w:sz w:val="32"/>
          <w:szCs w:val="32"/>
          <w:rtl/>
        </w:rPr>
        <w:t>,</w:t>
      </w:r>
      <w:r w:rsidRPr="003062C1">
        <w:rPr>
          <w:rFonts w:ascii="Traditional Arabic" w:hAnsi="Traditional Arabic"/>
          <w:sz w:val="32"/>
          <w:szCs w:val="32"/>
          <w:rtl/>
        </w:rPr>
        <w:t xml:space="preserve"> المغيرة بن مقسم الضبي</w:t>
      </w:r>
      <w:r w:rsidRPr="003062C1">
        <w:rPr>
          <w:rFonts w:ascii="Traditional Arabic" w:hAnsi="Traditional Arabic"/>
          <w:color w:val="800000"/>
          <w:sz w:val="32"/>
          <w:szCs w:val="32"/>
          <w:rtl/>
          <w:lang w:eastAsia="en-US"/>
        </w:rPr>
        <w:t xml:space="preserve"> </w:t>
      </w:r>
      <w:r w:rsidRPr="003062C1">
        <w:rPr>
          <w:rFonts w:ascii="Traditional Arabic" w:hAnsi="Traditional Arabic"/>
          <w:sz w:val="32"/>
          <w:szCs w:val="32"/>
          <w:rtl/>
        </w:rPr>
        <w:t>مولاهم, الكوفي, الفقيه, الأعمى، روى القراءة عن عاصم بن أبي النجود، ثقة,</w:t>
      </w:r>
      <w:r w:rsidRPr="002B2072">
        <w:rPr>
          <w:rFonts w:ascii="Traditional Arabic" w:hAnsi="Traditional Arabic"/>
          <w:sz w:val="32"/>
          <w:szCs w:val="32"/>
          <w:rtl/>
        </w:rPr>
        <w:t xml:space="preserve"> من صغار التابعين, (ت13</w:t>
      </w:r>
      <w:r w:rsidRPr="002B2072">
        <w:rPr>
          <w:rFonts w:ascii="Traditional Arabic" w:hAnsi="Traditional Arabic" w:hint="cs"/>
          <w:sz w:val="32"/>
          <w:szCs w:val="32"/>
          <w:rtl/>
        </w:rPr>
        <w:t>3</w:t>
      </w:r>
      <w:r w:rsidRPr="002B2072">
        <w:rPr>
          <w:rFonts w:ascii="Traditional Arabic" w:hAnsi="Traditional Arabic"/>
          <w:sz w:val="32"/>
          <w:szCs w:val="32"/>
          <w:rtl/>
        </w:rPr>
        <w:t>ه). انظر:</w:t>
      </w:r>
      <w:r w:rsidRPr="002B2072">
        <w:rPr>
          <w:rFonts w:ascii="Traditional Arabic" w:hAnsi="Traditional Arabic" w:hint="cs"/>
          <w:sz w:val="32"/>
          <w:szCs w:val="32"/>
          <w:rtl/>
        </w:rPr>
        <w:t xml:space="preserve"> تهذيب الكمال (28/397),</w:t>
      </w:r>
      <w:r w:rsidRPr="002B2072">
        <w:rPr>
          <w:rFonts w:ascii="Traditional Arabic" w:hAnsi="Traditional Arabic"/>
          <w:sz w:val="32"/>
          <w:szCs w:val="32"/>
          <w:rtl/>
        </w:rPr>
        <w:t xml:space="preserve">  غاية النهاية (2/40</w:t>
      </w:r>
      <w:r w:rsidRPr="002B2072">
        <w:rPr>
          <w:rFonts w:ascii="Traditional Arabic" w:hAnsi="Traditional Arabic" w:hint="cs"/>
          <w:sz w:val="32"/>
          <w:szCs w:val="32"/>
          <w:rtl/>
        </w:rPr>
        <w:t>1</w:t>
      </w:r>
      <w:r w:rsidRPr="002B2072">
        <w:rPr>
          <w:rFonts w:ascii="Traditional Arabic" w:hAnsi="Traditional Arabic"/>
          <w:sz w:val="32"/>
          <w:szCs w:val="32"/>
          <w:rtl/>
        </w:rPr>
        <w:t>).</w:t>
      </w:r>
    </w:p>
  </w:footnote>
  <w:footnote w:id="1724">
    <w:p w:rsidR="003F128F" w:rsidRPr="00C326C8" w:rsidRDefault="003F128F" w:rsidP="00885058">
      <w:pPr>
        <w:pStyle w:val="af3"/>
        <w:rPr>
          <w:rFonts w:ascii="Traditional Arabic" w:hAnsi="Traditional Arabic"/>
          <w:sz w:val="32"/>
          <w:szCs w:val="32"/>
        </w:rPr>
      </w:pPr>
      <w:r w:rsidRPr="00C326C8">
        <w:rPr>
          <w:rFonts w:ascii="Traditional Arabic" w:hAnsi="Traditional Arabic"/>
          <w:sz w:val="32"/>
          <w:szCs w:val="32"/>
          <w:rtl/>
        </w:rPr>
        <w:t>(</w:t>
      </w:r>
      <w:r w:rsidRPr="00C326C8">
        <w:rPr>
          <w:rStyle w:val="ae"/>
          <w:rFonts w:ascii="Traditional Arabic" w:hAnsi="Traditional Arabic"/>
          <w:sz w:val="32"/>
          <w:szCs w:val="32"/>
          <w:vertAlign w:val="baseline"/>
        </w:rPr>
        <w:footnoteRef/>
      </w:r>
      <w:r w:rsidRPr="00C326C8">
        <w:rPr>
          <w:rFonts w:ascii="Traditional Arabic" w:hAnsi="Traditional Arabic"/>
          <w:sz w:val="32"/>
          <w:szCs w:val="32"/>
          <w:rtl/>
        </w:rPr>
        <w:t xml:space="preserve">) لم أقف عليه فيما لدي من مصادر. </w:t>
      </w:r>
    </w:p>
  </w:footnote>
  <w:footnote w:id="1725">
    <w:p w:rsidR="003F128F" w:rsidRPr="00C326C8" w:rsidRDefault="003F128F" w:rsidP="00885058">
      <w:pPr>
        <w:pStyle w:val="af3"/>
        <w:rPr>
          <w:rFonts w:ascii="Traditional Arabic" w:hAnsi="Traditional Arabic"/>
          <w:sz w:val="32"/>
          <w:szCs w:val="32"/>
        </w:rPr>
      </w:pPr>
      <w:r w:rsidRPr="00C326C8">
        <w:rPr>
          <w:rFonts w:ascii="Traditional Arabic" w:hAnsi="Traditional Arabic"/>
          <w:sz w:val="32"/>
          <w:szCs w:val="32"/>
          <w:rtl/>
        </w:rPr>
        <w:t>(</w:t>
      </w:r>
      <w:r w:rsidRPr="00C326C8">
        <w:rPr>
          <w:rStyle w:val="ae"/>
          <w:rFonts w:ascii="Traditional Arabic" w:hAnsi="Traditional Arabic"/>
          <w:sz w:val="32"/>
          <w:szCs w:val="32"/>
          <w:vertAlign w:val="baseline"/>
        </w:rPr>
        <w:footnoteRef/>
      </w:r>
      <w:r w:rsidRPr="00C326C8">
        <w:rPr>
          <w:rFonts w:ascii="Traditional Arabic" w:hAnsi="Traditional Arabic"/>
          <w:sz w:val="32"/>
          <w:szCs w:val="32"/>
          <w:rtl/>
        </w:rPr>
        <w:t>) في (ك): [يسكت].</w:t>
      </w:r>
    </w:p>
  </w:footnote>
  <w:footnote w:id="1726">
    <w:p w:rsidR="003F128F" w:rsidRPr="00C326C8" w:rsidRDefault="003F128F" w:rsidP="00885058">
      <w:pPr>
        <w:pStyle w:val="af3"/>
        <w:rPr>
          <w:rFonts w:ascii="Traditional Arabic" w:hAnsi="Traditional Arabic"/>
          <w:sz w:val="32"/>
          <w:szCs w:val="32"/>
        </w:rPr>
      </w:pPr>
      <w:r w:rsidRPr="00C326C8">
        <w:rPr>
          <w:rFonts w:ascii="Traditional Arabic" w:hAnsi="Traditional Arabic"/>
          <w:sz w:val="32"/>
          <w:szCs w:val="32"/>
          <w:rtl/>
        </w:rPr>
        <w:t>(</w:t>
      </w:r>
      <w:r w:rsidRPr="00C326C8">
        <w:rPr>
          <w:rStyle w:val="ae"/>
          <w:rFonts w:ascii="Traditional Arabic" w:hAnsi="Traditional Arabic"/>
          <w:sz w:val="32"/>
          <w:szCs w:val="32"/>
          <w:vertAlign w:val="baseline"/>
        </w:rPr>
        <w:footnoteRef/>
      </w:r>
      <w:r w:rsidRPr="00C326C8">
        <w:rPr>
          <w:rFonts w:ascii="Traditional Arabic" w:hAnsi="Traditional Arabic"/>
          <w:sz w:val="32"/>
          <w:szCs w:val="32"/>
          <w:rtl/>
        </w:rPr>
        <w:t>) انظر: تفسير الطبري (18/78), معاني القرآن وإعرابه (3/306)</w:t>
      </w:r>
      <w:r>
        <w:rPr>
          <w:rFonts w:ascii="Traditional Arabic" w:hAnsi="Traditional Arabic" w:hint="cs"/>
          <w:sz w:val="32"/>
          <w:szCs w:val="32"/>
          <w:rtl/>
        </w:rPr>
        <w:t>.</w:t>
      </w:r>
      <w:r w:rsidRPr="00C326C8">
        <w:rPr>
          <w:rFonts w:ascii="Traditional Arabic" w:hAnsi="Traditional Arabic"/>
          <w:sz w:val="32"/>
          <w:szCs w:val="32"/>
          <w:rtl/>
        </w:rPr>
        <w:t xml:space="preserve"> </w:t>
      </w:r>
    </w:p>
  </w:footnote>
  <w:footnote w:id="1727">
    <w:p w:rsidR="003F128F" w:rsidRPr="00C326C8" w:rsidRDefault="003F128F" w:rsidP="00885058">
      <w:pPr>
        <w:pStyle w:val="af3"/>
        <w:rPr>
          <w:rFonts w:ascii="Traditional Arabic" w:hAnsi="Traditional Arabic"/>
          <w:sz w:val="32"/>
          <w:szCs w:val="32"/>
        </w:rPr>
      </w:pPr>
      <w:r w:rsidRPr="00C326C8">
        <w:rPr>
          <w:rFonts w:ascii="Traditional Arabic" w:hAnsi="Traditional Arabic"/>
          <w:sz w:val="32"/>
          <w:szCs w:val="32"/>
          <w:rtl/>
        </w:rPr>
        <w:t>(</w:t>
      </w:r>
      <w:r w:rsidRPr="00C326C8">
        <w:rPr>
          <w:rStyle w:val="ae"/>
          <w:rFonts w:ascii="Traditional Arabic" w:hAnsi="Traditional Arabic"/>
          <w:sz w:val="32"/>
          <w:szCs w:val="32"/>
          <w:vertAlign w:val="baseline"/>
        </w:rPr>
        <w:footnoteRef/>
      </w:r>
      <w:r w:rsidRPr="00C326C8">
        <w:rPr>
          <w:rFonts w:ascii="Traditional Arabic" w:hAnsi="Traditional Arabic"/>
          <w:sz w:val="32"/>
          <w:szCs w:val="32"/>
          <w:rtl/>
        </w:rPr>
        <w:t>) يَلُفُّ: يجمع. انظر: أساس البلاغة للزمخشري (2/175) مادة (لفف).</w:t>
      </w:r>
    </w:p>
  </w:footnote>
  <w:footnote w:id="1728">
    <w:p w:rsidR="003F128F" w:rsidRPr="00C326C8" w:rsidRDefault="003F128F" w:rsidP="00885058">
      <w:pPr>
        <w:pStyle w:val="af3"/>
        <w:rPr>
          <w:rFonts w:ascii="Traditional Arabic" w:hAnsi="Traditional Arabic"/>
          <w:sz w:val="32"/>
          <w:szCs w:val="32"/>
        </w:rPr>
      </w:pPr>
      <w:r w:rsidRPr="00C326C8">
        <w:rPr>
          <w:rFonts w:ascii="Traditional Arabic" w:hAnsi="Traditional Arabic"/>
          <w:sz w:val="32"/>
          <w:szCs w:val="32"/>
          <w:rtl/>
        </w:rPr>
        <w:t>(</w:t>
      </w:r>
      <w:r w:rsidRPr="00C326C8">
        <w:rPr>
          <w:rStyle w:val="ae"/>
          <w:rFonts w:ascii="Traditional Arabic" w:hAnsi="Traditional Arabic"/>
          <w:sz w:val="32"/>
          <w:szCs w:val="32"/>
          <w:vertAlign w:val="baseline"/>
        </w:rPr>
        <w:footnoteRef/>
      </w:r>
      <w:r w:rsidRPr="00C326C8">
        <w:rPr>
          <w:rFonts w:ascii="Traditional Arabic" w:hAnsi="Traditional Arabic"/>
          <w:sz w:val="32"/>
          <w:szCs w:val="32"/>
          <w:rtl/>
        </w:rPr>
        <w:t>) شَمْلِي: مَا تَشَتَّتَ مِنْ أَمري. انظر: اللسان (11/370) مادة (شمل).</w:t>
      </w:r>
    </w:p>
  </w:footnote>
  <w:footnote w:id="1729">
    <w:p w:rsidR="003F128F" w:rsidRPr="00DD4626" w:rsidRDefault="003F128F" w:rsidP="00885058">
      <w:pPr>
        <w:pStyle w:val="af3"/>
        <w:rPr>
          <w:rFonts w:ascii="Traditional Arabic" w:hAnsi="Traditional Arabic"/>
          <w:sz w:val="32"/>
          <w:szCs w:val="32"/>
        </w:rPr>
      </w:pPr>
      <w:r w:rsidRPr="00C326C8">
        <w:rPr>
          <w:rFonts w:ascii="Traditional Arabic" w:hAnsi="Traditional Arabic"/>
          <w:sz w:val="32"/>
          <w:szCs w:val="32"/>
          <w:rtl/>
        </w:rPr>
        <w:t>(</w:t>
      </w:r>
      <w:r w:rsidRPr="00C326C8">
        <w:rPr>
          <w:rStyle w:val="ae"/>
          <w:rFonts w:ascii="Traditional Arabic" w:hAnsi="Traditional Arabic"/>
          <w:sz w:val="32"/>
          <w:szCs w:val="32"/>
          <w:vertAlign w:val="baseline"/>
        </w:rPr>
        <w:footnoteRef/>
      </w:r>
      <w:r w:rsidRPr="00C326C8">
        <w:rPr>
          <w:rFonts w:ascii="Traditional Arabic" w:hAnsi="Traditional Arabic"/>
          <w:sz w:val="32"/>
          <w:szCs w:val="32"/>
          <w:rtl/>
        </w:rPr>
        <w:t>) الجُمل: جماعة</w:t>
      </w:r>
      <w:r w:rsidRPr="00DD4626">
        <w:rPr>
          <w:rFonts w:ascii="Traditional Arabic" w:hAnsi="Traditional Arabic"/>
          <w:sz w:val="32"/>
          <w:szCs w:val="32"/>
          <w:rtl/>
        </w:rPr>
        <w:t xml:space="preserve"> الشيء، وأجمل الشيء: جمعه عن تفرقه. انظر: العين (6/143) مادة (جمل). </w:t>
      </w:r>
    </w:p>
  </w:footnote>
  <w:footnote w:id="1730">
    <w:p w:rsidR="003F128F" w:rsidRPr="00C326C8" w:rsidRDefault="003F128F" w:rsidP="00885058">
      <w:pPr>
        <w:pStyle w:val="af3"/>
        <w:rPr>
          <w:rFonts w:ascii="Traditional Arabic" w:hAnsi="Traditional Arabic"/>
          <w:color w:val="auto"/>
          <w:sz w:val="32"/>
          <w:szCs w:val="32"/>
        </w:rPr>
      </w:pPr>
      <w:r w:rsidRPr="00DD4626">
        <w:rPr>
          <w:rFonts w:ascii="Traditional Arabic" w:hAnsi="Traditional Arabic"/>
          <w:sz w:val="32"/>
          <w:szCs w:val="32"/>
          <w:rtl/>
        </w:rPr>
        <w:t>(</w:t>
      </w:r>
      <w:r w:rsidRPr="00C326C8">
        <w:rPr>
          <w:rStyle w:val="ae"/>
          <w:rFonts w:ascii="Traditional Arabic" w:hAnsi="Traditional Arabic"/>
          <w:color w:val="auto"/>
          <w:sz w:val="32"/>
          <w:szCs w:val="32"/>
          <w:vertAlign w:val="baseline"/>
        </w:rPr>
        <w:footnoteRef/>
      </w:r>
      <w:r w:rsidRPr="00C326C8">
        <w:rPr>
          <w:rFonts w:ascii="Traditional Arabic" w:hAnsi="Traditional Arabic"/>
          <w:color w:val="auto"/>
          <w:sz w:val="32"/>
          <w:szCs w:val="32"/>
          <w:rtl/>
        </w:rPr>
        <w:t>) البيت في ديوان عمر بن أبي ربيعة (ص378) بلفظ: " إِنَّ دهْراً يَلُفُّ شَمْلِي</w:t>
      </w:r>
      <w:r w:rsidRPr="00C326C8">
        <w:rPr>
          <w:rFonts w:ascii="Traditional Arabic" w:hAnsi="Traditional Arabic"/>
          <w:color w:val="auto"/>
          <w:sz w:val="32"/>
          <w:szCs w:val="32"/>
          <w:vertAlign w:val="superscript"/>
          <w:rtl/>
        </w:rPr>
        <w:t xml:space="preserve"> </w:t>
      </w:r>
      <w:r w:rsidRPr="00C326C8">
        <w:rPr>
          <w:rFonts w:ascii="Traditional Arabic" w:hAnsi="Traditional Arabic"/>
          <w:color w:val="auto"/>
          <w:sz w:val="32"/>
          <w:szCs w:val="32"/>
          <w:rtl/>
        </w:rPr>
        <w:t>بسُعدَى..." بدل "بجمل".</w:t>
      </w:r>
    </w:p>
  </w:footnote>
  <w:footnote w:id="1731">
    <w:p w:rsidR="003F128F" w:rsidRPr="00C326C8" w:rsidRDefault="003F128F" w:rsidP="00885058">
      <w:pPr>
        <w:pStyle w:val="af3"/>
        <w:rPr>
          <w:rFonts w:ascii="Traditional Arabic" w:hAnsi="Traditional Arabic"/>
          <w:color w:val="auto"/>
          <w:sz w:val="32"/>
          <w:szCs w:val="32"/>
        </w:rPr>
      </w:pPr>
      <w:r w:rsidRPr="00C326C8">
        <w:rPr>
          <w:rFonts w:ascii="Traditional Arabic" w:hAnsi="Traditional Arabic"/>
          <w:color w:val="auto"/>
          <w:sz w:val="32"/>
          <w:szCs w:val="32"/>
          <w:rtl/>
        </w:rPr>
        <w:t>(</w:t>
      </w:r>
      <w:r w:rsidRPr="00C326C8">
        <w:rPr>
          <w:rStyle w:val="ae"/>
          <w:rFonts w:ascii="Traditional Arabic" w:hAnsi="Traditional Arabic"/>
          <w:color w:val="auto"/>
          <w:sz w:val="32"/>
          <w:szCs w:val="32"/>
          <w:vertAlign w:val="baseline"/>
        </w:rPr>
        <w:footnoteRef/>
      </w:r>
      <w:r>
        <w:rPr>
          <w:rFonts w:ascii="Traditional Arabic" w:hAnsi="Traditional Arabic"/>
          <w:color w:val="auto"/>
          <w:sz w:val="32"/>
          <w:szCs w:val="32"/>
          <w:rtl/>
        </w:rPr>
        <w:t>)</w:t>
      </w:r>
      <w:r w:rsidRPr="00C326C8">
        <w:rPr>
          <w:rFonts w:ascii="Traditional Arabic" w:hAnsi="Traditional Arabic"/>
          <w:color w:val="auto"/>
          <w:sz w:val="32"/>
          <w:szCs w:val="32"/>
          <w:rtl/>
        </w:rPr>
        <w:t xml:space="preserve"> البيت للراعي كما في معاني القرآن وإعرابه (3/306), والكشف والبيان (6/185), والكشاف (2/737), وغيرها.</w:t>
      </w:r>
    </w:p>
  </w:footnote>
  <w:footnote w:id="1732">
    <w:p w:rsidR="003F128F" w:rsidRPr="00C326C8" w:rsidRDefault="003F128F" w:rsidP="00885058">
      <w:pPr>
        <w:pStyle w:val="af3"/>
        <w:rPr>
          <w:rFonts w:ascii="Traditional Arabic" w:hAnsi="Traditional Arabic"/>
          <w:color w:val="auto"/>
          <w:sz w:val="32"/>
          <w:szCs w:val="32"/>
        </w:rPr>
      </w:pPr>
      <w:r w:rsidRPr="00C326C8">
        <w:rPr>
          <w:rFonts w:ascii="Traditional Arabic" w:hAnsi="Traditional Arabic"/>
          <w:color w:val="auto"/>
          <w:sz w:val="32"/>
          <w:szCs w:val="32"/>
          <w:rtl/>
        </w:rPr>
        <w:t>(</w:t>
      </w:r>
      <w:r w:rsidRPr="00C326C8">
        <w:rPr>
          <w:rStyle w:val="ae"/>
          <w:rFonts w:ascii="Traditional Arabic" w:hAnsi="Traditional Arabic"/>
          <w:color w:val="auto"/>
          <w:sz w:val="32"/>
          <w:szCs w:val="32"/>
          <w:vertAlign w:val="baseline"/>
        </w:rPr>
        <w:footnoteRef/>
      </w:r>
      <w:r w:rsidRPr="00C326C8">
        <w:rPr>
          <w:rFonts w:ascii="Traditional Arabic" w:hAnsi="Traditional Arabic"/>
          <w:color w:val="auto"/>
          <w:sz w:val="32"/>
          <w:szCs w:val="32"/>
          <w:rtl/>
        </w:rPr>
        <w:t xml:space="preserve">) </w:t>
      </w:r>
      <w:r>
        <w:rPr>
          <w:rFonts w:ascii="Traditional Arabic" w:hAnsi="Traditional Arabic"/>
          <w:color w:val="auto"/>
          <w:sz w:val="32"/>
          <w:szCs w:val="32"/>
          <w:rtl/>
        </w:rPr>
        <w:t>في (ك) قدم</w:t>
      </w:r>
      <w:r>
        <w:rPr>
          <w:rFonts w:ascii="Traditional Arabic" w:hAnsi="Traditional Arabic" w:hint="cs"/>
          <w:color w:val="auto"/>
          <w:sz w:val="32"/>
          <w:szCs w:val="32"/>
          <w:rtl/>
        </w:rPr>
        <w:t xml:space="preserve"> </w:t>
      </w:r>
      <w:r w:rsidRPr="00C326C8">
        <w:rPr>
          <w:rFonts w:ascii="Traditional Arabic" w:hAnsi="Traditional Arabic"/>
          <w:color w:val="auto"/>
          <w:sz w:val="32"/>
          <w:szCs w:val="32"/>
          <w:rtl/>
        </w:rPr>
        <w:t>بيت</w:t>
      </w:r>
      <w:r>
        <w:rPr>
          <w:rFonts w:ascii="Traditional Arabic" w:hAnsi="Traditional Arabic" w:hint="cs"/>
          <w:color w:val="auto"/>
          <w:sz w:val="32"/>
          <w:szCs w:val="32"/>
          <w:rtl/>
        </w:rPr>
        <w:t xml:space="preserve"> الشعر هذا</w:t>
      </w:r>
      <w:r w:rsidRPr="00C326C8">
        <w:rPr>
          <w:rFonts w:ascii="Traditional Arabic" w:hAnsi="Traditional Arabic"/>
          <w:color w:val="auto"/>
          <w:sz w:val="32"/>
          <w:szCs w:val="32"/>
          <w:rtl/>
        </w:rPr>
        <w:t xml:space="preserve"> على</w:t>
      </w:r>
      <w:r>
        <w:rPr>
          <w:rFonts w:ascii="Traditional Arabic" w:hAnsi="Traditional Arabic" w:hint="cs"/>
          <w:color w:val="auto"/>
          <w:sz w:val="32"/>
          <w:szCs w:val="32"/>
          <w:rtl/>
        </w:rPr>
        <w:t xml:space="preserve"> البيت</w:t>
      </w:r>
      <w:r w:rsidRPr="00C326C8">
        <w:rPr>
          <w:rFonts w:ascii="Traditional Arabic" w:hAnsi="Traditional Arabic"/>
          <w:color w:val="auto"/>
          <w:sz w:val="32"/>
          <w:szCs w:val="32"/>
          <w:rtl/>
        </w:rPr>
        <w:t xml:space="preserve"> الذي قبله.</w:t>
      </w:r>
    </w:p>
  </w:footnote>
  <w:footnote w:id="1733">
    <w:p w:rsidR="003F128F" w:rsidRPr="00DD4626" w:rsidRDefault="003F128F" w:rsidP="00885058">
      <w:pPr>
        <w:pStyle w:val="af3"/>
        <w:rPr>
          <w:rFonts w:ascii="Traditional Arabic" w:hAnsi="Traditional Arabic"/>
          <w:sz w:val="32"/>
          <w:szCs w:val="32"/>
        </w:rPr>
      </w:pPr>
      <w:r w:rsidRPr="00C326C8">
        <w:rPr>
          <w:rFonts w:ascii="Traditional Arabic" w:hAnsi="Traditional Arabic"/>
          <w:color w:val="auto"/>
          <w:sz w:val="32"/>
          <w:szCs w:val="32"/>
          <w:rtl/>
        </w:rPr>
        <w:t>(</w:t>
      </w:r>
      <w:r w:rsidRPr="00C326C8">
        <w:rPr>
          <w:rStyle w:val="ae"/>
          <w:rFonts w:ascii="Traditional Arabic" w:hAnsi="Traditional Arabic"/>
          <w:color w:val="auto"/>
          <w:sz w:val="32"/>
          <w:szCs w:val="32"/>
          <w:vertAlign w:val="baseline"/>
        </w:rPr>
        <w:footnoteRef/>
      </w:r>
      <w:r w:rsidRPr="00C326C8">
        <w:rPr>
          <w:rFonts w:ascii="Traditional Arabic" w:hAnsi="Traditional Arabic"/>
          <w:color w:val="auto"/>
          <w:sz w:val="32"/>
          <w:szCs w:val="32"/>
          <w:rtl/>
        </w:rPr>
        <w:t>) انظر: رموز الكنوز (4/336).</w:t>
      </w:r>
    </w:p>
  </w:footnote>
  <w:footnote w:id="1734">
    <w:p w:rsidR="003F128F" w:rsidRPr="00DD4626" w:rsidRDefault="003F128F" w:rsidP="00295926">
      <w:pPr>
        <w:pStyle w:val="af3"/>
        <w:rPr>
          <w:rFonts w:ascii="Traditional Arabic" w:hAnsi="Traditional Arabic"/>
          <w:sz w:val="32"/>
          <w:szCs w:val="32"/>
        </w:rPr>
      </w:pPr>
      <w:r w:rsidRPr="00DD4626">
        <w:rPr>
          <w:rFonts w:ascii="Traditional Arabic" w:hAnsi="Traditional Arabic"/>
          <w:sz w:val="32"/>
          <w:szCs w:val="32"/>
          <w:rtl/>
        </w:rPr>
        <w:t>(</w:t>
      </w:r>
      <w:r w:rsidRPr="00295926">
        <w:rPr>
          <w:rStyle w:val="ae"/>
          <w:rFonts w:ascii="Traditional Arabic" w:hAnsi="Traditional Arabic"/>
          <w:sz w:val="32"/>
          <w:szCs w:val="32"/>
          <w:vertAlign w:val="baseline"/>
        </w:rPr>
        <w:footnoteRef/>
      </w:r>
      <w:r w:rsidRPr="00295926">
        <w:rPr>
          <w:rFonts w:ascii="Traditional Arabic" w:hAnsi="Traditional Arabic"/>
          <w:sz w:val="32"/>
          <w:szCs w:val="32"/>
          <w:rtl/>
        </w:rPr>
        <w:t xml:space="preserve">) هو صدر بيت وعجزه: </w:t>
      </w:r>
      <w:r w:rsidRPr="00295926">
        <w:rPr>
          <w:rFonts w:ascii="Traditional Arabic" w:hAnsi="Traditional Arabic" w:hint="cs"/>
          <w:sz w:val="32"/>
          <w:szCs w:val="32"/>
          <w:rtl/>
        </w:rPr>
        <w:t>"</w:t>
      </w:r>
      <w:r w:rsidRPr="00295926">
        <w:rPr>
          <w:rFonts w:ascii="Traditional Arabic" w:hAnsi="Traditional Arabic"/>
          <w:sz w:val="32"/>
          <w:szCs w:val="32"/>
          <w:rtl/>
        </w:rPr>
        <w:t>صبرا جميلا</w:t>
      </w:r>
      <w:r w:rsidRPr="00295926">
        <w:rPr>
          <w:rFonts w:ascii="Traditional Arabic" w:hAnsi="Traditional Arabic" w:hint="cs"/>
          <w:sz w:val="32"/>
          <w:szCs w:val="32"/>
          <w:rtl/>
        </w:rPr>
        <w:t>ً</w:t>
      </w:r>
      <w:r w:rsidRPr="00295926">
        <w:rPr>
          <w:rFonts w:ascii="Traditional Arabic" w:hAnsi="Traditional Arabic"/>
          <w:sz w:val="32"/>
          <w:szCs w:val="32"/>
          <w:rtl/>
        </w:rPr>
        <w:t xml:space="preserve"> فكلانا مبتلى</w:t>
      </w:r>
      <w:r w:rsidRPr="00295926">
        <w:rPr>
          <w:rFonts w:ascii="Traditional Arabic" w:hAnsi="Traditional Arabic" w:hint="cs"/>
          <w:sz w:val="32"/>
          <w:szCs w:val="32"/>
          <w:rtl/>
        </w:rPr>
        <w:t>"</w:t>
      </w:r>
      <w:r w:rsidRPr="00295926">
        <w:rPr>
          <w:rFonts w:ascii="Traditional Arabic" w:hAnsi="Traditional Arabic"/>
          <w:sz w:val="32"/>
          <w:szCs w:val="32"/>
          <w:rtl/>
        </w:rPr>
        <w:t>.</w:t>
      </w:r>
      <w:r w:rsidRPr="00295926">
        <w:rPr>
          <w:rFonts w:ascii="Traditional Arabic" w:hAnsi="Traditional Arabic" w:hint="cs"/>
          <w:sz w:val="32"/>
          <w:szCs w:val="32"/>
          <w:rtl/>
        </w:rPr>
        <w:t xml:space="preserve"> وهو </w:t>
      </w:r>
      <w:r w:rsidRPr="00295926">
        <w:rPr>
          <w:rFonts w:ascii="Traditional Arabic" w:hAnsi="Traditional Arabic"/>
          <w:sz w:val="32"/>
          <w:szCs w:val="32"/>
          <w:rtl/>
        </w:rPr>
        <w:t xml:space="preserve">للمبلد بن حرملة </w:t>
      </w:r>
      <w:r w:rsidRPr="00295926">
        <w:rPr>
          <w:rFonts w:ascii="Traditional Arabic" w:hAnsi="Traditional Arabic" w:hint="cs"/>
          <w:sz w:val="32"/>
          <w:szCs w:val="32"/>
          <w:rtl/>
        </w:rPr>
        <w:t xml:space="preserve">كما </w:t>
      </w:r>
      <w:r w:rsidRPr="00295926">
        <w:rPr>
          <w:rFonts w:ascii="Traditional Arabic" w:hAnsi="Traditional Arabic"/>
          <w:sz w:val="32"/>
          <w:szCs w:val="32"/>
          <w:rtl/>
        </w:rPr>
        <w:t xml:space="preserve">في شرح أبيات سيبويه </w:t>
      </w:r>
      <w:r w:rsidRPr="00295926">
        <w:rPr>
          <w:rFonts w:ascii="Traditional Arabic" w:hAnsi="Traditional Arabic" w:hint="cs"/>
          <w:sz w:val="32"/>
          <w:szCs w:val="32"/>
          <w:rtl/>
        </w:rPr>
        <w:t xml:space="preserve">لأبي </w:t>
      </w:r>
      <w:r w:rsidRPr="00295926">
        <w:rPr>
          <w:rFonts w:ascii="Traditional Arabic" w:hAnsi="Traditional Arabic"/>
          <w:sz w:val="32"/>
          <w:szCs w:val="32"/>
          <w:rtl/>
        </w:rPr>
        <w:t xml:space="preserve">محمد السِّيرافي </w:t>
      </w:r>
      <w:r w:rsidRPr="00295926">
        <w:rPr>
          <w:rFonts w:ascii="Traditional Arabic" w:hAnsi="Traditional Arabic" w:hint="cs"/>
          <w:sz w:val="32"/>
          <w:szCs w:val="32"/>
          <w:rtl/>
        </w:rPr>
        <w:t>(1/71).</w:t>
      </w:r>
    </w:p>
  </w:footnote>
  <w:footnote w:id="1735">
    <w:p w:rsidR="003F128F" w:rsidRPr="00EC2672" w:rsidRDefault="003F128F" w:rsidP="00885058">
      <w:pPr>
        <w:pStyle w:val="af3"/>
        <w:rPr>
          <w:rFonts w:ascii="Tahoma" w:hAnsi="Tahoma"/>
        </w:rPr>
      </w:pPr>
      <w:r w:rsidRPr="00DD4626">
        <w:rPr>
          <w:rFonts w:ascii="Traditional Arabic" w:hAnsi="Traditional Arabic"/>
          <w:sz w:val="32"/>
          <w:szCs w:val="32"/>
          <w:rtl/>
        </w:rPr>
        <w:t>(</w:t>
      </w:r>
      <w:r w:rsidRPr="00DD4626">
        <w:rPr>
          <w:rStyle w:val="ae"/>
          <w:rFonts w:ascii="Traditional Arabic" w:hAnsi="Traditional Arabic"/>
          <w:sz w:val="32"/>
          <w:szCs w:val="32"/>
          <w:vertAlign w:val="baseline"/>
        </w:rPr>
        <w:footnoteRef/>
      </w:r>
      <w:r w:rsidRPr="00DD4626">
        <w:rPr>
          <w:rFonts w:ascii="Traditional Arabic" w:hAnsi="Traditional Arabic"/>
          <w:sz w:val="32"/>
          <w:szCs w:val="32"/>
          <w:rtl/>
        </w:rPr>
        <w:t>)</w:t>
      </w:r>
      <w:r w:rsidRPr="00DD4626">
        <w:rPr>
          <w:rFonts w:ascii="Tahoma" w:hAnsi="Tahoma"/>
          <w:sz w:val="32"/>
          <w:szCs w:val="32"/>
          <w:rtl/>
        </w:rPr>
        <w:t xml:space="preserve"> </w:t>
      </w:r>
      <w:r w:rsidRPr="00DD4626">
        <w:rPr>
          <w:rFonts w:ascii="Traditional Arabic" w:hAnsi="Traditional Arabic"/>
          <w:sz w:val="32"/>
          <w:szCs w:val="32"/>
          <w:rtl/>
        </w:rPr>
        <w:t>انظر: تفسير الطبري (18/</w:t>
      </w:r>
      <w:r w:rsidRPr="00DD4626">
        <w:rPr>
          <w:rFonts w:ascii="Traditional Arabic" w:hAnsi="Traditional Arabic" w:hint="cs"/>
          <w:sz w:val="32"/>
          <w:szCs w:val="32"/>
          <w:rtl/>
        </w:rPr>
        <w:t>81</w:t>
      </w:r>
      <w:r w:rsidRPr="00DD4626">
        <w:rPr>
          <w:rFonts w:ascii="Traditional Arabic" w:hAnsi="Traditional Arabic"/>
          <w:sz w:val="32"/>
          <w:szCs w:val="32"/>
          <w:rtl/>
        </w:rPr>
        <w:t>)</w:t>
      </w:r>
      <w:r w:rsidRPr="00DD4626">
        <w:rPr>
          <w:rFonts w:ascii="Tahoma" w:hAnsi="Tahoma" w:hint="cs"/>
          <w:sz w:val="32"/>
          <w:szCs w:val="32"/>
          <w:rtl/>
        </w:rPr>
        <w:t>, معالم التنزيل (5/193).</w:t>
      </w:r>
    </w:p>
  </w:footnote>
  <w:footnote w:id="1736">
    <w:p w:rsidR="003F128F" w:rsidRPr="00A239BA" w:rsidRDefault="003F128F" w:rsidP="00885058">
      <w:pPr>
        <w:pStyle w:val="af3"/>
        <w:rPr>
          <w:rFonts w:ascii="Traditional Arabic" w:hAnsi="Traditional Arabic"/>
          <w:sz w:val="32"/>
          <w:szCs w:val="32"/>
        </w:rPr>
      </w:pPr>
      <w:r w:rsidRPr="00A239BA">
        <w:rPr>
          <w:rFonts w:ascii="Traditional Arabic" w:hAnsi="Traditional Arabic"/>
          <w:sz w:val="32"/>
          <w:szCs w:val="32"/>
          <w:rtl/>
        </w:rPr>
        <w:t>(</w:t>
      </w:r>
      <w:r w:rsidRPr="00A239BA">
        <w:rPr>
          <w:rStyle w:val="ae"/>
          <w:rFonts w:ascii="Traditional Arabic" w:hAnsi="Traditional Arabic"/>
          <w:sz w:val="32"/>
          <w:szCs w:val="32"/>
          <w:vertAlign w:val="baseline"/>
        </w:rPr>
        <w:footnoteRef/>
      </w:r>
      <w:r w:rsidRPr="00A239BA">
        <w:rPr>
          <w:rFonts w:ascii="Traditional Arabic" w:hAnsi="Traditional Arabic"/>
          <w:sz w:val="32"/>
          <w:szCs w:val="32"/>
          <w:rtl/>
        </w:rPr>
        <w:t>)</w:t>
      </w:r>
      <w:r>
        <w:rPr>
          <w:rFonts w:ascii="Traditional Arabic" w:hAnsi="Traditional Arabic" w:hint="cs"/>
          <w:sz w:val="32"/>
          <w:szCs w:val="32"/>
          <w:rtl/>
        </w:rPr>
        <w:t xml:space="preserve"> </w:t>
      </w:r>
      <w:r w:rsidRPr="00A239BA">
        <w:rPr>
          <w:rFonts w:ascii="Traditional Arabic" w:hAnsi="Traditional Arabic"/>
          <w:sz w:val="32"/>
          <w:szCs w:val="32"/>
          <w:rtl/>
        </w:rPr>
        <w:t xml:space="preserve">انظر: السبعة في القراءات (ص396), معاني القراءات (2/117).     </w:t>
      </w:r>
    </w:p>
  </w:footnote>
  <w:footnote w:id="1737">
    <w:p w:rsidR="003F128F" w:rsidRPr="00A239BA" w:rsidRDefault="003F128F" w:rsidP="00885058">
      <w:pPr>
        <w:pStyle w:val="af3"/>
        <w:rPr>
          <w:rFonts w:ascii="Traditional Arabic" w:hAnsi="Traditional Arabic"/>
          <w:sz w:val="32"/>
          <w:szCs w:val="32"/>
        </w:rPr>
      </w:pPr>
      <w:r w:rsidRPr="00A239BA">
        <w:rPr>
          <w:rFonts w:ascii="Traditional Arabic" w:hAnsi="Traditional Arabic"/>
          <w:sz w:val="32"/>
          <w:szCs w:val="32"/>
          <w:rtl/>
        </w:rPr>
        <w:t>(</w:t>
      </w:r>
      <w:r w:rsidRPr="00A239BA">
        <w:rPr>
          <w:rStyle w:val="ae"/>
          <w:rFonts w:ascii="Traditional Arabic" w:hAnsi="Traditional Arabic"/>
          <w:sz w:val="32"/>
          <w:szCs w:val="32"/>
          <w:vertAlign w:val="baseline"/>
        </w:rPr>
        <w:footnoteRef/>
      </w:r>
      <w:r w:rsidRPr="00A239BA">
        <w:rPr>
          <w:rFonts w:ascii="Traditional Arabic" w:hAnsi="Traditional Arabic"/>
          <w:sz w:val="32"/>
          <w:szCs w:val="32"/>
          <w:rtl/>
        </w:rPr>
        <w:t>) انظر: معاني القرآن وإعرابه (3/306).</w:t>
      </w:r>
    </w:p>
  </w:footnote>
  <w:footnote w:id="1738">
    <w:p w:rsidR="003F128F" w:rsidRPr="00A239BA" w:rsidRDefault="003F128F" w:rsidP="00885058">
      <w:pPr>
        <w:pStyle w:val="af3"/>
        <w:rPr>
          <w:rFonts w:ascii="Traditional Arabic" w:hAnsi="Traditional Arabic"/>
          <w:sz w:val="32"/>
          <w:szCs w:val="32"/>
        </w:rPr>
      </w:pPr>
      <w:r w:rsidRPr="00A239BA">
        <w:rPr>
          <w:rFonts w:ascii="Traditional Arabic" w:hAnsi="Traditional Arabic"/>
          <w:sz w:val="32"/>
          <w:szCs w:val="32"/>
          <w:rtl/>
        </w:rPr>
        <w:t>(</w:t>
      </w:r>
      <w:r w:rsidRPr="00A239BA">
        <w:rPr>
          <w:rStyle w:val="ae"/>
          <w:rFonts w:ascii="Traditional Arabic" w:hAnsi="Traditional Arabic"/>
          <w:sz w:val="32"/>
          <w:szCs w:val="32"/>
          <w:vertAlign w:val="baseline"/>
        </w:rPr>
        <w:footnoteRef/>
      </w:r>
      <w:r w:rsidRPr="00A239BA">
        <w:rPr>
          <w:rFonts w:ascii="Traditional Arabic" w:hAnsi="Traditional Arabic"/>
          <w:sz w:val="32"/>
          <w:szCs w:val="32"/>
          <w:rtl/>
        </w:rPr>
        <w:t>) انظر: المصدر السابق (3/304).</w:t>
      </w:r>
    </w:p>
  </w:footnote>
  <w:footnote w:id="1739">
    <w:p w:rsidR="003F128F" w:rsidRPr="00A239BA" w:rsidRDefault="003F128F" w:rsidP="00885058">
      <w:pPr>
        <w:pStyle w:val="af3"/>
        <w:rPr>
          <w:rFonts w:ascii="Traditional Arabic" w:hAnsi="Traditional Arabic"/>
          <w:sz w:val="32"/>
          <w:szCs w:val="32"/>
        </w:rPr>
      </w:pPr>
      <w:r w:rsidRPr="00A239BA">
        <w:rPr>
          <w:rFonts w:ascii="Traditional Arabic" w:hAnsi="Traditional Arabic"/>
          <w:sz w:val="32"/>
          <w:szCs w:val="32"/>
          <w:rtl/>
        </w:rPr>
        <w:t>(</w:t>
      </w:r>
      <w:r w:rsidRPr="00A239BA">
        <w:rPr>
          <w:rStyle w:val="ae"/>
          <w:rFonts w:ascii="Traditional Arabic" w:hAnsi="Traditional Arabic"/>
          <w:sz w:val="32"/>
          <w:szCs w:val="32"/>
          <w:vertAlign w:val="baseline"/>
        </w:rPr>
        <w:footnoteRef/>
      </w:r>
      <w:r w:rsidRPr="00A239BA">
        <w:rPr>
          <w:rFonts w:ascii="Traditional Arabic" w:hAnsi="Traditional Arabic"/>
          <w:sz w:val="32"/>
          <w:szCs w:val="32"/>
          <w:rtl/>
        </w:rPr>
        <w:t>)</w:t>
      </w:r>
      <w:r>
        <w:rPr>
          <w:rFonts w:ascii="Traditional Arabic" w:hAnsi="Traditional Arabic" w:hint="cs"/>
          <w:sz w:val="32"/>
          <w:szCs w:val="32"/>
          <w:rtl/>
        </w:rPr>
        <w:t xml:space="preserve"> </w:t>
      </w:r>
      <w:r w:rsidRPr="00A239BA">
        <w:rPr>
          <w:rFonts w:ascii="Traditional Arabic" w:hAnsi="Traditional Arabic"/>
          <w:sz w:val="32"/>
          <w:szCs w:val="32"/>
          <w:rtl/>
        </w:rPr>
        <w:t xml:space="preserve">انظر: شواذ القراءة (ص142), الكامل في القراءات العشر (ص593).  </w:t>
      </w:r>
    </w:p>
  </w:footnote>
  <w:footnote w:id="1740">
    <w:p w:rsidR="003F128F" w:rsidRPr="00A239BA" w:rsidRDefault="003F128F" w:rsidP="00885058">
      <w:pPr>
        <w:pStyle w:val="af3"/>
        <w:rPr>
          <w:rFonts w:ascii="Traditional Arabic" w:hAnsi="Traditional Arabic"/>
          <w:sz w:val="32"/>
          <w:szCs w:val="32"/>
        </w:rPr>
      </w:pPr>
      <w:r w:rsidRPr="00A239BA">
        <w:rPr>
          <w:rFonts w:ascii="Traditional Arabic" w:hAnsi="Traditional Arabic"/>
          <w:sz w:val="32"/>
          <w:szCs w:val="32"/>
          <w:rtl/>
        </w:rPr>
        <w:t>(</w:t>
      </w:r>
      <w:r w:rsidRPr="00A239BA">
        <w:rPr>
          <w:rStyle w:val="ae"/>
          <w:rFonts w:ascii="Traditional Arabic" w:hAnsi="Traditional Arabic"/>
          <w:sz w:val="32"/>
          <w:szCs w:val="32"/>
          <w:vertAlign w:val="baseline"/>
        </w:rPr>
        <w:footnoteRef/>
      </w:r>
      <w:r w:rsidRPr="00A239BA">
        <w:rPr>
          <w:rFonts w:ascii="Traditional Arabic" w:hAnsi="Traditional Arabic"/>
          <w:sz w:val="32"/>
          <w:szCs w:val="32"/>
          <w:rtl/>
        </w:rPr>
        <w:t>) انظر: تفسير الطبري (18/63), التفسير البسيط (14/109).</w:t>
      </w:r>
    </w:p>
  </w:footnote>
  <w:footnote w:id="1741">
    <w:p w:rsidR="003F128F" w:rsidRPr="00D8415F" w:rsidRDefault="003F128F" w:rsidP="00885058">
      <w:pPr>
        <w:pStyle w:val="af3"/>
        <w:rPr>
          <w:rFonts w:ascii="Traditional Arabic" w:hAnsi="Traditional Arabic"/>
          <w:sz w:val="32"/>
          <w:szCs w:val="32"/>
        </w:rPr>
      </w:pPr>
      <w:r w:rsidRPr="00D8415F">
        <w:rPr>
          <w:rFonts w:ascii="Traditional Arabic" w:hAnsi="Traditional Arabic"/>
          <w:sz w:val="32"/>
          <w:szCs w:val="32"/>
          <w:rtl/>
        </w:rPr>
        <w:t>(</w:t>
      </w:r>
      <w:r w:rsidRPr="00D8415F">
        <w:rPr>
          <w:rStyle w:val="ae"/>
          <w:rFonts w:ascii="Traditional Arabic" w:hAnsi="Traditional Arabic"/>
          <w:sz w:val="32"/>
          <w:szCs w:val="32"/>
          <w:vertAlign w:val="baseline"/>
        </w:rPr>
        <w:footnoteRef/>
      </w:r>
      <w:r w:rsidRPr="00D8415F">
        <w:rPr>
          <w:rFonts w:ascii="Traditional Arabic" w:hAnsi="Traditional Arabic"/>
          <w:sz w:val="32"/>
          <w:szCs w:val="32"/>
          <w:rtl/>
        </w:rPr>
        <w:t>) انظر: النكت والعيون (3/332), التفسير ال</w:t>
      </w:r>
      <w:r w:rsidRPr="00D8415F">
        <w:rPr>
          <w:rFonts w:ascii="Traditional Arabic" w:hAnsi="Traditional Arabic" w:hint="cs"/>
          <w:sz w:val="32"/>
          <w:szCs w:val="32"/>
          <w:rtl/>
        </w:rPr>
        <w:t>و</w:t>
      </w:r>
      <w:r w:rsidRPr="00D8415F">
        <w:rPr>
          <w:rFonts w:ascii="Traditional Arabic" w:hAnsi="Traditional Arabic"/>
          <w:sz w:val="32"/>
          <w:szCs w:val="32"/>
          <w:rtl/>
        </w:rPr>
        <w:t>سيط (3/160).</w:t>
      </w:r>
    </w:p>
  </w:footnote>
  <w:footnote w:id="1742">
    <w:p w:rsidR="003F128F" w:rsidRPr="00D8415F" w:rsidRDefault="003F128F" w:rsidP="00FF11FE">
      <w:pPr>
        <w:pStyle w:val="af3"/>
        <w:rPr>
          <w:rFonts w:ascii="Traditional Arabic" w:hAnsi="Traditional Arabic"/>
          <w:sz w:val="32"/>
          <w:szCs w:val="32"/>
        </w:rPr>
      </w:pPr>
      <w:r w:rsidRPr="00D8415F">
        <w:rPr>
          <w:rFonts w:ascii="Traditional Arabic" w:hAnsi="Traditional Arabic"/>
          <w:sz w:val="32"/>
          <w:szCs w:val="32"/>
          <w:rtl/>
        </w:rPr>
        <w:t>(</w:t>
      </w:r>
      <w:r w:rsidRPr="00D8415F">
        <w:rPr>
          <w:rStyle w:val="ae"/>
          <w:rFonts w:ascii="Traditional Arabic" w:hAnsi="Traditional Arabic"/>
          <w:sz w:val="32"/>
          <w:szCs w:val="32"/>
          <w:vertAlign w:val="baseline"/>
        </w:rPr>
        <w:footnoteRef/>
      </w:r>
      <w:r w:rsidRPr="00D8415F">
        <w:rPr>
          <w:rFonts w:ascii="Traditional Arabic" w:hAnsi="Traditional Arabic"/>
          <w:sz w:val="32"/>
          <w:szCs w:val="32"/>
          <w:rtl/>
        </w:rPr>
        <w:t>)</w:t>
      </w:r>
      <w:r w:rsidRPr="00D8415F">
        <w:rPr>
          <w:rFonts w:ascii="Traditional Arabic" w:hAnsi="Traditional Arabic" w:hint="cs"/>
          <w:sz w:val="32"/>
          <w:szCs w:val="32"/>
          <w:rtl/>
        </w:rPr>
        <w:t xml:space="preserve"> </w:t>
      </w:r>
      <w:r w:rsidRPr="00D8415F">
        <w:rPr>
          <w:rFonts w:ascii="Traditional Arabic" w:hAnsi="Traditional Arabic"/>
          <w:sz w:val="32"/>
          <w:szCs w:val="32"/>
          <w:rtl/>
        </w:rPr>
        <w:t>زَمْنَى</w:t>
      </w:r>
      <w:r w:rsidRPr="00D8415F">
        <w:rPr>
          <w:rFonts w:ascii="Traditional Arabic" w:hAnsi="Traditional Arabic" w:hint="cs"/>
          <w:sz w:val="32"/>
          <w:szCs w:val="32"/>
          <w:rtl/>
        </w:rPr>
        <w:t>:</w:t>
      </w:r>
      <w:r>
        <w:rPr>
          <w:rFonts w:ascii="Traditional Arabic" w:hAnsi="Traditional Arabic" w:hint="cs"/>
          <w:sz w:val="32"/>
          <w:szCs w:val="32"/>
          <w:rtl/>
        </w:rPr>
        <w:t xml:space="preserve"> أي بهم عاهات</w:t>
      </w:r>
      <w:r w:rsidRPr="004B45B8">
        <w:rPr>
          <w:rFonts w:ascii="Traditional Arabic" w:hAnsi="Traditional Arabic" w:hint="cs"/>
          <w:sz w:val="32"/>
          <w:szCs w:val="32"/>
          <w:rtl/>
        </w:rPr>
        <w:t>.</w:t>
      </w:r>
      <w:r>
        <w:rPr>
          <w:rFonts w:ascii="Traditional Arabic" w:hAnsi="Traditional Arabic" w:hint="cs"/>
          <w:sz w:val="32"/>
          <w:szCs w:val="32"/>
          <w:rtl/>
        </w:rPr>
        <w:t xml:space="preserve"> يقال: </w:t>
      </w:r>
      <w:r>
        <w:rPr>
          <w:rFonts w:ascii="Traditional Arabic" w:hAnsi="Traditional Arabic"/>
          <w:sz w:val="32"/>
          <w:szCs w:val="32"/>
          <w:rtl/>
        </w:rPr>
        <w:t>أَزْمَنَ الل</w:t>
      </w:r>
      <w:r>
        <w:rPr>
          <w:rFonts w:ascii="Traditional Arabic" w:hAnsi="Traditional Arabic" w:hint="cs"/>
          <w:sz w:val="32"/>
          <w:szCs w:val="32"/>
          <w:rtl/>
        </w:rPr>
        <w:t>ه</w:t>
      </w:r>
      <w:r w:rsidRPr="004B45B8">
        <w:rPr>
          <w:rFonts w:ascii="Traditional Arabic" w:hAnsi="Traditional Arabic"/>
          <w:sz w:val="32"/>
          <w:szCs w:val="32"/>
          <w:rtl/>
        </w:rPr>
        <w:t xml:space="preserve"> فلَانا: جَعَلَهُ زَمِناً، أَي مُقْعداً، أَو ذَا عاهَةٍ</w:t>
      </w:r>
      <w:r>
        <w:rPr>
          <w:rFonts w:ascii="Traditional Arabic" w:hAnsi="Traditional Arabic" w:hint="cs"/>
          <w:sz w:val="32"/>
          <w:szCs w:val="32"/>
          <w:rtl/>
        </w:rPr>
        <w:t>. انظر: لسان العرب (13/199) مادة (زمن), تاج العروس (53/155) مادة (زمن).</w:t>
      </w:r>
    </w:p>
  </w:footnote>
  <w:footnote w:id="1743">
    <w:p w:rsidR="003F128F" w:rsidRPr="00D8415F" w:rsidRDefault="003F128F" w:rsidP="00885058">
      <w:pPr>
        <w:pStyle w:val="af3"/>
        <w:rPr>
          <w:rFonts w:ascii="Tahoma" w:hAnsi="Tahoma"/>
          <w:sz w:val="32"/>
          <w:szCs w:val="32"/>
        </w:rPr>
      </w:pPr>
      <w:r w:rsidRPr="00D8415F">
        <w:rPr>
          <w:rFonts w:ascii="Traditional Arabic" w:hAnsi="Traditional Arabic"/>
          <w:sz w:val="32"/>
          <w:szCs w:val="32"/>
          <w:rtl/>
        </w:rPr>
        <w:t>(</w:t>
      </w:r>
      <w:r w:rsidRPr="00D8415F">
        <w:rPr>
          <w:rStyle w:val="ae"/>
          <w:rFonts w:ascii="Traditional Arabic" w:hAnsi="Traditional Arabic"/>
          <w:sz w:val="32"/>
          <w:szCs w:val="32"/>
          <w:vertAlign w:val="baseline"/>
        </w:rPr>
        <w:footnoteRef/>
      </w:r>
      <w:r w:rsidRPr="00D8415F">
        <w:rPr>
          <w:rFonts w:ascii="Traditional Arabic" w:hAnsi="Traditional Arabic"/>
          <w:sz w:val="32"/>
          <w:szCs w:val="32"/>
          <w:rtl/>
        </w:rPr>
        <w:t>)</w:t>
      </w:r>
      <w:r w:rsidRPr="00D8415F">
        <w:rPr>
          <w:rFonts w:ascii="Tahoma" w:hAnsi="Tahoma"/>
          <w:sz w:val="32"/>
          <w:szCs w:val="32"/>
          <w:rtl/>
        </w:rPr>
        <w:t xml:space="preserve"> </w:t>
      </w:r>
      <w:r w:rsidRPr="00D8415F">
        <w:rPr>
          <w:rFonts w:ascii="Tahoma" w:hAnsi="Tahoma" w:hint="cs"/>
          <w:sz w:val="32"/>
          <w:szCs w:val="32"/>
          <w:rtl/>
        </w:rPr>
        <w:t>انظر: الكشف والبيان (6/186),</w:t>
      </w:r>
      <w:r w:rsidRPr="00D8415F">
        <w:rPr>
          <w:rFonts w:ascii="Tahoma" w:hAnsi="Tahoma"/>
          <w:sz w:val="32"/>
          <w:szCs w:val="32"/>
          <w:rtl/>
        </w:rPr>
        <w:t xml:space="preserve"> </w:t>
      </w:r>
      <w:r w:rsidRPr="00D8415F">
        <w:rPr>
          <w:rFonts w:ascii="Tahoma" w:hAnsi="Tahoma" w:hint="cs"/>
          <w:sz w:val="32"/>
          <w:szCs w:val="32"/>
          <w:rtl/>
        </w:rPr>
        <w:t>معالم التنزيل (5/194), رموز الكنوز (4/339).</w:t>
      </w:r>
      <w:r w:rsidRPr="00D8415F">
        <w:rPr>
          <w:rFonts w:ascii="Tahoma" w:hAnsi="Tahoma"/>
          <w:sz w:val="32"/>
          <w:szCs w:val="32"/>
          <w:rtl/>
        </w:rPr>
        <w:t xml:space="preserve"> </w:t>
      </w:r>
    </w:p>
  </w:footnote>
  <w:footnote w:id="1744">
    <w:p w:rsidR="003F128F" w:rsidRPr="00D8415F" w:rsidRDefault="003F128F" w:rsidP="00885058">
      <w:pPr>
        <w:pStyle w:val="af3"/>
        <w:rPr>
          <w:rFonts w:ascii="Traditional Arabic" w:hAnsi="Traditional Arabic"/>
          <w:sz w:val="32"/>
          <w:szCs w:val="32"/>
        </w:rPr>
      </w:pPr>
      <w:r w:rsidRPr="00D8415F">
        <w:rPr>
          <w:rFonts w:ascii="Traditional Arabic" w:hAnsi="Traditional Arabic"/>
          <w:sz w:val="32"/>
          <w:szCs w:val="32"/>
          <w:rtl/>
        </w:rPr>
        <w:t>(</w:t>
      </w:r>
      <w:r w:rsidRPr="00D8415F">
        <w:rPr>
          <w:rStyle w:val="ae"/>
          <w:rFonts w:ascii="Traditional Arabic" w:hAnsi="Traditional Arabic"/>
          <w:sz w:val="32"/>
          <w:szCs w:val="32"/>
          <w:vertAlign w:val="baseline"/>
        </w:rPr>
        <w:footnoteRef/>
      </w:r>
      <w:r w:rsidRPr="00D8415F">
        <w:rPr>
          <w:rFonts w:ascii="Traditional Arabic" w:hAnsi="Traditional Arabic"/>
          <w:sz w:val="32"/>
          <w:szCs w:val="32"/>
          <w:rtl/>
        </w:rPr>
        <w:t>)</w:t>
      </w:r>
      <w:r>
        <w:rPr>
          <w:rFonts w:ascii="Traditional Arabic" w:hAnsi="Traditional Arabic" w:hint="cs"/>
          <w:sz w:val="32"/>
          <w:szCs w:val="32"/>
          <w:rtl/>
        </w:rPr>
        <w:t xml:space="preserve"> </w:t>
      </w:r>
      <w:r w:rsidRPr="00D8415F">
        <w:rPr>
          <w:rFonts w:ascii="Traditional Arabic" w:hAnsi="Traditional Arabic"/>
          <w:sz w:val="32"/>
          <w:szCs w:val="32"/>
          <w:rtl/>
        </w:rPr>
        <w:t>انظر: تفسير يحيى بن سلا</w:t>
      </w:r>
      <w:r>
        <w:rPr>
          <w:rFonts w:ascii="Traditional Arabic" w:hAnsi="Traditional Arabic"/>
          <w:sz w:val="32"/>
          <w:szCs w:val="32"/>
          <w:rtl/>
        </w:rPr>
        <w:t>م (1/199), تفسير الطبري (18/83)</w:t>
      </w:r>
      <w:r>
        <w:rPr>
          <w:rFonts w:ascii="Traditional Arabic" w:hAnsi="Traditional Arabic" w:hint="cs"/>
          <w:sz w:val="32"/>
          <w:szCs w:val="32"/>
          <w:rtl/>
        </w:rPr>
        <w:t>.</w:t>
      </w:r>
    </w:p>
  </w:footnote>
  <w:footnote w:id="1745">
    <w:p w:rsidR="003F128F" w:rsidRPr="00D8415F" w:rsidRDefault="003F128F" w:rsidP="00885058">
      <w:pPr>
        <w:pStyle w:val="af3"/>
        <w:rPr>
          <w:rFonts w:ascii="Traditional Arabic" w:hAnsi="Traditional Arabic"/>
          <w:sz w:val="32"/>
          <w:szCs w:val="32"/>
        </w:rPr>
      </w:pPr>
      <w:r w:rsidRPr="00D8415F">
        <w:rPr>
          <w:rFonts w:ascii="Traditional Arabic" w:hAnsi="Traditional Arabic"/>
          <w:sz w:val="32"/>
          <w:szCs w:val="32"/>
          <w:rtl/>
        </w:rPr>
        <w:t>(</w:t>
      </w:r>
      <w:r w:rsidRPr="00D8415F">
        <w:rPr>
          <w:rStyle w:val="ae"/>
          <w:rFonts w:ascii="Traditional Arabic" w:hAnsi="Traditional Arabic"/>
          <w:sz w:val="32"/>
          <w:szCs w:val="32"/>
          <w:vertAlign w:val="baseline"/>
        </w:rPr>
        <w:footnoteRef/>
      </w:r>
      <w:r w:rsidRPr="00D8415F">
        <w:rPr>
          <w:rFonts w:ascii="Traditional Arabic" w:hAnsi="Traditional Arabic"/>
          <w:sz w:val="32"/>
          <w:szCs w:val="32"/>
          <w:rtl/>
        </w:rPr>
        <w:t xml:space="preserve">) مجاز القرآن (1/412). </w:t>
      </w:r>
    </w:p>
  </w:footnote>
  <w:footnote w:id="1746">
    <w:p w:rsidR="003F128F" w:rsidRPr="00D8415F" w:rsidRDefault="003F128F" w:rsidP="00885058">
      <w:pPr>
        <w:pStyle w:val="af3"/>
        <w:rPr>
          <w:rFonts w:ascii="Traditional Arabic" w:hAnsi="Traditional Arabic"/>
          <w:sz w:val="32"/>
          <w:szCs w:val="32"/>
        </w:rPr>
      </w:pPr>
      <w:r w:rsidRPr="00D8415F">
        <w:rPr>
          <w:rFonts w:ascii="Traditional Arabic" w:hAnsi="Traditional Arabic"/>
          <w:sz w:val="32"/>
          <w:szCs w:val="32"/>
          <w:rtl/>
        </w:rPr>
        <w:t>(</w:t>
      </w:r>
      <w:r w:rsidRPr="00D8415F">
        <w:rPr>
          <w:rStyle w:val="ae"/>
          <w:rFonts w:ascii="Traditional Arabic" w:hAnsi="Traditional Arabic"/>
          <w:sz w:val="32"/>
          <w:szCs w:val="32"/>
          <w:vertAlign w:val="baseline"/>
        </w:rPr>
        <w:footnoteRef/>
      </w:r>
      <w:r w:rsidRPr="00D8415F">
        <w:rPr>
          <w:rFonts w:ascii="Traditional Arabic" w:hAnsi="Traditional Arabic"/>
          <w:sz w:val="32"/>
          <w:szCs w:val="32"/>
          <w:rtl/>
        </w:rPr>
        <w:t>) غريب القرآن (ص270).</w:t>
      </w:r>
    </w:p>
  </w:footnote>
  <w:footnote w:id="1747">
    <w:p w:rsidR="003F128F" w:rsidRPr="00D8415F" w:rsidRDefault="003F128F" w:rsidP="00885058">
      <w:pPr>
        <w:pStyle w:val="af3"/>
        <w:rPr>
          <w:rFonts w:ascii="Traditional Arabic" w:hAnsi="Traditional Arabic"/>
          <w:sz w:val="32"/>
          <w:szCs w:val="32"/>
        </w:rPr>
      </w:pPr>
      <w:r w:rsidRPr="00D8415F">
        <w:rPr>
          <w:rFonts w:ascii="Traditional Arabic" w:hAnsi="Traditional Arabic"/>
          <w:sz w:val="32"/>
          <w:szCs w:val="32"/>
          <w:rtl/>
        </w:rPr>
        <w:t>(</w:t>
      </w:r>
      <w:r w:rsidRPr="00D8415F">
        <w:rPr>
          <w:rStyle w:val="ae"/>
          <w:rFonts w:ascii="Traditional Arabic" w:hAnsi="Traditional Arabic"/>
          <w:sz w:val="32"/>
          <w:szCs w:val="32"/>
          <w:vertAlign w:val="baseline"/>
        </w:rPr>
        <w:footnoteRef/>
      </w:r>
      <w:r w:rsidRPr="00D8415F">
        <w:rPr>
          <w:rFonts w:ascii="Traditional Arabic" w:hAnsi="Traditional Arabic"/>
          <w:sz w:val="32"/>
          <w:szCs w:val="32"/>
          <w:rtl/>
        </w:rPr>
        <w:t>) انظر: معالم النزيل (5/194), المحرر الوجيز (3/535).</w:t>
      </w:r>
    </w:p>
  </w:footnote>
  <w:footnote w:id="1748">
    <w:p w:rsidR="003F128F" w:rsidRPr="00D8415F" w:rsidRDefault="003F128F" w:rsidP="00885058">
      <w:pPr>
        <w:pStyle w:val="af3"/>
        <w:rPr>
          <w:rFonts w:ascii="Traditional Arabic" w:hAnsi="Traditional Arabic"/>
          <w:sz w:val="32"/>
          <w:szCs w:val="32"/>
        </w:rPr>
      </w:pPr>
      <w:r w:rsidRPr="00D8415F">
        <w:rPr>
          <w:rFonts w:ascii="Traditional Arabic" w:hAnsi="Traditional Arabic"/>
          <w:sz w:val="32"/>
          <w:szCs w:val="32"/>
          <w:rtl/>
        </w:rPr>
        <w:t>(</w:t>
      </w:r>
      <w:r w:rsidRPr="00D8415F">
        <w:rPr>
          <w:rStyle w:val="ae"/>
          <w:rFonts w:ascii="Traditional Arabic" w:hAnsi="Traditional Arabic"/>
          <w:sz w:val="32"/>
          <w:szCs w:val="32"/>
          <w:vertAlign w:val="baseline"/>
        </w:rPr>
        <w:footnoteRef/>
      </w:r>
      <w:r w:rsidRPr="00D8415F">
        <w:rPr>
          <w:rFonts w:ascii="Traditional Arabic" w:hAnsi="Traditional Arabic"/>
          <w:sz w:val="32"/>
          <w:szCs w:val="32"/>
          <w:rtl/>
        </w:rPr>
        <w:t>) انظر: معاني القرآن وإعرابه (3/305). لكن أكثر أهل التفسير على القول الأول. انظر: تفسير يحيى بن سلام (1/199), تفسير الطبري (18/83), تفسير ابن أبي حاتم (7/2372), وغيرها.</w:t>
      </w:r>
    </w:p>
  </w:footnote>
  <w:footnote w:id="1749">
    <w:p w:rsidR="003F128F" w:rsidRPr="00D8415F" w:rsidRDefault="003F128F" w:rsidP="00885058">
      <w:pPr>
        <w:pStyle w:val="af3"/>
        <w:rPr>
          <w:rFonts w:ascii="Traditional Arabic" w:hAnsi="Traditional Arabic"/>
          <w:sz w:val="32"/>
          <w:szCs w:val="32"/>
        </w:rPr>
      </w:pPr>
      <w:r w:rsidRPr="00D8415F">
        <w:rPr>
          <w:rFonts w:ascii="Traditional Arabic" w:hAnsi="Traditional Arabic"/>
          <w:sz w:val="32"/>
          <w:szCs w:val="32"/>
          <w:rtl/>
        </w:rPr>
        <w:t>(</w:t>
      </w:r>
      <w:r w:rsidRPr="00D8415F">
        <w:rPr>
          <w:rStyle w:val="ae"/>
          <w:rFonts w:ascii="Traditional Arabic" w:hAnsi="Traditional Arabic"/>
          <w:sz w:val="32"/>
          <w:szCs w:val="32"/>
          <w:vertAlign w:val="baseline"/>
        </w:rPr>
        <w:footnoteRef/>
      </w:r>
      <w:r w:rsidRPr="00D8415F">
        <w:rPr>
          <w:rFonts w:ascii="Traditional Arabic" w:hAnsi="Traditional Arabic"/>
          <w:sz w:val="32"/>
          <w:szCs w:val="32"/>
          <w:rtl/>
        </w:rPr>
        <w:t>) انظر: تفسير الطبري (18/67), التفسير الوسيط (3/161).</w:t>
      </w:r>
    </w:p>
  </w:footnote>
  <w:footnote w:id="1750">
    <w:p w:rsidR="003F128F" w:rsidRPr="00D8415F" w:rsidRDefault="003F128F" w:rsidP="00885058">
      <w:pPr>
        <w:pStyle w:val="af3"/>
        <w:rPr>
          <w:rFonts w:ascii="Traditional Arabic" w:hAnsi="Traditional Arabic"/>
          <w:sz w:val="32"/>
          <w:szCs w:val="32"/>
        </w:rPr>
      </w:pPr>
      <w:r w:rsidRPr="00D8415F">
        <w:rPr>
          <w:rFonts w:ascii="Traditional Arabic" w:hAnsi="Traditional Arabic"/>
          <w:sz w:val="32"/>
          <w:szCs w:val="32"/>
          <w:rtl/>
        </w:rPr>
        <w:t>(</w:t>
      </w:r>
      <w:r w:rsidRPr="00D8415F">
        <w:rPr>
          <w:rStyle w:val="ae"/>
          <w:rFonts w:ascii="Traditional Arabic" w:hAnsi="Traditional Arabic"/>
          <w:sz w:val="32"/>
          <w:szCs w:val="32"/>
          <w:vertAlign w:val="baseline"/>
        </w:rPr>
        <w:footnoteRef/>
      </w:r>
      <w:r w:rsidRPr="00D8415F">
        <w:rPr>
          <w:rFonts w:ascii="Traditional Arabic" w:hAnsi="Traditional Arabic"/>
          <w:sz w:val="32"/>
          <w:szCs w:val="32"/>
          <w:rtl/>
        </w:rPr>
        <w:t xml:space="preserve">) انظر: التفسير الوسيط (3/161).  </w:t>
      </w:r>
    </w:p>
  </w:footnote>
  <w:footnote w:id="1751">
    <w:p w:rsidR="003F128F" w:rsidRPr="00D8415F" w:rsidRDefault="003F128F" w:rsidP="00885058">
      <w:pPr>
        <w:pStyle w:val="af3"/>
        <w:rPr>
          <w:rFonts w:ascii="Traditional Arabic" w:hAnsi="Traditional Arabic"/>
          <w:sz w:val="32"/>
          <w:szCs w:val="32"/>
        </w:rPr>
      </w:pPr>
      <w:r w:rsidRPr="00D8415F">
        <w:rPr>
          <w:rFonts w:ascii="Traditional Arabic" w:hAnsi="Traditional Arabic"/>
          <w:sz w:val="32"/>
          <w:szCs w:val="32"/>
          <w:rtl/>
        </w:rPr>
        <w:t>(</w:t>
      </w:r>
      <w:r w:rsidRPr="00D8415F">
        <w:rPr>
          <w:rStyle w:val="ae"/>
          <w:rFonts w:ascii="Traditional Arabic" w:hAnsi="Traditional Arabic"/>
          <w:sz w:val="32"/>
          <w:szCs w:val="32"/>
          <w:vertAlign w:val="baseline"/>
        </w:rPr>
        <w:footnoteRef/>
      </w:r>
      <w:r w:rsidRPr="00D8415F">
        <w:rPr>
          <w:rFonts w:ascii="Traditional Arabic" w:hAnsi="Traditional Arabic"/>
          <w:sz w:val="32"/>
          <w:szCs w:val="32"/>
          <w:rtl/>
        </w:rPr>
        <w:t xml:space="preserve">) تفسير عبد الرزاق (2/340), تفسير ابن أبي حاتم (7/2371).  </w:t>
      </w:r>
    </w:p>
  </w:footnote>
  <w:footnote w:id="1752">
    <w:p w:rsidR="003F128F" w:rsidRPr="00AD7BD5" w:rsidRDefault="003F128F" w:rsidP="00885058">
      <w:pPr>
        <w:pStyle w:val="af3"/>
        <w:rPr>
          <w:rFonts w:ascii="Traditional Arabic" w:hAnsi="Traditional Arabic"/>
          <w:sz w:val="32"/>
          <w:szCs w:val="32"/>
        </w:rPr>
      </w:pPr>
      <w:r w:rsidRPr="00AD7BD5">
        <w:rPr>
          <w:rFonts w:ascii="Traditional Arabic" w:hAnsi="Traditional Arabic"/>
          <w:sz w:val="32"/>
          <w:szCs w:val="32"/>
          <w:rtl/>
        </w:rPr>
        <w:t>(</w:t>
      </w:r>
      <w:r w:rsidRPr="00AD7BD5">
        <w:rPr>
          <w:rStyle w:val="ae"/>
          <w:rFonts w:ascii="Traditional Arabic" w:hAnsi="Traditional Arabic"/>
          <w:sz w:val="32"/>
          <w:szCs w:val="32"/>
          <w:vertAlign w:val="baseline"/>
        </w:rPr>
        <w:footnoteRef/>
      </w:r>
      <w:r w:rsidRPr="00AD7BD5">
        <w:rPr>
          <w:rFonts w:ascii="Traditional Arabic" w:hAnsi="Traditional Arabic"/>
          <w:sz w:val="32"/>
          <w:szCs w:val="32"/>
          <w:rtl/>
        </w:rPr>
        <w:t>) أخرجه مسلم (كتاب الفضائل, باب</w:t>
      </w:r>
      <w:r>
        <w:rPr>
          <w:rFonts w:ascii="Traditional Arabic" w:hAnsi="Traditional Arabic" w:hint="cs"/>
          <w:sz w:val="32"/>
          <w:szCs w:val="32"/>
          <w:rtl/>
        </w:rPr>
        <w:t>:</w:t>
      </w:r>
      <w:r w:rsidRPr="00AD7BD5">
        <w:rPr>
          <w:rFonts w:ascii="Traditional Arabic" w:hAnsi="Traditional Arabic"/>
          <w:sz w:val="32"/>
          <w:szCs w:val="32"/>
          <w:rtl/>
        </w:rPr>
        <w:t xml:space="preserve"> من فضائل الخضر عليه السلام, 15/139 ح6115).</w:t>
      </w:r>
    </w:p>
  </w:footnote>
  <w:footnote w:id="1753">
    <w:p w:rsidR="003F128F" w:rsidRPr="00AD7BD5" w:rsidRDefault="003F128F" w:rsidP="00885058">
      <w:pPr>
        <w:pStyle w:val="af3"/>
        <w:rPr>
          <w:rFonts w:ascii="Traditional Arabic" w:hAnsi="Traditional Arabic"/>
          <w:sz w:val="32"/>
          <w:szCs w:val="32"/>
        </w:rPr>
      </w:pPr>
      <w:r w:rsidRPr="00AD7BD5">
        <w:rPr>
          <w:rFonts w:ascii="Traditional Arabic" w:hAnsi="Traditional Arabic"/>
          <w:sz w:val="32"/>
          <w:szCs w:val="32"/>
          <w:rtl/>
        </w:rPr>
        <w:t>(</w:t>
      </w:r>
      <w:r w:rsidRPr="00AD7BD5">
        <w:rPr>
          <w:rStyle w:val="ae"/>
          <w:rFonts w:ascii="Traditional Arabic" w:hAnsi="Traditional Arabic"/>
          <w:sz w:val="32"/>
          <w:szCs w:val="32"/>
          <w:vertAlign w:val="baseline"/>
        </w:rPr>
        <w:footnoteRef/>
      </w:r>
      <w:r w:rsidRPr="00AD7BD5">
        <w:rPr>
          <w:rFonts w:ascii="Traditional Arabic" w:hAnsi="Traditional Arabic"/>
          <w:sz w:val="32"/>
          <w:szCs w:val="32"/>
          <w:rtl/>
        </w:rPr>
        <w:t xml:space="preserve">) في (ك): [قتلَه أو غصبه]. </w:t>
      </w:r>
    </w:p>
  </w:footnote>
  <w:footnote w:id="1754">
    <w:p w:rsidR="003F128F" w:rsidRPr="00AD7BD5" w:rsidRDefault="003F128F" w:rsidP="00885058">
      <w:pPr>
        <w:pStyle w:val="af3"/>
        <w:rPr>
          <w:rFonts w:ascii="Traditional Arabic" w:hAnsi="Traditional Arabic"/>
          <w:sz w:val="32"/>
          <w:szCs w:val="32"/>
        </w:rPr>
      </w:pPr>
      <w:r w:rsidRPr="00AD7BD5">
        <w:rPr>
          <w:rFonts w:ascii="Traditional Arabic" w:hAnsi="Traditional Arabic"/>
          <w:sz w:val="32"/>
          <w:szCs w:val="32"/>
          <w:rtl/>
        </w:rPr>
        <w:t>(</w:t>
      </w:r>
      <w:r w:rsidRPr="00AD7BD5">
        <w:rPr>
          <w:rStyle w:val="ae"/>
          <w:rFonts w:ascii="Traditional Arabic" w:hAnsi="Traditional Arabic"/>
          <w:sz w:val="32"/>
          <w:szCs w:val="32"/>
          <w:vertAlign w:val="baseline"/>
        </w:rPr>
        <w:footnoteRef/>
      </w:r>
      <w:r w:rsidRPr="00AD7BD5">
        <w:rPr>
          <w:rFonts w:ascii="Traditional Arabic" w:hAnsi="Traditional Arabic"/>
          <w:sz w:val="32"/>
          <w:szCs w:val="32"/>
          <w:rtl/>
        </w:rPr>
        <w:t xml:space="preserve">) ذكره السيوطي في الدر المنثور (5/430) وعزاه لابن أبي حاتم, وانظر: رموز الكنوز (4/341).  </w:t>
      </w:r>
    </w:p>
  </w:footnote>
  <w:footnote w:id="1755">
    <w:p w:rsidR="003F128F" w:rsidRPr="001124ED" w:rsidRDefault="003F128F" w:rsidP="00885058">
      <w:pPr>
        <w:pStyle w:val="af3"/>
        <w:rPr>
          <w:rFonts w:ascii="Traditional Arabic" w:hAnsi="Traditional Arabic"/>
          <w:sz w:val="32"/>
          <w:szCs w:val="32"/>
        </w:rPr>
      </w:pPr>
      <w:r w:rsidRPr="00AD7BD5">
        <w:rPr>
          <w:rFonts w:ascii="Traditional Arabic" w:hAnsi="Traditional Arabic"/>
          <w:sz w:val="32"/>
          <w:szCs w:val="32"/>
          <w:rtl/>
        </w:rPr>
        <w:t>(</w:t>
      </w:r>
      <w:r w:rsidRPr="00AD7BD5">
        <w:rPr>
          <w:rStyle w:val="ae"/>
          <w:rFonts w:ascii="Traditional Arabic" w:hAnsi="Traditional Arabic"/>
          <w:sz w:val="32"/>
          <w:szCs w:val="32"/>
          <w:vertAlign w:val="baseline"/>
        </w:rPr>
        <w:footnoteRef/>
      </w:r>
      <w:r w:rsidRPr="00AD7BD5">
        <w:rPr>
          <w:rFonts w:ascii="Traditional Arabic" w:hAnsi="Traditional Arabic"/>
          <w:sz w:val="32"/>
          <w:szCs w:val="32"/>
          <w:rtl/>
        </w:rPr>
        <w:t>) انظر: النكت والعيون</w:t>
      </w:r>
      <w:r>
        <w:rPr>
          <w:rFonts w:ascii="Traditional Arabic" w:hAnsi="Traditional Arabic"/>
          <w:sz w:val="32"/>
          <w:szCs w:val="32"/>
          <w:rtl/>
        </w:rPr>
        <w:t xml:space="preserve"> (3/</w:t>
      </w:r>
      <w:r>
        <w:rPr>
          <w:rFonts w:ascii="Traditional Arabic" w:hAnsi="Traditional Arabic" w:hint="cs"/>
          <w:sz w:val="32"/>
          <w:szCs w:val="32"/>
          <w:rtl/>
        </w:rPr>
        <w:t>333</w:t>
      </w:r>
      <w:r>
        <w:rPr>
          <w:rFonts w:ascii="Traditional Arabic" w:hAnsi="Traditional Arabic"/>
          <w:sz w:val="32"/>
          <w:szCs w:val="32"/>
          <w:rtl/>
        </w:rPr>
        <w:t xml:space="preserve">), </w:t>
      </w:r>
      <w:r w:rsidRPr="004D5410">
        <w:rPr>
          <w:rFonts w:ascii="Traditional Arabic" w:hAnsi="Traditional Arabic" w:hint="cs"/>
          <w:sz w:val="32"/>
          <w:szCs w:val="32"/>
          <w:rtl/>
        </w:rPr>
        <w:t>رموز الكنوز (4/341).</w:t>
      </w:r>
      <w:r w:rsidRPr="004D5410">
        <w:rPr>
          <w:rFonts w:ascii="Traditional Arabic" w:hAnsi="Traditional Arabic"/>
          <w:sz w:val="32"/>
          <w:szCs w:val="32"/>
          <w:rtl/>
        </w:rPr>
        <w:t xml:space="preserve">  </w:t>
      </w:r>
    </w:p>
  </w:footnote>
  <w:footnote w:id="1756">
    <w:p w:rsidR="003F128F" w:rsidRPr="00E51AF5" w:rsidRDefault="003F128F" w:rsidP="00885058">
      <w:pPr>
        <w:pStyle w:val="af3"/>
        <w:rPr>
          <w:rFonts w:ascii="Tahoma" w:hAnsi="Tahoma"/>
        </w:rPr>
      </w:pPr>
      <w:r w:rsidRPr="001124ED">
        <w:rPr>
          <w:rFonts w:ascii="Traditional Arabic" w:hAnsi="Traditional Arabic"/>
          <w:sz w:val="32"/>
          <w:szCs w:val="32"/>
          <w:rtl/>
        </w:rPr>
        <w:t>(</w:t>
      </w:r>
      <w:r w:rsidRPr="001124ED">
        <w:rPr>
          <w:rStyle w:val="ae"/>
          <w:rFonts w:ascii="Traditional Arabic" w:hAnsi="Traditional Arabic"/>
          <w:sz w:val="32"/>
          <w:szCs w:val="32"/>
          <w:vertAlign w:val="baseline"/>
        </w:rPr>
        <w:footnoteRef/>
      </w:r>
      <w:r w:rsidRPr="001124ED">
        <w:rPr>
          <w:rFonts w:ascii="Traditional Arabic" w:hAnsi="Traditional Arabic"/>
          <w:sz w:val="32"/>
          <w:szCs w:val="32"/>
          <w:rtl/>
        </w:rPr>
        <w:t>)</w:t>
      </w:r>
      <w:r>
        <w:rPr>
          <w:rFonts w:ascii="Traditional Arabic" w:hAnsi="Traditional Arabic" w:hint="cs"/>
          <w:sz w:val="32"/>
          <w:szCs w:val="32"/>
          <w:rtl/>
        </w:rPr>
        <w:t xml:space="preserve"> </w:t>
      </w:r>
      <w:r w:rsidRPr="001124ED">
        <w:rPr>
          <w:rFonts w:ascii="Traditional Arabic" w:hAnsi="Traditional Arabic"/>
          <w:sz w:val="32"/>
          <w:szCs w:val="32"/>
          <w:rtl/>
        </w:rPr>
        <w:t>انظر: تفسير يحيى بن سلام (1/199), تفسير ابن أبي حاتم (7/23</w:t>
      </w:r>
      <w:r>
        <w:rPr>
          <w:rFonts w:ascii="Traditional Arabic" w:hAnsi="Traditional Arabic" w:hint="cs"/>
          <w:sz w:val="32"/>
          <w:szCs w:val="32"/>
          <w:rtl/>
        </w:rPr>
        <w:t>80</w:t>
      </w:r>
      <w:r w:rsidRPr="001124ED">
        <w:rPr>
          <w:rFonts w:ascii="Traditional Arabic" w:hAnsi="Traditional Arabic"/>
          <w:sz w:val="32"/>
          <w:szCs w:val="32"/>
          <w:rtl/>
        </w:rPr>
        <w:t>).</w:t>
      </w:r>
    </w:p>
  </w:footnote>
  <w:footnote w:id="1757">
    <w:p w:rsidR="003F128F" w:rsidRPr="003F7388" w:rsidRDefault="003F128F" w:rsidP="00885058">
      <w:pPr>
        <w:pStyle w:val="af3"/>
        <w:rPr>
          <w:rFonts w:ascii="Traditional Arabic" w:hAnsi="Traditional Arabic"/>
          <w:sz w:val="32"/>
          <w:szCs w:val="32"/>
        </w:rPr>
      </w:pPr>
      <w:r w:rsidRPr="003F7388">
        <w:rPr>
          <w:rFonts w:ascii="Traditional Arabic" w:hAnsi="Traditional Arabic"/>
          <w:sz w:val="32"/>
          <w:szCs w:val="32"/>
          <w:rtl/>
        </w:rPr>
        <w:t>(</w:t>
      </w:r>
      <w:r w:rsidRPr="003F7388">
        <w:rPr>
          <w:rStyle w:val="ae"/>
          <w:rFonts w:ascii="Traditional Arabic" w:hAnsi="Traditional Arabic"/>
          <w:sz w:val="32"/>
          <w:szCs w:val="32"/>
          <w:vertAlign w:val="baseline"/>
        </w:rPr>
        <w:footnoteRef/>
      </w:r>
      <w:r w:rsidRPr="003F7388">
        <w:rPr>
          <w:rFonts w:ascii="Traditional Arabic" w:hAnsi="Traditional Arabic"/>
          <w:sz w:val="32"/>
          <w:szCs w:val="32"/>
          <w:rtl/>
        </w:rPr>
        <w:t>) معاني القرآن للفراء (2/157).</w:t>
      </w:r>
    </w:p>
  </w:footnote>
  <w:footnote w:id="1758">
    <w:p w:rsidR="003F128F" w:rsidRPr="003F7388" w:rsidRDefault="003F128F" w:rsidP="00885058">
      <w:pPr>
        <w:pStyle w:val="af3"/>
        <w:rPr>
          <w:rFonts w:ascii="Traditional Arabic" w:hAnsi="Traditional Arabic"/>
          <w:sz w:val="32"/>
          <w:szCs w:val="32"/>
        </w:rPr>
      </w:pPr>
      <w:r w:rsidRPr="003F7388">
        <w:rPr>
          <w:rFonts w:ascii="Traditional Arabic" w:hAnsi="Traditional Arabic"/>
          <w:sz w:val="32"/>
          <w:szCs w:val="32"/>
          <w:rtl/>
        </w:rPr>
        <w:t>(</w:t>
      </w:r>
      <w:r w:rsidRPr="003F7388">
        <w:rPr>
          <w:rStyle w:val="ae"/>
          <w:rFonts w:ascii="Traditional Arabic" w:hAnsi="Traditional Arabic"/>
          <w:sz w:val="32"/>
          <w:szCs w:val="32"/>
          <w:vertAlign w:val="baseline"/>
        </w:rPr>
        <w:footnoteRef/>
      </w:r>
      <w:r w:rsidRPr="003F7388">
        <w:rPr>
          <w:rFonts w:ascii="Traditional Arabic" w:hAnsi="Traditional Arabic"/>
          <w:sz w:val="32"/>
          <w:szCs w:val="32"/>
          <w:rtl/>
        </w:rPr>
        <w:t xml:space="preserve">) معاني القرآن للأخفش (2/433). </w:t>
      </w:r>
    </w:p>
  </w:footnote>
  <w:footnote w:id="1759">
    <w:p w:rsidR="003F128F" w:rsidRPr="003F7388" w:rsidRDefault="003F128F" w:rsidP="00885058">
      <w:pPr>
        <w:pStyle w:val="af3"/>
        <w:rPr>
          <w:rFonts w:ascii="Traditional Arabic" w:hAnsi="Traditional Arabic"/>
          <w:sz w:val="32"/>
          <w:szCs w:val="32"/>
        </w:rPr>
      </w:pPr>
      <w:r w:rsidRPr="003F7388">
        <w:rPr>
          <w:rFonts w:ascii="Traditional Arabic" w:hAnsi="Traditional Arabic"/>
          <w:sz w:val="32"/>
          <w:szCs w:val="32"/>
          <w:rtl/>
        </w:rPr>
        <w:t>(</w:t>
      </w:r>
      <w:r w:rsidRPr="003F7388">
        <w:rPr>
          <w:rStyle w:val="ae"/>
          <w:rFonts w:ascii="Traditional Arabic" w:hAnsi="Traditional Arabic"/>
          <w:sz w:val="32"/>
          <w:szCs w:val="32"/>
          <w:vertAlign w:val="baseline"/>
        </w:rPr>
        <w:footnoteRef/>
      </w:r>
      <w:r w:rsidRPr="003F7388">
        <w:rPr>
          <w:rFonts w:ascii="Traditional Arabic" w:hAnsi="Traditional Arabic"/>
          <w:sz w:val="32"/>
          <w:szCs w:val="32"/>
          <w:rtl/>
        </w:rPr>
        <w:t xml:space="preserve">) معاني القرآن وإعرابه (3/305).  </w:t>
      </w:r>
    </w:p>
  </w:footnote>
  <w:footnote w:id="1760">
    <w:p w:rsidR="003F128F" w:rsidRPr="003F7388" w:rsidRDefault="003F128F" w:rsidP="00FD75C0">
      <w:pPr>
        <w:pStyle w:val="af3"/>
        <w:rPr>
          <w:rFonts w:ascii="Traditional Arabic" w:hAnsi="Traditional Arabic"/>
          <w:sz w:val="32"/>
          <w:szCs w:val="32"/>
        </w:rPr>
      </w:pPr>
      <w:r w:rsidRPr="003F7388">
        <w:rPr>
          <w:rFonts w:ascii="Traditional Arabic" w:hAnsi="Traditional Arabic"/>
          <w:sz w:val="32"/>
          <w:szCs w:val="32"/>
          <w:rtl/>
        </w:rPr>
        <w:t>(</w:t>
      </w:r>
      <w:r w:rsidRPr="003F7388">
        <w:rPr>
          <w:rStyle w:val="ae"/>
          <w:rFonts w:ascii="Traditional Arabic" w:hAnsi="Traditional Arabic"/>
          <w:sz w:val="32"/>
          <w:szCs w:val="32"/>
          <w:vertAlign w:val="baseline"/>
        </w:rPr>
        <w:footnoteRef/>
      </w:r>
      <w:r w:rsidRPr="003F7388">
        <w:rPr>
          <w:rFonts w:ascii="Traditional Arabic" w:hAnsi="Traditional Arabic"/>
          <w:sz w:val="32"/>
          <w:szCs w:val="32"/>
          <w:rtl/>
        </w:rPr>
        <w:t>) هو</w:t>
      </w:r>
      <w:r w:rsidRPr="003F7388">
        <w:rPr>
          <w:rFonts w:ascii="Traditional Arabic" w:hAnsi="Traditional Arabic"/>
          <w:sz w:val="32"/>
          <w:szCs w:val="32"/>
          <w:rtl/>
          <w:lang w:eastAsia="en-US"/>
        </w:rPr>
        <w:t xml:space="preserve"> </w:t>
      </w:r>
      <w:r w:rsidRPr="003F7388">
        <w:rPr>
          <w:rFonts w:ascii="Traditional Arabic" w:hAnsi="Traditional Arabic"/>
          <w:sz w:val="32"/>
          <w:szCs w:val="32"/>
          <w:rtl/>
        </w:rPr>
        <w:t>الإِمام أبو الوفاء</w:t>
      </w:r>
      <w:r>
        <w:rPr>
          <w:rFonts w:ascii="Traditional Arabic" w:hAnsi="Traditional Arabic" w:hint="cs"/>
          <w:sz w:val="32"/>
          <w:szCs w:val="32"/>
          <w:rtl/>
        </w:rPr>
        <w:t>,</w:t>
      </w:r>
      <w:r w:rsidRPr="003F7388">
        <w:rPr>
          <w:rFonts w:ascii="Traditional Arabic" w:hAnsi="Traditional Arabic"/>
          <w:sz w:val="32"/>
          <w:szCs w:val="32"/>
          <w:rtl/>
        </w:rPr>
        <w:t xml:space="preserve"> علي بن عقيل بن محمد بن عقيل بن عبد الله البَغْدَادِيّ، الظَّفَرِيّ، العلامة البحر، المتكلم، المفسر, صاحب التصانيف،</w:t>
      </w:r>
      <w:r w:rsidRPr="003F7388">
        <w:rPr>
          <w:rFonts w:ascii="Traditional Arabic" w:hAnsi="Traditional Arabic"/>
          <w:sz w:val="32"/>
          <w:szCs w:val="32"/>
          <w:rtl/>
          <w:lang w:eastAsia="en-US"/>
        </w:rPr>
        <w:t xml:space="preserve"> وأحد الأئمة الأعلام</w:t>
      </w:r>
      <w:r w:rsidRPr="003F7388">
        <w:rPr>
          <w:rFonts w:ascii="Traditional Arabic" w:hAnsi="Traditional Arabic"/>
          <w:sz w:val="32"/>
          <w:szCs w:val="32"/>
          <w:rtl/>
        </w:rPr>
        <w:t xml:space="preserve"> (ت513ه). انظر: سير أعلام النبلاء (19/443),  الوافي بالوفيات (21/218).</w:t>
      </w:r>
    </w:p>
  </w:footnote>
  <w:footnote w:id="1761">
    <w:p w:rsidR="003F128F" w:rsidRPr="003F7388" w:rsidRDefault="003F128F" w:rsidP="00885058">
      <w:pPr>
        <w:pStyle w:val="af3"/>
        <w:rPr>
          <w:rFonts w:ascii="Traditional Arabic" w:hAnsi="Traditional Arabic"/>
          <w:sz w:val="32"/>
          <w:szCs w:val="32"/>
        </w:rPr>
      </w:pPr>
      <w:r w:rsidRPr="003F7388">
        <w:rPr>
          <w:rFonts w:ascii="Traditional Arabic" w:hAnsi="Traditional Arabic"/>
          <w:sz w:val="32"/>
          <w:szCs w:val="32"/>
          <w:rtl/>
        </w:rPr>
        <w:t>(</w:t>
      </w:r>
      <w:r w:rsidRPr="003F7388">
        <w:rPr>
          <w:rStyle w:val="ae"/>
          <w:rFonts w:ascii="Traditional Arabic" w:hAnsi="Traditional Arabic"/>
          <w:sz w:val="32"/>
          <w:szCs w:val="32"/>
          <w:vertAlign w:val="baseline"/>
        </w:rPr>
        <w:footnoteRef/>
      </w:r>
      <w:r w:rsidRPr="003F7388">
        <w:rPr>
          <w:rFonts w:ascii="Traditional Arabic" w:hAnsi="Traditional Arabic"/>
          <w:sz w:val="32"/>
          <w:szCs w:val="32"/>
          <w:rtl/>
        </w:rPr>
        <w:t xml:space="preserve">) انظر: رموز الكنوز (4/341).   </w:t>
      </w:r>
    </w:p>
  </w:footnote>
  <w:footnote w:id="1762">
    <w:p w:rsidR="003F128F" w:rsidRPr="003F7388" w:rsidRDefault="003F128F" w:rsidP="00885058">
      <w:pPr>
        <w:pStyle w:val="af3"/>
        <w:rPr>
          <w:rFonts w:ascii="Traditional Arabic" w:hAnsi="Traditional Arabic"/>
          <w:sz w:val="32"/>
          <w:szCs w:val="32"/>
        </w:rPr>
      </w:pPr>
      <w:r w:rsidRPr="003F7388">
        <w:rPr>
          <w:rFonts w:ascii="Traditional Arabic" w:hAnsi="Traditional Arabic"/>
          <w:sz w:val="32"/>
          <w:szCs w:val="32"/>
          <w:rtl/>
        </w:rPr>
        <w:t>(</w:t>
      </w:r>
      <w:r w:rsidRPr="003F7388">
        <w:rPr>
          <w:rStyle w:val="ae"/>
          <w:rFonts w:ascii="Traditional Arabic" w:hAnsi="Traditional Arabic"/>
          <w:sz w:val="32"/>
          <w:szCs w:val="32"/>
          <w:vertAlign w:val="baseline"/>
        </w:rPr>
        <w:footnoteRef/>
      </w:r>
      <w:r w:rsidRPr="003F7388">
        <w:rPr>
          <w:rFonts w:ascii="Traditional Arabic" w:hAnsi="Traditional Arabic"/>
          <w:sz w:val="32"/>
          <w:szCs w:val="32"/>
          <w:rtl/>
        </w:rPr>
        <w:t xml:space="preserve">) قال بنحوه الزجاج في معاني القرآن وإعرابه (3/305), ومكي في الهداية (6/4441).  </w:t>
      </w:r>
    </w:p>
  </w:footnote>
  <w:footnote w:id="1763">
    <w:p w:rsidR="003F128F" w:rsidRPr="003F7388" w:rsidRDefault="003F128F" w:rsidP="00885058">
      <w:pPr>
        <w:pStyle w:val="af3"/>
        <w:rPr>
          <w:rFonts w:ascii="Traditional Arabic" w:hAnsi="Traditional Arabic"/>
          <w:sz w:val="32"/>
          <w:szCs w:val="32"/>
        </w:rPr>
      </w:pPr>
      <w:r w:rsidRPr="003F7388">
        <w:rPr>
          <w:rFonts w:ascii="Traditional Arabic" w:hAnsi="Traditional Arabic"/>
          <w:sz w:val="32"/>
          <w:szCs w:val="32"/>
          <w:rtl/>
        </w:rPr>
        <w:t>(</w:t>
      </w:r>
      <w:r w:rsidRPr="003F7388">
        <w:rPr>
          <w:rStyle w:val="ae"/>
          <w:rFonts w:ascii="Traditional Arabic" w:hAnsi="Traditional Arabic"/>
          <w:sz w:val="32"/>
          <w:szCs w:val="32"/>
          <w:vertAlign w:val="baseline"/>
        </w:rPr>
        <w:footnoteRef/>
      </w:r>
      <w:r w:rsidRPr="003F7388">
        <w:rPr>
          <w:rFonts w:ascii="Traditional Arabic" w:hAnsi="Traditional Arabic"/>
          <w:sz w:val="32"/>
          <w:szCs w:val="32"/>
          <w:rtl/>
        </w:rPr>
        <w:t xml:space="preserve">) معاني القرآن وإعرابه (3/305).   </w:t>
      </w:r>
    </w:p>
  </w:footnote>
  <w:footnote w:id="1764">
    <w:p w:rsidR="003F128F" w:rsidRPr="003F7388" w:rsidRDefault="003F128F" w:rsidP="00885058">
      <w:pPr>
        <w:pStyle w:val="af3"/>
        <w:rPr>
          <w:rFonts w:ascii="Traditional Arabic" w:hAnsi="Traditional Arabic"/>
          <w:sz w:val="32"/>
          <w:szCs w:val="32"/>
        </w:rPr>
      </w:pPr>
      <w:r w:rsidRPr="003F7388">
        <w:rPr>
          <w:rFonts w:ascii="Traditional Arabic" w:hAnsi="Traditional Arabic"/>
          <w:sz w:val="32"/>
          <w:szCs w:val="32"/>
          <w:rtl/>
        </w:rPr>
        <w:t>(</w:t>
      </w:r>
      <w:r w:rsidRPr="003F7388">
        <w:rPr>
          <w:rStyle w:val="ae"/>
          <w:rFonts w:ascii="Traditional Arabic" w:hAnsi="Traditional Arabic"/>
          <w:sz w:val="32"/>
          <w:szCs w:val="32"/>
          <w:vertAlign w:val="baseline"/>
        </w:rPr>
        <w:footnoteRef/>
      </w:r>
      <w:r w:rsidRPr="003F7388">
        <w:rPr>
          <w:rFonts w:ascii="Traditional Arabic" w:hAnsi="Traditional Arabic"/>
          <w:sz w:val="32"/>
          <w:szCs w:val="32"/>
          <w:rtl/>
        </w:rPr>
        <w:t xml:space="preserve">) مجاز القرآن (1/412).  </w:t>
      </w:r>
    </w:p>
  </w:footnote>
  <w:footnote w:id="1765">
    <w:p w:rsidR="003F128F" w:rsidRPr="003F7388" w:rsidRDefault="003F128F" w:rsidP="00885058">
      <w:pPr>
        <w:pStyle w:val="af3"/>
        <w:rPr>
          <w:rFonts w:ascii="Traditional Arabic" w:hAnsi="Traditional Arabic"/>
          <w:sz w:val="32"/>
          <w:szCs w:val="32"/>
        </w:rPr>
      </w:pPr>
      <w:r w:rsidRPr="003F7388">
        <w:rPr>
          <w:rFonts w:ascii="Traditional Arabic" w:hAnsi="Traditional Arabic"/>
          <w:sz w:val="32"/>
          <w:szCs w:val="32"/>
          <w:rtl/>
        </w:rPr>
        <w:t>(</w:t>
      </w:r>
      <w:r w:rsidRPr="003F7388">
        <w:rPr>
          <w:rStyle w:val="ae"/>
          <w:rFonts w:ascii="Traditional Arabic" w:hAnsi="Traditional Arabic"/>
          <w:sz w:val="32"/>
          <w:szCs w:val="32"/>
          <w:vertAlign w:val="baseline"/>
        </w:rPr>
        <w:footnoteRef/>
      </w:r>
      <w:r w:rsidRPr="003F7388">
        <w:rPr>
          <w:rFonts w:ascii="Traditional Arabic" w:hAnsi="Traditional Arabic"/>
          <w:sz w:val="32"/>
          <w:szCs w:val="32"/>
          <w:rtl/>
        </w:rPr>
        <w:t>) تفسير ابن أبي حاتم (7/2380), الكشف والبيان (6/187)</w:t>
      </w:r>
      <w:r>
        <w:rPr>
          <w:rFonts w:ascii="Traditional Arabic" w:hAnsi="Traditional Arabic" w:hint="cs"/>
          <w:sz w:val="32"/>
          <w:szCs w:val="32"/>
          <w:rtl/>
        </w:rPr>
        <w:t>.</w:t>
      </w:r>
    </w:p>
  </w:footnote>
  <w:footnote w:id="1766">
    <w:p w:rsidR="003F128F" w:rsidRPr="003F7388" w:rsidRDefault="003F128F" w:rsidP="00885058">
      <w:pPr>
        <w:pStyle w:val="af3"/>
        <w:rPr>
          <w:rFonts w:ascii="Traditional Arabic" w:hAnsi="Traditional Arabic"/>
          <w:sz w:val="32"/>
          <w:szCs w:val="32"/>
        </w:rPr>
      </w:pPr>
      <w:r w:rsidRPr="003F7388">
        <w:rPr>
          <w:rFonts w:ascii="Traditional Arabic" w:hAnsi="Traditional Arabic"/>
          <w:sz w:val="32"/>
          <w:szCs w:val="32"/>
          <w:rtl/>
        </w:rPr>
        <w:t>(</w:t>
      </w:r>
      <w:r w:rsidRPr="003F7388">
        <w:rPr>
          <w:rStyle w:val="ae"/>
          <w:rFonts w:ascii="Traditional Arabic" w:hAnsi="Traditional Arabic"/>
          <w:sz w:val="32"/>
          <w:szCs w:val="32"/>
          <w:vertAlign w:val="baseline"/>
        </w:rPr>
        <w:footnoteRef/>
      </w:r>
      <w:r>
        <w:rPr>
          <w:rFonts w:ascii="Traditional Arabic" w:hAnsi="Traditional Arabic"/>
          <w:sz w:val="32"/>
          <w:szCs w:val="32"/>
          <w:rtl/>
        </w:rPr>
        <w:t>)</w:t>
      </w:r>
      <w:r w:rsidRPr="003F7388">
        <w:rPr>
          <w:rFonts w:ascii="Traditional Arabic" w:hAnsi="Traditional Arabic"/>
          <w:sz w:val="32"/>
          <w:szCs w:val="32"/>
          <w:rtl/>
        </w:rPr>
        <w:t xml:space="preserve"> في الأصل </w:t>
      </w:r>
      <w:r>
        <w:rPr>
          <w:rFonts w:ascii="Traditional Arabic" w:hAnsi="Traditional Arabic" w:hint="cs"/>
          <w:sz w:val="32"/>
          <w:szCs w:val="32"/>
          <w:rtl/>
        </w:rPr>
        <w:t>[</w:t>
      </w:r>
      <w:r w:rsidRPr="003F7388">
        <w:rPr>
          <w:rFonts w:ascii="Traditional Arabic" w:hAnsi="Traditional Arabic"/>
          <w:sz w:val="32"/>
          <w:szCs w:val="32"/>
          <w:rtl/>
        </w:rPr>
        <w:t>قال: الزجاج</w:t>
      </w:r>
      <w:r>
        <w:rPr>
          <w:rFonts w:ascii="Traditional Arabic" w:hAnsi="Traditional Arabic" w:hint="cs"/>
          <w:sz w:val="32"/>
          <w:szCs w:val="32"/>
          <w:rtl/>
        </w:rPr>
        <w:t>],</w:t>
      </w:r>
      <w:r w:rsidRPr="003F7388">
        <w:rPr>
          <w:rFonts w:ascii="Traditional Arabic" w:hAnsi="Traditional Arabic"/>
          <w:sz w:val="32"/>
          <w:szCs w:val="32"/>
          <w:rtl/>
        </w:rPr>
        <w:t xml:space="preserve"> وال</w:t>
      </w:r>
      <w:r>
        <w:rPr>
          <w:rFonts w:ascii="Traditional Arabic" w:hAnsi="Traditional Arabic"/>
          <w:sz w:val="32"/>
          <w:szCs w:val="32"/>
          <w:rtl/>
        </w:rPr>
        <w:t xml:space="preserve">مثبت من (ك) وهو موافق لما في </w:t>
      </w:r>
      <w:r>
        <w:rPr>
          <w:rFonts w:ascii="Traditional Arabic" w:hAnsi="Traditional Arabic" w:hint="cs"/>
          <w:sz w:val="32"/>
          <w:szCs w:val="32"/>
          <w:rtl/>
        </w:rPr>
        <w:t>م</w:t>
      </w:r>
      <w:r w:rsidRPr="003F7388">
        <w:rPr>
          <w:rFonts w:ascii="Traditional Arabic" w:hAnsi="Traditional Arabic"/>
          <w:sz w:val="32"/>
          <w:szCs w:val="32"/>
          <w:rtl/>
        </w:rPr>
        <w:t>صادر</w:t>
      </w:r>
      <w:r>
        <w:rPr>
          <w:rFonts w:ascii="Traditional Arabic" w:hAnsi="Traditional Arabic" w:hint="cs"/>
          <w:sz w:val="32"/>
          <w:szCs w:val="32"/>
          <w:rtl/>
        </w:rPr>
        <w:t xml:space="preserve"> هذا القول</w:t>
      </w:r>
      <w:r w:rsidRPr="003F7388">
        <w:rPr>
          <w:rFonts w:ascii="Traditional Arabic" w:hAnsi="Traditional Arabic"/>
          <w:sz w:val="32"/>
          <w:szCs w:val="32"/>
          <w:rtl/>
        </w:rPr>
        <w:t>.</w:t>
      </w:r>
    </w:p>
  </w:footnote>
  <w:footnote w:id="1767">
    <w:p w:rsidR="003F128F" w:rsidRPr="003F7388" w:rsidRDefault="003F128F" w:rsidP="00885058">
      <w:pPr>
        <w:pStyle w:val="af3"/>
        <w:rPr>
          <w:rFonts w:ascii="Traditional Arabic" w:hAnsi="Traditional Arabic"/>
          <w:sz w:val="32"/>
          <w:szCs w:val="32"/>
        </w:rPr>
      </w:pPr>
      <w:r w:rsidRPr="003F7388">
        <w:rPr>
          <w:rFonts w:ascii="Traditional Arabic" w:hAnsi="Traditional Arabic"/>
          <w:sz w:val="32"/>
          <w:szCs w:val="32"/>
          <w:rtl/>
        </w:rPr>
        <w:t>(</w:t>
      </w:r>
      <w:r w:rsidRPr="003F7388">
        <w:rPr>
          <w:rStyle w:val="ae"/>
          <w:rFonts w:ascii="Traditional Arabic" w:hAnsi="Traditional Arabic"/>
          <w:sz w:val="32"/>
          <w:szCs w:val="32"/>
          <w:vertAlign w:val="baseline"/>
        </w:rPr>
        <w:footnoteRef/>
      </w:r>
      <w:r w:rsidRPr="003F7388">
        <w:rPr>
          <w:rFonts w:ascii="Traditional Arabic" w:hAnsi="Traditional Arabic"/>
          <w:sz w:val="32"/>
          <w:szCs w:val="32"/>
          <w:rtl/>
        </w:rPr>
        <w:t>) انظر: تفسير ابن أبي حاتم (7/2380), التفسير الوسيط (3/161).</w:t>
      </w:r>
    </w:p>
  </w:footnote>
  <w:footnote w:id="1768">
    <w:p w:rsidR="003F128F" w:rsidRPr="00E81187" w:rsidRDefault="003F128F" w:rsidP="00885058">
      <w:pPr>
        <w:pStyle w:val="af3"/>
        <w:rPr>
          <w:rFonts w:ascii="Tahoma" w:hAnsi="Tahoma"/>
        </w:rPr>
      </w:pPr>
      <w:r w:rsidRPr="003F7388">
        <w:rPr>
          <w:rFonts w:ascii="Traditional Arabic" w:hAnsi="Traditional Arabic"/>
          <w:sz w:val="32"/>
          <w:szCs w:val="32"/>
          <w:rtl/>
        </w:rPr>
        <w:t>(</w:t>
      </w:r>
      <w:r w:rsidRPr="003F7388">
        <w:rPr>
          <w:rStyle w:val="ae"/>
          <w:rFonts w:ascii="Traditional Arabic" w:hAnsi="Traditional Arabic"/>
          <w:sz w:val="32"/>
          <w:szCs w:val="32"/>
          <w:vertAlign w:val="baseline"/>
        </w:rPr>
        <w:footnoteRef/>
      </w:r>
      <w:r w:rsidRPr="003F7388">
        <w:rPr>
          <w:rFonts w:ascii="Traditional Arabic" w:hAnsi="Traditional Arabic"/>
          <w:sz w:val="32"/>
          <w:szCs w:val="32"/>
          <w:rtl/>
        </w:rPr>
        <w:t>)</w:t>
      </w:r>
      <w:r>
        <w:rPr>
          <w:rFonts w:ascii="Traditional Arabic" w:hAnsi="Traditional Arabic" w:hint="cs"/>
          <w:sz w:val="32"/>
          <w:szCs w:val="32"/>
          <w:rtl/>
        </w:rPr>
        <w:t xml:space="preserve"> </w:t>
      </w:r>
      <w:r w:rsidRPr="00A239BA">
        <w:rPr>
          <w:rFonts w:ascii="Traditional Arabic" w:hAnsi="Traditional Arabic"/>
          <w:sz w:val="32"/>
          <w:szCs w:val="32"/>
          <w:rtl/>
        </w:rPr>
        <w:t>انظر: السبعة في القراءات (</w:t>
      </w:r>
      <w:r>
        <w:rPr>
          <w:rFonts w:ascii="Traditional Arabic" w:hAnsi="Traditional Arabic" w:hint="cs"/>
          <w:sz w:val="32"/>
          <w:szCs w:val="32"/>
          <w:rtl/>
        </w:rPr>
        <w:t>ص397</w:t>
      </w:r>
      <w:r w:rsidRPr="00A239BA">
        <w:rPr>
          <w:rFonts w:ascii="Traditional Arabic" w:hAnsi="Traditional Arabic"/>
          <w:sz w:val="32"/>
          <w:szCs w:val="32"/>
          <w:rtl/>
        </w:rPr>
        <w:t>), معاني القراءات (2/11</w:t>
      </w:r>
      <w:r>
        <w:rPr>
          <w:rFonts w:ascii="Traditional Arabic" w:hAnsi="Traditional Arabic" w:hint="cs"/>
          <w:sz w:val="32"/>
          <w:szCs w:val="32"/>
          <w:rtl/>
        </w:rPr>
        <w:t>8</w:t>
      </w:r>
      <w:r w:rsidRPr="00A239BA">
        <w:rPr>
          <w:rFonts w:ascii="Traditional Arabic" w:hAnsi="Traditional Arabic"/>
          <w:sz w:val="32"/>
          <w:szCs w:val="32"/>
          <w:rtl/>
        </w:rPr>
        <w:t xml:space="preserve">).     </w:t>
      </w:r>
    </w:p>
  </w:footnote>
  <w:footnote w:id="1769">
    <w:p w:rsidR="003F128F" w:rsidRPr="004D3B8F" w:rsidRDefault="003F128F" w:rsidP="00885058">
      <w:pPr>
        <w:pStyle w:val="af3"/>
        <w:rPr>
          <w:rFonts w:ascii="Traditional Arabic" w:hAnsi="Traditional Arabic"/>
          <w:sz w:val="32"/>
          <w:szCs w:val="32"/>
        </w:rPr>
      </w:pPr>
      <w:r w:rsidRPr="004D3B8F">
        <w:rPr>
          <w:rFonts w:ascii="Traditional Arabic" w:hAnsi="Traditional Arabic"/>
          <w:sz w:val="32"/>
          <w:szCs w:val="32"/>
          <w:rtl/>
        </w:rPr>
        <w:t>(</w:t>
      </w:r>
      <w:r w:rsidRPr="004D3B8F">
        <w:rPr>
          <w:rStyle w:val="ae"/>
          <w:rFonts w:ascii="Traditional Arabic" w:hAnsi="Traditional Arabic"/>
          <w:sz w:val="32"/>
          <w:szCs w:val="32"/>
          <w:vertAlign w:val="baseline"/>
        </w:rPr>
        <w:footnoteRef/>
      </w:r>
      <w:r w:rsidRPr="004D3B8F">
        <w:rPr>
          <w:rFonts w:ascii="Traditional Arabic" w:hAnsi="Traditional Arabic"/>
          <w:sz w:val="32"/>
          <w:szCs w:val="32"/>
          <w:rtl/>
        </w:rPr>
        <w:t>)</w:t>
      </w:r>
      <w:r w:rsidRPr="004D3B8F">
        <w:rPr>
          <w:rFonts w:ascii="Traditional Arabic" w:hAnsi="Traditional Arabic"/>
          <w:sz w:val="32"/>
          <w:szCs w:val="32"/>
          <w:rtl/>
          <w:lang w:eastAsia="en-US"/>
        </w:rPr>
        <w:t xml:space="preserve"> انظر: ذكره ابن أبي حاتم في تفسيره (7/2380) عن عطية, والواحدي في التفسير الوسيط (3/161) عن سعيد بن جبير وقتادة.</w:t>
      </w:r>
      <w:r w:rsidRPr="004D3B8F">
        <w:rPr>
          <w:rFonts w:ascii="Traditional Arabic" w:hAnsi="Traditional Arabic"/>
          <w:sz w:val="32"/>
          <w:szCs w:val="32"/>
          <w:rtl/>
        </w:rPr>
        <w:t xml:space="preserve"> </w:t>
      </w:r>
    </w:p>
  </w:footnote>
  <w:footnote w:id="1770">
    <w:p w:rsidR="003F128F" w:rsidRPr="004D3B8F" w:rsidRDefault="003F128F" w:rsidP="00885058">
      <w:pPr>
        <w:pStyle w:val="af3"/>
        <w:rPr>
          <w:rFonts w:ascii="Traditional Arabic" w:hAnsi="Traditional Arabic"/>
          <w:sz w:val="32"/>
          <w:szCs w:val="32"/>
        </w:rPr>
      </w:pPr>
      <w:r w:rsidRPr="004D3B8F">
        <w:rPr>
          <w:rFonts w:ascii="Traditional Arabic" w:hAnsi="Traditional Arabic"/>
          <w:sz w:val="32"/>
          <w:szCs w:val="32"/>
          <w:rtl/>
        </w:rPr>
        <w:t>(</w:t>
      </w:r>
      <w:r w:rsidRPr="004D3B8F">
        <w:rPr>
          <w:rStyle w:val="ae"/>
          <w:rFonts w:ascii="Traditional Arabic" w:hAnsi="Traditional Arabic"/>
          <w:sz w:val="32"/>
          <w:szCs w:val="32"/>
          <w:vertAlign w:val="baseline"/>
        </w:rPr>
        <w:footnoteRef/>
      </w:r>
      <w:r w:rsidRPr="004D3B8F">
        <w:rPr>
          <w:rFonts w:ascii="Traditional Arabic" w:hAnsi="Traditional Arabic"/>
          <w:sz w:val="32"/>
          <w:szCs w:val="32"/>
          <w:rtl/>
        </w:rPr>
        <w:t xml:space="preserve">) تفسير مقاتل (2/598). </w:t>
      </w:r>
    </w:p>
  </w:footnote>
  <w:footnote w:id="1771">
    <w:p w:rsidR="003F128F" w:rsidRPr="004D3B8F" w:rsidRDefault="003F128F" w:rsidP="00885058">
      <w:pPr>
        <w:pStyle w:val="af3"/>
        <w:rPr>
          <w:rFonts w:ascii="Traditional Arabic" w:hAnsi="Traditional Arabic"/>
          <w:sz w:val="32"/>
          <w:szCs w:val="32"/>
        </w:rPr>
      </w:pPr>
      <w:r w:rsidRPr="004D3B8F">
        <w:rPr>
          <w:rFonts w:ascii="Traditional Arabic" w:hAnsi="Traditional Arabic"/>
          <w:sz w:val="32"/>
          <w:szCs w:val="32"/>
          <w:rtl/>
        </w:rPr>
        <w:t>(</w:t>
      </w:r>
      <w:r w:rsidRPr="004D3B8F">
        <w:rPr>
          <w:rStyle w:val="ae"/>
          <w:rFonts w:ascii="Traditional Arabic" w:hAnsi="Traditional Arabic"/>
          <w:sz w:val="32"/>
          <w:szCs w:val="32"/>
          <w:vertAlign w:val="baseline"/>
        </w:rPr>
        <w:footnoteRef/>
      </w:r>
      <w:r w:rsidRPr="004D3B8F">
        <w:rPr>
          <w:rFonts w:ascii="Traditional Arabic" w:hAnsi="Traditional Arabic"/>
          <w:sz w:val="32"/>
          <w:szCs w:val="32"/>
          <w:rtl/>
        </w:rPr>
        <w:t xml:space="preserve">) معاني القرآن للفراء (2/157). </w:t>
      </w:r>
    </w:p>
  </w:footnote>
  <w:footnote w:id="1772">
    <w:p w:rsidR="003F128F" w:rsidRPr="004D3B8F" w:rsidRDefault="003F128F" w:rsidP="00885058">
      <w:pPr>
        <w:pStyle w:val="af3"/>
        <w:rPr>
          <w:rFonts w:ascii="Traditional Arabic" w:hAnsi="Traditional Arabic"/>
          <w:sz w:val="32"/>
          <w:szCs w:val="32"/>
        </w:rPr>
      </w:pPr>
      <w:r w:rsidRPr="004D3B8F">
        <w:rPr>
          <w:rFonts w:ascii="Traditional Arabic" w:hAnsi="Traditional Arabic"/>
          <w:sz w:val="32"/>
          <w:szCs w:val="32"/>
          <w:rtl/>
        </w:rPr>
        <w:t>(</w:t>
      </w:r>
      <w:r w:rsidRPr="004D3B8F">
        <w:rPr>
          <w:rStyle w:val="ae"/>
          <w:rFonts w:ascii="Traditional Arabic" w:hAnsi="Traditional Arabic"/>
          <w:sz w:val="32"/>
          <w:szCs w:val="32"/>
          <w:vertAlign w:val="baseline"/>
        </w:rPr>
        <w:footnoteRef/>
      </w:r>
      <w:r w:rsidRPr="004D3B8F">
        <w:rPr>
          <w:rFonts w:ascii="Traditional Arabic" w:hAnsi="Traditional Arabic"/>
          <w:sz w:val="32"/>
          <w:szCs w:val="32"/>
          <w:rtl/>
        </w:rPr>
        <w:t>)</w:t>
      </w:r>
      <w:r>
        <w:rPr>
          <w:rFonts w:ascii="Traditional Arabic" w:hAnsi="Traditional Arabic" w:hint="cs"/>
          <w:sz w:val="32"/>
          <w:szCs w:val="32"/>
          <w:rtl/>
        </w:rPr>
        <w:t xml:space="preserve"> </w:t>
      </w:r>
      <w:r w:rsidRPr="004D3B8F">
        <w:rPr>
          <w:rFonts w:ascii="Traditional Arabic" w:hAnsi="Traditional Arabic"/>
          <w:sz w:val="32"/>
          <w:szCs w:val="32"/>
          <w:rtl/>
        </w:rPr>
        <w:t xml:space="preserve">انظر: السبعة في القراءات (ص397), معاني القراءات (2/120). </w:t>
      </w:r>
    </w:p>
  </w:footnote>
  <w:footnote w:id="1773">
    <w:p w:rsidR="003F128F" w:rsidRPr="004D3B8F" w:rsidRDefault="003F128F" w:rsidP="00885058">
      <w:pPr>
        <w:pStyle w:val="af3"/>
        <w:rPr>
          <w:rFonts w:ascii="Traditional Arabic" w:hAnsi="Traditional Arabic"/>
          <w:sz w:val="32"/>
          <w:szCs w:val="32"/>
        </w:rPr>
      </w:pPr>
      <w:r w:rsidRPr="004D3B8F">
        <w:rPr>
          <w:rFonts w:ascii="Traditional Arabic" w:hAnsi="Traditional Arabic"/>
          <w:sz w:val="32"/>
          <w:szCs w:val="32"/>
          <w:rtl/>
        </w:rPr>
        <w:t>(</w:t>
      </w:r>
      <w:r w:rsidRPr="004D3B8F">
        <w:rPr>
          <w:rStyle w:val="ae"/>
          <w:rFonts w:ascii="Traditional Arabic" w:hAnsi="Traditional Arabic"/>
          <w:sz w:val="32"/>
          <w:szCs w:val="32"/>
          <w:vertAlign w:val="baseline"/>
        </w:rPr>
        <w:footnoteRef/>
      </w:r>
      <w:r w:rsidRPr="004D3B8F">
        <w:rPr>
          <w:rFonts w:ascii="Traditional Arabic" w:hAnsi="Traditional Arabic"/>
          <w:sz w:val="32"/>
          <w:szCs w:val="32"/>
          <w:rtl/>
        </w:rPr>
        <w:t>) انظر: المحرر الوجيز (3/566), رموز الكنوز (4/343).</w:t>
      </w:r>
    </w:p>
  </w:footnote>
  <w:footnote w:id="1774">
    <w:p w:rsidR="003F128F" w:rsidRPr="004D3B8F" w:rsidRDefault="003F128F" w:rsidP="00885058">
      <w:pPr>
        <w:pStyle w:val="af3"/>
        <w:rPr>
          <w:rFonts w:ascii="Traditional Arabic" w:hAnsi="Traditional Arabic"/>
          <w:sz w:val="32"/>
          <w:szCs w:val="32"/>
        </w:rPr>
      </w:pPr>
      <w:r w:rsidRPr="004D3B8F">
        <w:rPr>
          <w:rFonts w:ascii="Traditional Arabic" w:hAnsi="Traditional Arabic"/>
          <w:sz w:val="32"/>
          <w:szCs w:val="32"/>
          <w:rtl/>
        </w:rPr>
        <w:t>(</w:t>
      </w:r>
      <w:r w:rsidRPr="004D3B8F">
        <w:rPr>
          <w:rStyle w:val="ae"/>
          <w:rFonts w:ascii="Traditional Arabic" w:hAnsi="Traditional Arabic"/>
          <w:sz w:val="32"/>
          <w:szCs w:val="32"/>
          <w:vertAlign w:val="baseline"/>
        </w:rPr>
        <w:footnoteRef/>
      </w:r>
      <w:r w:rsidRPr="004D3B8F">
        <w:rPr>
          <w:rFonts w:ascii="Traditional Arabic" w:hAnsi="Traditional Arabic"/>
          <w:sz w:val="32"/>
          <w:szCs w:val="32"/>
          <w:rtl/>
        </w:rPr>
        <w:t xml:space="preserve">) الكشف والبيان (6/187), </w:t>
      </w:r>
      <w:r w:rsidRPr="004D3B8F">
        <w:rPr>
          <w:rFonts w:ascii="Traditional Arabic" w:hAnsi="Traditional Arabic"/>
          <w:sz w:val="32"/>
          <w:szCs w:val="32"/>
          <w:rtl/>
          <w:lang w:eastAsia="en-US"/>
        </w:rPr>
        <w:t xml:space="preserve">التفسير الوسيط (3/161) </w:t>
      </w:r>
      <w:r w:rsidRPr="004D3B8F">
        <w:rPr>
          <w:rFonts w:ascii="Traditional Arabic" w:hAnsi="Traditional Arabic"/>
          <w:sz w:val="32"/>
          <w:szCs w:val="32"/>
          <w:rtl/>
        </w:rPr>
        <w:t xml:space="preserve"> </w:t>
      </w:r>
    </w:p>
  </w:footnote>
  <w:footnote w:id="1775">
    <w:p w:rsidR="003F128F" w:rsidRPr="004D3B8F" w:rsidRDefault="003F128F" w:rsidP="00885058">
      <w:pPr>
        <w:pStyle w:val="af3"/>
        <w:rPr>
          <w:rFonts w:ascii="Traditional Arabic" w:hAnsi="Traditional Arabic"/>
          <w:sz w:val="32"/>
          <w:szCs w:val="32"/>
        </w:rPr>
      </w:pPr>
      <w:r w:rsidRPr="004D3B8F">
        <w:rPr>
          <w:rFonts w:ascii="Traditional Arabic" w:hAnsi="Traditional Arabic"/>
          <w:sz w:val="32"/>
          <w:szCs w:val="32"/>
          <w:rtl/>
        </w:rPr>
        <w:t>(</w:t>
      </w:r>
      <w:r w:rsidRPr="004D3B8F">
        <w:rPr>
          <w:rStyle w:val="ae"/>
          <w:rFonts w:ascii="Traditional Arabic" w:hAnsi="Traditional Arabic"/>
          <w:sz w:val="32"/>
          <w:szCs w:val="32"/>
          <w:vertAlign w:val="baseline"/>
        </w:rPr>
        <w:footnoteRef/>
      </w:r>
      <w:r w:rsidRPr="004D3B8F">
        <w:rPr>
          <w:rFonts w:ascii="Traditional Arabic" w:hAnsi="Traditional Arabic"/>
          <w:sz w:val="32"/>
          <w:szCs w:val="32"/>
          <w:rtl/>
        </w:rPr>
        <w:t>) تفسير الطبري (18/87), الكشف والبيان (6/187)</w:t>
      </w:r>
      <w:r>
        <w:rPr>
          <w:rFonts w:ascii="Traditional Arabic" w:hAnsi="Traditional Arabic" w:hint="cs"/>
          <w:sz w:val="32"/>
          <w:szCs w:val="32"/>
          <w:rtl/>
        </w:rPr>
        <w:t>.</w:t>
      </w:r>
      <w:r w:rsidRPr="004D3B8F">
        <w:rPr>
          <w:rFonts w:ascii="Traditional Arabic" w:hAnsi="Traditional Arabic"/>
          <w:sz w:val="32"/>
          <w:szCs w:val="32"/>
          <w:rtl/>
        </w:rPr>
        <w:t xml:space="preserve"> </w:t>
      </w:r>
    </w:p>
  </w:footnote>
  <w:footnote w:id="1776">
    <w:p w:rsidR="003F128F" w:rsidRPr="001B3565" w:rsidRDefault="003F128F" w:rsidP="00885058">
      <w:pPr>
        <w:pStyle w:val="af3"/>
        <w:rPr>
          <w:rFonts w:ascii="Traditional Arabic" w:hAnsi="Traditional Arabic"/>
          <w:sz w:val="32"/>
          <w:szCs w:val="32"/>
        </w:rPr>
      </w:pPr>
      <w:r w:rsidRPr="001B3565">
        <w:rPr>
          <w:rFonts w:ascii="Traditional Arabic" w:hAnsi="Traditional Arabic"/>
          <w:sz w:val="32"/>
          <w:szCs w:val="32"/>
          <w:rtl/>
        </w:rPr>
        <w:t>(</w:t>
      </w:r>
      <w:r w:rsidRPr="001B3565">
        <w:rPr>
          <w:rStyle w:val="ae"/>
          <w:rFonts w:ascii="Traditional Arabic" w:hAnsi="Traditional Arabic"/>
          <w:sz w:val="32"/>
          <w:szCs w:val="32"/>
          <w:vertAlign w:val="baseline"/>
        </w:rPr>
        <w:footnoteRef/>
      </w:r>
      <w:r w:rsidRPr="001B3565">
        <w:rPr>
          <w:rFonts w:ascii="Traditional Arabic" w:hAnsi="Traditional Arabic"/>
          <w:sz w:val="32"/>
          <w:szCs w:val="32"/>
          <w:rtl/>
        </w:rPr>
        <w:t xml:space="preserve">) انظر: معاني القرآن وإعرابه (3/306), والبيت أيضاً في تهذيب اللغة (5/33) مادة (رحم), واللسان (12/231) مادة (رحم).   </w:t>
      </w:r>
    </w:p>
  </w:footnote>
  <w:footnote w:id="1777">
    <w:p w:rsidR="003F128F" w:rsidRPr="001B3565" w:rsidRDefault="003F128F" w:rsidP="00885058">
      <w:pPr>
        <w:pStyle w:val="af3"/>
        <w:rPr>
          <w:rFonts w:ascii="Traditional Arabic" w:hAnsi="Traditional Arabic"/>
          <w:sz w:val="32"/>
          <w:szCs w:val="32"/>
        </w:rPr>
      </w:pPr>
      <w:r w:rsidRPr="001B3565">
        <w:rPr>
          <w:rFonts w:ascii="Traditional Arabic" w:hAnsi="Traditional Arabic"/>
          <w:sz w:val="32"/>
          <w:szCs w:val="32"/>
          <w:rtl/>
        </w:rPr>
        <w:t>(</w:t>
      </w:r>
      <w:r w:rsidRPr="001B3565">
        <w:rPr>
          <w:rStyle w:val="ae"/>
          <w:rFonts w:ascii="Traditional Arabic" w:hAnsi="Traditional Arabic"/>
          <w:sz w:val="32"/>
          <w:szCs w:val="32"/>
          <w:vertAlign w:val="baseline"/>
        </w:rPr>
        <w:footnoteRef/>
      </w:r>
      <w:r w:rsidRPr="001B3565">
        <w:rPr>
          <w:rFonts w:ascii="Traditional Arabic" w:hAnsi="Traditional Arabic"/>
          <w:sz w:val="32"/>
          <w:szCs w:val="32"/>
          <w:rtl/>
        </w:rPr>
        <w:t xml:space="preserve">) معاني القرآن للفراء (2/157).  </w:t>
      </w:r>
    </w:p>
  </w:footnote>
  <w:footnote w:id="1778">
    <w:p w:rsidR="003F128F" w:rsidRPr="001B3565" w:rsidRDefault="003F128F" w:rsidP="00885058">
      <w:pPr>
        <w:pStyle w:val="af3"/>
        <w:rPr>
          <w:rFonts w:ascii="Traditional Arabic" w:hAnsi="Traditional Arabic"/>
          <w:sz w:val="32"/>
          <w:szCs w:val="32"/>
        </w:rPr>
      </w:pPr>
      <w:r w:rsidRPr="001B3565">
        <w:rPr>
          <w:rFonts w:ascii="Traditional Arabic" w:hAnsi="Traditional Arabic"/>
          <w:sz w:val="32"/>
          <w:szCs w:val="32"/>
          <w:rtl/>
        </w:rPr>
        <w:t>(</w:t>
      </w:r>
      <w:r w:rsidRPr="001B3565">
        <w:rPr>
          <w:rStyle w:val="ae"/>
          <w:rFonts w:ascii="Traditional Arabic" w:hAnsi="Traditional Arabic"/>
          <w:sz w:val="32"/>
          <w:szCs w:val="32"/>
          <w:vertAlign w:val="baseline"/>
        </w:rPr>
        <w:footnoteRef/>
      </w:r>
      <w:r w:rsidRPr="001B3565">
        <w:rPr>
          <w:rFonts w:ascii="Traditional Arabic" w:hAnsi="Traditional Arabic"/>
          <w:sz w:val="32"/>
          <w:szCs w:val="32"/>
          <w:rtl/>
        </w:rPr>
        <w:t>) انظر: تفسير الطبري (18/86), تفسير ابن أبي حاتم (7/2373).</w:t>
      </w:r>
    </w:p>
  </w:footnote>
  <w:footnote w:id="1779">
    <w:p w:rsidR="003F128F" w:rsidRPr="001B3565" w:rsidRDefault="003F128F" w:rsidP="00885058">
      <w:pPr>
        <w:pStyle w:val="af3"/>
        <w:rPr>
          <w:rFonts w:ascii="Traditional Arabic" w:hAnsi="Traditional Arabic"/>
          <w:sz w:val="32"/>
          <w:szCs w:val="32"/>
        </w:rPr>
      </w:pPr>
      <w:r w:rsidRPr="001B3565">
        <w:rPr>
          <w:rFonts w:ascii="Traditional Arabic" w:hAnsi="Traditional Arabic"/>
          <w:sz w:val="32"/>
          <w:szCs w:val="32"/>
          <w:rtl/>
        </w:rPr>
        <w:t>(</w:t>
      </w:r>
      <w:r w:rsidRPr="001B3565">
        <w:rPr>
          <w:rStyle w:val="ae"/>
          <w:rFonts w:ascii="Traditional Arabic" w:hAnsi="Traditional Arabic"/>
          <w:sz w:val="32"/>
          <w:szCs w:val="32"/>
          <w:vertAlign w:val="baseline"/>
        </w:rPr>
        <w:footnoteRef/>
      </w:r>
      <w:r w:rsidRPr="001B3565">
        <w:rPr>
          <w:rFonts w:ascii="Traditional Arabic" w:hAnsi="Traditional Arabic"/>
          <w:sz w:val="32"/>
          <w:szCs w:val="32"/>
          <w:rtl/>
        </w:rPr>
        <w:t xml:space="preserve">) </w:t>
      </w:r>
      <w:r w:rsidRPr="001B3565">
        <w:rPr>
          <w:rFonts w:ascii="Traditional Arabic" w:hAnsi="Traditional Arabic"/>
          <w:sz w:val="32"/>
          <w:szCs w:val="32"/>
          <w:rtl/>
          <w:lang w:eastAsia="en-US"/>
        </w:rPr>
        <w:t>التفسير الوسيط (3/161)</w:t>
      </w:r>
      <w:r w:rsidRPr="001B3565">
        <w:rPr>
          <w:rFonts w:ascii="Traditional Arabic" w:hAnsi="Traditional Arabic"/>
          <w:sz w:val="32"/>
          <w:szCs w:val="32"/>
          <w:rtl/>
        </w:rPr>
        <w:t xml:space="preserve">, معالم التنزيل (5/195), المحرر الوجيز (3/536).   </w:t>
      </w:r>
    </w:p>
  </w:footnote>
  <w:footnote w:id="1780">
    <w:p w:rsidR="003F128F" w:rsidRPr="001B3565" w:rsidRDefault="003F128F" w:rsidP="00885058">
      <w:pPr>
        <w:pStyle w:val="af3"/>
        <w:rPr>
          <w:rFonts w:ascii="Traditional Arabic" w:hAnsi="Traditional Arabic"/>
          <w:sz w:val="32"/>
          <w:szCs w:val="32"/>
        </w:rPr>
      </w:pPr>
      <w:r w:rsidRPr="001B3565">
        <w:rPr>
          <w:rFonts w:ascii="Traditional Arabic" w:hAnsi="Traditional Arabic"/>
          <w:sz w:val="32"/>
          <w:szCs w:val="32"/>
          <w:rtl/>
        </w:rPr>
        <w:t>(</w:t>
      </w:r>
      <w:r w:rsidRPr="001B3565">
        <w:rPr>
          <w:rStyle w:val="ae"/>
          <w:rFonts w:ascii="Traditional Arabic" w:hAnsi="Traditional Arabic"/>
          <w:sz w:val="32"/>
          <w:szCs w:val="32"/>
          <w:vertAlign w:val="baseline"/>
        </w:rPr>
        <w:footnoteRef/>
      </w:r>
      <w:r w:rsidRPr="001B3565">
        <w:rPr>
          <w:rFonts w:ascii="Traditional Arabic" w:hAnsi="Traditional Arabic"/>
          <w:sz w:val="32"/>
          <w:szCs w:val="32"/>
          <w:rtl/>
        </w:rPr>
        <w:t>) تفسير الطبري (18/87), الكشف والبيان (6/187), معالم التنزيل (5/195).</w:t>
      </w:r>
    </w:p>
  </w:footnote>
  <w:footnote w:id="1781">
    <w:p w:rsidR="003F128F" w:rsidRPr="001B3565" w:rsidRDefault="003F128F" w:rsidP="00885058">
      <w:pPr>
        <w:pStyle w:val="af3"/>
        <w:rPr>
          <w:rFonts w:ascii="Traditional Arabic" w:hAnsi="Traditional Arabic"/>
          <w:sz w:val="32"/>
          <w:szCs w:val="32"/>
        </w:rPr>
      </w:pPr>
      <w:r w:rsidRPr="001B3565">
        <w:rPr>
          <w:rFonts w:ascii="Traditional Arabic" w:hAnsi="Traditional Arabic"/>
          <w:sz w:val="32"/>
          <w:szCs w:val="32"/>
          <w:rtl/>
        </w:rPr>
        <w:t>(</w:t>
      </w:r>
      <w:r w:rsidRPr="001B3565">
        <w:rPr>
          <w:rStyle w:val="ae"/>
          <w:rFonts w:ascii="Traditional Arabic" w:hAnsi="Traditional Arabic"/>
          <w:sz w:val="32"/>
          <w:szCs w:val="32"/>
          <w:vertAlign w:val="baseline"/>
        </w:rPr>
        <w:footnoteRef/>
      </w:r>
      <w:r w:rsidRPr="001B3565">
        <w:rPr>
          <w:rFonts w:ascii="Traditional Arabic" w:hAnsi="Traditional Arabic"/>
          <w:sz w:val="32"/>
          <w:szCs w:val="32"/>
          <w:rtl/>
        </w:rPr>
        <w:t xml:space="preserve">) الذي وجدته في تفسير مقاتل: "واسم أحد الغلامين أصرم، والآخر صريم". انظر: تفسير مقاتل (2/599).  </w:t>
      </w:r>
    </w:p>
  </w:footnote>
  <w:footnote w:id="1782">
    <w:p w:rsidR="003F128F" w:rsidRPr="001B3565" w:rsidRDefault="003F128F" w:rsidP="00885058">
      <w:pPr>
        <w:pStyle w:val="af3"/>
        <w:rPr>
          <w:rFonts w:ascii="Traditional Arabic" w:hAnsi="Traditional Arabic"/>
          <w:sz w:val="32"/>
          <w:szCs w:val="32"/>
        </w:rPr>
      </w:pPr>
      <w:r w:rsidRPr="001B3565">
        <w:rPr>
          <w:rFonts w:ascii="Traditional Arabic" w:hAnsi="Traditional Arabic"/>
          <w:sz w:val="32"/>
          <w:szCs w:val="32"/>
          <w:rtl/>
        </w:rPr>
        <w:t>(</w:t>
      </w:r>
      <w:r w:rsidRPr="001B3565">
        <w:rPr>
          <w:rStyle w:val="ae"/>
          <w:rFonts w:ascii="Traditional Arabic" w:hAnsi="Traditional Arabic"/>
          <w:sz w:val="32"/>
          <w:szCs w:val="32"/>
          <w:vertAlign w:val="baseline"/>
        </w:rPr>
        <w:footnoteRef/>
      </w:r>
      <w:r w:rsidRPr="001B3565">
        <w:rPr>
          <w:rFonts w:ascii="Traditional Arabic" w:hAnsi="Traditional Arabic"/>
          <w:sz w:val="32"/>
          <w:szCs w:val="32"/>
          <w:rtl/>
        </w:rPr>
        <w:t xml:space="preserve">) أخرجه الترمذي في "جامعه" (كتاب تفسير القرآن عن رسول الله </w:t>
      </w:r>
      <w:r w:rsidRPr="001B3565">
        <w:rPr>
          <w:rFonts w:ascii="Traditional Arabic" w:hAnsi="Traditional Arabic"/>
          <w:sz w:val="32"/>
          <w:szCs w:val="32"/>
        </w:rPr>
        <w:sym w:font="AGA Arabesque" w:char="F072"/>
      </w:r>
      <w:r w:rsidRPr="001B3565">
        <w:rPr>
          <w:rFonts w:ascii="Traditional Arabic" w:hAnsi="Traditional Arabic"/>
          <w:sz w:val="32"/>
          <w:szCs w:val="32"/>
          <w:rtl/>
        </w:rPr>
        <w:t xml:space="preserve">, باب: ومن سورة الكهف 8/571 ح3152), والطبراني في الأوسط (7/108 ح6996), والصغير (ص476 ح977), والحاكم في المستدرك (2/400 ح3396), والثعلبي في الكشف والبيان (6/188), والواحدي في التفسير الوسيط (3/161), والحديث ضعفه الشيخ الألباني كما في </w:t>
      </w:r>
      <w:r>
        <w:rPr>
          <w:rFonts w:ascii="Traditional Arabic" w:hAnsi="Traditional Arabic" w:hint="cs"/>
          <w:sz w:val="32"/>
          <w:szCs w:val="32"/>
          <w:rtl/>
        </w:rPr>
        <w:t xml:space="preserve">ضعيف </w:t>
      </w:r>
      <w:r w:rsidRPr="001B3565">
        <w:rPr>
          <w:rFonts w:ascii="Traditional Arabic" w:hAnsi="Traditional Arabic"/>
          <w:sz w:val="32"/>
          <w:szCs w:val="32"/>
          <w:rtl/>
        </w:rPr>
        <w:t>سنن الترمذي (ص</w:t>
      </w:r>
      <w:r>
        <w:rPr>
          <w:rFonts w:ascii="Traditional Arabic" w:hAnsi="Traditional Arabic" w:hint="cs"/>
          <w:sz w:val="32"/>
          <w:szCs w:val="32"/>
          <w:rtl/>
        </w:rPr>
        <w:t>393</w:t>
      </w:r>
      <w:r w:rsidRPr="001B3565">
        <w:rPr>
          <w:rFonts w:ascii="Traditional Arabic" w:hAnsi="Traditional Arabic"/>
          <w:sz w:val="32"/>
          <w:szCs w:val="32"/>
          <w:rtl/>
        </w:rPr>
        <w:t xml:space="preserve"> ح</w:t>
      </w:r>
      <w:r>
        <w:rPr>
          <w:rFonts w:ascii="Traditional Arabic" w:hAnsi="Traditional Arabic" w:hint="cs"/>
          <w:sz w:val="32"/>
          <w:szCs w:val="32"/>
          <w:rtl/>
        </w:rPr>
        <w:t>615</w:t>
      </w:r>
      <w:r w:rsidRPr="001B3565">
        <w:rPr>
          <w:rFonts w:ascii="Traditional Arabic" w:hAnsi="Traditional Arabic"/>
          <w:sz w:val="32"/>
          <w:szCs w:val="32"/>
          <w:rtl/>
        </w:rPr>
        <w:t xml:space="preserve">). </w:t>
      </w:r>
    </w:p>
  </w:footnote>
  <w:footnote w:id="1783">
    <w:p w:rsidR="003F128F" w:rsidRPr="001B3565" w:rsidRDefault="003F128F" w:rsidP="00885058">
      <w:pPr>
        <w:pStyle w:val="af3"/>
        <w:rPr>
          <w:rFonts w:ascii="Traditional Arabic" w:hAnsi="Traditional Arabic"/>
          <w:sz w:val="32"/>
          <w:szCs w:val="32"/>
        </w:rPr>
      </w:pPr>
      <w:r w:rsidRPr="001B3565">
        <w:rPr>
          <w:rFonts w:ascii="Traditional Arabic" w:hAnsi="Traditional Arabic"/>
          <w:sz w:val="32"/>
          <w:szCs w:val="32"/>
          <w:rtl/>
        </w:rPr>
        <w:t>(</w:t>
      </w:r>
      <w:r w:rsidRPr="001B3565">
        <w:rPr>
          <w:rStyle w:val="ae"/>
          <w:rFonts w:ascii="Traditional Arabic" w:hAnsi="Traditional Arabic"/>
          <w:sz w:val="32"/>
          <w:szCs w:val="32"/>
          <w:vertAlign w:val="baseline"/>
        </w:rPr>
        <w:footnoteRef/>
      </w:r>
      <w:r w:rsidRPr="001B3565">
        <w:rPr>
          <w:rFonts w:ascii="Traditional Arabic" w:hAnsi="Traditional Arabic"/>
          <w:sz w:val="32"/>
          <w:szCs w:val="32"/>
          <w:rtl/>
        </w:rPr>
        <w:t>) ذكر هذه الأقوال يحيى بن سلام في تفسيره (1/200), والطبري في تفسيره (18/90).</w:t>
      </w:r>
    </w:p>
  </w:footnote>
  <w:footnote w:id="1784">
    <w:p w:rsidR="003F128F" w:rsidRPr="001B3565" w:rsidRDefault="003F128F" w:rsidP="00885058">
      <w:pPr>
        <w:pStyle w:val="af3"/>
        <w:rPr>
          <w:rFonts w:ascii="Tahoma" w:hAnsi="Tahoma"/>
        </w:rPr>
      </w:pPr>
      <w:r w:rsidRPr="001B3565">
        <w:rPr>
          <w:rFonts w:ascii="Traditional Arabic" w:hAnsi="Traditional Arabic"/>
          <w:sz w:val="32"/>
          <w:szCs w:val="32"/>
          <w:rtl/>
        </w:rPr>
        <w:t>(</w:t>
      </w:r>
      <w:r w:rsidRPr="001B3565">
        <w:rPr>
          <w:rStyle w:val="ae"/>
          <w:rFonts w:ascii="Traditional Arabic" w:hAnsi="Traditional Arabic"/>
          <w:sz w:val="32"/>
          <w:szCs w:val="32"/>
          <w:vertAlign w:val="baseline"/>
        </w:rPr>
        <w:footnoteRef/>
      </w:r>
      <w:r w:rsidRPr="001B3565">
        <w:rPr>
          <w:rFonts w:ascii="Traditional Arabic" w:hAnsi="Traditional Arabic"/>
          <w:sz w:val="32"/>
          <w:szCs w:val="32"/>
          <w:rtl/>
        </w:rPr>
        <w:t>) في (ك): [ثم يضحك].</w:t>
      </w:r>
      <w:r w:rsidRPr="00AD7BD5">
        <w:rPr>
          <w:rFonts w:ascii="Traditional Arabic" w:hAnsi="Traditional Arabic"/>
          <w:sz w:val="32"/>
          <w:szCs w:val="32"/>
          <w:rtl/>
        </w:rPr>
        <w:t xml:space="preserve"> </w:t>
      </w:r>
      <w:r>
        <w:rPr>
          <w:rFonts w:ascii="Tahoma" w:hAnsi="Tahoma"/>
          <w:rtl/>
        </w:rPr>
        <w:t xml:space="preserve"> </w:t>
      </w:r>
    </w:p>
  </w:footnote>
  <w:footnote w:id="1785">
    <w:p w:rsidR="003F128F" w:rsidRPr="00253CF9" w:rsidRDefault="003F128F" w:rsidP="00885058">
      <w:pPr>
        <w:pStyle w:val="af3"/>
        <w:rPr>
          <w:rFonts w:ascii="Traditional Arabic" w:hAnsi="Traditional Arabic"/>
          <w:sz w:val="32"/>
          <w:szCs w:val="32"/>
        </w:rPr>
      </w:pPr>
      <w:r w:rsidRPr="00253CF9">
        <w:rPr>
          <w:rFonts w:ascii="Traditional Arabic" w:hAnsi="Traditional Arabic"/>
          <w:sz w:val="32"/>
          <w:szCs w:val="32"/>
          <w:rtl/>
        </w:rPr>
        <w:t>(</w:t>
      </w:r>
      <w:r w:rsidRPr="00253CF9">
        <w:rPr>
          <w:rStyle w:val="ae"/>
          <w:rFonts w:ascii="Traditional Arabic" w:hAnsi="Traditional Arabic"/>
          <w:sz w:val="32"/>
          <w:szCs w:val="32"/>
          <w:vertAlign w:val="baseline"/>
        </w:rPr>
        <w:footnoteRef/>
      </w:r>
      <w:r w:rsidRPr="00253CF9">
        <w:rPr>
          <w:rFonts w:ascii="Traditional Arabic" w:hAnsi="Traditional Arabic"/>
          <w:sz w:val="32"/>
          <w:szCs w:val="32"/>
          <w:rtl/>
        </w:rPr>
        <w:t>)</w:t>
      </w:r>
      <w:r>
        <w:rPr>
          <w:rFonts w:ascii="Traditional Arabic" w:hAnsi="Traditional Arabic"/>
          <w:sz w:val="32"/>
          <w:szCs w:val="32"/>
          <w:rtl/>
        </w:rPr>
        <w:t xml:space="preserve"> </w:t>
      </w:r>
      <w:r>
        <w:rPr>
          <w:rFonts w:ascii="Traditional Arabic" w:hAnsi="Traditional Arabic" w:hint="cs"/>
          <w:sz w:val="32"/>
          <w:szCs w:val="32"/>
          <w:rtl/>
        </w:rPr>
        <w:t xml:space="preserve">انظر: </w:t>
      </w:r>
      <w:r w:rsidRPr="004D3B8F">
        <w:rPr>
          <w:rFonts w:ascii="Traditional Arabic" w:hAnsi="Traditional Arabic"/>
          <w:sz w:val="32"/>
          <w:szCs w:val="32"/>
          <w:rtl/>
          <w:lang w:eastAsia="en-US"/>
        </w:rPr>
        <w:t>التفسير الوسيط (3/16</w:t>
      </w:r>
      <w:r>
        <w:rPr>
          <w:rFonts w:ascii="Traditional Arabic" w:hAnsi="Traditional Arabic" w:hint="cs"/>
          <w:sz w:val="32"/>
          <w:szCs w:val="32"/>
          <w:rtl/>
          <w:lang w:eastAsia="en-US"/>
        </w:rPr>
        <w:t>2</w:t>
      </w:r>
      <w:r w:rsidRPr="004D3B8F">
        <w:rPr>
          <w:rFonts w:ascii="Traditional Arabic" w:hAnsi="Traditional Arabic"/>
          <w:sz w:val="32"/>
          <w:szCs w:val="32"/>
          <w:rtl/>
          <w:lang w:eastAsia="en-US"/>
        </w:rPr>
        <w:t>)</w:t>
      </w:r>
      <w:r>
        <w:rPr>
          <w:rFonts w:ascii="Traditional Arabic" w:hAnsi="Traditional Arabic" w:hint="cs"/>
          <w:sz w:val="32"/>
          <w:szCs w:val="32"/>
          <w:rtl/>
        </w:rPr>
        <w:t>, معالم التنزيل (5/196),</w:t>
      </w:r>
      <w:r w:rsidRPr="00256AC1">
        <w:rPr>
          <w:rFonts w:ascii="Traditional Arabic" w:hAnsi="Traditional Arabic"/>
          <w:sz w:val="32"/>
          <w:szCs w:val="32"/>
          <w:rtl/>
        </w:rPr>
        <w:t xml:space="preserve"> </w:t>
      </w:r>
      <w:r w:rsidRPr="004D3B8F">
        <w:rPr>
          <w:rFonts w:ascii="Traditional Arabic" w:hAnsi="Traditional Arabic"/>
          <w:sz w:val="32"/>
          <w:szCs w:val="32"/>
          <w:rtl/>
        </w:rPr>
        <w:t>رموز الكنوز (4/34</w:t>
      </w:r>
      <w:r>
        <w:rPr>
          <w:rFonts w:ascii="Traditional Arabic" w:hAnsi="Traditional Arabic" w:hint="cs"/>
          <w:sz w:val="32"/>
          <w:szCs w:val="32"/>
          <w:rtl/>
        </w:rPr>
        <w:t>4</w:t>
      </w:r>
      <w:r w:rsidRPr="004D3B8F">
        <w:rPr>
          <w:rFonts w:ascii="Traditional Arabic" w:hAnsi="Traditional Arabic"/>
          <w:sz w:val="32"/>
          <w:szCs w:val="32"/>
          <w:rtl/>
        </w:rPr>
        <w:t xml:space="preserve">). </w:t>
      </w:r>
    </w:p>
  </w:footnote>
  <w:footnote w:id="1786">
    <w:p w:rsidR="003F128F" w:rsidRPr="00253CF9" w:rsidRDefault="003F128F" w:rsidP="00885058">
      <w:pPr>
        <w:pStyle w:val="af3"/>
        <w:rPr>
          <w:rFonts w:ascii="Traditional Arabic" w:hAnsi="Traditional Arabic"/>
          <w:sz w:val="32"/>
          <w:szCs w:val="32"/>
        </w:rPr>
      </w:pPr>
      <w:r w:rsidRPr="00253CF9">
        <w:rPr>
          <w:rFonts w:ascii="Traditional Arabic" w:hAnsi="Traditional Arabic"/>
          <w:sz w:val="32"/>
          <w:szCs w:val="32"/>
          <w:rtl/>
        </w:rPr>
        <w:t>(</w:t>
      </w:r>
      <w:r w:rsidRPr="00253CF9">
        <w:rPr>
          <w:rStyle w:val="ae"/>
          <w:rFonts w:ascii="Traditional Arabic" w:hAnsi="Traditional Arabic"/>
          <w:sz w:val="32"/>
          <w:szCs w:val="32"/>
          <w:vertAlign w:val="baseline"/>
        </w:rPr>
        <w:footnoteRef/>
      </w:r>
      <w:r w:rsidRPr="00253CF9">
        <w:rPr>
          <w:rFonts w:ascii="Traditional Arabic" w:hAnsi="Traditional Arabic"/>
          <w:sz w:val="32"/>
          <w:szCs w:val="32"/>
          <w:rtl/>
        </w:rPr>
        <w:t>)</w:t>
      </w:r>
      <w:r>
        <w:rPr>
          <w:rFonts w:ascii="Traditional Arabic" w:hAnsi="Traditional Arabic"/>
          <w:sz w:val="32"/>
          <w:szCs w:val="32"/>
          <w:rtl/>
        </w:rPr>
        <w:t xml:space="preserve"> </w:t>
      </w:r>
      <w:r>
        <w:rPr>
          <w:rFonts w:ascii="Traditional Arabic" w:hAnsi="Traditional Arabic" w:hint="cs"/>
          <w:sz w:val="32"/>
          <w:szCs w:val="32"/>
          <w:rtl/>
        </w:rPr>
        <w:t>لم أقف عليه فيما لدي من مصادر.</w:t>
      </w:r>
    </w:p>
  </w:footnote>
  <w:footnote w:id="1787">
    <w:p w:rsidR="003F128F" w:rsidRPr="00253CF9" w:rsidRDefault="003F128F" w:rsidP="00885058">
      <w:pPr>
        <w:pStyle w:val="af3"/>
        <w:rPr>
          <w:rFonts w:ascii="Traditional Arabic" w:hAnsi="Traditional Arabic"/>
          <w:sz w:val="32"/>
          <w:szCs w:val="32"/>
        </w:rPr>
      </w:pPr>
      <w:r w:rsidRPr="00253CF9">
        <w:rPr>
          <w:rFonts w:ascii="Traditional Arabic" w:hAnsi="Traditional Arabic"/>
          <w:sz w:val="32"/>
          <w:szCs w:val="32"/>
          <w:rtl/>
        </w:rPr>
        <w:t>(</w:t>
      </w:r>
      <w:r w:rsidRPr="00253CF9">
        <w:rPr>
          <w:rStyle w:val="ae"/>
          <w:rFonts w:ascii="Traditional Arabic" w:hAnsi="Traditional Arabic"/>
          <w:sz w:val="32"/>
          <w:szCs w:val="32"/>
          <w:vertAlign w:val="baseline"/>
        </w:rPr>
        <w:footnoteRef/>
      </w:r>
      <w:r w:rsidRPr="00253CF9">
        <w:rPr>
          <w:rFonts w:ascii="Traditional Arabic" w:hAnsi="Traditional Arabic"/>
          <w:sz w:val="32"/>
          <w:szCs w:val="32"/>
          <w:rtl/>
        </w:rPr>
        <w:t>)</w:t>
      </w:r>
      <w:r>
        <w:rPr>
          <w:rFonts w:ascii="Traditional Arabic" w:hAnsi="Traditional Arabic"/>
          <w:sz w:val="32"/>
          <w:szCs w:val="32"/>
          <w:rtl/>
        </w:rPr>
        <w:t xml:space="preserve"> </w:t>
      </w:r>
      <w:r>
        <w:rPr>
          <w:rFonts w:ascii="Traditional Arabic" w:hAnsi="Traditional Arabic" w:hint="cs"/>
          <w:sz w:val="32"/>
          <w:szCs w:val="32"/>
          <w:rtl/>
        </w:rPr>
        <w:t xml:space="preserve">تفسير الطبري (18/88), تفسير ابن كثير (5/183), </w:t>
      </w:r>
      <w:r w:rsidRPr="004D3B8F">
        <w:rPr>
          <w:rFonts w:ascii="Traditional Arabic" w:hAnsi="Traditional Arabic"/>
          <w:sz w:val="32"/>
          <w:szCs w:val="32"/>
          <w:rtl/>
        </w:rPr>
        <w:t>رموز الكنوز (4/34</w:t>
      </w:r>
      <w:r>
        <w:rPr>
          <w:rFonts w:ascii="Traditional Arabic" w:hAnsi="Traditional Arabic" w:hint="cs"/>
          <w:sz w:val="32"/>
          <w:szCs w:val="32"/>
          <w:rtl/>
        </w:rPr>
        <w:t>4</w:t>
      </w:r>
      <w:r w:rsidRPr="004D3B8F">
        <w:rPr>
          <w:rFonts w:ascii="Traditional Arabic" w:hAnsi="Traditional Arabic"/>
          <w:sz w:val="32"/>
          <w:szCs w:val="32"/>
          <w:rtl/>
        </w:rPr>
        <w:t>).</w:t>
      </w:r>
    </w:p>
  </w:footnote>
  <w:footnote w:id="1788">
    <w:p w:rsidR="003F128F" w:rsidRPr="00253CF9" w:rsidRDefault="003F128F" w:rsidP="00885058">
      <w:pPr>
        <w:pStyle w:val="af3"/>
        <w:rPr>
          <w:rFonts w:ascii="Traditional Arabic" w:hAnsi="Traditional Arabic"/>
          <w:sz w:val="32"/>
          <w:szCs w:val="32"/>
        </w:rPr>
      </w:pPr>
      <w:r w:rsidRPr="00253CF9">
        <w:rPr>
          <w:rFonts w:ascii="Traditional Arabic" w:hAnsi="Traditional Arabic"/>
          <w:sz w:val="32"/>
          <w:szCs w:val="32"/>
          <w:rtl/>
        </w:rPr>
        <w:t>(</w:t>
      </w:r>
      <w:r w:rsidRPr="00253CF9">
        <w:rPr>
          <w:rStyle w:val="ae"/>
          <w:rFonts w:ascii="Traditional Arabic" w:hAnsi="Traditional Arabic"/>
          <w:sz w:val="32"/>
          <w:szCs w:val="32"/>
          <w:vertAlign w:val="baseline"/>
        </w:rPr>
        <w:footnoteRef/>
      </w:r>
      <w:r w:rsidRPr="00253CF9">
        <w:rPr>
          <w:rFonts w:ascii="Traditional Arabic" w:hAnsi="Traditional Arabic"/>
          <w:sz w:val="32"/>
          <w:szCs w:val="32"/>
          <w:rtl/>
        </w:rPr>
        <w:t>)</w:t>
      </w:r>
      <w:r>
        <w:rPr>
          <w:rFonts w:ascii="Traditional Arabic" w:hAnsi="Traditional Arabic"/>
          <w:sz w:val="32"/>
          <w:szCs w:val="32"/>
          <w:rtl/>
        </w:rPr>
        <w:t xml:space="preserve"> </w:t>
      </w:r>
      <w:r w:rsidRPr="00253CF9">
        <w:rPr>
          <w:rFonts w:ascii="Traditional Arabic" w:hAnsi="Traditional Arabic"/>
          <w:sz w:val="32"/>
          <w:szCs w:val="32"/>
          <w:rtl/>
        </w:rPr>
        <w:t>انظر: تفسير مجاهد (ص450), تفسير يحيى بن سلام (1/200), تفسير عبد الرزاق (2/340).</w:t>
      </w:r>
    </w:p>
  </w:footnote>
  <w:footnote w:id="1789">
    <w:p w:rsidR="003F128F" w:rsidRPr="00253CF9" w:rsidRDefault="003F128F" w:rsidP="00885058">
      <w:pPr>
        <w:pStyle w:val="af3"/>
        <w:rPr>
          <w:rFonts w:ascii="Traditional Arabic" w:hAnsi="Traditional Arabic"/>
          <w:sz w:val="32"/>
          <w:szCs w:val="32"/>
        </w:rPr>
      </w:pPr>
      <w:r w:rsidRPr="00253CF9">
        <w:rPr>
          <w:rFonts w:ascii="Traditional Arabic" w:hAnsi="Traditional Arabic"/>
          <w:sz w:val="32"/>
          <w:szCs w:val="32"/>
          <w:rtl/>
        </w:rPr>
        <w:t>(</w:t>
      </w:r>
      <w:r w:rsidRPr="00253CF9">
        <w:rPr>
          <w:rStyle w:val="ae"/>
          <w:rFonts w:ascii="Traditional Arabic" w:hAnsi="Traditional Arabic"/>
          <w:sz w:val="32"/>
          <w:szCs w:val="32"/>
          <w:vertAlign w:val="baseline"/>
        </w:rPr>
        <w:footnoteRef/>
      </w:r>
      <w:r w:rsidRPr="00253CF9">
        <w:rPr>
          <w:rFonts w:ascii="Traditional Arabic" w:hAnsi="Traditional Arabic"/>
          <w:sz w:val="32"/>
          <w:szCs w:val="32"/>
          <w:rtl/>
        </w:rPr>
        <w:t xml:space="preserve">) انظر: تفسير يحيى بن سلام (1/200), </w:t>
      </w:r>
      <w:r w:rsidRPr="001124ED">
        <w:rPr>
          <w:rFonts w:ascii="Traditional Arabic" w:hAnsi="Traditional Arabic"/>
          <w:sz w:val="32"/>
          <w:szCs w:val="32"/>
          <w:rtl/>
        </w:rPr>
        <w:t>تفسير الطبري (18/</w:t>
      </w:r>
      <w:r>
        <w:rPr>
          <w:rFonts w:ascii="Traditional Arabic" w:hAnsi="Traditional Arabic" w:hint="cs"/>
          <w:sz w:val="32"/>
          <w:szCs w:val="32"/>
          <w:rtl/>
        </w:rPr>
        <w:t>88</w:t>
      </w:r>
      <w:r w:rsidRPr="001124ED">
        <w:rPr>
          <w:rFonts w:ascii="Traditional Arabic" w:hAnsi="Traditional Arabic"/>
          <w:sz w:val="32"/>
          <w:szCs w:val="32"/>
          <w:rtl/>
        </w:rPr>
        <w:t>),</w:t>
      </w:r>
      <w:r>
        <w:rPr>
          <w:rFonts w:ascii="Traditional Arabic" w:hAnsi="Traditional Arabic" w:hint="cs"/>
          <w:sz w:val="32"/>
          <w:szCs w:val="32"/>
          <w:rtl/>
        </w:rPr>
        <w:t xml:space="preserve"> الكشف والبيان (6/188).</w:t>
      </w:r>
      <w:r w:rsidRPr="00253CF9">
        <w:rPr>
          <w:rFonts w:ascii="Traditional Arabic" w:hAnsi="Traditional Arabic"/>
          <w:sz w:val="32"/>
          <w:szCs w:val="32"/>
          <w:rtl/>
        </w:rPr>
        <w:t xml:space="preserve"> </w:t>
      </w:r>
    </w:p>
  </w:footnote>
  <w:footnote w:id="1790">
    <w:p w:rsidR="003F128F" w:rsidRPr="00253CF9" w:rsidRDefault="003F128F" w:rsidP="00885058">
      <w:pPr>
        <w:pStyle w:val="af3"/>
        <w:rPr>
          <w:rFonts w:ascii="Traditional Arabic" w:hAnsi="Traditional Arabic"/>
          <w:sz w:val="32"/>
          <w:szCs w:val="32"/>
        </w:rPr>
      </w:pPr>
      <w:r w:rsidRPr="00253CF9">
        <w:rPr>
          <w:rFonts w:ascii="Traditional Arabic" w:hAnsi="Traditional Arabic"/>
          <w:sz w:val="32"/>
          <w:szCs w:val="32"/>
          <w:rtl/>
        </w:rPr>
        <w:t>(</w:t>
      </w:r>
      <w:r w:rsidRPr="00253CF9">
        <w:rPr>
          <w:rStyle w:val="ae"/>
          <w:rFonts w:ascii="Traditional Arabic" w:hAnsi="Traditional Arabic"/>
          <w:sz w:val="32"/>
          <w:szCs w:val="32"/>
          <w:vertAlign w:val="baseline"/>
        </w:rPr>
        <w:footnoteRef/>
      </w:r>
      <w:r w:rsidRPr="00253CF9">
        <w:rPr>
          <w:rFonts w:ascii="Traditional Arabic" w:hAnsi="Traditional Arabic"/>
          <w:sz w:val="32"/>
          <w:szCs w:val="32"/>
          <w:rtl/>
        </w:rPr>
        <w:t>)</w:t>
      </w:r>
      <w:r>
        <w:rPr>
          <w:rFonts w:ascii="Traditional Arabic" w:hAnsi="Traditional Arabic" w:hint="cs"/>
          <w:sz w:val="32"/>
          <w:szCs w:val="32"/>
          <w:rtl/>
        </w:rPr>
        <w:t xml:space="preserve"> لم أقف على قول السدي, ولكن به قال الضحاك.</w:t>
      </w:r>
      <w:r w:rsidRPr="00253CF9">
        <w:rPr>
          <w:rFonts w:ascii="Traditional Arabic" w:hAnsi="Traditional Arabic"/>
          <w:sz w:val="32"/>
          <w:szCs w:val="32"/>
          <w:rtl/>
        </w:rPr>
        <w:t xml:space="preserve"> </w:t>
      </w:r>
      <w:r>
        <w:rPr>
          <w:rFonts w:ascii="Traditional Arabic" w:hAnsi="Traditional Arabic" w:hint="cs"/>
          <w:sz w:val="32"/>
          <w:szCs w:val="32"/>
          <w:rtl/>
        </w:rPr>
        <w:t>انظر: بحر العلوم (2/358).</w:t>
      </w:r>
    </w:p>
  </w:footnote>
  <w:footnote w:id="1791">
    <w:p w:rsidR="003F128F" w:rsidRPr="00E15E1C" w:rsidRDefault="003F128F" w:rsidP="00885058">
      <w:pPr>
        <w:pStyle w:val="af3"/>
        <w:rPr>
          <w:rFonts w:ascii="Traditional Arabic" w:hAnsi="Traditional Arabic"/>
          <w:sz w:val="32"/>
          <w:szCs w:val="32"/>
        </w:rPr>
      </w:pPr>
      <w:r w:rsidRPr="00E15E1C">
        <w:rPr>
          <w:rFonts w:ascii="Traditional Arabic" w:hAnsi="Traditional Arabic"/>
          <w:sz w:val="32"/>
          <w:szCs w:val="32"/>
          <w:rtl/>
        </w:rPr>
        <w:t>(</w:t>
      </w:r>
      <w:r w:rsidRPr="00E15E1C">
        <w:rPr>
          <w:rStyle w:val="ae"/>
          <w:rFonts w:ascii="Traditional Arabic" w:hAnsi="Traditional Arabic"/>
          <w:sz w:val="32"/>
          <w:szCs w:val="32"/>
          <w:vertAlign w:val="baseline"/>
        </w:rPr>
        <w:footnoteRef/>
      </w:r>
      <w:r w:rsidRPr="00E15E1C">
        <w:rPr>
          <w:rFonts w:ascii="Traditional Arabic" w:hAnsi="Traditional Arabic"/>
          <w:sz w:val="32"/>
          <w:szCs w:val="32"/>
          <w:rtl/>
        </w:rPr>
        <w:t>) ذكر بنحوه الواحدي في التفسير البسيط (14/126).</w:t>
      </w:r>
    </w:p>
  </w:footnote>
  <w:footnote w:id="1792">
    <w:p w:rsidR="003F128F" w:rsidRPr="00E15E1C" w:rsidRDefault="003F128F" w:rsidP="00885058">
      <w:pPr>
        <w:pStyle w:val="af3"/>
        <w:rPr>
          <w:rFonts w:ascii="Traditional Arabic" w:hAnsi="Traditional Arabic"/>
          <w:sz w:val="32"/>
          <w:szCs w:val="32"/>
        </w:rPr>
      </w:pPr>
      <w:r w:rsidRPr="00E15E1C">
        <w:rPr>
          <w:rFonts w:ascii="Traditional Arabic" w:hAnsi="Traditional Arabic"/>
          <w:sz w:val="32"/>
          <w:szCs w:val="32"/>
          <w:rtl/>
        </w:rPr>
        <w:t>(</w:t>
      </w:r>
      <w:r w:rsidRPr="00E15E1C">
        <w:rPr>
          <w:rStyle w:val="ae"/>
          <w:rFonts w:ascii="Traditional Arabic" w:hAnsi="Traditional Arabic"/>
          <w:sz w:val="32"/>
          <w:szCs w:val="32"/>
          <w:vertAlign w:val="baseline"/>
        </w:rPr>
        <w:footnoteRef/>
      </w:r>
      <w:r w:rsidRPr="00E15E1C">
        <w:rPr>
          <w:rFonts w:ascii="Traditional Arabic" w:hAnsi="Traditional Arabic"/>
          <w:sz w:val="32"/>
          <w:szCs w:val="32"/>
          <w:rtl/>
        </w:rPr>
        <w:t>) انظر: معاني القرآن وإعرابه (3/307).</w:t>
      </w:r>
    </w:p>
  </w:footnote>
  <w:footnote w:id="1793">
    <w:p w:rsidR="003F128F" w:rsidRPr="00E15E1C" w:rsidRDefault="003F128F" w:rsidP="00885058">
      <w:pPr>
        <w:pStyle w:val="af3"/>
        <w:rPr>
          <w:rFonts w:ascii="Traditional Arabic" w:hAnsi="Traditional Arabic"/>
          <w:sz w:val="32"/>
          <w:szCs w:val="32"/>
        </w:rPr>
      </w:pPr>
      <w:r w:rsidRPr="00E15E1C">
        <w:rPr>
          <w:rFonts w:ascii="Traditional Arabic" w:hAnsi="Traditional Arabic"/>
          <w:sz w:val="32"/>
          <w:szCs w:val="32"/>
          <w:rtl/>
        </w:rPr>
        <w:t>(</w:t>
      </w:r>
      <w:r w:rsidRPr="00E15E1C">
        <w:rPr>
          <w:rStyle w:val="ae"/>
          <w:rFonts w:ascii="Traditional Arabic" w:hAnsi="Traditional Arabic"/>
          <w:sz w:val="32"/>
          <w:szCs w:val="32"/>
          <w:vertAlign w:val="baseline"/>
        </w:rPr>
        <w:footnoteRef/>
      </w:r>
      <w:r w:rsidRPr="00E15E1C">
        <w:rPr>
          <w:rFonts w:ascii="Traditional Arabic" w:hAnsi="Traditional Arabic"/>
          <w:sz w:val="32"/>
          <w:szCs w:val="32"/>
          <w:rtl/>
        </w:rPr>
        <w:t xml:space="preserve">) تفسير الطبري (18/91), </w:t>
      </w:r>
      <w:r w:rsidRPr="00E15E1C">
        <w:rPr>
          <w:rFonts w:ascii="Traditional Arabic" w:hAnsi="Traditional Arabic"/>
          <w:sz w:val="32"/>
          <w:szCs w:val="32"/>
          <w:rtl/>
          <w:lang w:eastAsia="en-US"/>
        </w:rPr>
        <w:t>التفسير الوسيط (3/162)</w:t>
      </w:r>
      <w:r>
        <w:rPr>
          <w:rFonts w:ascii="Traditional Arabic" w:hAnsi="Traditional Arabic" w:hint="cs"/>
          <w:sz w:val="32"/>
          <w:szCs w:val="32"/>
          <w:rtl/>
          <w:lang w:eastAsia="en-US"/>
        </w:rPr>
        <w:t>.</w:t>
      </w:r>
    </w:p>
  </w:footnote>
  <w:footnote w:id="1794">
    <w:p w:rsidR="003F128F" w:rsidRPr="00E15E1C" w:rsidRDefault="003F128F" w:rsidP="00FD75C0">
      <w:pPr>
        <w:pStyle w:val="af3"/>
        <w:rPr>
          <w:rFonts w:ascii="Traditional Arabic" w:hAnsi="Traditional Arabic"/>
          <w:sz w:val="32"/>
          <w:szCs w:val="32"/>
        </w:rPr>
      </w:pPr>
      <w:r w:rsidRPr="00E15E1C">
        <w:rPr>
          <w:rFonts w:ascii="Traditional Arabic" w:hAnsi="Traditional Arabic"/>
          <w:sz w:val="32"/>
          <w:szCs w:val="32"/>
          <w:rtl/>
        </w:rPr>
        <w:t>(</w:t>
      </w:r>
      <w:r w:rsidRPr="00E15E1C">
        <w:rPr>
          <w:rStyle w:val="ae"/>
          <w:rFonts w:ascii="Traditional Arabic" w:hAnsi="Traditional Arabic"/>
          <w:sz w:val="32"/>
          <w:szCs w:val="32"/>
          <w:vertAlign w:val="baseline"/>
        </w:rPr>
        <w:footnoteRef/>
      </w:r>
      <w:r>
        <w:rPr>
          <w:rFonts w:ascii="Traditional Arabic" w:hAnsi="Traditional Arabic"/>
          <w:sz w:val="32"/>
          <w:szCs w:val="32"/>
          <w:rtl/>
        </w:rPr>
        <w:t>) هو التابعي ال</w:t>
      </w:r>
      <w:r>
        <w:rPr>
          <w:rFonts w:ascii="Traditional Arabic" w:hAnsi="Traditional Arabic" w:hint="cs"/>
          <w:sz w:val="32"/>
          <w:szCs w:val="32"/>
          <w:rtl/>
        </w:rPr>
        <w:t>إم</w:t>
      </w:r>
      <w:r w:rsidRPr="00E15E1C">
        <w:rPr>
          <w:rFonts w:ascii="Traditional Arabic" w:hAnsi="Traditional Arabic"/>
          <w:sz w:val="32"/>
          <w:szCs w:val="32"/>
          <w:rtl/>
        </w:rPr>
        <w:t>ام</w:t>
      </w:r>
      <w:r>
        <w:rPr>
          <w:rFonts w:ascii="Traditional Arabic" w:hAnsi="Traditional Arabic" w:hint="cs"/>
          <w:sz w:val="32"/>
          <w:szCs w:val="32"/>
          <w:rtl/>
        </w:rPr>
        <w:t>,</w:t>
      </w:r>
      <w:r w:rsidRPr="00E15E1C">
        <w:rPr>
          <w:rFonts w:ascii="Traditional Arabic" w:hAnsi="Traditional Arabic"/>
          <w:sz w:val="32"/>
          <w:szCs w:val="32"/>
          <w:rtl/>
        </w:rPr>
        <w:t xml:space="preserve"> أَبُو عَبْد اللَّهِ</w:t>
      </w:r>
      <w:r>
        <w:rPr>
          <w:rFonts w:ascii="Traditional Arabic" w:hAnsi="Traditional Arabic" w:hint="cs"/>
          <w:sz w:val="32"/>
          <w:szCs w:val="32"/>
          <w:rtl/>
        </w:rPr>
        <w:t>,</w:t>
      </w:r>
      <w:r w:rsidRPr="00E15E1C">
        <w:rPr>
          <w:rFonts w:ascii="Traditional Arabic" w:hAnsi="Traditional Arabic"/>
          <w:sz w:val="32"/>
          <w:szCs w:val="32"/>
          <w:rtl/>
        </w:rPr>
        <w:t xml:space="preserve"> جعفر بن مُحَمَّدِ بن علي بن الحسين</w:t>
      </w:r>
      <w:r w:rsidRPr="00E15E1C">
        <w:rPr>
          <w:rFonts w:ascii="Traditional Arabic" w:hAnsi="Traditional Arabic"/>
          <w:sz w:val="32"/>
          <w:szCs w:val="32"/>
          <w:rtl/>
          <w:lang w:eastAsia="en-US"/>
        </w:rPr>
        <w:t xml:space="preserve"> </w:t>
      </w:r>
      <w:r w:rsidRPr="00E15E1C">
        <w:rPr>
          <w:rFonts w:ascii="Traditional Arabic" w:hAnsi="Traditional Arabic"/>
          <w:sz w:val="32"/>
          <w:szCs w:val="32"/>
          <w:rtl/>
        </w:rPr>
        <w:t>علي بْن أَبي طَالِب القرشي, الهاشمي, المدني, الصادق,</w:t>
      </w:r>
      <w:r w:rsidRPr="00E15E1C">
        <w:rPr>
          <w:rFonts w:ascii="Traditional Arabic" w:hAnsi="Traditional Arabic"/>
          <w:sz w:val="32"/>
          <w:szCs w:val="32"/>
          <w:rtl/>
          <w:lang w:eastAsia="en-US"/>
        </w:rPr>
        <w:t xml:space="preserve"> </w:t>
      </w:r>
      <w:r w:rsidRPr="00E15E1C">
        <w:rPr>
          <w:rFonts w:ascii="Traditional Arabic" w:hAnsi="Traditional Arabic"/>
          <w:sz w:val="32"/>
          <w:szCs w:val="32"/>
          <w:rtl/>
        </w:rPr>
        <w:t>الإِمَام الْعلم, الفقيه, (ت148ه). انظر: تهذيب الكمال (5/75),  الوافي بالوفيات (11/98).</w:t>
      </w:r>
      <w:r w:rsidRPr="00E15E1C">
        <w:rPr>
          <w:rFonts w:ascii="Traditional Arabic" w:hAnsi="Traditional Arabic"/>
          <w:b/>
          <w:bCs/>
          <w:sz w:val="32"/>
          <w:szCs w:val="32"/>
          <w:rtl/>
        </w:rPr>
        <w:t xml:space="preserve"> </w:t>
      </w:r>
    </w:p>
  </w:footnote>
  <w:footnote w:id="1795">
    <w:p w:rsidR="003F128F" w:rsidRPr="00E15E1C" w:rsidRDefault="003F128F" w:rsidP="00885058">
      <w:pPr>
        <w:pStyle w:val="af3"/>
        <w:rPr>
          <w:rFonts w:ascii="Traditional Arabic" w:hAnsi="Traditional Arabic"/>
          <w:sz w:val="32"/>
          <w:szCs w:val="32"/>
        </w:rPr>
      </w:pPr>
      <w:r w:rsidRPr="00E15E1C">
        <w:rPr>
          <w:rFonts w:ascii="Traditional Arabic" w:hAnsi="Traditional Arabic"/>
          <w:sz w:val="32"/>
          <w:szCs w:val="32"/>
          <w:rtl/>
        </w:rPr>
        <w:t>(</w:t>
      </w:r>
      <w:r w:rsidRPr="00E15E1C">
        <w:rPr>
          <w:rStyle w:val="ae"/>
          <w:rFonts w:ascii="Traditional Arabic" w:hAnsi="Traditional Arabic"/>
          <w:sz w:val="32"/>
          <w:szCs w:val="32"/>
          <w:vertAlign w:val="baseline"/>
        </w:rPr>
        <w:footnoteRef/>
      </w:r>
      <w:r w:rsidRPr="00E15E1C">
        <w:rPr>
          <w:rFonts w:ascii="Traditional Arabic" w:hAnsi="Traditional Arabic"/>
          <w:sz w:val="32"/>
          <w:szCs w:val="32"/>
          <w:rtl/>
        </w:rPr>
        <w:t xml:space="preserve">) انظر: تفسير الطبري (18/89), </w:t>
      </w:r>
      <w:r w:rsidRPr="00E15E1C">
        <w:rPr>
          <w:rFonts w:ascii="Traditional Arabic" w:hAnsi="Traditional Arabic"/>
          <w:sz w:val="32"/>
          <w:szCs w:val="32"/>
          <w:rtl/>
          <w:lang w:eastAsia="en-US"/>
        </w:rPr>
        <w:t>التفسير الوسيط (3/163)</w:t>
      </w:r>
      <w:r>
        <w:rPr>
          <w:rFonts w:ascii="Traditional Arabic" w:hAnsi="Traditional Arabic" w:hint="cs"/>
          <w:sz w:val="32"/>
          <w:szCs w:val="32"/>
          <w:rtl/>
          <w:lang w:eastAsia="en-US"/>
        </w:rPr>
        <w:t>.</w:t>
      </w:r>
    </w:p>
  </w:footnote>
  <w:footnote w:id="1796">
    <w:p w:rsidR="003F128F" w:rsidRPr="00E15E1C" w:rsidRDefault="003F128F" w:rsidP="00885058">
      <w:pPr>
        <w:pStyle w:val="af3"/>
        <w:rPr>
          <w:rFonts w:ascii="Traditional Arabic" w:hAnsi="Traditional Arabic"/>
          <w:sz w:val="32"/>
          <w:szCs w:val="32"/>
        </w:rPr>
      </w:pPr>
      <w:r w:rsidRPr="00E15E1C">
        <w:rPr>
          <w:rFonts w:ascii="Traditional Arabic" w:hAnsi="Traditional Arabic"/>
          <w:sz w:val="32"/>
          <w:szCs w:val="32"/>
          <w:rtl/>
        </w:rPr>
        <w:t>(</w:t>
      </w:r>
      <w:r w:rsidRPr="00E15E1C">
        <w:rPr>
          <w:rStyle w:val="ae"/>
          <w:rFonts w:ascii="Traditional Arabic" w:hAnsi="Traditional Arabic"/>
          <w:sz w:val="32"/>
          <w:szCs w:val="32"/>
          <w:vertAlign w:val="baseline"/>
        </w:rPr>
        <w:footnoteRef/>
      </w:r>
      <w:r w:rsidRPr="00E15E1C">
        <w:rPr>
          <w:rFonts w:ascii="Traditional Arabic" w:hAnsi="Traditional Arabic"/>
          <w:sz w:val="32"/>
          <w:szCs w:val="32"/>
          <w:rtl/>
        </w:rPr>
        <w:t xml:space="preserve">) تفسير مقاتل (2/599).   </w:t>
      </w:r>
    </w:p>
  </w:footnote>
  <w:footnote w:id="1797">
    <w:p w:rsidR="003F128F" w:rsidRPr="00E15E1C" w:rsidRDefault="003F128F" w:rsidP="00885058">
      <w:pPr>
        <w:pStyle w:val="af3"/>
        <w:rPr>
          <w:rFonts w:ascii="Traditional Arabic" w:hAnsi="Traditional Arabic"/>
          <w:sz w:val="32"/>
          <w:szCs w:val="32"/>
        </w:rPr>
      </w:pPr>
      <w:r w:rsidRPr="00E15E1C">
        <w:rPr>
          <w:rFonts w:ascii="Traditional Arabic" w:hAnsi="Traditional Arabic"/>
          <w:sz w:val="32"/>
          <w:szCs w:val="32"/>
          <w:rtl/>
        </w:rPr>
        <w:t>(</w:t>
      </w:r>
      <w:r w:rsidRPr="00E15E1C">
        <w:rPr>
          <w:rStyle w:val="ae"/>
          <w:rFonts w:ascii="Traditional Arabic" w:hAnsi="Traditional Arabic"/>
          <w:sz w:val="32"/>
          <w:szCs w:val="32"/>
          <w:vertAlign w:val="baseline"/>
        </w:rPr>
        <w:footnoteRef/>
      </w:r>
      <w:r w:rsidRPr="00E15E1C">
        <w:rPr>
          <w:rFonts w:ascii="Traditional Arabic" w:hAnsi="Traditional Arabic"/>
          <w:sz w:val="32"/>
          <w:szCs w:val="32"/>
          <w:rtl/>
        </w:rPr>
        <w:t xml:space="preserve">) </w:t>
      </w:r>
      <w:r w:rsidRPr="00E15E1C">
        <w:rPr>
          <w:rFonts w:ascii="Traditional Arabic" w:hAnsi="Traditional Arabic" w:hint="cs"/>
          <w:sz w:val="32"/>
          <w:szCs w:val="32"/>
          <w:rtl/>
        </w:rPr>
        <w:t xml:space="preserve">انظر: </w:t>
      </w:r>
      <w:r w:rsidRPr="00E15E1C">
        <w:rPr>
          <w:rFonts w:ascii="Traditional Arabic" w:hAnsi="Traditional Arabic"/>
          <w:sz w:val="32"/>
          <w:szCs w:val="32"/>
          <w:rtl/>
        </w:rPr>
        <w:t>رموز الكنوز (4/34</w:t>
      </w:r>
      <w:r w:rsidRPr="00E15E1C">
        <w:rPr>
          <w:rFonts w:ascii="Traditional Arabic" w:hAnsi="Traditional Arabic" w:hint="cs"/>
          <w:sz w:val="32"/>
          <w:szCs w:val="32"/>
          <w:rtl/>
        </w:rPr>
        <w:t>7</w:t>
      </w:r>
      <w:r w:rsidRPr="00E15E1C">
        <w:rPr>
          <w:rFonts w:ascii="Traditional Arabic" w:hAnsi="Traditional Arabic"/>
          <w:sz w:val="32"/>
          <w:szCs w:val="32"/>
          <w:rtl/>
        </w:rPr>
        <w:t>).</w:t>
      </w:r>
    </w:p>
  </w:footnote>
  <w:footnote w:id="1798">
    <w:p w:rsidR="003F128F" w:rsidRPr="00E15E1C" w:rsidRDefault="003F128F" w:rsidP="00885058">
      <w:pPr>
        <w:pStyle w:val="af3"/>
        <w:rPr>
          <w:rFonts w:ascii="Traditional Arabic" w:hAnsi="Traditional Arabic"/>
          <w:sz w:val="32"/>
          <w:szCs w:val="32"/>
        </w:rPr>
      </w:pPr>
      <w:r w:rsidRPr="00E15E1C">
        <w:rPr>
          <w:rFonts w:ascii="Traditional Arabic" w:hAnsi="Traditional Arabic"/>
          <w:sz w:val="32"/>
          <w:szCs w:val="32"/>
          <w:rtl/>
        </w:rPr>
        <w:t>(</w:t>
      </w:r>
      <w:r w:rsidRPr="00E15E1C">
        <w:rPr>
          <w:rStyle w:val="ae"/>
          <w:rFonts w:ascii="Traditional Arabic" w:hAnsi="Traditional Arabic"/>
          <w:sz w:val="32"/>
          <w:szCs w:val="32"/>
          <w:vertAlign w:val="baseline"/>
        </w:rPr>
        <w:footnoteRef/>
      </w:r>
      <w:r w:rsidRPr="00E15E1C">
        <w:rPr>
          <w:rFonts w:ascii="Traditional Arabic" w:hAnsi="Traditional Arabic"/>
          <w:sz w:val="32"/>
          <w:szCs w:val="32"/>
          <w:rtl/>
        </w:rPr>
        <w:t xml:space="preserve">) </w:t>
      </w:r>
      <w:r w:rsidRPr="00E15E1C">
        <w:rPr>
          <w:rFonts w:ascii="Traditional Arabic" w:hAnsi="Traditional Arabic" w:hint="cs"/>
          <w:sz w:val="32"/>
          <w:szCs w:val="32"/>
          <w:rtl/>
        </w:rPr>
        <w:t>منها في سورة</w:t>
      </w:r>
      <w:r w:rsidRPr="00E15E1C">
        <w:rPr>
          <w:rFonts w:ascii="Traditional Arabic" w:hAnsi="Traditional Arabic"/>
          <w:sz w:val="32"/>
          <w:szCs w:val="32"/>
          <w:rtl/>
        </w:rPr>
        <w:t xml:space="preserve"> الأنعام</w:t>
      </w:r>
      <w:r w:rsidRPr="00E15E1C">
        <w:rPr>
          <w:rFonts w:ascii="Traditional Arabic" w:hAnsi="Traditional Arabic" w:hint="cs"/>
          <w:sz w:val="32"/>
          <w:szCs w:val="32"/>
          <w:rtl/>
        </w:rPr>
        <w:t>, الآية:</w:t>
      </w:r>
      <w:r w:rsidRPr="00E15E1C">
        <w:rPr>
          <w:rFonts w:ascii="Traditional Arabic" w:hAnsi="Traditional Arabic"/>
          <w:sz w:val="32"/>
          <w:szCs w:val="32"/>
          <w:rtl/>
        </w:rPr>
        <w:t xml:space="preserve"> </w:t>
      </w:r>
      <w:r w:rsidRPr="00E15E1C">
        <w:rPr>
          <w:rFonts w:ascii="Traditional Arabic" w:hAnsi="Traditional Arabic" w:hint="cs"/>
          <w:sz w:val="32"/>
          <w:szCs w:val="32"/>
          <w:rtl/>
        </w:rPr>
        <w:t>(</w:t>
      </w:r>
      <w:r w:rsidRPr="00E15E1C">
        <w:rPr>
          <w:rFonts w:ascii="Traditional Arabic" w:hAnsi="Traditional Arabic"/>
          <w:sz w:val="32"/>
          <w:szCs w:val="32"/>
          <w:rtl/>
        </w:rPr>
        <w:t>152</w:t>
      </w:r>
      <w:r w:rsidRPr="00E15E1C">
        <w:rPr>
          <w:rFonts w:ascii="Traditional Arabic" w:hAnsi="Traditional Arabic" w:hint="cs"/>
          <w:sz w:val="32"/>
          <w:szCs w:val="32"/>
          <w:rtl/>
        </w:rPr>
        <w:t>). انظر:</w:t>
      </w:r>
      <w:r>
        <w:rPr>
          <w:rFonts w:ascii="Traditional Arabic" w:hAnsi="Traditional Arabic" w:hint="cs"/>
          <w:sz w:val="32"/>
          <w:szCs w:val="32"/>
          <w:rtl/>
        </w:rPr>
        <w:t xml:space="preserve"> زاد المسير</w:t>
      </w:r>
      <w:r w:rsidRPr="00E15E1C">
        <w:rPr>
          <w:rFonts w:ascii="Traditional Arabic" w:hAnsi="Traditional Arabic" w:hint="cs"/>
          <w:sz w:val="32"/>
          <w:szCs w:val="32"/>
          <w:rtl/>
        </w:rPr>
        <w:t xml:space="preserve"> (3/149)</w:t>
      </w:r>
      <w:r w:rsidRPr="00E15E1C">
        <w:rPr>
          <w:rFonts w:ascii="Traditional Arabic" w:hAnsi="Traditional Arabic"/>
          <w:sz w:val="32"/>
          <w:szCs w:val="32"/>
          <w:rtl/>
        </w:rPr>
        <w:t>.</w:t>
      </w:r>
    </w:p>
  </w:footnote>
  <w:footnote w:id="1799">
    <w:p w:rsidR="003F128F" w:rsidRPr="00A85464" w:rsidRDefault="003F128F" w:rsidP="00885058">
      <w:pPr>
        <w:pStyle w:val="af3"/>
        <w:rPr>
          <w:rFonts w:ascii="Tahoma" w:hAnsi="Tahoma"/>
        </w:rPr>
      </w:pPr>
      <w:r w:rsidRPr="00E15E1C">
        <w:rPr>
          <w:rFonts w:ascii="Traditional Arabic" w:hAnsi="Traditional Arabic"/>
          <w:sz w:val="32"/>
          <w:szCs w:val="32"/>
          <w:rtl/>
        </w:rPr>
        <w:t>(</w:t>
      </w:r>
      <w:r w:rsidRPr="00E15E1C">
        <w:rPr>
          <w:rStyle w:val="ae"/>
          <w:rFonts w:ascii="Traditional Arabic" w:hAnsi="Traditional Arabic"/>
          <w:sz w:val="32"/>
          <w:szCs w:val="32"/>
          <w:vertAlign w:val="baseline"/>
        </w:rPr>
        <w:footnoteRef/>
      </w:r>
      <w:r w:rsidRPr="00E15E1C">
        <w:rPr>
          <w:rFonts w:ascii="Traditional Arabic" w:hAnsi="Traditional Arabic"/>
          <w:sz w:val="32"/>
          <w:szCs w:val="32"/>
          <w:rtl/>
        </w:rPr>
        <w:t>)</w:t>
      </w:r>
      <w:r w:rsidRPr="00E15E1C">
        <w:rPr>
          <w:rFonts w:ascii="Tahoma" w:hAnsi="Tahoma" w:hint="cs"/>
          <w:sz w:val="32"/>
          <w:szCs w:val="32"/>
          <w:rtl/>
        </w:rPr>
        <w:t xml:space="preserve"> انظر: التفسير الوسيط </w:t>
      </w:r>
      <w:r w:rsidRPr="00E15E1C">
        <w:rPr>
          <w:rFonts w:ascii="Traditional Arabic" w:hAnsi="Traditional Arabic"/>
          <w:sz w:val="32"/>
          <w:szCs w:val="32"/>
          <w:rtl/>
          <w:lang w:eastAsia="en-US"/>
        </w:rPr>
        <w:t>(3/163)</w:t>
      </w:r>
      <w:r w:rsidRPr="00E15E1C">
        <w:rPr>
          <w:rFonts w:ascii="Tahoma" w:hAnsi="Tahoma" w:hint="cs"/>
          <w:sz w:val="32"/>
          <w:szCs w:val="32"/>
          <w:rtl/>
        </w:rPr>
        <w:t>.</w:t>
      </w:r>
    </w:p>
  </w:footnote>
  <w:footnote w:id="1800">
    <w:p w:rsidR="003F128F" w:rsidRPr="00135EA9" w:rsidRDefault="003F128F" w:rsidP="00885058">
      <w:pPr>
        <w:pStyle w:val="af3"/>
        <w:rPr>
          <w:rFonts w:ascii="Traditional Arabic" w:hAnsi="Traditional Arabic"/>
          <w:sz w:val="32"/>
          <w:szCs w:val="32"/>
        </w:rPr>
      </w:pPr>
      <w:r w:rsidRPr="00135EA9">
        <w:rPr>
          <w:rFonts w:ascii="Traditional Arabic" w:hAnsi="Traditional Arabic"/>
          <w:sz w:val="32"/>
          <w:szCs w:val="32"/>
          <w:rtl/>
        </w:rPr>
        <w:t>(</w:t>
      </w:r>
      <w:r w:rsidRPr="00135EA9">
        <w:rPr>
          <w:rStyle w:val="ae"/>
          <w:rFonts w:ascii="Traditional Arabic" w:hAnsi="Traditional Arabic"/>
          <w:sz w:val="32"/>
          <w:szCs w:val="32"/>
          <w:vertAlign w:val="baseline"/>
        </w:rPr>
        <w:footnoteRef/>
      </w:r>
      <w:r w:rsidRPr="00135EA9">
        <w:rPr>
          <w:rFonts w:ascii="Traditional Arabic" w:hAnsi="Traditional Arabic"/>
          <w:sz w:val="32"/>
          <w:szCs w:val="32"/>
          <w:rtl/>
        </w:rPr>
        <w:t>) تفسير الطبري (18/91), تفسير ابن أبي حاتم (7/2381).</w:t>
      </w:r>
    </w:p>
  </w:footnote>
  <w:footnote w:id="1801">
    <w:p w:rsidR="003F128F" w:rsidRPr="00135EA9" w:rsidRDefault="003F128F" w:rsidP="00885058">
      <w:pPr>
        <w:pStyle w:val="af3"/>
        <w:rPr>
          <w:rFonts w:ascii="Traditional Arabic" w:hAnsi="Traditional Arabic"/>
          <w:sz w:val="32"/>
          <w:szCs w:val="32"/>
        </w:rPr>
      </w:pPr>
      <w:r w:rsidRPr="00135EA9">
        <w:rPr>
          <w:rFonts w:ascii="Traditional Arabic" w:hAnsi="Traditional Arabic"/>
          <w:sz w:val="32"/>
          <w:szCs w:val="32"/>
          <w:rtl/>
        </w:rPr>
        <w:t>(</w:t>
      </w:r>
      <w:r w:rsidRPr="00135EA9">
        <w:rPr>
          <w:rStyle w:val="ae"/>
          <w:rFonts w:ascii="Traditional Arabic" w:hAnsi="Traditional Arabic"/>
          <w:sz w:val="32"/>
          <w:szCs w:val="32"/>
          <w:vertAlign w:val="baseline"/>
        </w:rPr>
        <w:footnoteRef/>
      </w:r>
      <w:r w:rsidRPr="00135EA9">
        <w:rPr>
          <w:rFonts w:ascii="Traditional Arabic" w:hAnsi="Traditional Arabic"/>
          <w:sz w:val="32"/>
          <w:szCs w:val="32"/>
          <w:rtl/>
        </w:rPr>
        <w:t>) انظر: بحر العلوم (2/359), الكشف والبيان (6/189).</w:t>
      </w:r>
    </w:p>
  </w:footnote>
  <w:footnote w:id="1802">
    <w:p w:rsidR="003F128F" w:rsidRPr="00135EA9" w:rsidRDefault="003F128F" w:rsidP="000A5F55">
      <w:pPr>
        <w:pStyle w:val="af3"/>
        <w:rPr>
          <w:rFonts w:ascii="Traditional Arabic" w:hAnsi="Traditional Arabic"/>
          <w:sz w:val="32"/>
          <w:szCs w:val="32"/>
        </w:rPr>
      </w:pPr>
      <w:r w:rsidRPr="00135EA9">
        <w:rPr>
          <w:rFonts w:ascii="Traditional Arabic" w:hAnsi="Traditional Arabic"/>
          <w:sz w:val="32"/>
          <w:szCs w:val="32"/>
          <w:rtl/>
        </w:rPr>
        <w:t>(</w:t>
      </w:r>
      <w:r w:rsidRPr="00135EA9">
        <w:rPr>
          <w:rStyle w:val="ae"/>
          <w:rFonts w:ascii="Traditional Arabic" w:hAnsi="Traditional Arabic"/>
          <w:sz w:val="32"/>
          <w:szCs w:val="32"/>
          <w:vertAlign w:val="baseline"/>
        </w:rPr>
        <w:footnoteRef/>
      </w:r>
      <w:r w:rsidRPr="00135EA9">
        <w:rPr>
          <w:rFonts w:ascii="Traditional Arabic" w:hAnsi="Traditional Arabic"/>
          <w:sz w:val="32"/>
          <w:szCs w:val="32"/>
          <w:rtl/>
        </w:rPr>
        <w:t>) تقدم في (ص</w:t>
      </w:r>
      <w:r>
        <w:rPr>
          <w:rFonts w:ascii="Traditional Arabic" w:hAnsi="Traditional Arabic" w:hint="cs"/>
          <w:sz w:val="32"/>
          <w:szCs w:val="32"/>
          <w:rtl/>
        </w:rPr>
        <w:t>136</w:t>
      </w:r>
      <w:r w:rsidRPr="00135EA9">
        <w:rPr>
          <w:rFonts w:ascii="Traditional Arabic" w:hAnsi="Traditional Arabic"/>
          <w:sz w:val="32"/>
          <w:szCs w:val="32"/>
          <w:rtl/>
        </w:rPr>
        <w:t>).</w:t>
      </w:r>
      <w:r w:rsidRPr="001D04F8">
        <w:rPr>
          <w:rFonts w:ascii="QCF_BSML" w:hAnsi="QCF_BSML" w:cs="QCF_BSML"/>
          <w:sz w:val="32"/>
          <w:szCs w:val="32"/>
          <w:rtl/>
          <w:lang w:eastAsia="en-US"/>
        </w:rPr>
        <w:t xml:space="preserve"> </w:t>
      </w:r>
    </w:p>
  </w:footnote>
  <w:footnote w:id="1803">
    <w:p w:rsidR="003F128F" w:rsidRPr="00135EA9" w:rsidRDefault="003F128F" w:rsidP="00885058">
      <w:pPr>
        <w:pStyle w:val="af3"/>
        <w:rPr>
          <w:rFonts w:ascii="Traditional Arabic" w:hAnsi="Traditional Arabic"/>
          <w:sz w:val="32"/>
          <w:szCs w:val="32"/>
        </w:rPr>
      </w:pPr>
      <w:r w:rsidRPr="00135EA9">
        <w:rPr>
          <w:rFonts w:ascii="Traditional Arabic" w:hAnsi="Traditional Arabic"/>
          <w:sz w:val="32"/>
          <w:szCs w:val="32"/>
          <w:rtl/>
        </w:rPr>
        <w:t>(</w:t>
      </w:r>
      <w:r w:rsidRPr="00135EA9">
        <w:rPr>
          <w:rStyle w:val="ae"/>
          <w:rFonts w:ascii="Traditional Arabic" w:hAnsi="Traditional Arabic"/>
          <w:sz w:val="32"/>
          <w:szCs w:val="32"/>
          <w:vertAlign w:val="baseline"/>
        </w:rPr>
        <w:footnoteRef/>
      </w:r>
      <w:r w:rsidRPr="00135EA9">
        <w:rPr>
          <w:rFonts w:ascii="Traditional Arabic" w:hAnsi="Traditional Arabic"/>
          <w:sz w:val="32"/>
          <w:szCs w:val="32"/>
          <w:rtl/>
        </w:rPr>
        <w:t>) تفسير الطبري (18/93), البحر المحيط (7/219)</w:t>
      </w:r>
      <w:r>
        <w:rPr>
          <w:rFonts w:ascii="Traditional Arabic" w:hAnsi="Traditional Arabic" w:hint="cs"/>
          <w:sz w:val="32"/>
          <w:szCs w:val="32"/>
          <w:rtl/>
        </w:rPr>
        <w:t>.</w:t>
      </w:r>
    </w:p>
  </w:footnote>
  <w:footnote w:id="1804">
    <w:p w:rsidR="003F128F" w:rsidRPr="00135EA9" w:rsidRDefault="003F128F" w:rsidP="00885058">
      <w:pPr>
        <w:pStyle w:val="af3"/>
        <w:rPr>
          <w:rFonts w:ascii="Traditional Arabic" w:hAnsi="Traditional Arabic"/>
          <w:sz w:val="32"/>
          <w:szCs w:val="32"/>
        </w:rPr>
      </w:pPr>
      <w:r w:rsidRPr="00135EA9">
        <w:rPr>
          <w:rFonts w:ascii="Traditional Arabic" w:hAnsi="Traditional Arabic"/>
          <w:sz w:val="32"/>
          <w:szCs w:val="32"/>
          <w:rtl/>
        </w:rPr>
        <w:t>(</w:t>
      </w:r>
      <w:r w:rsidRPr="00135EA9">
        <w:rPr>
          <w:rStyle w:val="ae"/>
          <w:rFonts w:ascii="Traditional Arabic" w:hAnsi="Traditional Arabic"/>
          <w:sz w:val="32"/>
          <w:szCs w:val="32"/>
          <w:vertAlign w:val="baseline"/>
        </w:rPr>
        <w:footnoteRef/>
      </w:r>
      <w:r w:rsidRPr="00135EA9">
        <w:rPr>
          <w:rFonts w:ascii="Traditional Arabic" w:hAnsi="Traditional Arabic"/>
          <w:sz w:val="32"/>
          <w:szCs w:val="32"/>
          <w:rtl/>
        </w:rPr>
        <w:t>) النكت والعيون (3/337), غرائب التفسير للكرماني (1/676)</w:t>
      </w:r>
      <w:r>
        <w:rPr>
          <w:rFonts w:ascii="Traditional Arabic" w:hAnsi="Traditional Arabic" w:hint="cs"/>
          <w:sz w:val="32"/>
          <w:szCs w:val="32"/>
          <w:rtl/>
        </w:rPr>
        <w:t>.</w:t>
      </w:r>
    </w:p>
  </w:footnote>
  <w:footnote w:id="1805">
    <w:p w:rsidR="003F128F" w:rsidRPr="00135EA9" w:rsidRDefault="003F128F" w:rsidP="00885058">
      <w:pPr>
        <w:pStyle w:val="af3"/>
        <w:rPr>
          <w:rFonts w:ascii="Traditional Arabic" w:hAnsi="Traditional Arabic"/>
          <w:sz w:val="32"/>
          <w:szCs w:val="32"/>
        </w:rPr>
      </w:pPr>
      <w:r w:rsidRPr="00135EA9">
        <w:rPr>
          <w:rFonts w:ascii="Traditional Arabic" w:hAnsi="Traditional Arabic"/>
          <w:sz w:val="32"/>
          <w:szCs w:val="32"/>
          <w:rtl/>
        </w:rPr>
        <w:t>(</w:t>
      </w:r>
      <w:r w:rsidRPr="00135EA9">
        <w:rPr>
          <w:rStyle w:val="ae"/>
          <w:rFonts w:ascii="Traditional Arabic" w:hAnsi="Traditional Arabic"/>
          <w:sz w:val="32"/>
          <w:szCs w:val="32"/>
          <w:vertAlign w:val="baseline"/>
        </w:rPr>
        <w:footnoteRef/>
      </w:r>
      <w:r w:rsidRPr="00135EA9">
        <w:rPr>
          <w:rFonts w:ascii="Traditional Arabic" w:hAnsi="Traditional Arabic"/>
          <w:sz w:val="32"/>
          <w:szCs w:val="32"/>
          <w:rtl/>
        </w:rPr>
        <w:t>) انظر: تفسير الطبري (18/105), الهداية (6/4448), رموز الكنوز (4/348).</w:t>
      </w:r>
    </w:p>
  </w:footnote>
  <w:footnote w:id="1806">
    <w:p w:rsidR="003F128F" w:rsidRPr="00135EA9" w:rsidRDefault="003F128F" w:rsidP="00885058">
      <w:pPr>
        <w:pStyle w:val="af3"/>
        <w:rPr>
          <w:rFonts w:ascii="Traditional Arabic" w:hAnsi="Traditional Arabic"/>
          <w:sz w:val="32"/>
          <w:szCs w:val="32"/>
        </w:rPr>
      </w:pPr>
      <w:r w:rsidRPr="00135EA9">
        <w:rPr>
          <w:rFonts w:ascii="Traditional Arabic" w:hAnsi="Traditional Arabic"/>
          <w:sz w:val="32"/>
          <w:szCs w:val="32"/>
          <w:rtl/>
        </w:rPr>
        <w:t>(</w:t>
      </w:r>
      <w:r w:rsidRPr="00135EA9">
        <w:rPr>
          <w:rStyle w:val="ae"/>
          <w:rFonts w:ascii="Traditional Arabic" w:hAnsi="Traditional Arabic"/>
          <w:sz w:val="32"/>
          <w:szCs w:val="32"/>
          <w:vertAlign w:val="baseline"/>
        </w:rPr>
        <w:footnoteRef/>
      </w:r>
      <w:r>
        <w:rPr>
          <w:rFonts w:ascii="Traditional Arabic" w:hAnsi="Traditional Arabic"/>
          <w:sz w:val="32"/>
          <w:szCs w:val="32"/>
          <w:rtl/>
        </w:rPr>
        <w:t>) هو التابعي ال</w:t>
      </w:r>
      <w:r>
        <w:rPr>
          <w:rFonts w:ascii="Traditional Arabic" w:hAnsi="Traditional Arabic" w:hint="cs"/>
          <w:sz w:val="32"/>
          <w:szCs w:val="32"/>
          <w:rtl/>
        </w:rPr>
        <w:t>إ</w:t>
      </w:r>
      <w:r w:rsidRPr="00135EA9">
        <w:rPr>
          <w:rFonts w:ascii="Traditional Arabic" w:hAnsi="Traditional Arabic"/>
          <w:sz w:val="32"/>
          <w:szCs w:val="32"/>
          <w:rtl/>
        </w:rPr>
        <w:t>مام</w:t>
      </w:r>
      <w:r>
        <w:rPr>
          <w:rFonts w:ascii="Traditional Arabic" w:hAnsi="Traditional Arabic" w:hint="cs"/>
          <w:sz w:val="32"/>
          <w:szCs w:val="32"/>
          <w:rtl/>
        </w:rPr>
        <w:t>,</w:t>
      </w:r>
      <w:r w:rsidRPr="00135EA9">
        <w:rPr>
          <w:rFonts w:ascii="Traditional Arabic" w:hAnsi="Traditional Arabic"/>
          <w:sz w:val="32"/>
          <w:szCs w:val="32"/>
          <w:rtl/>
        </w:rPr>
        <w:t xml:space="preserve"> أبو جعفر</w:t>
      </w:r>
      <w:r>
        <w:rPr>
          <w:rFonts w:ascii="Traditional Arabic" w:hAnsi="Traditional Arabic" w:hint="cs"/>
          <w:sz w:val="32"/>
          <w:szCs w:val="32"/>
          <w:rtl/>
        </w:rPr>
        <w:t>,</w:t>
      </w:r>
      <w:r w:rsidRPr="00135EA9">
        <w:rPr>
          <w:rFonts w:ascii="Traditional Arabic" w:hAnsi="Traditional Arabic"/>
          <w:sz w:val="32"/>
          <w:szCs w:val="32"/>
          <w:rtl/>
        </w:rPr>
        <w:t xml:space="preserve"> الباقر محمد بن علي بن الحسين بن علي بن أَبي</w:t>
      </w:r>
      <w:r w:rsidRPr="00135EA9">
        <w:rPr>
          <w:rFonts w:ascii="Traditional Arabic" w:hAnsi="Traditional Arabic"/>
          <w:sz w:val="32"/>
          <w:szCs w:val="32"/>
          <w:rtl/>
          <w:lang w:eastAsia="en-US"/>
        </w:rPr>
        <w:t xml:space="preserve"> </w:t>
      </w:r>
      <w:r w:rsidRPr="00135EA9">
        <w:rPr>
          <w:rFonts w:ascii="Traditional Arabic" w:hAnsi="Traditional Arabic"/>
          <w:sz w:val="32"/>
          <w:szCs w:val="32"/>
          <w:rtl/>
        </w:rPr>
        <w:t>طَالِب الْقُرَشِي الهاشمي، المدني، ولد زين العابدين,</w:t>
      </w:r>
      <w:r w:rsidRPr="00135EA9">
        <w:rPr>
          <w:rFonts w:ascii="Traditional Arabic" w:hAnsi="Traditional Arabic"/>
          <w:sz w:val="32"/>
          <w:szCs w:val="32"/>
          <w:rtl/>
          <w:lang w:eastAsia="en-US"/>
        </w:rPr>
        <w:t xml:space="preserve"> </w:t>
      </w:r>
      <w:r w:rsidRPr="00135EA9">
        <w:rPr>
          <w:rFonts w:ascii="Traditional Arabic" w:hAnsi="Traditional Arabic"/>
          <w:sz w:val="32"/>
          <w:szCs w:val="32"/>
          <w:rtl/>
        </w:rPr>
        <w:t>كان أحد من جمع بين العلم والعمل، والسؤدد والشرف، والثقة والرزانة, (ت120ه). انظر: تهذيب الكمال (26/137),  سير أعلام النبلاء (4/402).</w:t>
      </w:r>
    </w:p>
  </w:footnote>
  <w:footnote w:id="1807">
    <w:p w:rsidR="003F128F" w:rsidRPr="00135EA9" w:rsidRDefault="003F128F" w:rsidP="00885058">
      <w:pPr>
        <w:pStyle w:val="af3"/>
        <w:rPr>
          <w:rFonts w:ascii="Traditional Arabic" w:hAnsi="Traditional Arabic"/>
          <w:sz w:val="32"/>
          <w:szCs w:val="32"/>
        </w:rPr>
      </w:pPr>
      <w:r w:rsidRPr="00135EA9">
        <w:rPr>
          <w:rFonts w:ascii="Traditional Arabic" w:hAnsi="Traditional Arabic"/>
          <w:sz w:val="32"/>
          <w:szCs w:val="32"/>
          <w:rtl/>
        </w:rPr>
        <w:t>(</w:t>
      </w:r>
      <w:r w:rsidRPr="00135EA9">
        <w:rPr>
          <w:rStyle w:val="ae"/>
          <w:rFonts w:ascii="Traditional Arabic" w:hAnsi="Traditional Arabic"/>
          <w:sz w:val="32"/>
          <w:szCs w:val="32"/>
          <w:vertAlign w:val="baseline"/>
        </w:rPr>
        <w:footnoteRef/>
      </w:r>
      <w:r w:rsidRPr="00135EA9">
        <w:rPr>
          <w:rFonts w:ascii="Traditional Arabic" w:hAnsi="Traditional Arabic"/>
          <w:sz w:val="32"/>
          <w:szCs w:val="32"/>
          <w:rtl/>
        </w:rPr>
        <w:t>) البحر المحيط (7/219).</w:t>
      </w:r>
    </w:p>
  </w:footnote>
  <w:footnote w:id="1808">
    <w:p w:rsidR="003F128F" w:rsidRPr="00181DF0" w:rsidRDefault="003F128F" w:rsidP="00885058">
      <w:pPr>
        <w:pStyle w:val="af3"/>
        <w:rPr>
          <w:rFonts w:ascii="Traditional Arabic" w:hAnsi="Traditional Arabic"/>
          <w:sz w:val="32"/>
          <w:szCs w:val="32"/>
        </w:rPr>
      </w:pPr>
      <w:r w:rsidRPr="00181DF0">
        <w:rPr>
          <w:rFonts w:ascii="Traditional Arabic" w:hAnsi="Traditional Arabic"/>
          <w:color w:val="auto"/>
          <w:sz w:val="32"/>
          <w:szCs w:val="32"/>
          <w:rtl/>
        </w:rPr>
        <w:t>(</w:t>
      </w:r>
      <w:r w:rsidRPr="00181DF0">
        <w:rPr>
          <w:rStyle w:val="ae"/>
          <w:rFonts w:ascii="Traditional Arabic" w:hAnsi="Traditional Arabic"/>
          <w:color w:val="auto"/>
          <w:sz w:val="32"/>
          <w:szCs w:val="32"/>
          <w:vertAlign w:val="baseline"/>
        </w:rPr>
        <w:footnoteRef/>
      </w:r>
      <w:r w:rsidRPr="00181DF0">
        <w:rPr>
          <w:rFonts w:ascii="Traditional Arabic" w:hAnsi="Traditional Arabic"/>
          <w:color w:val="auto"/>
          <w:sz w:val="32"/>
          <w:szCs w:val="32"/>
          <w:rtl/>
        </w:rPr>
        <w:t xml:space="preserve">) هو الامام </w:t>
      </w:r>
      <w:r>
        <w:rPr>
          <w:rFonts w:ascii="Traditional Arabic" w:hAnsi="Traditional Arabic"/>
          <w:color w:val="auto"/>
          <w:sz w:val="32"/>
          <w:szCs w:val="32"/>
          <w:rtl/>
        </w:rPr>
        <w:t>أَبُو بك</w:t>
      </w:r>
      <w:r w:rsidRPr="00181DF0">
        <w:rPr>
          <w:rFonts w:ascii="Traditional Arabic" w:hAnsi="Traditional Arabic"/>
          <w:color w:val="auto"/>
          <w:sz w:val="32"/>
          <w:szCs w:val="32"/>
          <w:rtl/>
        </w:rPr>
        <w:t>ر</w:t>
      </w:r>
      <w:r>
        <w:rPr>
          <w:rFonts w:ascii="Traditional Arabic" w:hAnsi="Traditional Arabic" w:hint="cs"/>
          <w:color w:val="auto"/>
          <w:sz w:val="32"/>
          <w:szCs w:val="32"/>
          <w:rtl/>
        </w:rPr>
        <w:t>,</w:t>
      </w:r>
      <w:r w:rsidRPr="00181DF0">
        <w:rPr>
          <w:rFonts w:ascii="Traditional Arabic" w:hAnsi="Traditional Arabic"/>
          <w:color w:val="auto"/>
          <w:sz w:val="32"/>
          <w:szCs w:val="32"/>
          <w:rtl/>
        </w:rPr>
        <w:t xml:space="preserve"> </w:t>
      </w:r>
      <w:r>
        <w:rPr>
          <w:rFonts w:ascii="Traditional Arabic" w:hAnsi="Traditional Arabic"/>
          <w:color w:val="auto"/>
          <w:sz w:val="32"/>
          <w:szCs w:val="32"/>
          <w:rtl/>
        </w:rPr>
        <w:t>أَحمد ب</w:t>
      </w:r>
      <w:r w:rsidRPr="00181DF0">
        <w:rPr>
          <w:rFonts w:ascii="Traditional Arabic" w:hAnsi="Traditional Arabic"/>
          <w:color w:val="auto"/>
          <w:sz w:val="32"/>
          <w:szCs w:val="32"/>
          <w:rtl/>
        </w:rPr>
        <w:t>ن أَبي خيثمة</w:t>
      </w:r>
      <w:r>
        <w:rPr>
          <w:rFonts w:ascii="Traditional Arabic" w:hAnsi="Traditional Arabic"/>
          <w:color w:val="auto"/>
          <w:sz w:val="32"/>
          <w:szCs w:val="32"/>
          <w:rtl/>
        </w:rPr>
        <w:t xml:space="preserve"> زهير بن حرب ب</w:t>
      </w:r>
      <w:r w:rsidRPr="00181DF0">
        <w:rPr>
          <w:rFonts w:ascii="Traditional Arabic" w:hAnsi="Traditional Arabic"/>
          <w:color w:val="auto"/>
          <w:sz w:val="32"/>
          <w:szCs w:val="32"/>
          <w:rtl/>
        </w:rPr>
        <w:t>ن شَدَّاد, نسائي الأصل</w:t>
      </w:r>
      <w:r w:rsidRPr="00181DF0">
        <w:rPr>
          <w:rFonts w:ascii="Traditional Arabic" w:hAnsi="Traditional Arabic" w:hint="cs"/>
          <w:color w:val="auto"/>
          <w:sz w:val="32"/>
          <w:szCs w:val="32"/>
          <w:rtl/>
        </w:rPr>
        <w:t>,</w:t>
      </w:r>
      <w:r w:rsidRPr="00181DF0">
        <w:rPr>
          <w:rFonts w:ascii="Traditional Arabic" w:hAnsi="Traditional Arabic"/>
          <w:color w:val="auto"/>
          <w:sz w:val="32"/>
          <w:szCs w:val="32"/>
          <w:rtl/>
        </w:rPr>
        <w:t xml:space="preserve"> </w:t>
      </w:r>
      <w:r>
        <w:rPr>
          <w:rFonts w:ascii="Traditional Arabic" w:hAnsi="Traditional Arabic"/>
          <w:color w:val="auto"/>
          <w:sz w:val="32"/>
          <w:szCs w:val="32"/>
          <w:rtl/>
        </w:rPr>
        <w:t>وكان</w:t>
      </w:r>
      <w:r w:rsidRPr="00181DF0">
        <w:rPr>
          <w:rFonts w:ascii="Traditional Arabic" w:hAnsi="Traditional Arabic"/>
          <w:color w:val="auto"/>
          <w:sz w:val="32"/>
          <w:szCs w:val="32"/>
          <w:rtl/>
        </w:rPr>
        <w:t xml:space="preserve"> ثِقَةً، عالما</w:t>
      </w:r>
      <w:r w:rsidRPr="00181DF0">
        <w:rPr>
          <w:rFonts w:ascii="Traditional Arabic" w:hAnsi="Traditional Arabic" w:hint="cs"/>
          <w:color w:val="auto"/>
          <w:sz w:val="32"/>
          <w:szCs w:val="32"/>
          <w:rtl/>
        </w:rPr>
        <w:t>ً</w:t>
      </w:r>
      <w:r w:rsidRPr="00181DF0">
        <w:rPr>
          <w:rFonts w:ascii="Traditional Arabic" w:hAnsi="Traditional Arabic"/>
          <w:color w:val="auto"/>
          <w:sz w:val="32"/>
          <w:szCs w:val="32"/>
          <w:rtl/>
        </w:rPr>
        <w:t xml:space="preserve"> متقنا</w:t>
      </w:r>
      <w:r w:rsidRPr="00181DF0">
        <w:rPr>
          <w:rFonts w:ascii="Traditional Arabic" w:hAnsi="Traditional Arabic" w:hint="cs"/>
          <w:color w:val="auto"/>
          <w:sz w:val="32"/>
          <w:szCs w:val="32"/>
          <w:rtl/>
        </w:rPr>
        <w:t>ً</w:t>
      </w:r>
      <w:r w:rsidRPr="00181DF0">
        <w:rPr>
          <w:rFonts w:ascii="Traditional Arabic" w:hAnsi="Traditional Arabic"/>
          <w:color w:val="auto"/>
          <w:sz w:val="32"/>
          <w:szCs w:val="32"/>
          <w:rtl/>
        </w:rPr>
        <w:t xml:space="preserve"> حافظا</w:t>
      </w:r>
      <w:r w:rsidRPr="00181DF0">
        <w:rPr>
          <w:rFonts w:ascii="Traditional Arabic" w:hAnsi="Traditional Arabic" w:hint="cs"/>
          <w:color w:val="auto"/>
          <w:sz w:val="32"/>
          <w:szCs w:val="32"/>
          <w:rtl/>
        </w:rPr>
        <w:t>ً,</w:t>
      </w:r>
      <w:r w:rsidRPr="00181DF0">
        <w:rPr>
          <w:rFonts w:ascii="Traditional Arabic" w:hAnsi="Traditional Arabic"/>
          <w:color w:val="auto"/>
          <w:sz w:val="32"/>
          <w:szCs w:val="32"/>
          <w:rtl/>
        </w:rPr>
        <w:t xml:space="preserve"> بصيرا</w:t>
      </w:r>
      <w:r w:rsidRPr="00181DF0">
        <w:rPr>
          <w:rFonts w:ascii="Traditional Arabic" w:hAnsi="Traditional Arabic" w:hint="cs"/>
          <w:color w:val="auto"/>
          <w:sz w:val="32"/>
          <w:szCs w:val="32"/>
          <w:rtl/>
        </w:rPr>
        <w:t>ً</w:t>
      </w:r>
      <w:r w:rsidRPr="00181DF0">
        <w:rPr>
          <w:rFonts w:ascii="Traditional Arabic" w:hAnsi="Traditional Arabic"/>
          <w:color w:val="auto"/>
          <w:sz w:val="32"/>
          <w:szCs w:val="32"/>
          <w:rtl/>
        </w:rPr>
        <w:t xml:space="preserve"> بأيام الناس، </w:t>
      </w:r>
      <w:r w:rsidRPr="00356855">
        <w:rPr>
          <w:rFonts w:ascii="Traditional Arabic" w:hAnsi="Traditional Arabic"/>
          <w:color w:val="auto"/>
          <w:sz w:val="32"/>
          <w:szCs w:val="32"/>
          <w:rtl/>
        </w:rPr>
        <w:t>راوية</w:t>
      </w:r>
      <w:r w:rsidRPr="00356855">
        <w:rPr>
          <w:rFonts w:ascii="Traditional Arabic" w:hAnsi="Traditional Arabic" w:hint="cs"/>
          <w:color w:val="auto"/>
          <w:sz w:val="32"/>
          <w:szCs w:val="32"/>
          <w:rtl/>
        </w:rPr>
        <w:t>ً</w:t>
      </w:r>
      <w:r w:rsidRPr="00356855">
        <w:rPr>
          <w:rFonts w:ascii="Traditional Arabic" w:hAnsi="Traditional Arabic"/>
          <w:color w:val="auto"/>
          <w:sz w:val="32"/>
          <w:szCs w:val="32"/>
          <w:rtl/>
        </w:rPr>
        <w:t xml:space="preserve"> للأدب</w:t>
      </w:r>
      <w:r w:rsidRPr="00356855">
        <w:rPr>
          <w:rFonts w:ascii="Traditional Arabic" w:hAnsi="Traditional Arabic" w:hint="cs"/>
          <w:color w:val="auto"/>
          <w:sz w:val="32"/>
          <w:szCs w:val="32"/>
          <w:rtl/>
        </w:rPr>
        <w:t>,</w:t>
      </w:r>
      <w:r w:rsidRPr="00356855">
        <w:rPr>
          <w:rFonts w:ascii="Traditional Arabic" w:hAnsi="Traditional Arabic"/>
          <w:sz w:val="44"/>
          <w:szCs w:val="44"/>
          <w:rtl/>
          <w:lang w:eastAsia="en-US"/>
        </w:rPr>
        <w:t xml:space="preserve"> </w:t>
      </w:r>
      <w:r w:rsidRPr="00356855">
        <w:rPr>
          <w:rFonts w:ascii="Traditional Arabic" w:hAnsi="Traditional Arabic"/>
          <w:color w:val="auto"/>
          <w:sz w:val="32"/>
          <w:szCs w:val="32"/>
          <w:rtl/>
        </w:rPr>
        <w:t>صاحب التاريخ المشهور</w:t>
      </w:r>
      <w:r>
        <w:rPr>
          <w:rFonts w:ascii="Traditional Arabic" w:hAnsi="Traditional Arabic" w:hint="cs"/>
          <w:color w:val="auto"/>
          <w:sz w:val="32"/>
          <w:szCs w:val="32"/>
          <w:rtl/>
        </w:rPr>
        <w:t>,</w:t>
      </w:r>
      <w:r w:rsidRPr="00181DF0">
        <w:rPr>
          <w:rFonts w:ascii="Traditional Arabic" w:hAnsi="Traditional Arabic"/>
          <w:color w:val="auto"/>
          <w:sz w:val="32"/>
          <w:szCs w:val="32"/>
          <w:rtl/>
        </w:rPr>
        <w:t xml:space="preserve"> (ت</w:t>
      </w:r>
      <w:r w:rsidRPr="00181DF0">
        <w:rPr>
          <w:rFonts w:ascii="Traditional Arabic" w:hAnsi="Traditional Arabic" w:hint="cs"/>
          <w:color w:val="auto"/>
          <w:sz w:val="32"/>
          <w:szCs w:val="32"/>
          <w:rtl/>
        </w:rPr>
        <w:t>279</w:t>
      </w:r>
      <w:r w:rsidRPr="00181DF0">
        <w:rPr>
          <w:rFonts w:ascii="Traditional Arabic" w:hAnsi="Traditional Arabic"/>
          <w:color w:val="auto"/>
          <w:sz w:val="32"/>
          <w:szCs w:val="32"/>
          <w:rtl/>
        </w:rPr>
        <w:t xml:space="preserve">ه). انظر: </w:t>
      </w:r>
      <w:r w:rsidRPr="00181DF0">
        <w:rPr>
          <w:rFonts w:ascii="Traditional Arabic" w:hAnsi="Traditional Arabic" w:hint="cs"/>
          <w:color w:val="auto"/>
          <w:sz w:val="32"/>
          <w:szCs w:val="32"/>
          <w:rtl/>
        </w:rPr>
        <w:t>تاريخ بغداد</w:t>
      </w:r>
      <w:r w:rsidRPr="00181DF0">
        <w:rPr>
          <w:rFonts w:ascii="Traditional Arabic" w:hAnsi="Traditional Arabic"/>
          <w:color w:val="auto"/>
          <w:sz w:val="32"/>
          <w:szCs w:val="32"/>
          <w:rtl/>
        </w:rPr>
        <w:t xml:space="preserve"> (</w:t>
      </w:r>
      <w:r w:rsidRPr="00181DF0">
        <w:rPr>
          <w:rFonts w:ascii="Traditional Arabic" w:hAnsi="Traditional Arabic" w:hint="cs"/>
          <w:color w:val="auto"/>
          <w:sz w:val="32"/>
          <w:szCs w:val="32"/>
          <w:rtl/>
        </w:rPr>
        <w:t>5/265</w:t>
      </w:r>
      <w:r w:rsidRPr="00181DF0">
        <w:rPr>
          <w:rFonts w:ascii="Traditional Arabic" w:hAnsi="Traditional Arabic"/>
          <w:color w:val="auto"/>
          <w:sz w:val="32"/>
          <w:szCs w:val="32"/>
          <w:rtl/>
        </w:rPr>
        <w:t xml:space="preserve">),  </w:t>
      </w:r>
      <w:r>
        <w:rPr>
          <w:rFonts w:ascii="Traditional Arabic" w:hAnsi="Traditional Arabic" w:hint="cs"/>
          <w:color w:val="auto"/>
          <w:sz w:val="32"/>
          <w:szCs w:val="32"/>
          <w:rtl/>
        </w:rPr>
        <w:t xml:space="preserve">تاريخ الإسلام للذهبي </w:t>
      </w:r>
      <w:r w:rsidRPr="00181DF0">
        <w:rPr>
          <w:rFonts w:ascii="Traditional Arabic" w:hAnsi="Traditional Arabic"/>
          <w:color w:val="auto"/>
          <w:sz w:val="32"/>
          <w:szCs w:val="32"/>
          <w:rtl/>
        </w:rPr>
        <w:t>(</w:t>
      </w:r>
      <w:r>
        <w:rPr>
          <w:rFonts w:ascii="Traditional Arabic" w:hAnsi="Traditional Arabic" w:hint="cs"/>
          <w:color w:val="auto"/>
          <w:sz w:val="32"/>
          <w:szCs w:val="32"/>
          <w:rtl/>
        </w:rPr>
        <w:t>6/481</w:t>
      </w:r>
      <w:r w:rsidRPr="00181DF0">
        <w:rPr>
          <w:rFonts w:ascii="Traditional Arabic" w:hAnsi="Traditional Arabic"/>
          <w:color w:val="auto"/>
          <w:sz w:val="32"/>
          <w:szCs w:val="32"/>
          <w:rtl/>
        </w:rPr>
        <w:t>).</w:t>
      </w:r>
    </w:p>
  </w:footnote>
  <w:footnote w:id="1809">
    <w:p w:rsidR="003F128F" w:rsidRPr="00EE2D8F" w:rsidRDefault="003F128F" w:rsidP="00885058">
      <w:pPr>
        <w:pStyle w:val="af3"/>
        <w:rPr>
          <w:rFonts w:ascii="Tahoma" w:hAnsi="Tahoma"/>
        </w:rPr>
      </w:pPr>
      <w:r w:rsidRPr="00135EA9">
        <w:rPr>
          <w:rFonts w:ascii="Traditional Arabic" w:hAnsi="Traditional Arabic"/>
          <w:sz w:val="32"/>
          <w:szCs w:val="32"/>
          <w:rtl/>
        </w:rPr>
        <w:t>(</w:t>
      </w:r>
      <w:r w:rsidRPr="00135EA9">
        <w:rPr>
          <w:rStyle w:val="ae"/>
          <w:rFonts w:ascii="Traditional Arabic" w:hAnsi="Traditional Arabic"/>
          <w:sz w:val="32"/>
          <w:szCs w:val="32"/>
          <w:vertAlign w:val="baseline"/>
        </w:rPr>
        <w:footnoteRef/>
      </w:r>
      <w:r w:rsidRPr="00135EA9">
        <w:rPr>
          <w:rFonts w:ascii="Traditional Arabic" w:hAnsi="Traditional Arabic"/>
          <w:sz w:val="32"/>
          <w:szCs w:val="32"/>
          <w:rtl/>
        </w:rPr>
        <w:t xml:space="preserve">) البحر المحيط (7/219).  </w:t>
      </w:r>
    </w:p>
  </w:footnote>
  <w:footnote w:id="1810">
    <w:p w:rsidR="003F128F" w:rsidRPr="00B21831" w:rsidRDefault="003F128F" w:rsidP="00885058">
      <w:pPr>
        <w:pStyle w:val="af3"/>
        <w:rPr>
          <w:rFonts w:ascii="Traditional Arabic" w:hAnsi="Traditional Arabic"/>
          <w:sz w:val="32"/>
          <w:szCs w:val="32"/>
        </w:rPr>
      </w:pPr>
      <w:r w:rsidRPr="00B21831">
        <w:rPr>
          <w:rFonts w:ascii="Traditional Arabic" w:hAnsi="Traditional Arabic"/>
          <w:sz w:val="32"/>
          <w:szCs w:val="32"/>
          <w:rtl/>
        </w:rPr>
        <w:t>(</w:t>
      </w:r>
      <w:r w:rsidRPr="00B21831">
        <w:rPr>
          <w:rStyle w:val="ae"/>
          <w:rFonts w:ascii="Traditional Arabic" w:hAnsi="Traditional Arabic"/>
          <w:sz w:val="32"/>
          <w:szCs w:val="32"/>
          <w:vertAlign w:val="baseline"/>
        </w:rPr>
        <w:footnoteRef/>
      </w:r>
      <w:r w:rsidRPr="00B21831">
        <w:rPr>
          <w:rFonts w:ascii="Traditional Arabic" w:hAnsi="Traditional Arabic"/>
          <w:sz w:val="32"/>
          <w:szCs w:val="32"/>
          <w:rtl/>
        </w:rPr>
        <w:t>) انظر: تفسير يحيى بن سلام (1/207), تفسير الطبري (18/93)</w:t>
      </w:r>
      <w:r>
        <w:rPr>
          <w:rFonts w:ascii="Traditional Arabic" w:hAnsi="Traditional Arabic" w:hint="cs"/>
          <w:sz w:val="32"/>
          <w:szCs w:val="32"/>
          <w:rtl/>
        </w:rPr>
        <w:t>.</w:t>
      </w:r>
    </w:p>
  </w:footnote>
  <w:footnote w:id="1811">
    <w:p w:rsidR="003F128F" w:rsidRPr="00B21831" w:rsidRDefault="003F128F" w:rsidP="00885058">
      <w:pPr>
        <w:pStyle w:val="af3"/>
        <w:rPr>
          <w:rFonts w:ascii="Traditional Arabic" w:hAnsi="Traditional Arabic"/>
          <w:sz w:val="32"/>
          <w:szCs w:val="32"/>
        </w:rPr>
      </w:pPr>
      <w:r w:rsidRPr="00B21831">
        <w:rPr>
          <w:rFonts w:ascii="Traditional Arabic" w:hAnsi="Traditional Arabic"/>
          <w:sz w:val="32"/>
          <w:szCs w:val="32"/>
          <w:rtl/>
        </w:rPr>
        <w:t>(</w:t>
      </w:r>
      <w:r w:rsidRPr="00B21831">
        <w:rPr>
          <w:rStyle w:val="ae"/>
          <w:rFonts w:ascii="Traditional Arabic" w:hAnsi="Traditional Arabic"/>
          <w:sz w:val="32"/>
          <w:szCs w:val="32"/>
          <w:vertAlign w:val="baseline"/>
        </w:rPr>
        <w:footnoteRef/>
      </w:r>
      <w:r w:rsidRPr="00B21831">
        <w:rPr>
          <w:rFonts w:ascii="Traditional Arabic" w:hAnsi="Traditional Arabic"/>
          <w:sz w:val="32"/>
          <w:szCs w:val="32"/>
          <w:rtl/>
        </w:rPr>
        <w:t xml:space="preserve">) انظر: تفسير مقاتل (2/599), </w:t>
      </w:r>
      <w:r>
        <w:rPr>
          <w:rFonts w:ascii="Traditional Arabic" w:hAnsi="Traditional Arabic" w:hint="cs"/>
          <w:sz w:val="32"/>
          <w:szCs w:val="32"/>
          <w:rtl/>
        </w:rPr>
        <w:t xml:space="preserve">بحر </w:t>
      </w:r>
      <w:r w:rsidRPr="00B21831">
        <w:rPr>
          <w:rFonts w:ascii="Traditional Arabic" w:hAnsi="Traditional Arabic"/>
          <w:sz w:val="32"/>
          <w:szCs w:val="32"/>
          <w:rtl/>
        </w:rPr>
        <w:t>العلوم (2/359) كلهما غير منسوب, وذكره الواحدي في التفسير الوسيط (3/163) ونسبه للزهري.</w:t>
      </w:r>
    </w:p>
  </w:footnote>
  <w:footnote w:id="1812">
    <w:p w:rsidR="003F128F" w:rsidRPr="00B21831" w:rsidRDefault="003F128F" w:rsidP="00885058">
      <w:pPr>
        <w:pStyle w:val="af3"/>
        <w:rPr>
          <w:rFonts w:ascii="Traditional Arabic" w:hAnsi="Traditional Arabic"/>
          <w:sz w:val="32"/>
          <w:szCs w:val="32"/>
        </w:rPr>
      </w:pPr>
      <w:r w:rsidRPr="00B21831">
        <w:rPr>
          <w:rFonts w:ascii="Traditional Arabic" w:hAnsi="Traditional Arabic"/>
          <w:sz w:val="32"/>
          <w:szCs w:val="32"/>
          <w:rtl/>
        </w:rPr>
        <w:t>(</w:t>
      </w:r>
      <w:r w:rsidRPr="00B21831">
        <w:rPr>
          <w:rStyle w:val="ae"/>
          <w:rFonts w:ascii="Traditional Arabic" w:hAnsi="Traditional Arabic"/>
          <w:sz w:val="32"/>
          <w:szCs w:val="32"/>
          <w:vertAlign w:val="baseline"/>
        </w:rPr>
        <w:footnoteRef/>
      </w:r>
      <w:r w:rsidRPr="00B21831">
        <w:rPr>
          <w:rFonts w:ascii="Traditional Arabic" w:hAnsi="Traditional Arabic"/>
          <w:sz w:val="32"/>
          <w:szCs w:val="32"/>
          <w:rtl/>
        </w:rPr>
        <w:t>) انظر: تفسير الطبري (18/93), بحر العلوم (2/359).</w:t>
      </w:r>
    </w:p>
  </w:footnote>
  <w:footnote w:id="1813">
    <w:p w:rsidR="003F128F" w:rsidRPr="00B21831" w:rsidRDefault="003F128F" w:rsidP="00885058">
      <w:pPr>
        <w:pStyle w:val="af3"/>
        <w:rPr>
          <w:rFonts w:ascii="Traditional Arabic" w:hAnsi="Traditional Arabic"/>
          <w:sz w:val="32"/>
          <w:szCs w:val="32"/>
        </w:rPr>
      </w:pPr>
      <w:r w:rsidRPr="00B21831">
        <w:rPr>
          <w:rFonts w:ascii="Traditional Arabic" w:hAnsi="Traditional Arabic"/>
          <w:sz w:val="32"/>
          <w:szCs w:val="32"/>
          <w:rtl/>
        </w:rPr>
        <w:t>(</w:t>
      </w:r>
      <w:r w:rsidRPr="00B21831">
        <w:rPr>
          <w:rStyle w:val="ae"/>
          <w:rFonts w:ascii="Traditional Arabic" w:hAnsi="Traditional Arabic"/>
          <w:sz w:val="32"/>
          <w:szCs w:val="32"/>
          <w:vertAlign w:val="baseline"/>
        </w:rPr>
        <w:footnoteRef/>
      </w:r>
      <w:r w:rsidRPr="00B21831">
        <w:rPr>
          <w:rFonts w:ascii="Traditional Arabic" w:hAnsi="Traditional Arabic"/>
          <w:sz w:val="32"/>
          <w:szCs w:val="32"/>
          <w:rtl/>
        </w:rPr>
        <w:t>) انظر: النكت والعيون (3/337)، وذكره</w:t>
      </w:r>
      <w:r w:rsidRPr="00B21831">
        <w:rPr>
          <w:rFonts w:ascii="Traditional Arabic" w:hAnsi="Traditional Arabic" w:hint="cs"/>
          <w:sz w:val="32"/>
          <w:szCs w:val="32"/>
          <w:rtl/>
        </w:rPr>
        <w:t xml:space="preserve"> ابن عطية في المحرر الوجيز (3/538) ونسبه للمهدوي,</w:t>
      </w:r>
      <w:r w:rsidRPr="00B21831">
        <w:rPr>
          <w:rFonts w:ascii="Traditional Arabic" w:hAnsi="Traditional Arabic"/>
          <w:sz w:val="32"/>
          <w:szCs w:val="32"/>
          <w:rtl/>
        </w:rPr>
        <w:t xml:space="preserve"> </w:t>
      </w:r>
      <w:r w:rsidRPr="00B21831">
        <w:rPr>
          <w:rFonts w:ascii="Traditional Arabic" w:hAnsi="Traditional Arabic" w:hint="cs"/>
          <w:sz w:val="32"/>
          <w:szCs w:val="32"/>
          <w:rtl/>
        </w:rPr>
        <w:t xml:space="preserve">وذكره كذلك </w:t>
      </w:r>
      <w:r w:rsidRPr="00B21831">
        <w:rPr>
          <w:rFonts w:ascii="Traditional Arabic" w:hAnsi="Traditional Arabic"/>
          <w:sz w:val="32"/>
          <w:szCs w:val="32"/>
          <w:rtl/>
        </w:rPr>
        <w:t xml:space="preserve">السيوطي في الدر (5/439) وعزاه لابن عبد الحكم عن يونس بن عبيد. </w:t>
      </w:r>
    </w:p>
  </w:footnote>
  <w:footnote w:id="1814">
    <w:p w:rsidR="003F128F" w:rsidRPr="009F764A" w:rsidRDefault="003F128F" w:rsidP="00885058">
      <w:pPr>
        <w:pStyle w:val="af3"/>
        <w:rPr>
          <w:rFonts w:ascii="Traditional Arabic" w:hAnsi="Traditional Arabic"/>
          <w:sz w:val="32"/>
          <w:szCs w:val="32"/>
        </w:rPr>
      </w:pPr>
      <w:r w:rsidRPr="009F764A">
        <w:rPr>
          <w:rFonts w:ascii="Traditional Arabic" w:hAnsi="Traditional Arabic"/>
          <w:sz w:val="32"/>
          <w:szCs w:val="32"/>
          <w:rtl/>
        </w:rPr>
        <w:t>(</w:t>
      </w:r>
      <w:r w:rsidRPr="009F764A">
        <w:rPr>
          <w:rStyle w:val="ae"/>
          <w:rFonts w:ascii="Traditional Arabic" w:hAnsi="Traditional Arabic"/>
          <w:sz w:val="32"/>
          <w:szCs w:val="32"/>
          <w:vertAlign w:val="baseline"/>
        </w:rPr>
        <w:footnoteRef/>
      </w:r>
      <w:r w:rsidRPr="009F764A">
        <w:rPr>
          <w:rFonts w:ascii="Traditional Arabic" w:hAnsi="Traditional Arabic"/>
          <w:sz w:val="32"/>
          <w:szCs w:val="32"/>
          <w:rtl/>
        </w:rPr>
        <w:t>) انظر: رموز الكنوز (4/350).</w:t>
      </w:r>
    </w:p>
  </w:footnote>
  <w:footnote w:id="1815">
    <w:p w:rsidR="003F128F" w:rsidRPr="009F764A" w:rsidRDefault="003F128F" w:rsidP="00885058">
      <w:pPr>
        <w:pStyle w:val="af3"/>
        <w:rPr>
          <w:rFonts w:ascii="Traditional Arabic" w:hAnsi="Traditional Arabic"/>
          <w:sz w:val="32"/>
          <w:szCs w:val="32"/>
        </w:rPr>
      </w:pPr>
      <w:r w:rsidRPr="009F764A">
        <w:rPr>
          <w:rFonts w:ascii="Traditional Arabic" w:hAnsi="Traditional Arabic"/>
          <w:sz w:val="32"/>
          <w:szCs w:val="32"/>
          <w:rtl/>
        </w:rPr>
        <w:t>(</w:t>
      </w:r>
      <w:r w:rsidRPr="009F764A">
        <w:rPr>
          <w:rStyle w:val="ae"/>
          <w:rFonts w:ascii="Traditional Arabic" w:hAnsi="Traditional Arabic"/>
          <w:sz w:val="32"/>
          <w:szCs w:val="32"/>
          <w:vertAlign w:val="baseline"/>
        </w:rPr>
        <w:footnoteRef/>
      </w:r>
      <w:r w:rsidRPr="009F764A">
        <w:rPr>
          <w:rFonts w:ascii="Traditional Arabic" w:hAnsi="Traditional Arabic"/>
          <w:sz w:val="32"/>
          <w:szCs w:val="32"/>
          <w:rtl/>
        </w:rPr>
        <w:t>) انظر: الكشف والبيان (6/189).</w:t>
      </w:r>
    </w:p>
  </w:footnote>
  <w:footnote w:id="1816">
    <w:p w:rsidR="003F128F" w:rsidRPr="009F764A" w:rsidRDefault="003F128F" w:rsidP="00885058">
      <w:pPr>
        <w:pStyle w:val="af3"/>
        <w:rPr>
          <w:rFonts w:ascii="Traditional Arabic" w:hAnsi="Traditional Arabic"/>
          <w:sz w:val="32"/>
          <w:szCs w:val="32"/>
        </w:rPr>
      </w:pPr>
      <w:r w:rsidRPr="009F764A">
        <w:rPr>
          <w:rFonts w:ascii="Traditional Arabic" w:hAnsi="Traditional Arabic"/>
          <w:sz w:val="32"/>
          <w:szCs w:val="32"/>
          <w:rtl/>
        </w:rPr>
        <w:t>(</w:t>
      </w:r>
      <w:r w:rsidRPr="009F764A">
        <w:rPr>
          <w:rStyle w:val="ae"/>
          <w:rFonts w:ascii="Traditional Arabic" w:hAnsi="Traditional Arabic"/>
          <w:sz w:val="32"/>
          <w:szCs w:val="32"/>
          <w:vertAlign w:val="baseline"/>
        </w:rPr>
        <w:footnoteRef/>
      </w:r>
      <w:r w:rsidRPr="009F764A">
        <w:rPr>
          <w:rFonts w:ascii="Traditional Arabic" w:hAnsi="Traditional Arabic"/>
          <w:sz w:val="32"/>
          <w:szCs w:val="32"/>
          <w:rtl/>
        </w:rPr>
        <w:t xml:space="preserve">) انظر: بحر العلوم (2/359), التفسير الوسيط (3/163).  </w:t>
      </w:r>
    </w:p>
  </w:footnote>
  <w:footnote w:id="1817">
    <w:p w:rsidR="003F128F" w:rsidRPr="009F764A" w:rsidRDefault="003F128F" w:rsidP="00885058">
      <w:pPr>
        <w:pStyle w:val="af3"/>
        <w:rPr>
          <w:rFonts w:ascii="Traditional Arabic" w:hAnsi="Traditional Arabic"/>
          <w:sz w:val="32"/>
          <w:szCs w:val="32"/>
        </w:rPr>
      </w:pPr>
      <w:r w:rsidRPr="009F764A">
        <w:rPr>
          <w:rFonts w:ascii="Traditional Arabic" w:hAnsi="Traditional Arabic"/>
          <w:sz w:val="32"/>
          <w:szCs w:val="32"/>
          <w:rtl/>
        </w:rPr>
        <w:t>(</w:t>
      </w:r>
      <w:r w:rsidRPr="009F764A">
        <w:rPr>
          <w:rStyle w:val="ae"/>
          <w:rFonts w:ascii="Traditional Arabic" w:hAnsi="Traditional Arabic"/>
          <w:sz w:val="32"/>
          <w:szCs w:val="32"/>
          <w:vertAlign w:val="baseline"/>
        </w:rPr>
        <w:footnoteRef/>
      </w:r>
      <w:r w:rsidRPr="009F764A">
        <w:rPr>
          <w:rFonts w:ascii="Traditional Arabic" w:hAnsi="Traditional Arabic"/>
          <w:sz w:val="32"/>
          <w:szCs w:val="32"/>
          <w:rtl/>
        </w:rPr>
        <w:t>) ذكره الواحدي في التفسير الوسيط (3/163) عن مجاهد.</w:t>
      </w:r>
    </w:p>
  </w:footnote>
  <w:footnote w:id="1818">
    <w:p w:rsidR="003F128F" w:rsidRPr="009F764A" w:rsidRDefault="003F128F" w:rsidP="007135C3">
      <w:pPr>
        <w:pStyle w:val="af3"/>
        <w:rPr>
          <w:rFonts w:ascii="Traditional Arabic" w:hAnsi="Traditional Arabic"/>
          <w:sz w:val="32"/>
          <w:szCs w:val="32"/>
        </w:rPr>
      </w:pPr>
      <w:r w:rsidRPr="009F764A">
        <w:rPr>
          <w:rFonts w:ascii="Traditional Arabic" w:hAnsi="Traditional Arabic"/>
          <w:sz w:val="32"/>
          <w:szCs w:val="32"/>
          <w:rtl/>
        </w:rPr>
        <w:t>(</w:t>
      </w:r>
      <w:r w:rsidRPr="009F764A">
        <w:rPr>
          <w:rStyle w:val="ae"/>
          <w:rFonts w:ascii="Traditional Arabic" w:hAnsi="Traditional Arabic"/>
          <w:sz w:val="32"/>
          <w:szCs w:val="32"/>
          <w:vertAlign w:val="baseline"/>
        </w:rPr>
        <w:footnoteRef/>
      </w:r>
      <w:r w:rsidRPr="009F764A">
        <w:rPr>
          <w:rFonts w:ascii="Traditional Arabic" w:hAnsi="Traditional Arabic"/>
          <w:sz w:val="32"/>
          <w:szCs w:val="32"/>
          <w:rtl/>
        </w:rPr>
        <w:t>) انظر: بحر العلوم (2/359), الهداية (6/4447)</w:t>
      </w:r>
      <w:r>
        <w:rPr>
          <w:rFonts w:ascii="Traditional Arabic" w:hAnsi="Traditional Arabic" w:hint="cs"/>
          <w:sz w:val="32"/>
          <w:szCs w:val="32"/>
          <w:rtl/>
        </w:rPr>
        <w:t>.</w:t>
      </w:r>
    </w:p>
  </w:footnote>
  <w:footnote w:id="1819">
    <w:p w:rsidR="003F128F" w:rsidRPr="009F764A" w:rsidRDefault="003F128F" w:rsidP="00885058">
      <w:pPr>
        <w:pStyle w:val="af3"/>
        <w:rPr>
          <w:rFonts w:ascii="Traditional Arabic" w:hAnsi="Traditional Arabic"/>
          <w:sz w:val="32"/>
          <w:szCs w:val="32"/>
        </w:rPr>
      </w:pPr>
      <w:r w:rsidRPr="009F764A">
        <w:rPr>
          <w:rFonts w:ascii="Traditional Arabic" w:hAnsi="Traditional Arabic"/>
          <w:sz w:val="32"/>
          <w:szCs w:val="32"/>
          <w:rtl/>
        </w:rPr>
        <w:t>(</w:t>
      </w:r>
      <w:r w:rsidRPr="009F764A">
        <w:rPr>
          <w:rStyle w:val="ae"/>
          <w:rFonts w:ascii="Traditional Arabic" w:hAnsi="Traditional Arabic"/>
          <w:sz w:val="32"/>
          <w:szCs w:val="32"/>
          <w:vertAlign w:val="baseline"/>
        </w:rPr>
        <w:footnoteRef/>
      </w:r>
      <w:r w:rsidRPr="009F764A">
        <w:rPr>
          <w:rFonts w:ascii="Traditional Arabic" w:hAnsi="Traditional Arabic"/>
          <w:sz w:val="32"/>
          <w:szCs w:val="32"/>
          <w:rtl/>
        </w:rPr>
        <w:t>) انظر: تفسير الطبري (18/93), الهداية (6/4447).</w:t>
      </w:r>
    </w:p>
  </w:footnote>
  <w:footnote w:id="1820">
    <w:p w:rsidR="003F128F" w:rsidRPr="009F764A" w:rsidRDefault="003F128F" w:rsidP="00885058">
      <w:pPr>
        <w:pStyle w:val="af3"/>
        <w:rPr>
          <w:rFonts w:ascii="Traditional Arabic" w:hAnsi="Traditional Arabic"/>
          <w:sz w:val="32"/>
          <w:szCs w:val="32"/>
        </w:rPr>
      </w:pPr>
      <w:r w:rsidRPr="009F764A">
        <w:rPr>
          <w:rFonts w:ascii="Traditional Arabic" w:hAnsi="Traditional Arabic"/>
          <w:sz w:val="32"/>
          <w:szCs w:val="32"/>
          <w:rtl/>
        </w:rPr>
        <w:t>(</w:t>
      </w:r>
      <w:r w:rsidRPr="009F764A">
        <w:rPr>
          <w:rStyle w:val="ae"/>
          <w:rFonts w:ascii="Traditional Arabic" w:hAnsi="Traditional Arabic"/>
          <w:sz w:val="32"/>
          <w:szCs w:val="32"/>
          <w:vertAlign w:val="baseline"/>
        </w:rPr>
        <w:footnoteRef/>
      </w:r>
      <w:r w:rsidRPr="009F764A">
        <w:rPr>
          <w:rFonts w:ascii="Traditional Arabic" w:hAnsi="Traditional Arabic"/>
          <w:sz w:val="32"/>
          <w:szCs w:val="32"/>
          <w:rtl/>
        </w:rPr>
        <w:t xml:space="preserve">) ما بين المعكوفتين ساقط من الأصل, والمثبت من (ك).  </w:t>
      </w:r>
    </w:p>
  </w:footnote>
  <w:footnote w:id="1821">
    <w:p w:rsidR="003F128F" w:rsidRPr="009F764A" w:rsidRDefault="003F128F" w:rsidP="00885058">
      <w:pPr>
        <w:pStyle w:val="af3"/>
        <w:rPr>
          <w:rFonts w:ascii="Traditional Arabic" w:hAnsi="Traditional Arabic"/>
          <w:sz w:val="32"/>
          <w:szCs w:val="32"/>
        </w:rPr>
      </w:pPr>
      <w:r w:rsidRPr="009F764A">
        <w:rPr>
          <w:rFonts w:ascii="Traditional Arabic" w:hAnsi="Traditional Arabic"/>
          <w:sz w:val="32"/>
          <w:szCs w:val="32"/>
          <w:rtl/>
        </w:rPr>
        <w:t>(</w:t>
      </w:r>
      <w:r w:rsidRPr="009F764A">
        <w:rPr>
          <w:rStyle w:val="ae"/>
          <w:rFonts w:ascii="Traditional Arabic" w:hAnsi="Traditional Arabic"/>
          <w:sz w:val="32"/>
          <w:szCs w:val="32"/>
          <w:vertAlign w:val="baseline"/>
        </w:rPr>
        <w:footnoteRef/>
      </w:r>
      <w:r w:rsidRPr="009F764A">
        <w:rPr>
          <w:rFonts w:ascii="Traditional Arabic" w:hAnsi="Traditional Arabic"/>
          <w:sz w:val="32"/>
          <w:szCs w:val="32"/>
          <w:rtl/>
        </w:rPr>
        <w:t xml:space="preserve">) انظر هذه الأقوال في البحر المحيط (7/219), رموز الكنوز (4/350).   </w:t>
      </w:r>
    </w:p>
  </w:footnote>
  <w:footnote w:id="1822">
    <w:p w:rsidR="003F128F" w:rsidRPr="009F764A" w:rsidRDefault="003F128F" w:rsidP="00885058">
      <w:pPr>
        <w:pStyle w:val="af3"/>
        <w:rPr>
          <w:rFonts w:ascii="Traditional Arabic" w:hAnsi="Traditional Arabic"/>
          <w:sz w:val="32"/>
          <w:szCs w:val="32"/>
        </w:rPr>
      </w:pPr>
      <w:r w:rsidRPr="009F764A">
        <w:rPr>
          <w:rFonts w:ascii="Traditional Arabic" w:hAnsi="Traditional Arabic"/>
          <w:sz w:val="32"/>
          <w:szCs w:val="32"/>
          <w:rtl/>
        </w:rPr>
        <w:t>(</w:t>
      </w:r>
      <w:r w:rsidRPr="009F764A">
        <w:rPr>
          <w:rStyle w:val="ae"/>
          <w:rFonts w:ascii="Traditional Arabic" w:hAnsi="Traditional Arabic"/>
          <w:sz w:val="32"/>
          <w:szCs w:val="32"/>
          <w:vertAlign w:val="baseline"/>
        </w:rPr>
        <w:footnoteRef/>
      </w:r>
      <w:r w:rsidRPr="009F764A">
        <w:rPr>
          <w:rFonts w:ascii="Traditional Arabic" w:hAnsi="Traditional Arabic"/>
          <w:sz w:val="32"/>
          <w:szCs w:val="32"/>
          <w:rtl/>
        </w:rPr>
        <w:t>) انظر: تفسير عبدالرزاق (2/343), معالم التنزيل (5/198).</w:t>
      </w:r>
    </w:p>
  </w:footnote>
  <w:footnote w:id="1823">
    <w:p w:rsidR="003F128F" w:rsidRPr="009F764A" w:rsidRDefault="003F128F" w:rsidP="00885058">
      <w:pPr>
        <w:pStyle w:val="af3"/>
        <w:rPr>
          <w:rFonts w:ascii="Traditional Arabic" w:hAnsi="Traditional Arabic"/>
          <w:sz w:val="32"/>
          <w:szCs w:val="32"/>
        </w:rPr>
      </w:pPr>
      <w:r w:rsidRPr="009F764A">
        <w:rPr>
          <w:rFonts w:ascii="Traditional Arabic" w:hAnsi="Traditional Arabic"/>
          <w:sz w:val="32"/>
          <w:szCs w:val="32"/>
          <w:rtl/>
        </w:rPr>
        <w:t>(</w:t>
      </w:r>
      <w:r w:rsidRPr="009F764A">
        <w:rPr>
          <w:rStyle w:val="ae"/>
          <w:rFonts w:ascii="Traditional Arabic" w:hAnsi="Traditional Arabic"/>
          <w:sz w:val="32"/>
          <w:szCs w:val="32"/>
          <w:vertAlign w:val="baseline"/>
        </w:rPr>
        <w:footnoteRef/>
      </w:r>
      <w:r w:rsidRPr="009F764A">
        <w:rPr>
          <w:rFonts w:ascii="Traditional Arabic" w:hAnsi="Traditional Arabic"/>
          <w:sz w:val="32"/>
          <w:szCs w:val="32"/>
          <w:rtl/>
        </w:rPr>
        <w:t xml:space="preserve">) تفسير مجاهد (ص450), الكشف والبيان (6/190).  </w:t>
      </w:r>
    </w:p>
  </w:footnote>
  <w:footnote w:id="1824">
    <w:p w:rsidR="003F128F" w:rsidRPr="00B96C35" w:rsidRDefault="003F128F" w:rsidP="00885058">
      <w:pPr>
        <w:pStyle w:val="af3"/>
        <w:rPr>
          <w:rFonts w:ascii="Traditional Arabic" w:hAnsi="Traditional Arabic"/>
          <w:sz w:val="32"/>
          <w:szCs w:val="32"/>
        </w:rPr>
      </w:pPr>
      <w:r w:rsidRPr="009F764A">
        <w:rPr>
          <w:rFonts w:ascii="Traditional Arabic" w:hAnsi="Traditional Arabic"/>
          <w:sz w:val="32"/>
          <w:szCs w:val="32"/>
          <w:rtl/>
        </w:rPr>
        <w:t>(</w:t>
      </w:r>
      <w:r w:rsidRPr="009F764A">
        <w:rPr>
          <w:rStyle w:val="ae"/>
          <w:rFonts w:ascii="Traditional Arabic" w:hAnsi="Traditional Arabic"/>
          <w:sz w:val="32"/>
          <w:szCs w:val="32"/>
          <w:vertAlign w:val="baseline"/>
        </w:rPr>
        <w:footnoteRef/>
      </w:r>
      <w:r w:rsidRPr="009F764A">
        <w:rPr>
          <w:rFonts w:ascii="Traditional Arabic" w:hAnsi="Traditional Arabic"/>
          <w:sz w:val="32"/>
          <w:szCs w:val="32"/>
          <w:rtl/>
        </w:rPr>
        <w:t>) الهداية (6/4447), التفسير الوسيط (3/164).</w:t>
      </w:r>
    </w:p>
  </w:footnote>
  <w:footnote w:id="1825">
    <w:p w:rsidR="003F128F" w:rsidRPr="00F81BF3" w:rsidRDefault="003F128F" w:rsidP="00885058">
      <w:pPr>
        <w:pStyle w:val="af3"/>
        <w:rPr>
          <w:rFonts w:ascii="Traditional Arabic" w:hAnsi="Traditional Arabic"/>
          <w:sz w:val="32"/>
          <w:szCs w:val="32"/>
        </w:rPr>
      </w:pPr>
      <w:r w:rsidRPr="00F81BF3">
        <w:rPr>
          <w:rFonts w:ascii="Traditional Arabic" w:hAnsi="Traditional Arabic"/>
          <w:sz w:val="32"/>
          <w:szCs w:val="32"/>
          <w:rtl/>
        </w:rPr>
        <w:t>(</w:t>
      </w:r>
      <w:r w:rsidRPr="00F81BF3">
        <w:rPr>
          <w:rStyle w:val="ae"/>
          <w:rFonts w:ascii="Traditional Arabic" w:hAnsi="Traditional Arabic"/>
          <w:sz w:val="32"/>
          <w:szCs w:val="32"/>
          <w:vertAlign w:val="baseline"/>
        </w:rPr>
        <w:footnoteRef/>
      </w:r>
      <w:r w:rsidRPr="00F81BF3">
        <w:rPr>
          <w:rFonts w:ascii="Traditional Arabic" w:hAnsi="Traditional Arabic"/>
          <w:sz w:val="32"/>
          <w:szCs w:val="32"/>
          <w:rtl/>
        </w:rPr>
        <w:t xml:space="preserve">) انظر: تفسير يحيى بن سلام (1/202), تفسير الطبري (18/95). </w:t>
      </w:r>
    </w:p>
  </w:footnote>
  <w:footnote w:id="1826">
    <w:p w:rsidR="003F128F" w:rsidRPr="00F81BF3" w:rsidRDefault="003F128F" w:rsidP="00885058">
      <w:pPr>
        <w:pStyle w:val="af3"/>
        <w:rPr>
          <w:rFonts w:ascii="Traditional Arabic" w:hAnsi="Traditional Arabic"/>
          <w:sz w:val="32"/>
          <w:szCs w:val="32"/>
        </w:rPr>
      </w:pPr>
      <w:r w:rsidRPr="00F81BF3">
        <w:rPr>
          <w:rFonts w:ascii="Traditional Arabic" w:hAnsi="Traditional Arabic"/>
          <w:sz w:val="32"/>
          <w:szCs w:val="32"/>
          <w:rtl/>
        </w:rPr>
        <w:t>(</w:t>
      </w:r>
      <w:r w:rsidRPr="00F81BF3">
        <w:rPr>
          <w:rStyle w:val="ae"/>
          <w:rFonts w:ascii="Traditional Arabic" w:hAnsi="Traditional Arabic"/>
          <w:sz w:val="32"/>
          <w:szCs w:val="32"/>
          <w:vertAlign w:val="baseline"/>
        </w:rPr>
        <w:footnoteRef/>
      </w:r>
      <w:r w:rsidRPr="00F81BF3">
        <w:rPr>
          <w:rFonts w:ascii="Traditional Arabic" w:hAnsi="Traditional Arabic"/>
          <w:sz w:val="32"/>
          <w:szCs w:val="32"/>
          <w:rtl/>
        </w:rPr>
        <w:t>) ما بين المعكوفتين ساقط من الأصل, والمثبت من (ك)</w:t>
      </w:r>
      <w:r w:rsidRPr="00F81BF3">
        <w:rPr>
          <w:rFonts w:ascii="Traditional Arabic" w:hAnsi="Traditional Arabic" w:hint="cs"/>
          <w:sz w:val="32"/>
          <w:szCs w:val="32"/>
          <w:rtl/>
        </w:rPr>
        <w:t xml:space="preserve"> وهو موافق لمصادر القراءة</w:t>
      </w:r>
      <w:r w:rsidRPr="00F81BF3">
        <w:rPr>
          <w:rFonts w:ascii="Traditional Arabic" w:hAnsi="Traditional Arabic"/>
          <w:sz w:val="32"/>
          <w:szCs w:val="32"/>
          <w:rtl/>
        </w:rPr>
        <w:t xml:space="preserve">.   </w:t>
      </w:r>
    </w:p>
  </w:footnote>
  <w:footnote w:id="1827">
    <w:p w:rsidR="003F128F" w:rsidRPr="00F81BF3" w:rsidRDefault="003F128F" w:rsidP="00885058">
      <w:pPr>
        <w:pStyle w:val="af3"/>
        <w:rPr>
          <w:rFonts w:ascii="Traditional Arabic" w:hAnsi="Traditional Arabic"/>
          <w:sz w:val="32"/>
          <w:szCs w:val="32"/>
        </w:rPr>
      </w:pPr>
      <w:r w:rsidRPr="00F81BF3">
        <w:rPr>
          <w:rFonts w:ascii="Traditional Arabic" w:hAnsi="Traditional Arabic"/>
          <w:sz w:val="32"/>
          <w:szCs w:val="32"/>
          <w:rtl/>
        </w:rPr>
        <w:t>(</w:t>
      </w:r>
      <w:r w:rsidRPr="00F81BF3">
        <w:rPr>
          <w:rStyle w:val="ae"/>
          <w:rFonts w:ascii="Traditional Arabic" w:hAnsi="Traditional Arabic"/>
          <w:sz w:val="32"/>
          <w:szCs w:val="32"/>
          <w:vertAlign w:val="baseline"/>
        </w:rPr>
        <w:footnoteRef/>
      </w:r>
      <w:r w:rsidRPr="00F81BF3">
        <w:rPr>
          <w:rFonts w:ascii="Traditional Arabic" w:hAnsi="Traditional Arabic"/>
          <w:sz w:val="32"/>
          <w:szCs w:val="32"/>
          <w:rtl/>
        </w:rPr>
        <w:t>) انظر: السبعة في القراءات (ص397), معاني القراءات (2/120).</w:t>
      </w:r>
    </w:p>
  </w:footnote>
  <w:footnote w:id="1828">
    <w:p w:rsidR="003F128F" w:rsidRPr="00F81BF3" w:rsidRDefault="003F128F" w:rsidP="00885058">
      <w:pPr>
        <w:pStyle w:val="af3"/>
        <w:rPr>
          <w:rFonts w:ascii="Traditional Arabic" w:hAnsi="Traditional Arabic"/>
          <w:sz w:val="32"/>
          <w:szCs w:val="32"/>
        </w:rPr>
      </w:pPr>
      <w:r w:rsidRPr="00F81BF3">
        <w:rPr>
          <w:rFonts w:ascii="Traditional Arabic" w:hAnsi="Traditional Arabic"/>
          <w:sz w:val="32"/>
          <w:szCs w:val="32"/>
          <w:rtl/>
        </w:rPr>
        <w:t>(</w:t>
      </w:r>
      <w:r w:rsidRPr="00F81BF3">
        <w:rPr>
          <w:rStyle w:val="ae"/>
          <w:rFonts w:ascii="Traditional Arabic" w:hAnsi="Traditional Arabic"/>
          <w:sz w:val="32"/>
          <w:szCs w:val="32"/>
          <w:vertAlign w:val="baseline"/>
        </w:rPr>
        <w:footnoteRef/>
      </w:r>
      <w:r w:rsidRPr="00F81BF3">
        <w:rPr>
          <w:rFonts w:ascii="Traditional Arabic" w:hAnsi="Traditional Arabic"/>
          <w:sz w:val="32"/>
          <w:szCs w:val="32"/>
          <w:rtl/>
        </w:rPr>
        <w:t xml:space="preserve">) انظر: النكت والعيون (3/338), وذكر بنحوه الواحدي في التفسير الوسيط (3/164) بغير نسبة. </w:t>
      </w:r>
    </w:p>
  </w:footnote>
  <w:footnote w:id="1829">
    <w:p w:rsidR="003F128F" w:rsidRPr="00F81BF3" w:rsidRDefault="003F128F" w:rsidP="00885058">
      <w:pPr>
        <w:pStyle w:val="af3"/>
        <w:rPr>
          <w:rFonts w:ascii="Traditional Arabic" w:hAnsi="Traditional Arabic"/>
          <w:sz w:val="32"/>
          <w:szCs w:val="32"/>
        </w:rPr>
      </w:pPr>
      <w:r w:rsidRPr="00F81BF3">
        <w:rPr>
          <w:rFonts w:ascii="Traditional Arabic" w:hAnsi="Traditional Arabic"/>
          <w:sz w:val="32"/>
          <w:szCs w:val="32"/>
          <w:rtl/>
        </w:rPr>
        <w:t>(</w:t>
      </w:r>
      <w:r w:rsidRPr="00F81BF3">
        <w:rPr>
          <w:rStyle w:val="ae"/>
          <w:rFonts w:ascii="Traditional Arabic" w:hAnsi="Traditional Arabic"/>
          <w:sz w:val="32"/>
          <w:szCs w:val="32"/>
          <w:vertAlign w:val="baseline"/>
        </w:rPr>
        <w:footnoteRef/>
      </w:r>
      <w:r w:rsidRPr="00F81BF3">
        <w:rPr>
          <w:rFonts w:ascii="Traditional Arabic" w:hAnsi="Traditional Arabic"/>
          <w:sz w:val="32"/>
          <w:szCs w:val="32"/>
          <w:rtl/>
        </w:rPr>
        <w:t>) انظر: الحجة للقراء السبعة (5/168).</w:t>
      </w:r>
    </w:p>
  </w:footnote>
  <w:footnote w:id="1830">
    <w:p w:rsidR="003F128F" w:rsidRPr="00D048CA" w:rsidRDefault="003F128F" w:rsidP="007135C3">
      <w:pPr>
        <w:pStyle w:val="af3"/>
        <w:rPr>
          <w:rFonts w:ascii="Traditional Arabic" w:hAnsi="Traditional Arabic"/>
          <w:sz w:val="32"/>
          <w:szCs w:val="32"/>
        </w:rPr>
      </w:pPr>
      <w:r w:rsidRPr="00F81BF3">
        <w:rPr>
          <w:rFonts w:ascii="Traditional Arabic" w:hAnsi="Traditional Arabic"/>
          <w:sz w:val="32"/>
          <w:szCs w:val="32"/>
          <w:rtl/>
        </w:rPr>
        <w:t>(</w:t>
      </w:r>
      <w:r w:rsidRPr="00F81BF3">
        <w:rPr>
          <w:rStyle w:val="ae"/>
          <w:rFonts w:ascii="Traditional Arabic" w:hAnsi="Traditional Arabic"/>
          <w:sz w:val="32"/>
          <w:szCs w:val="32"/>
          <w:vertAlign w:val="baseline"/>
        </w:rPr>
        <w:footnoteRef/>
      </w:r>
      <w:r w:rsidRPr="00F81BF3">
        <w:rPr>
          <w:rFonts w:ascii="Traditional Arabic" w:hAnsi="Traditional Arabic"/>
          <w:sz w:val="32"/>
          <w:szCs w:val="32"/>
          <w:rtl/>
        </w:rPr>
        <w:t xml:space="preserve">) </w:t>
      </w:r>
      <w:r w:rsidRPr="00F81BF3">
        <w:rPr>
          <w:rFonts w:ascii="Traditional Arabic" w:hAnsi="Traditional Arabic" w:hint="cs"/>
          <w:sz w:val="32"/>
          <w:szCs w:val="32"/>
          <w:rtl/>
        </w:rPr>
        <w:t>قوله: [</w:t>
      </w:r>
      <w:r w:rsidRPr="00F81BF3">
        <w:rPr>
          <w:rFonts w:ascii="Traditional Arabic" w:hAnsi="Traditional Arabic"/>
          <w:sz w:val="32"/>
          <w:szCs w:val="32"/>
          <w:rtl/>
        </w:rPr>
        <w:t>قوله تعالى:</w:t>
      </w:r>
      <w:r w:rsidRPr="001960EF">
        <w:rPr>
          <w:rFonts w:ascii="Traditional Arabic" w:hAnsi="Traditional Arabic"/>
          <w:rtl/>
        </w:rPr>
        <w:t xml:space="preserve"> </w:t>
      </w:r>
      <w:r w:rsidRPr="00F81BF3">
        <w:rPr>
          <w:rFonts w:ascii="QCF_BSML" w:hAnsi="QCF_BSML" w:cs="QCF_BSML"/>
          <w:color w:val="auto"/>
          <w:rtl/>
          <w:lang w:eastAsia="en-US"/>
        </w:rPr>
        <w:t>ﭽ</w:t>
      </w:r>
      <w:r w:rsidRPr="00F81BF3">
        <w:rPr>
          <w:rFonts w:ascii="QCF_P303" w:hAnsi="QCF_P303" w:cs="QCF_P303"/>
          <w:color w:val="auto"/>
          <w:rtl/>
          <w:lang w:eastAsia="en-US"/>
        </w:rPr>
        <w:t xml:space="preserve">ﭤ  ﭥ  ﭦ  ﭧ  ﭨ </w:t>
      </w:r>
      <w:r w:rsidRPr="00F81BF3">
        <w:rPr>
          <w:rFonts w:ascii="QCF_BSML" w:hAnsi="QCF_BSML" w:cs="QCF_BSML"/>
          <w:rtl/>
          <w:lang w:eastAsia="en-US"/>
        </w:rPr>
        <w:t>ﭼ</w:t>
      </w:r>
      <w:r>
        <w:rPr>
          <w:rFonts w:ascii="Traditional Arabic" w:hAnsi="Traditional Arabic" w:hint="cs"/>
          <w:rtl/>
          <w:lang w:eastAsia="en-US"/>
        </w:rPr>
        <w:t>]</w:t>
      </w:r>
      <w:r w:rsidRPr="00D048CA">
        <w:rPr>
          <w:rFonts w:ascii="Traditional Arabic" w:hAnsi="Traditional Arabic"/>
          <w:sz w:val="32"/>
          <w:szCs w:val="32"/>
          <w:rtl/>
        </w:rPr>
        <w:t xml:space="preserve"> </w:t>
      </w:r>
      <w:r>
        <w:rPr>
          <w:rFonts w:ascii="Traditional Arabic" w:hAnsi="Traditional Arabic" w:hint="cs"/>
          <w:sz w:val="32"/>
          <w:szCs w:val="32"/>
          <w:rtl/>
        </w:rPr>
        <w:t xml:space="preserve">ليس في </w:t>
      </w:r>
      <w:r w:rsidRPr="00D048CA">
        <w:rPr>
          <w:rFonts w:ascii="Traditional Arabic" w:hAnsi="Traditional Arabic"/>
          <w:sz w:val="32"/>
          <w:szCs w:val="32"/>
          <w:rtl/>
        </w:rPr>
        <w:t xml:space="preserve">(ك).    </w:t>
      </w:r>
    </w:p>
  </w:footnote>
  <w:footnote w:id="1831">
    <w:p w:rsidR="003F128F" w:rsidRPr="00D048CA" w:rsidRDefault="003F128F" w:rsidP="00885058">
      <w:pPr>
        <w:pStyle w:val="af3"/>
        <w:rPr>
          <w:rFonts w:ascii="Traditional Arabic" w:hAnsi="Traditional Arabic"/>
          <w:sz w:val="32"/>
          <w:szCs w:val="32"/>
        </w:rPr>
      </w:pPr>
      <w:r w:rsidRPr="00D048CA">
        <w:rPr>
          <w:rFonts w:ascii="Traditional Arabic" w:hAnsi="Traditional Arabic"/>
          <w:sz w:val="32"/>
          <w:szCs w:val="32"/>
          <w:rtl/>
        </w:rPr>
        <w:t>(</w:t>
      </w:r>
      <w:r w:rsidRPr="00D048CA">
        <w:rPr>
          <w:rStyle w:val="ae"/>
          <w:rFonts w:ascii="Traditional Arabic" w:hAnsi="Traditional Arabic"/>
          <w:sz w:val="32"/>
          <w:szCs w:val="32"/>
          <w:vertAlign w:val="baseline"/>
        </w:rPr>
        <w:footnoteRef/>
      </w:r>
      <w:r w:rsidRPr="00D048CA">
        <w:rPr>
          <w:rFonts w:ascii="Traditional Arabic" w:hAnsi="Traditional Arabic"/>
          <w:sz w:val="32"/>
          <w:szCs w:val="32"/>
          <w:rtl/>
        </w:rPr>
        <w:t>) انظر: السبعة في القراءات (ص398), معاني القراءات (2/121).</w:t>
      </w:r>
    </w:p>
  </w:footnote>
  <w:footnote w:id="1832">
    <w:p w:rsidR="003F128F" w:rsidRPr="00D048CA" w:rsidRDefault="003F128F" w:rsidP="00885058">
      <w:pPr>
        <w:pStyle w:val="af3"/>
        <w:rPr>
          <w:rFonts w:ascii="Traditional Arabic" w:hAnsi="Traditional Arabic"/>
          <w:sz w:val="32"/>
          <w:szCs w:val="32"/>
        </w:rPr>
      </w:pPr>
      <w:r w:rsidRPr="00D048CA">
        <w:rPr>
          <w:rFonts w:ascii="Traditional Arabic" w:hAnsi="Traditional Arabic"/>
          <w:sz w:val="32"/>
          <w:szCs w:val="32"/>
          <w:rtl/>
        </w:rPr>
        <w:t>(</w:t>
      </w:r>
      <w:r w:rsidRPr="00D048CA">
        <w:rPr>
          <w:rStyle w:val="ae"/>
          <w:rFonts w:ascii="Traditional Arabic" w:hAnsi="Traditional Arabic"/>
          <w:sz w:val="32"/>
          <w:szCs w:val="32"/>
          <w:vertAlign w:val="baseline"/>
        </w:rPr>
        <w:footnoteRef/>
      </w:r>
      <w:r w:rsidRPr="00D048CA">
        <w:rPr>
          <w:rFonts w:ascii="Traditional Arabic" w:hAnsi="Traditional Arabic"/>
          <w:sz w:val="32"/>
          <w:szCs w:val="32"/>
          <w:rtl/>
        </w:rPr>
        <w:t>) تفسير يحيى بن سلام (1/202), تفسير عبدالرزاق (2/344).</w:t>
      </w:r>
    </w:p>
  </w:footnote>
  <w:footnote w:id="1833">
    <w:p w:rsidR="003F128F" w:rsidRPr="00D048CA" w:rsidRDefault="003F128F" w:rsidP="00885058">
      <w:pPr>
        <w:pStyle w:val="af3"/>
        <w:rPr>
          <w:rFonts w:ascii="Traditional Arabic" w:hAnsi="Traditional Arabic"/>
          <w:sz w:val="32"/>
          <w:szCs w:val="32"/>
        </w:rPr>
      </w:pPr>
      <w:r w:rsidRPr="00D048CA">
        <w:rPr>
          <w:rFonts w:ascii="Traditional Arabic" w:hAnsi="Traditional Arabic"/>
          <w:sz w:val="32"/>
          <w:szCs w:val="32"/>
          <w:rtl/>
        </w:rPr>
        <w:t>(</w:t>
      </w:r>
      <w:r w:rsidRPr="00D048CA">
        <w:rPr>
          <w:rStyle w:val="ae"/>
          <w:rFonts w:ascii="Traditional Arabic" w:hAnsi="Traditional Arabic"/>
          <w:sz w:val="32"/>
          <w:szCs w:val="32"/>
          <w:vertAlign w:val="baseline"/>
        </w:rPr>
        <w:footnoteRef/>
      </w:r>
      <w:r w:rsidRPr="00D048CA">
        <w:rPr>
          <w:rFonts w:ascii="Traditional Arabic" w:hAnsi="Traditional Arabic"/>
          <w:sz w:val="32"/>
          <w:szCs w:val="32"/>
          <w:rtl/>
        </w:rPr>
        <w:t>) ما بين المعكوفتين ساقط من الأصل, والمثبت من (ك)</w:t>
      </w:r>
      <w:r>
        <w:rPr>
          <w:rFonts w:ascii="Traditional Arabic" w:hAnsi="Traditional Arabic" w:hint="cs"/>
          <w:sz w:val="32"/>
          <w:szCs w:val="32"/>
          <w:rtl/>
        </w:rPr>
        <w:t xml:space="preserve"> وهو موافق لمصادر القراءة</w:t>
      </w:r>
      <w:r w:rsidRPr="00D048CA">
        <w:rPr>
          <w:rFonts w:ascii="Traditional Arabic" w:hAnsi="Traditional Arabic"/>
          <w:sz w:val="32"/>
          <w:szCs w:val="32"/>
          <w:rtl/>
        </w:rPr>
        <w:t xml:space="preserve">.   </w:t>
      </w:r>
    </w:p>
  </w:footnote>
  <w:footnote w:id="1834">
    <w:p w:rsidR="003F128F" w:rsidRPr="00D048CA" w:rsidRDefault="003F128F" w:rsidP="00885058">
      <w:pPr>
        <w:pStyle w:val="af3"/>
        <w:rPr>
          <w:rFonts w:ascii="Traditional Arabic" w:hAnsi="Traditional Arabic"/>
          <w:sz w:val="32"/>
          <w:szCs w:val="32"/>
        </w:rPr>
      </w:pPr>
      <w:r w:rsidRPr="00D048CA">
        <w:rPr>
          <w:rFonts w:ascii="Traditional Arabic" w:hAnsi="Traditional Arabic"/>
          <w:sz w:val="32"/>
          <w:szCs w:val="32"/>
          <w:rtl/>
        </w:rPr>
        <w:t>(</w:t>
      </w:r>
      <w:r w:rsidRPr="00D048CA">
        <w:rPr>
          <w:rStyle w:val="ae"/>
          <w:rFonts w:ascii="Traditional Arabic" w:hAnsi="Traditional Arabic"/>
          <w:sz w:val="32"/>
          <w:szCs w:val="32"/>
          <w:vertAlign w:val="baseline"/>
        </w:rPr>
        <w:footnoteRef/>
      </w:r>
      <w:r w:rsidRPr="00D048CA">
        <w:rPr>
          <w:rFonts w:ascii="Traditional Arabic" w:hAnsi="Traditional Arabic"/>
          <w:sz w:val="32"/>
          <w:szCs w:val="32"/>
          <w:rtl/>
        </w:rPr>
        <w:t xml:space="preserve">) انظر: السبعة في القراءات (ص398), معاني القراءات (2/121).  </w:t>
      </w:r>
    </w:p>
  </w:footnote>
  <w:footnote w:id="1835">
    <w:p w:rsidR="003F128F" w:rsidRPr="00D048CA" w:rsidRDefault="003F128F" w:rsidP="00885058">
      <w:pPr>
        <w:pStyle w:val="af3"/>
        <w:rPr>
          <w:rFonts w:ascii="Traditional Arabic" w:hAnsi="Traditional Arabic"/>
          <w:sz w:val="32"/>
          <w:szCs w:val="32"/>
        </w:rPr>
      </w:pPr>
      <w:r w:rsidRPr="00D048CA">
        <w:rPr>
          <w:rFonts w:ascii="Traditional Arabic" w:hAnsi="Traditional Arabic"/>
          <w:sz w:val="32"/>
          <w:szCs w:val="32"/>
          <w:rtl/>
        </w:rPr>
        <w:t>(</w:t>
      </w:r>
      <w:r w:rsidRPr="00D048CA">
        <w:rPr>
          <w:rStyle w:val="ae"/>
          <w:rFonts w:ascii="Traditional Arabic" w:hAnsi="Traditional Arabic"/>
          <w:sz w:val="32"/>
          <w:szCs w:val="32"/>
          <w:vertAlign w:val="baseline"/>
        </w:rPr>
        <w:footnoteRef/>
      </w:r>
      <w:r w:rsidRPr="00D048CA">
        <w:rPr>
          <w:rFonts w:ascii="Traditional Arabic" w:hAnsi="Traditional Arabic"/>
          <w:sz w:val="32"/>
          <w:szCs w:val="32"/>
          <w:rtl/>
        </w:rPr>
        <w:t>) انظر: تفسير الطبري (18/96), الكشف والبيان (6/190).</w:t>
      </w:r>
    </w:p>
  </w:footnote>
  <w:footnote w:id="1836">
    <w:p w:rsidR="003F128F" w:rsidRPr="00D048CA" w:rsidRDefault="003F128F" w:rsidP="00885058">
      <w:pPr>
        <w:pStyle w:val="af3"/>
        <w:rPr>
          <w:rFonts w:ascii="Tahoma" w:hAnsi="Tahoma"/>
        </w:rPr>
      </w:pPr>
      <w:r w:rsidRPr="00D048CA">
        <w:rPr>
          <w:rFonts w:ascii="Traditional Arabic" w:hAnsi="Traditional Arabic"/>
          <w:sz w:val="32"/>
          <w:szCs w:val="32"/>
          <w:rtl/>
        </w:rPr>
        <w:t>(</w:t>
      </w:r>
      <w:r w:rsidRPr="00D048CA">
        <w:rPr>
          <w:rStyle w:val="ae"/>
          <w:rFonts w:ascii="Traditional Arabic" w:hAnsi="Traditional Arabic"/>
          <w:sz w:val="32"/>
          <w:szCs w:val="32"/>
          <w:vertAlign w:val="baseline"/>
        </w:rPr>
        <w:footnoteRef/>
      </w:r>
      <w:r w:rsidRPr="00D048CA">
        <w:rPr>
          <w:rFonts w:ascii="Traditional Arabic" w:hAnsi="Traditional Arabic"/>
          <w:sz w:val="32"/>
          <w:szCs w:val="32"/>
          <w:rtl/>
        </w:rPr>
        <w:t>) ما بين المعكوفتين ساقط من الأصل, والمثبت من (ك)</w:t>
      </w:r>
      <w:r>
        <w:rPr>
          <w:rFonts w:ascii="Traditional Arabic" w:hAnsi="Traditional Arabic" w:hint="cs"/>
          <w:sz w:val="32"/>
          <w:szCs w:val="32"/>
          <w:rtl/>
        </w:rPr>
        <w:t xml:space="preserve"> لما في كتاب </w:t>
      </w:r>
      <w:r w:rsidRPr="009001EA">
        <w:rPr>
          <w:rFonts w:ascii="Traditional Arabic" w:hAnsi="Traditional Arabic"/>
          <w:color w:val="auto"/>
          <w:sz w:val="32"/>
          <w:szCs w:val="32"/>
          <w:rtl/>
        </w:rPr>
        <w:t>معاني القرآن وإعرابه</w:t>
      </w:r>
      <w:r w:rsidRPr="00D048CA">
        <w:rPr>
          <w:rFonts w:ascii="Traditional Arabic" w:hAnsi="Traditional Arabic"/>
          <w:sz w:val="32"/>
          <w:szCs w:val="32"/>
          <w:rtl/>
        </w:rPr>
        <w:t xml:space="preserve">.    </w:t>
      </w:r>
    </w:p>
  </w:footnote>
  <w:footnote w:id="1837">
    <w:p w:rsidR="003F128F" w:rsidRPr="009001EA" w:rsidRDefault="003F128F" w:rsidP="00885058">
      <w:pPr>
        <w:pStyle w:val="af3"/>
        <w:rPr>
          <w:rFonts w:ascii="Traditional Arabic" w:hAnsi="Traditional Arabic"/>
          <w:color w:val="auto"/>
          <w:sz w:val="32"/>
          <w:szCs w:val="32"/>
        </w:rPr>
      </w:pPr>
      <w:r w:rsidRPr="009001EA">
        <w:rPr>
          <w:rFonts w:ascii="Traditional Arabic" w:hAnsi="Traditional Arabic"/>
          <w:color w:val="auto"/>
          <w:sz w:val="32"/>
          <w:szCs w:val="32"/>
          <w:rtl/>
        </w:rPr>
        <w:t>(</w:t>
      </w:r>
      <w:r w:rsidRPr="009001EA">
        <w:rPr>
          <w:rStyle w:val="ae"/>
          <w:rFonts w:ascii="Traditional Arabic" w:hAnsi="Traditional Arabic"/>
          <w:color w:val="auto"/>
          <w:sz w:val="32"/>
          <w:szCs w:val="32"/>
          <w:vertAlign w:val="baseline"/>
        </w:rPr>
        <w:footnoteRef/>
      </w:r>
      <w:r w:rsidRPr="009001EA">
        <w:rPr>
          <w:rFonts w:ascii="Traditional Arabic" w:hAnsi="Traditional Arabic"/>
          <w:color w:val="auto"/>
          <w:sz w:val="32"/>
          <w:szCs w:val="32"/>
          <w:rtl/>
        </w:rPr>
        <w:t>) انظر: معاني القرآن وإعرابه (3/308).</w:t>
      </w:r>
    </w:p>
  </w:footnote>
  <w:footnote w:id="1838">
    <w:p w:rsidR="003F128F" w:rsidRPr="009001EA" w:rsidRDefault="003F128F" w:rsidP="00885058">
      <w:pPr>
        <w:pStyle w:val="af3"/>
        <w:rPr>
          <w:rFonts w:ascii="Traditional Arabic" w:hAnsi="Traditional Arabic"/>
          <w:color w:val="auto"/>
          <w:sz w:val="32"/>
          <w:szCs w:val="32"/>
        </w:rPr>
      </w:pPr>
      <w:r w:rsidRPr="009001EA">
        <w:rPr>
          <w:rFonts w:ascii="Traditional Arabic" w:hAnsi="Traditional Arabic"/>
          <w:color w:val="auto"/>
          <w:sz w:val="32"/>
          <w:szCs w:val="32"/>
          <w:rtl/>
        </w:rPr>
        <w:t>(</w:t>
      </w:r>
      <w:r w:rsidRPr="009001EA">
        <w:rPr>
          <w:rStyle w:val="ae"/>
          <w:rFonts w:ascii="Traditional Arabic" w:hAnsi="Traditional Arabic"/>
          <w:color w:val="auto"/>
          <w:sz w:val="32"/>
          <w:szCs w:val="32"/>
          <w:vertAlign w:val="baseline"/>
        </w:rPr>
        <w:footnoteRef/>
      </w:r>
      <w:r w:rsidRPr="009001EA">
        <w:rPr>
          <w:rFonts w:ascii="Traditional Arabic" w:hAnsi="Traditional Arabic"/>
          <w:color w:val="auto"/>
          <w:sz w:val="32"/>
          <w:szCs w:val="32"/>
          <w:rtl/>
        </w:rPr>
        <w:t xml:space="preserve">) انظر: رموز الكنوز (4/352-353), وذكره أبو حيان في البحر المحيط (7/221) غير منسوب.  </w:t>
      </w:r>
    </w:p>
  </w:footnote>
  <w:footnote w:id="1839">
    <w:p w:rsidR="003F128F" w:rsidRPr="009001EA" w:rsidRDefault="003F128F" w:rsidP="00885058">
      <w:pPr>
        <w:pStyle w:val="af3"/>
        <w:rPr>
          <w:rFonts w:ascii="Traditional Arabic" w:hAnsi="Traditional Arabic"/>
          <w:color w:val="auto"/>
          <w:sz w:val="32"/>
          <w:szCs w:val="32"/>
        </w:rPr>
      </w:pPr>
      <w:r w:rsidRPr="009001EA">
        <w:rPr>
          <w:rFonts w:ascii="Traditional Arabic" w:hAnsi="Traditional Arabic"/>
          <w:color w:val="auto"/>
          <w:sz w:val="32"/>
          <w:szCs w:val="32"/>
          <w:rtl/>
        </w:rPr>
        <w:t>(</w:t>
      </w:r>
      <w:r w:rsidRPr="009001EA">
        <w:rPr>
          <w:rStyle w:val="ae"/>
          <w:rFonts w:ascii="Traditional Arabic" w:hAnsi="Traditional Arabic"/>
          <w:color w:val="auto"/>
          <w:sz w:val="32"/>
          <w:szCs w:val="32"/>
          <w:vertAlign w:val="baseline"/>
        </w:rPr>
        <w:footnoteRef/>
      </w:r>
      <w:r w:rsidRPr="009001EA">
        <w:rPr>
          <w:rFonts w:ascii="Traditional Arabic" w:hAnsi="Traditional Arabic"/>
          <w:color w:val="auto"/>
          <w:sz w:val="32"/>
          <w:szCs w:val="32"/>
          <w:rtl/>
        </w:rPr>
        <w:t>) انظر: البحر المحيط (7/221), وذكره النيسابوري في بحر العلوم (2/183) غير منسوب.</w:t>
      </w:r>
    </w:p>
  </w:footnote>
  <w:footnote w:id="1840">
    <w:p w:rsidR="003F128F" w:rsidRPr="009001EA" w:rsidRDefault="003F128F" w:rsidP="00885058">
      <w:pPr>
        <w:pStyle w:val="af3"/>
        <w:rPr>
          <w:rFonts w:ascii="Traditional Arabic" w:hAnsi="Traditional Arabic"/>
          <w:color w:val="auto"/>
          <w:sz w:val="32"/>
          <w:szCs w:val="32"/>
        </w:rPr>
      </w:pPr>
      <w:r w:rsidRPr="009001EA">
        <w:rPr>
          <w:rFonts w:ascii="Traditional Arabic" w:hAnsi="Traditional Arabic"/>
          <w:color w:val="auto"/>
          <w:sz w:val="32"/>
          <w:szCs w:val="32"/>
          <w:rtl/>
        </w:rPr>
        <w:t>(</w:t>
      </w:r>
      <w:r w:rsidRPr="009001EA">
        <w:rPr>
          <w:rStyle w:val="ae"/>
          <w:rFonts w:ascii="Traditional Arabic" w:hAnsi="Traditional Arabic"/>
          <w:color w:val="auto"/>
          <w:sz w:val="32"/>
          <w:szCs w:val="32"/>
          <w:vertAlign w:val="baseline"/>
        </w:rPr>
        <w:footnoteRef/>
      </w:r>
      <w:r w:rsidRPr="009001EA">
        <w:rPr>
          <w:rFonts w:ascii="Traditional Arabic" w:hAnsi="Traditional Arabic"/>
          <w:color w:val="auto"/>
          <w:sz w:val="32"/>
          <w:szCs w:val="32"/>
          <w:rtl/>
        </w:rPr>
        <w:t xml:space="preserve">) في (ك): [فكيف يسعها].     </w:t>
      </w:r>
    </w:p>
  </w:footnote>
  <w:footnote w:id="1841">
    <w:p w:rsidR="003F128F" w:rsidRPr="009001EA" w:rsidRDefault="003F128F" w:rsidP="0064686B">
      <w:pPr>
        <w:pStyle w:val="af3"/>
        <w:rPr>
          <w:rFonts w:ascii="Traditional Arabic" w:hAnsi="Traditional Arabic"/>
          <w:color w:val="auto"/>
          <w:sz w:val="32"/>
          <w:szCs w:val="32"/>
        </w:rPr>
      </w:pPr>
      <w:r w:rsidRPr="009001EA">
        <w:rPr>
          <w:rFonts w:ascii="Traditional Arabic" w:hAnsi="Traditional Arabic"/>
          <w:color w:val="auto"/>
          <w:sz w:val="32"/>
          <w:szCs w:val="32"/>
          <w:rtl/>
        </w:rPr>
        <w:t>(</w:t>
      </w:r>
      <w:r w:rsidRPr="009001EA">
        <w:rPr>
          <w:rStyle w:val="ae"/>
          <w:rFonts w:ascii="Traditional Arabic" w:hAnsi="Traditional Arabic"/>
          <w:color w:val="auto"/>
          <w:sz w:val="32"/>
          <w:szCs w:val="32"/>
          <w:vertAlign w:val="baseline"/>
        </w:rPr>
        <w:footnoteRef/>
      </w:r>
      <w:r w:rsidRPr="009001EA">
        <w:rPr>
          <w:rFonts w:ascii="Traditional Arabic" w:hAnsi="Traditional Arabic"/>
          <w:color w:val="auto"/>
          <w:sz w:val="32"/>
          <w:szCs w:val="32"/>
          <w:rtl/>
        </w:rPr>
        <w:t xml:space="preserve">) </w:t>
      </w:r>
      <w:r>
        <w:rPr>
          <w:rFonts w:ascii="Traditional Arabic" w:hAnsi="Traditional Arabic" w:hint="cs"/>
          <w:color w:val="auto"/>
          <w:sz w:val="32"/>
          <w:szCs w:val="32"/>
          <w:rtl/>
        </w:rPr>
        <w:t>قوله:</w:t>
      </w:r>
      <w:r w:rsidRPr="0064686B">
        <w:rPr>
          <w:rFonts w:ascii="Traditional Arabic" w:hAnsi="Traditional Arabic" w:hint="cs"/>
          <w:rtl/>
        </w:rPr>
        <w:t xml:space="preserve"> </w:t>
      </w:r>
      <w:r w:rsidRPr="00885058">
        <w:rPr>
          <w:rFonts w:ascii="Traditional Arabic" w:hAnsi="Traditional Arabic" w:hint="cs"/>
          <w:rtl/>
        </w:rPr>
        <w:t>[</w:t>
      </w:r>
      <w:r w:rsidRPr="00885058">
        <w:rPr>
          <w:rFonts w:ascii="Traditional Arabic" w:hAnsi="Traditional Arabic"/>
          <w:rtl/>
        </w:rPr>
        <w:t xml:space="preserve"> العين كما يرى راكب البحر الذي لا يرى طَرَفه أن الشمس تغيب في</w:t>
      </w:r>
      <w:r w:rsidRPr="00885058">
        <w:rPr>
          <w:rFonts w:ascii="Traditional Arabic" w:hAnsi="Traditional Arabic" w:hint="cs"/>
          <w:rtl/>
        </w:rPr>
        <w:t>]</w:t>
      </w:r>
      <w:r>
        <w:rPr>
          <w:rFonts w:ascii="Traditional Arabic" w:hAnsi="Traditional Arabic" w:hint="cs"/>
          <w:rtl/>
        </w:rPr>
        <w:t xml:space="preserve"> ليس في</w:t>
      </w:r>
      <w:r w:rsidRPr="009001EA">
        <w:rPr>
          <w:rFonts w:ascii="Traditional Arabic" w:hAnsi="Traditional Arabic"/>
          <w:color w:val="auto"/>
          <w:sz w:val="32"/>
          <w:szCs w:val="32"/>
          <w:rtl/>
        </w:rPr>
        <w:t xml:space="preserve"> (ك).     </w:t>
      </w:r>
    </w:p>
  </w:footnote>
  <w:footnote w:id="1842">
    <w:p w:rsidR="003F128F" w:rsidRPr="009001EA" w:rsidRDefault="003F128F" w:rsidP="00885058">
      <w:pPr>
        <w:pStyle w:val="af3"/>
        <w:rPr>
          <w:rFonts w:ascii="Traditional Arabic" w:hAnsi="Traditional Arabic"/>
          <w:color w:val="auto"/>
          <w:sz w:val="32"/>
          <w:szCs w:val="32"/>
        </w:rPr>
      </w:pPr>
      <w:r w:rsidRPr="009001EA">
        <w:rPr>
          <w:rFonts w:ascii="Traditional Arabic" w:hAnsi="Traditional Arabic"/>
          <w:color w:val="auto"/>
          <w:sz w:val="32"/>
          <w:szCs w:val="32"/>
          <w:rtl/>
        </w:rPr>
        <w:t>(</w:t>
      </w:r>
      <w:r w:rsidRPr="009001EA">
        <w:rPr>
          <w:rStyle w:val="ae"/>
          <w:rFonts w:ascii="Traditional Arabic" w:hAnsi="Traditional Arabic"/>
          <w:color w:val="auto"/>
          <w:sz w:val="32"/>
          <w:szCs w:val="32"/>
          <w:vertAlign w:val="baseline"/>
        </w:rPr>
        <w:footnoteRef/>
      </w:r>
      <w:r w:rsidRPr="009001EA">
        <w:rPr>
          <w:rFonts w:ascii="Traditional Arabic" w:hAnsi="Traditional Arabic"/>
          <w:color w:val="auto"/>
          <w:sz w:val="32"/>
          <w:szCs w:val="32"/>
          <w:rtl/>
        </w:rPr>
        <w:t xml:space="preserve">) في (ك): [ليس عندها].      </w:t>
      </w:r>
    </w:p>
  </w:footnote>
  <w:footnote w:id="1843">
    <w:p w:rsidR="003F128F" w:rsidRPr="009001EA" w:rsidRDefault="003F128F" w:rsidP="00885058">
      <w:pPr>
        <w:pStyle w:val="af3"/>
        <w:rPr>
          <w:rFonts w:ascii="Traditional Arabic" w:hAnsi="Traditional Arabic"/>
          <w:color w:val="auto"/>
          <w:sz w:val="32"/>
          <w:szCs w:val="32"/>
        </w:rPr>
      </w:pPr>
      <w:r w:rsidRPr="009001EA">
        <w:rPr>
          <w:rFonts w:ascii="Traditional Arabic" w:hAnsi="Traditional Arabic"/>
          <w:color w:val="auto"/>
          <w:sz w:val="32"/>
          <w:szCs w:val="32"/>
          <w:rtl/>
        </w:rPr>
        <w:t>(</w:t>
      </w:r>
      <w:r w:rsidRPr="009001EA">
        <w:rPr>
          <w:rStyle w:val="ae"/>
          <w:rFonts w:ascii="Traditional Arabic" w:hAnsi="Traditional Arabic"/>
          <w:color w:val="auto"/>
          <w:sz w:val="32"/>
          <w:szCs w:val="32"/>
          <w:vertAlign w:val="baseline"/>
        </w:rPr>
        <w:footnoteRef/>
      </w:r>
      <w:r w:rsidRPr="009001EA">
        <w:rPr>
          <w:rFonts w:ascii="Traditional Arabic" w:hAnsi="Traditional Arabic"/>
          <w:color w:val="auto"/>
          <w:sz w:val="32"/>
          <w:szCs w:val="32"/>
          <w:rtl/>
        </w:rPr>
        <w:t xml:space="preserve">) انظر: رموز الكنوز (4/354).  </w:t>
      </w:r>
    </w:p>
  </w:footnote>
  <w:footnote w:id="1844">
    <w:p w:rsidR="003F128F" w:rsidRPr="009001EA" w:rsidRDefault="003F128F" w:rsidP="00885058">
      <w:pPr>
        <w:pStyle w:val="af3"/>
        <w:rPr>
          <w:rFonts w:ascii="Traditional Arabic" w:hAnsi="Traditional Arabic"/>
          <w:color w:val="auto"/>
          <w:sz w:val="32"/>
          <w:szCs w:val="32"/>
        </w:rPr>
      </w:pPr>
      <w:r w:rsidRPr="009001EA">
        <w:rPr>
          <w:rFonts w:ascii="Traditional Arabic" w:hAnsi="Traditional Arabic"/>
          <w:color w:val="auto"/>
          <w:sz w:val="32"/>
          <w:szCs w:val="32"/>
          <w:rtl/>
        </w:rPr>
        <w:t>(</w:t>
      </w:r>
      <w:r w:rsidRPr="009001EA">
        <w:rPr>
          <w:rStyle w:val="ae"/>
          <w:rFonts w:ascii="Traditional Arabic" w:hAnsi="Traditional Arabic"/>
          <w:color w:val="auto"/>
          <w:sz w:val="32"/>
          <w:szCs w:val="32"/>
          <w:vertAlign w:val="baseline"/>
        </w:rPr>
        <w:footnoteRef/>
      </w:r>
      <w:r w:rsidRPr="009001EA">
        <w:rPr>
          <w:rFonts w:ascii="Traditional Arabic" w:hAnsi="Traditional Arabic"/>
          <w:color w:val="auto"/>
          <w:sz w:val="32"/>
          <w:szCs w:val="32"/>
          <w:rtl/>
        </w:rPr>
        <w:t>) انظر: تفسير الطبري (18/97), الكشف والبيان (6/191).</w:t>
      </w:r>
    </w:p>
  </w:footnote>
  <w:footnote w:id="1845">
    <w:p w:rsidR="003F128F" w:rsidRPr="009001EA" w:rsidRDefault="003F128F" w:rsidP="00885058">
      <w:pPr>
        <w:pStyle w:val="af3"/>
        <w:rPr>
          <w:rFonts w:ascii="Traditional Arabic" w:hAnsi="Traditional Arabic"/>
          <w:color w:val="auto"/>
          <w:sz w:val="32"/>
          <w:szCs w:val="32"/>
        </w:rPr>
      </w:pPr>
      <w:r w:rsidRPr="009001EA">
        <w:rPr>
          <w:rFonts w:ascii="Traditional Arabic" w:hAnsi="Traditional Arabic"/>
          <w:color w:val="auto"/>
          <w:sz w:val="32"/>
          <w:szCs w:val="32"/>
          <w:rtl/>
        </w:rPr>
        <w:t>(</w:t>
      </w:r>
      <w:r w:rsidRPr="009001EA">
        <w:rPr>
          <w:rStyle w:val="ae"/>
          <w:rFonts w:ascii="Traditional Arabic" w:hAnsi="Traditional Arabic"/>
          <w:color w:val="auto"/>
          <w:sz w:val="32"/>
          <w:szCs w:val="32"/>
          <w:vertAlign w:val="baseline"/>
        </w:rPr>
        <w:footnoteRef/>
      </w:r>
      <w:r w:rsidRPr="009001EA">
        <w:rPr>
          <w:rFonts w:ascii="Traditional Arabic" w:hAnsi="Traditional Arabic"/>
          <w:color w:val="auto"/>
          <w:sz w:val="32"/>
          <w:szCs w:val="32"/>
          <w:rtl/>
        </w:rPr>
        <w:t xml:space="preserve">) رموز الكنوز (4/356), وذكره الزمخشري في الكشاف (2/744) ونسبه لقتادة.    </w:t>
      </w:r>
    </w:p>
  </w:footnote>
  <w:footnote w:id="1846">
    <w:p w:rsidR="003F128F" w:rsidRPr="009001EA" w:rsidRDefault="003F128F" w:rsidP="00885058">
      <w:pPr>
        <w:pStyle w:val="af3"/>
        <w:rPr>
          <w:rFonts w:ascii="Traditional Arabic" w:hAnsi="Traditional Arabic"/>
          <w:color w:val="auto"/>
          <w:sz w:val="32"/>
          <w:szCs w:val="32"/>
        </w:rPr>
      </w:pPr>
      <w:r w:rsidRPr="009001EA">
        <w:rPr>
          <w:rFonts w:ascii="Traditional Arabic" w:hAnsi="Traditional Arabic"/>
          <w:color w:val="auto"/>
          <w:sz w:val="32"/>
          <w:szCs w:val="32"/>
          <w:rtl/>
        </w:rPr>
        <w:t>(</w:t>
      </w:r>
      <w:r w:rsidRPr="009001EA">
        <w:rPr>
          <w:rStyle w:val="ae"/>
          <w:rFonts w:ascii="Traditional Arabic" w:hAnsi="Traditional Arabic"/>
          <w:color w:val="auto"/>
          <w:sz w:val="32"/>
          <w:szCs w:val="32"/>
          <w:vertAlign w:val="baseline"/>
        </w:rPr>
        <w:footnoteRef/>
      </w:r>
      <w:r w:rsidRPr="009001EA">
        <w:rPr>
          <w:rFonts w:ascii="Traditional Arabic" w:hAnsi="Traditional Arabic"/>
          <w:color w:val="auto"/>
          <w:sz w:val="32"/>
          <w:szCs w:val="32"/>
          <w:rtl/>
        </w:rPr>
        <w:t>)</w:t>
      </w:r>
      <w:r>
        <w:rPr>
          <w:rFonts w:ascii="Traditional Arabic" w:hAnsi="Traditional Arabic" w:hint="cs"/>
          <w:color w:val="auto"/>
          <w:sz w:val="32"/>
          <w:szCs w:val="32"/>
          <w:rtl/>
        </w:rPr>
        <w:t xml:space="preserve"> </w:t>
      </w:r>
      <w:r w:rsidRPr="009001EA">
        <w:rPr>
          <w:rFonts w:ascii="Traditional Arabic" w:hAnsi="Traditional Arabic"/>
          <w:color w:val="auto"/>
          <w:sz w:val="32"/>
          <w:szCs w:val="32"/>
          <w:rtl/>
        </w:rPr>
        <w:t xml:space="preserve">في (ك): [رفعاً مضافاً].       </w:t>
      </w:r>
    </w:p>
  </w:footnote>
  <w:footnote w:id="1847">
    <w:p w:rsidR="003F128F" w:rsidRPr="003D74EB" w:rsidRDefault="003F128F" w:rsidP="00885058">
      <w:pPr>
        <w:pStyle w:val="af3"/>
        <w:rPr>
          <w:rFonts w:ascii="Traditional Arabic" w:hAnsi="Traditional Arabic"/>
          <w:sz w:val="32"/>
          <w:szCs w:val="32"/>
        </w:rPr>
      </w:pPr>
      <w:r w:rsidRPr="009001EA">
        <w:rPr>
          <w:rFonts w:ascii="Traditional Arabic" w:hAnsi="Traditional Arabic"/>
          <w:color w:val="auto"/>
          <w:sz w:val="32"/>
          <w:szCs w:val="32"/>
          <w:rtl/>
        </w:rPr>
        <w:t>(</w:t>
      </w:r>
      <w:r w:rsidRPr="009001EA">
        <w:rPr>
          <w:rStyle w:val="ae"/>
          <w:rFonts w:ascii="Traditional Arabic" w:hAnsi="Traditional Arabic"/>
          <w:color w:val="auto"/>
          <w:sz w:val="32"/>
          <w:szCs w:val="32"/>
          <w:vertAlign w:val="baseline"/>
        </w:rPr>
        <w:footnoteRef/>
      </w:r>
      <w:r w:rsidRPr="009001EA">
        <w:rPr>
          <w:rFonts w:ascii="Traditional Arabic" w:hAnsi="Traditional Arabic"/>
          <w:color w:val="auto"/>
          <w:sz w:val="32"/>
          <w:szCs w:val="32"/>
          <w:rtl/>
        </w:rPr>
        <w:t>) انظر: السبعة في القراءات (ص398), معاني القراءات (2/121).</w:t>
      </w:r>
    </w:p>
  </w:footnote>
  <w:footnote w:id="1848">
    <w:p w:rsidR="003F128F" w:rsidRPr="003C5027" w:rsidRDefault="003F128F" w:rsidP="00885058">
      <w:pPr>
        <w:pStyle w:val="af3"/>
        <w:rPr>
          <w:rFonts w:ascii="Traditional Arabic" w:hAnsi="Traditional Arabic"/>
          <w:sz w:val="32"/>
          <w:szCs w:val="32"/>
        </w:rPr>
      </w:pPr>
      <w:r w:rsidRPr="003C5027">
        <w:rPr>
          <w:rFonts w:ascii="Traditional Arabic" w:hAnsi="Traditional Arabic"/>
          <w:sz w:val="32"/>
          <w:szCs w:val="32"/>
          <w:rtl/>
        </w:rPr>
        <w:t>(</w:t>
      </w:r>
      <w:r w:rsidRPr="003C5027">
        <w:rPr>
          <w:rStyle w:val="ae"/>
          <w:rFonts w:ascii="Traditional Arabic" w:hAnsi="Traditional Arabic"/>
          <w:sz w:val="32"/>
          <w:szCs w:val="32"/>
          <w:vertAlign w:val="baseline"/>
        </w:rPr>
        <w:footnoteRef/>
      </w:r>
      <w:r w:rsidRPr="003C5027">
        <w:rPr>
          <w:rFonts w:ascii="Traditional Arabic" w:hAnsi="Traditional Arabic"/>
          <w:sz w:val="32"/>
          <w:szCs w:val="32"/>
          <w:rtl/>
        </w:rPr>
        <w:t xml:space="preserve">) انظر: معاني القرآن للفراء (2/159).  </w:t>
      </w:r>
    </w:p>
  </w:footnote>
  <w:footnote w:id="1849">
    <w:p w:rsidR="003F128F" w:rsidRPr="003C5027" w:rsidRDefault="003F128F" w:rsidP="00885058">
      <w:pPr>
        <w:pStyle w:val="af3"/>
        <w:rPr>
          <w:rFonts w:ascii="Traditional Arabic" w:hAnsi="Traditional Arabic"/>
          <w:sz w:val="32"/>
          <w:szCs w:val="32"/>
        </w:rPr>
      </w:pPr>
      <w:r w:rsidRPr="003C5027">
        <w:rPr>
          <w:rFonts w:ascii="Traditional Arabic" w:hAnsi="Traditional Arabic"/>
          <w:sz w:val="32"/>
          <w:szCs w:val="32"/>
          <w:rtl/>
        </w:rPr>
        <w:t>(</w:t>
      </w:r>
      <w:r w:rsidRPr="003C5027">
        <w:rPr>
          <w:rStyle w:val="ae"/>
          <w:rFonts w:ascii="Traditional Arabic" w:hAnsi="Traditional Arabic"/>
          <w:sz w:val="32"/>
          <w:szCs w:val="32"/>
          <w:vertAlign w:val="baseline"/>
        </w:rPr>
        <w:footnoteRef/>
      </w:r>
      <w:r w:rsidRPr="003C5027">
        <w:rPr>
          <w:rFonts w:ascii="Traditional Arabic" w:hAnsi="Traditional Arabic"/>
          <w:sz w:val="32"/>
          <w:szCs w:val="32"/>
          <w:rtl/>
        </w:rPr>
        <w:t xml:space="preserve">) الحجة للقراء السبعة (5/170). </w:t>
      </w:r>
    </w:p>
  </w:footnote>
  <w:footnote w:id="1850">
    <w:p w:rsidR="003F128F" w:rsidRPr="003C5027" w:rsidRDefault="003F128F" w:rsidP="00885058">
      <w:pPr>
        <w:pStyle w:val="af3"/>
        <w:rPr>
          <w:rFonts w:ascii="Traditional Arabic" w:hAnsi="Traditional Arabic"/>
          <w:sz w:val="32"/>
          <w:szCs w:val="32"/>
        </w:rPr>
      </w:pPr>
      <w:r w:rsidRPr="003C5027">
        <w:rPr>
          <w:rFonts w:ascii="Traditional Arabic" w:hAnsi="Traditional Arabic"/>
          <w:sz w:val="32"/>
          <w:szCs w:val="32"/>
          <w:rtl/>
        </w:rPr>
        <w:t>(</w:t>
      </w:r>
      <w:r w:rsidRPr="003C5027">
        <w:rPr>
          <w:rStyle w:val="ae"/>
          <w:rFonts w:ascii="Traditional Arabic" w:hAnsi="Traditional Arabic"/>
          <w:sz w:val="32"/>
          <w:szCs w:val="32"/>
          <w:vertAlign w:val="baseline"/>
        </w:rPr>
        <w:footnoteRef/>
      </w:r>
      <w:r w:rsidRPr="003C5027">
        <w:rPr>
          <w:rFonts w:ascii="Traditional Arabic" w:hAnsi="Traditional Arabic"/>
          <w:sz w:val="32"/>
          <w:szCs w:val="32"/>
          <w:rtl/>
        </w:rPr>
        <w:t xml:space="preserve">) انظر: السبعة في القراءات (ص398), معاني القراءات (2/121). </w:t>
      </w:r>
    </w:p>
  </w:footnote>
  <w:footnote w:id="1851">
    <w:p w:rsidR="003F128F" w:rsidRPr="003C5027" w:rsidRDefault="003F128F" w:rsidP="00885058">
      <w:pPr>
        <w:pStyle w:val="af3"/>
        <w:rPr>
          <w:rFonts w:ascii="Traditional Arabic" w:hAnsi="Traditional Arabic"/>
          <w:sz w:val="32"/>
          <w:szCs w:val="32"/>
        </w:rPr>
      </w:pPr>
      <w:r w:rsidRPr="003C5027">
        <w:rPr>
          <w:rFonts w:ascii="Traditional Arabic" w:hAnsi="Traditional Arabic"/>
          <w:sz w:val="32"/>
          <w:szCs w:val="32"/>
          <w:rtl/>
        </w:rPr>
        <w:t>(</w:t>
      </w:r>
      <w:r w:rsidRPr="003C5027">
        <w:rPr>
          <w:rStyle w:val="ae"/>
          <w:rFonts w:ascii="Traditional Arabic" w:hAnsi="Traditional Arabic"/>
          <w:sz w:val="32"/>
          <w:szCs w:val="32"/>
          <w:vertAlign w:val="baseline"/>
        </w:rPr>
        <w:footnoteRef/>
      </w:r>
      <w:r w:rsidRPr="003C5027">
        <w:rPr>
          <w:rFonts w:ascii="Traditional Arabic" w:hAnsi="Traditional Arabic"/>
          <w:sz w:val="32"/>
          <w:szCs w:val="32"/>
          <w:rtl/>
        </w:rPr>
        <w:t>) في الأصل: [مجزيّا به], والمثبت من (ك) وهو موافق لما في كتاب معاني القرآن وإعرابه.</w:t>
      </w:r>
    </w:p>
  </w:footnote>
  <w:footnote w:id="1852">
    <w:p w:rsidR="003F128F" w:rsidRPr="003C5027" w:rsidRDefault="003F128F" w:rsidP="00885058">
      <w:pPr>
        <w:pStyle w:val="af3"/>
        <w:rPr>
          <w:rFonts w:ascii="Traditional Arabic" w:hAnsi="Traditional Arabic"/>
          <w:sz w:val="32"/>
          <w:szCs w:val="32"/>
        </w:rPr>
      </w:pPr>
      <w:r w:rsidRPr="003C5027">
        <w:rPr>
          <w:rFonts w:ascii="Traditional Arabic" w:hAnsi="Traditional Arabic"/>
          <w:sz w:val="32"/>
          <w:szCs w:val="32"/>
          <w:rtl/>
        </w:rPr>
        <w:t>(</w:t>
      </w:r>
      <w:r w:rsidRPr="003C5027">
        <w:rPr>
          <w:rStyle w:val="ae"/>
          <w:rFonts w:ascii="Traditional Arabic" w:hAnsi="Traditional Arabic"/>
          <w:sz w:val="32"/>
          <w:szCs w:val="32"/>
          <w:vertAlign w:val="baseline"/>
        </w:rPr>
        <w:footnoteRef/>
      </w:r>
      <w:r w:rsidRPr="003C5027">
        <w:rPr>
          <w:rFonts w:ascii="Traditional Arabic" w:hAnsi="Traditional Arabic"/>
          <w:sz w:val="32"/>
          <w:szCs w:val="32"/>
          <w:rtl/>
        </w:rPr>
        <w:t>) انظر: معاني القرآن وإعرابه (3/309).</w:t>
      </w:r>
    </w:p>
  </w:footnote>
  <w:footnote w:id="1853">
    <w:p w:rsidR="003F128F" w:rsidRPr="003C5027" w:rsidRDefault="003F128F" w:rsidP="00885058">
      <w:pPr>
        <w:pStyle w:val="af3"/>
        <w:rPr>
          <w:rFonts w:ascii="Traditional Arabic" w:hAnsi="Traditional Arabic"/>
          <w:sz w:val="32"/>
          <w:szCs w:val="32"/>
        </w:rPr>
      </w:pPr>
      <w:r w:rsidRPr="003C5027">
        <w:rPr>
          <w:rFonts w:ascii="Traditional Arabic" w:hAnsi="Traditional Arabic"/>
          <w:sz w:val="32"/>
          <w:szCs w:val="32"/>
          <w:rtl/>
        </w:rPr>
        <w:t>(</w:t>
      </w:r>
      <w:r w:rsidRPr="003C5027">
        <w:rPr>
          <w:rStyle w:val="ae"/>
          <w:rFonts w:ascii="Traditional Arabic" w:hAnsi="Traditional Arabic"/>
          <w:sz w:val="32"/>
          <w:szCs w:val="32"/>
          <w:vertAlign w:val="baseline"/>
        </w:rPr>
        <w:footnoteRef/>
      </w:r>
      <w:r w:rsidRPr="003C5027">
        <w:rPr>
          <w:rFonts w:ascii="Traditional Arabic" w:hAnsi="Traditional Arabic"/>
          <w:sz w:val="32"/>
          <w:szCs w:val="32"/>
          <w:rtl/>
        </w:rPr>
        <w:t xml:space="preserve">) في الأصل: [تأوَّل], والمثبت من (ك). </w:t>
      </w:r>
    </w:p>
  </w:footnote>
  <w:footnote w:id="1854">
    <w:p w:rsidR="003F128F" w:rsidRPr="003C5027" w:rsidRDefault="003F128F" w:rsidP="00885058">
      <w:pPr>
        <w:pStyle w:val="af3"/>
        <w:rPr>
          <w:rFonts w:ascii="Traditional Arabic" w:hAnsi="Traditional Arabic"/>
          <w:sz w:val="32"/>
          <w:szCs w:val="32"/>
        </w:rPr>
      </w:pPr>
      <w:r w:rsidRPr="003C5027">
        <w:rPr>
          <w:rFonts w:ascii="Traditional Arabic" w:hAnsi="Traditional Arabic"/>
          <w:sz w:val="32"/>
          <w:szCs w:val="32"/>
          <w:rtl/>
        </w:rPr>
        <w:t>(</w:t>
      </w:r>
      <w:r w:rsidRPr="003C5027">
        <w:rPr>
          <w:rStyle w:val="ae"/>
          <w:rFonts w:ascii="Traditional Arabic" w:hAnsi="Traditional Arabic"/>
          <w:sz w:val="32"/>
          <w:szCs w:val="32"/>
          <w:vertAlign w:val="baseline"/>
        </w:rPr>
        <w:footnoteRef/>
      </w:r>
      <w:r w:rsidRPr="003C5027">
        <w:rPr>
          <w:rFonts w:ascii="Traditional Arabic" w:hAnsi="Traditional Arabic"/>
          <w:sz w:val="32"/>
          <w:szCs w:val="32"/>
          <w:rtl/>
        </w:rPr>
        <w:t xml:space="preserve">) التفسير الوسيط (3/165), المحرر الوجيز (3/450). </w:t>
      </w:r>
    </w:p>
  </w:footnote>
  <w:footnote w:id="1855">
    <w:p w:rsidR="003F128F" w:rsidRPr="009001EA" w:rsidRDefault="003F128F" w:rsidP="00885058">
      <w:pPr>
        <w:pStyle w:val="af3"/>
        <w:rPr>
          <w:rFonts w:ascii="Traditional Arabic" w:hAnsi="Traditional Arabic"/>
          <w:sz w:val="32"/>
          <w:szCs w:val="32"/>
        </w:rPr>
      </w:pPr>
      <w:r w:rsidRPr="003C5027">
        <w:rPr>
          <w:rFonts w:ascii="Traditional Arabic" w:hAnsi="Traditional Arabic"/>
          <w:sz w:val="32"/>
          <w:szCs w:val="32"/>
          <w:rtl/>
        </w:rPr>
        <w:t>(</w:t>
      </w:r>
      <w:r w:rsidRPr="003C5027">
        <w:rPr>
          <w:rStyle w:val="ae"/>
          <w:rFonts w:ascii="Traditional Arabic" w:hAnsi="Traditional Arabic"/>
          <w:sz w:val="32"/>
          <w:szCs w:val="32"/>
          <w:vertAlign w:val="baseline"/>
        </w:rPr>
        <w:footnoteRef/>
      </w:r>
      <w:r w:rsidRPr="003C5027">
        <w:rPr>
          <w:rFonts w:ascii="Traditional Arabic" w:hAnsi="Traditional Arabic"/>
          <w:sz w:val="32"/>
          <w:szCs w:val="32"/>
          <w:rtl/>
        </w:rPr>
        <w:t>) الأَسراب من النَّاس: الأَقاطيع، واحدُها سِرْب. انظر: تهذيب اللغة (12/289) مادة (سرب).</w:t>
      </w:r>
    </w:p>
  </w:footnote>
  <w:footnote w:id="1856">
    <w:p w:rsidR="003F128F" w:rsidRPr="003C5027" w:rsidRDefault="003F128F" w:rsidP="00885058">
      <w:pPr>
        <w:pStyle w:val="af3"/>
        <w:rPr>
          <w:rFonts w:ascii="Traditional Arabic" w:hAnsi="Traditional Arabic"/>
          <w:sz w:val="32"/>
          <w:szCs w:val="32"/>
        </w:rPr>
      </w:pPr>
      <w:r w:rsidRPr="003C5027">
        <w:rPr>
          <w:rFonts w:ascii="Traditional Arabic" w:hAnsi="Traditional Arabic"/>
          <w:sz w:val="32"/>
          <w:szCs w:val="32"/>
          <w:rtl/>
        </w:rPr>
        <w:t>(</w:t>
      </w:r>
      <w:r w:rsidRPr="003C5027">
        <w:rPr>
          <w:rStyle w:val="ae"/>
          <w:rFonts w:ascii="Traditional Arabic" w:hAnsi="Traditional Arabic"/>
          <w:sz w:val="32"/>
          <w:szCs w:val="32"/>
          <w:vertAlign w:val="baseline"/>
        </w:rPr>
        <w:footnoteRef/>
      </w:r>
      <w:r w:rsidRPr="003C5027">
        <w:rPr>
          <w:rFonts w:ascii="Traditional Arabic" w:hAnsi="Traditional Arabic"/>
          <w:sz w:val="32"/>
          <w:szCs w:val="32"/>
          <w:rtl/>
        </w:rPr>
        <w:t>) انظر: تفسير الطبري (18/100), بحر العلوم (2/361)</w:t>
      </w:r>
      <w:r>
        <w:rPr>
          <w:rFonts w:ascii="Traditional Arabic" w:hAnsi="Traditional Arabic" w:hint="cs"/>
          <w:sz w:val="32"/>
          <w:szCs w:val="32"/>
          <w:rtl/>
        </w:rPr>
        <w:t xml:space="preserve">. </w:t>
      </w:r>
      <w:r w:rsidRPr="003C5027">
        <w:rPr>
          <w:rFonts w:ascii="Traditional Arabic" w:hAnsi="Traditional Arabic"/>
          <w:sz w:val="32"/>
          <w:szCs w:val="32"/>
          <w:rtl/>
        </w:rPr>
        <w:t>والزَّنْج: بلاد السودان، والزنج هو ابن حام وقيل الزنج والحبش ونوبة وزعاوة وفران هم أولاد رغيا بن كوش بن حام. انظر: الانساب للسمعاني (6/329).</w:t>
      </w:r>
    </w:p>
  </w:footnote>
  <w:footnote w:id="1857">
    <w:p w:rsidR="003F128F" w:rsidRPr="003C5027" w:rsidRDefault="003F128F" w:rsidP="00885058">
      <w:pPr>
        <w:pStyle w:val="af3"/>
        <w:rPr>
          <w:rFonts w:ascii="Traditional Arabic" w:hAnsi="Traditional Arabic"/>
          <w:sz w:val="32"/>
          <w:szCs w:val="32"/>
        </w:rPr>
      </w:pPr>
      <w:r w:rsidRPr="003C5027">
        <w:rPr>
          <w:rFonts w:ascii="Traditional Arabic" w:hAnsi="Traditional Arabic"/>
          <w:sz w:val="32"/>
          <w:szCs w:val="32"/>
          <w:rtl/>
        </w:rPr>
        <w:t>(</w:t>
      </w:r>
      <w:r w:rsidRPr="003C5027">
        <w:rPr>
          <w:rStyle w:val="ae"/>
          <w:rFonts w:ascii="Traditional Arabic" w:hAnsi="Traditional Arabic"/>
          <w:sz w:val="32"/>
          <w:szCs w:val="32"/>
          <w:vertAlign w:val="baseline"/>
        </w:rPr>
        <w:footnoteRef/>
      </w:r>
      <w:r w:rsidRPr="003C5027">
        <w:rPr>
          <w:rFonts w:ascii="Traditional Arabic" w:hAnsi="Traditional Arabic"/>
          <w:sz w:val="32"/>
          <w:szCs w:val="32"/>
          <w:rtl/>
        </w:rPr>
        <w:t>) انظر: تفسير الطبري (18/100), تفسير ابن أبي حاتم (7/2386)</w:t>
      </w:r>
      <w:r>
        <w:rPr>
          <w:rFonts w:ascii="Traditional Arabic" w:hAnsi="Traditional Arabic" w:hint="cs"/>
          <w:sz w:val="32"/>
          <w:szCs w:val="32"/>
          <w:rtl/>
        </w:rPr>
        <w:t>.</w:t>
      </w:r>
    </w:p>
  </w:footnote>
  <w:footnote w:id="1858">
    <w:p w:rsidR="003F128F" w:rsidRPr="003C5027" w:rsidRDefault="003F128F" w:rsidP="00885058">
      <w:pPr>
        <w:pStyle w:val="af3"/>
        <w:rPr>
          <w:rFonts w:ascii="Traditional Arabic" w:hAnsi="Traditional Arabic"/>
          <w:sz w:val="32"/>
          <w:szCs w:val="32"/>
        </w:rPr>
      </w:pPr>
      <w:r w:rsidRPr="003C5027">
        <w:rPr>
          <w:rFonts w:ascii="Traditional Arabic" w:hAnsi="Traditional Arabic"/>
          <w:sz w:val="32"/>
          <w:szCs w:val="32"/>
          <w:rtl/>
        </w:rPr>
        <w:t>(</w:t>
      </w:r>
      <w:r w:rsidRPr="003C5027">
        <w:rPr>
          <w:rStyle w:val="ae"/>
          <w:rFonts w:ascii="Traditional Arabic" w:hAnsi="Traditional Arabic"/>
          <w:sz w:val="32"/>
          <w:szCs w:val="32"/>
          <w:vertAlign w:val="baseline"/>
        </w:rPr>
        <w:footnoteRef/>
      </w:r>
      <w:r w:rsidRPr="003C5027">
        <w:rPr>
          <w:rFonts w:ascii="Traditional Arabic" w:hAnsi="Traditional Arabic"/>
          <w:sz w:val="32"/>
          <w:szCs w:val="32"/>
          <w:rtl/>
        </w:rPr>
        <w:t xml:space="preserve">) انظر: المحرر الوجيز (3/540), البحر المحيط (7/223).   </w:t>
      </w:r>
    </w:p>
  </w:footnote>
  <w:footnote w:id="1859">
    <w:p w:rsidR="003F128F" w:rsidRPr="003C5027" w:rsidRDefault="003F128F" w:rsidP="00885058">
      <w:pPr>
        <w:pStyle w:val="af3"/>
        <w:rPr>
          <w:rFonts w:ascii="Traditional Arabic" w:hAnsi="Traditional Arabic"/>
          <w:sz w:val="32"/>
          <w:szCs w:val="32"/>
        </w:rPr>
      </w:pPr>
      <w:r w:rsidRPr="003C5027">
        <w:rPr>
          <w:rFonts w:ascii="Traditional Arabic" w:hAnsi="Traditional Arabic"/>
          <w:sz w:val="32"/>
          <w:szCs w:val="32"/>
          <w:rtl/>
        </w:rPr>
        <w:t>(</w:t>
      </w:r>
      <w:r w:rsidRPr="003C5027">
        <w:rPr>
          <w:rStyle w:val="ae"/>
          <w:rFonts w:ascii="Traditional Arabic" w:hAnsi="Traditional Arabic"/>
          <w:sz w:val="32"/>
          <w:szCs w:val="32"/>
          <w:vertAlign w:val="baseline"/>
        </w:rPr>
        <w:footnoteRef/>
      </w:r>
      <w:r w:rsidRPr="003C5027">
        <w:rPr>
          <w:rFonts w:ascii="Traditional Arabic" w:hAnsi="Traditional Arabic"/>
          <w:sz w:val="32"/>
          <w:szCs w:val="32"/>
          <w:rtl/>
        </w:rPr>
        <w:t xml:space="preserve">) </w:t>
      </w:r>
      <w:r w:rsidRPr="003C5027">
        <w:rPr>
          <w:rFonts w:ascii="Traditional Arabic" w:hAnsi="Traditional Arabic"/>
          <w:color w:val="auto"/>
          <w:sz w:val="32"/>
          <w:szCs w:val="32"/>
          <w:rtl/>
        </w:rPr>
        <w:t>في (ك): [</w:t>
      </w:r>
      <w:r w:rsidRPr="003C5027">
        <w:rPr>
          <w:rFonts w:ascii="Traditional Arabic" w:hAnsi="Traditional Arabic"/>
          <w:sz w:val="32"/>
          <w:szCs w:val="32"/>
          <w:rtl/>
        </w:rPr>
        <w:t>سُمع فيهن الفتح</w:t>
      </w:r>
      <w:r w:rsidRPr="003C5027">
        <w:rPr>
          <w:rFonts w:ascii="Traditional Arabic" w:hAnsi="Traditional Arabic"/>
          <w:color w:val="auto"/>
          <w:sz w:val="32"/>
          <w:szCs w:val="32"/>
          <w:rtl/>
        </w:rPr>
        <w:t xml:space="preserve"> والكسر].      </w:t>
      </w:r>
    </w:p>
  </w:footnote>
  <w:footnote w:id="1860">
    <w:p w:rsidR="003F128F" w:rsidRPr="003C5027" w:rsidRDefault="003F128F" w:rsidP="00885058">
      <w:pPr>
        <w:pStyle w:val="af3"/>
        <w:rPr>
          <w:rFonts w:ascii="Traditional Arabic" w:hAnsi="Traditional Arabic"/>
          <w:sz w:val="32"/>
          <w:szCs w:val="32"/>
        </w:rPr>
      </w:pPr>
      <w:r w:rsidRPr="003C5027">
        <w:rPr>
          <w:rFonts w:ascii="Traditional Arabic" w:hAnsi="Traditional Arabic"/>
          <w:sz w:val="32"/>
          <w:szCs w:val="32"/>
          <w:rtl/>
        </w:rPr>
        <w:t>(</w:t>
      </w:r>
      <w:r w:rsidRPr="003C5027">
        <w:rPr>
          <w:rStyle w:val="ae"/>
          <w:rFonts w:ascii="Traditional Arabic" w:hAnsi="Traditional Arabic"/>
          <w:sz w:val="32"/>
          <w:szCs w:val="32"/>
          <w:vertAlign w:val="baseline"/>
        </w:rPr>
        <w:footnoteRef/>
      </w:r>
      <w:r w:rsidRPr="003C5027">
        <w:rPr>
          <w:rFonts w:ascii="Traditional Arabic" w:hAnsi="Traditional Arabic"/>
          <w:sz w:val="32"/>
          <w:szCs w:val="32"/>
          <w:rtl/>
        </w:rPr>
        <w:t xml:space="preserve">) انظر: رموز الكنوز (4/357-358).  </w:t>
      </w:r>
    </w:p>
  </w:footnote>
  <w:footnote w:id="1861">
    <w:p w:rsidR="003F128F" w:rsidRPr="003C5027" w:rsidRDefault="003F128F" w:rsidP="00885058">
      <w:pPr>
        <w:pStyle w:val="af3"/>
        <w:rPr>
          <w:rFonts w:ascii="Traditional Arabic" w:hAnsi="Traditional Arabic"/>
          <w:sz w:val="32"/>
          <w:szCs w:val="32"/>
        </w:rPr>
      </w:pPr>
      <w:r w:rsidRPr="003C5027">
        <w:rPr>
          <w:rFonts w:ascii="Traditional Arabic" w:hAnsi="Traditional Arabic"/>
          <w:sz w:val="32"/>
          <w:szCs w:val="32"/>
          <w:rtl/>
        </w:rPr>
        <w:t>(</w:t>
      </w:r>
      <w:r w:rsidRPr="003C5027">
        <w:rPr>
          <w:rStyle w:val="ae"/>
          <w:rFonts w:ascii="Traditional Arabic" w:hAnsi="Traditional Arabic"/>
          <w:sz w:val="32"/>
          <w:szCs w:val="32"/>
          <w:vertAlign w:val="baseline"/>
        </w:rPr>
        <w:footnoteRef/>
      </w:r>
      <w:r w:rsidRPr="003C5027">
        <w:rPr>
          <w:rFonts w:ascii="Traditional Arabic" w:hAnsi="Traditional Arabic"/>
          <w:sz w:val="32"/>
          <w:szCs w:val="32"/>
          <w:rtl/>
        </w:rPr>
        <w:t xml:space="preserve">) </w:t>
      </w:r>
      <w:r w:rsidRPr="003C5027">
        <w:rPr>
          <w:rFonts w:ascii="Traditional Arabic" w:hAnsi="Traditional Arabic"/>
          <w:color w:val="auto"/>
          <w:sz w:val="32"/>
          <w:szCs w:val="32"/>
          <w:rtl/>
        </w:rPr>
        <w:t>في (ك): [</w:t>
      </w:r>
      <w:r w:rsidRPr="003C5027">
        <w:rPr>
          <w:rFonts w:ascii="Traditional Arabic" w:hAnsi="Traditional Arabic"/>
          <w:sz w:val="32"/>
          <w:szCs w:val="32"/>
          <w:rtl/>
        </w:rPr>
        <w:t>الموضع الذي تطلع</w:t>
      </w:r>
      <w:r w:rsidRPr="003C5027">
        <w:rPr>
          <w:rFonts w:ascii="Traditional Arabic" w:hAnsi="Traditional Arabic"/>
          <w:color w:val="auto"/>
          <w:sz w:val="32"/>
          <w:szCs w:val="32"/>
          <w:rtl/>
        </w:rPr>
        <w:t xml:space="preserve"> فيه].      </w:t>
      </w:r>
      <w:r w:rsidRPr="003C5027">
        <w:rPr>
          <w:rFonts w:ascii="Traditional Arabic" w:hAnsi="Traditional Arabic"/>
          <w:sz w:val="32"/>
          <w:szCs w:val="32"/>
          <w:rtl/>
        </w:rPr>
        <w:t xml:space="preserve"> </w:t>
      </w:r>
    </w:p>
  </w:footnote>
  <w:footnote w:id="1862">
    <w:p w:rsidR="003F128F" w:rsidRPr="003C5027" w:rsidRDefault="003F128F" w:rsidP="00885058">
      <w:pPr>
        <w:pStyle w:val="af3"/>
        <w:rPr>
          <w:rFonts w:ascii="Traditional Arabic" w:hAnsi="Traditional Arabic"/>
          <w:color w:val="auto"/>
          <w:sz w:val="32"/>
          <w:szCs w:val="32"/>
        </w:rPr>
      </w:pPr>
      <w:r w:rsidRPr="003C5027">
        <w:rPr>
          <w:rFonts w:ascii="Traditional Arabic" w:hAnsi="Traditional Arabic"/>
          <w:color w:val="auto"/>
          <w:sz w:val="32"/>
          <w:szCs w:val="32"/>
          <w:rtl/>
        </w:rPr>
        <w:t>(</w:t>
      </w:r>
      <w:r w:rsidRPr="003C5027">
        <w:rPr>
          <w:rStyle w:val="ae"/>
          <w:rFonts w:ascii="Traditional Arabic" w:hAnsi="Traditional Arabic"/>
          <w:color w:val="auto"/>
          <w:sz w:val="32"/>
          <w:szCs w:val="32"/>
          <w:vertAlign w:val="baseline"/>
        </w:rPr>
        <w:footnoteRef/>
      </w:r>
      <w:r w:rsidRPr="003C5027">
        <w:rPr>
          <w:rFonts w:ascii="Traditional Arabic" w:hAnsi="Traditional Arabic"/>
          <w:color w:val="auto"/>
          <w:sz w:val="32"/>
          <w:szCs w:val="32"/>
          <w:rtl/>
        </w:rPr>
        <w:t>) انظر: حجة القراءات لابن زنجلة (ص768), رموز الكنوز (4/358).</w:t>
      </w:r>
    </w:p>
  </w:footnote>
  <w:footnote w:id="1863">
    <w:p w:rsidR="003F128F" w:rsidRPr="003A04C7" w:rsidRDefault="003F128F" w:rsidP="00885058">
      <w:pPr>
        <w:pStyle w:val="af3"/>
        <w:rPr>
          <w:rFonts w:ascii="Traditional Arabic" w:hAnsi="Traditional Arabic"/>
          <w:color w:val="auto"/>
          <w:sz w:val="32"/>
          <w:szCs w:val="32"/>
        </w:rPr>
      </w:pPr>
      <w:r w:rsidRPr="003C5027">
        <w:rPr>
          <w:rFonts w:ascii="Traditional Arabic" w:hAnsi="Traditional Arabic"/>
          <w:color w:val="auto"/>
          <w:sz w:val="32"/>
          <w:szCs w:val="32"/>
          <w:rtl/>
        </w:rPr>
        <w:t>(</w:t>
      </w:r>
      <w:r w:rsidRPr="003C5027">
        <w:rPr>
          <w:rStyle w:val="ae"/>
          <w:rFonts w:ascii="Traditional Arabic" w:hAnsi="Traditional Arabic"/>
          <w:color w:val="auto"/>
          <w:sz w:val="32"/>
          <w:szCs w:val="32"/>
          <w:vertAlign w:val="baseline"/>
        </w:rPr>
        <w:footnoteRef/>
      </w:r>
      <w:r w:rsidRPr="003C5027">
        <w:rPr>
          <w:rFonts w:ascii="Traditional Arabic" w:hAnsi="Traditional Arabic"/>
          <w:color w:val="auto"/>
          <w:sz w:val="32"/>
          <w:szCs w:val="32"/>
          <w:rtl/>
        </w:rPr>
        <w:t>) لم أقف عليه فيما لدي من مصادر.</w:t>
      </w:r>
      <w:r w:rsidRPr="003A04C7">
        <w:rPr>
          <w:rFonts w:ascii="Traditional Arabic" w:hAnsi="Traditional Arabic"/>
          <w:color w:val="auto"/>
          <w:sz w:val="32"/>
          <w:szCs w:val="32"/>
          <w:rtl/>
        </w:rPr>
        <w:t xml:space="preserve"> </w:t>
      </w:r>
    </w:p>
  </w:footnote>
  <w:footnote w:id="1864">
    <w:p w:rsidR="003F128F" w:rsidRPr="003A04C7" w:rsidRDefault="003F128F" w:rsidP="00885058">
      <w:pPr>
        <w:pStyle w:val="af3"/>
        <w:rPr>
          <w:rFonts w:ascii="Traditional Arabic" w:hAnsi="Traditional Arabic"/>
          <w:color w:val="auto"/>
          <w:sz w:val="32"/>
          <w:szCs w:val="32"/>
        </w:rPr>
      </w:pPr>
      <w:r w:rsidRPr="003A04C7">
        <w:rPr>
          <w:rFonts w:ascii="Traditional Arabic" w:hAnsi="Traditional Arabic"/>
          <w:color w:val="auto"/>
          <w:sz w:val="32"/>
          <w:szCs w:val="32"/>
          <w:rtl/>
        </w:rPr>
        <w:t>(</w:t>
      </w:r>
      <w:r w:rsidRPr="003A04C7">
        <w:rPr>
          <w:rStyle w:val="ae"/>
          <w:rFonts w:ascii="Traditional Arabic" w:hAnsi="Traditional Arabic"/>
          <w:color w:val="auto"/>
          <w:sz w:val="32"/>
          <w:szCs w:val="32"/>
          <w:vertAlign w:val="baseline"/>
        </w:rPr>
        <w:footnoteRef/>
      </w:r>
      <w:r w:rsidRPr="003A04C7">
        <w:rPr>
          <w:rFonts w:ascii="Traditional Arabic" w:hAnsi="Traditional Arabic"/>
          <w:color w:val="auto"/>
          <w:sz w:val="32"/>
          <w:szCs w:val="32"/>
          <w:rtl/>
        </w:rPr>
        <w:t xml:space="preserve">) </w:t>
      </w:r>
      <w:r w:rsidRPr="003A04C7">
        <w:rPr>
          <w:rFonts w:ascii="Traditional Arabic" w:hAnsi="Traditional Arabic" w:hint="cs"/>
          <w:color w:val="auto"/>
          <w:sz w:val="32"/>
          <w:szCs w:val="32"/>
          <w:rtl/>
        </w:rPr>
        <w:t>انظر: تفسير مقاتل (2/601),</w:t>
      </w:r>
      <w:r w:rsidRPr="003A04C7">
        <w:rPr>
          <w:rFonts w:ascii="Traditional Arabic" w:hAnsi="Traditional Arabic"/>
          <w:color w:val="auto"/>
          <w:sz w:val="32"/>
          <w:szCs w:val="32"/>
          <w:rtl/>
        </w:rPr>
        <w:t xml:space="preserve"> </w:t>
      </w:r>
      <w:r w:rsidRPr="003A04C7">
        <w:rPr>
          <w:rFonts w:ascii="Traditional Arabic" w:hAnsi="Traditional Arabic" w:hint="cs"/>
          <w:color w:val="auto"/>
          <w:sz w:val="32"/>
          <w:szCs w:val="32"/>
          <w:rtl/>
        </w:rPr>
        <w:t>تفسير الطبري (18/101)</w:t>
      </w:r>
      <w:r>
        <w:rPr>
          <w:rFonts w:ascii="Traditional Arabic" w:hAnsi="Traditional Arabic" w:hint="cs"/>
          <w:color w:val="auto"/>
          <w:sz w:val="32"/>
          <w:szCs w:val="32"/>
          <w:rtl/>
        </w:rPr>
        <w:t>.</w:t>
      </w:r>
    </w:p>
  </w:footnote>
  <w:footnote w:id="1865">
    <w:p w:rsidR="003F128F" w:rsidRPr="003A04C7" w:rsidRDefault="003F128F" w:rsidP="00885058">
      <w:pPr>
        <w:pStyle w:val="af3"/>
        <w:rPr>
          <w:rFonts w:ascii="Traditional Arabic" w:hAnsi="Traditional Arabic"/>
          <w:color w:val="auto"/>
          <w:sz w:val="32"/>
          <w:szCs w:val="32"/>
        </w:rPr>
      </w:pPr>
      <w:r w:rsidRPr="003A04C7">
        <w:rPr>
          <w:rFonts w:ascii="Traditional Arabic" w:hAnsi="Traditional Arabic"/>
          <w:color w:val="auto"/>
          <w:sz w:val="32"/>
          <w:szCs w:val="32"/>
          <w:rtl/>
        </w:rPr>
        <w:t>(</w:t>
      </w:r>
      <w:r w:rsidRPr="003A04C7">
        <w:rPr>
          <w:rStyle w:val="ae"/>
          <w:rFonts w:ascii="Traditional Arabic" w:hAnsi="Traditional Arabic"/>
          <w:color w:val="auto"/>
          <w:sz w:val="32"/>
          <w:szCs w:val="32"/>
          <w:vertAlign w:val="baseline"/>
        </w:rPr>
        <w:footnoteRef/>
      </w:r>
      <w:r w:rsidRPr="003A04C7">
        <w:rPr>
          <w:rFonts w:ascii="Traditional Arabic" w:hAnsi="Traditional Arabic"/>
          <w:color w:val="auto"/>
          <w:sz w:val="32"/>
          <w:szCs w:val="32"/>
          <w:rtl/>
        </w:rPr>
        <w:t>)</w:t>
      </w:r>
      <w:r w:rsidRPr="003A04C7">
        <w:rPr>
          <w:rFonts w:ascii="Traditional Arabic" w:hAnsi="Traditional Arabic" w:hint="cs"/>
          <w:color w:val="auto"/>
          <w:sz w:val="32"/>
          <w:szCs w:val="32"/>
          <w:rtl/>
        </w:rPr>
        <w:t xml:space="preserve"> انظر: </w:t>
      </w:r>
      <w:r w:rsidRPr="003A04C7">
        <w:rPr>
          <w:rFonts w:ascii="Traditional Arabic" w:hAnsi="Traditional Arabic"/>
          <w:color w:val="auto"/>
          <w:sz w:val="32"/>
          <w:szCs w:val="32"/>
          <w:rtl/>
        </w:rPr>
        <w:t>الكشف والبيان (6/19</w:t>
      </w:r>
      <w:r w:rsidRPr="003A04C7">
        <w:rPr>
          <w:rFonts w:ascii="Traditional Arabic" w:hAnsi="Traditional Arabic" w:hint="cs"/>
          <w:color w:val="auto"/>
          <w:sz w:val="32"/>
          <w:szCs w:val="32"/>
          <w:rtl/>
        </w:rPr>
        <w:t>2</w:t>
      </w:r>
      <w:r w:rsidRPr="003A04C7">
        <w:rPr>
          <w:rFonts w:ascii="Traditional Arabic" w:hAnsi="Traditional Arabic"/>
          <w:color w:val="auto"/>
          <w:sz w:val="32"/>
          <w:szCs w:val="32"/>
          <w:rtl/>
        </w:rPr>
        <w:t>)</w:t>
      </w:r>
      <w:r w:rsidRPr="003A04C7">
        <w:rPr>
          <w:rFonts w:ascii="Traditional Arabic" w:hAnsi="Traditional Arabic" w:hint="cs"/>
          <w:color w:val="auto"/>
          <w:sz w:val="32"/>
          <w:szCs w:val="32"/>
          <w:rtl/>
        </w:rPr>
        <w:t>, الهداية (6/4460).</w:t>
      </w:r>
    </w:p>
  </w:footnote>
  <w:footnote w:id="1866">
    <w:p w:rsidR="003F128F" w:rsidRPr="003A04C7" w:rsidRDefault="003F128F" w:rsidP="00885058">
      <w:pPr>
        <w:pStyle w:val="af3"/>
        <w:rPr>
          <w:rFonts w:ascii="Traditional Arabic" w:hAnsi="Traditional Arabic"/>
          <w:color w:val="auto"/>
          <w:sz w:val="32"/>
          <w:szCs w:val="32"/>
        </w:rPr>
      </w:pPr>
      <w:r w:rsidRPr="003A04C7">
        <w:rPr>
          <w:rFonts w:ascii="Traditional Arabic" w:hAnsi="Traditional Arabic"/>
          <w:color w:val="auto"/>
          <w:sz w:val="32"/>
          <w:szCs w:val="32"/>
          <w:rtl/>
        </w:rPr>
        <w:t>(</w:t>
      </w:r>
      <w:r w:rsidRPr="003A04C7">
        <w:rPr>
          <w:rStyle w:val="ae"/>
          <w:rFonts w:ascii="Traditional Arabic" w:hAnsi="Traditional Arabic"/>
          <w:color w:val="auto"/>
          <w:sz w:val="32"/>
          <w:szCs w:val="32"/>
          <w:vertAlign w:val="baseline"/>
        </w:rPr>
        <w:footnoteRef/>
      </w:r>
      <w:r w:rsidRPr="003A04C7">
        <w:rPr>
          <w:rFonts w:ascii="Traditional Arabic" w:hAnsi="Traditional Arabic"/>
          <w:color w:val="auto"/>
          <w:sz w:val="32"/>
          <w:szCs w:val="32"/>
          <w:rtl/>
        </w:rPr>
        <w:t xml:space="preserve">) </w:t>
      </w:r>
      <w:r w:rsidRPr="003A04C7">
        <w:rPr>
          <w:rFonts w:ascii="Traditional Arabic" w:hAnsi="Traditional Arabic" w:hint="cs"/>
          <w:color w:val="auto"/>
          <w:sz w:val="32"/>
          <w:szCs w:val="32"/>
          <w:rtl/>
        </w:rPr>
        <w:t xml:space="preserve">انظر: </w:t>
      </w:r>
      <w:r w:rsidRPr="003A04C7">
        <w:rPr>
          <w:rFonts w:ascii="Traditional Arabic" w:hAnsi="Traditional Arabic"/>
          <w:color w:val="auto"/>
          <w:sz w:val="32"/>
          <w:szCs w:val="32"/>
          <w:rtl/>
        </w:rPr>
        <w:t>الكشف والبيان (6/19</w:t>
      </w:r>
      <w:r w:rsidRPr="003A04C7">
        <w:rPr>
          <w:rFonts w:ascii="Traditional Arabic" w:hAnsi="Traditional Arabic" w:hint="cs"/>
          <w:color w:val="auto"/>
          <w:sz w:val="32"/>
          <w:szCs w:val="32"/>
          <w:rtl/>
        </w:rPr>
        <w:t>2</w:t>
      </w:r>
      <w:r w:rsidRPr="003A04C7">
        <w:rPr>
          <w:rFonts w:ascii="Traditional Arabic" w:hAnsi="Traditional Arabic"/>
          <w:color w:val="auto"/>
          <w:sz w:val="32"/>
          <w:szCs w:val="32"/>
          <w:rtl/>
        </w:rPr>
        <w:t>)</w:t>
      </w:r>
      <w:r w:rsidRPr="003A04C7">
        <w:rPr>
          <w:rFonts w:ascii="Traditional Arabic" w:hAnsi="Traditional Arabic" w:hint="cs"/>
          <w:color w:val="auto"/>
          <w:sz w:val="32"/>
          <w:szCs w:val="32"/>
          <w:rtl/>
        </w:rPr>
        <w:t xml:space="preserve"> التفسير الوسيط (3/166).</w:t>
      </w:r>
    </w:p>
  </w:footnote>
  <w:footnote w:id="1867">
    <w:p w:rsidR="003F128F" w:rsidRPr="003A04C7" w:rsidRDefault="003F128F" w:rsidP="00885058">
      <w:pPr>
        <w:pStyle w:val="af3"/>
        <w:rPr>
          <w:rFonts w:ascii="Traditional Arabic" w:hAnsi="Traditional Arabic"/>
          <w:color w:val="auto"/>
          <w:sz w:val="32"/>
          <w:szCs w:val="32"/>
        </w:rPr>
      </w:pPr>
      <w:r w:rsidRPr="003A04C7">
        <w:rPr>
          <w:rFonts w:ascii="Traditional Arabic" w:hAnsi="Traditional Arabic"/>
          <w:color w:val="auto"/>
          <w:sz w:val="32"/>
          <w:szCs w:val="32"/>
          <w:rtl/>
        </w:rPr>
        <w:t>(</w:t>
      </w:r>
      <w:r w:rsidRPr="003A04C7">
        <w:rPr>
          <w:rStyle w:val="ae"/>
          <w:rFonts w:ascii="Traditional Arabic" w:hAnsi="Traditional Arabic"/>
          <w:color w:val="auto"/>
          <w:sz w:val="32"/>
          <w:szCs w:val="32"/>
          <w:vertAlign w:val="baseline"/>
        </w:rPr>
        <w:footnoteRef/>
      </w:r>
      <w:r w:rsidRPr="003A04C7">
        <w:rPr>
          <w:rFonts w:ascii="Traditional Arabic" w:hAnsi="Traditional Arabic"/>
          <w:color w:val="auto"/>
          <w:sz w:val="32"/>
          <w:szCs w:val="32"/>
          <w:rtl/>
        </w:rPr>
        <w:t xml:space="preserve">) </w:t>
      </w:r>
      <w:r w:rsidRPr="003A04C7">
        <w:rPr>
          <w:rFonts w:ascii="Traditional Arabic" w:hAnsi="Traditional Arabic" w:hint="cs"/>
          <w:color w:val="auto"/>
          <w:sz w:val="32"/>
          <w:szCs w:val="32"/>
          <w:rtl/>
        </w:rPr>
        <w:t xml:space="preserve">انظر: تفسير يحيى بن سلام (1/203), انظر: </w:t>
      </w:r>
      <w:r w:rsidRPr="003A04C7">
        <w:rPr>
          <w:rFonts w:ascii="Traditional Arabic" w:hAnsi="Traditional Arabic"/>
          <w:color w:val="auto"/>
          <w:sz w:val="32"/>
          <w:szCs w:val="32"/>
          <w:rtl/>
        </w:rPr>
        <w:t>الكشف والبيان (6/19</w:t>
      </w:r>
      <w:r w:rsidRPr="003A04C7">
        <w:rPr>
          <w:rFonts w:ascii="Traditional Arabic" w:hAnsi="Traditional Arabic" w:hint="cs"/>
          <w:color w:val="auto"/>
          <w:sz w:val="32"/>
          <w:szCs w:val="32"/>
          <w:rtl/>
        </w:rPr>
        <w:t>3</w:t>
      </w:r>
      <w:r w:rsidRPr="003A04C7">
        <w:rPr>
          <w:rFonts w:ascii="Traditional Arabic" w:hAnsi="Traditional Arabic"/>
          <w:color w:val="auto"/>
          <w:sz w:val="32"/>
          <w:szCs w:val="32"/>
          <w:rtl/>
        </w:rPr>
        <w:t>)</w:t>
      </w:r>
      <w:r w:rsidRPr="003A04C7">
        <w:rPr>
          <w:rFonts w:ascii="Traditional Arabic" w:hAnsi="Traditional Arabic" w:hint="cs"/>
          <w:color w:val="auto"/>
          <w:sz w:val="32"/>
          <w:szCs w:val="32"/>
          <w:rtl/>
        </w:rPr>
        <w:t>.</w:t>
      </w:r>
    </w:p>
  </w:footnote>
  <w:footnote w:id="1868">
    <w:p w:rsidR="003F128F" w:rsidRPr="003A04C7" w:rsidRDefault="003F128F" w:rsidP="00885058">
      <w:pPr>
        <w:pStyle w:val="af3"/>
        <w:rPr>
          <w:rFonts w:ascii="Traditional Arabic" w:hAnsi="Traditional Arabic"/>
          <w:color w:val="auto"/>
          <w:sz w:val="32"/>
          <w:szCs w:val="32"/>
        </w:rPr>
      </w:pPr>
      <w:r w:rsidRPr="003A04C7">
        <w:rPr>
          <w:rFonts w:ascii="Traditional Arabic" w:hAnsi="Traditional Arabic"/>
          <w:color w:val="auto"/>
          <w:sz w:val="32"/>
          <w:szCs w:val="32"/>
          <w:rtl/>
        </w:rPr>
        <w:t>(</w:t>
      </w:r>
      <w:r w:rsidRPr="003A04C7">
        <w:rPr>
          <w:rStyle w:val="ae"/>
          <w:rFonts w:ascii="Traditional Arabic" w:hAnsi="Traditional Arabic"/>
          <w:color w:val="auto"/>
          <w:sz w:val="32"/>
          <w:szCs w:val="32"/>
          <w:vertAlign w:val="baseline"/>
        </w:rPr>
        <w:footnoteRef/>
      </w:r>
      <w:r w:rsidRPr="003A04C7">
        <w:rPr>
          <w:rFonts w:ascii="Traditional Arabic" w:hAnsi="Traditional Arabic"/>
          <w:color w:val="auto"/>
          <w:sz w:val="32"/>
          <w:szCs w:val="32"/>
          <w:rtl/>
        </w:rPr>
        <w:t xml:space="preserve">) </w:t>
      </w:r>
      <w:r w:rsidRPr="003A04C7">
        <w:rPr>
          <w:rFonts w:ascii="Traditional Arabic" w:hAnsi="Traditional Arabic" w:hint="cs"/>
          <w:color w:val="auto"/>
          <w:sz w:val="32"/>
          <w:szCs w:val="32"/>
          <w:rtl/>
        </w:rPr>
        <w:t xml:space="preserve">ذكر بنحوه الطبري في تفسيره (18/101), ومكي في الهداية (6/4461). </w:t>
      </w:r>
    </w:p>
  </w:footnote>
  <w:footnote w:id="1869">
    <w:p w:rsidR="003F128F" w:rsidRPr="00ED7304" w:rsidRDefault="003F128F" w:rsidP="00885058">
      <w:pPr>
        <w:pStyle w:val="af3"/>
        <w:rPr>
          <w:rFonts w:ascii="Traditional Arabic" w:hAnsi="Traditional Arabic"/>
          <w:sz w:val="32"/>
          <w:szCs w:val="32"/>
        </w:rPr>
      </w:pPr>
      <w:r w:rsidRPr="003A04C7">
        <w:rPr>
          <w:rFonts w:ascii="Traditional Arabic" w:hAnsi="Traditional Arabic"/>
          <w:color w:val="auto"/>
          <w:sz w:val="32"/>
          <w:szCs w:val="32"/>
          <w:rtl/>
        </w:rPr>
        <w:t>(</w:t>
      </w:r>
      <w:r w:rsidRPr="003A04C7">
        <w:rPr>
          <w:rStyle w:val="ae"/>
          <w:rFonts w:ascii="Traditional Arabic" w:hAnsi="Traditional Arabic"/>
          <w:color w:val="auto"/>
          <w:sz w:val="32"/>
          <w:szCs w:val="32"/>
          <w:vertAlign w:val="baseline"/>
        </w:rPr>
        <w:footnoteRef/>
      </w:r>
      <w:r w:rsidRPr="003A04C7">
        <w:rPr>
          <w:rFonts w:ascii="Traditional Arabic" w:hAnsi="Traditional Arabic"/>
          <w:color w:val="auto"/>
          <w:sz w:val="32"/>
          <w:szCs w:val="32"/>
          <w:rtl/>
        </w:rPr>
        <w:t xml:space="preserve">) </w:t>
      </w:r>
      <w:r w:rsidRPr="003A04C7">
        <w:rPr>
          <w:rFonts w:ascii="Traditional Arabic" w:hAnsi="Traditional Arabic" w:hint="cs"/>
          <w:color w:val="auto"/>
          <w:sz w:val="32"/>
          <w:szCs w:val="32"/>
          <w:rtl/>
        </w:rPr>
        <w:t>سبق في (ص</w:t>
      </w:r>
      <w:r>
        <w:rPr>
          <w:rFonts w:ascii="Traditional Arabic" w:hAnsi="Traditional Arabic" w:hint="cs"/>
          <w:color w:val="auto"/>
          <w:sz w:val="32"/>
          <w:szCs w:val="32"/>
          <w:rtl/>
        </w:rPr>
        <w:t>250</w:t>
      </w:r>
      <w:r w:rsidRPr="003A04C7">
        <w:rPr>
          <w:rFonts w:ascii="Traditional Arabic" w:hAnsi="Traditional Arabic" w:hint="cs"/>
          <w:color w:val="auto"/>
          <w:sz w:val="32"/>
          <w:szCs w:val="32"/>
          <w:rtl/>
        </w:rPr>
        <w:t xml:space="preserve">), </w:t>
      </w:r>
      <w:r w:rsidRPr="003A04C7">
        <w:rPr>
          <w:rFonts w:ascii="Traditional Arabic" w:hAnsi="Traditional Arabic"/>
          <w:color w:val="auto"/>
          <w:sz w:val="32"/>
          <w:szCs w:val="32"/>
          <w:rtl/>
        </w:rPr>
        <w:t>سورة الكهف</w:t>
      </w:r>
      <w:r w:rsidRPr="003A04C7">
        <w:rPr>
          <w:rFonts w:ascii="Traditional Arabic" w:hAnsi="Traditional Arabic" w:hint="cs"/>
          <w:color w:val="auto"/>
          <w:sz w:val="32"/>
          <w:szCs w:val="32"/>
          <w:rtl/>
        </w:rPr>
        <w:t>, الآية:</w:t>
      </w:r>
      <w:r w:rsidRPr="003A04C7">
        <w:rPr>
          <w:rFonts w:ascii="Traditional Arabic" w:hAnsi="Traditional Arabic"/>
          <w:color w:val="auto"/>
          <w:sz w:val="32"/>
          <w:szCs w:val="32"/>
          <w:rtl/>
        </w:rPr>
        <w:t xml:space="preserve"> </w:t>
      </w:r>
      <w:r w:rsidRPr="003A04C7">
        <w:rPr>
          <w:rFonts w:ascii="Traditional Arabic" w:hAnsi="Traditional Arabic" w:hint="cs"/>
          <w:color w:val="auto"/>
          <w:sz w:val="32"/>
          <w:szCs w:val="32"/>
          <w:rtl/>
        </w:rPr>
        <w:t>(</w:t>
      </w:r>
      <w:r w:rsidRPr="003A04C7">
        <w:rPr>
          <w:rFonts w:ascii="Traditional Arabic" w:hAnsi="Traditional Arabic"/>
          <w:color w:val="auto"/>
          <w:sz w:val="32"/>
          <w:szCs w:val="32"/>
          <w:rtl/>
        </w:rPr>
        <w:t>68</w:t>
      </w:r>
      <w:r w:rsidRPr="003A04C7">
        <w:rPr>
          <w:rFonts w:ascii="Traditional Arabic" w:hAnsi="Traditional Arabic" w:hint="cs"/>
          <w:color w:val="auto"/>
          <w:sz w:val="32"/>
          <w:szCs w:val="32"/>
          <w:rtl/>
        </w:rPr>
        <w:t>)</w:t>
      </w:r>
      <w:r w:rsidRPr="003A04C7">
        <w:rPr>
          <w:rFonts w:ascii="Traditional Arabic" w:hAnsi="Traditional Arabic"/>
          <w:color w:val="auto"/>
          <w:sz w:val="32"/>
          <w:szCs w:val="32"/>
          <w:rtl/>
        </w:rPr>
        <w:t xml:space="preserve">. </w:t>
      </w:r>
    </w:p>
  </w:footnote>
  <w:footnote w:id="1870">
    <w:p w:rsidR="003F128F" w:rsidRPr="009F3EAF" w:rsidRDefault="003F128F" w:rsidP="008900CA">
      <w:pPr>
        <w:pStyle w:val="af3"/>
        <w:rPr>
          <w:rFonts w:ascii="Traditional Arabic" w:hAnsi="Traditional Arabic"/>
          <w:sz w:val="32"/>
          <w:szCs w:val="32"/>
        </w:rPr>
      </w:pPr>
      <w:r w:rsidRPr="009F3EAF">
        <w:rPr>
          <w:rFonts w:ascii="Traditional Arabic" w:hAnsi="Traditional Arabic"/>
          <w:sz w:val="32"/>
          <w:szCs w:val="32"/>
          <w:rtl/>
        </w:rPr>
        <w:t>(</w:t>
      </w:r>
      <w:r w:rsidRPr="009F3EAF">
        <w:rPr>
          <w:rStyle w:val="ae"/>
          <w:rFonts w:ascii="Traditional Arabic" w:hAnsi="Traditional Arabic"/>
          <w:sz w:val="32"/>
          <w:szCs w:val="32"/>
          <w:vertAlign w:val="baseline"/>
        </w:rPr>
        <w:footnoteRef/>
      </w:r>
      <w:r w:rsidRPr="009F3EAF">
        <w:rPr>
          <w:rFonts w:ascii="Traditional Arabic" w:hAnsi="Traditional Arabic"/>
          <w:sz w:val="32"/>
          <w:szCs w:val="32"/>
          <w:rtl/>
        </w:rPr>
        <w:t>) انظر: تفسير الطبري (18/107), الكشف والبيان (6/195), الهداية (6/4465).</w:t>
      </w:r>
    </w:p>
  </w:footnote>
  <w:footnote w:id="1871">
    <w:p w:rsidR="003F128F" w:rsidRPr="009F3EAF" w:rsidRDefault="003F128F" w:rsidP="008900CA">
      <w:pPr>
        <w:pStyle w:val="af3"/>
        <w:rPr>
          <w:rFonts w:ascii="Traditional Arabic" w:hAnsi="Traditional Arabic"/>
          <w:sz w:val="32"/>
          <w:szCs w:val="32"/>
        </w:rPr>
      </w:pPr>
      <w:r w:rsidRPr="009F3EAF">
        <w:rPr>
          <w:rFonts w:ascii="Traditional Arabic" w:hAnsi="Traditional Arabic"/>
          <w:sz w:val="32"/>
          <w:szCs w:val="32"/>
          <w:rtl/>
        </w:rPr>
        <w:t>(</w:t>
      </w:r>
      <w:r w:rsidRPr="009F3EAF">
        <w:rPr>
          <w:rStyle w:val="ae"/>
          <w:rFonts w:ascii="Traditional Arabic" w:hAnsi="Traditional Arabic"/>
          <w:sz w:val="32"/>
          <w:szCs w:val="32"/>
          <w:vertAlign w:val="baseline"/>
        </w:rPr>
        <w:footnoteRef/>
      </w:r>
      <w:r w:rsidRPr="009F3EAF">
        <w:rPr>
          <w:rFonts w:ascii="Traditional Arabic" w:hAnsi="Traditional Arabic"/>
          <w:sz w:val="32"/>
          <w:szCs w:val="32"/>
          <w:rtl/>
        </w:rPr>
        <w:t>) تفسير الطبري (18/102), الكشف وا</w:t>
      </w:r>
      <w:r>
        <w:rPr>
          <w:rFonts w:ascii="Traditional Arabic" w:hAnsi="Traditional Arabic"/>
          <w:sz w:val="32"/>
          <w:szCs w:val="32"/>
          <w:rtl/>
        </w:rPr>
        <w:t>لبيان (6/193), الهداية (6/4463)</w:t>
      </w:r>
      <w:r>
        <w:rPr>
          <w:rFonts w:ascii="Traditional Arabic" w:hAnsi="Traditional Arabic" w:hint="cs"/>
          <w:sz w:val="32"/>
          <w:szCs w:val="32"/>
          <w:rtl/>
        </w:rPr>
        <w:t>.</w:t>
      </w:r>
      <w:r w:rsidRPr="009F3EAF">
        <w:rPr>
          <w:rFonts w:ascii="Traditional Arabic" w:hAnsi="Traditional Arabic"/>
          <w:sz w:val="32"/>
          <w:szCs w:val="32"/>
          <w:rtl/>
        </w:rPr>
        <w:t xml:space="preserve"> وأَذْرَبِيجان:</w:t>
      </w:r>
      <w:r w:rsidRPr="009F3EAF">
        <w:rPr>
          <w:rFonts w:ascii="Traditional Arabic" w:hAnsi="Traditional Arabic"/>
          <w:color w:val="FF0000"/>
          <w:sz w:val="32"/>
          <w:szCs w:val="32"/>
          <w:rtl/>
          <w:lang w:eastAsia="en-US"/>
        </w:rPr>
        <w:t xml:space="preserve"> </w:t>
      </w:r>
      <w:r w:rsidRPr="009F3EAF">
        <w:rPr>
          <w:rFonts w:ascii="Traditional Arabic" w:hAnsi="Traditional Arabic"/>
          <w:sz w:val="32"/>
          <w:szCs w:val="32"/>
          <w:rtl/>
        </w:rPr>
        <w:t>حدّها من برذعة مشرقا</w:t>
      </w:r>
      <w:r>
        <w:rPr>
          <w:rFonts w:ascii="Traditional Arabic" w:hAnsi="Traditional Arabic" w:hint="cs"/>
          <w:sz w:val="32"/>
          <w:szCs w:val="32"/>
          <w:rtl/>
        </w:rPr>
        <w:t>ً</w:t>
      </w:r>
      <w:r w:rsidRPr="009F3EAF">
        <w:rPr>
          <w:rFonts w:ascii="Traditional Arabic" w:hAnsi="Traditional Arabic"/>
          <w:sz w:val="32"/>
          <w:szCs w:val="32"/>
          <w:rtl/>
        </w:rPr>
        <w:t xml:space="preserve"> إلى أرزنجان مغربا</w:t>
      </w:r>
      <w:r>
        <w:rPr>
          <w:rFonts w:ascii="Traditional Arabic" w:hAnsi="Traditional Arabic" w:hint="cs"/>
          <w:sz w:val="32"/>
          <w:szCs w:val="32"/>
          <w:rtl/>
        </w:rPr>
        <w:t>ً</w:t>
      </w:r>
      <w:r w:rsidRPr="009F3EAF">
        <w:rPr>
          <w:rFonts w:ascii="Traditional Arabic" w:hAnsi="Traditional Arabic"/>
          <w:sz w:val="32"/>
          <w:szCs w:val="32"/>
          <w:rtl/>
        </w:rPr>
        <w:t>، ويتّصل حدّها من جهة الشمال ببلاد الديلم، والجيل، والطّرم، وهو إقليم واسع. تقع أذربيجان اليوم في الجزء الشمالي الغربي من إيران. انظر: معجم البلدان (1/128), خطط الشام لمحمَّد كُرْد عَلي (2/44)</w:t>
      </w:r>
    </w:p>
  </w:footnote>
  <w:footnote w:id="1872">
    <w:p w:rsidR="003F128F" w:rsidRPr="009F3EAF" w:rsidRDefault="003F128F" w:rsidP="008900CA">
      <w:pPr>
        <w:pStyle w:val="af3"/>
        <w:rPr>
          <w:rFonts w:ascii="Traditional Arabic" w:hAnsi="Traditional Arabic"/>
          <w:sz w:val="32"/>
          <w:szCs w:val="32"/>
        </w:rPr>
      </w:pPr>
      <w:r w:rsidRPr="009F3EAF">
        <w:rPr>
          <w:rFonts w:ascii="Traditional Arabic" w:hAnsi="Traditional Arabic"/>
          <w:sz w:val="32"/>
          <w:szCs w:val="32"/>
          <w:rtl/>
        </w:rPr>
        <w:t>(</w:t>
      </w:r>
      <w:r w:rsidRPr="009F3EAF">
        <w:rPr>
          <w:rStyle w:val="ae"/>
          <w:rFonts w:ascii="Traditional Arabic" w:hAnsi="Traditional Arabic"/>
          <w:sz w:val="32"/>
          <w:szCs w:val="32"/>
          <w:vertAlign w:val="baseline"/>
        </w:rPr>
        <w:footnoteRef/>
      </w:r>
      <w:r w:rsidRPr="009F3EAF">
        <w:rPr>
          <w:rFonts w:ascii="Traditional Arabic" w:hAnsi="Traditional Arabic"/>
          <w:sz w:val="32"/>
          <w:szCs w:val="32"/>
          <w:rtl/>
        </w:rPr>
        <w:t>)</w:t>
      </w:r>
      <w:r>
        <w:rPr>
          <w:rFonts w:ascii="Traditional Arabic" w:hAnsi="Traditional Arabic" w:hint="cs"/>
          <w:sz w:val="32"/>
          <w:szCs w:val="32"/>
          <w:rtl/>
        </w:rPr>
        <w:t xml:space="preserve"> </w:t>
      </w:r>
      <w:r w:rsidRPr="009F3EAF">
        <w:rPr>
          <w:rFonts w:ascii="Traditional Arabic" w:hAnsi="Traditional Arabic"/>
          <w:sz w:val="32"/>
          <w:szCs w:val="32"/>
          <w:rtl/>
        </w:rPr>
        <w:t>انظر: السبعة في القراءات (ص399), معاني القراءات (2/122).</w:t>
      </w:r>
    </w:p>
  </w:footnote>
  <w:footnote w:id="1873">
    <w:p w:rsidR="003F128F" w:rsidRPr="009F3EAF" w:rsidRDefault="003F128F" w:rsidP="008900CA">
      <w:pPr>
        <w:pStyle w:val="af3"/>
        <w:rPr>
          <w:rFonts w:ascii="Traditional Arabic" w:hAnsi="Traditional Arabic"/>
          <w:sz w:val="32"/>
          <w:szCs w:val="32"/>
        </w:rPr>
      </w:pPr>
      <w:r w:rsidRPr="009F3EAF">
        <w:rPr>
          <w:rFonts w:ascii="Traditional Arabic" w:hAnsi="Traditional Arabic"/>
          <w:sz w:val="32"/>
          <w:szCs w:val="32"/>
          <w:rtl/>
        </w:rPr>
        <w:t>(</w:t>
      </w:r>
      <w:r w:rsidRPr="009F3EAF">
        <w:rPr>
          <w:rStyle w:val="ae"/>
          <w:rFonts w:ascii="Traditional Arabic" w:hAnsi="Traditional Arabic"/>
          <w:sz w:val="32"/>
          <w:szCs w:val="32"/>
          <w:vertAlign w:val="baseline"/>
        </w:rPr>
        <w:footnoteRef/>
      </w:r>
      <w:r>
        <w:rPr>
          <w:rFonts w:ascii="Traditional Arabic" w:hAnsi="Traditional Arabic"/>
          <w:sz w:val="32"/>
          <w:szCs w:val="32"/>
          <w:rtl/>
        </w:rPr>
        <w:t>) هو ال</w:t>
      </w:r>
      <w:r>
        <w:rPr>
          <w:rFonts w:ascii="Traditional Arabic" w:hAnsi="Traditional Arabic" w:hint="cs"/>
          <w:sz w:val="32"/>
          <w:szCs w:val="32"/>
          <w:rtl/>
        </w:rPr>
        <w:t>إ</w:t>
      </w:r>
      <w:r w:rsidRPr="009F3EAF">
        <w:rPr>
          <w:rFonts w:ascii="Traditional Arabic" w:hAnsi="Traditional Arabic"/>
          <w:sz w:val="32"/>
          <w:szCs w:val="32"/>
          <w:rtl/>
        </w:rPr>
        <w:t>مام أبو عبد الله</w:t>
      </w:r>
      <w:r>
        <w:rPr>
          <w:rFonts w:ascii="Traditional Arabic" w:hAnsi="Traditional Arabic" w:hint="cs"/>
          <w:sz w:val="32"/>
          <w:szCs w:val="32"/>
          <w:rtl/>
        </w:rPr>
        <w:t>,</w:t>
      </w:r>
      <w:r w:rsidRPr="009F3EAF">
        <w:rPr>
          <w:rFonts w:ascii="Traditional Arabic" w:hAnsi="Traditional Arabic"/>
          <w:sz w:val="32"/>
          <w:szCs w:val="32"/>
          <w:rtl/>
        </w:rPr>
        <w:t xml:space="preserve"> محمد بن زياد ابن الأعرابي الهاشمي مولاهم، الأَحْوَلُ، النَّسَّابَةُ, الكوفي, صاحب اللغة</w:t>
      </w:r>
      <w:r w:rsidRPr="009F3EAF">
        <w:rPr>
          <w:rFonts w:ascii="Traditional Arabic" w:hAnsi="Traditional Arabic"/>
          <w:sz w:val="32"/>
          <w:szCs w:val="32"/>
          <w:rtl/>
          <w:lang w:eastAsia="en-US"/>
        </w:rPr>
        <w:t xml:space="preserve">, </w:t>
      </w:r>
      <w:r w:rsidRPr="009F3EAF">
        <w:rPr>
          <w:rFonts w:ascii="Traditional Arabic" w:hAnsi="Traditional Arabic"/>
          <w:sz w:val="32"/>
          <w:szCs w:val="32"/>
          <w:rtl/>
        </w:rPr>
        <w:t>راوية لأشعار القبائل, وكان أحد العالم</w:t>
      </w:r>
      <w:r>
        <w:rPr>
          <w:rFonts w:ascii="Traditional Arabic" w:hAnsi="Traditional Arabic" w:hint="cs"/>
          <w:sz w:val="32"/>
          <w:szCs w:val="32"/>
          <w:rtl/>
        </w:rPr>
        <w:t>ِ</w:t>
      </w:r>
      <w:r w:rsidRPr="009F3EAF">
        <w:rPr>
          <w:rFonts w:ascii="Traditional Arabic" w:hAnsi="Traditional Arabic"/>
          <w:sz w:val="32"/>
          <w:szCs w:val="32"/>
          <w:rtl/>
        </w:rPr>
        <w:t>ي</w:t>
      </w:r>
      <w:r>
        <w:rPr>
          <w:rFonts w:ascii="Traditional Arabic" w:hAnsi="Traditional Arabic" w:hint="cs"/>
          <w:sz w:val="32"/>
          <w:szCs w:val="32"/>
          <w:rtl/>
        </w:rPr>
        <w:t>ِ</w:t>
      </w:r>
      <w:r w:rsidRPr="009F3EAF">
        <w:rPr>
          <w:rFonts w:ascii="Traditional Arabic" w:hAnsi="Traditional Arabic"/>
          <w:sz w:val="32"/>
          <w:szCs w:val="32"/>
          <w:rtl/>
        </w:rPr>
        <w:t>ن باللغة المشهورين بمعرفتها، وكان رأسا في كلام العرب, (ت231ه). انظر: وفيات الأعيان (4/306), سير أعلام النبلاء (10/687).</w:t>
      </w:r>
    </w:p>
  </w:footnote>
  <w:footnote w:id="1874">
    <w:p w:rsidR="003F128F" w:rsidRPr="009F3EAF" w:rsidRDefault="003F128F" w:rsidP="008900CA">
      <w:pPr>
        <w:pStyle w:val="af3"/>
        <w:rPr>
          <w:rFonts w:ascii="Traditional Arabic" w:hAnsi="Traditional Arabic"/>
          <w:sz w:val="32"/>
          <w:szCs w:val="32"/>
        </w:rPr>
      </w:pPr>
      <w:r w:rsidRPr="009F3EAF">
        <w:rPr>
          <w:rFonts w:ascii="Traditional Arabic" w:hAnsi="Traditional Arabic"/>
          <w:sz w:val="32"/>
          <w:szCs w:val="32"/>
          <w:rtl/>
        </w:rPr>
        <w:t>(</w:t>
      </w:r>
      <w:r w:rsidRPr="009F3EAF">
        <w:rPr>
          <w:rStyle w:val="ae"/>
          <w:rFonts w:ascii="Traditional Arabic" w:hAnsi="Traditional Arabic"/>
          <w:sz w:val="32"/>
          <w:szCs w:val="32"/>
          <w:vertAlign w:val="baseline"/>
        </w:rPr>
        <w:footnoteRef/>
      </w:r>
      <w:r w:rsidRPr="009F3EAF">
        <w:rPr>
          <w:rFonts w:ascii="Traditional Arabic" w:hAnsi="Traditional Arabic"/>
          <w:sz w:val="32"/>
          <w:szCs w:val="32"/>
          <w:rtl/>
        </w:rPr>
        <w:t>) انظر: تهذيب اللغة (12/195) مادة (سد), التفسير الوسيط (3/166).</w:t>
      </w:r>
    </w:p>
  </w:footnote>
  <w:footnote w:id="1875">
    <w:p w:rsidR="003F128F" w:rsidRPr="00A12CC8" w:rsidRDefault="003F128F" w:rsidP="008900CA">
      <w:pPr>
        <w:pStyle w:val="af3"/>
        <w:rPr>
          <w:rFonts w:ascii="Traditional Arabic" w:hAnsi="Traditional Arabic"/>
          <w:color w:val="auto"/>
          <w:sz w:val="32"/>
          <w:szCs w:val="32"/>
        </w:rPr>
      </w:pPr>
      <w:r w:rsidRPr="00A12CC8">
        <w:rPr>
          <w:rFonts w:ascii="Traditional Arabic" w:hAnsi="Traditional Arabic"/>
          <w:color w:val="auto"/>
          <w:sz w:val="32"/>
          <w:szCs w:val="32"/>
          <w:rtl/>
        </w:rPr>
        <w:t>(</w:t>
      </w:r>
      <w:r w:rsidRPr="00A12CC8">
        <w:rPr>
          <w:rStyle w:val="ae"/>
          <w:rFonts w:ascii="Traditional Arabic" w:hAnsi="Traditional Arabic"/>
          <w:color w:val="auto"/>
          <w:sz w:val="32"/>
          <w:szCs w:val="32"/>
          <w:vertAlign w:val="baseline"/>
        </w:rPr>
        <w:footnoteRef/>
      </w:r>
      <w:r w:rsidRPr="00A12CC8">
        <w:rPr>
          <w:rFonts w:ascii="Traditional Arabic" w:hAnsi="Traditional Arabic"/>
          <w:color w:val="auto"/>
          <w:sz w:val="32"/>
          <w:szCs w:val="32"/>
          <w:rtl/>
        </w:rPr>
        <w:t>) انظر: تفسير الطبري (18/102), إعراب القرآن للنحاس (ص554).</w:t>
      </w:r>
    </w:p>
  </w:footnote>
  <w:footnote w:id="1876">
    <w:p w:rsidR="003F128F" w:rsidRPr="00A12CC8" w:rsidRDefault="003F128F" w:rsidP="008900CA">
      <w:pPr>
        <w:pStyle w:val="af3"/>
        <w:rPr>
          <w:rFonts w:ascii="Traditional Arabic" w:hAnsi="Traditional Arabic"/>
          <w:color w:val="auto"/>
          <w:sz w:val="32"/>
          <w:szCs w:val="32"/>
        </w:rPr>
      </w:pPr>
      <w:r w:rsidRPr="00A12CC8">
        <w:rPr>
          <w:rFonts w:ascii="Traditional Arabic" w:hAnsi="Traditional Arabic"/>
          <w:color w:val="auto"/>
          <w:sz w:val="32"/>
          <w:szCs w:val="32"/>
          <w:rtl/>
        </w:rPr>
        <w:t>(</w:t>
      </w:r>
      <w:r w:rsidRPr="00A12CC8">
        <w:rPr>
          <w:rStyle w:val="ae"/>
          <w:rFonts w:ascii="Traditional Arabic" w:hAnsi="Traditional Arabic"/>
          <w:color w:val="auto"/>
          <w:sz w:val="32"/>
          <w:szCs w:val="32"/>
          <w:vertAlign w:val="baseline"/>
        </w:rPr>
        <w:footnoteRef/>
      </w:r>
      <w:r w:rsidRPr="00A12CC8">
        <w:rPr>
          <w:rFonts w:ascii="Traditional Arabic" w:hAnsi="Traditional Arabic"/>
          <w:color w:val="auto"/>
          <w:sz w:val="32"/>
          <w:szCs w:val="32"/>
          <w:rtl/>
        </w:rPr>
        <w:t xml:space="preserve">) انظر: تهذيب اللغة (12/195) مادة (سد).  </w:t>
      </w:r>
    </w:p>
  </w:footnote>
  <w:footnote w:id="1877">
    <w:p w:rsidR="003F128F" w:rsidRPr="00A12CC8" w:rsidRDefault="003F128F" w:rsidP="008900CA">
      <w:pPr>
        <w:pStyle w:val="af3"/>
        <w:rPr>
          <w:rFonts w:ascii="Traditional Arabic" w:hAnsi="Traditional Arabic"/>
          <w:color w:val="auto"/>
          <w:sz w:val="32"/>
          <w:szCs w:val="32"/>
        </w:rPr>
      </w:pPr>
      <w:r w:rsidRPr="00A12CC8">
        <w:rPr>
          <w:rFonts w:ascii="Traditional Arabic" w:hAnsi="Traditional Arabic"/>
          <w:color w:val="auto"/>
          <w:sz w:val="32"/>
          <w:szCs w:val="32"/>
          <w:rtl/>
        </w:rPr>
        <w:t>(</w:t>
      </w:r>
      <w:r w:rsidRPr="00A12CC8">
        <w:rPr>
          <w:rStyle w:val="ae"/>
          <w:rFonts w:ascii="Traditional Arabic" w:hAnsi="Traditional Arabic"/>
          <w:color w:val="auto"/>
          <w:sz w:val="32"/>
          <w:szCs w:val="32"/>
          <w:vertAlign w:val="baseline"/>
        </w:rPr>
        <w:footnoteRef/>
      </w:r>
      <w:r w:rsidRPr="00A12CC8">
        <w:rPr>
          <w:rFonts w:ascii="Traditional Arabic" w:hAnsi="Traditional Arabic"/>
          <w:color w:val="auto"/>
          <w:sz w:val="32"/>
          <w:szCs w:val="32"/>
          <w:rtl/>
        </w:rPr>
        <w:t>) معاني القرآن واعرابه (3/310).</w:t>
      </w:r>
    </w:p>
  </w:footnote>
  <w:footnote w:id="1878">
    <w:p w:rsidR="003F128F" w:rsidRPr="00A12CC8" w:rsidRDefault="003F128F" w:rsidP="008900CA">
      <w:pPr>
        <w:pStyle w:val="af3"/>
        <w:rPr>
          <w:rFonts w:ascii="Traditional Arabic" w:hAnsi="Traditional Arabic"/>
          <w:color w:val="auto"/>
          <w:sz w:val="32"/>
          <w:szCs w:val="32"/>
          <w:rtl/>
        </w:rPr>
      </w:pPr>
      <w:r w:rsidRPr="00A12CC8">
        <w:rPr>
          <w:rFonts w:ascii="Traditional Arabic" w:hAnsi="Traditional Arabic"/>
          <w:color w:val="auto"/>
          <w:sz w:val="32"/>
          <w:szCs w:val="32"/>
          <w:rtl/>
        </w:rPr>
        <w:t>(</w:t>
      </w:r>
      <w:r w:rsidRPr="00A12CC8">
        <w:rPr>
          <w:rStyle w:val="ae"/>
          <w:rFonts w:ascii="Traditional Arabic" w:hAnsi="Traditional Arabic"/>
          <w:color w:val="auto"/>
          <w:sz w:val="32"/>
          <w:szCs w:val="32"/>
          <w:vertAlign w:val="baseline"/>
        </w:rPr>
        <w:footnoteRef/>
      </w:r>
      <w:r w:rsidRPr="00A12CC8">
        <w:rPr>
          <w:rFonts w:ascii="Traditional Arabic" w:hAnsi="Traditional Arabic"/>
          <w:color w:val="auto"/>
          <w:sz w:val="32"/>
          <w:szCs w:val="32"/>
          <w:rtl/>
        </w:rPr>
        <w:t xml:space="preserve">) انظر: النكت والعيون (3/341). </w:t>
      </w:r>
    </w:p>
  </w:footnote>
  <w:footnote w:id="1879">
    <w:p w:rsidR="003F128F" w:rsidRPr="00A12CC8" w:rsidRDefault="003F128F" w:rsidP="008900CA">
      <w:pPr>
        <w:pStyle w:val="af3"/>
        <w:rPr>
          <w:rFonts w:ascii="Traditional Arabic" w:hAnsi="Traditional Arabic"/>
          <w:color w:val="auto"/>
          <w:sz w:val="32"/>
          <w:szCs w:val="32"/>
        </w:rPr>
      </w:pPr>
      <w:r w:rsidRPr="00A12CC8">
        <w:rPr>
          <w:rFonts w:ascii="Traditional Arabic" w:hAnsi="Traditional Arabic"/>
          <w:color w:val="auto"/>
          <w:sz w:val="32"/>
          <w:szCs w:val="32"/>
          <w:rtl/>
        </w:rPr>
        <w:t>(</w:t>
      </w:r>
      <w:r w:rsidRPr="00A12CC8">
        <w:rPr>
          <w:rStyle w:val="ae"/>
          <w:rFonts w:ascii="Traditional Arabic" w:hAnsi="Traditional Arabic"/>
          <w:color w:val="auto"/>
          <w:sz w:val="32"/>
          <w:szCs w:val="32"/>
          <w:vertAlign w:val="baseline"/>
        </w:rPr>
        <w:footnoteRef/>
      </w:r>
      <w:r w:rsidRPr="00A12CC8">
        <w:rPr>
          <w:rFonts w:ascii="Traditional Arabic" w:hAnsi="Traditional Arabic"/>
          <w:color w:val="auto"/>
          <w:sz w:val="32"/>
          <w:szCs w:val="32"/>
          <w:rtl/>
        </w:rPr>
        <w:t>) تفسير الطبري (18/102), الكشف والبيان (6/193).</w:t>
      </w:r>
    </w:p>
  </w:footnote>
  <w:footnote w:id="1880">
    <w:p w:rsidR="003F128F" w:rsidRPr="00A12CC8" w:rsidRDefault="003F128F" w:rsidP="008900CA">
      <w:pPr>
        <w:pStyle w:val="af3"/>
        <w:rPr>
          <w:rFonts w:ascii="Traditional Arabic" w:hAnsi="Traditional Arabic"/>
          <w:color w:val="auto"/>
          <w:sz w:val="32"/>
          <w:szCs w:val="32"/>
        </w:rPr>
      </w:pPr>
      <w:r w:rsidRPr="00A12CC8">
        <w:rPr>
          <w:rFonts w:ascii="Traditional Arabic" w:hAnsi="Traditional Arabic"/>
          <w:color w:val="auto"/>
          <w:sz w:val="32"/>
          <w:szCs w:val="32"/>
          <w:rtl/>
        </w:rPr>
        <w:t>(</w:t>
      </w:r>
      <w:r w:rsidRPr="00A12CC8">
        <w:rPr>
          <w:rStyle w:val="ae"/>
          <w:rFonts w:ascii="Traditional Arabic" w:hAnsi="Traditional Arabic"/>
          <w:color w:val="auto"/>
          <w:sz w:val="32"/>
          <w:szCs w:val="32"/>
          <w:vertAlign w:val="baseline"/>
        </w:rPr>
        <w:footnoteRef/>
      </w:r>
      <w:r w:rsidRPr="00A12CC8">
        <w:rPr>
          <w:rFonts w:ascii="Traditional Arabic" w:hAnsi="Traditional Arabic"/>
          <w:color w:val="auto"/>
          <w:sz w:val="32"/>
          <w:szCs w:val="32"/>
          <w:rtl/>
        </w:rPr>
        <w:t xml:space="preserve">) انظر: مجاز القرآن (1/414). </w:t>
      </w:r>
    </w:p>
  </w:footnote>
  <w:footnote w:id="1881">
    <w:p w:rsidR="003F128F" w:rsidRPr="00A12CC8" w:rsidRDefault="003F128F" w:rsidP="008900CA">
      <w:pPr>
        <w:pStyle w:val="af3"/>
        <w:rPr>
          <w:rFonts w:ascii="Traditional Arabic" w:hAnsi="Traditional Arabic"/>
          <w:color w:val="auto"/>
          <w:sz w:val="32"/>
          <w:szCs w:val="32"/>
        </w:rPr>
      </w:pPr>
      <w:r w:rsidRPr="00A12CC8">
        <w:rPr>
          <w:rFonts w:ascii="Traditional Arabic" w:hAnsi="Traditional Arabic"/>
          <w:color w:val="auto"/>
          <w:sz w:val="32"/>
          <w:szCs w:val="32"/>
          <w:rtl/>
        </w:rPr>
        <w:t>(</w:t>
      </w:r>
      <w:r w:rsidRPr="00A12CC8">
        <w:rPr>
          <w:rStyle w:val="ae"/>
          <w:rFonts w:ascii="Traditional Arabic" w:hAnsi="Traditional Arabic"/>
          <w:color w:val="auto"/>
          <w:sz w:val="32"/>
          <w:szCs w:val="32"/>
          <w:vertAlign w:val="baseline"/>
        </w:rPr>
        <w:footnoteRef/>
      </w:r>
      <w:r>
        <w:rPr>
          <w:rFonts w:ascii="Traditional Arabic" w:hAnsi="Traditional Arabic"/>
          <w:color w:val="auto"/>
          <w:sz w:val="32"/>
          <w:szCs w:val="32"/>
          <w:rtl/>
        </w:rPr>
        <w:t>)</w:t>
      </w:r>
      <w:r w:rsidRPr="00A12CC8">
        <w:rPr>
          <w:rFonts w:ascii="Traditional Arabic" w:hAnsi="Traditional Arabic"/>
          <w:color w:val="auto"/>
          <w:sz w:val="32"/>
          <w:szCs w:val="32"/>
          <w:rtl/>
        </w:rPr>
        <w:t xml:space="preserve"> انظر: كتاب فيه لغات القرآن للفراء (ص87).</w:t>
      </w:r>
    </w:p>
  </w:footnote>
  <w:footnote w:id="1882">
    <w:p w:rsidR="003F128F" w:rsidRPr="00A12CC8" w:rsidRDefault="003F128F" w:rsidP="008900CA">
      <w:pPr>
        <w:pStyle w:val="af3"/>
        <w:rPr>
          <w:rFonts w:ascii="Traditional Arabic" w:hAnsi="Traditional Arabic"/>
          <w:color w:val="auto"/>
          <w:sz w:val="32"/>
          <w:szCs w:val="32"/>
        </w:rPr>
      </w:pPr>
      <w:r w:rsidRPr="00A12CC8">
        <w:rPr>
          <w:rFonts w:ascii="Traditional Arabic" w:hAnsi="Traditional Arabic"/>
          <w:color w:val="auto"/>
          <w:sz w:val="32"/>
          <w:szCs w:val="32"/>
          <w:rtl/>
        </w:rPr>
        <w:t>(</w:t>
      </w:r>
      <w:r w:rsidRPr="00A12CC8">
        <w:rPr>
          <w:rStyle w:val="ae"/>
          <w:rFonts w:ascii="Traditional Arabic" w:hAnsi="Traditional Arabic"/>
          <w:color w:val="auto"/>
          <w:sz w:val="32"/>
          <w:szCs w:val="32"/>
          <w:vertAlign w:val="baseline"/>
        </w:rPr>
        <w:footnoteRef/>
      </w:r>
      <w:r w:rsidRPr="00A12CC8">
        <w:rPr>
          <w:rFonts w:ascii="Traditional Arabic" w:hAnsi="Traditional Arabic"/>
          <w:color w:val="auto"/>
          <w:sz w:val="32"/>
          <w:szCs w:val="32"/>
          <w:rtl/>
        </w:rPr>
        <w:t>) تفسير الطبري (18/101), الهداية (6/4462).</w:t>
      </w:r>
    </w:p>
  </w:footnote>
  <w:footnote w:id="1883">
    <w:p w:rsidR="003F128F" w:rsidRPr="00A12CC8" w:rsidRDefault="003F128F" w:rsidP="008900CA">
      <w:pPr>
        <w:pStyle w:val="af3"/>
        <w:rPr>
          <w:rFonts w:ascii="Traditional Arabic" w:hAnsi="Traditional Arabic"/>
          <w:color w:val="auto"/>
          <w:sz w:val="32"/>
          <w:szCs w:val="32"/>
        </w:rPr>
      </w:pPr>
      <w:r w:rsidRPr="00A12CC8">
        <w:rPr>
          <w:rFonts w:ascii="Traditional Arabic" w:hAnsi="Traditional Arabic"/>
          <w:color w:val="auto"/>
          <w:sz w:val="32"/>
          <w:szCs w:val="32"/>
          <w:rtl/>
        </w:rPr>
        <w:t>(</w:t>
      </w:r>
      <w:r w:rsidRPr="00A12CC8">
        <w:rPr>
          <w:rStyle w:val="ae"/>
          <w:rFonts w:ascii="Traditional Arabic" w:hAnsi="Traditional Arabic"/>
          <w:color w:val="auto"/>
          <w:sz w:val="32"/>
          <w:szCs w:val="32"/>
          <w:vertAlign w:val="baseline"/>
        </w:rPr>
        <w:footnoteRef/>
      </w:r>
      <w:r w:rsidRPr="00A12CC8">
        <w:rPr>
          <w:rFonts w:ascii="Traditional Arabic" w:hAnsi="Traditional Arabic"/>
          <w:color w:val="auto"/>
          <w:sz w:val="32"/>
          <w:szCs w:val="32"/>
          <w:rtl/>
        </w:rPr>
        <w:t>) في (ك): [يفقهونه].</w:t>
      </w:r>
    </w:p>
  </w:footnote>
  <w:footnote w:id="1884">
    <w:p w:rsidR="003F128F" w:rsidRPr="00A12CC8" w:rsidRDefault="003F128F" w:rsidP="008900CA">
      <w:pPr>
        <w:pStyle w:val="af3"/>
        <w:rPr>
          <w:rFonts w:ascii="Traditional Arabic" w:hAnsi="Traditional Arabic"/>
          <w:color w:val="auto"/>
          <w:sz w:val="32"/>
          <w:szCs w:val="32"/>
        </w:rPr>
      </w:pPr>
      <w:r w:rsidRPr="00A12CC8">
        <w:rPr>
          <w:rFonts w:ascii="Traditional Arabic" w:hAnsi="Traditional Arabic"/>
          <w:color w:val="auto"/>
          <w:sz w:val="32"/>
          <w:szCs w:val="32"/>
          <w:rtl/>
        </w:rPr>
        <w:t>(</w:t>
      </w:r>
      <w:r w:rsidRPr="00A12CC8">
        <w:rPr>
          <w:rStyle w:val="ae"/>
          <w:rFonts w:ascii="Traditional Arabic" w:hAnsi="Traditional Arabic"/>
          <w:color w:val="auto"/>
          <w:sz w:val="32"/>
          <w:szCs w:val="32"/>
          <w:vertAlign w:val="baseline"/>
        </w:rPr>
        <w:footnoteRef/>
      </w:r>
      <w:r w:rsidRPr="00A12CC8">
        <w:rPr>
          <w:rFonts w:ascii="Traditional Arabic" w:hAnsi="Traditional Arabic"/>
          <w:color w:val="auto"/>
          <w:sz w:val="32"/>
          <w:szCs w:val="32"/>
          <w:rtl/>
        </w:rPr>
        <w:t xml:space="preserve">) انظر: السبعة في القراءات (ص399), معاني القراءات (2/123). </w:t>
      </w:r>
    </w:p>
  </w:footnote>
  <w:footnote w:id="1885">
    <w:p w:rsidR="003F128F" w:rsidRPr="00A12CC8" w:rsidRDefault="003F128F" w:rsidP="008900CA">
      <w:pPr>
        <w:pStyle w:val="af3"/>
        <w:rPr>
          <w:rFonts w:ascii="Traditional Arabic" w:hAnsi="Traditional Arabic"/>
          <w:color w:val="auto"/>
          <w:sz w:val="32"/>
          <w:szCs w:val="32"/>
        </w:rPr>
      </w:pPr>
      <w:r w:rsidRPr="00A12CC8">
        <w:rPr>
          <w:rFonts w:ascii="Traditional Arabic" w:hAnsi="Traditional Arabic"/>
          <w:color w:val="auto"/>
          <w:sz w:val="32"/>
          <w:szCs w:val="32"/>
          <w:rtl/>
        </w:rPr>
        <w:t>(</w:t>
      </w:r>
      <w:r w:rsidRPr="00A12CC8">
        <w:rPr>
          <w:rStyle w:val="ae"/>
          <w:rFonts w:ascii="Traditional Arabic" w:hAnsi="Traditional Arabic"/>
          <w:color w:val="auto"/>
          <w:sz w:val="32"/>
          <w:szCs w:val="32"/>
          <w:vertAlign w:val="baseline"/>
        </w:rPr>
        <w:footnoteRef/>
      </w:r>
      <w:r w:rsidRPr="00A12CC8">
        <w:rPr>
          <w:rFonts w:ascii="Traditional Arabic" w:hAnsi="Traditional Arabic"/>
          <w:color w:val="auto"/>
          <w:sz w:val="32"/>
          <w:szCs w:val="32"/>
          <w:rtl/>
        </w:rPr>
        <w:t xml:space="preserve">) </w:t>
      </w:r>
      <w:r w:rsidRPr="00A12CC8">
        <w:rPr>
          <w:rFonts w:ascii="Traditional Arabic" w:hAnsi="Traditional Arabic" w:hint="cs"/>
          <w:color w:val="auto"/>
          <w:sz w:val="32"/>
          <w:szCs w:val="32"/>
          <w:rtl/>
        </w:rPr>
        <w:t>انظر: الزاهر في معاني كلمات الناس لابن الأنباري (2/84).</w:t>
      </w:r>
      <w:r w:rsidRPr="00A12CC8">
        <w:rPr>
          <w:rFonts w:ascii="Traditional Arabic" w:hAnsi="Traditional Arabic"/>
          <w:color w:val="auto"/>
          <w:sz w:val="32"/>
          <w:szCs w:val="32"/>
          <w:rtl/>
        </w:rPr>
        <w:t xml:space="preserve"> </w:t>
      </w:r>
    </w:p>
  </w:footnote>
  <w:footnote w:id="1886">
    <w:p w:rsidR="003F128F" w:rsidRPr="00A12CC8" w:rsidRDefault="003F128F" w:rsidP="008900CA">
      <w:pPr>
        <w:pStyle w:val="af3"/>
        <w:rPr>
          <w:rFonts w:ascii="Traditional Arabic" w:hAnsi="Traditional Arabic"/>
          <w:color w:val="auto"/>
          <w:sz w:val="32"/>
          <w:szCs w:val="32"/>
        </w:rPr>
      </w:pPr>
      <w:r w:rsidRPr="00A12CC8">
        <w:rPr>
          <w:rFonts w:ascii="Traditional Arabic" w:hAnsi="Traditional Arabic"/>
          <w:color w:val="auto"/>
          <w:sz w:val="32"/>
          <w:szCs w:val="32"/>
          <w:rtl/>
        </w:rPr>
        <w:t>(</w:t>
      </w:r>
      <w:r w:rsidRPr="00A12CC8">
        <w:rPr>
          <w:rStyle w:val="ae"/>
          <w:rFonts w:ascii="Traditional Arabic" w:hAnsi="Traditional Arabic"/>
          <w:color w:val="auto"/>
          <w:sz w:val="32"/>
          <w:szCs w:val="32"/>
          <w:vertAlign w:val="baseline"/>
        </w:rPr>
        <w:footnoteRef/>
      </w:r>
      <w:r w:rsidRPr="00A12CC8">
        <w:rPr>
          <w:rFonts w:ascii="Traditional Arabic" w:hAnsi="Traditional Arabic"/>
          <w:color w:val="auto"/>
          <w:sz w:val="32"/>
          <w:szCs w:val="32"/>
          <w:rtl/>
        </w:rPr>
        <w:t>) تفسير مقاتل (2/601), تفسير الطبري (18/103).</w:t>
      </w:r>
    </w:p>
  </w:footnote>
  <w:footnote w:id="1887">
    <w:p w:rsidR="003F128F" w:rsidRPr="00A12CC8" w:rsidRDefault="003F128F" w:rsidP="008900CA">
      <w:pPr>
        <w:pStyle w:val="af3"/>
        <w:rPr>
          <w:rFonts w:ascii="Traditional Arabic" w:hAnsi="Traditional Arabic"/>
          <w:color w:val="auto"/>
          <w:sz w:val="32"/>
          <w:szCs w:val="32"/>
        </w:rPr>
      </w:pPr>
      <w:r w:rsidRPr="00A12CC8">
        <w:rPr>
          <w:rFonts w:ascii="Traditional Arabic" w:hAnsi="Traditional Arabic"/>
          <w:color w:val="auto"/>
          <w:sz w:val="32"/>
          <w:szCs w:val="32"/>
          <w:rtl/>
        </w:rPr>
        <w:t>(</w:t>
      </w:r>
      <w:r w:rsidRPr="00A12CC8">
        <w:rPr>
          <w:rStyle w:val="ae"/>
          <w:rFonts w:ascii="Traditional Arabic" w:hAnsi="Traditional Arabic"/>
          <w:color w:val="auto"/>
          <w:sz w:val="32"/>
          <w:szCs w:val="32"/>
          <w:vertAlign w:val="baseline"/>
        </w:rPr>
        <w:footnoteRef/>
      </w:r>
      <w:r w:rsidRPr="00A12CC8">
        <w:rPr>
          <w:rFonts w:ascii="Traditional Arabic" w:hAnsi="Traditional Arabic"/>
          <w:color w:val="auto"/>
          <w:sz w:val="32"/>
          <w:szCs w:val="32"/>
          <w:rtl/>
        </w:rPr>
        <w:t>) انظر: السبعة في القراءات (ص399), معاني القراءات (2/123).</w:t>
      </w:r>
    </w:p>
  </w:footnote>
  <w:footnote w:id="1888">
    <w:p w:rsidR="003F128F" w:rsidRPr="00D82F2A" w:rsidRDefault="003F128F" w:rsidP="008900CA">
      <w:pPr>
        <w:pStyle w:val="af3"/>
        <w:rPr>
          <w:rFonts w:ascii="Traditional Arabic" w:hAnsi="Traditional Arabic"/>
          <w:sz w:val="32"/>
          <w:szCs w:val="32"/>
        </w:rPr>
      </w:pPr>
      <w:r w:rsidRPr="00A12CC8">
        <w:rPr>
          <w:rFonts w:ascii="Traditional Arabic" w:hAnsi="Traditional Arabic"/>
          <w:color w:val="auto"/>
          <w:sz w:val="32"/>
          <w:szCs w:val="32"/>
          <w:rtl/>
        </w:rPr>
        <w:t>(</w:t>
      </w:r>
      <w:r w:rsidRPr="00A12CC8">
        <w:rPr>
          <w:rStyle w:val="ae"/>
          <w:rFonts w:ascii="Traditional Arabic" w:hAnsi="Traditional Arabic"/>
          <w:color w:val="auto"/>
          <w:sz w:val="32"/>
          <w:szCs w:val="32"/>
          <w:vertAlign w:val="baseline"/>
        </w:rPr>
        <w:footnoteRef/>
      </w:r>
      <w:r>
        <w:rPr>
          <w:rFonts w:ascii="Traditional Arabic" w:hAnsi="Traditional Arabic"/>
          <w:color w:val="auto"/>
          <w:sz w:val="32"/>
          <w:szCs w:val="32"/>
          <w:rtl/>
        </w:rPr>
        <w:t>)</w:t>
      </w:r>
      <w:r w:rsidRPr="00A12CC8">
        <w:rPr>
          <w:rFonts w:ascii="Traditional Arabic" w:hAnsi="Traditional Arabic"/>
          <w:color w:val="auto"/>
          <w:sz w:val="32"/>
          <w:szCs w:val="32"/>
          <w:rtl/>
        </w:rPr>
        <w:t xml:space="preserve"> معالم التنزيل (5/202), المحرر الوجيز (3/541).</w:t>
      </w:r>
    </w:p>
  </w:footnote>
  <w:footnote w:id="1889">
    <w:p w:rsidR="003F128F" w:rsidRPr="00EC3566" w:rsidRDefault="003F128F" w:rsidP="008900CA">
      <w:pPr>
        <w:pStyle w:val="af3"/>
        <w:rPr>
          <w:rFonts w:ascii="Traditional Arabic" w:hAnsi="Traditional Arabic"/>
          <w:sz w:val="32"/>
          <w:szCs w:val="32"/>
        </w:rPr>
      </w:pPr>
      <w:r w:rsidRPr="00D82F2A">
        <w:rPr>
          <w:rFonts w:ascii="Traditional Arabic" w:hAnsi="Traditional Arabic"/>
          <w:sz w:val="32"/>
          <w:szCs w:val="32"/>
          <w:rtl/>
        </w:rPr>
        <w:t>(</w:t>
      </w:r>
      <w:r w:rsidRPr="00D82F2A">
        <w:rPr>
          <w:rStyle w:val="ae"/>
          <w:rFonts w:ascii="Traditional Arabic" w:hAnsi="Traditional Arabic"/>
          <w:sz w:val="32"/>
          <w:szCs w:val="32"/>
          <w:vertAlign w:val="baseline"/>
        </w:rPr>
        <w:footnoteRef/>
      </w:r>
      <w:r w:rsidRPr="00D82F2A">
        <w:rPr>
          <w:rFonts w:ascii="Traditional Arabic" w:hAnsi="Traditional Arabic"/>
          <w:sz w:val="32"/>
          <w:szCs w:val="32"/>
          <w:rtl/>
        </w:rPr>
        <w:t xml:space="preserve">) انظر: السبعة في القراءات (ص399), معاني القراءات (2/123).  </w:t>
      </w:r>
    </w:p>
  </w:footnote>
  <w:footnote w:id="1890">
    <w:p w:rsidR="003F128F" w:rsidRPr="004C119C" w:rsidRDefault="003F128F" w:rsidP="008900CA">
      <w:pPr>
        <w:pStyle w:val="af3"/>
        <w:rPr>
          <w:rFonts w:ascii="Traditional Arabic" w:hAnsi="Traditional Arabic"/>
          <w:sz w:val="32"/>
          <w:szCs w:val="32"/>
        </w:rPr>
      </w:pPr>
      <w:r w:rsidRPr="004C119C">
        <w:rPr>
          <w:rFonts w:ascii="Traditional Arabic" w:hAnsi="Traditional Arabic"/>
          <w:sz w:val="32"/>
          <w:szCs w:val="32"/>
          <w:rtl/>
        </w:rPr>
        <w:t>(</w:t>
      </w:r>
      <w:r w:rsidRPr="004C119C">
        <w:rPr>
          <w:rStyle w:val="ae"/>
          <w:rFonts w:ascii="Traditional Arabic" w:hAnsi="Traditional Arabic"/>
          <w:sz w:val="32"/>
          <w:szCs w:val="32"/>
          <w:vertAlign w:val="baseline"/>
        </w:rPr>
        <w:footnoteRef/>
      </w:r>
      <w:r w:rsidRPr="004C119C">
        <w:rPr>
          <w:rFonts w:ascii="Traditional Arabic" w:hAnsi="Traditional Arabic"/>
          <w:sz w:val="32"/>
          <w:szCs w:val="32"/>
          <w:rtl/>
        </w:rPr>
        <w:t>) التفسير الوسيط (3/166).</w:t>
      </w:r>
    </w:p>
  </w:footnote>
  <w:footnote w:id="1891">
    <w:p w:rsidR="003F128F" w:rsidRPr="004C119C" w:rsidRDefault="003F128F" w:rsidP="008900CA">
      <w:pPr>
        <w:pStyle w:val="af3"/>
        <w:rPr>
          <w:rFonts w:ascii="Traditional Arabic" w:hAnsi="Traditional Arabic"/>
          <w:sz w:val="32"/>
          <w:szCs w:val="32"/>
        </w:rPr>
      </w:pPr>
      <w:r w:rsidRPr="004C119C">
        <w:rPr>
          <w:rFonts w:ascii="Traditional Arabic" w:hAnsi="Traditional Arabic"/>
          <w:sz w:val="32"/>
          <w:szCs w:val="32"/>
          <w:rtl/>
        </w:rPr>
        <w:t>(</w:t>
      </w:r>
      <w:r w:rsidRPr="004C119C">
        <w:rPr>
          <w:rStyle w:val="ae"/>
          <w:rFonts w:ascii="Traditional Arabic" w:hAnsi="Traditional Arabic"/>
          <w:sz w:val="32"/>
          <w:szCs w:val="32"/>
          <w:vertAlign w:val="baseline"/>
        </w:rPr>
        <w:footnoteRef/>
      </w:r>
      <w:r w:rsidRPr="004C119C">
        <w:rPr>
          <w:rFonts w:ascii="Traditional Arabic" w:hAnsi="Traditional Arabic"/>
          <w:sz w:val="32"/>
          <w:szCs w:val="32"/>
          <w:rtl/>
        </w:rPr>
        <w:t>)</w:t>
      </w:r>
      <w:r>
        <w:rPr>
          <w:rFonts w:ascii="Traditional Arabic" w:hAnsi="Traditional Arabic" w:hint="cs"/>
          <w:sz w:val="32"/>
          <w:szCs w:val="32"/>
          <w:rtl/>
        </w:rPr>
        <w:t xml:space="preserve"> انظر: </w:t>
      </w:r>
      <w:r w:rsidRPr="004C119C">
        <w:rPr>
          <w:rFonts w:ascii="Traditional Arabic" w:hAnsi="Traditional Arabic"/>
          <w:sz w:val="32"/>
          <w:szCs w:val="32"/>
          <w:rtl/>
        </w:rPr>
        <w:t>تفسير ابن أبي حاتم (7/2388), التفسير الوسيط (3/167).</w:t>
      </w:r>
    </w:p>
  </w:footnote>
  <w:footnote w:id="1892">
    <w:p w:rsidR="003F128F" w:rsidRPr="004C119C" w:rsidRDefault="003F128F" w:rsidP="008900CA">
      <w:pPr>
        <w:pStyle w:val="af3"/>
        <w:rPr>
          <w:rFonts w:ascii="Traditional Arabic" w:hAnsi="Traditional Arabic"/>
          <w:sz w:val="32"/>
          <w:szCs w:val="32"/>
        </w:rPr>
      </w:pPr>
      <w:r w:rsidRPr="004C119C">
        <w:rPr>
          <w:rFonts w:ascii="Traditional Arabic" w:hAnsi="Traditional Arabic"/>
          <w:sz w:val="32"/>
          <w:szCs w:val="32"/>
          <w:rtl/>
        </w:rPr>
        <w:t>(</w:t>
      </w:r>
      <w:r w:rsidRPr="004C119C">
        <w:rPr>
          <w:rStyle w:val="ae"/>
          <w:rFonts w:ascii="Traditional Arabic" w:hAnsi="Traditional Arabic"/>
          <w:sz w:val="32"/>
          <w:szCs w:val="32"/>
          <w:vertAlign w:val="baseline"/>
        </w:rPr>
        <w:footnoteRef/>
      </w:r>
      <w:r w:rsidRPr="004C119C">
        <w:rPr>
          <w:rFonts w:ascii="Traditional Arabic" w:hAnsi="Traditional Arabic"/>
          <w:sz w:val="32"/>
          <w:szCs w:val="32"/>
          <w:rtl/>
        </w:rPr>
        <w:t xml:space="preserve">) انظر: الكشف والبيان </w:t>
      </w:r>
      <w:r>
        <w:rPr>
          <w:rFonts w:ascii="Traditional Arabic" w:hAnsi="Traditional Arabic"/>
          <w:sz w:val="32"/>
          <w:szCs w:val="32"/>
          <w:rtl/>
        </w:rPr>
        <w:t>(6/196), التفسير الوسيط (3/166)</w:t>
      </w:r>
      <w:r>
        <w:rPr>
          <w:rFonts w:ascii="Traditional Arabic" w:hAnsi="Traditional Arabic" w:hint="cs"/>
          <w:sz w:val="32"/>
          <w:szCs w:val="32"/>
          <w:rtl/>
        </w:rPr>
        <w:t>.</w:t>
      </w:r>
    </w:p>
  </w:footnote>
  <w:footnote w:id="1893">
    <w:p w:rsidR="003F128F" w:rsidRPr="004C119C" w:rsidRDefault="003F128F" w:rsidP="008900CA">
      <w:pPr>
        <w:pStyle w:val="af3"/>
        <w:rPr>
          <w:rFonts w:ascii="Traditional Arabic" w:hAnsi="Traditional Arabic"/>
          <w:sz w:val="32"/>
          <w:szCs w:val="32"/>
        </w:rPr>
      </w:pPr>
      <w:r w:rsidRPr="004C119C">
        <w:rPr>
          <w:rFonts w:ascii="Traditional Arabic" w:hAnsi="Traditional Arabic"/>
          <w:sz w:val="32"/>
          <w:szCs w:val="32"/>
          <w:rtl/>
        </w:rPr>
        <w:t>(</w:t>
      </w:r>
      <w:r w:rsidRPr="004C119C">
        <w:rPr>
          <w:rStyle w:val="ae"/>
          <w:rFonts w:ascii="Traditional Arabic" w:hAnsi="Traditional Arabic"/>
          <w:sz w:val="32"/>
          <w:szCs w:val="32"/>
          <w:vertAlign w:val="baseline"/>
        </w:rPr>
        <w:footnoteRef/>
      </w:r>
      <w:r w:rsidRPr="004C119C">
        <w:rPr>
          <w:rFonts w:ascii="Traditional Arabic" w:hAnsi="Traditional Arabic"/>
          <w:sz w:val="32"/>
          <w:szCs w:val="32"/>
          <w:rtl/>
        </w:rPr>
        <w:t xml:space="preserve">) </w:t>
      </w:r>
      <w:r w:rsidRPr="004C119C">
        <w:rPr>
          <w:rFonts w:ascii="Tahoma" w:hAnsi="Tahoma" w:hint="cs"/>
          <w:sz w:val="32"/>
          <w:szCs w:val="32"/>
          <w:rtl/>
        </w:rPr>
        <w:t xml:space="preserve">الكشف والبيان (6/193), </w:t>
      </w:r>
      <w:r w:rsidRPr="004C119C">
        <w:rPr>
          <w:rFonts w:ascii="Traditional Arabic" w:hAnsi="Traditional Arabic"/>
          <w:sz w:val="32"/>
          <w:szCs w:val="32"/>
          <w:rtl/>
        </w:rPr>
        <w:t>معالم التنزيل (5/202).</w:t>
      </w:r>
      <w:r w:rsidRPr="004C119C">
        <w:rPr>
          <w:rFonts w:ascii="Tahoma" w:hAnsi="Tahoma"/>
          <w:sz w:val="32"/>
          <w:szCs w:val="32"/>
          <w:rtl/>
        </w:rPr>
        <w:t xml:space="preserve"> </w:t>
      </w:r>
    </w:p>
  </w:footnote>
  <w:footnote w:id="1894">
    <w:p w:rsidR="003F128F" w:rsidRPr="004C119C" w:rsidRDefault="003F128F" w:rsidP="008900CA">
      <w:pPr>
        <w:pStyle w:val="af3"/>
        <w:rPr>
          <w:rFonts w:ascii="Traditional Arabic" w:hAnsi="Traditional Arabic"/>
          <w:sz w:val="32"/>
          <w:szCs w:val="32"/>
        </w:rPr>
      </w:pPr>
      <w:r w:rsidRPr="004C119C">
        <w:rPr>
          <w:rFonts w:ascii="Traditional Arabic" w:hAnsi="Traditional Arabic"/>
          <w:sz w:val="32"/>
          <w:szCs w:val="32"/>
          <w:rtl/>
        </w:rPr>
        <w:t>(</w:t>
      </w:r>
      <w:r w:rsidRPr="004C119C">
        <w:rPr>
          <w:rStyle w:val="ae"/>
          <w:rFonts w:ascii="Traditional Arabic" w:hAnsi="Traditional Arabic"/>
          <w:sz w:val="32"/>
          <w:szCs w:val="32"/>
          <w:vertAlign w:val="baseline"/>
        </w:rPr>
        <w:footnoteRef/>
      </w:r>
      <w:r w:rsidRPr="004C119C">
        <w:rPr>
          <w:rFonts w:ascii="Traditional Arabic" w:hAnsi="Traditional Arabic"/>
          <w:sz w:val="32"/>
          <w:szCs w:val="32"/>
          <w:rtl/>
        </w:rPr>
        <w:t>)</w:t>
      </w:r>
      <w:r w:rsidRPr="004C119C">
        <w:rPr>
          <w:rFonts w:ascii="Traditional Arabic" w:hAnsi="Traditional Arabic" w:hint="cs"/>
          <w:sz w:val="32"/>
          <w:szCs w:val="32"/>
          <w:rtl/>
        </w:rPr>
        <w:t xml:space="preserve"> </w:t>
      </w:r>
      <w:r w:rsidRPr="004C119C">
        <w:rPr>
          <w:rFonts w:ascii="Traditional Arabic" w:hAnsi="Traditional Arabic"/>
          <w:sz w:val="32"/>
          <w:szCs w:val="32"/>
          <w:rtl/>
        </w:rPr>
        <w:t>التفسير الوسيط (3/167)</w:t>
      </w:r>
      <w:r w:rsidRPr="004C119C">
        <w:rPr>
          <w:rFonts w:ascii="Traditional Arabic" w:hAnsi="Traditional Arabic" w:hint="cs"/>
          <w:sz w:val="32"/>
          <w:szCs w:val="32"/>
          <w:rtl/>
        </w:rPr>
        <w:t>,</w:t>
      </w:r>
      <w:r w:rsidRPr="004C119C">
        <w:rPr>
          <w:rFonts w:ascii="Traditional Arabic" w:hAnsi="Traditional Arabic"/>
          <w:sz w:val="32"/>
          <w:szCs w:val="32"/>
          <w:rtl/>
        </w:rPr>
        <w:t xml:space="preserve"> معالم التنزيل (5/202). </w:t>
      </w:r>
    </w:p>
  </w:footnote>
  <w:footnote w:id="1895">
    <w:p w:rsidR="003F128F" w:rsidRPr="00042AA9" w:rsidRDefault="003F128F" w:rsidP="008900CA">
      <w:pPr>
        <w:pStyle w:val="af3"/>
        <w:rPr>
          <w:rFonts w:ascii="Traditional Arabic" w:hAnsi="Traditional Arabic"/>
          <w:sz w:val="32"/>
          <w:szCs w:val="32"/>
        </w:rPr>
      </w:pPr>
      <w:r w:rsidRPr="004C119C">
        <w:rPr>
          <w:rFonts w:ascii="Traditional Arabic" w:hAnsi="Traditional Arabic"/>
          <w:sz w:val="32"/>
          <w:szCs w:val="32"/>
          <w:rtl/>
        </w:rPr>
        <w:t>(</w:t>
      </w:r>
      <w:r w:rsidRPr="004C119C">
        <w:rPr>
          <w:rStyle w:val="ae"/>
          <w:rFonts w:ascii="Traditional Arabic" w:hAnsi="Traditional Arabic"/>
          <w:sz w:val="32"/>
          <w:szCs w:val="32"/>
          <w:vertAlign w:val="baseline"/>
        </w:rPr>
        <w:footnoteRef/>
      </w:r>
      <w:r w:rsidRPr="004C119C">
        <w:rPr>
          <w:rFonts w:ascii="Traditional Arabic" w:hAnsi="Traditional Arabic"/>
          <w:sz w:val="32"/>
          <w:szCs w:val="32"/>
          <w:rtl/>
        </w:rPr>
        <w:t xml:space="preserve">) </w:t>
      </w:r>
      <w:r>
        <w:rPr>
          <w:rFonts w:ascii="Traditional Arabic" w:hAnsi="Traditional Arabic" w:hint="cs"/>
          <w:sz w:val="32"/>
          <w:szCs w:val="32"/>
          <w:rtl/>
        </w:rPr>
        <w:t>هو التابعي الإ</w:t>
      </w:r>
      <w:r w:rsidRPr="004C119C">
        <w:rPr>
          <w:rFonts w:ascii="Traditional Arabic" w:hAnsi="Traditional Arabic" w:hint="cs"/>
          <w:sz w:val="32"/>
          <w:szCs w:val="32"/>
          <w:rtl/>
        </w:rPr>
        <w:t>مام</w:t>
      </w:r>
      <w:r>
        <w:rPr>
          <w:rFonts w:ascii="Traditional Arabic" w:hAnsi="Traditional Arabic" w:hint="cs"/>
          <w:sz w:val="32"/>
          <w:szCs w:val="32"/>
          <w:rtl/>
        </w:rPr>
        <w:t>,</w:t>
      </w:r>
      <w:r w:rsidRPr="004C119C">
        <w:rPr>
          <w:rFonts w:ascii="Traditional Arabic" w:hAnsi="Traditional Arabic" w:hint="cs"/>
          <w:sz w:val="32"/>
          <w:szCs w:val="32"/>
          <w:rtl/>
        </w:rPr>
        <w:t xml:space="preserve"> </w:t>
      </w:r>
      <w:r w:rsidRPr="004C119C">
        <w:rPr>
          <w:rFonts w:ascii="Traditional Arabic" w:hAnsi="Traditional Arabic"/>
          <w:sz w:val="32"/>
          <w:szCs w:val="32"/>
          <w:rtl/>
        </w:rPr>
        <w:t>أبو وائل</w:t>
      </w:r>
      <w:r>
        <w:rPr>
          <w:rFonts w:ascii="Traditional Arabic" w:hAnsi="Traditional Arabic" w:hint="cs"/>
          <w:sz w:val="32"/>
          <w:szCs w:val="32"/>
          <w:rtl/>
        </w:rPr>
        <w:t>,</w:t>
      </w:r>
      <w:r w:rsidRPr="004C119C">
        <w:rPr>
          <w:rFonts w:ascii="Traditional Arabic" w:hAnsi="Traditional Arabic"/>
          <w:sz w:val="32"/>
          <w:szCs w:val="32"/>
          <w:rtl/>
        </w:rPr>
        <w:t xml:space="preserve"> شقيق بن سلمة الأسدي</w:t>
      </w:r>
      <w:r w:rsidRPr="004C119C">
        <w:rPr>
          <w:rFonts w:ascii="Traditional Arabic" w:hAnsi="Traditional Arabic" w:hint="cs"/>
          <w:sz w:val="32"/>
          <w:szCs w:val="32"/>
          <w:rtl/>
        </w:rPr>
        <w:t>,</w:t>
      </w:r>
      <w:r w:rsidRPr="004C119C">
        <w:rPr>
          <w:rFonts w:ascii="Traditional Arabic" w:hAnsi="Traditional Arabic"/>
          <w:sz w:val="32"/>
          <w:szCs w:val="32"/>
          <w:rtl/>
          <w:lang w:eastAsia="en-US"/>
        </w:rPr>
        <w:t xml:space="preserve"> </w:t>
      </w:r>
      <w:r w:rsidRPr="004C119C">
        <w:rPr>
          <w:rFonts w:ascii="Traditional Arabic" w:hAnsi="Traditional Arabic"/>
          <w:sz w:val="32"/>
          <w:szCs w:val="32"/>
          <w:rtl/>
        </w:rPr>
        <w:t>أسد خزيم</w:t>
      </w:r>
      <w:r w:rsidRPr="004C119C">
        <w:rPr>
          <w:rFonts w:ascii="Traditional Arabic" w:hAnsi="Traditional Arabic" w:hint="cs"/>
          <w:sz w:val="32"/>
          <w:szCs w:val="32"/>
          <w:rtl/>
        </w:rPr>
        <w:t>ة,</w:t>
      </w:r>
      <w:r w:rsidRPr="004C119C">
        <w:rPr>
          <w:rFonts w:ascii="Traditional Arabic" w:hAnsi="Traditional Arabic"/>
          <w:sz w:val="32"/>
          <w:szCs w:val="32"/>
          <w:rtl/>
        </w:rPr>
        <w:t xml:space="preserve"> شيخ الكوفة وعالمها</w:t>
      </w:r>
      <w:r w:rsidRPr="004C119C">
        <w:rPr>
          <w:rFonts w:ascii="Traditional Arabic" w:hAnsi="Traditional Arabic" w:hint="cs"/>
          <w:sz w:val="32"/>
          <w:szCs w:val="32"/>
          <w:rtl/>
        </w:rPr>
        <w:t>,</w:t>
      </w:r>
      <w:r w:rsidRPr="004C119C">
        <w:rPr>
          <w:rFonts w:ascii="Traditional Arabic" w:hAnsi="Traditional Arabic"/>
          <w:sz w:val="32"/>
          <w:szCs w:val="32"/>
          <w:rtl/>
        </w:rPr>
        <w:t xml:space="preserve"> مخضوم جليل</w:t>
      </w:r>
      <w:r w:rsidRPr="004C119C">
        <w:rPr>
          <w:rFonts w:ascii="Traditional Arabic" w:hAnsi="Traditional Arabic" w:hint="cs"/>
          <w:sz w:val="32"/>
          <w:szCs w:val="32"/>
          <w:rtl/>
        </w:rPr>
        <w:t xml:space="preserve">, </w:t>
      </w:r>
      <w:r w:rsidRPr="004C119C">
        <w:rPr>
          <w:rFonts w:ascii="Traditional Arabic" w:hAnsi="Traditional Arabic"/>
          <w:sz w:val="32"/>
          <w:szCs w:val="32"/>
          <w:rtl/>
        </w:rPr>
        <w:t>أدرك رسول الله</w:t>
      </w:r>
      <w:r w:rsidRPr="004C119C">
        <w:rPr>
          <w:rFonts w:ascii="Traditional Arabic" w:hAnsi="Traditional Arabic" w:hint="cs"/>
          <w:sz w:val="32"/>
          <w:szCs w:val="32"/>
          <w:rtl/>
        </w:rPr>
        <w:t xml:space="preserve"> </w:t>
      </w:r>
      <w:r w:rsidRPr="004C119C">
        <w:rPr>
          <w:rFonts w:ascii="Traditional Arabic" w:hAnsi="Traditional Arabic"/>
          <w:sz w:val="32"/>
          <w:szCs w:val="32"/>
          <w:lang w:eastAsia="en-US"/>
        </w:rPr>
        <w:sym w:font="AGA Arabesque" w:char="F072"/>
      </w:r>
      <w:r w:rsidRPr="004C119C">
        <w:rPr>
          <w:rFonts w:ascii="Traditional Arabic" w:hAnsi="Traditional Arabic"/>
          <w:sz w:val="32"/>
          <w:szCs w:val="32"/>
          <w:rtl/>
        </w:rPr>
        <w:t xml:space="preserve"> ولم يلقه،</w:t>
      </w:r>
      <w:r w:rsidRPr="004C119C">
        <w:rPr>
          <w:rFonts w:ascii="Traditional Arabic" w:hAnsi="Traditional Arabic" w:hint="cs"/>
          <w:sz w:val="32"/>
          <w:szCs w:val="32"/>
          <w:rtl/>
        </w:rPr>
        <w:t xml:space="preserve"> </w:t>
      </w:r>
      <w:r w:rsidRPr="004C119C">
        <w:rPr>
          <w:rFonts w:ascii="Traditional Arabic" w:hAnsi="Traditional Arabic"/>
          <w:sz w:val="32"/>
          <w:szCs w:val="32"/>
          <w:rtl/>
        </w:rPr>
        <w:t>كان من أئمة الدين</w:t>
      </w:r>
      <w:r w:rsidRPr="004C119C">
        <w:rPr>
          <w:rFonts w:ascii="Traditional Arabic" w:hAnsi="Traditional Arabic" w:hint="cs"/>
          <w:sz w:val="32"/>
          <w:szCs w:val="32"/>
          <w:rtl/>
        </w:rPr>
        <w:t>, و</w:t>
      </w:r>
      <w:r w:rsidRPr="004C119C">
        <w:rPr>
          <w:rFonts w:ascii="Traditional Arabic" w:hAnsi="Traditional Arabic"/>
          <w:sz w:val="32"/>
          <w:szCs w:val="32"/>
          <w:rtl/>
        </w:rPr>
        <w:t>كان ثقة، كثير الحديث</w:t>
      </w:r>
      <w:r w:rsidRPr="004C119C">
        <w:rPr>
          <w:rFonts w:ascii="Traditional Arabic" w:hAnsi="Traditional Arabic" w:hint="cs"/>
          <w:sz w:val="32"/>
          <w:szCs w:val="32"/>
          <w:rtl/>
        </w:rPr>
        <w:t>,</w:t>
      </w:r>
      <w:r w:rsidRPr="004C119C">
        <w:rPr>
          <w:rFonts w:ascii="Traditional Arabic" w:hAnsi="Traditional Arabic"/>
          <w:sz w:val="32"/>
          <w:szCs w:val="32"/>
          <w:rtl/>
        </w:rPr>
        <w:t xml:space="preserve"> (ت</w:t>
      </w:r>
      <w:r w:rsidRPr="004C119C">
        <w:rPr>
          <w:rFonts w:ascii="Traditional Arabic" w:hAnsi="Traditional Arabic" w:hint="cs"/>
          <w:sz w:val="32"/>
          <w:szCs w:val="32"/>
          <w:rtl/>
        </w:rPr>
        <w:t>82</w:t>
      </w:r>
      <w:r w:rsidRPr="004C119C">
        <w:rPr>
          <w:rFonts w:ascii="Traditional Arabic" w:hAnsi="Traditional Arabic"/>
          <w:sz w:val="32"/>
          <w:szCs w:val="32"/>
          <w:rtl/>
        </w:rPr>
        <w:t>ه). انظر: وفيات الأعيان (</w:t>
      </w:r>
      <w:r w:rsidRPr="004C119C">
        <w:rPr>
          <w:rFonts w:ascii="Traditional Arabic" w:hAnsi="Traditional Arabic" w:hint="cs"/>
          <w:sz w:val="32"/>
          <w:szCs w:val="32"/>
          <w:rtl/>
        </w:rPr>
        <w:t>2/476</w:t>
      </w:r>
      <w:r w:rsidRPr="004C119C">
        <w:rPr>
          <w:rFonts w:ascii="Traditional Arabic" w:hAnsi="Traditional Arabic"/>
          <w:sz w:val="32"/>
          <w:szCs w:val="32"/>
          <w:rtl/>
        </w:rPr>
        <w:t>),</w:t>
      </w:r>
      <w:r w:rsidRPr="004C119C">
        <w:rPr>
          <w:rFonts w:ascii="Traditional Arabic" w:hAnsi="Traditional Arabic" w:hint="cs"/>
          <w:sz w:val="32"/>
          <w:szCs w:val="32"/>
          <w:rtl/>
        </w:rPr>
        <w:t xml:space="preserve"> تهذيب الكمال (12/548),</w:t>
      </w:r>
      <w:r w:rsidRPr="004C119C">
        <w:rPr>
          <w:rFonts w:ascii="Traditional Arabic" w:hAnsi="Traditional Arabic"/>
          <w:sz w:val="32"/>
          <w:szCs w:val="32"/>
          <w:rtl/>
        </w:rPr>
        <w:t xml:space="preserve"> سير أعلام النبلاء (</w:t>
      </w:r>
      <w:r w:rsidRPr="004C119C">
        <w:rPr>
          <w:rFonts w:ascii="Traditional Arabic" w:hAnsi="Traditional Arabic" w:hint="cs"/>
          <w:sz w:val="32"/>
          <w:szCs w:val="32"/>
          <w:rtl/>
        </w:rPr>
        <w:t>4/161</w:t>
      </w:r>
      <w:r w:rsidRPr="004C119C">
        <w:rPr>
          <w:rFonts w:ascii="Traditional Arabic" w:hAnsi="Traditional Arabic"/>
          <w:sz w:val="32"/>
          <w:szCs w:val="32"/>
          <w:rtl/>
        </w:rPr>
        <w:t>).</w:t>
      </w:r>
    </w:p>
  </w:footnote>
  <w:footnote w:id="1896">
    <w:p w:rsidR="003F128F" w:rsidRPr="004C119C" w:rsidRDefault="003F128F" w:rsidP="008900CA">
      <w:pPr>
        <w:pStyle w:val="af3"/>
        <w:rPr>
          <w:rFonts w:ascii="Traditional Arabic" w:hAnsi="Traditional Arabic"/>
          <w:sz w:val="32"/>
          <w:szCs w:val="32"/>
        </w:rPr>
      </w:pPr>
      <w:r w:rsidRPr="004C119C">
        <w:rPr>
          <w:rFonts w:ascii="Traditional Arabic" w:hAnsi="Traditional Arabic"/>
          <w:sz w:val="32"/>
          <w:szCs w:val="32"/>
          <w:rtl/>
        </w:rPr>
        <w:t>(</w:t>
      </w:r>
      <w:r w:rsidRPr="004C119C">
        <w:rPr>
          <w:rStyle w:val="ae"/>
          <w:rFonts w:ascii="Traditional Arabic" w:hAnsi="Traditional Arabic"/>
          <w:sz w:val="32"/>
          <w:szCs w:val="32"/>
          <w:vertAlign w:val="baseline"/>
        </w:rPr>
        <w:footnoteRef/>
      </w:r>
      <w:r w:rsidRPr="004C119C">
        <w:rPr>
          <w:rFonts w:ascii="Traditional Arabic" w:hAnsi="Traditional Arabic"/>
          <w:sz w:val="32"/>
          <w:szCs w:val="32"/>
          <w:rtl/>
        </w:rPr>
        <w:t>) خُراسَانُ: بلاد واسعة، أول حدودها مما يلي العراق, وآخر حدودها مما يلي الهند.</w:t>
      </w:r>
      <w:r w:rsidRPr="004C119C">
        <w:rPr>
          <w:rFonts w:ascii="Traditional Arabic" w:hAnsi="Traditional Arabic"/>
          <w:sz w:val="32"/>
          <w:szCs w:val="32"/>
          <w:rtl/>
          <w:lang w:eastAsia="en-US"/>
        </w:rPr>
        <w:t xml:space="preserve"> وقيل </w:t>
      </w:r>
      <w:r w:rsidRPr="004C119C">
        <w:rPr>
          <w:rFonts w:ascii="Traditional Arabic" w:hAnsi="Traditional Arabic"/>
          <w:sz w:val="32"/>
          <w:szCs w:val="32"/>
          <w:rtl/>
        </w:rPr>
        <w:t xml:space="preserve">معنى خراسان بالفارسيّة: مطلع الشمس. انظر: معجم ما استعجم (2/489), معجم البلدان (2/350). </w:t>
      </w:r>
    </w:p>
  </w:footnote>
  <w:footnote w:id="1897">
    <w:p w:rsidR="003F128F" w:rsidRPr="004C119C" w:rsidRDefault="003F128F" w:rsidP="008900CA">
      <w:pPr>
        <w:pStyle w:val="af3"/>
        <w:rPr>
          <w:rFonts w:ascii="Traditional Arabic" w:hAnsi="Traditional Arabic"/>
          <w:sz w:val="32"/>
          <w:szCs w:val="32"/>
        </w:rPr>
      </w:pPr>
      <w:r w:rsidRPr="004C119C">
        <w:rPr>
          <w:rFonts w:ascii="Traditional Arabic" w:hAnsi="Traditional Arabic"/>
          <w:sz w:val="32"/>
          <w:szCs w:val="32"/>
          <w:rtl/>
        </w:rPr>
        <w:t>(</w:t>
      </w:r>
      <w:r w:rsidRPr="004C119C">
        <w:rPr>
          <w:rStyle w:val="ae"/>
          <w:rFonts w:ascii="Traditional Arabic" w:hAnsi="Traditional Arabic"/>
          <w:sz w:val="32"/>
          <w:szCs w:val="32"/>
          <w:vertAlign w:val="baseline"/>
        </w:rPr>
        <w:footnoteRef/>
      </w:r>
      <w:r w:rsidRPr="004C119C">
        <w:rPr>
          <w:rFonts w:ascii="Traditional Arabic" w:hAnsi="Traditional Arabic"/>
          <w:sz w:val="32"/>
          <w:szCs w:val="32"/>
          <w:rtl/>
        </w:rPr>
        <w:t xml:space="preserve">) بُحَيرَة طَبَرِيَّةَ: </w:t>
      </w:r>
      <w:r>
        <w:rPr>
          <w:rFonts w:ascii="Traditional Arabic" w:hAnsi="Traditional Arabic" w:hint="cs"/>
          <w:sz w:val="32"/>
          <w:szCs w:val="32"/>
          <w:rtl/>
        </w:rPr>
        <w:t xml:space="preserve">من </w:t>
      </w:r>
      <w:r w:rsidRPr="004C119C">
        <w:rPr>
          <w:rFonts w:ascii="Traditional Arabic" w:hAnsi="Traditional Arabic"/>
          <w:sz w:val="32"/>
          <w:szCs w:val="32"/>
          <w:rtl/>
        </w:rPr>
        <w:t>أعمال الأردن</w:t>
      </w:r>
      <w:r>
        <w:rPr>
          <w:rFonts w:ascii="Traditional Arabic" w:hAnsi="Traditional Arabic" w:hint="cs"/>
          <w:sz w:val="32"/>
          <w:szCs w:val="32"/>
          <w:rtl/>
        </w:rPr>
        <w:t>, و</w:t>
      </w:r>
      <w:r w:rsidRPr="004C119C">
        <w:rPr>
          <w:rFonts w:ascii="Traditional Arabic" w:hAnsi="Traditional Arabic"/>
          <w:sz w:val="32"/>
          <w:szCs w:val="32"/>
          <w:rtl/>
        </w:rPr>
        <w:t>هي نحو من عشرة أميال في ستة أميال</w:t>
      </w:r>
      <w:r>
        <w:rPr>
          <w:rFonts w:ascii="Traditional Arabic" w:hAnsi="Traditional Arabic" w:hint="cs"/>
          <w:sz w:val="32"/>
          <w:szCs w:val="32"/>
          <w:rtl/>
        </w:rPr>
        <w:t>.</w:t>
      </w:r>
      <w:r w:rsidRPr="004C119C">
        <w:rPr>
          <w:rFonts w:ascii="Traditional Arabic" w:hAnsi="Traditional Arabic"/>
          <w:sz w:val="32"/>
          <w:szCs w:val="32"/>
          <w:rtl/>
        </w:rPr>
        <w:t xml:space="preserve"> انظر: معجم البلدان (1/351).</w:t>
      </w:r>
    </w:p>
  </w:footnote>
  <w:footnote w:id="1898">
    <w:p w:rsidR="003F128F" w:rsidRPr="004C119C" w:rsidRDefault="003F128F" w:rsidP="008900CA">
      <w:pPr>
        <w:widowControl/>
        <w:autoSpaceDE w:val="0"/>
        <w:autoSpaceDN w:val="0"/>
        <w:adjustRightInd w:val="0"/>
        <w:ind w:firstLine="0"/>
        <w:jc w:val="left"/>
        <w:rPr>
          <w:rFonts w:ascii="Traditional Arabic" w:hAnsi="Traditional Arabic"/>
          <w:sz w:val="32"/>
          <w:szCs w:val="32"/>
        </w:rPr>
      </w:pPr>
      <w:r w:rsidRPr="004C119C">
        <w:rPr>
          <w:rFonts w:ascii="Traditional Arabic" w:hAnsi="Traditional Arabic"/>
          <w:sz w:val="32"/>
          <w:szCs w:val="32"/>
          <w:rtl/>
        </w:rPr>
        <w:t>(</w:t>
      </w:r>
      <w:r w:rsidRPr="004C119C">
        <w:rPr>
          <w:rStyle w:val="ae"/>
          <w:rFonts w:ascii="Traditional Arabic" w:hAnsi="Traditional Arabic"/>
          <w:sz w:val="32"/>
          <w:szCs w:val="32"/>
          <w:vertAlign w:val="baseline"/>
        </w:rPr>
        <w:footnoteRef/>
      </w:r>
      <w:r w:rsidRPr="004C119C">
        <w:rPr>
          <w:rFonts w:ascii="Traditional Arabic" w:hAnsi="Traditional Arabic"/>
          <w:sz w:val="32"/>
          <w:szCs w:val="32"/>
          <w:rtl/>
        </w:rPr>
        <w:t>)</w:t>
      </w:r>
      <w:r w:rsidRPr="004C119C">
        <w:rPr>
          <w:rFonts w:ascii="Traditional Arabic" w:hAnsi="Traditional Arabic"/>
          <w:sz w:val="32"/>
          <w:szCs w:val="32"/>
          <w:rtl/>
          <w:lang w:eastAsia="en-US"/>
        </w:rPr>
        <w:t xml:space="preserve"> أخرجه الطبراني في المعجم الأوسط (4/155 ح3855), وابن عدي في الكامل (6/ 168), وابن الجوزي في الموضوعات (1/206), والواحدي في التفسير الوسيط (3/166), وحكم ابن عدي وابن الجوزي بوضعه, وكذلك حكم عليه الشيخ الالباني في السلسلة الضعيفة (9/164 ح4143). </w:t>
      </w:r>
    </w:p>
  </w:footnote>
  <w:footnote w:id="1899">
    <w:p w:rsidR="003F128F" w:rsidRPr="004C119C" w:rsidRDefault="003F128F" w:rsidP="008900CA">
      <w:pPr>
        <w:pStyle w:val="af3"/>
        <w:rPr>
          <w:rFonts w:ascii="Traditional Arabic" w:hAnsi="Traditional Arabic"/>
          <w:sz w:val="32"/>
          <w:szCs w:val="32"/>
        </w:rPr>
      </w:pPr>
      <w:r w:rsidRPr="004C119C">
        <w:rPr>
          <w:rFonts w:ascii="Traditional Arabic" w:hAnsi="Traditional Arabic"/>
          <w:sz w:val="32"/>
          <w:szCs w:val="32"/>
          <w:rtl/>
        </w:rPr>
        <w:t>(</w:t>
      </w:r>
      <w:r w:rsidRPr="004C119C">
        <w:rPr>
          <w:rStyle w:val="ae"/>
          <w:rFonts w:ascii="Traditional Arabic" w:hAnsi="Traditional Arabic"/>
          <w:sz w:val="32"/>
          <w:szCs w:val="32"/>
          <w:vertAlign w:val="baseline"/>
        </w:rPr>
        <w:footnoteRef/>
      </w:r>
      <w:r w:rsidRPr="004C119C">
        <w:rPr>
          <w:rFonts w:ascii="Traditional Arabic" w:hAnsi="Traditional Arabic"/>
          <w:sz w:val="32"/>
          <w:szCs w:val="32"/>
          <w:rtl/>
        </w:rPr>
        <w:t xml:space="preserve">) انظر: رموز الكنوز (4/366),  </w:t>
      </w:r>
    </w:p>
  </w:footnote>
  <w:footnote w:id="1900">
    <w:p w:rsidR="003F128F" w:rsidRPr="004C119C" w:rsidRDefault="003F128F" w:rsidP="008900CA">
      <w:pPr>
        <w:pStyle w:val="af3"/>
        <w:rPr>
          <w:rFonts w:ascii="Traditional Arabic" w:hAnsi="Traditional Arabic"/>
          <w:sz w:val="32"/>
          <w:szCs w:val="32"/>
        </w:rPr>
      </w:pPr>
      <w:r w:rsidRPr="004C119C">
        <w:rPr>
          <w:rFonts w:ascii="Traditional Arabic" w:hAnsi="Traditional Arabic"/>
          <w:color w:val="auto"/>
          <w:sz w:val="32"/>
          <w:szCs w:val="32"/>
          <w:rtl/>
        </w:rPr>
        <w:t>(</w:t>
      </w:r>
      <w:r w:rsidRPr="004C119C">
        <w:rPr>
          <w:rStyle w:val="ae"/>
          <w:rFonts w:ascii="Traditional Arabic" w:hAnsi="Traditional Arabic"/>
          <w:color w:val="auto"/>
          <w:sz w:val="32"/>
          <w:szCs w:val="32"/>
          <w:vertAlign w:val="baseline"/>
        </w:rPr>
        <w:footnoteRef/>
      </w:r>
      <w:r>
        <w:rPr>
          <w:rFonts w:ascii="Traditional Arabic" w:hAnsi="Traditional Arabic"/>
          <w:color w:val="auto"/>
          <w:sz w:val="32"/>
          <w:szCs w:val="32"/>
          <w:rtl/>
        </w:rPr>
        <w:t>) هو ال</w:t>
      </w:r>
      <w:r>
        <w:rPr>
          <w:rFonts w:ascii="Traditional Arabic" w:hAnsi="Traditional Arabic" w:hint="cs"/>
          <w:color w:val="auto"/>
          <w:sz w:val="32"/>
          <w:szCs w:val="32"/>
          <w:rtl/>
        </w:rPr>
        <w:t>إ</w:t>
      </w:r>
      <w:r w:rsidRPr="004C119C">
        <w:rPr>
          <w:rFonts w:ascii="Traditional Arabic" w:hAnsi="Traditional Arabic"/>
          <w:color w:val="auto"/>
          <w:sz w:val="32"/>
          <w:szCs w:val="32"/>
          <w:rtl/>
        </w:rPr>
        <w:t>مام</w:t>
      </w:r>
      <w:r w:rsidRPr="004C119C">
        <w:rPr>
          <w:rFonts w:ascii="Traditional Arabic" w:hAnsi="Traditional Arabic"/>
          <w:color w:val="auto"/>
          <w:sz w:val="32"/>
          <w:szCs w:val="32"/>
          <w:rtl/>
          <w:lang w:eastAsia="en-US"/>
        </w:rPr>
        <w:t xml:space="preserve"> </w:t>
      </w:r>
      <w:r w:rsidRPr="004C119C">
        <w:rPr>
          <w:rFonts w:ascii="Traditional Arabic" w:hAnsi="Traditional Arabic"/>
          <w:color w:val="auto"/>
          <w:sz w:val="32"/>
          <w:szCs w:val="32"/>
          <w:rtl/>
        </w:rPr>
        <w:t>أبو محمد</w:t>
      </w:r>
      <w:r>
        <w:rPr>
          <w:rFonts w:ascii="Traditional Arabic" w:hAnsi="Traditional Arabic" w:hint="cs"/>
          <w:color w:val="auto"/>
          <w:sz w:val="32"/>
          <w:szCs w:val="32"/>
          <w:rtl/>
        </w:rPr>
        <w:t>,</w:t>
      </w:r>
      <w:r w:rsidRPr="004C119C">
        <w:rPr>
          <w:rFonts w:ascii="Traditional Arabic" w:hAnsi="Traditional Arabic"/>
          <w:color w:val="auto"/>
          <w:sz w:val="32"/>
          <w:szCs w:val="32"/>
          <w:rtl/>
        </w:rPr>
        <w:t xml:space="preserve"> سعيد بن عبد العزيز بن أَبي يحيى التنوخي, الدِّمشقي، القدوة, فقيه أهل الشام ومفتيهم بدمشق بعد الأوزاعي, كان حافظا حجة, (ت167ه). انظر: تهذيب الكمال (10/539), سير أعلام النبلاء (8/38).</w:t>
      </w:r>
    </w:p>
  </w:footnote>
  <w:footnote w:id="1901">
    <w:p w:rsidR="003F128F" w:rsidRPr="004C119C" w:rsidRDefault="003F128F" w:rsidP="008900CA">
      <w:pPr>
        <w:pStyle w:val="af3"/>
        <w:rPr>
          <w:rFonts w:ascii="Traditional Arabic" w:hAnsi="Traditional Arabic"/>
          <w:sz w:val="32"/>
          <w:szCs w:val="32"/>
        </w:rPr>
      </w:pPr>
      <w:r w:rsidRPr="004C119C">
        <w:rPr>
          <w:rFonts w:ascii="Traditional Arabic" w:hAnsi="Traditional Arabic"/>
          <w:sz w:val="32"/>
          <w:szCs w:val="32"/>
          <w:rtl/>
        </w:rPr>
        <w:t>(</w:t>
      </w:r>
      <w:r w:rsidRPr="004C119C">
        <w:rPr>
          <w:rStyle w:val="ae"/>
          <w:rFonts w:ascii="Traditional Arabic" w:hAnsi="Traditional Arabic"/>
          <w:sz w:val="32"/>
          <w:szCs w:val="32"/>
          <w:vertAlign w:val="baseline"/>
        </w:rPr>
        <w:footnoteRef/>
      </w:r>
      <w:r w:rsidRPr="004C119C">
        <w:rPr>
          <w:rFonts w:ascii="Traditional Arabic" w:hAnsi="Traditional Arabic"/>
          <w:sz w:val="32"/>
          <w:szCs w:val="32"/>
          <w:rtl/>
        </w:rPr>
        <w:t>) انظر: تفسير الطبري (18/104),  الكشف والبيان (6/193)</w:t>
      </w:r>
      <w:r>
        <w:rPr>
          <w:rFonts w:ascii="Traditional Arabic" w:hAnsi="Traditional Arabic" w:hint="cs"/>
          <w:sz w:val="32"/>
          <w:szCs w:val="32"/>
          <w:rtl/>
        </w:rPr>
        <w:t>.</w:t>
      </w:r>
    </w:p>
  </w:footnote>
  <w:footnote w:id="1902">
    <w:p w:rsidR="003F128F" w:rsidRPr="006A3B57" w:rsidRDefault="003F128F" w:rsidP="008900CA">
      <w:pPr>
        <w:pStyle w:val="af3"/>
        <w:rPr>
          <w:rFonts w:ascii="Traditional Arabic" w:hAnsi="Traditional Arabic"/>
          <w:sz w:val="32"/>
          <w:szCs w:val="32"/>
        </w:rPr>
      </w:pPr>
      <w:r w:rsidRPr="004C119C">
        <w:rPr>
          <w:rFonts w:ascii="Traditional Arabic" w:hAnsi="Traditional Arabic"/>
          <w:sz w:val="32"/>
          <w:szCs w:val="32"/>
          <w:rtl/>
        </w:rPr>
        <w:t>(</w:t>
      </w:r>
      <w:r w:rsidRPr="004C119C">
        <w:rPr>
          <w:rStyle w:val="ae"/>
          <w:rFonts w:ascii="Traditional Arabic" w:hAnsi="Traditional Arabic"/>
          <w:sz w:val="32"/>
          <w:szCs w:val="32"/>
          <w:vertAlign w:val="baseline"/>
        </w:rPr>
        <w:footnoteRef/>
      </w:r>
      <w:r w:rsidRPr="004C119C">
        <w:rPr>
          <w:rFonts w:ascii="Traditional Arabic" w:hAnsi="Traditional Arabic"/>
          <w:sz w:val="32"/>
          <w:szCs w:val="32"/>
          <w:rtl/>
        </w:rPr>
        <w:t xml:space="preserve">) </w:t>
      </w:r>
      <w:r w:rsidRPr="006A3B57">
        <w:rPr>
          <w:rFonts w:ascii="Traditional Arabic" w:hAnsi="Traditional Arabic"/>
          <w:sz w:val="32"/>
          <w:szCs w:val="32"/>
          <w:rtl/>
        </w:rPr>
        <w:t>انظر: الكشف والبيان (6/193), التفسير الوسيط (3/167)</w:t>
      </w:r>
      <w:r>
        <w:rPr>
          <w:rFonts w:ascii="Traditional Arabic" w:hAnsi="Traditional Arabic" w:hint="cs"/>
          <w:sz w:val="32"/>
          <w:szCs w:val="32"/>
          <w:rtl/>
        </w:rPr>
        <w:t>.</w:t>
      </w:r>
    </w:p>
  </w:footnote>
  <w:footnote w:id="1903">
    <w:p w:rsidR="003F128F" w:rsidRPr="006A3B57" w:rsidRDefault="003F128F" w:rsidP="008900CA">
      <w:pPr>
        <w:pStyle w:val="af3"/>
        <w:rPr>
          <w:rFonts w:ascii="Traditional Arabic" w:hAnsi="Traditional Arabic"/>
          <w:sz w:val="32"/>
          <w:szCs w:val="32"/>
        </w:rPr>
      </w:pPr>
      <w:r w:rsidRPr="006A3B57">
        <w:rPr>
          <w:rFonts w:ascii="Traditional Arabic" w:hAnsi="Traditional Arabic"/>
          <w:sz w:val="32"/>
          <w:szCs w:val="32"/>
          <w:rtl/>
        </w:rPr>
        <w:t>(</w:t>
      </w:r>
      <w:r w:rsidRPr="006A3B57">
        <w:rPr>
          <w:rStyle w:val="ae"/>
          <w:rFonts w:ascii="Traditional Arabic" w:hAnsi="Traditional Arabic"/>
          <w:sz w:val="32"/>
          <w:szCs w:val="32"/>
          <w:vertAlign w:val="baseline"/>
        </w:rPr>
        <w:footnoteRef/>
      </w:r>
      <w:r w:rsidRPr="006A3B57">
        <w:rPr>
          <w:rFonts w:ascii="Traditional Arabic" w:hAnsi="Traditional Arabic"/>
          <w:sz w:val="32"/>
          <w:szCs w:val="32"/>
          <w:rtl/>
        </w:rPr>
        <w:t xml:space="preserve">) انظر: تفسير مقاتل (2/601). </w:t>
      </w:r>
    </w:p>
  </w:footnote>
  <w:footnote w:id="1904">
    <w:p w:rsidR="003F128F" w:rsidRPr="006A3B57" w:rsidRDefault="003F128F" w:rsidP="008900CA">
      <w:pPr>
        <w:pStyle w:val="af3"/>
        <w:rPr>
          <w:rFonts w:ascii="Traditional Arabic" w:hAnsi="Traditional Arabic"/>
          <w:sz w:val="32"/>
          <w:szCs w:val="32"/>
        </w:rPr>
      </w:pPr>
      <w:r w:rsidRPr="006A3B57">
        <w:rPr>
          <w:rFonts w:ascii="Traditional Arabic" w:hAnsi="Traditional Arabic"/>
          <w:sz w:val="32"/>
          <w:szCs w:val="32"/>
          <w:rtl/>
        </w:rPr>
        <w:t>(</w:t>
      </w:r>
      <w:r w:rsidRPr="006A3B57">
        <w:rPr>
          <w:rStyle w:val="ae"/>
          <w:rFonts w:ascii="Traditional Arabic" w:hAnsi="Traditional Arabic"/>
          <w:sz w:val="32"/>
          <w:szCs w:val="32"/>
          <w:vertAlign w:val="baseline"/>
        </w:rPr>
        <w:footnoteRef/>
      </w:r>
      <w:r w:rsidRPr="006A3B57">
        <w:rPr>
          <w:rFonts w:ascii="Traditional Arabic" w:hAnsi="Traditional Arabic"/>
          <w:sz w:val="32"/>
          <w:szCs w:val="32"/>
          <w:rtl/>
        </w:rPr>
        <w:t>) انظر: السبعة في القراءات (ص400), معاني القراءات (2/124)</w:t>
      </w:r>
      <w:r>
        <w:rPr>
          <w:rFonts w:ascii="Traditional Arabic" w:hAnsi="Traditional Arabic" w:hint="cs"/>
          <w:sz w:val="32"/>
          <w:szCs w:val="32"/>
          <w:rtl/>
        </w:rPr>
        <w:t>.</w:t>
      </w:r>
    </w:p>
  </w:footnote>
  <w:footnote w:id="1905">
    <w:p w:rsidR="003F128F" w:rsidRPr="006A3B57" w:rsidRDefault="003F128F" w:rsidP="001E3AB5">
      <w:pPr>
        <w:pStyle w:val="af3"/>
        <w:rPr>
          <w:rFonts w:ascii="Traditional Arabic" w:hAnsi="Traditional Arabic"/>
          <w:sz w:val="32"/>
          <w:szCs w:val="32"/>
        </w:rPr>
      </w:pPr>
      <w:r w:rsidRPr="006A3B57">
        <w:rPr>
          <w:rFonts w:ascii="Traditional Arabic" w:hAnsi="Traditional Arabic"/>
          <w:sz w:val="32"/>
          <w:szCs w:val="32"/>
          <w:rtl/>
        </w:rPr>
        <w:t>(</w:t>
      </w:r>
      <w:r w:rsidRPr="006A3B57">
        <w:rPr>
          <w:rStyle w:val="ae"/>
          <w:rFonts w:ascii="Traditional Arabic" w:hAnsi="Traditional Arabic"/>
          <w:sz w:val="32"/>
          <w:szCs w:val="32"/>
          <w:vertAlign w:val="baseline"/>
        </w:rPr>
        <w:footnoteRef/>
      </w:r>
      <w:r w:rsidRPr="006A3B57">
        <w:rPr>
          <w:rFonts w:ascii="Traditional Arabic" w:hAnsi="Traditional Arabic"/>
          <w:sz w:val="32"/>
          <w:szCs w:val="32"/>
          <w:rtl/>
        </w:rPr>
        <w:t xml:space="preserve">)  في </w:t>
      </w:r>
      <w:r>
        <w:rPr>
          <w:rFonts w:ascii="Traditional Arabic" w:hAnsi="Traditional Arabic" w:hint="cs"/>
          <w:sz w:val="32"/>
          <w:szCs w:val="32"/>
          <w:rtl/>
        </w:rPr>
        <w:t>(م):</w:t>
      </w:r>
      <w:r w:rsidRPr="006A3B57">
        <w:rPr>
          <w:rFonts w:ascii="Traditional Arabic" w:hAnsi="Traditional Arabic"/>
          <w:sz w:val="32"/>
          <w:szCs w:val="32"/>
          <w:rtl/>
        </w:rPr>
        <w:t xml:space="preserve"> </w:t>
      </w:r>
      <w:r>
        <w:rPr>
          <w:rFonts w:ascii="Traditional Arabic" w:hAnsi="Traditional Arabic" w:hint="cs"/>
          <w:sz w:val="32"/>
          <w:szCs w:val="32"/>
          <w:rtl/>
        </w:rPr>
        <w:t>[</w:t>
      </w:r>
      <w:r w:rsidRPr="006A3B57">
        <w:rPr>
          <w:rFonts w:ascii="Traditional Arabic" w:hAnsi="Traditional Arabic"/>
          <w:sz w:val="32"/>
          <w:szCs w:val="32"/>
          <w:rtl/>
        </w:rPr>
        <w:t>أبو عبيدة</w:t>
      </w:r>
      <w:r>
        <w:rPr>
          <w:rFonts w:ascii="Traditional Arabic" w:hAnsi="Traditional Arabic" w:hint="cs"/>
          <w:sz w:val="32"/>
          <w:szCs w:val="32"/>
          <w:rtl/>
        </w:rPr>
        <w:t>]</w:t>
      </w:r>
      <w:r w:rsidRPr="006A3B57">
        <w:rPr>
          <w:rFonts w:ascii="Traditional Arabic" w:hAnsi="Traditional Arabic"/>
          <w:sz w:val="32"/>
          <w:szCs w:val="32"/>
          <w:rtl/>
        </w:rPr>
        <w:t>, والمثبت من (ك)</w:t>
      </w:r>
      <w:r>
        <w:rPr>
          <w:rFonts w:ascii="Traditional Arabic" w:hAnsi="Traditional Arabic" w:hint="cs"/>
          <w:sz w:val="32"/>
          <w:szCs w:val="32"/>
          <w:rtl/>
        </w:rPr>
        <w:t xml:space="preserve"> وهو موافق لمصادر هذا القول</w:t>
      </w:r>
      <w:r w:rsidRPr="006A3B57">
        <w:rPr>
          <w:rFonts w:ascii="Traditional Arabic" w:hAnsi="Traditional Arabic"/>
          <w:sz w:val="32"/>
          <w:szCs w:val="32"/>
          <w:rtl/>
        </w:rPr>
        <w:t>.</w:t>
      </w:r>
    </w:p>
  </w:footnote>
  <w:footnote w:id="1906">
    <w:p w:rsidR="003F128F" w:rsidRPr="004C119C" w:rsidRDefault="003F128F" w:rsidP="008900CA">
      <w:pPr>
        <w:pStyle w:val="af3"/>
        <w:rPr>
          <w:rFonts w:ascii="Traditional Arabic" w:hAnsi="Traditional Arabic"/>
          <w:sz w:val="32"/>
          <w:szCs w:val="32"/>
        </w:rPr>
      </w:pPr>
      <w:r w:rsidRPr="006A3B57">
        <w:rPr>
          <w:rFonts w:ascii="Traditional Arabic" w:hAnsi="Traditional Arabic"/>
          <w:sz w:val="32"/>
          <w:szCs w:val="32"/>
          <w:rtl/>
        </w:rPr>
        <w:t>(</w:t>
      </w:r>
      <w:r w:rsidRPr="006A3B57">
        <w:rPr>
          <w:rStyle w:val="ae"/>
          <w:rFonts w:ascii="Traditional Arabic" w:hAnsi="Traditional Arabic"/>
          <w:sz w:val="32"/>
          <w:szCs w:val="32"/>
          <w:vertAlign w:val="baseline"/>
        </w:rPr>
        <w:footnoteRef/>
      </w:r>
      <w:r w:rsidRPr="006A3B57">
        <w:rPr>
          <w:rFonts w:ascii="Traditional Arabic" w:hAnsi="Traditional Arabic"/>
          <w:sz w:val="32"/>
          <w:szCs w:val="32"/>
          <w:rtl/>
        </w:rPr>
        <w:t>) انظر: تهذيب اللغة (7/25) مادة (خرج), التفسير الوسيط (3/167).</w:t>
      </w:r>
      <w:r w:rsidRPr="004C119C">
        <w:rPr>
          <w:rFonts w:ascii="Traditional Arabic" w:hAnsi="Traditional Arabic"/>
          <w:sz w:val="32"/>
          <w:szCs w:val="32"/>
          <w:rtl/>
        </w:rPr>
        <w:t xml:space="preserve">  </w:t>
      </w:r>
    </w:p>
  </w:footnote>
  <w:footnote w:id="1907">
    <w:p w:rsidR="003F128F" w:rsidRPr="00FB46CE" w:rsidRDefault="003F128F" w:rsidP="008900CA">
      <w:pPr>
        <w:pStyle w:val="af3"/>
        <w:rPr>
          <w:rFonts w:ascii="Traditional Arabic" w:hAnsi="Traditional Arabic"/>
          <w:sz w:val="32"/>
          <w:szCs w:val="32"/>
        </w:rPr>
      </w:pPr>
      <w:r w:rsidRPr="00FB46CE">
        <w:rPr>
          <w:rFonts w:ascii="Traditional Arabic" w:hAnsi="Traditional Arabic"/>
          <w:sz w:val="32"/>
          <w:szCs w:val="32"/>
          <w:rtl/>
        </w:rPr>
        <w:t>(</w:t>
      </w:r>
      <w:r w:rsidRPr="00FB46CE">
        <w:rPr>
          <w:rStyle w:val="ae"/>
          <w:rFonts w:ascii="Traditional Arabic" w:hAnsi="Traditional Arabic"/>
          <w:sz w:val="32"/>
          <w:szCs w:val="32"/>
          <w:vertAlign w:val="baseline"/>
        </w:rPr>
        <w:footnoteRef/>
      </w:r>
      <w:r w:rsidRPr="00FB46CE">
        <w:rPr>
          <w:rFonts w:ascii="Traditional Arabic" w:hAnsi="Traditional Arabic"/>
          <w:sz w:val="32"/>
          <w:szCs w:val="32"/>
          <w:rtl/>
        </w:rPr>
        <w:t>) الكشف والبيان (6/199), معالم التنزيل (5/204).</w:t>
      </w:r>
    </w:p>
  </w:footnote>
  <w:footnote w:id="1908">
    <w:p w:rsidR="003F128F" w:rsidRPr="00FB46CE" w:rsidRDefault="003F128F" w:rsidP="008900CA">
      <w:pPr>
        <w:pStyle w:val="af3"/>
        <w:rPr>
          <w:rFonts w:ascii="Traditional Arabic" w:hAnsi="Traditional Arabic"/>
          <w:sz w:val="32"/>
          <w:szCs w:val="32"/>
        </w:rPr>
      </w:pPr>
      <w:r w:rsidRPr="00FB46CE">
        <w:rPr>
          <w:rFonts w:ascii="Traditional Arabic" w:hAnsi="Traditional Arabic"/>
          <w:sz w:val="32"/>
          <w:szCs w:val="32"/>
          <w:rtl/>
        </w:rPr>
        <w:t>(</w:t>
      </w:r>
      <w:r w:rsidRPr="00FB46CE">
        <w:rPr>
          <w:rStyle w:val="ae"/>
          <w:rFonts w:ascii="Traditional Arabic" w:hAnsi="Traditional Arabic"/>
          <w:sz w:val="32"/>
          <w:szCs w:val="32"/>
          <w:vertAlign w:val="baseline"/>
        </w:rPr>
        <w:footnoteRef/>
      </w:r>
      <w:r w:rsidRPr="00FB46CE">
        <w:rPr>
          <w:rFonts w:ascii="Traditional Arabic" w:hAnsi="Traditional Arabic"/>
          <w:sz w:val="32"/>
          <w:szCs w:val="32"/>
          <w:rtl/>
        </w:rPr>
        <w:t xml:space="preserve">) انظر: بحر العلوم (2/362), التفسير الوسيط (3/167).  </w:t>
      </w:r>
      <w:r w:rsidRPr="00FB46CE">
        <w:rPr>
          <w:rFonts w:ascii="Traditional Arabic" w:hAnsi="Traditional Arabic"/>
          <w:sz w:val="32"/>
          <w:szCs w:val="32"/>
          <w:rtl/>
          <w:lang w:eastAsia="en-US"/>
        </w:rPr>
        <w:t xml:space="preserve"> </w:t>
      </w:r>
    </w:p>
  </w:footnote>
  <w:footnote w:id="1909">
    <w:p w:rsidR="003F128F" w:rsidRPr="00FB46CE" w:rsidRDefault="003F128F" w:rsidP="008900CA">
      <w:pPr>
        <w:pStyle w:val="af3"/>
        <w:rPr>
          <w:rFonts w:ascii="Traditional Arabic" w:hAnsi="Traditional Arabic"/>
          <w:sz w:val="32"/>
          <w:szCs w:val="32"/>
        </w:rPr>
      </w:pPr>
      <w:r w:rsidRPr="00FB46CE">
        <w:rPr>
          <w:rFonts w:ascii="Traditional Arabic" w:hAnsi="Traditional Arabic"/>
          <w:sz w:val="32"/>
          <w:szCs w:val="32"/>
          <w:rtl/>
        </w:rPr>
        <w:t>(</w:t>
      </w:r>
      <w:r w:rsidRPr="00FB46CE">
        <w:rPr>
          <w:rStyle w:val="ae"/>
          <w:rFonts w:ascii="Traditional Arabic" w:hAnsi="Traditional Arabic"/>
          <w:sz w:val="32"/>
          <w:szCs w:val="32"/>
          <w:vertAlign w:val="baseline"/>
        </w:rPr>
        <w:footnoteRef/>
      </w:r>
      <w:r w:rsidRPr="00FB46CE">
        <w:rPr>
          <w:rFonts w:ascii="Traditional Arabic" w:hAnsi="Traditional Arabic"/>
          <w:sz w:val="32"/>
          <w:szCs w:val="32"/>
          <w:rtl/>
        </w:rPr>
        <w:t xml:space="preserve">) انظر: السبعة في القراءات (ص400), معاني القراءات (2/125). </w:t>
      </w:r>
    </w:p>
  </w:footnote>
  <w:footnote w:id="1910">
    <w:p w:rsidR="003F128F" w:rsidRPr="00FB46CE" w:rsidRDefault="003F128F" w:rsidP="008900CA">
      <w:pPr>
        <w:pStyle w:val="af3"/>
        <w:rPr>
          <w:rFonts w:ascii="Traditional Arabic" w:hAnsi="Traditional Arabic"/>
          <w:sz w:val="32"/>
          <w:szCs w:val="32"/>
        </w:rPr>
      </w:pPr>
      <w:r w:rsidRPr="00FB46CE">
        <w:rPr>
          <w:rFonts w:ascii="Traditional Arabic" w:hAnsi="Traditional Arabic"/>
          <w:sz w:val="32"/>
          <w:szCs w:val="32"/>
          <w:rtl/>
        </w:rPr>
        <w:t>(</w:t>
      </w:r>
      <w:r w:rsidRPr="00FB46CE">
        <w:rPr>
          <w:rStyle w:val="ae"/>
          <w:rFonts w:ascii="Traditional Arabic" w:hAnsi="Traditional Arabic"/>
          <w:sz w:val="32"/>
          <w:szCs w:val="32"/>
          <w:vertAlign w:val="baseline"/>
        </w:rPr>
        <w:footnoteRef/>
      </w:r>
      <w:r w:rsidRPr="00FB46CE">
        <w:rPr>
          <w:rFonts w:ascii="Traditional Arabic" w:hAnsi="Traditional Arabic"/>
          <w:sz w:val="32"/>
          <w:szCs w:val="32"/>
          <w:rtl/>
        </w:rPr>
        <w:t>) في الأصل: [والثاني], والمثبت من (ك).</w:t>
      </w:r>
    </w:p>
  </w:footnote>
  <w:footnote w:id="1911">
    <w:p w:rsidR="003F128F" w:rsidRPr="00FB46CE" w:rsidRDefault="003F128F" w:rsidP="008900CA">
      <w:pPr>
        <w:pStyle w:val="af3"/>
        <w:rPr>
          <w:rFonts w:ascii="Traditional Arabic" w:hAnsi="Traditional Arabic"/>
          <w:sz w:val="32"/>
          <w:szCs w:val="32"/>
        </w:rPr>
      </w:pPr>
      <w:r w:rsidRPr="00FB46CE">
        <w:rPr>
          <w:rFonts w:ascii="Traditional Arabic" w:hAnsi="Traditional Arabic"/>
          <w:sz w:val="32"/>
          <w:szCs w:val="32"/>
          <w:rtl/>
        </w:rPr>
        <w:t>(</w:t>
      </w:r>
      <w:r w:rsidRPr="00FB46CE">
        <w:rPr>
          <w:rStyle w:val="ae"/>
          <w:rFonts w:ascii="Traditional Arabic" w:hAnsi="Traditional Arabic"/>
          <w:sz w:val="32"/>
          <w:szCs w:val="32"/>
          <w:vertAlign w:val="baseline"/>
        </w:rPr>
        <w:footnoteRef/>
      </w:r>
      <w:r w:rsidRPr="00FB46CE">
        <w:rPr>
          <w:rFonts w:ascii="Traditional Arabic" w:hAnsi="Traditional Arabic"/>
          <w:sz w:val="32"/>
          <w:szCs w:val="32"/>
          <w:rtl/>
        </w:rPr>
        <w:t xml:space="preserve">) انظر: معاني القرآن وإعرابه (3/310). </w:t>
      </w:r>
    </w:p>
  </w:footnote>
  <w:footnote w:id="1912">
    <w:p w:rsidR="003F128F" w:rsidRPr="00FB46CE" w:rsidRDefault="003F128F" w:rsidP="008900CA">
      <w:pPr>
        <w:pStyle w:val="af3"/>
        <w:rPr>
          <w:rFonts w:ascii="Traditional Arabic" w:hAnsi="Traditional Arabic"/>
          <w:sz w:val="32"/>
          <w:szCs w:val="32"/>
        </w:rPr>
      </w:pPr>
      <w:r w:rsidRPr="00FB46CE">
        <w:rPr>
          <w:rFonts w:ascii="Traditional Arabic" w:hAnsi="Traditional Arabic"/>
          <w:sz w:val="32"/>
          <w:szCs w:val="32"/>
          <w:rtl/>
        </w:rPr>
        <w:t>(</w:t>
      </w:r>
      <w:r w:rsidRPr="00FB46CE">
        <w:rPr>
          <w:rStyle w:val="ae"/>
          <w:rFonts w:ascii="Traditional Arabic" w:hAnsi="Traditional Arabic"/>
          <w:sz w:val="32"/>
          <w:szCs w:val="32"/>
          <w:vertAlign w:val="baseline"/>
        </w:rPr>
        <w:footnoteRef/>
      </w:r>
      <w:r w:rsidRPr="00FB46CE">
        <w:rPr>
          <w:rFonts w:ascii="Traditional Arabic" w:hAnsi="Traditional Arabic"/>
          <w:sz w:val="32"/>
          <w:szCs w:val="32"/>
          <w:rtl/>
        </w:rPr>
        <w:t>) انظر: بحر العلوم (2/362), التفسير الوسيط (3/167).</w:t>
      </w:r>
    </w:p>
  </w:footnote>
  <w:footnote w:id="1913">
    <w:p w:rsidR="003F128F" w:rsidRPr="00FB46CE" w:rsidRDefault="003F128F" w:rsidP="008900CA">
      <w:pPr>
        <w:pStyle w:val="af3"/>
        <w:rPr>
          <w:rFonts w:ascii="Traditional Arabic" w:hAnsi="Traditional Arabic"/>
          <w:sz w:val="32"/>
          <w:szCs w:val="32"/>
        </w:rPr>
      </w:pPr>
      <w:r w:rsidRPr="00FB46CE">
        <w:rPr>
          <w:rFonts w:ascii="Traditional Arabic" w:hAnsi="Traditional Arabic"/>
          <w:sz w:val="32"/>
          <w:szCs w:val="32"/>
          <w:rtl/>
        </w:rPr>
        <w:t>(</w:t>
      </w:r>
      <w:r w:rsidRPr="00FB46CE">
        <w:rPr>
          <w:rStyle w:val="ae"/>
          <w:rFonts w:ascii="Traditional Arabic" w:hAnsi="Traditional Arabic"/>
          <w:sz w:val="32"/>
          <w:szCs w:val="32"/>
          <w:vertAlign w:val="baseline"/>
        </w:rPr>
        <w:footnoteRef/>
      </w:r>
      <w:r w:rsidRPr="00FB46CE">
        <w:rPr>
          <w:rFonts w:ascii="Traditional Arabic" w:hAnsi="Traditional Arabic"/>
          <w:sz w:val="32"/>
          <w:szCs w:val="32"/>
          <w:rtl/>
        </w:rPr>
        <w:t xml:space="preserve">) انظر: تفسير الطبري (18/113).  </w:t>
      </w:r>
    </w:p>
  </w:footnote>
  <w:footnote w:id="1914">
    <w:p w:rsidR="003F128F" w:rsidRPr="00FB46CE" w:rsidRDefault="003F128F" w:rsidP="008900CA">
      <w:pPr>
        <w:pStyle w:val="af3"/>
        <w:rPr>
          <w:rFonts w:ascii="Traditional Arabic" w:hAnsi="Traditional Arabic"/>
          <w:sz w:val="32"/>
          <w:szCs w:val="32"/>
        </w:rPr>
      </w:pPr>
      <w:r w:rsidRPr="00FB46CE">
        <w:rPr>
          <w:rFonts w:ascii="Traditional Arabic" w:hAnsi="Traditional Arabic"/>
          <w:sz w:val="32"/>
          <w:szCs w:val="32"/>
          <w:rtl/>
        </w:rPr>
        <w:t>(</w:t>
      </w:r>
      <w:r w:rsidRPr="00FB46CE">
        <w:rPr>
          <w:rStyle w:val="ae"/>
          <w:rFonts w:ascii="Traditional Arabic" w:hAnsi="Traditional Arabic"/>
          <w:sz w:val="32"/>
          <w:szCs w:val="32"/>
          <w:vertAlign w:val="baseline"/>
        </w:rPr>
        <w:footnoteRef/>
      </w:r>
      <w:r w:rsidRPr="00FB46CE">
        <w:rPr>
          <w:rFonts w:ascii="Traditional Arabic" w:hAnsi="Traditional Arabic"/>
          <w:sz w:val="32"/>
          <w:szCs w:val="32"/>
          <w:rtl/>
        </w:rPr>
        <w:t xml:space="preserve">) انظر: تفسير مقاتل (2/601).  </w:t>
      </w:r>
    </w:p>
  </w:footnote>
  <w:footnote w:id="1915">
    <w:p w:rsidR="003F128F" w:rsidRPr="00FB46CE" w:rsidRDefault="003F128F" w:rsidP="008900CA">
      <w:pPr>
        <w:pStyle w:val="af3"/>
        <w:rPr>
          <w:rFonts w:ascii="Traditional Arabic" w:hAnsi="Traditional Arabic"/>
          <w:sz w:val="32"/>
          <w:szCs w:val="32"/>
        </w:rPr>
      </w:pPr>
      <w:r w:rsidRPr="00FB46CE">
        <w:rPr>
          <w:rFonts w:ascii="Traditional Arabic" w:hAnsi="Traditional Arabic"/>
          <w:sz w:val="32"/>
          <w:szCs w:val="32"/>
          <w:rtl/>
        </w:rPr>
        <w:t>(</w:t>
      </w:r>
      <w:r w:rsidRPr="00FB46CE">
        <w:rPr>
          <w:rStyle w:val="ae"/>
          <w:rFonts w:ascii="Traditional Arabic" w:hAnsi="Traditional Arabic"/>
          <w:sz w:val="32"/>
          <w:szCs w:val="32"/>
          <w:vertAlign w:val="baseline"/>
        </w:rPr>
        <w:footnoteRef/>
      </w:r>
      <w:r w:rsidRPr="00FB46CE">
        <w:rPr>
          <w:rFonts w:ascii="Traditional Arabic" w:hAnsi="Traditional Arabic"/>
          <w:sz w:val="32"/>
          <w:szCs w:val="32"/>
          <w:rtl/>
        </w:rPr>
        <w:t xml:space="preserve">) النكت والعيون (3/342). </w:t>
      </w:r>
    </w:p>
  </w:footnote>
  <w:footnote w:id="1916">
    <w:p w:rsidR="003F128F" w:rsidRPr="00FB46CE" w:rsidRDefault="003F128F" w:rsidP="008900CA">
      <w:pPr>
        <w:pStyle w:val="af3"/>
        <w:rPr>
          <w:rFonts w:ascii="Traditional Arabic" w:hAnsi="Traditional Arabic"/>
          <w:sz w:val="32"/>
          <w:szCs w:val="32"/>
        </w:rPr>
      </w:pPr>
      <w:r w:rsidRPr="00FB46CE">
        <w:rPr>
          <w:rFonts w:ascii="Traditional Arabic" w:hAnsi="Traditional Arabic"/>
          <w:sz w:val="32"/>
          <w:szCs w:val="32"/>
          <w:rtl/>
        </w:rPr>
        <w:t>(</w:t>
      </w:r>
      <w:r w:rsidRPr="00FB46CE">
        <w:rPr>
          <w:rStyle w:val="ae"/>
          <w:rFonts w:ascii="Traditional Arabic" w:hAnsi="Traditional Arabic"/>
          <w:sz w:val="32"/>
          <w:szCs w:val="32"/>
          <w:vertAlign w:val="baseline"/>
        </w:rPr>
        <w:footnoteRef/>
      </w:r>
      <w:r w:rsidRPr="00FB46CE">
        <w:rPr>
          <w:rFonts w:ascii="Traditional Arabic" w:hAnsi="Traditional Arabic"/>
          <w:sz w:val="32"/>
          <w:szCs w:val="32"/>
          <w:rtl/>
        </w:rPr>
        <w:t>) انظر: معاني القرآن وإعرابه (3/310).</w:t>
      </w:r>
    </w:p>
  </w:footnote>
  <w:footnote w:id="1917">
    <w:p w:rsidR="003F128F" w:rsidRPr="00FB46CE" w:rsidRDefault="003F128F" w:rsidP="008900CA">
      <w:pPr>
        <w:pStyle w:val="af3"/>
        <w:rPr>
          <w:rFonts w:ascii="Traditional Arabic" w:hAnsi="Traditional Arabic"/>
          <w:sz w:val="32"/>
          <w:szCs w:val="32"/>
        </w:rPr>
      </w:pPr>
      <w:r w:rsidRPr="00FB46CE">
        <w:rPr>
          <w:rFonts w:ascii="Traditional Arabic" w:hAnsi="Traditional Arabic"/>
          <w:sz w:val="32"/>
          <w:szCs w:val="32"/>
          <w:rtl/>
        </w:rPr>
        <w:t>(</w:t>
      </w:r>
      <w:r w:rsidRPr="00FB46CE">
        <w:rPr>
          <w:rStyle w:val="ae"/>
          <w:rFonts w:ascii="Traditional Arabic" w:hAnsi="Traditional Arabic"/>
          <w:sz w:val="32"/>
          <w:szCs w:val="32"/>
          <w:vertAlign w:val="baseline"/>
        </w:rPr>
        <w:footnoteRef/>
      </w:r>
      <w:r w:rsidRPr="00FB46CE">
        <w:rPr>
          <w:rFonts w:ascii="Traditional Arabic" w:hAnsi="Traditional Arabic"/>
          <w:sz w:val="32"/>
          <w:szCs w:val="32"/>
          <w:rtl/>
        </w:rPr>
        <w:t xml:space="preserve">) انظر: السبعة في القراءات (ص400), معاني القراءات (2/125).  </w:t>
      </w:r>
    </w:p>
  </w:footnote>
  <w:footnote w:id="1918">
    <w:p w:rsidR="003F128F" w:rsidRPr="00FB46CE" w:rsidRDefault="003F128F" w:rsidP="008900CA">
      <w:pPr>
        <w:pStyle w:val="af3"/>
        <w:rPr>
          <w:rFonts w:ascii="Traditional Arabic" w:hAnsi="Traditional Arabic"/>
          <w:sz w:val="32"/>
          <w:szCs w:val="32"/>
        </w:rPr>
      </w:pPr>
      <w:r w:rsidRPr="00FB46CE">
        <w:rPr>
          <w:rFonts w:ascii="Traditional Arabic" w:hAnsi="Traditional Arabic"/>
          <w:sz w:val="32"/>
          <w:szCs w:val="32"/>
          <w:rtl/>
        </w:rPr>
        <w:t>(</w:t>
      </w:r>
      <w:r w:rsidRPr="00FB46CE">
        <w:rPr>
          <w:rStyle w:val="ae"/>
          <w:rFonts w:ascii="Traditional Arabic" w:hAnsi="Traditional Arabic"/>
          <w:sz w:val="32"/>
          <w:szCs w:val="32"/>
          <w:vertAlign w:val="baseline"/>
        </w:rPr>
        <w:footnoteRef/>
      </w:r>
      <w:r w:rsidRPr="00FB46CE">
        <w:rPr>
          <w:rFonts w:ascii="Traditional Arabic" w:hAnsi="Traditional Arabic"/>
          <w:sz w:val="32"/>
          <w:szCs w:val="32"/>
          <w:rtl/>
        </w:rPr>
        <w:t>) انظر: التفسير الوسيط (3/167).</w:t>
      </w:r>
    </w:p>
  </w:footnote>
  <w:footnote w:id="1919">
    <w:p w:rsidR="003F128F" w:rsidRPr="008279EB" w:rsidRDefault="003F128F" w:rsidP="008900CA">
      <w:pPr>
        <w:pStyle w:val="af3"/>
        <w:rPr>
          <w:rFonts w:ascii="Traditional Arabic" w:hAnsi="Traditional Arabic"/>
          <w:sz w:val="32"/>
          <w:szCs w:val="32"/>
        </w:rPr>
      </w:pPr>
      <w:r w:rsidRPr="00FB46CE">
        <w:rPr>
          <w:rFonts w:ascii="Traditional Arabic" w:hAnsi="Traditional Arabic"/>
          <w:sz w:val="32"/>
          <w:szCs w:val="32"/>
          <w:rtl/>
        </w:rPr>
        <w:t>(</w:t>
      </w:r>
      <w:r w:rsidRPr="00FB46CE">
        <w:rPr>
          <w:rStyle w:val="ae"/>
          <w:rFonts w:ascii="Traditional Arabic" w:hAnsi="Traditional Arabic"/>
          <w:sz w:val="32"/>
          <w:szCs w:val="32"/>
          <w:vertAlign w:val="baseline"/>
        </w:rPr>
        <w:footnoteRef/>
      </w:r>
      <w:r w:rsidRPr="00FB46CE">
        <w:rPr>
          <w:rFonts w:ascii="Traditional Arabic" w:hAnsi="Traditional Arabic"/>
          <w:sz w:val="32"/>
          <w:szCs w:val="32"/>
          <w:rtl/>
        </w:rPr>
        <w:t xml:space="preserve">) انظر: تفسير مقاتل (2/602).  </w:t>
      </w:r>
    </w:p>
  </w:footnote>
  <w:footnote w:id="1920">
    <w:p w:rsidR="003F128F" w:rsidRPr="00670EE1" w:rsidRDefault="003F128F" w:rsidP="008900CA">
      <w:pPr>
        <w:pStyle w:val="af3"/>
        <w:rPr>
          <w:rFonts w:ascii="Traditional Arabic" w:hAnsi="Traditional Arabic"/>
          <w:sz w:val="32"/>
          <w:szCs w:val="32"/>
        </w:rPr>
      </w:pPr>
      <w:r w:rsidRPr="00670EE1">
        <w:rPr>
          <w:rFonts w:ascii="Traditional Arabic" w:hAnsi="Traditional Arabic"/>
          <w:sz w:val="32"/>
          <w:szCs w:val="32"/>
          <w:rtl/>
        </w:rPr>
        <w:t>(</w:t>
      </w:r>
      <w:r w:rsidRPr="00670EE1">
        <w:rPr>
          <w:rStyle w:val="ae"/>
          <w:rFonts w:ascii="Traditional Arabic" w:hAnsi="Traditional Arabic"/>
          <w:sz w:val="32"/>
          <w:szCs w:val="32"/>
          <w:vertAlign w:val="baseline"/>
        </w:rPr>
        <w:footnoteRef/>
      </w:r>
      <w:r w:rsidRPr="00670EE1">
        <w:rPr>
          <w:rFonts w:ascii="Traditional Arabic" w:hAnsi="Traditional Arabic"/>
          <w:sz w:val="32"/>
          <w:szCs w:val="32"/>
          <w:rtl/>
        </w:rPr>
        <w:t xml:space="preserve">) انظر: معاني القرآن للفراء (2/160). </w:t>
      </w:r>
    </w:p>
  </w:footnote>
  <w:footnote w:id="1921">
    <w:p w:rsidR="003F128F" w:rsidRPr="00670EE1" w:rsidRDefault="003F128F" w:rsidP="008900CA">
      <w:pPr>
        <w:pStyle w:val="af3"/>
        <w:rPr>
          <w:rFonts w:ascii="Traditional Arabic" w:hAnsi="Traditional Arabic"/>
          <w:sz w:val="32"/>
          <w:szCs w:val="32"/>
        </w:rPr>
      </w:pPr>
      <w:r w:rsidRPr="00670EE1">
        <w:rPr>
          <w:rFonts w:ascii="Traditional Arabic" w:hAnsi="Traditional Arabic"/>
          <w:sz w:val="32"/>
          <w:szCs w:val="32"/>
          <w:rtl/>
        </w:rPr>
        <w:t>(</w:t>
      </w:r>
      <w:r w:rsidRPr="00670EE1">
        <w:rPr>
          <w:rStyle w:val="ae"/>
          <w:rFonts w:ascii="Traditional Arabic" w:hAnsi="Traditional Arabic"/>
          <w:sz w:val="32"/>
          <w:szCs w:val="32"/>
          <w:vertAlign w:val="baseline"/>
        </w:rPr>
        <w:footnoteRef/>
      </w:r>
      <w:r w:rsidRPr="00670EE1">
        <w:rPr>
          <w:rFonts w:ascii="Traditional Arabic" w:hAnsi="Traditional Arabic"/>
          <w:sz w:val="32"/>
          <w:szCs w:val="32"/>
          <w:rtl/>
        </w:rPr>
        <w:t xml:space="preserve">) انظر: مختصر الشواذ (ص85), الكامل في القراءات العشر (ص594).  </w:t>
      </w:r>
    </w:p>
  </w:footnote>
  <w:footnote w:id="1922">
    <w:p w:rsidR="003F128F" w:rsidRPr="00670EE1" w:rsidRDefault="003F128F" w:rsidP="008900CA">
      <w:pPr>
        <w:pStyle w:val="af3"/>
        <w:rPr>
          <w:rFonts w:ascii="Traditional Arabic" w:hAnsi="Traditional Arabic"/>
          <w:sz w:val="32"/>
          <w:szCs w:val="32"/>
          <w:rtl/>
        </w:rPr>
      </w:pPr>
      <w:r w:rsidRPr="00670EE1">
        <w:rPr>
          <w:rFonts w:ascii="Traditional Arabic" w:hAnsi="Traditional Arabic"/>
          <w:sz w:val="32"/>
          <w:szCs w:val="32"/>
          <w:rtl/>
        </w:rPr>
        <w:t>(</w:t>
      </w:r>
      <w:r w:rsidRPr="00670EE1">
        <w:rPr>
          <w:rStyle w:val="ae"/>
          <w:rFonts w:ascii="Traditional Arabic" w:hAnsi="Traditional Arabic"/>
          <w:sz w:val="32"/>
          <w:szCs w:val="32"/>
          <w:vertAlign w:val="baseline"/>
        </w:rPr>
        <w:footnoteRef/>
      </w:r>
      <w:r w:rsidRPr="00670EE1">
        <w:rPr>
          <w:rFonts w:ascii="Traditional Arabic" w:hAnsi="Traditional Arabic"/>
          <w:sz w:val="32"/>
          <w:szCs w:val="32"/>
          <w:rtl/>
        </w:rPr>
        <w:t xml:space="preserve">) انظر: معاني القرآن للفراء (2/160).  </w:t>
      </w:r>
    </w:p>
  </w:footnote>
  <w:footnote w:id="1923">
    <w:p w:rsidR="003F128F" w:rsidRPr="00670EE1" w:rsidRDefault="003F128F" w:rsidP="008900CA">
      <w:pPr>
        <w:pStyle w:val="af3"/>
        <w:rPr>
          <w:rFonts w:ascii="Traditional Arabic" w:hAnsi="Traditional Arabic"/>
          <w:sz w:val="32"/>
          <w:szCs w:val="32"/>
        </w:rPr>
      </w:pPr>
      <w:r w:rsidRPr="00670EE1">
        <w:rPr>
          <w:rFonts w:ascii="Traditional Arabic" w:hAnsi="Traditional Arabic"/>
          <w:sz w:val="32"/>
          <w:szCs w:val="32"/>
          <w:rtl/>
        </w:rPr>
        <w:t>(</w:t>
      </w:r>
      <w:r w:rsidRPr="00670EE1">
        <w:rPr>
          <w:rStyle w:val="ae"/>
          <w:rFonts w:ascii="Traditional Arabic" w:hAnsi="Traditional Arabic"/>
          <w:sz w:val="32"/>
          <w:szCs w:val="32"/>
          <w:vertAlign w:val="baseline"/>
        </w:rPr>
        <w:footnoteRef/>
      </w:r>
      <w:r w:rsidRPr="00670EE1">
        <w:rPr>
          <w:rFonts w:ascii="Traditional Arabic" w:hAnsi="Traditional Arabic"/>
          <w:sz w:val="32"/>
          <w:szCs w:val="32"/>
          <w:rtl/>
        </w:rPr>
        <w:t xml:space="preserve">) انظر: السبعة في القراءات (ص401), معاني القراءات (2/126), رموز الكنوز (4/368).   </w:t>
      </w:r>
    </w:p>
  </w:footnote>
  <w:footnote w:id="1924">
    <w:p w:rsidR="003F128F" w:rsidRPr="00670EE1" w:rsidRDefault="003F128F" w:rsidP="008900CA">
      <w:pPr>
        <w:pStyle w:val="af3"/>
        <w:rPr>
          <w:rFonts w:ascii="Traditional Arabic" w:hAnsi="Traditional Arabic"/>
          <w:sz w:val="32"/>
          <w:szCs w:val="32"/>
        </w:rPr>
      </w:pPr>
      <w:r w:rsidRPr="00670EE1">
        <w:rPr>
          <w:rFonts w:ascii="Traditional Arabic" w:hAnsi="Traditional Arabic"/>
          <w:sz w:val="32"/>
          <w:szCs w:val="32"/>
          <w:rtl/>
        </w:rPr>
        <w:t>(</w:t>
      </w:r>
      <w:r w:rsidRPr="00670EE1">
        <w:rPr>
          <w:rStyle w:val="ae"/>
          <w:rFonts w:ascii="Traditional Arabic" w:hAnsi="Traditional Arabic"/>
          <w:sz w:val="32"/>
          <w:szCs w:val="32"/>
          <w:vertAlign w:val="baseline"/>
        </w:rPr>
        <w:footnoteRef/>
      </w:r>
      <w:r w:rsidRPr="00670EE1">
        <w:rPr>
          <w:rFonts w:ascii="Traditional Arabic" w:hAnsi="Traditional Arabic"/>
          <w:sz w:val="32"/>
          <w:szCs w:val="32"/>
          <w:rtl/>
        </w:rPr>
        <w:t>) في الأصل: [عن], والمثبت من (ك) و</w:t>
      </w:r>
      <w:r>
        <w:rPr>
          <w:rFonts w:ascii="Traditional Arabic" w:hAnsi="Traditional Arabic" w:hint="cs"/>
          <w:sz w:val="32"/>
          <w:szCs w:val="32"/>
          <w:rtl/>
        </w:rPr>
        <w:t xml:space="preserve">هو </w:t>
      </w:r>
      <w:r w:rsidRPr="00670EE1">
        <w:rPr>
          <w:rFonts w:ascii="Traditional Arabic" w:hAnsi="Traditional Arabic"/>
          <w:sz w:val="32"/>
          <w:szCs w:val="32"/>
          <w:rtl/>
        </w:rPr>
        <w:t xml:space="preserve">موافق لمصادر القراءة. </w:t>
      </w:r>
    </w:p>
  </w:footnote>
  <w:footnote w:id="1925">
    <w:p w:rsidR="003F128F" w:rsidRPr="00670EE1" w:rsidRDefault="003F128F" w:rsidP="008900CA">
      <w:pPr>
        <w:pStyle w:val="af3"/>
        <w:rPr>
          <w:rFonts w:ascii="Traditional Arabic" w:hAnsi="Traditional Arabic"/>
          <w:sz w:val="32"/>
          <w:szCs w:val="32"/>
        </w:rPr>
      </w:pPr>
      <w:r w:rsidRPr="00670EE1">
        <w:rPr>
          <w:rFonts w:ascii="Traditional Arabic" w:hAnsi="Traditional Arabic"/>
          <w:sz w:val="32"/>
          <w:szCs w:val="32"/>
          <w:rtl/>
        </w:rPr>
        <w:t>(</w:t>
      </w:r>
      <w:r w:rsidRPr="00670EE1">
        <w:rPr>
          <w:rStyle w:val="ae"/>
          <w:rFonts w:ascii="Traditional Arabic" w:hAnsi="Traditional Arabic"/>
          <w:sz w:val="32"/>
          <w:szCs w:val="32"/>
          <w:vertAlign w:val="baseline"/>
        </w:rPr>
        <w:footnoteRef/>
      </w:r>
      <w:r w:rsidRPr="00670EE1">
        <w:rPr>
          <w:rFonts w:ascii="Traditional Arabic" w:hAnsi="Traditional Arabic"/>
          <w:sz w:val="32"/>
          <w:szCs w:val="32"/>
          <w:rtl/>
        </w:rPr>
        <w:t xml:space="preserve">) انظر: السبعة في القراءات (ص401), معاني القراءات (2/126), رموز الكنوز (4/368).       </w:t>
      </w:r>
    </w:p>
  </w:footnote>
  <w:footnote w:id="1926">
    <w:p w:rsidR="003F128F" w:rsidRPr="00670EE1" w:rsidRDefault="003F128F" w:rsidP="008900CA">
      <w:pPr>
        <w:pStyle w:val="af3"/>
        <w:rPr>
          <w:rFonts w:ascii="Traditional Arabic" w:hAnsi="Traditional Arabic"/>
          <w:sz w:val="32"/>
          <w:szCs w:val="32"/>
        </w:rPr>
      </w:pPr>
      <w:r w:rsidRPr="00670EE1">
        <w:rPr>
          <w:rFonts w:ascii="Traditional Arabic" w:hAnsi="Traditional Arabic"/>
          <w:sz w:val="32"/>
          <w:szCs w:val="32"/>
          <w:rtl/>
        </w:rPr>
        <w:t>(</w:t>
      </w:r>
      <w:r w:rsidRPr="00670EE1">
        <w:rPr>
          <w:rStyle w:val="ae"/>
          <w:rFonts w:ascii="Traditional Arabic" w:hAnsi="Traditional Arabic"/>
          <w:sz w:val="32"/>
          <w:szCs w:val="32"/>
          <w:vertAlign w:val="baseline"/>
        </w:rPr>
        <w:footnoteRef/>
      </w:r>
      <w:r w:rsidRPr="00670EE1">
        <w:rPr>
          <w:rFonts w:ascii="Traditional Arabic" w:hAnsi="Traditional Arabic"/>
          <w:sz w:val="32"/>
          <w:szCs w:val="32"/>
          <w:rtl/>
        </w:rPr>
        <w:t>)</w:t>
      </w:r>
      <w:r w:rsidRPr="00670EE1">
        <w:rPr>
          <w:rFonts w:ascii="Traditional Arabic" w:hAnsi="Traditional Arabic"/>
          <w:color w:val="auto"/>
          <w:sz w:val="32"/>
          <w:szCs w:val="32"/>
          <w:rtl/>
        </w:rPr>
        <w:t xml:space="preserve"> في (ك): [</w:t>
      </w:r>
      <w:r w:rsidRPr="00670EE1">
        <w:rPr>
          <w:rFonts w:ascii="Traditional Arabic" w:hAnsi="Traditional Arabic"/>
          <w:sz w:val="32"/>
          <w:szCs w:val="32"/>
          <w:rtl/>
          <w:lang w:eastAsia="en-US"/>
        </w:rPr>
        <w:t>ورفع الدال</w:t>
      </w:r>
      <w:r w:rsidRPr="00670EE1">
        <w:rPr>
          <w:rFonts w:ascii="Traditional Arabic" w:hAnsi="Traditional Arabic"/>
          <w:color w:val="auto"/>
          <w:sz w:val="32"/>
          <w:szCs w:val="32"/>
          <w:rtl/>
        </w:rPr>
        <w:t>].</w:t>
      </w:r>
    </w:p>
  </w:footnote>
  <w:footnote w:id="1927">
    <w:p w:rsidR="003F128F" w:rsidRPr="00670EE1" w:rsidRDefault="003F128F" w:rsidP="008900CA">
      <w:pPr>
        <w:pStyle w:val="af3"/>
        <w:rPr>
          <w:rFonts w:ascii="Traditional Arabic" w:hAnsi="Traditional Arabic"/>
          <w:sz w:val="32"/>
          <w:szCs w:val="32"/>
        </w:rPr>
      </w:pPr>
      <w:r w:rsidRPr="00670EE1">
        <w:rPr>
          <w:rFonts w:ascii="Traditional Arabic" w:hAnsi="Traditional Arabic"/>
          <w:sz w:val="32"/>
          <w:szCs w:val="32"/>
          <w:rtl/>
        </w:rPr>
        <w:t>(</w:t>
      </w:r>
      <w:r w:rsidRPr="00670EE1">
        <w:rPr>
          <w:rStyle w:val="ae"/>
          <w:rFonts w:ascii="Traditional Arabic" w:hAnsi="Traditional Arabic"/>
          <w:sz w:val="32"/>
          <w:szCs w:val="32"/>
          <w:vertAlign w:val="baseline"/>
        </w:rPr>
        <w:footnoteRef/>
      </w:r>
      <w:r w:rsidRPr="00670EE1">
        <w:rPr>
          <w:rFonts w:ascii="Traditional Arabic" w:hAnsi="Traditional Arabic"/>
          <w:sz w:val="32"/>
          <w:szCs w:val="32"/>
          <w:rtl/>
        </w:rPr>
        <w:t xml:space="preserve">) انظر: مختصر الشواذ (ص85), شواذ القراءة (ص143), معجم القراءات (5/306).  </w:t>
      </w:r>
    </w:p>
  </w:footnote>
  <w:footnote w:id="1928">
    <w:p w:rsidR="003F128F" w:rsidRPr="00670EE1" w:rsidRDefault="003F128F" w:rsidP="008900CA">
      <w:pPr>
        <w:pStyle w:val="af3"/>
        <w:rPr>
          <w:rFonts w:ascii="Traditional Arabic" w:hAnsi="Traditional Arabic"/>
          <w:sz w:val="32"/>
          <w:szCs w:val="32"/>
        </w:rPr>
      </w:pPr>
      <w:r w:rsidRPr="00670EE1">
        <w:rPr>
          <w:rFonts w:ascii="Traditional Arabic" w:hAnsi="Traditional Arabic"/>
          <w:sz w:val="32"/>
          <w:szCs w:val="32"/>
          <w:rtl/>
        </w:rPr>
        <w:t>(</w:t>
      </w:r>
      <w:r w:rsidRPr="00670EE1">
        <w:rPr>
          <w:rStyle w:val="ae"/>
          <w:rFonts w:ascii="Traditional Arabic" w:hAnsi="Traditional Arabic"/>
          <w:sz w:val="32"/>
          <w:szCs w:val="32"/>
          <w:vertAlign w:val="baseline"/>
        </w:rPr>
        <w:footnoteRef/>
      </w:r>
      <w:r w:rsidRPr="00670EE1">
        <w:rPr>
          <w:rFonts w:ascii="Traditional Arabic" w:hAnsi="Traditional Arabic"/>
          <w:sz w:val="32"/>
          <w:szCs w:val="32"/>
          <w:rtl/>
        </w:rPr>
        <w:t>) لم أقف عليه فيما لدي من مصادر.</w:t>
      </w:r>
    </w:p>
  </w:footnote>
  <w:footnote w:id="1929">
    <w:p w:rsidR="003F128F" w:rsidRPr="00670EE1" w:rsidRDefault="003F128F" w:rsidP="008900CA">
      <w:pPr>
        <w:pStyle w:val="af3"/>
        <w:rPr>
          <w:rFonts w:ascii="Traditional Arabic" w:hAnsi="Traditional Arabic"/>
          <w:sz w:val="32"/>
          <w:szCs w:val="32"/>
        </w:rPr>
      </w:pPr>
      <w:r w:rsidRPr="00670EE1">
        <w:rPr>
          <w:rFonts w:ascii="Traditional Arabic" w:hAnsi="Traditional Arabic"/>
          <w:sz w:val="32"/>
          <w:szCs w:val="32"/>
          <w:rtl/>
        </w:rPr>
        <w:t>(</w:t>
      </w:r>
      <w:r w:rsidRPr="00670EE1">
        <w:rPr>
          <w:rStyle w:val="ae"/>
          <w:rFonts w:ascii="Traditional Arabic" w:hAnsi="Traditional Arabic"/>
          <w:sz w:val="32"/>
          <w:szCs w:val="32"/>
          <w:vertAlign w:val="baseline"/>
        </w:rPr>
        <w:footnoteRef/>
      </w:r>
      <w:r w:rsidRPr="00670EE1">
        <w:rPr>
          <w:rFonts w:ascii="Traditional Arabic" w:hAnsi="Traditional Arabic"/>
          <w:sz w:val="32"/>
          <w:szCs w:val="32"/>
          <w:rtl/>
        </w:rPr>
        <w:t xml:space="preserve">) انظر: مجاز القرآن (1/414).  </w:t>
      </w:r>
    </w:p>
  </w:footnote>
  <w:footnote w:id="1930">
    <w:p w:rsidR="003F128F" w:rsidRPr="00670EE1" w:rsidRDefault="003F128F" w:rsidP="008900CA">
      <w:pPr>
        <w:pStyle w:val="af3"/>
        <w:rPr>
          <w:rFonts w:ascii="Traditional Arabic" w:hAnsi="Traditional Arabic"/>
          <w:sz w:val="32"/>
          <w:szCs w:val="32"/>
        </w:rPr>
      </w:pPr>
      <w:r w:rsidRPr="00670EE1">
        <w:rPr>
          <w:rFonts w:ascii="Traditional Arabic" w:hAnsi="Traditional Arabic"/>
          <w:sz w:val="32"/>
          <w:szCs w:val="32"/>
          <w:rtl/>
        </w:rPr>
        <w:t>(</w:t>
      </w:r>
      <w:r w:rsidRPr="00670EE1">
        <w:rPr>
          <w:rStyle w:val="ae"/>
          <w:rFonts w:ascii="Traditional Arabic" w:hAnsi="Traditional Arabic"/>
          <w:sz w:val="32"/>
          <w:szCs w:val="32"/>
          <w:vertAlign w:val="baseline"/>
        </w:rPr>
        <w:footnoteRef/>
      </w:r>
      <w:r w:rsidRPr="00670EE1">
        <w:rPr>
          <w:rFonts w:ascii="Traditional Arabic" w:hAnsi="Traditional Arabic"/>
          <w:sz w:val="32"/>
          <w:szCs w:val="32"/>
          <w:rtl/>
        </w:rPr>
        <w:t xml:space="preserve">) انظر: تهذيب اللغة (12/104) مادة (صدف).  </w:t>
      </w:r>
    </w:p>
  </w:footnote>
  <w:footnote w:id="1931">
    <w:p w:rsidR="003F128F" w:rsidRPr="00670EE1" w:rsidRDefault="003F128F" w:rsidP="008900CA">
      <w:pPr>
        <w:pStyle w:val="af3"/>
        <w:rPr>
          <w:rFonts w:ascii="Traditional Arabic" w:hAnsi="Traditional Arabic"/>
          <w:sz w:val="32"/>
          <w:szCs w:val="32"/>
        </w:rPr>
      </w:pPr>
      <w:r w:rsidRPr="00670EE1">
        <w:rPr>
          <w:rFonts w:ascii="Traditional Arabic" w:hAnsi="Traditional Arabic"/>
          <w:sz w:val="32"/>
          <w:szCs w:val="32"/>
          <w:rtl/>
        </w:rPr>
        <w:t>(</w:t>
      </w:r>
      <w:r w:rsidRPr="00670EE1">
        <w:rPr>
          <w:rStyle w:val="ae"/>
          <w:rFonts w:ascii="Traditional Arabic" w:hAnsi="Traditional Arabic"/>
          <w:sz w:val="32"/>
          <w:szCs w:val="32"/>
          <w:vertAlign w:val="baseline"/>
        </w:rPr>
        <w:footnoteRef/>
      </w:r>
      <w:r w:rsidRPr="00670EE1">
        <w:rPr>
          <w:rFonts w:ascii="Traditional Arabic" w:hAnsi="Traditional Arabic"/>
          <w:sz w:val="32"/>
          <w:szCs w:val="32"/>
          <w:rtl/>
        </w:rPr>
        <w:t xml:space="preserve">) </w:t>
      </w:r>
      <w:r w:rsidRPr="00670EE1">
        <w:rPr>
          <w:rFonts w:ascii="Traditional Arabic" w:hAnsi="Traditional Arabic"/>
          <w:color w:val="auto"/>
          <w:sz w:val="32"/>
          <w:szCs w:val="32"/>
          <w:rtl/>
        </w:rPr>
        <w:t>في (ك): [</w:t>
      </w:r>
      <w:r w:rsidRPr="00670EE1">
        <w:rPr>
          <w:rFonts w:ascii="Traditional Arabic" w:hAnsi="Traditional Arabic"/>
          <w:sz w:val="32"/>
          <w:szCs w:val="32"/>
          <w:rtl/>
          <w:lang w:eastAsia="en-US"/>
        </w:rPr>
        <w:t>إِذا أُحمِي</w:t>
      </w:r>
      <w:r w:rsidRPr="00670EE1">
        <w:rPr>
          <w:rFonts w:ascii="Traditional Arabic" w:hAnsi="Traditional Arabic"/>
          <w:color w:val="auto"/>
          <w:sz w:val="32"/>
          <w:szCs w:val="32"/>
          <w:rtl/>
        </w:rPr>
        <w:t>].</w:t>
      </w:r>
    </w:p>
  </w:footnote>
  <w:footnote w:id="1932">
    <w:p w:rsidR="003F128F" w:rsidRPr="00670EE1" w:rsidRDefault="003F128F" w:rsidP="008900CA">
      <w:pPr>
        <w:pStyle w:val="af3"/>
        <w:rPr>
          <w:rFonts w:ascii="Traditional Arabic" w:hAnsi="Traditional Arabic"/>
          <w:sz w:val="32"/>
          <w:szCs w:val="32"/>
        </w:rPr>
      </w:pPr>
      <w:r w:rsidRPr="00670EE1">
        <w:rPr>
          <w:rFonts w:ascii="Traditional Arabic" w:hAnsi="Traditional Arabic"/>
          <w:sz w:val="32"/>
          <w:szCs w:val="32"/>
          <w:rtl/>
        </w:rPr>
        <w:t>(</w:t>
      </w:r>
      <w:r w:rsidRPr="00670EE1">
        <w:rPr>
          <w:rStyle w:val="ae"/>
          <w:rFonts w:ascii="Traditional Arabic" w:hAnsi="Traditional Arabic"/>
          <w:sz w:val="32"/>
          <w:szCs w:val="32"/>
          <w:vertAlign w:val="baseline"/>
        </w:rPr>
        <w:footnoteRef/>
      </w:r>
      <w:r w:rsidRPr="00670EE1">
        <w:rPr>
          <w:rFonts w:ascii="Traditional Arabic" w:hAnsi="Traditional Arabic"/>
          <w:sz w:val="32"/>
          <w:szCs w:val="32"/>
          <w:rtl/>
        </w:rPr>
        <w:t>) انظر: معاني القرآن وإعرابه (3/311), التفسير البسيط (14/150).</w:t>
      </w:r>
    </w:p>
  </w:footnote>
  <w:footnote w:id="1933">
    <w:p w:rsidR="003F128F" w:rsidRPr="00670EE1" w:rsidRDefault="003F128F" w:rsidP="008900CA">
      <w:pPr>
        <w:pStyle w:val="af3"/>
        <w:rPr>
          <w:rFonts w:ascii="Traditional Arabic" w:hAnsi="Traditional Arabic"/>
          <w:sz w:val="32"/>
          <w:szCs w:val="32"/>
        </w:rPr>
      </w:pPr>
      <w:r w:rsidRPr="00670EE1">
        <w:rPr>
          <w:rFonts w:ascii="Traditional Arabic" w:hAnsi="Traditional Arabic"/>
          <w:sz w:val="32"/>
          <w:szCs w:val="32"/>
          <w:rtl/>
        </w:rPr>
        <w:t>(</w:t>
      </w:r>
      <w:r w:rsidRPr="00670EE1">
        <w:rPr>
          <w:rStyle w:val="ae"/>
          <w:rFonts w:ascii="Traditional Arabic" w:hAnsi="Traditional Arabic"/>
          <w:sz w:val="32"/>
          <w:szCs w:val="32"/>
          <w:vertAlign w:val="baseline"/>
        </w:rPr>
        <w:footnoteRef/>
      </w:r>
      <w:r w:rsidRPr="00670EE1">
        <w:rPr>
          <w:rFonts w:ascii="Traditional Arabic" w:hAnsi="Traditional Arabic"/>
          <w:sz w:val="32"/>
          <w:szCs w:val="32"/>
          <w:rtl/>
        </w:rPr>
        <w:t>) انظر: السبعة في القراءات (ص401), الحجة في القراءات السبع (ص232).</w:t>
      </w:r>
    </w:p>
  </w:footnote>
  <w:footnote w:id="1934">
    <w:p w:rsidR="003F128F" w:rsidRPr="00670EE1" w:rsidRDefault="003F128F" w:rsidP="008900CA">
      <w:pPr>
        <w:pStyle w:val="af3"/>
        <w:rPr>
          <w:rFonts w:ascii="Traditional Arabic" w:hAnsi="Traditional Arabic"/>
          <w:sz w:val="32"/>
          <w:szCs w:val="32"/>
        </w:rPr>
      </w:pPr>
      <w:r w:rsidRPr="00670EE1">
        <w:rPr>
          <w:rFonts w:ascii="Traditional Arabic" w:hAnsi="Traditional Arabic"/>
          <w:sz w:val="32"/>
          <w:szCs w:val="32"/>
          <w:rtl/>
        </w:rPr>
        <w:t>(</w:t>
      </w:r>
      <w:r w:rsidRPr="00670EE1">
        <w:rPr>
          <w:rStyle w:val="ae"/>
          <w:rFonts w:ascii="Traditional Arabic" w:hAnsi="Traditional Arabic"/>
          <w:sz w:val="32"/>
          <w:szCs w:val="32"/>
          <w:vertAlign w:val="baseline"/>
        </w:rPr>
        <w:footnoteRef/>
      </w:r>
      <w:r w:rsidRPr="00670EE1">
        <w:rPr>
          <w:rFonts w:ascii="Traditional Arabic" w:hAnsi="Traditional Arabic"/>
          <w:sz w:val="32"/>
          <w:szCs w:val="32"/>
          <w:rtl/>
        </w:rPr>
        <w:t>) انظر هذه الأقوال في تفسير الطبري (18/117), النكت والعيون (3/343).</w:t>
      </w:r>
    </w:p>
  </w:footnote>
  <w:footnote w:id="1935">
    <w:p w:rsidR="003F128F" w:rsidRPr="00670EE1" w:rsidRDefault="003F128F" w:rsidP="008900CA">
      <w:pPr>
        <w:pStyle w:val="af3"/>
        <w:rPr>
          <w:rFonts w:ascii="Traditional Arabic" w:hAnsi="Traditional Arabic"/>
          <w:sz w:val="32"/>
          <w:szCs w:val="32"/>
        </w:rPr>
      </w:pPr>
      <w:r w:rsidRPr="00670EE1">
        <w:rPr>
          <w:rFonts w:ascii="Traditional Arabic" w:hAnsi="Traditional Arabic"/>
          <w:sz w:val="32"/>
          <w:szCs w:val="32"/>
          <w:rtl/>
        </w:rPr>
        <w:t>(</w:t>
      </w:r>
      <w:r w:rsidRPr="00670EE1">
        <w:rPr>
          <w:rStyle w:val="ae"/>
          <w:rFonts w:ascii="Traditional Arabic" w:hAnsi="Traditional Arabic"/>
          <w:sz w:val="32"/>
          <w:szCs w:val="32"/>
          <w:vertAlign w:val="baseline"/>
        </w:rPr>
        <w:footnoteRef/>
      </w:r>
      <w:r w:rsidRPr="00670EE1">
        <w:rPr>
          <w:rFonts w:ascii="Traditional Arabic" w:hAnsi="Traditional Arabic"/>
          <w:sz w:val="32"/>
          <w:szCs w:val="32"/>
          <w:rtl/>
        </w:rPr>
        <w:t xml:space="preserve">) انظر: معاني القرآن للفراء (2/356).   </w:t>
      </w:r>
    </w:p>
  </w:footnote>
  <w:footnote w:id="1936">
    <w:p w:rsidR="003F128F" w:rsidRPr="00670EE1" w:rsidRDefault="003F128F" w:rsidP="008900CA">
      <w:pPr>
        <w:pStyle w:val="af3"/>
        <w:rPr>
          <w:rFonts w:ascii="Traditional Arabic" w:hAnsi="Traditional Arabic"/>
          <w:sz w:val="32"/>
          <w:szCs w:val="32"/>
        </w:rPr>
      </w:pPr>
      <w:r w:rsidRPr="00670EE1">
        <w:rPr>
          <w:rFonts w:ascii="Traditional Arabic" w:hAnsi="Traditional Arabic"/>
          <w:sz w:val="32"/>
          <w:szCs w:val="32"/>
          <w:rtl/>
        </w:rPr>
        <w:t>(</w:t>
      </w:r>
      <w:r w:rsidRPr="00670EE1">
        <w:rPr>
          <w:rStyle w:val="ae"/>
          <w:rFonts w:ascii="Traditional Arabic" w:hAnsi="Traditional Arabic"/>
          <w:sz w:val="32"/>
          <w:szCs w:val="32"/>
          <w:vertAlign w:val="baseline"/>
        </w:rPr>
        <w:footnoteRef/>
      </w:r>
      <w:r w:rsidRPr="00670EE1">
        <w:rPr>
          <w:rFonts w:ascii="Traditional Arabic" w:hAnsi="Traditional Arabic"/>
          <w:sz w:val="32"/>
          <w:szCs w:val="32"/>
          <w:rtl/>
        </w:rPr>
        <w:t xml:space="preserve">) انظر: معاني القرآن وإعرابه (3/311). </w:t>
      </w:r>
    </w:p>
  </w:footnote>
  <w:footnote w:id="1937">
    <w:p w:rsidR="003F128F" w:rsidRPr="00670EE1" w:rsidRDefault="003F128F" w:rsidP="008900CA">
      <w:pPr>
        <w:pStyle w:val="af3"/>
        <w:rPr>
          <w:rFonts w:ascii="Traditional Arabic" w:hAnsi="Traditional Arabic"/>
          <w:sz w:val="32"/>
          <w:szCs w:val="32"/>
        </w:rPr>
      </w:pPr>
      <w:r w:rsidRPr="00670EE1">
        <w:rPr>
          <w:rFonts w:ascii="Traditional Arabic" w:hAnsi="Traditional Arabic"/>
          <w:sz w:val="32"/>
          <w:szCs w:val="32"/>
          <w:rtl/>
        </w:rPr>
        <w:t>(</w:t>
      </w:r>
      <w:r w:rsidRPr="00670EE1">
        <w:rPr>
          <w:rStyle w:val="ae"/>
          <w:rFonts w:ascii="Traditional Arabic" w:hAnsi="Traditional Arabic"/>
          <w:sz w:val="32"/>
          <w:szCs w:val="32"/>
          <w:vertAlign w:val="baseline"/>
        </w:rPr>
        <w:footnoteRef/>
      </w:r>
      <w:r w:rsidRPr="00670EE1">
        <w:rPr>
          <w:rFonts w:ascii="Traditional Arabic" w:hAnsi="Traditional Arabic"/>
          <w:sz w:val="32"/>
          <w:szCs w:val="32"/>
          <w:rtl/>
        </w:rPr>
        <w:t xml:space="preserve">) انظر: مجاز القرآن (1/415).   </w:t>
      </w:r>
    </w:p>
  </w:footnote>
  <w:footnote w:id="1938">
    <w:p w:rsidR="003F128F" w:rsidRPr="00670EE1" w:rsidRDefault="003F128F" w:rsidP="008900CA">
      <w:pPr>
        <w:pStyle w:val="af3"/>
        <w:rPr>
          <w:rFonts w:ascii="Traditional Arabic" w:hAnsi="Traditional Arabic"/>
          <w:sz w:val="32"/>
          <w:szCs w:val="32"/>
        </w:rPr>
      </w:pPr>
      <w:r w:rsidRPr="00670EE1">
        <w:rPr>
          <w:rFonts w:ascii="Traditional Arabic" w:hAnsi="Traditional Arabic"/>
          <w:sz w:val="32"/>
          <w:szCs w:val="32"/>
          <w:rtl/>
        </w:rPr>
        <w:t>(</w:t>
      </w:r>
      <w:r w:rsidRPr="00670EE1">
        <w:rPr>
          <w:rStyle w:val="ae"/>
          <w:rFonts w:ascii="Traditional Arabic" w:hAnsi="Traditional Arabic"/>
          <w:sz w:val="32"/>
          <w:szCs w:val="32"/>
          <w:vertAlign w:val="baseline"/>
        </w:rPr>
        <w:footnoteRef/>
      </w:r>
      <w:r w:rsidRPr="00670EE1">
        <w:rPr>
          <w:rFonts w:ascii="Traditional Arabic" w:hAnsi="Traditional Arabic"/>
          <w:sz w:val="32"/>
          <w:szCs w:val="32"/>
          <w:rtl/>
        </w:rPr>
        <w:t xml:space="preserve">) انظر: تفسير مقاتل (2/602).   </w:t>
      </w:r>
    </w:p>
  </w:footnote>
  <w:footnote w:id="1939">
    <w:p w:rsidR="003F128F" w:rsidRPr="00670EE1" w:rsidRDefault="003F128F" w:rsidP="008900CA">
      <w:pPr>
        <w:pStyle w:val="af3"/>
        <w:rPr>
          <w:rFonts w:ascii="Traditional Arabic" w:hAnsi="Traditional Arabic"/>
          <w:sz w:val="32"/>
          <w:szCs w:val="32"/>
        </w:rPr>
      </w:pPr>
      <w:r w:rsidRPr="00670EE1">
        <w:rPr>
          <w:rFonts w:ascii="Traditional Arabic" w:hAnsi="Traditional Arabic"/>
          <w:sz w:val="32"/>
          <w:szCs w:val="32"/>
          <w:rtl/>
        </w:rPr>
        <w:t>(</w:t>
      </w:r>
      <w:r w:rsidRPr="00670EE1">
        <w:rPr>
          <w:rStyle w:val="ae"/>
          <w:rFonts w:ascii="Traditional Arabic" w:hAnsi="Traditional Arabic"/>
          <w:sz w:val="32"/>
          <w:szCs w:val="32"/>
          <w:vertAlign w:val="baseline"/>
        </w:rPr>
        <w:footnoteRef/>
      </w:r>
      <w:r w:rsidRPr="00670EE1">
        <w:rPr>
          <w:rFonts w:ascii="Traditional Arabic" w:hAnsi="Traditional Arabic"/>
          <w:sz w:val="32"/>
          <w:szCs w:val="32"/>
          <w:rtl/>
        </w:rPr>
        <w:t xml:space="preserve">) انظر: النكت والعيون (3/343), وذكره أبو حيان في البحر المحيط (7/218), والالوسي في روح المعاني (15/574) بدون نسبة. </w:t>
      </w:r>
    </w:p>
  </w:footnote>
  <w:footnote w:id="1940">
    <w:p w:rsidR="003F128F" w:rsidRPr="00670EE1" w:rsidRDefault="003F128F" w:rsidP="008900CA">
      <w:pPr>
        <w:pStyle w:val="af3"/>
        <w:rPr>
          <w:rFonts w:ascii="Traditional Arabic" w:hAnsi="Traditional Arabic"/>
          <w:sz w:val="32"/>
          <w:szCs w:val="32"/>
        </w:rPr>
      </w:pPr>
      <w:r w:rsidRPr="00670EE1">
        <w:rPr>
          <w:rFonts w:ascii="Traditional Arabic" w:hAnsi="Traditional Arabic"/>
          <w:sz w:val="32"/>
          <w:szCs w:val="32"/>
          <w:rtl/>
        </w:rPr>
        <w:t>(</w:t>
      </w:r>
      <w:r w:rsidRPr="00670EE1">
        <w:rPr>
          <w:rStyle w:val="ae"/>
          <w:rFonts w:ascii="Traditional Arabic" w:hAnsi="Traditional Arabic"/>
          <w:sz w:val="32"/>
          <w:szCs w:val="32"/>
          <w:vertAlign w:val="baseline"/>
        </w:rPr>
        <w:footnoteRef/>
      </w:r>
      <w:r w:rsidRPr="00670EE1">
        <w:rPr>
          <w:rFonts w:ascii="Traditional Arabic" w:hAnsi="Traditional Arabic"/>
          <w:sz w:val="32"/>
          <w:szCs w:val="32"/>
          <w:rtl/>
        </w:rPr>
        <w:t>) انظر: التفسير الوسيط (3/168), الكشاف (2/747).</w:t>
      </w:r>
    </w:p>
  </w:footnote>
  <w:footnote w:id="1941">
    <w:p w:rsidR="003F128F" w:rsidRPr="00670EE1" w:rsidRDefault="003F128F" w:rsidP="008900CA">
      <w:pPr>
        <w:pStyle w:val="af3"/>
        <w:rPr>
          <w:rFonts w:ascii="Traditional Arabic" w:hAnsi="Traditional Arabic"/>
          <w:sz w:val="32"/>
          <w:szCs w:val="32"/>
        </w:rPr>
      </w:pPr>
      <w:r w:rsidRPr="00670EE1">
        <w:rPr>
          <w:rFonts w:ascii="Traditional Arabic" w:hAnsi="Traditional Arabic"/>
          <w:sz w:val="32"/>
          <w:szCs w:val="32"/>
          <w:rtl/>
        </w:rPr>
        <w:t>(</w:t>
      </w:r>
      <w:r w:rsidRPr="00670EE1">
        <w:rPr>
          <w:rStyle w:val="ae"/>
          <w:rFonts w:ascii="Traditional Arabic" w:hAnsi="Traditional Arabic"/>
          <w:sz w:val="32"/>
          <w:szCs w:val="32"/>
          <w:vertAlign w:val="baseline"/>
        </w:rPr>
        <w:footnoteRef/>
      </w:r>
      <w:r w:rsidRPr="00670EE1">
        <w:rPr>
          <w:rFonts w:ascii="Traditional Arabic" w:hAnsi="Traditional Arabic"/>
          <w:sz w:val="32"/>
          <w:szCs w:val="32"/>
          <w:rtl/>
        </w:rPr>
        <w:t>) انظر: تفسير يحيى بن سلا م (1/104), تفسير الطبري (18/113).</w:t>
      </w:r>
    </w:p>
  </w:footnote>
  <w:footnote w:id="1942">
    <w:p w:rsidR="003F128F" w:rsidRPr="00670EE1" w:rsidRDefault="003F128F" w:rsidP="008900CA">
      <w:pPr>
        <w:pStyle w:val="af3"/>
        <w:rPr>
          <w:rFonts w:ascii="Traditional Arabic" w:hAnsi="Traditional Arabic"/>
          <w:sz w:val="32"/>
          <w:szCs w:val="32"/>
        </w:rPr>
      </w:pPr>
      <w:r w:rsidRPr="00670EE1">
        <w:rPr>
          <w:rFonts w:ascii="Traditional Arabic" w:hAnsi="Traditional Arabic"/>
          <w:sz w:val="32"/>
          <w:szCs w:val="32"/>
          <w:rtl/>
        </w:rPr>
        <w:t>(</w:t>
      </w:r>
      <w:r w:rsidRPr="00670EE1">
        <w:rPr>
          <w:rStyle w:val="ae"/>
          <w:rFonts w:ascii="Traditional Arabic" w:hAnsi="Traditional Arabic"/>
          <w:sz w:val="32"/>
          <w:szCs w:val="32"/>
          <w:vertAlign w:val="baseline"/>
        </w:rPr>
        <w:footnoteRef/>
      </w:r>
      <w:r w:rsidRPr="00670EE1">
        <w:rPr>
          <w:rFonts w:ascii="Traditional Arabic" w:hAnsi="Traditional Arabic"/>
          <w:sz w:val="32"/>
          <w:szCs w:val="32"/>
          <w:rtl/>
        </w:rPr>
        <w:t>) ذكر بنحوه الأخفش في معاني القرآن (2/433), والطبري في تفسيره (18/118).</w:t>
      </w:r>
    </w:p>
  </w:footnote>
  <w:footnote w:id="1943">
    <w:p w:rsidR="003F128F" w:rsidRPr="00670EE1" w:rsidRDefault="003F128F" w:rsidP="008900CA">
      <w:pPr>
        <w:pStyle w:val="af3"/>
        <w:rPr>
          <w:rFonts w:ascii="Traditional Arabic" w:hAnsi="Traditional Arabic"/>
          <w:sz w:val="32"/>
          <w:szCs w:val="32"/>
        </w:rPr>
      </w:pPr>
      <w:r w:rsidRPr="00670EE1">
        <w:rPr>
          <w:rFonts w:ascii="Traditional Arabic" w:hAnsi="Traditional Arabic"/>
          <w:sz w:val="32"/>
          <w:szCs w:val="32"/>
          <w:rtl/>
        </w:rPr>
        <w:t>(</w:t>
      </w:r>
      <w:r w:rsidRPr="00670EE1">
        <w:rPr>
          <w:rStyle w:val="ae"/>
          <w:rFonts w:ascii="Traditional Arabic" w:hAnsi="Traditional Arabic"/>
          <w:sz w:val="32"/>
          <w:szCs w:val="32"/>
          <w:vertAlign w:val="baseline"/>
        </w:rPr>
        <w:footnoteRef/>
      </w:r>
      <w:r w:rsidRPr="00670EE1">
        <w:rPr>
          <w:rFonts w:ascii="Traditional Arabic" w:hAnsi="Traditional Arabic"/>
          <w:sz w:val="32"/>
          <w:szCs w:val="32"/>
          <w:rtl/>
        </w:rPr>
        <w:t>)</w:t>
      </w:r>
      <w:r w:rsidRPr="00670EE1">
        <w:rPr>
          <w:rFonts w:ascii="Traditional Arabic" w:hAnsi="Traditional Arabic"/>
          <w:color w:val="auto"/>
          <w:sz w:val="32"/>
          <w:szCs w:val="32"/>
          <w:rtl/>
        </w:rPr>
        <w:t xml:space="preserve"> في (ك): [</w:t>
      </w:r>
      <w:r w:rsidRPr="00670EE1">
        <w:rPr>
          <w:rFonts w:ascii="Traditional Arabic" w:hAnsi="Traditional Arabic"/>
          <w:sz w:val="32"/>
          <w:szCs w:val="32"/>
          <w:rtl/>
          <w:lang w:eastAsia="en-US"/>
        </w:rPr>
        <w:t>والمِساسه</w:t>
      </w:r>
      <w:r w:rsidRPr="00670EE1">
        <w:rPr>
          <w:rFonts w:ascii="Traditional Arabic" w:hAnsi="Traditional Arabic"/>
          <w:color w:val="auto"/>
          <w:sz w:val="32"/>
          <w:szCs w:val="32"/>
          <w:rtl/>
        </w:rPr>
        <w:t>].</w:t>
      </w:r>
      <w:r w:rsidRPr="00670EE1">
        <w:rPr>
          <w:rFonts w:ascii="Traditional Arabic" w:hAnsi="Traditional Arabic"/>
          <w:sz w:val="32"/>
          <w:szCs w:val="32"/>
          <w:rtl/>
        </w:rPr>
        <w:t xml:space="preserve"> </w:t>
      </w:r>
    </w:p>
  </w:footnote>
  <w:footnote w:id="1944">
    <w:p w:rsidR="003F128F" w:rsidRPr="00670EE1" w:rsidRDefault="003F128F" w:rsidP="008900CA">
      <w:pPr>
        <w:pStyle w:val="af3"/>
        <w:rPr>
          <w:rFonts w:ascii="Traditional Arabic" w:hAnsi="Traditional Arabic"/>
          <w:sz w:val="32"/>
          <w:szCs w:val="32"/>
        </w:rPr>
      </w:pPr>
      <w:r w:rsidRPr="00670EE1">
        <w:rPr>
          <w:rFonts w:ascii="Traditional Arabic" w:hAnsi="Traditional Arabic"/>
          <w:sz w:val="32"/>
          <w:szCs w:val="32"/>
          <w:rtl/>
        </w:rPr>
        <w:t>(</w:t>
      </w:r>
      <w:r w:rsidRPr="00670EE1">
        <w:rPr>
          <w:rStyle w:val="ae"/>
          <w:rFonts w:ascii="Traditional Arabic" w:hAnsi="Traditional Arabic"/>
          <w:sz w:val="32"/>
          <w:szCs w:val="32"/>
          <w:vertAlign w:val="baseline"/>
        </w:rPr>
        <w:footnoteRef/>
      </w:r>
      <w:r w:rsidRPr="00670EE1">
        <w:rPr>
          <w:rFonts w:ascii="Traditional Arabic" w:hAnsi="Traditional Arabic"/>
          <w:sz w:val="32"/>
          <w:szCs w:val="32"/>
          <w:rtl/>
        </w:rPr>
        <w:t xml:space="preserve">) انظر: تفسير مقاتل (2/602), غريب القرآن لابن قتيبة (ص271). </w:t>
      </w:r>
    </w:p>
  </w:footnote>
  <w:footnote w:id="1945">
    <w:p w:rsidR="003F128F" w:rsidRPr="00670EE1" w:rsidRDefault="003F128F" w:rsidP="008900CA">
      <w:pPr>
        <w:pStyle w:val="af3"/>
        <w:rPr>
          <w:rFonts w:ascii="Traditional Arabic" w:hAnsi="Traditional Arabic"/>
          <w:sz w:val="32"/>
          <w:szCs w:val="32"/>
        </w:rPr>
      </w:pPr>
      <w:r w:rsidRPr="00670EE1">
        <w:rPr>
          <w:rFonts w:ascii="Traditional Arabic" w:hAnsi="Traditional Arabic"/>
          <w:sz w:val="32"/>
          <w:szCs w:val="32"/>
          <w:rtl/>
        </w:rPr>
        <w:t>(</w:t>
      </w:r>
      <w:r w:rsidRPr="00670EE1">
        <w:rPr>
          <w:rStyle w:val="ae"/>
          <w:rFonts w:ascii="Traditional Arabic" w:hAnsi="Traditional Arabic"/>
          <w:sz w:val="32"/>
          <w:szCs w:val="32"/>
          <w:vertAlign w:val="baseline"/>
        </w:rPr>
        <w:footnoteRef/>
      </w:r>
      <w:r w:rsidRPr="00670EE1">
        <w:rPr>
          <w:rFonts w:ascii="Traditional Arabic" w:hAnsi="Traditional Arabic"/>
          <w:sz w:val="32"/>
          <w:szCs w:val="32"/>
          <w:rtl/>
        </w:rPr>
        <w:t>)</w:t>
      </w:r>
      <w:r w:rsidRPr="00670EE1">
        <w:rPr>
          <w:rFonts w:ascii="Traditional Arabic" w:hAnsi="Traditional Arabic"/>
          <w:color w:val="auto"/>
          <w:sz w:val="32"/>
          <w:szCs w:val="32"/>
          <w:rtl/>
        </w:rPr>
        <w:t xml:space="preserve"> في (ك): [</w:t>
      </w:r>
      <w:r w:rsidRPr="00670EE1">
        <w:rPr>
          <w:rFonts w:ascii="Traditional Arabic" w:hAnsi="Traditional Arabic"/>
          <w:sz w:val="32"/>
          <w:szCs w:val="32"/>
          <w:rtl/>
        </w:rPr>
        <w:t>فيعودون إِليه كهيئته</w:t>
      </w:r>
      <w:r w:rsidRPr="00670EE1">
        <w:rPr>
          <w:rFonts w:ascii="Traditional Arabic" w:hAnsi="Traditional Arabic"/>
          <w:color w:val="auto"/>
          <w:sz w:val="32"/>
          <w:szCs w:val="32"/>
          <w:rtl/>
        </w:rPr>
        <w:t>].</w:t>
      </w:r>
      <w:r w:rsidRPr="00670EE1">
        <w:rPr>
          <w:rFonts w:ascii="Traditional Arabic" w:hAnsi="Traditional Arabic"/>
          <w:sz w:val="32"/>
          <w:szCs w:val="32"/>
          <w:rtl/>
        </w:rPr>
        <w:t xml:space="preserve">  </w:t>
      </w:r>
    </w:p>
  </w:footnote>
  <w:footnote w:id="1946">
    <w:p w:rsidR="003F128F" w:rsidRPr="00670EE1" w:rsidRDefault="003F128F" w:rsidP="008900CA">
      <w:pPr>
        <w:widowControl/>
        <w:autoSpaceDE w:val="0"/>
        <w:autoSpaceDN w:val="0"/>
        <w:adjustRightInd w:val="0"/>
        <w:ind w:firstLine="0"/>
        <w:jc w:val="left"/>
        <w:rPr>
          <w:rFonts w:ascii="Traditional Arabic" w:hAnsi="Traditional Arabic"/>
          <w:sz w:val="32"/>
          <w:szCs w:val="32"/>
        </w:rPr>
      </w:pPr>
      <w:r w:rsidRPr="00670EE1">
        <w:rPr>
          <w:rFonts w:ascii="Traditional Arabic" w:hAnsi="Traditional Arabic"/>
          <w:color w:val="auto"/>
          <w:sz w:val="32"/>
          <w:szCs w:val="32"/>
          <w:rtl/>
        </w:rPr>
        <w:t>(</w:t>
      </w:r>
      <w:r w:rsidRPr="00670EE1">
        <w:rPr>
          <w:rStyle w:val="ae"/>
          <w:rFonts w:ascii="Traditional Arabic" w:hAnsi="Traditional Arabic"/>
          <w:color w:val="auto"/>
          <w:sz w:val="32"/>
          <w:szCs w:val="32"/>
          <w:vertAlign w:val="baseline"/>
        </w:rPr>
        <w:footnoteRef/>
      </w:r>
      <w:r w:rsidRPr="00670EE1">
        <w:rPr>
          <w:rFonts w:ascii="Traditional Arabic" w:hAnsi="Traditional Arabic"/>
          <w:color w:val="auto"/>
          <w:sz w:val="32"/>
          <w:szCs w:val="32"/>
          <w:rtl/>
        </w:rPr>
        <w:t xml:space="preserve">) انظر: كتاب الحدائق </w:t>
      </w:r>
      <w:r>
        <w:rPr>
          <w:rFonts w:ascii="Traditional Arabic" w:hAnsi="Traditional Arabic" w:hint="cs"/>
          <w:color w:val="auto"/>
          <w:sz w:val="32"/>
          <w:szCs w:val="32"/>
          <w:rtl/>
        </w:rPr>
        <w:t>لابن الجوزي</w:t>
      </w:r>
      <w:r w:rsidRPr="00670EE1">
        <w:rPr>
          <w:rFonts w:ascii="Traditional Arabic" w:hAnsi="Traditional Arabic"/>
          <w:color w:val="auto"/>
          <w:sz w:val="32"/>
          <w:szCs w:val="32"/>
          <w:rtl/>
        </w:rPr>
        <w:t xml:space="preserve"> رحمه الله (3/385).</w:t>
      </w:r>
      <w:r w:rsidRPr="00670EE1">
        <w:rPr>
          <w:rFonts w:ascii="Traditional Arabic" w:hAnsi="Traditional Arabic"/>
          <w:color w:val="auto"/>
          <w:sz w:val="32"/>
          <w:szCs w:val="32"/>
          <w:rtl/>
          <w:lang w:eastAsia="en-US"/>
        </w:rPr>
        <w:t xml:space="preserve"> والحديث</w:t>
      </w:r>
      <w:r>
        <w:rPr>
          <w:rFonts w:ascii="Traditional Arabic" w:hAnsi="Traditional Arabic" w:hint="cs"/>
          <w:color w:val="auto"/>
          <w:sz w:val="32"/>
          <w:szCs w:val="32"/>
          <w:rtl/>
          <w:lang w:eastAsia="en-US"/>
        </w:rPr>
        <w:t xml:space="preserve"> </w:t>
      </w:r>
      <w:r w:rsidRPr="00670EE1">
        <w:rPr>
          <w:rFonts w:ascii="Traditional Arabic" w:hAnsi="Traditional Arabic"/>
          <w:color w:val="auto"/>
          <w:sz w:val="32"/>
          <w:szCs w:val="32"/>
          <w:rtl/>
          <w:lang w:eastAsia="en-US"/>
        </w:rPr>
        <w:t xml:space="preserve">أخرجه أحمد في المسند (16/369 ح10632), والترمذي في جامعه (كتاب التفسير, باب: ومن سورة الكهف 8/572 ح3153), وابن ماجه في سننه (كتاب الفتن, باب: فتنة الدجال وخروج عيسى ابن مريم وخروج يأجوج ومأجوج 4/409 ح4080) </w:t>
      </w:r>
      <w:r w:rsidRPr="00670EE1">
        <w:rPr>
          <w:rFonts w:ascii="Traditional Arabic" w:hAnsi="Traditional Arabic"/>
          <w:sz w:val="32"/>
          <w:szCs w:val="32"/>
          <w:rtl/>
          <w:lang w:eastAsia="en-US"/>
        </w:rPr>
        <w:t xml:space="preserve">والحاكم في المستدرك (4/534 ح8501), والطبري في تفسيره (18/109), والواحدي في الوسيط (3/168) من طريق قتادة عن أبي رافع عن أبي هريرة به. قال الحاكم في المستدرك: هذا حديث صحيح على شرط الشيخين ولم يخرجاه. ووافقه الذهبي, وصححه الشيخ الالباني كما في </w:t>
      </w:r>
      <w:r>
        <w:rPr>
          <w:rFonts w:ascii="Traditional Arabic" w:hAnsi="Traditional Arabic" w:hint="cs"/>
          <w:sz w:val="32"/>
          <w:szCs w:val="32"/>
          <w:rtl/>
          <w:lang w:eastAsia="en-US"/>
        </w:rPr>
        <w:t>صحيح الجامع الصغير وزيادته (</w:t>
      </w:r>
      <w:r>
        <w:rPr>
          <w:rFonts w:ascii="Traditional Arabic" w:hAnsi="Traditional Arabic" w:hint="cs"/>
          <w:sz w:val="32"/>
          <w:szCs w:val="32"/>
          <w:rtl/>
        </w:rPr>
        <w:t>1/452 ح2276).</w:t>
      </w:r>
    </w:p>
  </w:footnote>
  <w:footnote w:id="1947">
    <w:p w:rsidR="003F128F" w:rsidRPr="00670EE1" w:rsidRDefault="003F128F" w:rsidP="008900CA">
      <w:pPr>
        <w:pStyle w:val="af3"/>
        <w:rPr>
          <w:rFonts w:ascii="Traditional Arabic" w:hAnsi="Traditional Arabic"/>
          <w:sz w:val="32"/>
          <w:szCs w:val="32"/>
        </w:rPr>
      </w:pPr>
      <w:r w:rsidRPr="00670EE1">
        <w:rPr>
          <w:rFonts w:ascii="Traditional Arabic" w:hAnsi="Traditional Arabic"/>
          <w:sz w:val="32"/>
          <w:szCs w:val="32"/>
          <w:rtl/>
        </w:rPr>
        <w:t>(</w:t>
      </w:r>
      <w:r w:rsidRPr="00670EE1">
        <w:rPr>
          <w:rStyle w:val="ae"/>
          <w:rFonts w:ascii="Traditional Arabic" w:hAnsi="Traditional Arabic"/>
          <w:sz w:val="32"/>
          <w:szCs w:val="32"/>
          <w:vertAlign w:val="baseline"/>
        </w:rPr>
        <w:footnoteRef/>
      </w:r>
      <w:r w:rsidRPr="00670EE1">
        <w:rPr>
          <w:rFonts w:ascii="Traditional Arabic" w:hAnsi="Traditional Arabic"/>
          <w:sz w:val="32"/>
          <w:szCs w:val="32"/>
          <w:rtl/>
        </w:rPr>
        <w:t xml:space="preserve">) انظر: تفسير مقاتل (2/603).   </w:t>
      </w:r>
    </w:p>
  </w:footnote>
  <w:footnote w:id="1948">
    <w:p w:rsidR="003F128F" w:rsidRPr="00670EE1" w:rsidRDefault="003F128F" w:rsidP="008900CA">
      <w:pPr>
        <w:pStyle w:val="af3"/>
        <w:rPr>
          <w:rFonts w:ascii="Traditional Arabic" w:hAnsi="Traditional Arabic"/>
          <w:sz w:val="32"/>
          <w:szCs w:val="32"/>
        </w:rPr>
      </w:pPr>
      <w:r w:rsidRPr="00670EE1">
        <w:rPr>
          <w:rFonts w:ascii="Traditional Arabic" w:hAnsi="Traditional Arabic"/>
          <w:sz w:val="32"/>
          <w:szCs w:val="32"/>
          <w:rtl/>
        </w:rPr>
        <w:t>(</w:t>
      </w:r>
      <w:r w:rsidRPr="00670EE1">
        <w:rPr>
          <w:rStyle w:val="ae"/>
          <w:rFonts w:ascii="Traditional Arabic" w:hAnsi="Traditional Arabic"/>
          <w:sz w:val="32"/>
          <w:szCs w:val="32"/>
          <w:vertAlign w:val="baseline"/>
        </w:rPr>
        <w:footnoteRef/>
      </w:r>
      <w:r w:rsidRPr="00670EE1">
        <w:rPr>
          <w:rFonts w:ascii="Traditional Arabic" w:hAnsi="Traditional Arabic"/>
          <w:sz w:val="32"/>
          <w:szCs w:val="32"/>
          <w:rtl/>
        </w:rPr>
        <w:t xml:space="preserve">) انظر: معاني القرآن وإعرابه (3/312).  </w:t>
      </w:r>
    </w:p>
  </w:footnote>
  <w:footnote w:id="1949">
    <w:p w:rsidR="003F128F" w:rsidRPr="00961C96" w:rsidRDefault="003F128F" w:rsidP="008900CA">
      <w:pPr>
        <w:pStyle w:val="af3"/>
        <w:rPr>
          <w:rFonts w:ascii="Traditional Arabic" w:hAnsi="Traditional Arabic"/>
          <w:sz w:val="32"/>
          <w:szCs w:val="32"/>
        </w:rPr>
      </w:pPr>
      <w:r w:rsidRPr="00670EE1">
        <w:rPr>
          <w:rFonts w:ascii="Traditional Arabic" w:hAnsi="Traditional Arabic"/>
          <w:sz w:val="32"/>
          <w:szCs w:val="32"/>
          <w:rtl/>
        </w:rPr>
        <w:t>(</w:t>
      </w:r>
      <w:r w:rsidRPr="00670EE1">
        <w:rPr>
          <w:rStyle w:val="ae"/>
          <w:rFonts w:ascii="Traditional Arabic" w:hAnsi="Traditional Arabic"/>
          <w:sz w:val="32"/>
          <w:szCs w:val="32"/>
          <w:vertAlign w:val="baseline"/>
        </w:rPr>
        <w:footnoteRef/>
      </w:r>
      <w:r w:rsidRPr="00670EE1">
        <w:rPr>
          <w:rFonts w:ascii="Traditional Arabic" w:hAnsi="Traditional Arabic"/>
          <w:sz w:val="32"/>
          <w:szCs w:val="32"/>
          <w:rtl/>
        </w:rPr>
        <w:t>) انظر: النكت والعيون (3/345), التفسير الوسيط</w:t>
      </w:r>
      <w:r w:rsidRPr="00961C96">
        <w:rPr>
          <w:rFonts w:ascii="Traditional Arabic" w:hAnsi="Traditional Arabic"/>
          <w:sz w:val="32"/>
          <w:szCs w:val="32"/>
          <w:rtl/>
        </w:rPr>
        <w:t xml:space="preserve"> (3/16</w:t>
      </w:r>
      <w:r w:rsidRPr="00961C96">
        <w:rPr>
          <w:rFonts w:ascii="Traditional Arabic" w:hAnsi="Traditional Arabic" w:hint="cs"/>
          <w:sz w:val="32"/>
          <w:szCs w:val="32"/>
          <w:rtl/>
        </w:rPr>
        <w:t>9</w:t>
      </w:r>
      <w:r w:rsidRPr="00961C96">
        <w:rPr>
          <w:rFonts w:ascii="Traditional Arabic" w:hAnsi="Traditional Arabic"/>
          <w:sz w:val="32"/>
          <w:szCs w:val="32"/>
          <w:rtl/>
        </w:rPr>
        <w:t>)</w:t>
      </w:r>
      <w:r w:rsidRPr="00961C96">
        <w:rPr>
          <w:rFonts w:ascii="Traditional Arabic" w:hAnsi="Traditional Arabic" w:hint="cs"/>
          <w:sz w:val="32"/>
          <w:szCs w:val="32"/>
          <w:rtl/>
        </w:rPr>
        <w:t>.</w:t>
      </w:r>
    </w:p>
  </w:footnote>
  <w:footnote w:id="1950">
    <w:p w:rsidR="003F128F" w:rsidRPr="00961C96" w:rsidRDefault="003F128F" w:rsidP="008900CA">
      <w:pPr>
        <w:pStyle w:val="af3"/>
        <w:rPr>
          <w:rFonts w:ascii="Traditional Arabic" w:hAnsi="Traditional Arabic"/>
          <w:sz w:val="32"/>
          <w:szCs w:val="32"/>
        </w:rPr>
      </w:pPr>
      <w:r w:rsidRPr="00961C96">
        <w:rPr>
          <w:rFonts w:ascii="Traditional Arabic" w:hAnsi="Traditional Arabic"/>
          <w:sz w:val="32"/>
          <w:szCs w:val="32"/>
          <w:rtl/>
        </w:rPr>
        <w:t>(</w:t>
      </w:r>
      <w:r w:rsidRPr="00961C96">
        <w:rPr>
          <w:rStyle w:val="ae"/>
          <w:rFonts w:ascii="Traditional Arabic" w:hAnsi="Traditional Arabic"/>
          <w:sz w:val="32"/>
          <w:szCs w:val="32"/>
          <w:vertAlign w:val="baseline"/>
        </w:rPr>
        <w:footnoteRef/>
      </w:r>
      <w:r w:rsidRPr="00961C96">
        <w:rPr>
          <w:rFonts w:ascii="Traditional Arabic" w:hAnsi="Traditional Arabic"/>
          <w:sz w:val="32"/>
          <w:szCs w:val="32"/>
          <w:rtl/>
        </w:rPr>
        <w:t>)</w:t>
      </w:r>
      <w:r w:rsidRPr="00961C96">
        <w:rPr>
          <w:rFonts w:ascii="Traditional Arabic" w:hAnsi="Traditional Arabic" w:hint="cs"/>
          <w:sz w:val="32"/>
          <w:szCs w:val="32"/>
          <w:rtl/>
        </w:rPr>
        <w:t xml:space="preserve"> </w:t>
      </w:r>
      <w:r w:rsidRPr="00961C96">
        <w:rPr>
          <w:rFonts w:ascii="Traditional Arabic" w:hAnsi="Traditional Arabic"/>
          <w:sz w:val="32"/>
          <w:szCs w:val="32"/>
          <w:rtl/>
        </w:rPr>
        <w:t>انظر: السبعة في القراءات (ص40</w:t>
      </w:r>
      <w:r w:rsidRPr="00961C96">
        <w:rPr>
          <w:rFonts w:ascii="Traditional Arabic" w:hAnsi="Traditional Arabic" w:hint="cs"/>
          <w:sz w:val="32"/>
          <w:szCs w:val="32"/>
          <w:rtl/>
        </w:rPr>
        <w:t>2</w:t>
      </w:r>
      <w:r w:rsidRPr="00961C96">
        <w:rPr>
          <w:rFonts w:ascii="Traditional Arabic" w:hAnsi="Traditional Arabic"/>
          <w:sz w:val="32"/>
          <w:szCs w:val="32"/>
          <w:rtl/>
        </w:rPr>
        <w:t>), معاني القراءات (</w:t>
      </w:r>
      <w:r w:rsidRPr="00961C96">
        <w:rPr>
          <w:rFonts w:ascii="Traditional Arabic" w:hAnsi="Traditional Arabic" w:hint="cs"/>
          <w:sz w:val="32"/>
          <w:szCs w:val="32"/>
          <w:rtl/>
        </w:rPr>
        <w:t>1/422</w:t>
      </w:r>
      <w:r w:rsidRPr="00961C96">
        <w:rPr>
          <w:rFonts w:ascii="Traditional Arabic" w:hAnsi="Traditional Arabic"/>
          <w:sz w:val="32"/>
          <w:szCs w:val="32"/>
          <w:rtl/>
        </w:rPr>
        <w:t>)</w:t>
      </w:r>
      <w:r w:rsidRPr="00961C96">
        <w:rPr>
          <w:rFonts w:ascii="Traditional Arabic" w:hAnsi="Traditional Arabic" w:hint="cs"/>
          <w:sz w:val="32"/>
          <w:szCs w:val="32"/>
          <w:rtl/>
        </w:rPr>
        <w:t>.</w:t>
      </w:r>
      <w:r w:rsidRPr="00961C96">
        <w:rPr>
          <w:rFonts w:ascii="Traditional Arabic" w:hAnsi="Traditional Arabic"/>
          <w:sz w:val="32"/>
          <w:szCs w:val="32"/>
          <w:rtl/>
        </w:rPr>
        <w:t xml:space="preserve">  </w:t>
      </w:r>
    </w:p>
  </w:footnote>
  <w:footnote w:id="1951">
    <w:p w:rsidR="003F128F" w:rsidRPr="00257909" w:rsidRDefault="003F128F" w:rsidP="008900CA">
      <w:pPr>
        <w:pStyle w:val="af3"/>
        <w:rPr>
          <w:rFonts w:ascii="Traditional Arabic" w:hAnsi="Traditional Arabic"/>
          <w:sz w:val="32"/>
          <w:szCs w:val="32"/>
        </w:rPr>
      </w:pPr>
      <w:r w:rsidRPr="00257909">
        <w:rPr>
          <w:rFonts w:ascii="Traditional Arabic" w:hAnsi="Traditional Arabic"/>
          <w:sz w:val="32"/>
          <w:szCs w:val="32"/>
          <w:rtl/>
        </w:rPr>
        <w:t>(</w:t>
      </w:r>
      <w:r w:rsidRPr="00257909">
        <w:rPr>
          <w:rStyle w:val="ae"/>
          <w:rFonts w:ascii="Traditional Arabic" w:hAnsi="Traditional Arabic"/>
          <w:sz w:val="32"/>
          <w:szCs w:val="32"/>
          <w:vertAlign w:val="baseline"/>
        </w:rPr>
        <w:footnoteRef/>
      </w:r>
      <w:r w:rsidRPr="00257909">
        <w:rPr>
          <w:rFonts w:ascii="Traditional Arabic" w:hAnsi="Traditional Arabic"/>
          <w:sz w:val="32"/>
          <w:szCs w:val="32"/>
          <w:rtl/>
        </w:rPr>
        <w:t>) سورة الأعراف, الآية: (143). انظر: زاد المسير (3/257).</w:t>
      </w:r>
    </w:p>
  </w:footnote>
  <w:footnote w:id="1952">
    <w:p w:rsidR="003F128F" w:rsidRPr="00257909" w:rsidRDefault="003F128F" w:rsidP="008900CA">
      <w:pPr>
        <w:pStyle w:val="af3"/>
        <w:rPr>
          <w:rFonts w:ascii="Traditional Arabic" w:hAnsi="Traditional Arabic"/>
          <w:sz w:val="32"/>
          <w:szCs w:val="32"/>
        </w:rPr>
      </w:pPr>
      <w:r w:rsidRPr="00257909">
        <w:rPr>
          <w:rFonts w:ascii="Traditional Arabic" w:hAnsi="Traditional Arabic"/>
          <w:sz w:val="32"/>
          <w:szCs w:val="32"/>
          <w:rtl/>
        </w:rPr>
        <w:t>(</w:t>
      </w:r>
      <w:r w:rsidRPr="00257909">
        <w:rPr>
          <w:rStyle w:val="ae"/>
          <w:rFonts w:ascii="Traditional Arabic" w:hAnsi="Traditional Arabic"/>
          <w:sz w:val="32"/>
          <w:szCs w:val="32"/>
          <w:vertAlign w:val="baseline"/>
        </w:rPr>
        <w:footnoteRef/>
      </w:r>
      <w:r w:rsidRPr="00257909">
        <w:rPr>
          <w:rFonts w:ascii="Traditional Arabic" w:hAnsi="Traditional Arabic"/>
          <w:sz w:val="32"/>
          <w:szCs w:val="32"/>
          <w:rtl/>
        </w:rPr>
        <w:t xml:space="preserve">) </w:t>
      </w:r>
      <w:r w:rsidRPr="00257909">
        <w:rPr>
          <w:rFonts w:ascii="Traditional Arabic" w:hAnsi="Traditional Arabic"/>
          <w:color w:val="auto"/>
          <w:sz w:val="32"/>
          <w:szCs w:val="32"/>
          <w:rtl/>
        </w:rPr>
        <w:t>في (ك): [</w:t>
      </w:r>
      <w:r w:rsidRPr="00257909">
        <w:rPr>
          <w:rFonts w:ascii="Traditional Arabic" w:hAnsi="Traditional Arabic"/>
          <w:sz w:val="32"/>
          <w:szCs w:val="32"/>
          <w:rtl/>
        </w:rPr>
        <w:t>حقاً بالثواب والعقاب</w:t>
      </w:r>
      <w:r w:rsidRPr="00257909">
        <w:rPr>
          <w:rFonts w:ascii="Traditional Arabic" w:hAnsi="Traditional Arabic"/>
          <w:color w:val="auto"/>
          <w:sz w:val="32"/>
          <w:szCs w:val="32"/>
          <w:rtl/>
        </w:rPr>
        <w:t>].</w:t>
      </w:r>
      <w:r w:rsidRPr="00257909">
        <w:rPr>
          <w:rFonts w:ascii="Traditional Arabic" w:hAnsi="Traditional Arabic"/>
          <w:sz w:val="32"/>
          <w:szCs w:val="32"/>
          <w:rtl/>
        </w:rPr>
        <w:t xml:space="preserve">   </w:t>
      </w:r>
    </w:p>
  </w:footnote>
  <w:footnote w:id="1953">
    <w:p w:rsidR="003F128F" w:rsidRPr="00257909" w:rsidRDefault="003F128F" w:rsidP="008900CA">
      <w:pPr>
        <w:pStyle w:val="af3"/>
        <w:rPr>
          <w:rFonts w:ascii="Traditional Arabic" w:hAnsi="Traditional Arabic"/>
          <w:sz w:val="32"/>
          <w:szCs w:val="32"/>
        </w:rPr>
      </w:pPr>
      <w:r w:rsidRPr="00257909">
        <w:rPr>
          <w:rFonts w:ascii="Traditional Arabic" w:hAnsi="Traditional Arabic"/>
          <w:sz w:val="32"/>
          <w:szCs w:val="32"/>
          <w:rtl/>
        </w:rPr>
        <w:t>(</w:t>
      </w:r>
      <w:r w:rsidRPr="00257909">
        <w:rPr>
          <w:rStyle w:val="ae"/>
          <w:rFonts w:ascii="Traditional Arabic" w:hAnsi="Traditional Arabic"/>
          <w:sz w:val="32"/>
          <w:szCs w:val="32"/>
          <w:vertAlign w:val="baseline"/>
        </w:rPr>
        <w:footnoteRef/>
      </w:r>
      <w:r w:rsidRPr="00257909">
        <w:rPr>
          <w:rFonts w:ascii="Traditional Arabic" w:hAnsi="Traditional Arabic"/>
          <w:sz w:val="32"/>
          <w:szCs w:val="32"/>
          <w:rtl/>
        </w:rPr>
        <w:t xml:space="preserve">) انظر: بحر العلوم (2/363), الهداية (6/4476). </w:t>
      </w:r>
    </w:p>
  </w:footnote>
  <w:footnote w:id="1954">
    <w:p w:rsidR="003F128F" w:rsidRPr="00257909" w:rsidRDefault="003F128F" w:rsidP="008900CA">
      <w:pPr>
        <w:pStyle w:val="af3"/>
        <w:rPr>
          <w:rFonts w:ascii="Traditional Arabic" w:hAnsi="Traditional Arabic"/>
          <w:sz w:val="32"/>
          <w:szCs w:val="32"/>
        </w:rPr>
      </w:pPr>
      <w:r w:rsidRPr="00257909">
        <w:rPr>
          <w:rFonts w:ascii="Traditional Arabic" w:hAnsi="Traditional Arabic"/>
          <w:sz w:val="32"/>
          <w:szCs w:val="32"/>
          <w:rtl/>
        </w:rPr>
        <w:t>(</w:t>
      </w:r>
      <w:r w:rsidRPr="00257909">
        <w:rPr>
          <w:rStyle w:val="ae"/>
          <w:rFonts w:ascii="Traditional Arabic" w:hAnsi="Traditional Arabic"/>
          <w:sz w:val="32"/>
          <w:szCs w:val="32"/>
          <w:vertAlign w:val="baseline"/>
        </w:rPr>
        <w:footnoteRef/>
      </w:r>
      <w:r w:rsidRPr="00257909">
        <w:rPr>
          <w:rFonts w:ascii="Traditional Arabic" w:hAnsi="Traditional Arabic"/>
          <w:sz w:val="32"/>
          <w:szCs w:val="32"/>
          <w:rtl/>
        </w:rPr>
        <w:t>) انظر: الهداية (6/4476), النكت والعيون (3/345).</w:t>
      </w:r>
    </w:p>
  </w:footnote>
  <w:footnote w:id="1955">
    <w:p w:rsidR="003F128F" w:rsidRPr="00257909" w:rsidRDefault="003F128F" w:rsidP="008900CA">
      <w:pPr>
        <w:pStyle w:val="af3"/>
        <w:rPr>
          <w:rFonts w:ascii="Traditional Arabic" w:hAnsi="Traditional Arabic"/>
          <w:sz w:val="32"/>
          <w:szCs w:val="32"/>
        </w:rPr>
      </w:pPr>
      <w:r w:rsidRPr="00257909">
        <w:rPr>
          <w:rFonts w:ascii="Traditional Arabic" w:hAnsi="Traditional Arabic"/>
          <w:sz w:val="32"/>
          <w:szCs w:val="32"/>
          <w:rtl/>
        </w:rPr>
        <w:t>(</w:t>
      </w:r>
      <w:r w:rsidRPr="00257909">
        <w:rPr>
          <w:rStyle w:val="ae"/>
          <w:rFonts w:ascii="Traditional Arabic" w:hAnsi="Traditional Arabic"/>
          <w:sz w:val="32"/>
          <w:szCs w:val="32"/>
          <w:vertAlign w:val="baseline"/>
        </w:rPr>
        <w:footnoteRef/>
      </w:r>
      <w:r w:rsidRPr="00257909">
        <w:rPr>
          <w:rFonts w:ascii="Traditional Arabic" w:hAnsi="Traditional Arabic"/>
          <w:sz w:val="32"/>
          <w:szCs w:val="32"/>
          <w:rtl/>
        </w:rPr>
        <w:t xml:space="preserve">) انظر: النكت والعيون (3/346). </w:t>
      </w:r>
    </w:p>
  </w:footnote>
  <w:footnote w:id="1956">
    <w:p w:rsidR="003F128F" w:rsidRPr="00257909" w:rsidRDefault="003F128F" w:rsidP="008900CA">
      <w:pPr>
        <w:pStyle w:val="af3"/>
        <w:rPr>
          <w:rFonts w:ascii="Traditional Arabic" w:hAnsi="Traditional Arabic"/>
          <w:sz w:val="32"/>
          <w:szCs w:val="32"/>
        </w:rPr>
      </w:pPr>
      <w:r w:rsidRPr="00257909">
        <w:rPr>
          <w:rFonts w:ascii="Traditional Arabic" w:hAnsi="Traditional Arabic"/>
          <w:sz w:val="32"/>
          <w:szCs w:val="32"/>
          <w:rtl/>
        </w:rPr>
        <w:t>(</w:t>
      </w:r>
      <w:r w:rsidRPr="00257909">
        <w:rPr>
          <w:rStyle w:val="ae"/>
          <w:rFonts w:ascii="Traditional Arabic" w:hAnsi="Traditional Arabic"/>
          <w:sz w:val="32"/>
          <w:szCs w:val="32"/>
          <w:vertAlign w:val="baseline"/>
        </w:rPr>
        <w:footnoteRef/>
      </w:r>
      <w:r w:rsidRPr="00257909">
        <w:rPr>
          <w:rFonts w:ascii="Traditional Arabic" w:hAnsi="Traditional Arabic"/>
          <w:sz w:val="32"/>
          <w:szCs w:val="32"/>
          <w:rtl/>
        </w:rPr>
        <w:t>) تفسير ابن أبي حاتم (7/2391), الكشف والبيان (6/200).</w:t>
      </w:r>
    </w:p>
  </w:footnote>
  <w:footnote w:id="1957">
    <w:p w:rsidR="003F128F" w:rsidRPr="00257909" w:rsidRDefault="003F128F" w:rsidP="008900CA">
      <w:pPr>
        <w:pStyle w:val="af3"/>
        <w:rPr>
          <w:rFonts w:ascii="Traditional Arabic" w:hAnsi="Traditional Arabic"/>
          <w:sz w:val="32"/>
          <w:szCs w:val="32"/>
        </w:rPr>
      </w:pPr>
      <w:r w:rsidRPr="00257909">
        <w:rPr>
          <w:rFonts w:ascii="Traditional Arabic" w:hAnsi="Traditional Arabic"/>
          <w:sz w:val="32"/>
          <w:szCs w:val="32"/>
          <w:rtl/>
        </w:rPr>
        <w:t>(</w:t>
      </w:r>
      <w:r w:rsidRPr="00257909">
        <w:rPr>
          <w:rStyle w:val="ae"/>
          <w:rFonts w:ascii="Traditional Arabic" w:hAnsi="Traditional Arabic"/>
          <w:sz w:val="32"/>
          <w:szCs w:val="32"/>
          <w:vertAlign w:val="baseline"/>
        </w:rPr>
        <w:footnoteRef/>
      </w:r>
      <w:r w:rsidRPr="00257909">
        <w:rPr>
          <w:rFonts w:ascii="Traditional Arabic" w:hAnsi="Traditional Arabic"/>
          <w:sz w:val="32"/>
          <w:szCs w:val="32"/>
          <w:rtl/>
        </w:rPr>
        <w:t>) سورة الأنعام, الآية: (73). انظر: زاد المسير (3/68).</w:t>
      </w:r>
    </w:p>
  </w:footnote>
  <w:footnote w:id="1958">
    <w:p w:rsidR="003F128F" w:rsidRPr="00D8385A" w:rsidRDefault="003F128F" w:rsidP="008900CA">
      <w:pPr>
        <w:pStyle w:val="af3"/>
        <w:rPr>
          <w:rFonts w:ascii="Traditional Arabic" w:hAnsi="Traditional Arabic"/>
          <w:sz w:val="32"/>
          <w:szCs w:val="32"/>
        </w:rPr>
      </w:pPr>
      <w:r w:rsidRPr="00257909">
        <w:rPr>
          <w:rFonts w:ascii="Traditional Arabic" w:hAnsi="Traditional Arabic"/>
          <w:sz w:val="32"/>
          <w:szCs w:val="32"/>
          <w:rtl/>
        </w:rPr>
        <w:t>(</w:t>
      </w:r>
      <w:r w:rsidRPr="00257909">
        <w:rPr>
          <w:rStyle w:val="ae"/>
          <w:rFonts w:ascii="Traditional Arabic" w:hAnsi="Traditional Arabic"/>
          <w:sz w:val="32"/>
          <w:szCs w:val="32"/>
          <w:vertAlign w:val="baseline"/>
        </w:rPr>
        <w:footnoteRef/>
      </w:r>
      <w:r w:rsidRPr="00257909">
        <w:rPr>
          <w:rFonts w:ascii="Traditional Arabic" w:hAnsi="Traditional Arabic"/>
          <w:sz w:val="32"/>
          <w:szCs w:val="32"/>
          <w:rtl/>
        </w:rPr>
        <w:t>) انظر: معاني القرآن وإعرابه (3/313), التفسير الوسيط (3/169).</w:t>
      </w:r>
      <w:r w:rsidRPr="00961C96">
        <w:rPr>
          <w:rFonts w:ascii="Traditional Arabic" w:hAnsi="Traditional Arabic"/>
          <w:sz w:val="32"/>
          <w:szCs w:val="32"/>
          <w:rtl/>
        </w:rPr>
        <w:t xml:space="preserve">  </w:t>
      </w:r>
      <w:r w:rsidRPr="00D8385A">
        <w:rPr>
          <w:rFonts w:ascii="Traditional Arabic" w:hAnsi="Traditional Arabic"/>
          <w:sz w:val="32"/>
          <w:szCs w:val="32"/>
          <w:rtl/>
        </w:rPr>
        <w:t xml:space="preserve"> </w:t>
      </w:r>
    </w:p>
  </w:footnote>
  <w:footnote w:id="1959">
    <w:p w:rsidR="003F128F" w:rsidRPr="00257909" w:rsidRDefault="003F128F" w:rsidP="008900CA">
      <w:pPr>
        <w:pStyle w:val="af3"/>
        <w:rPr>
          <w:rFonts w:ascii="Traditional Arabic" w:hAnsi="Traditional Arabic"/>
          <w:sz w:val="32"/>
          <w:szCs w:val="32"/>
        </w:rPr>
      </w:pPr>
      <w:r w:rsidRPr="00257909">
        <w:rPr>
          <w:rFonts w:ascii="Traditional Arabic" w:hAnsi="Traditional Arabic"/>
          <w:sz w:val="32"/>
          <w:szCs w:val="32"/>
          <w:rtl/>
        </w:rPr>
        <w:t>(</w:t>
      </w:r>
      <w:r w:rsidRPr="00257909">
        <w:rPr>
          <w:rStyle w:val="ae"/>
          <w:rFonts w:ascii="Traditional Arabic" w:hAnsi="Traditional Arabic"/>
          <w:sz w:val="32"/>
          <w:szCs w:val="32"/>
          <w:vertAlign w:val="baseline"/>
        </w:rPr>
        <w:footnoteRef/>
      </w:r>
      <w:r w:rsidRPr="00257909">
        <w:rPr>
          <w:rFonts w:ascii="Traditional Arabic" w:hAnsi="Traditional Arabic"/>
          <w:sz w:val="32"/>
          <w:szCs w:val="32"/>
          <w:rtl/>
        </w:rPr>
        <w:t xml:space="preserve">) الكشف والبيان (6/200), التفسير الوسيط (3/169),معالم التنزيل (5/209). </w:t>
      </w:r>
    </w:p>
  </w:footnote>
  <w:footnote w:id="1960">
    <w:p w:rsidR="003F128F" w:rsidRPr="00257909" w:rsidRDefault="003F128F" w:rsidP="008900CA">
      <w:pPr>
        <w:pStyle w:val="af3"/>
        <w:rPr>
          <w:rFonts w:ascii="Traditional Arabic" w:hAnsi="Traditional Arabic"/>
          <w:sz w:val="32"/>
          <w:szCs w:val="32"/>
        </w:rPr>
      </w:pPr>
      <w:r w:rsidRPr="00257909">
        <w:rPr>
          <w:rFonts w:ascii="Traditional Arabic" w:hAnsi="Traditional Arabic"/>
          <w:sz w:val="32"/>
          <w:szCs w:val="32"/>
          <w:rtl/>
        </w:rPr>
        <w:t>(</w:t>
      </w:r>
      <w:r w:rsidRPr="00257909">
        <w:rPr>
          <w:rStyle w:val="ae"/>
          <w:rFonts w:ascii="Traditional Arabic" w:hAnsi="Traditional Arabic"/>
          <w:sz w:val="32"/>
          <w:szCs w:val="32"/>
          <w:vertAlign w:val="baseline"/>
        </w:rPr>
        <w:footnoteRef/>
      </w:r>
      <w:r w:rsidRPr="00257909">
        <w:rPr>
          <w:rFonts w:ascii="Traditional Arabic" w:hAnsi="Traditional Arabic"/>
          <w:sz w:val="32"/>
          <w:szCs w:val="32"/>
          <w:rtl/>
        </w:rPr>
        <w:t xml:space="preserve">) انظر: تفسير مقاتل (2/604).   </w:t>
      </w:r>
    </w:p>
  </w:footnote>
  <w:footnote w:id="1961">
    <w:p w:rsidR="003F128F" w:rsidRPr="00257909" w:rsidRDefault="003F128F" w:rsidP="008900CA">
      <w:pPr>
        <w:pStyle w:val="af3"/>
        <w:rPr>
          <w:rFonts w:ascii="Traditional Arabic" w:hAnsi="Traditional Arabic"/>
          <w:sz w:val="32"/>
          <w:szCs w:val="32"/>
        </w:rPr>
      </w:pPr>
      <w:r w:rsidRPr="00257909">
        <w:rPr>
          <w:rFonts w:ascii="Traditional Arabic" w:hAnsi="Traditional Arabic"/>
          <w:sz w:val="32"/>
          <w:szCs w:val="32"/>
          <w:rtl/>
        </w:rPr>
        <w:t>(</w:t>
      </w:r>
      <w:r w:rsidRPr="00257909">
        <w:rPr>
          <w:rStyle w:val="ae"/>
          <w:rFonts w:ascii="Traditional Arabic" w:hAnsi="Traditional Arabic"/>
          <w:sz w:val="32"/>
          <w:szCs w:val="32"/>
          <w:vertAlign w:val="baseline"/>
        </w:rPr>
        <w:footnoteRef/>
      </w:r>
      <w:r w:rsidRPr="00257909">
        <w:rPr>
          <w:rFonts w:ascii="Traditional Arabic" w:hAnsi="Traditional Arabic"/>
          <w:sz w:val="32"/>
          <w:szCs w:val="32"/>
          <w:rtl/>
        </w:rPr>
        <w:t>) انظر: رموز الكنوز (4/375), وذكر بنحوه يحيى بن سلام في تفسيره (1/210), والطبري في تفسيره (18/124).</w:t>
      </w:r>
    </w:p>
  </w:footnote>
  <w:footnote w:id="1962">
    <w:p w:rsidR="003F128F" w:rsidRPr="00257909" w:rsidRDefault="003F128F" w:rsidP="008900CA">
      <w:pPr>
        <w:pStyle w:val="af3"/>
        <w:rPr>
          <w:rFonts w:ascii="Traditional Arabic" w:hAnsi="Traditional Arabic"/>
          <w:sz w:val="32"/>
          <w:szCs w:val="32"/>
        </w:rPr>
      </w:pPr>
      <w:r w:rsidRPr="00257909">
        <w:rPr>
          <w:rFonts w:ascii="Traditional Arabic" w:hAnsi="Traditional Arabic"/>
          <w:sz w:val="32"/>
          <w:szCs w:val="32"/>
          <w:rtl/>
        </w:rPr>
        <w:t>(</w:t>
      </w:r>
      <w:r w:rsidRPr="00257909">
        <w:rPr>
          <w:rStyle w:val="ae"/>
          <w:rFonts w:ascii="Traditional Arabic" w:hAnsi="Traditional Arabic"/>
          <w:sz w:val="32"/>
          <w:szCs w:val="32"/>
          <w:vertAlign w:val="baseline"/>
        </w:rPr>
        <w:footnoteRef/>
      </w:r>
      <w:r w:rsidRPr="00257909">
        <w:rPr>
          <w:rFonts w:ascii="Traditional Arabic" w:hAnsi="Traditional Arabic"/>
          <w:sz w:val="32"/>
          <w:szCs w:val="32"/>
          <w:rtl/>
        </w:rPr>
        <w:t>) انظر: السبعة في القراءات (ص402-403), التيسير لابي عمرو الداني (ص355).</w:t>
      </w:r>
    </w:p>
  </w:footnote>
  <w:footnote w:id="1963">
    <w:p w:rsidR="003F128F" w:rsidRPr="00257909" w:rsidRDefault="003F128F" w:rsidP="008900CA">
      <w:pPr>
        <w:pStyle w:val="af3"/>
        <w:rPr>
          <w:rFonts w:ascii="Traditional Arabic" w:hAnsi="Traditional Arabic"/>
          <w:sz w:val="32"/>
          <w:szCs w:val="32"/>
        </w:rPr>
      </w:pPr>
      <w:r w:rsidRPr="00257909">
        <w:rPr>
          <w:rFonts w:ascii="Traditional Arabic" w:hAnsi="Traditional Arabic"/>
          <w:sz w:val="32"/>
          <w:szCs w:val="32"/>
          <w:rtl/>
        </w:rPr>
        <w:t>(</w:t>
      </w:r>
      <w:r w:rsidRPr="00257909">
        <w:rPr>
          <w:rStyle w:val="ae"/>
          <w:rFonts w:ascii="Traditional Arabic" w:hAnsi="Traditional Arabic"/>
          <w:sz w:val="32"/>
          <w:szCs w:val="32"/>
          <w:vertAlign w:val="baseline"/>
        </w:rPr>
        <w:footnoteRef/>
      </w:r>
      <w:r w:rsidRPr="00257909">
        <w:rPr>
          <w:rFonts w:ascii="Traditional Arabic" w:hAnsi="Traditional Arabic"/>
          <w:sz w:val="32"/>
          <w:szCs w:val="32"/>
          <w:rtl/>
        </w:rPr>
        <w:t>) انظر: تفسير مقاتل (2/604), التفسير البسيط (14/163), معالم التنزيل (5/209).</w:t>
      </w:r>
    </w:p>
  </w:footnote>
  <w:footnote w:id="1964">
    <w:p w:rsidR="003F128F" w:rsidRPr="00257909" w:rsidRDefault="003F128F" w:rsidP="008900CA">
      <w:pPr>
        <w:pStyle w:val="af3"/>
        <w:rPr>
          <w:rFonts w:ascii="Traditional Arabic" w:hAnsi="Traditional Arabic"/>
          <w:sz w:val="32"/>
          <w:szCs w:val="32"/>
        </w:rPr>
      </w:pPr>
      <w:r w:rsidRPr="00257909">
        <w:rPr>
          <w:rFonts w:ascii="Traditional Arabic" w:hAnsi="Traditional Arabic"/>
          <w:sz w:val="32"/>
          <w:szCs w:val="32"/>
          <w:rtl/>
        </w:rPr>
        <w:t>(</w:t>
      </w:r>
      <w:r w:rsidRPr="00257909">
        <w:rPr>
          <w:rStyle w:val="ae"/>
          <w:rFonts w:ascii="Traditional Arabic" w:hAnsi="Traditional Arabic"/>
          <w:sz w:val="32"/>
          <w:szCs w:val="32"/>
          <w:vertAlign w:val="baseline"/>
        </w:rPr>
        <w:footnoteRef/>
      </w:r>
      <w:r w:rsidRPr="00257909">
        <w:rPr>
          <w:rFonts w:ascii="Traditional Arabic" w:hAnsi="Traditional Arabic"/>
          <w:sz w:val="32"/>
          <w:szCs w:val="32"/>
          <w:rtl/>
        </w:rPr>
        <w:t xml:space="preserve">) انظر: بحر العلوم (2/364), الهداية (6/4478), رموز الكنوز (4/375).   </w:t>
      </w:r>
    </w:p>
  </w:footnote>
  <w:footnote w:id="1965">
    <w:p w:rsidR="003F128F" w:rsidRPr="00257909" w:rsidRDefault="003F128F" w:rsidP="008900CA">
      <w:pPr>
        <w:pStyle w:val="af3"/>
        <w:rPr>
          <w:rFonts w:ascii="Traditional Arabic" w:hAnsi="Traditional Arabic"/>
          <w:sz w:val="32"/>
          <w:szCs w:val="32"/>
        </w:rPr>
      </w:pPr>
      <w:r w:rsidRPr="00257909">
        <w:rPr>
          <w:rFonts w:ascii="Traditional Arabic" w:hAnsi="Traditional Arabic"/>
          <w:sz w:val="32"/>
          <w:szCs w:val="32"/>
          <w:rtl/>
        </w:rPr>
        <w:t>(</w:t>
      </w:r>
      <w:r w:rsidRPr="00257909">
        <w:rPr>
          <w:rStyle w:val="ae"/>
          <w:rFonts w:ascii="Traditional Arabic" w:hAnsi="Traditional Arabic"/>
          <w:sz w:val="32"/>
          <w:szCs w:val="32"/>
          <w:vertAlign w:val="baseline"/>
        </w:rPr>
        <w:footnoteRef/>
      </w:r>
      <w:r w:rsidRPr="00257909">
        <w:rPr>
          <w:rFonts w:ascii="Traditional Arabic" w:hAnsi="Traditional Arabic"/>
          <w:sz w:val="32"/>
          <w:szCs w:val="32"/>
          <w:rtl/>
        </w:rPr>
        <w:t>) انظر: معاني القراءات (2/127), المبسوط في القراءات العشر (ص285).</w:t>
      </w:r>
    </w:p>
  </w:footnote>
  <w:footnote w:id="1966">
    <w:p w:rsidR="003F128F" w:rsidRPr="00257909" w:rsidRDefault="003F128F" w:rsidP="007135C3">
      <w:pPr>
        <w:pStyle w:val="af3"/>
        <w:rPr>
          <w:rFonts w:ascii="Traditional Arabic" w:hAnsi="Traditional Arabic"/>
          <w:sz w:val="32"/>
          <w:szCs w:val="32"/>
        </w:rPr>
      </w:pPr>
      <w:r w:rsidRPr="00257909">
        <w:rPr>
          <w:rFonts w:ascii="Traditional Arabic" w:hAnsi="Traditional Arabic"/>
          <w:sz w:val="32"/>
          <w:szCs w:val="32"/>
          <w:rtl/>
        </w:rPr>
        <w:t>(</w:t>
      </w:r>
      <w:r w:rsidRPr="00257909">
        <w:rPr>
          <w:rStyle w:val="ae"/>
          <w:rFonts w:ascii="Traditional Arabic" w:hAnsi="Traditional Arabic"/>
          <w:sz w:val="32"/>
          <w:szCs w:val="32"/>
          <w:vertAlign w:val="baseline"/>
        </w:rPr>
        <w:footnoteRef/>
      </w:r>
      <w:r w:rsidRPr="00257909">
        <w:rPr>
          <w:rFonts w:ascii="Traditional Arabic" w:hAnsi="Traditional Arabic"/>
          <w:sz w:val="32"/>
          <w:szCs w:val="32"/>
          <w:rtl/>
        </w:rPr>
        <w:t xml:space="preserve">) انظر: المحتسب لابن جني (2/34), مختصر الشواذ (ص85), شواذ القراءة (ص145).  </w:t>
      </w:r>
    </w:p>
  </w:footnote>
  <w:footnote w:id="1967">
    <w:p w:rsidR="003F128F" w:rsidRPr="00257909" w:rsidRDefault="003F128F" w:rsidP="008900CA">
      <w:pPr>
        <w:pStyle w:val="af3"/>
        <w:rPr>
          <w:rFonts w:ascii="Traditional Arabic" w:hAnsi="Traditional Arabic"/>
          <w:sz w:val="32"/>
          <w:szCs w:val="32"/>
        </w:rPr>
      </w:pPr>
      <w:r w:rsidRPr="00257909">
        <w:rPr>
          <w:rFonts w:ascii="Traditional Arabic" w:hAnsi="Traditional Arabic"/>
          <w:sz w:val="32"/>
          <w:szCs w:val="32"/>
          <w:rtl/>
        </w:rPr>
        <w:t>(</w:t>
      </w:r>
      <w:r w:rsidRPr="00257909">
        <w:rPr>
          <w:rStyle w:val="ae"/>
          <w:rFonts w:ascii="Traditional Arabic" w:hAnsi="Traditional Arabic"/>
          <w:sz w:val="32"/>
          <w:szCs w:val="32"/>
          <w:vertAlign w:val="baseline"/>
        </w:rPr>
        <w:footnoteRef/>
      </w:r>
      <w:r w:rsidRPr="00257909">
        <w:rPr>
          <w:rFonts w:ascii="Traditional Arabic" w:hAnsi="Traditional Arabic"/>
          <w:sz w:val="32"/>
          <w:szCs w:val="32"/>
          <w:rtl/>
        </w:rPr>
        <w:t xml:space="preserve">) انظر: معاني القراءات (2/127), حجة القراءات لابن زنجلة (ص436).  </w:t>
      </w:r>
    </w:p>
  </w:footnote>
  <w:footnote w:id="1968">
    <w:p w:rsidR="003F128F" w:rsidRPr="00257909" w:rsidRDefault="003F128F" w:rsidP="008900CA">
      <w:pPr>
        <w:pStyle w:val="af3"/>
        <w:rPr>
          <w:rFonts w:ascii="Traditional Arabic" w:hAnsi="Traditional Arabic"/>
          <w:sz w:val="32"/>
          <w:szCs w:val="32"/>
        </w:rPr>
      </w:pPr>
      <w:r w:rsidRPr="00257909">
        <w:rPr>
          <w:rFonts w:ascii="Traditional Arabic" w:hAnsi="Traditional Arabic"/>
          <w:sz w:val="32"/>
          <w:szCs w:val="32"/>
          <w:rtl/>
        </w:rPr>
        <w:t>(</w:t>
      </w:r>
      <w:r w:rsidRPr="00257909">
        <w:rPr>
          <w:rStyle w:val="ae"/>
          <w:rFonts w:ascii="Traditional Arabic" w:hAnsi="Traditional Arabic"/>
          <w:sz w:val="32"/>
          <w:szCs w:val="32"/>
          <w:vertAlign w:val="baseline"/>
        </w:rPr>
        <w:footnoteRef/>
      </w:r>
      <w:r w:rsidRPr="00257909">
        <w:rPr>
          <w:rFonts w:ascii="Traditional Arabic" w:hAnsi="Traditional Arabic"/>
          <w:sz w:val="32"/>
          <w:szCs w:val="32"/>
          <w:rtl/>
        </w:rPr>
        <w:t xml:space="preserve">) انظر: غريب القرآن (ص271). </w:t>
      </w:r>
    </w:p>
  </w:footnote>
  <w:footnote w:id="1969">
    <w:p w:rsidR="003F128F" w:rsidRPr="005756B6" w:rsidRDefault="003F128F" w:rsidP="008900CA">
      <w:pPr>
        <w:pStyle w:val="af3"/>
        <w:rPr>
          <w:rFonts w:ascii="Traditional Arabic" w:hAnsi="Traditional Arabic"/>
          <w:sz w:val="32"/>
          <w:szCs w:val="32"/>
        </w:rPr>
      </w:pPr>
      <w:r w:rsidRPr="00257909">
        <w:rPr>
          <w:rFonts w:ascii="Traditional Arabic" w:hAnsi="Traditional Arabic"/>
          <w:sz w:val="32"/>
          <w:szCs w:val="32"/>
          <w:rtl/>
        </w:rPr>
        <w:t>(</w:t>
      </w:r>
      <w:r w:rsidRPr="00257909">
        <w:rPr>
          <w:rStyle w:val="ae"/>
          <w:rFonts w:ascii="Traditional Arabic" w:hAnsi="Traditional Arabic"/>
          <w:sz w:val="32"/>
          <w:szCs w:val="32"/>
          <w:vertAlign w:val="baseline"/>
        </w:rPr>
        <w:footnoteRef/>
      </w:r>
      <w:r w:rsidRPr="00257909">
        <w:rPr>
          <w:rFonts w:ascii="Traditional Arabic" w:hAnsi="Traditional Arabic"/>
          <w:sz w:val="32"/>
          <w:szCs w:val="32"/>
          <w:rtl/>
        </w:rPr>
        <w:t>) انظر: معاني القرآن وإعرابه (3/314).</w:t>
      </w:r>
    </w:p>
  </w:footnote>
  <w:footnote w:id="1970">
    <w:p w:rsidR="003F128F" w:rsidRPr="005756B6" w:rsidRDefault="003F128F" w:rsidP="008900CA">
      <w:pPr>
        <w:pStyle w:val="af3"/>
        <w:rPr>
          <w:rFonts w:ascii="Traditional Arabic" w:hAnsi="Traditional Arabic"/>
          <w:sz w:val="32"/>
          <w:szCs w:val="32"/>
        </w:rPr>
      </w:pPr>
      <w:r w:rsidRPr="005756B6">
        <w:rPr>
          <w:rFonts w:ascii="Traditional Arabic" w:hAnsi="Traditional Arabic"/>
          <w:sz w:val="32"/>
          <w:szCs w:val="32"/>
          <w:rtl/>
        </w:rPr>
        <w:t>(</w:t>
      </w:r>
      <w:r w:rsidRPr="005756B6">
        <w:rPr>
          <w:rStyle w:val="ae"/>
          <w:rFonts w:ascii="Traditional Arabic" w:hAnsi="Traditional Arabic"/>
          <w:sz w:val="32"/>
          <w:szCs w:val="32"/>
          <w:vertAlign w:val="baseline"/>
        </w:rPr>
        <w:footnoteRef/>
      </w:r>
      <w:r w:rsidRPr="005756B6">
        <w:rPr>
          <w:rFonts w:ascii="Traditional Arabic" w:hAnsi="Traditional Arabic"/>
          <w:sz w:val="32"/>
          <w:szCs w:val="32"/>
          <w:rtl/>
        </w:rPr>
        <w:t>)</w:t>
      </w:r>
      <w:r>
        <w:rPr>
          <w:rFonts w:ascii="Traditional Arabic" w:hAnsi="Traditional Arabic"/>
          <w:sz w:val="32"/>
          <w:szCs w:val="32"/>
          <w:rtl/>
        </w:rPr>
        <w:t xml:space="preserve"> </w:t>
      </w:r>
      <w:r>
        <w:rPr>
          <w:rFonts w:ascii="Traditional Arabic" w:hAnsi="Traditional Arabic" w:hint="cs"/>
          <w:sz w:val="32"/>
          <w:szCs w:val="32"/>
          <w:rtl/>
        </w:rPr>
        <w:t>انظر: تفسير الطبري (18/126),</w:t>
      </w:r>
      <w:r w:rsidRPr="00C05B28">
        <w:rPr>
          <w:rFonts w:ascii="Traditional Arabic" w:hAnsi="Traditional Arabic"/>
          <w:sz w:val="32"/>
          <w:szCs w:val="32"/>
          <w:rtl/>
        </w:rPr>
        <w:t xml:space="preserve"> </w:t>
      </w:r>
      <w:r w:rsidRPr="005756B6">
        <w:rPr>
          <w:rFonts w:ascii="Traditional Arabic" w:hAnsi="Traditional Arabic"/>
          <w:sz w:val="32"/>
          <w:szCs w:val="32"/>
          <w:rtl/>
        </w:rPr>
        <w:t>الهداية (6/4478)</w:t>
      </w:r>
      <w:r>
        <w:rPr>
          <w:rFonts w:ascii="Traditional Arabic" w:hAnsi="Traditional Arabic" w:hint="cs"/>
          <w:sz w:val="32"/>
          <w:szCs w:val="32"/>
          <w:rtl/>
        </w:rPr>
        <w:t>.</w:t>
      </w:r>
      <w:r w:rsidRPr="00C05B28">
        <w:rPr>
          <w:rFonts w:ascii="Traditional Arabic" w:hAnsi="Traditional Arabic"/>
          <w:sz w:val="32"/>
          <w:szCs w:val="32"/>
          <w:rtl/>
        </w:rPr>
        <w:t xml:space="preserve"> </w:t>
      </w:r>
    </w:p>
  </w:footnote>
  <w:footnote w:id="1971">
    <w:p w:rsidR="003F128F" w:rsidRPr="005756B6" w:rsidRDefault="003F128F" w:rsidP="008900CA">
      <w:pPr>
        <w:pStyle w:val="af3"/>
        <w:rPr>
          <w:rFonts w:ascii="Traditional Arabic" w:hAnsi="Traditional Arabic"/>
          <w:sz w:val="32"/>
          <w:szCs w:val="32"/>
        </w:rPr>
      </w:pPr>
      <w:r w:rsidRPr="005756B6">
        <w:rPr>
          <w:rFonts w:ascii="Traditional Arabic" w:hAnsi="Traditional Arabic"/>
          <w:sz w:val="32"/>
          <w:szCs w:val="32"/>
          <w:rtl/>
        </w:rPr>
        <w:t>(</w:t>
      </w:r>
      <w:r w:rsidRPr="005756B6">
        <w:rPr>
          <w:rStyle w:val="ae"/>
          <w:rFonts w:ascii="Traditional Arabic" w:hAnsi="Traditional Arabic"/>
          <w:sz w:val="32"/>
          <w:szCs w:val="32"/>
          <w:vertAlign w:val="baseline"/>
        </w:rPr>
        <w:footnoteRef/>
      </w:r>
      <w:r w:rsidRPr="005756B6">
        <w:rPr>
          <w:rFonts w:ascii="Traditional Arabic" w:hAnsi="Traditional Arabic"/>
          <w:sz w:val="32"/>
          <w:szCs w:val="32"/>
          <w:rtl/>
        </w:rPr>
        <w:t>)</w:t>
      </w:r>
      <w:r>
        <w:rPr>
          <w:rFonts w:ascii="Traditional Arabic" w:hAnsi="Traditional Arabic" w:hint="cs"/>
          <w:sz w:val="32"/>
          <w:szCs w:val="32"/>
          <w:rtl/>
        </w:rPr>
        <w:t xml:space="preserve"> انظر: تفسير الطبري (18/126), </w:t>
      </w:r>
      <w:r w:rsidRPr="00D8385A">
        <w:rPr>
          <w:rFonts w:ascii="Traditional Arabic" w:hAnsi="Traditional Arabic"/>
          <w:sz w:val="32"/>
          <w:szCs w:val="32"/>
          <w:rtl/>
        </w:rPr>
        <w:t>الكشف والبيان (6/200)</w:t>
      </w:r>
      <w:r>
        <w:rPr>
          <w:rFonts w:ascii="Traditional Arabic" w:hAnsi="Traditional Arabic" w:hint="cs"/>
          <w:sz w:val="32"/>
          <w:szCs w:val="32"/>
          <w:rtl/>
        </w:rPr>
        <w:t>.</w:t>
      </w:r>
    </w:p>
  </w:footnote>
  <w:footnote w:id="1972">
    <w:p w:rsidR="003F128F" w:rsidRPr="005756B6" w:rsidRDefault="003F128F" w:rsidP="008900CA">
      <w:pPr>
        <w:pStyle w:val="af3"/>
        <w:rPr>
          <w:rFonts w:ascii="Traditional Arabic" w:hAnsi="Traditional Arabic"/>
          <w:sz w:val="32"/>
          <w:szCs w:val="32"/>
        </w:rPr>
      </w:pPr>
      <w:r w:rsidRPr="005756B6">
        <w:rPr>
          <w:rFonts w:ascii="Traditional Arabic" w:hAnsi="Traditional Arabic"/>
          <w:sz w:val="32"/>
          <w:szCs w:val="32"/>
          <w:rtl/>
        </w:rPr>
        <w:t>(</w:t>
      </w:r>
      <w:r w:rsidRPr="005756B6">
        <w:rPr>
          <w:rStyle w:val="ae"/>
          <w:rFonts w:ascii="Traditional Arabic" w:hAnsi="Traditional Arabic"/>
          <w:sz w:val="32"/>
          <w:szCs w:val="32"/>
          <w:vertAlign w:val="baseline"/>
        </w:rPr>
        <w:footnoteRef/>
      </w:r>
      <w:r w:rsidRPr="005756B6">
        <w:rPr>
          <w:rFonts w:ascii="Traditional Arabic" w:hAnsi="Traditional Arabic"/>
          <w:sz w:val="32"/>
          <w:szCs w:val="32"/>
          <w:rtl/>
        </w:rPr>
        <w:t>)</w:t>
      </w:r>
      <w:r>
        <w:rPr>
          <w:rFonts w:ascii="Traditional Arabic" w:hAnsi="Traditional Arabic"/>
          <w:sz w:val="32"/>
          <w:szCs w:val="32"/>
          <w:rtl/>
        </w:rPr>
        <w:t xml:space="preserve"> </w:t>
      </w:r>
      <w:r w:rsidRPr="00961C96">
        <w:rPr>
          <w:rFonts w:ascii="Traditional Arabic" w:hAnsi="Traditional Arabic"/>
          <w:sz w:val="32"/>
          <w:szCs w:val="32"/>
          <w:rtl/>
        </w:rPr>
        <w:t>انظر: معاني القرآن وإعرابه (3/31</w:t>
      </w:r>
      <w:r>
        <w:rPr>
          <w:rFonts w:ascii="Traditional Arabic" w:hAnsi="Traditional Arabic" w:hint="cs"/>
          <w:sz w:val="32"/>
          <w:szCs w:val="32"/>
          <w:rtl/>
        </w:rPr>
        <w:t>4</w:t>
      </w:r>
      <w:r w:rsidRPr="00961C96">
        <w:rPr>
          <w:rFonts w:ascii="Traditional Arabic" w:hAnsi="Traditional Arabic"/>
          <w:sz w:val="32"/>
          <w:szCs w:val="32"/>
          <w:rtl/>
        </w:rPr>
        <w:t>)</w:t>
      </w:r>
      <w:r>
        <w:rPr>
          <w:rFonts w:ascii="Traditional Arabic" w:hAnsi="Traditional Arabic" w:hint="cs"/>
          <w:sz w:val="32"/>
          <w:szCs w:val="32"/>
          <w:rtl/>
        </w:rPr>
        <w:t>, مشكل إعراب القرآن لمكي (1/448).</w:t>
      </w:r>
      <w:r w:rsidRPr="00961C96">
        <w:rPr>
          <w:rFonts w:ascii="Traditional Arabic" w:hAnsi="Traditional Arabic"/>
          <w:sz w:val="32"/>
          <w:szCs w:val="32"/>
          <w:rtl/>
        </w:rPr>
        <w:t xml:space="preserve"> </w:t>
      </w:r>
      <w:r w:rsidRPr="00D8385A">
        <w:rPr>
          <w:rFonts w:ascii="Traditional Arabic" w:hAnsi="Traditional Arabic"/>
          <w:sz w:val="32"/>
          <w:szCs w:val="32"/>
          <w:rtl/>
        </w:rPr>
        <w:t xml:space="preserve"> </w:t>
      </w:r>
    </w:p>
  </w:footnote>
  <w:footnote w:id="1973">
    <w:p w:rsidR="003F128F" w:rsidRPr="008E3321" w:rsidRDefault="003F128F" w:rsidP="008900CA">
      <w:pPr>
        <w:pStyle w:val="af3"/>
        <w:rPr>
          <w:rFonts w:ascii="Traditional Arabic" w:hAnsi="Traditional Arabic"/>
          <w:sz w:val="32"/>
          <w:szCs w:val="32"/>
        </w:rPr>
      </w:pPr>
      <w:r w:rsidRPr="008E3321">
        <w:rPr>
          <w:rFonts w:ascii="Traditional Arabic" w:hAnsi="Traditional Arabic"/>
          <w:sz w:val="32"/>
          <w:szCs w:val="32"/>
          <w:rtl/>
        </w:rPr>
        <w:t>(</w:t>
      </w:r>
      <w:r w:rsidRPr="008E3321">
        <w:rPr>
          <w:rStyle w:val="ae"/>
          <w:rFonts w:ascii="Traditional Arabic" w:hAnsi="Traditional Arabic"/>
          <w:sz w:val="32"/>
          <w:szCs w:val="32"/>
          <w:vertAlign w:val="baseline"/>
        </w:rPr>
        <w:footnoteRef/>
      </w:r>
      <w:r w:rsidRPr="008E3321">
        <w:rPr>
          <w:rFonts w:ascii="Traditional Arabic" w:hAnsi="Traditional Arabic"/>
          <w:sz w:val="32"/>
          <w:szCs w:val="32"/>
          <w:rtl/>
        </w:rPr>
        <w:t>) انظر: التفسير الوسيط (3/170),</w:t>
      </w:r>
      <w:r>
        <w:rPr>
          <w:rFonts w:ascii="Traditional Arabic" w:hAnsi="Traditional Arabic" w:hint="cs"/>
          <w:sz w:val="32"/>
          <w:szCs w:val="32"/>
          <w:rtl/>
        </w:rPr>
        <w:t xml:space="preserve"> </w:t>
      </w:r>
      <w:r w:rsidRPr="008E3321">
        <w:rPr>
          <w:rFonts w:ascii="Traditional Arabic" w:hAnsi="Traditional Arabic"/>
          <w:sz w:val="32"/>
          <w:szCs w:val="32"/>
          <w:rtl/>
        </w:rPr>
        <w:t xml:space="preserve">معالم التنزيل (5/210).  </w:t>
      </w:r>
    </w:p>
  </w:footnote>
  <w:footnote w:id="1974">
    <w:p w:rsidR="003F128F" w:rsidRPr="008E3321" w:rsidRDefault="003F128F" w:rsidP="00CA6E8B">
      <w:pPr>
        <w:pStyle w:val="af3"/>
        <w:rPr>
          <w:rFonts w:ascii="Traditional Arabic" w:hAnsi="Traditional Arabic"/>
          <w:sz w:val="32"/>
          <w:szCs w:val="32"/>
        </w:rPr>
      </w:pPr>
      <w:r w:rsidRPr="008E3321">
        <w:rPr>
          <w:rFonts w:ascii="Traditional Arabic" w:hAnsi="Traditional Arabic"/>
          <w:sz w:val="32"/>
          <w:szCs w:val="32"/>
          <w:rtl/>
        </w:rPr>
        <w:t>(</w:t>
      </w:r>
      <w:r w:rsidRPr="008E3321">
        <w:rPr>
          <w:rStyle w:val="ae"/>
          <w:rFonts w:ascii="Traditional Arabic" w:hAnsi="Traditional Arabic"/>
          <w:sz w:val="32"/>
          <w:szCs w:val="32"/>
          <w:vertAlign w:val="baseline"/>
        </w:rPr>
        <w:footnoteRef/>
      </w:r>
      <w:r w:rsidRPr="008E3321">
        <w:rPr>
          <w:rFonts w:ascii="Traditional Arabic" w:hAnsi="Traditional Arabic"/>
          <w:sz w:val="32"/>
          <w:szCs w:val="32"/>
          <w:rtl/>
        </w:rPr>
        <w:t xml:space="preserve">) </w:t>
      </w:r>
      <w:r>
        <w:rPr>
          <w:rFonts w:ascii="Traditional Arabic" w:hAnsi="Traditional Arabic" w:hint="cs"/>
          <w:sz w:val="32"/>
          <w:szCs w:val="32"/>
          <w:rtl/>
        </w:rPr>
        <w:t>ذكر القراءة ابن خالويه في مختصر الشواذ (ص85) ونسبها لعبيد بن عمير,</w:t>
      </w:r>
      <w:r>
        <w:rPr>
          <w:rFonts w:ascii="Traditional Arabic" w:hAnsi="Traditional Arabic"/>
          <w:sz w:val="32"/>
          <w:szCs w:val="32"/>
          <w:rtl/>
        </w:rPr>
        <w:t xml:space="preserve"> </w:t>
      </w:r>
      <w:r>
        <w:rPr>
          <w:rFonts w:ascii="Traditional Arabic" w:hAnsi="Traditional Arabic" w:hint="cs"/>
          <w:sz w:val="32"/>
          <w:szCs w:val="32"/>
          <w:rtl/>
        </w:rPr>
        <w:t xml:space="preserve">وذكرها الزمخشري في </w:t>
      </w:r>
      <w:r>
        <w:rPr>
          <w:rFonts w:ascii="Traditional Arabic" w:hAnsi="Traditional Arabic"/>
          <w:sz w:val="32"/>
          <w:szCs w:val="32"/>
          <w:rtl/>
        </w:rPr>
        <w:t>الكشاف (2/749)</w:t>
      </w:r>
      <w:r>
        <w:rPr>
          <w:rFonts w:ascii="Traditional Arabic" w:hAnsi="Traditional Arabic" w:hint="cs"/>
          <w:sz w:val="32"/>
          <w:szCs w:val="32"/>
          <w:rtl/>
        </w:rPr>
        <w:t xml:space="preserve"> بدون نسبة,</w:t>
      </w:r>
      <w:r w:rsidRPr="008E3321">
        <w:rPr>
          <w:rFonts w:ascii="Traditional Arabic" w:hAnsi="Traditional Arabic"/>
          <w:sz w:val="32"/>
          <w:szCs w:val="32"/>
          <w:rtl/>
        </w:rPr>
        <w:t xml:space="preserve"> </w:t>
      </w:r>
      <w:r>
        <w:rPr>
          <w:rFonts w:ascii="Traditional Arabic" w:hAnsi="Traditional Arabic" w:hint="cs"/>
          <w:sz w:val="32"/>
          <w:szCs w:val="32"/>
          <w:rtl/>
        </w:rPr>
        <w:t xml:space="preserve">وابن عطية في </w:t>
      </w:r>
      <w:r>
        <w:rPr>
          <w:rFonts w:ascii="Traditional Arabic" w:hAnsi="Traditional Arabic"/>
          <w:sz w:val="32"/>
          <w:szCs w:val="32"/>
          <w:rtl/>
        </w:rPr>
        <w:t>المحرر الوجيز (3/545)</w:t>
      </w:r>
      <w:r>
        <w:rPr>
          <w:rFonts w:ascii="Traditional Arabic" w:hAnsi="Traditional Arabic" w:hint="cs"/>
          <w:sz w:val="32"/>
          <w:szCs w:val="32"/>
          <w:rtl/>
        </w:rPr>
        <w:t xml:space="preserve"> ونسبها لمجاهد.</w:t>
      </w:r>
      <w:r w:rsidRPr="008E3321">
        <w:rPr>
          <w:rFonts w:ascii="Traditional Arabic" w:hAnsi="Traditional Arabic"/>
          <w:sz w:val="32"/>
          <w:szCs w:val="32"/>
          <w:rtl/>
        </w:rPr>
        <w:t xml:space="preserve"> </w:t>
      </w:r>
    </w:p>
  </w:footnote>
  <w:footnote w:id="1975">
    <w:p w:rsidR="003F128F" w:rsidRPr="008E3321" w:rsidRDefault="003F128F" w:rsidP="008900CA">
      <w:pPr>
        <w:pStyle w:val="af3"/>
        <w:rPr>
          <w:rFonts w:ascii="Traditional Arabic" w:hAnsi="Traditional Arabic"/>
          <w:sz w:val="32"/>
          <w:szCs w:val="32"/>
        </w:rPr>
      </w:pPr>
      <w:r w:rsidRPr="008E3321">
        <w:rPr>
          <w:rFonts w:ascii="Traditional Arabic" w:hAnsi="Traditional Arabic"/>
          <w:sz w:val="32"/>
          <w:szCs w:val="32"/>
          <w:rtl/>
        </w:rPr>
        <w:t>(</w:t>
      </w:r>
      <w:r w:rsidRPr="008E3321">
        <w:rPr>
          <w:rStyle w:val="ae"/>
          <w:rFonts w:ascii="Traditional Arabic" w:hAnsi="Traditional Arabic"/>
          <w:sz w:val="32"/>
          <w:szCs w:val="32"/>
          <w:vertAlign w:val="baseline"/>
        </w:rPr>
        <w:footnoteRef/>
      </w:r>
      <w:r w:rsidRPr="008E3321">
        <w:rPr>
          <w:rFonts w:ascii="Traditional Arabic" w:hAnsi="Traditional Arabic"/>
          <w:sz w:val="32"/>
          <w:szCs w:val="32"/>
          <w:rtl/>
        </w:rPr>
        <w:t xml:space="preserve">) </w:t>
      </w:r>
      <w:r>
        <w:rPr>
          <w:rFonts w:ascii="Traditional Arabic" w:hAnsi="Traditional Arabic" w:hint="cs"/>
          <w:sz w:val="32"/>
          <w:szCs w:val="32"/>
          <w:rtl/>
        </w:rPr>
        <w:t xml:space="preserve">انظر: تفسير الطبري (18/129), </w:t>
      </w:r>
      <w:r w:rsidRPr="005756B6">
        <w:rPr>
          <w:rFonts w:ascii="Traditional Arabic" w:hAnsi="Traditional Arabic"/>
          <w:sz w:val="32"/>
          <w:szCs w:val="32"/>
          <w:rtl/>
        </w:rPr>
        <w:t>بحر العلوم (2/364)</w:t>
      </w:r>
      <w:r>
        <w:rPr>
          <w:rFonts w:ascii="Traditional Arabic" w:hAnsi="Traditional Arabic" w:hint="cs"/>
          <w:sz w:val="32"/>
          <w:szCs w:val="32"/>
          <w:rtl/>
        </w:rPr>
        <w:t>.</w:t>
      </w:r>
    </w:p>
  </w:footnote>
  <w:footnote w:id="1976">
    <w:p w:rsidR="003F128F" w:rsidRPr="008E3321" w:rsidRDefault="003F128F" w:rsidP="008900CA">
      <w:pPr>
        <w:pStyle w:val="af3"/>
        <w:rPr>
          <w:rFonts w:ascii="Traditional Arabic" w:hAnsi="Traditional Arabic"/>
          <w:sz w:val="32"/>
          <w:szCs w:val="32"/>
        </w:rPr>
      </w:pPr>
      <w:r w:rsidRPr="008E3321">
        <w:rPr>
          <w:rFonts w:ascii="Traditional Arabic" w:hAnsi="Traditional Arabic"/>
          <w:sz w:val="32"/>
          <w:szCs w:val="32"/>
          <w:rtl/>
        </w:rPr>
        <w:t>(</w:t>
      </w:r>
      <w:r w:rsidRPr="008E3321">
        <w:rPr>
          <w:rStyle w:val="ae"/>
          <w:rFonts w:ascii="Traditional Arabic" w:hAnsi="Traditional Arabic"/>
          <w:sz w:val="32"/>
          <w:szCs w:val="32"/>
          <w:vertAlign w:val="baseline"/>
        </w:rPr>
        <w:footnoteRef/>
      </w:r>
      <w:r w:rsidRPr="008E3321">
        <w:rPr>
          <w:rFonts w:ascii="Traditional Arabic" w:hAnsi="Traditional Arabic"/>
          <w:sz w:val="32"/>
          <w:szCs w:val="32"/>
          <w:rtl/>
        </w:rPr>
        <w:t>)</w:t>
      </w:r>
      <w:r>
        <w:rPr>
          <w:rFonts w:ascii="Traditional Arabic" w:hAnsi="Traditional Arabic" w:hint="cs"/>
          <w:sz w:val="32"/>
          <w:szCs w:val="32"/>
          <w:rtl/>
        </w:rPr>
        <w:t xml:space="preserve"> انظر: </w:t>
      </w:r>
      <w:r>
        <w:rPr>
          <w:rFonts w:ascii="Traditional Arabic" w:hAnsi="Traditional Arabic"/>
          <w:sz w:val="32"/>
          <w:szCs w:val="32"/>
          <w:rtl/>
        </w:rPr>
        <w:t>النكت والعيون (3/34</w:t>
      </w:r>
      <w:r>
        <w:rPr>
          <w:rFonts w:ascii="Traditional Arabic" w:hAnsi="Traditional Arabic" w:hint="cs"/>
          <w:sz w:val="32"/>
          <w:szCs w:val="32"/>
          <w:rtl/>
        </w:rPr>
        <w:t>7</w:t>
      </w:r>
      <w:r>
        <w:rPr>
          <w:rFonts w:ascii="Traditional Arabic" w:hAnsi="Traditional Arabic"/>
          <w:sz w:val="32"/>
          <w:szCs w:val="32"/>
          <w:rtl/>
        </w:rPr>
        <w:t>)</w:t>
      </w:r>
      <w:r>
        <w:rPr>
          <w:rFonts w:ascii="Traditional Arabic" w:hAnsi="Traditional Arabic" w:hint="cs"/>
          <w:sz w:val="32"/>
          <w:szCs w:val="32"/>
          <w:rtl/>
        </w:rPr>
        <w:t>,</w:t>
      </w:r>
      <w:r w:rsidRPr="008E3321">
        <w:rPr>
          <w:rFonts w:ascii="Traditional Arabic" w:hAnsi="Traditional Arabic"/>
          <w:sz w:val="32"/>
          <w:szCs w:val="32"/>
          <w:rtl/>
        </w:rPr>
        <w:t xml:space="preserve"> التفسير الوسيط (3/170)</w:t>
      </w:r>
      <w:r>
        <w:rPr>
          <w:rFonts w:ascii="Traditional Arabic" w:hAnsi="Traditional Arabic" w:hint="cs"/>
          <w:sz w:val="32"/>
          <w:szCs w:val="32"/>
          <w:rtl/>
        </w:rPr>
        <w:t>.</w:t>
      </w:r>
      <w:r w:rsidRPr="008E3321">
        <w:rPr>
          <w:rFonts w:ascii="Traditional Arabic" w:hAnsi="Traditional Arabic"/>
          <w:sz w:val="32"/>
          <w:szCs w:val="32"/>
          <w:rtl/>
        </w:rPr>
        <w:t xml:space="preserve">  </w:t>
      </w:r>
    </w:p>
  </w:footnote>
  <w:footnote w:id="1977">
    <w:p w:rsidR="003F128F" w:rsidRPr="008E3321" w:rsidRDefault="003F128F" w:rsidP="008900CA">
      <w:pPr>
        <w:pStyle w:val="af3"/>
        <w:rPr>
          <w:rFonts w:ascii="Traditional Arabic" w:hAnsi="Traditional Arabic"/>
          <w:sz w:val="32"/>
          <w:szCs w:val="32"/>
        </w:rPr>
      </w:pPr>
      <w:r w:rsidRPr="008E3321">
        <w:rPr>
          <w:rFonts w:ascii="Traditional Arabic" w:hAnsi="Traditional Arabic"/>
          <w:sz w:val="32"/>
          <w:szCs w:val="32"/>
          <w:rtl/>
        </w:rPr>
        <w:t>(</w:t>
      </w:r>
      <w:r w:rsidRPr="008E3321">
        <w:rPr>
          <w:rStyle w:val="ae"/>
          <w:rFonts w:ascii="Traditional Arabic" w:hAnsi="Traditional Arabic"/>
          <w:sz w:val="32"/>
          <w:szCs w:val="32"/>
          <w:vertAlign w:val="baseline"/>
        </w:rPr>
        <w:footnoteRef/>
      </w:r>
      <w:r w:rsidRPr="008E3321">
        <w:rPr>
          <w:rFonts w:ascii="Traditional Arabic" w:hAnsi="Traditional Arabic"/>
          <w:sz w:val="32"/>
          <w:szCs w:val="32"/>
          <w:rtl/>
        </w:rPr>
        <w:t>)</w:t>
      </w:r>
      <w:r>
        <w:rPr>
          <w:rFonts w:ascii="Traditional Arabic" w:hAnsi="Traditional Arabic" w:hint="cs"/>
          <w:sz w:val="32"/>
          <w:szCs w:val="32"/>
          <w:rtl/>
        </w:rPr>
        <w:t xml:space="preserve"> </w:t>
      </w:r>
      <w:r w:rsidRPr="008E3321">
        <w:rPr>
          <w:rFonts w:ascii="Traditional Arabic" w:hAnsi="Traditional Arabic"/>
          <w:sz w:val="32"/>
          <w:szCs w:val="32"/>
          <w:rtl/>
        </w:rPr>
        <w:t>انظر: التفسير الوسيط (3/170),</w:t>
      </w:r>
      <w:r>
        <w:rPr>
          <w:rFonts w:ascii="Traditional Arabic" w:hAnsi="Traditional Arabic" w:hint="cs"/>
          <w:sz w:val="32"/>
          <w:szCs w:val="32"/>
          <w:rtl/>
        </w:rPr>
        <w:t xml:space="preserve"> </w:t>
      </w:r>
      <w:r w:rsidRPr="008E3321">
        <w:rPr>
          <w:rFonts w:ascii="Traditional Arabic" w:hAnsi="Traditional Arabic"/>
          <w:sz w:val="32"/>
          <w:szCs w:val="32"/>
          <w:rtl/>
        </w:rPr>
        <w:t>معالم التنزيل (5/210)</w:t>
      </w:r>
      <w:r>
        <w:rPr>
          <w:rFonts w:ascii="Traditional Arabic" w:hAnsi="Traditional Arabic" w:hint="cs"/>
          <w:sz w:val="32"/>
          <w:szCs w:val="32"/>
          <w:rtl/>
        </w:rPr>
        <w:t>.</w:t>
      </w:r>
    </w:p>
  </w:footnote>
  <w:footnote w:id="1978">
    <w:p w:rsidR="003F128F" w:rsidRPr="008E3321" w:rsidRDefault="003F128F" w:rsidP="008900CA">
      <w:pPr>
        <w:ind w:firstLine="0"/>
        <w:rPr>
          <w:rFonts w:ascii="Traditional Arabic" w:hAnsi="Traditional Arabic"/>
          <w:sz w:val="32"/>
          <w:szCs w:val="32"/>
        </w:rPr>
      </w:pPr>
      <w:r w:rsidRPr="008E3321">
        <w:rPr>
          <w:rFonts w:ascii="Traditional Arabic" w:hAnsi="Traditional Arabic"/>
          <w:sz w:val="32"/>
          <w:szCs w:val="32"/>
          <w:rtl/>
        </w:rPr>
        <w:t>(</w:t>
      </w:r>
      <w:r w:rsidRPr="008E3321">
        <w:rPr>
          <w:rStyle w:val="ae"/>
          <w:rFonts w:ascii="Traditional Arabic" w:hAnsi="Traditional Arabic"/>
          <w:sz w:val="32"/>
          <w:szCs w:val="32"/>
          <w:vertAlign w:val="baseline"/>
        </w:rPr>
        <w:footnoteRef/>
      </w:r>
      <w:r w:rsidRPr="008E3321">
        <w:rPr>
          <w:rFonts w:ascii="Traditional Arabic" w:hAnsi="Traditional Arabic"/>
          <w:sz w:val="32"/>
          <w:szCs w:val="32"/>
          <w:rtl/>
        </w:rPr>
        <w:t xml:space="preserve">) </w:t>
      </w:r>
      <w:r>
        <w:rPr>
          <w:rFonts w:ascii="Traditional Arabic" w:hAnsi="Traditional Arabic" w:hint="cs"/>
          <w:sz w:val="32"/>
          <w:szCs w:val="32"/>
          <w:rtl/>
        </w:rPr>
        <w:t>أخرجه</w:t>
      </w:r>
      <w:r>
        <w:rPr>
          <w:rFonts w:ascii="Traditional Arabic" w:hAnsi="Traditional Arabic"/>
          <w:sz w:val="32"/>
          <w:szCs w:val="32"/>
          <w:rtl/>
        </w:rPr>
        <w:t xml:space="preserve"> البخاري</w:t>
      </w:r>
      <w:r w:rsidRPr="008E3321">
        <w:rPr>
          <w:rFonts w:ascii="Traditional Arabic" w:hAnsi="Traditional Arabic"/>
          <w:sz w:val="32"/>
          <w:szCs w:val="32"/>
          <w:rtl/>
        </w:rPr>
        <w:t xml:space="preserve"> </w:t>
      </w:r>
      <w:r w:rsidRPr="00F06920">
        <w:rPr>
          <w:rFonts w:ascii="Traditional Arabic" w:hAnsi="Traditional Arabic"/>
          <w:sz w:val="32"/>
          <w:szCs w:val="32"/>
          <w:rtl/>
        </w:rPr>
        <w:t>(كتاب ال</w:t>
      </w:r>
      <w:r>
        <w:rPr>
          <w:rFonts w:ascii="Traditional Arabic" w:hAnsi="Traditional Arabic" w:hint="cs"/>
          <w:sz w:val="32"/>
          <w:szCs w:val="32"/>
          <w:rtl/>
        </w:rPr>
        <w:t>تفسير</w:t>
      </w:r>
      <w:r w:rsidRPr="00F06920">
        <w:rPr>
          <w:rFonts w:ascii="Traditional Arabic" w:hAnsi="Traditional Arabic"/>
          <w:sz w:val="32"/>
          <w:szCs w:val="32"/>
          <w:rtl/>
        </w:rPr>
        <w:t>, باب</w:t>
      </w:r>
      <w:r>
        <w:rPr>
          <w:rFonts w:ascii="Traditional Arabic" w:hAnsi="Traditional Arabic" w:hint="cs"/>
          <w:sz w:val="32"/>
          <w:szCs w:val="32"/>
          <w:rtl/>
        </w:rPr>
        <w:t>:</w:t>
      </w:r>
      <w:r w:rsidRPr="00F06920">
        <w:rPr>
          <w:rFonts w:ascii="Traditional Arabic" w:hAnsi="Traditional Arabic" w:hint="cs"/>
          <w:sz w:val="32"/>
          <w:szCs w:val="32"/>
          <w:rtl/>
        </w:rPr>
        <w:t xml:space="preserve"> </w:t>
      </w:r>
      <w:r w:rsidRPr="00463677">
        <w:rPr>
          <w:rFonts w:ascii="QCF_BSML" w:hAnsi="QCF_BSML" w:cs="QCF_BSML"/>
          <w:sz w:val="32"/>
          <w:szCs w:val="32"/>
          <w:rtl/>
          <w:lang w:eastAsia="en-US"/>
        </w:rPr>
        <w:t>ﭽ</w:t>
      </w:r>
      <w:r w:rsidRPr="00044A81">
        <w:rPr>
          <w:rFonts w:ascii="QCF_P304" w:hAnsi="QCF_P304" w:cs="QCF_P304"/>
          <w:sz w:val="28"/>
          <w:szCs w:val="28"/>
          <w:rtl/>
          <w:lang w:eastAsia="en-US"/>
        </w:rPr>
        <w:t xml:space="preserve"> ﮥ  ﮦ  ﮧ </w:t>
      </w:r>
      <w:r w:rsidRPr="00044A81">
        <w:rPr>
          <w:rFonts w:ascii="QCF_P304" w:hAnsi="QCF_P304" w:cs="QCF_P304" w:hint="cs"/>
          <w:sz w:val="28"/>
          <w:szCs w:val="28"/>
          <w:rtl/>
          <w:lang w:eastAsia="en-US"/>
        </w:rPr>
        <w:t xml:space="preserve">    </w:t>
      </w:r>
      <w:r w:rsidRPr="00044A81">
        <w:rPr>
          <w:rFonts w:ascii="QCF_P304" w:hAnsi="QCF_P304" w:cs="QCF_P304"/>
          <w:sz w:val="28"/>
          <w:szCs w:val="28"/>
          <w:rtl/>
          <w:lang w:eastAsia="en-US"/>
        </w:rPr>
        <w:t>ﮨ  ﮩ  ﮪ   ﮫ  ﮬ</w:t>
      </w:r>
      <w:r w:rsidRPr="00044A81">
        <w:rPr>
          <w:rFonts w:ascii="QCF_BSML" w:hAnsi="QCF_BSML" w:cs="QCF_BSML"/>
          <w:color w:val="auto"/>
          <w:sz w:val="32"/>
          <w:szCs w:val="32"/>
          <w:rtl/>
          <w:lang w:eastAsia="en-US"/>
        </w:rPr>
        <w:t xml:space="preserve"> </w:t>
      </w:r>
      <w:r w:rsidRPr="00E11ECB">
        <w:rPr>
          <w:rFonts w:ascii="QCF_BSML" w:hAnsi="QCF_BSML" w:cs="QCF_BSML"/>
          <w:color w:val="auto"/>
          <w:sz w:val="32"/>
          <w:szCs w:val="32"/>
          <w:rtl/>
          <w:lang w:eastAsia="en-US"/>
        </w:rPr>
        <w:t>ﭼ</w:t>
      </w:r>
      <w:r>
        <w:rPr>
          <w:rFonts w:ascii="Traditional Arabic" w:hAnsi="Traditional Arabic" w:hint="cs"/>
          <w:color w:val="auto"/>
          <w:sz w:val="32"/>
          <w:szCs w:val="32"/>
          <w:rtl/>
          <w:lang w:eastAsia="en-US"/>
        </w:rPr>
        <w:t xml:space="preserve"> [الكهف:105] الآية</w:t>
      </w:r>
      <w:r w:rsidRPr="00044A81">
        <w:rPr>
          <w:rFonts w:ascii="QCF_P304" w:hAnsi="QCF_P304" w:cs="QCF_P304"/>
          <w:sz w:val="28"/>
          <w:szCs w:val="28"/>
          <w:rtl/>
          <w:lang w:eastAsia="en-US"/>
        </w:rPr>
        <w:t xml:space="preserve"> </w:t>
      </w:r>
      <w:r w:rsidRPr="00F06920">
        <w:rPr>
          <w:rFonts w:ascii="Traditional Arabic" w:hAnsi="Traditional Arabic"/>
          <w:sz w:val="32"/>
          <w:szCs w:val="32"/>
          <w:rtl/>
        </w:rPr>
        <w:t xml:space="preserve">, </w:t>
      </w:r>
      <w:r>
        <w:rPr>
          <w:rFonts w:ascii="Traditional Arabic" w:hAnsi="Traditional Arabic" w:hint="cs"/>
          <w:sz w:val="32"/>
          <w:szCs w:val="32"/>
          <w:rtl/>
        </w:rPr>
        <w:t>8/540</w:t>
      </w:r>
      <w:r w:rsidRPr="00F06920">
        <w:rPr>
          <w:rFonts w:ascii="Traditional Arabic" w:hAnsi="Traditional Arabic"/>
          <w:sz w:val="32"/>
          <w:szCs w:val="32"/>
          <w:rtl/>
        </w:rPr>
        <w:t xml:space="preserve"> ح</w:t>
      </w:r>
      <w:r>
        <w:rPr>
          <w:rFonts w:ascii="Traditional Arabic" w:hAnsi="Traditional Arabic" w:hint="cs"/>
          <w:sz w:val="32"/>
          <w:szCs w:val="32"/>
          <w:rtl/>
        </w:rPr>
        <w:t>4729)</w:t>
      </w:r>
      <w:r w:rsidRPr="00F06920">
        <w:rPr>
          <w:rFonts w:ascii="Traditional Arabic" w:hAnsi="Traditional Arabic"/>
          <w:sz w:val="32"/>
          <w:szCs w:val="32"/>
          <w:rtl/>
        </w:rPr>
        <w:t xml:space="preserve">, ومسلم (كتاب </w:t>
      </w:r>
      <w:r>
        <w:rPr>
          <w:rFonts w:ascii="Traditional Arabic" w:hAnsi="Traditional Arabic" w:hint="cs"/>
          <w:sz w:val="32"/>
          <w:szCs w:val="32"/>
          <w:rtl/>
        </w:rPr>
        <w:t>صفات النافقين</w:t>
      </w:r>
      <w:r w:rsidRPr="00F06920">
        <w:rPr>
          <w:rFonts w:ascii="Traditional Arabic" w:hAnsi="Traditional Arabic" w:hint="cs"/>
          <w:sz w:val="32"/>
          <w:szCs w:val="32"/>
          <w:rtl/>
        </w:rPr>
        <w:t>,</w:t>
      </w:r>
      <w:r w:rsidRPr="00F06920">
        <w:rPr>
          <w:rFonts w:ascii="Traditional Arabic" w:hAnsi="Traditional Arabic"/>
          <w:sz w:val="32"/>
          <w:szCs w:val="32"/>
          <w:rtl/>
        </w:rPr>
        <w:t xml:space="preserve"> باب</w:t>
      </w:r>
      <w:r>
        <w:rPr>
          <w:rFonts w:ascii="Traditional Arabic" w:hAnsi="Traditional Arabic" w:hint="cs"/>
          <w:sz w:val="32"/>
          <w:szCs w:val="32"/>
          <w:rtl/>
        </w:rPr>
        <w:t>: كتاب صفة القيامة والجنة والنار</w:t>
      </w:r>
      <w:r w:rsidRPr="00F06920">
        <w:rPr>
          <w:rFonts w:ascii="Traditional Arabic" w:hAnsi="Traditional Arabic"/>
          <w:sz w:val="32"/>
          <w:szCs w:val="32"/>
          <w:rtl/>
        </w:rPr>
        <w:t xml:space="preserve">, </w:t>
      </w:r>
      <w:r>
        <w:rPr>
          <w:rFonts w:ascii="Traditional Arabic" w:hAnsi="Traditional Arabic" w:hint="cs"/>
          <w:sz w:val="32"/>
          <w:szCs w:val="32"/>
          <w:rtl/>
        </w:rPr>
        <w:t>17/127</w:t>
      </w:r>
      <w:r w:rsidRPr="00F06920">
        <w:rPr>
          <w:rFonts w:ascii="Traditional Arabic" w:hAnsi="Traditional Arabic"/>
          <w:sz w:val="32"/>
          <w:szCs w:val="32"/>
          <w:rtl/>
        </w:rPr>
        <w:t xml:space="preserve"> ح</w:t>
      </w:r>
      <w:r w:rsidRPr="00F06920">
        <w:rPr>
          <w:rFonts w:ascii="Traditional Arabic" w:hAnsi="Traditional Arabic" w:hint="cs"/>
          <w:sz w:val="32"/>
          <w:szCs w:val="32"/>
          <w:rtl/>
        </w:rPr>
        <w:t>6</w:t>
      </w:r>
      <w:r>
        <w:rPr>
          <w:rFonts w:ascii="Traditional Arabic" w:hAnsi="Traditional Arabic" w:hint="cs"/>
          <w:sz w:val="32"/>
          <w:szCs w:val="32"/>
          <w:rtl/>
        </w:rPr>
        <w:t>976</w:t>
      </w:r>
      <w:r w:rsidRPr="00F06920">
        <w:rPr>
          <w:rFonts w:ascii="Traditional Arabic" w:hAnsi="Traditional Arabic"/>
          <w:sz w:val="32"/>
          <w:szCs w:val="32"/>
          <w:rtl/>
        </w:rPr>
        <w:t>).</w:t>
      </w:r>
    </w:p>
  </w:footnote>
  <w:footnote w:id="1979">
    <w:p w:rsidR="003F128F" w:rsidRPr="008E3321" w:rsidRDefault="003F128F" w:rsidP="008900CA">
      <w:pPr>
        <w:pStyle w:val="af3"/>
        <w:rPr>
          <w:rFonts w:ascii="Traditional Arabic" w:hAnsi="Traditional Arabic"/>
          <w:sz w:val="32"/>
          <w:szCs w:val="32"/>
        </w:rPr>
      </w:pPr>
      <w:r w:rsidRPr="008E3321">
        <w:rPr>
          <w:rFonts w:ascii="Traditional Arabic" w:hAnsi="Traditional Arabic"/>
          <w:sz w:val="32"/>
          <w:szCs w:val="32"/>
          <w:rtl/>
        </w:rPr>
        <w:t>(</w:t>
      </w:r>
      <w:r w:rsidRPr="008E3321">
        <w:rPr>
          <w:rStyle w:val="ae"/>
          <w:rFonts w:ascii="Traditional Arabic" w:hAnsi="Traditional Arabic"/>
          <w:sz w:val="32"/>
          <w:szCs w:val="32"/>
          <w:vertAlign w:val="baseline"/>
        </w:rPr>
        <w:footnoteRef/>
      </w:r>
      <w:r w:rsidRPr="008E3321">
        <w:rPr>
          <w:rFonts w:ascii="Traditional Arabic" w:hAnsi="Traditional Arabic"/>
          <w:sz w:val="32"/>
          <w:szCs w:val="32"/>
          <w:rtl/>
        </w:rPr>
        <w:t xml:space="preserve">) </w:t>
      </w:r>
      <w:r>
        <w:rPr>
          <w:rFonts w:ascii="Traditional Arabic" w:hAnsi="Traditional Arabic" w:hint="cs"/>
          <w:sz w:val="32"/>
          <w:szCs w:val="32"/>
          <w:rtl/>
        </w:rPr>
        <w:t xml:space="preserve">انظر: </w:t>
      </w:r>
      <w:r>
        <w:rPr>
          <w:rFonts w:ascii="Traditional Arabic" w:hAnsi="Traditional Arabic"/>
          <w:sz w:val="32"/>
          <w:szCs w:val="32"/>
          <w:rtl/>
        </w:rPr>
        <w:t>النكت والعيون (3/34</w:t>
      </w:r>
      <w:r>
        <w:rPr>
          <w:rFonts w:ascii="Traditional Arabic" w:hAnsi="Traditional Arabic" w:hint="cs"/>
          <w:sz w:val="32"/>
          <w:szCs w:val="32"/>
          <w:rtl/>
        </w:rPr>
        <w:t>7</w:t>
      </w:r>
      <w:r>
        <w:rPr>
          <w:rFonts w:ascii="Traditional Arabic" w:hAnsi="Traditional Arabic"/>
          <w:sz w:val="32"/>
          <w:szCs w:val="32"/>
          <w:rtl/>
        </w:rPr>
        <w:t>)</w:t>
      </w:r>
      <w:r>
        <w:rPr>
          <w:rFonts w:ascii="Traditional Arabic" w:hAnsi="Traditional Arabic" w:hint="cs"/>
          <w:sz w:val="32"/>
          <w:szCs w:val="32"/>
          <w:rtl/>
        </w:rPr>
        <w:t>, التفسير البسيط (14/168)كلهما ذكره غير منسوب</w:t>
      </w:r>
      <w:r w:rsidRPr="008E3321">
        <w:rPr>
          <w:rFonts w:ascii="Traditional Arabic" w:hAnsi="Traditional Arabic"/>
          <w:sz w:val="32"/>
          <w:szCs w:val="32"/>
          <w:rtl/>
        </w:rPr>
        <w:t xml:space="preserve">. </w:t>
      </w:r>
    </w:p>
  </w:footnote>
  <w:footnote w:id="1980">
    <w:p w:rsidR="003F128F" w:rsidRPr="008E3321" w:rsidRDefault="003F128F" w:rsidP="008900CA">
      <w:pPr>
        <w:pStyle w:val="af3"/>
        <w:rPr>
          <w:rFonts w:ascii="Traditional Arabic" w:hAnsi="Traditional Arabic"/>
          <w:sz w:val="32"/>
          <w:szCs w:val="32"/>
        </w:rPr>
      </w:pPr>
      <w:r w:rsidRPr="008E3321">
        <w:rPr>
          <w:rFonts w:ascii="Traditional Arabic" w:hAnsi="Traditional Arabic"/>
          <w:sz w:val="32"/>
          <w:szCs w:val="32"/>
          <w:rtl/>
        </w:rPr>
        <w:t>(</w:t>
      </w:r>
      <w:r w:rsidRPr="008E3321">
        <w:rPr>
          <w:rStyle w:val="ae"/>
          <w:rFonts w:ascii="Traditional Arabic" w:hAnsi="Traditional Arabic"/>
          <w:sz w:val="32"/>
          <w:szCs w:val="32"/>
          <w:vertAlign w:val="baseline"/>
        </w:rPr>
        <w:footnoteRef/>
      </w:r>
      <w:r w:rsidRPr="008E3321">
        <w:rPr>
          <w:rFonts w:ascii="Traditional Arabic" w:hAnsi="Traditional Arabic"/>
          <w:sz w:val="32"/>
          <w:szCs w:val="32"/>
          <w:rtl/>
        </w:rPr>
        <w:t>)</w:t>
      </w:r>
      <w:r>
        <w:rPr>
          <w:rFonts w:ascii="Traditional Arabic" w:hAnsi="Traditional Arabic" w:hint="cs"/>
          <w:sz w:val="32"/>
          <w:szCs w:val="32"/>
          <w:rtl/>
        </w:rPr>
        <w:t xml:space="preserve"> انظر: التفسير البسيط (14/169).</w:t>
      </w:r>
      <w:r w:rsidRPr="008E3321">
        <w:rPr>
          <w:rFonts w:ascii="Traditional Arabic" w:hAnsi="Traditional Arabic"/>
          <w:sz w:val="32"/>
          <w:szCs w:val="32"/>
          <w:rtl/>
        </w:rPr>
        <w:t xml:space="preserve"> </w:t>
      </w:r>
    </w:p>
  </w:footnote>
  <w:footnote w:id="1981">
    <w:p w:rsidR="003F128F" w:rsidRPr="009D756B" w:rsidRDefault="003F128F" w:rsidP="008900CA">
      <w:pPr>
        <w:pStyle w:val="af3"/>
        <w:rPr>
          <w:rFonts w:ascii="Traditional Arabic" w:hAnsi="Traditional Arabic"/>
          <w:color w:val="auto"/>
          <w:sz w:val="32"/>
          <w:szCs w:val="32"/>
        </w:rPr>
      </w:pPr>
      <w:r w:rsidRPr="009D756B">
        <w:rPr>
          <w:rFonts w:ascii="Traditional Arabic" w:hAnsi="Traditional Arabic"/>
          <w:color w:val="auto"/>
          <w:sz w:val="32"/>
          <w:szCs w:val="32"/>
          <w:rtl/>
        </w:rPr>
        <w:t>(</w:t>
      </w:r>
      <w:r w:rsidRPr="009D756B">
        <w:rPr>
          <w:rStyle w:val="ae"/>
          <w:rFonts w:ascii="Traditional Arabic" w:hAnsi="Traditional Arabic"/>
          <w:color w:val="auto"/>
          <w:sz w:val="32"/>
          <w:szCs w:val="32"/>
          <w:vertAlign w:val="baseline"/>
        </w:rPr>
        <w:footnoteRef/>
      </w:r>
      <w:r w:rsidRPr="009D756B">
        <w:rPr>
          <w:rFonts w:ascii="Traditional Arabic" w:hAnsi="Traditional Arabic"/>
          <w:color w:val="auto"/>
          <w:sz w:val="32"/>
          <w:szCs w:val="32"/>
          <w:rtl/>
        </w:rPr>
        <w:t xml:space="preserve">) انظر: التفسير الوسيط (3/170), معالم التنزيل (5/212).    </w:t>
      </w:r>
    </w:p>
  </w:footnote>
  <w:footnote w:id="1982">
    <w:p w:rsidR="003F128F" w:rsidRPr="006709F5" w:rsidRDefault="003F128F" w:rsidP="008900CA">
      <w:pPr>
        <w:pStyle w:val="af3"/>
        <w:rPr>
          <w:rFonts w:ascii="Tahoma" w:hAnsi="Tahoma"/>
          <w:sz w:val="32"/>
          <w:szCs w:val="32"/>
        </w:rPr>
      </w:pPr>
      <w:r w:rsidRPr="006709F5">
        <w:rPr>
          <w:rFonts w:ascii="Traditional Arabic" w:hAnsi="Traditional Arabic"/>
          <w:color w:val="auto"/>
          <w:sz w:val="32"/>
          <w:szCs w:val="32"/>
          <w:rtl/>
        </w:rPr>
        <w:t>(</w:t>
      </w:r>
      <w:r w:rsidRPr="006709F5">
        <w:rPr>
          <w:rStyle w:val="ae"/>
          <w:rFonts w:ascii="Traditional Arabic" w:hAnsi="Traditional Arabic"/>
          <w:color w:val="auto"/>
          <w:sz w:val="32"/>
          <w:szCs w:val="32"/>
          <w:vertAlign w:val="baseline"/>
        </w:rPr>
        <w:footnoteRef/>
      </w:r>
      <w:r w:rsidRPr="006709F5">
        <w:rPr>
          <w:rFonts w:ascii="Traditional Arabic" w:hAnsi="Traditional Arabic"/>
          <w:color w:val="auto"/>
          <w:sz w:val="32"/>
          <w:szCs w:val="32"/>
          <w:rtl/>
        </w:rPr>
        <w:t>) هو صاحب رسول الله</w:t>
      </w:r>
      <w:r>
        <w:rPr>
          <w:rFonts w:ascii="Traditional Arabic" w:hAnsi="Traditional Arabic" w:hint="cs"/>
          <w:color w:val="auto"/>
          <w:sz w:val="32"/>
          <w:szCs w:val="32"/>
          <w:rtl/>
        </w:rPr>
        <w:t xml:space="preserve"> </w:t>
      </w:r>
      <w:r w:rsidRPr="006709F5">
        <w:rPr>
          <w:rFonts w:ascii="Traditional Arabic" w:hAnsi="Traditional Arabic"/>
          <w:color w:val="auto"/>
          <w:sz w:val="32"/>
          <w:szCs w:val="32"/>
        </w:rPr>
        <w:sym w:font="AGA Arabesque" w:char="F072"/>
      </w:r>
      <w:r>
        <w:rPr>
          <w:rFonts w:ascii="Traditional Arabic" w:hAnsi="Traditional Arabic" w:hint="cs"/>
          <w:color w:val="auto"/>
          <w:sz w:val="32"/>
          <w:szCs w:val="32"/>
          <w:rtl/>
        </w:rPr>
        <w:t>,</w:t>
      </w:r>
      <w:r w:rsidRPr="006709F5">
        <w:rPr>
          <w:rFonts w:ascii="Traditional Arabic" w:hAnsi="Traditional Arabic"/>
          <w:color w:val="auto"/>
          <w:sz w:val="32"/>
          <w:szCs w:val="32"/>
          <w:rtl/>
        </w:rPr>
        <w:t xml:space="preserve"> أبو موسى</w:t>
      </w:r>
      <w:r>
        <w:rPr>
          <w:rFonts w:ascii="Traditional Arabic" w:hAnsi="Traditional Arabic" w:hint="cs"/>
          <w:color w:val="auto"/>
          <w:sz w:val="32"/>
          <w:szCs w:val="32"/>
          <w:rtl/>
        </w:rPr>
        <w:t>,</w:t>
      </w:r>
      <w:r w:rsidRPr="006709F5">
        <w:rPr>
          <w:rFonts w:ascii="Traditional Arabic" w:hAnsi="Traditional Arabic"/>
          <w:color w:val="auto"/>
          <w:sz w:val="32"/>
          <w:szCs w:val="32"/>
          <w:rtl/>
        </w:rPr>
        <w:t xml:space="preserve"> عبد الله بن قيس بن سليم </w:t>
      </w:r>
      <w:r>
        <w:rPr>
          <w:rFonts w:ascii="Traditional Arabic" w:hAnsi="Traditional Arabic"/>
          <w:color w:val="auto"/>
          <w:sz w:val="32"/>
          <w:szCs w:val="32"/>
          <w:rtl/>
        </w:rPr>
        <w:t>بن</w:t>
      </w:r>
      <w:r w:rsidRPr="006709F5">
        <w:rPr>
          <w:rFonts w:ascii="Traditional Arabic" w:hAnsi="Traditional Arabic"/>
          <w:color w:val="auto"/>
          <w:sz w:val="32"/>
          <w:szCs w:val="32"/>
          <w:rtl/>
        </w:rPr>
        <w:t xml:space="preserve"> حَضَّارِ الأشعريُّ</w:t>
      </w:r>
      <w:r>
        <w:rPr>
          <w:rFonts w:ascii="Traditional Arabic" w:hAnsi="Traditional Arabic" w:hint="cs"/>
          <w:sz w:val="32"/>
          <w:szCs w:val="32"/>
          <w:rtl/>
          <w:lang w:eastAsia="en-US"/>
        </w:rPr>
        <w:t>,</w:t>
      </w:r>
      <w:r w:rsidRPr="006709F5">
        <w:rPr>
          <w:rFonts w:ascii="Traditional Arabic" w:hAnsi="Traditional Arabic"/>
          <w:sz w:val="32"/>
          <w:szCs w:val="32"/>
          <w:rtl/>
          <w:lang w:eastAsia="en-US"/>
        </w:rPr>
        <w:t xml:space="preserve"> </w:t>
      </w:r>
      <w:r>
        <w:rPr>
          <w:rFonts w:ascii="Traditional Arabic" w:hAnsi="Traditional Arabic"/>
          <w:sz w:val="32"/>
          <w:szCs w:val="32"/>
          <w:rtl/>
          <w:lang w:eastAsia="en-US"/>
        </w:rPr>
        <w:t>التميم</w:t>
      </w:r>
      <w:r w:rsidRPr="006709F5">
        <w:rPr>
          <w:rFonts w:ascii="Traditional Arabic" w:hAnsi="Traditional Arabic"/>
          <w:sz w:val="32"/>
          <w:szCs w:val="32"/>
          <w:rtl/>
          <w:lang w:eastAsia="en-US"/>
        </w:rPr>
        <w:t>ي</w:t>
      </w:r>
      <w:r>
        <w:rPr>
          <w:rFonts w:ascii="Traditional Arabic" w:hAnsi="Traditional Arabic" w:hint="cs"/>
          <w:sz w:val="32"/>
          <w:szCs w:val="32"/>
          <w:rtl/>
          <w:lang w:eastAsia="en-US"/>
        </w:rPr>
        <w:t>,</w:t>
      </w:r>
      <w:r w:rsidRPr="006709F5">
        <w:rPr>
          <w:rFonts w:ascii="Traditional Arabic" w:hAnsi="Traditional Arabic"/>
          <w:color w:val="auto"/>
          <w:sz w:val="32"/>
          <w:szCs w:val="32"/>
          <w:rtl/>
        </w:rPr>
        <w:t xml:space="preserve"> القحطانيُّ، </w:t>
      </w:r>
      <w:r>
        <w:rPr>
          <w:rFonts w:ascii="Traditional Arabic" w:hAnsi="Traditional Arabic"/>
          <w:color w:val="auto"/>
          <w:sz w:val="32"/>
          <w:szCs w:val="32"/>
          <w:rtl/>
        </w:rPr>
        <w:t>الإِمام الكبير</w:t>
      </w:r>
      <w:r w:rsidRPr="006709F5">
        <w:rPr>
          <w:rFonts w:ascii="Traditional Arabic" w:hAnsi="Traditional Arabic" w:hint="cs"/>
          <w:color w:val="auto"/>
          <w:sz w:val="32"/>
          <w:szCs w:val="32"/>
          <w:rtl/>
        </w:rPr>
        <w:t>,</w:t>
      </w:r>
      <w:r w:rsidRPr="006709F5">
        <w:rPr>
          <w:rFonts w:ascii="Traditional Arabic" w:hAnsi="Traditional Arabic"/>
          <w:color w:val="auto"/>
          <w:sz w:val="32"/>
          <w:szCs w:val="32"/>
          <w:rtl/>
        </w:rPr>
        <w:t xml:space="preserve"> </w:t>
      </w:r>
      <w:r>
        <w:rPr>
          <w:rFonts w:ascii="Traditional Arabic" w:hAnsi="Traditional Arabic"/>
          <w:color w:val="auto"/>
          <w:sz w:val="32"/>
          <w:szCs w:val="32"/>
          <w:rtl/>
        </w:rPr>
        <w:t>الفقيه</w:t>
      </w:r>
      <w:r w:rsidRPr="006709F5">
        <w:rPr>
          <w:rFonts w:ascii="Traditional Arabic" w:hAnsi="Traditional Arabic" w:hint="cs"/>
          <w:color w:val="auto"/>
          <w:sz w:val="32"/>
          <w:szCs w:val="32"/>
          <w:rtl/>
        </w:rPr>
        <w:t xml:space="preserve">, </w:t>
      </w:r>
      <w:r>
        <w:rPr>
          <w:rFonts w:ascii="Traditional Arabic" w:hAnsi="Traditional Arabic"/>
          <w:color w:val="auto"/>
          <w:sz w:val="32"/>
          <w:szCs w:val="32"/>
          <w:rtl/>
        </w:rPr>
        <w:t>المقرئ</w:t>
      </w:r>
      <w:r w:rsidRPr="006709F5">
        <w:rPr>
          <w:rFonts w:ascii="Traditional Arabic" w:hAnsi="Traditional Arabic" w:hint="cs"/>
          <w:color w:val="auto"/>
          <w:sz w:val="32"/>
          <w:szCs w:val="32"/>
          <w:rtl/>
        </w:rPr>
        <w:t xml:space="preserve">, </w:t>
      </w:r>
      <w:r>
        <w:rPr>
          <w:rFonts w:ascii="Traditional Arabic" w:hAnsi="Traditional Arabic"/>
          <w:color w:val="auto"/>
          <w:sz w:val="32"/>
          <w:szCs w:val="32"/>
          <w:rtl/>
        </w:rPr>
        <w:t>أَقْرَأَ أهل الصر</w:t>
      </w:r>
      <w:r w:rsidRPr="006709F5">
        <w:rPr>
          <w:rFonts w:ascii="Traditional Arabic" w:hAnsi="Traditional Arabic"/>
          <w:color w:val="auto"/>
          <w:sz w:val="32"/>
          <w:szCs w:val="32"/>
          <w:rtl/>
        </w:rPr>
        <w:t>ة</w:t>
      </w:r>
      <w:r w:rsidRPr="006709F5">
        <w:rPr>
          <w:rFonts w:ascii="Traditional Arabic" w:hAnsi="Traditional Arabic"/>
          <w:sz w:val="32"/>
          <w:szCs w:val="32"/>
          <w:rtl/>
          <w:lang w:eastAsia="en-US"/>
        </w:rPr>
        <w:t xml:space="preserve"> وَفَقَّهَهُمْ </w:t>
      </w:r>
      <w:r>
        <w:rPr>
          <w:rFonts w:ascii="Traditional Arabic" w:hAnsi="Traditional Arabic"/>
          <w:color w:val="auto"/>
          <w:sz w:val="32"/>
          <w:szCs w:val="32"/>
          <w:rtl/>
        </w:rPr>
        <w:t>في الدين</w:t>
      </w:r>
      <w:r>
        <w:rPr>
          <w:rFonts w:ascii="Traditional Arabic" w:hAnsi="Traditional Arabic" w:hint="cs"/>
          <w:color w:val="auto"/>
          <w:sz w:val="32"/>
          <w:szCs w:val="32"/>
          <w:rtl/>
        </w:rPr>
        <w:t>,</w:t>
      </w:r>
      <w:r w:rsidRPr="006709F5">
        <w:rPr>
          <w:rFonts w:ascii="Traditional Arabic" w:hAnsi="Traditional Arabic"/>
          <w:color w:val="auto"/>
          <w:sz w:val="32"/>
          <w:szCs w:val="32"/>
          <w:rtl/>
        </w:rPr>
        <w:t xml:space="preserve"> (</w:t>
      </w:r>
      <w:r w:rsidRPr="006709F5">
        <w:rPr>
          <w:rFonts w:ascii="Traditional Arabic" w:hAnsi="Traditional Arabic" w:hint="cs"/>
          <w:color w:val="auto"/>
          <w:sz w:val="32"/>
          <w:szCs w:val="32"/>
          <w:rtl/>
        </w:rPr>
        <w:t>ت</w:t>
      </w:r>
      <w:r w:rsidRPr="006709F5">
        <w:rPr>
          <w:rFonts w:ascii="Traditional Arabic" w:hAnsi="Traditional Arabic"/>
          <w:color w:val="auto"/>
          <w:sz w:val="32"/>
          <w:szCs w:val="32"/>
          <w:rtl/>
        </w:rPr>
        <w:t>44ه). انظر: أسد الغابة (</w:t>
      </w:r>
      <w:r w:rsidRPr="006709F5">
        <w:rPr>
          <w:rFonts w:ascii="Traditional Arabic" w:hAnsi="Traditional Arabic" w:hint="cs"/>
          <w:color w:val="auto"/>
          <w:sz w:val="32"/>
          <w:szCs w:val="32"/>
          <w:rtl/>
        </w:rPr>
        <w:t>3/364</w:t>
      </w:r>
      <w:r w:rsidRPr="006709F5">
        <w:rPr>
          <w:rFonts w:ascii="Traditional Arabic" w:hAnsi="Traditional Arabic"/>
          <w:color w:val="auto"/>
          <w:sz w:val="32"/>
          <w:szCs w:val="32"/>
          <w:rtl/>
        </w:rPr>
        <w:t xml:space="preserve">)، </w:t>
      </w:r>
      <w:r w:rsidRPr="006709F5">
        <w:rPr>
          <w:rFonts w:ascii="Traditional Arabic" w:hAnsi="Traditional Arabic" w:hint="cs"/>
          <w:color w:val="auto"/>
          <w:sz w:val="32"/>
          <w:szCs w:val="32"/>
          <w:rtl/>
        </w:rPr>
        <w:t xml:space="preserve">تهذيب الكمال (15/447), </w:t>
      </w:r>
      <w:r w:rsidRPr="006709F5">
        <w:rPr>
          <w:rFonts w:ascii="Traditional Arabic" w:hAnsi="Traditional Arabic"/>
          <w:color w:val="auto"/>
          <w:sz w:val="32"/>
          <w:szCs w:val="32"/>
          <w:rtl/>
        </w:rPr>
        <w:t>سير أعلام النبلاء (2/380</w:t>
      </w:r>
      <w:r w:rsidRPr="006709F5">
        <w:rPr>
          <w:rFonts w:ascii="Traditional Arabic" w:hAnsi="Traditional Arabic" w:hint="cs"/>
          <w:color w:val="auto"/>
          <w:sz w:val="32"/>
          <w:szCs w:val="32"/>
          <w:rtl/>
        </w:rPr>
        <w:t>).</w:t>
      </w:r>
    </w:p>
  </w:footnote>
  <w:footnote w:id="1983">
    <w:p w:rsidR="003F128F" w:rsidRPr="00ED5AAA" w:rsidRDefault="003F128F" w:rsidP="008900CA">
      <w:pPr>
        <w:ind w:firstLine="0"/>
        <w:rPr>
          <w:rFonts w:ascii="Traditional Arabic" w:hAnsi="Traditional Arabic"/>
          <w:sz w:val="32"/>
          <w:szCs w:val="32"/>
        </w:rPr>
      </w:pPr>
      <w:r w:rsidRPr="00ED5AAA">
        <w:rPr>
          <w:rFonts w:ascii="Traditional Arabic" w:hAnsi="Traditional Arabic"/>
          <w:sz w:val="32"/>
          <w:szCs w:val="32"/>
          <w:rtl/>
        </w:rPr>
        <w:t>(</w:t>
      </w:r>
      <w:r w:rsidRPr="00ED5AAA">
        <w:rPr>
          <w:rStyle w:val="ae"/>
          <w:rFonts w:ascii="Traditional Arabic" w:hAnsi="Traditional Arabic"/>
          <w:sz w:val="32"/>
          <w:szCs w:val="32"/>
          <w:vertAlign w:val="baseline"/>
        </w:rPr>
        <w:footnoteRef/>
      </w:r>
      <w:r w:rsidRPr="00ED5AAA">
        <w:rPr>
          <w:rFonts w:ascii="Traditional Arabic" w:hAnsi="Traditional Arabic"/>
          <w:sz w:val="32"/>
          <w:szCs w:val="32"/>
          <w:rtl/>
        </w:rPr>
        <w:t>) أخرجه البخاري (كتاب التفسير, باب</w:t>
      </w:r>
      <w:r>
        <w:rPr>
          <w:rFonts w:ascii="Traditional Arabic" w:hAnsi="Traditional Arabic" w:hint="cs"/>
          <w:sz w:val="32"/>
          <w:szCs w:val="32"/>
          <w:rtl/>
        </w:rPr>
        <w:t>:</w:t>
      </w:r>
      <w:r w:rsidRPr="00870242">
        <w:rPr>
          <w:rFonts w:ascii="Traditional Arabic" w:hAnsi="Traditional Arabic" w:hint="cs"/>
          <w:sz w:val="32"/>
          <w:szCs w:val="32"/>
          <w:rtl/>
        </w:rPr>
        <w:t xml:space="preserve"> </w:t>
      </w:r>
      <w:r w:rsidRPr="0009569B">
        <w:rPr>
          <w:rFonts w:ascii="QCF_BSML" w:hAnsi="QCF_BSML" w:cs="QCF_BSML"/>
          <w:sz w:val="28"/>
          <w:szCs w:val="28"/>
          <w:rtl/>
          <w:lang w:eastAsia="en-US"/>
        </w:rPr>
        <w:t xml:space="preserve">ﭽ </w:t>
      </w:r>
      <w:r w:rsidRPr="0009569B">
        <w:rPr>
          <w:rFonts w:ascii="QCF_P533" w:hAnsi="QCF_P533" w:cs="QCF_P533"/>
          <w:sz w:val="28"/>
          <w:szCs w:val="28"/>
          <w:rtl/>
          <w:lang w:eastAsia="en-US"/>
        </w:rPr>
        <w:t xml:space="preserve">ﯪ  ﯫ  ﯬ  </w:t>
      </w:r>
      <w:r w:rsidRPr="0009569B">
        <w:rPr>
          <w:rFonts w:ascii="QCF_BSML" w:hAnsi="QCF_BSML" w:cs="QCF_BSML"/>
          <w:sz w:val="28"/>
          <w:szCs w:val="28"/>
          <w:rtl/>
          <w:lang w:eastAsia="en-US"/>
        </w:rPr>
        <w:t>ﭼ</w:t>
      </w:r>
      <w:r>
        <w:rPr>
          <w:rFonts w:ascii="Arial" w:hAnsi="Arial" w:cs="Arial"/>
          <w:sz w:val="18"/>
          <w:szCs w:val="18"/>
          <w:rtl/>
          <w:lang w:eastAsia="en-US"/>
        </w:rPr>
        <w:t xml:space="preserve"> </w:t>
      </w:r>
      <w:r w:rsidRPr="00870242">
        <w:rPr>
          <w:rFonts w:ascii="Traditional Arabic" w:hAnsi="Traditional Arabic" w:hint="cs"/>
          <w:color w:val="auto"/>
          <w:sz w:val="32"/>
          <w:szCs w:val="32"/>
          <w:rtl/>
          <w:lang w:eastAsia="en-US"/>
        </w:rPr>
        <w:t>[الرحمن:62]</w:t>
      </w:r>
      <w:r w:rsidRPr="00870242">
        <w:rPr>
          <w:rFonts w:ascii="Traditional Arabic" w:hAnsi="Traditional Arabic"/>
          <w:sz w:val="32"/>
          <w:szCs w:val="32"/>
          <w:rtl/>
        </w:rPr>
        <w:t xml:space="preserve"> </w:t>
      </w:r>
      <w:r w:rsidRPr="00870242">
        <w:rPr>
          <w:rFonts w:ascii="Traditional Arabic" w:hAnsi="Traditional Arabic" w:hint="cs"/>
          <w:sz w:val="32"/>
          <w:szCs w:val="32"/>
          <w:rtl/>
        </w:rPr>
        <w:t>8/793</w:t>
      </w:r>
      <w:r w:rsidRPr="00870242">
        <w:rPr>
          <w:rFonts w:ascii="Traditional Arabic" w:hAnsi="Traditional Arabic"/>
          <w:sz w:val="32"/>
          <w:szCs w:val="32"/>
          <w:rtl/>
        </w:rPr>
        <w:t xml:space="preserve"> ح</w:t>
      </w:r>
      <w:r w:rsidRPr="00870242">
        <w:rPr>
          <w:rFonts w:ascii="Traditional Arabic" w:hAnsi="Traditional Arabic" w:hint="cs"/>
          <w:sz w:val="32"/>
          <w:szCs w:val="32"/>
          <w:rtl/>
        </w:rPr>
        <w:t xml:space="preserve">4878 </w:t>
      </w:r>
      <w:r w:rsidRPr="00ED5AAA">
        <w:rPr>
          <w:rFonts w:ascii="Traditional Arabic" w:hAnsi="Traditional Arabic"/>
          <w:sz w:val="32"/>
          <w:szCs w:val="32"/>
          <w:rtl/>
        </w:rPr>
        <w:t>وأطرافه في: ح4880, 7444), ومسلم (كتاب الإيمان, باب: إثبات رؤية المؤمنين في الآخرة ربهم سبحانه وتعالى, 3/18 ح447).</w:t>
      </w:r>
    </w:p>
  </w:footnote>
  <w:footnote w:id="1984">
    <w:p w:rsidR="003F128F" w:rsidRPr="00ED5AAA" w:rsidRDefault="003F128F" w:rsidP="008900CA">
      <w:pPr>
        <w:pStyle w:val="af3"/>
        <w:rPr>
          <w:rFonts w:ascii="Traditional Arabic" w:hAnsi="Traditional Arabic"/>
          <w:sz w:val="32"/>
          <w:szCs w:val="32"/>
        </w:rPr>
      </w:pPr>
      <w:r w:rsidRPr="00ED5AAA">
        <w:rPr>
          <w:rFonts w:ascii="Traditional Arabic" w:hAnsi="Traditional Arabic"/>
          <w:sz w:val="32"/>
          <w:szCs w:val="32"/>
          <w:rtl/>
        </w:rPr>
        <w:t>(</w:t>
      </w:r>
      <w:r w:rsidRPr="00ED5AAA">
        <w:rPr>
          <w:rStyle w:val="ae"/>
          <w:rFonts w:ascii="Traditional Arabic" w:hAnsi="Traditional Arabic"/>
          <w:sz w:val="32"/>
          <w:szCs w:val="32"/>
          <w:vertAlign w:val="baseline"/>
        </w:rPr>
        <w:footnoteRef/>
      </w:r>
      <w:r w:rsidRPr="00ED5AAA">
        <w:rPr>
          <w:rFonts w:ascii="Traditional Arabic" w:hAnsi="Traditional Arabic"/>
          <w:sz w:val="32"/>
          <w:szCs w:val="32"/>
          <w:rtl/>
        </w:rPr>
        <w:t xml:space="preserve">) </w:t>
      </w:r>
      <w:r w:rsidRPr="00ED5AAA">
        <w:rPr>
          <w:rFonts w:ascii="Traditional Arabic" w:hAnsi="Traditional Arabic"/>
          <w:color w:val="auto"/>
          <w:sz w:val="32"/>
          <w:szCs w:val="32"/>
          <w:rtl/>
        </w:rPr>
        <w:t>هو صاحب رسول الله</w:t>
      </w:r>
      <w:r>
        <w:rPr>
          <w:rFonts w:ascii="Traditional Arabic" w:hAnsi="Traditional Arabic" w:hint="cs"/>
          <w:color w:val="auto"/>
          <w:sz w:val="32"/>
          <w:szCs w:val="32"/>
          <w:rtl/>
        </w:rPr>
        <w:t xml:space="preserve"> </w:t>
      </w:r>
      <w:r w:rsidRPr="00ED5AAA">
        <w:rPr>
          <w:rFonts w:ascii="Traditional Arabic" w:hAnsi="Traditional Arabic"/>
          <w:color w:val="auto"/>
          <w:sz w:val="32"/>
          <w:szCs w:val="32"/>
        </w:rPr>
        <w:sym w:font="AGA Arabesque" w:char="F072"/>
      </w:r>
      <w:r>
        <w:rPr>
          <w:rFonts w:ascii="Traditional Arabic" w:hAnsi="Traditional Arabic" w:hint="cs"/>
          <w:color w:val="auto"/>
          <w:sz w:val="32"/>
          <w:szCs w:val="32"/>
          <w:rtl/>
        </w:rPr>
        <w:t>,</w:t>
      </w:r>
      <w:r w:rsidRPr="00ED5AAA">
        <w:rPr>
          <w:rFonts w:ascii="Traditional Arabic" w:hAnsi="Traditional Arabic"/>
          <w:color w:val="auto"/>
          <w:sz w:val="32"/>
          <w:szCs w:val="32"/>
          <w:rtl/>
        </w:rPr>
        <w:t xml:space="preserve"> أَبُو الْوَلِيد</w:t>
      </w:r>
      <w:r>
        <w:rPr>
          <w:rFonts w:ascii="Traditional Arabic" w:hAnsi="Traditional Arabic" w:hint="cs"/>
          <w:color w:val="auto"/>
          <w:sz w:val="32"/>
          <w:szCs w:val="32"/>
          <w:rtl/>
        </w:rPr>
        <w:t>,</w:t>
      </w:r>
      <w:r w:rsidRPr="00ED5AAA">
        <w:rPr>
          <w:rFonts w:ascii="Traditional Arabic" w:hAnsi="Traditional Arabic"/>
          <w:color w:val="auto"/>
          <w:sz w:val="32"/>
          <w:szCs w:val="32"/>
          <w:rtl/>
        </w:rPr>
        <w:t xml:space="preserve"> عبادة بن الصامت بن قيس بن أصرم الخزرجي</w:t>
      </w:r>
      <w:r>
        <w:rPr>
          <w:rFonts w:ascii="Traditional Arabic" w:hAnsi="Traditional Arabic" w:hint="cs"/>
          <w:color w:val="auto"/>
          <w:sz w:val="32"/>
          <w:szCs w:val="32"/>
          <w:rtl/>
        </w:rPr>
        <w:t>,</w:t>
      </w:r>
      <w:r w:rsidRPr="00ED5AAA">
        <w:rPr>
          <w:rFonts w:ascii="Traditional Arabic" w:hAnsi="Traditional Arabic"/>
          <w:color w:val="auto"/>
          <w:sz w:val="32"/>
          <w:szCs w:val="32"/>
          <w:rtl/>
        </w:rPr>
        <w:t xml:space="preserve"> الأنصاري, المدني, شهد العقبة الأولى والثانية,</w:t>
      </w:r>
      <w:r w:rsidRPr="00ED5AAA">
        <w:rPr>
          <w:rFonts w:ascii="Traditional Arabic" w:hAnsi="Traditional Arabic"/>
          <w:sz w:val="32"/>
          <w:szCs w:val="32"/>
          <w:rtl/>
        </w:rPr>
        <w:t xml:space="preserve"> وشهد بدراً وأحداً والمشاهد كلها مع رسول الله </w:t>
      </w:r>
      <w:r w:rsidRPr="00ED5AAA">
        <w:rPr>
          <w:rFonts w:ascii="Traditional Arabic" w:hAnsi="Traditional Arabic"/>
          <w:color w:val="auto"/>
          <w:sz w:val="32"/>
          <w:szCs w:val="32"/>
        </w:rPr>
        <w:sym w:font="AGA Arabesque" w:char="F072"/>
      </w:r>
      <w:r w:rsidRPr="00ED5AAA">
        <w:rPr>
          <w:rFonts w:ascii="Traditional Arabic" w:hAnsi="Traditional Arabic"/>
          <w:sz w:val="32"/>
          <w:szCs w:val="32"/>
          <w:rtl/>
        </w:rPr>
        <w:t xml:space="preserve">, وكان من سادات الصحابة, (ت34ه). انظر: </w:t>
      </w:r>
      <w:r w:rsidRPr="00ED5AAA">
        <w:rPr>
          <w:rFonts w:ascii="Traditional Arabic" w:hAnsi="Traditional Arabic"/>
          <w:color w:val="auto"/>
          <w:sz w:val="32"/>
          <w:szCs w:val="32"/>
          <w:rtl/>
        </w:rPr>
        <w:t>انظر: أسد الغابة (3/158)، تهذيب الكمال (14/183).</w:t>
      </w:r>
    </w:p>
  </w:footnote>
  <w:footnote w:id="1985">
    <w:p w:rsidR="003F128F" w:rsidRPr="00ED5AAA" w:rsidRDefault="003F128F" w:rsidP="008900CA">
      <w:pPr>
        <w:ind w:firstLine="0"/>
        <w:rPr>
          <w:rFonts w:ascii="Traditional Arabic" w:hAnsi="Traditional Arabic"/>
          <w:sz w:val="32"/>
          <w:szCs w:val="32"/>
        </w:rPr>
      </w:pPr>
      <w:r w:rsidRPr="00ED5AAA">
        <w:rPr>
          <w:rFonts w:ascii="Traditional Arabic" w:hAnsi="Traditional Arabic"/>
          <w:sz w:val="32"/>
          <w:szCs w:val="32"/>
          <w:rtl/>
        </w:rPr>
        <w:t>(</w:t>
      </w:r>
      <w:r w:rsidRPr="00ED5AAA">
        <w:rPr>
          <w:rStyle w:val="ae"/>
          <w:rFonts w:ascii="Traditional Arabic" w:hAnsi="Traditional Arabic"/>
          <w:sz w:val="32"/>
          <w:szCs w:val="32"/>
          <w:vertAlign w:val="baseline"/>
        </w:rPr>
        <w:footnoteRef/>
      </w:r>
      <w:r w:rsidRPr="00ED5AAA">
        <w:rPr>
          <w:rFonts w:ascii="Traditional Arabic" w:hAnsi="Traditional Arabic"/>
          <w:sz w:val="32"/>
          <w:szCs w:val="32"/>
          <w:rtl/>
        </w:rPr>
        <w:t>) أخرجه أحمد في المسند (37/369 ح22695), والترمذي في جامعه (كتاب صفة الجنة, باب: ما جاء في صفة درجات الجنة, 7/280 ح2531), والحاكم في المستدرك (1/153 ح267) وصححه ووافقه الذهبي, والبيهقي في كتاب البعث</w:t>
      </w:r>
      <w:r>
        <w:rPr>
          <w:rFonts w:ascii="Traditional Arabic" w:hAnsi="Traditional Arabic" w:hint="cs"/>
          <w:sz w:val="32"/>
          <w:szCs w:val="32"/>
          <w:rtl/>
        </w:rPr>
        <w:t xml:space="preserve"> </w:t>
      </w:r>
      <w:r w:rsidRPr="00ED5AAA">
        <w:rPr>
          <w:rFonts w:ascii="Traditional Arabic" w:hAnsi="Traditional Arabic"/>
          <w:sz w:val="32"/>
          <w:szCs w:val="32"/>
          <w:rtl/>
        </w:rPr>
        <w:t>(ص162 ح226)</w:t>
      </w:r>
      <w:r>
        <w:rPr>
          <w:rFonts w:ascii="Traditional Arabic" w:hAnsi="Traditional Arabic" w:hint="cs"/>
          <w:sz w:val="32"/>
          <w:szCs w:val="32"/>
          <w:rtl/>
        </w:rPr>
        <w:t>,</w:t>
      </w:r>
      <w:r w:rsidRPr="00ED5AAA">
        <w:rPr>
          <w:rFonts w:ascii="Traditional Arabic" w:hAnsi="Traditional Arabic"/>
          <w:sz w:val="32"/>
          <w:szCs w:val="32"/>
          <w:rtl/>
        </w:rPr>
        <w:t xml:space="preserve"> والطبري في تفسيره (18/1</w:t>
      </w:r>
      <w:r>
        <w:rPr>
          <w:rFonts w:ascii="Traditional Arabic" w:hAnsi="Traditional Arabic" w:hint="cs"/>
          <w:sz w:val="32"/>
          <w:szCs w:val="32"/>
          <w:rtl/>
        </w:rPr>
        <w:t>31</w:t>
      </w:r>
      <w:r w:rsidRPr="00ED5AAA">
        <w:rPr>
          <w:rFonts w:ascii="Traditional Arabic" w:hAnsi="Traditional Arabic"/>
          <w:sz w:val="32"/>
          <w:szCs w:val="32"/>
          <w:rtl/>
        </w:rPr>
        <w:t xml:space="preserve">), وصححه الشيخ الالباني كما في سنن الترمذي (ص570 ح2531).  </w:t>
      </w:r>
    </w:p>
  </w:footnote>
  <w:footnote w:id="1986">
    <w:p w:rsidR="003F128F" w:rsidRPr="00ED5AAA" w:rsidRDefault="003F128F" w:rsidP="008900CA">
      <w:pPr>
        <w:pStyle w:val="af3"/>
        <w:rPr>
          <w:rFonts w:ascii="Traditional Arabic" w:hAnsi="Traditional Arabic"/>
          <w:sz w:val="32"/>
          <w:szCs w:val="32"/>
        </w:rPr>
      </w:pPr>
      <w:r w:rsidRPr="00ED5AAA">
        <w:rPr>
          <w:rFonts w:ascii="Traditional Arabic" w:hAnsi="Traditional Arabic"/>
          <w:sz w:val="32"/>
          <w:szCs w:val="32"/>
          <w:rtl/>
        </w:rPr>
        <w:t>(</w:t>
      </w:r>
      <w:r w:rsidRPr="00ED5AAA">
        <w:rPr>
          <w:rStyle w:val="ae"/>
          <w:rFonts w:ascii="Traditional Arabic" w:hAnsi="Traditional Arabic"/>
          <w:sz w:val="32"/>
          <w:szCs w:val="32"/>
          <w:vertAlign w:val="baseline"/>
        </w:rPr>
        <w:footnoteRef/>
      </w:r>
      <w:r w:rsidRPr="00ED5AAA">
        <w:rPr>
          <w:rFonts w:ascii="Traditional Arabic" w:hAnsi="Traditional Arabic"/>
          <w:sz w:val="32"/>
          <w:szCs w:val="32"/>
          <w:rtl/>
        </w:rPr>
        <w:t xml:space="preserve">) </w:t>
      </w:r>
      <w:r>
        <w:rPr>
          <w:rFonts w:ascii="Traditional Arabic" w:hAnsi="Traditional Arabic" w:hint="cs"/>
          <w:sz w:val="32"/>
          <w:szCs w:val="32"/>
          <w:rtl/>
        </w:rPr>
        <w:t xml:space="preserve">انظر: تفسير مجاهد (ص451), </w:t>
      </w:r>
      <w:r w:rsidRPr="00ED5AAA">
        <w:rPr>
          <w:rFonts w:ascii="Traditional Arabic" w:hAnsi="Traditional Arabic"/>
          <w:sz w:val="32"/>
          <w:szCs w:val="32"/>
          <w:rtl/>
        </w:rPr>
        <w:t>الطبري في تفسيره (18/1</w:t>
      </w:r>
      <w:r>
        <w:rPr>
          <w:rFonts w:ascii="Traditional Arabic" w:hAnsi="Traditional Arabic" w:hint="cs"/>
          <w:sz w:val="32"/>
          <w:szCs w:val="32"/>
          <w:rtl/>
        </w:rPr>
        <w:t>30</w:t>
      </w:r>
      <w:r w:rsidRPr="00ED5AAA">
        <w:rPr>
          <w:rFonts w:ascii="Traditional Arabic" w:hAnsi="Traditional Arabic"/>
          <w:sz w:val="32"/>
          <w:szCs w:val="32"/>
          <w:rtl/>
        </w:rPr>
        <w:t xml:space="preserve">), </w:t>
      </w:r>
      <w:r>
        <w:rPr>
          <w:rFonts w:ascii="Traditional Arabic" w:hAnsi="Traditional Arabic" w:hint="cs"/>
          <w:sz w:val="32"/>
          <w:szCs w:val="32"/>
          <w:rtl/>
        </w:rPr>
        <w:t>تفسير ابن أبي حاتم (7/2393).</w:t>
      </w:r>
    </w:p>
  </w:footnote>
  <w:footnote w:id="1987">
    <w:p w:rsidR="003F128F" w:rsidRPr="00BD3D2D" w:rsidRDefault="003F128F" w:rsidP="008900CA">
      <w:pPr>
        <w:pStyle w:val="af3"/>
        <w:rPr>
          <w:rFonts w:ascii="Traditional Arabic" w:hAnsi="Traditional Arabic"/>
          <w:sz w:val="32"/>
          <w:szCs w:val="32"/>
        </w:rPr>
      </w:pPr>
      <w:r w:rsidRPr="00BD3D2D">
        <w:rPr>
          <w:rFonts w:ascii="Traditional Arabic" w:hAnsi="Traditional Arabic"/>
          <w:sz w:val="32"/>
          <w:szCs w:val="32"/>
          <w:rtl/>
        </w:rPr>
        <w:t>(</w:t>
      </w:r>
      <w:r w:rsidRPr="00BD3D2D">
        <w:rPr>
          <w:rStyle w:val="ae"/>
          <w:rFonts w:ascii="Traditional Arabic" w:hAnsi="Traditional Arabic"/>
          <w:sz w:val="32"/>
          <w:szCs w:val="32"/>
          <w:vertAlign w:val="baseline"/>
        </w:rPr>
        <w:footnoteRef/>
      </w:r>
      <w:r w:rsidRPr="00BD3D2D">
        <w:rPr>
          <w:rFonts w:ascii="Traditional Arabic" w:hAnsi="Traditional Arabic"/>
          <w:sz w:val="32"/>
          <w:szCs w:val="32"/>
          <w:rtl/>
        </w:rPr>
        <w:t>) انظر:</w:t>
      </w:r>
      <w:r>
        <w:rPr>
          <w:rFonts w:ascii="Traditional Arabic" w:hAnsi="Traditional Arabic" w:hint="cs"/>
          <w:sz w:val="32"/>
          <w:szCs w:val="32"/>
          <w:rtl/>
        </w:rPr>
        <w:t xml:space="preserve"> تفسير</w:t>
      </w:r>
      <w:r w:rsidRPr="00BD3D2D">
        <w:rPr>
          <w:rFonts w:ascii="Traditional Arabic" w:hAnsi="Traditional Arabic"/>
          <w:sz w:val="32"/>
          <w:szCs w:val="32"/>
          <w:rtl/>
        </w:rPr>
        <w:t xml:space="preserve"> الطبري (18/131), الكشف والبيان (6/202), الهداية (6/4481).</w:t>
      </w:r>
    </w:p>
  </w:footnote>
  <w:footnote w:id="1988">
    <w:p w:rsidR="003F128F" w:rsidRPr="00BD3D2D" w:rsidRDefault="003F128F" w:rsidP="008900CA">
      <w:pPr>
        <w:pStyle w:val="af3"/>
        <w:rPr>
          <w:rFonts w:ascii="Traditional Arabic" w:hAnsi="Traditional Arabic"/>
          <w:sz w:val="32"/>
          <w:szCs w:val="32"/>
        </w:rPr>
      </w:pPr>
      <w:r w:rsidRPr="00BD3D2D">
        <w:rPr>
          <w:rFonts w:ascii="Traditional Arabic" w:hAnsi="Traditional Arabic"/>
          <w:sz w:val="32"/>
          <w:szCs w:val="32"/>
          <w:rtl/>
        </w:rPr>
        <w:t>(</w:t>
      </w:r>
      <w:r w:rsidRPr="00BD3D2D">
        <w:rPr>
          <w:rStyle w:val="ae"/>
          <w:rFonts w:ascii="Traditional Arabic" w:hAnsi="Traditional Arabic"/>
          <w:sz w:val="32"/>
          <w:szCs w:val="32"/>
          <w:vertAlign w:val="baseline"/>
        </w:rPr>
        <w:footnoteRef/>
      </w:r>
      <w:r w:rsidRPr="00BD3D2D">
        <w:rPr>
          <w:rFonts w:ascii="Traditional Arabic" w:hAnsi="Traditional Arabic"/>
          <w:sz w:val="32"/>
          <w:szCs w:val="32"/>
          <w:rtl/>
        </w:rPr>
        <w:t xml:space="preserve">) انظر: </w:t>
      </w:r>
      <w:r>
        <w:rPr>
          <w:rFonts w:ascii="Traditional Arabic" w:hAnsi="Traditional Arabic" w:hint="cs"/>
          <w:sz w:val="32"/>
          <w:szCs w:val="32"/>
          <w:rtl/>
        </w:rPr>
        <w:t xml:space="preserve">تفسير </w:t>
      </w:r>
      <w:r w:rsidRPr="00BD3D2D">
        <w:rPr>
          <w:rFonts w:ascii="Traditional Arabic" w:hAnsi="Traditional Arabic"/>
          <w:sz w:val="32"/>
          <w:szCs w:val="32"/>
          <w:rtl/>
        </w:rPr>
        <w:t>الطبري (18/131), الكشف والبيان (6/202), الهداية (6/4481).</w:t>
      </w:r>
    </w:p>
  </w:footnote>
  <w:footnote w:id="1989">
    <w:p w:rsidR="003F128F" w:rsidRPr="00BD3D2D" w:rsidRDefault="003F128F" w:rsidP="008900CA">
      <w:pPr>
        <w:pStyle w:val="af3"/>
        <w:rPr>
          <w:rFonts w:ascii="Traditional Arabic" w:hAnsi="Traditional Arabic"/>
          <w:sz w:val="32"/>
          <w:szCs w:val="32"/>
        </w:rPr>
      </w:pPr>
      <w:r w:rsidRPr="00BD3D2D">
        <w:rPr>
          <w:rFonts w:ascii="Traditional Arabic" w:hAnsi="Traditional Arabic"/>
          <w:sz w:val="32"/>
          <w:szCs w:val="32"/>
          <w:rtl/>
        </w:rPr>
        <w:t>(</w:t>
      </w:r>
      <w:r w:rsidRPr="00BD3D2D">
        <w:rPr>
          <w:rStyle w:val="ae"/>
          <w:rFonts w:ascii="Traditional Arabic" w:hAnsi="Traditional Arabic"/>
          <w:sz w:val="32"/>
          <w:szCs w:val="32"/>
          <w:vertAlign w:val="baseline"/>
        </w:rPr>
        <w:footnoteRef/>
      </w:r>
      <w:r w:rsidRPr="00BD3D2D">
        <w:rPr>
          <w:rFonts w:ascii="Traditional Arabic" w:hAnsi="Traditional Arabic"/>
          <w:sz w:val="32"/>
          <w:szCs w:val="32"/>
          <w:rtl/>
        </w:rPr>
        <w:t>) انظر: الكشف والبيان (6/202)</w:t>
      </w:r>
      <w:r>
        <w:rPr>
          <w:rFonts w:ascii="Traditional Arabic" w:hAnsi="Traditional Arabic" w:hint="cs"/>
          <w:sz w:val="32"/>
          <w:szCs w:val="32"/>
          <w:rtl/>
        </w:rPr>
        <w:t>,</w:t>
      </w:r>
      <w:r w:rsidRPr="00BD3D2D">
        <w:rPr>
          <w:rFonts w:ascii="Traditional Arabic" w:hAnsi="Traditional Arabic"/>
          <w:sz w:val="32"/>
          <w:szCs w:val="32"/>
          <w:rtl/>
        </w:rPr>
        <w:t xml:space="preserve"> معالم التنزيل (5/211), البحر المحيط (7/232).    </w:t>
      </w:r>
    </w:p>
  </w:footnote>
  <w:footnote w:id="1990">
    <w:p w:rsidR="003F128F" w:rsidRPr="00BD3D2D" w:rsidRDefault="003F128F" w:rsidP="008900CA">
      <w:pPr>
        <w:pStyle w:val="af3"/>
        <w:rPr>
          <w:rFonts w:ascii="Traditional Arabic" w:hAnsi="Traditional Arabic"/>
          <w:sz w:val="32"/>
          <w:szCs w:val="32"/>
        </w:rPr>
      </w:pPr>
      <w:r w:rsidRPr="00BD3D2D">
        <w:rPr>
          <w:rFonts w:ascii="Traditional Arabic" w:hAnsi="Traditional Arabic"/>
          <w:sz w:val="32"/>
          <w:szCs w:val="32"/>
          <w:rtl/>
        </w:rPr>
        <w:t>(</w:t>
      </w:r>
      <w:r w:rsidRPr="00BD3D2D">
        <w:rPr>
          <w:rStyle w:val="ae"/>
          <w:rFonts w:ascii="Traditional Arabic" w:hAnsi="Traditional Arabic"/>
          <w:sz w:val="32"/>
          <w:szCs w:val="32"/>
          <w:vertAlign w:val="baseline"/>
        </w:rPr>
        <w:footnoteRef/>
      </w:r>
      <w:r w:rsidRPr="00BD3D2D">
        <w:rPr>
          <w:rFonts w:ascii="Traditional Arabic" w:hAnsi="Traditional Arabic"/>
          <w:sz w:val="32"/>
          <w:szCs w:val="32"/>
          <w:rtl/>
        </w:rPr>
        <w:t xml:space="preserve">) انظر: معاني القرآن للفراء (2/231), تهذيب اللغة (13/105) مادة (فردس). </w:t>
      </w:r>
    </w:p>
  </w:footnote>
  <w:footnote w:id="1991">
    <w:p w:rsidR="003F128F" w:rsidRPr="00BD3D2D" w:rsidRDefault="003F128F" w:rsidP="008900CA">
      <w:pPr>
        <w:pStyle w:val="af3"/>
        <w:rPr>
          <w:rFonts w:ascii="Traditional Arabic" w:hAnsi="Traditional Arabic"/>
          <w:sz w:val="32"/>
          <w:szCs w:val="32"/>
        </w:rPr>
      </w:pPr>
      <w:r w:rsidRPr="00BD3D2D">
        <w:rPr>
          <w:rFonts w:ascii="Traditional Arabic" w:hAnsi="Traditional Arabic"/>
          <w:sz w:val="32"/>
          <w:szCs w:val="32"/>
          <w:rtl/>
        </w:rPr>
        <w:t>(</w:t>
      </w:r>
      <w:r w:rsidRPr="00BD3D2D">
        <w:rPr>
          <w:rStyle w:val="ae"/>
          <w:rFonts w:ascii="Traditional Arabic" w:hAnsi="Traditional Arabic"/>
          <w:sz w:val="32"/>
          <w:szCs w:val="32"/>
          <w:vertAlign w:val="baseline"/>
        </w:rPr>
        <w:footnoteRef/>
      </w:r>
      <w:r w:rsidRPr="00BD3D2D">
        <w:rPr>
          <w:rFonts w:ascii="Traditional Arabic" w:hAnsi="Traditional Arabic"/>
          <w:sz w:val="32"/>
          <w:szCs w:val="32"/>
          <w:rtl/>
        </w:rPr>
        <w:t>) هو الامام أبو العباس</w:t>
      </w:r>
      <w:r>
        <w:rPr>
          <w:rFonts w:ascii="Traditional Arabic" w:hAnsi="Traditional Arabic" w:hint="cs"/>
          <w:sz w:val="32"/>
          <w:szCs w:val="32"/>
          <w:rtl/>
        </w:rPr>
        <w:t>,</w:t>
      </w:r>
      <w:r w:rsidRPr="00BD3D2D">
        <w:rPr>
          <w:rFonts w:ascii="Traditional Arabic" w:hAnsi="Traditional Arabic"/>
          <w:sz w:val="32"/>
          <w:szCs w:val="32"/>
          <w:rtl/>
        </w:rPr>
        <w:t xml:space="preserve"> محمد بن يزيد بن عبد الأكبر بن عمير, الأزدي, البصري, المعروف بالمبرد, النحوي,</w:t>
      </w:r>
      <w:r w:rsidRPr="00BD3D2D">
        <w:rPr>
          <w:rFonts w:ascii="Traditional Arabic" w:hAnsi="Traditional Arabic"/>
          <w:sz w:val="32"/>
          <w:szCs w:val="32"/>
          <w:rtl/>
          <w:lang w:eastAsia="en-US"/>
        </w:rPr>
        <w:t xml:space="preserve"> </w:t>
      </w:r>
      <w:r w:rsidRPr="00BD3D2D">
        <w:rPr>
          <w:rFonts w:ascii="Traditional Arabic" w:hAnsi="Traditional Arabic"/>
          <w:sz w:val="32"/>
          <w:szCs w:val="32"/>
          <w:rtl/>
        </w:rPr>
        <w:t>الأَخْبَارِيّ, نزل بغداد، وكان إماما في النحو واللغة، (ت286ه). انظر: وفيات الأعيان (4/313), سير أعلام النبلاء (13/576).</w:t>
      </w:r>
    </w:p>
  </w:footnote>
  <w:footnote w:id="1992">
    <w:p w:rsidR="003F128F" w:rsidRPr="00BD3D2D" w:rsidRDefault="003F128F" w:rsidP="008900CA">
      <w:pPr>
        <w:pStyle w:val="af3"/>
        <w:rPr>
          <w:rFonts w:ascii="Traditional Arabic" w:hAnsi="Traditional Arabic"/>
          <w:sz w:val="32"/>
          <w:szCs w:val="32"/>
        </w:rPr>
      </w:pPr>
      <w:r w:rsidRPr="00BD3D2D">
        <w:rPr>
          <w:rFonts w:ascii="Traditional Arabic" w:hAnsi="Traditional Arabic"/>
          <w:sz w:val="32"/>
          <w:szCs w:val="32"/>
          <w:rtl/>
        </w:rPr>
        <w:t>(</w:t>
      </w:r>
      <w:r w:rsidRPr="00BD3D2D">
        <w:rPr>
          <w:rStyle w:val="ae"/>
          <w:rFonts w:ascii="Traditional Arabic" w:hAnsi="Traditional Arabic"/>
          <w:sz w:val="32"/>
          <w:szCs w:val="32"/>
          <w:vertAlign w:val="baseline"/>
        </w:rPr>
        <w:footnoteRef/>
      </w:r>
      <w:r w:rsidRPr="00BD3D2D">
        <w:rPr>
          <w:rFonts w:ascii="Traditional Arabic" w:hAnsi="Traditional Arabic"/>
          <w:sz w:val="32"/>
          <w:szCs w:val="32"/>
          <w:rtl/>
        </w:rPr>
        <w:t xml:space="preserve">) </w:t>
      </w:r>
      <w:r w:rsidRPr="00BD3D2D">
        <w:rPr>
          <w:rFonts w:ascii="Traditional Arabic" w:hAnsi="Traditional Arabic"/>
          <w:color w:val="auto"/>
          <w:sz w:val="32"/>
          <w:szCs w:val="32"/>
          <w:rtl/>
        </w:rPr>
        <w:t>انظر: التفسير الوسيط (3/171),</w:t>
      </w:r>
      <w:r w:rsidRPr="00BD3D2D">
        <w:rPr>
          <w:rFonts w:ascii="Traditional Arabic" w:hAnsi="Traditional Arabic"/>
          <w:sz w:val="32"/>
          <w:szCs w:val="32"/>
          <w:rtl/>
        </w:rPr>
        <w:t xml:space="preserve"> البحر المحيط (7/232), رموز الكنوز (4/380). </w:t>
      </w:r>
    </w:p>
  </w:footnote>
  <w:footnote w:id="1993">
    <w:p w:rsidR="003F128F" w:rsidRPr="00866A99" w:rsidRDefault="003F128F" w:rsidP="008900CA">
      <w:pPr>
        <w:pStyle w:val="af3"/>
        <w:rPr>
          <w:rFonts w:ascii="Traditional Arabic" w:hAnsi="Traditional Arabic"/>
          <w:sz w:val="32"/>
          <w:szCs w:val="32"/>
        </w:rPr>
      </w:pPr>
      <w:r w:rsidRPr="00866A99">
        <w:rPr>
          <w:rFonts w:ascii="Traditional Arabic" w:hAnsi="Traditional Arabic"/>
          <w:sz w:val="32"/>
          <w:szCs w:val="32"/>
          <w:rtl/>
        </w:rPr>
        <w:t>(</w:t>
      </w:r>
      <w:r w:rsidRPr="00866A99">
        <w:rPr>
          <w:rStyle w:val="ae"/>
          <w:rFonts w:ascii="Traditional Arabic" w:hAnsi="Traditional Arabic"/>
          <w:sz w:val="32"/>
          <w:szCs w:val="32"/>
          <w:vertAlign w:val="baseline"/>
        </w:rPr>
        <w:footnoteRef/>
      </w:r>
      <w:r w:rsidRPr="00866A99">
        <w:rPr>
          <w:rFonts w:ascii="Traditional Arabic" w:hAnsi="Traditional Arabic"/>
          <w:sz w:val="32"/>
          <w:szCs w:val="32"/>
          <w:rtl/>
        </w:rPr>
        <w:t xml:space="preserve">) انظر: البحر المحيط (7/218). </w:t>
      </w:r>
    </w:p>
  </w:footnote>
  <w:footnote w:id="1994">
    <w:p w:rsidR="003F128F" w:rsidRPr="00866A99" w:rsidRDefault="003F128F" w:rsidP="008900CA">
      <w:pPr>
        <w:pStyle w:val="af3"/>
        <w:rPr>
          <w:rFonts w:ascii="Traditional Arabic" w:hAnsi="Traditional Arabic"/>
          <w:sz w:val="32"/>
          <w:szCs w:val="32"/>
        </w:rPr>
      </w:pPr>
      <w:r w:rsidRPr="00866A99">
        <w:rPr>
          <w:rFonts w:ascii="Traditional Arabic" w:hAnsi="Traditional Arabic"/>
          <w:sz w:val="32"/>
          <w:szCs w:val="32"/>
          <w:rtl/>
        </w:rPr>
        <w:t>(</w:t>
      </w:r>
      <w:r w:rsidRPr="00866A99">
        <w:rPr>
          <w:rStyle w:val="ae"/>
          <w:rFonts w:ascii="Traditional Arabic" w:hAnsi="Traditional Arabic"/>
          <w:sz w:val="32"/>
          <w:szCs w:val="32"/>
          <w:vertAlign w:val="baseline"/>
        </w:rPr>
        <w:footnoteRef/>
      </w:r>
      <w:r w:rsidRPr="00866A99">
        <w:rPr>
          <w:rFonts w:ascii="Traditional Arabic" w:hAnsi="Traditional Arabic"/>
          <w:sz w:val="32"/>
          <w:szCs w:val="32"/>
          <w:rtl/>
        </w:rPr>
        <w:t>)</w:t>
      </w:r>
      <w:r w:rsidRPr="00866A99">
        <w:rPr>
          <w:rFonts w:ascii="Traditional Arabic" w:hAnsi="Traditional Arabic"/>
          <w:color w:val="auto"/>
          <w:sz w:val="32"/>
          <w:szCs w:val="32"/>
          <w:rtl/>
        </w:rPr>
        <w:t xml:space="preserve"> هو صاحب رسول الله </w:t>
      </w:r>
      <w:r w:rsidRPr="00866A99">
        <w:rPr>
          <w:rFonts w:ascii="Traditional Arabic" w:hAnsi="Traditional Arabic"/>
          <w:color w:val="auto"/>
          <w:sz w:val="32"/>
          <w:szCs w:val="32"/>
        </w:rPr>
        <w:sym w:font="AGA Arabesque" w:char="F072"/>
      </w:r>
      <w:r>
        <w:rPr>
          <w:rFonts w:ascii="Traditional Arabic" w:hAnsi="Traditional Arabic" w:hint="cs"/>
          <w:color w:val="auto"/>
          <w:sz w:val="32"/>
          <w:szCs w:val="32"/>
          <w:rtl/>
        </w:rPr>
        <w:t>,</w:t>
      </w:r>
      <w:r w:rsidRPr="00866A99">
        <w:rPr>
          <w:rFonts w:ascii="Traditional Arabic" w:hAnsi="Traditional Arabic"/>
          <w:color w:val="auto"/>
          <w:sz w:val="32"/>
          <w:szCs w:val="32"/>
          <w:rtl/>
        </w:rPr>
        <w:t xml:space="preserve"> أبو محمد</w:t>
      </w:r>
      <w:r>
        <w:rPr>
          <w:rFonts w:ascii="Traditional Arabic" w:hAnsi="Traditional Arabic" w:hint="cs"/>
          <w:color w:val="auto"/>
          <w:sz w:val="32"/>
          <w:szCs w:val="32"/>
          <w:rtl/>
        </w:rPr>
        <w:t>,</w:t>
      </w:r>
      <w:r w:rsidRPr="00866A99">
        <w:rPr>
          <w:rFonts w:ascii="Traditional Arabic" w:hAnsi="Traditional Arabic"/>
          <w:color w:val="auto"/>
          <w:sz w:val="32"/>
          <w:szCs w:val="32"/>
          <w:rtl/>
        </w:rPr>
        <w:t xml:space="preserve"> </w:t>
      </w:r>
      <w:r w:rsidRPr="00866A99">
        <w:rPr>
          <w:rFonts w:ascii="Traditional Arabic" w:hAnsi="Traditional Arabic"/>
          <w:sz w:val="32"/>
          <w:szCs w:val="32"/>
          <w:rtl/>
        </w:rPr>
        <w:t>عبد الله بْن رواحة بْن ثعلبة بْن امرئ القيس الأَنْصَارِيّ</w:t>
      </w:r>
      <w:r>
        <w:rPr>
          <w:rFonts w:ascii="Traditional Arabic" w:hAnsi="Traditional Arabic" w:hint="cs"/>
          <w:sz w:val="32"/>
          <w:szCs w:val="32"/>
          <w:rtl/>
        </w:rPr>
        <w:t>,</w:t>
      </w:r>
      <w:r w:rsidRPr="00866A99">
        <w:rPr>
          <w:rFonts w:ascii="Traditional Arabic" w:hAnsi="Traditional Arabic"/>
          <w:sz w:val="32"/>
          <w:szCs w:val="32"/>
          <w:rtl/>
        </w:rPr>
        <w:t xml:space="preserve"> الخزرجي، المدني, أحد النقباء، شهد المشاهد كلها إلا الْفَتْح وما بعده، لأنه قتل يَوْم مؤتة شهيدا,</w:t>
      </w:r>
      <w:r w:rsidRPr="00866A99">
        <w:rPr>
          <w:rFonts w:ascii="Traditional Arabic" w:hAnsi="Traditional Arabic"/>
          <w:sz w:val="32"/>
          <w:szCs w:val="32"/>
          <w:rtl/>
          <w:lang w:eastAsia="en-US"/>
        </w:rPr>
        <w:t xml:space="preserve"> </w:t>
      </w:r>
      <w:r w:rsidRPr="00866A99">
        <w:rPr>
          <w:rFonts w:ascii="Traditional Arabic" w:hAnsi="Traditional Arabic"/>
          <w:sz w:val="32"/>
          <w:szCs w:val="32"/>
          <w:rtl/>
        </w:rPr>
        <w:t xml:space="preserve">وَهُوَ أحد الشعراء المحسنين, </w:t>
      </w:r>
      <w:r w:rsidRPr="00866A99">
        <w:rPr>
          <w:rFonts w:ascii="Traditional Arabic" w:hAnsi="Traditional Arabic"/>
          <w:color w:val="auto"/>
          <w:sz w:val="32"/>
          <w:szCs w:val="32"/>
          <w:rtl/>
        </w:rPr>
        <w:t>(ت8ه). انظر: الاستيعاب (3/898), أسد الغابة (3/235)، تهذيب الكمال (14/506).</w:t>
      </w:r>
    </w:p>
  </w:footnote>
  <w:footnote w:id="1995">
    <w:p w:rsidR="003F128F" w:rsidRPr="00866A99" w:rsidRDefault="003F128F" w:rsidP="008900CA">
      <w:pPr>
        <w:pStyle w:val="af3"/>
        <w:rPr>
          <w:rFonts w:ascii="Traditional Arabic" w:hAnsi="Traditional Arabic"/>
          <w:sz w:val="32"/>
          <w:szCs w:val="32"/>
        </w:rPr>
      </w:pPr>
      <w:r w:rsidRPr="00866A99">
        <w:rPr>
          <w:rFonts w:ascii="Traditional Arabic" w:hAnsi="Traditional Arabic"/>
          <w:sz w:val="32"/>
          <w:szCs w:val="32"/>
          <w:rtl/>
        </w:rPr>
        <w:t>(</w:t>
      </w:r>
      <w:r w:rsidRPr="00866A99">
        <w:rPr>
          <w:rStyle w:val="ae"/>
          <w:rFonts w:ascii="Traditional Arabic" w:hAnsi="Traditional Arabic"/>
          <w:sz w:val="32"/>
          <w:szCs w:val="32"/>
          <w:vertAlign w:val="baseline"/>
        </w:rPr>
        <w:footnoteRef/>
      </w:r>
      <w:r w:rsidRPr="00866A99">
        <w:rPr>
          <w:rFonts w:ascii="Traditional Arabic" w:hAnsi="Traditional Arabic"/>
          <w:sz w:val="32"/>
          <w:szCs w:val="32"/>
          <w:rtl/>
        </w:rPr>
        <w:t xml:space="preserve">) انظر: الزاهر في معاني كلمات الناس لابن الأنباري (1/503). </w:t>
      </w:r>
    </w:p>
  </w:footnote>
  <w:footnote w:id="1996">
    <w:p w:rsidR="003F128F" w:rsidRPr="001E3AB5" w:rsidRDefault="003F128F" w:rsidP="008900CA">
      <w:pPr>
        <w:pStyle w:val="af3"/>
        <w:rPr>
          <w:rFonts w:ascii="Traditional Arabic" w:hAnsi="Traditional Arabic"/>
          <w:sz w:val="32"/>
          <w:szCs w:val="32"/>
        </w:rPr>
      </w:pPr>
      <w:r w:rsidRPr="001E3AB5">
        <w:rPr>
          <w:rFonts w:ascii="Traditional Arabic" w:hAnsi="Traditional Arabic"/>
          <w:sz w:val="32"/>
          <w:szCs w:val="32"/>
          <w:rtl/>
        </w:rPr>
        <w:t>(</w:t>
      </w:r>
      <w:r w:rsidRPr="001E3AB5">
        <w:rPr>
          <w:rStyle w:val="ae"/>
          <w:rFonts w:ascii="Traditional Arabic" w:hAnsi="Traditional Arabic"/>
          <w:sz w:val="32"/>
          <w:szCs w:val="32"/>
          <w:vertAlign w:val="baseline"/>
        </w:rPr>
        <w:footnoteRef/>
      </w:r>
      <w:r w:rsidRPr="001E3AB5">
        <w:rPr>
          <w:rFonts w:ascii="Traditional Arabic" w:hAnsi="Traditional Arabic"/>
          <w:sz w:val="32"/>
          <w:szCs w:val="32"/>
          <w:rtl/>
        </w:rPr>
        <w:t xml:space="preserve">) </w:t>
      </w:r>
      <w:r w:rsidRPr="001E3AB5">
        <w:rPr>
          <w:rFonts w:ascii="Traditional Arabic" w:hAnsi="Traditional Arabic"/>
          <w:color w:val="auto"/>
          <w:sz w:val="32"/>
          <w:szCs w:val="32"/>
          <w:rtl/>
        </w:rPr>
        <w:t xml:space="preserve">هو صاحب رسول الله </w:t>
      </w:r>
      <w:r w:rsidRPr="001E3AB5">
        <w:rPr>
          <w:rFonts w:ascii="Traditional Arabic" w:hAnsi="Traditional Arabic"/>
          <w:color w:val="auto"/>
          <w:sz w:val="32"/>
          <w:szCs w:val="32"/>
        </w:rPr>
        <w:sym w:font="AGA Arabesque" w:char="F072"/>
      </w:r>
      <w:r>
        <w:rPr>
          <w:rFonts w:ascii="Traditional Arabic" w:hAnsi="Traditional Arabic" w:hint="cs"/>
          <w:color w:val="auto"/>
          <w:sz w:val="32"/>
          <w:szCs w:val="32"/>
          <w:rtl/>
        </w:rPr>
        <w:t>,</w:t>
      </w:r>
      <w:r w:rsidRPr="001E3AB5">
        <w:rPr>
          <w:rFonts w:ascii="Traditional Arabic" w:hAnsi="Traditional Arabic"/>
          <w:color w:val="auto"/>
          <w:sz w:val="32"/>
          <w:szCs w:val="32"/>
          <w:rtl/>
        </w:rPr>
        <w:t xml:space="preserve"> أبو الوليد</w:t>
      </w:r>
      <w:r>
        <w:rPr>
          <w:rFonts w:ascii="Traditional Arabic" w:hAnsi="Traditional Arabic" w:hint="cs"/>
          <w:color w:val="auto"/>
          <w:sz w:val="32"/>
          <w:szCs w:val="32"/>
          <w:rtl/>
        </w:rPr>
        <w:t>,</w:t>
      </w:r>
      <w:r w:rsidRPr="001E3AB5">
        <w:rPr>
          <w:rFonts w:ascii="Traditional Arabic" w:hAnsi="Traditional Arabic"/>
          <w:color w:val="auto"/>
          <w:sz w:val="32"/>
          <w:szCs w:val="32"/>
          <w:rtl/>
        </w:rPr>
        <w:t xml:space="preserve"> </w:t>
      </w:r>
      <w:r w:rsidRPr="001E3AB5">
        <w:rPr>
          <w:rFonts w:ascii="Traditional Arabic" w:hAnsi="Traditional Arabic"/>
          <w:sz w:val="32"/>
          <w:szCs w:val="32"/>
          <w:rtl/>
        </w:rPr>
        <w:t>حسان بْن ثابت بن المنذر بن حرام الأنصاري</w:t>
      </w:r>
      <w:r>
        <w:rPr>
          <w:rFonts w:ascii="Traditional Arabic" w:hAnsi="Traditional Arabic" w:hint="cs"/>
          <w:sz w:val="32"/>
          <w:szCs w:val="32"/>
          <w:rtl/>
        </w:rPr>
        <w:t>,</w:t>
      </w:r>
      <w:r w:rsidRPr="001E3AB5">
        <w:rPr>
          <w:rFonts w:ascii="Traditional Arabic" w:hAnsi="Traditional Arabic"/>
          <w:sz w:val="32"/>
          <w:szCs w:val="32"/>
          <w:rtl/>
        </w:rPr>
        <w:t xml:space="preserve"> الخزرجي، النجاري, المدني,</w:t>
      </w:r>
      <w:r w:rsidRPr="001E3AB5">
        <w:rPr>
          <w:rFonts w:ascii="Traditional Arabic" w:hAnsi="Traditional Arabic"/>
          <w:sz w:val="32"/>
          <w:szCs w:val="32"/>
          <w:rtl/>
          <w:lang w:eastAsia="en-US"/>
        </w:rPr>
        <w:t xml:space="preserve"> </w:t>
      </w:r>
      <w:r w:rsidRPr="001E3AB5">
        <w:rPr>
          <w:rFonts w:ascii="Traditional Arabic" w:hAnsi="Traditional Arabic"/>
          <w:sz w:val="32"/>
          <w:szCs w:val="32"/>
          <w:rtl/>
        </w:rPr>
        <w:t xml:space="preserve">شاعر رسول اللَّه </w:t>
      </w:r>
      <w:r w:rsidRPr="001E3AB5">
        <w:rPr>
          <w:rFonts w:ascii="Traditional Arabic" w:hAnsi="Traditional Arabic"/>
          <w:color w:val="auto"/>
          <w:sz w:val="32"/>
          <w:szCs w:val="32"/>
        </w:rPr>
        <w:sym w:font="AGA Arabesque" w:char="F072"/>
      </w:r>
      <w:r w:rsidRPr="001E3AB5">
        <w:rPr>
          <w:rFonts w:ascii="Traditional Arabic" w:hAnsi="Traditional Arabic"/>
          <w:color w:val="auto"/>
          <w:sz w:val="32"/>
          <w:szCs w:val="32"/>
          <w:rtl/>
        </w:rPr>
        <w:t>, سيد الشعراء المُؤمنين، المؤيد بروح القدس, (ت54ه). انظر: الاستيعاب (3/898), تهذيب الكمال (6/17), سير اعلام النبلاء (2/512).</w:t>
      </w:r>
    </w:p>
  </w:footnote>
  <w:footnote w:id="1997">
    <w:p w:rsidR="003F128F" w:rsidRPr="001E3AB5" w:rsidRDefault="003F128F" w:rsidP="0031285A">
      <w:pPr>
        <w:pStyle w:val="af3"/>
        <w:rPr>
          <w:rFonts w:ascii="Traditional Arabic" w:hAnsi="Traditional Arabic"/>
          <w:sz w:val="32"/>
          <w:szCs w:val="32"/>
        </w:rPr>
      </w:pPr>
      <w:r w:rsidRPr="001E3AB5">
        <w:rPr>
          <w:rFonts w:ascii="Traditional Arabic" w:hAnsi="Traditional Arabic"/>
          <w:sz w:val="32"/>
          <w:szCs w:val="32"/>
          <w:rtl/>
        </w:rPr>
        <w:t>(</w:t>
      </w:r>
      <w:r w:rsidRPr="001E3AB5">
        <w:rPr>
          <w:rStyle w:val="ae"/>
          <w:rFonts w:ascii="Traditional Arabic" w:hAnsi="Traditional Arabic"/>
          <w:sz w:val="32"/>
          <w:szCs w:val="32"/>
          <w:vertAlign w:val="baseline"/>
        </w:rPr>
        <w:footnoteRef/>
      </w:r>
      <w:r w:rsidRPr="001E3AB5">
        <w:rPr>
          <w:rFonts w:ascii="Traditional Arabic" w:hAnsi="Traditional Arabic"/>
          <w:sz w:val="32"/>
          <w:szCs w:val="32"/>
          <w:rtl/>
        </w:rPr>
        <w:t>) البيت في ديوانه (ص</w:t>
      </w:r>
      <w:r>
        <w:rPr>
          <w:rFonts w:ascii="Traditional Arabic" w:hAnsi="Traditional Arabic" w:hint="cs"/>
          <w:sz w:val="32"/>
          <w:szCs w:val="32"/>
          <w:rtl/>
        </w:rPr>
        <w:t>93</w:t>
      </w:r>
      <w:r w:rsidRPr="001E3AB5">
        <w:rPr>
          <w:rFonts w:ascii="Traditional Arabic" w:hAnsi="Traditional Arabic"/>
          <w:sz w:val="32"/>
          <w:szCs w:val="32"/>
          <w:rtl/>
        </w:rPr>
        <w:t xml:space="preserve">). </w:t>
      </w:r>
    </w:p>
  </w:footnote>
  <w:footnote w:id="1998">
    <w:p w:rsidR="003F128F" w:rsidRPr="001E3AB5" w:rsidRDefault="003F128F" w:rsidP="008900CA">
      <w:pPr>
        <w:pStyle w:val="af3"/>
        <w:rPr>
          <w:rFonts w:ascii="Traditional Arabic" w:hAnsi="Traditional Arabic"/>
          <w:sz w:val="32"/>
          <w:szCs w:val="32"/>
        </w:rPr>
      </w:pPr>
      <w:r w:rsidRPr="001E3AB5">
        <w:rPr>
          <w:rFonts w:ascii="Traditional Arabic" w:hAnsi="Traditional Arabic"/>
          <w:sz w:val="32"/>
          <w:szCs w:val="32"/>
          <w:rtl/>
        </w:rPr>
        <w:t>(</w:t>
      </w:r>
      <w:r w:rsidRPr="001E3AB5">
        <w:rPr>
          <w:rStyle w:val="ae"/>
          <w:rFonts w:ascii="Traditional Arabic" w:hAnsi="Traditional Arabic"/>
          <w:sz w:val="32"/>
          <w:szCs w:val="32"/>
          <w:vertAlign w:val="baseline"/>
        </w:rPr>
        <w:footnoteRef/>
      </w:r>
      <w:r>
        <w:rPr>
          <w:rFonts w:ascii="Traditional Arabic" w:hAnsi="Traditional Arabic"/>
          <w:sz w:val="32"/>
          <w:szCs w:val="32"/>
          <w:rtl/>
        </w:rPr>
        <w:t>) هو ال</w:t>
      </w:r>
      <w:r>
        <w:rPr>
          <w:rFonts w:ascii="Traditional Arabic" w:hAnsi="Traditional Arabic" w:hint="cs"/>
          <w:sz w:val="32"/>
          <w:szCs w:val="32"/>
          <w:rtl/>
        </w:rPr>
        <w:t>إ</w:t>
      </w:r>
      <w:r w:rsidRPr="001E3AB5">
        <w:rPr>
          <w:rFonts w:ascii="Traditional Arabic" w:hAnsi="Traditional Arabic"/>
          <w:sz w:val="32"/>
          <w:szCs w:val="32"/>
          <w:rtl/>
        </w:rPr>
        <w:t>مام أبو محمد</w:t>
      </w:r>
      <w:r>
        <w:rPr>
          <w:rFonts w:ascii="Traditional Arabic" w:hAnsi="Traditional Arabic" w:hint="cs"/>
          <w:sz w:val="32"/>
          <w:szCs w:val="32"/>
          <w:rtl/>
        </w:rPr>
        <w:t>,</w:t>
      </w:r>
      <w:r w:rsidRPr="001E3AB5">
        <w:rPr>
          <w:rFonts w:ascii="Traditional Arabic" w:hAnsi="Traditional Arabic"/>
          <w:sz w:val="32"/>
          <w:szCs w:val="32"/>
          <w:rtl/>
        </w:rPr>
        <w:t xml:space="preserve"> عبد الله بن الحارث بن عبد المَلك القرشي, المخزومي, المكي,</w:t>
      </w:r>
      <w:r w:rsidRPr="001E3AB5">
        <w:rPr>
          <w:rFonts w:ascii="Traditional Arabic" w:hAnsi="Traditional Arabic"/>
          <w:color w:val="auto"/>
          <w:sz w:val="32"/>
          <w:szCs w:val="32"/>
          <w:rtl/>
        </w:rPr>
        <w:t xml:space="preserve"> ثقة, كان أحد أوعية العلم, </w:t>
      </w:r>
      <w:r w:rsidRPr="001E3AB5">
        <w:rPr>
          <w:rFonts w:ascii="Traditional Arabic" w:hAnsi="Traditional Arabic"/>
          <w:sz w:val="32"/>
          <w:szCs w:val="32"/>
          <w:rtl/>
        </w:rPr>
        <w:t xml:space="preserve">(ت181-190ه). انظر: تهذيب الكمال (14/394), تاريخ الإسلام (4/874). </w:t>
      </w:r>
    </w:p>
  </w:footnote>
  <w:footnote w:id="1999">
    <w:p w:rsidR="003F128F" w:rsidRPr="001E3AB5" w:rsidRDefault="003F128F" w:rsidP="008900CA">
      <w:pPr>
        <w:pStyle w:val="af3"/>
        <w:rPr>
          <w:rFonts w:ascii="Traditional Arabic" w:hAnsi="Traditional Arabic"/>
        </w:rPr>
      </w:pPr>
      <w:r w:rsidRPr="001E3AB5">
        <w:rPr>
          <w:rFonts w:ascii="Traditional Arabic" w:hAnsi="Traditional Arabic"/>
          <w:sz w:val="32"/>
          <w:szCs w:val="32"/>
          <w:rtl/>
        </w:rPr>
        <w:t>(</w:t>
      </w:r>
      <w:r w:rsidRPr="001E3AB5">
        <w:rPr>
          <w:rStyle w:val="ae"/>
          <w:rFonts w:ascii="Traditional Arabic" w:hAnsi="Traditional Arabic"/>
          <w:sz w:val="32"/>
          <w:szCs w:val="32"/>
          <w:vertAlign w:val="baseline"/>
        </w:rPr>
        <w:footnoteRef/>
      </w:r>
      <w:r>
        <w:rPr>
          <w:rFonts w:ascii="Traditional Arabic" w:hAnsi="Traditional Arabic"/>
          <w:sz w:val="32"/>
          <w:szCs w:val="32"/>
          <w:rtl/>
        </w:rPr>
        <w:t>)</w:t>
      </w:r>
      <w:r w:rsidRPr="001E3AB5">
        <w:rPr>
          <w:rFonts w:ascii="Traditional Arabic" w:hAnsi="Traditional Arabic"/>
          <w:sz w:val="32"/>
          <w:szCs w:val="32"/>
          <w:rtl/>
        </w:rPr>
        <w:t xml:space="preserve"> انظر: المعرب من الكلام الأعجمي لأبي منصور اللغوي (ص288-289).   </w:t>
      </w:r>
    </w:p>
  </w:footnote>
  <w:footnote w:id="2000">
    <w:p w:rsidR="003F128F" w:rsidRPr="001E3AB5" w:rsidRDefault="003F128F" w:rsidP="001E3AB5">
      <w:pPr>
        <w:pStyle w:val="af3"/>
        <w:rPr>
          <w:rFonts w:ascii="Traditional Arabic" w:hAnsi="Traditional Arabic"/>
          <w:sz w:val="32"/>
          <w:szCs w:val="32"/>
        </w:rPr>
      </w:pPr>
      <w:r w:rsidRPr="001E3AB5">
        <w:rPr>
          <w:rFonts w:ascii="Traditional Arabic" w:hAnsi="Traditional Arabic"/>
          <w:sz w:val="32"/>
          <w:szCs w:val="32"/>
          <w:rtl/>
        </w:rPr>
        <w:t>(</w:t>
      </w:r>
      <w:r w:rsidRPr="001E3AB5">
        <w:rPr>
          <w:rStyle w:val="ae"/>
          <w:rFonts w:ascii="Traditional Arabic" w:hAnsi="Traditional Arabic"/>
          <w:sz w:val="32"/>
          <w:szCs w:val="32"/>
          <w:vertAlign w:val="baseline"/>
        </w:rPr>
        <w:footnoteRef/>
      </w:r>
      <w:r w:rsidRPr="001E3AB5">
        <w:rPr>
          <w:rFonts w:ascii="Traditional Arabic" w:hAnsi="Traditional Arabic"/>
          <w:sz w:val="32"/>
          <w:szCs w:val="32"/>
          <w:rtl/>
        </w:rPr>
        <w:t>) تقدم في (ص282).</w:t>
      </w:r>
    </w:p>
  </w:footnote>
  <w:footnote w:id="2001">
    <w:p w:rsidR="003F128F" w:rsidRPr="007F0B5E" w:rsidRDefault="003F128F" w:rsidP="008900CA">
      <w:pPr>
        <w:pStyle w:val="af3"/>
        <w:rPr>
          <w:rFonts w:ascii="Traditional Arabic" w:hAnsi="Traditional Arabic"/>
          <w:sz w:val="32"/>
          <w:szCs w:val="32"/>
        </w:rPr>
      </w:pPr>
      <w:r w:rsidRPr="001E3AB5">
        <w:rPr>
          <w:rFonts w:ascii="Traditional Arabic" w:hAnsi="Traditional Arabic"/>
          <w:sz w:val="32"/>
          <w:szCs w:val="32"/>
          <w:rtl/>
        </w:rPr>
        <w:t>(</w:t>
      </w:r>
      <w:r w:rsidRPr="001E3AB5">
        <w:rPr>
          <w:rStyle w:val="ae"/>
          <w:rFonts w:ascii="Traditional Arabic" w:hAnsi="Traditional Arabic"/>
          <w:sz w:val="32"/>
          <w:szCs w:val="32"/>
          <w:vertAlign w:val="baseline"/>
        </w:rPr>
        <w:footnoteRef/>
      </w:r>
      <w:r w:rsidRPr="001E3AB5">
        <w:rPr>
          <w:rFonts w:ascii="Traditional Arabic" w:hAnsi="Traditional Arabic"/>
          <w:sz w:val="32"/>
          <w:szCs w:val="32"/>
          <w:rtl/>
        </w:rPr>
        <w:t>) انظر: معاني القرآن وإعرابه (3/315).</w:t>
      </w:r>
      <w:r w:rsidRPr="007F0B5E">
        <w:rPr>
          <w:rFonts w:ascii="Traditional Arabic" w:hAnsi="Traditional Arabic"/>
          <w:sz w:val="32"/>
          <w:szCs w:val="32"/>
          <w:rtl/>
        </w:rPr>
        <w:t xml:space="preserve">  </w:t>
      </w:r>
    </w:p>
  </w:footnote>
  <w:footnote w:id="2002">
    <w:p w:rsidR="003F128F" w:rsidRPr="00D01D7C" w:rsidRDefault="003F128F" w:rsidP="008900CA">
      <w:pPr>
        <w:pStyle w:val="af3"/>
        <w:rPr>
          <w:rFonts w:ascii="Tahoma" w:hAnsi="Tahoma"/>
        </w:rPr>
      </w:pPr>
      <w:r w:rsidRPr="007F0B5E">
        <w:rPr>
          <w:rFonts w:ascii="Traditional Arabic" w:hAnsi="Traditional Arabic"/>
          <w:sz w:val="32"/>
          <w:szCs w:val="32"/>
          <w:rtl/>
        </w:rPr>
        <w:t>(</w:t>
      </w:r>
      <w:r w:rsidRPr="007F0B5E">
        <w:rPr>
          <w:rStyle w:val="ae"/>
          <w:rFonts w:ascii="Traditional Arabic" w:hAnsi="Traditional Arabic"/>
          <w:sz w:val="32"/>
          <w:szCs w:val="32"/>
          <w:vertAlign w:val="baseline"/>
        </w:rPr>
        <w:footnoteRef/>
      </w:r>
      <w:r w:rsidRPr="007F0B5E">
        <w:rPr>
          <w:rFonts w:ascii="Traditional Arabic" w:hAnsi="Traditional Arabic"/>
          <w:sz w:val="32"/>
          <w:szCs w:val="32"/>
          <w:rtl/>
        </w:rPr>
        <w:t>) انظر: التفسير الوسيط (3/171), معالم التنزيل (5/211).</w:t>
      </w:r>
    </w:p>
  </w:footnote>
  <w:footnote w:id="2003">
    <w:p w:rsidR="003F128F" w:rsidRPr="00B1486D" w:rsidRDefault="003F128F" w:rsidP="008900CA">
      <w:pPr>
        <w:pStyle w:val="af3"/>
        <w:rPr>
          <w:rFonts w:ascii="Tahoma" w:hAnsi="Tahoma"/>
        </w:rPr>
      </w:pPr>
      <w:r w:rsidRPr="00B1486D">
        <w:rPr>
          <w:rFonts w:ascii="Tahoma" w:hAnsi="Tahoma"/>
          <w:sz w:val="32"/>
          <w:szCs w:val="32"/>
          <w:rtl/>
        </w:rPr>
        <w:t>(</w:t>
      </w:r>
      <w:r w:rsidRPr="00B1486D">
        <w:rPr>
          <w:rStyle w:val="ae"/>
          <w:rFonts w:ascii="Tahoma" w:hAnsi="Tahoma"/>
          <w:sz w:val="32"/>
          <w:szCs w:val="32"/>
          <w:vertAlign w:val="baseline"/>
        </w:rPr>
        <w:footnoteRef/>
      </w:r>
      <w:r w:rsidRPr="00B1486D">
        <w:rPr>
          <w:rFonts w:ascii="Tahoma" w:hAnsi="Tahoma"/>
          <w:sz w:val="32"/>
          <w:szCs w:val="32"/>
          <w:rtl/>
        </w:rPr>
        <w:t xml:space="preserve">) </w:t>
      </w:r>
      <w:r w:rsidRPr="00B1486D">
        <w:rPr>
          <w:rFonts w:ascii="Tahoma" w:hAnsi="Tahoma" w:hint="cs"/>
          <w:sz w:val="32"/>
          <w:szCs w:val="32"/>
          <w:rtl/>
        </w:rPr>
        <w:t>في (ك): [</w:t>
      </w:r>
      <w:r w:rsidRPr="00B1486D">
        <w:rPr>
          <w:rFonts w:ascii="Traditional Arabic" w:hAnsi="Traditional Arabic"/>
          <w:sz w:val="32"/>
          <w:szCs w:val="32"/>
          <w:rtl/>
        </w:rPr>
        <w:t>قوله تعالى:</w:t>
      </w:r>
      <w:r w:rsidRPr="008417BA">
        <w:rPr>
          <w:rFonts w:ascii="Traditional Arabic" w:hAnsi="Traditional Arabic"/>
          <w:rtl/>
        </w:rPr>
        <w:t xml:space="preserve"> </w:t>
      </w:r>
      <w:r w:rsidRPr="00B1486D">
        <w:rPr>
          <w:rFonts w:ascii="QCF_BSML" w:hAnsi="QCF_BSML" w:cs="QCF_BSML"/>
          <w:color w:val="auto"/>
          <w:rtl/>
          <w:lang w:eastAsia="en-US"/>
        </w:rPr>
        <w:t xml:space="preserve">ﭽ </w:t>
      </w:r>
      <w:r w:rsidRPr="00B1486D">
        <w:rPr>
          <w:rFonts w:ascii="QCF_P304" w:hAnsi="QCF_P304" w:cs="QCF_P304"/>
          <w:color w:val="auto"/>
          <w:rtl/>
          <w:lang w:eastAsia="en-US"/>
        </w:rPr>
        <w:t xml:space="preserve">ﯱ  ﯲ        ﯳ         ﯴ        ﯵ  </w:t>
      </w:r>
      <w:r w:rsidRPr="00B1486D">
        <w:rPr>
          <w:rFonts w:ascii="QCF_BSML" w:hAnsi="QCF_BSML" w:cs="QCF_BSML"/>
          <w:color w:val="auto"/>
          <w:rtl/>
          <w:lang w:eastAsia="en-US"/>
        </w:rPr>
        <w:t>ﭼ</w:t>
      </w:r>
      <w:r w:rsidRPr="00D01D7C">
        <w:rPr>
          <w:rFonts w:ascii="QCF_P304" w:hAnsi="QCF_P304" w:cs="QCF_P304"/>
          <w:color w:val="auto"/>
          <w:sz w:val="32"/>
          <w:szCs w:val="32"/>
          <w:rtl/>
          <w:lang w:eastAsia="en-US"/>
        </w:rPr>
        <w:t xml:space="preserve">   </w:t>
      </w:r>
      <w:r>
        <w:rPr>
          <w:rFonts w:ascii="QCF_P304" w:hAnsi="QCF_P304" w:cs="QCF_P304" w:hint="cs"/>
          <w:color w:val="auto"/>
          <w:sz w:val="32"/>
          <w:szCs w:val="32"/>
          <w:rtl/>
          <w:lang w:eastAsia="en-US"/>
        </w:rPr>
        <w:t xml:space="preserve">  </w:t>
      </w:r>
      <w:r w:rsidRPr="00D01D7C">
        <w:rPr>
          <w:rFonts w:ascii="QCF_P304" w:hAnsi="QCF_P304" w:cs="QCF_P304"/>
          <w:color w:val="auto"/>
          <w:sz w:val="32"/>
          <w:szCs w:val="32"/>
          <w:rtl/>
          <w:lang w:eastAsia="en-US"/>
        </w:rPr>
        <w:t xml:space="preserve"> </w:t>
      </w:r>
      <w:r w:rsidRPr="008417BA">
        <w:rPr>
          <w:rFonts w:ascii="Traditional Arabic" w:hAnsi="Traditional Arabic"/>
          <w:rtl/>
        </w:rPr>
        <w:t>سبب نزولها</w:t>
      </w:r>
      <w:r>
        <w:rPr>
          <w:rFonts w:ascii="Traditional Arabic" w:hAnsi="Traditional Arabic" w:hint="cs"/>
          <w:rtl/>
        </w:rPr>
        <w:t>]</w:t>
      </w:r>
      <w:r>
        <w:rPr>
          <w:rFonts w:ascii="Tahoma" w:hAnsi="Tahoma" w:hint="cs"/>
          <w:rtl/>
        </w:rPr>
        <w:t>.</w:t>
      </w:r>
    </w:p>
  </w:footnote>
  <w:footnote w:id="2004">
    <w:p w:rsidR="003F128F" w:rsidRPr="00B1486D" w:rsidRDefault="003F128F" w:rsidP="005E4626">
      <w:pPr>
        <w:pStyle w:val="af3"/>
        <w:rPr>
          <w:rFonts w:ascii="Traditional Arabic" w:hAnsi="Traditional Arabic"/>
          <w:color w:val="auto"/>
          <w:sz w:val="32"/>
          <w:szCs w:val="32"/>
        </w:rPr>
      </w:pPr>
      <w:r w:rsidRPr="00902F4B">
        <w:rPr>
          <w:rFonts w:ascii="Traditional Arabic" w:hAnsi="Traditional Arabic"/>
          <w:color w:val="auto"/>
          <w:sz w:val="32"/>
          <w:szCs w:val="32"/>
          <w:rtl/>
        </w:rPr>
        <w:t>(</w:t>
      </w:r>
      <w:r w:rsidRPr="00902F4B">
        <w:rPr>
          <w:rStyle w:val="ae"/>
          <w:rFonts w:ascii="Traditional Arabic" w:hAnsi="Traditional Arabic"/>
          <w:color w:val="auto"/>
          <w:sz w:val="32"/>
          <w:szCs w:val="32"/>
          <w:vertAlign w:val="baseline"/>
        </w:rPr>
        <w:footnoteRef/>
      </w:r>
      <w:r w:rsidRPr="00902F4B">
        <w:rPr>
          <w:rFonts w:ascii="Traditional Arabic" w:hAnsi="Traditional Arabic"/>
          <w:color w:val="auto"/>
          <w:sz w:val="32"/>
          <w:szCs w:val="32"/>
          <w:rtl/>
        </w:rPr>
        <w:t xml:space="preserve">) ذكره مقاتل في تفسيره </w:t>
      </w:r>
      <w:r>
        <w:rPr>
          <w:rFonts w:ascii="Traditional Arabic" w:hAnsi="Traditional Arabic"/>
          <w:color w:val="auto"/>
          <w:sz w:val="32"/>
          <w:szCs w:val="32"/>
          <w:rtl/>
        </w:rPr>
        <w:t>(2/605)</w:t>
      </w:r>
      <w:r>
        <w:rPr>
          <w:rFonts w:ascii="Traditional Arabic" w:hAnsi="Traditional Arabic" w:hint="cs"/>
          <w:color w:val="auto"/>
          <w:sz w:val="32"/>
          <w:szCs w:val="32"/>
          <w:rtl/>
        </w:rPr>
        <w:t>,</w:t>
      </w:r>
      <w:r w:rsidRPr="00902F4B">
        <w:rPr>
          <w:rFonts w:ascii="Traditional Arabic" w:hAnsi="Traditional Arabic"/>
          <w:color w:val="auto"/>
          <w:sz w:val="32"/>
          <w:szCs w:val="32"/>
          <w:rtl/>
        </w:rPr>
        <w:t xml:space="preserve"> والسمرقندي في بحر العلوم (2/365) بدون نسبة, وذكره الثعلبي في الكشف والبيان (6/202), </w:t>
      </w:r>
      <w:r>
        <w:rPr>
          <w:rFonts w:ascii="Traditional Arabic" w:hAnsi="Traditional Arabic" w:hint="cs"/>
          <w:color w:val="auto"/>
          <w:sz w:val="32"/>
          <w:szCs w:val="32"/>
          <w:rtl/>
        </w:rPr>
        <w:t>و</w:t>
      </w:r>
      <w:r w:rsidRPr="00902F4B">
        <w:rPr>
          <w:rFonts w:ascii="Traditional Arabic" w:hAnsi="Traditional Arabic"/>
          <w:color w:val="auto"/>
          <w:sz w:val="32"/>
          <w:szCs w:val="32"/>
          <w:rtl/>
        </w:rPr>
        <w:t xml:space="preserve">الواحدي في التفسير الوسيط (3/171), وأسباب النزول </w:t>
      </w:r>
      <w:r w:rsidRPr="00B1486D">
        <w:rPr>
          <w:rFonts w:ascii="Traditional Arabic" w:hAnsi="Traditional Arabic"/>
          <w:color w:val="auto"/>
          <w:sz w:val="32"/>
          <w:szCs w:val="32"/>
          <w:rtl/>
        </w:rPr>
        <w:t xml:space="preserve">(ص215), والسيوطي في لباب النقول (ص143) كلهم عن ابن عباس </w:t>
      </w:r>
      <w:r w:rsidRPr="00B1486D">
        <w:rPr>
          <w:rFonts w:ascii="Traditional Arabic" w:hAnsi="Traditional Arabic"/>
          <w:color w:val="auto"/>
          <w:sz w:val="32"/>
          <w:szCs w:val="32"/>
        </w:rPr>
        <w:sym w:font="AGA Arabesque" w:char="F074"/>
      </w:r>
      <w:r>
        <w:rPr>
          <w:rFonts w:ascii="Traditional Arabic" w:hAnsi="Traditional Arabic"/>
          <w:color w:val="auto"/>
          <w:sz w:val="32"/>
          <w:szCs w:val="32"/>
          <w:rtl/>
        </w:rPr>
        <w:t xml:space="preserve"> به.</w:t>
      </w:r>
    </w:p>
  </w:footnote>
  <w:footnote w:id="2005">
    <w:p w:rsidR="003F128F" w:rsidRPr="00B1486D" w:rsidRDefault="003F128F" w:rsidP="008900CA">
      <w:pPr>
        <w:pStyle w:val="af3"/>
        <w:rPr>
          <w:rFonts w:ascii="Traditional Arabic" w:hAnsi="Traditional Arabic"/>
          <w:sz w:val="32"/>
          <w:szCs w:val="32"/>
        </w:rPr>
      </w:pPr>
      <w:r w:rsidRPr="00B1486D">
        <w:rPr>
          <w:rFonts w:ascii="Traditional Arabic" w:hAnsi="Traditional Arabic"/>
          <w:sz w:val="32"/>
          <w:szCs w:val="32"/>
          <w:rtl/>
        </w:rPr>
        <w:t>(</w:t>
      </w:r>
      <w:r w:rsidRPr="00B1486D">
        <w:rPr>
          <w:rStyle w:val="ae"/>
          <w:rFonts w:ascii="Traditional Arabic" w:hAnsi="Traditional Arabic"/>
          <w:sz w:val="32"/>
          <w:szCs w:val="32"/>
          <w:vertAlign w:val="baseline"/>
        </w:rPr>
        <w:footnoteRef/>
      </w:r>
      <w:r w:rsidRPr="00B1486D">
        <w:rPr>
          <w:rFonts w:ascii="Traditional Arabic" w:hAnsi="Traditional Arabic"/>
          <w:sz w:val="32"/>
          <w:szCs w:val="32"/>
          <w:rtl/>
        </w:rPr>
        <w:t xml:space="preserve">) في (ك): [قال مجاهد: والمعنى: لو كان البحر]. </w:t>
      </w:r>
    </w:p>
  </w:footnote>
  <w:footnote w:id="2006">
    <w:p w:rsidR="003F128F" w:rsidRPr="00B1486D" w:rsidRDefault="003F128F" w:rsidP="008900CA">
      <w:pPr>
        <w:pStyle w:val="af3"/>
        <w:rPr>
          <w:rFonts w:ascii="Traditional Arabic" w:hAnsi="Traditional Arabic"/>
          <w:color w:val="auto"/>
          <w:sz w:val="32"/>
          <w:szCs w:val="32"/>
        </w:rPr>
      </w:pPr>
      <w:r w:rsidRPr="00B1486D">
        <w:rPr>
          <w:rFonts w:ascii="Traditional Arabic" w:hAnsi="Traditional Arabic"/>
          <w:color w:val="auto"/>
          <w:sz w:val="32"/>
          <w:szCs w:val="32"/>
          <w:rtl/>
        </w:rPr>
        <w:t>(</w:t>
      </w:r>
      <w:r w:rsidRPr="00B1486D">
        <w:rPr>
          <w:rStyle w:val="ae"/>
          <w:rFonts w:ascii="Traditional Arabic" w:hAnsi="Traditional Arabic"/>
          <w:color w:val="auto"/>
          <w:sz w:val="32"/>
          <w:szCs w:val="32"/>
          <w:vertAlign w:val="baseline"/>
        </w:rPr>
        <w:footnoteRef/>
      </w:r>
      <w:r w:rsidRPr="00B1486D">
        <w:rPr>
          <w:rFonts w:ascii="Traditional Arabic" w:hAnsi="Traditional Arabic"/>
          <w:color w:val="auto"/>
          <w:sz w:val="32"/>
          <w:szCs w:val="32"/>
          <w:rtl/>
        </w:rPr>
        <w:t>) انظر: تفسير مجاهد (ص452), تفسير يحيى بن سلام (1/211)</w:t>
      </w:r>
      <w:r>
        <w:rPr>
          <w:rFonts w:ascii="Traditional Arabic" w:hAnsi="Traditional Arabic" w:hint="cs"/>
          <w:color w:val="auto"/>
          <w:sz w:val="32"/>
          <w:szCs w:val="32"/>
          <w:rtl/>
        </w:rPr>
        <w:t>.</w:t>
      </w:r>
    </w:p>
  </w:footnote>
  <w:footnote w:id="2007">
    <w:p w:rsidR="003F128F" w:rsidRPr="00902F4B" w:rsidRDefault="003F128F" w:rsidP="008900CA">
      <w:pPr>
        <w:pStyle w:val="af3"/>
        <w:rPr>
          <w:rFonts w:ascii="Traditional Arabic" w:hAnsi="Traditional Arabic"/>
          <w:color w:val="auto"/>
          <w:sz w:val="32"/>
          <w:szCs w:val="32"/>
        </w:rPr>
      </w:pPr>
      <w:r w:rsidRPr="00B1486D">
        <w:rPr>
          <w:rFonts w:ascii="Traditional Arabic" w:hAnsi="Traditional Arabic"/>
          <w:color w:val="auto"/>
          <w:sz w:val="32"/>
          <w:szCs w:val="32"/>
          <w:rtl/>
        </w:rPr>
        <w:t>(</w:t>
      </w:r>
      <w:r w:rsidRPr="00B1486D">
        <w:rPr>
          <w:rStyle w:val="ae"/>
          <w:rFonts w:ascii="Traditional Arabic" w:hAnsi="Traditional Arabic"/>
          <w:color w:val="auto"/>
          <w:sz w:val="32"/>
          <w:szCs w:val="32"/>
          <w:vertAlign w:val="baseline"/>
        </w:rPr>
        <w:footnoteRef/>
      </w:r>
      <w:r w:rsidRPr="00B1486D">
        <w:rPr>
          <w:rFonts w:ascii="Traditional Arabic" w:hAnsi="Traditional Arabic"/>
          <w:color w:val="auto"/>
          <w:sz w:val="32"/>
          <w:szCs w:val="32"/>
          <w:rtl/>
        </w:rPr>
        <w:t>) انظر: التفسير الوسيط (3/171</w:t>
      </w:r>
      <w:r>
        <w:rPr>
          <w:rFonts w:ascii="Traditional Arabic" w:hAnsi="Traditional Arabic" w:hint="cs"/>
          <w:color w:val="auto"/>
          <w:sz w:val="32"/>
          <w:szCs w:val="32"/>
          <w:rtl/>
        </w:rPr>
        <w:t>),</w:t>
      </w:r>
      <w:r w:rsidRPr="00B1486D">
        <w:rPr>
          <w:rFonts w:ascii="Traditional Arabic" w:hAnsi="Traditional Arabic"/>
          <w:color w:val="auto"/>
          <w:sz w:val="32"/>
          <w:szCs w:val="32"/>
          <w:rtl/>
        </w:rPr>
        <w:t xml:space="preserve"> فتح القدير للشوكاني (2/682).</w:t>
      </w:r>
      <w:r w:rsidRPr="00902F4B">
        <w:rPr>
          <w:rFonts w:ascii="Traditional Arabic" w:hAnsi="Traditional Arabic"/>
          <w:color w:val="auto"/>
          <w:sz w:val="32"/>
          <w:szCs w:val="32"/>
          <w:rtl/>
        </w:rPr>
        <w:t xml:space="preserve"> </w:t>
      </w:r>
    </w:p>
  </w:footnote>
  <w:footnote w:id="2008">
    <w:p w:rsidR="003F128F" w:rsidRPr="003764AC" w:rsidRDefault="003F128F" w:rsidP="008900CA">
      <w:pPr>
        <w:pStyle w:val="af3"/>
        <w:rPr>
          <w:rFonts w:ascii="Traditional Arabic" w:hAnsi="Traditional Arabic"/>
          <w:color w:val="auto"/>
          <w:sz w:val="32"/>
          <w:szCs w:val="32"/>
        </w:rPr>
      </w:pPr>
      <w:r w:rsidRPr="003764AC">
        <w:rPr>
          <w:rFonts w:ascii="Traditional Arabic" w:hAnsi="Traditional Arabic"/>
          <w:color w:val="auto"/>
          <w:sz w:val="32"/>
          <w:szCs w:val="32"/>
          <w:rtl/>
        </w:rPr>
        <w:t>(</w:t>
      </w:r>
      <w:r w:rsidRPr="003764AC">
        <w:rPr>
          <w:rStyle w:val="ae"/>
          <w:rFonts w:ascii="Traditional Arabic" w:hAnsi="Traditional Arabic"/>
          <w:color w:val="auto"/>
          <w:sz w:val="32"/>
          <w:szCs w:val="32"/>
          <w:vertAlign w:val="baseline"/>
        </w:rPr>
        <w:footnoteRef/>
      </w:r>
      <w:r w:rsidRPr="003764AC">
        <w:rPr>
          <w:rFonts w:ascii="Traditional Arabic" w:hAnsi="Traditional Arabic"/>
          <w:color w:val="auto"/>
          <w:sz w:val="32"/>
          <w:szCs w:val="32"/>
          <w:rtl/>
        </w:rPr>
        <w:t>) الكامل في القراءات العشر (ص594), البحر المحيط (7/233).</w:t>
      </w:r>
    </w:p>
  </w:footnote>
  <w:footnote w:id="2009">
    <w:p w:rsidR="003F128F" w:rsidRPr="003764AC" w:rsidRDefault="003F128F" w:rsidP="008900CA">
      <w:pPr>
        <w:pStyle w:val="af3"/>
        <w:rPr>
          <w:rFonts w:ascii="Traditional Arabic" w:hAnsi="Traditional Arabic"/>
          <w:color w:val="auto"/>
          <w:sz w:val="32"/>
          <w:szCs w:val="32"/>
        </w:rPr>
      </w:pPr>
      <w:r w:rsidRPr="003764AC">
        <w:rPr>
          <w:rFonts w:ascii="Traditional Arabic" w:hAnsi="Traditional Arabic"/>
          <w:color w:val="auto"/>
          <w:sz w:val="32"/>
          <w:szCs w:val="32"/>
          <w:rtl/>
        </w:rPr>
        <w:t>(</w:t>
      </w:r>
      <w:r w:rsidRPr="003764AC">
        <w:rPr>
          <w:rStyle w:val="ae"/>
          <w:rFonts w:ascii="Traditional Arabic" w:hAnsi="Traditional Arabic"/>
          <w:color w:val="auto"/>
          <w:sz w:val="32"/>
          <w:szCs w:val="32"/>
          <w:vertAlign w:val="baseline"/>
        </w:rPr>
        <w:footnoteRef/>
      </w:r>
      <w:r w:rsidRPr="003764AC">
        <w:rPr>
          <w:rFonts w:ascii="Traditional Arabic" w:hAnsi="Traditional Arabic"/>
          <w:color w:val="auto"/>
          <w:sz w:val="32"/>
          <w:szCs w:val="32"/>
          <w:rtl/>
        </w:rPr>
        <w:t xml:space="preserve">) </w:t>
      </w:r>
      <w:r w:rsidRPr="003764AC">
        <w:rPr>
          <w:rFonts w:ascii="Traditional Arabic" w:hAnsi="Traditional Arabic"/>
          <w:sz w:val="32"/>
          <w:szCs w:val="32"/>
          <w:rtl/>
        </w:rPr>
        <w:t xml:space="preserve">انظر: السبعة في القراءات (ص402), معاني القراءات (2/127).  </w:t>
      </w:r>
      <w:r w:rsidRPr="003764AC">
        <w:rPr>
          <w:rFonts w:ascii="Traditional Arabic" w:hAnsi="Traditional Arabic"/>
          <w:color w:val="auto"/>
          <w:sz w:val="32"/>
          <w:szCs w:val="32"/>
          <w:rtl/>
        </w:rPr>
        <w:t xml:space="preserve"> </w:t>
      </w:r>
    </w:p>
  </w:footnote>
  <w:footnote w:id="2010">
    <w:p w:rsidR="003F128F" w:rsidRPr="003764AC" w:rsidRDefault="003F128F" w:rsidP="008900CA">
      <w:pPr>
        <w:pStyle w:val="af3"/>
        <w:rPr>
          <w:rFonts w:ascii="Traditional Arabic" w:hAnsi="Traditional Arabic"/>
          <w:color w:val="auto"/>
          <w:sz w:val="32"/>
          <w:szCs w:val="32"/>
        </w:rPr>
      </w:pPr>
      <w:r w:rsidRPr="003764AC">
        <w:rPr>
          <w:rFonts w:ascii="Traditional Arabic" w:hAnsi="Traditional Arabic"/>
          <w:color w:val="auto"/>
          <w:sz w:val="32"/>
          <w:szCs w:val="32"/>
          <w:rtl/>
        </w:rPr>
        <w:t>(</w:t>
      </w:r>
      <w:r w:rsidRPr="003764AC">
        <w:rPr>
          <w:rStyle w:val="ae"/>
          <w:rFonts w:ascii="Traditional Arabic" w:hAnsi="Traditional Arabic"/>
          <w:color w:val="auto"/>
          <w:sz w:val="32"/>
          <w:szCs w:val="32"/>
          <w:vertAlign w:val="baseline"/>
        </w:rPr>
        <w:footnoteRef/>
      </w:r>
      <w:r w:rsidRPr="003764AC">
        <w:rPr>
          <w:rFonts w:ascii="Traditional Arabic" w:hAnsi="Traditional Arabic"/>
          <w:color w:val="auto"/>
          <w:sz w:val="32"/>
          <w:szCs w:val="32"/>
          <w:rtl/>
        </w:rPr>
        <w:t>) انظر: الحجة</w:t>
      </w:r>
      <w:r w:rsidRPr="003764AC">
        <w:rPr>
          <w:rFonts w:ascii="Traditional Arabic" w:hAnsi="Traditional Arabic"/>
          <w:sz w:val="32"/>
          <w:szCs w:val="32"/>
          <w:rtl/>
          <w:lang w:eastAsia="en-US"/>
        </w:rPr>
        <w:t xml:space="preserve"> للقراء السبعة</w:t>
      </w:r>
      <w:r w:rsidRPr="003764AC">
        <w:rPr>
          <w:rFonts w:ascii="Traditional Arabic" w:hAnsi="Traditional Arabic"/>
          <w:color w:val="auto"/>
          <w:sz w:val="32"/>
          <w:szCs w:val="32"/>
          <w:rtl/>
        </w:rPr>
        <w:t xml:space="preserve"> (5/183).</w:t>
      </w:r>
    </w:p>
  </w:footnote>
  <w:footnote w:id="2011">
    <w:p w:rsidR="003F128F" w:rsidRPr="003764AC" w:rsidRDefault="003F128F" w:rsidP="008900CA">
      <w:pPr>
        <w:pStyle w:val="af3"/>
        <w:rPr>
          <w:rFonts w:ascii="Traditional Arabic" w:hAnsi="Traditional Arabic"/>
          <w:sz w:val="32"/>
          <w:szCs w:val="32"/>
        </w:rPr>
      </w:pPr>
      <w:r w:rsidRPr="003764AC">
        <w:rPr>
          <w:rFonts w:ascii="Traditional Arabic" w:hAnsi="Traditional Arabic"/>
          <w:sz w:val="32"/>
          <w:szCs w:val="32"/>
          <w:rtl/>
        </w:rPr>
        <w:t>(</w:t>
      </w:r>
      <w:r w:rsidRPr="003764AC">
        <w:rPr>
          <w:rStyle w:val="ae"/>
          <w:rFonts w:ascii="Traditional Arabic" w:hAnsi="Traditional Arabic"/>
          <w:sz w:val="32"/>
          <w:szCs w:val="32"/>
          <w:vertAlign w:val="baseline"/>
        </w:rPr>
        <w:footnoteRef/>
      </w:r>
      <w:r w:rsidRPr="003764AC">
        <w:rPr>
          <w:rFonts w:ascii="Traditional Arabic" w:hAnsi="Traditional Arabic"/>
          <w:sz w:val="32"/>
          <w:szCs w:val="32"/>
          <w:rtl/>
        </w:rPr>
        <w:t xml:space="preserve">) ما بين المعكوفتين ليس في الأصل, والمثبت من (ك) وهو موافق لمصدر القول. </w:t>
      </w:r>
    </w:p>
  </w:footnote>
  <w:footnote w:id="2012">
    <w:p w:rsidR="003F128F" w:rsidRPr="003764AC" w:rsidRDefault="003F128F" w:rsidP="008900CA">
      <w:pPr>
        <w:pStyle w:val="af3"/>
        <w:rPr>
          <w:rFonts w:ascii="Traditional Arabic" w:hAnsi="Traditional Arabic"/>
          <w:color w:val="auto"/>
          <w:sz w:val="32"/>
          <w:szCs w:val="32"/>
        </w:rPr>
      </w:pPr>
      <w:r w:rsidRPr="003764AC">
        <w:rPr>
          <w:rFonts w:ascii="Traditional Arabic" w:hAnsi="Traditional Arabic"/>
          <w:color w:val="auto"/>
          <w:sz w:val="32"/>
          <w:szCs w:val="32"/>
          <w:rtl/>
        </w:rPr>
        <w:t>(</w:t>
      </w:r>
      <w:r w:rsidRPr="003764AC">
        <w:rPr>
          <w:rStyle w:val="ae"/>
          <w:rFonts w:ascii="Traditional Arabic" w:hAnsi="Traditional Arabic"/>
          <w:color w:val="auto"/>
          <w:sz w:val="32"/>
          <w:szCs w:val="32"/>
          <w:vertAlign w:val="baseline"/>
        </w:rPr>
        <w:footnoteRef/>
      </w:r>
      <w:r w:rsidRPr="003764AC">
        <w:rPr>
          <w:rFonts w:ascii="Traditional Arabic" w:hAnsi="Traditional Arabic"/>
          <w:color w:val="auto"/>
          <w:sz w:val="32"/>
          <w:szCs w:val="32"/>
          <w:rtl/>
        </w:rPr>
        <w:t>) رموز الكنوز (4/382) بدون نسبة.</w:t>
      </w:r>
    </w:p>
  </w:footnote>
  <w:footnote w:id="2013">
    <w:p w:rsidR="003F128F" w:rsidRPr="00F715E4" w:rsidRDefault="003F128F" w:rsidP="008900CA">
      <w:pPr>
        <w:pStyle w:val="af3"/>
        <w:rPr>
          <w:rFonts w:ascii="Traditional Arabic" w:hAnsi="Traditional Arabic"/>
          <w:color w:val="auto"/>
          <w:sz w:val="32"/>
          <w:szCs w:val="32"/>
        </w:rPr>
      </w:pPr>
      <w:r w:rsidRPr="003764AC">
        <w:rPr>
          <w:rFonts w:ascii="Traditional Arabic" w:hAnsi="Traditional Arabic"/>
          <w:color w:val="auto"/>
          <w:sz w:val="32"/>
          <w:szCs w:val="32"/>
          <w:rtl/>
        </w:rPr>
        <w:t>(</w:t>
      </w:r>
      <w:r w:rsidRPr="003764AC">
        <w:rPr>
          <w:rStyle w:val="ae"/>
          <w:rFonts w:ascii="Traditional Arabic" w:hAnsi="Traditional Arabic"/>
          <w:color w:val="auto"/>
          <w:sz w:val="32"/>
          <w:szCs w:val="32"/>
          <w:vertAlign w:val="baseline"/>
        </w:rPr>
        <w:footnoteRef/>
      </w:r>
      <w:r w:rsidRPr="003764AC">
        <w:rPr>
          <w:rFonts w:ascii="Traditional Arabic" w:hAnsi="Traditional Arabic"/>
          <w:color w:val="auto"/>
          <w:sz w:val="32"/>
          <w:szCs w:val="32"/>
          <w:rtl/>
        </w:rPr>
        <w:t>) انظر: مختصر الشواذ (ص85), البحر المحيط (7/234), رموز الكنوز (4/382).</w:t>
      </w:r>
      <w:r w:rsidRPr="00F715E4">
        <w:rPr>
          <w:rFonts w:ascii="Traditional Arabic" w:hAnsi="Traditional Arabic"/>
          <w:color w:val="auto"/>
          <w:sz w:val="32"/>
          <w:szCs w:val="32"/>
          <w:rtl/>
        </w:rPr>
        <w:t xml:space="preserve"> </w:t>
      </w:r>
    </w:p>
  </w:footnote>
  <w:footnote w:id="2014">
    <w:p w:rsidR="003F128F" w:rsidRPr="00F715E4" w:rsidRDefault="003F128F" w:rsidP="008900CA">
      <w:pPr>
        <w:pStyle w:val="af3"/>
        <w:rPr>
          <w:rFonts w:ascii="Traditional Arabic" w:hAnsi="Traditional Arabic"/>
          <w:color w:val="auto"/>
          <w:sz w:val="32"/>
          <w:szCs w:val="32"/>
        </w:rPr>
      </w:pPr>
      <w:r w:rsidRPr="00F715E4">
        <w:rPr>
          <w:rFonts w:ascii="Traditional Arabic" w:hAnsi="Traditional Arabic"/>
          <w:color w:val="auto"/>
          <w:sz w:val="32"/>
          <w:szCs w:val="32"/>
          <w:rtl/>
        </w:rPr>
        <w:t>(</w:t>
      </w:r>
      <w:r w:rsidRPr="00F715E4">
        <w:rPr>
          <w:rStyle w:val="ae"/>
          <w:rFonts w:ascii="Traditional Arabic" w:hAnsi="Traditional Arabic"/>
          <w:color w:val="auto"/>
          <w:sz w:val="32"/>
          <w:szCs w:val="32"/>
          <w:vertAlign w:val="baseline"/>
        </w:rPr>
        <w:footnoteRef/>
      </w:r>
      <w:r w:rsidRPr="00F715E4">
        <w:rPr>
          <w:rFonts w:ascii="Traditional Arabic" w:hAnsi="Traditional Arabic"/>
          <w:color w:val="auto"/>
          <w:sz w:val="32"/>
          <w:szCs w:val="32"/>
          <w:rtl/>
        </w:rPr>
        <w:t xml:space="preserve">) انظر: الكشف والبيان (6/203), التفسير الوسيط (3/172), معالم التنزيل (5/213).  </w:t>
      </w:r>
    </w:p>
  </w:footnote>
  <w:footnote w:id="2015">
    <w:p w:rsidR="003F128F" w:rsidRPr="00F715E4" w:rsidRDefault="003F128F" w:rsidP="008900CA">
      <w:pPr>
        <w:pStyle w:val="af3"/>
        <w:rPr>
          <w:rFonts w:ascii="Traditional Arabic" w:hAnsi="Traditional Arabic"/>
          <w:color w:val="auto"/>
          <w:sz w:val="32"/>
          <w:szCs w:val="32"/>
        </w:rPr>
      </w:pPr>
      <w:r w:rsidRPr="00F715E4">
        <w:rPr>
          <w:rFonts w:ascii="Traditional Arabic" w:hAnsi="Traditional Arabic"/>
          <w:color w:val="auto"/>
          <w:sz w:val="32"/>
          <w:szCs w:val="32"/>
          <w:rtl/>
        </w:rPr>
        <w:t>(</w:t>
      </w:r>
      <w:r w:rsidRPr="00F715E4">
        <w:rPr>
          <w:rStyle w:val="ae"/>
          <w:rFonts w:ascii="Traditional Arabic" w:hAnsi="Traditional Arabic"/>
          <w:color w:val="auto"/>
          <w:sz w:val="32"/>
          <w:szCs w:val="32"/>
          <w:vertAlign w:val="baseline"/>
        </w:rPr>
        <w:footnoteRef/>
      </w:r>
      <w:r>
        <w:rPr>
          <w:rFonts w:ascii="Traditional Arabic" w:hAnsi="Traditional Arabic"/>
          <w:color w:val="auto"/>
          <w:sz w:val="32"/>
          <w:szCs w:val="32"/>
          <w:rtl/>
        </w:rPr>
        <w:t>) هو أبو عَبد</w:t>
      </w:r>
      <w:r w:rsidRPr="00F715E4">
        <w:rPr>
          <w:rFonts w:ascii="Traditional Arabic" w:hAnsi="Traditional Arabic"/>
          <w:color w:val="auto"/>
          <w:sz w:val="32"/>
          <w:szCs w:val="32"/>
          <w:rtl/>
        </w:rPr>
        <w:t>اللَّهِ</w:t>
      </w:r>
      <w:r>
        <w:rPr>
          <w:rFonts w:ascii="Traditional Arabic" w:hAnsi="Traditional Arabic" w:hint="cs"/>
          <w:color w:val="auto"/>
          <w:sz w:val="32"/>
          <w:szCs w:val="32"/>
          <w:rtl/>
        </w:rPr>
        <w:t>,</w:t>
      </w:r>
      <w:r w:rsidRPr="00F715E4">
        <w:rPr>
          <w:rFonts w:ascii="Traditional Arabic" w:hAnsi="Traditional Arabic"/>
          <w:color w:val="auto"/>
          <w:sz w:val="32"/>
          <w:szCs w:val="32"/>
          <w:rtl/>
        </w:rPr>
        <w:t xml:space="preserve"> جندب </w:t>
      </w:r>
      <w:r>
        <w:rPr>
          <w:rFonts w:ascii="Traditional Arabic" w:hAnsi="Traditional Arabic"/>
          <w:color w:val="auto"/>
          <w:sz w:val="32"/>
          <w:szCs w:val="32"/>
          <w:rtl/>
        </w:rPr>
        <w:t>بْن زهير -ويُقال: جندب بْن عَبد</w:t>
      </w:r>
      <w:r w:rsidRPr="00F715E4">
        <w:rPr>
          <w:rFonts w:ascii="Traditional Arabic" w:hAnsi="Traditional Arabic"/>
          <w:color w:val="auto"/>
          <w:sz w:val="32"/>
          <w:szCs w:val="32"/>
          <w:rtl/>
        </w:rPr>
        <w:t>اللَّهِ- بْن الحارث بْن كثير</w:t>
      </w:r>
      <w:r w:rsidRPr="00F715E4">
        <w:rPr>
          <w:rFonts w:ascii="Traditional Arabic" w:hAnsi="Traditional Arabic"/>
          <w:color w:val="auto"/>
          <w:sz w:val="32"/>
          <w:szCs w:val="32"/>
          <w:rtl/>
          <w:lang w:eastAsia="en-US"/>
        </w:rPr>
        <w:t xml:space="preserve"> </w:t>
      </w:r>
      <w:r w:rsidRPr="00F715E4">
        <w:rPr>
          <w:rFonts w:ascii="Traditional Arabic" w:hAnsi="Traditional Arabic"/>
          <w:color w:val="auto"/>
          <w:sz w:val="32"/>
          <w:szCs w:val="32"/>
          <w:rtl/>
        </w:rPr>
        <w:t>الأزدي الغامدي, الكُوْفِيُّ, مختلف في صحبته,</w:t>
      </w:r>
      <w:r w:rsidRPr="00F715E4">
        <w:rPr>
          <w:rFonts w:ascii="Traditional Arabic" w:hAnsi="Traditional Arabic"/>
          <w:color w:val="auto"/>
          <w:sz w:val="32"/>
          <w:szCs w:val="32"/>
          <w:rtl/>
          <w:lang w:eastAsia="en-US"/>
        </w:rPr>
        <w:t xml:space="preserve"> كان على رجالة علي </w:t>
      </w:r>
      <w:r w:rsidRPr="00F715E4">
        <w:rPr>
          <w:rFonts w:ascii="Traditional Arabic" w:hAnsi="Traditional Arabic"/>
          <w:color w:val="auto"/>
          <w:sz w:val="32"/>
          <w:szCs w:val="32"/>
          <w:lang w:eastAsia="en-US"/>
        </w:rPr>
        <w:sym w:font="AGA Arabesque" w:char="F074"/>
      </w:r>
      <w:r w:rsidRPr="00F715E4">
        <w:rPr>
          <w:rFonts w:ascii="Traditional Arabic" w:hAnsi="Traditional Arabic"/>
          <w:color w:val="auto"/>
          <w:sz w:val="32"/>
          <w:szCs w:val="32"/>
          <w:rtl/>
          <w:lang w:eastAsia="en-US"/>
        </w:rPr>
        <w:t xml:space="preserve"> ب</w:t>
      </w:r>
      <w:r>
        <w:rPr>
          <w:rFonts w:ascii="Traditional Arabic" w:hAnsi="Traditional Arabic"/>
          <w:color w:val="auto"/>
          <w:sz w:val="32"/>
          <w:szCs w:val="32"/>
          <w:rtl/>
          <w:lang w:eastAsia="en-US"/>
        </w:rPr>
        <w:t>صفين، وقتل بها، وكان معه</w:t>
      </w:r>
      <w:r w:rsidRPr="00F715E4">
        <w:rPr>
          <w:rFonts w:ascii="Traditional Arabic" w:hAnsi="Traditional Arabic"/>
          <w:color w:val="auto"/>
          <w:sz w:val="32"/>
          <w:szCs w:val="32"/>
          <w:rtl/>
          <w:lang w:eastAsia="en-US"/>
        </w:rPr>
        <w:t xml:space="preserve"> يوم الجمل على خيل الأزد, </w:t>
      </w:r>
      <w:r w:rsidRPr="00F715E4">
        <w:rPr>
          <w:rFonts w:ascii="Traditional Arabic" w:hAnsi="Traditional Arabic"/>
          <w:color w:val="auto"/>
          <w:sz w:val="32"/>
          <w:szCs w:val="32"/>
          <w:rtl/>
        </w:rPr>
        <w:t xml:space="preserve">(ت37ه). انظر: أسد الغابة (1/565)، تهذيب الكمال  (5/141). </w:t>
      </w:r>
    </w:p>
  </w:footnote>
  <w:footnote w:id="2016">
    <w:p w:rsidR="003F128F" w:rsidRPr="00F715E4" w:rsidRDefault="003F128F" w:rsidP="008900CA">
      <w:pPr>
        <w:ind w:firstLine="0"/>
        <w:rPr>
          <w:rFonts w:ascii="Traditional Arabic" w:hAnsi="Traditional Arabic"/>
          <w:color w:val="auto"/>
          <w:sz w:val="32"/>
          <w:szCs w:val="32"/>
        </w:rPr>
      </w:pPr>
      <w:r w:rsidRPr="00F715E4">
        <w:rPr>
          <w:rFonts w:ascii="Traditional Arabic" w:hAnsi="Traditional Arabic"/>
          <w:color w:val="auto"/>
          <w:sz w:val="32"/>
          <w:szCs w:val="32"/>
          <w:rtl/>
        </w:rPr>
        <w:t>(</w:t>
      </w:r>
      <w:r w:rsidRPr="00F715E4">
        <w:rPr>
          <w:rStyle w:val="ae"/>
          <w:rFonts w:ascii="Traditional Arabic" w:hAnsi="Traditional Arabic"/>
          <w:color w:val="auto"/>
          <w:sz w:val="32"/>
          <w:szCs w:val="32"/>
          <w:vertAlign w:val="baseline"/>
        </w:rPr>
        <w:footnoteRef/>
      </w:r>
      <w:r w:rsidRPr="00F715E4">
        <w:rPr>
          <w:rFonts w:ascii="Traditional Arabic" w:hAnsi="Traditional Arabic"/>
          <w:color w:val="auto"/>
          <w:sz w:val="32"/>
          <w:szCs w:val="32"/>
          <w:rtl/>
        </w:rPr>
        <w:t>)</w:t>
      </w:r>
      <w:r>
        <w:rPr>
          <w:rFonts w:ascii="Traditional Arabic" w:hAnsi="Traditional Arabic" w:hint="cs"/>
          <w:color w:val="auto"/>
          <w:sz w:val="32"/>
          <w:szCs w:val="32"/>
          <w:rtl/>
        </w:rPr>
        <w:t xml:space="preserve"> ذكره مقاتل في تفسيره (2/605), والثعلبي في الكشف والبيان (6/202), والماوردي في النكت والعيون (3/350),</w:t>
      </w:r>
      <w:r w:rsidRPr="00F715E4">
        <w:rPr>
          <w:rFonts w:ascii="Traditional Arabic" w:hAnsi="Traditional Arabic"/>
          <w:color w:val="auto"/>
          <w:sz w:val="32"/>
          <w:szCs w:val="32"/>
          <w:rtl/>
        </w:rPr>
        <w:t xml:space="preserve"> </w:t>
      </w:r>
      <w:r>
        <w:rPr>
          <w:rFonts w:ascii="Traditional Arabic" w:hAnsi="Traditional Arabic" w:hint="cs"/>
          <w:color w:val="auto"/>
          <w:sz w:val="32"/>
          <w:szCs w:val="32"/>
          <w:rtl/>
        </w:rPr>
        <w:t>و</w:t>
      </w:r>
      <w:r w:rsidRPr="00F715E4">
        <w:rPr>
          <w:rFonts w:ascii="Traditional Arabic" w:hAnsi="Traditional Arabic"/>
          <w:color w:val="auto"/>
          <w:sz w:val="32"/>
          <w:szCs w:val="32"/>
          <w:rtl/>
        </w:rPr>
        <w:t xml:space="preserve">الواحدي في </w:t>
      </w:r>
      <w:r>
        <w:rPr>
          <w:rFonts w:ascii="Traditional Arabic" w:hAnsi="Traditional Arabic"/>
          <w:color w:val="auto"/>
          <w:sz w:val="32"/>
          <w:szCs w:val="32"/>
          <w:rtl/>
        </w:rPr>
        <w:t>أسباب النزول</w:t>
      </w:r>
      <w:r w:rsidRPr="00F715E4">
        <w:rPr>
          <w:rFonts w:ascii="Traditional Arabic" w:hAnsi="Traditional Arabic"/>
          <w:color w:val="auto"/>
          <w:sz w:val="32"/>
          <w:szCs w:val="32"/>
          <w:rtl/>
        </w:rPr>
        <w:t xml:space="preserve"> </w:t>
      </w:r>
      <w:r>
        <w:rPr>
          <w:rFonts w:ascii="Traditional Arabic" w:hAnsi="Traditional Arabic" w:hint="cs"/>
          <w:color w:val="auto"/>
          <w:sz w:val="32"/>
          <w:szCs w:val="32"/>
          <w:rtl/>
        </w:rPr>
        <w:t xml:space="preserve">(ص215). قال في الاستيعاب (2/476): "وهذا موضوع, مَنْ دونَ ابن عباس </w:t>
      </w:r>
      <w:r>
        <w:rPr>
          <w:rFonts w:ascii="Traditional Arabic" w:hAnsi="Traditional Arabic" w:hint="cs"/>
          <w:color w:val="auto"/>
          <w:sz w:val="32"/>
          <w:szCs w:val="32"/>
        </w:rPr>
        <w:sym w:font="AGA Arabesque" w:char="F074"/>
      </w:r>
      <w:r>
        <w:rPr>
          <w:rFonts w:ascii="Traditional Arabic" w:hAnsi="Traditional Arabic"/>
          <w:color w:val="auto"/>
          <w:sz w:val="32"/>
          <w:szCs w:val="32"/>
          <w:rtl/>
        </w:rPr>
        <w:t xml:space="preserve"> </w:t>
      </w:r>
      <w:r>
        <w:rPr>
          <w:rFonts w:ascii="Traditional Arabic" w:hAnsi="Traditional Arabic" w:hint="cs"/>
          <w:color w:val="auto"/>
          <w:sz w:val="32"/>
          <w:szCs w:val="32"/>
          <w:rtl/>
        </w:rPr>
        <w:t>كذابون متهمون بالكذب".</w:t>
      </w:r>
    </w:p>
  </w:footnote>
  <w:footnote w:id="2017">
    <w:p w:rsidR="003F128F" w:rsidRPr="00F715E4" w:rsidRDefault="003F128F" w:rsidP="008900CA">
      <w:pPr>
        <w:ind w:firstLine="0"/>
        <w:rPr>
          <w:rFonts w:ascii="Traditional Arabic" w:hAnsi="Traditional Arabic"/>
          <w:color w:val="auto"/>
          <w:sz w:val="32"/>
          <w:szCs w:val="32"/>
        </w:rPr>
      </w:pPr>
      <w:r w:rsidRPr="00F715E4">
        <w:rPr>
          <w:rFonts w:ascii="Traditional Arabic" w:hAnsi="Traditional Arabic"/>
          <w:color w:val="auto"/>
          <w:sz w:val="32"/>
          <w:szCs w:val="32"/>
          <w:rtl/>
        </w:rPr>
        <w:t>(</w:t>
      </w:r>
      <w:r w:rsidRPr="00F715E4">
        <w:rPr>
          <w:rStyle w:val="ae"/>
          <w:rFonts w:ascii="Traditional Arabic" w:hAnsi="Traditional Arabic"/>
          <w:color w:val="auto"/>
          <w:sz w:val="32"/>
          <w:szCs w:val="32"/>
          <w:vertAlign w:val="baseline"/>
        </w:rPr>
        <w:footnoteRef/>
      </w:r>
      <w:r w:rsidRPr="00F715E4">
        <w:rPr>
          <w:rFonts w:ascii="Traditional Arabic" w:hAnsi="Traditional Arabic"/>
          <w:color w:val="auto"/>
          <w:sz w:val="32"/>
          <w:szCs w:val="32"/>
          <w:rtl/>
        </w:rPr>
        <w:t>)</w:t>
      </w:r>
      <w:r>
        <w:rPr>
          <w:rFonts w:ascii="Traditional Arabic" w:hAnsi="Traditional Arabic" w:hint="cs"/>
          <w:color w:val="auto"/>
          <w:sz w:val="32"/>
          <w:szCs w:val="32"/>
          <w:rtl/>
        </w:rPr>
        <w:t xml:space="preserve"> </w:t>
      </w:r>
      <w:r w:rsidRPr="00F715E4">
        <w:rPr>
          <w:rFonts w:ascii="Traditional Arabic" w:hAnsi="Traditional Arabic"/>
          <w:color w:val="auto"/>
          <w:sz w:val="32"/>
          <w:szCs w:val="32"/>
          <w:rtl/>
        </w:rPr>
        <w:t>أخرجه</w:t>
      </w:r>
      <w:r w:rsidRPr="00D47459">
        <w:rPr>
          <w:rFonts w:ascii="Traditional Arabic" w:hAnsi="Traditional Arabic"/>
          <w:color w:val="auto"/>
          <w:sz w:val="32"/>
          <w:szCs w:val="32"/>
          <w:rtl/>
        </w:rPr>
        <w:t xml:space="preserve"> </w:t>
      </w:r>
      <w:r w:rsidRPr="00F715E4">
        <w:rPr>
          <w:rFonts w:ascii="Traditional Arabic" w:hAnsi="Traditional Arabic"/>
          <w:color w:val="auto"/>
          <w:sz w:val="32"/>
          <w:szCs w:val="32"/>
          <w:rtl/>
        </w:rPr>
        <w:t xml:space="preserve">عبد الرزاق في </w:t>
      </w:r>
      <w:r>
        <w:rPr>
          <w:rFonts w:ascii="Traditional Arabic" w:hAnsi="Traditional Arabic"/>
          <w:color w:val="auto"/>
          <w:sz w:val="32"/>
          <w:szCs w:val="32"/>
          <w:rtl/>
        </w:rPr>
        <w:t>تفسيره</w:t>
      </w:r>
      <w:r w:rsidRPr="00F715E4">
        <w:rPr>
          <w:rFonts w:ascii="Traditional Arabic" w:hAnsi="Traditional Arabic"/>
          <w:color w:val="auto"/>
          <w:sz w:val="32"/>
          <w:szCs w:val="32"/>
          <w:rtl/>
        </w:rPr>
        <w:t xml:space="preserve"> </w:t>
      </w:r>
      <w:r>
        <w:rPr>
          <w:rFonts w:ascii="Traditional Arabic" w:hAnsi="Traditional Arabic" w:hint="cs"/>
          <w:color w:val="auto"/>
          <w:sz w:val="32"/>
          <w:szCs w:val="32"/>
          <w:rtl/>
        </w:rPr>
        <w:t>(2/347),</w:t>
      </w:r>
      <w:r w:rsidRPr="00F715E4">
        <w:rPr>
          <w:rFonts w:ascii="Traditional Arabic" w:hAnsi="Traditional Arabic"/>
          <w:color w:val="auto"/>
          <w:sz w:val="32"/>
          <w:szCs w:val="32"/>
          <w:rtl/>
        </w:rPr>
        <w:t xml:space="preserve"> </w:t>
      </w:r>
      <w:r>
        <w:rPr>
          <w:rFonts w:ascii="Traditional Arabic" w:hAnsi="Traditional Arabic" w:hint="cs"/>
          <w:color w:val="auto"/>
          <w:sz w:val="32"/>
          <w:szCs w:val="32"/>
          <w:rtl/>
        </w:rPr>
        <w:t>و</w:t>
      </w:r>
      <w:r w:rsidRPr="00F715E4">
        <w:rPr>
          <w:rFonts w:ascii="Traditional Arabic" w:hAnsi="Traditional Arabic"/>
          <w:color w:val="auto"/>
          <w:sz w:val="32"/>
          <w:szCs w:val="32"/>
          <w:rtl/>
        </w:rPr>
        <w:t>الطبري</w:t>
      </w:r>
      <w:r>
        <w:rPr>
          <w:rFonts w:ascii="Traditional Arabic" w:hAnsi="Traditional Arabic" w:hint="cs"/>
          <w:color w:val="auto"/>
          <w:sz w:val="32"/>
          <w:szCs w:val="32"/>
          <w:rtl/>
        </w:rPr>
        <w:t xml:space="preserve"> في تفسيره</w:t>
      </w:r>
      <w:r w:rsidRPr="00F715E4">
        <w:rPr>
          <w:rFonts w:ascii="Traditional Arabic" w:hAnsi="Traditional Arabic"/>
          <w:color w:val="auto"/>
          <w:sz w:val="32"/>
          <w:szCs w:val="32"/>
          <w:rtl/>
        </w:rPr>
        <w:t xml:space="preserve"> </w:t>
      </w:r>
      <w:r>
        <w:rPr>
          <w:rFonts w:ascii="Traditional Arabic" w:hAnsi="Traditional Arabic" w:hint="cs"/>
          <w:color w:val="auto"/>
          <w:sz w:val="32"/>
          <w:szCs w:val="32"/>
          <w:rtl/>
        </w:rPr>
        <w:t>(18/136), وابن أبي حاتم في تفسيره (7/2394),</w:t>
      </w:r>
      <w:r w:rsidRPr="00F715E4">
        <w:rPr>
          <w:rFonts w:ascii="Traditional Arabic" w:hAnsi="Traditional Arabic"/>
          <w:color w:val="auto"/>
          <w:sz w:val="32"/>
          <w:szCs w:val="32"/>
          <w:rtl/>
        </w:rPr>
        <w:t xml:space="preserve"> </w:t>
      </w:r>
      <w:r w:rsidRPr="00D47459">
        <w:rPr>
          <w:rFonts w:ascii="Traditional Arabic" w:hAnsi="Traditional Arabic" w:hint="cs"/>
          <w:color w:val="auto"/>
          <w:sz w:val="32"/>
          <w:szCs w:val="32"/>
          <w:rtl/>
        </w:rPr>
        <w:t>و</w:t>
      </w:r>
      <w:r w:rsidRPr="00D47459">
        <w:rPr>
          <w:rFonts w:ascii="Traditional Arabic" w:hAnsi="Traditional Arabic"/>
          <w:color w:val="auto"/>
          <w:sz w:val="32"/>
          <w:szCs w:val="32"/>
          <w:rtl/>
        </w:rPr>
        <w:t xml:space="preserve">الواحدي في أسباب النزول </w:t>
      </w:r>
      <w:r w:rsidRPr="00D47459">
        <w:rPr>
          <w:rFonts w:ascii="Traditional Arabic" w:hAnsi="Traditional Arabic" w:hint="cs"/>
          <w:color w:val="auto"/>
          <w:sz w:val="32"/>
          <w:szCs w:val="32"/>
          <w:rtl/>
        </w:rPr>
        <w:t>(</w:t>
      </w:r>
      <w:r>
        <w:rPr>
          <w:rFonts w:ascii="Traditional Arabic" w:hAnsi="Traditional Arabic" w:hint="cs"/>
          <w:color w:val="auto"/>
          <w:sz w:val="32"/>
          <w:szCs w:val="32"/>
          <w:rtl/>
        </w:rPr>
        <w:t xml:space="preserve">ص215) </w:t>
      </w:r>
      <w:r w:rsidRPr="00F715E4">
        <w:rPr>
          <w:rFonts w:ascii="Traditional Arabic" w:hAnsi="Traditional Arabic"/>
          <w:color w:val="auto"/>
          <w:sz w:val="32"/>
          <w:szCs w:val="32"/>
          <w:rtl/>
        </w:rPr>
        <w:t>عن طاو</w:t>
      </w:r>
      <w:r>
        <w:rPr>
          <w:rFonts w:ascii="Traditional Arabic" w:hAnsi="Traditional Arabic" w:hint="cs"/>
          <w:color w:val="auto"/>
          <w:sz w:val="32"/>
          <w:szCs w:val="32"/>
          <w:rtl/>
        </w:rPr>
        <w:t>و</w:t>
      </w:r>
      <w:r w:rsidRPr="00F715E4">
        <w:rPr>
          <w:rFonts w:ascii="Traditional Arabic" w:hAnsi="Traditional Arabic"/>
          <w:color w:val="auto"/>
          <w:sz w:val="32"/>
          <w:szCs w:val="32"/>
          <w:rtl/>
        </w:rPr>
        <w:t>س مرسلا.</w:t>
      </w:r>
      <w:r w:rsidRPr="00D47459">
        <w:rPr>
          <w:rFonts w:ascii="Traditional Arabic" w:hAnsi="Traditional Arabic" w:hint="cs"/>
          <w:color w:val="auto"/>
          <w:sz w:val="32"/>
          <w:szCs w:val="32"/>
          <w:rtl/>
        </w:rPr>
        <w:t xml:space="preserve"> </w:t>
      </w:r>
      <w:r>
        <w:rPr>
          <w:rFonts w:ascii="Traditional Arabic" w:hAnsi="Traditional Arabic" w:hint="cs"/>
          <w:color w:val="auto"/>
          <w:sz w:val="32"/>
          <w:szCs w:val="32"/>
          <w:rtl/>
        </w:rPr>
        <w:t>قال في الاستيعاب (2/477): "الحديث ضعيف لإرساله".</w:t>
      </w:r>
      <w:r w:rsidRPr="00F715E4">
        <w:rPr>
          <w:rFonts w:ascii="Traditional Arabic" w:hAnsi="Traditional Arabic"/>
          <w:color w:val="auto"/>
          <w:sz w:val="32"/>
          <w:szCs w:val="32"/>
        </w:rPr>
        <w:t xml:space="preserve"> </w:t>
      </w:r>
    </w:p>
  </w:footnote>
  <w:footnote w:id="2018">
    <w:p w:rsidR="003F128F" w:rsidRPr="00627FBC" w:rsidRDefault="003F128F" w:rsidP="008900CA">
      <w:pPr>
        <w:ind w:firstLine="0"/>
        <w:rPr>
          <w:rFonts w:ascii="Traditional Arabic" w:hAnsi="Traditional Arabic"/>
          <w:sz w:val="32"/>
          <w:szCs w:val="32"/>
        </w:rPr>
      </w:pPr>
      <w:r w:rsidRPr="00627FBC">
        <w:rPr>
          <w:rFonts w:ascii="Traditional Arabic" w:hAnsi="Traditional Arabic"/>
          <w:color w:val="auto"/>
          <w:sz w:val="32"/>
          <w:szCs w:val="32"/>
          <w:rtl/>
        </w:rPr>
        <w:t>(</w:t>
      </w:r>
      <w:r w:rsidRPr="00627FBC">
        <w:rPr>
          <w:rStyle w:val="ae"/>
          <w:rFonts w:ascii="Traditional Arabic" w:hAnsi="Traditional Arabic"/>
          <w:color w:val="auto"/>
          <w:sz w:val="32"/>
          <w:szCs w:val="32"/>
          <w:vertAlign w:val="baseline"/>
        </w:rPr>
        <w:footnoteRef/>
      </w:r>
      <w:r w:rsidRPr="00627FBC">
        <w:rPr>
          <w:rFonts w:ascii="Traditional Arabic" w:hAnsi="Traditional Arabic"/>
          <w:color w:val="auto"/>
          <w:sz w:val="32"/>
          <w:szCs w:val="32"/>
          <w:rtl/>
        </w:rPr>
        <w:t xml:space="preserve">) </w:t>
      </w:r>
      <w:r>
        <w:rPr>
          <w:rFonts w:ascii="Traditional Arabic" w:hAnsi="Traditional Arabic" w:hint="cs"/>
          <w:color w:val="auto"/>
          <w:sz w:val="32"/>
          <w:szCs w:val="32"/>
          <w:rtl/>
        </w:rPr>
        <w:t>أخرجه الطبري في تفسيره (18/136), و</w:t>
      </w:r>
      <w:r w:rsidRPr="00627FBC">
        <w:rPr>
          <w:rFonts w:ascii="Traditional Arabic" w:hAnsi="Traditional Arabic"/>
          <w:color w:val="auto"/>
          <w:sz w:val="32"/>
          <w:szCs w:val="32"/>
          <w:rtl/>
        </w:rPr>
        <w:t>الواحدي في التفسير الوسيط (3/172), و أسباب النزول (ص215)</w:t>
      </w:r>
      <w:r>
        <w:rPr>
          <w:rFonts w:ascii="Traditional Arabic" w:hAnsi="Traditional Arabic" w:hint="cs"/>
          <w:color w:val="auto"/>
          <w:sz w:val="32"/>
          <w:szCs w:val="32"/>
          <w:rtl/>
        </w:rPr>
        <w:t>, والسيوطي في الدر المنثور (5/469), ولباب النقول (ص145).</w:t>
      </w:r>
      <w:r w:rsidRPr="00627FBC">
        <w:rPr>
          <w:rFonts w:ascii="Traditional Arabic" w:hAnsi="Traditional Arabic"/>
          <w:color w:val="auto"/>
          <w:sz w:val="32"/>
          <w:szCs w:val="32"/>
          <w:rtl/>
        </w:rPr>
        <w:t xml:space="preserve"> </w:t>
      </w:r>
      <w:r>
        <w:rPr>
          <w:rFonts w:ascii="Traditional Arabic" w:hAnsi="Traditional Arabic" w:hint="cs"/>
          <w:color w:val="auto"/>
          <w:sz w:val="32"/>
          <w:szCs w:val="32"/>
          <w:rtl/>
        </w:rPr>
        <w:t>قال في الاستيعاب (2/477): "الحديث ضعيف لإرساله".</w:t>
      </w:r>
      <w:r w:rsidRPr="00627FBC">
        <w:rPr>
          <w:rFonts w:ascii="Traditional Arabic" w:hAnsi="Traditional Arabic"/>
          <w:color w:val="auto"/>
          <w:sz w:val="32"/>
          <w:szCs w:val="32"/>
        </w:rPr>
        <w:t xml:space="preserve"> </w:t>
      </w:r>
    </w:p>
  </w:footnote>
  <w:footnote w:id="2019">
    <w:p w:rsidR="003F128F" w:rsidRPr="00627FBC" w:rsidRDefault="003F128F" w:rsidP="008900CA">
      <w:pPr>
        <w:pStyle w:val="af3"/>
        <w:rPr>
          <w:rFonts w:ascii="Traditional Arabic" w:hAnsi="Traditional Arabic"/>
          <w:sz w:val="32"/>
          <w:szCs w:val="32"/>
        </w:rPr>
      </w:pPr>
      <w:r w:rsidRPr="00627FBC">
        <w:rPr>
          <w:rFonts w:ascii="Traditional Arabic" w:hAnsi="Traditional Arabic"/>
          <w:sz w:val="32"/>
          <w:szCs w:val="32"/>
          <w:rtl/>
        </w:rPr>
        <w:t>(</w:t>
      </w:r>
      <w:r w:rsidRPr="00627FBC">
        <w:rPr>
          <w:rStyle w:val="ae"/>
          <w:rFonts w:ascii="Traditional Arabic" w:hAnsi="Traditional Arabic"/>
          <w:sz w:val="32"/>
          <w:szCs w:val="32"/>
          <w:vertAlign w:val="baseline"/>
        </w:rPr>
        <w:footnoteRef/>
      </w:r>
      <w:r w:rsidRPr="00627FBC">
        <w:rPr>
          <w:rFonts w:ascii="Traditional Arabic" w:hAnsi="Traditional Arabic"/>
          <w:sz w:val="32"/>
          <w:szCs w:val="32"/>
          <w:rtl/>
        </w:rPr>
        <w:t>) انظر: غريب القرآن (ص2</w:t>
      </w:r>
      <w:r>
        <w:rPr>
          <w:rFonts w:ascii="Traditional Arabic" w:hAnsi="Traditional Arabic" w:hint="cs"/>
          <w:sz w:val="32"/>
          <w:szCs w:val="32"/>
          <w:rtl/>
        </w:rPr>
        <w:t>30</w:t>
      </w:r>
      <w:r w:rsidRPr="00627FBC">
        <w:rPr>
          <w:rFonts w:ascii="Traditional Arabic" w:hAnsi="Traditional Arabic"/>
          <w:sz w:val="32"/>
          <w:szCs w:val="32"/>
          <w:rtl/>
        </w:rPr>
        <w:t xml:space="preserve">).  </w:t>
      </w:r>
    </w:p>
  </w:footnote>
  <w:footnote w:id="2020">
    <w:p w:rsidR="003F128F" w:rsidRPr="00627FBC" w:rsidRDefault="003F128F" w:rsidP="008900CA">
      <w:pPr>
        <w:pStyle w:val="af3"/>
        <w:rPr>
          <w:rFonts w:ascii="Traditional Arabic" w:hAnsi="Traditional Arabic"/>
          <w:sz w:val="32"/>
          <w:szCs w:val="32"/>
        </w:rPr>
      </w:pPr>
      <w:r w:rsidRPr="00627FBC">
        <w:rPr>
          <w:rFonts w:ascii="Traditional Arabic" w:hAnsi="Traditional Arabic"/>
          <w:sz w:val="32"/>
          <w:szCs w:val="32"/>
          <w:rtl/>
        </w:rPr>
        <w:t>(</w:t>
      </w:r>
      <w:r w:rsidRPr="00627FBC">
        <w:rPr>
          <w:rStyle w:val="ae"/>
          <w:rFonts w:ascii="Traditional Arabic" w:hAnsi="Traditional Arabic"/>
          <w:sz w:val="32"/>
          <w:szCs w:val="32"/>
          <w:vertAlign w:val="baseline"/>
        </w:rPr>
        <w:footnoteRef/>
      </w:r>
      <w:r w:rsidRPr="00627FBC">
        <w:rPr>
          <w:rFonts w:ascii="Traditional Arabic" w:hAnsi="Traditional Arabic"/>
          <w:sz w:val="32"/>
          <w:szCs w:val="32"/>
          <w:rtl/>
        </w:rPr>
        <w:t>) انظر: معاني القرآن وإعرابه (3/31</w:t>
      </w:r>
      <w:r>
        <w:rPr>
          <w:rFonts w:ascii="Traditional Arabic" w:hAnsi="Traditional Arabic" w:hint="cs"/>
          <w:sz w:val="32"/>
          <w:szCs w:val="32"/>
          <w:rtl/>
        </w:rPr>
        <w:t>6</w:t>
      </w:r>
      <w:r w:rsidRPr="00627FBC">
        <w:rPr>
          <w:rFonts w:ascii="Traditional Arabic" w:hAnsi="Traditional Arabic"/>
          <w:sz w:val="32"/>
          <w:szCs w:val="32"/>
          <w:rtl/>
        </w:rPr>
        <w:t>).</w:t>
      </w:r>
    </w:p>
  </w:footnote>
  <w:footnote w:id="2021">
    <w:p w:rsidR="003F128F" w:rsidRPr="00627FBC" w:rsidRDefault="003F128F" w:rsidP="008900CA">
      <w:pPr>
        <w:pStyle w:val="af3"/>
        <w:rPr>
          <w:rFonts w:ascii="Traditional Arabic" w:hAnsi="Traditional Arabic"/>
          <w:sz w:val="32"/>
          <w:szCs w:val="32"/>
        </w:rPr>
      </w:pPr>
      <w:r w:rsidRPr="00627FBC">
        <w:rPr>
          <w:rFonts w:ascii="Traditional Arabic" w:hAnsi="Traditional Arabic"/>
          <w:sz w:val="32"/>
          <w:szCs w:val="32"/>
          <w:rtl/>
        </w:rPr>
        <w:t>(</w:t>
      </w:r>
      <w:r w:rsidRPr="00627FBC">
        <w:rPr>
          <w:rStyle w:val="ae"/>
          <w:rFonts w:ascii="Traditional Arabic" w:hAnsi="Traditional Arabic"/>
          <w:sz w:val="32"/>
          <w:szCs w:val="32"/>
          <w:vertAlign w:val="baseline"/>
        </w:rPr>
        <w:footnoteRef/>
      </w:r>
      <w:r w:rsidRPr="00627FBC">
        <w:rPr>
          <w:rFonts w:ascii="Traditional Arabic" w:hAnsi="Traditional Arabic"/>
          <w:sz w:val="32"/>
          <w:szCs w:val="32"/>
          <w:rtl/>
        </w:rPr>
        <w:t xml:space="preserve">) </w:t>
      </w:r>
      <w:r>
        <w:rPr>
          <w:rFonts w:ascii="Traditional Arabic" w:hAnsi="Traditional Arabic" w:hint="cs"/>
          <w:sz w:val="32"/>
          <w:szCs w:val="32"/>
          <w:rtl/>
        </w:rPr>
        <w:t>ذكر بنحوه</w:t>
      </w:r>
      <w:r w:rsidRPr="008C5BDC">
        <w:rPr>
          <w:rFonts w:ascii="Traditional Arabic" w:hAnsi="Traditional Arabic" w:hint="cs"/>
          <w:color w:val="auto"/>
          <w:sz w:val="32"/>
          <w:szCs w:val="32"/>
          <w:rtl/>
        </w:rPr>
        <w:t xml:space="preserve"> </w:t>
      </w:r>
      <w:r>
        <w:rPr>
          <w:rFonts w:ascii="Traditional Arabic" w:hAnsi="Traditional Arabic" w:hint="cs"/>
          <w:color w:val="auto"/>
          <w:sz w:val="32"/>
          <w:szCs w:val="32"/>
          <w:rtl/>
        </w:rPr>
        <w:t>الطبري في تفسيره (18/136)</w:t>
      </w:r>
      <w:r>
        <w:rPr>
          <w:rFonts w:ascii="Traditional Arabic" w:hAnsi="Traditional Arabic" w:hint="cs"/>
          <w:sz w:val="32"/>
          <w:szCs w:val="32"/>
          <w:rtl/>
        </w:rPr>
        <w:t>, ومكي في الهداية (6/4484), والماوردي في النكت والعيون (3/350) عن سعيد بن جبير به.</w:t>
      </w:r>
    </w:p>
  </w:footnote>
  <w:footnote w:id="2022">
    <w:p w:rsidR="003F128F" w:rsidRPr="00627FBC" w:rsidRDefault="003F128F" w:rsidP="008900CA">
      <w:pPr>
        <w:pStyle w:val="af3"/>
        <w:rPr>
          <w:rFonts w:ascii="Traditional Arabic" w:hAnsi="Traditional Arabic"/>
          <w:sz w:val="32"/>
          <w:szCs w:val="32"/>
        </w:rPr>
      </w:pPr>
      <w:r w:rsidRPr="00627FBC">
        <w:rPr>
          <w:rFonts w:ascii="Traditional Arabic" w:hAnsi="Traditional Arabic"/>
          <w:sz w:val="32"/>
          <w:szCs w:val="32"/>
          <w:rtl/>
        </w:rPr>
        <w:t>(</w:t>
      </w:r>
      <w:r w:rsidRPr="00627FBC">
        <w:rPr>
          <w:rStyle w:val="ae"/>
          <w:rFonts w:ascii="Traditional Arabic" w:hAnsi="Traditional Arabic"/>
          <w:sz w:val="32"/>
          <w:szCs w:val="32"/>
          <w:vertAlign w:val="baseline"/>
        </w:rPr>
        <w:footnoteRef/>
      </w:r>
      <w:r w:rsidRPr="00627FBC">
        <w:rPr>
          <w:rFonts w:ascii="Traditional Arabic" w:hAnsi="Traditional Arabic"/>
          <w:sz w:val="32"/>
          <w:szCs w:val="32"/>
          <w:rtl/>
        </w:rPr>
        <w:t xml:space="preserve">) </w:t>
      </w:r>
      <w:r>
        <w:rPr>
          <w:rFonts w:ascii="Traditional Arabic" w:hAnsi="Traditional Arabic" w:hint="cs"/>
          <w:sz w:val="32"/>
          <w:szCs w:val="32"/>
          <w:rtl/>
        </w:rPr>
        <w:t xml:space="preserve">انظر: تفسير مقاتل (2/605), </w:t>
      </w:r>
      <w:r>
        <w:rPr>
          <w:rFonts w:ascii="Traditional Arabic" w:hAnsi="Traditional Arabic" w:hint="cs"/>
          <w:color w:val="auto"/>
          <w:sz w:val="32"/>
          <w:szCs w:val="32"/>
          <w:rtl/>
        </w:rPr>
        <w:t>بحر العلوم (2/365),</w:t>
      </w:r>
      <w:r w:rsidRPr="008C5BDC">
        <w:rPr>
          <w:rFonts w:ascii="Traditional Arabic" w:hAnsi="Traditional Arabic"/>
          <w:sz w:val="32"/>
          <w:szCs w:val="32"/>
          <w:rtl/>
        </w:rPr>
        <w:t xml:space="preserve"> الهداية (6/448</w:t>
      </w:r>
      <w:r>
        <w:rPr>
          <w:rFonts w:ascii="Traditional Arabic" w:hAnsi="Traditional Arabic" w:hint="cs"/>
          <w:sz w:val="32"/>
          <w:szCs w:val="32"/>
          <w:rtl/>
        </w:rPr>
        <w:t>4</w:t>
      </w:r>
      <w:r w:rsidRPr="008C5BDC">
        <w:rPr>
          <w:rFonts w:ascii="Traditional Arabic" w:hAnsi="Traditional Arabic"/>
          <w:sz w:val="32"/>
          <w:szCs w:val="32"/>
          <w:rtl/>
        </w:rPr>
        <w:t xml:space="preserve">). </w:t>
      </w:r>
      <w:r w:rsidRPr="00627FBC">
        <w:rPr>
          <w:rFonts w:ascii="Traditional Arabic" w:hAnsi="Traditional Arabic"/>
          <w:sz w:val="32"/>
          <w:szCs w:val="32"/>
          <w:rtl/>
        </w:rPr>
        <w:t xml:space="preserve"> </w:t>
      </w:r>
    </w:p>
  </w:footnote>
  <w:footnote w:id="2023">
    <w:p w:rsidR="003F128F" w:rsidRPr="00627FBC" w:rsidRDefault="003F128F" w:rsidP="008900CA">
      <w:pPr>
        <w:pStyle w:val="af3"/>
        <w:rPr>
          <w:rFonts w:ascii="Traditional Arabic" w:hAnsi="Traditional Arabic"/>
          <w:sz w:val="32"/>
          <w:szCs w:val="32"/>
        </w:rPr>
      </w:pPr>
      <w:r w:rsidRPr="00627FBC">
        <w:rPr>
          <w:rFonts w:ascii="Traditional Arabic" w:hAnsi="Traditional Arabic"/>
          <w:sz w:val="32"/>
          <w:szCs w:val="32"/>
          <w:rtl/>
        </w:rPr>
        <w:t>(</w:t>
      </w:r>
      <w:r w:rsidRPr="00627FBC">
        <w:rPr>
          <w:rStyle w:val="ae"/>
          <w:rFonts w:ascii="Traditional Arabic" w:hAnsi="Traditional Arabic"/>
          <w:sz w:val="32"/>
          <w:szCs w:val="32"/>
          <w:vertAlign w:val="baseline"/>
        </w:rPr>
        <w:footnoteRef/>
      </w:r>
      <w:r w:rsidRPr="00627FBC">
        <w:rPr>
          <w:rFonts w:ascii="Traditional Arabic" w:hAnsi="Traditional Arabic"/>
          <w:sz w:val="32"/>
          <w:szCs w:val="32"/>
          <w:rtl/>
        </w:rPr>
        <w:t>)</w:t>
      </w:r>
      <w:r w:rsidRPr="00627FBC">
        <w:rPr>
          <w:rFonts w:ascii="Traditional Arabic" w:hAnsi="Traditional Arabic"/>
          <w:color w:val="auto"/>
          <w:sz w:val="32"/>
          <w:szCs w:val="32"/>
          <w:rtl/>
        </w:rPr>
        <w:t xml:space="preserve"> انظر: تفسير عبد الرزاق (2/347), التفسير الوسيط (3/172)</w:t>
      </w:r>
      <w:r>
        <w:rPr>
          <w:rFonts w:ascii="Traditional Arabic" w:hAnsi="Traditional Arabic" w:hint="cs"/>
          <w:color w:val="auto"/>
          <w:sz w:val="32"/>
          <w:szCs w:val="32"/>
          <w:rtl/>
        </w:rPr>
        <w:t>, المحرر الوجيز (3/547).</w:t>
      </w:r>
    </w:p>
  </w:footnote>
  <w:footnote w:id="2024">
    <w:p w:rsidR="003F128F" w:rsidRPr="00627FBC" w:rsidRDefault="003F128F" w:rsidP="008900CA">
      <w:pPr>
        <w:pStyle w:val="af3"/>
        <w:rPr>
          <w:rFonts w:ascii="Traditional Arabic" w:hAnsi="Traditional Arabic"/>
          <w:sz w:val="32"/>
          <w:szCs w:val="32"/>
        </w:rPr>
      </w:pPr>
      <w:r w:rsidRPr="00627FBC">
        <w:rPr>
          <w:rFonts w:ascii="Traditional Arabic" w:hAnsi="Traditional Arabic"/>
          <w:sz w:val="32"/>
          <w:szCs w:val="32"/>
          <w:rtl/>
        </w:rPr>
        <w:t>(</w:t>
      </w:r>
      <w:r w:rsidRPr="00627FBC">
        <w:rPr>
          <w:rStyle w:val="ae"/>
          <w:rFonts w:ascii="Traditional Arabic" w:hAnsi="Traditional Arabic"/>
          <w:sz w:val="32"/>
          <w:szCs w:val="32"/>
          <w:vertAlign w:val="baseline"/>
        </w:rPr>
        <w:footnoteRef/>
      </w:r>
      <w:r w:rsidRPr="00627FBC">
        <w:rPr>
          <w:rFonts w:ascii="Traditional Arabic" w:hAnsi="Traditional Arabic"/>
          <w:sz w:val="32"/>
          <w:szCs w:val="32"/>
          <w:rtl/>
        </w:rPr>
        <w:t xml:space="preserve">) هو </w:t>
      </w:r>
      <w:r w:rsidRPr="00627FBC">
        <w:rPr>
          <w:rFonts w:ascii="Traditional Arabic" w:hAnsi="Traditional Arabic"/>
          <w:color w:val="auto"/>
          <w:sz w:val="32"/>
          <w:szCs w:val="32"/>
          <w:rtl/>
        </w:rPr>
        <w:t xml:space="preserve">صاحب رسول الله </w:t>
      </w:r>
      <w:r w:rsidRPr="00627FBC">
        <w:rPr>
          <w:rFonts w:ascii="Traditional Arabic" w:hAnsi="Traditional Arabic"/>
          <w:color w:val="auto"/>
          <w:sz w:val="32"/>
          <w:szCs w:val="32"/>
        </w:rPr>
        <w:sym w:font="AGA Arabesque" w:char="F072"/>
      </w:r>
      <w:r>
        <w:rPr>
          <w:rFonts w:ascii="Traditional Arabic" w:hAnsi="Traditional Arabic" w:hint="cs"/>
          <w:color w:val="auto"/>
          <w:sz w:val="32"/>
          <w:szCs w:val="32"/>
          <w:rtl/>
        </w:rPr>
        <w:t>,</w:t>
      </w:r>
      <w:r w:rsidRPr="00627FBC">
        <w:rPr>
          <w:rFonts w:ascii="Traditional Arabic" w:hAnsi="Traditional Arabic"/>
          <w:color w:val="auto"/>
          <w:sz w:val="32"/>
          <w:szCs w:val="32"/>
          <w:rtl/>
        </w:rPr>
        <w:t xml:space="preserve"> أبو عبد الرحمن</w:t>
      </w:r>
      <w:r>
        <w:rPr>
          <w:rFonts w:ascii="Traditional Arabic" w:hAnsi="Traditional Arabic" w:hint="cs"/>
          <w:color w:val="auto"/>
          <w:sz w:val="32"/>
          <w:szCs w:val="32"/>
          <w:rtl/>
        </w:rPr>
        <w:t>,</w:t>
      </w:r>
      <w:r w:rsidRPr="00627FBC">
        <w:rPr>
          <w:rFonts w:ascii="Traditional Arabic" w:hAnsi="Traditional Arabic"/>
          <w:color w:val="auto"/>
          <w:sz w:val="32"/>
          <w:szCs w:val="32"/>
          <w:rtl/>
        </w:rPr>
        <w:t xml:space="preserve"> </w:t>
      </w:r>
      <w:r w:rsidRPr="00627FBC">
        <w:rPr>
          <w:rFonts w:ascii="Traditional Arabic" w:hAnsi="Traditional Arabic"/>
          <w:sz w:val="32"/>
          <w:szCs w:val="32"/>
          <w:rtl/>
        </w:rPr>
        <w:t>معاوية بْن صخر بْن حرب بْن أمية القرشي, الأموي, أمير المؤمنين, أسلم هو وأبوه وأمه يوم الفتح، وقيل: أنه أسلم زمن الحديبية،</w:t>
      </w:r>
      <w:r w:rsidRPr="00627FBC">
        <w:rPr>
          <w:rFonts w:ascii="Traditional Arabic" w:hAnsi="Traditional Arabic"/>
          <w:sz w:val="32"/>
          <w:szCs w:val="32"/>
          <w:rtl/>
          <w:lang w:eastAsia="en-US"/>
        </w:rPr>
        <w:t xml:space="preserve"> من مشاهير الصحابة, </w:t>
      </w:r>
      <w:r w:rsidRPr="00627FBC">
        <w:rPr>
          <w:rFonts w:ascii="Traditional Arabic" w:hAnsi="Traditional Arabic"/>
          <w:sz w:val="32"/>
          <w:szCs w:val="32"/>
          <w:rtl/>
        </w:rPr>
        <w:t>(ت60ه). انظر: أسد الغابة (5/201)، تهذيب الكمال  (28/177), سير أعلام النبلاء (3/120).</w:t>
      </w:r>
    </w:p>
  </w:footnote>
  <w:footnote w:id="2025">
    <w:p w:rsidR="003F128F" w:rsidRPr="006057A8" w:rsidRDefault="003F128F" w:rsidP="008900CA">
      <w:pPr>
        <w:pStyle w:val="af3"/>
        <w:rPr>
          <w:rFonts w:ascii="Tahoma" w:hAnsi="Tahoma"/>
        </w:rPr>
      </w:pPr>
      <w:r w:rsidRPr="00627FBC">
        <w:rPr>
          <w:rFonts w:ascii="Traditional Arabic" w:hAnsi="Traditional Arabic"/>
          <w:sz w:val="32"/>
          <w:szCs w:val="32"/>
          <w:rtl/>
        </w:rPr>
        <w:t>(</w:t>
      </w:r>
      <w:r w:rsidRPr="00627FBC">
        <w:rPr>
          <w:rStyle w:val="ae"/>
          <w:rFonts w:ascii="Traditional Arabic" w:hAnsi="Traditional Arabic"/>
          <w:sz w:val="32"/>
          <w:szCs w:val="32"/>
          <w:vertAlign w:val="baseline"/>
        </w:rPr>
        <w:footnoteRef/>
      </w:r>
      <w:r w:rsidRPr="00627FBC">
        <w:rPr>
          <w:rFonts w:ascii="Traditional Arabic" w:hAnsi="Traditional Arabic"/>
          <w:sz w:val="32"/>
          <w:szCs w:val="32"/>
          <w:rtl/>
        </w:rPr>
        <w:t>) تفسير الطبري (18/136), الكشف والبيان (6/204), الهداية (6/4486).</w:t>
      </w:r>
      <w:r>
        <w:rPr>
          <w:rFonts w:ascii="Tahoma" w:hAnsi="Tahoma"/>
          <w:rtl/>
        </w:rPr>
        <w:t xml:space="preserve"> </w:t>
      </w:r>
    </w:p>
  </w:footnote>
  <w:footnote w:id="2026">
    <w:p w:rsidR="003F128F" w:rsidRPr="005B581E" w:rsidRDefault="003F128F" w:rsidP="0063006E">
      <w:pPr>
        <w:pStyle w:val="af3"/>
        <w:rPr>
          <w:rFonts w:ascii="Traditional Arabic" w:hAnsi="Traditional Arabic"/>
          <w:color w:val="auto"/>
          <w:sz w:val="32"/>
          <w:szCs w:val="32"/>
        </w:rPr>
      </w:pPr>
      <w:r w:rsidRPr="005B581E">
        <w:rPr>
          <w:rFonts w:ascii="Traditional Arabic" w:hAnsi="Traditional Arabic"/>
          <w:color w:val="auto"/>
          <w:sz w:val="32"/>
          <w:szCs w:val="32"/>
          <w:rtl/>
        </w:rPr>
        <w:t>(</w:t>
      </w:r>
      <w:r w:rsidRPr="005B581E">
        <w:rPr>
          <w:rStyle w:val="ae"/>
          <w:rFonts w:ascii="Traditional Arabic" w:hAnsi="Traditional Arabic"/>
          <w:color w:val="auto"/>
          <w:sz w:val="32"/>
          <w:szCs w:val="32"/>
          <w:vertAlign w:val="baseline"/>
        </w:rPr>
        <w:footnoteRef/>
      </w:r>
      <w:r w:rsidRPr="005B581E">
        <w:rPr>
          <w:rFonts w:ascii="Traditional Arabic" w:hAnsi="Traditional Arabic"/>
          <w:color w:val="auto"/>
          <w:sz w:val="32"/>
          <w:szCs w:val="32"/>
          <w:rtl/>
        </w:rPr>
        <w:t>) انظر: تفسير يحيى بن سلام (1/213), الناسخ والم</w:t>
      </w:r>
      <w:r>
        <w:rPr>
          <w:rFonts w:ascii="Traditional Arabic" w:hAnsi="Traditional Arabic" w:hint="cs"/>
          <w:color w:val="auto"/>
          <w:sz w:val="32"/>
          <w:szCs w:val="32"/>
          <w:rtl/>
        </w:rPr>
        <w:t>ن</w:t>
      </w:r>
      <w:r w:rsidRPr="005B581E">
        <w:rPr>
          <w:rFonts w:ascii="Traditional Arabic" w:hAnsi="Traditional Arabic"/>
          <w:color w:val="auto"/>
          <w:sz w:val="32"/>
          <w:szCs w:val="32"/>
          <w:rtl/>
        </w:rPr>
        <w:t xml:space="preserve">سوخ للنحاس (ص555), </w:t>
      </w:r>
      <w:r>
        <w:rPr>
          <w:rFonts w:ascii="Traditional Arabic" w:hAnsi="Traditional Arabic" w:hint="cs"/>
          <w:color w:val="auto"/>
          <w:sz w:val="32"/>
          <w:szCs w:val="32"/>
          <w:rtl/>
        </w:rPr>
        <w:t>المحرر الوجيز (4/3).</w:t>
      </w:r>
    </w:p>
  </w:footnote>
  <w:footnote w:id="2027">
    <w:p w:rsidR="003F128F" w:rsidRPr="005B581E" w:rsidRDefault="003F128F" w:rsidP="0063006E">
      <w:pPr>
        <w:pStyle w:val="af3"/>
        <w:rPr>
          <w:rFonts w:ascii="Traditional Arabic" w:hAnsi="Traditional Arabic"/>
          <w:color w:val="auto"/>
          <w:sz w:val="32"/>
          <w:szCs w:val="32"/>
        </w:rPr>
      </w:pPr>
      <w:r w:rsidRPr="005B581E">
        <w:rPr>
          <w:rFonts w:ascii="Traditional Arabic" w:hAnsi="Traditional Arabic"/>
          <w:color w:val="auto"/>
          <w:sz w:val="32"/>
          <w:szCs w:val="32"/>
          <w:rtl/>
        </w:rPr>
        <w:t>(</w:t>
      </w:r>
      <w:r w:rsidRPr="005B581E">
        <w:rPr>
          <w:rStyle w:val="ae"/>
          <w:rFonts w:ascii="Traditional Arabic" w:hAnsi="Traditional Arabic"/>
          <w:color w:val="auto"/>
          <w:sz w:val="32"/>
          <w:szCs w:val="32"/>
          <w:vertAlign w:val="baseline"/>
        </w:rPr>
        <w:footnoteRef/>
      </w:r>
      <w:r w:rsidRPr="005B581E">
        <w:rPr>
          <w:rFonts w:ascii="Traditional Arabic" w:hAnsi="Traditional Arabic"/>
          <w:color w:val="auto"/>
          <w:sz w:val="32"/>
          <w:szCs w:val="32"/>
          <w:rtl/>
        </w:rPr>
        <w:t xml:space="preserve">) انظر: تفسير مقاتل (2/619). </w:t>
      </w:r>
    </w:p>
  </w:footnote>
  <w:footnote w:id="2028">
    <w:p w:rsidR="003F128F" w:rsidRPr="005B581E" w:rsidRDefault="003F128F" w:rsidP="0063006E">
      <w:pPr>
        <w:pStyle w:val="af3"/>
        <w:rPr>
          <w:rFonts w:ascii="Traditional Arabic" w:hAnsi="Traditional Arabic"/>
          <w:color w:val="auto"/>
          <w:sz w:val="32"/>
          <w:szCs w:val="32"/>
        </w:rPr>
      </w:pPr>
      <w:r w:rsidRPr="005B581E">
        <w:rPr>
          <w:rFonts w:ascii="Traditional Arabic" w:hAnsi="Traditional Arabic"/>
          <w:color w:val="auto"/>
          <w:sz w:val="32"/>
          <w:szCs w:val="32"/>
          <w:rtl/>
        </w:rPr>
        <w:t>(</w:t>
      </w:r>
      <w:r w:rsidRPr="005B581E">
        <w:rPr>
          <w:rStyle w:val="ae"/>
          <w:rFonts w:ascii="Traditional Arabic" w:hAnsi="Traditional Arabic"/>
          <w:color w:val="auto"/>
          <w:sz w:val="32"/>
          <w:szCs w:val="32"/>
          <w:vertAlign w:val="baseline"/>
        </w:rPr>
        <w:footnoteRef/>
      </w:r>
      <w:r w:rsidRPr="005B581E">
        <w:rPr>
          <w:rFonts w:ascii="Traditional Arabic" w:hAnsi="Traditional Arabic"/>
          <w:color w:val="auto"/>
          <w:sz w:val="32"/>
          <w:szCs w:val="32"/>
          <w:rtl/>
        </w:rPr>
        <w:t xml:space="preserve">) </w:t>
      </w:r>
      <w:r>
        <w:rPr>
          <w:rFonts w:ascii="Traditional Arabic" w:hAnsi="Traditional Arabic" w:hint="cs"/>
          <w:color w:val="auto"/>
          <w:sz w:val="32"/>
          <w:szCs w:val="32"/>
          <w:rtl/>
        </w:rPr>
        <w:t>هو الإ</w:t>
      </w:r>
      <w:r w:rsidRPr="005B581E">
        <w:rPr>
          <w:rFonts w:ascii="Traditional Arabic" w:hAnsi="Traditional Arabic" w:hint="cs"/>
          <w:color w:val="auto"/>
          <w:sz w:val="32"/>
          <w:szCs w:val="32"/>
          <w:rtl/>
        </w:rPr>
        <w:t xml:space="preserve">مام </w:t>
      </w:r>
      <w:r w:rsidRPr="005B581E">
        <w:rPr>
          <w:rFonts w:ascii="Traditional Arabic" w:hAnsi="Traditional Arabic"/>
          <w:color w:val="auto"/>
          <w:sz w:val="32"/>
          <w:szCs w:val="32"/>
          <w:rtl/>
        </w:rPr>
        <w:t>أبو القاسم</w:t>
      </w:r>
      <w:r>
        <w:rPr>
          <w:rFonts w:ascii="Traditional Arabic" w:hAnsi="Traditional Arabic" w:hint="cs"/>
          <w:color w:val="auto"/>
          <w:sz w:val="32"/>
          <w:szCs w:val="32"/>
          <w:rtl/>
        </w:rPr>
        <w:t>,</w:t>
      </w:r>
      <w:r w:rsidRPr="005B581E">
        <w:rPr>
          <w:rFonts w:ascii="Traditional Arabic" w:hAnsi="Traditional Arabic"/>
          <w:color w:val="auto"/>
          <w:sz w:val="32"/>
          <w:szCs w:val="32"/>
          <w:rtl/>
        </w:rPr>
        <w:t xml:space="preserve"> هبة الله بن سلامة بن نصر بن علي البغدادي</w:t>
      </w:r>
      <w:r>
        <w:rPr>
          <w:rFonts w:ascii="Traditional Arabic" w:hAnsi="Traditional Arabic" w:hint="cs"/>
          <w:color w:val="auto"/>
          <w:sz w:val="32"/>
          <w:szCs w:val="32"/>
          <w:rtl/>
        </w:rPr>
        <w:t>, الضرير,</w:t>
      </w:r>
      <w:r w:rsidRPr="005B581E">
        <w:rPr>
          <w:rFonts w:ascii="Traditional Arabic" w:hAnsi="Traditional Arabic"/>
          <w:color w:val="auto"/>
          <w:sz w:val="32"/>
          <w:szCs w:val="32"/>
          <w:rtl/>
        </w:rPr>
        <w:t xml:space="preserve"> المقري</w:t>
      </w:r>
      <w:r w:rsidRPr="005B581E">
        <w:rPr>
          <w:rFonts w:ascii="Traditional Arabic" w:hAnsi="Traditional Arabic" w:hint="cs"/>
          <w:color w:val="auto"/>
          <w:sz w:val="32"/>
          <w:szCs w:val="32"/>
          <w:rtl/>
        </w:rPr>
        <w:t>,</w:t>
      </w:r>
      <w:r w:rsidRPr="005B581E">
        <w:rPr>
          <w:rFonts w:ascii="Traditional Arabic" w:hAnsi="Traditional Arabic"/>
          <w:color w:val="auto"/>
          <w:sz w:val="32"/>
          <w:szCs w:val="32"/>
          <w:rtl/>
        </w:rPr>
        <w:t xml:space="preserve"> النحوي</w:t>
      </w:r>
      <w:r>
        <w:rPr>
          <w:rFonts w:ascii="Traditional Arabic" w:hAnsi="Traditional Arabic" w:hint="cs"/>
          <w:color w:val="auto"/>
          <w:sz w:val="32"/>
          <w:szCs w:val="32"/>
          <w:rtl/>
        </w:rPr>
        <w:t>,</w:t>
      </w:r>
      <w:r w:rsidRPr="005B581E">
        <w:rPr>
          <w:rFonts w:ascii="Traditional Arabic" w:hAnsi="Traditional Arabic"/>
          <w:color w:val="auto"/>
          <w:sz w:val="32"/>
          <w:szCs w:val="32"/>
          <w:rtl/>
        </w:rPr>
        <w:t xml:space="preserve"> المفسر</w:t>
      </w:r>
      <w:r w:rsidRPr="005B581E">
        <w:rPr>
          <w:rFonts w:ascii="Traditional Arabic" w:hAnsi="Traditional Arabic" w:hint="cs"/>
          <w:color w:val="auto"/>
          <w:sz w:val="32"/>
          <w:szCs w:val="32"/>
          <w:rtl/>
        </w:rPr>
        <w:t>,</w:t>
      </w:r>
      <w:r w:rsidRPr="005B581E">
        <w:rPr>
          <w:rFonts w:ascii="Traditional Arabic" w:hAnsi="Traditional Arabic"/>
          <w:sz w:val="32"/>
          <w:szCs w:val="32"/>
          <w:rtl/>
          <w:lang w:eastAsia="en-US"/>
        </w:rPr>
        <w:t xml:space="preserve"> كَانَ من أحفظ النَّاس للتفسير والنحو والعربية</w:t>
      </w:r>
      <w:r w:rsidRPr="005B581E">
        <w:rPr>
          <w:rFonts w:ascii="Traditional Arabic" w:hAnsi="Traditional Arabic" w:hint="cs"/>
          <w:sz w:val="32"/>
          <w:szCs w:val="32"/>
          <w:rtl/>
          <w:lang w:eastAsia="en-US"/>
        </w:rPr>
        <w:t>,</w:t>
      </w:r>
      <w:r w:rsidRPr="005B581E">
        <w:rPr>
          <w:rFonts w:ascii="Traditional Arabic" w:hAnsi="Traditional Arabic"/>
          <w:sz w:val="32"/>
          <w:szCs w:val="32"/>
          <w:rtl/>
          <w:lang w:eastAsia="en-US"/>
        </w:rPr>
        <w:t xml:space="preserve"> </w:t>
      </w:r>
      <w:r w:rsidRPr="005B581E">
        <w:rPr>
          <w:rFonts w:ascii="Traditional Arabic" w:hAnsi="Traditional Arabic"/>
          <w:color w:val="auto"/>
          <w:sz w:val="32"/>
          <w:szCs w:val="32"/>
          <w:rtl/>
        </w:rPr>
        <w:t xml:space="preserve">من مؤلفاته </w:t>
      </w:r>
      <w:r w:rsidRPr="005B581E">
        <w:rPr>
          <w:rFonts w:ascii="Traditional Arabic" w:hAnsi="Traditional Arabic" w:hint="cs"/>
          <w:color w:val="auto"/>
          <w:sz w:val="32"/>
          <w:szCs w:val="32"/>
          <w:rtl/>
        </w:rPr>
        <w:t>"</w:t>
      </w:r>
      <w:r w:rsidRPr="005B581E">
        <w:rPr>
          <w:rFonts w:ascii="Traditional Arabic" w:hAnsi="Traditional Arabic"/>
          <w:color w:val="auto"/>
          <w:sz w:val="32"/>
          <w:szCs w:val="32"/>
          <w:rtl/>
        </w:rPr>
        <w:t>الناسخ والمنسوخ في القرآن</w:t>
      </w:r>
      <w:r w:rsidRPr="005B581E">
        <w:rPr>
          <w:rFonts w:ascii="Traditional Arabic" w:hAnsi="Traditional Arabic" w:hint="cs"/>
          <w:color w:val="auto"/>
          <w:sz w:val="32"/>
          <w:szCs w:val="32"/>
          <w:rtl/>
        </w:rPr>
        <w:t>",</w:t>
      </w:r>
      <w:r w:rsidRPr="005B581E">
        <w:rPr>
          <w:rFonts w:ascii="Traditional Arabic" w:hAnsi="Traditional Arabic"/>
          <w:color w:val="auto"/>
          <w:sz w:val="32"/>
          <w:szCs w:val="32"/>
          <w:rtl/>
        </w:rPr>
        <w:t xml:space="preserve"> (</w:t>
      </w:r>
      <w:r w:rsidRPr="005B581E">
        <w:rPr>
          <w:rFonts w:ascii="Traditional Arabic" w:hAnsi="Traditional Arabic" w:hint="cs"/>
          <w:color w:val="auto"/>
          <w:sz w:val="32"/>
          <w:szCs w:val="32"/>
          <w:rtl/>
        </w:rPr>
        <w:t>ت</w:t>
      </w:r>
      <w:r w:rsidRPr="005B581E">
        <w:rPr>
          <w:rFonts w:ascii="Traditional Arabic" w:hAnsi="Traditional Arabic"/>
          <w:color w:val="auto"/>
          <w:sz w:val="32"/>
          <w:szCs w:val="32"/>
          <w:rtl/>
        </w:rPr>
        <w:t>410هـ)</w:t>
      </w:r>
      <w:r w:rsidRPr="005B581E">
        <w:rPr>
          <w:rFonts w:ascii="Traditional Arabic" w:hAnsi="Traditional Arabic" w:hint="cs"/>
          <w:color w:val="auto"/>
          <w:sz w:val="32"/>
          <w:szCs w:val="32"/>
          <w:rtl/>
        </w:rPr>
        <w:t>.</w:t>
      </w:r>
      <w:r w:rsidRPr="005B581E">
        <w:rPr>
          <w:rFonts w:ascii="Traditional Arabic" w:hAnsi="Traditional Arabic"/>
          <w:color w:val="auto"/>
          <w:sz w:val="32"/>
          <w:szCs w:val="32"/>
          <w:rtl/>
        </w:rPr>
        <w:t xml:space="preserve"> </w:t>
      </w:r>
      <w:r>
        <w:rPr>
          <w:rFonts w:ascii="Traditional Arabic" w:hAnsi="Traditional Arabic" w:hint="cs"/>
          <w:color w:val="auto"/>
          <w:sz w:val="32"/>
          <w:szCs w:val="32"/>
          <w:rtl/>
        </w:rPr>
        <w:t>انظر: الوافي بالوفيات (27/163), غاية النهاية (2/468).</w:t>
      </w:r>
    </w:p>
  </w:footnote>
  <w:footnote w:id="2029">
    <w:p w:rsidR="003F128F" w:rsidRPr="005B581E" w:rsidRDefault="003F128F" w:rsidP="0063006E">
      <w:pPr>
        <w:pStyle w:val="af3"/>
        <w:rPr>
          <w:rFonts w:ascii="Traditional Arabic" w:hAnsi="Traditional Arabic"/>
          <w:color w:val="auto"/>
          <w:sz w:val="32"/>
          <w:szCs w:val="32"/>
        </w:rPr>
      </w:pPr>
      <w:r w:rsidRPr="005B581E">
        <w:rPr>
          <w:rFonts w:ascii="Traditional Arabic" w:hAnsi="Traditional Arabic"/>
          <w:color w:val="auto"/>
          <w:sz w:val="32"/>
          <w:szCs w:val="32"/>
          <w:rtl/>
        </w:rPr>
        <w:t>(</w:t>
      </w:r>
      <w:r w:rsidRPr="005B581E">
        <w:rPr>
          <w:rStyle w:val="ae"/>
          <w:rFonts w:ascii="Traditional Arabic" w:hAnsi="Traditional Arabic"/>
          <w:color w:val="auto"/>
          <w:sz w:val="32"/>
          <w:szCs w:val="32"/>
          <w:vertAlign w:val="baseline"/>
        </w:rPr>
        <w:footnoteRef/>
      </w:r>
      <w:r w:rsidRPr="005B581E">
        <w:rPr>
          <w:rFonts w:ascii="Traditional Arabic" w:hAnsi="Traditional Arabic"/>
          <w:color w:val="auto"/>
          <w:sz w:val="32"/>
          <w:szCs w:val="32"/>
          <w:rtl/>
        </w:rPr>
        <w:t>) انظر: الناسخ والمنسوخ لهبة الله المقرئ (ص118).</w:t>
      </w:r>
    </w:p>
  </w:footnote>
  <w:footnote w:id="2030">
    <w:p w:rsidR="003F128F" w:rsidRPr="00744F8C" w:rsidRDefault="003F128F" w:rsidP="0063006E">
      <w:pPr>
        <w:pStyle w:val="af3"/>
        <w:rPr>
          <w:rFonts w:ascii="Traditional Arabic" w:hAnsi="Traditional Arabic"/>
          <w:color w:val="auto"/>
          <w:sz w:val="32"/>
          <w:szCs w:val="32"/>
        </w:rPr>
      </w:pPr>
      <w:r w:rsidRPr="00744F8C">
        <w:rPr>
          <w:rFonts w:ascii="Traditional Arabic" w:hAnsi="Traditional Arabic"/>
          <w:color w:val="auto"/>
          <w:sz w:val="32"/>
          <w:szCs w:val="32"/>
          <w:rtl/>
        </w:rPr>
        <w:t>(</w:t>
      </w:r>
      <w:r w:rsidRPr="00744F8C">
        <w:rPr>
          <w:rStyle w:val="ae"/>
          <w:rFonts w:ascii="Traditional Arabic" w:hAnsi="Traditional Arabic"/>
          <w:color w:val="auto"/>
          <w:sz w:val="32"/>
          <w:szCs w:val="32"/>
          <w:vertAlign w:val="baseline"/>
        </w:rPr>
        <w:footnoteRef/>
      </w:r>
      <w:r w:rsidRPr="00744F8C">
        <w:rPr>
          <w:rFonts w:ascii="Traditional Arabic" w:hAnsi="Traditional Arabic"/>
          <w:color w:val="auto"/>
          <w:sz w:val="32"/>
          <w:szCs w:val="32"/>
          <w:rtl/>
        </w:rPr>
        <w:t xml:space="preserve">) انظر: السبعة في القراءات (ص399), معاني القراءات (2/122). </w:t>
      </w:r>
    </w:p>
  </w:footnote>
  <w:footnote w:id="2031">
    <w:p w:rsidR="003F128F" w:rsidRPr="00744F8C" w:rsidRDefault="003F128F" w:rsidP="0063006E">
      <w:pPr>
        <w:pStyle w:val="af3"/>
        <w:rPr>
          <w:rFonts w:ascii="Traditional Arabic" w:hAnsi="Traditional Arabic"/>
          <w:color w:val="auto"/>
          <w:sz w:val="32"/>
          <w:szCs w:val="32"/>
        </w:rPr>
      </w:pPr>
      <w:r w:rsidRPr="00744F8C">
        <w:rPr>
          <w:rFonts w:ascii="Traditional Arabic" w:hAnsi="Traditional Arabic"/>
          <w:color w:val="auto"/>
          <w:sz w:val="32"/>
          <w:szCs w:val="32"/>
          <w:rtl/>
        </w:rPr>
        <w:t>(</w:t>
      </w:r>
      <w:r w:rsidRPr="00744F8C">
        <w:rPr>
          <w:rStyle w:val="ae"/>
          <w:rFonts w:ascii="Traditional Arabic" w:hAnsi="Traditional Arabic"/>
          <w:color w:val="auto"/>
          <w:sz w:val="32"/>
          <w:szCs w:val="32"/>
          <w:vertAlign w:val="baseline"/>
        </w:rPr>
        <w:footnoteRef/>
      </w:r>
      <w:r w:rsidRPr="00744F8C">
        <w:rPr>
          <w:rFonts w:ascii="Traditional Arabic" w:hAnsi="Traditional Arabic"/>
          <w:color w:val="auto"/>
          <w:sz w:val="32"/>
          <w:szCs w:val="32"/>
          <w:rtl/>
        </w:rPr>
        <w:t>) انظر: مختصر الشواذ (ص86), معاني القرآن وإعرابه (3/317), المحرر الوجيز (4/4) منسوبة للحسن بن أبي الحسن.</w:t>
      </w:r>
    </w:p>
  </w:footnote>
  <w:footnote w:id="2032">
    <w:p w:rsidR="003F128F" w:rsidRPr="00744F8C" w:rsidRDefault="003F128F" w:rsidP="0063006E">
      <w:pPr>
        <w:pStyle w:val="af3"/>
        <w:rPr>
          <w:rFonts w:ascii="Traditional Arabic" w:hAnsi="Traditional Arabic"/>
          <w:color w:val="auto"/>
          <w:sz w:val="32"/>
          <w:szCs w:val="32"/>
        </w:rPr>
      </w:pPr>
      <w:r w:rsidRPr="00744F8C">
        <w:rPr>
          <w:rFonts w:ascii="Traditional Arabic" w:hAnsi="Traditional Arabic"/>
          <w:color w:val="auto"/>
          <w:sz w:val="32"/>
          <w:szCs w:val="32"/>
          <w:rtl/>
        </w:rPr>
        <w:t>(</w:t>
      </w:r>
      <w:r w:rsidRPr="00744F8C">
        <w:rPr>
          <w:rStyle w:val="ae"/>
          <w:rFonts w:ascii="Traditional Arabic" w:hAnsi="Traditional Arabic"/>
          <w:color w:val="auto"/>
          <w:sz w:val="32"/>
          <w:szCs w:val="32"/>
          <w:vertAlign w:val="baseline"/>
        </w:rPr>
        <w:footnoteRef/>
      </w:r>
      <w:r w:rsidRPr="00744F8C">
        <w:rPr>
          <w:rFonts w:ascii="Traditional Arabic" w:hAnsi="Traditional Arabic"/>
          <w:color w:val="auto"/>
          <w:sz w:val="32"/>
          <w:szCs w:val="32"/>
          <w:rtl/>
        </w:rPr>
        <w:t xml:space="preserve">) انظر: زاد المسير (1/20). </w:t>
      </w:r>
    </w:p>
  </w:footnote>
  <w:footnote w:id="2033">
    <w:p w:rsidR="003F128F" w:rsidRPr="00744F8C" w:rsidRDefault="003F128F" w:rsidP="0063006E">
      <w:pPr>
        <w:pStyle w:val="af3"/>
        <w:rPr>
          <w:rFonts w:ascii="Traditional Arabic" w:hAnsi="Traditional Arabic"/>
          <w:color w:val="auto"/>
          <w:sz w:val="32"/>
          <w:szCs w:val="32"/>
        </w:rPr>
      </w:pPr>
      <w:r w:rsidRPr="00744F8C">
        <w:rPr>
          <w:rFonts w:ascii="Traditional Arabic" w:hAnsi="Traditional Arabic"/>
          <w:color w:val="auto"/>
          <w:sz w:val="32"/>
          <w:szCs w:val="32"/>
          <w:rtl/>
        </w:rPr>
        <w:t>(</w:t>
      </w:r>
      <w:r w:rsidRPr="00744F8C">
        <w:rPr>
          <w:rStyle w:val="ae"/>
          <w:rFonts w:ascii="Traditional Arabic" w:hAnsi="Traditional Arabic"/>
          <w:color w:val="auto"/>
          <w:sz w:val="32"/>
          <w:szCs w:val="32"/>
          <w:vertAlign w:val="baseline"/>
        </w:rPr>
        <w:footnoteRef/>
      </w:r>
      <w:r w:rsidRPr="00744F8C">
        <w:rPr>
          <w:rFonts w:ascii="Traditional Arabic" w:hAnsi="Traditional Arabic"/>
          <w:color w:val="auto"/>
          <w:sz w:val="32"/>
          <w:szCs w:val="32"/>
          <w:rtl/>
        </w:rPr>
        <w:t xml:space="preserve">) انظر: تفسير الطبري (18/141), معاني القرآن وإعرابه (3/318), تفسير ابن أبي حاتم (7/2396).   </w:t>
      </w:r>
    </w:p>
  </w:footnote>
  <w:footnote w:id="2034">
    <w:p w:rsidR="003F128F" w:rsidRPr="00744F8C" w:rsidRDefault="003F128F" w:rsidP="0063006E">
      <w:pPr>
        <w:pStyle w:val="af3"/>
        <w:rPr>
          <w:rFonts w:ascii="Traditional Arabic" w:hAnsi="Traditional Arabic"/>
          <w:color w:val="auto"/>
          <w:sz w:val="32"/>
          <w:szCs w:val="32"/>
        </w:rPr>
      </w:pPr>
      <w:r w:rsidRPr="00744F8C">
        <w:rPr>
          <w:rFonts w:ascii="Traditional Arabic" w:hAnsi="Traditional Arabic"/>
          <w:color w:val="auto"/>
          <w:sz w:val="32"/>
          <w:szCs w:val="32"/>
          <w:rtl/>
        </w:rPr>
        <w:t>(</w:t>
      </w:r>
      <w:r w:rsidRPr="00744F8C">
        <w:rPr>
          <w:rStyle w:val="ae"/>
          <w:rFonts w:ascii="Traditional Arabic" w:hAnsi="Traditional Arabic"/>
          <w:color w:val="auto"/>
          <w:sz w:val="32"/>
          <w:szCs w:val="32"/>
          <w:vertAlign w:val="baseline"/>
        </w:rPr>
        <w:footnoteRef/>
      </w:r>
      <w:r w:rsidRPr="00744F8C">
        <w:rPr>
          <w:rFonts w:ascii="Traditional Arabic" w:hAnsi="Traditional Arabic"/>
          <w:color w:val="auto"/>
          <w:sz w:val="32"/>
          <w:szCs w:val="32"/>
          <w:rtl/>
        </w:rPr>
        <w:t xml:space="preserve">) انظر: تفسير الطبري (18/137-138), الهداية (7/4488-4489), معالم التنزيل (5/215). </w:t>
      </w:r>
    </w:p>
  </w:footnote>
  <w:footnote w:id="2035">
    <w:p w:rsidR="003F128F" w:rsidRPr="00744F8C" w:rsidRDefault="003F128F" w:rsidP="0063006E">
      <w:pPr>
        <w:pStyle w:val="af3"/>
        <w:rPr>
          <w:rFonts w:ascii="Traditional Arabic" w:hAnsi="Traditional Arabic"/>
          <w:color w:val="auto"/>
          <w:sz w:val="32"/>
          <w:szCs w:val="32"/>
        </w:rPr>
      </w:pPr>
      <w:r w:rsidRPr="00744F8C">
        <w:rPr>
          <w:rFonts w:ascii="Traditional Arabic" w:hAnsi="Traditional Arabic"/>
          <w:color w:val="auto"/>
          <w:sz w:val="32"/>
          <w:szCs w:val="32"/>
          <w:rtl/>
        </w:rPr>
        <w:t>(</w:t>
      </w:r>
      <w:r w:rsidRPr="00744F8C">
        <w:rPr>
          <w:rStyle w:val="ae"/>
          <w:rFonts w:ascii="Traditional Arabic" w:hAnsi="Traditional Arabic"/>
          <w:color w:val="auto"/>
          <w:sz w:val="32"/>
          <w:szCs w:val="32"/>
          <w:vertAlign w:val="baseline"/>
        </w:rPr>
        <w:footnoteRef/>
      </w:r>
      <w:r w:rsidRPr="00744F8C">
        <w:rPr>
          <w:rFonts w:ascii="Traditional Arabic" w:hAnsi="Traditional Arabic"/>
          <w:color w:val="auto"/>
          <w:sz w:val="32"/>
          <w:szCs w:val="32"/>
          <w:rtl/>
        </w:rPr>
        <w:t xml:space="preserve">) انظر: تفسير ابن أبي حاتم (7/2396).   </w:t>
      </w:r>
    </w:p>
  </w:footnote>
  <w:footnote w:id="2036">
    <w:p w:rsidR="003F128F" w:rsidRPr="00744F8C" w:rsidRDefault="003F128F" w:rsidP="0063006E">
      <w:pPr>
        <w:pStyle w:val="af3"/>
        <w:rPr>
          <w:rFonts w:ascii="Tahoma" w:hAnsi="Tahoma"/>
        </w:rPr>
      </w:pPr>
      <w:r w:rsidRPr="00744F8C">
        <w:rPr>
          <w:rFonts w:ascii="Tahoma" w:hAnsi="Tahoma"/>
          <w:rtl/>
        </w:rPr>
        <w:t>(</w:t>
      </w:r>
      <w:r w:rsidRPr="00744F8C">
        <w:rPr>
          <w:rStyle w:val="ae"/>
          <w:rFonts w:ascii="Tahoma" w:hAnsi="Tahoma"/>
          <w:vertAlign w:val="baseline"/>
        </w:rPr>
        <w:footnoteRef/>
      </w:r>
      <w:r w:rsidRPr="00744F8C">
        <w:rPr>
          <w:rFonts w:ascii="Tahoma" w:hAnsi="Tahoma"/>
          <w:rtl/>
        </w:rPr>
        <w:t>)</w:t>
      </w:r>
      <w:r>
        <w:rPr>
          <w:rFonts w:ascii="Traditional Arabic" w:hAnsi="Traditional Arabic" w:hint="cs"/>
          <w:color w:val="auto"/>
          <w:sz w:val="32"/>
          <w:szCs w:val="32"/>
          <w:rtl/>
        </w:rPr>
        <w:t xml:space="preserve"> </w:t>
      </w:r>
      <w:r w:rsidRPr="00744F8C">
        <w:rPr>
          <w:rFonts w:ascii="Traditional Arabic" w:hAnsi="Traditional Arabic"/>
          <w:color w:val="auto"/>
          <w:sz w:val="32"/>
          <w:szCs w:val="32"/>
          <w:rtl/>
        </w:rPr>
        <w:t xml:space="preserve">انظر: تفسير الطبري (18/138), الهداية (7/4489), معالم التنزيل (5/215). </w:t>
      </w:r>
      <w:r>
        <w:rPr>
          <w:rFonts w:ascii="Tahoma" w:hAnsi="Tahoma"/>
          <w:rtl/>
        </w:rPr>
        <w:t xml:space="preserve"> </w:t>
      </w:r>
    </w:p>
  </w:footnote>
  <w:footnote w:id="2037">
    <w:p w:rsidR="003F128F" w:rsidRPr="00744F8C" w:rsidRDefault="003F128F" w:rsidP="0063006E">
      <w:pPr>
        <w:pStyle w:val="af3"/>
        <w:rPr>
          <w:rFonts w:ascii="Traditional Arabic" w:hAnsi="Traditional Arabic"/>
          <w:color w:val="auto"/>
          <w:sz w:val="32"/>
          <w:szCs w:val="32"/>
        </w:rPr>
      </w:pPr>
      <w:r w:rsidRPr="00744F8C">
        <w:rPr>
          <w:rFonts w:ascii="Traditional Arabic" w:hAnsi="Traditional Arabic"/>
          <w:color w:val="auto"/>
          <w:sz w:val="32"/>
          <w:szCs w:val="32"/>
          <w:rtl/>
        </w:rPr>
        <w:t>(</w:t>
      </w:r>
      <w:r w:rsidRPr="00744F8C">
        <w:rPr>
          <w:rStyle w:val="ae"/>
          <w:rFonts w:ascii="Traditional Arabic" w:hAnsi="Traditional Arabic"/>
          <w:color w:val="auto"/>
          <w:sz w:val="32"/>
          <w:szCs w:val="32"/>
          <w:vertAlign w:val="baseline"/>
        </w:rPr>
        <w:footnoteRef/>
      </w:r>
      <w:r w:rsidRPr="00744F8C">
        <w:rPr>
          <w:rFonts w:ascii="Traditional Arabic" w:hAnsi="Traditional Arabic"/>
          <w:color w:val="auto"/>
          <w:sz w:val="32"/>
          <w:szCs w:val="32"/>
          <w:rtl/>
        </w:rPr>
        <w:t>)</w:t>
      </w:r>
      <w:r>
        <w:rPr>
          <w:rFonts w:ascii="Traditional Arabic" w:hAnsi="Traditional Arabic" w:hint="cs"/>
          <w:color w:val="auto"/>
          <w:sz w:val="32"/>
          <w:szCs w:val="32"/>
          <w:rtl/>
        </w:rPr>
        <w:t xml:space="preserve"> </w:t>
      </w:r>
      <w:r w:rsidRPr="00744F8C">
        <w:rPr>
          <w:rFonts w:ascii="Traditional Arabic" w:hAnsi="Traditional Arabic"/>
          <w:color w:val="auto"/>
          <w:sz w:val="32"/>
          <w:szCs w:val="32"/>
          <w:rtl/>
        </w:rPr>
        <w:t xml:space="preserve">انظر: تفسير ابن أبي حاتم (7/2396).    </w:t>
      </w:r>
    </w:p>
  </w:footnote>
  <w:footnote w:id="2038">
    <w:p w:rsidR="003F128F" w:rsidRPr="00744F8C" w:rsidRDefault="003F128F" w:rsidP="0063006E">
      <w:pPr>
        <w:pStyle w:val="af3"/>
        <w:rPr>
          <w:rFonts w:ascii="Traditional Arabic" w:hAnsi="Traditional Arabic"/>
          <w:color w:val="auto"/>
          <w:sz w:val="32"/>
          <w:szCs w:val="32"/>
        </w:rPr>
      </w:pPr>
      <w:r w:rsidRPr="00744F8C">
        <w:rPr>
          <w:rFonts w:ascii="Traditional Arabic" w:hAnsi="Traditional Arabic"/>
          <w:color w:val="auto"/>
          <w:sz w:val="32"/>
          <w:szCs w:val="32"/>
          <w:rtl/>
        </w:rPr>
        <w:t>(</w:t>
      </w:r>
      <w:r w:rsidRPr="00744F8C">
        <w:rPr>
          <w:rStyle w:val="ae"/>
          <w:rFonts w:ascii="Traditional Arabic" w:hAnsi="Traditional Arabic"/>
          <w:color w:val="auto"/>
          <w:sz w:val="32"/>
          <w:szCs w:val="32"/>
          <w:vertAlign w:val="baseline"/>
        </w:rPr>
        <w:footnoteRef/>
      </w:r>
      <w:r w:rsidRPr="00744F8C">
        <w:rPr>
          <w:rFonts w:ascii="Traditional Arabic" w:hAnsi="Traditional Arabic"/>
          <w:color w:val="auto"/>
          <w:sz w:val="32"/>
          <w:szCs w:val="32"/>
          <w:rtl/>
        </w:rPr>
        <w:t>)</w:t>
      </w:r>
      <w:r>
        <w:rPr>
          <w:rFonts w:ascii="Traditional Arabic" w:hAnsi="Traditional Arabic" w:hint="cs"/>
          <w:color w:val="auto"/>
          <w:sz w:val="32"/>
          <w:szCs w:val="32"/>
          <w:rtl/>
        </w:rPr>
        <w:t xml:space="preserve"> </w:t>
      </w:r>
      <w:r w:rsidRPr="00744F8C">
        <w:rPr>
          <w:rFonts w:ascii="Traditional Arabic" w:hAnsi="Traditional Arabic"/>
          <w:color w:val="auto"/>
          <w:sz w:val="32"/>
          <w:szCs w:val="32"/>
          <w:rtl/>
        </w:rPr>
        <w:t>انظر: تفسير الطبري (18/13</w:t>
      </w:r>
      <w:r>
        <w:rPr>
          <w:rFonts w:ascii="Traditional Arabic" w:hAnsi="Traditional Arabic" w:hint="cs"/>
          <w:color w:val="auto"/>
          <w:sz w:val="32"/>
          <w:szCs w:val="32"/>
          <w:rtl/>
        </w:rPr>
        <w:t>9</w:t>
      </w:r>
      <w:r w:rsidRPr="00744F8C">
        <w:rPr>
          <w:rFonts w:ascii="Traditional Arabic" w:hAnsi="Traditional Arabic"/>
          <w:color w:val="auto"/>
          <w:sz w:val="32"/>
          <w:szCs w:val="32"/>
          <w:rtl/>
        </w:rPr>
        <w:t xml:space="preserve">), الهداية (7/4489), معالم التنزيل (5/215). </w:t>
      </w:r>
    </w:p>
  </w:footnote>
  <w:footnote w:id="2039">
    <w:p w:rsidR="003F128F" w:rsidRPr="00744F8C" w:rsidRDefault="003F128F" w:rsidP="0063006E">
      <w:pPr>
        <w:pStyle w:val="af3"/>
        <w:rPr>
          <w:rFonts w:ascii="Traditional Arabic" w:hAnsi="Traditional Arabic"/>
          <w:color w:val="auto"/>
          <w:sz w:val="32"/>
          <w:szCs w:val="32"/>
        </w:rPr>
      </w:pPr>
      <w:r w:rsidRPr="00744F8C">
        <w:rPr>
          <w:rFonts w:ascii="Traditional Arabic" w:hAnsi="Traditional Arabic"/>
          <w:color w:val="auto"/>
          <w:sz w:val="32"/>
          <w:szCs w:val="32"/>
          <w:rtl/>
        </w:rPr>
        <w:t>(</w:t>
      </w:r>
      <w:r w:rsidRPr="00744F8C">
        <w:rPr>
          <w:rStyle w:val="ae"/>
          <w:rFonts w:ascii="Traditional Arabic" w:hAnsi="Traditional Arabic"/>
          <w:color w:val="auto"/>
          <w:sz w:val="32"/>
          <w:szCs w:val="32"/>
          <w:vertAlign w:val="baseline"/>
        </w:rPr>
        <w:footnoteRef/>
      </w:r>
      <w:r w:rsidRPr="00744F8C">
        <w:rPr>
          <w:rFonts w:ascii="Traditional Arabic" w:hAnsi="Traditional Arabic"/>
          <w:color w:val="auto"/>
          <w:sz w:val="32"/>
          <w:szCs w:val="32"/>
          <w:rtl/>
        </w:rPr>
        <w:t>)</w:t>
      </w:r>
      <w:r>
        <w:rPr>
          <w:rFonts w:ascii="Traditional Arabic" w:hAnsi="Traditional Arabic" w:hint="cs"/>
          <w:color w:val="auto"/>
          <w:sz w:val="32"/>
          <w:szCs w:val="32"/>
          <w:rtl/>
        </w:rPr>
        <w:t xml:space="preserve"> </w:t>
      </w:r>
      <w:r w:rsidRPr="00744F8C">
        <w:rPr>
          <w:rFonts w:ascii="Traditional Arabic" w:hAnsi="Traditional Arabic"/>
          <w:color w:val="auto"/>
          <w:sz w:val="32"/>
          <w:szCs w:val="32"/>
          <w:rtl/>
        </w:rPr>
        <w:t>انظر</w:t>
      </w:r>
      <w:r>
        <w:rPr>
          <w:rFonts w:ascii="Traditional Arabic" w:hAnsi="Traditional Arabic" w:hint="cs"/>
          <w:color w:val="auto"/>
          <w:sz w:val="32"/>
          <w:szCs w:val="32"/>
          <w:rtl/>
        </w:rPr>
        <w:t xml:space="preserve"> هذه الأقوال في</w:t>
      </w:r>
      <w:r w:rsidRPr="00744F8C">
        <w:rPr>
          <w:rFonts w:ascii="Traditional Arabic" w:hAnsi="Traditional Arabic"/>
          <w:color w:val="auto"/>
          <w:sz w:val="32"/>
          <w:szCs w:val="32"/>
          <w:rtl/>
        </w:rPr>
        <w:t>: تفسير الطبري (18/13</w:t>
      </w:r>
      <w:r>
        <w:rPr>
          <w:rFonts w:ascii="Traditional Arabic" w:hAnsi="Traditional Arabic" w:hint="cs"/>
          <w:color w:val="auto"/>
          <w:sz w:val="32"/>
          <w:szCs w:val="32"/>
          <w:rtl/>
        </w:rPr>
        <w:t>9-140</w:t>
      </w:r>
      <w:r>
        <w:rPr>
          <w:rFonts w:ascii="Traditional Arabic" w:hAnsi="Traditional Arabic"/>
          <w:color w:val="auto"/>
          <w:sz w:val="32"/>
          <w:szCs w:val="32"/>
          <w:rtl/>
        </w:rPr>
        <w:t>)</w:t>
      </w:r>
      <w:r w:rsidRPr="00744F8C">
        <w:rPr>
          <w:rFonts w:ascii="Traditional Arabic" w:hAnsi="Traditional Arabic"/>
          <w:color w:val="auto"/>
          <w:sz w:val="32"/>
          <w:szCs w:val="32"/>
          <w:rtl/>
        </w:rPr>
        <w:t>, الهداية (7/4489),</w:t>
      </w:r>
      <w:r w:rsidRPr="00744F8C">
        <w:rPr>
          <w:rFonts w:ascii="Traditional Arabic" w:hAnsi="Traditional Arabic" w:hint="cs"/>
          <w:color w:val="auto"/>
          <w:sz w:val="32"/>
          <w:szCs w:val="32"/>
          <w:rtl/>
        </w:rPr>
        <w:t xml:space="preserve"> </w:t>
      </w:r>
      <w:r>
        <w:rPr>
          <w:rFonts w:ascii="Traditional Arabic" w:hAnsi="Traditional Arabic" w:hint="cs"/>
          <w:color w:val="auto"/>
          <w:sz w:val="32"/>
          <w:szCs w:val="32"/>
          <w:rtl/>
        </w:rPr>
        <w:t>النكت والعيون (3/353).</w:t>
      </w:r>
    </w:p>
  </w:footnote>
  <w:footnote w:id="2040">
    <w:p w:rsidR="003F128F" w:rsidRPr="00A477C5" w:rsidRDefault="003F128F" w:rsidP="0063006E">
      <w:pPr>
        <w:pStyle w:val="af3"/>
        <w:rPr>
          <w:rFonts w:ascii="Traditional Arabic" w:hAnsi="Traditional Arabic"/>
          <w:color w:val="auto"/>
          <w:sz w:val="32"/>
          <w:szCs w:val="32"/>
        </w:rPr>
      </w:pPr>
      <w:r w:rsidRPr="00A477C5">
        <w:rPr>
          <w:rFonts w:ascii="Traditional Arabic" w:hAnsi="Traditional Arabic"/>
          <w:color w:val="auto"/>
          <w:sz w:val="32"/>
          <w:szCs w:val="32"/>
          <w:rtl/>
        </w:rPr>
        <w:t>(</w:t>
      </w:r>
      <w:r w:rsidRPr="00A477C5">
        <w:rPr>
          <w:rStyle w:val="ae"/>
          <w:rFonts w:ascii="Traditional Arabic" w:hAnsi="Traditional Arabic"/>
          <w:color w:val="auto"/>
          <w:sz w:val="32"/>
          <w:szCs w:val="32"/>
          <w:vertAlign w:val="baseline"/>
        </w:rPr>
        <w:footnoteRef/>
      </w:r>
      <w:r w:rsidRPr="00A477C5">
        <w:rPr>
          <w:rFonts w:ascii="Traditional Arabic" w:hAnsi="Traditional Arabic"/>
          <w:color w:val="auto"/>
          <w:sz w:val="32"/>
          <w:szCs w:val="32"/>
          <w:rtl/>
        </w:rPr>
        <w:t xml:space="preserve">) انظر: تفسير الطبري (18/140), الهداية (7/4489).  </w:t>
      </w:r>
    </w:p>
  </w:footnote>
  <w:footnote w:id="2041">
    <w:p w:rsidR="003F128F" w:rsidRPr="00A477C5" w:rsidRDefault="003F128F" w:rsidP="0063006E">
      <w:pPr>
        <w:pStyle w:val="af3"/>
        <w:rPr>
          <w:rFonts w:ascii="Traditional Arabic" w:hAnsi="Traditional Arabic"/>
          <w:color w:val="auto"/>
          <w:sz w:val="32"/>
          <w:szCs w:val="32"/>
        </w:rPr>
      </w:pPr>
      <w:r w:rsidRPr="00A477C5">
        <w:rPr>
          <w:rFonts w:ascii="Traditional Arabic" w:hAnsi="Traditional Arabic"/>
          <w:color w:val="auto"/>
          <w:sz w:val="32"/>
          <w:szCs w:val="32"/>
          <w:rtl/>
        </w:rPr>
        <w:t>(</w:t>
      </w:r>
      <w:r w:rsidRPr="00A477C5">
        <w:rPr>
          <w:rStyle w:val="ae"/>
          <w:rFonts w:ascii="Traditional Arabic" w:hAnsi="Traditional Arabic"/>
          <w:color w:val="auto"/>
          <w:sz w:val="32"/>
          <w:szCs w:val="32"/>
          <w:vertAlign w:val="baseline"/>
        </w:rPr>
        <w:footnoteRef/>
      </w:r>
      <w:r w:rsidRPr="00A477C5">
        <w:rPr>
          <w:rFonts w:ascii="Traditional Arabic" w:hAnsi="Traditional Arabic"/>
          <w:color w:val="auto"/>
          <w:sz w:val="32"/>
          <w:szCs w:val="32"/>
          <w:rtl/>
        </w:rPr>
        <w:t xml:space="preserve">) انظر: تفسير ابن أبي حاتم (7/2396).    </w:t>
      </w:r>
    </w:p>
  </w:footnote>
  <w:footnote w:id="2042">
    <w:p w:rsidR="003F128F" w:rsidRPr="00A477C5" w:rsidRDefault="003F128F" w:rsidP="0063006E">
      <w:pPr>
        <w:pStyle w:val="af3"/>
        <w:rPr>
          <w:rFonts w:ascii="Traditional Arabic" w:hAnsi="Traditional Arabic"/>
          <w:color w:val="auto"/>
          <w:sz w:val="32"/>
          <w:szCs w:val="32"/>
        </w:rPr>
      </w:pPr>
      <w:r w:rsidRPr="00A477C5">
        <w:rPr>
          <w:rFonts w:ascii="Traditional Arabic" w:hAnsi="Traditional Arabic"/>
          <w:color w:val="auto"/>
          <w:sz w:val="32"/>
          <w:szCs w:val="32"/>
          <w:rtl/>
        </w:rPr>
        <w:t>(</w:t>
      </w:r>
      <w:r w:rsidRPr="00A477C5">
        <w:rPr>
          <w:rStyle w:val="ae"/>
          <w:rFonts w:ascii="Traditional Arabic" w:hAnsi="Traditional Arabic"/>
          <w:color w:val="auto"/>
          <w:sz w:val="32"/>
          <w:szCs w:val="32"/>
          <w:vertAlign w:val="baseline"/>
        </w:rPr>
        <w:footnoteRef/>
      </w:r>
      <w:r w:rsidRPr="00A477C5">
        <w:rPr>
          <w:rFonts w:ascii="Traditional Arabic" w:hAnsi="Traditional Arabic"/>
          <w:color w:val="auto"/>
          <w:sz w:val="32"/>
          <w:szCs w:val="32"/>
          <w:rtl/>
        </w:rPr>
        <w:t>) انظر: تفسير الطبري (18/141), تفسير ابن أبي حاتم (7/2396).</w:t>
      </w:r>
    </w:p>
  </w:footnote>
  <w:footnote w:id="2043">
    <w:p w:rsidR="003F128F" w:rsidRPr="00A477C5" w:rsidRDefault="003F128F" w:rsidP="0063006E">
      <w:pPr>
        <w:pStyle w:val="af3"/>
        <w:rPr>
          <w:rFonts w:ascii="Traditional Arabic" w:hAnsi="Traditional Arabic"/>
          <w:color w:val="auto"/>
          <w:sz w:val="32"/>
          <w:szCs w:val="32"/>
        </w:rPr>
      </w:pPr>
      <w:r w:rsidRPr="00A477C5">
        <w:rPr>
          <w:rFonts w:ascii="Traditional Arabic" w:hAnsi="Traditional Arabic"/>
          <w:color w:val="auto"/>
          <w:sz w:val="32"/>
          <w:szCs w:val="32"/>
          <w:rtl/>
        </w:rPr>
        <w:t>(</w:t>
      </w:r>
      <w:r w:rsidRPr="00A477C5">
        <w:rPr>
          <w:rStyle w:val="ae"/>
          <w:rFonts w:ascii="Traditional Arabic" w:hAnsi="Traditional Arabic"/>
          <w:color w:val="auto"/>
          <w:sz w:val="32"/>
          <w:szCs w:val="32"/>
          <w:vertAlign w:val="baseline"/>
        </w:rPr>
        <w:footnoteRef/>
      </w:r>
      <w:r w:rsidRPr="00A477C5">
        <w:rPr>
          <w:rFonts w:ascii="Traditional Arabic" w:hAnsi="Traditional Arabic"/>
          <w:color w:val="auto"/>
          <w:sz w:val="32"/>
          <w:szCs w:val="32"/>
          <w:rtl/>
        </w:rPr>
        <w:t xml:space="preserve">) بحر العلوم (2/367), الهداية (7/4490).  </w:t>
      </w:r>
    </w:p>
  </w:footnote>
  <w:footnote w:id="2044">
    <w:p w:rsidR="003F128F" w:rsidRPr="00A477C5" w:rsidRDefault="003F128F" w:rsidP="0063006E">
      <w:pPr>
        <w:pStyle w:val="af3"/>
        <w:rPr>
          <w:rFonts w:ascii="Traditional Arabic" w:hAnsi="Traditional Arabic"/>
          <w:color w:val="auto"/>
          <w:sz w:val="32"/>
          <w:szCs w:val="32"/>
        </w:rPr>
      </w:pPr>
      <w:r w:rsidRPr="00A477C5">
        <w:rPr>
          <w:rFonts w:ascii="Traditional Arabic" w:hAnsi="Traditional Arabic"/>
          <w:color w:val="auto"/>
          <w:sz w:val="32"/>
          <w:szCs w:val="32"/>
          <w:rtl/>
        </w:rPr>
        <w:t>(</w:t>
      </w:r>
      <w:r w:rsidRPr="00A477C5">
        <w:rPr>
          <w:rStyle w:val="ae"/>
          <w:rFonts w:ascii="Traditional Arabic" w:hAnsi="Traditional Arabic"/>
          <w:color w:val="auto"/>
          <w:sz w:val="32"/>
          <w:szCs w:val="32"/>
          <w:vertAlign w:val="baseline"/>
        </w:rPr>
        <w:footnoteRef/>
      </w:r>
      <w:r w:rsidRPr="00A477C5">
        <w:rPr>
          <w:rFonts w:ascii="Traditional Arabic" w:hAnsi="Traditional Arabic"/>
          <w:color w:val="auto"/>
          <w:sz w:val="32"/>
          <w:szCs w:val="32"/>
          <w:rtl/>
        </w:rPr>
        <w:t>) ما بين المعكوفتين ساقط من الأصل</w:t>
      </w:r>
      <w:r>
        <w:rPr>
          <w:rFonts w:ascii="Traditional Arabic" w:hAnsi="Traditional Arabic" w:hint="cs"/>
          <w:color w:val="auto"/>
          <w:sz w:val="32"/>
          <w:szCs w:val="32"/>
          <w:rtl/>
        </w:rPr>
        <w:t>,</w:t>
      </w:r>
      <w:r w:rsidRPr="00A477C5">
        <w:rPr>
          <w:rFonts w:ascii="Traditional Arabic" w:hAnsi="Traditional Arabic"/>
          <w:color w:val="auto"/>
          <w:sz w:val="32"/>
          <w:szCs w:val="32"/>
          <w:rtl/>
        </w:rPr>
        <w:t xml:space="preserve"> والمثبت من (ك) وهو موافق لما في مصادر القول.</w:t>
      </w:r>
    </w:p>
  </w:footnote>
  <w:footnote w:id="2045">
    <w:p w:rsidR="003F128F" w:rsidRPr="00A477C5" w:rsidRDefault="003F128F" w:rsidP="0063006E">
      <w:pPr>
        <w:pStyle w:val="af3"/>
        <w:rPr>
          <w:rFonts w:ascii="Traditional Arabic" w:hAnsi="Traditional Arabic"/>
          <w:color w:val="auto"/>
          <w:sz w:val="32"/>
          <w:szCs w:val="32"/>
        </w:rPr>
      </w:pPr>
      <w:r w:rsidRPr="00A477C5">
        <w:rPr>
          <w:rFonts w:ascii="Traditional Arabic" w:hAnsi="Traditional Arabic"/>
          <w:color w:val="auto"/>
          <w:sz w:val="32"/>
          <w:szCs w:val="32"/>
          <w:rtl/>
        </w:rPr>
        <w:t>(</w:t>
      </w:r>
      <w:r w:rsidRPr="00A477C5">
        <w:rPr>
          <w:rStyle w:val="ae"/>
          <w:rFonts w:ascii="Traditional Arabic" w:hAnsi="Traditional Arabic"/>
          <w:color w:val="auto"/>
          <w:sz w:val="32"/>
          <w:szCs w:val="32"/>
          <w:vertAlign w:val="baseline"/>
        </w:rPr>
        <w:footnoteRef/>
      </w:r>
      <w:r w:rsidRPr="00A477C5">
        <w:rPr>
          <w:rFonts w:ascii="Traditional Arabic" w:hAnsi="Traditional Arabic"/>
          <w:color w:val="auto"/>
          <w:sz w:val="32"/>
          <w:szCs w:val="32"/>
          <w:rtl/>
        </w:rPr>
        <w:t>) انظر: تفسير الطبري (18/141), معاني القرآن وإعرابه (3/318), الهداية (7/4490).</w:t>
      </w:r>
    </w:p>
  </w:footnote>
  <w:footnote w:id="2046">
    <w:p w:rsidR="003F128F" w:rsidRPr="00A477C5" w:rsidRDefault="003F128F" w:rsidP="0063006E">
      <w:pPr>
        <w:pStyle w:val="af3"/>
        <w:rPr>
          <w:rFonts w:ascii="Traditional Arabic" w:hAnsi="Traditional Arabic"/>
          <w:color w:val="auto"/>
          <w:sz w:val="32"/>
          <w:szCs w:val="32"/>
        </w:rPr>
      </w:pPr>
      <w:r w:rsidRPr="00A477C5">
        <w:rPr>
          <w:rFonts w:ascii="Traditional Arabic" w:hAnsi="Traditional Arabic"/>
          <w:color w:val="auto"/>
          <w:sz w:val="32"/>
          <w:szCs w:val="32"/>
          <w:rtl/>
        </w:rPr>
        <w:t>(</w:t>
      </w:r>
      <w:r w:rsidRPr="00A477C5">
        <w:rPr>
          <w:rStyle w:val="ae"/>
          <w:rFonts w:ascii="Traditional Arabic" w:hAnsi="Traditional Arabic"/>
          <w:color w:val="auto"/>
          <w:sz w:val="32"/>
          <w:szCs w:val="32"/>
          <w:vertAlign w:val="baseline"/>
        </w:rPr>
        <w:footnoteRef/>
      </w:r>
      <w:r w:rsidRPr="00A477C5">
        <w:rPr>
          <w:rFonts w:ascii="Traditional Arabic" w:hAnsi="Traditional Arabic"/>
          <w:color w:val="auto"/>
          <w:sz w:val="32"/>
          <w:szCs w:val="32"/>
          <w:rtl/>
        </w:rPr>
        <w:t xml:space="preserve">) انظر: معاني القرآن وإعرابه (3/318). </w:t>
      </w:r>
    </w:p>
  </w:footnote>
  <w:footnote w:id="2047">
    <w:p w:rsidR="003F128F" w:rsidRPr="00A477C5" w:rsidRDefault="003F128F" w:rsidP="0063006E">
      <w:pPr>
        <w:pStyle w:val="af3"/>
        <w:rPr>
          <w:rFonts w:ascii="Traditional Arabic" w:hAnsi="Traditional Arabic"/>
          <w:color w:val="auto"/>
          <w:sz w:val="32"/>
          <w:szCs w:val="32"/>
        </w:rPr>
      </w:pPr>
      <w:r w:rsidRPr="00A477C5">
        <w:rPr>
          <w:rFonts w:ascii="Traditional Arabic" w:hAnsi="Traditional Arabic"/>
          <w:color w:val="auto"/>
          <w:sz w:val="32"/>
          <w:szCs w:val="32"/>
          <w:rtl/>
        </w:rPr>
        <w:t>(</w:t>
      </w:r>
      <w:r w:rsidRPr="00A477C5">
        <w:rPr>
          <w:rStyle w:val="ae"/>
          <w:rFonts w:ascii="Traditional Arabic" w:hAnsi="Traditional Arabic"/>
          <w:color w:val="auto"/>
          <w:sz w:val="32"/>
          <w:szCs w:val="32"/>
          <w:vertAlign w:val="baseline"/>
        </w:rPr>
        <w:footnoteRef/>
      </w:r>
      <w:r>
        <w:rPr>
          <w:rFonts w:ascii="Traditional Arabic" w:hAnsi="Traditional Arabic"/>
          <w:color w:val="auto"/>
          <w:sz w:val="32"/>
          <w:szCs w:val="32"/>
          <w:rtl/>
        </w:rPr>
        <w:t>)</w:t>
      </w:r>
      <w:r w:rsidRPr="00A477C5">
        <w:rPr>
          <w:rFonts w:ascii="Traditional Arabic" w:hAnsi="Traditional Arabic"/>
          <w:color w:val="auto"/>
          <w:sz w:val="32"/>
          <w:szCs w:val="32"/>
          <w:rtl/>
        </w:rPr>
        <w:t xml:space="preserve"> قول الحسن ذكره يحيى بن سلام في تفسيره (1/213), والماوردي في النكت والعيون (3/352), وأما قول مجاهد فقد ذكره البغوي في معالم التنزيل (6/102).</w:t>
      </w:r>
    </w:p>
  </w:footnote>
  <w:footnote w:id="2048">
    <w:p w:rsidR="003F128F" w:rsidRPr="00A477C5" w:rsidRDefault="003F128F" w:rsidP="0063006E">
      <w:pPr>
        <w:pStyle w:val="af3"/>
        <w:rPr>
          <w:rFonts w:ascii="Traditional Arabic" w:hAnsi="Traditional Arabic"/>
          <w:color w:val="auto"/>
          <w:sz w:val="32"/>
          <w:szCs w:val="32"/>
        </w:rPr>
      </w:pPr>
      <w:r w:rsidRPr="00A477C5">
        <w:rPr>
          <w:rFonts w:ascii="Traditional Arabic" w:hAnsi="Traditional Arabic"/>
          <w:color w:val="auto"/>
          <w:sz w:val="32"/>
          <w:szCs w:val="32"/>
          <w:rtl/>
        </w:rPr>
        <w:t>(</w:t>
      </w:r>
      <w:r w:rsidRPr="00A477C5">
        <w:rPr>
          <w:rStyle w:val="ae"/>
          <w:rFonts w:ascii="Traditional Arabic" w:hAnsi="Traditional Arabic"/>
          <w:color w:val="auto"/>
          <w:sz w:val="32"/>
          <w:szCs w:val="32"/>
          <w:vertAlign w:val="baseline"/>
        </w:rPr>
        <w:footnoteRef/>
      </w:r>
      <w:r w:rsidRPr="00A477C5">
        <w:rPr>
          <w:rFonts w:ascii="Traditional Arabic" w:hAnsi="Traditional Arabic"/>
          <w:color w:val="auto"/>
          <w:sz w:val="32"/>
          <w:szCs w:val="32"/>
          <w:rtl/>
        </w:rPr>
        <w:t>) انظر: تفسير عبدالرزاق (2/350), تفسير الطبري (18/142), الكشف والبيان (6/205).</w:t>
      </w:r>
    </w:p>
  </w:footnote>
  <w:footnote w:id="2049">
    <w:p w:rsidR="003F128F" w:rsidRPr="00A477C5" w:rsidRDefault="003F128F" w:rsidP="0063006E">
      <w:pPr>
        <w:pStyle w:val="af3"/>
        <w:rPr>
          <w:rFonts w:ascii="Tahoma" w:hAnsi="Tahoma"/>
        </w:rPr>
      </w:pPr>
      <w:r w:rsidRPr="00A477C5">
        <w:rPr>
          <w:rFonts w:ascii="Traditional Arabic" w:hAnsi="Traditional Arabic"/>
          <w:sz w:val="32"/>
          <w:szCs w:val="32"/>
          <w:rtl/>
        </w:rPr>
        <w:t>(</w:t>
      </w:r>
      <w:r w:rsidRPr="00A477C5">
        <w:rPr>
          <w:rStyle w:val="ae"/>
          <w:rFonts w:ascii="Traditional Arabic" w:hAnsi="Traditional Arabic"/>
          <w:sz w:val="32"/>
          <w:szCs w:val="32"/>
          <w:vertAlign w:val="baseline"/>
        </w:rPr>
        <w:footnoteRef/>
      </w:r>
      <w:r w:rsidRPr="00A477C5">
        <w:rPr>
          <w:rFonts w:ascii="Traditional Arabic" w:hAnsi="Traditional Arabic"/>
          <w:sz w:val="32"/>
          <w:szCs w:val="32"/>
          <w:rtl/>
        </w:rPr>
        <w:t>) في (ك): [لتتفق المباني].</w:t>
      </w:r>
    </w:p>
  </w:footnote>
  <w:footnote w:id="2050">
    <w:p w:rsidR="003F128F" w:rsidRPr="00EF229F" w:rsidRDefault="003F128F" w:rsidP="0063006E">
      <w:pPr>
        <w:pStyle w:val="af3"/>
        <w:rPr>
          <w:rFonts w:ascii="Tahoma" w:hAnsi="Tahoma"/>
        </w:rPr>
      </w:pPr>
      <w:r w:rsidRPr="005B5721">
        <w:rPr>
          <w:rFonts w:ascii="Traditional Arabic" w:hAnsi="Traditional Arabic"/>
          <w:color w:val="auto"/>
          <w:sz w:val="32"/>
          <w:szCs w:val="32"/>
          <w:rtl/>
        </w:rPr>
        <w:t>(</w:t>
      </w:r>
      <w:r w:rsidRPr="005B5721">
        <w:rPr>
          <w:rStyle w:val="ae"/>
          <w:rFonts w:ascii="Traditional Arabic" w:hAnsi="Traditional Arabic"/>
          <w:color w:val="auto"/>
          <w:sz w:val="32"/>
          <w:szCs w:val="32"/>
          <w:vertAlign w:val="baseline"/>
        </w:rPr>
        <w:footnoteRef/>
      </w:r>
      <w:r w:rsidRPr="005B5721">
        <w:rPr>
          <w:rFonts w:ascii="Traditional Arabic" w:hAnsi="Traditional Arabic"/>
          <w:color w:val="auto"/>
          <w:sz w:val="32"/>
          <w:szCs w:val="32"/>
          <w:rtl/>
        </w:rPr>
        <w:t>)</w:t>
      </w:r>
      <w:r w:rsidRPr="005B5721">
        <w:rPr>
          <w:rFonts w:ascii="Traditional Arabic" w:hAnsi="Traditional Arabic" w:hint="cs"/>
          <w:color w:val="auto"/>
          <w:sz w:val="32"/>
          <w:szCs w:val="32"/>
          <w:rtl/>
        </w:rPr>
        <w:t xml:space="preserve"> </w:t>
      </w:r>
      <w:r w:rsidRPr="005B5721">
        <w:rPr>
          <w:rFonts w:ascii="Tahoma" w:hAnsi="Tahoma" w:hint="cs"/>
          <w:color w:val="auto"/>
          <w:sz w:val="32"/>
          <w:szCs w:val="32"/>
          <w:rtl/>
        </w:rPr>
        <w:t>لم أقف عليه فيما لدي من مصادر.</w:t>
      </w:r>
    </w:p>
  </w:footnote>
  <w:footnote w:id="2051">
    <w:p w:rsidR="003F128F" w:rsidRPr="003B6D62" w:rsidRDefault="003F128F" w:rsidP="0063006E">
      <w:pPr>
        <w:pStyle w:val="af3"/>
        <w:rPr>
          <w:rFonts w:ascii="Traditional Arabic" w:hAnsi="Traditional Arabic"/>
          <w:sz w:val="32"/>
          <w:szCs w:val="32"/>
        </w:rPr>
      </w:pPr>
      <w:r w:rsidRPr="003B6D62">
        <w:rPr>
          <w:rFonts w:ascii="Traditional Arabic" w:hAnsi="Traditional Arabic"/>
          <w:sz w:val="32"/>
          <w:szCs w:val="32"/>
          <w:rtl/>
        </w:rPr>
        <w:t>(</w:t>
      </w:r>
      <w:r w:rsidRPr="003B6D62">
        <w:rPr>
          <w:rStyle w:val="ae"/>
          <w:rFonts w:ascii="Traditional Arabic" w:hAnsi="Traditional Arabic"/>
          <w:sz w:val="32"/>
          <w:szCs w:val="32"/>
          <w:vertAlign w:val="baseline"/>
        </w:rPr>
        <w:footnoteRef/>
      </w:r>
      <w:r w:rsidRPr="003B6D62">
        <w:rPr>
          <w:rFonts w:ascii="Traditional Arabic" w:hAnsi="Traditional Arabic"/>
          <w:sz w:val="32"/>
          <w:szCs w:val="32"/>
          <w:rtl/>
        </w:rPr>
        <w:t xml:space="preserve">) </w:t>
      </w:r>
      <w:r w:rsidRPr="003B6D62">
        <w:rPr>
          <w:rFonts w:ascii="Traditional Arabic" w:hAnsi="Traditional Arabic"/>
          <w:color w:val="auto"/>
          <w:sz w:val="32"/>
          <w:szCs w:val="32"/>
          <w:rtl/>
        </w:rPr>
        <w:t>انظر: معاني القرآن وإعرابه (3/318).</w:t>
      </w:r>
    </w:p>
  </w:footnote>
  <w:footnote w:id="2052">
    <w:p w:rsidR="003F128F" w:rsidRPr="003B6D62" w:rsidRDefault="003F128F" w:rsidP="0063006E">
      <w:pPr>
        <w:pStyle w:val="af3"/>
        <w:rPr>
          <w:rFonts w:ascii="Traditional Arabic" w:hAnsi="Traditional Arabic"/>
          <w:sz w:val="32"/>
          <w:szCs w:val="32"/>
        </w:rPr>
      </w:pPr>
      <w:r w:rsidRPr="003B6D62">
        <w:rPr>
          <w:rFonts w:ascii="Traditional Arabic" w:hAnsi="Traditional Arabic"/>
          <w:sz w:val="32"/>
          <w:szCs w:val="32"/>
          <w:rtl/>
        </w:rPr>
        <w:t>(</w:t>
      </w:r>
      <w:r w:rsidRPr="003B6D62">
        <w:rPr>
          <w:rStyle w:val="ae"/>
          <w:rFonts w:ascii="Traditional Arabic" w:hAnsi="Traditional Arabic"/>
          <w:sz w:val="32"/>
          <w:szCs w:val="32"/>
          <w:vertAlign w:val="baseline"/>
        </w:rPr>
        <w:footnoteRef/>
      </w:r>
      <w:r w:rsidRPr="003B6D62">
        <w:rPr>
          <w:rFonts w:ascii="Traditional Arabic" w:hAnsi="Traditional Arabic"/>
          <w:sz w:val="32"/>
          <w:szCs w:val="32"/>
          <w:rtl/>
        </w:rPr>
        <w:t>) انظر: معاني القرآن للفراء (2/161).</w:t>
      </w:r>
    </w:p>
  </w:footnote>
  <w:footnote w:id="2053">
    <w:p w:rsidR="003F128F" w:rsidRPr="003B6D62" w:rsidRDefault="003F128F" w:rsidP="0063006E">
      <w:pPr>
        <w:pStyle w:val="af3"/>
        <w:rPr>
          <w:rFonts w:ascii="Traditional Arabic" w:hAnsi="Traditional Arabic"/>
          <w:sz w:val="32"/>
          <w:szCs w:val="32"/>
        </w:rPr>
      </w:pPr>
      <w:r w:rsidRPr="003B6D62">
        <w:rPr>
          <w:rFonts w:ascii="Traditional Arabic" w:hAnsi="Traditional Arabic"/>
          <w:sz w:val="32"/>
          <w:szCs w:val="32"/>
          <w:rtl/>
        </w:rPr>
        <w:t>(</w:t>
      </w:r>
      <w:r w:rsidRPr="003B6D62">
        <w:rPr>
          <w:rStyle w:val="ae"/>
          <w:rFonts w:ascii="Traditional Arabic" w:hAnsi="Traditional Arabic"/>
          <w:sz w:val="32"/>
          <w:szCs w:val="32"/>
          <w:vertAlign w:val="baseline"/>
        </w:rPr>
        <w:footnoteRef/>
      </w:r>
      <w:r w:rsidRPr="003B6D62">
        <w:rPr>
          <w:rFonts w:ascii="Traditional Arabic" w:hAnsi="Traditional Arabic"/>
          <w:sz w:val="32"/>
          <w:szCs w:val="32"/>
          <w:rtl/>
        </w:rPr>
        <w:t xml:space="preserve">) انظر: تفسير الطبري (18/143), </w:t>
      </w:r>
      <w:r w:rsidRPr="003B6D62">
        <w:rPr>
          <w:rFonts w:ascii="Traditional Arabic" w:hAnsi="Traditional Arabic"/>
          <w:color w:val="auto"/>
          <w:sz w:val="32"/>
          <w:szCs w:val="32"/>
          <w:rtl/>
        </w:rPr>
        <w:t>الهداية (7/4490), النكت والعيون (3/354).</w:t>
      </w:r>
      <w:r w:rsidRPr="003B6D62">
        <w:rPr>
          <w:rFonts w:ascii="Traditional Arabic" w:hAnsi="Traditional Arabic"/>
          <w:sz w:val="32"/>
          <w:szCs w:val="32"/>
          <w:rtl/>
        </w:rPr>
        <w:t xml:space="preserve"> </w:t>
      </w:r>
    </w:p>
  </w:footnote>
  <w:footnote w:id="2054">
    <w:p w:rsidR="003F128F" w:rsidRPr="003B6D62" w:rsidRDefault="003F128F" w:rsidP="0063006E">
      <w:pPr>
        <w:pStyle w:val="af3"/>
        <w:rPr>
          <w:rFonts w:ascii="Traditional Arabic" w:hAnsi="Traditional Arabic"/>
          <w:sz w:val="32"/>
          <w:szCs w:val="32"/>
        </w:rPr>
      </w:pPr>
      <w:r w:rsidRPr="003B6D62">
        <w:rPr>
          <w:rFonts w:ascii="Traditional Arabic" w:hAnsi="Traditional Arabic"/>
          <w:sz w:val="32"/>
          <w:szCs w:val="32"/>
          <w:rtl/>
        </w:rPr>
        <w:t>(</w:t>
      </w:r>
      <w:r w:rsidRPr="003B6D62">
        <w:rPr>
          <w:rStyle w:val="ae"/>
          <w:rFonts w:ascii="Traditional Arabic" w:hAnsi="Traditional Arabic"/>
          <w:sz w:val="32"/>
          <w:szCs w:val="32"/>
          <w:vertAlign w:val="baseline"/>
        </w:rPr>
        <w:footnoteRef/>
      </w:r>
      <w:r w:rsidRPr="003B6D62">
        <w:rPr>
          <w:rFonts w:ascii="Traditional Arabic" w:hAnsi="Traditional Arabic"/>
          <w:sz w:val="32"/>
          <w:szCs w:val="32"/>
          <w:rtl/>
        </w:rPr>
        <w:t>)</w:t>
      </w:r>
      <w:r w:rsidRPr="003B6D62">
        <w:rPr>
          <w:rFonts w:ascii="Traditional Arabic" w:hAnsi="Traditional Arabic"/>
          <w:color w:val="auto"/>
          <w:sz w:val="32"/>
          <w:szCs w:val="32"/>
          <w:rtl/>
        </w:rPr>
        <w:t xml:space="preserve"> انظر: تفسير مقاتل (2/620). </w:t>
      </w:r>
      <w:r w:rsidRPr="003B6D62">
        <w:rPr>
          <w:rFonts w:ascii="Traditional Arabic" w:hAnsi="Traditional Arabic"/>
          <w:sz w:val="32"/>
          <w:szCs w:val="32"/>
          <w:rtl/>
        </w:rPr>
        <w:t xml:space="preserve"> </w:t>
      </w:r>
    </w:p>
  </w:footnote>
  <w:footnote w:id="2055">
    <w:p w:rsidR="003F128F" w:rsidRPr="003B6D62" w:rsidRDefault="003F128F" w:rsidP="0063006E">
      <w:pPr>
        <w:pStyle w:val="af3"/>
        <w:rPr>
          <w:rFonts w:ascii="Traditional Arabic" w:hAnsi="Traditional Arabic"/>
          <w:sz w:val="32"/>
          <w:szCs w:val="32"/>
        </w:rPr>
      </w:pPr>
      <w:r w:rsidRPr="003B6D62">
        <w:rPr>
          <w:rFonts w:ascii="Traditional Arabic" w:hAnsi="Traditional Arabic"/>
          <w:sz w:val="32"/>
          <w:szCs w:val="32"/>
          <w:rtl/>
        </w:rPr>
        <w:t>(</w:t>
      </w:r>
      <w:r w:rsidRPr="003B6D62">
        <w:rPr>
          <w:rStyle w:val="ae"/>
          <w:rFonts w:ascii="Traditional Arabic" w:hAnsi="Traditional Arabic"/>
          <w:sz w:val="32"/>
          <w:szCs w:val="32"/>
          <w:vertAlign w:val="baseline"/>
        </w:rPr>
        <w:footnoteRef/>
      </w:r>
      <w:r w:rsidRPr="003B6D62">
        <w:rPr>
          <w:rFonts w:ascii="Traditional Arabic" w:hAnsi="Traditional Arabic"/>
          <w:sz w:val="32"/>
          <w:szCs w:val="32"/>
          <w:rtl/>
        </w:rPr>
        <w:t xml:space="preserve">) انظر: رموز الكنوز (4/389).  </w:t>
      </w:r>
    </w:p>
  </w:footnote>
  <w:footnote w:id="2056">
    <w:p w:rsidR="003F128F" w:rsidRPr="003B6D62" w:rsidRDefault="003F128F" w:rsidP="008A472D">
      <w:pPr>
        <w:pStyle w:val="af3"/>
        <w:rPr>
          <w:rFonts w:ascii="Traditional Arabic" w:hAnsi="Traditional Arabic"/>
          <w:sz w:val="32"/>
          <w:szCs w:val="32"/>
        </w:rPr>
      </w:pPr>
      <w:r w:rsidRPr="003B6D62">
        <w:rPr>
          <w:rFonts w:ascii="Traditional Arabic" w:hAnsi="Traditional Arabic"/>
          <w:sz w:val="32"/>
          <w:szCs w:val="32"/>
          <w:rtl/>
        </w:rPr>
        <w:t>(</w:t>
      </w:r>
      <w:r w:rsidRPr="003B6D62">
        <w:rPr>
          <w:rStyle w:val="ae"/>
          <w:rFonts w:ascii="Traditional Arabic" w:hAnsi="Traditional Arabic"/>
          <w:sz w:val="32"/>
          <w:szCs w:val="32"/>
          <w:vertAlign w:val="baseline"/>
        </w:rPr>
        <w:footnoteRef/>
      </w:r>
      <w:r w:rsidRPr="003B6D62">
        <w:rPr>
          <w:rFonts w:ascii="Traditional Arabic" w:hAnsi="Traditional Arabic"/>
          <w:sz w:val="32"/>
          <w:szCs w:val="32"/>
          <w:rtl/>
        </w:rPr>
        <w:t xml:space="preserve">) أخرجه البخاري (كتاب الجهاد والسير, باب: </w:t>
      </w:r>
      <w:r w:rsidRPr="003B6D62">
        <w:rPr>
          <w:rFonts w:ascii="Traditional Arabic" w:hAnsi="Traditional Arabic"/>
          <w:sz w:val="32"/>
          <w:szCs w:val="32"/>
          <w:rtl/>
          <w:lang w:eastAsia="en-US"/>
        </w:rPr>
        <w:t>ما يُكرَهُ مِنْ رفعِ الصوتِ بالتكبير</w:t>
      </w:r>
      <w:r w:rsidRPr="003B6D62">
        <w:rPr>
          <w:rFonts w:ascii="Traditional Arabic" w:hAnsi="Traditional Arabic"/>
          <w:sz w:val="32"/>
          <w:szCs w:val="32"/>
          <w:rtl/>
        </w:rPr>
        <w:t xml:space="preserve"> 6/163 ح2992 وأطرافه في: ح4205, 6384, 6409, 6610, 7386), ومسلم (كتاب الذكر والدعاء, باب: استحباب خفض الصوت بالذكر, 17/27 ح6802). عن أبي موسى الأشعري ، رضي الله عنه قال: كنا مع رسول الله </w:t>
      </w:r>
      <w:r w:rsidRPr="003B6D62">
        <w:rPr>
          <w:rFonts w:ascii="Traditional Arabic" w:hAnsi="Traditional Arabic"/>
          <w:sz w:val="32"/>
          <w:szCs w:val="32"/>
        </w:rPr>
        <w:sym w:font="AGA Arabesque" w:char="F072"/>
      </w:r>
      <w:r w:rsidRPr="003B6D62">
        <w:rPr>
          <w:rFonts w:ascii="Traditional Arabic" w:hAnsi="Traditional Arabic"/>
          <w:sz w:val="32"/>
          <w:szCs w:val="32"/>
          <w:rtl/>
        </w:rPr>
        <w:t xml:space="preserve"> فكنا إِذا أشرفنا على وادٍ هللنا وكبرنا ارتفعت أصواتنا فقال النبي </w:t>
      </w:r>
      <w:r w:rsidRPr="003B6D62">
        <w:rPr>
          <w:rFonts w:ascii="Traditional Arabic" w:hAnsi="Traditional Arabic"/>
          <w:sz w:val="32"/>
          <w:szCs w:val="32"/>
        </w:rPr>
        <w:sym w:font="AGA Arabesque" w:char="F072"/>
      </w:r>
      <w:r w:rsidRPr="003B6D62">
        <w:rPr>
          <w:rFonts w:ascii="Traditional Arabic" w:hAnsi="Traditional Arabic"/>
          <w:sz w:val="32"/>
          <w:szCs w:val="32"/>
          <w:rtl/>
        </w:rPr>
        <w:t>: "يا أيها الناس ارْبَعُوا على أنفسكم فإنكم لا تدعون أَصَمَّ ولا غائبا</w:t>
      </w:r>
      <w:r>
        <w:rPr>
          <w:rFonts w:ascii="Traditional Arabic" w:hAnsi="Traditional Arabic" w:hint="cs"/>
          <w:sz w:val="32"/>
          <w:szCs w:val="32"/>
          <w:rtl/>
        </w:rPr>
        <w:t>ً,</w:t>
      </w:r>
      <w:r w:rsidRPr="003B6D62">
        <w:rPr>
          <w:rFonts w:ascii="Traditional Arabic" w:hAnsi="Traditional Arabic"/>
          <w:sz w:val="32"/>
          <w:szCs w:val="32"/>
          <w:rtl/>
        </w:rPr>
        <w:t xml:space="preserve"> إنه معكم</w:t>
      </w:r>
      <w:r>
        <w:rPr>
          <w:rFonts w:ascii="Traditional Arabic" w:hAnsi="Traditional Arabic" w:hint="cs"/>
          <w:sz w:val="32"/>
          <w:szCs w:val="32"/>
          <w:rtl/>
        </w:rPr>
        <w:t>,</w:t>
      </w:r>
      <w:r w:rsidRPr="003B6D62">
        <w:rPr>
          <w:rFonts w:ascii="Traditional Arabic" w:hAnsi="Traditional Arabic"/>
          <w:sz w:val="32"/>
          <w:szCs w:val="32"/>
          <w:rtl/>
        </w:rPr>
        <w:t xml:space="preserve"> إنه سميع قر</w:t>
      </w:r>
      <w:r>
        <w:rPr>
          <w:rFonts w:ascii="Traditional Arabic" w:hAnsi="Traditional Arabic" w:hint="cs"/>
          <w:sz w:val="32"/>
          <w:szCs w:val="32"/>
          <w:rtl/>
        </w:rPr>
        <w:t>ي</w:t>
      </w:r>
      <w:r w:rsidRPr="003B6D62">
        <w:rPr>
          <w:rFonts w:ascii="Traditional Arabic" w:hAnsi="Traditional Arabic"/>
          <w:sz w:val="32"/>
          <w:szCs w:val="32"/>
          <w:rtl/>
        </w:rPr>
        <w:t xml:space="preserve">ب تبارك اسمه وتعالى جَده". واللفظ للبخاري. </w:t>
      </w:r>
    </w:p>
  </w:footnote>
  <w:footnote w:id="2057">
    <w:p w:rsidR="003F128F" w:rsidRPr="00A477C5" w:rsidRDefault="003F128F" w:rsidP="0063006E">
      <w:pPr>
        <w:pStyle w:val="af3"/>
        <w:rPr>
          <w:rFonts w:ascii="Tahoma" w:hAnsi="Tahoma"/>
        </w:rPr>
      </w:pPr>
      <w:r w:rsidRPr="00A477C5">
        <w:rPr>
          <w:rFonts w:ascii="Traditional Arabic" w:hAnsi="Traditional Arabic"/>
          <w:sz w:val="32"/>
          <w:szCs w:val="32"/>
          <w:rtl/>
        </w:rPr>
        <w:t>(</w:t>
      </w:r>
      <w:r w:rsidRPr="00A477C5">
        <w:rPr>
          <w:rStyle w:val="ae"/>
          <w:rFonts w:ascii="Traditional Arabic" w:hAnsi="Traditional Arabic"/>
          <w:sz w:val="32"/>
          <w:szCs w:val="32"/>
          <w:vertAlign w:val="baseline"/>
        </w:rPr>
        <w:footnoteRef/>
      </w:r>
      <w:r w:rsidRPr="00A477C5">
        <w:rPr>
          <w:rFonts w:ascii="Traditional Arabic" w:hAnsi="Traditional Arabic"/>
          <w:sz w:val="32"/>
          <w:szCs w:val="32"/>
          <w:rtl/>
        </w:rPr>
        <w:t>) في (ك): [قوله تعالى:</w:t>
      </w:r>
      <w:r w:rsidRPr="000F04D5">
        <w:rPr>
          <w:rFonts w:ascii="Traditional Arabic" w:hAnsi="Traditional Arabic"/>
          <w:rtl/>
        </w:rPr>
        <w:t xml:space="preserve"> </w:t>
      </w:r>
      <w:r w:rsidRPr="00A477C5">
        <w:rPr>
          <w:rFonts w:ascii="QCF_BSML" w:hAnsi="QCF_BSML" w:cs="QCF_BSML"/>
          <w:color w:val="auto"/>
          <w:rtl/>
          <w:lang w:eastAsia="en-US"/>
        </w:rPr>
        <w:t>ﭽ</w:t>
      </w:r>
      <w:r w:rsidRPr="00A477C5">
        <w:rPr>
          <w:rFonts w:ascii="QCF_P305" w:hAnsi="QCF_P305" w:cs="QCF_P305"/>
          <w:color w:val="auto"/>
          <w:rtl/>
          <w:lang w:eastAsia="en-US"/>
        </w:rPr>
        <w:t xml:space="preserve"> ﭡ    ﭢ  ﭣ   ﭤ</w:t>
      </w:r>
      <w:r w:rsidRPr="00A477C5">
        <w:rPr>
          <w:rFonts w:ascii="QCF_BSML" w:hAnsi="QCF_BSML" w:cs="QCF_BSML"/>
          <w:rtl/>
          <w:lang w:eastAsia="en-US"/>
        </w:rPr>
        <w:t xml:space="preserve"> ﭼ</w:t>
      </w:r>
      <w:r>
        <w:rPr>
          <w:rFonts w:ascii="Traditional Arabic" w:hAnsi="Traditional Arabic" w:hint="cs"/>
          <w:sz w:val="32"/>
          <w:szCs w:val="32"/>
          <w:rtl/>
          <w:lang w:eastAsia="en-US"/>
        </w:rPr>
        <w:t>].</w:t>
      </w:r>
      <w:r>
        <w:rPr>
          <w:rFonts w:ascii="Tahoma" w:hAnsi="Tahoma"/>
          <w:rtl/>
        </w:rPr>
        <w:t xml:space="preserve"> </w:t>
      </w:r>
    </w:p>
  </w:footnote>
  <w:footnote w:id="2058">
    <w:p w:rsidR="003F128F" w:rsidRPr="003B6D62" w:rsidRDefault="003F128F" w:rsidP="0063006E">
      <w:pPr>
        <w:pStyle w:val="af3"/>
        <w:rPr>
          <w:rFonts w:ascii="Traditional Arabic" w:hAnsi="Traditional Arabic"/>
          <w:sz w:val="32"/>
          <w:szCs w:val="32"/>
        </w:rPr>
      </w:pPr>
      <w:r w:rsidRPr="003B6D62">
        <w:rPr>
          <w:rFonts w:ascii="Traditional Arabic" w:hAnsi="Traditional Arabic"/>
          <w:sz w:val="32"/>
          <w:szCs w:val="32"/>
          <w:rtl/>
        </w:rPr>
        <w:t>(</w:t>
      </w:r>
      <w:r w:rsidRPr="003B6D62">
        <w:rPr>
          <w:rStyle w:val="ae"/>
          <w:rFonts w:ascii="Traditional Arabic" w:hAnsi="Traditional Arabic"/>
          <w:sz w:val="32"/>
          <w:szCs w:val="32"/>
          <w:vertAlign w:val="baseline"/>
        </w:rPr>
        <w:footnoteRef/>
      </w:r>
      <w:r w:rsidRPr="003B6D62">
        <w:rPr>
          <w:rFonts w:ascii="Traditional Arabic" w:hAnsi="Traditional Arabic"/>
          <w:sz w:val="32"/>
          <w:szCs w:val="32"/>
          <w:rtl/>
        </w:rPr>
        <w:t>)</w:t>
      </w:r>
      <w:r w:rsidRPr="003B6D62">
        <w:rPr>
          <w:rFonts w:ascii="Traditional Arabic" w:hAnsi="Traditional Arabic"/>
          <w:color w:val="auto"/>
          <w:sz w:val="32"/>
          <w:szCs w:val="32"/>
          <w:rtl/>
        </w:rPr>
        <w:t xml:space="preserve"> انظر: رموز الكنوز </w:t>
      </w:r>
      <w:r w:rsidRPr="003B6D62">
        <w:rPr>
          <w:rFonts w:ascii="Traditional Arabic" w:hAnsi="Traditional Arabic"/>
          <w:sz w:val="32"/>
          <w:szCs w:val="32"/>
          <w:rtl/>
        </w:rPr>
        <w:t xml:space="preserve">(4/389), وذكرت غير منسوبة في </w:t>
      </w:r>
      <w:r w:rsidRPr="003B6D62">
        <w:rPr>
          <w:rFonts w:ascii="Traditional Arabic" w:hAnsi="Traditional Arabic"/>
          <w:color w:val="auto"/>
          <w:sz w:val="32"/>
          <w:szCs w:val="32"/>
          <w:rtl/>
        </w:rPr>
        <w:t>مختصر الشواذ (ص86), والكشاف</w:t>
      </w:r>
      <w:r>
        <w:rPr>
          <w:rFonts w:ascii="Traditional Arabic" w:hAnsi="Traditional Arabic"/>
          <w:color w:val="auto"/>
          <w:sz w:val="32"/>
          <w:szCs w:val="32"/>
          <w:rtl/>
        </w:rPr>
        <w:t xml:space="preserve"> (3/4), التفسير الكبير (21/507)</w:t>
      </w:r>
      <w:r w:rsidRPr="003B6D62">
        <w:rPr>
          <w:rFonts w:ascii="Traditional Arabic" w:hAnsi="Traditional Arabic"/>
          <w:color w:val="auto"/>
          <w:sz w:val="32"/>
          <w:szCs w:val="32"/>
          <w:rtl/>
        </w:rPr>
        <w:t xml:space="preserve"> وغيرها.</w:t>
      </w:r>
    </w:p>
  </w:footnote>
  <w:footnote w:id="2059">
    <w:p w:rsidR="003F128F" w:rsidRPr="003B6D62" w:rsidRDefault="003F128F" w:rsidP="0016422F">
      <w:pPr>
        <w:pStyle w:val="af3"/>
        <w:rPr>
          <w:rFonts w:ascii="Tahoma" w:hAnsi="Tahoma"/>
        </w:rPr>
      </w:pPr>
      <w:r w:rsidRPr="003B6D62">
        <w:rPr>
          <w:rFonts w:ascii="Traditional Arabic" w:hAnsi="Traditional Arabic"/>
          <w:sz w:val="32"/>
          <w:szCs w:val="32"/>
          <w:rtl/>
        </w:rPr>
        <w:t>(</w:t>
      </w:r>
      <w:r w:rsidRPr="003B6D62">
        <w:rPr>
          <w:rStyle w:val="ae"/>
          <w:rFonts w:ascii="Traditional Arabic" w:hAnsi="Traditional Arabic"/>
          <w:sz w:val="32"/>
          <w:szCs w:val="32"/>
          <w:vertAlign w:val="baseline"/>
        </w:rPr>
        <w:footnoteRef/>
      </w:r>
      <w:r w:rsidRPr="003B6D62">
        <w:rPr>
          <w:rFonts w:ascii="Traditional Arabic" w:hAnsi="Traditional Arabic"/>
          <w:sz w:val="32"/>
          <w:szCs w:val="32"/>
          <w:rtl/>
        </w:rPr>
        <w:t>) كتاب فيه لغات القرآن (ص89), إعراب القرآن للنحاس (ص558)</w:t>
      </w:r>
      <w:r>
        <w:rPr>
          <w:rFonts w:ascii="Traditional Arabic" w:hAnsi="Traditional Arabic" w:hint="cs"/>
          <w:sz w:val="32"/>
          <w:szCs w:val="32"/>
          <w:rtl/>
        </w:rPr>
        <w:t>.</w:t>
      </w:r>
    </w:p>
  </w:footnote>
  <w:footnote w:id="2060">
    <w:p w:rsidR="003F128F" w:rsidRPr="0084724F" w:rsidRDefault="003F128F" w:rsidP="0063006E">
      <w:pPr>
        <w:pStyle w:val="af3"/>
        <w:rPr>
          <w:rFonts w:ascii="Traditional Arabic" w:hAnsi="Traditional Arabic"/>
          <w:sz w:val="32"/>
          <w:szCs w:val="32"/>
        </w:rPr>
      </w:pPr>
      <w:r w:rsidRPr="0084724F">
        <w:rPr>
          <w:rFonts w:ascii="Traditional Arabic" w:hAnsi="Traditional Arabic"/>
          <w:sz w:val="32"/>
          <w:szCs w:val="32"/>
          <w:rtl/>
        </w:rPr>
        <w:t>(</w:t>
      </w:r>
      <w:r w:rsidRPr="0084724F">
        <w:rPr>
          <w:rStyle w:val="ae"/>
          <w:rFonts w:ascii="Traditional Arabic" w:hAnsi="Traditional Arabic"/>
          <w:sz w:val="32"/>
          <w:szCs w:val="32"/>
          <w:vertAlign w:val="baseline"/>
        </w:rPr>
        <w:footnoteRef/>
      </w:r>
      <w:r w:rsidRPr="0084724F">
        <w:rPr>
          <w:rFonts w:ascii="Traditional Arabic" w:hAnsi="Traditional Arabic"/>
          <w:sz w:val="32"/>
          <w:szCs w:val="32"/>
          <w:rtl/>
        </w:rPr>
        <w:t xml:space="preserve">) </w:t>
      </w:r>
      <w:r w:rsidRPr="0084724F">
        <w:rPr>
          <w:rFonts w:ascii="Traditional Arabic" w:hAnsi="Traditional Arabic"/>
          <w:color w:val="auto"/>
          <w:sz w:val="32"/>
          <w:szCs w:val="32"/>
          <w:rtl/>
        </w:rPr>
        <w:t xml:space="preserve">انظر: </w:t>
      </w:r>
      <w:r w:rsidRPr="0084724F">
        <w:rPr>
          <w:rFonts w:ascii="Traditional Arabic" w:hAnsi="Traditional Arabic"/>
          <w:sz w:val="32"/>
          <w:szCs w:val="32"/>
          <w:rtl/>
        </w:rPr>
        <w:t xml:space="preserve">النكت والعيون (3/355), </w:t>
      </w:r>
      <w:r w:rsidRPr="0084724F">
        <w:rPr>
          <w:rFonts w:ascii="Traditional Arabic" w:hAnsi="Traditional Arabic"/>
          <w:color w:val="auto"/>
          <w:sz w:val="32"/>
          <w:szCs w:val="32"/>
          <w:rtl/>
        </w:rPr>
        <w:t>الكشاف (3/4).</w:t>
      </w:r>
    </w:p>
  </w:footnote>
  <w:footnote w:id="2061">
    <w:p w:rsidR="003F128F" w:rsidRPr="0084724F" w:rsidRDefault="003F128F" w:rsidP="0063006E">
      <w:pPr>
        <w:pStyle w:val="af3"/>
        <w:rPr>
          <w:rFonts w:ascii="Traditional Arabic" w:hAnsi="Traditional Arabic"/>
          <w:sz w:val="32"/>
          <w:szCs w:val="32"/>
        </w:rPr>
      </w:pPr>
      <w:r w:rsidRPr="0084724F">
        <w:rPr>
          <w:rFonts w:ascii="Traditional Arabic" w:hAnsi="Traditional Arabic"/>
          <w:sz w:val="32"/>
          <w:szCs w:val="32"/>
          <w:rtl/>
        </w:rPr>
        <w:t>(</w:t>
      </w:r>
      <w:r w:rsidRPr="0084724F">
        <w:rPr>
          <w:rStyle w:val="ae"/>
          <w:rFonts w:ascii="Traditional Arabic" w:hAnsi="Traditional Arabic"/>
          <w:sz w:val="32"/>
          <w:szCs w:val="32"/>
          <w:vertAlign w:val="baseline"/>
        </w:rPr>
        <w:footnoteRef/>
      </w:r>
      <w:r w:rsidRPr="0084724F">
        <w:rPr>
          <w:rFonts w:ascii="Traditional Arabic" w:hAnsi="Traditional Arabic"/>
          <w:sz w:val="32"/>
          <w:szCs w:val="32"/>
          <w:rtl/>
        </w:rPr>
        <w:t>) انظر: التفسير الوسيط (3/175),</w:t>
      </w:r>
      <w:r w:rsidRPr="0084724F">
        <w:rPr>
          <w:rFonts w:ascii="Traditional Arabic" w:hAnsi="Traditional Arabic"/>
          <w:color w:val="auto"/>
          <w:sz w:val="32"/>
          <w:szCs w:val="32"/>
          <w:rtl/>
        </w:rPr>
        <w:t xml:space="preserve"> معالم التنزيل (5/218).</w:t>
      </w:r>
    </w:p>
  </w:footnote>
  <w:footnote w:id="2062">
    <w:p w:rsidR="003F128F" w:rsidRPr="0084724F" w:rsidRDefault="003F128F" w:rsidP="0063006E">
      <w:pPr>
        <w:pStyle w:val="af3"/>
        <w:rPr>
          <w:rFonts w:ascii="Traditional Arabic" w:hAnsi="Traditional Arabic"/>
          <w:sz w:val="32"/>
          <w:szCs w:val="32"/>
        </w:rPr>
      </w:pPr>
      <w:r w:rsidRPr="0084724F">
        <w:rPr>
          <w:rFonts w:ascii="Traditional Arabic" w:hAnsi="Traditional Arabic"/>
          <w:sz w:val="32"/>
          <w:szCs w:val="32"/>
          <w:rtl/>
        </w:rPr>
        <w:t>(</w:t>
      </w:r>
      <w:r w:rsidRPr="0084724F">
        <w:rPr>
          <w:rStyle w:val="ae"/>
          <w:rFonts w:ascii="Traditional Arabic" w:hAnsi="Traditional Arabic"/>
          <w:sz w:val="32"/>
          <w:szCs w:val="32"/>
          <w:vertAlign w:val="baseline"/>
        </w:rPr>
        <w:footnoteRef/>
      </w:r>
      <w:r w:rsidRPr="0084724F">
        <w:rPr>
          <w:rFonts w:ascii="Traditional Arabic" w:hAnsi="Traditional Arabic"/>
          <w:sz w:val="32"/>
          <w:szCs w:val="32"/>
          <w:rtl/>
        </w:rPr>
        <w:t xml:space="preserve">) انظر: النكت والعيون (3/355), </w:t>
      </w:r>
      <w:r w:rsidRPr="0084724F">
        <w:rPr>
          <w:rFonts w:ascii="Traditional Arabic" w:hAnsi="Traditional Arabic"/>
          <w:color w:val="auto"/>
          <w:sz w:val="32"/>
          <w:szCs w:val="32"/>
          <w:rtl/>
        </w:rPr>
        <w:t>الكشاف (3/4), المحرر الوجيز (4/4).</w:t>
      </w:r>
    </w:p>
  </w:footnote>
  <w:footnote w:id="2063">
    <w:p w:rsidR="003F128F" w:rsidRPr="0084724F" w:rsidRDefault="003F128F" w:rsidP="0063006E">
      <w:pPr>
        <w:pStyle w:val="af3"/>
        <w:rPr>
          <w:rFonts w:ascii="Traditional Arabic" w:hAnsi="Traditional Arabic"/>
          <w:sz w:val="32"/>
          <w:szCs w:val="32"/>
        </w:rPr>
      </w:pPr>
      <w:r w:rsidRPr="0084724F">
        <w:rPr>
          <w:rFonts w:ascii="Traditional Arabic" w:hAnsi="Traditional Arabic"/>
          <w:sz w:val="32"/>
          <w:szCs w:val="32"/>
          <w:rtl/>
        </w:rPr>
        <w:t>(</w:t>
      </w:r>
      <w:r w:rsidRPr="0084724F">
        <w:rPr>
          <w:rStyle w:val="ae"/>
          <w:rFonts w:ascii="Traditional Arabic" w:hAnsi="Traditional Arabic"/>
          <w:sz w:val="32"/>
          <w:szCs w:val="32"/>
          <w:vertAlign w:val="baseline"/>
        </w:rPr>
        <w:footnoteRef/>
      </w:r>
      <w:r w:rsidRPr="0084724F">
        <w:rPr>
          <w:rFonts w:ascii="Traditional Arabic" w:hAnsi="Traditional Arabic"/>
          <w:sz w:val="32"/>
          <w:szCs w:val="32"/>
          <w:rtl/>
        </w:rPr>
        <w:t xml:space="preserve">) انظر: تفسير مقاتل (2/620), تفسير يحيى بن سلام (1/214), تفسير الطبري (18/143). </w:t>
      </w:r>
    </w:p>
  </w:footnote>
  <w:footnote w:id="2064">
    <w:p w:rsidR="003F128F" w:rsidRPr="00A477C5" w:rsidRDefault="003F128F" w:rsidP="0063006E">
      <w:pPr>
        <w:pStyle w:val="af3"/>
        <w:rPr>
          <w:rFonts w:ascii="Tahoma" w:hAnsi="Tahoma"/>
          <w:sz w:val="32"/>
          <w:szCs w:val="32"/>
        </w:rPr>
      </w:pPr>
      <w:r w:rsidRPr="00A477C5">
        <w:rPr>
          <w:rFonts w:ascii="Tahoma" w:hAnsi="Tahoma"/>
          <w:sz w:val="32"/>
          <w:szCs w:val="32"/>
          <w:rtl/>
        </w:rPr>
        <w:t>(</w:t>
      </w:r>
      <w:r w:rsidRPr="00A477C5">
        <w:rPr>
          <w:rStyle w:val="ae"/>
          <w:rFonts w:ascii="Tahoma" w:hAnsi="Tahoma"/>
          <w:sz w:val="32"/>
          <w:szCs w:val="32"/>
          <w:vertAlign w:val="baseline"/>
        </w:rPr>
        <w:footnoteRef/>
      </w:r>
      <w:r w:rsidRPr="00A477C5">
        <w:rPr>
          <w:rFonts w:ascii="Tahoma" w:hAnsi="Tahoma"/>
          <w:sz w:val="32"/>
          <w:szCs w:val="32"/>
          <w:rtl/>
        </w:rPr>
        <w:t xml:space="preserve">) </w:t>
      </w:r>
      <w:r w:rsidRPr="00A477C5">
        <w:rPr>
          <w:rFonts w:ascii="Tahoma" w:hAnsi="Tahoma" w:hint="cs"/>
          <w:sz w:val="32"/>
          <w:szCs w:val="32"/>
          <w:rtl/>
        </w:rPr>
        <w:t>في (ك): [</w:t>
      </w:r>
      <w:r w:rsidRPr="00A477C5">
        <w:rPr>
          <w:rFonts w:ascii="Traditional Arabic" w:hAnsi="Traditional Arabic"/>
          <w:sz w:val="32"/>
          <w:szCs w:val="32"/>
          <w:rtl/>
        </w:rPr>
        <w:t>والعَصبة</w:t>
      </w:r>
      <w:r w:rsidRPr="000F04D5">
        <w:rPr>
          <w:rFonts w:ascii="Traditional Arabic" w:hAnsi="Traditional Arabic"/>
          <w:rtl/>
        </w:rPr>
        <w:t xml:space="preserve"> </w:t>
      </w:r>
      <w:r w:rsidRPr="00A477C5">
        <w:rPr>
          <w:rFonts w:ascii="QCF_BSML" w:hAnsi="QCF_BSML" w:cs="QCF_BSML"/>
          <w:color w:val="auto"/>
          <w:rtl/>
          <w:lang w:eastAsia="en-US"/>
        </w:rPr>
        <w:t>ﭽ</w:t>
      </w:r>
      <w:r w:rsidRPr="00A477C5">
        <w:rPr>
          <w:rFonts w:ascii="QCF_P305" w:hAnsi="QCF_P305" w:cs="QCF_P305"/>
          <w:color w:val="auto"/>
          <w:rtl/>
          <w:lang w:eastAsia="en-US"/>
        </w:rPr>
        <w:t xml:space="preserve">  ﭲ</w:t>
      </w:r>
      <w:r w:rsidRPr="00A477C5">
        <w:rPr>
          <w:rFonts w:ascii="QCF_BSML" w:hAnsi="QCF_BSML" w:cs="QCF_BSML"/>
          <w:rtl/>
          <w:lang w:eastAsia="en-US"/>
        </w:rPr>
        <w:t xml:space="preserve"> ﭼ</w:t>
      </w:r>
      <w:r w:rsidRPr="00A477C5">
        <w:rPr>
          <w:rFonts w:ascii="Traditional Arabic" w:hAnsi="Traditional Arabic"/>
          <w:rtl/>
        </w:rPr>
        <w:t xml:space="preserve"> </w:t>
      </w:r>
      <w:r w:rsidRPr="00A477C5">
        <w:rPr>
          <w:rFonts w:ascii="Traditional Arabic" w:hAnsi="Traditional Arabic"/>
          <w:sz w:val="32"/>
          <w:szCs w:val="32"/>
          <w:rtl/>
        </w:rPr>
        <w:t xml:space="preserve"> أي: من بعد موتي</w:t>
      </w:r>
      <w:r w:rsidRPr="00A477C5">
        <w:rPr>
          <w:rFonts w:ascii="Traditional Arabic" w:hAnsi="Traditional Arabic" w:hint="cs"/>
          <w:sz w:val="32"/>
          <w:szCs w:val="32"/>
          <w:rtl/>
        </w:rPr>
        <w:t>].</w:t>
      </w:r>
    </w:p>
  </w:footnote>
  <w:footnote w:id="2065">
    <w:p w:rsidR="003F128F" w:rsidRPr="005841AF" w:rsidRDefault="003F128F" w:rsidP="0063006E">
      <w:pPr>
        <w:pStyle w:val="af3"/>
        <w:rPr>
          <w:rFonts w:ascii="Traditional Arabic" w:hAnsi="Traditional Arabic"/>
          <w:sz w:val="32"/>
          <w:szCs w:val="32"/>
        </w:rPr>
      </w:pPr>
      <w:r w:rsidRPr="005841AF">
        <w:rPr>
          <w:rFonts w:ascii="Traditional Arabic" w:hAnsi="Traditional Arabic"/>
          <w:sz w:val="32"/>
          <w:szCs w:val="32"/>
          <w:rtl/>
        </w:rPr>
        <w:t>(</w:t>
      </w:r>
      <w:r w:rsidRPr="005841AF">
        <w:rPr>
          <w:rStyle w:val="ae"/>
          <w:rFonts w:ascii="Traditional Arabic" w:hAnsi="Traditional Arabic"/>
          <w:sz w:val="32"/>
          <w:szCs w:val="32"/>
          <w:vertAlign w:val="baseline"/>
        </w:rPr>
        <w:footnoteRef/>
      </w:r>
      <w:r w:rsidRPr="005841AF">
        <w:rPr>
          <w:rFonts w:ascii="Traditional Arabic" w:hAnsi="Traditional Arabic"/>
          <w:sz w:val="32"/>
          <w:szCs w:val="32"/>
          <w:rtl/>
        </w:rPr>
        <w:t xml:space="preserve">) انظر: تفسير الطبري (18/144), </w:t>
      </w:r>
      <w:r w:rsidRPr="005841AF">
        <w:rPr>
          <w:rFonts w:ascii="Traditional Arabic" w:hAnsi="Traditional Arabic"/>
          <w:color w:val="auto"/>
          <w:sz w:val="32"/>
          <w:szCs w:val="32"/>
          <w:rtl/>
        </w:rPr>
        <w:t>الهداية (7/4493).</w:t>
      </w:r>
      <w:r w:rsidRPr="005841AF">
        <w:rPr>
          <w:rFonts w:ascii="Traditional Arabic" w:hAnsi="Traditional Arabic"/>
          <w:sz w:val="32"/>
          <w:szCs w:val="32"/>
          <w:rtl/>
        </w:rPr>
        <w:t xml:space="preserve">  </w:t>
      </w:r>
    </w:p>
  </w:footnote>
  <w:footnote w:id="2066">
    <w:p w:rsidR="003F128F" w:rsidRPr="005841AF" w:rsidRDefault="003F128F" w:rsidP="0063006E">
      <w:pPr>
        <w:pStyle w:val="af3"/>
        <w:rPr>
          <w:rFonts w:ascii="Traditional Arabic" w:hAnsi="Traditional Arabic"/>
          <w:sz w:val="32"/>
          <w:szCs w:val="32"/>
        </w:rPr>
      </w:pPr>
      <w:r w:rsidRPr="005841AF">
        <w:rPr>
          <w:rFonts w:ascii="Traditional Arabic" w:hAnsi="Traditional Arabic"/>
          <w:sz w:val="32"/>
          <w:szCs w:val="32"/>
          <w:rtl/>
        </w:rPr>
        <w:t>(</w:t>
      </w:r>
      <w:r w:rsidRPr="005841AF">
        <w:rPr>
          <w:rStyle w:val="ae"/>
          <w:rFonts w:ascii="Traditional Arabic" w:hAnsi="Traditional Arabic"/>
          <w:sz w:val="32"/>
          <w:szCs w:val="32"/>
          <w:vertAlign w:val="baseline"/>
        </w:rPr>
        <w:footnoteRef/>
      </w:r>
      <w:r w:rsidRPr="005841AF">
        <w:rPr>
          <w:rFonts w:ascii="Traditional Arabic" w:hAnsi="Traditional Arabic"/>
          <w:sz w:val="32"/>
          <w:szCs w:val="32"/>
          <w:rtl/>
        </w:rPr>
        <w:t>) في (ك): [خاف أن يرِثوا</w:t>
      </w:r>
      <w:r w:rsidRPr="005841AF">
        <w:rPr>
          <w:rStyle w:val="ae"/>
          <w:rFonts w:ascii="Traditional Arabic" w:hAnsi="Traditional Arabic"/>
          <w:sz w:val="32"/>
          <w:szCs w:val="32"/>
          <w:rtl/>
        </w:rPr>
        <w:t xml:space="preserve"> </w:t>
      </w:r>
      <w:r w:rsidRPr="005841AF">
        <w:rPr>
          <w:rFonts w:ascii="Traditional Arabic" w:hAnsi="Traditional Arabic"/>
          <w:sz w:val="32"/>
          <w:szCs w:val="32"/>
          <w:rtl/>
        </w:rPr>
        <w:t xml:space="preserve">ماله فيأخذوا ما لا يجوز لهم].  </w:t>
      </w:r>
    </w:p>
  </w:footnote>
  <w:footnote w:id="2067">
    <w:p w:rsidR="003F128F" w:rsidRPr="0084724F" w:rsidRDefault="003F128F" w:rsidP="0063006E">
      <w:pPr>
        <w:pStyle w:val="af3"/>
        <w:rPr>
          <w:rFonts w:ascii="Traditional Arabic" w:hAnsi="Traditional Arabic"/>
          <w:sz w:val="32"/>
          <w:szCs w:val="32"/>
        </w:rPr>
      </w:pPr>
      <w:r w:rsidRPr="005841AF">
        <w:rPr>
          <w:rFonts w:ascii="Traditional Arabic" w:hAnsi="Traditional Arabic"/>
          <w:sz w:val="32"/>
          <w:szCs w:val="32"/>
          <w:rtl/>
        </w:rPr>
        <w:t>(</w:t>
      </w:r>
      <w:r w:rsidRPr="005841AF">
        <w:rPr>
          <w:rStyle w:val="ae"/>
          <w:rFonts w:ascii="Traditional Arabic" w:hAnsi="Traditional Arabic"/>
          <w:sz w:val="32"/>
          <w:szCs w:val="32"/>
          <w:vertAlign w:val="baseline"/>
        </w:rPr>
        <w:footnoteRef/>
      </w:r>
      <w:r w:rsidRPr="005841AF">
        <w:rPr>
          <w:rFonts w:ascii="Traditional Arabic" w:hAnsi="Traditional Arabic"/>
          <w:sz w:val="32"/>
          <w:szCs w:val="32"/>
          <w:rtl/>
        </w:rPr>
        <w:t>) ذكره المؤلف رحمه الله في كتابه تذكرة الأريب في تفسير الغريب (ص221).</w:t>
      </w:r>
      <w:r w:rsidRPr="0084724F">
        <w:rPr>
          <w:rFonts w:ascii="Traditional Arabic" w:hAnsi="Traditional Arabic"/>
          <w:sz w:val="32"/>
          <w:szCs w:val="32"/>
          <w:rtl/>
        </w:rPr>
        <w:t xml:space="preserve">  </w:t>
      </w:r>
    </w:p>
  </w:footnote>
  <w:footnote w:id="2068">
    <w:p w:rsidR="003F128F" w:rsidRPr="005841AF" w:rsidRDefault="003F128F" w:rsidP="0063006E">
      <w:pPr>
        <w:pStyle w:val="af3"/>
        <w:rPr>
          <w:rFonts w:ascii="Traditional Arabic" w:hAnsi="Traditional Arabic"/>
          <w:sz w:val="32"/>
          <w:szCs w:val="32"/>
        </w:rPr>
      </w:pPr>
      <w:r w:rsidRPr="005841AF">
        <w:rPr>
          <w:rFonts w:ascii="Traditional Arabic" w:hAnsi="Traditional Arabic"/>
          <w:sz w:val="32"/>
          <w:szCs w:val="32"/>
          <w:rtl/>
        </w:rPr>
        <w:t>(</w:t>
      </w:r>
      <w:r w:rsidRPr="005841AF">
        <w:rPr>
          <w:rStyle w:val="ae"/>
          <w:rFonts w:ascii="Traditional Arabic" w:hAnsi="Traditional Arabic"/>
          <w:sz w:val="32"/>
          <w:szCs w:val="32"/>
          <w:vertAlign w:val="baseline"/>
        </w:rPr>
        <w:footnoteRef/>
      </w:r>
      <w:r w:rsidRPr="005841AF">
        <w:rPr>
          <w:rFonts w:ascii="Traditional Arabic" w:hAnsi="Traditional Arabic"/>
          <w:sz w:val="32"/>
          <w:szCs w:val="32"/>
          <w:rtl/>
        </w:rPr>
        <w:t xml:space="preserve">) قوله: [قال المصنف] ليس في (ك). </w:t>
      </w:r>
    </w:p>
  </w:footnote>
  <w:footnote w:id="2069">
    <w:p w:rsidR="003F128F" w:rsidRPr="005841AF" w:rsidRDefault="003F128F" w:rsidP="0063006E">
      <w:pPr>
        <w:pStyle w:val="af3"/>
        <w:rPr>
          <w:rFonts w:ascii="Traditional Arabic" w:hAnsi="Traditional Arabic"/>
          <w:sz w:val="32"/>
          <w:szCs w:val="32"/>
        </w:rPr>
      </w:pPr>
      <w:r w:rsidRPr="005841AF">
        <w:rPr>
          <w:rFonts w:ascii="Traditional Arabic" w:hAnsi="Traditional Arabic"/>
          <w:sz w:val="32"/>
          <w:szCs w:val="32"/>
          <w:rtl/>
        </w:rPr>
        <w:t>(</w:t>
      </w:r>
      <w:r w:rsidRPr="005841AF">
        <w:rPr>
          <w:rStyle w:val="ae"/>
          <w:rFonts w:ascii="Traditional Arabic" w:hAnsi="Traditional Arabic"/>
          <w:sz w:val="32"/>
          <w:szCs w:val="32"/>
          <w:vertAlign w:val="baseline"/>
        </w:rPr>
        <w:footnoteRef/>
      </w:r>
      <w:r w:rsidRPr="005841AF">
        <w:rPr>
          <w:rFonts w:ascii="Traditional Arabic" w:hAnsi="Traditional Arabic"/>
          <w:sz w:val="32"/>
          <w:szCs w:val="32"/>
          <w:rtl/>
        </w:rPr>
        <w:t xml:space="preserve">) انظر: الكشف والبيان (6/206), النكت والعيون (3/355), التفسير الوسيط (3/176). </w:t>
      </w:r>
    </w:p>
  </w:footnote>
  <w:footnote w:id="2070">
    <w:p w:rsidR="003F128F" w:rsidRPr="00991F32" w:rsidRDefault="003F128F" w:rsidP="0063006E">
      <w:pPr>
        <w:pStyle w:val="af3"/>
        <w:rPr>
          <w:rFonts w:ascii="Traditional Arabic" w:hAnsi="Traditional Arabic"/>
          <w:sz w:val="32"/>
          <w:szCs w:val="32"/>
        </w:rPr>
      </w:pPr>
      <w:r w:rsidRPr="005841AF">
        <w:rPr>
          <w:rFonts w:ascii="Traditional Arabic" w:hAnsi="Traditional Arabic"/>
          <w:color w:val="auto"/>
          <w:sz w:val="32"/>
          <w:szCs w:val="32"/>
          <w:rtl/>
        </w:rPr>
        <w:t>(</w:t>
      </w:r>
      <w:r w:rsidRPr="005841AF">
        <w:rPr>
          <w:rStyle w:val="ae"/>
          <w:rFonts w:ascii="Traditional Arabic" w:hAnsi="Traditional Arabic"/>
          <w:color w:val="auto"/>
          <w:sz w:val="32"/>
          <w:szCs w:val="32"/>
          <w:vertAlign w:val="baseline"/>
        </w:rPr>
        <w:footnoteRef/>
      </w:r>
      <w:r w:rsidRPr="005841AF">
        <w:rPr>
          <w:rFonts w:ascii="Traditional Arabic" w:hAnsi="Traditional Arabic"/>
          <w:color w:val="auto"/>
          <w:sz w:val="32"/>
          <w:szCs w:val="32"/>
          <w:rtl/>
        </w:rPr>
        <w:t>) هو الامام</w:t>
      </w:r>
      <w:r w:rsidRPr="00991F32">
        <w:rPr>
          <w:rFonts w:ascii="Traditional Arabic" w:hAnsi="Traditional Arabic" w:hint="cs"/>
          <w:color w:val="auto"/>
          <w:sz w:val="32"/>
          <w:szCs w:val="32"/>
          <w:rtl/>
        </w:rPr>
        <w:t xml:space="preserve"> المقرئ</w:t>
      </w:r>
      <w:r>
        <w:rPr>
          <w:rFonts w:ascii="Traditional Arabic" w:hAnsi="Traditional Arabic" w:hint="cs"/>
          <w:color w:val="auto"/>
          <w:sz w:val="32"/>
          <w:szCs w:val="32"/>
          <w:rtl/>
        </w:rPr>
        <w:t>,</w:t>
      </w:r>
      <w:r w:rsidRPr="00991F32">
        <w:rPr>
          <w:rFonts w:ascii="Traditional Arabic" w:hAnsi="Traditional Arabic" w:hint="cs"/>
          <w:color w:val="auto"/>
          <w:sz w:val="32"/>
          <w:szCs w:val="32"/>
          <w:rtl/>
        </w:rPr>
        <w:t xml:space="preserve"> أبو جعفر</w:t>
      </w:r>
      <w:r>
        <w:rPr>
          <w:rFonts w:ascii="Traditional Arabic" w:hAnsi="Traditional Arabic" w:hint="cs"/>
          <w:color w:val="auto"/>
          <w:sz w:val="32"/>
          <w:szCs w:val="32"/>
          <w:rtl/>
        </w:rPr>
        <w:t>,</w:t>
      </w:r>
      <w:r w:rsidRPr="00991F32">
        <w:rPr>
          <w:rFonts w:ascii="Traditional Arabic" w:hAnsi="Traditional Arabic" w:hint="cs"/>
          <w:color w:val="auto"/>
          <w:sz w:val="32"/>
          <w:szCs w:val="32"/>
          <w:rtl/>
        </w:rPr>
        <w:t xml:space="preserve"> </w:t>
      </w:r>
      <w:r w:rsidRPr="00991F32">
        <w:rPr>
          <w:rFonts w:ascii="Traditional Arabic" w:hAnsi="Traditional Arabic"/>
          <w:color w:val="auto"/>
          <w:sz w:val="32"/>
          <w:szCs w:val="32"/>
          <w:rtl/>
        </w:rPr>
        <w:t xml:space="preserve">أحمد بن أبي </w:t>
      </w:r>
      <w:r w:rsidRPr="00991F32">
        <w:rPr>
          <w:rFonts w:ascii="Traditional Arabic" w:hAnsi="Traditional Arabic"/>
          <w:color w:val="auto"/>
          <w:sz w:val="32"/>
          <w:szCs w:val="32"/>
          <w:rtl/>
          <w:lang w:eastAsia="en-US"/>
        </w:rPr>
        <w:t>سُرَيج</w:t>
      </w:r>
      <w:r w:rsidRPr="00991F32">
        <w:rPr>
          <w:rFonts w:ascii="Traditional Arabic" w:hAnsi="Traditional Arabic" w:hint="cs"/>
          <w:color w:val="auto"/>
          <w:sz w:val="32"/>
          <w:szCs w:val="32"/>
          <w:rtl/>
        </w:rPr>
        <w:t xml:space="preserve"> </w:t>
      </w:r>
      <w:r w:rsidRPr="00991F32">
        <w:rPr>
          <w:rFonts w:ascii="Traditional Arabic" w:hAnsi="Traditional Arabic"/>
          <w:color w:val="auto"/>
          <w:sz w:val="32"/>
          <w:szCs w:val="32"/>
          <w:rtl/>
        </w:rPr>
        <w:t xml:space="preserve">الصباح </w:t>
      </w:r>
      <w:r w:rsidRPr="00991F32">
        <w:rPr>
          <w:rFonts w:ascii="Traditional Arabic" w:hAnsi="Traditional Arabic" w:hint="cs"/>
          <w:color w:val="auto"/>
          <w:sz w:val="32"/>
          <w:szCs w:val="32"/>
          <w:rtl/>
        </w:rPr>
        <w:t xml:space="preserve">الدارمي, </w:t>
      </w:r>
      <w:r w:rsidRPr="00991F32">
        <w:rPr>
          <w:rFonts w:ascii="Traditional Arabic" w:hAnsi="Traditional Arabic"/>
          <w:color w:val="auto"/>
          <w:sz w:val="32"/>
          <w:szCs w:val="32"/>
          <w:rtl/>
          <w:lang w:eastAsia="en-US"/>
        </w:rPr>
        <w:t>النَّهْشَليُّ</w:t>
      </w:r>
      <w:r w:rsidRPr="00991F32">
        <w:rPr>
          <w:rFonts w:ascii="Traditional Arabic" w:hAnsi="Traditional Arabic" w:hint="cs"/>
          <w:color w:val="auto"/>
          <w:sz w:val="32"/>
          <w:szCs w:val="32"/>
          <w:rtl/>
        </w:rPr>
        <w:t>,</w:t>
      </w:r>
      <w:r w:rsidRPr="00991F32">
        <w:rPr>
          <w:rFonts w:ascii="Traditional Arabic" w:hAnsi="Traditional Arabic"/>
          <w:color w:val="auto"/>
          <w:sz w:val="32"/>
          <w:szCs w:val="32"/>
          <w:rtl/>
        </w:rPr>
        <w:t xml:space="preserve"> الرازي</w:t>
      </w:r>
      <w:r w:rsidRPr="00991F32">
        <w:rPr>
          <w:rFonts w:ascii="Traditional Arabic" w:hAnsi="Traditional Arabic" w:hint="cs"/>
          <w:color w:val="auto"/>
          <w:sz w:val="32"/>
          <w:szCs w:val="32"/>
          <w:rtl/>
        </w:rPr>
        <w:t>,</w:t>
      </w:r>
      <w:r w:rsidRPr="00991F32">
        <w:rPr>
          <w:rFonts w:ascii="Traditional Arabic" w:hAnsi="Traditional Arabic"/>
          <w:color w:val="auto"/>
          <w:sz w:val="44"/>
          <w:szCs w:val="44"/>
          <w:rtl/>
          <w:lang w:eastAsia="en-US"/>
        </w:rPr>
        <w:t xml:space="preserve"> </w:t>
      </w:r>
      <w:r w:rsidRPr="00991F32">
        <w:rPr>
          <w:rFonts w:ascii="Traditional Arabic" w:hAnsi="Traditional Arabic"/>
          <w:color w:val="auto"/>
          <w:sz w:val="32"/>
          <w:szCs w:val="32"/>
          <w:rtl/>
        </w:rPr>
        <w:t>وهو أحد القراء المعروفين، قرأ على عَلِيّ بْن حمزة الكسائي</w:t>
      </w:r>
      <w:r w:rsidRPr="00991F32">
        <w:rPr>
          <w:rFonts w:ascii="Traditional Arabic" w:hAnsi="Traditional Arabic" w:hint="cs"/>
          <w:color w:val="auto"/>
          <w:sz w:val="32"/>
          <w:szCs w:val="32"/>
          <w:rtl/>
        </w:rPr>
        <w:t>,</w:t>
      </w:r>
      <w:r w:rsidRPr="00991F32">
        <w:rPr>
          <w:rFonts w:ascii="Traditional Arabic" w:hAnsi="Traditional Arabic"/>
          <w:color w:val="auto"/>
          <w:sz w:val="32"/>
          <w:szCs w:val="32"/>
          <w:rtl/>
          <w:lang w:eastAsia="en-US"/>
        </w:rPr>
        <w:t xml:space="preserve"> وَكَانَ ثِقَةً ثبتا</w:t>
      </w:r>
      <w:r w:rsidRPr="00991F32">
        <w:rPr>
          <w:rFonts w:ascii="Traditional Arabic" w:hAnsi="Traditional Arabic" w:hint="cs"/>
          <w:color w:val="auto"/>
          <w:sz w:val="32"/>
          <w:szCs w:val="32"/>
          <w:rtl/>
          <w:lang w:eastAsia="en-US"/>
        </w:rPr>
        <w:t>ً,</w:t>
      </w:r>
      <w:r w:rsidRPr="00991F32">
        <w:rPr>
          <w:rFonts w:ascii="Traditional Arabic" w:hAnsi="Traditional Arabic" w:hint="cs"/>
          <w:color w:val="auto"/>
          <w:sz w:val="32"/>
          <w:szCs w:val="32"/>
          <w:rtl/>
        </w:rPr>
        <w:t xml:space="preserve"> (ت241-250ه). انظر: تاريخ بغداد (5/335), معرفة القراء الكبار (ص127)</w:t>
      </w:r>
      <w:r>
        <w:rPr>
          <w:rFonts w:ascii="Traditional Arabic" w:hAnsi="Traditional Arabic" w:hint="cs"/>
          <w:color w:val="auto"/>
          <w:sz w:val="32"/>
          <w:szCs w:val="32"/>
          <w:rtl/>
        </w:rPr>
        <w:t>, تاريخ الاسلام (5/1075)</w:t>
      </w:r>
      <w:r w:rsidRPr="00991F32">
        <w:rPr>
          <w:rFonts w:ascii="Traditional Arabic" w:hAnsi="Traditional Arabic" w:hint="cs"/>
          <w:color w:val="auto"/>
          <w:sz w:val="32"/>
          <w:szCs w:val="32"/>
          <w:rtl/>
        </w:rPr>
        <w:t>.</w:t>
      </w:r>
    </w:p>
  </w:footnote>
  <w:footnote w:id="2071">
    <w:p w:rsidR="003F128F" w:rsidRPr="005B5721" w:rsidRDefault="003F128F" w:rsidP="0063006E">
      <w:pPr>
        <w:pStyle w:val="af3"/>
        <w:rPr>
          <w:rFonts w:ascii="Traditional Arabic" w:hAnsi="Traditional Arabic"/>
          <w:sz w:val="32"/>
          <w:szCs w:val="32"/>
        </w:rPr>
      </w:pPr>
      <w:r w:rsidRPr="005B5721">
        <w:rPr>
          <w:rFonts w:ascii="Traditional Arabic" w:hAnsi="Traditional Arabic"/>
          <w:sz w:val="32"/>
          <w:szCs w:val="32"/>
          <w:rtl/>
        </w:rPr>
        <w:t>(</w:t>
      </w:r>
      <w:r w:rsidRPr="005B5721">
        <w:rPr>
          <w:rStyle w:val="ae"/>
          <w:rFonts w:ascii="Traditional Arabic" w:hAnsi="Traditional Arabic"/>
          <w:sz w:val="32"/>
          <w:szCs w:val="32"/>
          <w:vertAlign w:val="baseline"/>
        </w:rPr>
        <w:footnoteRef/>
      </w:r>
      <w:r w:rsidRPr="005B5721">
        <w:rPr>
          <w:rFonts w:ascii="Traditional Arabic" w:hAnsi="Traditional Arabic"/>
          <w:sz w:val="32"/>
          <w:szCs w:val="32"/>
          <w:rtl/>
        </w:rPr>
        <w:t xml:space="preserve">) انظر: المحتسب لابن جني (2/37), </w:t>
      </w:r>
      <w:r w:rsidRPr="005B5721">
        <w:rPr>
          <w:rFonts w:ascii="Traditional Arabic" w:hAnsi="Traditional Arabic"/>
          <w:color w:val="auto"/>
          <w:sz w:val="32"/>
          <w:szCs w:val="32"/>
          <w:rtl/>
        </w:rPr>
        <w:t>الهداية (7/4494), المحرر الوجيز (4/5).</w:t>
      </w:r>
      <w:r w:rsidRPr="005B5721">
        <w:rPr>
          <w:rFonts w:ascii="Traditional Arabic" w:hAnsi="Traditional Arabic"/>
          <w:sz w:val="32"/>
          <w:szCs w:val="32"/>
          <w:rtl/>
        </w:rPr>
        <w:t xml:space="preserve">  </w:t>
      </w:r>
    </w:p>
  </w:footnote>
  <w:footnote w:id="2072">
    <w:p w:rsidR="003F128F" w:rsidRPr="005B5721" w:rsidRDefault="003F128F" w:rsidP="0063006E">
      <w:pPr>
        <w:pStyle w:val="af3"/>
        <w:rPr>
          <w:rFonts w:ascii="Traditional Arabic" w:hAnsi="Traditional Arabic"/>
          <w:sz w:val="32"/>
          <w:szCs w:val="32"/>
        </w:rPr>
      </w:pPr>
      <w:r w:rsidRPr="005B5721">
        <w:rPr>
          <w:rFonts w:ascii="Traditional Arabic" w:hAnsi="Traditional Arabic"/>
          <w:sz w:val="32"/>
          <w:szCs w:val="32"/>
          <w:rtl/>
        </w:rPr>
        <w:t>(</w:t>
      </w:r>
      <w:r w:rsidRPr="005B5721">
        <w:rPr>
          <w:rStyle w:val="ae"/>
          <w:rFonts w:ascii="Traditional Arabic" w:hAnsi="Traditional Arabic"/>
          <w:sz w:val="32"/>
          <w:szCs w:val="32"/>
          <w:vertAlign w:val="baseline"/>
        </w:rPr>
        <w:footnoteRef/>
      </w:r>
      <w:r w:rsidRPr="005B5721">
        <w:rPr>
          <w:rFonts w:ascii="Traditional Arabic" w:hAnsi="Traditional Arabic"/>
          <w:sz w:val="32"/>
          <w:szCs w:val="32"/>
          <w:rtl/>
        </w:rPr>
        <w:t xml:space="preserve">) انظر: شواذ القراءة للكرماني (ص146).  </w:t>
      </w:r>
    </w:p>
  </w:footnote>
  <w:footnote w:id="2073">
    <w:p w:rsidR="003F128F" w:rsidRPr="005B5721" w:rsidRDefault="003F128F" w:rsidP="0063006E">
      <w:pPr>
        <w:pStyle w:val="af3"/>
        <w:rPr>
          <w:rFonts w:ascii="Traditional Arabic" w:hAnsi="Traditional Arabic"/>
          <w:sz w:val="32"/>
          <w:szCs w:val="32"/>
        </w:rPr>
      </w:pPr>
      <w:r w:rsidRPr="005B5721">
        <w:rPr>
          <w:rFonts w:ascii="Traditional Arabic" w:hAnsi="Traditional Arabic"/>
          <w:sz w:val="32"/>
          <w:szCs w:val="32"/>
          <w:rtl/>
        </w:rPr>
        <w:t>(</w:t>
      </w:r>
      <w:r w:rsidRPr="005B5721">
        <w:rPr>
          <w:rStyle w:val="ae"/>
          <w:rFonts w:ascii="Traditional Arabic" w:hAnsi="Traditional Arabic"/>
          <w:sz w:val="32"/>
          <w:szCs w:val="32"/>
          <w:vertAlign w:val="baseline"/>
        </w:rPr>
        <w:footnoteRef/>
      </w:r>
      <w:r w:rsidRPr="005B5721">
        <w:rPr>
          <w:rFonts w:ascii="Traditional Arabic" w:hAnsi="Traditional Arabic"/>
          <w:sz w:val="32"/>
          <w:szCs w:val="32"/>
          <w:rtl/>
        </w:rPr>
        <w:t>) هو الامام المقرئ</w:t>
      </w:r>
      <w:r>
        <w:rPr>
          <w:rFonts w:ascii="Traditional Arabic" w:hAnsi="Traditional Arabic" w:hint="cs"/>
          <w:sz w:val="32"/>
          <w:szCs w:val="32"/>
          <w:rtl/>
        </w:rPr>
        <w:t>,</w:t>
      </w:r>
      <w:r w:rsidRPr="005B5721">
        <w:rPr>
          <w:rFonts w:ascii="Traditional Arabic" w:hAnsi="Traditional Arabic"/>
          <w:sz w:val="32"/>
          <w:szCs w:val="32"/>
          <w:rtl/>
        </w:rPr>
        <w:t xml:space="preserve"> أبو عمر</w:t>
      </w:r>
      <w:r>
        <w:rPr>
          <w:rFonts w:ascii="Traditional Arabic" w:hAnsi="Traditional Arabic" w:hint="cs"/>
          <w:sz w:val="32"/>
          <w:szCs w:val="32"/>
          <w:rtl/>
        </w:rPr>
        <w:t>,</w:t>
      </w:r>
      <w:r w:rsidRPr="005B5721">
        <w:rPr>
          <w:rFonts w:ascii="Traditional Arabic" w:hAnsi="Traditional Arabic"/>
          <w:sz w:val="32"/>
          <w:szCs w:val="32"/>
          <w:rtl/>
        </w:rPr>
        <w:t xml:space="preserve"> محمد بن عبد الرحمن بن محمد بن خالد المخزومي مولاهم, المكي,</w:t>
      </w:r>
      <w:r w:rsidRPr="005B5721">
        <w:rPr>
          <w:rFonts w:ascii="Traditional Arabic" w:hAnsi="Traditional Arabic"/>
          <w:sz w:val="32"/>
          <w:szCs w:val="32"/>
          <w:rtl/>
          <w:lang w:eastAsia="en-US"/>
        </w:rPr>
        <w:t xml:space="preserve"> </w:t>
      </w:r>
      <w:r w:rsidRPr="005B5721">
        <w:rPr>
          <w:rFonts w:ascii="Traditional Arabic" w:hAnsi="Traditional Arabic"/>
          <w:sz w:val="32"/>
          <w:szCs w:val="32"/>
          <w:rtl/>
        </w:rPr>
        <w:t>الملقب بقُنْبلُ,</w:t>
      </w:r>
      <w:r w:rsidRPr="005B5721">
        <w:rPr>
          <w:rFonts w:ascii="Traditional Arabic" w:hAnsi="Traditional Arabic"/>
          <w:sz w:val="32"/>
          <w:szCs w:val="32"/>
          <w:rtl/>
          <w:lang w:eastAsia="en-US"/>
        </w:rPr>
        <w:t xml:space="preserve"> مقرئ أهل مكة, </w:t>
      </w:r>
      <w:r w:rsidRPr="005B5721">
        <w:rPr>
          <w:rFonts w:ascii="Traditional Arabic" w:hAnsi="Traditional Arabic"/>
          <w:sz w:val="32"/>
          <w:szCs w:val="32"/>
          <w:rtl/>
        </w:rPr>
        <w:t>انتهت إليه رئاسة الإقراء بالحجاز, قيل إنه كان يستعمل دواء يسقى للبقر يسمى قنبيل</w:t>
      </w:r>
      <w:r w:rsidRPr="005B5721">
        <w:rPr>
          <w:rFonts w:ascii="Traditional Arabic" w:hAnsi="Traditional Arabic"/>
          <w:sz w:val="32"/>
          <w:szCs w:val="32"/>
          <w:rtl/>
          <w:lang w:eastAsia="en-US"/>
        </w:rPr>
        <w:t xml:space="preserve"> </w:t>
      </w:r>
      <w:r w:rsidRPr="005B5721">
        <w:rPr>
          <w:rFonts w:ascii="Traditional Arabic" w:hAnsi="Traditional Arabic"/>
          <w:sz w:val="32"/>
          <w:szCs w:val="32"/>
          <w:rtl/>
        </w:rPr>
        <w:t>فلما أكثر من استعماله عرف به ثم خفف, وقيل غير ذلك, (ت291ه). انظر: معرفة القراء الكبار (ص133), غاية النهاية (2/222).</w:t>
      </w:r>
    </w:p>
  </w:footnote>
  <w:footnote w:id="2074">
    <w:p w:rsidR="003F128F" w:rsidRPr="005B5721" w:rsidRDefault="003F128F" w:rsidP="0063006E">
      <w:pPr>
        <w:pStyle w:val="af3"/>
        <w:rPr>
          <w:rFonts w:ascii="Traditional Arabic" w:hAnsi="Traditional Arabic"/>
          <w:sz w:val="32"/>
          <w:szCs w:val="32"/>
        </w:rPr>
      </w:pPr>
      <w:r w:rsidRPr="005B5721">
        <w:rPr>
          <w:rFonts w:ascii="Traditional Arabic" w:hAnsi="Traditional Arabic"/>
          <w:sz w:val="32"/>
          <w:szCs w:val="32"/>
          <w:rtl/>
        </w:rPr>
        <w:t>(</w:t>
      </w:r>
      <w:r w:rsidRPr="005B5721">
        <w:rPr>
          <w:rStyle w:val="ae"/>
          <w:rFonts w:ascii="Traditional Arabic" w:hAnsi="Traditional Arabic"/>
          <w:sz w:val="32"/>
          <w:szCs w:val="32"/>
          <w:vertAlign w:val="baseline"/>
        </w:rPr>
        <w:footnoteRef/>
      </w:r>
      <w:r w:rsidRPr="005B5721">
        <w:rPr>
          <w:rFonts w:ascii="Traditional Arabic" w:hAnsi="Traditional Arabic"/>
          <w:sz w:val="32"/>
          <w:szCs w:val="32"/>
          <w:rtl/>
        </w:rPr>
        <w:t>) هو الامام المقرئ</w:t>
      </w:r>
      <w:r>
        <w:rPr>
          <w:rFonts w:ascii="Traditional Arabic" w:hAnsi="Traditional Arabic" w:hint="cs"/>
          <w:sz w:val="32"/>
          <w:szCs w:val="32"/>
          <w:rtl/>
        </w:rPr>
        <w:t>,</w:t>
      </w:r>
      <w:r w:rsidRPr="005B5721">
        <w:rPr>
          <w:rFonts w:ascii="Traditional Arabic" w:hAnsi="Traditional Arabic"/>
          <w:sz w:val="32"/>
          <w:szCs w:val="32"/>
          <w:rtl/>
        </w:rPr>
        <w:t xml:space="preserve"> أبو داود</w:t>
      </w:r>
      <w:r>
        <w:rPr>
          <w:rFonts w:ascii="Traditional Arabic" w:hAnsi="Traditional Arabic" w:hint="cs"/>
          <w:sz w:val="32"/>
          <w:szCs w:val="32"/>
          <w:rtl/>
        </w:rPr>
        <w:t>,</w:t>
      </w:r>
      <w:r w:rsidRPr="005B5721">
        <w:rPr>
          <w:rFonts w:ascii="Traditional Arabic" w:hAnsi="Traditional Arabic"/>
          <w:sz w:val="32"/>
          <w:szCs w:val="32"/>
          <w:rtl/>
        </w:rPr>
        <w:t xml:space="preserve"> شبل بن عباد المكي مولى عبد الله بن عامر الأموي, وهو أحد أصحاب ابن كثير الذين خلفوه في القراءة بمكة,</w:t>
      </w:r>
      <w:r w:rsidRPr="005B5721">
        <w:rPr>
          <w:rFonts w:ascii="Traditional Arabic" w:hAnsi="Traditional Arabic"/>
          <w:sz w:val="32"/>
          <w:szCs w:val="32"/>
          <w:rtl/>
          <w:lang w:eastAsia="en-US"/>
        </w:rPr>
        <w:t xml:space="preserve"> </w:t>
      </w:r>
      <w:r w:rsidRPr="005B5721">
        <w:rPr>
          <w:rFonts w:ascii="Traditional Arabic" w:hAnsi="Traditional Arabic"/>
          <w:sz w:val="32"/>
          <w:szCs w:val="32"/>
          <w:rtl/>
        </w:rPr>
        <w:t>ثقةٌ ضابط, (ت160ه). انظر: معرفة القراء الكبار (ص78), غاية النهاية (1/450).</w:t>
      </w:r>
    </w:p>
  </w:footnote>
  <w:footnote w:id="2075">
    <w:p w:rsidR="003F128F" w:rsidRPr="005B5721" w:rsidRDefault="003F128F" w:rsidP="0063006E">
      <w:pPr>
        <w:pStyle w:val="af3"/>
        <w:rPr>
          <w:rFonts w:ascii="Traditional Arabic" w:hAnsi="Traditional Arabic"/>
          <w:sz w:val="32"/>
          <w:szCs w:val="32"/>
        </w:rPr>
      </w:pPr>
      <w:r w:rsidRPr="005B5721">
        <w:rPr>
          <w:rFonts w:ascii="Traditional Arabic" w:hAnsi="Traditional Arabic"/>
          <w:sz w:val="32"/>
          <w:szCs w:val="32"/>
          <w:rtl/>
        </w:rPr>
        <w:t>(</w:t>
      </w:r>
      <w:r w:rsidRPr="005B5721">
        <w:rPr>
          <w:rStyle w:val="ae"/>
          <w:rFonts w:ascii="Traditional Arabic" w:hAnsi="Traditional Arabic"/>
          <w:sz w:val="32"/>
          <w:szCs w:val="32"/>
          <w:vertAlign w:val="baseline"/>
        </w:rPr>
        <w:footnoteRef/>
      </w:r>
      <w:r w:rsidRPr="005B5721">
        <w:rPr>
          <w:rFonts w:ascii="Traditional Arabic" w:hAnsi="Traditional Arabic"/>
          <w:sz w:val="32"/>
          <w:szCs w:val="32"/>
          <w:rtl/>
        </w:rPr>
        <w:t xml:space="preserve">) </w:t>
      </w:r>
      <w:r w:rsidRPr="005B5721">
        <w:rPr>
          <w:rFonts w:ascii="Traditional Arabic" w:hAnsi="Traditional Arabic"/>
          <w:color w:val="auto"/>
          <w:sz w:val="32"/>
          <w:szCs w:val="32"/>
          <w:rtl/>
        </w:rPr>
        <w:t xml:space="preserve">انظر: السبعة في القراءات (ص407), الحجة للقراء السبعة (5/186). </w:t>
      </w:r>
      <w:r w:rsidRPr="005B5721">
        <w:rPr>
          <w:rFonts w:ascii="Traditional Arabic" w:hAnsi="Traditional Arabic"/>
          <w:sz w:val="32"/>
          <w:szCs w:val="32"/>
          <w:rtl/>
        </w:rPr>
        <w:t xml:space="preserve"> </w:t>
      </w:r>
    </w:p>
  </w:footnote>
  <w:footnote w:id="2076">
    <w:p w:rsidR="003F128F" w:rsidRPr="005B5721" w:rsidRDefault="003F128F" w:rsidP="0063006E">
      <w:pPr>
        <w:pStyle w:val="af3"/>
        <w:rPr>
          <w:rFonts w:ascii="Traditional Arabic" w:hAnsi="Traditional Arabic"/>
          <w:sz w:val="32"/>
          <w:szCs w:val="32"/>
        </w:rPr>
      </w:pPr>
      <w:r w:rsidRPr="005B5721">
        <w:rPr>
          <w:rFonts w:ascii="Traditional Arabic" w:hAnsi="Traditional Arabic"/>
          <w:sz w:val="32"/>
          <w:szCs w:val="32"/>
          <w:rtl/>
        </w:rPr>
        <w:t>(</w:t>
      </w:r>
      <w:r w:rsidRPr="005B5721">
        <w:rPr>
          <w:rStyle w:val="ae"/>
          <w:rFonts w:ascii="Traditional Arabic" w:hAnsi="Traditional Arabic"/>
          <w:sz w:val="32"/>
          <w:szCs w:val="32"/>
          <w:vertAlign w:val="baseline"/>
        </w:rPr>
        <w:footnoteRef/>
      </w:r>
      <w:r w:rsidRPr="005B5721">
        <w:rPr>
          <w:rFonts w:ascii="Traditional Arabic" w:hAnsi="Traditional Arabic"/>
          <w:sz w:val="32"/>
          <w:szCs w:val="32"/>
          <w:rtl/>
        </w:rPr>
        <w:t xml:space="preserve">) </w:t>
      </w:r>
      <w:r w:rsidRPr="005B5721">
        <w:rPr>
          <w:rFonts w:ascii="Traditional Arabic" w:hAnsi="Traditional Arabic"/>
          <w:color w:val="auto"/>
          <w:sz w:val="32"/>
          <w:szCs w:val="32"/>
          <w:rtl/>
        </w:rPr>
        <w:t xml:space="preserve">انظر: السبعة في القراءات (ص407), معاني القراءات (2/130). </w:t>
      </w:r>
      <w:r w:rsidRPr="005B5721">
        <w:rPr>
          <w:rFonts w:ascii="Traditional Arabic" w:hAnsi="Traditional Arabic"/>
          <w:sz w:val="32"/>
          <w:szCs w:val="32"/>
          <w:rtl/>
        </w:rPr>
        <w:t xml:space="preserve">  </w:t>
      </w:r>
    </w:p>
  </w:footnote>
  <w:footnote w:id="2077">
    <w:p w:rsidR="003F128F" w:rsidRPr="005B5721" w:rsidRDefault="003F128F" w:rsidP="0063006E">
      <w:pPr>
        <w:pStyle w:val="af3"/>
        <w:rPr>
          <w:rFonts w:ascii="Traditional Arabic" w:hAnsi="Traditional Arabic"/>
          <w:sz w:val="32"/>
          <w:szCs w:val="32"/>
        </w:rPr>
      </w:pPr>
      <w:r w:rsidRPr="005B5721">
        <w:rPr>
          <w:rFonts w:ascii="Traditional Arabic" w:hAnsi="Traditional Arabic"/>
          <w:sz w:val="32"/>
          <w:szCs w:val="32"/>
          <w:rtl/>
        </w:rPr>
        <w:t>(</w:t>
      </w:r>
      <w:r w:rsidRPr="005B5721">
        <w:rPr>
          <w:rStyle w:val="ae"/>
          <w:rFonts w:ascii="Traditional Arabic" w:hAnsi="Traditional Arabic"/>
          <w:sz w:val="32"/>
          <w:szCs w:val="32"/>
          <w:vertAlign w:val="baseline"/>
        </w:rPr>
        <w:footnoteRef/>
      </w:r>
      <w:r w:rsidRPr="005B5721">
        <w:rPr>
          <w:rFonts w:ascii="Traditional Arabic" w:hAnsi="Traditional Arabic"/>
          <w:sz w:val="32"/>
          <w:szCs w:val="32"/>
          <w:rtl/>
        </w:rPr>
        <w:t xml:space="preserve">) انظر: مجاز القرآن (2/2). </w:t>
      </w:r>
    </w:p>
  </w:footnote>
  <w:footnote w:id="2078">
    <w:p w:rsidR="003F128F" w:rsidRPr="005B5721" w:rsidRDefault="003F128F" w:rsidP="0063006E">
      <w:pPr>
        <w:pStyle w:val="af3"/>
        <w:rPr>
          <w:rFonts w:ascii="Traditional Arabic" w:hAnsi="Traditional Arabic"/>
          <w:sz w:val="32"/>
          <w:szCs w:val="32"/>
        </w:rPr>
      </w:pPr>
      <w:r w:rsidRPr="005B5721">
        <w:rPr>
          <w:rFonts w:ascii="Traditional Arabic" w:hAnsi="Traditional Arabic"/>
          <w:sz w:val="32"/>
          <w:szCs w:val="32"/>
          <w:rtl/>
        </w:rPr>
        <w:t>(</w:t>
      </w:r>
      <w:r w:rsidRPr="005B5721">
        <w:rPr>
          <w:rStyle w:val="ae"/>
          <w:rFonts w:ascii="Traditional Arabic" w:hAnsi="Traditional Arabic"/>
          <w:sz w:val="32"/>
          <w:szCs w:val="32"/>
          <w:vertAlign w:val="baseline"/>
        </w:rPr>
        <w:footnoteRef/>
      </w:r>
      <w:r w:rsidRPr="005B5721">
        <w:rPr>
          <w:rFonts w:ascii="Traditional Arabic" w:hAnsi="Traditional Arabic"/>
          <w:sz w:val="32"/>
          <w:szCs w:val="32"/>
          <w:rtl/>
        </w:rPr>
        <w:t>) التفسير الوسط (3/176), وذكره السيوطي في الدر المنثور وعزاه للفرْيَابِيّ (5/480).</w:t>
      </w:r>
    </w:p>
  </w:footnote>
  <w:footnote w:id="2079">
    <w:p w:rsidR="003F128F" w:rsidRPr="005B5721" w:rsidRDefault="003F128F" w:rsidP="0063006E">
      <w:pPr>
        <w:pStyle w:val="af3"/>
        <w:rPr>
          <w:rFonts w:ascii="Tahoma" w:hAnsi="Tahoma"/>
          <w:sz w:val="32"/>
          <w:szCs w:val="32"/>
        </w:rPr>
      </w:pPr>
      <w:r w:rsidRPr="005B5721">
        <w:rPr>
          <w:rFonts w:ascii="Traditional Arabic" w:hAnsi="Traditional Arabic"/>
          <w:sz w:val="32"/>
          <w:szCs w:val="32"/>
          <w:rtl/>
        </w:rPr>
        <w:t>(</w:t>
      </w:r>
      <w:r w:rsidRPr="005B5721">
        <w:rPr>
          <w:rStyle w:val="ae"/>
          <w:rFonts w:ascii="Traditional Arabic" w:hAnsi="Traditional Arabic"/>
          <w:sz w:val="32"/>
          <w:szCs w:val="32"/>
          <w:vertAlign w:val="baseline"/>
        </w:rPr>
        <w:footnoteRef/>
      </w:r>
      <w:r w:rsidRPr="005B5721">
        <w:rPr>
          <w:rFonts w:ascii="Traditional Arabic" w:hAnsi="Traditional Arabic"/>
          <w:sz w:val="32"/>
          <w:szCs w:val="32"/>
          <w:rtl/>
        </w:rPr>
        <w:t>) تفسير الطبري (18/147), النكت والعيون (3/335)</w:t>
      </w:r>
      <w:r w:rsidRPr="005B5721">
        <w:rPr>
          <w:rFonts w:ascii="Tahoma" w:hAnsi="Tahoma" w:hint="cs"/>
          <w:sz w:val="32"/>
          <w:szCs w:val="32"/>
          <w:rtl/>
        </w:rPr>
        <w:t>.</w:t>
      </w:r>
      <w:r w:rsidRPr="005B5721">
        <w:rPr>
          <w:rFonts w:ascii="Tahoma" w:hAnsi="Tahoma"/>
          <w:sz w:val="32"/>
          <w:szCs w:val="32"/>
          <w:rtl/>
        </w:rPr>
        <w:t xml:space="preserve"> </w:t>
      </w:r>
    </w:p>
  </w:footnote>
  <w:footnote w:id="2080">
    <w:p w:rsidR="003F128F" w:rsidRPr="00B44351" w:rsidRDefault="003F128F" w:rsidP="0063006E">
      <w:pPr>
        <w:pStyle w:val="af3"/>
        <w:rPr>
          <w:rFonts w:ascii="Traditional Arabic" w:hAnsi="Traditional Arabic"/>
          <w:color w:val="auto"/>
          <w:sz w:val="32"/>
          <w:szCs w:val="32"/>
        </w:rPr>
      </w:pPr>
      <w:r w:rsidRPr="00B44351">
        <w:rPr>
          <w:rFonts w:ascii="Traditional Arabic" w:hAnsi="Traditional Arabic"/>
          <w:color w:val="auto"/>
          <w:sz w:val="32"/>
          <w:szCs w:val="32"/>
          <w:rtl/>
        </w:rPr>
        <w:t>(</w:t>
      </w:r>
      <w:r w:rsidRPr="00B44351">
        <w:rPr>
          <w:rStyle w:val="ae"/>
          <w:rFonts w:ascii="Traditional Arabic" w:hAnsi="Traditional Arabic"/>
          <w:color w:val="auto"/>
          <w:sz w:val="32"/>
          <w:szCs w:val="32"/>
          <w:vertAlign w:val="baseline"/>
        </w:rPr>
        <w:footnoteRef/>
      </w:r>
      <w:r w:rsidRPr="00B44351">
        <w:rPr>
          <w:rFonts w:ascii="Traditional Arabic" w:hAnsi="Traditional Arabic"/>
          <w:color w:val="auto"/>
          <w:sz w:val="32"/>
          <w:szCs w:val="32"/>
          <w:rtl/>
        </w:rPr>
        <w:t>) انظر: النكت والعيون (3/336).</w:t>
      </w:r>
    </w:p>
  </w:footnote>
  <w:footnote w:id="2081">
    <w:p w:rsidR="003F128F" w:rsidRPr="00B44351" w:rsidRDefault="003F128F" w:rsidP="0063006E">
      <w:pPr>
        <w:pStyle w:val="af3"/>
        <w:rPr>
          <w:rFonts w:ascii="Traditional Arabic" w:hAnsi="Traditional Arabic"/>
          <w:color w:val="auto"/>
          <w:sz w:val="32"/>
          <w:szCs w:val="32"/>
        </w:rPr>
      </w:pPr>
      <w:r w:rsidRPr="00B44351">
        <w:rPr>
          <w:rFonts w:ascii="Traditional Arabic" w:hAnsi="Traditional Arabic"/>
          <w:color w:val="auto"/>
          <w:sz w:val="32"/>
          <w:szCs w:val="32"/>
          <w:rtl/>
        </w:rPr>
        <w:t>(</w:t>
      </w:r>
      <w:r w:rsidRPr="00B44351">
        <w:rPr>
          <w:rStyle w:val="ae"/>
          <w:rFonts w:ascii="Traditional Arabic" w:hAnsi="Traditional Arabic"/>
          <w:color w:val="auto"/>
          <w:sz w:val="32"/>
          <w:szCs w:val="32"/>
          <w:vertAlign w:val="baseline"/>
        </w:rPr>
        <w:footnoteRef/>
      </w:r>
      <w:r w:rsidRPr="00B44351">
        <w:rPr>
          <w:rFonts w:ascii="Traditional Arabic" w:hAnsi="Traditional Arabic"/>
          <w:color w:val="auto"/>
          <w:sz w:val="32"/>
          <w:szCs w:val="32"/>
          <w:rtl/>
        </w:rPr>
        <w:t>) انظر: تفسير عبد الرزاق (2/350), تفسير الطبري (18/146).</w:t>
      </w:r>
    </w:p>
  </w:footnote>
  <w:footnote w:id="2082">
    <w:p w:rsidR="003F128F" w:rsidRPr="003D51C5" w:rsidRDefault="003F128F" w:rsidP="0063006E">
      <w:pPr>
        <w:pStyle w:val="af3"/>
        <w:rPr>
          <w:rFonts w:ascii="Traditional Arabic" w:hAnsi="Traditional Arabic"/>
          <w:color w:val="auto"/>
          <w:sz w:val="32"/>
          <w:szCs w:val="32"/>
        </w:rPr>
      </w:pPr>
      <w:r w:rsidRPr="003D51C5">
        <w:rPr>
          <w:rFonts w:ascii="Traditional Arabic" w:hAnsi="Traditional Arabic"/>
          <w:color w:val="auto"/>
          <w:sz w:val="32"/>
          <w:szCs w:val="32"/>
          <w:rtl/>
        </w:rPr>
        <w:t>(</w:t>
      </w:r>
      <w:r w:rsidRPr="003D51C5">
        <w:rPr>
          <w:rStyle w:val="ae"/>
          <w:rFonts w:ascii="Traditional Arabic" w:hAnsi="Traditional Arabic"/>
          <w:color w:val="auto"/>
          <w:sz w:val="32"/>
          <w:szCs w:val="32"/>
          <w:vertAlign w:val="baseline"/>
        </w:rPr>
        <w:footnoteRef/>
      </w:r>
      <w:r w:rsidRPr="003D51C5">
        <w:rPr>
          <w:rFonts w:ascii="Traditional Arabic" w:hAnsi="Traditional Arabic"/>
          <w:color w:val="auto"/>
          <w:sz w:val="32"/>
          <w:szCs w:val="32"/>
          <w:rtl/>
        </w:rPr>
        <w:t xml:space="preserve">) انظر: تفسير السلمي (1/421), النكت والعيون (3/336). </w:t>
      </w:r>
    </w:p>
  </w:footnote>
  <w:footnote w:id="2083">
    <w:p w:rsidR="003F128F" w:rsidRPr="003D51C5" w:rsidRDefault="003F128F" w:rsidP="0063006E">
      <w:pPr>
        <w:pStyle w:val="af3"/>
        <w:rPr>
          <w:rFonts w:ascii="Tahoma" w:hAnsi="Tahoma"/>
        </w:rPr>
      </w:pPr>
      <w:r w:rsidRPr="003D51C5">
        <w:rPr>
          <w:rFonts w:ascii="Traditional Arabic" w:hAnsi="Traditional Arabic"/>
          <w:sz w:val="32"/>
          <w:szCs w:val="32"/>
          <w:rtl/>
        </w:rPr>
        <w:t>(</w:t>
      </w:r>
      <w:r w:rsidRPr="003D51C5">
        <w:rPr>
          <w:rStyle w:val="ae"/>
          <w:rFonts w:ascii="Traditional Arabic" w:hAnsi="Traditional Arabic"/>
          <w:sz w:val="32"/>
          <w:szCs w:val="32"/>
          <w:vertAlign w:val="baseline"/>
        </w:rPr>
        <w:footnoteRef/>
      </w:r>
      <w:r w:rsidRPr="003D51C5">
        <w:rPr>
          <w:rFonts w:ascii="Traditional Arabic" w:hAnsi="Traditional Arabic"/>
          <w:sz w:val="32"/>
          <w:szCs w:val="32"/>
          <w:rtl/>
        </w:rPr>
        <w:t>) في (ك): [قال مجاهد: وكان زكريا].</w:t>
      </w:r>
    </w:p>
  </w:footnote>
  <w:footnote w:id="2084">
    <w:p w:rsidR="003F128F" w:rsidRPr="005841AF" w:rsidRDefault="003F128F" w:rsidP="0063006E">
      <w:pPr>
        <w:pStyle w:val="af3"/>
        <w:rPr>
          <w:rFonts w:ascii="Traditional Arabic" w:hAnsi="Traditional Arabic"/>
          <w:color w:val="auto"/>
          <w:sz w:val="32"/>
          <w:szCs w:val="32"/>
        </w:rPr>
      </w:pPr>
      <w:r w:rsidRPr="005841AF">
        <w:rPr>
          <w:rFonts w:ascii="Traditional Arabic" w:hAnsi="Traditional Arabic"/>
          <w:color w:val="auto"/>
          <w:sz w:val="32"/>
          <w:szCs w:val="32"/>
          <w:rtl/>
        </w:rPr>
        <w:t>(</w:t>
      </w:r>
      <w:r w:rsidRPr="005841AF">
        <w:rPr>
          <w:rStyle w:val="ae"/>
          <w:rFonts w:ascii="Traditional Arabic" w:hAnsi="Traditional Arabic"/>
          <w:color w:val="auto"/>
          <w:sz w:val="32"/>
          <w:szCs w:val="32"/>
          <w:vertAlign w:val="baseline"/>
        </w:rPr>
        <w:footnoteRef/>
      </w:r>
      <w:r w:rsidRPr="005841AF">
        <w:rPr>
          <w:rFonts w:ascii="Traditional Arabic" w:hAnsi="Traditional Arabic"/>
          <w:color w:val="auto"/>
          <w:sz w:val="32"/>
          <w:szCs w:val="32"/>
          <w:rtl/>
        </w:rPr>
        <w:t>) تفسير مجاهد (ص453), تفسير الطبري (18/146).</w:t>
      </w:r>
    </w:p>
  </w:footnote>
  <w:footnote w:id="2085">
    <w:p w:rsidR="003F128F" w:rsidRPr="005841AF" w:rsidRDefault="003F128F" w:rsidP="0063006E">
      <w:pPr>
        <w:pStyle w:val="af3"/>
        <w:rPr>
          <w:rFonts w:ascii="Traditional Arabic" w:hAnsi="Traditional Arabic"/>
          <w:sz w:val="32"/>
          <w:szCs w:val="32"/>
        </w:rPr>
      </w:pPr>
      <w:r w:rsidRPr="005841AF">
        <w:rPr>
          <w:rFonts w:ascii="Traditional Arabic" w:hAnsi="Traditional Arabic"/>
          <w:sz w:val="32"/>
          <w:szCs w:val="32"/>
          <w:rtl/>
        </w:rPr>
        <w:t>(</w:t>
      </w:r>
      <w:r w:rsidRPr="005841AF">
        <w:rPr>
          <w:rStyle w:val="ae"/>
          <w:rFonts w:ascii="Traditional Arabic" w:hAnsi="Traditional Arabic"/>
          <w:sz w:val="32"/>
          <w:szCs w:val="32"/>
          <w:vertAlign w:val="baseline"/>
        </w:rPr>
        <w:footnoteRef/>
      </w:r>
      <w:r w:rsidRPr="005841AF">
        <w:rPr>
          <w:rFonts w:ascii="Traditional Arabic" w:hAnsi="Traditional Arabic"/>
          <w:sz w:val="32"/>
          <w:szCs w:val="32"/>
          <w:rtl/>
        </w:rPr>
        <w:t>) في (ك): [فزعم الكلبي].</w:t>
      </w:r>
    </w:p>
  </w:footnote>
  <w:footnote w:id="2086">
    <w:p w:rsidR="003F128F" w:rsidRPr="005841AF" w:rsidRDefault="003F128F" w:rsidP="0063006E">
      <w:pPr>
        <w:pStyle w:val="af3"/>
        <w:rPr>
          <w:rFonts w:ascii="Traditional Arabic" w:hAnsi="Traditional Arabic"/>
          <w:color w:val="auto"/>
          <w:sz w:val="32"/>
          <w:szCs w:val="32"/>
        </w:rPr>
      </w:pPr>
      <w:r w:rsidRPr="005841AF">
        <w:rPr>
          <w:rFonts w:ascii="Traditional Arabic" w:hAnsi="Traditional Arabic"/>
          <w:color w:val="auto"/>
          <w:sz w:val="32"/>
          <w:szCs w:val="32"/>
          <w:rtl/>
        </w:rPr>
        <w:t>(</w:t>
      </w:r>
      <w:r w:rsidRPr="005841AF">
        <w:rPr>
          <w:rStyle w:val="ae"/>
          <w:rFonts w:ascii="Traditional Arabic" w:hAnsi="Traditional Arabic"/>
          <w:color w:val="auto"/>
          <w:sz w:val="32"/>
          <w:szCs w:val="32"/>
          <w:vertAlign w:val="baseline"/>
        </w:rPr>
        <w:footnoteRef/>
      </w:r>
      <w:r w:rsidRPr="005841AF">
        <w:rPr>
          <w:rFonts w:ascii="Traditional Arabic" w:hAnsi="Traditional Arabic"/>
          <w:color w:val="auto"/>
          <w:sz w:val="32"/>
          <w:szCs w:val="32"/>
          <w:rtl/>
        </w:rPr>
        <w:t>) انظر: الكشف والبيان (6/206).</w:t>
      </w:r>
    </w:p>
  </w:footnote>
  <w:footnote w:id="2087">
    <w:p w:rsidR="003F128F" w:rsidRPr="00B44351" w:rsidRDefault="003F128F" w:rsidP="0063006E">
      <w:pPr>
        <w:pStyle w:val="af3"/>
        <w:rPr>
          <w:rFonts w:ascii="Traditional Arabic" w:hAnsi="Traditional Arabic"/>
          <w:color w:val="auto"/>
          <w:sz w:val="32"/>
          <w:szCs w:val="32"/>
        </w:rPr>
      </w:pPr>
      <w:r w:rsidRPr="005841AF">
        <w:rPr>
          <w:rFonts w:ascii="Traditional Arabic" w:hAnsi="Traditional Arabic"/>
          <w:color w:val="auto"/>
          <w:sz w:val="32"/>
          <w:szCs w:val="32"/>
          <w:rtl/>
        </w:rPr>
        <w:t>(</w:t>
      </w:r>
      <w:r w:rsidRPr="005841AF">
        <w:rPr>
          <w:rStyle w:val="ae"/>
          <w:rFonts w:ascii="Traditional Arabic" w:hAnsi="Traditional Arabic"/>
          <w:color w:val="auto"/>
          <w:sz w:val="32"/>
          <w:szCs w:val="32"/>
          <w:vertAlign w:val="baseline"/>
        </w:rPr>
        <w:footnoteRef/>
      </w:r>
      <w:r w:rsidRPr="005841AF">
        <w:rPr>
          <w:rFonts w:ascii="Traditional Arabic" w:hAnsi="Traditional Arabic"/>
          <w:color w:val="auto"/>
          <w:sz w:val="32"/>
          <w:szCs w:val="32"/>
          <w:rtl/>
        </w:rPr>
        <w:t>) انظر: تفسير مقاتل (2/621).</w:t>
      </w:r>
    </w:p>
  </w:footnote>
  <w:footnote w:id="2088">
    <w:p w:rsidR="003F128F" w:rsidRPr="00B44351" w:rsidRDefault="003F128F" w:rsidP="0063006E">
      <w:pPr>
        <w:pStyle w:val="af3"/>
        <w:rPr>
          <w:rFonts w:ascii="Traditional Arabic" w:hAnsi="Traditional Arabic"/>
          <w:color w:val="auto"/>
          <w:sz w:val="32"/>
          <w:szCs w:val="32"/>
        </w:rPr>
      </w:pPr>
      <w:r w:rsidRPr="00B44351">
        <w:rPr>
          <w:rFonts w:ascii="Traditional Arabic" w:hAnsi="Traditional Arabic"/>
          <w:color w:val="auto"/>
          <w:sz w:val="32"/>
          <w:szCs w:val="32"/>
          <w:rtl/>
        </w:rPr>
        <w:t>(</w:t>
      </w:r>
      <w:r w:rsidRPr="00B44351">
        <w:rPr>
          <w:rStyle w:val="ae"/>
          <w:rFonts w:ascii="Traditional Arabic" w:hAnsi="Traditional Arabic"/>
          <w:color w:val="auto"/>
          <w:sz w:val="32"/>
          <w:szCs w:val="32"/>
          <w:vertAlign w:val="baseline"/>
        </w:rPr>
        <w:footnoteRef/>
      </w:r>
      <w:r w:rsidRPr="00B44351">
        <w:rPr>
          <w:rFonts w:ascii="Traditional Arabic" w:hAnsi="Traditional Arabic"/>
          <w:color w:val="auto"/>
          <w:sz w:val="32"/>
          <w:szCs w:val="32"/>
          <w:rtl/>
        </w:rPr>
        <w:t>) أخرجه البخاري</w:t>
      </w:r>
      <w:r w:rsidRPr="00B44351">
        <w:rPr>
          <w:rFonts w:ascii="Traditional Arabic" w:hAnsi="Traditional Arabic" w:hint="cs"/>
          <w:color w:val="auto"/>
          <w:sz w:val="32"/>
          <w:szCs w:val="32"/>
          <w:rtl/>
        </w:rPr>
        <w:t xml:space="preserve"> (كتاب فرض الخمس, باب: فرض الخمس 6/235 ح 3039, وأطرافه في: ح</w:t>
      </w:r>
      <w:r w:rsidRPr="00B44351">
        <w:rPr>
          <w:rFonts w:ascii="Traditional Arabic" w:hAnsi="Traditional Arabic"/>
          <w:color w:val="auto"/>
          <w:sz w:val="32"/>
          <w:szCs w:val="32"/>
          <w:rtl/>
        </w:rPr>
        <w:t>4035</w:t>
      </w:r>
      <w:r w:rsidRPr="00B44351">
        <w:rPr>
          <w:rFonts w:ascii="Traditional Arabic" w:hAnsi="Traditional Arabic" w:hint="cs"/>
          <w:color w:val="auto"/>
          <w:sz w:val="32"/>
          <w:szCs w:val="32"/>
          <w:rtl/>
        </w:rPr>
        <w:t>,</w:t>
      </w:r>
      <w:r w:rsidRPr="00B44351">
        <w:rPr>
          <w:rFonts w:ascii="Traditional Arabic" w:hAnsi="Traditional Arabic"/>
          <w:color w:val="auto"/>
          <w:sz w:val="32"/>
          <w:szCs w:val="32"/>
          <w:rtl/>
        </w:rPr>
        <w:t xml:space="preserve"> 4036</w:t>
      </w:r>
      <w:r w:rsidRPr="00B44351">
        <w:rPr>
          <w:rFonts w:ascii="Traditional Arabic" w:hAnsi="Traditional Arabic" w:hint="cs"/>
          <w:color w:val="auto"/>
          <w:sz w:val="32"/>
          <w:szCs w:val="32"/>
          <w:rtl/>
        </w:rPr>
        <w:t xml:space="preserve">, </w:t>
      </w:r>
      <w:r w:rsidRPr="00B44351">
        <w:rPr>
          <w:rFonts w:ascii="Traditional Arabic" w:hAnsi="Traditional Arabic"/>
          <w:color w:val="auto"/>
          <w:sz w:val="32"/>
          <w:szCs w:val="32"/>
          <w:rtl/>
        </w:rPr>
        <w:t>4240</w:t>
      </w:r>
      <w:r w:rsidRPr="00B44351">
        <w:rPr>
          <w:rFonts w:ascii="Traditional Arabic" w:hAnsi="Traditional Arabic" w:hint="cs"/>
          <w:color w:val="auto"/>
          <w:sz w:val="32"/>
          <w:szCs w:val="32"/>
          <w:rtl/>
        </w:rPr>
        <w:t xml:space="preserve">, </w:t>
      </w:r>
      <w:r w:rsidRPr="00B44351">
        <w:rPr>
          <w:rFonts w:ascii="Traditional Arabic" w:hAnsi="Traditional Arabic"/>
          <w:color w:val="auto"/>
          <w:sz w:val="32"/>
          <w:szCs w:val="32"/>
          <w:rtl/>
        </w:rPr>
        <w:t>2241</w:t>
      </w:r>
      <w:r w:rsidRPr="00B44351">
        <w:rPr>
          <w:rFonts w:ascii="Traditional Arabic" w:hAnsi="Traditional Arabic" w:hint="cs"/>
          <w:color w:val="auto"/>
          <w:sz w:val="32"/>
          <w:szCs w:val="32"/>
          <w:rtl/>
        </w:rPr>
        <w:t>,</w:t>
      </w:r>
      <w:r w:rsidRPr="00B44351">
        <w:rPr>
          <w:rFonts w:ascii="Traditional Arabic" w:hAnsi="Traditional Arabic"/>
          <w:color w:val="auto"/>
          <w:sz w:val="32"/>
          <w:szCs w:val="32"/>
          <w:rtl/>
        </w:rPr>
        <w:t xml:space="preserve"> 6725</w:t>
      </w:r>
      <w:r w:rsidRPr="00B44351">
        <w:rPr>
          <w:rFonts w:ascii="Traditional Arabic" w:hAnsi="Traditional Arabic" w:hint="cs"/>
          <w:color w:val="auto"/>
          <w:sz w:val="32"/>
          <w:szCs w:val="32"/>
          <w:rtl/>
        </w:rPr>
        <w:t>,</w:t>
      </w:r>
      <w:r w:rsidRPr="00B44351">
        <w:rPr>
          <w:rFonts w:ascii="Traditional Arabic" w:hAnsi="Traditional Arabic"/>
          <w:color w:val="auto"/>
          <w:sz w:val="32"/>
          <w:szCs w:val="32"/>
          <w:rtl/>
        </w:rPr>
        <w:t xml:space="preserve"> 6726</w:t>
      </w:r>
      <w:r w:rsidRPr="00B44351">
        <w:rPr>
          <w:rFonts w:ascii="Traditional Arabic" w:hAnsi="Traditional Arabic" w:hint="cs"/>
          <w:color w:val="auto"/>
          <w:sz w:val="32"/>
          <w:szCs w:val="32"/>
          <w:rtl/>
        </w:rPr>
        <w:t>)</w:t>
      </w:r>
      <w:r w:rsidRPr="00B44351">
        <w:rPr>
          <w:rFonts w:ascii="Traditional Arabic" w:hAnsi="Traditional Arabic"/>
          <w:color w:val="auto"/>
          <w:sz w:val="32"/>
          <w:szCs w:val="32"/>
          <w:rtl/>
        </w:rPr>
        <w:t xml:space="preserve"> ومسلم</w:t>
      </w:r>
      <w:r w:rsidRPr="00B44351">
        <w:rPr>
          <w:rFonts w:ascii="Traditional Arabic" w:hAnsi="Traditional Arabic" w:hint="cs"/>
          <w:color w:val="auto"/>
          <w:sz w:val="32"/>
          <w:szCs w:val="32"/>
          <w:rtl/>
        </w:rPr>
        <w:t xml:space="preserve"> (كتاب</w:t>
      </w:r>
      <w:r w:rsidRPr="00B44351">
        <w:rPr>
          <w:rFonts w:ascii="Traditional Arabic" w:hAnsi="Traditional Arabic"/>
          <w:color w:val="auto"/>
          <w:sz w:val="32"/>
          <w:szCs w:val="32"/>
          <w:rtl/>
        </w:rPr>
        <w:t xml:space="preserve"> </w:t>
      </w:r>
      <w:r w:rsidRPr="00B44351">
        <w:rPr>
          <w:rFonts w:ascii="Traditional Arabic" w:hAnsi="Traditional Arabic" w:hint="cs"/>
          <w:color w:val="auto"/>
          <w:sz w:val="32"/>
          <w:szCs w:val="32"/>
          <w:rtl/>
        </w:rPr>
        <w:t xml:space="preserve">الجهاد, باب: قول النبي </w:t>
      </w:r>
      <w:r w:rsidRPr="00B44351">
        <w:rPr>
          <w:rFonts w:ascii="Traditional Arabic" w:hAnsi="Traditional Arabic" w:hint="cs"/>
          <w:color w:val="auto"/>
          <w:sz w:val="32"/>
          <w:szCs w:val="32"/>
        </w:rPr>
        <w:sym w:font="AGA Arabesque" w:char="F072"/>
      </w:r>
      <w:r w:rsidRPr="00B44351">
        <w:rPr>
          <w:rFonts w:ascii="Traditional Arabic" w:hAnsi="Traditional Arabic" w:hint="cs"/>
          <w:color w:val="auto"/>
          <w:sz w:val="32"/>
          <w:szCs w:val="32"/>
          <w:rtl/>
        </w:rPr>
        <w:t>: "لا</w:t>
      </w:r>
      <w:r>
        <w:rPr>
          <w:rFonts w:ascii="Traditional Arabic" w:hAnsi="Traditional Arabic" w:hint="cs"/>
          <w:color w:val="auto"/>
          <w:sz w:val="32"/>
          <w:szCs w:val="32"/>
          <w:rtl/>
        </w:rPr>
        <w:t xml:space="preserve"> </w:t>
      </w:r>
      <w:r w:rsidRPr="00B44351">
        <w:rPr>
          <w:rFonts w:ascii="Traditional Arabic" w:hAnsi="Traditional Arabic" w:hint="cs"/>
          <w:color w:val="auto"/>
          <w:sz w:val="32"/>
          <w:szCs w:val="32"/>
          <w:rtl/>
        </w:rPr>
        <w:t>نورث</w:t>
      </w:r>
      <w:r>
        <w:rPr>
          <w:rFonts w:ascii="Traditional Arabic" w:hAnsi="Traditional Arabic" w:hint="cs"/>
          <w:color w:val="auto"/>
          <w:sz w:val="32"/>
          <w:szCs w:val="32"/>
          <w:rtl/>
        </w:rPr>
        <w:t>,</w:t>
      </w:r>
      <w:r w:rsidRPr="00B44351">
        <w:rPr>
          <w:rFonts w:ascii="Traditional Arabic" w:hAnsi="Traditional Arabic" w:hint="cs"/>
          <w:color w:val="auto"/>
          <w:sz w:val="32"/>
          <w:szCs w:val="32"/>
          <w:rtl/>
        </w:rPr>
        <w:t xml:space="preserve"> ما تركناه فهو صدقة" </w:t>
      </w:r>
      <w:r>
        <w:rPr>
          <w:rFonts w:ascii="Traditional Arabic" w:hAnsi="Traditional Arabic" w:hint="cs"/>
          <w:color w:val="auto"/>
          <w:sz w:val="32"/>
          <w:szCs w:val="32"/>
          <w:rtl/>
        </w:rPr>
        <w:t>6</w:t>
      </w:r>
      <w:r w:rsidRPr="00B44351">
        <w:rPr>
          <w:rFonts w:ascii="Traditional Arabic" w:hAnsi="Traditional Arabic" w:hint="cs"/>
          <w:color w:val="auto"/>
          <w:sz w:val="32"/>
          <w:szCs w:val="32"/>
          <w:rtl/>
        </w:rPr>
        <w:t>/299 ح4554).</w:t>
      </w:r>
    </w:p>
  </w:footnote>
  <w:footnote w:id="2089">
    <w:p w:rsidR="003F128F" w:rsidRPr="003D51C5" w:rsidRDefault="003F128F" w:rsidP="0063006E">
      <w:pPr>
        <w:pStyle w:val="af3"/>
        <w:rPr>
          <w:rFonts w:ascii="Traditional Arabic" w:hAnsi="Traditional Arabic"/>
          <w:sz w:val="32"/>
          <w:szCs w:val="32"/>
        </w:rPr>
      </w:pPr>
      <w:r w:rsidRPr="003D51C5">
        <w:rPr>
          <w:rFonts w:ascii="Traditional Arabic" w:hAnsi="Traditional Arabic"/>
          <w:sz w:val="32"/>
          <w:szCs w:val="32"/>
          <w:rtl/>
        </w:rPr>
        <w:t>(</w:t>
      </w:r>
      <w:r w:rsidRPr="003D51C5">
        <w:rPr>
          <w:rStyle w:val="ae"/>
          <w:rFonts w:ascii="Traditional Arabic" w:hAnsi="Traditional Arabic"/>
          <w:sz w:val="32"/>
          <w:szCs w:val="32"/>
          <w:vertAlign w:val="baseline"/>
        </w:rPr>
        <w:footnoteRef/>
      </w:r>
      <w:r w:rsidRPr="003D51C5">
        <w:rPr>
          <w:rFonts w:ascii="Traditional Arabic" w:hAnsi="Traditional Arabic"/>
          <w:sz w:val="32"/>
          <w:szCs w:val="32"/>
          <w:rtl/>
        </w:rPr>
        <w:t xml:space="preserve">) في (ك): [والثاني: أنه لا يجوز]. </w:t>
      </w:r>
    </w:p>
  </w:footnote>
  <w:footnote w:id="2090">
    <w:p w:rsidR="003F128F" w:rsidRPr="00B44351" w:rsidRDefault="003F128F" w:rsidP="0063006E">
      <w:pPr>
        <w:pStyle w:val="af3"/>
        <w:rPr>
          <w:rFonts w:ascii="Traditional Arabic" w:hAnsi="Traditional Arabic"/>
          <w:color w:val="auto"/>
          <w:sz w:val="32"/>
          <w:szCs w:val="32"/>
          <w:rtl/>
        </w:rPr>
      </w:pPr>
      <w:r w:rsidRPr="00B44351">
        <w:rPr>
          <w:rFonts w:ascii="Traditional Arabic" w:hAnsi="Traditional Arabic"/>
          <w:color w:val="auto"/>
          <w:sz w:val="32"/>
          <w:szCs w:val="32"/>
          <w:rtl/>
        </w:rPr>
        <w:t>(</w:t>
      </w:r>
      <w:r w:rsidRPr="00B44351">
        <w:rPr>
          <w:rStyle w:val="ae"/>
          <w:rFonts w:ascii="Traditional Arabic" w:hAnsi="Traditional Arabic"/>
          <w:color w:val="auto"/>
          <w:sz w:val="32"/>
          <w:szCs w:val="32"/>
          <w:vertAlign w:val="baseline"/>
        </w:rPr>
        <w:footnoteRef/>
      </w:r>
      <w:r w:rsidRPr="00B44351">
        <w:rPr>
          <w:rFonts w:ascii="Traditional Arabic" w:hAnsi="Traditional Arabic"/>
          <w:color w:val="auto"/>
          <w:sz w:val="32"/>
          <w:szCs w:val="32"/>
          <w:rtl/>
        </w:rPr>
        <w:t xml:space="preserve">) أخرجه مسلم </w:t>
      </w:r>
      <w:r>
        <w:rPr>
          <w:rFonts w:ascii="Traditional Arabic" w:hAnsi="Traditional Arabic" w:hint="cs"/>
          <w:color w:val="auto"/>
          <w:sz w:val="32"/>
          <w:szCs w:val="32"/>
          <w:rtl/>
        </w:rPr>
        <w:t>(كتاب الفضائل, باب: من فضائل زكريا عليه السلام 8/133 ح6112).</w:t>
      </w:r>
      <w:r w:rsidRPr="00B44351">
        <w:rPr>
          <w:rFonts w:ascii="Traditional Arabic" w:hAnsi="Traditional Arabic"/>
          <w:color w:val="auto"/>
          <w:sz w:val="32"/>
          <w:szCs w:val="32"/>
          <w:rtl/>
        </w:rPr>
        <w:t xml:space="preserve"> </w:t>
      </w:r>
    </w:p>
  </w:footnote>
  <w:footnote w:id="2091">
    <w:p w:rsidR="003F128F" w:rsidRPr="000F2A8D" w:rsidRDefault="003F128F" w:rsidP="0063006E">
      <w:pPr>
        <w:pStyle w:val="af3"/>
        <w:rPr>
          <w:rFonts w:ascii="Traditional Arabic" w:hAnsi="Traditional Arabic"/>
          <w:sz w:val="32"/>
          <w:szCs w:val="32"/>
        </w:rPr>
      </w:pPr>
      <w:r w:rsidRPr="000F2A8D">
        <w:rPr>
          <w:rFonts w:ascii="Traditional Arabic" w:hAnsi="Traditional Arabic"/>
          <w:color w:val="auto"/>
          <w:sz w:val="32"/>
          <w:szCs w:val="32"/>
          <w:rtl/>
        </w:rPr>
        <w:t>(</w:t>
      </w:r>
      <w:r w:rsidRPr="000F2A8D">
        <w:rPr>
          <w:rStyle w:val="ae"/>
          <w:rFonts w:ascii="Traditional Arabic" w:hAnsi="Traditional Arabic"/>
          <w:color w:val="auto"/>
          <w:sz w:val="32"/>
          <w:szCs w:val="32"/>
          <w:vertAlign w:val="baseline"/>
        </w:rPr>
        <w:footnoteRef/>
      </w:r>
      <w:r w:rsidRPr="000F2A8D">
        <w:rPr>
          <w:rFonts w:ascii="Traditional Arabic" w:hAnsi="Traditional Arabic"/>
          <w:color w:val="auto"/>
          <w:sz w:val="32"/>
          <w:szCs w:val="32"/>
          <w:rtl/>
        </w:rPr>
        <w:t>)</w:t>
      </w:r>
      <w:r w:rsidRPr="000F2A8D">
        <w:rPr>
          <w:rFonts w:ascii="Traditional Arabic" w:hAnsi="Traditional Arabic" w:hint="cs"/>
          <w:color w:val="auto"/>
          <w:sz w:val="32"/>
          <w:szCs w:val="32"/>
          <w:rtl/>
        </w:rPr>
        <w:t xml:space="preserve"> انظر: تهذيب اللغة (12/46) مادة (</w:t>
      </w:r>
      <w:r w:rsidRPr="000F2A8D">
        <w:rPr>
          <w:rFonts w:ascii="Traditional Arabic" w:hAnsi="Traditional Arabic"/>
          <w:color w:val="auto"/>
          <w:sz w:val="32"/>
          <w:szCs w:val="32"/>
          <w:rtl/>
        </w:rPr>
        <w:t>رَضِي</w:t>
      </w:r>
      <w:r w:rsidRPr="000F2A8D">
        <w:rPr>
          <w:rFonts w:ascii="Traditional Arabic" w:hAnsi="Traditional Arabic" w:hint="cs"/>
          <w:color w:val="auto"/>
          <w:sz w:val="32"/>
          <w:szCs w:val="32"/>
          <w:rtl/>
        </w:rPr>
        <w:t>).</w:t>
      </w:r>
    </w:p>
  </w:footnote>
  <w:footnote w:id="2092">
    <w:p w:rsidR="003F128F" w:rsidRPr="00342FEE" w:rsidRDefault="003F128F" w:rsidP="00D94C92">
      <w:pPr>
        <w:pStyle w:val="af3"/>
        <w:rPr>
          <w:rFonts w:ascii="Traditional Arabic" w:hAnsi="Traditional Arabic"/>
          <w:color w:val="auto"/>
          <w:sz w:val="32"/>
          <w:szCs w:val="32"/>
        </w:rPr>
      </w:pPr>
      <w:r w:rsidRPr="00342FEE">
        <w:rPr>
          <w:rFonts w:ascii="Traditional Arabic" w:hAnsi="Traditional Arabic"/>
          <w:color w:val="auto"/>
          <w:sz w:val="32"/>
          <w:szCs w:val="32"/>
          <w:rtl/>
        </w:rPr>
        <w:t>(</w:t>
      </w:r>
      <w:r w:rsidRPr="00342FEE">
        <w:rPr>
          <w:rStyle w:val="ae"/>
          <w:rFonts w:ascii="Traditional Arabic" w:hAnsi="Traditional Arabic"/>
          <w:color w:val="auto"/>
          <w:sz w:val="32"/>
          <w:szCs w:val="32"/>
          <w:vertAlign w:val="baseline"/>
        </w:rPr>
        <w:footnoteRef/>
      </w:r>
      <w:r w:rsidRPr="00342FEE">
        <w:rPr>
          <w:rFonts w:ascii="Traditional Arabic" w:hAnsi="Traditional Arabic"/>
          <w:color w:val="auto"/>
          <w:sz w:val="32"/>
          <w:szCs w:val="32"/>
          <w:rtl/>
        </w:rPr>
        <w:t>) انظر: النشر في القراءات العشر (2/239), البدور الزاهرة (</w:t>
      </w:r>
      <w:r>
        <w:rPr>
          <w:rFonts w:ascii="Traditional Arabic" w:hAnsi="Traditional Arabic" w:hint="cs"/>
          <w:color w:val="auto"/>
          <w:sz w:val="32"/>
          <w:szCs w:val="32"/>
          <w:rtl/>
        </w:rPr>
        <w:t>ص</w:t>
      </w:r>
      <w:r w:rsidRPr="00342FEE">
        <w:rPr>
          <w:rFonts w:ascii="Traditional Arabic" w:hAnsi="Traditional Arabic"/>
          <w:color w:val="auto"/>
          <w:sz w:val="32"/>
          <w:szCs w:val="32"/>
          <w:rtl/>
        </w:rPr>
        <w:t xml:space="preserve">540).     </w:t>
      </w:r>
    </w:p>
  </w:footnote>
  <w:footnote w:id="2093">
    <w:p w:rsidR="003F128F" w:rsidRPr="00342FEE" w:rsidRDefault="003F128F" w:rsidP="0063006E">
      <w:pPr>
        <w:pStyle w:val="af3"/>
        <w:rPr>
          <w:rFonts w:ascii="Traditional Arabic" w:hAnsi="Traditional Arabic"/>
          <w:color w:val="auto"/>
          <w:sz w:val="32"/>
          <w:szCs w:val="32"/>
        </w:rPr>
      </w:pPr>
      <w:r w:rsidRPr="00342FEE">
        <w:rPr>
          <w:rFonts w:ascii="Traditional Arabic" w:hAnsi="Traditional Arabic"/>
          <w:color w:val="auto"/>
          <w:sz w:val="32"/>
          <w:szCs w:val="32"/>
          <w:rtl/>
        </w:rPr>
        <w:t>(</w:t>
      </w:r>
      <w:r w:rsidRPr="00342FEE">
        <w:rPr>
          <w:rStyle w:val="ae"/>
          <w:rFonts w:ascii="Traditional Arabic" w:hAnsi="Traditional Arabic"/>
          <w:color w:val="auto"/>
          <w:sz w:val="32"/>
          <w:szCs w:val="32"/>
          <w:vertAlign w:val="baseline"/>
        </w:rPr>
        <w:footnoteRef/>
      </w:r>
      <w:r w:rsidRPr="00342FEE">
        <w:rPr>
          <w:rFonts w:ascii="Traditional Arabic" w:hAnsi="Traditional Arabic"/>
          <w:color w:val="auto"/>
          <w:sz w:val="32"/>
          <w:szCs w:val="32"/>
          <w:rtl/>
        </w:rPr>
        <w:t>) سورة آل عمران, الآية: (39). انظر: زاد المسير (1/381).</w:t>
      </w:r>
    </w:p>
  </w:footnote>
  <w:footnote w:id="2094">
    <w:p w:rsidR="003F128F" w:rsidRPr="00342FEE" w:rsidRDefault="003F128F" w:rsidP="0063006E">
      <w:pPr>
        <w:pStyle w:val="af3"/>
        <w:rPr>
          <w:rFonts w:ascii="Traditional Arabic" w:hAnsi="Traditional Arabic"/>
          <w:color w:val="auto"/>
          <w:sz w:val="32"/>
          <w:szCs w:val="32"/>
        </w:rPr>
      </w:pPr>
      <w:r w:rsidRPr="00342FEE">
        <w:rPr>
          <w:rFonts w:ascii="Traditional Arabic" w:hAnsi="Traditional Arabic"/>
          <w:color w:val="auto"/>
          <w:sz w:val="32"/>
          <w:szCs w:val="32"/>
          <w:rtl/>
        </w:rPr>
        <w:t>(</w:t>
      </w:r>
      <w:r w:rsidRPr="00342FEE">
        <w:rPr>
          <w:rStyle w:val="ae"/>
          <w:rFonts w:ascii="Traditional Arabic" w:hAnsi="Traditional Arabic"/>
          <w:color w:val="auto"/>
          <w:sz w:val="32"/>
          <w:szCs w:val="32"/>
          <w:vertAlign w:val="baseline"/>
        </w:rPr>
        <w:footnoteRef/>
      </w:r>
      <w:r w:rsidRPr="00342FEE">
        <w:rPr>
          <w:rFonts w:ascii="Traditional Arabic" w:hAnsi="Traditional Arabic"/>
          <w:color w:val="auto"/>
          <w:sz w:val="32"/>
          <w:szCs w:val="32"/>
          <w:rtl/>
        </w:rPr>
        <w:t xml:space="preserve">) تفسير بن أبي حاتم (7/2399), الكشف واليان (6/207).  </w:t>
      </w:r>
    </w:p>
  </w:footnote>
  <w:footnote w:id="2095">
    <w:p w:rsidR="003F128F" w:rsidRPr="00342FEE" w:rsidRDefault="003F128F" w:rsidP="0063006E">
      <w:pPr>
        <w:pStyle w:val="af3"/>
        <w:rPr>
          <w:rFonts w:ascii="Traditional Arabic" w:hAnsi="Traditional Arabic"/>
          <w:color w:val="auto"/>
          <w:sz w:val="32"/>
          <w:szCs w:val="32"/>
        </w:rPr>
      </w:pPr>
      <w:r w:rsidRPr="00342FEE">
        <w:rPr>
          <w:rFonts w:ascii="Traditional Arabic" w:hAnsi="Traditional Arabic"/>
          <w:color w:val="auto"/>
          <w:sz w:val="32"/>
          <w:szCs w:val="32"/>
          <w:rtl/>
        </w:rPr>
        <w:t>(</w:t>
      </w:r>
      <w:r w:rsidRPr="00342FEE">
        <w:rPr>
          <w:rStyle w:val="ae"/>
          <w:rFonts w:ascii="Traditional Arabic" w:hAnsi="Traditional Arabic"/>
          <w:color w:val="auto"/>
          <w:sz w:val="32"/>
          <w:szCs w:val="32"/>
          <w:vertAlign w:val="baseline"/>
        </w:rPr>
        <w:footnoteRef/>
      </w:r>
      <w:r w:rsidRPr="00342FEE">
        <w:rPr>
          <w:rFonts w:ascii="Traditional Arabic" w:hAnsi="Traditional Arabic"/>
          <w:color w:val="auto"/>
          <w:sz w:val="32"/>
          <w:szCs w:val="32"/>
          <w:rtl/>
        </w:rPr>
        <w:t xml:space="preserve">) تفسير الطبري (18/148), الهداية (7/4497). </w:t>
      </w:r>
    </w:p>
  </w:footnote>
  <w:footnote w:id="2096">
    <w:p w:rsidR="003F128F" w:rsidRPr="00342FEE" w:rsidRDefault="003F128F" w:rsidP="0063006E">
      <w:pPr>
        <w:pStyle w:val="af3"/>
        <w:rPr>
          <w:rFonts w:ascii="Traditional Arabic" w:hAnsi="Traditional Arabic"/>
          <w:color w:val="auto"/>
          <w:sz w:val="32"/>
          <w:szCs w:val="32"/>
        </w:rPr>
      </w:pPr>
      <w:r w:rsidRPr="00342FEE">
        <w:rPr>
          <w:rFonts w:ascii="Traditional Arabic" w:hAnsi="Traditional Arabic"/>
          <w:color w:val="auto"/>
          <w:sz w:val="32"/>
          <w:szCs w:val="32"/>
          <w:rtl/>
        </w:rPr>
        <w:t>(</w:t>
      </w:r>
      <w:r w:rsidRPr="00342FEE">
        <w:rPr>
          <w:rStyle w:val="ae"/>
          <w:rFonts w:ascii="Traditional Arabic" w:hAnsi="Traditional Arabic"/>
          <w:color w:val="auto"/>
          <w:sz w:val="32"/>
          <w:szCs w:val="32"/>
          <w:vertAlign w:val="baseline"/>
        </w:rPr>
        <w:footnoteRef/>
      </w:r>
      <w:r w:rsidRPr="00342FEE">
        <w:rPr>
          <w:rFonts w:ascii="Traditional Arabic" w:hAnsi="Traditional Arabic"/>
          <w:color w:val="auto"/>
          <w:sz w:val="32"/>
          <w:szCs w:val="32"/>
          <w:rtl/>
        </w:rPr>
        <w:t xml:space="preserve">) تفسير الطبري (18/148), الكشف واليان (6/207), التفسير الوسيط (3/176).  </w:t>
      </w:r>
    </w:p>
  </w:footnote>
  <w:footnote w:id="2097">
    <w:p w:rsidR="003F128F" w:rsidRPr="00342FEE" w:rsidRDefault="003F128F" w:rsidP="0063006E">
      <w:pPr>
        <w:pStyle w:val="af3"/>
        <w:rPr>
          <w:rFonts w:ascii="Traditional Arabic" w:hAnsi="Traditional Arabic"/>
          <w:color w:val="auto"/>
          <w:sz w:val="32"/>
          <w:szCs w:val="32"/>
        </w:rPr>
      </w:pPr>
      <w:r w:rsidRPr="00342FEE">
        <w:rPr>
          <w:rFonts w:ascii="Traditional Arabic" w:hAnsi="Traditional Arabic"/>
          <w:color w:val="auto"/>
          <w:sz w:val="32"/>
          <w:szCs w:val="32"/>
          <w:rtl/>
        </w:rPr>
        <w:t>(</w:t>
      </w:r>
      <w:r w:rsidRPr="00342FEE">
        <w:rPr>
          <w:rStyle w:val="ae"/>
          <w:rFonts w:ascii="Traditional Arabic" w:hAnsi="Traditional Arabic"/>
          <w:color w:val="auto"/>
          <w:sz w:val="32"/>
          <w:szCs w:val="32"/>
          <w:vertAlign w:val="baseline"/>
        </w:rPr>
        <w:footnoteRef/>
      </w:r>
      <w:r w:rsidRPr="00342FEE">
        <w:rPr>
          <w:rFonts w:ascii="Traditional Arabic" w:hAnsi="Traditional Arabic"/>
          <w:color w:val="auto"/>
          <w:sz w:val="32"/>
          <w:szCs w:val="32"/>
          <w:rtl/>
        </w:rPr>
        <w:t>) تفسير يحيى بن سلام (1/215), تفسير الطبري (18/148)</w:t>
      </w:r>
      <w:r>
        <w:rPr>
          <w:rFonts w:ascii="Traditional Arabic" w:hAnsi="Traditional Arabic" w:hint="cs"/>
          <w:color w:val="auto"/>
          <w:sz w:val="32"/>
          <w:szCs w:val="32"/>
          <w:rtl/>
        </w:rPr>
        <w:t>.</w:t>
      </w:r>
    </w:p>
  </w:footnote>
  <w:footnote w:id="2098">
    <w:p w:rsidR="003F128F" w:rsidRPr="00342FEE" w:rsidRDefault="003F128F" w:rsidP="0063006E">
      <w:pPr>
        <w:pStyle w:val="af3"/>
        <w:rPr>
          <w:rFonts w:ascii="Traditional Arabic" w:hAnsi="Traditional Arabic"/>
          <w:color w:val="auto"/>
          <w:sz w:val="32"/>
          <w:szCs w:val="32"/>
        </w:rPr>
      </w:pPr>
      <w:r w:rsidRPr="00342FEE">
        <w:rPr>
          <w:rFonts w:ascii="Traditional Arabic" w:hAnsi="Traditional Arabic"/>
          <w:color w:val="auto"/>
          <w:sz w:val="32"/>
          <w:szCs w:val="32"/>
          <w:rtl/>
        </w:rPr>
        <w:t>(</w:t>
      </w:r>
      <w:r w:rsidRPr="00342FEE">
        <w:rPr>
          <w:rStyle w:val="ae"/>
          <w:rFonts w:ascii="Traditional Arabic" w:hAnsi="Traditional Arabic"/>
          <w:color w:val="auto"/>
          <w:sz w:val="32"/>
          <w:szCs w:val="32"/>
          <w:vertAlign w:val="baseline"/>
        </w:rPr>
        <w:footnoteRef/>
      </w:r>
      <w:r w:rsidRPr="00342FEE">
        <w:rPr>
          <w:rFonts w:ascii="Traditional Arabic" w:hAnsi="Traditional Arabic"/>
          <w:color w:val="auto"/>
          <w:sz w:val="32"/>
          <w:szCs w:val="32"/>
          <w:rtl/>
        </w:rPr>
        <w:t xml:space="preserve">) تفسير مجاهد (ص454), تفسير الطبري (18/148). </w:t>
      </w:r>
    </w:p>
  </w:footnote>
  <w:footnote w:id="2099">
    <w:p w:rsidR="003F128F" w:rsidRPr="00B304C3" w:rsidRDefault="003F128F" w:rsidP="0063006E">
      <w:pPr>
        <w:pStyle w:val="af3"/>
        <w:rPr>
          <w:rFonts w:ascii="Tahoma" w:hAnsi="Tahoma"/>
        </w:rPr>
      </w:pPr>
      <w:r w:rsidRPr="00342FEE">
        <w:rPr>
          <w:rFonts w:ascii="Traditional Arabic" w:hAnsi="Traditional Arabic"/>
          <w:color w:val="auto"/>
          <w:sz w:val="32"/>
          <w:szCs w:val="32"/>
          <w:rtl/>
        </w:rPr>
        <w:t>(</w:t>
      </w:r>
      <w:r w:rsidRPr="00342FEE">
        <w:rPr>
          <w:rStyle w:val="ae"/>
          <w:rFonts w:ascii="Traditional Arabic" w:hAnsi="Traditional Arabic"/>
          <w:color w:val="auto"/>
          <w:sz w:val="32"/>
          <w:szCs w:val="32"/>
          <w:vertAlign w:val="baseline"/>
        </w:rPr>
        <w:footnoteRef/>
      </w:r>
      <w:r w:rsidRPr="00342FEE">
        <w:rPr>
          <w:rFonts w:ascii="Traditional Arabic" w:hAnsi="Traditional Arabic"/>
          <w:color w:val="auto"/>
          <w:sz w:val="32"/>
          <w:szCs w:val="32"/>
          <w:rtl/>
        </w:rPr>
        <w:t>)</w:t>
      </w:r>
      <w:r>
        <w:rPr>
          <w:rFonts w:ascii="Traditional Arabic" w:hAnsi="Traditional Arabic" w:hint="cs"/>
          <w:color w:val="auto"/>
          <w:sz w:val="32"/>
          <w:szCs w:val="32"/>
          <w:rtl/>
        </w:rPr>
        <w:t xml:space="preserve"> </w:t>
      </w:r>
      <w:r w:rsidRPr="00342FEE">
        <w:rPr>
          <w:rFonts w:ascii="Traditional Arabic" w:hAnsi="Traditional Arabic"/>
          <w:color w:val="auto"/>
          <w:sz w:val="32"/>
          <w:szCs w:val="32"/>
          <w:rtl/>
        </w:rPr>
        <w:t>سورة آل عمران, الآية: (39). انظر: زاد المسير (1/38</w:t>
      </w:r>
      <w:r>
        <w:rPr>
          <w:rFonts w:ascii="Traditional Arabic" w:hAnsi="Traditional Arabic" w:hint="cs"/>
          <w:color w:val="auto"/>
          <w:sz w:val="32"/>
          <w:szCs w:val="32"/>
          <w:rtl/>
        </w:rPr>
        <w:t>4-385</w:t>
      </w:r>
      <w:r w:rsidRPr="00342FEE">
        <w:rPr>
          <w:rFonts w:ascii="Traditional Arabic" w:hAnsi="Traditional Arabic"/>
          <w:color w:val="auto"/>
          <w:sz w:val="32"/>
          <w:szCs w:val="32"/>
          <w:rtl/>
        </w:rPr>
        <w:t>).</w:t>
      </w:r>
    </w:p>
  </w:footnote>
  <w:footnote w:id="2100">
    <w:p w:rsidR="003F128F" w:rsidRPr="005B5721" w:rsidRDefault="003F128F" w:rsidP="0063006E">
      <w:pPr>
        <w:pStyle w:val="af3"/>
        <w:rPr>
          <w:rFonts w:ascii="Traditional Arabic" w:hAnsi="Traditional Arabic"/>
          <w:sz w:val="32"/>
          <w:szCs w:val="32"/>
        </w:rPr>
      </w:pPr>
      <w:r w:rsidRPr="005B5721">
        <w:rPr>
          <w:rFonts w:ascii="Traditional Arabic" w:hAnsi="Traditional Arabic"/>
          <w:sz w:val="32"/>
          <w:szCs w:val="32"/>
          <w:rtl/>
        </w:rPr>
        <w:t>(</w:t>
      </w:r>
      <w:r w:rsidRPr="005B5721">
        <w:rPr>
          <w:rStyle w:val="ae"/>
          <w:rFonts w:ascii="Traditional Arabic" w:hAnsi="Traditional Arabic"/>
          <w:sz w:val="32"/>
          <w:szCs w:val="32"/>
          <w:vertAlign w:val="baseline"/>
        </w:rPr>
        <w:footnoteRef/>
      </w:r>
      <w:r w:rsidRPr="005B5721">
        <w:rPr>
          <w:rFonts w:ascii="Traditional Arabic" w:hAnsi="Traditional Arabic"/>
          <w:sz w:val="32"/>
          <w:szCs w:val="32"/>
          <w:rtl/>
        </w:rPr>
        <w:t>) انظر: التفسير البسيط (14/199).</w:t>
      </w:r>
    </w:p>
  </w:footnote>
  <w:footnote w:id="2101">
    <w:p w:rsidR="003F128F" w:rsidRPr="005B5721" w:rsidRDefault="003F128F" w:rsidP="0063006E">
      <w:pPr>
        <w:pStyle w:val="af3"/>
        <w:rPr>
          <w:rFonts w:ascii="Traditional Arabic" w:hAnsi="Traditional Arabic"/>
          <w:sz w:val="32"/>
          <w:szCs w:val="32"/>
        </w:rPr>
      </w:pPr>
      <w:r w:rsidRPr="005B5721">
        <w:rPr>
          <w:rFonts w:ascii="Traditional Arabic" w:hAnsi="Traditional Arabic"/>
          <w:sz w:val="32"/>
          <w:szCs w:val="32"/>
          <w:rtl/>
        </w:rPr>
        <w:t>(</w:t>
      </w:r>
      <w:r w:rsidRPr="005B5721">
        <w:rPr>
          <w:rStyle w:val="ae"/>
          <w:rFonts w:ascii="Traditional Arabic" w:hAnsi="Traditional Arabic"/>
          <w:sz w:val="32"/>
          <w:szCs w:val="32"/>
          <w:vertAlign w:val="baseline"/>
        </w:rPr>
        <w:footnoteRef/>
      </w:r>
      <w:r w:rsidRPr="005B5721">
        <w:rPr>
          <w:rFonts w:ascii="Traditional Arabic" w:hAnsi="Traditional Arabic"/>
          <w:sz w:val="32"/>
          <w:szCs w:val="32"/>
          <w:rtl/>
        </w:rPr>
        <w:t>)</w:t>
      </w:r>
      <w:r w:rsidRPr="005B5721">
        <w:rPr>
          <w:rFonts w:ascii="Traditional Arabic" w:hAnsi="Traditional Arabic"/>
          <w:color w:val="auto"/>
          <w:sz w:val="32"/>
          <w:szCs w:val="32"/>
          <w:rtl/>
        </w:rPr>
        <w:t xml:space="preserve"> انظر: السبعة في القراءات (ص407), معاني القراءات (2/130). </w:t>
      </w:r>
      <w:r w:rsidRPr="005B5721">
        <w:rPr>
          <w:rFonts w:ascii="Traditional Arabic" w:hAnsi="Traditional Arabic"/>
          <w:sz w:val="32"/>
          <w:szCs w:val="32"/>
          <w:rtl/>
        </w:rPr>
        <w:t xml:space="preserve">   </w:t>
      </w:r>
    </w:p>
  </w:footnote>
  <w:footnote w:id="2102">
    <w:p w:rsidR="003F128F" w:rsidRPr="005B5721" w:rsidRDefault="003F128F" w:rsidP="0063006E">
      <w:pPr>
        <w:pStyle w:val="af3"/>
        <w:rPr>
          <w:rFonts w:ascii="Traditional Arabic" w:hAnsi="Traditional Arabic"/>
          <w:sz w:val="32"/>
          <w:szCs w:val="32"/>
        </w:rPr>
      </w:pPr>
      <w:r w:rsidRPr="005B5721">
        <w:rPr>
          <w:rFonts w:ascii="Traditional Arabic" w:hAnsi="Traditional Arabic"/>
          <w:sz w:val="32"/>
          <w:szCs w:val="32"/>
          <w:rtl/>
        </w:rPr>
        <w:t>(</w:t>
      </w:r>
      <w:r w:rsidRPr="005B5721">
        <w:rPr>
          <w:rStyle w:val="ae"/>
          <w:rFonts w:ascii="Traditional Arabic" w:hAnsi="Traditional Arabic"/>
          <w:sz w:val="32"/>
          <w:szCs w:val="32"/>
          <w:vertAlign w:val="baseline"/>
        </w:rPr>
        <w:footnoteRef/>
      </w:r>
      <w:r w:rsidRPr="005B5721">
        <w:rPr>
          <w:rFonts w:ascii="Traditional Arabic" w:hAnsi="Traditional Arabic"/>
          <w:sz w:val="32"/>
          <w:szCs w:val="32"/>
          <w:rtl/>
        </w:rPr>
        <w:t xml:space="preserve">) </w:t>
      </w:r>
      <w:r w:rsidRPr="005B5721">
        <w:rPr>
          <w:rFonts w:ascii="Traditional Arabic" w:hAnsi="Traditional Arabic"/>
          <w:color w:val="auto"/>
          <w:sz w:val="32"/>
          <w:szCs w:val="32"/>
          <w:rtl/>
        </w:rPr>
        <w:t>قراءة ابن عباس رضي الله عنهما ذكرها الطبري في تفسيره (18/148),</w:t>
      </w:r>
      <w:r w:rsidRPr="005B5721">
        <w:rPr>
          <w:rFonts w:ascii="Traditional Arabic" w:hAnsi="Traditional Arabic"/>
          <w:sz w:val="32"/>
          <w:szCs w:val="32"/>
          <w:rtl/>
        </w:rPr>
        <w:t xml:space="preserve"> والثعلبي في الكشف والبيان (6/207), والماوردي في النكت والعيون (3/358), وقراءة مجاهد ذكرها ابن خالويه في مختصر الشواذ (ص86), والزمخشري في الكشاف (3/6), وغيرهما. </w:t>
      </w:r>
    </w:p>
  </w:footnote>
  <w:footnote w:id="2103">
    <w:p w:rsidR="003F128F" w:rsidRPr="005B5721" w:rsidRDefault="003F128F" w:rsidP="0063006E">
      <w:pPr>
        <w:pStyle w:val="af3"/>
        <w:rPr>
          <w:rFonts w:ascii="Traditional Arabic" w:hAnsi="Traditional Arabic"/>
          <w:sz w:val="32"/>
          <w:szCs w:val="32"/>
        </w:rPr>
      </w:pPr>
      <w:r w:rsidRPr="005B5721">
        <w:rPr>
          <w:rFonts w:ascii="Traditional Arabic" w:hAnsi="Traditional Arabic"/>
          <w:sz w:val="32"/>
          <w:szCs w:val="32"/>
          <w:rtl/>
        </w:rPr>
        <w:t>(</w:t>
      </w:r>
      <w:r w:rsidRPr="005B5721">
        <w:rPr>
          <w:rStyle w:val="ae"/>
          <w:rFonts w:ascii="Traditional Arabic" w:hAnsi="Traditional Arabic"/>
          <w:sz w:val="32"/>
          <w:szCs w:val="32"/>
          <w:vertAlign w:val="baseline"/>
        </w:rPr>
        <w:footnoteRef/>
      </w:r>
      <w:r w:rsidRPr="005B5721">
        <w:rPr>
          <w:rFonts w:ascii="Traditional Arabic" w:hAnsi="Traditional Arabic"/>
          <w:sz w:val="32"/>
          <w:szCs w:val="32"/>
          <w:rtl/>
        </w:rPr>
        <w:t>) انظر: تفسير يحيى بن سلام (1/215),</w:t>
      </w:r>
      <w:r w:rsidRPr="005B5721">
        <w:rPr>
          <w:rFonts w:ascii="Traditional Arabic" w:hAnsi="Traditional Arabic"/>
          <w:color w:val="auto"/>
          <w:sz w:val="32"/>
          <w:szCs w:val="32"/>
          <w:rtl/>
        </w:rPr>
        <w:t xml:space="preserve"> تفسير الطبري (18/148</w:t>
      </w:r>
      <w:r>
        <w:rPr>
          <w:rFonts w:ascii="Traditional Arabic" w:hAnsi="Traditional Arabic" w:hint="cs"/>
          <w:color w:val="auto"/>
          <w:sz w:val="32"/>
          <w:szCs w:val="32"/>
          <w:rtl/>
        </w:rPr>
        <w:t>).</w:t>
      </w:r>
    </w:p>
  </w:footnote>
  <w:footnote w:id="2104">
    <w:p w:rsidR="003F128F" w:rsidRPr="005B5721" w:rsidRDefault="003F128F" w:rsidP="0063006E">
      <w:pPr>
        <w:pStyle w:val="af3"/>
        <w:rPr>
          <w:rFonts w:ascii="Traditional Arabic" w:hAnsi="Traditional Arabic"/>
          <w:sz w:val="32"/>
          <w:szCs w:val="32"/>
        </w:rPr>
      </w:pPr>
      <w:r w:rsidRPr="005B5721">
        <w:rPr>
          <w:rFonts w:ascii="Traditional Arabic" w:hAnsi="Traditional Arabic"/>
          <w:sz w:val="32"/>
          <w:szCs w:val="32"/>
          <w:rtl/>
        </w:rPr>
        <w:t>(</w:t>
      </w:r>
      <w:r w:rsidRPr="005B5721">
        <w:rPr>
          <w:rStyle w:val="ae"/>
          <w:rFonts w:ascii="Traditional Arabic" w:hAnsi="Traditional Arabic"/>
          <w:sz w:val="32"/>
          <w:szCs w:val="32"/>
          <w:vertAlign w:val="baseline"/>
        </w:rPr>
        <w:footnoteRef/>
      </w:r>
      <w:r w:rsidRPr="005B5721">
        <w:rPr>
          <w:rFonts w:ascii="Traditional Arabic" w:hAnsi="Traditional Arabic"/>
          <w:sz w:val="32"/>
          <w:szCs w:val="32"/>
          <w:rtl/>
        </w:rPr>
        <w:t xml:space="preserve">) غريب القرآن لابن قتيبة (ص272). </w:t>
      </w:r>
    </w:p>
  </w:footnote>
  <w:footnote w:id="2105">
    <w:p w:rsidR="003F128F" w:rsidRPr="005B5721" w:rsidRDefault="003F128F" w:rsidP="0063006E">
      <w:pPr>
        <w:pStyle w:val="af3"/>
        <w:rPr>
          <w:rFonts w:ascii="Traditional Arabic" w:hAnsi="Traditional Arabic"/>
          <w:sz w:val="32"/>
          <w:szCs w:val="32"/>
        </w:rPr>
      </w:pPr>
      <w:r w:rsidRPr="005B5721">
        <w:rPr>
          <w:rFonts w:ascii="Traditional Arabic" w:hAnsi="Traditional Arabic"/>
          <w:sz w:val="32"/>
          <w:szCs w:val="32"/>
          <w:rtl/>
        </w:rPr>
        <w:t>(</w:t>
      </w:r>
      <w:r w:rsidRPr="005B5721">
        <w:rPr>
          <w:rStyle w:val="ae"/>
          <w:rFonts w:ascii="Traditional Arabic" w:hAnsi="Traditional Arabic"/>
          <w:sz w:val="32"/>
          <w:szCs w:val="32"/>
          <w:vertAlign w:val="baseline"/>
        </w:rPr>
        <w:footnoteRef/>
      </w:r>
      <w:r w:rsidRPr="005B5721">
        <w:rPr>
          <w:rFonts w:ascii="Traditional Arabic" w:hAnsi="Traditional Arabic"/>
          <w:sz w:val="32"/>
          <w:szCs w:val="32"/>
          <w:rtl/>
        </w:rPr>
        <w:t>)</w:t>
      </w:r>
      <w:r w:rsidRPr="005B5721">
        <w:rPr>
          <w:rFonts w:ascii="Traditional Arabic" w:hAnsi="Traditional Arabic"/>
          <w:color w:val="auto"/>
          <w:sz w:val="32"/>
          <w:szCs w:val="32"/>
          <w:rtl/>
        </w:rPr>
        <w:t xml:space="preserve"> معاني القرآن وإعرابه (3/320).</w:t>
      </w:r>
    </w:p>
  </w:footnote>
  <w:footnote w:id="2106">
    <w:p w:rsidR="003F128F" w:rsidRPr="005B5721" w:rsidRDefault="003F128F" w:rsidP="0063006E">
      <w:pPr>
        <w:pStyle w:val="af3"/>
        <w:rPr>
          <w:rFonts w:ascii="Traditional Arabic" w:hAnsi="Traditional Arabic"/>
          <w:sz w:val="32"/>
          <w:szCs w:val="32"/>
        </w:rPr>
      </w:pPr>
      <w:r w:rsidRPr="005B5721">
        <w:rPr>
          <w:rFonts w:ascii="Traditional Arabic" w:hAnsi="Traditional Arabic"/>
          <w:sz w:val="32"/>
          <w:szCs w:val="32"/>
          <w:rtl/>
        </w:rPr>
        <w:t>(</w:t>
      </w:r>
      <w:r w:rsidRPr="005B5721">
        <w:rPr>
          <w:rStyle w:val="ae"/>
          <w:rFonts w:ascii="Traditional Arabic" w:hAnsi="Traditional Arabic"/>
          <w:sz w:val="32"/>
          <w:szCs w:val="32"/>
          <w:vertAlign w:val="baseline"/>
        </w:rPr>
        <w:footnoteRef/>
      </w:r>
      <w:r w:rsidRPr="005B5721">
        <w:rPr>
          <w:rFonts w:ascii="Traditional Arabic" w:hAnsi="Traditional Arabic"/>
          <w:sz w:val="32"/>
          <w:szCs w:val="32"/>
          <w:rtl/>
        </w:rPr>
        <w:t xml:space="preserve">) انظر: معجم القراءات (5/344). </w:t>
      </w:r>
    </w:p>
  </w:footnote>
  <w:footnote w:id="2107">
    <w:p w:rsidR="003F128F" w:rsidRPr="005B5721" w:rsidRDefault="003F128F" w:rsidP="0063006E">
      <w:pPr>
        <w:pStyle w:val="af3"/>
        <w:rPr>
          <w:rFonts w:ascii="Traditional Arabic" w:hAnsi="Traditional Arabic"/>
          <w:sz w:val="32"/>
          <w:szCs w:val="32"/>
        </w:rPr>
      </w:pPr>
      <w:r w:rsidRPr="005B5721">
        <w:rPr>
          <w:rFonts w:ascii="Traditional Arabic" w:hAnsi="Traditional Arabic"/>
          <w:sz w:val="32"/>
          <w:szCs w:val="32"/>
          <w:rtl/>
        </w:rPr>
        <w:t>(</w:t>
      </w:r>
      <w:r w:rsidRPr="005B5721">
        <w:rPr>
          <w:rStyle w:val="ae"/>
          <w:rFonts w:ascii="Traditional Arabic" w:hAnsi="Traditional Arabic"/>
          <w:sz w:val="32"/>
          <w:szCs w:val="32"/>
          <w:vertAlign w:val="baseline"/>
        </w:rPr>
        <w:footnoteRef/>
      </w:r>
      <w:r w:rsidRPr="005B5721">
        <w:rPr>
          <w:rFonts w:ascii="Traditional Arabic" w:hAnsi="Traditional Arabic"/>
          <w:sz w:val="32"/>
          <w:szCs w:val="32"/>
          <w:rtl/>
        </w:rPr>
        <w:t>)</w:t>
      </w:r>
      <w:r w:rsidRPr="005B5721">
        <w:rPr>
          <w:rFonts w:ascii="Traditional Arabic" w:hAnsi="Traditional Arabic"/>
          <w:color w:val="auto"/>
          <w:sz w:val="32"/>
          <w:szCs w:val="32"/>
          <w:rtl/>
        </w:rPr>
        <w:t xml:space="preserve"> انظر: السبعة في القراءات (ص408), معاني القراءات (2/131).</w:t>
      </w:r>
      <w:r w:rsidRPr="005B5721">
        <w:rPr>
          <w:rFonts w:ascii="Traditional Arabic" w:hAnsi="Traditional Arabic"/>
          <w:sz w:val="32"/>
          <w:szCs w:val="32"/>
          <w:rtl/>
        </w:rPr>
        <w:t xml:space="preserve"> </w:t>
      </w:r>
    </w:p>
  </w:footnote>
  <w:footnote w:id="2108">
    <w:p w:rsidR="003F128F" w:rsidRPr="00916B88" w:rsidRDefault="003F128F" w:rsidP="0063006E">
      <w:pPr>
        <w:pStyle w:val="af3"/>
        <w:rPr>
          <w:rFonts w:ascii="Tahoma" w:hAnsi="Tahoma"/>
        </w:rPr>
      </w:pPr>
      <w:r w:rsidRPr="005B5721">
        <w:rPr>
          <w:rFonts w:ascii="Traditional Arabic" w:hAnsi="Traditional Arabic"/>
          <w:sz w:val="32"/>
          <w:szCs w:val="32"/>
          <w:rtl/>
        </w:rPr>
        <w:t>(</w:t>
      </w:r>
      <w:r w:rsidRPr="005B5721">
        <w:rPr>
          <w:rStyle w:val="ae"/>
          <w:rFonts w:ascii="Traditional Arabic" w:hAnsi="Traditional Arabic"/>
          <w:sz w:val="32"/>
          <w:szCs w:val="32"/>
          <w:vertAlign w:val="baseline"/>
        </w:rPr>
        <w:footnoteRef/>
      </w:r>
      <w:r w:rsidRPr="005B5721">
        <w:rPr>
          <w:rFonts w:ascii="Traditional Arabic" w:hAnsi="Traditional Arabic"/>
          <w:sz w:val="32"/>
          <w:szCs w:val="32"/>
          <w:rtl/>
        </w:rPr>
        <w:t>)</w:t>
      </w:r>
      <w:r w:rsidRPr="005B5721">
        <w:rPr>
          <w:rFonts w:ascii="Traditional Arabic" w:hAnsi="Traditional Arabic"/>
          <w:color w:val="auto"/>
          <w:sz w:val="32"/>
          <w:szCs w:val="32"/>
          <w:rtl/>
        </w:rPr>
        <w:t xml:space="preserve"> سورة آل عمران, الآية: (39). انظر: زاد المسير (1/385-386).</w:t>
      </w:r>
      <w:r w:rsidRPr="005B5721">
        <w:rPr>
          <w:rFonts w:ascii="Traditional Arabic" w:hAnsi="Traditional Arabic"/>
          <w:sz w:val="32"/>
          <w:szCs w:val="32"/>
          <w:rtl/>
        </w:rPr>
        <w:t xml:space="preserve"> </w:t>
      </w:r>
    </w:p>
  </w:footnote>
  <w:footnote w:id="2109">
    <w:p w:rsidR="003F128F" w:rsidRPr="001E4DD3" w:rsidRDefault="003F128F" w:rsidP="0063006E">
      <w:pPr>
        <w:pStyle w:val="af3"/>
        <w:rPr>
          <w:rFonts w:ascii="Traditional Arabic" w:hAnsi="Traditional Arabic"/>
          <w:sz w:val="32"/>
          <w:szCs w:val="32"/>
        </w:rPr>
      </w:pPr>
      <w:r w:rsidRPr="001E4DD3">
        <w:rPr>
          <w:rFonts w:ascii="Traditional Arabic" w:hAnsi="Traditional Arabic"/>
          <w:sz w:val="32"/>
          <w:szCs w:val="32"/>
          <w:rtl/>
        </w:rPr>
        <w:t>(</w:t>
      </w:r>
      <w:r w:rsidRPr="001E4DD3">
        <w:rPr>
          <w:rStyle w:val="ae"/>
          <w:rFonts w:ascii="Traditional Arabic" w:hAnsi="Traditional Arabic"/>
          <w:sz w:val="32"/>
          <w:szCs w:val="32"/>
          <w:vertAlign w:val="baseline"/>
        </w:rPr>
        <w:footnoteRef/>
      </w:r>
      <w:r w:rsidRPr="001E4DD3">
        <w:rPr>
          <w:rFonts w:ascii="Traditional Arabic" w:hAnsi="Traditional Arabic"/>
          <w:sz w:val="32"/>
          <w:szCs w:val="32"/>
          <w:rtl/>
        </w:rPr>
        <w:t xml:space="preserve">) انظر: </w:t>
      </w:r>
      <w:r w:rsidRPr="001E4DD3">
        <w:rPr>
          <w:rFonts w:ascii="Traditional Arabic" w:hAnsi="Traditional Arabic"/>
          <w:color w:val="auto"/>
          <w:sz w:val="32"/>
          <w:szCs w:val="32"/>
          <w:rtl/>
        </w:rPr>
        <w:t>معاني القرآن وإعرابه (3/321).</w:t>
      </w:r>
      <w:r w:rsidRPr="001E4DD3">
        <w:rPr>
          <w:rFonts w:ascii="Traditional Arabic" w:hAnsi="Traditional Arabic"/>
          <w:sz w:val="32"/>
          <w:szCs w:val="32"/>
          <w:rtl/>
        </w:rPr>
        <w:t xml:space="preserve"> </w:t>
      </w:r>
    </w:p>
  </w:footnote>
  <w:footnote w:id="2110">
    <w:p w:rsidR="003F128F" w:rsidRPr="001E4DD3" w:rsidRDefault="003F128F" w:rsidP="0063006E">
      <w:pPr>
        <w:pStyle w:val="af3"/>
        <w:rPr>
          <w:rFonts w:ascii="Traditional Arabic" w:hAnsi="Traditional Arabic"/>
          <w:sz w:val="32"/>
          <w:szCs w:val="32"/>
        </w:rPr>
      </w:pPr>
      <w:r w:rsidRPr="001E4DD3">
        <w:rPr>
          <w:rFonts w:ascii="Traditional Arabic" w:hAnsi="Traditional Arabic"/>
          <w:sz w:val="32"/>
          <w:szCs w:val="32"/>
          <w:rtl/>
        </w:rPr>
        <w:t>(</w:t>
      </w:r>
      <w:r w:rsidRPr="001E4DD3">
        <w:rPr>
          <w:rStyle w:val="ae"/>
          <w:rFonts w:ascii="Traditional Arabic" w:hAnsi="Traditional Arabic"/>
          <w:sz w:val="32"/>
          <w:szCs w:val="32"/>
          <w:vertAlign w:val="baseline"/>
        </w:rPr>
        <w:footnoteRef/>
      </w:r>
      <w:r w:rsidRPr="001E4DD3">
        <w:rPr>
          <w:rFonts w:ascii="Traditional Arabic" w:hAnsi="Traditional Arabic"/>
          <w:sz w:val="32"/>
          <w:szCs w:val="32"/>
          <w:rtl/>
        </w:rPr>
        <w:t xml:space="preserve">) غريب القرآن لابن قتيبة (ص273).  </w:t>
      </w:r>
    </w:p>
  </w:footnote>
  <w:footnote w:id="2111">
    <w:p w:rsidR="003F128F" w:rsidRPr="001E4DD3" w:rsidRDefault="003F128F" w:rsidP="0063006E">
      <w:pPr>
        <w:pStyle w:val="af3"/>
        <w:rPr>
          <w:rFonts w:ascii="Traditional Arabic" w:hAnsi="Traditional Arabic"/>
          <w:sz w:val="32"/>
          <w:szCs w:val="32"/>
        </w:rPr>
      </w:pPr>
      <w:r w:rsidRPr="001E4DD3">
        <w:rPr>
          <w:rFonts w:ascii="Traditional Arabic" w:hAnsi="Traditional Arabic"/>
          <w:sz w:val="32"/>
          <w:szCs w:val="32"/>
          <w:rtl/>
        </w:rPr>
        <w:t>(</w:t>
      </w:r>
      <w:r w:rsidRPr="001E4DD3">
        <w:rPr>
          <w:rStyle w:val="ae"/>
          <w:rFonts w:ascii="Traditional Arabic" w:hAnsi="Traditional Arabic"/>
          <w:sz w:val="32"/>
          <w:szCs w:val="32"/>
          <w:vertAlign w:val="baseline"/>
        </w:rPr>
        <w:footnoteRef/>
      </w:r>
      <w:r w:rsidRPr="001E4DD3">
        <w:rPr>
          <w:rFonts w:ascii="Traditional Arabic" w:hAnsi="Traditional Arabic"/>
          <w:sz w:val="32"/>
          <w:szCs w:val="32"/>
          <w:rtl/>
        </w:rPr>
        <w:t xml:space="preserve">) </w:t>
      </w:r>
      <w:r w:rsidRPr="001E4DD3">
        <w:rPr>
          <w:rFonts w:ascii="Traditional Arabic" w:hAnsi="Traditional Arabic"/>
          <w:color w:val="auto"/>
          <w:sz w:val="32"/>
          <w:szCs w:val="32"/>
          <w:rtl/>
        </w:rPr>
        <w:t>سورة آل عمران, الآية: (39). انظر: زاد المسير (1/380).</w:t>
      </w:r>
    </w:p>
  </w:footnote>
  <w:footnote w:id="2112">
    <w:p w:rsidR="003F128F" w:rsidRPr="001E4DD3" w:rsidRDefault="003F128F" w:rsidP="0063006E">
      <w:pPr>
        <w:pStyle w:val="af3"/>
        <w:rPr>
          <w:rFonts w:ascii="Traditional Arabic" w:hAnsi="Traditional Arabic"/>
          <w:sz w:val="32"/>
          <w:szCs w:val="32"/>
        </w:rPr>
      </w:pPr>
      <w:r w:rsidRPr="001E4DD3">
        <w:rPr>
          <w:rFonts w:ascii="Traditional Arabic" w:hAnsi="Traditional Arabic"/>
          <w:sz w:val="32"/>
          <w:szCs w:val="32"/>
          <w:rtl/>
        </w:rPr>
        <w:t>(</w:t>
      </w:r>
      <w:r w:rsidRPr="001E4DD3">
        <w:rPr>
          <w:rStyle w:val="ae"/>
          <w:rFonts w:ascii="Traditional Arabic" w:hAnsi="Traditional Arabic"/>
          <w:sz w:val="32"/>
          <w:szCs w:val="32"/>
          <w:vertAlign w:val="baseline"/>
        </w:rPr>
        <w:footnoteRef/>
      </w:r>
      <w:r w:rsidRPr="001E4DD3">
        <w:rPr>
          <w:rFonts w:ascii="Traditional Arabic" w:hAnsi="Traditional Arabic"/>
          <w:sz w:val="32"/>
          <w:szCs w:val="32"/>
          <w:rtl/>
        </w:rPr>
        <w:t xml:space="preserve">) انظر: تفسير ابن أبي حاتم (7/2400). </w:t>
      </w:r>
    </w:p>
  </w:footnote>
  <w:footnote w:id="2113">
    <w:p w:rsidR="003F128F" w:rsidRPr="001E4DD3" w:rsidRDefault="003F128F" w:rsidP="0063006E">
      <w:pPr>
        <w:pStyle w:val="af3"/>
        <w:rPr>
          <w:rFonts w:ascii="Traditional Arabic" w:hAnsi="Traditional Arabic"/>
          <w:sz w:val="32"/>
          <w:szCs w:val="32"/>
        </w:rPr>
      </w:pPr>
      <w:r w:rsidRPr="001E4DD3">
        <w:rPr>
          <w:rFonts w:ascii="Traditional Arabic" w:hAnsi="Traditional Arabic"/>
          <w:sz w:val="32"/>
          <w:szCs w:val="32"/>
          <w:rtl/>
        </w:rPr>
        <w:t>(</w:t>
      </w:r>
      <w:r w:rsidRPr="001E4DD3">
        <w:rPr>
          <w:rStyle w:val="ae"/>
          <w:rFonts w:ascii="Traditional Arabic" w:hAnsi="Traditional Arabic"/>
          <w:sz w:val="32"/>
          <w:szCs w:val="32"/>
          <w:vertAlign w:val="baseline"/>
        </w:rPr>
        <w:footnoteRef/>
      </w:r>
      <w:r w:rsidRPr="001E4DD3">
        <w:rPr>
          <w:rFonts w:ascii="Traditional Arabic" w:hAnsi="Traditional Arabic"/>
          <w:sz w:val="32"/>
          <w:szCs w:val="32"/>
          <w:rtl/>
        </w:rPr>
        <w:t xml:space="preserve">) انظر: تفسير مجاهد (ص454), </w:t>
      </w:r>
      <w:r w:rsidRPr="001E4DD3">
        <w:rPr>
          <w:rFonts w:ascii="Traditional Arabic" w:hAnsi="Traditional Arabic"/>
          <w:color w:val="auto"/>
          <w:sz w:val="32"/>
          <w:szCs w:val="32"/>
          <w:rtl/>
        </w:rPr>
        <w:t>تفسير يحيى بن سلام (1/216).</w:t>
      </w:r>
    </w:p>
  </w:footnote>
  <w:footnote w:id="2114">
    <w:p w:rsidR="003F128F" w:rsidRPr="001E4DD3" w:rsidRDefault="003F128F" w:rsidP="0063006E">
      <w:pPr>
        <w:pStyle w:val="af3"/>
        <w:rPr>
          <w:rFonts w:ascii="Traditional Arabic" w:hAnsi="Traditional Arabic"/>
          <w:sz w:val="32"/>
          <w:szCs w:val="32"/>
        </w:rPr>
      </w:pPr>
      <w:r w:rsidRPr="001E4DD3">
        <w:rPr>
          <w:rFonts w:ascii="Traditional Arabic" w:hAnsi="Traditional Arabic"/>
          <w:sz w:val="32"/>
          <w:szCs w:val="32"/>
          <w:rtl/>
        </w:rPr>
        <w:t>(</w:t>
      </w:r>
      <w:r w:rsidRPr="001E4DD3">
        <w:rPr>
          <w:rStyle w:val="ae"/>
          <w:rFonts w:ascii="Traditional Arabic" w:hAnsi="Traditional Arabic"/>
          <w:sz w:val="32"/>
          <w:szCs w:val="32"/>
          <w:vertAlign w:val="baseline"/>
        </w:rPr>
        <w:footnoteRef/>
      </w:r>
      <w:r w:rsidRPr="001E4DD3">
        <w:rPr>
          <w:rFonts w:ascii="Traditional Arabic" w:hAnsi="Traditional Arabic"/>
          <w:sz w:val="32"/>
          <w:szCs w:val="32"/>
          <w:rtl/>
        </w:rPr>
        <w:t>)</w:t>
      </w:r>
      <w:r w:rsidRPr="001E4DD3">
        <w:rPr>
          <w:rFonts w:ascii="Traditional Arabic" w:hAnsi="Traditional Arabic"/>
          <w:color w:val="auto"/>
          <w:sz w:val="32"/>
          <w:szCs w:val="32"/>
          <w:rtl/>
        </w:rPr>
        <w:t xml:space="preserve"> سورة آل عمران, الآية: (39). انظر: زاد المسير (1/386).</w:t>
      </w:r>
    </w:p>
  </w:footnote>
  <w:footnote w:id="2115">
    <w:p w:rsidR="003F128F" w:rsidRPr="001E4DD3" w:rsidRDefault="003F128F" w:rsidP="0063006E">
      <w:pPr>
        <w:pStyle w:val="af3"/>
        <w:rPr>
          <w:rFonts w:ascii="Traditional Arabic" w:hAnsi="Traditional Arabic"/>
          <w:sz w:val="32"/>
          <w:szCs w:val="32"/>
        </w:rPr>
      </w:pPr>
      <w:r w:rsidRPr="001E4DD3">
        <w:rPr>
          <w:rFonts w:ascii="Traditional Arabic" w:hAnsi="Traditional Arabic"/>
          <w:sz w:val="32"/>
          <w:szCs w:val="32"/>
          <w:rtl/>
        </w:rPr>
        <w:t>(</w:t>
      </w:r>
      <w:r w:rsidRPr="001E4DD3">
        <w:rPr>
          <w:rStyle w:val="ae"/>
          <w:rFonts w:ascii="Traditional Arabic" w:hAnsi="Traditional Arabic"/>
          <w:sz w:val="32"/>
          <w:szCs w:val="32"/>
          <w:vertAlign w:val="baseline"/>
        </w:rPr>
        <w:footnoteRef/>
      </w:r>
      <w:r w:rsidRPr="001E4DD3">
        <w:rPr>
          <w:rFonts w:ascii="Traditional Arabic" w:hAnsi="Traditional Arabic"/>
          <w:sz w:val="32"/>
          <w:szCs w:val="32"/>
          <w:rtl/>
        </w:rPr>
        <w:t xml:space="preserve">) انظر: </w:t>
      </w:r>
      <w:r w:rsidRPr="001E4DD3">
        <w:rPr>
          <w:rFonts w:ascii="Traditional Arabic" w:hAnsi="Traditional Arabic"/>
          <w:color w:val="auto"/>
          <w:sz w:val="32"/>
          <w:szCs w:val="32"/>
          <w:rtl/>
        </w:rPr>
        <w:t>معاني القرآن وإعرابه (3/321).</w:t>
      </w:r>
      <w:r w:rsidRPr="001E4DD3">
        <w:rPr>
          <w:rFonts w:ascii="Traditional Arabic" w:hAnsi="Traditional Arabic"/>
          <w:sz w:val="32"/>
          <w:szCs w:val="32"/>
          <w:rtl/>
        </w:rPr>
        <w:t xml:space="preserve">   </w:t>
      </w:r>
    </w:p>
  </w:footnote>
  <w:footnote w:id="2116">
    <w:p w:rsidR="003F128F" w:rsidRPr="001E4DD3" w:rsidRDefault="003F128F" w:rsidP="0063006E">
      <w:pPr>
        <w:pStyle w:val="af3"/>
        <w:rPr>
          <w:rFonts w:ascii="Traditional Arabic" w:hAnsi="Traditional Arabic"/>
          <w:sz w:val="32"/>
          <w:szCs w:val="32"/>
        </w:rPr>
      </w:pPr>
      <w:r w:rsidRPr="001E4DD3">
        <w:rPr>
          <w:rFonts w:ascii="Traditional Arabic" w:hAnsi="Traditional Arabic"/>
          <w:sz w:val="32"/>
          <w:szCs w:val="32"/>
          <w:rtl/>
        </w:rPr>
        <w:t>(</w:t>
      </w:r>
      <w:r w:rsidRPr="001E4DD3">
        <w:rPr>
          <w:rStyle w:val="ae"/>
          <w:rFonts w:ascii="Traditional Arabic" w:hAnsi="Traditional Arabic"/>
          <w:sz w:val="32"/>
          <w:szCs w:val="32"/>
          <w:vertAlign w:val="baseline"/>
        </w:rPr>
        <w:footnoteRef/>
      </w:r>
      <w:r w:rsidRPr="001E4DD3">
        <w:rPr>
          <w:rFonts w:ascii="Traditional Arabic" w:hAnsi="Traditional Arabic"/>
          <w:sz w:val="32"/>
          <w:szCs w:val="32"/>
          <w:rtl/>
        </w:rPr>
        <w:t>)</w:t>
      </w:r>
      <w:r>
        <w:rPr>
          <w:rFonts w:ascii="Traditional Arabic" w:hAnsi="Traditional Arabic"/>
          <w:sz w:val="32"/>
          <w:szCs w:val="32"/>
          <w:rtl/>
        </w:rPr>
        <w:t xml:space="preserve"> انظر: رموز الكنوز (4/396)</w:t>
      </w:r>
      <w:r>
        <w:rPr>
          <w:rFonts w:ascii="Traditional Arabic" w:hAnsi="Traditional Arabic" w:hint="cs"/>
          <w:sz w:val="32"/>
          <w:szCs w:val="32"/>
          <w:rtl/>
        </w:rPr>
        <w:t>.</w:t>
      </w:r>
      <w:r w:rsidRPr="001E4DD3">
        <w:rPr>
          <w:rFonts w:ascii="Traditional Arabic" w:hAnsi="Traditional Arabic"/>
          <w:sz w:val="32"/>
          <w:szCs w:val="32"/>
          <w:rtl/>
        </w:rPr>
        <w:t xml:space="preserve"> </w:t>
      </w:r>
    </w:p>
  </w:footnote>
  <w:footnote w:id="2117">
    <w:p w:rsidR="003F128F" w:rsidRPr="001E4DD3" w:rsidRDefault="003F128F" w:rsidP="0063006E">
      <w:pPr>
        <w:pStyle w:val="af3"/>
        <w:rPr>
          <w:rFonts w:ascii="Traditional Arabic" w:hAnsi="Traditional Arabic"/>
          <w:sz w:val="32"/>
          <w:szCs w:val="32"/>
        </w:rPr>
      </w:pPr>
      <w:r w:rsidRPr="001E4DD3">
        <w:rPr>
          <w:rFonts w:ascii="Traditional Arabic" w:hAnsi="Traditional Arabic"/>
          <w:sz w:val="32"/>
          <w:szCs w:val="32"/>
          <w:rtl/>
        </w:rPr>
        <w:t>(</w:t>
      </w:r>
      <w:r w:rsidRPr="001E4DD3">
        <w:rPr>
          <w:rStyle w:val="ae"/>
          <w:rFonts w:ascii="Traditional Arabic" w:hAnsi="Traditional Arabic"/>
          <w:sz w:val="32"/>
          <w:szCs w:val="32"/>
          <w:vertAlign w:val="baseline"/>
        </w:rPr>
        <w:footnoteRef/>
      </w:r>
      <w:r w:rsidRPr="001E4DD3">
        <w:rPr>
          <w:rFonts w:ascii="Traditional Arabic" w:hAnsi="Traditional Arabic"/>
          <w:sz w:val="32"/>
          <w:szCs w:val="32"/>
          <w:rtl/>
        </w:rPr>
        <w:t xml:space="preserve">) </w:t>
      </w:r>
      <w:r w:rsidRPr="001E4DD3">
        <w:rPr>
          <w:rFonts w:ascii="Traditional Arabic" w:hAnsi="Traditional Arabic"/>
          <w:color w:val="auto"/>
          <w:sz w:val="32"/>
          <w:szCs w:val="32"/>
          <w:rtl/>
        </w:rPr>
        <w:t>سورة البقرة, الآية: (63). انظر: زاد المسير (1/93).</w:t>
      </w:r>
    </w:p>
  </w:footnote>
  <w:footnote w:id="2118">
    <w:p w:rsidR="003F128F" w:rsidRPr="005A63FF" w:rsidRDefault="003F128F" w:rsidP="002F0380">
      <w:pPr>
        <w:pStyle w:val="af3"/>
        <w:rPr>
          <w:rFonts w:ascii="Traditional Arabic" w:hAnsi="Traditional Arabic"/>
          <w:sz w:val="32"/>
          <w:szCs w:val="32"/>
        </w:rPr>
      </w:pPr>
      <w:r w:rsidRPr="005A63FF">
        <w:rPr>
          <w:rFonts w:ascii="Traditional Arabic" w:hAnsi="Traditional Arabic"/>
          <w:sz w:val="32"/>
          <w:szCs w:val="32"/>
          <w:rtl/>
        </w:rPr>
        <w:t>(</w:t>
      </w:r>
      <w:r w:rsidRPr="005A63FF">
        <w:rPr>
          <w:rStyle w:val="ae"/>
          <w:rFonts w:ascii="Traditional Arabic" w:hAnsi="Traditional Arabic"/>
          <w:sz w:val="32"/>
          <w:szCs w:val="32"/>
          <w:vertAlign w:val="baseline"/>
        </w:rPr>
        <w:footnoteRef/>
      </w:r>
      <w:r w:rsidRPr="005A63FF">
        <w:rPr>
          <w:rFonts w:ascii="Traditional Arabic" w:hAnsi="Traditional Arabic"/>
          <w:sz w:val="32"/>
          <w:szCs w:val="32"/>
          <w:rtl/>
        </w:rPr>
        <w:t>) التفسير الوسيط (3/178)</w:t>
      </w:r>
      <w:r>
        <w:rPr>
          <w:rFonts w:ascii="Traditional Arabic" w:hAnsi="Traditional Arabic" w:hint="cs"/>
          <w:sz w:val="32"/>
          <w:szCs w:val="32"/>
          <w:rtl/>
        </w:rPr>
        <w:t>.</w:t>
      </w:r>
    </w:p>
  </w:footnote>
  <w:footnote w:id="2119">
    <w:p w:rsidR="003F128F" w:rsidRPr="005A63FF" w:rsidRDefault="003F128F" w:rsidP="0063006E">
      <w:pPr>
        <w:pStyle w:val="af3"/>
        <w:rPr>
          <w:rFonts w:ascii="Traditional Arabic" w:hAnsi="Traditional Arabic"/>
          <w:sz w:val="32"/>
          <w:szCs w:val="32"/>
        </w:rPr>
      </w:pPr>
      <w:r w:rsidRPr="005A63FF">
        <w:rPr>
          <w:rFonts w:ascii="Traditional Arabic" w:hAnsi="Traditional Arabic"/>
          <w:sz w:val="32"/>
          <w:szCs w:val="32"/>
          <w:rtl/>
        </w:rPr>
        <w:t>(</w:t>
      </w:r>
      <w:r w:rsidRPr="005A63FF">
        <w:rPr>
          <w:rStyle w:val="ae"/>
          <w:rFonts w:ascii="Traditional Arabic" w:hAnsi="Traditional Arabic"/>
          <w:sz w:val="32"/>
          <w:szCs w:val="32"/>
          <w:vertAlign w:val="baseline"/>
        </w:rPr>
        <w:footnoteRef/>
      </w:r>
      <w:r w:rsidRPr="005A63FF">
        <w:rPr>
          <w:rFonts w:ascii="Traditional Arabic" w:hAnsi="Traditional Arabic"/>
          <w:sz w:val="32"/>
          <w:szCs w:val="32"/>
          <w:rtl/>
        </w:rPr>
        <w:t xml:space="preserve">) </w:t>
      </w:r>
      <w:r w:rsidRPr="005A63FF">
        <w:rPr>
          <w:rFonts w:ascii="Traditional Arabic" w:hAnsi="Traditional Arabic"/>
          <w:color w:val="auto"/>
          <w:sz w:val="32"/>
          <w:szCs w:val="32"/>
          <w:rtl/>
        </w:rPr>
        <w:t>انظر: النكت والعيون (3/360).</w:t>
      </w:r>
      <w:r w:rsidRPr="005A63FF">
        <w:rPr>
          <w:rFonts w:ascii="Traditional Arabic" w:hAnsi="Traditional Arabic"/>
          <w:sz w:val="32"/>
          <w:szCs w:val="32"/>
          <w:rtl/>
        </w:rPr>
        <w:t xml:space="preserve"> </w:t>
      </w:r>
    </w:p>
  </w:footnote>
  <w:footnote w:id="2120">
    <w:p w:rsidR="003F128F" w:rsidRPr="005A63FF" w:rsidRDefault="003F128F" w:rsidP="0063006E">
      <w:pPr>
        <w:pStyle w:val="af3"/>
        <w:rPr>
          <w:rFonts w:ascii="Traditional Arabic" w:hAnsi="Traditional Arabic"/>
          <w:sz w:val="32"/>
          <w:szCs w:val="32"/>
        </w:rPr>
      </w:pPr>
      <w:r w:rsidRPr="005A63FF">
        <w:rPr>
          <w:rFonts w:ascii="Traditional Arabic" w:hAnsi="Traditional Arabic"/>
          <w:sz w:val="32"/>
          <w:szCs w:val="32"/>
          <w:rtl/>
        </w:rPr>
        <w:t>(</w:t>
      </w:r>
      <w:r w:rsidRPr="005A63FF">
        <w:rPr>
          <w:rStyle w:val="ae"/>
          <w:rFonts w:ascii="Traditional Arabic" w:hAnsi="Traditional Arabic"/>
          <w:sz w:val="32"/>
          <w:szCs w:val="32"/>
          <w:vertAlign w:val="baseline"/>
        </w:rPr>
        <w:footnoteRef/>
      </w:r>
      <w:r w:rsidRPr="005A63FF">
        <w:rPr>
          <w:rFonts w:ascii="Traditional Arabic" w:hAnsi="Traditional Arabic"/>
          <w:sz w:val="32"/>
          <w:szCs w:val="32"/>
          <w:rtl/>
        </w:rPr>
        <w:t xml:space="preserve">) ذكره السيوطي في الدر المنثور (5/484) ونسبه لابن المنذر.  </w:t>
      </w:r>
    </w:p>
  </w:footnote>
  <w:footnote w:id="2121">
    <w:p w:rsidR="003F128F" w:rsidRPr="005A63FF" w:rsidRDefault="003F128F" w:rsidP="0063006E">
      <w:pPr>
        <w:pStyle w:val="af3"/>
        <w:rPr>
          <w:rFonts w:ascii="Traditional Arabic" w:hAnsi="Traditional Arabic"/>
          <w:sz w:val="32"/>
          <w:szCs w:val="32"/>
        </w:rPr>
      </w:pPr>
      <w:r w:rsidRPr="005A63FF">
        <w:rPr>
          <w:rFonts w:ascii="Traditional Arabic" w:hAnsi="Traditional Arabic"/>
          <w:sz w:val="32"/>
          <w:szCs w:val="32"/>
          <w:rtl/>
        </w:rPr>
        <w:t>(</w:t>
      </w:r>
      <w:r w:rsidRPr="005A63FF">
        <w:rPr>
          <w:rStyle w:val="ae"/>
          <w:rFonts w:ascii="Traditional Arabic" w:hAnsi="Traditional Arabic"/>
          <w:sz w:val="32"/>
          <w:szCs w:val="32"/>
          <w:vertAlign w:val="baseline"/>
        </w:rPr>
        <w:footnoteRef/>
      </w:r>
      <w:r w:rsidRPr="005A63FF">
        <w:rPr>
          <w:rFonts w:ascii="Traditional Arabic" w:hAnsi="Traditional Arabic"/>
          <w:sz w:val="32"/>
          <w:szCs w:val="32"/>
          <w:rtl/>
        </w:rPr>
        <w:t xml:space="preserve">) انظر: تفسير السمعاني (3/282), معالم التنزيل (5/221) غير منسوب. </w:t>
      </w:r>
    </w:p>
  </w:footnote>
  <w:footnote w:id="2122">
    <w:p w:rsidR="003F128F" w:rsidRPr="005A63FF" w:rsidRDefault="003F128F" w:rsidP="0063006E">
      <w:pPr>
        <w:pStyle w:val="af3"/>
        <w:rPr>
          <w:rFonts w:ascii="Traditional Arabic" w:hAnsi="Traditional Arabic"/>
          <w:sz w:val="32"/>
          <w:szCs w:val="32"/>
        </w:rPr>
      </w:pPr>
      <w:r w:rsidRPr="005A63FF">
        <w:rPr>
          <w:rFonts w:ascii="Traditional Arabic" w:hAnsi="Traditional Arabic"/>
          <w:sz w:val="32"/>
          <w:szCs w:val="32"/>
          <w:rtl/>
        </w:rPr>
        <w:t>(</w:t>
      </w:r>
      <w:r w:rsidRPr="005A63FF">
        <w:rPr>
          <w:rStyle w:val="ae"/>
          <w:rFonts w:ascii="Traditional Arabic" w:hAnsi="Traditional Arabic"/>
          <w:sz w:val="32"/>
          <w:szCs w:val="32"/>
          <w:vertAlign w:val="baseline"/>
        </w:rPr>
        <w:footnoteRef/>
      </w:r>
      <w:r>
        <w:rPr>
          <w:rFonts w:ascii="Traditional Arabic" w:hAnsi="Traditional Arabic"/>
          <w:sz w:val="32"/>
          <w:szCs w:val="32"/>
          <w:rtl/>
        </w:rPr>
        <w:t>)</w:t>
      </w:r>
      <w:r w:rsidRPr="005A63FF">
        <w:rPr>
          <w:rFonts w:ascii="Traditional Arabic" w:hAnsi="Traditional Arabic"/>
          <w:sz w:val="32"/>
          <w:szCs w:val="32"/>
          <w:rtl/>
        </w:rPr>
        <w:t xml:space="preserve"> سورة يوسف, الآية: (23)</w:t>
      </w:r>
      <w:r w:rsidRPr="005A63FF">
        <w:rPr>
          <w:rFonts w:ascii="Traditional Arabic" w:hAnsi="Traditional Arabic"/>
          <w:color w:val="auto"/>
          <w:sz w:val="32"/>
          <w:szCs w:val="32"/>
          <w:rtl/>
        </w:rPr>
        <w:t>. انظر: زاد المسير (</w:t>
      </w:r>
      <w:r>
        <w:rPr>
          <w:rFonts w:ascii="Traditional Arabic" w:hAnsi="Traditional Arabic" w:hint="cs"/>
          <w:color w:val="auto"/>
          <w:sz w:val="32"/>
          <w:szCs w:val="32"/>
          <w:rtl/>
        </w:rPr>
        <w:t>4/200</w:t>
      </w:r>
      <w:r w:rsidRPr="005A63FF">
        <w:rPr>
          <w:rFonts w:ascii="Traditional Arabic" w:hAnsi="Traditional Arabic"/>
          <w:color w:val="auto"/>
          <w:sz w:val="32"/>
          <w:szCs w:val="32"/>
          <w:rtl/>
        </w:rPr>
        <w:t>).</w:t>
      </w:r>
    </w:p>
  </w:footnote>
  <w:footnote w:id="2123">
    <w:p w:rsidR="003F128F" w:rsidRPr="005A63FF" w:rsidRDefault="003F128F" w:rsidP="0063006E">
      <w:pPr>
        <w:pStyle w:val="af3"/>
        <w:rPr>
          <w:rFonts w:ascii="Traditional Arabic" w:hAnsi="Traditional Arabic"/>
          <w:sz w:val="32"/>
          <w:szCs w:val="32"/>
        </w:rPr>
      </w:pPr>
      <w:r w:rsidRPr="005A63FF">
        <w:rPr>
          <w:rFonts w:ascii="Traditional Arabic" w:hAnsi="Traditional Arabic"/>
          <w:sz w:val="32"/>
          <w:szCs w:val="32"/>
          <w:rtl/>
        </w:rPr>
        <w:t>(</w:t>
      </w:r>
      <w:r w:rsidRPr="005A63FF">
        <w:rPr>
          <w:rStyle w:val="ae"/>
          <w:rFonts w:ascii="Traditional Arabic" w:hAnsi="Traditional Arabic"/>
          <w:sz w:val="32"/>
          <w:szCs w:val="32"/>
          <w:vertAlign w:val="baseline"/>
        </w:rPr>
        <w:footnoteRef/>
      </w:r>
      <w:r w:rsidRPr="005A63FF">
        <w:rPr>
          <w:rFonts w:ascii="Traditional Arabic" w:hAnsi="Traditional Arabic"/>
          <w:sz w:val="32"/>
          <w:szCs w:val="32"/>
          <w:rtl/>
        </w:rPr>
        <w:t xml:space="preserve">) انظر: المحرر الوجيز (4/7), وذكره السيوطي في الدر المنثور (5/484) ونسبه لابن أبي حاتم.   </w:t>
      </w:r>
    </w:p>
  </w:footnote>
  <w:footnote w:id="2124">
    <w:p w:rsidR="003F128F" w:rsidRPr="005A63FF" w:rsidRDefault="003F128F" w:rsidP="0063006E">
      <w:pPr>
        <w:ind w:firstLine="0"/>
        <w:rPr>
          <w:rFonts w:ascii="Traditional Arabic" w:hAnsi="Traditional Arabic"/>
          <w:sz w:val="32"/>
          <w:szCs w:val="32"/>
        </w:rPr>
      </w:pPr>
      <w:r w:rsidRPr="005A63FF">
        <w:rPr>
          <w:rFonts w:ascii="Traditional Arabic" w:hAnsi="Traditional Arabic"/>
          <w:sz w:val="32"/>
          <w:szCs w:val="32"/>
          <w:rtl/>
        </w:rPr>
        <w:t>(</w:t>
      </w:r>
      <w:r w:rsidRPr="005A63FF">
        <w:rPr>
          <w:rStyle w:val="ae"/>
          <w:rFonts w:ascii="Traditional Arabic" w:hAnsi="Traditional Arabic"/>
          <w:sz w:val="32"/>
          <w:szCs w:val="32"/>
          <w:vertAlign w:val="baseline"/>
        </w:rPr>
        <w:footnoteRef/>
      </w:r>
      <w:r>
        <w:rPr>
          <w:rFonts w:ascii="Traditional Arabic" w:hAnsi="Traditional Arabic"/>
          <w:sz w:val="32"/>
          <w:szCs w:val="32"/>
          <w:rtl/>
        </w:rPr>
        <w:t>) أخرجه ابن الديلمي في</w:t>
      </w:r>
      <w:r>
        <w:rPr>
          <w:rFonts w:ascii="Traditional Arabic" w:hAnsi="Traditional Arabic" w:hint="cs"/>
          <w:sz w:val="32"/>
          <w:szCs w:val="32"/>
          <w:rtl/>
        </w:rPr>
        <w:t xml:space="preserve"> </w:t>
      </w:r>
      <w:r w:rsidRPr="005A63FF">
        <w:rPr>
          <w:rFonts w:ascii="Traditional Arabic" w:hAnsi="Traditional Arabic"/>
          <w:sz w:val="32"/>
          <w:szCs w:val="32"/>
          <w:rtl/>
        </w:rPr>
        <w:t>الفردوس</w:t>
      </w:r>
      <w:r>
        <w:rPr>
          <w:rFonts w:ascii="Traditional Arabic" w:hAnsi="Traditional Arabic" w:hint="cs"/>
          <w:sz w:val="32"/>
          <w:szCs w:val="32"/>
          <w:rtl/>
        </w:rPr>
        <w:t xml:space="preserve"> بمأثور الخطاب</w:t>
      </w:r>
      <w:r w:rsidRPr="005A63FF">
        <w:rPr>
          <w:rFonts w:ascii="Traditional Arabic" w:hAnsi="Traditional Arabic"/>
          <w:sz w:val="32"/>
          <w:szCs w:val="32"/>
          <w:rtl/>
        </w:rPr>
        <w:t xml:space="preserve"> (4/ 402), وذكره السيوطي في الدر المنثور (5/484) وزاد نسبه لأبي نعيم وابن مردويه.   </w:t>
      </w:r>
    </w:p>
  </w:footnote>
  <w:footnote w:id="2125">
    <w:p w:rsidR="003F128F" w:rsidRPr="005A63FF" w:rsidRDefault="003F128F" w:rsidP="0063006E">
      <w:pPr>
        <w:pStyle w:val="af3"/>
        <w:rPr>
          <w:rFonts w:ascii="Traditional Arabic" w:hAnsi="Traditional Arabic"/>
          <w:sz w:val="32"/>
          <w:szCs w:val="32"/>
        </w:rPr>
      </w:pPr>
      <w:r w:rsidRPr="005A63FF">
        <w:rPr>
          <w:rFonts w:ascii="Traditional Arabic" w:hAnsi="Traditional Arabic"/>
          <w:sz w:val="32"/>
          <w:szCs w:val="32"/>
          <w:rtl/>
        </w:rPr>
        <w:t>(</w:t>
      </w:r>
      <w:r w:rsidRPr="005A63FF">
        <w:rPr>
          <w:rStyle w:val="ae"/>
          <w:rFonts w:ascii="Traditional Arabic" w:hAnsi="Traditional Arabic"/>
          <w:sz w:val="32"/>
          <w:szCs w:val="32"/>
          <w:vertAlign w:val="baseline"/>
        </w:rPr>
        <w:footnoteRef/>
      </w:r>
      <w:r w:rsidRPr="005A63FF">
        <w:rPr>
          <w:rFonts w:ascii="Traditional Arabic" w:hAnsi="Traditional Arabic"/>
          <w:sz w:val="32"/>
          <w:szCs w:val="32"/>
          <w:rtl/>
        </w:rPr>
        <w:t xml:space="preserve">) الهداية (7/4502) </w:t>
      </w:r>
    </w:p>
  </w:footnote>
  <w:footnote w:id="2126">
    <w:p w:rsidR="003F128F" w:rsidRPr="005A63FF" w:rsidRDefault="003F128F" w:rsidP="0063006E">
      <w:pPr>
        <w:pStyle w:val="af3"/>
        <w:rPr>
          <w:rFonts w:ascii="Traditional Arabic" w:hAnsi="Traditional Arabic"/>
          <w:sz w:val="32"/>
          <w:szCs w:val="32"/>
        </w:rPr>
      </w:pPr>
      <w:r w:rsidRPr="005A63FF">
        <w:rPr>
          <w:rFonts w:ascii="Traditional Arabic" w:hAnsi="Traditional Arabic"/>
          <w:sz w:val="32"/>
          <w:szCs w:val="32"/>
          <w:rtl/>
        </w:rPr>
        <w:t>(</w:t>
      </w:r>
      <w:r w:rsidRPr="005A63FF">
        <w:rPr>
          <w:rStyle w:val="ae"/>
          <w:rFonts w:ascii="Traditional Arabic" w:hAnsi="Traditional Arabic"/>
          <w:sz w:val="32"/>
          <w:szCs w:val="32"/>
          <w:vertAlign w:val="baseline"/>
        </w:rPr>
        <w:footnoteRef/>
      </w:r>
      <w:r w:rsidRPr="005A63FF">
        <w:rPr>
          <w:rFonts w:ascii="Traditional Arabic" w:hAnsi="Traditional Arabic"/>
          <w:sz w:val="32"/>
          <w:szCs w:val="32"/>
          <w:rtl/>
        </w:rPr>
        <w:t>)</w:t>
      </w:r>
      <w:r w:rsidRPr="005A63FF">
        <w:rPr>
          <w:rFonts w:ascii="Traditional Arabic" w:hAnsi="Traditional Arabic"/>
          <w:color w:val="auto"/>
          <w:sz w:val="32"/>
          <w:szCs w:val="32"/>
          <w:rtl/>
        </w:rPr>
        <w:t xml:space="preserve"> تفسير مقاتل (2/622).</w:t>
      </w:r>
      <w:r w:rsidRPr="005A63FF">
        <w:rPr>
          <w:rFonts w:ascii="Traditional Arabic" w:hAnsi="Traditional Arabic"/>
          <w:sz w:val="32"/>
          <w:szCs w:val="32"/>
          <w:rtl/>
        </w:rPr>
        <w:t xml:space="preserve"> </w:t>
      </w:r>
    </w:p>
  </w:footnote>
  <w:footnote w:id="2127">
    <w:p w:rsidR="003F128F" w:rsidRPr="003D51C5" w:rsidRDefault="003F128F" w:rsidP="0063006E">
      <w:pPr>
        <w:pStyle w:val="af3"/>
        <w:rPr>
          <w:rFonts w:ascii="Tahoma" w:hAnsi="Tahoma"/>
        </w:rPr>
      </w:pPr>
      <w:r w:rsidRPr="003D51C5">
        <w:rPr>
          <w:rFonts w:ascii="Tahoma" w:hAnsi="Tahoma"/>
          <w:sz w:val="32"/>
          <w:szCs w:val="32"/>
          <w:rtl/>
        </w:rPr>
        <w:t>(</w:t>
      </w:r>
      <w:r w:rsidRPr="003D51C5">
        <w:rPr>
          <w:rStyle w:val="ae"/>
          <w:rFonts w:ascii="Tahoma" w:hAnsi="Tahoma"/>
          <w:sz w:val="32"/>
          <w:szCs w:val="32"/>
          <w:vertAlign w:val="baseline"/>
        </w:rPr>
        <w:footnoteRef/>
      </w:r>
      <w:r w:rsidRPr="003D51C5">
        <w:rPr>
          <w:rFonts w:ascii="Tahoma" w:hAnsi="Tahoma"/>
          <w:sz w:val="32"/>
          <w:szCs w:val="32"/>
          <w:rtl/>
        </w:rPr>
        <w:t>)</w:t>
      </w:r>
      <w:r w:rsidRPr="003D51C5">
        <w:rPr>
          <w:rFonts w:ascii="Tahoma" w:hAnsi="Tahoma" w:hint="cs"/>
          <w:sz w:val="32"/>
          <w:szCs w:val="32"/>
          <w:rtl/>
        </w:rPr>
        <w:t xml:space="preserve"> في (ك): [</w:t>
      </w:r>
      <w:r w:rsidRPr="003D51C5">
        <w:rPr>
          <w:rFonts w:ascii="Traditional Arabic" w:hAnsi="Traditional Arabic"/>
          <w:sz w:val="32"/>
          <w:szCs w:val="32"/>
          <w:rtl/>
        </w:rPr>
        <w:t>قوله تعالى:</w:t>
      </w:r>
      <w:r w:rsidRPr="000F04D5">
        <w:rPr>
          <w:rFonts w:ascii="Traditional Arabic" w:hAnsi="Traditional Arabic"/>
          <w:rtl/>
        </w:rPr>
        <w:t xml:space="preserve"> </w:t>
      </w:r>
      <w:r w:rsidRPr="003D51C5">
        <w:rPr>
          <w:rFonts w:ascii="QCF_BSML" w:hAnsi="QCF_BSML" w:cs="QCF_BSML"/>
          <w:color w:val="auto"/>
          <w:rtl/>
          <w:lang w:eastAsia="en-US"/>
        </w:rPr>
        <w:t>ﭽ</w:t>
      </w:r>
      <w:r w:rsidRPr="003D51C5">
        <w:rPr>
          <w:rFonts w:ascii="QCF_P306" w:hAnsi="QCF_P306" w:cs="QCF_P306"/>
          <w:color w:val="auto"/>
          <w:rtl/>
          <w:lang w:eastAsia="en-US"/>
        </w:rPr>
        <w:t xml:space="preserve"> ﭚ </w:t>
      </w:r>
      <w:r w:rsidRPr="003D51C5">
        <w:rPr>
          <w:rFonts w:ascii="QCF_BSML" w:hAnsi="QCF_BSML" w:cs="QCF_BSML"/>
          <w:rtl/>
          <w:lang w:eastAsia="en-US"/>
        </w:rPr>
        <w:t>ﭼ</w:t>
      </w:r>
      <w:r>
        <w:rPr>
          <w:rFonts w:ascii="QCF_BSML" w:hAnsi="QCF_BSML" w:cs="QCF_BSML" w:hint="cs"/>
          <w:sz w:val="32"/>
          <w:szCs w:val="32"/>
          <w:rtl/>
          <w:lang w:eastAsia="en-US"/>
        </w:rPr>
        <w:t xml:space="preserve">  </w:t>
      </w:r>
      <w:r>
        <w:rPr>
          <w:rFonts w:ascii="Traditional Arabic" w:hAnsi="Traditional Arabic" w:hint="cs"/>
          <w:sz w:val="32"/>
          <w:szCs w:val="32"/>
          <w:rtl/>
          <w:lang w:eastAsia="en-US"/>
        </w:rPr>
        <w:t>قال الزجاج].</w:t>
      </w:r>
      <w:r>
        <w:rPr>
          <w:rFonts w:ascii="Tahoma" w:hAnsi="Tahoma"/>
          <w:rtl/>
        </w:rPr>
        <w:t xml:space="preserve"> </w:t>
      </w:r>
    </w:p>
  </w:footnote>
  <w:footnote w:id="2128">
    <w:p w:rsidR="003F128F" w:rsidRPr="003D51C5" w:rsidRDefault="003F128F" w:rsidP="0063006E">
      <w:pPr>
        <w:pStyle w:val="af3"/>
        <w:rPr>
          <w:rFonts w:ascii="Traditional Arabic" w:hAnsi="Traditional Arabic"/>
          <w:sz w:val="32"/>
          <w:szCs w:val="32"/>
        </w:rPr>
      </w:pPr>
      <w:r w:rsidRPr="003D51C5">
        <w:rPr>
          <w:rFonts w:ascii="Traditional Arabic" w:hAnsi="Traditional Arabic"/>
          <w:sz w:val="32"/>
          <w:szCs w:val="32"/>
          <w:rtl/>
        </w:rPr>
        <w:t>(</w:t>
      </w:r>
      <w:r w:rsidRPr="003D51C5">
        <w:rPr>
          <w:rStyle w:val="ae"/>
          <w:rFonts w:ascii="Traditional Arabic" w:hAnsi="Traditional Arabic"/>
          <w:sz w:val="32"/>
          <w:szCs w:val="32"/>
          <w:vertAlign w:val="baseline"/>
        </w:rPr>
        <w:footnoteRef/>
      </w:r>
      <w:r w:rsidRPr="003D51C5">
        <w:rPr>
          <w:rFonts w:ascii="Traditional Arabic" w:hAnsi="Traditional Arabic"/>
          <w:sz w:val="32"/>
          <w:szCs w:val="32"/>
          <w:rtl/>
        </w:rPr>
        <w:t xml:space="preserve">) انظر: </w:t>
      </w:r>
      <w:r w:rsidRPr="003D51C5">
        <w:rPr>
          <w:rFonts w:ascii="Traditional Arabic" w:hAnsi="Traditional Arabic"/>
          <w:color w:val="auto"/>
          <w:sz w:val="32"/>
          <w:szCs w:val="32"/>
          <w:rtl/>
        </w:rPr>
        <w:t>معاني القرآن وإعرابه (3/321).</w:t>
      </w:r>
      <w:r w:rsidRPr="003D51C5">
        <w:rPr>
          <w:rFonts w:ascii="Traditional Arabic" w:hAnsi="Traditional Arabic"/>
          <w:sz w:val="32"/>
          <w:szCs w:val="32"/>
          <w:rtl/>
        </w:rPr>
        <w:t xml:space="preserve">    </w:t>
      </w:r>
    </w:p>
  </w:footnote>
  <w:footnote w:id="2129">
    <w:p w:rsidR="003F128F" w:rsidRPr="003D51C5" w:rsidRDefault="003F128F" w:rsidP="0063006E">
      <w:pPr>
        <w:pStyle w:val="af3"/>
        <w:rPr>
          <w:rFonts w:ascii="Traditional Arabic" w:hAnsi="Traditional Arabic"/>
          <w:sz w:val="32"/>
          <w:szCs w:val="32"/>
        </w:rPr>
      </w:pPr>
      <w:r w:rsidRPr="003D51C5">
        <w:rPr>
          <w:rFonts w:ascii="Traditional Arabic" w:hAnsi="Traditional Arabic"/>
          <w:sz w:val="32"/>
          <w:szCs w:val="32"/>
          <w:rtl/>
        </w:rPr>
        <w:t>(</w:t>
      </w:r>
      <w:r w:rsidRPr="003D51C5">
        <w:rPr>
          <w:rStyle w:val="ae"/>
          <w:rFonts w:ascii="Traditional Arabic" w:hAnsi="Traditional Arabic"/>
          <w:sz w:val="32"/>
          <w:szCs w:val="32"/>
          <w:vertAlign w:val="baseline"/>
        </w:rPr>
        <w:footnoteRef/>
      </w:r>
      <w:r w:rsidRPr="003D51C5">
        <w:rPr>
          <w:rFonts w:ascii="Traditional Arabic" w:hAnsi="Traditional Arabic"/>
          <w:sz w:val="32"/>
          <w:szCs w:val="32"/>
          <w:rtl/>
        </w:rPr>
        <w:t>)</w:t>
      </w:r>
      <w:r>
        <w:rPr>
          <w:rFonts w:ascii="Traditional Arabic" w:hAnsi="Traditional Arabic" w:hint="cs"/>
          <w:sz w:val="32"/>
          <w:szCs w:val="32"/>
          <w:rtl/>
        </w:rPr>
        <w:t xml:space="preserve"> </w:t>
      </w:r>
      <w:r w:rsidRPr="003D51C5">
        <w:rPr>
          <w:rFonts w:ascii="Traditional Arabic" w:hAnsi="Traditional Arabic"/>
          <w:sz w:val="32"/>
          <w:szCs w:val="32"/>
          <w:rtl/>
        </w:rPr>
        <w:t xml:space="preserve">في (ك): [وقال ابن الأنباري: وجعلناه]. </w:t>
      </w:r>
    </w:p>
  </w:footnote>
  <w:footnote w:id="2130">
    <w:p w:rsidR="003F128F" w:rsidRPr="005A63FF" w:rsidRDefault="003F128F" w:rsidP="0063006E">
      <w:pPr>
        <w:pStyle w:val="af3"/>
        <w:rPr>
          <w:rFonts w:ascii="Traditional Arabic" w:hAnsi="Traditional Arabic"/>
          <w:sz w:val="32"/>
          <w:szCs w:val="32"/>
        </w:rPr>
      </w:pPr>
      <w:r w:rsidRPr="003D51C5">
        <w:rPr>
          <w:rFonts w:ascii="Traditional Arabic" w:hAnsi="Traditional Arabic"/>
          <w:sz w:val="32"/>
          <w:szCs w:val="32"/>
          <w:rtl/>
        </w:rPr>
        <w:t>(</w:t>
      </w:r>
      <w:r w:rsidRPr="003D51C5">
        <w:rPr>
          <w:rStyle w:val="ae"/>
          <w:rFonts w:ascii="Traditional Arabic" w:hAnsi="Traditional Arabic"/>
          <w:sz w:val="32"/>
          <w:szCs w:val="32"/>
          <w:vertAlign w:val="baseline"/>
        </w:rPr>
        <w:footnoteRef/>
      </w:r>
      <w:r w:rsidRPr="003D51C5">
        <w:rPr>
          <w:rFonts w:ascii="Traditional Arabic" w:hAnsi="Traditional Arabic"/>
          <w:sz w:val="32"/>
          <w:szCs w:val="32"/>
          <w:rtl/>
        </w:rPr>
        <w:t>) انظر: رموز الكنوز (4/397).</w:t>
      </w:r>
      <w:r w:rsidRPr="005A63FF">
        <w:rPr>
          <w:rFonts w:ascii="Traditional Arabic" w:hAnsi="Traditional Arabic"/>
          <w:sz w:val="32"/>
          <w:szCs w:val="32"/>
          <w:rtl/>
        </w:rPr>
        <w:t xml:space="preserve"> </w:t>
      </w:r>
    </w:p>
  </w:footnote>
  <w:footnote w:id="2131">
    <w:p w:rsidR="003F128F" w:rsidRPr="001E4DD3" w:rsidRDefault="003F128F" w:rsidP="0063006E">
      <w:pPr>
        <w:pStyle w:val="af3"/>
        <w:rPr>
          <w:rFonts w:ascii="Traditional Arabic" w:hAnsi="Traditional Arabic"/>
          <w:sz w:val="32"/>
          <w:szCs w:val="32"/>
        </w:rPr>
      </w:pPr>
      <w:r w:rsidRPr="005A63FF">
        <w:rPr>
          <w:rFonts w:ascii="Traditional Arabic" w:hAnsi="Traditional Arabic"/>
          <w:sz w:val="32"/>
          <w:szCs w:val="32"/>
          <w:rtl/>
        </w:rPr>
        <w:t>(</w:t>
      </w:r>
      <w:r w:rsidRPr="005A63FF">
        <w:rPr>
          <w:rStyle w:val="ae"/>
          <w:rFonts w:ascii="Traditional Arabic" w:hAnsi="Traditional Arabic"/>
          <w:sz w:val="32"/>
          <w:szCs w:val="32"/>
          <w:vertAlign w:val="baseline"/>
        </w:rPr>
        <w:footnoteRef/>
      </w:r>
      <w:r w:rsidRPr="005A63FF">
        <w:rPr>
          <w:rFonts w:ascii="Traditional Arabic" w:hAnsi="Traditional Arabic"/>
          <w:sz w:val="32"/>
          <w:szCs w:val="32"/>
          <w:rtl/>
        </w:rPr>
        <w:t>)</w:t>
      </w:r>
      <w:r w:rsidRPr="005A63FF">
        <w:rPr>
          <w:rFonts w:ascii="Traditional Arabic" w:hAnsi="Traditional Arabic"/>
          <w:color w:val="auto"/>
          <w:sz w:val="32"/>
          <w:szCs w:val="32"/>
          <w:rtl/>
        </w:rPr>
        <w:t xml:space="preserve"> تفسير الطبري (18/156)</w:t>
      </w:r>
      <w:r w:rsidRPr="005A63FF">
        <w:rPr>
          <w:rFonts w:ascii="Traditional Arabic" w:hAnsi="Traditional Arabic"/>
          <w:sz w:val="32"/>
          <w:szCs w:val="32"/>
          <w:rtl/>
        </w:rPr>
        <w:t>, تفسير ابن أبي حاتم (7/2401).</w:t>
      </w:r>
    </w:p>
  </w:footnote>
  <w:footnote w:id="2132">
    <w:p w:rsidR="003F128F" w:rsidRPr="00D261A1" w:rsidRDefault="003F128F" w:rsidP="0063006E">
      <w:pPr>
        <w:pStyle w:val="af3"/>
        <w:rPr>
          <w:rFonts w:ascii="Traditional Arabic" w:hAnsi="Traditional Arabic"/>
          <w:sz w:val="32"/>
          <w:szCs w:val="32"/>
        </w:rPr>
      </w:pPr>
      <w:r w:rsidRPr="00D261A1">
        <w:rPr>
          <w:rFonts w:ascii="Traditional Arabic" w:hAnsi="Traditional Arabic"/>
          <w:sz w:val="32"/>
          <w:szCs w:val="32"/>
          <w:rtl/>
        </w:rPr>
        <w:t>(</w:t>
      </w:r>
      <w:r w:rsidRPr="00D261A1">
        <w:rPr>
          <w:rStyle w:val="ae"/>
          <w:rFonts w:ascii="Traditional Arabic" w:hAnsi="Traditional Arabic"/>
          <w:sz w:val="32"/>
          <w:szCs w:val="32"/>
          <w:vertAlign w:val="baseline"/>
        </w:rPr>
        <w:footnoteRef/>
      </w:r>
      <w:r w:rsidRPr="00D261A1">
        <w:rPr>
          <w:rFonts w:ascii="Traditional Arabic" w:hAnsi="Traditional Arabic"/>
          <w:sz w:val="32"/>
          <w:szCs w:val="32"/>
          <w:rtl/>
        </w:rPr>
        <w:t xml:space="preserve">) ذكره السيوطي في الدر المنثور (5/486) ونسبه لعبد بن حميد.    </w:t>
      </w:r>
    </w:p>
  </w:footnote>
  <w:footnote w:id="2133">
    <w:p w:rsidR="003F128F" w:rsidRPr="00D261A1" w:rsidRDefault="003F128F" w:rsidP="0063006E">
      <w:pPr>
        <w:pStyle w:val="af3"/>
        <w:rPr>
          <w:rFonts w:ascii="Traditional Arabic" w:hAnsi="Traditional Arabic"/>
          <w:sz w:val="32"/>
          <w:szCs w:val="32"/>
        </w:rPr>
      </w:pPr>
      <w:r w:rsidRPr="00D261A1">
        <w:rPr>
          <w:rFonts w:ascii="Traditional Arabic" w:hAnsi="Traditional Arabic"/>
          <w:sz w:val="32"/>
          <w:szCs w:val="32"/>
          <w:rtl/>
        </w:rPr>
        <w:t>(</w:t>
      </w:r>
      <w:r w:rsidRPr="00D261A1">
        <w:rPr>
          <w:rStyle w:val="ae"/>
          <w:rFonts w:ascii="Traditional Arabic" w:hAnsi="Traditional Arabic"/>
          <w:sz w:val="32"/>
          <w:szCs w:val="32"/>
          <w:vertAlign w:val="baseline"/>
        </w:rPr>
        <w:footnoteRef/>
      </w:r>
      <w:r w:rsidRPr="00D261A1">
        <w:rPr>
          <w:rFonts w:ascii="Traditional Arabic" w:hAnsi="Traditional Arabic"/>
          <w:sz w:val="32"/>
          <w:szCs w:val="32"/>
          <w:rtl/>
        </w:rPr>
        <w:t>) انظر هذه الأقوال في تفسير الطبري (18/156),</w:t>
      </w:r>
      <w:r w:rsidRPr="00D261A1">
        <w:rPr>
          <w:rFonts w:ascii="Traditional Arabic" w:hAnsi="Traditional Arabic"/>
          <w:color w:val="auto"/>
          <w:sz w:val="32"/>
          <w:szCs w:val="32"/>
          <w:rtl/>
        </w:rPr>
        <w:t xml:space="preserve"> </w:t>
      </w:r>
      <w:r>
        <w:rPr>
          <w:rFonts w:ascii="Traditional Arabic" w:hAnsi="Traditional Arabic" w:hint="cs"/>
          <w:color w:val="auto"/>
          <w:sz w:val="32"/>
          <w:szCs w:val="32"/>
          <w:rtl/>
        </w:rPr>
        <w:t>و</w:t>
      </w:r>
      <w:r w:rsidRPr="00D261A1">
        <w:rPr>
          <w:rFonts w:ascii="Traditional Arabic" w:hAnsi="Traditional Arabic"/>
          <w:color w:val="auto"/>
          <w:sz w:val="32"/>
          <w:szCs w:val="32"/>
          <w:rtl/>
        </w:rPr>
        <w:t xml:space="preserve">الهداية </w:t>
      </w:r>
      <w:r>
        <w:rPr>
          <w:rFonts w:ascii="Traditional Arabic" w:hAnsi="Traditional Arabic" w:hint="cs"/>
          <w:color w:val="auto"/>
          <w:sz w:val="32"/>
          <w:szCs w:val="32"/>
          <w:rtl/>
        </w:rPr>
        <w:t xml:space="preserve">لمكي </w:t>
      </w:r>
      <w:r w:rsidRPr="00D261A1">
        <w:rPr>
          <w:rFonts w:ascii="Traditional Arabic" w:hAnsi="Traditional Arabic"/>
          <w:color w:val="auto"/>
          <w:sz w:val="32"/>
          <w:szCs w:val="32"/>
          <w:rtl/>
        </w:rPr>
        <w:t>(7/4503).</w:t>
      </w:r>
      <w:r w:rsidRPr="00D261A1">
        <w:rPr>
          <w:rFonts w:ascii="Traditional Arabic" w:hAnsi="Traditional Arabic"/>
          <w:sz w:val="32"/>
          <w:szCs w:val="32"/>
          <w:rtl/>
        </w:rPr>
        <w:t xml:space="preserve">  </w:t>
      </w:r>
    </w:p>
  </w:footnote>
  <w:footnote w:id="2134">
    <w:p w:rsidR="003F128F" w:rsidRPr="00D261A1" w:rsidRDefault="003F128F" w:rsidP="0063006E">
      <w:pPr>
        <w:pStyle w:val="af3"/>
        <w:rPr>
          <w:rFonts w:ascii="Traditional Arabic" w:hAnsi="Traditional Arabic"/>
          <w:sz w:val="32"/>
          <w:szCs w:val="32"/>
        </w:rPr>
      </w:pPr>
      <w:r w:rsidRPr="00D261A1">
        <w:rPr>
          <w:rFonts w:ascii="Traditional Arabic" w:hAnsi="Traditional Arabic"/>
          <w:sz w:val="32"/>
          <w:szCs w:val="32"/>
          <w:rtl/>
        </w:rPr>
        <w:t>(</w:t>
      </w:r>
      <w:r w:rsidRPr="00D261A1">
        <w:rPr>
          <w:rStyle w:val="ae"/>
          <w:rFonts w:ascii="Traditional Arabic" w:hAnsi="Traditional Arabic"/>
          <w:sz w:val="32"/>
          <w:szCs w:val="32"/>
          <w:vertAlign w:val="baseline"/>
        </w:rPr>
        <w:footnoteRef/>
      </w:r>
      <w:r w:rsidRPr="00D261A1">
        <w:rPr>
          <w:rFonts w:ascii="Traditional Arabic" w:hAnsi="Traditional Arabic"/>
          <w:sz w:val="32"/>
          <w:szCs w:val="32"/>
          <w:rtl/>
        </w:rPr>
        <w:t>) معاني القرآن للفراء (2/163).</w:t>
      </w:r>
    </w:p>
  </w:footnote>
  <w:footnote w:id="2135">
    <w:p w:rsidR="003F128F" w:rsidRPr="00D261A1" w:rsidRDefault="003F128F" w:rsidP="0063006E">
      <w:pPr>
        <w:pStyle w:val="af3"/>
        <w:rPr>
          <w:rFonts w:ascii="Traditional Arabic" w:hAnsi="Traditional Arabic"/>
          <w:sz w:val="32"/>
          <w:szCs w:val="32"/>
        </w:rPr>
      </w:pPr>
      <w:r w:rsidRPr="00D261A1">
        <w:rPr>
          <w:rFonts w:ascii="Traditional Arabic" w:hAnsi="Traditional Arabic"/>
          <w:sz w:val="32"/>
          <w:szCs w:val="32"/>
          <w:rtl/>
        </w:rPr>
        <w:t>(</w:t>
      </w:r>
      <w:r w:rsidRPr="00D261A1">
        <w:rPr>
          <w:rStyle w:val="ae"/>
          <w:rFonts w:ascii="Traditional Arabic" w:hAnsi="Traditional Arabic"/>
          <w:sz w:val="32"/>
          <w:szCs w:val="32"/>
          <w:vertAlign w:val="baseline"/>
        </w:rPr>
        <w:footnoteRef/>
      </w:r>
      <w:r w:rsidRPr="00D261A1">
        <w:rPr>
          <w:rFonts w:ascii="Traditional Arabic" w:hAnsi="Traditional Arabic"/>
          <w:sz w:val="32"/>
          <w:szCs w:val="32"/>
          <w:rtl/>
        </w:rPr>
        <w:t xml:space="preserve">) </w:t>
      </w:r>
      <w:r>
        <w:rPr>
          <w:rFonts w:ascii="Traditional Arabic" w:hAnsi="Traditional Arabic"/>
          <w:sz w:val="32"/>
          <w:szCs w:val="32"/>
          <w:rtl/>
        </w:rPr>
        <w:t>البيت للحطيئة كما في ديوانه</w:t>
      </w:r>
      <w:r w:rsidRPr="00D261A1">
        <w:rPr>
          <w:rFonts w:ascii="Traditional Arabic" w:hAnsi="Traditional Arabic"/>
          <w:sz w:val="32"/>
          <w:szCs w:val="32"/>
          <w:rtl/>
        </w:rPr>
        <w:t xml:space="preserve"> </w:t>
      </w:r>
      <w:r>
        <w:rPr>
          <w:rFonts w:ascii="Traditional Arabic" w:hAnsi="Traditional Arabic" w:hint="cs"/>
          <w:sz w:val="32"/>
          <w:szCs w:val="32"/>
          <w:rtl/>
        </w:rPr>
        <w:t>(ص164).</w:t>
      </w:r>
      <w:r w:rsidRPr="00D261A1">
        <w:rPr>
          <w:rFonts w:ascii="Traditional Arabic" w:hAnsi="Traditional Arabic"/>
          <w:sz w:val="32"/>
          <w:szCs w:val="32"/>
          <w:rtl/>
        </w:rPr>
        <w:t xml:space="preserve"> </w:t>
      </w:r>
    </w:p>
  </w:footnote>
  <w:footnote w:id="2136">
    <w:p w:rsidR="003F128F" w:rsidRPr="005A63FF" w:rsidRDefault="003F128F" w:rsidP="0063006E">
      <w:pPr>
        <w:pStyle w:val="af3"/>
        <w:rPr>
          <w:rFonts w:ascii="Traditional Arabic" w:hAnsi="Traditional Arabic"/>
          <w:color w:val="auto"/>
          <w:sz w:val="32"/>
          <w:szCs w:val="32"/>
        </w:rPr>
      </w:pPr>
      <w:r w:rsidRPr="005A63FF">
        <w:rPr>
          <w:rFonts w:ascii="Traditional Arabic" w:hAnsi="Traditional Arabic"/>
          <w:color w:val="auto"/>
          <w:sz w:val="32"/>
          <w:szCs w:val="32"/>
          <w:rtl/>
        </w:rPr>
        <w:t>(</w:t>
      </w:r>
      <w:r w:rsidRPr="005A63FF">
        <w:rPr>
          <w:rStyle w:val="ae"/>
          <w:rFonts w:ascii="Traditional Arabic" w:hAnsi="Traditional Arabic"/>
          <w:color w:val="auto"/>
          <w:sz w:val="32"/>
          <w:szCs w:val="32"/>
          <w:vertAlign w:val="baseline"/>
        </w:rPr>
        <w:footnoteRef/>
      </w:r>
      <w:r w:rsidRPr="005A63FF">
        <w:rPr>
          <w:rFonts w:ascii="Traditional Arabic" w:hAnsi="Traditional Arabic"/>
          <w:color w:val="auto"/>
          <w:sz w:val="32"/>
          <w:szCs w:val="32"/>
          <w:rtl/>
        </w:rPr>
        <w:t>) هو الشاعر أبو عمرو</w:t>
      </w:r>
      <w:r>
        <w:rPr>
          <w:rFonts w:ascii="Traditional Arabic" w:hAnsi="Traditional Arabic" w:hint="cs"/>
          <w:color w:val="auto"/>
          <w:sz w:val="32"/>
          <w:szCs w:val="32"/>
          <w:rtl/>
        </w:rPr>
        <w:t>,</w:t>
      </w:r>
      <w:r w:rsidRPr="005A63FF">
        <w:rPr>
          <w:rFonts w:ascii="Traditional Arabic" w:hAnsi="Traditional Arabic"/>
          <w:color w:val="auto"/>
          <w:sz w:val="32"/>
          <w:szCs w:val="32"/>
          <w:rtl/>
        </w:rPr>
        <w:t xml:space="preserve"> طرفَة بن العَبْد بن سُفْيَان بن سعد البكري</w:t>
      </w:r>
      <w:r>
        <w:rPr>
          <w:rFonts w:ascii="Traditional Arabic" w:hAnsi="Traditional Arabic" w:hint="cs"/>
          <w:color w:val="auto"/>
          <w:sz w:val="32"/>
          <w:szCs w:val="32"/>
          <w:rtl/>
        </w:rPr>
        <w:t>,</w:t>
      </w:r>
      <w:r w:rsidRPr="005A63FF">
        <w:rPr>
          <w:rFonts w:ascii="Traditional Arabic" w:hAnsi="Traditional Arabic"/>
          <w:color w:val="auto"/>
          <w:sz w:val="32"/>
          <w:szCs w:val="32"/>
          <w:rtl/>
        </w:rPr>
        <w:t xml:space="preserve"> الوائلي، شاعر جاهلي، من الطبقة الأولى, ولد في بادية البحرين، وتنقل في بقاع نجد, (ت60ق ه). انظر: فحول الشعراء لمحمد بن سلام الجمحي (1/137), الأعلام (3/225). </w:t>
      </w:r>
    </w:p>
  </w:footnote>
  <w:footnote w:id="2137">
    <w:p w:rsidR="003F128F" w:rsidRPr="00A82C56" w:rsidRDefault="003F128F" w:rsidP="0063006E">
      <w:pPr>
        <w:pStyle w:val="af3"/>
        <w:rPr>
          <w:rFonts w:ascii="Traditional Arabic" w:hAnsi="Traditional Arabic"/>
          <w:sz w:val="32"/>
          <w:szCs w:val="32"/>
        </w:rPr>
      </w:pPr>
      <w:r w:rsidRPr="00A82C56">
        <w:rPr>
          <w:rFonts w:ascii="Traditional Arabic" w:hAnsi="Traditional Arabic"/>
          <w:color w:val="auto"/>
          <w:sz w:val="32"/>
          <w:szCs w:val="32"/>
          <w:rtl/>
        </w:rPr>
        <w:t>(</w:t>
      </w:r>
      <w:r w:rsidRPr="00A82C56">
        <w:rPr>
          <w:rStyle w:val="ae"/>
          <w:rFonts w:ascii="Traditional Arabic" w:hAnsi="Traditional Arabic"/>
          <w:color w:val="auto"/>
          <w:sz w:val="32"/>
          <w:szCs w:val="32"/>
          <w:vertAlign w:val="baseline"/>
        </w:rPr>
        <w:footnoteRef/>
      </w:r>
      <w:r w:rsidRPr="00A82C56">
        <w:rPr>
          <w:rFonts w:ascii="Traditional Arabic" w:hAnsi="Traditional Arabic"/>
          <w:color w:val="auto"/>
          <w:sz w:val="32"/>
          <w:szCs w:val="32"/>
          <w:rtl/>
        </w:rPr>
        <w:t xml:space="preserve">) البيت في ديوانه (ص53). </w:t>
      </w:r>
    </w:p>
  </w:footnote>
  <w:footnote w:id="2138">
    <w:p w:rsidR="003F128F" w:rsidRPr="00A82C56" w:rsidRDefault="003F128F" w:rsidP="0063006E">
      <w:pPr>
        <w:pStyle w:val="af3"/>
        <w:rPr>
          <w:rFonts w:ascii="Traditional Arabic" w:hAnsi="Traditional Arabic"/>
          <w:sz w:val="32"/>
          <w:szCs w:val="32"/>
          <w:rtl/>
        </w:rPr>
      </w:pPr>
      <w:r w:rsidRPr="00A82C56">
        <w:rPr>
          <w:rFonts w:ascii="Traditional Arabic" w:hAnsi="Traditional Arabic"/>
          <w:sz w:val="32"/>
          <w:szCs w:val="32"/>
          <w:rtl/>
        </w:rPr>
        <w:t>(</w:t>
      </w:r>
      <w:r w:rsidRPr="00A82C56">
        <w:rPr>
          <w:rStyle w:val="ae"/>
          <w:rFonts w:ascii="Traditional Arabic" w:hAnsi="Traditional Arabic"/>
          <w:sz w:val="32"/>
          <w:szCs w:val="32"/>
          <w:vertAlign w:val="baseline"/>
        </w:rPr>
        <w:footnoteRef/>
      </w:r>
      <w:r w:rsidRPr="00A82C56">
        <w:rPr>
          <w:rFonts w:ascii="Traditional Arabic" w:hAnsi="Traditional Arabic"/>
          <w:sz w:val="32"/>
          <w:szCs w:val="32"/>
          <w:rtl/>
        </w:rPr>
        <w:t>) انظر: مجاز القرآن (2/2-3).</w:t>
      </w:r>
    </w:p>
  </w:footnote>
  <w:footnote w:id="2139">
    <w:p w:rsidR="003F128F" w:rsidRPr="00A82C56" w:rsidRDefault="003F128F" w:rsidP="0063006E">
      <w:pPr>
        <w:pStyle w:val="af3"/>
        <w:rPr>
          <w:rFonts w:ascii="Traditional Arabic" w:hAnsi="Traditional Arabic"/>
          <w:sz w:val="32"/>
          <w:szCs w:val="32"/>
        </w:rPr>
      </w:pPr>
      <w:r w:rsidRPr="00A82C56">
        <w:rPr>
          <w:rFonts w:ascii="Traditional Arabic" w:hAnsi="Traditional Arabic"/>
          <w:sz w:val="32"/>
          <w:szCs w:val="32"/>
          <w:rtl/>
        </w:rPr>
        <w:t>(</w:t>
      </w:r>
      <w:r w:rsidRPr="00A82C56">
        <w:rPr>
          <w:rStyle w:val="ae"/>
          <w:rFonts w:ascii="Traditional Arabic" w:hAnsi="Traditional Arabic"/>
          <w:sz w:val="32"/>
          <w:szCs w:val="32"/>
          <w:vertAlign w:val="baseline"/>
        </w:rPr>
        <w:footnoteRef/>
      </w:r>
      <w:r w:rsidRPr="00A82C56">
        <w:rPr>
          <w:rFonts w:ascii="Traditional Arabic" w:hAnsi="Traditional Arabic"/>
          <w:sz w:val="32"/>
          <w:szCs w:val="32"/>
          <w:rtl/>
        </w:rPr>
        <w:t xml:space="preserve">) غريب القرآن (ص273). </w:t>
      </w:r>
    </w:p>
  </w:footnote>
  <w:footnote w:id="2140">
    <w:p w:rsidR="003F128F" w:rsidRPr="00A82C56" w:rsidRDefault="003F128F" w:rsidP="0063006E">
      <w:pPr>
        <w:pStyle w:val="af3"/>
        <w:rPr>
          <w:rFonts w:ascii="Traditional Arabic" w:hAnsi="Traditional Arabic"/>
          <w:sz w:val="32"/>
          <w:szCs w:val="32"/>
        </w:rPr>
      </w:pPr>
      <w:r w:rsidRPr="00A82C56">
        <w:rPr>
          <w:rFonts w:ascii="Traditional Arabic" w:hAnsi="Traditional Arabic"/>
          <w:sz w:val="32"/>
          <w:szCs w:val="32"/>
          <w:rtl/>
        </w:rPr>
        <w:t>(</w:t>
      </w:r>
      <w:r w:rsidRPr="00A82C56">
        <w:rPr>
          <w:rStyle w:val="ae"/>
          <w:rFonts w:ascii="Traditional Arabic" w:hAnsi="Traditional Arabic"/>
          <w:sz w:val="32"/>
          <w:szCs w:val="32"/>
          <w:vertAlign w:val="baseline"/>
        </w:rPr>
        <w:footnoteRef/>
      </w:r>
      <w:r w:rsidRPr="00A82C56">
        <w:rPr>
          <w:rFonts w:ascii="Traditional Arabic" w:hAnsi="Traditional Arabic"/>
          <w:sz w:val="32"/>
          <w:szCs w:val="32"/>
          <w:rtl/>
        </w:rPr>
        <w:t>) في (ك): [وتزكيةً له].</w:t>
      </w:r>
    </w:p>
  </w:footnote>
  <w:footnote w:id="2141">
    <w:p w:rsidR="003F128F" w:rsidRPr="00A82C56" w:rsidRDefault="003F128F" w:rsidP="0063006E">
      <w:pPr>
        <w:pStyle w:val="af3"/>
        <w:rPr>
          <w:rFonts w:ascii="Traditional Arabic" w:hAnsi="Traditional Arabic"/>
          <w:sz w:val="32"/>
          <w:szCs w:val="32"/>
        </w:rPr>
      </w:pPr>
      <w:r w:rsidRPr="00A82C56">
        <w:rPr>
          <w:rFonts w:ascii="Traditional Arabic" w:hAnsi="Traditional Arabic"/>
          <w:sz w:val="32"/>
          <w:szCs w:val="32"/>
          <w:rtl/>
        </w:rPr>
        <w:t>(</w:t>
      </w:r>
      <w:r w:rsidRPr="00A82C56">
        <w:rPr>
          <w:rStyle w:val="ae"/>
          <w:rFonts w:ascii="Traditional Arabic" w:hAnsi="Traditional Arabic"/>
          <w:sz w:val="32"/>
          <w:szCs w:val="32"/>
          <w:vertAlign w:val="baseline"/>
        </w:rPr>
        <w:footnoteRef/>
      </w:r>
      <w:r w:rsidRPr="00A82C56">
        <w:rPr>
          <w:rFonts w:ascii="Traditional Arabic" w:hAnsi="Traditional Arabic"/>
          <w:sz w:val="32"/>
          <w:szCs w:val="32"/>
          <w:rtl/>
        </w:rPr>
        <w:t xml:space="preserve">) ذكر بنحوه للفراء في معاني القرآن (2/163).  </w:t>
      </w:r>
    </w:p>
  </w:footnote>
  <w:footnote w:id="2142">
    <w:p w:rsidR="003F128F" w:rsidRPr="00A82C56" w:rsidRDefault="003F128F" w:rsidP="0063006E">
      <w:pPr>
        <w:pStyle w:val="af3"/>
        <w:rPr>
          <w:rFonts w:ascii="Traditional Arabic" w:hAnsi="Traditional Arabic"/>
          <w:sz w:val="32"/>
          <w:szCs w:val="32"/>
        </w:rPr>
      </w:pPr>
      <w:r w:rsidRPr="00A82C56">
        <w:rPr>
          <w:rFonts w:ascii="Traditional Arabic" w:hAnsi="Traditional Arabic"/>
          <w:sz w:val="32"/>
          <w:szCs w:val="32"/>
          <w:rtl/>
        </w:rPr>
        <w:t>(</w:t>
      </w:r>
      <w:r w:rsidRPr="00A82C56">
        <w:rPr>
          <w:rStyle w:val="ae"/>
          <w:rFonts w:ascii="Traditional Arabic" w:hAnsi="Traditional Arabic"/>
          <w:sz w:val="32"/>
          <w:szCs w:val="32"/>
          <w:vertAlign w:val="baseline"/>
        </w:rPr>
        <w:footnoteRef/>
      </w:r>
      <w:r w:rsidRPr="00A82C56">
        <w:rPr>
          <w:rFonts w:ascii="Traditional Arabic" w:hAnsi="Traditional Arabic"/>
          <w:sz w:val="32"/>
          <w:szCs w:val="32"/>
          <w:rtl/>
        </w:rPr>
        <w:t xml:space="preserve">) انظر: تفسير مجاهد (ص454), تفسير يحيى بن سلام (1/217). </w:t>
      </w:r>
    </w:p>
  </w:footnote>
  <w:footnote w:id="2143">
    <w:p w:rsidR="003F128F" w:rsidRPr="00A82C56" w:rsidRDefault="003F128F" w:rsidP="0063006E">
      <w:pPr>
        <w:pStyle w:val="af3"/>
        <w:rPr>
          <w:rFonts w:ascii="Traditional Arabic" w:hAnsi="Traditional Arabic"/>
          <w:sz w:val="32"/>
          <w:szCs w:val="32"/>
        </w:rPr>
      </w:pPr>
      <w:r w:rsidRPr="00A82C56">
        <w:rPr>
          <w:rFonts w:ascii="Traditional Arabic" w:hAnsi="Traditional Arabic"/>
          <w:sz w:val="32"/>
          <w:szCs w:val="32"/>
          <w:rtl/>
        </w:rPr>
        <w:t>(</w:t>
      </w:r>
      <w:r w:rsidRPr="00A82C56">
        <w:rPr>
          <w:rStyle w:val="ae"/>
          <w:rFonts w:ascii="Traditional Arabic" w:hAnsi="Traditional Arabic"/>
          <w:sz w:val="32"/>
          <w:szCs w:val="32"/>
          <w:vertAlign w:val="baseline"/>
        </w:rPr>
        <w:footnoteRef/>
      </w:r>
      <w:r w:rsidRPr="00A82C56">
        <w:rPr>
          <w:rFonts w:ascii="Traditional Arabic" w:hAnsi="Traditional Arabic"/>
          <w:sz w:val="32"/>
          <w:szCs w:val="32"/>
          <w:rtl/>
        </w:rPr>
        <w:t xml:space="preserve">) لم أقف عليه فيما لدي من مصادر. </w:t>
      </w:r>
    </w:p>
  </w:footnote>
  <w:footnote w:id="2144">
    <w:p w:rsidR="003F128F" w:rsidRPr="00A82C56" w:rsidRDefault="003F128F" w:rsidP="0063006E">
      <w:pPr>
        <w:pStyle w:val="af3"/>
        <w:rPr>
          <w:rFonts w:ascii="Traditional Arabic" w:hAnsi="Traditional Arabic"/>
          <w:sz w:val="32"/>
          <w:szCs w:val="32"/>
        </w:rPr>
      </w:pPr>
      <w:r w:rsidRPr="00A82C56">
        <w:rPr>
          <w:rFonts w:ascii="Traditional Arabic" w:hAnsi="Traditional Arabic"/>
          <w:sz w:val="32"/>
          <w:szCs w:val="32"/>
          <w:rtl/>
        </w:rPr>
        <w:t>(</w:t>
      </w:r>
      <w:r w:rsidRPr="00A82C56">
        <w:rPr>
          <w:rStyle w:val="ae"/>
          <w:rFonts w:ascii="Traditional Arabic" w:hAnsi="Traditional Arabic"/>
          <w:sz w:val="32"/>
          <w:szCs w:val="32"/>
          <w:vertAlign w:val="baseline"/>
        </w:rPr>
        <w:footnoteRef/>
      </w:r>
      <w:r w:rsidRPr="00A82C56">
        <w:rPr>
          <w:rFonts w:ascii="Traditional Arabic" w:hAnsi="Traditional Arabic"/>
          <w:sz w:val="32"/>
          <w:szCs w:val="32"/>
          <w:rtl/>
        </w:rPr>
        <w:t xml:space="preserve">) </w:t>
      </w:r>
      <w:r w:rsidRPr="00A82C56">
        <w:rPr>
          <w:rFonts w:ascii="Traditional Arabic" w:hAnsi="Traditional Arabic"/>
          <w:color w:val="auto"/>
          <w:sz w:val="32"/>
          <w:szCs w:val="32"/>
          <w:rtl/>
        </w:rPr>
        <w:t>انظر: النكت والعيون (3/360).</w:t>
      </w:r>
    </w:p>
  </w:footnote>
  <w:footnote w:id="2145">
    <w:p w:rsidR="003F128F" w:rsidRPr="00A82C56" w:rsidRDefault="003F128F" w:rsidP="0063006E">
      <w:pPr>
        <w:pStyle w:val="af3"/>
        <w:rPr>
          <w:rFonts w:ascii="Traditional Arabic" w:hAnsi="Traditional Arabic"/>
          <w:sz w:val="32"/>
          <w:szCs w:val="32"/>
        </w:rPr>
      </w:pPr>
      <w:r w:rsidRPr="00A82C56">
        <w:rPr>
          <w:rFonts w:ascii="Traditional Arabic" w:hAnsi="Traditional Arabic"/>
          <w:sz w:val="32"/>
          <w:szCs w:val="32"/>
          <w:rtl/>
        </w:rPr>
        <w:t>(</w:t>
      </w:r>
      <w:r w:rsidRPr="00A82C56">
        <w:rPr>
          <w:rStyle w:val="ae"/>
          <w:rFonts w:ascii="Traditional Arabic" w:hAnsi="Traditional Arabic"/>
          <w:sz w:val="32"/>
          <w:szCs w:val="32"/>
          <w:vertAlign w:val="baseline"/>
        </w:rPr>
        <w:footnoteRef/>
      </w:r>
      <w:r w:rsidRPr="00A82C56">
        <w:rPr>
          <w:rFonts w:ascii="Traditional Arabic" w:hAnsi="Traditional Arabic"/>
          <w:sz w:val="32"/>
          <w:szCs w:val="32"/>
          <w:rtl/>
        </w:rPr>
        <w:t>) انظر هذه الأقوال في تفسير الطبري (18/157), و</w:t>
      </w:r>
      <w:r w:rsidRPr="00A82C56">
        <w:rPr>
          <w:rFonts w:ascii="Traditional Arabic" w:hAnsi="Traditional Arabic"/>
          <w:color w:val="auto"/>
          <w:sz w:val="32"/>
          <w:szCs w:val="32"/>
          <w:rtl/>
        </w:rPr>
        <w:t>الهداية لمكي (7/4504).</w:t>
      </w:r>
    </w:p>
  </w:footnote>
  <w:footnote w:id="2146">
    <w:p w:rsidR="003F128F" w:rsidRPr="00A82C56" w:rsidRDefault="003F128F" w:rsidP="0063006E">
      <w:pPr>
        <w:pStyle w:val="af3"/>
        <w:rPr>
          <w:rFonts w:ascii="Traditional Arabic" w:hAnsi="Traditional Arabic"/>
          <w:sz w:val="32"/>
          <w:szCs w:val="32"/>
        </w:rPr>
      </w:pPr>
      <w:r w:rsidRPr="00A82C56">
        <w:rPr>
          <w:rFonts w:ascii="Traditional Arabic" w:hAnsi="Traditional Arabic"/>
          <w:sz w:val="32"/>
          <w:szCs w:val="32"/>
          <w:rtl/>
        </w:rPr>
        <w:t>(</w:t>
      </w:r>
      <w:r w:rsidRPr="00A82C56">
        <w:rPr>
          <w:rStyle w:val="ae"/>
          <w:rFonts w:ascii="Traditional Arabic" w:hAnsi="Traditional Arabic"/>
          <w:sz w:val="32"/>
          <w:szCs w:val="32"/>
          <w:vertAlign w:val="baseline"/>
        </w:rPr>
        <w:footnoteRef/>
      </w:r>
      <w:r w:rsidRPr="00A82C56">
        <w:rPr>
          <w:rFonts w:ascii="Traditional Arabic" w:hAnsi="Traditional Arabic"/>
          <w:sz w:val="32"/>
          <w:szCs w:val="32"/>
          <w:rtl/>
        </w:rPr>
        <w:t>)</w:t>
      </w:r>
      <w:r w:rsidRPr="00A82C56">
        <w:rPr>
          <w:rFonts w:ascii="Traditional Arabic" w:hAnsi="Traditional Arabic"/>
          <w:color w:val="auto"/>
          <w:sz w:val="32"/>
          <w:szCs w:val="32"/>
          <w:rtl/>
        </w:rPr>
        <w:t xml:space="preserve"> انظر: الهداية (7/4504).</w:t>
      </w:r>
      <w:r w:rsidRPr="00A82C56">
        <w:rPr>
          <w:rFonts w:ascii="Traditional Arabic" w:hAnsi="Traditional Arabic"/>
          <w:sz w:val="32"/>
          <w:szCs w:val="32"/>
          <w:rtl/>
        </w:rPr>
        <w:t xml:space="preserve"> </w:t>
      </w:r>
    </w:p>
  </w:footnote>
  <w:footnote w:id="2147">
    <w:p w:rsidR="003F128F" w:rsidRPr="00A82C56" w:rsidRDefault="003F128F" w:rsidP="0063006E">
      <w:pPr>
        <w:pStyle w:val="af3"/>
        <w:rPr>
          <w:rFonts w:ascii="Traditional Arabic" w:hAnsi="Traditional Arabic"/>
          <w:sz w:val="32"/>
          <w:szCs w:val="32"/>
        </w:rPr>
      </w:pPr>
      <w:r w:rsidRPr="00A82C56">
        <w:rPr>
          <w:rFonts w:ascii="Traditional Arabic" w:hAnsi="Traditional Arabic"/>
          <w:sz w:val="32"/>
          <w:szCs w:val="32"/>
          <w:rtl/>
        </w:rPr>
        <w:t>(</w:t>
      </w:r>
      <w:r w:rsidRPr="00A82C56">
        <w:rPr>
          <w:rStyle w:val="ae"/>
          <w:rFonts w:ascii="Traditional Arabic" w:hAnsi="Traditional Arabic"/>
          <w:sz w:val="32"/>
          <w:szCs w:val="32"/>
          <w:vertAlign w:val="baseline"/>
        </w:rPr>
        <w:footnoteRef/>
      </w:r>
      <w:r w:rsidRPr="00A82C56">
        <w:rPr>
          <w:rFonts w:ascii="Traditional Arabic" w:hAnsi="Traditional Arabic"/>
          <w:sz w:val="32"/>
          <w:szCs w:val="32"/>
          <w:rtl/>
        </w:rPr>
        <w:t>) في (ك): [أنه العمل الصالح].</w:t>
      </w:r>
    </w:p>
  </w:footnote>
  <w:footnote w:id="2148">
    <w:p w:rsidR="003F128F" w:rsidRPr="00B71BB2" w:rsidRDefault="003F128F" w:rsidP="0063006E">
      <w:pPr>
        <w:pStyle w:val="af3"/>
        <w:rPr>
          <w:rFonts w:ascii="Traditional Arabic" w:hAnsi="Traditional Arabic"/>
          <w:sz w:val="32"/>
          <w:szCs w:val="32"/>
        </w:rPr>
      </w:pPr>
      <w:r w:rsidRPr="00A82C56">
        <w:rPr>
          <w:rFonts w:ascii="Traditional Arabic" w:hAnsi="Traditional Arabic"/>
          <w:sz w:val="32"/>
          <w:szCs w:val="32"/>
          <w:rtl/>
        </w:rPr>
        <w:t>(</w:t>
      </w:r>
      <w:r w:rsidRPr="00A82C56">
        <w:rPr>
          <w:rStyle w:val="ae"/>
          <w:rFonts w:ascii="Traditional Arabic" w:hAnsi="Traditional Arabic"/>
          <w:sz w:val="32"/>
          <w:szCs w:val="32"/>
          <w:vertAlign w:val="baseline"/>
        </w:rPr>
        <w:footnoteRef/>
      </w:r>
      <w:r w:rsidRPr="00A82C56">
        <w:rPr>
          <w:rFonts w:ascii="Traditional Arabic" w:hAnsi="Traditional Arabic"/>
          <w:sz w:val="32"/>
          <w:szCs w:val="32"/>
          <w:rtl/>
        </w:rPr>
        <w:t>) انظر: تفسير الطبري (18/159), التفسير الوسيط (3/178).</w:t>
      </w:r>
    </w:p>
  </w:footnote>
  <w:footnote w:id="2149">
    <w:p w:rsidR="003F128F" w:rsidRPr="00B71BB2" w:rsidRDefault="003F128F" w:rsidP="0063006E">
      <w:pPr>
        <w:pStyle w:val="af3"/>
        <w:rPr>
          <w:rFonts w:ascii="Traditional Arabic" w:hAnsi="Traditional Arabic"/>
          <w:sz w:val="32"/>
          <w:szCs w:val="32"/>
        </w:rPr>
      </w:pPr>
      <w:r w:rsidRPr="00B71BB2">
        <w:rPr>
          <w:rFonts w:ascii="Traditional Arabic" w:hAnsi="Traditional Arabic"/>
          <w:sz w:val="32"/>
          <w:szCs w:val="32"/>
          <w:rtl/>
        </w:rPr>
        <w:t>(</w:t>
      </w:r>
      <w:r w:rsidRPr="00B71BB2">
        <w:rPr>
          <w:rStyle w:val="ae"/>
          <w:rFonts w:ascii="Traditional Arabic" w:hAnsi="Traditional Arabic"/>
          <w:sz w:val="32"/>
          <w:szCs w:val="32"/>
          <w:vertAlign w:val="baseline"/>
        </w:rPr>
        <w:footnoteRef/>
      </w:r>
      <w:r w:rsidRPr="00B71BB2">
        <w:rPr>
          <w:rFonts w:ascii="Traditional Arabic" w:hAnsi="Traditional Arabic"/>
          <w:sz w:val="32"/>
          <w:szCs w:val="32"/>
          <w:rtl/>
        </w:rPr>
        <w:t>) انظر: الكشف والبيان (6/208), معالم التنزيل (5/222).</w:t>
      </w:r>
    </w:p>
  </w:footnote>
  <w:footnote w:id="2150">
    <w:p w:rsidR="003F128F" w:rsidRPr="00B71BB2" w:rsidRDefault="003F128F" w:rsidP="0063006E">
      <w:pPr>
        <w:pStyle w:val="af3"/>
        <w:rPr>
          <w:rFonts w:ascii="Traditional Arabic" w:hAnsi="Traditional Arabic"/>
          <w:sz w:val="32"/>
          <w:szCs w:val="32"/>
        </w:rPr>
      </w:pPr>
      <w:r w:rsidRPr="00B71BB2">
        <w:rPr>
          <w:rFonts w:ascii="Traditional Arabic" w:hAnsi="Traditional Arabic"/>
          <w:sz w:val="32"/>
          <w:szCs w:val="32"/>
          <w:rtl/>
        </w:rPr>
        <w:t>(</w:t>
      </w:r>
      <w:r w:rsidRPr="00B71BB2">
        <w:rPr>
          <w:rStyle w:val="ae"/>
          <w:rFonts w:ascii="Traditional Arabic" w:hAnsi="Traditional Arabic"/>
          <w:sz w:val="32"/>
          <w:szCs w:val="32"/>
          <w:vertAlign w:val="baseline"/>
        </w:rPr>
        <w:footnoteRef/>
      </w:r>
      <w:r w:rsidRPr="00B71BB2">
        <w:rPr>
          <w:rFonts w:ascii="Traditional Arabic" w:hAnsi="Traditional Arabic"/>
          <w:sz w:val="32"/>
          <w:szCs w:val="32"/>
          <w:rtl/>
        </w:rPr>
        <w:t xml:space="preserve">) انظر: </w:t>
      </w:r>
      <w:r w:rsidRPr="00B71BB2">
        <w:rPr>
          <w:rFonts w:ascii="Traditional Arabic" w:hAnsi="Traditional Arabic"/>
          <w:color w:val="auto"/>
          <w:sz w:val="32"/>
          <w:szCs w:val="32"/>
          <w:rtl/>
        </w:rPr>
        <w:t>معاني القرآن وإعرابه (3/321).</w:t>
      </w:r>
      <w:r w:rsidRPr="00B71BB2">
        <w:rPr>
          <w:rFonts w:ascii="Traditional Arabic" w:hAnsi="Traditional Arabic"/>
          <w:sz w:val="32"/>
          <w:szCs w:val="32"/>
          <w:rtl/>
        </w:rPr>
        <w:t xml:space="preserve">   </w:t>
      </w:r>
    </w:p>
  </w:footnote>
  <w:footnote w:id="2151">
    <w:p w:rsidR="003F128F" w:rsidRPr="00B71BB2" w:rsidRDefault="003F128F" w:rsidP="0063006E">
      <w:pPr>
        <w:pStyle w:val="af3"/>
        <w:rPr>
          <w:rFonts w:ascii="Traditional Arabic" w:hAnsi="Traditional Arabic"/>
          <w:sz w:val="32"/>
          <w:szCs w:val="32"/>
        </w:rPr>
      </w:pPr>
      <w:r w:rsidRPr="00B71BB2">
        <w:rPr>
          <w:rFonts w:ascii="Traditional Arabic" w:hAnsi="Traditional Arabic"/>
          <w:sz w:val="32"/>
          <w:szCs w:val="32"/>
          <w:rtl/>
        </w:rPr>
        <w:t>(</w:t>
      </w:r>
      <w:r w:rsidRPr="00B71BB2">
        <w:rPr>
          <w:rStyle w:val="ae"/>
          <w:rFonts w:ascii="Traditional Arabic" w:hAnsi="Traditional Arabic"/>
          <w:sz w:val="32"/>
          <w:szCs w:val="32"/>
          <w:vertAlign w:val="baseline"/>
        </w:rPr>
        <w:footnoteRef/>
      </w:r>
      <w:r w:rsidRPr="00B71BB2">
        <w:rPr>
          <w:rFonts w:ascii="Traditional Arabic" w:hAnsi="Traditional Arabic"/>
          <w:sz w:val="32"/>
          <w:szCs w:val="32"/>
          <w:rtl/>
        </w:rPr>
        <w:t>) انظر:</w:t>
      </w:r>
      <w:r>
        <w:rPr>
          <w:rFonts w:ascii="Traditional Arabic" w:hAnsi="Traditional Arabic" w:hint="cs"/>
          <w:sz w:val="32"/>
          <w:szCs w:val="32"/>
          <w:rtl/>
        </w:rPr>
        <w:t xml:space="preserve"> البحر المحيط (7/246),</w:t>
      </w:r>
      <w:r w:rsidRPr="00B71BB2">
        <w:rPr>
          <w:rFonts w:ascii="Traditional Arabic" w:hAnsi="Traditional Arabic"/>
          <w:sz w:val="32"/>
          <w:szCs w:val="32"/>
          <w:rtl/>
        </w:rPr>
        <w:t xml:space="preserve"> رموز الكنوز (4/399).  </w:t>
      </w:r>
    </w:p>
  </w:footnote>
  <w:footnote w:id="2152">
    <w:p w:rsidR="003F128F" w:rsidRPr="00B71BB2" w:rsidRDefault="003F128F" w:rsidP="0063006E">
      <w:pPr>
        <w:pStyle w:val="af3"/>
        <w:rPr>
          <w:rFonts w:ascii="Traditional Arabic" w:hAnsi="Traditional Arabic"/>
          <w:sz w:val="32"/>
          <w:szCs w:val="32"/>
        </w:rPr>
      </w:pPr>
      <w:r w:rsidRPr="00B71BB2">
        <w:rPr>
          <w:rFonts w:ascii="Traditional Arabic" w:hAnsi="Traditional Arabic"/>
          <w:sz w:val="32"/>
          <w:szCs w:val="32"/>
          <w:rtl/>
        </w:rPr>
        <w:t>(</w:t>
      </w:r>
      <w:r w:rsidRPr="00B71BB2">
        <w:rPr>
          <w:rStyle w:val="ae"/>
          <w:rFonts w:ascii="Traditional Arabic" w:hAnsi="Traditional Arabic"/>
          <w:sz w:val="32"/>
          <w:szCs w:val="32"/>
          <w:vertAlign w:val="baseline"/>
        </w:rPr>
        <w:footnoteRef/>
      </w:r>
      <w:r w:rsidRPr="00B71BB2">
        <w:rPr>
          <w:rFonts w:ascii="Traditional Arabic" w:hAnsi="Traditional Arabic"/>
          <w:sz w:val="32"/>
          <w:szCs w:val="32"/>
          <w:rtl/>
        </w:rPr>
        <w:t xml:space="preserve">) انظر: التفسير الوسيط (3/178). </w:t>
      </w:r>
    </w:p>
  </w:footnote>
  <w:footnote w:id="2153">
    <w:p w:rsidR="003F128F" w:rsidRPr="00B71BB2" w:rsidRDefault="003F128F" w:rsidP="0063006E">
      <w:pPr>
        <w:pStyle w:val="af3"/>
        <w:rPr>
          <w:rFonts w:ascii="Traditional Arabic" w:hAnsi="Traditional Arabic"/>
          <w:sz w:val="32"/>
          <w:szCs w:val="32"/>
        </w:rPr>
      </w:pPr>
      <w:r w:rsidRPr="00B71BB2">
        <w:rPr>
          <w:rFonts w:ascii="Traditional Arabic" w:hAnsi="Traditional Arabic"/>
          <w:sz w:val="32"/>
          <w:szCs w:val="32"/>
          <w:rtl/>
        </w:rPr>
        <w:t>(</w:t>
      </w:r>
      <w:r w:rsidRPr="00B71BB2">
        <w:rPr>
          <w:rStyle w:val="ae"/>
          <w:rFonts w:ascii="Traditional Arabic" w:hAnsi="Traditional Arabic"/>
          <w:sz w:val="32"/>
          <w:szCs w:val="32"/>
          <w:vertAlign w:val="baseline"/>
        </w:rPr>
        <w:footnoteRef/>
      </w:r>
      <w:r w:rsidRPr="00B71BB2">
        <w:rPr>
          <w:rFonts w:ascii="Traditional Arabic" w:hAnsi="Traditional Arabic"/>
          <w:sz w:val="32"/>
          <w:szCs w:val="32"/>
          <w:rtl/>
        </w:rPr>
        <w:t>) سورة هود, الآية: (59)</w:t>
      </w:r>
      <w:r w:rsidRPr="00B71BB2">
        <w:rPr>
          <w:rFonts w:ascii="Traditional Arabic" w:hAnsi="Traditional Arabic"/>
          <w:color w:val="auto"/>
          <w:sz w:val="32"/>
          <w:szCs w:val="32"/>
          <w:rtl/>
        </w:rPr>
        <w:t>. انظر: زاد المسير (4/120).</w:t>
      </w:r>
      <w:r w:rsidRPr="00B71BB2">
        <w:rPr>
          <w:rFonts w:ascii="Traditional Arabic" w:hAnsi="Traditional Arabic"/>
          <w:sz w:val="32"/>
          <w:szCs w:val="32"/>
          <w:rtl/>
        </w:rPr>
        <w:t xml:space="preserve"> </w:t>
      </w:r>
    </w:p>
  </w:footnote>
  <w:footnote w:id="2154">
    <w:p w:rsidR="003F128F" w:rsidRPr="00B71BB2" w:rsidRDefault="003F128F" w:rsidP="0063006E">
      <w:pPr>
        <w:pStyle w:val="af3"/>
        <w:rPr>
          <w:rFonts w:ascii="Traditional Arabic" w:hAnsi="Traditional Arabic"/>
          <w:sz w:val="32"/>
          <w:szCs w:val="32"/>
        </w:rPr>
      </w:pPr>
      <w:r w:rsidRPr="00B71BB2">
        <w:rPr>
          <w:rFonts w:ascii="Traditional Arabic" w:hAnsi="Traditional Arabic"/>
          <w:sz w:val="32"/>
          <w:szCs w:val="32"/>
          <w:rtl/>
        </w:rPr>
        <w:t>(</w:t>
      </w:r>
      <w:r w:rsidRPr="00B71BB2">
        <w:rPr>
          <w:rStyle w:val="ae"/>
          <w:rFonts w:ascii="Traditional Arabic" w:hAnsi="Traditional Arabic"/>
          <w:sz w:val="32"/>
          <w:szCs w:val="32"/>
          <w:vertAlign w:val="baseline"/>
        </w:rPr>
        <w:footnoteRef/>
      </w:r>
      <w:r w:rsidRPr="00B71BB2">
        <w:rPr>
          <w:rFonts w:ascii="Traditional Arabic" w:hAnsi="Traditional Arabic"/>
          <w:sz w:val="32"/>
          <w:szCs w:val="32"/>
          <w:rtl/>
        </w:rPr>
        <w:t>) انظر: التفسير الوسيط (3/179).</w:t>
      </w:r>
    </w:p>
  </w:footnote>
  <w:footnote w:id="2155">
    <w:p w:rsidR="003F128F" w:rsidRPr="00B71BB2" w:rsidRDefault="003F128F" w:rsidP="0063006E">
      <w:pPr>
        <w:pStyle w:val="af3"/>
        <w:rPr>
          <w:rFonts w:ascii="Traditional Arabic" w:hAnsi="Traditional Arabic"/>
          <w:sz w:val="32"/>
          <w:szCs w:val="32"/>
        </w:rPr>
      </w:pPr>
      <w:r w:rsidRPr="00B71BB2">
        <w:rPr>
          <w:rFonts w:ascii="Traditional Arabic" w:hAnsi="Traditional Arabic"/>
          <w:sz w:val="32"/>
          <w:szCs w:val="32"/>
          <w:rtl/>
        </w:rPr>
        <w:t>(</w:t>
      </w:r>
      <w:r w:rsidRPr="00B71BB2">
        <w:rPr>
          <w:rStyle w:val="ae"/>
          <w:rFonts w:ascii="Traditional Arabic" w:hAnsi="Traditional Arabic"/>
          <w:sz w:val="32"/>
          <w:szCs w:val="32"/>
          <w:vertAlign w:val="baseline"/>
        </w:rPr>
        <w:footnoteRef/>
      </w:r>
      <w:r w:rsidRPr="00B71BB2">
        <w:rPr>
          <w:rFonts w:ascii="Traditional Arabic" w:hAnsi="Traditional Arabic"/>
          <w:sz w:val="32"/>
          <w:szCs w:val="32"/>
          <w:rtl/>
        </w:rPr>
        <w:t xml:space="preserve">) انظر: المصدر السابق (3/179). </w:t>
      </w:r>
    </w:p>
  </w:footnote>
  <w:footnote w:id="2156">
    <w:p w:rsidR="003F128F" w:rsidRPr="00F74B7A" w:rsidRDefault="003F128F" w:rsidP="0063006E">
      <w:pPr>
        <w:pStyle w:val="af3"/>
        <w:rPr>
          <w:rFonts w:ascii="Traditional Arabic" w:hAnsi="Traditional Arabic"/>
          <w:sz w:val="32"/>
          <w:szCs w:val="32"/>
        </w:rPr>
      </w:pPr>
      <w:r w:rsidRPr="00F74B7A">
        <w:rPr>
          <w:rFonts w:ascii="Traditional Arabic" w:hAnsi="Traditional Arabic"/>
          <w:sz w:val="32"/>
          <w:szCs w:val="32"/>
          <w:rtl/>
        </w:rPr>
        <w:t>(</w:t>
      </w:r>
      <w:r w:rsidRPr="00F74B7A">
        <w:rPr>
          <w:rStyle w:val="ae"/>
          <w:rFonts w:ascii="Traditional Arabic" w:hAnsi="Traditional Arabic"/>
          <w:sz w:val="32"/>
          <w:szCs w:val="32"/>
          <w:vertAlign w:val="baseline"/>
        </w:rPr>
        <w:footnoteRef/>
      </w:r>
      <w:r w:rsidRPr="00F74B7A">
        <w:rPr>
          <w:rFonts w:ascii="Traditional Arabic" w:hAnsi="Traditional Arabic"/>
          <w:sz w:val="32"/>
          <w:szCs w:val="32"/>
          <w:rtl/>
        </w:rPr>
        <w:t xml:space="preserve">) في (ك): [التسليم عنه]. </w:t>
      </w:r>
    </w:p>
  </w:footnote>
  <w:footnote w:id="2157">
    <w:p w:rsidR="003F128F" w:rsidRPr="00F74B7A" w:rsidRDefault="003F128F" w:rsidP="0063006E">
      <w:pPr>
        <w:pStyle w:val="af3"/>
        <w:rPr>
          <w:rFonts w:ascii="Tahoma" w:hAnsi="Tahoma"/>
        </w:rPr>
      </w:pPr>
      <w:r w:rsidRPr="00F74B7A">
        <w:rPr>
          <w:rFonts w:ascii="Tahoma" w:hAnsi="Tahoma"/>
          <w:rtl/>
        </w:rPr>
        <w:t>(</w:t>
      </w:r>
      <w:r w:rsidRPr="00F74B7A">
        <w:rPr>
          <w:rStyle w:val="ae"/>
          <w:rFonts w:ascii="Tahoma" w:hAnsi="Tahoma"/>
          <w:vertAlign w:val="baseline"/>
        </w:rPr>
        <w:footnoteRef/>
      </w:r>
      <w:r w:rsidRPr="00F74B7A">
        <w:rPr>
          <w:rFonts w:ascii="Tahoma" w:hAnsi="Tahoma"/>
          <w:rtl/>
        </w:rPr>
        <w:t>)</w:t>
      </w:r>
      <w:r>
        <w:rPr>
          <w:rFonts w:ascii="Traditional Arabic" w:hAnsi="Traditional Arabic" w:hint="cs"/>
          <w:sz w:val="32"/>
          <w:szCs w:val="32"/>
          <w:rtl/>
        </w:rPr>
        <w:t xml:space="preserve"> </w:t>
      </w:r>
      <w:r w:rsidRPr="00F74B7A">
        <w:rPr>
          <w:rFonts w:ascii="Traditional Arabic" w:hAnsi="Traditional Arabic"/>
          <w:sz w:val="32"/>
          <w:szCs w:val="32"/>
          <w:rtl/>
        </w:rPr>
        <w:t>في (ك): [</w:t>
      </w:r>
      <w:r w:rsidRPr="00F74B7A">
        <w:rPr>
          <w:rFonts w:ascii="QCF_BSML" w:hAnsi="QCF_BSML" w:cs="QCF_BSML"/>
          <w:rtl/>
          <w:lang w:eastAsia="en-US"/>
        </w:rPr>
        <w:t xml:space="preserve">ﭽ </w:t>
      </w:r>
      <w:r w:rsidRPr="00F74B7A">
        <w:rPr>
          <w:rFonts w:ascii="QCF_P107" w:hAnsi="QCF_P107" w:cs="QCF_P107"/>
          <w:rtl/>
          <w:lang w:eastAsia="en-US"/>
        </w:rPr>
        <w:t xml:space="preserve">ﭻ  ﭼ  ﭽ  ﭾ  </w:t>
      </w:r>
      <w:r w:rsidRPr="00F74B7A">
        <w:rPr>
          <w:rFonts w:ascii="QCF_BSML" w:hAnsi="QCF_BSML" w:cs="QCF_BSML"/>
          <w:rtl/>
          <w:lang w:eastAsia="en-US"/>
        </w:rPr>
        <w:t>ﭼ</w:t>
      </w:r>
      <w:r>
        <w:rPr>
          <w:rFonts w:ascii="Tahoma" w:hAnsi="Tahoma" w:hint="cs"/>
          <w:rtl/>
        </w:rPr>
        <w:t>].</w:t>
      </w:r>
      <w:r>
        <w:rPr>
          <w:rFonts w:ascii="Tahoma" w:hAnsi="Tahoma"/>
          <w:rtl/>
        </w:rPr>
        <w:t xml:space="preserve"> </w:t>
      </w:r>
    </w:p>
  </w:footnote>
  <w:footnote w:id="2158">
    <w:p w:rsidR="003F128F" w:rsidRPr="00B71BB2" w:rsidRDefault="003F128F" w:rsidP="0063006E">
      <w:pPr>
        <w:pStyle w:val="af3"/>
        <w:rPr>
          <w:rFonts w:ascii="Traditional Arabic" w:hAnsi="Traditional Arabic"/>
          <w:sz w:val="32"/>
          <w:szCs w:val="32"/>
        </w:rPr>
      </w:pPr>
      <w:r w:rsidRPr="00B71BB2">
        <w:rPr>
          <w:rFonts w:ascii="Traditional Arabic" w:hAnsi="Traditional Arabic"/>
          <w:sz w:val="32"/>
          <w:szCs w:val="32"/>
          <w:rtl/>
        </w:rPr>
        <w:t>(</w:t>
      </w:r>
      <w:r w:rsidRPr="00B71BB2">
        <w:rPr>
          <w:rStyle w:val="ae"/>
          <w:rFonts w:ascii="Traditional Arabic" w:hAnsi="Traditional Arabic"/>
          <w:sz w:val="32"/>
          <w:szCs w:val="32"/>
          <w:vertAlign w:val="baseline"/>
        </w:rPr>
        <w:footnoteRef/>
      </w:r>
      <w:r w:rsidRPr="00B71BB2">
        <w:rPr>
          <w:rFonts w:ascii="Traditional Arabic" w:hAnsi="Traditional Arabic"/>
          <w:sz w:val="32"/>
          <w:szCs w:val="32"/>
          <w:rtl/>
        </w:rPr>
        <w:t xml:space="preserve">) </w:t>
      </w:r>
      <w:r w:rsidRPr="00B71BB2">
        <w:rPr>
          <w:rFonts w:ascii="Traditional Arabic" w:hAnsi="Traditional Arabic"/>
          <w:color w:val="auto"/>
          <w:sz w:val="32"/>
          <w:szCs w:val="32"/>
          <w:rtl/>
        </w:rPr>
        <w:t>انظر: زاد المسير (2/287).</w:t>
      </w:r>
      <w:r w:rsidRPr="00B71BB2">
        <w:rPr>
          <w:rFonts w:ascii="Traditional Arabic" w:hAnsi="Traditional Arabic"/>
          <w:sz w:val="32"/>
          <w:szCs w:val="32"/>
          <w:rtl/>
        </w:rPr>
        <w:t xml:space="preserve">  </w:t>
      </w:r>
    </w:p>
  </w:footnote>
  <w:footnote w:id="2159">
    <w:p w:rsidR="003F128F" w:rsidRPr="00E84EE3" w:rsidRDefault="003F128F" w:rsidP="0063006E">
      <w:pPr>
        <w:pStyle w:val="af3"/>
        <w:rPr>
          <w:rFonts w:ascii="Tahoma" w:hAnsi="Tahoma"/>
        </w:rPr>
      </w:pPr>
      <w:r w:rsidRPr="00B71BB2">
        <w:rPr>
          <w:rFonts w:ascii="Traditional Arabic" w:hAnsi="Traditional Arabic"/>
          <w:sz w:val="32"/>
          <w:szCs w:val="32"/>
          <w:rtl/>
        </w:rPr>
        <w:t>(</w:t>
      </w:r>
      <w:r w:rsidRPr="00B71BB2">
        <w:rPr>
          <w:rStyle w:val="ae"/>
          <w:rFonts w:ascii="Traditional Arabic" w:hAnsi="Traditional Arabic"/>
          <w:sz w:val="32"/>
          <w:szCs w:val="32"/>
          <w:vertAlign w:val="baseline"/>
        </w:rPr>
        <w:footnoteRef/>
      </w:r>
      <w:r w:rsidRPr="00B71BB2">
        <w:rPr>
          <w:rFonts w:ascii="Traditional Arabic" w:hAnsi="Traditional Arabic"/>
          <w:sz w:val="32"/>
          <w:szCs w:val="32"/>
          <w:rtl/>
        </w:rPr>
        <w:t>) التفسير البسيط (14/211).</w:t>
      </w:r>
    </w:p>
  </w:footnote>
  <w:footnote w:id="2160">
    <w:p w:rsidR="003F128F" w:rsidRPr="00951537" w:rsidRDefault="003F128F" w:rsidP="0063006E">
      <w:pPr>
        <w:pStyle w:val="af3"/>
        <w:rPr>
          <w:rFonts w:ascii="Traditional Arabic" w:hAnsi="Traditional Arabic"/>
          <w:color w:val="auto"/>
          <w:sz w:val="32"/>
          <w:szCs w:val="32"/>
        </w:rPr>
      </w:pPr>
      <w:r w:rsidRPr="00951537">
        <w:rPr>
          <w:rFonts w:ascii="Traditional Arabic" w:hAnsi="Traditional Arabic"/>
          <w:color w:val="auto"/>
          <w:sz w:val="32"/>
          <w:szCs w:val="32"/>
          <w:rtl/>
        </w:rPr>
        <w:t>(</w:t>
      </w:r>
      <w:r w:rsidRPr="00951537">
        <w:rPr>
          <w:rStyle w:val="ae"/>
          <w:rFonts w:ascii="Traditional Arabic" w:hAnsi="Traditional Arabic"/>
          <w:color w:val="auto"/>
          <w:sz w:val="32"/>
          <w:szCs w:val="32"/>
          <w:vertAlign w:val="baseline"/>
        </w:rPr>
        <w:footnoteRef/>
      </w:r>
      <w:r w:rsidRPr="00951537">
        <w:rPr>
          <w:rFonts w:ascii="Traditional Arabic" w:hAnsi="Traditional Arabic"/>
          <w:color w:val="auto"/>
          <w:sz w:val="32"/>
          <w:szCs w:val="32"/>
          <w:rtl/>
        </w:rPr>
        <w:t>) انظر: تفسير يحيى بن سلام (1/217), تفسير الطبري (18/159)</w:t>
      </w:r>
      <w:r>
        <w:rPr>
          <w:rFonts w:ascii="Traditional Arabic" w:hAnsi="Traditional Arabic" w:hint="cs"/>
          <w:color w:val="auto"/>
          <w:sz w:val="32"/>
          <w:szCs w:val="32"/>
          <w:rtl/>
        </w:rPr>
        <w:t>.</w:t>
      </w:r>
    </w:p>
  </w:footnote>
  <w:footnote w:id="2161">
    <w:p w:rsidR="003F128F" w:rsidRPr="00951537" w:rsidRDefault="003F128F" w:rsidP="0063006E">
      <w:pPr>
        <w:pStyle w:val="af3"/>
        <w:rPr>
          <w:rFonts w:ascii="Traditional Arabic" w:hAnsi="Traditional Arabic"/>
          <w:color w:val="auto"/>
          <w:sz w:val="32"/>
          <w:szCs w:val="32"/>
        </w:rPr>
      </w:pPr>
      <w:r w:rsidRPr="00951537">
        <w:rPr>
          <w:rFonts w:ascii="Traditional Arabic" w:hAnsi="Traditional Arabic"/>
          <w:color w:val="auto"/>
          <w:sz w:val="32"/>
          <w:szCs w:val="32"/>
          <w:rtl/>
        </w:rPr>
        <w:t>(</w:t>
      </w:r>
      <w:r w:rsidRPr="00951537">
        <w:rPr>
          <w:rStyle w:val="ae"/>
          <w:rFonts w:ascii="Traditional Arabic" w:hAnsi="Traditional Arabic"/>
          <w:color w:val="auto"/>
          <w:sz w:val="32"/>
          <w:szCs w:val="32"/>
          <w:vertAlign w:val="baseline"/>
        </w:rPr>
        <w:footnoteRef/>
      </w:r>
      <w:r w:rsidRPr="00951537">
        <w:rPr>
          <w:rFonts w:ascii="Traditional Arabic" w:hAnsi="Traditional Arabic"/>
          <w:color w:val="auto"/>
          <w:sz w:val="32"/>
          <w:szCs w:val="32"/>
          <w:rtl/>
        </w:rPr>
        <w:t>) لم قف عليه فيما لدي من مصادر.</w:t>
      </w:r>
    </w:p>
  </w:footnote>
  <w:footnote w:id="2162">
    <w:p w:rsidR="003F128F" w:rsidRPr="00951537" w:rsidRDefault="003F128F" w:rsidP="0063006E">
      <w:pPr>
        <w:pStyle w:val="af3"/>
        <w:rPr>
          <w:rFonts w:ascii="Traditional Arabic" w:hAnsi="Traditional Arabic"/>
          <w:color w:val="auto"/>
          <w:sz w:val="32"/>
          <w:szCs w:val="32"/>
        </w:rPr>
      </w:pPr>
      <w:r w:rsidRPr="00951537">
        <w:rPr>
          <w:rFonts w:ascii="Traditional Arabic" w:hAnsi="Traditional Arabic"/>
          <w:color w:val="auto"/>
          <w:sz w:val="32"/>
          <w:szCs w:val="32"/>
          <w:rtl/>
        </w:rPr>
        <w:t>(</w:t>
      </w:r>
      <w:r w:rsidRPr="00951537">
        <w:rPr>
          <w:rStyle w:val="ae"/>
          <w:rFonts w:ascii="Traditional Arabic" w:hAnsi="Traditional Arabic"/>
          <w:color w:val="auto"/>
          <w:sz w:val="32"/>
          <w:szCs w:val="32"/>
          <w:vertAlign w:val="baseline"/>
        </w:rPr>
        <w:footnoteRef/>
      </w:r>
      <w:r>
        <w:rPr>
          <w:rFonts w:ascii="Traditional Arabic" w:hAnsi="Traditional Arabic"/>
          <w:color w:val="auto"/>
          <w:sz w:val="32"/>
          <w:szCs w:val="32"/>
          <w:rtl/>
        </w:rPr>
        <w:t>) هو ال</w:t>
      </w:r>
      <w:r>
        <w:rPr>
          <w:rFonts w:ascii="Traditional Arabic" w:hAnsi="Traditional Arabic" w:hint="cs"/>
          <w:color w:val="auto"/>
          <w:sz w:val="32"/>
          <w:szCs w:val="32"/>
          <w:rtl/>
        </w:rPr>
        <w:t>إ</w:t>
      </w:r>
      <w:r w:rsidRPr="00951537">
        <w:rPr>
          <w:rFonts w:ascii="Traditional Arabic" w:hAnsi="Traditional Arabic"/>
          <w:color w:val="auto"/>
          <w:sz w:val="32"/>
          <w:szCs w:val="32"/>
          <w:rtl/>
        </w:rPr>
        <w:t>مام أبو محمد</w:t>
      </w:r>
      <w:r>
        <w:rPr>
          <w:rFonts w:ascii="Traditional Arabic" w:hAnsi="Traditional Arabic" w:hint="cs"/>
          <w:color w:val="auto"/>
          <w:sz w:val="32"/>
          <w:szCs w:val="32"/>
          <w:rtl/>
        </w:rPr>
        <w:t>,</w:t>
      </w:r>
      <w:r w:rsidRPr="00951537">
        <w:rPr>
          <w:rFonts w:ascii="Traditional Arabic" w:hAnsi="Traditional Arabic"/>
          <w:color w:val="auto"/>
          <w:sz w:val="32"/>
          <w:szCs w:val="32"/>
          <w:rtl/>
        </w:rPr>
        <w:t xml:space="preserve"> سفيان بن عُيَيْنَةَ بن أبي عمران ميمون الهلالي, الكوفي, العالم</w:t>
      </w:r>
      <w:r>
        <w:rPr>
          <w:rFonts w:ascii="Traditional Arabic" w:hAnsi="Traditional Arabic" w:hint="cs"/>
          <w:color w:val="auto"/>
          <w:sz w:val="32"/>
          <w:szCs w:val="32"/>
          <w:rtl/>
        </w:rPr>
        <w:t>,</w:t>
      </w:r>
      <w:r w:rsidRPr="00951537">
        <w:rPr>
          <w:rFonts w:ascii="Traditional Arabic" w:hAnsi="Traditional Arabic"/>
          <w:color w:val="auto"/>
          <w:sz w:val="32"/>
          <w:szCs w:val="32"/>
          <w:rtl/>
        </w:rPr>
        <w:t xml:space="preserve"> المحدث, كان ثبتاً, حجة</w:t>
      </w:r>
      <w:r>
        <w:rPr>
          <w:rFonts w:ascii="Traditional Arabic" w:hAnsi="Traditional Arabic" w:hint="cs"/>
          <w:color w:val="auto"/>
          <w:sz w:val="32"/>
          <w:szCs w:val="32"/>
          <w:rtl/>
        </w:rPr>
        <w:t>ً,</w:t>
      </w:r>
      <w:r w:rsidRPr="00951537">
        <w:rPr>
          <w:rFonts w:ascii="Traditional Arabic" w:hAnsi="Traditional Arabic"/>
          <w:color w:val="auto"/>
          <w:sz w:val="32"/>
          <w:szCs w:val="32"/>
          <w:rtl/>
        </w:rPr>
        <w:t xml:space="preserve"> زاهداً</w:t>
      </w:r>
      <w:r>
        <w:rPr>
          <w:rFonts w:ascii="Traditional Arabic" w:hAnsi="Traditional Arabic" w:hint="cs"/>
          <w:color w:val="auto"/>
          <w:sz w:val="32"/>
          <w:szCs w:val="32"/>
          <w:rtl/>
        </w:rPr>
        <w:t>,</w:t>
      </w:r>
      <w:r w:rsidRPr="00951537">
        <w:rPr>
          <w:rFonts w:ascii="Traditional Arabic" w:hAnsi="Traditional Arabic"/>
          <w:color w:val="auto"/>
          <w:sz w:val="32"/>
          <w:szCs w:val="32"/>
          <w:rtl/>
        </w:rPr>
        <w:t xml:space="preserve"> ورعاً, جمع وصنف، وازدحم الخَلْقُ عليه، (ت198هـ). انظر: وفيات الأعيان (2/391), تهذيب الكمال (11/178), سير أعلام النبلاء (8/454).</w:t>
      </w:r>
    </w:p>
  </w:footnote>
  <w:footnote w:id="2163">
    <w:p w:rsidR="003F128F" w:rsidRPr="004757A2" w:rsidRDefault="003F128F" w:rsidP="0063006E">
      <w:pPr>
        <w:pStyle w:val="af3"/>
        <w:rPr>
          <w:rFonts w:ascii="Traditional Arabic" w:hAnsi="Traditional Arabic"/>
          <w:sz w:val="32"/>
          <w:szCs w:val="32"/>
        </w:rPr>
      </w:pPr>
      <w:r w:rsidRPr="004757A2">
        <w:rPr>
          <w:rFonts w:ascii="Traditional Arabic" w:hAnsi="Traditional Arabic"/>
          <w:sz w:val="32"/>
          <w:szCs w:val="32"/>
          <w:rtl/>
        </w:rPr>
        <w:t>(</w:t>
      </w:r>
      <w:r w:rsidRPr="004757A2">
        <w:rPr>
          <w:rStyle w:val="ae"/>
          <w:rFonts w:ascii="Traditional Arabic" w:hAnsi="Traditional Arabic"/>
          <w:sz w:val="32"/>
          <w:szCs w:val="32"/>
          <w:vertAlign w:val="baseline"/>
        </w:rPr>
        <w:footnoteRef/>
      </w:r>
      <w:r w:rsidRPr="004757A2">
        <w:rPr>
          <w:rFonts w:ascii="Traditional Arabic" w:hAnsi="Traditional Arabic"/>
          <w:sz w:val="32"/>
          <w:szCs w:val="32"/>
          <w:rtl/>
        </w:rPr>
        <w:t xml:space="preserve">) في (ك): [يوم ولد]. </w:t>
      </w:r>
    </w:p>
  </w:footnote>
  <w:footnote w:id="2164">
    <w:p w:rsidR="003F128F" w:rsidRPr="00951537" w:rsidRDefault="003F128F" w:rsidP="0063006E">
      <w:pPr>
        <w:pStyle w:val="af3"/>
        <w:rPr>
          <w:rFonts w:ascii="Traditional Arabic" w:hAnsi="Traditional Arabic"/>
          <w:color w:val="auto"/>
          <w:sz w:val="32"/>
          <w:szCs w:val="32"/>
        </w:rPr>
      </w:pPr>
      <w:r w:rsidRPr="00951537">
        <w:rPr>
          <w:rFonts w:ascii="Traditional Arabic" w:hAnsi="Traditional Arabic"/>
          <w:color w:val="auto"/>
          <w:sz w:val="32"/>
          <w:szCs w:val="32"/>
          <w:rtl/>
        </w:rPr>
        <w:t>(</w:t>
      </w:r>
      <w:r w:rsidRPr="00951537">
        <w:rPr>
          <w:rStyle w:val="ae"/>
          <w:rFonts w:ascii="Traditional Arabic" w:hAnsi="Traditional Arabic"/>
          <w:color w:val="auto"/>
          <w:sz w:val="32"/>
          <w:szCs w:val="32"/>
          <w:vertAlign w:val="baseline"/>
        </w:rPr>
        <w:footnoteRef/>
      </w:r>
      <w:r w:rsidRPr="00951537">
        <w:rPr>
          <w:rFonts w:ascii="Traditional Arabic" w:hAnsi="Traditional Arabic"/>
          <w:color w:val="auto"/>
          <w:sz w:val="32"/>
          <w:szCs w:val="32"/>
          <w:rtl/>
        </w:rPr>
        <w:t>) انظر: الهداية (7/4506), التفسير الوسيط (3/179)</w:t>
      </w:r>
      <w:r>
        <w:rPr>
          <w:rFonts w:ascii="Traditional Arabic" w:hAnsi="Traditional Arabic" w:hint="cs"/>
          <w:color w:val="auto"/>
          <w:sz w:val="32"/>
          <w:szCs w:val="32"/>
          <w:rtl/>
        </w:rPr>
        <w:t>.</w:t>
      </w:r>
    </w:p>
  </w:footnote>
  <w:footnote w:id="2165">
    <w:p w:rsidR="003F128F" w:rsidRPr="00951537" w:rsidRDefault="003F128F" w:rsidP="0063006E">
      <w:pPr>
        <w:pStyle w:val="af3"/>
        <w:rPr>
          <w:rFonts w:ascii="Traditional Arabic" w:hAnsi="Traditional Arabic"/>
          <w:color w:val="auto"/>
          <w:sz w:val="32"/>
          <w:szCs w:val="32"/>
        </w:rPr>
      </w:pPr>
      <w:r w:rsidRPr="00951537">
        <w:rPr>
          <w:rFonts w:ascii="Traditional Arabic" w:hAnsi="Traditional Arabic"/>
          <w:color w:val="auto"/>
          <w:sz w:val="32"/>
          <w:szCs w:val="32"/>
          <w:rtl/>
        </w:rPr>
        <w:t>(</w:t>
      </w:r>
      <w:r w:rsidRPr="00951537">
        <w:rPr>
          <w:rStyle w:val="ae"/>
          <w:rFonts w:ascii="Traditional Arabic" w:hAnsi="Traditional Arabic"/>
          <w:color w:val="auto"/>
          <w:sz w:val="32"/>
          <w:szCs w:val="32"/>
          <w:vertAlign w:val="baseline"/>
        </w:rPr>
        <w:footnoteRef/>
      </w:r>
      <w:r w:rsidRPr="00951537">
        <w:rPr>
          <w:rFonts w:ascii="Traditional Arabic" w:hAnsi="Traditional Arabic"/>
          <w:color w:val="auto"/>
          <w:sz w:val="32"/>
          <w:szCs w:val="32"/>
          <w:rtl/>
        </w:rPr>
        <w:t>) انظر: مجاز القرآن (2/3).</w:t>
      </w:r>
      <w:r>
        <w:rPr>
          <w:rFonts w:ascii="Traditional Arabic" w:hAnsi="Traditional Arabic" w:hint="cs"/>
          <w:color w:val="auto"/>
          <w:sz w:val="32"/>
          <w:szCs w:val="32"/>
          <w:rtl/>
        </w:rPr>
        <w:t xml:space="preserve"> قال أهل التفسير: </w:t>
      </w:r>
      <w:r w:rsidRPr="008B347E">
        <w:rPr>
          <w:rFonts w:ascii="QCF_BSML" w:hAnsi="QCF_BSML" w:cs="QCF_BSML"/>
          <w:color w:val="auto"/>
          <w:rtl/>
          <w:lang w:eastAsia="en-US"/>
        </w:rPr>
        <w:t>ﭽ</w:t>
      </w:r>
      <w:r w:rsidRPr="008B347E">
        <w:rPr>
          <w:rFonts w:ascii="QCF_P306" w:hAnsi="QCF_P306" w:cs="QCF_P306" w:hint="cs"/>
          <w:color w:val="auto"/>
          <w:rtl/>
          <w:lang w:eastAsia="en-US"/>
        </w:rPr>
        <w:t xml:space="preserve"> </w:t>
      </w:r>
      <w:r w:rsidRPr="008B347E">
        <w:rPr>
          <w:rFonts w:ascii="QCF_P306" w:hAnsi="QCF_P306" w:cs="QCF_P306"/>
          <w:color w:val="auto"/>
          <w:rtl/>
          <w:lang w:eastAsia="en-US"/>
        </w:rPr>
        <w:t>ﭻ  ﭼ</w:t>
      </w:r>
      <w:r w:rsidRPr="008B347E">
        <w:rPr>
          <w:rFonts w:ascii="QCF_BSML" w:hAnsi="QCF_BSML" w:cs="QCF_BSML"/>
          <w:color w:val="auto"/>
          <w:rtl/>
          <w:lang w:eastAsia="en-US"/>
        </w:rPr>
        <w:t xml:space="preserve"> ﭼ</w:t>
      </w:r>
      <w:r w:rsidRPr="00E84EE3">
        <w:rPr>
          <w:rFonts w:ascii="QCF_P306" w:hAnsi="QCF_P306" w:cs="QCF_P306"/>
          <w:color w:val="auto"/>
          <w:sz w:val="32"/>
          <w:szCs w:val="32"/>
          <w:rtl/>
          <w:lang w:eastAsia="en-US"/>
        </w:rPr>
        <w:t xml:space="preserve">  </w:t>
      </w:r>
      <w:r w:rsidRPr="008B347E">
        <w:rPr>
          <w:rFonts w:ascii="Traditional Arabic" w:hAnsi="Traditional Arabic" w:hint="cs"/>
          <w:rtl/>
        </w:rPr>
        <w:t xml:space="preserve"> </w:t>
      </w:r>
      <w:r>
        <w:rPr>
          <w:rFonts w:ascii="Traditional Arabic" w:hAnsi="Traditional Arabic"/>
          <w:color w:val="auto"/>
          <w:sz w:val="32"/>
          <w:szCs w:val="32"/>
          <w:rtl/>
        </w:rPr>
        <w:t>يعني مشرقة، وه</w:t>
      </w:r>
      <w:r>
        <w:rPr>
          <w:rFonts w:ascii="Traditional Arabic" w:hAnsi="Traditional Arabic" w:hint="cs"/>
          <w:color w:val="auto"/>
          <w:sz w:val="32"/>
          <w:szCs w:val="32"/>
          <w:rtl/>
        </w:rPr>
        <w:t>و</w:t>
      </w:r>
      <w:r w:rsidRPr="008B347E">
        <w:rPr>
          <w:rFonts w:ascii="Traditional Arabic" w:hAnsi="Traditional Arabic"/>
          <w:color w:val="auto"/>
          <w:sz w:val="32"/>
          <w:szCs w:val="32"/>
          <w:rtl/>
        </w:rPr>
        <w:t xml:space="preserve"> مكان في الدار مما يلي المشرق، جلست فيها لأنها كانت في الشتاء.</w:t>
      </w:r>
      <w:r>
        <w:rPr>
          <w:rFonts w:ascii="Traditional Arabic" w:hAnsi="Traditional Arabic" w:hint="cs"/>
          <w:color w:val="auto"/>
          <w:sz w:val="32"/>
          <w:szCs w:val="32"/>
          <w:rtl/>
        </w:rPr>
        <w:t xml:space="preserve"> انظر: تفسير مقاتل (2/623), الكشف والبيان (6/209), </w:t>
      </w:r>
      <w:r w:rsidRPr="00951537">
        <w:rPr>
          <w:rFonts w:ascii="Traditional Arabic" w:hAnsi="Traditional Arabic"/>
          <w:color w:val="auto"/>
          <w:sz w:val="32"/>
          <w:szCs w:val="32"/>
          <w:rtl/>
        </w:rPr>
        <w:t>التفسير الوسيط (3/1</w:t>
      </w:r>
      <w:r>
        <w:rPr>
          <w:rFonts w:ascii="Traditional Arabic" w:hAnsi="Traditional Arabic" w:hint="cs"/>
          <w:color w:val="auto"/>
          <w:sz w:val="32"/>
          <w:szCs w:val="32"/>
          <w:rtl/>
        </w:rPr>
        <w:t>80</w:t>
      </w:r>
      <w:r w:rsidRPr="00951537">
        <w:rPr>
          <w:rFonts w:ascii="Traditional Arabic" w:hAnsi="Traditional Arabic"/>
          <w:color w:val="auto"/>
          <w:sz w:val="32"/>
          <w:szCs w:val="32"/>
          <w:rtl/>
        </w:rPr>
        <w:t>)</w:t>
      </w:r>
      <w:r>
        <w:rPr>
          <w:rFonts w:ascii="Traditional Arabic" w:hAnsi="Traditional Arabic" w:hint="cs"/>
          <w:color w:val="auto"/>
          <w:sz w:val="32"/>
          <w:szCs w:val="32"/>
          <w:rtl/>
        </w:rPr>
        <w:t xml:space="preserve">. </w:t>
      </w:r>
      <w:r w:rsidRPr="008B347E">
        <w:rPr>
          <w:rFonts w:ascii="Traditional Arabic" w:hAnsi="Traditional Arabic"/>
          <w:color w:val="auto"/>
          <w:sz w:val="32"/>
          <w:szCs w:val="32"/>
          <w:rtl/>
        </w:rPr>
        <w:t xml:space="preserve"> </w:t>
      </w:r>
    </w:p>
  </w:footnote>
  <w:footnote w:id="2166">
    <w:p w:rsidR="003F128F" w:rsidRPr="004757A2" w:rsidRDefault="003F128F" w:rsidP="0063006E">
      <w:pPr>
        <w:pStyle w:val="af3"/>
        <w:rPr>
          <w:rFonts w:ascii="Traditional Arabic" w:hAnsi="Traditional Arabic"/>
          <w:color w:val="auto"/>
          <w:sz w:val="32"/>
          <w:szCs w:val="32"/>
        </w:rPr>
      </w:pPr>
      <w:r w:rsidRPr="004757A2">
        <w:rPr>
          <w:rFonts w:ascii="Traditional Arabic" w:hAnsi="Traditional Arabic"/>
          <w:color w:val="auto"/>
          <w:sz w:val="32"/>
          <w:szCs w:val="32"/>
          <w:rtl/>
        </w:rPr>
        <w:t>(</w:t>
      </w:r>
      <w:r w:rsidRPr="004757A2">
        <w:rPr>
          <w:rStyle w:val="ae"/>
          <w:rFonts w:ascii="Traditional Arabic" w:hAnsi="Traditional Arabic"/>
          <w:color w:val="auto"/>
          <w:sz w:val="32"/>
          <w:szCs w:val="32"/>
          <w:vertAlign w:val="baseline"/>
        </w:rPr>
        <w:footnoteRef/>
      </w:r>
      <w:r w:rsidRPr="004757A2">
        <w:rPr>
          <w:rFonts w:ascii="Traditional Arabic" w:hAnsi="Traditional Arabic"/>
          <w:color w:val="auto"/>
          <w:sz w:val="32"/>
          <w:szCs w:val="32"/>
          <w:rtl/>
        </w:rPr>
        <w:t xml:space="preserve">) انظر: الكشف والبيان </w:t>
      </w:r>
      <w:r>
        <w:rPr>
          <w:rFonts w:ascii="Traditional Arabic" w:hAnsi="Traditional Arabic"/>
          <w:color w:val="auto"/>
          <w:sz w:val="32"/>
          <w:szCs w:val="32"/>
          <w:rtl/>
        </w:rPr>
        <w:t>(6/209), النكت والعيون (3/362)</w:t>
      </w:r>
      <w:r>
        <w:rPr>
          <w:rFonts w:ascii="Traditional Arabic" w:hAnsi="Traditional Arabic" w:hint="cs"/>
          <w:color w:val="auto"/>
          <w:sz w:val="32"/>
          <w:szCs w:val="32"/>
          <w:rtl/>
        </w:rPr>
        <w:t>.</w:t>
      </w:r>
    </w:p>
  </w:footnote>
  <w:footnote w:id="2167">
    <w:p w:rsidR="003F128F" w:rsidRPr="004757A2" w:rsidRDefault="003F128F" w:rsidP="0063006E">
      <w:pPr>
        <w:pStyle w:val="af3"/>
        <w:rPr>
          <w:rFonts w:ascii="Traditional Arabic" w:hAnsi="Traditional Arabic"/>
          <w:color w:val="auto"/>
          <w:sz w:val="32"/>
          <w:szCs w:val="32"/>
        </w:rPr>
      </w:pPr>
      <w:r w:rsidRPr="004757A2">
        <w:rPr>
          <w:rFonts w:ascii="Traditional Arabic" w:hAnsi="Traditional Arabic"/>
          <w:color w:val="auto"/>
          <w:sz w:val="32"/>
          <w:szCs w:val="32"/>
          <w:rtl/>
        </w:rPr>
        <w:t>(</w:t>
      </w:r>
      <w:r w:rsidRPr="004757A2">
        <w:rPr>
          <w:rStyle w:val="ae"/>
          <w:rFonts w:ascii="Traditional Arabic" w:hAnsi="Traditional Arabic"/>
          <w:color w:val="auto"/>
          <w:sz w:val="32"/>
          <w:szCs w:val="32"/>
          <w:vertAlign w:val="baseline"/>
        </w:rPr>
        <w:footnoteRef/>
      </w:r>
      <w:r w:rsidRPr="004757A2">
        <w:rPr>
          <w:rFonts w:ascii="Traditional Arabic" w:hAnsi="Traditional Arabic"/>
          <w:color w:val="auto"/>
          <w:sz w:val="32"/>
          <w:szCs w:val="32"/>
          <w:rtl/>
        </w:rPr>
        <w:t>) انظر: تفسير الطبري (18/162), الهداية (7/4508)</w:t>
      </w:r>
      <w:r>
        <w:rPr>
          <w:rFonts w:ascii="Traditional Arabic" w:hAnsi="Traditional Arabic" w:hint="cs"/>
          <w:color w:val="auto"/>
          <w:sz w:val="32"/>
          <w:szCs w:val="32"/>
          <w:rtl/>
        </w:rPr>
        <w:t>.</w:t>
      </w:r>
    </w:p>
  </w:footnote>
  <w:footnote w:id="2168">
    <w:p w:rsidR="003F128F" w:rsidRPr="004757A2" w:rsidRDefault="003F128F" w:rsidP="0063006E">
      <w:pPr>
        <w:pStyle w:val="af3"/>
        <w:rPr>
          <w:rFonts w:ascii="Traditional Arabic" w:hAnsi="Traditional Arabic"/>
          <w:sz w:val="32"/>
          <w:szCs w:val="32"/>
        </w:rPr>
      </w:pPr>
      <w:r w:rsidRPr="004757A2">
        <w:rPr>
          <w:rFonts w:ascii="Traditional Arabic" w:hAnsi="Traditional Arabic"/>
          <w:sz w:val="32"/>
          <w:szCs w:val="32"/>
          <w:rtl/>
        </w:rPr>
        <w:t>(</w:t>
      </w:r>
      <w:r w:rsidRPr="004757A2">
        <w:rPr>
          <w:rStyle w:val="ae"/>
          <w:rFonts w:ascii="Traditional Arabic" w:hAnsi="Traditional Arabic"/>
          <w:sz w:val="32"/>
          <w:szCs w:val="32"/>
          <w:vertAlign w:val="baseline"/>
        </w:rPr>
        <w:footnoteRef/>
      </w:r>
      <w:r w:rsidRPr="004757A2">
        <w:rPr>
          <w:rFonts w:ascii="Traditional Arabic" w:hAnsi="Traditional Arabic"/>
          <w:sz w:val="32"/>
          <w:szCs w:val="32"/>
          <w:rtl/>
        </w:rPr>
        <w:t xml:space="preserve">) </w:t>
      </w:r>
      <w:r w:rsidRPr="004757A2">
        <w:rPr>
          <w:rFonts w:ascii="Traditional Arabic" w:hAnsi="Traditional Arabic"/>
          <w:color w:val="auto"/>
          <w:sz w:val="32"/>
          <w:szCs w:val="32"/>
          <w:rtl/>
        </w:rPr>
        <w:t>انظر: تفسير الطبري (18/163), النكت والعيون (3/362)</w:t>
      </w:r>
      <w:r>
        <w:rPr>
          <w:rFonts w:ascii="Traditional Arabic" w:hAnsi="Traditional Arabic" w:hint="cs"/>
          <w:sz w:val="32"/>
          <w:szCs w:val="32"/>
          <w:rtl/>
        </w:rPr>
        <w:t>.</w:t>
      </w:r>
    </w:p>
  </w:footnote>
  <w:footnote w:id="2169">
    <w:p w:rsidR="003F128F" w:rsidRPr="004757A2" w:rsidRDefault="003F128F" w:rsidP="0063006E">
      <w:pPr>
        <w:pStyle w:val="af3"/>
        <w:rPr>
          <w:rFonts w:ascii="Traditional Arabic" w:hAnsi="Traditional Arabic"/>
          <w:sz w:val="32"/>
          <w:szCs w:val="32"/>
        </w:rPr>
      </w:pPr>
      <w:r w:rsidRPr="004757A2">
        <w:rPr>
          <w:rFonts w:ascii="Traditional Arabic" w:hAnsi="Traditional Arabic"/>
          <w:sz w:val="32"/>
          <w:szCs w:val="32"/>
          <w:rtl/>
        </w:rPr>
        <w:t>(</w:t>
      </w:r>
      <w:r w:rsidRPr="004757A2">
        <w:rPr>
          <w:rStyle w:val="ae"/>
          <w:rFonts w:ascii="Traditional Arabic" w:hAnsi="Traditional Arabic"/>
          <w:sz w:val="32"/>
          <w:szCs w:val="32"/>
          <w:vertAlign w:val="baseline"/>
        </w:rPr>
        <w:footnoteRef/>
      </w:r>
      <w:r w:rsidRPr="004757A2">
        <w:rPr>
          <w:rFonts w:ascii="Traditional Arabic" w:hAnsi="Traditional Arabic"/>
          <w:sz w:val="32"/>
          <w:szCs w:val="32"/>
          <w:rtl/>
        </w:rPr>
        <w:t xml:space="preserve">) في (ك): [أحدهما: أنها انفردت]. </w:t>
      </w:r>
    </w:p>
  </w:footnote>
  <w:footnote w:id="2170">
    <w:p w:rsidR="003F128F" w:rsidRPr="004757A2" w:rsidRDefault="003F128F" w:rsidP="0063006E">
      <w:pPr>
        <w:pStyle w:val="af3"/>
        <w:rPr>
          <w:rFonts w:ascii="Traditional Arabic" w:hAnsi="Traditional Arabic"/>
          <w:sz w:val="32"/>
          <w:szCs w:val="32"/>
        </w:rPr>
      </w:pPr>
      <w:r w:rsidRPr="004757A2">
        <w:rPr>
          <w:rFonts w:ascii="Traditional Arabic" w:hAnsi="Traditional Arabic"/>
          <w:sz w:val="32"/>
          <w:szCs w:val="32"/>
          <w:rtl/>
        </w:rPr>
        <w:t>(</w:t>
      </w:r>
      <w:r w:rsidRPr="004757A2">
        <w:rPr>
          <w:rStyle w:val="ae"/>
          <w:rFonts w:ascii="Traditional Arabic" w:hAnsi="Traditional Arabic"/>
          <w:sz w:val="32"/>
          <w:szCs w:val="32"/>
          <w:vertAlign w:val="baseline"/>
        </w:rPr>
        <w:footnoteRef/>
      </w:r>
      <w:r w:rsidRPr="004757A2">
        <w:rPr>
          <w:rFonts w:ascii="Traditional Arabic" w:hAnsi="Traditional Arabic"/>
          <w:sz w:val="32"/>
          <w:szCs w:val="32"/>
          <w:rtl/>
        </w:rPr>
        <w:t xml:space="preserve">) ذكره الثعلبي في الكشف والبيان (6/209), </w:t>
      </w:r>
      <w:r>
        <w:rPr>
          <w:rFonts w:ascii="Traditional Arabic" w:hAnsi="Traditional Arabic" w:hint="cs"/>
          <w:sz w:val="32"/>
          <w:szCs w:val="32"/>
          <w:rtl/>
        </w:rPr>
        <w:t>و</w:t>
      </w:r>
      <w:r w:rsidRPr="004757A2">
        <w:rPr>
          <w:rFonts w:ascii="Traditional Arabic" w:hAnsi="Traditional Arabic"/>
          <w:sz w:val="32"/>
          <w:szCs w:val="32"/>
          <w:rtl/>
        </w:rPr>
        <w:t>الواحدي في التفسير الوسيط (3/180) منسوباً لعكرمة.</w:t>
      </w:r>
    </w:p>
  </w:footnote>
  <w:footnote w:id="2171">
    <w:p w:rsidR="003F128F" w:rsidRPr="004757A2" w:rsidRDefault="003F128F" w:rsidP="0063006E">
      <w:pPr>
        <w:pStyle w:val="af3"/>
        <w:rPr>
          <w:rFonts w:ascii="Traditional Arabic" w:hAnsi="Traditional Arabic"/>
          <w:sz w:val="32"/>
          <w:szCs w:val="32"/>
        </w:rPr>
      </w:pPr>
      <w:r w:rsidRPr="004757A2">
        <w:rPr>
          <w:rFonts w:ascii="Traditional Arabic" w:hAnsi="Traditional Arabic"/>
          <w:sz w:val="32"/>
          <w:szCs w:val="32"/>
          <w:rtl/>
        </w:rPr>
        <w:t>(</w:t>
      </w:r>
      <w:r w:rsidRPr="004757A2">
        <w:rPr>
          <w:rStyle w:val="ae"/>
          <w:rFonts w:ascii="Traditional Arabic" w:hAnsi="Traditional Arabic"/>
          <w:sz w:val="32"/>
          <w:szCs w:val="32"/>
          <w:vertAlign w:val="baseline"/>
        </w:rPr>
        <w:footnoteRef/>
      </w:r>
      <w:r w:rsidRPr="004757A2">
        <w:rPr>
          <w:rFonts w:ascii="Traditional Arabic" w:hAnsi="Traditional Arabic"/>
          <w:sz w:val="32"/>
          <w:szCs w:val="32"/>
          <w:rtl/>
        </w:rPr>
        <w:t>) انظر: التفسير الوسيط (3/180), وذكره مكي في الهداية (7/4508), والسمعاني في تفسيره (3/283), وغيرهما غير منسوب.</w:t>
      </w:r>
    </w:p>
  </w:footnote>
  <w:footnote w:id="2172">
    <w:p w:rsidR="003F128F" w:rsidRPr="004757A2" w:rsidRDefault="003F128F" w:rsidP="0063006E">
      <w:pPr>
        <w:pStyle w:val="af3"/>
        <w:rPr>
          <w:rFonts w:ascii="Traditional Arabic" w:hAnsi="Traditional Arabic"/>
          <w:sz w:val="32"/>
          <w:szCs w:val="32"/>
        </w:rPr>
      </w:pPr>
      <w:r w:rsidRPr="004757A2">
        <w:rPr>
          <w:rFonts w:ascii="Traditional Arabic" w:hAnsi="Traditional Arabic"/>
          <w:sz w:val="32"/>
          <w:szCs w:val="32"/>
          <w:rtl/>
        </w:rPr>
        <w:t>(</w:t>
      </w:r>
      <w:r w:rsidRPr="004757A2">
        <w:rPr>
          <w:rStyle w:val="ae"/>
          <w:rFonts w:ascii="Traditional Arabic" w:hAnsi="Traditional Arabic"/>
          <w:sz w:val="32"/>
          <w:szCs w:val="32"/>
          <w:vertAlign w:val="baseline"/>
        </w:rPr>
        <w:footnoteRef/>
      </w:r>
      <w:r w:rsidRPr="004757A2">
        <w:rPr>
          <w:rFonts w:ascii="Traditional Arabic" w:hAnsi="Traditional Arabic"/>
          <w:sz w:val="32"/>
          <w:szCs w:val="32"/>
          <w:rtl/>
        </w:rPr>
        <w:t xml:space="preserve">) انظر: تفسير مقاتل (2/623), </w:t>
      </w:r>
      <w:r w:rsidRPr="004757A2">
        <w:rPr>
          <w:rFonts w:ascii="Traditional Arabic" w:hAnsi="Traditional Arabic"/>
          <w:color w:val="auto"/>
          <w:sz w:val="32"/>
          <w:szCs w:val="32"/>
          <w:rtl/>
        </w:rPr>
        <w:t>تفسير يحيى بن سلام (1/218), تفسير الطبري (18/163)</w:t>
      </w:r>
      <w:r w:rsidRPr="004757A2">
        <w:rPr>
          <w:rFonts w:ascii="Traditional Arabic" w:hAnsi="Traditional Arabic"/>
          <w:sz w:val="32"/>
          <w:szCs w:val="32"/>
          <w:rtl/>
        </w:rPr>
        <w:t>.</w:t>
      </w:r>
    </w:p>
  </w:footnote>
  <w:footnote w:id="2173">
    <w:p w:rsidR="003F128F" w:rsidRPr="004757A2" w:rsidRDefault="003F128F" w:rsidP="0063006E">
      <w:pPr>
        <w:pStyle w:val="af3"/>
        <w:rPr>
          <w:rFonts w:ascii="Traditional Arabic" w:hAnsi="Traditional Arabic"/>
          <w:sz w:val="32"/>
          <w:szCs w:val="32"/>
        </w:rPr>
      </w:pPr>
      <w:r w:rsidRPr="004757A2">
        <w:rPr>
          <w:rFonts w:ascii="Traditional Arabic" w:hAnsi="Traditional Arabic"/>
          <w:sz w:val="32"/>
          <w:szCs w:val="32"/>
          <w:rtl/>
        </w:rPr>
        <w:t>(</w:t>
      </w:r>
      <w:r w:rsidRPr="004757A2">
        <w:rPr>
          <w:rStyle w:val="ae"/>
          <w:rFonts w:ascii="Traditional Arabic" w:hAnsi="Traditional Arabic"/>
          <w:sz w:val="32"/>
          <w:szCs w:val="32"/>
          <w:vertAlign w:val="baseline"/>
        </w:rPr>
        <w:footnoteRef/>
      </w:r>
      <w:r w:rsidRPr="004757A2">
        <w:rPr>
          <w:rFonts w:ascii="Traditional Arabic" w:hAnsi="Traditional Arabic"/>
          <w:sz w:val="32"/>
          <w:szCs w:val="32"/>
          <w:rtl/>
        </w:rPr>
        <w:t xml:space="preserve">) في (ك): [والرُّوح بمعنى: الرَّوْح والفرج]. </w:t>
      </w:r>
    </w:p>
  </w:footnote>
  <w:footnote w:id="2174">
    <w:p w:rsidR="003F128F" w:rsidRPr="004757A2" w:rsidRDefault="003F128F" w:rsidP="0063006E">
      <w:pPr>
        <w:pStyle w:val="af3"/>
        <w:rPr>
          <w:rFonts w:ascii="Traditional Arabic" w:hAnsi="Traditional Arabic"/>
          <w:sz w:val="32"/>
          <w:szCs w:val="32"/>
        </w:rPr>
      </w:pPr>
      <w:r w:rsidRPr="004757A2">
        <w:rPr>
          <w:rFonts w:ascii="Traditional Arabic" w:hAnsi="Traditional Arabic"/>
          <w:sz w:val="32"/>
          <w:szCs w:val="32"/>
          <w:rtl/>
        </w:rPr>
        <w:t>(</w:t>
      </w:r>
      <w:r w:rsidRPr="004757A2">
        <w:rPr>
          <w:rStyle w:val="ae"/>
          <w:rFonts w:ascii="Traditional Arabic" w:hAnsi="Traditional Arabic"/>
          <w:sz w:val="32"/>
          <w:szCs w:val="32"/>
          <w:vertAlign w:val="baseline"/>
        </w:rPr>
        <w:footnoteRef/>
      </w:r>
      <w:r w:rsidRPr="004757A2">
        <w:rPr>
          <w:rFonts w:ascii="Traditional Arabic" w:hAnsi="Traditional Arabic"/>
          <w:sz w:val="32"/>
          <w:szCs w:val="32"/>
          <w:rtl/>
        </w:rPr>
        <w:t>)</w:t>
      </w:r>
      <w:r w:rsidRPr="004757A2">
        <w:rPr>
          <w:rFonts w:ascii="Traditional Arabic" w:hAnsi="Traditional Arabic"/>
          <w:color w:val="auto"/>
          <w:sz w:val="32"/>
          <w:szCs w:val="32"/>
          <w:rtl/>
        </w:rPr>
        <w:t xml:space="preserve"> ذكر بنحوه الماوردي في النكت والعيون (</w:t>
      </w:r>
      <w:r w:rsidRPr="004757A2">
        <w:rPr>
          <w:rFonts w:ascii="Traditional Arabic" w:hAnsi="Traditional Arabic"/>
          <w:sz w:val="32"/>
          <w:szCs w:val="32"/>
          <w:rtl/>
        </w:rPr>
        <w:t>3/362).</w:t>
      </w:r>
    </w:p>
  </w:footnote>
  <w:footnote w:id="2175">
    <w:p w:rsidR="003F128F" w:rsidRPr="004757A2" w:rsidRDefault="003F128F" w:rsidP="0063006E">
      <w:pPr>
        <w:pStyle w:val="af3"/>
        <w:rPr>
          <w:rFonts w:ascii="Traditional Arabic" w:hAnsi="Traditional Arabic"/>
          <w:sz w:val="32"/>
          <w:szCs w:val="32"/>
        </w:rPr>
      </w:pPr>
      <w:r w:rsidRPr="004757A2">
        <w:rPr>
          <w:rFonts w:ascii="Traditional Arabic" w:hAnsi="Traditional Arabic"/>
          <w:sz w:val="32"/>
          <w:szCs w:val="32"/>
          <w:rtl/>
        </w:rPr>
        <w:t>(</w:t>
      </w:r>
      <w:r w:rsidRPr="004757A2">
        <w:rPr>
          <w:rStyle w:val="ae"/>
          <w:rFonts w:ascii="Traditional Arabic" w:hAnsi="Traditional Arabic"/>
          <w:sz w:val="32"/>
          <w:szCs w:val="32"/>
          <w:vertAlign w:val="baseline"/>
        </w:rPr>
        <w:footnoteRef/>
      </w:r>
      <w:r w:rsidRPr="004757A2">
        <w:rPr>
          <w:rFonts w:ascii="Traditional Arabic" w:hAnsi="Traditional Arabic"/>
          <w:sz w:val="32"/>
          <w:szCs w:val="32"/>
          <w:rtl/>
        </w:rPr>
        <w:t>) انظر: التفسير الوسيط (3/180).</w:t>
      </w:r>
    </w:p>
  </w:footnote>
  <w:footnote w:id="2176">
    <w:p w:rsidR="003F128F" w:rsidRPr="004757A2" w:rsidRDefault="003F128F" w:rsidP="0063006E">
      <w:pPr>
        <w:pStyle w:val="af3"/>
        <w:rPr>
          <w:rFonts w:ascii="Traditional Arabic" w:hAnsi="Traditional Arabic"/>
          <w:sz w:val="32"/>
          <w:szCs w:val="32"/>
        </w:rPr>
      </w:pPr>
      <w:r w:rsidRPr="004757A2">
        <w:rPr>
          <w:rFonts w:ascii="Traditional Arabic" w:hAnsi="Traditional Arabic"/>
          <w:sz w:val="32"/>
          <w:szCs w:val="32"/>
          <w:rtl/>
        </w:rPr>
        <w:t>(</w:t>
      </w:r>
      <w:r w:rsidRPr="004757A2">
        <w:rPr>
          <w:rStyle w:val="ae"/>
          <w:rFonts w:ascii="Traditional Arabic" w:hAnsi="Traditional Arabic"/>
          <w:sz w:val="32"/>
          <w:szCs w:val="32"/>
          <w:vertAlign w:val="baseline"/>
        </w:rPr>
        <w:footnoteRef/>
      </w:r>
      <w:r w:rsidRPr="004757A2">
        <w:rPr>
          <w:rFonts w:ascii="Traditional Arabic" w:hAnsi="Traditional Arabic"/>
          <w:sz w:val="32"/>
          <w:szCs w:val="32"/>
          <w:rtl/>
        </w:rPr>
        <w:t>)</w:t>
      </w:r>
      <w:r w:rsidRPr="004757A2">
        <w:rPr>
          <w:rFonts w:ascii="Traditional Arabic" w:hAnsi="Traditional Arabic"/>
          <w:color w:val="auto"/>
          <w:sz w:val="32"/>
          <w:szCs w:val="32"/>
          <w:rtl/>
        </w:rPr>
        <w:t xml:space="preserve"> انظر: رموز الكنوز (4/403).</w:t>
      </w:r>
    </w:p>
  </w:footnote>
  <w:footnote w:id="2177">
    <w:p w:rsidR="003F128F" w:rsidRPr="004757A2" w:rsidRDefault="003F128F" w:rsidP="0063006E">
      <w:pPr>
        <w:pStyle w:val="af3"/>
        <w:rPr>
          <w:rFonts w:ascii="Tahoma" w:hAnsi="Tahoma"/>
        </w:rPr>
      </w:pPr>
      <w:r w:rsidRPr="004757A2">
        <w:rPr>
          <w:rFonts w:ascii="Traditional Arabic" w:hAnsi="Traditional Arabic"/>
          <w:sz w:val="32"/>
          <w:szCs w:val="32"/>
          <w:rtl/>
        </w:rPr>
        <w:t>(</w:t>
      </w:r>
      <w:r w:rsidRPr="004757A2">
        <w:rPr>
          <w:rStyle w:val="ae"/>
          <w:rFonts w:ascii="Traditional Arabic" w:hAnsi="Traditional Arabic"/>
          <w:sz w:val="32"/>
          <w:szCs w:val="32"/>
          <w:vertAlign w:val="baseline"/>
        </w:rPr>
        <w:footnoteRef/>
      </w:r>
      <w:r w:rsidRPr="004757A2">
        <w:rPr>
          <w:rFonts w:ascii="Traditional Arabic" w:hAnsi="Traditional Arabic"/>
          <w:sz w:val="32"/>
          <w:szCs w:val="32"/>
          <w:rtl/>
        </w:rPr>
        <w:t>) ما بين المعكوفتين ليس في الأصل, والمثبت من (ك) وهو موافق لمصادر القول.</w:t>
      </w:r>
    </w:p>
  </w:footnote>
  <w:footnote w:id="2178">
    <w:p w:rsidR="003F128F" w:rsidRPr="005B5721" w:rsidRDefault="003F128F" w:rsidP="0063006E">
      <w:pPr>
        <w:pStyle w:val="af3"/>
        <w:rPr>
          <w:rFonts w:ascii="Traditional Arabic" w:hAnsi="Traditional Arabic"/>
          <w:sz w:val="32"/>
          <w:szCs w:val="32"/>
        </w:rPr>
      </w:pPr>
      <w:r w:rsidRPr="005B5721">
        <w:rPr>
          <w:rFonts w:ascii="Traditional Arabic" w:hAnsi="Traditional Arabic"/>
          <w:sz w:val="32"/>
          <w:szCs w:val="32"/>
          <w:rtl/>
        </w:rPr>
        <w:t>(</w:t>
      </w:r>
      <w:r w:rsidRPr="005B5721">
        <w:rPr>
          <w:rStyle w:val="ae"/>
          <w:rFonts w:ascii="Traditional Arabic" w:hAnsi="Traditional Arabic"/>
          <w:sz w:val="32"/>
          <w:szCs w:val="32"/>
          <w:vertAlign w:val="baseline"/>
        </w:rPr>
        <w:footnoteRef/>
      </w:r>
      <w:r w:rsidRPr="005B5721">
        <w:rPr>
          <w:rFonts w:ascii="Traditional Arabic" w:hAnsi="Traditional Arabic"/>
          <w:sz w:val="32"/>
          <w:szCs w:val="32"/>
          <w:rtl/>
        </w:rPr>
        <w:t xml:space="preserve">) انظر: </w:t>
      </w:r>
      <w:r w:rsidRPr="005B5721">
        <w:rPr>
          <w:rFonts w:ascii="Traditional Arabic" w:hAnsi="Traditional Arabic"/>
          <w:color w:val="auto"/>
          <w:sz w:val="32"/>
          <w:szCs w:val="32"/>
          <w:rtl/>
        </w:rPr>
        <w:t>معاني القرآن وإعرابه (3/322),</w:t>
      </w:r>
      <w:r w:rsidRPr="005B5721">
        <w:rPr>
          <w:rFonts w:ascii="Traditional Arabic" w:hAnsi="Traditional Arabic"/>
          <w:sz w:val="32"/>
          <w:szCs w:val="32"/>
          <w:rtl/>
        </w:rPr>
        <w:t xml:space="preserve"> </w:t>
      </w:r>
      <w:r w:rsidRPr="005B5721">
        <w:rPr>
          <w:rFonts w:ascii="Traditional Arabic" w:hAnsi="Traditional Arabic"/>
          <w:color w:val="auto"/>
          <w:sz w:val="32"/>
          <w:szCs w:val="32"/>
          <w:rtl/>
        </w:rPr>
        <w:t>النكت والعيون (3/362).</w:t>
      </w:r>
    </w:p>
  </w:footnote>
  <w:footnote w:id="2179">
    <w:p w:rsidR="003F128F" w:rsidRPr="00442432" w:rsidRDefault="003F128F" w:rsidP="0063006E">
      <w:pPr>
        <w:pStyle w:val="af3"/>
        <w:rPr>
          <w:rFonts w:ascii="Tahoma" w:hAnsi="Tahoma"/>
        </w:rPr>
      </w:pPr>
      <w:r w:rsidRPr="005B5721">
        <w:rPr>
          <w:rFonts w:ascii="Traditional Arabic" w:hAnsi="Traditional Arabic"/>
          <w:sz w:val="32"/>
          <w:szCs w:val="32"/>
          <w:rtl/>
        </w:rPr>
        <w:t>(</w:t>
      </w:r>
      <w:r w:rsidRPr="005B5721">
        <w:rPr>
          <w:rStyle w:val="ae"/>
          <w:rFonts w:ascii="Traditional Arabic" w:hAnsi="Traditional Arabic"/>
          <w:sz w:val="32"/>
          <w:szCs w:val="32"/>
          <w:vertAlign w:val="baseline"/>
        </w:rPr>
        <w:footnoteRef/>
      </w:r>
      <w:r w:rsidRPr="005B5721">
        <w:rPr>
          <w:rFonts w:ascii="Traditional Arabic" w:hAnsi="Traditional Arabic"/>
          <w:sz w:val="32"/>
          <w:szCs w:val="32"/>
          <w:rtl/>
        </w:rPr>
        <w:t>) ذكر بنحوه السمرقندي في بحر العلوم (2/371).</w:t>
      </w:r>
    </w:p>
  </w:footnote>
  <w:footnote w:id="2180">
    <w:p w:rsidR="003F128F" w:rsidRPr="003A6628" w:rsidRDefault="003F128F" w:rsidP="0063006E">
      <w:pPr>
        <w:pStyle w:val="af3"/>
        <w:rPr>
          <w:rFonts w:ascii="Traditional Arabic" w:hAnsi="Traditional Arabic"/>
          <w:sz w:val="32"/>
          <w:szCs w:val="32"/>
        </w:rPr>
      </w:pPr>
      <w:r w:rsidRPr="008E2BB6">
        <w:rPr>
          <w:rFonts w:ascii="Traditional Arabic" w:hAnsi="Traditional Arabic"/>
          <w:sz w:val="32"/>
          <w:szCs w:val="32"/>
          <w:rtl/>
        </w:rPr>
        <w:t>(</w:t>
      </w:r>
      <w:r w:rsidRPr="008E2BB6">
        <w:rPr>
          <w:rStyle w:val="ae"/>
          <w:rFonts w:ascii="Traditional Arabic" w:hAnsi="Traditional Arabic"/>
          <w:sz w:val="32"/>
          <w:szCs w:val="32"/>
          <w:vertAlign w:val="baseline"/>
        </w:rPr>
        <w:footnoteRef/>
      </w:r>
      <w:r w:rsidRPr="008E2BB6">
        <w:rPr>
          <w:rFonts w:ascii="Traditional Arabic" w:hAnsi="Traditional Arabic"/>
          <w:sz w:val="32"/>
          <w:szCs w:val="32"/>
          <w:rtl/>
        </w:rPr>
        <w:t xml:space="preserve">) ذكره الثعلبي في الكشف والبيان (6/209), </w:t>
      </w:r>
      <w:r>
        <w:rPr>
          <w:rFonts w:ascii="Traditional Arabic" w:hAnsi="Traditional Arabic" w:hint="cs"/>
          <w:sz w:val="32"/>
          <w:szCs w:val="32"/>
          <w:rtl/>
        </w:rPr>
        <w:t>و</w:t>
      </w:r>
      <w:r w:rsidRPr="008E2BB6">
        <w:rPr>
          <w:rFonts w:ascii="Traditional Arabic" w:hAnsi="Traditional Arabic"/>
          <w:sz w:val="32"/>
          <w:szCs w:val="32"/>
          <w:rtl/>
        </w:rPr>
        <w:t>ال</w:t>
      </w:r>
      <w:r>
        <w:rPr>
          <w:rFonts w:ascii="Traditional Arabic" w:hAnsi="Traditional Arabic"/>
          <w:sz w:val="32"/>
          <w:szCs w:val="32"/>
          <w:rtl/>
        </w:rPr>
        <w:t>واحدي في التفسير الوسيط (3/180)</w:t>
      </w:r>
      <w:r w:rsidRPr="008E2BB6">
        <w:rPr>
          <w:rFonts w:ascii="Traditional Arabic" w:hAnsi="Traditional Arabic"/>
          <w:sz w:val="32"/>
          <w:szCs w:val="32"/>
          <w:rtl/>
        </w:rPr>
        <w:t xml:space="preserve"> وغيرهما منسوباً </w:t>
      </w:r>
      <w:r w:rsidRPr="003A6628">
        <w:rPr>
          <w:rFonts w:ascii="Traditional Arabic" w:hAnsi="Traditional Arabic"/>
          <w:sz w:val="32"/>
          <w:szCs w:val="32"/>
          <w:rtl/>
        </w:rPr>
        <w:t>لعكرمة.</w:t>
      </w:r>
    </w:p>
  </w:footnote>
  <w:footnote w:id="2181">
    <w:p w:rsidR="003F128F" w:rsidRPr="003A6628" w:rsidRDefault="003F128F" w:rsidP="0063006E">
      <w:pPr>
        <w:pStyle w:val="af3"/>
        <w:rPr>
          <w:rFonts w:ascii="Traditional Arabic" w:hAnsi="Traditional Arabic"/>
          <w:sz w:val="32"/>
          <w:szCs w:val="32"/>
        </w:rPr>
      </w:pPr>
      <w:r w:rsidRPr="003A6628">
        <w:rPr>
          <w:rFonts w:ascii="Traditional Arabic" w:hAnsi="Traditional Arabic"/>
          <w:sz w:val="32"/>
          <w:szCs w:val="32"/>
          <w:rtl/>
        </w:rPr>
        <w:t>(</w:t>
      </w:r>
      <w:r w:rsidRPr="003A6628">
        <w:rPr>
          <w:rStyle w:val="ae"/>
          <w:rFonts w:ascii="Traditional Arabic" w:hAnsi="Traditional Arabic"/>
          <w:sz w:val="32"/>
          <w:szCs w:val="32"/>
          <w:vertAlign w:val="baseline"/>
        </w:rPr>
        <w:footnoteRef/>
      </w:r>
      <w:r w:rsidRPr="003A6628">
        <w:rPr>
          <w:rFonts w:ascii="Traditional Arabic" w:hAnsi="Traditional Arabic"/>
          <w:sz w:val="32"/>
          <w:szCs w:val="32"/>
          <w:rtl/>
        </w:rPr>
        <w:t>) ما بين المعكوفتين ليس في الأصل, والمثبت من (ك) وهو موافق لمصادر القراءة.</w:t>
      </w:r>
    </w:p>
  </w:footnote>
  <w:footnote w:id="2182">
    <w:p w:rsidR="003F128F" w:rsidRPr="003A6628" w:rsidRDefault="003F128F" w:rsidP="0063006E">
      <w:pPr>
        <w:pStyle w:val="af3"/>
        <w:rPr>
          <w:rFonts w:ascii="Traditional Arabic" w:hAnsi="Traditional Arabic"/>
          <w:sz w:val="32"/>
          <w:szCs w:val="32"/>
        </w:rPr>
      </w:pPr>
      <w:r w:rsidRPr="003A6628">
        <w:rPr>
          <w:rFonts w:ascii="Traditional Arabic" w:hAnsi="Traditional Arabic"/>
          <w:sz w:val="32"/>
          <w:szCs w:val="32"/>
          <w:rtl/>
        </w:rPr>
        <w:t>(</w:t>
      </w:r>
      <w:r w:rsidRPr="003A6628">
        <w:rPr>
          <w:rStyle w:val="ae"/>
          <w:rFonts w:ascii="Traditional Arabic" w:hAnsi="Traditional Arabic"/>
          <w:sz w:val="32"/>
          <w:szCs w:val="32"/>
          <w:vertAlign w:val="baseline"/>
        </w:rPr>
        <w:footnoteRef/>
      </w:r>
      <w:r w:rsidRPr="003A6628">
        <w:rPr>
          <w:rFonts w:ascii="Traditional Arabic" w:hAnsi="Traditional Arabic"/>
          <w:sz w:val="32"/>
          <w:szCs w:val="32"/>
          <w:rtl/>
        </w:rPr>
        <w:t xml:space="preserve">) انظر: مختصر الشواذ (ص86), الكشاف (3/9) منسوبة لأبي حيوة. </w:t>
      </w:r>
    </w:p>
  </w:footnote>
  <w:footnote w:id="2183">
    <w:p w:rsidR="003F128F" w:rsidRPr="003A6628" w:rsidRDefault="003F128F" w:rsidP="0063006E">
      <w:pPr>
        <w:pStyle w:val="af3"/>
        <w:rPr>
          <w:rFonts w:ascii="Traditional Arabic" w:hAnsi="Traditional Arabic"/>
          <w:sz w:val="32"/>
          <w:szCs w:val="32"/>
        </w:rPr>
      </w:pPr>
      <w:r w:rsidRPr="003A6628">
        <w:rPr>
          <w:rFonts w:ascii="Traditional Arabic" w:hAnsi="Traditional Arabic"/>
          <w:sz w:val="32"/>
          <w:szCs w:val="32"/>
          <w:rtl/>
        </w:rPr>
        <w:t>(</w:t>
      </w:r>
      <w:r w:rsidRPr="003A6628">
        <w:rPr>
          <w:rStyle w:val="ae"/>
          <w:rFonts w:ascii="Traditional Arabic" w:hAnsi="Traditional Arabic"/>
          <w:sz w:val="32"/>
          <w:szCs w:val="32"/>
          <w:vertAlign w:val="baseline"/>
        </w:rPr>
        <w:footnoteRef/>
      </w:r>
      <w:r w:rsidRPr="003A6628">
        <w:rPr>
          <w:rFonts w:ascii="Traditional Arabic" w:hAnsi="Traditional Arabic"/>
          <w:sz w:val="32"/>
          <w:szCs w:val="32"/>
          <w:rtl/>
        </w:rPr>
        <w:t xml:space="preserve">) في (ك): [هذا هو القول]. </w:t>
      </w:r>
    </w:p>
  </w:footnote>
  <w:footnote w:id="2184">
    <w:p w:rsidR="003F128F" w:rsidRPr="003A6628" w:rsidRDefault="003F128F" w:rsidP="0063006E">
      <w:pPr>
        <w:pStyle w:val="af3"/>
        <w:rPr>
          <w:rFonts w:ascii="Tahoma" w:hAnsi="Tahoma"/>
        </w:rPr>
      </w:pPr>
      <w:r w:rsidRPr="003A6628">
        <w:rPr>
          <w:rFonts w:ascii="Traditional Arabic" w:hAnsi="Traditional Arabic"/>
          <w:sz w:val="32"/>
          <w:szCs w:val="32"/>
          <w:rtl/>
        </w:rPr>
        <w:t>(</w:t>
      </w:r>
      <w:r w:rsidRPr="003A6628">
        <w:rPr>
          <w:rStyle w:val="ae"/>
          <w:rFonts w:ascii="Traditional Arabic" w:hAnsi="Traditional Arabic"/>
          <w:sz w:val="32"/>
          <w:szCs w:val="32"/>
          <w:vertAlign w:val="baseline"/>
        </w:rPr>
        <w:footnoteRef/>
      </w:r>
      <w:r w:rsidRPr="003A6628">
        <w:rPr>
          <w:rFonts w:ascii="Traditional Arabic" w:hAnsi="Traditional Arabic"/>
          <w:sz w:val="32"/>
          <w:szCs w:val="32"/>
          <w:rtl/>
        </w:rPr>
        <w:t>) في (ك): [رجل يقال له تقي].</w:t>
      </w:r>
      <w:r>
        <w:rPr>
          <w:rFonts w:ascii="Tahoma" w:hAnsi="Tahoma"/>
          <w:rtl/>
        </w:rPr>
        <w:t xml:space="preserve"> </w:t>
      </w:r>
    </w:p>
  </w:footnote>
  <w:footnote w:id="2185">
    <w:p w:rsidR="003F128F" w:rsidRPr="008E2BB6" w:rsidRDefault="003F128F" w:rsidP="0063006E">
      <w:pPr>
        <w:pStyle w:val="af3"/>
        <w:rPr>
          <w:rFonts w:ascii="Traditional Arabic" w:hAnsi="Traditional Arabic"/>
          <w:color w:val="auto"/>
          <w:sz w:val="32"/>
          <w:szCs w:val="32"/>
        </w:rPr>
      </w:pPr>
      <w:r w:rsidRPr="008E2BB6">
        <w:rPr>
          <w:rFonts w:ascii="Traditional Arabic" w:hAnsi="Traditional Arabic"/>
          <w:color w:val="auto"/>
          <w:sz w:val="32"/>
          <w:szCs w:val="32"/>
          <w:rtl/>
        </w:rPr>
        <w:t>(</w:t>
      </w:r>
      <w:r w:rsidRPr="008E2BB6">
        <w:rPr>
          <w:rStyle w:val="ae"/>
          <w:rFonts w:ascii="Traditional Arabic" w:hAnsi="Traditional Arabic"/>
          <w:color w:val="auto"/>
          <w:sz w:val="32"/>
          <w:szCs w:val="32"/>
          <w:vertAlign w:val="baseline"/>
        </w:rPr>
        <w:footnoteRef/>
      </w:r>
      <w:r>
        <w:rPr>
          <w:rFonts w:ascii="Traditional Arabic" w:hAnsi="Traditional Arabic"/>
          <w:color w:val="auto"/>
          <w:sz w:val="32"/>
          <w:szCs w:val="32"/>
          <w:rtl/>
        </w:rPr>
        <w:t>)</w:t>
      </w:r>
      <w:r w:rsidRPr="008E2BB6">
        <w:rPr>
          <w:rFonts w:ascii="Traditional Arabic" w:hAnsi="Traditional Arabic"/>
          <w:color w:val="auto"/>
          <w:sz w:val="32"/>
          <w:szCs w:val="32"/>
          <w:rtl/>
        </w:rPr>
        <w:t xml:space="preserve"> انظر: رموز الكنوز (4/403). </w:t>
      </w:r>
    </w:p>
  </w:footnote>
  <w:footnote w:id="2186">
    <w:p w:rsidR="003F128F" w:rsidRPr="008E2BB6" w:rsidRDefault="003F128F" w:rsidP="0063006E">
      <w:pPr>
        <w:pStyle w:val="af3"/>
        <w:rPr>
          <w:rFonts w:ascii="Traditional Arabic" w:hAnsi="Traditional Arabic"/>
          <w:sz w:val="32"/>
          <w:szCs w:val="32"/>
          <w:rtl/>
        </w:rPr>
      </w:pPr>
      <w:r w:rsidRPr="008E2BB6">
        <w:rPr>
          <w:rFonts w:ascii="Traditional Arabic" w:hAnsi="Traditional Arabic"/>
          <w:color w:val="auto"/>
          <w:sz w:val="32"/>
          <w:szCs w:val="32"/>
          <w:rtl/>
        </w:rPr>
        <w:t>(</w:t>
      </w:r>
      <w:r w:rsidRPr="008E2BB6">
        <w:rPr>
          <w:rStyle w:val="ae"/>
          <w:rFonts w:ascii="Traditional Arabic" w:hAnsi="Traditional Arabic"/>
          <w:color w:val="auto"/>
          <w:sz w:val="32"/>
          <w:szCs w:val="32"/>
          <w:vertAlign w:val="baseline"/>
        </w:rPr>
        <w:footnoteRef/>
      </w:r>
      <w:r w:rsidRPr="008E2BB6">
        <w:rPr>
          <w:rFonts w:ascii="Traditional Arabic" w:hAnsi="Traditional Arabic"/>
          <w:color w:val="auto"/>
          <w:sz w:val="32"/>
          <w:szCs w:val="32"/>
          <w:rtl/>
        </w:rPr>
        <w:t xml:space="preserve">) النكت والعيون </w:t>
      </w:r>
      <w:r w:rsidRPr="008E2BB6">
        <w:rPr>
          <w:rFonts w:ascii="Traditional Arabic" w:hAnsi="Traditional Arabic"/>
          <w:color w:val="auto"/>
          <w:sz w:val="32"/>
          <w:szCs w:val="32"/>
          <w:rtl/>
          <w:lang w:eastAsia="en-US"/>
        </w:rPr>
        <w:t>(3/363)</w:t>
      </w:r>
      <w:r w:rsidRPr="008E2BB6">
        <w:rPr>
          <w:rFonts w:ascii="Traditional Arabic" w:hAnsi="Traditional Arabic"/>
          <w:color w:val="auto"/>
          <w:sz w:val="32"/>
          <w:szCs w:val="32"/>
          <w:rtl/>
        </w:rPr>
        <w:t>, وذكره مكي في الهداية (7/4510) وابن عطية في المحرر الوجيز (4/9) ونسباه لوهب بن منبه. قال ابن عطية: "وهو ضعيف". وقال أبو حيان في البحر المحيط (7/248): "وقول من قال تقي: اسم رجل صالح أو رجل فاسد ليس بسديد".</w:t>
      </w:r>
    </w:p>
  </w:footnote>
  <w:footnote w:id="2187">
    <w:p w:rsidR="003F128F" w:rsidRPr="008E2BB6" w:rsidRDefault="003F128F" w:rsidP="0063006E">
      <w:pPr>
        <w:pStyle w:val="af3"/>
        <w:rPr>
          <w:rFonts w:ascii="Traditional Arabic" w:hAnsi="Traditional Arabic"/>
          <w:sz w:val="32"/>
          <w:szCs w:val="32"/>
        </w:rPr>
      </w:pPr>
      <w:r w:rsidRPr="008E2BB6">
        <w:rPr>
          <w:rFonts w:ascii="Traditional Arabic" w:hAnsi="Traditional Arabic"/>
          <w:sz w:val="32"/>
          <w:szCs w:val="32"/>
          <w:rtl/>
        </w:rPr>
        <w:t>(</w:t>
      </w:r>
      <w:r w:rsidRPr="008E2BB6">
        <w:rPr>
          <w:rStyle w:val="ae"/>
          <w:rFonts w:ascii="Traditional Arabic" w:hAnsi="Traditional Arabic"/>
          <w:sz w:val="32"/>
          <w:szCs w:val="32"/>
          <w:vertAlign w:val="baseline"/>
        </w:rPr>
        <w:footnoteRef/>
      </w:r>
      <w:r w:rsidRPr="008E2BB6">
        <w:rPr>
          <w:rFonts w:ascii="Traditional Arabic" w:hAnsi="Traditional Arabic"/>
          <w:sz w:val="32"/>
          <w:szCs w:val="32"/>
          <w:rtl/>
        </w:rPr>
        <w:t xml:space="preserve">) </w:t>
      </w:r>
      <w:r w:rsidRPr="008E2BB6">
        <w:rPr>
          <w:rFonts w:ascii="Traditional Arabic" w:hAnsi="Traditional Arabic"/>
          <w:color w:val="auto"/>
          <w:sz w:val="32"/>
          <w:szCs w:val="32"/>
          <w:rtl/>
        </w:rPr>
        <w:t>انظر: السبعة في القراءات (ص408), معاني القراءات (2/132).</w:t>
      </w:r>
      <w:r w:rsidRPr="008E2BB6">
        <w:rPr>
          <w:rFonts w:ascii="Traditional Arabic" w:hAnsi="Traditional Arabic"/>
          <w:sz w:val="32"/>
          <w:szCs w:val="32"/>
          <w:rtl/>
        </w:rPr>
        <w:t xml:space="preserve">  </w:t>
      </w:r>
    </w:p>
  </w:footnote>
  <w:footnote w:id="2188">
    <w:p w:rsidR="003F128F" w:rsidRPr="008E2BB6" w:rsidRDefault="003F128F" w:rsidP="0063006E">
      <w:pPr>
        <w:pStyle w:val="af3"/>
        <w:rPr>
          <w:rFonts w:ascii="Traditional Arabic" w:hAnsi="Traditional Arabic"/>
          <w:sz w:val="32"/>
          <w:szCs w:val="32"/>
        </w:rPr>
      </w:pPr>
      <w:r w:rsidRPr="008E2BB6">
        <w:rPr>
          <w:rFonts w:ascii="Traditional Arabic" w:hAnsi="Traditional Arabic"/>
          <w:sz w:val="32"/>
          <w:szCs w:val="32"/>
          <w:rtl/>
        </w:rPr>
        <w:t>(</w:t>
      </w:r>
      <w:r w:rsidRPr="008E2BB6">
        <w:rPr>
          <w:rStyle w:val="ae"/>
          <w:rFonts w:ascii="Traditional Arabic" w:hAnsi="Traditional Arabic"/>
          <w:sz w:val="32"/>
          <w:szCs w:val="32"/>
          <w:vertAlign w:val="baseline"/>
        </w:rPr>
        <w:footnoteRef/>
      </w:r>
      <w:r w:rsidRPr="008E2BB6">
        <w:rPr>
          <w:rFonts w:ascii="Traditional Arabic" w:hAnsi="Traditional Arabic"/>
          <w:sz w:val="32"/>
          <w:szCs w:val="32"/>
          <w:rtl/>
        </w:rPr>
        <w:t xml:space="preserve">) انظر: </w:t>
      </w:r>
      <w:r w:rsidRPr="008E2BB6">
        <w:rPr>
          <w:rFonts w:ascii="Traditional Arabic" w:hAnsi="Traditional Arabic"/>
          <w:color w:val="auto"/>
          <w:sz w:val="32"/>
          <w:szCs w:val="32"/>
          <w:rtl/>
        </w:rPr>
        <w:t>معاني القرآن وإعرابه (3/323).</w:t>
      </w:r>
    </w:p>
  </w:footnote>
  <w:footnote w:id="2189">
    <w:p w:rsidR="003F128F" w:rsidRPr="008E2BB6" w:rsidRDefault="003F128F" w:rsidP="0063006E">
      <w:pPr>
        <w:pStyle w:val="af3"/>
        <w:rPr>
          <w:rFonts w:ascii="Traditional Arabic" w:hAnsi="Traditional Arabic"/>
          <w:sz w:val="32"/>
          <w:szCs w:val="32"/>
        </w:rPr>
      </w:pPr>
      <w:r w:rsidRPr="008E2BB6">
        <w:rPr>
          <w:rFonts w:ascii="Traditional Arabic" w:hAnsi="Traditional Arabic"/>
          <w:sz w:val="32"/>
          <w:szCs w:val="32"/>
          <w:rtl/>
        </w:rPr>
        <w:t>(</w:t>
      </w:r>
      <w:r w:rsidRPr="008E2BB6">
        <w:rPr>
          <w:rStyle w:val="ae"/>
          <w:rFonts w:ascii="Traditional Arabic" w:hAnsi="Traditional Arabic"/>
          <w:sz w:val="32"/>
          <w:szCs w:val="32"/>
          <w:vertAlign w:val="baseline"/>
        </w:rPr>
        <w:footnoteRef/>
      </w:r>
      <w:r w:rsidRPr="008E2BB6">
        <w:rPr>
          <w:rFonts w:ascii="Traditional Arabic" w:hAnsi="Traditional Arabic"/>
          <w:sz w:val="32"/>
          <w:szCs w:val="32"/>
          <w:rtl/>
        </w:rPr>
        <w:t xml:space="preserve">) ذكر بنحوه الطبري في تفسيره (18/164), ومكي في الهداية (7/4511). </w:t>
      </w:r>
    </w:p>
  </w:footnote>
  <w:footnote w:id="2190">
    <w:p w:rsidR="003F128F" w:rsidRPr="008E2BB6" w:rsidRDefault="003F128F" w:rsidP="0063006E">
      <w:pPr>
        <w:pStyle w:val="af3"/>
        <w:rPr>
          <w:rFonts w:ascii="Traditional Arabic" w:hAnsi="Traditional Arabic"/>
          <w:sz w:val="32"/>
          <w:szCs w:val="32"/>
        </w:rPr>
      </w:pPr>
      <w:r w:rsidRPr="008E2BB6">
        <w:rPr>
          <w:rFonts w:ascii="Traditional Arabic" w:hAnsi="Traditional Arabic"/>
          <w:sz w:val="32"/>
          <w:szCs w:val="32"/>
          <w:rtl/>
        </w:rPr>
        <w:t>(</w:t>
      </w:r>
      <w:r w:rsidRPr="008E2BB6">
        <w:rPr>
          <w:rStyle w:val="ae"/>
          <w:rFonts w:ascii="Traditional Arabic" w:hAnsi="Traditional Arabic"/>
          <w:sz w:val="32"/>
          <w:szCs w:val="32"/>
          <w:vertAlign w:val="baseline"/>
        </w:rPr>
        <w:footnoteRef/>
      </w:r>
      <w:r w:rsidRPr="008E2BB6">
        <w:rPr>
          <w:rFonts w:ascii="Traditional Arabic" w:hAnsi="Traditional Arabic"/>
          <w:sz w:val="32"/>
          <w:szCs w:val="32"/>
          <w:rtl/>
        </w:rPr>
        <w:t xml:space="preserve">) ذكر بنحوه الطبري في تفسيره (18/188), </w:t>
      </w:r>
      <w:r w:rsidRPr="008E2BB6">
        <w:rPr>
          <w:rFonts w:ascii="Traditional Arabic" w:hAnsi="Traditional Arabic"/>
          <w:color w:val="auto"/>
          <w:sz w:val="32"/>
          <w:szCs w:val="32"/>
          <w:rtl/>
        </w:rPr>
        <w:t>وابن عطية في المحرر الوجيز (4/9).</w:t>
      </w:r>
      <w:r w:rsidRPr="008E2BB6">
        <w:rPr>
          <w:rFonts w:ascii="Traditional Arabic" w:hAnsi="Traditional Arabic"/>
          <w:sz w:val="32"/>
          <w:szCs w:val="32"/>
          <w:rtl/>
        </w:rPr>
        <w:t xml:space="preserve"> </w:t>
      </w:r>
    </w:p>
  </w:footnote>
  <w:footnote w:id="2191">
    <w:p w:rsidR="003F128F" w:rsidRPr="008E2BB6" w:rsidRDefault="003F128F" w:rsidP="0063006E">
      <w:pPr>
        <w:pStyle w:val="af3"/>
        <w:rPr>
          <w:rFonts w:ascii="Tahoma" w:hAnsi="Tahoma"/>
        </w:rPr>
      </w:pPr>
      <w:r w:rsidRPr="008E2BB6">
        <w:rPr>
          <w:rFonts w:ascii="Traditional Arabic" w:hAnsi="Traditional Arabic"/>
          <w:sz w:val="32"/>
          <w:szCs w:val="32"/>
          <w:rtl/>
        </w:rPr>
        <w:t>(</w:t>
      </w:r>
      <w:r w:rsidRPr="008E2BB6">
        <w:rPr>
          <w:rStyle w:val="ae"/>
          <w:rFonts w:ascii="Traditional Arabic" w:hAnsi="Traditional Arabic"/>
          <w:sz w:val="32"/>
          <w:szCs w:val="32"/>
          <w:vertAlign w:val="baseline"/>
        </w:rPr>
        <w:footnoteRef/>
      </w:r>
      <w:r w:rsidRPr="008E2BB6">
        <w:rPr>
          <w:rFonts w:ascii="Traditional Arabic" w:hAnsi="Traditional Arabic"/>
          <w:sz w:val="32"/>
          <w:szCs w:val="32"/>
          <w:rtl/>
        </w:rPr>
        <w:t>) ذكر</w:t>
      </w:r>
      <w:r>
        <w:rPr>
          <w:rFonts w:ascii="Traditional Arabic" w:hAnsi="Traditional Arabic" w:hint="cs"/>
          <w:sz w:val="32"/>
          <w:szCs w:val="32"/>
          <w:rtl/>
        </w:rPr>
        <w:t xml:space="preserve">ه </w:t>
      </w:r>
      <w:r w:rsidRPr="008E2BB6">
        <w:rPr>
          <w:rFonts w:ascii="Traditional Arabic" w:hAnsi="Traditional Arabic"/>
          <w:sz w:val="32"/>
          <w:szCs w:val="32"/>
          <w:rtl/>
        </w:rPr>
        <w:t>الواحدي في التفسير الوسيط (3/180).</w:t>
      </w:r>
      <w:r>
        <w:rPr>
          <w:rFonts w:ascii="Tahoma" w:hAnsi="Tahoma"/>
          <w:rtl/>
        </w:rPr>
        <w:t xml:space="preserve"> </w:t>
      </w:r>
    </w:p>
  </w:footnote>
  <w:footnote w:id="2192">
    <w:p w:rsidR="003F128F" w:rsidRPr="004C2871" w:rsidRDefault="003F128F" w:rsidP="00D92D3F">
      <w:pPr>
        <w:pStyle w:val="af3"/>
        <w:rPr>
          <w:rFonts w:ascii="Traditional Arabic" w:hAnsi="Traditional Arabic"/>
          <w:color w:val="auto"/>
          <w:sz w:val="32"/>
          <w:szCs w:val="32"/>
        </w:rPr>
      </w:pPr>
      <w:r w:rsidRPr="004C2871">
        <w:rPr>
          <w:rFonts w:ascii="Traditional Arabic" w:hAnsi="Traditional Arabic"/>
          <w:color w:val="auto"/>
          <w:sz w:val="32"/>
          <w:szCs w:val="32"/>
          <w:rtl/>
        </w:rPr>
        <w:t>(</w:t>
      </w:r>
      <w:r w:rsidRPr="004C2871">
        <w:rPr>
          <w:rStyle w:val="ae"/>
          <w:rFonts w:ascii="Traditional Arabic" w:hAnsi="Traditional Arabic"/>
          <w:color w:val="auto"/>
          <w:sz w:val="32"/>
          <w:szCs w:val="32"/>
          <w:vertAlign w:val="baseline"/>
        </w:rPr>
        <w:footnoteRef/>
      </w:r>
      <w:r w:rsidRPr="004C2871">
        <w:rPr>
          <w:rFonts w:ascii="Traditional Arabic" w:hAnsi="Traditional Arabic"/>
          <w:color w:val="auto"/>
          <w:sz w:val="32"/>
          <w:szCs w:val="32"/>
          <w:rtl/>
        </w:rPr>
        <w:t>) تقدم في (ص</w:t>
      </w:r>
      <w:r>
        <w:rPr>
          <w:rFonts w:ascii="Traditional Arabic" w:hAnsi="Traditional Arabic" w:hint="cs"/>
          <w:color w:val="auto"/>
          <w:sz w:val="32"/>
          <w:szCs w:val="32"/>
          <w:rtl/>
        </w:rPr>
        <w:t>298</w:t>
      </w:r>
      <w:r w:rsidRPr="004C2871">
        <w:rPr>
          <w:rFonts w:ascii="Traditional Arabic" w:hAnsi="Traditional Arabic"/>
          <w:color w:val="auto"/>
          <w:sz w:val="32"/>
          <w:szCs w:val="32"/>
          <w:rtl/>
        </w:rPr>
        <w:t>).</w:t>
      </w:r>
    </w:p>
  </w:footnote>
  <w:footnote w:id="2193">
    <w:p w:rsidR="003F128F" w:rsidRPr="004C2871" w:rsidRDefault="003F128F" w:rsidP="0063006E">
      <w:pPr>
        <w:pStyle w:val="af3"/>
        <w:rPr>
          <w:rFonts w:ascii="Traditional Arabic" w:hAnsi="Traditional Arabic"/>
          <w:color w:val="auto"/>
          <w:sz w:val="32"/>
          <w:szCs w:val="32"/>
        </w:rPr>
      </w:pPr>
      <w:r w:rsidRPr="004C2871">
        <w:rPr>
          <w:rFonts w:ascii="Traditional Arabic" w:hAnsi="Traditional Arabic"/>
          <w:color w:val="auto"/>
          <w:sz w:val="32"/>
          <w:szCs w:val="32"/>
          <w:rtl/>
        </w:rPr>
        <w:t>(</w:t>
      </w:r>
      <w:r w:rsidRPr="004C2871">
        <w:rPr>
          <w:rStyle w:val="ae"/>
          <w:rFonts w:ascii="Traditional Arabic" w:hAnsi="Traditional Arabic"/>
          <w:color w:val="auto"/>
          <w:sz w:val="32"/>
          <w:szCs w:val="32"/>
          <w:vertAlign w:val="baseline"/>
        </w:rPr>
        <w:footnoteRef/>
      </w:r>
      <w:r w:rsidRPr="004C2871">
        <w:rPr>
          <w:rFonts w:ascii="Traditional Arabic" w:hAnsi="Traditional Arabic"/>
          <w:color w:val="auto"/>
          <w:sz w:val="32"/>
          <w:szCs w:val="32"/>
          <w:rtl/>
        </w:rPr>
        <w:t xml:space="preserve">) انظر: التفسير البسيط (14/217).  </w:t>
      </w:r>
    </w:p>
  </w:footnote>
  <w:footnote w:id="2194">
    <w:p w:rsidR="003F128F" w:rsidRPr="004C2871" w:rsidRDefault="003F128F" w:rsidP="0063006E">
      <w:pPr>
        <w:pStyle w:val="af3"/>
        <w:rPr>
          <w:rFonts w:ascii="Traditional Arabic" w:hAnsi="Traditional Arabic"/>
          <w:sz w:val="32"/>
          <w:szCs w:val="32"/>
        </w:rPr>
      </w:pPr>
      <w:r w:rsidRPr="004C2871">
        <w:rPr>
          <w:rFonts w:ascii="Traditional Arabic" w:hAnsi="Traditional Arabic"/>
          <w:sz w:val="32"/>
          <w:szCs w:val="32"/>
          <w:rtl/>
        </w:rPr>
        <w:t>(</w:t>
      </w:r>
      <w:r w:rsidRPr="004C2871">
        <w:rPr>
          <w:rStyle w:val="ae"/>
          <w:rFonts w:ascii="Traditional Arabic" w:hAnsi="Traditional Arabic"/>
          <w:sz w:val="32"/>
          <w:szCs w:val="32"/>
          <w:vertAlign w:val="baseline"/>
        </w:rPr>
        <w:footnoteRef/>
      </w:r>
      <w:r w:rsidRPr="004C2871">
        <w:rPr>
          <w:rFonts w:ascii="Traditional Arabic" w:hAnsi="Traditional Arabic"/>
          <w:sz w:val="32"/>
          <w:szCs w:val="32"/>
          <w:rtl/>
        </w:rPr>
        <w:t xml:space="preserve">) انظر: </w:t>
      </w:r>
      <w:r w:rsidRPr="004C2871">
        <w:rPr>
          <w:rFonts w:ascii="Traditional Arabic" w:hAnsi="Traditional Arabic"/>
          <w:color w:val="auto"/>
          <w:sz w:val="32"/>
          <w:szCs w:val="32"/>
          <w:rtl/>
        </w:rPr>
        <w:t xml:space="preserve">التفسير الوسيط (3/180). </w:t>
      </w:r>
      <w:r w:rsidRPr="004C2871">
        <w:rPr>
          <w:rFonts w:ascii="Traditional Arabic" w:hAnsi="Traditional Arabic"/>
          <w:sz w:val="32"/>
          <w:szCs w:val="32"/>
          <w:rtl/>
        </w:rPr>
        <w:t xml:space="preserve"> </w:t>
      </w:r>
    </w:p>
  </w:footnote>
  <w:footnote w:id="2195">
    <w:p w:rsidR="003F128F" w:rsidRPr="004C2871" w:rsidRDefault="003F128F" w:rsidP="0063006E">
      <w:pPr>
        <w:pStyle w:val="af3"/>
        <w:rPr>
          <w:rFonts w:ascii="Traditional Arabic" w:hAnsi="Traditional Arabic"/>
          <w:color w:val="auto"/>
          <w:sz w:val="32"/>
          <w:szCs w:val="32"/>
        </w:rPr>
      </w:pPr>
      <w:r w:rsidRPr="004C2871">
        <w:rPr>
          <w:rFonts w:ascii="Traditional Arabic" w:hAnsi="Traditional Arabic"/>
          <w:color w:val="auto"/>
          <w:sz w:val="32"/>
          <w:szCs w:val="32"/>
          <w:rtl/>
        </w:rPr>
        <w:t>(</w:t>
      </w:r>
      <w:r w:rsidRPr="004C2871">
        <w:rPr>
          <w:rStyle w:val="ae"/>
          <w:rFonts w:ascii="Traditional Arabic" w:hAnsi="Traditional Arabic"/>
          <w:color w:val="auto"/>
          <w:sz w:val="32"/>
          <w:szCs w:val="32"/>
          <w:vertAlign w:val="baseline"/>
        </w:rPr>
        <w:footnoteRef/>
      </w:r>
      <w:r w:rsidRPr="004C2871">
        <w:rPr>
          <w:rFonts w:ascii="Traditional Arabic" w:hAnsi="Traditional Arabic"/>
          <w:color w:val="auto"/>
          <w:sz w:val="32"/>
          <w:szCs w:val="32"/>
          <w:rtl/>
        </w:rPr>
        <w:t xml:space="preserve">) </w:t>
      </w:r>
      <w:r>
        <w:rPr>
          <w:rFonts w:ascii="Traditional Arabic" w:hAnsi="Traditional Arabic" w:hint="cs"/>
          <w:color w:val="auto"/>
          <w:sz w:val="32"/>
          <w:szCs w:val="32"/>
          <w:rtl/>
        </w:rPr>
        <w:t>انظر: تاريخ ابن عساكر (70/83), الدر المنثور (5/494).</w:t>
      </w:r>
    </w:p>
  </w:footnote>
  <w:footnote w:id="2196">
    <w:p w:rsidR="003F128F" w:rsidRPr="004C2871" w:rsidRDefault="003F128F" w:rsidP="0063006E">
      <w:pPr>
        <w:pStyle w:val="af3"/>
        <w:rPr>
          <w:rFonts w:ascii="Traditional Arabic" w:hAnsi="Traditional Arabic"/>
          <w:color w:val="auto"/>
          <w:sz w:val="32"/>
          <w:szCs w:val="32"/>
          <w:rtl/>
        </w:rPr>
      </w:pPr>
      <w:r w:rsidRPr="004C2871">
        <w:rPr>
          <w:rFonts w:ascii="Traditional Arabic" w:hAnsi="Traditional Arabic"/>
          <w:color w:val="auto"/>
          <w:sz w:val="32"/>
          <w:szCs w:val="32"/>
          <w:rtl/>
        </w:rPr>
        <w:t>(</w:t>
      </w:r>
      <w:r w:rsidRPr="004C2871">
        <w:rPr>
          <w:rStyle w:val="ae"/>
          <w:rFonts w:ascii="Traditional Arabic" w:hAnsi="Traditional Arabic"/>
          <w:color w:val="auto"/>
          <w:sz w:val="32"/>
          <w:szCs w:val="32"/>
          <w:vertAlign w:val="baseline"/>
        </w:rPr>
        <w:footnoteRef/>
      </w:r>
      <w:r w:rsidRPr="004C2871">
        <w:rPr>
          <w:rFonts w:ascii="Traditional Arabic" w:hAnsi="Traditional Arabic"/>
          <w:color w:val="auto"/>
          <w:sz w:val="32"/>
          <w:szCs w:val="32"/>
          <w:rtl/>
        </w:rPr>
        <w:t>)</w:t>
      </w:r>
      <w:r>
        <w:rPr>
          <w:rFonts w:ascii="Traditional Arabic" w:hAnsi="Traditional Arabic" w:hint="cs"/>
          <w:color w:val="auto"/>
          <w:sz w:val="32"/>
          <w:szCs w:val="32"/>
          <w:rtl/>
        </w:rPr>
        <w:t xml:space="preserve"> </w:t>
      </w:r>
      <w:r w:rsidRPr="00A628E1">
        <w:rPr>
          <w:rFonts w:ascii="Traditional Arabic" w:hAnsi="Traditional Arabic"/>
          <w:color w:val="auto"/>
          <w:sz w:val="32"/>
          <w:szCs w:val="32"/>
          <w:rtl/>
        </w:rPr>
        <w:t>انظر: تفسير الطبري (18/16</w:t>
      </w:r>
      <w:r>
        <w:rPr>
          <w:rFonts w:ascii="Traditional Arabic" w:hAnsi="Traditional Arabic" w:hint="cs"/>
          <w:color w:val="auto"/>
          <w:sz w:val="32"/>
          <w:szCs w:val="32"/>
          <w:rtl/>
        </w:rPr>
        <w:t>6</w:t>
      </w:r>
      <w:r w:rsidRPr="00A628E1">
        <w:rPr>
          <w:rFonts w:ascii="Traditional Arabic" w:hAnsi="Traditional Arabic"/>
          <w:color w:val="auto"/>
          <w:sz w:val="32"/>
          <w:szCs w:val="32"/>
          <w:rtl/>
        </w:rPr>
        <w:t>),</w:t>
      </w:r>
      <w:r>
        <w:rPr>
          <w:rFonts w:ascii="Traditional Arabic" w:hAnsi="Traditional Arabic" w:hint="cs"/>
          <w:color w:val="auto"/>
          <w:sz w:val="32"/>
          <w:szCs w:val="32"/>
          <w:rtl/>
        </w:rPr>
        <w:t xml:space="preserve"> الهداية (7/4515).</w:t>
      </w:r>
    </w:p>
  </w:footnote>
  <w:footnote w:id="2197">
    <w:p w:rsidR="003F128F" w:rsidRPr="006D0707" w:rsidRDefault="003F128F" w:rsidP="0063006E">
      <w:pPr>
        <w:pStyle w:val="af3"/>
        <w:rPr>
          <w:rFonts w:ascii="Tahoma" w:hAnsi="Tahoma"/>
        </w:rPr>
      </w:pPr>
      <w:r w:rsidRPr="004C2871">
        <w:rPr>
          <w:rFonts w:ascii="Traditional Arabic" w:hAnsi="Traditional Arabic"/>
          <w:color w:val="auto"/>
          <w:sz w:val="32"/>
          <w:szCs w:val="32"/>
          <w:rtl/>
        </w:rPr>
        <w:t>(</w:t>
      </w:r>
      <w:r w:rsidRPr="004C2871">
        <w:rPr>
          <w:rStyle w:val="ae"/>
          <w:rFonts w:ascii="Traditional Arabic" w:hAnsi="Traditional Arabic"/>
          <w:color w:val="auto"/>
          <w:sz w:val="32"/>
          <w:szCs w:val="32"/>
          <w:vertAlign w:val="baseline"/>
        </w:rPr>
        <w:footnoteRef/>
      </w:r>
      <w:r w:rsidRPr="004C2871">
        <w:rPr>
          <w:rFonts w:ascii="Traditional Arabic" w:hAnsi="Traditional Arabic"/>
          <w:color w:val="auto"/>
          <w:sz w:val="32"/>
          <w:szCs w:val="32"/>
          <w:rtl/>
        </w:rPr>
        <w:t>)</w:t>
      </w:r>
      <w:r>
        <w:rPr>
          <w:rFonts w:ascii="Traditional Arabic" w:hAnsi="Traditional Arabic" w:hint="cs"/>
          <w:color w:val="auto"/>
          <w:sz w:val="32"/>
          <w:szCs w:val="32"/>
          <w:rtl/>
        </w:rPr>
        <w:t xml:space="preserve"> </w:t>
      </w:r>
      <w:r w:rsidRPr="00A628E1">
        <w:rPr>
          <w:rFonts w:ascii="Traditional Arabic" w:hAnsi="Traditional Arabic"/>
          <w:color w:val="auto"/>
          <w:sz w:val="32"/>
          <w:szCs w:val="32"/>
          <w:rtl/>
        </w:rPr>
        <w:t>انظر: تفسير الطبري (18/16</w:t>
      </w:r>
      <w:r>
        <w:rPr>
          <w:rFonts w:ascii="Traditional Arabic" w:hAnsi="Traditional Arabic" w:hint="cs"/>
          <w:color w:val="auto"/>
          <w:sz w:val="32"/>
          <w:szCs w:val="32"/>
          <w:rtl/>
        </w:rPr>
        <w:t>6</w:t>
      </w:r>
      <w:r w:rsidRPr="00A628E1">
        <w:rPr>
          <w:rFonts w:ascii="Traditional Arabic" w:hAnsi="Traditional Arabic"/>
          <w:color w:val="auto"/>
          <w:sz w:val="32"/>
          <w:szCs w:val="32"/>
          <w:rtl/>
        </w:rPr>
        <w:t>),</w:t>
      </w:r>
      <w:r>
        <w:rPr>
          <w:rFonts w:ascii="Traditional Arabic" w:hAnsi="Traditional Arabic" w:hint="cs"/>
          <w:color w:val="auto"/>
          <w:sz w:val="32"/>
          <w:szCs w:val="32"/>
          <w:rtl/>
        </w:rPr>
        <w:t xml:space="preserve"> وذكره </w:t>
      </w:r>
      <w:r w:rsidRPr="008318B2">
        <w:rPr>
          <w:rFonts w:ascii="Traditional Arabic" w:hAnsi="Traditional Arabic" w:hint="cs"/>
          <w:color w:val="auto"/>
          <w:sz w:val="32"/>
          <w:szCs w:val="32"/>
          <w:rtl/>
        </w:rPr>
        <w:t>السيوطي في الدر المنثور (5/</w:t>
      </w:r>
      <w:r>
        <w:rPr>
          <w:rFonts w:ascii="Traditional Arabic" w:hAnsi="Traditional Arabic" w:hint="cs"/>
          <w:color w:val="auto"/>
          <w:sz w:val="32"/>
          <w:szCs w:val="32"/>
          <w:rtl/>
        </w:rPr>
        <w:t>502</w:t>
      </w:r>
      <w:r w:rsidRPr="008318B2">
        <w:rPr>
          <w:rFonts w:ascii="Traditional Arabic" w:hAnsi="Traditional Arabic" w:hint="cs"/>
          <w:color w:val="auto"/>
          <w:sz w:val="32"/>
          <w:szCs w:val="32"/>
          <w:rtl/>
        </w:rPr>
        <w:t>)</w:t>
      </w:r>
      <w:r>
        <w:rPr>
          <w:rFonts w:ascii="Traditional Arabic" w:hAnsi="Traditional Arabic" w:hint="cs"/>
          <w:color w:val="auto"/>
          <w:sz w:val="32"/>
          <w:szCs w:val="32"/>
          <w:rtl/>
        </w:rPr>
        <w:t xml:space="preserve"> وعزاه لابن المنذر</w:t>
      </w:r>
      <w:r w:rsidRPr="008318B2">
        <w:rPr>
          <w:rFonts w:ascii="Traditional Arabic" w:hAnsi="Traditional Arabic" w:hint="cs"/>
          <w:color w:val="auto"/>
          <w:sz w:val="32"/>
          <w:szCs w:val="32"/>
          <w:rtl/>
        </w:rPr>
        <w:t>.</w:t>
      </w:r>
      <w:r w:rsidRPr="004C2871">
        <w:rPr>
          <w:rFonts w:ascii="Tahoma" w:hAnsi="Tahoma"/>
          <w:color w:val="auto"/>
          <w:rtl/>
        </w:rPr>
        <w:t xml:space="preserve">  </w:t>
      </w:r>
    </w:p>
  </w:footnote>
  <w:footnote w:id="2198">
    <w:p w:rsidR="003F128F" w:rsidRPr="00566199" w:rsidRDefault="003F128F" w:rsidP="0063006E">
      <w:pPr>
        <w:pStyle w:val="af3"/>
        <w:rPr>
          <w:rFonts w:ascii="Traditional Arabic" w:hAnsi="Traditional Arabic"/>
          <w:color w:val="auto"/>
          <w:sz w:val="32"/>
          <w:szCs w:val="32"/>
        </w:rPr>
      </w:pPr>
      <w:r w:rsidRPr="00566199">
        <w:rPr>
          <w:rFonts w:ascii="Traditional Arabic" w:hAnsi="Traditional Arabic"/>
          <w:color w:val="auto"/>
          <w:sz w:val="32"/>
          <w:szCs w:val="32"/>
          <w:rtl/>
        </w:rPr>
        <w:t>(</w:t>
      </w:r>
      <w:r w:rsidRPr="00566199">
        <w:rPr>
          <w:rStyle w:val="ae"/>
          <w:rFonts w:ascii="Traditional Arabic" w:hAnsi="Traditional Arabic"/>
          <w:color w:val="auto"/>
          <w:sz w:val="32"/>
          <w:szCs w:val="32"/>
          <w:vertAlign w:val="baseline"/>
        </w:rPr>
        <w:footnoteRef/>
      </w:r>
      <w:r w:rsidRPr="00566199">
        <w:rPr>
          <w:rFonts w:ascii="Traditional Arabic" w:hAnsi="Traditional Arabic"/>
          <w:color w:val="auto"/>
          <w:sz w:val="32"/>
          <w:szCs w:val="32"/>
          <w:rtl/>
        </w:rPr>
        <w:t xml:space="preserve">) انظر: بحر العلوم (2/371), الكشف والبيان (6/210), النكت والعيون </w:t>
      </w:r>
      <w:r w:rsidRPr="00566199">
        <w:rPr>
          <w:rFonts w:ascii="Traditional Arabic" w:hAnsi="Traditional Arabic"/>
          <w:color w:val="auto"/>
          <w:sz w:val="32"/>
          <w:szCs w:val="32"/>
          <w:rtl/>
          <w:lang w:eastAsia="en-US"/>
        </w:rPr>
        <w:t>(3/362)</w:t>
      </w:r>
      <w:r w:rsidRPr="00566199">
        <w:rPr>
          <w:rFonts w:ascii="Traditional Arabic" w:hAnsi="Traditional Arabic"/>
          <w:color w:val="auto"/>
          <w:sz w:val="32"/>
          <w:szCs w:val="32"/>
          <w:rtl/>
        </w:rPr>
        <w:t xml:space="preserve">. </w:t>
      </w:r>
    </w:p>
  </w:footnote>
  <w:footnote w:id="2199">
    <w:p w:rsidR="003F128F" w:rsidRPr="00566199" w:rsidRDefault="003F128F" w:rsidP="0063006E">
      <w:pPr>
        <w:pStyle w:val="af3"/>
        <w:rPr>
          <w:rFonts w:ascii="Traditional Arabic" w:hAnsi="Traditional Arabic"/>
          <w:color w:val="auto"/>
          <w:sz w:val="32"/>
          <w:szCs w:val="32"/>
        </w:rPr>
      </w:pPr>
      <w:r w:rsidRPr="00566199">
        <w:rPr>
          <w:rFonts w:ascii="Traditional Arabic" w:hAnsi="Traditional Arabic"/>
          <w:color w:val="auto"/>
          <w:sz w:val="32"/>
          <w:szCs w:val="32"/>
          <w:rtl/>
        </w:rPr>
        <w:t>(</w:t>
      </w:r>
      <w:r w:rsidRPr="00566199">
        <w:rPr>
          <w:rStyle w:val="ae"/>
          <w:rFonts w:ascii="Traditional Arabic" w:hAnsi="Traditional Arabic"/>
          <w:color w:val="auto"/>
          <w:sz w:val="32"/>
          <w:szCs w:val="32"/>
          <w:vertAlign w:val="baseline"/>
        </w:rPr>
        <w:footnoteRef/>
      </w:r>
      <w:r w:rsidRPr="00566199">
        <w:rPr>
          <w:rFonts w:ascii="Traditional Arabic" w:hAnsi="Traditional Arabic"/>
          <w:color w:val="auto"/>
          <w:sz w:val="32"/>
          <w:szCs w:val="32"/>
          <w:rtl/>
        </w:rPr>
        <w:t xml:space="preserve">) انظر: تاريخ ابن عساكر (47/352), الدر المنثور (5/497). </w:t>
      </w:r>
    </w:p>
  </w:footnote>
  <w:footnote w:id="2200">
    <w:p w:rsidR="003F128F" w:rsidRPr="00566199" w:rsidRDefault="003F128F" w:rsidP="0063006E">
      <w:pPr>
        <w:pStyle w:val="af3"/>
        <w:rPr>
          <w:rFonts w:ascii="Traditional Arabic" w:hAnsi="Traditional Arabic"/>
          <w:color w:val="auto"/>
          <w:sz w:val="32"/>
          <w:szCs w:val="32"/>
        </w:rPr>
      </w:pPr>
      <w:r w:rsidRPr="00566199">
        <w:rPr>
          <w:rFonts w:ascii="Traditional Arabic" w:hAnsi="Traditional Arabic"/>
          <w:color w:val="auto"/>
          <w:sz w:val="32"/>
          <w:szCs w:val="32"/>
          <w:rtl/>
        </w:rPr>
        <w:t>(</w:t>
      </w:r>
      <w:r w:rsidRPr="00566199">
        <w:rPr>
          <w:rStyle w:val="ae"/>
          <w:rFonts w:ascii="Traditional Arabic" w:hAnsi="Traditional Arabic"/>
          <w:color w:val="auto"/>
          <w:sz w:val="32"/>
          <w:szCs w:val="32"/>
          <w:vertAlign w:val="baseline"/>
        </w:rPr>
        <w:footnoteRef/>
      </w:r>
      <w:r w:rsidRPr="00566199">
        <w:rPr>
          <w:rFonts w:ascii="Traditional Arabic" w:hAnsi="Traditional Arabic"/>
          <w:color w:val="auto"/>
          <w:sz w:val="32"/>
          <w:szCs w:val="32"/>
          <w:rtl/>
        </w:rPr>
        <w:t xml:space="preserve">) انظر: رموز الكنوز (4/406), وذكره السمرقندي في بحر العلوم (2/371) ونسبه لوهب بن منبه, والثعلبي في الكشف والبيان (6/210) وغيره غير منسوب. </w:t>
      </w:r>
    </w:p>
  </w:footnote>
  <w:footnote w:id="2201">
    <w:p w:rsidR="003F128F" w:rsidRPr="00566199" w:rsidRDefault="003F128F" w:rsidP="0063006E">
      <w:pPr>
        <w:pStyle w:val="af3"/>
        <w:rPr>
          <w:rFonts w:ascii="Traditional Arabic" w:hAnsi="Traditional Arabic"/>
          <w:color w:val="auto"/>
          <w:sz w:val="32"/>
          <w:szCs w:val="32"/>
        </w:rPr>
      </w:pPr>
      <w:r w:rsidRPr="00566199">
        <w:rPr>
          <w:rFonts w:ascii="Traditional Arabic" w:hAnsi="Traditional Arabic"/>
          <w:color w:val="auto"/>
          <w:sz w:val="32"/>
          <w:szCs w:val="32"/>
          <w:rtl/>
        </w:rPr>
        <w:t>(</w:t>
      </w:r>
      <w:r w:rsidRPr="00566199">
        <w:rPr>
          <w:rStyle w:val="ae"/>
          <w:rFonts w:ascii="Traditional Arabic" w:hAnsi="Traditional Arabic"/>
          <w:color w:val="auto"/>
          <w:sz w:val="32"/>
          <w:szCs w:val="32"/>
          <w:vertAlign w:val="baseline"/>
        </w:rPr>
        <w:footnoteRef/>
      </w:r>
      <w:r w:rsidRPr="00566199">
        <w:rPr>
          <w:rFonts w:ascii="Traditional Arabic" w:hAnsi="Traditional Arabic"/>
          <w:color w:val="auto"/>
          <w:sz w:val="32"/>
          <w:szCs w:val="32"/>
          <w:rtl/>
        </w:rPr>
        <w:t xml:space="preserve">) النكت والعيون </w:t>
      </w:r>
      <w:r w:rsidRPr="00566199">
        <w:rPr>
          <w:rFonts w:ascii="Traditional Arabic" w:hAnsi="Traditional Arabic"/>
          <w:color w:val="auto"/>
          <w:sz w:val="32"/>
          <w:szCs w:val="32"/>
          <w:rtl/>
          <w:lang w:eastAsia="en-US"/>
        </w:rPr>
        <w:t>(3/362)</w:t>
      </w:r>
      <w:r w:rsidRPr="00566199">
        <w:rPr>
          <w:rFonts w:ascii="Traditional Arabic" w:hAnsi="Traditional Arabic"/>
          <w:color w:val="auto"/>
          <w:sz w:val="32"/>
          <w:szCs w:val="32"/>
          <w:rtl/>
        </w:rPr>
        <w:t>.</w:t>
      </w:r>
    </w:p>
  </w:footnote>
  <w:footnote w:id="2202">
    <w:p w:rsidR="003F128F" w:rsidRPr="00566199" w:rsidRDefault="003F128F" w:rsidP="0063006E">
      <w:pPr>
        <w:pStyle w:val="af3"/>
        <w:rPr>
          <w:rFonts w:ascii="Traditional Arabic" w:hAnsi="Traditional Arabic"/>
          <w:color w:val="auto"/>
          <w:sz w:val="32"/>
          <w:szCs w:val="32"/>
        </w:rPr>
      </w:pPr>
      <w:r w:rsidRPr="00566199">
        <w:rPr>
          <w:rFonts w:ascii="Traditional Arabic" w:hAnsi="Traditional Arabic"/>
          <w:color w:val="auto"/>
          <w:sz w:val="32"/>
          <w:szCs w:val="32"/>
          <w:rtl/>
        </w:rPr>
        <w:t>(</w:t>
      </w:r>
      <w:r w:rsidRPr="00566199">
        <w:rPr>
          <w:rStyle w:val="ae"/>
          <w:rFonts w:ascii="Traditional Arabic" w:hAnsi="Traditional Arabic"/>
          <w:color w:val="auto"/>
          <w:sz w:val="32"/>
          <w:szCs w:val="32"/>
          <w:vertAlign w:val="baseline"/>
        </w:rPr>
        <w:footnoteRef/>
      </w:r>
      <w:r w:rsidRPr="00566199">
        <w:rPr>
          <w:rFonts w:ascii="Traditional Arabic" w:hAnsi="Traditional Arabic"/>
          <w:color w:val="auto"/>
          <w:sz w:val="32"/>
          <w:szCs w:val="32"/>
          <w:rtl/>
        </w:rPr>
        <w:t xml:space="preserve">) تفسير مقاتل (2/624). </w:t>
      </w:r>
    </w:p>
  </w:footnote>
  <w:footnote w:id="2203">
    <w:p w:rsidR="003F128F" w:rsidRPr="003A6628" w:rsidRDefault="003F128F" w:rsidP="0063006E">
      <w:pPr>
        <w:pStyle w:val="af3"/>
        <w:rPr>
          <w:rFonts w:ascii="Traditional Arabic" w:hAnsi="Traditional Arabic"/>
          <w:sz w:val="32"/>
          <w:szCs w:val="32"/>
        </w:rPr>
      </w:pPr>
      <w:r w:rsidRPr="003A6628">
        <w:rPr>
          <w:rFonts w:ascii="Traditional Arabic" w:hAnsi="Traditional Arabic"/>
          <w:sz w:val="32"/>
          <w:szCs w:val="32"/>
          <w:rtl/>
        </w:rPr>
        <w:t>(</w:t>
      </w:r>
      <w:r w:rsidRPr="003A6628">
        <w:rPr>
          <w:rStyle w:val="ae"/>
          <w:rFonts w:ascii="Traditional Arabic" w:hAnsi="Traditional Arabic"/>
          <w:sz w:val="32"/>
          <w:szCs w:val="32"/>
          <w:vertAlign w:val="baseline"/>
        </w:rPr>
        <w:footnoteRef/>
      </w:r>
      <w:r w:rsidRPr="003A6628">
        <w:rPr>
          <w:rFonts w:ascii="Traditional Arabic" w:hAnsi="Traditional Arabic"/>
          <w:sz w:val="32"/>
          <w:szCs w:val="32"/>
          <w:rtl/>
        </w:rPr>
        <w:t>) في (ك): [ولم يعش قط مولود لثمانية أشهر].</w:t>
      </w:r>
    </w:p>
  </w:footnote>
  <w:footnote w:id="2204">
    <w:p w:rsidR="003F128F" w:rsidRPr="00566199" w:rsidRDefault="003F128F" w:rsidP="0063006E">
      <w:pPr>
        <w:pStyle w:val="af3"/>
        <w:rPr>
          <w:rFonts w:ascii="Traditional Arabic" w:hAnsi="Traditional Arabic"/>
          <w:color w:val="auto"/>
          <w:sz w:val="32"/>
          <w:szCs w:val="32"/>
        </w:rPr>
      </w:pPr>
      <w:r w:rsidRPr="00566199">
        <w:rPr>
          <w:rFonts w:ascii="Traditional Arabic" w:hAnsi="Traditional Arabic"/>
          <w:color w:val="auto"/>
          <w:sz w:val="32"/>
          <w:szCs w:val="32"/>
          <w:rtl/>
        </w:rPr>
        <w:t>(</w:t>
      </w:r>
      <w:r w:rsidRPr="00566199">
        <w:rPr>
          <w:rStyle w:val="ae"/>
          <w:rFonts w:ascii="Traditional Arabic" w:hAnsi="Traditional Arabic"/>
          <w:color w:val="auto"/>
          <w:sz w:val="32"/>
          <w:szCs w:val="32"/>
          <w:vertAlign w:val="baseline"/>
        </w:rPr>
        <w:footnoteRef/>
      </w:r>
      <w:r w:rsidRPr="00566199">
        <w:rPr>
          <w:rFonts w:ascii="Traditional Arabic" w:hAnsi="Traditional Arabic"/>
          <w:color w:val="auto"/>
          <w:sz w:val="32"/>
          <w:szCs w:val="32"/>
          <w:rtl/>
        </w:rPr>
        <w:t xml:space="preserve">) انظر: معاني القرآن وإعرابه (3/324).  </w:t>
      </w:r>
    </w:p>
  </w:footnote>
  <w:footnote w:id="2205">
    <w:p w:rsidR="003F128F" w:rsidRPr="00566199" w:rsidRDefault="003F128F" w:rsidP="0063006E">
      <w:pPr>
        <w:pStyle w:val="af3"/>
        <w:rPr>
          <w:rFonts w:ascii="Traditional Arabic" w:hAnsi="Traditional Arabic"/>
          <w:color w:val="auto"/>
          <w:sz w:val="32"/>
          <w:szCs w:val="32"/>
        </w:rPr>
      </w:pPr>
      <w:r w:rsidRPr="00566199">
        <w:rPr>
          <w:rFonts w:ascii="Traditional Arabic" w:hAnsi="Traditional Arabic"/>
          <w:color w:val="auto"/>
          <w:sz w:val="32"/>
          <w:szCs w:val="32"/>
          <w:rtl/>
        </w:rPr>
        <w:t>(</w:t>
      </w:r>
      <w:r w:rsidRPr="00566199">
        <w:rPr>
          <w:rStyle w:val="ae"/>
          <w:rFonts w:ascii="Traditional Arabic" w:hAnsi="Traditional Arabic"/>
          <w:color w:val="auto"/>
          <w:sz w:val="32"/>
          <w:szCs w:val="32"/>
          <w:vertAlign w:val="baseline"/>
        </w:rPr>
        <w:footnoteRef/>
      </w:r>
      <w:r w:rsidRPr="00566199">
        <w:rPr>
          <w:rFonts w:ascii="Traditional Arabic" w:hAnsi="Traditional Arabic"/>
          <w:color w:val="auto"/>
          <w:sz w:val="32"/>
          <w:szCs w:val="32"/>
          <w:rtl/>
        </w:rPr>
        <w:t xml:space="preserve">) انظر: النكت والعيون </w:t>
      </w:r>
      <w:r w:rsidRPr="00566199">
        <w:rPr>
          <w:rFonts w:ascii="Traditional Arabic" w:hAnsi="Traditional Arabic"/>
          <w:color w:val="auto"/>
          <w:sz w:val="32"/>
          <w:szCs w:val="32"/>
          <w:rtl/>
          <w:lang w:eastAsia="en-US"/>
        </w:rPr>
        <w:t>(3/363)</w:t>
      </w:r>
      <w:r w:rsidRPr="00566199">
        <w:rPr>
          <w:rFonts w:ascii="Traditional Arabic" w:hAnsi="Traditional Arabic"/>
          <w:color w:val="auto"/>
          <w:sz w:val="32"/>
          <w:szCs w:val="32"/>
          <w:rtl/>
        </w:rPr>
        <w:t xml:space="preserve">. </w:t>
      </w:r>
    </w:p>
  </w:footnote>
  <w:footnote w:id="2206">
    <w:p w:rsidR="003F128F" w:rsidRPr="00566199" w:rsidRDefault="003F128F" w:rsidP="0063006E">
      <w:pPr>
        <w:pStyle w:val="af3"/>
        <w:rPr>
          <w:rFonts w:ascii="Traditional Arabic" w:hAnsi="Traditional Arabic"/>
          <w:color w:val="auto"/>
          <w:sz w:val="32"/>
          <w:szCs w:val="32"/>
        </w:rPr>
      </w:pPr>
      <w:r w:rsidRPr="00566199">
        <w:rPr>
          <w:rFonts w:ascii="Traditional Arabic" w:hAnsi="Traditional Arabic"/>
          <w:color w:val="auto"/>
          <w:sz w:val="32"/>
          <w:szCs w:val="32"/>
          <w:rtl/>
        </w:rPr>
        <w:t>(</w:t>
      </w:r>
      <w:r w:rsidRPr="00566199">
        <w:rPr>
          <w:rStyle w:val="ae"/>
          <w:rFonts w:ascii="Traditional Arabic" w:hAnsi="Traditional Arabic"/>
          <w:color w:val="auto"/>
          <w:sz w:val="32"/>
          <w:szCs w:val="32"/>
          <w:vertAlign w:val="baseline"/>
        </w:rPr>
        <w:footnoteRef/>
      </w:r>
      <w:r w:rsidRPr="00566199">
        <w:rPr>
          <w:rFonts w:ascii="Traditional Arabic" w:hAnsi="Traditional Arabic"/>
          <w:color w:val="auto"/>
          <w:sz w:val="32"/>
          <w:szCs w:val="32"/>
          <w:rtl/>
        </w:rPr>
        <w:t xml:space="preserve">) انظر: الكشف والبيان (6/210). </w:t>
      </w:r>
    </w:p>
  </w:footnote>
  <w:footnote w:id="2207">
    <w:p w:rsidR="003F128F" w:rsidRPr="00566199" w:rsidRDefault="003F128F" w:rsidP="0063006E">
      <w:pPr>
        <w:pStyle w:val="af3"/>
        <w:rPr>
          <w:rFonts w:ascii="Traditional Arabic" w:hAnsi="Traditional Arabic"/>
          <w:color w:val="auto"/>
          <w:sz w:val="32"/>
          <w:szCs w:val="32"/>
        </w:rPr>
      </w:pPr>
      <w:r w:rsidRPr="00566199">
        <w:rPr>
          <w:rFonts w:ascii="Traditional Arabic" w:hAnsi="Traditional Arabic"/>
          <w:color w:val="auto"/>
          <w:sz w:val="32"/>
          <w:szCs w:val="32"/>
          <w:rtl/>
        </w:rPr>
        <w:t>(</w:t>
      </w:r>
      <w:r w:rsidRPr="00566199">
        <w:rPr>
          <w:rStyle w:val="ae"/>
          <w:rFonts w:ascii="Traditional Arabic" w:hAnsi="Traditional Arabic"/>
          <w:color w:val="auto"/>
          <w:sz w:val="32"/>
          <w:szCs w:val="32"/>
          <w:vertAlign w:val="baseline"/>
        </w:rPr>
        <w:footnoteRef/>
      </w:r>
      <w:r w:rsidRPr="00566199">
        <w:rPr>
          <w:rFonts w:ascii="Traditional Arabic" w:hAnsi="Traditional Arabic"/>
          <w:color w:val="auto"/>
          <w:sz w:val="32"/>
          <w:szCs w:val="32"/>
          <w:rtl/>
        </w:rPr>
        <w:t xml:space="preserve">) انظر: شواذ القراءة (ص146), معجم القراءات (5/350). </w:t>
      </w:r>
    </w:p>
  </w:footnote>
  <w:footnote w:id="2208">
    <w:p w:rsidR="003F128F" w:rsidRPr="00566199" w:rsidRDefault="003F128F" w:rsidP="0063006E">
      <w:pPr>
        <w:pStyle w:val="af3"/>
        <w:rPr>
          <w:rFonts w:ascii="Traditional Arabic" w:hAnsi="Traditional Arabic"/>
          <w:color w:val="auto"/>
          <w:sz w:val="32"/>
          <w:szCs w:val="32"/>
        </w:rPr>
      </w:pPr>
      <w:r w:rsidRPr="00566199">
        <w:rPr>
          <w:rFonts w:ascii="Traditional Arabic" w:hAnsi="Traditional Arabic"/>
          <w:color w:val="auto"/>
          <w:sz w:val="32"/>
          <w:szCs w:val="32"/>
          <w:rtl/>
        </w:rPr>
        <w:t>(</w:t>
      </w:r>
      <w:r w:rsidRPr="00566199">
        <w:rPr>
          <w:rStyle w:val="ae"/>
          <w:rFonts w:ascii="Traditional Arabic" w:hAnsi="Traditional Arabic"/>
          <w:color w:val="auto"/>
          <w:sz w:val="32"/>
          <w:szCs w:val="32"/>
          <w:vertAlign w:val="baseline"/>
        </w:rPr>
        <w:footnoteRef/>
      </w:r>
      <w:r w:rsidRPr="00566199">
        <w:rPr>
          <w:rFonts w:ascii="Traditional Arabic" w:hAnsi="Traditional Arabic"/>
          <w:color w:val="auto"/>
          <w:sz w:val="32"/>
          <w:szCs w:val="32"/>
          <w:rtl/>
        </w:rPr>
        <w:t xml:space="preserve">) انظر: تفسير الطبري (18/170), الهداية (7/4519). </w:t>
      </w:r>
    </w:p>
  </w:footnote>
  <w:footnote w:id="2209">
    <w:p w:rsidR="003F128F" w:rsidRPr="00566199" w:rsidRDefault="003F128F" w:rsidP="0063006E">
      <w:pPr>
        <w:pStyle w:val="af3"/>
        <w:rPr>
          <w:rFonts w:ascii="Traditional Arabic" w:hAnsi="Traditional Arabic"/>
          <w:color w:val="auto"/>
          <w:sz w:val="32"/>
          <w:szCs w:val="32"/>
        </w:rPr>
      </w:pPr>
      <w:r w:rsidRPr="00566199">
        <w:rPr>
          <w:rFonts w:ascii="Traditional Arabic" w:hAnsi="Traditional Arabic"/>
          <w:color w:val="auto"/>
          <w:sz w:val="32"/>
          <w:szCs w:val="32"/>
          <w:rtl/>
        </w:rPr>
        <w:t>(</w:t>
      </w:r>
      <w:r w:rsidRPr="00566199">
        <w:rPr>
          <w:rStyle w:val="ae"/>
          <w:rFonts w:ascii="Traditional Arabic" w:hAnsi="Traditional Arabic"/>
          <w:color w:val="auto"/>
          <w:sz w:val="32"/>
          <w:szCs w:val="32"/>
          <w:vertAlign w:val="baseline"/>
        </w:rPr>
        <w:footnoteRef/>
      </w:r>
      <w:r w:rsidRPr="00566199">
        <w:rPr>
          <w:rFonts w:ascii="Traditional Arabic" w:hAnsi="Traditional Arabic"/>
          <w:color w:val="auto"/>
          <w:sz w:val="32"/>
          <w:szCs w:val="32"/>
          <w:rtl/>
        </w:rPr>
        <w:t>) انظر: معاني القرآن للفراء (2/164).</w:t>
      </w:r>
    </w:p>
  </w:footnote>
  <w:footnote w:id="2210">
    <w:p w:rsidR="003F128F" w:rsidRPr="00F52437" w:rsidRDefault="003F128F" w:rsidP="0063006E">
      <w:pPr>
        <w:pStyle w:val="af3"/>
        <w:rPr>
          <w:rFonts w:ascii="Tahoma" w:hAnsi="Tahoma"/>
        </w:rPr>
      </w:pPr>
      <w:r w:rsidRPr="00566199">
        <w:rPr>
          <w:rFonts w:ascii="Traditional Arabic" w:hAnsi="Traditional Arabic"/>
          <w:sz w:val="32"/>
          <w:szCs w:val="32"/>
          <w:rtl/>
        </w:rPr>
        <w:t>(</w:t>
      </w:r>
      <w:r w:rsidRPr="00566199">
        <w:rPr>
          <w:rStyle w:val="ae"/>
          <w:rFonts w:ascii="Traditional Arabic" w:hAnsi="Traditional Arabic"/>
          <w:sz w:val="32"/>
          <w:szCs w:val="32"/>
          <w:vertAlign w:val="baseline"/>
        </w:rPr>
        <w:footnoteRef/>
      </w:r>
      <w:r w:rsidRPr="00566199">
        <w:rPr>
          <w:rFonts w:ascii="Traditional Arabic" w:hAnsi="Traditional Arabic"/>
          <w:sz w:val="32"/>
          <w:szCs w:val="32"/>
          <w:rtl/>
        </w:rPr>
        <w:t>) انظر:</w:t>
      </w:r>
      <w:r w:rsidRPr="00566199">
        <w:rPr>
          <w:rFonts w:ascii="Traditional Arabic" w:hAnsi="Traditional Arabic"/>
          <w:color w:val="800000"/>
          <w:sz w:val="32"/>
          <w:szCs w:val="32"/>
          <w:rtl/>
          <w:lang w:eastAsia="en-US"/>
        </w:rPr>
        <w:t xml:space="preserve"> </w:t>
      </w:r>
      <w:r w:rsidRPr="00566199">
        <w:rPr>
          <w:rFonts w:ascii="Traditional Arabic" w:hAnsi="Traditional Arabic"/>
          <w:sz w:val="32"/>
          <w:szCs w:val="32"/>
          <w:rtl/>
        </w:rPr>
        <w:t xml:space="preserve">المحكم لابن سيده (6/517) </w:t>
      </w:r>
      <w:r>
        <w:rPr>
          <w:rFonts w:ascii="Traditional Arabic" w:hAnsi="Traditional Arabic"/>
          <w:sz w:val="32"/>
          <w:szCs w:val="32"/>
          <w:rtl/>
        </w:rPr>
        <w:t>مادة (قصا), لسان العرب (15/183)</w:t>
      </w:r>
      <w:r w:rsidRPr="00566199">
        <w:rPr>
          <w:rFonts w:ascii="Traditional Arabic" w:hAnsi="Traditional Arabic"/>
          <w:sz w:val="32"/>
          <w:szCs w:val="32"/>
          <w:rtl/>
        </w:rPr>
        <w:t xml:space="preserve"> مادة (قصا).</w:t>
      </w:r>
    </w:p>
  </w:footnote>
  <w:footnote w:id="2211">
    <w:p w:rsidR="003F128F" w:rsidRPr="00195FC5" w:rsidRDefault="003F128F" w:rsidP="0063006E">
      <w:pPr>
        <w:pStyle w:val="af3"/>
        <w:rPr>
          <w:rFonts w:ascii="Traditional Arabic" w:hAnsi="Traditional Arabic"/>
          <w:color w:val="auto"/>
          <w:sz w:val="32"/>
          <w:szCs w:val="32"/>
        </w:rPr>
      </w:pPr>
      <w:r w:rsidRPr="00195FC5">
        <w:rPr>
          <w:rFonts w:ascii="Traditional Arabic" w:hAnsi="Traditional Arabic"/>
          <w:color w:val="auto"/>
          <w:sz w:val="32"/>
          <w:szCs w:val="32"/>
          <w:rtl/>
        </w:rPr>
        <w:t>(</w:t>
      </w:r>
      <w:r w:rsidRPr="00195FC5">
        <w:rPr>
          <w:rStyle w:val="ae"/>
          <w:rFonts w:ascii="Traditional Arabic" w:hAnsi="Traditional Arabic"/>
          <w:color w:val="auto"/>
          <w:sz w:val="32"/>
          <w:szCs w:val="32"/>
          <w:vertAlign w:val="baseline"/>
        </w:rPr>
        <w:footnoteRef/>
      </w:r>
      <w:r w:rsidRPr="00195FC5">
        <w:rPr>
          <w:rFonts w:ascii="Traditional Arabic" w:hAnsi="Traditional Arabic"/>
          <w:color w:val="auto"/>
          <w:sz w:val="32"/>
          <w:szCs w:val="32"/>
          <w:rtl/>
        </w:rPr>
        <w:t>) التفسير الوسيط (3/180).</w:t>
      </w:r>
    </w:p>
  </w:footnote>
  <w:footnote w:id="2212">
    <w:p w:rsidR="003F128F" w:rsidRPr="00FE74DC" w:rsidRDefault="003F128F" w:rsidP="0063006E">
      <w:pPr>
        <w:pStyle w:val="af3"/>
        <w:rPr>
          <w:rFonts w:ascii="Traditional Arabic" w:hAnsi="Traditional Arabic"/>
          <w:sz w:val="32"/>
          <w:szCs w:val="32"/>
        </w:rPr>
      </w:pPr>
      <w:r w:rsidRPr="00FE74DC">
        <w:rPr>
          <w:rFonts w:ascii="Traditional Arabic" w:hAnsi="Traditional Arabic"/>
          <w:sz w:val="32"/>
          <w:szCs w:val="32"/>
          <w:rtl/>
        </w:rPr>
        <w:t>(</w:t>
      </w:r>
      <w:r w:rsidRPr="00FE74DC">
        <w:rPr>
          <w:rStyle w:val="ae"/>
          <w:rFonts w:ascii="Traditional Arabic" w:hAnsi="Traditional Arabic"/>
          <w:sz w:val="32"/>
          <w:szCs w:val="32"/>
          <w:vertAlign w:val="baseline"/>
        </w:rPr>
        <w:footnoteRef/>
      </w:r>
      <w:r w:rsidRPr="00FE74DC">
        <w:rPr>
          <w:rFonts w:ascii="Traditional Arabic" w:hAnsi="Traditional Arabic"/>
          <w:sz w:val="32"/>
          <w:szCs w:val="32"/>
          <w:rtl/>
        </w:rPr>
        <w:t>) في (ك): [قرأ عكرمة].</w:t>
      </w:r>
    </w:p>
  </w:footnote>
  <w:footnote w:id="2213">
    <w:p w:rsidR="003F128F" w:rsidRPr="00195FC5" w:rsidRDefault="003F128F" w:rsidP="0063006E">
      <w:pPr>
        <w:pStyle w:val="af3"/>
        <w:rPr>
          <w:rFonts w:ascii="Traditional Arabic" w:hAnsi="Traditional Arabic"/>
          <w:color w:val="auto"/>
          <w:sz w:val="32"/>
          <w:szCs w:val="32"/>
        </w:rPr>
      </w:pPr>
      <w:r w:rsidRPr="00195FC5">
        <w:rPr>
          <w:rFonts w:ascii="Traditional Arabic" w:hAnsi="Traditional Arabic"/>
          <w:color w:val="auto"/>
          <w:sz w:val="32"/>
          <w:szCs w:val="32"/>
          <w:rtl/>
        </w:rPr>
        <w:t>(</w:t>
      </w:r>
      <w:r w:rsidRPr="00195FC5">
        <w:rPr>
          <w:rStyle w:val="ae"/>
          <w:rFonts w:ascii="Traditional Arabic" w:hAnsi="Traditional Arabic"/>
          <w:color w:val="auto"/>
          <w:sz w:val="32"/>
          <w:szCs w:val="32"/>
          <w:vertAlign w:val="baseline"/>
        </w:rPr>
        <w:footnoteRef/>
      </w:r>
      <w:r w:rsidRPr="00195FC5">
        <w:rPr>
          <w:rFonts w:ascii="Traditional Arabic" w:hAnsi="Traditional Arabic"/>
          <w:color w:val="auto"/>
          <w:sz w:val="32"/>
          <w:szCs w:val="32"/>
          <w:rtl/>
        </w:rPr>
        <w:t>) انظ</w:t>
      </w:r>
      <w:r>
        <w:rPr>
          <w:rFonts w:ascii="Traditional Arabic" w:hAnsi="Traditional Arabic"/>
          <w:color w:val="auto"/>
          <w:sz w:val="32"/>
          <w:szCs w:val="32"/>
          <w:rtl/>
        </w:rPr>
        <w:t>ر: معجم القراءات (5/350), وذكر</w:t>
      </w:r>
      <w:r>
        <w:rPr>
          <w:rFonts w:ascii="Traditional Arabic" w:hAnsi="Traditional Arabic" w:hint="cs"/>
          <w:color w:val="auto"/>
          <w:sz w:val="32"/>
          <w:szCs w:val="32"/>
          <w:rtl/>
        </w:rPr>
        <w:t xml:space="preserve"> القراءة</w:t>
      </w:r>
      <w:r w:rsidRPr="00195FC5">
        <w:rPr>
          <w:rFonts w:ascii="Traditional Arabic" w:hAnsi="Traditional Arabic"/>
          <w:color w:val="auto"/>
          <w:sz w:val="32"/>
          <w:szCs w:val="32"/>
          <w:rtl/>
        </w:rPr>
        <w:t xml:space="preserve"> ابن خالويه في مختصر الشواذ (ص86), والزمخشري في الكشاف (3/11), وغيرهما منسوبة لابن كثير. </w:t>
      </w:r>
    </w:p>
  </w:footnote>
  <w:footnote w:id="2214">
    <w:p w:rsidR="003F128F" w:rsidRPr="00195FC5" w:rsidRDefault="003F128F" w:rsidP="0063006E">
      <w:pPr>
        <w:pStyle w:val="af3"/>
        <w:rPr>
          <w:rFonts w:ascii="Traditional Arabic" w:hAnsi="Traditional Arabic"/>
          <w:color w:val="auto"/>
          <w:sz w:val="32"/>
          <w:szCs w:val="32"/>
        </w:rPr>
      </w:pPr>
      <w:r w:rsidRPr="00195FC5">
        <w:rPr>
          <w:rFonts w:ascii="Traditional Arabic" w:hAnsi="Traditional Arabic"/>
          <w:color w:val="auto"/>
          <w:sz w:val="32"/>
          <w:szCs w:val="32"/>
          <w:rtl/>
        </w:rPr>
        <w:t>(</w:t>
      </w:r>
      <w:r w:rsidRPr="00195FC5">
        <w:rPr>
          <w:rStyle w:val="ae"/>
          <w:rFonts w:ascii="Traditional Arabic" w:hAnsi="Traditional Arabic"/>
          <w:color w:val="auto"/>
          <w:sz w:val="32"/>
          <w:szCs w:val="32"/>
          <w:vertAlign w:val="baseline"/>
        </w:rPr>
        <w:footnoteRef/>
      </w:r>
      <w:r w:rsidRPr="00195FC5">
        <w:rPr>
          <w:rFonts w:ascii="Traditional Arabic" w:hAnsi="Traditional Arabic"/>
          <w:color w:val="auto"/>
          <w:sz w:val="32"/>
          <w:szCs w:val="32"/>
          <w:rtl/>
        </w:rPr>
        <w:t xml:space="preserve">) انظر: معاني القرآن للفراء (2/164). </w:t>
      </w:r>
    </w:p>
  </w:footnote>
  <w:footnote w:id="2215">
    <w:p w:rsidR="003F128F" w:rsidRPr="00195FC5" w:rsidRDefault="003F128F" w:rsidP="0063006E">
      <w:pPr>
        <w:pStyle w:val="af3"/>
        <w:rPr>
          <w:rFonts w:ascii="Traditional Arabic" w:hAnsi="Traditional Arabic"/>
          <w:color w:val="auto"/>
          <w:sz w:val="32"/>
          <w:szCs w:val="32"/>
        </w:rPr>
      </w:pPr>
      <w:r w:rsidRPr="00195FC5">
        <w:rPr>
          <w:rFonts w:ascii="Traditional Arabic" w:hAnsi="Traditional Arabic"/>
          <w:color w:val="auto"/>
          <w:sz w:val="32"/>
          <w:szCs w:val="32"/>
          <w:rtl/>
        </w:rPr>
        <w:t>(</w:t>
      </w:r>
      <w:r w:rsidRPr="00195FC5">
        <w:rPr>
          <w:rStyle w:val="ae"/>
          <w:rFonts w:ascii="Traditional Arabic" w:hAnsi="Traditional Arabic"/>
          <w:color w:val="auto"/>
          <w:sz w:val="32"/>
          <w:szCs w:val="32"/>
          <w:vertAlign w:val="baseline"/>
        </w:rPr>
        <w:footnoteRef/>
      </w:r>
      <w:r w:rsidRPr="00195FC5">
        <w:rPr>
          <w:rFonts w:ascii="Traditional Arabic" w:hAnsi="Traditional Arabic"/>
          <w:color w:val="auto"/>
          <w:sz w:val="32"/>
          <w:szCs w:val="32"/>
          <w:rtl/>
        </w:rPr>
        <w:t xml:space="preserve">) انظر: مجاز القرآن (2/3). </w:t>
      </w:r>
    </w:p>
  </w:footnote>
  <w:footnote w:id="2216">
    <w:p w:rsidR="003F128F" w:rsidRPr="00FE74DC" w:rsidRDefault="003F128F" w:rsidP="0063006E">
      <w:pPr>
        <w:pStyle w:val="af3"/>
        <w:rPr>
          <w:rFonts w:ascii="Traditional Arabic" w:hAnsi="Traditional Arabic"/>
          <w:sz w:val="32"/>
          <w:szCs w:val="32"/>
        </w:rPr>
      </w:pPr>
      <w:r w:rsidRPr="00FE74DC">
        <w:rPr>
          <w:rFonts w:ascii="Traditional Arabic" w:hAnsi="Traditional Arabic"/>
          <w:sz w:val="32"/>
          <w:szCs w:val="32"/>
          <w:rtl/>
        </w:rPr>
        <w:t>(</w:t>
      </w:r>
      <w:r w:rsidRPr="00FE74DC">
        <w:rPr>
          <w:rStyle w:val="ae"/>
          <w:rFonts w:ascii="Traditional Arabic" w:hAnsi="Traditional Arabic"/>
          <w:sz w:val="32"/>
          <w:szCs w:val="32"/>
          <w:vertAlign w:val="baseline"/>
        </w:rPr>
        <w:footnoteRef/>
      </w:r>
      <w:r w:rsidRPr="00FE74DC">
        <w:rPr>
          <w:rFonts w:ascii="Traditional Arabic" w:hAnsi="Traditional Arabic"/>
          <w:sz w:val="32"/>
          <w:szCs w:val="32"/>
          <w:rtl/>
        </w:rPr>
        <w:t>) في (ك): [من جئت]</w:t>
      </w:r>
      <w:r>
        <w:rPr>
          <w:rFonts w:ascii="Traditional Arabic" w:hAnsi="Traditional Arabic" w:hint="cs"/>
          <w:sz w:val="32"/>
          <w:szCs w:val="32"/>
          <w:rtl/>
        </w:rPr>
        <w:t>.</w:t>
      </w:r>
    </w:p>
  </w:footnote>
  <w:footnote w:id="2217">
    <w:p w:rsidR="003F128F" w:rsidRPr="00FE74DC" w:rsidRDefault="003F128F" w:rsidP="0063006E">
      <w:pPr>
        <w:pStyle w:val="af3"/>
        <w:rPr>
          <w:rFonts w:ascii="Traditional Arabic" w:hAnsi="Traditional Arabic"/>
          <w:color w:val="auto"/>
          <w:sz w:val="32"/>
          <w:szCs w:val="32"/>
        </w:rPr>
      </w:pPr>
      <w:r w:rsidRPr="00FE74DC">
        <w:rPr>
          <w:rFonts w:ascii="Traditional Arabic" w:hAnsi="Traditional Arabic"/>
          <w:color w:val="auto"/>
          <w:sz w:val="32"/>
          <w:szCs w:val="32"/>
          <w:rtl/>
        </w:rPr>
        <w:t>(</w:t>
      </w:r>
      <w:r w:rsidRPr="00FE74DC">
        <w:rPr>
          <w:rStyle w:val="ae"/>
          <w:rFonts w:ascii="Traditional Arabic" w:hAnsi="Traditional Arabic"/>
          <w:color w:val="auto"/>
          <w:sz w:val="32"/>
          <w:szCs w:val="32"/>
          <w:vertAlign w:val="baseline"/>
        </w:rPr>
        <w:footnoteRef/>
      </w:r>
      <w:r w:rsidRPr="00FE74DC">
        <w:rPr>
          <w:rFonts w:ascii="Traditional Arabic" w:hAnsi="Traditional Arabic"/>
          <w:color w:val="auto"/>
          <w:sz w:val="32"/>
          <w:szCs w:val="32"/>
          <w:rtl/>
        </w:rPr>
        <w:t xml:space="preserve">) غريب القرآن (ص273). </w:t>
      </w:r>
    </w:p>
  </w:footnote>
  <w:footnote w:id="2218">
    <w:p w:rsidR="003F128F" w:rsidRPr="00FE74DC" w:rsidRDefault="003F128F" w:rsidP="0063006E">
      <w:pPr>
        <w:pStyle w:val="af3"/>
        <w:rPr>
          <w:rFonts w:ascii="Traditional Arabic" w:hAnsi="Traditional Arabic"/>
          <w:sz w:val="32"/>
          <w:szCs w:val="32"/>
        </w:rPr>
      </w:pPr>
      <w:r w:rsidRPr="00FE74DC">
        <w:rPr>
          <w:rFonts w:ascii="Traditional Arabic" w:hAnsi="Traditional Arabic"/>
          <w:sz w:val="32"/>
          <w:szCs w:val="32"/>
          <w:rtl/>
        </w:rPr>
        <w:t>(</w:t>
      </w:r>
      <w:r w:rsidRPr="00FE74DC">
        <w:rPr>
          <w:rStyle w:val="ae"/>
          <w:rFonts w:ascii="Traditional Arabic" w:hAnsi="Traditional Arabic"/>
          <w:sz w:val="32"/>
          <w:szCs w:val="32"/>
          <w:vertAlign w:val="baseline"/>
        </w:rPr>
        <w:footnoteRef/>
      </w:r>
      <w:r w:rsidRPr="00FE74DC">
        <w:rPr>
          <w:rFonts w:ascii="Traditional Arabic" w:hAnsi="Traditional Arabic"/>
          <w:sz w:val="32"/>
          <w:szCs w:val="32"/>
          <w:rtl/>
        </w:rPr>
        <w:t xml:space="preserve">) </w:t>
      </w:r>
      <w:r w:rsidRPr="00FE74DC">
        <w:rPr>
          <w:rFonts w:ascii="Traditional Arabic" w:hAnsi="Traditional Arabic"/>
          <w:color w:val="auto"/>
          <w:sz w:val="32"/>
          <w:szCs w:val="32"/>
          <w:rtl/>
        </w:rPr>
        <w:t>انظر: التفسير الوسيط (3/180), تفسير السمعاني (3/285</w:t>
      </w:r>
      <w:r>
        <w:rPr>
          <w:rFonts w:ascii="Traditional Arabic" w:hAnsi="Traditional Arabic" w:hint="cs"/>
          <w:color w:val="auto"/>
          <w:sz w:val="32"/>
          <w:szCs w:val="32"/>
          <w:rtl/>
        </w:rPr>
        <w:t>).</w:t>
      </w:r>
      <w:r w:rsidRPr="00FE74DC">
        <w:rPr>
          <w:rFonts w:ascii="Traditional Arabic" w:hAnsi="Traditional Arabic"/>
          <w:sz w:val="32"/>
          <w:szCs w:val="32"/>
          <w:rtl/>
        </w:rPr>
        <w:t xml:space="preserve"> </w:t>
      </w:r>
    </w:p>
  </w:footnote>
  <w:footnote w:id="2219">
    <w:p w:rsidR="003F128F" w:rsidRPr="00FE74DC" w:rsidRDefault="003F128F" w:rsidP="0063006E">
      <w:pPr>
        <w:pStyle w:val="af3"/>
        <w:rPr>
          <w:rFonts w:ascii="Tahoma" w:hAnsi="Tahoma"/>
        </w:rPr>
      </w:pPr>
      <w:r w:rsidRPr="00FE74DC">
        <w:rPr>
          <w:rFonts w:ascii="Traditional Arabic" w:hAnsi="Traditional Arabic"/>
          <w:sz w:val="32"/>
          <w:szCs w:val="32"/>
          <w:rtl/>
        </w:rPr>
        <w:t>(</w:t>
      </w:r>
      <w:r w:rsidRPr="00FE74DC">
        <w:rPr>
          <w:rStyle w:val="ae"/>
          <w:rFonts w:ascii="Traditional Arabic" w:hAnsi="Traditional Arabic"/>
          <w:sz w:val="32"/>
          <w:szCs w:val="32"/>
          <w:vertAlign w:val="baseline"/>
        </w:rPr>
        <w:footnoteRef/>
      </w:r>
      <w:r w:rsidRPr="00FE74DC">
        <w:rPr>
          <w:rFonts w:ascii="Traditional Arabic" w:hAnsi="Traditional Arabic"/>
          <w:sz w:val="32"/>
          <w:szCs w:val="32"/>
          <w:rtl/>
        </w:rPr>
        <w:t>) ما بين المعكوفتين ليس في الأصل, والمثبت من (ك) وهو موافق لمصادر القراءة.</w:t>
      </w:r>
    </w:p>
  </w:footnote>
  <w:footnote w:id="2220">
    <w:p w:rsidR="003F128F" w:rsidRPr="00195FC5" w:rsidRDefault="003F128F" w:rsidP="0063006E">
      <w:pPr>
        <w:pStyle w:val="af3"/>
        <w:rPr>
          <w:rFonts w:ascii="Traditional Arabic" w:hAnsi="Traditional Arabic"/>
          <w:sz w:val="32"/>
          <w:szCs w:val="32"/>
        </w:rPr>
      </w:pPr>
      <w:r w:rsidRPr="00195FC5">
        <w:rPr>
          <w:rFonts w:ascii="Traditional Arabic" w:hAnsi="Traditional Arabic"/>
          <w:sz w:val="32"/>
          <w:szCs w:val="32"/>
          <w:rtl/>
        </w:rPr>
        <w:t>(</w:t>
      </w:r>
      <w:r w:rsidRPr="00195FC5">
        <w:rPr>
          <w:rStyle w:val="ae"/>
          <w:rFonts w:ascii="Traditional Arabic" w:hAnsi="Traditional Arabic"/>
          <w:sz w:val="32"/>
          <w:szCs w:val="32"/>
          <w:vertAlign w:val="baseline"/>
        </w:rPr>
        <w:footnoteRef/>
      </w:r>
      <w:r w:rsidRPr="00195FC5">
        <w:rPr>
          <w:rFonts w:ascii="Traditional Arabic" w:hAnsi="Traditional Arabic"/>
          <w:sz w:val="32"/>
          <w:szCs w:val="32"/>
          <w:rtl/>
        </w:rPr>
        <w:t>)</w:t>
      </w:r>
      <w:r w:rsidRPr="00195FC5">
        <w:rPr>
          <w:rFonts w:ascii="Traditional Arabic" w:hAnsi="Traditional Arabic"/>
          <w:color w:val="auto"/>
          <w:sz w:val="32"/>
          <w:szCs w:val="32"/>
          <w:rtl/>
        </w:rPr>
        <w:t xml:space="preserve"> انظر: السبعة في القراءات (ص218), البدور الزاهرة (</w:t>
      </w:r>
      <w:r>
        <w:rPr>
          <w:rFonts w:ascii="Traditional Arabic" w:hAnsi="Traditional Arabic" w:hint="cs"/>
          <w:color w:val="auto"/>
          <w:sz w:val="32"/>
          <w:szCs w:val="32"/>
          <w:rtl/>
        </w:rPr>
        <w:t>ص</w:t>
      </w:r>
      <w:r w:rsidRPr="00195FC5">
        <w:rPr>
          <w:rFonts w:ascii="Traditional Arabic" w:hAnsi="Traditional Arabic"/>
          <w:color w:val="auto"/>
          <w:sz w:val="32"/>
          <w:szCs w:val="32"/>
          <w:rtl/>
        </w:rPr>
        <w:t>544).</w:t>
      </w:r>
      <w:r w:rsidRPr="00195FC5">
        <w:rPr>
          <w:rFonts w:ascii="Traditional Arabic" w:hAnsi="Traditional Arabic"/>
          <w:sz w:val="32"/>
          <w:szCs w:val="32"/>
          <w:rtl/>
        </w:rPr>
        <w:t xml:space="preserve">   </w:t>
      </w:r>
    </w:p>
  </w:footnote>
  <w:footnote w:id="2221">
    <w:p w:rsidR="003F128F" w:rsidRPr="00195FC5" w:rsidRDefault="003F128F" w:rsidP="0063006E">
      <w:pPr>
        <w:pStyle w:val="af3"/>
        <w:rPr>
          <w:rFonts w:ascii="Traditional Arabic" w:hAnsi="Traditional Arabic"/>
          <w:sz w:val="32"/>
          <w:szCs w:val="32"/>
        </w:rPr>
      </w:pPr>
      <w:r w:rsidRPr="00195FC5">
        <w:rPr>
          <w:rFonts w:ascii="Traditional Arabic" w:hAnsi="Traditional Arabic"/>
          <w:sz w:val="32"/>
          <w:szCs w:val="32"/>
          <w:rtl/>
        </w:rPr>
        <w:t>(</w:t>
      </w:r>
      <w:r w:rsidRPr="00195FC5">
        <w:rPr>
          <w:rStyle w:val="ae"/>
          <w:rFonts w:ascii="Traditional Arabic" w:hAnsi="Traditional Arabic"/>
          <w:sz w:val="32"/>
          <w:szCs w:val="32"/>
          <w:vertAlign w:val="baseline"/>
        </w:rPr>
        <w:footnoteRef/>
      </w:r>
      <w:r w:rsidRPr="00195FC5">
        <w:rPr>
          <w:rFonts w:ascii="Traditional Arabic" w:hAnsi="Traditional Arabic"/>
          <w:sz w:val="32"/>
          <w:szCs w:val="32"/>
          <w:rtl/>
        </w:rPr>
        <w:t>) تفسير مقاتل (2/624), تفسير الطبري (18/170)</w:t>
      </w:r>
      <w:r>
        <w:rPr>
          <w:rFonts w:ascii="Traditional Arabic" w:hAnsi="Traditional Arabic" w:hint="cs"/>
          <w:sz w:val="32"/>
          <w:szCs w:val="32"/>
          <w:rtl/>
        </w:rPr>
        <w:t>.</w:t>
      </w:r>
    </w:p>
  </w:footnote>
  <w:footnote w:id="2222">
    <w:p w:rsidR="003F128F" w:rsidRPr="00F54998" w:rsidRDefault="003F128F" w:rsidP="0063006E">
      <w:pPr>
        <w:pStyle w:val="af3"/>
        <w:rPr>
          <w:rFonts w:ascii="Tahoma" w:hAnsi="Tahoma"/>
        </w:rPr>
      </w:pPr>
      <w:r w:rsidRPr="00195FC5">
        <w:rPr>
          <w:rFonts w:ascii="Traditional Arabic" w:hAnsi="Traditional Arabic"/>
          <w:sz w:val="32"/>
          <w:szCs w:val="32"/>
          <w:rtl/>
        </w:rPr>
        <w:t>(</w:t>
      </w:r>
      <w:r w:rsidRPr="00195FC5">
        <w:rPr>
          <w:rStyle w:val="ae"/>
          <w:rFonts w:ascii="Traditional Arabic" w:hAnsi="Traditional Arabic"/>
          <w:sz w:val="32"/>
          <w:szCs w:val="32"/>
          <w:vertAlign w:val="baseline"/>
        </w:rPr>
        <w:footnoteRef/>
      </w:r>
      <w:r w:rsidRPr="00195FC5">
        <w:rPr>
          <w:rFonts w:ascii="Traditional Arabic" w:hAnsi="Traditional Arabic"/>
          <w:sz w:val="32"/>
          <w:szCs w:val="32"/>
          <w:rtl/>
        </w:rPr>
        <w:t xml:space="preserve">) </w:t>
      </w:r>
      <w:r w:rsidRPr="00195FC5">
        <w:rPr>
          <w:rFonts w:ascii="Traditional Arabic" w:hAnsi="Traditional Arabic"/>
          <w:color w:val="auto"/>
          <w:sz w:val="32"/>
          <w:szCs w:val="32"/>
          <w:rtl/>
        </w:rPr>
        <w:t>انظر:</w:t>
      </w:r>
      <w:r w:rsidRPr="00195FC5">
        <w:rPr>
          <w:rFonts w:ascii="Traditional Arabic" w:hAnsi="Traditional Arabic"/>
          <w:sz w:val="32"/>
          <w:szCs w:val="32"/>
          <w:rtl/>
        </w:rPr>
        <w:t xml:space="preserve"> </w:t>
      </w:r>
      <w:r w:rsidRPr="00195FC5">
        <w:rPr>
          <w:rFonts w:ascii="Traditional Arabic" w:hAnsi="Traditional Arabic"/>
          <w:color w:val="auto"/>
          <w:sz w:val="32"/>
          <w:szCs w:val="32"/>
          <w:rtl/>
        </w:rPr>
        <w:t xml:space="preserve">النكت والعيون </w:t>
      </w:r>
      <w:r w:rsidRPr="00195FC5">
        <w:rPr>
          <w:rFonts w:ascii="Traditional Arabic" w:hAnsi="Traditional Arabic"/>
          <w:color w:val="auto"/>
          <w:sz w:val="32"/>
          <w:szCs w:val="32"/>
          <w:rtl/>
          <w:lang w:eastAsia="en-US"/>
        </w:rPr>
        <w:t>(3/364)</w:t>
      </w:r>
      <w:r w:rsidRPr="00195FC5">
        <w:rPr>
          <w:rFonts w:ascii="Traditional Arabic" w:hAnsi="Traditional Arabic"/>
          <w:color w:val="auto"/>
          <w:sz w:val="32"/>
          <w:szCs w:val="32"/>
          <w:rtl/>
        </w:rPr>
        <w:t xml:space="preserve"> التفسير البسيط (14/221).</w:t>
      </w:r>
      <w:r>
        <w:rPr>
          <w:rFonts w:ascii="Tahoma" w:hAnsi="Tahoma"/>
          <w:rtl/>
        </w:rPr>
        <w:t xml:space="preserve"> </w:t>
      </w:r>
    </w:p>
  </w:footnote>
  <w:footnote w:id="2223">
    <w:p w:rsidR="003F128F" w:rsidRPr="007152BE" w:rsidRDefault="003F128F" w:rsidP="0063006E">
      <w:pPr>
        <w:pStyle w:val="af3"/>
        <w:rPr>
          <w:rFonts w:ascii="Traditional Arabic" w:hAnsi="Traditional Arabic"/>
          <w:color w:val="auto"/>
          <w:sz w:val="32"/>
          <w:szCs w:val="32"/>
        </w:rPr>
      </w:pPr>
      <w:r w:rsidRPr="007152BE">
        <w:rPr>
          <w:rFonts w:ascii="Traditional Arabic" w:hAnsi="Traditional Arabic"/>
          <w:color w:val="auto"/>
          <w:sz w:val="32"/>
          <w:szCs w:val="32"/>
          <w:rtl/>
        </w:rPr>
        <w:t>(</w:t>
      </w:r>
      <w:r w:rsidRPr="007152BE">
        <w:rPr>
          <w:rStyle w:val="ae"/>
          <w:rFonts w:ascii="Traditional Arabic" w:hAnsi="Traditional Arabic"/>
          <w:color w:val="auto"/>
          <w:sz w:val="32"/>
          <w:szCs w:val="32"/>
          <w:vertAlign w:val="baseline"/>
        </w:rPr>
        <w:footnoteRef/>
      </w:r>
      <w:r w:rsidRPr="007152BE">
        <w:rPr>
          <w:rFonts w:ascii="Traditional Arabic" w:hAnsi="Traditional Arabic"/>
          <w:color w:val="auto"/>
          <w:sz w:val="32"/>
          <w:szCs w:val="32"/>
          <w:rtl/>
        </w:rPr>
        <w:t xml:space="preserve">) انظر: السبعة في القراءات (ص408), الحجة للقراء السبعة (5/196). </w:t>
      </w:r>
    </w:p>
  </w:footnote>
  <w:footnote w:id="2224">
    <w:p w:rsidR="003F128F" w:rsidRPr="007152BE" w:rsidRDefault="003F128F" w:rsidP="0063006E">
      <w:pPr>
        <w:pStyle w:val="af3"/>
        <w:rPr>
          <w:rFonts w:ascii="Traditional Arabic" w:hAnsi="Traditional Arabic"/>
          <w:color w:val="auto"/>
          <w:sz w:val="32"/>
          <w:szCs w:val="32"/>
        </w:rPr>
      </w:pPr>
      <w:r w:rsidRPr="007152BE">
        <w:rPr>
          <w:rFonts w:ascii="Traditional Arabic" w:hAnsi="Traditional Arabic"/>
          <w:color w:val="auto"/>
          <w:sz w:val="32"/>
          <w:szCs w:val="32"/>
          <w:rtl/>
        </w:rPr>
        <w:t>(</w:t>
      </w:r>
      <w:r w:rsidRPr="007152BE">
        <w:rPr>
          <w:rStyle w:val="ae"/>
          <w:rFonts w:ascii="Traditional Arabic" w:hAnsi="Traditional Arabic"/>
          <w:color w:val="auto"/>
          <w:sz w:val="32"/>
          <w:szCs w:val="32"/>
          <w:vertAlign w:val="baseline"/>
        </w:rPr>
        <w:footnoteRef/>
      </w:r>
      <w:r w:rsidRPr="007152BE">
        <w:rPr>
          <w:rFonts w:ascii="Traditional Arabic" w:hAnsi="Traditional Arabic"/>
          <w:color w:val="auto"/>
          <w:sz w:val="32"/>
          <w:szCs w:val="32"/>
          <w:rtl/>
        </w:rPr>
        <w:t xml:space="preserve">) انظر: معاني القرآن للفراء (2/164).  </w:t>
      </w:r>
    </w:p>
  </w:footnote>
  <w:footnote w:id="2225">
    <w:p w:rsidR="003F128F" w:rsidRPr="007152BE" w:rsidRDefault="003F128F" w:rsidP="0063006E">
      <w:pPr>
        <w:pStyle w:val="af3"/>
        <w:rPr>
          <w:rFonts w:ascii="Traditional Arabic" w:hAnsi="Traditional Arabic"/>
          <w:color w:val="auto"/>
          <w:sz w:val="32"/>
          <w:szCs w:val="32"/>
        </w:rPr>
      </w:pPr>
      <w:r w:rsidRPr="007152BE">
        <w:rPr>
          <w:rFonts w:ascii="Traditional Arabic" w:hAnsi="Traditional Arabic"/>
          <w:color w:val="auto"/>
          <w:sz w:val="32"/>
          <w:szCs w:val="32"/>
          <w:rtl/>
        </w:rPr>
        <w:t>(</w:t>
      </w:r>
      <w:r w:rsidRPr="007152BE">
        <w:rPr>
          <w:rStyle w:val="ae"/>
          <w:rFonts w:ascii="Traditional Arabic" w:hAnsi="Traditional Arabic"/>
          <w:color w:val="auto"/>
          <w:sz w:val="32"/>
          <w:szCs w:val="32"/>
          <w:vertAlign w:val="baseline"/>
        </w:rPr>
        <w:footnoteRef/>
      </w:r>
      <w:r w:rsidRPr="007152BE">
        <w:rPr>
          <w:rFonts w:ascii="Traditional Arabic" w:hAnsi="Traditional Arabic"/>
          <w:color w:val="auto"/>
          <w:sz w:val="32"/>
          <w:szCs w:val="32"/>
          <w:rtl/>
        </w:rPr>
        <w:t xml:space="preserve">) في الأصل </w:t>
      </w:r>
      <w:r>
        <w:rPr>
          <w:rFonts w:ascii="Traditional Arabic" w:hAnsi="Traditional Arabic" w:hint="cs"/>
          <w:color w:val="auto"/>
          <w:sz w:val="32"/>
          <w:szCs w:val="32"/>
          <w:rtl/>
        </w:rPr>
        <w:t xml:space="preserve">[على], </w:t>
      </w:r>
      <w:r w:rsidRPr="007152BE">
        <w:rPr>
          <w:rFonts w:ascii="Traditional Arabic" w:hAnsi="Traditional Arabic"/>
          <w:color w:val="auto"/>
          <w:sz w:val="32"/>
          <w:szCs w:val="32"/>
          <w:rtl/>
        </w:rPr>
        <w:t xml:space="preserve">والمثبت من(ك), وهو موافق لما في كتاب الحجة لأبي علي الفارسي. </w:t>
      </w:r>
    </w:p>
  </w:footnote>
  <w:footnote w:id="2226">
    <w:p w:rsidR="003F128F" w:rsidRPr="001D1C3D" w:rsidRDefault="003F128F" w:rsidP="0063006E">
      <w:pPr>
        <w:pStyle w:val="af3"/>
        <w:rPr>
          <w:rFonts w:ascii="Traditional Arabic" w:hAnsi="Traditional Arabic"/>
          <w:color w:val="auto"/>
          <w:sz w:val="32"/>
          <w:szCs w:val="32"/>
        </w:rPr>
      </w:pPr>
      <w:r w:rsidRPr="001D1C3D">
        <w:rPr>
          <w:rFonts w:ascii="Traditional Arabic" w:hAnsi="Traditional Arabic"/>
          <w:color w:val="auto"/>
          <w:sz w:val="32"/>
          <w:szCs w:val="32"/>
          <w:rtl/>
        </w:rPr>
        <w:t>(</w:t>
      </w:r>
      <w:r w:rsidRPr="001D1C3D">
        <w:rPr>
          <w:rStyle w:val="ae"/>
          <w:rFonts w:ascii="Traditional Arabic" w:hAnsi="Traditional Arabic"/>
          <w:color w:val="auto"/>
          <w:sz w:val="32"/>
          <w:szCs w:val="32"/>
          <w:vertAlign w:val="baseline"/>
        </w:rPr>
        <w:footnoteRef/>
      </w:r>
      <w:r w:rsidRPr="001D1C3D">
        <w:rPr>
          <w:rFonts w:ascii="Traditional Arabic" w:hAnsi="Traditional Arabic"/>
          <w:color w:val="auto"/>
          <w:sz w:val="32"/>
          <w:szCs w:val="32"/>
          <w:rtl/>
        </w:rPr>
        <w:t xml:space="preserve">) الحجة للقراء السبعة (5/196).  </w:t>
      </w:r>
    </w:p>
  </w:footnote>
  <w:footnote w:id="2227">
    <w:p w:rsidR="003F128F" w:rsidRPr="00502F4C" w:rsidRDefault="003F128F" w:rsidP="00502F4C">
      <w:pPr>
        <w:pStyle w:val="af3"/>
        <w:rPr>
          <w:rFonts w:ascii="Tahoma" w:hAnsi="Tahoma"/>
        </w:rPr>
      </w:pPr>
      <w:r w:rsidRPr="001D1C3D">
        <w:rPr>
          <w:rFonts w:ascii="Traditional Arabic" w:hAnsi="Traditional Arabic"/>
          <w:sz w:val="32"/>
          <w:szCs w:val="32"/>
          <w:rtl/>
        </w:rPr>
        <w:t>(</w:t>
      </w:r>
      <w:r w:rsidRPr="001D1C3D">
        <w:rPr>
          <w:rStyle w:val="ae"/>
          <w:rFonts w:ascii="Traditional Arabic" w:hAnsi="Traditional Arabic"/>
          <w:sz w:val="32"/>
          <w:szCs w:val="32"/>
          <w:vertAlign w:val="baseline"/>
        </w:rPr>
        <w:footnoteRef/>
      </w:r>
      <w:r w:rsidRPr="001D1C3D">
        <w:rPr>
          <w:rFonts w:ascii="Traditional Arabic" w:hAnsi="Traditional Arabic"/>
          <w:sz w:val="32"/>
          <w:szCs w:val="32"/>
          <w:rtl/>
        </w:rPr>
        <w:t>) تقدم بيان معنى الدَنَف في (ص124).</w:t>
      </w:r>
    </w:p>
  </w:footnote>
  <w:footnote w:id="2228">
    <w:p w:rsidR="003F128F" w:rsidRPr="007152BE" w:rsidRDefault="003F128F" w:rsidP="0063006E">
      <w:pPr>
        <w:pStyle w:val="af3"/>
        <w:rPr>
          <w:rFonts w:ascii="Traditional Arabic" w:hAnsi="Traditional Arabic"/>
          <w:color w:val="auto"/>
          <w:sz w:val="32"/>
          <w:szCs w:val="32"/>
        </w:rPr>
      </w:pPr>
      <w:r w:rsidRPr="007152BE">
        <w:rPr>
          <w:rFonts w:ascii="Traditional Arabic" w:hAnsi="Traditional Arabic"/>
          <w:color w:val="auto"/>
          <w:sz w:val="32"/>
          <w:szCs w:val="32"/>
          <w:rtl/>
        </w:rPr>
        <w:t>(</w:t>
      </w:r>
      <w:r w:rsidRPr="007152BE">
        <w:rPr>
          <w:rStyle w:val="ae"/>
          <w:rFonts w:ascii="Traditional Arabic" w:hAnsi="Traditional Arabic"/>
          <w:color w:val="auto"/>
          <w:sz w:val="32"/>
          <w:szCs w:val="32"/>
          <w:vertAlign w:val="baseline"/>
        </w:rPr>
        <w:footnoteRef/>
      </w:r>
      <w:r w:rsidRPr="007152BE">
        <w:rPr>
          <w:rFonts w:ascii="Traditional Arabic" w:hAnsi="Traditional Arabic"/>
          <w:color w:val="auto"/>
          <w:sz w:val="32"/>
          <w:szCs w:val="32"/>
          <w:rtl/>
        </w:rPr>
        <w:t>) انظر: البحر المحيط (7/252), الدر المصون للسمين الحلبي (7/582)</w:t>
      </w:r>
      <w:r>
        <w:rPr>
          <w:rFonts w:ascii="Traditional Arabic" w:hAnsi="Traditional Arabic" w:hint="cs"/>
          <w:color w:val="auto"/>
          <w:sz w:val="32"/>
          <w:szCs w:val="32"/>
          <w:rtl/>
        </w:rPr>
        <w:t>.</w:t>
      </w:r>
    </w:p>
  </w:footnote>
  <w:footnote w:id="2229">
    <w:p w:rsidR="003F128F" w:rsidRPr="007152BE" w:rsidRDefault="003F128F" w:rsidP="0063006E">
      <w:pPr>
        <w:pStyle w:val="af3"/>
        <w:rPr>
          <w:rFonts w:ascii="Traditional Arabic" w:hAnsi="Traditional Arabic"/>
          <w:color w:val="auto"/>
          <w:sz w:val="32"/>
          <w:szCs w:val="32"/>
        </w:rPr>
      </w:pPr>
      <w:r w:rsidRPr="007152BE">
        <w:rPr>
          <w:rFonts w:ascii="Traditional Arabic" w:hAnsi="Traditional Arabic"/>
          <w:color w:val="auto"/>
          <w:sz w:val="32"/>
          <w:szCs w:val="32"/>
          <w:rtl/>
        </w:rPr>
        <w:t>(</w:t>
      </w:r>
      <w:r w:rsidRPr="007152BE">
        <w:rPr>
          <w:rStyle w:val="ae"/>
          <w:rFonts w:ascii="Traditional Arabic" w:hAnsi="Traditional Arabic"/>
          <w:color w:val="auto"/>
          <w:sz w:val="32"/>
          <w:szCs w:val="32"/>
          <w:vertAlign w:val="baseline"/>
        </w:rPr>
        <w:footnoteRef/>
      </w:r>
      <w:r w:rsidRPr="007152BE">
        <w:rPr>
          <w:rFonts w:ascii="Traditional Arabic" w:hAnsi="Traditional Arabic"/>
          <w:color w:val="auto"/>
          <w:sz w:val="32"/>
          <w:szCs w:val="32"/>
          <w:rtl/>
        </w:rPr>
        <w:t xml:space="preserve">) انظر هذه الأقوال في تفسير الطبري (18/172), الكشف والبيان (6/211). </w:t>
      </w:r>
    </w:p>
  </w:footnote>
  <w:footnote w:id="2230">
    <w:p w:rsidR="003F128F" w:rsidRPr="007152BE" w:rsidRDefault="003F128F" w:rsidP="0063006E">
      <w:pPr>
        <w:pStyle w:val="af3"/>
        <w:rPr>
          <w:rFonts w:ascii="Traditional Arabic" w:hAnsi="Traditional Arabic"/>
          <w:sz w:val="32"/>
          <w:szCs w:val="32"/>
        </w:rPr>
      </w:pPr>
      <w:r w:rsidRPr="007152BE">
        <w:rPr>
          <w:rFonts w:ascii="Traditional Arabic" w:hAnsi="Traditional Arabic"/>
          <w:sz w:val="32"/>
          <w:szCs w:val="32"/>
          <w:rtl/>
        </w:rPr>
        <w:t>(</w:t>
      </w:r>
      <w:r w:rsidRPr="007152BE">
        <w:rPr>
          <w:rStyle w:val="ae"/>
          <w:rFonts w:ascii="Traditional Arabic" w:hAnsi="Traditional Arabic"/>
          <w:sz w:val="32"/>
          <w:szCs w:val="32"/>
          <w:vertAlign w:val="baseline"/>
        </w:rPr>
        <w:footnoteRef/>
      </w:r>
      <w:r w:rsidRPr="007152BE">
        <w:rPr>
          <w:rFonts w:ascii="Traditional Arabic" w:hAnsi="Traditional Arabic"/>
          <w:sz w:val="32"/>
          <w:szCs w:val="32"/>
          <w:rtl/>
        </w:rPr>
        <w:t>)</w:t>
      </w:r>
      <w:r w:rsidRPr="007152BE">
        <w:rPr>
          <w:rFonts w:ascii="Traditional Arabic" w:hAnsi="Traditional Arabic"/>
          <w:color w:val="auto"/>
          <w:sz w:val="32"/>
          <w:szCs w:val="32"/>
          <w:rtl/>
        </w:rPr>
        <w:t xml:space="preserve"> انظر: الكشف والبيان (6/211), التفسير الوسيط (3/180)</w:t>
      </w:r>
      <w:r>
        <w:rPr>
          <w:rFonts w:ascii="Traditional Arabic" w:hAnsi="Traditional Arabic" w:hint="cs"/>
          <w:color w:val="auto"/>
          <w:sz w:val="32"/>
          <w:szCs w:val="32"/>
          <w:rtl/>
        </w:rPr>
        <w:t>.</w:t>
      </w:r>
      <w:r w:rsidRPr="007152BE">
        <w:rPr>
          <w:rFonts w:ascii="Traditional Arabic" w:hAnsi="Traditional Arabic"/>
          <w:sz w:val="32"/>
          <w:szCs w:val="32"/>
          <w:rtl/>
        </w:rPr>
        <w:t xml:space="preserve"> </w:t>
      </w:r>
    </w:p>
  </w:footnote>
  <w:footnote w:id="2231">
    <w:p w:rsidR="003F128F" w:rsidRPr="007152BE" w:rsidRDefault="003F128F" w:rsidP="0063006E">
      <w:pPr>
        <w:pStyle w:val="af3"/>
        <w:rPr>
          <w:rFonts w:ascii="Traditional Arabic" w:hAnsi="Traditional Arabic"/>
          <w:sz w:val="32"/>
          <w:szCs w:val="32"/>
        </w:rPr>
      </w:pPr>
      <w:r w:rsidRPr="007152BE">
        <w:rPr>
          <w:rFonts w:ascii="Traditional Arabic" w:hAnsi="Traditional Arabic"/>
          <w:sz w:val="32"/>
          <w:szCs w:val="32"/>
          <w:rtl/>
        </w:rPr>
        <w:t>(</w:t>
      </w:r>
      <w:r w:rsidRPr="007152BE">
        <w:rPr>
          <w:rStyle w:val="ae"/>
          <w:rFonts w:ascii="Traditional Arabic" w:hAnsi="Traditional Arabic"/>
          <w:sz w:val="32"/>
          <w:szCs w:val="32"/>
          <w:vertAlign w:val="baseline"/>
        </w:rPr>
        <w:footnoteRef/>
      </w:r>
      <w:r w:rsidRPr="007152BE">
        <w:rPr>
          <w:rFonts w:ascii="Traditional Arabic" w:hAnsi="Traditional Arabic"/>
          <w:sz w:val="32"/>
          <w:szCs w:val="32"/>
          <w:rtl/>
        </w:rPr>
        <w:t xml:space="preserve">) </w:t>
      </w:r>
      <w:r w:rsidRPr="007152BE">
        <w:rPr>
          <w:rFonts w:ascii="Traditional Arabic" w:hAnsi="Traditional Arabic"/>
          <w:color w:val="auto"/>
          <w:sz w:val="32"/>
          <w:szCs w:val="32"/>
          <w:rtl/>
        </w:rPr>
        <w:t>لم قف عليه فيما لدي من مصادر.</w:t>
      </w:r>
    </w:p>
  </w:footnote>
  <w:footnote w:id="2232">
    <w:p w:rsidR="003F128F" w:rsidRPr="007152BE" w:rsidRDefault="003F128F" w:rsidP="0063006E">
      <w:pPr>
        <w:pStyle w:val="af3"/>
        <w:rPr>
          <w:rFonts w:ascii="Traditional Arabic" w:hAnsi="Traditional Arabic"/>
          <w:color w:val="auto"/>
          <w:sz w:val="32"/>
          <w:szCs w:val="32"/>
        </w:rPr>
      </w:pPr>
      <w:r w:rsidRPr="007152BE">
        <w:rPr>
          <w:rFonts w:ascii="Traditional Arabic" w:hAnsi="Traditional Arabic"/>
          <w:color w:val="auto"/>
          <w:sz w:val="32"/>
          <w:szCs w:val="32"/>
          <w:rtl/>
        </w:rPr>
        <w:t>(</w:t>
      </w:r>
      <w:r w:rsidRPr="007152BE">
        <w:rPr>
          <w:rStyle w:val="ae"/>
          <w:rFonts w:ascii="Traditional Arabic" w:hAnsi="Traditional Arabic"/>
          <w:color w:val="auto"/>
          <w:sz w:val="32"/>
          <w:szCs w:val="32"/>
          <w:vertAlign w:val="baseline"/>
        </w:rPr>
        <w:footnoteRef/>
      </w:r>
      <w:r w:rsidRPr="007152BE">
        <w:rPr>
          <w:rFonts w:ascii="Traditional Arabic" w:hAnsi="Traditional Arabic"/>
          <w:color w:val="auto"/>
          <w:sz w:val="32"/>
          <w:szCs w:val="32"/>
          <w:rtl/>
        </w:rPr>
        <w:t xml:space="preserve">) انظر: </w:t>
      </w:r>
      <w:r w:rsidRPr="007152BE">
        <w:rPr>
          <w:rFonts w:ascii="Traditional Arabic" w:hAnsi="Traditional Arabic"/>
          <w:sz w:val="32"/>
          <w:szCs w:val="32"/>
          <w:rtl/>
        </w:rPr>
        <w:t>تفسير ابن أبي حاتم (7/2404), بحر العلوم (2/372)</w:t>
      </w:r>
      <w:r>
        <w:rPr>
          <w:rFonts w:ascii="Traditional Arabic" w:hAnsi="Traditional Arabic" w:hint="cs"/>
          <w:sz w:val="32"/>
          <w:szCs w:val="32"/>
          <w:rtl/>
        </w:rPr>
        <w:t>.</w:t>
      </w:r>
    </w:p>
  </w:footnote>
  <w:footnote w:id="2233">
    <w:p w:rsidR="003F128F" w:rsidRPr="00DF7B6C" w:rsidRDefault="003F128F" w:rsidP="0063006E">
      <w:pPr>
        <w:pStyle w:val="af3"/>
        <w:rPr>
          <w:rFonts w:ascii="Traditional Arabic" w:hAnsi="Traditional Arabic"/>
          <w:color w:val="auto"/>
          <w:sz w:val="32"/>
          <w:szCs w:val="32"/>
        </w:rPr>
      </w:pPr>
      <w:r w:rsidRPr="00DF7B6C">
        <w:rPr>
          <w:rFonts w:ascii="Traditional Arabic" w:hAnsi="Traditional Arabic"/>
          <w:color w:val="auto"/>
          <w:sz w:val="32"/>
          <w:szCs w:val="32"/>
          <w:rtl/>
        </w:rPr>
        <w:t>(</w:t>
      </w:r>
      <w:r w:rsidRPr="00DF7B6C">
        <w:rPr>
          <w:rStyle w:val="ae"/>
          <w:rFonts w:ascii="Traditional Arabic" w:hAnsi="Traditional Arabic"/>
          <w:color w:val="auto"/>
          <w:sz w:val="32"/>
          <w:szCs w:val="32"/>
          <w:vertAlign w:val="baseline"/>
        </w:rPr>
        <w:footnoteRef/>
      </w:r>
      <w:r w:rsidRPr="00DF7B6C">
        <w:rPr>
          <w:rFonts w:ascii="Traditional Arabic" w:hAnsi="Traditional Arabic"/>
          <w:color w:val="auto"/>
          <w:sz w:val="32"/>
          <w:szCs w:val="32"/>
          <w:rtl/>
        </w:rPr>
        <w:t>) انظر: معاني القرآن للفراء (2/164).</w:t>
      </w:r>
      <w:r>
        <w:rPr>
          <w:rFonts w:ascii="Traditional Arabic" w:hAnsi="Traditional Arabic" w:hint="cs"/>
          <w:color w:val="auto"/>
          <w:sz w:val="32"/>
          <w:szCs w:val="32"/>
          <w:rtl/>
        </w:rPr>
        <w:t xml:space="preserve"> </w:t>
      </w:r>
      <w:r w:rsidRPr="00DF7B6C">
        <w:rPr>
          <w:rFonts w:ascii="Traditional Arabic" w:hAnsi="Traditional Arabic"/>
          <w:color w:val="auto"/>
          <w:sz w:val="32"/>
          <w:szCs w:val="32"/>
          <w:rtl/>
        </w:rPr>
        <w:t xml:space="preserve">   </w:t>
      </w:r>
    </w:p>
  </w:footnote>
  <w:footnote w:id="2234">
    <w:p w:rsidR="003F128F" w:rsidRPr="00DF7B6C" w:rsidRDefault="003F128F" w:rsidP="0063006E">
      <w:pPr>
        <w:pStyle w:val="af3"/>
        <w:rPr>
          <w:rFonts w:ascii="Traditional Arabic" w:hAnsi="Traditional Arabic"/>
          <w:color w:val="auto"/>
          <w:sz w:val="32"/>
          <w:szCs w:val="32"/>
        </w:rPr>
      </w:pPr>
      <w:r w:rsidRPr="00DF7B6C">
        <w:rPr>
          <w:rFonts w:ascii="Traditional Arabic" w:hAnsi="Traditional Arabic"/>
          <w:color w:val="auto"/>
          <w:sz w:val="32"/>
          <w:szCs w:val="32"/>
          <w:rtl/>
        </w:rPr>
        <w:t>(</w:t>
      </w:r>
      <w:r w:rsidRPr="00DF7B6C">
        <w:rPr>
          <w:rStyle w:val="ae"/>
          <w:rFonts w:ascii="Traditional Arabic" w:hAnsi="Traditional Arabic"/>
          <w:color w:val="auto"/>
          <w:sz w:val="32"/>
          <w:szCs w:val="32"/>
          <w:vertAlign w:val="baseline"/>
        </w:rPr>
        <w:footnoteRef/>
      </w:r>
      <w:r w:rsidRPr="00DF7B6C">
        <w:rPr>
          <w:rFonts w:ascii="Traditional Arabic" w:hAnsi="Traditional Arabic"/>
          <w:color w:val="auto"/>
          <w:sz w:val="32"/>
          <w:szCs w:val="32"/>
          <w:rtl/>
        </w:rPr>
        <w:t xml:space="preserve">) قال بنحوه الطبري في تفسيره (18/171), والماوردي في النكت والعيون </w:t>
      </w:r>
      <w:r w:rsidRPr="00DF7B6C">
        <w:rPr>
          <w:rFonts w:ascii="Traditional Arabic" w:hAnsi="Traditional Arabic"/>
          <w:color w:val="auto"/>
          <w:sz w:val="32"/>
          <w:szCs w:val="32"/>
          <w:rtl/>
          <w:lang w:eastAsia="en-US"/>
        </w:rPr>
        <w:t>(3/364)</w:t>
      </w:r>
      <w:r w:rsidRPr="00DF7B6C">
        <w:rPr>
          <w:rFonts w:ascii="Traditional Arabic" w:hAnsi="Traditional Arabic"/>
          <w:color w:val="auto"/>
          <w:sz w:val="32"/>
          <w:szCs w:val="32"/>
          <w:rtl/>
        </w:rPr>
        <w:t xml:space="preserve">. </w:t>
      </w:r>
    </w:p>
  </w:footnote>
  <w:footnote w:id="2235">
    <w:p w:rsidR="003F128F" w:rsidRPr="004C4CDC" w:rsidRDefault="003F128F" w:rsidP="0063006E">
      <w:pPr>
        <w:pStyle w:val="af3"/>
        <w:rPr>
          <w:rFonts w:ascii="Traditional Arabic" w:hAnsi="Traditional Arabic"/>
          <w:sz w:val="32"/>
          <w:szCs w:val="32"/>
        </w:rPr>
      </w:pPr>
      <w:r w:rsidRPr="004C4CDC">
        <w:rPr>
          <w:rFonts w:ascii="Traditional Arabic" w:hAnsi="Traditional Arabic"/>
          <w:sz w:val="32"/>
          <w:szCs w:val="32"/>
          <w:rtl/>
        </w:rPr>
        <w:t>(</w:t>
      </w:r>
      <w:r w:rsidRPr="004C4CDC">
        <w:rPr>
          <w:rStyle w:val="ae"/>
          <w:rFonts w:ascii="Traditional Arabic" w:hAnsi="Traditional Arabic"/>
          <w:sz w:val="32"/>
          <w:szCs w:val="32"/>
          <w:vertAlign w:val="baseline"/>
        </w:rPr>
        <w:footnoteRef/>
      </w:r>
      <w:r w:rsidRPr="004C4CDC">
        <w:rPr>
          <w:rFonts w:ascii="Traditional Arabic" w:hAnsi="Traditional Arabic"/>
          <w:sz w:val="32"/>
          <w:szCs w:val="32"/>
          <w:rtl/>
        </w:rPr>
        <w:t>) في (ك): [والثالث: أنه السقط].</w:t>
      </w:r>
    </w:p>
  </w:footnote>
  <w:footnote w:id="2236">
    <w:p w:rsidR="003F128F" w:rsidRPr="004C4CDC" w:rsidRDefault="003F128F" w:rsidP="0063006E">
      <w:pPr>
        <w:pStyle w:val="af3"/>
        <w:rPr>
          <w:rFonts w:ascii="Traditional Arabic" w:hAnsi="Traditional Arabic"/>
          <w:color w:val="auto"/>
          <w:sz w:val="32"/>
          <w:szCs w:val="32"/>
        </w:rPr>
      </w:pPr>
      <w:r w:rsidRPr="004C4CDC">
        <w:rPr>
          <w:rFonts w:ascii="Traditional Arabic" w:hAnsi="Traditional Arabic"/>
          <w:color w:val="auto"/>
          <w:sz w:val="32"/>
          <w:szCs w:val="32"/>
          <w:rtl/>
        </w:rPr>
        <w:t>(</w:t>
      </w:r>
      <w:r w:rsidRPr="004C4CDC">
        <w:rPr>
          <w:rStyle w:val="ae"/>
          <w:rFonts w:ascii="Traditional Arabic" w:hAnsi="Traditional Arabic"/>
          <w:color w:val="auto"/>
          <w:sz w:val="32"/>
          <w:szCs w:val="32"/>
          <w:vertAlign w:val="baseline"/>
        </w:rPr>
        <w:footnoteRef/>
      </w:r>
      <w:r w:rsidRPr="004C4CDC">
        <w:rPr>
          <w:rFonts w:ascii="Traditional Arabic" w:hAnsi="Traditional Arabic"/>
          <w:color w:val="auto"/>
          <w:sz w:val="32"/>
          <w:szCs w:val="32"/>
          <w:rtl/>
        </w:rPr>
        <w:t xml:space="preserve">) النكت والعيون </w:t>
      </w:r>
      <w:r w:rsidRPr="004C4CDC">
        <w:rPr>
          <w:rFonts w:ascii="Traditional Arabic" w:hAnsi="Traditional Arabic"/>
          <w:color w:val="auto"/>
          <w:sz w:val="32"/>
          <w:szCs w:val="32"/>
          <w:rtl/>
          <w:lang w:eastAsia="en-US"/>
        </w:rPr>
        <w:t>(3/364)</w:t>
      </w:r>
      <w:r w:rsidRPr="004C4CDC">
        <w:rPr>
          <w:rFonts w:ascii="Traditional Arabic" w:hAnsi="Traditional Arabic"/>
          <w:color w:val="auto"/>
          <w:sz w:val="32"/>
          <w:szCs w:val="32"/>
          <w:rtl/>
        </w:rPr>
        <w:t>.</w:t>
      </w:r>
    </w:p>
  </w:footnote>
  <w:footnote w:id="2237">
    <w:p w:rsidR="003F128F" w:rsidRPr="004C4CDC" w:rsidRDefault="003F128F" w:rsidP="0063006E">
      <w:pPr>
        <w:pStyle w:val="af3"/>
        <w:rPr>
          <w:rFonts w:ascii="Traditional Arabic" w:hAnsi="Traditional Arabic"/>
          <w:color w:val="auto"/>
          <w:sz w:val="32"/>
          <w:szCs w:val="32"/>
        </w:rPr>
      </w:pPr>
      <w:r w:rsidRPr="004C4CDC">
        <w:rPr>
          <w:rFonts w:ascii="Traditional Arabic" w:hAnsi="Traditional Arabic"/>
          <w:color w:val="auto"/>
          <w:sz w:val="32"/>
          <w:szCs w:val="32"/>
          <w:rtl/>
        </w:rPr>
        <w:t>(</w:t>
      </w:r>
      <w:r w:rsidRPr="004C4CDC">
        <w:rPr>
          <w:rStyle w:val="ae"/>
          <w:rFonts w:ascii="Traditional Arabic" w:hAnsi="Traditional Arabic"/>
          <w:color w:val="auto"/>
          <w:sz w:val="32"/>
          <w:szCs w:val="32"/>
          <w:vertAlign w:val="baseline"/>
        </w:rPr>
        <w:footnoteRef/>
      </w:r>
      <w:r w:rsidRPr="004C4CDC">
        <w:rPr>
          <w:rFonts w:ascii="Traditional Arabic" w:hAnsi="Traditional Arabic"/>
          <w:color w:val="auto"/>
          <w:sz w:val="32"/>
          <w:szCs w:val="32"/>
          <w:rtl/>
        </w:rPr>
        <w:t xml:space="preserve">) تفسير الطبري (18/172), الكشف والبيان (6/211). </w:t>
      </w:r>
    </w:p>
  </w:footnote>
  <w:footnote w:id="2238">
    <w:p w:rsidR="003F128F" w:rsidRPr="004C4CDC" w:rsidRDefault="003F128F" w:rsidP="0063006E">
      <w:pPr>
        <w:pStyle w:val="af3"/>
        <w:rPr>
          <w:rFonts w:ascii="Traditional Arabic" w:hAnsi="Traditional Arabic"/>
          <w:color w:val="auto"/>
          <w:sz w:val="32"/>
          <w:szCs w:val="32"/>
        </w:rPr>
      </w:pPr>
      <w:r w:rsidRPr="004C4CDC">
        <w:rPr>
          <w:rFonts w:ascii="Traditional Arabic" w:hAnsi="Traditional Arabic"/>
          <w:color w:val="auto"/>
          <w:sz w:val="32"/>
          <w:szCs w:val="32"/>
          <w:rtl/>
        </w:rPr>
        <w:t>(</w:t>
      </w:r>
      <w:r w:rsidRPr="004C4CDC">
        <w:rPr>
          <w:rStyle w:val="ae"/>
          <w:rFonts w:ascii="Traditional Arabic" w:hAnsi="Traditional Arabic"/>
          <w:color w:val="auto"/>
          <w:sz w:val="32"/>
          <w:szCs w:val="32"/>
          <w:vertAlign w:val="baseline"/>
        </w:rPr>
        <w:footnoteRef/>
      </w:r>
      <w:r w:rsidRPr="004C4CDC">
        <w:rPr>
          <w:rFonts w:ascii="Traditional Arabic" w:hAnsi="Traditional Arabic"/>
          <w:color w:val="auto"/>
          <w:sz w:val="32"/>
          <w:szCs w:val="32"/>
          <w:rtl/>
        </w:rPr>
        <w:t xml:space="preserve">) انظر: تفسير عبد الرزاق (2/356), تفسير الطبري (18/172). </w:t>
      </w:r>
    </w:p>
  </w:footnote>
  <w:footnote w:id="2239">
    <w:p w:rsidR="003F128F" w:rsidRPr="004C4CDC" w:rsidRDefault="003F128F" w:rsidP="0063006E">
      <w:pPr>
        <w:pStyle w:val="af3"/>
        <w:rPr>
          <w:rFonts w:ascii="Traditional Arabic" w:hAnsi="Traditional Arabic"/>
          <w:color w:val="auto"/>
          <w:sz w:val="32"/>
          <w:szCs w:val="32"/>
        </w:rPr>
      </w:pPr>
      <w:r w:rsidRPr="004C4CDC">
        <w:rPr>
          <w:rFonts w:ascii="Traditional Arabic" w:hAnsi="Traditional Arabic"/>
          <w:color w:val="auto"/>
          <w:sz w:val="32"/>
          <w:szCs w:val="32"/>
          <w:rtl/>
        </w:rPr>
        <w:t>(</w:t>
      </w:r>
      <w:r w:rsidRPr="004C4CDC">
        <w:rPr>
          <w:rStyle w:val="ae"/>
          <w:rFonts w:ascii="Traditional Arabic" w:hAnsi="Traditional Arabic"/>
          <w:color w:val="auto"/>
          <w:sz w:val="32"/>
          <w:szCs w:val="32"/>
          <w:vertAlign w:val="baseline"/>
        </w:rPr>
        <w:footnoteRef/>
      </w:r>
      <w:r w:rsidRPr="004C4CDC">
        <w:rPr>
          <w:rFonts w:ascii="Traditional Arabic" w:hAnsi="Traditional Arabic"/>
          <w:color w:val="auto"/>
          <w:sz w:val="32"/>
          <w:szCs w:val="32"/>
          <w:rtl/>
        </w:rPr>
        <w:t>) انظر: تفسير يحيى بن سلام (1/220).</w:t>
      </w:r>
    </w:p>
  </w:footnote>
  <w:footnote w:id="2240">
    <w:p w:rsidR="003F128F" w:rsidRPr="004C4CDC" w:rsidRDefault="003F128F" w:rsidP="0063006E">
      <w:pPr>
        <w:pStyle w:val="af3"/>
        <w:rPr>
          <w:rFonts w:ascii="Traditional Arabic" w:hAnsi="Traditional Arabic"/>
          <w:sz w:val="32"/>
          <w:szCs w:val="32"/>
        </w:rPr>
      </w:pPr>
      <w:r w:rsidRPr="004C4CDC">
        <w:rPr>
          <w:rFonts w:ascii="Traditional Arabic" w:hAnsi="Traditional Arabic"/>
          <w:sz w:val="32"/>
          <w:szCs w:val="32"/>
          <w:rtl/>
        </w:rPr>
        <w:t>(</w:t>
      </w:r>
      <w:r w:rsidRPr="004C4CDC">
        <w:rPr>
          <w:rStyle w:val="ae"/>
          <w:rFonts w:ascii="Traditional Arabic" w:hAnsi="Traditional Arabic"/>
          <w:sz w:val="32"/>
          <w:szCs w:val="32"/>
          <w:vertAlign w:val="baseline"/>
        </w:rPr>
        <w:footnoteRef/>
      </w:r>
      <w:r w:rsidRPr="004C4CDC">
        <w:rPr>
          <w:rFonts w:ascii="Traditional Arabic" w:hAnsi="Traditional Arabic"/>
          <w:sz w:val="32"/>
          <w:szCs w:val="32"/>
          <w:rtl/>
        </w:rPr>
        <w:t>) ما بين المعكوفتين ليس في الأصل, والمثبت من (ك).</w:t>
      </w:r>
    </w:p>
  </w:footnote>
  <w:footnote w:id="2241">
    <w:p w:rsidR="003F128F" w:rsidRPr="007B7117" w:rsidRDefault="003F128F" w:rsidP="0063006E">
      <w:pPr>
        <w:pStyle w:val="af3"/>
        <w:rPr>
          <w:rFonts w:ascii="Traditional Arabic" w:hAnsi="Traditional Arabic"/>
          <w:color w:val="auto"/>
          <w:sz w:val="32"/>
          <w:szCs w:val="32"/>
        </w:rPr>
      </w:pPr>
      <w:r w:rsidRPr="004C4CDC">
        <w:rPr>
          <w:rFonts w:ascii="Traditional Arabic" w:hAnsi="Traditional Arabic"/>
          <w:color w:val="auto"/>
          <w:sz w:val="32"/>
          <w:szCs w:val="32"/>
          <w:rtl/>
        </w:rPr>
        <w:t>(</w:t>
      </w:r>
      <w:r w:rsidRPr="004C4CDC">
        <w:rPr>
          <w:rStyle w:val="ae"/>
          <w:rFonts w:ascii="Traditional Arabic" w:hAnsi="Traditional Arabic"/>
          <w:color w:val="auto"/>
          <w:sz w:val="32"/>
          <w:szCs w:val="32"/>
          <w:vertAlign w:val="baseline"/>
        </w:rPr>
        <w:footnoteRef/>
      </w:r>
      <w:r w:rsidRPr="004C4CDC">
        <w:rPr>
          <w:rFonts w:ascii="Traditional Arabic" w:hAnsi="Traditional Arabic"/>
          <w:color w:val="auto"/>
          <w:sz w:val="32"/>
          <w:szCs w:val="32"/>
          <w:rtl/>
        </w:rPr>
        <w:t>) انظر: مجاز القرآن (2/4).</w:t>
      </w:r>
      <w:r w:rsidRPr="007B7117">
        <w:rPr>
          <w:rFonts w:ascii="Traditional Arabic" w:hAnsi="Traditional Arabic"/>
          <w:color w:val="auto"/>
          <w:sz w:val="32"/>
          <w:szCs w:val="32"/>
          <w:rtl/>
        </w:rPr>
        <w:t xml:space="preserve">   </w:t>
      </w:r>
    </w:p>
  </w:footnote>
  <w:footnote w:id="2242">
    <w:p w:rsidR="003F128F" w:rsidRPr="007B7117" w:rsidRDefault="003F128F" w:rsidP="0063006E">
      <w:pPr>
        <w:pStyle w:val="af3"/>
        <w:rPr>
          <w:rFonts w:ascii="Traditional Arabic" w:hAnsi="Traditional Arabic"/>
          <w:color w:val="auto"/>
          <w:sz w:val="32"/>
          <w:szCs w:val="32"/>
        </w:rPr>
      </w:pPr>
      <w:r w:rsidRPr="007B7117">
        <w:rPr>
          <w:rFonts w:ascii="Traditional Arabic" w:hAnsi="Traditional Arabic"/>
          <w:color w:val="auto"/>
          <w:sz w:val="32"/>
          <w:szCs w:val="32"/>
          <w:rtl/>
        </w:rPr>
        <w:t>(</w:t>
      </w:r>
      <w:r w:rsidRPr="007B7117">
        <w:rPr>
          <w:rStyle w:val="ae"/>
          <w:rFonts w:ascii="Traditional Arabic" w:hAnsi="Traditional Arabic"/>
          <w:color w:val="auto"/>
          <w:sz w:val="32"/>
          <w:szCs w:val="32"/>
          <w:vertAlign w:val="baseline"/>
        </w:rPr>
        <w:footnoteRef/>
      </w:r>
      <w:r w:rsidRPr="007B7117">
        <w:rPr>
          <w:rFonts w:ascii="Traditional Arabic" w:hAnsi="Traditional Arabic"/>
          <w:color w:val="auto"/>
          <w:sz w:val="32"/>
          <w:szCs w:val="32"/>
          <w:rtl/>
        </w:rPr>
        <w:t xml:space="preserve">) انظر: رموز الكنوز (4/407), وذكره أبو علي الفارسي في الحجة للقراء السبعة (5/196) بدون نسبة.  </w:t>
      </w:r>
    </w:p>
  </w:footnote>
  <w:footnote w:id="2243">
    <w:p w:rsidR="003F128F" w:rsidRPr="007B7117" w:rsidRDefault="003F128F" w:rsidP="0063006E">
      <w:pPr>
        <w:pStyle w:val="af3"/>
        <w:rPr>
          <w:rFonts w:ascii="Traditional Arabic" w:hAnsi="Traditional Arabic"/>
          <w:color w:val="auto"/>
          <w:sz w:val="32"/>
          <w:szCs w:val="32"/>
        </w:rPr>
      </w:pPr>
      <w:r w:rsidRPr="007B7117">
        <w:rPr>
          <w:rFonts w:ascii="Traditional Arabic" w:hAnsi="Traditional Arabic"/>
          <w:color w:val="auto"/>
          <w:sz w:val="32"/>
          <w:szCs w:val="32"/>
          <w:rtl/>
        </w:rPr>
        <w:t>(</w:t>
      </w:r>
      <w:r w:rsidRPr="007B7117">
        <w:rPr>
          <w:rStyle w:val="ae"/>
          <w:rFonts w:ascii="Traditional Arabic" w:hAnsi="Traditional Arabic"/>
          <w:color w:val="auto"/>
          <w:sz w:val="32"/>
          <w:szCs w:val="32"/>
          <w:vertAlign w:val="baseline"/>
        </w:rPr>
        <w:footnoteRef/>
      </w:r>
      <w:r w:rsidRPr="007B7117">
        <w:rPr>
          <w:rFonts w:ascii="Traditional Arabic" w:hAnsi="Traditional Arabic"/>
          <w:color w:val="auto"/>
          <w:sz w:val="32"/>
          <w:szCs w:val="32"/>
          <w:rtl/>
        </w:rPr>
        <w:t xml:space="preserve">) انظر: السبعة في القراءات (ص408), الحجة للقراء السبعة (5/197).  </w:t>
      </w:r>
    </w:p>
  </w:footnote>
  <w:footnote w:id="2244">
    <w:p w:rsidR="003F128F" w:rsidRPr="004C4CDC" w:rsidRDefault="003F128F" w:rsidP="0063006E">
      <w:pPr>
        <w:pStyle w:val="af3"/>
        <w:rPr>
          <w:rFonts w:ascii="Traditional Arabic" w:hAnsi="Traditional Arabic"/>
          <w:sz w:val="32"/>
          <w:szCs w:val="32"/>
        </w:rPr>
      </w:pPr>
      <w:r w:rsidRPr="004C4CDC">
        <w:rPr>
          <w:rFonts w:ascii="Traditional Arabic" w:hAnsi="Traditional Arabic"/>
          <w:sz w:val="32"/>
          <w:szCs w:val="32"/>
          <w:rtl/>
        </w:rPr>
        <w:t>(</w:t>
      </w:r>
      <w:r w:rsidRPr="004C4CDC">
        <w:rPr>
          <w:rStyle w:val="ae"/>
          <w:rFonts w:ascii="Traditional Arabic" w:hAnsi="Traditional Arabic"/>
          <w:sz w:val="32"/>
          <w:szCs w:val="32"/>
          <w:vertAlign w:val="baseline"/>
        </w:rPr>
        <w:footnoteRef/>
      </w:r>
      <w:r w:rsidRPr="004C4CDC">
        <w:rPr>
          <w:rFonts w:ascii="Traditional Arabic" w:hAnsi="Traditional Arabic"/>
          <w:sz w:val="32"/>
          <w:szCs w:val="32"/>
          <w:rtl/>
        </w:rPr>
        <w:t>) في الأصل: [إليك], والمثبت من (ك).</w:t>
      </w:r>
    </w:p>
  </w:footnote>
  <w:footnote w:id="2245">
    <w:p w:rsidR="003F128F" w:rsidRPr="007B7117" w:rsidRDefault="003F128F" w:rsidP="0063006E">
      <w:pPr>
        <w:pStyle w:val="af3"/>
        <w:rPr>
          <w:rFonts w:ascii="Traditional Arabic" w:hAnsi="Traditional Arabic"/>
          <w:color w:val="auto"/>
          <w:sz w:val="32"/>
          <w:szCs w:val="32"/>
        </w:rPr>
      </w:pPr>
      <w:r w:rsidRPr="007B7117">
        <w:rPr>
          <w:rFonts w:ascii="Traditional Arabic" w:hAnsi="Traditional Arabic"/>
          <w:color w:val="auto"/>
          <w:sz w:val="32"/>
          <w:szCs w:val="32"/>
          <w:rtl/>
        </w:rPr>
        <w:t>(</w:t>
      </w:r>
      <w:r w:rsidRPr="007B7117">
        <w:rPr>
          <w:rStyle w:val="ae"/>
          <w:rFonts w:ascii="Traditional Arabic" w:hAnsi="Traditional Arabic"/>
          <w:color w:val="auto"/>
          <w:sz w:val="32"/>
          <w:szCs w:val="32"/>
          <w:vertAlign w:val="baseline"/>
        </w:rPr>
        <w:footnoteRef/>
      </w:r>
      <w:r w:rsidRPr="007B7117">
        <w:rPr>
          <w:rFonts w:ascii="Traditional Arabic" w:hAnsi="Traditional Arabic"/>
          <w:color w:val="auto"/>
          <w:sz w:val="32"/>
          <w:szCs w:val="32"/>
          <w:rtl/>
        </w:rPr>
        <w:t>)</w:t>
      </w:r>
      <w:r>
        <w:rPr>
          <w:rFonts w:ascii="Traditional Arabic" w:hAnsi="Traditional Arabic" w:hint="cs"/>
          <w:color w:val="auto"/>
          <w:sz w:val="32"/>
          <w:szCs w:val="32"/>
          <w:rtl/>
        </w:rPr>
        <w:t xml:space="preserve"> بحثت عنه فلم أجده</w:t>
      </w:r>
      <w:r w:rsidRPr="007152BE">
        <w:rPr>
          <w:rFonts w:ascii="Traditional Arabic" w:hAnsi="Traditional Arabic"/>
          <w:color w:val="auto"/>
          <w:sz w:val="32"/>
          <w:szCs w:val="32"/>
          <w:rtl/>
        </w:rPr>
        <w:t>.</w:t>
      </w:r>
      <w:r w:rsidRPr="007B7117">
        <w:rPr>
          <w:rFonts w:ascii="Traditional Arabic" w:hAnsi="Traditional Arabic"/>
          <w:color w:val="auto"/>
          <w:sz w:val="32"/>
          <w:szCs w:val="32"/>
          <w:rtl/>
        </w:rPr>
        <w:t xml:space="preserve"> </w:t>
      </w:r>
    </w:p>
  </w:footnote>
  <w:footnote w:id="2246">
    <w:p w:rsidR="003F128F" w:rsidRPr="004C4CDC" w:rsidRDefault="003F128F" w:rsidP="0063006E">
      <w:pPr>
        <w:pStyle w:val="af3"/>
        <w:rPr>
          <w:rFonts w:ascii="Traditional Arabic" w:hAnsi="Traditional Arabic"/>
          <w:sz w:val="32"/>
          <w:szCs w:val="32"/>
        </w:rPr>
      </w:pPr>
      <w:r w:rsidRPr="004C4CDC">
        <w:rPr>
          <w:rFonts w:ascii="Traditional Arabic" w:hAnsi="Traditional Arabic"/>
          <w:sz w:val="32"/>
          <w:szCs w:val="32"/>
          <w:rtl/>
        </w:rPr>
        <w:t>(</w:t>
      </w:r>
      <w:r w:rsidRPr="004C4CDC">
        <w:rPr>
          <w:rStyle w:val="ae"/>
          <w:rFonts w:ascii="Traditional Arabic" w:hAnsi="Traditional Arabic"/>
          <w:sz w:val="32"/>
          <w:szCs w:val="32"/>
          <w:vertAlign w:val="baseline"/>
        </w:rPr>
        <w:footnoteRef/>
      </w:r>
      <w:r w:rsidRPr="004C4CDC">
        <w:rPr>
          <w:rFonts w:ascii="Traditional Arabic" w:hAnsi="Traditional Arabic"/>
          <w:sz w:val="32"/>
          <w:szCs w:val="32"/>
          <w:rtl/>
        </w:rPr>
        <w:t>) في (ك): [ومن قرأ «مَنْ تَحْتِها» بفتح الميم].</w:t>
      </w:r>
    </w:p>
  </w:footnote>
  <w:footnote w:id="2247">
    <w:p w:rsidR="003F128F" w:rsidRPr="007B7117" w:rsidRDefault="003F128F" w:rsidP="0063006E">
      <w:pPr>
        <w:pStyle w:val="af3"/>
        <w:rPr>
          <w:rFonts w:ascii="Traditional Arabic" w:hAnsi="Traditional Arabic"/>
          <w:color w:val="auto"/>
          <w:sz w:val="32"/>
          <w:szCs w:val="32"/>
        </w:rPr>
      </w:pPr>
      <w:r w:rsidRPr="007B7117">
        <w:rPr>
          <w:rFonts w:ascii="Traditional Arabic" w:hAnsi="Traditional Arabic"/>
          <w:color w:val="auto"/>
          <w:sz w:val="32"/>
          <w:szCs w:val="32"/>
          <w:rtl/>
        </w:rPr>
        <w:t>(</w:t>
      </w:r>
      <w:r w:rsidRPr="007B7117">
        <w:rPr>
          <w:rStyle w:val="ae"/>
          <w:rFonts w:ascii="Traditional Arabic" w:hAnsi="Traditional Arabic"/>
          <w:color w:val="auto"/>
          <w:sz w:val="32"/>
          <w:szCs w:val="32"/>
          <w:vertAlign w:val="baseline"/>
        </w:rPr>
        <w:footnoteRef/>
      </w:r>
      <w:r w:rsidRPr="007B7117">
        <w:rPr>
          <w:rFonts w:ascii="Traditional Arabic" w:hAnsi="Traditional Arabic"/>
          <w:color w:val="auto"/>
          <w:sz w:val="32"/>
          <w:szCs w:val="32"/>
          <w:rtl/>
        </w:rPr>
        <w:t xml:space="preserve">) انظر: الحجة للقراء السبعة (5/197). </w:t>
      </w:r>
    </w:p>
  </w:footnote>
  <w:footnote w:id="2248">
    <w:p w:rsidR="003F128F" w:rsidRPr="00F12FC1" w:rsidRDefault="003F128F" w:rsidP="0063006E">
      <w:pPr>
        <w:pStyle w:val="af3"/>
        <w:rPr>
          <w:rFonts w:ascii="Tahoma" w:hAnsi="Tahoma"/>
        </w:rPr>
      </w:pPr>
      <w:r w:rsidRPr="007B7117">
        <w:rPr>
          <w:rFonts w:ascii="Traditional Arabic" w:hAnsi="Traditional Arabic"/>
          <w:sz w:val="32"/>
          <w:szCs w:val="32"/>
          <w:rtl/>
        </w:rPr>
        <w:t>(</w:t>
      </w:r>
      <w:r w:rsidRPr="007B7117">
        <w:rPr>
          <w:rStyle w:val="ae"/>
          <w:rFonts w:ascii="Traditional Arabic" w:hAnsi="Traditional Arabic"/>
          <w:sz w:val="32"/>
          <w:szCs w:val="32"/>
          <w:vertAlign w:val="baseline"/>
        </w:rPr>
        <w:footnoteRef/>
      </w:r>
      <w:r w:rsidRPr="007B7117">
        <w:rPr>
          <w:rFonts w:ascii="Traditional Arabic" w:hAnsi="Traditional Arabic"/>
          <w:sz w:val="32"/>
          <w:szCs w:val="32"/>
          <w:rtl/>
        </w:rPr>
        <w:t>)</w:t>
      </w:r>
      <w:r w:rsidRPr="007B7117">
        <w:rPr>
          <w:rFonts w:ascii="Traditional Arabic" w:hAnsi="Traditional Arabic"/>
          <w:color w:val="auto"/>
          <w:sz w:val="32"/>
          <w:szCs w:val="32"/>
          <w:rtl/>
        </w:rPr>
        <w:t xml:space="preserve"> انظر: معاني القرآن للفراء (2/16</w:t>
      </w:r>
      <w:r>
        <w:rPr>
          <w:rFonts w:ascii="Traditional Arabic" w:hAnsi="Traditional Arabic" w:hint="cs"/>
          <w:color w:val="auto"/>
          <w:sz w:val="32"/>
          <w:szCs w:val="32"/>
          <w:rtl/>
        </w:rPr>
        <w:t>5</w:t>
      </w:r>
      <w:r w:rsidRPr="007B7117">
        <w:rPr>
          <w:rFonts w:ascii="Traditional Arabic" w:hAnsi="Traditional Arabic"/>
          <w:color w:val="auto"/>
          <w:sz w:val="32"/>
          <w:szCs w:val="32"/>
          <w:rtl/>
        </w:rPr>
        <w:t>).</w:t>
      </w:r>
      <w:r w:rsidRPr="007152BE">
        <w:rPr>
          <w:rFonts w:ascii="Traditional Arabic" w:hAnsi="Traditional Arabic"/>
          <w:color w:val="auto"/>
          <w:sz w:val="32"/>
          <w:szCs w:val="32"/>
          <w:rtl/>
        </w:rPr>
        <w:t xml:space="preserve">   </w:t>
      </w:r>
      <w:r>
        <w:rPr>
          <w:rFonts w:ascii="Tahoma" w:hAnsi="Tahoma"/>
          <w:rtl/>
        </w:rPr>
        <w:t xml:space="preserve">  </w:t>
      </w:r>
    </w:p>
  </w:footnote>
  <w:footnote w:id="2249">
    <w:p w:rsidR="003F128F" w:rsidRPr="00493CFB" w:rsidRDefault="003F128F" w:rsidP="0063006E">
      <w:pPr>
        <w:pStyle w:val="af3"/>
        <w:rPr>
          <w:rFonts w:ascii="Traditional Arabic" w:hAnsi="Traditional Arabic"/>
          <w:color w:val="auto"/>
          <w:sz w:val="32"/>
          <w:szCs w:val="32"/>
        </w:rPr>
      </w:pPr>
      <w:r w:rsidRPr="00493CFB">
        <w:rPr>
          <w:rFonts w:ascii="Traditional Arabic" w:hAnsi="Traditional Arabic"/>
          <w:color w:val="auto"/>
          <w:sz w:val="32"/>
          <w:szCs w:val="32"/>
          <w:rtl/>
        </w:rPr>
        <w:t>(</w:t>
      </w:r>
      <w:r w:rsidRPr="00493CFB">
        <w:rPr>
          <w:rStyle w:val="ae"/>
          <w:rFonts w:ascii="Traditional Arabic" w:hAnsi="Traditional Arabic"/>
          <w:color w:val="auto"/>
          <w:sz w:val="32"/>
          <w:szCs w:val="32"/>
          <w:vertAlign w:val="baseline"/>
        </w:rPr>
        <w:footnoteRef/>
      </w:r>
      <w:r w:rsidRPr="00493CFB">
        <w:rPr>
          <w:rFonts w:ascii="Traditional Arabic" w:hAnsi="Traditional Arabic"/>
          <w:color w:val="auto"/>
          <w:sz w:val="32"/>
          <w:szCs w:val="32"/>
          <w:rtl/>
        </w:rPr>
        <w:t xml:space="preserve">) انظر: تفسير مجاهد (ص455), تفسير مقاتل (2/625), تفسير يحيى بن سلام (1/221). </w:t>
      </w:r>
    </w:p>
  </w:footnote>
  <w:footnote w:id="2250">
    <w:p w:rsidR="003F128F" w:rsidRPr="00493CFB" w:rsidRDefault="003F128F" w:rsidP="0063006E">
      <w:pPr>
        <w:pStyle w:val="af3"/>
        <w:rPr>
          <w:rFonts w:ascii="Traditional Arabic" w:hAnsi="Traditional Arabic"/>
          <w:color w:val="auto"/>
          <w:sz w:val="32"/>
          <w:szCs w:val="32"/>
        </w:rPr>
      </w:pPr>
      <w:r w:rsidRPr="00493CFB">
        <w:rPr>
          <w:rFonts w:ascii="Traditional Arabic" w:hAnsi="Traditional Arabic"/>
          <w:color w:val="auto"/>
          <w:sz w:val="32"/>
          <w:szCs w:val="32"/>
          <w:rtl/>
        </w:rPr>
        <w:t>(</w:t>
      </w:r>
      <w:r w:rsidRPr="00493CFB">
        <w:rPr>
          <w:rStyle w:val="ae"/>
          <w:rFonts w:ascii="Traditional Arabic" w:hAnsi="Traditional Arabic"/>
          <w:color w:val="auto"/>
          <w:sz w:val="32"/>
          <w:szCs w:val="32"/>
          <w:vertAlign w:val="baseline"/>
        </w:rPr>
        <w:footnoteRef/>
      </w:r>
      <w:r w:rsidRPr="00493CFB">
        <w:rPr>
          <w:rFonts w:ascii="Traditional Arabic" w:hAnsi="Traditional Arabic"/>
          <w:color w:val="auto"/>
          <w:sz w:val="32"/>
          <w:szCs w:val="32"/>
          <w:rtl/>
        </w:rPr>
        <w:t>) انظر: تهذيب اللغة (13/39) مادة (سري), المحكم لابن سيده (8/569) مادة (سري).</w:t>
      </w:r>
    </w:p>
  </w:footnote>
  <w:footnote w:id="2251">
    <w:p w:rsidR="003F128F" w:rsidRPr="00493CFB" w:rsidRDefault="003F128F" w:rsidP="0063006E">
      <w:pPr>
        <w:pStyle w:val="af3"/>
        <w:rPr>
          <w:rFonts w:ascii="Traditional Arabic" w:hAnsi="Traditional Arabic"/>
          <w:color w:val="auto"/>
          <w:sz w:val="32"/>
          <w:szCs w:val="32"/>
        </w:rPr>
      </w:pPr>
      <w:r w:rsidRPr="00493CFB">
        <w:rPr>
          <w:rFonts w:ascii="Traditional Arabic" w:hAnsi="Traditional Arabic"/>
          <w:color w:val="auto"/>
          <w:sz w:val="32"/>
          <w:szCs w:val="32"/>
          <w:rtl/>
        </w:rPr>
        <w:t>(</w:t>
      </w:r>
      <w:r w:rsidRPr="00493CFB">
        <w:rPr>
          <w:rStyle w:val="ae"/>
          <w:rFonts w:ascii="Traditional Arabic" w:hAnsi="Traditional Arabic"/>
          <w:color w:val="auto"/>
          <w:sz w:val="32"/>
          <w:szCs w:val="32"/>
          <w:vertAlign w:val="baseline"/>
        </w:rPr>
        <w:footnoteRef/>
      </w:r>
      <w:r w:rsidRPr="00493CFB">
        <w:rPr>
          <w:rFonts w:ascii="Traditional Arabic" w:hAnsi="Traditional Arabic"/>
          <w:color w:val="auto"/>
          <w:sz w:val="32"/>
          <w:szCs w:val="32"/>
          <w:rtl/>
        </w:rPr>
        <w:t xml:space="preserve">) انظر: تفسير الطبري (18/176).   </w:t>
      </w:r>
    </w:p>
  </w:footnote>
  <w:footnote w:id="2252">
    <w:p w:rsidR="003F128F" w:rsidRPr="00493CFB" w:rsidRDefault="003F128F" w:rsidP="0063006E">
      <w:pPr>
        <w:pStyle w:val="af3"/>
        <w:rPr>
          <w:rFonts w:ascii="Traditional Arabic" w:hAnsi="Traditional Arabic"/>
          <w:color w:val="auto"/>
          <w:sz w:val="32"/>
          <w:szCs w:val="32"/>
        </w:rPr>
      </w:pPr>
      <w:r w:rsidRPr="00493CFB">
        <w:rPr>
          <w:rFonts w:ascii="Traditional Arabic" w:hAnsi="Traditional Arabic"/>
          <w:color w:val="auto"/>
          <w:sz w:val="32"/>
          <w:szCs w:val="32"/>
          <w:rtl/>
        </w:rPr>
        <w:t>(</w:t>
      </w:r>
      <w:r w:rsidRPr="00493CFB">
        <w:rPr>
          <w:rStyle w:val="ae"/>
          <w:rFonts w:ascii="Traditional Arabic" w:hAnsi="Traditional Arabic"/>
          <w:color w:val="auto"/>
          <w:sz w:val="32"/>
          <w:szCs w:val="32"/>
          <w:vertAlign w:val="baseline"/>
        </w:rPr>
        <w:footnoteRef/>
      </w:r>
      <w:r w:rsidRPr="00493CFB">
        <w:rPr>
          <w:rFonts w:ascii="Traditional Arabic" w:hAnsi="Traditional Arabic"/>
          <w:color w:val="auto"/>
          <w:sz w:val="32"/>
          <w:szCs w:val="32"/>
          <w:rtl/>
        </w:rPr>
        <w:t xml:space="preserve">) انظر: معاني القرآن وإعرابه (3/325), النكت والعيون </w:t>
      </w:r>
      <w:r w:rsidRPr="00493CFB">
        <w:rPr>
          <w:rFonts w:ascii="Traditional Arabic" w:hAnsi="Traditional Arabic"/>
          <w:color w:val="auto"/>
          <w:sz w:val="32"/>
          <w:szCs w:val="32"/>
          <w:rtl/>
          <w:lang w:eastAsia="en-US"/>
        </w:rPr>
        <w:t>(3/365)</w:t>
      </w:r>
      <w:r>
        <w:rPr>
          <w:rFonts w:ascii="Traditional Arabic" w:hAnsi="Traditional Arabic" w:hint="cs"/>
          <w:color w:val="auto"/>
          <w:sz w:val="32"/>
          <w:szCs w:val="32"/>
          <w:rtl/>
        </w:rPr>
        <w:t>.</w:t>
      </w:r>
    </w:p>
  </w:footnote>
  <w:footnote w:id="2253">
    <w:p w:rsidR="003F128F" w:rsidRPr="00F62A4D" w:rsidRDefault="003F128F" w:rsidP="0063006E">
      <w:pPr>
        <w:pStyle w:val="af3"/>
        <w:rPr>
          <w:rFonts w:ascii="Traditional Arabic" w:hAnsi="Traditional Arabic"/>
          <w:color w:val="auto"/>
          <w:sz w:val="32"/>
          <w:szCs w:val="32"/>
        </w:rPr>
      </w:pPr>
      <w:r w:rsidRPr="00F62A4D">
        <w:rPr>
          <w:rFonts w:ascii="Traditional Arabic" w:hAnsi="Traditional Arabic"/>
          <w:color w:val="auto"/>
          <w:sz w:val="32"/>
          <w:szCs w:val="32"/>
          <w:rtl/>
        </w:rPr>
        <w:t>(</w:t>
      </w:r>
      <w:r w:rsidRPr="00F62A4D">
        <w:rPr>
          <w:rStyle w:val="ae"/>
          <w:rFonts w:ascii="Traditional Arabic" w:hAnsi="Traditional Arabic"/>
          <w:color w:val="auto"/>
          <w:sz w:val="32"/>
          <w:szCs w:val="32"/>
          <w:vertAlign w:val="baseline"/>
        </w:rPr>
        <w:footnoteRef/>
      </w:r>
      <w:r w:rsidRPr="00F62A4D">
        <w:rPr>
          <w:rFonts w:ascii="Traditional Arabic" w:hAnsi="Traditional Arabic"/>
          <w:color w:val="auto"/>
          <w:sz w:val="32"/>
          <w:szCs w:val="32"/>
          <w:rtl/>
        </w:rPr>
        <w:t xml:space="preserve">) لم  أقف عليه. </w:t>
      </w:r>
    </w:p>
  </w:footnote>
  <w:footnote w:id="2254">
    <w:p w:rsidR="003F128F" w:rsidRPr="00F62A4D" w:rsidRDefault="003F128F" w:rsidP="0063006E">
      <w:pPr>
        <w:pStyle w:val="af3"/>
        <w:rPr>
          <w:rFonts w:ascii="Tahoma" w:hAnsi="Tahoma"/>
        </w:rPr>
      </w:pPr>
      <w:r w:rsidRPr="00F62A4D">
        <w:rPr>
          <w:rFonts w:ascii="Traditional Arabic" w:hAnsi="Traditional Arabic"/>
          <w:sz w:val="32"/>
          <w:szCs w:val="32"/>
          <w:rtl/>
        </w:rPr>
        <w:t>(</w:t>
      </w:r>
      <w:r w:rsidRPr="00F62A4D">
        <w:rPr>
          <w:rStyle w:val="ae"/>
          <w:rFonts w:ascii="Traditional Arabic" w:hAnsi="Traditional Arabic"/>
          <w:sz w:val="32"/>
          <w:szCs w:val="32"/>
          <w:vertAlign w:val="baseline"/>
        </w:rPr>
        <w:footnoteRef/>
      </w:r>
      <w:r w:rsidRPr="00F62A4D">
        <w:rPr>
          <w:rFonts w:ascii="Traditional Arabic" w:hAnsi="Traditional Arabic"/>
          <w:sz w:val="32"/>
          <w:szCs w:val="32"/>
          <w:rtl/>
        </w:rPr>
        <w:t>) ما بين المعكوفتين ليس في الأصل, والمثبت من (ك) وهو موافق لمصادر هذا القول.</w:t>
      </w:r>
      <w:r>
        <w:rPr>
          <w:rFonts w:ascii="Tahoma" w:hAnsi="Tahoma"/>
          <w:rtl/>
        </w:rPr>
        <w:t xml:space="preserve"> </w:t>
      </w:r>
    </w:p>
  </w:footnote>
  <w:footnote w:id="2255">
    <w:p w:rsidR="003F128F" w:rsidRPr="00493CFB" w:rsidRDefault="003F128F" w:rsidP="0063006E">
      <w:pPr>
        <w:pStyle w:val="af3"/>
        <w:rPr>
          <w:rFonts w:ascii="Traditional Arabic" w:hAnsi="Traditional Arabic"/>
          <w:color w:val="auto"/>
          <w:sz w:val="32"/>
          <w:szCs w:val="32"/>
        </w:rPr>
      </w:pPr>
      <w:r w:rsidRPr="00493CFB">
        <w:rPr>
          <w:rFonts w:ascii="Traditional Arabic" w:hAnsi="Traditional Arabic"/>
          <w:color w:val="auto"/>
          <w:sz w:val="32"/>
          <w:szCs w:val="32"/>
          <w:rtl/>
        </w:rPr>
        <w:t>(</w:t>
      </w:r>
      <w:r w:rsidRPr="00493CFB">
        <w:rPr>
          <w:rStyle w:val="ae"/>
          <w:rFonts w:ascii="Traditional Arabic" w:hAnsi="Traditional Arabic"/>
          <w:color w:val="auto"/>
          <w:sz w:val="32"/>
          <w:szCs w:val="32"/>
          <w:vertAlign w:val="baseline"/>
        </w:rPr>
        <w:footnoteRef/>
      </w:r>
      <w:r w:rsidRPr="00493CFB">
        <w:rPr>
          <w:rFonts w:ascii="Traditional Arabic" w:hAnsi="Traditional Arabic"/>
          <w:color w:val="auto"/>
          <w:sz w:val="32"/>
          <w:szCs w:val="32"/>
          <w:rtl/>
        </w:rPr>
        <w:t xml:space="preserve">) </w:t>
      </w:r>
      <w:r>
        <w:rPr>
          <w:rFonts w:ascii="Traditional Arabic" w:hAnsi="Traditional Arabic" w:hint="cs"/>
          <w:color w:val="auto"/>
          <w:sz w:val="32"/>
          <w:szCs w:val="32"/>
          <w:rtl/>
        </w:rPr>
        <w:t>تفسير ابن أبي حاتم (7/2405)،</w:t>
      </w:r>
      <w:r w:rsidRPr="00D27A6A">
        <w:rPr>
          <w:rFonts w:ascii="Traditional Arabic" w:hAnsi="Traditional Arabic" w:hint="cs"/>
          <w:color w:val="auto"/>
          <w:sz w:val="32"/>
          <w:szCs w:val="32"/>
          <w:rtl/>
        </w:rPr>
        <w:t xml:space="preserve"> </w:t>
      </w:r>
      <w:r>
        <w:rPr>
          <w:rFonts w:ascii="Traditional Arabic" w:hAnsi="Traditional Arabic" w:hint="cs"/>
          <w:color w:val="auto"/>
          <w:sz w:val="32"/>
          <w:szCs w:val="32"/>
          <w:rtl/>
        </w:rPr>
        <w:t xml:space="preserve">وذكره </w:t>
      </w:r>
      <w:r w:rsidRPr="008318B2">
        <w:rPr>
          <w:rFonts w:ascii="Traditional Arabic" w:hAnsi="Traditional Arabic" w:hint="cs"/>
          <w:color w:val="auto"/>
          <w:sz w:val="32"/>
          <w:szCs w:val="32"/>
          <w:rtl/>
        </w:rPr>
        <w:t>السيوطي في الدر المنثور (5/</w:t>
      </w:r>
      <w:r>
        <w:rPr>
          <w:rFonts w:ascii="Traditional Arabic" w:hAnsi="Traditional Arabic" w:hint="cs"/>
          <w:color w:val="auto"/>
          <w:sz w:val="32"/>
          <w:szCs w:val="32"/>
          <w:rtl/>
        </w:rPr>
        <w:t>502</w:t>
      </w:r>
      <w:r w:rsidRPr="008318B2">
        <w:rPr>
          <w:rFonts w:ascii="Traditional Arabic" w:hAnsi="Traditional Arabic" w:hint="cs"/>
          <w:color w:val="auto"/>
          <w:sz w:val="32"/>
          <w:szCs w:val="32"/>
          <w:rtl/>
        </w:rPr>
        <w:t>)</w:t>
      </w:r>
      <w:r>
        <w:rPr>
          <w:rFonts w:ascii="Traditional Arabic" w:hAnsi="Traditional Arabic" w:hint="cs"/>
          <w:color w:val="auto"/>
          <w:sz w:val="32"/>
          <w:szCs w:val="32"/>
          <w:rtl/>
        </w:rPr>
        <w:t xml:space="preserve">. </w:t>
      </w:r>
      <w:r w:rsidRPr="00493CFB">
        <w:rPr>
          <w:rFonts w:ascii="Traditional Arabic" w:hAnsi="Traditional Arabic"/>
          <w:color w:val="auto"/>
          <w:sz w:val="32"/>
          <w:szCs w:val="32"/>
          <w:rtl/>
        </w:rPr>
        <w:t xml:space="preserve"> </w:t>
      </w:r>
    </w:p>
  </w:footnote>
  <w:footnote w:id="2256">
    <w:p w:rsidR="003F128F" w:rsidRPr="00885B2A" w:rsidRDefault="003F128F" w:rsidP="0063006E">
      <w:pPr>
        <w:pStyle w:val="af3"/>
        <w:rPr>
          <w:rFonts w:ascii="Traditional Arabic" w:hAnsi="Traditional Arabic"/>
          <w:sz w:val="32"/>
          <w:szCs w:val="32"/>
        </w:rPr>
      </w:pPr>
      <w:r w:rsidRPr="00885B2A">
        <w:rPr>
          <w:rFonts w:ascii="Traditional Arabic" w:hAnsi="Traditional Arabic"/>
          <w:sz w:val="32"/>
          <w:szCs w:val="32"/>
          <w:rtl/>
        </w:rPr>
        <w:t>(</w:t>
      </w:r>
      <w:r w:rsidRPr="00885B2A">
        <w:rPr>
          <w:rStyle w:val="ae"/>
          <w:rFonts w:ascii="Traditional Arabic" w:hAnsi="Traditional Arabic"/>
          <w:sz w:val="32"/>
          <w:szCs w:val="32"/>
          <w:vertAlign w:val="baseline"/>
        </w:rPr>
        <w:footnoteRef/>
      </w:r>
      <w:r w:rsidRPr="00885B2A">
        <w:rPr>
          <w:rFonts w:ascii="Traditional Arabic" w:hAnsi="Traditional Arabic"/>
          <w:sz w:val="32"/>
          <w:szCs w:val="32"/>
          <w:rtl/>
        </w:rPr>
        <w:t xml:space="preserve">) في (ك): [أو سريّاً]. </w:t>
      </w:r>
    </w:p>
  </w:footnote>
  <w:footnote w:id="2257">
    <w:p w:rsidR="003F128F" w:rsidRPr="00493CFB" w:rsidRDefault="003F128F" w:rsidP="00017BED">
      <w:pPr>
        <w:pStyle w:val="af3"/>
        <w:rPr>
          <w:rFonts w:ascii="Traditional Arabic" w:hAnsi="Traditional Arabic"/>
          <w:color w:val="auto"/>
          <w:sz w:val="32"/>
          <w:szCs w:val="32"/>
        </w:rPr>
      </w:pPr>
      <w:r w:rsidRPr="00493CFB">
        <w:rPr>
          <w:rFonts w:ascii="Traditional Arabic" w:hAnsi="Traditional Arabic"/>
          <w:color w:val="auto"/>
          <w:sz w:val="32"/>
          <w:szCs w:val="32"/>
          <w:rtl/>
        </w:rPr>
        <w:t>(</w:t>
      </w:r>
      <w:r w:rsidRPr="00493CFB">
        <w:rPr>
          <w:rStyle w:val="ae"/>
          <w:rFonts w:ascii="Traditional Arabic" w:hAnsi="Traditional Arabic"/>
          <w:color w:val="auto"/>
          <w:sz w:val="32"/>
          <w:szCs w:val="32"/>
          <w:vertAlign w:val="baseline"/>
        </w:rPr>
        <w:footnoteRef/>
      </w:r>
      <w:r w:rsidRPr="00493CFB">
        <w:rPr>
          <w:rFonts w:ascii="Traditional Arabic" w:hAnsi="Traditional Arabic"/>
          <w:color w:val="auto"/>
          <w:sz w:val="32"/>
          <w:szCs w:val="32"/>
          <w:rtl/>
        </w:rPr>
        <w:t>) انظر:</w:t>
      </w:r>
      <w:r>
        <w:rPr>
          <w:rFonts w:ascii="Traditional Arabic" w:hAnsi="Traditional Arabic" w:hint="cs"/>
          <w:color w:val="auto"/>
          <w:sz w:val="32"/>
          <w:szCs w:val="32"/>
          <w:rtl/>
        </w:rPr>
        <w:t xml:space="preserve"> إيضاح الوقف والابتداء لابن الأنباري (1/90).</w:t>
      </w:r>
    </w:p>
  </w:footnote>
  <w:footnote w:id="2258">
    <w:p w:rsidR="003F128F" w:rsidRPr="00E45100" w:rsidRDefault="003F128F" w:rsidP="0063006E">
      <w:pPr>
        <w:pStyle w:val="af3"/>
        <w:rPr>
          <w:rFonts w:ascii="Traditional Arabic" w:hAnsi="Traditional Arabic"/>
          <w:color w:val="auto"/>
          <w:sz w:val="32"/>
          <w:szCs w:val="32"/>
        </w:rPr>
      </w:pPr>
      <w:r w:rsidRPr="00493CFB">
        <w:rPr>
          <w:rFonts w:ascii="Traditional Arabic" w:hAnsi="Traditional Arabic"/>
          <w:color w:val="auto"/>
          <w:sz w:val="32"/>
          <w:szCs w:val="32"/>
          <w:rtl/>
        </w:rPr>
        <w:t>(</w:t>
      </w:r>
      <w:r w:rsidRPr="00493CFB">
        <w:rPr>
          <w:rStyle w:val="ae"/>
          <w:rFonts w:ascii="Traditional Arabic" w:hAnsi="Traditional Arabic"/>
          <w:color w:val="auto"/>
          <w:sz w:val="32"/>
          <w:szCs w:val="32"/>
          <w:vertAlign w:val="baseline"/>
        </w:rPr>
        <w:footnoteRef/>
      </w:r>
      <w:r w:rsidRPr="00493CFB">
        <w:rPr>
          <w:rFonts w:ascii="Traditional Arabic" w:hAnsi="Traditional Arabic"/>
          <w:color w:val="auto"/>
          <w:sz w:val="32"/>
          <w:szCs w:val="32"/>
          <w:rtl/>
        </w:rPr>
        <w:t>)</w:t>
      </w:r>
      <w:r>
        <w:rPr>
          <w:rFonts w:ascii="Traditional Arabic" w:hAnsi="Traditional Arabic" w:hint="cs"/>
          <w:color w:val="auto"/>
          <w:sz w:val="32"/>
          <w:szCs w:val="32"/>
          <w:rtl/>
        </w:rPr>
        <w:t xml:space="preserve"> انظر: تاريخ ابن عساكر (47/348),</w:t>
      </w:r>
      <w:r w:rsidRPr="00930730">
        <w:rPr>
          <w:rFonts w:ascii="Traditional Arabic" w:hAnsi="Traditional Arabic" w:hint="cs"/>
          <w:color w:val="auto"/>
          <w:sz w:val="32"/>
          <w:szCs w:val="32"/>
          <w:rtl/>
        </w:rPr>
        <w:t xml:space="preserve"> </w:t>
      </w:r>
      <w:r>
        <w:rPr>
          <w:rFonts w:ascii="Traditional Arabic" w:hAnsi="Traditional Arabic" w:hint="cs"/>
          <w:color w:val="auto"/>
          <w:sz w:val="32"/>
          <w:szCs w:val="32"/>
          <w:rtl/>
        </w:rPr>
        <w:t xml:space="preserve">وذكره </w:t>
      </w:r>
      <w:r w:rsidRPr="008318B2">
        <w:rPr>
          <w:rFonts w:ascii="Traditional Arabic" w:hAnsi="Traditional Arabic" w:hint="cs"/>
          <w:color w:val="auto"/>
          <w:sz w:val="32"/>
          <w:szCs w:val="32"/>
          <w:rtl/>
        </w:rPr>
        <w:t>السيوطي في الدر المنثور (5/</w:t>
      </w:r>
      <w:r>
        <w:rPr>
          <w:rFonts w:ascii="Traditional Arabic" w:hAnsi="Traditional Arabic" w:hint="cs"/>
          <w:color w:val="auto"/>
          <w:sz w:val="32"/>
          <w:szCs w:val="32"/>
          <w:rtl/>
        </w:rPr>
        <w:t>495</w:t>
      </w:r>
      <w:r w:rsidRPr="008318B2">
        <w:rPr>
          <w:rFonts w:ascii="Traditional Arabic" w:hAnsi="Traditional Arabic" w:hint="cs"/>
          <w:color w:val="auto"/>
          <w:sz w:val="32"/>
          <w:szCs w:val="32"/>
          <w:rtl/>
        </w:rPr>
        <w:t>)</w:t>
      </w:r>
      <w:r>
        <w:rPr>
          <w:rFonts w:ascii="Traditional Arabic" w:hAnsi="Traditional Arabic" w:hint="cs"/>
          <w:color w:val="auto"/>
          <w:sz w:val="32"/>
          <w:szCs w:val="32"/>
          <w:rtl/>
        </w:rPr>
        <w:t xml:space="preserve"> وزاد نسبته لإسحاق </w:t>
      </w:r>
      <w:r w:rsidRPr="00E45100">
        <w:rPr>
          <w:rFonts w:ascii="Traditional Arabic" w:hAnsi="Traditional Arabic"/>
          <w:color w:val="auto"/>
          <w:sz w:val="32"/>
          <w:szCs w:val="32"/>
          <w:rtl/>
        </w:rPr>
        <w:t xml:space="preserve">بن بشر.    </w:t>
      </w:r>
    </w:p>
  </w:footnote>
  <w:footnote w:id="2259">
    <w:p w:rsidR="003F128F" w:rsidRPr="00AB226D" w:rsidRDefault="003F128F" w:rsidP="0063006E">
      <w:pPr>
        <w:pStyle w:val="af3"/>
        <w:rPr>
          <w:rFonts w:ascii="Traditional Arabic" w:hAnsi="Traditional Arabic"/>
          <w:sz w:val="32"/>
          <w:szCs w:val="32"/>
        </w:rPr>
      </w:pPr>
      <w:r w:rsidRPr="00AB226D">
        <w:rPr>
          <w:rFonts w:ascii="Traditional Arabic" w:hAnsi="Traditional Arabic"/>
          <w:sz w:val="32"/>
          <w:szCs w:val="32"/>
          <w:rtl/>
        </w:rPr>
        <w:t>(</w:t>
      </w:r>
      <w:r w:rsidRPr="00AB226D">
        <w:rPr>
          <w:rStyle w:val="ae"/>
          <w:rFonts w:ascii="Traditional Arabic" w:hAnsi="Traditional Arabic"/>
          <w:sz w:val="32"/>
          <w:szCs w:val="32"/>
          <w:vertAlign w:val="baseline"/>
        </w:rPr>
        <w:footnoteRef/>
      </w:r>
      <w:r w:rsidRPr="00AB226D">
        <w:rPr>
          <w:rFonts w:ascii="Traditional Arabic" w:hAnsi="Traditional Arabic"/>
          <w:sz w:val="32"/>
          <w:szCs w:val="32"/>
          <w:rtl/>
        </w:rPr>
        <w:t>) في الأصل: [</w:t>
      </w:r>
      <w:r>
        <w:rPr>
          <w:rFonts w:ascii="Traditional Arabic" w:hAnsi="Traditional Arabic"/>
          <w:sz w:val="32"/>
          <w:szCs w:val="32"/>
          <w:rtl/>
        </w:rPr>
        <w:t>عن</w:t>
      </w:r>
      <w:r w:rsidRPr="00AB226D">
        <w:rPr>
          <w:rFonts w:ascii="Traditional Arabic" w:hAnsi="Traditional Arabic"/>
          <w:sz w:val="32"/>
          <w:szCs w:val="32"/>
          <w:rtl/>
        </w:rPr>
        <w:t xml:space="preserve">], والمثبت من (ك) وهو موافق لما في تفسير مقاتل. </w:t>
      </w:r>
    </w:p>
  </w:footnote>
  <w:footnote w:id="2260">
    <w:p w:rsidR="003F128F" w:rsidRPr="00362162" w:rsidRDefault="003F128F" w:rsidP="0063006E">
      <w:pPr>
        <w:pStyle w:val="af3"/>
        <w:rPr>
          <w:rFonts w:ascii="Traditional Arabic" w:hAnsi="Traditional Arabic"/>
          <w:color w:val="auto"/>
          <w:sz w:val="32"/>
          <w:szCs w:val="32"/>
        </w:rPr>
      </w:pPr>
      <w:r w:rsidRPr="00362162">
        <w:rPr>
          <w:rFonts w:ascii="Traditional Arabic" w:hAnsi="Traditional Arabic"/>
          <w:color w:val="auto"/>
          <w:sz w:val="32"/>
          <w:szCs w:val="32"/>
          <w:rtl/>
        </w:rPr>
        <w:t>(</w:t>
      </w:r>
      <w:r w:rsidRPr="00362162">
        <w:rPr>
          <w:rStyle w:val="ae"/>
          <w:rFonts w:ascii="Traditional Arabic" w:hAnsi="Traditional Arabic"/>
          <w:color w:val="auto"/>
          <w:sz w:val="32"/>
          <w:szCs w:val="32"/>
          <w:vertAlign w:val="baseline"/>
        </w:rPr>
        <w:footnoteRef/>
      </w:r>
      <w:r w:rsidRPr="00362162">
        <w:rPr>
          <w:rFonts w:ascii="Traditional Arabic" w:hAnsi="Traditional Arabic"/>
          <w:color w:val="auto"/>
          <w:sz w:val="32"/>
          <w:szCs w:val="32"/>
          <w:rtl/>
        </w:rPr>
        <w:t xml:space="preserve">) انظر: تفسير مقاتل (2/625). </w:t>
      </w:r>
    </w:p>
  </w:footnote>
  <w:footnote w:id="2261">
    <w:p w:rsidR="003F128F" w:rsidRPr="00362162" w:rsidRDefault="003F128F" w:rsidP="0063006E">
      <w:pPr>
        <w:pStyle w:val="af3"/>
        <w:rPr>
          <w:rFonts w:ascii="Tahoma" w:hAnsi="Tahoma"/>
        </w:rPr>
      </w:pPr>
      <w:r w:rsidRPr="00362162">
        <w:rPr>
          <w:rFonts w:ascii="Traditional Arabic" w:hAnsi="Traditional Arabic"/>
          <w:sz w:val="32"/>
          <w:szCs w:val="32"/>
          <w:rtl/>
        </w:rPr>
        <w:t>(</w:t>
      </w:r>
      <w:r w:rsidRPr="00362162">
        <w:rPr>
          <w:rStyle w:val="ae"/>
          <w:rFonts w:ascii="Traditional Arabic" w:hAnsi="Traditional Arabic"/>
          <w:sz w:val="32"/>
          <w:szCs w:val="32"/>
          <w:vertAlign w:val="baseline"/>
        </w:rPr>
        <w:footnoteRef/>
      </w:r>
      <w:r w:rsidRPr="00362162">
        <w:rPr>
          <w:rFonts w:ascii="Traditional Arabic" w:hAnsi="Traditional Arabic"/>
          <w:sz w:val="32"/>
          <w:szCs w:val="32"/>
          <w:rtl/>
        </w:rPr>
        <w:t>) في (ك): [وفي الباء في قوله تعالى].</w:t>
      </w:r>
    </w:p>
  </w:footnote>
  <w:footnote w:id="2262">
    <w:p w:rsidR="003F128F" w:rsidRPr="00050B44" w:rsidRDefault="003F128F" w:rsidP="0063006E">
      <w:pPr>
        <w:pStyle w:val="af3"/>
        <w:rPr>
          <w:rFonts w:ascii="Traditional Arabic" w:hAnsi="Traditional Arabic"/>
          <w:color w:val="auto"/>
          <w:sz w:val="32"/>
          <w:szCs w:val="32"/>
        </w:rPr>
      </w:pPr>
      <w:r w:rsidRPr="00050B44">
        <w:rPr>
          <w:rFonts w:ascii="Traditional Arabic" w:hAnsi="Traditional Arabic"/>
          <w:color w:val="auto"/>
          <w:sz w:val="32"/>
          <w:szCs w:val="32"/>
          <w:rtl/>
        </w:rPr>
        <w:t>(</w:t>
      </w:r>
      <w:r w:rsidRPr="00050B44">
        <w:rPr>
          <w:rStyle w:val="ae"/>
          <w:rFonts w:ascii="Traditional Arabic" w:hAnsi="Traditional Arabic"/>
          <w:color w:val="auto"/>
          <w:sz w:val="32"/>
          <w:szCs w:val="32"/>
          <w:vertAlign w:val="baseline"/>
        </w:rPr>
        <w:footnoteRef/>
      </w:r>
      <w:r w:rsidRPr="00050B44">
        <w:rPr>
          <w:rFonts w:ascii="Traditional Arabic" w:hAnsi="Traditional Arabic"/>
          <w:color w:val="auto"/>
          <w:sz w:val="32"/>
          <w:szCs w:val="32"/>
          <w:rtl/>
        </w:rPr>
        <w:t xml:space="preserve">) انظر: معاني القرآن للفراء (2/165).     </w:t>
      </w:r>
    </w:p>
  </w:footnote>
  <w:footnote w:id="2263">
    <w:p w:rsidR="003F128F" w:rsidRPr="00050B44" w:rsidRDefault="003F128F" w:rsidP="0063006E">
      <w:pPr>
        <w:ind w:firstLine="0"/>
        <w:rPr>
          <w:rFonts w:ascii="Traditional Arabic" w:hAnsi="Traditional Arabic"/>
          <w:color w:val="auto"/>
          <w:sz w:val="32"/>
          <w:szCs w:val="32"/>
        </w:rPr>
      </w:pPr>
      <w:r w:rsidRPr="00050B44">
        <w:rPr>
          <w:rFonts w:ascii="Traditional Arabic" w:hAnsi="Traditional Arabic"/>
          <w:color w:val="auto"/>
          <w:sz w:val="32"/>
          <w:szCs w:val="32"/>
          <w:rtl/>
        </w:rPr>
        <w:t>(</w:t>
      </w:r>
      <w:r w:rsidRPr="00050B44">
        <w:rPr>
          <w:rStyle w:val="ae"/>
          <w:rFonts w:ascii="Traditional Arabic" w:hAnsi="Traditional Arabic"/>
          <w:color w:val="auto"/>
          <w:sz w:val="32"/>
          <w:szCs w:val="32"/>
          <w:vertAlign w:val="baseline"/>
        </w:rPr>
        <w:footnoteRef/>
      </w:r>
      <w:r w:rsidRPr="00050B44">
        <w:rPr>
          <w:rFonts w:ascii="Traditional Arabic" w:hAnsi="Traditional Arabic"/>
          <w:color w:val="auto"/>
          <w:sz w:val="32"/>
          <w:szCs w:val="32"/>
          <w:rtl/>
        </w:rPr>
        <w:t>) هو عجز بيت للنابغة الجعدي،</w:t>
      </w:r>
      <w:r w:rsidRPr="00050B44">
        <w:rPr>
          <w:rFonts w:ascii="Traditional Arabic" w:hAnsi="Traditional Arabic"/>
          <w:sz w:val="32"/>
          <w:szCs w:val="32"/>
          <w:rtl/>
          <w:lang w:eastAsia="en-US"/>
        </w:rPr>
        <w:t xml:space="preserve"> وصدره "نحن بنى جعدة أصحاب الفلج</w:t>
      </w:r>
      <w:r w:rsidRPr="00050B44">
        <w:rPr>
          <w:rFonts w:ascii="Traditional Arabic" w:hAnsi="Traditional Arabic"/>
          <w:color w:val="auto"/>
          <w:sz w:val="32"/>
          <w:szCs w:val="32"/>
          <w:rtl/>
        </w:rPr>
        <w:t>". انظر:</w:t>
      </w:r>
      <w:r w:rsidRPr="00050B44">
        <w:rPr>
          <w:rFonts w:ascii="Traditional Arabic" w:hAnsi="Traditional Arabic"/>
          <w:sz w:val="32"/>
          <w:szCs w:val="32"/>
          <w:rtl/>
          <w:lang w:eastAsia="en-US"/>
        </w:rPr>
        <w:t xml:space="preserve"> </w:t>
      </w:r>
      <w:r w:rsidRPr="00050B44">
        <w:rPr>
          <w:rFonts w:ascii="Traditional Arabic" w:hAnsi="Traditional Arabic"/>
          <w:color w:val="auto"/>
          <w:sz w:val="32"/>
          <w:szCs w:val="32"/>
          <w:rtl/>
        </w:rPr>
        <w:t>ملحقات ديوان النابغة الجعدي (ص216).</w:t>
      </w:r>
    </w:p>
  </w:footnote>
  <w:footnote w:id="2264">
    <w:p w:rsidR="003F128F" w:rsidRPr="00050B44" w:rsidRDefault="003F128F" w:rsidP="0063006E">
      <w:pPr>
        <w:pStyle w:val="af3"/>
        <w:rPr>
          <w:rFonts w:ascii="Traditional Arabic" w:hAnsi="Traditional Arabic"/>
          <w:color w:val="auto"/>
          <w:sz w:val="32"/>
          <w:szCs w:val="32"/>
        </w:rPr>
      </w:pPr>
      <w:r w:rsidRPr="00050B44">
        <w:rPr>
          <w:rFonts w:ascii="Traditional Arabic" w:hAnsi="Traditional Arabic"/>
          <w:color w:val="auto"/>
          <w:sz w:val="32"/>
          <w:szCs w:val="32"/>
          <w:rtl/>
        </w:rPr>
        <w:t>(</w:t>
      </w:r>
      <w:r w:rsidRPr="00050B44">
        <w:rPr>
          <w:rStyle w:val="ae"/>
          <w:rFonts w:ascii="Traditional Arabic" w:hAnsi="Traditional Arabic"/>
          <w:color w:val="auto"/>
          <w:sz w:val="32"/>
          <w:szCs w:val="32"/>
          <w:vertAlign w:val="baseline"/>
        </w:rPr>
        <w:footnoteRef/>
      </w:r>
      <w:r w:rsidRPr="00050B44">
        <w:rPr>
          <w:rFonts w:ascii="Traditional Arabic" w:hAnsi="Traditional Arabic"/>
          <w:color w:val="auto"/>
          <w:sz w:val="32"/>
          <w:szCs w:val="32"/>
          <w:rtl/>
        </w:rPr>
        <w:t xml:space="preserve">) انظر: مجاز القرآن (2/5). </w:t>
      </w:r>
    </w:p>
  </w:footnote>
  <w:footnote w:id="2265">
    <w:p w:rsidR="003F128F" w:rsidRPr="00050B44" w:rsidRDefault="003F128F" w:rsidP="0063006E">
      <w:pPr>
        <w:pStyle w:val="af3"/>
        <w:rPr>
          <w:rFonts w:ascii="Traditional Arabic" w:hAnsi="Traditional Arabic"/>
          <w:color w:val="auto"/>
          <w:sz w:val="32"/>
          <w:szCs w:val="32"/>
        </w:rPr>
      </w:pPr>
      <w:r w:rsidRPr="00050B44">
        <w:rPr>
          <w:rFonts w:ascii="Traditional Arabic" w:hAnsi="Traditional Arabic"/>
          <w:color w:val="auto"/>
          <w:sz w:val="32"/>
          <w:szCs w:val="32"/>
          <w:rtl/>
        </w:rPr>
        <w:t>(</w:t>
      </w:r>
      <w:r w:rsidRPr="00050B44">
        <w:rPr>
          <w:rStyle w:val="ae"/>
          <w:rFonts w:ascii="Traditional Arabic" w:hAnsi="Traditional Arabic"/>
          <w:color w:val="auto"/>
          <w:sz w:val="32"/>
          <w:szCs w:val="32"/>
          <w:vertAlign w:val="baseline"/>
        </w:rPr>
        <w:footnoteRef/>
      </w:r>
      <w:r w:rsidRPr="00050B44">
        <w:rPr>
          <w:rFonts w:ascii="Traditional Arabic" w:hAnsi="Traditional Arabic"/>
          <w:color w:val="auto"/>
          <w:sz w:val="32"/>
          <w:szCs w:val="32"/>
          <w:rtl/>
        </w:rPr>
        <w:t xml:space="preserve">) ذكر بنحوه الواحدي في التفسير البسيط (14/229), </w:t>
      </w:r>
    </w:p>
  </w:footnote>
  <w:footnote w:id="2266">
    <w:p w:rsidR="003F128F" w:rsidRPr="00050B44" w:rsidRDefault="003F128F" w:rsidP="0063006E">
      <w:pPr>
        <w:pStyle w:val="af3"/>
        <w:rPr>
          <w:rFonts w:ascii="Traditional Arabic" w:hAnsi="Traditional Arabic"/>
          <w:sz w:val="32"/>
          <w:szCs w:val="32"/>
        </w:rPr>
      </w:pPr>
      <w:r w:rsidRPr="00050B44">
        <w:rPr>
          <w:rFonts w:ascii="Traditional Arabic" w:hAnsi="Traditional Arabic"/>
          <w:sz w:val="32"/>
          <w:szCs w:val="32"/>
          <w:rtl/>
        </w:rPr>
        <w:t>(</w:t>
      </w:r>
      <w:r w:rsidRPr="00050B44">
        <w:rPr>
          <w:rStyle w:val="ae"/>
          <w:rFonts w:ascii="Traditional Arabic" w:hAnsi="Traditional Arabic"/>
          <w:sz w:val="32"/>
          <w:szCs w:val="32"/>
          <w:vertAlign w:val="baseline"/>
        </w:rPr>
        <w:footnoteRef/>
      </w:r>
      <w:r w:rsidRPr="00050B44">
        <w:rPr>
          <w:rFonts w:ascii="Traditional Arabic" w:hAnsi="Traditional Arabic"/>
          <w:sz w:val="32"/>
          <w:szCs w:val="32"/>
          <w:rtl/>
        </w:rPr>
        <w:t xml:space="preserve">) </w:t>
      </w:r>
      <w:r w:rsidRPr="00050B44">
        <w:rPr>
          <w:rFonts w:ascii="Traditional Arabic" w:hAnsi="Traditional Arabic"/>
          <w:color w:val="auto"/>
          <w:sz w:val="32"/>
          <w:szCs w:val="32"/>
          <w:rtl/>
        </w:rPr>
        <w:t xml:space="preserve">انظر: السبعة في القراءات (ص409), معاني القراءات (2/133).  </w:t>
      </w:r>
      <w:r w:rsidRPr="00050B44">
        <w:rPr>
          <w:rFonts w:ascii="Traditional Arabic" w:hAnsi="Traditional Arabic"/>
          <w:sz w:val="32"/>
          <w:szCs w:val="32"/>
          <w:rtl/>
        </w:rPr>
        <w:t xml:space="preserve"> </w:t>
      </w:r>
    </w:p>
  </w:footnote>
  <w:footnote w:id="2267">
    <w:p w:rsidR="003F128F" w:rsidRPr="00DA4F5A" w:rsidRDefault="003F128F" w:rsidP="0063006E">
      <w:pPr>
        <w:pStyle w:val="af3"/>
        <w:rPr>
          <w:rFonts w:ascii="Traditional Arabic" w:hAnsi="Traditional Arabic"/>
          <w:color w:val="auto"/>
          <w:sz w:val="32"/>
          <w:szCs w:val="32"/>
        </w:rPr>
      </w:pPr>
      <w:r w:rsidRPr="004C036B">
        <w:rPr>
          <w:rFonts w:ascii="Traditional Arabic" w:hAnsi="Traditional Arabic"/>
          <w:color w:val="auto"/>
          <w:sz w:val="32"/>
          <w:szCs w:val="32"/>
          <w:rtl/>
        </w:rPr>
        <w:t>(</w:t>
      </w:r>
      <w:r w:rsidRPr="004C036B">
        <w:rPr>
          <w:rStyle w:val="ae"/>
          <w:rFonts w:ascii="Traditional Arabic" w:hAnsi="Traditional Arabic"/>
          <w:color w:val="auto"/>
          <w:sz w:val="32"/>
          <w:szCs w:val="32"/>
          <w:vertAlign w:val="baseline"/>
        </w:rPr>
        <w:footnoteRef/>
      </w:r>
      <w:r w:rsidRPr="004C036B">
        <w:rPr>
          <w:rFonts w:ascii="Traditional Arabic" w:hAnsi="Traditional Arabic"/>
          <w:color w:val="auto"/>
          <w:sz w:val="32"/>
          <w:szCs w:val="32"/>
          <w:rtl/>
        </w:rPr>
        <w:t xml:space="preserve">) </w:t>
      </w:r>
      <w:r>
        <w:rPr>
          <w:rFonts w:ascii="Traditional Arabic" w:hAnsi="Traditional Arabic" w:hint="cs"/>
          <w:color w:val="auto"/>
          <w:sz w:val="32"/>
          <w:szCs w:val="32"/>
          <w:rtl/>
        </w:rPr>
        <w:t>هو الإ</w:t>
      </w:r>
      <w:r w:rsidRPr="004C036B">
        <w:rPr>
          <w:rFonts w:ascii="Traditional Arabic" w:hAnsi="Traditional Arabic" w:hint="cs"/>
          <w:color w:val="auto"/>
          <w:sz w:val="32"/>
          <w:szCs w:val="32"/>
          <w:rtl/>
        </w:rPr>
        <w:t>مام المقرئ</w:t>
      </w:r>
      <w:r>
        <w:rPr>
          <w:rFonts w:ascii="Traditional Arabic" w:hAnsi="Traditional Arabic" w:hint="cs"/>
          <w:color w:val="auto"/>
          <w:sz w:val="32"/>
          <w:szCs w:val="32"/>
          <w:rtl/>
        </w:rPr>
        <w:t>,</w:t>
      </w:r>
      <w:r w:rsidRPr="004C036B">
        <w:rPr>
          <w:rFonts w:ascii="Traditional Arabic" w:hAnsi="Traditional Arabic" w:hint="cs"/>
          <w:color w:val="auto"/>
          <w:sz w:val="32"/>
          <w:szCs w:val="32"/>
          <w:rtl/>
        </w:rPr>
        <w:t xml:space="preserve"> </w:t>
      </w:r>
      <w:r w:rsidRPr="004C036B">
        <w:rPr>
          <w:rFonts w:ascii="Traditional Arabic" w:hAnsi="Traditional Arabic"/>
          <w:color w:val="auto"/>
          <w:sz w:val="32"/>
          <w:szCs w:val="32"/>
          <w:rtl/>
        </w:rPr>
        <w:t>أبو عبيدة</w:t>
      </w:r>
      <w:r>
        <w:rPr>
          <w:rFonts w:ascii="Traditional Arabic" w:hAnsi="Traditional Arabic" w:hint="cs"/>
          <w:color w:val="auto"/>
          <w:sz w:val="32"/>
          <w:szCs w:val="32"/>
          <w:rtl/>
        </w:rPr>
        <w:t>,</w:t>
      </w:r>
      <w:r w:rsidRPr="004C036B">
        <w:rPr>
          <w:rFonts w:ascii="Traditional Arabic" w:hAnsi="Traditional Arabic"/>
          <w:color w:val="auto"/>
          <w:sz w:val="32"/>
          <w:szCs w:val="32"/>
          <w:rtl/>
        </w:rPr>
        <w:t xml:space="preserve"> عبد الوارث بن سعيد بن ذكوان العنبري مولاهم</w:t>
      </w:r>
      <w:r w:rsidRPr="004C036B">
        <w:rPr>
          <w:rFonts w:ascii="Traditional Arabic" w:hAnsi="Traditional Arabic" w:hint="cs"/>
          <w:color w:val="auto"/>
          <w:sz w:val="32"/>
          <w:szCs w:val="32"/>
          <w:rtl/>
        </w:rPr>
        <w:t>,</w:t>
      </w:r>
      <w:r w:rsidRPr="004C036B">
        <w:rPr>
          <w:rFonts w:ascii="Traditional Arabic" w:hAnsi="Traditional Arabic"/>
          <w:color w:val="auto"/>
          <w:sz w:val="32"/>
          <w:szCs w:val="32"/>
          <w:rtl/>
        </w:rPr>
        <w:t xml:space="preserve"> البصري،</w:t>
      </w:r>
      <w:r w:rsidRPr="004C036B">
        <w:rPr>
          <w:rFonts w:ascii="Traditional Arabic" w:hAnsi="Traditional Arabic" w:hint="cs"/>
          <w:color w:val="auto"/>
          <w:sz w:val="32"/>
          <w:szCs w:val="32"/>
          <w:rtl/>
        </w:rPr>
        <w:t xml:space="preserve"> الحافظ, الفقيه,</w:t>
      </w:r>
      <w:r w:rsidRPr="004C036B">
        <w:rPr>
          <w:rFonts w:ascii="Traditional Arabic" w:hAnsi="Traditional Arabic"/>
          <w:color w:val="auto"/>
          <w:sz w:val="44"/>
          <w:szCs w:val="44"/>
          <w:rtl/>
          <w:lang w:eastAsia="en-US"/>
        </w:rPr>
        <w:t xml:space="preserve"> </w:t>
      </w:r>
      <w:r w:rsidRPr="004C036B">
        <w:rPr>
          <w:rFonts w:ascii="Traditional Arabic" w:hAnsi="Traditional Arabic"/>
          <w:color w:val="auto"/>
          <w:sz w:val="32"/>
          <w:szCs w:val="32"/>
          <w:rtl/>
        </w:rPr>
        <w:t>عرض القرآن على أبي عمرو</w:t>
      </w:r>
      <w:r w:rsidRPr="004C036B">
        <w:rPr>
          <w:rFonts w:ascii="Traditional Arabic" w:hAnsi="Traditional Arabic" w:hint="cs"/>
          <w:color w:val="auto"/>
          <w:sz w:val="32"/>
          <w:szCs w:val="32"/>
          <w:rtl/>
        </w:rPr>
        <w:t>,</w:t>
      </w:r>
      <w:r w:rsidRPr="004C036B">
        <w:rPr>
          <w:rFonts w:ascii="Traditional Arabic" w:hAnsi="Traditional Arabic"/>
          <w:color w:val="auto"/>
          <w:sz w:val="32"/>
          <w:szCs w:val="32"/>
          <w:rtl/>
        </w:rPr>
        <w:t xml:space="preserve"> ورافقه في العرض على حميد بن قيس المكي</w:t>
      </w:r>
      <w:r w:rsidRPr="004C036B">
        <w:rPr>
          <w:rFonts w:ascii="Traditional Arabic" w:hAnsi="Traditional Arabic" w:hint="cs"/>
          <w:color w:val="auto"/>
          <w:sz w:val="32"/>
          <w:szCs w:val="32"/>
          <w:rtl/>
        </w:rPr>
        <w:t>,</w:t>
      </w:r>
      <w:r w:rsidRPr="004C036B">
        <w:rPr>
          <w:rFonts w:ascii="Traditional Arabic" w:hAnsi="Traditional Arabic"/>
          <w:color w:val="auto"/>
          <w:sz w:val="32"/>
          <w:szCs w:val="32"/>
          <w:rtl/>
        </w:rPr>
        <w:t xml:space="preserve"> (ت1</w:t>
      </w:r>
      <w:r w:rsidRPr="004C036B">
        <w:rPr>
          <w:rFonts w:ascii="Traditional Arabic" w:hAnsi="Traditional Arabic" w:hint="cs"/>
          <w:color w:val="auto"/>
          <w:sz w:val="32"/>
          <w:szCs w:val="32"/>
          <w:rtl/>
        </w:rPr>
        <w:t>8</w:t>
      </w:r>
      <w:r w:rsidRPr="004C036B">
        <w:rPr>
          <w:rFonts w:ascii="Traditional Arabic" w:hAnsi="Traditional Arabic"/>
          <w:color w:val="auto"/>
          <w:sz w:val="32"/>
          <w:szCs w:val="32"/>
          <w:rtl/>
        </w:rPr>
        <w:t xml:space="preserve">0ه). انظر: معرفة </w:t>
      </w:r>
      <w:r w:rsidRPr="00DA4F5A">
        <w:rPr>
          <w:rFonts w:ascii="Traditional Arabic" w:hAnsi="Traditional Arabic"/>
          <w:color w:val="auto"/>
          <w:sz w:val="32"/>
          <w:szCs w:val="32"/>
          <w:rtl/>
        </w:rPr>
        <w:t>القراء الكبار (ص97), غاية النهاية (1/665).</w:t>
      </w:r>
    </w:p>
  </w:footnote>
  <w:footnote w:id="2268">
    <w:p w:rsidR="003F128F" w:rsidRPr="00DA4F5A" w:rsidRDefault="003F128F" w:rsidP="0063006E">
      <w:pPr>
        <w:pStyle w:val="af3"/>
        <w:rPr>
          <w:rFonts w:ascii="Traditional Arabic" w:hAnsi="Traditional Arabic"/>
          <w:sz w:val="32"/>
          <w:szCs w:val="32"/>
        </w:rPr>
      </w:pPr>
      <w:r w:rsidRPr="00DA4F5A">
        <w:rPr>
          <w:rFonts w:ascii="Traditional Arabic" w:hAnsi="Traditional Arabic"/>
          <w:sz w:val="32"/>
          <w:szCs w:val="32"/>
          <w:rtl/>
        </w:rPr>
        <w:t>(</w:t>
      </w:r>
      <w:r w:rsidRPr="00DA4F5A">
        <w:rPr>
          <w:rStyle w:val="ae"/>
          <w:rFonts w:ascii="Traditional Arabic" w:hAnsi="Traditional Arabic"/>
          <w:sz w:val="32"/>
          <w:szCs w:val="32"/>
          <w:vertAlign w:val="baseline"/>
        </w:rPr>
        <w:footnoteRef/>
      </w:r>
      <w:r w:rsidRPr="00DA4F5A">
        <w:rPr>
          <w:rFonts w:ascii="Traditional Arabic" w:hAnsi="Traditional Arabic"/>
          <w:sz w:val="32"/>
          <w:szCs w:val="32"/>
          <w:rtl/>
        </w:rPr>
        <w:t>)</w:t>
      </w:r>
      <w:r w:rsidRPr="00DA4F5A">
        <w:rPr>
          <w:rFonts w:ascii="Traditional Arabic" w:hAnsi="Traditional Arabic"/>
          <w:color w:val="auto"/>
          <w:sz w:val="32"/>
          <w:szCs w:val="32"/>
          <w:rtl/>
        </w:rPr>
        <w:t xml:space="preserve"> انظر قراءة حمزة في كتاب</w:t>
      </w:r>
      <w:r>
        <w:rPr>
          <w:rFonts w:ascii="Traditional Arabic" w:hAnsi="Traditional Arabic" w:hint="cs"/>
          <w:color w:val="auto"/>
          <w:sz w:val="32"/>
          <w:szCs w:val="32"/>
          <w:rtl/>
        </w:rPr>
        <w:t>:</w:t>
      </w:r>
      <w:r w:rsidRPr="00DA4F5A">
        <w:rPr>
          <w:rFonts w:ascii="Traditional Arabic" w:hAnsi="Traditional Arabic"/>
          <w:color w:val="auto"/>
          <w:sz w:val="32"/>
          <w:szCs w:val="32"/>
          <w:rtl/>
        </w:rPr>
        <w:t xml:space="preserve"> السبعة في القراءات (ص409), ومعاني القراءات (2/133), وأما قراءة عبدالوارث في كتاب</w:t>
      </w:r>
      <w:r>
        <w:rPr>
          <w:rFonts w:ascii="Traditional Arabic" w:hAnsi="Traditional Arabic" w:hint="cs"/>
          <w:color w:val="auto"/>
          <w:sz w:val="32"/>
          <w:szCs w:val="32"/>
          <w:rtl/>
        </w:rPr>
        <w:t>:</w:t>
      </w:r>
      <w:r w:rsidRPr="00DA4F5A">
        <w:rPr>
          <w:rFonts w:ascii="Traditional Arabic" w:hAnsi="Traditional Arabic"/>
          <w:color w:val="auto"/>
          <w:sz w:val="32"/>
          <w:szCs w:val="32"/>
          <w:rtl/>
        </w:rPr>
        <w:t xml:space="preserve"> الكامل في القراءات العشر (ص595).  </w:t>
      </w:r>
      <w:r w:rsidRPr="00DA4F5A">
        <w:rPr>
          <w:rFonts w:ascii="Traditional Arabic" w:hAnsi="Traditional Arabic"/>
          <w:sz w:val="32"/>
          <w:szCs w:val="32"/>
          <w:rtl/>
        </w:rPr>
        <w:t xml:space="preserve"> </w:t>
      </w:r>
      <w:r w:rsidRPr="00DA4F5A">
        <w:rPr>
          <w:rFonts w:ascii="Traditional Arabic" w:hAnsi="Traditional Arabic"/>
          <w:color w:val="auto"/>
          <w:sz w:val="32"/>
          <w:szCs w:val="32"/>
          <w:rtl/>
        </w:rPr>
        <w:t xml:space="preserve"> </w:t>
      </w:r>
      <w:r w:rsidRPr="00DA4F5A">
        <w:rPr>
          <w:rFonts w:ascii="Traditional Arabic" w:hAnsi="Traditional Arabic"/>
          <w:sz w:val="32"/>
          <w:szCs w:val="32"/>
          <w:rtl/>
        </w:rPr>
        <w:t xml:space="preserve"> </w:t>
      </w:r>
    </w:p>
  </w:footnote>
  <w:footnote w:id="2269">
    <w:p w:rsidR="003F128F" w:rsidRPr="00DA4F5A" w:rsidRDefault="003F128F" w:rsidP="0063006E">
      <w:pPr>
        <w:pStyle w:val="af3"/>
        <w:rPr>
          <w:rFonts w:ascii="Traditional Arabic" w:hAnsi="Traditional Arabic"/>
          <w:sz w:val="32"/>
          <w:szCs w:val="32"/>
        </w:rPr>
      </w:pPr>
      <w:r w:rsidRPr="00DA4F5A">
        <w:rPr>
          <w:rFonts w:ascii="Traditional Arabic" w:hAnsi="Traditional Arabic"/>
          <w:sz w:val="32"/>
          <w:szCs w:val="32"/>
          <w:rtl/>
        </w:rPr>
        <w:t>(</w:t>
      </w:r>
      <w:r w:rsidRPr="00DA4F5A">
        <w:rPr>
          <w:rStyle w:val="ae"/>
          <w:rFonts w:ascii="Traditional Arabic" w:hAnsi="Traditional Arabic"/>
          <w:sz w:val="32"/>
          <w:szCs w:val="32"/>
          <w:vertAlign w:val="baseline"/>
        </w:rPr>
        <w:footnoteRef/>
      </w:r>
      <w:r w:rsidRPr="00DA4F5A">
        <w:rPr>
          <w:rFonts w:ascii="Traditional Arabic" w:hAnsi="Traditional Arabic"/>
          <w:sz w:val="32"/>
          <w:szCs w:val="32"/>
          <w:rtl/>
        </w:rPr>
        <w:t xml:space="preserve">) </w:t>
      </w:r>
      <w:r w:rsidRPr="00DA4F5A">
        <w:rPr>
          <w:rFonts w:ascii="Traditional Arabic" w:hAnsi="Traditional Arabic"/>
          <w:color w:val="auto"/>
          <w:sz w:val="32"/>
          <w:szCs w:val="32"/>
          <w:rtl/>
        </w:rPr>
        <w:t xml:space="preserve">انظر: السبعة في القراءات (ص409), معاني القراءات (2/133).  </w:t>
      </w:r>
      <w:r w:rsidRPr="00DA4F5A">
        <w:rPr>
          <w:rFonts w:ascii="Traditional Arabic" w:hAnsi="Traditional Arabic"/>
          <w:sz w:val="32"/>
          <w:szCs w:val="32"/>
          <w:rtl/>
        </w:rPr>
        <w:t xml:space="preserve">  </w:t>
      </w:r>
    </w:p>
  </w:footnote>
  <w:footnote w:id="2270">
    <w:p w:rsidR="003F128F" w:rsidRPr="00DA4F5A" w:rsidRDefault="003F128F" w:rsidP="0063006E">
      <w:pPr>
        <w:pStyle w:val="af3"/>
        <w:rPr>
          <w:rFonts w:ascii="Traditional Arabic" w:hAnsi="Traditional Arabic"/>
          <w:sz w:val="32"/>
          <w:szCs w:val="32"/>
        </w:rPr>
      </w:pPr>
      <w:r w:rsidRPr="00DA4F5A">
        <w:rPr>
          <w:rFonts w:ascii="Traditional Arabic" w:hAnsi="Traditional Arabic"/>
          <w:sz w:val="32"/>
          <w:szCs w:val="32"/>
          <w:rtl/>
        </w:rPr>
        <w:t>(</w:t>
      </w:r>
      <w:r w:rsidRPr="00DA4F5A">
        <w:rPr>
          <w:rStyle w:val="ae"/>
          <w:rFonts w:ascii="Traditional Arabic" w:hAnsi="Traditional Arabic"/>
          <w:sz w:val="32"/>
          <w:szCs w:val="32"/>
          <w:vertAlign w:val="baseline"/>
        </w:rPr>
        <w:footnoteRef/>
      </w:r>
      <w:r w:rsidRPr="00DA4F5A">
        <w:rPr>
          <w:rFonts w:ascii="Traditional Arabic" w:hAnsi="Traditional Arabic"/>
          <w:sz w:val="32"/>
          <w:szCs w:val="32"/>
          <w:rtl/>
        </w:rPr>
        <w:t>) قوله: [«تُساقِط» بضم التاء وكسر القاف مخففة السين</w:t>
      </w:r>
      <w:r w:rsidRPr="00DA4F5A">
        <w:rPr>
          <w:rFonts w:ascii="Traditional Arabic" w:hAnsi="Traditional Arabic"/>
          <w:sz w:val="32"/>
          <w:szCs w:val="32"/>
          <w:vertAlign w:val="superscript"/>
          <w:rtl/>
        </w:rPr>
        <w:t>(</w:t>
      </w:r>
      <w:r w:rsidRPr="00DA4F5A">
        <w:rPr>
          <w:rFonts w:ascii="Traditional Arabic" w:hAnsi="Traditional Arabic"/>
          <w:sz w:val="32"/>
          <w:szCs w:val="32"/>
          <w:vertAlign w:val="superscript"/>
          <w:rtl/>
        </w:rPr>
        <w:footnoteRef/>
      </w:r>
      <w:r w:rsidRPr="00DA4F5A">
        <w:rPr>
          <w:rFonts w:ascii="Traditional Arabic" w:hAnsi="Traditional Arabic"/>
          <w:sz w:val="32"/>
          <w:szCs w:val="32"/>
          <w:vertAlign w:val="superscript"/>
          <w:rtl/>
        </w:rPr>
        <w:t>)</w:t>
      </w:r>
      <w:r w:rsidRPr="00DA4F5A">
        <w:rPr>
          <w:rFonts w:ascii="Traditional Arabic" w:hAnsi="Traditional Arabic"/>
          <w:sz w:val="32"/>
          <w:szCs w:val="32"/>
          <w:rtl/>
        </w:rPr>
        <w:t>، وقرأ يعقوب، وأبو زيد عن المفضّل] ليس في (ك).</w:t>
      </w:r>
    </w:p>
  </w:footnote>
  <w:footnote w:id="2271">
    <w:p w:rsidR="003F128F" w:rsidRPr="00DA4F5A" w:rsidRDefault="003F128F" w:rsidP="0063006E">
      <w:pPr>
        <w:pStyle w:val="af3"/>
        <w:rPr>
          <w:rFonts w:ascii="Traditional Arabic" w:hAnsi="Traditional Arabic"/>
          <w:sz w:val="32"/>
          <w:szCs w:val="32"/>
        </w:rPr>
      </w:pPr>
      <w:r w:rsidRPr="00DA4F5A">
        <w:rPr>
          <w:rFonts w:ascii="Traditional Arabic" w:hAnsi="Traditional Arabic"/>
          <w:color w:val="auto"/>
          <w:sz w:val="32"/>
          <w:szCs w:val="32"/>
          <w:rtl/>
        </w:rPr>
        <w:t>(</w:t>
      </w:r>
      <w:r w:rsidRPr="00DA4F5A">
        <w:rPr>
          <w:rStyle w:val="ae"/>
          <w:rFonts w:ascii="Traditional Arabic" w:hAnsi="Traditional Arabic"/>
          <w:color w:val="auto"/>
          <w:sz w:val="32"/>
          <w:szCs w:val="32"/>
          <w:vertAlign w:val="baseline"/>
        </w:rPr>
        <w:footnoteRef/>
      </w:r>
      <w:r w:rsidRPr="00DA4F5A">
        <w:rPr>
          <w:rFonts w:ascii="Traditional Arabic" w:hAnsi="Traditional Arabic"/>
          <w:color w:val="auto"/>
          <w:sz w:val="32"/>
          <w:szCs w:val="32"/>
          <w:rtl/>
        </w:rPr>
        <w:t>) انظر قراءة يعقوب في كتاب</w:t>
      </w:r>
      <w:r>
        <w:rPr>
          <w:rFonts w:ascii="Traditional Arabic" w:hAnsi="Traditional Arabic" w:hint="cs"/>
          <w:color w:val="auto"/>
          <w:sz w:val="32"/>
          <w:szCs w:val="32"/>
          <w:rtl/>
        </w:rPr>
        <w:t>:</w:t>
      </w:r>
      <w:r w:rsidRPr="00DA4F5A">
        <w:rPr>
          <w:rFonts w:ascii="Traditional Arabic" w:hAnsi="Traditional Arabic"/>
          <w:color w:val="auto"/>
          <w:sz w:val="32"/>
          <w:szCs w:val="32"/>
          <w:rtl/>
        </w:rPr>
        <w:t xml:space="preserve"> النشر في القراءات العشر (2/318), وأما قراءة المفضّل في</w:t>
      </w:r>
      <w:r>
        <w:rPr>
          <w:rFonts w:ascii="Traditional Arabic" w:hAnsi="Traditional Arabic" w:hint="cs"/>
          <w:color w:val="auto"/>
          <w:sz w:val="32"/>
          <w:szCs w:val="32"/>
          <w:rtl/>
        </w:rPr>
        <w:t>:</w:t>
      </w:r>
      <w:r w:rsidRPr="00DA4F5A">
        <w:rPr>
          <w:rFonts w:ascii="Traditional Arabic" w:hAnsi="Traditional Arabic"/>
          <w:color w:val="auto"/>
          <w:sz w:val="32"/>
          <w:szCs w:val="32"/>
          <w:rtl/>
        </w:rPr>
        <w:t xml:space="preserve"> رموز </w:t>
      </w:r>
      <w:r w:rsidRPr="00DA4F5A">
        <w:rPr>
          <w:rFonts w:ascii="Traditional Arabic" w:hAnsi="Traditional Arabic"/>
          <w:sz w:val="32"/>
          <w:szCs w:val="32"/>
          <w:rtl/>
        </w:rPr>
        <w:t>الكنوز (4/410), معجم القراءات (5/357).</w:t>
      </w:r>
    </w:p>
  </w:footnote>
  <w:footnote w:id="2272">
    <w:p w:rsidR="003F128F" w:rsidRPr="006018CD" w:rsidRDefault="003F128F" w:rsidP="0063006E">
      <w:pPr>
        <w:pStyle w:val="af3"/>
        <w:rPr>
          <w:rFonts w:ascii="Tahoma" w:hAnsi="Tahoma"/>
        </w:rPr>
      </w:pPr>
      <w:r w:rsidRPr="00DA4F5A">
        <w:rPr>
          <w:rFonts w:ascii="Traditional Arabic" w:hAnsi="Traditional Arabic"/>
          <w:sz w:val="32"/>
          <w:szCs w:val="32"/>
          <w:rtl/>
        </w:rPr>
        <w:t>(</w:t>
      </w:r>
      <w:r w:rsidRPr="00DA4F5A">
        <w:rPr>
          <w:rStyle w:val="ae"/>
          <w:rFonts w:ascii="Traditional Arabic" w:hAnsi="Traditional Arabic"/>
          <w:sz w:val="32"/>
          <w:szCs w:val="32"/>
          <w:vertAlign w:val="baseline"/>
        </w:rPr>
        <w:footnoteRef/>
      </w:r>
      <w:r w:rsidRPr="00DA4F5A">
        <w:rPr>
          <w:rFonts w:ascii="Traditional Arabic" w:hAnsi="Traditional Arabic"/>
          <w:sz w:val="32"/>
          <w:szCs w:val="32"/>
          <w:rtl/>
        </w:rPr>
        <w:t>) في الأصل: [«تَسْقُط» بفتح التاء], والمثبت من (ك) وهو موافق لمصادر القرا</w:t>
      </w:r>
      <w:r>
        <w:rPr>
          <w:rFonts w:ascii="Traditional Arabic" w:hAnsi="Traditional Arabic" w:hint="cs"/>
          <w:sz w:val="32"/>
          <w:szCs w:val="32"/>
          <w:rtl/>
        </w:rPr>
        <w:t>ء</w:t>
      </w:r>
      <w:r w:rsidRPr="00DA4F5A">
        <w:rPr>
          <w:rFonts w:ascii="Traditional Arabic" w:hAnsi="Traditional Arabic"/>
          <w:sz w:val="32"/>
          <w:szCs w:val="32"/>
          <w:rtl/>
        </w:rPr>
        <w:t>ة.</w:t>
      </w:r>
    </w:p>
  </w:footnote>
  <w:footnote w:id="2273">
    <w:p w:rsidR="003F128F" w:rsidRPr="00A101D9" w:rsidRDefault="003F128F" w:rsidP="0063006E">
      <w:pPr>
        <w:pStyle w:val="af3"/>
        <w:rPr>
          <w:rFonts w:ascii="Traditional Arabic" w:hAnsi="Traditional Arabic"/>
          <w:color w:val="auto"/>
          <w:sz w:val="32"/>
          <w:szCs w:val="32"/>
        </w:rPr>
      </w:pPr>
      <w:r w:rsidRPr="00A101D9">
        <w:rPr>
          <w:rFonts w:ascii="Traditional Arabic" w:hAnsi="Traditional Arabic"/>
          <w:color w:val="auto"/>
          <w:sz w:val="32"/>
          <w:szCs w:val="32"/>
          <w:rtl/>
        </w:rPr>
        <w:t>(</w:t>
      </w:r>
      <w:r w:rsidRPr="00A101D9">
        <w:rPr>
          <w:rStyle w:val="ae"/>
          <w:rFonts w:ascii="Traditional Arabic" w:hAnsi="Traditional Arabic"/>
          <w:color w:val="auto"/>
          <w:sz w:val="32"/>
          <w:szCs w:val="32"/>
          <w:vertAlign w:val="baseline"/>
        </w:rPr>
        <w:footnoteRef/>
      </w:r>
      <w:r>
        <w:rPr>
          <w:rFonts w:ascii="Traditional Arabic" w:hAnsi="Traditional Arabic"/>
          <w:color w:val="auto"/>
          <w:sz w:val="32"/>
          <w:szCs w:val="32"/>
          <w:rtl/>
        </w:rPr>
        <w:t>) ذكر</w:t>
      </w:r>
      <w:r>
        <w:rPr>
          <w:rFonts w:ascii="Traditional Arabic" w:hAnsi="Traditional Arabic" w:hint="cs"/>
          <w:color w:val="auto"/>
          <w:sz w:val="32"/>
          <w:szCs w:val="32"/>
          <w:rtl/>
        </w:rPr>
        <w:t xml:space="preserve"> هذه القراءة</w:t>
      </w:r>
      <w:r w:rsidRPr="00A101D9">
        <w:rPr>
          <w:rFonts w:ascii="Traditional Arabic" w:hAnsi="Traditional Arabic"/>
          <w:color w:val="auto"/>
          <w:sz w:val="32"/>
          <w:szCs w:val="32"/>
          <w:rtl/>
        </w:rPr>
        <w:t xml:space="preserve"> ابن خالويه في مختصر الشواذ (ص87), وابن عطية في المحرر الوجيز (4/12) منسوبة لأبي حيوة فقط, وانظر:</w:t>
      </w:r>
      <w:r w:rsidRPr="00A101D9">
        <w:rPr>
          <w:rFonts w:ascii="Traditional Arabic" w:hAnsi="Traditional Arabic"/>
          <w:sz w:val="32"/>
          <w:szCs w:val="32"/>
          <w:rtl/>
        </w:rPr>
        <w:t xml:space="preserve"> معجم القراءات (5/357).</w:t>
      </w:r>
    </w:p>
  </w:footnote>
  <w:footnote w:id="2274">
    <w:p w:rsidR="003F128F" w:rsidRPr="00860B49" w:rsidRDefault="003F128F" w:rsidP="0063006E">
      <w:pPr>
        <w:pStyle w:val="af3"/>
        <w:rPr>
          <w:rFonts w:ascii="Traditional Arabic" w:hAnsi="Traditional Arabic"/>
          <w:color w:val="auto"/>
          <w:sz w:val="32"/>
          <w:szCs w:val="32"/>
        </w:rPr>
      </w:pPr>
      <w:r w:rsidRPr="00860B49">
        <w:rPr>
          <w:rFonts w:ascii="Traditional Arabic" w:hAnsi="Traditional Arabic"/>
          <w:color w:val="auto"/>
          <w:sz w:val="32"/>
          <w:szCs w:val="32"/>
          <w:rtl/>
        </w:rPr>
        <w:t>(</w:t>
      </w:r>
      <w:r w:rsidRPr="00860B49">
        <w:rPr>
          <w:rStyle w:val="ae"/>
          <w:rFonts w:ascii="Traditional Arabic" w:hAnsi="Traditional Arabic"/>
          <w:color w:val="auto"/>
          <w:sz w:val="32"/>
          <w:szCs w:val="32"/>
          <w:vertAlign w:val="baseline"/>
        </w:rPr>
        <w:footnoteRef/>
      </w:r>
      <w:r w:rsidRPr="00860B49">
        <w:rPr>
          <w:rFonts w:ascii="Traditional Arabic" w:hAnsi="Traditional Arabic"/>
          <w:color w:val="auto"/>
          <w:sz w:val="32"/>
          <w:szCs w:val="32"/>
          <w:rtl/>
        </w:rPr>
        <w:t xml:space="preserve">) </w:t>
      </w:r>
      <w:r w:rsidRPr="00860B49">
        <w:rPr>
          <w:rFonts w:ascii="Traditional Arabic" w:hAnsi="Traditional Arabic" w:hint="cs"/>
          <w:color w:val="auto"/>
          <w:sz w:val="32"/>
          <w:szCs w:val="32"/>
          <w:rtl/>
        </w:rPr>
        <w:t>هي أم المؤمنين</w:t>
      </w:r>
      <w:r>
        <w:rPr>
          <w:rFonts w:ascii="Traditional Arabic" w:hAnsi="Traditional Arabic" w:hint="cs"/>
          <w:color w:val="auto"/>
          <w:sz w:val="32"/>
          <w:szCs w:val="32"/>
          <w:rtl/>
        </w:rPr>
        <w:t>,</w:t>
      </w:r>
      <w:r w:rsidRPr="00860B49">
        <w:rPr>
          <w:rFonts w:ascii="Traditional Arabic" w:hAnsi="Traditional Arabic" w:hint="cs"/>
          <w:color w:val="auto"/>
          <w:sz w:val="32"/>
          <w:szCs w:val="32"/>
          <w:rtl/>
        </w:rPr>
        <w:t xml:space="preserve"> أم عبدالله</w:t>
      </w:r>
      <w:r>
        <w:rPr>
          <w:rFonts w:ascii="Traditional Arabic" w:hAnsi="Traditional Arabic" w:hint="cs"/>
          <w:color w:val="auto"/>
          <w:sz w:val="32"/>
          <w:szCs w:val="32"/>
          <w:rtl/>
        </w:rPr>
        <w:t>,</w:t>
      </w:r>
      <w:r w:rsidRPr="00860B49">
        <w:rPr>
          <w:rFonts w:ascii="Traditional Arabic" w:hAnsi="Traditional Arabic" w:hint="cs"/>
          <w:color w:val="auto"/>
          <w:sz w:val="32"/>
          <w:szCs w:val="32"/>
          <w:rtl/>
        </w:rPr>
        <w:t xml:space="preserve"> </w:t>
      </w:r>
      <w:r w:rsidRPr="00860B49">
        <w:rPr>
          <w:rFonts w:ascii="Traditional Arabic" w:hAnsi="Traditional Arabic"/>
          <w:color w:val="auto"/>
          <w:sz w:val="32"/>
          <w:szCs w:val="32"/>
          <w:rtl/>
        </w:rPr>
        <w:t>عائشة بنت أبي بكر الصديق</w:t>
      </w:r>
      <w:r w:rsidRPr="00860B49">
        <w:rPr>
          <w:rFonts w:ascii="Traditional Arabic" w:hAnsi="Traditional Arabic" w:hint="cs"/>
          <w:color w:val="auto"/>
          <w:sz w:val="32"/>
          <w:szCs w:val="32"/>
          <w:rtl/>
        </w:rPr>
        <w:t>,</w:t>
      </w:r>
      <w:r w:rsidRPr="00860B49">
        <w:rPr>
          <w:rFonts w:ascii="Traditional Arabic" w:hAnsi="Traditional Arabic" w:hint="cs"/>
          <w:sz w:val="32"/>
          <w:szCs w:val="32"/>
          <w:rtl/>
          <w:lang w:eastAsia="en-US"/>
        </w:rPr>
        <w:t xml:space="preserve"> </w:t>
      </w:r>
      <w:r>
        <w:rPr>
          <w:rFonts w:ascii="Traditional Arabic" w:hAnsi="Traditional Arabic"/>
          <w:color w:val="auto"/>
          <w:sz w:val="32"/>
          <w:szCs w:val="32"/>
          <w:rtl/>
        </w:rPr>
        <w:t>عبد</w:t>
      </w:r>
      <w:r w:rsidRPr="00860B49">
        <w:rPr>
          <w:rFonts w:ascii="Traditional Arabic" w:hAnsi="Traditional Arabic"/>
          <w:color w:val="auto"/>
          <w:sz w:val="32"/>
          <w:szCs w:val="32"/>
          <w:rtl/>
        </w:rPr>
        <w:t>الل</w:t>
      </w:r>
      <w:r>
        <w:rPr>
          <w:rFonts w:ascii="Traditional Arabic" w:hAnsi="Traditional Arabic"/>
          <w:color w:val="auto"/>
          <w:sz w:val="32"/>
          <w:szCs w:val="32"/>
          <w:rtl/>
        </w:rPr>
        <w:t>ه بن أبي قُحَافَةَ عثمان</w:t>
      </w:r>
      <w:r w:rsidRPr="00860B49">
        <w:rPr>
          <w:rFonts w:ascii="Traditional Arabic" w:hAnsi="Traditional Arabic" w:hint="cs"/>
          <w:color w:val="auto"/>
          <w:sz w:val="32"/>
          <w:szCs w:val="32"/>
          <w:rtl/>
        </w:rPr>
        <w:t>,</w:t>
      </w:r>
      <w:r w:rsidRPr="00860B49">
        <w:rPr>
          <w:rFonts w:ascii="Traditional Arabic" w:hAnsi="Traditional Arabic"/>
          <w:sz w:val="32"/>
          <w:szCs w:val="32"/>
          <w:rtl/>
          <w:lang w:eastAsia="en-US"/>
        </w:rPr>
        <w:t xml:space="preserve"> </w:t>
      </w:r>
      <w:r w:rsidRPr="00860B49">
        <w:rPr>
          <w:rFonts w:ascii="Traditional Arabic" w:hAnsi="Traditional Arabic"/>
          <w:color w:val="auto"/>
          <w:sz w:val="32"/>
          <w:szCs w:val="32"/>
          <w:rtl/>
        </w:rPr>
        <w:t>القُرَشِيَّةُ، الصديقة بنت الصديق</w:t>
      </w:r>
      <w:r w:rsidRPr="00860B49">
        <w:rPr>
          <w:rFonts w:ascii="Traditional Arabic" w:hAnsi="Traditional Arabic" w:hint="cs"/>
          <w:color w:val="auto"/>
          <w:sz w:val="32"/>
          <w:szCs w:val="32"/>
          <w:rtl/>
        </w:rPr>
        <w:t xml:space="preserve"> </w:t>
      </w:r>
      <w:r w:rsidRPr="00860B49">
        <w:rPr>
          <w:rFonts w:ascii="Traditional Arabic" w:hAnsi="Traditional Arabic"/>
          <w:color w:val="auto"/>
          <w:sz w:val="32"/>
          <w:szCs w:val="32"/>
          <w:rtl/>
        </w:rPr>
        <w:t xml:space="preserve">رضي الله عنها وعن والدها، زوج النبي </w:t>
      </w:r>
      <w:r w:rsidRPr="00860B49">
        <w:rPr>
          <w:rFonts w:ascii="Traditional Arabic" w:hAnsi="Traditional Arabic"/>
          <w:color w:val="auto"/>
          <w:sz w:val="32"/>
          <w:szCs w:val="32"/>
        </w:rPr>
        <w:sym w:font="AGA Arabesque" w:char="F072"/>
      </w:r>
      <w:r w:rsidRPr="00860B49">
        <w:rPr>
          <w:rFonts w:ascii="Traditional Arabic" w:hAnsi="Traditional Arabic" w:hint="cs"/>
          <w:color w:val="auto"/>
          <w:sz w:val="32"/>
          <w:szCs w:val="32"/>
          <w:rtl/>
        </w:rPr>
        <w:t xml:space="preserve">, </w:t>
      </w:r>
      <w:r w:rsidRPr="00860B49">
        <w:rPr>
          <w:rFonts w:ascii="Traditional Arabic" w:hAnsi="Traditional Arabic"/>
          <w:color w:val="auto"/>
          <w:sz w:val="32"/>
          <w:szCs w:val="32"/>
          <w:rtl/>
        </w:rPr>
        <w:t>وأشهر نسائه</w:t>
      </w:r>
      <w:r w:rsidRPr="00860B49">
        <w:rPr>
          <w:rFonts w:ascii="Traditional Arabic" w:hAnsi="Traditional Arabic" w:hint="cs"/>
          <w:color w:val="auto"/>
          <w:sz w:val="32"/>
          <w:szCs w:val="32"/>
          <w:rtl/>
        </w:rPr>
        <w:t xml:space="preserve">, </w:t>
      </w:r>
      <w:r w:rsidRPr="00860B49">
        <w:rPr>
          <w:rFonts w:ascii="Traditional Arabic" w:hAnsi="Traditional Arabic"/>
          <w:color w:val="auto"/>
          <w:sz w:val="32"/>
          <w:szCs w:val="32"/>
          <w:rtl/>
        </w:rPr>
        <w:t>ما تزوج بكراً سواها</w:t>
      </w:r>
      <w:r w:rsidRPr="00860B49">
        <w:rPr>
          <w:rFonts w:ascii="Traditional Arabic" w:hAnsi="Traditional Arabic" w:hint="cs"/>
          <w:color w:val="auto"/>
          <w:sz w:val="32"/>
          <w:szCs w:val="32"/>
          <w:rtl/>
        </w:rPr>
        <w:t>,</w:t>
      </w:r>
      <w:r w:rsidRPr="00860B49">
        <w:rPr>
          <w:rFonts w:ascii="Traditional Arabic" w:hAnsi="Traditional Arabic"/>
          <w:sz w:val="32"/>
          <w:szCs w:val="32"/>
          <w:rtl/>
          <w:lang w:eastAsia="en-US"/>
        </w:rPr>
        <w:t xml:space="preserve"> </w:t>
      </w:r>
      <w:r w:rsidRPr="00860B49">
        <w:rPr>
          <w:rFonts w:ascii="Traditional Arabic" w:hAnsi="Traditional Arabic" w:hint="cs"/>
          <w:sz w:val="32"/>
          <w:szCs w:val="32"/>
          <w:rtl/>
          <w:lang w:eastAsia="en-US"/>
        </w:rPr>
        <w:t xml:space="preserve">وهي </w:t>
      </w:r>
      <w:r>
        <w:rPr>
          <w:rFonts w:ascii="Traditional Arabic" w:hAnsi="Traditional Arabic"/>
          <w:color w:val="auto"/>
          <w:sz w:val="32"/>
          <w:szCs w:val="32"/>
          <w:rtl/>
        </w:rPr>
        <w:t>أفقه ن</w:t>
      </w:r>
      <w:r w:rsidRPr="00860B49">
        <w:rPr>
          <w:rFonts w:ascii="Traditional Arabic" w:hAnsi="Traditional Arabic"/>
          <w:color w:val="auto"/>
          <w:sz w:val="32"/>
          <w:szCs w:val="32"/>
          <w:rtl/>
        </w:rPr>
        <w:t>س</w:t>
      </w:r>
      <w:r>
        <w:rPr>
          <w:rFonts w:ascii="Traditional Arabic" w:hAnsi="Traditional Arabic"/>
          <w:color w:val="auto"/>
          <w:sz w:val="32"/>
          <w:szCs w:val="32"/>
          <w:rtl/>
        </w:rPr>
        <w:t>اء الأمة على الإطلاق</w:t>
      </w:r>
      <w:r w:rsidRPr="00860B49">
        <w:rPr>
          <w:rFonts w:ascii="Traditional Arabic" w:hAnsi="Traditional Arabic" w:hint="cs"/>
          <w:color w:val="auto"/>
          <w:sz w:val="32"/>
          <w:szCs w:val="32"/>
          <w:rtl/>
        </w:rPr>
        <w:t>,</w:t>
      </w:r>
      <w:r w:rsidRPr="00860B49">
        <w:rPr>
          <w:rFonts w:ascii="Traditional Arabic" w:hAnsi="Traditional Arabic"/>
          <w:color w:val="auto"/>
          <w:sz w:val="32"/>
          <w:szCs w:val="32"/>
          <w:rtl/>
        </w:rPr>
        <w:t xml:space="preserve"> (ت</w:t>
      </w:r>
      <w:r>
        <w:rPr>
          <w:rFonts w:ascii="Traditional Arabic" w:hAnsi="Traditional Arabic" w:hint="cs"/>
          <w:color w:val="auto"/>
          <w:sz w:val="32"/>
          <w:szCs w:val="32"/>
          <w:rtl/>
        </w:rPr>
        <w:t>58</w:t>
      </w:r>
      <w:r w:rsidRPr="00860B49">
        <w:rPr>
          <w:rFonts w:ascii="Traditional Arabic" w:hAnsi="Traditional Arabic"/>
          <w:color w:val="auto"/>
          <w:sz w:val="32"/>
          <w:szCs w:val="32"/>
          <w:rtl/>
        </w:rPr>
        <w:t xml:space="preserve">ه). انظر: </w:t>
      </w:r>
      <w:r w:rsidRPr="00860B49">
        <w:rPr>
          <w:rFonts w:ascii="Traditional Arabic" w:hAnsi="Traditional Arabic" w:hint="cs"/>
          <w:color w:val="auto"/>
          <w:sz w:val="32"/>
          <w:szCs w:val="32"/>
          <w:rtl/>
        </w:rPr>
        <w:t>أسد الغابة</w:t>
      </w:r>
      <w:r w:rsidRPr="00860B49">
        <w:rPr>
          <w:rFonts w:ascii="Traditional Arabic" w:hAnsi="Traditional Arabic"/>
          <w:color w:val="auto"/>
          <w:sz w:val="32"/>
          <w:szCs w:val="32"/>
          <w:rtl/>
        </w:rPr>
        <w:t xml:space="preserve"> (</w:t>
      </w:r>
      <w:r w:rsidRPr="00860B49">
        <w:rPr>
          <w:rFonts w:ascii="Traditional Arabic" w:hAnsi="Traditional Arabic" w:hint="cs"/>
          <w:color w:val="auto"/>
          <w:sz w:val="32"/>
          <w:szCs w:val="32"/>
          <w:rtl/>
        </w:rPr>
        <w:t>7/168</w:t>
      </w:r>
      <w:r w:rsidRPr="00860B49">
        <w:rPr>
          <w:rFonts w:ascii="Traditional Arabic" w:hAnsi="Traditional Arabic"/>
          <w:color w:val="auto"/>
          <w:sz w:val="32"/>
          <w:szCs w:val="32"/>
          <w:rtl/>
        </w:rPr>
        <w:t xml:space="preserve">), </w:t>
      </w:r>
      <w:r w:rsidRPr="00860B49">
        <w:rPr>
          <w:rFonts w:ascii="Traditional Arabic" w:hAnsi="Traditional Arabic" w:hint="cs"/>
          <w:color w:val="auto"/>
          <w:sz w:val="32"/>
          <w:szCs w:val="32"/>
          <w:rtl/>
        </w:rPr>
        <w:t>وفيات الأعيان</w:t>
      </w:r>
      <w:r w:rsidRPr="00860B49">
        <w:rPr>
          <w:rFonts w:ascii="Traditional Arabic" w:hAnsi="Traditional Arabic"/>
          <w:color w:val="auto"/>
          <w:sz w:val="32"/>
          <w:szCs w:val="32"/>
          <w:rtl/>
        </w:rPr>
        <w:t xml:space="preserve"> (</w:t>
      </w:r>
      <w:r w:rsidRPr="00860B49">
        <w:rPr>
          <w:rFonts w:ascii="Traditional Arabic" w:hAnsi="Traditional Arabic" w:hint="cs"/>
          <w:color w:val="auto"/>
          <w:sz w:val="32"/>
          <w:szCs w:val="32"/>
          <w:rtl/>
        </w:rPr>
        <w:t>3/16</w:t>
      </w:r>
      <w:r w:rsidRPr="00860B49">
        <w:rPr>
          <w:rFonts w:ascii="Traditional Arabic" w:hAnsi="Traditional Arabic"/>
          <w:color w:val="auto"/>
          <w:sz w:val="32"/>
          <w:szCs w:val="32"/>
          <w:rtl/>
        </w:rPr>
        <w:t>)</w:t>
      </w:r>
      <w:r w:rsidRPr="00860B49">
        <w:rPr>
          <w:rFonts w:ascii="Traditional Arabic" w:hAnsi="Traditional Arabic" w:hint="cs"/>
          <w:color w:val="auto"/>
          <w:sz w:val="32"/>
          <w:szCs w:val="32"/>
          <w:rtl/>
        </w:rPr>
        <w:t>, سير أعلام النبلاء (2/135)</w:t>
      </w:r>
      <w:r w:rsidRPr="00860B49">
        <w:rPr>
          <w:rFonts w:ascii="Traditional Arabic" w:hAnsi="Traditional Arabic"/>
          <w:color w:val="auto"/>
          <w:sz w:val="32"/>
          <w:szCs w:val="32"/>
          <w:rtl/>
        </w:rPr>
        <w:t>.</w:t>
      </w:r>
      <w:r w:rsidRPr="00860B49">
        <w:rPr>
          <w:rFonts w:ascii="Traditional Arabic" w:hAnsi="Traditional Arabic"/>
          <w:color w:val="auto"/>
          <w:sz w:val="32"/>
          <w:szCs w:val="32"/>
        </w:rPr>
        <w:t xml:space="preserve"> </w:t>
      </w:r>
    </w:p>
  </w:footnote>
  <w:footnote w:id="2275">
    <w:p w:rsidR="003F128F" w:rsidRPr="00C741BA" w:rsidRDefault="003F128F" w:rsidP="0063006E">
      <w:pPr>
        <w:pStyle w:val="af3"/>
        <w:rPr>
          <w:rFonts w:ascii="Traditional Arabic" w:hAnsi="Traditional Arabic"/>
          <w:sz w:val="32"/>
          <w:szCs w:val="32"/>
        </w:rPr>
      </w:pPr>
      <w:r w:rsidRPr="00C741BA">
        <w:rPr>
          <w:rFonts w:ascii="Traditional Arabic" w:hAnsi="Traditional Arabic"/>
          <w:sz w:val="32"/>
          <w:szCs w:val="32"/>
          <w:rtl/>
        </w:rPr>
        <w:t>(</w:t>
      </w:r>
      <w:r w:rsidRPr="00C741BA">
        <w:rPr>
          <w:rStyle w:val="ae"/>
          <w:rFonts w:ascii="Traditional Arabic" w:hAnsi="Traditional Arabic"/>
          <w:sz w:val="32"/>
          <w:szCs w:val="32"/>
          <w:vertAlign w:val="baseline"/>
        </w:rPr>
        <w:footnoteRef/>
      </w:r>
      <w:r w:rsidRPr="00C741BA">
        <w:rPr>
          <w:rFonts w:ascii="Traditional Arabic" w:hAnsi="Traditional Arabic"/>
          <w:sz w:val="32"/>
          <w:szCs w:val="32"/>
          <w:rtl/>
        </w:rPr>
        <w:t>) انظر: معجم القراءات (5/356), و</w:t>
      </w:r>
      <w:r w:rsidRPr="00C741BA">
        <w:rPr>
          <w:rFonts w:ascii="Traditional Arabic" w:hAnsi="Traditional Arabic"/>
          <w:color w:val="auto"/>
          <w:sz w:val="32"/>
          <w:szCs w:val="32"/>
          <w:rtl/>
        </w:rPr>
        <w:t xml:space="preserve">ذكرها ابن جني في المحتسب (2/40) ونسبها لمسروق, وهي في </w:t>
      </w:r>
      <w:r w:rsidRPr="00C741BA">
        <w:rPr>
          <w:rFonts w:ascii="Traditional Arabic" w:hAnsi="Traditional Arabic"/>
          <w:sz w:val="32"/>
          <w:szCs w:val="32"/>
          <w:rtl/>
        </w:rPr>
        <w:t>معاني القرآن وإعرابه (3/326), و</w:t>
      </w:r>
      <w:r w:rsidRPr="00C741BA">
        <w:rPr>
          <w:rFonts w:ascii="Traditional Arabic" w:hAnsi="Traditional Arabic"/>
          <w:color w:val="auto"/>
          <w:sz w:val="32"/>
          <w:szCs w:val="32"/>
          <w:rtl/>
        </w:rPr>
        <w:t>المحرر الوجيز (4/12)</w:t>
      </w:r>
      <w:r w:rsidRPr="00C741BA">
        <w:rPr>
          <w:rFonts w:ascii="Traditional Arabic" w:hAnsi="Traditional Arabic"/>
          <w:sz w:val="32"/>
          <w:szCs w:val="32"/>
          <w:rtl/>
        </w:rPr>
        <w:t xml:space="preserve"> وغيرهما بلا نسبة.</w:t>
      </w:r>
    </w:p>
  </w:footnote>
  <w:footnote w:id="2276">
    <w:p w:rsidR="003F128F" w:rsidRPr="00502DB5" w:rsidRDefault="003F128F" w:rsidP="0063006E">
      <w:pPr>
        <w:pStyle w:val="af3"/>
        <w:rPr>
          <w:rFonts w:ascii="Traditional Arabic" w:hAnsi="Traditional Arabic"/>
          <w:sz w:val="32"/>
          <w:szCs w:val="32"/>
        </w:rPr>
      </w:pPr>
      <w:r w:rsidRPr="00502DB5">
        <w:rPr>
          <w:rFonts w:ascii="Traditional Arabic" w:hAnsi="Traditional Arabic"/>
          <w:sz w:val="32"/>
          <w:szCs w:val="32"/>
          <w:rtl/>
        </w:rPr>
        <w:t>(</w:t>
      </w:r>
      <w:r w:rsidRPr="00502DB5">
        <w:rPr>
          <w:rStyle w:val="ae"/>
          <w:rFonts w:ascii="Traditional Arabic" w:hAnsi="Traditional Arabic"/>
          <w:sz w:val="32"/>
          <w:szCs w:val="32"/>
          <w:vertAlign w:val="baseline"/>
        </w:rPr>
        <w:footnoteRef/>
      </w:r>
      <w:r w:rsidRPr="00502DB5">
        <w:rPr>
          <w:rFonts w:ascii="Traditional Arabic" w:hAnsi="Traditional Arabic"/>
          <w:sz w:val="32"/>
          <w:szCs w:val="32"/>
          <w:rtl/>
        </w:rPr>
        <w:t>)</w:t>
      </w:r>
      <w:r>
        <w:rPr>
          <w:rFonts w:ascii="Traditional Arabic" w:hAnsi="Traditional Arabic" w:hint="cs"/>
          <w:sz w:val="32"/>
          <w:szCs w:val="32"/>
          <w:rtl/>
        </w:rPr>
        <w:t xml:space="preserve"> هو الإ</w:t>
      </w:r>
      <w:r w:rsidRPr="00502DB5">
        <w:rPr>
          <w:rFonts w:ascii="Traditional Arabic" w:hAnsi="Traditional Arabic" w:hint="cs"/>
          <w:sz w:val="32"/>
          <w:szCs w:val="32"/>
          <w:rtl/>
        </w:rPr>
        <w:t>مام المقرئ</w:t>
      </w:r>
      <w:r>
        <w:rPr>
          <w:rFonts w:ascii="Traditional Arabic" w:hAnsi="Traditional Arabic" w:hint="cs"/>
          <w:sz w:val="32"/>
          <w:szCs w:val="32"/>
          <w:rtl/>
        </w:rPr>
        <w:t>,</w:t>
      </w:r>
      <w:r w:rsidRPr="00502DB5">
        <w:rPr>
          <w:rFonts w:ascii="Traditional Arabic" w:hAnsi="Traditional Arabic"/>
          <w:sz w:val="32"/>
          <w:szCs w:val="32"/>
          <w:rtl/>
        </w:rPr>
        <w:t xml:space="preserve"> أبو محمد</w:t>
      </w:r>
      <w:r>
        <w:rPr>
          <w:rFonts w:ascii="Traditional Arabic" w:hAnsi="Traditional Arabic" w:hint="cs"/>
          <w:sz w:val="32"/>
          <w:szCs w:val="32"/>
          <w:rtl/>
        </w:rPr>
        <w:t>,</w:t>
      </w:r>
      <w:r w:rsidRPr="00502DB5">
        <w:rPr>
          <w:rFonts w:ascii="Traditional Arabic" w:hAnsi="Traditional Arabic" w:hint="cs"/>
          <w:sz w:val="32"/>
          <w:szCs w:val="32"/>
          <w:rtl/>
        </w:rPr>
        <w:t xml:space="preserve"> </w:t>
      </w:r>
      <w:r w:rsidRPr="00502DB5">
        <w:rPr>
          <w:rFonts w:ascii="Traditional Arabic" w:hAnsi="Traditional Arabic"/>
          <w:sz w:val="32"/>
          <w:szCs w:val="32"/>
          <w:rtl/>
        </w:rPr>
        <w:t>عمرو بن دينار الجمحي</w:t>
      </w:r>
      <w:r>
        <w:rPr>
          <w:rFonts w:ascii="Traditional Arabic" w:hAnsi="Traditional Arabic" w:hint="cs"/>
          <w:sz w:val="32"/>
          <w:szCs w:val="32"/>
          <w:rtl/>
        </w:rPr>
        <w:t>,</w:t>
      </w:r>
      <w:r w:rsidRPr="00502DB5">
        <w:rPr>
          <w:rFonts w:ascii="Traditional Arabic" w:hAnsi="Traditional Arabic" w:hint="cs"/>
          <w:sz w:val="32"/>
          <w:szCs w:val="32"/>
          <w:rtl/>
        </w:rPr>
        <w:t xml:space="preserve"> </w:t>
      </w:r>
      <w:r w:rsidRPr="00502DB5">
        <w:rPr>
          <w:rFonts w:ascii="Traditional Arabic" w:hAnsi="Traditional Arabic"/>
          <w:sz w:val="32"/>
          <w:szCs w:val="32"/>
          <w:rtl/>
        </w:rPr>
        <w:t>المكي</w:t>
      </w:r>
      <w:r w:rsidRPr="00502DB5">
        <w:rPr>
          <w:rFonts w:ascii="Traditional Arabic" w:hAnsi="Traditional Arabic" w:hint="cs"/>
          <w:sz w:val="32"/>
          <w:szCs w:val="32"/>
          <w:rtl/>
        </w:rPr>
        <w:t xml:space="preserve"> </w:t>
      </w:r>
      <w:r w:rsidRPr="00502DB5">
        <w:rPr>
          <w:rFonts w:ascii="Traditional Arabic" w:hAnsi="Traditional Arabic"/>
          <w:sz w:val="32"/>
          <w:szCs w:val="32"/>
          <w:rtl/>
        </w:rPr>
        <w:t>الأثرم</w:t>
      </w:r>
      <w:r w:rsidRPr="00502DB5">
        <w:rPr>
          <w:rFonts w:ascii="Traditional Arabic" w:hAnsi="Traditional Arabic" w:hint="cs"/>
          <w:sz w:val="32"/>
          <w:szCs w:val="32"/>
          <w:rtl/>
        </w:rPr>
        <w:t>,</w:t>
      </w:r>
      <w:r w:rsidRPr="00502DB5">
        <w:rPr>
          <w:rFonts w:ascii="Traditional Arabic" w:hAnsi="Traditional Arabic"/>
          <w:sz w:val="32"/>
          <w:szCs w:val="32"/>
          <w:rtl/>
        </w:rPr>
        <w:t xml:space="preserve"> مولى موسى بن</w:t>
      </w:r>
      <w:r w:rsidRPr="00502DB5">
        <w:rPr>
          <w:rFonts w:ascii="Traditional Arabic" w:hAnsi="Traditional Arabic" w:hint="cs"/>
          <w:sz w:val="32"/>
          <w:szCs w:val="32"/>
          <w:rtl/>
        </w:rPr>
        <w:t xml:space="preserve"> </w:t>
      </w:r>
      <w:r w:rsidRPr="00502DB5">
        <w:rPr>
          <w:rFonts w:ascii="Traditional Arabic" w:hAnsi="Traditional Arabic"/>
          <w:sz w:val="32"/>
          <w:szCs w:val="32"/>
          <w:rtl/>
        </w:rPr>
        <w:t>باذام</w:t>
      </w:r>
      <w:r w:rsidRPr="00502DB5">
        <w:rPr>
          <w:rFonts w:ascii="Traditional Arabic" w:hAnsi="Traditional Arabic" w:hint="cs"/>
          <w:sz w:val="32"/>
          <w:szCs w:val="32"/>
          <w:rtl/>
        </w:rPr>
        <w:t>,</w:t>
      </w:r>
      <w:r w:rsidRPr="00502DB5">
        <w:rPr>
          <w:rFonts w:ascii="Traditional Arabic" w:hAnsi="Traditional Arabic"/>
          <w:sz w:val="32"/>
          <w:szCs w:val="32"/>
          <w:rtl/>
        </w:rPr>
        <w:t xml:space="preserve"> عالم مكة، وردت الرواية عنه في حروف القرآن</w:t>
      </w:r>
      <w:r w:rsidRPr="00502DB5">
        <w:rPr>
          <w:rFonts w:ascii="Traditional Arabic" w:hAnsi="Traditional Arabic" w:hint="cs"/>
          <w:sz w:val="32"/>
          <w:szCs w:val="32"/>
          <w:rtl/>
        </w:rPr>
        <w:t>,</w:t>
      </w:r>
      <w:r w:rsidRPr="00502DB5">
        <w:rPr>
          <w:rFonts w:ascii="Traditional Arabic" w:hAnsi="Traditional Arabic"/>
          <w:sz w:val="32"/>
          <w:szCs w:val="32"/>
          <w:rtl/>
        </w:rPr>
        <w:t xml:space="preserve"> روى القراءة عن ابن عباس</w:t>
      </w:r>
      <w:r>
        <w:rPr>
          <w:rFonts w:ascii="Traditional Arabic" w:hAnsi="Traditional Arabic"/>
          <w:sz w:val="32"/>
          <w:szCs w:val="32"/>
        </w:rPr>
        <w:sym w:font="AGA Arabesque" w:char="F074"/>
      </w:r>
      <w:r w:rsidRPr="00502DB5">
        <w:rPr>
          <w:rFonts w:ascii="Traditional Arabic" w:hAnsi="Traditional Arabic"/>
          <w:sz w:val="32"/>
          <w:szCs w:val="32"/>
          <w:rtl/>
        </w:rPr>
        <w:t>،</w:t>
      </w:r>
      <w:r w:rsidRPr="00502DB5">
        <w:rPr>
          <w:rFonts w:ascii="Traditional Arabic" w:hAnsi="Traditional Arabic" w:hint="cs"/>
          <w:sz w:val="32"/>
          <w:szCs w:val="32"/>
          <w:rtl/>
        </w:rPr>
        <w:t xml:space="preserve"> </w:t>
      </w:r>
      <w:r w:rsidRPr="00502DB5">
        <w:rPr>
          <w:rFonts w:ascii="Traditional Arabic" w:hAnsi="Traditional Arabic"/>
          <w:color w:val="auto"/>
          <w:sz w:val="32"/>
          <w:szCs w:val="32"/>
          <w:rtl/>
        </w:rPr>
        <w:t>(ت</w:t>
      </w:r>
      <w:r w:rsidRPr="00502DB5">
        <w:rPr>
          <w:rFonts w:ascii="Traditional Arabic" w:hAnsi="Traditional Arabic" w:hint="cs"/>
          <w:color w:val="auto"/>
          <w:sz w:val="32"/>
          <w:szCs w:val="32"/>
          <w:rtl/>
        </w:rPr>
        <w:t>126</w:t>
      </w:r>
      <w:r w:rsidRPr="00502DB5">
        <w:rPr>
          <w:rFonts w:ascii="Traditional Arabic" w:hAnsi="Traditional Arabic"/>
          <w:color w:val="auto"/>
          <w:sz w:val="32"/>
          <w:szCs w:val="32"/>
          <w:rtl/>
        </w:rPr>
        <w:t>ه). انظر:</w:t>
      </w:r>
      <w:r w:rsidRPr="00502DB5">
        <w:rPr>
          <w:rFonts w:ascii="Traditional Arabic" w:hAnsi="Traditional Arabic" w:hint="cs"/>
          <w:color w:val="auto"/>
          <w:sz w:val="32"/>
          <w:szCs w:val="32"/>
          <w:rtl/>
        </w:rPr>
        <w:t xml:space="preserve"> تهذيب الكمال </w:t>
      </w:r>
      <w:r w:rsidRPr="00502DB5">
        <w:rPr>
          <w:rFonts w:ascii="Traditional Arabic" w:hAnsi="Traditional Arabic"/>
          <w:color w:val="auto"/>
          <w:sz w:val="32"/>
          <w:szCs w:val="32"/>
          <w:rtl/>
        </w:rPr>
        <w:t>(</w:t>
      </w:r>
      <w:r w:rsidRPr="00502DB5">
        <w:rPr>
          <w:rFonts w:ascii="Traditional Arabic" w:hAnsi="Traditional Arabic" w:hint="cs"/>
          <w:color w:val="auto"/>
          <w:sz w:val="32"/>
          <w:szCs w:val="32"/>
          <w:rtl/>
        </w:rPr>
        <w:t>22/5</w:t>
      </w:r>
      <w:r w:rsidRPr="00502DB5">
        <w:rPr>
          <w:rFonts w:ascii="Traditional Arabic" w:hAnsi="Traditional Arabic"/>
          <w:color w:val="auto"/>
          <w:sz w:val="32"/>
          <w:szCs w:val="32"/>
          <w:rtl/>
        </w:rPr>
        <w:t xml:space="preserve">), </w:t>
      </w:r>
      <w:r>
        <w:rPr>
          <w:rFonts w:ascii="Traditional Arabic" w:hAnsi="Traditional Arabic" w:hint="cs"/>
          <w:color w:val="auto"/>
          <w:sz w:val="32"/>
          <w:szCs w:val="32"/>
          <w:rtl/>
        </w:rPr>
        <w:t>تذكرة الحفاظ (1/86),</w:t>
      </w:r>
      <w:r>
        <w:rPr>
          <w:rFonts w:ascii="Traditional Arabic" w:hAnsi="Traditional Arabic"/>
          <w:color w:val="auto"/>
          <w:sz w:val="32"/>
          <w:szCs w:val="32"/>
          <w:rtl/>
        </w:rPr>
        <w:t xml:space="preserve"> </w:t>
      </w:r>
      <w:r w:rsidRPr="00502DB5">
        <w:rPr>
          <w:rFonts w:ascii="Traditional Arabic" w:hAnsi="Traditional Arabic"/>
          <w:color w:val="auto"/>
          <w:sz w:val="32"/>
          <w:szCs w:val="32"/>
          <w:rtl/>
        </w:rPr>
        <w:t>غاية النهاية (</w:t>
      </w:r>
      <w:r w:rsidRPr="00502DB5">
        <w:rPr>
          <w:rFonts w:ascii="Traditional Arabic" w:hAnsi="Traditional Arabic" w:hint="cs"/>
          <w:color w:val="auto"/>
          <w:sz w:val="32"/>
          <w:szCs w:val="32"/>
          <w:rtl/>
        </w:rPr>
        <w:t>1/832</w:t>
      </w:r>
      <w:r w:rsidRPr="00502DB5">
        <w:rPr>
          <w:rFonts w:ascii="Traditional Arabic" w:hAnsi="Traditional Arabic"/>
          <w:color w:val="auto"/>
          <w:sz w:val="32"/>
          <w:szCs w:val="32"/>
          <w:rtl/>
        </w:rPr>
        <w:t>).</w:t>
      </w:r>
    </w:p>
  </w:footnote>
  <w:footnote w:id="2277">
    <w:p w:rsidR="003F128F" w:rsidRPr="00C741BA" w:rsidRDefault="003F128F" w:rsidP="0063006E">
      <w:pPr>
        <w:pStyle w:val="af3"/>
        <w:rPr>
          <w:rFonts w:ascii="Traditional Arabic" w:hAnsi="Traditional Arabic"/>
          <w:sz w:val="32"/>
          <w:szCs w:val="32"/>
        </w:rPr>
      </w:pPr>
      <w:r w:rsidRPr="00502DB5">
        <w:rPr>
          <w:rFonts w:ascii="Traditional Arabic" w:hAnsi="Traditional Arabic"/>
          <w:sz w:val="32"/>
          <w:szCs w:val="32"/>
          <w:rtl/>
        </w:rPr>
        <w:t>(</w:t>
      </w:r>
      <w:r w:rsidRPr="00502DB5">
        <w:rPr>
          <w:rStyle w:val="ae"/>
          <w:rFonts w:ascii="Traditional Arabic" w:hAnsi="Traditional Arabic"/>
          <w:sz w:val="32"/>
          <w:szCs w:val="32"/>
          <w:vertAlign w:val="baseline"/>
        </w:rPr>
        <w:footnoteRef/>
      </w:r>
      <w:r w:rsidRPr="00502DB5">
        <w:rPr>
          <w:rFonts w:ascii="Traditional Arabic" w:hAnsi="Traditional Arabic"/>
          <w:sz w:val="32"/>
          <w:szCs w:val="32"/>
          <w:rtl/>
        </w:rPr>
        <w:t>) انظر: معجم القراءات (5/356), وذكرها</w:t>
      </w:r>
      <w:r w:rsidRPr="00C741BA">
        <w:rPr>
          <w:rFonts w:ascii="Traditional Arabic" w:hAnsi="Traditional Arabic"/>
          <w:sz w:val="32"/>
          <w:szCs w:val="32"/>
          <w:rtl/>
        </w:rPr>
        <w:t xml:space="preserve"> ابن عطية في المحرر الوجيز (4/12), وأبو حيان في البحر المحيط (7/255) منسوبة </w:t>
      </w:r>
      <w:r w:rsidRPr="00C741BA">
        <w:rPr>
          <w:rFonts w:ascii="Traditional Arabic" w:hAnsi="Traditional Arabic"/>
          <w:color w:val="auto"/>
          <w:sz w:val="32"/>
          <w:szCs w:val="32"/>
          <w:rtl/>
        </w:rPr>
        <w:t>لأبي حيوة</w:t>
      </w:r>
      <w:r w:rsidRPr="00C741BA">
        <w:rPr>
          <w:rFonts w:ascii="Traditional Arabic" w:hAnsi="Traditional Arabic"/>
          <w:sz w:val="32"/>
          <w:szCs w:val="32"/>
          <w:rtl/>
        </w:rPr>
        <w:t>.</w:t>
      </w:r>
    </w:p>
  </w:footnote>
  <w:footnote w:id="2278">
    <w:p w:rsidR="003F128F" w:rsidRPr="00DA4F5A" w:rsidRDefault="003F128F" w:rsidP="0063006E">
      <w:pPr>
        <w:pStyle w:val="af3"/>
        <w:rPr>
          <w:rFonts w:ascii="Traditional Arabic" w:hAnsi="Traditional Arabic"/>
          <w:color w:val="auto"/>
          <w:sz w:val="32"/>
          <w:szCs w:val="32"/>
        </w:rPr>
      </w:pPr>
      <w:r w:rsidRPr="00C741BA">
        <w:rPr>
          <w:rFonts w:ascii="Traditional Arabic" w:hAnsi="Traditional Arabic"/>
          <w:sz w:val="32"/>
          <w:szCs w:val="32"/>
          <w:rtl/>
        </w:rPr>
        <w:t>(</w:t>
      </w:r>
      <w:r w:rsidRPr="00C741BA">
        <w:rPr>
          <w:rStyle w:val="ae"/>
          <w:rFonts w:ascii="Traditional Arabic" w:hAnsi="Traditional Arabic"/>
          <w:sz w:val="32"/>
          <w:szCs w:val="32"/>
          <w:vertAlign w:val="baseline"/>
        </w:rPr>
        <w:footnoteRef/>
      </w:r>
      <w:r w:rsidRPr="00C741BA">
        <w:rPr>
          <w:rFonts w:ascii="Traditional Arabic" w:hAnsi="Traditional Arabic"/>
          <w:sz w:val="32"/>
          <w:szCs w:val="32"/>
          <w:rtl/>
        </w:rPr>
        <w:t xml:space="preserve">) انظر: معجم القراءات (5/356), وذكرها الطبري في تفسيره (18/180) ونسبها لأبي نهيك, وابن </w:t>
      </w:r>
      <w:r w:rsidRPr="00DA4F5A">
        <w:rPr>
          <w:rFonts w:ascii="Traditional Arabic" w:hAnsi="Traditional Arabic"/>
          <w:color w:val="auto"/>
          <w:sz w:val="32"/>
          <w:szCs w:val="32"/>
          <w:rtl/>
        </w:rPr>
        <w:t>عطية في المحرر الوجيز (4/12) ونسبه</w:t>
      </w:r>
      <w:r>
        <w:rPr>
          <w:rFonts w:ascii="Traditional Arabic" w:hAnsi="Traditional Arabic" w:hint="cs"/>
          <w:color w:val="auto"/>
          <w:sz w:val="32"/>
          <w:szCs w:val="32"/>
          <w:rtl/>
        </w:rPr>
        <w:t>ا</w:t>
      </w:r>
      <w:r w:rsidRPr="00DA4F5A">
        <w:rPr>
          <w:rFonts w:ascii="Traditional Arabic" w:hAnsi="Traditional Arabic"/>
          <w:color w:val="auto"/>
          <w:sz w:val="32"/>
          <w:szCs w:val="32"/>
          <w:rtl/>
        </w:rPr>
        <w:t xml:space="preserve"> لأبي حيوة. </w:t>
      </w:r>
    </w:p>
  </w:footnote>
  <w:footnote w:id="2279">
    <w:p w:rsidR="003F128F" w:rsidRPr="00DA4F5A" w:rsidRDefault="003F128F" w:rsidP="0063006E">
      <w:pPr>
        <w:pStyle w:val="af3"/>
        <w:rPr>
          <w:rFonts w:ascii="Traditional Arabic" w:hAnsi="Traditional Arabic"/>
          <w:color w:val="auto"/>
          <w:sz w:val="32"/>
          <w:szCs w:val="32"/>
        </w:rPr>
      </w:pPr>
      <w:r w:rsidRPr="00DA4F5A">
        <w:rPr>
          <w:rFonts w:ascii="Traditional Arabic" w:hAnsi="Traditional Arabic"/>
          <w:color w:val="auto"/>
          <w:sz w:val="32"/>
          <w:szCs w:val="32"/>
          <w:rtl/>
        </w:rPr>
        <w:t>(</w:t>
      </w:r>
      <w:r w:rsidRPr="00DA4F5A">
        <w:rPr>
          <w:rStyle w:val="ae"/>
          <w:rFonts w:ascii="Traditional Arabic" w:hAnsi="Traditional Arabic"/>
          <w:color w:val="auto"/>
          <w:sz w:val="32"/>
          <w:szCs w:val="32"/>
          <w:vertAlign w:val="baseline"/>
        </w:rPr>
        <w:footnoteRef/>
      </w:r>
      <w:r w:rsidRPr="00DA4F5A">
        <w:rPr>
          <w:rFonts w:ascii="Traditional Arabic" w:hAnsi="Traditional Arabic"/>
          <w:color w:val="auto"/>
          <w:sz w:val="32"/>
          <w:szCs w:val="32"/>
          <w:rtl/>
        </w:rPr>
        <w:t xml:space="preserve">) انظر: معجم القراءات (5/356).  </w:t>
      </w:r>
    </w:p>
  </w:footnote>
  <w:footnote w:id="2280">
    <w:p w:rsidR="003F128F" w:rsidRPr="00DA4F5A" w:rsidRDefault="003F128F" w:rsidP="0063006E">
      <w:pPr>
        <w:pStyle w:val="af3"/>
        <w:rPr>
          <w:rFonts w:ascii="Traditional Arabic" w:hAnsi="Traditional Arabic"/>
          <w:color w:val="auto"/>
          <w:sz w:val="32"/>
          <w:szCs w:val="32"/>
        </w:rPr>
      </w:pPr>
      <w:r w:rsidRPr="00DA4F5A">
        <w:rPr>
          <w:rFonts w:ascii="Traditional Arabic" w:hAnsi="Traditional Arabic"/>
          <w:color w:val="auto"/>
          <w:sz w:val="32"/>
          <w:szCs w:val="32"/>
          <w:rtl/>
        </w:rPr>
        <w:t>(</w:t>
      </w:r>
      <w:r w:rsidRPr="00DA4F5A">
        <w:rPr>
          <w:rStyle w:val="ae"/>
          <w:rFonts w:ascii="Traditional Arabic" w:hAnsi="Traditional Arabic"/>
          <w:color w:val="auto"/>
          <w:sz w:val="32"/>
          <w:szCs w:val="32"/>
          <w:vertAlign w:val="baseline"/>
        </w:rPr>
        <w:footnoteRef/>
      </w:r>
      <w:r w:rsidRPr="00DA4F5A">
        <w:rPr>
          <w:rFonts w:ascii="Traditional Arabic" w:hAnsi="Traditional Arabic"/>
          <w:color w:val="auto"/>
          <w:sz w:val="32"/>
          <w:szCs w:val="32"/>
          <w:rtl/>
        </w:rPr>
        <w:t>) في (ك): [«تسْقُط» بالتاء].</w:t>
      </w:r>
    </w:p>
  </w:footnote>
  <w:footnote w:id="2281">
    <w:p w:rsidR="003F128F" w:rsidRPr="00D062C6" w:rsidRDefault="003F128F" w:rsidP="0063006E">
      <w:pPr>
        <w:pStyle w:val="af3"/>
        <w:rPr>
          <w:rFonts w:ascii="Traditional Arabic" w:hAnsi="Traditional Arabic"/>
          <w:sz w:val="32"/>
          <w:szCs w:val="32"/>
        </w:rPr>
      </w:pPr>
      <w:r w:rsidRPr="00DA4F5A">
        <w:rPr>
          <w:rFonts w:ascii="Traditional Arabic" w:hAnsi="Traditional Arabic"/>
          <w:color w:val="auto"/>
          <w:sz w:val="32"/>
          <w:szCs w:val="32"/>
          <w:rtl/>
        </w:rPr>
        <w:t>(</w:t>
      </w:r>
      <w:r w:rsidRPr="00DA4F5A">
        <w:rPr>
          <w:rStyle w:val="ae"/>
          <w:rFonts w:ascii="Traditional Arabic" w:hAnsi="Traditional Arabic"/>
          <w:color w:val="auto"/>
          <w:sz w:val="32"/>
          <w:szCs w:val="32"/>
          <w:vertAlign w:val="baseline"/>
        </w:rPr>
        <w:footnoteRef/>
      </w:r>
      <w:r w:rsidRPr="00DA4F5A">
        <w:rPr>
          <w:rFonts w:ascii="Traditional Arabic" w:hAnsi="Traditional Arabic"/>
          <w:color w:val="auto"/>
          <w:sz w:val="32"/>
          <w:szCs w:val="32"/>
          <w:rtl/>
        </w:rPr>
        <w:t xml:space="preserve">) انظر: معجم القراءات (5/356), وذكرها ابن عطية في المحرر الوجيز (4/12) وأبو حيان في البحر المحيط (7/255) منسوبة لأبي </w:t>
      </w:r>
      <w:r w:rsidRPr="00D062C6">
        <w:rPr>
          <w:rFonts w:ascii="Traditional Arabic" w:hAnsi="Traditional Arabic"/>
          <w:sz w:val="32"/>
          <w:szCs w:val="32"/>
          <w:rtl/>
        </w:rPr>
        <w:t>حيوة</w:t>
      </w:r>
      <w:r>
        <w:rPr>
          <w:rFonts w:ascii="Traditional Arabic" w:hAnsi="Traditional Arabic" w:hint="cs"/>
          <w:sz w:val="32"/>
          <w:szCs w:val="32"/>
          <w:rtl/>
        </w:rPr>
        <w:t>.</w:t>
      </w:r>
    </w:p>
  </w:footnote>
  <w:footnote w:id="2282">
    <w:p w:rsidR="003F128F" w:rsidRPr="00FF3FD2" w:rsidRDefault="003F128F" w:rsidP="0063006E">
      <w:pPr>
        <w:pStyle w:val="af3"/>
        <w:rPr>
          <w:rFonts w:ascii="Traditional Arabic" w:hAnsi="Traditional Arabic"/>
          <w:sz w:val="32"/>
          <w:szCs w:val="32"/>
        </w:rPr>
      </w:pPr>
      <w:r w:rsidRPr="00FF3FD2">
        <w:rPr>
          <w:rFonts w:ascii="Traditional Arabic" w:hAnsi="Traditional Arabic"/>
          <w:sz w:val="32"/>
          <w:szCs w:val="32"/>
          <w:rtl/>
        </w:rPr>
        <w:t>(</w:t>
      </w:r>
      <w:r w:rsidRPr="00FF3FD2">
        <w:rPr>
          <w:rStyle w:val="ae"/>
          <w:rFonts w:ascii="Traditional Arabic" w:hAnsi="Traditional Arabic"/>
          <w:color w:val="auto"/>
          <w:sz w:val="32"/>
          <w:szCs w:val="32"/>
          <w:vertAlign w:val="baseline"/>
        </w:rPr>
        <w:footnoteRef/>
      </w:r>
      <w:r>
        <w:rPr>
          <w:rFonts w:ascii="Traditional Arabic" w:hAnsi="Traditional Arabic"/>
          <w:color w:val="auto"/>
          <w:sz w:val="32"/>
          <w:szCs w:val="32"/>
          <w:rtl/>
        </w:rPr>
        <w:t>) هو ال</w:t>
      </w:r>
      <w:r>
        <w:rPr>
          <w:rFonts w:ascii="Traditional Arabic" w:hAnsi="Traditional Arabic" w:hint="cs"/>
          <w:color w:val="auto"/>
          <w:sz w:val="32"/>
          <w:szCs w:val="32"/>
          <w:rtl/>
        </w:rPr>
        <w:t>إ</w:t>
      </w:r>
      <w:r w:rsidRPr="00FF3FD2">
        <w:rPr>
          <w:rFonts w:ascii="Traditional Arabic" w:hAnsi="Traditional Arabic"/>
          <w:color w:val="auto"/>
          <w:sz w:val="32"/>
          <w:szCs w:val="32"/>
          <w:rtl/>
        </w:rPr>
        <w:t>مام المقرئ</w:t>
      </w:r>
      <w:r>
        <w:rPr>
          <w:rFonts w:ascii="Traditional Arabic" w:hAnsi="Traditional Arabic" w:hint="cs"/>
          <w:color w:val="auto"/>
          <w:sz w:val="32"/>
          <w:szCs w:val="32"/>
          <w:rtl/>
        </w:rPr>
        <w:t>,</w:t>
      </w:r>
      <w:r w:rsidRPr="00FF3FD2">
        <w:rPr>
          <w:rFonts w:ascii="Traditional Arabic" w:hAnsi="Traditional Arabic"/>
          <w:color w:val="auto"/>
          <w:sz w:val="32"/>
          <w:szCs w:val="32"/>
          <w:rtl/>
        </w:rPr>
        <w:t xml:space="preserve"> أبو عمران موسى بن حزام الترمذي، نزيل بلخ، المحدث الفقيه, روى القراءة عن يحيى بن آدم سماعا عن أبي بكر عن عاصم، وعن يحيى بن آدم عن الكسائي, (ت251ه). انظر: تهذيب الكمال (29/52), غاية النهاية (2/417). </w:t>
      </w:r>
    </w:p>
  </w:footnote>
  <w:footnote w:id="2283">
    <w:p w:rsidR="003F128F" w:rsidRPr="00FF3FD2" w:rsidRDefault="003F128F" w:rsidP="0063006E">
      <w:pPr>
        <w:pStyle w:val="af3"/>
        <w:rPr>
          <w:rFonts w:ascii="Traditional Arabic" w:hAnsi="Traditional Arabic"/>
          <w:color w:val="auto"/>
          <w:sz w:val="32"/>
          <w:szCs w:val="32"/>
        </w:rPr>
      </w:pPr>
      <w:r w:rsidRPr="00FF3FD2">
        <w:rPr>
          <w:rFonts w:ascii="Traditional Arabic" w:hAnsi="Traditional Arabic"/>
          <w:sz w:val="32"/>
          <w:szCs w:val="32"/>
          <w:rtl/>
        </w:rPr>
        <w:t>(</w:t>
      </w:r>
      <w:r w:rsidRPr="00FF3FD2">
        <w:rPr>
          <w:rStyle w:val="ae"/>
          <w:rFonts w:ascii="Traditional Arabic" w:hAnsi="Traditional Arabic"/>
          <w:sz w:val="32"/>
          <w:szCs w:val="32"/>
          <w:vertAlign w:val="baseline"/>
        </w:rPr>
        <w:footnoteRef/>
      </w:r>
      <w:r w:rsidRPr="00FF3FD2">
        <w:rPr>
          <w:rFonts w:ascii="Traditional Arabic" w:hAnsi="Traditional Arabic"/>
          <w:sz w:val="32"/>
          <w:szCs w:val="32"/>
          <w:rtl/>
        </w:rPr>
        <w:t>)</w:t>
      </w:r>
      <w:r>
        <w:rPr>
          <w:rFonts w:ascii="Traditional Arabic" w:hAnsi="Traditional Arabic" w:hint="cs"/>
          <w:color w:val="auto"/>
          <w:sz w:val="32"/>
          <w:szCs w:val="32"/>
          <w:rtl/>
        </w:rPr>
        <w:t xml:space="preserve"> </w:t>
      </w:r>
      <w:r w:rsidRPr="00D76A20">
        <w:rPr>
          <w:rFonts w:ascii="Traditional Arabic" w:hAnsi="Traditional Arabic"/>
          <w:color w:val="auto"/>
          <w:sz w:val="32"/>
          <w:szCs w:val="32"/>
          <w:rtl/>
        </w:rPr>
        <w:t>انظر: معجم القر</w:t>
      </w:r>
      <w:r>
        <w:rPr>
          <w:rFonts w:ascii="Traditional Arabic" w:hAnsi="Traditional Arabic"/>
          <w:color w:val="auto"/>
          <w:sz w:val="32"/>
          <w:szCs w:val="32"/>
          <w:rtl/>
        </w:rPr>
        <w:t>اءات (5/357)</w:t>
      </w:r>
      <w:r>
        <w:rPr>
          <w:rFonts w:ascii="Traditional Arabic" w:hAnsi="Traditional Arabic" w:hint="cs"/>
          <w:color w:val="auto"/>
          <w:sz w:val="32"/>
          <w:szCs w:val="32"/>
          <w:rtl/>
        </w:rPr>
        <w:t xml:space="preserve"> وذكرت في </w:t>
      </w:r>
      <w:r w:rsidRPr="00FF3FD2">
        <w:rPr>
          <w:rFonts w:ascii="Traditional Arabic" w:hAnsi="Traditional Arabic"/>
          <w:color w:val="auto"/>
          <w:sz w:val="32"/>
          <w:szCs w:val="32"/>
          <w:rtl/>
        </w:rPr>
        <w:t xml:space="preserve">مختصر الشواذ (ص87), </w:t>
      </w:r>
      <w:r>
        <w:rPr>
          <w:rFonts w:ascii="Traditional Arabic" w:hAnsi="Traditional Arabic" w:hint="cs"/>
          <w:sz w:val="32"/>
          <w:szCs w:val="32"/>
          <w:rtl/>
        </w:rPr>
        <w:t>و</w:t>
      </w:r>
      <w:r w:rsidRPr="00FF3FD2">
        <w:rPr>
          <w:rFonts w:ascii="Traditional Arabic" w:hAnsi="Traditional Arabic"/>
          <w:sz w:val="32"/>
          <w:szCs w:val="32"/>
          <w:rtl/>
        </w:rPr>
        <w:t xml:space="preserve">البحر المحيط (7/255) منسوبة </w:t>
      </w:r>
      <w:r w:rsidRPr="00FF3FD2">
        <w:rPr>
          <w:rFonts w:ascii="Traditional Arabic" w:hAnsi="Traditional Arabic"/>
          <w:color w:val="auto"/>
          <w:sz w:val="32"/>
          <w:szCs w:val="32"/>
          <w:rtl/>
        </w:rPr>
        <w:t xml:space="preserve">لأبي </w:t>
      </w:r>
      <w:r>
        <w:rPr>
          <w:rFonts w:ascii="Traditional Arabic" w:hAnsi="Traditional Arabic"/>
          <w:color w:val="auto"/>
          <w:sz w:val="32"/>
          <w:szCs w:val="32"/>
          <w:rtl/>
        </w:rPr>
        <w:t>السمال</w:t>
      </w:r>
      <w:r>
        <w:rPr>
          <w:rFonts w:ascii="Traditional Arabic" w:hAnsi="Traditional Arabic" w:hint="cs"/>
          <w:color w:val="auto"/>
          <w:sz w:val="32"/>
          <w:szCs w:val="32"/>
          <w:rtl/>
        </w:rPr>
        <w:t xml:space="preserve"> فقط.</w:t>
      </w:r>
    </w:p>
  </w:footnote>
  <w:footnote w:id="2284">
    <w:p w:rsidR="003F128F" w:rsidRPr="00FF3FD2" w:rsidRDefault="003F128F" w:rsidP="0063006E">
      <w:pPr>
        <w:pStyle w:val="af3"/>
        <w:rPr>
          <w:rFonts w:ascii="Traditional Arabic" w:hAnsi="Traditional Arabic"/>
          <w:color w:val="auto"/>
          <w:sz w:val="32"/>
          <w:szCs w:val="32"/>
        </w:rPr>
      </w:pPr>
      <w:r w:rsidRPr="00FF3FD2">
        <w:rPr>
          <w:rFonts w:ascii="Traditional Arabic" w:hAnsi="Traditional Arabic"/>
          <w:color w:val="auto"/>
          <w:sz w:val="32"/>
          <w:szCs w:val="32"/>
          <w:rtl/>
        </w:rPr>
        <w:t>(</w:t>
      </w:r>
      <w:r w:rsidRPr="00FF3FD2">
        <w:rPr>
          <w:rStyle w:val="ae"/>
          <w:rFonts w:ascii="Traditional Arabic" w:hAnsi="Traditional Arabic"/>
          <w:color w:val="auto"/>
          <w:sz w:val="32"/>
          <w:szCs w:val="32"/>
          <w:vertAlign w:val="baseline"/>
        </w:rPr>
        <w:footnoteRef/>
      </w:r>
      <w:r w:rsidRPr="00FF3FD2">
        <w:rPr>
          <w:rFonts w:ascii="Traditional Arabic" w:hAnsi="Traditional Arabic"/>
          <w:color w:val="auto"/>
          <w:sz w:val="32"/>
          <w:szCs w:val="32"/>
          <w:rtl/>
        </w:rPr>
        <w:t xml:space="preserve">) انظر: معاني القرآن وإعرابه (3/326).   </w:t>
      </w:r>
    </w:p>
  </w:footnote>
  <w:footnote w:id="2285">
    <w:p w:rsidR="003F128F" w:rsidRPr="00FF3FD2" w:rsidRDefault="003F128F" w:rsidP="0063006E">
      <w:pPr>
        <w:pStyle w:val="af3"/>
        <w:rPr>
          <w:rFonts w:ascii="Traditional Arabic" w:hAnsi="Traditional Arabic"/>
          <w:color w:val="auto"/>
          <w:sz w:val="32"/>
          <w:szCs w:val="32"/>
        </w:rPr>
      </w:pPr>
      <w:r w:rsidRPr="00FF3FD2">
        <w:rPr>
          <w:rFonts w:ascii="Traditional Arabic" w:hAnsi="Traditional Arabic"/>
          <w:color w:val="auto"/>
          <w:sz w:val="32"/>
          <w:szCs w:val="32"/>
          <w:rtl/>
        </w:rPr>
        <w:t>(</w:t>
      </w:r>
      <w:r w:rsidRPr="00FF3FD2">
        <w:rPr>
          <w:rStyle w:val="ae"/>
          <w:rFonts w:ascii="Traditional Arabic" w:hAnsi="Traditional Arabic"/>
          <w:color w:val="auto"/>
          <w:sz w:val="32"/>
          <w:szCs w:val="32"/>
          <w:vertAlign w:val="baseline"/>
        </w:rPr>
        <w:footnoteRef/>
      </w:r>
      <w:r w:rsidRPr="00FF3FD2">
        <w:rPr>
          <w:rFonts w:ascii="Traditional Arabic" w:hAnsi="Traditional Arabic"/>
          <w:color w:val="auto"/>
          <w:sz w:val="32"/>
          <w:szCs w:val="32"/>
          <w:rtl/>
        </w:rPr>
        <w:t xml:space="preserve">) انظر: معاني القرآن للفراء (2/166).      </w:t>
      </w:r>
    </w:p>
  </w:footnote>
  <w:footnote w:id="2286">
    <w:p w:rsidR="003F128F" w:rsidRPr="00FF3FD2" w:rsidRDefault="003F128F" w:rsidP="0063006E">
      <w:pPr>
        <w:pStyle w:val="af3"/>
        <w:rPr>
          <w:rFonts w:ascii="Traditional Arabic" w:hAnsi="Traditional Arabic"/>
          <w:color w:val="auto"/>
          <w:sz w:val="32"/>
          <w:szCs w:val="32"/>
        </w:rPr>
      </w:pPr>
      <w:r w:rsidRPr="00FF3FD2">
        <w:rPr>
          <w:rFonts w:ascii="Traditional Arabic" w:hAnsi="Traditional Arabic"/>
          <w:color w:val="auto"/>
          <w:sz w:val="32"/>
          <w:szCs w:val="32"/>
          <w:rtl/>
        </w:rPr>
        <w:t>(</w:t>
      </w:r>
      <w:r w:rsidRPr="00FF3FD2">
        <w:rPr>
          <w:rStyle w:val="ae"/>
          <w:rFonts w:ascii="Traditional Arabic" w:hAnsi="Traditional Arabic"/>
          <w:color w:val="auto"/>
          <w:sz w:val="32"/>
          <w:szCs w:val="32"/>
          <w:vertAlign w:val="baseline"/>
        </w:rPr>
        <w:footnoteRef/>
      </w:r>
      <w:r w:rsidRPr="00FF3FD2">
        <w:rPr>
          <w:rFonts w:ascii="Traditional Arabic" w:hAnsi="Traditional Arabic"/>
          <w:color w:val="auto"/>
          <w:sz w:val="32"/>
          <w:szCs w:val="32"/>
          <w:rtl/>
        </w:rPr>
        <w:t>)</w:t>
      </w:r>
      <w:r w:rsidRPr="00FF3FD2">
        <w:rPr>
          <w:rFonts w:ascii="Traditional Arabic" w:hAnsi="Traditional Arabic"/>
          <w:color w:val="auto"/>
          <w:sz w:val="32"/>
          <w:szCs w:val="32"/>
          <w:rtl/>
          <w:lang w:eastAsia="en-US"/>
        </w:rPr>
        <w:t xml:space="preserve"> </w:t>
      </w:r>
      <w:r>
        <w:rPr>
          <w:rFonts w:ascii="Traditional Arabic" w:hAnsi="Traditional Arabic" w:hint="cs"/>
          <w:color w:val="auto"/>
          <w:sz w:val="32"/>
          <w:szCs w:val="32"/>
          <w:rtl/>
          <w:lang w:eastAsia="en-US"/>
        </w:rPr>
        <w:t xml:space="preserve">انظر: </w:t>
      </w:r>
      <w:r w:rsidRPr="00FF3FD2">
        <w:rPr>
          <w:rFonts w:ascii="Traditional Arabic" w:hAnsi="Traditional Arabic"/>
          <w:color w:val="auto"/>
          <w:sz w:val="32"/>
          <w:szCs w:val="32"/>
          <w:rtl/>
          <w:lang w:eastAsia="en-US"/>
        </w:rPr>
        <w:t>الزاهر في معاني كلمات الناس</w:t>
      </w:r>
      <w:r w:rsidRPr="00FF3FD2">
        <w:rPr>
          <w:rFonts w:ascii="Traditional Arabic" w:hAnsi="Traditional Arabic"/>
          <w:color w:val="auto"/>
          <w:sz w:val="32"/>
          <w:szCs w:val="32"/>
          <w:rtl/>
        </w:rPr>
        <w:t xml:space="preserve"> لابن الأنباري (1/500).</w:t>
      </w:r>
    </w:p>
  </w:footnote>
  <w:footnote w:id="2287">
    <w:p w:rsidR="003F128F" w:rsidRPr="00FF3FD2" w:rsidRDefault="003F128F" w:rsidP="0063006E">
      <w:pPr>
        <w:pStyle w:val="af3"/>
        <w:rPr>
          <w:rFonts w:ascii="Traditional Arabic" w:hAnsi="Traditional Arabic"/>
          <w:sz w:val="32"/>
          <w:szCs w:val="32"/>
        </w:rPr>
      </w:pPr>
      <w:r w:rsidRPr="00FF3FD2">
        <w:rPr>
          <w:rFonts w:ascii="Traditional Arabic" w:hAnsi="Traditional Arabic"/>
          <w:sz w:val="32"/>
          <w:szCs w:val="32"/>
          <w:rtl/>
        </w:rPr>
        <w:t>(</w:t>
      </w:r>
      <w:r w:rsidRPr="00FF3FD2">
        <w:rPr>
          <w:rStyle w:val="ae"/>
          <w:rFonts w:ascii="Traditional Arabic" w:hAnsi="Traditional Arabic"/>
          <w:sz w:val="32"/>
          <w:szCs w:val="32"/>
          <w:vertAlign w:val="baseline"/>
        </w:rPr>
        <w:footnoteRef/>
      </w:r>
      <w:r w:rsidRPr="00FF3FD2">
        <w:rPr>
          <w:rFonts w:ascii="Traditional Arabic" w:hAnsi="Traditional Arabic"/>
          <w:sz w:val="32"/>
          <w:szCs w:val="32"/>
          <w:rtl/>
        </w:rPr>
        <w:t xml:space="preserve">) </w:t>
      </w:r>
      <w:r w:rsidRPr="00FF3FD2">
        <w:rPr>
          <w:rFonts w:ascii="Traditional Arabic" w:hAnsi="Traditional Arabic"/>
          <w:color w:val="auto"/>
          <w:sz w:val="32"/>
          <w:szCs w:val="32"/>
          <w:rtl/>
        </w:rPr>
        <w:t>انظر: النكت والعيون (3/367).</w:t>
      </w:r>
      <w:r w:rsidRPr="00FF3FD2">
        <w:rPr>
          <w:rFonts w:ascii="Traditional Arabic" w:hAnsi="Traditional Arabic"/>
          <w:sz w:val="32"/>
          <w:szCs w:val="32"/>
          <w:rtl/>
        </w:rPr>
        <w:t xml:space="preserve"> </w:t>
      </w:r>
    </w:p>
  </w:footnote>
  <w:footnote w:id="2288">
    <w:p w:rsidR="003F128F" w:rsidRPr="00EF15AD" w:rsidRDefault="003F128F" w:rsidP="0063006E">
      <w:pPr>
        <w:pStyle w:val="af3"/>
        <w:rPr>
          <w:rFonts w:ascii="Traditional Arabic" w:hAnsi="Traditional Arabic"/>
          <w:color w:val="auto"/>
          <w:sz w:val="32"/>
          <w:szCs w:val="32"/>
        </w:rPr>
      </w:pPr>
      <w:r w:rsidRPr="00FF3FD2">
        <w:rPr>
          <w:rFonts w:ascii="Traditional Arabic" w:hAnsi="Traditional Arabic"/>
          <w:color w:val="auto"/>
          <w:sz w:val="32"/>
          <w:szCs w:val="32"/>
          <w:rtl/>
        </w:rPr>
        <w:t>(</w:t>
      </w:r>
      <w:r w:rsidRPr="00FF3FD2">
        <w:rPr>
          <w:rStyle w:val="ae"/>
          <w:rFonts w:ascii="Traditional Arabic" w:hAnsi="Traditional Arabic"/>
          <w:color w:val="auto"/>
          <w:sz w:val="32"/>
          <w:szCs w:val="32"/>
          <w:vertAlign w:val="baseline"/>
        </w:rPr>
        <w:footnoteRef/>
      </w:r>
      <w:r w:rsidRPr="00FF3FD2">
        <w:rPr>
          <w:rFonts w:ascii="Traditional Arabic" w:hAnsi="Traditional Arabic"/>
          <w:color w:val="auto"/>
          <w:sz w:val="32"/>
          <w:szCs w:val="32"/>
          <w:rtl/>
        </w:rPr>
        <w:t xml:space="preserve">) انظر: تفسير ابن أبي حاتم (7/2406), بحر العلوم (2/372), الكشف والبيان (6/212). </w:t>
      </w:r>
    </w:p>
  </w:footnote>
  <w:footnote w:id="2289">
    <w:p w:rsidR="003F128F" w:rsidRPr="00DA174B" w:rsidRDefault="003F128F" w:rsidP="0063006E">
      <w:pPr>
        <w:pStyle w:val="af3"/>
        <w:rPr>
          <w:rFonts w:ascii="Traditional Arabic" w:hAnsi="Traditional Arabic"/>
          <w:sz w:val="32"/>
          <w:szCs w:val="32"/>
        </w:rPr>
      </w:pPr>
      <w:r w:rsidRPr="00DA174B">
        <w:rPr>
          <w:rFonts w:ascii="Traditional Arabic" w:hAnsi="Traditional Arabic"/>
          <w:color w:val="auto"/>
          <w:sz w:val="32"/>
          <w:szCs w:val="32"/>
          <w:rtl/>
        </w:rPr>
        <w:t>(</w:t>
      </w:r>
      <w:r w:rsidRPr="00DA174B">
        <w:rPr>
          <w:rStyle w:val="ae"/>
          <w:rFonts w:ascii="Traditional Arabic" w:hAnsi="Traditional Arabic"/>
          <w:color w:val="auto"/>
          <w:sz w:val="32"/>
          <w:szCs w:val="32"/>
          <w:vertAlign w:val="baseline"/>
        </w:rPr>
        <w:footnoteRef/>
      </w:r>
      <w:r w:rsidRPr="00DA174B">
        <w:rPr>
          <w:rFonts w:ascii="Traditional Arabic" w:hAnsi="Traditional Arabic"/>
          <w:color w:val="auto"/>
          <w:sz w:val="32"/>
          <w:szCs w:val="32"/>
          <w:rtl/>
        </w:rPr>
        <w:t xml:space="preserve">) انظر: معاني القرآن وإعرابه (3/326).     </w:t>
      </w:r>
    </w:p>
  </w:footnote>
  <w:footnote w:id="2290">
    <w:p w:rsidR="003F128F" w:rsidRPr="00DA174B" w:rsidRDefault="003F128F" w:rsidP="0063006E">
      <w:pPr>
        <w:pStyle w:val="af3"/>
        <w:rPr>
          <w:rFonts w:ascii="Traditional Arabic" w:hAnsi="Traditional Arabic"/>
          <w:sz w:val="32"/>
          <w:szCs w:val="32"/>
        </w:rPr>
      </w:pPr>
      <w:r w:rsidRPr="00DA174B">
        <w:rPr>
          <w:rFonts w:ascii="Traditional Arabic" w:hAnsi="Traditional Arabic"/>
          <w:sz w:val="32"/>
          <w:szCs w:val="32"/>
          <w:rtl/>
        </w:rPr>
        <w:t>(</w:t>
      </w:r>
      <w:r w:rsidRPr="00DA174B">
        <w:rPr>
          <w:rStyle w:val="ae"/>
          <w:rFonts w:ascii="Traditional Arabic" w:hAnsi="Traditional Arabic"/>
          <w:sz w:val="32"/>
          <w:szCs w:val="32"/>
          <w:vertAlign w:val="baseline"/>
        </w:rPr>
        <w:footnoteRef/>
      </w:r>
      <w:r w:rsidRPr="00DA174B">
        <w:rPr>
          <w:rFonts w:ascii="Traditional Arabic" w:hAnsi="Traditional Arabic"/>
          <w:sz w:val="32"/>
          <w:szCs w:val="32"/>
          <w:rtl/>
        </w:rPr>
        <w:t>) هو الإمام أبو سعيد</w:t>
      </w:r>
      <w:r>
        <w:rPr>
          <w:rFonts w:ascii="Traditional Arabic" w:hAnsi="Traditional Arabic" w:hint="cs"/>
          <w:sz w:val="32"/>
          <w:szCs w:val="32"/>
          <w:rtl/>
        </w:rPr>
        <w:t>,</w:t>
      </w:r>
      <w:r w:rsidRPr="00DA174B">
        <w:rPr>
          <w:rFonts w:ascii="Traditional Arabic" w:hAnsi="Traditional Arabic"/>
          <w:sz w:val="32"/>
          <w:szCs w:val="32"/>
          <w:rtl/>
        </w:rPr>
        <w:t xml:space="preserve"> عبد الملك بن قُرَيْبٍ بن عبد الملك بن علي بن أصمع</w:t>
      </w:r>
      <w:r>
        <w:rPr>
          <w:rFonts w:ascii="Traditional Arabic" w:hAnsi="Traditional Arabic" w:hint="cs"/>
          <w:sz w:val="32"/>
          <w:szCs w:val="32"/>
          <w:rtl/>
        </w:rPr>
        <w:t>,</w:t>
      </w:r>
      <w:r w:rsidRPr="00DA174B">
        <w:rPr>
          <w:rFonts w:ascii="Traditional Arabic" w:hAnsi="Traditional Arabic"/>
          <w:sz w:val="32"/>
          <w:szCs w:val="32"/>
          <w:rtl/>
        </w:rPr>
        <w:t xml:space="preserve"> المعروف بالأصمعي, الباهلي,</w:t>
      </w:r>
      <w:r w:rsidRPr="00DA174B">
        <w:rPr>
          <w:rFonts w:ascii="Traditional Arabic" w:hAnsi="Traditional Arabic"/>
          <w:sz w:val="32"/>
          <w:szCs w:val="32"/>
          <w:rtl/>
          <w:lang w:eastAsia="en-US"/>
        </w:rPr>
        <w:t xml:space="preserve"> </w:t>
      </w:r>
      <w:r w:rsidRPr="00DA174B">
        <w:rPr>
          <w:rFonts w:ascii="Traditional Arabic" w:hAnsi="Traditional Arabic"/>
          <w:sz w:val="32"/>
          <w:szCs w:val="32"/>
          <w:rtl/>
        </w:rPr>
        <w:t xml:space="preserve">البصري، كان صاحب لغة ونحو، وإماماً في الأخبار والنوادر والملح والغرائب, </w:t>
      </w:r>
      <w:r w:rsidRPr="00DA174B">
        <w:rPr>
          <w:rFonts w:ascii="Traditional Arabic" w:hAnsi="Traditional Arabic"/>
          <w:color w:val="auto"/>
          <w:sz w:val="32"/>
          <w:szCs w:val="32"/>
          <w:rtl/>
        </w:rPr>
        <w:t>(ت216ه). انظر: وفيات الأعيان (3/170), تهذيب الكمال (18/382), سير أعلام النبلاء (10/175).</w:t>
      </w:r>
    </w:p>
  </w:footnote>
  <w:footnote w:id="2291">
    <w:p w:rsidR="003F128F" w:rsidRPr="00DA174B" w:rsidRDefault="003F128F" w:rsidP="0063006E">
      <w:pPr>
        <w:pStyle w:val="af3"/>
        <w:rPr>
          <w:rFonts w:ascii="Traditional Arabic" w:hAnsi="Traditional Arabic"/>
          <w:sz w:val="32"/>
          <w:szCs w:val="32"/>
        </w:rPr>
      </w:pPr>
      <w:r w:rsidRPr="00DA174B">
        <w:rPr>
          <w:rFonts w:ascii="Traditional Arabic" w:hAnsi="Traditional Arabic"/>
          <w:sz w:val="32"/>
          <w:szCs w:val="32"/>
          <w:rtl/>
        </w:rPr>
        <w:t>(</w:t>
      </w:r>
      <w:r w:rsidRPr="00DA174B">
        <w:rPr>
          <w:rStyle w:val="ae"/>
          <w:rFonts w:ascii="Traditional Arabic" w:hAnsi="Traditional Arabic"/>
          <w:sz w:val="32"/>
          <w:szCs w:val="32"/>
          <w:vertAlign w:val="baseline"/>
        </w:rPr>
        <w:footnoteRef/>
      </w:r>
      <w:r w:rsidRPr="00DA174B">
        <w:rPr>
          <w:rFonts w:ascii="Traditional Arabic" w:hAnsi="Traditional Arabic"/>
          <w:sz w:val="32"/>
          <w:szCs w:val="32"/>
          <w:rtl/>
        </w:rPr>
        <w:t xml:space="preserve">) هو ثعلب وقد تقدمت ترجمته. </w:t>
      </w:r>
    </w:p>
  </w:footnote>
  <w:footnote w:id="2292">
    <w:p w:rsidR="003F128F" w:rsidRPr="00DA174B" w:rsidRDefault="003F128F" w:rsidP="0063006E">
      <w:pPr>
        <w:pStyle w:val="af3"/>
        <w:rPr>
          <w:rFonts w:ascii="Traditional Arabic" w:hAnsi="Traditional Arabic"/>
          <w:sz w:val="32"/>
          <w:szCs w:val="32"/>
        </w:rPr>
      </w:pPr>
      <w:r w:rsidRPr="00DA174B">
        <w:rPr>
          <w:rFonts w:ascii="Traditional Arabic" w:hAnsi="Traditional Arabic"/>
          <w:sz w:val="32"/>
          <w:szCs w:val="32"/>
          <w:rtl/>
        </w:rPr>
        <w:t>(</w:t>
      </w:r>
      <w:r w:rsidRPr="00DA174B">
        <w:rPr>
          <w:rStyle w:val="ae"/>
          <w:rFonts w:ascii="Traditional Arabic" w:hAnsi="Traditional Arabic"/>
          <w:sz w:val="32"/>
          <w:szCs w:val="32"/>
          <w:vertAlign w:val="baseline"/>
        </w:rPr>
        <w:footnoteRef/>
      </w:r>
      <w:r w:rsidRPr="00DA174B">
        <w:rPr>
          <w:rFonts w:ascii="Traditional Arabic" w:hAnsi="Traditional Arabic"/>
          <w:sz w:val="32"/>
          <w:szCs w:val="32"/>
          <w:rtl/>
        </w:rPr>
        <w:t>) هو أبو الأسود</w:t>
      </w:r>
      <w:r>
        <w:rPr>
          <w:rFonts w:ascii="Traditional Arabic" w:hAnsi="Traditional Arabic" w:hint="cs"/>
          <w:sz w:val="32"/>
          <w:szCs w:val="32"/>
          <w:rtl/>
        </w:rPr>
        <w:t>,</w:t>
      </w:r>
      <w:r w:rsidRPr="00DA174B">
        <w:rPr>
          <w:rFonts w:ascii="Traditional Arabic" w:hAnsi="Traditional Arabic"/>
          <w:sz w:val="32"/>
          <w:szCs w:val="32"/>
          <w:rtl/>
        </w:rPr>
        <w:t xml:space="preserve"> عمرو بن كلثوم بن مالك بن عتّاب، من بني تغلب، شاعر جاهلي, ولد في شمالي جزيرة العرب في بلاد ربيعة,</w:t>
      </w:r>
      <w:r w:rsidRPr="00DA174B">
        <w:rPr>
          <w:rFonts w:ascii="Traditional Arabic" w:hAnsi="Traditional Arabic"/>
          <w:sz w:val="32"/>
          <w:szCs w:val="32"/>
          <w:rtl/>
          <w:lang w:eastAsia="en-US"/>
        </w:rPr>
        <w:t xml:space="preserve"> </w:t>
      </w:r>
      <w:r w:rsidRPr="00DA174B">
        <w:rPr>
          <w:rFonts w:ascii="Traditional Arabic" w:hAnsi="Traditional Arabic"/>
          <w:sz w:val="32"/>
          <w:szCs w:val="32"/>
          <w:rtl/>
        </w:rPr>
        <w:t>ساد قومه (تغلب) وهو فتى، وعمر طويلا, وهو من أصحاب المعلقات, (ت40ق ه). انظر: الأعلام (5/84)</w:t>
      </w:r>
      <w:r w:rsidRPr="00DA174B">
        <w:rPr>
          <w:rFonts w:ascii="Traditional Arabic" w:hAnsi="Traditional Arabic" w:hint="cs"/>
          <w:sz w:val="32"/>
          <w:szCs w:val="32"/>
          <w:rtl/>
        </w:rPr>
        <w:t>, معجم المؤلفين ل</w:t>
      </w:r>
      <w:r w:rsidRPr="00DA174B">
        <w:rPr>
          <w:rFonts w:ascii="Traditional Arabic" w:hAnsi="Traditional Arabic"/>
          <w:sz w:val="32"/>
          <w:szCs w:val="32"/>
          <w:rtl/>
        </w:rPr>
        <w:t>عمر كحالة</w:t>
      </w:r>
      <w:r w:rsidRPr="00DA174B">
        <w:rPr>
          <w:rFonts w:ascii="Traditional Arabic" w:hAnsi="Traditional Arabic" w:hint="cs"/>
          <w:sz w:val="32"/>
          <w:szCs w:val="32"/>
          <w:rtl/>
        </w:rPr>
        <w:t xml:space="preserve"> (8/11)</w:t>
      </w:r>
      <w:r w:rsidRPr="00DA174B">
        <w:rPr>
          <w:rFonts w:ascii="Traditional Arabic" w:hAnsi="Traditional Arabic"/>
          <w:sz w:val="32"/>
          <w:szCs w:val="32"/>
          <w:rtl/>
        </w:rPr>
        <w:t>.</w:t>
      </w:r>
    </w:p>
  </w:footnote>
  <w:footnote w:id="2293">
    <w:p w:rsidR="003F128F" w:rsidRPr="00DA174B" w:rsidRDefault="003F128F" w:rsidP="0063006E">
      <w:pPr>
        <w:ind w:firstLine="0"/>
        <w:rPr>
          <w:rFonts w:ascii="Traditional Arabic" w:hAnsi="Traditional Arabic"/>
          <w:sz w:val="32"/>
          <w:szCs w:val="32"/>
        </w:rPr>
      </w:pPr>
      <w:r w:rsidRPr="00DA174B">
        <w:rPr>
          <w:rFonts w:ascii="Traditional Arabic" w:hAnsi="Traditional Arabic"/>
          <w:color w:val="auto"/>
          <w:sz w:val="32"/>
          <w:szCs w:val="32"/>
          <w:rtl/>
        </w:rPr>
        <w:t>(</w:t>
      </w:r>
      <w:r w:rsidRPr="00DA174B">
        <w:rPr>
          <w:rStyle w:val="ae"/>
          <w:rFonts w:ascii="Traditional Arabic" w:hAnsi="Traditional Arabic"/>
          <w:color w:val="auto"/>
          <w:sz w:val="32"/>
          <w:szCs w:val="32"/>
          <w:vertAlign w:val="baseline"/>
        </w:rPr>
        <w:footnoteRef/>
      </w:r>
      <w:r w:rsidRPr="00DA174B">
        <w:rPr>
          <w:rFonts w:ascii="Traditional Arabic" w:hAnsi="Traditional Arabic"/>
          <w:color w:val="auto"/>
          <w:sz w:val="32"/>
          <w:szCs w:val="32"/>
          <w:rtl/>
        </w:rPr>
        <w:t>)</w:t>
      </w:r>
      <w:r w:rsidRPr="00DA174B">
        <w:rPr>
          <w:rFonts w:ascii="Traditional Arabic" w:hAnsi="Traditional Arabic" w:hint="cs"/>
          <w:color w:val="auto"/>
          <w:sz w:val="32"/>
          <w:szCs w:val="32"/>
          <w:rtl/>
        </w:rPr>
        <w:t xml:space="preserve"> انظر: ديوان عمرو بن كلثوم (ص67).</w:t>
      </w:r>
    </w:p>
  </w:footnote>
  <w:footnote w:id="2294">
    <w:p w:rsidR="003F128F" w:rsidRPr="00DA174B" w:rsidRDefault="003F128F" w:rsidP="0063006E">
      <w:pPr>
        <w:pStyle w:val="af3"/>
        <w:rPr>
          <w:rFonts w:ascii="Traditional Arabic" w:hAnsi="Traditional Arabic"/>
          <w:sz w:val="32"/>
          <w:szCs w:val="32"/>
        </w:rPr>
      </w:pPr>
      <w:r w:rsidRPr="00DA174B">
        <w:rPr>
          <w:rFonts w:ascii="Traditional Arabic" w:hAnsi="Traditional Arabic"/>
          <w:sz w:val="32"/>
          <w:szCs w:val="32"/>
          <w:rtl/>
        </w:rPr>
        <w:t>(</w:t>
      </w:r>
      <w:r w:rsidRPr="00DA174B">
        <w:rPr>
          <w:rStyle w:val="ae"/>
          <w:rFonts w:ascii="Traditional Arabic" w:hAnsi="Traditional Arabic"/>
          <w:sz w:val="32"/>
          <w:szCs w:val="32"/>
          <w:vertAlign w:val="baseline"/>
        </w:rPr>
        <w:footnoteRef/>
      </w:r>
      <w:r w:rsidRPr="00DA174B">
        <w:rPr>
          <w:rFonts w:ascii="Traditional Arabic" w:hAnsi="Traditional Arabic"/>
          <w:sz w:val="32"/>
          <w:szCs w:val="32"/>
          <w:rtl/>
        </w:rPr>
        <w:t xml:space="preserve">) انظر: </w:t>
      </w:r>
      <w:r w:rsidRPr="00DA174B">
        <w:rPr>
          <w:rFonts w:ascii="Traditional Arabic" w:hAnsi="Traditional Arabic"/>
          <w:color w:val="auto"/>
          <w:sz w:val="32"/>
          <w:szCs w:val="32"/>
          <w:rtl/>
          <w:lang w:eastAsia="en-US"/>
        </w:rPr>
        <w:t>الزاهر في معاني كلمات الناس</w:t>
      </w:r>
      <w:r w:rsidRPr="00DA174B">
        <w:rPr>
          <w:rFonts w:ascii="Traditional Arabic" w:hAnsi="Traditional Arabic"/>
          <w:color w:val="auto"/>
          <w:sz w:val="32"/>
          <w:szCs w:val="32"/>
          <w:rtl/>
        </w:rPr>
        <w:t xml:space="preserve"> (1/199-200).</w:t>
      </w:r>
      <w:r w:rsidRPr="00DA174B">
        <w:rPr>
          <w:rFonts w:ascii="Traditional Arabic" w:hAnsi="Traditional Arabic"/>
          <w:sz w:val="32"/>
          <w:szCs w:val="32"/>
          <w:rtl/>
        </w:rPr>
        <w:t xml:space="preserve"> </w:t>
      </w:r>
    </w:p>
  </w:footnote>
  <w:footnote w:id="2295">
    <w:p w:rsidR="003F128F" w:rsidRPr="00DA174B" w:rsidRDefault="003F128F" w:rsidP="00CE372B">
      <w:pPr>
        <w:pStyle w:val="af3"/>
        <w:rPr>
          <w:rFonts w:ascii="Traditional Arabic" w:hAnsi="Traditional Arabic"/>
          <w:sz w:val="32"/>
          <w:szCs w:val="32"/>
        </w:rPr>
      </w:pPr>
      <w:r w:rsidRPr="00DA174B">
        <w:rPr>
          <w:rFonts w:ascii="Traditional Arabic" w:hAnsi="Traditional Arabic"/>
          <w:sz w:val="32"/>
          <w:szCs w:val="32"/>
          <w:rtl/>
        </w:rPr>
        <w:t>(</w:t>
      </w:r>
      <w:r w:rsidRPr="00DA174B">
        <w:rPr>
          <w:rStyle w:val="ae"/>
          <w:rFonts w:ascii="Traditional Arabic" w:hAnsi="Traditional Arabic"/>
          <w:sz w:val="32"/>
          <w:szCs w:val="32"/>
          <w:vertAlign w:val="baseline"/>
        </w:rPr>
        <w:footnoteRef/>
      </w:r>
      <w:r w:rsidRPr="00DA174B">
        <w:rPr>
          <w:rFonts w:ascii="Traditional Arabic" w:hAnsi="Traditional Arabic"/>
          <w:sz w:val="32"/>
          <w:szCs w:val="32"/>
          <w:rtl/>
        </w:rPr>
        <w:t>)</w:t>
      </w:r>
      <w:r w:rsidRPr="00DA174B">
        <w:rPr>
          <w:rFonts w:ascii="Traditional Arabic" w:hAnsi="Traditional Arabic" w:hint="cs"/>
          <w:sz w:val="32"/>
          <w:szCs w:val="32"/>
          <w:rtl/>
        </w:rPr>
        <w:t xml:space="preserve"> </w:t>
      </w:r>
      <w:r w:rsidRPr="00DA174B">
        <w:rPr>
          <w:rFonts w:ascii="Traditional Arabic" w:hAnsi="Traditional Arabic"/>
          <w:sz w:val="32"/>
          <w:szCs w:val="32"/>
          <w:rtl/>
        </w:rPr>
        <w:t>انظر: معجم القراءات (5/35</w:t>
      </w:r>
      <w:r w:rsidRPr="00DA174B">
        <w:rPr>
          <w:rFonts w:ascii="Traditional Arabic" w:hAnsi="Traditional Arabic" w:hint="cs"/>
          <w:sz w:val="32"/>
          <w:szCs w:val="32"/>
          <w:rtl/>
        </w:rPr>
        <w:t>8</w:t>
      </w:r>
      <w:r w:rsidRPr="00DA174B">
        <w:rPr>
          <w:rFonts w:ascii="Traditional Arabic" w:hAnsi="Traditional Arabic"/>
          <w:sz w:val="32"/>
          <w:szCs w:val="32"/>
          <w:rtl/>
        </w:rPr>
        <w:t>).</w:t>
      </w:r>
      <w:r w:rsidRPr="00DA174B">
        <w:rPr>
          <w:rFonts w:ascii="Traditional Arabic" w:hAnsi="Traditional Arabic" w:hint="cs"/>
          <w:sz w:val="32"/>
          <w:szCs w:val="32"/>
          <w:rtl/>
        </w:rPr>
        <w:t xml:space="preserve"> </w:t>
      </w:r>
      <w:r>
        <w:rPr>
          <w:rFonts w:ascii="Traditional Arabic" w:hAnsi="Traditional Arabic" w:hint="cs"/>
          <w:color w:val="auto"/>
          <w:sz w:val="32"/>
          <w:szCs w:val="32"/>
          <w:rtl/>
        </w:rPr>
        <w:t>وفي</w:t>
      </w:r>
      <w:r w:rsidRPr="00DA174B">
        <w:rPr>
          <w:rFonts w:ascii="Traditional Arabic" w:hAnsi="Traditional Arabic" w:hint="cs"/>
          <w:color w:val="auto"/>
          <w:sz w:val="32"/>
          <w:szCs w:val="32"/>
          <w:rtl/>
        </w:rPr>
        <w:t xml:space="preserve"> </w:t>
      </w:r>
      <w:r w:rsidRPr="00DA174B">
        <w:rPr>
          <w:rFonts w:ascii="Traditional Arabic" w:hAnsi="Traditional Arabic"/>
          <w:color w:val="auto"/>
          <w:sz w:val="32"/>
          <w:szCs w:val="32"/>
          <w:rtl/>
        </w:rPr>
        <w:t>مختصر الشواذ (ص87),</w:t>
      </w:r>
      <w:r w:rsidRPr="00DA174B">
        <w:rPr>
          <w:rFonts w:ascii="Traditional Arabic" w:hAnsi="Traditional Arabic" w:hint="cs"/>
          <w:color w:val="auto"/>
          <w:sz w:val="32"/>
          <w:szCs w:val="32"/>
          <w:rtl/>
        </w:rPr>
        <w:t xml:space="preserve"> والكشاف (3/14),</w:t>
      </w:r>
      <w:r w:rsidRPr="00DA174B">
        <w:rPr>
          <w:rFonts w:ascii="Traditional Arabic" w:hAnsi="Traditional Arabic"/>
          <w:color w:val="auto"/>
          <w:sz w:val="32"/>
          <w:szCs w:val="32"/>
          <w:rtl/>
        </w:rPr>
        <w:t xml:space="preserve"> </w:t>
      </w:r>
      <w:r w:rsidRPr="00DA174B">
        <w:rPr>
          <w:rFonts w:ascii="Traditional Arabic" w:hAnsi="Traditional Arabic" w:hint="cs"/>
          <w:sz w:val="32"/>
          <w:szCs w:val="32"/>
          <w:rtl/>
        </w:rPr>
        <w:t>و</w:t>
      </w:r>
      <w:r w:rsidRPr="00DA174B">
        <w:rPr>
          <w:rFonts w:ascii="Traditional Arabic" w:hAnsi="Traditional Arabic"/>
          <w:sz w:val="32"/>
          <w:szCs w:val="32"/>
          <w:rtl/>
        </w:rPr>
        <w:t>البحر المحيط (7/25</w:t>
      </w:r>
      <w:r w:rsidRPr="00DA174B">
        <w:rPr>
          <w:rFonts w:ascii="Traditional Arabic" w:hAnsi="Traditional Arabic" w:hint="cs"/>
          <w:sz w:val="32"/>
          <w:szCs w:val="32"/>
          <w:rtl/>
        </w:rPr>
        <w:t>6</w:t>
      </w:r>
      <w:r w:rsidRPr="00DA174B">
        <w:rPr>
          <w:rFonts w:ascii="Traditional Arabic" w:hAnsi="Traditional Arabic"/>
          <w:sz w:val="32"/>
          <w:szCs w:val="32"/>
          <w:rtl/>
        </w:rPr>
        <w:t>)</w:t>
      </w:r>
      <w:r w:rsidRPr="00DA174B">
        <w:rPr>
          <w:rFonts w:ascii="Traditional Arabic" w:hAnsi="Traditional Arabic" w:hint="cs"/>
          <w:sz w:val="32"/>
          <w:szCs w:val="32"/>
          <w:rtl/>
        </w:rPr>
        <w:t xml:space="preserve"> وغيرها</w:t>
      </w:r>
      <w:r w:rsidRPr="00DA174B">
        <w:rPr>
          <w:rFonts w:ascii="Traditional Arabic" w:hAnsi="Traditional Arabic"/>
          <w:sz w:val="32"/>
          <w:szCs w:val="32"/>
          <w:rtl/>
        </w:rPr>
        <w:t xml:space="preserve"> منسوبة </w:t>
      </w:r>
      <w:r w:rsidRPr="00DA174B">
        <w:rPr>
          <w:rFonts w:ascii="Traditional Arabic" w:hAnsi="Traditional Arabic"/>
          <w:color w:val="auto"/>
          <w:sz w:val="32"/>
          <w:szCs w:val="32"/>
          <w:rtl/>
        </w:rPr>
        <w:t>ل</w:t>
      </w:r>
      <w:r w:rsidRPr="00DA174B">
        <w:rPr>
          <w:rFonts w:ascii="Traditional Arabic" w:hAnsi="Traditional Arabic" w:hint="cs"/>
          <w:color w:val="auto"/>
          <w:sz w:val="32"/>
          <w:szCs w:val="32"/>
          <w:rtl/>
        </w:rPr>
        <w:t>ا</w:t>
      </w:r>
      <w:r w:rsidRPr="00DA174B">
        <w:rPr>
          <w:rFonts w:ascii="Traditional Arabic" w:hAnsi="Traditional Arabic"/>
          <w:color w:val="auto"/>
          <w:sz w:val="32"/>
          <w:szCs w:val="32"/>
          <w:rtl/>
        </w:rPr>
        <w:t>ب</w:t>
      </w:r>
      <w:r w:rsidRPr="00DA174B">
        <w:rPr>
          <w:rFonts w:ascii="Traditional Arabic" w:hAnsi="Traditional Arabic" w:hint="cs"/>
          <w:color w:val="auto"/>
          <w:sz w:val="32"/>
          <w:szCs w:val="32"/>
          <w:rtl/>
        </w:rPr>
        <w:t>ن الرومي.</w:t>
      </w:r>
    </w:p>
  </w:footnote>
  <w:footnote w:id="2296">
    <w:p w:rsidR="003F128F" w:rsidRPr="00EF3378" w:rsidRDefault="003F128F" w:rsidP="0063006E">
      <w:pPr>
        <w:pStyle w:val="af3"/>
        <w:rPr>
          <w:rFonts w:ascii="Tahoma" w:hAnsi="Tahoma"/>
        </w:rPr>
      </w:pPr>
      <w:r w:rsidRPr="00DA174B">
        <w:rPr>
          <w:rFonts w:ascii="Traditional Arabic" w:hAnsi="Traditional Arabic"/>
          <w:sz w:val="32"/>
          <w:szCs w:val="32"/>
          <w:rtl/>
        </w:rPr>
        <w:t>(</w:t>
      </w:r>
      <w:r w:rsidRPr="00DA174B">
        <w:rPr>
          <w:rStyle w:val="ae"/>
          <w:rFonts w:ascii="Traditional Arabic" w:hAnsi="Traditional Arabic"/>
          <w:sz w:val="32"/>
          <w:szCs w:val="32"/>
          <w:vertAlign w:val="baseline"/>
        </w:rPr>
        <w:footnoteRef/>
      </w:r>
      <w:r w:rsidRPr="00DA174B">
        <w:rPr>
          <w:rFonts w:ascii="Traditional Arabic" w:hAnsi="Traditional Arabic"/>
          <w:sz w:val="32"/>
          <w:szCs w:val="32"/>
          <w:rtl/>
        </w:rPr>
        <w:t>)</w:t>
      </w:r>
      <w:r w:rsidRPr="00DA174B">
        <w:rPr>
          <w:rFonts w:ascii="Tahoma" w:hAnsi="Tahoma"/>
          <w:sz w:val="32"/>
          <w:szCs w:val="32"/>
          <w:rtl/>
        </w:rPr>
        <w:t xml:space="preserve"> </w:t>
      </w:r>
      <w:r w:rsidRPr="00DA174B">
        <w:rPr>
          <w:rFonts w:ascii="Tahoma" w:hAnsi="Tahoma" w:hint="cs"/>
          <w:sz w:val="32"/>
          <w:szCs w:val="32"/>
          <w:rtl/>
        </w:rPr>
        <w:t>انظر: تفسير الطبري (18/182-183), النكت والعيون (3/367).</w:t>
      </w:r>
    </w:p>
  </w:footnote>
  <w:footnote w:id="2297">
    <w:p w:rsidR="003F128F" w:rsidRPr="00383730" w:rsidRDefault="003F128F" w:rsidP="00CE372B">
      <w:pPr>
        <w:pStyle w:val="af3"/>
        <w:rPr>
          <w:rFonts w:ascii="Traditional Arabic" w:hAnsi="Traditional Arabic"/>
          <w:sz w:val="32"/>
          <w:szCs w:val="32"/>
        </w:rPr>
      </w:pPr>
      <w:r w:rsidRPr="00383730">
        <w:rPr>
          <w:rFonts w:ascii="Traditional Arabic" w:hAnsi="Traditional Arabic"/>
          <w:sz w:val="32"/>
          <w:szCs w:val="32"/>
          <w:rtl/>
        </w:rPr>
        <w:t>(</w:t>
      </w:r>
      <w:r w:rsidRPr="00383730">
        <w:rPr>
          <w:rStyle w:val="ae"/>
          <w:rFonts w:ascii="Traditional Arabic" w:hAnsi="Traditional Arabic"/>
          <w:sz w:val="32"/>
          <w:szCs w:val="32"/>
          <w:vertAlign w:val="baseline"/>
        </w:rPr>
        <w:footnoteRef/>
      </w:r>
      <w:r w:rsidRPr="00383730">
        <w:rPr>
          <w:rFonts w:ascii="Traditional Arabic" w:hAnsi="Traditional Arabic"/>
          <w:sz w:val="32"/>
          <w:szCs w:val="32"/>
          <w:rtl/>
        </w:rPr>
        <w:t>) انظر: معجم القراءات (5/35</w:t>
      </w:r>
      <w:r>
        <w:rPr>
          <w:rFonts w:ascii="Traditional Arabic" w:hAnsi="Traditional Arabic" w:hint="cs"/>
          <w:sz w:val="32"/>
          <w:szCs w:val="32"/>
          <w:rtl/>
        </w:rPr>
        <w:t>9</w:t>
      </w:r>
      <w:r w:rsidRPr="00383730">
        <w:rPr>
          <w:rFonts w:ascii="Traditional Arabic" w:hAnsi="Traditional Arabic"/>
          <w:sz w:val="32"/>
          <w:szCs w:val="32"/>
          <w:rtl/>
        </w:rPr>
        <w:t xml:space="preserve">). </w:t>
      </w:r>
      <w:r>
        <w:rPr>
          <w:rFonts w:ascii="Traditional Arabic" w:hAnsi="Traditional Arabic" w:hint="cs"/>
          <w:color w:val="auto"/>
          <w:sz w:val="32"/>
          <w:szCs w:val="32"/>
          <w:rtl/>
        </w:rPr>
        <w:t>و</w:t>
      </w:r>
      <w:r w:rsidRPr="00383730">
        <w:rPr>
          <w:rFonts w:ascii="Traditional Arabic" w:hAnsi="Traditional Arabic"/>
          <w:color w:val="auto"/>
          <w:sz w:val="32"/>
          <w:szCs w:val="32"/>
          <w:rtl/>
        </w:rPr>
        <w:t xml:space="preserve">في الكشاف (3/14), وتفسير الرازي (21/529), </w:t>
      </w:r>
      <w:r w:rsidRPr="00383730">
        <w:rPr>
          <w:rFonts w:ascii="Traditional Arabic" w:hAnsi="Traditional Arabic"/>
          <w:sz w:val="32"/>
          <w:szCs w:val="32"/>
          <w:rtl/>
        </w:rPr>
        <w:t xml:space="preserve">والبحر المحيط (7/256), وغيرها منسوبة </w:t>
      </w:r>
      <w:r w:rsidRPr="00383730">
        <w:rPr>
          <w:rFonts w:ascii="Traditional Arabic" w:hAnsi="Traditional Arabic"/>
          <w:color w:val="auto"/>
          <w:sz w:val="32"/>
          <w:szCs w:val="32"/>
          <w:rtl/>
        </w:rPr>
        <w:t xml:space="preserve">لأنس بن مالك, وابن مسعود </w:t>
      </w:r>
      <w:r w:rsidRPr="00383730">
        <w:rPr>
          <w:rFonts w:ascii="Traditional Arabic" w:hAnsi="Traditional Arabic"/>
          <w:color w:val="auto"/>
          <w:sz w:val="32"/>
          <w:szCs w:val="32"/>
        </w:rPr>
        <w:sym w:font="AGA Arabesque" w:char="F079"/>
      </w:r>
      <w:r w:rsidRPr="00383730">
        <w:rPr>
          <w:rFonts w:ascii="Traditional Arabic" w:hAnsi="Traditional Arabic"/>
          <w:color w:val="auto"/>
          <w:sz w:val="32"/>
          <w:szCs w:val="32"/>
          <w:rtl/>
        </w:rPr>
        <w:t xml:space="preserve">. </w:t>
      </w:r>
    </w:p>
  </w:footnote>
  <w:footnote w:id="2298">
    <w:p w:rsidR="003F128F" w:rsidRPr="00383730" w:rsidRDefault="003F128F" w:rsidP="00CE372B">
      <w:pPr>
        <w:pStyle w:val="af3"/>
        <w:rPr>
          <w:rFonts w:ascii="Traditional Arabic" w:hAnsi="Traditional Arabic"/>
          <w:sz w:val="32"/>
          <w:szCs w:val="32"/>
        </w:rPr>
      </w:pPr>
      <w:r w:rsidRPr="00383730">
        <w:rPr>
          <w:rFonts w:ascii="Traditional Arabic" w:hAnsi="Traditional Arabic"/>
          <w:sz w:val="32"/>
          <w:szCs w:val="32"/>
          <w:rtl/>
        </w:rPr>
        <w:t>(</w:t>
      </w:r>
      <w:r w:rsidRPr="00383730">
        <w:rPr>
          <w:rStyle w:val="ae"/>
          <w:rFonts w:ascii="Traditional Arabic" w:hAnsi="Traditional Arabic"/>
          <w:sz w:val="32"/>
          <w:szCs w:val="32"/>
          <w:vertAlign w:val="baseline"/>
        </w:rPr>
        <w:footnoteRef/>
      </w:r>
      <w:r w:rsidRPr="00383730">
        <w:rPr>
          <w:rFonts w:ascii="Traditional Arabic" w:hAnsi="Traditional Arabic"/>
          <w:sz w:val="32"/>
          <w:szCs w:val="32"/>
          <w:rtl/>
        </w:rPr>
        <w:t>)</w:t>
      </w:r>
      <w:r>
        <w:rPr>
          <w:rFonts w:ascii="Traditional Arabic" w:hAnsi="Traditional Arabic" w:hint="cs"/>
          <w:sz w:val="32"/>
          <w:szCs w:val="32"/>
          <w:rtl/>
        </w:rPr>
        <w:t xml:space="preserve"> </w:t>
      </w:r>
      <w:r w:rsidRPr="00383730">
        <w:rPr>
          <w:rFonts w:ascii="Traditional Arabic" w:hAnsi="Traditional Arabic"/>
          <w:sz w:val="32"/>
          <w:szCs w:val="32"/>
          <w:rtl/>
        </w:rPr>
        <w:t>انظر: معجم القراءات (5/3</w:t>
      </w:r>
      <w:r>
        <w:rPr>
          <w:rFonts w:ascii="Traditional Arabic" w:hAnsi="Traditional Arabic" w:hint="cs"/>
          <w:sz w:val="32"/>
          <w:szCs w:val="32"/>
          <w:rtl/>
        </w:rPr>
        <w:t>60</w:t>
      </w:r>
      <w:r w:rsidRPr="00383730">
        <w:rPr>
          <w:rFonts w:ascii="Traditional Arabic" w:hAnsi="Traditional Arabic"/>
          <w:sz w:val="32"/>
          <w:szCs w:val="32"/>
          <w:rtl/>
        </w:rPr>
        <w:t xml:space="preserve">). </w:t>
      </w:r>
      <w:r w:rsidRPr="00383730">
        <w:rPr>
          <w:rFonts w:ascii="Traditional Arabic" w:hAnsi="Traditional Arabic"/>
          <w:color w:val="auto"/>
          <w:sz w:val="32"/>
          <w:szCs w:val="32"/>
          <w:rtl/>
        </w:rPr>
        <w:t>و</w:t>
      </w:r>
      <w:r>
        <w:rPr>
          <w:rFonts w:ascii="Traditional Arabic" w:hAnsi="Traditional Arabic" w:hint="cs"/>
          <w:sz w:val="32"/>
          <w:szCs w:val="32"/>
          <w:rtl/>
        </w:rPr>
        <w:t xml:space="preserve">في </w:t>
      </w:r>
      <w:r w:rsidRPr="00383730">
        <w:rPr>
          <w:rFonts w:ascii="Traditional Arabic" w:hAnsi="Traditional Arabic"/>
          <w:sz w:val="32"/>
          <w:szCs w:val="32"/>
          <w:rtl/>
        </w:rPr>
        <w:t>البحر المحيط (7/256)</w:t>
      </w:r>
      <w:r>
        <w:rPr>
          <w:rFonts w:ascii="Traditional Arabic" w:hAnsi="Traditional Arabic" w:hint="cs"/>
          <w:sz w:val="32"/>
          <w:szCs w:val="32"/>
          <w:rtl/>
        </w:rPr>
        <w:t xml:space="preserve"> منسوبة لزيد بن علي</w:t>
      </w:r>
      <w:r>
        <w:rPr>
          <w:rFonts w:ascii="Traditional Arabic" w:hAnsi="Traditional Arabic" w:hint="cs"/>
          <w:sz w:val="32"/>
          <w:szCs w:val="32"/>
        </w:rPr>
        <w:sym w:font="AGA Arabesque" w:char="F074"/>
      </w:r>
      <w:r>
        <w:rPr>
          <w:rFonts w:ascii="Traditional Arabic" w:hAnsi="Traditional Arabic" w:hint="cs"/>
          <w:sz w:val="32"/>
          <w:szCs w:val="32"/>
          <w:rtl/>
        </w:rPr>
        <w:t>.</w:t>
      </w:r>
      <w:r>
        <w:rPr>
          <w:rFonts w:ascii="Traditional Arabic" w:hAnsi="Traditional Arabic"/>
          <w:sz w:val="32"/>
          <w:szCs w:val="32"/>
        </w:rPr>
        <w:t xml:space="preserve"> </w:t>
      </w:r>
    </w:p>
  </w:footnote>
  <w:footnote w:id="2299">
    <w:p w:rsidR="003F128F" w:rsidRPr="00DA4F5A" w:rsidRDefault="003F128F" w:rsidP="0063006E">
      <w:pPr>
        <w:pStyle w:val="af3"/>
        <w:rPr>
          <w:rFonts w:ascii="Traditional Arabic" w:hAnsi="Traditional Arabic"/>
          <w:sz w:val="32"/>
          <w:szCs w:val="32"/>
        </w:rPr>
      </w:pPr>
      <w:r w:rsidRPr="00DA4F5A">
        <w:rPr>
          <w:rFonts w:ascii="Traditional Arabic" w:hAnsi="Traditional Arabic"/>
          <w:sz w:val="32"/>
          <w:szCs w:val="32"/>
          <w:rtl/>
        </w:rPr>
        <w:t>(</w:t>
      </w:r>
      <w:r w:rsidRPr="00DA4F5A">
        <w:rPr>
          <w:rStyle w:val="ae"/>
          <w:rFonts w:ascii="Traditional Arabic" w:hAnsi="Traditional Arabic"/>
          <w:sz w:val="32"/>
          <w:szCs w:val="32"/>
          <w:vertAlign w:val="baseline"/>
        </w:rPr>
        <w:footnoteRef/>
      </w:r>
      <w:r w:rsidRPr="00DA4F5A">
        <w:rPr>
          <w:rFonts w:ascii="Traditional Arabic" w:hAnsi="Traditional Arabic"/>
          <w:sz w:val="32"/>
          <w:szCs w:val="32"/>
          <w:rtl/>
        </w:rPr>
        <w:t>) انظر: تفسير عبد الرزاق (2/357), تفسير الطبري (18/183)</w:t>
      </w:r>
      <w:r>
        <w:rPr>
          <w:rFonts w:ascii="Traditional Arabic" w:hAnsi="Traditional Arabic" w:hint="cs"/>
          <w:sz w:val="32"/>
          <w:szCs w:val="32"/>
          <w:rtl/>
        </w:rPr>
        <w:t>.</w:t>
      </w:r>
    </w:p>
  </w:footnote>
  <w:footnote w:id="2300">
    <w:p w:rsidR="003F128F" w:rsidRPr="00DA4F5A" w:rsidRDefault="003F128F" w:rsidP="0063006E">
      <w:pPr>
        <w:pStyle w:val="af3"/>
        <w:rPr>
          <w:rFonts w:ascii="Traditional Arabic" w:hAnsi="Traditional Arabic"/>
          <w:sz w:val="32"/>
          <w:szCs w:val="32"/>
        </w:rPr>
      </w:pPr>
      <w:r w:rsidRPr="00DA4F5A">
        <w:rPr>
          <w:rFonts w:ascii="Traditional Arabic" w:hAnsi="Traditional Arabic"/>
          <w:sz w:val="32"/>
          <w:szCs w:val="32"/>
          <w:rtl/>
        </w:rPr>
        <w:t>(</w:t>
      </w:r>
      <w:r w:rsidRPr="00DA4F5A">
        <w:rPr>
          <w:rStyle w:val="ae"/>
          <w:rFonts w:ascii="Traditional Arabic" w:hAnsi="Traditional Arabic"/>
          <w:sz w:val="32"/>
          <w:szCs w:val="32"/>
          <w:vertAlign w:val="baseline"/>
        </w:rPr>
        <w:footnoteRef/>
      </w:r>
      <w:r w:rsidRPr="00DA4F5A">
        <w:rPr>
          <w:rFonts w:ascii="Traditional Arabic" w:hAnsi="Traditional Arabic"/>
          <w:sz w:val="32"/>
          <w:szCs w:val="32"/>
          <w:rtl/>
        </w:rPr>
        <w:t xml:space="preserve">) انظر: الهداية (7/4527), التفسير الوسيط (3/181).  </w:t>
      </w:r>
    </w:p>
  </w:footnote>
  <w:footnote w:id="2301">
    <w:p w:rsidR="003F128F" w:rsidRPr="00DA4F5A" w:rsidRDefault="003F128F" w:rsidP="0063006E">
      <w:pPr>
        <w:pStyle w:val="af3"/>
        <w:rPr>
          <w:rFonts w:ascii="Traditional Arabic" w:hAnsi="Traditional Arabic"/>
          <w:sz w:val="32"/>
          <w:szCs w:val="32"/>
        </w:rPr>
      </w:pPr>
      <w:r w:rsidRPr="00DA4F5A">
        <w:rPr>
          <w:rFonts w:ascii="Traditional Arabic" w:hAnsi="Traditional Arabic"/>
          <w:sz w:val="32"/>
          <w:szCs w:val="32"/>
          <w:rtl/>
        </w:rPr>
        <w:t>(</w:t>
      </w:r>
      <w:r w:rsidRPr="00DA4F5A">
        <w:rPr>
          <w:rStyle w:val="ae"/>
          <w:rFonts w:ascii="Traditional Arabic" w:hAnsi="Traditional Arabic"/>
          <w:sz w:val="32"/>
          <w:szCs w:val="32"/>
          <w:vertAlign w:val="baseline"/>
        </w:rPr>
        <w:footnoteRef/>
      </w:r>
      <w:r w:rsidRPr="00DA4F5A">
        <w:rPr>
          <w:rFonts w:ascii="Traditional Arabic" w:hAnsi="Traditional Arabic"/>
          <w:sz w:val="32"/>
          <w:szCs w:val="32"/>
          <w:rtl/>
        </w:rPr>
        <w:t xml:space="preserve">) انظر: تفسير الطبري (18/183), النكت والعيون (3/368).  </w:t>
      </w:r>
    </w:p>
  </w:footnote>
  <w:footnote w:id="2302">
    <w:p w:rsidR="003F128F" w:rsidRPr="00DA4F5A" w:rsidRDefault="003F128F" w:rsidP="0063006E">
      <w:pPr>
        <w:pStyle w:val="af3"/>
        <w:rPr>
          <w:rFonts w:ascii="Traditional Arabic" w:hAnsi="Traditional Arabic"/>
          <w:sz w:val="32"/>
          <w:szCs w:val="32"/>
        </w:rPr>
      </w:pPr>
      <w:r w:rsidRPr="00DA4F5A">
        <w:rPr>
          <w:rFonts w:ascii="Traditional Arabic" w:hAnsi="Traditional Arabic"/>
          <w:sz w:val="32"/>
          <w:szCs w:val="32"/>
          <w:rtl/>
        </w:rPr>
        <w:t>(</w:t>
      </w:r>
      <w:r w:rsidRPr="00DA4F5A">
        <w:rPr>
          <w:rStyle w:val="ae"/>
          <w:rFonts w:ascii="Traditional Arabic" w:hAnsi="Traditional Arabic"/>
          <w:sz w:val="32"/>
          <w:szCs w:val="32"/>
          <w:vertAlign w:val="baseline"/>
        </w:rPr>
        <w:footnoteRef/>
      </w:r>
      <w:r w:rsidRPr="00DA4F5A">
        <w:rPr>
          <w:rFonts w:ascii="Traditional Arabic" w:hAnsi="Traditional Arabic"/>
          <w:sz w:val="32"/>
          <w:szCs w:val="32"/>
          <w:rtl/>
        </w:rPr>
        <w:t xml:space="preserve">) </w:t>
      </w:r>
      <w:r w:rsidRPr="00DA4F5A">
        <w:rPr>
          <w:rFonts w:ascii="Traditional Arabic" w:hAnsi="Traditional Arabic"/>
          <w:color w:val="auto"/>
          <w:sz w:val="32"/>
          <w:szCs w:val="32"/>
          <w:rtl/>
        </w:rPr>
        <w:t>في (ك): [</w:t>
      </w:r>
      <w:r w:rsidRPr="00DA4F5A">
        <w:rPr>
          <w:rFonts w:ascii="Traditional Arabic" w:hAnsi="Traditional Arabic"/>
          <w:sz w:val="32"/>
          <w:szCs w:val="32"/>
          <w:rtl/>
        </w:rPr>
        <w:t>ليكفيَها الكلامَ</w:t>
      </w:r>
      <w:r w:rsidRPr="00DA4F5A">
        <w:rPr>
          <w:rFonts w:ascii="Traditional Arabic" w:hAnsi="Traditional Arabic"/>
          <w:color w:val="auto"/>
          <w:sz w:val="32"/>
          <w:szCs w:val="32"/>
          <w:rtl/>
        </w:rPr>
        <w:t>].</w:t>
      </w:r>
    </w:p>
  </w:footnote>
  <w:footnote w:id="2303">
    <w:p w:rsidR="003F128F" w:rsidRPr="00DA4F5A" w:rsidRDefault="003F128F" w:rsidP="0063006E">
      <w:pPr>
        <w:pStyle w:val="af3"/>
        <w:rPr>
          <w:rFonts w:ascii="Traditional Arabic" w:hAnsi="Traditional Arabic"/>
          <w:sz w:val="32"/>
          <w:szCs w:val="32"/>
        </w:rPr>
      </w:pPr>
      <w:r w:rsidRPr="00DA4F5A">
        <w:rPr>
          <w:rFonts w:ascii="Traditional Arabic" w:hAnsi="Traditional Arabic"/>
          <w:sz w:val="32"/>
          <w:szCs w:val="32"/>
          <w:rtl/>
        </w:rPr>
        <w:t>(</w:t>
      </w:r>
      <w:r w:rsidRPr="00DA4F5A">
        <w:rPr>
          <w:rStyle w:val="ae"/>
          <w:rFonts w:ascii="Traditional Arabic" w:hAnsi="Traditional Arabic"/>
          <w:sz w:val="32"/>
          <w:szCs w:val="32"/>
          <w:vertAlign w:val="baseline"/>
        </w:rPr>
        <w:footnoteRef/>
      </w:r>
      <w:r w:rsidRPr="00DA4F5A">
        <w:rPr>
          <w:rFonts w:ascii="Traditional Arabic" w:hAnsi="Traditional Arabic"/>
          <w:sz w:val="32"/>
          <w:szCs w:val="32"/>
          <w:rtl/>
        </w:rPr>
        <w:t xml:space="preserve">) انظر: النكت والعيون (3/368), التفسير الوسيط (3/182).  </w:t>
      </w:r>
    </w:p>
  </w:footnote>
  <w:footnote w:id="2304">
    <w:p w:rsidR="003F128F" w:rsidRPr="00DA4F5A" w:rsidRDefault="003F128F" w:rsidP="0063006E">
      <w:pPr>
        <w:pStyle w:val="af3"/>
        <w:rPr>
          <w:rFonts w:ascii="Traditional Arabic" w:hAnsi="Traditional Arabic"/>
          <w:sz w:val="32"/>
          <w:szCs w:val="32"/>
        </w:rPr>
      </w:pPr>
      <w:r w:rsidRPr="00DA4F5A">
        <w:rPr>
          <w:rFonts w:ascii="Traditional Arabic" w:hAnsi="Traditional Arabic"/>
          <w:sz w:val="32"/>
          <w:szCs w:val="32"/>
          <w:rtl/>
        </w:rPr>
        <w:t>(</w:t>
      </w:r>
      <w:r w:rsidRPr="00DA4F5A">
        <w:rPr>
          <w:rStyle w:val="ae"/>
          <w:rFonts w:ascii="Traditional Arabic" w:hAnsi="Traditional Arabic"/>
          <w:sz w:val="32"/>
          <w:szCs w:val="32"/>
          <w:vertAlign w:val="baseline"/>
        </w:rPr>
        <w:footnoteRef/>
      </w:r>
      <w:r w:rsidRPr="00DA4F5A">
        <w:rPr>
          <w:rFonts w:ascii="Traditional Arabic" w:hAnsi="Traditional Arabic"/>
          <w:sz w:val="32"/>
          <w:szCs w:val="32"/>
          <w:rtl/>
        </w:rPr>
        <w:t>) انظر: الكشف والبيان (6/212), معالم التنزيل (5/228).</w:t>
      </w:r>
    </w:p>
  </w:footnote>
  <w:footnote w:id="2305">
    <w:p w:rsidR="003F128F" w:rsidRPr="00DA4F5A" w:rsidRDefault="003F128F" w:rsidP="0063006E">
      <w:pPr>
        <w:pStyle w:val="af3"/>
        <w:rPr>
          <w:rFonts w:ascii="Traditional Arabic" w:hAnsi="Traditional Arabic"/>
          <w:sz w:val="32"/>
          <w:szCs w:val="32"/>
        </w:rPr>
      </w:pPr>
      <w:r w:rsidRPr="00DA4F5A">
        <w:rPr>
          <w:rFonts w:ascii="Traditional Arabic" w:hAnsi="Traditional Arabic"/>
          <w:sz w:val="32"/>
          <w:szCs w:val="32"/>
          <w:rtl/>
        </w:rPr>
        <w:t>(</w:t>
      </w:r>
      <w:r w:rsidRPr="00DA4F5A">
        <w:rPr>
          <w:rStyle w:val="ae"/>
          <w:rFonts w:ascii="Traditional Arabic" w:hAnsi="Traditional Arabic"/>
          <w:sz w:val="32"/>
          <w:szCs w:val="32"/>
          <w:vertAlign w:val="baseline"/>
        </w:rPr>
        <w:footnoteRef/>
      </w:r>
      <w:r w:rsidRPr="00DA4F5A">
        <w:rPr>
          <w:rFonts w:ascii="Traditional Arabic" w:hAnsi="Traditional Arabic"/>
          <w:sz w:val="32"/>
          <w:szCs w:val="32"/>
          <w:rtl/>
        </w:rPr>
        <w:t xml:space="preserve">) </w:t>
      </w:r>
      <w:r w:rsidRPr="00DA4F5A">
        <w:rPr>
          <w:rFonts w:ascii="Traditional Arabic" w:hAnsi="Traditional Arabic"/>
          <w:color w:val="auto"/>
          <w:sz w:val="32"/>
          <w:szCs w:val="32"/>
          <w:rtl/>
        </w:rPr>
        <w:t xml:space="preserve">في </w:t>
      </w:r>
      <w:r>
        <w:rPr>
          <w:rFonts w:ascii="Traditional Arabic" w:hAnsi="Traditional Arabic" w:hint="cs"/>
          <w:color w:val="auto"/>
          <w:sz w:val="32"/>
          <w:szCs w:val="32"/>
          <w:rtl/>
        </w:rPr>
        <w:t>(م)</w:t>
      </w:r>
      <w:r w:rsidRPr="00DA4F5A">
        <w:rPr>
          <w:rFonts w:ascii="Traditional Arabic" w:hAnsi="Traditional Arabic"/>
          <w:color w:val="auto"/>
          <w:sz w:val="32"/>
          <w:szCs w:val="32"/>
          <w:rtl/>
        </w:rPr>
        <w:t>: [يقام], والمثبت من (ك).</w:t>
      </w:r>
      <w:r w:rsidRPr="00DA4F5A">
        <w:rPr>
          <w:rFonts w:ascii="Traditional Arabic" w:hAnsi="Traditional Arabic"/>
          <w:sz w:val="32"/>
          <w:szCs w:val="32"/>
          <w:rtl/>
        </w:rPr>
        <w:t xml:space="preserve"> </w:t>
      </w:r>
    </w:p>
  </w:footnote>
  <w:footnote w:id="2306">
    <w:p w:rsidR="003F128F" w:rsidRPr="00DA4F5A" w:rsidRDefault="003F128F" w:rsidP="0063006E">
      <w:pPr>
        <w:pStyle w:val="af3"/>
        <w:rPr>
          <w:rFonts w:ascii="Traditional Arabic" w:hAnsi="Traditional Arabic"/>
          <w:sz w:val="32"/>
          <w:szCs w:val="32"/>
        </w:rPr>
      </w:pPr>
      <w:r w:rsidRPr="00DA4F5A">
        <w:rPr>
          <w:rFonts w:ascii="Traditional Arabic" w:hAnsi="Traditional Arabic"/>
          <w:sz w:val="32"/>
          <w:szCs w:val="32"/>
          <w:rtl/>
        </w:rPr>
        <w:t>(</w:t>
      </w:r>
      <w:r w:rsidRPr="00DA4F5A">
        <w:rPr>
          <w:rStyle w:val="ae"/>
          <w:rFonts w:ascii="Traditional Arabic" w:hAnsi="Traditional Arabic"/>
          <w:sz w:val="32"/>
          <w:szCs w:val="32"/>
          <w:vertAlign w:val="baseline"/>
        </w:rPr>
        <w:footnoteRef/>
      </w:r>
      <w:r w:rsidRPr="00DA4F5A">
        <w:rPr>
          <w:rFonts w:ascii="Traditional Arabic" w:hAnsi="Traditional Arabic"/>
          <w:sz w:val="32"/>
          <w:szCs w:val="32"/>
          <w:rtl/>
        </w:rPr>
        <w:t>) ذَرْق النَّعام: خُرْؤُهُ وما يخرج منه من الأذى, وَيسمى صوم لوقْفَتِه عِنْد ذَلِك أَو لسُكُونه بِخُرُوج الأَذَى. انظر: تاج العروس للزبيدي (32/529) مادة (صوم).</w:t>
      </w:r>
    </w:p>
  </w:footnote>
  <w:footnote w:id="2307">
    <w:p w:rsidR="003F128F" w:rsidRPr="00DA4F5A" w:rsidRDefault="003F128F" w:rsidP="0063006E">
      <w:pPr>
        <w:pStyle w:val="af3"/>
        <w:rPr>
          <w:rFonts w:ascii="Traditional Arabic" w:hAnsi="Traditional Arabic"/>
          <w:sz w:val="32"/>
          <w:szCs w:val="32"/>
        </w:rPr>
      </w:pPr>
      <w:r w:rsidRPr="00DA4F5A">
        <w:rPr>
          <w:rFonts w:ascii="Traditional Arabic" w:hAnsi="Traditional Arabic"/>
          <w:sz w:val="32"/>
          <w:szCs w:val="32"/>
          <w:rtl/>
        </w:rPr>
        <w:t>(</w:t>
      </w:r>
      <w:r w:rsidRPr="00DA4F5A">
        <w:rPr>
          <w:rStyle w:val="ae"/>
          <w:rFonts w:ascii="Traditional Arabic" w:hAnsi="Traditional Arabic"/>
          <w:sz w:val="32"/>
          <w:szCs w:val="32"/>
          <w:vertAlign w:val="baseline"/>
        </w:rPr>
        <w:footnoteRef/>
      </w:r>
      <w:r w:rsidRPr="00DA4F5A">
        <w:rPr>
          <w:rFonts w:ascii="Traditional Arabic" w:hAnsi="Traditional Arabic"/>
          <w:sz w:val="32"/>
          <w:szCs w:val="32"/>
          <w:rtl/>
        </w:rPr>
        <w:t>) ذكر بنحوه ابن دريد في جمهرة اللغة (2/899) مادة (صمو), وابن فارس في مجمل اللغة (1/546) مادة (صوم).</w:t>
      </w:r>
    </w:p>
  </w:footnote>
  <w:footnote w:id="2308">
    <w:p w:rsidR="003F128F" w:rsidRPr="00DA4F5A" w:rsidRDefault="003F128F" w:rsidP="0063006E">
      <w:pPr>
        <w:pStyle w:val="af3"/>
        <w:rPr>
          <w:rFonts w:ascii="Traditional Arabic" w:hAnsi="Traditional Arabic"/>
          <w:sz w:val="32"/>
          <w:szCs w:val="32"/>
        </w:rPr>
      </w:pPr>
      <w:r w:rsidRPr="00DA4F5A">
        <w:rPr>
          <w:rFonts w:ascii="Traditional Arabic" w:hAnsi="Traditional Arabic"/>
          <w:sz w:val="32"/>
          <w:szCs w:val="32"/>
          <w:rtl/>
        </w:rPr>
        <w:t>(</w:t>
      </w:r>
      <w:r w:rsidRPr="00DA4F5A">
        <w:rPr>
          <w:rStyle w:val="ae"/>
          <w:rFonts w:ascii="Traditional Arabic" w:hAnsi="Traditional Arabic"/>
          <w:sz w:val="32"/>
          <w:szCs w:val="32"/>
          <w:vertAlign w:val="baseline"/>
        </w:rPr>
        <w:footnoteRef/>
      </w:r>
      <w:r w:rsidRPr="00DA4F5A">
        <w:rPr>
          <w:rFonts w:ascii="Traditional Arabic" w:hAnsi="Traditional Arabic"/>
          <w:sz w:val="32"/>
          <w:szCs w:val="32"/>
          <w:rtl/>
        </w:rPr>
        <w:t>) انظر: رموز الكنوز (4/406) بدون نسبة.</w:t>
      </w:r>
    </w:p>
  </w:footnote>
  <w:footnote w:id="2309">
    <w:p w:rsidR="003F128F" w:rsidRPr="00DA4F5A" w:rsidRDefault="003F128F" w:rsidP="0063006E">
      <w:pPr>
        <w:pStyle w:val="af3"/>
        <w:rPr>
          <w:rFonts w:ascii="Traditional Arabic" w:hAnsi="Traditional Arabic"/>
          <w:sz w:val="32"/>
          <w:szCs w:val="32"/>
        </w:rPr>
      </w:pPr>
      <w:r w:rsidRPr="00DA4F5A">
        <w:rPr>
          <w:rFonts w:ascii="Traditional Arabic" w:hAnsi="Traditional Arabic"/>
          <w:sz w:val="32"/>
          <w:szCs w:val="32"/>
          <w:rtl/>
        </w:rPr>
        <w:t>(</w:t>
      </w:r>
      <w:r w:rsidRPr="00DA4F5A">
        <w:rPr>
          <w:rStyle w:val="ae"/>
          <w:rFonts w:ascii="Traditional Arabic" w:hAnsi="Traditional Arabic"/>
          <w:sz w:val="32"/>
          <w:szCs w:val="32"/>
          <w:vertAlign w:val="baseline"/>
        </w:rPr>
        <w:footnoteRef/>
      </w:r>
      <w:r w:rsidRPr="00DA4F5A">
        <w:rPr>
          <w:rFonts w:ascii="Traditional Arabic" w:hAnsi="Traditional Arabic"/>
          <w:sz w:val="32"/>
          <w:szCs w:val="32"/>
          <w:rtl/>
        </w:rPr>
        <w:t xml:space="preserve">) لم أقف عليه فيما لدي من مصادر. </w:t>
      </w:r>
    </w:p>
  </w:footnote>
  <w:footnote w:id="2310">
    <w:p w:rsidR="003F128F" w:rsidRPr="00DA4F5A" w:rsidRDefault="003F128F" w:rsidP="0063006E">
      <w:pPr>
        <w:pStyle w:val="af3"/>
        <w:rPr>
          <w:rFonts w:ascii="Traditional Arabic" w:hAnsi="Traditional Arabic"/>
          <w:sz w:val="32"/>
          <w:szCs w:val="32"/>
        </w:rPr>
      </w:pPr>
      <w:r w:rsidRPr="00DA4F5A">
        <w:rPr>
          <w:rFonts w:ascii="Traditional Arabic" w:hAnsi="Traditional Arabic"/>
          <w:sz w:val="32"/>
          <w:szCs w:val="32"/>
          <w:rtl/>
        </w:rPr>
        <w:t>(</w:t>
      </w:r>
      <w:r w:rsidRPr="00DA4F5A">
        <w:rPr>
          <w:rStyle w:val="ae"/>
          <w:rFonts w:ascii="Traditional Arabic" w:hAnsi="Traditional Arabic"/>
          <w:sz w:val="32"/>
          <w:szCs w:val="32"/>
          <w:vertAlign w:val="baseline"/>
        </w:rPr>
        <w:footnoteRef/>
      </w:r>
      <w:r w:rsidRPr="00DA4F5A">
        <w:rPr>
          <w:rFonts w:ascii="Traditional Arabic" w:hAnsi="Traditional Arabic"/>
          <w:sz w:val="32"/>
          <w:szCs w:val="32"/>
          <w:rtl/>
        </w:rPr>
        <w:t xml:space="preserve">) انظر: تفسير مقاتل (2/624). </w:t>
      </w:r>
    </w:p>
  </w:footnote>
  <w:footnote w:id="2311">
    <w:p w:rsidR="003F128F" w:rsidRPr="00D605CA" w:rsidRDefault="003F128F" w:rsidP="00433168">
      <w:pPr>
        <w:pStyle w:val="af3"/>
        <w:rPr>
          <w:rFonts w:ascii="Traditional Arabic" w:hAnsi="Traditional Arabic"/>
          <w:color w:val="auto"/>
          <w:sz w:val="32"/>
          <w:szCs w:val="32"/>
        </w:rPr>
      </w:pPr>
      <w:r w:rsidRPr="00D605CA">
        <w:rPr>
          <w:rFonts w:ascii="Traditional Arabic" w:hAnsi="Traditional Arabic"/>
          <w:color w:val="auto"/>
          <w:sz w:val="32"/>
          <w:szCs w:val="32"/>
          <w:rtl/>
        </w:rPr>
        <w:t>(</w:t>
      </w:r>
      <w:r w:rsidRPr="00D605CA">
        <w:rPr>
          <w:rStyle w:val="ae"/>
          <w:rFonts w:ascii="Traditional Arabic" w:hAnsi="Traditional Arabic"/>
          <w:color w:val="auto"/>
          <w:sz w:val="32"/>
          <w:szCs w:val="32"/>
          <w:vertAlign w:val="baseline"/>
        </w:rPr>
        <w:footnoteRef/>
      </w:r>
      <w:r w:rsidRPr="00D605CA">
        <w:rPr>
          <w:rFonts w:ascii="Traditional Arabic" w:hAnsi="Traditional Arabic"/>
          <w:color w:val="auto"/>
          <w:sz w:val="32"/>
          <w:szCs w:val="32"/>
          <w:rtl/>
        </w:rPr>
        <w:t>) انظر: تاريخ ابن عساكر (70/96), وذكره السيوطي في الدر المنثور (5/506).</w:t>
      </w:r>
    </w:p>
  </w:footnote>
  <w:footnote w:id="2312">
    <w:p w:rsidR="003F128F" w:rsidRPr="00D605CA" w:rsidRDefault="003F128F" w:rsidP="00433168">
      <w:pPr>
        <w:pStyle w:val="af3"/>
        <w:rPr>
          <w:rFonts w:ascii="Traditional Arabic" w:hAnsi="Traditional Arabic"/>
          <w:color w:val="auto"/>
          <w:sz w:val="32"/>
          <w:szCs w:val="32"/>
        </w:rPr>
      </w:pPr>
      <w:r w:rsidRPr="00D605CA">
        <w:rPr>
          <w:rFonts w:ascii="Traditional Arabic" w:hAnsi="Traditional Arabic"/>
          <w:color w:val="auto"/>
          <w:sz w:val="32"/>
          <w:szCs w:val="32"/>
          <w:rtl/>
        </w:rPr>
        <w:t>(</w:t>
      </w:r>
      <w:r w:rsidRPr="00D605CA">
        <w:rPr>
          <w:rStyle w:val="ae"/>
          <w:rFonts w:ascii="Traditional Arabic" w:hAnsi="Traditional Arabic"/>
          <w:color w:val="auto"/>
          <w:sz w:val="32"/>
          <w:szCs w:val="32"/>
          <w:vertAlign w:val="baseline"/>
        </w:rPr>
        <w:footnoteRef/>
      </w:r>
      <w:r w:rsidRPr="00D605CA">
        <w:rPr>
          <w:rFonts w:ascii="Traditional Arabic" w:hAnsi="Traditional Arabic"/>
          <w:color w:val="auto"/>
          <w:sz w:val="32"/>
          <w:szCs w:val="32"/>
          <w:rtl/>
        </w:rPr>
        <w:t>) انظر: تاريخ ابن عساكر (70/96), وذكره السيوطي في الدر المنثور (5/495) وزاد نسبته لإسحاق بن بشر.</w:t>
      </w:r>
    </w:p>
  </w:footnote>
  <w:footnote w:id="2313">
    <w:p w:rsidR="003F128F" w:rsidRPr="00530FD8" w:rsidRDefault="003F128F" w:rsidP="00433168">
      <w:pPr>
        <w:pStyle w:val="af3"/>
        <w:rPr>
          <w:rFonts w:ascii="Traditional Arabic" w:hAnsi="Traditional Arabic"/>
          <w:color w:val="auto"/>
          <w:sz w:val="32"/>
          <w:szCs w:val="32"/>
        </w:rPr>
      </w:pPr>
      <w:r w:rsidRPr="00530FD8">
        <w:rPr>
          <w:rFonts w:ascii="Traditional Arabic" w:hAnsi="Traditional Arabic"/>
          <w:color w:val="auto"/>
          <w:sz w:val="32"/>
          <w:szCs w:val="32"/>
          <w:rtl/>
        </w:rPr>
        <w:t>(</w:t>
      </w:r>
      <w:r w:rsidRPr="00530FD8">
        <w:rPr>
          <w:rStyle w:val="ae"/>
          <w:rFonts w:ascii="Traditional Arabic" w:hAnsi="Traditional Arabic"/>
          <w:color w:val="auto"/>
          <w:sz w:val="32"/>
          <w:szCs w:val="32"/>
          <w:vertAlign w:val="baseline"/>
        </w:rPr>
        <w:footnoteRef/>
      </w:r>
      <w:r w:rsidRPr="00530FD8">
        <w:rPr>
          <w:rFonts w:ascii="Traditional Arabic" w:hAnsi="Traditional Arabic"/>
          <w:color w:val="auto"/>
          <w:sz w:val="32"/>
          <w:szCs w:val="32"/>
          <w:rtl/>
        </w:rPr>
        <w:t>) في الأصل: [فلا فائدة للتذكير], والمثبت من (ك).</w:t>
      </w:r>
    </w:p>
  </w:footnote>
  <w:footnote w:id="2314">
    <w:p w:rsidR="003F128F" w:rsidRPr="00D605CA" w:rsidRDefault="003F128F" w:rsidP="00433168">
      <w:pPr>
        <w:pStyle w:val="af3"/>
        <w:rPr>
          <w:rFonts w:ascii="Traditional Arabic" w:hAnsi="Traditional Arabic"/>
          <w:sz w:val="32"/>
          <w:szCs w:val="32"/>
        </w:rPr>
      </w:pPr>
      <w:r w:rsidRPr="00530FD8">
        <w:rPr>
          <w:rFonts w:ascii="Traditional Arabic" w:hAnsi="Traditional Arabic"/>
          <w:color w:val="auto"/>
          <w:sz w:val="32"/>
          <w:szCs w:val="32"/>
          <w:rtl/>
        </w:rPr>
        <w:t>(</w:t>
      </w:r>
      <w:r w:rsidRPr="00530FD8">
        <w:rPr>
          <w:rStyle w:val="ae"/>
          <w:rFonts w:ascii="Traditional Arabic" w:hAnsi="Traditional Arabic"/>
          <w:color w:val="auto"/>
          <w:sz w:val="32"/>
          <w:szCs w:val="32"/>
          <w:vertAlign w:val="baseline"/>
        </w:rPr>
        <w:footnoteRef/>
      </w:r>
      <w:r w:rsidRPr="00530FD8">
        <w:rPr>
          <w:rFonts w:ascii="Traditional Arabic" w:hAnsi="Traditional Arabic"/>
          <w:color w:val="auto"/>
          <w:sz w:val="32"/>
          <w:szCs w:val="32"/>
          <w:rtl/>
        </w:rPr>
        <w:t>)  انظر: المحكم لابن سيده (2/248) مادة (عين).</w:t>
      </w:r>
    </w:p>
  </w:footnote>
  <w:footnote w:id="2315">
    <w:p w:rsidR="003F128F" w:rsidRPr="00D605CA" w:rsidRDefault="003F128F" w:rsidP="00433168">
      <w:pPr>
        <w:pStyle w:val="af3"/>
        <w:rPr>
          <w:rFonts w:ascii="Traditional Arabic" w:hAnsi="Traditional Arabic"/>
          <w:sz w:val="32"/>
          <w:szCs w:val="32"/>
        </w:rPr>
      </w:pPr>
      <w:r w:rsidRPr="00D605CA">
        <w:rPr>
          <w:rFonts w:ascii="Traditional Arabic" w:hAnsi="Traditional Arabic"/>
          <w:sz w:val="32"/>
          <w:szCs w:val="32"/>
          <w:rtl/>
        </w:rPr>
        <w:t>(</w:t>
      </w:r>
      <w:r w:rsidRPr="00D605CA">
        <w:rPr>
          <w:rStyle w:val="ae"/>
          <w:rFonts w:ascii="Traditional Arabic" w:hAnsi="Traditional Arabic"/>
          <w:sz w:val="32"/>
          <w:szCs w:val="32"/>
          <w:vertAlign w:val="baseline"/>
        </w:rPr>
        <w:footnoteRef/>
      </w:r>
      <w:r w:rsidRPr="00D605CA">
        <w:rPr>
          <w:rFonts w:ascii="Traditional Arabic" w:hAnsi="Traditional Arabic"/>
          <w:sz w:val="32"/>
          <w:szCs w:val="32"/>
          <w:rtl/>
        </w:rPr>
        <w:t>) انظر: الكشف والبيان (6/212), التفسير الوسيط (3/182)</w:t>
      </w:r>
      <w:r>
        <w:rPr>
          <w:rFonts w:ascii="Traditional Arabic" w:hAnsi="Traditional Arabic" w:hint="cs"/>
          <w:sz w:val="32"/>
          <w:szCs w:val="32"/>
          <w:rtl/>
        </w:rPr>
        <w:t>.</w:t>
      </w:r>
    </w:p>
  </w:footnote>
  <w:footnote w:id="2316">
    <w:p w:rsidR="003F128F" w:rsidRPr="00D605CA" w:rsidRDefault="003F128F" w:rsidP="00433168">
      <w:pPr>
        <w:pStyle w:val="af3"/>
        <w:rPr>
          <w:rFonts w:ascii="Traditional Arabic" w:hAnsi="Traditional Arabic"/>
          <w:sz w:val="32"/>
          <w:szCs w:val="32"/>
        </w:rPr>
      </w:pPr>
      <w:r w:rsidRPr="00D605CA">
        <w:rPr>
          <w:rFonts w:ascii="Traditional Arabic" w:hAnsi="Traditional Arabic"/>
          <w:sz w:val="32"/>
          <w:szCs w:val="32"/>
          <w:rtl/>
        </w:rPr>
        <w:t>(</w:t>
      </w:r>
      <w:r w:rsidRPr="00D605CA">
        <w:rPr>
          <w:rStyle w:val="ae"/>
          <w:rFonts w:ascii="Traditional Arabic" w:hAnsi="Traditional Arabic"/>
          <w:sz w:val="32"/>
          <w:szCs w:val="32"/>
          <w:vertAlign w:val="baseline"/>
        </w:rPr>
        <w:footnoteRef/>
      </w:r>
      <w:r w:rsidRPr="00D605CA">
        <w:rPr>
          <w:rFonts w:ascii="Traditional Arabic" w:hAnsi="Traditional Arabic"/>
          <w:sz w:val="32"/>
          <w:szCs w:val="32"/>
          <w:rtl/>
        </w:rPr>
        <w:t xml:space="preserve">) </w:t>
      </w:r>
      <w:r w:rsidRPr="00D605CA">
        <w:rPr>
          <w:rFonts w:ascii="Traditional Arabic" w:hAnsi="Traditional Arabic"/>
          <w:color w:val="auto"/>
          <w:sz w:val="32"/>
          <w:szCs w:val="32"/>
          <w:rtl/>
        </w:rPr>
        <w:t>انظر: تاريخ ابن عساكر (70/96), وذكره السيوطي في الدر المنثور (5/495) وزاد نسبته لإسحاق بن بشر.</w:t>
      </w:r>
      <w:r w:rsidRPr="00D605CA">
        <w:rPr>
          <w:rFonts w:ascii="Traditional Arabic" w:hAnsi="Traditional Arabic"/>
          <w:sz w:val="32"/>
          <w:szCs w:val="32"/>
          <w:rtl/>
        </w:rPr>
        <w:t xml:space="preserve"> </w:t>
      </w:r>
    </w:p>
  </w:footnote>
  <w:footnote w:id="2317">
    <w:p w:rsidR="003F128F" w:rsidRPr="00EB1CA4" w:rsidRDefault="003F128F" w:rsidP="00433168">
      <w:pPr>
        <w:pStyle w:val="af3"/>
        <w:rPr>
          <w:rFonts w:ascii="Traditional Arabic" w:hAnsi="Traditional Arabic"/>
          <w:color w:val="auto"/>
          <w:sz w:val="32"/>
          <w:szCs w:val="32"/>
        </w:rPr>
      </w:pPr>
      <w:r w:rsidRPr="00D605CA">
        <w:rPr>
          <w:rFonts w:ascii="Traditional Arabic" w:hAnsi="Traditional Arabic"/>
          <w:color w:val="auto"/>
          <w:sz w:val="32"/>
          <w:szCs w:val="32"/>
          <w:rtl/>
        </w:rPr>
        <w:t>(</w:t>
      </w:r>
      <w:r w:rsidRPr="00D605CA">
        <w:rPr>
          <w:rStyle w:val="ae"/>
          <w:rFonts w:ascii="Traditional Arabic" w:hAnsi="Traditional Arabic"/>
          <w:color w:val="auto"/>
          <w:sz w:val="32"/>
          <w:szCs w:val="32"/>
          <w:vertAlign w:val="baseline"/>
        </w:rPr>
        <w:footnoteRef/>
      </w:r>
      <w:r w:rsidRPr="00D605CA">
        <w:rPr>
          <w:rFonts w:ascii="Traditional Arabic" w:hAnsi="Traditional Arabic"/>
          <w:color w:val="auto"/>
          <w:sz w:val="32"/>
          <w:szCs w:val="32"/>
          <w:rtl/>
        </w:rPr>
        <w:t xml:space="preserve">) تفسير الطبري (18/185), النكت والعيون (3/368). </w:t>
      </w:r>
      <w:r w:rsidRPr="00EB1CA4">
        <w:rPr>
          <w:rFonts w:ascii="Traditional Arabic" w:hAnsi="Traditional Arabic"/>
          <w:color w:val="auto"/>
          <w:sz w:val="32"/>
          <w:szCs w:val="32"/>
          <w:rtl/>
        </w:rPr>
        <w:t xml:space="preserve"> </w:t>
      </w:r>
    </w:p>
  </w:footnote>
  <w:footnote w:id="2318">
    <w:p w:rsidR="003F128F" w:rsidRPr="00E94356" w:rsidRDefault="003F128F" w:rsidP="00433168">
      <w:pPr>
        <w:pStyle w:val="af3"/>
        <w:rPr>
          <w:rFonts w:ascii="Traditional Arabic" w:hAnsi="Traditional Arabic"/>
          <w:color w:val="auto"/>
          <w:sz w:val="32"/>
          <w:szCs w:val="32"/>
        </w:rPr>
      </w:pPr>
      <w:r w:rsidRPr="00E94356">
        <w:rPr>
          <w:rFonts w:ascii="Traditional Arabic" w:hAnsi="Traditional Arabic"/>
          <w:color w:val="auto"/>
          <w:sz w:val="32"/>
          <w:szCs w:val="32"/>
          <w:rtl/>
        </w:rPr>
        <w:t>(</w:t>
      </w:r>
      <w:r w:rsidRPr="00E94356">
        <w:rPr>
          <w:rStyle w:val="ae"/>
          <w:rFonts w:ascii="Traditional Arabic" w:hAnsi="Traditional Arabic"/>
          <w:color w:val="auto"/>
          <w:sz w:val="32"/>
          <w:szCs w:val="32"/>
          <w:vertAlign w:val="baseline"/>
        </w:rPr>
        <w:footnoteRef/>
      </w:r>
      <w:r w:rsidRPr="00E94356">
        <w:rPr>
          <w:rFonts w:ascii="Traditional Arabic" w:hAnsi="Traditional Arabic"/>
          <w:color w:val="auto"/>
          <w:sz w:val="32"/>
          <w:szCs w:val="32"/>
          <w:rtl/>
        </w:rPr>
        <w:t xml:space="preserve">) انظر: معاني القرآن للفراء (2/166). </w:t>
      </w:r>
    </w:p>
  </w:footnote>
  <w:footnote w:id="2319">
    <w:p w:rsidR="003F128F" w:rsidRPr="00E94356" w:rsidRDefault="003F128F" w:rsidP="00433168">
      <w:pPr>
        <w:pStyle w:val="af3"/>
        <w:rPr>
          <w:rFonts w:ascii="Traditional Arabic" w:hAnsi="Traditional Arabic"/>
          <w:sz w:val="32"/>
          <w:szCs w:val="32"/>
          <w:rtl/>
        </w:rPr>
      </w:pPr>
      <w:r w:rsidRPr="00E94356">
        <w:rPr>
          <w:rFonts w:ascii="Traditional Arabic" w:hAnsi="Traditional Arabic"/>
          <w:color w:val="auto"/>
          <w:sz w:val="32"/>
          <w:szCs w:val="32"/>
          <w:rtl/>
        </w:rPr>
        <w:t>(</w:t>
      </w:r>
      <w:r w:rsidRPr="00E94356">
        <w:rPr>
          <w:rStyle w:val="ae"/>
          <w:rFonts w:ascii="Traditional Arabic" w:hAnsi="Traditional Arabic"/>
          <w:color w:val="auto"/>
          <w:sz w:val="32"/>
          <w:szCs w:val="32"/>
          <w:vertAlign w:val="baseline"/>
        </w:rPr>
        <w:footnoteRef/>
      </w:r>
      <w:r w:rsidRPr="00E94356">
        <w:rPr>
          <w:rFonts w:ascii="Traditional Arabic" w:hAnsi="Traditional Arabic"/>
          <w:color w:val="auto"/>
          <w:sz w:val="32"/>
          <w:szCs w:val="32"/>
          <w:rtl/>
        </w:rPr>
        <w:t xml:space="preserve">) هو صاحب رسول الله </w:t>
      </w:r>
      <w:r w:rsidRPr="00E94356">
        <w:rPr>
          <w:rFonts w:ascii="Traditional Arabic" w:hAnsi="Traditional Arabic"/>
          <w:color w:val="auto"/>
          <w:sz w:val="32"/>
          <w:szCs w:val="32"/>
        </w:rPr>
        <w:sym w:font="AGA Arabesque" w:char="F072"/>
      </w:r>
      <w:r>
        <w:rPr>
          <w:rFonts w:ascii="Traditional Arabic" w:hAnsi="Traditional Arabic" w:hint="cs"/>
          <w:color w:val="auto"/>
          <w:sz w:val="32"/>
          <w:szCs w:val="32"/>
          <w:rtl/>
        </w:rPr>
        <w:t>,</w:t>
      </w:r>
      <w:r w:rsidRPr="00E94356">
        <w:rPr>
          <w:rFonts w:ascii="Traditional Arabic" w:hAnsi="Traditional Arabic"/>
          <w:color w:val="auto"/>
          <w:sz w:val="32"/>
          <w:szCs w:val="32"/>
          <w:rtl/>
        </w:rPr>
        <w:t xml:space="preserve"> ووزيره, أمير المؤمنين</w:t>
      </w:r>
      <w:r>
        <w:rPr>
          <w:rFonts w:ascii="Traditional Arabic" w:hAnsi="Traditional Arabic" w:hint="cs"/>
          <w:color w:val="auto"/>
          <w:sz w:val="32"/>
          <w:szCs w:val="32"/>
          <w:rtl/>
        </w:rPr>
        <w:t>,</w:t>
      </w:r>
      <w:r>
        <w:rPr>
          <w:rFonts w:ascii="Traditional Arabic" w:hAnsi="Traditional Arabic"/>
          <w:color w:val="auto"/>
          <w:sz w:val="32"/>
          <w:szCs w:val="32"/>
          <w:rtl/>
        </w:rPr>
        <w:t xml:space="preserve"> أب</w:t>
      </w:r>
      <w:r>
        <w:rPr>
          <w:rFonts w:ascii="Traditional Arabic" w:hAnsi="Traditional Arabic" w:hint="cs"/>
          <w:color w:val="auto"/>
          <w:sz w:val="32"/>
          <w:szCs w:val="32"/>
          <w:rtl/>
        </w:rPr>
        <w:t>و</w:t>
      </w:r>
      <w:r w:rsidRPr="00E94356">
        <w:rPr>
          <w:rFonts w:ascii="Traditional Arabic" w:hAnsi="Traditional Arabic"/>
          <w:color w:val="auto"/>
          <w:sz w:val="32"/>
          <w:szCs w:val="32"/>
          <w:rtl/>
        </w:rPr>
        <w:t xml:space="preserve"> حفص</w:t>
      </w:r>
      <w:r>
        <w:rPr>
          <w:rFonts w:ascii="Traditional Arabic" w:hAnsi="Traditional Arabic" w:hint="cs"/>
          <w:color w:val="auto"/>
          <w:sz w:val="32"/>
          <w:szCs w:val="32"/>
          <w:rtl/>
        </w:rPr>
        <w:t>,</w:t>
      </w:r>
      <w:r w:rsidRPr="00E94356">
        <w:rPr>
          <w:rFonts w:ascii="Traditional Arabic" w:hAnsi="Traditional Arabic"/>
          <w:color w:val="auto"/>
          <w:sz w:val="32"/>
          <w:szCs w:val="32"/>
          <w:rtl/>
        </w:rPr>
        <w:t xml:space="preserve"> عمر بن الخطاب بن نفيل بن عبدالعزي القرشي, العدوي, الفاروق, ثاني الخلفاء الراشدين, من أجل الصحابة, كان يضرب بعدله المثل,  (ت23ه). انظر: أسد الغابة (3/642)، تهذيب الكمال (21/317), سير أعلام النبلاء (2/71).</w:t>
      </w:r>
      <w:r w:rsidRPr="00E94356">
        <w:rPr>
          <w:rFonts w:ascii="Traditional Arabic" w:hAnsi="Traditional Arabic"/>
          <w:color w:val="auto"/>
          <w:sz w:val="32"/>
          <w:szCs w:val="32"/>
        </w:rPr>
        <w:t xml:space="preserve"> </w:t>
      </w:r>
    </w:p>
  </w:footnote>
  <w:footnote w:id="2320">
    <w:p w:rsidR="003F128F" w:rsidRPr="00E94356" w:rsidRDefault="003F128F" w:rsidP="00433168">
      <w:pPr>
        <w:ind w:firstLine="0"/>
        <w:rPr>
          <w:rFonts w:ascii="Traditional Arabic" w:hAnsi="Traditional Arabic"/>
          <w:sz w:val="32"/>
          <w:szCs w:val="32"/>
        </w:rPr>
      </w:pPr>
      <w:r w:rsidRPr="00E94356">
        <w:rPr>
          <w:rFonts w:ascii="Traditional Arabic" w:hAnsi="Traditional Arabic"/>
          <w:sz w:val="32"/>
          <w:szCs w:val="32"/>
          <w:rtl/>
        </w:rPr>
        <w:t>(</w:t>
      </w:r>
      <w:r w:rsidRPr="00E94356">
        <w:rPr>
          <w:rStyle w:val="ae"/>
          <w:rFonts w:ascii="Traditional Arabic" w:hAnsi="Traditional Arabic"/>
          <w:sz w:val="32"/>
          <w:szCs w:val="32"/>
          <w:vertAlign w:val="baseline"/>
        </w:rPr>
        <w:footnoteRef/>
      </w:r>
      <w:r w:rsidRPr="00E94356">
        <w:rPr>
          <w:rFonts w:ascii="Traditional Arabic" w:hAnsi="Traditional Arabic"/>
          <w:sz w:val="32"/>
          <w:szCs w:val="32"/>
          <w:rtl/>
        </w:rPr>
        <w:t xml:space="preserve">) أخرجه البخاري (كتاب المناقب, باب: </w:t>
      </w:r>
      <w:r w:rsidRPr="00E94356">
        <w:rPr>
          <w:rFonts w:ascii="Traditional Arabic" w:hAnsi="Traditional Arabic"/>
          <w:sz w:val="32"/>
          <w:szCs w:val="32"/>
          <w:rtl/>
          <w:lang w:eastAsia="en-US"/>
        </w:rPr>
        <w:t>علاماتِ النبوة في الإسلام</w:t>
      </w:r>
      <w:r w:rsidRPr="00E94356">
        <w:rPr>
          <w:rFonts w:ascii="Traditional Arabic" w:hAnsi="Traditional Arabic"/>
          <w:sz w:val="32"/>
          <w:szCs w:val="32"/>
          <w:rtl/>
        </w:rPr>
        <w:t xml:space="preserve"> 6/769 ح3634 وأطرافه في: ح3676, 3682, 7019, 7020), ومسلم (كتاب فضائل الصحابة</w:t>
      </w:r>
      <w:r w:rsidRPr="00E94356">
        <w:rPr>
          <w:rFonts w:ascii="Traditional Arabic" w:hAnsi="Traditional Arabic"/>
          <w:sz w:val="32"/>
          <w:szCs w:val="32"/>
        </w:rPr>
        <w:sym w:font="AGA Arabesque" w:char="F079"/>
      </w:r>
      <w:r w:rsidRPr="00E94356">
        <w:rPr>
          <w:rFonts w:ascii="Traditional Arabic" w:hAnsi="Traditional Arabic"/>
          <w:sz w:val="32"/>
          <w:szCs w:val="32"/>
          <w:rtl/>
        </w:rPr>
        <w:t xml:space="preserve">, باب: من فضائل عمر </w:t>
      </w:r>
      <w:r w:rsidRPr="00E94356">
        <w:rPr>
          <w:rFonts w:ascii="Traditional Arabic" w:hAnsi="Traditional Arabic"/>
          <w:sz w:val="32"/>
          <w:szCs w:val="32"/>
        </w:rPr>
        <w:sym w:font="AGA Arabesque" w:char="F074"/>
      </w:r>
      <w:r w:rsidRPr="00E94356">
        <w:rPr>
          <w:rFonts w:ascii="Traditional Arabic" w:hAnsi="Traditional Arabic"/>
          <w:sz w:val="32"/>
          <w:szCs w:val="32"/>
          <w:rtl/>
        </w:rPr>
        <w:t>,  8/158 ح6146). من حديث عبد الله بن عمر</w:t>
      </w:r>
      <w:r w:rsidRPr="00E94356">
        <w:rPr>
          <w:rFonts w:ascii="Traditional Arabic" w:hAnsi="Traditional Arabic"/>
          <w:sz w:val="32"/>
          <w:szCs w:val="32"/>
        </w:rPr>
        <w:sym w:font="AGA Arabesque" w:char="F079"/>
      </w:r>
      <w:r w:rsidRPr="00E94356">
        <w:rPr>
          <w:rFonts w:ascii="Traditional Arabic" w:hAnsi="Traditional Arabic"/>
          <w:sz w:val="32"/>
          <w:szCs w:val="32"/>
          <w:rtl/>
        </w:rPr>
        <w:t xml:space="preserve">, ولفظ البخاري «رأيت الناس مجتمعين في صعيد فقام أبو بكر فنزع  ذَنوباً أو ذَنوبَين وفي بعض نَزعهِ ضعف واللهُ يَغفرُ له، ثم أخذها عمرُ فاستحالَتْ بيدِهِ غَرْباً. فلم أرَ عبقرياً في الناس يَفري فَرِيَّه، حتى ضرَبَ الناسُ بعَطَنٍ». </w:t>
      </w:r>
    </w:p>
  </w:footnote>
  <w:footnote w:id="2321">
    <w:p w:rsidR="003F128F" w:rsidRPr="00E94356" w:rsidRDefault="003F128F" w:rsidP="00433168">
      <w:pPr>
        <w:pStyle w:val="af3"/>
        <w:rPr>
          <w:rFonts w:ascii="Traditional Arabic" w:hAnsi="Traditional Arabic"/>
          <w:sz w:val="32"/>
          <w:szCs w:val="32"/>
        </w:rPr>
      </w:pPr>
      <w:r w:rsidRPr="00E94356">
        <w:rPr>
          <w:rFonts w:ascii="Traditional Arabic" w:hAnsi="Traditional Arabic"/>
          <w:sz w:val="32"/>
          <w:szCs w:val="32"/>
          <w:rtl/>
        </w:rPr>
        <w:t>(</w:t>
      </w:r>
      <w:r w:rsidRPr="00E94356">
        <w:rPr>
          <w:rStyle w:val="ae"/>
          <w:rFonts w:ascii="Traditional Arabic" w:hAnsi="Traditional Arabic"/>
          <w:sz w:val="32"/>
          <w:szCs w:val="32"/>
          <w:vertAlign w:val="baseline"/>
        </w:rPr>
        <w:footnoteRef/>
      </w:r>
      <w:r w:rsidRPr="00E94356">
        <w:rPr>
          <w:rFonts w:ascii="Traditional Arabic" w:hAnsi="Traditional Arabic"/>
          <w:sz w:val="32"/>
          <w:szCs w:val="32"/>
          <w:rtl/>
        </w:rPr>
        <w:t xml:space="preserve">) انظر: مجاز القرآن (2/7). </w:t>
      </w:r>
    </w:p>
  </w:footnote>
  <w:footnote w:id="2322">
    <w:p w:rsidR="003F128F" w:rsidRPr="00E94356" w:rsidRDefault="003F128F" w:rsidP="00433168">
      <w:pPr>
        <w:pStyle w:val="af3"/>
        <w:rPr>
          <w:rFonts w:ascii="Traditional Arabic" w:hAnsi="Traditional Arabic"/>
          <w:sz w:val="32"/>
          <w:szCs w:val="32"/>
        </w:rPr>
      </w:pPr>
      <w:r w:rsidRPr="00E94356">
        <w:rPr>
          <w:rFonts w:ascii="Traditional Arabic" w:hAnsi="Traditional Arabic"/>
          <w:color w:val="auto"/>
          <w:sz w:val="32"/>
          <w:szCs w:val="32"/>
          <w:rtl/>
        </w:rPr>
        <w:t>(</w:t>
      </w:r>
      <w:r w:rsidRPr="00E94356">
        <w:rPr>
          <w:rStyle w:val="ae"/>
          <w:rFonts w:ascii="Traditional Arabic" w:hAnsi="Traditional Arabic"/>
          <w:color w:val="auto"/>
          <w:sz w:val="32"/>
          <w:szCs w:val="32"/>
          <w:vertAlign w:val="baseline"/>
        </w:rPr>
        <w:footnoteRef/>
      </w:r>
      <w:r w:rsidRPr="00E94356">
        <w:rPr>
          <w:rFonts w:ascii="Traditional Arabic" w:hAnsi="Traditional Arabic"/>
          <w:color w:val="auto"/>
          <w:sz w:val="32"/>
          <w:szCs w:val="32"/>
          <w:rtl/>
        </w:rPr>
        <w:t>) هو الإمام المقرئ</w:t>
      </w:r>
      <w:r>
        <w:rPr>
          <w:rFonts w:ascii="Traditional Arabic" w:hAnsi="Traditional Arabic" w:hint="cs"/>
          <w:color w:val="auto"/>
          <w:sz w:val="32"/>
          <w:szCs w:val="32"/>
          <w:rtl/>
        </w:rPr>
        <w:t>,</w:t>
      </w:r>
      <w:r w:rsidRPr="00E94356">
        <w:rPr>
          <w:rFonts w:ascii="Traditional Arabic" w:hAnsi="Traditional Arabic"/>
          <w:color w:val="auto"/>
          <w:sz w:val="32"/>
          <w:szCs w:val="32"/>
          <w:rtl/>
        </w:rPr>
        <w:t xml:space="preserve"> المفسر</w:t>
      </w:r>
      <w:r>
        <w:rPr>
          <w:rFonts w:ascii="Traditional Arabic" w:hAnsi="Traditional Arabic" w:hint="cs"/>
          <w:color w:val="auto"/>
          <w:sz w:val="32"/>
          <w:szCs w:val="32"/>
          <w:rtl/>
        </w:rPr>
        <w:t>,</w:t>
      </w:r>
      <w:r w:rsidRPr="00E94356">
        <w:rPr>
          <w:rFonts w:ascii="Traditional Arabic" w:hAnsi="Traditional Arabic"/>
          <w:color w:val="auto"/>
          <w:sz w:val="32"/>
          <w:szCs w:val="32"/>
          <w:rtl/>
        </w:rPr>
        <w:t xml:space="preserve"> أبو عبد الرحمن</w:t>
      </w:r>
      <w:r>
        <w:rPr>
          <w:rFonts w:ascii="Traditional Arabic" w:hAnsi="Traditional Arabic" w:hint="cs"/>
          <w:color w:val="auto"/>
          <w:sz w:val="32"/>
          <w:szCs w:val="32"/>
          <w:rtl/>
        </w:rPr>
        <w:t>,</w:t>
      </w:r>
      <w:r w:rsidRPr="00E94356">
        <w:rPr>
          <w:rFonts w:ascii="Traditional Arabic" w:hAnsi="Traditional Arabic"/>
          <w:color w:val="auto"/>
          <w:sz w:val="32"/>
          <w:szCs w:val="32"/>
          <w:rtl/>
        </w:rPr>
        <w:t xml:space="preserve"> عبدالله بن يحيى بن المبارك اليزيدي, العدوي, البغدادي, النحوي, اللغوي, له كتاب "غريب القرآن وتفسيره", و"الوقف والابتداء", وغيرها, (ت237ه). انظر: غاية النهاية (1/645), معجم المؤلفين </w:t>
      </w:r>
      <w:r w:rsidRPr="00E94356">
        <w:rPr>
          <w:rFonts w:ascii="Traditional Arabic" w:hAnsi="Traditional Arabic"/>
          <w:sz w:val="32"/>
          <w:szCs w:val="32"/>
          <w:rtl/>
        </w:rPr>
        <w:t>(6/163).</w:t>
      </w:r>
    </w:p>
  </w:footnote>
  <w:footnote w:id="2323">
    <w:p w:rsidR="003F128F" w:rsidRPr="00A02821" w:rsidRDefault="003F128F" w:rsidP="00433168">
      <w:pPr>
        <w:pStyle w:val="af3"/>
        <w:rPr>
          <w:rFonts w:ascii="Traditional Arabic" w:hAnsi="Traditional Arabic"/>
          <w:sz w:val="32"/>
          <w:szCs w:val="32"/>
        </w:rPr>
      </w:pPr>
      <w:r w:rsidRPr="00A02821">
        <w:rPr>
          <w:rFonts w:ascii="Traditional Arabic" w:hAnsi="Traditional Arabic"/>
          <w:sz w:val="32"/>
          <w:szCs w:val="32"/>
          <w:rtl/>
        </w:rPr>
        <w:t>(</w:t>
      </w:r>
      <w:r w:rsidRPr="00A02821">
        <w:rPr>
          <w:rStyle w:val="ae"/>
          <w:rFonts w:ascii="Traditional Arabic" w:hAnsi="Traditional Arabic"/>
          <w:sz w:val="32"/>
          <w:szCs w:val="32"/>
          <w:vertAlign w:val="baseline"/>
        </w:rPr>
        <w:footnoteRef/>
      </w:r>
      <w:r w:rsidRPr="00A02821">
        <w:rPr>
          <w:rFonts w:ascii="Traditional Arabic" w:hAnsi="Traditional Arabic"/>
          <w:sz w:val="32"/>
          <w:szCs w:val="32"/>
          <w:rtl/>
        </w:rPr>
        <w:t>) انظر: غريب القرآن وتفسيره لليزيدي (ص238).</w:t>
      </w:r>
    </w:p>
  </w:footnote>
  <w:footnote w:id="2324">
    <w:p w:rsidR="003F128F" w:rsidRPr="00A02821" w:rsidRDefault="003F128F" w:rsidP="00433168">
      <w:pPr>
        <w:pStyle w:val="af3"/>
        <w:rPr>
          <w:rFonts w:ascii="Traditional Arabic" w:hAnsi="Traditional Arabic"/>
          <w:sz w:val="32"/>
          <w:szCs w:val="32"/>
        </w:rPr>
      </w:pPr>
      <w:r w:rsidRPr="00A02821">
        <w:rPr>
          <w:rFonts w:ascii="Traditional Arabic" w:hAnsi="Traditional Arabic"/>
          <w:sz w:val="32"/>
          <w:szCs w:val="32"/>
          <w:rtl/>
        </w:rPr>
        <w:t>(</w:t>
      </w:r>
      <w:r w:rsidRPr="00A02821">
        <w:rPr>
          <w:rStyle w:val="ae"/>
          <w:rFonts w:ascii="Traditional Arabic" w:hAnsi="Traditional Arabic"/>
          <w:sz w:val="32"/>
          <w:szCs w:val="32"/>
          <w:vertAlign w:val="baseline"/>
        </w:rPr>
        <w:footnoteRef/>
      </w:r>
      <w:r w:rsidRPr="00A02821">
        <w:rPr>
          <w:rFonts w:ascii="Traditional Arabic" w:hAnsi="Traditional Arabic"/>
          <w:sz w:val="32"/>
          <w:szCs w:val="32"/>
          <w:rtl/>
        </w:rPr>
        <w:t>) أمثل: أي أفضل. انظر: العين (8/229) مادة (مثل), تهذيب اللغة (15/72) مادة (مثل).</w:t>
      </w:r>
    </w:p>
  </w:footnote>
  <w:footnote w:id="2325">
    <w:p w:rsidR="003F128F" w:rsidRPr="00A02821" w:rsidRDefault="003F128F" w:rsidP="00433168">
      <w:pPr>
        <w:pStyle w:val="af3"/>
        <w:rPr>
          <w:rFonts w:ascii="Traditional Arabic" w:hAnsi="Traditional Arabic"/>
          <w:sz w:val="32"/>
          <w:szCs w:val="32"/>
        </w:rPr>
      </w:pPr>
      <w:r w:rsidRPr="00A02821">
        <w:rPr>
          <w:rFonts w:ascii="Traditional Arabic" w:hAnsi="Traditional Arabic"/>
          <w:color w:val="auto"/>
          <w:sz w:val="32"/>
          <w:szCs w:val="32"/>
          <w:rtl/>
        </w:rPr>
        <w:t>(</w:t>
      </w:r>
      <w:r w:rsidRPr="00A02821">
        <w:rPr>
          <w:rStyle w:val="ae"/>
          <w:rFonts w:ascii="Traditional Arabic" w:hAnsi="Traditional Arabic"/>
          <w:color w:val="auto"/>
          <w:sz w:val="32"/>
          <w:szCs w:val="32"/>
          <w:vertAlign w:val="baseline"/>
        </w:rPr>
        <w:footnoteRef/>
      </w:r>
      <w:r w:rsidRPr="00A02821">
        <w:rPr>
          <w:rFonts w:ascii="Traditional Arabic" w:hAnsi="Traditional Arabic"/>
          <w:color w:val="auto"/>
          <w:sz w:val="32"/>
          <w:szCs w:val="32"/>
          <w:rtl/>
        </w:rPr>
        <w:t>) انظر: رموز الكنوز (4/414),</w:t>
      </w:r>
      <w:r>
        <w:rPr>
          <w:rFonts w:ascii="Traditional Arabic" w:hAnsi="Traditional Arabic" w:hint="cs"/>
          <w:color w:val="auto"/>
          <w:sz w:val="32"/>
          <w:szCs w:val="32"/>
          <w:rtl/>
        </w:rPr>
        <w:t xml:space="preserve"> وذكره أبو حيان في البحر المحيط (7/257) بدون نسبة,</w:t>
      </w:r>
      <w:r w:rsidRPr="00A02821">
        <w:rPr>
          <w:rFonts w:ascii="Traditional Arabic" w:hAnsi="Traditional Arabic"/>
          <w:color w:val="auto"/>
          <w:sz w:val="32"/>
          <w:szCs w:val="32"/>
          <w:rtl/>
        </w:rPr>
        <w:t xml:space="preserve"> وقد ورد عن الكلبي أنه قال:</w:t>
      </w:r>
      <w:r w:rsidRPr="00A02821">
        <w:rPr>
          <w:rFonts w:ascii="Traditional Arabic" w:hAnsi="Traditional Arabic"/>
          <w:color w:val="auto"/>
          <w:sz w:val="32"/>
          <w:szCs w:val="32"/>
          <w:rtl/>
          <w:lang w:eastAsia="en-US"/>
        </w:rPr>
        <w:t xml:space="preserve"> </w:t>
      </w:r>
      <w:r w:rsidRPr="00A02821">
        <w:rPr>
          <w:rFonts w:ascii="Traditional Arabic" w:hAnsi="Traditional Arabic"/>
          <w:color w:val="auto"/>
          <w:sz w:val="32"/>
          <w:szCs w:val="32"/>
          <w:rtl/>
        </w:rPr>
        <w:t xml:space="preserve">كان هارون أخا مريم من أبيها ليس من أمها وكان أمثل رجل في بني إسرائيل. انظر: الكشف والبيان (6/213), التفسير الوسيط (3/182). </w:t>
      </w:r>
    </w:p>
  </w:footnote>
  <w:footnote w:id="2326">
    <w:p w:rsidR="003F128F" w:rsidRPr="00E94356" w:rsidRDefault="003F128F" w:rsidP="00433168">
      <w:pPr>
        <w:pStyle w:val="af3"/>
        <w:rPr>
          <w:rFonts w:ascii="Traditional Arabic" w:hAnsi="Traditional Arabic"/>
          <w:sz w:val="32"/>
          <w:szCs w:val="32"/>
        </w:rPr>
      </w:pPr>
      <w:r w:rsidRPr="00E94356">
        <w:rPr>
          <w:rFonts w:ascii="Traditional Arabic" w:hAnsi="Traditional Arabic"/>
          <w:sz w:val="32"/>
          <w:szCs w:val="32"/>
          <w:rtl/>
        </w:rPr>
        <w:t>(</w:t>
      </w:r>
      <w:r w:rsidRPr="00E94356">
        <w:rPr>
          <w:rStyle w:val="ae"/>
          <w:rFonts w:ascii="Traditional Arabic" w:hAnsi="Traditional Arabic"/>
          <w:sz w:val="32"/>
          <w:szCs w:val="32"/>
          <w:vertAlign w:val="baseline"/>
        </w:rPr>
        <w:footnoteRef/>
      </w:r>
      <w:r>
        <w:rPr>
          <w:rFonts w:ascii="Traditional Arabic" w:hAnsi="Traditional Arabic"/>
          <w:sz w:val="32"/>
          <w:szCs w:val="32"/>
          <w:rtl/>
        </w:rPr>
        <w:t xml:space="preserve">) </w:t>
      </w:r>
      <w:r>
        <w:rPr>
          <w:rFonts w:ascii="Traditional Arabic" w:hAnsi="Traditional Arabic" w:hint="cs"/>
          <w:sz w:val="32"/>
          <w:szCs w:val="32"/>
          <w:rtl/>
        </w:rPr>
        <w:t xml:space="preserve">انظر: </w:t>
      </w:r>
      <w:r w:rsidRPr="00807338">
        <w:rPr>
          <w:rFonts w:ascii="Traditional Arabic" w:hAnsi="Traditional Arabic"/>
          <w:sz w:val="32"/>
          <w:szCs w:val="32"/>
          <w:rtl/>
        </w:rPr>
        <w:t>النكت والعيون (3/36</w:t>
      </w:r>
      <w:r>
        <w:rPr>
          <w:rFonts w:ascii="Traditional Arabic" w:hAnsi="Traditional Arabic" w:hint="cs"/>
          <w:sz w:val="32"/>
          <w:szCs w:val="32"/>
          <w:rtl/>
        </w:rPr>
        <w:t>9</w:t>
      </w:r>
      <w:r w:rsidRPr="00807338">
        <w:rPr>
          <w:rFonts w:ascii="Traditional Arabic" w:hAnsi="Traditional Arabic"/>
          <w:sz w:val="32"/>
          <w:szCs w:val="32"/>
          <w:rtl/>
        </w:rPr>
        <w:t>)</w:t>
      </w:r>
      <w:r>
        <w:rPr>
          <w:rFonts w:ascii="Traditional Arabic" w:hAnsi="Traditional Arabic" w:hint="cs"/>
          <w:sz w:val="32"/>
          <w:szCs w:val="32"/>
          <w:rtl/>
        </w:rPr>
        <w:t xml:space="preserve">, </w:t>
      </w:r>
      <w:r w:rsidRPr="005E415E">
        <w:rPr>
          <w:rFonts w:ascii="Traditional Arabic" w:hAnsi="Traditional Arabic" w:hint="cs"/>
          <w:sz w:val="32"/>
          <w:szCs w:val="32"/>
          <w:rtl/>
        </w:rPr>
        <w:t>رموز الكنوز (4/414)</w:t>
      </w:r>
      <w:r w:rsidRPr="00807338">
        <w:rPr>
          <w:rFonts w:ascii="Traditional Arabic" w:hAnsi="Traditional Arabic"/>
          <w:sz w:val="32"/>
          <w:szCs w:val="32"/>
          <w:rtl/>
        </w:rPr>
        <w:t>.</w:t>
      </w:r>
    </w:p>
  </w:footnote>
  <w:footnote w:id="2327">
    <w:p w:rsidR="003F128F" w:rsidRPr="00530FD8" w:rsidRDefault="003F128F" w:rsidP="00433168">
      <w:pPr>
        <w:pStyle w:val="af3"/>
        <w:rPr>
          <w:rFonts w:ascii="Traditional Arabic" w:hAnsi="Traditional Arabic"/>
          <w:sz w:val="32"/>
          <w:szCs w:val="32"/>
        </w:rPr>
      </w:pPr>
      <w:r w:rsidRPr="00530FD8">
        <w:rPr>
          <w:rFonts w:ascii="Traditional Arabic" w:hAnsi="Traditional Arabic"/>
          <w:sz w:val="32"/>
          <w:szCs w:val="32"/>
          <w:rtl/>
        </w:rPr>
        <w:t>(</w:t>
      </w:r>
      <w:r w:rsidRPr="00530FD8">
        <w:rPr>
          <w:rStyle w:val="ae"/>
          <w:rFonts w:ascii="Traditional Arabic" w:hAnsi="Traditional Arabic"/>
          <w:sz w:val="32"/>
          <w:szCs w:val="32"/>
          <w:vertAlign w:val="baseline"/>
        </w:rPr>
        <w:footnoteRef/>
      </w:r>
      <w:r w:rsidRPr="00530FD8">
        <w:rPr>
          <w:rFonts w:ascii="Traditional Arabic" w:hAnsi="Traditional Arabic"/>
          <w:sz w:val="32"/>
          <w:szCs w:val="32"/>
          <w:rtl/>
        </w:rPr>
        <w:t xml:space="preserve">) </w:t>
      </w:r>
      <w:r w:rsidRPr="00530FD8">
        <w:rPr>
          <w:rFonts w:ascii="Traditional Arabic" w:hAnsi="Traditional Arabic"/>
          <w:color w:val="auto"/>
          <w:sz w:val="32"/>
          <w:szCs w:val="32"/>
          <w:rtl/>
        </w:rPr>
        <w:t>انظر: تاريخ ابن عساكر (70/99).</w:t>
      </w:r>
    </w:p>
  </w:footnote>
  <w:footnote w:id="2328">
    <w:p w:rsidR="003F128F" w:rsidRPr="00530FD8" w:rsidRDefault="003F128F" w:rsidP="00433168">
      <w:pPr>
        <w:pStyle w:val="af3"/>
        <w:rPr>
          <w:rFonts w:ascii="Traditional Arabic" w:hAnsi="Traditional Arabic"/>
          <w:sz w:val="32"/>
          <w:szCs w:val="32"/>
        </w:rPr>
      </w:pPr>
      <w:r w:rsidRPr="00530FD8">
        <w:rPr>
          <w:rFonts w:ascii="Traditional Arabic" w:hAnsi="Traditional Arabic"/>
          <w:sz w:val="32"/>
          <w:szCs w:val="32"/>
          <w:rtl/>
        </w:rPr>
        <w:t>(</w:t>
      </w:r>
      <w:r w:rsidRPr="00530FD8">
        <w:rPr>
          <w:rStyle w:val="ae"/>
          <w:rFonts w:ascii="Traditional Arabic" w:hAnsi="Traditional Arabic"/>
          <w:sz w:val="32"/>
          <w:szCs w:val="32"/>
          <w:vertAlign w:val="baseline"/>
        </w:rPr>
        <w:footnoteRef/>
      </w:r>
      <w:r w:rsidRPr="00530FD8">
        <w:rPr>
          <w:rFonts w:ascii="Traditional Arabic" w:hAnsi="Traditional Arabic"/>
          <w:sz w:val="32"/>
          <w:szCs w:val="32"/>
          <w:rtl/>
        </w:rPr>
        <w:t>) في (ك): [قال السدي].</w:t>
      </w:r>
    </w:p>
  </w:footnote>
  <w:footnote w:id="2329">
    <w:p w:rsidR="003F128F" w:rsidRPr="00530FD8" w:rsidRDefault="003F128F" w:rsidP="00433168">
      <w:pPr>
        <w:pStyle w:val="af3"/>
        <w:rPr>
          <w:rFonts w:ascii="Traditional Arabic" w:hAnsi="Traditional Arabic"/>
          <w:sz w:val="32"/>
          <w:szCs w:val="32"/>
        </w:rPr>
      </w:pPr>
      <w:r w:rsidRPr="00530FD8">
        <w:rPr>
          <w:rFonts w:ascii="Traditional Arabic" w:hAnsi="Traditional Arabic"/>
          <w:sz w:val="32"/>
          <w:szCs w:val="32"/>
          <w:rtl/>
        </w:rPr>
        <w:t>(</w:t>
      </w:r>
      <w:r w:rsidRPr="00530FD8">
        <w:rPr>
          <w:rStyle w:val="ae"/>
          <w:rFonts w:ascii="Traditional Arabic" w:hAnsi="Traditional Arabic"/>
          <w:sz w:val="32"/>
          <w:szCs w:val="32"/>
          <w:vertAlign w:val="baseline"/>
        </w:rPr>
        <w:footnoteRef/>
      </w:r>
      <w:r w:rsidRPr="00530FD8">
        <w:rPr>
          <w:rFonts w:ascii="Traditional Arabic" w:hAnsi="Traditional Arabic"/>
          <w:sz w:val="32"/>
          <w:szCs w:val="32"/>
          <w:rtl/>
        </w:rPr>
        <w:t xml:space="preserve">) انظر: تفسير الطبري (18/187), تفسير ابن أبي حاتم (7/2407). </w:t>
      </w:r>
    </w:p>
  </w:footnote>
  <w:footnote w:id="2330">
    <w:p w:rsidR="003F128F" w:rsidRPr="00530FD8" w:rsidRDefault="003F128F" w:rsidP="00433168">
      <w:pPr>
        <w:pStyle w:val="af3"/>
        <w:rPr>
          <w:rFonts w:ascii="Traditional Arabic" w:hAnsi="Traditional Arabic"/>
          <w:sz w:val="32"/>
          <w:szCs w:val="32"/>
        </w:rPr>
      </w:pPr>
      <w:r w:rsidRPr="00530FD8">
        <w:rPr>
          <w:rFonts w:ascii="Traditional Arabic" w:hAnsi="Traditional Arabic"/>
          <w:sz w:val="32"/>
          <w:szCs w:val="32"/>
          <w:rtl/>
        </w:rPr>
        <w:t>(</w:t>
      </w:r>
      <w:r w:rsidRPr="00530FD8">
        <w:rPr>
          <w:rStyle w:val="ae"/>
          <w:rFonts w:ascii="Traditional Arabic" w:hAnsi="Traditional Arabic"/>
          <w:sz w:val="32"/>
          <w:szCs w:val="32"/>
          <w:vertAlign w:val="baseline"/>
        </w:rPr>
        <w:footnoteRef/>
      </w:r>
      <w:r w:rsidRPr="00530FD8">
        <w:rPr>
          <w:rFonts w:ascii="Traditional Arabic" w:hAnsi="Traditional Arabic"/>
          <w:sz w:val="32"/>
          <w:szCs w:val="32"/>
          <w:rtl/>
        </w:rPr>
        <w:t>) انظر: التفسير الوسيط (3/182),</w:t>
      </w:r>
      <w:r w:rsidRPr="00530FD8">
        <w:rPr>
          <w:rFonts w:ascii="Traditional Arabic" w:hAnsi="Traditional Arabic"/>
          <w:color w:val="auto"/>
          <w:sz w:val="32"/>
          <w:szCs w:val="32"/>
          <w:rtl/>
        </w:rPr>
        <w:t xml:space="preserve"> </w:t>
      </w:r>
      <w:r w:rsidRPr="00530FD8">
        <w:rPr>
          <w:rFonts w:ascii="Traditional Arabic" w:hAnsi="Traditional Arabic"/>
          <w:sz w:val="32"/>
          <w:szCs w:val="32"/>
          <w:rtl/>
        </w:rPr>
        <w:t xml:space="preserve">رموز الكنوز (4/414). </w:t>
      </w:r>
    </w:p>
  </w:footnote>
  <w:footnote w:id="2331">
    <w:p w:rsidR="003F128F" w:rsidRPr="00584E70" w:rsidRDefault="003F128F" w:rsidP="00433168">
      <w:pPr>
        <w:pStyle w:val="af3"/>
        <w:rPr>
          <w:rFonts w:ascii="Traditional Arabic" w:hAnsi="Traditional Arabic"/>
          <w:sz w:val="32"/>
          <w:szCs w:val="32"/>
        </w:rPr>
      </w:pPr>
      <w:r w:rsidRPr="00584E70">
        <w:rPr>
          <w:rFonts w:ascii="Traditional Arabic" w:hAnsi="Traditional Arabic"/>
          <w:sz w:val="32"/>
          <w:szCs w:val="32"/>
          <w:rtl/>
        </w:rPr>
        <w:t>(</w:t>
      </w:r>
      <w:r w:rsidRPr="00584E70">
        <w:rPr>
          <w:rStyle w:val="ae"/>
          <w:rFonts w:ascii="Traditional Arabic" w:hAnsi="Traditional Arabic"/>
          <w:sz w:val="32"/>
          <w:szCs w:val="32"/>
          <w:vertAlign w:val="baseline"/>
        </w:rPr>
        <w:footnoteRef/>
      </w:r>
      <w:r w:rsidRPr="00584E70">
        <w:rPr>
          <w:rFonts w:ascii="Traditional Arabic" w:hAnsi="Traditional Arabic"/>
          <w:sz w:val="32"/>
          <w:szCs w:val="32"/>
          <w:rtl/>
        </w:rPr>
        <w:t xml:space="preserve">) انظر: تفسير يحيى بن سلام (1/222), تفسير عبدالرزاق (2/358).  </w:t>
      </w:r>
    </w:p>
  </w:footnote>
  <w:footnote w:id="2332">
    <w:p w:rsidR="003F128F" w:rsidRPr="00584E70" w:rsidRDefault="003F128F" w:rsidP="00433168">
      <w:pPr>
        <w:pStyle w:val="af3"/>
        <w:rPr>
          <w:rFonts w:ascii="Traditional Arabic" w:hAnsi="Traditional Arabic"/>
          <w:sz w:val="32"/>
          <w:szCs w:val="32"/>
        </w:rPr>
      </w:pPr>
      <w:r w:rsidRPr="00584E70">
        <w:rPr>
          <w:rFonts w:ascii="Traditional Arabic" w:hAnsi="Traditional Arabic"/>
          <w:sz w:val="32"/>
          <w:szCs w:val="32"/>
          <w:rtl/>
        </w:rPr>
        <w:t>(</w:t>
      </w:r>
      <w:r w:rsidRPr="00584E70">
        <w:rPr>
          <w:rStyle w:val="ae"/>
          <w:rFonts w:ascii="Traditional Arabic" w:hAnsi="Traditional Arabic"/>
          <w:sz w:val="32"/>
          <w:szCs w:val="32"/>
          <w:vertAlign w:val="baseline"/>
        </w:rPr>
        <w:footnoteRef/>
      </w:r>
      <w:r w:rsidRPr="00584E70">
        <w:rPr>
          <w:rFonts w:ascii="Traditional Arabic" w:hAnsi="Traditional Arabic"/>
          <w:sz w:val="32"/>
          <w:szCs w:val="32"/>
          <w:rtl/>
        </w:rPr>
        <w:t xml:space="preserve">) هو صاحب رسول الله </w:t>
      </w:r>
      <w:r w:rsidRPr="00584E70">
        <w:rPr>
          <w:rFonts w:ascii="Traditional Arabic" w:hAnsi="Traditional Arabic"/>
          <w:sz w:val="32"/>
          <w:szCs w:val="32"/>
        </w:rPr>
        <w:sym w:font="AGA Arabesque" w:char="F072"/>
      </w:r>
      <w:r>
        <w:rPr>
          <w:rFonts w:ascii="Traditional Arabic" w:hAnsi="Traditional Arabic" w:hint="cs"/>
          <w:sz w:val="32"/>
          <w:szCs w:val="32"/>
          <w:rtl/>
        </w:rPr>
        <w:t>,</w:t>
      </w:r>
      <w:r w:rsidRPr="00584E70">
        <w:rPr>
          <w:rFonts w:ascii="Traditional Arabic" w:hAnsi="Traditional Arabic"/>
          <w:sz w:val="32"/>
          <w:szCs w:val="32"/>
          <w:rtl/>
        </w:rPr>
        <w:t xml:space="preserve"> أبو عبدالله</w:t>
      </w:r>
      <w:r>
        <w:rPr>
          <w:rFonts w:ascii="Traditional Arabic" w:hAnsi="Traditional Arabic" w:hint="cs"/>
          <w:sz w:val="32"/>
          <w:szCs w:val="32"/>
          <w:rtl/>
        </w:rPr>
        <w:t>,</w:t>
      </w:r>
      <w:r w:rsidRPr="00584E70">
        <w:rPr>
          <w:rFonts w:ascii="Traditional Arabic" w:hAnsi="Traditional Arabic"/>
          <w:sz w:val="32"/>
          <w:szCs w:val="32"/>
          <w:rtl/>
        </w:rPr>
        <w:t xml:space="preserve"> المغيرة بن شعبة بن أبي عامر بن مسعود الثقفي،</w:t>
      </w:r>
      <w:r w:rsidRPr="00584E70">
        <w:rPr>
          <w:rFonts w:ascii="Traditional Arabic" w:hAnsi="Traditional Arabic"/>
          <w:sz w:val="32"/>
          <w:szCs w:val="32"/>
          <w:rtl/>
          <w:lang w:eastAsia="en-US"/>
        </w:rPr>
        <w:t xml:space="preserve"> </w:t>
      </w:r>
      <w:r w:rsidRPr="00584E70">
        <w:rPr>
          <w:rFonts w:ascii="Traditional Arabic" w:hAnsi="Traditional Arabic"/>
          <w:sz w:val="32"/>
          <w:szCs w:val="32"/>
          <w:rtl/>
        </w:rPr>
        <w:t>أمير الكوفة, أسلم عام الخندق، وشهد الحديبية، وهو من كبار الصحابة أُولي الشجاعة, (ت50ه). انظر: أسد الغابة (5/238)، تهذيب الكمال (28/370), سير أعلام النبلاء (3/21).</w:t>
      </w:r>
      <w:r w:rsidRPr="00584E70">
        <w:rPr>
          <w:rFonts w:ascii="Traditional Arabic" w:hAnsi="Traditional Arabic"/>
          <w:sz w:val="32"/>
          <w:szCs w:val="32"/>
        </w:rPr>
        <w:t xml:space="preserve"> </w:t>
      </w:r>
      <w:r w:rsidRPr="00584E70">
        <w:rPr>
          <w:rFonts w:ascii="Traditional Arabic" w:hAnsi="Traditional Arabic"/>
          <w:sz w:val="32"/>
          <w:szCs w:val="32"/>
          <w:rtl/>
        </w:rPr>
        <w:t xml:space="preserve"> </w:t>
      </w:r>
    </w:p>
  </w:footnote>
  <w:footnote w:id="2333">
    <w:p w:rsidR="003F128F" w:rsidRPr="00584E70" w:rsidRDefault="003F128F" w:rsidP="00433168">
      <w:pPr>
        <w:ind w:firstLine="0"/>
        <w:rPr>
          <w:rFonts w:ascii="Traditional Arabic" w:hAnsi="Traditional Arabic"/>
          <w:sz w:val="32"/>
          <w:szCs w:val="32"/>
        </w:rPr>
      </w:pPr>
      <w:r w:rsidRPr="00584E70">
        <w:rPr>
          <w:rFonts w:ascii="Traditional Arabic" w:hAnsi="Traditional Arabic"/>
          <w:sz w:val="32"/>
          <w:szCs w:val="32"/>
          <w:rtl/>
        </w:rPr>
        <w:t>(</w:t>
      </w:r>
      <w:r w:rsidRPr="00584E70">
        <w:rPr>
          <w:rStyle w:val="ae"/>
          <w:rFonts w:ascii="Traditional Arabic" w:hAnsi="Traditional Arabic"/>
          <w:sz w:val="32"/>
          <w:szCs w:val="32"/>
          <w:vertAlign w:val="baseline"/>
        </w:rPr>
        <w:footnoteRef/>
      </w:r>
      <w:r w:rsidRPr="00584E70">
        <w:rPr>
          <w:rFonts w:ascii="Traditional Arabic" w:hAnsi="Traditional Arabic"/>
          <w:sz w:val="32"/>
          <w:szCs w:val="32"/>
          <w:rtl/>
        </w:rPr>
        <w:t>) أخرجه مسلم (كتاب الآداب, باب: النهي عن التكني بأبي القاسم, وبيان ما يستحب من الأسماء  7/342 ح5563).</w:t>
      </w:r>
    </w:p>
  </w:footnote>
  <w:footnote w:id="2334">
    <w:p w:rsidR="003F128F" w:rsidRPr="00584E70" w:rsidRDefault="003F128F" w:rsidP="00433168">
      <w:pPr>
        <w:pStyle w:val="af3"/>
        <w:rPr>
          <w:rFonts w:ascii="Traditional Arabic" w:hAnsi="Traditional Arabic"/>
          <w:sz w:val="32"/>
          <w:szCs w:val="32"/>
        </w:rPr>
      </w:pPr>
      <w:r w:rsidRPr="00584E70">
        <w:rPr>
          <w:rFonts w:ascii="Traditional Arabic" w:hAnsi="Traditional Arabic"/>
          <w:sz w:val="32"/>
          <w:szCs w:val="32"/>
          <w:rtl/>
        </w:rPr>
        <w:t>(</w:t>
      </w:r>
      <w:r w:rsidRPr="00584E70">
        <w:rPr>
          <w:rStyle w:val="ae"/>
          <w:rFonts w:ascii="Traditional Arabic" w:hAnsi="Traditional Arabic"/>
          <w:sz w:val="32"/>
          <w:szCs w:val="32"/>
          <w:vertAlign w:val="baseline"/>
        </w:rPr>
        <w:footnoteRef/>
      </w:r>
      <w:r w:rsidRPr="00584E70">
        <w:rPr>
          <w:rFonts w:ascii="Traditional Arabic" w:hAnsi="Traditional Arabic"/>
          <w:sz w:val="32"/>
          <w:szCs w:val="32"/>
          <w:rtl/>
        </w:rPr>
        <w:t xml:space="preserve">) انظر: تفسير ابن أبي حاتم (7/2407), الهداية (7/4530).  </w:t>
      </w:r>
    </w:p>
  </w:footnote>
  <w:footnote w:id="2335">
    <w:p w:rsidR="003F128F" w:rsidRPr="00584E70" w:rsidRDefault="003F128F" w:rsidP="00433168">
      <w:pPr>
        <w:pStyle w:val="af3"/>
        <w:rPr>
          <w:rFonts w:ascii="Traditional Arabic" w:hAnsi="Traditional Arabic"/>
          <w:sz w:val="32"/>
          <w:szCs w:val="32"/>
        </w:rPr>
      </w:pPr>
      <w:r w:rsidRPr="00584E70">
        <w:rPr>
          <w:rFonts w:ascii="Traditional Arabic" w:hAnsi="Traditional Arabic"/>
          <w:sz w:val="32"/>
          <w:szCs w:val="32"/>
          <w:rtl/>
        </w:rPr>
        <w:t>(</w:t>
      </w:r>
      <w:r w:rsidRPr="00584E70">
        <w:rPr>
          <w:rStyle w:val="ae"/>
          <w:rFonts w:ascii="Traditional Arabic" w:hAnsi="Traditional Arabic"/>
          <w:sz w:val="32"/>
          <w:szCs w:val="32"/>
          <w:vertAlign w:val="baseline"/>
        </w:rPr>
        <w:footnoteRef/>
      </w:r>
      <w:r w:rsidRPr="00584E70">
        <w:rPr>
          <w:rFonts w:ascii="Traditional Arabic" w:hAnsi="Traditional Arabic"/>
          <w:sz w:val="32"/>
          <w:szCs w:val="32"/>
          <w:rtl/>
        </w:rPr>
        <w:t xml:space="preserve">) انظر: بحر العلوم (2/373), الكشف والبيان (6/213) بدون نسبة.   </w:t>
      </w:r>
    </w:p>
  </w:footnote>
  <w:footnote w:id="2336">
    <w:p w:rsidR="003F128F" w:rsidRPr="00BC5A10" w:rsidRDefault="003F128F" w:rsidP="00433168">
      <w:pPr>
        <w:pStyle w:val="af3"/>
        <w:rPr>
          <w:rFonts w:ascii="Traditional Arabic" w:hAnsi="Traditional Arabic"/>
          <w:sz w:val="32"/>
          <w:szCs w:val="32"/>
        </w:rPr>
      </w:pPr>
      <w:r w:rsidRPr="00584E70">
        <w:rPr>
          <w:rFonts w:ascii="Traditional Arabic" w:hAnsi="Traditional Arabic"/>
          <w:sz w:val="32"/>
          <w:szCs w:val="32"/>
          <w:rtl/>
        </w:rPr>
        <w:t>(</w:t>
      </w:r>
      <w:r w:rsidRPr="00584E70">
        <w:rPr>
          <w:rStyle w:val="ae"/>
          <w:rFonts w:ascii="Traditional Arabic" w:hAnsi="Traditional Arabic"/>
          <w:sz w:val="32"/>
          <w:szCs w:val="32"/>
          <w:vertAlign w:val="baseline"/>
        </w:rPr>
        <w:footnoteRef/>
      </w:r>
      <w:r w:rsidRPr="00584E70">
        <w:rPr>
          <w:rFonts w:ascii="Traditional Arabic" w:hAnsi="Traditional Arabic"/>
          <w:sz w:val="32"/>
          <w:szCs w:val="32"/>
          <w:rtl/>
        </w:rPr>
        <w:t>) انظر: الكشف والبيان (6/213), التفسير الوسيط (3/182).</w:t>
      </w:r>
      <w:r>
        <w:rPr>
          <w:rFonts w:ascii="Traditional Arabic" w:hAnsi="Traditional Arabic" w:hint="cs"/>
          <w:sz w:val="32"/>
          <w:szCs w:val="32"/>
          <w:rtl/>
        </w:rPr>
        <w:t xml:space="preserve"> </w:t>
      </w:r>
      <w:r w:rsidRPr="00BC5A10">
        <w:rPr>
          <w:rFonts w:ascii="Traditional Arabic" w:hAnsi="Traditional Arabic"/>
          <w:sz w:val="32"/>
          <w:szCs w:val="32"/>
          <w:rtl/>
        </w:rPr>
        <w:t xml:space="preserve"> </w:t>
      </w:r>
    </w:p>
  </w:footnote>
  <w:footnote w:id="2337">
    <w:p w:rsidR="003F128F" w:rsidRPr="00123DDC" w:rsidRDefault="003F128F" w:rsidP="00433168">
      <w:pPr>
        <w:pStyle w:val="af3"/>
        <w:rPr>
          <w:rFonts w:ascii="Traditional Arabic" w:hAnsi="Traditional Arabic"/>
          <w:color w:val="auto"/>
          <w:sz w:val="32"/>
          <w:szCs w:val="32"/>
        </w:rPr>
      </w:pPr>
      <w:r w:rsidRPr="00123DDC">
        <w:rPr>
          <w:rFonts w:ascii="Traditional Arabic" w:hAnsi="Traditional Arabic"/>
          <w:color w:val="auto"/>
          <w:sz w:val="32"/>
          <w:szCs w:val="32"/>
          <w:rtl/>
        </w:rPr>
        <w:t>(</w:t>
      </w:r>
      <w:r w:rsidRPr="00123DDC">
        <w:rPr>
          <w:rStyle w:val="ae"/>
          <w:rFonts w:ascii="Traditional Arabic" w:hAnsi="Traditional Arabic"/>
          <w:color w:val="auto"/>
          <w:sz w:val="32"/>
          <w:szCs w:val="32"/>
          <w:vertAlign w:val="baseline"/>
        </w:rPr>
        <w:footnoteRef/>
      </w:r>
      <w:r w:rsidRPr="00123DDC">
        <w:rPr>
          <w:rFonts w:ascii="Traditional Arabic" w:hAnsi="Traditional Arabic"/>
          <w:color w:val="auto"/>
          <w:sz w:val="32"/>
          <w:szCs w:val="32"/>
          <w:rtl/>
        </w:rPr>
        <w:t>) انظر: تفسير مقاتل (2/626), تفسير الطبري (18/188).</w:t>
      </w:r>
    </w:p>
  </w:footnote>
  <w:footnote w:id="2338">
    <w:p w:rsidR="003F128F" w:rsidRPr="00123DDC" w:rsidRDefault="003F128F" w:rsidP="00433168">
      <w:pPr>
        <w:pStyle w:val="af3"/>
        <w:rPr>
          <w:rFonts w:ascii="Traditional Arabic" w:hAnsi="Traditional Arabic"/>
          <w:sz w:val="32"/>
          <w:szCs w:val="32"/>
        </w:rPr>
      </w:pPr>
      <w:r w:rsidRPr="00123DDC">
        <w:rPr>
          <w:rFonts w:ascii="Traditional Arabic" w:hAnsi="Traditional Arabic"/>
          <w:sz w:val="32"/>
          <w:szCs w:val="32"/>
          <w:rtl/>
        </w:rPr>
        <w:t>(</w:t>
      </w:r>
      <w:r w:rsidRPr="00123DDC">
        <w:rPr>
          <w:rStyle w:val="ae"/>
          <w:rFonts w:ascii="Traditional Arabic" w:hAnsi="Traditional Arabic"/>
          <w:sz w:val="32"/>
          <w:szCs w:val="32"/>
          <w:vertAlign w:val="baseline"/>
        </w:rPr>
        <w:footnoteRef/>
      </w:r>
      <w:r w:rsidRPr="00123DDC">
        <w:rPr>
          <w:rFonts w:ascii="Traditional Arabic" w:hAnsi="Traditional Arabic"/>
          <w:sz w:val="32"/>
          <w:szCs w:val="32"/>
          <w:rtl/>
        </w:rPr>
        <w:t>) في (ك): [حين أتت به قومها].</w:t>
      </w:r>
    </w:p>
  </w:footnote>
  <w:footnote w:id="2339">
    <w:p w:rsidR="003F128F" w:rsidRPr="00123DDC" w:rsidRDefault="003F128F" w:rsidP="00433168">
      <w:pPr>
        <w:pStyle w:val="af3"/>
        <w:rPr>
          <w:rFonts w:ascii="Traditional Arabic" w:hAnsi="Traditional Arabic"/>
          <w:color w:val="auto"/>
          <w:sz w:val="32"/>
          <w:szCs w:val="32"/>
        </w:rPr>
      </w:pPr>
      <w:r w:rsidRPr="00123DDC">
        <w:rPr>
          <w:rFonts w:ascii="Traditional Arabic" w:hAnsi="Traditional Arabic"/>
          <w:color w:val="auto"/>
          <w:sz w:val="32"/>
          <w:szCs w:val="32"/>
          <w:rtl/>
        </w:rPr>
        <w:t>(</w:t>
      </w:r>
      <w:r w:rsidRPr="00123DDC">
        <w:rPr>
          <w:rStyle w:val="ae"/>
          <w:rFonts w:ascii="Traditional Arabic" w:hAnsi="Traditional Arabic"/>
          <w:color w:val="auto"/>
          <w:sz w:val="32"/>
          <w:szCs w:val="32"/>
          <w:vertAlign w:val="baseline"/>
        </w:rPr>
        <w:footnoteRef/>
      </w:r>
      <w:r w:rsidRPr="00123DDC">
        <w:rPr>
          <w:rFonts w:ascii="Traditional Arabic" w:hAnsi="Traditional Arabic"/>
          <w:color w:val="auto"/>
          <w:sz w:val="32"/>
          <w:szCs w:val="32"/>
          <w:rtl/>
        </w:rPr>
        <w:t>) انظر: الكشف والبيان (6/212), معالم التنزيل (5/228).</w:t>
      </w:r>
    </w:p>
  </w:footnote>
  <w:footnote w:id="2340">
    <w:p w:rsidR="003F128F" w:rsidRPr="00123DDC" w:rsidRDefault="003F128F" w:rsidP="00433168">
      <w:pPr>
        <w:pStyle w:val="af3"/>
        <w:rPr>
          <w:rFonts w:ascii="Traditional Arabic" w:hAnsi="Traditional Arabic"/>
          <w:color w:val="auto"/>
          <w:sz w:val="32"/>
          <w:szCs w:val="32"/>
        </w:rPr>
      </w:pPr>
      <w:r w:rsidRPr="00123DDC">
        <w:rPr>
          <w:rFonts w:ascii="Traditional Arabic" w:hAnsi="Traditional Arabic"/>
          <w:color w:val="auto"/>
          <w:sz w:val="32"/>
          <w:szCs w:val="32"/>
          <w:rtl/>
        </w:rPr>
        <w:t>(</w:t>
      </w:r>
      <w:r w:rsidRPr="00123DDC">
        <w:rPr>
          <w:rStyle w:val="ae"/>
          <w:rFonts w:ascii="Traditional Arabic" w:hAnsi="Traditional Arabic"/>
          <w:color w:val="auto"/>
          <w:sz w:val="32"/>
          <w:szCs w:val="32"/>
          <w:vertAlign w:val="baseline"/>
        </w:rPr>
        <w:footnoteRef/>
      </w:r>
      <w:r w:rsidRPr="00123DDC">
        <w:rPr>
          <w:rFonts w:ascii="Traditional Arabic" w:hAnsi="Traditional Arabic"/>
          <w:color w:val="auto"/>
          <w:sz w:val="32"/>
          <w:szCs w:val="32"/>
          <w:rtl/>
        </w:rPr>
        <w:t>) أي: وفي معنى "كان" أربعة أقوال.</w:t>
      </w:r>
    </w:p>
  </w:footnote>
  <w:footnote w:id="2341">
    <w:p w:rsidR="003F128F" w:rsidRPr="00123DDC" w:rsidRDefault="003F128F" w:rsidP="00433168">
      <w:pPr>
        <w:pStyle w:val="af3"/>
        <w:rPr>
          <w:rFonts w:ascii="Traditional Arabic" w:hAnsi="Traditional Arabic"/>
          <w:sz w:val="32"/>
          <w:szCs w:val="32"/>
        </w:rPr>
      </w:pPr>
      <w:r w:rsidRPr="00123DDC">
        <w:rPr>
          <w:rFonts w:ascii="Traditional Arabic" w:hAnsi="Traditional Arabic"/>
          <w:sz w:val="32"/>
          <w:szCs w:val="32"/>
          <w:rtl/>
        </w:rPr>
        <w:t>(</w:t>
      </w:r>
      <w:r w:rsidRPr="00123DDC">
        <w:rPr>
          <w:rStyle w:val="ae"/>
          <w:rFonts w:ascii="Traditional Arabic" w:hAnsi="Traditional Arabic"/>
          <w:sz w:val="32"/>
          <w:szCs w:val="32"/>
          <w:vertAlign w:val="baseline"/>
        </w:rPr>
        <w:footnoteRef/>
      </w:r>
      <w:r w:rsidRPr="00123DDC">
        <w:rPr>
          <w:rFonts w:ascii="Traditional Arabic" w:hAnsi="Traditional Arabic"/>
          <w:sz w:val="32"/>
          <w:szCs w:val="32"/>
          <w:rtl/>
        </w:rPr>
        <w:t>) في الأصل: [حكاه], والمثبت من (ك).</w:t>
      </w:r>
    </w:p>
  </w:footnote>
  <w:footnote w:id="2342">
    <w:p w:rsidR="003F128F" w:rsidRPr="00123DDC" w:rsidRDefault="003F128F" w:rsidP="00433168">
      <w:pPr>
        <w:pStyle w:val="af3"/>
        <w:rPr>
          <w:rFonts w:ascii="Traditional Arabic" w:hAnsi="Traditional Arabic"/>
          <w:color w:val="auto"/>
          <w:sz w:val="32"/>
          <w:szCs w:val="32"/>
        </w:rPr>
      </w:pPr>
      <w:r w:rsidRPr="00123DDC">
        <w:rPr>
          <w:rFonts w:ascii="Traditional Arabic" w:hAnsi="Traditional Arabic"/>
          <w:color w:val="auto"/>
          <w:sz w:val="32"/>
          <w:szCs w:val="32"/>
          <w:rtl/>
        </w:rPr>
        <w:t>(</w:t>
      </w:r>
      <w:r w:rsidRPr="00123DDC">
        <w:rPr>
          <w:rStyle w:val="ae"/>
          <w:rFonts w:ascii="Traditional Arabic" w:hAnsi="Traditional Arabic"/>
          <w:color w:val="auto"/>
          <w:sz w:val="32"/>
          <w:szCs w:val="32"/>
          <w:vertAlign w:val="baseline"/>
        </w:rPr>
        <w:footnoteRef/>
      </w:r>
      <w:r w:rsidRPr="00123DDC">
        <w:rPr>
          <w:rFonts w:ascii="Traditional Arabic" w:hAnsi="Traditional Arabic"/>
          <w:color w:val="auto"/>
          <w:sz w:val="32"/>
          <w:szCs w:val="32"/>
          <w:rtl/>
        </w:rPr>
        <w:t>) انظر: معاني القرآن وإعرابه (3/328).</w:t>
      </w:r>
    </w:p>
  </w:footnote>
  <w:footnote w:id="2343">
    <w:p w:rsidR="003F128F" w:rsidRPr="00123DDC" w:rsidRDefault="003F128F" w:rsidP="00433168">
      <w:pPr>
        <w:pStyle w:val="af3"/>
        <w:rPr>
          <w:rFonts w:ascii="Traditional Arabic" w:hAnsi="Traditional Arabic"/>
          <w:color w:val="auto"/>
          <w:sz w:val="32"/>
          <w:szCs w:val="32"/>
        </w:rPr>
      </w:pPr>
      <w:r w:rsidRPr="00123DDC">
        <w:rPr>
          <w:rFonts w:ascii="Traditional Arabic" w:hAnsi="Traditional Arabic"/>
          <w:color w:val="auto"/>
          <w:sz w:val="32"/>
          <w:szCs w:val="32"/>
          <w:rtl/>
        </w:rPr>
        <w:t>(</w:t>
      </w:r>
      <w:r w:rsidRPr="00123DDC">
        <w:rPr>
          <w:rStyle w:val="ae"/>
          <w:rFonts w:ascii="Traditional Arabic" w:hAnsi="Traditional Arabic"/>
          <w:color w:val="auto"/>
          <w:sz w:val="32"/>
          <w:szCs w:val="32"/>
          <w:vertAlign w:val="baseline"/>
        </w:rPr>
        <w:footnoteRef/>
      </w:r>
      <w:r w:rsidRPr="00123DDC">
        <w:rPr>
          <w:rFonts w:ascii="Traditional Arabic" w:hAnsi="Traditional Arabic"/>
          <w:color w:val="auto"/>
          <w:sz w:val="32"/>
          <w:szCs w:val="32"/>
          <w:rtl/>
        </w:rPr>
        <w:t>) انظر: التفسير الوسيط (3/183), رموز الكنوز (4/416).</w:t>
      </w:r>
    </w:p>
  </w:footnote>
  <w:footnote w:id="2344">
    <w:p w:rsidR="003F128F" w:rsidRPr="00123DDC" w:rsidRDefault="003F128F" w:rsidP="00433168">
      <w:pPr>
        <w:pStyle w:val="af3"/>
        <w:rPr>
          <w:rFonts w:ascii="Traditional Arabic" w:hAnsi="Traditional Arabic"/>
          <w:color w:val="auto"/>
          <w:sz w:val="32"/>
          <w:szCs w:val="32"/>
        </w:rPr>
      </w:pPr>
      <w:r w:rsidRPr="00123DDC">
        <w:rPr>
          <w:rFonts w:ascii="Traditional Arabic" w:hAnsi="Traditional Arabic"/>
          <w:color w:val="auto"/>
          <w:sz w:val="32"/>
          <w:szCs w:val="32"/>
          <w:rtl/>
        </w:rPr>
        <w:t>(</w:t>
      </w:r>
      <w:r w:rsidRPr="00123DDC">
        <w:rPr>
          <w:rStyle w:val="ae"/>
          <w:rFonts w:ascii="Traditional Arabic" w:hAnsi="Traditional Arabic"/>
          <w:color w:val="auto"/>
          <w:sz w:val="32"/>
          <w:szCs w:val="32"/>
          <w:vertAlign w:val="baseline"/>
        </w:rPr>
        <w:footnoteRef/>
      </w:r>
      <w:r w:rsidRPr="00123DDC">
        <w:rPr>
          <w:rFonts w:ascii="Traditional Arabic" w:hAnsi="Traditional Arabic"/>
          <w:color w:val="auto"/>
          <w:sz w:val="32"/>
          <w:szCs w:val="32"/>
          <w:rtl/>
        </w:rPr>
        <w:t>) انظر: رموز الكنوز (4/416), وذكره السمعاني في تفسيره (3/289) ونسبه لابن الأنباري.</w:t>
      </w:r>
    </w:p>
  </w:footnote>
  <w:footnote w:id="2345">
    <w:p w:rsidR="003F128F" w:rsidRPr="00123DDC" w:rsidRDefault="003F128F" w:rsidP="00433168">
      <w:pPr>
        <w:pStyle w:val="af3"/>
        <w:rPr>
          <w:rFonts w:ascii="Traditional Arabic" w:hAnsi="Traditional Arabic"/>
          <w:color w:val="auto"/>
          <w:sz w:val="32"/>
          <w:szCs w:val="32"/>
        </w:rPr>
      </w:pPr>
      <w:r w:rsidRPr="00123DDC">
        <w:rPr>
          <w:rFonts w:ascii="Traditional Arabic" w:hAnsi="Traditional Arabic"/>
          <w:color w:val="auto"/>
          <w:sz w:val="32"/>
          <w:szCs w:val="32"/>
          <w:rtl/>
        </w:rPr>
        <w:t>(</w:t>
      </w:r>
      <w:r w:rsidRPr="00123DDC">
        <w:rPr>
          <w:rStyle w:val="ae"/>
          <w:rFonts w:ascii="Traditional Arabic" w:hAnsi="Traditional Arabic"/>
          <w:color w:val="auto"/>
          <w:sz w:val="32"/>
          <w:szCs w:val="32"/>
          <w:vertAlign w:val="baseline"/>
        </w:rPr>
        <w:footnoteRef/>
      </w:r>
      <w:r w:rsidRPr="00123DDC">
        <w:rPr>
          <w:rFonts w:ascii="Traditional Arabic" w:hAnsi="Traditional Arabic"/>
          <w:color w:val="auto"/>
          <w:sz w:val="32"/>
          <w:szCs w:val="32"/>
          <w:rtl/>
        </w:rPr>
        <w:t>) ذكره السيوطي في الدر المنثور (5/498) ونسبه لعبدالله بن أحمد.</w:t>
      </w:r>
    </w:p>
  </w:footnote>
  <w:footnote w:id="2346">
    <w:p w:rsidR="003F128F" w:rsidRPr="00123DDC" w:rsidRDefault="003F128F" w:rsidP="00433168">
      <w:pPr>
        <w:pStyle w:val="af3"/>
        <w:rPr>
          <w:rFonts w:ascii="Traditional Arabic" w:hAnsi="Traditional Arabic"/>
          <w:color w:val="auto"/>
          <w:sz w:val="32"/>
          <w:szCs w:val="32"/>
        </w:rPr>
      </w:pPr>
      <w:r w:rsidRPr="00123DDC">
        <w:rPr>
          <w:rFonts w:ascii="Traditional Arabic" w:hAnsi="Traditional Arabic"/>
          <w:color w:val="auto"/>
          <w:sz w:val="32"/>
          <w:szCs w:val="32"/>
          <w:rtl/>
        </w:rPr>
        <w:t>(</w:t>
      </w:r>
      <w:r w:rsidRPr="00123DDC">
        <w:rPr>
          <w:rStyle w:val="ae"/>
          <w:rFonts w:ascii="Traditional Arabic" w:hAnsi="Traditional Arabic"/>
          <w:color w:val="auto"/>
          <w:sz w:val="32"/>
          <w:szCs w:val="32"/>
          <w:vertAlign w:val="baseline"/>
        </w:rPr>
        <w:footnoteRef/>
      </w:r>
      <w:r w:rsidRPr="00123DDC">
        <w:rPr>
          <w:rFonts w:ascii="Traditional Arabic" w:hAnsi="Traditional Arabic"/>
          <w:color w:val="auto"/>
          <w:sz w:val="32"/>
          <w:szCs w:val="32"/>
          <w:rtl/>
        </w:rPr>
        <w:t xml:space="preserve">) تفسير يحيى بن سلام (1/222), تفسير الطبري (18/189).  </w:t>
      </w:r>
    </w:p>
  </w:footnote>
  <w:footnote w:id="2347">
    <w:p w:rsidR="003F128F" w:rsidRPr="00123DDC" w:rsidRDefault="003F128F" w:rsidP="00433168">
      <w:pPr>
        <w:pStyle w:val="af3"/>
        <w:rPr>
          <w:rFonts w:ascii="Traditional Arabic" w:hAnsi="Traditional Arabic"/>
          <w:color w:val="auto"/>
          <w:sz w:val="32"/>
          <w:szCs w:val="32"/>
        </w:rPr>
      </w:pPr>
      <w:r w:rsidRPr="00123DDC">
        <w:rPr>
          <w:rFonts w:ascii="Traditional Arabic" w:hAnsi="Traditional Arabic"/>
          <w:color w:val="auto"/>
          <w:sz w:val="32"/>
          <w:szCs w:val="32"/>
          <w:rtl/>
        </w:rPr>
        <w:t>(</w:t>
      </w:r>
      <w:r w:rsidRPr="00123DDC">
        <w:rPr>
          <w:rStyle w:val="ae"/>
          <w:rFonts w:ascii="Traditional Arabic" w:hAnsi="Traditional Arabic"/>
          <w:color w:val="auto"/>
          <w:sz w:val="32"/>
          <w:szCs w:val="32"/>
          <w:vertAlign w:val="baseline"/>
        </w:rPr>
        <w:footnoteRef/>
      </w:r>
      <w:r w:rsidRPr="00123DDC">
        <w:rPr>
          <w:rFonts w:ascii="Traditional Arabic" w:hAnsi="Traditional Arabic"/>
          <w:color w:val="auto"/>
          <w:sz w:val="32"/>
          <w:szCs w:val="32"/>
          <w:rtl/>
        </w:rPr>
        <w:t xml:space="preserve">) انظر: بحر العلوم (1/214), الكشف والبيان (6/213). </w:t>
      </w:r>
    </w:p>
  </w:footnote>
  <w:footnote w:id="2348">
    <w:p w:rsidR="003F128F" w:rsidRPr="00123DDC" w:rsidRDefault="003F128F" w:rsidP="00433168">
      <w:pPr>
        <w:pStyle w:val="af3"/>
        <w:rPr>
          <w:rFonts w:ascii="Traditional Arabic" w:hAnsi="Traditional Arabic"/>
          <w:color w:val="auto"/>
          <w:sz w:val="32"/>
          <w:szCs w:val="32"/>
        </w:rPr>
      </w:pPr>
      <w:r w:rsidRPr="00123DDC">
        <w:rPr>
          <w:rFonts w:ascii="Traditional Arabic" w:hAnsi="Traditional Arabic"/>
          <w:color w:val="auto"/>
          <w:sz w:val="32"/>
          <w:szCs w:val="32"/>
          <w:rtl/>
        </w:rPr>
        <w:t>(</w:t>
      </w:r>
      <w:r w:rsidRPr="00123DDC">
        <w:rPr>
          <w:rStyle w:val="ae"/>
          <w:rFonts w:ascii="Traditional Arabic" w:hAnsi="Traditional Arabic"/>
          <w:color w:val="auto"/>
          <w:sz w:val="32"/>
          <w:szCs w:val="32"/>
          <w:vertAlign w:val="baseline"/>
        </w:rPr>
        <w:footnoteRef/>
      </w:r>
      <w:r w:rsidRPr="00123DDC">
        <w:rPr>
          <w:rFonts w:ascii="Traditional Arabic" w:hAnsi="Traditional Arabic"/>
          <w:color w:val="auto"/>
          <w:sz w:val="32"/>
          <w:szCs w:val="32"/>
          <w:rtl/>
        </w:rPr>
        <w:t xml:space="preserve">) انظر: النكت والعيون (3/370), غرائب التفسير (2/695) بدون نسبة.  </w:t>
      </w:r>
    </w:p>
  </w:footnote>
  <w:footnote w:id="2349">
    <w:p w:rsidR="003F128F" w:rsidRPr="00123DDC" w:rsidRDefault="003F128F" w:rsidP="00433168">
      <w:pPr>
        <w:pStyle w:val="af3"/>
        <w:rPr>
          <w:rFonts w:ascii="Tahoma" w:hAnsi="Tahoma"/>
        </w:rPr>
      </w:pPr>
      <w:r w:rsidRPr="00123DDC">
        <w:rPr>
          <w:rFonts w:ascii="Traditional Arabic" w:hAnsi="Traditional Arabic"/>
          <w:sz w:val="32"/>
          <w:szCs w:val="32"/>
          <w:rtl/>
        </w:rPr>
        <w:t>(</w:t>
      </w:r>
      <w:r w:rsidRPr="00123DDC">
        <w:rPr>
          <w:rStyle w:val="ae"/>
          <w:rFonts w:ascii="Traditional Arabic" w:hAnsi="Traditional Arabic"/>
          <w:sz w:val="32"/>
          <w:szCs w:val="32"/>
          <w:vertAlign w:val="baseline"/>
        </w:rPr>
        <w:footnoteRef/>
      </w:r>
      <w:r w:rsidRPr="00123DDC">
        <w:rPr>
          <w:rFonts w:ascii="Traditional Arabic" w:hAnsi="Traditional Arabic"/>
          <w:sz w:val="32"/>
          <w:szCs w:val="32"/>
          <w:rtl/>
        </w:rPr>
        <w:t>) قوله: [بوجهه] ليس في (ك).</w:t>
      </w:r>
    </w:p>
  </w:footnote>
  <w:footnote w:id="2350">
    <w:p w:rsidR="003F128F" w:rsidRPr="00D96C47" w:rsidRDefault="003F128F" w:rsidP="00433168">
      <w:pPr>
        <w:pStyle w:val="af3"/>
        <w:rPr>
          <w:rFonts w:ascii="Traditional Arabic" w:hAnsi="Traditional Arabic"/>
          <w:color w:val="auto"/>
          <w:sz w:val="32"/>
          <w:szCs w:val="32"/>
        </w:rPr>
      </w:pPr>
      <w:r w:rsidRPr="00D96C47">
        <w:rPr>
          <w:rFonts w:ascii="Traditional Arabic" w:hAnsi="Traditional Arabic"/>
          <w:color w:val="auto"/>
          <w:sz w:val="32"/>
          <w:szCs w:val="32"/>
          <w:rtl/>
        </w:rPr>
        <w:t>(</w:t>
      </w:r>
      <w:r w:rsidRPr="00D96C47">
        <w:rPr>
          <w:rStyle w:val="ae"/>
          <w:rFonts w:ascii="Traditional Arabic" w:hAnsi="Traditional Arabic"/>
          <w:color w:val="auto"/>
          <w:sz w:val="32"/>
          <w:szCs w:val="32"/>
          <w:vertAlign w:val="baseline"/>
        </w:rPr>
        <w:footnoteRef/>
      </w:r>
      <w:r w:rsidRPr="00D96C47">
        <w:rPr>
          <w:rFonts w:ascii="Traditional Arabic" w:hAnsi="Traditional Arabic"/>
          <w:color w:val="auto"/>
          <w:sz w:val="32"/>
          <w:szCs w:val="32"/>
          <w:rtl/>
        </w:rPr>
        <w:t>) انظر: التفسير الوسيط (3/183), معالم التنزيل (5/22</w:t>
      </w:r>
      <w:r w:rsidRPr="00D96C47">
        <w:rPr>
          <w:rFonts w:ascii="Traditional Arabic" w:hAnsi="Traditional Arabic" w:hint="cs"/>
          <w:color w:val="auto"/>
          <w:sz w:val="32"/>
          <w:szCs w:val="32"/>
          <w:rtl/>
        </w:rPr>
        <w:t>9</w:t>
      </w:r>
      <w:r w:rsidRPr="00D96C47">
        <w:rPr>
          <w:rFonts w:ascii="Traditional Arabic" w:hAnsi="Traditional Arabic"/>
          <w:color w:val="auto"/>
          <w:sz w:val="32"/>
          <w:szCs w:val="32"/>
          <w:rtl/>
        </w:rPr>
        <w:t>)</w:t>
      </w:r>
      <w:r w:rsidRPr="00D96C47">
        <w:rPr>
          <w:rFonts w:ascii="Traditional Arabic" w:hAnsi="Traditional Arabic" w:hint="cs"/>
          <w:color w:val="auto"/>
          <w:sz w:val="32"/>
          <w:szCs w:val="32"/>
          <w:rtl/>
        </w:rPr>
        <w:t>.</w:t>
      </w:r>
      <w:r w:rsidRPr="00D96C47">
        <w:rPr>
          <w:rFonts w:ascii="Traditional Arabic" w:hAnsi="Traditional Arabic"/>
          <w:color w:val="auto"/>
          <w:sz w:val="32"/>
          <w:szCs w:val="32"/>
          <w:rtl/>
        </w:rPr>
        <w:t xml:space="preserve">  </w:t>
      </w:r>
    </w:p>
  </w:footnote>
  <w:footnote w:id="2351">
    <w:p w:rsidR="003F128F" w:rsidRPr="00275AD7" w:rsidRDefault="003F128F" w:rsidP="00433168">
      <w:pPr>
        <w:pStyle w:val="af3"/>
        <w:rPr>
          <w:rFonts w:ascii="Traditional Arabic" w:hAnsi="Traditional Arabic"/>
          <w:sz w:val="32"/>
          <w:szCs w:val="32"/>
        </w:rPr>
      </w:pPr>
      <w:r w:rsidRPr="00D96C47">
        <w:rPr>
          <w:rFonts w:ascii="Traditional Arabic" w:hAnsi="Traditional Arabic"/>
          <w:color w:val="auto"/>
          <w:sz w:val="32"/>
          <w:szCs w:val="32"/>
          <w:rtl/>
        </w:rPr>
        <w:t>(</w:t>
      </w:r>
      <w:r w:rsidRPr="00D96C47">
        <w:rPr>
          <w:rStyle w:val="ae"/>
          <w:rFonts w:ascii="Traditional Arabic" w:hAnsi="Traditional Arabic"/>
          <w:color w:val="auto"/>
          <w:sz w:val="32"/>
          <w:szCs w:val="32"/>
          <w:vertAlign w:val="baseline"/>
        </w:rPr>
        <w:footnoteRef/>
      </w:r>
      <w:r w:rsidRPr="00D96C47">
        <w:rPr>
          <w:rFonts w:ascii="Traditional Arabic" w:hAnsi="Traditional Arabic"/>
          <w:color w:val="auto"/>
          <w:sz w:val="32"/>
          <w:szCs w:val="32"/>
          <w:rtl/>
        </w:rPr>
        <w:t>) انظر: الكشف والبيان (6/21</w:t>
      </w:r>
      <w:r w:rsidRPr="00D96C47">
        <w:rPr>
          <w:rFonts w:ascii="Traditional Arabic" w:hAnsi="Traditional Arabic" w:hint="cs"/>
          <w:color w:val="auto"/>
          <w:sz w:val="32"/>
          <w:szCs w:val="32"/>
          <w:rtl/>
        </w:rPr>
        <w:t>3</w:t>
      </w:r>
      <w:r w:rsidRPr="00D96C47">
        <w:rPr>
          <w:rFonts w:ascii="Traditional Arabic" w:hAnsi="Traditional Arabic"/>
          <w:color w:val="auto"/>
          <w:sz w:val="32"/>
          <w:szCs w:val="32"/>
          <w:rtl/>
        </w:rPr>
        <w:t>)</w:t>
      </w:r>
      <w:r w:rsidRPr="00D96C47">
        <w:rPr>
          <w:rFonts w:ascii="Traditional Arabic" w:hAnsi="Traditional Arabic" w:hint="cs"/>
          <w:color w:val="auto"/>
          <w:sz w:val="32"/>
          <w:szCs w:val="32"/>
          <w:rtl/>
        </w:rPr>
        <w:t>,</w:t>
      </w:r>
      <w:r w:rsidRPr="00D96C47">
        <w:rPr>
          <w:rFonts w:ascii="Traditional Arabic" w:hAnsi="Traditional Arabic"/>
          <w:color w:val="auto"/>
          <w:sz w:val="32"/>
          <w:szCs w:val="32"/>
          <w:rtl/>
        </w:rPr>
        <w:t xml:space="preserve"> النكت والعيون (3/370), </w:t>
      </w:r>
      <w:r w:rsidRPr="00D96C47">
        <w:rPr>
          <w:rFonts w:ascii="Traditional Arabic" w:hAnsi="Traditional Arabic" w:hint="cs"/>
          <w:color w:val="auto"/>
          <w:sz w:val="32"/>
          <w:szCs w:val="32"/>
          <w:rtl/>
        </w:rPr>
        <w:t>التفسير الوسيط (3/183).</w:t>
      </w:r>
      <w:r w:rsidRPr="00D96C47">
        <w:rPr>
          <w:rFonts w:ascii="Traditional Arabic" w:hAnsi="Traditional Arabic"/>
          <w:color w:val="auto"/>
          <w:sz w:val="32"/>
          <w:szCs w:val="32"/>
          <w:rtl/>
        </w:rPr>
        <w:t xml:space="preserve"> </w:t>
      </w:r>
    </w:p>
  </w:footnote>
  <w:footnote w:id="2352">
    <w:p w:rsidR="003F128F" w:rsidRPr="00A03EE8" w:rsidRDefault="003F128F" w:rsidP="00433168">
      <w:pPr>
        <w:pStyle w:val="af3"/>
        <w:rPr>
          <w:rFonts w:ascii="Traditional Arabic" w:hAnsi="Traditional Arabic"/>
          <w:color w:val="auto"/>
          <w:sz w:val="32"/>
          <w:szCs w:val="32"/>
        </w:rPr>
      </w:pPr>
      <w:r w:rsidRPr="00A03EE8">
        <w:rPr>
          <w:rFonts w:ascii="Traditional Arabic" w:hAnsi="Traditional Arabic"/>
          <w:color w:val="auto"/>
          <w:sz w:val="32"/>
          <w:szCs w:val="32"/>
          <w:rtl/>
        </w:rPr>
        <w:t>(</w:t>
      </w:r>
      <w:r w:rsidRPr="00A03EE8">
        <w:rPr>
          <w:rStyle w:val="ae"/>
          <w:rFonts w:ascii="Traditional Arabic" w:hAnsi="Traditional Arabic"/>
          <w:color w:val="auto"/>
          <w:sz w:val="32"/>
          <w:szCs w:val="32"/>
          <w:vertAlign w:val="baseline"/>
        </w:rPr>
        <w:footnoteRef/>
      </w:r>
      <w:r w:rsidRPr="00A03EE8">
        <w:rPr>
          <w:rFonts w:ascii="Traditional Arabic" w:hAnsi="Traditional Arabic"/>
          <w:color w:val="auto"/>
          <w:sz w:val="32"/>
          <w:szCs w:val="32"/>
          <w:rtl/>
        </w:rPr>
        <w:t>) انظر: السبعة في القراءات (ص414), معاني القراءات (2/135).</w:t>
      </w:r>
    </w:p>
  </w:footnote>
  <w:footnote w:id="2353">
    <w:p w:rsidR="003F128F" w:rsidRPr="00A03EE8" w:rsidRDefault="003F128F" w:rsidP="00433168">
      <w:pPr>
        <w:pStyle w:val="af3"/>
        <w:rPr>
          <w:rFonts w:ascii="Traditional Arabic" w:hAnsi="Traditional Arabic"/>
          <w:color w:val="auto"/>
          <w:sz w:val="32"/>
          <w:szCs w:val="32"/>
        </w:rPr>
      </w:pPr>
      <w:r w:rsidRPr="00A03EE8">
        <w:rPr>
          <w:rFonts w:ascii="Traditional Arabic" w:hAnsi="Traditional Arabic"/>
          <w:color w:val="auto"/>
          <w:sz w:val="32"/>
          <w:szCs w:val="32"/>
          <w:rtl/>
        </w:rPr>
        <w:t>(</w:t>
      </w:r>
      <w:r w:rsidRPr="00A03EE8">
        <w:rPr>
          <w:rStyle w:val="ae"/>
          <w:rFonts w:ascii="Traditional Arabic" w:hAnsi="Traditional Arabic"/>
          <w:color w:val="auto"/>
          <w:sz w:val="32"/>
          <w:szCs w:val="32"/>
          <w:vertAlign w:val="baseline"/>
        </w:rPr>
        <w:footnoteRef/>
      </w:r>
      <w:r w:rsidRPr="00A03EE8">
        <w:rPr>
          <w:rFonts w:ascii="Traditional Arabic" w:hAnsi="Traditional Arabic"/>
          <w:color w:val="auto"/>
          <w:sz w:val="32"/>
          <w:szCs w:val="32"/>
          <w:rtl/>
        </w:rPr>
        <w:t>) انظر: بحر العلوم (2/373), رموز الكنوز (4/417).</w:t>
      </w:r>
    </w:p>
  </w:footnote>
  <w:footnote w:id="2354">
    <w:p w:rsidR="003F128F" w:rsidRPr="00A03EE8" w:rsidRDefault="003F128F" w:rsidP="00433168">
      <w:pPr>
        <w:pStyle w:val="af3"/>
        <w:rPr>
          <w:rFonts w:ascii="Traditional Arabic" w:hAnsi="Traditional Arabic"/>
          <w:color w:val="auto"/>
          <w:sz w:val="32"/>
          <w:szCs w:val="32"/>
        </w:rPr>
      </w:pPr>
      <w:r w:rsidRPr="00A03EE8">
        <w:rPr>
          <w:rFonts w:ascii="Traditional Arabic" w:hAnsi="Traditional Arabic"/>
          <w:color w:val="auto"/>
          <w:sz w:val="32"/>
          <w:szCs w:val="32"/>
          <w:rtl/>
        </w:rPr>
        <w:t>(</w:t>
      </w:r>
      <w:r w:rsidRPr="00A03EE8">
        <w:rPr>
          <w:rStyle w:val="ae"/>
          <w:rFonts w:ascii="Traditional Arabic" w:hAnsi="Traditional Arabic"/>
          <w:color w:val="auto"/>
          <w:sz w:val="32"/>
          <w:szCs w:val="32"/>
          <w:vertAlign w:val="baseline"/>
        </w:rPr>
        <w:footnoteRef/>
      </w:r>
      <w:r w:rsidRPr="00A03EE8">
        <w:rPr>
          <w:rFonts w:ascii="Traditional Arabic" w:hAnsi="Traditional Arabic"/>
          <w:color w:val="auto"/>
          <w:sz w:val="32"/>
          <w:szCs w:val="32"/>
          <w:rtl/>
        </w:rPr>
        <w:t xml:space="preserve">) انظر: بحر العلوم (2/373), الكشف والبيان (6/215). </w:t>
      </w:r>
    </w:p>
  </w:footnote>
  <w:footnote w:id="2355">
    <w:p w:rsidR="003F128F" w:rsidRPr="00A03EE8" w:rsidRDefault="003F128F" w:rsidP="00433168">
      <w:pPr>
        <w:pStyle w:val="af3"/>
        <w:rPr>
          <w:rFonts w:ascii="Traditional Arabic" w:hAnsi="Traditional Arabic"/>
          <w:color w:val="auto"/>
          <w:sz w:val="32"/>
          <w:szCs w:val="32"/>
        </w:rPr>
      </w:pPr>
      <w:r w:rsidRPr="00A03EE8">
        <w:rPr>
          <w:rFonts w:ascii="Traditional Arabic" w:hAnsi="Traditional Arabic"/>
          <w:color w:val="auto"/>
          <w:sz w:val="32"/>
          <w:szCs w:val="32"/>
          <w:rtl/>
        </w:rPr>
        <w:t>(</w:t>
      </w:r>
      <w:r w:rsidRPr="00A03EE8">
        <w:rPr>
          <w:rStyle w:val="ae"/>
          <w:rFonts w:ascii="Traditional Arabic" w:hAnsi="Traditional Arabic"/>
          <w:color w:val="auto"/>
          <w:sz w:val="32"/>
          <w:szCs w:val="32"/>
          <w:vertAlign w:val="baseline"/>
        </w:rPr>
        <w:footnoteRef/>
      </w:r>
      <w:r w:rsidRPr="00A03EE8">
        <w:rPr>
          <w:rFonts w:ascii="Traditional Arabic" w:hAnsi="Traditional Arabic"/>
          <w:color w:val="auto"/>
          <w:sz w:val="32"/>
          <w:szCs w:val="32"/>
          <w:rtl/>
        </w:rPr>
        <w:t>) انظر: تفسير عبدالرزاق (2/359), تفسير الطبري (18/190).</w:t>
      </w:r>
    </w:p>
  </w:footnote>
  <w:footnote w:id="2356">
    <w:p w:rsidR="003F128F" w:rsidRPr="00A03EE8" w:rsidRDefault="003F128F" w:rsidP="00433168">
      <w:pPr>
        <w:pStyle w:val="af3"/>
        <w:rPr>
          <w:rFonts w:ascii="Traditional Arabic" w:hAnsi="Traditional Arabic"/>
          <w:color w:val="auto"/>
          <w:sz w:val="32"/>
          <w:szCs w:val="32"/>
        </w:rPr>
      </w:pPr>
      <w:r w:rsidRPr="00A03EE8">
        <w:rPr>
          <w:rFonts w:ascii="Traditional Arabic" w:hAnsi="Traditional Arabic"/>
          <w:color w:val="auto"/>
          <w:sz w:val="32"/>
          <w:szCs w:val="32"/>
          <w:rtl/>
        </w:rPr>
        <w:t>(</w:t>
      </w:r>
      <w:r w:rsidRPr="00A03EE8">
        <w:rPr>
          <w:rStyle w:val="ae"/>
          <w:rFonts w:ascii="Traditional Arabic" w:hAnsi="Traditional Arabic"/>
          <w:color w:val="auto"/>
          <w:sz w:val="32"/>
          <w:szCs w:val="32"/>
          <w:vertAlign w:val="baseline"/>
        </w:rPr>
        <w:footnoteRef/>
      </w:r>
      <w:r w:rsidRPr="00A03EE8">
        <w:rPr>
          <w:rFonts w:ascii="Traditional Arabic" w:hAnsi="Traditional Arabic"/>
          <w:color w:val="auto"/>
          <w:sz w:val="32"/>
          <w:szCs w:val="32"/>
          <w:rtl/>
        </w:rPr>
        <w:t xml:space="preserve">) انظر: الكشف والبيان (6/215), معالم التنزيل (5/230).  </w:t>
      </w:r>
    </w:p>
  </w:footnote>
  <w:footnote w:id="2357">
    <w:p w:rsidR="003F128F" w:rsidRPr="00A03EE8" w:rsidRDefault="003F128F" w:rsidP="00433168">
      <w:pPr>
        <w:pStyle w:val="af3"/>
        <w:rPr>
          <w:rFonts w:ascii="Traditional Arabic" w:hAnsi="Traditional Arabic"/>
          <w:color w:val="auto"/>
          <w:sz w:val="32"/>
          <w:szCs w:val="32"/>
        </w:rPr>
      </w:pPr>
      <w:r w:rsidRPr="00A03EE8">
        <w:rPr>
          <w:rFonts w:ascii="Traditional Arabic" w:hAnsi="Traditional Arabic"/>
          <w:color w:val="auto"/>
          <w:sz w:val="32"/>
          <w:szCs w:val="32"/>
          <w:rtl/>
        </w:rPr>
        <w:t>(</w:t>
      </w:r>
      <w:r w:rsidRPr="00A03EE8">
        <w:rPr>
          <w:rStyle w:val="ae"/>
          <w:rFonts w:ascii="Traditional Arabic" w:hAnsi="Traditional Arabic"/>
          <w:color w:val="auto"/>
          <w:sz w:val="32"/>
          <w:szCs w:val="32"/>
          <w:vertAlign w:val="baseline"/>
        </w:rPr>
        <w:footnoteRef/>
      </w:r>
      <w:r w:rsidRPr="00A03EE8">
        <w:rPr>
          <w:rFonts w:ascii="Traditional Arabic" w:hAnsi="Traditional Arabic"/>
          <w:color w:val="auto"/>
          <w:sz w:val="32"/>
          <w:szCs w:val="32"/>
          <w:rtl/>
        </w:rPr>
        <w:t>) انظر: تفسير مقاتل (2/626), بحر العلوم (2/373).</w:t>
      </w:r>
    </w:p>
  </w:footnote>
  <w:footnote w:id="2358">
    <w:p w:rsidR="003F128F" w:rsidRPr="00A03EE8" w:rsidRDefault="003F128F" w:rsidP="00433168">
      <w:pPr>
        <w:pStyle w:val="af3"/>
        <w:rPr>
          <w:rFonts w:ascii="Traditional Arabic" w:hAnsi="Traditional Arabic"/>
          <w:color w:val="auto"/>
          <w:sz w:val="32"/>
          <w:szCs w:val="32"/>
        </w:rPr>
      </w:pPr>
      <w:r w:rsidRPr="00A03EE8">
        <w:rPr>
          <w:rFonts w:ascii="Traditional Arabic" w:hAnsi="Traditional Arabic"/>
          <w:color w:val="auto"/>
          <w:sz w:val="32"/>
          <w:szCs w:val="32"/>
          <w:rtl/>
        </w:rPr>
        <w:t>(</w:t>
      </w:r>
      <w:r w:rsidRPr="00A03EE8">
        <w:rPr>
          <w:rStyle w:val="ae"/>
          <w:rFonts w:ascii="Traditional Arabic" w:hAnsi="Traditional Arabic"/>
          <w:color w:val="auto"/>
          <w:sz w:val="32"/>
          <w:szCs w:val="32"/>
          <w:vertAlign w:val="baseline"/>
        </w:rPr>
        <w:footnoteRef/>
      </w:r>
      <w:r w:rsidRPr="00A03EE8">
        <w:rPr>
          <w:rFonts w:ascii="Traditional Arabic" w:hAnsi="Traditional Arabic"/>
          <w:color w:val="auto"/>
          <w:sz w:val="32"/>
          <w:szCs w:val="32"/>
          <w:rtl/>
        </w:rPr>
        <w:t xml:space="preserve">) انظر: الكشف والبيان (6/215), التفسير الوسيط (3/183).   </w:t>
      </w:r>
    </w:p>
  </w:footnote>
  <w:footnote w:id="2359">
    <w:p w:rsidR="003F128F" w:rsidRPr="00A03EE8" w:rsidRDefault="003F128F" w:rsidP="00433168">
      <w:pPr>
        <w:pStyle w:val="af3"/>
        <w:rPr>
          <w:rFonts w:ascii="Traditional Arabic" w:hAnsi="Traditional Arabic"/>
          <w:color w:val="auto"/>
          <w:sz w:val="32"/>
          <w:szCs w:val="32"/>
        </w:rPr>
      </w:pPr>
      <w:r w:rsidRPr="00A03EE8">
        <w:rPr>
          <w:rFonts w:ascii="Traditional Arabic" w:hAnsi="Traditional Arabic"/>
          <w:color w:val="auto"/>
          <w:sz w:val="32"/>
          <w:szCs w:val="32"/>
          <w:rtl/>
        </w:rPr>
        <w:t>(</w:t>
      </w:r>
      <w:r w:rsidRPr="00A03EE8">
        <w:rPr>
          <w:rStyle w:val="ae"/>
          <w:rFonts w:ascii="Traditional Arabic" w:hAnsi="Traditional Arabic"/>
          <w:color w:val="auto"/>
          <w:sz w:val="32"/>
          <w:szCs w:val="32"/>
          <w:vertAlign w:val="baseline"/>
        </w:rPr>
        <w:footnoteRef/>
      </w:r>
      <w:r>
        <w:rPr>
          <w:rFonts w:ascii="Traditional Arabic" w:hAnsi="Traditional Arabic"/>
          <w:color w:val="auto"/>
          <w:sz w:val="32"/>
          <w:szCs w:val="32"/>
          <w:rtl/>
        </w:rPr>
        <w:t>) تقدم في (ص</w:t>
      </w:r>
      <w:r>
        <w:rPr>
          <w:rFonts w:ascii="Traditional Arabic" w:hAnsi="Traditional Arabic" w:hint="cs"/>
          <w:color w:val="auto"/>
          <w:sz w:val="32"/>
          <w:szCs w:val="32"/>
          <w:rtl/>
        </w:rPr>
        <w:t>307</w:t>
      </w:r>
      <w:r w:rsidRPr="00A03EE8">
        <w:rPr>
          <w:rFonts w:ascii="Traditional Arabic" w:hAnsi="Traditional Arabic"/>
          <w:color w:val="auto"/>
          <w:sz w:val="32"/>
          <w:szCs w:val="32"/>
          <w:rtl/>
        </w:rPr>
        <w:t>).</w:t>
      </w:r>
    </w:p>
  </w:footnote>
  <w:footnote w:id="2360">
    <w:p w:rsidR="003F128F" w:rsidRPr="00A55286" w:rsidRDefault="003F128F" w:rsidP="00433168">
      <w:pPr>
        <w:ind w:firstLine="0"/>
        <w:rPr>
          <w:rFonts w:ascii="Traditional Arabic" w:hAnsi="Traditional Arabic"/>
          <w:color w:val="auto"/>
          <w:sz w:val="32"/>
          <w:szCs w:val="32"/>
        </w:rPr>
      </w:pPr>
      <w:r w:rsidRPr="00A55286">
        <w:rPr>
          <w:rFonts w:ascii="Traditional Arabic" w:hAnsi="Traditional Arabic"/>
          <w:color w:val="auto"/>
          <w:sz w:val="32"/>
          <w:szCs w:val="32"/>
          <w:rtl/>
        </w:rPr>
        <w:t>(</w:t>
      </w:r>
      <w:r w:rsidRPr="00A55286">
        <w:rPr>
          <w:rStyle w:val="ae"/>
          <w:rFonts w:ascii="Traditional Arabic" w:hAnsi="Traditional Arabic"/>
          <w:color w:val="auto"/>
          <w:sz w:val="32"/>
          <w:szCs w:val="32"/>
          <w:vertAlign w:val="baseline"/>
        </w:rPr>
        <w:footnoteRef/>
      </w:r>
      <w:r w:rsidRPr="00A55286">
        <w:rPr>
          <w:rFonts w:ascii="Traditional Arabic" w:hAnsi="Traditional Arabic"/>
          <w:color w:val="auto"/>
          <w:sz w:val="32"/>
          <w:szCs w:val="32"/>
          <w:rtl/>
        </w:rPr>
        <w:t>) أخرجه الإسماعيلي في معجمه (2/615 ح245), أبو نعيم في الحلية (3/25), وذكره السيوطي في الدر المنثور (5/509) وزاد نسبته لابن لال وابن مردويه وابن النجار.</w:t>
      </w:r>
    </w:p>
  </w:footnote>
  <w:footnote w:id="2361">
    <w:p w:rsidR="003F128F" w:rsidRPr="00A55286" w:rsidRDefault="003F128F" w:rsidP="00433168">
      <w:pPr>
        <w:pStyle w:val="af3"/>
        <w:rPr>
          <w:rFonts w:ascii="Traditional Arabic" w:hAnsi="Traditional Arabic"/>
          <w:color w:val="auto"/>
          <w:sz w:val="32"/>
          <w:szCs w:val="32"/>
        </w:rPr>
      </w:pPr>
      <w:r w:rsidRPr="00A55286">
        <w:rPr>
          <w:rFonts w:ascii="Traditional Arabic" w:hAnsi="Traditional Arabic"/>
          <w:color w:val="auto"/>
          <w:sz w:val="32"/>
          <w:szCs w:val="32"/>
          <w:rtl/>
        </w:rPr>
        <w:t>(</w:t>
      </w:r>
      <w:r w:rsidRPr="00A55286">
        <w:rPr>
          <w:rStyle w:val="ae"/>
          <w:rFonts w:ascii="Traditional Arabic" w:hAnsi="Traditional Arabic"/>
          <w:color w:val="auto"/>
          <w:sz w:val="32"/>
          <w:szCs w:val="32"/>
          <w:vertAlign w:val="baseline"/>
        </w:rPr>
        <w:footnoteRef/>
      </w:r>
      <w:r w:rsidRPr="00A55286">
        <w:rPr>
          <w:rFonts w:ascii="Traditional Arabic" w:hAnsi="Traditional Arabic"/>
          <w:color w:val="auto"/>
          <w:sz w:val="32"/>
          <w:szCs w:val="32"/>
          <w:rtl/>
        </w:rPr>
        <w:t>) تفسير الطبري (18/190), تفسير ابن أبي حاتم (7/2408).</w:t>
      </w:r>
    </w:p>
  </w:footnote>
  <w:footnote w:id="2362">
    <w:p w:rsidR="003F128F" w:rsidRPr="00A55286" w:rsidRDefault="003F128F" w:rsidP="00433168">
      <w:pPr>
        <w:pStyle w:val="af3"/>
        <w:rPr>
          <w:rFonts w:ascii="Traditional Arabic" w:hAnsi="Traditional Arabic"/>
          <w:color w:val="auto"/>
          <w:sz w:val="32"/>
          <w:szCs w:val="32"/>
        </w:rPr>
      </w:pPr>
      <w:r w:rsidRPr="00A55286">
        <w:rPr>
          <w:rFonts w:ascii="Traditional Arabic" w:hAnsi="Traditional Arabic"/>
          <w:color w:val="auto"/>
          <w:sz w:val="32"/>
          <w:szCs w:val="32"/>
          <w:rtl/>
        </w:rPr>
        <w:t>(</w:t>
      </w:r>
      <w:r w:rsidRPr="00A55286">
        <w:rPr>
          <w:rStyle w:val="ae"/>
          <w:rFonts w:ascii="Traditional Arabic" w:hAnsi="Traditional Arabic"/>
          <w:color w:val="auto"/>
          <w:sz w:val="32"/>
          <w:szCs w:val="32"/>
          <w:vertAlign w:val="baseline"/>
        </w:rPr>
        <w:footnoteRef/>
      </w:r>
      <w:r w:rsidRPr="00A55286">
        <w:rPr>
          <w:rFonts w:ascii="Traditional Arabic" w:hAnsi="Traditional Arabic"/>
          <w:color w:val="auto"/>
          <w:sz w:val="32"/>
          <w:szCs w:val="32"/>
          <w:rtl/>
        </w:rPr>
        <w:t xml:space="preserve">) انظر: تفسير الطبري (18/191), الهداية (7/4533), النكت والعيون (3/370) غير منسوب.  </w:t>
      </w:r>
    </w:p>
  </w:footnote>
  <w:footnote w:id="2363">
    <w:p w:rsidR="003F128F" w:rsidRPr="00A55286" w:rsidRDefault="003F128F" w:rsidP="00433168">
      <w:pPr>
        <w:pStyle w:val="af3"/>
        <w:rPr>
          <w:rFonts w:ascii="Traditional Arabic" w:hAnsi="Traditional Arabic"/>
          <w:sz w:val="32"/>
          <w:szCs w:val="32"/>
        </w:rPr>
      </w:pPr>
      <w:r w:rsidRPr="00A55286">
        <w:rPr>
          <w:rFonts w:ascii="Traditional Arabic" w:hAnsi="Traditional Arabic"/>
          <w:color w:val="auto"/>
          <w:sz w:val="32"/>
          <w:szCs w:val="32"/>
          <w:rtl/>
        </w:rPr>
        <w:t>(</w:t>
      </w:r>
      <w:r w:rsidRPr="00A55286">
        <w:rPr>
          <w:rStyle w:val="ae"/>
          <w:rFonts w:ascii="Traditional Arabic" w:hAnsi="Traditional Arabic"/>
          <w:color w:val="auto"/>
          <w:sz w:val="32"/>
          <w:szCs w:val="32"/>
          <w:vertAlign w:val="baseline"/>
        </w:rPr>
        <w:footnoteRef/>
      </w:r>
      <w:r w:rsidRPr="00A55286">
        <w:rPr>
          <w:rFonts w:ascii="Traditional Arabic" w:hAnsi="Traditional Arabic"/>
          <w:color w:val="auto"/>
          <w:sz w:val="32"/>
          <w:szCs w:val="32"/>
          <w:rtl/>
        </w:rPr>
        <w:t xml:space="preserve">) انظر: معاني القرآن وإعرابه (3/328). </w:t>
      </w:r>
    </w:p>
  </w:footnote>
  <w:footnote w:id="2364">
    <w:p w:rsidR="003F128F" w:rsidRPr="00A55286" w:rsidRDefault="003F128F" w:rsidP="00433168">
      <w:pPr>
        <w:pStyle w:val="af3"/>
        <w:rPr>
          <w:rFonts w:ascii="Traditional Arabic" w:hAnsi="Traditional Arabic"/>
          <w:sz w:val="32"/>
          <w:szCs w:val="32"/>
        </w:rPr>
      </w:pPr>
      <w:r w:rsidRPr="00A55286">
        <w:rPr>
          <w:rFonts w:ascii="Traditional Arabic" w:hAnsi="Traditional Arabic"/>
          <w:sz w:val="32"/>
          <w:szCs w:val="32"/>
          <w:rtl/>
        </w:rPr>
        <w:t>(</w:t>
      </w:r>
      <w:r w:rsidRPr="00A55286">
        <w:rPr>
          <w:rStyle w:val="ae"/>
          <w:rFonts w:ascii="Traditional Arabic" w:hAnsi="Traditional Arabic"/>
          <w:sz w:val="32"/>
          <w:szCs w:val="32"/>
          <w:vertAlign w:val="baseline"/>
        </w:rPr>
        <w:footnoteRef/>
      </w:r>
      <w:r w:rsidRPr="00A55286">
        <w:rPr>
          <w:rFonts w:ascii="Traditional Arabic" w:hAnsi="Traditional Arabic"/>
          <w:sz w:val="32"/>
          <w:szCs w:val="32"/>
          <w:rtl/>
        </w:rPr>
        <w:t xml:space="preserve">) </w:t>
      </w:r>
      <w:r w:rsidRPr="00A55286">
        <w:rPr>
          <w:rFonts w:ascii="Traditional Arabic" w:hAnsi="Traditional Arabic"/>
          <w:color w:val="auto"/>
          <w:sz w:val="32"/>
          <w:szCs w:val="32"/>
          <w:rtl/>
        </w:rPr>
        <w:t>انظر: تاريخ ابن عساكر (70/99), وذكره السيوطي في الدر المنثور (5/495) وزاد نسبته لإسحاق بن بشر.</w:t>
      </w:r>
      <w:r w:rsidRPr="00A55286">
        <w:rPr>
          <w:rFonts w:ascii="Traditional Arabic" w:hAnsi="Traditional Arabic"/>
          <w:sz w:val="32"/>
          <w:szCs w:val="32"/>
          <w:rtl/>
        </w:rPr>
        <w:t xml:space="preserve"> </w:t>
      </w:r>
    </w:p>
  </w:footnote>
  <w:footnote w:id="2365">
    <w:p w:rsidR="003F128F" w:rsidRPr="00A55286" w:rsidRDefault="003F128F" w:rsidP="00433168">
      <w:pPr>
        <w:pStyle w:val="af3"/>
        <w:rPr>
          <w:rFonts w:ascii="Traditional Arabic" w:hAnsi="Traditional Arabic"/>
          <w:sz w:val="32"/>
          <w:szCs w:val="32"/>
        </w:rPr>
      </w:pPr>
      <w:r w:rsidRPr="00A55286">
        <w:rPr>
          <w:rFonts w:ascii="Traditional Arabic" w:hAnsi="Traditional Arabic"/>
          <w:sz w:val="32"/>
          <w:szCs w:val="32"/>
          <w:rtl/>
        </w:rPr>
        <w:t>(</w:t>
      </w:r>
      <w:r w:rsidRPr="00A55286">
        <w:rPr>
          <w:rStyle w:val="ae"/>
          <w:rFonts w:ascii="Traditional Arabic" w:hAnsi="Traditional Arabic"/>
          <w:sz w:val="32"/>
          <w:szCs w:val="32"/>
          <w:vertAlign w:val="baseline"/>
        </w:rPr>
        <w:footnoteRef/>
      </w:r>
      <w:r w:rsidRPr="00A55286">
        <w:rPr>
          <w:rFonts w:ascii="Traditional Arabic" w:hAnsi="Traditional Arabic"/>
          <w:sz w:val="32"/>
          <w:szCs w:val="32"/>
          <w:rtl/>
        </w:rPr>
        <w:t>) في الأصل: [متطعماً], والمثبت من (ك) وهو موافق لما في كتب التفسير.</w:t>
      </w:r>
    </w:p>
  </w:footnote>
  <w:footnote w:id="2366">
    <w:p w:rsidR="003F128F" w:rsidRPr="00A55286" w:rsidRDefault="003F128F" w:rsidP="00433168">
      <w:pPr>
        <w:pStyle w:val="af3"/>
        <w:rPr>
          <w:rFonts w:ascii="Traditional Arabic" w:hAnsi="Traditional Arabic"/>
          <w:sz w:val="32"/>
          <w:szCs w:val="32"/>
        </w:rPr>
      </w:pPr>
      <w:r w:rsidRPr="00A55286">
        <w:rPr>
          <w:rFonts w:ascii="Traditional Arabic" w:hAnsi="Traditional Arabic"/>
          <w:sz w:val="32"/>
          <w:szCs w:val="32"/>
          <w:rtl/>
        </w:rPr>
        <w:t>(</w:t>
      </w:r>
      <w:r w:rsidRPr="00A55286">
        <w:rPr>
          <w:rStyle w:val="ae"/>
          <w:rFonts w:ascii="Traditional Arabic" w:hAnsi="Traditional Arabic"/>
          <w:sz w:val="32"/>
          <w:szCs w:val="32"/>
          <w:vertAlign w:val="baseline"/>
        </w:rPr>
        <w:footnoteRef/>
      </w:r>
      <w:r w:rsidRPr="00A55286">
        <w:rPr>
          <w:rFonts w:ascii="Traditional Arabic" w:hAnsi="Traditional Arabic"/>
          <w:sz w:val="32"/>
          <w:szCs w:val="32"/>
          <w:rtl/>
        </w:rPr>
        <w:t>) انظر: التفسير الوسيط (3/183), معالم التنزيل (5/230).</w:t>
      </w:r>
    </w:p>
  </w:footnote>
  <w:footnote w:id="2367">
    <w:p w:rsidR="003F128F" w:rsidRPr="00A55286" w:rsidRDefault="003F128F" w:rsidP="00433168">
      <w:pPr>
        <w:pStyle w:val="af3"/>
        <w:rPr>
          <w:rFonts w:ascii="Traditional Arabic" w:hAnsi="Traditional Arabic"/>
          <w:sz w:val="32"/>
          <w:szCs w:val="32"/>
        </w:rPr>
      </w:pPr>
      <w:r w:rsidRPr="00A55286">
        <w:rPr>
          <w:rFonts w:ascii="Traditional Arabic" w:hAnsi="Traditional Arabic"/>
          <w:sz w:val="32"/>
          <w:szCs w:val="32"/>
          <w:rtl/>
        </w:rPr>
        <w:t>(</w:t>
      </w:r>
      <w:r w:rsidRPr="00A55286">
        <w:rPr>
          <w:rStyle w:val="ae"/>
          <w:rFonts w:ascii="Traditional Arabic" w:hAnsi="Traditional Arabic"/>
          <w:sz w:val="32"/>
          <w:szCs w:val="32"/>
          <w:vertAlign w:val="baseline"/>
        </w:rPr>
        <w:footnoteRef/>
      </w:r>
      <w:r w:rsidRPr="00A55286">
        <w:rPr>
          <w:rFonts w:ascii="Traditional Arabic" w:hAnsi="Traditional Arabic"/>
          <w:sz w:val="32"/>
          <w:szCs w:val="32"/>
          <w:rtl/>
        </w:rPr>
        <w:t>) انظر: تفسير الطبري (18/193),</w:t>
      </w:r>
      <w:r w:rsidRPr="00A55286">
        <w:rPr>
          <w:rFonts w:ascii="Traditional Arabic" w:hAnsi="Traditional Arabic"/>
          <w:color w:val="auto"/>
          <w:sz w:val="32"/>
          <w:szCs w:val="32"/>
          <w:rtl/>
        </w:rPr>
        <w:t xml:space="preserve"> </w:t>
      </w:r>
      <w:r w:rsidRPr="00A55286">
        <w:rPr>
          <w:rFonts w:ascii="Traditional Arabic" w:hAnsi="Traditional Arabic"/>
          <w:sz w:val="32"/>
          <w:szCs w:val="32"/>
          <w:rtl/>
        </w:rPr>
        <w:t xml:space="preserve">النكت والعيون (3/371), التفسير الوسيط (3/183).    </w:t>
      </w:r>
    </w:p>
  </w:footnote>
  <w:footnote w:id="2368">
    <w:p w:rsidR="003F128F" w:rsidRPr="00A55286" w:rsidRDefault="003F128F" w:rsidP="00433168">
      <w:pPr>
        <w:pStyle w:val="af3"/>
        <w:rPr>
          <w:rFonts w:ascii="Traditional Arabic" w:hAnsi="Traditional Arabic"/>
          <w:sz w:val="32"/>
          <w:szCs w:val="32"/>
        </w:rPr>
      </w:pPr>
      <w:r w:rsidRPr="00A55286">
        <w:rPr>
          <w:rFonts w:ascii="Traditional Arabic" w:hAnsi="Traditional Arabic"/>
          <w:sz w:val="32"/>
          <w:szCs w:val="32"/>
          <w:rtl/>
        </w:rPr>
        <w:t>(</w:t>
      </w:r>
      <w:r w:rsidRPr="00A55286">
        <w:rPr>
          <w:rStyle w:val="ae"/>
          <w:rFonts w:ascii="Traditional Arabic" w:hAnsi="Traditional Arabic"/>
          <w:sz w:val="32"/>
          <w:szCs w:val="32"/>
          <w:vertAlign w:val="baseline"/>
        </w:rPr>
        <w:footnoteRef/>
      </w:r>
      <w:r w:rsidRPr="00A55286">
        <w:rPr>
          <w:rFonts w:ascii="Traditional Arabic" w:hAnsi="Traditional Arabic"/>
          <w:sz w:val="32"/>
          <w:szCs w:val="32"/>
          <w:rtl/>
        </w:rPr>
        <w:t>) تقدم في (ص</w:t>
      </w:r>
      <w:r>
        <w:rPr>
          <w:rFonts w:ascii="Traditional Arabic" w:hAnsi="Traditional Arabic" w:hint="cs"/>
          <w:sz w:val="32"/>
          <w:szCs w:val="32"/>
          <w:rtl/>
        </w:rPr>
        <w:t>302</w:t>
      </w:r>
      <w:r w:rsidRPr="00A55286">
        <w:rPr>
          <w:rFonts w:ascii="Traditional Arabic" w:hAnsi="Traditional Arabic"/>
          <w:sz w:val="32"/>
          <w:szCs w:val="32"/>
          <w:rtl/>
        </w:rPr>
        <w:t xml:space="preserve">). </w:t>
      </w:r>
    </w:p>
  </w:footnote>
  <w:footnote w:id="2369">
    <w:p w:rsidR="003F128F" w:rsidRPr="00783064" w:rsidRDefault="003F128F" w:rsidP="00433168">
      <w:pPr>
        <w:pStyle w:val="af3"/>
        <w:rPr>
          <w:rFonts w:ascii="Traditional Arabic" w:hAnsi="Traditional Arabic"/>
          <w:sz w:val="32"/>
          <w:szCs w:val="32"/>
        </w:rPr>
      </w:pPr>
      <w:r w:rsidRPr="00A55286">
        <w:rPr>
          <w:rFonts w:ascii="Traditional Arabic" w:hAnsi="Traditional Arabic"/>
          <w:sz w:val="32"/>
          <w:szCs w:val="32"/>
          <w:rtl/>
        </w:rPr>
        <w:t>(</w:t>
      </w:r>
      <w:r w:rsidRPr="00A55286">
        <w:rPr>
          <w:rStyle w:val="ae"/>
          <w:rFonts w:ascii="Traditional Arabic" w:hAnsi="Traditional Arabic"/>
          <w:sz w:val="32"/>
          <w:szCs w:val="32"/>
          <w:vertAlign w:val="baseline"/>
        </w:rPr>
        <w:footnoteRef/>
      </w:r>
      <w:r w:rsidRPr="00A55286">
        <w:rPr>
          <w:rFonts w:ascii="Traditional Arabic" w:hAnsi="Traditional Arabic"/>
          <w:sz w:val="32"/>
          <w:szCs w:val="32"/>
          <w:rtl/>
        </w:rPr>
        <w:t xml:space="preserve">) انظر: معاني القرآن وإعرابه (3/329). </w:t>
      </w:r>
    </w:p>
  </w:footnote>
  <w:footnote w:id="2370">
    <w:p w:rsidR="003F128F" w:rsidRPr="00A55286" w:rsidRDefault="003F128F" w:rsidP="00433168">
      <w:pPr>
        <w:pStyle w:val="af3"/>
        <w:rPr>
          <w:rFonts w:ascii="Traditional Arabic" w:hAnsi="Traditional Arabic"/>
          <w:sz w:val="32"/>
          <w:szCs w:val="32"/>
        </w:rPr>
      </w:pPr>
      <w:r w:rsidRPr="00A55286">
        <w:rPr>
          <w:rFonts w:ascii="Traditional Arabic" w:hAnsi="Traditional Arabic"/>
          <w:sz w:val="32"/>
          <w:szCs w:val="32"/>
          <w:rtl/>
        </w:rPr>
        <w:t>(</w:t>
      </w:r>
      <w:r w:rsidRPr="00A55286">
        <w:rPr>
          <w:rStyle w:val="ae"/>
          <w:rFonts w:ascii="Traditional Arabic" w:hAnsi="Traditional Arabic"/>
          <w:sz w:val="32"/>
          <w:szCs w:val="32"/>
          <w:vertAlign w:val="baseline"/>
        </w:rPr>
        <w:footnoteRef/>
      </w:r>
      <w:r w:rsidRPr="00A55286">
        <w:rPr>
          <w:rFonts w:ascii="Traditional Arabic" w:hAnsi="Traditional Arabic"/>
          <w:sz w:val="32"/>
          <w:szCs w:val="32"/>
          <w:rtl/>
        </w:rPr>
        <w:t>) ذكر بنحوه الألوسي في روح المعاني (16/82).</w:t>
      </w:r>
    </w:p>
  </w:footnote>
  <w:footnote w:id="2371">
    <w:p w:rsidR="003F128F" w:rsidRPr="00A55286" w:rsidRDefault="003F128F" w:rsidP="00433168">
      <w:pPr>
        <w:pStyle w:val="af3"/>
        <w:rPr>
          <w:rFonts w:ascii="Traditional Arabic" w:hAnsi="Traditional Arabic"/>
          <w:sz w:val="32"/>
          <w:szCs w:val="32"/>
        </w:rPr>
      </w:pPr>
      <w:r w:rsidRPr="00A55286">
        <w:rPr>
          <w:rFonts w:ascii="Traditional Arabic" w:hAnsi="Traditional Arabic"/>
          <w:sz w:val="32"/>
          <w:szCs w:val="32"/>
          <w:rtl/>
        </w:rPr>
        <w:t>(</w:t>
      </w:r>
      <w:r w:rsidRPr="00A55286">
        <w:rPr>
          <w:rStyle w:val="ae"/>
          <w:rFonts w:ascii="Traditional Arabic" w:hAnsi="Traditional Arabic"/>
          <w:sz w:val="32"/>
          <w:szCs w:val="32"/>
          <w:vertAlign w:val="baseline"/>
        </w:rPr>
        <w:footnoteRef/>
      </w:r>
      <w:r w:rsidRPr="00A55286">
        <w:rPr>
          <w:rFonts w:ascii="Traditional Arabic" w:hAnsi="Traditional Arabic"/>
          <w:sz w:val="32"/>
          <w:szCs w:val="32"/>
          <w:rtl/>
        </w:rPr>
        <w:t>) ذكر بنحوه أهل اللغة. انظر: المحكم (8/512) مادة (سلم), لسان العرب (12/289) مادة (سلم).</w:t>
      </w:r>
    </w:p>
  </w:footnote>
  <w:footnote w:id="2372">
    <w:p w:rsidR="003F128F" w:rsidRPr="00A55286" w:rsidRDefault="003F128F" w:rsidP="00433168">
      <w:pPr>
        <w:pStyle w:val="af3"/>
        <w:rPr>
          <w:rFonts w:ascii="Traditional Arabic" w:hAnsi="Traditional Arabic"/>
          <w:sz w:val="32"/>
          <w:szCs w:val="32"/>
        </w:rPr>
      </w:pPr>
      <w:r w:rsidRPr="00A55286">
        <w:rPr>
          <w:rFonts w:ascii="Traditional Arabic" w:hAnsi="Traditional Arabic"/>
          <w:sz w:val="32"/>
          <w:szCs w:val="32"/>
          <w:rtl/>
        </w:rPr>
        <w:t>(</w:t>
      </w:r>
      <w:r w:rsidRPr="00A55286">
        <w:rPr>
          <w:rStyle w:val="ae"/>
          <w:rFonts w:ascii="Traditional Arabic" w:hAnsi="Traditional Arabic"/>
          <w:sz w:val="32"/>
          <w:szCs w:val="32"/>
          <w:vertAlign w:val="baseline"/>
        </w:rPr>
        <w:footnoteRef/>
      </w:r>
      <w:r w:rsidRPr="00A55286">
        <w:rPr>
          <w:rFonts w:ascii="Traditional Arabic" w:hAnsi="Traditional Arabic"/>
          <w:sz w:val="32"/>
          <w:szCs w:val="32"/>
          <w:rtl/>
        </w:rPr>
        <w:t xml:space="preserve">) </w:t>
      </w:r>
      <w:r w:rsidRPr="00A55286">
        <w:rPr>
          <w:rFonts w:ascii="Traditional Arabic" w:hAnsi="Traditional Arabic"/>
          <w:color w:val="auto"/>
          <w:sz w:val="32"/>
          <w:szCs w:val="32"/>
          <w:rtl/>
        </w:rPr>
        <w:t>انظر: معاني القرآن وإعرابه (3/329).</w:t>
      </w:r>
      <w:r w:rsidRPr="00A55286">
        <w:rPr>
          <w:rFonts w:ascii="Traditional Arabic" w:hAnsi="Traditional Arabic"/>
          <w:sz w:val="32"/>
          <w:szCs w:val="32"/>
          <w:rtl/>
        </w:rPr>
        <w:t xml:space="preserve"> </w:t>
      </w:r>
    </w:p>
  </w:footnote>
  <w:footnote w:id="2373">
    <w:p w:rsidR="003F128F" w:rsidRPr="00A55286" w:rsidRDefault="003F128F" w:rsidP="00433168">
      <w:pPr>
        <w:pStyle w:val="af3"/>
        <w:rPr>
          <w:rFonts w:ascii="Traditional Arabic" w:hAnsi="Traditional Arabic"/>
          <w:sz w:val="32"/>
          <w:szCs w:val="32"/>
        </w:rPr>
      </w:pPr>
      <w:r w:rsidRPr="00A55286">
        <w:rPr>
          <w:rFonts w:ascii="Traditional Arabic" w:hAnsi="Traditional Arabic"/>
          <w:sz w:val="32"/>
          <w:szCs w:val="32"/>
          <w:rtl/>
        </w:rPr>
        <w:t>(</w:t>
      </w:r>
      <w:r w:rsidRPr="00A55286">
        <w:rPr>
          <w:rStyle w:val="ae"/>
          <w:rFonts w:ascii="Traditional Arabic" w:hAnsi="Traditional Arabic"/>
          <w:sz w:val="32"/>
          <w:szCs w:val="32"/>
          <w:vertAlign w:val="baseline"/>
        </w:rPr>
        <w:footnoteRef/>
      </w:r>
      <w:r w:rsidRPr="00A55286">
        <w:rPr>
          <w:rFonts w:ascii="Traditional Arabic" w:hAnsi="Traditional Arabic"/>
          <w:sz w:val="32"/>
          <w:szCs w:val="32"/>
          <w:rtl/>
        </w:rPr>
        <w:t>)</w:t>
      </w:r>
      <w:r w:rsidRPr="00A55286">
        <w:rPr>
          <w:rFonts w:ascii="Traditional Arabic" w:hAnsi="Traditional Arabic"/>
          <w:color w:val="auto"/>
          <w:sz w:val="32"/>
          <w:szCs w:val="32"/>
          <w:rtl/>
        </w:rPr>
        <w:t xml:space="preserve"> انظر: السبعة في القراءات (ص409), معاني القراءات (2/135).</w:t>
      </w:r>
      <w:r w:rsidRPr="00A55286">
        <w:rPr>
          <w:rFonts w:ascii="Traditional Arabic" w:hAnsi="Traditional Arabic"/>
          <w:sz w:val="32"/>
          <w:szCs w:val="32"/>
          <w:rtl/>
        </w:rPr>
        <w:t xml:space="preserve"> </w:t>
      </w:r>
    </w:p>
  </w:footnote>
  <w:footnote w:id="2374">
    <w:p w:rsidR="003F128F" w:rsidRPr="00A55286" w:rsidRDefault="003F128F" w:rsidP="00433168">
      <w:pPr>
        <w:pStyle w:val="af3"/>
        <w:rPr>
          <w:rFonts w:ascii="Traditional Arabic" w:hAnsi="Traditional Arabic"/>
          <w:sz w:val="32"/>
          <w:szCs w:val="32"/>
        </w:rPr>
      </w:pPr>
      <w:r w:rsidRPr="00A55286">
        <w:rPr>
          <w:rFonts w:ascii="Traditional Arabic" w:hAnsi="Traditional Arabic"/>
          <w:sz w:val="32"/>
          <w:szCs w:val="32"/>
          <w:rtl/>
        </w:rPr>
        <w:t>(</w:t>
      </w:r>
      <w:r w:rsidRPr="00A55286">
        <w:rPr>
          <w:rStyle w:val="ae"/>
          <w:rFonts w:ascii="Traditional Arabic" w:hAnsi="Traditional Arabic"/>
          <w:sz w:val="32"/>
          <w:szCs w:val="32"/>
          <w:vertAlign w:val="baseline"/>
        </w:rPr>
        <w:footnoteRef/>
      </w:r>
      <w:r w:rsidRPr="00A55286">
        <w:rPr>
          <w:rFonts w:ascii="Traditional Arabic" w:hAnsi="Traditional Arabic"/>
          <w:sz w:val="32"/>
          <w:szCs w:val="32"/>
          <w:rtl/>
        </w:rPr>
        <w:t xml:space="preserve">) انظر: معاني القرآن وإعرابه (3/329). </w:t>
      </w:r>
    </w:p>
  </w:footnote>
  <w:footnote w:id="2375">
    <w:p w:rsidR="003F128F" w:rsidRPr="00A55286" w:rsidRDefault="003F128F" w:rsidP="00433168">
      <w:pPr>
        <w:pStyle w:val="af3"/>
        <w:rPr>
          <w:rFonts w:ascii="Traditional Arabic" w:hAnsi="Traditional Arabic"/>
          <w:sz w:val="32"/>
          <w:szCs w:val="32"/>
        </w:rPr>
      </w:pPr>
      <w:r w:rsidRPr="00A55286">
        <w:rPr>
          <w:rFonts w:ascii="Traditional Arabic" w:hAnsi="Traditional Arabic"/>
          <w:sz w:val="32"/>
          <w:szCs w:val="32"/>
          <w:rtl/>
        </w:rPr>
        <w:t>(</w:t>
      </w:r>
      <w:r w:rsidRPr="00A55286">
        <w:rPr>
          <w:rStyle w:val="ae"/>
          <w:rFonts w:ascii="Traditional Arabic" w:hAnsi="Traditional Arabic"/>
          <w:sz w:val="32"/>
          <w:szCs w:val="32"/>
          <w:vertAlign w:val="baseline"/>
        </w:rPr>
        <w:footnoteRef/>
      </w:r>
      <w:r w:rsidRPr="00A55286">
        <w:rPr>
          <w:rFonts w:ascii="Traditional Arabic" w:hAnsi="Traditional Arabic"/>
          <w:sz w:val="32"/>
          <w:szCs w:val="32"/>
          <w:rtl/>
        </w:rPr>
        <w:t xml:space="preserve">) ذكر بنحوه الماوردي في النكت والعيون (3/372).   </w:t>
      </w:r>
    </w:p>
  </w:footnote>
  <w:footnote w:id="2376">
    <w:p w:rsidR="003F128F" w:rsidRPr="00A55286" w:rsidRDefault="003F128F" w:rsidP="00433168">
      <w:pPr>
        <w:pStyle w:val="af3"/>
        <w:rPr>
          <w:rFonts w:ascii="Traditional Arabic" w:hAnsi="Traditional Arabic"/>
          <w:sz w:val="32"/>
          <w:szCs w:val="32"/>
        </w:rPr>
      </w:pPr>
      <w:r w:rsidRPr="00A55286">
        <w:rPr>
          <w:rFonts w:ascii="Traditional Arabic" w:hAnsi="Traditional Arabic"/>
          <w:sz w:val="32"/>
          <w:szCs w:val="32"/>
          <w:rtl/>
        </w:rPr>
        <w:t>(</w:t>
      </w:r>
      <w:r w:rsidRPr="00A55286">
        <w:rPr>
          <w:rStyle w:val="ae"/>
          <w:rFonts w:ascii="Traditional Arabic" w:hAnsi="Traditional Arabic"/>
          <w:sz w:val="32"/>
          <w:szCs w:val="32"/>
          <w:vertAlign w:val="baseline"/>
        </w:rPr>
        <w:footnoteRef/>
      </w:r>
      <w:r w:rsidRPr="00A55286">
        <w:rPr>
          <w:rFonts w:ascii="Traditional Arabic" w:hAnsi="Traditional Arabic"/>
          <w:sz w:val="32"/>
          <w:szCs w:val="32"/>
          <w:rtl/>
        </w:rPr>
        <w:t xml:space="preserve">) انظر: تفسير يحيى بن سلام (1/223), تفسير الطبري (18/194).    </w:t>
      </w:r>
    </w:p>
  </w:footnote>
  <w:footnote w:id="2377">
    <w:p w:rsidR="003F128F" w:rsidRPr="00A55286" w:rsidRDefault="003F128F" w:rsidP="00433168">
      <w:pPr>
        <w:pStyle w:val="af3"/>
        <w:rPr>
          <w:rFonts w:ascii="Tahoma" w:hAnsi="Tahoma"/>
        </w:rPr>
      </w:pPr>
      <w:r w:rsidRPr="00A55286">
        <w:rPr>
          <w:rFonts w:ascii="Traditional Arabic" w:hAnsi="Traditional Arabic"/>
          <w:sz w:val="32"/>
          <w:szCs w:val="32"/>
          <w:rtl/>
        </w:rPr>
        <w:t>(</w:t>
      </w:r>
      <w:r w:rsidRPr="00A55286">
        <w:rPr>
          <w:rStyle w:val="ae"/>
          <w:rFonts w:ascii="Traditional Arabic" w:hAnsi="Traditional Arabic"/>
          <w:sz w:val="32"/>
          <w:szCs w:val="32"/>
          <w:vertAlign w:val="baseline"/>
        </w:rPr>
        <w:footnoteRef/>
      </w:r>
      <w:r w:rsidRPr="00A55286">
        <w:rPr>
          <w:rFonts w:ascii="Traditional Arabic" w:hAnsi="Traditional Arabic"/>
          <w:sz w:val="32"/>
          <w:szCs w:val="32"/>
          <w:rtl/>
        </w:rPr>
        <w:t>) في (ك): [وقرأ أبو مجلز].</w:t>
      </w:r>
      <w:r>
        <w:rPr>
          <w:rFonts w:ascii="Tahoma" w:hAnsi="Tahoma"/>
          <w:rtl/>
        </w:rPr>
        <w:t xml:space="preserve"> </w:t>
      </w:r>
    </w:p>
  </w:footnote>
  <w:footnote w:id="2378">
    <w:p w:rsidR="003F128F" w:rsidRPr="00BF28A3" w:rsidRDefault="003F128F" w:rsidP="00433168">
      <w:pPr>
        <w:pStyle w:val="af3"/>
        <w:rPr>
          <w:rFonts w:ascii="Traditional Arabic" w:hAnsi="Traditional Arabic"/>
          <w:sz w:val="32"/>
          <w:szCs w:val="32"/>
        </w:rPr>
      </w:pPr>
      <w:r w:rsidRPr="00BF28A3">
        <w:rPr>
          <w:rFonts w:ascii="Traditional Arabic" w:hAnsi="Traditional Arabic"/>
          <w:sz w:val="32"/>
          <w:szCs w:val="32"/>
          <w:rtl/>
        </w:rPr>
        <w:t>(</w:t>
      </w:r>
      <w:r w:rsidRPr="00BF28A3">
        <w:rPr>
          <w:rStyle w:val="ae"/>
          <w:rFonts w:ascii="Traditional Arabic" w:hAnsi="Traditional Arabic"/>
          <w:sz w:val="32"/>
          <w:szCs w:val="32"/>
          <w:vertAlign w:val="baseline"/>
        </w:rPr>
        <w:footnoteRef/>
      </w:r>
      <w:r w:rsidRPr="00BF28A3">
        <w:rPr>
          <w:rFonts w:ascii="Traditional Arabic" w:hAnsi="Traditional Arabic"/>
          <w:sz w:val="32"/>
          <w:szCs w:val="32"/>
          <w:rtl/>
        </w:rPr>
        <w:t>) انظر: معجم القراءات (5/366), وذكرها ابن عطية في المحرر الوجيز (4/15) ونسبها لنافع وداود بن أبي هند, وذكرها كذلك أبو حيان في البحر المحيط (7/261) وزاد نسبها لعلي بن أبي طالب</w:t>
      </w:r>
      <w:r w:rsidRPr="00BF28A3">
        <w:rPr>
          <w:rFonts w:ascii="Traditional Arabic" w:hAnsi="Traditional Arabic"/>
          <w:sz w:val="32"/>
          <w:szCs w:val="32"/>
        </w:rPr>
        <w:sym w:font="AGA Arabesque" w:char="F074"/>
      </w:r>
      <w:r w:rsidRPr="00BF28A3">
        <w:rPr>
          <w:rFonts w:ascii="Traditional Arabic" w:hAnsi="Traditional Arabic"/>
          <w:sz w:val="32"/>
          <w:szCs w:val="32"/>
        </w:rPr>
        <w:t xml:space="preserve"> </w:t>
      </w:r>
      <w:r w:rsidRPr="00BF28A3">
        <w:rPr>
          <w:rFonts w:ascii="Traditional Arabic" w:hAnsi="Traditional Arabic" w:hint="cs"/>
          <w:sz w:val="32"/>
          <w:szCs w:val="32"/>
          <w:rtl/>
        </w:rPr>
        <w:t xml:space="preserve"> </w:t>
      </w:r>
      <w:r w:rsidRPr="00BF28A3">
        <w:rPr>
          <w:rFonts w:ascii="Traditional Arabic" w:hAnsi="Traditional Arabic"/>
          <w:sz w:val="32"/>
          <w:szCs w:val="32"/>
          <w:rtl/>
        </w:rPr>
        <w:t>والسُّلمي  والكسائي.</w:t>
      </w:r>
    </w:p>
  </w:footnote>
  <w:footnote w:id="2379">
    <w:p w:rsidR="003F128F" w:rsidRPr="00BF28A3" w:rsidRDefault="003F128F" w:rsidP="00433168">
      <w:pPr>
        <w:pStyle w:val="af3"/>
        <w:rPr>
          <w:rFonts w:ascii="Traditional Arabic" w:hAnsi="Traditional Arabic"/>
          <w:sz w:val="32"/>
          <w:szCs w:val="32"/>
        </w:rPr>
      </w:pPr>
      <w:r w:rsidRPr="00BF28A3">
        <w:rPr>
          <w:rFonts w:ascii="Traditional Arabic" w:hAnsi="Traditional Arabic"/>
          <w:sz w:val="32"/>
          <w:szCs w:val="32"/>
          <w:rtl/>
        </w:rPr>
        <w:t>(</w:t>
      </w:r>
      <w:r w:rsidRPr="00BF28A3">
        <w:rPr>
          <w:rStyle w:val="ae"/>
          <w:rFonts w:ascii="Traditional Arabic" w:hAnsi="Traditional Arabic"/>
          <w:sz w:val="32"/>
          <w:szCs w:val="32"/>
          <w:vertAlign w:val="baseline"/>
        </w:rPr>
        <w:footnoteRef/>
      </w:r>
      <w:r w:rsidRPr="00BF28A3">
        <w:rPr>
          <w:rFonts w:ascii="Traditional Arabic" w:hAnsi="Traditional Arabic"/>
          <w:sz w:val="32"/>
          <w:szCs w:val="32"/>
          <w:rtl/>
        </w:rPr>
        <w:t xml:space="preserve">) انظر: معاني القرآن وإعرابه (3/329-330). </w:t>
      </w:r>
    </w:p>
  </w:footnote>
  <w:footnote w:id="2380">
    <w:p w:rsidR="003F128F" w:rsidRPr="00825010" w:rsidRDefault="003F128F" w:rsidP="00433168">
      <w:pPr>
        <w:pStyle w:val="af3"/>
        <w:rPr>
          <w:rFonts w:ascii="Tahoma" w:hAnsi="Tahoma"/>
        </w:rPr>
      </w:pPr>
      <w:r w:rsidRPr="00BF28A3">
        <w:rPr>
          <w:rFonts w:ascii="Traditional Arabic" w:hAnsi="Traditional Arabic"/>
          <w:sz w:val="32"/>
          <w:szCs w:val="32"/>
          <w:rtl/>
        </w:rPr>
        <w:t>(</w:t>
      </w:r>
      <w:r w:rsidRPr="00BF28A3">
        <w:rPr>
          <w:rStyle w:val="ae"/>
          <w:rFonts w:ascii="Traditional Arabic" w:hAnsi="Traditional Arabic"/>
          <w:sz w:val="32"/>
          <w:szCs w:val="32"/>
          <w:vertAlign w:val="baseline"/>
        </w:rPr>
        <w:footnoteRef/>
      </w:r>
      <w:r w:rsidRPr="00BF28A3">
        <w:rPr>
          <w:rFonts w:ascii="Traditional Arabic" w:hAnsi="Traditional Arabic"/>
          <w:sz w:val="32"/>
          <w:szCs w:val="32"/>
          <w:rtl/>
        </w:rPr>
        <w:t>) انظر: معجم القراءات (5/366).</w:t>
      </w:r>
    </w:p>
  </w:footnote>
  <w:footnote w:id="2381">
    <w:p w:rsidR="003F128F" w:rsidRPr="00CF7FD4" w:rsidRDefault="003F128F" w:rsidP="00433168">
      <w:pPr>
        <w:pStyle w:val="af3"/>
        <w:rPr>
          <w:rFonts w:ascii="Traditional Arabic" w:hAnsi="Traditional Arabic"/>
          <w:sz w:val="32"/>
          <w:szCs w:val="32"/>
        </w:rPr>
      </w:pPr>
      <w:r w:rsidRPr="00CF7FD4">
        <w:rPr>
          <w:rFonts w:ascii="Traditional Arabic" w:hAnsi="Traditional Arabic"/>
          <w:sz w:val="32"/>
          <w:szCs w:val="32"/>
          <w:rtl/>
        </w:rPr>
        <w:t>(</w:t>
      </w:r>
      <w:r w:rsidRPr="00CF7FD4">
        <w:rPr>
          <w:rStyle w:val="ae"/>
          <w:rFonts w:ascii="Traditional Arabic" w:hAnsi="Traditional Arabic"/>
          <w:sz w:val="32"/>
          <w:szCs w:val="32"/>
          <w:vertAlign w:val="baseline"/>
        </w:rPr>
        <w:footnoteRef/>
      </w:r>
      <w:r w:rsidRPr="00CF7FD4">
        <w:rPr>
          <w:rFonts w:ascii="Traditional Arabic" w:hAnsi="Traditional Arabic"/>
          <w:sz w:val="32"/>
          <w:szCs w:val="32"/>
          <w:rtl/>
        </w:rPr>
        <w:t>) سورة البقرة, الآية: (117).</w:t>
      </w:r>
      <w:r w:rsidRPr="00CF7FD4">
        <w:rPr>
          <w:rFonts w:ascii="Traditional Arabic" w:hAnsi="Traditional Arabic"/>
          <w:color w:val="auto"/>
          <w:sz w:val="32"/>
          <w:szCs w:val="32"/>
          <w:rtl/>
        </w:rPr>
        <w:t xml:space="preserve"> </w:t>
      </w:r>
      <w:r w:rsidRPr="00CF7FD4">
        <w:rPr>
          <w:rFonts w:ascii="Traditional Arabic" w:hAnsi="Traditional Arabic"/>
          <w:sz w:val="32"/>
          <w:szCs w:val="32"/>
          <w:rtl/>
        </w:rPr>
        <w:t xml:space="preserve">انظر: زاد المسير (1/136). </w:t>
      </w:r>
    </w:p>
  </w:footnote>
  <w:footnote w:id="2382">
    <w:p w:rsidR="003F128F" w:rsidRPr="00A55286" w:rsidRDefault="003F128F" w:rsidP="00433168">
      <w:pPr>
        <w:pStyle w:val="af3"/>
        <w:rPr>
          <w:rFonts w:ascii="Traditional Arabic" w:hAnsi="Traditional Arabic"/>
          <w:sz w:val="32"/>
          <w:szCs w:val="32"/>
          <w:rtl/>
        </w:rPr>
      </w:pPr>
      <w:r w:rsidRPr="00A55286">
        <w:rPr>
          <w:rFonts w:ascii="Traditional Arabic" w:hAnsi="Traditional Arabic"/>
          <w:sz w:val="32"/>
          <w:szCs w:val="32"/>
          <w:rtl/>
        </w:rPr>
        <w:t>(</w:t>
      </w:r>
      <w:r w:rsidRPr="00A55286">
        <w:rPr>
          <w:rStyle w:val="ae"/>
          <w:rFonts w:ascii="Traditional Arabic" w:hAnsi="Traditional Arabic"/>
          <w:sz w:val="32"/>
          <w:szCs w:val="32"/>
          <w:vertAlign w:val="baseline"/>
        </w:rPr>
        <w:footnoteRef/>
      </w:r>
      <w:r w:rsidRPr="00A55286">
        <w:rPr>
          <w:rFonts w:ascii="Traditional Arabic" w:hAnsi="Traditional Arabic"/>
          <w:sz w:val="32"/>
          <w:szCs w:val="32"/>
          <w:rtl/>
        </w:rPr>
        <w:t xml:space="preserve">) في (ك): [«وإِن الله» بالكسر].  </w:t>
      </w:r>
    </w:p>
  </w:footnote>
  <w:footnote w:id="2383">
    <w:p w:rsidR="003F128F" w:rsidRPr="00CF7FD4" w:rsidRDefault="003F128F" w:rsidP="00433168">
      <w:pPr>
        <w:pStyle w:val="af3"/>
        <w:rPr>
          <w:rFonts w:ascii="Traditional Arabic" w:hAnsi="Traditional Arabic"/>
          <w:sz w:val="32"/>
          <w:szCs w:val="32"/>
        </w:rPr>
      </w:pPr>
      <w:r w:rsidRPr="00CF7FD4">
        <w:rPr>
          <w:rFonts w:ascii="Traditional Arabic" w:hAnsi="Traditional Arabic"/>
          <w:sz w:val="32"/>
          <w:szCs w:val="32"/>
          <w:rtl/>
        </w:rPr>
        <w:t>(</w:t>
      </w:r>
      <w:r w:rsidRPr="00CF7FD4">
        <w:rPr>
          <w:rStyle w:val="ae"/>
          <w:rFonts w:ascii="Traditional Arabic" w:hAnsi="Traditional Arabic"/>
          <w:sz w:val="32"/>
          <w:szCs w:val="32"/>
          <w:vertAlign w:val="baseline"/>
        </w:rPr>
        <w:footnoteRef/>
      </w:r>
      <w:r w:rsidRPr="00CF7FD4">
        <w:rPr>
          <w:rFonts w:ascii="Traditional Arabic" w:hAnsi="Traditional Arabic"/>
          <w:sz w:val="32"/>
          <w:szCs w:val="32"/>
          <w:rtl/>
        </w:rPr>
        <w:t xml:space="preserve">) انظر: السبعة في القراءات (ص410), معاني القراءات (2/135).  </w:t>
      </w:r>
    </w:p>
  </w:footnote>
  <w:footnote w:id="2384">
    <w:p w:rsidR="003F128F" w:rsidRPr="00CF7FD4" w:rsidRDefault="003F128F" w:rsidP="00433168">
      <w:pPr>
        <w:pStyle w:val="af3"/>
        <w:rPr>
          <w:rFonts w:ascii="Traditional Arabic" w:hAnsi="Traditional Arabic"/>
          <w:sz w:val="32"/>
          <w:szCs w:val="32"/>
        </w:rPr>
      </w:pPr>
      <w:r w:rsidRPr="00CF7FD4">
        <w:rPr>
          <w:rFonts w:ascii="Traditional Arabic" w:hAnsi="Traditional Arabic"/>
          <w:sz w:val="32"/>
          <w:szCs w:val="32"/>
          <w:rtl/>
        </w:rPr>
        <w:t>(</w:t>
      </w:r>
      <w:r w:rsidRPr="00CF7FD4">
        <w:rPr>
          <w:rStyle w:val="ae"/>
          <w:rFonts w:ascii="Traditional Arabic" w:hAnsi="Traditional Arabic"/>
          <w:sz w:val="32"/>
          <w:szCs w:val="32"/>
          <w:vertAlign w:val="baseline"/>
        </w:rPr>
        <w:footnoteRef/>
      </w:r>
      <w:r w:rsidRPr="00CF7FD4">
        <w:rPr>
          <w:rFonts w:ascii="Traditional Arabic" w:hAnsi="Traditional Arabic"/>
          <w:sz w:val="32"/>
          <w:szCs w:val="32"/>
          <w:rtl/>
        </w:rPr>
        <w:t xml:space="preserve">) انظر: الحجة للقراء السبعة للفارسي (5/202), حجة القراءات لابن زنجلة (ص444). </w:t>
      </w:r>
    </w:p>
  </w:footnote>
  <w:footnote w:id="2385">
    <w:p w:rsidR="003F128F" w:rsidRPr="00A55286" w:rsidRDefault="003F128F" w:rsidP="00433168">
      <w:pPr>
        <w:pStyle w:val="af3"/>
        <w:rPr>
          <w:rFonts w:ascii="Traditional Arabic" w:hAnsi="Traditional Arabic"/>
          <w:sz w:val="32"/>
          <w:szCs w:val="32"/>
        </w:rPr>
      </w:pPr>
      <w:r w:rsidRPr="00A55286">
        <w:rPr>
          <w:rFonts w:ascii="Traditional Arabic" w:hAnsi="Traditional Arabic"/>
          <w:sz w:val="32"/>
          <w:szCs w:val="32"/>
          <w:rtl/>
        </w:rPr>
        <w:t>(</w:t>
      </w:r>
      <w:r w:rsidRPr="00A55286">
        <w:rPr>
          <w:rStyle w:val="ae"/>
          <w:rFonts w:ascii="Traditional Arabic" w:hAnsi="Traditional Arabic"/>
          <w:sz w:val="32"/>
          <w:szCs w:val="32"/>
          <w:vertAlign w:val="baseline"/>
        </w:rPr>
        <w:footnoteRef/>
      </w:r>
      <w:r w:rsidRPr="00A55286">
        <w:rPr>
          <w:rFonts w:ascii="Traditional Arabic" w:hAnsi="Traditional Arabic"/>
          <w:sz w:val="32"/>
          <w:szCs w:val="32"/>
          <w:rtl/>
        </w:rPr>
        <w:t xml:space="preserve">) التفسير الوسيط (3/184), رموز الكنوز (4/421).     </w:t>
      </w:r>
    </w:p>
  </w:footnote>
  <w:footnote w:id="2386">
    <w:p w:rsidR="003F128F" w:rsidRPr="00A55286" w:rsidRDefault="003F128F" w:rsidP="00433168">
      <w:pPr>
        <w:pStyle w:val="af3"/>
        <w:rPr>
          <w:rFonts w:ascii="Traditional Arabic" w:hAnsi="Traditional Arabic"/>
          <w:sz w:val="32"/>
          <w:szCs w:val="32"/>
        </w:rPr>
      </w:pPr>
      <w:r w:rsidRPr="00A55286">
        <w:rPr>
          <w:rFonts w:ascii="Traditional Arabic" w:hAnsi="Traditional Arabic"/>
          <w:sz w:val="32"/>
          <w:szCs w:val="32"/>
          <w:rtl/>
        </w:rPr>
        <w:t>(</w:t>
      </w:r>
      <w:r w:rsidRPr="00A55286">
        <w:rPr>
          <w:rStyle w:val="ae"/>
          <w:rFonts w:ascii="Traditional Arabic" w:hAnsi="Traditional Arabic"/>
          <w:sz w:val="32"/>
          <w:szCs w:val="32"/>
          <w:vertAlign w:val="baseline"/>
        </w:rPr>
        <w:footnoteRef/>
      </w:r>
      <w:r w:rsidRPr="00A55286">
        <w:rPr>
          <w:rFonts w:ascii="Traditional Arabic" w:hAnsi="Traditional Arabic"/>
          <w:sz w:val="32"/>
          <w:szCs w:val="32"/>
          <w:rtl/>
        </w:rPr>
        <w:t>) انظر: رموز الكنوز (4/421).</w:t>
      </w:r>
    </w:p>
  </w:footnote>
  <w:footnote w:id="2387">
    <w:p w:rsidR="003F128F" w:rsidRPr="00A55286" w:rsidRDefault="003F128F" w:rsidP="00433168">
      <w:pPr>
        <w:pStyle w:val="af3"/>
        <w:rPr>
          <w:rFonts w:ascii="Traditional Arabic" w:hAnsi="Traditional Arabic"/>
          <w:sz w:val="32"/>
          <w:szCs w:val="32"/>
        </w:rPr>
      </w:pPr>
      <w:r w:rsidRPr="00A55286">
        <w:rPr>
          <w:rFonts w:ascii="Traditional Arabic" w:hAnsi="Traditional Arabic"/>
          <w:sz w:val="32"/>
          <w:szCs w:val="32"/>
          <w:rtl/>
        </w:rPr>
        <w:t>(</w:t>
      </w:r>
      <w:r w:rsidRPr="00A55286">
        <w:rPr>
          <w:rStyle w:val="ae"/>
          <w:rFonts w:ascii="Traditional Arabic" w:hAnsi="Traditional Arabic"/>
          <w:sz w:val="32"/>
          <w:szCs w:val="32"/>
          <w:vertAlign w:val="baseline"/>
        </w:rPr>
        <w:footnoteRef/>
      </w:r>
      <w:r w:rsidRPr="00A55286">
        <w:rPr>
          <w:rFonts w:ascii="Traditional Arabic" w:hAnsi="Traditional Arabic"/>
          <w:sz w:val="32"/>
          <w:szCs w:val="32"/>
          <w:rtl/>
        </w:rPr>
        <w:t xml:space="preserve">) لغير رِشْدَةٍ: أي: أنه ليس بثابت النسب من أبيه الذي ينتمي إليه. انظر: تهذيب اللغة (11/221) مادة (رشد).  </w:t>
      </w:r>
    </w:p>
  </w:footnote>
  <w:footnote w:id="2388">
    <w:p w:rsidR="003F128F" w:rsidRPr="00A55286" w:rsidRDefault="003F128F" w:rsidP="00433168">
      <w:pPr>
        <w:pStyle w:val="af3"/>
        <w:rPr>
          <w:rFonts w:ascii="Traditional Arabic" w:hAnsi="Traditional Arabic"/>
          <w:sz w:val="32"/>
          <w:szCs w:val="32"/>
        </w:rPr>
      </w:pPr>
      <w:r w:rsidRPr="00A55286">
        <w:rPr>
          <w:rFonts w:ascii="Traditional Arabic" w:hAnsi="Traditional Arabic"/>
          <w:sz w:val="32"/>
          <w:szCs w:val="32"/>
          <w:rtl/>
        </w:rPr>
        <w:t>(</w:t>
      </w:r>
      <w:r w:rsidRPr="00A55286">
        <w:rPr>
          <w:rStyle w:val="ae"/>
          <w:rFonts w:ascii="Traditional Arabic" w:hAnsi="Traditional Arabic"/>
          <w:sz w:val="32"/>
          <w:szCs w:val="32"/>
          <w:vertAlign w:val="baseline"/>
        </w:rPr>
        <w:footnoteRef/>
      </w:r>
      <w:r w:rsidRPr="00A55286">
        <w:rPr>
          <w:rFonts w:ascii="Traditional Arabic" w:hAnsi="Traditional Arabic"/>
          <w:sz w:val="32"/>
          <w:szCs w:val="32"/>
          <w:rtl/>
        </w:rPr>
        <w:t xml:space="preserve">) انظر: تفسير الطبري (18/193), النكت والعيون (3/372).     </w:t>
      </w:r>
    </w:p>
  </w:footnote>
  <w:footnote w:id="2389">
    <w:p w:rsidR="003F128F" w:rsidRPr="00A55286" w:rsidRDefault="003F128F" w:rsidP="00433168">
      <w:pPr>
        <w:pStyle w:val="af3"/>
        <w:rPr>
          <w:rFonts w:ascii="Traditional Arabic" w:hAnsi="Traditional Arabic"/>
          <w:sz w:val="32"/>
          <w:szCs w:val="32"/>
        </w:rPr>
      </w:pPr>
      <w:r w:rsidRPr="00A55286">
        <w:rPr>
          <w:rFonts w:ascii="Traditional Arabic" w:hAnsi="Traditional Arabic"/>
          <w:sz w:val="32"/>
          <w:szCs w:val="32"/>
          <w:rtl/>
        </w:rPr>
        <w:t>(</w:t>
      </w:r>
      <w:r w:rsidRPr="00A55286">
        <w:rPr>
          <w:rStyle w:val="ae"/>
          <w:rFonts w:ascii="Traditional Arabic" w:hAnsi="Traditional Arabic"/>
          <w:sz w:val="32"/>
          <w:szCs w:val="32"/>
          <w:vertAlign w:val="baseline"/>
        </w:rPr>
        <w:footnoteRef/>
      </w:r>
      <w:r w:rsidRPr="00A55286">
        <w:rPr>
          <w:rFonts w:ascii="Traditional Arabic" w:hAnsi="Traditional Arabic"/>
          <w:sz w:val="32"/>
          <w:szCs w:val="32"/>
          <w:rtl/>
        </w:rPr>
        <w:t xml:space="preserve">) انظر: تفسير مقاتل (2/628), تفسير يحيى بن سلام (1/224). </w:t>
      </w:r>
    </w:p>
  </w:footnote>
  <w:footnote w:id="2390">
    <w:p w:rsidR="003F128F" w:rsidRPr="00A55286" w:rsidRDefault="003F128F" w:rsidP="00433168">
      <w:pPr>
        <w:pStyle w:val="af3"/>
        <w:rPr>
          <w:rFonts w:ascii="Traditional Arabic" w:hAnsi="Traditional Arabic"/>
          <w:sz w:val="32"/>
          <w:szCs w:val="32"/>
        </w:rPr>
      </w:pPr>
      <w:r w:rsidRPr="00A55286">
        <w:rPr>
          <w:rFonts w:ascii="Traditional Arabic" w:hAnsi="Traditional Arabic"/>
          <w:sz w:val="32"/>
          <w:szCs w:val="32"/>
          <w:rtl/>
        </w:rPr>
        <w:t>(</w:t>
      </w:r>
      <w:r w:rsidRPr="00A55286">
        <w:rPr>
          <w:rStyle w:val="ae"/>
          <w:rFonts w:ascii="Traditional Arabic" w:hAnsi="Traditional Arabic"/>
          <w:sz w:val="32"/>
          <w:szCs w:val="32"/>
          <w:vertAlign w:val="baseline"/>
        </w:rPr>
        <w:footnoteRef/>
      </w:r>
      <w:r w:rsidRPr="00A55286">
        <w:rPr>
          <w:rFonts w:ascii="Traditional Arabic" w:hAnsi="Traditional Arabic"/>
          <w:sz w:val="32"/>
          <w:szCs w:val="32"/>
          <w:rtl/>
        </w:rPr>
        <w:t>) انظر: تفسير مقاتل (2/628), تفسير يحيى بن سلام (1/225), تفسير الطبري (18/199).</w:t>
      </w:r>
    </w:p>
  </w:footnote>
  <w:footnote w:id="2391">
    <w:p w:rsidR="003F128F" w:rsidRPr="00A55286" w:rsidRDefault="003F128F" w:rsidP="00433168">
      <w:pPr>
        <w:pStyle w:val="af3"/>
        <w:rPr>
          <w:rFonts w:ascii="Traditional Arabic" w:hAnsi="Traditional Arabic"/>
          <w:sz w:val="32"/>
          <w:szCs w:val="32"/>
        </w:rPr>
      </w:pPr>
      <w:r w:rsidRPr="00A55286">
        <w:rPr>
          <w:rFonts w:ascii="Traditional Arabic" w:hAnsi="Traditional Arabic"/>
          <w:sz w:val="32"/>
          <w:szCs w:val="32"/>
          <w:rtl/>
        </w:rPr>
        <w:t>(</w:t>
      </w:r>
      <w:r w:rsidRPr="00A55286">
        <w:rPr>
          <w:rStyle w:val="ae"/>
          <w:rFonts w:ascii="Traditional Arabic" w:hAnsi="Traditional Arabic"/>
          <w:sz w:val="32"/>
          <w:szCs w:val="32"/>
          <w:vertAlign w:val="baseline"/>
        </w:rPr>
        <w:footnoteRef/>
      </w:r>
      <w:r w:rsidRPr="00A55286">
        <w:rPr>
          <w:rFonts w:ascii="Traditional Arabic" w:hAnsi="Traditional Arabic"/>
          <w:sz w:val="32"/>
          <w:szCs w:val="32"/>
          <w:rtl/>
        </w:rPr>
        <w:t xml:space="preserve">) ما بين المعكوفتين ليس في الأصل, والمثبت من (ك) وهو موافق لما في مصادر هذا القول. </w:t>
      </w:r>
    </w:p>
  </w:footnote>
  <w:footnote w:id="2392">
    <w:p w:rsidR="003F128F" w:rsidRPr="00BF28A3" w:rsidRDefault="003F128F" w:rsidP="00433168">
      <w:pPr>
        <w:pStyle w:val="af3"/>
        <w:rPr>
          <w:rFonts w:ascii="Traditional Arabic" w:hAnsi="Traditional Arabic"/>
          <w:sz w:val="32"/>
          <w:szCs w:val="32"/>
        </w:rPr>
      </w:pPr>
      <w:r w:rsidRPr="00A55286">
        <w:rPr>
          <w:rFonts w:ascii="Traditional Arabic" w:hAnsi="Traditional Arabic"/>
          <w:sz w:val="32"/>
          <w:szCs w:val="32"/>
          <w:rtl/>
        </w:rPr>
        <w:t>(</w:t>
      </w:r>
      <w:r w:rsidRPr="00A55286">
        <w:rPr>
          <w:rStyle w:val="ae"/>
          <w:rFonts w:ascii="Traditional Arabic" w:hAnsi="Traditional Arabic"/>
          <w:sz w:val="32"/>
          <w:szCs w:val="32"/>
          <w:vertAlign w:val="baseline"/>
        </w:rPr>
        <w:footnoteRef/>
      </w:r>
      <w:r w:rsidRPr="00A55286">
        <w:rPr>
          <w:rFonts w:ascii="Traditional Arabic" w:hAnsi="Traditional Arabic"/>
          <w:sz w:val="32"/>
          <w:szCs w:val="32"/>
          <w:rtl/>
        </w:rPr>
        <w:t>) انظر: تفسير الطبري (18/199), النكت والعيون (3/373).</w:t>
      </w:r>
    </w:p>
  </w:footnote>
  <w:footnote w:id="2393">
    <w:p w:rsidR="003F128F" w:rsidRPr="00A55286" w:rsidRDefault="003F128F" w:rsidP="00433168">
      <w:pPr>
        <w:pStyle w:val="af3"/>
        <w:rPr>
          <w:rFonts w:ascii="Traditional Arabic" w:hAnsi="Traditional Arabic"/>
          <w:sz w:val="32"/>
          <w:szCs w:val="32"/>
        </w:rPr>
      </w:pPr>
      <w:r w:rsidRPr="00A55286">
        <w:rPr>
          <w:rFonts w:ascii="Traditional Arabic" w:hAnsi="Traditional Arabic"/>
          <w:sz w:val="32"/>
          <w:szCs w:val="32"/>
          <w:rtl/>
        </w:rPr>
        <w:t>(</w:t>
      </w:r>
      <w:r w:rsidRPr="00A55286">
        <w:rPr>
          <w:rStyle w:val="ae"/>
          <w:rFonts w:ascii="Traditional Arabic" w:hAnsi="Traditional Arabic"/>
          <w:sz w:val="32"/>
          <w:szCs w:val="32"/>
          <w:vertAlign w:val="baseline"/>
        </w:rPr>
        <w:footnoteRef/>
      </w:r>
      <w:r w:rsidRPr="00A55286">
        <w:rPr>
          <w:rFonts w:ascii="Traditional Arabic" w:hAnsi="Traditional Arabic"/>
          <w:sz w:val="32"/>
          <w:szCs w:val="32"/>
          <w:rtl/>
        </w:rPr>
        <w:t>) في (ك): [كثيرة].</w:t>
      </w:r>
    </w:p>
  </w:footnote>
  <w:footnote w:id="2394">
    <w:p w:rsidR="003F128F" w:rsidRPr="00BF28A3" w:rsidRDefault="003F128F" w:rsidP="00433168">
      <w:pPr>
        <w:pStyle w:val="af3"/>
        <w:rPr>
          <w:rFonts w:ascii="Traditional Arabic" w:hAnsi="Traditional Arabic"/>
          <w:sz w:val="32"/>
          <w:szCs w:val="32"/>
        </w:rPr>
      </w:pPr>
      <w:r w:rsidRPr="00BF28A3">
        <w:rPr>
          <w:rFonts w:ascii="Traditional Arabic" w:hAnsi="Traditional Arabic"/>
          <w:sz w:val="32"/>
          <w:szCs w:val="32"/>
          <w:rtl/>
        </w:rPr>
        <w:t>(</w:t>
      </w:r>
      <w:r w:rsidRPr="00BF28A3">
        <w:rPr>
          <w:rStyle w:val="ae"/>
          <w:rFonts w:ascii="Traditional Arabic" w:hAnsi="Traditional Arabic"/>
          <w:sz w:val="32"/>
          <w:szCs w:val="32"/>
          <w:vertAlign w:val="baseline"/>
        </w:rPr>
        <w:footnoteRef/>
      </w:r>
      <w:r w:rsidRPr="00BF28A3">
        <w:rPr>
          <w:rFonts w:ascii="Traditional Arabic" w:hAnsi="Traditional Arabic"/>
          <w:sz w:val="32"/>
          <w:szCs w:val="32"/>
          <w:rtl/>
        </w:rPr>
        <w:t xml:space="preserve">) فيشرئِبُّون: أَي يرفعون رؤوسهم لينظروا إليه. انظر: النهاية في غريب الحديث (5/2119). </w:t>
      </w:r>
    </w:p>
  </w:footnote>
  <w:footnote w:id="2395">
    <w:p w:rsidR="003F128F" w:rsidRPr="00BF28A3" w:rsidRDefault="003F128F" w:rsidP="00433168">
      <w:pPr>
        <w:pStyle w:val="af3"/>
        <w:rPr>
          <w:rFonts w:ascii="Tahoma" w:hAnsi="Tahoma"/>
          <w:sz w:val="32"/>
          <w:szCs w:val="32"/>
        </w:rPr>
      </w:pPr>
      <w:r w:rsidRPr="00BF28A3">
        <w:rPr>
          <w:rFonts w:ascii="Traditional Arabic" w:hAnsi="Traditional Arabic"/>
          <w:sz w:val="32"/>
          <w:szCs w:val="32"/>
          <w:rtl/>
        </w:rPr>
        <w:t>(</w:t>
      </w:r>
      <w:r w:rsidRPr="00BF28A3">
        <w:rPr>
          <w:rStyle w:val="ae"/>
          <w:rFonts w:ascii="Traditional Arabic" w:hAnsi="Traditional Arabic"/>
          <w:sz w:val="32"/>
          <w:szCs w:val="32"/>
          <w:vertAlign w:val="baseline"/>
        </w:rPr>
        <w:footnoteRef/>
      </w:r>
      <w:r w:rsidRPr="00BF28A3">
        <w:rPr>
          <w:rFonts w:ascii="Traditional Arabic" w:hAnsi="Traditional Arabic"/>
          <w:sz w:val="32"/>
          <w:szCs w:val="32"/>
          <w:rtl/>
        </w:rPr>
        <w:t>) كبش أملح: الذي بياضه أكثر</w:t>
      </w:r>
      <w:r w:rsidRPr="00BF28A3">
        <w:rPr>
          <w:rFonts w:ascii="Traditional Arabic" w:hAnsi="Traditional Arabic" w:hint="cs"/>
          <w:sz w:val="32"/>
          <w:szCs w:val="32"/>
          <w:rtl/>
        </w:rPr>
        <w:t xml:space="preserve"> </w:t>
      </w:r>
      <w:r w:rsidRPr="00BF28A3">
        <w:rPr>
          <w:rFonts w:ascii="Traditional Arabic" w:hAnsi="Traditional Arabic"/>
          <w:sz w:val="32"/>
          <w:szCs w:val="32"/>
          <w:rtl/>
        </w:rPr>
        <w:t>من سواده. انظر: النهاية في غريب الحديث (9/3984).</w:t>
      </w:r>
      <w:r w:rsidRPr="00BF28A3">
        <w:rPr>
          <w:rFonts w:ascii="Tahoma" w:hAnsi="Tahoma"/>
          <w:b/>
          <w:bCs/>
          <w:sz w:val="32"/>
          <w:szCs w:val="32"/>
          <w:rtl/>
        </w:rPr>
        <w:t xml:space="preserve"> </w:t>
      </w:r>
      <w:r w:rsidRPr="00BF28A3">
        <w:rPr>
          <w:rFonts w:ascii="Tahoma" w:hAnsi="Tahoma"/>
          <w:sz w:val="32"/>
          <w:szCs w:val="32"/>
          <w:rtl/>
        </w:rPr>
        <w:t xml:space="preserve">  </w:t>
      </w:r>
    </w:p>
  </w:footnote>
  <w:footnote w:id="2396">
    <w:p w:rsidR="003F128F" w:rsidRPr="00111F92" w:rsidRDefault="003F128F" w:rsidP="00433168">
      <w:pPr>
        <w:pStyle w:val="af3"/>
        <w:rPr>
          <w:rFonts w:ascii="Traditional Arabic" w:hAnsi="Traditional Arabic"/>
          <w:sz w:val="32"/>
          <w:szCs w:val="32"/>
        </w:rPr>
      </w:pPr>
      <w:r w:rsidRPr="00BF28A3">
        <w:rPr>
          <w:rFonts w:ascii="Traditional Arabic" w:hAnsi="Traditional Arabic"/>
          <w:sz w:val="32"/>
          <w:szCs w:val="32"/>
          <w:rtl/>
        </w:rPr>
        <w:t>(</w:t>
      </w:r>
      <w:r w:rsidRPr="00BF28A3">
        <w:rPr>
          <w:rStyle w:val="ae"/>
          <w:rFonts w:ascii="Traditional Arabic" w:hAnsi="Traditional Arabic"/>
          <w:sz w:val="32"/>
          <w:szCs w:val="32"/>
          <w:vertAlign w:val="baseline"/>
        </w:rPr>
        <w:footnoteRef/>
      </w:r>
      <w:r w:rsidRPr="00BF28A3">
        <w:rPr>
          <w:rFonts w:ascii="Traditional Arabic" w:hAnsi="Traditional Arabic"/>
          <w:sz w:val="32"/>
          <w:szCs w:val="32"/>
          <w:rtl/>
        </w:rPr>
        <w:t>) أخرجه البخاري (كتاب ال</w:t>
      </w:r>
      <w:r w:rsidRPr="00BF28A3">
        <w:rPr>
          <w:rFonts w:ascii="Traditional Arabic" w:hAnsi="Traditional Arabic" w:hint="cs"/>
          <w:sz w:val="32"/>
          <w:szCs w:val="32"/>
          <w:rtl/>
        </w:rPr>
        <w:t>تفسير</w:t>
      </w:r>
      <w:r w:rsidRPr="00BF28A3">
        <w:rPr>
          <w:rFonts w:ascii="Traditional Arabic" w:hAnsi="Traditional Arabic"/>
          <w:sz w:val="32"/>
          <w:szCs w:val="32"/>
          <w:rtl/>
        </w:rPr>
        <w:t>, باب:</w:t>
      </w:r>
      <w:r w:rsidRPr="00BF28A3">
        <w:rPr>
          <w:rFonts w:ascii="Traditional Arabic" w:hAnsi="Traditional Arabic" w:hint="cs"/>
          <w:sz w:val="32"/>
          <w:szCs w:val="32"/>
          <w:rtl/>
          <w:lang w:eastAsia="en-US"/>
        </w:rPr>
        <w:t xml:space="preserve"> قوله تعالى</w:t>
      </w:r>
      <w:r w:rsidRPr="00BF28A3">
        <w:rPr>
          <w:rFonts w:ascii="Traditional Arabic" w:hAnsi="Traditional Arabic" w:hint="cs"/>
          <w:color w:val="auto"/>
          <w:sz w:val="32"/>
          <w:szCs w:val="32"/>
          <w:rtl/>
          <w:lang w:eastAsia="en-US"/>
        </w:rPr>
        <w:t xml:space="preserve">: </w:t>
      </w:r>
      <w:r w:rsidRPr="00BF28A3">
        <w:rPr>
          <w:rFonts w:ascii="QCF_BSML" w:hAnsi="QCF_BSML" w:cs="QCF_BSML"/>
          <w:color w:val="auto"/>
          <w:sz w:val="32"/>
          <w:szCs w:val="32"/>
          <w:rtl/>
          <w:lang w:eastAsia="en-US"/>
        </w:rPr>
        <w:t xml:space="preserve"> </w:t>
      </w:r>
      <w:r w:rsidRPr="00BF28A3">
        <w:rPr>
          <w:rFonts w:ascii="QCF_BSML" w:hAnsi="QCF_BSML" w:cs="QCF_BSML"/>
          <w:color w:val="auto"/>
          <w:rtl/>
          <w:lang w:eastAsia="en-US"/>
        </w:rPr>
        <w:t>ﭽ</w:t>
      </w:r>
      <w:r w:rsidRPr="00BF28A3">
        <w:rPr>
          <w:rFonts w:ascii="QCF_P308" w:hAnsi="QCF_P308" w:cs="QCF_P308"/>
          <w:color w:val="auto"/>
          <w:rtl/>
          <w:lang w:eastAsia="en-US"/>
        </w:rPr>
        <w:t>ﭑ  ﭒ  ﭓ</w:t>
      </w:r>
      <w:r w:rsidRPr="00BF28A3">
        <w:rPr>
          <w:rFonts w:ascii="QCF_BSML" w:hAnsi="QCF_BSML" w:cs="QCF_BSML"/>
          <w:color w:val="auto"/>
          <w:rtl/>
          <w:lang w:eastAsia="en-US"/>
        </w:rPr>
        <w:t xml:space="preserve"> ﭼ</w:t>
      </w:r>
      <w:r w:rsidRPr="00BF28A3">
        <w:rPr>
          <w:rFonts w:ascii="QCF_BSML" w:hAnsi="QCF_BSML" w:cs="QCF_BSML" w:hint="cs"/>
          <w:color w:val="auto"/>
          <w:sz w:val="32"/>
          <w:szCs w:val="32"/>
          <w:rtl/>
          <w:lang w:eastAsia="en-US"/>
        </w:rPr>
        <w:t xml:space="preserve"> </w:t>
      </w:r>
      <w:r w:rsidRPr="00BF28A3">
        <w:rPr>
          <w:rFonts w:ascii="QCF_P308" w:hAnsi="QCF_P308" w:cs="QCF_P308"/>
          <w:color w:val="auto"/>
          <w:sz w:val="32"/>
          <w:szCs w:val="32"/>
          <w:rtl/>
          <w:lang w:eastAsia="en-US"/>
        </w:rPr>
        <w:t xml:space="preserve">  </w:t>
      </w:r>
      <w:r w:rsidRPr="00BF28A3">
        <w:rPr>
          <w:rFonts w:ascii="Traditional Arabic" w:hAnsi="Traditional Arabic" w:hint="cs"/>
          <w:sz w:val="32"/>
          <w:szCs w:val="32"/>
          <w:rtl/>
        </w:rPr>
        <w:t>8/544</w:t>
      </w:r>
      <w:r w:rsidRPr="00BF28A3">
        <w:rPr>
          <w:rFonts w:ascii="Traditional Arabic" w:hAnsi="Traditional Arabic"/>
          <w:sz w:val="32"/>
          <w:szCs w:val="32"/>
          <w:rtl/>
        </w:rPr>
        <w:t xml:space="preserve"> ح</w:t>
      </w:r>
      <w:r w:rsidRPr="00BF28A3">
        <w:rPr>
          <w:rFonts w:ascii="Traditional Arabic" w:hAnsi="Traditional Arabic" w:hint="cs"/>
          <w:sz w:val="32"/>
          <w:szCs w:val="32"/>
          <w:rtl/>
        </w:rPr>
        <w:t xml:space="preserve">4730), </w:t>
      </w:r>
      <w:r w:rsidRPr="00BF28A3">
        <w:rPr>
          <w:rFonts w:ascii="Traditional Arabic" w:hAnsi="Traditional Arabic"/>
          <w:sz w:val="32"/>
          <w:szCs w:val="32"/>
          <w:rtl/>
        </w:rPr>
        <w:t>ومسلم (كتاب</w:t>
      </w:r>
      <w:r w:rsidRPr="00BF28A3">
        <w:rPr>
          <w:rFonts w:ascii="Traditional Arabic" w:hAnsi="Traditional Arabic" w:hint="cs"/>
          <w:sz w:val="32"/>
          <w:szCs w:val="32"/>
          <w:rtl/>
        </w:rPr>
        <w:t xml:space="preserve"> الجنة وصفة نعيمها وأهلها</w:t>
      </w:r>
      <w:r w:rsidRPr="00BF28A3">
        <w:rPr>
          <w:rFonts w:ascii="Traditional Arabic" w:hAnsi="Traditional Arabic"/>
          <w:sz w:val="32"/>
          <w:szCs w:val="32"/>
          <w:rtl/>
        </w:rPr>
        <w:t>, باب:</w:t>
      </w:r>
      <w:r w:rsidRPr="00BF28A3">
        <w:rPr>
          <w:rFonts w:ascii="Traditional Arabic" w:hAnsi="Traditional Arabic" w:hint="cs"/>
          <w:sz w:val="32"/>
          <w:szCs w:val="32"/>
          <w:rtl/>
        </w:rPr>
        <w:t xml:space="preserve"> </w:t>
      </w:r>
      <w:r w:rsidRPr="00BF28A3">
        <w:rPr>
          <w:rFonts w:ascii="Traditional Arabic" w:hAnsi="Traditional Arabic"/>
          <w:sz w:val="32"/>
          <w:szCs w:val="32"/>
          <w:rtl/>
        </w:rPr>
        <w:t xml:space="preserve">النار يدخلها الجبارون والجنة يدخلها الضعفاء,  </w:t>
      </w:r>
      <w:r w:rsidRPr="00BF28A3">
        <w:rPr>
          <w:rFonts w:ascii="Traditional Arabic" w:hAnsi="Traditional Arabic" w:hint="cs"/>
          <w:sz w:val="32"/>
          <w:szCs w:val="32"/>
          <w:rtl/>
        </w:rPr>
        <w:t xml:space="preserve">9/178 </w:t>
      </w:r>
      <w:r w:rsidRPr="00BF28A3">
        <w:rPr>
          <w:rFonts w:ascii="Traditional Arabic" w:hAnsi="Traditional Arabic"/>
          <w:sz w:val="32"/>
          <w:szCs w:val="32"/>
          <w:rtl/>
        </w:rPr>
        <w:t>ح</w:t>
      </w:r>
      <w:r w:rsidRPr="00BF28A3">
        <w:rPr>
          <w:rFonts w:ascii="Traditional Arabic" w:hAnsi="Traditional Arabic" w:hint="cs"/>
          <w:sz w:val="32"/>
          <w:szCs w:val="32"/>
          <w:rtl/>
        </w:rPr>
        <w:t>7110</w:t>
      </w:r>
      <w:r w:rsidRPr="00BF28A3">
        <w:rPr>
          <w:rFonts w:ascii="Traditional Arabic" w:hAnsi="Traditional Arabic"/>
          <w:sz w:val="32"/>
          <w:szCs w:val="32"/>
          <w:rtl/>
        </w:rPr>
        <w:t>).</w:t>
      </w:r>
    </w:p>
  </w:footnote>
  <w:footnote w:id="2397">
    <w:p w:rsidR="003F128F" w:rsidRPr="00111F92" w:rsidRDefault="003F128F" w:rsidP="00433168">
      <w:pPr>
        <w:pStyle w:val="af3"/>
        <w:rPr>
          <w:rFonts w:ascii="Traditional Arabic" w:hAnsi="Traditional Arabic"/>
          <w:sz w:val="32"/>
          <w:szCs w:val="32"/>
        </w:rPr>
      </w:pPr>
      <w:r w:rsidRPr="00111F92">
        <w:rPr>
          <w:rFonts w:ascii="Traditional Arabic" w:hAnsi="Traditional Arabic"/>
          <w:sz w:val="32"/>
          <w:szCs w:val="32"/>
          <w:rtl/>
        </w:rPr>
        <w:t>(</w:t>
      </w:r>
      <w:r w:rsidRPr="00111F92">
        <w:rPr>
          <w:rStyle w:val="ae"/>
          <w:rFonts w:ascii="Traditional Arabic" w:hAnsi="Traditional Arabic"/>
          <w:sz w:val="32"/>
          <w:szCs w:val="32"/>
          <w:vertAlign w:val="baseline"/>
        </w:rPr>
        <w:footnoteRef/>
      </w:r>
      <w:r>
        <w:rPr>
          <w:rFonts w:ascii="Traditional Arabic" w:hAnsi="Traditional Arabic"/>
          <w:sz w:val="32"/>
          <w:szCs w:val="32"/>
          <w:rtl/>
        </w:rPr>
        <w:t xml:space="preserve">) </w:t>
      </w:r>
      <w:r>
        <w:rPr>
          <w:rFonts w:ascii="Traditional Arabic" w:hAnsi="Traditional Arabic" w:hint="cs"/>
          <w:sz w:val="32"/>
          <w:szCs w:val="32"/>
          <w:rtl/>
        </w:rPr>
        <w:t xml:space="preserve">انظر: </w:t>
      </w:r>
      <w:r w:rsidRPr="00ED73B2">
        <w:rPr>
          <w:rFonts w:ascii="Traditional Arabic" w:hAnsi="Traditional Arabic"/>
          <w:sz w:val="32"/>
          <w:szCs w:val="32"/>
          <w:rtl/>
        </w:rPr>
        <w:t xml:space="preserve">التفسير الوسيط (3/184), </w:t>
      </w:r>
      <w:r>
        <w:rPr>
          <w:rFonts w:ascii="Traditional Arabic" w:hAnsi="Traditional Arabic" w:hint="cs"/>
          <w:sz w:val="32"/>
          <w:szCs w:val="32"/>
          <w:rtl/>
        </w:rPr>
        <w:t>تفسير السمعاني</w:t>
      </w:r>
      <w:r w:rsidRPr="00ED73B2">
        <w:rPr>
          <w:rFonts w:ascii="Traditional Arabic" w:hAnsi="Traditional Arabic"/>
          <w:sz w:val="32"/>
          <w:szCs w:val="32"/>
          <w:rtl/>
        </w:rPr>
        <w:t xml:space="preserve"> (</w:t>
      </w:r>
      <w:r>
        <w:rPr>
          <w:rFonts w:ascii="Traditional Arabic" w:hAnsi="Traditional Arabic" w:hint="cs"/>
          <w:sz w:val="32"/>
          <w:szCs w:val="32"/>
          <w:rtl/>
        </w:rPr>
        <w:t>3/293</w:t>
      </w:r>
      <w:r w:rsidRPr="00ED73B2">
        <w:rPr>
          <w:rFonts w:ascii="Traditional Arabic" w:hAnsi="Traditional Arabic"/>
          <w:sz w:val="32"/>
          <w:szCs w:val="32"/>
          <w:rtl/>
        </w:rPr>
        <w:t xml:space="preserve">).  </w:t>
      </w:r>
    </w:p>
  </w:footnote>
  <w:footnote w:id="2398">
    <w:p w:rsidR="003F128F" w:rsidRPr="001F302D" w:rsidRDefault="003F128F" w:rsidP="00433168">
      <w:pPr>
        <w:pStyle w:val="af3"/>
        <w:rPr>
          <w:rFonts w:ascii="Traditional Arabic" w:hAnsi="Traditional Arabic"/>
          <w:sz w:val="32"/>
          <w:szCs w:val="32"/>
        </w:rPr>
      </w:pPr>
      <w:r w:rsidRPr="001F302D">
        <w:rPr>
          <w:rFonts w:ascii="Traditional Arabic" w:hAnsi="Traditional Arabic"/>
          <w:color w:val="auto"/>
          <w:sz w:val="32"/>
          <w:szCs w:val="32"/>
          <w:rtl/>
        </w:rPr>
        <w:t>(</w:t>
      </w:r>
      <w:r w:rsidRPr="001F302D">
        <w:rPr>
          <w:rStyle w:val="ae"/>
          <w:rFonts w:ascii="Traditional Arabic" w:hAnsi="Traditional Arabic"/>
          <w:color w:val="auto"/>
          <w:sz w:val="32"/>
          <w:szCs w:val="32"/>
          <w:vertAlign w:val="baseline"/>
        </w:rPr>
        <w:footnoteRef/>
      </w:r>
      <w:r w:rsidRPr="001F302D">
        <w:rPr>
          <w:rFonts w:ascii="Traditional Arabic" w:hAnsi="Traditional Arabic"/>
          <w:color w:val="auto"/>
          <w:sz w:val="32"/>
          <w:szCs w:val="32"/>
          <w:rtl/>
        </w:rPr>
        <w:t>)</w:t>
      </w:r>
      <w:r w:rsidRPr="001F302D">
        <w:rPr>
          <w:rFonts w:ascii="Traditional Arabic" w:hAnsi="Traditional Arabic" w:hint="cs"/>
          <w:color w:val="auto"/>
          <w:sz w:val="32"/>
          <w:szCs w:val="32"/>
          <w:rtl/>
        </w:rPr>
        <w:t xml:space="preserve"> </w:t>
      </w:r>
      <w:r w:rsidRPr="001F302D">
        <w:rPr>
          <w:rFonts w:ascii="Traditional Arabic" w:hAnsi="Traditional Arabic"/>
          <w:color w:val="auto"/>
          <w:sz w:val="32"/>
          <w:szCs w:val="32"/>
          <w:rtl/>
        </w:rPr>
        <w:t xml:space="preserve">هو صاحب رسول الله </w:t>
      </w:r>
      <w:r w:rsidRPr="001F302D">
        <w:rPr>
          <w:rFonts w:ascii="Traditional Arabic" w:hAnsi="Traditional Arabic"/>
          <w:color w:val="auto"/>
          <w:sz w:val="32"/>
          <w:szCs w:val="32"/>
        </w:rPr>
        <w:sym w:font="AGA Arabesque" w:char="F072"/>
      </w:r>
      <w:r>
        <w:rPr>
          <w:rFonts w:ascii="Traditional Arabic" w:hAnsi="Traditional Arabic" w:hint="cs"/>
          <w:color w:val="auto"/>
          <w:sz w:val="32"/>
          <w:szCs w:val="32"/>
          <w:rtl/>
        </w:rPr>
        <w:t>,</w:t>
      </w:r>
      <w:r w:rsidRPr="001F302D">
        <w:rPr>
          <w:rFonts w:ascii="Traditional Arabic" w:hAnsi="Traditional Arabic"/>
          <w:color w:val="auto"/>
          <w:sz w:val="32"/>
          <w:szCs w:val="32"/>
          <w:rtl/>
        </w:rPr>
        <w:t xml:space="preserve"> أبو</w:t>
      </w:r>
      <w:r w:rsidRPr="001F302D">
        <w:rPr>
          <w:rFonts w:ascii="Traditional Arabic" w:hAnsi="Traditional Arabic" w:hint="cs"/>
          <w:color w:val="auto"/>
          <w:sz w:val="32"/>
          <w:szCs w:val="32"/>
          <w:rtl/>
        </w:rPr>
        <w:t xml:space="preserve"> </w:t>
      </w:r>
      <w:r w:rsidRPr="001F302D">
        <w:rPr>
          <w:rFonts w:ascii="Traditional Arabic" w:hAnsi="Traditional Arabic"/>
          <w:color w:val="auto"/>
          <w:sz w:val="32"/>
          <w:szCs w:val="32"/>
          <w:rtl/>
        </w:rPr>
        <w:t>طريف</w:t>
      </w:r>
      <w:r>
        <w:rPr>
          <w:rFonts w:ascii="Traditional Arabic" w:hAnsi="Traditional Arabic" w:hint="cs"/>
          <w:color w:val="auto"/>
          <w:sz w:val="32"/>
          <w:szCs w:val="32"/>
          <w:rtl/>
        </w:rPr>
        <w:t>,</w:t>
      </w:r>
      <w:r w:rsidRPr="001F302D">
        <w:rPr>
          <w:rFonts w:ascii="Traditional Arabic" w:hAnsi="Traditional Arabic" w:hint="cs"/>
          <w:color w:val="auto"/>
          <w:sz w:val="32"/>
          <w:szCs w:val="32"/>
          <w:rtl/>
        </w:rPr>
        <w:t xml:space="preserve"> </w:t>
      </w:r>
      <w:r>
        <w:rPr>
          <w:rFonts w:ascii="Traditional Arabic" w:hAnsi="Traditional Arabic"/>
          <w:color w:val="auto"/>
          <w:sz w:val="32"/>
          <w:szCs w:val="32"/>
          <w:rtl/>
        </w:rPr>
        <w:t>عدي ب</w:t>
      </w:r>
      <w:r w:rsidRPr="001F302D">
        <w:rPr>
          <w:rFonts w:ascii="Traditional Arabic" w:hAnsi="Traditional Arabic"/>
          <w:color w:val="auto"/>
          <w:sz w:val="32"/>
          <w:szCs w:val="32"/>
          <w:rtl/>
        </w:rPr>
        <w:t>ن حاتم</w:t>
      </w:r>
      <w:r>
        <w:rPr>
          <w:rFonts w:ascii="Traditional Arabic" w:hAnsi="Traditional Arabic"/>
          <w:color w:val="auto"/>
          <w:sz w:val="32"/>
          <w:szCs w:val="32"/>
          <w:rtl/>
        </w:rPr>
        <w:t xml:space="preserve"> بن عبدالله ب</w:t>
      </w:r>
      <w:r w:rsidRPr="001F302D">
        <w:rPr>
          <w:rFonts w:ascii="Traditional Arabic" w:hAnsi="Traditional Arabic"/>
          <w:color w:val="auto"/>
          <w:sz w:val="32"/>
          <w:szCs w:val="32"/>
          <w:rtl/>
        </w:rPr>
        <w:t>ن سعد الطائي</w:t>
      </w:r>
      <w:r w:rsidRPr="001F302D">
        <w:rPr>
          <w:rFonts w:ascii="Traditional Arabic" w:hAnsi="Traditional Arabic" w:hint="cs"/>
          <w:color w:val="auto"/>
          <w:sz w:val="32"/>
          <w:szCs w:val="32"/>
          <w:rtl/>
        </w:rPr>
        <w:t xml:space="preserve">, </w:t>
      </w:r>
      <w:r>
        <w:rPr>
          <w:rFonts w:ascii="Traditional Arabic" w:hAnsi="Traditional Arabic"/>
          <w:color w:val="auto"/>
          <w:sz w:val="32"/>
          <w:szCs w:val="32"/>
          <w:rtl/>
        </w:rPr>
        <w:t>الأَمير</w:t>
      </w:r>
      <w:r w:rsidRPr="001F302D">
        <w:rPr>
          <w:rFonts w:ascii="Traditional Arabic" w:hAnsi="Traditional Arabic" w:hint="cs"/>
          <w:color w:val="auto"/>
          <w:sz w:val="32"/>
          <w:szCs w:val="32"/>
          <w:rtl/>
        </w:rPr>
        <w:t>,</w:t>
      </w:r>
      <w:r w:rsidRPr="001F302D">
        <w:rPr>
          <w:rFonts w:ascii="Traditional Arabic" w:hAnsi="Traditional Arabic"/>
          <w:color w:val="auto"/>
          <w:sz w:val="32"/>
          <w:szCs w:val="32"/>
          <w:rtl/>
        </w:rPr>
        <w:t xml:space="preserve"> </w:t>
      </w:r>
      <w:r>
        <w:rPr>
          <w:rFonts w:ascii="Traditional Arabic" w:hAnsi="Traditional Arabic"/>
          <w:color w:val="auto"/>
          <w:sz w:val="32"/>
          <w:szCs w:val="32"/>
          <w:rtl/>
        </w:rPr>
        <w:t>كان</w:t>
      </w:r>
      <w:r w:rsidRPr="001F302D">
        <w:rPr>
          <w:rFonts w:ascii="Traditional Arabic" w:hAnsi="Traditional Arabic"/>
          <w:color w:val="auto"/>
          <w:sz w:val="32"/>
          <w:szCs w:val="32"/>
          <w:rtl/>
        </w:rPr>
        <w:t xml:space="preserve"> شريفاً </w:t>
      </w:r>
      <w:r>
        <w:rPr>
          <w:rFonts w:ascii="Traditional Arabic" w:hAnsi="Traditional Arabic"/>
          <w:color w:val="auto"/>
          <w:sz w:val="32"/>
          <w:szCs w:val="32"/>
          <w:rtl/>
        </w:rPr>
        <w:t>في قومه خط</w:t>
      </w:r>
      <w:r w:rsidRPr="001F302D">
        <w:rPr>
          <w:rFonts w:ascii="Traditional Arabic" w:hAnsi="Traditional Arabic"/>
          <w:color w:val="auto"/>
          <w:sz w:val="32"/>
          <w:szCs w:val="32"/>
          <w:rtl/>
        </w:rPr>
        <w:t>يبًا</w:t>
      </w:r>
      <w:r w:rsidRPr="001F302D">
        <w:rPr>
          <w:rFonts w:ascii="Traditional Arabic" w:hAnsi="Traditional Arabic" w:hint="cs"/>
          <w:color w:val="auto"/>
          <w:sz w:val="32"/>
          <w:szCs w:val="32"/>
          <w:rtl/>
        </w:rPr>
        <w:t xml:space="preserve">, </w:t>
      </w:r>
      <w:r>
        <w:rPr>
          <w:rFonts w:ascii="Traditional Arabic" w:hAnsi="Traditional Arabic"/>
          <w:color w:val="auto"/>
          <w:sz w:val="32"/>
          <w:szCs w:val="32"/>
          <w:rtl/>
        </w:rPr>
        <w:t>ف</w:t>
      </w:r>
      <w:r w:rsidRPr="001F302D">
        <w:rPr>
          <w:rFonts w:ascii="Traditional Arabic" w:hAnsi="Traditional Arabic"/>
          <w:color w:val="auto"/>
          <w:sz w:val="32"/>
          <w:szCs w:val="32"/>
          <w:rtl/>
        </w:rPr>
        <w:t>اضلا</w:t>
      </w:r>
      <w:r w:rsidRPr="001F302D">
        <w:rPr>
          <w:rFonts w:ascii="Traditional Arabic" w:hAnsi="Traditional Arabic" w:hint="cs"/>
          <w:color w:val="auto"/>
          <w:sz w:val="32"/>
          <w:szCs w:val="32"/>
          <w:rtl/>
        </w:rPr>
        <w:t>,</w:t>
      </w:r>
      <w:r>
        <w:rPr>
          <w:rFonts w:ascii="Traditional Arabic" w:hAnsi="Traditional Arabic"/>
          <w:color w:val="auto"/>
          <w:sz w:val="32"/>
          <w:szCs w:val="32"/>
          <w:rtl/>
        </w:rPr>
        <w:t xml:space="preserve"> كر</w:t>
      </w:r>
      <w:r w:rsidRPr="001F302D">
        <w:rPr>
          <w:rFonts w:ascii="Traditional Arabic" w:hAnsi="Traditional Arabic"/>
          <w:color w:val="auto"/>
          <w:sz w:val="32"/>
          <w:szCs w:val="32"/>
          <w:rtl/>
        </w:rPr>
        <w:t>يم</w:t>
      </w:r>
      <w:r w:rsidRPr="001F302D">
        <w:rPr>
          <w:rFonts w:ascii="Traditional Arabic" w:hAnsi="Traditional Arabic" w:hint="cs"/>
          <w:color w:val="auto"/>
          <w:sz w:val="32"/>
          <w:szCs w:val="32"/>
          <w:rtl/>
        </w:rPr>
        <w:t xml:space="preserve">اً, </w:t>
      </w:r>
      <w:r>
        <w:rPr>
          <w:rFonts w:ascii="Traditional Arabic" w:hAnsi="Traditional Arabic"/>
          <w:color w:val="auto"/>
          <w:sz w:val="32"/>
          <w:szCs w:val="32"/>
          <w:rtl/>
        </w:rPr>
        <w:t>وأبوه حاتم ه</w:t>
      </w:r>
      <w:r>
        <w:rPr>
          <w:rFonts w:ascii="Traditional Arabic" w:hAnsi="Traditional Arabic" w:hint="cs"/>
          <w:color w:val="auto"/>
          <w:sz w:val="32"/>
          <w:szCs w:val="32"/>
          <w:rtl/>
        </w:rPr>
        <w:t>و</w:t>
      </w:r>
      <w:r w:rsidRPr="001F302D">
        <w:rPr>
          <w:rFonts w:ascii="Traditional Arabic" w:hAnsi="Traditional Arabic"/>
          <w:color w:val="auto"/>
          <w:sz w:val="32"/>
          <w:szCs w:val="32"/>
          <w:rtl/>
        </w:rPr>
        <w:t xml:space="preserve"> الجواد ا</w:t>
      </w:r>
      <w:r>
        <w:rPr>
          <w:rFonts w:ascii="Traditional Arabic" w:hAnsi="Traditional Arabic"/>
          <w:color w:val="auto"/>
          <w:sz w:val="32"/>
          <w:szCs w:val="32"/>
          <w:rtl/>
        </w:rPr>
        <w:t>لموصوف بالجود، الذي يضرب به</w:t>
      </w:r>
      <w:r w:rsidRPr="001F302D">
        <w:rPr>
          <w:rFonts w:ascii="Traditional Arabic" w:hAnsi="Traditional Arabic"/>
          <w:color w:val="auto"/>
          <w:sz w:val="32"/>
          <w:szCs w:val="32"/>
          <w:rtl/>
        </w:rPr>
        <w:t xml:space="preserve"> المثل</w:t>
      </w:r>
      <w:r w:rsidRPr="001F302D">
        <w:rPr>
          <w:rFonts w:ascii="Traditional Arabic" w:hAnsi="Traditional Arabic" w:hint="cs"/>
          <w:color w:val="auto"/>
          <w:sz w:val="32"/>
          <w:szCs w:val="32"/>
          <w:rtl/>
        </w:rPr>
        <w:t>,</w:t>
      </w:r>
      <w:r w:rsidRPr="001F302D">
        <w:rPr>
          <w:rFonts w:ascii="Traditional Arabic" w:hAnsi="Traditional Arabic"/>
          <w:color w:val="auto"/>
          <w:sz w:val="32"/>
          <w:szCs w:val="32"/>
          <w:rtl/>
        </w:rPr>
        <w:t xml:space="preserve"> (ت</w:t>
      </w:r>
      <w:r w:rsidRPr="001F302D">
        <w:rPr>
          <w:rFonts w:ascii="Traditional Arabic" w:hAnsi="Traditional Arabic" w:hint="cs"/>
          <w:color w:val="auto"/>
          <w:sz w:val="32"/>
          <w:szCs w:val="32"/>
          <w:rtl/>
        </w:rPr>
        <w:t>67</w:t>
      </w:r>
      <w:r w:rsidRPr="001F302D">
        <w:rPr>
          <w:rFonts w:ascii="Traditional Arabic" w:hAnsi="Traditional Arabic"/>
          <w:color w:val="auto"/>
          <w:sz w:val="32"/>
          <w:szCs w:val="32"/>
          <w:rtl/>
        </w:rPr>
        <w:t>ه). انظر: أسد الغابة (</w:t>
      </w:r>
      <w:r w:rsidRPr="001F302D">
        <w:rPr>
          <w:rFonts w:ascii="Traditional Arabic" w:hAnsi="Traditional Arabic" w:hint="cs"/>
          <w:color w:val="auto"/>
          <w:sz w:val="32"/>
          <w:szCs w:val="32"/>
          <w:rtl/>
        </w:rPr>
        <w:t>4/7</w:t>
      </w:r>
      <w:r w:rsidRPr="001F302D">
        <w:rPr>
          <w:rFonts w:ascii="Traditional Arabic" w:hAnsi="Traditional Arabic"/>
          <w:color w:val="auto"/>
          <w:sz w:val="32"/>
          <w:szCs w:val="32"/>
          <w:rtl/>
        </w:rPr>
        <w:t>)، تهذيب الكمال (</w:t>
      </w:r>
      <w:r w:rsidRPr="001F302D">
        <w:rPr>
          <w:rFonts w:ascii="Traditional Arabic" w:hAnsi="Traditional Arabic" w:hint="cs"/>
          <w:color w:val="auto"/>
          <w:sz w:val="32"/>
          <w:szCs w:val="32"/>
          <w:rtl/>
        </w:rPr>
        <w:t>19/524</w:t>
      </w:r>
      <w:r w:rsidRPr="001F302D">
        <w:rPr>
          <w:rFonts w:ascii="Traditional Arabic" w:hAnsi="Traditional Arabic"/>
          <w:color w:val="auto"/>
          <w:sz w:val="32"/>
          <w:szCs w:val="32"/>
          <w:rtl/>
        </w:rPr>
        <w:t>), سير أعلام النبلاء (3/</w:t>
      </w:r>
      <w:r w:rsidRPr="001F302D">
        <w:rPr>
          <w:rFonts w:ascii="Traditional Arabic" w:hAnsi="Traditional Arabic" w:hint="cs"/>
          <w:color w:val="auto"/>
          <w:sz w:val="32"/>
          <w:szCs w:val="32"/>
          <w:rtl/>
        </w:rPr>
        <w:t>162</w:t>
      </w:r>
      <w:r w:rsidRPr="001F302D">
        <w:rPr>
          <w:rFonts w:ascii="Traditional Arabic" w:hAnsi="Traditional Arabic"/>
          <w:color w:val="auto"/>
          <w:sz w:val="32"/>
          <w:szCs w:val="32"/>
          <w:rtl/>
        </w:rPr>
        <w:t>).</w:t>
      </w:r>
      <w:r w:rsidRPr="001F302D">
        <w:rPr>
          <w:rFonts w:ascii="Traditional Arabic" w:hAnsi="Traditional Arabic"/>
          <w:color w:val="auto"/>
          <w:sz w:val="32"/>
          <w:szCs w:val="32"/>
        </w:rPr>
        <w:t xml:space="preserve"> </w:t>
      </w:r>
    </w:p>
  </w:footnote>
  <w:footnote w:id="2399">
    <w:p w:rsidR="003F128F" w:rsidRPr="00111F92" w:rsidRDefault="003F128F" w:rsidP="00433168">
      <w:pPr>
        <w:pStyle w:val="af3"/>
        <w:rPr>
          <w:rFonts w:ascii="Traditional Arabic" w:hAnsi="Traditional Arabic"/>
          <w:sz w:val="32"/>
          <w:szCs w:val="32"/>
        </w:rPr>
      </w:pPr>
      <w:r w:rsidRPr="00111F92">
        <w:rPr>
          <w:rFonts w:ascii="Traditional Arabic" w:hAnsi="Traditional Arabic"/>
          <w:sz w:val="32"/>
          <w:szCs w:val="32"/>
          <w:rtl/>
        </w:rPr>
        <w:t>(</w:t>
      </w:r>
      <w:r w:rsidRPr="00111F92">
        <w:rPr>
          <w:rStyle w:val="ae"/>
          <w:rFonts w:ascii="Traditional Arabic" w:hAnsi="Traditional Arabic"/>
          <w:sz w:val="32"/>
          <w:szCs w:val="32"/>
          <w:vertAlign w:val="baseline"/>
        </w:rPr>
        <w:footnoteRef/>
      </w:r>
      <w:r w:rsidRPr="00111F92">
        <w:rPr>
          <w:rFonts w:ascii="Traditional Arabic" w:hAnsi="Traditional Arabic"/>
          <w:sz w:val="32"/>
          <w:szCs w:val="32"/>
          <w:rtl/>
        </w:rPr>
        <w:t>) الإخبات: الخشوع والتواضع.</w:t>
      </w:r>
      <w:r w:rsidRPr="001D17C3">
        <w:rPr>
          <w:rFonts w:ascii="Traditional Arabic" w:hAnsi="Traditional Arabic"/>
          <w:sz w:val="32"/>
          <w:szCs w:val="32"/>
          <w:rtl/>
        </w:rPr>
        <w:t xml:space="preserve"> انظر: النهاية في غريب الحديث (</w:t>
      </w:r>
      <w:r>
        <w:rPr>
          <w:rFonts w:ascii="Traditional Arabic" w:hAnsi="Traditional Arabic" w:hint="cs"/>
          <w:sz w:val="32"/>
          <w:szCs w:val="32"/>
          <w:rtl/>
        </w:rPr>
        <w:t>3/1101</w:t>
      </w:r>
      <w:r w:rsidRPr="001D17C3">
        <w:rPr>
          <w:rFonts w:ascii="Traditional Arabic" w:hAnsi="Traditional Arabic"/>
          <w:sz w:val="32"/>
          <w:szCs w:val="32"/>
          <w:rtl/>
        </w:rPr>
        <w:t>).</w:t>
      </w:r>
      <w:r>
        <w:rPr>
          <w:rFonts w:ascii="Traditional Arabic" w:hAnsi="Traditional Arabic" w:hint="cs"/>
          <w:sz w:val="32"/>
          <w:szCs w:val="32"/>
          <w:rtl/>
        </w:rPr>
        <w:t xml:space="preserve"> </w:t>
      </w:r>
      <w:r w:rsidRPr="00111F92">
        <w:rPr>
          <w:rFonts w:ascii="Traditional Arabic" w:hAnsi="Traditional Arabic"/>
          <w:sz w:val="32"/>
          <w:szCs w:val="32"/>
          <w:rtl/>
        </w:rPr>
        <w:t xml:space="preserve">  </w:t>
      </w:r>
    </w:p>
  </w:footnote>
  <w:footnote w:id="2400">
    <w:p w:rsidR="003F128F" w:rsidRPr="00111F92" w:rsidRDefault="003F128F" w:rsidP="00433168">
      <w:pPr>
        <w:pStyle w:val="af3"/>
        <w:rPr>
          <w:rFonts w:ascii="Traditional Arabic" w:hAnsi="Traditional Arabic"/>
          <w:sz w:val="32"/>
          <w:szCs w:val="32"/>
        </w:rPr>
      </w:pPr>
      <w:r w:rsidRPr="00111F92">
        <w:rPr>
          <w:rFonts w:ascii="Traditional Arabic" w:hAnsi="Traditional Arabic"/>
          <w:sz w:val="32"/>
          <w:szCs w:val="32"/>
          <w:rtl/>
        </w:rPr>
        <w:t>(</w:t>
      </w:r>
      <w:r w:rsidRPr="00111F92">
        <w:rPr>
          <w:rStyle w:val="ae"/>
          <w:rFonts w:ascii="Traditional Arabic" w:hAnsi="Traditional Arabic"/>
          <w:sz w:val="32"/>
          <w:szCs w:val="32"/>
          <w:vertAlign w:val="baseline"/>
        </w:rPr>
        <w:footnoteRef/>
      </w:r>
      <w:r>
        <w:rPr>
          <w:rFonts w:ascii="Traditional Arabic" w:hAnsi="Traditional Arabic"/>
          <w:sz w:val="32"/>
          <w:szCs w:val="32"/>
          <w:rtl/>
        </w:rPr>
        <w:t>) هبتم: خفتم الناس</w:t>
      </w:r>
      <w:r>
        <w:rPr>
          <w:rFonts w:ascii="Traditional Arabic" w:hAnsi="Traditional Arabic" w:hint="cs"/>
          <w:sz w:val="32"/>
          <w:szCs w:val="32"/>
          <w:rtl/>
        </w:rPr>
        <w:t xml:space="preserve">. </w:t>
      </w:r>
      <w:r w:rsidRPr="001D17C3">
        <w:rPr>
          <w:rFonts w:ascii="Traditional Arabic" w:hAnsi="Traditional Arabic"/>
          <w:sz w:val="32"/>
          <w:szCs w:val="32"/>
          <w:rtl/>
        </w:rPr>
        <w:t>النهاية في غريب الحديث (</w:t>
      </w:r>
      <w:r>
        <w:rPr>
          <w:rFonts w:ascii="Traditional Arabic" w:hAnsi="Traditional Arabic" w:hint="cs"/>
          <w:sz w:val="32"/>
          <w:szCs w:val="32"/>
          <w:rtl/>
        </w:rPr>
        <w:t>10/4615</w:t>
      </w:r>
      <w:r w:rsidRPr="001D17C3">
        <w:rPr>
          <w:rFonts w:ascii="Traditional Arabic" w:hAnsi="Traditional Arabic"/>
          <w:sz w:val="32"/>
          <w:szCs w:val="32"/>
          <w:rtl/>
        </w:rPr>
        <w:t>).</w:t>
      </w:r>
      <w:r w:rsidRPr="001D17C3">
        <w:rPr>
          <w:rFonts w:ascii="Traditional Arabic" w:hAnsi="Traditional Arabic" w:hint="cs"/>
          <w:sz w:val="32"/>
          <w:szCs w:val="32"/>
          <w:rtl/>
        </w:rPr>
        <w:t xml:space="preserve"> </w:t>
      </w:r>
      <w:r w:rsidRPr="001D17C3">
        <w:rPr>
          <w:rFonts w:ascii="Traditional Arabic" w:hAnsi="Traditional Arabic"/>
          <w:sz w:val="32"/>
          <w:szCs w:val="32"/>
          <w:rtl/>
        </w:rPr>
        <w:t xml:space="preserve">  </w:t>
      </w:r>
    </w:p>
  </w:footnote>
  <w:footnote w:id="2401">
    <w:p w:rsidR="003F128F" w:rsidRPr="00111F92" w:rsidRDefault="003F128F" w:rsidP="00433168">
      <w:pPr>
        <w:ind w:firstLine="0"/>
        <w:rPr>
          <w:rFonts w:ascii="Tahoma" w:hAnsi="Tahoma"/>
        </w:rPr>
      </w:pPr>
      <w:r w:rsidRPr="00111F92">
        <w:rPr>
          <w:rFonts w:ascii="Traditional Arabic" w:hAnsi="Traditional Arabic"/>
          <w:sz w:val="32"/>
          <w:szCs w:val="32"/>
          <w:rtl/>
        </w:rPr>
        <w:t>(</w:t>
      </w:r>
      <w:r w:rsidRPr="00111F92">
        <w:rPr>
          <w:rStyle w:val="ae"/>
          <w:rFonts w:ascii="Traditional Arabic" w:hAnsi="Traditional Arabic"/>
          <w:sz w:val="32"/>
          <w:szCs w:val="32"/>
          <w:vertAlign w:val="baseline"/>
        </w:rPr>
        <w:footnoteRef/>
      </w:r>
      <w:r w:rsidRPr="00111F92">
        <w:rPr>
          <w:rFonts w:ascii="Traditional Arabic" w:hAnsi="Traditional Arabic"/>
          <w:sz w:val="32"/>
          <w:szCs w:val="32"/>
          <w:rtl/>
        </w:rPr>
        <w:t>)</w:t>
      </w:r>
      <w:r>
        <w:rPr>
          <w:rFonts w:ascii="Traditional Arabic" w:hAnsi="Traditional Arabic" w:hint="cs"/>
          <w:sz w:val="32"/>
          <w:szCs w:val="32"/>
          <w:rtl/>
        </w:rPr>
        <w:t xml:space="preserve"> </w:t>
      </w:r>
      <w:r w:rsidRPr="00111F92">
        <w:rPr>
          <w:rFonts w:ascii="Traditional Arabic" w:hAnsi="Traditional Arabic"/>
          <w:sz w:val="32"/>
          <w:szCs w:val="32"/>
          <w:rtl/>
        </w:rPr>
        <w:t xml:space="preserve">أخرجه </w:t>
      </w:r>
      <w:r>
        <w:rPr>
          <w:rFonts w:ascii="Traditional Arabic" w:hAnsi="Traditional Arabic" w:hint="cs"/>
          <w:sz w:val="32"/>
          <w:szCs w:val="32"/>
          <w:rtl/>
        </w:rPr>
        <w:t>الطبراني في المعجم الكبير (17/85 ح199), والأوسط (5/335 ح5478),</w:t>
      </w:r>
      <w:r w:rsidRPr="00111F92">
        <w:rPr>
          <w:rFonts w:ascii="Traditional Arabic" w:hAnsi="Traditional Arabic"/>
          <w:sz w:val="32"/>
          <w:szCs w:val="32"/>
          <w:rtl/>
        </w:rPr>
        <w:t xml:space="preserve"> وأبو نعيم</w:t>
      </w:r>
      <w:r>
        <w:rPr>
          <w:rFonts w:ascii="Traditional Arabic" w:hAnsi="Traditional Arabic" w:hint="cs"/>
          <w:sz w:val="32"/>
          <w:szCs w:val="32"/>
          <w:rtl/>
        </w:rPr>
        <w:t xml:space="preserve"> في الحلية</w:t>
      </w:r>
      <w:r w:rsidRPr="00111F92">
        <w:rPr>
          <w:rFonts w:ascii="Traditional Arabic" w:hAnsi="Traditional Arabic"/>
          <w:sz w:val="32"/>
          <w:szCs w:val="32"/>
          <w:rtl/>
        </w:rPr>
        <w:t xml:space="preserve"> </w:t>
      </w:r>
      <w:r>
        <w:rPr>
          <w:rFonts w:ascii="Traditional Arabic" w:hAnsi="Traditional Arabic" w:hint="cs"/>
          <w:sz w:val="32"/>
          <w:szCs w:val="32"/>
          <w:rtl/>
        </w:rPr>
        <w:t>(4/</w:t>
      </w:r>
      <w:r w:rsidRPr="00111F92">
        <w:rPr>
          <w:rFonts w:ascii="Traditional Arabic" w:hAnsi="Traditional Arabic"/>
          <w:sz w:val="32"/>
          <w:szCs w:val="32"/>
          <w:rtl/>
        </w:rPr>
        <w:t>125</w:t>
      </w:r>
      <w:r>
        <w:rPr>
          <w:rFonts w:ascii="Traditional Arabic" w:hAnsi="Traditional Arabic" w:hint="cs"/>
          <w:sz w:val="32"/>
          <w:szCs w:val="32"/>
          <w:rtl/>
        </w:rPr>
        <w:t>),</w:t>
      </w:r>
      <w:r w:rsidRPr="00111F92">
        <w:rPr>
          <w:rFonts w:ascii="Traditional Arabic" w:hAnsi="Traditional Arabic"/>
          <w:sz w:val="32"/>
          <w:szCs w:val="32"/>
          <w:rtl/>
        </w:rPr>
        <w:t xml:space="preserve"> </w:t>
      </w:r>
      <w:r>
        <w:rPr>
          <w:rFonts w:ascii="Traditional Arabic" w:hAnsi="Traditional Arabic"/>
          <w:sz w:val="32"/>
          <w:szCs w:val="32"/>
          <w:rtl/>
        </w:rPr>
        <w:t>والبيهقي في شعب</w:t>
      </w:r>
      <w:r>
        <w:rPr>
          <w:rFonts w:ascii="Traditional Arabic" w:hAnsi="Traditional Arabic" w:hint="cs"/>
          <w:sz w:val="32"/>
          <w:szCs w:val="32"/>
          <w:rtl/>
        </w:rPr>
        <w:t xml:space="preserve"> الإيمان</w:t>
      </w:r>
      <w:r w:rsidRPr="00111F92">
        <w:rPr>
          <w:rFonts w:ascii="Traditional Arabic" w:hAnsi="Traditional Arabic"/>
          <w:sz w:val="32"/>
          <w:szCs w:val="32"/>
          <w:rtl/>
        </w:rPr>
        <w:t xml:space="preserve"> </w:t>
      </w:r>
      <w:r>
        <w:rPr>
          <w:rFonts w:ascii="Traditional Arabic" w:hAnsi="Traditional Arabic" w:hint="cs"/>
          <w:sz w:val="32"/>
          <w:szCs w:val="32"/>
          <w:rtl/>
        </w:rPr>
        <w:t>(9/138 ح</w:t>
      </w:r>
      <w:r w:rsidRPr="00111F92">
        <w:rPr>
          <w:rFonts w:ascii="Traditional Arabic" w:hAnsi="Traditional Arabic"/>
          <w:sz w:val="32"/>
          <w:szCs w:val="32"/>
          <w:rtl/>
        </w:rPr>
        <w:t>6</w:t>
      </w:r>
      <w:r>
        <w:rPr>
          <w:rFonts w:ascii="Traditional Arabic" w:hAnsi="Traditional Arabic" w:hint="cs"/>
          <w:sz w:val="32"/>
          <w:szCs w:val="32"/>
          <w:rtl/>
        </w:rPr>
        <w:t>390), والبعث والنشور (ص327 ح599), والحديث حكم عليه الشيخ الألباني بأنه موضوع كما في ضعيف الترغيب والترهيب (1/7 ح23).</w:t>
      </w:r>
      <w:r>
        <w:rPr>
          <w:rFonts w:ascii="Tahoma" w:hAnsi="Tahoma"/>
          <w:rtl/>
        </w:rPr>
        <w:t xml:space="preserve"> </w:t>
      </w:r>
    </w:p>
  </w:footnote>
  <w:footnote w:id="2402">
    <w:p w:rsidR="003F128F" w:rsidRPr="00BC5A10" w:rsidRDefault="003F128F" w:rsidP="00433168">
      <w:pPr>
        <w:pStyle w:val="af3"/>
        <w:rPr>
          <w:rFonts w:ascii="Traditional Arabic" w:hAnsi="Traditional Arabic"/>
          <w:sz w:val="32"/>
          <w:szCs w:val="32"/>
        </w:rPr>
      </w:pPr>
      <w:r w:rsidRPr="00BC5A10">
        <w:rPr>
          <w:rFonts w:ascii="Traditional Arabic" w:hAnsi="Traditional Arabic"/>
          <w:sz w:val="32"/>
          <w:szCs w:val="32"/>
          <w:rtl/>
        </w:rPr>
        <w:t>(</w:t>
      </w:r>
      <w:r w:rsidRPr="00BC5A10">
        <w:rPr>
          <w:rStyle w:val="ae"/>
          <w:rFonts w:ascii="Traditional Arabic" w:hAnsi="Traditional Arabic"/>
          <w:sz w:val="32"/>
          <w:szCs w:val="32"/>
          <w:vertAlign w:val="baseline"/>
        </w:rPr>
        <w:footnoteRef/>
      </w:r>
      <w:r w:rsidRPr="00BC5A10">
        <w:rPr>
          <w:rFonts w:ascii="Traditional Arabic" w:hAnsi="Traditional Arabic"/>
          <w:sz w:val="32"/>
          <w:szCs w:val="32"/>
          <w:rtl/>
        </w:rPr>
        <w:t xml:space="preserve">) </w:t>
      </w:r>
      <w:r>
        <w:rPr>
          <w:rFonts w:ascii="Traditional Arabic" w:hAnsi="Traditional Arabic" w:hint="cs"/>
          <w:sz w:val="32"/>
          <w:szCs w:val="32"/>
          <w:rtl/>
        </w:rPr>
        <w:t>انظر: تفسير يحيى بن سلام (1/225), تفسير الطبري (18/200), تفسير ابن أبي حاتم (10/3368).</w:t>
      </w:r>
      <w:r w:rsidRPr="00BC5A10">
        <w:rPr>
          <w:rFonts w:ascii="Traditional Arabic" w:hAnsi="Traditional Arabic"/>
          <w:sz w:val="32"/>
          <w:szCs w:val="32"/>
          <w:rtl/>
        </w:rPr>
        <w:t xml:space="preserve"> </w:t>
      </w:r>
    </w:p>
  </w:footnote>
  <w:footnote w:id="2403">
    <w:p w:rsidR="003F128F" w:rsidRPr="001F6842" w:rsidRDefault="003F128F" w:rsidP="00433168">
      <w:pPr>
        <w:pStyle w:val="af3"/>
        <w:rPr>
          <w:rFonts w:ascii="Traditional Arabic" w:hAnsi="Traditional Arabic"/>
          <w:color w:val="auto"/>
          <w:sz w:val="32"/>
          <w:szCs w:val="32"/>
        </w:rPr>
      </w:pPr>
      <w:r w:rsidRPr="001F6842">
        <w:rPr>
          <w:rFonts w:ascii="Traditional Arabic" w:hAnsi="Traditional Arabic"/>
          <w:color w:val="auto"/>
          <w:sz w:val="32"/>
          <w:szCs w:val="32"/>
          <w:rtl/>
        </w:rPr>
        <w:t>(</w:t>
      </w:r>
      <w:r w:rsidRPr="001F6842">
        <w:rPr>
          <w:rStyle w:val="ae"/>
          <w:rFonts w:ascii="Traditional Arabic" w:hAnsi="Traditional Arabic"/>
          <w:color w:val="auto"/>
          <w:sz w:val="32"/>
          <w:szCs w:val="32"/>
          <w:vertAlign w:val="baseline"/>
        </w:rPr>
        <w:footnoteRef/>
      </w:r>
      <w:r w:rsidRPr="001F6842">
        <w:rPr>
          <w:rFonts w:ascii="Traditional Arabic" w:hAnsi="Traditional Arabic"/>
          <w:color w:val="auto"/>
          <w:sz w:val="32"/>
          <w:szCs w:val="32"/>
          <w:rtl/>
        </w:rPr>
        <w:t xml:space="preserve">) انظر: البحر المحيط (7/264). </w:t>
      </w:r>
    </w:p>
  </w:footnote>
  <w:footnote w:id="2404">
    <w:p w:rsidR="003F128F" w:rsidRPr="001F6842" w:rsidRDefault="003F128F" w:rsidP="00433168">
      <w:pPr>
        <w:pStyle w:val="af3"/>
        <w:rPr>
          <w:rFonts w:ascii="Traditional Arabic" w:hAnsi="Traditional Arabic"/>
          <w:color w:val="auto"/>
          <w:sz w:val="32"/>
          <w:szCs w:val="32"/>
        </w:rPr>
      </w:pPr>
      <w:r w:rsidRPr="001F6842">
        <w:rPr>
          <w:rFonts w:ascii="Traditional Arabic" w:hAnsi="Traditional Arabic"/>
          <w:color w:val="auto"/>
          <w:sz w:val="32"/>
          <w:szCs w:val="32"/>
          <w:rtl/>
        </w:rPr>
        <w:t>(</w:t>
      </w:r>
      <w:r w:rsidRPr="001F6842">
        <w:rPr>
          <w:rStyle w:val="ae"/>
          <w:rFonts w:ascii="Traditional Arabic" w:hAnsi="Traditional Arabic"/>
          <w:color w:val="auto"/>
          <w:sz w:val="32"/>
          <w:szCs w:val="32"/>
          <w:vertAlign w:val="baseline"/>
        </w:rPr>
        <w:footnoteRef/>
      </w:r>
      <w:r w:rsidRPr="001F6842">
        <w:rPr>
          <w:rFonts w:ascii="Traditional Arabic" w:hAnsi="Traditional Arabic"/>
          <w:color w:val="auto"/>
          <w:sz w:val="32"/>
          <w:szCs w:val="32"/>
          <w:rtl/>
        </w:rPr>
        <w:t>) انظر: تفسير الطبري (18/201), التفسير الوسيط (3/184).</w:t>
      </w:r>
    </w:p>
  </w:footnote>
  <w:footnote w:id="2405">
    <w:p w:rsidR="003F128F" w:rsidRPr="001F6842" w:rsidRDefault="003F128F" w:rsidP="00433168">
      <w:pPr>
        <w:pStyle w:val="af3"/>
        <w:rPr>
          <w:rFonts w:ascii="Traditional Arabic" w:hAnsi="Traditional Arabic"/>
          <w:color w:val="auto"/>
          <w:sz w:val="32"/>
          <w:szCs w:val="32"/>
        </w:rPr>
      </w:pPr>
      <w:r w:rsidRPr="001F6842">
        <w:rPr>
          <w:rFonts w:ascii="Traditional Arabic" w:hAnsi="Traditional Arabic"/>
          <w:color w:val="auto"/>
          <w:sz w:val="32"/>
          <w:szCs w:val="32"/>
          <w:rtl/>
        </w:rPr>
        <w:t>(</w:t>
      </w:r>
      <w:r w:rsidRPr="001F6842">
        <w:rPr>
          <w:rStyle w:val="ae"/>
          <w:rFonts w:ascii="Traditional Arabic" w:hAnsi="Traditional Arabic"/>
          <w:color w:val="auto"/>
          <w:sz w:val="32"/>
          <w:szCs w:val="32"/>
          <w:vertAlign w:val="baseline"/>
        </w:rPr>
        <w:footnoteRef/>
      </w:r>
      <w:r w:rsidRPr="001F6842">
        <w:rPr>
          <w:rFonts w:ascii="Traditional Arabic" w:hAnsi="Traditional Arabic"/>
          <w:color w:val="auto"/>
          <w:sz w:val="32"/>
          <w:szCs w:val="32"/>
          <w:rtl/>
        </w:rPr>
        <w:t>) انظر: تفسير يحيى بن سلام (1/225), التفسير الوسيط (3/184).</w:t>
      </w:r>
    </w:p>
  </w:footnote>
  <w:footnote w:id="2406">
    <w:p w:rsidR="003F128F" w:rsidRPr="001F6842" w:rsidRDefault="003F128F" w:rsidP="00433168">
      <w:pPr>
        <w:pStyle w:val="af3"/>
        <w:rPr>
          <w:rFonts w:ascii="Traditional Arabic" w:hAnsi="Traditional Arabic"/>
          <w:color w:val="auto"/>
          <w:sz w:val="32"/>
          <w:szCs w:val="32"/>
        </w:rPr>
      </w:pPr>
      <w:r w:rsidRPr="001F6842">
        <w:rPr>
          <w:rFonts w:ascii="Traditional Arabic" w:hAnsi="Traditional Arabic"/>
          <w:color w:val="auto"/>
          <w:sz w:val="32"/>
          <w:szCs w:val="32"/>
          <w:rtl/>
        </w:rPr>
        <w:t>(</w:t>
      </w:r>
      <w:r w:rsidRPr="001F6842">
        <w:rPr>
          <w:rStyle w:val="ae"/>
          <w:rFonts w:ascii="Traditional Arabic" w:hAnsi="Traditional Arabic"/>
          <w:color w:val="auto"/>
          <w:sz w:val="32"/>
          <w:szCs w:val="32"/>
          <w:vertAlign w:val="baseline"/>
        </w:rPr>
        <w:footnoteRef/>
      </w:r>
      <w:r w:rsidRPr="001F6842">
        <w:rPr>
          <w:rFonts w:ascii="Traditional Arabic" w:hAnsi="Traditional Arabic"/>
          <w:color w:val="auto"/>
          <w:sz w:val="32"/>
          <w:szCs w:val="32"/>
          <w:rtl/>
        </w:rPr>
        <w:t xml:space="preserve">) انظر: تفسير مقاتل (2/629).  </w:t>
      </w:r>
    </w:p>
  </w:footnote>
  <w:footnote w:id="2407">
    <w:p w:rsidR="003F128F" w:rsidRDefault="003F128F" w:rsidP="00433168">
      <w:pPr>
        <w:pStyle w:val="af3"/>
        <w:rPr>
          <w:rFonts w:ascii="Tahoma" w:hAnsi="Tahoma"/>
          <w:rtl/>
        </w:rPr>
      </w:pPr>
      <w:r w:rsidRPr="001F6842">
        <w:rPr>
          <w:rFonts w:ascii="Traditional Arabic" w:hAnsi="Traditional Arabic"/>
          <w:color w:val="auto"/>
          <w:sz w:val="32"/>
          <w:szCs w:val="32"/>
          <w:rtl/>
        </w:rPr>
        <w:t>(</w:t>
      </w:r>
      <w:r w:rsidRPr="001F6842">
        <w:rPr>
          <w:rStyle w:val="ae"/>
          <w:rFonts w:ascii="Traditional Arabic" w:hAnsi="Traditional Arabic"/>
          <w:color w:val="auto"/>
          <w:sz w:val="32"/>
          <w:szCs w:val="32"/>
          <w:vertAlign w:val="baseline"/>
        </w:rPr>
        <w:footnoteRef/>
      </w:r>
      <w:r w:rsidRPr="001F6842">
        <w:rPr>
          <w:rFonts w:ascii="Traditional Arabic" w:hAnsi="Traditional Arabic"/>
          <w:color w:val="auto"/>
          <w:sz w:val="32"/>
          <w:szCs w:val="32"/>
          <w:rtl/>
        </w:rPr>
        <w:t>)</w:t>
      </w:r>
      <w:r w:rsidRPr="001F6842">
        <w:rPr>
          <w:rFonts w:ascii="Tahoma" w:hAnsi="Tahoma"/>
          <w:color w:val="auto"/>
          <w:sz w:val="32"/>
          <w:szCs w:val="32"/>
          <w:rtl/>
        </w:rPr>
        <w:t xml:space="preserve"> </w:t>
      </w:r>
      <w:r w:rsidRPr="001F6842">
        <w:rPr>
          <w:rFonts w:ascii="Tahoma" w:hAnsi="Tahoma" w:hint="cs"/>
          <w:sz w:val="32"/>
          <w:szCs w:val="32"/>
          <w:rtl/>
        </w:rPr>
        <w:t>لم أقف عليهما فيما لدي من مصادر.</w:t>
      </w:r>
    </w:p>
    <w:p w:rsidR="003F128F" w:rsidRPr="00111F92" w:rsidRDefault="003F128F" w:rsidP="00433168">
      <w:pPr>
        <w:pStyle w:val="af3"/>
        <w:rPr>
          <w:rFonts w:ascii="Tahoma" w:hAnsi="Tahoma"/>
        </w:rPr>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F128F" w:rsidRDefault="003F128F" w:rsidP="005D2A57">
    <w:pPr>
      <w:framePr w:w="2155" w:h="607" w:wrap="notBeside" w:vAnchor="page" w:hAnchor="page" w:x="1419" w:y="840"/>
      <w:tabs>
        <w:tab w:val="center" w:pos="7428"/>
      </w:tabs>
      <w:spacing w:line="380" w:lineRule="exac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F128F" w:rsidRPr="00DE46E1" w:rsidRDefault="003F128F" w:rsidP="005D2A57">
    <w:pPr>
      <w:tabs>
        <w:tab w:val="center" w:pos="7428"/>
      </w:tabs>
      <w:spacing w:line="380" w:lineRule="exact"/>
      <w:jc w:val="center"/>
      <w:rPr>
        <w:rStyle w:val="a9"/>
        <w:sz w:val="42"/>
        <w:szCs w:val="42"/>
        <w:rtl/>
      </w:rPr>
    </w:pPr>
    <w:r>
      <w:rPr>
        <w:noProof/>
        <w:rtl/>
        <w:lang w:eastAsia="en-US"/>
      </w:rPr>
      <mc:AlternateContent>
        <mc:Choice Requires="wps">
          <w:drawing>
            <wp:anchor distT="0" distB="0" distL="114300" distR="114300" simplePos="0" relativeHeight="251661312" behindDoc="1" locked="0" layoutInCell="0" allowOverlap="1" wp14:anchorId="3DF834B3" wp14:editId="760A7FEE">
              <wp:simplePos x="0" y="0"/>
              <wp:positionH relativeFrom="page">
                <wp:posOffset>835660</wp:posOffset>
              </wp:positionH>
              <wp:positionV relativeFrom="paragraph">
                <wp:posOffset>90170</wp:posOffset>
              </wp:positionV>
              <wp:extent cx="1371600" cy="219710"/>
              <wp:effectExtent l="38100" t="19050" r="19050" b="66040"/>
              <wp:wrapNone/>
              <wp:docPr id="8" name="AutoShap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0" cy="219710"/>
                      </a:xfrm>
                      <a:prstGeom prst="star8">
                        <a:avLst>
                          <a:gd name="adj" fmla="val 44907"/>
                        </a:avLst>
                      </a:prstGeom>
                      <a:solidFill>
                        <a:srgbClr val="FFFFFF"/>
                      </a:solidFill>
                      <a:ln w="9525">
                        <a:solidFill>
                          <a:srgbClr val="000000"/>
                        </a:solidFill>
                        <a:miter lim="800000"/>
                        <a:headEnd/>
                        <a:tailEnd/>
                      </a:ln>
                      <a:effectLst>
                        <a:outerShdw dist="28398" dir="3806097" algn="ctr" rotWithShape="0">
                          <a:srgbClr val="FFFFFF"/>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58" coordsize="21600,21600" o:spt="58" adj="2538" path="m21600,10800l@3@6,18436,3163@4@5,10800,0@6@5,3163,3163@5@6,,10800@5@4,3163,18436@6@3,10800,21600@4@3,18436,18436@3@4xe">
              <v:stroke joinstyle="miter"/>
              <v:formulas>
                <v:f eqn="sum 10800 0 #0"/>
                <v:f eqn="prod @0 30274 32768"/>
                <v:f eqn="prod @0 12540 32768"/>
                <v:f eqn="sum @1 10800 0"/>
                <v:f eqn="sum @2 10800 0"/>
                <v:f eqn="sum 10800 0 @1"/>
                <v:f eqn="sum 10800 0 @2"/>
                <v:f eqn="prod @0 23170 32768"/>
                <v:f eqn="sum @7 10800 0"/>
                <v:f eqn="sum 10800 0 @7"/>
              </v:formulas>
              <v:path gradientshapeok="t" o:connecttype="rect" textboxrect="@9,@9,@8,@8"/>
              <v:handles>
                <v:h position="#0,center" xrange="0,10800"/>
              </v:handles>
            </v:shapetype>
            <v:shape id="AutoShape 11" o:spid="_x0000_s1026" type="#_x0000_t58" style="position:absolute;left:0;text-align:left;margin-left:65.8pt;margin-top:7.1pt;width:108pt;height:17.3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" o:allowincell="f" adj="1100">
              <v:shadow on="t" color="white" offset="1pt"/>
              <w10:wrap anchorx="page"/>
            </v:shape>
          </w:pict>
        </mc:Fallback>
      </mc:AlternateContent>
    </w:r>
    <w:r>
      <w:rPr>
        <w:rFonts w:cs="AL-Mateen" w:hint="cs"/>
        <w:position w:val="-6"/>
        <w:sz w:val="26"/>
        <w:szCs w:val="22"/>
        <w:rtl/>
      </w:rPr>
      <w:tab/>
      <w:t>المقدمة</w:t>
    </w:r>
  </w:p>
  <w:p w:rsidR="003F128F" w:rsidRDefault="003F128F">
    <w:pPr>
      <w:pStyle w:val="a8"/>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raditional Arabic" w:eastAsiaTheme="majorEastAsia" w:hAnsi="Traditional Arabic"/>
        <w:b/>
        <w:bCs/>
        <w:color w:val="auto"/>
        <w:sz w:val="36"/>
        <w:szCs w:val="36"/>
      </w:rPr>
      <w:alias w:val="العنوان"/>
      <w:id w:val="77738743"/>
      <w:placeholder>
        <w:docPart w:val="61C537B0A4F240639B6ADDDA5B63BB6C"/>
      </w:placeholder>
      <w:dataBinding w:prefixMappings="xmlns:ns0='http://schemas.openxmlformats.org/package/2006/metadata/core-properties' xmlns:ns1='http://purl.org/dc/elements/1.1/'" w:xpath="/ns0:coreProperties[1]/ns1:title[1]" w:storeItemID="{6C3C8BC8-F283-45AE-878A-BAB7291924A1}"/>
      <w:text/>
    </w:sdtPr>
    <w:sdtContent>
      <w:p w:rsidR="003F128F" w:rsidRPr="00E13E2E" w:rsidRDefault="003F128F" w:rsidP="00E13E2E">
        <w:pPr>
          <w:pStyle w:val="a8"/>
          <w:pBdr>
            <w:bottom w:val="thickThinSmallGap" w:sz="24" w:space="1" w:color="622423" w:themeColor="accent2" w:themeShade="7F"/>
          </w:pBdr>
          <w:jc w:val="right"/>
          <w:rPr>
            <w:rFonts w:ascii="Traditional Arabic" w:eastAsiaTheme="majorEastAsia" w:hAnsi="Traditional Arabic"/>
            <w:b/>
            <w:bCs/>
            <w:color w:val="auto"/>
            <w:sz w:val="36"/>
            <w:szCs w:val="36"/>
          </w:rPr>
        </w:pPr>
        <w:r>
          <w:rPr>
            <w:rFonts w:ascii="Traditional Arabic" w:eastAsiaTheme="majorEastAsia" w:hAnsi="Traditional Arabic" w:hint="cs"/>
            <w:b/>
            <w:bCs/>
            <w:color w:val="auto"/>
            <w:sz w:val="36"/>
            <w:szCs w:val="36"/>
            <w:rtl/>
          </w:rPr>
          <w:t>زاد المسير في علم التفسير</w:t>
        </w:r>
      </w:p>
    </w:sdtContent>
  </w:sdt>
  <w:p w:rsidR="003F128F" w:rsidRDefault="003F128F"/>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F128F" w:rsidRDefault="003F128F">
    <w:pPr>
      <w:pStyle w:val="a8"/>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heme="majorHAnsi" w:eastAsiaTheme="majorEastAsia" w:hAnsiTheme="majorHAnsi" w:cstheme="majorBidi"/>
        <w:sz w:val="32"/>
        <w:szCs w:val="32"/>
      </w:rPr>
      <w:alias w:val="العنوان"/>
      <w:id w:val="-1120994099"/>
      <w:dataBinding w:prefixMappings="xmlns:ns0='http://schemas.openxmlformats.org/package/2006/metadata/core-properties' xmlns:ns1='http://purl.org/dc/elements/1.1/'" w:xpath="/ns0:coreProperties[1]/ns1:title[1]" w:storeItemID="{6C3C8BC8-F283-45AE-878A-BAB7291924A1}"/>
      <w:text/>
    </w:sdtPr>
    <w:sdtContent>
      <w:p w:rsidR="003F128F" w:rsidRDefault="003F128F" w:rsidP="00694D93">
        <w:pPr>
          <w:pStyle w:val="a8"/>
          <w:pBdr>
            <w:bottom w:val="thickThinSmallGap" w:sz="24" w:space="1" w:color="622423" w:themeColor="accent2" w:themeShade="7F"/>
          </w:pBdr>
          <w:jc w:val="right"/>
          <w:rPr>
            <w:rFonts w:asciiTheme="majorHAnsi" w:eastAsiaTheme="majorEastAsia" w:hAnsiTheme="majorHAnsi" w:cstheme="majorBidi"/>
            <w:sz w:val="32"/>
            <w:szCs w:val="32"/>
          </w:rPr>
        </w:pPr>
        <w:r>
          <w:rPr>
            <w:rFonts w:asciiTheme="majorHAnsi" w:eastAsiaTheme="majorEastAsia" w:hAnsiTheme="majorHAnsi" w:cstheme="majorBidi" w:hint="cs"/>
            <w:sz w:val="32"/>
            <w:szCs w:val="32"/>
            <w:rtl/>
          </w:rPr>
          <w:t>زاد المسير في علم التفسير</w:t>
        </w:r>
      </w:p>
    </w:sdtContent>
  </w:sdt>
  <w:p w:rsidR="003F128F" w:rsidRPr="00A94E74" w:rsidRDefault="003F128F" w:rsidP="00A94E74">
    <w:pPr>
      <w:pStyle w:val="a8"/>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194AD3"/>
    <w:multiLevelType w:val="hybridMultilevel"/>
    <w:tmpl w:val="3A78598E"/>
    <w:lvl w:ilvl="0" w:tplc="04090009">
      <w:start w:val="1"/>
      <w:numFmt w:val="bullet"/>
      <w:lvlText w:val=""/>
      <w:lvlJc w:val="left"/>
      <w:pPr>
        <w:ind w:left="960" w:hanging="360"/>
      </w:pPr>
      <w:rPr>
        <w:rFonts w:ascii="Wingdings" w:hAnsi="Wingdings" w:hint="default"/>
      </w:rPr>
    </w:lvl>
    <w:lvl w:ilvl="1" w:tplc="04090003" w:tentative="1">
      <w:start w:val="1"/>
      <w:numFmt w:val="bullet"/>
      <w:lvlText w:val="o"/>
      <w:lvlJc w:val="left"/>
      <w:pPr>
        <w:ind w:left="1680" w:hanging="360"/>
      </w:pPr>
      <w:rPr>
        <w:rFonts w:ascii="Courier New" w:hAnsi="Courier New" w:cs="Courier New" w:hint="default"/>
      </w:rPr>
    </w:lvl>
    <w:lvl w:ilvl="2" w:tplc="04090005" w:tentative="1">
      <w:start w:val="1"/>
      <w:numFmt w:val="bullet"/>
      <w:lvlText w:val=""/>
      <w:lvlJc w:val="left"/>
      <w:pPr>
        <w:ind w:left="2400" w:hanging="360"/>
      </w:pPr>
      <w:rPr>
        <w:rFonts w:ascii="Wingdings" w:hAnsi="Wingdings" w:hint="default"/>
      </w:rPr>
    </w:lvl>
    <w:lvl w:ilvl="3" w:tplc="04090001" w:tentative="1">
      <w:start w:val="1"/>
      <w:numFmt w:val="bullet"/>
      <w:lvlText w:val=""/>
      <w:lvlJc w:val="left"/>
      <w:pPr>
        <w:ind w:left="3120" w:hanging="360"/>
      </w:pPr>
      <w:rPr>
        <w:rFonts w:ascii="Symbol" w:hAnsi="Symbol" w:hint="default"/>
      </w:rPr>
    </w:lvl>
    <w:lvl w:ilvl="4" w:tplc="04090003" w:tentative="1">
      <w:start w:val="1"/>
      <w:numFmt w:val="bullet"/>
      <w:lvlText w:val="o"/>
      <w:lvlJc w:val="left"/>
      <w:pPr>
        <w:ind w:left="3840" w:hanging="360"/>
      </w:pPr>
      <w:rPr>
        <w:rFonts w:ascii="Courier New" w:hAnsi="Courier New" w:cs="Courier New" w:hint="default"/>
      </w:rPr>
    </w:lvl>
    <w:lvl w:ilvl="5" w:tplc="04090005" w:tentative="1">
      <w:start w:val="1"/>
      <w:numFmt w:val="bullet"/>
      <w:lvlText w:val=""/>
      <w:lvlJc w:val="left"/>
      <w:pPr>
        <w:ind w:left="4560" w:hanging="360"/>
      </w:pPr>
      <w:rPr>
        <w:rFonts w:ascii="Wingdings" w:hAnsi="Wingdings" w:hint="default"/>
      </w:rPr>
    </w:lvl>
    <w:lvl w:ilvl="6" w:tplc="04090001" w:tentative="1">
      <w:start w:val="1"/>
      <w:numFmt w:val="bullet"/>
      <w:lvlText w:val=""/>
      <w:lvlJc w:val="left"/>
      <w:pPr>
        <w:ind w:left="5280" w:hanging="360"/>
      </w:pPr>
      <w:rPr>
        <w:rFonts w:ascii="Symbol" w:hAnsi="Symbol" w:hint="default"/>
      </w:rPr>
    </w:lvl>
    <w:lvl w:ilvl="7" w:tplc="04090003" w:tentative="1">
      <w:start w:val="1"/>
      <w:numFmt w:val="bullet"/>
      <w:lvlText w:val="o"/>
      <w:lvlJc w:val="left"/>
      <w:pPr>
        <w:ind w:left="6000" w:hanging="360"/>
      </w:pPr>
      <w:rPr>
        <w:rFonts w:ascii="Courier New" w:hAnsi="Courier New" w:cs="Courier New" w:hint="default"/>
      </w:rPr>
    </w:lvl>
    <w:lvl w:ilvl="8" w:tplc="04090005" w:tentative="1">
      <w:start w:val="1"/>
      <w:numFmt w:val="bullet"/>
      <w:lvlText w:val=""/>
      <w:lvlJc w:val="left"/>
      <w:pPr>
        <w:ind w:left="6720" w:hanging="360"/>
      </w:pPr>
      <w:rPr>
        <w:rFonts w:ascii="Wingdings" w:hAnsi="Wingdings" w:hint="default"/>
      </w:rPr>
    </w:lvl>
  </w:abstractNum>
  <w:abstractNum w:abstractNumId="1">
    <w:nsid w:val="06F21410"/>
    <w:multiLevelType w:val="hybridMultilevel"/>
    <w:tmpl w:val="4D32DD1C"/>
    <w:lvl w:ilvl="0" w:tplc="414EDD82">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2">
    <w:nsid w:val="0BCA75FA"/>
    <w:multiLevelType w:val="multilevel"/>
    <w:tmpl w:val="F32EBC96"/>
    <w:lvl w:ilvl="0">
      <w:numFmt w:val="none"/>
      <w:lvlText w:val=""/>
      <w:lvlJc w:val="left"/>
      <w:pPr>
        <w:tabs>
          <w:tab w:val="num" w:pos="360"/>
        </w:tabs>
      </w:pPr>
    </w:lvl>
    <w:lvl w:ilvl="1">
      <w:start w:val="1"/>
      <w:numFmt w:val="lowerLetter"/>
      <w:lvlText w:val="%2."/>
      <w:lvlJc w:val="left"/>
      <w:pPr>
        <w:tabs>
          <w:tab w:val="num" w:pos="1894"/>
        </w:tabs>
        <w:ind w:left="1894" w:hanging="360"/>
      </w:pPr>
    </w:lvl>
    <w:lvl w:ilvl="2">
      <w:start w:val="1"/>
      <w:numFmt w:val="lowerRoman"/>
      <w:lvlText w:val="%3."/>
      <w:lvlJc w:val="right"/>
      <w:pPr>
        <w:tabs>
          <w:tab w:val="num" w:pos="2614"/>
        </w:tabs>
        <w:ind w:left="2614" w:hanging="180"/>
      </w:pPr>
    </w:lvl>
    <w:lvl w:ilvl="3">
      <w:start w:val="1"/>
      <w:numFmt w:val="decimal"/>
      <w:lvlText w:val="%4."/>
      <w:lvlJc w:val="left"/>
      <w:pPr>
        <w:tabs>
          <w:tab w:val="num" w:pos="3334"/>
        </w:tabs>
        <w:ind w:left="3334" w:hanging="360"/>
      </w:pPr>
    </w:lvl>
    <w:lvl w:ilvl="4">
      <w:start w:val="1"/>
      <w:numFmt w:val="lowerLetter"/>
      <w:lvlText w:val="%5."/>
      <w:lvlJc w:val="left"/>
      <w:pPr>
        <w:tabs>
          <w:tab w:val="num" w:pos="4054"/>
        </w:tabs>
        <w:ind w:left="4054" w:hanging="360"/>
      </w:pPr>
    </w:lvl>
    <w:lvl w:ilvl="5">
      <w:start w:val="1"/>
      <w:numFmt w:val="lowerRoman"/>
      <w:lvlText w:val="%6."/>
      <w:lvlJc w:val="right"/>
      <w:pPr>
        <w:tabs>
          <w:tab w:val="num" w:pos="4774"/>
        </w:tabs>
        <w:ind w:left="4774" w:hanging="180"/>
      </w:pPr>
    </w:lvl>
    <w:lvl w:ilvl="6">
      <w:start w:val="1"/>
      <w:numFmt w:val="decimal"/>
      <w:lvlText w:val="%7."/>
      <w:lvlJc w:val="left"/>
      <w:pPr>
        <w:tabs>
          <w:tab w:val="num" w:pos="5494"/>
        </w:tabs>
        <w:ind w:left="5494" w:hanging="360"/>
      </w:pPr>
    </w:lvl>
    <w:lvl w:ilvl="7">
      <w:start w:val="1"/>
      <w:numFmt w:val="lowerLetter"/>
      <w:lvlText w:val="%8."/>
      <w:lvlJc w:val="left"/>
      <w:pPr>
        <w:tabs>
          <w:tab w:val="num" w:pos="6214"/>
        </w:tabs>
        <w:ind w:left="6214" w:hanging="360"/>
      </w:pPr>
    </w:lvl>
    <w:lvl w:ilvl="8">
      <w:start w:val="1"/>
      <w:numFmt w:val="lowerRoman"/>
      <w:lvlText w:val="%9."/>
      <w:lvlJc w:val="right"/>
      <w:pPr>
        <w:tabs>
          <w:tab w:val="num" w:pos="6934"/>
        </w:tabs>
        <w:ind w:left="6934" w:hanging="180"/>
      </w:pPr>
    </w:lvl>
  </w:abstractNum>
  <w:abstractNum w:abstractNumId="3">
    <w:nsid w:val="0D1D3962"/>
    <w:multiLevelType w:val="hybridMultilevel"/>
    <w:tmpl w:val="67385098"/>
    <w:lvl w:ilvl="0" w:tplc="04090001">
      <w:start w:val="1"/>
      <w:numFmt w:val="bullet"/>
      <w:lvlText w:val=""/>
      <w:lvlJc w:val="left"/>
      <w:pPr>
        <w:ind w:left="1144" w:hanging="360"/>
      </w:pPr>
      <w:rPr>
        <w:rFonts w:ascii="Symbol" w:hAnsi="Symbol" w:hint="default"/>
      </w:rPr>
    </w:lvl>
    <w:lvl w:ilvl="1" w:tplc="04090003" w:tentative="1">
      <w:start w:val="1"/>
      <w:numFmt w:val="bullet"/>
      <w:lvlText w:val="o"/>
      <w:lvlJc w:val="left"/>
      <w:pPr>
        <w:ind w:left="1864" w:hanging="360"/>
      </w:pPr>
      <w:rPr>
        <w:rFonts w:ascii="Courier New" w:hAnsi="Courier New" w:cs="Courier New" w:hint="default"/>
      </w:rPr>
    </w:lvl>
    <w:lvl w:ilvl="2" w:tplc="04090005" w:tentative="1">
      <w:start w:val="1"/>
      <w:numFmt w:val="bullet"/>
      <w:lvlText w:val=""/>
      <w:lvlJc w:val="left"/>
      <w:pPr>
        <w:ind w:left="2584" w:hanging="360"/>
      </w:pPr>
      <w:rPr>
        <w:rFonts w:ascii="Wingdings" w:hAnsi="Wingdings" w:hint="default"/>
      </w:rPr>
    </w:lvl>
    <w:lvl w:ilvl="3" w:tplc="04090001" w:tentative="1">
      <w:start w:val="1"/>
      <w:numFmt w:val="bullet"/>
      <w:lvlText w:val=""/>
      <w:lvlJc w:val="left"/>
      <w:pPr>
        <w:ind w:left="3304" w:hanging="360"/>
      </w:pPr>
      <w:rPr>
        <w:rFonts w:ascii="Symbol" w:hAnsi="Symbol" w:hint="default"/>
      </w:rPr>
    </w:lvl>
    <w:lvl w:ilvl="4" w:tplc="04090003" w:tentative="1">
      <w:start w:val="1"/>
      <w:numFmt w:val="bullet"/>
      <w:lvlText w:val="o"/>
      <w:lvlJc w:val="left"/>
      <w:pPr>
        <w:ind w:left="4024" w:hanging="360"/>
      </w:pPr>
      <w:rPr>
        <w:rFonts w:ascii="Courier New" w:hAnsi="Courier New" w:cs="Courier New" w:hint="default"/>
      </w:rPr>
    </w:lvl>
    <w:lvl w:ilvl="5" w:tplc="04090005" w:tentative="1">
      <w:start w:val="1"/>
      <w:numFmt w:val="bullet"/>
      <w:lvlText w:val=""/>
      <w:lvlJc w:val="left"/>
      <w:pPr>
        <w:ind w:left="4744" w:hanging="360"/>
      </w:pPr>
      <w:rPr>
        <w:rFonts w:ascii="Wingdings" w:hAnsi="Wingdings" w:hint="default"/>
      </w:rPr>
    </w:lvl>
    <w:lvl w:ilvl="6" w:tplc="04090001" w:tentative="1">
      <w:start w:val="1"/>
      <w:numFmt w:val="bullet"/>
      <w:lvlText w:val=""/>
      <w:lvlJc w:val="left"/>
      <w:pPr>
        <w:ind w:left="5464" w:hanging="360"/>
      </w:pPr>
      <w:rPr>
        <w:rFonts w:ascii="Symbol" w:hAnsi="Symbol" w:hint="default"/>
      </w:rPr>
    </w:lvl>
    <w:lvl w:ilvl="7" w:tplc="04090003" w:tentative="1">
      <w:start w:val="1"/>
      <w:numFmt w:val="bullet"/>
      <w:lvlText w:val="o"/>
      <w:lvlJc w:val="left"/>
      <w:pPr>
        <w:ind w:left="6184" w:hanging="360"/>
      </w:pPr>
      <w:rPr>
        <w:rFonts w:ascii="Courier New" w:hAnsi="Courier New" w:cs="Courier New" w:hint="default"/>
      </w:rPr>
    </w:lvl>
    <w:lvl w:ilvl="8" w:tplc="04090005" w:tentative="1">
      <w:start w:val="1"/>
      <w:numFmt w:val="bullet"/>
      <w:lvlText w:val=""/>
      <w:lvlJc w:val="left"/>
      <w:pPr>
        <w:ind w:left="6904" w:hanging="360"/>
      </w:pPr>
      <w:rPr>
        <w:rFonts w:ascii="Wingdings" w:hAnsi="Wingdings" w:hint="default"/>
      </w:rPr>
    </w:lvl>
  </w:abstractNum>
  <w:abstractNum w:abstractNumId="4">
    <w:nsid w:val="0F3054EC"/>
    <w:multiLevelType w:val="hybridMultilevel"/>
    <w:tmpl w:val="B2D2BA6E"/>
    <w:lvl w:ilvl="0" w:tplc="D7BCC756">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F502407"/>
    <w:multiLevelType w:val="hybridMultilevel"/>
    <w:tmpl w:val="934EC14C"/>
    <w:lvl w:ilvl="0" w:tplc="3714884E">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F70707B"/>
    <w:multiLevelType w:val="hybridMultilevel"/>
    <w:tmpl w:val="E9D08496"/>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nsid w:val="10AC38B0"/>
    <w:multiLevelType w:val="hybridMultilevel"/>
    <w:tmpl w:val="C21AED96"/>
    <w:lvl w:ilvl="0" w:tplc="E3340046">
      <w:start w:val="1"/>
      <w:numFmt w:val="decimal"/>
      <w:lvlText w:val="%1-"/>
      <w:lvlJc w:val="left"/>
      <w:pPr>
        <w:ind w:left="1339" w:hanging="885"/>
      </w:pPr>
      <w:rPr>
        <w:rFonts w:hint="default"/>
        <w:sz w:val="32"/>
      </w:rPr>
    </w:lvl>
    <w:lvl w:ilvl="1" w:tplc="04090019" w:tentative="1">
      <w:start w:val="1"/>
      <w:numFmt w:val="lowerLetter"/>
      <w:lvlText w:val="%2."/>
      <w:lvlJc w:val="left"/>
      <w:pPr>
        <w:ind w:left="1534" w:hanging="360"/>
      </w:pPr>
    </w:lvl>
    <w:lvl w:ilvl="2" w:tplc="0409001B" w:tentative="1">
      <w:start w:val="1"/>
      <w:numFmt w:val="lowerRoman"/>
      <w:lvlText w:val="%3."/>
      <w:lvlJc w:val="right"/>
      <w:pPr>
        <w:ind w:left="2254" w:hanging="180"/>
      </w:pPr>
    </w:lvl>
    <w:lvl w:ilvl="3" w:tplc="0409000F" w:tentative="1">
      <w:start w:val="1"/>
      <w:numFmt w:val="decimal"/>
      <w:lvlText w:val="%4."/>
      <w:lvlJc w:val="left"/>
      <w:pPr>
        <w:ind w:left="2974" w:hanging="360"/>
      </w:pPr>
    </w:lvl>
    <w:lvl w:ilvl="4" w:tplc="04090019" w:tentative="1">
      <w:start w:val="1"/>
      <w:numFmt w:val="lowerLetter"/>
      <w:lvlText w:val="%5."/>
      <w:lvlJc w:val="left"/>
      <w:pPr>
        <w:ind w:left="3694" w:hanging="360"/>
      </w:pPr>
    </w:lvl>
    <w:lvl w:ilvl="5" w:tplc="0409001B" w:tentative="1">
      <w:start w:val="1"/>
      <w:numFmt w:val="lowerRoman"/>
      <w:lvlText w:val="%6."/>
      <w:lvlJc w:val="right"/>
      <w:pPr>
        <w:ind w:left="4414" w:hanging="180"/>
      </w:pPr>
    </w:lvl>
    <w:lvl w:ilvl="6" w:tplc="0409000F" w:tentative="1">
      <w:start w:val="1"/>
      <w:numFmt w:val="decimal"/>
      <w:lvlText w:val="%7."/>
      <w:lvlJc w:val="left"/>
      <w:pPr>
        <w:ind w:left="5134" w:hanging="360"/>
      </w:pPr>
    </w:lvl>
    <w:lvl w:ilvl="7" w:tplc="04090019" w:tentative="1">
      <w:start w:val="1"/>
      <w:numFmt w:val="lowerLetter"/>
      <w:lvlText w:val="%8."/>
      <w:lvlJc w:val="left"/>
      <w:pPr>
        <w:ind w:left="5854" w:hanging="360"/>
      </w:pPr>
    </w:lvl>
    <w:lvl w:ilvl="8" w:tplc="0409001B" w:tentative="1">
      <w:start w:val="1"/>
      <w:numFmt w:val="lowerRoman"/>
      <w:lvlText w:val="%9."/>
      <w:lvlJc w:val="right"/>
      <w:pPr>
        <w:ind w:left="6574" w:hanging="180"/>
      </w:pPr>
    </w:lvl>
  </w:abstractNum>
  <w:abstractNum w:abstractNumId="8">
    <w:nsid w:val="14E12F62"/>
    <w:multiLevelType w:val="hybridMultilevel"/>
    <w:tmpl w:val="21D0939E"/>
    <w:lvl w:ilvl="0" w:tplc="FEFA6F2A">
      <w:start w:val="1"/>
      <w:numFmt w:val="decimal"/>
      <w:lvlText w:val="%1-"/>
      <w:lvlJc w:val="left"/>
      <w:pPr>
        <w:ind w:left="1174"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D213F01"/>
    <w:multiLevelType w:val="hybridMultilevel"/>
    <w:tmpl w:val="8376B742"/>
    <w:lvl w:ilvl="0" w:tplc="27543618">
      <w:start w:val="1"/>
      <w:numFmt w:val="bullet"/>
      <w:lvlText w:val=""/>
      <w:lvlJc w:val="left"/>
      <w:pPr>
        <w:ind w:left="360" w:hanging="360"/>
      </w:pPr>
      <w:rPr>
        <w:rFonts w:ascii="Symbol" w:hAnsi="Symbol" w:hint="default"/>
        <w:color w:val="auto"/>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nsid w:val="1E9D2FCA"/>
    <w:multiLevelType w:val="hybridMultilevel"/>
    <w:tmpl w:val="E0DE57F0"/>
    <w:lvl w:ilvl="0" w:tplc="FB741CA4">
      <w:start w:val="1"/>
      <w:numFmt w:val="decimal"/>
      <w:lvlText w:val="%1-"/>
      <w:lvlJc w:val="left"/>
      <w:pPr>
        <w:ind w:left="720" w:hanging="720"/>
      </w:pPr>
      <w:rPr>
        <w:rFonts w:ascii="Times New Roman" w:hAnsi="Times New Roman" w:hint="default"/>
        <w:b w:val="0"/>
        <w:color w:val="000000"/>
        <w:sz w:val="36"/>
        <w:lang w:bidi="ar-SA"/>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nsid w:val="23095670"/>
    <w:multiLevelType w:val="hybridMultilevel"/>
    <w:tmpl w:val="2F1217A6"/>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nsid w:val="269548D3"/>
    <w:multiLevelType w:val="hybridMultilevel"/>
    <w:tmpl w:val="2C7AB856"/>
    <w:lvl w:ilvl="0" w:tplc="04090005">
      <w:start w:val="1"/>
      <w:numFmt w:val="bullet"/>
      <w:lvlText w:val=""/>
      <w:lvlJc w:val="left"/>
      <w:pPr>
        <w:ind w:left="1680" w:hanging="360"/>
      </w:pPr>
      <w:rPr>
        <w:rFonts w:ascii="Wingdings" w:hAnsi="Wingdings" w:hint="default"/>
      </w:rPr>
    </w:lvl>
    <w:lvl w:ilvl="1" w:tplc="04090003" w:tentative="1">
      <w:start w:val="1"/>
      <w:numFmt w:val="bullet"/>
      <w:lvlText w:val="o"/>
      <w:lvlJc w:val="left"/>
      <w:pPr>
        <w:ind w:left="2400" w:hanging="360"/>
      </w:pPr>
      <w:rPr>
        <w:rFonts w:ascii="Courier New" w:hAnsi="Courier New" w:cs="Courier New" w:hint="default"/>
      </w:rPr>
    </w:lvl>
    <w:lvl w:ilvl="2" w:tplc="04090005" w:tentative="1">
      <w:start w:val="1"/>
      <w:numFmt w:val="bullet"/>
      <w:lvlText w:val=""/>
      <w:lvlJc w:val="left"/>
      <w:pPr>
        <w:ind w:left="3120" w:hanging="360"/>
      </w:pPr>
      <w:rPr>
        <w:rFonts w:ascii="Wingdings" w:hAnsi="Wingdings" w:hint="default"/>
      </w:rPr>
    </w:lvl>
    <w:lvl w:ilvl="3" w:tplc="04090001" w:tentative="1">
      <w:start w:val="1"/>
      <w:numFmt w:val="bullet"/>
      <w:lvlText w:val=""/>
      <w:lvlJc w:val="left"/>
      <w:pPr>
        <w:ind w:left="3840" w:hanging="360"/>
      </w:pPr>
      <w:rPr>
        <w:rFonts w:ascii="Symbol" w:hAnsi="Symbol" w:hint="default"/>
      </w:rPr>
    </w:lvl>
    <w:lvl w:ilvl="4" w:tplc="04090003" w:tentative="1">
      <w:start w:val="1"/>
      <w:numFmt w:val="bullet"/>
      <w:lvlText w:val="o"/>
      <w:lvlJc w:val="left"/>
      <w:pPr>
        <w:ind w:left="4560" w:hanging="360"/>
      </w:pPr>
      <w:rPr>
        <w:rFonts w:ascii="Courier New" w:hAnsi="Courier New" w:cs="Courier New" w:hint="default"/>
      </w:rPr>
    </w:lvl>
    <w:lvl w:ilvl="5" w:tplc="04090005" w:tentative="1">
      <w:start w:val="1"/>
      <w:numFmt w:val="bullet"/>
      <w:lvlText w:val=""/>
      <w:lvlJc w:val="left"/>
      <w:pPr>
        <w:ind w:left="5280" w:hanging="360"/>
      </w:pPr>
      <w:rPr>
        <w:rFonts w:ascii="Wingdings" w:hAnsi="Wingdings" w:hint="default"/>
      </w:rPr>
    </w:lvl>
    <w:lvl w:ilvl="6" w:tplc="04090001" w:tentative="1">
      <w:start w:val="1"/>
      <w:numFmt w:val="bullet"/>
      <w:lvlText w:val=""/>
      <w:lvlJc w:val="left"/>
      <w:pPr>
        <w:ind w:left="6000" w:hanging="360"/>
      </w:pPr>
      <w:rPr>
        <w:rFonts w:ascii="Symbol" w:hAnsi="Symbol" w:hint="default"/>
      </w:rPr>
    </w:lvl>
    <w:lvl w:ilvl="7" w:tplc="04090003" w:tentative="1">
      <w:start w:val="1"/>
      <w:numFmt w:val="bullet"/>
      <w:lvlText w:val="o"/>
      <w:lvlJc w:val="left"/>
      <w:pPr>
        <w:ind w:left="6720" w:hanging="360"/>
      </w:pPr>
      <w:rPr>
        <w:rFonts w:ascii="Courier New" w:hAnsi="Courier New" w:cs="Courier New" w:hint="default"/>
      </w:rPr>
    </w:lvl>
    <w:lvl w:ilvl="8" w:tplc="04090005" w:tentative="1">
      <w:start w:val="1"/>
      <w:numFmt w:val="bullet"/>
      <w:lvlText w:val=""/>
      <w:lvlJc w:val="left"/>
      <w:pPr>
        <w:ind w:left="7440" w:hanging="360"/>
      </w:pPr>
      <w:rPr>
        <w:rFonts w:ascii="Wingdings" w:hAnsi="Wingdings" w:hint="default"/>
      </w:rPr>
    </w:lvl>
  </w:abstractNum>
  <w:abstractNum w:abstractNumId="13">
    <w:nsid w:val="2C5B64EE"/>
    <w:multiLevelType w:val="hybridMultilevel"/>
    <w:tmpl w:val="0352C152"/>
    <w:lvl w:ilvl="0" w:tplc="FEFA6F2A">
      <w:start w:val="1"/>
      <w:numFmt w:val="decimal"/>
      <w:lvlText w:val="%1-"/>
      <w:lvlJc w:val="left"/>
      <w:pPr>
        <w:ind w:left="1174" w:hanging="720"/>
      </w:pPr>
      <w:rPr>
        <w:rFonts w:hint="default"/>
      </w:rPr>
    </w:lvl>
    <w:lvl w:ilvl="1" w:tplc="04090019" w:tentative="1">
      <w:start w:val="1"/>
      <w:numFmt w:val="lowerLetter"/>
      <w:lvlText w:val="%2."/>
      <w:lvlJc w:val="left"/>
      <w:pPr>
        <w:ind w:left="1534" w:hanging="360"/>
      </w:pPr>
    </w:lvl>
    <w:lvl w:ilvl="2" w:tplc="0409001B" w:tentative="1">
      <w:start w:val="1"/>
      <w:numFmt w:val="lowerRoman"/>
      <w:lvlText w:val="%3."/>
      <w:lvlJc w:val="right"/>
      <w:pPr>
        <w:ind w:left="2254" w:hanging="180"/>
      </w:pPr>
    </w:lvl>
    <w:lvl w:ilvl="3" w:tplc="0409000F" w:tentative="1">
      <w:start w:val="1"/>
      <w:numFmt w:val="decimal"/>
      <w:lvlText w:val="%4."/>
      <w:lvlJc w:val="left"/>
      <w:pPr>
        <w:ind w:left="2974" w:hanging="360"/>
      </w:pPr>
    </w:lvl>
    <w:lvl w:ilvl="4" w:tplc="04090019" w:tentative="1">
      <w:start w:val="1"/>
      <w:numFmt w:val="lowerLetter"/>
      <w:lvlText w:val="%5."/>
      <w:lvlJc w:val="left"/>
      <w:pPr>
        <w:ind w:left="3694" w:hanging="360"/>
      </w:pPr>
    </w:lvl>
    <w:lvl w:ilvl="5" w:tplc="0409001B" w:tentative="1">
      <w:start w:val="1"/>
      <w:numFmt w:val="lowerRoman"/>
      <w:lvlText w:val="%6."/>
      <w:lvlJc w:val="right"/>
      <w:pPr>
        <w:ind w:left="4414" w:hanging="180"/>
      </w:pPr>
    </w:lvl>
    <w:lvl w:ilvl="6" w:tplc="0409000F" w:tentative="1">
      <w:start w:val="1"/>
      <w:numFmt w:val="decimal"/>
      <w:lvlText w:val="%7."/>
      <w:lvlJc w:val="left"/>
      <w:pPr>
        <w:ind w:left="5134" w:hanging="360"/>
      </w:pPr>
    </w:lvl>
    <w:lvl w:ilvl="7" w:tplc="04090019" w:tentative="1">
      <w:start w:val="1"/>
      <w:numFmt w:val="lowerLetter"/>
      <w:lvlText w:val="%8."/>
      <w:lvlJc w:val="left"/>
      <w:pPr>
        <w:ind w:left="5854" w:hanging="360"/>
      </w:pPr>
    </w:lvl>
    <w:lvl w:ilvl="8" w:tplc="0409001B" w:tentative="1">
      <w:start w:val="1"/>
      <w:numFmt w:val="lowerRoman"/>
      <w:lvlText w:val="%9."/>
      <w:lvlJc w:val="right"/>
      <w:pPr>
        <w:ind w:left="6574" w:hanging="180"/>
      </w:pPr>
    </w:lvl>
  </w:abstractNum>
  <w:abstractNum w:abstractNumId="14">
    <w:nsid w:val="2D363450"/>
    <w:multiLevelType w:val="hybridMultilevel"/>
    <w:tmpl w:val="B5B0A2D6"/>
    <w:lvl w:ilvl="0" w:tplc="04090009">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nsid w:val="2FB0263D"/>
    <w:multiLevelType w:val="hybridMultilevel"/>
    <w:tmpl w:val="D7FA2050"/>
    <w:lvl w:ilvl="0" w:tplc="EA50AD74">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6">
    <w:nsid w:val="34002B3F"/>
    <w:multiLevelType w:val="hybridMultilevel"/>
    <w:tmpl w:val="F986114E"/>
    <w:lvl w:ilvl="0" w:tplc="14C65002">
      <w:start w:val="1"/>
      <w:numFmt w:val="decimal"/>
      <w:lvlText w:val="%1)"/>
      <w:lvlJc w:val="left"/>
      <w:pPr>
        <w:ind w:left="360" w:hanging="360"/>
      </w:pPr>
      <w:rPr>
        <w:rFonts w:ascii="Traditional Arabic" w:hAnsi="Traditional Arabic" w:cs="Traditional Arabic" w:hint="default"/>
        <w:b w:val="0"/>
        <w:bCs w:val="0"/>
        <w:sz w:val="36"/>
        <w:szCs w:val="3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369E0392"/>
    <w:multiLevelType w:val="hybridMultilevel"/>
    <w:tmpl w:val="54CCA24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808" w:hanging="360"/>
      </w:pPr>
      <w:rPr>
        <w:rFonts w:ascii="Courier New" w:hAnsi="Courier New" w:cs="Courier New" w:hint="default"/>
      </w:rPr>
    </w:lvl>
    <w:lvl w:ilvl="2" w:tplc="04090005" w:tentative="1">
      <w:start w:val="1"/>
      <w:numFmt w:val="bullet"/>
      <w:lvlText w:val=""/>
      <w:lvlJc w:val="left"/>
      <w:pPr>
        <w:ind w:left="2528" w:hanging="360"/>
      </w:pPr>
      <w:rPr>
        <w:rFonts w:ascii="Wingdings" w:hAnsi="Wingdings" w:hint="default"/>
      </w:rPr>
    </w:lvl>
    <w:lvl w:ilvl="3" w:tplc="04090001" w:tentative="1">
      <w:start w:val="1"/>
      <w:numFmt w:val="bullet"/>
      <w:lvlText w:val=""/>
      <w:lvlJc w:val="left"/>
      <w:pPr>
        <w:ind w:left="3248" w:hanging="360"/>
      </w:pPr>
      <w:rPr>
        <w:rFonts w:ascii="Symbol" w:hAnsi="Symbol" w:hint="default"/>
      </w:rPr>
    </w:lvl>
    <w:lvl w:ilvl="4" w:tplc="04090003" w:tentative="1">
      <w:start w:val="1"/>
      <w:numFmt w:val="bullet"/>
      <w:lvlText w:val="o"/>
      <w:lvlJc w:val="left"/>
      <w:pPr>
        <w:ind w:left="3968" w:hanging="360"/>
      </w:pPr>
      <w:rPr>
        <w:rFonts w:ascii="Courier New" w:hAnsi="Courier New" w:cs="Courier New" w:hint="default"/>
      </w:rPr>
    </w:lvl>
    <w:lvl w:ilvl="5" w:tplc="04090005" w:tentative="1">
      <w:start w:val="1"/>
      <w:numFmt w:val="bullet"/>
      <w:lvlText w:val=""/>
      <w:lvlJc w:val="left"/>
      <w:pPr>
        <w:ind w:left="4688" w:hanging="360"/>
      </w:pPr>
      <w:rPr>
        <w:rFonts w:ascii="Wingdings" w:hAnsi="Wingdings" w:hint="default"/>
      </w:rPr>
    </w:lvl>
    <w:lvl w:ilvl="6" w:tplc="04090001" w:tentative="1">
      <w:start w:val="1"/>
      <w:numFmt w:val="bullet"/>
      <w:lvlText w:val=""/>
      <w:lvlJc w:val="left"/>
      <w:pPr>
        <w:ind w:left="5408" w:hanging="360"/>
      </w:pPr>
      <w:rPr>
        <w:rFonts w:ascii="Symbol" w:hAnsi="Symbol" w:hint="default"/>
      </w:rPr>
    </w:lvl>
    <w:lvl w:ilvl="7" w:tplc="04090003" w:tentative="1">
      <w:start w:val="1"/>
      <w:numFmt w:val="bullet"/>
      <w:lvlText w:val="o"/>
      <w:lvlJc w:val="left"/>
      <w:pPr>
        <w:ind w:left="6128" w:hanging="360"/>
      </w:pPr>
      <w:rPr>
        <w:rFonts w:ascii="Courier New" w:hAnsi="Courier New" w:cs="Courier New" w:hint="default"/>
      </w:rPr>
    </w:lvl>
    <w:lvl w:ilvl="8" w:tplc="04090005" w:tentative="1">
      <w:start w:val="1"/>
      <w:numFmt w:val="bullet"/>
      <w:lvlText w:val=""/>
      <w:lvlJc w:val="left"/>
      <w:pPr>
        <w:ind w:left="6848" w:hanging="360"/>
      </w:pPr>
      <w:rPr>
        <w:rFonts w:ascii="Wingdings" w:hAnsi="Wingdings" w:hint="default"/>
      </w:rPr>
    </w:lvl>
  </w:abstractNum>
  <w:abstractNum w:abstractNumId="18">
    <w:nsid w:val="3A267B24"/>
    <w:multiLevelType w:val="hybridMultilevel"/>
    <w:tmpl w:val="7B7A6020"/>
    <w:lvl w:ilvl="0" w:tplc="00C2733E">
      <w:start w:val="1"/>
      <w:numFmt w:val="decimal"/>
      <w:lvlText w:val="%1-"/>
      <w:lvlJc w:val="left"/>
      <w:pPr>
        <w:ind w:left="1080" w:hanging="720"/>
      </w:pPr>
      <w:rPr>
        <w:rFonts w:eastAsia="Calibr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3B002D35"/>
    <w:multiLevelType w:val="hybridMultilevel"/>
    <w:tmpl w:val="8036F5D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nsid w:val="457B2F96"/>
    <w:multiLevelType w:val="hybridMultilevel"/>
    <w:tmpl w:val="C93CA78E"/>
    <w:lvl w:ilvl="0" w:tplc="04090005">
      <w:start w:val="1"/>
      <w:numFmt w:val="bullet"/>
      <w:lvlText w:val=""/>
      <w:lvlJc w:val="left"/>
      <w:pPr>
        <w:ind w:left="1800" w:hanging="360"/>
      </w:pPr>
      <w:rPr>
        <w:rFonts w:ascii="Wingdings" w:hAnsi="Wingdings"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1">
    <w:nsid w:val="4CE4062A"/>
    <w:multiLevelType w:val="hybridMultilevel"/>
    <w:tmpl w:val="395856E6"/>
    <w:lvl w:ilvl="0" w:tplc="0409000F">
      <w:start w:val="1"/>
      <w:numFmt w:val="decimal"/>
      <w:lvlText w:val="%1."/>
      <w:lvlJc w:val="left"/>
      <w:pPr>
        <w:ind w:left="1080" w:hanging="360"/>
      </w:pPr>
      <w:rPr>
        <w:rFonts w:hint="default"/>
      </w:rPr>
    </w:lvl>
    <w:lvl w:ilvl="1" w:tplc="3572E52C">
      <w:start w:val="1"/>
      <w:numFmt w:val="decimal"/>
      <w:lvlText w:val="%2-"/>
      <w:lvlJc w:val="left"/>
      <w:pPr>
        <w:ind w:left="862" w:hanging="720"/>
      </w:pPr>
      <w:rPr>
        <w:rFonts w:hint="default"/>
      </w:r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nsid w:val="4CE8244B"/>
    <w:multiLevelType w:val="hybridMultilevel"/>
    <w:tmpl w:val="143EF55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3">
    <w:nsid w:val="51CC4722"/>
    <w:multiLevelType w:val="hybridMultilevel"/>
    <w:tmpl w:val="8832681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nsid w:val="5640287D"/>
    <w:multiLevelType w:val="hybridMultilevel"/>
    <w:tmpl w:val="33DA8D1E"/>
    <w:lvl w:ilvl="0" w:tplc="39EC757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56652A39"/>
    <w:multiLevelType w:val="hybridMultilevel"/>
    <w:tmpl w:val="7690E7EE"/>
    <w:lvl w:ilvl="0" w:tplc="D8F4A32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57B92522"/>
    <w:multiLevelType w:val="hybridMultilevel"/>
    <w:tmpl w:val="88FE0D9E"/>
    <w:lvl w:ilvl="0" w:tplc="04090005">
      <w:start w:val="1"/>
      <w:numFmt w:val="bullet"/>
      <w:lvlText w:val=""/>
      <w:lvlJc w:val="left"/>
      <w:pPr>
        <w:ind w:left="1174" w:hanging="360"/>
      </w:pPr>
      <w:rPr>
        <w:rFonts w:ascii="Wingdings" w:hAnsi="Wingdings" w:hint="default"/>
      </w:rPr>
    </w:lvl>
    <w:lvl w:ilvl="1" w:tplc="04090003" w:tentative="1">
      <w:start w:val="1"/>
      <w:numFmt w:val="bullet"/>
      <w:lvlText w:val="o"/>
      <w:lvlJc w:val="left"/>
      <w:pPr>
        <w:ind w:left="1894" w:hanging="360"/>
      </w:pPr>
      <w:rPr>
        <w:rFonts w:ascii="Courier New" w:hAnsi="Courier New" w:cs="Courier New" w:hint="default"/>
      </w:rPr>
    </w:lvl>
    <w:lvl w:ilvl="2" w:tplc="04090005" w:tentative="1">
      <w:start w:val="1"/>
      <w:numFmt w:val="bullet"/>
      <w:lvlText w:val=""/>
      <w:lvlJc w:val="left"/>
      <w:pPr>
        <w:ind w:left="2614" w:hanging="360"/>
      </w:pPr>
      <w:rPr>
        <w:rFonts w:ascii="Wingdings" w:hAnsi="Wingdings" w:hint="default"/>
      </w:rPr>
    </w:lvl>
    <w:lvl w:ilvl="3" w:tplc="04090001" w:tentative="1">
      <w:start w:val="1"/>
      <w:numFmt w:val="bullet"/>
      <w:lvlText w:val=""/>
      <w:lvlJc w:val="left"/>
      <w:pPr>
        <w:ind w:left="3334" w:hanging="360"/>
      </w:pPr>
      <w:rPr>
        <w:rFonts w:ascii="Symbol" w:hAnsi="Symbol" w:hint="default"/>
      </w:rPr>
    </w:lvl>
    <w:lvl w:ilvl="4" w:tplc="04090003" w:tentative="1">
      <w:start w:val="1"/>
      <w:numFmt w:val="bullet"/>
      <w:lvlText w:val="o"/>
      <w:lvlJc w:val="left"/>
      <w:pPr>
        <w:ind w:left="4054" w:hanging="360"/>
      </w:pPr>
      <w:rPr>
        <w:rFonts w:ascii="Courier New" w:hAnsi="Courier New" w:cs="Courier New" w:hint="default"/>
      </w:rPr>
    </w:lvl>
    <w:lvl w:ilvl="5" w:tplc="04090005" w:tentative="1">
      <w:start w:val="1"/>
      <w:numFmt w:val="bullet"/>
      <w:lvlText w:val=""/>
      <w:lvlJc w:val="left"/>
      <w:pPr>
        <w:ind w:left="4774" w:hanging="360"/>
      </w:pPr>
      <w:rPr>
        <w:rFonts w:ascii="Wingdings" w:hAnsi="Wingdings" w:hint="default"/>
      </w:rPr>
    </w:lvl>
    <w:lvl w:ilvl="6" w:tplc="04090001" w:tentative="1">
      <w:start w:val="1"/>
      <w:numFmt w:val="bullet"/>
      <w:lvlText w:val=""/>
      <w:lvlJc w:val="left"/>
      <w:pPr>
        <w:ind w:left="5494" w:hanging="360"/>
      </w:pPr>
      <w:rPr>
        <w:rFonts w:ascii="Symbol" w:hAnsi="Symbol" w:hint="default"/>
      </w:rPr>
    </w:lvl>
    <w:lvl w:ilvl="7" w:tplc="04090003" w:tentative="1">
      <w:start w:val="1"/>
      <w:numFmt w:val="bullet"/>
      <w:lvlText w:val="o"/>
      <w:lvlJc w:val="left"/>
      <w:pPr>
        <w:ind w:left="6214" w:hanging="360"/>
      </w:pPr>
      <w:rPr>
        <w:rFonts w:ascii="Courier New" w:hAnsi="Courier New" w:cs="Courier New" w:hint="default"/>
      </w:rPr>
    </w:lvl>
    <w:lvl w:ilvl="8" w:tplc="04090005" w:tentative="1">
      <w:start w:val="1"/>
      <w:numFmt w:val="bullet"/>
      <w:lvlText w:val=""/>
      <w:lvlJc w:val="left"/>
      <w:pPr>
        <w:ind w:left="6934" w:hanging="360"/>
      </w:pPr>
      <w:rPr>
        <w:rFonts w:ascii="Wingdings" w:hAnsi="Wingdings" w:hint="default"/>
      </w:rPr>
    </w:lvl>
  </w:abstractNum>
  <w:abstractNum w:abstractNumId="27">
    <w:nsid w:val="58574CA9"/>
    <w:multiLevelType w:val="hybridMultilevel"/>
    <w:tmpl w:val="66DEE880"/>
    <w:lvl w:ilvl="0" w:tplc="17546DAE">
      <w:start w:val="1"/>
      <w:numFmt w:val="decimal"/>
      <w:lvlRestart w:val="0"/>
      <w:lvlText w:val="%1)"/>
      <w:lvlJc w:val="left"/>
      <w:pPr>
        <w:tabs>
          <w:tab w:val="num" w:pos="2064"/>
        </w:tabs>
        <w:ind w:left="2064" w:hanging="362"/>
      </w:pPr>
      <w:rPr>
        <w:rFonts w:cs="Traditional Arabic" w:hint="default"/>
      </w:rPr>
    </w:lvl>
    <w:lvl w:ilvl="1" w:tplc="04090019" w:tentative="1">
      <w:start w:val="1"/>
      <w:numFmt w:val="lowerLetter"/>
      <w:lvlText w:val="%2."/>
      <w:lvlJc w:val="left"/>
      <w:pPr>
        <w:tabs>
          <w:tab w:val="num" w:pos="1894"/>
        </w:tabs>
        <w:ind w:left="1894" w:hanging="360"/>
      </w:pPr>
    </w:lvl>
    <w:lvl w:ilvl="2" w:tplc="0409001B" w:tentative="1">
      <w:start w:val="1"/>
      <w:numFmt w:val="lowerRoman"/>
      <w:lvlText w:val="%3."/>
      <w:lvlJc w:val="right"/>
      <w:pPr>
        <w:tabs>
          <w:tab w:val="num" w:pos="2614"/>
        </w:tabs>
        <w:ind w:left="2614" w:hanging="180"/>
      </w:pPr>
    </w:lvl>
    <w:lvl w:ilvl="3" w:tplc="0409000F" w:tentative="1">
      <w:start w:val="1"/>
      <w:numFmt w:val="decimal"/>
      <w:lvlText w:val="%4."/>
      <w:lvlJc w:val="left"/>
      <w:pPr>
        <w:tabs>
          <w:tab w:val="num" w:pos="3334"/>
        </w:tabs>
        <w:ind w:left="3334" w:hanging="360"/>
      </w:pPr>
    </w:lvl>
    <w:lvl w:ilvl="4" w:tplc="04090019" w:tentative="1">
      <w:start w:val="1"/>
      <w:numFmt w:val="lowerLetter"/>
      <w:lvlText w:val="%5."/>
      <w:lvlJc w:val="left"/>
      <w:pPr>
        <w:tabs>
          <w:tab w:val="num" w:pos="4054"/>
        </w:tabs>
        <w:ind w:left="4054" w:hanging="360"/>
      </w:pPr>
    </w:lvl>
    <w:lvl w:ilvl="5" w:tplc="0409001B" w:tentative="1">
      <w:start w:val="1"/>
      <w:numFmt w:val="lowerRoman"/>
      <w:lvlText w:val="%6."/>
      <w:lvlJc w:val="right"/>
      <w:pPr>
        <w:tabs>
          <w:tab w:val="num" w:pos="4774"/>
        </w:tabs>
        <w:ind w:left="4774" w:hanging="180"/>
      </w:pPr>
    </w:lvl>
    <w:lvl w:ilvl="6" w:tplc="0409000F" w:tentative="1">
      <w:start w:val="1"/>
      <w:numFmt w:val="decimal"/>
      <w:lvlText w:val="%7."/>
      <w:lvlJc w:val="left"/>
      <w:pPr>
        <w:tabs>
          <w:tab w:val="num" w:pos="5494"/>
        </w:tabs>
        <w:ind w:left="5494" w:hanging="360"/>
      </w:pPr>
    </w:lvl>
    <w:lvl w:ilvl="7" w:tplc="04090019" w:tentative="1">
      <w:start w:val="1"/>
      <w:numFmt w:val="lowerLetter"/>
      <w:lvlText w:val="%8."/>
      <w:lvlJc w:val="left"/>
      <w:pPr>
        <w:tabs>
          <w:tab w:val="num" w:pos="6214"/>
        </w:tabs>
        <w:ind w:left="6214" w:hanging="360"/>
      </w:pPr>
    </w:lvl>
    <w:lvl w:ilvl="8" w:tplc="0409001B" w:tentative="1">
      <w:start w:val="1"/>
      <w:numFmt w:val="lowerRoman"/>
      <w:lvlText w:val="%9."/>
      <w:lvlJc w:val="right"/>
      <w:pPr>
        <w:tabs>
          <w:tab w:val="num" w:pos="6934"/>
        </w:tabs>
        <w:ind w:left="6934" w:hanging="180"/>
      </w:pPr>
    </w:lvl>
  </w:abstractNum>
  <w:abstractNum w:abstractNumId="28">
    <w:nsid w:val="593041FF"/>
    <w:multiLevelType w:val="hybridMultilevel"/>
    <w:tmpl w:val="2F60CB70"/>
    <w:lvl w:ilvl="0" w:tplc="04090001">
      <w:start w:val="1"/>
      <w:numFmt w:val="bullet"/>
      <w:lvlText w:val=""/>
      <w:lvlJc w:val="left"/>
      <w:pPr>
        <w:ind w:left="1534" w:hanging="360"/>
      </w:pPr>
      <w:rPr>
        <w:rFonts w:ascii="Symbol" w:hAnsi="Symbol" w:hint="default"/>
      </w:rPr>
    </w:lvl>
    <w:lvl w:ilvl="1" w:tplc="04090019" w:tentative="1">
      <w:start w:val="1"/>
      <w:numFmt w:val="lowerLetter"/>
      <w:lvlText w:val="%2."/>
      <w:lvlJc w:val="left"/>
      <w:pPr>
        <w:ind w:left="1894" w:hanging="360"/>
      </w:pPr>
    </w:lvl>
    <w:lvl w:ilvl="2" w:tplc="0409001B" w:tentative="1">
      <w:start w:val="1"/>
      <w:numFmt w:val="lowerRoman"/>
      <w:lvlText w:val="%3."/>
      <w:lvlJc w:val="right"/>
      <w:pPr>
        <w:ind w:left="2614" w:hanging="180"/>
      </w:pPr>
    </w:lvl>
    <w:lvl w:ilvl="3" w:tplc="0409000F" w:tentative="1">
      <w:start w:val="1"/>
      <w:numFmt w:val="decimal"/>
      <w:lvlText w:val="%4."/>
      <w:lvlJc w:val="left"/>
      <w:pPr>
        <w:ind w:left="3334" w:hanging="360"/>
      </w:pPr>
    </w:lvl>
    <w:lvl w:ilvl="4" w:tplc="04090019" w:tentative="1">
      <w:start w:val="1"/>
      <w:numFmt w:val="lowerLetter"/>
      <w:lvlText w:val="%5."/>
      <w:lvlJc w:val="left"/>
      <w:pPr>
        <w:ind w:left="4054" w:hanging="360"/>
      </w:pPr>
    </w:lvl>
    <w:lvl w:ilvl="5" w:tplc="0409001B" w:tentative="1">
      <w:start w:val="1"/>
      <w:numFmt w:val="lowerRoman"/>
      <w:lvlText w:val="%6."/>
      <w:lvlJc w:val="right"/>
      <w:pPr>
        <w:ind w:left="4774" w:hanging="180"/>
      </w:pPr>
    </w:lvl>
    <w:lvl w:ilvl="6" w:tplc="0409000F" w:tentative="1">
      <w:start w:val="1"/>
      <w:numFmt w:val="decimal"/>
      <w:lvlText w:val="%7."/>
      <w:lvlJc w:val="left"/>
      <w:pPr>
        <w:ind w:left="5494" w:hanging="360"/>
      </w:pPr>
    </w:lvl>
    <w:lvl w:ilvl="7" w:tplc="04090019" w:tentative="1">
      <w:start w:val="1"/>
      <w:numFmt w:val="lowerLetter"/>
      <w:lvlText w:val="%8."/>
      <w:lvlJc w:val="left"/>
      <w:pPr>
        <w:ind w:left="6214" w:hanging="360"/>
      </w:pPr>
    </w:lvl>
    <w:lvl w:ilvl="8" w:tplc="0409001B" w:tentative="1">
      <w:start w:val="1"/>
      <w:numFmt w:val="lowerRoman"/>
      <w:lvlText w:val="%9."/>
      <w:lvlJc w:val="right"/>
      <w:pPr>
        <w:ind w:left="6934" w:hanging="180"/>
      </w:pPr>
    </w:lvl>
  </w:abstractNum>
  <w:abstractNum w:abstractNumId="29">
    <w:nsid w:val="5AD617A8"/>
    <w:multiLevelType w:val="hybridMultilevel"/>
    <w:tmpl w:val="222AE778"/>
    <w:lvl w:ilvl="0" w:tplc="A9F2237E">
      <w:start w:val="1"/>
      <w:numFmt w:val="decimal"/>
      <w:lvlText w:val="%1)"/>
      <w:lvlJc w:val="left"/>
      <w:pPr>
        <w:ind w:left="360" w:hanging="360"/>
      </w:pPr>
      <w:rPr>
        <w:rFonts w:hint="default"/>
        <w:color w:val="000000"/>
        <w:lang w:bidi="ar-SA"/>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0">
    <w:nsid w:val="5C102B2E"/>
    <w:multiLevelType w:val="hybridMultilevel"/>
    <w:tmpl w:val="1D42E434"/>
    <w:lvl w:ilvl="0" w:tplc="04090001">
      <w:start w:val="1"/>
      <w:numFmt w:val="bullet"/>
      <w:lvlText w:val=""/>
      <w:lvlJc w:val="left"/>
      <w:pPr>
        <w:ind w:left="502"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1">
    <w:nsid w:val="62047027"/>
    <w:multiLevelType w:val="hybridMultilevel"/>
    <w:tmpl w:val="E5C438B4"/>
    <w:lvl w:ilvl="0" w:tplc="04090009">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nsid w:val="63405673"/>
    <w:multiLevelType w:val="hybridMultilevel"/>
    <w:tmpl w:val="CCE89B80"/>
    <w:lvl w:ilvl="0" w:tplc="8A009196">
      <w:start w:val="1"/>
      <w:numFmt w:val="decimal"/>
      <w:lvlText w:val="%1-"/>
      <w:lvlJc w:val="left"/>
      <w:pPr>
        <w:ind w:left="72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68F9765E"/>
    <w:multiLevelType w:val="hybridMultilevel"/>
    <w:tmpl w:val="F796E684"/>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4">
    <w:nsid w:val="6B4A3AC4"/>
    <w:multiLevelType w:val="hybridMultilevel"/>
    <w:tmpl w:val="CAD280B4"/>
    <w:lvl w:ilvl="0" w:tplc="F3C69F68">
      <w:start w:val="1"/>
      <w:numFmt w:val="bullet"/>
      <w:lvlText w:val=""/>
      <w:lvlJc w:val="left"/>
      <w:pPr>
        <w:ind w:left="1680" w:hanging="360"/>
      </w:pPr>
      <w:rPr>
        <w:rFonts w:ascii="Wingdings" w:hAnsi="Wingdings" w:hint="default"/>
        <w:color w:val="auto"/>
      </w:rPr>
    </w:lvl>
    <w:lvl w:ilvl="1" w:tplc="04090003" w:tentative="1">
      <w:start w:val="1"/>
      <w:numFmt w:val="bullet"/>
      <w:lvlText w:val="o"/>
      <w:lvlJc w:val="left"/>
      <w:pPr>
        <w:ind w:left="2400" w:hanging="360"/>
      </w:pPr>
      <w:rPr>
        <w:rFonts w:ascii="Courier New" w:hAnsi="Courier New" w:cs="Courier New" w:hint="default"/>
      </w:rPr>
    </w:lvl>
    <w:lvl w:ilvl="2" w:tplc="04090005" w:tentative="1">
      <w:start w:val="1"/>
      <w:numFmt w:val="bullet"/>
      <w:lvlText w:val=""/>
      <w:lvlJc w:val="left"/>
      <w:pPr>
        <w:ind w:left="3120" w:hanging="360"/>
      </w:pPr>
      <w:rPr>
        <w:rFonts w:ascii="Wingdings" w:hAnsi="Wingdings" w:hint="default"/>
      </w:rPr>
    </w:lvl>
    <w:lvl w:ilvl="3" w:tplc="04090001" w:tentative="1">
      <w:start w:val="1"/>
      <w:numFmt w:val="bullet"/>
      <w:lvlText w:val=""/>
      <w:lvlJc w:val="left"/>
      <w:pPr>
        <w:ind w:left="3840" w:hanging="360"/>
      </w:pPr>
      <w:rPr>
        <w:rFonts w:ascii="Symbol" w:hAnsi="Symbol" w:hint="default"/>
      </w:rPr>
    </w:lvl>
    <w:lvl w:ilvl="4" w:tplc="04090003" w:tentative="1">
      <w:start w:val="1"/>
      <w:numFmt w:val="bullet"/>
      <w:lvlText w:val="o"/>
      <w:lvlJc w:val="left"/>
      <w:pPr>
        <w:ind w:left="4560" w:hanging="360"/>
      </w:pPr>
      <w:rPr>
        <w:rFonts w:ascii="Courier New" w:hAnsi="Courier New" w:cs="Courier New" w:hint="default"/>
      </w:rPr>
    </w:lvl>
    <w:lvl w:ilvl="5" w:tplc="04090005" w:tentative="1">
      <w:start w:val="1"/>
      <w:numFmt w:val="bullet"/>
      <w:lvlText w:val=""/>
      <w:lvlJc w:val="left"/>
      <w:pPr>
        <w:ind w:left="5280" w:hanging="360"/>
      </w:pPr>
      <w:rPr>
        <w:rFonts w:ascii="Wingdings" w:hAnsi="Wingdings" w:hint="default"/>
      </w:rPr>
    </w:lvl>
    <w:lvl w:ilvl="6" w:tplc="04090001" w:tentative="1">
      <w:start w:val="1"/>
      <w:numFmt w:val="bullet"/>
      <w:lvlText w:val=""/>
      <w:lvlJc w:val="left"/>
      <w:pPr>
        <w:ind w:left="6000" w:hanging="360"/>
      </w:pPr>
      <w:rPr>
        <w:rFonts w:ascii="Symbol" w:hAnsi="Symbol" w:hint="default"/>
      </w:rPr>
    </w:lvl>
    <w:lvl w:ilvl="7" w:tplc="04090003" w:tentative="1">
      <w:start w:val="1"/>
      <w:numFmt w:val="bullet"/>
      <w:lvlText w:val="o"/>
      <w:lvlJc w:val="left"/>
      <w:pPr>
        <w:ind w:left="6720" w:hanging="360"/>
      </w:pPr>
      <w:rPr>
        <w:rFonts w:ascii="Courier New" w:hAnsi="Courier New" w:cs="Courier New" w:hint="default"/>
      </w:rPr>
    </w:lvl>
    <w:lvl w:ilvl="8" w:tplc="04090005" w:tentative="1">
      <w:start w:val="1"/>
      <w:numFmt w:val="bullet"/>
      <w:lvlText w:val=""/>
      <w:lvlJc w:val="left"/>
      <w:pPr>
        <w:ind w:left="7440" w:hanging="360"/>
      </w:pPr>
      <w:rPr>
        <w:rFonts w:ascii="Wingdings" w:hAnsi="Wingdings" w:hint="default"/>
      </w:rPr>
    </w:lvl>
  </w:abstractNum>
  <w:abstractNum w:abstractNumId="35">
    <w:nsid w:val="6E1B6161"/>
    <w:multiLevelType w:val="hybridMultilevel"/>
    <w:tmpl w:val="32AE9292"/>
    <w:lvl w:ilvl="0" w:tplc="89505732">
      <w:start w:val="9"/>
      <w:numFmt w:val="bullet"/>
      <w:lvlText w:val="-"/>
      <w:lvlJc w:val="left"/>
      <w:pPr>
        <w:ind w:left="2160" w:hanging="360"/>
      </w:pPr>
      <w:rPr>
        <w:rFonts w:ascii="Traditional Arabic" w:eastAsia="Times New Roman" w:hAnsi="Traditional Arabic" w:cs="Traditional Arabic"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6">
    <w:nsid w:val="6ECB3B63"/>
    <w:multiLevelType w:val="hybridMultilevel"/>
    <w:tmpl w:val="4A82E81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6ED4050C"/>
    <w:multiLevelType w:val="hybridMultilevel"/>
    <w:tmpl w:val="C0E234F6"/>
    <w:lvl w:ilvl="0" w:tplc="65448206">
      <w:start w:val="1"/>
      <w:numFmt w:val="decimal"/>
      <w:lvlText w:val="%1-"/>
      <w:lvlJc w:val="left"/>
      <w:pPr>
        <w:ind w:left="1440" w:hanging="72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8">
    <w:nsid w:val="70BD4434"/>
    <w:multiLevelType w:val="hybridMultilevel"/>
    <w:tmpl w:val="8A06A8DC"/>
    <w:lvl w:ilvl="0" w:tplc="5ECC305C">
      <w:start w:val="1"/>
      <w:numFmt w:val="decimal"/>
      <w:lvlText w:val="%1)"/>
      <w:lvlJc w:val="left"/>
      <w:pPr>
        <w:ind w:left="643" w:hanging="360"/>
      </w:pPr>
      <w:rPr>
        <w:rFonts w:hint="default"/>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39">
    <w:nsid w:val="74C74EEA"/>
    <w:multiLevelType w:val="hybridMultilevel"/>
    <w:tmpl w:val="B712B8FC"/>
    <w:lvl w:ilvl="0" w:tplc="B5502C38">
      <w:start w:val="1"/>
      <w:numFmt w:val="decimal"/>
      <w:lvlText w:val="%1-"/>
      <w:lvlJc w:val="left"/>
      <w:pPr>
        <w:ind w:left="360" w:hanging="360"/>
      </w:pPr>
      <w:rPr>
        <w:rFonts w:ascii="Times New Roman" w:hAnsi="Times New Roman" w:cs="Traditional Arabic" w:hint="default"/>
        <w:b w:val="0"/>
        <w:sz w:val="36"/>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0">
    <w:nsid w:val="7D272660"/>
    <w:multiLevelType w:val="hybridMultilevel"/>
    <w:tmpl w:val="D0E69892"/>
    <w:lvl w:ilvl="0" w:tplc="2648EEC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7D766A38"/>
    <w:multiLevelType w:val="hybridMultilevel"/>
    <w:tmpl w:val="7DBE85F0"/>
    <w:lvl w:ilvl="0" w:tplc="04090001">
      <w:start w:val="1"/>
      <w:numFmt w:val="bullet"/>
      <w:lvlText w:val=""/>
      <w:lvlJc w:val="left"/>
      <w:pPr>
        <w:ind w:left="1144" w:hanging="360"/>
      </w:pPr>
      <w:rPr>
        <w:rFonts w:ascii="Symbol" w:hAnsi="Symbol" w:hint="default"/>
      </w:rPr>
    </w:lvl>
    <w:lvl w:ilvl="1" w:tplc="04090003" w:tentative="1">
      <w:start w:val="1"/>
      <w:numFmt w:val="bullet"/>
      <w:lvlText w:val="o"/>
      <w:lvlJc w:val="left"/>
      <w:pPr>
        <w:ind w:left="1864" w:hanging="360"/>
      </w:pPr>
      <w:rPr>
        <w:rFonts w:ascii="Courier New" w:hAnsi="Courier New" w:cs="Courier New" w:hint="default"/>
      </w:rPr>
    </w:lvl>
    <w:lvl w:ilvl="2" w:tplc="04090005" w:tentative="1">
      <w:start w:val="1"/>
      <w:numFmt w:val="bullet"/>
      <w:lvlText w:val=""/>
      <w:lvlJc w:val="left"/>
      <w:pPr>
        <w:ind w:left="2584" w:hanging="360"/>
      </w:pPr>
      <w:rPr>
        <w:rFonts w:ascii="Wingdings" w:hAnsi="Wingdings" w:hint="default"/>
      </w:rPr>
    </w:lvl>
    <w:lvl w:ilvl="3" w:tplc="04090001" w:tentative="1">
      <w:start w:val="1"/>
      <w:numFmt w:val="bullet"/>
      <w:lvlText w:val=""/>
      <w:lvlJc w:val="left"/>
      <w:pPr>
        <w:ind w:left="3304" w:hanging="360"/>
      </w:pPr>
      <w:rPr>
        <w:rFonts w:ascii="Symbol" w:hAnsi="Symbol" w:hint="default"/>
      </w:rPr>
    </w:lvl>
    <w:lvl w:ilvl="4" w:tplc="04090003" w:tentative="1">
      <w:start w:val="1"/>
      <w:numFmt w:val="bullet"/>
      <w:lvlText w:val="o"/>
      <w:lvlJc w:val="left"/>
      <w:pPr>
        <w:ind w:left="4024" w:hanging="360"/>
      </w:pPr>
      <w:rPr>
        <w:rFonts w:ascii="Courier New" w:hAnsi="Courier New" w:cs="Courier New" w:hint="default"/>
      </w:rPr>
    </w:lvl>
    <w:lvl w:ilvl="5" w:tplc="04090005" w:tentative="1">
      <w:start w:val="1"/>
      <w:numFmt w:val="bullet"/>
      <w:lvlText w:val=""/>
      <w:lvlJc w:val="left"/>
      <w:pPr>
        <w:ind w:left="4744" w:hanging="360"/>
      </w:pPr>
      <w:rPr>
        <w:rFonts w:ascii="Wingdings" w:hAnsi="Wingdings" w:hint="default"/>
      </w:rPr>
    </w:lvl>
    <w:lvl w:ilvl="6" w:tplc="04090001" w:tentative="1">
      <w:start w:val="1"/>
      <w:numFmt w:val="bullet"/>
      <w:lvlText w:val=""/>
      <w:lvlJc w:val="left"/>
      <w:pPr>
        <w:ind w:left="5464" w:hanging="360"/>
      </w:pPr>
      <w:rPr>
        <w:rFonts w:ascii="Symbol" w:hAnsi="Symbol" w:hint="default"/>
      </w:rPr>
    </w:lvl>
    <w:lvl w:ilvl="7" w:tplc="04090003" w:tentative="1">
      <w:start w:val="1"/>
      <w:numFmt w:val="bullet"/>
      <w:lvlText w:val="o"/>
      <w:lvlJc w:val="left"/>
      <w:pPr>
        <w:ind w:left="6184" w:hanging="360"/>
      </w:pPr>
      <w:rPr>
        <w:rFonts w:ascii="Courier New" w:hAnsi="Courier New" w:cs="Courier New" w:hint="default"/>
      </w:rPr>
    </w:lvl>
    <w:lvl w:ilvl="8" w:tplc="04090005" w:tentative="1">
      <w:start w:val="1"/>
      <w:numFmt w:val="bullet"/>
      <w:lvlText w:val=""/>
      <w:lvlJc w:val="left"/>
      <w:pPr>
        <w:ind w:left="6904" w:hanging="360"/>
      </w:pPr>
      <w:rPr>
        <w:rFonts w:ascii="Wingdings" w:hAnsi="Wingdings" w:hint="default"/>
      </w:rPr>
    </w:lvl>
  </w:abstractNum>
  <w:num w:numId="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3"/>
  </w:num>
  <w:num w:numId="3">
    <w:abstractNumId w:val="8"/>
  </w:num>
  <w:num w:numId="4">
    <w:abstractNumId w:val="26"/>
  </w:num>
  <w:num w:numId="5">
    <w:abstractNumId w:val="9"/>
  </w:num>
  <w:num w:numId="6">
    <w:abstractNumId w:val="21"/>
  </w:num>
  <w:num w:numId="7">
    <w:abstractNumId w:val="17"/>
  </w:num>
  <w:num w:numId="8">
    <w:abstractNumId w:val="37"/>
  </w:num>
  <w:num w:numId="9">
    <w:abstractNumId w:val="28"/>
  </w:num>
  <w:num w:numId="10">
    <w:abstractNumId w:val="14"/>
  </w:num>
  <w:num w:numId="11">
    <w:abstractNumId w:val="20"/>
  </w:num>
  <w:num w:numId="12">
    <w:abstractNumId w:val="3"/>
  </w:num>
  <w:num w:numId="13">
    <w:abstractNumId w:val="41"/>
  </w:num>
  <w:num w:numId="14">
    <w:abstractNumId w:val="23"/>
  </w:num>
  <w:num w:numId="15">
    <w:abstractNumId w:val="22"/>
  </w:num>
  <w:num w:numId="16">
    <w:abstractNumId w:val="11"/>
  </w:num>
  <w:num w:numId="17">
    <w:abstractNumId w:val="30"/>
  </w:num>
  <w:num w:numId="18">
    <w:abstractNumId w:val="35"/>
  </w:num>
  <w:num w:numId="19">
    <w:abstractNumId w:val="36"/>
  </w:num>
  <w:num w:numId="20">
    <w:abstractNumId w:val="0"/>
  </w:num>
  <w:num w:numId="21">
    <w:abstractNumId w:val="34"/>
  </w:num>
  <w:num w:numId="22">
    <w:abstractNumId w:val="12"/>
  </w:num>
  <w:num w:numId="23">
    <w:abstractNumId w:val="25"/>
  </w:num>
  <w:num w:numId="24">
    <w:abstractNumId w:val="38"/>
  </w:num>
  <w:num w:numId="25">
    <w:abstractNumId w:val="15"/>
  </w:num>
  <w:num w:numId="26">
    <w:abstractNumId w:val="16"/>
  </w:num>
  <w:num w:numId="27">
    <w:abstractNumId w:val="4"/>
  </w:num>
  <w:num w:numId="28">
    <w:abstractNumId w:val="5"/>
  </w:num>
  <w:num w:numId="29">
    <w:abstractNumId w:val="7"/>
  </w:num>
  <w:num w:numId="30">
    <w:abstractNumId w:val="39"/>
  </w:num>
  <w:num w:numId="31">
    <w:abstractNumId w:val="32"/>
  </w:num>
  <w:num w:numId="32">
    <w:abstractNumId w:val="19"/>
  </w:num>
  <w:num w:numId="33">
    <w:abstractNumId w:val="31"/>
  </w:num>
  <w:num w:numId="34">
    <w:abstractNumId w:val="1"/>
  </w:num>
  <w:num w:numId="35">
    <w:abstractNumId w:val="40"/>
  </w:num>
  <w:num w:numId="36">
    <w:abstractNumId w:val="18"/>
  </w:num>
  <w:num w:numId="37">
    <w:abstractNumId w:val="6"/>
  </w:num>
  <w:num w:numId="38">
    <w:abstractNumId w:val="27"/>
  </w:num>
  <w:num w:numId="39">
    <w:abstractNumId w:val="2"/>
  </w:num>
  <w:num w:numId="40">
    <w:abstractNumId w:val="24"/>
  </w:num>
  <w:num w:numId="41">
    <w:abstractNumId w:val="23"/>
  </w:num>
  <w:num w:numId="42">
    <w:abstractNumId w:val="10"/>
  </w:num>
  <w:num w:numId="43">
    <w:abstractNumId w:val="29"/>
  </w:num>
  <w:num w:numId="44">
    <w:abstractNumId w:val="33"/>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displayVerticalDrawingGridEvery w:val="2"/>
  <w:characterSpacingControl w:val="doNotCompress"/>
  <w:hdrShapeDefaults>
    <o:shapedefaults v:ext="edit" spidmax="2049"/>
  </w:hdrShapeDefaults>
  <w:footnotePr>
    <w:numRestart w:val="eachPage"/>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B6719"/>
    <w:rsid w:val="000014C3"/>
    <w:rsid w:val="00002158"/>
    <w:rsid w:val="00002FB2"/>
    <w:rsid w:val="0000591D"/>
    <w:rsid w:val="00007B80"/>
    <w:rsid w:val="0001109A"/>
    <w:rsid w:val="00012E99"/>
    <w:rsid w:val="00013768"/>
    <w:rsid w:val="00014FE5"/>
    <w:rsid w:val="00017BED"/>
    <w:rsid w:val="00026AD0"/>
    <w:rsid w:val="00027582"/>
    <w:rsid w:val="00032CCE"/>
    <w:rsid w:val="000348B5"/>
    <w:rsid w:val="00035555"/>
    <w:rsid w:val="000357ED"/>
    <w:rsid w:val="00036B9B"/>
    <w:rsid w:val="000371EA"/>
    <w:rsid w:val="00042D7F"/>
    <w:rsid w:val="00043090"/>
    <w:rsid w:val="000435C8"/>
    <w:rsid w:val="00051AF1"/>
    <w:rsid w:val="00051B4B"/>
    <w:rsid w:val="00051C1B"/>
    <w:rsid w:val="000534B5"/>
    <w:rsid w:val="00053D61"/>
    <w:rsid w:val="00055498"/>
    <w:rsid w:val="00055F58"/>
    <w:rsid w:val="00056983"/>
    <w:rsid w:val="00060001"/>
    <w:rsid w:val="00060542"/>
    <w:rsid w:val="000642B7"/>
    <w:rsid w:val="0006647A"/>
    <w:rsid w:val="0007180B"/>
    <w:rsid w:val="00072552"/>
    <w:rsid w:val="00073192"/>
    <w:rsid w:val="00073203"/>
    <w:rsid w:val="000748D2"/>
    <w:rsid w:val="00075B92"/>
    <w:rsid w:val="000762B5"/>
    <w:rsid w:val="000764E1"/>
    <w:rsid w:val="0008096E"/>
    <w:rsid w:val="00085F00"/>
    <w:rsid w:val="0008676D"/>
    <w:rsid w:val="0009022A"/>
    <w:rsid w:val="00090E4F"/>
    <w:rsid w:val="00091173"/>
    <w:rsid w:val="00093468"/>
    <w:rsid w:val="0009398B"/>
    <w:rsid w:val="00094E26"/>
    <w:rsid w:val="000951E6"/>
    <w:rsid w:val="000966B5"/>
    <w:rsid w:val="00096EB0"/>
    <w:rsid w:val="000A1ED3"/>
    <w:rsid w:val="000A379A"/>
    <w:rsid w:val="000A5F55"/>
    <w:rsid w:val="000A7F19"/>
    <w:rsid w:val="000B0C1E"/>
    <w:rsid w:val="000B6201"/>
    <w:rsid w:val="000C0168"/>
    <w:rsid w:val="000C0324"/>
    <w:rsid w:val="000C2898"/>
    <w:rsid w:val="000C36DB"/>
    <w:rsid w:val="000C682B"/>
    <w:rsid w:val="000D33B2"/>
    <w:rsid w:val="000D6488"/>
    <w:rsid w:val="000E0098"/>
    <w:rsid w:val="000E1CBB"/>
    <w:rsid w:val="000E3516"/>
    <w:rsid w:val="000F54A7"/>
    <w:rsid w:val="000F66E4"/>
    <w:rsid w:val="000F7556"/>
    <w:rsid w:val="001018FD"/>
    <w:rsid w:val="001040AC"/>
    <w:rsid w:val="00106F13"/>
    <w:rsid w:val="00107397"/>
    <w:rsid w:val="00110C85"/>
    <w:rsid w:val="001130B8"/>
    <w:rsid w:val="001130D8"/>
    <w:rsid w:val="001132D9"/>
    <w:rsid w:val="00113DC3"/>
    <w:rsid w:val="00114E12"/>
    <w:rsid w:val="001158D5"/>
    <w:rsid w:val="001212ED"/>
    <w:rsid w:val="001216C7"/>
    <w:rsid w:val="0012257F"/>
    <w:rsid w:val="001277AD"/>
    <w:rsid w:val="00127861"/>
    <w:rsid w:val="001337DF"/>
    <w:rsid w:val="00136343"/>
    <w:rsid w:val="00136F07"/>
    <w:rsid w:val="00137074"/>
    <w:rsid w:val="00142984"/>
    <w:rsid w:val="001433E6"/>
    <w:rsid w:val="001436F6"/>
    <w:rsid w:val="00144130"/>
    <w:rsid w:val="00144946"/>
    <w:rsid w:val="00145BA3"/>
    <w:rsid w:val="00147A9C"/>
    <w:rsid w:val="0015050F"/>
    <w:rsid w:val="00151EA0"/>
    <w:rsid w:val="00154407"/>
    <w:rsid w:val="001559CE"/>
    <w:rsid w:val="00156316"/>
    <w:rsid w:val="001565A6"/>
    <w:rsid w:val="00156E9B"/>
    <w:rsid w:val="0016350E"/>
    <w:rsid w:val="0016422F"/>
    <w:rsid w:val="0016619A"/>
    <w:rsid w:val="001662C4"/>
    <w:rsid w:val="001673E0"/>
    <w:rsid w:val="00167576"/>
    <w:rsid w:val="00171A23"/>
    <w:rsid w:val="00171F4D"/>
    <w:rsid w:val="00173C4F"/>
    <w:rsid w:val="00174EBA"/>
    <w:rsid w:val="00175C62"/>
    <w:rsid w:val="00177456"/>
    <w:rsid w:val="00182003"/>
    <w:rsid w:val="0018292A"/>
    <w:rsid w:val="001836BD"/>
    <w:rsid w:val="001837C4"/>
    <w:rsid w:val="00183E4A"/>
    <w:rsid w:val="001870A3"/>
    <w:rsid w:val="00187B69"/>
    <w:rsid w:val="00190576"/>
    <w:rsid w:val="001908A9"/>
    <w:rsid w:val="00190E78"/>
    <w:rsid w:val="001919E4"/>
    <w:rsid w:val="00191C05"/>
    <w:rsid w:val="00192140"/>
    <w:rsid w:val="0019215B"/>
    <w:rsid w:val="0019465E"/>
    <w:rsid w:val="00194CA8"/>
    <w:rsid w:val="00195F95"/>
    <w:rsid w:val="001A0E67"/>
    <w:rsid w:val="001A4D17"/>
    <w:rsid w:val="001A61F6"/>
    <w:rsid w:val="001A7444"/>
    <w:rsid w:val="001B3220"/>
    <w:rsid w:val="001B38DC"/>
    <w:rsid w:val="001B39F4"/>
    <w:rsid w:val="001B43BA"/>
    <w:rsid w:val="001B6BD6"/>
    <w:rsid w:val="001B7F64"/>
    <w:rsid w:val="001C15E3"/>
    <w:rsid w:val="001C6638"/>
    <w:rsid w:val="001D0065"/>
    <w:rsid w:val="001D052E"/>
    <w:rsid w:val="001D1C3D"/>
    <w:rsid w:val="001D1CA3"/>
    <w:rsid w:val="001D4083"/>
    <w:rsid w:val="001D6D10"/>
    <w:rsid w:val="001E1163"/>
    <w:rsid w:val="001E3AB5"/>
    <w:rsid w:val="001E4BE5"/>
    <w:rsid w:val="001E6304"/>
    <w:rsid w:val="001E67FF"/>
    <w:rsid w:val="001F3732"/>
    <w:rsid w:val="001F3EEE"/>
    <w:rsid w:val="001F440F"/>
    <w:rsid w:val="001F491E"/>
    <w:rsid w:val="001F73BE"/>
    <w:rsid w:val="001F794C"/>
    <w:rsid w:val="0020377E"/>
    <w:rsid w:val="0020401A"/>
    <w:rsid w:val="0020424F"/>
    <w:rsid w:val="00205C94"/>
    <w:rsid w:val="00206B27"/>
    <w:rsid w:val="00206FBB"/>
    <w:rsid w:val="00211079"/>
    <w:rsid w:val="00211719"/>
    <w:rsid w:val="00211F68"/>
    <w:rsid w:val="00212CF5"/>
    <w:rsid w:val="002134FC"/>
    <w:rsid w:val="00215263"/>
    <w:rsid w:val="00216886"/>
    <w:rsid w:val="00220CDF"/>
    <w:rsid w:val="00223B6C"/>
    <w:rsid w:val="00224A0A"/>
    <w:rsid w:val="0022506D"/>
    <w:rsid w:val="00225EA4"/>
    <w:rsid w:val="00226C12"/>
    <w:rsid w:val="0022760E"/>
    <w:rsid w:val="002278FC"/>
    <w:rsid w:val="00227BEE"/>
    <w:rsid w:val="00231805"/>
    <w:rsid w:val="00232333"/>
    <w:rsid w:val="002338B4"/>
    <w:rsid w:val="002348EC"/>
    <w:rsid w:val="002357E9"/>
    <w:rsid w:val="0023765B"/>
    <w:rsid w:val="00237681"/>
    <w:rsid w:val="002425B3"/>
    <w:rsid w:val="00243354"/>
    <w:rsid w:val="00244F4B"/>
    <w:rsid w:val="002456D6"/>
    <w:rsid w:val="00247F6A"/>
    <w:rsid w:val="002509F3"/>
    <w:rsid w:val="002519DD"/>
    <w:rsid w:val="00251FC4"/>
    <w:rsid w:val="00254928"/>
    <w:rsid w:val="00255369"/>
    <w:rsid w:val="00257C0A"/>
    <w:rsid w:val="0026094B"/>
    <w:rsid w:val="002616A1"/>
    <w:rsid w:val="00263550"/>
    <w:rsid w:val="00263F86"/>
    <w:rsid w:val="00267053"/>
    <w:rsid w:val="00272AC1"/>
    <w:rsid w:val="002739C2"/>
    <w:rsid w:val="00275E23"/>
    <w:rsid w:val="00276C1B"/>
    <w:rsid w:val="00277451"/>
    <w:rsid w:val="00277A1A"/>
    <w:rsid w:val="002801D3"/>
    <w:rsid w:val="002809A8"/>
    <w:rsid w:val="00280BE4"/>
    <w:rsid w:val="002810BD"/>
    <w:rsid w:val="002821D5"/>
    <w:rsid w:val="00283B4B"/>
    <w:rsid w:val="002846AD"/>
    <w:rsid w:val="00292409"/>
    <w:rsid w:val="00293449"/>
    <w:rsid w:val="00295926"/>
    <w:rsid w:val="00297482"/>
    <w:rsid w:val="002A07C2"/>
    <w:rsid w:val="002A2725"/>
    <w:rsid w:val="002A5318"/>
    <w:rsid w:val="002A556C"/>
    <w:rsid w:val="002B026F"/>
    <w:rsid w:val="002B0ABE"/>
    <w:rsid w:val="002B2BBB"/>
    <w:rsid w:val="002B5AEC"/>
    <w:rsid w:val="002B6137"/>
    <w:rsid w:val="002B6148"/>
    <w:rsid w:val="002B7A40"/>
    <w:rsid w:val="002C2DB3"/>
    <w:rsid w:val="002C46BD"/>
    <w:rsid w:val="002C493C"/>
    <w:rsid w:val="002C5518"/>
    <w:rsid w:val="002C6794"/>
    <w:rsid w:val="002C6AE7"/>
    <w:rsid w:val="002C79F4"/>
    <w:rsid w:val="002D011F"/>
    <w:rsid w:val="002D6185"/>
    <w:rsid w:val="002D6CFD"/>
    <w:rsid w:val="002E3EB6"/>
    <w:rsid w:val="002E63F1"/>
    <w:rsid w:val="002E66C6"/>
    <w:rsid w:val="002E6E7F"/>
    <w:rsid w:val="002E711B"/>
    <w:rsid w:val="002E7C60"/>
    <w:rsid w:val="002F0380"/>
    <w:rsid w:val="002F19D8"/>
    <w:rsid w:val="002F2401"/>
    <w:rsid w:val="002F57C0"/>
    <w:rsid w:val="002F7EC3"/>
    <w:rsid w:val="003037B4"/>
    <w:rsid w:val="00305526"/>
    <w:rsid w:val="0031285A"/>
    <w:rsid w:val="00313132"/>
    <w:rsid w:val="0031408B"/>
    <w:rsid w:val="00315F63"/>
    <w:rsid w:val="003165BC"/>
    <w:rsid w:val="00316A60"/>
    <w:rsid w:val="00321609"/>
    <w:rsid w:val="00323B0D"/>
    <w:rsid w:val="0032427F"/>
    <w:rsid w:val="00324E02"/>
    <w:rsid w:val="003273FC"/>
    <w:rsid w:val="003274F7"/>
    <w:rsid w:val="00327E19"/>
    <w:rsid w:val="00332BB2"/>
    <w:rsid w:val="003333BC"/>
    <w:rsid w:val="003353F0"/>
    <w:rsid w:val="00336EC0"/>
    <w:rsid w:val="003371C9"/>
    <w:rsid w:val="00337CD0"/>
    <w:rsid w:val="003439EE"/>
    <w:rsid w:val="003502AA"/>
    <w:rsid w:val="0035272A"/>
    <w:rsid w:val="00354C09"/>
    <w:rsid w:val="00364D10"/>
    <w:rsid w:val="00365217"/>
    <w:rsid w:val="00367E86"/>
    <w:rsid w:val="00367F46"/>
    <w:rsid w:val="00371D89"/>
    <w:rsid w:val="00372BA2"/>
    <w:rsid w:val="0037389E"/>
    <w:rsid w:val="0037606E"/>
    <w:rsid w:val="00376DD3"/>
    <w:rsid w:val="00382600"/>
    <w:rsid w:val="00385F61"/>
    <w:rsid w:val="00387576"/>
    <w:rsid w:val="00391E89"/>
    <w:rsid w:val="00393D1F"/>
    <w:rsid w:val="00394467"/>
    <w:rsid w:val="003950B1"/>
    <w:rsid w:val="00396146"/>
    <w:rsid w:val="00397E95"/>
    <w:rsid w:val="003A436A"/>
    <w:rsid w:val="003A45F8"/>
    <w:rsid w:val="003A683B"/>
    <w:rsid w:val="003B24B1"/>
    <w:rsid w:val="003B3091"/>
    <w:rsid w:val="003B320D"/>
    <w:rsid w:val="003B4175"/>
    <w:rsid w:val="003B50AF"/>
    <w:rsid w:val="003B54D0"/>
    <w:rsid w:val="003B5F05"/>
    <w:rsid w:val="003B7722"/>
    <w:rsid w:val="003B7CFD"/>
    <w:rsid w:val="003C17DC"/>
    <w:rsid w:val="003C3020"/>
    <w:rsid w:val="003C4A6B"/>
    <w:rsid w:val="003C630F"/>
    <w:rsid w:val="003C76DA"/>
    <w:rsid w:val="003D0CF3"/>
    <w:rsid w:val="003D1D79"/>
    <w:rsid w:val="003D26E8"/>
    <w:rsid w:val="003D31F2"/>
    <w:rsid w:val="003D3C3A"/>
    <w:rsid w:val="003D3C7E"/>
    <w:rsid w:val="003D7A11"/>
    <w:rsid w:val="003D7B61"/>
    <w:rsid w:val="003D7E68"/>
    <w:rsid w:val="003E0E0A"/>
    <w:rsid w:val="003E26B8"/>
    <w:rsid w:val="003E5186"/>
    <w:rsid w:val="003E62BC"/>
    <w:rsid w:val="003E65C7"/>
    <w:rsid w:val="003E6BF4"/>
    <w:rsid w:val="003E7E9F"/>
    <w:rsid w:val="003F1006"/>
    <w:rsid w:val="003F128F"/>
    <w:rsid w:val="004022BA"/>
    <w:rsid w:val="0040702C"/>
    <w:rsid w:val="00407F01"/>
    <w:rsid w:val="0041089C"/>
    <w:rsid w:val="0041252A"/>
    <w:rsid w:val="004153CA"/>
    <w:rsid w:val="0042007E"/>
    <w:rsid w:val="004220CA"/>
    <w:rsid w:val="00423FF3"/>
    <w:rsid w:val="00425963"/>
    <w:rsid w:val="00427406"/>
    <w:rsid w:val="00433168"/>
    <w:rsid w:val="00433B1E"/>
    <w:rsid w:val="00442C93"/>
    <w:rsid w:val="004445F8"/>
    <w:rsid w:val="00445F50"/>
    <w:rsid w:val="00446708"/>
    <w:rsid w:val="00447800"/>
    <w:rsid w:val="0045220C"/>
    <w:rsid w:val="0045266E"/>
    <w:rsid w:val="00456D57"/>
    <w:rsid w:val="004625D7"/>
    <w:rsid w:val="00462C52"/>
    <w:rsid w:val="00463120"/>
    <w:rsid w:val="00470ABC"/>
    <w:rsid w:val="00473102"/>
    <w:rsid w:val="00473285"/>
    <w:rsid w:val="004740C4"/>
    <w:rsid w:val="00474CC4"/>
    <w:rsid w:val="0047578A"/>
    <w:rsid w:val="004763E2"/>
    <w:rsid w:val="004771F4"/>
    <w:rsid w:val="00477730"/>
    <w:rsid w:val="004804E3"/>
    <w:rsid w:val="00480C1D"/>
    <w:rsid w:val="00480C3C"/>
    <w:rsid w:val="00482558"/>
    <w:rsid w:val="00487E5E"/>
    <w:rsid w:val="00491975"/>
    <w:rsid w:val="00495FA8"/>
    <w:rsid w:val="004A4E2B"/>
    <w:rsid w:val="004A659B"/>
    <w:rsid w:val="004A65BA"/>
    <w:rsid w:val="004A6979"/>
    <w:rsid w:val="004B2102"/>
    <w:rsid w:val="004B45B8"/>
    <w:rsid w:val="004B54A2"/>
    <w:rsid w:val="004B7211"/>
    <w:rsid w:val="004C1963"/>
    <w:rsid w:val="004C1C4C"/>
    <w:rsid w:val="004C2CEF"/>
    <w:rsid w:val="004C3961"/>
    <w:rsid w:val="004C4F88"/>
    <w:rsid w:val="004C51A2"/>
    <w:rsid w:val="004D03C9"/>
    <w:rsid w:val="004D0F3A"/>
    <w:rsid w:val="004D2F16"/>
    <w:rsid w:val="004D46AE"/>
    <w:rsid w:val="004E0C79"/>
    <w:rsid w:val="004E0C8C"/>
    <w:rsid w:val="004E2AAC"/>
    <w:rsid w:val="004E396C"/>
    <w:rsid w:val="004E3B6C"/>
    <w:rsid w:val="004E4A7D"/>
    <w:rsid w:val="004E546E"/>
    <w:rsid w:val="004E5886"/>
    <w:rsid w:val="004E698D"/>
    <w:rsid w:val="004F4A61"/>
    <w:rsid w:val="004F54AA"/>
    <w:rsid w:val="004F7A80"/>
    <w:rsid w:val="00502F4C"/>
    <w:rsid w:val="0050311D"/>
    <w:rsid w:val="005032E6"/>
    <w:rsid w:val="005056AE"/>
    <w:rsid w:val="005069F6"/>
    <w:rsid w:val="005118F9"/>
    <w:rsid w:val="00511D24"/>
    <w:rsid w:val="00515365"/>
    <w:rsid w:val="00516510"/>
    <w:rsid w:val="00516BB2"/>
    <w:rsid w:val="005208B3"/>
    <w:rsid w:val="00521B68"/>
    <w:rsid w:val="00523762"/>
    <w:rsid w:val="0052736E"/>
    <w:rsid w:val="00531ED5"/>
    <w:rsid w:val="00534522"/>
    <w:rsid w:val="005345BA"/>
    <w:rsid w:val="0053691A"/>
    <w:rsid w:val="005476CE"/>
    <w:rsid w:val="00551AF8"/>
    <w:rsid w:val="00554762"/>
    <w:rsid w:val="00554EF3"/>
    <w:rsid w:val="00554F3B"/>
    <w:rsid w:val="00556FED"/>
    <w:rsid w:val="00565517"/>
    <w:rsid w:val="0056673D"/>
    <w:rsid w:val="005714F0"/>
    <w:rsid w:val="00572289"/>
    <w:rsid w:val="00572765"/>
    <w:rsid w:val="00572BAE"/>
    <w:rsid w:val="00572E22"/>
    <w:rsid w:val="00573778"/>
    <w:rsid w:val="00575F86"/>
    <w:rsid w:val="00576551"/>
    <w:rsid w:val="00576EF6"/>
    <w:rsid w:val="0057760F"/>
    <w:rsid w:val="00577EDC"/>
    <w:rsid w:val="005806A9"/>
    <w:rsid w:val="00580EE2"/>
    <w:rsid w:val="00581A00"/>
    <w:rsid w:val="0058315B"/>
    <w:rsid w:val="00584A5E"/>
    <w:rsid w:val="00585898"/>
    <w:rsid w:val="00586313"/>
    <w:rsid w:val="00591AF5"/>
    <w:rsid w:val="00597356"/>
    <w:rsid w:val="00597914"/>
    <w:rsid w:val="005A2EB5"/>
    <w:rsid w:val="005A3917"/>
    <w:rsid w:val="005A3EC2"/>
    <w:rsid w:val="005A6369"/>
    <w:rsid w:val="005B26CE"/>
    <w:rsid w:val="005B35DA"/>
    <w:rsid w:val="005B4598"/>
    <w:rsid w:val="005B5F0B"/>
    <w:rsid w:val="005B6B77"/>
    <w:rsid w:val="005C21CD"/>
    <w:rsid w:val="005C2833"/>
    <w:rsid w:val="005C2889"/>
    <w:rsid w:val="005C2DEE"/>
    <w:rsid w:val="005C5D03"/>
    <w:rsid w:val="005C7D9D"/>
    <w:rsid w:val="005D2A57"/>
    <w:rsid w:val="005D4DF6"/>
    <w:rsid w:val="005D504B"/>
    <w:rsid w:val="005D5C4F"/>
    <w:rsid w:val="005D5E2A"/>
    <w:rsid w:val="005D6809"/>
    <w:rsid w:val="005E136B"/>
    <w:rsid w:val="005E1D31"/>
    <w:rsid w:val="005E315F"/>
    <w:rsid w:val="005E44E9"/>
    <w:rsid w:val="005E4626"/>
    <w:rsid w:val="005E67E9"/>
    <w:rsid w:val="005F17B8"/>
    <w:rsid w:val="00600D63"/>
    <w:rsid w:val="006035A5"/>
    <w:rsid w:val="00604338"/>
    <w:rsid w:val="00605C5F"/>
    <w:rsid w:val="00606A6E"/>
    <w:rsid w:val="006076F3"/>
    <w:rsid w:val="00612C9C"/>
    <w:rsid w:val="006133E2"/>
    <w:rsid w:val="006148E5"/>
    <w:rsid w:val="00616B5D"/>
    <w:rsid w:val="00616D6A"/>
    <w:rsid w:val="00620EB0"/>
    <w:rsid w:val="00622580"/>
    <w:rsid w:val="0062364A"/>
    <w:rsid w:val="00625085"/>
    <w:rsid w:val="00627088"/>
    <w:rsid w:val="00627B8D"/>
    <w:rsid w:val="0063006E"/>
    <w:rsid w:val="006317B3"/>
    <w:rsid w:val="00633EE3"/>
    <w:rsid w:val="0063744F"/>
    <w:rsid w:val="00641A12"/>
    <w:rsid w:val="0064270E"/>
    <w:rsid w:val="00642FD9"/>
    <w:rsid w:val="00644795"/>
    <w:rsid w:val="0064686B"/>
    <w:rsid w:val="006468A4"/>
    <w:rsid w:val="00646BE9"/>
    <w:rsid w:val="006660FB"/>
    <w:rsid w:val="00666DA1"/>
    <w:rsid w:val="00671B8B"/>
    <w:rsid w:val="00673D6D"/>
    <w:rsid w:val="00674CFF"/>
    <w:rsid w:val="006750FA"/>
    <w:rsid w:val="006756FA"/>
    <w:rsid w:val="006807F0"/>
    <w:rsid w:val="00680839"/>
    <w:rsid w:val="00681E66"/>
    <w:rsid w:val="00681F9B"/>
    <w:rsid w:val="006823BD"/>
    <w:rsid w:val="0068596A"/>
    <w:rsid w:val="00691BB7"/>
    <w:rsid w:val="00693B8E"/>
    <w:rsid w:val="00694D93"/>
    <w:rsid w:val="006A18DC"/>
    <w:rsid w:val="006A1D8C"/>
    <w:rsid w:val="006A3A2C"/>
    <w:rsid w:val="006A3BB3"/>
    <w:rsid w:val="006A4198"/>
    <w:rsid w:val="006A655E"/>
    <w:rsid w:val="006A6E2D"/>
    <w:rsid w:val="006A6E2E"/>
    <w:rsid w:val="006A7B98"/>
    <w:rsid w:val="006A7C27"/>
    <w:rsid w:val="006B013D"/>
    <w:rsid w:val="006B04E8"/>
    <w:rsid w:val="006B1CB3"/>
    <w:rsid w:val="006B22C0"/>
    <w:rsid w:val="006B23DD"/>
    <w:rsid w:val="006B2BAF"/>
    <w:rsid w:val="006B4698"/>
    <w:rsid w:val="006B4A53"/>
    <w:rsid w:val="006B6962"/>
    <w:rsid w:val="006C14B7"/>
    <w:rsid w:val="006C247D"/>
    <w:rsid w:val="006C24EE"/>
    <w:rsid w:val="006C2855"/>
    <w:rsid w:val="006C29BB"/>
    <w:rsid w:val="006C406D"/>
    <w:rsid w:val="006C649B"/>
    <w:rsid w:val="006C65C2"/>
    <w:rsid w:val="006C66DB"/>
    <w:rsid w:val="006D0169"/>
    <w:rsid w:val="006D054D"/>
    <w:rsid w:val="006D37E3"/>
    <w:rsid w:val="006D7411"/>
    <w:rsid w:val="006E368E"/>
    <w:rsid w:val="006E6B72"/>
    <w:rsid w:val="006E6BA2"/>
    <w:rsid w:val="006F077A"/>
    <w:rsid w:val="006F26A0"/>
    <w:rsid w:val="006F4CA7"/>
    <w:rsid w:val="006F55E1"/>
    <w:rsid w:val="006F64D0"/>
    <w:rsid w:val="0070196A"/>
    <w:rsid w:val="00702CED"/>
    <w:rsid w:val="007057B7"/>
    <w:rsid w:val="007113BA"/>
    <w:rsid w:val="00711488"/>
    <w:rsid w:val="007135C3"/>
    <w:rsid w:val="00716578"/>
    <w:rsid w:val="00716D74"/>
    <w:rsid w:val="00722E32"/>
    <w:rsid w:val="00723750"/>
    <w:rsid w:val="00727CE5"/>
    <w:rsid w:val="007316B4"/>
    <w:rsid w:val="00731DB0"/>
    <w:rsid w:val="00734F03"/>
    <w:rsid w:val="00735108"/>
    <w:rsid w:val="007351EB"/>
    <w:rsid w:val="0073585A"/>
    <w:rsid w:val="00736905"/>
    <w:rsid w:val="00741603"/>
    <w:rsid w:val="00746115"/>
    <w:rsid w:val="00747030"/>
    <w:rsid w:val="007556AA"/>
    <w:rsid w:val="0075789C"/>
    <w:rsid w:val="00762C91"/>
    <w:rsid w:val="0076327F"/>
    <w:rsid w:val="0077102F"/>
    <w:rsid w:val="007719E1"/>
    <w:rsid w:val="00775D51"/>
    <w:rsid w:val="00776D04"/>
    <w:rsid w:val="00777673"/>
    <w:rsid w:val="00777C9C"/>
    <w:rsid w:val="0078212F"/>
    <w:rsid w:val="007833F7"/>
    <w:rsid w:val="007853EE"/>
    <w:rsid w:val="00791A3D"/>
    <w:rsid w:val="00791DC8"/>
    <w:rsid w:val="007920F8"/>
    <w:rsid w:val="007925F6"/>
    <w:rsid w:val="00793E2B"/>
    <w:rsid w:val="00794EC0"/>
    <w:rsid w:val="007A0AE4"/>
    <w:rsid w:val="007A1915"/>
    <w:rsid w:val="007A478E"/>
    <w:rsid w:val="007A4BE4"/>
    <w:rsid w:val="007A63AD"/>
    <w:rsid w:val="007A74E0"/>
    <w:rsid w:val="007A7AED"/>
    <w:rsid w:val="007A7E82"/>
    <w:rsid w:val="007A7F88"/>
    <w:rsid w:val="007B00D1"/>
    <w:rsid w:val="007B0B8C"/>
    <w:rsid w:val="007B1F5F"/>
    <w:rsid w:val="007B24D8"/>
    <w:rsid w:val="007B5C9C"/>
    <w:rsid w:val="007B5D2B"/>
    <w:rsid w:val="007B7562"/>
    <w:rsid w:val="007B7AD7"/>
    <w:rsid w:val="007B7CA9"/>
    <w:rsid w:val="007C0F72"/>
    <w:rsid w:val="007C5508"/>
    <w:rsid w:val="007C7836"/>
    <w:rsid w:val="007D1E26"/>
    <w:rsid w:val="007D4933"/>
    <w:rsid w:val="007D541F"/>
    <w:rsid w:val="007E0C01"/>
    <w:rsid w:val="007E2797"/>
    <w:rsid w:val="007E3759"/>
    <w:rsid w:val="007E436B"/>
    <w:rsid w:val="007E5BBA"/>
    <w:rsid w:val="007E6506"/>
    <w:rsid w:val="007E7653"/>
    <w:rsid w:val="007F5114"/>
    <w:rsid w:val="008032BA"/>
    <w:rsid w:val="00804212"/>
    <w:rsid w:val="00804AFD"/>
    <w:rsid w:val="00805C51"/>
    <w:rsid w:val="00807B67"/>
    <w:rsid w:val="008135E0"/>
    <w:rsid w:val="0081383B"/>
    <w:rsid w:val="00813936"/>
    <w:rsid w:val="008158C9"/>
    <w:rsid w:val="008159DB"/>
    <w:rsid w:val="0081627F"/>
    <w:rsid w:val="00817404"/>
    <w:rsid w:val="00820A4B"/>
    <w:rsid w:val="00821F8E"/>
    <w:rsid w:val="00823890"/>
    <w:rsid w:val="00824744"/>
    <w:rsid w:val="008258F9"/>
    <w:rsid w:val="008265A7"/>
    <w:rsid w:val="00831486"/>
    <w:rsid w:val="0083209F"/>
    <w:rsid w:val="00832F88"/>
    <w:rsid w:val="00836D85"/>
    <w:rsid w:val="00841527"/>
    <w:rsid w:val="008452E1"/>
    <w:rsid w:val="008474CB"/>
    <w:rsid w:val="00851030"/>
    <w:rsid w:val="008514EE"/>
    <w:rsid w:val="00853245"/>
    <w:rsid w:val="0085355C"/>
    <w:rsid w:val="008548E8"/>
    <w:rsid w:val="00854E46"/>
    <w:rsid w:val="008550E5"/>
    <w:rsid w:val="00856E14"/>
    <w:rsid w:val="00860E41"/>
    <w:rsid w:val="008646C7"/>
    <w:rsid w:val="00866ACA"/>
    <w:rsid w:val="00871255"/>
    <w:rsid w:val="00874FD1"/>
    <w:rsid w:val="00875328"/>
    <w:rsid w:val="00875E98"/>
    <w:rsid w:val="00877C0E"/>
    <w:rsid w:val="00881BBF"/>
    <w:rsid w:val="00885058"/>
    <w:rsid w:val="008874BD"/>
    <w:rsid w:val="0088762B"/>
    <w:rsid w:val="008900CA"/>
    <w:rsid w:val="008915B7"/>
    <w:rsid w:val="0089171B"/>
    <w:rsid w:val="008965F2"/>
    <w:rsid w:val="0089745B"/>
    <w:rsid w:val="008A16B5"/>
    <w:rsid w:val="008A206A"/>
    <w:rsid w:val="008A32F8"/>
    <w:rsid w:val="008A472D"/>
    <w:rsid w:val="008A64EA"/>
    <w:rsid w:val="008A68BA"/>
    <w:rsid w:val="008B2740"/>
    <w:rsid w:val="008B3DF8"/>
    <w:rsid w:val="008B64F4"/>
    <w:rsid w:val="008C01F3"/>
    <w:rsid w:val="008C04F0"/>
    <w:rsid w:val="008C14FD"/>
    <w:rsid w:val="008C1A5E"/>
    <w:rsid w:val="008C634B"/>
    <w:rsid w:val="008D1661"/>
    <w:rsid w:val="008D452A"/>
    <w:rsid w:val="008D52BA"/>
    <w:rsid w:val="008E54C7"/>
    <w:rsid w:val="008E64BC"/>
    <w:rsid w:val="008E689C"/>
    <w:rsid w:val="008F1A60"/>
    <w:rsid w:val="008F273D"/>
    <w:rsid w:val="008F4897"/>
    <w:rsid w:val="008F5589"/>
    <w:rsid w:val="00900717"/>
    <w:rsid w:val="00901BFD"/>
    <w:rsid w:val="0090201D"/>
    <w:rsid w:val="00911ED4"/>
    <w:rsid w:val="00912243"/>
    <w:rsid w:val="00915F1A"/>
    <w:rsid w:val="009172C7"/>
    <w:rsid w:val="009217A3"/>
    <w:rsid w:val="009242F4"/>
    <w:rsid w:val="009244F0"/>
    <w:rsid w:val="00925DD8"/>
    <w:rsid w:val="0092639A"/>
    <w:rsid w:val="00927546"/>
    <w:rsid w:val="00927865"/>
    <w:rsid w:val="00927C5E"/>
    <w:rsid w:val="00932449"/>
    <w:rsid w:val="00936A7E"/>
    <w:rsid w:val="009378FD"/>
    <w:rsid w:val="00937E60"/>
    <w:rsid w:val="009422F2"/>
    <w:rsid w:val="009470A2"/>
    <w:rsid w:val="0094727C"/>
    <w:rsid w:val="00950210"/>
    <w:rsid w:val="009504FD"/>
    <w:rsid w:val="00953A3E"/>
    <w:rsid w:val="00954945"/>
    <w:rsid w:val="00954B4B"/>
    <w:rsid w:val="00954D66"/>
    <w:rsid w:val="00955261"/>
    <w:rsid w:val="009561AE"/>
    <w:rsid w:val="00957315"/>
    <w:rsid w:val="009615BB"/>
    <w:rsid w:val="00963CA3"/>
    <w:rsid w:val="009652A2"/>
    <w:rsid w:val="00965A8F"/>
    <w:rsid w:val="00966DAF"/>
    <w:rsid w:val="009676E1"/>
    <w:rsid w:val="00967A96"/>
    <w:rsid w:val="00970896"/>
    <w:rsid w:val="00970DBB"/>
    <w:rsid w:val="009725E1"/>
    <w:rsid w:val="00973819"/>
    <w:rsid w:val="00974AE6"/>
    <w:rsid w:val="00975F83"/>
    <w:rsid w:val="009767F5"/>
    <w:rsid w:val="00977065"/>
    <w:rsid w:val="009805C0"/>
    <w:rsid w:val="00980C36"/>
    <w:rsid w:val="00980DDE"/>
    <w:rsid w:val="0098379F"/>
    <w:rsid w:val="00986C1C"/>
    <w:rsid w:val="0099077A"/>
    <w:rsid w:val="00990DB0"/>
    <w:rsid w:val="00991B74"/>
    <w:rsid w:val="00991E40"/>
    <w:rsid w:val="00992760"/>
    <w:rsid w:val="009936C3"/>
    <w:rsid w:val="00994213"/>
    <w:rsid w:val="00994E07"/>
    <w:rsid w:val="00995EC9"/>
    <w:rsid w:val="00997011"/>
    <w:rsid w:val="009A7ACE"/>
    <w:rsid w:val="009B1707"/>
    <w:rsid w:val="009B202E"/>
    <w:rsid w:val="009B4D6C"/>
    <w:rsid w:val="009B524E"/>
    <w:rsid w:val="009B639B"/>
    <w:rsid w:val="009B682D"/>
    <w:rsid w:val="009B7238"/>
    <w:rsid w:val="009C0223"/>
    <w:rsid w:val="009C19AC"/>
    <w:rsid w:val="009C2A37"/>
    <w:rsid w:val="009C48F1"/>
    <w:rsid w:val="009C6569"/>
    <w:rsid w:val="009C657F"/>
    <w:rsid w:val="009D2053"/>
    <w:rsid w:val="009D205E"/>
    <w:rsid w:val="009D5EA9"/>
    <w:rsid w:val="009E0F1D"/>
    <w:rsid w:val="009E30F6"/>
    <w:rsid w:val="009E6D16"/>
    <w:rsid w:val="009E7755"/>
    <w:rsid w:val="009F1F17"/>
    <w:rsid w:val="009F2C1E"/>
    <w:rsid w:val="009F3381"/>
    <w:rsid w:val="00A00886"/>
    <w:rsid w:val="00A02649"/>
    <w:rsid w:val="00A02F30"/>
    <w:rsid w:val="00A05011"/>
    <w:rsid w:val="00A05EF2"/>
    <w:rsid w:val="00A225B5"/>
    <w:rsid w:val="00A22895"/>
    <w:rsid w:val="00A22CC5"/>
    <w:rsid w:val="00A30CD2"/>
    <w:rsid w:val="00A32F2C"/>
    <w:rsid w:val="00A34A43"/>
    <w:rsid w:val="00A36C16"/>
    <w:rsid w:val="00A36DEB"/>
    <w:rsid w:val="00A4142B"/>
    <w:rsid w:val="00A41C3A"/>
    <w:rsid w:val="00A431E0"/>
    <w:rsid w:val="00A44C74"/>
    <w:rsid w:val="00A454C2"/>
    <w:rsid w:val="00A46ED4"/>
    <w:rsid w:val="00A46FB9"/>
    <w:rsid w:val="00A47805"/>
    <w:rsid w:val="00A50DF4"/>
    <w:rsid w:val="00A514C5"/>
    <w:rsid w:val="00A51952"/>
    <w:rsid w:val="00A519A4"/>
    <w:rsid w:val="00A61C14"/>
    <w:rsid w:val="00A62777"/>
    <w:rsid w:val="00A62CF2"/>
    <w:rsid w:val="00A62EA1"/>
    <w:rsid w:val="00A639A8"/>
    <w:rsid w:val="00A6628C"/>
    <w:rsid w:val="00A67A74"/>
    <w:rsid w:val="00A72B27"/>
    <w:rsid w:val="00A751AA"/>
    <w:rsid w:val="00A7738B"/>
    <w:rsid w:val="00A77542"/>
    <w:rsid w:val="00A82A80"/>
    <w:rsid w:val="00A83A3D"/>
    <w:rsid w:val="00A84283"/>
    <w:rsid w:val="00A860F6"/>
    <w:rsid w:val="00A86244"/>
    <w:rsid w:val="00A86956"/>
    <w:rsid w:val="00A87DA1"/>
    <w:rsid w:val="00A91E93"/>
    <w:rsid w:val="00A94AF8"/>
    <w:rsid w:val="00A94E74"/>
    <w:rsid w:val="00A95665"/>
    <w:rsid w:val="00A958D6"/>
    <w:rsid w:val="00AA00E6"/>
    <w:rsid w:val="00AA150E"/>
    <w:rsid w:val="00AA4391"/>
    <w:rsid w:val="00AA45E9"/>
    <w:rsid w:val="00AA4B22"/>
    <w:rsid w:val="00AA5B08"/>
    <w:rsid w:val="00AB2100"/>
    <w:rsid w:val="00AB4D27"/>
    <w:rsid w:val="00AB5355"/>
    <w:rsid w:val="00AB6719"/>
    <w:rsid w:val="00AC2CA3"/>
    <w:rsid w:val="00AC3467"/>
    <w:rsid w:val="00AC48B1"/>
    <w:rsid w:val="00AC5C95"/>
    <w:rsid w:val="00AD2696"/>
    <w:rsid w:val="00AD44DB"/>
    <w:rsid w:val="00AD49A5"/>
    <w:rsid w:val="00AD4FAE"/>
    <w:rsid w:val="00AD51C6"/>
    <w:rsid w:val="00AD58F7"/>
    <w:rsid w:val="00AD5928"/>
    <w:rsid w:val="00AD733A"/>
    <w:rsid w:val="00AD7A45"/>
    <w:rsid w:val="00AE04C3"/>
    <w:rsid w:val="00AE0500"/>
    <w:rsid w:val="00AE1D9F"/>
    <w:rsid w:val="00AE3AFC"/>
    <w:rsid w:val="00AE5B52"/>
    <w:rsid w:val="00AE7803"/>
    <w:rsid w:val="00AF31D7"/>
    <w:rsid w:val="00AF4E80"/>
    <w:rsid w:val="00AF5150"/>
    <w:rsid w:val="00B02E84"/>
    <w:rsid w:val="00B04151"/>
    <w:rsid w:val="00B0549A"/>
    <w:rsid w:val="00B05DDF"/>
    <w:rsid w:val="00B10A59"/>
    <w:rsid w:val="00B11F4F"/>
    <w:rsid w:val="00B12BFE"/>
    <w:rsid w:val="00B12C5F"/>
    <w:rsid w:val="00B17AEE"/>
    <w:rsid w:val="00B17C96"/>
    <w:rsid w:val="00B20E9D"/>
    <w:rsid w:val="00B22547"/>
    <w:rsid w:val="00B227D3"/>
    <w:rsid w:val="00B23D8E"/>
    <w:rsid w:val="00B245C4"/>
    <w:rsid w:val="00B344BC"/>
    <w:rsid w:val="00B34BA7"/>
    <w:rsid w:val="00B369CA"/>
    <w:rsid w:val="00B40209"/>
    <w:rsid w:val="00B40A0D"/>
    <w:rsid w:val="00B432B8"/>
    <w:rsid w:val="00B447A4"/>
    <w:rsid w:val="00B45300"/>
    <w:rsid w:val="00B459B7"/>
    <w:rsid w:val="00B46390"/>
    <w:rsid w:val="00B47571"/>
    <w:rsid w:val="00B475A5"/>
    <w:rsid w:val="00B4798C"/>
    <w:rsid w:val="00B47CB9"/>
    <w:rsid w:val="00B508BA"/>
    <w:rsid w:val="00B525DD"/>
    <w:rsid w:val="00B52E46"/>
    <w:rsid w:val="00B53F12"/>
    <w:rsid w:val="00B57375"/>
    <w:rsid w:val="00B615E6"/>
    <w:rsid w:val="00B64532"/>
    <w:rsid w:val="00B648C8"/>
    <w:rsid w:val="00B64AF8"/>
    <w:rsid w:val="00B64F77"/>
    <w:rsid w:val="00B65413"/>
    <w:rsid w:val="00B659F5"/>
    <w:rsid w:val="00B66B69"/>
    <w:rsid w:val="00B66C86"/>
    <w:rsid w:val="00B67478"/>
    <w:rsid w:val="00B72410"/>
    <w:rsid w:val="00B80A0E"/>
    <w:rsid w:val="00B80EE3"/>
    <w:rsid w:val="00B83C2E"/>
    <w:rsid w:val="00B83DC0"/>
    <w:rsid w:val="00B95D2B"/>
    <w:rsid w:val="00B971FA"/>
    <w:rsid w:val="00B97200"/>
    <w:rsid w:val="00BA3132"/>
    <w:rsid w:val="00BA4C65"/>
    <w:rsid w:val="00BA6224"/>
    <w:rsid w:val="00BA6446"/>
    <w:rsid w:val="00BA6B3A"/>
    <w:rsid w:val="00BA6C1B"/>
    <w:rsid w:val="00BB0FC4"/>
    <w:rsid w:val="00BB366A"/>
    <w:rsid w:val="00BB37EC"/>
    <w:rsid w:val="00BB792F"/>
    <w:rsid w:val="00BC3C0E"/>
    <w:rsid w:val="00BC7A47"/>
    <w:rsid w:val="00BD0544"/>
    <w:rsid w:val="00BD0C09"/>
    <w:rsid w:val="00BD5CC3"/>
    <w:rsid w:val="00BD5ED5"/>
    <w:rsid w:val="00BD73F6"/>
    <w:rsid w:val="00BE09AC"/>
    <w:rsid w:val="00BE31B0"/>
    <w:rsid w:val="00BE47D1"/>
    <w:rsid w:val="00BE55E9"/>
    <w:rsid w:val="00BE66AA"/>
    <w:rsid w:val="00BF2E12"/>
    <w:rsid w:val="00BF2E9A"/>
    <w:rsid w:val="00BF628B"/>
    <w:rsid w:val="00BF72D3"/>
    <w:rsid w:val="00C0002C"/>
    <w:rsid w:val="00C056D1"/>
    <w:rsid w:val="00C06512"/>
    <w:rsid w:val="00C10535"/>
    <w:rsid w:val="00C122AB"/>
    <w:rsid w:val="00C126BD"/>
    <w:rsid w:val="00C14428"/>
    <w:rsid w:val="00C17E99"/>
    <w:rsid w:val="00C2177A"/>
    <w:rsid w:val="00C21C02"/>
    <w:rsid w:val="00C223C5"/>
    <w:rsid w:val="00C33670"/>
    <w:rsid w:val="00C36615"/>
    <w:rsid w:val="00C36647"/>
    <w:rsid w:val="00C37D2F"/>
    <w:rsid w:val="00C410FE"/>
    <w:rsid w:val="00C443D8"/>
    <w:rsid w:val="00C44A52"/>
    <w:rsid w:val="00C45634"/>
    <w:rsid w:val="00C46AEE"/>
    <w:rsid w:val="00C47E59"/>
    <w:rsid w:val="00C5563F"/>
    <w:rsid w:val="00C57091"/>
    <w:rsid w:val="00C57AC3"/>
    <w:rsid w:val="00C61D93"/>
    <w:rsid w:val="00C643F6"/>
    <w:rsid w:val="00C648B5"/>
    <w:rsid w:val="00C652BA"/>
    <w:rsid w:val="00C70AE8"/>
    <w:rsid w:val="00C71769"/>
    <w:rsid w:val="00C71CC5"/>
    <w:rsid w:val="00C735B6"/>
    <w:rsid w:val="00C75852"/>
    <w:rsid w:val="00C75DDD"/>
    <w:rsid w:val="00C76CC2"/>
    <w:rsid w:val="00C80086"/>
    <w:rsid w:val="00C836F5"/>
    <w:rsid w:val="00C86627"/>
    <w:rsid w:val="00C878BD"/>
    <w:rsid w:val="00C91D43"/>
    <w:rsid w:val="00C92FFC"/>
    <w:rsid w:val="00C94522"/>
    <w:rsid w:val="00C9502F"/>
    <w:rsid w:val="00C97231"/>
    <w:rsid w:val="00CA0B67"/>
    <w:rsid w:val="00CA1D6F"/>
    <w:rsid w:val="00CA2298"/>
    <w:rsid w:val="00CA2925"/>
    <w:rsid w:val="00CA30C8"/>
    <w:rsid w:val="00CA31A3"/>
    <w:rsid w:val="00CA4951"/>
    <w:rsid w:val="00CA6E8B"/>
    <w:rsid w:val="00CA7043"/>
    <w:rsid w:val="00CA7870"/>
    <w:rsid w:val="00CB1557"/>
    <w:rsid w:val="00CB6643"/>
    <w:rsid w:val="00CB66E5"/>
    <w:rsid w:val="00CB78C4"/>
    <w:rsid w:val="00CC26D9"/>
    <w:rsid w:val="00CD5DE2"/>
    <w:rsid w:val="00CD77B3"/>
    <w:rsid w:val="00CD7E12"/>
    <w:rsid w:val="00CE0DC2"/>
    <w:rsid w:val="00CE1584"/>
    <w:rsid w:val="00CE24B5"/>
    <w:rsid w:val="00CE35C7"/>
    <w:rsid w:val="00CE372B"/>
    <w:rsid w:val="00CE42BB"/>
    <w:rsid w:val="00CE5F29"/>
    <w:rsid w:val="00CE66C8"/>
    <w:rsid w:val="00CE7626"/>
    <w:rsid w:val="00CF103C"/>
    <w:rsid w:val="00CF2208"/>
    <w:rsid w:val="00CF51A0"/>
    <w:rsid w:val="00CF6758"/>
    <w:rsid w:val="00D018D3"/>
    <w:rsid w:val="00D0216F"/>
    <w:rsid w:val="00D04074"/>
    <w:rsid w:val="00D05B91"/>
    <w:rsid w:val="00D05E7B"/>
    <w:rsid w:val="00D0652C"/>
    <w:rsid w:val="00D06CE9"/>
    <w:rsid w:val="00D07E23"/>
    <w:rsid w:val="00D11232"/>
    <w:rsid w:val="00D126DB"/>
    <w:rsid w:val="00D148F0"/>
    <w:rsid w:val="00D1589C"/>
    <w:rsid w:val="00D174C8"/>
    <w:rsid w:val="00D24121"/>
    <w:rsid w:val="00D24B3F"/>
    <w:rsid w:val="00D257C1"/>
    <w:rsid w:val="00D273FA"/>
    <w:rsid w:val="00D34490"/>
    <w:rsid w:val="00D34A1D"/>
    <w:rsid w:val="00D34C5D"/>
    <w:rsid w:val="00D3629D"/>
    <w:rsid w:val="00D404E6"/>
    <w:rsid w:val="00D40624"/>
    <w:rsid w:val="00D419E3"/>
    <w:rsid w:val="00D44260"/>
    <w:rsid w:val="00D53147"/>
    <w:rsid w:val="00D54AC4"/>
    <w:rsid w:val="00D6102C"/>
    <w:rsid w:val="00D6150F"/>
    <w:rsid w:val="00D61DDE"/>
    <w:rsid w:val="00D64752"/>
    <w:rsid w:val="00D6557D"/>
    <w:rsid w:val="00D67125"/>
    <w:rsid w:val="00D673AB"/>
    <w:rsid w:val="00D67D74"/>
    <w:rsid w:val="00D7084C"/>
    <w:rsid w:val="00D71211"/>
    <w:rsid w:val="00D71657"/>
    <w:rsid w:val="00D71B72"/>
    <w:rsid w:val="00D74633"/>
    <w:rsid w:val="00D753E7"/>
    <w:rsid w:val="00D774CD"/>
    <w:rsid w:val="00D82769"/>
    <w:rsid w:val="00D83538"/>
    <w:rsid w:val="00D8586B"/>
    <w:rsid w:val="00D87CCA"/>
    <w:rsid w:val="00D87F6B"/>
    <w:rsid w:val="00D900E0"/>
    <w:rsid w:val="00D92D3F"/>
    <w:rsid w:val="00D938EA"/>
    <w:rsid w:val="00D94C92"/>
    <w:rsid w:val="00D95A29"/>
    <w:rsid w:val="00D96B2E"/>
    <w:rsid w:val="00DA10FC"/>
    <w:rsid w:val="00DA19AC"/>
    <w:rsid w:val="00DA1ED1"/>
    <w:rsid w:val="00DA341A"/>
    <w:rsid w:val="00DA455D"/>
    <w:rsid w:val="00DA4586"/>
    <w:rsid w:val="00DA4B46"/>
    <w:rsid w:val="00DA4D3D"/>
    <w:rsid w:val="00DA54F5"/>
    <w:rsid w:val="00DA5C9B"/>
    <w:rsid w:val="00DA796B"/>
    <w:rsid w:val="00DB1ADC"/>
    <w:rsid w:val="00DB4E6F"/>
    <w:rsid w:val="00DB5C16"/>
    <w:rsid w:val="00DB7AFC"/>
    <w:rsid w:val="00DC0644"/>
    <w:rsid w:val="00DC21B6"/>
    <w:rsid w:val="00DD12C1"/>
    <w:rsid w:val="00DD1733"/>
    <w:rsid w:val="00DD1859"/>
    <w:rsid w:val="00DD7AD6"/>
    <w:rsid w:val="00DE155B"/>
    <w:rsid w:val="00DE7164"/>
    <w:rsid w:val="00E025BC"/>
    <w:rsid w:val="00E0593B"/>
    <w:rsid w:val="00E1101C"/>
    <w:rsid w:val="00E11D81"/>
    <w:rsid w:val="00E13E2E"/>
    <w:rsid w:val="00E14278"/>
    <w:rsid w:val="00E143F7"/>
    <w:rsid w:val="00E14A40"/>
    <w:rsid w:val="00E15656"/>
    <w:rsid w:val="00E1573D"/>
    <w:rsid w:val="00E16232"/>
    <w:rsid w:val="00E1653F"/>
    <w:rsid w:val="00E17CA0"/>
    <w:rsid w:val="00E2122F"/>
    <w:rsid w:val="00E225DE"/>
    <w:rsid w:val="00E231C8"/>
    <w:rsid w:val="00E26268"/>
    <w:rsid w:val="00E26C90"/>
    <w:rsid w:val="00E26E8C"/>
    <w:rsid w:val="00E33899"/>
    <w:rsid w:val="00E3597A"/>
    <w:rsid w:val="00E40ACF"/>
    <w:rsid w:val="00E41A47"/>
    <w:rsid w:val="00E4514A"/>
    <w:rsid w:val="00E45F32"/>
    <w:rsid w:val="00E47B5B"/>
    <w:rsid w:val="00E505A4"/>
    <w:rsid w:val="00E52C12"/>
    <w:rsid w:val="00E5611A"/>
    <w:rsid w:val="00E57BCB"/>
    <w:rsid w:val="00E6039A"/>
    <w:rsid w:val="00E64C14"/>
    <w:rsid w:val="00E667B0"/>
    <w:rsid w:val="00E67848"/>
    <w:rsid w:val="00E72503"/>
    <w:rsid w:val="00E72A38"/>
    <w:rsid w:val="00E7459F"/>
    <w:rsid w:val="00E74B06"/>
    <w:rsid w:val="00E77E21"/>
    <w:rsid w:val="00E8073C"/>
    <w:rsid w:val="00E829A1"/>
    <w:rsid w:val="00E8533F"/>
    <w:rsid w:val="00E856D2"/>
    <w:rsid w:val="00E874FD"/>
    <w:rsid w:val="00E877DE"/>
    <w:rsid w:val="00E92B73"/>
    <w:rsid w:val="00E94187"/>
    <w:rsid w:val="00E965DB"/>
    <w:rsid w:val="00E97DA6"/>
    <w:rsid w:val="00EA6039"/>
    <w:rsid w:val="00EC3343"/>
    <w:rsid w:val="00EC3DF9"/>
    <w:rsid w:val="00EC67A6"/>
    <w:rsid w:val="00EC6AE2"/>
    <w:rsid w:val="00ED1265"/>
    <w:rsid w:val="00ED5AEC"/>
    <w:rsid w:val="00ED6969"/>
    <w:rsid w:val="00ED757A"/>
    <w:rsid w:val="00EE0FE9"/>
    <w:rsid w:val="00EE13E2"/>
    <w:rsid w:val="00EE175F"/>
    <w:rsid w:val="00EE74E4"/>
    <w:rsid w:val="00EF05B8"/>
    <w:rsid w:val="00EF0855"/>
    <w:rsid w:val="00EF0AA7"/>
    <w:rsid w:val="00EF2D21"/>
    <w:rsid w:val="00EF3531"/>
    <w:rsid w:val="00F023A3"/>
    <w:rsid w:val="00F02C2A"/>
    <w:rsid w:val="00F07D56"/>
    <w:rsid w:val="00F103D9"/>
    <w:rsid w:val="00F125E6"/>
    <w:rsid w:val="00F14E1C"/>
    <w:rsid w:val="00F16D3A"/>
    <w:rsid w:val="00F2328C"/>
    <w:rsid w:val="00F2505B"/>
    <w:rsid w:val="00F26697"/>
    <w:rsid w:val="00F37C71"/>
    <w:rsid w:val="00F412C2"/>
    <w:rsid w:val="00F45BDA"/>
    <w:rsid w:val="00F46552"/>
    <w:rsid w:val="00F500BF"/>
    <w:rsid w:val="00F509AE"/>
    <w:rsid w:val="00F51A88"/>
    <w:rsid w:val="00F51C75"/>
    <w:rsid w:val="00F52C74"/>
    <w:rsid w:val="00F61151"/>
    <w:rsid w:val="00F616D5"/>
    <w:rsid w:val="00F61898"/>
    <w:rsid w:val="00F642AB"/>
    <w:rsid w:val="00F70AF8"/>
    <w:rsid w:val="00F725A8"/>
    <w:rsid w:val="00F7270E"/>
    <w:rsid w:val="00F73509"/>
    <w:rsid w:val="00F735C2"/>
    <w:rsid w:val="00F804F0"/>
    <w:rsid w:val="00F837C9"/>
    <w:rsid w:val="00F83A62"/>
    <w:rsid w:val="00F84658"/>
    <w:rsid w:val="00F84C8C"/>
    <w:rsid w:val="00F8580C"/>
    <w:rsid w:val="00F85B95"/>
    <w:rsid w:val="00F864DF"/>
    <w:rsid w:val="00F93164"/>
    <w:rsid w:val="00F93733"/>
    <w:rsid w:val="00F93FE7"/>
    <w:rsid w:val="00F96C7E"/>
    <w:rsid w:val="00F97628"/>
    <w:rsid w:val="00F97ABD"/>
    <w:rsid w:val="00FA7DAE"/>
    <w:rsid w:val="00FB0870"/>
    <w:rsid w:val="00FB15D0"/>
    <w:rsid w:val="00FB1FE5"/>
    <w:rsid w:val="00FB218D"/>
    <w:rsid w:val="00FB2C57"/>
    <w:rsid w:val="00FB4336"/>
    <w:rsid w:val="00FB578F"/>
    <w:rsid w:val="00FB7DFC"/>
    <w:rsid w:val="00FC38C9"/>
    <w:rsid w:val="00FC4C22"/>
    <w:rsid w:val="00FC4E9A"/>
    <w:rsid w:val="00FC5998"/>
    <w:rsid w:val="00FD024C"/>
    <w:rsid w:val="00FD0784"/>
    <w:rsid w:val="00FD201F"/>
    <w:rsid w:val="00FD2023"/>
    <w:rsid w:val="00FD257F"/>
    <w:rsid w:val="00FD36F7"/>
    <w:rsid w:val="00FD53B9"/>
    <w:rsid w:val="00FD6041"/>
    <w:rsid w:val="00FD75C0"/>
    <w:rsid w:val="00FE26C4"/>
    <w:rsid w:val="00FE3F09"/>
    <w:rsid w:val="00FE44F6"/>
    <w:rsid w:val="00FF0C4E"/>
    <w:rsid w:val="00FF11FE"/>
    <w:rsid w:val="00FF2034"/>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2" w:uiPriority="99"/>
    <w:lsdException w:name="index 3" w:uiPriority="99"/>
    <w:lsdException w:name="index 4" w:uiPriority="99"/>
    <w:lsdException w:name="caption" w:qFormat="1"/>
    <w:lsdException w:name="Title" w:uiPriority="10" w:qFormat="1"/>
    <w:lsdException w:name="Subtitle" w:uiPriority="11" w:qFormat="1"/>
    <w:lsdException w:name="Body Text 2" w:uiPriority="99"/>
    <w:lsdException w:name="Hyperlink" w:uiPriority="99"/>
    <w:lsdException w:name="Strong" w:qFormat="1"/>
    <w:lsdException w:name="Emphasis" w:qFormat="1"/>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AB6719"/>
    <w:pPr>
      <w:widowControl w:val="0"/>
      <w:bidi/>
      <w:ind w:firstLine="454"/>
      <w:jc w:val="both"/>
    </w:pPr>
    <w:rPr>
      <w:rFonts w:cs="Traditional Arabic"/>
      <w:color w:val="000000"/>
      <w:sz w:val="36"/>
      <w:szCs w:val="36"/>
      <w:lang w:eastAsia="ar-SA"/>
    </w:rPr>
  </w:style>
  <w:style w:type="paragraph" w:styleId="1">
    <w:name w:val="heading 1"/>
    <w:aliases w:val="القسم"/>
    <w:next w:val="a"/>
    <w:link w:val="1Char"/>
    <w:qFormat/>
    <w:rsid w:val="00336EC0"/>
    <w:pPr>
      <w:keepNext/>
      <w:spacing w:after="240"/>
      <w:outlineLvl w:val="0"/>
    </w:pPr>
    <w:rPr>
      <w:b/>
      <w:bCs/>
      <w:noProof/>
      <w:color w:val="000000"/>
      <w:kern w:val="32"/>
      <w:sz w:val="32"/>
      <w:szCs w:val="36"/>
      <w:lang w:eastAsia="ar-SA"/>
    </w:rPr>
  </w:style>
  <w:style w:type="paragraph" w:styleId="2">
    <w:name w:val="heading 2"/>
    <w:aliases w:val="الفصل"/>
    <w:next w:val="a"/>
    <w:link w:val="2Char"/>
    <w:qFormat/>
    <w:rsid w:val="00336EC0"/>
    <w:pPr>
      <w:keepNext/>
      <w:spacing w:before="240" w:after="60"/>
      <w:contextualSpacing/>
      <w:outlineLvl w:val="1"/>
    </w:pPr>
    <w:rPr>
      <w:rFonts w:ascii="Arial" w:hAnsi="Arial" w:cs="Arial"/>
      <w:b/>
      <w:bCs/>
      <w:i/>
      <w:iCs/>
      <w:noProof/>
      <w:color w:val="000000"/>
      <w:sz w:val="28"/>
      <w:szCs w:val="28"/>
      <w:lang w:eastAsia="ar-SA"/>
    </w:rPr>
  </w:style>
  <w:style w:type="paragraph" w:styleId="3">
    <w:name w:val="heading 3"/>
    <w:aliases w:val="المبحث"/>
    <w:next w:val="a"/>
    <w:link w:val="3Char"/>
    <w:qFormat/>
    <w:rsid w:val="00336EC0"/>
    <w:pPr>
      <w:keepNext/>
      <w:spacing w:before="240" w:after="60"/>
      <w:outlineLvl w:val="2"/>
    </w:pPr>
    <w:rPr>
      <w:rFonts w:ascii="Arial" w:hAnsi="Arial" w:cs="Arial"/>
      <w:b/>
      <w:bCs/>
      <w:noProof/>
      <w:color w:val="000000"/>
      <w:sz w:val="26"/>
      <w:szCs w:val="26"/>
      <w:lang w:eastAsia="ar-SA"/>
    </w:rPr>
  </w:style>
  <w:style w:type="paragraph" w:styleId="4">
    <w:name w:val="heading 4"/>
    <w:next w:val="a"/>
    <w:link w:val="4Char"/>
    <w:qFormat/>
    <w:rsid w:val="00336EC0"/>
    <w:pPr>
      <w:keepNext/>
      <w:spacing w:before="240" w:after="60"/>
      <w:outlineLvl w:val="3"/>
    </w:pPr>
    <w:rPr>
      <w:b/>
      <w:bCs/>
      <w:noProof/>
      <w:color w:val="000000"/>
      <w:sz w:val="28"/>
      <w:szCs w:val="28"/>
      <w:lang w:eastAsia="ar-SA"/>
    </w:rPr>
  </w:style>
  <w:style w:type="paragraph" w:styleId="5">
    <w:name w:val="heading 5"/>
    <w:next w:val="a"/>
    <w:link w:val="5Char"/>
    <w:qFormat/>
    <w:rsid w:val="00336EC0"/>
    <w:pPr>
      <w:spacing w:before="240" w:after="60"/>
      <w:outlineLvl w:val="4"/>
    </w:pPr>
    <w:rPr>
      <w:rFonts w:ascii="Tahoma" w:hAnsi="Tahoma" w:cs="Traditional Arabic"/>
      <w:b/>
      <w:bCs/>
      <w:i/>
      <w:iCs/>
      <w:noProof/>
      <w:color w:val="000000"/>
      <w:sz w:val="26"/>
      <w:szCs w:val="26"/>
      <w:lang w:eastAsia="ar-SA"/>
    </w:rPr>
  </w:style>
  <w:style w:type="paragraph" w:styleId="6">
    <w:name w:val="heading 6"/>
    <w:next w:val="a"/>
    <w:link w:val="6Char"/>
    <w:qFormat/>
    <w:rsid w:val="00336EC0"/>
    <w:pPr>
      <w:spacing w:before="240" w:after="60"/>
      <w:outlineLvl w:val="5"/>
    </w:pPr>
    <w:rPr>
      <w:b/>
      <w:bCs/>
      <w:noProof/>
      <w:color w:val="000000"/>
      <w:sz w:val="22"/>
      <w:szCs w:val="22"/>
      <w:lang w:eastAsia="ar-SA"/>
    </w:rPr>
  </w:style>
  <w:style w:type="paragraph" w:styleId="7">
    <w:name w:val="heading 7"/>
    <w:next w:val="a"/>
    <w:link w:val="7Char"/>
    <w:qFormat/>
    <w:rsid w:val="00336EC0"/>
    <w:pPr>
      <w:spacing w:before="240" w:after="60"/>
      <w:outlineLvl w:val="6"/>
    </w:pPr>
    <w:rPr>
      <w:noProof/>
      <w:color w:val="000000"/>
      <w:sz w:val="24"/>
      <w:szCs w:val="24"/>
      <w:lang w:eastAsia="ar-SA"/>
    </w:rPr>
  </w:style>
  <w:style w:type="paragraph" w:styleId="8">
    <w:name w:val="heading 8"/>
    <w:next w:val="a"/>
    <w:link w:val="8Char"/>
    <w:qFormat/>
    <w:rsid w:val="00336EC0"/>
    <w:pPr>
      <w:spacing w:before="240" w:after="60"/>
      <w:outlineLvl w:val="7"/>
    </w:pPr>
    <w:rPr>
      <w:i/>
      <w:iCs/>
      <w:noProof/>
      <w:color w:val="000000"/>
      <w:sz w:val="24"/>
      <w:szCs w:val="24"/>
      <w:lang w:eastAsia="ar-SA"/>
    </w:rPr>
  </w:style>
  <w:style w:type="paragraph" w:styleId="9">
    <w:name w:val="heading 9"/>
    <w:next w:val="a"/>
    <w:link w:val="9Char"/>
    <w:qFormat/>
    <w:rsid w:val="00336EC0"/>
    <w:pPr>
      <w:spacing w:before="240" w:after="60"/>
      <w:outlineLvl w:val="8"/>
    </w:pPr>
    <w:rPr>
      <w:rFonts w:ascii="Arial" w:hAnsi="Arial" w:cs="Arial"/>
      <w:noProof/>
      <w:color w:val="000000"/>
      <w:sz w:val="22"/>
      <w:szCs w:val="22"/>
      <w:lang w:eastAsia="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Tahoma1809">
    <w:name w:val="نمط (لاتيني) Tahoma ‏18 نقطة أسود السطر الأول:  0.9 سم"/>
    <w:basedOn w:val="a"/>
    <w:next w:val="a3"/>
    <w:rsid w:val="00C126BD"/>
    <w:pPr>
      <w:ind w:firstLine="510"/>
    </w:pPr>
    <w:rPr>
      <w:rFonts w:ascii="Tahoma" w:hAnsi="Tahoma"/>
    </w:rPr>
  </w:style>
  <w:style w:type="paragraph" w:styleId="a3">
    <w:name w:val="Plain Text"/>
    <w:basedOn w:val="a"/>
    <w:link w:val="Char"/>
    <w:rsid w:val="00C126BD"/>
    <w:rPr>
      <w:rFonts w:ascii="Courier New" w:hAnsi="Courier New" w:cs="Courier New"/>
      <w:sz w:val="20"/>
      <w:szCs w:val="20"/>
    </w:rPr>
  </w:style>
  <w:style w:type="paragraph" w:styleId="a4">
    <w:name w:val="caption"/>
    <w:basedOn w:val="a"/>
    <w:next w:val="a"/>
    <w:qFormat/>
    <w:rsid w:val="00336EC0"/>
    <w:pPr>
      <w:overflowPunct w:val="0"/>
      <w:autoSpaceDE w:val="0"/>
      <w:autoSpaceDN w:val="0"/>
      <w:adjustRightInd w:val="0"/>
      <w:spacing w:before="120" w:after="120"/>
      <w:ind w:firstLine="0"/>
      <w:textAlignment w:val="baseline"/>
    </w:pPr>
  </w:style>
  <w:style w:type="paragraph" w:styleId="a5">
    <w:name w:val="table of figures"/>
    <w:basedOn w:val="a"/>
    <w:next w:val="a"/>
    <w:rsid w:val="00336EC0"/>
    <w:pPr>
      <w:ind w:left="720" w:hanging="720"/>
    </w:pPr>
  </w:style>
  <w:style w:type="paragraph" w:styleId="10">
    <w:name w:val="toc 1"/>
    <w:basedOn w:val="a"/>
    <w:next w:val="a"/>
    <w:autoRedefine/>
    <w:rsid w:val="00336EC0"/>
  </w:style>
  <w:style w:type="paragraph" w:styleId="20">
    <w:name w:val="toc 2"/>
    <w:basedOn w:val="a"/>
    <w:next w:val="a"/>
    <w:autoRedefine/>
    <w:rsid w:val="00336EC0"/>
    <w:pPr>
      <w:ind w:left="360"/>
    </w:pPr>
  </w:style>
  <w:style w:type="paragraph" w:styleId="30">
    <w:name w:val="toc 3"/>
    <w:basedOn w:val="a"/>
    <w:next w:val="a"/>
    <w:autoRedefine/>
    <w:rsid w:val="00336EC0"/>
    <w:pPr>
      <w:ind w:left="720"/>
    </w:pPr>
  </w:style>
  <w:style w:type="paragraph" w:styleId="40">
    <w:name w:val="toc 4"/>
    <w:basedOn w:val="a"/>
    <w:next w:val="a"/>
    <w:autoRedefine/>
    <w:rsid w:val="00336EC0"/>
    <w:pPr>
      <w:ind w:left="1080"/>
    </w:pPr>
  </w:style>
  <w:style w:type="paragraph" w:styleId="50">
    <w:name w:val="toc 5"/>
    <w:basedOn w:val="a"/>
    <w:next w:val="a"/>
    <w:autoRedefine/>
    <w:rsid w:val="00336EC0"/>
    <w:pPr>
      <w:ind w:left="1440"/>
    </w:pPr>
  </w:style>
  <w:style w:type="paragraph" w:styleId="60">
    <w:name w:val="toc 6"/>
    <w:basedOn w:val="a"/>
    <w:next w:val="a"/>
    <w:autoRedefine/>
    <w:rsid w:val="00336EC0"/>
    <w:pPr>
      <w:ind w:left="1800"/>
    </w:pPr>
  </w:style>
  <w:style w:type="paragraph" w:styleId="70">
    <w:name w:val="toc 7"/>
    <w:basedOn w:val="a"/>
    <w:next w:val="a"/>
    <w:autoRedefine/>
    <w:rsid w:val="00336EC0"/>
    <w:pPr>
      <w:ind w:left="2160"/>
    </w:pPr>
  </w:style>
  <w:style w:type="paragraph" w:styleId="80">
    <w:name w:val="toc 8"/>
    <w:basedOn w:val="a"/>
    <w:next w:val="a"/>
    <w:autoRedefine/>
    <w:rsid w:val="00336EC0"/>
    <w:pPr>
      <w:ind w:left="2520"/>
    </w:pPr>
  </w:style>
  <w:style w:type="paragraph" w:styleId="90">
    <w:name w:val="toc 9"/>
    <w:basedOn w:val="a"/>
    <w:next w:val="a"/>
    <w:autoRedefine/>
    <w:rsid w:val="00336EC0"/>
    <w:pPr>
      <w:ind w:left="2880"/>
    </w:pPr>
  </w:style>
  <w:style w:type="paragraph" w:styleId="a6">
    <w:name w:val="table of authorities"/>
    <w:basedOn w:val="a"/>
    <w:next w:val="a"/>
    <w:rsid w:val="00336EC0"/>
    <w:pPr>
      <w:ind w:left="360" w:hanging="360"/>
    </w:pPr>
  </w:style>
  <w:style w:type="paragraph" w:styleId="a7">
    <w:name w:val="Document Map"/>
    <w:basedOn w:val="a"/>
    <w:link w:val="Char0"/>
    <w:rsid w:val="00336EC0"/>
    <w:pPr>
      <w:shd w:val="clear" w:color="auto" w:fill="000080"/>
    </w:pPr>
  </w:style>
  <w:style w:type="paragraph" w:styleId="a8">
    <w:name w:val="header"/>
    <w:aliases w:val="رأس صفحة"/>
    <w:basedOn w:val="a"/>
    <w:link w:val="Char1"/>
    <w:rsid w:val="00336EC0"/>
    <w:pPr>
      <w:tabs>
        <w:tab w:val="center" w:pos="4153"/>
        <w:tab w:val="right" w:pos="8306"/>
      </w:tabs>
      <w:bidi w:val="0"/>
      <w:ind w:firstLine="0"/>
      <w:jc w:val="lowKashida"/>
    </w:pPr>
    <w:rPr>
      <w:sz w:val="20"/>
      <w:szCs w:val="20"/>
    </w:rPr>
  </w:style>
  <w:style w:type="character" w:styleId="a9">
    <w:name w:val="page number"/>
    <w:aliases w:val="رقم صفحة"/>
    <w:basedOn w:val="a0"/>
    <w:rsid w:val="006E6B72"/>
    <w:rPr>
      <w:rFonts w:cs="Times New Roman"/>
      <w:szCs w:val="32"/>
    </w:rPr>
  </w:style>
  <w:style w:type="paragraph" w:customStyle="1" w:styleId="100">
    <w:name w:val="عنوان 10"/>
    <w:next w:val="a"/>
    <w:rsid w:val="00336EC0"/>
    <w:pPr>
      <w:bidi/>
    </w:pPr>
    <w:rPr>
      <w:rFonts w:ascii="Tahoma" w:hAnsi="Tahoma" w:cs="Monotype Koufi"/>
      <w:bCs/>
      <w:color w:val="000000"/>
      <w:sz w:val="36"/>
      <w:szCs w:val="40"/>
      <w:lang w:eastAsia="ar-SA"/>
    </w:rPr>
  </w:style>
  <w:style w:type="paragraph" w:customStyle="1" w:styleId="11">
    <w:name w:val="عنوان 11"/>
    <w:next w:val="a"/>
    <w:rsid w:val="00336EC0"/>
    <w:rPr>
      <w:rFonts w:ascii="Tahoma" w:hAnsi="Tahoma" w:cs="Andalus"/>
      <w:b/>
      <w:bCs/>
      <w:color w:val="000000"/>
      <w:sz w:val="40"/>
      <w:szCs w:val="40"/>
      <w:lang w:eastAsia="ar-SA"/>
    </w:rPr>
  </w:style>
  <w:style w:type="paragraph" w:customStyle="1" w:styleId="12">
    <w:name w:val="عنوان 12"/>
    <w:next w:val="a"/>
    <w:rsid w:val="00336EC0"/>
    <w:rPr>
      <w:b/>
      <w:bCs/>
      <w:color w:val="000000"/>
      <w:sz w:val="40"/>
      <w:szCs w:val="40"/>
      <w:lang w:eastAsia="ar-SA"/>
    </w:rPr>
  </w:style>
  <w:style w:type="paragraph" w:customStyle="1" w:styleId="13">
    <w:name w:val="عنوان 13"/>
    <w:next w:val="a"/>
    <w:rsid w:val="00336EC0"/>
    <w:rPr>
      <w:rFonts w:ascii="Tahoma" w:hAnsi="Tahoma" w:cs="Simplified Arabic"/>
      <w:b/>
      <w:bCs/>
      <w:i/>
      <w:iCs/>
      <w:color w:val="000000"/>
      <w:sz w:val="36"/>
      <w:szCs w:val="36"/>
      <w:lang w:eastAsia="ar-SA"/>
    </w:rPr>
  </w:style>
  <w:style w:type="paragraph" w:customStyle="1" w:styleId="14">
    <w:name w:val="عنوان 14"/>
    <w:next w:val="a"/>
    <w:rsid w:val="00336EC0"/>
    <w:rPr>
      <w:rFonts w:ascii="Tahoma" w:hAnsi="Tahoma" w:cs="Traditional Arabic"/>
      <w:b/>
      <w:bCs/>
      <w:color w:val="000000"/>
      <w:sz w:val="32"/>
      <w:szCs w:val="32"/>
      <w:lang w:eastAsia="ar-SA"/>
    </w:rPr>
  </w:style>
  <w:style w:type="paragraph" w:styleId="aa">
    <w:name w:val="toa heading"/>
    <w:basedOn w:val="a"/>
    <w:next w:val="a"/>
    <w:rsid w:val="00336EC0"/>
    <w:pPr>
      <w:spacing w:before="120"/>
    </w:pPr>
    <w:rPr>
      <w:rFonts w:ascii="Arial" w:hAnsi="Arial" w:cs="Arial"/>
      <w:b/>
      <w:bCs/>
      <w:sz w:val="24"/>
      <w:szCs w:val="24"/>
    </w:rPr>
  </w:style>
  <w:style w:type="paragraph" w:styleId="Index1">
    <w:name w:val="index 1"/>
    <w:basedOn w:val="a"/>
    <w:next w:val="a"/>
    <w:autoRedefine/>
    <w:semiHidden/>
    <w:rsid w:val="00336EC0"/>
    <w:pPr>
      <w:ind w:left="360" w:hanging="360"/>
    </w:pPr>
  </w:style>
  <w:style w:type="paragraph" w:styleId="ab">
    <w:name w:val="index heading"/>
    <w:basedOn w:val="a"/>
    <w:next w:val="Index1"/>
    <w:rsid w:val="00336EC0"/>
    <w:rPr>
      <w:rFonts w:ascii="Arial" w:hAnsi="Arial" w:cs="Arial"/>
      <w:b/>
      <w:bCs/>
    </w:rPr>
  </w:style>
  <w:style w:type="character" w:styleId="ac">
    <w:name w:val="annotation reference"/>
    <w:basedOn w:val="a0"/>
    <w:rsid w:val="00336EC0"/>
    <w:rPr>
      <w:sz w:val="16"/>
      <w:szCs w:val="16"/>
    </w:rPr>
  </w:style>
  <w:style w:type="character" w:styleId="ad">
    <w:name w:val="endnote reference"/>
    <w:basedOn w:val="a0"/>
    <w:rsid w:val="00336EC0"/>
    <w:rPr>
      <w:vertAlign w:val="superscript"/>
    </w:rPr>
  </w:style>
  <w:style w:type="character" w:styleId="ae">
    <w:name w:val="footnote reference"/>
    <w:aliases w:val="Footnote Reference1,Footnote Reference2,Footnote Reference11,Footnote Reference21,Footnote Reference12,Footnote Reference22,Footnote Reference13,Footnote Reference23,Footnote Reference111,Footnote Reference211,Footnote Reference121"/>
    <w:basedOn w:val="a0"/>
    <w:rsid w:val="00A44C74"/>
    <w:rPr>
      <w:rFonts w:cs="Traditional Arabic"/>
      <w:vertAlign w:val="superscript"/>
    </w:rPr>
  </w:style>
  <w:style w:type="paragraph" w:styleId="af">
    <w:name w:val="annotation text"/>
    <w:basedOn w:val="a"/>
    <w:link w:val="Char2"/>
    <w:rsid w:val="00336EC0"/>
    <w:rPr>
      <w:sz w:val="20"/>
      <w:szCs w:val="28"/>
    </w:rPr>
  </w:style>
  <w:style w:type="paragraph" w:styleId="af0">
    <w:name w:val="annotation subject"/>
    <w:basedOn w:val="af"/>
    <w:next w:val="af"/>
    <w:link w:val="Char3"/>
    <w:rsid w:val="00336EC0"/>
    <w:rPr>
      <w:b/>
      <w:bCs/>
    </w:rPr>
  </w:style>
  <w:style w:type="paragraph" w:styleId="af1">
    <w:name w:val="Body Text"/>
    <w:basedOn w:val="a"/>
    <w:link w:val="Char4"/>
    <w:rsid w:val="00336EC0"/>
    <w:pPr>
      <w:spacing w:after="120"/>
      <w:ind w:firstLine="0"/>
      <w:jc w:val="mediumKashida"/>
    </w:pPr>
    <w:rPr>
      <w:sz w:val="24"/>
      <w:lang w:val="fr-FR"/>
    </w:rPr>
  </w:style>
  <w:style w:type="paragraph" w:styleId="af2">
    <w:name w:val="endnote text"/>
    <w:basedOn w:val="a"/>
    <w:link w:val="Char5"/>
    <w:rsid w:val="00336EC0"/>
    <w:rPr>
      <w:sz w:val="20"/>
      <w:szCs w:val="20"/>
    </w:rPr>
  </w:style>
  <w:style w:type="paragraph" w:styleId="af3">
    <w:name w:val="footnote text"/>
    <w:aliases w:val="Footnote Text"/>
    <w:basedOn w:val="a"/>
    <w:link w:val="Char6"/>
    <w:rsid w:val="00336EC0"/>
    <w:pPr>
      <w:ind w:left="454" w:hanging="454"/>
    </w:pPr>
    <w:rPr>
      <w:sz w:val="28"/>
      <w:szCs w:val="28"/>
    </w:rPr>
  </w:style>
  <w:style w:type="paragraph" w:styleId="af4">
    <w:name w:val="Balloon Text"/>
    <w:basedOn w:val="a"/>
    <w:link w:val="Char7"/>
    <w:rsid w:val="00336EC0"/>
    <w:rPr>
      <w:rFonts w:cs="Tahoma"/>
      <w:sz w:val="16"/>
      <w:szCs w:val="16"/>
    </w:rPr>
  </w:style>
  <w:style w:type="paragraph" w:styleId="af5">
    <w:name w:val="macro"/>
    <w:link w:val="Char8"/>
    <w:rsid w:val="00336EC0"/>
    <w:pPr>
      <w:widowControl w:val="0"/>
      <w:tabs>
        <w:tab w:val="left" w:pos="480"/>
        <w:tab w:val="left" w:pos="960"/>
        <w:tab w:val="left" w:pos="1440"/>
        <w:tab w:val="left" w:pos="1920"/>
        <w:tab w:val="left" w:pos="2400"/>
        <w:tab w:val="left" w:pos="2880"/>
        <w:tab w:val="left" w:pos="3360"/>
        <w:tab w:val="left" w:pos="3840"/>
        <w:tab w:val="left" w:pos="4320"/>
      </w:tabs>
      <w:bidi/>
      <w:ind w:firstLine="454"/>
      <w:jc w:val="both"/>
    </w:pPr>
    <w:rPr>
      <w:rFonts w:ascii="Courier New" w:hAnsi="Courier New" w:cs="Courier New"/>
      <w:color w:val="000000"/>
      <w:lang w:eastAsia="ar-SA"/>
    </w:rPr>
  </w:style>
  <w:style w:type="paragraph" w:styleId="af6">
    <w:name w:val="Block Text"/>
    <w:basedOn w:val="a"/>
    <w:rsid w:val="00336EC0"/>
    <w:pPr>
      <w:ind w:left="566" w:hanging="566"/>
      <w:jc w:val="lowKashida"/>
    </w:pPr>
    <w:rPr>
      <w:sz w:val="18"/>
      <w:szCs w:val="30"/>
    </w:rPr>
  </w:style>
  <w:style w:type="paragraph" w:customStyle="1" w:styleId="15">
    <w:name w:val="نمط إضافي 1"/>
    <w:basedOn w:val="a"/>
    <w:next w:val="a"/>
    <w:rsid w:val="00336EC0"/>
    <w:pPr>
      <w:ind w:firstLine="0"/>
      <w:jc w:val="left"/>
    </w:pPr>
    <w:rPr>
      <w:rFonts w:cs="Andalus"/>
      <w:color w:val="0000FF"/>
      <w:szCs w:val="40"/>
    </w:rPr>
  </w:style>
  <w:style w:type="paragraph" w:customStyle="1" w:styleId="21">
    <w:name w:val="نمط إضافي 2"/>
    <w:basedOn w:val="a"/>
    <w:next w:val="a"/>
    <w:rsid w:val="00336EC0"/>
    <w:pPr>
      <w:ind w:firstLine="0"/>
      <w:jc w:val="left"/>
    </w:pPr>
    <w:rPr>
      <w:rFonts w:cs="Monotype Koufi"/>
      <w:bCs/>
      <w:color w:val="008000"/>
      <w:szCs w:val="44"/>
    </w:rPr>
  </w:style>
  <w:style w:type="paragraph" w:customStyle="1" w:styleId="31">
    <w:name w:val="نمط إضافي 3"/>
    <w:basedOn w:val="a"/>
    <w:next w:val="a"/>
    <w:rsid w:val="00336EC0"/>
    <w:pPr>
      <w:ind w:firstLine="0"/>
      <w:jc w:val="left"/>
    </w:pPr>
    <w:rPr>
      <w:rFonts w:cs="Tahoma"/>
      <w:color w:val="800080"/>
    </w:rPr>
  </w:style>
  <w:style w:type="paragraph" w:customStyle="1" w:styleId="41">
    <w:name w:val="نمط إضافي 4"/>
    <w:basedOn w:val="a"/>
    <w:next w:val="a"/>
    <w:rsid w:val="00336EC0"/>
    <w:pPr>
      <w:ind w:firstLine="0"/>
      <w:jc w:val="left"/>
    </w:pPr>
    <w:rPr>
      <w:rFonts w:cs="Simplified Arabic Fixed"/>
      <w:color w:val="FF6600"/>
      <w:sz w:val="44"/>
    </w:rPr>
  </w:style>
  <w:style w:type="paragraph" w:customStyle="1" w:styleId="51">
    <w:name w:val="نمط إضافي 5"/>
    <w:basedOn w:val="a"/>
    <w:next w:val="a"/>
    <w:rsid w:val="00336EC0"/>
    <w:pPr>
      <w:ind w:firstLine="0"/>
      <w:jc w:val="left"/>
    </w:pPr>
    <w:rPr>
      <w:rFonts w:cs="DecoType Naskh"/>
      <w:color w:val="3366FF"/>
      <w:szCs w:val="44"/>
    </w:rPr>
  </w:style>
  <w:style w:type="character" w:customStyle="1" w:styleId="16">
    <w:name w:val="نمط حرفي 1"/>
    <w:rsid w:val="00336EC0"/>
    <w:rPr>
      <w:rFonts w:cs="Times New Roman"/>
      <w:szCs w:val="40"/>
    </w:rPr>
  </w:style>
  <w:style w:type="character" w:customStyle="1" w:styleId="22">
    <w:name w:val="نمط حرفي 2"/>
    <w:rsid w:val="00336EC0"/>
    <w:rPr>
      <w:rFonts w:ascii="Times New Roman" w:hAnsi="Times New Roman" w:cs="Times New Roman"/>
      <w:sz w:val="40"/>
      <w:szCs w:val="40"/>
    </w:rPr>
  </w:style>
  <w:style w:type="character" w:customStyle="1" w:styleId="32">
    <w:name w:val="نمط حرفي 3"/>
    <w:rsid w:val="00336EC0"/>
    <w:rPr>
      <w:rFonts w:ascii="Times New Roman" w:hAnsi="Times New Roman" w:cs="Times New Roman"/>
      <w:sz w:val="40"/>
      <w:szCs w:val="40"/>
    </w:rPr>
  </w:style>
  <w:style w:type="character" w:customStyle="1" w:styleId="42">
    <w:name w:val="نمط حرفي 4"/>
    <w:rsid w:val="00336EC0"/>
    <w:rPr>
      <w:rFonts w:cs="Times New Roman"/>
      <w:szCs w:val="40"/>
    </w:rPr>
  </w:style>
  <w:style w:type="character" w:customStyle="1" w:styleId="52">
    <w:name w:val="نمط حرفي 5"/>
    <w:rsid w:val="00336EC0"/>
    <w:rPr>
      <w:rFonts w:cs="Times New Roman"/>
      <w:szCs w:val="40"/>
    </w:rPr>
  </w:style>
  <w:style w:type="character" w:customStyle="1" w:styleId="af7">
    <w:name w:val="حديث"/>
    <w:basedOn w:val="a0"/>
    <w:rsid w:val="004445F8"/>
    <w:rPr>
      <w:rFonts w:cs="Traditional Arabic"/>
      <w:szCs w:val="36"/>
    </w:rPr>
  </w:style>
  <w:style w:type="character" w:customStyle="1" w:styleId="af8">
    <w:name w:val="أثر"/>
    <w:basedOn w:val="a0"/>
    <w:rsid w:val="004445F8"/>
    <w:rPr>
      <w:rFonts w:cs="Traditional Arabic"/>
      <w:szCs w:val="36"/>
    </w:rPr>
  </w:style>
  <w:style w:type="character" w:customStyle="1" w:styleId="af9">
    <w:name w:val="مثل"/>
    <w:basedOn w:val="a0"/>
    <w:rsid w:val="004445F8"/>
    <w:rPr>
      <w:rFonts w:cs="Traditional Arabic"/>
      <w:szCs w:val="36"/>
    </w:rPr>
  </w:style>
  <w:style w:type="character" w:customStyle="1" w:styleId="afa">
    <w:name w:val="قول"/>
    <w:basedOn w:val="a0"/>
    <w:rsid w:val="004445F8"/>
    <w:rPr>
      <w:rFonts w:cs="Traditional Arabic"/>
      <w:szCs w:val="36"/>
    </w:rPr>
  </w:style>
  <w:style w:type="character" w:customStyle="1" w:styleId="afb">
    <w:name w:val="شعر"/>
    <w:basedOn w:val="a0"/>
    <w:rsid w:val="004445F8"/>
    <w:rPr>
      <w:rFonts w:cs="Traditional Arabic"/>
      <w:szCs w:val="36"/>
    </w:rPr>
  </w:style>
  <w:style w:type="character" w:customStyle="1" w:styleId="TraditionalArabic">
    <w:name w:val="نمط مرجع حاشية سفلية + (العربية وغيرها) Traditional Arabic"/>
    <w:basedOn w:val="ae"/>
    <w:rsid w:val="00A44C74"/>
    <w:rPr>
      <w:rFonts w:cs="Traditional Arabic"/>
      <w:vertAlign w:val="superscript"/>
    </w:rPr>
  </w:style>
  <w:style w:type="character" w:customStyle="1" w:styleId="Char6">
    <w:name w:val="نص حاشية سفلية Char"/>
    <w:aliases w:val="Footnote Text Char"/>
    <w:basedOn w:val="a0"/>
    <w:link w:val="af3"/>
    <w:rsid w:val="00AB6719"/>
    <w:rPr>
      <w:rFonts w:cs="Traditional Arabic"/>
      <w:color w:val="000000"/>
      <w:sz w:val="28"/>
      <w:szCs w:val="28"/>
      <w:lang w:eastAsia="ar-SA"/>
    </w:rPr>
  </w:style>
  <w:style w:type="paragraph" w:styleId="afc">
    <w:name w:val="footer"/>
    <w:aliases w:val="تذييل صفحة,Footer"/>
    <w:basedOn w:val="a"/>
    <w:link w:val="Char9"/>
    <w:rsid w:val="003D3C7E"/>
    <w:pPr>
      <w:tabs>
        <w:tab w:val="center" w:pos="4153"/>
        <w:tab w:val="right" w:pos="8306"/>
      </w:tabs>
    </w:pPr>
  </w:style>
  <w:style w:type="character" w:customStyle="1" w:styleId="Char9">
    <w:name w:val="تذييل الصفحة Char"/>
    <w:aliases w:val="تذييل صفحة Char1,Footer Char1"/>
    <w:basedOn w:val="a0"/>
    <w:link w:val="afc"/>
    <w:rsid w:val="003D3C7E"/>
    <w:rPr>
      <w:rFonts w:cs="Traditional Arabic"/>
      <w:color w:val="000000"/>
      <w:sz w:val="36"/>
      <w:szCs w:val="36"/>
      <w:lang w:eastAsia="ar-SA"/>
    </w:rPr>
  </w:style>
  <w:style w:type="character" w:customStyle="1" w:styleId="Char1">
    <w:name w:val="رأس الصفحة Char"/>
    <w:aliases w:val="رأس صفحة Char1"/>
    <w:basedOn w:val="a0"/>
    <w:link w:val="a8"/>
    <w:uiPriority w:val="99"/>
    <w:rsid w:val="00EF3531"/>
    <w:rPr>
      <w:rFonts w:cs="Traditional Arabic"/>
      <w:color w:val="000000"/>
      <w:lang w:eastAsia="ar-SA"/>
    </w:rPr>
  </w:style>
  <w:style w:type="character" w:customStyle="1" w:styleId="1Char">
    <w:name w:val="عنوان 1 Char"/>
    <w:aliases w:val="القسم Char"/>
    <w:basedOn w:val="a0"/>
    <w:link w:val="1"/>
    <w:uiPriority w:val="99"/>
    <w:rsid w:val="00D11232"/>
    <w:rPr>
      <w:b/>
      <w:bCs/>
      <w:noProof/>
      <w:color w:val="000000"/>
      <w:kern w:val="32"/>
      <w:sz w:val="32"/>
      <w:szCs w:val="36"/>
      <w:lang w:eastAsia="ar-SA"/>
    </w:rPr>
  </w:style>
  <w:style w:type="character" w:customStyle="1" w:styleId="2Char">
    <w:name w:val="عنوان 2 Char"/>
    <w:aliases w:val="الفصل Char"/>
    <w:basedOn w:val="a0"/>
    <w:link w:val="2"/>
    <w:uiPriority w:val="99"/>
    <w:rsid w:val="00D11232"/>
    <w:rPr>
      <w:rFonts w:ascii="Arial" w:hAnsi="Arial" w:cs="Arial"/>
      <w:b/>
      <w:bCs/>
      <w:i/>
      <w:iCs/>
      <w:noProof/>
      <w:color w:val="000000"/>
      <w:sz w:val="28"/>
      <w:szCs w:val="28"/>
      <w:lang w:eastAsia="ar-SA"/>
    </w:rPr>
  </w:style>
  <w:style w:type="character" w:customStyle="1" w:styleId="3Char">
    <w:name w:val="عنوان 3 Char"/>
    <w:aliases w:val="المبحث Char"/>
    <w:basedOn w:val="a0"/>
    <w:link w:val="3"/>
    <w:uiPriority w:val="99"/>
    <w:rsid w:val="00D11232"/>
    <w:rPr>
      <w:rFonts w:ascii="Arial" w:hAnsi="Arial" w:cs="Arial"/>
      <w:b/>
      <w:bCs/>
      <w:noProof/>
      <w:color w:val="000000"/>
      <w:sz w:val="26"/>
      <w:szCs w:val="26"/>
      <w:lang w:eastAsia="ar-SA"/>
    </w:rPr>
  </w:style>
  <w:style w:type="character" w:customStyle="1" w:styleId="4Char">
    <w:name w:val="عنوان 4 Char"/>
    <w:basedOn w:val="a0"/>
    <w:link w:val="4"/>
    <w:uiPriority w:val="99"/>
    <w:rsid w:val="00D11232"/>
    <w:rPr>
      <w:b/>
      <w:bCs/>
      <w:noProof/>
      <w:color w:val="000000"/>
      <w:sz w:val="28"/>
      <w:szCs w:val="28"/>
      <w:lang w:eastAsia="ar-SA"/>
    </w:rPr>
  </w:style>
  <w:style w:type="character" w:customStyle="1" w:styleId="5Char">
    <w:name w:val="عنوان 5 Char"/>
    <w:basedOn w:val="a0"/>
    <w:link w:val="5"/>
    <w:uiPriority w:val="99"/>
    <w:rsid w:val="00D11232"/>
    <w:rPr>
      <w:rFonts w:ascii="Tahoma" w:hAnsi="Tahoma" w:cs="Traditional Arabic"/>
      <w:b/>
      <w:bCs/>
      <w:i/>
      <w:iCs/>
      <w:noProof/>
      <w:color w:val="000000"/>
      <w:sz w:val="26"/>
      <w:szCs w:val="26"/>
      <w:lang w:eastAsia="ar-SA"/>
    </w:rPr>
  </w:style>
  <w:style w:type="character" w:customStyle="1" w:styleId="6Char">
    <w:name w:val="عنوان 6 Char"/>
    <w:basedOn w:val="a0"/>
    <w:link w:val="6"/>
    <w:uiPriority w:val="99"/>
    <w:rsid w:val="00D11232"/>
    <w:rPr>
      <w:b/>
      <w:bCs/>
      <w:noProof/>
      <w:color w:val="000000"/>
      <w:sz w:val="22"/>
      <w:szCs w:val="22"/>
      <w:lang w:eastAsia="ar-SA"/>
    </w:rPr>
  </w:style>
  <w:style w:type="character" w:customStyle="1" w:styleId="7Char">
    <w:name w:val="عنوان 7 Char"/>
    <w:basedOn w:val="a0"/>
    <w:link w:val="7"/>
    <w:uiPriority w:val="99"/>
    <w:rsid w:val="00D11232"/>
    <w:rPr>
      <w:noProof/>
      <w:color w:val="000000"/>
      <w:sz w:val="24"/>
      <w:szCs w:val="24"/>
      <w:lang w:eastAsia="ar-SA"/>
    </w:rPr>
  </w:style>
  <w:style w:type="character" w:customStyle="1" w:styleId="8Char">
    <w:name w:val="عنوان 8 Char"/>
    <w:basedOn w:val="a0"/>
    <w:link w:val="8"/>
    <w:uiPriority w:val="99"/>
    <w:rsid w:val="00D11232"/>
    <w:rPr>
      <w:i/>
      <w:iCs/>
      <w:noProof/>
      <w:color w:val="000000"/>
      <w:sz w:val="24"/>
      <w:szCs w:val="24"/>
      <w:lang w:eastAsia="ar-SA"/>
    </w:rPr>
  </w:style>
  <w:style w:type="character" w:customStyle="1" w:styleId="9Char">
    <w:name w:val="عنوان 9 Char"/>
    <w:basedOn w:val="a0"/>
    <w:link w:val="9"/>
    <w:uiPriority w:val="99"/>
    <w:rsid w:val="00D11232"/>
    <w:rPr>
      <w:rFonts w:ascii="Arial" w:hAnsi="Arial" w:cs="Arial"/>
      <w:noProof/>
      <w:color w:val="000000"/>
      <w:sz w:val="22"/>
      <w:szCs w:val="22"/>
      <w:lang w:eastAsia="ar-SA"/>
    </w:rPr>
  </w:style>
  <w:style w:type="paragraph" w:customStyle="1" w:styleId="Chara">
    <w:name w:val="Char"/>
    <w:basedOn w:val="a"/>
    <w:rsid w:val="00D11232"/>
    <w:pPr>
      <w:widowControl/>
      <w:ind w:firstLine="0"/>
      <w:jc w:val="left"/>
    </w:pPr>
    <w:rPr>
      <w:rFonts w:cs="Times New Roman"/>
      <w:color w:val="auto"/>
      <w:sz w:val="24"/>
      <w:szCs w:val="24"/>
      <w:lang w:eastAsia="en-US"/>
    </w:rPr>
  </w:style>
  <w:style w:type="paragraph" w:customStyle="1" w:styleId="ParaChar">
    <w:name w:val="خط الفقرة الافتراضي Para Char"/>
    <w:basedOn w:val="a"/>
    <w:rsid w:val="00D11232"/>
    <w:pPr>
      <w:widowControl/>
      <w:ind w:firstLine="0"/>
      <w:jc w:val="left"/>
    </w:pPr>
    <w:rPr>
      <w:rFonts w:cs="Times New Roman"/>
      <w:color w:val="auto"/>
      <w:sz w:val="24"/>
      <w:szCs w:val="24"/>
      <w:lang w:eastAsia="en-US"/>
    </w:rPr>
  </w:style>
  <w:style w:type="character" w:customStyle="1" w:styleId="Char4">
    <w:name w:val="نص أساسي Char"/>
    <w:basedOn w:val="a0"/>
    <w:link w:val="af1"/>
    <w:uiPriority w:val="99"/>
    <w:rsid w:val="00D11232"/>
    <w:rPr>
      <w:rFonts w:cs="Traditional Arabic"/>
      <w:color w:val="000000"/>
      <w:sz w:val="24"/>
      <w:szCs w:val="36"/>
      <w:lang w:val="fr-FR" w:eastAsia="ar-SA"/>
    </w:rPr>
  </w:style>
  <w:style w:type="character" w:customStyle="1" w:styleId="Char10">
    <w:name w:val="نص أساسي Char1"/>
    <w:basedOn w:val="a0"/>
    <w:uiPriority w:val="99"/>
    <w:semiHidden/>
    <w:rsid w:val="00D11232"/>
    <w:rPr>
      <w:rFonts w:ascii="Times New Roman" w:eastAsia="Times New Roman" w:hAnsi="Times New Roman"/>
      <w:color w:val="000000"/>
      <w:sz w:val="32"/>
      <w:szCs w:val="36"/>
    </w:rPr>
  </w:style>
  <w:style w:type="character" w:customStyle="1" w:styleId="Char7">
    <w:name w:val="نص في بالون Char"/>
    <w:basedOn w:val="a0"/>
    <w:link w:val="af4"/>
    <w:uiPriority w:val="99"/>
    <w:rsid w:val="00D11232"/>
    <w:rPr>
      <w:rFonts w:cs="Tahoma"/>
      <w:color w:val="000000"/>
      <w:sz w:val="16"/>
      <w:szCs w:val="16"/>
      <w:lang w:eastAsia="ar-SA"/>
    </w:rPr>
  </w:style>
  <w:style w:type="paragraph" w:styleId="afd">
    <w:name w:val="List Paragraph"/>
    <w:basedOn w:val="a"/>
    <w:uiPriority w:val="34"/>
    <w:qFormat/>
    <w:rsid w:val="00D11232"/>
    <w:pPr>
      <w:widowControl/>
      <w:ind w:left="720" w:firstLine="0"/>
      <w:contextualSpacing/>
      <w:jc w:val="left"/>
    </w:pPr>
    <w:rPr>
      <w:rFonts w:cs="Times New Roman"/>
      <w:color w:val="auto"/>
      <w:sz w:val="24"/>
      <w:szCs w:val="24"/>
      <w:lang w:eastAsia="en-US"/>
    </w:rPr>
  </w:style>
  <w:style w:type="character" w:customStyle="1" w:styleId="afe">
    <w:name w:val="نمط أسود"/>
    <w:basedOn w:val="a0"/>
    <w:rsid w:val="00D11232"/>
    <w:rPr>
      <w:rFonts w:ascii="Traditional Arabic" w:hAnsi="Traditional Arabic" w:cs="Traditional Arabic"/>
      <w:color w:val="000000"/>
      <w:sz w:val="36"/>
      <w:szCs w:val="36"/>
      <w:u w:val="none"/>
    </w:rPr>
  </w:style>
  <w:style w:type="paragraph" w:customStyle="1" w:styleId="UA">
    <w:name w:val="&lt;UA+&gt;"/>
    <w:basedOn w:val="a"/>
    <w:link w:val="UAChar"/>
    <w:uiPriority w:val="99"/>
    <w:rsid w:val="00D11232"/>
    <w:pPr>
      <w:spacing w:after="240" w:line="560" w:lineRule="exact"/>
      <w:ind w:firstLine="567"/>
      <w:jc w:val="lowKashida"/>
    </w:pPr>
    <w:rPr>
      <w:rFonts w:cs="Times New Roman"/>
      <w:color w:val="auto"/>
      <w:sz w:val="34"/>
      <w:szCs w:val="34"/>
      <w:lang w:eastAsia="en-US"/>
    </w:rPr>
  </w:style>
  <w:style w:type="character" w:customStyle="1" w:styleId="UAChar">
    <w:name w:val="&lt;UA+&gt; Char"/>
    <w:basedOn w:val="a0"/>
    <w:link w:val="UA"/>
    <w:uiPriority w:val="99"/>
    <w:rsid w:val="00D11232"/>
    <w:rPr>
      <w:sz w:val="34"/>
      <w:szCs w:val="34"/>
    </w:rPr>
  </w:style>
  <w:style w:type="character" w:customStyle="1" w:styleId="Char">
    <w:name w:val="نص عادي Char"/>
    <w:basedOn w:val="a0"/>
    <w:link w:val="a3"/>
    <w:uiPriority w:val="99"/>
    <w:rsid w:val="00D11232"/>
    <w:rPr>
      <w:rFonts w:ascii="Courier New" w:hAnsi="Courier New" w:cs="Courier New"/>
      <w:color w:val="000000"/>
      <w:lang w:eastAsia="ar-SA"/>
    </w:rPr>
  </w:style>
  <w:style w:type="character" w:customStyle="1" w:styleId="Char0">
    <w:name w:val="مخطط المستند Char"/>
    <w:basedOn w:val="a0"/>
    <w:link w:val="a7"/>
    <w:uiPriority w:val="99"/>
    <w:rsid w:val="00D11232"/>
    <w:rPr>
      <w:rFonts w:cs="Traditional Arabic"/>
      <w:color w:val="000000"/>
      <w:sz w:val="36"/>
      <w:szCs w:val="36"/>
      <w:shd w:val="clear" w:color="auto" w:fill="000080"/>
      <w:lang w:eastAsia="ar-SA"/>
    </w:rPr>
  </w:style>
  <w:style w:type="character" w:customStyle="1" w:styleId="Char11">
    <w:name w:val="مخطط المستند Char1"/>
    <w:basedOn w:val="a0"/>
    <w:uiPriority w:val="99"/>
    <w:semiHidden/>
    <w:rsid w:val="00D11232"/>
    <w:rPr>
      <w:rFonts w:ascii="Tahoma" w:eastAsia="Times New Roman" w:hAnsi="Tahoma" w:cs="Tahoma"/>
      <w:color w:val="000000"/>
      <w:sz w:val="16"/>
      <w:szCs w:val="16"/>
    </w:rPr>
  </w:style>
  <w:style w:type="character" w:customStyle="1" w:styleId="Char2">
    <w:name w:val="نص تعليق Char"/>
    <w:basedOn w:val="a0"/>
    <w:link w:val="af"/>
    <w:uiPriority w:val="99"/>
    <w:rsid w:val="00D11232"/>
    <w:rPr>
      <w:rFonts w:cs="Traditional Arabic"/>
      <w:color w:val="000000"/>
      <w:szCs w:val="28"/>
      <w:lang w:eastAsia="ar-SA"/>
    </w:rPr>
  </w:style>
  <w:style w:type="character" w:customStyle="1" w:styleId="Char12">
    <w:name w:val="نص تعليق Char1"/>
    <w:basedOn w:val="a0"/>
    <w:uiPriority w:val="99"/>
    <w:semiHidden/>
    <w:rsid w:val="00D11232"/>
    <w:rPr>
      <w:rFonts w:ascii="Times New Roman" w:eastAsia="Times New Roman" w:hAnsi="Times New Roman"/>
      <w:color w:val="000000"/>
    </w:rPr>
  </w:style>
  <w:style w:type="character" w:customStyle="1" w:styleId="Char3">
    <w:name w:val="موضوع تعليق Char"/>
    <w:basedOn w:val="Char2"/>
    <w:link w:val="af0"/>
    <w:uiPriority w:val="99"/>
    <w:rsid w:val="00D11232"/>
    <w:rPr>
      <w:rFonts w:cs="Traditional Arabic"/>
      <w:b/>
      <w:bCs/>
      <w:color w:val="000000"/>
      <w:szCs w:val="28"/>
      <w:lang w:eastAsia="ar-SA"/>
    </w:rPr>
  </w:style>
  <w:style w:type="character" w:customStyle="1" w:styleId="Char13">
    <w:name w:val="موضوع تعليق Char1"/>
    <w:basedOn w:val="Char12"/>
    <w:uiPriority w:val="99"/>
    <w:semiHidden/>
    <w:rsid w:val="00D11232"/>
    <w:rPr>
      <w:rFonts w:ascii="Times New Roman" w:eastAsia="Times New Roman" w:hAnsi="Times New Roman"/>
      <w:b/>
      <w:bCs/>
      <w:color w:val="000000"/>
    </w:rPr>
  </w:style>
  <w:style w:type="character" w:customStyle="1" w:styleId="Char5">
    <w:name w:val="نص تعليق ختامي Char"/>
    <w:basedOn w:val="a0"/>
    <w:link w:val="af2"/>
    <w:uiPriority w:val="99"/>
    <w:rsid w:val="00D11232"/>
    <w:rPr>
      <w:rFonts w:cs="Traditional Arabic"/>
      <w:color w:val="000000"/>
      <w:lang w:eastAsia="ar-SA"/>
    </w:rPr>
  </w:style>
  <w:style w:type="character" w:customStyle="1" w:styleId="Char14">
    <w:name w:val="نص تعليق ختامي Char1"/>
    <w:basedOn w:val="a0"/>
    <w:uiPriority w:val="99"/>
    <w:semiHidden/>
    <w:rsid w:val="00D11232"/>
    <w:rPr>
      <w:rFonts w:ascii="Times New Roman" w:eastAsia="Times New Roman" w:hAnsi="Times New Roman"/>
      <w:color w:val="000000"/>
    </w:rPr>
  </w:style>
  <w:style w:type="character" w:customStyle="1" w:styleId="Char8">
    <w:name w:val="نص ماكرو Char"/>
    <w:basedOn w:val="a0"/>
    <w:link w:val="af5"/>
    <w:uiPriority w:val="99"/>
    <w:rsid w:val="00D11232"/>
    <w:rPr>
      <w:rFonts w:ascii="Courier New" w:hAnsi="Courier New" w:cs="Courier New"/>
      <w:color w:val="000000"/>
      <w:lang w:eastAsia="ar-SA"/>
    </w:rPr>
  </w:style>
  <w:style w:type="character" w:customStyle="1" w:styleId="Char15">
    <w:name w:val="نص ماكرو Char1"/>
    <w:basedOn w:val="a0"/>
    <w:uiPriority w:val="99"/>
    <w:semiHidden/>
    <w:rsid w:val="00D11232"/>
    <w:rPr>
      <w:rFonts w:ascii="Consolas" w:eastAsia="Times New Roman" w:hAnsi="Consolas" w:cs="Consolas"/>
      <w:color w:val="000000"/>
    </w:rPr>
  </w:style>
  <w:style w:type="character" w:styleId="Hyperlink">
    <w:name w:val="Hyperlink"/>
    <w:basedOn w:val="a0"/>
    <w:uiPriority w:val="99"/>
    <w:rsid w:val="00D11232"/>
    <w:rPr>
      <w:rFonts w:cs="Times New Roman"/>
      <w:color w:val="0000FF"/>
      <w:u w:val="single"/>
    </w:rPr>
  </w:style>
  <w:style w:type="paragraph" w:customStyle="1" w:styleId="UA1">
    <w:name w:val="&lt;UA1+&gt;"/>
    <w:basedOn w:val="a"/>
    <w:next w:val="UA"/>
    <w:uiPriority w:val="99"/>
    <w:rsid w:val="00D11232"/>
    <w:pPr>
      <w:keepNext/>
      <w:ind w:firstLine="0"/>
    </w:pPr>
    <w:rPr>
      <w:rFonts w:cs="Simplified Arabic"/>
      <w:b/>
      <w:bCs/>
      <w:color w:val="auto"/>
      <w:sz w:val="32"/>
      <w:szCs w:val="34"/>
      <w:lang w:eastAsia="en-US"/>
    </w:rPr>
  </w:style>
  <w:style w:type="paragraph" w:customStyle="1" w:styleId="aff">
    <w:name w:val="الباب"/>
    <w:basedOn w:val="aff0"/>
    <w:link w:val="Charb"/>
    <w:rsid w:val="00D11232"/>
    <w:pPr>
      <w:pBdr>
        <w:top w:val="single" w:sz="4" w:space="1" w:color="auto"/>
        <w:left w:val="single" w:sz="4" w:space="4" w:color="auto"/>
        <w:bottom w:val="single" w:sz="4" w:space="1" w:color="auto"/>
        <w:right w:val="single" w:sz="4" w:space="4" w:color="auto"/>
      </w:pBdr>
      <w:shd w:val="pct10" w:color="000000" w:fill="FFFFFF"/>
      <w:spacing w:after="80"/>
      <w:ind w:left="1134" w:right="1134"/>
      <w:contextualSpacing w:val="0"/>
      <w:jc w:val="center"/>
    </w:pPr>
    <w:rPr>
      <w:rFonts w:ascii="Librarian" w:eastAsia="Times New Roman" w:hAnsi="Librarian" w:cs="MCS ALMAALIM HIGH"/>
      <w:b/>
      <w:bCs/>
      <w:color w:val="000000"/>
      <w:spacing w:val="0"/>
      <w:sz w:val="26"/>
      <w:szCs w:val="50"/>
    </w:rPr>
  </w:style>
  <w:style w:type="paragraph" w:customStyle="1" w:styleId="aff1">
    <w:name w:val="أسماء الأعلام"/>
    <w:basedOn w:val="a"/>
    <w:link w:val="Charc"/>
    <w:rsid w:val="00D11232"/>
    <w:pPr>
      <w:keepNext/>
      <w:spacing w:before="200" w:after="120" w:line="640" w:lineRule="exact"/>
      <w:ind w:firstLine="0"/>
      <w:jc w:val="center"/>
    </w:pPr>
    <w:rPr>
      <w:rFonts w:cs="MCS Taybah S_U normal."/>
      <w:color w:val="auto"/>
      <w:sz w:val="50"/>
      <w:szCs w:val="44"/>
      <w:lang w:eastAsia="en-US"/>
      <w14:shadow w14:blurRad="50800" w14:dist="38100" w14:dir="2700000" w14:sx="100000" w14:sy="100000" w14:kx="0" w14:ky="0" w14:algn="tl">
        <w14:srgbClr w14:val="000000">
          <w14:alpha w14:val="60000"/>
        </w14:srgbClr>
      </w14:shadow>
    </w:rPr>
  </w:style>
  <w:style w:type="paragraph" w:customStyle="1" w:styleId="aff2">
    <w:name w:val="نمط فاصل"/>
    <w:basedOn w:val="a"/>
    <w:link w:val="Chard"/>
    <w:rsid w:val="00D11232"/>
    <w:pPr>
      <w:widowControl/>
      <w:spacing w:line="14" w:lineRule="auto"/>
      <w:ind w:firstLine="0"/>
      <w:jc w:val="lowKashida"/>
    </w:pPr>
    <w:rPr>
      <w:rFonts w:ascii="Librarian" w:hAnsi="Librarian" w:cs="mylotus"/>
      <w:szCs w:val="27"/>
      <w:lang w:eastAsia="en-US"/>
    </w:rPr>
  </w:style>
  <w:style w:type="character" w:customStyle="1" w:styleId="Charc">
    <w:name w:val="أسماء الأعلام Char"/>
    <w:link w:val="aff1"/>
    <w:rsid w:val="00D11232"/>
    <w:rPr>
      <w:rFonts w:cs="MCS Taybah S_U normal."/>
      <w:sz w:val="50"/>
      <w:szCs w:val="44"/>
      <w14:shadow w14:blurRad="50800" w14:dist="38100" w14:dir="2700000" w14:sx="100000" w14:sy="100000" w14:kx="0" w14:ky="0" w14:algn="tl">
        <w14:srgbClr w14:val="000000">
          <w14:alpha w14:val="60000"/>
        </w14:srgbClr>
      </w14:shadow>
    </w:rPr>
  </w:style>
  <w:style w:type="character" w:customStyle="1" w:styleId="Charb">
    <w:name w:val="الباب Char"/>
    <w:link w:val="aff"/>
    <w:rsid w:val="00D11232"/>
    <w:rPr>
      <w:rFonts w:ascii="Librarian" w:hAnsi="Librarian" w:cs="MCS ALMAALIM HIGH"/>
      <w:b/>
      <w:bCs/>
      <w:color w:val="000000"/>
      <w:kern w:val="28"/>
      <w:sz w:val="26"/>
      <w:szCs w:val="50"/>
      <w:shd w:val="pct10" w:color="000000" w:fill="FFFFFF"/>
    </w:rPr>
  </w:style>
  <w:style w:type="character" w:customStyle="1" w:styleId="Chare">
    <w:name w:val="رأس صفحة Char"/>
    <w:uiPriority w:val="99"/>
    <w:locked/>
    <w:rsid w:val="00D11232"/>
    <w:rPr>
      <w:rFonts w:cs="mylotus"/>
      <w:color w:val="000000"/>
      <w:sz w:val="29"/>
      <w:szCs w:val="48"/>
      <w:lang w:val="en-US" w:eastAsia="en-US" w:bidi="ar-SA"/>
    </w:rPr>
  </w:style>
  <w:style w:type="character" w:customStyle="1" w:styleId="Charf">
    <w:name w:val="تذييل صفحة Char"/>
    <w:aliases w:val="Footer Char"/>
    <w:uiPriority w:val="99"/>
    <w:locked/>
    <w:rsid w:val="00D11232"/>
    <w:rPr>
      <w:rFonts w:cs="mylotus"/>
      <w:color w:val="000000"/>
      <w:sz w:val="29"/>
      <w:szCs w:val="48"/>
      <w:lang w:val="en-US" w:eastAsia="en-US" w:bidi="ar-SA"/>
    </w:rPr>
  </w:style>
  <w:style w:type="paragraph" w:customStyle="1" w:styleId="aff3">
    <w:name w:val="فقرة جديدة"/>
    <w:basedOn w:val="23"/>
    <w:link w:val="Charf0"/>
    <w:rsid w:val="00D11232"/>
    <w:pPr>
      <w:tabs>
        <w:tab w:val="left" w:pos="3993"/>
      </w:tabs>
      <w:spacing w:after="0" w:line="500" w:lineRule="exact"/>
      <w:jc w:val="lowKashida"/>
    </w:pPr>
    <w:rPr>
      <w:color w:val="auto"/>
      <w:sz w:val="36"/>
    </w:rPr>
  </w:style>
  <w:style w:type="character" w:customStyle="1" w:styleId="Charf0">
    <w:name w:val="فقرة جديدة Char"/>
    <w:link w:val="aff3"/>
    <w:rsid w:val="00D11232"/>
    <w:rPr>
      <w:rFonts w:cs="Traditional Arabic"/>
      <w:sz w:val="36"/>
      <w:szCs w:val="36"/>
    </w:rPr>
  </w:style>
  <w:style w:type="paragraph" w:styleId="aff0">
    <w:name w:val="Title"/>
    <w:basedOn w:val="a"/>
    <w:next w:val="a"/>
    <w:link w:val="Charf1"/>
    <w:uiPriority w:val="10"/>
    <w:qFormat/>
    <w:rsid w:val="00D11232"/>
    <w:pPr>
      <w:widowControl/>
      <w:pBdr>
        <w:bottom w:val="single" w:sz="8" w:space="4" w:color="4F81BD" w:themeColor="accent1"/>
      </w:pBdr>
      <w:spacing w:after="300"/>
      <w:ind w:firstLine="0"/>
      <w:contextualSpacing/>
      <w:jc w:val="left"/>
    </w:pPr>
    <w:rPr>
      <w:rFonts w:asciiTheme="majorHAnsi" w:eastAsiaTheme="majorEastAsia" w:hAnsiTheme="majorHAnsi" w:cstheme="majorBidi"/>
      <w:color w:val="17365D" w:themeColor="text2" w:themeShade="BF"/>
      <w:spacing w:val="5"/>
      <w:kern w:val="28"/>
      <w:sz w:val="52"/>
      <w:szCs w:val="52"/>
      <w:lang w:eastAsia="en-US"/>
    </w:rPr>
  </w:style>
  <w:style w:type="character" w:customStyle="1" w:styleId="Charf1">
    <w:name w:val="العنوان Char"/>
    <w:basedOn w:val="a0"/>
    <w:link w:val="aff0"/>
    <w:uiPriority w:val="10"/>
    <w:rsid w:val="00D11232"/>
    <w:rPr>
      <w:rFonts w:asciiTheme="majorHAnsi" w:eastAsiaTheme="majorEastAsia" w:hAnsiTheme="majorHAnsi" w:cstheme="majorBidi"/>
      <w:color w:val="17365D" w:themeColor="text2" w:themeShade="BF"/>
      <w:spacing w:val="5"/>
      <w:kern w:val="28"/>
      <w:sz w:val="52"/>
      <w:szCs w:val="52"/>
    </w:rPr>
  </w:style>
  <w:style w:type="paragraph" w:styleId="23">
    <w:name w:val="Body Text 2"/>
    <w:basedOn w:val="a"/>
    <w:link w:val="2Char0"/>
    <w:uiPriority w:val="99"/>
    <w:unhideWhenUsed/>
    <w:rsid w:val="00D11232"/>
    <w:pPr>
      <w:widowControl/>
      <w:spacing w:after="120" w:line="480" w:lineRule="auto"/>
      <w:ind w:firstLine="0"/>
      <w:jc w:val="left"/>
    </w:pPr>
    <w:rPr>
      <w:sz w:val="32"/>
      <w:lang w:eastAsia="en-US"/>
    </w:rPr>
  </w:style>
  <w:style w:type="character" w:customStyle="1" w:styleId="2Char0">
    <w:name w:val="نص أساسي 2 Char"/>
    <w:basedOn w:val="a0"/>
    <w:link w:val="23"/>
    <w:uiPriority w:val="99"/>
    <w:rsid w:val="00D11232"/>
    <w:rPr>
      <w:rFonts w:cs="Traditional Arabic"/>
      <w:color w:val="000000"/>
      <w:sz w:val="32"/>
      <w:szCs w:val="36"/>
    </w:rPr>
  </w:style>
  <w:style w:type="paragraph" w:styleId="Index2">
    <w:name w:val="index 2"/>
    <w:basedOn w:val="a"/>
    <w:next w:val="a"/>
    <w:autoRedefine/>
    <w:uiPriority w:val="99"/>
    <w:unhideWhenUsed/>
    <w:rsid w:val="00D11232"/>
    <w:pPr>
      <w:widowControl/>
      <w:ind w:left="640" w:hanging="320"/>
      <w:jc w:val="left"/>
    </w:pPr>
    <w:rPr>
      <w:sz w:val="32"/>
      <w:lang w:eastAsia="en-US"/>
    </w:rPr>
  </w:style>
  <w:style w:type="paragraph" w:styleId="Index3">
    <w:name w:val="index 3"/>
    <w:basedOn w:val="a"/>
    <w:next w:val="a"/>
    <w:autoRedefine/>
    <w:uiPriority w:val="99"/>
    <w:unhideWhenUsed/>
    <w:rsid w:val="00D11232"/>
    <w:pPr>
      <w:widowControl/>
      <w:ind w:left="960" w:hanging="320"/>
      <w:jc w:val="left"/>
    </w:pPr>
    <w:rPr>
      <w:sz w:val="32"/>
      <w:lang w:eastAsia="en-US"/>
    </w:rPr>
  </w:style>
  <w:style w:type="paragraph" w:styleId="Index4">
    <w:name w:val="index 4"/>
    <w:basedOn w:val="a"/>
    <w:next w:val="a"/>
    <w:autoRedefine/>
    <w:uiPriority w:val="99"/>
    <w:unhideWhenUsed/>
    <w:rsid w:val="00D11232"/>
    <w:pPr>
      <w:widowControl/>
      <w:ind w:left="1280" w:hanging="320"/>
      <w:jc w:val="left"/>
    </w:pPr>
    <w:rPr>
      <w:sz w:val="32"/>
      <w:lang w:eastAsia="en-US"/>
    </w:rPr>
  </w:style>
  <w:style w:type="table" w:styleId="aff4">
    <w:name w:val="Table Grid"/>
    <w:basedOn w:val="a1"/>
    <w:rsid w:val="00D11232"/>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444">
    <w:name w:val="444"/>
    <w:basedOn w:val="a"/>
    <w:link w:val="444Char"/>
    <w:qFormat/>
    <w:rsid w:val="00D11232"/>
    <w:pPr>
      <w:widowControl/>
      <w:spacing w:line="276" w:lineRule="auto"/>
      <w:ind w:left="454" w:hanging="454"/>
      <w:jc w:val="lowKashida"/>
    </w:pPr>
    <w:rPr>
      <w:rFonts w:ascii="Traditional Arabic" w:eastAsia="Calibri" w:hAnsi="Traditional Arabic"/>
      <w:b/>
      <w:bCs/>
      <w:color w:val="auto"/>
      <w:sz w:val="24"/>
      <w:szCs w:val="24"/>
      <w:lang w:val="x-none" w:eastAsia="x-none"/>
    </w:rPr>
  </w:style>
  <w:style w:type="character" w:customStyle="1" w:styleId="444Char">
    <w:name w:val="444 Char"/>
    <w:basedOn w:val="a0"/>
    <w:link w:val="444"/>
    <w:rsid w:val="00D11232"/>
    <w:rPr>
      <w:rFonts w:ascii="Traditional Arabic" w:eastAsia="Calibri" w:hAnsi="Traditional Arabic" w:cs="Traditional Arabic"/>
      <w:b/>
      <w:bCs/>
      <w:sz w:val="24"/>
      <w:szCs w:val="24"/>
      <w:lang w:val="x-none" w:eastAsia="x-none"/>
    </w:rPr>
  </w:style>
  <w:style w:type="numbering" w:customStyle="1" w:styleId="17">
    <w:name w:val="بلا قائمة1"/>
    <w:next w:val="a2"/>
    <w:uiPriority w:val="99"/>
    <w:semiHidden/>
    <w:unhideWhenUsed/>
    <w:rsid w:val="00D11232"/>
  </w:style>
  <w:style w:type="paragraph" w:customStyle="1" w:styleId="320">
    <w:name w:val="32"/>
    <w:basedOn w:val="a"/>
    <w:link w:val="32Char"/>
    <w:qFormat/>
    <w:rsid w:val="00D11232"/>
    <w:pPr>
      <w:widowControl/>
      <w:bidi w:val="0"/>
      <w:spacing w:line="360" w:lineRule="auto"/>
      <w:ind w:firstLine="0"/>
      <w:jc w:val="lowKashida"/>
    </w:pPr>
    <w:rPr>
      <w:rFonts w:ascii="Traditional Arabic" w:eastAsia="Calibri" w:hAnsi="Traditional Arabic"/>
      <w:b/>
      <w:bCs/>
      <w:color w:val="auto"/>
      <w:sz w:val="32"/>
      <w:szCs w:val="32"/>
      <w:lang w:eastAsia="en-US"/>
    </w:rPr>
  </w:style>
  <w:style w:type="character" w:customStyle="1" w:styleId="32Char">
    <w:name w:val="32 Char"/>
    <w:link w:val="320"/>
    <w:rsid w:val="00D11232"/>
    <w:rPr>
      <w:rFonts w:ascii="Traditional Arabic" w:eastAsia="Calibri" w:hAnsi="Traditional Arabic" w:cs="Traditional Arabic"/>
      <w:b/>
      <w:bCs/>
      <w:sz w:val="32"/>
      <w:szCs w:val="32"/>
    </w:rPr>
  </w:style>
  <w:style w:type="paragraph" w:customStyle="1" w:styleId="aff5">
    <w:name w:val="حاشة"/>
    <w:basedOn w:val="af3"/>
    <w:link w:val="Charf2"/>
    <w:qFormat/>
    <w:rsid w:val="00D11232"/>
    <w:pPr>
      <w:widowControl/>
      <w:ind w:left="0" w:firstLine="0"/>
    </w:pPr>
    <w:rPr>
      <w:rFonts w:ascii="Traditional Arabic" w:eastAsia="Calibri" w:hAnsi="Traditional Arabic"/>
      <w:color w:val="auto"/>
      <w:lang w:eastAsia="en-US"/>
    </w:rPr>
  </w:style>
  <w:style w:type="character" w:customStyle="1" w:styleId="Charf2">
    <w:name w:val="حاشة Char"/>
    <w:link w:val="aff5"/>
    <w:rsid w:val="00D11232"/>
    <w:rPr>
      <w:rFonts w:ascii="Traditional Arabic" w:eastAsia="Calibri" w:hAnsi="Traditional Arabic" w:cs="Traditional Arabic"/>
      <w:sz w:val="28"/>
      <w:szCs w:val="28"/>
    </w:rPr>
  </w:style>
  <w:style w:type="paragraph" w:styleId="aff6">
    <w:name w:val="Subtitle"/>
    <w:basedOn w:val="a"/>
    <w:next w:val="a"/>
    <w:link w:val="Charf3"/>
    <w:uiPriority w:val="11"/>
    <w:qFormat/>
    <w:rsid w:val="00D11232"/>
    <w:pPr>
      <w:widowControl/>
      <w:numPr>
        <w:ilvl w:val="1"/>
      </w:numPr>
      <w:spacing w:after="200" w:line="276" w:lineRule="auto"/>
      <w:ind w:firstLine="454"/>
      <w:jc w:val="left"/>
    </w:pPr>
    <w:rPr>
      <w:rFonts w:ascii="Cambria" w:hAnsi="Cambria" w:cs="Times New Roman"/>
      <w:i/>
      <w:iCs/>
      <w:color w:val="4F81BD"/>
      <w:spacing w:val="15"/>
      <w:sz w:val="24"/>
      <w:szCs w:val="24"/>
      <w:rtl/>
      <w:lang w:eastAsia="en-US"/>
    </w:rPr>
  </w:style>
  <w:style w:type="character" w:customStyle="1" w:styleId="Charf3">
    <w:name w:val="عنوان فرعي Char"/>
    <w:basedOn w:val="a0"/>
    <w:link w:val="aff6"/>
    <w:uiPriority w:val="11"/>
    <w:rsid w:val="00D11232"/>
    <w:rPr>
      <w:rFonts w:ascii="Cambria" w:hAnsi="Cambria"/>
      <w:i/>
      <w:iCs/>
      <w:color w:val="4F81BD"/>
      <w:spacing w:val="15"/>
      <w:sz w:val="24"/>
      <w:szCs w:val="24"/>
    </w:rPr>
  </w:style>
  <w:style w:type="character" w:customStyle="1" w:styleId="apple-converted-space">
    <w:name w:val="apple-converted-space"/>
    <w:rsid w:val="00D11232"/>
  </w:style>
  <w:style w:type="paragraph" w:customStyle="1" w:styleId="111">
    <w:name w:val="111"/>
    <w:basedOn w:val="a"/>
    <w:link w:val="111Char"/>
    <w:rsid w:val="00D11232"/>
    <w:pPr>
      <w:widowControl/>
      <w:spacing w:line="276" w:lineRule="auto"/>
      <w:ind w:firstLine="0"/>
      <w:jc w:val="left"/>
    </w:pPr>
    <w:rPr>
      <w:rFonts w:ascii="Traditional Arabic" w:eastAsia="Calibri" w:hAnsi="Traditional Arabic"/>
      <w:b/>
      <w:bCs/>
      <w:color w:val="008000"/>
      <w:sz w:val="32"/>
      <w:szCs w:val="32"/>
      <w:shd w:val="clear" w:color="auto" w:fill="FFFFFF"/>
      <w:lang w:eastAsia="en-US"/>
    </w:rPr>
  </w:style>
  <w:style w:type="paragraph" w:customStyle="1" w:styleId="230">
    <w:name w:val="23"/>
    <w:basedOn w:val="111"/>
    <w:link w:val="23Char"/>
    <w:qFormat/>
    <w:rsid w:val="00D11232"/>
    <w:rPr>
      <w:b w:val="0"/>
      <w:bCs w:val="0"/>
    </w:rPr>
  </w:style>
  <w:style w:type="character" w:customStyle="1" w:styleId="111Char">
    <w:name w:val="111 Char"/>
    <w:link w:val="111"/>
    <w:rsid w:val="00D11232"/>
    <w:rPr>
      <w:rFonts w:ascii="Traditional Arabic" w:eastAsia="Calibri" w:hAnsi="Traditional Arabic" w:cs="Traditional Arabic"/>
      <w:b/>
      <w:bCs/>
      <w:color w:val="008000"/>
      <w:sz w:val="32"/>
      <w:szCs w:val="32"/>
    </w:rPr>
  </w:style>
  <w:style w:type="paragraph" w:customStyle="1" w:styleId="654">
    <w:name w:val="654"/>
    <w:basedOn w:val="230"/>
    <w:link w:val="654Char"/>
    <w:qFormat/>
    <w:rsid w:val="00D11232"/>
  </w:style>
  <w:style w:type="character" w:customStyle="1" w:styleId="23Char">
    <w:name w:val="23 Char"/>
    <w:link w:val="230"/>
    <w:rsid w:val="00D11232"/>
    <w:rPr>
      <w:rFonts w:ascii="Traditional Arabic" w:eastAsia="Calibri" w:hAnsi="Traditional Arabic" w:cs="Traditional Arabic"/>
      <w:color w:val="008000"/>
      <w:sz w:val="32"/>
      <w:szCs w:val="32"/>
    </w:rPr>
  </w:style>
  <w:style w:type="character" w:customStyle="1" w:styleId="654Char">
    <w:name w:val="654 Char"/>
    <w:link w:val="654"/>
    <w:rsid w:val="00D11232"/>
    <w:rPr>
      <w:rFonts w:ascii="Traditional Arabic" w:eastAsia="Calibri" w:hAnsi="Traditional Arabic" w:cs="Traditional Arabic"/>
      <w:color w:val="008000"/>
      <w:sz w:val="32"/>
      <w:szCs w:val="32"/>
    </w:rPr>
  </w:style>
  <w:style w:type="numbering" w:customStyle="1" w:styleId="110">
    <w:name w:val="بلا قائمة11"/>
    <w:next w:val="a2"/>
    <w:uiPriority w:val="99"/>
    <w:semiHidden/>
    <w:unhideWhenUsed/>
    <w:rsid w:val="00D11232"/>
  </w:style>
  <w:style w:type="numbering" w:customStyle="1" w:styleId="24">
    <w:name w:val="بلا قائمة2"/>
    <w:next w:val="a2"/>
    <w:uiPriority w:val="99"/>
    <w:semiHidden/>
    <w:unhideWhenUsed/>
    <w:rsid w:val="00D11232"/>
  </w:style>
  <w:style w:type="character" w:styleId="aff7">
    <w:name w:val="Emphasis"/>
    <w:basedOn w:val="a0"/>
    <w:qFormat/>
    <w:rsid w:val="00D11232"/>
    <w:rPr>
      <w:i/>
      <w:iCs/>
    </w:rPr>
  </w:style>
  <w:style w:type="table" w:customStyle="1" w:styleId="18">
    <w:name w:val="شبكة جدول1"/>
    <w:basedOn w:val="a1"/>
    <w:next w:val="aff4"/>
    <w:rsid w:val="00D1123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4421">
    <w:name w:val="4421"/>
    <w:basedOn w:val="aff2"/>
    <w:link w:val="4421Char"/>
    <w:qFormat/>
    <w:rsid w:val="00D11232"/>
    <w:pPr>
      <w:spacing w:line="276" w:lineRule="auto"/>
      <w:jc w:val="center"/>
    </w:pPr>
    <w:rPr>
      <w:rFonts w:ascii="QCF_BSML" w:hAnsi="QCF_BSML" w:cs="QCF_BSML"/>
      <w:sz w:val="48"/>
      <w:szCs w:val="36"/>
    </w:rPr>
  </w:style>
  <w:style w:type="character" w:customStyle="1" w:styleId="Chard">
    <w:name w:val="نمط فاصل Char"/>
    <w:basedOn w:val="a0"/>
    <w:link w:val="aff2"/>
    <w:rsid w:val="00D11232"/>
    <w:rPr>
      <w:rFonts w:ascii="Librarian" w:hAnsi="Librarian" w:cs="mylotus"/>
      <w:color w:val="000000"/>
      <w:sz w:val="36"/>
      <w:szCs w:val="27"/>
    </w:rPr>
  </w:style>
  <w:style w:type="character" w:customStyle="1" w:styleId="4421Char">
    <w:name w:val="4421 Char"/>
    <w:basedOn w:val="Chard"/>
    <w:link w:val="4421"/>
    <w:rsid w:val="00D11232"/>
    <w:rPr>
      <w:rFonts w:ascii="QCF_BSML" w:hAnsi="QCF_BSML" w:cs="QCF_BSML"/>
      <w:color w:val="000000"/>
      <w:sz w:val="48"/>
      <w:szCs w:val="36"/>
    </w:rPr>
  </w:style>
  <w:style w:type="character" w:styleId="aff8">
    <w:name w:val="Strong"/>
    <w:basedOn w:val="a0"/>
    <w:qFormat/>
    <w:rsid w:val="00D11232"/>
    <w:rPr>
      <w:b/>
      <w:bCs/>
    </w:rPr>
  </w:style>
  <w:style w:type="table" w:customStyle="1" w:styleId="25">
    <w:name w:val="شبكة جدول2"/>
    <w:basedOn w:val="a1"/>
    <w:next w:val="aff4"/>
    <w:rsid w:val="0057655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2" w:uiPriority="99"/>
    <w:lsdException w:name="index 3" w:uiPriority="99"/>
    <w:lsdException w:name="index 4" w:uiPriority="99"/>
    <w:lsdException w:name="caption" w:qFormat="1"/>
    <w:lsdException w:name="Title" w:uiPriority="10" w:qFormat="1"/>
    <w:lsdException w:name="Subtitle" w:uiPriority="11" w:qFormat="1"/>
    <w:lsdException w:name="Body Text 2" w:uiPriority="99"/>
    <w:lsdException w:name="Hyperlink" w:uiPriority="99"/>
    <w:lsdException w:name="Strong" w:qFormat="1"/>
    <w:lsdException w:name="Emphasis" w:qFormat="1"/>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AB6719"/>
    <w:pPr>
      <w:widowControl w:val="0"/>
      <w:bidi/>
      <w:ind w:firstLine="454"/>
      <w:jc w:val="both"/>
    </w:pPr>
    <w:rPr>
      <w:rFonts w:cs="Traditional Arabic"/>
      <w:color w:val="000000"/>
      <w:sz w:val="36"/>
      <w:szCs w:val="36"/>
      <w:lang w:eastAsia="ar-SA"/>
    </w:rPr>
  </w:style>
  <w:style w:type="paragraph" w:styleId="1">
    <w:name w:val="heading 1"/>
    <w:aliases w:val="القسم"/>
    <w:next w:val="a"/>
    <w:link w:val="1Char"/>
    <w:qFormat/>
    <w:rsid w:val="00336EC0"/>
    <w:pPr>
      <w:keepNext/>
      <w:spacing w:after="240"/>
      <w:outlineLvl w:val="0"/>
    </w:pPr>
    <w:rPr>
      <w:b/>
      <w:bCs/>
      <w:noProof/>
      <w:color w:val="000000"/>
      <w:kern w:val="32"/>
      <w:sz w:val="32"/>
      <w:szCs w:val="36"/>
      <w:lang w:eastAsia="ar-SA"/>
    </w:rPr>
  </w:style>
  <w:style w:type="paragraph" w:styleId="2">
    <w:name w:val="heading 2"/>
    <w:aliases w:val="الفصل"/>
    <w:next w:val="a"/>
    <w:link w:val="2Char"/>
    <w:qFormat/>
    <w:rsid w:val="00336EC0"/>
    <w:pPr>
      <w:keepNext/>
      <w:spacing w:before="240" w:after="60"/>
      <w:contextualSpacing/>
      <w:outlineLvl w:val="1"/>
    </w:pPr>
    <w:rPr>
      <w:rFonts w:ascii="Arial" w:hAnsi="Arial" w:cs="Arial"/>
      <w:b/>
      <w:bCs/>
      <w:i/>
      <w:iCs/>
      <w:noProof/>
      <w:color w:val="000000"/>
      <w:sz w:val="28"/>
      <w:szCs w:val="28"/>
      <w:lang w:eastAsia="ar-SA"/>
    </w:rPr>
  </w:style>
  <w:style w:type="paragraph" w:styleId="3">
    <w:name w:val="heading 3"/>
    <w:aliases w:val="المبحث"/>
    <w:next w:val="a"/>
    <w:link w:val="3Char"/>
    <w:qFormat/>
    <w:rsid w:val="00336EC0"/>
    <w:pPr>
      <w:keepNext/>
      <w:spacing w:before="240" w:after="60"/>
      <w:outlineLvl w:val="2"/>
    </w:pPr>
    <w:rPr>
      <w:rFonts w:ascii="Arial" w:hAnsi="Arial" w:cs="Arial"/>
      <w:b/>
      <w:bCs/>
      <w:noProof/>
      <w:color w:val="000000"/>
      <w:sz w:val="26"/>
      <w:szCs w:val="26"/>
      <w:lang w:eastAsia="ar-SA"/>
    </w:rPr>
  </w:style>
  <w:style w:type="paragraph" w:styleId="4">
    <w:name w:val="heading 4"/>
    <w:next w:val="a"/>
    <w:link w:val="4Char"/>
    <w:qFormat/>
    <w:rsid w:val="00336EC0"/>
    <w:pPr>
      <w:keepNext/>
      <w:spacing w:before="240" w:after="60"/>
      <w:outlineLvl w:val="3"/>
    </w:pPr>
    <w:rPr>
      <w:b/>
      <w:bCs/>
      <w:noProof/>
      <w:color w:val="000000"/>
      <w:sz w:val="28"/>
      <w:szCs w:val="28"/>
      <w:lang w:eastAsia="ar-SA"/>
    </w:rPr>
  </w:style>
  <w:style w:type="paragraph" w:styleId="5">
    <w:name w:val="heading 5"/>
    <w:next w:val="a"/>
    <w:link w:val="5Char"/>
    <w:qFormat/>
    <w:rsid w:val="00336EC0"/>
    <w:pPr>
      <w:spacing w:before="240" w:after="60"/>
      <w:outlineLvl w:val="4"/>
    </w:pPr>
    <w:rPr>
      <w:rFonts w:ascii="Tahoma" w:hAnsi="Tahoma" w:cs="Traditional Arabic"/>
      <w:b/>
      <w:bCs/>
      <w:i/>
      <w:iCs/>
      <w:noProof/>
      <w:color w:val="000000"/>
      <w:sz w:val="26"/>
      <w:szCs w:val="26"/>
      <w:lang w:eastAsia="ar-SA"/>
    </w:rPr>
  </w:style>
  <w:style w:type="paragraph" w:styleId="6">
    <w:name w:val="heading 6"/>
    <w:next w:val="a"/>
    <w:link w:val="6Char"/>
    <w:qFormat/>
    <w:rsid w:val="00336EC0"/>
    <w:pPr>
      <w:spacing w:before="240" w:after="60"/>
      <w:outlineLvl w:val="5"/>
    </w:pPr>
    <w:rPr>
      <w:b/>
      <w:bCs/>
      <w:noProof/>
      <w:color w:val="000000"/>
      <w:sz w:val="22"/>
      <w:szCs w:val="22"/>
      <w:lang w:eastAsia="ar-SA"/>
    </w:rPr>
  </w:style>
  <w:style w:type="paragraph" w:styleId="7">
    <w:name w:val="heading 7"/>
    <w:next w:val="a"/>
    <w:link w:val="7Char"/>
    <w:qFormat/>
    <w:rsid w:val="00336EC0"/>
    <w:pPr>
      <w:spacing w:before="240" w:after="60"/>
      <w:outlineLvl w:val="6"/>
    </w:pPr>
    <w:rPr>
      <w:noProof/>
      <w:color w:val="000000"/>
      <w:sz w:val="24"/>
      <w:szCs w:val="24"/>
      <w:lang w:eastAsia="ar-SA"/>
    </w:rPr>
  </w:style>
  <w:style w:type="paragraph" w:styleId="8">
    <w:name w:val="heading 8"/>
    <w:next w:val="a"/>
    <w:link w:val="8Char"/>
    <w:qFormat/>
    <w:rsid w:val="00336EC0"/>
    <w:pPr>
      <w:spacing w:before="240" w:after="60"/>
      <w:outlineLvl w:val="7"/>
    </w:pPr>
    <w:rPr>
      <w:i/>
      <w:iCs/>
      <w:noProof/>
      <w:color w:val="000000"/>
      <w:sz w:val="24"/>
      <w:szCs w:val="24"/>
      <w:lang w:eastAsia="ar-SA"/>
    </w:rPr>
  </w:style>
  <w:style w:type="paragraph" w:styleId="9">
    <w:name w:val="heading 9"/>
    <w:next w:val="a"/>
    <w:link w:val="9Char"/>
    <w:qFormat/>
    <w:rsid w:val="00336EC0"/>
    <w:pPr>
      <w:spacing w:before="240" w:after="60"/>
      <w:outlineLvl w:val="8"/>
    </w:pPr>
    <w:rPr>
      <w:rFonts w:ascii="Arial" w:hAnsi="Arial" w:cs="Arial"/>
      <w:noProof/>
      <w:color w:val="000000"/>
      <w:sz w:val="22"/>
      <w:szCs w:val="22"/>
      <w:lang w:eastAsia="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Tahoma1809">
    <w:name w:val="نمط (لاتيني) Tahoma ‏18 نقطة أسود السطر الأول:  0.9 سم"/>
    <w:basedOn w:val="a"/>
    <w:next w:val="a3"/>
    <w:rsid w:val="00C126BD"/>
    <w:pPr>
      <w:ind w:firstLine="510"/>
    </w:pPr>
    <w:rPr>
      <w:rFonts w:ascii="Tahoma" w:hAnsi="Tahoma"/>
    </w:rPr>
  </w:style>
  <w:style w:type="paragraph" w:styleId="a3">
    <w:name w:val="Plain Text"/>
    <w:basedOn w:val="a"/>
    <w:link w:val="Char"/>
    <w:rsid w:val="00C126BD"/>
    <w:rPr>
      <w:rFonts w:ascii="Courier New" w:hAnsi="Courier New" w:cs="Courier New"/>
      <w:sz w:val="20"/>
      <w:szCs w:val="20"/>
    </w:rPr>
  </w:style>
  <w:style w:type="paragraph" w:styleId="a4">
    <w:name w:val="caption"/>
    <w:basedOn w:val="a"/>
    <w:next w:val="a"/>
    <w:qFormat/>
    <w:rsid w:val="00336EC0"/>
    <w:pPr>
      <w:overflowPunct w:val="0"/>
      <w:autoSpaceDE w:val="0"/>
      <w:autoSpaceDN w:val="0"/>
      <w:adjustRightInd w:val="0"/>
      <w:spacing w:before="120" w:after="120"/>
      <w:ind w:firstLine="0"/>
      <w:textAlignment w:val="baseline"/>
    </w:pPr>
  </w:style>
  <w:style w:type="paragraph" w:styleId="a5">
    <w:name w:val="table of figures"/>
    <w:basedOn w:val="a"/>
    <w:next w:val="a"/>
    <w:rsid w:val="00336EC0"/>
    <w:pPr>
      <w:ind w:left="720" w:hanging="720"/>
    </w:pPr>
  </w:style>
  <w:style w:type="paragraph" w:styleId="10">
    <w:name w:val="toc 1"/>
    <w:basedOn w:val="a"/>
    <w:next w:val="a"/>
    <w:autoRedefine/>
    <w:rsid w:val="00336EC0"/>
  </w:style>
  <w:style w:type="paragraph" w:styleId="20">
    <w:name w:val="toc 2"/>
    <w:basedOn w:val="a"/>
    <w:next w:val="a"/>
    <w:autoRedefine/>
    <w:rsid w:val="00336EC0"/>
    <w:pPr>
      <w:ind w:left="360"/>
    </w:pPr>
  </w:style>
  <w:style w:type="paragraph" w:styleId="30">
    <w:name w:val="toc 3"/>
    <w:basedOn w:val="a"/>
    <w:next w:val="a"/>
    <w:autoRedefine/>
    <w:rsid w:val="00336EC0"/>
    <w:pPr>
      <w:ind w:left="720"/>
    </w:pPr>
  </w:style>
  <w:style w:type="paragraph" w:styleId="40">
    <w:name w:val="toc 4"/>
    <w:basedOn w:val="a"/>
    <w:next w:val="a"/>
    <w:autoRedefine/>
    <w:rsid w:val="00336EC0"/>
    <w:pPr>
      <w:ind w:left="1080"/>
    </w:pPr>
  </w:style>
  <w:style w:type="paragraph" w:styleId="50">
    <w:name w:val="toc 5"/>
    <w:basedOn w:val="a"/>
    <w:next w:val="a"/>
    <w:autoRedefine/>
    <w:rsid w:val="00336EC0"/>
    <w:pPr>
      <w:ind w:left="1440"/>
    </w:pPr>
  </w:style>
  <w:style w:type="paragraph" w:styleId="60">
    <w:name w:val="toc 6"/>
    <w:basedOn w:val="a"/>
    <w:next w:val="a"/>
    <w:autoRedefine/>
    <w:rsid w:val="00336EC0"/>
    <w:pPr>
      <w:ind w:left="1800"/>
    </w:pPr>
  </w:style>
  <w:style w:type="paragraph" w:styleId="70">
    <w:name w:val="toc 7"/>
    <w:basedOn w:val="a"/>
    <w:next w:val="a"/>
    <w:autoRedefine/>
    <w:rsid w:val="00336EC0"/>
    <w:pPr>
      <w:ind w:left="2160"/>
    </w:pPr>
  </w:style>
  <w:style w:type="paragraph" w:styleId="80">
    <w:name w:val="toc 8"/>
    <w:basedOn w:val="a"/>
    <w:next w:val="a"/>
    <w:autoRedefine/>
    <w:rsid w:val="00336EC0"/>
    <w:pPr>
      <w:ind w:left="2520"/>
    </w:pPr>
  </w:style>
  <w:style w:type="paragraph" w:styleId="90">
    <w:name w:val="toc 9"/>
    <w:basedOn w:val="a"/>
    <w:next w:val="a"/>
    <w:autoRedefine/>
    <w:rsid w:val="00336EC0"/>
    <w:pPr>
      <w:ind w:left="2880"/>
    </w:pPr>
  </w:style>
  <w:style w:type="paragraph" w:styleId="a6">
    <w:name w:val="table of authorities"/>
    <w:basedOn w:val="a"/>
    <w:next w:val="a"/>
    <w:rsid w:val="00336EC0"/>
    <w:pPr>
      <w:ind w:left="360" w:hanging="360"/>
    </w:pPr>
  </w:style>
  <w:style w:type="paragraph" w:styleId="a7">
    <w:name w:val="Document Map"/>
    <w:basedOn w:val="a"/>
    <w:link w:val="Char0"/>
    <w:rsid w:val="00336EC0"/>
    <w:pPr>
      <w:shd w:val="clear" w:color="auto" w:fill="000080"/>
    </w:pPr>
  </w:style>
  <w:style w:type="paragraph" w:styleId="a8">
    <w:name w:val="header"/>
    <w:aliases w:val="رأس صفحة"/>
    <w:basedOn w:val="a"/>
    <w:link w:val="Char1"/>
    <w:rsid w:val="00336EC0"/>
    <w:pPr>
      <w:tabs>
        <w:tab w:val="center" w:pos="4153"/>
        <w:tab w:val="right" w:pos="8306"/>
      </w:tabs>
      <w:bidi w:val="0"/>
      <w:ind w:firstLine="0"/>
      <w:jc w:val="lowKashida"/>
    </w:pPr>
    <w:rPr>
      <w:sz w:val="20"/>
      <w:szCs w:val="20"/>
    </w:rPr>
  </w:style>
  <w:style w:type="character" w:styleId="a9">
    <w:name w:val="page number"/>
    <w:aliases w:val="رقم صفحة"/>
    <w:basedOn w:val="a0"/>
    <w:rsid w:val="006E6B72"/>
    <w:rPr>
      <w:rFonts w:cs="Times New Roman"/>
      <w:szCs w:val="32"/>
    </w:rPr>
  </w:style>
  <w:style w:type="paragraph" w:customStyle="1" w:styleId="100">
    <w:name w:val="عنوان 10"/>
    <w:next w:val="a"/>
    <w:rsid w:val="00336EC0"/>
    <w:pPr>
      <w:bidi/>
    </w:pPr>
    <w:rPr>
      <w:rFonts w:ascii="Tahoma" w:hAnsi="Tahoma" w:cs="Monotype Koufi"/>
      <w:bCs/>
      <w:color w:val="000000"/>
      <w:sz w:val="36"/>
      <w:szCs w:val="40"/>
      <w:lang w:eastAsia="ar-SA"/>
    </w:rPr>
  </w:style>
  <w:style w:type="paragraph" w:customStyle="1" w:styleId="11">
    <w:name w:val="عنوان 11"/>
    <w:next w:val="a"/>
    <w:rsid w:val="00336EC0"/>
    <w:rPr>
      <w:rFonts w:ascii="Tahoma" w:hAnsi="Tahoma" w:cs="Andalus"/>
      <w:b/>
      <w:bCs/>
      <w:color w:val="000000"/>
      <w:sz w:val="40"/>
      <w:szCs w:val="40"/>
      <w:lang w:eastAsia="ar-SA"/>
    </w:rPr>
  </w:style>
  <w:style w:type="paragraph" w:customStyle="1" w:styleId="12">
    <w:name w:val="عنوان 12"/>
    <w:next w:val="a"/>
    <w:rsid w:val="00336EC0"/>
    <w:rPr>
      <w:b/>
      <w:bCs/>
      <w:color w:val="000000"/>
      <w:sz w:val="40"/>
      <w:szCs w:val="40"/>
      <w:lang w:eastAsia="ar-SA"/>
    </w:rPr>
  </w:style>
  <w:style w:type="paragraph" w:customStyle="1" w:styleId="13">
    <w:name w:val="عنوان 13"/>
    <w:next w:val="a"/>
    <w:rsid w:val="00336EC0"/>
    <w:rPr>
      <w:rFonts w:ascii="Tahoma" w:hAnsi="Tahoma" w:cs="Simplified Arabic"/>
      <w:b/>
      <w:bCs/>
      <w:i/>
      <w:iCs/>
      <w:color w:val="000000"/>
      <w:sz w:val="36"/>
      <w:szCs w:val="36"/>
      <w:lang w:eastAsia="ar-SA"/>
    </w:rPr>
  </w:style>
  <w:style w:type="paragraph" w:customStyle="1" w:styleId="14">
    <w:name w:val="عنوان 14"/>
    <w:next w:val="a"/>
    <w:rsid w:val="00336EC0"/>
    <w:rPr>
      <w:rFonts w:ascii="Tahoma" w:hAnsi="Tahoma" w:cs="Traditional Arabic"/>
      <w:b/>
      <w:bCs/>
      <w:color w:val="000000"/>
      <w:sz w:val="32"/>
      <w:szCs w:val="32"/>
      <w:lang w:eastAsia="ar-SA"/>
    </w:rPr>
  </w:style>
  <w:style w:type="paragraph" w:styleId="aa">
    <w:name w:val="toa heading"/>
    <w:basedOn w:val="a"/>
    <w:next w:val="a"/>
    <w:rsid w:val="00336EC0"/>
    <w:pPr>
      <w:spacing w:before="120"/>
    </w:pPr>
    <w:rPr>
      <w:rFonts w:ascii="Arial" w:hAnsi="Arial" w:cs="Arial"/>
      <w:b/>
      <w:bCs/>
      <w:sz w:val="24"/>
      <w:szCs w:val="24"/>
    </w:rPr>
  </w:style>
  <w:style w:type="paragraph" w:styleId="Index1">
    <w:name w:val="index 1"/>
    <w:basedOn w:val="a"/>
    <w:next w:val="a"/>
    <w:autoRedefine/>
    <w:semiHidden/>
    <w:rsid w:val="00336EC0"/>
    <w:pPr>
      <w:ind w:left="360" w:hanging="360"/>
    </w:pPr>
  </w:style>
  <w:style w:type="paragraph" w:styleId="ab">
    <w:name w:val="index heading"/>
    <w:basedOn w:val="a"/>
    <w:next w:val="Index1"/>
    <w:rsid w:val="00336EC0"/>
    <w:rPr>
      <w:rFonts w:ascii="Arial" w:hAnsi="Arial" w:cs="Arial"/>
      <w:b/>
      <w:bCs/>
    </w:rPr>
  </w:style>
  <w:style w:type="character" w:styleId="ac">
    <w:name w:val="annotation reference"/>
    <w:basedOn w:val="a0"/>
    <w:rsid w:val="00336EC0"/>
    <w:rPr>
      <w:sz w:val="16"/>
      <w:szCs w:val="16"/>
    </w:rPr>
  </w:style>
  <w:style w:type="character" w:styleId="ad">
    <w:name w:val="endnote reference"/>
    <w:basedOn w:val="a0"/>
    <w:rsid w:val="00336EC0"/>
    <w:rPr>
      <w:vertAlign w:val="superscript"/>
    </w:rPr>
  </w:style>
  <w:style w:type="character" w:styleId="ae">
    <w:name w:val="footnote reference"/>
    <w:aliases w:val="Footnote Reference1,Footnote Reference2,Footnote Reference11,Footnote Reference21,Footnote Reference12,Footnote Reference22,Footnote Reference13,Footnote Reference23,Footnote Reference111,Footnote Reference211,Footnote Reference121"/>
    <w:basedOn w:val="a0"/>
    <w:rsid w:val="00A44C74"/>
    <w:rPr>
      <w:rFonts w:cs="Traditional Arabic"/>
      <w:vertAlign w:val="superscript"/>
    </w:rPr>
  </w:style>
  <w:style w:type="paragraph" w:styleId="af">
    <w:name w:val="annotation text"/>
    <w:basedOn w:val="a"/>
    <w:link w:val="Char2"/>
    <w:rsid w:val="00336EC0"/>
    <w:rPr>
      <w:sz w:val="20"/>
      <w:szCs w:val="28"/>
    </w:rPr>
  </w:style>
  <w:style w:type="paragraph" w:styleId="af0">
    <w:name w:val="annotation subject"/>
    <w:basedOn w:val="af"/>
    <w:next w:val="af"/>
    <w:link w:val="Char3"/>
    <w:rsid w:val="00336EC0"/>
    <w:rPr>
      <w:b/>
      <w:bCs/>
    </w:rPr>
  </w:style>
  <w:style w:type="paragraph" w:styleId="af1">
    <w:name w:val="Body Text"/>
    <w:basedOn w:val="a"/>
    <w:link w:val="Char4"/>
    <w:rsid w:val="00336EC0"/>
    <w:pPr>
      <w:spacing w:after="120"/>
      <w:ind w:firstLine="0"/>
      <w:jc w:val="mediumKashida"/>
    </w:pPr>
    <w:rPr>
      <w:sz w:val="24"/>
      <w:lang w:val="fr-FR"/>
    </w:rPr>
  </w:style>
  <w:style w:type="paragraph" w:styleId="af2">
    <w:name w:val="endnote text"/>
    <w:basedOn w:val="a"/>
    <w:link w:val="Char5"/>
    <w:rsid w:val="00336EC0"/>
    <w:rPr>
      <w:sz w:val="20"/>
      <w:szCs w:val="20"/>
    </w:rPr>
  </w:style>
  <w:style w:type="paragraph" w:styleId="af3">
    <w:name w:val="footnote text"/>
    <w:aliases w:val="Footnote Text"/>
    <w:basedOn w:val="a"/>
    <w:link w:val="Char6"/>
    <w:rsid w:val="00336EC0"/>
    <w:pPr>
      <w:ind w:left="454" w:hanging="454"/>
    </w:pPr>
    <w:rPr>
      <w:sz w:val="28"/>
      <w:szCs w:val="28"/>
    </w:rPr>
  </w:style>
  <w:style w:type="paragraph" w:styleId="af4">
    <w:name w:val="Balloon Text"/>
    <w:basedOn w:val="a"/>
    <w:link w:val="Char7"/>
    <w:rsid w:val="00336EC0"/>
    <w:rPr>
      <w:rFonts w:cs="Tahoma"/>
      <w:sz w:val="16"/>
      <w:szCs w:val="16"/>
    </w:rPr>
  </w:style>
  <w:style w:type="paragraph" w:styleId="af5">
    <w:name w:val="macro"/>
    <w:link w:val="Char8"/>
    <w:rsid w:val="00336EC0"/>
    <w:pPr>
      <w:widowControl w:val="0"/>
      <w:tabs>
        <w:tab w:val="left" w:pos="480"/>
        <w:tab w:val="left" w:pos="960"/>
        <w:tab w:val="left" w:pos="1440"/>
        <w:tab w:val="left" w:pos="1920"/>
        <w:tab w:val="left" w:pos="2400"/>
        <w:tab w:val="left" w:pos="2880"/>
        <w:tab w:val="left" w:pos="3360"/>
        <w:tab w:val="left" w:pos="3840"/>
        <w:tab w:val="left" w:pos="4320"/>
      </w:tabs>
      <w:bidi/>
      <w:ind w:firstLine="454"/>
      <w:jc w:val="both"/>
    </w:pPr>
    <w:rPr>
      <w:rFonts w:ascii="Courier New" w:hAnsi="Courier New" w:cs="Courier New"/>
      <w:color w:val="000000"/>
      <w:lang w:eastAsia="ar-SA"/>
    </w:rPr>
  </w:style>
  <w:style w:type="paragraph" w:styleId="af6">
    <w:name w:val="Block Text"/>
    <w:basedOn w:val="a"/>
    <w:rsid w:val="00336EC0"/>
    <w:pPr>
      <w:ind w:left="566" w:hanging="566"/>
      <w:jc w:val="lowKashida"/>
    </w:pPr>
    <w:rPr>
      <w:sz w:val="18"/>
      <w:szCs w:val="30"/>
    </w:rPr>
  </w:style>
  <w:style w:type="paragraph" w:customStyle="1" w:styleId="15">
    <w:name w:val="نمط إضافي 1"/>
    <w:basedOn w:val="a"/>
    <w:next w:val="a"/>
    <w:rsid w:val="00336EC0"/>
    <w:pPr>
      <w:ind w:firstLine="0"/>
      <w:jc w:val="left"/>
    </w:pPr>
    <w:rPr>
      <w:rFonts w:cs="Andalus"/>
      <w:color w:val="0000FF"/>
      <w:szCs w:val="40"/>
    </w:rPr>
  </w:style>
  <w:style w:type="paragraph" w:customStyle="1" w:styleId="21">
    <w:name w:val="نمط إضافي 2"/>
    <w:basedOn w:val="a"/>
    <w:next w:val="a"/>
    <w:rsid w:val="00336EC0"/>
    <w:pPr>
      <w:ind w:firstLine="0"/>
      <w:jc w:val="left"/>
    </w:pPr>
    <w:rPr>
      <w:rFonts w:cs="Monotype Koufi"/>
      <w:bCs/>
      <w:color w:val="008000"/>
      <w:szCs w:val="44"/>
    </w:rPr>
  </w:style>
  <w:style w:type="paragraph" w:customStyle="1" w:styleId="31">
    <w:name w:val="نمط إضافي 3"/>
    <w:basedOn w:val="a"/>
    <w:next w:val="a"/>
    <w:rsid w:val="00336EC0"/>
    <w:pPr>
      <w:ind w:firstLine="0"/>
      <w:jc w:val="left"/>
    </w:pPr>
    <w:rPr>
      <w:rFonts w:cs="Tahoma"/>
      <w:color w:val="800080"/>
    </w:rPr>
  </w:style>
  <w:style w:type="paragraph" w:customStyle="1" w:styleId="41">
    <w:name w:val="نمط إضافي 4"/>
    <w:basedOn w:val="a"/>
    <w:next w:val="a"/>
    <w:rsid w:val="00336EC0"/>
    <w:pPr>
      <w:ind w:firstLine="0"/>
      <w:jc w:val="left"/>
    </w:pPr>
    <w:rPr>
      <w:rFonts w:cs="Simplified Arabic Fixed"/>
      <w:color w:val="FF6600"/>
      <w:sz w:val="44"/>
    </w:rPr>
  </w:style>
  <w:style w:type="paragraph" w:customStyle="1" w:styleId="51">
    <w:name w:val="نمط إضافي 5"/>
    <w:basedOn w:val="a"/>
    <w:next w:val="a"/>
    <w:rsid w:val="00336EC0"/>
    <w:pPr>
      <w:ind w:firstLine="0"/>
      <w:jc w:val="left"/>
    </w:pPr>
    <w:rPr>
      <w:rFonts w:cs="DecoType Naskh"/>
      <w:color w:val="3366FF"/>
      <w:szCs w:val="44"/>
    </w:rPr>
  </w:style>
  <w:style w:type="character" w:customStyle="1" w:styleId="16">
    <w:name w:val="نمط حرفي 1"/>
    <w:rsid w:val="00336EC0"/>
    <w:rPr>
      <w:rFonts w:cs="Times New Roman"/>
      <w:szCs w:val="40"/>
    </w:rPr>
  </w:style>
  <w:style w:type="character" w:customStyle="1" w:styleId="22">
    <w:name w:val="نمط حرفي 2"/>
    <w:rsid w:val="00336EC0"/>
    <w:rPr>
      <w:rFonts w:ascii="Times New Roman" w:hAnsi="Times New Roman" w:cs="Times New Roman"/>
      <w:sz w:val="40"/>
      <w:szCs w:val="40"/>
    </w:rPr>
  </w:style>
  <w:style w:type="character" w:customStyle="1" w:styleId="32">
    <w:name w:val="نمط حرفي 3"/>
    <w:rsid w:val="00336EC0"/>
    <w:rPr>
      <w:rFonts w:ascii="Times New Roman" w:hAnsi="Times New Roman" w:cs="Times New Roman"/>
      <w:sz w:val="40"/>
      <w:szCs w:val="40"/>
    </w:rPr>
  </w:style>
  <w:style w:type="character" w:customStyle="1" w:styleId="42">
    <w:name w:val="نمط حرفي 4"/>
    <w:rsid w:val="00336EC0"/>
    <w:rPr>
      <w:rFonts w:cs="Times New Roman"/>
      <w:szCs w:val="40"/>
    </w:rPr>
  </w:style>
  <w:style w:type="character" w:customStyle="1" w:styleId="52">
    <w:name w:val="نمط حرفي 5"/>
    <w:rsid w:val="00336EC0"/>
    <w:rPr>
      <w:rFonts w:cs="Times New Roman"/>
      <w:szCs w:val="40"/>
    </w:rPr>
  </w:style>
  <w:style w:type="character" w:customStyle="1" w:styleId="af7">
    <w:name w:val="حديث"/>
    <w:basedOn w:val="a0"/>
    <w:rsid w:val="004445F8"/>
    <w:rPr>
      <w:rFonts w:cs="Traditional Arabic"/>
      <w:szCs w:val="36"/>
    </w:rPr>
  </w:style>
  <w:style w:type="character" w:customStyle="1" w:styleId="af8">
    <w:name w:val="أثر"/>
    <w:basedOn w:val="a0"/>
    <w:rsid w:val="004445F8"/>
    <w:rPr>
      <w:rFonts w:cs="Traditional Arabic"/>
      <w:szCs w:val="36"/>
    </w:rPr>
  </w:style>
  <w:style w:type="character" w:customStyle="1" w:styleId="af9">
    <w:name w:val="مثل"/>
    <w:basedOn w:val="a0"/>
    <w:rsid w:val="004445F8"/>
    <w:rPr>
      <w:rFonts w:cs="Traditional Arabic"/>
      <w:szCs w:val="36"/>
    </w:rPr>
  </w:style>
  <w:style w:type="character" w:customStyle="1" w:styleId="afa">
    <w:name w:val="قول"/>
    <w:basedOn w:val="a0"/>
    <w:rsid w:val="004445F8"/>
    <w:rPr>
      <w:rFonts w:cs="Traditional Arabic"/>
      <w:szCs w:val="36"/>
    </w:rPr>
  </w:style>
  <w:style w:type="character" w:customStyle="1" w:styleId="afb">
    <w:name w:val="شعر"/>
    <w:basedOn w:val="a0"/>
    <w:rsid w:val="004445F8"/>
    <w:rPr>
      <w:rFonts w:cs="Traditional Arabic"/>
      <w:szCs w:val="36"/>
    </w:rPr>
  </w:style>
  <w:style w:type="character" w:customStyle="1" w:styleId="TraditionalArabic">
    <w:name w:val="نمط مرجع حاشية سفلية + (العربية وغيرها) Traditional Arabic"/>
    <w:basedOn w:val="ae"/>
    <w:rsid w:val="00A44C74"/>
    <w:rPr>
      <w:rFonts w:cs="Traditional Arabic"/>
      <w:vertAlign w:val="superscript"/>
    </w:rPr>
  </w:style>
  <w:style w:type="character" w:customStyle="1" w:styleId="Char6">
    <w:name w:val="نص حاشية سفلية Char"/>
    <w:aliases w:val="Footnote Text Char"/>
    <w:basedOn w:val="a0"/>
    <w:link w:val="af3"/>
    <w:rsid w:val="00AB6719"/>
    <w:rPr>
      <w:rFonts w:cs="Traditional Arabic"/>
      <w:color w:val="000000"/>
      <w:sz w:val="28"/>
      <w:szCs w:val="28"/>
      <w:lang w:eastAsia="ar-SA"/>
    </w:rPr>
  </w:style>
  <w:style w:type="paragraph" w:styleId="afc">
    <w:name w:val="footer"/>
    <w:aliases w:val="تذييل صفحة,Footer"/>
    <w:basedOn w:val="a"/>
    <w:link w:val="Char9"/>
    <w:rsid w:val="003D3C7E"/>
    <w:pPr>
      <w:tabs>
        <w:tab w:val="center" w:pos="4153"/>
        <w:tab w:val="right" w:pos="8306"/>
      </w:tabs>
    </w:pPr>
  </w:style>
  <w:style w:type="character" w:customStyle="1" w:styleId="Char9">
    <w:name w:val="تذييل الصفحة Char"/>
    <w:aliases w:val="تذييل صفحة Char1,Footer Char1"/>
    <w:basedOn w:val="a0"/>
    <w:link w:val="afc"/>
    <w:rsid w:val="003D3C7E"/>
    <w:rPr>
      <w:rFonts w:cs="Traditional Arabic"/>
      <w:color w:val="000000"/>
      <w:sz w:val="36"/>
      <w:szCs w:val="36"/>
      <w:lang w:eastAsia="ar-SA"/>
    </w:rPr>
  </w:style>
  <w:style w:type="character" w:customStyle="1" w:styleId="Char1">
    <w:name w:val="رأس الصفحة Char"/>
    <w:aliases w:val="رأس صفحة Char1"/>
    <w:basedOn w:val="a0"/>
    <w:link w:val="a8"/>
    <w:uiPriority w:val="99"/>
    <w:rsid w:val="00EF3531"/>
    <w:rPr>
      <w:rFonts w:cs="Traditional Arabic"/>
      <w:color w:val="000000"/>
      <w:lang w:eastAsia="ar-SA"/>
    </w:rPr>
  </w:style>
  <w:style w:type="character" w:customStyle="1" w:styleId="1Char">
    <w:name w:val="عنوان 1 Char"/>
    <w:aliases w:val="القسم Char"/>
    <w:basedOn w:val="a0"/>
    <w:link w:val="1"/>
    <w:uiPriority w:val="99"/>
    <w:rsid w:val="00D11232"/>
    <w:rPr>
      <w:b/>
      <w:bCs/>
      <w:noProof/>
      <w:color w:val="000000"/>
      <w:kern w:val="32"/>
      <w:sz w:val="32"/>
      <w:szCs w:val="36"/>
      <w:lang w:eastAsia="ar-SA"/>
    </w:rPr>
  </w:style>
  <w:style w:type="character" w:customStyle="1" w:styleId="2Char">
    <w:name w:val="عنوان 2 Char"/>
    <w:aliases w:val="الفصل Char"/>
    <w:basedOn w:val="a0"/>
    <w:link w:val="2"/>
    <w:uiPriority w:val="99"/>
    <w:rsid w:val="00D11232"/>
    <w:rPr>
      <w:rFonts w:ascii="Arial" w:hAnsi="Arial" w:cs="Arial"/>
      <w:b/>
      <w:bCs/>
      <w:i/>
      <w:iCs/>
      <w:noProof/>
      <w:color w:val="000000"/>
      <w:sz w:val="28"/>
      <w:szCs w:val="28"/>
      <w:lang w:eastAsia="ar-SA"/>
    </w:rPr>
  </w:style>
  <w:style w:type="character" w:customStyle="1" w:styleId="3Char">
    <w:name w:val="عنوان 3 Char"/>
    <w:aliases w:val="المبحث Char"/>
    <w:basedOn w:val="a0"/>
    <w:link w:val="3"/>
    <w:uiPriority w:val="99"/>
    <w:rsid w:val="00D11232"/>
    <w:rPr>
      <w:rFonts w:ascii="Arial" w:hAnsi="Arial" w:cs="Arial"/>
      <w:b/>
      <w:bCs/>
      <w:noProof/>
      <w:color w:val="000000"/>
      <w:sz w:val="26"/>
      <w:szCs w:val="26"/>
      <w:lang w:eastAsia="ar-SA"/>
    </w:rPr>
  </w:style>
  <w:style w:type="character" w:customStyle="1" w:styleId="4Char">
    <w:name w:val="عنوان 4 Char"/>
    <w:basedOn w:val="a0"/>
    <w:link w:val="4"/>
    <w:uiPriority w:val="99"/>
    <w:rsid w:val="00D11232"/>
    <w:rPr>
      <w:b/>
      <w:bCs/>
      <w:noProof/>
      <w:color w:val="000000"/>
      <w:sz w:val="28"/>
      <w:szCs w:val="28"/>
      <w:lang w:eastAsia="ar-SA"/>
    </w:rPr>
  </w:style>
  <w:style w:type="character" w:customStyle="1" w:styleId="5Char">
    <w:name w:val="عنوان 5 Char"/>
    <w:basedOn w:val="a0"/>
    <w:link w:val="5"/>
    <w:uiPriority w:val="99"/>
    <w:rsid w:val="00D11232"/>
    <w:rPr>
      <w:rFonts w:ascii="Tahoma" w:hAnsi="Tahoma" w:cs="Traditional Arabic"/>
      <w:b/>
      <w:bCs/>
      <w:i/>
      <w:iCs/>
      <w:noProof/>
      <w:color w:val="000000"/>
      <w:sz w:val="26"/>
      <w:szCs w:val="26"/>
      <w:lang w:eastAsia="ar-SA"/>
    </w:rPr>
  </w:style>
  <w:style w:type="character" w:customStyle="1" w:styleId="6Char">
    <w:name w:val="عنوان 6 Char"/>
    <w:basedOn w:val="a0"/>
    <w:link w:val="6"/>
    <w:uiPriority w:val="99"/>
    <w:rsid w:val="00D11232"/>
    <w:rPr>
      <w:b/>
      <w:bCs/>
      <w:noProof/>
      <w:color w:val="000000"/>
      <w:sz w:val="22"/>
      <w:szCs w:val="22"/>
      <w:lang w:eastAsia="ar-SA"/>
    </w:rPr>
  </w:style>
  <w:style w:type="character" w:customStyle="1" w:styleId="7Char">
    <w:name w:val="عنوان 7 Char"/>
    <w:basedOn w:val="a0"/>
    <w:link w:val="7"/>
    <w:uiPriority w:val="99"/>
    <w:rsid w:val="00D11232"/>
    <w:rPr>
      <w:noProof/>
      <w:color w:val="000000"/>
      <w:sz w:val="24"/>
      <w:szCs w:val="24"/>
      <w:lang w:eastAsia="ar-SA"/>
    </w:rPr>
  </w:style>
  <w:style w:type="character" w:customStyle="1" w:styleId="8Char">
    <w:name w:val="عنوان 8 Char"/>
    <w:basedOn w:val="a0"/>
    <w:link w:val="8"/>
    <w:uiPriority w:val="99"/>
    <w:rsid w:val="00D11232"/>
    <w:rPr>
      <w:i/>
      <w:iCs/>
      <w:noProof/>
      <w:color w:val="000000"/>
      <w:sz w:val="24"/>
      <w:szCs w:val="24"/>
      <w:lang w:eastAsia="ar-SA"/>
    </w:rPr>
  </w:style>
  <w:style w:type="character" w:customStyle="1" w:styleId="9Char">
    <w:name w:val="عنوان 9 Char"/>
    <w:basedOn w:val="a0"/>
    <w:link w:val="9"/>
    <w:uiPriority w:val="99"/>
    <w:rsid w:val="00D11232"/>
    <w:rPr>
      <w:rFonts w:ascii="Arial" w:hAnsi="Arial" w:cs="Arial"/>
      <w:noProof/>
      <w:color w:val="000000"/>
      <w:sz w:val="22"/>
      <w:szCs w:val="22"/>
      <w:lang w:eastAsia="ar-SA"/>
    </w:rPr>
  </w:style>
  <w:style w:type="paragraph" w:customStyle="1" w:styleId="Chara">
    <w:name w:val="Char"/>
    <w:basedOn w:val="a"/>
    <w:rsid w:val="00D11232"/>
    <w:pPr>
      <w:widowControl/>
      <w:ind w:firstLine="0"/>
      <w:jc w:val="left"/>
    </w:pPr>
    <w:rPr>
      <w:rFonts w:cs="Times New Roman"/>
      <w:color w:val="auto"/>
      <w:sz w:val="24"/>
      <w:szCs w:val="24"/>
      <w:lang w:eastAsia="en-US"/>
    </w:rPr>
  </w:style>
  <w:style w:type="paragraph" w:customStyle="1" w:styleId="ParaChar">
    <w:name w:val="خط الفقرة الافتراضي Para Char"/>
    <w:basedOn w:val="a"/>
    <w:rsid w:val="00D11232"/>
    <w:pPr>
      <w:widowControl/>
      <w:ind w:firstLine="0"/>
      <w:jc w:val="left"/>
    </w:pPr>
    <w:rPr>
      <w:rFonts w:cs="Times New Roman"/>
      <w:color w:val="auto"/>
      <w:sz w:val="24"/>
      <w:szCs w:val="24"/>
      <w:lang w:eastAsia="en-US"/>
    </w:rPr>
  </w:style>
  <w:style w:type="character" w:customStyle="1" w:styleId="Char4">
    <w:name w:val="نص أساسي Char"/>
    <w:basedOn w:val="a0"/>
    <w:link w:val="af1"/>
    <w:uiPriority w:val="99"/>
    <w:rsid w:val="00D11232"/>
    <w:rPr>
      <w:rFonts w:cs="Traditional Arabic"/>
      <w:color w:val="000000"/>
      <w:sz w:val="24"/>
      <w:szCs w:val="36"/>
      <w:lang w:val="fr-FR" w:eastAsia="ar-SA"/>
    </w:rPr>
  </w:style>
  <w:style w:type="character" w:customStyle="1" w:styleId="Char10">
    <w:name w:val="نص أساسي Char1"/>
    <w:basedOn w:val="a0"/>
    <w:uiPriority w:val="99"/>
    <w:semiHidden/>
    <w:rsid w:val="00D11232"/>
    <w:rPr>
      <w:rFonts w:ascii="Times New Roman" w:eastAsia="Times New Roman" w:hAnsi="Times New Roman"/>
      <w:color w:val="000000"/>
      <w:sz w:val="32"/>
      <w:szCs w:val="36"/>
    </w:rPr>
  </w:style>
  <w:style w:type="character" w:customStyle="1" w:styleId="Char7">
    <w:name w:val="نص في بالون Char"/>
    <w:basedOn w:val="a0"/>
    <w:link w:val="af4"/>
    <w:uiPriority w:val="99"/>
    <w:rsid w:val="00D11232"/>
    <w:rPr>
      <w:rFonts w:cs="Tahoma"/>
      <w:color w:val="000000"/>
      <w:sz w:val="16"/>
      <w:szCs w:val="16"/>
      <w:lang w:eastAsia="ar-SA"/>
    </w:rPr>
  </w:style>
  <w:style w:type="paragraph" w:styleId="afd">
    <w:name w:val="List Paragraph"/>
    <w:basedOn w:val="a"/>
    <w:uiPriority w:val="34"/>
    <w:qFormat/>
    <w:rsid w:val="00D11232"/>
    <w:pPr>
      <w:widowControl/>
      <w:ind w:left="720" w:firstLine="0"/>
      <w:contextualSpacing/>
      <w:jc w:val="left"/>
    </w:pPr>
    <w:rPr>
      <w:rFonts w:cs="Times New Roman"/>
      <w:color w:val="auto"/>
      <w:sz w:val="24"/>
      <w:szCs w:val="24"/>
      <w:lang w:eastAsia="en-US"/>
    </w:rPr>
  </w:style>
  <w:style w:type="character" w:customStyle="1" w:styleId="afe">
    <w:name w:val="نمط أسود"/>
    <w:basedOn w:val="a0"/>
    <w:rsid w:val="00D11232"/>
    <w:rPr>
      <w:rFonts w:ascii="Traditional Arabic" w:hAnsi="Traditional Arabic" w:cs="Traditional Arabic"/>
      <w:color w:val="000000"/>
      <w:sz w:val="36"/>
      <w:szCs w:val="36"/>
      <w:u w:val="none"/>
    </w:rPr>
  </w:style>
  <w:style w:type="paragraph" w:customStyle="1" w:styleId="UA">
    <w:name w:val="&lt;UA+&gt;"/>
    <w:basedOn w:val="a"/>
    <w:link w:val="UAChar"/>
    <w:uiPriority w:val="99"/>
    <w:rsid w:val="00D11232"/>
    <w:pPr>
      <w:spacing w:after="240" w:line="560" w:lineRule="exact"/>
      <w:ind w:firstLine="567"/>
      <w:jc w:val="lowKashida"/>
    </w:pPr>
    <w:rPr>
      <w:rFonts w:cs="Times New Roman"/>
      <w:color w:val="auto"/>
      <w:sz w:val="34"/>
      <w:szCs w:val="34"/>
      <w:lang w:eastAsia="en-US"/>
    </w:rPr>
  </w:style>
  <w:style w:type="character" w:customStyle="1" w:styleId="UAChar">
    <w:name w:val="&lt;UA+&gt; Char"/>
    <w:basedOn w:val="a0"/>
    <w:link w:val="UA"/>
    <w:uiPriority w:val="99"/>
    <w:rsid w:val="00D11232"/>
    <w:rPr>
      <w:sz w:val="34"/>
      <w:szCs w:val="34"/>
    </w:rPr>
  </w:style>
  <w:style w:type="character" w:customStyle="1" w:styleId="Char">
    <w:name w:val="نص عادي Char"/>
    <w:basedOn w:val="a0"/>
    <w:link w:val="a3"/>
    <w:uiPriority w:val="99"/>
    <w:rsid w:val="00D11232"/>
    <w:rPr>
      <w:rFonts w:ascii="Courier New" w:hAnsi="Courier New" w:cs="Courier New"/>
      <w:color w:val="000000"/>
      <w:lang w:eastAsia="ar-SA"/>
    </w:rPr>
  </w:style>
  <w:style w:type="character" w:customStyle="1" w:styleId="Char0">
    <w:name w:val="مخطط المستند Char"/>
    <w:basedOn w:val="a0"/>
    <w:link w:val="a7"/>
    <w:uiPriority w:val="99"/>
    <w:rsid w:val="00D11232"/>
    <w:rPr>
      <w:rFonts w:cs="Traditional Arabic"/>
      <w:color w:val="000000"/>
      <w:sz w:val="36"/>
      <w:szCs w:val="36"/>
      <w:shd w:val="clear" w:color="auto" w:fill="000080"/>
      <w:lang w:eastAsia="ar-SA"/>
    </w:rPr>
  </w:style>
  <w:style w:type="character" w:customStyle="1" w:styleId="Char11">
    <w:name w:val="مخطط المستند Char1"/>
    <w:basedOn w:val="a0"/>
    <w:uiPriority w:val="99"/>
    <w:semiHidden/>
    <w:rsid w:val="00D11232"/>
    <w:rPr>
      <w:rFonts w:ascii="Tahoma" w:eastAsia="Times New Roman" w:hAnsi="Tahoma" w:cs="Tahoma"/>
      <w:color w:val="000000"/>
      <w:sz w:val="16"/>
      <w:szCs w:val="16"/>
    </w:rPr>
  </w:style>
  <w:style w:type="character" w:customStyle="1" w:styleId="Char2">
    <w:name w:val="نص تعليق Char"/>
    <w:basedOn w:val="a0"/>
    <w:link w:val="af"/>
    <w:uiPriority w:val="99"/>
    <w:rsid w:val="00D11232"/>
    <w:rPr>
      <w:rFonts w:cs="Traditional Arabic"/>
      <w:color w:val="000000"/>
      <w:szCs w:val="28"/>
      <w:lang w:eastAsia="ar-SA"/>
    </w:rPr>
  </w:style>
  <w:style w:type="character" w:customStyle="1" w:styleId="Char12">
    <w:name w:val="نص تعليق Char1"/>
    <w:basedOn w:val="a0"/>
    <w:uiPriority w:val="99"/>
    <w:semiHidden/>
    <w:rsid w:val="00D11232"/>
    <w:rPr>
      <w:rFonts w:ascii="Times New Roman" w:eastAsia="Times New Roman" w:hAnsi="Times New Roman"/>
      <w:color w:val="000000"/>
    </w:rPr>
  </w:style>
  <w:style w:type="character" w:customStyle="1" w:styleId="Char3">
    <w:name w:val="موضوع تعليق Char"/>
    <w:basedOn w:val="Char2"/>
    <w:link w:val="af0"/>
    <w:uiPriority w:val="99"/>
    <w:rsid w:val="00D11232"/>
    <w:rPr>
      <w:rFonts w:cs="Traditional Arabic"/>
      <w:b/>
      <w:bCs/>
      <w:color w:val="000000"/>
      <w:szCs w:val="28"/>
      <w:lang w:eastAsia="ar-SA"/>
    </w:rPr>
  </w:style>
  <w:style w:type="character" w:customStyle="1" w:styleId="Char13">
    <w:name w:val="موضوع تعليق Char1"/>
    <w:basedOn w:val="Char12"/>
    <w:uiPriority w:val="99"/>
    <w:semiHidden/>
    <w:rsid w:val="00D11232"/>
    <w:rPr>
      <w:rFonts w:ascii="Times New Roman" w:eastAsia="Times New Roman" w:hAnsi="Times New Roman"/>
      <w:b/>
      <w:bCs/>
      <w:color w:val="000000"/>
    </w:rPr>
  </w:style>
  <w:style w:type="character" w:customStyle="1" w:styleId="Char5">
    <w:name w:val="نص تعليق ختامي Char"/>
    <w:basedOn w:val="a0"/>
    <w:link w:val="af2"/>
    <w:uiPriority w:val="99"/>
    <w:rsid w:val="00D11232"/>
    <w:rPr>
      <w:rFonts w:cs="Traditional Arabic"/>
      <w:color w:val="000000"/>
      <w:lang w:eastAsia="ar-SA"/>
    </w:rPr>
  </w:style>
  <w:style w:type="character" w:customStyle="1" w:styleId="Char14">
    <w:name w:val="نص تعليق ختامي Char1"/>
    <w:basedOn w:val="a0"/>
    <w:uiPriority w:val="99"/>
    <w:semiHidden/>
    <w:rsid w:val="00D11232"/>
    <w:rPr>
      <w:rFonts w:ascii="Times New Roman" w:eastAsia="Times New Roman" w:hAnsi="Times New Roman"/>
      <w:color w:val="000000"/>
    </w:rPr>
  </w:style>
  <w:style w:type="character" w:customStyle="1" w:styleId="Char8">
    <w:name w:val="نص ماكرو Char"/>
    <w:basedOn w:val="a0"/>
    <w:link w:val="af5"/>
    <w:uiPriority w:val="99"/>
    <w:rsid w:val="00D11232"/>
    <w:rPr>
      <w:rFonts w:ascii="Courier New" w:hAnsi="Courier New" w:cs="Courier New"/>
      <w:color w:val="000000"/>
      <w:lang w:eastAsia="ar-SA"/>
    </w:rPr>
  </w:style>
  <w:style w:type="character" w:customStyle="1" w:styleId="Char15">
    <w:name w:val="نص ماكرو Char1"/>
    <w:basedOn w:val="a0"/>
    <w:uiPriority w:val="99"/>
    <w:semiHidden/>
    <w:rsid w:val="00D11232"/>
    <w:rPr>
      <w:rFonts w:ascii="Consolas" w:eastAsia="Times New Roman" w:hAnsi="Consolas" w:cs="Consolas"/>
      <w:color w:val="000000"/>
    </w:rPr>
  </w:style>
  <w:style w:type="character" w:styleId="Hyperlink">
    <w:name w:val="Hyperlink"/>
    <w:basedOn w:val="a0"/>
    <w:uiPriority w:val="99"/>
    <w:rsid w:val="00D11232"/>
    <w:rPr>
      <w:rFonts w:cs="Times New Roman"/>
      <w:color w:val="0000FF"/>
      <w:u w:val="single"/>
    </w:rPr>
  </w:style>
  <w:style w:type="paragraph" w:customStyle="1" w:styleId="UA1">
    <w:name w:val="&lt;UA1+&gt;"/>
    <w:basedOn w:val="a"/>
    <w:next w:val="UA"/>
    <w:uiPriority w:val="99"/>
    <w:rsid w:val="00D11232"/>
    <w:pPr>
      <w:keepNext/>
      <w:ind w:firstLine="0"/>
    </w:pPr>
    <w:rPr>
      <w:rFonts w:cs="Simplified Arabic"/>
      <w:b/>
      <w:bCs/>
      <w:color w:val="auto"/>
      <w:sz w:val="32"/>
      <w:szCs w:val="34"/>
      <w:lang w:eastAsia="en-US"/>
    </w:rPr>
  </w:style>
  <w:style w:type="paragraph" w:customStyle="1" w:styleId="aff">
    <w:name w:val="الباب"/>
    <w:basedOn w:val="aff0"/>
    <w:link w:val="Charb"/>
    <w:rsid w:val="00D11232"/>
    <w:pPr>
      <w:pBdr>
        <w:top w:val="single" w:sz="4" w:space="1" w:color="auto"/>
        <w:left w:val="single" w:sz="4" w:space="4" w:color="auto"/>
        <w:bottom w:val="single" w:sz="4" w:space="1" w:color="auto"/>
        <w:right w:val="single" w:sz="4" w:space="4" w:color="auto"/>
      </w:pBdr>
      <w:shd w:val="pct10" w:color="000000" w:fill="FFFFFF"/>
      <w:spacing w:after="80"/>
      <w:ind w:left="1134" w:right="1134"/>
      <w:contextualSpacing w:val="0"/>
      <w:jc w:val="center"/>
    </w:pPr>
    <w:rPr>
      <w:rFonts w:ascii="Librarian" w:eastAsia="Times New Roman" w:hAnsi="Librarian" w:cs="MCS ALMAALIM HIGH"/>
      <w:b/>
      <w:bCs/>
      <w:color w:val="000000"/>
      <w:spacing w:val="0"/>
      <w:sz w:val="26"/>
      <w:szCs w:val="50"/>
    </w:rPr>
  </w:style>
  <w:style w:type="paragraph" w:customStyle="1" w:styleId="aff1">
    <w:name w:val="أسماء الأعلام"/>
    <w:basedOn w:val="a"/>
    <w:link w:val="Charc"/>
    <w:rsid w:val="00D11232"/>
    <w:pPr>
      <w:keepNext/>
      <w:spacing w:before="200" w:after="120" w:line="640" w:lineRule="exact"/>
      <w:ind w:firstLine="0"/>
      <w:jc w:val="center"/>
    </w:pPr>
    <w:rPr>
      <w:rFonts w:cs="MCS Taybah S_U normal."/>
      <w:color w:val="auto"/>
      <w:sz w:val="50"/>
      <w:szCs w:val="44"/>
      <w:lang w:eastAsia="en-US"/>
      <w14:shadow w14:blurRad="50800" w14:dist="38100" w14:dir="2700000" w14:sx="100000" w14:sy="100000" w14:kx="0" w14:ky="0" w14:algn="tl">
        <w14:srgbClr w14:val="000000">
          <w14:alpha w14:val="60000"/>
        </w14:srgbClr>
      </w14:shadow>
    </w:rPr>
  </w:style>
  <w:style w:type="paragraph" w:customStyle="1" w:styleId="aff2">
    <w:name w:val="نمط فاصل"/>
    <w:basedOn w:val="a"/>
    <w:link w:val="Chard"/>
    <w:rsid w:val="00D11232"/>
    <w:pPr>
      <w:widowControl/>
      <w:spacing w:line="14" w:lineRule="auto"/>
      <w:ind w:firstLine="0"/>
      <w:jc w:val="lowKashida"/>
    </w:pPr>
    <w:rPr>
      <w:rFonts w:ascii="Librarian" w:hAnsi="Librarian" w:cs="mylotus"/>
      <w:szCs w:val="27"/>
      <w:lang w:eastAsia="en-US"/>
    </w:rPr>
  </w:style>
  <w:style w:type="character" w:customStyle="1" w:styleId="Charc">
    <w:name w:val="أسماء الأعلام Char"/>
    <w:link w:val="aff1"/>
    <w:rsid w:val="00D11232"/>
    <w:rPr>
      <w:rFonts w:cs="MCS Taybah S_U normal."/>
      <w:sz w:val="50"/>
      <w:szCs w:val="44"/>
      <w14:shadow w14:blurRad="50800" w14:dist="38100" w14:dir="2700000" w14:sx="100000" w14:sy="100000" w14:kx="0" w14:ky="0" w14:algn="tl">
        <w14:srgbClr w14:val="000000">
          <w14:alpha w14:val="60000"/>
        </w14:srgbClr>
      </w14:shadow>
    </w:rPr>
  </w:style>
  <w:style w:type="character" w:customStyle="1" w:styleId="Charb">
    <w:name w:val="الباب Char"/>
    <w:link w:val="aff"/>
    <w:rsid w:val="00D11232"/>
    <w:rPr>
      <w:rFonts w:ascii="Librarian" w:hAnsi="Librarian" w:cs="MCS ALMAALIM HIGH"/>
      <w:b/>
      <w:bCs/>
      <w:color w:val="000000"/>
      <w:kern w:val="28"/>
      <w:sz w:val="26"/>
      <w:szCs w:val="50"/>
      <w:shd w:val="pct10" w:color="000000" w:fill="FFFFFF"/>
    </w:rPr>
  </w:style>
  <w:style w:type="character" w:customStyle="1" w:styleId="Chare">
    <w:name w:val="رأس صفحة Char"/>
    <w:uiPriority w:val="99"/>
    <w:locked/>
    <w:rsid w:val="00D11232"/>
    <w:rPr>
      <w:rFonts w:cs="mylotus"/>
      <w:color w:val="000000"/>
      <w:sz w:val="29"/>
      <w:szCs w:val="48"/>
      <w:lang w:val="en-US" w:eastAsia="en-US" w:bidi="ar-SA"/>
    </w:rPr>
  </w:style>
  <w:style w:type="character" w:customStyle="1" w:styleId="Charf">
    <w:name w:val="تذييل صفحة Char"/>
    <w:aliases w:val="Footer Char"/>
    <w:uiPriority w:val="99"/>
    <w:locked/>
    <w:rsid w:val="00D11232"/>
    <w:rPr>
      <w:rFonts w:cs="mylotus"/>
      <w:color w:val="000000"/>
      <w:sz w:val="29"/>
      <w:szCs w:val="48"/>
      <w:lang w:val="en-US" w:eastAsia="en-US" w:bidi="ar-SA"/>
    </w:rPr>
  </w:style>
  <w:style w:type="paragraph" w:customStyle="1" w:styleId="aff3">
    <w:name w:val="فقرة جديدة"/>
    <w:basedOn w:val="23"/>
    <w:link w:val="Charf0"/>
    <w:rsid w:val="00D11232"/>
    <w:pPr>
      <w:tabs>
        <w:tab w:val="left" w:pos="3993"/>
      </w:tabs>
      <w:spacing w:after="0" w:line="500" w:lineRule="exact"/>
      <w:jc w:val="lowKashida"/>
    </w:pPr>
    <w:rPr>
      <w:color w:val="auto"/>
      <w:sz w:val="36"/>
    </w:rPr>
  </w:style>
  <w:style w:type="character" w:customStyle="1" w:styleId="Charf0">
    <w:name w:val="فقرة جديدة Char"/>
    <w:link w:val="aff3"/>
    <w:rsid w:val="00D11232"/>
    <w:rPr>
      <w:rFonts w:cs="Traditional Arabic"/>
      <w:sz w:val="36"/>
      <w:szCs w:val="36"/>
    </w:rPr>
  </w:style>
  <w:style w:type="paragraph" w:styleId="aff0">
    <w:name w:val="Title"/>
    <w:basedOn w:val="a"/>
    <w:next w:val="a"/>
    <w:link w:val="Charf1"/>
    <w:uiPriority w:val="10"/>
    <w:qFormat/>
    <w:rsid w:val="00D11232"/>
    <w:pPr>
      <w:widowControl/>
      <w:pBdr>
        <w:bottom w:val="single" w:sz="8" w:space="4" w:color="4F81BD" w:themeColor="accent1"/>
      </w:pBdr>
      <w:spacing w:after="300"/>
      <w:ind w:firstLine="0"/>
      <w:contextualSpacing/>
      <w:jc w:val="left"/>
    </w:pPr>
    <w:rPr>
      <w:rFonts w:asciiTheme="majorHAnsi" w:eastAsiaTheme="majorEastAsia" w:hAnsiTheme="majorHAnsi" w:cstheme="majorBidi"/>
      <w:color w:val="17365D" w:themeColor="text2" w:themeShade="BF"/>
      <w:spacing w:val="5"/>
      <w:kern w:val="28"/>
      <w:sz w:val="52"/>
      <w:szCs w:val="52"/>
      <w:lang w:eastAsia="en-US"/>
    </w:rPr>
  </w:style>
  <w:style w:type="character" w:customStyle="1" w:styleId="Charf1">
    <w:name w:val="العنوان Char"/>
    <w:basedOn w:val="a0"/>
    <w:link w:val="aff0"/>
    <w:uiPriority w:val="10"/>
    <w:rsid w:val="00D11232"/>
    <w:rPr>
      <w:rFonts w:asciiTheme="majorHAnsi" w:eastAsiaTheme="majorEastAsia" w:hAnsiTheme="majorHAnsi" w:cstheme="majorBidi"/>
      <w:color w:val="17365D" w:themeColor="text2" w:themeShade="BF"/>
      <w:spacing w:val="5"/>
      <w:kern w:val="28"/>
      <w:sz w:val="52"/>
      <w:szCs w:val="52"/>
    </w:rPr>
  </w:style>
  <w:style w:type="paragraph" w:styleId="23">
    <w:name w:val="Body Text 2"/>
    <w:basedOn w:val="a"/>
    <w:link w:val="2Char0"/>
    <w:uiPriority w:val="99"/>
    <w:unhideWhenUsed/>
    <w:rsid w:val="00D11232"/>
    <w:pPr>
      <w:widowControl/>
      <w:spacing w:after="120" w:line="480" w:lineRule="auto"/>
      <w:ind w:firstLine="0"/>
      <w:jc w:val="left"/>
    </w:pPr>
    <w:rPr>
      <w:sz w:val="32"/>
      <w:lang w:eastAsia="en-US"/>
    </w:rPr>
  </w:style>
  <w:style w:type="character" w:customStyle="1" w:styleId="2Char0">
    <w:name w:val="نص أساسي 2 Char"/>
    <w:basedOn w:val="a0"/>
    <w:link w:val="23"/>
    <w:uiPriority w:val="99"/>
    <w:rsid w:val="00D11232"/>
    <w:rPr>
      <w:rFonts w:cs="Traditional Arabic"/>
      <w:color w:val="000000"/>
      <w:sz w:val="32"/>
      <w:szCs w:val="36"/>
    </w:rPr>
  </w:style>
  <w:style w:type="paragraph" w:styleId="Index2">
    <w:name w:val="index 2"/>
    <w:basedOn w:val="a"/>
    <w:next w:val="a"/>
    <w:autoRedefine/>
    <w:uiPriority w:val="99"/>
    <w:unhideWhenUsed/>
    <w:rsid w:val="00D11232"/>
    <w:pPr>
      <w:widowControl/>
      <w:ind w:left="640" w:hanging="320"/>
      <w:jc w:val="left"/>
    </w:pPr>
    <w:rPr>
      <w:sz w:val="32"/>
      <w:lang w:eastAsia="en-US"/>
    </w:rPr>
  </w:style>
  <w:style w:type="paragraph" w:styleId="Index3">
    <w:name w:val="index 3"/>
    <w:basedOn w:val="a"/>
    <w:next w:val="a"/>
    <w:autoRedefine/>
    <w:uiPriority w:val="99"/>
    <w:unhideWhenUsed/>
    <w:rsid w:val="00D11232"/>
    <w:pPr>
      <w:widowControl/>
      <w:ind w:left="960" w:hanging="320"/>
      <w:jc w:val="left"/>
    </w:pPr>
    <w:rPr>
      <w:sz w:val="32"/>
      <w:lang w:eastAsia="en-US"/>
    </w:rPr>
  </w:style>
  <w:style w:type="paragraph" w:styleId="Index4">
    <w:name w:val="index 4"/>
    <w:basedOn w:val="a"/>
    <w:next w:val="a"/>
    <w:autoRedefine/>
    <w:uiPriority w:val="99"/>
    <w:unhideWhenUsed/>
    <w:rsid w:val="00D11232"/>
    <w:pPr>
      <w:widowControl/>
      <w:ind w:left="1280" w:hanging="320"/>
      <w:jc w:val="left"/>
    </w:pPr>
    <w:rPr>
      <w:sz w:val="32"/>
      <w:lang w:eastAsia="en-US"/>
    </w:rPr>
  </w:style>
  <w:style w:type="table" w:styleId="aff4">
    <w:name w:val="Table Grid"/>
    <w:basedOn w:val="a1"/>
    <w:rsid w:val="00D11232"/>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444">
    <w:name w:val="444"/>
    <w:basedOn w:val="a"/>
    <w:link w:val="444Char"/>
    <w:qFormat/>
    <w:rsid w:val="00D11232"/>
    <w:pPr>
      <w:widowControl/>
      <w:spacing w:line="276" w:lineRule="auto"/>
      <w:ind w:left="454" w:hanging="454"/>
      <w:jc w:val="lowKashida"/>
    </w:pPr>
    <w:rPr>
      <w:rFonts w:ascii="Traditional Arabic" w:eastAsia="Calibri" w:hAnsi="Traditional Arabic"/>
      <w:b/>
      <w:bCs/>
      <w:color w:val="auto"/>
      <w:sz w:val="24"/>
      <w:szCs w:val="24"/>
      <w:lang w:val="x-none" w:eastAsia="x-none"/>
    </w:rPr>
  </w:style>
  <w:style w:type="character" w:customStyle="1" w:styleId="444Char">
    <w:name w:val="444 Char"/>
    <w:basedOn w:val="a0"/>
    <w:link w:val="444"/>
    <w:rsid w:val="00D11232"/>
    <w:rPr>
      <w:rFonts w:ascii="Traditional Arabic" w:eastAsia="Calibri" w:hAnsi="Traditional Arabic" w:cs="Traditional Arabic"/>
      <w:b/>
      <w:bCs/>
      <w:sz w:val="24"/>
      <w:szCs w:val="24"/>
      <w:lang w:val="x-none" w:eastAsia="x-none"/>
    </w:rPr>
  </w:style>
  <w:style w:type="numbering" w:customStyle="1" w:styleId="17">
    <w:name w:val="بلا قائمة1"/>
    <w:next w:val="a2"/>
    <w:uiPriority w:val="99"/>
    <w:semiHidden/>
    <w:unhideWhenUsed/>
    <w:rsid w:val="00D11232"/>
  </w:style>
  <w:style w:type="paragraph" w:customStyle="1" w:styleId="320">
    <w:name w:val="32"/>
    <w:basedOn w:val="a"/>
    <w:link w:val="32Char"/>
    <w:qFormat/>
    <w:rsid w:val="00D11232"/>
    <w:pPr>
      <w:widowControl/>
      <w:bidi w:val="0"/>
      <w:spacing w:line="360" w:lineRule="auto"/>
      <w:ind w:firstLine="0"/>
      <w:jc w:val="lowKashida"/>
    </w:pPr>
    <w:rPr>
      <w:rFonts w:ascii="Traditional Arabic" w:eastAsia="Calibri" w:hAnsi="Traditional Arabic"/>
      <w:b/>
      <w:bCs/>
      <w:color w:val="auto"/>
      <w:sz w:val="32"/>
      <w:szCs w:val="32"/>
      <w:lang w:eastAsia="en-US"/>
    </w:rPr>
  </w:style>
  <w:style w:type="character" w:customStyle="1" w:styleId="32Char">
    <w:name w:val="32 Char"/>
    <w:link w:val="320"/>
    <w:rsid w:val="00D11232"/>
    <w:rPr>
      <w:rFonts w:ascii="Traditional Arabic" w:eastAsia="Calibri" w:hAnsi="Traditional Arabic" w:cs="Traditional Arabic"/>
      <w:b/>
      <w:bCs/>
      <w:sz w:val="32"/>
      <w:szCs w:val="32"/>
    </w:rPr>
  </w:style>
  <w:style w:type="paragraph" w:customStyle="1" w:styleId="aff5">
    <w:name w:val="حاشة"/>
    <w:basedOn w:val="af3"/>
    <w:link w:val="Charf2"/>
    <w:qFormat/>
    <w:rsid w:val="00D11232"/>
    <w:pPr>
      <w:widowControl/>
      <w:ind w:left="0" w:firstLine="0"/>
    </w:pPr>
    <w:rPr>
      <w:rFonts w:ascii="Traditional Arabic" w:eastAsia="Calibri" w:hAnsi="Traditional Arabic"/>
      <w:color w:val="auto"/>
      <w:lang w:eastAsia="en-US"/>
    </w:rPr>
  </w:style>
  <w:style w:type="character" w:customStyle="1" w:styleId="Charf2">
    <w:name w:val="حاشة Char"/>
    <w:link w:val="aff5"/>
    <w:rsid w:val="00D11232"/>
    <w:rPr>
      <w:rFonts w:ascii="Traditional Arabic" w:eastAsia="Calibri" w:hAnsi="Traditional Arabic" w:cs="Traditional Arabic"/>
      <w:sz w:val="28"/>
      <w:szCs w:val="28"/>
    </w:rPr>
  </w:style>
  <w:style w:type="paragraph" w:styleId="aff6">
    <w:name w:val="Subtitle"/>
    <w:basedOn w:val="a"/>
    <w:next w:val="a"/>
    <w:link w:val="Charf3"/>
    <w:uiPriority w:val="11"/>
    <w:qFormat/>
    <w:rsid w:val="00D11232"/>
    <w:pPr>
      <w:widowControl/>
      <w:numPr>
        <w:ilvl w:val="1"/>
      </w:numPr>
      <w:spacing w:after="200" w:line="276" w:lineRule="auto"/>
      <w:ind w:firstLine="454"/>
      <w:jc w:val="left"/>
    </w:pPr>
    <w:rPr>
      <w:rFonts w:ascii="Cambria" w:hAnsi="Cambria" w:cs="Times New Roman"/>
      <w:i/>
      <w:iCs/>
      <w:color w:val="4F81BD"/>
      <w:spacing w:val="15"/>
      <w:sz w:val="24"/>
      <w:szCs w:val="24"/>
      <w:rtl/>
      <w:lang w:eastAsia="en-US"/>
    </w:rPr>
  </w:style>
  <w:style w:type="character" w:customStyle="1" w:styleId="Charf3">
    <w:name w:val="عنوان فرعي Char"/>
    <w:basedOn w:val="a0"/>
    <w:link w:val="aff6"/>
    <w:uiPriority w:val="11"/>
    <w:rsid w:val="00D11232"/>
    <w:rPr>
      <w:rFonts w:ascii="Cambria" w:hAnsi="Cambria"/>
      <w:i/>
      <w:iCs/>
      <w:color w:val="4F81BD"/>
      <w:spacing w:val="15"/>
      <w:sz w:val="24"/>
      <w:szCs w:val="24"/>
    </w:rPr>
  </w:style>
  <w:style w:type="character" w:customStyle="1" w:styleId="apple-converted-space">
    <w:name w:val="apple-converted-space"/>
    <w:rsid w:val="00D11232"/>
  </w:style>
  <w:style w:type="paragraph" w:customStyle="1" w:styleId="111">
    <w:name w:val="111"/>
    <w:basedOn w:val="a"/>
    <w:link w:val="111Char"/>
    <w:rsid w:val="00D11232"/>
    <w:pPr>
      <w:widowControl/>
      <w:spacing w:line="276" w:lineRule="auto"/>
      <w:ind w:firstLine="0"/>
      <w:jc w:val="left"/>
    </w:pPr>
    <w:rPr>
      <w:rFonts w:ascii="Traditional Arabic" w:eastAsia="Calibri" w:hAnsi="Traditional Arabic"/>
      <w:b/>
      <w:bCs/>
      <w:color w:val="008000"/>
      <w:sz w:val="32"/>
      <w:szCs w:val="32"/>
      <w:shd w:val="clear" w:color="auto" w:fill="FFFFFF"/>
      <w:lang w:eastAsia="en-US"/>
    </w:rPr>
  </w:style>
  <w:style w:type="paragraph" w:customStyle="1" w:styleId="230">
    <w:name w:val="23"/>
    <w:basedOn w:val="111"/>
    <w:link w:val="23Char"/>
    <w:qFormat/>
    <w:rsid w:val="00D11232"/>
    <w:rPr>
      <w:b w:val="0"/>
      <w:bCs w:val="0"/>
    </w:rPr>
  </w:style>
  <w:style w:type="character" w:customStyle="1" w:styleId="111Char">
    <w:name w:val="111 Char"/>
    <w:link w:val="111"/>
    <w:rsid w:val="00D11232"/>
    <w:rPr>
      <w:rFonts w:ascii="Traditional Arabic" w:eastAsia="Calibri" w:hAnsi="Traditional Arabic" w:cs="Traditional Arabic"/>
      <w:b/>
      <w:bCs/>
      <w:color w:val="008000"/>
      <w:sz w:val="32"/>
      <w:szCs w:val="32"/>
    </w:rPr>
  </w:style>
  <w:style w:type="paragraph" w:customStyle="1" w:styleId="654">
    <w:name w:val="654"/>
    <w:basedOn w:val="230"/>
    <w:link w:val="654Char"/>
    <w:qFormat/>
    <w:rsid w:val="00D11232"/>
  </w:style>
  <w:style w:type="character" w:customStyle="1" w:styleId="23Char">
    <w:name w:val="23 Char"/>
    <w:link w:val="230"/>
    <w:rsid w:val="00D11232"/>
    <w:rPr>
      <w:rFonts w:ascii="Traditional Arabic" w:eastAsia="Calibri" w:hAnsi="Traditional Arabic" w:cs="Traditional Arabic"/>
      <w:color w:val="008000"/>
      <w:sz w:val="32"/>
      <w:szCs w:val="32"/>
    </w:rPr>
  </w:style>
  <w:style w:type="character" w:customStyle="1" w:styleId="654Char">
    <w:name w:val="654 Char"/>
    <w:link w:val="654"/>
    <w:rsid w:val="00D11232"/>
    <w:rPr>
      <w:rFonts w:ascii="Traditional Arabic" w:eastAsia="Calibri" w:hAnsi="Traditional Arabic" w:cs="Traditional Arabic"/>
      <w:color w:val="008000"/>
      <w:sz w:val="32"/>
      <w:szCs w:val="32"/>
    </w:rPr>
  </w:style>
  <w:style w:type="numbering" w:customStyle="1" w:styleId="110">
    <w:name w:val="بلا قائمة11"/>
    <w:next w:val="a2"/>
    <w:uiPriority w:val="99"/>
    <w:semiHidden/>
    <w:unhideWhenUsed/>
    <w:rsid w:val="00D11232"/>
  </w:style>
  <w:style w:type="numbering" w:customStyle="1" w:styleId="24">
    <w:name w:val="بلا قائمة2"/>
    <w:next w:val="a2"/>
    <w:uiPriority w:val="99"/>
    <w:semiHidden/>
    <w:unhideWhenUsed/>
    <w:rsid w:val="00D11232"/>
  </w:style>
  <w:style w:type="character" w:styleId="aff7">
    <w:name w:val="Emphasis"/>
    <w:basedOn w:val="a0"/>
    <w:qFormat/>
    <w:rsid w:val="00D11232"/>
    <w:rPr>
      <w:i/>
      <w:iCs/>
    </w:rPr>
  </w:style>
  <w:style w:type="table" w:customStyle="1" w:styleId="18">
    <w:name w:val="شبكة جدول1"/>
    <w:basedOn w:val="a1"/>
    <w:next w:val="aff4"/>
    <w:rsid w:val="00D1123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4421">
    <w:name w:val="4421"/>
    <w:basedOn w:val="aff2"/>
    <w:link w:val="4421Char"/>
    <w:qFormat/>
    <w:rsid w:val="00D11232"/>
    <w:pPr>
      <w:spacing w:line="276" w:lineRule="auto"/>
      <w:jc w:val="center"/>
    </w:pPr>
    <w:rPr>
      <w:rFonts w:ascii="QCF_BSML" w:hAnsi="QCF_BSML" w:cs="QCF_BSML"/>
      <w:sz w:val="48"/>
      <w:szCs w:val="36"/>
    </w:rPr>
  </w:style>
  <w:style w:type="character" w:customStyle="1" w:styleId="Chard">
    <w:name w:val="نمط فاصل Char"/>
    <w:basedOn w:val="a0"/>
    <w:link w:val="aff2"/>
    <w:rsid w:val="00D11232"/>
    <w:rPr>
      <w:rFonts w:ascii="Librarian" w:hAnsi="Librarian" w:cs="mylotus"/>
      <w:color w:val="000000"/>
      <w:sz w:val="36"/>
      <w:szCs w:val="27"/>
    </w:rPr>
  </w:style>
  <w:style w:type="character" w:customStyle="1" w:styleId="4421Char">
    <w:name w:val="4421 Char"/>
    <w:basedOn w:val="Chard"/>
    <w:link w:val="4421"/>
    <w:rsid w:val="00D11232"/>
    <w:rPr>
      <w:rFonts w:ascii="QCF_BSML" w:hAnsi="QCF_BSML" w:cs="QCF_BSML"/>
      <w:color w:val="000000"/>
      <w:sz w:val="48"/>
      <w:szCs w:val="36"/>
    </w:rPr>
  </w:style>
  <w:style w:type="character" w:styleId="aff8">
    <w:name w:val="Strong"/>
    <w:basedOn w:val="a0"/>
    <w:qFormat/>
    <w:rsid w:val="00D11232"/>
    <w:rPr>
      <w:b/>
      <w:bCs/>
    </w:rPr>
  </w:style>
  <w:style w:type="table" w:customStyle="1" w:styleId="25">
    <w:name w:val="شبكة جدول2"/>
    <w:basedOn w:val="a1"/>
    <w:next w:val="aff4"/>
    <w:rsid w:val="0057655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6633508">
      <w:bodyDiv w:val="1"/>
      <w:marLeft w:val="0"/>
      <w:marRight w:val="0"/>
      <w:marTop w:val="0"/>
      <w:marBottom w:val="0"/>
      <w:divBdr>
        <w:top w:val="none" w:sz="0" w:space="0" w:color="auto"/>
        <w:left w:val="none" w:sz="0" w:space="0" w:color="auto"/>
        <w:bottom w:val="none" w:sz="0" w:space="0" w:color="auto"/>
        <w:right w:val="none" w:sz="0" w:space="0" w:color="auto"/>
      </w:divBdr>
    </w:div>
    <w:div w:id="151995498">
      <w:bodyDiv w:val="1"/>
      <w:marLeft w:val="0"/>
      <w:marRight w:val="0"/>
      <w:marTop w:val="0"/>
      <w:marBottom w:val="0"/>
      <w:divBdr>
        <w:top w:val="none" w:sz="0" w:space="0" w:color="auto"/>
        <w:left w:val="none" w:sz="0" w:space="0" w:color="auto"/>
        <w:bottom w:val="none" w:sz="0" w:space="0" w:color="auto"/>
        <w:right w:val="none" w:sz="0" w:space="0" w:color="auto"/>
      </w:divBdr>
    </w:div>
    <w:div w:id="20220760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2.xml"/><Relationship Id="rId18" Type="http://schemas.openxmlformats.org/officeDocument/2006/relationships/footer" Target="footer3.xml"/><Relationship Id="rId26" Type="http://schemas.openxmlformats.org/officeDocument/2006/relationships/image" Target="media/image9.emf"/><Relationship Id="rId3" Type="http://schemas.openxmlformats.org/officeDocument/2006/relationships/styles" Target="styles.xml"/><Relationship Id="rId21" Type="http://schemas.openxmlformats.org/officeDocument/2006/relationships/image" Target="media/image6.png"/><Relationship Id="rId7" Type="http://schemas.openxmlformats.org/officeDocument/2006/relationships/footnotes" Target="footnotes.xml"/><Relationship Id="rId12" Type="http://schemas.openxmlformats.org/officeDocument/2006/relationships/header" Target="header2.xml"/><Relationship Id="rId17" Type="http://schemas.openxmlformats.org/officeDocument/2006/relationships/header" Target="header3.xml"/><Relationship Id="rId25" Type="http://schemas.openxmlformats.org/officeDocument/2006/relationships/image" Target="media/image8.emf"/><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4.png"/><Relationship Id="rId20" Type="http://schemas.microsoft.com/office/2007/relationships/hdphoto" Target="media/hdphoto1.wdp"/><Relationship Id="rId29"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7.png"/><Relationship Id="rId32" Type="http://schemas.openxmlformats.org/officeDocument/2006/relationships/glossaryDocument" Target="glossary/document.xml"/><Relationship Id="rId5" Type="http://schemas.openxmlformats.org/officeDocument/2006/relationships/settings" Target="settings.xml"/><Relationship Id="rId15" Type="http://schemas.openxmlformats.org/officeDocument/2006/relationships/image" Target="media/image3.png"/><Relationship Id="rId23" Type="http://schemas.openxmlformats.org/officeDocument/2006/relationships/footer" Target="footer4.xml"/><Relationship Id="rId28" Type="http://schemas.openxmlformats.org/officeDocument/2006/relationships/image" Target="media/image11.emf"/><Relationship Id="rId10" Type="http://schemas.openxmlformats.org/officeDocument/2006/relationships/header" Target="header1.xml"/><Relationship Id="rId19" Type="http://schemas.openxmlformats.org/officeDocument/2006/relationships/image" Target="media/image5.png"/><Relationship Id="rId31"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image" Target="media/image2.wmf"/><Relationship Id="rId22" Type="http://schemas.openxmlformats.org/officeDocument/2006/relationships/header" Target="header4.xml"/><Relationship Id="rId27" Type="http://schemas.openxmlformats.org/officeDocument/2006/relationships/image" Target="media/image10.emf"/><Relationship Id="rId30" Type="http://schemas.openxmlformats.org/officeDocument/2006/relationships/header" Target="header5.xm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61C537B0A4F240639B6ADDDA5B63BB6C"/>
        <w:category>
          <w:name w:val="عام"/>
          <w:gallery w:val="placeholder"/>
        </w:category>
        <w:types>
          <w:type w:val="bbPlcHdr"/>
        </w:types>
        <w:behaviors>
          <w:behavior w:val="content"/>
        </w:behaviors>
        <w:guid w:val="{5C68189E-8F2C-4849-9F6D-0E1A53A3073E}"/>
      </w:docPartPr>
      <w:docPartBody>
        <w:p w:rsidR="006D67EA" w:rsidRDefault="00BA5AC2" w:rsidP="00BA5AC2">
          <w:pPr>
            <w:pStyle w:val="61C537B0A4F240639B6ADDDA5B63BB6C"/>
          </w:pPr>
          <w:r>
            <w:rPr>
              <w:rFonts w:asciiTheme="majorHAnsi" w:eastAsiaTheme="majorEastAsia" w:hAnsiTheme="majorHAnsi" w:cstheme="majorBidi"/>
              <w:sz w:val="32"/>
              <w:szCs w:val="32"/>
              <w:rtl/>
              <w:lang w:val="ar-SA"/>
            </w:rPr>
            <w:t>[اكتب عنوان المستند]</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raditional Arabic">
    <w:panose1 w:val="02020603050405020304"/>
    <w:charset w:val="00"/>
    <w:family w:val="roman"/>
    <w:pitch w:val="variable"/>
    <w:sig w:usb0="00002003" w:usb1="80000000" w:usb2="00000008" w:usb3="00000000" w:csb0="00000041"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Monotype Koufi">
    <w:panose1 w:val="00000000000000000000"/>
    <w:charset w:val="B2"/>
    <w:family w:val="auto"/>
    <w:pitch w:val="variable"/>
    <w:sig w:usb0="02942001" w:usb1="03D40006" w:usb2="02620000" w:usb3="00000000" w:csb0="00000040" w:csb1="00000000"/>
  </w:font>
  <w:font w:name="Andalus">
    <w:panose1 w:val="02020603050405020304"/>
    <w:charset w:val="00"/>
    <w:family w:val="roman"/>
    <w:pitch w:val="variable"/>
    <w:sig w:usb0="00002003" w:usb1="80000000" w:usb2="00000008" w:usb3="00000000" w:csb0="00000041" w:csb1="00000000"/>
  </w:font>
  <w:font w:name="Simplified Arabic">
    <w:panose1 w:val="02020603050405020304"/>
    <w:charset w:val="00"/>
    <w:family w:val="roman"/>
    <w:pitch w:val="variable"/>
    <w:sig w:usb0="00002003" w:usb1="00000000" w:usb2="00000000" w:usb3="00000000" w:csb0="00000041" w:csb1="00000000"/>
  </w:font>
  <w:font w:name="Simplified Arabic Fixed">
    <w:panose1 w:val="02070309020205020404"/>
    <w:charset w:val="00"/>
    <w:family w:val="modern"/>
    <w:pitch w:val="fixed"/>
    <w:sig w:usb0="00002003" w:usb1="00000000" w:usb2="00000000" w:usb3="00000000" w:csb0="00000041" w:csb1="00000000"/>
  </w:font>
  <w:font w:name="DecoType Naskh">
    <w:panose1 w:val="02010400000000000000"/>
    <w:charset w:val="B2"/>
    <w:family w:val="auto"/>
    <w:pitch w:val="variable"/>
    <w:sig w:usb0="00002001" w:usb1="80000000" w:usb2="00000008" w:usb3="00000000" w:csb0="00000040" w:csb1="00000000"/>
  </w:font>
  <w:font w:name="Consolas">
    <w:panose1 w:val="020B0609020204030204"/>
    <w:charset w:val="00"/>
    <w:family w:val="modern"/>
    <w:pitch w:val="fixed"/>
    <w:sig w:usb0="E10002FF" w:usb1="4000FCFF" w:usb2="00000009" w:usb3="00000000" w:csb0="0000019F" w:csb1="00000000"/>
  </w:font>
  <w:font w:name="Librarian">
    <w:altName w:val="Times New Roman"/>
    <w:panose1 w:val="00000000000000000000"/>
    <w:charset w:val="00"/>
    <w:family w:val="auto"/>
    <w:notTrueType/>
    <w:pitch w:val="variable"/>
    <w:sig w:usb0="00002003" w:usb1="00000000" w:usb2="00000000" w:usb3="00000000" w:csb0="00000041" w:csb1="00000000"/>
  </w:font>
  <w:font w:name="MCS ALMAALIM HIGH">
    <w:charset w:val="B2"/>
    <w:family w:val="auto"/>
    <w:pitch w:val="variable"/>
    <w:sig w:usb0="00002001" w:usb1="00000000" w:usb2="00000000" w:usb3="00000000" w:csb0="00000040" w:csb1="00000000"/>
  </w:font>
  <w:font w:name="MCS Taybah S_U normal.">
    <w:charset w:val="B2"/>
    <w:family w:val="auto"/>
    <w:pitch w:val="variable"/>
    <w:sig w:usb0="00002001" w:usb1="00000000" w:usb2="00000000" w:usb3="00000000" w:csb0="00000040" w:csb1="00000000"/>
  </w:font>
  <w:font w:name="mylotus">
    <w:altName w:val="Times New Roman"/>
    <w:charset w:val="00"/>
    <w:family w:val="auto"/>
    <w:pitch w:val="variable"/>
    <w:sig w:usb0="00000000" w:usb1="80000000" w:usb2="00000008" w:usb3="00000000" w:csb0="00000043" w:csb1="00000000"/>
  </w:font>
  <w:font w:name="Cambria">
    <w:panose1 w:val="02040503050406030204"/>
    <w:charset w:val="00"/>
    <w:family w:val="roman"/>
    <w:pitch w:val="variable"/>
    <w:sig w:usb0="E00002FF" w:usb1="400004FF" w:usb2="00000000" w:usb3="00000000" w:csb0="0000019F" w:csb1="00000000"/>
  </w:font>
  <w:font w:name="QCF_BSML">
    <w:panose1 w:val="02000400000000000000"/>
    <w:charset w:val="00"/>
    <w:family w:val="auto"/>
    <w:pitch w:val="variable"/>
    <w:sig w:usb0="80002003" w:usb1="90000000" w:usb2="00000008" w:usb3="00000000" w:csb0="80000041" w:csb1="00000000"/>
  </w:font>
  <w:font w:name="PT Bold Heading">
    <w:panose1 w:val="02010400000000000000"/>
    <w:charset w:val="B2"/>
    <w:family w:val="auto"/>
    <w:pitch w:val="variable"/>
    <w:sig w:usb0="00002001" w:usb1="80000000" w:usb2="00000008" w:usb3="00000000" w:csb0="00000040" w:csb1="00000000"/>
  </w:font>
  <w:font w:name="AL-Mateen">
    <w:charset w:val="B2"/>
    <w:family w:val="auto"/>
    <w:pitch w:val="variable"/>
    <w:sig w:usb0="00002001" w:usb1="00000000" w:usb2="00000000" w:usb3="00000000" w:csb0="00000040" w:csb1="00000000"/>
  </w:font>
  <w:font w:name="Lotus Linotype">
    <w:altName w:val="Times New Roman"/>
    <w:charset w:val="00"/>
    <w:family w:val="auto"/>
    <w:pitch w:val="variable"/>
    <w:sig w:usb0="00000000" w:usb1="00000000" w:usb2="00000000" w:usb3="00000000" w:csb0="00000043" w:csb1="00000000"/>
  </w:font>
  <w:font w:name="AF_Diwani">
    <w:charset w:val="B2"/>
    <w:family w:val="auto"/>
    <w:pitch w:val="variable"/>
    <w:sig w:usb0="00002001" w:usb1="00000000" w:usb2="00000000" w:usb3="00000000" w:csb0="00000040" w:csb1="00000000"/>
  </w:font>
  <w:font w:name="AGA Arabesque">
    <w:panose1 w:val="05010101010101010101"/>
    <w:charset w:val="02"/>
    <w:family w:val="auto"/>
    <w:pitch w:val="variable"/>
    <w:sig w:usb0="00000000" w:usb1="10000000" w:usb2="00000000" w:usb3="00000000" w:csb0="80000000" w:csb1="00000000"/>
  </w:font>
  <w:font w:name="QCF_P063">
    <w:panose1 w:val="02000400000000000000"/>
    <w:charset w:val="00"/>
    <w:family w:val="auto"/>
    <w:pitch w:val="variable"/>
    <w:sig w:usb0="80002003" w:usb1="90000000" w:usb2="00000008" w:usb3="00000000" w:csb0="80000041" w:csb1="00000000"/>
  </w:font>
  <w:font w:name="QCF_P077">
    <w:panose1 w:val="02000400000000000000"/>
    <w:charset w:val="00"/>
    <w:family w:val="auto"/>
    <w:pitch w:val="variable"/>
    <w:sig w:usb0="80002003" w:usb1="90000000" w:usb2="00000008" w:usb3="00000000" w:csb0="80000041" w:csb1="00000000"/>
  </w:font>
  <w:font w:name="QCF_P427">
    <w:panose1 w:val="02000400000000000000"/>
    <w:charset w:val="00"/>
    <w:family w:val="auto"/>
    <w:pitch w:val="variable"/>
    <w:sig w:usb0="80002003" w:usb1="90000000" w:usb2="00000008" w:usb3="00000000" w:csb0="80000041" w:csb1="00000000"/>
  </w:font>
  <w:font w:name="QCF_P110">
    <w:panose1 w:val="02000400000000000000"/>
    <w:charset w:val="00"/>
    <w:family w:val="auto"/>
    <w:pitch w:val="variable"/>
    <w:sig w:usb0="80002003" w:usb1="90000000" w:usb2="00000008" w:usb3="00000000" w:csb0="80000041" w:csb1="00000000"/>
  </w:font>
  <w:font w:name="QCF_P221">
    <w:panose1 w:val="02000400000000000000"/>
    <w:charset w:val="00"/>
    <w:family w:val="auto"/>
    <w:pitch w:val="variable"/>
    <w:sig w:usb0="80002003" w:usb1="90000000" w:usb2="00000008" w:usb3="00000000" w:csb0="80000041" w:csb1="00000000"/>
  </w:font>
  <w:font w:name="AAAGoldenLotus Stg1_Ver1">
    <w:altName w:val="Times New Roman"/>
    <w:charset w:val="00"/>
    <w:family w:val="auto"/>
    <w:pitch w:val="variable"/>
    <w:sig w:usb0="00000000" w:usb1="80000000" w:usb2="00000008" w:usb3="00000000" w:csb0="00000043" w:csb1="00000000"/>
  </w:font>
  <w:font w:name="QCF_P256">
    <w:panose1 w:val="02000400000000000000"/>
    <w:charset w:val="00"/>
    <w:family w:val="auto"/>
    <w:pitch w:val="variable"/>
    <w:sig w:usb0="80002003" w:usb1="90000000" w:usb2="00000008" w:usb3="00000000" w:csb0="80000041" w:csb1="00000000"/>
  </w:font>
  <w:font w:name="Sultan bold">
    <w:charset w:val="B2"/>
    <w:family w:val="auto"/>
    <w:pitch w:val="variable"/>
    <w:sig w:usb0="00002001" w:usb1="00000000" w:usb2="00000000" w:usb3="00000000" w:csb0="00000040" w:csb1="00000000"/>
  </w:font>
  <w:font w:name="QCF_P288">
    <w:panose1 w:val="02000400000000000000"/>
    <w:charset w:val="00"/>
    <w:family w:val="auto"/>
    <w:pitch w:val="variable"/>
    <w:sig w:usb0="80002003" w:usb1="90000000" w:usb2="00000008" w:usb3="00000000" w:csb0="80000041" w:csb1="00000000"/>
  </w:font>
  <w:font w:name="QCF_P498">
    <w:panose1 w:val="02000400000000000000"/>
    <w:charset w:val="00"/>
    <w:family w:val="auto"/>
    <w:pitch w:val="variable"/>
    <w:sig w:usb0="80002003" w:usb1="90000000" w:usb2="00000008" w:usb3="00000000" w:csb0="80000041" w:csb1="00000000"/>
  </w:font>
  <w:font w:name="QCF_P300">
    <w:panose1 w:val="02000400000000000000"/>
    <w:charset w:val="00"/>
    <w:family w:val="auto"/>
    <w:pitch w:val="variable"/>
    <w:sig w:usb0="80002003" w:usb1="90000000" w:usb2="00000008" w:usb3="00000000" w:csb0="80000041" w:csb1="00000000"/>
  </w:font>
  <w:font w:name="QCF_P286">
    <w:panose1 w:val="02000400000000000000"/>
    <w:charset w:val="00"/>
    <w:family w:val="auto"/>
    <w:pitch w:val="variable"/>
    <w:sig w:usb0="80002003" w:usb1="90000000" w:usb2="00000008" w:usb3="00000000" w:csb0="80000041" w:csb1="00000000"/>
  </w:font>
  <w:font w:name="QCF_P415">
    <w:panose1 w:val="02000400000000000000"/>
    <w:charset w:val="00"/>
    <w:family w:val="auto"/>
    <w:pitch w:val="variable"/>
    <w:sig w:usb0="80002003" w:usb1="90000000" w:usb2="00000008" w:usb3="00000000" w:csb0="80000041" w:csb1="00000000"/>
  </w:font>
  <w:font w:name="QCF_P299">
    <w:panose1 w:val="02000400000000000000"/>
    <w:charset w:val="00"/>
    <w:family w:val="auto"/>
    <w:pitch w:val="variable"/>
    <w:sig w:usb0="80002003" w:usb1="90000000" w:usb2="00000008" w:usb3="00000000" w:csb0="80000041" w:csb1="00000000"/>
  </w:font>
  <w:font w:name="QCF_P302">
    <w:panose1 w:val="02000400000000000000"/>
    <w:charset w:val="00"/>
    <w:family w:val="auto"/>
    <w:pitch w:val="variable"/>
    <w:sig w:usb0="80002003" w:usb1="90000000" w:usb2="00000008" w:usb3="00000000" w:csb0="80000041" w:csb1="00000000"/>
  </w:font>
  <w:font w:name="QCF_P303">
    <w:panose1 w:val="02000400000000000000"/>
    <w:charset w:val="00"/>
    <w:family w:val="auto"/>
    <w:pitch w:val="variable"/>
    <w:sig w:usb0="80002003" w:usb1="90000000" w:usb2="00000008" w:usb3="00000000" w:csb0="80000041" w:csb1="00000000"/>
  </w:font>
  <w:font w:name="QCF_P304">
    <w:panose1 w:val="02000400000000000000"/>
    <w:charset w:val="00"/>
    <w:family w:val="auto"/>
    <w:pitch w:val="variable"/>
    <w:sig w:usb0="80002003" w:usb1="90000000" w:usb2="00000008" w:usb3="00000000" w:csb0="80000041" w:csb1="00000000"/>
  </w:font>
  <w:font w:name="QCF_P305">
    <w:panose1 w:val="02000400000000000000"/>
    <w:charset w:val="00"/>
    <w:family w:val="auto"/>
    <w:pitch w:val="variable"/>
    <w:sig w:usb0="80002003" w:usb1="90000000" w:usb2="00000008" w:usb3="00000000" w:csb0="80000041" w:csb1="00000000"/>
  </w:font>
  <w:font w:name="QCF_P301">
    <w:panose1 w:val="02000400000000000000"/>
    <w:charset w:val="00"/>
    <w:family w:val="auto"/>
    <w:pitch w:val="variable"/>
    <w:sig w:usb0="80002003" w:usb1="90000000" w:usb2="00000008" w:usb3="00000000" w:csb0="80000041" w:csb1="00000000"/>
  </w:font>
  <w:font w:name="QCF_P290">
    <w:panose1 w:val="02000400000000000000"/>
    <w:charset w:val="00"/>
    <w:family w:val="auto"/>
    <w:pitch w:val="variable"/>
    <w:sig w:usb0="80002003" w:usb1="90000000" w:usb2="00000008" w:usb3="00000000" w:csb0="80000041" w:csb1="00000000"/>
  </w:font>
  <w:font w:name="QCF_P289">
    <w:panose1 w:val="02000400000000000000"/>
    <w:charset w:val="00"/>
    <w:family w:val="auto"/>
    <w:pitch w:val="variable"/>
    <w:sig w:usb0="80002003" w:usb1="90000000" w:usb2="00000008" w:usb3="00000000" w:csb0="80000041" w:csb1="00000000"/>
  </w:font>
  <w:font w:name="QCF_P045">
    <w:panose1 w:val="02000400000000000000"/>
    <w:charset w:val="00"/>
    <w:family w:val="auto"/>
    <w:pitch w:val="variable"/>
    <w:sig w:usb0="80002003" w:usb1="90000000" w:usb2="00000008" w:usb3="00000000" w:csb0="80000041" w:csb1="00000000"/>
  </w:font>
  <w:font w:name="QCF_P253">
    <w:panose1 w:val="02000400000000000000"/>
    <w:charset w:val="00"/>
    <w:family w:val="auto"/>
    <w:pitch w:val="variable"/>
    <w:sig w:usb0="80002003" w:usb1="90000000" w:usb2="00000008" w:usb3="00000000" w:csb0="80000041" w:csb1="00000000"/>
  </w:font>
  <w:font w:name="QCF_P293">
    <w:panose1 w:val="02000400000000000000"/>
    <w:charset w:val="00"/>
    <w:family w:val="auto"/>
    <w:pitch w:val="variable"/>
    <w:sig w:usb0="80002003" w:usb1="90000000" w:usb2="00000008" w:usb3="00000000" w:csb0="80000041" w:csb1="00000000"/>
  </w:font>
  <w:font w:name="QCF_P296">
    <w:panose1 w:val="02000400000000000000"/>
    <w:charset w:val="00"/>
    <w:family w:val="auto"/>
    <w:pitch w:val="variable"/>
    <w:sig w:usb0="80002003" w:usb1="90000000" w:usb2="00000008" w:usb3="00000000" w:csb0="80000041" w:csb1="00000000"/>
  </w:font>
  <w:font w:name="QCF_P291">
    <w:panose1 w:val="02000400000000000000"/>
    <w:charset w:val="00"/>
    <w:family w:val="auto"/>
    <w:pitch w:val="variable"/>
    <w:sig w:usb0="80002003" w:usb1="90000000" w:usb2="00000008" w:usb3="00000000" w:csb0="80000041" w:csb1="00000000"/>
  </w:font>
  <w:font w:name="QCF_P297">
    <w:panose1 w:val="02000400000000000000"/>
    <w:charset w:val="00"/>
    <w:family w:val="auto"/>
    <w:pitch w:val="variable"/>
    <w:sig w:usb0="80002003" w:usb1="90000000" w:usb2="00000008" w:usb3="00000000" w:csb0="80000041" w:csb1="00000000"/>
  </w:font>
  <w:font w:name="QCF_P292">
    <w:panose1 w:val="02000400000000000000"/>
    <w:charset w:val="00"/>
    <w:family w:val="auto"/>
    <w:pitch w:val="variable"/>
    <w:sig w:usb0="80002003" w:usb1="90000000" w:usb2="00000008" w:usb3="00000000" w:csb0="80000041" w:csb1="00000000"/>
  </w:font>
  <w:font w:name="QCF_P378">
    <w:panose1 w:val="02000400000000000000"/>
    <w:charset w:val="00"/>
    <w:family w:val="auto"/>
    <w:pitch w:val="variable"/>
    <w:sig w:usb0="80002003" w:usb1="90000000" w:usb2="00000008" w:usb3="00000000" w:csb0="80000041" w:csb1="00000000"/>
  </w:font>
  <w:font w:name="QCF_P294">
    <w:panose1 w:val="02000400000000000000"/>
    <w:charset w:val="00"/>
    <w:family w:val="auto"/>
    <w:pitch w:val="variable"/>
    <w:sig w:usb0="80002003" w:usb1="90000000" w:usb2="00000008" w:usb3="00000000" w:csb0="80000041" w:csb1="00000000"/>
  </w:font>
  <w:font w:name="QCF_P176">
    <w:panose1 w:val="02000400000000000000"/>
    <w:charset w:val="00"/>
    <w:family w:val="auto"/>
    <w:pitch w:val="variable"/>
    <w:sig w:usb0="80002003" w:usb1="90000000" w:usb2="00000008" w:usb3="00000000" w:csb0="80000041" w:csb1="00000000"/>
  </w:font>
  <w:font w:name="QCF_P267">
    <w:panose1 w:val="02000400000000000000"/>
    <w:charset w:val="00"/>
    <w:family w:val="auto"/>
    <w:pitch w:val="variable"/>
    <w:sig w:usb0="80002003" w:usb1="90000000" w:usb2="00000008" w:usb3="00000000" w:csb0="80000041" w:csb1="00000000"/>
  </w:font>
  <w:font w:name="Akhbar MT">
    <w:panose1 w:val="00000000000000000000"/>
    <w:charset w:val="B2"/>
    <w:family w:val="auto"/>
    <w:pitch w:val="variable"/>
    <w:sig w:usb0="00002001" w:usb1="00000000" w:usb2="00000000" w:usb3="00000000" w:csb0="00000040" w:csb1="00000000"/>
  </w:font>
  <w:font w:name="QCF_P307">
    <w:panose1 w:val="02000400000000000000"/>
    <w:charset w:val="00"/>
    <w:family w:val="auto"/>
    <w:pitch w:val="variable"/>
    <w:sig w:usb0="80002003" w:usb1="90000000" w:usb2="00000008" w:usb3="00000000" w:csb0="80000041" w:csb1="00000000"/>
  </w:font>
  <w:font w:name="QCF_P097">
    <w:panose1 w:val="02000400000000000000"/>
    <w:charset w:val="00"/>
    <w:family w:val="auto"/>
    <w:pitch w:val="variable"/>
    <w:sig w:usb0="80002003" w:usb1="90000000" w:usb2="00000008" w:usb3="00000000" w:csb0="80000041" w:csb1="00000000"/>
  </w:font>
  <w:font w:name="QCF_P481">
    <w:panose1 w:val="02000400000000000000"/>
    <w:charset w:val="00"/>
    <w:family w:val="auto"/>
    <w:pitch w:val="variable"/>
    <w:sig w:usb0="80002003" w:usb1="90000000" w:usb2="00000008" w:usb3="00000000" w:csb0="80000041" w:csb1="00000000"/>
  </w:font>
  <w:font w:name="QCF_P064">
    <w:panose1 w:val="02000400000000000000"/>
    <w:charset w:val="00"/>
    <w:family w:val="auto"/>
    <w:pitch w:val="variable"/>
    <w:sig w:usb0="80002003" w:usb1="90000000" w:usb2="00000008" w:usb3="00000000" w:csb0="80000041" w:csb1="00000000"/>
  </w:font>
  <w:font w:name="QCF_P376">
    <w:panose1 w:val="02000400000000000000"/>
    <w:charset w:val="00"/>
    <w:family w:val="auto"/>
    <w:pitch w:val="variable"/>
    <w:sig w:usb0="80002003" w:usb1="90000000" w:usb2="00000008" w:usb3="00000000" w:csb0="80000041" w:csb1="00000000"/>
  </w:font>
  <w:font w:name="QCF_P020">
    <w:panose1 w:val="02000400000000000000"/>
    <w:charset w:val="00"/>
    <w:family w:val="auto"/>
    <w:pitch w:val="variable"/>
    <w:sig w:usb0="80002003" w:usb1="90000000" w:usb2="00000008" w:usb3="00000000" w:csb0="80000041" w:csb1="00000000"/>
  </w:font>
  <w:font w:name="QCF_P207">
    <w:panose1 w:val="02000400000000000000"/>
    <w:charset w:val="00"/>
    <w:family w:val="auto"/>
    <w:pitch w:val="variable"/>
    <w:sig w:usb0="80002003" w:usb1="90000000" w:usb2="00000008" w:usb3="00000000" w:csb0="80000041" w:csb1="00000000"/>
  </w:font>
  <w:font w:name="QCF_P383">
    <w:panose1 w:val="02000400000000000000"/>
    <w:charset w:val="00"/>
    <w:family w:val="auto"/>
    <w:pitch w:val="variable"/>
    <w:sig w:usb0="80002003" w:usb1="90000000" w:usb2="00000008" w:usb3="00000000" w:csb0="80000041" w:csb1="00000000"/>
  </w:font>
  <w:font w:name="QCF_P187">
    <w:panose1 w:val="02000400000000000000"/>
    <w:charset w:val="00"/>
    <w:family w:val="auto"/>
    <w:pitch w:val="variable"/>
    <w:sig w:usb0="80002003" w:usb1="90000000" w:usb2="00000008" w:usb3="00000000" w:csb0="80000041" w:csb1="00000000"/>
  </w:font>
  <w:font w:name="QCF_P203">
    <w:panose1 w:val="02000400000000000000"/>
    <w:charset w:val="00"/>
    <w:family w:val="auto"/>
    <w:pitch w:val="variable"/>
    <w:sig w:usb0="80002003" w:usb1="90000000" w:usb2="00000008" w:usb3="00000000" w:csb0="80000041" w:csb1="00000000"/>
  </w:font>
  <w:font w:name="QCF_P426">
    <w:panose1 w:val="02000400000000000000"/>
    <w:charset w:val="00"/>
    <w:family w:val="auto"/>
    <w:pitch w:val="variable"/>
    <w:sig w:usb0="80002003" w:usb1="90000000" w:usb2="00000008" w:usb3="00000000" w:csb0="80000041" w:csb1="00000000"/>
  </w:font>
  <w:font w:name="QCF_P180">
    <w:panose1 w:val="02000400000000000000"/>
    <w:charset w:val="00"/>
    <w:family w:val="auto"/>
    <w:pitch w:val="variable"/>
    <w:sig w:usb0="80002003" w:usb1="90000000" w:usb2="00000008" w:usb3="00000000" w:csb0="80000041" w:csb1="00000000"/>
  </w:font>
  <w:font w:name="QCF_P363">
    <w:panose1 w:val="02000400000000000000"/>
    <w:charset w:val="00"/>
    <w:family w:val="auto"/>
    <w:pitch w:val="variable"/>
    <w:sig w:usb0="80002003" w:usb1="90000000" w:usb2="00000008" w:usb3="00000000" w:csb0="80000041" w:csb1="00000000"/>
  </w:font>
  <w:font w:name="QCF_P349">
    <w:panose1 w:val="02000400000000000000"/>
    <w:charset w:val="00"/>
    <w:family w:val="auto"/>
    <w:pitch w:val="variable"/>
    <w:sig w:usb0="80002003" w:usb1="90000000" w:usb2="00000008" w:usb3="00000000" w:csb0="80000041" w:csb1="00000000"/>
  </w:font>
  <w:font w:name="QCF_P021">
    <w:panose1 w:val="02000400000000000000"/>
    <w:charset w:val="00"/>
    <w:family w:val="auto"/>
    <w:pitch w:val="variable"/>
    <w:sig w:usb0="80002003" w:usb1="90000000" w:usb2="00000008" w:usb3="00000000" w:csb0="80000041" w:csb1="00000000"/>
  </w:font>
  <w:font w:name="QCF_P218">
    <w:panose1 w:val="02000400000000000000"/>
    <w:charset w:val="00"/>
    <w:family w:val="auto"/>
    <w:pitch w:val="variable"/>
    <w:sig w:usb0="80002003" w:usb1="90000000" w:usb2="00000008" w:usb3="00000000" w:csb0="80000041" w:csb1="00000000"/>
  </w:font>
  <w:font w:name="QCF_P496">
    <w:panose1 w:val="02000400000000000000"/>
    <w:charset w:val="00"/>
    <w:family w:val="auto"/>
    <w:pitch w:val="variable"/>
    <w:sig w:usb0="80002003" w:usb1="90000000" w:usb2="00000008" w:usb3="00000000" w:csb0="80000041" w:csb1="00000000"/>
  </w:font>
  <w:font w:name="QCF_P379">
    <w:panose1 w:val="02000400000000000000"/>
    <w:charset w:val="00"/>
    <w:family w:val="auto"/>
    <w:pitch w:val="variable"/>
    <w:sig w:usb0="80002003" w:usb1="90000000" w:usb2="00000008" w:usb3="00000000" w:csb0="80000041" w:csb1="00000000"/>
  </w:font>
  <w:font w:name="QCF_P344">
    <w:panose1 w:val="02000400000000000000"/>
    <w:charset w:val="00"/>
    <w:family w:val="auto"/>
    <w:pitch w:val="variable"/>
    <w:sig w:usb0="80002003" w:usb1="90000000" w:usb2="00000008" w:usb3="00000000" w:csb0="80000041" w:csb1="00000000"/>
  </w:font>
  <w:font w:name="QCF_P001">
    <w:panose1 w:val="02000400000000000000"/>
    <w:charset w:val="00"/>
    <w:family w:val="auto"/>
    <w:pitch w:val="variable"/>
    <w:sig w:usb0="80002003" w:usb1="90000000" w:usb2="00000008" w:usb3="00000000" w:csb0="80000041" w:csb1="00000000"/>
  </w:font>
  <w:font w:name="QCF_P082">
    <w:panose1 w:val="02000400000000000000"/>
    <w:charset w:val="00"/>
    <w:family w:val="auto"/>
    <w:pitch w:val="variable"/>
    <w:sig w:usb0="80002003" w:usb1="90000000" w:usb2="00000008" w:usb3="00000000" w:csb0="80000041" w:csb1="00000000"/>
  </w:font>
  <w:font w:name="QCF_P295">
    <w:panose1 w:val="02000400000000000000"/>
    <w:charset w:val="00"/>
    <w:family w:val="auto"/>
    <w:pitch w:val="variable"/>
    <w:sig w:usb0="80002003" w:usb1="90000000" w:usb2="00000008" w:usb3="00000000" w:csb0="80000041" w:csb1="00000000"/>
  </w:font>
  <w:font w:name="QCF_P601">
    <w:panose1 w:val="02000400000000000000"/>
    <w:charset w:val="00"/>
    <w:family w:val="auto"/>
    <w:pitch w:val="variable"/>
    <w:sig w:usb0="80002003" w:usb1="90000000" w:usb2="00000008" w:usb3="00000000" w:csb0="80000041" w:csb1="00000000"/>
  </w:font>
  <w:font w:name="QCF_P205">
    <w:panose1 w:val="02000400000000000000"/>
    <w:charset w:val="00"/>
    <w:family w:val="auto"/>
    <w:pitch w:val="variable"/>
    <w:sig w:usb0="80002003" w:usb1="90000000" w:usb2="00000008" w:usb3="00000000" w:csb0="80000041" w:csb1="00000000"/>
  </w:font>
  <w:font w:name="QCF_P466">
    <w:panose1 w:val="02000400000000000000"/>
    <w:charset w:val="00"/>
    <w:family w:val="auto"/>
    <w:pitch w:val="variable"/>
    <w:sig w:usb0="80002003" w:usb1="90000000" w:usb2="00000008" w:usb3="00000000" w:csb0="80000041" w:csb1="00000000"/>
  </w:font>
  <w:font w:name="QCF_P239">
    <w:panose1 w:val="02000400000000000000"/>
    <w:charset w:val="00"/>
    <w:family w:val="auto"/>
    <w:pitch w:val="variable"/>
    <w:sig w:usb0="80002003" w:usb1="90000000" w:usb2="00000008" w:usb3="00000000" w:csb0="80000041" w:csb1="00000000"/>
  </w:font>
  <w:font w:name="QCF_P298">
    <w:panose1 w:val="02000400000000000000"/>
    <w:charset w:val="00"/>
    <w:family w:val="auto"/>
    <w:pitch w:val="variable"/>
    <w:sig w:usb0="80002003" w:usb1="90000000" w:usb2="00000008" w:usb3="00000000" w:csb0="80000041" w:csb1="00000000"/>
  </w:font>
  <w:font w:name="QCF_P467">
    <w:panose1 w:val="02000400000000000000"/>
    <w:charset w:val="00"/>
    <w:family w:val="auto"/>
    <w:pitch w:val="variable"/>
    <w:sig w:usb0="80002003" w:usb1="90000000" w:usb2="00000008" w:usb3="00000000" w:csb0="80000041" w:csb1="00000000"/>
  </w:font>
  <w:font w:name="QCF_P311">
    <w:panose1 w:val="02000400000000000000"/>
    <w:charset w:val="00"/>
    <w:family w:val="auto"/>
    <w:pitch w:val="variable"/>
    <w:sig w:usb0="80002003" w:usb1="90000000" w:usb2="00000008" w:usb3="00000000" w:csb0="80000041" w:csb1="00000000"/>
  </w:font>
  <w:font w:name="QCF_P384">
    <w:panose1 w:val="02000400000000000000"/>
    <w:charset w:val="00"/>
    <w:family w:val="auto"/>
    <w:pitch w:val="variable"/>
    <w:sig w:usb0="80002003" w:usb1="90000000" w:usb2="00000008" w:usb3="00000000" w:csb0="80000041" w:csb1="00000000"/>
  </w:font>
  <w:font w:name="QCF_P414">
    <w:panose1 w:val="02000400000000000000"/>
    <w:charset w:val="00"/>
    <w:family w:val="auto"/>
    <w:pitch w:val="variable"/>
    <w:sig w:usb0="80002003" w:usb1="90000000" w:usb2="00000008" w:usb3="00000000" w:csb0="80000041" w:csb1="00000000"/>
  </w:font>
  <w:font w:name="QCF_P587">
    <w:panose1 w:val="02000400000000000000"/>
    <w:charset w:val="00"/>
    <w:family w:val="auto"/>
    <w:pitch w:val="variable"/>
    <w:sig w:usb0="80002003" w:usb1="90000000" w:usb2="00000008" w:usb3="00000000" w:csb0="80000041" w:csb1="00000000"/>
  </w:font>
  <w:font w:name="QCF_P131">
    <w:panose1 w:val="02000400000000000000"/>
    <w:charset w:val="00"/>
    <w:family w:val="auto"/>
    <w:pitch w:val="variable"/>
    <w:sig w:usb0="80002003" w:usb1="90000000" w:usb2="00000008" w:usb3="00000000" w:csb0="80000041" w:csb1="00000000"/>
  </w:font>
  <w:font w:name="QCF_P531">
    <w:panose1 w:val="02000400000000000000"/>
    <w:charset w:val="00"/>
    <w:family w:val="auto"/>
    <w:pitch w:val="variable"/>
    <w:sig w:usb0="80002003" w:usb1="90000000" w:usb2="00000008" w:usb3="00000000" w:csb0="80000041" w:csb1="00000000"/>
  </w:font>
  <w:font w:name="QCF_P229">
    <w:panose1 w:val="02000400000000000000"/>
    <w:charset w:val="00"/>
    <w:family w:val="auto"/>
    <w:pitch w:val="variable"/>
    <w:sig w:usb0="80002003" w:usb1="90000000" w:usb2="00000008" w:usb3="00000000" w:csb0="80000041" w:csb1="00000000"/>
  </w:font>
  <w:font w:name="QCF_P156">
    <w:panose1 w:val="02000400000000000000"/>
    <w:charset w:val="00"/>
    <w:family w:val="auto"/>
    <w:pitch w:val="variable"/>
    <w:sig w:usb0="80002003" w:usb1="90000000" w:usb2="00000008" w:usb3="00000000" w:csb0="80000041" w:csb1="00000000"/>
  </w:font>
  <w:font w:name="QCF_P315">
    <w:panose1 w:val="02000400000000000000"/>
    <w:charset w:val="00"/>
    <w:family w:val="auto"/>
    <w:pitch w:val="variable"/>
    <w:sig w:usb0="80002003" w:usb1="90000000" w:usb2="00000008" w:usb3="00000000" w:csb0="80000041" w:csb1="00000000"/>
  </w:font>
  <w:font w:name="QCF_P332">
    <w:panose1 w:val="02000400000000000000"/>
    <w:charset w:val="00"/>
    <w:family w:val="auto"/>
    <w:pitch w:val="variable"/>
    <w:sig w:usb0="80002003" w:usb1="90000000" w:usb2="00000008" w:usb3="00000000" w:csb0="80000041" w:csb1="00000000"/>
  </w:font>
  <w:font w:name="QCF_P139">
    <w:panose1 w:val="02000400000000000000"/>
    <w:charset w:val="00"/>
    <w:family w:val="auto"/>
    <w:pitch w:val="variable"/>
    <w:sig w:usb0="80002003" w:usb1="90000000" w:usb2="00000008" w:usb3="00000000" w:csb0="80000041" w:csb1="00000000"/>
  </w:font>
  <w:font w:name="QCF_P004">
    <w:panose1 w:val="02000400000000000000"/>
    <w:charset w:val="00"/>
    <w:family w:val="auto"/>
    <w:pitch w:val="variable"/>
    <w:sig w:usb0="80002003" w:usb1="90000000" w:usb2="00000008" w:usb3="00000000" w:csb0="80000041" w:csb1="00000000"/>
  </w:font>
  <w:font w:name="QCF_P250">
    <w:panose1 w:val="02000400000000000000"/>
    <w:charset w:val="00"/>
    <w:family w:val="auto"/>
    <w:pitch w:val="variable"/>
    <w:sig w:usb0="80002003" w:usb1="90000000" w:usb2="00000008" w:usb3="00000000" w:csb0="80000041" w:csb1="00000000"/>
  </w:font>
  <w:font w:name="QCF_P532">
    <w:panose1 w:val="02000400000000000000"/>
    <w:charset w:val="00"/>
    <w:family w:val="auto"/>
    <w:pitch w:val="variable"/>
    <w:sig w:usb0="80002003" w:usb1="90000000" w:usb2="00000008" w:usb3="00000000" w:csb0="80000041" w:csb1="00000000"/>
  </w:font>
  <w:font w:name="QCF_P528">
    <w:panose1 w:val="02000400000000000000"/>
    <w:charset w:val="00"/>
    <w:family w:val="auto"/>
    <w:pitch w:val="variable"/>
    <w:sig w:usb0="80002003" w:usb1="90000000" w:usb2="00000008" w:usb3="00000000" w:csb0="80000041" w:csb1="00000000"/>
  </w:font>
  <w:font w:name="QCF_P088">
    <w:panose1 w:val="02000400000000000000"/>
    <w:charset w:val="00"/>
    <w:family w:val="auto"/>
    <w:pitch w:val="variable"/>
    <w:sig w:usb0="80002003" w:usb1="90000000" w:usb2="00000008" w:usb3="00000000" w:csb0="80000041" w:csb1="00000000"/>
  </w:font>
  <w:font w:name="QCF_P169">
    <w:panose1 w:val="02000400000000000000"/>
    <w:charset w:val="00"/>
    <w:family w:val="auto"/>
    <w:pitch w:val="variable"/>
    <w:sig w:usb0="80002003" w:usb1="90000000" w:usb2="00000008" w:usb3="00000000" w:csb0="80000041" w:csb1="00000000"/>
  </w:font>
  <w:font w:name="QCF_P509">
    <w:panose1 w:val="02000400000000000000"/>
    <w:charset w:val="00"/>
    <w:family w:val="auto"/>
    <w:pitch w:val="variable"/>
    <w:sig w:usb0="80002003" w:usb1="90000000" w:usb2="00000008" w:usb3="00000000" w:csb0="80000041" w:csb1="00000000"/>
  </w:font>
  <w:font w:name="QCF_P568">
    <w:panose1 w:val="02000400000000000000"/>
    <w:charset w:val="00"/>
    <w:family w:val="auto"/>
    <w:pitch w:val="variable"/>
    <w:sig w:usb0="80002003" w:usb1="90000000" w:usb2="00000008" w:usb3="00000000" w:csb0="80000041" w:csb1="00000000"/>
  </w:font>
  <w:font w:name="QCF_P598">
    <w:panose1 w:val="02000400000000000000"/>
    <w:charset w:val="00"/>
    <w:family w:val="auto"/>
    <w:pitch w:val="variable"/>
    <w:sig w:usb0="80002003" w:usb1="90000000" w:usb2="00000008" w:usb3="00000000" w:csb0="80000041" w:csb1="00000000"/>
  </w:font>
  <w:font w:name="QCF_P270">
    <w:panose1 w:val="02000400000000000000"/>
    <w:charset w:val="00"/>
    <w:family w:val="auto"/>
    <w:pitch w:val="variable"/>
    <w:sig w:usb0="80002003" w:usb1="90000000" w:usb2="00000008" w:usb3="00000000" w:csb0="80000041" w:csb1="00000000"/>
  </w:font>
  <w:font w:name="QCF_P011">
    <w:panose1 w:val="02000400000000000000"/>
    <w:charset w:val="00"/>
    <w:family w:val="auto"/>
    <w:pitch w:val="variable"/>
    <w:sig w:usb0="80002003" w:usb1="90000000" w:usb2="00000008" w:usb3="00000000" w:csb0="80000041" w:csb1="00000000"/>
  </w:font>
  <w:font w:name="QCF_P533">
    <w:panose1 w:val="02000400000000000000"/>
    <w:charset w:val="00"/>
    <w:family w:val="auto"/>
    <w:pitch w:val="variable"/>
    <w:sig w:usb0="80002003" w:usb1="90000000" w:usb2="00000008" w:usb3="00000000" w:csb0="80000041" w:csb1="00000000"/>
  </w:font>
  <w:font w:name="QCF_P342">
    <w:panose1 w:val="02000400000000000000"/>
    <w:charset w:val="00"/>
    <w:family w:val="auto"/>
    <w:pitch w:val="variable"/>
    <w:sig w:usb0="80002003" w:usb1="90000000" w:usb2="00000008" w:usb3="00000000" w:csb0="80000041" w:csb1="00000000"/>
  </w:font>
  <w:font w:name="QCF_P309">
    <w:panose1 w:val="02000400000000000000"/>
    <w:charset w:val="00"/>
    <w:family w:val="auto"/>
    <w:pitch w:val="variable"/>
    <w:sig w:usb0="80002003" w:usb1="90000000" w:usb2="00000008" w:usb3="00000000" w:csb0="80000041" w:csb1="00000000"/>
  </w:font>
  <w:font w:name="QCF_P306">
    <w:panose1 w:val="02000400000000000000"/>
    <w:charset w:val="00"/>
    <w:family w:val="auto"/>
    <w:pitch w:val="variable"/>
    <w:sig w:usb0="80002003" w:usb1="90000000" w:usb2="00000008" w:usb3="00000000" w:csb0="80000041" w:csb1="00000000"/>
  </w:font>
  <w:font w:name="QCF_P107">
    <w:panose1 w:val="02000400000000000000"/>
    <w:charset w:val="00"/>
    <w:family w:val="auto"/>
    <w:pitch w:val="variable"/>
    <w:sig w:usb0="80002003" w:usb1="90000000" w:usb2="00000008" w:usb3="00000000" w:csb0="80000041" w:csb1="00000000"/>
  </w:font>
  <w:font w:name="QCF_P333">
    <w:panose1 w:val="02000400000000000000"/>
    <w:charset w:val="00"/>
    <w:family w:val="auto"/>
    <w:pitch w:val="variable"/>
    <w:sig w:usb0="80002003" w:usb1="90000000" w:usb2="00000008" w:usb3="00000000" w:csb0="80000041" w:csb1="00000000"/>
  </w:font>
  <w:font w:name="QCF_P493">
    <w:panose1 w:val="02000400000000000000"/>
    <w:charset w:val="00"/>
    <w:family w:val="auto"/>
    <w:pitch w:val="variable"/>
    <w:sig w:usb0="80002003" w:usb1="90000000" w:usb2="00000008" w:usb3="00000000" w:csb0="80000041" w:csb1="00000000"/>
  </w:font>
  <w:font w:name="QCF_P127">
    <w:panose1 w:val="02000400000000000000"/>
    <w:charset w:val="00"/>
    <w:family w:val="auto"/>
    <w:pitch w:val="variable"/>
    <w:sig w:usb0="80002003" w:usb1="90000000" w:usb2="00000008" w:usb3="00000000" w:csb0="80000041" w:csb1="00000000"/>
  </w:font>
  <w:font w:name="QCF_P308">
    <w:panose1 w:val="02000400000000000000"/>
    <w:charset w:val="00"/>
    <w:family w:val="auto"/>
    <w:pitch w:val="variable"/>
    <w:sig w:usb0="80002003" w:usb1="90000000" w:usb2="00000008" w:usb3="00000000" w:csb0="80000041"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A5AC2"/>
    <w:rsid w:val="000128F7"/>
    <w:rsid w:val="000503DA"/>
    <w:rsid w:val="00060659"/>
    <w:rsid w:val="0008700B"/>
    <w:rsid w:val="000A71C5"/>
    <w:rsid w:val="000E23E5"/>
    <w:rsid w:val="0010410E"/>
    <w:rsid w:val="001267A3"/>
    <w:rsid w:val="00137A54"/>
    <w:rsid w:val="001436ED"/>
    <w:rsid w:val="001463A9"/>
    <w:rsid w:val="00173E28"/>
    <w:rsid w:val="001B4AF1"/>
    <w:rsid w:val="00231874"/>
    <w:rsid w:val="00267ECF"/>
    <w:rsid w:val="002A461E"/>
    <w:rsid w:val="002B17E5"/>
    <w:rsid w:val="002C1B88"/>
    <w:rsid w:val="002D447B"/>
    <w:rsid w:val="002F74D7"/>
    <w:rsid w:val="00311571"/>
    <w:rsid w:val="003537D0"/>
    <w:rsid w:val="00365837"/>
    <w:rsid w:val="00373088"/>
    <w:rsid w:val="003C115A"/>
    <w:rsid w:val="003D7B9A"/>
    <w:rsid w:val="00454A31"/>
    <w:rsid w:val="00486313"/>
    <w:rsid w:val="004F4095"/>
    <w:rsid w:val="0053308A"/>
    <w:rsid w:val="0053436E"/>
    <w:rsid w:val="00623253"/>
    <w:rsid w:val="00690F75"/>
    <w:rsid w:val="006D67EA"/>
    <w:rsid w:val="00793E10"/>
    <w:rsid w:val="007A3E3A"/>
    <w:rsid w:val="00804269"/>
    <w:rsid w:val="00806558"/>
    <w:rsid w:val="008269B6"/>
    <w:rsid w:val="00836995"/>
    <w:rsid w:val="00864AF8"/>
    <w:rsid w:val="008A5ED3"/>
    <w:rsid w:val="008B1C1D"/>
    <w:rsid w:val="008F5E6F"/>
    <w:rsid w:val="009417F2"/>
    <w:rsid w:val="0095374C"/>
    <w:rsid w:val="00975A42"/>
    <w:rsid w:val="009F151F"/>
    <w:rsid w:val="009F57DF"/>
    <w:rsid w:val="00A06D47"/>
    <w:rsid w:val="00AD5F0C"/>
    <w:rsid w:val="00B123A8"/>
    <w:rsid w:val="00B22C81"/>
    <w:rsid w:val="00B27314"/>
    <w:rsid w:val="00B63334"/>
    <w:rsid w:val="00B74AF6"/>
    <w:rsid w:val="00BA5AC2"/>
    <w:rsid w:val="00BF6499"/>
    <w:rsid w:val="00C4413B"/>
    <w:rsid w:val="00CB2239"/>
    <w:rsid w:val="00CC4A31"/>
    <w:rsid w:val="00CD5825"/>
    <w:rsid w:val="00CF38E1"/>
    <w:rsid w:val="00CF73F2"/>
    <w:rsid w:val="00D057D1"/>
    <w:rsid w:val="00DC45E4"/>
    <w:rsid w:val="00DC5E04"/>
    <w:rsid w:val="00DE186E"/>
    <w:rsid w:val="00E11EB1"/>
    <w:rsid w:val="00E12E88"/>
    <w:rsid w:val="00E82B12"/>
    <w:rsid w:val="00EA6AFC"/>
    <w:rsid w:val="00EE1DCF"/>
    <w:rsid w:val="00F15084"/>
    <w:rsid w:val="00F24447"/>
    <w:rsid w:val="00FD175E"/>
    <w:rsid w:val="00FE6D3B"/>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bidi/>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69CE4CBB42C49B08657313C83ACEEAA">
    <w:name w:val="169CE4CBB42C49B08657313C83ACEEAA"/>
    <w:rsid w:val="00BA5AC2"/>
    <w:pPr>
      <w:bidi/>
    </w:pPr>
  </w:style>
  <w:style w:type="paragraph" w:customStyle="1" w:styleId="5D0A29527AF74147AD48FAC605265A10">
    <w:name w:val="5D0A29527AF74147AD48FAC605265A10"/>
    <w:rsid w:val="00BA5AC2"/>
    <w:pPr>
      <w:bidi/>
    </w:pPr>
  </w:style>
  <w:style w:type="paragraph" w:customStyle="1" w:styleId="507B9D392A4441FBB54AA69702F40182">
    <w:name w:val="507B9D392A4441FBB54AA69702F40182"/>
    <w:rsid w:val="00BA5AC2"/>
    <w:pPr>
      <w:bidi/>
    </w:pPr>
  </w:style>
  <w:style w:type="paragraph" w:customStyle="1" w:styleId="9FC1C07925814C47BED71770B8D13A9B">
    <w:name w:val="9FC1C07925814C47BED71770B8D13A9B"/>
    <w:rsid w:val="00BA5AC2"/>
    <w:pPr>
      <w:bidi/>
    </w:pPr>
  </w:style>
  <w:style w:type="paragraph" w:customStyle="1" w:styleId="748168AAF33C4F2B9F26D2E1BD7BB32D">
    <w:name w:val="748168AAF33C4F2B9F26D2E1BD7BB32D"/>
    <w:rsid w:val="00BA5AC2"/>
    <w:pPr>
      <w:bidi/>
    </w:pPr>
  </w:style>
  <w:style w:type="paragraph" w:customStyle="1" w:styleId="E22C812049D04934ABCEC8D061D55091">
    <w:name w:val="E22C812049D04934ABCEC8D061D55091"/>
    <w:rsid w:val="00BA5AC2"/>
    <w:pPr>
      <w:bidi/>
    </w:pPr>
  </w:style>
  <w:style w:type="paragraph" w:customStyle="1" w:styleId="2183F2E9E03B42A48DA7062AC52138DC">
    <w:name w:val="2183F2E9E03B42A48DA7062AC52138DC"/>
    <w:rsid w:val="00BA5AC2"/>
    <w:pPr>
      <w:bidi/>
    </w:pPr>
  </w:style>
  <w:style w:type="paragraph" w:customStyle="1" w:styleId="2EB0956C79214B6EAC2BB53B5C29AFBD">
    <w:name w:val="2EB0956C79214B6EAC2BB53B5C29AFBD"/>
    <w:rsid w:val="00BA5AC2"/>
    <w:pPr>
      <w:bidi/>
    </w:pPr>
  </w:style>
  <w:style w:type="paragraph" w:customStyle="1" w:styleId="E5F331A5D4C24C2AB84F78658D5A30F0">
    <w:name w:val="E5F331A5D4C24C2AB84F78658D5A30F0"/>
    <w:rsid w:val="00BA5AC2"/>
    <w:pPr>
      <w:bidi/>
    </w:pPr>
  </w:style>
  <w:style w:type="paragraph" w:customStyle="1" w:styleId="EBCFE0F2A6F14D4BB512F9B3580E4D76">
    <w:name w:val="EBCFE0F2A6F14D4BB512F9B3580E4D76"/>
    <w:rsid w:val="00BA5AC2"/>
    <w:pPr>
      <w:bidi/>
    </w:pPr>
  </w:style>
  <w:style w:type="paragraph" w:customStyle="1" w:styleId="61C537B0A4F240639B6ADDDA5B63BB6C">
    <w:name w:val="61C537B0A4F240639B6ADDDA5B63BB6C"/>
    <w:rsid w:val="00BA5AC2"/>
    <w:pPr>
      <w:bidi/>
    </w:pPr>
  </w:style>
  <w:style w:type="paragraph" w:customStyle="1" w:styleId="47E267F7FB6043408EAB7660DEB1716F">
    <w:name w:val="47E267F7FB6043408EAB7660DEB1716F"/>
    <w:rsid w:val="00454A31"/>
    <w:pPr>
      <w:bidi/>
    </w:pPr>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bidi/>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69CE4CBB42C49B08657313C83ACEEAA">
    <w:name w:val="169CE4CBB42C49B08657313C83ACEEAA"/>
    <w:rsid w:val="00BA5AC2"/>
    <w:pPr>
      <w:bidi/>
    </w:pPr>
  </w:style>
  <w:style w:type="paragraph" w:customStyle="1" w:styleId="5D0A29527AF74147AD48FAC605265A10">
    <w:name w:val="5D0A29527AF74147AD48FAC605265A10"/>
    <w:rsid w:val="00BA5AC2"/>
    <w:pPr>
      <w:bidi/>
    </w:pPr>
  </w:style>
  <w:style w:type="paragraph" w:customStyle="1" w:styleId="507B9D392A4441FBB54AA69702F40182">
    <w:name w:val="507B9D392A4441FBB54AA69702F40182"/>
    <w:rsid w:val="00BA5AC2"/>
    <w:pPr>
      <w:bidi/>
    </w:pPr>
  </w:style>
  <w:style w:type="paragraph" w:customStyle="1" w:styleId="9FC1C07925814C47BED71770B8D13A9B">
    <w:name w:val="9FC1C07925814C47BED71770B8D13A9B"/>
    <w:rsid w:val="00BA5AC2"/>
    <w:pPr>
      <w:bidi/>
    </w:pPr>
  </w:style>
  <w:style w:type="paragraph" w:customStyle="1" w:styleId="748168AAF33C4F2B9F26D2E1BD7BB32D">
    <w:name w:val="748168AAF33C4F2B9F26D2E1BD7BB32D"/>
    <w:rsid w:val="00BA5AC2"/>
    <w:pPr>
      <w:bidi/>
    </w:pPr>
  </w:style>
  <w:style w:type="paragraph" w:customStyle="1" w:styleId="E22C812049D04934ABCEC8D061D55091">
    <w:name w:val="E22C812049D04934ABCEC8D061D55091"/>
    <w:rsid w:val="00BA5AC2"/>
    <w:pPr>
      <w:bidi/>
    </w:pPr>
  </w:style>
  <w:style w:type="paragraph" w:customStyle="1" w:styleId="2183F2E9E03B42A48DA7062AC52138DC">
    <w:name w:val="2183F2E9E03B42A48DA7062AC52138DC"/>
    <w:rsid w:val="00BA5AC2"/>
    <w:pPr>
      <w:bidi/>
    </w:pPr>
  </w:style>
  <w:style w:type="paragraph" w:customStyle="1" w:styleId="2EB0956C79214B6EAC2BB53B5C29AFBD">
    <w:name w:val="2EB0956C79214B6EAC2BB53B5C29AFBD"/>
    <w:rsid w:val="00BA5AC2"/>
    <w:pPr>
      <w:bidi/>
    </w:pPr>
  </w:style>
  <w:style w:type="paragraph" w:customStyle="1" w:styleId="E5F331A5D4C24C2AB84F78658D5A30F0">
    <w:name w:val="E5F331A5D4C24C2AB84F78658D5A30F0"/>
    <w:rsid w:val="00BA5AC2"/>
    <w:pPr>
      <w:bidi/>
    </w:pPr>
  </w:style>
  <w:style w:type="paragraph" w:customStyle="1" w:styleId="EBCFE0F2A6F14D4BB512F9B3580E4D76">
    <w:name w:val="EBCFE0F2A6F14D4BB512F9B3580E4D76"/>
    <w:rsid w:val="00BA5AC2"/>
    <w:pPr>
      <w:bidi/>
    </w:pPr>
  </w:style>
  <w:style w:type="paragraph" w:customStyle="1" w:styleId="61C537B0A4F240639B6ADDDA5B63BB6C">
    <w:name w:val="61C537B0A4F240639B6ADDDA5B63BB6C"/>
    <w:rsid w:val="00BA5AC2"/>
    <w:pPr>
      <w:bidi/>
    </w:pPr>
  </w:style>
  <w:style w:type="paragraph" w:customStyle="1" w:styleId="47E267F7FB6043408EAB7660DEB1716F">
    <w:name w:val="47E267F7FB6043408EAB7660DEB1716F"/>
    <w:rsid w:val="00454A31"/>
    <w:pPr>
      <w:bidi/>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نسق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2C7FEAA-AB52-4768-A3DA-C7DA302E44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TotalTime>
  <Pages>390</Pages>
  <Words>58538</Words>
  <Characters>333673</Characters>
  <Application>Microsoft Office Word</Application>
  <DocSecurity>0</DocSecurity>
  <Lines>2780</Lines>
  <Paragraphs>782</Paragraphs>
  <ScaleCrop>false</ScaleCrop>
  <HeadingPairs>
    <vt:vector size="2" baseType="variant">
      <vt:variant>
        <vt:lpstr>العنوان</vt:lpstr>
      </vt:variant>
      <vt:variant>
        <vt:i4>1</vt:i4>
      </vt:variant>
    </vt:vector>
  </HeadingPairs>
  <TitlesOfParts>
    <vt:vector size="1" baseType="lpstr">
      <vt:lpstr>زاد المسير في علم التفسير</vt:lpstr>
    </vt:vector>
  </TitlesOfParts>
  <Company/>
  <LinksUpToDate>false</LinksUpToDate>
  <CharactersWithSpaces>391429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زاد المسير في علم التفسير</dc:title>
  <dc:creator>Khaleej</dc:creator>
  <cp:lastModifiedBy>Khaleej</cp:lastModifiedBy>
  <cp:revision>5</cp:revision>
  <cp:lastPrinted>2016-01-19T14:11:00Z</cp:lastPrinted>
  <dcterms:created xsi:type="dcterms:W3CDTF">2016-01-18T14:54:00Z</dcterms:created>
  <dcterms:modified xsi:type="dcterms:W3CDTF">2016-01-19T14:15:00Z</dcterms:modified>
</cp:coreProperties>
</file>